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C6B7993" w14:textId="61390DD5" w:rsidR="00200158" w:rsidRDefault="00200158" w:rsidP="00200158">
      <w:pPr>
        <w:pStyle w:val="NormalWeb"/>
        <w:spacing w:before="0" w:beforeAutospacing="0" w:after="0" w:afterAutospacing="0"/>
        <w:jc w:val="center"/>
        <w:textAlignment w:val="baseline"/>
      </w:pPr>
      <w:r>
        <w:rPr>
          <w:rFonts w:ascii="Arial" w:eastAsia="+mn-ea" w:hAnsi="Arial" w:cs="Arial"/>
          <w:b/>
          <w:bCs/>
          <w:color w:val="008000"/>
          <w:kern w:val="24"/>
          <w:sz w:val="132"/>
          <w:szCs w:val="132"/>
        </w:rPr>
        <w:t xml:space="preserve">Planter en </w:t>
      </w:r>
      <w:r w:rsidR="008F2557">
        <w:rPr>
          <w:rFonts w:ascii="Arial" w:eastAsia="+mn-ea" w:hAnsi="Arial" w:cs="Arial"/>
          <w:b/>
          <w:bCs/>
          <w:color w:val="008000"/>
          <w:kern w:val="24"/>
          <w:sz w:val="132"/>
          <w:szCs w:val="132"/>
        </w:rPr>
        <w:t>milieux</w:t>
      </w:r>
      <w:r>
        <w:rPr>
          <w:rFonts w:ascii="Arial" w:eastAsia="+mn-ea" w:hAnsi="Arial" w:cs="Arial"/>
          <w:b/>
          <w:bCs/>
          <w:color w:val="008000"/>
          <w:kern w:val="24"/>
          <w:sz w:val="132"/>
          <w:szCs w:val="132"/>
        </w:rPr>
        <w:t xml:space="preserve"> arides et salins</w:t>
      </w:r>
    </w:p>
    <w:p w14:paraId="130233C4" w14:textId="5688A18C" w:rsidR="00FF7C3D" w:rsidRDefault="00FF7C3D" w:rsidP="00200158">
      <w:pPr>
        <w:pStyle w:val="NormalWeb"/>
        <w:spacing w:before="0" w:beforeAutospacing="0" w:after="0" w:afterAutospacing="0"/>
        <w:jc w:val="center"/>
        <w:textAlignment w:val="baseline"/>
        <w:rPr>
          <w:rFonts w:ascii="Arial" w:eastAsia="+mn-ea" w:hAnsi="Arial" w:cs="Arial"/>
          <w:color w:val="008000"/>
          <w:kern w:val="24"/>
          <w:sz w:val="40"/>
          <w:szCs w:val="40"/>
        </w:rPr>
      </w:pPr>
    </w:p>
    <w:p w14:paraId="52AA4C4E" w14:textId="769879B8" w:rsidR="00FF7C3D" w:rsidRPr="00FF7C3D" w:rsidRDefault="00FF7C3D" w:rsidP="00200158">
      <w:pPr>
        <w:pStyle w:val="NormalWeb"/>
        <w:spacing w:before="0" w:beforeAutospacing="0" w:after="0" w:afterAutospacing="0"/>
        <w:jc w:val="center"/>
        <w:textAlignment w:val="baseline"/>
        <w:rPr>
          <w:i/>
          <w:iCs/>
        </w:rPr>
      </w:pPr>
      <w:r>
        <w:rPr>
          <w:rFonts w:ascii="Arial" w:eastAsia="+mn-ea" w:hAnsi="Arial" w:cs="Arial"/>
          <w:i/>
          <w:iCs/>
          <w:color w:val="008000"/>
          <w:kern w:val="24"/>
          <w:sz w:val="40"/>
          <w:szCs w:val="40"/>
        </w:rPr>
        <w:t>Anticiper le changement climatique</w:t>
      </w:r>
    </w:p>
    <w:p w14:paraId="4B06CCAA" w14:textId="5EE66914" w:rsidR="00970D95" w:rsidRDefault="00970D95" w:rsidP="00970D95">
      <w:pPr>
        <w:spacing w:after="0" w:line="240" w:lineRule="auto"/>
        <w:jc w:val="center"/>
      </w:pPr>
    </w:p>
    <w:p w14:paraId="11A45B9C" w14:textId="6E28E550" w:rsidR="00C7103E" w:rsidRPr="00C7103E" w:rsidRDefault="00C7103E" w:rsidP="00C7103E">
      <w:pPr>
        <w:spacing w:before="77" w:after="0" w:line="240" w:lineRule="auto"/>
        <w:jc w:val="center"/>
        <w:rPr>
          <w:rFonts w:ascii="Times New Roman" w:eastAsia="Times New Roman" w:hAnsi="Times New Roman" w:cs="Times New Roman"/>
          <w:sz w:val="24"/>
          <w:szCs w:val="24"/>
          <w:lang w:eastAsia="fr-FR"/>
        </w:rPr>
      </w:pPr>
      <w:r w:rsidRPr="00C7103E">
        <w:rPr>
          <w:rFonts w:ascii="Calibri" w:eastAsia="+mn-ea" w:hAnsi="Calibri" w:cs="+mn-cs"/>
          <w:color w:val="008000"/>
          <w:kern w:val="24"/>
          <w:sz w:val="32"/>
          <w:szCs w:val="32"/>
          <w:lang w:eastAsia="fr-FR"/>
        </w:rPr>
        <w:t>Benjamin LISAN</w:t>
      </w:r>
    </w:p>
    <w:p w14:paraId="0BA98B18" w14:textId="0249C667" w:rsidR="00200158" w:rsidRDefault="00200158" w:rsidP="00970D95">
      <w:pPr>
        <w:spacing w:after="0" w:line="240" w:lineRule="auto"/>
        <w:jc w:val="center"/>
      </w:pPr>
    </w:p>
    <w:p w14:paraId="042CB1B7" w14:textId="6A6AD91F" w:rsidR="00C7103E" w:rsidRDefault="00C7103E" w:rsidP="00C7103E">
      <w:pPr>
        <w:spacing w:after="0"/>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ab/>
      </w:r>
      <w:r w:rsidRPr="00200158">
        <w:rPr>
          <w:noProof/>
        </w:rPr>
        <w:drawing>
          <wp:inline distT="0" distB="0" distL="0" distR="0" wp14:anchorId="431439D0" wp14:editId="79FAB90D">
            <wp:extent cx="3600450" cy="2390775"/>
            <wp:effectExtent l="0" t="0" r="0" b="9525"/>
            <wp:docPr id="3078" name="Image 10" descr="Prosopis cinerari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8" name="Image 10" descr="Prosopis cineraria3.jpg"/>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600450" cy="2390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0186556" w14:textId="10B1E22F" w:rsidR="008A61FB" w:rsidRDefault="008A61FB">
      <w:r>
        <w:br w:type="page"/>
      </w:r>
    </w:p>
    <w:p w14:paraId="133EDFBF" w14:textId="77777777" w:rsidR="008A61FB" w:rsidRDefault="008A61FB" w:rsidP="00C7103E">
      <w:pPr>
        <w:spacing w:after="0"/>
        <w:jc w:val="center"/>
      </w:pPr>
    </w:p>
    <w:p w14:paraId="6FFD4E5E" w14:textId="3A70098E" w:rsidR="00494305" w:rsidRDefault="00494305" w:rsidP="00A948B1">
      <w:pPr>
        <w:pStyle w:val="NormalWeb"/>
        <w:tabs>
          <w:tab w:val="left" w:pos="2495"/>
          <w:tab w:val="left" w:pos="9464"/>
        </w:tabs>
        <w:kinsoku w:val="0"/>
        <w:overflowPunct w:val="0"/>
        <w:spacing w:before="0" w:beforeAutospacing="0" w:after="0" w:afterAutospacing="0"/>
        <w:ind w:left="108"/>
        <w:jc w:val="both"/>
        <w:textAlignment w:val="baseline"/>
        <w:rPr>
          <w:rFonts w:ascii="Calibri" w:eastAsiaTheme="minorEastAsia" w:hAnsi="Calibri" w:cs="Calibri"/>
          <w:sz w:val="22"/>
          <w:szCs w:val="22"/>
        </w:rPr>
      </w:pPr>
      <w:r>
        <w:rPr>
          <w:rFonts w:ascii="Calibri" w:eastAsiaTheme="minorEastAsia" w:hAnsi="Calibri" w:cs="Calibri"/>
          <w:sz w:val="22"/>
          <w:szCs w:val="22"/>
        </w:rPr>
        <w:t>Photo de couverture : Allée des baobabs (Madagascar) © Benjamin LISAN.</w:t>
      </w:r>
      <w:r w:rsidR="00D660B9">
        <w:rPr>
          <w:rFonts w:ascii="Calibri" w:eastAsiaTheme="minorEastAsia" w:hAnsi="Calibri" w:cs="Calibri"/>
          <w:sz w:val="22"/>
          <w:szCs w:val="22"/>
        </w:rPr>
        <w:t xml:space="preserve"> Septembre 2008.</w:t>
      </w:r>
    </w:p>
    <w:p w14:paraId="258C05BB" w14:textId="77777777" w:rsidR="00494305" w:rsidRDefault="00494305" w:rsidP="00A948B1">
      <w:pPr>
        <w:pStyle w:val="NormalWeb"/>
        <w:tabs>
          <w:tab w:val="left" w:pos="2495"/>
          <w:tab w:val="left" w:pos="9464"/>
        </w:tabs>
        <w:kinsoku w:val="0"/>
        <w:overflowPunct w:val="0"/>
        <w:spacing w:before="0" w:beforeAutospacing="0" w:after="0" w:afterAutospacing="0"/>
        <w:ind w:left="108"/>
        <w:jc w:val="both"/>
        <w:textAlignment w:val="baseline"/>
        <w:rPr>
          <w:rFonts w:ascii="Calibri" w:eastAsiaTheme="minorEastAsia" w:hAnsi="Calibri" w:cs="Calibri"/>
          <w:sz w:val="22"/>
          <w:szCs w:val="22"/>
        </w:rPr>
      </w:pPr>
    </w:p>
    <w:p w14:paraId="41AA7340" w14:textId="24427B97" w:rsidR="00C7103E" w:rsidRDefault="008A61FB" w:rsidP="00A948B1">
      <w:pPr>
        <w:pStyle w:val="NormalWeb"/>
        <w:tabs>
          <w:tab w:val="left" w:pos="2495"/>
          <w:tab w:val="left" w:pos="9464"/>
        </w:tabs>
        <w:kinsoku w:val="0"/>
        <w:overflowPunct w:val="0"/>
        <w:spacing w:before="0" w:beforeAutospacing="0" w:after="0" w:afterAutospacing="0"/>
        <w:ind w:left="108"/>
        <w:jc w:val="both"/>
        <w:textAlignment w:val="baseline"/>
        <w:rPr>
          <w:rStyle w:val="Lienhypertexte"/>
          <w:rFonts w:ascii="Calibri" w:eastAsiaTheme="minorEastAsia" w:hAnsi="Calibri" w:cs="Calibri"/>
          <w:sz w:val="22"/>
          <w:szCs w:val="22"/>
        </w:rPr>
      </w:pPr>
      <w:r>
        <w:rPr>
          <w:rFonts w:ascii="Calibri" w:eastAsiaTheme="minorEastAsia" w:hAnsi="Calibri" w:cs="Calibri"/>
          <w:sz w:val="22"/>
          <w:szCs w:val="22"/>
        </w:rPr>
        <w:t>Photo de couverture</w:t>
      </w:r>
      <w:r w:rsidR="00494305">
        <w:rPr>
          <w:rFonts w:ascii="Calibri" w:eastAsiaTheme="minorEastAsia" w:hAnsi="Calibri" w:cs="Calibri"/>
          <w:sz w:val="22"/>
          <w:szCs w:val="22"/>
        </w:rPr>
        <w:t xml:space="preserve"> intérieure</w:t>
      </w:r>
      <w:r>
        <w:rPr>
          <w:rFonts w:ascii="Calibri" w:eastAsiaTheme="minorEastAsia" w:hAnsi="Calibri" w:cs="Calibri"/>
          <w:sz w:val="22"/>
          <w:szCs w:val="22"/>
        </w:rPr>
        <w:t> :</w:t>
      </w:r>
      <w:r w:rsidR="00A948B1">
        <w:rPr>
          <w:rFonts w:ascii="Calibri" w:eastAsiaTheme="minorEastAsia" w:hAnsi="Calibri" w:cs="Calibri"/>
          <w:sz w:val="22"/>
          <w:szCs w:val="22"/>
        </w:rPr>
        <w:t xml:space="preserve"> </w:t>
      </w:r>
      <w:r w:rsidR="00C7103E" w:rsidRPr="00A948B1">
        <w:rPr>
          <w:rFonts w:ascii="Calibri" w:eastAsiaTheme="minorEastAsia" w:hAnsi="Calibri" w:cs="Calibri"/>
          <w:sz w:val="22"/>
          <w:szCs w:val="22"/>
        </w:rPr>
        <w:t xml:space="preserve">Bosquet d'arbres </w:t>
      </w:r>
      <w:r w:rsidR="00C7103E" w:rsidRPr="00A948B1">
        <w:rPr>
          <w:rFonts w:ascii="Calibri" w:eastAsiaTheme="minorEastAsia" w:hAnsi="Calibri" w:cs="Calibri"/>
          <w:b/>
          <w:bCs/>
          <w:sz w:val="22"/>
          <w:szCs w:val="22"/>
        </w:rPr>
        <w:t>Ghaf</w:t>
      </w:r>
      <w:r w:rsidR="00C7103E" w:rsidRPr="00A948B1">
        <w:rPr>
          <w:rFonts w:ascii="Calibri" w:eastAsiaTheme="minorEastAsia" w:hAnsi="Calibri" w:cs="Calibri"/>
          <w:sz w:val="22"/>
          <w:szCs w:val="22"/>
        </w:rPr>
        <w:t xml:space="preserve"> (</w:t>
      </w:r>
      <w:r w:rsidR="00C7103E" w:rsidRPr="00A948B1">
        <w:rPr>
          <w:rFonts w:ascii="Calibri" w:eastAsiaTheme="minorEastAsia" w:hAnsi="Calibri" w:cs="Calibri"/>
          <w:i/>
          <w:iCs/>
          <w:sz w:val="22"/>
          <w:szCs w:val="22"/>
        </w:rPr>
        <w:t>Prosopis Cineraria</w:t>
      </w:r>
      <w:r w:rsidR="00C7103E" w:rsidRPr="00A948B1">
        <w:rPr>
          <w:rFonts w:ascii="Calibri" w:eastAsiaTheme="minorEastAsia" w:hAnsi="Calibri" w:cs="Calibri"/>
          <w:sz w:val="22"/>
          <w:szCs w:val="22"/>
        </w:rPr>
        <w:t xml:space="preserve">), une vue typique dans les zones forestières </w:t>
      </w:r>
      <w:r w:rsidR="00C7103E" w:rsidRPr="00A948B1">
        <w:rPr>
          <w:rFonts w:ascii="Calibri" w:eastAsiaTheme="minorEastAsia" w:hAnsi="Calibri" w:cs="Calibri"/>
          <w:b/>
          <w:bCs/>
          <w:sz w:val="22"/>
          <w:szCs w:val="22"/>
        </w:rPr>
        <w:t>d'Oman</w:t>
      </w:r>
      <w:r w:rsidR="00C7103E" w:rsidRPr="00A948B1">
        <w:rPr>
          <w:rFonts w:ascii="Calibri" w:eastAsiaTheme="minorEastAsia" w:hAnsi="Calibri" w:cs="Calibri"/>
          <w:sz w:val="22"/>
          <w:szCs w:val="22"/>
        </w:rPr>
        <w:t xml:space="preserve">. Chaque groupe d'arbres correspond probablement un système de racines anciennes, capturant du sable et construisant des collines coniques. Source : </w:t>
      </w:r>
      <w:hyperlink r:id="rId9" w:history="1">
        <w:r w:rsidR="00C7103E" w:rsidRPr="00CA1CCB">
          <w:rPr>
            <w:rStyle w:val="Lienhypertexte"/>
            <w:rFonts w:ascii="Calibri" w:eastAsiaTheme="minorEastAsia" w:hAnsi="Calibri" w:cs="Calibri"/>
            <w:sz w:val="22"/>
            <w:szCs w:val="22"/>
          </w:rPr>
          <w:t>http://home.kpn.nl/lilian_schreurs/oman/Woodlands.htm</w:t>
        </w:r>
      </w:hyperlink>
    </w:p>
    <w:p w14:paraId="7FF05635" w14:textId="42282AD0" w:rsidR="00412DA3" w:rsidRDefault="00412DA3" w:rsidP="00A948B1">
      <w:pPr>
        <w:pStyle w:val="NormalWeb"/>
        <w:tabs>
          <w:tab w:val="left" w:pos="2495"/>
          <w:tab w:val="left" w:pos="9464"/>
        </w:tabs>
        <w:kinsoku w:val="0"/>
        <w:overflowPunct w:val="0"/>
        <w:spacing w:before="0" w:beforeAutospacing="0" w:after="0" w:afterAutospacing="0"/>
        <w:ind w:left="108"/>
        <w:jc w:val="both"/>
        <w:textAlignment w:val="baseline"/>
        <w:rPr>
          <w:rStyle w:val="Lienhypertexte"/>
          <w:rFonts w:ascii="Calibri" w:eastAsiaTheme="minorEastAsia" w:hAnsi="Calibri" w:cs="Calibri"/>
          <w:sz w:val="22"/>
          <w:szCs w:val="22"/>
        </w:rPr>
      </w:pPr>
    </w:p>
    <w:p w14:paraId="70661778" w14:textId="77777777" w:rsidR="00412DA3" w:rsidRDefault="00412DA3" w:rsidP="00412DA3">
      <w:pPr>
        <w:spacing w:after="0" w:line="240" w:lineRule="auto"/>
        <w:jc w:val="center"/>
      </w:pPr>
      <w:r>
        <w:rPr>
          <w:noProof/>
        </w:rPr>
        <w:drawing>
          <wp:inline distT="0" distB="0" distL="0" distR="0" wp14:anchorId="539B86D8" wp14:editId="1090E231">
            <wp:extent cx="4191000" cy="5229225"/>
            <wp:effectExtent l="0" t="0" r="0" b="9525"/>
            <wp:docPr id="44038" name="Image 44038" descr="Une image contenant natu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38" name="Image 44038" descr="Une image contenant nature&#10;&#10;Description générée automatiquement"/>
                    <pic:cNvPicPr/>
                  </pic:nvPicPr>
                  <pic:blipFill>
                    <a:blip r:embed="rId10">
                      <a:extLst>
                        <a:ext uri="{28A0092B-C50C-407E-A947-70E740481C1C}">
                          <a14:useLocalDpi xmlns:a14="http://schemas.microsoft.com/office/drawing/2010/main" val="0"/>
                        </a:ext>
                      </a:extLst>
                    </a:blip>
                    <a:stretch>
                      <a:fillRect/>
                    </a:stretch>
                  </pic:blipFill>
                  <pic:spPr>
                    <a:xfrm>
                      <a:off x="0" y="0"/>
                      <a:ext cx="4191000" cy="5229225"/>
                    </a:xfrm>
                    <a:prstGeom prst="rect">
                      <a:avLst/>
                    </a:prstGeom>
                  </pic:spPr>
                </pic:pic>
              </a:graphicData>
            </a:graphic>
          </wp:inline>
        </w:drawing>
      </w:r>
    </w:p>
    <w:p w14:paraId="179F415F" w14:textId="59BE5629" w:rsidR="00412DA3" w:rsidRDefault="00412DA3" w:rsidP="00412DA3">
      <w:pPr>
        <w:spacing w:after="0" w:line="240" w:lineRule="auto"/>
        <w:jc w:val="center"/>
      </w:pPr>
      <w:r w:rsidRPr="00AE4A57">
        <w:t xml:space="preserve">Huacachina est un village du sud-ouest du Pérou, construit autour d'une petite oasis entourée de dunes de sable. Elle a une population permanente d'environ 100 habitants. </w:t>
      </w:r>
      <w:r w:rsidRPr="006B419A">
        <w:t xml:space="preserve">@Rainmaker1973, </w:t>
      </w:r>
      <w:hyperlink r:id="rId11" w:history="1">
        <w:r w:rsidRPr="006B419A">
          <w:rPr>
            <w:rStyle w:val="Lienhypertexte"/>
          </w:rPr>
          <w:t>https://twitter.com/Limportant_fr/status/1405998534512500739</w:t>
        </w:r>
      </w:hyperlink>
      <w:r w:rsidRPr="006B419A">
        <w:t xml:space="preserve">  Cf. </w:t>
      </w:r>
      <w:hyperlink r:id="rId12" w:history="1">
        <w:r w:rsidRPr="006B419A">
          <w:rPr>
            <w:rStyle w:val="Lienhypertexte"/>
          </w:rPr>
          <w:t>https://en.wikipedia.org/wiki/Huacachina</w:t>
        </w:r>
      </w:hyperlink>
      <w:r w:rsidRPr="006B419A">
        <w:t xml:space="preserve"> </w:t>
      </w:r>
    </w:p>
    <w:p w14:paraId="75FC5B9A" w14:textId="6D5314AF" w:rsidR="00937F71" w:rsidRDefault="00937F71">
      <w:r>
        <w:br w:type="page"/>
      </w:r>
    </w:p>
    <w:p w14:paraId="274D7397" w14:textId="08100D1C" w:rsidR="00937F71" w:rsidRDefault="00937F71" w:rsidP="00937F71">
      <w:pPr>
        <w:spacing w:after="0" w:line="240" w:lineRule="auto"/>
      </w:pPr>
      <w:r>
        <w:lastRenderedPageBreak/>
        <w:t>Remerciements :</w:t>
      </w:r>
    </w:p>
    <w:p w14:paraId="6AD3A9E2" w14:textId="55294494" w:rsidR="00937F71" w:rsidRDefault="00937F71" w:rsidP="00937F71">
      <w:pPr>
        <w:spacing w:after="0" w:line="240" w:lineRule="auto"/>
      </w:pPr>
    </w:p>
    <w:p w14:paraId="2B38B6D0" w14:textId="25277801" w:rsidR="00937F71" w:rsidRDefault="00937F71" w:rsidP="00937F71">
      <w:pPr>
        <w:spacing w:after="0" w:line="240" w:lineRule="auto"/>
      </w:pPr>
      <w:r>
        <w:t>Claire Marie Madeleine Péhi-Verny</w:t>
      </w:r>
      <w:r w:rsidR="00E851CC">
        <w:t>, pour sa contribution sur la gestion des pâturages et du compost</w:t>
      </w:r>
      <w:r>
        <w:t>.</w:t>
      </w:r>
    </w:p>
    <w:p w14:paraId="76338817" w14:textId="7A6178C6" w:rsidR="00BB4F1F" w:rsidRDefault="00BB4F1F">
      <w:r>
        <w:br w:type="page"/>
      </w:r>
    </w:p>
    <w:p w14:paraId="086339A5" w14:textId="61A73034" w:rsidR="00BB4F1F" w:rsidRDefault="00BB4F1F" w:rsidP="00BB4F1F">
      <w:pPr>
        <w:spacing w:after="0" w:line="240" w:lineRule="auto"/>
        <w:jc w:val="center"/>
      </w:pPr>
      <w:r>
        <w:rPr>
          <w:noProof/>
        </w:rPr>
        <w:lastRenderedPageBreak/>
        <w:drawing>
          <wp:inline distT="0" distB="0" distL="0" distR="0" wp14:anchorId="65F11CBF" wp14:editId="6DE8ADC4">
            <wp:extent cx="5562600" cy="7934325"/>
            <wp:effectExtent l="0" t="0" r="0" b="9525"/>
            <wp:docPr id="32" name="Image 32"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 32" descr="Une image contenant texte&#10;&#10;Description générée automatiquemen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62600" cy="7934325"/>
                    </a:xfrm>
                    <a:prstGeom prst="rect">
                      <a:avLst/>
                    </a:prstGeom>
                    <a:noFill/>
                    <a:ln>
                      <a:noFill/>
                    </a:ln>
                  </pic:spPr>
                </pic:pic>
              </a:graphicData>
            </a:graphic>
          </wp:inline>
        </w:drawing>
      </w:r>
    </w:p>
    <w:p w14:paraId="5DD6AAF8" w14:textId="0F69D299" w:rsidR="00165C10" w:rsidRDefault="00165C10">
      <w:r>
        <w:br w:type="page"/>
      </w:r>
    </w:p>
    <w:p w14:paraId="2BCF500D" w14:textId="77777777" w:rsidR="00165C10" w:rsidRPr="00B173BE" w:rsidRDefault="00165C10" w:rsidP="00165C10">
      <w:pPr>
        <w:spacing w:after="0" w:line="240" w:lineRule="auto"/>
        <w:rPr>
          <w:b/>
        </w:rPr>
      </w:pPr>
      <w:bookmarkStart w:id="0" w:name="_Hlk527717991"/>
      <w:r w:rsidRPr="00B173BE">
        <w:rPr>
          <w:b/>
        </w:rPr>
        <w:lastRenderedPageBreak/>
        <w:t xml:space="preserve">Présentation de la </w:t>
      </w:r>
      <w:r>
        <w:rPr>
          <w:b/>
        </w:rPr>
        <w:t>« </w:t>
      </w:r>
      <w:r w:rsidRPr="00B173BE">
        <w:rPr>
          <w:b/>
        </w:rPr>
        <w:t xml:space="preserve">Collection </w:t>
      </w:r>
      <w:r>
        <w:rPr>
          <w:b/>
        </w:rPr>
        <w:t>t</w:t>
      </w:r>
      <w:r w:rsidRPr="00B173BE">
        <w:rPr>
          <w:b/>
        </w:rPr>
        <w:t>erre préservée</w:t>
      </w:r>
      <w:r>
        <w:rPr>
          <w:b/>
        </w:rPr>
        <w:t> »</w:t>
      </w:r>
    </w:p>
    <w:p w14:paraId="4B3EC389" w14:textId="77777777" w:rsidR="00165C10" w:rsidRDefault="00165C10" w:rsidP="00165C10">
      <w:pPr>
        <w:spacing w:after="0" w:line="240" w:lineRule="auto"/>
      </w:pPr>
    </w:p>
    <w:p w14:paraId="41E03D2E" w14:textId="77777777" w:rsidR="00165C10" w:rsidRDefault="00165C10" w:rsidP="00165C10">
      <w:pPr>
        <w:spacing w:after="0" w:line="240" w:lineRule="auto"/>
        <w:jc w:val="both"/>
      </w:pPr>
      <w:r>
        <w:t>Les livres de cette collection ont pour but de contribuer à la préservation de notre planète, en proposant et favorisant des solutions écologiques, respectant la biodiversité _ via l’utilisation de terres et sols vivants, de super-sols, du lombricompostage, des engrais verts, des culture associées, de la lutte biologique, de l’agriculture biologique, de la permaculture, de la synécoculture, de semences paysannes reproductibles, des énergies renouvelables (agrocarburants « verts », …) … _, solutions alternatives à celles « conventionnelles » _ telles que l’utilisation classique d’engrais et pesticides de synthèse.</w:t>
      </w:r>
    </w:p>
    <w:p w14:paraId="5297E274" w14:textId="77777777" w:rsidR="00165C10" w:rsidRDefault="00165C10" w:rsidP="00165C10">
      <w:pPr>
        <w:spacing w:after="0" w:line="240" w:lineRule="auto"/>
        <w:jc w:val="both"/>
      </w:pPr>
    </w:p>
    <w:p w14:paraId="27D766B1" w14:textId="77777777" w:rsidR="00165C10" w:rsidRDefault="00165C10" w:rsidP="00165C10">
      <w:pPr>
        <w:spacing w:after="0" w:line="240" w:lineRule="auto"/>
        <w:jc w:val="both"/>
      </w:pPr>
      <w:r>
        <w:t>Dans cette collection, nous proposons les ouvrages suivants :</w:t>
      </w:r>
    </w:p>
    <w:p w14:paraId="0D8B5305" w14:textId="77777777" w:rsidR="00165C10" w:rsidRDefault="00165C10" w:rsidP="00165C10">
      <w:pPr>
        <w:spacing w:after="0" w:line="240" w:lineRule="auto"/>
        <w:jc w:val="both"/>
      </w:pPr>
    </w:p>
    <w:p w14:paraId="0923141F" w14:textId="45DE2FFC" w:rsidR="00BC1BDE" w:rsidRPr="00BC1BDE" w:rsidRDefault="00163E3E" w:rsidP="00322369">
      <w:pPr>
        <w:pStyle w:val="Paragraphedeliste"/>
        <w:numPr>
          <w:ilvl w:val="0"/>
          <w:numId w:val="108"/>
        </w:numPr>
        <w:spacing w:after="0" w:line="240" w:lineRule="auto"/>
        <w:jc w:val="both"/>
      </w:pPr>
      <w:r w:rsidRPr="007326A3">
        <w:rPr>
          <w:rFonts w:ascii="Calibri" w:hAnsi="Calibri" w:cs="Calibri"/>
          <w:i/>
          <w:iCs/>
        </w:rPr>
        <w:t>Haies épineuses défensives : Climat tempéré et climat tropical</w:t>
      </w:r>
      <w:r>
        <w:rPr>
          <w:rFonts w:ascii="Calibri" w:hAnsi="Calibri" w:cs="Calibri"/>
          <w:i/>
          <w:iCs/>
        </w:rPr>
        <w:t xml:space="preserve">, </w:t>
      </w:r>
      <w:r w:rsidRPr="00A05FBC">
        <w:t>Benjamin LISAN, Amazon éditions</w:t>
      </w:r>
      <w:r>
        <w:t>, 147 pages</w:t>
      </w:r>
      <w:r w:rsidRPr="00A05FBC">
        <w:t>.</w:t>
      </w:r>
    </w:p>
    <w:p w14:paraId="59E8DEB8" w14:textId="19973042" w:rsidR="00165C10" w:rsidRPr="00A05FBC" w:rsidRDefault="00165C10" w:rsidP="00322369">
      <w:pPr>
        <w:pStyle w:val="Paragraphedeliste"/>
        <w:numPr>
          <w:ilvl w:val="0"/>
          <w:numId w:val="108"/>
        </w:numPr>
        <w:spacing w:after="0" w:line="240" w:lineRule="auto"/>
        <w:jc w:val="both"/>
      </w:pPr>
      <w:r w:rsidRPr="00BC1BDE">
        <w:rPr>
          <w:i/>
          <w:iCs/>
        </w:rPr>
        <w:t xml:space="preserve">Planter en </w:t>
      </w:r>
      <w:r w:rsidR="00BC1BDE">
        <w:rPr>
          <w:i/>
          <w:iCs/>
        </w:rPr>
        <w:t>milieux</w:t>
      </w:r>
      <w:r w:rsidRPr="00BC1BDE">
        <w:rPr>
          <w:i/>
          <w:iCs/>
        </w:rPr>
        <w:t xml:space="preserve"> arides et salines</w:t>
      </w:r>
      <w:r w:rsidRPr="00A05FBC">
        <w:t>, Benjamin LISAN, Amazon éditions</w:t>
      </w:r>
      <w:r w:rsidR="00163E3E">
        <w:t>, environ 400 pages</w:t>
      </w:r>
      <w:r w:rsidRPr="00A05FBC">
        <w:t>.</w:t>
      </w:r>
    </w:p>
    <w:p w14:paraId="42313E9B" w14:textId="77777777" w:rsidR="00165C10" w:rsidRPr="00A05FBC" w:rsidRDefault="00165C10" w:rsidP="00322369">
      <w:pPr>
        <w:pStyle w:val="Paragraphedeliste"/>
        <w:numPr>
          <w:ilvl w:val="0"/>
          <w:numId w:val="108"/>
        </w:numPr>
        <w:spacing w:after="0" w:line="240" w:lineRule="auto"/>
        <w:jc w:val="both"/>
      </w:pPr>
      <w:r w:rsidRPr="00BC1BDE">
        <w:rPr>
          <w:i/>
          <w:iCs/>
        </w:rPr>
        <w:t>Petit traité de permaculture</w:t>
      </w:r>
      <w:r w:rsidRPr="00A05FBC">
        <w:t>, Benjamin LISAN, Amazon éditions (</w:t>
      </w:r>
      <w:r>
        <w:t xml:space="preserve">publication </w:t>
      </w:r>
      <w:r w:rsidRPr="00A05FBC">
        <w:t>à venir).</w:t>
      </w:r>
    </w:p>
    <w:p w14:paraId="55B518E7" w14:textId="77777777" w:rsidR="00165C10" w:rsidRDefault="00165C10" w:rsidP="00165C10">
      <w:pPr>
        <w:spacing w:after="0" w:line="240" w:lineRule="auto"/>
        <w:jc w:val="both"/>
      </w:pPr>
    </w:p>
    <w:p w14:paraId="1F892A84" w14:textId="77777777" w:rsidR="00165C10" w:rsidRDefault="00165C10" w:rsidP="00165C10">
      <w:pPr>
        <w:spacing w:after="0" w:line="240" w:lineRule="auto"/>
        <w:jc w:val="both"/>
      </w:pPr>
      <w:r>
        <w:t>Bonne lecture, en espérant que ces ouvrages vous seront très utiles.</w:t>
      </w:r>
    </w:p>
    <w:p w14:paraId="254A51DA" w14:textId="77777777" w:rsidR="00165C10" w:rsidRDefault="00165C10" w:rsidP="00165C10">
      <w:pPr>
        <w:spacing w:after="0" w:line="240" w:lineRule="auto"/>
        <w:jc w:val="both"/>
      </w:pPr>
    </w:p>
    <w:p w14:paraId="2F32CC46" w14:textId="77777777" w:rsidR="00165C10" w:rsidRPr="00B824B6" w:rsidRDefault="00165C10" w:rsidP="00165C10">
      <w:pPr>
        <w:spacing w:after="0" w:line="240" w:lineRule="auto"/>
        <w:jc w:val="both"/>
        <w:rPr>
          <w:b/>
        </w:rPr>
      </w:pPr>
      <w:r w:rsidRPr="00B824B6">
        <w:rPr>
          <w:b/>
        </w:rPr>
        <w:t>Autre utilité de cette collection</w:t>
      </w:r>
    </w:p>
    <w:p w14:paraId="4AD3561F" w14:textId="77777777" w:rsidR="00165C10" w:rsidRDefault="00165C10" w:rsidP="00165C10">
      <w:pPr>
        <w:spacing w:after="0" w:line="240" w:lineRule="auto"/>
        <w:jc w:val="both"/>
      </w:pPr>
    </w:p>
    <w:p w14:paraId="289BC20C" w14:textId="77777777" w:rsidR="00165C10" w:rsidRDefault="00165C10" w:rsidP="00165C10">
      <w:pPr>
        <w:spacing w:after="0" w:line="240" w:lineRule="auto"/>
        <w:jc w:val="both"/>
        <w:rPr>
          <w:i/>
        </w:rPr>
      </w:pPr>
      <w:r w:rsidRPr="00A05FBC">
        <w:rPr>
          <w:i/>
        </w:rPr>
        <w:t xml:space="preserve">Une partie des royalties </w:t>
      </w:r>
      <w:r>
        <w:rPr>
          <w:i/>
        </w:rPr>
        <w:t>obtenues</w:t>
      </w:r>
      <w:r w:rsidRPr="00A05FBC">
        <w:rPr>
          <w:i/>
        </w:rPr>
        <w:t xml:space="preserve"> par la vente de ces livres financeront</w:t>
      </w:r>
      <w:r>
        <w:rPr>
          <w:i/>
        </w:rPr>
        <w:t> :</w:t>
      </w:r>
    </w:p>
    <w:p w14:paraId="7A701794" w14:textId="77777777" w:rsidR="00165C10" w:rsidRDefault="00165C10" w:rsidP="00165C10">
      <w:pPr>
        <w:spacing w:after="0" w:line="240" w:lineRule="auto"/>
        <w:jc w:val="both"/>
        <w:rPr>
          <w:i/>
        </w:rPr>
      </w:pPr>
    </w:p>
    <w:p w14:paraId="39458513" w14:textId="1D79790C" w:rsidR="00165C10" w:rsidRDefault="00165C10" w:rsidP="00322369">
      <w:pPr>
        <w:pStyle w:val="Paragraphedeliste"/>
        <w:numPr>
          <w:ilvl w:val="0"/>
          <w:numId w:val="109"/>
        </w:numPr>
        <w:spacing w:after="0" w:line="240" w:lineRule="auto"/>
        <w:jc w:val="both"/>
        <w:rPr>
          <w:i/>
        </w:rPr>
      </w:pPr>
      <w:r>
        <w:rPr>
          <w:i/>
        </w:rPr>
        <w:t>D</w:t>
      </w:r>
      <w:r w:rsidRPr="00324F26">
        <w:rPr>
          <w:i/>
        </w:rPr>
        <w:t>es projets agroécologiques à Madagascar (</w:t>
      </w:r>
      <w:r>
        <w:rPr>
          <w:i/>
        </w:rPr>
        <w:t>comme l’</w:t>
      </w:r>
      <w:r w:rsidRPr="00324F26">
        <w:rPr>
          <w:i/>
        </w:rPr>
        <w:t>association L’homme et l’</w:t>
      </w:r>
      <w:r>
        <w:rPr>
          <w:i/>
        </w:rPr>
        <w:t>E</w:t>
      </w:r>
      <w:r w:rsidRPr="00324F26">
        <w:rPr>
          <w:i/>
        </w:rPr>
        <w:t>nvironnement) et au Burkina Fasso (</w:t>
      </w:r>
      <w:r>
        <w:rPr>
          <w:i/>
        </w:rPr>
        <w:t>l’</w:t>
      </w:r>
      <w:r w:rsidRPr="00324F26">
        <w:rPr>
          <w:i/>
        </w:rPr>
        <w:t xml:space="preserve">association </w:t>
      </w:r>
      <w:r w:rsidR="001552AD">
        <w:rPr>
          <w:i/>
        </w:rPr>
        <w:t xml:space="preserve">SOS Sahel. </w:t>
      </w:r>
      <w:hyperlink r:id="rId14" w:history="1">
        <w:r w:rsidR="001552AD" w:rsidRPr="008244FA">
          <w:rPr>
            <w:rStyle w:val="Lienhypertexte"/>
            <w:i/>
          </w:rPr>
          <w:t>https://sossahel.org/</w:t>
        </w:r>
      </w:hyperlink>
      <w:r w:rsidRPr="00324F26">
        <w:rPr>
          <w:i/>
        </w:rPr>
        <w:t>).</w:t>
      </w:r>
      <w:r w:rsidR="001552AD">
        <w:rPr>
          <w:i/>
        </w:rPr>
        <w:t xml:space="preserve"> </w:t>
      </w:r>
    </w:p>
    <w:p w14:paraId="3B0EEA91" w14:textId="77777777" w:rsidR="00165C10" w:rsidRDefault="00165C10" w:rsidP="00322369">
      <w:pPr>
        <w:pStyle w:val="Paragraphedeliste"/>
        <w:numPr>
          <w:ilvl w:val="0"/>
          <w:numId w:val="109"/>
        </w:numPr>
        <w:spacing w:after="0" w:line="240" w:lineRule="auto"/>
        <w:jc w:val="both"/>
        <w:rPr>
          <w:i/>
        </w:rPr>
      </w:pPr>
      <w:r w:rsidRPr="006D37AC">
        <w:rPr>
          <w:i/>
        </w:rPr>
        <w:t>L’abonnement à OVH et l’amélioration du site et de la base de téléchargement de documents agroécologiques et de sensibilisation environnementale, destiné au développement durable des pays en voie de développement, que l’auteur a créé et développé</w:t>
      </w:r>
      <w:r>
        <w:rPr>
          <w:i/>
        </w:rPr>
        <w:t>, depuis 2010</w:t>
      </w:r>
      <w:r w:rsidRPr="006D37AC">
        <w:rPr>
          <w:i/>
        </w:rPr>
        <w:t xml:space="preserve"> (</w:t>
      </w:r>
      <w:r>
        <w:rPr>
          <w:i/>
        </w:rPr>
        <w:t xml:space="preserve">soit </w:t>
      </w:r>
      <w:r w:rsidRPr="006D37AC">
        <w:rPr>
          <w:i/>
        </w:rPr>
        <w:t xml:space="preserve">39.000 documents, classés selon 1600 thèmes différents. Taille de cette base 74 Go) : </w:t>
      </w:r>
      <w:hyperlink r:id="rId15" w:history="1">
        <w:r w:rsidRPr="006D37AC">
          <w:rPr>
            <w:rStyle w:val="Lienhypertexte"/>
            <w:i/>
          </w:rPr>
          <w:t>http://doc-developpement-durable.org/</w:t>
        </w:r>
      </w:hyperlink>
      <w:r w:rsidRPr="006D37AC">
        <w:rPr>
          <w:i/>
        </w:rPr>
        <w:t xml:space="preserve"> &amp; </w:t>
      </w:r>
      <w:hyperlink r:id="rId16" w:history="1">
        <w:r w:rsidRPr="003D5C61">
          <w:rPr>
            <w:rStyle w:val="Lienhypertexte"/>
            <w:i/>
          </w:rPr>
          <w:t>http://doc-developpement-durable.org/file</w:t>
        </w:r>
      </w:hyperlink>
      <w:r>
        <w:rPr>
          <w:i/>
        </w:rPr>
        <w:t xml:space="preserve"> </w:t>
      </w:r>
    </w:p>
    <w:p w14:paraId="46498D26" w14:textId="77777777" w:rsidR="00165C10" w:rsidRPr="006D37AC" w:rsidRDefault="00165C10" w:rsidP="00165C10">
      <w:pPr>
        <w:spacing w:after="0" w:line="240" w:lineRule="auto"/>
        <w:jc w:val="both"/>
        <w:rPr>
          <w:i/>
        </w:rPr>
      </w:pPr>
    </w:p>
    <w:p w14:paraId="0EB8C7CB" w14:textId="77777777" w:rsidR="00165C10" w:rsidRDefault="00165C10" w:rsidP="00165C10">
      <w:pPr>
        <w:spacing w:after="0" w:line="240" w:lineRule="auto"/>
        <w:jc w:val="both"/>
        <w:rPr>
          <w:i/>
        </w:rPr>
      </w:pPr>
      <w:r>
        <w:rPr>
          <w:i/>
        </w:rPr>
        <w:t xml:space="preserve">Merci pour votre éventuelle contribution. </w:t>
      </w:r>
    </w:p>
    <w:p w14:paraId="61D57A2E" w14:textId="77777777" w:rsidR="00165C10" w:rsidRDefault="00165C10" w:rsidP="00165C10">
      <w:pPr>
        <w:spacing w:after="0" w:line="240" w:lineRule="auto"/>
        <w:jc w:val="both"/>
        <w:rPr>
          <w:i/>
        </w:rPr>
      </w:pPr>
    </w:p>
    <w:p w14:paraId="55BD22D5" w14:textId="77777777" w:rsidR="00165C10" w:rsidRPr="00A05FBC" w:rsidRDefault="00165C10" w:rsidP="00165C10">
      <w:pPr>
        <w:spacing w:after="0" w:line="240" w:lineRule="auto"/>
        <w:jc w:val="both"/>
        <w:rPr>
          <w:i/>
        </w:rPr>
      </w:pPr>
      <w:r w:rsidRPr="00165C10">
        <w:rPr>
          <w:i/>
          <w:u w:val="single"/>
        </w:rPr>
        <w:t>Note</w:t>
      </w:r>
      <w:r>
        <w:rPr>
          <w:i/>
        </w:rPr>
        <w:t> : Consultez aussi les renseignements contenus dans la dernière page de cet ouvrage.</w:t>
      </w:r>
    </w:p>
    <w:bookmarkEnd w:id="0"/>
    <w:p w14:paraId="69C0FDA3" w14:textId="77777777" w:rsidR="00165C10" w:rsidRPr="006B419A" w:rsidRDefault="00165C10" w:rsidP="00937F71">
      <w:pPr>
        <w:spacing w:after="0" w:line="240" w:lineRule="auto"/>
      </w:pPr>
    </w:p>
    <w:p w14:paraId="19FF40CF" w14:textId="77777777" w:rsidR="00412DA3" w:rsidRPr="00CA1CCB" w:rsidRDefault="00412DA3" w:rsidP="00A948B1">
      <w:pPr>
        <w:pStyle w:val="NormalWeb"/>
        <w:tabs>
          <w:tab w:val="left" w:pos="2495"/>
          <w:tab w:val="left" w:pos="9464"/>
        </w:tabs>
        <w:kinsoku w:val="0"/>
        <w:overflowPunct w:val="0"/>
        <w:spacing w:before="0" w:beforeAutospacing="0" w:after="0" w:afterAutospacing="0"/>
        <w:ind w:left="108"/>
        <w:jc w:val="both"/>
        <w:textAlignment w:val="baseline"/>
        <w:rPr>
          <w:rFonts w:ascii="Calibri" w:hAnsi="Calibri" w:cs="Calibri"/>
          <w:sz w:val="22"/>
          <w:szCs w:val="22"/>
        </w:rPr>
      </w:pPr>
    </w:p>
    <w:p w14:paraId="1DA144E6" w14:textId="6CED1A67" w:rsidR="00E169B6" w:rsidRDefault="00E169B6">
      <w:r>
        <w:br w:type="page"/>
      </w:r>
    </w:p>
    <w:p w14:paraId="5F1AE25E" w14:textId="77777777" w:rsidR="00C7103E" w:rsidRDefault="00C7103E" w:rsidP="00C7103E">
      <w:pPr>
        <w:spacing w:after="0" w:line="240" w:lineRule="auto"/>
      </w:pPr>
    </w:p>
    <w:p w14:paraId="47EF9DDD" w14:textId="606FC222" w:rsidR="00790AC2" w:rsidRDefault="00790AC2" w:rsidP="00790AC2">
      <w:pPr>
        <w:pStyle w:val="Titre1"/>
      </w:pPr>
      <w:bookmarkStart w:id="1" w:name="_Toc139181293"/>
      <w:r>
        <w:t>Avant-propos</w:t>
      </w:r>
      <w:bookmarkEnd w:id="1"/>
    </w:p>
    <w:p w14:paraId="51AE8529" w14:textId="3A778A76" w:rsidR="00790AC2" w:rsidRDefault="00790AC2" w:rsidP="00C7103E">
      <w:pPr>
        <w:spacing w:after="0" w:line="240" w:lineRule="auto"/>
      </w:pPr>
    </w:p>
    <w:p w14:paraId="4B1D035D" w14:textId="77777777" w:rsidR="001D406C" w:rsidRDefault="001D406C" w:rsidP="001D406C">
      <w:pPr>
        <w:spacing w:after="0" w:line="240" w:lineRule="auto"/>
        <w:jc w:val="both"/>
      </w:pPr>
      <w:r>
        <w:t xml:space="preserve">Le but de ce livre est d’être une bible, un guide ou une somme a) sur l’adaptation et l’anticipation au changement climatique, à la désertification, aux risques de remontées salines, à l'élévation du niveau des mer, aussi exhaustif que possible, b) sur les plantes utiles de milieux arides et salins, c) les techniques de sauvegarde et de rétention de l’eau, destiné aux agriculteurs et agronomes des pays pauvres, chauds, désertiques ou/et en voie de désertification. </w:t>
      </w:r>
    </w:p>
    <w:p w14:paraId="3316F35B" w14:textId="77777777" w:rsidR="001D406C" w:rsidRDefault="001D406C" w:rsidP="001D406C">
      <w:pPr>
        <w:spacing w:after="0" w:line="240" w:lineRule="auto"/>
        <w:jc w:val="both"/>
      </w:pPr>
      <w:r w:rsidRPr="00BF4F93">
        <w:t xml:space="preserve">Le rôle de cet ouvrage </w:t>
      </w:r>
      <w:r>
        <w:t>devrait être</w:t>
      </w:r>
      <w:r w:rsidRPr="00BF4F93">
        <w:t xml:space="preserve"> important</w:t>
      </w:r>
      <w:r>
        <w:t>, pour les pays et régions concernés par ces problèmes</w:t>
      </w:r>
      <w:r w:rsidRPr="00BF4F93">
        <w:t xml:space="preserve">, </w:t>
      </w:r>
      <w:r>
        <w:t>en</w:t>
      </w:r>
      <w:r w:rsidRPr="00BF4F93">
        <w:t xml:space="preserve"> l'Afrique, en Asie centrale, en Australie, sur la côte ouest de l'Amérique du Sud, au sud-ouest de l'Amérique du Nord ...</w:t>
      </w:r>
    </w:p>
    <w:p w14:paraId="1282CB78" w14:textId="77777777" w:rsidR="001D406C" w:rsidRDefault="001D406C" w:rsidP="001D406C">
      <w:pPr>
        <w:spacing w:after="0" w:line="240" w:lineRule="auto"/>
        <w:jc w:val="both"/>
      </w:pPr>
      <w:r>
        <w:t>Il veut aussi aider à augmenter les revenus des agriculteurs, dans les pays en voie de développement.</w:t>
      </w:r>
    </w:p>
    <w:p w14:paraId="4EAB2944" w14:textId="05AC0923" w:rsidR="00BF0811" w:rsidRDefault="00BF0811" w:rsidP="00BF4F93">
      <w:pPr>
        <w:spacing w:after="0" w:line="240" w:lineRule="auto"/>
        <w:jc w:val="both"/>
      </w:pPr>
      <w:r w:rsidRPr="00BF0811">
        <w:t>Le souhait</w:t>
      </w:r>
      <w:r w:rsidR="00C61786">
        <w:t xml:space="preserve"> final</w:t>
      </w:r>
      <w:r w:rsidRPr="00BF0811">
        <w:t xml:space="preserve"> de l'auteur </w:t>
      </w:r>
      <w:r w:rsidR="00C61786">
        <w:t>serait</w:t>
      </w:r>
      <w:r w:rsidRPr="00BF0811">
        <w:t xml:space="preserve"> qu'un programme _ </w:t>
      </w:r>
      <w:r>
        <w:t>géré par</w:t>
      </w:r>
      <w:r w:rsidRPr="00BF0811">
        <w:t xml:space="preserve"> le PNUD, différentes universités et écoles agronomiques, des ONG</w:t>
      </w:r>
      <w:r w:rsidR="00C51CEB">
        <w:rPr>
          <w:rStyle w:val="Appelnotedebasdep"/>
        </w:rPr>
        <w:footnoteReference w:id="1"/>
      </w:r>
      <w:r w:rsidR="00C51CEB">
        <w:t>,</w:t>
      </w:r>
      <w:r w:rsidRPr="00BF0811">
        <w:t xml:space="preserve"> </w:t>
      </w:r>
      <w:r>
        <w:t>œuvrant</w:t>
      </w:r>
      <w:r w:rsidRPr="00BF0811">
        <w:t xml:space="preserve"> dans les zones désertiques et salines _, puisse </w:t>
      </w:r>
      <w:r>
        <w:t xml:space="preserve">être </w:t>
      </w:r>
      <w:r w:rsidRPr="00BF0811">
        <w:t>mis en place</w:t>
      </w:r>
      <w:r>
        <w:t>, afin</w:t>
      </w:r>
      <w:r w:rsidRPr="00BF0811">
        <w:t xml:space="preserve"> distribuer ce livre</w:t>
      </w:r>
      <w:r>
        <w:t xml:space="preserve"> au</w:t>
      </w:r>
      <w:r w:rsidR="00354656">
        <w:t xml:space="preserve"> plus grand nombre</w:t>
      </w:r>
      <w:r>
        <w:t xml:space="preserve"> </w:t>
      </w:r>
      <w:r w:rsidR="00354656">
        <w:t>d’</w:t>
      </w:r>
      <w:r>
        <w:t xml:space="preserve">agriculteurs, </w:t>
      </w:r>
      <w:r w:rsidR="00354656">
        <w:t>d’</w:t>
      </w:r>
      <w:r>
        <w:t xml:space="preserve">agronomes, </w:t>
      </w:r>
      <w:r w:rsidR="00354656">
        <w:t>d’</w:t>
      </w:r>
      <w:r>
        <w:t>universités,</w:t>
      </w:r>
      <w:r w:rsidRPr="00BF0811">
        <w:t xml:space="preserve"> dans les pays pauvres,</w:t>
      </w:r>
      <w:r w:rsidR="00C61786">
        <w:t xml:space="preserve"> qu’il soit</w:t>
      </w:r>
      <w:r>
        <w:t xml:space="preserve"> traduit dans les langues utilisées dans ces pays</w:t>
      </w:r>
      <w:r w:rsidRPr="00BF0811">
        <w:t xml:space="preserve"> </w:t>
      </w:r>
      <w:r>
        <w:t xml:space="preserve">(par exemple, déjà dans un première temps, </w:t>
      </w:r>
      <w:r w:rsidRPr="00BF0811">
        <w:t>en français, anglais, espagnol</w:t>
      </w:r>
      <w:r w:rsidR="00B243F9">
        <w:rPr>
          <w:rStyle w:val="Appelnotedebasdep"/>
        </w:rPr>
        <w:footnoteReference w:id="2"/>
      </w:r>
      <w:r>
        <w:t xml:space="preserve"> …).</w:t>
      </w:r>
    </w:p>
    <w:p w14:paraId="2FCD3B3E" w14:textId="330FC4A8" w:rsidR="00BF0811" w:rsidRDefault="00BF0811" w:rsidP="00BF4F93">
      <w:pPr>
        <w:spacing w:after="0" w:line="240" w:lineRule="auto"/>
        <w:jc w:val="both"/>
      </w:pPr>
      <w:r>
        <w:t xml:space="preserve">Dans des villages pilotes, servant de modèle pédagogiques pour les agriculteurs environnants, des techniciens agronomes « au pieds nus » viendraient y enseigner les techniques de cultures (bio …), en milieux arides et salins, </w:t>
      </w:r>
      <w:r w:rsidR="00354656">
        <w:t>tout en</w:t>
      </w:r>
      <w:r>
        <w:t xml:space="preserve"> </w:t>
      </w:r>
      <w:r w:rsidR="00C51CEB">
        <w:t xml:space="preserve">la </w:t>
      </w:r>
      <w:r>
        <w:t>distribu</w:t>
      </w:r>
      <w:r w:rsidR="00354656">
        <w:t>ant</w:t>
      </w:r>
      <w:r>
        <w:t xml:space="preserve"> ce livre</w:t>
      </w:r>
      <w:r w:rsidR="00C61786">
        <w:t xml:space="preserve"> et des semences utiles,</w:t>
      </w:r>
      <w:r>
        <w:t xml:space="preserve"> aux agriculteurs alphabétisés, </w:t>
      </w:r>
      <w:r w:rsidR="00C51CEB">
        <w:t>à la</w:t>
      </w:r>
      <w:r>
        <w:t xml:space="preserve"> fin de leur formation.</w:t>
      </w:r>
    </w:p>
    <w:p w14:paraId="5B45B637" w14:textId="1C6C5298" w:rsidR="00D974AA" w:rsidRDefault="00D974AA" w:rsidP="00BF4F93">
      <w:pPr>
        <w:spacing w:after="0" w:line="240" w:lineRule="auto"/>
        <w:jc w:val="both"/>
      </w:pPr>
    </w:p>
    <w:p w14:paraId="10CD9830" w14:textId="77777777" w:rsidR="00754E6B" w:rsidRPr="00754E6B" w:rsidRDefault="00D974AA" w:rsidP="00754E6B">
      <w:pPr>
        <w:pStyle w:val="Titre2"/>
      </w:pPr>
      <w:bookmarkStart w:id="2" w:name="_Toc139181294"/>
      <w:r w:rsidRPr="00754E6B">
        <w:t>Parti</w:t>
      </w:r>
      <w:r w:rsidR="00BF230D" w:rsidRPr="00754E6B">
        <w:t>s</w:t>
      </w:r>
      <w:r w:rsidRPr="00754E6B">
        <w:t xml:space="preserve"> pris</w:t>
      </w:r>
      <w:bookmarkEnd w:id="2"/>
    </w:p>
    <w:p w14:paraId="4B5B66D9" w14:textId="77777777" w:rsidR="00754E6B" w:rsidRDefault="00754E6B" w:rsidP="00BF4F93">
      <w:pPr>
        <w:spacing w:after="0" w:line="240" w:lineRule="auto"/>
        <w:jc w:val="both"/>
        <w:rPr>
          <w:rFonts w:ascii="Calibri" w:hAnsi="Calibri" w:cs="Calibri"/>
        </w:rPr>
      </w:pPr>
    </w:p>
    <w:p w14:paraId="02A9594E" w14:textId="3A5433FE" w:rsidR="00D974AA" w:rsidRDefault="00BF230D" w:rsidP="00BF4F93">
      <w:pPr>
        <w:spacing w:after="0" w:line="240" w:lineRule="auto"/>
        <w:jc w:val="both"/>
        <w:rPr>
          <w:rFonts w:ascii="Calibri" w:hAnsi="Calibri" w:cs="Calibri"/>
          <w:color w:val="000000" w:themeColor="text1"/>
        </w:rPr>
      </w:pPr>
      <w:r>
        <w:rPr>
          <w:rFonts w:ascii="Calibri" w:hAnsi="Calibri" w:cs="Calibri"/>
        </w:rPr>
        <w:t>1)</w:t>
      </w:r>
      <w:r w:rsidR="00D974AA" w:rsidRPr="00D974AA">
        <w:rPr>
          <w:rFonts w:ascii="Calibri" w:hAnsi="Calibri" w:cs="Calibri"/>
        </w:rPr>
        <w:t xml:space="preserve"> </w:t>
      </w:r>
      <w:r w:rsidR="00D974AA" w:rsidRPr="00D974AA">
        <w:rPr>
          <w:rFonts w:ascii="Calibri" w:hAnsi="Calibri" w:cs="Calibri"/>
          <w:color w:val="202122"/>
          <w:shd w:val="clear" w:color="auto" w:fill="FFFFFF"/>
        </w:rPr>
        <w:t>En </w:t>
      </w:r>
      <w:hyperlink r:id="rId17" w:tooltip="Taxonomie" w:history="1">
        <w:r w:rsidR="00D974AA" w:rsidRPr="00D974AA">
          <w:rPr>
            <w:rStyle w:val="Lienhypertexte"/>
            <w:rFonts w:ascii="Calibri" w:hAnsi="Calibri" w:cs="Calibri"/>
            <w:color w:val="0645AD"/>
            <w:shd w:val="clear" w:color="auto" w:fill="FFFFFF"/>
          </w:rPr>
          <w:t>taxinomie</w:t>
        </w:r>
      </w:hyperlink>
      <w:r w:rsidR="00D94BED">
        <w:rPr>
          <w:rStyle w:val="Appelnotedebasdep"/>
          <w:rFonts w:ascii="Calibri" w:hAnsi="Calibri" w:cs="Calibri"/>
        </w:rPr>
        <w:footnoteReference w:id="3"/>
      </w:r>
      <w:r w:rsidR="00D974AA" w:rsidRPr="00D974AA">
        <w:rPr>
          <w:rFonts w:ascii="Calibri" w:hAnsi="Calibri" w:cs="Calibri"/>
          <w:color w:val="202122"/>
          <w:shd w:val="clear" w:color="auto" w:fill="FFFFFF"/>
        </w:rPr>
        <w:t> (</w:t>
      </w:r>
      <w:hyperlink r:id="rId18" w:tooltip="Botanique" w:history="1">
        <w:r w:rsidR="00D974AA" w:rsidRPr="00D974AA">
          <w:rPr>
            <w:rStyle w:val="Lienhypertexte"/>
            <w:rFonts w:ascii="Calibri" w:hAnsi="Calibri" w:cs="Calibri"/>
            <w:color w:val="0645AD"/>
            <w:shd w:val="clear" w:color="auto" w:fill="FFFFFF"/>
          </w:rPr>
          <w:t>botanique</w:t>
        </w:r>
      </w:hyperlink>
      <w:r w:rsidR="00D974AA" w:rsidRPr="00D974AA">
        <w:rPr>
          <w:rFonts w:ascii="Calibri" w:hAnsi="Calibri" w:cs="Calibri"/>
          <w:color w:val="202122"/>
          <w:shd w:val="clear" w:color="auto" w:fill="FFFFFF"/>
        </w:rPr>
        <w:t>, </w:t>
      </w:r>
      <w:hyperlink r:id="rId19" w:tooltip="Zoologie" w:history="1">
        <w:r w:rsidR="00D974AA" w:rsidRPr="00D974AA">
          <w:rPr>
            <w:rStyle w:val="Lienhypertexte"/>
            <w:rFonts w:ascii="Calibri" w:hAnsi="Calibri" w:cs="Calibri"/>
            <w:color w:val="0645AD"/>
            <w:shd w:val="clear" w:color="auto" w:fill="FFFFFF"/>
          </w:rPr>
          <w:t>zoologie</w:t>
        </w:r>
      </w:hyperlink>
      <w:r w:rsidR="00D974AA" w:rsidRPr="00D974AA">
        <w:rPr>
          <w:rFonts w:ascii="Calibri" w:hAnsi="Calibri" w:cs="Calibri"/>
          <w:color w:val="202122"/>
          <w:shd w:val="clear" w:color="auto" w:fill="FFFFFF"/>
        </w:rPr>
        <w:t>, </w:t>
      </w:r>
      <w:hyperlink r:id="rId20" w:tooltip="Mycologie" w:history="1">
        <w:r w:rsidR="00D974AA" w:rsidRPr="00D974AA">
          <w:rPr>
            <w:rStyle w:val="Lienhypertexte"/>
            <w:rFonts w:ascii="Calibri" w:hAnsi="Calibri" w:cs="Calibri"/>
            <w:color w:val="0645AD"/>
            <w:shd w:val="clear" w:color="auto" w:fill="FFFFFF"/>
          </w:rPr>
          <w:t>mycologie</w:t>
        </w:r>
      </w:hyperlink>
      <w:r w:rsidR="00D974AA" w:rsidRPr="00D974AA">
        <w:rPr>
          <w:rFonts w:ascii="Calibri" w:hAnsi="Calibri" w:cs="Calibri"/>
          <w:color w:val="202122"/>
          <w:shd w:val="clear" w:color="auto" w:fill="FFFFFF"/>
        </w:rPr>
        <w:t>, </w:t>
      </w:r>
      <w:r w:rsidR="00D974AA" w:rsidRPr="00D974AA">
        <w:rPr>
          <w:rFonts w:ascii="Calibri" w:hAnsi="Calibri" w:cs="Calibri"/>
          <w:color w:val="000000" w:themeColor="text1"/>
        </w:rPr>
        <w:t>etc.</w:t>
      </w:r>
      <w:r w:rsidR="00D974AA" w:rsidRPr="00D974AA">
        <w:rPr>
          <w:rFonts w:ascii="Calibri" w:hAnsi="Calibri" w:cs="Calibri"/>
          <w:color w:val="000000" w:themeColor="text1"/>
          <w:shd w:val="clear" w:color="auto" w:fill="FFFFFF"/>
        </w:rPr>
        <w:t>), le </w:t>
      </w:r>
      <w:r w:rsidR="00D974AA" w:rsidRPr="00D974AA">
        <w:rPr>
          <w:rFonts w:ascii="Calibri" w:hAnsi="Calibri" w:cs="Calibri"/>
          <w:b/>
          <w:bCs/>
          <w:color w:val="000000" w:themeColor="text1"/>
          <w:shd w:val="clear" w:color="auto" w:fill="FFFFFF"/>
        </w:rPr>
        <w:t>nom binominal</w:t>
      </w:r>
      <w:r w:rsidR="00D974AA" w:rsidRPr="00D974AA">
        <w:rPr>
          <w:rFonts w:ascii="Calibri" w:hAnsi="Calibri" w:cs="Calibri"/>
          <w:color w:val="000000" w:themeColor="text1"/>
          <w:shd w:val="clear" w:color="auto" w:fill="FFFFFF"/>
        </w:rPr>
        <w:t>, est une combinaison de deux mots servant à désigner une</w:t>
      </w:r>
      <w:r w:rsidR="00D974AA" w:rsidRPr="00D974AA">
        <w:rPr>
          <w:rFonts w:ascii="Calibri" w:hAnsi="Calibri" w:cs="Calibri"/>
          <w:color w:val="202122"/>
          <w:shd w:val="clear" w:color="auto" w:fill="FFFFFF"/>
        </w:rPr>
        <w:t> </w:t>
      </w:r>
      <w:hyperlink r:id="rId21" w:tooltip="Espèce" w:history="1">
        <w:r w:rsidR="00D974AA" w:rsidRPr="00D974AA">
          <w:rPr>
            <w:rStyle w:val="Lienhypertexte"/>
            <w:rFonts w:ascii="Calibri" w:hAnsi="Calibri" w:cs="Calibri"/>
            <w:color w:val="0645AD"/>
            <w:shd w:val="clear" w:color="auto" w:fill="FFFFFF"/>
          </w:rPr>
          <w:t>espèce</w:t>
        </w:r>
      </w:hyperlink>
      <w:r w:rsidR="00D974AA" w:rsidRPr="00D974AA">
        <w:rPr>
          <w:rFonts w:ascii="Calibri" w:hAnsi="Calibri" w:cs="Calibri"/>
        </w:rPr>
        <w:t xml:space="preserve"> </w:t>
      </w:r>
      <w:r w:rsidR="00D974AA" w:rsidRPr="00D974AA">
        <w:rPr>
          <w:rFonts w:ascii="Calibri" w:hAnsi="Calibri" w:cs="Calibri"/>
          <w:color w:val="000000" w:themeColor="text1"/>
        </w:rPr>
        <w:t>vivante</w:t>
      </w:r>
      <w:r w:rsidR="00D974AA" w:rsidRPr="00D974AA">
        <w:rPr>
          <w:rFonts w:ascii="Calibri" w:hAnsi="Calibri" w:cs="Calibri"/>
          <w:color w:val="000000" w:themeColor="text1"/>
          <w:shd w:val="clear" w:color="auto" w:fill="FFFFFF"/>
        </w:rPr>
        <w:t xml:space="preserve">. Le </w:t>
      </w:r>
      <w:r>
        <w:rPr>
          <w:rFonts w:ascii="Calibri" w:hAnsi="Calibri" w:cs="Calibri"/>
          <w:color w:val="000000" w:themeColor="text1"/>
          <w:shd w:val="clear" w:color="auto" w:fill="FFFFFF"/>
        </w:rPr>
        <w:t>1</w:t>
      </w:r>
      <w:r w:rsidRPr="00BF230D">
        <w:rPr>
          <w:rFonts w:ascii="Calibri" w:hAnsi="Calibri" w:cs="Calibri"/>
          <w:color w:val="000000" w:themeColor="text1"/>
          <w:shd w:val="clear" w:color="auto" w:fill="FFFFFF"/>
          <w:vertAlign w:val="superscript"/>
        </w:rPr>
        <w:t>er</w:t>
      </w:r>
      <w:r>
        <w:rPr>
          <w:rFonts w:ascii="Calibri" w:hAnsi="Calibri" w:cs="Calibri"/>
          <w:color w:val="000000" w:themeColor="text1"/>
          <w:shd w:val="clear" w:color="auto" w:fill="FFFFFF"/>
        </w:rPr>
        <w:t xml:space="preserve"> </w:t>
      </w:r>
      <w:r w:rsidR="00D974AA" w:rsidRPr="00D974AA">
        <w:rPr>
          <w:rFonts w:ascii="Calibri" w:hAnsi="Calibri" w:cs="Calibri"/>
          <w:color w:val="000000" w:themeColor="text1"/>
          <w:shd w:val="clear" w:color="auto" w:fill="FFFFFF"/>
        </w:rPr>
        <w:t>mot, le nom générique, circonscrit un </w:t>
      </w:r>
      <w:hyperlink r:id="rId22" w:tooltip="Genre (biologie)" w:history="1">
        <w:r w:rsidR="00D974AA" w:rsidRPr="00D974AA">
          <w:rPr>
            <w:rStyle w:val="Lienhypertexte"/>
            <w:rFonts w:ascii="Calibri" w:hAnsi="Calibri" w:cs="Calibri"/>
            <w:color w:val="0645AD"/>
            <w:shd w:val="clear" w:color="auto" w:fill="FFFFFF"/>
          </w:rPr>
          <w:t>genre</w:t>
        </w:r>
      </w:hyperlink>
      <w:r w:rsidR="00D974AA">
        <w:rPr>
          <w:rStyle w:val="Appelnotedebasdep"/>
          <w:rFonts w:ascii="Calibri" w:hAnsi="Calibri" w:cs="Calibri"/>
        </w:rPr>
        <w:footnoteReference w:id="4"/>
      </w:r>
      <w:r w:rsidR="00D974AA" w:rsidRPr="00D974AA">
        <w:rPr>
          <w:rFonts w:ascii="Calibri" w:hAnsi="Calibri" w:cs="Calibri"/>
          <w:color w:val="202122"/>
          <w:shd w:val="clear" w:color="auto" w:fill="FFFFFF"/>
        </w:rPr>
        <w:t> </w:t>
      </w:r>
      <w:r w:rsidR="00D974AA" w:rsidRPr="00D974AA">
        <w:rPr>
          <w:rFonts w:ascii="Calibri" w:hAnsi="Calibri" w:cs="Calibri"/>
          <w:color w:val="000000" w:themeColor="text1"/>
          <w:shd w:val="clear" w:color="auto" w:fill="FFFFFF"/>
        </w:rPr>
        <w:t xml:space="preserve">; le second, </w:t>
      </w:r>
      <w:r w:rsidR="00D974AA" w:rsidRPr="00D974AA">
        <w:rPr>
          <w:rFonts w:ascii="Calibri" w:hAnsi="Calibri" w:cs="Calibri"/>
          <w:color w:val="202122"/>
          <w:shd w:val="clear" w:color="auto" w:fill="FFFFFF"/>
        </w:rPr>
        <w:t>l'</w:t>
      </w:r>
      <w:hyperlink r:id="rId23" w:tooltip="Épithète spécifique" w:history="1">
        <w:r w:rsidR="00D974AA" w:rsidRPr="00D974AA">
          <w:rPr>
            <w:rStyle w:val="Lienhypertexte"/>
            <w:rFonts w:ascii="Calibri" w:hAnsi="Calibri" w:cs="Calibri"/>
            <w:color w:val="0645AD"/>
            <w:shd w:val="clear" w:color="auto" w:fill="FFFFFF"/>
          </w:rPr>
          <w:t>épithète spécifique</w:t>
        </w:r>
      </w:hyperlink>
      <w:r w:rsidR="00D974AA" w:rsidRPr="00D974AA">
        <w:rPr>
          <w:rFonts w:ascii="Calibri" w:hAnsi="Calibri" w:cs="Calibri"/>
          <w:color w:val="202122"/>
          <w:shd w:val="clear" w:color="auto" w:fill="FFFFFF"/>
        </w:rPr>
        <w:t xml:space="preserve">, </w:t>
      </w:r>
      <w:r w:rsidR="00D974AA" w:rsidRPr="00D974AA">
        <w:rPr>
          <w:rFonts w:ascii="Calibri" w:hAnsi="Calibri" w:cs="Calibri"/>
          <w:color w:val="000000" w:themeColor="text1"/>
          <w:shd w:val="clear" w:color="auto" w:fill="FFFFFF"/>
        </w:rPr>
        <w:t>indissociable du nom générique, sert à désigner l'espèce </w:t>
      </w:r>
      <w:r w:rsidR="00D974AA" w:rsidRPr="00D974AA">
        <w:rPr>
          <w:rFonts w:ascii="Calibri" w:hAnsi="Calibri" w:cs="Calibri"/>
          <w:i/>
          <w:iCs/>
          <w:color w:val="000000" w:themeColor="text1"/>
          <w:shd w:val="clear" w:color="auto" w:fill="FFFFFF"/>
        </w:rPr>
        <w:t>au sein de ce genre</w:t>
      </w:r>
      <w:r w:rsidR="00D974AA" w:rsidRPr="00D974AA">
        <w:rPr>
          <w:rFonts w:ascii="Calibri" w:hAnsi="Calibri" w:cs="Calibri"/>
          <w:color w:val="000000" w:themeColor="text1"/>
          <w:shd w:val="clear" w:color="auto" w:fill="FFFFFF"/>
        </w:rPr>
        <w:t>.</w:t>
      </w:r>
      <w:r w:rsidR="00D974AA" w:rsidRPr="00D974AA">
        <w:rPr>
          <w:rFonts w:ascii="Calibri" w:hAnsi="Calibri" w:cs="Calibri"/>
          <w:color w:val="000000" w:themeColor="text1"/>
        </w:rPr>
        <w:t xml:space="preserve"> Souvent ce nom est suivi : a) du nom du naturaliste </w:t>
      </w:r>
      <w:r w:rsidR="00D974AA" w:rsidRPr="00D974AA">
        <w:rPr>
          <w:rFonts w:ascii="Calibri" w:hAnsi="Calibri" w:cs="Calibri"/>
        </w:rPr>
        <w:t>qui a nommé et décrit l'espèce</w:t>
      </w:r>
      <w:r w:rsidR="00D974AA">
        <w:rPr>
          <w:rFonts w:ascii="Calibri" w:hAnsi="Calibri" w:cs="Calibri"/>
        </w:rPr>
        <w:t xml:space="preserve">, b) </w:t>
      </w:r>
      <w:r w:rsidR="00D974AA" w:rsidRPr="00D974AA">
        <w:rPr>
          <w:rFonts w:ascii="Calibri" w:hAnsi="Calibri" w:cs="Calibri"/>
        </w:rPr>
        <w:t>l'année de publication de sa description précise ou de sa validation.</w:t>
      </w:r>
      <w:r w:rsidR="00D974AA">
        <w:rPr>
          <w:rFonts w:ascii="Calibri" w:hAnsi="Calibri" w:cs="Calibri"/>
        </w:rPr>
        <w:t xml:space="preserve"> Exemple : </w:t>
      </w:r>
      <w:hyperlink r:id="rId24" w:history="1">
        <w:r w:rsidR="00D974AA" w:rsidRPr="00D974AA">
          <w:rPr>
            <w:rStyle w:val="Lienhypertexte"/>
            <w:rFonts w:ascii="Calibri" w:hAnsi="Calibri" w:cs="Calibri"/>
            <w:i/>
            <w:iCs/>
            <w:color w:val="0645AD"/>
            <w:shd w:val="clear" w:color="auto" w:fill="FFFFFF"/>
          </w:rPr>
          <w:t>Homo sapiens</w:t>
        </w:r>
      </w:hyperlink>
      <w:r w:rsidR="00D974AA" w:rsidRPr="00D974AA">
        <w:rPr>
          <w:rFonts w:ascii="Calibri" w:hAnsi="Calibri" w:cs="Calibri"/>
          <w:color w:val="202122"/>
          <w:shd w:val="clear" w:color="auto" w:fill="FFFFFF"/>
        </w:rPr>
        <w:t> </w:t>
      </w:r>
      <w:r w:rsidR="00D974AA" w:rsidRPr="00D94BED">
        <w:rPr>
          <w:rFonts w:ascii="Calibri" w:hAnsi="Calibri" w:cs="Calibri"/>
          <w:color w:val="000000" w:themeColor="text1"/>
          <w:shd w:val="clear" w:color="auto" w:fill="FFFFFF"/>
        </w:rPr>
        <w:t>Linné, 1758</w:t>
      </w:r>
      <w:r w:rsidR="00D974AA" w:rsidRPr="00D94BED">
        <w:rPr>
          <w:rFonts w:ascii="Calibri" w:hAnsi="Calibri" w:cs="Calibri"/>
          <w:color w:val="000000" w:themeColor="text1"/>
        </w:rPr>
        <w:t>.</w:t>
      </w:r>
      <w:r w:rsidR="00D94BED" w:rsidRPr="00D94BED">
        <w:rPr>
          <w:rFonts w:ascii="Calibri" w:hAnsi="Calibri" w:cs="Calibri"/>
          <w:color w:val="000000" w:themeColor="text1"/>
        </w:rPr>
        <w:t xml:space="preserve"> Par la suite, comme notre ouvrage s’adresse aux agronomes mais aussi au grand public,</w:t>
      </w:r>
      <w:r w:rsidR="00A074B5">
        <w:rPr>
          <w:rFonts w:ascii="Calibri" w:hAnsi="Calibri" w:cs="Calibri"/>
          <w:color w:val="000000" w:themeColor="text1"/>
        </w:rPr>
        <w:t xml:space="preserve"> pour simplifier les noms binomiaux,</w:t>
      </w:r>
      <w:r w:rsidR="00D94BED" w:rsidRPr="00D94BED">
        <w:rPr>
          <w:rFonts w:ascii="Calibri" w:hAnsi="Calibri" w:cs="Calibri"/>
          <w:color w:val="000000" w:themeColor="text1"/>
        </w:rPr>
        <w:t xml:space="preserve"> nous abandonnerons, dans la citation du </w:t>
      </w:r>
      <w:r w:rsidR="00D94BED" w:rsidRPr="00D94BED">
        <w:rPr>
          <w:rFonts w:ascii="Calibri" w:hAnsi="Calibri" w:cs="Calibri"/>
          <w:i/>
          <w:iCs/>
          <w:color w:val="000000" w:themeColor="text1"/>
        </w:rPr>
        <w:t>nom binomial</w:t>
      </w:r>
      <w:r w:rsidR="00D94BED" w:rsidRPr="00D94BED">
        <w:rPr>
          <w:rFonts w:ascii="Calibri" w:hAnsi="Calibri" w:cs="Calibri"/>
          <w:color w:val="000000" w:themeColor="text1"/>
        </w:rPr>
        <w:t>, les indications</w:t>
      </w:r>
      <w:r w:rsidR="00D94BED">
        <w:rPr>
          <w:rFonts w:ascii="Calibri" w:hAnsi="Calibri" w:cs="Calibri"/>
          <w:color w:val="000000" w:themeColor="text1"/>
        </w:rPr>
        <w:t xml:space="preserve"> du naturaliste</w:t>
      </w:r>
      <w:r w:rsidR="00A074B5">
        <w:rPr>
          <w:rFonts w:ascii="Calibri" w:hAnsi="Calibri" w:cs="Calibri"/>
          <w:color w:val="000000" w:themeColor="text1"/>
        </w:rPr>
        <w:t>, qui a identifié l’espèce,</w:t>
      </w:r>
      <w:r w:rsidR="00D94BED">
        <w:rPr>
          <w:rFonts w:ascii="Calibri" w:hAnsi="Calibri" w:cs="Calibri"/>
          <w:color w:val="000000" w:themeColor="text1"/>
        </w:rPr>
        <w:t xml:space="preserve"> et de la date de description et/ou de validation de l’espèce.</w:t>
      </w:r>
    </w:p>
    <w:p w14:paraId="2B10424E" w14:textId="7B6AB78C" w:rsidR="00A074B5" w:rsidRDefault="00D94BED" w:rsidP="00BF4F93">
      <w:pPr>
        <w:spacing w:after="0" w:line="240" w:lineRule="auto"/>
        <w:jc w:val="both"/>
      </w:pPr>
      <w:r w:rsidRPr="002638E3">
        <w:rPr>
          <w:rFonts w:ascii="Calibri" w:hAnsi="Calibri" w:cs="Calibri"/>
          <w:color w:val="000000" w:themeColor="text1"/>
          <w:u w:val="single"/>
        </w:rPr>
        <w:t>Nom trinomial</w:t>
      </w:r>
      <w:r w:rsidRPr="00D94BED">
        <w:rPr>
          <w:rFonts w:ascii="Calibri" w:hAnsi="Calibri" w:cs="Calibri"/>
          <w:color w:val="000000" w:themeColor="text1"/>
        </w:rPr>
        <w:t xml:space="preserve"> : </w:t>
      </w:r>
      <w:r w:rsidRPr="00A074B5">
        <w:rPr>
          <w:rFonts w:ascii="Calibri" w:hAnsi="Calibri" w:cs="Calibri"/>
          <w:color w:val="000000" w:themeColor="text1"/>
        </w:rPr>
        <w:t>Pour décrire une variété, une sous-espèce ou une race, au sein d’un espèce, en</w:t>
      </w:r>
      <w:r w:rsidRPr="00A074B5">
        <w:rPr>
          <w:rFonts w:ascii="Arial" w:hAnsi="Arial" w:cs="Arial"/>
          <w:color w:val="000000" w:themeColor="text1"/>
          <w:sz w:val="21"/>
          <w:szCs w:val="21"/>
          <w:shd w:val="clear" w:color="auto" w:fill="FFFFFF"/>
        </w:rPr>
        <w:t> </w:t>
      </w:r>
      <w:hyperlink r:id="rId25" w:tooltip="Botanique" w:history="1">
        <w:r w:rsidRPr="00D94BED">
          <w:rPr>
            <w:rStyle w:val="Lienhypertexte"/>
            <w:rFonts w:ascii="Calibri" w:hAnsi="Calibri" w:cs="Calibri"/>
            <w:color w:val="0645AD"/>
            <w:shd w:val="clear" w:color="auto" w:fill="FFFFFF"/>
          </w:rPr>
          <w:t>botanique</w:t>
        </w:r>
      </w:hyperlink>
      <w:r w:rsidRPr="00D94BED">
        <w:rPr>
          <w:rFonts w:ascii="Calibri" w:hAnsi="Calibri" w:cs="Calibri"/>
          <w:color w:val="202122"/>
          <w:shd w:val="clear" w:color="auto" w:fill="FFFFFF"/>
        </w:rPr>
        <w:t> et en la </w:t>
      </w:r>
      <w:hyperlink r:id="rId26" w:history="1">
        <w:r w:rsidRPr="00D94BED">
          <w:rPr>
            <w:rStyle w:val="Lienhypertexte"/>
            <w:rFonts w:ascii="Calibri" w:hAnsi="Calibri" w:cs="Calibri"/>
            <w:color w:val="0645AD"/>
            <w:shd w:val="clear" w:color="auto" w:fill="FFFFFF"/>
          </w:rPr>
          <w:t>mycologie</w:t>
        </w:r>
      </w:hyperlink>
      <w:r>
        <w:rPr>
          <w:rFonts w:ascii="Calibri" w:hAnsi="Calibri" w:cs="Calibri"/>
          <w:color w:val="000000" w:themeColor="text1"/>
        </w:rPr>
        <w:t>,</w:t>
      </w:r>
      <w:r w:rsidRPr="00D94BED">
        <w:rPr>
          <w:rFonts w:ascii="Calibri" w:hAnsi="Calibri" w:cs="Calibri"/>
          <w:color w:val="000000" w:themeColor="text1"/>
        </w:rPr>
        <w:t xml:space="preserve"> on ajoute, au nom binomial, la précision </w:t>
      </w:r>
      <w:r w:rsidR="00A074B5">
        <w:rPr>
          <w:rFonts w:ascii="Calibri" w:hAnsi="Calibri" w:cs="Calibri"/>
          <w:color w:val="000000" w:themeColor="text1"/>
        </w:rPr>
        <w:t>« </w:t>
      </w:r>
      <w:r w:rsidRPr="00D94BED">
        <w:rPr>
          <w:rFonts w:ascii="Calibri" w:hAnsi="Calibri" w:cs="Calibri"/>
          <w:color w:val="000000" w:themeColor="text1"/>
        </w:rPr>
        <w:t>var</w:t>
      </w:r>
      <w:r w:rsidR="00A074B5">
        <w:rPr>
          <w:rFonts w:ascii="Calibri" w:hAnsi="Calibri" w:cs="Calibri"/>
          <w:color w:val="000000" w:themeColor="text1"/>
        </w:rPr>
        <w:t> »</w:t>
      </w:r>
      <w:r w:rsidRPr="00D94BED">
        <w:rPr>
          <w:rFonts w:ascii="Calibri" w:hAnsi="Calibri" w:cs="Calibri"/>
          <w:color w:val="000000" w:themeColor="text1"/>
        </w:rPr>
        <w:t xml:space="preserve"> </w:t>
      </w:r>
      <w:r w:rsidR="00A074B5">
        <w:rPr>
          <w:rFonts w:ascii="Calibri" w:hAnsi="Calibri" w:cs="Calibri"/>
          <w:color w:val="000000" w:themeColor="text1"/>
        </w:rPr>
        <w:t>suivi du « </w:t>
      </w:r>
      <w:r w:rsidRPr="00D94BED">
        <w:rPr>
          <w:rFonts w:ascii="Calibri" w:hAnsi="Calibri" w:cs="Calibri"/>
          <w:i/>
          <w:iCs/>
          <w:color w:val="000000" w:themeColor="text1"/>
        </w:rPr>
        <w:t>nom</w:t>
      </w:r>
      <w:r w:rsidR="00A074B5">
        <w:rPr>
          <w:rFonts w:ascii="Calibri" w:hAnsi="Calibri" w:cs="Calibri"/>
          <w:i/>
          <w:iCs/>
          <w:color w:val="000000" w:themeColor="text1"/>
        </w:rPr>
        <w:t xml:space="preserve"> de la </w:t>
      </w:r>
      <w:r w:rsidRPr="00D94BED">
        <w:rPr>
          <w:rFonts w:ascii="Calibri" w:hAnsi="Calibri" w:cs="Calibri"/>
          <w:i/>
          <w:iCs/>
          <w:color w:val="000000" w:themeColor="text1"/>
        </w:rPr>
        <w:t>sous-espèce</w:t>
      </w:r>
      <w:r w:rsidRPr="00D94BED">
        <w:rPr>
          <w:rFonts w:ascii="Calibri" w:hAnsi="Calibri" w:cs="Calibri"/>
          <w:color w:val="000000" w:themeColor="text1"/>
        </w:rPr>
        <w:t> ». Exemple</w:t>
      </w:r>
      <w:r>
        <w:rPr>
          <w:rFonts w:ascii="Calibri" w:hAnsi="Calibri" w:cs="Calibri"/>
          <w:color w:val="000000" w:themeColor="text1"/>
        </w:rPr>
        <w:t> :</w:t>
      </w:r>
      <w:r w:rsidRPr="00D94BED">
        <w:t xml:space="preserve"> </w:t>
      </w:r>
      <w:hyperlink r:id="rId27" w:tooltip="Tricholoma saponaceum" w:history="1">
        <w:r w:rsidRPr="00D94BED">
          <w:rPr>
            <w:rStyle w:val="Lienhypertexte"/>
            <w:rFonts w:ascii="Calibri" w:hAnsi="Calibri" w:cs="Calibri"/>
            <w:i/>
            <w:iCs/>
            <w:color w:val="0645AD"/>
            <w:shd w:val="clear" w:color="auto" w:fill="FFFFFF"/>
          </w:rPr>
          <w:t>Tricholoma saponaceum</w:t>
        </w:r>
        <w:r w:rsidRPr="00D94BED">
          <w:rPr>
            <w:rStyle w:val="Lienhypertexte"/>
            <w:rFonts w:ascii="Calibri" w:hAnsi="Calibri" w:cs="Calibri"/>
            <w:color w:val="0645AD"/>
            <w:shd w:val="clear" w:color="auto" w:fill="FFFFFF"/>
          </w:rPr>
          <w:t> var. </w:t>
        </w:r>
        <w:r w:rsidRPr="00D94BED">
          <w:rPr>
            <w:rStyle w:val="Lienhypertexte"/>
            <w:rFonts w:ascii="Calibri" w:hAnsi="Calibri" w:cs="Calibri"/>
            <w:i/>
            <w:iCs/>
            <w:color w:val="0645AD"/>
            <w:shd w:val="clear" w:color="auto" w:fill="FFFFFF"/>
          </w:rPr>
          <w:t>fagetorum</w:t>
        </w:r>
      </w:hyperlink>
      <w:r>
        <w:t>.</w:t>
      </w:r>
      <w:r w:rsidR="00A074B5">
        <w:t xml:space="preserve"> </w:t>
      </w:r>
      <w:r w:rsidR="002638E3" w:rsidRPr="002638E3">
        <w:rPr>
          <w:u w:val="single"/>
        </w:rPr>
        <w:t>Sous-espèce</w:t>
      </w:r>
      <w:r w:rsidR="002638E3">
        <w:t xml:space="preserve"> : indiquée par le terme </w:t>
      </w:r>
      <w:r w:rsidR="0031093E">
        <w:t>‘</w:t>
      </w:r>
      <w:r w:rsidR="002638E3">
        <w:t>s</w:t>
      </w:r>
      <w:r w:rsidR="002638E3" w:rsidRPr="002638E3">
        <w:rPr>
          <w:rFonts w:ascii="Calibri" w:eastAsia="Times New Roman" w:hAnsi="Calibri" w:cs="Calibri"/>
          <w:color w:val="000000" w:themeColor="text1"/>
          <w:lang w:eastAsia="fr-FR"/>
        </w:rPr>
        <w:t>ubsp</w:t>
      </w:r>
      <w:r w:rsidR="0031093E">
        <w:rPr>
          <w:rFonts w:ascii="Calibri" w:eastAsia="Times New Roman" w:hAnsi="Calibri" w:cs="Calibri"/>
          <w:color w:val="000000" w:themeColor="text1"/>
          <w:lang w:eastAsia="fr-FR"/>
        </w:rPr>
        <w:t>’</w:t>
      </w:r>
      <w:r w:rsidR="002638E3">
        <w:rPr>
          <w:rFonts w:ascii="Calibri" w:eastAsia="Times New Roman" w:hAnsi="Calibri" w:cs="Calibri"/>
          <w:color w:val="000000" w:themeColor="text1"/>
          <w:lang w:eastAsia="fr-FR"/>
        </w:rPr>
        <w:t xml:space="preserve">. Exemple : </w:t>
      </w:r>
      <w:r w:rsidR="002638E3">
        <w:t> </w:t>
      </w:r>
      <w:r w:rsidR="002638E3" w:rsidRPr="002638E3">
        <w:rPr>
          <w:rFonts w:ascii="Calibri" w:eastAsia="Times New Roman" w:hAnsi="Calibri" w:cs="Calibri"/>
          <w:i/>
          <w:iCs/>
          <w:color w:val="000000" w:themeColor="text1"/>
          <w:lang w:eastAsia="fr-FR"/>
        </w:rPr>
        <w:t>Lens culinaris</w:t>
      </w:r>
      <w:r w:rsidR="002638E3" w:rsidRPr="002638E3">
        <w:rPr>
          <w:rFonts w:ascii="Calibri" w:eastAsia="Times New Roman" w:hAnsi="Calibri" w:cs="Calibri"/>
          <w:color w:val="000000" w:themeColor="text1"/>
          <w:lang w:eastAsia="fr-FR"/>
        </w:rPr>
        <w:t> subsp. </w:t>
      </w:r>
      <w:r w:rsidR="002638E3" w:rsidRPr="002638E3">
        <w:rPr>
          <w:rFonts w:ascii="Calibri" w:eastAsia="Times New Roman" w:hAnsi="Calibri" w:cs="Calibri"/>
          <w:i/>
          <w:iCs/>
          <w:color w:val="000000" w:themeColor="text1"/>
          <w:lang w:eastAsia="fr-FR"/>
        </w:rPr>
        <w:t>Orientalis</w:t>
      </w:r>
      <w:r w:rsidR="002638E3">
        <w:rPr>
          <w:rFonts w:ascii="Calibri" w:eastAsia="Times New Roman" w:hAnsi="Calibri" w:cs="Calibri"/>
          <w:color w:val="000000" w:themeColor="text1"/>
          <w:lang w:eastAsia="fr-FR"/>
        </w:rPr>
        <w:t>.</w:t>
      </w:r>
    </w:p>
    <w:p w14:paraId="53112804" w14:textId="3DC233B1" w:rsidR="00D94BED" w:rsidRDefault="00A074B5" w:rsidP="00BF4F93">
      <w:pPr>
        <w:spacing w:after="0" w:line="240" w:lineRule="auto"/>
        <w:jc w:val="both"/>
      </w:pPr>
      <w:r w:rsidRPr="002638E3">
        <w:rPr>
          <w:u w:val="single"/>
        </w:rPr>
        <w:t>Nom des hybrides</w:t>
      </w:r>
      <w:r>
        <w:t xml:space="preserve"> : Les croisements de deux espèces, créés artificiellement par l’homme, sont indiqués ainsi : </w:t>
      </w:r>
      <w:r w:rsidRPr="00123872">
        <w:rPr>
          <w:i/>
          <w:iCs/>
        </w:rPr>
        <w:t>Sorghum bicolor</w:t>
      </w:r>
      <w:r w:rsidRPr="00A074B5">
        <w:t xml:space="preserve"> × </w:t>
      </w:r>
      <w:r w:rsidRPr="00123872">
        <w:rPr>
          <w:i/>
          <w:iCs/>
        </w:rPr>
        <w:t>Sorghume sudanense</w:t>
      </w:r>
      <w:r w:rsidRPr="00A074B5">
        <w:t xml:space="preserve"> (</w:t>
      </w:r>
      <w:r>
        <w:t xml:space="preserve">ici un </w:t>
      </w:r>
      <w:r w:rsidRPr="00A074B5">
        <w:t>sorgho hybride)</w:t>
      </w:r>
      <w:r>
        <w:t>, avec le « x » symbolisant le croisement.</w:t>
      </w:r>
    </w:p>
    <w:p w14:paraId="75171A9F" w14:textId="77777777" w:rsidR="00754E6B" w:rsidRDefault="00754E6B" w:rsidP="00E169B6">
      <w:pPr>
        <w:spacing w:after="0" w:line="240" w:lineRule="auto"/>
        <w:jc w:val="both"/>
      </w:pPr>
    </w:p>
    <w:p w14:paraId="116B5283" w14:textId="7AA0A3A6" w:rsidR="00E169B6" w:rsidRDefault="0098690C" w:rsidP="00E169B6">
      <w:pPr>
        <w:spacing w:after="0" w:line="240" w:lineRule="auto"/>
        <w:jc w:val="both"/>
      </w:pPr>
      <w:r>
        <w:t>2</w:t>
      </w:r>
      <w:r w:rsidR="00BF230D">
        <w:t xml:space="preserve">) </w:t>
      </w:r>
      <w:r w:rsidR="00E169B6">
        <w:t xml:space="preserve">Bien que nous ne les recommandions pas, sauf en cas d’absolue nécessité (par exemple pour la production de bois de feu, dans les régions qui en manquent), nous avons mis en annexe, à la fin de ce livre, les espèces pouvant être utiles, mais malheureusement </w:t>
      </w:r>
      <w:r w:rsidR="00E169B6" w:rsidRPr="00B243F9">
        <w:rPr>
          <w:i/>
          <w:iCs/>
        </w:rPr>
        <w:t>fortement invasives</w:t>
      </w:r>
      <w:r w:rsidR="00E169B6">
        <w:t xml:space="preserve"> (i.e. envahissantes).</w:t>
      </w:r>
    </w:p>
    <w:p w14:paraId="7FB31209" w14:textId="13C7D17E" w:rsidR="00754E6B" w:rsidRDefault="00754E6B" w:rsidP="00E169B6">
      <w:pPr>
        <w:spacing w:after="0" w:line="240" w:lineRule="auto"/>
        <w:jc w:val="both"/>
      </w:pPr>
    </w:p>
    <w:p w14:paraId="5A755C5F" w14:textId="6BE31CC8" w:rsidR="00411177" w:rsidRDefault="00754E6B" w:rsidP="00E169B6">
      <w:pPr>
        <w:spacing w:after="0" w:line="240" w:lineRule="auto"/>
        <w:jc w:val="both"/>
      </w:pPr>
      <w:r>
        <w:t xml:space="preserve">3) </w:t>
      </w:r>
      <w:r w:rsidR="005C361C">
        <w:t>D</w:t>
      </w:r>
      <w:r w:rsidR="00411177">
        <w:t>ans notre ouvrage, nous avons fait le choix d</w:t>
      </w:r>
      <w:r w:rsidR="005C361C">
        <w:t>e nous focaliser sur</w:t>
      </w:r>
      <w:r w:rsidR="00411177">
        <w:t xml:space="preserve"> ces </w:t>
      </w:r>
      <w:r w:rsidR="00411177" w:rsidRPr="00411177">
        <w:t>priorité</w:t>
      </w:r>
      <w:r w:rsidR="00411177">
        <w:t>s</w:t>
      </w:r>
      <w:r w:rsidR="005C361C">
        <w:t>,</w:t>
      </w:r>
      <w:r w:rsidR="00411177" w:rsidRPr="00411177">
        <w:t xml:space="preserve"> dans cet ordre : 1) résoudre l</w:t>
      </w:r>
      <w:r w:rsidR="00411177">
        <w:t>e problème de la</w:t>
      </w:r>
      <w:r w:rsidR="00411177" w:rsidRPr="00411177">
        <w:t xml:space="preserve"> malnutrition, 2) fournir des sources de revenus suffisants</w:t>
      </w:r>
      <w:r w:rsidR="00411177">
        <w:t xml:space="preserve"> aux agriculteurs</w:t>
      </w:r>
      <w:r w:rsidR="00411177" w:rsidRPr="00411177">
        <w:t>, 3) respecter la nature, la biodiversité</w:t>
      </w:r>
      <w:r w:rsidR="00411177">
        <w:t>. Nous avons fait le choix</w:t>
      </w:r>
      <w:r w:rsidR="00411177" w:rsidRPr="00411177">
        <w:t xml:space="preserve"> </w:t>
      </w:r>
      <w:r w:rsidR="00411177">
        <w:t xml:space="preserve">de </w:t>
      </w:r>
      <w:r w:rsidR="00411177" w:rsidRPr="00411177">
        <w:t>ne</w:t>
      </w:r>
      <w:r w:rsidR="00411177">
        <w:t xml:space="preserve"> pas</w:t>
      </w:r>
      <w:r w:rsidR="00411177" w:rsidRPr="00411177">
        <w:t xml:space="preserve"> préoccupe</w:t>
      </w:r>
      <w:r w:rsidR="00411177">
        <w:t>r</w:t>
      </w:r>
      <w:r w:rsidR="00411177" w:rsidRPr="00411177">
        <w:t xml:space="preserve"> </w:t>
      </w:r>
      <w:r w:rsidR="00411177">
        <w:t>de la question</w:t>
      </w:r>
      <w:r w:rsidR="00411177" w:rsidRPr="00411177">
        <w:t xml:space="preserve"> de</w:t>
      </w:r>
      <w:r w:rsidR="00411177">
        <w:t xml:space="preserve"> la</w:t>
      </w:r>
      <w:r w:rsidR="00411177" w:rsidRPr="00411177">
        <w:t xml:space="preserve"> séquestration d</w:t>
      </w:r>
      <w:r w:rsidR="00411177">
        <w:t>u</w:t>
      </w:r>
      <w:r w:rsidR="00411177" w:rsidRPr="00411177">
        <w:t xml:space="preserve"> carbone, trop </w:t>
      </w:r>
      <w:r w:rsidR="00411177" w:rsidRPr="00411177">
        <w:lastRenderedPageBreak/>
        <w:t>complexe, trop intellectuel</w:t>
      </w:r>
      <w:r w:rsidR="00411177">
        <w:t>le</w:t>
      </w:r>
      <w:r w:rsidR="00411177" w:rsidRPr="00411177">
        <w:t>, trop théorique</w:t>
      </w:r>
      <w:r w:rsidR="00411177">
        <w:t xml:space="preserve"> (pour la plupart des habitants locaux). D’autant que des études montrent que certains programmes de reforestation sont loin d’atteindre les objectifs de </w:t>
      </w:r>
      <w:r w:rsidR="00411177" w:rsidRPr="00411177">
        <w:t>séquestration d</w:t>
      </w:r>
      <w:r w:rsidR="00411177">
        <w:t>u</w:t>
      </w:r>
      <w:r w:rsidR="00411177" w:rsidRPr="00411177">
        <w:t xml:space="preserve"> carbone</w:t>
      </w:r>
      <w:r w:rsidR="00411177">
        <w:t xml:space="preserve"> espérés</w:t>
      </w:r>
      <w:r w:rsidR="00411177">
        <w:rPr>
          <w:rStyle w:val="Appelnotedebasdep"/>
        </w:rPr>
        <w:footnoteReference w:id="5"/>
      </w:r>
      <w:r w:rsidR="00411177">
        <w:t xml:space="preserve"> par les différences </w:t>
      </w:r>
      <w:r w:rsidR="00411177" w:rsidRPr="00411177">
        <w:t>Conférences des Nations unies sur les changements climatiques.</w:t>
      </w:r>
    </w:p>
    <w:p w14:paraId="0464361E" w14:textId="77777777" w:rsidR="00411177" w:rsidRDefault="00411177" w:rsidP="00E169B6">
      <w:pPr>
        <w:spacing w:after="0" w:line="240" w:lineRule="auto"/>
        <w:jc w:val="both"/>
      </w:pPr>
    </w:p>
    <w:p w14:paraId="73BC89BD" w14:textId="48656980" w:rsidR="00754E6B" w:rsidRDefault="00411177" w:rsidP="00E169B6">
      <w:pPr>
        <w:spacing w:after="0" w:line="240" w:lineRule="auto"/>
        <w:jc w:val="both"/>
      </w:pPr>
      <w:r>
        <w:t xml:space="preserve">4) </w:t>
      </w:r>
      <w:r w:rsidR="00754E6B">
        <w:t>Quand cela est possible, nous avons privilégié, dans notre ouvrage, les solutions respectant de l’environnement et de la biodiversité (</w:t>
      </w:r>
      <w:r w:rsidR="005C361C">
        <w:t xml:space="preserve">par exemple, </w:t>
      </w:r>
      <w:r w:rsidR="00754E6B">
        <w:t>en évitant</w:t>
      </w:r>
      <w:r w:rsidR="005C361C">
        <w:t xml:space="preserve"> a)</w:t>
      </w:r>
      <w:r w:rsidR="00754E6B">
        <w:t xml:space="preserve"> l’introduction de plantes invasives ou toxiques pour le sol, </w:t>
      </w:r>
      <w:r w:rsidR="005C361C">
        <w:t>b) l’utilisation de</w:t>
      </w:r>
      <w:r w:rsidR="00754E6B">
        <w:t xml:space="preserve"> produits toxiques</w:t>
      </w:r>
      <w:r w:rsidR="005C361C">
        <w:t>, mais tout en restant pragmatique</w:t>
      </w:r>
      <w:r w:rsidR="00754E6B">
        <w:t xml:space="preserve">). </w:t>
      </w:r>
    </w:p>
    <w:p w14:paraId="19370BC3" w14:textId="77777777" w:rsidR="00411177" w:rsidRDefault="00411177" w:rsidP="00E169B6">
      <w:pPr>
        <w:spacing w:after="0" w:line="240" w:lineRule="auto"/>
        <w:jc w:val="both"/>
      </w:pPr>
    </w:p>
    <w:p w14:paraId="2110D62C" w14:textId="6FCAFF52" w:rsidR="0098690C" w:rsidRDefault="00411177" w:rsidP="00E169B6">
      <w:pPr>
        <w:spacing w:after="0" w:line="240" w:lineRule="auto"/>
        <w:jc w:val="both"/>
      </w:pPr>
      <w:r>
        <w:t>5</w:t>
      </w:r>
      <w:r w:rsidR="0098690C">
        <w:t>) Nous avons consacré une partie importante du livre aux mangroves, parce qu’elles seront bénéfiques pour protéger les littoraux, avec l’augmentation de la force des tempêtes liée au réchauffement climatique</w:t>
      </w:r>
      <w:r w:rsidR="00A36351">
        <w:rPr>
          <w:rStyle w:val="Appelnotedebasdep"/>
        </w:rPr>
        <w:footnoteReference w:id="6"/>
      </w:r>
      <w:r w:rsidR="00C930A1">
        <w:t>, et leur rôle écologique.</w:t>
      </w:r>
    </w:p>
    <w:p w14:paraId="4E8B10E5" w14:textId="77777777" w:rsidR="00754E6B" w:rsidRDefault="00754E6B" w:rsidP="0098690C">
      <w:pPr>
        <w:spacing w:after="0" w:line="240" w:lineRule="auto"/>
        <w:jc w:val="both"/>
      </w:pPr>
    </w:p>
    <w:p w14:paraId="3A033A57" w14:textId="15C18D5B" w:rsidR="0098690C" w:rsidRDefault="00411177" w:rsidP="0098690C">
      <w:pPr>
        <w:spacing w:after="0" w:line="240" w:lineRule="auto"/>
        <w:jc w:val="both"/>
      </w:pPr>
      <w:r>
        <w:t>6</w:t>
      </w:r>
      <w:r w:rsidR="0098690C">
        <w:t xml:space="preserve">) Gratuité du livre électronique : </w:t>
      </w:r>
      <w:r w:rsidR="0098690C" w:rsidRPr="00C51CEB">
        <w:t>Afin de pouvoir le distribuer au plus grand nombre, je rends</w:t>
      </w:r>
      <w:r w:rsidR="0098690C">
        <w:t xml:space="preserve"> déjà</w:t>
      </w:r>
      <w:r w:rsidR="0098690C" w:rsidRPr="00C51CEB">
        <w:t xml:space="preserve"> son PDF gratuit</w:t>
      </w:r>
      <w:r w:rsidR="0098690C">
        <w:t>, pour qu’il soit accessible au plus grand nombre, dans les pays en voie de développement.</w:t>
      </w:r>
    </w:p>
    <w:p w14:paraId="43E538CF" w14:textId="77777777" w:rsidR="00754E6B" w:rsidRDefault="00754E6B" w:rsidP="0098690C">
      <w:pPr>
        <w:spacing w:after="0" w:line="240" w:lineRule="auto"/>
        <w:jc w:val="both"/>
      </w:pPr>
    </w:p>
    <w:p w14:paraId="2A02F9BF" w14:textId="033F7103" w:rsidR="0098690C" w:rsidRDefault="00411177" w:rsidP="0098690C">
      <w:pPr>
        <w:spacing w:after="0" w:line="240" w:lineRule="auto"/>
        <w:jc w:val="both"/>
      </w:pPr>
      <w:r>
        <w:t>7</w:t>
      </w:r>
      <w:r w:rsidR="0098690C">
        <w:t>) Nous avons réutilisés des extraits d’articles de Wikipedia, quand ils nous semblaient de bonne qualité.</w:t>
      </w:r>
      <w:r w:rsidR="002E46EF">
        <w:t xml:space="preserve"> </w:t>
      </w:r>
      <w:r w:rsidR="002E46EF" w:rsidRPr="002E46EF">
        <w:t xml:space="preserve">Quand on cite une page Wikipedia, il est d'usage de préciser la date d'accès, car </w:t>
      </w:r>
      <w:r w:rsidR="002E46EF">
        <w:t>c</w:t>
      </w:r>
      <w:r w:rsidR="002E46EF" w:rsidRPr="002E46EF">
        <w:t>es pages changent</w:t>
      </w:r>
      <w:r w:rsidR="002E46EF">
        <w:t xml:space="preserve"> régulièrement</w:t>
      </w:r>
      <w:r w:rsidR="002E46EF" w:rsidRPr="002E46EF">
        <w:t>.</w:t>
      </w:r>
      <w:r w:rsidR="002E46EF">
        <w:t xml:space="preserve"> Nous avons accédé à ces pages entre juillet 2015 et septembre 2021 (la majorité d’entre elles en septembre 2021).</w:t>
      </w:r>
    </w:p>
    <w:p w14:paraId="6D27726F" w14:textId="1D5DF5D3" w:rsidR="004C58D1" w:rsidRDefault="004C58D1" w:rsidP="0098690C">
      <w:pPr>
        <w:spacing w:after="0" w:line="240" w:lineRule="auto"/>
        <w:jc w:val="both"/>
      </w:pPr>
    </w:p>
    <w:p w14:paraId="38AC6FE7" w14:textId="43D914D0" w:rsidR="004C58D1" w:rsidRDefault="004C58D1" w:rsidP="0098690C">
      <w:pPr>
        <w:spacing w:after="0" w:line="240" w:lineRule="auto"/>
        <w:jc w:val="both"/>
      </w:pPr>
      <w:r>
        <w:t xml:space="preserve">8) Ce livre comportant presque 400 pages et de nombreux chapitres et sous-chapitres, donc, qui le plus peut le moins, vous pouvez déjà ne lire que les parties, concernant vos problématiques actuelles ou étant vos sujets de prédilections. </w:t>
      </w:r>
    </w:p>
    <w:p w14:paraId="22BADDD6" w14:textId="2E3EF1EB" w:rsidR="00A074B5" w:rsidRDefault="00A074B5" w:rsidP="00BF4F93">
      <w:pPr>
        <w:spacing w:after="0" w:line="240" w:lineRule="auto"/>
        <w:jc w:val="both"/>
      </w:pPr>
    </w:p>
    <w:p w14:paraId="3FD3924C" w14:textId="3E24FA8D" w:rsidR="00D12C5E" w:rsidRDefault="00D12C5E" w:rsidP="00D12C5E">
      <w:pPr>
        <w:pStyle w:val="Titre2"/>
      </w:pPr>
      <w:bookmarkStart w:id="3" w:name="_Toc139181295"/>
      <w:r>
        <w:t>Invitation à participer à l’amélioration de cet ouvrage</w:t>
      </w:r>
      <w:bookmarkEnd w:id="3"/>
    </w:p>
    <w:p w14:paraId="4957DEA8" w14:textId="2BACD9F3" w:rsidR="00D12C5E" w:rsidRDefault="00D12C5E" w:rsidP="00BF4F93">
      <w:pPr>
        <w:spacing w:after="0" w:line="240" w:lineRule="auto"/>
        <w:jc w:val="both"/>
      </w:pPr>
    </w:p>
    <w:p w14:paraId="40A5CF0C" w14:textId="7FB0475E" w:rsidR="00D12C5E" w:rsidRDefault="00D12C5E" w:rsidP="00D12C5E">
      <w:pPr>
        <w:spacing w:after="0" w:line="240" w:lineRule="auto"/>
        <w:jc w:val="both"/>
      </w:pPr>
      <w:r>
        <w:t>N'hésitez pas à participer à l’amélioration de cet ouvrage, en envoyant à l'auteur, vos suggestions, leurs erreurs que vous y auriez détectées, les plantes utiles, adaptés aux milieux arides et salins, que l'auteur aurait oubliées.</w:t>
      </w:r>
    </w:p>
    <w:p w14:paraId="46F19CD7" w14:textId="7CA7810D" w:rsidR="00D12C5E" w:rsidRDefault="00D12C5E" w:rsidP="00D12C5E">
      <w:pPr>
        <w:spacing w:after="0" w:line="240" w:lineRule="auto"/>
        <w:jc w:val="both"/>
      </w:pPr>
      <w:r>
        <w:t xml:space="preserve">Merci par avance pour votre contribution. Votre nom sera alors cité, dans les remerciements, lors des nouvelles éditions. </w:t>
      </w:r>
      <w:r w:rsidR="009D0609">
        <w:t>Courriel</w:t>
      </w:r>
      <w:r>
        <w:t xml:space="preserve"> de l’auteur : </w:t>
      </w:r>
      <w:hyperlink r:id="rId28" w:history="1">
        <w:r w:rsidRPr="00EE130C">
          <w:rPr>
            <w:rStyle w:val="Lienhypertexte"/>
          </w:rPr>
          <w:t>benjamin.lisan@free.fr</w:t>
        </w:r>
      </w:hyperlink>
      <w:r>
        <w:t xml:space="preserve"> </w:t>
      </w:r>
    </w:p>
    <w:p w14:paraId="488280BA" w14:textId="77777777" w:rsidR="00D12C5E" w:rsidRDefault="00D12C5E" w:rsidP="00BF4F93">
      <w:pPr>
        <w:spacing w:after="0" w:line="240" w:lineRule="auto"/>
        <w:jc w:val="both"/>
      </w:pPr>
    </w:p>
    <w:p w14:paraId="319DC563" w14:textId="38FFF14A" w:rsidR="008F2557" w:rsidRDefault="008F2557" w:rsidP="008F2557">
      <w:pPr>
        <w:pStyle w:val="Titre1"/>
      </w:pPr>
      <w:bookmarkStart w:id="4" w:name="_Toc139181296"/>
      <w:r>
        <w:t>Introduction</w:t>
      </w:r>
      <w:bookmarkEnd w:id="4"/>
    </w:p>
    <w:p w14:paraId="78B34575" w14:textId="77777777" w:rsidR="008F2557" w:rsidRDefault="008F2557" w:rsidP="00C7103E">
      <w:pPr>
        <w:spacing w:after="0" w:line="240" w:lineRule="auto"/>
      </w:pPr>
    </w:p>
    <w:p w14:paraId="58898D58" w14:textId="5A2338E2" w:rsidR="008578A8" w:rsidRDefault="008578A8" w:rsidP="008F2557">
      <w:pPr>
        <w:pStyle w:val="Titre2"/>
      </w:pPr>
      <w:bookmarkStart w:id="5" w:name="_Toc139181297"/>
      <w:r>
        <w:t>Le réchauffement climatique permanent de la Terre, depuis 1850</w:t>
      </w:r>
      <w:bookmarkEnd w:id="5"/>
    </w:p>
    <w:p w14:paraId="5B7A3D91" w14:textId="76E9CB45" w:rsidR="008A61FB" w:rsidRDefault="008A61FB" w:rsidP="00C7103E">
      <w:pPr>
        <w:spacing w:after="0" w:line="240" w:lineRule="auto"/>
      </w:pPr>
    </w:p>
    <w:p w14:paraId="02281F6A" w14:textId="2233AA35" w:rsidR="00A41147" w:rsidRDefault="00A41147" w:rsidP="00C7103E">
      <w:pPr>
        <w:spacing w:after="0" w:line="240" w:lineRule="auto"/>
      </w:pPr>
      <w:r>
        <w:t>Depuis 1900, le globe subit un réchauffement climatique</w:t>
      </w:r>
      <w:r w:rsidR="008578A8">
        <w:t xml:space="preserve"> progressif et permanent</w:t>
      </w:r>
      <w:r w:rsidR="004E6569">
        <w:rPr>
          <w:rStyle w:val="Appelnotedebasdep"/>
        </w:rPr>
        <w:footnoteReference w:id="7"/>
      </w:r>
      <w:r w:rsidR="00B243F9">
        <w:t xml:space="preserve"> (voir page ci-après)</w:t>
      </w:r>
      <w:r>
        <w:t> :</w:t>
      </w:r>
    </w:p>
    <w:p w14:paraId="0F3B8FBF" w14:textId="77777777" w:rsidR="005E7625" w:rsidRDefault="005E7625" w:rsidP="005E7625">
      <w:pPr>
        <w:spacing w:after="0" w:line="240" w:lineRule="auto"/>
        <w:jc w:val="center"/>
      </w:pPr>
      <w:r w:rsidRPr="008578A8">
        <w:rPr>
          <w:noProof/>
        </w:rPr>
        <w:lastRenderedPageBreak/>
        <w:drawing>
          <wp:inline distT="0" distB="0" distL="0" distR="0" wp14:anchorId="390C73F8" wp14:editId="5EC06B97">
            <wp:extent cx="6229563" cy="3248025"/>
            <wp:effectExtent l="57150" t="57150" r="57150" b="47625"/>
            <wp:docPr id="29709" name="Image 4" descr="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descr="Capture.PNG"/>
                    <pic:cNvPicPr>
                      <a:picLocks noChangeAspect="1"/>
                    </pic:cNvPicPr>
                  </pic:nvPicPr>
                  <pic:blipFill>
                    <a:blip r:embed="rId29" cstate="print"/>
                    <a:stretch>
                      <a:fillRect/>
                    </a:stretch>
                  </pic:blipFill>
                  <pic:spPr>
                    <a:xfrm>
                      <a:off x="0" y="0"/>
                      <a:ext cx="6238587" cy="3252730"/>
                    </a:xfrm>
                    <a:prstGeom prst="rect">
                      <a:avLst/>
                    </a:prstGeom>
                    <a:scene3d>
                      <a:camera prst="orthographicFront"/>
                      <a:lightRig rig="threePt" dir="t"/>
                    </a:scene3d>
                    <a:sp3d contourW="12700"/>
                  </pic:spPr>
                </pic:pic>
              </a:graphicData>
            </a:graphic>
          </wp:inline>
        </w:drawing>
      </w:r>
    </w:p>
    <w:p w14:paraId="493373CC" w14:textId="758D38BA" w:rsidR="00A41147" w:rsidRDefault="005E7625" w:rsidP="005E7625">
      <w:pPr>
        <w:spacing w:after="0" w:line="240" w:lineRule="auto"/>
        <w:jc w:val="center"/>
      </w:pPr>
      <w:r w:rsidRPr="008578A8">
        <w:t>Ecart de la Température moyenne annuelle dans le monde depuis 1850</w:t>
      </w:r>
      <w:r>
        <w:t>.</w:t>
      </w:r>
    </w:p>
    <w:p w14:paraId="45C6209F" w14:textId="77777777" w:rsidR="005C361C" w:rsidRDefault="005C361C" w:rsidP="005E7625">
      <w:pPr>
        <w:spacing w:after="0" w:line="240" w:lineRule="auto"/>
        <w:jc w:val="center"/>
      </w:pPr>
    </w:p>
    <w:p w14:paraId="2C8498B4" w14:textId="7C6B5B02" w:rsidR="00A41147" w:rsidRDefault="00A41147" w:rsidP="00A41147">
      <w:pPr>
        <w:spacing w:after="0" w:line="240" w:lineRule="auto"/>
        <w:jc w:val="center"/>
      </w:pPr>
      <w:r w:rsidRPr="00A41147">
        <w:rPr>
          <w:noProof/>
        </w:rPr>
        <w:drawing>
          <wp:inline distT="0" distB="0" distL="0" distR="0" wp14:anchorId="3D6C8D9C" wp14:editId="5B044372">
            <wp:extent cx="6569908" cy="3562350"/>
            <wp:effectExtent l="0" t="0" r="2540" b="0"/>
            <wp:docPr id="29708" name="Image 6" descr="indice alpes franc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6" descr="indice alpes franc 2015.jpg"/>
                    <pic:cNvPicPr>
                      <a:picLocks noChangeAspect="1"/>
                    </pic:cNvPicPr>
                  </pic:nvPicPr>
                  <pic:blipFill>
                    <a:blip r:embed="rId30" cstate="print"/>
                    <a:stretch>
                      <a:fillRect/>
                    </a:stretch>
                  </pic:blipFill>
                  <pic:spPr>
                    <a:xfrm>
                      <a:off x="0" y="0"/>
                      <a:ext cx="6570106" cy="3562457"/>
                    </a:xfrm>
                    <a:prstGeom prst="rect">
                      <a:avLst/>
                    </a:prstGeom>
                  </pic:spPr>
                </pic:pic>
              </a:graphicData>
            </a:graphic>
          </wp:inline>
        </w:drawing>
      </w:r>
    </w:p>
    <w:p w14:paraId="3D8F4779" w14:textId="16EC5A4C" w:rsidR="00A41147" w:rsidRDefault="00A41147" w:rsidP="00A41147">
      <w:pPr>
        <w:pStyle w:val="NormalWeb"/>
        <w:spacing w:before="125" w:beforeAutospacing="0" w:after="0" w:afterAutospacing="0"/>
        <w:ind w:left="432" w:hanging="432"/>
        <w:jc w:val="center"/>
      </w:pPr>
      <w:r w:rsidRPr="00A41147">
        <w:rPr>
          <w:rFonts w:ascii="Calibri" w:eastAsia="+mn-ea" w:hAnsi="Calibri" w:cs="Calibri"/>
          <w:color w:val="000000"/>
          <w:kern w:val="24"/>
          <w:sz w:val="22"/>
          <w:szCs w:val="22"/>
        </w:rPr>
        <w:t xml:space="preserve">Ecart de la Température moyenne annuelle dans </w:t>
      </w:r>
      <w:r w:rsidRPr="00A41147">
        <w:rPr>
          <w:rFonts w:ascii="Calibri" w:eastAsia="+mn-ea" w:hAnsi="Calibri" w:cs="Calibri"/>
          <w:color w:val="FF0000"/>
          <w:kern w:val="24"/>
          <w:sz w:val="22"/>
          <w:szCs w:val="22"/>
        </w:rPr>
        <w:t xml:space="preserve">les Alpes </w:t>
      </w:r>
      <w:r w:rsidRPr="00A41147">
        <w:rPr>
          <w:rFonts w:ascii="Calibri" w:eastAsia="+mn-ea" w:hAnsi="Calibri" w:cs="Calibri"/>
          <w:color w:val="000000"/>
          <w:kern w:val="24"/>
          <w:sz w:val="22"/>
          <w:szCs w:val="22"/>
        </w:rPr>
        <w:t xml:space="preserve">depuis </w:t>
      </w:r>
      <w:r w:rsidRPr="00A41147">
        <w:rPr>
          <w:rFonts w:ascii="Calibri" w:eastAsia="+mn-ea" w:hAnsi="Calibri" w:cs="Calibri"/>
          <w:color w:val="FF0000"/>
          <w:kern w:val="24"/>
          <w:sz w:val="22"/>
          <w:szCs w:val="22"/>
        </w:rPr>
        <w:t>1900</w:t>
      </w:r>
      <w:r w:rsidR="005E7625">
        <w:rPr>
          <w:rFonts w:ascii="Calibri" w:eastAsia="+mn-ea" w:hAnsi="Calibri" w:cs="Calibri"/>
          <w:color w:val="FF0000"/>
          <w:kern w:val="24"/>
          <w:sz w:val="22"/>
          <w:szCs w:val="22"/>
        </w:rPr>
        <w:t>.</w:t>
      </w:r>
    </w:p>
    <w:p w14:paraId="6499469A" w14:textId="48B4A800" w:rsidR="008578A8" w:rsidRDefault="008578A8" w:rsidP="00C7103E">
      <w:pPr>
        <w:spacing w:after="0" w:line="240" w:lineRule="auto"/>
      </w:pPr>
    </w:p>
    <w:p w14:paraId="25EABB66" w14:textId="77777777" w:rsidR="008578A8" w:rsidRDefault="008578A8" w:rsidP="008F2557">
      <w:pPr>
        <w:pStyle w:val="Titre2"/>
      </w:pPr>
      <w:bookmarkStart w:id="6" w:name="_Toc139181298"/>
      <w:r>
        <w:t>Un constat inquiétant sur la désertification et la salinisation croissante des terres</w:t>
      </w:r>
      <w:bookmarkEnd w:id="6"/>
    </w:p>
    <w:p w14:paraId="559DE86F" w14:textId="77777777" w:rsidR="008578A8" w:rsidRDefault="008578A8" w:rsidP="00C7103E">
      <w:pPr>
        <w:spacing w:after="0" w:line="240" w:lineRule="auto"/>
      </w:pPr>
    </w:p>
    <w:p w14:paraId="5F3B516A" w14:textId="38AE3BAA" w:rsidR="00D832DB" w:rsidRPr="008F2557" w:rsidRDefault="00D832DB" w:rsidP="008F2557">
      <w:pPr>
        <w:pStyle w:val="Titre3"/>
      </w:pPr>
      <w:bookmarkStart w:id="7" w:name="_Toc139181299"/>
      <w:r w:rsidRPr="008F2557">
        <w:t>Augmentation des périodes de sècheresse et de canicule et aridification d</w:t>
      </w:r>
      <w:r w:rsidR="00741C99" w:rsidRPr="008F2557">
        <w:t>es terres</w:t>
      </w:r>
      <w:bookmarkEnd w:id="7"/>
    </w:p>
    <w:p w14:paraId="3C21DB58" w14:textId="77777777" w:rsidR="00D832DB" w:rsidRDefault="00D832DB" w:rsidP="00C7103E">
      <w:pPr>
        <w:spacing w:after="0" w:line="240" w:lineRule="auto"/>
      </w:pPr>
    </w:p>
    <w:p w14:paraId="11DACF85" w14:textId="474D72F6" w:rsidR="008A61FB" w:rsidRDefault="008A61FB" w:rsidP="00C7103E">
      <w:pPr>
        <w:spacing w:after="0" w:line="240" w:lineRule="auto"/>
      </w:pPr>
      <w:r>
        <w:t>Dans beaucoup de régions du globe, nous observons </w:t>
      </w:r>
      <w:r w:rsidR="005C361C">
        <w:t>(voir ci-après) :</w:t>
      </w:r>
    </w:p>
    <w:p w14:paraId="475FB75D" w14:textId="3E0A3C3C" w:rsidR="008A61FB" w:rsidRDefault="008A61FB" w:rsidP="00C7103E">
      <w:pPr>
        <w:spacing w:after="0" w:line="240" w:lineRule="auto"/>
      </w:pPr>
    </w:p>
    <w:p w14:paraId="29B58E48" w14:textId="47C0C604" w:rsidR="008A61FB" w:rsidRDefault="008A61FB" w:rsidP="00DC41FC">
      <w:pPr>
        <w:pStyle w:val="Paragraphedeliste"/>
        <w:numPr>
          <w:ilvl w:val="0"/>
          <w:numId w:val="4"/>
        </w:numPr>
        <w:spacing w:after="0" w:line="240" w:lineRule="auto"/>
        <w:ind w:left="426"/>
        <w:jc w:val="both"/>
      </w:pPr>
      <w:r>
        <w:t>Une aridification de certaines région</w:t>
      </w:r>
      <w:r w:rsidR="00D832DB">
        <w:t>s</w:t>
      </w:r>
      <w:r>
        <w:t xml:space="preserve"> (Sahel, Nord de la Chine, Sud de Madagascar …).</w:t>
      </w:r>
    </w:p>
    <w:p w14:paraId="4CE8B07D" w14:textId="0EFCC092" w:rsidR="008A61FB" w:rsidRDefault="008A61FB" w:rsidP="00DC41FC">
      <w:pPr>
        <w:pStyle w:val="Paragraphedeliste"/>
        <w:numPr>
          <w:ilvl w:val="0"/>
          <w:numId w:val="4"/>
        </w:numPr>
        <w:spacing w:after="0" w:line="240" w:lineRule="auto"/>
        <w:ind w:left="426"/>
        <w:jc w:val="both"/>
      </w:pPr>
      <w:r>
        <w:t>Une augmentation des périodes de sècheresse et de canicule (avec le recul de la saison des pluies, dans toute l’Afrique, à Madagascar, en Australie, en Europe …).</w:t>
      </w:r>
    </w:p>
    <w:p w14:paraId="117456D7" w14:textId="1546FE2A" w:rsidR="008A61FB" w:rsidRDefault="008A61FB" w:rsidP="00DC41FC">
      <w:pPr>
        <w:pStyle w:val="Paragraphedeliste"/>
        <w:numPr>
          <w:ilvl w:val="0"/>
          <w:numId w:val="4"/>
        </w:numPr>
        <w:spacing w:after="0" w:line="240" w:lineRule="auto"/>
        <w:ind w:left="426"/>
        <w:jc w:val="both"/>
      </w:pPr>
      <w:r>
        <w:t>Une augmentation des épisodes d’incendies catastrophiques et meurtriers (Australie, Californie, Amazonie, Indonésie, Bornéo, Pantanal</w:t>
      </w:r>
      <w:r w:rsidR="00DE65C8">
        <w:rPr>
          <w:rStyle w:val="Appelnotedebasdep"/>
        </w:rPr>
        <w:footnoteReference w:id="8"/>
      </w:r>
      <w:r>
        <w:t>,</w:t>
      </w:r>
      <w:r w:rsidR="009D57EA">
        <w:t xml:space="preserve"> Sibérie (taïga)</w:t>
      </w:r>
      <w:r>
        <w:t xml:space="preserve"> …). </w:t>
      </w:r>
      <w:r w:rsidR="009D57EA">
        <w:t>Des épisodes rarement observés, avant 1990.  On observe même des feux de toundra (au Groenland, en Sibérie), un phénomène jamais observé, avant 1990.</w:t>
      </w:r>
    </w:p>
    <w:p w14:paraId="19E21792" w14:textId="4976588F" w:rsidR="009D57EA" w:rsidRDefault="009D57EA" w:rsidP="00DC41FC">
      <w:pPr>
        <w:pStyle w:val="Paragraphedeliste"/>
        <w:numPr>
          <w:ilvl w:val="0"/>
          <w:numId w:val="4"/>
        </w:numPr>
        <w:spacing w:after="0" w:line="240" w:lineRule="auto"/>
        <w:ind w:left="426"/>
        <w:jc w:val="both"/>
      </w:pPr>
      <w:r>
        <w:t xml:space="preserve">Un </w:t>
      </w:r>
      <w:r w:rsidR="00173E95">
        <w:t>recul</w:t>
      </w:r>
      <w:r>
        <w:t xml:space="preserve"> généralisée de tous les glaciers du monde, depuis </w:t>
      </w:r>
      <w:r w:rsidR="00173E95">
        <w:t>1850</w:t>
      </w:r>
      <w:r w:rsidR="00173E95">
        <w:rPr>
          <w:rStyle w:val="Appelnotedebasdep"/>
        </w:rPr>
        <w:footnoteReference w:id="9"/>
      </w:r>
      <w:r>
        <w:t>. Leur disparition pouvant augmenter les risques de sècheresses dans certaines régions montagneuses (</w:t>
      </w:r>
      <w:r w:rsidR="00173E95" w:rsidRPr="00173E95">
        <w:t>Himalaya, Alpes, montagnes Rocheuses, chaîne des Cascades, Andes méridionales, Kilimandjaro en Afrique</w:t>
      </w:r>
      <w:r>
        <w:t xml:space="preserve"> …).</w:t>
      </w:r>
    </w:p>
    <w:p w14:paraId="29B5145E" w14:textId="45437B9A" w:rsidR="004C69A7" w:rsidRDefault="004C69A7" w:rsidP="00DC41FC">
      <w:pPr>
        <w:pStyle w:val="Paragraphedeliste"/>
        <w:numPr>
          <w:ilvl w:val="0"/>
          <w:numId w:val="4"/>
        </w:numPr>
        <w:spacing w:after="0" w:line="240" w:lineRule="auto"/>
        <w:ind w:left="426"/>
        <w:jc w:val="both"/>
      </w:pPr>
      <w:r>
        <w:t>Diminution de la hauteur et du volume des aquifères (sud de l’Espagne, Chili, …), y compris des aquifères fossiles (Libye, Arabie saoudite …).</w:t>
      </w:r>
    </w:p>
    <w:p w14:paraId="6D01182D" w14:textId="21829E21" w:rsidR="00993224" w:rsidRDefault="004C69A7" w:rsidP="00DC41FC">
      <w:pPr>
        <w:pStyle w:val="Paragraphedeliste"/>
        <w:numPr>
          <w:ilvl w:val="0"/>
          <w:numId w:val="4"/>
        </w:numPr>
        <w:spacing w:after="0" w:line="240" w:lineRule="auto"/>
        <w:ind w:left="426"/>
        <w:jc w:val="both"/>
      </w:pPr>
      <w:r>
        <w:t xml:space="preserve">Assèchement de lacs </w:t>
      </w:r>
      <w:r w:rsidR="0048456A">
        <w:t xml:space="preserve">_ </w:t>
      </w:r>
      <w:r w:rsidRPr="004C69A7">
        <w:t>lac Abijata</w:t>
      </w:r>
      <w:r w:rsidR="00485EE0">
        <w:t xml:space="preserve"> (</w:t>
      </w:r>
      <w:r w:rsidRPr="004C69A7">
        <w:t>Éthiopie</w:t>
      </w:r>
      <w:r w:rsidR="00485EE0">
        <w:t>), lac Aculeo (Chili)</w:t>
      </w:r>
      <w:r>
        <w:t xml:space="preserve">, </w:t>
      </w:r>
      <w:r w:rsidRPr="004C69A7">
        <w:t xml:space="preserve">lac de </w:t>
      </w:r>
      <w:r>
        <w:t>T</w:t>
      </w:r>
      <w:r w:rsidRPr="004C69A7">
        <w:t>ibériade</w:t>
      </w:r>
      <w:r w:rsidR="00485EE0">
        <w:t xml:space="preserve"> (Israël, Jordanie)</w:t>
      </w:r>
      <w:r>
        <w:t>,</w:t>
      </w:r>
      <w:r w:rsidR="00485EE0">
        <w:t xml:space="preserve"> lac Mono</w:t>
      </w:r>
      <w:r w:rsidR="00485EE0">
        <w:rPr>
          <w:rStyle w:val="Appelnotedebasdep"/>
        </w:rPr>
        <w:footnoteReference w:id="10"/>
      </w:r>
      <w:r w:rsidR="00485EE0">
        <w:t>,</w:t>
      </w:r>
      <w:r>
        <w:t xml:space="preserve"> </w:t>
      </w:r>
      <w:r w:rsidRPr="004C69A7">
        <w:t>lac Powell</w:t>
      </w:r>
      <w:r w:rsidR="00C53B22">
        <w:t>s</w:t>
      </w:r>
      <w:r w:rsidRPr="004C69A7">
        <w:t>, situé entre l'Arizona et l'Utah, lac</w:t>
      </w:r>
      <w:r>
        <w:t xml:space="preserve"> artificiel</w:t>
      </w:r>
      <w:r w:rsidRPr="004C69A7">
        <w:t xml:space="preserve"> Mead</w:t>
      </w:r>
      <w:r>
        <w:t>, depuis 1983</w:t>
      </w:r>
      <w:r>
        <w:rPr>
          <w:rStyle w:val="Appelnotedebasdep"/>
        </w:rPr>
        <w:footnoteReference w:id="11"/>
      </w:r>
      <w:r w:rsidR="00485EE0">
        <w:t xml:space="preserve"> (USA)</w:t>
      </w:r>
      <w:r w:rsidRPr="004C69A7">
        <w:t>,</w:t>
      </w:r>
      <w:r w:rsidR="0048456A">
        <w:t xml:space="preserve"> </w:t>
      </w:r>
      <w:r w:rsidR="0048456A" w:rsidRPr="0048456A">
        <w:t>lac Poyang</w:t>
      </w:r>
      <w:r w:rsidR="0048456A">
        <w:rPr>
          <w:rStyle w:val="Appelnotedebasdep"/>
        </w:rPr>
        <w:footnoteReference w:id="12"/>
      </w:r>
      <w:r w:rsidR="0048456A" w:rsidRPr="0048456A">
        <w:t xml:space="preserve"> (Chine)</w:t>
      </w:r>
      <w:r w:rsidR="0048456A">
        <w:t>,</w:t>
      </w:r>
      <w:r>
        <w:t xml:space="preserve"> …</w:t>
      </w:r>
      <w:r w:rsidR="0048456A">
        <w:t xml:space="preserve"> _</w:t>
      </w:r>
      <w:r>
        <w:t xml:space="preserve">, </w:t>
      </w:r>
      <w:r w:rsidRPr="004C69A7">
        <w:t>lac</w:t>
      </w:r>
      <w:r>
        <w:t>s</w:t>
      </w:r>
      <w:r w:rsidRPr="004C69A7">
        <w:t xml:space="preserve"> endoréique</w:t>
      </w:r>
      <w:r>
        <w:t>s</w:t>
      </w:r>
      <w:r w:rsidR="007629B0">
        <w:rPr>
          <w:rStyle w:val="Appelnotedebasdep"/>
        </w:rPr>
        <w:footnoteReference w:id="13"/>
      </w:r>
      <w:r>
        <w:t xml:space="preserve"> </w:t>
      </w:r>
      <w:r w:rsidR="0048456A">
        <w:t xml:space="preserve"> _ </w:t>
      </w:r>
      <w:r w:rsidR="00A02E44" w:rsidRPr="00A02E44">
        <w:t>lac Balkhach</w:t>
      </w:r>
      <w:r w:rsidR="00A02E44">
        <w:rPr>
          <w:rStyle w:val="Appelnotedebasdep"/>
        </w:rPr>
        <w:footnoteReference w:id="14"/>
      </w:r>
      <w:r w:rsidR="00A02E44" w:rsidRPr="00A02E44">
        <w:t xml:space="preserve"> (Kazakhstan)</w:t>
      </w:r>
      <w:r w:rsidR="00095466">
        <w:t>, Salton sea (USA)</w:t>
      </w:r>
      <w:r w:rsidR="00477D9C">
        <w:t>, Mer morte (Israël, Jordanie)</w:t>
      </w:r>
      <w:r w:rsidR="00A02E44">
        <w:t xml:space="preserve"> …</w:t>
      </w:r>
      <w:r w:rsidR="0048456A">
        <w:t xml:space="preserve"> _</w:t>
      </w:r>
      <w:r>
        <w:t xml:space="preserve"> et de mers fermées (</w:t>
      </w:r>
      <w:r w:rsidR="009666D9">
        <w:t>Mer d’</w:t>
      </w:r>
      <w:r>
        <w:t>Aral …)</w:t>
      </w:r>
      <w:r w:rsidR="00993224">
        <w:t xml:space="preserve"> …</w:t>
      </w:r>
    </w:p>
    <w:p w14:paraId="48E9AA92" w14:textId="02F9700A" w:rsidR="004C69A7" w:rsidRDefault="00993224" w:rsidP="00DC41FC">
      <w:pPr>
        <w:pStyle w:val="Paragraphedeliste"/>
        <w:numPr>
          <w:ilvl w:val="0"/>
          <w:numId w:val="4"/>
        </w:numPr>
        <w:spacing w:after="0" w:line="240" w:lineRule="auto"/>
        <w:ind w:left="426"/>
        <w:jc w:val="both"/>
      </w:pPr>
      <w:r>
        <w:t>Assèchement</w:t>
      </w:r>
      <w:r w:rsidR="004C69A7">
        <w:t xml:space="preserve"> de fleuves (Colorado</w:t>
      </w:r>
      <w:r>
        <w:t xml:space="preserve"> (USA), </w:t>
      </w:r>
      <w:r w:rsidRPr="00993224">
        <w:t>Rio Grande</w:t>
      </w:r>
      <w:r>
        <w:t xml:space="preserve"> (USA), Indus (Pakistan), </w:t>
      </w:r>
      <w:r w:rsidRPr="00993224">
        <w:t>fleuve Jaune (Chine), rivière Teesta (Inde), fleuve Murray (Australie)</w:t>
      </w:r>
      <w:r w:rsidR="004C69A7">
        <w:t xml:space="preserve"> …)</w:t>
      </w:r>
      <w:r w:rsidR="00027D48">
        <w:rPr>
          <w:rStyle w:val="Appelnotedebasdep"/>
        </w:rPr>
        <w:footnoteReference w:id="15"/>
      </w:r>
      <w:r w:rsidR="004C69A7">
        <w:t>.</w:t>
      </w:r>
    </w:p>
    <w:p w14:paraId="59244646" w14:textId="3B04F81B" w:rsidR="008A61FB" w:rsidRDefault="008A61FB" w:rsidP="00C7103E">
      <w:pPr>
        <w:spacing w:after="0" w:line="240" w:lineRule="auto"/>
      </w:pPr>
    </w:p>
    <w:p w14:paraId="48AEF4E1" w14:textId="0D0BA5AA" w:rsidR="00F037C4" w:rsidRDefault="00F037C4" w:rsidP="008F2557">
      <w:pPr>
        <w:pStyle w:val="Titre3"/>
      </w:pPr>
      <w:bookmarkStart w:id="8" w:name="_Toc139181300"/>
      <w:r>
        <w:t>Augmentation des feux de forêts</w:t>
      </w:r>
      <w:r w:rsidR="008F2557">
        <w:t xml:space="preserve"> de grande ampleur</w:t>
      </w:r>
      <w:r>
        <w:t xml:space="preserve"> dans le monde</w:t>
      </w:r>
      <w:bookmarkEnd w:id="8"/>
    </w:p>
    <w:p w14:paraId="2F28DD01" w14:textId="77777777" w:rsidR="00F037C4" w:rsidRDefault="00F037C4" w:rsidP="00C7103E">
      <w:pPr>
        <w:spacing w:after="0" w:line="240" w:lineRule="auto"/>
      </w:pPr>
    </w:p>
    <w:p w14:paraId="0673A5D9" w14:textId="77777777" w:rsidR="00DC41FC" w:rsidRDefault="00DC41FC" w:rsidP="00DC41FC">
      <w:pPr>
        <w:spacing w:after="0" w:line="240" w:lineRule="auto"/>
        <w:jc w:val="both"/>
      </w:pPr>
      <w:r>
        <w:t>Multiplications des incendies et des sècheresses de grande ampleur, au cours du temps, dont des cas jamais vus :</w:t>
      </w:r>
    </w:p>
    <w:p w14:paraId="1DAE366C" w14:textId="77777777" w:rsidR="00DC41FC" w:rsidRDefault="00DC41FC" w:rsidP="00DC41FC">
      <w:pPr>
        <w:spacing w:after="0" w:line="240" w:lineRule="auto"/>
        <w:jc w:val="both"/>
      </w:pPr>
    </w:p>
    <w:tbl>
      <w:tblPr>
        <w:tblStyle w:val="Grilledutableau"/>
        <w:tblW w:w="10343" w:type="dxa"/>
        <w:tblLook w:val="04A0" w:firstRow="1" w:lastRow="0" w:firstColumn="1" w:lastColumn="0" w:noHBand="0" w:noVBand="1"/>
      </w:tblPr>
      <w:tblGrid>
        <w:gridCol w:w="1201"/>
        <w:gridCol w:w="1345"/>
        <w:gridCol w:w="7797"/>
      </w:tblGrid>
      <w:tr w:rsidR="00DC41FC" w14:paraId="2F760AD8" w14:textId="77777777" w:rsidTr="00E03403">
        <w:trPr>
          <w:tblHeader/>
        </w:trPr>
        <w:tc>
          <w:tcPr>
            <w:tcW w:w="1201" w:type="dxa"/>
            <w:shd w:val="clear" w:color="auto" w:fill="auto"/>
          </w:tcPr>
          <w:p w14:paraId="3F6A96BD" w14:textId="77777777" w:rsidR="00DC41FC" w:rsidRDefault="00DC41FC" w:rsidP="00E9600F">
            <w:pPr>
              <w:jc w:val="both"/>
              <w:rPr>
                <w:b/>
                <w:bCs/>
              </w:rPr>
            </w:pPr>
            <w:r>
              <w:rPr>
                <w:b/>
                <w:bCs/>
              </w:rPr>
              <w:t>Lieu</w:t>
            </w:r>
          </w:p>
        </w:tc>
        <w:tc>
          <w:tcPr>
            <w:tcW w:w="1345" w:type="dxa"/>
            <w:shd w:val="clear" w:color="auto" w:fill="auto"/>
          </w:tcPr>
          <w:p w14:paraId="7725B1C4" w14:textId="77777777" w:rsidR="00DC41FC" w:rsidRDefault="00DC41FC" w:rsidP="00E9600F">
            <w:pPr>
              <w:jc w:val="both"/>
              <w:rPr>
                <w:b/>
                <w:bCs/>
              </w:rPr>
            </w:pPr>
            <w:r>
              <w:rPr>
                <w:b/>
                <w:bCs/>
              </w:rPr>
              <w:t>Date</w:t>
            </w:r>
          </w:p>
        </w:tc>
        <w:tc>
          <w:tcPr>
            <w:tcW w:w="7797" w:type="dxa"/>
            <w:shd w:val="clear" w:color="auto" w:fill="auto"/>
          </w:tcPr>
          <w:p w14:paraId="7C2195A0" w14:textId="77777777" w:rsidR="00DC41FC" w:rsidRDefault="00DC41FC" w:rsidP="00E9600F">
            <w:pPr>
              <w:jc w:val="both"/>
              <w:rPr>
                <w:b/>
                <w:bCs/>
              </w:rPr>
            </w:pPr>
            <w:r>
              <w:rPr>
                <w:b/>
                <w:bCs/>
              </w:rPr>
              <w:t>Etendue des dégâts / Causes</w:t>
            </w:r>
          </w:p>
        </w:tc>
      </w:tr>
      <w:tr w:rsidR="00DC41FC" w14:paraId="2A52A54D" w14:textId="77777777" w:rsidTr="00E03403">
        <w:tc>
          <w:tcPr>
            <w:tcW w:w="1201" w:type="dxa"/>
            <w:shd w:val="clear" w:color="auto" w:fill="auto"/>
          </w:tcPr>
          <w:p w14:paraId="5E8AD3B6" w14:textId="77777777" w:rsidR="00DC41FC" w:rsidRDefault="00DC41FC" w:rsidP="00E9600F">
            <w:pPr>
              <w:jc w:val="both"/>
            </w:pPr>
            <w:r>
              <w:t>Californie</w:t>
            </w:r>
          </w:p>
        </w:tc>
        <w:tc>
          <w:tcPr>
            <w:tcW w:w="1345" w:type="dxa"/>
            <w:shd w:val="clear" w:color="auto" w:fill="auto"/>
          </w:tcPr>
          <w:p w14:paraId="0EE8E5C1" w14:textId="77777777" w:rsidR="00DC41FC" w:rsidRDefault="00DC41FC" w:rsidP="00E9600F">
            <w:pPr>
              <w:jc w:val="both"/>
            </w:pPr>
            <w:r>
              <w:t>11/2018</w:t>
            </w:r>
          </w:p>
        </w:tc>
        <w:tc>
          <w:tcPr>
            <w:tcW w:w="7797" w:type="dxa"/>
            <w:shd w:val="clear" w:color="auto" w:fill="auto"/>
          </w:tcPr>
          <w:p w14:paraId="17C2E187" w14:textId="77777777" w:rsidR="00DC41FC" w:rsidRDefault="00DC41FC" w:rsidP="00E9600F">
            <w:pPr>
              <w:jc w:val="both"/>
            </w:pPr>
            <w:r>
              <w:t>La sécheresse sévit depuis 10 années sur ce grand Etat de l'ouest des Etats-Unis.</w:t>
            </w:r>
          </w:p>
        </w:tc>
      </w:tr>
      <w:tr w:rsidR="00DC41FC" w14:paraId="75CF05A6" w14:textId="77777777" w:rsidTr="00E03403">
        <w:tc>
          <w:tcPr>
            <w:tcW w:w="1201" w:type="dxa"/>
            <w:shd w:val="clear" w:color="auto" w:fill="auto"/>
          </w:tcPr>
          <w:p w14:paraId="3F9C49B9" w14:textId="77777777" w:rsidR="00DC41FC" w:rsidRDefault="00DC41FC" w:rsidP="00E9600F">
            <w:pPr>
              <w:jc w:val="both"/>
            </w:pPr>
            <w:r>
              <w:t>Groenland</w:t>
            </w:r>
          </w:p>
        </w:tc>
        <w:tc>
          <w:tcPr>
            <w:tcW w:w="1345" w:type="dxa"/>
            <w:shd w:val="clear" w:color="auto" w:fill="auto"/>
          </w:tcPr>
          <w:p w14:paraId="69C5145F" w14:textId="77777777" w:rsidR="00DC41FC" w:rsidRDefault="00DC41FC" w:rsidP="00E9600F">
            <w:pPr>
              <w:jc w:val="both"/>
            </w:pPr>
            <w:r>
              <w:t>07/2017</w:t>
            </w:r>
          </w:p>
        </w:tc>
        <w:tc>
          <w:tcPr>
            <w:tcW w:w="7797" w:type="dxa"/>
            <w:shd w:val="clear" w:color="auto" w:fill="auto"/>
          </w:tcPr>
          <w:p w14:paraId="48AB7C5E" w14:textId="77777777" w:rsidR="00DC41FC" w:rsidRDefault="00DC41FC" w:rsidP="00E9600F">
            <w:pPr>
              <w:jc w:val="both"/>
            </w:pPr>
            <w:r>
              <w:t>Incendie de toundra. Beaucoup de dégagement de CO2. 15 km2</w:t>
            </w:r>
          </w:p>
        </w:tc>
      </w:tr>
      <w:tr w:rsidR="00DC41FC" w14:paraId="6C4DDF3F" w14:textId="77777777" w:rsidTr="00E03403">
        <w:tc>
          <w:tcPr>
            <w:tcW w:w="1201" w:type="dxa"/>
            <w:shd w:val="clear" w:color="auto" w:fill="auto"/>
          </w:tcPr>
          <w:p w14:paraId="2218B9E7" w14:textId="77777777" w:rsidR="00DC41FC" w:rsidRDefault="00DC41FC" w:rsidP="00E9600F">
            <w:pPr>
              <w:jc w:val="both"/>
            </w:pPr>
            <w:r>
              <w:t>Alaska</w:t>
            </w:r>
          </w:p>
        </w:tc>
        <w:tc>
          <w:tcPr>
            <w:tcW w:w="1345" w:type="dxa"/>
            <w:shd w:val="clear" w:color="auto" w:fill="auto"/>
          </w:tcPr>
          <w:p w14:paraId="29A08B7E" w14:textId="77777777" w:rsidR="00DC41FC" w:rsidRDefault="00DC41FC" w:rsidP="00E9600F">
            <w:pPr>
              <w:jc w:val="both"/>
            </w:pPr>
            <w:r>
              <w:t>2007</w:t>
            </w:r>
          </w:p>
          <w:p w14:paraId="0F141993" w14:textId="77777777" w:rsidR="00DC41FC" w:rsidRDefault="00DC41FC" w:rsidP="00E9600F">
            <w:pPr>
              <w:jc w:val="both"/>
            </w:pPr>
            <w:r>
              <w:t>2015</w:t>
            </w:r>
          </w:p>
        </w:tc>
        <w:tc>
          <w:tcPr>
            <w:tcW w:w="7797" w:type="dxa"/>
            <w:shd w:val="clear" w:color="auto" w:fill="auto"/>
          </w:tcPr>
          <w:p w14:paraId="1125C3BE" w14:textId="77777777" w:rsidR="00DC41FC" w:rsidRDefault="00DC41FC" w:rsidP="00E9600F">
            <w:pPr>
              <w:jc w:val="both"/>
            </w:pPr>
            <w:r>
              <w:t>. Incendie de toundra, en 2007. Beaucoup de dégagement de CO2.</w:t>
            </w:r>
          </w:p>
          <w:p w14:paraId="70D3115C" w14:textId="77777777" w:rsidR="00DC41FC" w:rsidRDefault="00DC41FC" w:rsidP="00E9600F">
            <w:pPr>
              <w:jc w:val="both"/>
            </w:pPr>
            <w:r>
              <w:t>. 2 millions d'hectares, début 2015.</w:t>
            </w:r>
          </w:p>
        </w:tc>
      </w:tr>
      <w:tr w:rsidR="00DC41FC" w14:paraId="45200477" w14:textId="77777777" w:rsidTr="00E03403">
        <w:tc>
          <w:tcPr>
            <w:tcW w:w="1201" w:type="dxa"/>
            <w:shd w:val="clear" w:color="auto" w:fill="auto"/>
          </w:tcPr>
          <w:p w14:paraId="027A523A" w14:textId="77777777" w:rsidR="00DC41FC" w:rsidRDefault="00DC41FC" w:rsidP="00E9600F">
            <w:pPr>
              <w:jc w:val="both"/>
            </w:pPr>
            <w:r>
              <w:t>Russie</w:t>
            </w:r>
          </w:p>
        </w:tc>
        <w:tc>
          <w:tcPr>
            <w:tcW w:w="1345" w:type="dxa"/>
            <w:shd w:val="clear" w:color="auto" w:fill="auto"/>
          </w:tcPr>
          <w:p w14:paraId="29B1228F" w14:textId="77777777" w:rsidR="00DC41FC" w:rsidRDefault="00DC41FC" w:rsidP="00E9600F">
            <w:pPr>
              <w:jc w:val="both"/>
            </w:pPr>
            <w:r>
              <w:t>07-08/2010</w:t>
            </w:r>
          </w:p>
          <w:p w14:paraId="0B87973B" w14:textId="77777777" w:rsidR="00DC41FC" w:rsidRDefault="00DC41FC" w:rsidP="00E9600F">
            <w:pPr>
              <w:jc w:val="both"/>
            </w:pPr>
            <w:r>
              <w:t>&amp; 2018</w:t>
            </w:r>
          </w:p>
        </w:tc>
        <w:tc>
          <w:tcPr>
            <w:tcW w:w="7797" w:type="dxa"/>
            <w:shd w:val="clear" w:color="auto" w:fill="auto"/>
          </w:tcPr>
          <w:p w14:paraId="6BC15D4A" w14:textId="77777777" w:rsidR="00DC41FC" w:rsidRDefault="00DC41FC" w:rsidP="00E9600F">
            <w:pPr>
              <w:jc w:val="both"/>
            </w:pPr>
            <w:r>
              <w:t>. Incendie de taïga et de tourbière. 800 000 hectares, en 2010, en raison d’une canicule.</w:t>
            </w:r>
          </w:p>
          <w:p w14:paraId="7424DC30" w14:textId="77777777" w:rsidR="00DC41FC" w:rsidRDefault="00DC41FC" w:rsidP="00E9600F">
            <w:pPr>
              <w:jc w:val="both"/>
            </w:pPr>
            <w:r>
              <w:t>. 150 000 hectares, région de l’Amour, en 2018.</w:t>
            </w:r>
          </w:p>
        </w:tc>
      </w:tr>
      <w:tr w:rsidR="00DC41FC" w14:paraId="3CC7F25D" w14:textId="77777777" w:rsidTr="00E03403">
        <w:tc>
          <w:tcPr>
            <w:tcW w:w="1201" w:type="dxa"/>
            <w:shd w:val="clear" w:color="auto" w:fill="auto"/>
          </w:tcPr>
          <w:p w14:paraId="785819C6" w14:textId="77777777" w:rsidR="00DC41FC" w:rsidRDefault="00DC41FC" w:rsidP="00E9600F">
            <w:pPr>
              <w:jc w:val="both"/>
            </w:pPr>
            <w:r>
              <w:t>Australie</w:t>
            </w:r>
          </w:p>
        </w:tc>
        <w:tc>
          <w:tcPr>
            <w:tcW w:w="1345" w:type="dxa"/>
            <w:shd w:val="clear" w:color="auto" w:fill="auto"/>
          </w:tcPr>
          <w:p w14:paraId="66E1CB3F" w14:textId="77777777" w:rsidR="00DC41FC" w:rsidRDefault="00DC41FC" w:rsidP="00E9600F">
            <w:pPr>
              <w:jc w:val="both"/>
            </w:pPr>
            <w:r>
              <w:t>. 02/2009</w:t>
            </w:r>
          </w:p>
          <w:p w14:paraId="7F3F15B6" w14:textId="77777777" w:rsidR="00DC41FC" w:rsidRDefault="00DC41FC" w:rsidP="00E9600F">
            <w:pPr>
              <w:jc w:val="both"/>
            </w:pPr>
            <w:r>
              <w:t>10-11/2015</w:t>
            </w:r>
          </w:p>
          <w:p w14:paraId="3230E18D" w14:textId="77777777" w:rsidR="00DC41FC" w:rsidRDefault="00DC41FC" w:rsidP="00E9600F">
            <w:pPr>
              <w:jc w:val="both"/>
            </w:pPr>
          </w:p>
          <w:p w14:paraId="1849B092" w14:textId="77777777" w:rsidR="00DC41FC" w:rsidRDefault="00DC41FC" w:rsidP="00E9600F">
            <w:pPr>
              <w:jc w:val="both"/>
            </w:pPr>
            <w:r>
              <w:t>10/2013</w:t>
            </w:r>
          </w:p>
          <w:p w14:paraId="6508845E" w14:textId="5B826230" w:rsidR="00DC41FC" w:rsidRDefault="00DC41FC" w:rsidP="00E9600F">
            <w:pPr>
              <w:jc w:val="both"/>
            </w:pPr>
          </w:p>
        </w:tc>
        <w:tc>
          <w:tcPr>
            <w:tcW w:w="7797" w:type="dxa"/>
            <w:shd w:val="clear" w:color="auto" w:fill="auto"/>
          </w:tcPr>
          <w:p w14:paraId="12CAFFA4" w14:textId="77777777" w:rsidR="00DC41FC" w:rsidRDefault="00DC41FC" w:rsidP="00E9600F">
            <w:pPr>
              <w:jc w:val="both"/>
            </w:pPr>
            <w:r>
              <w:t>. Plus de 231 morts, 365.000 hectares brûlés et 1.000 maisons (région de Victoria).</w:t>
            </w:r>
          </w:p>
          <w:p w14:paraId="5FB4F92C" w14:textId="7E0FD5F2" w:rsidR="00DC41FC" w:rsidRPr="006B419A" w:rsidRDefault="00DC41FC" w:rsidP="00E9600F">
            <w:pPr>
              <w:jc w:val="both"/>
            </w:pPr>
            <w:r>
              <w:t>. Octobre - novembre 2015 : Feux de broussailles de 2015 à Esperance (Plus de 200 000 ha). 5 réserves naturelles et une grande partie du parc national de Cap Aride impactées. . 17 - 28 octobre 2013 : Feux de brousse de 2013 en Nouvelle-Galles du Sud (plus de 100 000 ha) : au moins 248 édifices détruits etc. etc.</w:t>
            </w:r>
          </w:p>
        </w:tc>
      </w:tr>
      <w:tr w:rsidR="00DC41FC" w14:paraId="46C513DC" w14:textId="77777777" w:rsidTr="00E03403">
        <w:tc>
          <w:tcPr>
            <w:tcW w:w="1201" w:type="dxa"/>
            <w:shd w:val="clear" w:color="auto" w:fill="auto"/>
          </w:tcPr>
          <w:p w14:paraId="5DA9AA68" w14:textId="77777777" w:rsidR="00DC41FC" w:rsidRDefault="00DC41FC" w:rsidP="00E9600F">
            <w:pPr>
              <w:jc w:val="both"/>
            </w:pPr>
            <w:r>
              <w:t>Amazonie</w:t>
            </w:r>
          </w:p>
        </w:tc>
        <w:tc>
          <w:tcPr>
            <w:tcW w:w="1345" w:type="dxa"/>
            <w:shd w:val="clear" w:color="auto" w:fill="auto"/>
          </w:tcPr>
          <w:p w14:paraId="50FB42B4" w14:textId="77777777" w:rsidR="00DC41FC" w:rsidRDefault="00DC41FC" w:rsidP="00E9600F">
            <w:pPr>
              <w:jc w:val="both"/>
            </w:pPr>
            <w:r>
              <w:t>08-09/2016</w:t>
            </w:r>
          </w:p>
          <w:p w14:paraId="523AD4F2" w14:textId="77777777" w:rsidR="00DC41FC" w:rsidRDefault="00DC41FC" w:rsidP="00E9600F">
            <w:pPr>
              <w:jc w:val="both"/>
            </w:pPr>
          </w:p>
          <w:p w14:paraId="360834C9" w14:textId="77777777" w:rsidR="00DC41FC" w:rsidRDefault="00DC41FC" w:rsidP="00E9600F">
            <w:pPr>
              <w:jc w:val="both"/>
            </w:pPr>
            <w:r>
              <w:t>01/1998</w:t>
            </w:r>
          </w:p>
          <w:p w14:paraId="73DDD9EF" w14:textId="77777777" w:rsidR="00DC41FC" w:rsidRDefault="00DC41FC" w:rsidP="00E9600F">
            <w:pPr>
              <w:jc w:val="both"/>
              <w:rPr>
                <w:sz w:val="20"/>
                <w:szCs w:val="20"/>
              </w:rPr>
            </w:pPr>
          </w:p>
        </w:tc>
        <w:tc>
          <w:tcPr>
            <w:tcW w:w="7797" w:type="dxa"/>
            <w:shd w:val="clear" w:color="auto" w:fill="auto"/>
          </w:tcPr>
          <w:p w14:paraId="20FE9AA4" w14:textId="77777777" w:rsidR="00DC41FC" w:rsidRDefault="00DC41FC" w:rsidP="00E9600F">
            <w:pPr>
              <w:jc w:val="both"/>
            </w:pPr>
            <w:r>
              <w:t>. 12500 incendies, en raison d’une forte sécheresse dans le bassin amazonien en Bolivie, Pérou (10000 ha) et Brésil. Sinon, ces incendies sont souvent volontaires.</w:t>
            </w:r>
          </w:p>
          <w:p w14:paraId="627F3FF2" w14:textId="77777777" w:rsidR="00DC41FC" w:rsidRDefault="00DC41FC" w:rsidP="00E9600F">
            <w:pPr>
              <w:jc w:val="both"/>
            </w:pPr>
            <w:r>
              <w:lastRenderedPageBreak/>
              <w:t>. 600.000 hectares, en janvier 1998, liée à la culture du brûlis et à un phénomène climatique El Niño provoquant une sécheresse inhabituelle.</w:t>
            </w:r>
          </w:p>
        </w:tc>
      </w:tr>
      <w:tr w:rsidR="00DC41FC" w14:paraId="01720BA2" w14:textId="77777777" w:rsidTr="00E03403">
        <w:tc>
          <w:tcPr>
            <w:tcW w:w="1201" w:type="dxa"/>
            <w:shd w:val="clear" w:color="auto" w:fill="auto"/>
          </w:tcPr>
          <w:p w14:paraId="1197BCCF" w14:textId="77777777" w:rsidR="00DC41FC" w:rsidRDefault="00DC41FC" w:rsidP="00E9600F">
            <w:pPr>
              <w:jc w:val="both"/>
            </w:pPr>
            <w:r>
              <w:lastRenderedPageBreak/>
              <w:t>Indonésie</w:t>
            </w:r>
          </w:p>
        </w:tc>
        <w:tc>
          <w:tcPr>
            <w:tcW w:w="1345" w:type="dxa"/>
            <w:shd w:val="clear" w:color="auto" w:fill="auto"/>
          </w:tcPr>
          <w:p w14:paraId="05331B88" w14:textId="77777777" w:rsidR="00DC41FC" w:rsidRDefault="00DC41FC" w:rsidP="00E9600F">
            <w:pPr>
              <w:jc w:val="both"/>
            </w:pPr>
            <w:r>
              <w:t>10-11/2015</w:t>
            </w:r>
          </w:p>
          <w:p w14:paraId="14B3EB14" w14:textId="77777777" w:rsidR="00DC41FC" w:rsidRDefault="00DC41FC" w:rsidP="00E9600F">
            <w:pPr>
              <w:jc w:val="both"/>
            </w:pPr>
          </w:p>
          <w:p w14:paraId="554E1A5B" w14:textId="77777777" w:rsidR="00DC41FC" w:rsidRDefault="00DC41FC" w:rsidP="00E9600F">
            <w:pPr>
              <w:jc w:val="both"/>
            </w:pPr>
            <w:r>
              <w:t>09/2019</w:t>
            </w:r>
          </w:p>
        </w:tc>
        <w:tc>
          <w:tcPr>
            <w:tcW w:w="7797" w:type="dxa"/>
            <w:shd w:val="clear" w:color="auto" w:fill="auto"/>
          </w:tcPr>
          <w:p w14:paraId="305608D3" w14:textId="136D91EA" w:rsidR="00DC41FC" w:rsidRDefault="006B419A" w:rsidP="00E9600F">
            <w:pPr>
              <w:jc w:val="both"/>
              <w:rPr>
                <w:rFonts w:ascii="Calibri" w:hAnsi="Calibri" w:cs="Calibri"/>
              </w:rPr>
            </w:pPr>
            <w:r>
              <w:rPr>
                <w:rFonts w:cs="Calibri"/>
                <w:shd w:val="clear" w:color="auto" w:fill="FFFFFF"/>
              </w:rPr>
              <w:t xml:space="preserve">. </w:t>
            </w:r>
            <w:r w:rsidR="00DC41FC">
              <w:rPr>
                <w:rFonts w:cs="Calibri"/>
                <w:shd w:val="clear" w:color="auto" w:fill="FFFFFF"/>
              </w:rPr>
              <w:t>Ces incendies étaient situés principalement sur les îles de </w:t>
            </w:r>
            <w:hyperlink r:id="rId31" w:tgtFrame="Kalimantan">
              <w:r w:rsidR="00DC41FC">
                <w:rPr>
                  <w:rStyle w:val="LienInternet"/>
                  <w:rFonts w:cs="Calibri"/>
                  <w:color w:val="0B0080"/>
                  <w:highlight w:val="white"/>
                </w:rPr>
                <w:t>Kalimantan</w:t>
              </w:r>
            </w:hyperlink>
            <w:r w:rsidR="00DC41FC">
              <w:rPr>
                <w:rFonts w:cs="Calibri"/>
                <w:color w:val="222222"/>
                <w:shd w:val="clear" w:color="auto" w:fill="FFFFFF"/>
              </w:rPr>
              <w:t> et </w:t>
            </w:r>
            <w:hyperlink r:id="rId32" w:tgtFrame="Sumatra">
              <w:r w:rsidR="00DC41FC">
                <w:rPr>
                  <w:rStyle w:val="LienInternet"/>
                  <w:rFonts w:cs="Calibri"/>
                  <w:color w:val="0B0080"/>
                  <w:highlight w:val="white"/>
                </w:rPr>
                <w:t>Sumatra</w:t>
              </w:r>
            </w:hyperlink>
            <w:r w:rsidR="00DC41FC">
              <w:rPr>
                <w:rFonts w:cs="Calibri"/>
                <w:color w:val="222222"/>
                <w:shd w:val="clear" w:color="auto" w:fill="FFFFFF"/>
              </w:rPr>
              <w:t xml:space="preserve">, et </w:t>
            </w:r>
            <w:r w:rsidR="00DC41FC">
              <w:rPr>
                <w:rFonts w:cs="Calibri"/>
                <w:shd w:val="clear" w:color="auto" w:fill="FFFFFF"/>
              </w:rPr>
              <w:t>sur la partie indonésienne de l'île de </w:t>
            </w:r>
            <w:hyperlink r:id="rId33" w:tgtFrame="Bornéo">
              <w:r w:rsidR="00DC41FC">
                <w:rPr>
                  <w:rStyle w:val="LienInternet"/>
                  <w:rFonts w:cs="Calibri"/>
                  <w:color w:val="0B0080"/>
                  <w:highlight w:val="white"/>
                </w:rPr>
                <w:t>Bornéo</w:t>
              </w:r>
            </w:hyperlink>
            <w:r w:rsidR="00DC41FC">
              <w:rPr>
                <w:rFonts w:cs="Calibri"/>
              </w:rPr>
              <w:t>. Ils ont décimés 26 000 km² de forêt</w:t>
            </w:r>
            <w:r w:rsidR="00DC41FC">
              <w:rPr>
                <w:rStyle w:val="Ancredenotedebasdepage"/>
                <w:rFonts w:cs="Calibri"/>
              </w:rPr>
              <w:footnoteReference w:id="16"/>
            </w:r>
            <w:r w:rsidR="00DC41FC">
              <w:rPr>
                <w:rFonts w:cs="Calibri"/>
              </w:rPr>
              <w:t>.</w:t>
            </w:r>
          </w:p>
          <w:p w14:paraId="6F9D527A" w14:textId="68D03AC2" w:rsidR="00DC41FC" w:rsidRDefault="006B419A" w:rsidP="00E9600F">
            <w:pPr>
              <w:jc w:val="both"/>
            </w:pPr>
            <w:r>
              <w:t xml:space="preserve">. </w:t>
            </w:r>
            <w:r w:rsidR="00DC41FC">
              <w:t>Grands feux de forêts, à Sumatra et Bornéo</w:t>
            </w:r>
            <w:r w:rsidR="00DC41FC">
              <w:rPr>
                <w:rStyle w:val="Ancredenotedebasdepage"/>
              </w:rPr>
              <w:footnoteReference w:id="17"/>
            </w:r>
            <w:r w:rsidR="00DC41FC">
              <w:t xml:space="preserve">. </w:t>
            </w:r>
          </w:p>
        </w:tc>
      </w:tr>
      <w:tr w:rsidR="00B2394F" w14:paraId="7E1C84DC" w14:textId="77777777" w:rsidTr="00E03403">
        <w:tc>
          <w:tcPr>
            <w:tcW w:w="1201" w:type="dxa"/>
            <w:shd w:val="clear" w:color="auto" w:fill="auto"/>
          </w:tcPr>
          <w:p w14:paraId="32FE7F2C" w14:textId="27AE1C8C" w:rsidR="00B2394F" w:rsidRDefault="00B2394F" w:rsidP="00E9600F">
            <w:pPr>
              <w:jc w:val="both"/>
            </w:pPr>
            <w:r>
              <w:t xml:space="preserve">Canada </w:t>
            </w:r>
          </w:p>
        </w:tc>
        <w:tc>
          <w:tcPr>
            <w:tcW w:w="1345" w:type="dxa"/>
            <w:shd w:val="clear" w:color="auto" w:fill="auto"/>
          </w:tcPr>
          <w:p w14:paraId="68618636" w14:textId="7D877010" w:rsidR="00B2394F" w:rsidRDefault="00B2394F" w:rsidP="00E9600F">
            <w:pPr>
              <w:jc w:val="both"/>
            </w:pPr>
            <w:r>
              <w:t>05/2016-08/2017</w:t>
            </w:r>
          </w:p>
        </w:tc>
        <w:tc>
          <w:tcPr>
            <w:tcW w:w="7797" w:type="dxa"/>
            <w:shd w:val="clear" w:color="auto" w:fill="auto"/>
          </w:tcPr>
          <w:p w14:paraId="0066AD8C" w14:textId="106673AE" w:rsidR="00B2394F" w:rsidRPr="007B0697" w:rsidRDefault="00B2394F" w:rsidP="00E9600F">
            <w:pPr>
              <w:jc w:val="both"/>
              <w:rPr>
                <w:rFonts w:cs="Calibri"/>
                <w:shd w:val="clear" w:color="auto" w:fill="FFFFFF"/>
              </w:rPr>
            </w:pPr>
            <w:r>
              <w:rPr>
                <w:rFonts w:cs="Calibri"/>
                <w:shd w:val="clear" w:color="auto" w:fill="FFFFFF"/>
              </w:rPr>
              <w:t xml:space="preserve">Incendie de Fort McMurray : </w:t>
            </w:r>
            <w:r w:rsidR="00D415A1" w:rsidRPr="00D415A1">
              <w:rPr>
                <w:rFonts w:cs="Calibri"/>
                <w:shd w:val="clear" w:color="auto" w:fill="FFFFFF"/>
              </w:rPr>
              <w:t>Le 2 août 2017, il a parcouru 5 895 km2, et près de 2 500 maisons et édifices ont été détruits. Il a causé 3,58 milliards de dollars canadiens (2,49 milliards d'euros) de dégâts</w:t>
            </w:r>
            <w:r w:rsidR="006B419A">
              <w:rPr>
                <w:rStyle w:val="Appelnotedebasdep"/>
                <w:rFonts w:cs="Calibri"/>
                <w:shd w:val="clear" w:color="auto" w:fill="FFFFFF"/>
              </w:rPr>
              <w:footnoteReference w:id="18"/>
            </w:r>
            <w:r w:rsidR="00D415A1" w:rsidRPr="00D415A1">
              <w:rPr>
                <w:rFonts w:cs="Calibri"/>
                <w:shd w:val="clear" w:color="auto" w:fill="FFFFFF"/>
              </w:rPr>
              <w:t>.</w:t>
            </w:r>
          </w:p>
        </w:tc>
      </w:tr>
      <w:tr w:rsidR="006B419A" w14:paraId="3C74C26F" w14:textId="77777777" w:rsidTr="00E03403">
        <w:tc>
          <w:tcPr>
            <w:tcW w:w="1201" w:type="dxa"/>
            <w:shd w:val="clear" w:color="auto" w:fill="auto"/>
          </w:tcPr>
          <w:p w14:paraId="0749C3BA" w14:textId="0DD9E6F3" w:rsidR="006B419A" w:rsidRDefault="006B419A" w:rsidP="00E9600F">
            <w:pPr>
              <w:jc w:val="both"/>
            </w:pPr>
            <w:r>
              <w:t>Australie</w:t>
            </w:r>
          </w:p>
        </w:tc>
        <w:tc>
          <w:tcPr>
            <w:tcW w:w="1345" w:type="dxa"/>
            <w:shd w:val="clear" w:color="auto" w:fill="auto"/>
          </w:tcPr>
          <w:p w14:paraId="33E661BB" w14:textId="33FDC02D" w:rsidR="006B419A" w:rsidRDefault="006B419A" w:rsidP="00E9600F">
            <w:pPr>
              <w:jc w:val="both"/>
            </w:pPr>
            <w:r>
              <w:rPr>
                <w:sz w:val="20"/>
                <w:szCs w:val="20"/>
              </w:rPr>
              <w:t>12/19-01/20</w:t>
            </w:r>
          </w:p>
        </w:tc>
        <w:tc>
          <w:tcPr>
            <w:tcW w:w="7797" w:type="dxa"/>
            <w:shd w:val="clear" w:color="auto" w:fill="auto"/>
          </w:tcPr>
          <w:p w14:paraId="28400E63" w14:textId="42B83B5E" w:rsidR="006B419A" w:rsidRPr="007B0697" w:rsidRDefault="006B419A" w:rsidP="00E9600F">
            <w:pPr>
              <w:jc w:val="both"/>
              <w:rPr>
                <w:rFonts w:cs="Calibri"/>
                <w:shd w:val="clear" w:color="auto" w:fill="FFFFFF"/>
              </w:rPr>
            </w:pPr>
            <w:r>
              <w:t xml:space="preserve">Mégafeux : Plus de 5,4 millions d’hectares depuis septembre 2019. Sècheresse exceptionnelle. </w:t>
            </w:r>
            <w:r w:rsidRPr="006B419A">
              <w:t>Au 14 janvier 2020, les rapports font état d'environ 18,6 millions d'hectares (186 000 km2) brûlés, 5 900 bâtiments détruits (dont 2 779 habitations) et au moins 34 morts. De plus, au moins 445 personnes sont tuées par inhalations de fumée. En janvier 2020, plus d'un milliard de grands vertébrés (mammifères, oiseaux et reptiles) ont péri, selon une estimation « très prudente » de Chris Dickman, chercheur en biologie de la conservation et écologie des mammifères australiens</w:t>
            </w:r>
            <w:r>
              <w:rPr>
                <w:rStyle w:val="Appelnotedebasdep"/>
              </w:rPr>
              <w:footnoteReference w:id="19"/>
            </w:r>
            <w:r w:rsidRPr="006B419A">
              <w:t>.</w:t>
            </w:r>
          </w:p>
        </w:tc>
      </w:tr>
      <w:tr w:rsidR="00DC41FC" w14:paraId="7AE17E9C" w14:textId="77777777" w:rsidTr="00E03403">
        <w:tc>
          <w:tcPr>
            <w:tcW w:w="1201" w:type="dxa"/>
            <w:shd w:val="clear" w:color="auto" w:fill="auto"/>
          </w:tcPr>
          <w:p w14:paraId="0F34FC54" w14:textId="77777777" w:rsidR="00DC41FC" w:rsidRDefault="00DC41FC" w:rsidP="00E9600F">
            <w:pPr>
              <w:jc w:val="both"/>
            </w:pPr>
            <w:r>
              <w:t>Pantanal</w:t>
            </w:r>
            <w:r>
              <w:rPr>
                <w:rStyle w:val="Appelnotedebasdep"/>
              </w:rPr>
              <w:footnoteReference w:id="20"/>
            </w:r>
          </w:p>
        </w:tc>
        <w:tc>
          <w:tcPr>
            <w:tcW w:w="1345" w:type="dxa"/>
            <w:shd w:val="clear" w:color="auto" w:fill="auto"/>
          </w:tcPr>
          <w:p w14:paraId="7EC0D803" w14:textId="77777777" w:rsidR="00DC41FC" w:rsidRDefault="00DC41FC" w:rsidP="00E9600F">
            <w:pPr>
              <w:jc w:val="both"/>
            </w:pPr>
            <w:r>
              <w:t>01-09/2020</w:t>
            </w:r>
          </w:p>
        </w:tc>
        <w:tc>
          <w:tcPr>
            <w:tcW w:w="7797" w:type="dxa"/>
            <w:shd w:val="clear" w:color="auto" w:fill="auto"/>
          </w:tcPr>
          <w:p w14:paraId="472BEAF4" w14:textId="5C3E6D72" w:rsidR="00F037C4" w:rsidRDefault="00DC41FC" w:rsidP="00E9600F">
            <w:pPr>
              <w:jc w:val="both"/>
              <w:rPr>
                <w:rFonts w:cs="Calibri"/>
                <w:shd w:val="clear" w:color="auto" w:fill="FFFFFF"/>
              </w:rPr>
            </w:pPr>
            <w:r w:rsidRPr="007B0697">
              <w:rPr>
                <w:rFonts w:cs="Calibri"/>
                <w:shd w:val="clear" w:color="auto" w:fill="FFFFFF"/>
              </w:rPr>
              <w:t>16 000 départs de feu enregistrés de janvier à septembre</w:t>
            </w:r>
            <w:r>
              <w:rPr>
                <w:rFonts w:cs="Calibri"/>
                <w:shd w:val="clear" w:color="auto" w:fill="FFFFFF"/>
              </w:rPr>
              <w:t xml:space="preserve"> 2020</w:t>
            </w:r>
            <w:r w:rsidRPr="007B0697">
              <w:rPr>
                <w:rFonts w:cs="Calibri"/>
                <w:shd w:val="clear" w:color="auto" w:fill="FFFFFF"/>
              </w:rPr>
              <w:t>. En 9 mois, le Pantanal a perdu 20 % à 25 % de sa superficie boisée, soit 3 à 4 millions d’hectares</w:t>
            </w:r>
            <w:r>
              <w:rPr>
                <w:rStyle w:val="Appelnotedebasdep"/>
                <w:rFonts w:cs="Calibri"/>
                <w:shd w:val="clear" w:color="auto" w:fill="FFFFFF"/>
              </w:rPr>
              <w:footnoteReference w:id="21"/>
            </w:r>
            <w:r w:rsidRPr="007B0697">
              <w:rPr>
                <w:rFonts w:cs="Calibri"/>
                <w:shd w:val="clear" w:color="auto" w:fill="FFFFFF"/>
              </w:rPr>
              <w:t>.</w:t>
            </w:r>
          </w:p>
        </w:tc>
      </w:tr>
      <w:tr w:rsidR="00E03403" w14:paraId="6F487AD5" w14:textId="77777777" w:rsidTr="00E03403">
        <w:tc>
          <w:tcPr>
            <w:tcW w:w="1201" w:type="dxa"/>
            <w:shd w:val="clear" w:color="auto" w:fill="auto"/>
          </w:tcPr>
          <w:p w14:paraId="3B615577" w14:textId="362A47D1" w:rsidR="00E03403" w:rsidRDefault="00E03403" w:rsidP="00E9600F">
            <w:pPr>
              <w:jc w:val="both"/>
            </w:pPr>
            <w:r>
              <w:t>Californie</w:t>
            </w:r>
          </w:p>
        </w:tc>
        <w:tc>
          <w:tcPr>
            <w:tcW w:w="1345" w:type="dxa"/>
            <w:shd w:val="clear" w:color="auto" w:fill="auto"/>
          </w:tcPr>
          <w:p w14:paraId="20188D73" w14:textId="0C931948" w:rsidR="00E03403" w:rsidRDefault="00E03403" w:rsidP="00E9600F">
            <w:pPr>
              <w:jc w:val="both"/>
            </w:pPr>
            <w:r>
              <w:t>08-12/2020</w:t>
            </w:r>
          </w:p>
        </w:tc>
        <w:tc>
          <w:tcPr>
            <w:tcW w:w="7797" w:type="dxa"/>
            <w:shd w:val="clear" w:color="auto" w:fill="auto"/>
          </w:tcPr>
          <w:p w14:paraId="68F738BC" w14:textId="46D3E781" w:rsidR="00E03403" w:rsidRPr="00E03403" w:rsidRDefault="00730802" w:rsidP="00E9600F">
            <w:pPr>
              <w:jc w:val="both"/>
            </w:pPr>
            <w:r>
              <w:rPr>
                <w:rFonts w:cs="Calibri"/>
                <w:shd w:val="clear" w:color="auto" w:fill="FFFFFF"/>
              </w:rPr>
              <w:t>Creek Fire</w:t>
            </w:r>
            <w:r w:rsidR="006B419A">
              <w:rPr>
                <w:rStyle w:val="Appelnotedebasdep"/>
                <w:rFonts w:cs="Calibri"/>
                <w:shd w:val="clear" w:color="auto" w:fill="FFFFFF"/>
              </w:rPr>
              <w:footnoteReference w:id="22"/>
            </w:r>
            <w:r w:rsidR="00D92687">
              <w:rPr>
                <w:rFonts w:cs="Calibri"/>
                <w:shd w:val="clear" w:color="auto" w:fill="FFFFFF"/>
              </w:rPr>
              <w:t>, Bobcat Fire</w:t>
            </w:r>
            <w:r w:rsidR="006B419A">
              <w:rPr>
                <w:rFonts w:cs="Calibri"/>
                <w:shd w:val="clear" w:color="auto" w:fill="FFFFFF"/>
              </w:rPr>
              <w:t xml:space="preserve">, </w:t>
            </w:r>
            <w:r w:rsidR="006B419A" w:rsidRPr="006B419A">
              <w:rPr>
                <w:rFonts w:cs="Calibri"/>
                <w:shd w:val="clear" w:color="auto" w:fill="FFFFFF"/>
              </w:rPr>
              <w:t>El Dorado Fire</w:t>
            </w:r>
            <w:r w:rsidR="006B419A">
              <w:rPr>
                <w:rStyle w:val="Appelnotedebasdep"/>
                <w:rFonts w:cs="Calibri"/>
                <w:shd w:val="clear" w:color="auto" w:fill="FFFFFF"/>
              </w:rPr>
              <w:footnoteReference w:id="23"/>
            </w:r>
            <w:r>
              <w:rPr>
                <w:rFonts w:cs="Calibri"/>
                <w:shd w:val="clear" w:color="auto" w:fill="FFFFFF"/>
              </w:rPr>
              <w:t xml:space="preserve"> … : </w:t>
            </w:r>
            <w:r w:rsidR="00E03403" w:rsidRPr="00E03403">
              <w:rPr>
                <w:rFonts w:cs="Calibri"/>
                <w:shd w:val="clear" w:color="auto" w:fill="FFFFFF"/>
              </w:rPr>
              <w:t>À la fin de l'année 2020, 9 917 incendies avaient brûlé 1 779 730 ha.</w:t>
            </w:r>
            <w:r w:rsidR="00E03403">
              <w:t xml:space="preserve"> </w:t>
            </w:r>
            <w:r w:rsidR="00E03403" w:rsidRPr="00E03403">
              <w:t>Il a fait 12,079 milliards de dollars de dégâts, a détruit 10 488 bâtiments et a fait 33 morts</w:t>
            </w:r>
            <w:r w:rsidR="00C2668F">
              <w:rPr>
                <w:rStyle w:val="Appelnotedebasdep"/>
              </w:rPr>
              <w:footnoteReference w:id="24"/>
            </w:r>
            <w:r w:rsidR="00E03403" w:rsidRPr="00E03403">
              <w:t>.</w:t>
            </w:r>
          </w:p>
        </w:tc>
      </w:tr>
      <w:tr w:rsidR="00F037C4" w14:paraId="08A23EF1" w14:textId="77777777" w:rsidTr="00E03403">
        <w:tc>
          <w:tcPr>
            <w:tcW w:w="1201" w:type="dxa"/>
            <w:shd w:val="clear" w:color="auto" w:fill="auto"/>
          </w:tcPr>
          <w:p w14:paraId="315C2480" w14:textId="6549E865" w:rsidR="00F037C4" w:rsidRDefault="00F037C4" w:rsidP="00E9600F">
            <w:pPr>
              <w:jc w:val="both"/>
            </w:pPr>
            <w:r>
              <w:t>Californie</w:t>
            </w:r>
          </w:p>
        </w:tc>
        <w:tc>
          <w:tcPr>
            <w:tcW w:w="1345" w:type="dxa"/>
            <w:shd w:val="clear" w:color="auto" w:fill="auto"/>
          </w:tcPr>
          <w:p w14:paraId="36F108A2" w14:textId="2290D0ED" w:rsidR="00F037C4" w:rsidRDefault="00F037C4" w:rsidP="00E9600F">
            <w:pPr>
              <w:jc w:val="both"/>
            </w:pPr>
            <w:r>
              <w:t>07-08/2021</w:t>
            </w:r>
          </w:p>
        </w:tc>
        <w:tc>
          <w:tcPr>
            <w:tcW w:w="7797" w:type="dxa"/>
            <w:shd w:val="clear" w:color="auto" w:fill="auto"/>
          </w:tcPr>
          <w:p w14:paraId="57E5094A" w14:textId="1F599C13" w:rsidR="00F037C4" w:rsidRPr="007B0697" w:rsidRDefault="00F037C4" w:rsidP="00E9600F">
            <w:pPr>
              <w:jc w:val="both"/>
              <w:rPr>
                <w:rFonts w:cs="Calibri"/>
                <w:shd w:val="clear" w:color="auto" w:fill="FFFFFF"/>
              </w:rPr>
            </w:pPr>
            <w:r>
              <w:rPr>
                <w:rFonts w:cs="Calibri"/>
                <w:shd w:val="clear" w:color="auto" w:fill="FFFFFF"/>
              </w:rPr>
              <w:t>. Dixie Fire</w:t>
            </w:r>
            <w:r w:rsidR="006B419A">
              <w:rPr>
                <w:rStyle w:val="Appelnotedebasdep"/>
                <w:rFonts w:cs="Calibri"/>
                <w:shd w:val="clear" w:color="auto" w:fill="FFFFFF"/>
              </w:rPr>
              <w:footnoteReference w:id="25"/>
            </w:r>
            <w:r>
              <w:rPr>
                <w:rFonts w:cs="Calibri"/>
                <w:shd w:val="clear" w:color="auto" w:fill="FFFFFF"/>
              </w:rPr>
              <w:t xml:space="preserve"> : </w:t>
            </w:r>
            <w:r w:rsidRPr="00F037C4">
              <w:rPr>
                <w:rFonts w:cs="Calibri"/>
                <w:shd w:val="clear" w:color="auto" w:fill="FFFFFF"/>
              </w:rPr>
              <w:t>Un feu de forêt qui « dévaste la Californie septentrionale depuis la mi-juillet 2021. Il a brûlé plus de 145 000 hectares au 5 août</w:t>
            </w:r>
            <w:r w:rsidR="00C2668F">
              <w:rPr>
                <w:rStyle w:val="Appelnotedebasdep"/>
                <w:rFonts w:cs="Calibri"/>
                <w:shd w:val="clear" w:color="auto" w:fill="FFFFFF"/>
              </w:rPr>
              <w:footnoteReference w:id="26"/>
            </w:r>
            <w:r w:rsidRPr="00F037C4">
              <w:rPr>
                <w:rFonts w:cs="Calibri"/>
                <w:shd w:val="clear" w:color="auto" w:fill="FFFFFF"/>
              </w:rPr>
              <w:t>.</w:t>
            </w:r>
          </w:p>
        </w:tc>
      </w:tr>
    </w:tbl>
    <w:p w14:paraId="0571FC58" w14:textId="33792A79" w:rsidR="009D57EA" w:rsidRDefault="009D57EA" w:rsidP="00C7103E">
      <w:pPr>
        <w:spacing w:after="0" w:line="240" w:lineRule="auto"/>
      </w:pPr>
    </w:p>
    <w:p w14:paraId="4A5F3960" w14:textId="4B4DAC7C" w:rsidR="0047751E" w:rsidRDefault="0047751E" w:rsidP="0047751E">
      <w:pPr>
        <w:spacing w:after="0" w:line="240" w:lineRule="auto"/>
        <w:jc w:val="both"/>
      </w:pPr>
      <w:r>
        <w:t xml:space="preserve">On peut se demander si l’année 2021, n’est pas un point de basculement et d’accélération du réchauffement climatique, avec, déjà en août, 16 millions d’hectares de surfaces brûlées en Sibérie, </w:t>
      </w:r>
      <w:r w:rsidR="00F734CA" w:rsidRPr="0047751E">
        <w:t>141.000 ha</w:t>
      </w:r>
      <w:r w:rsidR="00F734CA">
        <w:t xml:space="preserve"> en Turquie, </w:t>
      </w:r>
      <w:r>
        <w:t xml:space="preserve">100.000 ha en Grèce, 38.000 ha au Maroc, </w:t>
      </w:r>
      <w:r w:rsidR="00A3460B">
        <w:t>près de 3500 ha en France.</w:t>
      </w:r>
    </w:p>
    <w:p w14:paraId="073AF202" w14:textId="2B8B6A54" w:rsidR="006C7D44" w:rsidRDefault="006C7D44" w:rsidP="0047751E">
      <w:pPr>
        <w:spacing w:after="0" w:line="240" w:lineRule="auto"/>
        <w:jc w:val="both"/>
      </w:pPr>
    </w:p>
    <w:p w14:paraId="1E7AEA44" w14:textId="10048225" w:rsidR="005D0D3B" w:rsidRDefault="005D0D3B" w:rsidP="0047751E">
      <w:pPr>
        <w:spacing w:after="0" w:line="240" w:lineRule="auto"/>
        <w:jc w:val="both"/>
      </w:pPr>
      <w:r>
        <w:t xml:space="preserve">Sur les deux graphiques, ci-après, l’on observe l’augmentation du nombre et de la taille des feux de forêt en Californie : </w:t>
      </w:r>
    </w:p>
    <w:p w14:paraId="0E1523B0" w14:textId="77777777" w:rsidR="005D0D3B" w:rsidRDefault="005D0D3B" w:rsidP="005D0D3B">
      <w:pPr>
        <w:spacing w:after="0" w:line="240" w:lineRule="auto"/>
        <w:jc w:val="center"/>
      </w:pPr>
      <w:r>
        <w:rPr>
          <w:noProof/>
        </w:rPr>
        <w:lastRenderedPageBreak/>
        <w:drawing>
          <wp:inline distT="0" distB="0" distL="0" distR="0" wp14:anchorId="0F084E39" wp14:editId="4CAD8C51">
            <wp:extent cx="6620510" cy="4077335"/>
            <wp:effectExtent l="0" t="0" r="8890" b="0"/>
            <wp:docPr id="108563" name="Image 108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620510" cy="4077335"/>
                    </a:xfrm>
                    <a:prstGeom prst="rect">
                      <a:avLst/>
                    </a:prstGeom>
                    <a:noFill/>
                    <a:ln>
                      <a:noFill/>
                    </a:ln>
                  </pic:spPr>
                </pic:pic>
              </a:graphicData>
            </a:graphic>
          </wp:inline>
        </w:drawing>
      </w:r>
    </w:p>
    <w:p w14:paraId="5C06E191" w14:textId="77777777" w:rsidR="005D0D3B" w:rsidRDefault="005D0D3B" w:rsidP="005D0D3B">
      <w:pPr>
        <w:spacing w:after="0" w:line="240" w:lineRule="auto"/>
        <w:jc w:val="center"/>
      </w:pPr>
      <w:r>
        <w:t>Les 20 plus grands incendies en Californie depuis 1932.</w:t>
      </w:r>
    </w:p>
    <w:p w14:paraId="0E4D1175" w14:textId="1610C015" w:rsidR="006C7D44" w:rsidRDefault="005D0D3B" w:rsidP="006C7D44">
      <w:pPr>
        <w:spacing w:after="0" w:line="240" w:lineRule="auto"/>
        <w:jc w:val="center"/>
      </w:pPr>
      <w:r>
        <w:rPr>
          <w:noProof/>
        </w:rPr>
        <w:drawing>
          <wp:inline distT="0" distB="0" distL="0" distR="0" wp14:anchorId="32E5836A" wp14:editId="618F24FC">
            <wp:extent cx="5286375" cy="4026892"/>
            <wp:effectExtent l="0" t="0" r="0" b="0"/>
            <wp:docPr id="108559" name="Image 108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91732" cy="4030972"/>
                    </a:xfrm>
                    <a:prstGeom prst="rect">
                      <a:avLst/>
                    </a:prstGeom>
                    <a:noFill/>
                    <a:ln>
                      <a:noFill/>
                    </a:ln>
                  </pic:spPr>
                </pic:pic>
              </a:graphicData>
            </a:graphic>
          </wp:inline>
        </w:drawing>
      </w:r>
    </w:p>
    <w:p w14:paraId="1BA598A8" w14:textId="21B5D063" w:rsidR="005D0D3B" w:rsidRDefault="005D0D3B" w:rsidP="006C7D44">
      <w:pPr>
        <w:spacing w:after="0" w:line="240" w:lineRule="auto"/>
        <w:jc w:val="center"/>
      </w:pPr>
      <w:r>
        <w:t>Les 20 plus grands incendies en Californie depuis 1932.</w:t>
      </w:r>
    </w:p>
    <w:p w14:paraId="570825A7" w14:textId="6E9960A4" w:rsidR="005D0D3B" w:rsidRDefault="005D0D3B" w:rsidP="006C7D44">
      <w:pPr>
        <w:spacing w:after="0" w:line="240" w:lineRule="auto"/>
        <w:jc w:val="center"/>
      </w:pPr>
    </w:p>
    <w:p w14:paraId="292D550B" w14:textId="77777777" w:rsidR="005D0D3B" w:rsidRDefault="005D0D3B" w:rsidP="005D0D3B">
      <w:pPr>
        <w:spacing w:after="0" w:line="240" w:lineRule="auto"/>
        <w:jc w:val="center"/>
      </w:pPr>
    </w:p>
    <w:p w14:paraId="515F181C" w14:textId="77777777" w:rsidR="005D0D3B" w:rsidRDefault="005D0D3B" w:rsidP="005D0D3B">
      <w:pPr>
        <w:spacing w:after="0" w:line="240" w:lineRule="auto"/>
        <w:jc w:val="center"/>
      </w:pPr>
      <w:r>
        <w:rPr>
          <w:noProof/>
        </w:rPr>
        <w:drawing>
          <wp:inline distT="0" distB="0" distL="0" distR="0" wp14:anchorId="7A2EA453" wp14:editId="7DA2AF2D">
            <wp:extent cx="4382578" cy="2619375"/>
            <wp:effectExtent l="0" t="0" r="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394728" cy="2626637"/>
                    </a:xfrm>
                    <a:prstGeom prst="rect">
                      <a:avLst/>
                    </a:prstGeom>
                  </pic:spPr>
                </pic:pic>
              </a:graphicData>
            </a:graphic>
          </wp:inline>
        </w:drawing>
      </w:r>
    </w:p>
    <w:p w14:paraId="42DA7248" w14:textId="73C1E7C5" w:rsidR="005D0D3B" w:rsidRPr="005D0D3B" w:rsidRDefault="005D0D3B" w:rsidP="005D0D3B">
      <w:pPr>
        <w:spacing w:after="0" w:line="240" w:lineRule="auto"/>
        <w:jc w:val="center"/>
        <w:rPr>
          <w:i/>
          <w:iCs/>
        </w:rPr>
      </w:pPr>
      <w:r w:rsidRPr="005967B5">
        <w:rPr>
          <w:i/>
          <w:iCs/>
        </w:rPr>
        <w:t>La taille gigantesque des feux de forêt australien.  Le nombre de millions d’acres, brûlés dans les évènements de feux de forêt majeurs (1 acre = 0,4 ha). Surface brûlée en Australie, en 2019 : 4 800 000 ha ou 48 562 km2.</w:t>
      </w:r>
    </w:p>
    <w:p w14:paraId="3835467F" w14:textId="77777777" w:rsidR="0047751E" w:rsidRDefault="0047751E" w:rsidP="00C7103E">
      <w:pPr>
        <w:spacing w:after="0" w:line="240" w:lineRule="auto"/>
      </w:pPr>
    </w:p>
    <w:p w14:paraId="627E9D61" w14:textId="697FD1A7" w:rsidR="001A7B40" w:rsidRDefault="008578A8" w:rsidP="008F2557">
      <w:pPr>
        <w:pStyle w:val="Titre3"/>
      </w:pPr>
      <w:bookmarkStart w:id="9" w:name="_Toc139181301"/>
      <w:r>
        <w:t>Le</w:t>
      </w:r>
      <w:r w:rsidR="003F5F30">
        <w:t>s</w:t>
      </w:r>
      <w:r w:rsidR="001A7B40">
        <w:t xml:space="preserve"> recul</w:t>
      </w:r>
      <w:r w:rsidR="003F5F30">
        <w:t>s</w:t>
      </w:r>
      <w:r w:rsidR="001A7B40">
        <w:t xml:space="preserve"> de</w:t>
      </w:r>
      <w:r>
        <w:t>s</w:t>
      </w:r>
      <w:r w:rsidR="001A7B40">
        <w:t xml:space="preserve"> glaciers </w:t>
      </w:r>
      <w:r w:rsidR="003F5F30">
        <w:t>depuis 1850</w:t>
      </w:r>
      <w:r w:rsidR="001A7B40">
        <w:t xml:space="preserve"> </w:t>
      </w:r>
      <w:r w:rsidR="003F5F30">
        <w:t>et leurs impacts négatifs</w:t>
      </w:r>
      <w:bookmarkEnd w:id="9"/>
    </w:p>
    <w:p w14:paraId="3DB9387E" w14:textId="3A92BB79" w:rsidR="001A7B40" w:rsidRDefault="001A7B40" w:rsidP="00C7103E">
      <w:pPr>
        <w:spacing w:after="0" w:line="240" w:lineRule="auto"/>
      </w:pPr>
    </w:p>
    <w:p w14:paraId="5E15FDD2" w14:textId="3AFF2287" w:rsidR="00D021C5" w:rsidRDefault="003F5F30" w:rsidP="003F5F30">
      <w:pPr>
        <w:spacing w:after="0" w:line="240" w:lineRule="auto"/>
        <w:jc w:val="both"/>
        <w:rPr>
          <w:rFonts w:ascii="Calibri" w:hAnsi="Calibri" w:cs="Calibri"/>
          <w:color w:val="000000" w:themeColor="text1"/>
        </w:rPr>
      </w:pPr>
      <w:r w:rsidRPr="003F5F30">
        <w:rPr>
          <w:rFonts w:ascii="Calibri" w:hAnsi="Calibri" w:cs="Calibri"/>
          <w:color w:val="000000" w:themeColor="text1"/>
        </w:rPr>
        <w:t xml:space="preserve">Le recul des glaciers depuis 1850, ou plutôt le « recul du front des glaciers », </w:t>
      </w:r>
      <w:r w:rsidRPr="00D021C5">
        <w:rPr>
          <w:rFonts w:ascii="Calibri" w:hAnsi="Calibri" w:cs="Calibri"/>
          <w:b/>
          <w:bCs/>
          <w:i/>
          <w:iCs/>
          <w:color w:val="000000" w:themeColor="text1"/>
        </w:rPr>
        <w:t>est mondial et rapide</w:t>
      </w:r>
      <w:r w:rsidRPr="003F5F30">
        <w:rPr>
          <w:rFonts w:ascii="Calibri" w:hAnsi="Calibri" w:cs="Calibri"/>
          <w:color w:val="000000" w:themeColor="text1"/>
        </w:rPr>
        <w:t xml:space="preserve">. </w:t>
      </w:r>
      <w:r w:rsidRPr="003F5F30">
        <w:rPr>
          <w:rFonts w:ascii="Calibri" w:hAnsi="Calibri" w:cs="Calibri"/>
          <w:color w:val="000000" w:themeColor="text1"/>
          <w:shd w:val="clear" w:color="auto" w:fill="FFFFFF"/>
        </w:rPr>
        <w:t>Les montagnes à mi-latitude telles que l'</w:t>
      </w:r>
      <w:hyperlink r:id="rId37" w:tooltip="Himalaya" w:history="1">
        <w:r w:rsidRPr="003F5F30">
          <w:rPr>
            <w:rStyle w:val="Lienhypertexte"/>
            <w:rFonts w:ascii="Calibri" w:hAnsi="Calibri" w:cs="Calibri"/>
            <w:color w:val="0645AD"/>
            <w:shd w:val="clear" w:color="auto" w:fill="FFFFFF"/>
          </w:rPr>
          <w:t>Himalaya</w:t>
        </w:r>
      </w:hyperlink>
      <w:r w:rsidRPr="003F5F30">
        <w:rPr>
          <w:rFonts w:ascii="Calibri" w:hAnsi="Calibri" w:cs="Calibri"/>
          <w:color w:val="202122"/>
          <w:shd w:val="clear" w:color="auto" w:fill="FFFFFF"/>
        </w:rPr>
        <w:t>, les </w:t>
      </w:r>
      <w:hyperlink r:id="rId38" w:tooltip="Alpes" w:history="1">
        <w:r w:rsidRPr="003F5F30">
          <w:rPr>
            <w:rStyle w:val="Lienhypertexte"/>
            <w:rFonts w:ascii="Calibri" w:hAnsi="Calibri" w:cs="Calibri"/>
            <w:color w:val="0645AD"/>
            <w:shd w:val="clear" w:color="auto" w:fill="FFFFFF"/>
          </w:rPr>
          <w:t>Alpes</w:t>
        </w:r>
      </w:hyperlink>
      <w:r w:rsidRPr="003F5F30">
        <w:rPr>
          <w:rFonts w:ascii="Calibri" w:hAnsi="Calibri" w:cs="Calibri"/>
          <w:color w:val="202122"/>
          <w:shd w:val="clear" w:color="auto" w:fill="FFFFFF"/>
        </w:rPr>
        <w:t>, les </w:t>
      </w:r>
      <w:hyperlink r:id="rId39" w:tooltip="Montagnes Rocheuses" w:history="1">
        <w:r w:rsidRPr="003F5F30">
          <w:rPr>
            <w:rStyle w:val="Lienhypertexte"/>
            <w:rFonts w:ascii="Calibri" w:hAnsi="Calibri" w:cs="Calibri"/>
            <w:color w:val="0645AD"/>
            <w:shd w:val="clear" w:color="auto" w:fill="FFFFFF"/>
          </w:rPr>
          <w:t>montagnes Rocheuses</w:t>
        </w:r>
      </w:hyperlink>
      <w:r w:rsidRPr="003F5F30">
        <w:rPr>
          <w:rFonts w:ascii="Calibri" w:hAnsi="Calibri" w:cs="Calibri"/>
          <w:color w:val="202122"/>
          <w:shd w:val="clear" w:color="auto" w:fill="FFFFFF"/>
        </w:rPr>
        <w:t>, la </w:t>
      </w:r>
      <w:hyperlink r:id="rId40" w:tooltip="Chaîne des Cascades" w:history="1">
        <w:r w:rsidRPr="003F5F30">
          <w:rPr>
            <w:rStyle w:val="Lienhypertexte"/>
            <w:rFonts w:ascii="Calibri" w:hAnsi="Calibri" w:cs="Calibri"/>
            <w:color w:val="0645AD"/>
            <w:shd w:val="clear" w:color="auto" w:fill="FFFFFF"/>
          </w:rPr>
          <w:t>chaîne des Cascades</w:t>
        </w:r>
      </w:hyperlink>
      <w:r w:rsidRPr="003F5F30">
        <w:rPr>
          <w:rFonts w:ascii="Calibri" w:hAnsi="Calibri" w:cs="Calibri"/>
          <w:color w:val="202122"/>
          <w:shd w:val="clear" w:color="auto" w:fill="FFFFFF"/>
        </w:rPr>
        <w:t> et les </w:t>
      </w:r>
      <w:hyperlink r:id="rId41" w:tooltip="Cordillère des Andes" w:history="1">
        <w:r w:rsidRPr="003F5F30">
          <w:rPr>
            <w:rStyle w:val="Lienhypertexte"/>
            <w:rFonts w:ascii="Calibri" w:hAnsi="Calibri" w:cs="Calibri"/>
            <w:color w:val="0645AD"/>
            <w:shd w:val="clear" w:color="auto" w:fill="FFFFFF"/>
          </w:rPr>
          <w:t>Andes méridionales</w:t>
        </w:r>
      </w:hyperlink>
      <w:r w:rsidRPr="003F5F30">
        <w:rPr>
          <w:rFonts w:ascii="Calibri" w:hAnsi="Calibri" w:cs="Calibri"/>
          <w:color w:val="202122"/>
          <w:shd w:val="clear" w:color="auto" w:fill="FFFFFF"/>
        </w:rPr>
        <w:t xml:space="preserve">, </w:t>
      </w:r>
      <w:r w:rsidRPr="003F5F30">
        <w:rPr>
          <w:rFonts w:ascii="Calibri" w:hAnsi="Calibri" w:cs="Calibri"/>
          <w:color w:val="000000" w:themeColor="text1"/>
          <w:shd w:val="clear" w:color="auto" w:fill="FFFFFF"/>
        </w:rPr>
        <w:t>aussi bien que les sommets tropicaux isolés tels que le </w:t>
      </w:r>
      <w:hyperlink r:id="rId42" w:tooltip="Kilimandjaro" w:history="1">
        <w:r w:rsidRPr="003F5F30">
          <w:rPr>
            <w:rStyle w:val="Lienhypertexte"/>
            <w:rFonts w:ascii="Calibri" w:hAnsi="Calibri" w:cs="Calibri"/>
            <w:color w:val="0645AD"/>
            <w:shd w:val="clear" w:color="auto" w:fill="FFFFFF"/>
          </w:rPr>
          <w:t>Kilimandjaro</w:t>
        </w:r>
      </w:hyperlink>
      <w:r w:rsidRPr="003F5F30">
        <w:rPr>
          <w:rFonts w:ascii="Calibri" w:hAnsi="Calibri" w:cs="Calibri"/>
          <w:color w:val="202122"/>
          <w:shd w:val="clear" w:color="auto" w:fill="FFFFFF"/>
        </w:rPr>
        <w:t> en </w:t>
      </w:r>
      <w:hyperlink r:id="rId43" w:tooltip="Afrique" w:history="1">
        <w:r w:rsidRPr="003F5F30">
          <w:rPr>
            <w:rStyle w:val="Lienhypertexte"/>
            <w:rFonts w:ascii="Calibri" w:hAnsi="Calibri" w:cs="Calibri"/>
            <w:color w:val="0645AD"/>
            <w:shd w:val="clear" w:color="auto" w:fill="FFFFFF"/>
          </w:rPr>
          <w:t>Afrique</w:t>
        </w:r>
      </w:hyperlink>
      <w:r w:rsidRPr="003F5F30">
        <w:rPr>
          <w:rFonts w:ascii="Calibri" w:hAnsi="Calibri" w:cs="Calibri"/>
          <w:color w:val="202122"/>
          <w:shd w:val="clear" w:color="auto" w:fill="FFFFFF"/>
        </w:rPr>
        <w:t xml:space="preserve">, </w:t>
      </w:r>
      <w:r w:rsidRPr="003F5F30">
        <w:rPr>
          <w:rFonts w:ascii="Calibri" w:hAnsi="Calibri" w:cs="Calibri"/>
          <w:color w:val="000000" w:themeColor="text1"/>
          <w:shd w:val="clear" w:color="auto" w:fill="FFFFFF"/>
        </w:rPr>
        <w:t>montrent des pertes glaciaires proportionn</w:t>
      </w:r>
      <w:r>
        <w:rPr>
          <w:rFonts w:ascii="Calibri" w:hAnsi="Calibri" w:cs="Calibri"/>
          <w:color w:val="000000" w:themeColor="text1"/>
          <w:shd w:val="clear" w:color="auto" w:fill="FFFFFF"/>
        </w:rPr>
        <w:t>ellement</w:t>
      </w:r>
      <w:r w:rsidRPr="003F5F30">
        <w:rPr>
          <w:rFonts w:ascii="Calibri" w:hAnsi="Calibri" w:cs="Calibri"/>
          <w:color w:val="000000" w:themeColor="text1"/>
          <w:shd w:val="clear" w:color="auto" w:fill="FFFFFF"/>
        </w:rPr>
        <w:t xml:space="preserve"> parmi les plus grandes</w:t>
      </w:r>
      <w:r>
        <w:rPr>
          <w:rStyle w:val="Appelnotedebasdep"/>
          <w:rFonts w:ascii="Calibri" w:hAnsi="Calibri" w:cs="Calibri"/>
          <w:color w:val="000000" w:themeColor="text1"/>
          <w:shd w:val="clear" w:color="auto" w:fill="FFFFFF"/>
        </w:rPr>
        <w:footnoteReference w:id="27"/>
      </w:r>
      <w:r w:rsidR="00213772">
        <w:rPr>
          <w:rFonts w:ascii="Calibri" w:hAnsi="Calibri" w:cs="Calibri"/>
          <w:color w:val="000000" w:themeColor="text1"/>
          <w:shd w:val="clear" w:color="auto" w:fill="FFFFFF"/>
        </w:rPr>
        <w:t xml:space="preserve"> </w:t>
      </w:r>
      <w:r w:rsidR="00213772">
        <w:t>[41]</w:t>
      </w:r>
      <w:r w:rsidRPr="003F5F30">
        <w:rPr>
          <w:rFonts w:ascii="Calibri" w:hAnsi="Calibri" w:cs="Calibri"/>
          <w:color w:val="000000" w:themeColor="text1"/>
        </w:rPr>
        <w:t>.</w:t>
      </w:r>
      <w:r>
        <w:rPr>
          <w:rFonts w:ascii="Calibri" w:hAnsi="Calibri" w:cs="Calibri"/>
          <w:color w:val="000000" w:themeColor="text1"/>
        </w:rPr>
        <w:t xml:space="preserve"> </w:t>
      </w:r>
      <w:r w:rsidR="00D021C5">
        <w:rPr>
          <w:rFonts w:ascii="Calibri" w:hAnsi="Calibri" w:cs="Calibri"/>
          <w:color w:val="000000" w:themeColor="text1"/>
        </w:rPr>
        <w:t>Et ce recul s’a</w:t>
      </w:r>
      <w:r w:rsidR="000E60FE">
        <w:rPr>
          <w:rFonts w:ascii="Calibri" w:hAnsi="Calibri" w:cs="Calibri"/>
          <w:color w:val="000000" w:themeColor="text1"/>
        </w:rPr>
        <w:t>c</w:t>
      </w:r>
      <w:r w:rsidR="00D021C5">
        <w:rPr>
          <w:rFonts w:ascii="Calibri" w:hAnsi="Calibri" w:cs="Calibri"/>
          <w:color w:val="000000" w:themeColor="text1"/>
        </w:rPr>
        <w:t>célère.</w:t>
      </w:r>
    </w:p>
    <w:p w14:paraId="68DC60F1" w14:textId="17F5175B" w:rsidR="009A7787" w:rsidRDefault="009A7787" w:rsidP="003F5F30">
      <w:pPr>
        <w:spacing w:after="0" w:line="240" w:lineRule="auto"/>
        <w:jc w:val="both"/>
        <w:rPr>
          <w:rFonts w:ascii="Calibri" w:hAnsi="Calibri" w:cs="Calibri"/>
          <w:color w:val="000000" w:themeColor="text1"/>
        </w:rPr>
      </w:pPr>
      <w:r>
        <w:rPr>
          <w:rFonts w:ascii="Calibri" w:hAnsi="Calibri" w:cs="Calibri"/>
          <w:color w:val="000000" w:themeColor="text1"/>
        </w:rPr>
        <w:t>Avec les photos, prises ils y a plus d’un siècle, l’on constate, partout dans le monde, le recul de tous les glaciers, sauf à quelques exceptions</w:t>
      </w:r>
      <w:r w:rsidR="00B24DC6">
        <w:rPr>
          <w:rFonts w:ascii="Calibri" w:hAnsi="Calibri" w:cs="Calibri"/>
          <w:color w:val="000000" w:themeColor="text1"/>
        </w:rPr>
        <w:t xml:space="preserve"> (</w:t>
      </w:r>
      <w:r w:rsidR="00B24DC6" w:rsidRPr="00B24DC6">
        <w:rPr>
          <w:rFonts w:ascii="Calibri" w:hAnsi="Calibri" w:cs="Calibri"/>
          <w:color w:val="000000" w:themeColor="text1"/>
        </w:rPr>
        <w:t>Glacier Perito Moreno en Argentine</w:t>
      </w:r>
      <w:r w:rsidR="00B24DC6">
        <w:rPr>
          <w:rFonts w:ascii="Calibri" w:hAnsi="Calibri" w:cs="Calibri"/>
          <w:color w:val="000000" w:themeColor="text1"/>
        </w:rPr>
        <w:t>)</w:t>
      </w:r>
      <w:r>
        <w:rPr>
          <w:rFonts w:ascii="Calibri" w:hAnsi="Calibri" w:cs="Calibri"/>
          <w:color w:val="000000" w:themeColor="text1"/>
        </w:rPr>
        <w:t>.</w:t>
      </w:r>
    </w:p>
    <w:p w14:paraId="6F91AE0F" w14:textId="31DAFEBE" w:rsidR="00D021C5" w:rsidRDefault="00D021C5" w:rsidP="00D021C5">
      <w:pPr>
        <w:spacing w:after="0" w:line="240" w:lineRule="auto"/>
        <w:jc w:val="both"/>
        <w:rPr>
          <w:rFonts w:ascii="Calibri" w:hAnsi="Calibri" w:cs="Calibri"/>
          <w:color w:val="000000" w:themeColor="text1"/>
        </w:rPr>
      </w:pPr>
      <w:r w:rsidRPr="00D021C5">
        <w:rPr>
          <w:rFonts w:ascii="Calibri" w:hAnsi="Calibri" w:cs="Calibri"/>
          <w:color w:val="000000" w:themeColor="text1"/>
        </w:rPr>
        <w:t xml:space="preserve">Par exemple, En 1989, les glaciers de la cordillère Blanche, la chaîne de montagnes tropicale enneigée la plus étendue au monde et a la plus forte concentration de glace au Pérou, couvraient une superficie de 723,4 km2. En 2016, la couverture glaciaire était tombée à 448,81 km2. En 27 ans, leur superficie a reculé d’environ 38%. </w:t>
      </w:r>
      <w:r w:rsidR="005F235F">
        <w:rPr>
          <w:rFonts w:ascii="Calibri" w:hAnsi="Calibri" w:cs="Calibri"/>
          <w:color w:val="000000" w:themeColor="text1"/>
        </w:rPr>
        <w:t xml:space="preserve">Leur superficie totale </w:t>
      </w:r>
      <w:r w:rsidRPr="00D021C5">
        <w:rPr>
          <w:rFonts w:ascii="Calibri" w:hAnsi="Calibri" w:cs="Calibri"/>
          <w:color w:val="000000" w:themeColor="text1"/>
        </w:rPr>
        <w:t>a diminué de plus de 40%.</w:t>
      </w:r>
      <w:r w:rsidR="005F235F">
        <w:rPr>
          <w:rFonts w:ascii="Calibri" w:hAnsi="Calibri" w:cs="Calibri"/>
          <w:color w:val="000000" w:themeColor="text1"/>
        </w:rPr>
        <w:t xml:space="preserve"> « </w:t>
      </w:r>
      <w:r w:rsidR="005F235F" w:rsidRPr="005F235F">
        <w:rPr>
          <w:rFonts w:ascii="Calibri" w:hAnsi="Calibri" w:cs="Calibri"/>
          <w:i/>
          <w:iCs/>
          <w:color w:val="000000" w:themeColor="text1"/>
        </w:rPr>
        <w:t>Le Pérou abrite 71 % des glaciers tropicaux de la planète, précise Christián Yarlequé, glaciologue à l’Institut national de recherche sur les glaciers et les écosystèmes de montagne(Inaigem). Leur masse a été réduite de moitié entre 1989 et 2008</w:t>
      </w:r>
      <w:r w:rsidR="005F235F">
        <w:rPr>
          <w:rFonts w:ascii="Calibri" w:hAnsi="Calibri" w:cs="Calibri"/>
          <w:color w:val="000000" w:themeColor="text1"/>
        </w:rPr>
        <w:t> » [44]</w:t>
      </w:r>
      <w:r w:rsidR="005F235F" w:rsidRPr="005F235F">
        <w:rPr>
          <w:rFonts w:ascii="Calibri" w:hAnsi="Calibri" w:cs="Calibri"/>
          <w:color w:val="000000" w:themeColor="text1"/>
        </w:rPr>
        <w:t>.</w:t>
      </w:r>
    </w:p>
    <w:p w14:paraId="396B82AF" w14:textId="77777777" w:rsidR="005F235F" w:rsidRPr="00D021C5" w:rsidRDefault="005F235F" w:rsidP="00D021C5">
      <w:pPr>
        <w:spacing w:after="0" w:line="240" w:lineRule="auto"/>
        <w:jc w:val="both"/>
        <w:rPr>
          <w:rFonts w:ascii="Calibri" w:hAnsi="Calibri" w:cs="Calibri"/>
          <w:color w:val="000000" w:themeColor="text1"/>
        </w:rPr>
      </w:pPr>
    </w:p>
    <w:p w14:paraId="2A2EF570" w14:textId="64A30C26" w:rsidR="003F5F30" w:rsidRPr="00D021C5" w:rsidRDefault="003F5F30" w:rsidP="003F5F30">
      <w:pPr>
        <w:spacing w:after="0" w:line="240" w:lineRule="auto"/>
        <w:jc w:val="both"/>
        <w:rPr>
          <w:rFonts w:ascii="Calibri" w:hAnsi="Calibri" w:cs="Calibri"/>
          <w:color w:val="000000" w:themeColor="text1"/>
        </w:rPr>
      </w:pPr>
      <w:r w:rsidRPr="00D021C5">
        <w:rPr>
          <w:rFonts w:ascii="Calibri" w:hAnsi="Calibri" w:cs="Calibri"/>
          <w:color w:val="000000" w:themeColor="text1"/>
        </w:rPr>
        <w:t>Il affecte l'accès à l'eau douce pour l'irrigation et pour l'utilisation domestique, les loisirs de montagne, les animaux et les plantes qui dépendent de la fonte des glaciers, et à plus long terme, le niveau des océans.</w:t>
      </w:r>
    </w:p>
    <w:p w14:paraId="0BF582AE" w14:textId="665B36A1" w:rsidR="00D021C5" w:rsidRDefault="00D021C5" w:rsidP="003F5F30">
      <w:pPr>
        <w:spacing w:after="0" w:line="240" w:lineRule="auto"/>
        <w:jc w:val="both"/>
        <w:rPr>
          <w:rFonts w:ascii="Calibri" w:hAnsi="Calibri" w:cs="Calibri"/>
          <w:color w:val="000000" w:themeColor="text1"/>
        </w:rPr>
      </w:pPr>
      <w:r>
        <w:rPr>
          <w:rFonts w:ascii="Calibri" w:hAnsi="Calibri" w:cs="Calibri"/>
          <w:color w:val="000000" w:themeColor="text1"/>
        </w:rPr>
        <w:t xml:space="preserve">Les masses glaciaires, au sommet des chaînes montagneuses, </w:t>
      </w:r>
      <w:r w:rsidR="00BC43A2">
        <w:rPr>
          <w:rFonts w:ascii="Calibri" w:hAnsi="Calibri" w:cs="Calibri"/>
          <w:color w:val="000000" w:themeColor="text1"/>
        </w:rPr>
        <w:t xml:space="preserve">servent de « tampons climatiques », c'est-à-dire servent à amortir les possibles variations brutales du climat. Or les climatologues craignent, qu’avec la disparition des glaciers, </w:t>
      </w:r>
      <w:r w:rsidR="000E60FE">
        <w:rPr>
          <w:rFonts w:ascii="Calibri" w:hAnsi="Calibri" w:cs="Calibri"/>
          <w:color w:val="000000" w:themeColor="text1"/>
        </w:rPr>
        <w:t xml:space="preserve">les régions montagneuses s’assèchent ou que les épisodes des fluctuations du climat, entre saisons humides et sèches, et du régime de précipitations, augmentent, par exemple, avec des effets </w:t>
      </w:r>
      <w:r w:rsidR="000E60FE" w:rsidRPr="000E60FE">
        <w:rPr>
          <w:rFonts w:ascii="Calibri" w:hAnsi="Calibri" w:cs="Calibri"/>
          <w:color w:val="000000" w:themeColor="text1"/>
        </w:rPr>
        <w:t>El Niño</w:t>
      </w:r>
      <w:r w:rsidR="000E60FE">
        <w:rPr>
          <w:rFonts w:ascii="Calibri" w:hAnsi="Calibri" w:cs="Calibri"/>
          <w:color w:val="000000" w:themeColor="text1"/>
        </w:rPr>
        <w:t xml:space="preserve"> plus prononcés.</w:t>
      </w:r>
    </w:p>
    <w:p w14:paraId="544BAAE9" w14:textId="03839E6A" w:rsidR="000E60FE" w:rsidRPr="00D021C5" w:rsidRDefault="000E60FE" w:rsidP="003F5F30">
      <w:pPr>
        <w:spacing w:after="0" w:line="240" w:lineRule="auto"/>
        <w:jc w:val="both"/>
        <w:rPr>
          <w:rFonts w:ascii="Calibri" w:hAnsi="Calibri" w:cs="Calibri"/>
          <w:color w:val="000000" w:themeColor="text1"/>
        </w:rPr>
      </w:pPr>
      <w:r>
        <w:rPr>
          <w:rFonts w:ascii="Calibri" w:hAnsi="Calibri" w:cs="Calibri"/>
          <w:color w:val="000000" w:themeColor="text1"/>
        </w:rPr>
        <w:t>Les réserves et la disponibilité en eau de grandes capitales, comme La Paz, en Bolivie, pourraient être affectées, avec un décalage entre le pic d’offre et celui de la demande. Ce qui obligerait à construire des retenues artificielles, des solutions coûteuses pour des pays pauvres, provoquant l’augmentation du prix de l’eau, ce que les habitants pauvres ne sont pas toujours prêts à accepter. Sans compter que, les normes antis</w:t>
      </w:r>
      <w:r w:rsidR="00213772">
        <w:rPr>
          <w:rFonts w:ascii="Calibri" w:hAnsi="Calibri" w:cs="Calibri"/>
          <w:color w:val="000000" w:themeColor="text1"/>
        </w:rPr>
        <w:t>ismiques, pour anticiper</w:t>
      </w:r>
      <w:r>
        <w:rPr>
          <w:rFonts w:ascii="Calibri" w:hAnsi="Calibri" w:cs="Calibri"/>
          <w:color w:val="000000" w:themeColor="text1"/>
        </w:rPr>
        <w:t xml:space="preserve"> les risques de tremblement de terre, dans certaines régions des Andes, de l’Himalaya, </w:t>
      </w:r>
      <w:r w:rsidR="00213772">
        <w:rPr>
          <w:rFonts w:ascii="Calibri" w:hAnsi="Calibri" w:cs="Calibri"/>
          <w:color w:val="000000" w:themeColor="text1"/>
        </w:rPr>
        <w:t>vont encore contribuer à l’augmentation du coût de leur construction.</w:t>
      </w:r>
    </w:p>
    <w:p w14:paraId="703C47B3" w14:textId="20CDDC7E" w:rsidR="00FE2386" w:rsidRDefault="00213772" w:rsidP="003F5F30">
      <w:pPr>
        <w:spacing w:after="0" w:line="240" w:lineRule="auto"/>
        <w:jc w:val="both"/>
        <w:rPr>
          <w:color w:val="000000" w:themeColor="text1"/>
        </w:rPr>
      </w:pPr>
      <w:r w:rsidRPr="00213772">
        <w:rPr>
          <w:color w:val="000000" w:themeColor="text1"/>
        </w:rPr>
        <w:lastRenderedPageBreak/>
        <w:t>La fonte des lacs</w:t>
      </w:r>
      <w:r w:rsidR="007E137B">
        <w:rPr>
          <w:color w:val="000000" w:themeColor="text1"/>
        </w:rPr>
        <w:t xml:space="preserve"> (ou lagunes)</w:t>
      </w:r>
      <w:r w:rsidRPr="00213772">
        <w:rPr>
          <w:color w:val="000000" w:themeColor="text1"/>
        </w:rPr>
        <w:t xml:space="preserve"> </w:t>
      </w:r>
      <w:r w:rsidR="007E137B">
        <w:rPr>
          <w:color w:val="000000" w:themeColor="text1"/>
        </w:rPr>
        <w:t>pro</w:t>
      </w:r>
      <w:r w:rsidRPr="00213772">
        <w:rPr>
          <w:color w:val="000000" w:themeColor="text1"/>
        </w:rPr>
        <w:t>glaciaires expose des milliers de personnes, surtout dans l'Himalaya et dans les Andes, à des risques de vidanges glaciaires catastrophiques et mortels.</w:t>
      </w:r>
      <w:r>
        <w:rPr>
          <w:color w:val="000000" w:themeColor="text1"/>
        </w:rPr>
        <w:t xml:space="preserve"> </w:t>
      </w:r>
      <w:r w:rsidRPr="00213772">
        <w:rPr>
          <w:color w:val="000000" w:themeColor="text1"/>
        </w:rPr>
        <w:t>Depuis 1990, à cause du dérèglement climatique, le volume et le nombre des lacs proglaciaires</w:t>
      </w:r>
      <w:r w:rsidR="00B21513">
        <w:rPr>
          <w:rStyle w:val="Appelnotedebasdep"/>
          <w:color w:val="000000" w:themeColor="text1"/>
        </w:rPr>
        <w:footnoteReference w:id="28"/>
      </w:r>
      <w:r w:rsidRPr="00213772">
        <w:rPr>
          <w:color w:val="000000" w:themeColor="text1"/>
        </w:rPr>
        <w:t xml:space="preserve"> a augmenté de 50% dans le monde.</w:t>
      </w:r>
      <w:r>
        <w:rPr>
          <w:color w:val="000000" w:themeColor="text1"/>
        </w:rPr>
        <w:t xml:space="preserve"> Depuis 1990, leur vidange a causé plus de 12.000 décès</w:t>
      </w:r>
      <w:r w:rsidR="00B21513">
        <w:rPr>
          <w:color w:val="000000" w:themeColor="text1"/>
        </w:rPr>
        <w:t xml:space="preserve"> et le ravage de vallées</w:t>
      </w:r>
      <w:r w:rsidR="005F235F">
        <w:rPr>
          <w:color w:val="000000" w:themeColor="text1"/>
        </w:rPr>
        <w:t xml:space="preserve"> et</w:t>
      </w:r>
      <w:r w:rsidR="00B21513">
        <w:rPr>
          <w:color w:val="000000" w:themeColor="text1"/>
        </w:rPr>
        <w:t xml:space="preserve"> de villages</w:t>
      </w:r>
      <w:r>
        <w:rPr>
          <w:color w:val="000000" w:themeColor="text1"/>
        </w:rPr>
        <w:t xml:space="preserve"> </w:t>
      </w:r>
      <w:r>
        <w:t>[42]</w:t>
      </w:r>
      <w:r>
        <w:rPr>
          <w:color w:val="000000" w:themeColor="text1"/>
        </w:rPr>
        <w:t>.</w:t>
      </w:r>
      <w:r w:rsidR="00B21513">
        <w:rPr>
          <w:color w:val="000000" w:themeColor="text1"/>
        </w:rPr>
        <w:t xml:space="preserve"> </w:t>
      </w:r>
      <w:r w:rsidR="00B21513" w:rsidRPr="00B21513">
        <w:rPr>
          <w:color w:val="000000" w:themeColor="text1"/>
        </w:rPr>
        <w:t>Au Pérou, les travaux de préventions de ces vidanges brutales ont commencé dès le début des années 1950, après que l’une d’entre elles</w:t>
      </w:r>
      <w:r w:rsidR="005F235F">
        <w:rPr>
          <w:color w:val="000000" w:themeColor="text1"/>
        </w:rPr>
        <w:t xml:space="preserve">, celle du </w:t>
      </w:r>
      <w:r w:rsidR="005F235F" w:rsidRPr="005F235F">
        <w:rPr>
          <w:color w:val="000000" w:themeColor="text1"/>
        </w:rPr>
        <w:t>lac Palcacocha</w:t>
      </w:r>
      <w:r w:rsidR="005F235F">
        <w:rPr>
          <w:color w:val="000000" w:themeColor="text1"/>
        </w:rPr>
        <w:t>,</w:t>
      </w:r>
      <w:r w:rsidR="00B21513" w:rsidRPr="00B21513">
        <w:rPr>
          <w:color w:val="000000" w:themeColor="text1"/>
        </w:rPr>
        <w:t xml:space="preserve"> ait causé la mort de 1.800 personnes</w:t>
      </w:r>
      <w:r w:rsidR="005F235F">
        <w:rPr>
          <w:color w:val="000000" w:themeColor="text1"/>
        </w:rPr>
        <w:t xml:space="preserve">, dans la </w:t>
      </w:r>
      <w:r w:rsidR="005F235F" w:rsidRPr="005F235F">
        <w:rPr>
          <w:color w:val="000000" w:themeColor="text1"/>
        </w:rPr>
        <w:t>ville de Huaraz,</w:t>
      </w:r>
      <w:r w:rsidR="005F235F">
        <w:rPr>
          <w:color w:val="000000" w:themeColor="text1"/>
        </w:rPr>
        <w:t xml:space="preserve"> située à</w:t>
      </w:r>
      <w:r w:rsidR="005F235F" w:rsidRPr="005F235F">
        <w:rPr>
          <w:color w:val="000000" w:themeColor="text1"/>
        </w:rPr>
        <w:t xml:space="preserve"> 20 km en aval</w:t>
      </w:r>
      <w:r w:rsidR="00B21513">
        <w:rPr>
          <w:color w:val="000000" w:themeColor="text1"/>
        </w:rPr>
        <w:t xml:space="preserve">, </w:t>
      </w:r>
      <w:r w:rsidR="005F235F">
        <w:rPr>
          <w:color w:val="000000" w:themeColor="text1"/>
        </w:rPr>
        <w:t>le 13 décembre</w:t>
      </w:r>
      <w:r w:rsidR="00B21513">
        <w:rPr>
          <w:color w:val="000000" w:themeColor="text1"/>
        </w:rPr>
        <w:t xml:space="preserve"> 1941</w:t>
      </w:r>
      <w:r w:rsidR="00FE2386">
        <w:rPr>
          <w:color w:val="000000" w:themeColor="text1"/>
        </w:rPr>
        <w:t xml:space="preserve"> [44]</w:t>
      </w:r>
      <w:r w:rsidR="00B21513" w:rsidRPr="00B21513">
        <w:rPr>
          <w:color w:val="000000" w:themeColor="text1"/>
        </w:rPr>
        <w:t xml:space="preserve">. </w:t>
      </w:r>
      <w:r w:rsidR="00FE2386">
        <w:rPr>
          <w:color w:val="000000" w:themeColor="text1"/>
        </w:rPr>
        <w:t>Dans l’Himalaya, depuis 1930, il y a eu plus de 400 vidanges glacières [43].</w:t>
      </w:r>
    </w:p>
    <w:p w14:paraId="6D463F84" w14:textId="4D91DF9C" w:rsidR="003F5F30" w:rsidRDefault="00B21513" w:rsidP="003F5F30">
      <w:pPr>
        <w:spacing w:after="0" w:line="240" w:lineRule="auto"/>
        <w:jc w:val="both"/>
        <w:rPr>
          <w:color w:val="000000" w:themeColor="text1"/>
        </w:rPr>
      </w:pPr>
      <w:r w:rsidRPr="00B21513">
        <w:rPr>
          <w:color w:val="000000" w:themeColor="text1"/>
        </w:rPr>
        <w:t>Des mesures d'atténuation des risques ont été installées en bordure de la cordillère des Andes</w:t>
      </w:r>
      <w:r>
        <w:rPr>
          <w:color w:val="000000" w:themeColor="text1"/>
        </w:rPr>
        <w:t xml:space="preserve"> </w:t>
      </w:r>
      <w:r w:rsidRPr="00B21513">
        <w:rPr>
          <w:color w:val="000000" w:themeColor="text1"/>
        </w:rPr>
        <w:t>: assèchement forcé des lacs</w:t>
      </w:r>
      <w:r>
        <w:rPr>
          <w:color w:val="000000" w:themeColor="text1"/>
        </w:rPr>
        <w:t xml:space="preserve"> proglaciaires</w:t>
      </w:r>
      <w:r w:rsidRPr="00B21513">
        <w:rPr>
          <w:color w:val="000000" w:themeColor="text1"/>
        </w:rPr>
        <w:t>, barrages, déversoirs</w:t>
      </w:r>
      <w:r w:rsidR="005F235F">
        <w:rPr>
          <w:color w:val="000000" w:themeColor="text1"/>
        </w:rPr>
        <w:t xml:space="preserve"> [d’urgence] aménagés dans fronts morainiques, retenant ces lacs proglaciaires</w:t>
      </w:r>
      <w:r w:rsidRPr="00B21513">
        <w:rPr>
          <w:color w:val="000000" w:themeColor="text1"/>
        </w:rPr>
        <w:t>, système d’alerte</w:t>
      </w:r>
      <w:r w:rsidR="005F235F">
        <w:rPr>
          <w:color w:val="000000" w:themeColor="text1"/>
        </w:rPr>
        <w:t xml:space="preserve"> des populations en aval </w:t>
      </w:r>
      <w:r w:rsidRPr="00B21513">
        <w:rPr>
          <w:color w:val="000000" w:themeColor="text1"/>
        </w:rPr>
        <w:t>…</w:t>
      </w:r>
      <w:r>
        <w:rPr>
          <w:color w:val="000000" w:themeColor="text1"/>
        </w:rPr>
        <w:t xml:space="preserve"> [42].</w:t>
      </w:r>
    </w:p>
    <w:p w14:paraId="2513984F" w14:textId="47922B3F" w:rsidR="00213772" w:rsidRPr="00D021C5" w:rsidRDefault="00FE2386" w:rsidP="003F5F30">
      <w:pPr>
        <w:spacing w:after="0" w:line="240" w:lineRule="auto"/>
        <w:jc w:val="both"/>
        <w:rPr>
          <w:color w:val="000000" w:themeColor="text1"/>
        </w:rPr>
      </w:pPr>
      <w:r>
        <w:rPr>
          <w:color w:val="000000" w:themeColor="text1"/>
        </w:rPr>
        <w:t>Le réchauffement climatique et le recul des glaciers vont trop vides. Les espèces de haute montagne n’ont pas le temps de s’adapter _ en particulier, celle vivant au niveau du front glaciaire _, les milieux n’ont pas le temps de se structurer [43].  Il y a un risque de diminution de la biodiversité.</w:t>
      </w:r>
    </w:p>
    <w:p w14:paraId="484591A8" w14:textId="77777777" w:rsidR="00C67B7A" w:rsidRDefault="00C67B7A" w:rsidP="00981E76">
      <w:pPr>
        <w:spacing w:after="0" w:line="240" w:lineRule="auto"/>
        <w:jc w:val="both"/>
        <w:rPr>
          <w:color w:val="000000" w:themeColor="text1"/>
        </w:rPr>
      </w:pPr>
    </w:p>
    <w:p w14:paraId="2D62FBA9" w14:textId="1827C1E1" w:rsidR="00A179A9" w:rsidRDefault="007150EA" w:rsidP="00981E76">
      <w:pPr>
        <w:spacing w:after="0" w:line="240" w:lineRule="auto"/>
        <w:jc w:val="both"/>
        <w:rPr>
          <w:color w:val="000000" w:themeColor="text1"/>
        </w:rPr>
      </w:pPr>
      <w:r w:rsidRPr="00D021C5">
        <w:rPr>
          <w:color w:val="000000" w:themeColor="text1"/>
        </w:rPr>
        <w:t>Presque partout dans le monde, les glaciers reculent</w:t>
      </w:r>
      <w:r w:rsidR="00A179A9" w:rsidRPr="00D021C5">
        <w:rPr>
          <w:color w:val="000000" w:themeColor="text1"/>
        </w:rPr>
        <w:t xml:space="preserve"> (voir ci-dessous)</w:t>
      </w:r>
      <w:r w:rsidR="008F2557" w:rsidRPr="00D021C5">
        <w:rPr>
          <w:color w:val="000000" w:themeColor="text1"/>
        </w:rPr>
        <w:t> :</w:t>
      </w:r>
    </w:p>
    <w:p w14:paraId="3025A355" w14:textId="77777777" w:rsidR="00C67B7A" w:rsidRPr="00981E76" w:rsidRDefault="00C67B7A" w:rsidP="00981E76">
      <w:pPr>
        <w:spacing w:after="0" w:line="240" w:lineRule="auto"/>
        <w:jc w:val="both"/>
        <w:rPr>
          <w:color w:val="000000" w:themeColor="text1"/>
        </w:rPr>
      </w:pPr>
    </w:p>
    <w:p w14:paraId="11B1A01F" w14:textId="7E695AB9" w:rsidR="008578A8" w:rsidRDefault="008578A8" w:rsidP="008578A8">
      <w:pPr>
        <w:spacing w:after="0" w:line="240" w:lineRule="auto"/>
        <w:jc w:val="center"/>
      </w:pPr>
      <w:r w:rsidRPr="008578A8">
        <w:rPr>
          <w:noProof/>
        </w:rPr>
        <w:drawing>
          <wp:inline distT="0" distB="0" distL="0" distR="0" wp14:anchorId="3F4C344C" wp14:editId="70834189">
            <wp:extent cx="4724778" cy="3609975"/>
            <wp:effectExtent l="57150" t="57150" r="57150" b="66675"/>
            <wp:docPr id="29710" name="Espace réservé du contenu 3" descr="Balance de masse glaciers ds monde.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Espace réservé du contenu 3" descr="Balance de masse glaciers ds monde.JPG"/>
                    <pic:cNvPicPr>
                      <a:picLocks noGrp="1" noChangeAspect="1"/>
                    </pic:cNvPicPr>
                  </pic:nvPicPr>
                  <pic:blipFill>
                    <a:blip r:embed="rId44" cstate="print"/>
                    <a:stretch>
                      <a:fillRect/>
                    </a:stretch>
                  </pic:blipFill>
                  <pic:spPr>
                    <a:xfrm>
                      <a:off x="0" y="0"/>
                      <a:ext cx="4731858" cy="3615384"/>
                    </a:xfrm>
                    <a:prstGeom prst="rect">
                      <a:avLst/>
                    </a:prstGeom>
                    <a:scene3d>
                      <a:camera prst="orthographicFront"/>
                      <a:lightRig rig="threePt" dir="t"/>
                    </a:scene3d>
                    <a:sp3d contourW="25400"/>
                  </pic:spPr>
                </pic:pic>
              </a:graphicData>
            </a:graphic>
          </wp:inline>
        </w:drawing>
      </w:r>
    </w:p>
    <w:p w14:paraId="2ACA5A8D" w14:textId="73A28614" w:rsidR="008578A8" w:rsidRDefault="008578A8" w:rsidP="008578A8">
      <w:pPr>
        <w:spacing w:after="0" w:line="240" w:lineRule="auto"/>
        <w:jc w:val="center"/>
      </w:pPr>
      <w:r w:rsidRPr="008578A8">
        <w:t>Bilan de masse des glaciers dans le monde 1950 à 2005</w:t>
      </w:r>
      <w:r w:rsidR="008F2557">
        <w:t>.</w:t>
      </w:r>
    </w:p>
    <w:p w14:paraId="61D5045A" w14:textId="233246CB" w:rsidR="00472B3D" w:rsidRDefault="00472B3D" w:rsidP="00472B3D">
      <w:pPr>
        <w:spacing w:after="0" w:line="240" w:lineRule="auto"/>
        <w:jc w:val="cente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56"/>
        <w:gridCol w:w="5170"/>
      </w:tblGrid>
      <w:tr w:rsidR="00C67B7A" w14:paraId="41B3518A" w14:textId="77777777" w:rsidTr="00C67B7A">
        <w:tc>
          <w:tcPr>
            <w:tcW w:w="5208" w:type="dxa"/>
          </w:tcPr>
          <w:p w14:paraId="6EF81C08" w14:textId="5AD28C9F" w:rsidR="00C67B7A" w:rsidRDefault="00C67B7A" w:rsidP="00472B3D">
            <w:pPr>
              <w:jc w:val="center"/>
            </w:pPr>
            <w:r>
              <w:rPr>
                <w:noProof/>
              </w:rPr>
              <w:lastRenderedPageBreak/>
              <w:drawing>
                <wp:inline distT="0" distB="0" distL="0" distR="0" wp14:anchorId="32F53C85" wp14:editId="66375BD1">
                  <wp:extent cx="3082855" cy="3057426"/>
                  <wp:effectExtent l="57150" t="57150" r="60960" b="67310"/>
                  <wp:docPr id="29711" name="Image 29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088631" cy="3063154"/>
                          </a:xfrm>
                          <a:prstGeom prst="rect">
                            <a:avLst/>
                          </a:prstGeom>
                          <a:noFill/>
                          <a:ln>
                            <a:noFill/>
                          </a:ln>
                          <a:scene3d>
                            <a:camera prst="orthographicFront"/>
                            <a:lightRig rig="threePt" dir="t"/>
                          </a:scene3d>
                          <a:sp3d contourW="25400"/>
                        </pic:spPr>
                      </pic:pic>
                    </a:graphicData>
                  </a:graphic>
                </wp:inline>
              </w:drawing>
            </w:r>
          </w:p>
          <w:p w14:paraId="425B8A22" w14:textId="2BCCF2B3" w:rsidR="00C67B7A" w:rsidRDefault="00C67B7A" w:rsidP="00C67B7A">
            <w:pPr>
              <w:jc w:val="center"/>
            </w:pPr>
            <w:r w:rsidRPr="00166B7F">
              <w:t>Le recul du glacier le Taillon</w:t>
            </w:r>
            <w:r>
              <w:t xml:space="preserve"> </w:t>
            </w:r>
            <w:r w:rsidRPr="00472B3D">
              <w:t>Pyrénées</w:t>
            </w:r>
            <w:r>
              <w:t>, France)</w:t>
            </w:r>
            <w:r w:rsidRPr="00166B7F">
              <w:t>, du côté de Gavarnie, au siècle dernier et à l’été 2020 (©Météo Pyrénées)</w:t>
            </w:r>
            <w:r>
              <w:rPr>
                <w:rStyle w:val="Appelnotedebasdep"/>
              </w:rPr>
              <w:footnoteReference w:id="29"/>
            </w:r>
            <w:r>
              <w:t>.</w:t>
            </w:r>
          </w:p>
        </w:tc>
        <w:tc>
          <w:tcPr>
            <w:tcW w:w="5208" w:type="dxa"/>
          </w:tcPr>
          <w:p w14:paraId="3B941774" w14:textId="3B5499E7" w:rsidR="00C67B7A" w:rsidRDefault="00C67B7A" w:rsidP="00472B3D">
            <w:pPr>
              <w:jc w:val="center"/>
            </w:pPr>
            <w:r>
              <w:rPr>
                <w:noProof/>
              </w:rPr>
              <w:drawing>
                <wp:inline distT="0" distB="0" distL="0" distR="0" wp14:anchorId="15B5ABF6" wp14:editId="5D0BF154">
                  <wp:extent cx="1743075" cy="1980767"/>
                  <wp:effectExtent l="0" t="0" r="0" b="635"/>
                  <wp:docPr id="108564" name="Image 108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745516" cy="1983541"/>
                          </a:xfrm>
                          <a:prstGeom prst="rect">
                            <a:avLst/>
                          </a:prstGeom>
                        </pic:spPr>
                      </pic:pic>
                    </a:graphicData>
                  </a:graphic>
                </wp:inline>
              </w:drawing>
            </w:r>
          </w:p>
          <w:p w14:paraId="37A107D0" w14:textId="3B4A1698" w:rsidR="00C67B7A" w:rsidRDefault="00C67B7A" w:rsidP="00472B3D">
            <w:pPr>
              <w:jc w:val="center"/>
            </w:pPr>
            <w:r>
              <w:rPr>
                <w:noProof/>
              </w:rPr>
              <w:drawing>
                <wp:inline distT="0" distB="0" distL="0" distR="0" wp14:anchorId="57EA2A0F" wp14:editId="2618346B">
                  <wp:extent cx="1724673" cy="1819275"/>
                  <wp:effectExtent l="0" t="0" r="8890" b="0"/>
                  <wp:docPr id="108565" name="Image 108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726483" cy="1821184"/>
                          </a:xfrm>
                          <a:prstGeom prst="rect">
                            <a:avLst/>
                          </a:prstGeom>
                        </pic:spPr>
                      </pic:pic>
                    </a:graphicData>
                  </a:graphic>
                </wp:inline>
              </w:drawing>
            </w:r>
          </w:p>
          <w:p w14:paraId="4CCF2460" w14:textId="42B13416" w:rsidR="00C67B7A" w:rsidRDefault="00C67B7A" w:rsidP="00C67B7A">
            <w:pPr>
              <w:jc w:val="center"/>
            </w:pPr>
            <w:r>
              <w:t>Recul du glacier du Rhône (Suisse) entre 1900 et 2005.</w:t>
            </w:r>
          </w:p>
        </w:tc>
      </w:tr>
    </w:tbl>
    <w:p w14:paraId="73653FF8" w14:textId="77777777" w:rsidR="00C67B7A" w:rsidRDefault="00C67B7A" w:rsidP="00472B3D">
      <w:pPr>
        <w:spacing w:after="0" w:line="240" w:lineRule="auto"/>
        <w:jc w:val="cente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86"/>
        <w:gridCol w:w="4840"/>
      </w:tblGrid>
      <w:tr w:rsidR="00BC79C9" w14:paraId="322CE6E0" w14:textId="77777777" w:rsidTr="00BC79C9">
        <w:tc>
          <w:tcPr>
            <w:tcW w:w="5208" w:type="dxa"/>
          </w:tcPr>
          <w:p w14:paraId="315E3979" w14:textId="77777777" w:rsidR="00BC79C9" w:rsidRDefault="00BC79C9" w:rsidP="00472B3D">
            <w:pPr>
              <w:jc w:val="center"/>
            </w:pPr>
            <w:r>
              <w:rPr>
                <w:noProof/>
              </w:rPr>
              <w:drawing>
                <wp:inline distT="0" distB="0" distL="0" distR="0" wp14:anchorId="532C5435" wp14:editId="68D09F47">
                  <wp:extent cx="3409950" cy="3385723"/>
                  <wp:effectExtent l="0" t="0" r="0" b="5715"/>
                  <wp:docPr id="29712" name="Image 29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417360" cy="3393080"/>
                          </a:xfrm>
                          <a:prstGeom prst="rect">
                            <a:avLst/>
                          </a:prstGeom>
                          <a:noFill/>
                          <a:ln>
                            <a:noFill/>
                          </a:ln>
                        </pic:spPr>
                      </pic:pic>
                    </a:graphicData>
                  </a:graphic>
                </wp:inline>
              </w:drawing>
            </w:r>
          </w:p>
          <w:p w14:paraId="2381F70B" w14:textId="65125E12" w:rsidR="00BC79C9" w:rsidRDefault="00BC79C9" w:rsidP="00472B3D">
            <w:pPr>
              <w:jc w:val="center"/>
            </w:pPr>
            <w:r>
              <w:t>Recul du glacier du Seil de la Bacque (Luchonnais -31, Pyrénées, France), entre 1890 et 2007.</w:t>
            </w:r>
          </w:p>
        </w:tc>
        <w:tc>
          <w:tcPr>
            <w:tcW w:w="5208" w:type="dxa"/>
          </w:tcPr>
          <w:p w14:paraId="016533BB" w14:textId="77777777" w:rsidR="00BC79C9" w:rsidRDefault="00BC79C9" w:rsidP="00472B3D">
            <w:pPr>
              <w:jc w:val="center"/>
            </w:pPr>
            <w:r>
              <w:rPr>
                <w:noProof/>
              </w:rPr>
              <w:drawing>
                <wp:inline distT="0" distB="0" distL="0" distR="0" wp14:anchorId="00178CD6" wp14:editId="228298D4">
                  <wp:extent cx="2666227" cy="3305175"/>
                  <wp:effectExtent l="0" t="0" r="1270" b="0"/>
                  <wp:docPr id="44032" name="Image 44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667404" cy="3306634"/>
                          </a:xfrm>
                          <a:prstGeom prst="rect">
                            <a:avLst/>
                          </a:prstGeom>
                          <a:noFill/>
                          <a:ln>
                            <a:noFill/>
                          </a:ln>
                        </pic:spPr>
                      </pic:pic>
                    </a:graphicData>
                  </a:graphic>
                </wp:inline>
              </w:drawing>
            </w:r>
          </w:p>
          <w:p w14:paraId="4BEF30B8" w14:textId="18F05519" w:rsidR="00BC79C9" w:rsidRPr="00BC79C9" w:rsidRDefault="00BC79C9" w:rsidP="00BC79C9">
            <w:pPr>
              <w:jc w:val="center"/>
            </w:pPr>
            <w:r>
              <w:t>I</w:t>
            </w:r>
            <w:r w:rsidRPr="00A168D7">
              <w:t>mages</w:t>
            </w:r>
            <w:r>
              <w:t xml:space="preserve"> </w:t>
            </w:r>
            <w:r w:rsidRPr="00A168D7">
              <w:t>prises</w:t>
            </w:r>
            <w:r>
              <w:t xml:space="preserve">, en </w:t>
            </w:r>
            <w:r w:rsidRPr="00A168D7">
              <w:t>1918</w:t>
            </w:r>
            <w:r>
              <w:t xml:space="preserve"> et </w:t>
            </w:r>
            <w:r w:rsidRPr="00A168D7">
              <w:t>2002</w:t>
            </w:r>
            <w:r>
              <w:t xml:space="preserve">, </w:t>
            </w:r>
            <w:r w:rsidRPr="00A168D7">
              <w:t>montr</w:t>
            </w:r>
            <w:r>
              <w:t>a</w:t>
            </w:r>
            <w:r w:rsidRPr="00A168D7">
              <w:t>nt</w:t>
            </w:r>
            <w:r>
              <w:t xml:space="preserve"> le </w:t>
            </w:r>
            <w:r w:rsidRPr="00A168D7">
              <w:t>recul</w:t>
            </w:r>
            <w:r>
              <w:t xml:space="preserve"> du </w:t>
            </w:r>
            <w:r w:rsidRPr="00A168D7">
              <w:t>glacier</w:t>
            </w:r>
            <w:r>
              <w:t xml:space="preserve"> B</w:t>
            </w:r>
            <w:r w:rsidRPr="00A168D7">
              <w:t>lomstrandbreen</w:t>
            </w:r>
            <w:r>
              <w:t xml:space="preserve"> au G</w:t>
            </w:r>
            <w:r w:rsidRPr="00A168D7">
              <w:t>roenland</w:t>
            </w:r>
            <w:r>
              <w:t>.</w:t>
            </w:r>
          </w:p>
        </w:tc>
      </w:tr>
    </w:tbl>
    <w:p w14:paraId="47739530" w14:textId="77777777" w:rsidR="00E06C78" w:rsidRDefault="00E06C78" w:rsidP="00BC79C9">
      <w:pPr>
        <w:spacing w:after="0" w:line="240" w:lineRule="auto"/>
      </w:pPr>
    </w:p>
    <w:p w14:paraId="356E9E7F" w14:textId="2BF33D2F" w:rsidR="00166B7F" w:rsidRDefault="007150EA" w:rsidP="00472B3D">
      <w:pPr>
        <w:spacing w:after="0" w:line="240" w:lineRule="auto"/>
        <w:jc w:val="center"/>
      </w:pPr>
      <w:r>
        <w:rPr>
          <w:noProof/>
        </w:rPr>
        <w:lastRenderedPageBreak/>
        <w:drawing>
          <wp:inline distT="0" distB="0" distL="0" distR="0" wp14:anchorId="5F33513E" wp14:editId="442888D9">
            <wp:extent cx="2957593" cy="3313074"/>
            <wp:effectExtent l="0" t="0" r="0" b="1905"/>
            <wp:docPr id="29715" name="Image 29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962515" cy="3318587"/>
                    </a:xfrm>
                    <a:prstGeom prst="rect">
                      <a:avLst/>
                    </a:prstGeom>
                    <a:noFill/>
                    <a:ln>
                      <a:noFill/>
                    </a:ln>
                  </pic:spPr>
                </pic:pic>
              </a:graphicData>
            </a:graphic>
          </wp:inline>
        </w:drawing>
      </w:r>
      <w:r w:rsidRPr="007150EA">
        <w:t xml:space="preserve"> </w:t>
      </w:r>
      <w:r>
        <w:rPr>
          <w:noProof/>
        </w:rPr>
        <w:drawing>
          <wp:inline distT="0" distB="0" distL="0" distR="0" wp14:anchorId="2156E1BA" wp14:editId="61755700">
            <wp:extent cx="2921627" cy="3307367"/>
            <wp:effectExtent l="0" t="0" r="0" b="7620"/>
            <wp:docPr id="29716" name="Image 29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936714" cy="3324446"/>
                    </a:xfrm>
                    <a:prstGeom prst="rect">
                      <a:avLst/>
                    </a:prstGeom>
                    <a:noFill/>
                    <a:ln>
                      <a:noFill/>
                    </a:ln>
                  </pic:spPr>
                </pic:pic>
              </a:graphicData>
            </a:graphic>
          </wp:inline>
        </w:drawing>
      </w:r>
    </w:p>
    <w:p w14:paraId="2A90919D" w14:textId="6234C4AE" w:rsidR="00AF1F76" w:rsidRDefault="00AF1F76" w:rsidP="00472B3D">
      <w:pPr>
        <w:spacing w:after="0" w:line="240" w:lineRule="auto"/>
        <w:jc w:val="center"/>
      </w:pPr>
      <w:r>
        <w:t>Recul du glacier du Pasterze (Autriche), entre 1994 et 2020.</w:t>
      </w:r>
    </w:p>
    <w:p w14:paraId="0EEE31A1" w14:textId="77777777" w:rsidR="004C58D1" w:rsidRDefault="004C58D1" w:rsidP="00C7103E">
      <w:pPr>
        <w:spacing w:after="0" w:line="240" w:lineRule="auto"/>
      </w:pPr>
    </w:p>
    <w:p w14:paraId="6C5A2B9F" w14:textId="7A544BD5" w:rsidR="007C7553" w:rsidRDefault="007C7553" w:rsidP="00C7103E">
      <w:pPr>
        <w:spacing w:after="0" w:line="240" w:lineRule="auto"/>
      </w:pPr>
      <w:r w:rsidRPr="007C7553">
        <w:t>Les glaciers islandais</w:t>
      </w:r>
      <w:r>
        <w:t xml:space="preserve"> ne cessent de</w:t>
      </w:r>
      <w:r w:rsidRPr="007C7553">
        <w:t xml:space="preserve"> recule</w:t>
      </w:r>
      <w:r>
        <w:t>r</w:t>
      </w:r>
      <w:r w:rsidRPr="007C7553">
        <w:t xml:space="preserve"> continuellement</w:t>
      </w:r>
      <w:r w:rsidR="001F4252">
        <w:t xml:space="preserve"> (voir ci-après) :</w:t>
      </w:r>
    </w:p>
    <w:p w14:paraId="491BA29E" w14:textId="75631032" w:rsidR="007C7553" w:rsidRDefault="007C7553" w:rsidP="00C7103E">
      <w:pPr>
        <w:spacing w:after="0" w:line="240" w:lineRule="auto"/>
      </w:pPr>
    </w:p>
    <w:p w14:paraId="74715794" w14:textId="61B4F5DF" w:rsidR="007C7553" w:rsidRDefault="007C7553" w:rsidP="007C7553">
      <w:pPr>
        <w:spacing w:after="0" w:line="240" w:lineRule="auto"/>
        <w:jc w:val="center"/>
      </w:pPr>
      <w:r>
        <w:rPr>
          <w:noProof/>
        </w:rPr>
        <w:drawing>
          <wp:inline distT="0" distB="0" distL="0" distR="0" wp14:anchorId="18EDDF50" wp14:editId="76494F75">
            <wp:extent cx="3114675" cy="3114675"/>
            <wp:effectExtent l="0" t="0" r="9525" b="9525"/>
            <wp:docPr id="29719" name="Image 29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114675" cy="3114675"/>
                    </a:xfrm>
                    <a:prstGeom prst="rect">
                      <a:avLst/>
                    </a:prstGeom>
                    <a:noFill/>
                    <a:ln>
                      <a:noFill/>
                    </a:ln>
                  </pic:spPr>
                </pic:pic>
              </a:graphicData>
            </a:graphic>
          </wp:inline>
        </w:drawing>
      </w:r>
      <w:r>
        <w:rPr>
          <w:noProof/>
        </w:rPr>
        <w:drawing>
          <wp:inline distT="0" distB="0" distL="0" distR="0" wp14:anchorId="789CBFAC" wp14:editId="3991681A">
            <wp:extent cx="3171825" cy="3171825"/>
            <wp:effectExtent l="0" t="0" r="9525" b="9525"/>
            <wp:docPr id="29718" name="Image 29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171825" cy="3171825"/>
                    </a:xfrm>
                    <a:prstGeom prst="rect">
                      <a:avLst/>
                    </a:prstGeom>
                    <a:noFill/>
                    <a:ln>
                      <a:noFill/>
                    </a:ln>
                  </pic:spPr>
                </pic:pic>
              </a:graphicData>
            </a:graphic>
          </wp:inline>
        </w:drawing>
      </w:r>
    </w:p>
    <w:p w14:paraId="743ECC13" w14:textId="7349869E" w:rsidR="007C7553" w:rsidRDefault="007C7553" w:rsidP="007C7553">
      <w:pPr>
        <w:spacing w:after="0" w:line="240" w:lineRule="auto"/>
        <w:jc w:val="center"/>
      </w:pPr>
      <w:r w:rsidRPr="007C7553">
        <w:t>Recul du glacier Vatnajökull entre 1991 et 2006 (</w:t>
      </w:r>
      <w:r>
        <w:t xml:space="preserve">image du </w:t>
      </w:r>
      <w:r w:rsidRPr="007C7553">
        <w:t xml:space="preserve">Sud-Est du Vatnajökull, Google </w:t>
      </w:r>
      <w:r>
        <w:t>E</w:t>
      </w:r>
      <w:r w:rsidRPr="007C7553">
        <w:t>arth)</w:t>
      </w:r>
      <w:r w:rsidR="00EC168E">
        <w:rPr>
          <w:rStyle w:val="Appelnotedebasdep"/>
        </w:rPr>
        <w:footnoteReference w:id="30"/>
      </w:r>
      <w:r>
        <w:t>.</w:t>
      </w:r>
    </w:p>
    <w:p w14:paraId="444A9973" w14:textId="7CED9988" w:rsidR="007C7553" w:rsidRDefault="007C7553" w:rsidP="007C7553">
      <w:pPr>
        <w:spacing w:after="0" w:line="240" w:lineRule="auto"/>
        <w:jc w:val="center"/>
      </w:pPr>
    </w:p>
    <w:p w14:paraId="4227DE8F" w14:textId="59A9EF48" w:rsidR="007C7553" w:rsidRDefault="007C7553" w:rsidP="007C7553">
      <w:pPr>
        <w:spacing w:after="0" w:line="240" w:lineRule="auto"/>
        <w:jc w:val="center"/>
      </w:pPr>
      <w:r>
        <w:rPr>
          <w:noProof/>
        </w:rPr>
        <w:lastRenderedPageBreak/>
        <w:drawing>
          <wp:inline distT="0" distB="0" distL="0" distR="0" wp14:anchorId="44EC71B6" wp14:editId="3F2DC34B">
            <wp:extent cx="3209925" cy="3209925"/>
            <wp:effectExtent l="0" t="0" r="9525" b="9525"/>
            <wp:docPr id="29722" name="Image 29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209925" cy="3209925"/>
                    </a:xfrm>
                    <a:prstGeom prst="rect">
                      <a:avLst/>
                    </a:prstGeom>
                    <a:noFill/>
                    <a:ln>
                      <a:noFill/>
                    </a:ln>
                  </pic:spPr>
                </pic:pic>
              </a:graphicData>
            </a:graphic>
          </wp:inline>
        </w:drawing>
      </w:r>
      <w:r>
        <w:rPr>
          <w:noProof/>
        </w:rPr>
        <w:drawing>
          <wp:inline distT="0" distB="0" distL="0" distR="0" wp14:anchorId="3DD33859" wp14:editId="3F23FCBC">
            <wp:extent cx="3276600" cy="3276600"/>
            <wp:effectExtent l="0" t="0" r="0" b="0"/>
            <wp:docPr id="29721" name="Image 29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276600" cy="3276600"/>
                    </a:xfrm>
                    <a:prstGeom prst="rect">
                      <a:avLst/>
                    </a:prstGeom>
                    <a:noFill/>
                    <a:ln>
                      <a:noFill/>
                    </a:ln>
                  </pic:spPr>
                </pic:pic>
              </a:graphicData>
            </a:graphic>
          </wp:inline>
        </w:drawing>
      </w:r>
    </w:p>
    <w:p w14:paraId="674D9198" w14:textId="530DBE20" w:rsidR="007C7553" w:rsidRDefault="007C7553" w:rsidP="001F4252">
      <w:pPr>
        <w:spacing w:after="0" w:line="240" w:lineRule="auto"/>
        <w:jc w:val="center"/>
      </w:pPr>
      <w:r>
        <w:t xml:space="preserve">Augmentation de la lagune glacière du </w:t>
      </w:r>
      <w:r w:rsidRPr="007C7553">
        <w:t>Jökulsárlón</w:t>
      </w:r>
      <w:r>
        <w:t xml:space="preserve">, entre 1991 et 2006 (situé au bout du glacier du </w:t>
      </w:r>
      <w:r w:rsidRPr="007C7553">
        <w:t>Vatnajökull</w:t>
      </w:r>
      <w:r>
        <w:t>)</w:t>
      </w:r>
      <w:r w:rsidR="00EC168E">
        <w:rPr>
          <w:rStyle w:val="Appelnotedebasdep"/>
        </w:rPr>
        <w:footnoteReference w:id="31"/>
      </w:r>
      <w:r>
        <w:t xml:space="preserve">. </w:t>
      </w:r>
    </w:p>
    <w:p w14:paraId="320B32EE" w14:textId="72ADAE86" w:rsidR="001F4252" w:rsidRDefault="001F4252" w:rsidP="001F4252">
      <w:pPr>
        <w:spacing w:after="0" w:line="240" w:lineRule="auto"/>
      </w:pPr>
    </w:p>
    <w:p w14:paraId="71277E13" w14:textId="77777777" w:rsidR="001F4252" w:rsidRPr="00D021C5" w:rsidRDefault="001F4252" w:rsidP="001F4252">
      <w:pPr>
        <w:spacing w:after="0" w:line="240" w:lineRule="auto"/>
        <w:jc w:val="both"/>
        <w:rPr>
          <w:color w:val="000000" w:themeColor="text1"/>
        </w:rPr>
      </w:pPr>
      <w:r w:rsidRPr="00D021C5">
        <w:rPr>
          <w:color w:val="000000" w:themeColor="text1"/>
        </w:rPr>
        <w:t>Le 14 août 2021, pour la première fois, d'importantes pluies ont été observées près du sommet de la calotte glaciaire du Groenland, à plus de 3000 mètres d'altitude</w:t>
      </w:r>
      <w:r w:rsidRPr="00D021C5">
        <w:rPr>
          <w:rStyle w:val="Appelnotedebasdep"/>
          <w:color w:val="000000" w:themeColor="text1"/>
        </w:rPr>
        <w:footnoteReference w:id="32"/>
      </w:r>
      <w:r w:rsidRPr="00D021C5">
        <w:rPr>
          <w:color w:val="000000" w:themeColor="text1"/>
        </w:rPr>
        <w:t>.</w:t>
      </w:r>
    </w:p>
    <w:p w14:paraId="6664BF3B" w14:textId="77777777" w:rsidR="00A168D7" w:rsidRDefault="00A168D7" w:rsidP="00C7103E">
      <w:pPr>
        <w:spacing w:after="0" w:line="240" w:lineRule="auto"/>
      </w:pPr>
    </w:p>
    <w:p w14:paraId="41749F1A" w14:textId="342EF358" w:rsidR="00015F2E" w:rsidRDefault="00A31AFD" w:rsidP="00A1095F">
      <w:pPr>
        <w:pStyle w:val="Titre3"/>
      </w:pPr>
      <w:bookmarkStart w:id="10" w:name="_Toc139181302"/>
      <w:r>
        <w:t xml:space="preserve">Sècheresses accrues dans des régions. </w:t>
      </w:r>
      <w:r w:rsidR="00015F2E">
        <w:t>Assèchement</w:t>
      </w:r>
      <w:r>
        <w:t xml:space="preserve"> des rivières,</w:t>
      </w:r>
      <w:r w:rsidR="00015F2E">
        <w:t xml:space="preserve"> de lacs</w:t>
      </w:r>
      <w:r w:rsidR="00AD1957">
        <w:t xml:space="preserve"> et de mers intérieures</w:t>
      </w:r>
      <w:bookmarkEnd w:id="10"/>
    </w:p>
    <w:p w14:paraId="6A1CFB9C" w14:textId="7A7F1EFC" w:rsidR="00015F2E" w:rsidRDefault="00015F2E" w:rsidP="00C7103E">
      <w:pPr>
        <w:spacing w:after="0" w:line="240" w:lineRule="auto"/>
      </w:pPr>
    </w:p>
    <w:p w14:paraId="79D49750" w14:textId="2180B97D" w:rsidR="008F2557" w:rsidRDefault="008F2557" w:rsidP="00F77914">
      <w:pPr>
        <w:spacing w:after="0" w:line="240" w:lineRule="auto"/>
        <w:jc w:val="both"/>
      </w:pPr>
      <w:r>
        <w:t>A cause des excès de l’irrigation, de phénomènes de désertification, de diminution des précipitation</w:t>
      </w:r>
      <w:r w:rsidR="00F77914">
        <w:t xml:space="preserve">s, dans certaines régions dans le monde (Californie, Asie centrale, Afrique …), certains lacs et mers intérieures s’assèchent et se salinisent.  </w:t>
      </w:r>
    </w:p>
    <w:p w14:paraId="7FBBF44D" w14:textId="77777777" w:rsidR="004C58D1" w:rsidRDefault="004C58D1" w:rsidP="004C58D1">
      <w:pPr>
        <w:spacing w:after="0" w:line="240" w:lineRule="auto"/>
        <w:jc w:val="center"/>
      </w:pPr>
      <w:r>
        <w:rPr>
          <w:noProof/>
        </w:rPr>
        <w:drawing>
          <wp:inline distT="0" distB="0" distL="0" distR="0" wp14:anchorId="4326D6BD" wp14:editId="4408FA16">
            <wp:extent cx="4362450" cy="2462967"/>
            <wp:effectExtent l="0" t="0" r="0" b="0"/>
            <wp:docPr id="29725" name="Image 29725"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25" name="Image 29725" descr="Une image contenant texte&#10;&#10;Description générée automatiquement"/>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380295" cy="2473042"/>
                    </a:xfrm>
                    <a:prstGeom prst="rect">
                      <a:avLst/>
                    </a:prstGeom>
                    <a:noFill/>
                    <a:ln>
                      <a:noFill/>
                    </a:ln>
                  </pic:spPr>
                </pic:pic>
              </a:graphicData>
            </a:graphic>
          </wp:inline>
        </w:drawing>
      </w:r>
    </w:p>
    <w:p w14:paraId="68983C1C" w14:textId="77777777" w:rsidR="004C58D1" w:rsidRDefault="004C58D1" w:rsidP="004C58D1">
      <w:pPr>
        <w:spacing w:after="0" w:line="240" w:lineRule="auto"/>
        <w:jc w:val="center"/>
      </w:pPr>
      <w:r w:rsidRPr="00AE264F">
        <w:t>Images satellite Landsat montrant la dessiccation progressive de la mer d'Aral</w:t>
      </w:r>
      <w:r>
        <w:t xml:space="preserve"> entre 1977 et 2006</w:t>
      </w:r>
      <w:r w:rsidRPr="00AE264F">
        <w:t xml:space="preserve">. </w:t>
      </w:r>
    </w:p>
    <w:p w14:paraId="3346EE0A" w14:textId="77777777" w:rsidR="004C58D1" w:rsidRDefault="004C58D1" w:rsidP="004C58D1">
      <w:pPr>
        <w:spacing w:after="0" w:line="240" w:lineRule="auto"/>
        <w:jc w:val="center"/>
      </w:pPr>
      <w:r>
        <w:t xml:space="preserve">(© </w:t>
      </w:r>
      <w:r w:rsidRPr="00AE264F">
        <w:t>NASA Earth Observatory</w:t>
      </w:r>
      <w:r>
        <w:t>).</w:t>
      </w:r>
    </w:p>
    <w:p w14:paraId="6258B245" w14:textId="77777777" w:rsidR="004C58D1" w:rsidRDefault="004C58D1" w:rsidP="00F77914">
      <w:pPr>
        <w:spacing w:after="0" w:line="240" w:lineRule="auto"/>
        <w:jc w:val="both"/>
      </w:pPr>
    </w:p>
    <w:p w14:paraId="6DB9B377" w14:textId="77777777" w:rsidR="008F2557" w:rsidRDefault="008F2557" w:rsidP="00C7103E">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37"/>
        <w:gridCol w:w="3789"/>
      </w:tblGrid>
      <w:tr w:rsidR="00BC79C9" w14:paraId="05BF2711" w14:textId="77777777" w:rsidTr="00BC79C9">
        <w:tc>
          <w:tcPr>
            <w:tcW w:w="5949" w:type="dxa"/>
          </w:tcPr>
          <w:p w14:paraId="75AC63C6" w14:textId="77777777" w:rsidR="00F67BB4" w:rsidRDefault="00BC79C9" w:rsidP="00F67BB4">
            <w:pPr>
              <w:jc w:val="center"/>
            </w:pPr>
            <w:r>
              <w:rPr>
                <w:noProof/>
              </w:rPr>
              <w:drawing>
                <wp:inline distT="0" distB="0" distL="0" distR="0" wp14:anchorId="2CBCAAB2" wp14:editId="47ECFE27">
                  <wp:extent cx="4201895" cy="3400425"/>
                  <wp:effectExtent l="0" t="0" r="8255" b="0"/>
                  <wp:docPr id="29723" name="Image 29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216895" cy="3412564"/>
                          </a:xfrm>
                          <a:prstGeom prst="rect">
                            <a:avLst/>
                          </a:prstGeom>
                          <a:noFill/>
                          <a:ln>
                            <a:noFill/>
                          </a:ln>
                        </pic:spPr>
                      </pic:pic>
                    </a:graphicData>
                  </a:graphic>
                </wp:inline>
              </w:drawing>
            </w:r>
          </w:p>
          <w:p w14:paraId="6BF63DE3" w14:textId="294733A0" w:rsidR="001001BC" w:rsidRDefault="00BC79C9" w:rsidP="00C13B1B">
            <w:pPr>
              <w:jc w:val="center"/>
            </w:pPr>
            <w:r>
              <w:t>Evolution de la Mer morte, entre août 1989 (gauche) et mars 2001 (droite).</w:t>
            </w:r>
          </w:p>
        </w:tc>
        <w:tc>
          <w:tcPr>
            <w:tcW w:w="4467" w:type="dxa"/>
          </w:tcPr>
          <w:p w14:paraId="67D5EB4C" w14:textId="77777777" w:rsidR="00F67BB4" w:rsidRDefault="00F67BB4" w:rsidP="00F67BB4">
            <w:pPr>
              <w:jc w:val="center"/>
            </w:pPr>
            <w:r>
              <w:rPr>
                <w:noProof/>
              </w:rPr>
              <w:drawing>
                <wp:inline distT="0" distB="0" distL="0" distR="0" wp14:anchorId="4B8F4E11" wp14:editId="477260F0">
                  <wp:extent cx="2341873" cy="4657725"/>
                  <wp:effectExtent l="0" t="0" r="1905" b="0"/>
                  <wp:docPr id="39940" name="Image 39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379913" cy="4733383"/>
                          </a:xfrm>
                          <a:prstGeom prst="rect">
                            <a:avLst/>
                          </a:prstGeom>
                          <a:noFill/>
                          <a:ln>
                            <a:noFill/>
                          </a:ln>
                        </pic:spPr>
                      </pic:pic>
                    </a:graphicData>
                  </a:graphic>
                </wp:inline>
              </w:drawing>
            </w:r>
          </w:p>
          <w:p w14:paraId="60B11D55" w14:textId="3B783C3B" w:rsidR="00F67BB4" w:rsidRDefault="00BC79C9" w:rsidP="001001BC">
            <w:pPr>
              <w:jc w:val="both"/>
            </w:pPr>
            <w:r w:rsidRPr="00BC79C9">
              <w:t>Le lac d’Oroville en Californie est rempli à seulement 35 % de sa capacité</w:t>
            </w:r>
            <w:r w:rsidR="00F67BB4">
              <w:t>. La première photo date d'il y a 3 ans. La 2e photo a été prise le 27 avril 2021. La 3e a été prise en août 2021</w:t>
            </w:r>
            <w:r>
              <w:rPr>
                <w:rStyle w:val="Appelnotedebasdep"/>
              </w:rPr>
              <w:footnoteReference w:id="33"/>
            </w:r>
            <w:r w:rsidRPr="00BC79C9">
              <w:t>.</w:t>
            </w:r>
          </w:p>
        </w:tc>
      </w:tr>
    </w:tbl>
    <w:p w14:paraId="7BA03C5C" w14:textId="4009FF6A" w:rsidR="004624BF" w:rsidRDefault="004624BF" w:rsidP="00BC79C9">
      <w:pPr>
        <w:spacing w:after="0" w:line="240" w:lineRule="auto"/>
      </w:pPr>
    </w:p>
    <w:p w14:paraId="5A9851C9" w14:textId="6686A679" w:rsidR="00C13B1B" w:rsidRDefault="00C13B1B" w:rsidP="00C13B1B">
      <w:pPr>
        <w:spacing w:after="0" w:line="240" w:lineRule="auto"/>
        <w:jc w:val="both"/>
      </w:pPr>
      <w:r w:rsidRPr="00C13B1B">
        <w:t xml:space="preserve">Le long de la Méditerranée, la célèbre « mer de plastique » </w:t>
      </w:r>
      <w:r>
        <w:t>_</w:t>
      </w:r>
      <w:r w:rsidRPr="00C13B1B">
        <w:t xml:space="preserve"> 30.000 hectares de cultures sous serre, ravitaillant l’Europe en tomates, en fraises et autres produits maraichers _</w:t>
      </w:r>
      <w:r>
        <w:t xml:space="preserve"> et</w:t>
      </w:r>
      <w:r w:rsidRPr="00C13B1B">
        <w:t xml:space="preserve"> des cultures intensives irrigués d’amandiers ou d’oliviers épuisent</w:t>
      </w:r>
      <w:r>
        <w:t>, par excès de pompages (souvent sauvages),</w:t>
      </w:r>
      <w:r w:rsidRPr="00C13B1B">
        <w:t xml:space="preserve"> les aquifères, touchés par des intrusions d’eau saline, causant la dégradation des sols et la désertification de la province d'Alméria, au sud de l'Espagne</w:t>
      </w:r>
      <w:r w:rsidR="00F50790">
        <w:rPr>
          <w:rStyle w:val="Appelnotedebasdep"/>
        </w:rPr>
        <w:footnoteReference w:id="34"/>
      </w:r>
      <w:r w:rsidRPr="00C13B1B">
        <w:t>.</w:t>
      </w:r>
    </w:p>
    <w:p w14:paraId="72815429" w14:textId="77777777" w:rsidR="00F50790" w:rsidRDefault="00F50790" w:rsidP="00C13B1B">
      <w:pPr>
        <w:spacing w:after="0" w:line="240" w:lineRule="auto"/>
        <w:jc w:val="both"/>
      </w:pPr>
    </w:p>
    <w:p w14:paraId="42CB92DC" w14:textId="68608E68" w:rsidR="00224941" w:rsidRDefault="00224941" w:rsidP="00AD1957">
      <w:pPr>
        <w:spacing w:after="0" w:line="240" w:lineRule="auto"/>
        <w:jc w:val="center"/>
      </w:pPr>
      <w:r>
        <w:rPr>
          <w:noProof/>
        </w:rPr>
        <w:lastRenderedPageBreak/>
        <w:drawing>
          <wp:inline distT="0" distB="0" distL="0" distR="0" wp14:anchorId="3CDF6D02" wp14:editId="745E7FFA">
            <wp:extent cx="6620510" cy="1827530"/>
            <wp:effectExtent l="0" t="0" r="8890" b="1270"/>
            <wp:docPr id="29724" name="Image 29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620510" cy="1827530"/>
                    </a:xfrm>
                    <a:prstGeom prst="rect">
                      <a:avLst/>
                    </a:prstGeom>
                    <a:noFill/>
                    <a:ln>
                      <a:noFill/>
                    </a:ln>
                  </pic:spPr>
                </pic:pic>
              </a:graphicData>
            </a:graphic>
          </wp:inline>
        </w:drawing>
      </w:r>
    </w:p>
    <w:p w14:paraId="5B441DE5" w14:textId="3357DD96" w:rsidR="00224941" w:rsidRDefault="00224941" w:rsidP="00AD1957">
      <w:pPr>
        <w:spacing w:after="0" w:line="240" w:lineRule="auto"/>
        <w:jc w:val="center"/>
      </w:pPr>
      <w:r>
        <w:t>Assèchement du lac Aculeo (au Chili)</w:t>
      </w:r>
      <w:r w:rsidR="00AD0C9F">
        <w:t>, entre 2016 et 2019.</w:t>
      </w:r>
    </w:p>
    <w:p w14:paraId="705BE14D" w14:textId="66E63A76" w:rsidR="00AE264F" w:rsidRDefault="00AE264F" w:rsidP="001001BC">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3A0474" w14:paraId="32804860" w14:textId="77777777" w:rsidTr="003A0474">
        <w:tc>
          <w:tcPr>
            <w:tcW w:w="5208" w:type="dxa"/>
          </w:tcPr>
          <w:p w14:paraId="098FB528" w14:textId="77777777" w:rsidR="003A0474" w:rsidRDefault="003A0474" w:rsidP="003A0474">
            <w:pPr>
              <w:jc w:val="center"/>
            </w:pPr>
            <w:r>
              <w:rPr>
                <w:noProof/>
              </w:rPr>
              <w:drawing>
                <wp:inline distT="0" distB="0" distL="0" distR="0" wp14:anchorId="0060D37A" wp14:editId="1D9D9456">
                  <wp:extent cx="3124200" cy="3274624"/>
                  <wp:effectExtent l="0" t="0" r="0" b="2540"/>
                  <wp:docPr id="29726" name="Image 29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129830" cy="3280525"/>
                          </a:xfrm>
                          <a:prstGeom prst="rect">
                            <a:avLst/>
                          </a:prstGeom>
                          <a:noFill/>
                          <a:ln>
                            <a:noFill/>
                          </a:ln>
                        </pic:spPr>
                      </pic:pic>
                    </a:graphicData>
                  </a:graphic>
                </wp:inline>
              </w:drawing>
            </w:r>
          </w:p>
          <w:p w14:paraId="608561E9" w14:textId="6B8BAF14" w:rsidR="003A0474" w:rsidRDefault="003A0474" w:rsidP="003A0474">
            <w:pPr>
              <w:jc w:val="center"/>
            </w:pPr>
            <w:r>
              <w:t>Assèchement</w:t>
            </w:r>
            <w:r w:rsidRPr="00B32EE5">
              <w:t xml:space="preserve"> du lac Tchad entre 1973 et 2001</w:t>
            </w:r>
            <w:r>
              <w:t>.</w:t>
            </w:r>
          </w:p>
        </w:tc>
        <w:tc>
          <w:tcPr>
            <w:tcW w:w="5208" w:type="dxa"/>
          </w:tcPr>
          <w:p w14:paraId="19BF46FF" w14:textId="77777777" w:rsidR="003A0474" w:rsidRDefault="003A0474" w:rsidP="003A0474">
            <w:pPr>
              <w:jc w:val="center"/>
            </w:pPr>
            <w:r>
              <w:rPr>
                <w:noProof/>
              </w:rPr>
              <w:drawing>
                <wp:inline distT="0" distB="0" distL="0" distR="0" wp14:anchorId="4F935809" wp14:editId="13426123">
                  <wp:extent cx="3142173" cy="2990850"/>
                  <wp:effectExtent l="0" t="0" r="1270" b="0"/>
                  <wp:docPr id="70680" name="Image 70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142686" cy="2991338"/>
                          </a:xfrm>
                          <a:prstGeom prst="rect">
                            <a:avLst/>
                          </a:prstGeom>
                          <a:noFill/>
                          <a:ln>
                            <a:noFill/>
                          </a:ln>
                        </pic:spPr>
                      </pic:pic>
                    </a:graphicData>
                  </a:graphic>
                </wp:inline>
              </w:drawing>
            </w:r>
          </w:p>
          <w:p w14:paraId="7809FEC8" w14:textId="2BC51BCF" w:rsidR="003A0474" w:rsidRDefault="003A0474" w:rsidP="003A0474">
            <w:pPr>
              <w:jc w:val="center"/>
            </w:pPr>
            <w:r>
              <w:t>I</w:t>
            </w:r>
            <w:r w:rsidRPr="003A0474">
              <w:t>mages satellites</w:t>
            </w:r>
            <w:r>
              <w:t xml:space="preserve"> de l’Euphrate,</w:t>
            </w:r>
            <w:r w:rsidRPr="003A0474">
              <w:t xml:space="preserve"> en fausses couleurs capturées le 5 mai 2020 et le 7 mai 2021</w:t>
            </w:r>
            <w:r>
              <w:t xml:space="preserve"> (</w:t>
            </w:r>
            <w:r w:rsidRPr="003A0474">
              <w:t>Agence spatiale européenne</w:t>
            </w:r>
            <w:r>
              <w:t>)</w:t>
            </w:r>
            <w:r w:rsidRPr="003A0474">
              <w:t>.</w:t>
            </w:r>
          </w:p>
        </w:tc>
      </w:tr>
    </w:tbl>
    <w:p w14:paraId="60B2492C" w14:textId="258BBD3B" w:rsidR="00A31AFD" w:rsidRDefault="003A0474" w:rsidP="003A0474">
      <w:pPr>
        <w:spacing w:after="0" w:line="240" w:lineRule="auto"/>
        <w:jc w:val="both"/>
      </w:pPr>
      <w:r w:rsidRPr="00A31AFD">
        <w:t>Jadis très fertile, la plaine du Khouzestan, en Iran, est régulièrement frappée par la sécheresse et par des tempêtes de sable venues d'Irak ou de la péninsule Arabique, phénomènes qui prennent de l'ampleur depuis plus d'une quinzaine d'années</w:t>
      </w:r>
      <w:r>
        <w:t xml:space="preserve">, sècheresse causant des </w:t>
      </w:r>
      <w:r w:rsidRPr="00A31AFD">
        <w:rPr>
          <w:i/>
          <w:iCs/>
        </w:rPr>
        <w:t>émeutes de la soif</w:t>
      </w:r>
      <w:r>
        <w:t xml:space="preserve"> </w:t>
      </w:r>
      <w:r w:rsidRPr="00A1095F">
        <w:t>[35]</w:t>
      </w:r>
      <w:r w:rsidRPr="00A31AFD">
        <w:t>.</w:t>
      </w:r>
      <w:r>
        <w:t xml:space="preserve"> L’Euphrate est de plus en plus sujet à des épisodes de sécheresses et de graves </w:t>
      </w:r>
      <w:r w:rsidRPr="003A0474">
        <w:t>étiage</w:t>
      </w:r>
      <w:r>
        <w:t xml:space="preserve">s [34]. </w:t>
      </w:r>
      <w:r w:rsidR="001F6F9B">
        <w:t>A cause des excès de pompage et du réchauffement climatique, le fleuve Colorado, régulièrement, ne rejoint plus la mer</w:t>
      </w:r>
      <w:r w:rsidR="00EA698A">
        <w:rPr>
          <w:rStyle w:val="Appelnotedebasdep"/>
        </w:rPr>
        <w:footnoteReference w:id="35"/>
      </w:r>
      <w:r w:rsidR="001F6F9B">
        <w:t xml:space="preserve"> [36].</w:t>
      </w:r>
    </w:p>
    <w:p w14:paraId="7CE74151" w14:textId="4EC1CC2B" w:rsidR="00036095" w:rsidRDefault="00036095" w:rsidP="003A0474">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30"/>
        <w:gridCol w:w="5496"/>
      </w:tblGrid>
      <w:tr w:rsidR="00036095" w14:paraId="60F60BB0" w14:textId="77777777" w:rsidTr="00036095">
        <w:tc>
          <w:tcPr>
            <w:tcW w:w="5208" w:type="dxa"/>
          </w:tcPr>
          <w:p w14:paraId="2E52926E" w14:textId="77777777" w:rsidR="00036095" w:rsidRDefault="00036095" w:rsidP="00036095">
            <w:pPr>
              <w:jc w:val="center"/>
            </w:pPr>
            <w:r>
              <w:rPr>
                <w:noProof/>
              </w:rPr>
              <w:lastRenderedPageBreak/>
              <w:drawing>
                <wp:inline distT="0" distB="0" distL="0" distR="0" wp14:anchorId="144F4C00" wp14:editId="5BBFE3A1">
                  <wp:extent cx="2834376" cy="1885950"/>
                  <wp:effectExtent l="0" t="0" r="4445" b="0"/>
                  <wp:docPr id="91148" name="Image 9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838886" cy="1888951"/>
                          </a:xfrm>
                          <a:prstGeom prst="rect">
                            <a:avLst/>
                          </a:prstGeom>
                          <a:noFill/>
                          <a:ln>
                            <a:noFill/>
                          </a:ln>
                        </pic:spPr>
                      </pic:pic>
                    </a:graphicData>
                  </a:graphic>
                </wp:inline>
              </w:drawing>
            </w:r>
          </w:p>
          <w:p w14:paraId="7BCE4266" w14:textId="23C9D044" w:rsidR="00036095" w:rsidRDefault="00036095" w:rsidP="00036095">
            <w:pPr>
              <w:jc w:val="center"/>
            </w:pPr>
            <w:r>
              <w:t>Embouchure et delta du Colorado au Mexique [36].</w:t>
            </w:r>
          </w:p>
        </w:tc>
        <w:tc>
          <w:tcPr>
            <w:tcW w:w="5208" w:type="dxa"/>
          </w:tcPr>
          <w:p w14:paraId="6B112A7B" w14:textId="77777777" w:rsidR="00036095" w:rsidRDefault="00036095" w:rsidP="00036095">
            <w:pPr>
              <w:jc w:val="center"/>
            </w:pPr>
            <w:r>
              <w:rPr>
                <w:noProof/>
              </w:rPr>
              <w:drawing>
                <wp:inline distT="0" distB="0" distL="0" distR="0" wp14:anchorId="40AA9A6D" wp14:editId="62D8EBBD">
                  <wp:extent cx="3352800" cy="1885950"/>
                  <wp:effectExtent l="0" t="0" r="0" b="0"/>
                  <wp:docPr id="91149" name="Image 9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352800" cy="1885950"/>
                          </a:xfrm>
                          <a:prstGeom prst="rect">
                            <a:avLst/>
                          </a:prstGeom>
                          <a:noFill/>
                          <a:ln>
                            <a:noFill/>
                          </a:ln>
                        </pic:spPr>
                      </pic:pic>
                    </a:graphicData>
                  </a:graphic>
                </wp:inline>
              </w:drawing>
            </w:r>
          </w:p>
          <w:p w14:paraId="32D643DC" w14:textId="30CF6AAA" w:rsidR="00EB1C98" w:rsidRDefault="00036095" w:rsidP="00EB1C98">
            <w:pPr>
              <w:jc w:val="center"/>
            </w:pPr>
            <w:r>
              <w:t>Embouchure de l’Euphrate (mai 2021) [35].</w:t>
            </w:r>
          </w:p>
        </w:tc>
      </w:tr>
    </w:tbl>
    <w:p w14:paraId="6D9FE5B1" w14:textId="6B65FEEE" w:rsidR="003A0474" w:rsidRDefault="003A0474" w:rsidP="00A31AFD">
      <w:pPr>
        <w:spacing w:after="0" w:line="240" w:lineRule="auto"/>
      </w:pPr>
    </w:p>
    <w:p w14:paraId="42F1F024" w14:textId="28324ACB" w:rsidR="00CD3F23" w:rsidRDefault="00A53311" w:rsidP="00A53311">
      <w:pPr>
        <w:spacing w:after="0" w:line="240" w:lineRule="auto"/>
        <w:jc w:val="both"/>
      </w:pPr>
      <w:r>
        <w:t xml:space="preserve">Le sahel devient de plus en plus aride (il se désertifie). </w:t>
      </w:r>
      <w:r w:rsidRPr="00A53311">
        <w:t>Au cours des quatre dernières décennies, le Sahel a connu plusieurs déficits de pluviosité à l’origine des crises majeures de sécheresse (1968-1974,1983-1984, 2002-2003, 2005, 2009) qui ont lourdement affecté les populations humaines et animales.</w:t>
      </w:r>
    </w:p>
    <w:p w14:paraId="38271705" w14:textId="39C340ED" w:rsidR="00EB1C98" w:rsidRDefault="00EB1C98" w:rsidP="00EB1C98">
      <w:pPr>
        <w:spacing w:after="0" w:line="240" w:lineRule="auto"/>
        <w:jc w:val="center"/>
      </w:pPr>
    </w:p>
    <w:p w14:paraId="45A82E39" w14:textId="221B6091" w:rsidR="00961F29" w:rsidRDefault="00961F29" w:rsidP="00EB1C98">
      <w:pPr>
        <w:spacing w:after="0" w:line="240" w:lineRule="auto"/>
        <w:jc w:val="center"/>
      </w:pPr>
      <w:r w:rsidRPr="00961F29">
        <w:rPr>
          <w:noProof/>
        </w:rPr>
        <w:drawing>
          <wp:inline distT="0" distB="0" distL="0" distR="0" wp14:anchorId="3B101EC0" wp14:editId="1689A673">
            <wp:extent cx="6620510" cy="2097405"/>
            <wp:effectExtent l="0" t="0" r="8890" b="0"/>
            <wp:docPr id="52238" name="Image 52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620510" cy="2097405"/>
                    </a:xfrm>
                    <a:prstGeom prst="rect">
                      <a:avLst/>
                    </a:prstGeom>
                    <a:noFill/>
                    <a:ln>
                      <a:noFill/>
                    </a:ln>
                  </pic:spPr>
                </pic:pic>
              </a:graphicData>
            </a:graphic>
          </wp:inline>
        </w:drawing>
      </w:r>
    </w:p>
    <w:p w14:paraId="271189A1" w14:textId="129E91F4" w:rsidR="00EB1C98" w:rsidRDefault="00EB1C98" w:rsidP="00EB1C98">
      <w:pPr>
        <w:spacing w:after="0" w:line="240" w:lineRule="auto"/>
        <w:jc w:val="center"/>
      </w:pPr>
      <w:r w:rsidRPr="00EB1C98">
        <w:t>Indice de variation annuelle des précipitations au Sahel entre 1900 et 2010 (Touré &amp; al 2012)</w:t>
      </w:r>
      <w:r>
        <w:t>.</w:t>
      </w:r>
    </w:p>
    <w:p w14:paraId="6851E68D" w14:textId="39534194" w:rsidR="00961F29" w:rsidRPr="00961F29" w:rsidRDefault="00961F29" w:rsidP="00EB1C98">
      <w:pPr>
        <w:spacing w:after="0" w:line="240" w:lineRule="auto"/>
        <w:jc w:val="center"/>
        <w:rPr>
          <w:lang w:val="en-GB"/>
        </w:rPr>
      </w:pPr>
      <w:r w:rsidRPr="00961F29">
        <w:rPr>
          <w:lang w:val="en-GB"/>
        </w:rPr>
        <w:t>Source : Université de Washington, NOAA, NCDC, Global Historical Climatology Network Data</w:t>
      </w:r>
      <w:r>
        <w:rPr>
          <w:lang w:val="en-GB"/>
        </w:rPr>
        <w:t xml:space="preserve"> (2012).</w:t>
      </w:r>
    </w:p>
    <w:p w14:paraId="0EE6094D" w14:textId="3C5C9E80" w:rsidR="00EB1C98" w:rsidRDefault="00EB1C98" w:rsidP="00A31AFD">
      <w:pPr>
        <w:spacing w:after="0" w:line="240" w:lineRule="auto"/>
        <w:rPr>
          <w:lang w:val="en-GB"/>
        </w:rPr>
      </w:pPr>
    </w:p>
    <w:p w14:paraId="483962E0" w14:textId="1D383B80" w:rsidR="00342B24" w:rsidRPr="00342B24" w:rsidRDefault="00342B24" w:rsidP="00342B24">
      <w:pPr>
        <w:pStyle w:val="Titre3"/>
      </w:pPr>
      <w:bookmarkStart w:id="11" w:name="_Toc139181303"/>
      <w:r w:rsidRPr="00342B24">
        <w:t>L’augmentation des tempêtes de sab</w:t>
      </w:r>
      <w:r>
        <w:t>le</w:t>
      </w:r>
      <w:bookmarkEnd w:id="11"/>
    </w:p>
    <w:p w14:paraId="0F3620EA" w14:textId="67317B2F" w:rsidR="00342B24" w:rsidRDefault="00342B24" w:rsidP="00A31AFD">
      <w:pPr>
        <w:spacing w:after="0" w:line="240" w:lineRule="auto"/>
      </w:pPr>
    </w:p>
    <w:p w14:paraId="704FA9F1" w14:textId="5D1BF82D" w:rsidR="00342B24" w:rsidRDefault="00187F27" w:rsidP="00187F27">
      <w:pPr>
        <w:spacing w:after="0" w:line="240" w:lineRule="auto"/>
        <w:jc w:val="both"/>
      </w:pPr>
      <w:r>
        <w:t xml:space="preserve">L’érosion éolienne des sols, dans les zones arides, contribuent aux tempêtes de sable, dont les plus violentes sont nommées </w:t>
      </w:r>
      <w:r w:rsidRPr="00310F02">
        <w:rPr>
          <w:i/>
          <w:iCs/>
        </w:rPr>
        <w:t>aboob</w:t>
      </w:r>
      <w:r w:rsidR="00976F4B">
        <w:rPr>
          <w:rStyle w:val="Appelnotedebasdep"/>
        </w:rPr>
        <w:footnoteReference w:id="36"/>
      </w:r>
      <w:r>
        <w:t xml:space="preserve">. </w:t>
      </w:r>
      <w:r w:rsidR="00644A34" w:rsidRPr="00644A34">
        <w:t>On les observe dans le désert du Sahara, au Sahel, au Soudan, dans la péninsule Arabique, au Koweït, dans les régions les plus arides de l'Irak, dans le golfe Persique, aux USA</w:t>
      </w:r>
      <w:r w:rsidR="003E58D9">
        <w:t xml:space="preserve"> (</w:t>
      </w:r>
      <w:r w:rsidR="003E58D9" w:rsidRPr="003E58D9">
        <w:t xml:space="preserve">États de l'Arizona, du Texas et du Nouveau </w:t>
      </w:r>
      <w:r w:rsidR="003E58D9">
        <w:t>Mexique)</w:t>
      </w:r>
      <w:r w:rsidR="00644A34" w:rsidRPr="00644A34">
        <w:t>, en Australie</w:t>
      </w:r>
      <w:r w:rsidR="003E58D9">
        <w:t xml:space="preserve"> (Côte Ouest …)</w:t>
      </w:r>
      <w:r w:rsidR="00644A34" w:rsidRPr="00644A34">
        <w:t xml:space="preserve"> etc.</w:t>
      </w:r>
      <w:r w:rsidR="00EF7CEF">
        <w:t xml:space="preserve"> Les zones d</w:t>
      </w:r>
      <w:r w:rsidR="006E3B0D">
        <w:t>unaires</w:t>
      </w:r>
      <w:r w:rsidR="00EF7CEF">
        <w:t xml:space="preserve"> (erg) occupent 20% des déserts.</w:t>
      </w:r>
    </w:p>
    <w:p w14:paraId="4A984BDC" w14:textId="3A14504E" w:rsidR="003E58D9" w:rsidRDefault="003E58D9" w:rsidP="00187F27">
      <w:pPr>
        <w:spacing w:after="0" w:line="240" w:lineRule="auto"/>
        <w:jc w:val="both"/>
      </w:pPr>
      <w:r>
        <w:t>En Irak, il y a 300 jours de tempêtes de sable par an.</w:t>
      </w:r>
    </w:p>
    <w:p w14:paraId="3859A0B2" w14:textId="7C34D397" w:rsidR="003E58D9" w:rsidRDefault="003E58D9" w:rsidP="00187F27">
      <w:pPr>
        <w:spacing w:after="0" w:line="240" w:lineRule="auto"/>
        <w:jc w:val="both"/>
      </w:pPr>
      <w:r>
        <w:t>Elles peuvent être</w:t>
      </w:r>
      <w:r w:rsidR="00794C1E">
        <w:t xml:space="preserve"> aussi</w:t>
      </w:r>
      <w:r>
        <w:t xml:space="preserve"> déclenchée</w:t>
      </w:r>
      <w:r w:rsidR="00794C1E">
        <w:t>s</w:t>
      </w:r>
      <w:r>
        <w:t xml:space="preserve"> par les guerres, en particulier</w:t>
      </w:r>
      <w:r w:rsidR="006E3B0D">
        <w:t xml:space="preserve"> par</w:t>
      </w:r>
      <w:r>
        <w:t xml:space="preserve"> les passages de chars</w:t>
      </w:r>
      <w:r w:rsidR="00794C1E">
        <w:t>, dans les zones arides</w:t>
      </w:r>
      <w:r>
        <w:t>.</w:t>
      </w:r>
    </w:p>
    <w:p w14:paraId="170A9E1D" w14:textId="21832B1C" w:rsidR="003E58D9" w:rsidRDefault="003E58D9" w:rsidP="003E58D9">
      <w:pPr>
        <w:spacing w:after="0" w:line="240" w:lineRule="auto"/>
        <w:jc w:val="both"/>
      </w:pPr>
      <w:r>
        <w:t>Elles sont dangereuses pour les personnes souffrant de problèmes respiratoires</w:t>
      </w:r>
      <w:r w:rsidR="006E3B0D">
        <w:t xml:space="preserve"> et provoquent des accidents automobiles (quand elles réduisent la visibilité à quelques mètres).</w:t>
      </w:r>
    </w:p>
    <w:p w14:paraId="265C0D3D" w14:textId="77777777" w:rsidR="007259FA" w:rsidRDefault="007259FA" w:rsidP="003E58D9">
      <w:pPr>
        <w:spacing w:after="0" w:line="240" w:lineRule="auto"/>
        <w:jc w:val="both"/>
      </w:pPr>
    </w:p>
    <w:p w14:paraId="59DB3337" w14:textId="69ACD45E" w:rsidR="007259FA" w:rsidRDefault="007259FA" w:rsidP="003E58D9">
      <w:pPr>
        <w:spacing w:after="0" w:line="240" w:lineRule="auto"/>
        <w:jc w:val="both"/>
      </w:pPr>
      <w:r w:rsidRPr="007259FA">
        <w:t>Le Dust Bowl (« bassin de poussière ») est une région des Grandes Plaines, aux États-Unis, à cheval sur l'Oklahoma, le Kansas et le Texas, touchée dans les années 1930 par la sécheresse et une série de redoutables tempêtes de poussière, les blizzards noirs (black blizzards), provoquant une catastrophe écologique et agricole</w:t>
      </w:r>
      <w:r>
        <w:t>,</w:t>
      </w:r>
      <w:r w:rsidRPr="007259FA">
        <w:t xml:space="preserve"> détruis</w:t>
      </w:r>
      <w:r>
        <w:t>a</w:t>
      </w:r>
      <w:r w:rsidRPr="007259FA">
        <w:t xml:space="preserve">nt récoltes et </w:t>
      </w:r>
      <w:r w:rsidRPr="007259FA">
        <w:lastRenderedPageBreak/>
        <w:t>pâturages et enseveliss</w:t>
      </w:r>
      <w:r>
        <w:t>a</w:t>
      </w:r>
      <w:r w:rsidRPr="007259FA">
        <w:t>nt habitations et matériel agricole</w:t>
      </w:r>
      <w:r>
        <w:t>. B</w:t>
      </w:r>
      <w:r w:rsidRPr="007259FA">
        <w:t>lizzards noirs provoquées par la sécheresse et l'érosion, elle-même causée par le labour intensif profond de terres</w:t>
      </w:r>
      <w:r>
        <w:t>,</w:t>
      </w:r>
      <w:r w:rsidRPr="007259FA">
        <w:t xml:space="preserve"> qui ne les supportaient pas</w:t>
      </w:r>
      <w:r>
        <w:rPr>
          <w:rStyle w:val="Appelnotedebasdep"/>
        </w:rPr>
        <w:footnoteReference w:id="37"/>
      </w:r>
      <w:r w:rsidRPr="007259FA">
        <w:t>.</w:t>
      </w:r>
    </w:p>
    <w:p w14:paraId="09D83749" w14:textId="77777777" w:rsidR="00EF7CEF" w:rsidRDefault="00EF7CEF" w:rsidP="00EF7CEF">
      <w:pPr>
        <w:spacing w:after="0" w:line="240" w:lineRule="auto"/>
        <w:jc w:val="both"/>
        <w:rPr>
          <w:rFonts w:ascii="Calibri" w:hAnsi="Calibri" w:cs="Calibri"/>
        </w:rPr>
      </w:pPr>
    </w:p>
    <w:p w14:paraId="46CD9E05" w14:textId="77777777" w:rsidR="00EF7CEF" w:rsidRPr="0004289F" w:rsidRDefault="00EF7CEF" w:rsidP="00EF7CEF">
      <w:pPr>
        <w:pStyle w:val="Titre3"/>
      </w:pPr>
      <w:bookmarkStart w:id="12" w:name="_Toc139181304"/>
      <w:r w:rsidRPr="0004289F">
        <w:t>Le rôle croissant des terres arides dans le monde</w:t>
      </w:r>
      <w:bookmarkEnd w:id="12"/>
    </w:p>
    <w:p w14:paraId="59340FFD" w14:textId="77777777" w:rsidR="00EF7CEF" w:rsidRPr="0004289F" w:rsidRDefault="00EF7CEF" w:rsidP="00EF7CEF">
      <w:pPr>
        <w:spacing w:after="0" w:line="240" w:lineRule="auto"/>
        <w:jc w:val="both"/>
        <w:rPr>
          <w:rFonts w:ascii="Calibri" w:hAnsi="Calibri" w:cs="Calibri"/>
        </w:rPr>
      </w:pPr>
    </w:p>
    <w:p w14:paraId="3D564583" w14:textId="77777777" w:rsidR="00EF7CEF" w:rsidRDefault="00EF7CEF" w:rsidP="00EF7CEF">
      <w:pPr>
        <w:spacing w:after="0" w:line="240" w:lineRule="auto"/>
        <w:jc w:val="both"/>
        <w:rPr>
          <w:rFonts w:ascii="Calibri" w:hAnsi="Calibri" w:cs="Calibri"/>
        </w:rPr>
      </w:pPr>
      <w:r w:rsidRPr="0004289F">
        <w:rPr>
          <w:rFonts w:ascii="Calibri" w:hAnsi="Calibri" w:cs="Calibri"/>
        </w:rPr>
        <w:t>Les terres arides joueront un rôle croissant dans nourrir le monde</w:t>
      </w:r>
      <w:r>
        <w:rPr>
          <w:rFonts w:ascii="Calibri" w:hAnsi="Calibri" w:cs="Calibri"/>
        </w:rPr>
        <w:t xml:space="preserve"> (UNICEF)</w:t>
      </w:r>
      <w:r>
        <w:rPr>
          <w:rStyle w:val="Appelnotedebasdep"/>
          <w:rFonts w:ascii="Calibri" w:hAnsi="Calibri" w:cs="Calibri"/>
        </w:rPr>
        <w:footnoteReference w:id="38"/>
      </w:r>
      <w:r w:rsidRPr="0004289F">
        <w:rPr>
          <w:rFonts w:ascii="Calibri" w:hAnsi="Calibri" w:cs="Calibri"/>
        </w:rPr>
        <w:t xml:space="preserve"> : </w:t>
      </w:r>
    </w:p>
    <w:p w14:paraId="31B57BF2" w14:textId="77777777" w:rsidR="00EF7CEF" w:rsidRPr="0004289F" w:rsidRDefault="00EF7CEF" w:rsidP="00EF7CEF">
      <w:pPr>
        <w:spacing w:after="0" w:line="240" w:lineRule="auto"/>
        <w:jc w:val="both"/>
        <w:rPr>
          <w:rFonts w:ascii="Calibri" w:hAnsi="Calibri" w:cs="Calibri"/>
        </w:rPr>
      </w:pPr>
    </w:p>
    <w:p w14:paraId="1A60C616" w14:textId="3C973DA2" w:rsidR="00EF7CEF" w:rsidRPr="0004289F" w:rsidRDefault="00EF7CEF" w:rsidP="00EF7CEF">
      <w:pPr>
        <w:pStyle w:val="Paragraphedeliste"/>
        <w:numPr>
          <w:ilvl w:val="0"/>
          <w:numId w:val="54"/>
        </w:numPr>
        <w:spacing w:after="0" w:line="240" w:lineRule="auto"/>
        <w:ind w:left="426"/>
        <w:jc w:val="both"/>
        <w:rPr>
          <w:rFonts w:ascii="Calibri" w:hAnsi="Calibri" w:cs="Calibri"/>
        </w:rPr>
      </w:pPr>
      <w:r w:rsidRPr="0004289F">
        <w:rPr>
          <w:rFonts w:ascii="Calibri" w:hAnsi="Calibri" w:cs="Calibri"/>
        </w:rPr>
        <w:t>Les terres arides</w:t>
      </w:r>
      <w:r w:rsidR="00D81A93">
        <w:rPr>
          <w:rFonts w:ascii="Calibri" w:hAnsi="Calibri" w:cs="Calibri"/>
        </w:rPr>
        <w:t xml:space="preserve"> (souvent des zones « désertifiables »)</w:t>
      </w:r>
      <w:r w:rsidRPr="0004289F">
        <w:rPr>
          <w:rFonts w:ascii="Calibri" w:hAnsi="Calibri" w:cs="Calibri"/>
        </w:rPr>
        <w:t xml:space="preserve"> couvrent 40 % de la surface terrestre mondiale et plus de 2 milliards de personnes y vivent (UNSO/UNDP, 1997).</w:t>
      </w:r>
    </w:p>
    <w:p w14:paraId="0D9C054C" w14:textId="77777777" w:rsidR="00EF7CEF" w:rsidRPr="0004289F" w:rsidRDefault="00EF7CEF" w:rsidP="00EF7CEF">
      <w:pPr>
        <w:pStyle w:val="Paragraphedeliste"/>
        <w:numPr>
          <w:ilvl w:val="0"/>
          <w:numId w:val="54"/>
        </w:numPr>
        <w:spacing w:after="0" w:line="240" w:lineRule="auto"/>
        <w:ind w:left="426"/>
        <w:jc w:val="both"/>
        <w:rPr>
          <w:rFonts w:ascii="Calibri" w:hAnsi="Calibri" w:cs="Calibri"/>
        </w:rPr>
      </w:pPr>
      <w:r w:rsidRPr="0004289F">
        <w:rPr>
          <w:rFonts w:ascii="Calibri" w:hAnsi="Calibri" w:cs="Calibri"/>
        </w:rPr>
        <w:t>En Afrique, 43% des terres sont considérés comme arides.</w:t>
      </w:r>
    </w:p>
    <w:p w14:paraId="3583FD24" w14:textId="77777777" w:rsidR="00EF7CEF" w:rsidRPr="0004289F" w:rsidRDefault="00EF7CEF" w:rsidP="00EF7CEF">
      <w:pPr>
        <w:pStyle w:val="Paragraphedeliste"/>
        <w:numPr>
          <w:ilvl w:val="0"/>
          <w:numId w:val="54"/>
        </w:numPr>
        <w:spacing w:after="0" w:line="240" w:lineRule="auto"/>
        <w:ind w:left="426"/>
        <w:jc w:val="both"/>
        <w:rPr>
          <w:rFonts w:ascii="Calibri" w:hAnsi="Calibri" w:cs="Calibri"/>
        </w:rPr>
      </w:pPr>
      <w:r w:rsidRPr="0004289F">
        <w:rPr>
          <w:rFonts w:ascii="Calibri" w:hAnsi="Calibri" w:cs="Calibri"/>
        </w:rPr>
        <w:t>Les cultures pérennes sont plus adaptées aux terres arides.</w:t>
      </w:r>
    </w:p>
    <w:p w14:paraId="23932153" w14:textId="37E6E014" w:rsidR="00EF7CEF" w:rsidRDefault="00EF7CEF" w:rsidP="00EF7CEF">
      <w:pPr>
        <w:spacing w:after="0" w:line="240" w:lineRule="auto"/>
        <w:jc w:val="both"/>
        <w:rPr>
          <w:rFonts w:ascii="Calibri" w:hAnsi="Calibri" w:cs="Calibri"/>
        </w:rPr>
      </w:pPr>
    </w:p>
    <w:p w14:paraId="2F2F2879" w14:textId="3FF08965" w:rsidR="00D81A93" w:rsidRDefault="00D81A93" w:rsidP="00EF7CEF">
      <w:pPr>
        <w:spacing w:after="0" w:line="240" w:lineRule="auto"/>
        <w:jc w:val="both"/>
        <w:rPr>
          <w:rFonts w:ascii="Calibri" w:hAnsi="Calibri" w:cs="Calibri"/>
        </w:rPr>
      </w:pPr>
      <w:r>
        <w:rPr>
          <w:rFonts w:ascii="Calibri" w:hAnsi="Calibri" w:cs="Calibri"/>
        </w:rPr>
        <w:t>Les déserts augmentent de 10 millions d’ha/an. Au Sahel, la désertification touche 135 millions d’ha.</w:t>
      </w:r>
    </w:p>
    <w:p w14:paraId="40267E59" w14:textId="77777777" w:rsidR="00D81A93" w:rsidRDefault="00D81A93" w:rsidP="00EF7CEF">
      <w:pPr>
        <w:spacing w:after="0" w:line="240" w:lineRule="auto"/>
        <w:jc w:val="both"/>
        <w:rPr>
          <w:rFonts w:ascii="Calibri" w:hAnsi="Calibri" w:cs="Calibri"/>
        </w:rPr>
      </w:pPr>
    </w:p>
    <w:p w14:paraId="5E723F6C" w14:textId="7CD33D19" w:rsidR="00EF7CEF" w:rsidRDefault="00BB2D09" w:rsidP="00EF7CEF">
      <w:pPr>
        <w:spacing w:after="0" w:line="240" w:lineRule="auto"/>
        <w:jc w:val="both"/>
        <w:rPr>
          <w:rFonts w:ascii="Calibri" w:hAnsi="Calibri" w:cs="Calibri"/>
        </w:rPr>
      </w:pPr>
      <w:r>
        <w:rPr>
          <w:rFonts w:ascii="Calibri" w:hAnsi="Calibri" w:cs="Calibri"/>
        </w:rPr>
        <w:t xml:space="preserve">Or </w:t>
      </w:r>
      <w:r w:rsidR="00EF7CEF" w:rsidRPr="002917F9">
        <w:rPr>
          <w:rFonts w:ascii="Calibri" w:hAnsi="Calibri" w:cs="Calibri"/>
        </w:rPr>
        <w:t xml:space="preserve">« </w:t>
      </w:r>
      <w:r w:rsidR="00EF7CEF" w:rsidRPr="002917F9">
        <w:rPr>
          <w:rFonts w:ascii="Calibri" w:hAnsi="Calibri" w:cs="Calibri"/>
          <w:i/>
          <w:iCs/>
        </w:rPr>
        <w:t>Pauvreté et malnutrition restent omniprésentes dans les campagnes africaines... Les paysanneries africaines,</w:t>
      </w:r>
      <w:r w:rsidR="00EF7CEF">
        <w:rPr>
          <w:rFonts w:ascii="Calibri" w:hAnsi="Calibri" w:cs="Calibri"/>
          <w:i/>
          <w:iCs/>
        </w:rPr>
        <w:t xml:space="preserve"> </w:t>
      </w:r>
      <w:r w:rsidR="00EF7CEF" w:rsidRPr="002917F9">
        <w:rPr>
          <w:rFonts w:ascii="Calibri" w:hAnsi="Calibri" w:cs="Calibri"/>
          <w:i/>
          <w:iCs/>
        </w:rPr>
        <w:t xml:space="preserve">dont la survie est menacée sous l’effet notamment de la raréfaction des ressources naturelles et de la stagnation des rendements agricoles, disposent de peu de possibilités de reconversion effective vers d’autres activités rurales ou urbaines. Les agricultures familiales ne sont pas assez productives et compétitives pour faire face à l’augmentation rapide de la population, </w:t>
      </w:r>
      <w:r w:rsidR="00EF7CEF" w:rsidRPr="002917F9">
        <w:rPr>
          <w:rFonts w:ascii="Calibri" w:hAnsi="Calibri" w:cs="Calibri"/>
          <w:b/>
          <w:bCs/>
          <w:i/>
          <w:iCs/>
        </w:rPr>
        <w:t>d’où une dépendance croissante vis-à-vis des importations et de l’aide alimentaires</w:t>
      </w:r>
      <w:r w:rsidR="00EF7CEF" w:rsidRPr="002917F9">
        <w:rPr>
          <w:rFonts w:ascii="Calibri" w:hAnsi="Calibri" w:cs="Calibri"/>
          <w:i/>
          <w:iCs/>
        </w:rPr>
        <w:t>. L’ajustement de l’offre et de la demande en produits agricoles devient de plus en plus délicat.</w:t>
      </w:r>
      <w:r w:rsidR="00EF7CEF" w:rsidRPr="002917F9">
        <w:rPr>
          <w:rFonts w:ascii="Calibri" w:hAnsi="Calibri" w:cs="Calibri"/>
        </w:rPr>
        <w:t xml:space="preserve"> »</w:t>
      </w:r>
      <w:r w:rsidR="00EF7CEF">
        <w:rPr>
          <w:rStyle w:val="Appelnotedebasdep"/>
          <w:rFonts w:ascii="Calibri" w:hAnsi="Calibri" w:cs="Calibri"/>
        </w:rPr>
        <w:footnoteReference w:id="39"/>
      </w:r>
      <w:r w:rsidR="00EF7CEF">
        <w:rPr>
          <w:rFonts w:ascii="Calibri" w:hAnsi="Calibri" w:cs="Calibri"/>
        </w:rPr>
        <w:t>.</w:t>
      </w:r>
    </w:p>
    <w:p w14:paraId="659EC7F0" w14:textId="50916F47" w:rsidR="00BB2D09" w:rsidRDefault="00BB2D09" w:rsidP="00EF7CEF">
      <w:pPr>
        <w:spacing w:after="0" w:line="240" w:lineRule="auto"/>
        <w:jc w:val="both"/>
        <w:rPr>
          <w:rFonts w:ascii="Calibri" w:hAnsi="Calibri" w:cs="Calibri"/>
        </w:rPr>
      </w:pPr>
      <w:r>
        <w:rPr>
          <w:rFonts w:ascii="Calibri" w:hAnsi="Calibri" w:cs="Calibri"/>
        </w:rPr>
        <w:t xml:space="preserve">Toutefois, </w:t>
      </w:r>
      <w:r w:rsidRPr="00BB2D09">
        <w:rPr>
          <w:rFonts w:ascii="Calibri" w:hAnsi="Calibri" w:cs="Calibri"/>
        </w:rPr>
        <w:t xml:space="preserve">le rapport publié par l’UNCCD « </w:t>
      </w:r>
      <w:r w:rsidRPr="00BB2D09">
        <w:rPr>
          <w:rFonts w:ascii="Calibri" w:hAnsi="Calibri" w:cs="Calibri"/>
          <w:i/>
          <w:iCs/>
        </w:rPr>
        <w:t>Sécheresse, désertification et reverdissement au Sahel</w:t>
      </w:r>
      <w:r w:rsidRPr="00BB2D09">
        <w:rPr>
          <w:rFonts w:ascii="Calibri" w:hAnsi="Calibri" w:cs="Calibri"/>
        </w:rPr>
        <w:t xml:space="preserve"> »</w:t>
      </w:r>
      <w:r>
        <w:rPr>
          <w:rStyle w:val="Appelnotedebasdep"/>
          <w:rFonts w:ascii="Calibri" w:hAnsi="Calibri" w:cs="Calibri"/>
        </w:rPr>
        <w:footnoteReference w:id="40"/>
      </w:r>
      <w:r w:rsidRPr="00BB2D09">
        <w:rPr>
          <w:rFonts w:ascii="Calibri" w:hAnsi="Calibri" w:cs="Calibri"/>
        </w:rPr>
        <w:t xml:space="preserve"> reste optimiste sur l'avenir du Sahel.</w:t>
      </w:r>
      <w:r w:rsidR="00204B7B">
        <w:rPr>
          <w:rFonts w:ascii="Calibri" w:hAnsi="Calibri" w:cs="Calibri"/>
        </w:rPr>
        <w:t xml:space="preserve"> En effet, </w:t>
      </w:r>
      <w:r w:rsidR="00204B7B" w:rsidRPr="00204B7B">
        <w:rPr>
          <w:rFonts w:ascii="Calibri" w:hAnsi="Calibri" w:cs="Calibri"/>
        </w:rPr>
        <w:t>depuis les années 1990, les populations de la ceinture Sahélienne reverdissent le Sahel, en cultivant des arbres,</w:t>
      </w:r>
      <w:r w:rsidR="00204B7B">
        <w:rPr>
          <w:rFonts w:ascii="Calibri" w:hAnsi="Calibri" w:cs="Calibri"/>
        </w:rPr>
        <w:t xml:space="preserve"> servant de</w:t>
      </w:r>
      <w:r w:rsidR="00204B7B" w:rsidRPr="00204B7B">
        <w:rPr>
          <w:rFonts w:ascii="Calibri" w:hAnsi="Calibri" w:cs="Calibri"/>
        </w:rPr>
        <w:t xml:space="preserve"> climatiseurs naturels pour les zones rurales et urbaines, fournissant de la nourriture à la population grandissante, particip</w:t>
      </w:r>
      <w:r w:rsidR="00204B7B">
        <w:rPr>
          <w:rFonts w:ascii="Calibri" w:hAnsi="Calibri" w:cs="Calibri"/>
        </w:rPr>
        <w:t>a</w:t>
      </w:r>
      <w:r w:rsidR="00204B7B" w:rsidRPr="00204B7B">
        <w:rPr>
          <w:rFonts w:ascii="Calibri" w:hAnsi="Calibri" w:cs="Calibri"/>
        </w:rPr>
        <w:t xml:space="preserve">nt à </w:t>
      </w:r>
      <w:r w:rsidR="00204B7B">
        <w:rPr>
          <w:rFonts w:ascii="Calibri" w:hAnsi="Calibri" w:cs="Calibri"/>
        </w:rPr>
        <w:t xml:space="preserve">la </w:t>
      </w:r>
      <w:r w:rsidR="00204B7B" w:rsidRPr="00204B7B">
        <w:rPr>
          <w:rFonts w:ascii="Calibri" w:hAnsi="Calibri" w:cs="Calibri"/>
        </w:rPr>
        <w:t>fertilis</w:t>
      </w:r>
      <w:r w:rsidR="00204B7B">
        <w:rPr>
          <w:rFonts w:ascii="Calibri" w:hAnsi="Calibri" w:cs="Calibri"/>
        </w:rPr>
        <w:t>ation</w:t>
      </w:r>
      <w:r w:rsidR="00204B7B" w:rsidRPr="00204B7B">
        <w:rPr>
          <w:rFonts w:ascii="Calibri" w:hAnsi="Calibri" w:cs="Calibri"/>
        </w:rPr>
        <w:t xml:space="preserve"> </w:t>
      </w:r>
      <w:r w:rsidR="00204B7B">
        <w:rPr>
          <w:rFonts w:ascii="Calibri" w:hAnsi="Calibri" w:cs="Calibri"/>
        </w:rPr>
        <w:t>d</w:t>
      </w:r>
      <w:r w:rsidR="00204B7B" w:rsidRPr="00204B7B">
        <w:rPr>
          <w:rFonts w:ascii="Calibri" w:hAnsi="Calibri" w:cs="Calibri"/>
        </w:rPr>
        <w:t xml:space="preserve">es terres du Sahel et à </w:t>
      </w:r>
      <w:r w:rsidR="00204B7B">
        <w:rPr>
          <w:rFonts w:ascii="Calibri" w:hAnsi="Calibri" w:cs="Calibri"/>
        </w:rPr>
        <w:t>l’</w:t>
      </w:r>
      <w:r w:rsidR="00204B7B" w:rsidRPr="00204B7B">
        <w:rPr>
          <w:rFonts w:ascii="Calibri" w:hAnsi="Calibri" w:cs="Calibri"/>
        </w:rPr>
        <w:t>amélior</w:t>
      </w:r>
      <w:r w:rsidR="00204B7B">
        <w:rPr>
          <w:rFonts w:ascii="Calibri" w:hAnsi="Calibri" w:cs="Calibri"/>
        </w:rPr>
        <w:t>ation de</w:t>
      </w:r>
      <w:r w:rsidR="00204B7B" w:rsidRPr="00204B7B">
        <w:rPr>
          <w:rFonts w:ascii="Calibri" w:hAnsi="Calibri" w:cs="Calibri"/>
        </w:rPr>
        <w:t xml:space="preserve"> la résilience des agrosystèmes</w:t>
      </w:r>
      <w:r w:rsidR="00204C2D">
        <w:rPr>
          <w:rFonts w:ascii="Calibri" w:hAnsi="Calibri" w:cs="Calibri"/>
        </w:rPr>
        <w:t xml:space="preserve"> (les rendements agricoles augmentant avec cette ceinture verte sahélienne)</w:t>
      </w:r>
      <w:r w:rsidR="00204B7B" w:rsidRPr="00204B7B">
        <w:rPr>
          <w:rFonts w:ascii="Calibri" w:hAnsi="Calibri" w:cs="Calibri"/>
        </w:rPr>
        <w:t>.</w:t>
      </w:r>
    </w:p>
    <w:p w14:paraId="47B20959" w14:textId="112447E5" w:rsidR="00EF7CEF" w:rsidRDefault="00EF7CEF" w:rsidP="00EF7CEF">
      <w:pPr>
        <w:spacing w:after="0" w:line="240" w:lineRule="auto"/>
        <w:jc w:val="both"/>
        <w:rPr>
          <w:rFonts w:ascii="Calibri" w:hAnsi="Calibri" w:cs="Calibri"/>
        </w:rPr>
      </w:pPr>
      <w:r>
        <w:rPr>
          <w:rFonts w:ascii="Calibri" w:hAnsi="Calibri" w:cs="Calibri"/>
        </w:rPr>
        <w:t xml:space="preserve">En Chine, l’avancée du désert concerne 260.000 ha/an. En Chine, il y a 350 millions de réfugiés climatiques. </w:t>
      </w:r>
      <w:r w:rsidRPr="00176E8A">
        <w:rPr>
          <w:rFonts w:ascii="Calibri" w:hAnsi="Calibri" w:cs="Calibri"/>
        </w:rPr>
        <w:t>A cause de la désertification, 10 millions d'hectares de terres fertiles seront perdus chaque année, soit un cinquième de la France</w:t>
      </w:r>
      <w:r>
        <w:rPr>
          <w:rStyle w:val="Appelnotedebasdep"/>
          <w:rFonts w:ascii="Calibri" w:hAnsi="Calibri" w:cs="Calibri"/>
        </w:rPr>
        <w:footnoteReference w:id="41"/>
      </w:r>
      <w:r>
        <w:rPr>
          <w:rFonts w:ascii="Calibri" w:hAnsi="Calibri" w:cs="Calibri"/>
        </w:rPr>
        <w:t xml:space="preserve">. </w:t>
      </w:r>
    </w:p>
    <w:p w14:paraId="0B5653C4" w14:textId="77777777" w:rsidR="00EF7CEF" w:rsidRPr="00EF7CEF" w:rsidRDefault="00EF7CEF" w:rsidP="00A31AFD">
      <w:pPr>
        <w:spacing w:after="0" w:line="240" w:lineRule="auto"/>
      </w:pPr>
    </w:p>
    <w:p w14:paraId="14CF486D" w14:textId="79618577" w:rsidR="00AE47E6" w:rsidRDefault="00AE47E6" w:rsidP="00AE47E6">
      <w:pPr>
        <w:pStyle w:val="Titre2"/>
      </w:pPr>
      <w:bookmarkStart w:id="13" w:name="_Toc139181305"/>
      <w:r>
        <w:t>Dégradation et augmentation de l’aridité des sols</w:t>
      </w:r>
      <w:bookmarkEnd w:id="13"/>
    </w:p>
    <w:p w14:paraId="5C6BE578" w14:textId="2D4A1E0B" w:rsidR="00AE47E6" w:rsidRDefault="00AE47E6" w:rsidP="00A31AFD">
      <w:pPr>
        <w:spacing w:after="0" w:line="240" w:lineRule="auto"/>
      </w:pPr>
    </w:p>
    <w:p w14:paraId="40670176" w14:textId="178D1232" w:rsidR="00AE47E6" w:rsidRPr="00AE47E6" w:rsidRDefault="00AE47E6" w:rsidP="00AE47E6">
      <w:pPr>
        <w:spacing w:after="0" w:line="240" w:lineRule="auto"/>
        <w:jc w:val="both"/>
      </w:pPr>
      <w:r w:rsidRPr="00AE47E6">
        <w:t>L'</w:t>
      </w:r>
      <w:hyperlink r:id="rId65" w:history="1">
        <w:r w:rsidRPr="00AE47E6">
          <w:rPr>
            <w:rStyle w:val="Lienhypertexte"/>
          </w:rPr>
          <w:t>ONU</w:t>
        </w:r>
      </w:hyperlink>
      <w:r w:rsidRPr="00AE47E6">
        <w:t xml:space="preserve"> et la </w:t>
      </w:r>
      <w:hyperlink r:id="rId66" w:history="1">
        <w:r w:rsidRPr="00AE47E6">
          <w:rPr>
            <w:rStyle w:val="Lienhypertexte"/>
          </w:rPr>
          <w:t>FAO</w:t>
        </w:r>
      </w:hyperlink>
      <w:r w:rsidRPr="00AE47E6">
        <w:t xml:space="preserve"> alertent depuis plusieurs décennies sur la dégradation de nombreux sols tropicaux, avec notamment de graves phénomènes de désertification et de salinisation (voir </w:t>
      </w:r>
      <w:r w:rsidR="00F12C60">
        <w:t xml:space="preserve">les </w:t>
      </w:r>
      <w:r w:rsidRPr="00AE47E6">
        <w:t>chapitre</w:t>
      </w:r>
      <w:r w:rsidR="00F12C60">
        <w:t>s</w:t>
      </w:r>
      <w:r w:rsidRPr="00AE47E6">
        <w:t xml:space="preserve"> « </w:t>
      </w:r>
      <w:r w:rsidR="00F12C60" w:rsidRPr="00F12C60">
        <w:rPr>
          <w:i/>
          <w:iCs/>
        </w:rPr>
        <w:t>C</w:t>
      </w:r>
      <w:r w:rsidRPr="00AE47E6">
        <w:rPr>
          <w:i/>
          <w:iCs/>
        </w:rPr>
        <w:t>hiffres</w:t>
      </w:r>
      <w:r w:rsidRPr="00AE47E6">
        <w:t> »</w:t>
      </w:r>
      <w:r w:rsidR="00F12C60">
        <w:t xml:space="preserve"> et « </w:t>
      </w:r>
      <w:r w:rsidR="00F12C60" w:rsidRPr="00F12C60">
        <w:rPr>
          <w:i/>
          <w:iCs/>
        </w:rPr>
        <w:t>Processus de salinisation des sols</w:t>
      </w:r>
      <w:r w:rsidR="00F12C60">
        <w:t> »,</w:t>
      </w:r>
      <w:r w:rsidRPr="00AE47E6">
        <w:t xml:space="preserve"> à la fin de ce</w:t>
      </w:r>
      <w:r>
        <w:t>t ouvrage</w:t>
      </w:r>
      <w:r w:rsidRPr="00AE47E6">
        <w:t>).</w:t>
      </w:r>
    </w:p>
    <w:p w14:paraId="4DA918F8" w14:textId="3D75D024" w:rsidR="00036095" w:rsidRPr="00A65618" w:rsidRDefault="00036095" w:rsidP="00036095">
      <w:pPr>
        <w:spacing w:after="0" w:line="240" w:lineRule="auto"/>
      </w:pPr>
    </w:p>
    <w:p w14:paraId="6BBEDC67" w14:textId="19DFB8E2" w:rsidR="00692E19" w:rsidRDefault="00692E19" w:rsidP="00CF7EA7">
      <w:pPr>
        <w:pStyle w:val="Titre3"/>
      </w:pPr>
      <w:bookmarkStart w:id="14" w:name="_Toc139181306"/>
      <w:r w:rsidRPr="00692E19">
        <w:t>Dégradation des sols, par l’</w:t>
      </w:r>
      <w:r>
        <w:t>érosion et la désertification</w:t>
      </w:r>
      <w:bookmarkEnd w:id="14"/>
    </w:p>
    <w:p w14:paraId="36C47365" w14:textId="298BB37F" w:rsidR="00692E19" w:rsidRDefault="00692E19" w:rsidP="00036095">
      <w:pPr>
        <w:spacing w:after="0" w:line="240" w:lineRule="auto"/>
      </w:pPr>
    </w:p>
    <w:p w14:paraId="6F71E5C0" w14:textId="2D81B71E" w:rsidR="00692E19" w:rsidRPr="00692E19" w:rsidRDefault="00692E19" w:rsidP="00692E19">
      <w:pPr>
        <w:spacing w:after="0" w:line="240" w:lineRule="auto"/>
        <w:jc w:val="both"/>
      </w:pPr>
      <w:r>
        <w:t>« </w:t>
      </w:r>
      <w:r w:rsidRPr="00692E19">
        <w:rPr>
          <w:i/>
          <w:iCs/>
        </w:rPr>
        <w:t xml:space="preserve">Jusqu'à 30 millions d'hectares de surfaces cultivables sont perdus chaque année du fait de la dégradation de l'environnement, de l'industrialisation et de l'urbanisation, soit l'équivalent de la superficie de l'Italie. L'érosion </w:t>
      </w:r>
      <w:r w:rsidRPr="00692E19">
        <w:rPr>
          <w:i/>
          <w:iCs/>
        </w:rPr>
        <w:lastRenderedPageBreak/>
        <w:t>emporte de 25 à 40 milliards de tonnes de terre superficielle chaque année de, ce qui affecte gravement la capacité des sols à emmagasiner le carbone l'eau et des nutriments et réduit considérablement les rendements agricoles</w:t>
      </w:r>
      <w:r>
        <w:t> »</w:t>
      </w:r>
      <w:r>
        <w:rPr>
          <w:rStyle w:val="Appelnotedebasdep"/>
        </w:rPr>
        <w:footnoteReference w:id="42"/>
      </w:r>
      <w:r w:rsidRPr="00692E19">
        <w:t>.</w:t>
      </w:r>
    </w:p>
    <w:p w14:paraId="4F3FF6DB" w14:textId="77777777" w:rsidR="00692E19" w:rsidRPr="00692E19" w:rsidRDefault="00692E19" w:rsidP="00036095">
      <w:pPr>
        <w:spacing w:after="0" w:line="240" w:lineRule="auto"/>
      </w:pPr>
    </w:p>
    <w:p w14:paraId="2118AFC3" w14:textId="613E6673" w:rsidR="005F454E" w:rsidRDefault="005F454E" w:rsidP="00EF7CEF">
      <w:pPr>
        <w:pStyle w:val="Titre3"/>
      </w:pPr>
      <w:bookmarkStart w:id="15" w:name="_Toc139181307"/>
      <w:r>
        <w:t xml:space="preserve">Les causes </w:t>
      </w:r>
      <w:r w:rsidR="00985457">
        <w:t>des augmentations des épisodes de sécheresses</w:t>
      </w:r>
      <w:bookmarkEnd w:id="15"/>
    </w:p>
    <w:p w14:paraId="07DAA3FA" w14:textId="77777777" w:rsidR="00A1095F" w:rsidRDefault="00A1095F" w:rsidP="00C7103E">
      <w:pPr>
        <w:spacing w:after="0" w:line="240" w:lineRule="auto"/>
      </w:pPr>
    </w:p>
    <w:p w14:paraId="4AFD0904" w14:textId="390DC4EA" w:rsidR="005F454E" w:rsidRDefault="005F454E" w:rsidP="0065707A">
      <w:pPr>
        <w:spacing w:after="0" w:line="240" w:lineRule="auto"/>
      </w:pPr>
      <w:r>
        <w:t>Les causes sont essentiellement humaines :</w:t>
      </w:r>
    </w:p>
    <w:p w14:paraId="604827E9" w14:textId="4B300CDB" w:rsidR="005F454E" w:rsidRDefault="005F454E" w:rsidP="0065707A">
      <w:pPr>
        <w:spacing w:after="0" w:line="240" w:lineRule="auto"/>
      </w:pPr>
    </w:p>
    <w:p w14:paraId="0D6A0707" w14:textId="58C18FA0" w:rsidR="005F454E" w:rsidRDefault="00F15AA1" w:rsidP="0065707A">
      <w:pPr>
        <w:pStyle w:val="Paragraphedeliste"/>
        <w:numPr>
          <w:ilvl w:val="0"/>
          <w:numId w:val="5"/>
        </w:numPr>
        <w:spacing w:after="0" w:line="240" w:lineRule="auto"/>
        <w:ind w:left="426"/>
        <w:jc w:val="both"/>
      </w:pPr>
      <w:r>
        <w:t>Le réchauffement climatique, lui-même causé par la consommation par l’homme des ressources énergétiques fossiles, rejetant du gaz carbonique, dans l’atmosphère, un gaz à effet de serre</w:t>
      </w:r>
      <w:r w:rsidR="00327B46">
        <w:t>. Ce réchauffement s’accélérant par le dégazage du méthane stocké dans le pergélisol, des hydrates de méthane, au fond des mers …).</w:t>
      </w:r>
    </w:p>
    <w:p w14:paraId="14AFD37B" w14:textId="0762FB3A" w:rsidR="00327B46" w:rsidRDefault="00327B46" w:rsidP="0065707A">
      <w:pPr>
        <w:pStyle w:val="Paragraphedeliste"/>
        <w:numPr>
          <w:ilvl w:val="0"/>
          <w:numId w:val="5"/>
        </w:numPr>
        <w:spacing w:after="0" w:line="240" w:lineRule="auto"/>
        <w:ind w:left="426"/>
        <w:jc w:val="both"/>
      </w:pPr>
      <w:r>
        <w:t>Les pompages</w:t>
      </w:r>
      <w:r w:rsidR="00740F6C">
        <w:t xml:space="preserve"> excessif</w:t>
      </w:r>
      <w:r>
        <w:t xml:space="preserve"> dans les fleuves</w:t>
      </w:r>
      <w:r w:rsidR="00740F6C">
        <w:t>, les lacs,</w:t>
      </w:r>
      <w:r>
        <w:t xml:space="preserve"> et les nappes phréatiques</w:t>
      </w:r>
      <w:r w:rsidR="00740F6C">
        <w:t xml:space="preserve">, </w:t>
      </w:r>
      <w:r>
        <w:t>pour</w:t>
      </w:r>
      <w:r w:rsidR="00740F6C">
        <w:t xml:space="preserve"> l’irrigation</w:t>
      </w:r>
      <w:r>
        <w:t>, l’exploitation minière, la consommation humaine excessive (</w:t>
      </w:r>
      <w:r w:rsidR="00B52A52">
        <w:t xml:space="preserve">remplissage de </w:t>
      </w:r>
      <w:r>
        <w:t>piscine</w:t>
      </w:r>
      <w:r w:rsidR="007E17E7">
        <w:t>s</w:t>
      </w:r>
      <w:r>
        <w:t>,</w:t>
      </w:r>
      <w:r w:rsidR="00B52A52">
        <w:t xml:space="preserve"> usage excessif de</w:t>
      </w:r>
      <w:r>
        <w:t xml:space="preserve"> bain</w:t>
      </w:r>
      <w:r w:rsidR="007E17E7">
        <w:t>s</w:t>
      </w:r>
      <w:r w:rsidR="008C45D2">
        <w:t>,</w:t>
      </w:r>
      <w:r w:rsidR="00B52A52">
        <w:t xml:space="preserve"> arrosage des</w:t>
      </w:r>
      <w:r w:rsidR="008C45D2">
        <w:t xml:space="preserve"> golfs</w:t>
      </w:r>
      <w:r w:rsidR="00B52A52">
        <w:t xml:space="preserve"> et</w:t>
      </w:r>
      <w:r w:rsidR="008C45D2">
        <w:t xml:space="preserve"> jardins </w:t>
      </w:r>
      <w:r w:rsidR="00B52A52">
        <w:t>des maisons</w:t>
      </w:r>
      <w:r w:rsidR="008C45D2">
        <w:t>, surtout</w:t>
      </w:r>
      <w:r w:rsidR="007E17E7">
        <w:t xml:space="preserve"> dans les zones désertiques</w:t>
      </w:r>
      <w:r>
        <w:t xml:space="preserve"> …)).</w:t>
      </w:r>
    </w:p>
    <w:p w14:paraId="221DAB62" w14:textId="05B11E5C" w:rsidR="00741C99" w:rsidRDefault="00741C99" w:rsidP="0065707A">
      <w:pPr>
        <w:pStyle w:val="Paragraphedeliste"/>
        <w:numPr>
          <w:ilvl w:val="0"/>
          <w:numId w:val="5"/>
        </w:numPr>
        <w:spacing w:after="0" w:line="240" w:lineRule="auto"/>
        <w:ind w:left="426"/>
        <w:jc w:val="both"/>
      </w:pPr>
      <w:r>
        <w:t>La déforestation, en particulière des grands forêts primaires, sur toute la planète</w:t>
      </w:r>
      <w:r>
        <w:rPr>
          <w:rStyle w:val="Appelnotedebasdep"/>
        </w:rPr>
        <w:footnoteReference w:id="43"/>
      </w:r>
      <w:r>
        <w:t>.</w:t>
      </w:r>
    </w:p>
    <w:p w14:paraId="6494197F" w14:textId="77777777" w:rsidR="00EF7CEF" w:rsidRDefault="00EF7CEF" w:rsidP="00EF7CEF">
      <w:pPr>
        <w:spacing w:after="0" w:line="240" w:lineRule="auto"/>
      </w:pPr>
    </w:p>
    <w:p w14:paraId="20A2FBE3" w14:textId="77777777" w:rsidR="00EF7CEF" w:rsidRDefault="00EF7CEF" w:rsidP="00EF7CEF">
      <w:pPr>
        <w:pStyle w:val="Titre3"/>
      </w:pPr>
      <w:bookmarkStart w:id="16" w:name="_Toc139181308"/>
      <w:r>
        <w:t>Augmentation de la salinisation des sols</w:t>
      </w:r>
      <w:bookmarkEnd w:id="16"/>
    </w:p>
    <w:p w14:paraId="27A604FD" w14:textId="77777777" w:rsidR="00EF7CEF" w:rsidRDefault="00EF7CEF" w:rsidP="00EF7CEF">
      <w:pPr>
        <w:spacing w:after="0" w:line="240" w:lineRule="auto"/>
      </w:pPr>
    </w:p>
    <w:p w14:paraId="271A295D" w14:textId="77777777" w:rsidR="00EF7CEF" w:rsidRPr="00EA038D" w:rsidRDefault="00EF7CEF" w:rsidP="00EF7CEF">
      <w:pPr>
        <w:spacing w:after="0" w:line="240" w:lineRule="auto"/>
        <w:jc w:val="both"/>
      </w:pPr>
      <w:r>
        <w:t xml:space="preserve">Environ </w:t>
      </w:r>
      <w:r w:rsidRPr="00EA038D">
        <w:t xml:space="preserve">20% des terres cultivées, dont </w:t>
      </w:r>
      <w:r>
        <w:t xml:space="preserve">environ </w:t>
      </w:r>
      <w:r w:rsidRPr="00EA038D">
        <w:t>50% de terres irriguées, sont affectées par la salinité dans le monde (</w:t>
      </w:r>
      <w:r>
        <w:t xml:space="preserve">i.e. </w:t>
      </w:r>
      <w:r w:rsidRPr="00EA038D">
        <w:t>la salinisation)</w:t>
      </w:r>
      <w:r>
        <w:t>, a</w:t>
      </w:r>
      <w:r w:rsidRPr="00EA038D">
        <w:t>u Pakistan, en Australie</w:t>
      </w:r>
      <w:r>
        <w:t>, en Irak</w:t>
      </w:r>
      <w:r w:rsidRPr="00EA038D">
        <w:t xml:space="preserve"> etc. …</w:t>
      </w:r>
      <w:r>
        <w:t xml:space="preserve"> _ v</w:t>
      </w:r>
      <w:r w:rsidRPr="00AE47E6">
        <w:t>oir</w:t>
      </w:r>
      <w:r>
        <w:t xml:space="preserve"> le</w:t>
      </w:r>
      <w:r w:rsidRPr="00AE47E6">
        <w:t xml:space="preserve"> chapitre </w:t>
      </w:r>
      <w:r>
        <w:t>« </w:t>
      </w:r>
      <w:r w:rsidRPr="00F12C60">
        <w:rPr>
          <w:i/>
          <w:iCs/>
        </w:rPr>
        <w:t>Processus de salinisation des sols</w:t>
      </w:r>
      <w:r>
        <w:t> »,</w:t>
      </w:r>
      <w:r w:rsidRPr="00AE47E6">
        <w:t xml:space="preserve"> à la fin de ce</w:t>
      </w:r>
      <w:r>
        <w:t>t ouvrage</w:t>
      </w:r>
      <w:r w:rsidRPr="00AE47E6">
        <w:t>.</w:t>
      </w:r>
    </w:p>
    <w:p w14:paraId="31B1AB41" w14:textId="77777777" w:rsidR="00EF7CEF" w:rsidRPr="00EA038D" w:rsidRDefault="00EF7CEF" w:rsidP="00EF7CEF">
      <w:pPr>
        <w:spacing w:after="0" w:line="240" w:lineRule="auto"/>
        <w:jc w:val="both"/>
      </w:pPr>
      <w:r w:rsidRPr="00EA038D">
        <w:t>10 millions (ha) de terres cultivées abandonnés/an, par accumulation de sels (irrigation).</w:t>
      </w:r>
    </w:p>
    <w:p w14:paraId="0803A79F" w14:textId="77777777" w:rsidR="00EF7CEF" w:rsidRPr="00EA038D" w:rsidRDefault="00EF7CEF" w:rsidP="00EF7CEF">
      <w:pPr>
        <w:spacing w:after="0" w:line="240" w:lineRule="auto"/>
        <w:jc w:val="both"/>
      </w:pPr>
      <w:r w:rsidRPr="00EA038D">
        <w:t>En Europe, entre 1999 et 2007, 6 à 10 % de la SAU est frappée par la salinité</w:t>
      </w:r>
      <w:r w:rsidRPr="00EA038D">
        <w:rPr>
          <w:i/>
          <w:iCs/>
        </w:rPr>
        <w:t xml:space="preserve"> (FAO-2007).</w:t>
      </w:r>
      <w:r w:rsidRPr="00EA038D">
        <w:t xml:space="preserve"> Les pays les plus touchés (gros producteurs de maïs irrigué) : l’Espagne, l’Italie et la Hongrie.</w:t>
      </w:r>
    </w:p>
    <w:p w14:paraId="0F422B6C" w14:textId="77777777" w:rsidR="00EF7CEF" w:rsidRDefault="00EF7CEF" w:rsidP="00EF7CEF">
      <w:pPr>
        <w:spacing w:after="0" w:line="240" w:lineRule="auto"/>
        <w:jc w:val="both"/>
      </w:pPr>
    </w:p>
    <w:p w14:paraId="78888B99" w14:textId="77777777" w:rsidR="00EF7CEF" w:rsidRDefault="00EF7CEF" w:rsidP="00EF7CEF">
      <w:pPr>
        <w:spacing w:after="0" w:line="240" w:lineRule="auto"/>
        <w:jc w:val="both"/>
      </w:pPr>
      <w:r w:rsidRPr="00EA038D">
        <w:t>3,8 millions d’hectares de terres</w:t>
      </w:r>
      <w:r>
        <w:t xml:space="preserve"> sont</w:t>
      </w:r>
      <w:r w:rsidRPr="00EA038D">
        <w:t xml:space="preserve"> trop salines (Problème de la monoculture)</w:t>
      </w:r>
      <w:r w:rsidRPr="00EA038D">
        <w:rPr>
          <w:i/>
          <w:iCs/>
        </w:rPr>
        <w:t xml:space="preserve"> (CE -2007).</w:t>
      </w:r>
    </w:p>
    <w:p w14:paraId="296063B8" w14:textId="77777777" w:rsidR="00EF7CEF" w:rsidRDefault="00EF7CEF" w:rsidP="00EF7CEF">
      <w:pPr>
        <w:spacing w:after="0" w:line="240" w:lineRule="auto"/>
        <w:jc w:val="center"/>
      </w:pPr>
      <w:r>
        <w:rPr>
          <w:noProof/>
        </w:rPr>
        <w:drawing>
          <wp:inline distT="0" distB="0" distL="0" distR="0" wp14:anchorId="5D324EEC" wp14:editId="6E0A925E">
            <wp:extent cx="3882869" cy="1971675"/>
            <wp:effectExtent l="0" t="0" r="3810" b="0"/>
            <wp:docPr id="39941" name="Image 39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887741" cy="1974149"/>
                    </a:xfrm>
                    <a:prstGeom prst="rect">
                      <a:avLst/>
                    </a:prstGeom>
                    <a:noFill/>
                    <a:ln>
                      <a:noFill/>
                    </a:ln>
                  </pic:spPr>
                </pic:pic>
              </a:graphicData>
            </a:graphic>
          </wp:inline>
        </w:drawing>
      </w:r>
    </w:p>
    <w:p w14:paraId="71DE5C7D" w14:textId="77777777" w:rsidR="00EF7CEF" w:rsidRDefault="00EF7CEF" w:rsidP="00EF7CEF">
      <w:pPr>
        <w:spacing w:after="0" w:line="240" w:lineRule="auto"/>
        <w:jc w:val="center"/>
      </w:pPr>
      <w:r w:rsidRPr="0029458E">
        <w:t xml:space="preserve">Intrusion d'eau salée à la suite de l'extraction d'eau douce dans les régions côtières, 2018. </w:t>
      </w:r>
    </w:p>
    <w:p w14:paraId="7A8F0EA8" w14:textId="77777777" w:rsidR="00EF7CEF" w:rsidRDefault="00EF7CEF" w:rsidP="00EF7CEF">
      <w:pPr>
        <w:spacing w:after="0" w:line="240" w:lineRule="auto"/>
        <w:jc w:val="center"/>
        <w:rPr>
          <w:lang w:val="en-GB"/>
        </w:rPr>
      </w:pPr>
      <w:r w:rsidRPr="00004C56">
        <w:rPr>
          <w:lang w:val="en-GB"/>
        </w:rPr>
        <w:t xml:space="preserve">Cf. </w:t>
      </w:r>
      <w:hyperlink r:id="rId68" w:history="1">
        <w:r w:rsidRPr="00004C56">
          <w:rPr>
            <w:rStyle w:val="Lienhypertexte"/>
            <w:lang w:val="en-GB"/>
          </w:rPr>
          <w:t>https://laulima.hawaii.edu</w:t>
        </w:r>
      </w:hyperlink>
      <w:r w:rsidRPr="00004C56">
        <w:rPr>
          <w:lang w:val="en-GB"/>
        </w:rPr>
        <w:t xml:space="preserve"> </w:t>
      </w:r>
    </w:p>
    <w:p w14:paraId="0322AEAF" w14:textId="77777777" w:rsidR="00EF7CEF" w:rsidRPr="00EF7CEF" w:rsidRDefault="00EF7CEF" w:rsidP="00EF7CEF">
      <w:pPr>
        <w:spacing w:after="0" w:line="240" w:lineRule="auto"/>
      </w:pPr>
    </w:p>
    <w:p w14:paraId="52299663" w14:textId="77777777" w:rsidR="00EF7CEF" w:rsidRDefault="00EF7CEF" w:rsidP="00EF7CEF">
      <w:pPr>
        <w:pStyle w:val="Titre2"/>
      </w:pPr>
      <w:bookmarkStart w:id="17" w:name="_Toc139181309"/>
      <w:r>
        <w:t>Submersions et transgressions marines</w:t>
      </w:r>
      <w:bookmarkEnd w:id="17"/>
    </w:p>
    <w:p w14:paraId="207B4841" w14:textId="77777777" w:rsidR="00EF7CEF" w:rsidRDefault="00EF7CEF" w:rsidP="00EF7CEF">
      <w:pPr>
        <w:spacing w:after="0" w:line="240" w:lineRule="auto"/>
      </w:pPr>
    </w:p>
    <w:p w14:paraId="348FBBDB" w14:textId="77777777" w:rsidR="00EF7CEF" w:rsidRDefault="00EF7CEF" w:rsidP="00EF7CEF">
      <w:pPr>
        <w:spacing w:after="0" w:line="240" w:lineRule="auto"/>
        <w:jc w:val="both"/>
      </w:pPr>
      <w:r>
        <w:t xml:space="preserve">Une submersion marine est une inondation temporaire et éventuellement épisodique de zone côtière, générée par la mer voisine, avec de l'eau salée ou saumâtre, lors d’évènements météorologiques (tempête, cyclone tropical, forte </w:t>
      </w:r>
      <w:r>
        <w:lastRenderedPageBreak/>
        <w:t>dépression et vent de mer) ou océanographiques (houle, marée, tsunami) d’ampleur très inhabituelle. La submersion marine se distingue de la transgression marine surtout par son aspect éphémère (quelques heures / jours). À l'échelle des temps géologiques, une succession de submersions marines de plus en plus envahissantes indique une transgression marine. Ce risque est aggravé par la montée de la mer due au changement climatique.</w:t>
      </w:r>
    </w:p>
    <w:p w14:paraId="09269D06" w14:textId="77777777" w:rsidR="00EF7CEF" w:rsidRDefault="00EF7CEF" w:rsidP="00EF7CEF">
      <w:pPr>
        <w:spacing w:after="0" w:line="240" w:lineRule="auto"/>
        <w:jc w:val="both"/>
      </w:pPr>
      <w:r>
        <w:t>En géologie, une transgression marine est l'envahissement durable de zones littorales par la mer, dû à un affaissement des terres émergées ou à une élévation générale du niveau des mers</w:t>
      </w:r>
      <w:r>
        <w:rPr>
          <w:rStyle w:val="Appelnotedebasdep"/>
        </w:rPr>
        <w:footnoteReference w:id="44"/>
      </w:r>
      <w:r>
        <w:t>.</w:t>
      </w:r>
    </w:p>
    <w:p w14:paraId="2962A834" w14:textId="77777777" w:rsidR="00EF7CEF" w:rsidRDefault="00EF7CEF" w:rsidP="00EF7CEF">
      <w:pPr>
        <w:spacing w:after="0" w:line="240" w:lineRule="auto"/>
        <w:jc w:val="both"/>
      </w:pPr>
    </w:p>
    <w:p w14:paraId="48DB8F22" w14:textId="77777777" w:rsidR="00EF7CEF" w:rsidRDefault="00EF7CEF" w:rsidP="00EF7CEF">
      <w:pPr>
        <w:spacing w:after="0" w:line="240" w:lineRule="auto"/>
        <w:jc w:val="both"/>
      </w:pPr>
      <w:r w:rsidRPr="00CD3BC8">
        <w:t>Selon la synthèse des connaissances scientifiques publiée en 2019 par le GIEC, le niveau de la mer a augmenté de 0,16 m (intervalle de confiance probable 0,12 à 0,21 m) entre 1902 et 2015. Le rythme de hausse de niveau de la mer s'est accru depuis les années 1990.</w:t>
      </w:r>
      <w:r>
        <w:t xml:space="preserve"> Très stable depuis environ 2 500 ans, le niveau de la mer a commencé à s'élever à la fin du XX° siècle. Entre 2006 et 2015, il a monté de 3,6 mm/an.</w:t>
      </w:r>
    </w:p>
    <w:p w14:paraId="2A0EE6B1" w14:textId="77777777" w:rsidR="00EF7CEF" w:rsidRDefault="00EF7CEF" w:rsidP="00EF7CEF">
      <w:pPr>
        <w:spacing w:after="0" w:line="240" w:lineRule="auto"/>
        <w:jc w:val="both"/>
      </w:pPr>
      <w:r>
        <w:t>Cette élévation résulte principalement de deux phénomènes, l'un et l'autre découlant du réchauffement climatique. Le premier est la fonte d'une partie des glaces continentales (inlandsis polaires et glaciers de montagnes). L'autre est le phénomène de dilatation thermique des masses d'eau océaniques sous l'effet de l'élévation de la température. À côté de ces deux causes principales, il existe d'autres contributions qui n'ont pas forcément de lien direct avec le réchauffement climatique. Au premier rang de celles-ci figure l'exploitation d'un grand nombre d'aquifères terrestres au-delà de leur capacité de renouvellement.</w:t>
      </w:r>
    </w:p>
    <w:p w14:paraId="18B4D7E4" w14:textId="77777777" w:rsidR="00EF7CEF" w:rsidRDefault="00EF7CEF" w:rsidP="00EF7CEF">
      <w:pPr>
        <w:spacing w:after="0" w:line="240" w:lineRule="auto"/>
        <w:jc w:val="both"/>
      </w:pPr>
    </w:p>
    <w:p w14:paraId="6CCAF328" w14:textId="77777777" w:rsidR="00EF7CEF" w:rsidRDefault="00EF7CEF" w:rsidP="00EF7CEF">
      <w:pPr>
        <w:spacing w:after="0" w:line="240" w:lineRule="auto"/>
        <w:jc w:val="both"/>
      </w:pPr>
      <w:r w:rsidRPr="00AD704B">
        <w:t xml:space="preserve">Les conséquences prévisibles les plus importantes de l'élévation du niveau de la mer sont </w:t>
      </w:r>
      <w:r w:rsidRPr="00FA1861">
        <w:rPr>
          <w:i/>
          <w:iCs/>
        </w:rPr>
        <w:t>le recul du trait de côte, la</w:t>
      </w:r>
      <w:r w:rsidRPr="00AD704B">
        <w:t xml:space="preserve"> </w:t>
      </w:r>
      <w:r w:rsidRPr="00FA1861">
        <w:rPr>
          <w:i/>
          <w:iCs/>
        </w:rPr>
        <w:t>disparition de territoires insulaires de basse altitude, l'intrusion d'eau salée dans les aquifères d'eau douce proches des côtes, la destruction d'écosystèmes côtiers</w:t>
      </w:r>
      <w:r w:rsidRPr="00AD704B">
        <w:t xml:space="preserve"> ...</w:t>
      </w:r>
      <w:r>
        <w:rPr>
          <w:rStyle w:val="Appelnotedebasdep"/>
        </w:rPr>
        <w:footnoteReference w:id="45"/>
      </w:r>
      <w:r>
        <w:t>.</w:t>
      </w:r>
    </w:p>
    <w:p w14:paraId="40DF419D" w14:textId="77777777" w:rsidR="00EF7CEF" w:rsidRDefault="00EF7CEF" w:rsidP="00EF7CEF">
      <w:pPr>
        <w:spacing w:after="0" w:line="240" w:lineRule="auto"/>
      </w:pPr>
    </w:p>
    <w:p w14:paraId="4FE4F615" w14:textId="77777777" w:rsidR="00EF7CEF" w:rsidRDefault="00EF7CEF" w:rsidP="00EF7CEF">
      <w:pPr>
        <w:spacing w:after="0" w:line="240" w:lineRule="auto"/>
        <w:jc w:val="both"/>
      </w:pPr>
      <w:r>
        <w:t xml:space="preserve">Le Bangladesh perd environ 10.000 hectares de terre par an, du fait de l’érosion </w:t>
      </w:r>
      <w:r w:rsidRPr="00BE1101">
        <w:t>(Gouvernement du Bangladesh et Plan (NWMP), 2008)</w:t>
      </w:r>
      <w:r>
        <w:t>.</w:t>
      </w:r>
    </w:p>
    <w:p w14:paraId="1DC15980" w14:textId="77777777" w:rsidR="00EF7CEF" w:rsidRDefault="00EF7CEF" w:rsidP="00EF7CEF">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5"/>
        <w:gridCol w:w="5211"/>
      </w:tblGrid>
      <w:tr w:rsidR="00EF7CEF" w14:paraId="6C67C334" w14:textId="77777777" w:rsidTr="00F752F9">
        <w:tc>
          <w:tcPr>
            <w:tcW w:w="5309" w:type="dxa"/>
          </w:tcPr>
          <w:p w14:paraId="1D933D1F" w14:textId="77777777" w:rsidR="00EF7CEF" w:rsidRDefault="00EF7CEF" w:rsidP="00F752F9">
            <w:pPr>
              <w:jc w:val="center"/>
            </w:pPr>
            <w:r>
              <w:rPr>
                <w:noProof/>
              </w:rPr>
              <w:drawing>
                <wp:inline distT="0" distB="0" distL="0" distR="0" wp14:anchorId="3B1F1F29" wp14:editId="33FB324D">
                  <wp:extent cx="2857500" cy="2143125"/>
                  <wp:effectExtent l="0" t="0" r="0" b="9525"/>
                  <wp:docPr id="40977" name="Image 40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14:paraId="349C9BE3" w14:textId="77777777" w:rsidR="00EF7CEF" w:rsidRPr="00036095" w:rsidRDefault="00EF7CEF" w:rsidP="00F752F9">
            <w:pPr>
              <w:jc w:val="both"/>
              <w:rPr>
                <w:rFonts w:ascii="Calibri" w:hAnsi="Calibri" w:cs="Calibri"/>
                <w:color w:val="202122"/>
                <w:shd w:val="clear" w:color="auto" w:fill="F8F9FA"/>
              </w:rPr>
            </w:pPr>
            <w:r w:rsidRPr="00D835F1">
              <w:rPr>
                <w:rFonts w:ascii="Calibri" w:hAnsi="Calibri" w:cs="Calibri"/>
                <w:color w:val="202122"/>
                <w:shd w:val="clear" w:color="auto" w:fill="F8F9FA"/>
              </w:rPr>
              <w:t>Reconstitution historique et prévision du niveau de la mer de 1800 à 2100, publié en 2017 par l’U.S. Global Change Research Program for the Fourth National Climate Assessment</w:t>
            </w:r>
            <w:hyperlink r:id="rId70" w:anchor="cite_note-1" w:history="1">
              <w:r w:rsidRPr="00D835F1">
                <w:rPr>
                  <w:rStyle w:val="Lienhypertexte"/>
                  <w:rFonts w:ascii="Calibri" w:hAnsi="Calibri" w:cs="Calibri"/>
                  <w:color w:val="0645AD"/>
                  <w:shd w:val="clear" w:color="auto" w:fill="F8F9FA"/>
                  <w:vertAlign w:val="superscript"/>
                </w:rPr>
                <w:t>1</w:t>
              </w:r>
            </w:hyperlink>
            <w:r w:rsidRPr="00D835F1">
              <w:rPr>
                <w:rFonts w:ascii="Calibri" w:hAnsi="Calibri" w:cs="Calibri"/>
                <w:color w:val="202122"/>
                <w:shd w:val="clear" w:color="auto" w:fill="F8F9FA"/>
              </w:rPr>
              <w:t>. </w:t>
            </w:r>
            <w:hyperlink r:id="rId71" w:tooltip="RCP2.6" w:history="1">
              <w:r w:rsidRPr="00D835F1">
                <w:rPr>
                  <w:rStyle w:val="Lienhypertexte"/>
                  <w:rFonts w:ascii="Calibri" w:hAnsi="Calibri" w:cs="Calibri"/>
                  <w:color w:val="0645AD"/>
                  <w:shd w:val="clear" w:color="auto" w:fill="F8F9FA"/>
                </w:rPr>
                <w:t>RCP2.6</w:t>
              </w:r>
            </w:hyperlink>
            <w:r w:rsidRPr="00D835F1">
              <w:rPr>
                <w:rFonts w:ascii="Calibri" w:hAnsi="Calibri" w:cs="Calibri"/>
                <w:color w:val="202122"/>
                <w:shd w:val="clear" w:color="auto" w:fill="F8F9FA"/>
              </w:rPr>
              <w:t> est le scénario dans lequel les émissions atteignent leur maximum avant 2020, </w:t>
            </w:r>
            <w:hyperlink r:id="rId72" w:tooltip="RCP4.5" w:history="1">
              <w:r w:rsidRPr="00D835F1">
                <w:rPr>
                  <w:rStyle w:val="Lienhypertexte"/>
                  <w:rFonts w:ascii="Calibri" w:hAnsi="Calibri" w:cs="Calibri"/>
                  <w:color w:val="0645AD"/>
                  <w:shd w:val="clear" w:color="auto" w:fill="F8F9FA"/>
                </w:rPr>
                <w:t>RCP4.5</w:t>
              </w:r>
            </w:hyperlink>
            <w:r w:rsidRPr="00D835F1">
              <w:rPr>
                <w:rFonts w:ascii="Calibri" w:hAnsi="Calibri" w:cs="Calibri"/>
                <w:color w:val="202122"/>
                <w:shd w:val="clear" w:color="auto" w:fill="F8F9FA"/>
              </w:rPr>
              <w:t> est celui dans lequel le maximum est atteint en 2040, et </w:t>
            </w:r>
            <w:hyperlink r:id="rId73" w:tooltip="RCP8.5" w:history="1">
              <w:r w:rsidRPr="00D835F1">
                <w:rPr>
                  <w:rStyle w:val="Lienhypertexte"/>
                  <w:rFonts w:ascii="Calibri" w:hAnsi="Calibri" w:cs="Calibri"/>
                  <w:color w:val="0645AD"/>
                  <w:shd w:val="clear" w:color="auto" w:fill="F8F9FA"/>
                </w:rPr>
                <w:t>RCP8.5</w:t>
              </w:r>
            </w:hyperlink>
            <w:r w:rsidRPr="00D835F1">
              <w:rPr>
                <w:rFonts w:ascii="Calibri" w:hAnsi="Calibri" w:cs="Calibri"/>
                <w:color w:val="202122"/>
                <w:shd w:val="clear" w:color="auto" w:fill="F8F9FA"/>
              </w:rPr>
              <w:t> est celui dans lequel elles continuent d’augmenter comme actuellement.</w:t>
            </w:r>
          </w:p>
        </w:tc>
        <w:tc>
          <w:tcPr>
            <w:tcW w:w="5117" w:type="dxa"/>
          </w:tcPr>
          <w:p w14:paraId="77153432" w14:textId="77777777" w:rsidR="00EF7CEF" w:rsidRDefault="00EF7CEF" w:rsidP="00F752F9">
            <w:pPr>
              <w:jc w:val="center"/>
            </w:pPr>
            <w:r>
              <w:rPr>
                <w:noProof/>
              </w:rPr>
              <w:drawing>
                <wp:inline distT="0" distB="0" distL="0" distR="0" wp14:anchorId="46C5759C" wp14:editId="203DC002">
                  <wp:extent cx="3171825" cy="2537460"/>
                  <wp:effectExtent l="0" t="0" r="0" b="0"/>
                  <wp:docPr id="40982" name="Image 40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171825" cy="2537460"/>
                          </a:xfrm>
                          <a:prstGeom prst="rect">
                            <a:avLst/>
                          </a:prstGeom>
                          <a:noFill/>
                          <a:ln>
                            <a:noFill/>
                          </a:ln>
                        </pic:spPr>
                      </pic:pic>
                    </a:graphicData>
                  </a:graphic>
                </wp:inline>
              </w:drawing>
            </w:r>
          </w:p>
          <w:p w14:paraId="03804F1D" w14:textId="77777777" w:rsidR="00EF7CEF" w:rsidRDefault="00EF7CEF" w:rsidP="00F752F9">
            <w:pPr>
              <w:jc w:val="center"/>
            </w:pPr>
            <w:r w:rsidRPr="00D835F1">
              <w:t>Ce graphe présente l'évolution du niveau global (moyen) de l'océan de 1992 à 2014</w:t>
            </w:r>
          </w:p>
        </w:tc>
      </w:tr>
    </w:tbl>
    <w:p w14:paraId="63B8A085" w14:textId="77777777" w:rsidR="00EF7CEF" w:rsidRDefault="00EF7CEF" w:rsidP="00EF7CEF">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06"/>
        <w:gridCol w:w="3820"/>
      </w:tblGrid>
      <w:tr w:rsidR="00EF7CEF" w14:paraId="2781D6EE" w14:textId="77777777" w:rsidTr="00F752F9">
        <w:tc>
          <w:tcPr>
            <w:tcW w:w="5208" w:type="dxa"/>
          </w:tcPr>
          <w:p w14:paraId="3CF2E742" w14:textId="77777777" w:rsidR="00EF7CEF" w:rsidRDefault="00EF7CEF" w:rsidP="00F752F9">
            <w:pPr>
              <w:jc w:val="center"/>
            </w:pPr>
            <w:r>
              <w:rPr>
                <w:noProof/>
              </w:rPr>
              <w:lastRenderedPageBreak/>
              <w:drawing>
                <wp:inline distT="0" distB="0" distL="0" distR="0" wp14:anchorId="7BFBDA80" wp14:editId="07FA4F2C">
                  <wp:extent cx="4086225" cy="2043113"/>
                  <wp:effectExtent l="0" t="0" r="0" b="0"/>
                  <wp:docPr id="9227" name="Image 9227" descr="Une image contenant texte, ciel noctur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7" name="Image 9227" descr="Une image contenant texte, ciel nocturne&#10;&#10;Description générée automatiquement"/>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097627" cy="2048814"/>
                          </a:xfrm>
                          <a:prstGeom prst="rect">
                            <a:avLst/>
                          </a:prstGeom>
                          <a:noFill/>
                          <a:ln>
                            <a:noFill/>
                          </a:ln>
                        </pic:spPr>
                      </pic:pic>
                    </a:graphicData>
                  </a:graphic>
                </wp:inline>
              </w:drawing>
            </w:r>
          </w:p>
          <w:p w14:paraId="4D9E99C1" w14:textId="77777777" w:rsidR="00EF7CEF" w:rsidRDefault="00EF7CEF" w:rsidP="00F752F9">
            <w:pPr>
              <w:jc w:val="center"/>
            </w:pPr>
            <w:r w:rsidRPr="00D835F1">
              <w:t>Carte des territoires qui seraient submergés en cas d'élévation de la mer de 6 m.</w:t>
            </w:r>
          </w:p>
        </w:tc>
        <w:tc>
          <w:tcPr>
            <w:tcW w:w="5208" w:type="dxa"/>
          </w:tcPr>
          <w:p w14:paraId="587D6597" w14:textId="77777777" w:rsidR="00EF7CEF" w:rsidRDefault="00EF7CEF" w:rsidP="00F752F9">
            <w:pPr>
              <w:jc w:val="center"/>
            </w:pPr>
            <w:r>
              <w:rPr>
                <w:noProof/>
              </w:rPr>
              <w:drawing>
                <wp:inline distT="0" distB="0" distL="0" distR="0" wp14:anchorId="28BC0967" wp14:editId="50C173A8">
                  <wp:extent cx="2298700" cy="1724025"/>
                  <wp:effectExtent l="0" t="0" r="6350" b="9525"/>
                  <wp:docPr id="9229" name="Image 9229" descr="Une image contenant ciel, extérieur, terrain, natu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9" name="Image 9229" descr="Une image contenant ciel, extérieur, terrain, nature&#10;&#10;Description générée automatiquement"/>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300804" cy="1725603"/>
                          </a:xfrm>
                          <a:prstGeom prst="rect">
                            <a:avLst/>
                          </a:prstGeom>
                          <a:noFill/>
                          <a:ln>
                            <a:noFill/>
                          </a:ln>
                        </pic:spPr>
                      </pic:pic>
                    </a:graphicData>
                  </a:graphic>
                </wp:inline>
              </w:drawing>
            </w:r>
          </w:p>
          <w:p w14:paraId="5DAF41F2" w14:textId="77777777" w:rsidR="00EF7CEF" w:rsidRDefault="00EF7CEF" w:rsidP="00F752F9">
            <w:pPr>
              <w:jc w:val="center"/>
            </w:pPr>
            <w:r w:rsidRPr="00D835F1">
              <w:t>Erosion d'une plage en Australie</w:t>
            </w:r>
            <w:r>
              <w:t>.</w:t>
            </w:r>
          </w:p>
        </w:tc>
      </w:tr>
    </w:tbl>
    <w:p w14:paraId="5AD0F98B" w14:textId="77777777" w:rsidR="00EF7CEF" w:rsidRDefault="00EF7CEF" w:rsidP="0065707A">
      <w:pPr>
        <w:spacing w:after="0" w:line="240" w:lineRule="auto"/>
      </w:pPr>
    </w:p>
    <w:p w14:paraId="26DCACB4" w14:textId="5453BB58" w:rsidR="0065707A" w:rsidRDefault="0065707A" w:rsidP="0065707A">
      <w:pPr>
        <w:pStyle w:val="Titre2"/>
      </w:pPr>
      <w:bookmarkStart w:id="18" w:name="_Toc139181310"/>
      <w:r>
        <w:t>Le non-contrôle strict de la démographie mondiale</w:t>
      </w:r>
      <w:bookmarkEnd w:id="18"/>
    </w:p>
    <w:p w14:paraId="485BA0CF" w14:textId="3E2798D9" w:rsidR="0065707A" w:rsidRDefault="0065707A" w:rsidP="0065707A">
      <w:pPr>
        <w:spacing w:after="0" w:line="240" w:lineRule="auto"/>
      </w:pPr>
    </w:p>
    <w:p w14:paraId="101FA13D" w14:textId="594F4CFB" w:rsidR="0065707A" w:rsidRDefault="0065707A" w:rsidP="0065707A">
      <w:pPr>
        <w:spacing w:after="0" w:line="240" w:lineRule="auto"/>
        <w:jc w:val="both"/>
        <w:rPr>
          <w:rFonts w:ascii="Calibri" w:hAnsi="Calibri" w:cs="Calibri"/>
        </w:rPr>
      </w:pPr>
      <w:r w:rsidRPr="0065707A">
        <w:rPr>
          <w:rFonts w:ascii="Calibri" w:hAnsi="Calibri" w:cs="Calibri"/>
          <w:color w:val="202122"/>
          <w:shd w:val="clear" w:color="auto" w:fill="FFFFFF"/>
        </w:rPr>
        <w:t>La </w:t>
      </w:r>
      <w:r w:rsidRPr="0065707A">
        <w:rPr>
          <w:rFonts w:ascii="Calibri" w:hAnsi="Calibri" w:cs="Calibri"/>
          <w:i/>
          <w:iCs/>
          <w:color w:val="202122"/>
          <w:shd w:val="clear" w:color="auto" w:fill="FFFFFF"/>
        </w:rPr>
        <w:t>population mondiale</w:t>
      </w:r>
      <w:r w:rsidRPr="0065707A">
        <w:rPr>
          <w:rFonts w:ascii="Calibri" w:hAnsi="Calibri" w:cs="Calibri"/>
          <w:color w:val="202122"/>
          <w:shd w:val="clear" w:color="auto" w:fill="FFFFFF"/>
        </w:rPr>
        <w:t>, le nombre d'êtres </w:t>
      </w:r>
      <w:hyperlink r:id="rId77" w:tooltip="Homo sapiens" w:history="1">
        <w:r w:rsidRPr="0065707A">
          <w:rPr>
            <w:rStyle w:val="Lienhypertexte"/>
            <w:rFonts w:ascii="Calibri" w:hAnsi="Calibri" w:cs="Calibri"/>
            <w:color w:val="0645AD"/>
            <w:shd w:val="clear" w:color="auto" w:fill="FFFFFF"/>
          </w:rPr>
          <w:t>humains</w:t>
        </w:r>
      </w:hyperlink>
      <w:r w:rsidRPr="0065707A">
        <w:rPr>
          <w:rFonts w:ascii="Calibri" w:hAnsi="Calibri" w:cs="Calibri"/>
          <w:color w:val="202122"/>
          <w:shd w:val="clear" w:color="auto" w:fill="FFFFFF"/>
        </w:rPr>
        <w:t> vivant sur Terre à un instant donné, est estimée à 7,8 milliards en mars 2020</w:t>
      </w:r>
      <w:r w:rsidRPr="0065707A">
        <w:rPr>
          <w:rFonts w:ascii="Calibri" w:hAnsi="Calibri" w:cs="Calibri"/>
        </w:rPr>
        <w:t>.</w:t>
      </w:r>
      <w:r>
        <w:rPr>
          <w:rFonts w:ascii="Calibri" w:hAnsi="Calibri" w:cs="Calibri"/>
        </w:rPr>
        <w:t xml:space="preserve"> </w:t>
      </w:r>
      <w:r w:rsidRPr="0065707A">
        <w:rPr>
          <w:rFonts w:ascii="Calibri" w:hAnsi="Calibri" w:cs="Calibri"/>
        </w:rPr>
        <w:t>Parmi les différents scénarios de l'ONU de l'évolution future de la population mondiale, elle distingue : une variante basse, une variante moyenne qui est la plus probable et une variante haute</w:t>
      </w:r>
      <w:r w:rsidR="00EC0BC1">
        <w:rPr>
          <w:rStyle w:val="Appelnotedebasdep"/>
          <w:rFonts w:ascii="Calibri" w:hAnsi="Calibri" w:cs="Calibri"/>
        </w:rPr>
        <w:footnoteReference w:id="46"/>
      </w:r>
      <w:r w:rsidRPr="00EC0BC1">
        <w:rPr>
          <w:rFonts w:ascii="Calibri" w:hAnsi="Calibri" w:cs="Calibri"/>
          <w:i/>
          <w:iCs/>
        </w:rPr>
        <w:t>.</w:t>
      </w:r>
      <w:r w:rsidR="00EC0BC1" w:rsidRPr="00EC0BC1">
        <w:rPr>
          <w:rFonts w:ascii="Calibri" w:hAnsi="Calibri" w:cs="Calibri"/>
          <w:i/>
          <w:iCs/>
        </w:rPr>
        <w:t xml:space="preserve"> Toutes prévoit une augmentation de celles-ci.</w:t>
      </w:r>
      <w:r w:rsidRPr="0065707A">
        <w:rPr>
          <w:rFonts w:ascii="Calibri" w:hAnsi="Calibri" w:cs="Calibri"/>
        </w:rPr>
        <w:t xml:space="preserve"> Le tableau ci-dessous résume ces trois scénarios</w:t>
      </w:r>
      <w:r>
        <w:rPr>
          <w:rFonts w:ascii="Calibri" w:hAnsi="Calibri" w:cs="Calibri"/>
        </w:rPr>
        <w:t xml:space="preserve"> (voir ci-après)</w:t>
      </w:r>
      <w:r w:rsidRPr="0065707A">
        <w:rPr>
          <w:rFonts w:ascii="Calibri" w:hAnsi="Calibri" w:cs="Calibri"/>
        </w:rPr>
        <w:t xml:space="preserve"> :</w:t>
      </w:r>
    </w:p>
    <w:p w14:paraId="0AAB9F90" w14:textId="4EF87AE1" w:rsidR="00EC0BC1" w:rsidRPr="00EC0BC1" w:rsidRDefault="00EC0BC1" w:rsidP="00EC0BC1">
      <w:pPr>
        <w:pStyle w:val="NormalWeb"/>
        <w:shd w:val="clear" w:color="auto" w:fill="FFFFFF"/>
        <w:spacing w:before="0" w:beforeAutospacing="0" w:after="0" w:afterAutospacing="0"/>
        <w:rPr>
          <w:rFonts w:ascii="Calibri" w:hAnsi="Calibri" w:cs="Calibri"/>
          <w:color w:val="202122"/>
          <w:sz w:val="22"/>
          <w:szCs w:val="22"/>
        </w:rPr>
      </w:pPr>
    </w:p>
    <w:tbl>
      <w:tblPr>
        <w:tblW w:w="4351" w:type="pct"/>
        <w:tblBorders>
          <w:top w:val="single" w:sz="6" w:space="0" w:color="A2A9B1"/>
          <w:left w:val="single" w:sz="6" w:space="0" w:color="A2A9B1"/>
          <w:bottom w:val="single" w:sz="6" w:space="0" w:color="A2A9B1"/>
          <w:right w:val="single" w:sz="6" w:space="0" w:color="A2A9B1"/>
        </w:tblBorders>
        <w:shd w:val="clear" w:color="auto" w:fill="F8F9FA"/>
        <w:tblCellMar>
          <w:top w:w="15" w:type="dxa"/>
          <w:left w:w="15" w:type="dxa"/>
          <w:bottom w:w="15" w:type="dxa"/>
          <w:right w:w="15" w:type="dxa"/>
        </w:tblCellMar>
        <w:tblLook w:val="04A0" w:firstRow="1" w:lastRow="0" w:firstColumn="1" w:lastColumn="0" w:noHBand="0" w:noVBand="1"/>
      </w:tblPr>
      <w:tblGrid>
        <w:gridCol w:w="1229"/>
        <w:gridCol w:w="2420"/>
        <w:gridCol w:w="2964"/>
        <w:gridCol w:w="2451"/>
      </w:tblGrid>
      <w:tr w:rsidR="00EC0BC1" w:rsidRPr="00EC0BC1" w14:paraId="451D641B" w14:textId="77777777" w:rsidTr="00EC0BC1">
        <w:tc>
          <w:tcPr>
            <w:tcW w:w="5000" w:type="pct"/>
            <w:gridSpan w:val="4"/>
            <w:tcBorders>
              <w:top w:val="single" w:sz="4" w:space="0" w:color="auto"/>
              <w:left w:val="single" w:sz="4" w:space="0" w:color="auto"/>
              <w:bottom w:val="single" w:sz="4" w:space="0" w:color="auto"/>
              <w:right w:val="single" w:sz="4" w:space="0" w:color="auto"/>
            </w:tcBorders>
            <w:shd w:val="clear" w:color="auto" w:fill="EAECF0"/>
            <w:tcMar>
              <w:top w:w="48" w:type="dxa"/>
              <w:left w:w="96" w:type="dxa"/>
              <w:bottom w:w="48" w:type="dxa"/>
              <w:right w:w="96" w:type="dxa"/>
            </w:tcMar>
            <w:vAlign w:val="center"/>
            <w:hideMark/>
          </w:tcPr>
          <w:p w14:paraId="751516EC" w14:textId="77777777" w:rsidR="00EC0BC1" w:rsidRPr="00EC0BC1" w:rsidRDefault="00EC0BC1" w:rsidP="00EC0BC1">
            <w:pPr>
              <w:spacing w:after="0" w:line="240" w:lineRule="auto"/>
              <w:jc w:val="center"/>
              <w:rPr>
                <w:rFonts w:ascii="Calibri" w:hAnsi="Calibri" w:cs="Calibri"/>
                <w:b/>
                <w:bCs/>
              </w:rPr>
            </w:pPr>
            <w:r w:rsidRPr="00EC0BC1">
              <w:rPr>
                <w:rFonts w:ascii="Calibri" w:hAnsi="Calibri" w:cs="Calibri"/>
                <w:b/>
                <w:bCs/>
              </w:rPr>
              <w:t>Projections de la population mondiale totale (milliers)</w:t>
            </w:r>
          </w:p>
        </w:tc>
      </w:tr>
      <w:tr w:rsidR="00EC0BC1" w:rsidRPr="00EC0BC1" w14:paraId="29B8E600" w14:textId="77777777" w:rsidTr="00EC0BC1">
        <w:tc>
          <w:tcPr>
            <w:tcW w:w="0" w:type="auto"/>
            <w:tcBorders>
              <w:top w:val="single" w:sz="4" w:space="0" w:color="auto"/>
              <w:left w:val="single" w:sz="4" w:space="0" w:color="auto"/>
              <w:bottom w:val="single" w:sz="4" w:space="0" w:color="auto"/>
              <w:right w:val="single" w:sz="4" w:space="0" w:color="auto"/>
            </w:tcBorders>
            <w:shd w:val="clear" w:color="auto" w:fill="EAECF0"/>
            <w:tcMar>
              <w:top w:w="48" w:type="dxa"/>
              <w:left w:w="96" w:type="dxa"/>
              <w:bottom w:w="48" w:type="dxa"/>
              <w:right w:w="96" w:type="dxa"/>
            </w:tcMar>
            <w:vAlign w:val="center"/>
            <w:hideMark/>
          </w:tcPr>
          <w:p w14:paraId="139629C4" w14:textId="77777777" w:rsidR="00EC0BC1" w:rsidRPr="00EC0BC1" w:rsidRDefault="00EC0BC1" w:rsidP="00EC0BC1">
            <w:pPr>
              <w:spacing w:after="0" w:line="240" w:lineRule="auto"/>
              <w:jc w:val="center"/>
              <w:rPr>
                <w:rFonts w:ascii="Calibri" w:hAnsi="Calibri" w:cs="Calibri"/>
                <w:b/>
                <w:bCs/>
              </w:rPr>
            </w:pPr>
            <w:r w:rsidRPr="00EC0BC1">
              <w:rPr>
                <w:rFonts w:ascii="Calibri" w:hAnsi="Calibri" w:cs="Calibri"/>
                <w:b/>
                <w:bCs/>
              </w:rPr>
              <w:t>Année</w:t>
            </w:r>
          </w:p>
        </w:tc>
        <w:tc>
          <w:tcPr>
            <w:tcW w:w="0" w:type="auto"/>
            <w:tcBorders>
              <w:top w:val="single" w:sz="4" w:space="0" w:color="auto"/>
              <w:left w:val="single" w:sz="4" w:space="0" w:color="auto"/>
              <w:bottom w:val="single" w:sz="4" w:space="0" w:color="auto"/>
              <w:right w:val="single" w:sz="4" w:space="0" w:color="auto"/>
            </w:tcBorders>
            <w:shd w:val="clear" w:color="auto" w:fill="EAECF0"/>
            <w:tcMar>
              <w:top w:w="48" w:type="dxa"/>
              <w:left w:w="96" w:type="dxa"/>
              <w:bottom w:w="48" w:type="dxa"/>
              <w:right w:w="96" w:type="dxa"/>
            </w:tcMar>
            <w:vAlign w:val="center"/>
            <w:hideMark/>
          </w:tcPr>
          <w:p w14:paraId="02CD0266" w14:textId="77777777" w:rsidR="00EC0BC1" w:rsidRPr="00EC0BC1" w:rsidRDefault="00EC0BC1" w:rsidP="00EC0BC1">
            <w:pPr>
              <w:spacing w:after="0" w:line="240" w:lineRule="auto"/>
              <w:jc w:val="center"/>
              <w:rPr>
                <w:rFonts w:ascii="Calibri" w:hAnsi="Calibri" w:cs="Calibri"/>
                <w:b/>
                <w:bCs/>
              </w:rPr>
            </w:pPr>
            <w:r w:rsidRPr="00EC0BC1">
              <w:rPr>
                <w:rFonts w:ascii="Calibri" w:hAnsi="Calibri" w:cs="Calibri"/>
                <w:b/>
                <w:bCs/>
              </w:rPr>
              <w:t>Variante basse</w:t>
            </w:r>
          </w:p>
        </w:tc>
        <w:tc>
          <w:tcPr>
            <w:tcW w:w="0" w:type="auto"/>
            <w:tcBorders>
              <w:top w:val="single" w:sz="4" w:space="0" w:color="auto"/>
              <w:left w:val="single" w:sz="4" w:space="0" w:color="auto"/>
              <w:bottom w:val="single" w:sz="4" w:space="0" w:color="auto"/>
              <w:right w:val="single" w:sz="4" w:space="0" w:color="auto"/>
            </w:tcBorders>
            <w:shd w:val="clear" w:color="auto" w:fill="EAECF0"/>
            <w:tcMar>
              <w:top w:w="48" w:type="dxa"/>
              <w:left w:w="96" w:type="dxa"/>
              <w:bottom w:w="48" w:type="dxa"/>
              <w:right w:w="96" w:type="dxa"/>
            </w:tcMar>
            <w:vAlign w:val="center"/>
            <w:hideMark/>
          </w:tcPr>
          <w:p w14:paraId="0DE1AD64" w14:textId="77777777" w:rsidR="00EC0BC1" w:rsidRPr="00EC0BC1" w:rsidRDefault="00EC0BC1" w:rsidP="00EC0BC1">
            <w:pPr>
              <w:spacing w:after="0" w:line="240" w:lineRule="auto"/>
              <w:jc w:val="center"/>
              <w:rPr>
                <w:rFonts w:ascii="Calibri" w:hAnsi="Calibri" w:cs="Calibri"/>
                <w:b/>
                <w:bCs/>
              </w:rPr>
            </w:pPr>
            <w:r w:rsidRPr="00EC0BC1">
              <w:rPr>
                <w:rFonts w:ascii="Calibri" w:hAnsi="Calibri" w:cs="Calibri"/>
                <w:b/>
                <w:bCs/>
              </w:rPr>
              <w:t>Variante moyenne</w:t>
            </w:r>
          </w:p>
        </w:tc>
        <w:tc>
          <w:tcPr>
            <w:tcW w:w="0" w:type="auto"/>
            <w:tcBorders>
              <w:top w:val="single" w:sz="4" w:space="0" w:color="auto"/>
              <w:left w:val="single" w:sz="4" w:space="0" w:color="auto"/>
              <w:bottom w:val="single" w:sz="4" w:space="0" w:color="auto"/>
              <w:right w:val="single" w:sz="4" w:space="0" w:color="auto"/>
            </w:tcBorders>
            <w:shd w:val="clear" w:color="auto" w:fill="EAECF0"/>
            <w:tcMar>
              <w:top w:w="48" w:type="dxa"/>
              <w:left w:w="96" w:type="dxa"/>
              <w:bottom w:w="48" w:type="dxa"/>
              <w:right w:w="96" w:type="dxa"/>
            </w:tcMar>
            <w:vAlign w:val="center"/>
            <w:hideMark/>
          </w:tcPr>
          <w:p w14:paraId="25C5A0DC" w14:textId="77777777" w:rsidR="00EC0BC1" w:rsidRPr="00EC0BC1" w:rsidRDefault="00EC0BC1" w:rsidP="00EC0BC1">
            <w:pPr>
              <w:spacing w:after="0" w:line="240" w:lineRule="auto"/>
              <w:jc w:val="center"/>
              <w:rPr>
                <w:rFonts w:ascii="Calibri" w:hAnsi="Calibri" w:cs="Calibri"/>
                <w:b/>
                <w:bCs/>
              </w:rPr>
            </w:pPr>
            <w:r w:rsidRPr="00EC0BC1">
              <w:rPr>
                <w:rFonts w:ascii="Calibri" w:hAnsi="Calibri" w:cs="Calibri"/>
                <w:b/>
                <w:bCs/>
              </w:rPr>
              <w:t>Variante haute</w:t>
            </w:r>
          </w:p>
        </w:tc>
      </w:tr>
      <w:tr w:rsidR="00EC0BC1" w:rsidRPr="00EC0BC1" w14:paraId="3DF1F239" w14:textId="77777777" w:rsidTr="00EC0BC1">
        <w:tc>
          <w:tcPr>
            <w:tcW w:w="0" w:type="auto"/>
            <w:tcBorders>
              <w:top w:val="single" w:sz="4" w:space="0" w:color="auto"/>
              <w:left w:val="single" w:sz="4" w:space="0" w:color="auto"/>
              <w:bottom w:val="single" w:sz="4" w:space="0" w:color="auto"/>
              <w:right w:val="single" w:sz="4" w:space="0" w:color="auto"/>
            </w:tcBorders>
            <w:shd w:val="clear" w:color="auto" w:fill="F8F9FA"/>
            <w:tcMar>
              <w:top w:w="48" w:type="dxa"/>
              <w:left w:w="96" w:type="dxa"/>
              <w:bottom w:w="48" w:type="dxa"/>
              <w:right w:w="96" w:type="dxa"/>
            </w:tcMar>
            <w:vAlign w:val="center"/>
            <w:hideMark/>
          </w:tcPr>
          <w:p w14:paraId="355C4BD1" w14:textId="77777777" w:rsidR="00EC0BC1" w:rsidRPr="00EC0BC1" w:rsidRDefault="00EC0BC1" w:rsidP="00EC0BC1">
            <w:pPr>
              <w:spacing w:after="0" w:line="240" w:lineRule="auto"/>
              <w:jc w:val="center"/>
              <w:rPr>
                <w:rFonts w:ascii="Calibri" w:hAnsi="Calibri" w:cs="Calibri"/>
              </w:rPr>
            </w:pPr>
            <w:r w:rsidRPr="00EC0BC1">
              <w:rPr>
                <w:rFonts w:ascii="Calibri" w:hAnsi="Calibri" w:cs="Calibri"/>
              </w:rPr>
              <w:t>2020</w:t>
            </w:r>
          </w:p>
        </w:tc>
        <w:tc>
          <w:tcPr>
            <w:tcW w:w="0" w:type="auto"/>
            <w:tcBorders>
              <w:top w:val="single" w:sz="4" w:space="0" w:color="auto"/>
              <w:left w:val="single" w:sz="4" w:space="0" w:color="auto"/>
              <w:bottom w:val="single" w:sz="4" w:space="0" w:color="auto"/>
              <w:right w:val="single" w:sz="4" w:space="0" w:color="auto"/>
            </w:tcBorders>
            <w:shd w:val="clear" w:color="auto" w:fill="F8F9FA"/>
            <w:tcMar>
              <w:top w:w="48" w:type="dxa"/>
              <w:left w:w="96" w:type="dxa"/>
              <w:bottom w:w="48" w:type="dxa"/>
              <w:right w:w="96" w:type="dxa"/>
            </w:tcMar>
            <w:vAlign w:val="center"/>
            <w:hideMark/>
          </w:tcPr>
          <w:p w14:paraId="30D56525" w14:textId="77777777" w:rsidR="00EC0BC1" w:rsidRPr="00EC0BC1" w:rsidRDefault="00EC0BC1" w:rsidP="00EC0BC1">
            <w:pPr>
              <w:spacing w:after="0" w:line="240" w:lineRule="auto"/>
              <w:jc w:val="center"/>
              <w:rPr>
                <w:rFonts w:ascii="Calibri" w:hAnsi="Calibri" w:cs="Calibri"/>
              </w:rPr>
            </w:pPr>
            <w:r w:rsidRPr="00EC0BC1">
              <w:rPr>
                <w:rFonts w:ascii="Calibri" w:hAnsi="Calibri" w:cs="Calibri"/>
              </w:rPr>
              <w:t>7 794 799</w:t>
            </w:r>
          </w:p>
        </w:tc>
        <w:tc>
          <w:tcPr>
            <w:tcW w:w="0" w:type="auto"/>
            <w:tcBorders>
              <w:top w:val="single" w:sz="4" w:space="0" w:color="auto"/>
              <w:left w:val="single" w:sz="4" w:space="0" w:color="auto"/>
              <w:bottom w:val="single" w:sz="4" w:space="0" w:color="auto"/>
              <w:right w:val="single" w:sz="4" w:space="0" w:color="auto"/>
            </w:tcBorders>
            <w:shd w:val="clear" w:color="auto" w:fill="F8F9FA"/>
            <w:tcMar>
              <w:top w:w="48" w:type="dxa"/>
              <w:left w:w="96" w:type="dxa"/>
              <w:bottom w:w="48" w:type="dxa"/>
              <w:right w:w="96" w:type="dxa"/>
            </w:tcMar>
            <w:vAlign w:val="center"/>
            <w:hideMark/>
          </w:tcPr>
          <w:p w14:paraId="05961C94" w14:textId="77777777" w:rsidR="00EC0BC1" w:rsidRPr="00EC0BC1" w:rsidRDefault="00EC0BC1" w:rsidP="00EC0BC1">
            <w:pPr>
              <w:spacing w:after="0" w:line="240" w:lineRule="auto"/>
              <w:jc w:val="center"/>
              <w:rPr>
                <w:rFonts w:ascii="Calibri" w:hAnsi="Calibri" w:cs="Calibri"/>
              </w:rPr>
            </w:pPr>
            <w:r w:rsidRPr="00EC0BC1">
              <w:rPr>
                <w:rFonts w:ascii="Calibri" w:hAnsi="Calibri" w:cs="Calibri"/>
              </w:rPr>
              <w:t>7 794 799</w:t>
            </w:r>
          </w:p>
        </w:tc>
        <w:tc>
          <w:tcPr>
            <w:tcW w:w="0" w:type="auto"/>
            <w:tcBorders>
              <w:top w:val="single" w:sz="4" w:space="0" w:color="auto"/>
              <w:left w:val="single" w:sz="4" w:space="0" w:color="auto"/>
              <w:bottom w:val="single" w:sz="4" w:space="0" w:color="auto"/>
              <w:right w:val="single" w:sz="4" w:space="0" w:color="auto"/>
            </w:tcBorders>
            <w:shd w:val="clear" w:color="auto" w:fill="F8F9FA"/>
            <w:tcMar>
              <w:top w:w="48" w:type="dxa"/>
              <w:left w:w="96" w:type="dxa"/>
              <w:bottom w:w="48" w:type="dxa"/>
              <w:right w:w="96" w:type="dxa"/>
            </w:tcMar>
            <w:vAlign w:val="center"/>
            <w:hideMark/>
          </w:tcPr>
          <w:p w14:paraId="6AD30EF6" w14:textId="77777777" w:rsidR="00EC0BC1" w:rsidRPr="00EC0BC1" w:rsidRDefault="00EC0BC1" w:rsidP="00EC0BC1">
            <w:pPr>
              <w:spacing w:after="0" w:line="240" w:lineRule="auto"/>
              <w:jc w:val="center"/>
              <w:rPr>
                <w:rFonts w:ascii="Calibri" w:hAnsi="Calibri" w:cs="Calibri"/>
              </w:rPr>
            </w:pPr>
            <w:r w:rsidRPr="00EC0BC1">
              <w:rPr>
                <w:rFonts w:ascii="Calibri" w:hAnsi="Calibri" w:cs="Calibri"/>
              </w:rPr>
              <w:t>7 794 799</w:t>
            </w:r>
          </w:p>
        </w:tc>
      </w:tr>
      <w:tr w:rsidR="00EC0BC1" w:rsidRPr="00EC0BC1" w14:paraId="5037EA60" w14:textId="77777777" w:rsidTr="00EC0BC1">
        <w:tc>
          <w:tcPr>
            <w:tcW w:w="0" w:type="auto"/>
            <w:tcBorders>
              <w:top w:val="single" w:sz="4" w:space="0" w:color="auto"/>
              <w:left w:val="single" w:sz="4" w:space="0" w:color="auto"/>
              <w:bottom w:val="single" w:sz="4" w:space="0" w:color="auto"/>
              <w:right w:val="single" w:sz="4" w:space="0" w:color="auto"/>
            </w:tcBorders>
            <w:shd w:val="clear" w:color="auto" w:fill="F8F9FA"/>
            <w:tcMar>
              <w:top w:w="48" w:type="dxa"/>
              <w:left w:w="96" w:type="dxa"/>
              <w:bottom w:w="48" w:type="dxa"/>
              <w:right w:w="96" w:type="dxa"/>
            </w:tcMar>
            <w:vAlign w:val="center"/>
            <w:hideMark/>
          </w:tcPr>
          <w:p w14:paraId="0AEFBCBD" w14:textId="77777777" w:rsidR="00EC0BC1" w:rsidRPr="00EC0BC1" w:rsidRDefault="00EC0BC1" w:rsidP="00EC0BC1">
            <w:pPr>
              <w:spacing w:after="0" w:line="240" w:lineRule="auto"/>
              <w:jc w:val="center"/>
              <w:rPr>
                <w:rFonts w:ascii="Calibri" w:hAnsi="Calibri" w:cs="Calibri"/>
              </w:rPr>
            </w:pPr>
            <w:r w:rsidRPr="00EC0BC1">
              <w:rPr>
                <w:rFonts w:ascii="Calibri" w:hAnsi="Calibri" w:cs="Calibri"/>
              </w:rPr>
              <w:t>2050</w:t>
            </w:r>
          </w:p>
        </w:tc>
        <w:tc>
          <w:tcPr>
            <w:tcW w:w="0" w:type="auto"/>
            <w:tcBorders>
              <w:top w:val="single" w:sz="4" w:space="0" w:color="auto"/>
              <w:left w:val="single" w:sz="4" w:space="0" w:color="auto"/>
              <w:bottom w:val="single" w:sz="4" w:space="0" w:color="auto"/>
              <w:right w:val="single" w:sz="4" w:space="0" w:color="auto"/>
            </w:tcBorders>
            <w:shd w:val="clear" w:color="auto" w:fill="F8F9FA"/>
            <w:tcMar>
              <w:top w:w="48" w:type="dxa"/>
              <w:left w:w="96" w:type="dxa"/>
              <w:bottom w:w="48" w:type="dxa"/>
              <w:right w:w="96" w:type="dxa"/>
            </w:tcMar>
            <w:vAlign w:val="center"/>
            <w:hideMark/>
          </w:tcPr>
          <w:p w14:paraId="2A286851" w14:textId="77777777" w:rsidR="00EC0BC1" w:rsidRPr="00EC0BC1" w:rsidRDefault="00EC0BC1" w:rsidP="00EC0BC1">
            <w:pPr>
              <w:spacing w:after="0" w:line="240" w:lineRule="auto"/>
              <w:jc w:val="center"/>
              <w:rPr>
                <w:rFonts w:ascii="Calibri" w:hAnsi="Calibri" w:cs="Calibri"/>
              </w:rPr>
            </w:pPr>
            <w:r w:rsidRPr="00EC0BC1">
              <w:rPr>
                <w:rFonts w:ascii="Calibri" w:hAnsi="Calibri" w:cs="Calibri"/>
              </w:rPr>
              <w:t>8 906 797</w:t>
            </w:r>
          </w:p>
        </w:tc>
        <w:tc>
          <w:tcPr>
            <w:tcW w:w="0" w:type="auto"/>
            <w:tcBorders>
              <w:top w:val="single" w:sz="4" w:space="0" w:color="auto"/>
              <w:left w:val="single" w:sz="4" w:space="0" w:color="auto"/>
              <w:bottom w:val="single" w:sz="4" w:space="0" w:color="auto"/>
              <w:right w:val="single" w:sz="4" w:space="0" w:color="auto"/>
            </w:tcBorders>
            <w:shd w:val="clear" w:color="auto" w:fill="F8F9FA"/>
            <w:tcMar>
              <w:top w:w="48" w:type="dxa"/>
              <w:left w:w="96" w:type="dxa"/>
              <w:bottom w:w="48" w:type="dxa"/>
              <w:right w:w="96" w:type="dxa"/>
            </w:tcMar>
            <w:vAlign w:val="center"/>
            <w:hideMark/>
          </w:tcPr>
          <w:p w14:paraId="6B36B41B" w14:textId="77777777" w:rsidR="00EC0BC1" w:rsidRPr="00EC0BC1" w:rsidRDefault="00EC0BC1" w:rsidP="00EC0BC1">
            <w:pPr>
              <w:spacing w:after="0" w:line="240" w:lineRule="auto"/>
              <w:jc w:val="center"/>
              <w:rPr>
                <w:rFonts w:ascii="Calibri" w:hAnsi="Calibri" w:cs="Calibri"/>
              </w:rPr>
            </w:pPr>
            <w:r w:rsidRPr="00EC0BC1">
              <w:rPr>
                <w:rFonts w:ascii="Calibri" w:hAnsi="Calibri" w:cs="Calibri"/>
              </w:rPr>
              <w:t>9 735 034</w:t>
            </w:r>
          </w:p>
        </w:tc>
        <w:tc>
          <w:tcPr>
            <w:tcW w:w="0" w:type="auto"/>
            <w:tcBorders>
              <w:top w:val="single" w:sz="4" w:space="0" w:color="auto"/>
              <w:left w:val="single" w:sz="4" w:space="0" w:color="auto"/>
              <w:bottom w:val="single" w:sz="4" w:space="0" w:color="auto"/>
              <w:right w:val="single" w:sz="4" w:space="0" w:color="auto"/>
            </w:tcBorders>
            <w:shd w:val="clear" w:color="auto" w:fill="F8F9FA"/>
            <w:tcMar>
              <w:top w:w="48" w:type="dxa"/>
              <w:left w:w="96" w:type="dxa"/>
              <w:bottom w:w="48" w:type="dxa"/>
              <w:right w:w="96" w:type="dxa"/>
            </w:tcMar>
            <w:vAlign w:val="center"/>
            <w:hideMark/>
          </w:tcPr>
          <w:p w14:paraId="2CA850FE" w14:textId="77777777" w:rsidR="00EC0BC1" w:rsidRPr="00EC0BC1" w:rsidRDefault="00EC0BC1" w:rsidP="00EC0BC1">
            <w:pPr>
              <w:spacing w:after="0" w:line="240" w:lineRule="auto"/>
              <w:jc w:val="center"/>
              <w:rPr>
                <w:rFonts w:ascii="Calibri" w:hAnsi="Calibri" w:cs="Calibri"/>
              </w:rPr>
            </w:pPr>
            <w:r w:rsidRPr="00EC0BC1">
              <w:rPr>
                <w:rFonts w:ascii="Calibri" w:hAnsi="Calibri" w:cs="Calibri"/>
              </w:rPr>
              <w:t>10 587 774</w:t>
            </w:r>
          </w:p>
        </w:tc>
      </w:tr>
      <w:tr w:rsidR="00EC0BC1" w:rsidRPr="00EC0BC1" w14:paraId="1A520C6B" w14:textId="77777777" w:rsidTr="00EC0BC1">
        <w:tc>
          <w:tcPr>
            <w:tcW w:w="0" w:type="auto"/>
            <w:tcBorders>
              <w:top w:val="single" w:sz="4" w:space="0" w:color="auto"/>
              <w:left w:val="single" w:sz="4" w:space="0" w:color="auto"/>
              <w:bottom w:val="single" w:sz="4" w:space="0" w:color="auto"/>
              <w:right w:val="single" w:sz="4" w:space="0" w:color="auto"/>
            </w:tcBorders>
            <w:shd w:val="clear" w:color="auto" w:fill="F8F9FA"/>
            <w:tcMar>
              <w:top w:w="48" w:type="dxa"/>
              <w:left w:w="96" w:type="dxa"/>
              <w:bottom w:w="48" w:type="dxa"/>
              <w:right w:w="96" w:type="dxa"/>
            </w:tcMar>
            <w:vAlign w:val="center"/>
            <w:hideMark/>
          </w:tcPr>
          <w:p w14:paraId="7E217F6C" w14:textId="77777777" w:rsidR="00EC0BC1" w:rsidRPr="00EC0BC1" w:rsidRDefault="00EC0BC1" w:rsidP="00EC0BC1">
            <w:pPr>
              <w:spacing w:after="0" w:line="240" w:lineRule="auto"/>
              <w:jc w:val="center"/>
              <w:rPr>
                <w:rFonts w:ascii="Calibri" w:hAnsi="Calibri" w:cs="Calibri"/>
              </w:rPr>
            </w:pPr>
            <w:r w:rsidRPr="00EC0BC1">
              <w:rPr>
                <w:rFonts w:ascii="Calibri" w:hAnsi="Calibri" w:cs="Calibri"/>
              </w:rPr>
              <w:t>2100</w:t>
            </w:r>
          </w:p>
        </w:tc>
        <w:tc>
          <w:tcPr>
            <w:tcW w:w="0" w:type="auto"/>
            <w:tcBorders>
              <w:top w:val="single" w:sz="4" w:space="0" w:color="auto"/>
              <w:left w:val="single" w:sz="4" w:space="0" w:color="auto"/>
              <w:bottom w:val="single" w:sz="4" w:space="0" w:color="auto"/>
              <w:right w:val="single" w:sz="4" w:space="0" w:color="auto"/>
            </w:tcBorders>
            <w:shd w:val="clear" w:color="auto" w:fill="F8F9FA"/>
            <w:tcMar>
              <w:top w:w="48" w:type="dxa"/>
              <w:left w:w="96" w:type="dxa"/>
              <w:bottom w:w="48" w:type="dxa"/>
              <w:right w:w="96" w:type="dxa"/>
            </w:tcMar>
            <w:vAlign w:val="center"/>
            <w:hideMark/>
          </w:tcPr>
          <w:p w14:paraId="66224852" w14:textId="77777777" w:rsidR="00EC0BC1" w:rsidRPr="00EC0BC1" w:rsidRDefault="00EC0BC1" w:rsidP="00EC0BC1">
            <w:pPr>
              <w:spacing w:after="0" w:line="240" w:lineRule="auto"/>
              <w:jc w:val="center"/>
              <w:rPr>
                <w:rFonts w:ascii="Calibri" w:hAnsi="Calibri" w:cs="Calibri"/>
              </w:rPr>
            </w:pPr>
            <w:r w:rsidRPr="00EC0BC1">
              <w:rPr>
                <w:rFonts w:ascii="Calibri" w:hAnsi="Calibri" w:cs="Calibri"/>
              </w:rPr>
              <w:t>7 322 116</w:t>
            </w:r>
          </w:p>
        </w:tc>
        <w:tc>
          <w:tcPr>
            <w:tcW w:w="0" w:type="auto"/>
            <w:tcBorders>
              <w:top w:val="single" w:sz="4" w:space="0" w:color="auto"/>
              <w:left w:val="single" w:sz="4" w:space="0" w:color="auto"/>
              <w:bottom w:val="single" w:sz="4" w:space="0" w:color="auto"/>
              <w:right w:val="single" w:sz="4" w:space="0" w:color="auto"/>
            </w:tcBorders>
            <w:shd w:val="clear" w:color="auto" w:fill="F8F9FA"/>
            <w:tcMar>
              <w:top w:w="48" w:type="dxa"/>
              <w:left w:w="96" w:type="dxa"/>
              <w:bottom w:w="48" w:type="dxa"/>
              <w:right w:w="96" w:type="dxa"/>
            </w:tcMar>
            <w:vAlign w:val="center"/>
            <w:hideMark/>
          </w:tcPr>
          <w:p w14:paraId="4C3D55D1" w14:textId="77777777" w:rsidR="00EC0BC1" w:rsidRPr="00EC0BC1" w:rsidRDefault="00EC0BC1" w:rsidP="00EC0BC1">
            <w:pPr>
              <w:spacing w:after="0" w:line="240" w:lineRule="auto"/>
              <w:jc w:val="center"/>
              <w:rPr>
                <w:rFonts w:ascii="Calibri" w:hAnsi="Calibri" w:cs="Calibri"/>
              </w:rPr>
            </w:pPr>
            <w:r w:rsidRPr="00EC0BC1">
              <w:rPr>
                <w:rFonts w:ascii="Calibri" w:hAnsi="Calibri" w:cs="Calibri"/>
              </w:rPr>
              <w:t>10 875 394</w:t>
            </w:r>
          </w:p>
        </w:tc>
        <w:tc>
          <w:tcPr>
            <w:tcW w:w="0" w:type="auto"/>
            <w:tcBorders>
              <w:top w:val="single" w:sz="4" w:space="0" w:color="auto"/>
              <w:left w:val="single" w:sz="4" w:space="0" w:color="auto"/>
              <w:bottom w:val="single" w:sz="4" w:space="0" w:color="auto"/>
              <w:right w:val="single" w:sz="4" w:space="0" w:color="auto"/>
            </w:tcBorders>
            <w:shd w:val="clear" w:color="auto" w:fill="F8F9FA"/>
            <w:tcMar>
              <w:top w:w="48" w:type="dxa"/>
              <w:left w:w="96" w:type="dxa"/>
              <w:bottom w:w="48" w:type="dxa"/>
              <w:right w:w="96" w:type="dxa"/>
            </w:tcMar>
            <w:vAlign w:val="center"/>
            <w:hideMark/>
          </w:tcPr>
          <w:p w14:paraId="68121F92" w14:textId="77777777" w:rsidR="00EC0BC1" w:rsidRPr="00EC0BC1" w:rsidRDefault="00EC0BC1" w:rsidP="00EC0BC1">
            <w:pPr>
              <w:spacing w:after="0" w:line="240" w:lineRule="auto"/>
              <w:jc w:val="center"/>
              <w:rPr>
                <w:rFonts w:ascii="Calibri" w:hAnsi="Calibri" w:cs="Calibri"/>
              </w:rPr>
            </w:pPr>
            <w:r w:rsidRPr="00EC0BC1">
              <w:rPr>
                <w:rFonts w:ascii="Calibri" w:hAnsi="Calibri" w:cs="Calibri"/>
              </w:rPr>
              <w:t>15 600 369</w:t>
            </w:r>
          </w:p>
        </w:tc>
      </w:tr>
      <w:tr w:rsidR="00EC0BC1" w:rsidRPr="00EC0BC1" w14:paraId="69DF3E52" w14:textId="77777777" w:rsidTr="00EC0BC1">
        <w:tc>
          <w:tcPr>
            <w:tcW w:w="0" w:type="auto"/>
            <w:gridSpan w:val="4"/>
            <w:tcBorders>
              <w:top w:val="single" w:sz="4" w:space="0" w:color="auto"/>
              <w:left w:val="single" w:sz="4" w:space="0" w:color="auto"/>
              <w:bottom w:val="single" w:sz="4" w:space="0" w:color="auto"/>
              <w:right w:val="single" w:sz="4" w:space="0" w:color="auto"/>
            </w:tcBorders>
            <w:shd w:val="clear" w:color="auto" w:fill="F8F9FA"/>
            <w:tcMar>
              <w:top w:w="48" w:type="dxa"/>
              <w:left w:w="96" w:type="dxa"/>
              <w:bottom w:w="48" w:type="dxa"/>
              <w:right w:w="96" w:type="dxa"/>
            </w:tcMar>
            <w:vAlign w:val="center"/>
            <w:hideMark/>
          </w:tcPr>
          <w:p w14:paraId="58B31952" w14:textId="15E62744" w:rsidR="00EC0BC1" w:rsidRPr="00EC0BC1" w:rsidRDefault="00EC0BC1" w:rsidP="00EC0BC1">
            <w:pPr>
              <w:spacing w:after="0" w:line="240" w:lineRule="auto"/>
              <w:jc w:val="center"/>
              <w:rPr>
                <w:rFonts w:ascii="Calibri" w:hAnsi="Calibri" w:cs="Calibri"/>
              </w:rPr>
            </w:pPr>
            <w:r w:rsidRPr="00EC0BC1">
              <w:rPr>
                <w:rFonts w:ascii="Calibri" w:hAnsi="Calibri" w:cs="Calibri"/>
              </w:rPr>
              <w:t>Source : Base de données démographiques de l'ONU, révision 2019</w:t>
            </w:r>
            <w:r w:rsidRPr="00EC0BC1">
              <w:rPr>
                <w:rStyle w:val="Appelnotedebasdep"/>
                <w:rFonts w:ascii="Calibri" w:hAnsi="Calibri" w:cs="Calibri"/>
              </w:rPr>
              <w:footnoteReference w:id="47"/>
            </w:r>
            <w:r w:rsidRPr="00EC0BC1">
              <w:rPr>
                <w:rFonts w:ascii="Calibri" w:hAnsi="Calibri" w:cs="Calibri"/>
              </w:rPr>
              <w:t>.</w:t>
            </w:r>
          </w:p>
        </w:tc>
      </w:tr>
    </w:tbl>
    <w:p w14:paraId="3466C055" w14:textId="3C2741A9" w:rsidR="00EC0BC1" w:rsidRPr="00EC0BC1" w:rsidRDefault="00EC0BC1" w:rsidP="00EC0BC1">
      <w:pPr>
        <w:pStyle w:val="NormalWeb"/>
        <w:shd w:val="clear" w:color="auto" w:fill="FFFFFF"/>
        <w:spacing w:before="0" w:beforeAutospacing="0" w:after="0" w:afterAutospacing="0"/>
        <w:rPr>
          <w:rFonts w:ascii="Calibri" w:hAnsi="Calibri" w:cs="Calibri"/>
          <w:color w:val="202122"/>
          <w:sz w:val="22"/>
          <w:szCs w:val="22"/>
        </w:rPr>
      </w:pPr>
    </w:p>
    <w:p w14:paraId="4B00E3CC" w14:textId="3AC69418" w:rsidR="0065707A" w:rsidRDefault="00EC0BC1" w:rsidP="00EC0BC1">
      <w:pPr>
        <w:spacing w:after="0" w:line="240" w:lineRule="auto"/>
        <w:jc w:val="both"/>
        <w:rPr>
          <w:rFonts w:ascii="Calibri" w:hAnsi="Calibri" w:cs="Calibri"/>
        </w:rPr>
      </w:pPr>
      <w:r>
        <w:rPr>
          <w:rFonts w:ascii="Calibri" w:hAnsi="Calibri" w:cs="Calibri"/>
        </w:rPr>
        <w:t>Selon</w:t>
      </w:r>
      <w:r w:rsidRPr="00EC0BC1">
        <w:rPr>
          <w:rFonts w:ascii="Calibri" w:hAnsi="Calibri" w:cs="Calibri"/>
        </w:rPr>
        <w:t xml:space="preserve"> la </w:t>
      </w:r>
      <w:r>
        <w:rPr>
          <w:rFonts w:ascii="Calibri" w:hAnsi="Calibri" w:cs="Calibri"/>
        </w:rPr>
        <w:t>« </w:t>
      </w:r>
      <w:r w:rsidRPr="00EC0BC1">
        <w:rPr>
          <w:rFonts w:ascii="Calibri" w:hAnsi="Calibri" w:cs="Calibri"/>
        </w:rPr>
        <w:t>variante moyenne</w:t>
      </w:r>
      <w:r>
        <w:rPr>
          <w:rFonts w:ascii="Calibri" w:hAnsi="Calibri" w:cs="Calibri"/>
        </w:rPr>
        <w:t> »</w:t>
      </w:r>
      <w:r w:rsidRPr="00EC0BC1">
        <w:rPr>
          <w:rFonts w:ascii="Calibri" w:hAnsi="Calibri" w:cs="Calibri"/>
        </w:rPr>
        <w:t>, la population mondiale risque d’augmenter de 2 milliard d’individus, en 30 ans. Ce qui sous-entend qu’il faudra plus d’eau</w:t>
      </w:r>
      <w:r w:rsidR="0046297B">
        <w:rPr>
          <w:rFonts w:ascii="Calibri" w:hAnsi="Calibri" w:cs="Calibri"/>
        </w:rPr>
        <w:t>,</w:t>
      </w:r>
      <w:r w:rsidRPr="00EC0BC1">
        <w:rPr>
          <w:rFonts w:ascii="Calibri" w:hAnsi="Calibri" w:cs="Calibri"/>
        </w:rPr>
        <w:t xml:space="preserve"> 1) pour étancher la soif de cette population, 2) pour irriguer plus de cultures, pour produire plus d’aliments pour la nourrir. Or la disponibilité en eau douce, sur Terre, n’est pas extensible à l’infini (on le constate par exemple, e</w:t>
      </w:r>
      <w:r w:rsidR="003C54E0">
        <w:rPr>
          <w:rFonts w:ascii="Calibri" w:hAnsi="Calibri" w:cs="Calibri"/>
        </w:rPr>
        <w:t>n</w:t>
      </w:r>
      <w:r w:rsidRPr="00EC0BC1">
        <w:rPr>
          <w:rFonts w:ascii="Calibri" w:hAnsi="Calibri" w:cs="Calibri"/>
        </w:rPr>
        <w:t xml:space="preserve"> Californie). </w:t>
      </w:r>
      <w:r w:rsidR="003C54E0">
        <w:rPr>
          <w:rFonts w:ascii="Calibri" w:hAnsi="Calibri" w:cs="Calibri"/>
        </w:rPr>
        <w:t xml:space="preserve">Par ailleurs, la désalinisation de l’eau de mer ne semble pas être une bonne solution, car elle est énergétivore et coûteuse. </w:t>
      </w:r>
    </w:p>
    <w:p w14:paraId="6F2C1D28" w14:textId="77777777" w:rsidR="0046297B" w:rsidRDefault="0046297B" w:rsidP="00EC0BC1">
      <w:pPr>
        <w:spacing w:after="0" w:line="240" w:lineRule="auto"/>
        <w:jc w:val="both"/>
        <w:rPr>
          <w:rFonts w:ascii="Calibri" w:hAnsi="Calibri" w:cs="Calibri"/>
        </w:rPr>
      </w:pPr>
    </w:p>
    <w:p w14:paraId="3967E3EC" w14:textId="1BE7E0CF" w:rsidR="003444B8" w:rsidRDefault="003444B8" w:rsidP="00EC0BC1">
      <w:pPr>
        <w:spacing w:after="0" w:line="240" w:lineRule="auto"/>
        <w:jc w:val="both"/>
        <w:rPr>
          <w:rFonts w:ascii="Calibri" w:hAnsi="Calibri" w:cs="Calibri"/>
        </w:rPr>
      </w:pPr>
      <w:r>
        <w:rPr>
          <w:rFonts w:ascii="Calibri" w:hAnsi="Calibri" w:cs="Calibri"/>
        </w:rPr>
        <w:t>On a l’exemple de pays emblématiques : en 2020, plus de la moitié des Algériens ont moins de 30 ans</w:t>
      </w:r>
      <w:r w:rsidR="0091296E">
        <w:rPr>
          <w:rFonts w:ascii="Calibri" w:hAnsi="Calibri" w:cs="Calibri"/>
        </w:rPr>
        <w:t>.</w:t>
      </w:r>
      <w:r>
        <w:rPr>
          <w:rFonts w:ascii="Calibri" w:hAnsi="Calibri" w:cs="Calibri"/>
        </w:rPr>
        <w:t xml:space="preserve"> </w:t>
      </w:r>
      <w:r w:rsidR="0091296E" w:rsidRPr="0091296E">
        <w:rPr>
          <w:rFonts w:ascii="Calibri" w:hAnsi="Calibri" w:cs="Calibri"/>
        </w:rPr>
        <w:t>A Madagascar, environ deux tiers de la population a moins de 25 ans (64%) et près de la moitié a moins de 15 ans (47%).</w:t>
      </w:r>
    </w:p>
    <w:p w14:paraId="0AFA35D7" w14:textId="77777777" w:rsidR="00673BCD" w:rsidRDefault="00673BCD" w:rsidP="00EC0BC1">
      <w:pPr>
        <w:spacing w:after="0" w:line="240" w:lineRule="auto"/>
        <w:jc w:val="both"/>
        <w:rPr>
          <w:rFonts w:ascii="Calibri" w:hAnsi="Calibri" w:cs="Calibri"/>
        </w:rPr>
      </w:pPr>
    </w:p>
    <w:p w14:paraId="50E1FDD1" w14:textId="6AD18F0D" w:rsidR="003C54E0" w:rsidRDefault="003C54E0" w:rsidP="00EC0BC1">
      <w:pPr>
        <w:spacing w:after="0" w:line="240" w:lineRule="auto"/>
        <w:jc w:val="both"/>
        <w:rPr>
          <w:rFonts w:ascii="Calibri" w:hAnsi="Calibri" w:cs="Calibri"/>
        </w:rPr>
      </w:pPr>
      <w:r>
        <w:rPr>
          <w:rFonts w:ascii="Calibri" w:hAnsi="Calibri" w:cs="Calibri"/>
        </w:rPr>
        <w:t>Comme il y a un résistance psychologique, culturelle, surtout religieuse, surtout dans les pays pauvres [i.e. « en voie de développement »] à l’implantation, en leur sein, du planning familial (du contrôle de naissance), il n’est pas certains que la courbe de croissance de la population mondiale puisse parvenir à une croissance zéro.</w:t>
      </w:r>
    </w:p>
    <w:p w14:paraId="0469DD63" w14:textId="69E08B49" w:rsidR="00351237" w:rsidRDefault="00351237" w:rsidP="00351237">
      <w:pPr>
        <w:spacing w:after="0" w:line="240" w:lineRule="auto"/>
        <w:jc w:val="both"/>
        <w:rPr>
          <w:rFonts w:ascii="Calibri" w:hAnsi="Calibri" w:cs="Calibri"/>
        </w:rPr>
      </w:pPr>
      <w:r w:rsidRPr="00351237">
        <w:rPr>
          <w:rFonts w:ascii="Calibri" w:hAnsi="Calibri" w:cs="Calibri"/>
        </w:rPr>
        <w:lastRenderedPageBreak/>
        <w:t>Mais dans le monde entier, la fécondité baisse, surtout en Asie de l’Est. Dans les pays à très forte fécondité (sept à huit enfants par femme il y a quelques décennies) c’est plutôt un soulagement. Soulagement relatif car la mortalité ayant beaucoup baissé, le fait d’être « tombé » à quatre ou six enfants par femme maintient une augmentation très rapide de la population.</w:t>
      </w:r>
      <w:r>
        <w:rPr>
          <w:rFonts w:ascii="Calibri" w:hAnsi="Calibri" w:cs="Calibri"/>
        </w:rPr>
        <w:t xml:space="preserve"> </w:t>
      </w:r>
      <w:r w:rsidRPr="00351237">
        <w:rPr>
          <w:rFonts w:ascii="Calibri" w:hAnsi="Calibri" w:cs="Calibri"/>
        </w:rPr>
        <w:t>C’est le cas de l’Afrique subsaharienne</w:t>
      </w:r>
      <w:r>
        <w:rPr>
          <w:rFonts w:ascii="Calibri" w:hAnsi="Calibri" w:cs="Calibri"/>
        </w:rPr>
        <w:t xml:space="preserve"> (y compris </w:t>
      </w:r>
      <w:r>
        <w:t>dans les pays les plus pauvres et ayant les taux de croissance démographique les plus élevés (Mali, Niger, Burkina Fasso …)</w:t>
      </w:r>
      <w:r w:rsidRPr="00351237">
        <w:rPr>
          <w:rFonts w:ascii="Calibri" w:hAnsi="Calibri" w:cs="Calibri"/>
        </w:rPr>
        <w:t xml:space="preserve"> et de quelques autres peuples : les Palestiniens, les Afghans, les Haïtiens…</w:t>
      </w:r>
    </w:p>
    <w:p w14:paraId="711A3C03" w14:textId="77777777" w:rsidR="00D63296" w:rsidRDefault="00D63296" w:rsidP="00D63296">
      <w:pPr>
        <w:spacing w:after="0" w:line="240" w:lineRule="auto"/>
        <w:jc w:val="both"/>
        <w:rPr>
          <w:rFonts w:ascii="Calibri" w:hAnsi="Calibri" w:cs="Calibri"/>
        </w:rPr>
      </w:pPr>
      <w:r>
        <w:rPr>
          <w:rFonts w:ascii="Calibri" w:hAnsi="Calibri" w:cs="Calibri"/>
        </w:rPr>
        <w:t>Or dans les pays pauvres,</w:t>
      </w:r>
      <w:r w:rsidRPr="00E8548F">
        <w:rPr>
          <w:rFonts w:ascii="Calibri" w:hAnsi="Calibri" w:cs="Calibri"/>
        </w:rPr>
        <w:t xml:space="preserve"> nous avons</w:t>
      </w:r>
      <w:r>
        <w:rPr>
          <w:rFonts w:ascii="Calibri" w:hAnsi="Calibri" w:cs="Calibri"/>
        </w:rPr>
        <w:t xml:space="preserve"> la réalité de l’existence</w:t>
      </w:r>
      <w:r w:rsidRPr="00E8548F">
        <w:rPr>
          <w:rFonts w:ascii="Calibri" w:hAnsi="Calibri" w:cs="Calibri"/>
        </w:rPr>
        <w:t xml:space="preserve"> de gouvernements populistes, corrompu</w:t>
      </w:r>
      <w:r>
        <w:rPr>
          <w:rFonts w:ascii="Calibri" w:hAnsi="Calibri" w:cs="Calibri"/>
        </w:rPr>
        <w:t>s</w:t>
      </w:r>
      <w:r w:rsidRPr="00E8548F">
        <w:rPr>
          <w:rFonts w:ascii="Calibri" w:hAnsi="Calibri" w:cs="Calibri"/>
        </w:rPr>
        <w:t xml:space="preserve">, souvent prédateurs et ignorants, indifférents aux conditions du développement, ne se </w:t>
      </w:r>
      <w:r>
        <w:rPr>
          <w:rFonts w:ascii="Calibri" w:hAnsi="Calibri" w:cs="Calibri"/>
        </w:rPr>
        <w:t>souciant</w:t>
      </w:r>
      <w:r w:rsidRPr="00E8548F">
        <w:rPr>
          <w:rFonts w:ascii="Calibri" w:hAnsi="Calibri" w:cs="Calibri"/>
        </w:rPr>
        <w:t xml:space="preserve"> pas d</w:t>
      </w:r>
      <w:r>
        <w:rPr>
          <w:rFonts w:ascii="Calibri" w:hAnsi="Calibri" w:cs="Calibri"/>
        </w:rPr>
        <w:t>u</w:t>
      </w:r>
      <w:r w:rsidRPr="00E8548F">
        <w:rPr>
          <w:rFonts w:ascii="Calibri" w:hAnsi="Calibri" w:cs="Calibri"/>
        </w:rPr>
        <w:t xml:space="preserve"> contrôle des naissances (et d</w:t>
      </w:r>
      <w:r>
        <w:rPr>
          <w:rFonts w:ascii="Calibri" w:hAnsi="Calibri" w:cs="Calibri"/>
        </w:rPr>
        <w:t>u</w:t>
      </w:r>
      <w:r w:rsidRPr="00E8548F">
        <w:rPr>
          <w:rFonts w:ascii="Calibri" w:hAnsi="Calibri" w:cs="Calibri"/>
        </w:rPr>
        <w:t xml:space="preserve"> planning familial). </w:t>
      </w:r>
      <w:r>
        <w:rPr>
          <w:rFonts w:ascii="Calibri" w:hAnsi="Calibri" w:cs="Calibri"/>
        </w:rPr>
        <w:t>Beaucoup d’Africains y voient une source de fierté, de revanche et non de problèmes à venir.</w:t>
      </w:r>
    </w:p>
    <w:p w14:paraId="167D32C8" w14:textId="77777777" w:rsidR="00D63296" w:rsidRDefault="00D63296" w:rsidP="00D63296">
      <w:pPr>
        <w:spacing w:after="0" w:line="240" w:lineRule="auto"/>
        <w:jc w:val="both"/>
        <w:rPr>
          <w:rFonts w:ascii="Calibri" w:hAnsi="Calibri" w:cs="Calibri"/>
        </w:rPr>
      </w:pPr>
      <w:r>
        <w:rPr>
          <w:rFonts w:ascii="Calibri" w:hAnsi="Calibri" w:cs="Calibri"/>
        </w:rPr>
        <w:t>Là, c</w:t>
      </w:r>
      <w:r w:rsidRPr="00E8548F">
        <w:rPr>
          <w:rFonts w:ascii="Calibri" w:hAnsi="Calibri" w:cs="Calibri"/>
        </w:rPr>
        <w:t>e</w:t>
      </w:r>
      <w:r>
        <w:rPr>
          <w:rFonts w:ascii="Calibri" w:hAnsi="Calibri" w:cs="Calibri"/>
        </w:rPr>
        <w:t>tte</w:t>
      </w:r>
      <w:r w:rsidRPr="00E8548F">
        <w:rPr>
          <w:rFonts w:ascii="Calibri" w:hAnsi="Calibri" w:cs="Calibri"/>
        </w:rPr>
        <w:t xml:space="preserve"> baisse s'initie au sein </w:t>
      </w:r>
      <w:r>
        <w:rPr>
          <w:rFonts w:ascii="Calibri" w:hAnsi="Calibri" w:cs="Calibri"/>
        </w:rPr>
        <w:t xml:space="preserve">du </w:t>
      </w:r>
      <w:r w:rsidRPr="00E8548F">
        <w:rPr>
          <w:rFonts w:ascii="Calibri" w:hAnsi="Calibri" w:cs="Calibri"/>
        </w:rPr>
        <w:t>peuple, par le bas</w:t>
      </w:r>
      <w:r>
        <w:rPr>
          <w:rFonts w:ascii="Calibri" w:hAnsi="Calibri" w:cs="Calibri"/>
        </w:rPr>
        <w:t xml:space="preserve"> (par lui-même)</w:t>
      </w:r>
      <w:r w:rsidRPr="00E8548F">
        <w:rPr>
          <w:rFonts w:ascii="Calibri" w:hAnsi="Calibri" w:cs="Calibri"/>
        </w:rPr>
        <w:t xml:space="preserve"> et non par le haut</w:t>
      </w:r>
      <w:r>
        <w:rPr>
          <w:rFonts w:ascii="Calibri" w:hAnsi="Calibri" w:cs="Calibri"/>
        </w:rPr>
        <w:t xml:space="preserve"> (par l’état)</w:t>
      </w:r>
      <w:r>
        <w:rPr>
          <w:rStyle w:val="Appelnotedebasdep"/>
          <w:rFonts w:ascii="Calibri" w:hAnsi="Calibri" w:cs="Calibri"/>
        </w:rPr>
        <w:footnoteReference w:id="48"/>
      </w:r>
      <w:r>
        <w:rPr>
          <w:rFonts w:ascii="Calibri" w:hAnsi="Calibri" w:cs="Calibri"/>
        </w:rPr>
        <w:t xml:space="preserve">. </w:t>
      </w:r>
    </w:p>
    <w:p w14:paraId="5C11E784" w14:textId="77777777" w:rsidR="00D63296" w:rsidRDefault="00D63296" w:rsidP="00D63296">
      <w:pPr>
        <w:spacing w:after="0" w:line="240" w:lineRule="auto"/>
        <w:jc w:val="both"/>
        <w:rPr>
          <w:rFonts w:ascii="Calibri" w:hAnsi="Calibri" w:cs="Calibri"/>
        </w:rPr>
      </w:pPr>
      <w:r>
        <w:rPr>
          <w:rFonts w:ascii="Calibri" w:hAnsi="Calibri" w:cs="Calibri"/>
        </w:rPr>
        <w:t>Le sujet de la forte démographie africaine est un sujet politiquement sensible, considéré, par beaucoup d’Africains, comme une ingérence dans les affaires intérieures de leurs pays, quand il est abordé par un « blanc »</w:t>
      </w:r>
      <w:r>
        <w:rPr>
          <w:rStyle w:val="Appelnotedebasdep"/>
          <w:rFonts w:ascii="Calibri" w:hAnsi="Calibri" w:cs="Calibri"/>
        </w:rPr>
        <w:footnoteReference w:id="49"/>
      </w:r>
      <w:r>
        <w:rPr>
          <w:rFonts w:ascii="Calibri" w:hAnsi="Calibri" w:cs="Calibri"/>
        </w:rPr>
        <w:t xml:space="preserve">. </w:t>
      </w:r>
    </w:p>
    <w:p w14:paraId="3613CFEB" w14:textId="18CD929E" w:rsidR="0073333C" w:rsidRDefault="0073333C" w:rsidP="0073333C">
      <w:pPr>
        <w:spacing w:after="0" w:line="240" w:lineRule="auto"/>
        <w:rPr>
          <w:rFonts w:ascii="Calibri" w:hAnsi="Calibri" w:cs="Calibri"/>
        </w:rPr>
      </w:pPr>
    </w:p>
    <w:p w14:paraId="217E8553" w14:textId="1E16F530" w:rsidR="0073333C" w:rsidRDefault="0073333C" w:rsidP="0073333C">
      <w:pPr>
        <w:pStyle w:val="Titre2"/>
      </w:pPr>
      <w:bookmarkStart w:id="19" w:name="_Toc139181311"/>
      <w:r>
        <w:t>Crises économiques, cours des denrées de base trop hauts, émeutes de la faim</w:t>
      </w:r>
      <w:bookmarkEnd w:id="19"/>
    </w:p>
    <w:p w14:paraId="6F7B3BD2" w14:textId="247FF293" w:rsidR="0073333C" w:rsidRDefault="0073333C" w:rsidP="0073333C">
      <w:pPr>
        <w:spacing w:after="0" w:line="240" w:lineRule="auto"/>
        <w:rPr>
          <w:rFonts w:ascii="Calibri" w:hAnsi="Calibri" w:cs="Calibri"/>
        </w:rPr>
      </w:pPr>
    </w:p>
    <w:p w14:paraId="4EEECF85" w14:textId="00FF31E4" w:rsidR="004E5E2B" w:rsidRDefault="0073333C" w:rsidP="006477B9">
      <w:pPr>
        <w:spacing w:after="0" w:line="240" w:lineRule="auto"/>
        <w:jc w:val="both"/>
        <w:rPr>
          <w:rFonts w:ascii="Calibri" w:hAnsi="Calibri" w:cs="Calibri"/>
          <w:color w:val="000000" w:themeColor="text1"/>
        </w:rPr>
      </w:pPr>
      <w:r w:rsidRPr="0073333C">
        <w:rPr>
          <w:rFonts w:ascii="Calibri" w:hAnsi="Calibri" w:cs="Calibri"/>
          <w:color w:val="202122"/>
          <w:shd w:val="clear" w:color="auto" w:fill="FFFFFF"/>
        </w:rPr>
        <w:t>La </w:t>
      </w:r>
      <w:r w:rsidRPr="0073333C">
        <w:rPr>
          <w:rFonts w:ascii="Calibri" w:hAnsi="Calibri" w:cs="Calibri"/>
          <w:b/>
          <w:bCs/>
          <w:color w:val="202122"/>
          <w:shd w:val="clear" w:color="auto" w:fill="FFFFFF"/>
        </w:rPr>
        <w:t>crise alimentaire mondiale de 2007-2008</w:t>
      </w:r>
      <w:r w:rsidRPr="0073333C">
        <w:rPr>
          <w:rFonts w:ascii="Calibri" w:hAnsi="Calibri" w:cs="Calibri"/>
          <w:color w:val="202122"/>
          <w:shd w:val="clear" w:color="auto" w:fill="FFFFFF"/>
        </w:rPr>
        <w:t> avait pour origine une forte hausse du prix des </w:t>
      </w:r>
      <w:hyperlink r:id="rId78" w:tooltip="Nourriture" w:history="1">
        <w:r w:rsidRPr="0073333C">
          <w:rPr>
            <w:rStyle w:val="Lienhypertexte"/>
            <w:rFonts w:ascii="Calibri" w:hAnsi="Calibri" w:cs="Calibri"/>
            <w:color w:val="0645AD"/>
            <w:shd w:val="clear" w:color="auto" w:fill="FFFFFF"/>
          </w:rPr>
          <w:t>denrées alimentaires</w:t>
        </w:r>
      </w:hyperlink>
      <w:r w:rsidRPr="0073333C">
        <w:rPr>
          <w:rFonts w:ascii="Calibri" w:hAnsi="Calibri" w:cs="Calibri"/>
          <w:color w:val="202122"/>
          <w:shd w:val="clear" w:color="auto" w:fill="FFFFFF"/>
        </w:rPr>
        <w:t> de base, plongeant dans un état de crise quelques-unes des régions les plus pauvres du monde et causant une instabilité </w:t>
      </w:r>
      <w:hyperlink r:id="rId79" w:tooltip="Politique" w:history="1">
        <w:r w:rsidRPr="0073333C">
          <w:rPr>
            <w:rStyle w:val="Lienhypertexte"/>
            <w:rFonts w:ascii="Calibri" w:hAnsi="Calibri" w:cs="Calibri"/>
            <w:color w:val="0645AD"/>
            <w:shd w:val="clear" w:color="auto" w:fill="FFFFFF"/>
          </w:rPr>
          <w:t>politique</w:t>
        </w:r>
      </w:hyperlink>
      <w:r w:rsidRPr="0073333C">
        <w:rPr>
          <w:rFonts w:ascii="Calibri" w:hAnsi="Calibri" w:cs="Calibri"/>
          <w:color w:val="202122"/>
          <w:shd w:val="clear" w:color="auto" w:fill="FFFFFF"/>
        </w:rPr>
        <w:t> et des </w:t>
      </w:r>
      <w:hyperlink r:id="rId80" w:tooltip="Émeute" w:history="1">
        <w:r w:rsidRPr="0073333C">
          <w:rPr>
            <w:rStyle w:val="Lienhypertexte"/>
            <w:rFonts w:ascii="Calibri" w:hAnsi="Calibri" w:cs="Calibri"/>
            <w:color w:val="0645AD"/>
            <w:shd w:val="clear" w:color="auto" w:fill="FFFFFF"/>
          </w:rPr>
          <w:t>émeutes</w:t>
        </w:r>
      </w:hyperlink>
      <w:r w:rsidRPr="0073333C">
        <w:rPr>
          <w:rFonts w:ascii="Calibri" w:hAnsi="Calibri" w:cs="Calibri"/>
          <w:color w:val="202122"/>
          <w:shd w:val="clear" w:color="auto" w:fill="FFFFFF"/>
        </w:rPr>
        <w:t> dans plusieurs pays.</w:t>
      </w:r>
      <w:r>
        <w:rPr>
          <w:rFonts w:ascii="Calibri" w:hAnsi="Calibri" w:cs="Calibri"/>
          <w:color w:val="202122"/>
          <w:shd w:val="clear" w:color="auto" w:fill="FFFFFF"/>
        </w:rPr>
        <w:t xml:space="preserve"> </w:t>
      </w:r>
      <w:r w:rsidRPr="0073333C">
        <w:rPr>
          <w:rFonts w:ascii="Calibri" w:hAnsi="Calibri" w:cs="Calibri"/>
          <w:color w:val="202122"/>
          <w:shd w:val="clear" w:color="auto" w:fill="FFFFFF"/>
        </w:rPr>
        <w:t>Selon le FAO, 37 pays avaient été menacés de famine, en 2007-2008</w:t>
      </w:r>
      <w:r>
        <w:rPr>
          <w:rStyle w:val="Appelnotedebasdep"/>
          <w:rFonts w:ascii="Calibri" w:hAnsi="Calibri" w:cs="Calibri"/>
          <w:color w:val="202122"/>
          <w:shd w:val="clear" w:color="auto" w:fill="FFFFFF"/>
        </w:rPr>
        <w:footnoteReference w:id="50"/>
      </w:r>
      <w:r w:rsidRPr="0073333C">
        <w:rPr>
          <w:rFonts w:ascii="Calibri" w:hAnsi="Calibri" w:cs="Calibri"/>
          <w:color w:val="202122"/>
          <w:shd w:val="clear" w:color="auto" w:fill="FFFFFF"/>
        </w:rPr>
        <w:t>.</w:t>
      </w:r>
      <w:r w:rsidR="006477B9">
        <w:rPr>
          <w:rFonts w:ascii="Calibri" w:hAnsi="Calibri" w:cs="Calibri"/>
          <w:color w:val="202122"/>
          <w:shd w:val="clear" w:color="auto" w:fill="FFFFFF"/>
        </w:rPr>
        <w:t xml:space="preserve"> </w:t>
      </w:r>
      <w:r w:rsidR="006477B9" w:rsidRPr="006477B9">
        <w:rPr>
          <w:rFonts w:ascii="Calibri" w:hAnsi="Calibri" w:cs="Calibri"/>
          <w:color w:val="202122"/>
          <w:shd w:val="clear" w:color="auto" w:fill="FFFFFF"/>
        </w:rPr>
        <w:t xml:space="preserve">Selon </w:t>
      </w:r>
      <w:hyperlink r:id="rId81" w:tooltip="Josette Sheeran" w:history="1">
        <w:r w:rsidR="006477B9" w:rsidRPr="006477B9">
          <w:rPr>
            <w:rStyle w:val="Lienhypertexte"/>
            <w:rFonts w:ascii="Calibri" w:hAnsi="Calibri" w:cs="Calibri"/>
            <w:color w:val="0645AD"/>
            <w:shd w:val="clear" w:color="auto" w:fill="FFFFFF"/>
          </w:rPr>
          <w:t>Josette Sheeran</w:t>
        </w:r>
      </w:hyperlink>
      <w:r w:rsidR="006477B9" w:rsidRPr="006477B9">
        <w:rPr>
          <w:rFonts w:ascii="Calibri" w:hAnsi="Calibri" w:cs="Calibri"/>
          <w:color w:val="202122"/>
          <w:shd w:val="clear" w:color="auto" w:fill="FFFFFF"/>
        </w:rPr>
        <w:t>, directrice du </w:t>
      </w:r>
      <w:hyperlink r:id="rId82" w:tooltip="Programme alimentaire mondial" w:history="1">
        <w:r w:rsidR="006477B9" w:rsidRPr="006477B9">
          <w:rPr>
            <w:rStyle w:val="Lienhypertexte"/>
            <w:rFonts w:ascii="Calibri" w:hAnsi="Calibri" w:cs="Calibri"/>
            <w:color w:val="0645AD"/>
            <w:shd w:val="clear" w:color="auto" w:fill="FFFFFF"/>
          </w:rPr>
          <w:t>Programme alimentaire mondial</w:t>
        </w:r>
      </w:hyperlink>
      <w:r w:rsidR="006477B9" w:rsidRPr="006477B9">
        <w:rPr>
          <w:rFonts w:ascii="Calibri" w:hAnsi="Calibri" w:cs="Calibri"/>
        </w:rPr>
        <w:t xml:space="preserve">, </w:t>
      </w:r>
      <w:r w:rsidR="006477B9" w:rsidRPr="004E5E2B">
        <w:rPr>
          <w:rFonts w:ascii="Calibri" w:hAnsi="Calibri" w:cs="Calibri"/>
          <w:color w:val="000000" w:themeColor="text1"/>
        </w:rPr>
        <w:t>concernant les causes de cette crise</w:t>
      </w:r>
      <w:r w:rsidR="006477B9" w:rsidRPr="004E5E2B">
        <w:rPr>
          <w:rFonts w:ascii="Calibri" w:hAnsi="Calibri" w:cs="Calibri"/>
          <w:color w:val="000000" w:themeColor="text1"/>
          <w:shd w:val="clear" w:color="auto" w:fill="FFFFFF"/>
        </w:rPr>
        <w:t> : « </w:t>
      </w:r>
      <w:r w:rsidR="006477B9" w:rsidRPr="004E5E2B">
        <w:rPr>
          <w:rFonts w:ascii="Calibri" w:hAnsi="Calibri" w:cs="Calibri"/>
          <w:i/>
          <w:iCs/>
          <w:color w:val="000000" w:themeColor="text1"/>
          <w:shd w:val="clear" w:color="auto" w:fill="FFFFFF"/>
        </w:rPr>
        <w:t>Je pense que tout a commencé il y a trois ou quatre ans, lorsque la consommation de certains produits agricoles de base a dépassé la production à l'échelle mondiale. La sécheresse dans des pays comme l'Australie n'a rien arrangé (la production de céréale a été divisée par deux). Les stocks alimentaires ont commencé à baisser, et pas simplement dans les pays riches. Ça a été la même chose en Éthiopie par exemple. Est venue s'ajouter la hausse des cours du pétrole. À 80 dollars le baril de brut, il devenait intéressant, d'un point de vue économique, de fabriquer des carburants à partir de denrées agricoles</w:t>
      </w:r>
      <w:r w:rsidR="006477B9" w:rsidRPr="004E5E2B">
        <w:rPr>
          <w:rFonts w:ascii="Calibri" w:hAnsi="Calibri" w:cs="Calibri"/>
          <w:color w:val="000000" w:themeColor="text1"/>
          <w:shd w:val="clear" w:color="auto" w:fill="FFFFFF"/>
        </w:rPr>
        <w:t> »</w:t>
      </w:r>
      <w:r w:rsidR="004E5E2B" w:rsidRPr="004E5E2B">
        <w:rPr>
          <w:rFonts w:ascii="Calibri" w:hAnsi="Calibri" w:cs="Calibri"/>
          <w:color w:val="000000" w:themeColor="text1"/>
        </w:rPr>
        <w:t>.</w:t>
      </w:r>
      <w:r w:rsidR="004E5E2B">
        <w:rPr>
          <w:rFonts w:ascii="Calibri" w:hAnsi="Calibri" w:cs="Calibri"/>
          <w:color w:val="000000" w:themeColor="text1"/>
        </w:rPr>
        <w:t xml:space="preserve"> D’autres facteurs avaient été identifiés :</w:t>
      </w:r>
    </w:p>
    <w:p w14:paraId="077B257F" w14:textId="59299D4B" w:rsidR="0065707A" w:rsidRDefault="0065707A" w:rsidP="0065707A">
      <w:pPr>
        <w:spacing w:after="0" w:line="240" w:lineRule="auto"/>
        <w:jc w:val="both"/>
        <w:rPr>
          <w:rFonts w:ascii="Calibri" w:hAnsi="Calibri" w:cs="Calibri"/>
        </w:rPr>
      </w:pPr>
    </w:p>
    <w:p w14:paraId="590E4853" w14:textId="44C33796" w:rsidR="004E5E2B" w:rsidRPr="004E5E2B" w:rsidRDefault="004E5E2B" w:rsidP="006E2DC4">
      <w:pPr>
        <w:pStyle w:val="Paragraphedeliste"/>
        <w:numPr>
          <w:ilvl w:val="0"/>
          <w:numId w:val="38"/>
        </w:numPr>
        <w:spacing w:after="0" w:line="240" w:lineRule="auto"/>
        <w:ind w:left="426"/>
        <w:jc w:val="both"/>
        <w:rPr>
          <w:rFonts w:ascii="Calibri" w:hAnsi="Calibri" w:cs="Calibri"/>
          <w:color w:val="000000" w:themeColor="text1"/>
        </w:rPr>
      </w:pPr>
      <w:r w:rsidRPr="004E5E2B">
        <w:rPr>
          <w:rFonts w:ascii="Calibri" w:hAnsi="Calibri" w:cs="Calibri"/>
        </w:rPr>
        <w:t>La consommation croissante de viande et de laitages, en Chine notamment</w:t>
      </w:r>
      <w:r>
        <w:rPr>
          <w:rFonts w:ascii="Calibri" w:hAnsi="Calibri" w:cs="Calibri"/>
        </w:rPr>
        <w:t xml:space="preserve">, </w:t>
      </w:r>
      <w:r w:rsidRPr="004E5E2B">
        <w:rPr>
          <w:rFonts w:ascii="Calibri" w:hAnsi="Calibri" w:cs="Calibri"/>
          <w:color w:val="000000" w:themeColor="text1"/>
        </w:rPr>
        <w:t>ayant</w:t>
      </w:r>
      <w:r w:rsidRPr="004E5E2B">
        <w:rPr>
          <w:rFonts w:ascii="Arial" w:hAnsi="Arial" w:cs="Arial"/>
          <w:color w:val="000000" w:themeColor="text1"/>
          <w:sz w:val="21"/>
          <w:szCs w:val="21"/>
          <w:shd w:val="clear" w:color="auto" w:fill="FFFFFF"/>
        </w:rPr>
        <w:t xml:space="preserve"> </w:t>
      </w:r>
      <w:r w:rsidRPr="004E5E2B">
        <w:rPr>
          <w:rFonts w:ascii="Calibri" w:hAnsi="Calibri" w:cs="Calibri"/>
          <w:color w:val="000000" w:themeColor="text1"/>
          <w:shd w:val="clear" w:color="auto" w:fill="FFFFFF"/>
        </w:rPr>
        <w:t xml:space="preserve">provoqué un détournement des zones cultivées au profit de </w:t>
      </w:r>
      <w:r w:rsidRPr="004E5E2B">
        <w:rPr>
          <w:rFonts w:ascii="Calibri" w:hAnsi="Calibri" w:cs="Calibri"/>
          <w:color w:val="202122"/>
          <w:shd w:val="clear" w:color="auto" w:fill="FFFFFF"/>
        </w:rPr>
        <w:t>l'</w:t>
      </w:r>
      <w:hyperlink r:id="rId83" w:tooltip="Élevage" w:history="1">
        <w:r w:rsidRPr="004E5E2B">
          <w:rPr>
            <w:rStyle w:val="Lienhypertexte"/>
            <w:rFonts w:ascii="Calibri" w:hAnsi="Calibri" w:cs="Calibri"/>
            <w:color w:val="0645AD"/>
            <w:shd w:val="clear" w:color="auto" w:fill="FFFFFF"/>
          </w:rPr>
          <w:t>élevage</w:t>
        </w:r>
      </w:hyperlink>
      <w:r w:rsidRPr="004E5E2B">
        <w:rPr>
          <w:rFonts w:ascii="Calibri" w:hAnsi="Calibri" w:cs="Calibri"/>
          <w:color w:val="202122"/>
          <w:shd w:val="clear" w:color="auto" w:fill="FFFFFF"/>
        </w:rPr>
        <w:t xml:space="preserve">, </w:t>
      </w:r>
      <w:r w:rsidRPr="004E5E2B">
        <w:rPr>
          <w:rFonts w:ascii="Calibri" w:hAnsi="Calibri" w:cs="Calibri"/>
          <w:color w:val="000000" w:themeColor="text1"/>
          <w:shd w:val="clear" w:color="auto" w:fill="FFFFFF"/>
        </w:rPr>
        <w:t>plus lucratif, et au détriment des cultures des aliments de base traditionnels.</w:t>
      </w:r>
    </w:p>
    <w:p w14:paraId="13F98720" w14:textId="74521037" w:rsidR="004E5E2B" w:rsidRPr="004E5E2B" w:rsidRDefault="004E5E2B" w:rsidP="006E2DC4">
      <w:pPr>
        <w:pStyle w:val="Paragraphedeliste"/>
        <w:numPr>
          <w:ilvl w:val="0"/>
          <w:numId w:val="38"/>
        </w:numPr>
        <w:spacing w:after="0" w:line="240" w:lineRule="auto"/>
        <w:ind w:left="426"/>
        <w:jc w:val="both"/>
        <w:rPr>
          <w:rFonts w:ascii="Calibri" w:hAnsi="Calibri" w:cs="Calibri"/>
        </w:rPr>
      </w:pPr>
      <w:r w:rsidRPr="004E5E2B">
        <w:rPr>
          <w:rFonts w:ascii="Calibri" w:hAnsi="Calibri" w:cs="Calibri"/>
        </w:rPr>
        <w:t xml:space="preserve">La destruction, la dégradation et le recul des sols arables : dans les années 2005-2008, la Chine a perdu </w:t>
      </w:r>
      <w:r>
        <w:rPr>
          <w:rFonts w:ascii="Calibri" w:hAnsi="Calibri" w:cs="Calibri"/>
        </w:rPr>
        <w:t>un</w:t>
      </w:r>
      <w:r w:rsidRPr="004E5E2B">
        <w:rPr>
          <w:rFonts w:ascii="Calibri" w:hAnsi="Calibri" w:cs="Calibri"/>
        </w:rPr>
        <w:t xml:space="preserve"> million d'ha de terres arables par an, utilisés pour construire les logements qui accueillent les paysans de l'exode rural.</w:t>
      </w:r>
    </w:p>
    <w:p w14:paraId="2C841932" w14:textId="087346D2" w:rsidR="004E5E2B" w:rsidRDefault="004E5E2B" w:rsidP="006E2DC4">
      <w:pPr>
        <w:pStyle w:val="Paragraphedeliste"/>
        <w:numPr>
          <w:ilvl w:val="0"/>
          <w:numId w:val="38"/>
        </w:numPr>
        <w:spacing w:after="0" w:line="240" w:lineRule="auto"/>
        <w:ind w:left="426"/>
        <w:jc w:val="both"/>
        <w:rPr>
          <w:rFonts w:ascii="Calibri" w:hAnsi="Calibri" w:cs="Calibri"/>
        </w:rPr>
      </w:pPr>
      <w:r w:rsidRPr="004E5E2B">
        <w:rPr>
          <w:rFonts w:ascii="Calibri" w:hAnsi="Calibri" w:cs="Calibri"/>
        </w:rPr>
        <w:t xml:space="preserve">Des </w:t>
      </w:r>
      <w:r>
        <w:rPr>
          <w:rFonts w:ascii="Calibri" w:hAnsi="Calibri" w:cs="Calibri"/>
        </w:rPr>
        <w:t>p</w:t>
      </w:r>
      <w:r w:rsidRPr="004E5E2B">
        <w:rPr>
          <w:rFonts w:ascii="Calibri" w:hAnsi="Calibri" w:cs="Calibri"/>
        </w:rPr>
        <w:t>hénomènes climatiques, en 2007, causant de mauvaises récoltes</w:t>
      </w:r>
      <w:r>
        <w:rPr>
          <w:rFonts w:ascii="Calibri" w:hAnsi="Calibri" w:cs="Calibri"/>
        </w:rPr>
        <w:t xml:space="preserve">, dans de nombreuses régions dans le monde, </w:t>
      </w:r>
      <w:r w:rsidRPr="004E5E2B">
        <w:rPr>
          <w:rFonts w:ascii="Calibri" w:hAnsi="Calibri" w:cs="Calibri"/>
          <w:color w:val="000000" w:themeColor="text1"/>
          <w:shd w:val="clear" w:color="auto" w:fill="FFFFFF"/>
        </w:rPr>
        <w:t xml:space="preserve">ainsi des sécheresses </w:t>
      </w:r>
      <w:r w:rsidRPr="004E5E2B">
        <w:rPr>
          <w:rFonts w:ascii="Calibri" w:hAnsi="Calibri" w:cs="Calibri"/>
          <w:color w:val="202122"/>
          <w:shd w:val="clear" w:color="auto" w:fill="FFFFFF"/>
        </w:rPr>
        <w:t>(</w:t>
      </w:r>
      <w:hyperlink r:id="rId84" w:tooltip="Roumanie" w:history="1">
        <w:r w:rsidRPr="004E5E2B">
          <w:rPr>
            <w:rStyle w:val="Lienhypertexte"/>
            <w:rFonts w:ascii="Calibri" w:hAnsi="Calibri" w:cs="Calibri"/>
            <w:color w:val="0645AD"/>
            <w:shd w:val="clear" w:color="auto" w:fill="FFFFFF"/>
          </w:rPr>
          <w:t>Roumanie</w:t>
        </w:r>
      </w:hyperlink>
      <w:r w:rsidRPr="004E5E2B">
        <w:rPr>
          <w:rFonts w:ascii="Calibri" w:hAnsi="Calibri" w:cs="Calibri"/>
          <w:color w:val="202122"/>
          <w:shd w:val="clear" w:color="auto" w:fill="FFFFFF"/>
        </w:rPr>
        <w:t>, </w:t>
      </w:r>
      <w:hyperlink r:id="rId85" w:tooltip="Lesotho" w:history="1">
        <w:r w:rsidRPr="004E5E2B">
          <w:rPr>
            <w:rStyle w:val="Lienhypertexte"/>
            <w:rFonts w:ascii="Calibri" w:hAnsi="Calibri" w:cs="Calibri"/>
            <w:color w:val="0645AD"/>
            <w:shd w:val="clear" w:color="auto" w:fill="FFFFFF"/>
          </w:rPr>
          <w:t>Lesotho</w:t>
        </w:r>
      </w:hyperlink>
      <w:r w:rsidRPr="004E5E2B">
        <w:rPr>
          <w:rFonts w:ascii="Calibri" w:hAnsi="Calibri" w:cs="Calibri"/>
          <w:color w:val="202122"/>
          <w:shd w:val="clear" w:color="auto" w:fill="FFFFFF"/>
        </w:rPr>
        <w:t>, </w:t>
      </w:r>
      <w:hyperlink r:id="rId86" w:tooltip="Somalie" w:history="1">
        <w:r w:rsidRPr="004E5E2B">
          <w:rPr>
            <w:rStyle w:val="Lienhypertexte"/>
            <w:rFonts w:ascii="Calibri" w:hAnsi="Calibri" w:cs="Calibri"/>
            <w:color w:val="0645AD"/>
            <w:shd w:val="clear" w:color="auto" w:fill="FFFFFF"/>
          </w:rPr>
          <w:t>Somalie</w:t>
        </w:r>
      </w:hyperlink>
      <w:r w:rsidRPr="004E5E2B">
        <w:rPr>
          <w:rFonts w:ascii="Calibri" w:hAnsi="Calibri" w:cs="Calibri"/>
          <w:color w:val="202122"/>
          <w:shd w:val="clear" w:color="auto" w:fill="FFFFFF"/>
        </w:rPr>
        <w:t>, </w:t>
      </w:r>
      <w:hyperlink r:id="rId87" w:tooltip="Ghana" w:history="1">
        <w:r w:rsidRPr="004E5E2B">
          <w:rPr>
            <w:rStyle w:val="Lienhypertexte"/>
            <w:rFonts w:ascii="Calibri" w:hAnsi="Calibri" w:cs="Calibri"/>
            <w:color w:val="0645AD"/>
            <w:shd w:val="clear" w:color="auto" w:fill="FFFFFF"/>
          </w:rPr>
          <w:t>Ghana</w:t>
        </w:r>
      </w:hyperlink>
      <w:r w:rsidRPr="004E5E2B">
        <w:rPr>
          <w:rFonts w:ascii="Calibri" w:hAnsi="Calibri" w:cs="Calibri"/>
          <w:color w:val="202122"/>
          <w:shd w:val="clear" w:color="auto" w:fill="FFFFFF"/>
        </w:rPr>
        <w:t xml:space="preserve">), </w:t>
      </w:r>
      <w:r w:rsidRPr="004E5E2B">
        <w:rPr>
          <w:rFonts w:ascii="Calibri" w:hAnsi="Calibri" w:cs="Calibri"/>
          <w:color w:val="000000" w:themeColor="text1"/>
          <w:shd w:val="clear" w:color="auto" w:fill="FFFFFF"/>
        </w:rPr>
        <w:t xml:space="preserve">des inondations </w:t>
      </w:r>
      <w:r w:rsidRPr="004E5E2B">
        <w:rPr>
          <w:rFonts w:ascii="Calibri" w:hAnsi="Calibri" w:cs="Calibri"/>
          <w:color w:val="202122"/>
          <w:shd w:val="clear" w:color="auto" w:fill="FFFFFF"/>
        </w:rPr>
        <w:t>(</w:t>
      </w:r>
      <w:hyperlink r:id="rId88" w:tooltip="Équateur (pays)" w:history="1">
        <w:r w:rsidRPr="004E5E2B">
          <w:rPr>
            <w:rStyle w:val="Lienhypertexte"/>
            <w:rFonts w:ascii="Calibri" w:hAnsi="Calibri" w:cs="Calibri"/>
            <w:color w:val="0645AD"/>
            <w:shd w:val="clear" w:color="auto" w:fill="FFFFFF"/>
          </w:rPr>
          <w:t>Équateur</w:t>
        </w:r>
      </w:hyperlink>
      <w:r w:rsidRPr="004E5E2B">
        <w:rPr>
          <w:rFonts w:ascii="Calibri" w:hAnsi="Calibri" w:cs="Calibri"/>
          <w:color w:val="202122"/>
          <w:shd w:val="clear" w:color="auto" w:fill="FFFFFF"/>
        </w:rPr>
        <w:t>, </w:t>
      </w:r>
      <w:hyperlink r:id="rId89" w:tooltip="Bolivie" w:history="1">
        <w:r w:rsidRPr="004E5E2B">
          <w:rPr>
            <w:rStyle w:val="Lienhypertexte"/>
            <w:rFonts w:ascii="Calibri" w:hAnsi="Calibri" w:cs="Calibri"/>
            <w:color w:val="0645AD"/>
            <w:shd w:val="clear" w:color="auto" w:fill="FFFFFF"/>
          </w:rPr>
          <w:t>Bolivie</w:t>
        </w:r>
      </w:hyperlink>
      <w:r w:rsidRPr="004E5E2B">
        <w:rPr>
          <w:rFonts w:ascii="Calibri" w:hAnsi="Calibri" w:cs="Calibri"/>
          <w:color w:val="202122"/>
          <w:shd w:val="clear" w:color="auto" w:fill="FFFFFF"/>
        </w:rPr>
        <w:t>, </w:t>
      </w:r>
      <w:hyperlink r:id="rId90" w:tooltip="Sri Lanka" w:history="1">
        <w:r w:rsidRPr="004E5E2B">
          <w:rPr>
            <w:rStyle w:val="Lienhypertexte"/>
            <w:rFonts w:ascii="Calibri" w:hAnsi="Calibri" w:cs="Calibri"/>
            <w:color w:val="0645AD"/>
            <w:shd w:val="clear" w:color="auto" w:fill="FFFFFF"/>
          </w:rPr>
          <w:t>Sri Lanka</w:t>
        </w:r>
      </w:hyperlink>
      <w:r w:rsidRPr="004E5E2B">
        <w:rPr>
          <w:rFonts w:ascii="Calibri" w:hAnsi="Calibri" w:cs="Calibri"/>
          <w:color w:val="202122"/>
          <w:shd w:val="clear" w:color="auto" w:fill="FFFFFF"/>
        </w:rPr>
        <w:t xml:space="preserve">) </w:t>
      </w:r>
      <w:r w:rsidRPr="004E5E2B">
        <w:rPr>
          <w:rFonts w:ascii="Calibri" w:hAnsi="Calibri" w:cs="Calibri"/>
          <w:color w:val="000000" w:themeColor="text1"/>
          <w:shd w:val="clear" w:color="auto" w:fill="FFFFFF"/>
        </w:rPr>
        <w:t>ou un hiver particulièrement rude (sud de la </w:t>
      </w:r>
      <w:hyperlink r:id="rId91" w:tooltip="Chine continentale" w:history="1">
        <w:r w:rsidRPr="004E5E2B">
          <w:rPr>
            <w:rStyle w:val="Lienhypertexte"/>
            <w:rFonts w:ascii="Calibri" w:hAnsi="Calibri" w:cs="Calibri"/>
            <w:color w:val="0645AD"/>
            <w:shd w:val="clear" w:color="auto" w:fill="FFFFFF"/>
          </w:rPr>
          <w:t>Chine</w:t>
        </w:r>
      </w:hyperlink>
      <w:r w:rsidRPr="004E5E2B">
        <w:rPr>
          <w:rFonts w:ascii="Calibri" w:hAnsi="Calibri" w:cs="Calibri"/>
          <w:color w:val="202122"/>
          <w:shd w:val="clear" w:color="auto" w:fill="FFFFFF"/>
        </w:rPr>
        <w:t>, </w:t>
      </w:r>
      <w:hyperlink r:id="rId92" w:tooltip="Argentine" w:history="1">
        <w:r w:rsidRPr="004E5E2B">
          <w:rPr>
            <w:rStyle w:val="Lienhypertexte"/>
            <w:rFonts w:ascii="Calibri" w:hAnsi="Calibri" w:cs="Calibri"/>
            <w:color w:val="0645AD"/>
            <w:shd w:val="clear" w:color="auto" w:fill="FFFFFF"/>
          </w:rPr>
          <w:t>Argentine</w:t>
        </w:r>
      </w:hyperlink>
      <w:r w:rsidRPr="004E5E2B">
        <w:rPr>
          <w:rFonts w:ascii="Calibri" w:hAnsi="Calibri" w:cs="Calibri"/>
          <w:color w:val="202122"/>
          <w:shd w:val="clear" w:color="auto" w:fill="FFFFFF"/>
        </w:rPr>
        <w:t>)</w:t>
      </w:r>
      <w:r>
        <w:rPr>
          <w:rFonts w:ascii="Calibri" w:hAnsi="Calibri" w:cs="Calibri"/>
        </w:rPr>
        <w:t xml:space="preserve">. </w:t>
      </w:r>
    </w:p>
    <w:p w14:paraId="64E28B83" w14:textId="5A2E36F1" w:rsidR="004E5E2B" w:rsidRDefault="004E5E2B" w:rsidP="006E2DC4">
      <w:pPr>
        <w:pStyle w:val="Paragraphedeliste"/>
        <w:numPr>
          <w:ilvl w:val="0"/>
          <w:numId w:val="38"/>
        </w:numPr>
        <w:spacing w:after="0" w:line="240" w:lineRule="auto"/>
        <w:ind w:left="426"/>
        <w:jc w:val="both"/>
        <w:rPr>
          <w:rFonts w:ascii="Calibri" w:hAnsi="Calibri" w:cs="Calibri"/>
        </w:rPr>
      </w:pPr>
      <w:r w:rsidRPr="004E5E2B">
        <w:rPr>
          <w:rFonts w:ascii="Calibri" w:hAnsi="Calibri" w:cs="Calibri"/>
        </w:rPr>
        <w:t>Le quasi-quadruplement du prix du pétrole entre 2003 et 2008, de 30 $ à 146 $ le baril, augmentant</w:t>
      </w:r>
      <w:r w:rsidR="00D61CB3">
        <w:rPr>
          <w:rFonts w:ascii="Calibri" w:hAnsi="Calibri" w:cs="Calibri"/>
        </w:rPr>
        <w:t xml:space="preserve"> considérablement</w:t>
      </w:r>
      <w:r w:rsidRPr="004E5E2B">
        <w:rPr>
          <w:rFonts w:ascii="Calibri" w:hAnsi="Calibri" w:cs="Calibri"/>
        </w:rPr>
        <w:t xml:space="preserve"> le coût des fertilisants et des pesticides</w:t>
      </w:r>
      <w:r w:rsidR="00D61CB3">
        <w:rPr>
          <w:rFonts w:ascii="Calibri" w:hAnsi="Calibri" w:cs="Calibri"/>
        </w:rPr>
        <w:t xml:space="preserve"> (la production des intrants de l’agriculture industriels, reposant encore trop sur l’utilisation du pétrole)</w:t>
      </w:r>
      <w:r>
        <w:rPr>
          <w:rFonts w:ascii="Calibri" w:hAnsi="Calibri" w:cs="Calibri"/>
        </w:rPr>
        <w:t>.</w:t>
      </w:r>
    </w:p>
    <w:p w14:paraId="0D29FB41" w14:textId="37B7D457" w:rsidR="004E5E2B" w:rsidRPr="004E5E2B" w:rsidRDefault="004E5E2B" w:rsidP="006E2DC4">
      <w:pPr>
        <w:pStyle w:val="Paragraphedeliste"/>
        <w:numPr>
          <w:ilvl w:val="0"/>
          <w:numId w:val="38"/>
        </w:numPr>
        <w:spacing w:after="0" w:line="240" w:lineRule="auto"/>
        <w:ind w:left="426"/>
        <w:jc w:val="both"/>
        <w:rPr>
          <w:rFonts w:ascii="Calibri" w:hAnsi="Calibri" w:cs="Calibri"/>
        </w:rPr>
      </w:pPr>
      <w:r w:rsidRPr="004E5E2B">
        <w:rPr>
          <w:rFonts w:ascii="Calibri" w:hAnsi="Calibri" w:cs="Calibri"/>
        </w:rPr>
        <w:t>L'augmentation de la demande,</w:t>
      </w:r>
      <w:r>
        <w:rPr>
          <w:rFonts w:ascii="Calibri" w:hAnsi="Calibri" w:cs="Calibri"/>
        </w:rPr>
        <w:t xml:space="preserve"> </w:t>
      </w:r>
      <w:r w:rsidRPr="004E5E2B">
        <w:rPr>
          <w:rFonts w:ascii="Calibri" w:hAnsi="Calibri" w:cs="Calibri"/>
          <w:color w:val="000000" w:themeColor="text1"/>
          <w:shd w:val="clear" w:color="auto" w:fill="FFFFFF"/>
        </w:rPr>
        <w:t>en raison d'un </w:t>
      </w:r>
      <w:hyperlink r:id="rId93" w:tooltip="Régime alimentaire" w:history="1">
        <w:r w:rsidRPr="004E5E2B">
          <w:rPr>
            <w:rStyle w:val="Lienhypertexte"/>
            <w:rFonts w:ascii="Calibri" w:hAnsi="Calibri" w:cs="Calibri"/>
            <w:color w:val="0645AD"/>
            <w:shd w:val="clear" w:color="auto" w:fill="FFFFFF"/>
          </w:rPr>
          <w:t>régime alimentaire</w:t>
        </w:r>
      </w:hyperlink>
      <w:r w:rsidRPr="004E5E2B">
        <w:rPr>
          <w:rFonts w:ascii="Calibri" w:hAnsi="Calibri" w:cs="Calibri"/>
          <w:color w:val="202122"/>
          <w:shd w:val="clear" w:color="auto" w:fill="FFFFFF"/>
        </w:rPr>
        <w:t> </w:t>
      </w:r>
      <w:r w:rsidRPr="004E5E2B">
        <w:rPr>
          <w:rFonts w:ascii="Calibri" w:hAnsi="Calibri" w:cs="Calibri"/>
          <w:color w:val="000000" w:themeColor="text1"/>
          <w:shd w:val="clear" w:color="auto" w:fill="FFFFFF"/>
        </w:rPr>
        <w:t>plus riche</w:t>
      </w:r>
      <w:r w:rsidR="00D61CB3">
        <w:rPr>
          <w:rFonts w:ascii="Calibri" w:hAnsi="Calibri" w:cs="Calibri"/>
          <w:color w:val="000000" w:themeColor="text1"/>
          <w:shd w:val="clear" w:color="auto" w:fill="FFFFFF"/>
        </w:rPr>
        <w:t>,</w:t>
      </w:r>
      <w:r w:rsidRPr="004E5E2B">
        <w:rPr>
          <w:rFonts w:ascii="Calibri" w:hAnsi="Calibri" w:cs="Calibri"/>
          <w:color w:val="000000" w:themeColor="text1"/>
          <w:shd w:val="clear" w:color="auto" w:fill="FFFFFF"/>
        </w:rPr>
        <w:t xml:space="preserve"> dû à l'explosion des </w:t>
      </w:r>
      <w:hyperlink r:id="rId94" w:tooltip="Classes moyennes" w:history="1">
        <w:r w:rsidRPr="004E5E2B">
          <w:rPr>
            <w:rStyle w:val="Lienhypertexte"/>
            <w:rFonts w:ascii="Calibri" w:hAnsi="Calibri" w:cs="Calibri"/>
            <w:color w:val="0645AD"/>
            <w:shd w:val="clear" w:color="auto" w:fill="FFFFFF"/>
          </w:rPr>
          <w:t>classes moyennes</w:t>
        </w:r>
      </w:hyperlink>
      <w:r w:rsidRPr="004E5E2B">
        <w:rPr>
          <w:rFonts w:ascii="Calibri" w:hAnsi="Calibri" w:cs="Calibri"/>
          <w:color w:val="202122"/>
          <w:shd w:val="clear" w:color="auto" w:fill="FFFFFF"/>
        </w:rPr>
        <w:t xml:space="preserve">, </w:t>
      </w:r>
      <w:r w:rsidRPr="004E5E2B">
        <w:rPr>
          <w:rFonts w:ascii="Calibri" w:hAnsi="Calibri" w:cs="Calibri"/>
          <w:color w:val="000000" w:themeColor="text1"/>
          <w:shd w:val="clear" w:color="auto" w:fill="FFFFFF"/>
        </w:rPr>
        <w:t>en </w:t>
      </w:r>
      <w:hyperlink r:id="rId95" w:tooltip="Inde" w:history="1">
        <w:r w:rsidRPr="004E5E2B">
          <w:rPr>
            <w:rStyle w:val="Lienhypertexte"/>
            <w:rFonts w:ascii="Calibri" w:hAnsi="Calibri" w:cs="Calibri"/>
            <w:color w:val="0645AD"/>
            <w:shd w:val="clear" w:color="auto" w:fill="FFFFFF"/>
          </w:rPr>
          <w:t>Inde</w:t>
        </w:r>
      </w:hyperlink>
      <w:r w:rsidRPr="004E5E2B">
        <w:rPr>
          <w:rFonts w:ascii="Calibri" w:hAnsi="Calibri" w:cs="Calibri"/>
          <w:color w:val="202122"/>
          <w:shd w:val="clear" w:color="auto" w:fill="FFFFFF"/>
        </w:rPr>
        <w:t xml:space="preserve"> et </w:t>
      </w:r>
      <w:r w:rsidRPr="004E5E2B">
        <w:rPr>
          <w:rFonts w:ascii="Calibri" w:hAnsi="Calibri" w:cs="Calibri"/>
          <w:color w:val="000000" w:themeColor="text1"/>
          <w:shd w:val="clear" w:color="auto" w:fill="FFFFFF"/>
        </w:rPr>
        <w:t>en </w:t>
      </w:r>
      <w:hyperlink r:id="rId96" w:tooltip="République populaire de Chine" w:history="1">
        <w:r w:rsidRPr="004E5E2B">
          <w:rPr>
            <w:rStyle w:val="Lienhypertexte"/>
            <w:rFonts w:ascii="Calibri" w:hAnsi="Calibri" w:cs="Calibri"/>
            <w:color w:val="0645AD"/>
            <w:shd w:val="clear" w:color="auto" w:fill="FFFFFF"/>
          </w:rPr>
          <w:t>Chine</w:t>
        </w:r>
      </w:hyperlink>
      <w:r w:rsidRPr="004E5E2B">
        <w:rPr>
          <w:rFonts w:ascii="Calibri" w:hAnsi="Calibri" w:cs="Calibri"/>
          <w:color w:val="202122"/>
          <w:shd w:val="clear" w:color="auto" w:fill="FFFFFF"/>
        </w:rPr>
        <w:t> </w:t>
      </w:r>
      <w:r w:rsidRPr="004E5E2B">
        <w:rPr>
          <w:rFonts w:ascii="Calibri" w:hAnsi="Calibri" w:cs="Calibri"/>
          <w:color w:val="000000" w:themeColor="text1"/>
          <w:shd w:val="clear" w:color="auto" w:fill="FFFFFF"/>
        </w:rPr>
        <w:t>entre autres ; qui est venu s'ajouter à la hausse de la </w:t>
      </w:r>
      <w:hyperlink r:id="rId97" w:tooltip="Population mondiale" w:history="1">
        <w:r w:rsidRPr="004E5E2B">
          <w:rPr>
            <w:rStyle w:val="Lienhypertexte"/>
            <w:rFonts w:ascii="Calibri" w:hAnsi="Calibri" w:cs="Calibri"/>
            <w:color w:val="0645AD"/>
            <w:shd w:val="clear" w:color="auto" w:fill="FFFFFF"/>
          </w:rPr>
          <w:t>population mondiale</w:t>
        </w:r>
      </w:hyperlink>
      <w:r w:rsidRPr="004E5E2B">
        <w:rPr>
          <w:rFonts w:ascii="Calibri" w:hAnsi="Calibri" w:cs="Calibri"/>
          <w:color w:val="202122"/>
          <w:shd w:val="clear" w:color="auto" w:fill="FFFFFF"/>
        </w:rPr>
        <w:t> </w:t>
      </w:r>
      <w:r w:rsidRPr="004E5E2B">
        <w:rPr>
          <w:rFonts w:ascii="Calibri" w:hAnsi="Calibri" w:cs="Calibri"/>
          <w:color w:val="000000" w:themeColor="text1"/>
          <w:shd w:val="clear" w:color="auto" w:fill="FFFFFF"/>
        </w:rPr>
        <w:t>d'environ 1,2 % par an.</w:t>
      </w:r>
    </w:p>
    <w:p w14:paraId="09A1A6A3" w14:textId="09ABB29D" w:rsidR="004E5E2B" w:rsidRDefault="004E5E2B" w:rsidP="0065707A">
      <w:pPr>
        <w:spacing w:after="0" w:line="240" w:lineRule="auto"/>
        <w:jc w:val="both"/>
        <w:rPr>
          <w:rFonts w:ascii="Calibri" w:hAnsi="Calibri" w:cs="Calibri"/>
        </w:rPr>
      </w:pPr>
    </w:p>
    <w:p w14:paraId="1AEFE63D" w14:textId="6D9E4B32" w:rsidR="004E5E2B" w:rsidRDefault="004E5E2B" w:rsidP="0065707A">
      <w:pPr>
        <w:spacing w:after="0" w:line="240" w:lineRule="auto"/>
        <w:jc w:val="both"/>
        <w:rPr>
          <w:rFonts w:ascii="Calibri" w:hAnsi="Calibri" w:cs="Calibri"/>
        </w:rPr>
      </w:pPr>
      <w:r>
        <w:rPr>
          <w:rFonts w:ascii="Calibri" w:hAnsi="Calibri" w:cs="Calibri"/>
        </w:rPr>
        <w:t>Or en 2021, nous observons le</w:t>
      </w:r>
      <w:r w:rsidR="005F215E">
        <w:rPr>
          <w:rFonts w:ascii="Calibri" w:hAnsi="Calibri" w:cs="Calibri"/>
        </w:rPr>
        <w:t>s</w:t>
      </w:r>
      <w:r>
        <w:rPr>
          <w:rFonts w:ascii="Calibri" w:hAnsi="Calibri" w:cs="Calibri"/>
        </w:rPr>
        <w:t xml:space="preserve"> même</w:t>
      </w:r>
      <w:r w:rsidR="005F215E">
        <w:rPr>
          <w:rFonts w:ascii="Calibri" w:hAnsi="Calibri" w:cs="Calibri"/>
        </w:rPr>
        <w:t>s</w:t>
      </w:r>
      <w:r>
        <w:rPr>
          <w:rFonts w:ascii="Calibri" w:hAnsi="Calibri" w:cs="Calibri"/>
        </w:rPr>
        <w:t xml:space="preserve"> phénomène</w:t>
      </w:r>
      <w:r w:rsidR="005F215E">
        <w:rPr>
          <w:rFonts w:ascii="Calibri" w:hAnsi="Calibri" w:cs="Calibri"/>
        </w:rPr>
        <w:t>s,</w:t>
      </w:r>
      <w:r w:rsidR="005B4A5E">
        <w:rPr>
          <w:rFonts w:ascii="Calibri" w:hAnsi="Calibri" w:cs="Calibri"/>
        </w:rPr>
        <w:t xml:space="preserve"> avec les</w:t>
      </w:r>
      <w:r w:rsidR="005F215E">
        <w:rPr>
          <w:rFonts w:ascii="Calibri" w:hAnsi="Calibri" w:cs="Calibri"/>
        </w:rPr>
        <w:t xml:space="preserve"> mêmes causes et probablement même effets</w:t>
      </w:r>
      <w:r w:rsidR="006D3924">
        <w:rPr>
          <w:rFonts w:ascii="Calibri" w:hAnsi="Calibri" w:cs="Calibri"/>
        </w:rPr>
        <w:t>, à venir</w:t>
      </w:r>
      <w:r>
        <w:rPr>
          <w:rFonts w:ascii="Calibri" w:hAnsi="Calibri" w:cs="Calibri"/>
        </w:rPr>
        <w:t> :</w:t>
      </w:r>
    </w:p>
    <w:p w14:paraId="0F7CD526" w14:textId="15E10FF1" w:rsidR="004E5E2B" w:rsidRDefault="004E5E2B" w:rsidP="0065707A">
      <w:pPr>
        <w:spacing w:after="0" w:line="240" w:lineRule="auto"/>
        <w:jc w:val="both"/>
        <w:rPr>
          <w:rFonts w:ascii="Calibri" w:hAnsi="Calibri" w:cs="Calibri"/>
        </w:rPr>
      </w:pPr>
    </w:p>
    <w:p w14:paraId="762D509D" w14:textId="7D080D09" w:rsidR="009B7F63" w:rsidRPr="005B4A5E" w:rsidRDefault="009B7F63" w:rsidP="0004289F">
      <w:pPr>
        <w:pStyle w:val="Paragraphedeliste"/>
        <w:numPr>
          <w:ilvl w:val="0"/>
          <w:numId w:val="39"/>
        </w:numPr>
        <w:spacing w:after="0" w:line="240" w:lineRule="auto"/>
        <w:ind w:left="426"/>
        <w:jc w:val="both"/>
        <w:rPr>
          <w:rFonts w:ascii="Calibri" w:hAnsi="Calibri" w:cs="Calibri"/>
        </w:rPr>
      </w:pPr>
      <w:r w:rsidRPr="005B4A5E">
        <w:rPr>
          <w:rFonts w:ascii="Calibri" w:hAnsi="Calibri" w:cs="Calibri"/>
        </w:rPr>
        <w:t xml:space="preserve">Phénomènes climatiques : </w:t>
      </w:r>
      <w:r w:rsidR="00B03C1E" w:rsidRPr="005B4A5E">
        <w:rPr>
          <w:rFonts w:ascii="Calibri" w:hAnsi="Calibri" w:cs="Calibri"/>
        </w:rPr>
        <w:t>« </w:t>
      </w:r>
      <w:r w:rsidR="00B03C1E" w:rsidRPr="005B4A5E">
        <w:rPr>
          <w:rFonts w:ascii="Calibri" w:hAnsi="Calibri" w:cs="Calibri"/>
          <w:i/>
          <w:iCs/>
        </w:rPr>
        <w:t>Le gel et la neige au Brésil ont dévasté les récoltes de canne à sucre. Les dômes de chaleur en Amérique du Nord ont grillé les champs de blé dur, que l'on utilise dans les pâtes, et ils ont ruiné les perspectives de récolte de colza, dont l'huile est très consommée en Amérique et en Asie. En Europe de l'Ouest, ce sont à l'inverse les pluies incessantes qui ont dégradé les quantités et la qualité des blés moissonnés. L'humidité était telle que des épis ont même germé sur pied ! En Russie, grenier à grain du monde, les conditions climatiques n'ont guère été plus favorables : selon les prévisions, la fédération ne devrait produire que 72,5 millions de tonnes de blé contre 85 millions l'an dernier</w:t>
      </w:r>
      <w:r w:rsidR="00B03C1E" w:rsidRPr="005B4A5E">
        <w:rPr>
          <w:rFonts w:ascii="Calibri" w:hAnsi="Calibri" w:cs="Calibri"/>
        </w:rPr>
        <w:t> ».</w:t>
      </w:r>
    </w:p>
    <w:p w14:paraId="38E9171E" w14:textId="5946CA26" w:rsidR="00B03C1E" w:rsidRPr="005B4A5E" w:rsidRDefault="00B03C1E" w:rsidP="0004289F">
      <w:pPr>
        <w:pStyle w:val="Paragraphedeliste"/>
        <w:numPr>
          <w:ilvl w:val="0"/>
          <w:numId w:val="39"/>
        </w:numPr>
        <w:spacing w:after="0" w:line="240" w:lineRule="auto"/>
        <w:ind w:left="426"/>
        <w:jc w:val="both"/>
        <w:rPr>
          <w:rFonts w:ascii="Calibri" w:hAnsi="Calibri" w:cs="Calibri"/>
        </w:rPr>
      </w:pPr>
      <w:r w:rsidRPr="005B4A5E">
        <w:rPr>
          <w:rFonts w:ascii="Calibri" w:hAnsi="Calibri" w:cs="Calibri"/>
        </w:rPr>
        <w:t xml:space="preserve">Achat massif de la Chine : </w:t>
      </w:r>
      <w:r w:rsidRPr="005B4A5E">
        <w:rPr>
          <w:rFonts w:ascii="Calibri" w:hAnsi="Calibri" w:cs="Calibri"/>
          <w:color w:val="212121"/>
          <w:shd w:val="clear" w:color="auto" w:fill="FFFFFF"/>
        </w:rPr>
        <w:t>« </w:t>
      </w:r>
      <w:r w:rsidRPr="005B4A5E">
        <w:rPr>
          <w:rFonts w:ascii="Calibri" w:hAnsi="Calibri" w:cs="Calibri"/>
          <w:i/>
          <w:iCs/>
          <w:color w:val="000000" w:themeColor="text1"/>
          <w:shd w:val="clear" w:color="auto" w:fill="FFFFFF"/>
        </w:rPr>
        <w:t>Les marchés se sont nettement tendus l'an dernier avec les </w:t>
      </w:r>
      <w:hyperlink r:id="rId98" w:history="1">
        <w:r w:rsidRPr="005B4A5E">
          <w:rPr>
            <w:rStyle w:val="Lienhypertexte"/>
            <w:rFonts w:ascii="Calibri" w:hAnsi="Calibri" w:cs="Calibri"/>
            <w:i/>
            <w:iCs/>
            <w:color w:val="2E9AB3"/>
            <w:shd w:val="clear" w:color="auto" w:fill="FFFFFF"/>
          </w:rPr>
          <w:t>achats massifs de la Chine</w:t>
        </w:r>
      </w:hyperlink>
      <w:r w:rsidRPr="005B4A5E">
        <w:rPr>
          <w:rFonts w:ascii="Calibri" w:hAnsi="Calibri" w:cs="Calibri"/>
          <w:i/>
          <w:iCs/>
        </w:rPr>
        <w:t xml:space="preserve"> […] [On doit] prendre en compte la hausse démographique, on se rapproche de la situation de 2007-2008, notamment pour le blé meunier ou pour le colza</w:t>
      </w:r>
      <w:r w:rsidRPr="005B4A5E">
        <w:rPr>
          <w:rFonts w:ascii="Calibri" w:hAnsi="Calibri" w:cs="Calibri"/>
          <w:color w:val="212121"/>
          <w:shd w:val="clear" w:color="auto" w:fill="FFFFFF"/>
        </w:rPr>
        <w:t xml:space="preserve"> », </w:t>
      </w:r>
      <w:r w:rsidRPr="005B4A5E">
        <w:rPr>
          <w:rFonts w:ascii="Calibri" w:hAnsi="Calibri" w:cs="Calibri"/>
          <w:color w:val="000000" w:themeColor="text1"/>
          <w:shd w:val="clear" w:color="auto" w:fill="FFFFFF"/>
        </w:rPr>
        <w:t>rappelle Sébastien Poncelet, directeur du développement chez Agritel</w:t>
      </w:r>
      <w:r>
        <w:rPr>
          <w:rStyle w:val="Appelnotedebasdep"/>
          <w:rFonts w:ascii="Calibri" w:hAnsi="Calibri" w:cs="Calibri"/>
          <w:color w:val="000000" w:themeColor="text1"/>
          <w:shd w:val="clear" w:color="auto" w:fill="FFFFFF"/>
        </w:rPr>
        <w:footnoteReference w:id="51"/>
      </w:r>
      <w:r w:rsidRPr="005B4A5E">
        <w:rPr>
          <w:rFonts w:ascii="Calibri" w:hAnsi="Calibri" w:cs="Calibri"/>
          <w:color w:val="000000" w:themeColor="text1"/>
        </w:rPr>
        <w:t>.</w:t>
      </w:r>
    </w:p>
    <w:p w14:paraId="5280EDC8" w14:textId="77777777" w:rsidR="00EC4279" w:rsidRDefault="00EC4279" w:rsidP="00EC4279">
      <w:pPr>
        <w:spacing w:after="0" w:line="240" w:lineRule="auto"/>
        <w:jc w:val="both"/>
        <w:rPr>
          <w:rFonts w:ascii="Calibri" w:hAnsi="Calibri" w:cs="Calibri"/>
        </w:rPr>
      </w:pPr>
    </w:p>
    <w:p w14:paraId="372EE068" w14:textId="77777777" w:rsidR="00EC4279" w:rsidRDefault="00EC4279" w:rsidP="00EC4279">
      <w:pPr>
        <w:pStyle w:val="Titre2"/>
        <w:numPr>
          <w:ilvl w:val="1"/>
          <w:numId w:val="114"/>
        </w:numPr>
      </w:pPr>
      <w:bookmarkStart w:id="20" w:name="_Toc139181312"/>
      <w:r>
        <w:t>Réflexes égoïstes et guerres de l’eau</w:t>
      </w:r>
      <w:bookmarkEnd w:id="20"/>
    </w:p>
    <w:p w14:paraId="1C63CBF4" w14:textId="77777777" w:rsidR="00EC4279" w:rsidRDefault="00EC4279" w:rsidP="00EC4279">
      <w:pPr>
        <w:spacing w:after="0" w:line="240" w:lineRule="auto"/>
        <w:jc w:val="both"/>
        <w:rPr>
          <w:rFonts w:ascii="Calibri" w:hAnsi="Calibri" w:cs="Calibri"/>
        </w:rPr>
      </w:pPr>
    </w:p>
    <w:p w14:paraId="3B93FEC5" w14:textId="4629562F" w:rsidR="00EC4279" w:rsidRDefault="00EC4279" w:rsidP="00EC4279">
      <w:pPr>
        <w:spacing w:after="0" w:line="240" w:lineRule="auto"/>
        <w:jc w:val="both"/>
        <w:rPr>
          <w:rFonts w:ascii="Calibri" w:hAnsi="Calibri" w:cs="Calibri"/>
        </w:rPr>
      </w:pPr>
      <w:r>
        <w:rPr>
          <w:rFonts w:ascii="Calibri" w:hAnsi="Calibri" w:cs="Calibri"/>
        </w:rPr>
        <w:t xml:space="preserve">Il y a aussi le risque de réflexes égoïstes de certains pays, avec le non-partage concernant leurs ressources en eau, qui pourraient conduire à des conflits, voire à des « guerres de l’eau » entre états </w:t>
      </w:r>
      <w:r w:rsidR="009D39A2">
        <w:rPr>
          <w:rFonts w:ascii="Calibri" w:hAnsi="Calibri" w:cs="Calibri"/>
        </w:rPr>
        <w:t xml:space="preserve">_ </w:t>
      </w:r>
      <w:r>
        <w:rPr>
          <w:rFonts w:ascii="Calibri" w:hAnsi="Calibri" w:cs="Calibri"/>
        </w:rPr>
        <w:t>entre a) Turquie, Syrie, Irak, pour l’eau de l’Euphrate, b) entre</w:t>
      </w:r>
      <w:r w:rsidR="00EB1ADF">
        <w:rPr>
          <w:rFonts w:ascii="Calibri" w:hAnsi="Calibri" w:cs="Calibri"/>
        </w:rPr>
        <w:t xml:space="preserve"> </w:t>
      </w:r>
      <w:r w:rsidR="00EB1ADF">
        <w:t>Égypte</w:t>
      </w:r>
      <w:r>
        <w:rPr>
          <w:rFonts w:ascii="Calibri" w:hAnsi="Calibri" w:cs="Calibri"/>
        </w:rPr>
        <w:t xml:space="preserve">, Soudan, Ethiopie, pour l’eau du Nil, c) entre Israël, Jordanie, pour l’eau du Jourdain, d) entre </w:t>
      </w:r>
      <w:hyperlink r:id="rId99" w:tooltip="Israël" w:history="1">
        <w:r w:rsidRPr="00673BCD">
          <w:rPr>
            <w:rStyle w:val="Lienhypertexte"/>
            <w:rFonts w:ascii="Calibri" w:hAnsi="Calibri" w:cs="Calibri"/>
            <w:color w:val="0645AD"/>
            <w:shd w:val="clear" w:color="auto" w:fill="FFFFFF"/>
          </w:rPr>
          <w:t>Israël</w:t>
        </w:r>
      </w:hyperlink>
      <w:r w:rsidRPr="00673BCD">
        <w:rPr>
          <w:rFonts w:ascii="Calibri" w:hAnsi="Calibri" w:cs="Calibri"/>
          <w:color w:val="202122"/>
          <w:shd w:val="clear" w:color="auto" w:fill="FFFFFF"/>
        </w:rPr>
        <w:t> </w:t>
      </w:r>
      <w:r w:rsidRPr="00673BCD">
        <w:rPr>
          <w:rFonts w:ascii="Calibri" w:hAnsi="Calibri" w:cs="Calibri"/>
          <w:shd w:val="clear" w:color="auto" w:fill="FFFFFF"/>
        </w:rPr>
        <w:t>et ses voisins, pour l'eau du </w:t>
      </w:r>
      <w:hyperlink r:id="rId100" w:tooltip="Plateau du Golan (géographie)" w:history="1">
        <w:r w:rsidRPr="00673BCD">
          <w:rPr>
            <w:rStyle w:val="Lienhypertexte"/>
            <w:rFonts w:ascii="Calibri" w:hAnsi="Calibri" w:cs="Calibri"/>
            <w:color w:val="0645AD"/>
            <w:shd w:val="clear" w:color="auto" w:fill="FFFFFF"/>
          </w:rPr>
          <w:t>Golan</w:t>
        </w:r>
      </w:hyperlink>
      <w:r w:rsidRPr="00673BCD">
        <w:rPr>
          <w:rFonts w:ascii="Calibri" w:hAnsi="Calibri" w:cs="Calibri"/>
          <w:color w:val="202122"/>
          <w:shd w:val="clear" w:color="auto" w:fill="FFFFFF"/>
        </w:rPr>
        <w:t> </w:t>
      </w:r>
      <w:r w:rsidRPr="00673BCD">
        <w:rPr>
          <w:rFonts w:ascii="Calibri" w:hAnsi="Calibri" w:cs="Calibri"/>
          <w:shd w:val="clear" w:color="auto" w:fill="FFFFFF"/>
        </w:rPr>
        <w:t xml:space="preserve">et </w:t>
      </w:r>
      <w:r w:rsidR="009D39A2">
        <w:rPr>
          <w:rFonts w:ascii="Calibri" w:hAnsi="Calibri" w:cs="Calibri"/>
          <w:shd w:val="clear" w:color="auto" w:fill="FFFFFF"/>
        </w:rPr>
        <w:t>l</w:t>
      </w:r>
      <w:r w:rsidRPr="00673BCD">
        <w:rPr>
          <w:rFonts w:ascii="Calibri" w:hAnsi="Calibri" w:cs="Calibri"/>
          <w:shd w:val="clear" w:color="auto" w:fill="FFFFFF"/>
        </w:rPr>
        <w:t>es nappes </w:t>
      </w:r>
      <w:hyperlink r:id="rId101" w:tooltip="Aquifère" w:history="1">
        <w:r w:rsidRPr="00673BCD">
          <w:rPr>
            <w:rStyle w:val="Lienhypertexte"/>
            <w:rFonts w:ascii="Calibri" w:hAnsi="Calibri" w:cs="Calibri"/>
            <w:color w:val="0645AD"/>
            <w:shd w:val="clear" w:color="auto" w:fill="FFFFFF"/>
          </w:rPr>
          <w:t>aquifères</w:t>
        </w:r>
      </w:hyperlink>
      <w:r w:rsidRPr="00673BCD">
        <w:rPr>
          <w:rFonts w:ascii="Calibri" w:hAnsi="Calibri" w:cs="Calibri"/>
          <w:color w:val="202122"/>
          <w:shd w:val="clear" w:color="auto" w:fill="FFFFFF"/>
        </w:rPr>
        <w:t> </w:t>
      </w:r>
      <w:r w:rsidRPr="00673BCD">
        <w:rPr>
          <w:rFonts w:ascii="Calibri" w:hAnsi="Calibri" w:cs="Calibri"/>
          <w:shd w:val="clear" w:color="auto" w:fill="FFFFFF"/>
        </w:rPr>
        <w:t>profonde</w:t>
      </w:r>
      <w:r w:rsidRPr="00673BCD">
        <w:rPr>
          <w:rFonts w:ascii="Calibri" w:hAnsi="Calibri" w:cs="Calibri"/>
        </w:rPr>
        <w:t>s</w:t>
      </w:r>
      <w:r>
        <w:rPr>
          <w:rFonts w:ascii="Calibri" w:hAnsi="Calibri" w:cs="Calibri"/>
        </w:rPr>
        <w:t>, e) entre le Chine et ses voisins, pour les eaux du Mékong</w:t>
      </w:r>
      <w:r w:rsidRPr="00673BCD">
        <w:rPr>
          <w:rFonts w:ascii="Calibri" w:hAnsi="Calibri" w:cs="Calibri"/>
        </w:rPr>
        <w:t xml:space="preserve"> </w:t>
      </w:r>
      <w:r>
        <w:rPr>
          <w:rFonts w:ascii="Calibri" w:hAnsi="Calibri" w:cs="Calibri"/>
        </w:rPr>
        <w:t>…</w:t>
      </w:r>
      <w:r w:rsidR="009D39A2">
        <w:rPr>
          <w:rFonts w:ascii="Calibri" w:hAnsi="Calibri" w:cs="Calibri"/>
        </w:rPr>
        <w:t xml:space="preserve"> _</w:t>
      </w:r>
      <w:r>
        <w:rPr>
          <w:rStyle w:val="Appelnotedebasdep"/>
          <w:rFonts w:ascii="Calibri" w:hAnsi="Calibri" w:cs="Calibri"/>
        </w:rPr>
        <w:footnoteReference w:id="52"/>
      </w:r>
      <w:r>
        <w:rPr>
          <w:rFonts w:ascii="Calibri" w:hAnsi="Calibri" w:cs="Calibri"/>
        </w:rPr>
        <w:t xml:space="preserve"> ou entre régions ou villes, dans le même pays</w:t>
      </w:r>
      <w:r>
        <w:rPr>
          <w:rStyle w:val="Appelnotedebasdep"/>
          <w:rFonts w:ascii="Calibri" w:hAnsi="Calibri" w:cs="Calibri"/>
        </w:rPr>
        <w:footnoteReference w:id="53"/>
      </w:r>
      <w:r>
        <w:rPr>
          <w:rFonts w:ascii="Calibri" w:hAnsi="Calibri" w:cs="Calibri"/>
        </w:rPr>
        <w:t xml:space="preserve">. </w:t>
      </w:r>
    </w:p>
    <w:p w14:paraId="37A1AF12" w14:textId="77777777" w:rsidR="00EC4279" w:rsidRDefault="00EC4279" w:rsidP="00EC4279">
      <w:pPr>
        <w:spacing w:after="0" w:line="240" w:lineRule="auto"/>
        <w:jc w:val="both"/>
        <w:rPr>
          <w:rFonts w:ascii="Calibri" w:hAnsi="Calibri" w:cs="Calibri"/>
        </w:rPr>
      </w:pPr>
    </w:p>
    <w:p w14:paraId="50C627C5" w14:textId="77777777" w:rsidR="00EC4279" w:rsidRPr="00EC0BC1" w:rsidRDefault="00EC4279" w:rsidP="00EC4279">
      <w:pPr>
        <w:spacing w:after="0" w:line="240" w:lineRule="auto"/>
        <w:jc w:val="both"/>
        <w:rPr>
          <w:rFonts w:ascii="Calibri" w:hAnsi="Calibri" w:cs="Calibri"/>
        </w:rPr>
      </w:pPr>
      <w:r>
        <w:rPr>
          <w:rFonts w:ascii="Calibri" w:hAnsi="Calibri" w:cs="Calibri"/>
        </w:rPr>
        <w:t>« </w:t>
      </w:r>
      <w:r w:rsidRPr="002A5673">
        <w:rPr>
          <w:rFonts w:ascii="Calibri" w:hAnsi="Calibri" w:cs="Calibri"/>
          <w:i/>
          <w:iCs/>
        </w:rPr>
        <w:t>Ce n'est pas pour rien que la Chine entend garder la main sur la région du Tibet, le « château d'eau de l'Asie ». L'Indus, le Gange, le Brahmapoutre et le Mékong y ont leur source. Puiser ou dériver l'eau de ces fleuves ne peut qu'aviver les tensions entre la Chine, l'Inde, le Bangladesh, voire le Pakistan</w:t>
      </w:r>
      <w:r>
        <w:rPr>
          <w:rFonts w:ascii="Calibri" w:hAnsi="Calibri" w:cs="Calibri"/>
        </w:rPr>
        <w:t xml:space="preserve"> » </w:t>
      </w:r>
      <w:r>
        <w:t>[37].</w:t>
      </w:r>
    </w:p>
    <w:p w14:paraId="67847B49" w14:textId="1C753D4D" w:rsidR="004E5E2B" w:rsidRDefault="004E5E2B" w:rsidP="0065707A">
      <w:pPr>
        <w:spacing w:after="0" w:line="240" w:lineRule="auto"/>
        <w:jc w:val="both"/>
        <w:rPr>
          <w:rFonts w:ascii="Calibri" w:hAnsi="Calibri" w:cs="Calibri"/>
        </w:rPr>
      </w:pPr>
      <w:bookmarkStart w:id="21" w:name="_Hlk114298633"/>
    </w:p>
    <w:p w14:paraId="58BD7116" w14:textId="2557D237" w:rsidR="00EC4279" w:rsidRDefault="00EC4279" w:rsidP="00EC4279">
      <w:pPr>
        <w:pStyle w:val="Titre2"/>
      </w:pPr>
      <w:bookmarkStart w:id="22" w:name="_Toc139181313"/>
      <w:r>
        <w:t>Terrorisme</w:t>
      </w:r>
      <w:r w:rsidR="00613253">
        <w:t>, guerres</w:t>
      </w:r>
      <w:bookmarkEnd w:id="22"/>
    </w:p>
    <w:p w14:paraId="21AE50BC" w14:textId="375C110B" w:rsidR="00EC4279" w:rsidRDefault="00EC4279" w:rsidP="0065707A">
      <w:pPr>
        <w:spacing w:after="0" w:line="240" w:lineRule="auto"/>
        <w:jc w:val="both"/>
        <w:rPr>
          <w:rFonts w:ascii="Calibri" w:hAnsi="Calibri" w:cs="Calibri"/>
        </w:rPr>
      </w:pPr>
    </w:p>
    <w:p w14:paraId="1AE65364" w14:textId="642BF806" w:rsidR="009B2394" w:rsidRDefault="00F06580" w:rsidP="0065707A">
      <w:pPr>
        <w:spacing w:after="0" w:line="240" w:lineRule="auto"/>
        <w:jc w:val="both"/>
        <w:rPr>
          <w:rFonts w:ascii="Calibri" w:hAnsi="Calibri" w:cs="Calibri"/>
        </w:rPr>
      </w:pPr>
      <w:r w:rsidRPr="00F06580">
        <w:rPr>
          <w:rFonts w:ascii="Calibri" w:hAnsi="Calibri" w:cs="Calibri"/>
        </w:rPr>
        <w:t xml:space="preserve">Il </w:t>
      </w:r>
      <w:r>
        <w:rPr>
          <w:rFonts w:ascii="Calibri" w:hAnsi="Calibri" w:cs="Calibri"/>
        </w:rPr>
        <w:t>existe</w:t>
      </w:r>
      <w:r w:rsidRPr="00F06580">
        <w:rPr>
          <w:rFonts w:ascii="Calibri" w:hAnsi="Calibri" w:cs="Calibri"/>
        </w:rPr>
        <w:t xml:space="preserve"> aussi des guerres</w:t>
      </w:r>
      <w:r w:rsidR="00012C1E">
        <w:rPr>
          <w:rFonts w:ascii="Calibri" w:hAnsi="Calibri" w:cs="Calibri"/>
        </w:rPr>
        <w:t xml:space="preserve"> ou conflits</w:t>
      </w:r>
      <w:r w:rsidRPr="00F06580">
        <w:rPr>
          <w:rFonts w:ascii="Calibri" w:hAnsi="Calibri" w:cs="Calibri"/>
        </w:rPr>
        <w:t xml:space="preserve"> pour les ressources</w:t>
      </w:r>
      <w:r w:rsidR="009A0F9C">
        <w:rPr>
          <w:rFonts w:ascii="Calibri" w:hAnsi="Calibri" w:cs="Calibri"/>
        </w:rPr>
        <w:t xml:space="preserve"> (eau, nourriture, pâturages,</w:t>
      </w:r>
      <w:r w:rsidRPr="00F06580">
        <w:rPr>
          <w:rFonts w:ascii="Calibri" w:hAnsi="Calibri" w:cs="Calibri"/>
        </w:rPr>
        <w:t xml:space="preserve"> terres</w:t>
      </w:r>
      <w:r w:rsidR="009A0F9C">
        <w:rPr>
          <w:rFonts w:ascii="Calibri" w:hAnsi="Calibri" w:cs="Calibri"/>
        </w:rPr>
        <w:t xml:space="preserve"> cultivées) et l’occupation des sols</w:t>
      </w:r>
      <w:r w:rsidRPr="00F06580">
        <w:rPr>
          <w:rFonts w:ascii="Calibri" w:hAnsi="Calibri" w:cs="Calibri"/>
        </w:rPr>
        <w:t>,</w:t>
      </w:r>
      <w:r>
        <w:rPr>
          <w:rFonts w:ascii="Calibri" w:hAnsi="Calibri" w:cs="Calibri"/>
        </w:rPr>
        <w:t xml:space="preserve"> par exemple en Afrique,</w:t>
      </w:r>
      <w:r w:rsidRPr="00F06580">
        <w:rPr>
          <w:rFonts w:ascii="Calibri" w:hAnsi="Calibri" w:cs="Calibri"/>
        </w:rPr>
        <w:t xml:space="preserve"> entre éleveurs (en général musulmans) et agriculteurs (en général, chrétien</w:t>
      </w:r>
      <w:r w:rsidR="00012C1E">
        <w:rPr>
          <w:rFonts w:ascii="Calibri" w:hAnsi="Calibri" w:cs="Calibri"/>
        </w:rPr>
        <w:t>s</w:t>
      </w:r>
      <w:r w:rsidRPr="00F06580">
        <w:rPr>
          <w:rFonts w:ascii="Calibri" w:hAnsi="Calibri" w:cs="Calibri"/>
        </w:rPr>
        <w:t xml:space="preserve">), </w:t>
      </w:r>
      <w:r w:rsidR="00012C1E">
        <w:rPr>
          <w:rFonts w:ascii="Calibri" w:hAnsi="Calibri" w:cs="Calibri"/>
        </w:rPr>
        <w:t>contribuant</w:t>
      </w:r>
      <w:r w:rsidRPr="00F06580">
        <w:rPr>
          <w:rFonts w:ascii="Calibri" w:hAnsi="Calibri" w:cs="Calibri"/>
        </w:rPr>
        <w:t xml:space="preserve"> à exacerber les conflits religieux</w:t>
      </w:r>
      <w:r w:rsidR="009B2394">
        <w:rPr>
          <w:rFonts w:ascii="Calibri" w:hAnsi="Calibri" w:cs="Calibri"/>
        </w:rPr>
        <w:t>,</w:t>
      </w:r>
      <w:r>
        <w:rPr>
          <w:rFonts w:ascii="Calibri" w:hAnsi="Calibri" w:cs="Calibri"/>
        </w:rPr>
        <w:t xml:space="preserve"> à générer du terrorisme</w:t>
      </w:r>
      <w:r w:rsidR="009B2394">
        <w:rPr>
          <w:rFonts w:ascii="Calibri" w:hAnsi="Calibri" w:cs="Calibri"/>
        </w:rPr>
        <w:t xml:space="preserve"> et à </w:t>
      </w:r>
      <w:r w:rsidR="00012C1E">
        <w:rPr>
          <w:rFonts w:ascii="Calibri" w:hAnsi="Calibri" w:cs="Calibri"/>
        </w:rPr>
        <w:t xml:space="preserve">augmenter </w:t>
      </w:r>
      <w:r w:rsidR="009B2394">
        <w:rPr>
          <w:rFonts w:ascii="Calibri" w:hAnsi="Calibri" w:cs="Calibri"/>
        </w:rPr>
        <w:t>la pauvreté</w:t>
      </w:r>
      <w:r>
        <w:rPr>
          <w:rFonts w:ascii="Calibri" w:hAnsi="Calibri" w:cs="Calibri"/>
        </w:rPr>
        <w:t>.</w:t>
      </w:r>
    </w:p>
    <w:p w14:paraId="1D452357" w14:textId="77777777" w:rsidR="009D39A2" w:rsidRDefault="009D39A2" w:rsidP="0065707A">
      <w:pPr>
        <w:spacing w:after="0" w:line="240" w:lineRule="auto"/>
        <w:jc w:val="both"/>
        <w:rPr>
          <w:rFonts w:ascii="Calibri" w:hAnsi="Calibri" w:cs="Calibri"/>
        </w:rPr>
      </w:pPr>
    </w:p>
    <w:p w14:paraId="6206972E" w14:textId="1314BA8B" w:rsidR="00EC4279" w:rsidRDefault="006C3D39" w:rsidP="0065707A">
      <w:pPr>
        <w:spacing w:after="0" w:line="240" w:lineRule="auto"/>
        <w:jc w:val="both"/>
        <w:rPr>
          <w:rFonts w:ascii="Calibri" w:hAnsi="Calibri" w:cs="Calibri"/>
        </w:rPr>
      </w:pPr>
      <w:r>
        <w:rPr>
          <w:rFonts w:ascii="Calibri" w:hAnsi="Calibri" w:cs="Calibri"/>
        </w:rPr>
        <w:t xml:space="preserve">On peut lutter militairement contre les groupes terroristes, </w:t>
      </w:r>
      <w:r w:rsidR="00C83AF8">
        <w:rPr>
          <w:rFonts w:ascii="Calibri" w:hAnsi="Calibri" w:cs="Calibri"/>
        </w:rPr>
        <w:t>obtenir momentanément un victoire, dans une bataille, contre un groupe</w:t>
      </w:r>
      <w:r w:rsidR="00F06580">
        <w:rPr>
          <w:rFonts w:ascii="Calibri" w:hAnsi="Calibri" w:cs="Calibri"/>
        </w:rPr>
        <w:t xml:space="preserve"> </w:t>
      </w:r>
      <w:r w:rsidR="00C83AF8">
        <w:rPr>
          <w:rFonts w:ascii="Calibri" w:hAnsi="Calibri" w:cs="Calibri"/>
        </w:rPr>
        <w:t>(par exemple, en tuant son chef), mais l’on ne gagnera pas cette guerre, tant que les causes originelles du terrorisme n’auront pas été solutionnées</w:t>
      </w:r>
      <w:r w:rsidR="009D39A2">
        <w:rPr>
          <w:rFonts w:ascii="Calibri" w:hAnsi="Calibri" w:cs="Calibri"/>
        </w:rPr>
        <w:t xml:space="preserve">, dont </w:t>
      </w:r>
      <w:r w:rsidR="00C83AF8">
        <w:rPr>
          <w:rFonts w:ascii="Calibri" w:hAnsi="Calibri" w:cs="Calibri"/>
        </w:rPr>
        <w:t>l’extrême pauvreté, l’absence de perspective, d’avenir</w:t>
      </w:r>
      <w:r w:rsidR="00C35D39">
        <w:rPr>
          <w:rFonts w:ascii="Calibri" w:hAnsi="Calibri" w:cs="Calibri"/>
        </w:rPr>
        <w:t>, l’abandon total, par le gouvernement central, de certaines régions très pauvres, oubliées par le développement</w:t>
      </w:r>
      <w:r w:rsidR="00C83AF8">
        <w:rPr>
          <w:rFonts w:ascii="Calibri" w:hAnsi="Calibri" w:cs="Calibri"/>
        </w:rPr>
        <w:t xml:space="preserve"> …</w:t>
      </w:r>
    </w:p>
    <w:p w14:paraId="572DCCC0" w14:textId="77777777" w:rsidR="009D39A2" w:rsidRDefault="009D39A2" w:rsidP="0065707A">
      <w:pPr>
        <w:spacing w:after="0" w:line="240" w:lineRule="auto"/>
        <w:jc w:val="both"/>
        <w:rPr>
          <w:rFonts w:ascii="Calibri" w:hAnsi="Calibri" w:cs="Calibri"/>
        </w:rPr>
      </w:pPr>
    </w:p>
    <w:p w14:paraId="15E01F4E" w14:textId="36EC3E84" w:rsidR="00C83AF8" w:rsidRDefault="00C35D39" w:rsidP="0065707A">
      <w:pPr>
        <w:spacing w:after="0" w:line="240" w:lineRule="auto"/>
        <w:jc w:val="both"/>
        <w:rPr>
          <w:rFonts w:ascii="Calibri" w:hAnsi="Calibri" w:cs="Calibri"/>
        </w:rPr>
      </w:pPr>
      <w:r>
        <w:rPr>
          <w:rFonts w:ascii="Calibri" w:hAnsi="Calibri" w:cs="Calibri"/>
        </w:rPr>
        <w:t xml:space="preserve">Parfois derrière une revendication de plus de rigorisme religieux (de charia …) se cache un mal-être. Et dans ce cas, mieux vaut de tenter de discuter avec les groupes terroristes, pour leur faire découvrir pas eux-mêmes les causes originelles de leur mal-être (révolte, colère, ressentiment …) et tenter alors de les solutionner avec leur contribution. </w:t>
      </w:r>
    </w:p>
    <w:p w14:paraId="10A74E91" w14:textId="77777777" w:rsidR="002917F9" w:rsidRDefault="002917F9" w:rsidP="0004289F">
      <w:pPr>
        <w:spacing w:after="0" w:line="240" w:lineRule="auto"/>
        <w:jc w:val="both"/>
        <w:rPr>
          <w:rFonts w:ascii="Calibri" w:hAnsi="Calibri" w:cs="Calibri"/>
        </w:rPr>
      </w:pPr>
    </w:p>
    <w:p w14:paraId="20F8BEB2" w14:textId="77777777" w:rsidR="00FE7978" w:rsidRPr="00FE7978" w:rsidRDefault="00FE7978" w:rsidP="00FE7978">
      <w:pPr>
        <w:pStyle w:val="Titre1"/>
      </w:pPr>
      <w:bookmarkStart w:id="23" w:name="_Toc139181314"/>
      <w:bookmarkEnd w:id="21"/>
      <w:r w:rsidRPr="00FE7978">
        <w:t>Biosécurité</w:t>
      </w:r>
      <w:bookmarkEnd w:id="23"/>
    </w:p>
    <w:p w14:paraId="01B880AB" w14:textId="77777777" w:rsidR="00FE7978" w:rsidRDefault="00FE7978" w:rsidP="00FE7978">
      <w:pPr>
        <w:spacing w:after="0" w:line="240" w:lineRule="auto"/>
        <w:jc w:val="both"/>
      </w:pPr>
    </w:p>
    <w:p w14:paraId="1E2CD6F9" w14:textId="77777777" w:rsidR="00FE7978" w:rsidRDefault="00FE7978" w:rsidP="00FE7978">
      <w:pPr>
        <w:spacing w:after="0" w:line="240" w:lineRule="auto"/>
        <w:jc w:val="both"/>
        <w:rPr>
          <w:color w:val="000000" w:themeColor="text1"/>
        </w:rPr>
      </w:pPr>
      <w:r w:rsidRPr="00AB7B5E">
        <w:rPr>
          <w:color w:val="000000" w:themeColor="text1"/>
        </w:rPr>
        <w:t>Avant d’introduire une nouvelle espèce</w:t>
      </w:r>
      <w:r>
        <w:rPr>
          <w:color w:val="000000" w:themeColor="text1"/>
        </w:rPr>
        <w:t>, surtout d’une « façon sauvage »</w:t>
      </w:r>
      <w:r w:rsidRPr="00AB7B5E">
        <w:rPr>
          <w:color w:val="000000" w:themeColor="text1"/>
        </w:rPr>
        <w:t>, sur un territoire</w:t>
      </w:r>
      <w:r>
        <w:rPr>
          <w:color w:val="000000" w:themeColor="text1"/>
        </w:rPr>
        <w:t xml:space="preserve"> ou dans un pays</w:t>
      </w:r>
      <w:r w:rsidRPr="00AB7B5E">
        <w:rPr>
          <w:color w:val="000000" w:themeColor="text1"/>
        </w:rPr>
        <w:t xml:space="preserve"> donné, surtout sur un territoire à l’endémisme élevé (comme Madagascar, l’Australie, la Nouvelle-Zélande, où les espèces sont plus fragiles, moins résistantes, face à de nouvelles </w:t>
      </w:r>
      <w:r>
        <w:rPr>
          <w:color w:val="000000" w:themeColor="text1"/>
        </w:rPr>
        <w:t xml:space="preserve">espèces </w:t>
      </w:r>
      <w:r w:rsidRPr="00AB7B5E">
        <w:rPr>
          <w:color w:val="000000" w:themeColor="text1"/>
        </w:rPr>
        <w:t>exotiques), il est important de bien</w:t>
      </w:r>
      <w:r>
        <w:rPr>
          <w:color w:val="000000" w:themeColor="text1"/>
        </w:rPr>
        <w:t xml:space="preserve"> y</w:t>
      </w:r>
      <w:r w:rsidRPr="00AB7B5E">
        <w:rPr>
          <w:color w:val="000000" w:themeColor="text1"/>
        </w:rPr>
        <w:t xml:space="preserve"> réfléchir, pour éviter : </w:t>
      </w:r>
      <w:r>
        <w:rPr>
          <w:color w:val="000000" w:themeColor="text1"/>
        </w:rPr>
        <w:t xml:space="preserve">a) </w:t>
      </w:r>
      <w:r w:rsidRPr="00AB7B5E">
        <w:rPr>
          <w:color w:val="000000" w:themeColor="text1"/>
        </w:rPr>
        <w:t>son envahissement par des espèces invasives, capables d’infliger des dégâts à l’environnement et d’évincer les espèces autochtones</w:t>
      </w:r>
      <w:r>
        <w:rPr>
          <w:rStyle w:val="Appelnotedebasdep"/>
          <w:color w:val="000000" w:themeColor="text1"/>
        </w:rPr>
        <w:footnoteReference w:id="54"/>
      </w:r>
      <w:r w:rsidRPr="00AB7B5E">
        <w:rPr>
          <w:color w:val="000000" w:themeColor="text1"/>
        </w:rPr>
        <w:t xml:space="preserve">, b) l’introduction de </w:t>
      </w:r>
      <w:r>
        <w:rPr>
          <w:color w:val="000000" w:themeColor="text1"/>
        </w:rPr>
        <w:t xml:space="preserve">maladies, de parasites, de ravageurs, cachés dans les espèces importées ou dans la terre du conteneur de transport de la plante. Vous devez le faire en accord, avec les autorisations et avec le contrôle de la livraison (du produit importé), par des </w:t>
      </w:r>
      <w:r w:rsidRPr="00E169B6">
        <w:rPr>
          <w:i/>
          <w:iCs/>
          <w:color w:val="000000" w:themeColor="text1"/>
        </w:rPr>
        <w:t>services de biosécurité</w:t>
      </w:r>
      <w:r>
        <w:rPr>
          <w:rStyle w:val="Appelnotedebasdep"/>
          <w:i/>
          <w:iCs/>
          <w:color w:val="000000" w:themeColor="text1"/>
        </w:rPr>
        <w:footnoteReference w:id="55"/>
      </w:r>
      <w:r>
        <w:rPr>
          <w:color w:val="000000" w:themeColor="text1"/>
        </w:rPr>
        <w:t xml:space="preserve"> ou des </w:t>
      </w:r>
      <w:r w:rsidRPr="0065707A">
        <w:rPr>
          <w:i/>
          <w:iCs/>
          <w:color w:val="000000" w:themeColor="text1"/>
        </w:rPr>
        <w:t>douanes</w:t>
      </w:r>
      <w:r>
        <w:rPr>
          <w:color w:val="000000" w:themeColor="text1"/>
        </w:rPr>
        <w:t xml:space="preserve"> de votre pays.</w:t>
      </w:r>
    </w:p>
    <w:p w14:paraId="39C6F6D9" w14:textId="4C6675A5" w:rsidR="00FE7978" w:rsidRDefault="00FE7978" w:rsidP="0004289F">
      <w:pPr>
        <w:spacing w:after="0" w:line="240" w:lineRule="auto"/>
        <w:jc w:val="both"/>
        <w:rPr>
          <w:rFonts w:ascii="Calibri" w:hAnsi="Calibri" w:cs="Calibri"/>
        </w:rPr>
      </w:pPr>
    </w:p>
    <w:p w14:paraId="11BC26B1" w14:textId="6D798C90" w:rsidR="00FE7978" w:rsidRDefault="00FE7978" w:rsidP="00FE7978">
      <w:pPr>
        <w:pStyle w:val="Titre1"/>
      </w:pPr>
      <w:bookmarkStart w:id="24" w:name="_Toc139181315"/>
      <w:r>
        <w:t>Bien réfléchir avant d’introduire une plante dans une région donnée (le problème des plantes invasives)</w:t>
      </w:r>
      <w:bookmarkEnd w:id="24"/>
    </w:p>
    <w:p w14:paraId="7ACD61C5" w14:textId="6B1272D6" w:rsidR="00FE7978" w:rsidRDefault="00FE7978" w:rsidP="0004289F">
      <w:pPr>
        <w:spacing w:after="0" w:line="240" w:lineRule="auto"/>
        <w:jc w:val="both"/>
        <w:rPr>
          <w:rFonts w:ascii="Calibri" w:hAnsi="Calibri" w:cs="Calibri"/>
        </w:rPr>
      </w:pPr>
    </w:p>
    <w:p w14:paraId="3F5499F7" w14:textId="4F71B61C" w:rsidR="00754E6B" w:rsidRDefault="00FE7978" w:rsidP="0004289F">
      <w:pPr>
        <w:spacing w:after="0" w:line="240" w:lineRule="auto"/>
        <w:jc w:val="both"/>
        <w:rPr>
          <w:rFonts w:ascii="Calibri" w:hAnsi="Calibri" w:cs="Calibri"/>
        </w:rPr>
      </w:pPr>
      <w:r>
        <w:rPr>
          <w:rFonts w:ascii="Calibri" w:hAnsi="Calibri" w:cs="Calibri"/>
        </w:rPr>
        <w:t>On peut, par exemple, s’enthousiasmer pour une plante, parce qu’elle possède de qualités remarquables et peut être très utiles aux hommes ou/et au bétail, et pourtant commettre un énorme erreur en l’introduisant dans une région et un écosystème donnés.</w:t>
      </w:r>
    </w:p>
    <w:p w14:paraId="58642AC2" w14:textId="37CCE97A" w:rsidR="00CA5319" w:rsidRDefault="00CA5319" w:rsidP="0004289F">
      <w:pPr>
        <w:spacing w:after="0" w:line="240" w:lineRule="auto"/>
        <w:jc w:val="both"/>
        <w:rPr>
          <w:rFonts w:ascii="Calibri" w:hAnsi="Calibri" w:cs="Calibri"/>
        </w:rPr>
      </w:pPr>
      <w:r>
        <w:rPr>
          <w:rFonts w:ascii="Calibri" w:hAnsi="Calibri" w:cs="Calibri"/>
        </w:rPr>
        <w:t>Par exemple, si l’on trouve le r</w:t>
      </w:r>
      <w:r w:rsidRPr="00CA5319">
        <w:rPr>
          <w:rFonts w:ascii="Calibri" w:hAnsi="Calibri" w:cs="Calibri"/>
        </w:rPr>
        <w:t>obinier faux-acacia (</w:t>
      </w:r>
      <w:r w:rsidRPr="00CA5319">
        <w:rPr>
          <w:rFonts w:ascii="Calibri" w:hAnsi="Calibri" w:cs="Calibri"/>
          <w:i/>
          <w:iCs/>
        </w:rPr>
        <w:t>Robinia pseudoacacia</w:t>
      </w:r>
      <w:r w:rsidRPr="00CA5319">
        <w:rPr>
          <w:rFonts w:ascii="Calibri" w:hAnsi="Calibri" w:cs="Calibri"/>
        </w:rPr>
        <w:t xml:space="preserve">) </w:t>
      </w:r>
      <w:r>
        <w:rPr>
          <w:rFonts w:ascii="Calibri" w:hAnsi="Calibri" w:cs="Calibri"/>
        </w:rPr>
        <w:t>génial pour son bois de qualité, doit-on pour autant l’introduire à Madagascar ? Car le r</w:t>
      </w:r>
      <w:r w:rsidRPr="00CA5319">
        <w:rPr>
          <w:rFonts w:ascii="Calibri" w:hAnsi="Calibri" w:cs="Calibri"/>
        </w:rPr>
        <w:t>obinier</w:t>
      </w:r>
      <w:r>
        <w:rPr>
          <w:rFonts w:ascii="Calibri" w:hAnsi="Calibri" w:cs="Calibri"/>
        </w:rPr>
        <w:t xml:space="preserve"> peut être invasif (voir la définition de ce mot plus loin).</w:t>
      </w:r>
    </w:p>
    <w:p w14:paraId="356CBF5F" w14:textId="77777777" w:rsidR="00754E6B" w:rsidRDefault="00754E6B" w:rsidP="0004289F">
      <w:pPr>
        <w:spacing w:after="0" w:line="240" w:lineRule="auto"/>
        <w:jc w:val="both"/>
        <w:rPr>
          <w:rFonts w:ascii="Calibri" w:hAnsi="Calibri" w:cs="Calibri"/>
        </w:rPr>
      </w:pPr>
    </w:p>
    <w:p w14:paraId="3DCC65C4" w14:textId="3B0BACEB" w:rsidR="00FE7978" w:rsidRDefault="00BA25A4" w:rsidP="00A572AA">
      <w:pPr>
        <w:pStyle w:val="Titre2"/>
      </w:pPr>
      <w:bookmarkStart w:id="25" w:name="_Toc139181316"/>
      <w:r>
        <w:t>L</w:t>
      </w:r>
      <w:r w:rsidR="00A572AA">
        <w:t>’introduction de l’eucalyptus</w:t>
      </w:r>
      <w:r>
        <w:t xml:space="preserve"> (réflexions sur)</w:t>
      </w:r>
      <w:bookmarkEnd w:id="25"/>
    </w:p>
    <w:p w14:paraId="0509F81F" w14:textId="33509E71" w:rsidR="00FE7978" w:rsidRDefault="00FE7978" w:rsidP="0004289F">
      <w:pPr>
        <w:spacing w:after="0" w:line="240" w:lineRule="auto"/>
        <w:jc w:val="both"/>
        <w:rPr>
          <w:rFonts w:ascii="Calibri" w:hAnsi="Calibri" w:cs="Calibri"/>
        </w:rPr>
      </w:pPr>
    </w:p>
    <w:p w14:paraId="5D202142" w14:textId="77777777" w:rsidR="003E332E" w:rsidRDefault="00A572AA" w:rsidP="0004289F">
      <w:pPr>
        <w:spacing w:after="0" w:line="240" w:lineRule="auto"/>
        <w:jc w:val="both"/>
        <w:rPr>
          <w:rFonts w:ascii="Calibri" w:hAnsi="Calibri" w:cs="Calibri"/>
        </w:rPr>
      </w:pPr>
      <w:r w:rsidRPr="00A572AA">
        <w:rPr>
          <w:rFonts w:ascii="Calibri" w:hAnsi="Calibri" w:cs="Calibri"/>
        </w:rPr>
        <w:t>Les eucalyptus sont des arbres à croissance rapide et facile, et sont donc souvent plébiscités dans les programmes de foresterie industrielle dans les pays tropicaux, où ils s'acclimatent en général très facilement, y compris sur des terrains dégradés</w:t>
      </w:r>
      <w:r>
        <w:rPr>
          <w:rFonts w:ascii="Calibri" w:hAnsi="Calibri" w:cs="Calibri"/>
        </w:rPr>
        <w:t xml:space="preserve">. </w:t>
      </w:r>
      <w:r w:rsidRPr="00A572AA">
        <w:rPr>
          <w:rFonts w:ascii="Calibri" w:hAnsi="Calibri" w:cs="Calibri"/>
        </w:rPr>
        <w:t>Il existe plus de 800 espèces d'Eucalyptus, poss</w:t>
      </w:r>
      <w:r>
        <w:rPr>
          <w:rFonts w:ascii="Calibri" w:hAnsi="Calibri" w:cs="Calibri"/>
        </w:rPr>
        <w:t>é</w:t>
      </w:r>
      <w:r w:rsidRPr="00A572AA">
        <w:rPr>
          <w:rFonts w:ascii="Calibri" w:hAnsi="Calibri" w:cs="Calibri"/>
        </w:rPr>
        <w:t>dant tous une gamme de mécanismes d’adaptation et ayant une croissance rapide, ce qui leur permet d'être présents dans de nombreux environnements.</w:t>
      </w:r>
      <w:r>
        <w:rPr>
          <w:rFonts w:ascii="Calibri" w:hAnsi="Calibri" w:cs="Calibri"/>
        </w:rPr>
        <w:t xml:space="preserve"> </w:t>
      </w:r>
    </w:p>
    <w:p w14:paraId="4CAE4093" w14:textId="77777777" w:rsidR="003E332E" w:rsidRDefault="003E332E" w:rsidP="0004289F">
      <w:pPr>
        <w:spacing w:after="0" w:line="240" w:lineRule="auto"/>
        <w:jc w:val="both"/>
        <w:rPr>
          <w:rFonts w:ascii="Calibri" w:hAnsi="Calibri" w:cs="Calibri"/>
        </w:rPr>
      </w:pPr>
    </w:p>
    <w:p w14:paraId="36DB2D18" w14:textId="60F9AF4C" w:rsidR="00A572AA" w:rsidRDefault="00A572AA" w:rsidP="0004289F">
      <w:pPr>
        <w:spacing w:after="0" w:line="240" w:lineRule="auto"/>
        <w:jc w:val="both"/>
        <w:rPr>
          <w:rFonts w:ascii="Calibri" w:hAnsi="Calibri" w:cs="Calibri"/>
          <w:color w:val="000000" w:themeColor="text1"/>
          <w:shd w:val="clear" w:color="auto" w:fill="FFFFFF"/>
        </w:rPr>
      </w:pPr>
      <w:r w:rsidRPr="00A572AA">
        <w:rPr>
          <w:rFonts w:ascii="Calibri" w:hAnsi="Calibri" w:cs="Calibri"/>
        </w:rPr>
        <w:t>Mais ils hébergent relativement peu de biodiversité, d'autant qu'un certain nombre de leurs propriétés les rendent hostiles aux espèces indigènes (locales)</w:t>
      </w:r>
      <w:r w:rsidR="003E332E">
        <w:rPr>
          <w:rFonts w:ascii="Calibri" w:hAnsi="Calibri" w:cs="Calibri"/>
        </w:rPr>
        <w:t>.</w:t>
      </w:r>
      <w:r w:rsidRPr="00A572AA">
        <w:rPr>
          <w:rFonts w:ascii="Calibri" w:hAnsi="Calibri" w:cs="Calibri"/>
        </w:rPr>
        <w:t xml:space="preserve"> En effet,</w:t>
      </w:r>
      <w:r>
        <w:rPr>
          <w:rFonts w:ascii="Calibri" w:hAnsi="Calibri" w:cs="Calibri"/>
        </w:rPr>
        <w:t xml:space="preserve"> </w:t>
      </w:r>
      <w:r w:rsidRPr="00A572AA">
        <w:rPr>
          <w:rFonts w:ascii="Calibri" w:hAnsi="Calibri" w:cs="Calibri"/>
          <w:color w:val="000000" w:themeColor="text1"/>
        </w:rPr>
        <w:t>l</w:t>
      </w:r>
      <w:r w:rsidRPr="00A572AA">
        <w:rPr>
          <w:rFonts w:ascii="Calibri" w:hAnsi="Calibri" w:cs="Calibri"/>
          <w:color w:val="000000" w:themeColor="text1"/>
          <w:shd w:val="clear" w:color="auto" w:fill="FFFFFF"/>
        </w:rPr>
        <w:t>es feuilles et les racines de l'Eucalyptus produisent une substance </w:t>
      </w:r>
      <w:hyperlink r:id="rId102" w:tooltip="Allélopathie" w:history="1">
        <w:r w:rsidRPr="00A572AA">
          <w:rPr>
            <w:rStyle w:val="Lienhypertexte"/>
            <w:rFonts w:ascii="Calibri" w:hAnsi="Calibri" w:cs="Calibri"/>
            <w:color w:val="0645AD"/>
            <w:shd w:val="clear" w:color="auto" w:fill="FFFFFF"/>
          </w:rPr>
          <w:t>allélopathique</w:t>
        </w:r>
      </w:hyperlink>
      <w:r w:rsidRPr="00A572AA">
        <w:rPr>
          <w:rFonts w:ascii="Calibri" w:hAnsi="Calibri" w:cs="Calibri"/>
          <w:color w:val="202122"/>
          <w:shd w:val="clear" w:color="auto" w:fill="FFFFFF"/>
        </w:rPr>
        <w:t> : le </w:t>
      </w:r>
      <w:hyperlink r:id="rId103" w:tooltip="Eucalyptol" w:history="1">
        <w:r w:rsidRPr="00A572AA">
          <w:rPr>
            <w:rStyle w:val="Lienhypertexte"/>
            <w:rFonts w:ascii="Calibri" w:hAnsi="Calibri" w:cs="Calibri"/>
            <w:color w:val="0645AD"/>
            <w:shd w:val="clear" w:color="auto" w:fill="FFFFFF"/>
          </w:rPr>
          <w:t>1,8-cinéole</w:t>
        </w:r>
      </w:hyperlink>
      <w:r w:rsidRPr="00A572AA">
        <w:rPr>
          <w:rFonts w:ascii="Calibri" w:hAnsi="Calibri" w:cs="Calibri"/>
          <w:color w:val="202122"/>
          <w:shd w:val="clear" w:color="auto" w:fill="FFFFFF"/>
        </w:rPr>
        <w:t xml:space="preserve">. </w:t>
      </w:r>
      <w:r w:rsidRPr="00A572AA">
        <w:rPr>
          <w:rFonts w:ascii="Calibri" w:hAnsi="Calibri" w:cs="Calibri"/>
          <w:color w:val="000000" w:themeColor="text1"/>
          <w:shd w:val="clear" w:color="auto" w:fill="FFFFFF"/>
        </w:rPr>
        <w:t>C'est un agent puissant de destruction de certaines espèces d'herbacées et de bactéries du sol. Or ces bactéries du sol étant indispensables à la décomposition de la matière organique et au renouvellement des sols, il a généralement été constaté sur les grandes plantations monospécifiques une baisse de la biodégradabilité, et un appauvrissement notable du sol en </w:t>
      </w:r>
      <w:hyperlink r:id="rId104" w:tooltip="Azote" w:history="1">
        <w:r w:rsidRPr="00A572AA">
          <w:rPr>
            <w:rStyle w:val="Lienhypertexte"/>
            <w:rFonts w:ascii="Calibri" w:hAnsi="Calibri" w:cs="Calibri"/>
            <w:color w:val="0645AD"/>
            <w:shd w:val="clear" w:color="auto" w:fill="FFFFFF"/>
          </w:rPr>
          <w:t>azote</w:t>
        </w:r>
      </w:hyperlink>
      <w:r w:rsidRPr="00A572AA">
        <w:rPr>
          <w:rFonts w:ascii="Calibri" w:hAnsi="Calibri" w:cs="Calibri"/>
          <w:color w:val="202122"/>
          <w:shd w:val="clear" w:color="auto" w:fill="FFFFFF"/>
        </w:rPr>
        <w:t> </w:t>
      </w:r>
      <w:r w:rsidRPr="00A572AA">
        <w:rPr>
          <w:rFonts w:ascii="Calibri" w:hAnsi="Calibri" w:cs="Calibri"/>
          <w:color w:val="000000" w:themeColor="text1"/>
          <w:shd w:val="clear" w:color="auto" w:fill="FFFFFF"/>
        </w:rPr>
        <w:t xml:space="preserve">et en minéraux </w:t>
      </w:r>
      <w:r w:rsidRPr="00A572AA">
        <w:rPr>
          <w:rFonts w:ascii="Calibri" w:hAnsi="Calibri" w:cs="Calibri"/>
          <w:color w:val="202122"/>
          <w:shd w:val="clear" w:color="auto" w:fill="FFFFFF"/>
        </w:rPr>
        <w:t>(</w:t>
      </w:r>
      <w:hyperlink r:id="rId105" w:tooltip="Calcium" w:history="1">
        <w:r w:rsidRPr="003E332E">
          <w:rPr>
            <w:rStyle w:val="Lienhypertexte"/>
            <w:rFonts w:ascii="Calibri" w:hAnsi="Calibri" w:cs="Calibri"/>
            <w:color w:val="2F5496" w:themeColor="accent1" w:themeShade="BF"/>
            <w:shd w:val="clear" w:color="auto" w:fill="FFFFFF"/>
          </w:rPr>
          <w:t>calcium</w:t>
        </w:r>
      </w:hyperlink>
      <w:r w:rsidRPr="00A572AA">
        <w:rPr>
          <w:rFonts w:ascii="Calibri" w:hAnsi="Calibri" w:cs="Calibri"/>
          <w:color w:val="000000" w:themeColor="text1"/>
          <w:shd w:val="clear" w:color="auto" w:fill="FFFFFF"/>
        </w:rPr>
        <w:t> en particulier).</w:t>
      </w:r>
      <w:r>
        <w:rPr>
          <w:rFonts w:ascii="Calibri" w:hAnsi="Calibri" w:cs="Calibri"/>
          <w:color w:val="000000" w:themeColor="text1"/>
          <w:shd w:val="clear" w:color="auto" w:fill="FFFFFF"/>
        </w:rPr>
        <w:t xml:space="preserve"> On observe le plus souvent au pied des eucalyptus, une litière de feuilles mortes, ne se décomposant pas, et un sol mort, ayant perdu toute sa microfaune (</w:t>
      </w:r>
      <w:r w:rsidR="003E332E">
        <w:rPr>
          <w:rFonts w:ascii="Calibri" w:hAnsi="Calibri" w:cs="Calibri"/>
          <w:color w:val="000000" w:themeColor="text1"/>
          <w:shd w:val="clear" w:color="auto" w:fill="FFFFFF"/>
        </w:rPr>
        <w:t xml:space="preserve">c'est-à-dire </w:t>
      </w:r>
      <w:r>
        <w:rPr>
          <w:rFonts w:ascii="Calibri" w:hAnsi="Calibri" w:cs="Calibri"/>
          <w:color w:val="000000" w:themeColor="text1"/>
          <w:shd w:val="clear" w:color="auto" w:fill="FFFFFF"/>
        </w:rPr>
        <w:t xml:space="preserve">ses bactéries, vers de terre, collemboles, acariens du sol …). </w:t>
      </w:r>
    </w:p>
    <w:p w14:paraId="3DE79CD1" w14:textId="123D5030" w:rsidR="003E332E" w:rsidRDefault="003E332E" w:rsidP="0004289F">
      <w:pPr>
        <w:spacing w:after="0" w:line="240" w:lineRule="auto"/>
        <w:jc w:val="both"/>
        <w:rPr>
          <w:rFonts w:ascii="Calibri" w:hAnsi="Calibri" w:cs="Calibri"/>
          <w:color w:val="000000" w:themeColor="text1"/>
          <w:shd w:val="clear" w:color="auto" w:fill="FFFFFF"/>
        </w:rPr>
      </w:pPr>
    </w:p>
    <w:p w14:paraId="55E97C2D" w14:textId="56AAEFF3" w:rsidR="00BA25A4" w:rsidRDefault="00BA25A4" w:rsidP="00BA25A4">
      <w:pPr>
        <w:spacing w:after="0" w:line="240" w:lineRule="auto"/>
        <w:jc w:val="both"/>
        <w:rPr>
          <w:rFonts w:ascii="Calibri" w:hAnsi="Calibri" w:cs="Calibri"/>
          <w:color w:val="000000" w:themeColor="text1"/>
          <w:shd w:val="clear" w:color="auto" w:fill="FFFFFF"/>
        </w:rPr>
      </w:pPr>
      <w:r w:rsidRPr="00BA25A4">
        <w:rPr>
          <w:rFonts w:ascii="Calibri" w:hAnsi="Calibri" w:cs="Calibri"/>
          <w:color w:val="000000" w:themeColor="text1"/>
          <w:shd w:val="clear" w:color="auto" w:fill="FFFFFF"/>
        </w:rPr>
        <w:lastRenderedPageBreak/>
        <w:t>Exemple de nuisan</w:t>
      </w:r>
      <w:r>
        <w:rPr>
          <w:rFonts w:ascii="Calibri" w:hAnsi="Calibri" w:cs="Calibri"/>
          <w:color w:val="000000" w:themeColor="text1"/>
          <w:shd w:val="clear" w:color="auto" w:fill="FFFFFF"/>
        </w:rPr>
        <w:t>c</w:t>
      </w:r>
      <w:r w:rsidRPr="00BA25A4">
        <w:rPr>
          <w:rFonts w:ascii="Calibri" w:hAnsi="Calibri" w:cs="Calibri"/>
          <w:color w:val="000000" w:themeColor="text1"/>
          <w:shd w:val="clear" w:color="auto" w:fill="FFFFFF"/>
        </w:rPr>
        <w:t xml:space="preserve">es </w:t>
      </w:r>
      <w:r w:rsidR="0042758B">
        <w:rPr>
          <w:rFonts w:ascii="Calibri" w:hAnsi="Calibri" w:cs="Calibri"/>
          <w:color w:val="000000" w:themeColor="text1"/>
          <w:shd w:val="clear" w:color="auto" w:fill="FFFFFF"/>
        </w:rPr>
        <w:t>engendrées par les</w:t>
      </w:r>
      <w:r w:rsidRPr="00BA25A4">
        <w:rPr>
          <w:rFonts w:ascii="Calibri" w:hAnsi="Calibri" w:cs="Calibri"/>
          <w:color w:val="000000" w:themeColor="text1"/>
          <w:shd w:val="clear" w:color="auto" w:fill="FFFFFF"/>
        </w:rPr>
        <w:t xml:space="preserve"> plantations</w:t>
      </w:r>
      <w:r w:rsidR="0042758B">
        <w:rPr>
          <w:rFonts w:ascii="Calibri" w:hAnsi="Calibri" w:cs="Calibri"/>
          <w:color w:val="000000" w:themeColor="text1"/>
          <w:shd w:val="clear" w:color="auto" w:fill="FFFFFF"/>
        </w:rPr>
        <w:t xml:space="preserve"> monospécifiques</w:t>
      </w:r>
      <w:r w:rsidRPr="00BA25A4">
        <w:rPr>
          <w:rFonts w:ascii="Calibri" w:hAnsi="Calibri" w:cs="Calibri"/>
          <w:color w:val="000000" w:themeColor="text1"/>
          <w:shd w:val="clear" w:color="auto" w:fill="FFFFFF"/>
        </w:rPr>
        <w:t xml:space="preserve"> d'eucalyptus</w:t>
      </w:r>
      <w:r w:rsidR="005A665E">
        <w:rPr>
          <w:rStyle w:val="Appelnotedebasdep"/>
        </w:rPr>
        <w:footnoteReference w:id="56"/>
      </w:r>
      <w:r w:rsidRPr="00BA25A4">
        <w:rPr>
          <w:rFonts w:ascii="Calibri" w:hAnsi="Calibri" w:cs="Calibri"/>
          <w:color w:val="000000" w:themeColor="text1"/>
          <w:shd w:val="clear" w:color="auto" w:fill="FFFFFF"/>
        </w:rPr>
        <w:t xml:space="preserve"> :</w:t>
      </w:r>
    </w:p>
    <w:p w14:paraId="3B393A7D" w14:textId="77777777" w:rsidR="00BA25A4" w:rsidRPr="00BA25A4" w:rsidRDefault="00BA25A4" w:rsidP="00BA25A4">
      <w:pPr>
        <w:spacing w:after="0" w:line="240" w:lineRule="auto"/>
        <w:jc w:val="both"/>
        <w:rPr>
          <w:rFonts w:ascii="Calibri" w:hAnsi="Calibri" w:cs="Calibri"/>
          <w:color w:val="000000" w:themeColor="text1"/>
          <w:shd w:val="clear" w:color="auto" w:fill="FFFFFF"/>
        </w:rPr>
      </w:pPr>
    </w:p>
    <w:p w14:paraId="794DA3BC" w14:textId="1D85A3A8" w:rsidR="00BA25A4" w:rsidRPr="00BA25A4" w:rsidRDefault="00BA25A4" w:rsidP="00BA25A4">
      <w:pPr>
        <w:spacing w:after="0" w:line="240" w:lineRule="auto"/>
        <w:jc w:val="both"/>
        <w:rPr>
          <w:rFonts w:ascii="Calibri" w:hAnsi="Calibri" w:cs="Calibri"/>
          <w:color w:val="000000" w:themeColor="text1"/>
          <w:shd w:val="clear" w:color="auto" w:fill="FFFFFF"/>
        </w:rPr>
      </w:pPr>
      <w:r w:rsidRPr="00BA25A4">
        <w:rPr>
          <w:rFonts w:ascii="Calibri" w:hAnsi="Calibri" w:cs="Calibri"/>
          <w:color w:val="000000" w:themeColor="text1"/>
          <w:shd w:val="clear" w:color="auto" w:fill="FFFFFF"/>
        </w:rPr>
        <w:t xml:space="preserve">1) </w:t>
      </w:r>
      <w:r w:rsidRPr="00BA25A4">
        <w:rPr>
          <w:rFonts w:ascii="Calibri" w:hAnsi="Calibri" w:cs="Calibri"/>
          <w:color w:val="000000" w:themeColor="text1"/>
          <w:u w:val="single"/>
          <w:shd w:val="clear" w:color="auto" w:fill="FFFFFF"/>
        </w:rPr>
        <w:t>Biodiversité ravagée</w:t>
      </w:r>
      <w:r w:rsidRPr="00BA25A4">
        <w:rPr>
          <w:rFonts w:ascii="Calibri" w:hAnsi="Calibri" w:cs="Calibri"/>
          <w:color w:val="000000" w:themeColor="text1"/>
          <w:shd w:val="clear" w:color="auto" w:fill="FFFFFF"/>
        </w:rPr>
        <w:t xml:space="preserve"> : Ces plantations destinées à la papeterie envahissent la savane brésilienne, le Cerrado, provoquant d'énormes dégâts sur la nature des sols et les espèces variées d'herbes, d'insectes, d'oiseaux...</w:t>
      </w:r>
    </w:p>
    <w:p w14:paraId="5539F73C" w14:textId="439DE397" w:rsidR="00BA25A4" w:rsidRDefault="00BA25A4" w:rsidP="00BA25A4">
      <w:pPr>
        <w:spacing w:after="0" w:line="240" w:lineRule="auto"/>
        <w:jc w:val="both"/>
        <w:rPr>
          <w:rFonts w:ascii="Calibri" w:hAnsi="Calibri" w:cs="Calibri"/>
          <w:color w:val="000000" w:themeColor="text1"/>
          <w:shd w:val="clear" w:color="auto" w:fill="FFFFFF"/>
        </w:rPr>
      </w:pPr>
      <w:r w:rsidRPr="00BA25A4">
        <w:rPr>
          <w:rFonts w:ascii="Calibri" w:hAnsi="Calibri" w:cs="Calibri"/>
          <w:color w:val="000000" w:themeColor="text1"/>
          <w:shd w:val="clear" w:color="auto" w:fill="FFFFFF"/>
        </w:rPr>
        <w:t xml:space="preserve">2) </w:t>
      </w:r>
      <w:r w:rsidRPr="00BA25A4">
        <w:rPr>
          <w:rFonts w:ascii="Calibri" w:hAnsi="Calibri" w:cs="Calibri"/>
          <w:color w:val="000000" w:themeColor="text1"/>
          <w:u w:val="single"/>
          <w:shd w:val="clear" w:color="auto" w:fill="FFFFFF"/>
        </w:rPr>
        <w:t>La forêt primaire sacrifiée</w:t>
      </w:r>
      <w:r w:rsidRPr="00BA25A4">
        <w:rPr>
          <w:rFonts w:ascii="Calibri" w:hAnsi="Calibri" w:cs="Calibri"/>
          <w:color w:val="000000" w:themeColor="text1"/>
          <w:shd w:val="clear" w:color="auto" w:fill="FFFFFF"/>
        </w:rPr>
        <w:t xml:space="preserve"> : Le système de subventions au reboisement mis en place par le Chili - pourtant considéré comme un modèle en Amérique latine, a conduit les paysans à raser une partie de la forêt naturelle pour y planter des eucalyptus.</w:t>
      </w:r>
    </w:p>
    <w:p w14:paraId="1B30EBA1" w14:textId="77777777" w:rsidR="00BA25A4" w:rsidRDefault="00BA25A4" w:rsidP="00BA25A4">
      <w:pPr>
        <w:spacing w:after="0" w:line="240" w:lineRule="auto"/>
        <w:jc w:val="both"/>
        <w:rPr>
          <w:rFonts w:ascii="Calibri" w:hAnsi="Calibri" w:cs="Calibri"/>
          <w:color w:val="000000" w:themeColor="text1"/>
          <w:shd w:val="clear" w:color="auto" w:fill="FFFFFF"/>
        </w:rPr>
      </w:pPr>
    </w:p>
    <w:p w14:paraId="2E2E1FA5" w14:textId="10E44E6E" w:rsidR="003E332E" w:rsidRDefault="003E332E" w:rsidP="0004289F">
      <w:pPr>
        <w:spacing w:after="0" w:line="240" w:lineRule="auto"/>
        <w:jc w:val="both"/>
        <w:rPr>
          <w:rFonts w:ascii="Calibri" w:hAnsi="Calibri" w:cs="Calibri"/>
          <w:color w:val="000000" w:themeColor="text1"/>
          <w:shd w:val="clear" w:color="auto" w:fill="FFFFFF"/>
        </w:rPr>
      </w:pPr>
      <w:r>
        <w:rPr>
          <w:rFonts w:ascii="Calibri" w:hAnsi="Calibri" w:cs="Calibri"/>
          <w:color w:val="000000" w:themeColor="text1"/>
          <w:shd w:val="clear" w:color="auto" w:fill="FFFFFF"/>
        </w:rPr>
        <w:t>Pour résumer :</w:t>
      </w:r>
    </w:p>
    <w:p w14:paraId="05978C23" w14:textId="21A18F54" w:rsidR="003E332E" w:rsidRDefault="003E332E" w:rsidP="0004289F">
      <w:pPr>
        <w:spacing w:after="0" w:line="240" w:lineRule="auto"/>
        <w:jc w:val="both"/>
        <w:rPr>
          <w:rFonts w:ascii="Calibri" w:hAnsi="Calibri" w:cs="Calibri"/>
          <w:color w:val="000000" w:themeColor="text1"/>
          <w:shd w:val="clear" w:color="auto" w:fill="FFFFFF"/>
        </w:rPr>
      </w:pPr>
    </w:p>
    <w:p w14:paraId="3AE72492" w14:textId="48BA7BF9" w:rsidR="003E332E" w:rsidRPr="003E332E" w:rsidRDefault="003E332E" w:rsidP="00DA3C46">
      <w:pPr>
        <w:pStyle w:val="Paragraphedeliste"/>
        <w:numPr>
          <w:ilvl w:val="0"/>
          <w:numId w:val="72"/>
        </w:numPr>
        <w:spacing w:after="0" w:line="240" w:lineRule="auto"/>
        <w:ind w:left="426"/>
        <w:jc w:val="both"/>
        <w:rPr>
          <w:rFonts w:ascii="Calibri" w:hAnsi="Calibri" w:cs="Calibri"/>
          <w:color w:val="000000" w:themeColor="text1"/>
          <w:shd w:val="clear" w:color="auto" w:fill="FFFFFF"/>
        </w:rPr>
      </w:pPr>
      <w:r w:rsidRPr="003E332E">
        <w:rPr>
          <w:rFonts w:ascii="Calibri" w:hAnsi="Calibri" w:cs="Calibri"/>
          <w:color w:val="000000" w:themeColor="text1"/>
          <w:shd w:val="clear" w:color="auto" w:fill="FFFFFF"/>
        </w:rPr>
        <w:t>Ils sont pyrogènes, c’est à dire très inflammables et propagent les feux de forêts. Ils génèrent des risques de feux de forêts de grande ampleur.</w:t>
      </w:r>
    </w:p>
    <w:p w14:paraId="5072D971" w14:textId="7A863A95" w:rsidR="003E332E" w:rsidRPr="003E332E" w:rsidRDefault="003E332E" w:rsidP="00DA3C46">
      <w:pPr>
        <w:pStyle w:val="Paragraphedeliste"/>
        <w:numPr>
          <w:ilvl w:val="0"/>
          <w:numId w:val="72"/>
        </w:numPr>
        <w:spacing w:after="0" w:line="240" w:lineRule="auto"/>
        <w:ind w:left="426"/>
        <w:jc w:val="both"/>
        <w:rPr>
          <w:rFonts w:ascii="Calibri" w:hAnsi="Calibri" w:cs="Calibri"/>
          <w:color w:val="000000" w:themeColor="text1"/>
          <w:shd w:val="clear" w:color="auto" w:fill="FFFFFF"/>
        </w:rPr>
      </w:pPr>
      <w:r w:rsidRPr="003E332E">
        <w:rPr>
          <w:rFonts w:ascii="Calibri" w:hAnsi="Calibri" w:cs="Calibri"/>
          <w:color w:val="000000" w:themeColor="text1"/>
          <w:shd w:val="clear" w:color="auto" w:fill="FFFFFF"/>
        </w:rPr>
        <w:t>Le tapis de feuilles au sol (la litière) est très inflammable et toxique.</w:t>
      </w:r>
    </w:p>
    <w:p w14:paraId="4E045A4A" w14:textId="1D8A17FB" w:rsidR="003E332E" w:rsidRPr="003E332E" w:rsidRDefault="003E332E" w:rsidP="00DA3C46">
      <w:pPr>
        <w:pStyle w:val="Paragraphedeliste"/>
        <w:numPr>
          <w:ilvl w:val="0"/>
          <w:numId w:val="72"/>
        </w:numPr>
        <w:spacing w:after="0" w:line="240" w:lineRule="auto"/>
        <w:ind w:left="426"/>
        <w:jc w:val="both"/>
        <w:rPr>
          <w:rFonts w:ascii="Calibri" w:hAnsi="Calibri" w:cs="Calibri"/>
          <w:color w:val="000000" w:themeColor="text1"/>
          <w:shd w:val="clear" w:color="auto" w:fill="FFFFFF"/>
        </w:rPr>
      </w:pPr>
      <w:r w:rsidRPr="003E332E">
        <w:rPr>
          <w:rFonts w:ascii="Calibri" w:hAnsi="Calibri" w:cs="Calibri"/>
          <w:color w:val="000000" w:themeColor="text1"/>
          <w:shd w:val="clear" w:color="auto" w:fill="FFFFFF"/>
        </w:rPr>
        <w:t>Ils appauvrissent de la biodiversité et la fertilité. Ils empêchent toute espèce végétale de se développer à proximité.</w:t>
      </w:r>
    </w:p>
    <w:p w14:paraId="6072E1FF" w14:textId="77777777" w:rsidR="003E332E" w:rsidRPr="003E332E" w:rsidRDefault="003E332E" w:rsidP="00DA3C46">
      <w:pPr>
        <w:pStyle w:val="Paragraphedeliste"/>
        <w:numPr>
          <w:ilvl w:val="0"/>
          <w:numId w:val="72"/>
        </w:numPr>
        <w:spacing w:after="0" w:line="240" w:lineRule="auto"/>
        <w:ind w:left="426"/>
        <w:jc w:val="both"/>
        <w:rPr>
          <w:rFonts w:ascii="Calibri" w:hAnsi="Calibri" w:cs="Calibri"/>
          <w:color w:val="000000" w:themeColor="text1"/>
          <w:shd w:val="clear" w:color="auto" w:fill="FFFFFF"/>
        </w:rPr>
      </w:pPr>
      <w:r w:rsidRPr="003E332E">
        <w:rPr>
          <w:rFonts w:ascii="Calibri" w:hAnsi="Calibri" w:cs="Calibri"/>
          <w:color w:val="000000" w:themeColor="text1"/>
          <w:shd w:val="clear" w:color="auto" w:fill="FFFFFF"/>
        </w:rPr>
        <w:t>Ils sont gourmands en eau (!) et peuvent faire baisser dramatiquement la nappe phréatique.</w:t>
      </w:r>
    </w:p>
    <w:p w14:paraId="5608F206" w14:textId="77777777" w:rsidR="003E332E" w:rsidRPr="00A572AA" w:rsidRDefault="003E332E" w:rsidP="0004289F">
      <w:pPr>
        <w:spacing w:after="0" w:line="240" w:lineRule="auto"/>
        <w:jc w:val="both"/>
        <w:rPr>
          <w:rFonts w:ascii="Calibri" w:hAnsi="Calibri" w:cs="Calibri"/>
        </w:rPr>
      </w:pPr>
    </w:p>
    <w:p w14:paraId="16178855" w14:textId="515FF6DF" w:rsidR="00A572AA" w:rsidRDefault="00A572AA" w:rsidP="0004289F">
      <w:pPr>
        <w:spacing w:after="0" w:line="240" w:lineRule="auto"/>
        <w:jc w:val="both"/>
        <w:rPr>
          <w:rFonts w:ascii="Calibri" w:hAnsi="Calibri" w:cs="Calibri"/>
        </w:rPr>
      </w:pPr>
      <w:r>
        <w:rPr>
          <w:rFonts w:ascii="Calibri" w:hAnsi="Calibri" w:cs="Calibri"/>
        </w:rPr>
        <w:t>C’est pourquoi nous ne recommandons pas l’utilisation des eucalyptus.</w:t>
      </w:r>
    </w:p>
    <w:p w14:paraId="698E9D61" w14:textId="5F8815F7" w:rsidR="00A572AA" w:rsidRDefault="00A572AA" w:rsidP="0004289F">
      <w:pPr>
        <w:spacing w:after="0" w:line="240" w:lineRule="auto"/>
        <w:jc w:val="both"/>
        <w:rPr>
          <w:rFonts w:ascii="Calibri" w:hAnsi="Calibri" w:cs="Calibri"/>
        </w:rPr>
      </w:pPr>
    </w:p>
    <w:p w14:paraId="09B79E13" w14:textId="6D1D4EC2" w:rsidR="00BA25A4" w:rsidRDefault="00BA25A4" w:rsidP="00DA3C46">
      <w:pPr>
        <w:pStyle w:val="Titre2"/>
        <w:numPr>
          <w:ilvl w:val="1"/>
          <w:numId w:val="83"/>
        </w:numPr>
      </w:pPr>
      <w:bookmarkStart w:id="26" w:name="_Toc139181317"/>
      <w:r>
        <w:t>L’introduction des plantes invasives</w:t>
      </w:r>
      <w:bookmarkEnd w:id="26"/>
    </w:p>
    <w:p w14:paraId="02BF8E02" w14:textId="77777777" w:rsidR="00BA25A4" w:rsidRDefault="00BA25A4" w:rsidP="0004289F">
      <w:pPr>
        <w:spacing w:after="0" w:line="240" w:lineRule="auto"/>
        <w:jc w:val="both"/>
        <w:rPr>
          <w:rFonts w:ascii="Calibri" w:hAnsi="Calibri" w:cs="Calibri"/>
        </w:rPr>
      </w:pPr>
    </w:p>
    <w:p w14:paraId="7A115C89" w14:textId="2DD2FCE9" w:rsidR="00CA5319" w:rsidRDefault="00CA5319" w:rsidP="00BA25A4">
      <w:pPr>
        <w:pStyle w:val="Titre3"/>
      </w:pPr>
      <w:bookmarkStart w:id="27" w:name="_Toc139181318"/>
      <w:r>
        <w:t>Définition ou caractéristique</w:t>
      </w:r>
      <w:r w:rsidR="00BA25A4">
        <w:t>s</w:t>
      </w:r>
      <w:r>
        <w:t xml:space="preserve"> des plantes invasives</w:t>
      </w:r>
      <w:bookmarkEnd w:id="27"/>
    </w:p>
    <w:p w14:paraId="3FC5CF54" w14:textId="7C7D2F56" w:rsidR="00CA5319" w:rsidRDefault="00CA5319" w:rsidP="0004289F">
      <w:pPr>
        <w:spacing w:after="0" w:line="240" w:lineRule="auto"/>
        <w:jc w:val="both"/>
        <w:rPr>
          <w:rFonts w:ascii="Calibri" w:hAnsi="Calibri" w:cs="Calibri"/>
        </w:rPr>
      </w:pPr>
    </w:p>
    <w:p w14:paraId="06D25E20" w14:textId="77777777" w:rsidR="00CA5319" w:rsidRDefault="00CA5319" w:rsidP="00CA5319">
      <w:pPr>
        <w:spacing w:after="0" w:line="240" w:lineRule="auto"/>
        <w:jc w:val="both"/>
        <w:rPr>
          <w:rFonts w:ascii="Calibri" w:hAnsi="Calibri" w:cs="Calibri"/>
        </w:rPr>
      </w:pPr>
      <w:r>
        <w:rPr>
          <w:rFonts w:ascii="Calibri" w:hAnsi="Calibri" w:cs="Calibri"/>
        </w:rPr>
        <w:t>Les plantes envahissantes ou invasives sont celles qui, introduites dans un milieu ou écosystème donné, le perturbe et, comme elles sont plus concurrentielles et agressives que les espèces locales, provoquent leur disparition.</w:t>
      </w:r>
    </w:p>
    <w:p w14:paraId="1A10A7F4" w14:textId="77777777" w:rsidR="00B74F91" w:rsidRDefault="00B74F91" w:rsidP="0004289F">
      <w:pPr>
        <w:spacing w:after="0" w:line="240" w:lineRule="auto"/>
        <w:jc w:val="both"/>
        <w:rPr>
          <w:rFonts w:ascii="Calibri" w:hAnsi="Calibri" w:cs="Calibri"/>
        </w:rPr>
      </w:pPr>
    </w:p>
    <w:p w14:paraId="559F2A05" w14:textId="0340CFC4" w:rsidR="00A572AA" w:rsidRDefault="00CA5319" w:rsidP="00BA25A4">
      <w:pPr>
        <w:pStyle w:val="Titre3"/>
      </w:pPr>
      <w:bookmarkStart w:id="28" w:name="_Toc139181319"/>
      <w:r>
        <w:t>Manque de méfiance</w:t>
      </w:r>
      <w:r w:rsidR="00B74F91">
        <w:t xml:space="preserve"> de tout un chacun</w:t>
      </w:r>
      <w:r>
        <w:t xml:space="preserve"> face</w:t>
      </w:r>
      <w:r w:rsidR="00A572AA">
        <w:t xml:space="preserve"> </w:t>
      </w:r>
      <w:r>
        <w:t>aux</w:t>
      </w:r>
      <w:r w:rsidR="00A572AA">
        <w:t xml:space="preserve"> plantes invasives</w:t>
      </w:r>
      <w:bookmarkEnd w:id="28"/>
    </w:p>
    <w:p w14:paraId="05AF8EBE" w14:textId="210942F9" w:rsidR="00A572AA" w:rsidRDefault="00A572AA" w:rsidP="0004289F">
      <w:pPr>
        <w:spacing w:after="0" w:line="240" w:lineRule="auto"/>
        <w:jc w:val="both"/>
        <w:rPr>
          <w:rFonts w:ascii="Calibri" w:hAnsi="Calibri" w:cs="Calibri"/>
        </w:rPr>
      </w:pPr>
    </w:p>
    <w:p w14:paraId="13EFC681" w14:textId="7359FF31" w:rsidR="00AC5B1F" w:rsidRDefault="00AC5B1F" w:rsidP="0004289F">
      <w:pPr>
        <w:spacing w:after="0" w:line="240" w:lineRule="auto"/>
        <w:jc w:val="both"/>
        <w:rPr>
          <w:rFonts w:ascii="Calibri" w:hAnsi="Calibri" w:cs="Calibri"/>
        </w:rPr>
      </w:pPr>
      <w:r>
        <w:rPr>
          <w:rFonts w:ascii="Calibri" w:hAnsi="Calibri" w:cs="Calibri"/>
        </w:rPr>
        <w:t xml:space="preserve">Souvent, les plantes invasives sont attractives pour les hommes et les animaux : elles sont souvent jolies et ornementales. Leurs fruits peuvent être délicieux. Et de ce fait, ne s’en méfiant pas, les hommes ont eu souvent envie, à partir de leur milieu d’origine, de les importer pour les planter chez eux. </w:t>
      </w:r>
      <w:r w:rsidRPr="00AC5B1F">
        <w:rPr>
          <w:rFonts w:ascii="Calibri" w:hAnsi="Calibri" w:cs="Calibri"/>
        </w:rPr>
        <w:t>Et vous vous retrouve</w:t>
      </w:r>
      <w:r>
        <w:rPr>
          <w:rFonts w:ascii="Calibri" w:hAnsi="Calibri" w:cs="Calibri"/>
        </w:rPr>
        <w:t>z, au bout de plusieurs années,</w:t>
      </w:r>
      <w:r w:rsidRPr="00AC5B1F">
        <w:rPr>
          <w:rFonts w:ascii="Calibri" w:hAnsi="Calibri" w:cs="Calibri"/>
        </w:rPr>
        <w:t xml:space="preserve"> avec des plantes invasives établissant de vastes colonies monospécifiques, un phénomène inhabituel dans leur milieu d'origine.</w:t>
      </w:r>
      <w:r w:rsidR="004841D8">
        <w:rPr>
          <w:rFonts w:ascii="Calibri" w:hAnsi="Calibri" w:cs="Calibri"/>
        </w:rPr>
        <w:t xml:space="preserve"> Dans le doute, mieux vaut utiliser les espèces locales que d’importer des espèces exotiques.</w:t>
      </w:r>
    </w:p>
    <w:p w14:paraId="044D50C1" w14:textId="7045BF09" w:rsidR="00D37D64" w:rsidRDefault="00D37D64" w:rsidP="0004289F">
      <w:pPr>
        <w:spacing w:after="0" w:line="240" w:lineRule="auto"/>
        <w:jc w:val="both"/>
        <w:rPr>
          <w:rFonts w:ascii="Calibri" w:hAnsi="Calibri" w:cs="Calibri"/>
          <w:color w:val="000000" w:themeColor="text1"/>
        </w:rPr>
      </w:pPr>
    </w:p>
    <w:p w14:paraId="3EBEA000" w14:textId="686CD3F2" w:rsidR="007C18F9" w:rsidRDefault="007C18F9" w:rsidP="00BA25A4">
      <w:pPr>
        <w:pStyle w:val="Titre3"/>
      </w:pPr>
      <w:bookmarkStart w:id="29" w:name="_Toc139181320"/>
      <w:r w:rsidRPr="007C18F9">
        <w:t>Coûts économiques et écologiques causées par les espèces invasives</w:t>
      </w:r>
      <w:bookmarkEnd w:id="29"/>
    </w:p>
    <w:p w14:paraId="35808E4C" w14:textId="12E871E5" w:rsidR="007C18F9" w:rsidRDefault="007C18F9" w:rsidP="0004289F">
      <w:pPr>
        <w:spacing w:after="0" w:line="240" w:lineRule="auto"/>
        <w:jc w:val="both"/>
        <w:rPr>
          <w:rFonts w:ascii="Calibri" w:hAnsi="Calibri" w:cs="Calibri"/>
          <w:color w:val="000000" w:themeColor="text1"/>
        </w:rPr>
      </w:pPr>
    </w:p>
    <w:p w14:paraId="4060CEC1" w14:textId="651D4077" w:rsidR="00CA5319" w:rsidRDefault="00CA5319" w:rsidP="00CA5319">
      <w:pPr>
        <w:spacing w:after="0" w:line="240" w:lineRule="auto"/>
        <w:jc w:val="both"/>
        <w:rPr>
          <w:rFonts w:ascii="Calibri" w:hAnsi="Calibri" w:cs="Calibri"/>
          <w:color w:val="000000" w:themeColor="text1"/>
        </w:rPr>
      </w:pPr>
      <w:r w:rsidRPr="00CA5319">
        <w:rPr>
          <w:rFonts w:ascii="Calibri" w:hAnsi="Calibri" w:cs="Calibri"/>
          <w:color w:val="000000" w:themeColor="text1"/>
        </w:rPr>
        <w:t>Exemples de coûts économiques engendrés par des espèces exotiques envahissantes dans différents pays :</w:t>
      </w:r>
    </w:p>
    <w:p w14:paraId="00D541C9" w14:textId="77777777" w:rsidR="00CA5319" w:rsidRPr="00CA5319" w:rsidRDefault="00CA5319" w:rsidP="00CA5319">
      <w:pPr>
        <w:spacing w:after="0" w:line="240" w:lineRule="auto"/>
        <w:jc w:val="both"/>
        <w:rPr>
          <w:rFonts w:ascii="Calibri" w:hAnsi="Calibri" w:cs="Calibri"/>
          <w:color w:val="000000" w:themeColor="text1"/>
        </w:rPr>
      </w:pPr>
    </w:p>
    <w:p w14:paraId="5CE88818" w14:textId="5AEB75E3" w:rsidR="00CA5319" w:rsidRPr="00CA5319" w:rsidRDefault="00CA5319" w:rsidP="00CA5319">
      <w:pPr>
        <w:spacing w:after="0" w:line="240" w:lineRule="auto"/>
        <w:jc w:val="both"/>
        <w:rPr>
          <w:rFonts w:ascii="Calibri" w:hAnsi="Calibri" w:cs="Calibri"/>
          <w:color w:val="000000" w:themeColor="text1"/>
        </w:rPr>
      </w:pPr>
      <w:r w:rsidRPr="00CA5319">
        <w:rPr>
          <w:rFonts w:ascii="Calibri" w:hAnsi="Calibri" w:cs="Calibri"/>
          <w:color w:val="000000" w:themeColor="text1"/>
        </w:rPr>
        <w:t>• Les coûts annuels des dommages causés par plusieurs espèces exotiques de plantes et d’animaux aux Etats-Unis sont estimés à 137 milliards US</w:t>
      </w:r>
      <w:r w:rsidR="00542713">
        <w:rPr>
          <w:rFonts w:ascii="Calibri" w:hAnsi="Calibri" w:cs="Calibri"/>
          <w:color w:val="000000" w:themeColor="text1"/>
        </w:rPr>
        <w:t xml:space="preserve"> </w:t>
      </w:r>
      <w:r w:rsidRPr="00CA5319">
        <w:rPr>
          <w:rFonts w:ascii="Calibri" w:hAnsi="Calibri" w:cs="Calibri"/>
          <w:color w:val="000000" w:themeColor="text1"/>
        </w:rPr>
        <w:t>$.</w:t>
      </w:r>
    </w:p>
    <w:p w14:paraId="5FB9F395" w14:textId="16165C76" w:rsidR="00CA5319" w:rsidRPr="00CA5319" w:rsidRDefault="00CA5319" w:rsidP="00CA5319">
      <w:pPr>
        <w:spacing w:after="0" w:line="240" w:lineRule="auto"/>
        <w:jc w:val="both"/>
        <w:rPr>
          <w:rFonts w:ascii="Calibri" w:hAnsi="Calibri" w:cs="Calibri"/>
          <w:color w:val="000000" w:themeColor="text1"/>
        </w:rPr>
      </w:pPr>
      <w:r w:rsidRPr="00CA5319">
        <w:rPr>
          <w:rFonts w:ascii="Calibri" w:hAnsi="Calibri" w:cs="Calibri"/>
          <w:color w:val="000000" w:themeColor="text1"/>
        </w:rPr>
        <w:t>• Les coûts annuels sur les agro-systèmes australiens de 6 mauvaises herbes sont estimés à 105 millions US</w:t>
      </w:r>
      <w:r w:rsidR="00542713">
        <w:rPr>
          <w:rFonts w:ascii="Calibri" w:hAnsi="Calibri" w:cs="Calibri"/>
          <w:color w:val="000000" w:themeColor="text1"/>
        </w:rPr>
        <w:t xml:space="preserve"> </w:t>
      </w:r>
      <w:r w:rsidRPr="00CA5319">
        <w:rPr>
          <w:rFonts w:ascii="Calibri" w:hAnsi="Calibri" w:cs="Calibri"/>
          <w:color w:val="000000" w:themeColor="text1"/>
        </w:rPr>
        <w:t>$.</w:t>
      </w:r>
    </w:p>
    <w:p w14:paraId="7BC2866C" w14:textId="72E5C9EB" w:rsidR="00CA5319" w:rsidRPr="00CA5319" w:rsidRDefault="00CA5319" w:rsidP="00CA5319">
      <w:pPr>
        <w:spacing w:after="0" w:line="240" w:lineRule="auto"/>
        <w:jc w:val="both"/>
        <w:rPr>
          <w:rFonts w:ascii="Calibri" w:hAnsi="Calibri" w:cs="Calibri"/>
          <w:color w:val="000000" w:themeColor="text1"/>
        </w:rPr>
      </w:pPr>
      <w:r w:rsidRPr="00CA5319">
        <w:rPr>
          <w:rFonts w:ascii="Calibri" w:hAnsi="Calibri" w:cs="Calibri"/>
          <w:color w:val="000000" w:themeColor="text1"/>
        </w:rPr>
        <w:t>• Les coûts annuels de la jacinthe d’eau dans 7 pays africains sont estimés entre 20 et 50 millions US</w:t>
      </w:r>
      <w:r w:rsidR="00542713">
        <w:rPr>
          <w:rFonts w:ascii="Calibri" w:hAnsi="Calibri" w:cs="Calibri"/>
          <w:color w:val="000000" w:themeColor="text1"/>
        </w:rPr>
        <w:t xml:space="preserve"> </w:t>
      </w:r>
      <w:r w:rsidRPr="00CA5319">
        <w:rPr>
          <w:rFonts w:ascii="Calibri" w:hAnsi="Calibri" w:cs="Calibri"/>
          <w:color w:val="000000" w:themeColor="text1"/>
        </w:rPr>
        <w:t>$.</w:t>
      </w:r>
    </w:p>
    <w:p w14:paraId="6D9A5D8C" w14:textId="77777777" w:rsidR="00CA5319" w:rsidRDefault="00CA5319" w:rsidP="00CA5319">
      <w:pPr>
        <w:spacing w:after="0" w:line="240" w:lineRule="auto"/>
        <w:jc w:val="both"/>
        <w:rPr>
          <w:rFonts w:ascii="Calibri" w:hAnsi="Calibri" w:cs="Calibri"/>
          <w:color w:val="000000" w:themeColor="text1"/>
        </w:rPr>
      </w:pPr>
    </w:p>
    <w:p w14:paraId="70ABE1A1" w14:textId="10497857" w:rsidR="00CA5319" w:rsidRPr="00CA5319" w:rsidRDefault="00CA5319" w:rsidP="00CA5319">
      <w:pPr>
        <w:spacing w:after="0" w:line="240" w:lineRule="auto"/>
        <w:jc w:val="both"/>
        <w:rPr>
          <w:rFonts w:ascii="Calibri" w:hAnsi="Calibri" w:cs="Calibri"/>
          <w:color w:val="000000" w:themeColor="text1"/>
        </w:rPr>
      </w:pPr>
      <w:r w:rsidRPr="00CA5319">
        <w:rPr>
          <w:rFonts w:ascii="Calibri" w:hAnsi="Calibri" w:cs="Calibri"/>
          <w:color w:val="000000" w:themeColor="text1"/>
        </w:rPr>
        <w:t xml:space="preserve">Source : </w:t>
      </w:r>
      <w:r w:rsidRPr="00CA5319">
        <w:rPr>
          <w:rFonts w:ascii="Calibri" w:hAnsi="Calibri" w:cs="Calibri"/>
          <w:i/>
          <w:iCs/>
          <w:color w:val="000000" w:themeColor="text1"/>
        </w:rPr>
        <w:t>Espèces exotiques envahissantes dans les collectivités françaises d’outre-mer. Etat des lieux et recommandations</w:t>
      </w:r>
      <w:r w:rsidRPr="00CA5319">
        <w:rPr>
          <w:rFonts w:ascii="Calibri" w:hAnsi="Calibri" w:cs="Calibri"/>
          <w:color w:val="000000" w:themeColor="text1"/>
        </w:rPr>
        <w:t>, Yohann Soubeyran, Planète Nature - Groupe outre-mer, UICN Comité Français, juillet 2008.</w:t>
      </w:r>
    </w:p>
    <w:p w14:paraId="090F0BB6" w14:textId="5603B530" w:rsidR="007C18F9" w:rsidRDefault="007C18F9" w:rsidP="0004289F">
      <w:pPr>
        <w:spacing w:after="0" w:line="240" w:lineRule="auto"/>
        <w:jc w:val="both"/>
        <w:rPr>
          <w:rFonts w:ascii="Calibri" w:hAnsi="Calibri" w:cs="Calibri"/>
          <w:color w:val="000000" w:themeColor="text1"/>
        </w:rPr>
      </w:pPr>
    </w:p>
    <w:tbl>
      <w:tblPr>
        <w:tblW w:w="0" w:type="auto"/>
        <w:jc w:val="center"/>
        <w:tblCellMar>
          <w:left w:w="0" w:type="dxa"/>
          <w:right w:w="0" w:type="dxa"/>
        </w:tblCellMar>
        <w:tblLook w:val="0600" w:firstRow="0" w:lastRow="0" w:firstColumn="0" w:lastColumn="0" w:noHBand="1" w:noVBand="1"/>
      </w:tblPr>
      <w:tblGrid>
        <w:gridCol w:w="4074"/>
        <w:gridCol w:w="3004"/>
        <w:gridCol w:w="3118"/>
      </w:tblGrid>
      <w:tr w:rsidR="00CA5319" w:rsidRPr="00CA5319" w14:paraId="53B0D511" w14:textId="77777777" w:rsidTr="005C361C">
        <w:trPr>
          <w:trHeight w:val="172"/>
          <w:jc w:val="center"/>
        </w:trPr>
        <w:tc>
          <w:tcPr>
            <w:tcW w:w="0" w:type="auto"/>
            <w:tcBorders>
              <w:top w:val="single" w:sz="8" w:space="0" w:color="000000"/>
              <w:left w:val="single" w:sz="8" w:space="0" w:color="000000"/>
              <w:bottom w:val="single" w:sz="8" w:space="0" w:color="000000"/>
              <w:right w:val="single" w:sz="8" w:space="0" w:color="000000"/>
            </w:tcBorders>
            <w:shd w:val="clear" w:color="auto" w:fill="D9DADB"/>
            <w:tcMar>
              <w:top w:w="15" w:type="dxa"/>
              <w:left w:w="15" w:type="dxa"/>
              <w:bottom w:w="0" w:type="dxa"/>
              <w:right w:w="15" w:type="dxa"/>
            </w:tcMar>
            <w:vAlign w:val="center"/>
            <w:hideMark/>
          </w:tcPr>
          <w:p w14:paraId="127A92C7" w14:textId="77777777" w:rsidR="00CA5319" w:rsidRPr="00CA5319" w:rsidRDefault="00CA5319" w:rsidP="00CA5319">
            <w:pPr>
              <w:spacing w:after="0" w:line="240" w:lineRule="auto"/>
              <w:jc w:val="center"/>
              <w:rPr>
                <w:rFonts w:ascii="Calibri" w:hAnsi="Calibri" w:cs="Calibri"/>
                <w:color w:val="000000" w:themeColor="text1"/>
              </w:rPr>
            </w:pPr>
            <w:r w:rsidRPr="00CA5319">
              <w:rPr>
                <w:rFonts w:ascii="Calibri" w:hAnsi="Calibri" w:cs="Calibri"/>
                <w:b/>
                <w:bCs/>
                <w:color w:val="000000" w:themeColor="text1"/>
              </w:rPr>
              <w:t>Menaces</w:t>
            </w:r>
          </w:p>
        </w:tc>
        <w:tc>
          <w:tcPr>
            <w:tcW w:w="3004" w:type="dxa"/>
            <w:tcBorders>
              <w:top w:val="single" w:sz="8" w:space="0" w:color="000000"/>
              <w:left w:val="single" w:sz="8" w:space="0" w:color="000000"/>
              <w:bottom w:val="single" w:sz="8" w:space="0" w:color="000000"/>
              <w:right w:val="single" w:sz="8" w:space="0" w:color="000000"/>
            </w:tcBorders>
            <w:shd w:val="clear" w:color="auto" w:fill="D9DADB"/>
            <w:tcMar>
              <w:top w:w="15" w:type="dxa"/>
              <w:left w:w="15" w:type="dxa"/>
              <w:bottom w:w="0" w:type="dxa"/>
              <w:right w:w="15" w:type="dxa"/>
            </w:tcMar>
            <w:hideMark/>
          </w:tcPr>
          <w:p w14:paraId="035D92D8" w14:textId="0F11DFB2" w:rsidR="00CA5319" w:rsidRPr="00CA5319" w:rsidRDefault="00CA5319" w:rsidP="00CA5319">
            <w:pPr>
              <w:spacing w:after="0" w:line="240" w:lineRule="auto"/>
              <w:jc w:val="center"/>
              <w:rPr>
                <w:rFonts w:ascii="Calibri" w:hAnsi="Calibri" w:cs="Calibri"/>
                <w:color w:val="000000" w:themeColor="text1"/>
              </w:rPr>
            </w:pPr>
            <w:r w:rsidRPr="00CA5319">
              <w:rPr>
                <w:rFonts w:ascii="Calibri" w:hAnsi="Calibri" w:cs="Calibri"/>
                <w:b/>
                <w:bCs/>
                <w:color w:val="000000" w:themeColor="text1"/>
              </w:rPr>
              <w:t>Espèces éteintes</w:t>
            </w:r>
            <w:r w:rsidR="005C361C">
              <w:rPr>
                <w:rFonts w:ascii="Calibri" w:hAnsi="Calibri" w:cs="Calibri"/>
                <w:b/>
                <w:bCs/>
                <w:color w:val="000000" w:themeColor="text1"/>
              </w:rPr>
              <w:t xml:space="preserve"> </w:t>
            </w:r>
            <w:r w:rsidRPr="00CA5319">
              <w:rPr>
                <w:rFonts w:ascii="Calibri" w:hAnsi="Calibri" w:cs="Calibri"/>
                <w:b/>
                <w:bCs/>
                <w:color w:val="000000" w:themeColor="text1"/>
              </w:rPr>
              <w:t>(EX, EW)</w:t>
            </w:r>
          </w:p>
        </w:tc>
        <w:tc>
          <w:tcPr>
            <w:tcW w:w="3118" w:type="dxa"/>
            <w:tcBorders>
              <w:top w:val="single" w:sz="8" w:space="0" w:color="000000"/>
              <w:left w:val="single" w:sz="8" w:space="0" w:color="000000"/>
              <w:bottom w:val="single" w:sz="8" w:space="0" w:color="000000"/>
              <w:right w:val="single" w:sz="8" w:space="0" w:color="000000"/>
            </w:tcBorders>
            <w:shd w:val="clear" w:color="auto" w:fill="D9DADB"/>
            <w:tcMar>
              <w:top w:w="15" w:type="dxa"/>
              <w:left w:w="15" w:type="dxa"/>
              <w:bottom w:w="0" w:type="dxa"/>
              <w:right w:w="15" w:type="dxa"/>
            </w:tcMar>
            <w:hideMark/>
          </w:tcPr>
          <w:p w14:paraId="37D724F0" w14:textId="25465243" w:rsidR="00CA5319" w:rsidRPr="00CA5319" w:rsidRDefault="00CA5319" w:rsidP="00CA5319">
            <w:pPr>
              <w:spacing w:after="0" w:line="240" w:lineRule="auto"/>
              <w:jc w:val="center"/>
              <w:rPr>
                <w:rFonts w:ascii="Calibri" w:hAnsi="Calibri" w:cs="Calibri"/>
                <w:color w:val="000000" w:themeColor="text1"/>
              </w:rPr>
            </w:pPr>
            <w:r w:rsidRPr="00CA5319">
              <w:rPr>
                <w:rFonts w:ascii="Calibri" w:hAnsi="Calibri" w:cs="Calibri"/>
                <w:b/>
                <w:bCs/>
                <w:color w:val="000000" w:themeColor="text1"/>
              </w:rPr>
              <w:t>Espèces menacées</w:t>
            </w:r>
            <w:r w:rsidR="005C361C">
              <w:rPr>
                <w:rFonts w:ascii="Calibri" w:hAnsi="Calibri" w:cs="Calibri"/>
                <w:b/>
                <w:bCs/>
                <w:color w:val="000000" w:themeColor="text1"/>
              </w:rPr>
              <w:t xml:space="preserve"> </w:t>
            </w:r>
            <w:r w:rsidRPr="00CA5319">
              <w:rPr>
                <w:rFonts w:ascii="Calibri" w:hAnsi="Calibri" w:cs="Calibri"/>
                <w:b/>
                <w:bCs/>
                <w:color w:val="000000" w:themeColor="text1"/>
              </w:rPr>
              <w:t>(CR, VU, EN)</w:t>
            </w:r>
          </w:p>
        </w:tc>
      </w:tr>
      <w:tr w:rsidR="00CA5319" w:rsidRPr="00CA5319" w14:paraId="6871E8D0" w14:textId="77777777" w:rsidTr="005C361C">
        <w:trPr>
          <w:trHeight w:val="290"/>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41EACAC3" w14:textId="77777777" w:rsidR="00CA5319" w:rsidRPr="00CA5319" w:rsidRDefault="00CA5319" w:rsidP="00CA5319">
            <w:pPr>
              <w:spacing w:after="0" w:line="240" w:lineRule="auto"/>
              <w:jc w:val="center"/>
              <w:rPr>
                <w:rFonts w:ascii="Calibri" w:hAnsi="Calibri" w:cs="Calibri"/>
                <w:color w:val="000000" w:themeColor="text1"/>
              </w:rPr>
            </w:pPr>
            <w:r w:rsidRPr="00CA5319">
              <w:rPr>
                <w:rFonts w:ascii="Calibri" w:hAnsi="Calibri" w:cs="Calibri"/>
                <w:color w:val="000000" w:themeColor="text1"/>
              </w:rPr>
              <w:lastRenderedPageBreak/>
              <w:t>Perte d'habitat naturel</w:t>
            </w:r>
          </w:p>
        </w:tc>
        <w:tc>
          <w:tcPr>
            <w:tcW w:w="300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67716FA8" w14:textId="77777777" w:rsidR="00CA5319" w:rsidRPr="00CA5319" w:rsidRDefault="00CA5319" w:rsidP="00CA5319">
            <w:pPr>
              <w:spacing w:after="0" w:line="240" w:lineRule="auto"/>
              <w:jc w:val="center"/>
              <w:rPr>
                <w:rFonts w:ascii="Calibri" w:hAnsi="Calibri" w:cs="Calibri"/>
                <w:color w:val="000000" w:themeColor="text1"/>
              </w:rPr>
            </w:pPr>
            <w:r w:rsidRPr="00CA5319">
              <w:rPr>
                <w:rFonts w:ascii="Calibri" w:hAnsi="Calibri" w:cs="Calibri"/>
                <w:color w:val="000000" w:themeColor="text1"/>
              </w:rPr>
              <w:t>163</w:t>
            </w:r>
          </w:p>
        </w:tc>
        <w:tc>
          <w:tcPr>
            <w:tcW w:w="311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05D5718D" w14:textId="77777777" w:rsidR="00CA5319" w:rsidRPr="00CA5319" w:rsidRDefault="00CA5319" w:rsidP="00CA5319">
            <w:pPr>
              <w:spacing w:after="0" w:line="240" w:lineRule="auto"/>
              <w:jc w:val="center"/>
              <w:rPr>
                <w:rFonts w:ascii="Calibri" w:hAnsi="Calibri" w:cs="Calibri"/>
                <w:color w:val="000000" w:themeColor="text1"/>
              </w:rPr>
            </w:pPr>
            <w:r w:rsidRPr="00CA5319">
              <w:rPr>
                <w:rFonts w:ascii="Calibri" w:hAnsi="Calibri" w:cs="Calibri"/>
                <w:color w:val="000000" w:themeColor="text1"/>
              </w:rPr>
              <w:t>7830</w:t>
            </w:r>
          </w:p>
        </w:tc>
      </w:tr>
      <w:tr w:rsidR="00CA5319" w:rsidRPr="00CA5319" w14:paraId="04AC82E5" w14:textId="77777777" w:rsidTr="005C361C">
        <w:trPr>
          <w:trHeight w:val="391"/>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74FD7569" w14:textId="77777777" w:rsidR="00CA5319" w:rsidRPr="00CA5319" w:rsidRDefault="00CA5319" w:rsidP="00CA5319">
            <w:pPr>
              <w:spacing w:after="0" w:line="240" w:lineRule="auto"/>
              <w:jc w:val="center"/>
              <w:rPr>
                <w:rFonts w:ascii="Calibri" w:hAnsi="Calibri" w:cs="Calibri"/>
                <w:color w:val="000000" w:themeColor="text1"/>
              </w:rPr>
            </w:pPr>
            <w:r w:rsidRPr="00CA5319">
              <w:rPr>
                <w:rFonts w:ascii="Calibri" w:hAnsi="Calibri" w:cs="Calibri"/>
                <w:color w:val="000000" w:themeColor="text1"/>
              </w:rPr>
              <w:t>Prélèvements directs (chasse, pêche, récolte)</w:t>
            </w:r>
          </w:p>
        </w:tc>
        <w:tc>
          <w:tcPr>
            <w:tcW w:w="300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3A8E3508" w14:textId="77777777" w:rsidR="00CA5319" w:rsidRPr="00CA5319" w:rsidRDefault="00CA5319" w:rsidP="00CA5319">
            <w:pPr>
              <w:spacing w:after="0" w:line="240" w:lineRule="auto"/>
              <w:jc w:val="center"/>
              <w:rPr>
                <w:rFonts w:ascii="Calibri" w:hAnsi="Calibri" w:cs="Calibri"/>
                <w:color w:val="000000" w:themeColor="text1"/>
              </w:rPr>
            </w:pPr>
            <w:r w:rsidRPr="00CA5319">
              <w:rPr>
                <w:rFonts w:ascii="Calibri" w:hAnsi="Calibri" w:cs="Calibri"/>
                <w:color w:val="000000" w:themeColor="text1"/>
              </w:rPr>
              <w:t>70</w:t>
            </w:r>
          </w:p>
        </w:tc>
        <w:tc>
          <w:tcPr>
            <w:tcW w:w="311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7C953F5B" w14:textId="77777777" w:rsidR="00CA5319" w:rsidRPr="00CA5319" w:rsidRDefault="00CA5319" w:rsidP="00CA5319">
            <w:pPr>
              <w:spacing w:after="0" w:line="240" w:lineRule="auto"/>
              <w:jc w:val="center"/>
              <w:rPr>
                <w:rFonts w:ascii="Calibri" w:hAnsi="Calibri" w:cs="Calibri"/>
                <w:color w:val="000000" w:themeColor="text1"/>
              </w:rPr>
            </w:pPr>
            <w:r w:rsidRPr="00CA5319">
              <w:rPr>
                <w:rFonts w:ascii="Calibri" w:hAnsi="Calibri" w:cs="Calibri"/>
                <w:color w:val="000000" w:themeColor="text1"/>
              </w:rPr>
              <w:t>1631</w:t>
            </w:r>
          </w:p>
        </w:tc>
      </w:tr>
      <w:tr w:rsidR="00CA5319" w:rsidRPr="00CA5319" w14:paraId="6965A545" w14:textId="77777777" w:rsidTr="005C361C">
        <w:trPr>
          <w:trHeight w:val="244"/>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69262FFB" w14:textId="77777777" w:rsidR="00CA5319" w:rsidRPr="00CA5319" w:rsidRDefault="00CA5319" w:rsidP="00CA5319">
            <w:pPr>
              <w:spacing w:after="0" w:line="240" w:lineRule="auto"/>
              <w:jc w:val="center"/>
              <w:rPr>
                <w:rFonts w:ascii="Calibri" w:hAnsi="Calibri" w:cs="Calibri"/>
                <w:b/>
                <w:bCs/>
                <w:color w:val="000000" w:themeColor="text1"/>
              </w:rPr>
            </w:pPr>
            <w:r w:rsidRPr="00CA5319">
              <w:rPr>
                <w:rFonts w:ascii="Calibri" w:hAnsi="Calibri" w:cs="Calibri"/>
                <w:b/>
                <w:bCs/>
                <w:color w:val="FF0000"/>
              </w:rPr>
              <w:t>Espèces exotiques envahissantes</w:t>
            </w:r>
          </w:p>
        </w:tc>
        <w:tc>
          <w:tcPr>
            <w:tcW w:w="300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790B9123" w14:textId="77777777" w:rsidR="00CA5319" w:rsidRPr="00CA5319" w:rsidRDefault="00CA5319" w:rsidP="00CA5319">
            <w:pPr>
              <w:spacing w:after="0" w:line="240" w:lineRule="auto"/>
              <w:jc w:val="center"/>
              <w:rPr>
                <w:rFonts w:ascii="Calibri" w:hAnsi="Calibri" w:cs="Calibri"/>
                <w:color w:val="000000" w:themeColor="text1"/>
              </w:rPr>
            </w:pPr>
            <w:r w:rsidRPr="00CA5319">
              <w:rPr>
                <w:rFonts w:ascii="Calibri" w:hAnsi="Calibri" w:cs="Calibri"/>
                <w:color w:val="000000" w:themeColor="text1"/>
              </w:rPr>
              <w:t>105</w:t>
            </w:r>
          </w:p>
        </w:tc>
        <w:tc>
          <w:tcPr>
            <w:tcW w:w="311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4BCBED91" w14:textId="77777777" w:rsidR="00CA5319" w:rsidRPr="00CA5319" w:rsidRDefault="00CA5319" w:rsidP="00CA5319">
            <w:pPr>
              <w:spacing w:after="0" w:line="240" w:lineRule="auto"/>
              <w:jc w:val="center"/>
              <w:rPr>
                <w:rFonts w:ascii="Calibri" w:hAnsi="Calibri" w:cs="Calibri"/>
                <w:color w:val="000000" w:themeColor="text1"/>
              </w:rPr>
            </w:pPr>
            <w:r w:rsidRPr="00CA5319">
              <w:rPr>
                <w:rFonts w:ascii="Calibri" w:hAnsi="Calibri" w:cs="Calibri"/>
                <w:color w:val="000000" w:themeColor="text1"/>
              </w:rPr>
              <w:t>1366</w:t>
            </w:r>
          </w:p>
        </w:tc>
      </w:tr>
    </w:tbl>
    <w:p w14:paraId="4E302897" w14:textId="2AB60DBB" w:rsidR="00CA5319" w:rsidRPr="00CA5319" w:rsidRDefault="00CA5319" w:rsidP="00CA5319">
      <w:pPr>
        <w:spacing w:after="0" w:line="240" w:lineRule="auto"/>
        <w:jc w:val="center"/>
        <w:rPr>
          <w:rFonts w:ascii="Calibri" w:hAnsi="Calibri" w:cs="Calibri"/>
          <w:color w:val="000000" w:themeColor="text1"/>
        </w:rPr>
      </w:pPr>
      <w:r w:rsidRPr="00CA5319">
        <w:rPr>
          <w:rFonts w:ascii="Calibri" w:hAnsi="Calibri" w:cs="Calibri"/>
          <w:color w:val="000000" w:themeColor="text1"/>
        </w:rPr>
        <w:t>Nombre d’espèces éteintes et d’espèces menacées au niveau mondial en fonction des trois principales catégories de menaces</w:t>
      </w:r>
      <w:r w:rsidR="00A80B20">
        <w:rPr>
          <w:rFonts w:ascii="Calibri" w:hAnsi="Calibri" w:cs="Calibri"/>
          <w:color w:val="000000" w:themeColor="text1"/>
        </w:rPr>
        <w:t xml:space="preserve"> (voir ci-avant)</w:t>
      </w:r>
      <w:r w:rsidRPr="00CA5319">
        <w:rPr>
          <w:rFonts w:ascii="Calibri" w:hAnsi="Calibri" w:cs="Calibri"/>
          <w:color w:val="000000" w:themeColor="text1"/>
        </w:rPr>
        <w:t xml:space="preserve">. Source : </w:t>
      </w:r>
      <w:r w:rsidRPr="00CA5319">
        <w:rPr>
          <w:rFonts w:ascii="Calibri" w:hAnsi="Calibri" w:cs="Calibri"/>
          <w:i/>
          <w:iCs/>
          <w:color w:val="000000" w:themeColor="text1"/>
        </w:rPr>
        <w:t>Base de données de la Liste rouge de l’UICN</w:t>
      </w:r>
      <w:r w:rsidRPr="00CA5319">
        <w:rPr>
          <w:rFonts w:ascii="Calibri" w:hAnsi="Calibri" w:cs="Calibri"/>
          <w:color w:val="000000" w:themeColor="text1"/>
        </w:rPr>
        <w:t xml:space="preserve">, 2007, </w:t>
      </w:r>
      <w:hyperlink r:id="rId106" w:history="1">
        <w:r w:rsidRPr="00CA5319">
          <w:rPr>
            <w:rStyle w:val="Lienhypertexte"/>
            <w:rFonts w:ascii="Calibri" w:hAnsi="Calibri" w:cs="Calibri"/>
          </w:rPr>
          <w:t>http://www.iucnredlist.org</w:t>
        </w:r>
      </w:hyperlink>
    </w:p>
    <w:p w14:paraId="2559FE80" w14:textId="78D0C7CA" w:rsidR="00CA5319" w:rsidRDefault="00CA5319" w:rsidP="0004289F">
      <w:pPr>
        <w:spacing w:after="0" w:line="240" w:lineRule="auto"/>
        <w:jc w:val="both"/>
        <w:rPr>
          <w:rFonts w:ascii="Calibri" w:hAnsi="Calibri" w:cs="Calibri"/>
          <w:color w:val="000000" w:themeColor="text1"/>
        </w:rPr>
      </w:pPr>
    </w:p>
    <w:p w14:paraId="7CC627E8" w14:textId="53FECB18" w:rsidR="00CA5319" w:rsidRDefault="00CA5319" w:rsidP="0004289F">
      <w:pPr>
        <w:spacing w:after="0" w:line="240" w:lineRule="auto"/>
        <w:jc w:val="both"/>
        <w:rPr>
          <w:rFonts w:ascii="Calibri" w:hAnsi="Calibri" w:cs="Calibri"/>
          <w:color w:val="000000" w:themeColor="text1"/>
        </w:rPr>
      </w:pPr>
      <w:r w:rsidRPr="00CA5319">
        <w:rPr>
          <w:rFonts w:ascii="Calibri" w:hAnsi="Calibri" w:cs="Calibri"/>
          <w:color w:val="000000" w:themeColor="text1"/>
        </w:rPr>
        <w:t xml:space="preserve">Outre les coûts économiques engendrés par les pertes de production, les coûts de contrôle, d’éradication, de suivi, de restauration ou encore la perte de tourisme estimés à 38 millions d’euros par an en France pour les espèces exotiques végétales et animales, </w:t>
      </w:r>
      <w:r w:rsidRPr="00CA5319">
        <w:rPr>
          <w:rFonts w:ascii="Calibri" w:hAnsi="Calibri" w:cs="Calibri"/>
          <w:i/>
          <w:iCs/>
          <w:color w:val="000000" w:themeColor="text1"/>
        </w:rPr>
        <w:t>la prolifération d’espèces invasives est considérée comme la deuxième cause d’extinction des espèces par l</w:t>
      </w:r>
      <w:r w:rsidR="00AC241F">
        <w:rPr>
          <w:rFonts w:ascii="Calibri" w:hAnsi="Calibri" w:cs="Calibri"/>
          <w:i/>
          <w:iCs/>
          <w:color w:val="000000" w:themeColor="text1"/>
        </w:rPr>
        <w:t>’UICN</w:t>
      </w:r>
      <w:r w:rsidR="0000101B">
        <w:rPr>
          <w:rFonts w:ascii="Calibri" w:hAnsi="Calibri" w:cs="Calibri"/>
          <w:i/>
          <w:iCs/>
          <w:color w:val="000000" w:themeColor="text1"/>
        </w:rPr>
        <w:t xml:space="preserve"> (</w:t>
      </w:r>
      <w:r w:rsidR="0000101B" w:rsidRPr="0000101B">
        <w:rPr>
          <w:rFonts w:ascii="Calibri" w:hAnsi="Calibri" w:cs="Calibri"/>
          <w:i/>
          <w:iCs/>
          <w:color w:val="000000" w:themeColor="text1"/>
        </w:rPr>
        <w:t>Union internationale pour la conservation de la nature</w:t>
      </w:r>
      <w:r w:rsidR="0000101B">
        <w:rPr>
          <w:rFonts w:ascii="Calibri" w:hAnsi="Calibri" w:cs="Calibri"/>
          <w:i/>
          <w:iCs/>
          <w:color w:val="000000" w:themeColor="text1"/>
        </w:rPr>
        <w:t>)</w:t>
      </w:r>
      <w:r w:rsidRPr="00CA5319">
        <w:rPr>
          <w:rFonts w:ascii="Calibri" w:hAnsi="Calibri" w:cs="Calibri"/>
          <w:color w:val="000000" w:themeColor="text1"/>
        </w:rPr>
        <w:t xml:space="preserve">. </w:t>
      </w:r>
    </w:p>
    <w:p w14:paraId="7C8D87BD" w14:textId="74C594D4" w:rsidR="00CA5319" w:rsidRDefault="00CA5319" w:rsidP="0004289F">
      <w:pPr>
        <w:spacing w:after="0" w:line="240" w:lineRule="auto"/>
        <w:jc w:val="both"/>
        <w:rPr>
          <w:rFonts w:ascii="Calibri" w:hAnsi="Calibri" w:cs="Calibri"/>
          <w:color w:val="000000" w:themeColor="text1"/>
        </w:rPr>
      </w:pPr>
      <w:r>
        <w:rPr>
          <w:rFonts w:ascii="Calibri" w:hAnsi="Calibri" w:cs="Calibri"/>
          <w:color w:val="000000" w:themeColor="text1"/>
        </w:rPr>
        <w:t>Sion, c</w:t>
      </w:r>
      <w:r w:rsidRPr="00CA5319">
        <w:rPr>
          <w:rFonts w:ascii="Calibri" w:hAnsi="Calibri" w:cs="Calibri"/>
          <w:color w:val="000000" w:themeColor="text1"/>
        </w:rPr>
        <w:t>ertaines comme l'ambroisie à feuilles d’armoise ou la berce du Caucase posent aussi des problèmes de santé publique</w:t>
      </w:r>
      <w:r w:rsidR="00542713">
        <w:rPr>
          <w:rFonts w:ascii="Calibri" w:hAnsi="Calibri" w:cs="Calibri"/>
          <w:color w:val="000000" w:themeColor="text1"/>
        </w:rPr>
        <w:t xml:space="preserve"> (causant des allergies plus ou moins sérieuses)</w:t>
      </w:r>
      <w:r w:rsidRPr="00CA5319">
        <w:rPr>
          <w:rFonts w:ascii="Calibri" w:hAnsi="Calibri" w:cs="Calibri"/>
          <w:color w:val="000000" w:themeColor="text1"/>
        </w:rPr>
        <w:t>, tandis que d'autres comme le pin d'Alep, présent sur le pourtour méditerranéen, peuvent favoriser les incendies.</w:t>
      </w:r>
    </w:p>
    <w:p w14:paraId="1E31E17F" w14:textId="765776D9" w:rsidR="00CA5319" w:rsidRDefault="00CA5319" w:rsidP="0004289F">
      <w:pPr>
        <w:spacing w:after="0" w:line="240" w:lineRule="auto"/>
        <w:jc w:val="both"/>
        <w:rPr>
          <w:rFonts w:ascii="Calibri" w:hAnsi="Calibri" w:cs="Calibri"/>
          <w:color w:val="000000" w:themeColor="text1"/>
        </w:rPr>
      </w:pPr>
    </w:p>
    <w:p w14:paraId="1477570C" w14:textId="4EEDD643" w:rsidR="00043F3B" w:rsidRDefault="00043F3B" w:rsidP="0004289F">
      <w:pPr>
        <w:spacing w:after="0" w:line="240" w:lineRule="auto"/>
        <w:jc w:val="both"/>
        <w:rPr>
          <w:rFonts w:ascii="Calibri" w:hAnsi="Calibri" w:cs="Calibri"/>
          <w:color w:val="000000" w:themeColor="text1"/>
        </w:rPr>
      </w:pPr>
      <w:r w:rsidRPr="00043F3B">
        <w:rPr>
          <w:rFonts w:ascii="Calibri" w:hAnsi="Calibri" w:cs="Calibri"/>
          <w:color w:val="000000" w:themeColor="text1"/>
        </w:rPr>
        <w:t>On constate souvent l’impossibilité d’éradiquer une espèce envahissante une fois installée et les coûts élevés des techniques de gestion</w:t>
      </w:r>
      <w:r w:rsidR="00427E66">
        <w:rPr>
          <w:rFonts w:ascii="Calibri" w:hAnsi="Calibri" w:cs="Calibri"/>
          <w:color w:val="000000" w:themeColor="text1"/>
        </w:rPr>
        <w:t xml:space="preserve"> (de contrôle de leur propagation)</w:t>
      </w:r>
      <w:r w:rsidRPr="00043F3B">
        <w:rPr>
          <w:rFonts w:ascii="Calibri" w:hAnsi="Calibri" w:cs="Calibri"/>
          <w:color w:val="000000" w:themeColor="text1"/>
        </w:rPr>
        <w:t xml:space="preserve">, </w:t>
      </w:r>
      <w:r w:rsidRPr="00427E66">
        <w:rPr>
          <w:rFonts w:ascii="Calibri" w:hAnsi="Calibri" w:cs="Calibri"/>
          <w:i/>
          <w:iCs/>
          <w:color w:val="000000" w:themeColor="text1"/>
        </w:rPr>
        <w:t>d'autant que l'utilisation des produits phytosanitaires doit être évitée</w:t>
      </w:r>
      <w:r w:rsidRPr="00043F3B">
        <w:rPr>
          <w:rFonts w:ascii="Calibri" w:hAnsi="Calibri" w:cs="Calibri"/>
          <w:color w:val="000000" w:themeColor="text1"/>
        </w:rPr>
        <w:t>. A titre d'exemples, le coût d'arrachage de la renouée du Japon sur les bords du lac du Bourget représente 11.000 euros par an environ, sans compter la main d'œuvre, celui de l'égérie dense sur une surface d'environ 33.000 m2 sur le canal latéral de la Loire représente 176.500 euros tandis que le traitement sur quatre ans de la jussie dans les barthes de l'Adour, dans les Landes, se chiffre à 276.000 euros.</w:t>
      </w:r>
    </w:p>
    <w:p w14:paraId="6616A079" w14:textId="7CD9E918" w:rsidR="00043F3B" w:rsidRDefault="00043F3B" w:rsidP="0004289F">
      <w:pPr>
        <w:spacing w:after="0" w:line="240" w:lineRule="auto"/>
        <w:jc w:val="both"/>
        <w:rPr>
          <w:rFonts w:ascii="Calibri" w:hAnsi="Calibri" w:cs="Calibri"/>
          <w:color w:val="000000" w:themeColor="text1"/>
        </w:rPr>
      </w:pPr>
    </w:p>
    <w:p w14:paraId="4ED03BD3" w14:textId="6EC367D3" w:rsidR="00427E66" w:rsidRDefault="00427E66" w:rsidP="0004289F">
      <w:pPr>
        <w:spacing w:after="0" w:line="240" w:lineRule="auto"/>
        <w:jc w:val="both"/>
        <w:rPr>
          <w:rFonts w:ascii="Calibri" w:hAnsi="Calibri" w:cs="Calibri"/>
          <w:color w:val="000000" w:themeColor="text1"/>
        </w:rPr>
      </w:pPr>
      <w:r>
        <w:rPr>
          <w:rFonts w:ascii="Calibri" w:hAnsi="Calibri" w:cs="Calibri"/>
          <w:color w:val="000000" w:themeColor="text1"/>
        </w:rPr>
        <w:t xml:space="preserve">Source : </w:t>
      </w:r>
      <w:r w:rsidRPr="00427E66">
        <w:rPr>
          <w:rFonts w:ascii="Calibri" w:hAnsi="Calibri" w:cs="Calibri"/>
          <w:i/>
          <w:iCs/>
          <w:color w:val="000000" w:themeColor="text1"/>
        </w:rPr>
        <w:t>Lutte contre la prolifération des plantes invasives : comment mieux traiter le problème à la racine</w:t>
      </w:r>
      <w:r w:rsidRPr="00427E66">
        <w:rPr>
          <w:rFonts w:ascii="Calibri" w:hAnsi="Calibri" w:cs="Calibri"/>
          <w:color w:val="000000" w:themeColor="text1"/>
        </w:rPr>
        <w:t xml:space="preserve">, Anne Lenormand / Localtis, 22/07/2021, </w:t>
      </w:r>
      <w:hyperlink r:id="rId107" w:history="1">
        <w:r w:rsidRPr="00EE130C">
          <w:rPr>
            <w:rStyle w:val="Lienhypertexte"/>
            <w:rFonts w:ascii="Calibri" w:hAnsi="Calibri" w:cs="Calibri"/>
          </w:rPr>
          <w:t>https://www.banquedesterritoires.fr/lutte-contre-la-proliferation-des-plantes-invasives-comment-mieux-traiter-le-probleme-la-racine</w:t>
        </w:r>
      </w:hyperlink>
      <w:r>
        <w:rPr>
          <w:rFonts w:ascii="Calibri" w:hAnsi="Calibri" w:cs="Calibri"/>
          <w:color w:val="000000" w:themeColor="text1"/>
        </w:rPr>
        <w:t xml:space="preserve"> </w:t>
      </w:r>
    </w:p>
    <w:p w14:paraId="346FB21B" w14:textId="77777777" w:rsidR="00427E66" w:rsidRDefault="00427E66" w:rsidP="0004289F">
      <w:pPr>
        <w:spacing w:after="0" w:line="240" w:lineRule="auto"/>
        <w:jc w:val="both"/>
        <w:rPr>
          <w:rFonts w:ascii="Calibri" w:hAnsi="Calibri" w:cs="Calibri"/>
          <w:color w:val="000000" w:themeColor="text1"/>
        </w:rPr>
      </w:pPr>
    </w:p>
    <w:p w14:paraId="0E992AF6" w14:textId="77777777" w:rsidR="00CA5319" w:rsidRDefault="00CA5319" w:rsidP="00CA5319">
      <w:pPr>
        <w:spacing w:after="0" w:line="240" w:lineRule="auto"/>
        <w:jc w:val="both"/>
        <w:rPr>
          <w:rFonts w:ascii="Calibri" w:hAnsi="Calibri" w:cs="Calibri"/>
        </w:rPr>
      </w:pPr>
      <w:r>
        <w:rPr>
          <w:rFonts w:ascii="Calibri" w:hAnsi="Calibri" w:cs="Calibri"/>
        </w:rPr>
        <w:t>Pour prévenir ou tenter de guérir une invasion par des plantes invasives, consultez les chapitres a</w:t>
      </w:r>
      <w:r w:rsidRPr="007C18F9">
        <w:rPr>
          <w:rFonts w:ascii="Calibri" w:hAnsi="Calibri" w:cs="Calibri"/>
        </w:rPr>
        <w:t xml:space="preserve">nnexes </w:t>
      </w:r>
      <w:r>
        <w:rPr>
          <w:rFonts w:ascii="Calibri" w:hAnsi="Calibri" w:cs="Calibri"/>
        </w:rPr>
        <w:t>« </w:t>
      </w:r>
      <w:r w:rsidRPr="007C18F9">
        <w:rPr>
          <w:rFonts w:ascii="Calibri" w:hAnsi="Calibri" w:cs="Calibri"/>
          <w:i/>
          <w:iCs/>
        </w:rPr>
        <w:t>Stratégies préventives de lutte contre les plantes invasives</w:t>
      </w:r>
      <w:r>
        <w:rPr>
          <w:rFonts w:ascii="Calibri" w:hAnsi="Calibri" w:cs="Calibri"/>
        </w:rPr>
        <w:t> »</w:t>
      </w:r>
      <w:r w:rsidRPr="007C18F9">
        <w:rPr>
          <w:rFonts w:ascii="Calibri" w:hAnsi="Calibri" w:cs="Calibri"/>
        </w:rPr>
        <w:t xml:space="preserve"> et </w:t>
      </w:r>
      <w:r>
        <w:rPr>
          <w:rFonts w:ascii="Calibri" w:hAnsi="Calibri" w:cs="Calibri"/>
        </w:rPr>
        <w:t>« </w:t>
      </w:r>
      <w:r w:rsidRPr="007C18F9">
        <w:rPr>
          <w:rFonts w:ascii="Calibri" w:hAnsi="Calibri" w:cs="Calibri"/>
          <w:i/>
          <w:iCs/>
        </w:rPr>
        <w:t>Stratégies palliatives de lutte contre les plantes invasives</w:t>
      </w:r>
      <w:r>
        <w:rPr>
          <w:rFonts w:ascii="Calibri" w:hAnsi="Calibri" w:cs="Calibri"/>
        </w:rPr>
        <w:t> ».</w:t>
      </w:r>
    </w:p>
    <w:p w14:paraId="2511C702" w14:textId="74037C0D" w:rsidR="00CA5319" w:rsidRPr="007C18F9" w:rsidRDefault="00CA5319" w:rsidP="00CA5319">
      <w:pPr>
        <w:spacing w:after="0" w:line="240" w:lineRule="auto"/>
        <w:jc w:val="both"/>
        <w:rPr>
          <w:rFonts w:ascii="Calibri" w:hAnsi="Calibri" w:cs="Calibri"/>
        </w:rPr>
      </w:pPr>
      <w:r>
        <w:rPr>
          <w:rFonts w:ascii="Calibri" w:hAnsi="Calibri" w:cs="Calibri"/>
        </w:rPr>
        <w:t>Et pour comprendre les stratégies employées par les plantes invasives</w:t>
      </w:r>
      <w:r w:rsidR="00D35A43">
        <w:rPr>
          <w:rFonts w:ascii="Calibri" w:hAnsi="Calibri" w:cs="Calibri"/>
        </w:rPr>
        <w:t xml:space="preserve"> pour s’imposer</w:t>
      </w:r>
      <w:r>
        <w:rPr>
          <w:rFonts w:ascii="Calibri" w:hAnsi="Calibri" w:cs="Calibri"/>
        </w:rPr>
        <w:t>, voir le chapitre annexe « </w:t>
      </w:r>
      <w:r w:rsidRPr="007C18F9">
        <w:rPr>
          <w:rFonts w:ascii="Calibri" w:hAnsi="Calibri" w:cs="Calibri"/>
          <w:i/>
          <w:iCs/>
        </w:rPr>
        <w:t>Mécanismes intrinsèques des plantes invasives, expliquant leur invasivité</w:t>
      </w:r>
      <w:r>
        <w:rPr>
          <w:rStyle w:val="Appelnotedebasdep"/>
          <w:rFonts w:ascii="Calibri" w:hAnsi="Calibri" w:cs="Calibri"/>
          <w:i/>
          <w:iCs/>
        </w:rPr>
        <w:footnoteReference w:id="57"/>
      </w:r>
      <w:r>
        <w:rPr>
          <w:rFonts w:ascii="Calibri" w:hAnsi="Calibri" w:cs="Calibri"/>
        </w:rPr>
        <w:t> »</w:t>
      </w:r>
      <w:r w:rsidR="00C31F3F">
        <w:rPr>
          <w:rFonts w:ascii="Calibri" w:hAnsi="Calibri" w:cs="Calibri"/>
        </w:rPr>
        <w:t xml:space="preserve"> et pour leur mode de propagation</w:t>
      </w:r>
      <w:r w:rsidR="00427E66">
        <w:rPr>
          <w:rFonts w:ascii="Calibri" w:hAnsi="Calibri" w:cs="Calibri"/>
        </w:rPr>
        <w:t>,</w:t>
      </w:r>
      <w:r w:rsidR="00C31F3F">
        <w:rPr>
          <w:rFonts w:ascii="Calibri" w:hAnsi="Calibri" w:cs="Calibri"/>
        </w:rPr>
        <w:t xml:space="preserve"> voir </w:t>
      </w:r>
      <w:r w:rsidR="00C31F3F" w:rsidRPr="00C31F3F">
        <w:rPr>
          <w:rFonts w:ascii="Calibri" w:hAnsi="Calibri" w:cs="Calibri"/>
        </w:rPr>
        <w:t xml:space="preserve">le chapitre annexe </w:t>
      </w:r>
      <w:r w:rsidR="00C31F3F">
        <w:rPr>
          <w:rFonts w:ascii="Calibri" w:hAnsi="Calibri" w:cs="Calibri"/>
        </w:rPr>
        <w:t>« </w:t>
      </w:r>
      <w:r w:rsidR="00C31F3F" w:rsidRPr="00C31F3F">
        <w:rPr>
          <w:rFonts w:ascii="Calibri" w:hAnsi="Calibri" w:cs="Calibri"/>
          <w:i/>
          <w:iCs/>
        </w:rPr>
        <w:t>Modes de propagation des espèces invasives</w:t>
      </w:r>
      <w:r w:rsidR="00C31F3F">
        <w:rPr>
          <w:rFonts w:ascii="Calibri" w:hAnsi="Calibri" w:cs="Calibri"/>
        </w:rPr>
        <w:t> », à la fin de ce livre</w:t>
      </w:r>
      <w:r>
        <w:rPr>
          <w:rFonts w:ascii="Calibri" w:hAnsi="Calibri" w:cs="Calibri"/>
        </w:rPr>
        <w:t>.</w:t>
      </w:r>
    </w:p>
    <w:p w14:paraId="01A769F9" w14:textId="617D1006" w:rsidR="00CA5319" w:rsidRDefault="00CA5319" w:rsidP="0004289F">
      <w:pPr>
        <w:spacing w:after="0" w:line="240" w:lineRule="auto"/>
        <w:jc w:val="both"/>
        <w:rPr>
          <w:rFonts w:ascii="Calibri" w:hAnsi="Calibri" w:cs="Calibri"/>
          <w:color w:val="000000" w:themeColor="text1"/>
        </w:rPr>
      </w:pPr>
    </w:p>
    <w:p w14:paraId="15DCA2D4" w14:textId="5E538334" w:rsidR="004A1774" w:rsidRDefault="004A1774" w:rsidP="004A1774">
      <w:pPr>
        <w:pStyle w:val="Titre1"/>
      </w:pPr>
      <w:bookmarkStart w:id="30" w:name="_Toc139181321"/>
      <w:r>
        <w:t>La résistance au stress biotique et abiotique d’une plante</w:t>
      </w:r>
      <w:bookmarkEnd w:id="30"/>
    </w:p>
    <w:p w14:paraId="021A245C" w14:textId="44DD4A57" w:rsidR="004A1774" w:rsidRDefault="004A1774" w:rsidP="0004289F">
      <w:pPr>
        <w:spacing w:after="0" w:line="240" w:lineRule="auto"/>
        <w:jc w:val="both"/>
        <w:rPr>
          <w:rFonts w:ascii="Calibri" w:hAnsi="Calibri" w:cs="Calibri"/>
          <w:color w:val="000000" w:themeColor="text1"/>
        </w:rPr>
      </w:pPr>
    </w:p>
    <w:p w14:paraId="7879CD62" w14:textId="0E53304A" w:rsidR="004A1774" w:rsidRDefault="004A1774" w:rsidP="004A1774">
      <w:pPr>
        <w:pStyle w:val="Titre2"/>
      </w:pPr>
      <w:bookmarkStart w:id="31" w:name="_Toc139181322"/>
      <w:r>
        <w:t xml:space="preserve">Définition </w:t>
      </w:r>
      <w:r w:rsidRPr="004A1774">
        <w:t>stress biotique et abiotique</w:t>
      </w:r>
      <w:bookmarkEnd w:id="31"/>
    </w:p>
    <w:p w14:paraId="076B95CC" w14:textId="28702F1F" w:rsidR="004A1774" w:rsidRDefault="004A1774" w:rsidP="0004289F">
      <w:pPr>
        <w:spacing w:after="0" w:line="240" w:lineRule="auto"/>
        <w:jc w:val="both"/>
        <w:rPr>
          <w:rFonts w:ascii="Calibri" w:hAnsi="Calibri" w:cs="Calibri"/>
          <w:color w:val="000000" w:themeColor="text1"/>
        </w:rPr>
      </w:pPr>
    </w:p>
    <w:p w14:paraId="3B87EA67" w14:textId="77777777" w:rsidR="00A959C8" w:rsidRDefault="00A959C8" w:rsidP="00A959C8">
      <w:pPr>
        <w:pStyle w:val="NormalWeb"/>
        <w:shd w:val="clear" w:color="auto" w:fill="FFFFFF"/>
        <w:spacing w:before="0" w:beforeAutospacing="0" w:after="0" w:afterAutospacing="0"/>
        <w:jc w:val="both"/>
        <w:rPr>
          <w:rFonts w:ascii="Calibri" w:hAnsi="Calibri" w:cs="Calibri"/>
          <w:color w:val="202122"/>
          <w:sz w:val="22"/>
          <w:szCs w:val="22"/>
        </w:rPr>
      </w:pPr>
      <w:r w:rsidRPr="00A959C8">
        <w:rPr>
          <w:rFonts w:ascii="Calibri" w:hAnsi="Calibri" w:cs="Calibri"/>
          <w:b/>
          <w:bCs/>
          <w:color w:val="202122"/>
          <w:sz w:val="22"/>
          <w:szCs w:val="22"/>
        </w:rPr>
        <w:t>Le stress biotique</w:t>
      </w:r>
      <w:r w:rsidRPr="00A959C8">
        <w:rPr>
          <w:rFonts w:ascii="Calibri" w:hAnsi="Calibri" w:cs="Calibri"/>
          <w:color w:val="202122"/>
          <w:sz w:val="22"/>
          <w:szCs w:val="22"/>
        </w:rPr>
        <w:t> est un </w:t>
      </w:r>
      <w:hyperlink r:id="rId108" w:tooltip="Stress (biologique)" w:history="1">
        <w:r w:rsidRPr="00A959C8">
          <w:rPr>
            <w:rStyle w:val="Lienhypertexte"/>
            <w:rFonts w:ascii="Calibri" w:hAnsi="Calibri" w:cs="Calibri"/>
            <w:color w:val="0645AD"/>
            <w:sz w:val="22"/>
            <w:szCs w:val="22"/>
            <w:u w:val="none"/>
          </w:rPr>
          <w:t>stress</w:t>
        </w:r>
      </w:hyperlink>
      <w:r w:rsidRPr="00A959C8">
        <w:rPr>
          <w:rFonts w:ascii="Calibri" w:hAnsi="Calibri" w:cs="Calibri"/>
          <w:color w:val="202122"/>
          <w:sz w:val="22"/>
          <w:szCs w:val="22"/>
        </w:rPr>
        <w:t> qui survient à la suite de dommages causés à un organisme par d'autres organismes vivants, tels que des </w:t>
      </w:r>
      <w:hyperlink r:id="rId109" w:tooltip="Bactéries" w:history="1">
        <w:r w:rsidRPr="00A959C8">
          <w:rPr>
            <w:rStyle w:val="Lienhypertexte"/>
            <w:rFonts w:ascii="Calibri" w:hAnsi="Calibri" w:cs="Calibri"/>
            <w:color w:val="0645AD"/>
            <w:sz w:val="22"/>
            <w:szCs w:val="22"/>
            <w:u w:val="none"/>
          </w:rPr>
          <w:t>bactéries</w:t>
        </w:r>
      </w:hyperlink>
      <w:r w:rsidRPr="00A959C8">
        <w:rPr>
          <w:rFonts w:ascii="Calibri" w:hAnsi="Calibri" w:cs="Calibri"/>
          <w:color w:val="202122"/>
          <w:sz w:val="22"/>
          <w:szCs w:val="22"/>
        </w:rPr>
        <w:t>, des </w:t>
      </w:r>
      <w:hyperlink r:id="rId110" w:tooltip="Virus" w:history="1">
        <w:r w:rsidRPr="00A959C8">
          <w:rPr>
            <w:rStyle w:val="Lienhypertexte"/>
            <w:rFonts w:ascii="Calibri" w:hAnsi="Calibri" w:cs="Calibri"/>
            <w:color w:val="0645AD"/>
            <w:sz w:val="22"/>
            <w:szCs w:val="22"/>
            <w:u w:val="none"/>
          </w:rPr>
          <w:t>virus</w:t>
        </w:r>
      </w:hyperlink>
      <w:r w:rsidRPr="00A959C8">
        <w:rPr>
          <w:rFonts w:ascii="Calibri" w:hAnsi="Calibri" w:cs="Calibri"/>
          <w:color w:val="202122"/>
          <w:sz w:val="22"/>
          <w:szCs w:val="22"/>
        </w:rPr>
        <w:t>, des </w:t>
      </w:r>
      <w:hyperlink r:id="rId111" w:tooltip="Champignons" w:history="1">
        <w:r w:rsidRPr="00A959C8">
          <w:rPr>
            <w:rStyle w:val="Lienhypertexte"/>
            <w:rFonts w:ascii="Calibri" w:hAnsi="Calibri" w:cs="Calibri"/>
            <w:color w:val="0645AD"/>
            <w:sz w:val="22"/>
            <w:szCs w:val="22"/>
            <w:u w:val="none"/>
          </w:rPr>
          <w:t>champignons</w:t>
        </w:r>
      </w:hyperlink>
      <w:r w:rsidRPr="00A959C8">
        <w:rPr>
          <w:rFonts w:ascii="Calibri" w:hAnsi="Calibri" w:cs="Calibri"/>
          <w:color w:val="202122"/>
          <w:sz w:val="22"/>
          <w:szCs w:val="22"/>
        </w:rPr>
        <w:t>, des </w:t>
      </w:r>
      <w:hyperlink r:id="rId112" w:tooltip="Parasites" w:history="1">
        <w:r w:rsidRPr="00A959C8">
          <w:rPr>
            <w:rStyle w:val="Lienhypertexte"/>
            <w:rFonts w:ascii="Calibri" w:hAnsi="Calibri" w:cs="Calibri"/>
            <w:color w:val="0645AD"/>
            <w:sz w:val="22"/>
            <w:szCs w:val="22"/>
            <w:u w:val="none"/>
          </w:rPr>
          <w:t>parasites</w:t>
        </w:r>
      </w:hyperlink>
      <w:r w:rsidRPr="00A959C8">
        <w:rPr>
          <w:rFonts w:ascii="Calibri" w:hAnsi="Calibri" w:cs="Calibri"/>
          <w:color w:val="202122"/>
          <w:sz w:val="22"/>
          <w:szCs w:val="22"/>
        </w:rPr>
        <w:t xml:space="preserve">, </w:t>
      </w:r>
      <w:r w:rsidRPr="00764C66">
        <w:rPr>
          <w:rFonts w:ascii="Calibri" w:hAnsi="Calibri" w:cs="Calibri"/>
          <w:color w:val="000000" w:themeColor="text1"/>
          <w:sz w:val="22"/>
          <w:szCs w:val="22"/>
        </w:rPr>
        <w:t>des insectes bénéfiques et nuisibles, des </w:t>
      </w:r>
      <w:hyperlink r:id="rId113" w:tooltip="Cannabis" w:history="1">
        <w:r w:rsidRPr="00A959C8">
          <w:rPr>
            <w:rStyle w:val="Lienhypertexte"/>
            <w:rFonts w:ascii="Calibri" w:hAnsi="Calibri" w:cs="Calibri"/>
            <w:color w:val="0645AD"/>
            <w:sz w:val="22"/>
            <w:szCs w:val="22"/>
            <w:u w:val="none"/>
          </w:rPr>
          <w:t>mauvaises herbes</w:t>
        </w:r>
      </w:hyperlink>
      <w:r w:rsidRPr="00A959C8">
        <w:rPr>
          <w:rFonts w:ascii="Calibri" w:hAnsi="Calibri" w:cs="Calibri"/>
          <w:color w:val="202122"/>
          <w:sz w:val="22"/>
          <w:szCs w:val="22"/>
        </w:rPr>
        <w:t> et des </w:t>
      </w:r>
      <w:hyperlink r:id="rId114" w:tooltip="Plante indigène" w:history="1">
        <w:r w:rsidRPr="00A959C8">
          <w:rPr>
            <w:rStyle w:val="Lienhypertexte"/>
            <w:rFonts w:ascii="Calibri" w:hAnsi="Calibri" w:cs="Calibri"/>
            <w:color w:val="0645AD"/>
            <w:sz w:val="22"/>
            <w:szCs w:val="22"/>
            <w:u w:val="none"/>
          </w:rPr>
          <w:t>plantes</w:t>
        </w:r>
      </w:hyperlink>
      <w:r w:rsidRPr="00A959C8">
        <w:rPr>
          <w:rFonts w:ascii="Calibri" w:hAnsi="Calibri" w:cs="Calibri"/>
          <w:color w:val="202122"/>
          <w:sz w:val="22"/>
          <w:szCs w:val="22"/>
        </w:rPr>
        <w:t> cultivées ou </w:t>
      </w:r>
      <w:hyperlink r:id="rId115" w:tooltip="Native plant" w:history="1">
        <w:r w:rsidRPr="00A959C8">
          <w:rPr>
            <w:rStyle w:val="Lienhypertexte"/>
            <w:rFonts w:ascii="Calibri" w:hAnsi="Calibri" w:cs="Calibri"/>
            <w:color w:val="0645AD"/>
            <w:sz w:val="22"/>
            <w:szCs w:val="22"/>
            <w:u w:val="none"/>
          </w:rPr>
          <w:t>indigènes</w:t>
        </w:r>
      </w:hyperlink>
      <w:r>
        <w:rPr>
          <w:rFonts w:ascii="Calibri" w:hAnsi="Calibri" w:cs="Calibri"/>
          <w:color w:val="202122"/>
          <w:sz w:val="22"/>
          <w:szCs w:val="22"/>
        </w:rPr>
        <w:t>.</w:t>
      </w:r>
      <w:r w:rsidRPr="00A959C8">
        <w:rPr>
          <w:rFonts w:ascii="Calibri" w:hAnsi="Calibri" w:cs="Calibri"/>
          <w:color w:val="202122"/>
          <w:sz w:val="22"/>
          <w:szCs w:val="22"/>
        </w:rPr>
        <w:t> </w:t>
      </w:r>
    </w:p>
    <w:p w14:paraId="3418D363" w14:textId="77777777" w:rsidR="00A959C8" w:rsidRPr="00764C66" w:rsidRDefault="00A959C8" w:rsidP="00A959C8">
      <w:pPr>
        <w:pStyle w:val="NormalWeb"/>
        <w:shd w:val="clear" w:color="auto" w:fill="FFFFFF"/>
        <w:spacing w:before="0" w:beforeAutospacing="0" w:after="0" w:afterAutospacing="0"/>
        <w:jc w:val="both"/>
        <w:rPr>
          <w:rFonts w:ascii="Calibri" w:hAnsi="Calibri" w:cs="Calibri"/>
          <w:color w:val="000000" w:themeColor="text1"/>
          <w:sz w:val="22"/>
          <w:szCs w:val="22"/>
        </w:rPr>
      </w:pPr>
      <w:r w:rsidRPr="00764C66">
        <w:rPr>
          <w:rFonts w:ascii="Calibri" w:hAnsi="Calibri" w:cs="Calibri"/>
          <w:color w:val="000000" w:themeColor="text1"/>
          <w:sz w:val="22"/>
          <w:szCs w:val="22"/>
        </w:rPr>
        <w:t>Il est différent du </w:t>
      </w:r>
      <w:hyperlink r:id="rId116" w:tooltip="Stress abiotique" w:history="1">
        <w:r w:rsidRPr="00A959C8">
          <w:rPr>
            <w:rStyle w:val="Lienhypertexte"/>
            <w:rFonts w:ascii="Calibri" w:hAnsi="Calibri" w:cs="Calibri"/>
            <w:b/>
            <w:bCs/>
            <w:color w:val="0645AD"/>
            <w:sz w:val="22"/>
            <w:szCs w:val="22"/>
            <w:u w:val="none"/>
          </w:rPr>
          <w:t>stress abiotique</w:t>
        </w:r>
      </w:hyperlink>
      <w:r w:rsidRPr="00A959C8">
        <w:rPr>
          <w:rFonts w:ascii="Calibri" w:hAnsi="Calibri" w:cs="Calibri"/>
          <w:color w:val="202122"/>
          <w:sz w:val="22"/>
          <w:szCs w:val="22"/>
        </w:rPr>
        <w:t xml:space="preserve">, </w:t>
      </w:r>
      <w:r w:rsidRPr="00764C66">
        <w:rPr>
          <w:rFonts w:ascii="Calibri" w:hAnsi="Calibri" w:cs="Calibri"/>
          <w:color w:val="000000" w:themeColor="text1"/>
          <w:sz w:val="22"/>
          <w:szCs w:val="22"/>
        </w:rPr>
        <w:t>qui est l'impact négatif de facteurs non vivants sur les organismes tels que la température, la lumière du soleil, le vent, la salinité, les inondations et la sécheresse.</w:t>
      </w:r>
    </w:p>
    <w:p w14:paraId="223E6060" w14:textId="5ADD2086" w:rsidR="00A959C8" w:rsidRPr="00764C66" w:rsidRDefault="00A959C8" w:rsidP="00A959C8">
      <w:pPr>
        <w:pStyle w:val="NormalWeb"/>
        <w:shd w:val="clear" w:color="auto" w:fill="FFFFFF"/>
        <w:spacing w:before="0" w:beforeAutospacing="0" w:after="0" w:afterAutospacing="0"/>
        <w:jc w:val="both"/>
        <w:rPr>
          <w:rFonts w:ascii="Calibri" w:hAnsi="Calibri" w:cs="Calibri"/>
          <w:color w:val="000000" w:themeColor="text1"/>
          <w:sz w:val="22"/>
          <w:szCs w:val="22"/>
        </w:rPr>
      </w:pPr>
      <w:r w:rsidRPr="00764C66">
        <w:rPr>
          <w:rFonts w:ascii="Calibri" w:hAnsi="Calibri" w:cs="Calibri"/>
          <w:color w:val="000000" w:themeColor="text1"/>
          <w:sz w:val="22"/>
          <w:szCs w:val="22"/>
        </w:rPr>
        <w:t>Les types de stress biotiques, imposés à un organisme, dépendent aussi du climat dans lequel il vit ainsi que de la capacité de l'espèce à résister à des stress particuliers. Le stress biotique reste un terme largement défini et ceux qui l'étudient font face à de nombreux défis, comme la plus grande difficulté à contrôler les stress biotiques dans un contexte expérimental par rapport au stress abiotique.</w:t>
      </w:r>
    </w:p>
    <w:p w14:paraId="70358C58" w14:textId="77777777" w:rsidR="00053942" w:rsidRPr="00A959C8" w:rsidRDefault="00053942" w:rsidP="00A959C8">
      <w:pPr>
        <w:pStyle w:val="NormalWeb"/>
        <w:shd w:val="clear" w:color="auto" w:fill="FFFFFF"/>
        <w:spacing w:before="0" w:beforeAutospacing="0" w:after="0" w:afterAutospacing="0"/>
        <w:jc w:val="both"/>
        <w:rPr>
          <w:rFonts w:ascii="Calibri" w:hAnsi="Calibri" w:cs="Calibri"/>
          <w:color w:val="202122"/>
          <w:sz w:val="22"/>
          <w:szCs w:val="22"/>
        </w:rPr>
      </w:pPr>
    </w:p>
    <w:p w14:paraId="4E040736" w14:textId="569D0BCE" w:rsidR="00A959C8" w:rsidRPr="00A959C8" w:rsidRDefault="00A959C8" w:rsidP="00A959C8">
      <w:pPr>
        <w:pStyle w:val="NormalWeb"/>
        <w:shd w:val="clear" w:color="auto" w:fill="FFFFFF"/>
        <w:spacing w:before="0" w:beforeAutospacing="0" w:after="0" w:afterAutospacing="0"/>
        <w:jc w:val="both"/>
        <w:rPr>
          <w:rFonts w:ascii="Calibri" w:hAnsi="Calibri" w:cs="Calibri"/>
          <w:color w:val="202122"/>
          <w:sz w:val="22"/>
          <w:szCs w:val="22"/>
        </w:rPr>
      </w:pPr>
      <w:r w:rsidRPr="00764C66">
        <w:rPr>
          <w:rFonts w:ascii="Calibri" w:hAnsi="Calibri" w:cs="Calibri"/>
          <w:color w:val="000000" w:themeColor="text1"/>
          <w:sz w:val="22"/>
          <w:szCs w:val="22"/>
          <w:u w:val="single"/>
        </w:rPr>
        <w:lastRenderedPageBreak/>
        <w:t>Note</w:t>
      </w:r>
      <w:r w:rsidRPr="00764C66">
        <w:rPr>
          <w:rFonts w:ascii="Calibri" w:hAnsi="Calibri" w:cs="Calibri"/>
          <w:color w:val="000000" w:themeColor="text1"/>
          <w:sz w:val="22"/>
          <w:szCs w:val="22"/>
        </w:rPr>
        <w:t> : Les dommages causés par ces divers agents vivants et non vivants peuvent sembler très similaires. Même avec une observation attentive, un </w:t>
      </w:r>
      <w:hyperlink r:id="rId117" w:tooltip="Diagnostic" w:history="1">
        <w:r w:rsidRPr="00A959C8">
          <w:rPr>
            <w:rStyle w:val="Lienhypertexte"/>
            <w:rFonts w:ascii="Calibri" w:hAnsi="Calibri" w:cs="Calibri"/>
            <w:color w:val="0645AD"/>
            <w:sz w:val="22"/>
            <w:szCs w:val="22"/>
            <w:u w:val="none"/>
          </w:rPr>
          <w:t>diagnostic</w:t>
        </w:r>
      </w:hyperlink>
      <w:r w:rsidRPr="00A959C8">
        <w:rPr>
          <w:rFonts w:ascii="Calibri" w:hAnsi="Calibri" w:cs="Calibri"/>
          <w:color w:val="202122"/>
          <w:sz w:val="22"/>
          <w:szCs w:val="22"/>
        </w:rPr>
        <w:t> </w:t>
      </w:r>
      <w:r w:rsidRPr="00764C66">
        <w:rPr>
          <w:rFonts w:ascii="Calibri" w:hAnsi="Calibri" w:cs="Calibri"/>
          <w:color w:val="000000" w:themeColor="text1"/>
          <w:sz w:val="22"/>
          <w:szCs w:val="22"/>
        </w:rPr>
        <w:t>précis peut être difficile. Par exemple, le </w:t>
      </w:r>
      <w:hyperlink r:id="rId118" w:tooltip="brun" w:history="1">
        <w:r w:rsidRPr="00A959C8">
          <w:rPr>
            <w:rStyle w:val="Lienhypertexte"/>
            <w:rFonts w:ascii="Calibri" w:hAnsi="Calibri" w:cs="Calibri"/>
            <w:color w:val="0645AD"/>
            <w:sz w:val="22"/>
            <w:szCs w:val="22"/>
            <w:u w:val="none"/>
          </w:rPr>
          <w:t>brunissement</w:t>
        </w:r>
      </w:hyperlink>
      <w:r w:rsidRPr="00A959C8">
        <w:rPr>
          <w:rFonts w:ascii="Calibri" w:hAnsi="Calibri" w:cs="Calibri"/>
          <w:color w:val="202122"/>
          <w:sz w:val="22"/>
          <w:szCs w:val="22"/>
        </w:rPr>
        <w:t> </w:t>
      </w:r>
      <w:r w:rsidRPr="00764C66">
        <w:rPr>
          <w:rFonts w:ascii="Calibri" w:hAnsi="Calibri" w:cs="Calibri"/>
          <w:color w:val="000000" w:themeColor="text1"/>
          <w:sz w:val="22"/>
          <w:szCs w:val="22"/>
        </w:rPr>
        <w:t>des feuilles d'un </w:t>
      </w:r>
      <w:hyperlink r:id="rId119" w:tooltip="chêne" w:history="1">
        <w:r w:rsidRPr="00A959C8">
          <w:rPr>
            <w:rStyle w:val="Lienhypertexte"/>
            <w:rFonts w:ascii="Calibri" w:hAnsi="Calibri" w:cs="Calibri"/>
            <w:color w:val="0645AD"/>
            <w:sz w:val="22"/>
            <w:szCs w:val="22"/>
            <w:u w:val="none"/>
          </w:rPr>
          <w:t>chêne</w:t>
        </w:r>
      </w:hyperlink>
      <w:r w:rsidRPr="00A959C8">
        <w:rPr>
          <w:rFonts w:ascii="Calibri" w:hAnsi="Calibri" w:cs="Calibri"/>
          <w:color w:val="202122"/>
          <w:sz w:val="22"/>
          <w:szCs w:val="22"/>
        </w:rPr>
        <w:t> </w:t>
      </w:r>
      <w:r w:rsidRPr="00764C66">
        <w:rPr>
          <w:rFonts w:ascii="Calibri" w:hAnsi="Calibri" w:cs="Calibri"/>
          <w:color w:val="000000" w:themeColor="text1"/>
          <w:sz w:val="22"/>
          <w:szCs w:val="22"/>
        </w:rPr>
        <w:t>causé par le stress hydrique peut ressembler au brunissement des feuilles causé par</w:t>
      </w:r>
      <w:r w:rsidR="00764C66">
        <w:rPr>
          <w:rFonts w:ascii="Calibri" w:hAnsi="Calibri" w:cs="Calibri"/>
          <w:color w:val="202122"/>
          <w:sz w:val="22"/>
          <w:szCs w:val="22"/>
        </w:rPr>
        <w:t xml:space="preserve"> le</w:t>
      </w:r>
      <w:r w:rsidRPr="00764C66">
        <w:rPr>
          <w:rFonts w:ascii="Calibri" w:hAnsi="Calibri" w:cs="Calibri"/>
          <w:color w:val="202122"/>
          <w:sz w:val="22"/>
          <w:szCs w:val="22"/>
        </w:rPr>
        <w:t> </w:t>
      </w:r>
      <w:hyperlink r:id="rId120" w:tooltip="Le flétrissement du chêne" w:history="1">
        <w:r w:rsidRPr="00A959C8">
          <w:rPr>
            <w:rStyle w:val="Lienhypertexte"/>
            <w:rFonts w:ascii="Calibri" w:hAnsi="Calibri" w:cs="Calibri"/>
            <w:color w:val="0645AD"/>
            <w:sz w:val="22"/>
            <w:szCs w:val="22"/>
            <w:u w:val="none"/>
          </w:rPr>
          <w:t>flétrissement du chêne</w:t>
        </w:r>
      </w:hyperlink>
      <w:r w:rsidRPr="00A959C8">
        <w:rPr>
          <w:rFonts w:ascii="Calibri" w:hAnsi="Calibri" w:cs="Calibri"/>
          <w:color w:val="202122"/>
          <w:sz w:val="22"/>
          <w:szCs w:val="22"/>
        </w:rPr>
        <w:t xml:space="preserve">, </w:t>
      </w:r>
      <w:r w:rsidRPr="00764C66">
        <w:rPr>
          <w:rFonts w:ascii="Calibri" w:hAnsi="Calibri" w:cs="Calibri"/>
          <w:color w:val="000000" w:themeColor="text1"/>
          <w:sz w:val="22"/>
          <w:szCs w:val="22"/>
        </w:rPr>
        <w:t xml:space="preserve">une maladie vasculaire grave causée par un champignon, ou le brunissement causé par </w:t>
      </w:r>
      <w:r w:rsidRPr="00A959C8">
        <w:rPr>
          <w:rFonts w:ascii="Calibri" w:hAnsi="Calibri" w:cs="Calibri"/>
          <w:color w:val="202122"/>
          <w:sz w:val="22"/>
          <w:szCs w:val="22"/>
        </w:rPr>
        <w:t>l'</w:t>
      </w:r>
      <w:hyperlink r:id="rId121" w:history="1">
        <w:r w:rsidR="00D12C5E" w:rsidRPr="00EE130C">
          <w:rPr>
            <w:rStyle w:val="Lienhypertexte"/>
            <w:rFonts w:ascii="Calibri" w:hAnsi="Calibri" w:cs="Calibri"/>
            <w:sz w:val="22"/>
            <w:szCs w:val="22"/>
          </w:rPr>
          <w:t>anthracnose</w:t>
        </w:r>
      </w:hyperlink>
      <w:r w:rsidRPr="00A959C8">
        <w:rPr>
          <w:rFonts w:ascii="Calibri" w:hAnsi="Calibri" w:cs="Calibri"/>
          <w:color w:val="202122"/>
          <w:sz w:val="22"/>
          <w:szCs w:val="22"/>
        </w:rPr>
        <w:t xml:space="preserve">, </w:t>
      </w:r>
      <w:r w:rsidRPr="00764C66">
        <w:rPr>
          <w:rFonts w:ascii="Calibri" w:hAnsi="Calibri" w:cs="Calibri"/>
          <w:color w:val="000000" w:themeColor="text1"/>
          <w:sz w:val="22"/>
          <w:szCs w:val="22"/>
        </w:rPr>
        <w:t xml:space="preserve">une maladie foliaire assez mineure. Source : </w:t>
      </w:r>
      <w:hyperlink r:id="rId122" w:history="1">
        <w:r w:rsidRPr="00EE130C">
          <w:rPr>
            <w:rStyle w:val="Lienhypertexte"/>
            <w:rFonts w:ascii="Calibri" w:hAnsi="Calibri" w:cs="Calibri"/>
            <w:sz w:val="22"/>
            <w:szCs w:val="22"/>
          </w:rPr>
          <w:t>https://en.wikipedia.org/wiki/Biotic_stress</w:t>
        </w:r>
      </w:hyperlink>
      <w:r>
        <w:rPr>
          <w:rFonts w:ascii="Calibri" w:hAnsi="Calibri" w:cs="Calibri"/>
          <w:color w:val="202122"/>
          <w:sz w:val="22"/>
          <w:szCs w:val="22"/>
        </w:rPr>
        <w:t xml:space="preserve"> </w:t>
      </w:r>
    </w:p>
    <w:p w14:paraId="72CC807D" w14:textId="2A6A3F83" w:rsidR="004A1774" w:rsidRDefault="004A1774" w:rsidP="0004289F">
      <w:pPr>
        <w:spacing w:after="0" w:line="240" w:lineRule="auto"/>
        <w:jc w:val="both"/>
        <w:rPr>
          <w:rFonts w:ascii="Calibri" w:hAnsi="Calibri" w:cs="Calibri"/>
          <w:color w:val="000000" w:themeColor="text1"/>
        </w:rPr>
      </w:pPr>
    </w:p>
    <w:p w14:paraId="4913410F" w14:textId="38888F2F" w:rsidR="004A1774" w:rsidRDefault="00BA2BD2" w:rsidP="00BA2BD2">
      <w:pPr>
        <w:pStyle w:val="Titre2"/>
      </w:pPr>
      <w:bookmarkStart w:id="32" w:name="_Toc139181323"/>
      <w:r>
        <w:t>Différences de résistances de plantes à certains stress</w:t>
      </w:r>
      <w:bookmarkEnd w:id="32"/>
    </w:p>
    <w:p w14:paraId="797671D1" w14:textId="69E9DD02" w:rsidR="00BA2BD2" w:rsidRDefault="00BA2BD2" w:rsidP="0004289F">
      <w:pPr>
        <w:spacing w:after="0" w:line="240" w:lineRule="auto"/>
        <w:jc w:val="both"/>
        <w:rPr>
          <w:rFonts w:ascii="Calibri" w:hAnsi="Calibri" w:cs="Calibri"/>
          <w:color w:val="000000" w:themeColor="text1"/>
        </w:rPr>
      </w:pPr>
    </w:p>
    <w:p w14:paraId="4BD074E3" w14:textId="09551DA1" w:rsidR="00BA2BD2" w:rsidRPr="002E443D" w:rsidRDefault="00933FA2" w:rsidP="0004289F">
      <w:pPr>
        <w:spacing w:after="0" w:line="240" w:lineRule="auto"/>
        <w:jc w:val="both"/>
        <w:rPr>
          <w:rFonts w:ascii="Calibri" w:hAnsi="Calibri" w:cs="Calibri"/>
          <w:color w:val="000000" w:themeColor="text1"/>
          <w:shd w:val="clear" w:color="auto" w:fill="FFFFFF"/>
        </w:rPr>
      </w:pPr>
      <w:r w:rsidRPr="002E443D">
        <w:rPr>
          <w:rFonts w:ascii="Calibri" w:hAnsi="Calibri" w:cs="Calibri"/>
          <w:color w:val="000000" w:themeColor="text1"/>
          <w:shd w:val="clear" w:color="auto" w:fill="FFFFFF"/>
        </w:rPr>
        <w:t>Dans leur état naturel, les graines de quinoa ont un enrobage qui contient des </w:t>
      </w:r>
      <w:hyperlink r:id="rId123" w:tooltip="Saponine" w:history="1">
        <w:r w:rsidRPr="00933FA2">
          <w:rPr>
            <w:rStyle w:val="Lienhypertexte"/>
            <w:rFonts w:ascii="Calibri" w:hAnsi="Calibri" w:cs="Calibri"/>
            <w:color w:val="0645AD"/>
            <w:shd w:val="clear" w:color="auto" w:fill="FFFFFF"/>
          </w:rPr>
          <w:t>saponines</w:t>
        </w:r>
      </w:hyperlink>
      <w:r w:rsidRPr="00933FA2">
        <w:rPr>
          <w:rFonts w:ascii="Calibri" w:hAnsi="Calibri" w:cs="Calibri"/>
          <w:color w:val="202122"/>
          <w:shd w:val="clear" w:color="auto" w:fill="FFFFFF"/>
        </w:rPr>
        <w:t> </w:t>
      </w:r>
      <w:r w:rsidRPr="002E443D">
        <w:rPr>
          <w:rFonts w:ascii="Calibri" w:hAnsi="Calibri" w:cs="Calibri"/>
          <w:color w:val="000000" w:themeColor="text1"/>
          <w:shd w:val="clear" w:color="auto" w:fill="FFFFFF"/>
        </w:rPr>
        <w:t>au goût amer, ce qui les rend </w:t>
      </w:r>
      <w:hyperlink r:id="rId124" w:tooltip="Désagréable" w:history="1">
        <w:r w:rsidRPr="00933FA2">
          <w:rPr>
            <w:rStyle w:val="Lienhypertexte"/>
            <w:rFonts w:ascii="Calibri" w:hAnsi="Calibri" w:cs="Calibri"/>
            <w:color w:val="0645AD"/>
            <w:shd w:val="clear" w:color="auto" w:fill="FFFFFF"/>
          </w:rPr>
          <w:t>désagréables</w:t>
        </w:r>
      </w:hyperlink>
      <w:r w:rsidRPr="00933FA2">
        <w:rPr>
          <w:rFonts w:ascii="Calibri" w:hAnsi="Calibri" w:cs="Calibri"/>
          <w:color w:val="202122"/>
          <w:shd w:val="clear" w:color="auto" w:fill="FFFFFF"/>
        </w:rPr>
        <w:t> </w:t>
      </w:r>
      <w:r w:rsidRPr="002E443D">
        <w:rPr>
          <w:rFonts w:ascii="Calibri" w:hAnsi="Calibri" w:cs="Calibri"/>
          <w:color w:val="000000" w:themeColor="text1"/>
          <w:shd w:val="clear" w:color="auto" w:fill="FFFFFF"/>
        </w:rPr>
        <w:t>au </w:t>
      </w:r>
      <w:hyperlink r:id="rId125" w:tooltip="Désagréable" w:history="1">
        <w:r w:rsidRPr="00933FA2">
          <w:rPr>
            <w:rStyle w:val="Lienhypertexte"/>
            <w:rFonts w:ascii="Calibri" w:hAnsi="Calibri" w:cs="Calibri"/>
            <w:color w:val="0645AD"/>
            <w:shd w:val="clear" w:color="auto" w:fill="FFFFFF"/>
          </w:rPr>
          <w:t>goût</w:t>
        </w:r>
      </w:hyperlink>
      <w:r w:rsidRPr="00933FA2">
        <w:rPr>
          <w:rFonts w:ascii="Calibri" w:hAnsi="Calibri" w:cs="Calibri"/>
          <w:color w:val="202122"/>
          <w:shd w:val="clear" w:color="auto" w:fill="FFFFFF"/>
        </w:rPr>
        <w:t xml:space="preserve">. </w:t>
      </w:r>
      <w:r w:rsidRPr="002E443D">
        <w:rPr>
          <w:rFonts w:ascii="Calibri" w:hAnsi="Calibri" w:cs="Calibri"/>
          <w:color w:val="000000" w:themeColor="text1"/>
          <w:shd w:val="clear" w:color="auto" w:fill="FFFFFF"/>
        </w:rPr>
        <w:t>La plupart des graines vendues commercialement ont été traitées pour enlever ce revêtement. Cette amertume a des effets bénéfiques pendant la culture, car elle dissuade les oiseaux et, par conséquent, la plante nécessite une protection minimale.</w:t>
      </w:r>
    </w:p>
    <w:p w14:paraId="215E6FFF" w14:textId="01CC15FE" w:rsidR="00933FA2" w:rsidRPr="00D12C5E" w:rsidRDefault="00933FA2" w:rsidP="0004289F">
      <w:pPr>
        <w:spacing w:after="0" w:line="240" w:lineRule="auto"/>
        <w:jc w:val="both"/>
        <w:rPr>
          <w:rFonts w:ascii="Calibri" w:hAnsi="Calibri" w:cs="Calibri"/>
          <w:color w:val="000000" w:themeColor="text1"/>
        </w:rPr>
      </w:pPr>
      <w:r w:rsidRPr="00D12C5E">
        <w:rPr>
          <w:rFonts w:ascii="Calibri" w:hAnsi="Calibri" w:cs="Calibri"/>
          <w:color w:val="000000" w:themeColor="text1"/>
        </w:rPr>
        <w:t>La sélection génétique des variétés de quinoas tend à abaisser cette teneur en saponine dans les grains, pour en diminuer l'amertume. Mais ces variétés peuvent être alors moins résistantes aux ravageurs et plus consommées par les oiseaux.</w:t>
      </w:r>
      <w:r w:rsidR="002E443D" w:rsidRPr="00D12C5E">
        <w:rPr>
          <w:rFonts w:ascii="Calibri" w:hAnsi="Calibri" w:cs="Calibri"/>
          <w:color w:val="000000" w:themeColor="text1"/>
        </w:rPr>
        <w:t xml:space="preserve"> Il a souvent un compromis à trouver entre comestibilité, résistance au stress, </w:t>
      </w:r>
      <w:r w:rsidR="000A2927" w:rsidRPr="00D12C5E">
        <w:rPr>
          <w:rFonts w:ascii="Calibri" w:hAnsi="Calibri" w:cs="Calibri"/>
          <w:color w:val="000000" w:themeColor="text1"/>
        </w:rPr>
        <w:t>productivité (de la plante).</w:t>
      </w:r>
    </w:p>
    <w:p w14:paraId="0A9FF996" w14:textId="77777777" w:rsidR="00933FA2" w:rsidRPr="00FA71E6" w:rsidRDefault="00933FA2" w:rsidP="0004289F">
      <w:pPr>
        <w:spacing w:after="0" w:line="240" w:lineRule="auto"/>
        <w:jc w:val="both"/>
        <w:rPr>
          <w:rFonts w:ascii="Calibri" w:hAnsi="Calibri" w:cs="Calibri"/>
          <w:color w:val="000000" w:themeColor="text1"/>
        </w:rPr>
      </w:pPr>
    </w:p>
    <w:p w14:paraId="499055AF" w14:textId="4B87A92C" w:rsidR="00E67091" w:rsidRPr="00E67091" w:rsidRDefault="008A61FB" w:rsidP="00E67091">
      <w:pPr>
        <w:pStyle w:val="Titre1"/>
      </w:pPr>
      <w:bookmarkStart w:id="33" w:name="_Toc139181324"/>
      <w:r>
        <w:t>Signalétique</w:t>
      </w:r>
      <w:bookmarkEnd w:id="33"/>
    </w:p>
    <w:p w14:paraId="6A46E4B5" w14:textId="77777777" w:rsidR="00E67091" w:rsidRDefault="00E67091" w:rsidP="00E67091">
      <w:pPr>
        <w:spacing w:after="0" w:line="240" w:lineRule="auto"/>
      </w:pPr>
    </w:p>
    <w:p w14:paraId="68C939E0" w14:textId="31B67C10" w:rsidR="004D727B" w:rsidRDefault="00E67091" w:rsidP="00F715B8">
      <w:pPr>
        <w:spacing w:after="0" w:line="240" w:lineRule="auto"/>
        <w:jc w:val="both"/>
      </w:pPr>
      <w:r w:rsidRPr="00E67091">
        <w:t xml:space="preserve">Les scores indiqués, pour chaque plante, pour leur taux « d’invasivité », sont ceux fournis par la « base de données PIER des plantes invasives du Pacifique » (Pacific Island Ecosystems at Risk (PIER) _ </w:t>
      </w:r>
      <w:r w:rsidRPr="002A5673">
        <w:rPr>
          <w:i/>
          <w:iCs/>
        </w:rPr>
        <w:t>Plant threats to Pacific ecosystems</w:t>
      </w:r>
      <w:r w:rsidRPr="00E67091">
        <w:t xml:space="preserve"> _) : </w:t>
      </w:r>
      <w:hyperlink r:id="rId126" w:history="1">
        <w:r w:rsidRPr="00E67091">
          <w:rPr>
            <w:rStyle w:val="Lienhypertexte"/>
          </w:rPr>
          <w:t>http://www.hear.org/</w:t>
        </w:r>
      </w:hyperlink>
      <w:r w:rsidRPr="00E67091">
        <w:t>. Dans certains cas, le score d’une plante n’est pas indiqué parce que la base PIER ne lui a donné aucun score. Par ce sigle, nous indiquerons les plantes</w:t>
      </w:r>
      <w:r w:rsidR="009932A7">
        <w:t xml:space="preserve"> ayant telle ou telle caractéristique (voir ci-après)</w:t>
      </w:r>
      <w:r w:rsidRPr="00E67091">
        <w:t xml:space="preserve">  :</w:t>
      </w:r>
    </w:p>
    <w:p w14:paraId="1D5B8DEB" w14:textId="69851AA7" w:rsidR="00E67091" w:rsidRDefault="00E67091" w:rsidP="00E67091">
      <w:pPr>
        <w:spacing w:after="0" w:line="240" w:lineRule="auto"/>
      </w:pPr>
    </w:p>
    <w:tbl>
      <w:tblPr>
        <w:tblStyle w:val="Grilledutableau"/>
        <w:tblW w:w="0" w:type="auto"/>
        <w:tblLook w:val="04A0" w:firstRow="1" w:lastRow="0" w:firstColumn="1" w:lastColumn="0" w:noHBand="0" w:noVBand="1"/>
      </w:tblPr>
      <w:tblGrid>
        <w:gridCol w:w="5871"/>
        <w:gridCol w:w="4545"/>
      </w:tblGrid>
      <w:tr w:rsidR="00D667AF" w:rsidRPr="00D667AF" w14:paraId="78AD0B30" w14:textId="77777777" w:rsidTr="00D667AF">
        <w:trPr>
          <w:tblHeader/>
        </w:trPr>
        <w:tc>
          <w:tcPr>
            <w:tcW w:w="6091" w:type="dxa"/>
          </w:tcPr>
          <w:p w14:paraId="04B87EE9" w14:textId="7ACB81A3" w:rsidR="00D667AF" w:rsidRPr="00D667AF" w:rsidRDefault="00D667AF" w:rsidP="00E67091">
            <w:pPr>
              <w:rPr>
                <w:b/>
                <w:bCs/>
              </w:rPr>
            </w:pPr>
            <w:r w:rsidRPr="00D667AF">
              <w:rPr>
                <w:b/>
                <w:bCs/>
              </w:rPr>
              <w:t>Sujet</w:t>
            </w:r>
          </w:p>
        </w:tc>
        <w:tc>
          <w:tcPr>
            <w:tcW w:w="4699" w:type="dxa"/>
          </w:tcPr>
          <w:p w14:paraId="34E963F9" w14:textId="6FB8ED67" w:rsidR="00D667AF" w:rsidRPr="00D667AF" w:rsidRDefault="00D667AF" w:rsidP="00E67091">
            <w:pPr>
              <w:rPr>
                <w:b/>
                <w:bCs/>
                <w:noProof/>
              </w:rPr>
            </w:pPr>
            <w:r w:rsidRPr="00D667AF">
              <w:rPr>
                <w:b/>
                <w:bCs/>
                <w:noProof/>
              </w:rPr>
              <w:t>Symbole</w:t>
            </w:r>
          </w:p>
        </w:tc>
      </w:tr>
      <w:tr w:rsidR="00F715B8" w14:paraId="0DB5D529" w14:textId="77777777" w:rsidTr="00F715B8">
        <w:tc>
          <w:tcPr>
            <w:tcW w:w="6091" w:type="dxa"/>
          </w:tcPr>
          <w:p w14:paraId="5BFB7B72" w14:textId="0C57E422" w:rsidR="00F715B8" w:rsidRDefault="00F715B8" w:rsidP="00E67091">
            <w:r w:rsidRPr="00F715B8">
              <w:t xml:space="preserve">a) </w:t>
            </w:r>
            <w:r w:rsidR="00873056">
              <w:t>I</w:t>
            </w:r>
            <w:r w:rsidRPr="00F715B8">
              <w:t>nvasives, à éviter →</w:t>
            </w:r>
          </w:p>
        </w:tc>
        <w:tc>
          <w:tcPr>
            <w:tcW w:w="4699" w:type="dxa"/>
          </w:tcPr>
          <w:p w14:paraId="59BB9E54" w14:textId="62C20601" w:rsidR="00F715B8" w:rsidRDefault="00F715B8" w:rsidP="00E67091">
            <w:r w:rsidRPr="00F715B8">
              <w:rPr>
                <w:noProof/>
              </w:rPr>
              <w:drawing>
                <wp:inline distT="0" distB="0" distL="0" distR="0" wp14:anchorId="486D310D" wp14:editId="1FFF8DA6">
                  <wp:extent cx="457200" cy="457200"/>
                  <wp:effectExtent l="0" t="0" r="0" b="0"/>
                  <wp:docPr id="14344" name="Picture 16" descr="C:\Users\LISAN\Pictures\Plantes fourragères\logo invasive plants5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4" name="Picture 16" descr="C:\Users\LISAN\Pictures\Plantes fourragères\logo invasive plants5_s.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F715B8" w14:paraId="666D8022" w14:textId="77777777" w:rsidTr="00F715B8">
        <w:tc>
          <w:tcPr>
            <w:tcW w:w="6091" w:type="dxa"/>
          </w:tcPr>
          <w:p w14:paraId="13BF34CD" w14:textId="43F34702" w:rsidR="00F715B8" w:rsidRDefault="00F715B8" w:rsidP="00E67091">
            <w:r w:rsidRPr="00F715B8">
              <w:t xml:space="preserve">b) </w:t>
            </w:r>
            <w:r w:rsidR="00873056">
              <w:t>T</w:t>
            </w:r>
            <w:r w:rsidRPr="00F715B8">
              <w:t>oxiques, soit pour l’homme, soit pour les animaux →</w:t>
            </w:r>
          </w:p>
        </w:tc>
        <w:tc>
          <w:tcPr>
            <w:tcW w:w="4699" w:type="dxa"/>
          </w:tcPr>
          <w:p w14:paraId="29596B13" w14:textId="500BF3EB" w:rsidR="00F715B8" w:rsidRDefault="00F715B8" w:rsidP="00F715B8">
            <w:pPr>
              <w:pStyle w:val="NormalWeb"/>
              <w:kinsoku w:val="0"/>
              <w:overflowPunct w:val="0"/>
              <w:spacing w:before="0" w:beforeAutospacing="0" w:after="0" w:afterAutospacing="0"/>
              <w:textAlignment w:val="baseline"/>
            </w:pPr>
            <w:r>
              <w:rPr>
                <w:rFonts w:ascii="Arial" w:eastAsia="+mn-ea" w:hAnsi="Wingdings" w:cs="Arial"/>
                <w:color w:val="FF0000"/>
                <w:kern w:val="24"/>
                <w:sz w:val="64"/>
                <w:szCs w:val="64"/>
              </w:rPr>
              <w:sym w:font="Wingdings" w:char="F04E"/>
            </w:r>
            <w:r>
              <w:rPr>
                <w:rFonts w:ascii="Arial" w:eastAsia="+mn-ea" w:hAnsi="Wingdings" w:cs="Arial"/>
                <w:color w:val="FF0000"/>
                <w:kern w:val="24"/>
                <w:sz w:val="64"/>
                <w:szCs w:val="64"/>
              </w:rPr>
              <w:t xml:space="preserve"> </w:t>
            </w:r>
            <w:r w:rsidRPr="00F715B8">
              <w:rPr>
                <w:rFonts w:ascii="Arial" w:eastAsia="+mn-ea" w:hAnsi="Wingdings" w:cs="Arial"/>
                <w:noProof/>
                <w:color w:val="FF0000"/>
                <w:kern w:val="24"/>
                <w:sz w:val="64"/>
                <w:szCs w:val="64"/>
              </w:rPr>
              <w:drawing>
                <wp:inline distT="0" distB="0" distL="0" distR="0" wp14:anchorId="75996997" wp14:editId="1974C34A">
                  <wp:extent cx="285750" cy="358775"/>
                  <wp:effectExtent l="0" t="0" r="0" b="3175"/>
                  <wp:docPr id="14345" name="Picture 2" descr="toxic-2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5" name="Picture 2" descr="toxic-2ss"/>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85750"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F715B8" w14:paraId="70B9E4A9" w14:textId="77777777" w:rsidTr="00F715B8">
        <w:tc>
          <w:tcPr>
            <w:tcW w:w="6091" w:type="dxa"/>
          </w:tcPr>
          <w:p w14:paraId="11D97617" w14:textId="3AA19119" w:rsidR="00F715B8" w:rsidRDefault="00F715B8" w:rsidP="00E67091">
            <w:r>
              <w:t>c</w:t>
            </w:r>
            <w:r w:rsidRPr="00F715B8">
              <w:t xml:space="preserve">) </w:t>
            </w:r>
            <w:r w:rsidR="00873056">
              <w:t>à la</w:t>
            </w:r>
            <w:r w:rsidRPr="00F715B8">
              <w:t xml:space="preserve"> pousse rapide</w:t>
            </w:r>
            <w:r w:rsidR="00873056">
              <w:t xml:space="preserve"> ou très rapide</w:t>
            </w:r>
            <w:r w:rsidRPr="00F715B8">
              <w:t xml:space="preserve"> →</w:t>
            </w:r>
          </w:p>
        </w:tc>
        <w:tc>
          <w:tcPr>
            <w:tcW w:w="4699" w:type="dxa"/>
          </w:tcPr>
          <w:p w14:paraId="5E940CBF" w14:textId="756537E0" w:rsidR="00F715B8" w:rsidRPr="00F715B8" w:rsidRDefault="00F715B8" w:rsidP="00E67091">
            <w:pPr>
              <w:rPr>
                <w:sz w:val="28"/>
                <w:szCs w:val="28"/>
              </w:rPr>
            </w:pPr>
            <w:r w:rsidRPr="00F715B8">
              <w:rPr>
                <w:b/>
                <w:bCs/>
                <w:color w:val="008000"/>
                <w:sz w:val="28"/>
                <w:szCs w:val="28"/>
              </w:rPr>
              <w:t>↗</w:t>
            </w:r>
            <w:r w:rsidR="00873056">
              <w:rPr>
                <w:b/>
                <w:bCs/>
                <w:color w:val="008000"/>
                <w:sz w:val="28"/>
                <w:szCs w:val="28"/>
              </w:rPr>
              <w:t xml:space="preserve">          </w:t>
            </w:r>
            <w:r w:rsidR="00873056" w:rsidRPr="00F715B8">
              <w:rPr>
                <w:b/>
                <w:bCs/>
                <w:color w:val="008000"/>
                <w:sz w:val="28"/>
                <w:szCs w:val="28"/>
              </w:rPr>
              <w:t>↗↗</w:t>
            </w:r>
          </w:p>
        </w:tc>
      </w:tr>
      <w:tr w:rsidR="00F715B8" w14:paraId="569A3F80" w14:textId="77777777" w:rsidTr="00F715B8">
        <w:tc>
          <w:tcPr>
            <w:tcW w:w="6091" w:type="dxa"/>
          </w:tcPr>
          <w:p w14:paraId="2686091A" w14:textId="4D4DB0E8" w:rsidR="00F715B8" w:rsidRDefault="00F715B8" w:rsidP="00E67091">
            <w:r w:rsidRPr="00F715B8">
              <w:t xml:space="preserve">d) </w:t>
            </w:r>
            <w:r w:rsidR="00873056">
              <w:t>T</w:t>
            </w:r>
            <w:r w:rsidRPr="00F715B8">
              <w:t>rès utiles à l’homme par ce sigle →</w:t>
            </w:r>
          </w:p>
        </w:tc>
        <w:tc>
          <w:tcPr>
            <w:tcW w:w="4699" w:type="dxa"/>
          </w:tcPr>
          <w:p w14:paraId="7F17FEE3" w14:textId="097543E4" w:rsidR="00F715B8" w:rsidRPr="00F715B8" w:rsidRDefault="00F715B8" w:rsidP="00E67091">
            <w:pPr>
              <w:rPr>
                <w:sz w:val="32"/>
                <w:szCs w:val="32"/>
              </w:rPr>
            </w:pPr>
            <w:r w:rsidRPr="00F715B8">
              <w:rPr>
                <w:b/>
                <w:bCs/>
                <w:color w:val="008000"/>
                <w:sz w:val="32"/>
                <w:szCs w:val="32"/>
              </w:rPr>
              <w:t>U</w:t>
            </w:r>
          </w:p>
        </w:tc>
      </w:tr>
      <w:tr w:rsidR="00F715B8" w14:paraId="11996EAA" w14:textId="77777777" w:rsidTr="00F715B8">
        <w:tc>
          <w:tcPr>
            <w:tcW w:w="6091" w:type="dxa"/>
          </w:tcPr>
          <w:p w14:paraId="76830736" w14:textId="6AA70296" w:rsidR="00F715B8" w:rsidRDefault="00F715B8" w:rsidP="00E67091">
            <w:r w:rsidRPr="00F715B8">
              <w:t xml:space="preserve">e) </w:t>
            </w:r>
            <w:r w:rsidR="00873056">
              <w:t>S</w:t>
            </w:r>
            <w:r w:rsidRPr="00F715B8">
              <w:t>ources de forts revenus ou plus-value →</w:t>
            </w:r>
            <w:r>
              <w:t xml:space="preserve"> </w:t>
            </w:r>
          </w:p>
        </w:tc>
        <w:tc>
          <w:tcPr>
            <w:tcW w:w="4699" w:type="dxa"/>
          </w:tcPr>
          <w:p w14:paraId="1BB88A2C" w14:textId="0C4D0BFE" w:rsidR="00F715B8" w:rsidRDefault="00F715B8" w:rsidP="00E67091">
            <w:r>
              <w:rPr>
                <w:rFonts w:ascii="Arial" w:eastAsia="+mn-ea" w:hAnsi="Arial" w:cs="Arial"/>
                <w:b/>
                <w:bCs/>
                <w:color w:val="008000"/>
                <w:kern w:val="24"/>
                <w:sz w:val="36"/>
                <w:szCs w:val="36"/>
              </w:rPr>
              <w:t>$</w:t>
            </w:r>
          </w:p>
        </w:tc>
      </w:tr>
      <w:tr w:rsidR="00F715B8" w14:paraId="00B79227" w14:textId="77777777" w:rsidTr="00F715B8">
        <w:tc>
          <w:tcPr>
            <w:tcW w:w="6091" w:type="dxa"/>
          </w:tcPr>
          <w:p w14:paraId="1940163A" w14:textId="3F464A6D" w:rsidR="00F715B8" w:rsidRPr="00F715B8" w:rsidRDefault="00F715B8" w:rsidP="00F715B8">
            <w:r w:rsidRPr="00F715B8">
              <w:t xml:space="preserve">f) </w:t>
            </w:r>
            <w:r w:rsidR="00873056">
              <w:t>R</w:t>
            </w:r>
            <w:r w:rsidRPr="00F715B8">
              <w:t>ésistantes aux conditions arides, par ce sigle →</w:t>
            </w:r>
          </w:p>
          <w:p w14:paraId="46371778" w14:textId="77777777" w:rsidR="00F715B8" w:rsidRDefault="00F715B8" w:rsidP="00E67091"/>
        </w:tc>
        <w:tc>
          <w:tcPr>
            <w:tcW w:w="4699" w:type="dxa"/>
          </w:tcPr>
          <w:p w14:paraId="4A8C3AC6" w14:textId="1FEFEA98" w:rsidR="00F715B8" w:rsidRDefault="00F715B8" w:rsidP="00E67091">
            <w:r w:rsidRPr="00F715B8">
              <w:rPr>
                <w:noProof/>
              </w:rPr>
              <w:drawing>
                <wp:inline distT="0" distB="0" distL="0" distR="0" wp14:anchorId="52078696" wp14:editId="05C2F945">
                  <wp:extent cx="495300" cy="666750"/>
                  <wp:effectExtent l="0" t="0" r="0" b="0"/>
                  <wp:docPr id="14342" name="Image 10"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2" name="Image 10" descr="logo aride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F715B8" w14:paraId="2458A6BE" w14:textId="77777777" w:rsidTr="00F715B8">
        <w:tc>
          <w:tcPr>
            <w:tcW w:w="6091" w:type="dxa"/>
          </w:tcPr>
          <w:p w14:paraId="2B1572A0" w14:textId="64AF976D" w:rsidR="00F715B8" w:rsidRPr="00F715B8" w:rsidRDefault="00F715B8" w:rsidP="00F715B8">
            <w:r w:rsidRPr="00F715B8">
              <w:t xml:space="preserve">g) </w:t>
            </w:r>
            <w:r w:rsidR="00873056">
              <w:t>R</w:t>
            </w:r>
            <w:r w:rsidRPr="00F715B8">
              <w:t>ésistantes aux conditions salines, par ce sigle →</w:t>
            </w:r>
          </w:p>
          <w:p w14:paraId="1D6E9BF1" w14:textId="77777777" w:rsidR="00F715B8" w:rsidRDefault="00F715B8" w:rsidP="00E67091"/>
        </w:tc>
        <w:tc>
          <w:tcPr>
            <w:tcW w:w="4699" w:type="dxa"/>
          </w:tcPr>
          <w:p w14:paraId="376121C0" w14:textId="2F11B24F" w:rsidR="00F715B8" w:rsidRDefault="00F715B8" w:rsidP="00E67091">
            <w:r w:rsidRPr="00F715B8">
              <w:rPr>
                <w:noProof/>
              </w:rPr>
              <w:drawing>
                <wp:inline distT="0" distB="0" distL="0" distR="0" wp14:anchorId="54F23C31" wp14:editId="6BFC062E">
                  <wp:extent cx="514350" cy="733425"/>
                  <wp:effectExtent l="0" t="0" r="0" b="9525"/>
                  <wp:docPr id="14343" name="Image 11"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3" name="Image 11" descr="logo salinisation2_s.jpg"/>
                          <pic:cNvPicPr>
                            <a:picLocks noChangeAspect="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14350" cy="733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F715B8" w14:paraId="20BAEB0C" w14:textId="77777777" w:rsidTr="00F715B8">
        <w:tc>
          <w:tcPr>
            <w:tcW w:w="6091" w:type="dxa"/>
          </w:tcPr>
          <w:p w14:paraId="1EDDCA4D" w14:textId="77777777" w:rsidR="00F715B8" w:rsidRPr="00F715B8" w:rsidRDefault="00F715B8" w:rsidP="00F715B8">
            <w:r w:rsidRPr="00F715B8">
              <w:t>h) En danger critique d’extinction →</w:t>
            </w:r>
          </w:p>
          <w:p w14:paraId="78019D0A" w14:textId="77777777" w:rsidR="00F715B8" w:rsidRDefault="00F715B8" w:rsidP="00E67091"/>
        </w:tc>
        <w:tc>
          <w:tcPr>
            <w:tcW w:w="4699" w:type="dxa"/>
          </w:tcPr>
          <w:p w14:paraId="70F2768D" w14:textId="028E8BC5" w:rsidR="00F715B8" w:rsidRDefault="00F715B8" w:rsidP="00E67091">
            <w:r w:rsidRPr="00F715B8">
              <w:rPr>
                <w:noProof/>
              </w:rPr>
              <w:drawing>
                <wp:inline distT="0" distB="0" distL="0" distR="0" wp14:anchorId="3194A709" wp14:editId="2ED8CD07">
                  <wp:extent cx="304800" cy="304800"/>
                  <wp:effectExtent l="0" t="0" r="0" b="0"/>
                  <wp:docPr id="1434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6" name="Picture 8"/>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F715B8" w14:paraId="69E5E8DF" w14:textId="77777777" w:rsidTr="00F715B8">
        <w:tc>
          <w:tcPr>
            <w:tcW w:w="6091" w:type="dxa"/>
          </w:tcPr>
          <w:p w14:paraId="607BF00F" w14:textId="23AB351F" w:rsidR="00F715B8" w:rsidRPr="00F715B8" w:rsidRDefault="00F715B8" w:rsidP="00F715B8">
            <w:r w:rsidRPr="00F715B8">
              <w:t xml:space="preserve">i) </w:t>
            </w:r>
            <w:r w:rsidR="00873056">
              <w:t>V</w:t>
            </w:r>
            <w:r w:rsidRPr="00F715B8">
              <w:t>ulnérables (ou </w:t>
            </w:r>
            <w:r w:rsidRPr="00F715B8">
              <w:rPr>
                <w:i/>
                <w:iCs/>
              </w:rPr>
              <w:t>préoccupante</w:t>
            </w:r>
            <w:r w:rsidRPr="00F715B8">
              <w:t xml:space="preserve">) → </w:t>
            </w:r>
          </w:p>
          <w:p w14:paraId="4CA1C985" w14:textId="77777777" w:rsidR="00F715B8" w:rsidRPr="00F715B8" w:rsidRDefault="00F715B8" w:rsidP="00F715B8"/>
        </w:tc>
        <w:tc>
          <w:tcPr>
            <w:tcW w:w="4699" w:type="dxa"/>
          </w:tcPr>
          <w:p w14:paraId="75BCDFE2" w14:textId="703BBEA4" w:rsidR="00F715B8" w:rsidRPr="00F715B8" w:rsidRDefault="00F715B8" w:rsidP="00E67091">
            <w:r w:rsidRPr="00F715B8">
              <w:rPr>
                <w:noProof/>
              </w:rPr>
              <w:drawing>
                <wp:inline distT="0" distB="0" distL="0" distR="0" wp14:anchorId="3F0D7E82" wp14:editId="03BB0E7B">
                  <wp:extent cx="361950" cy="361950"/>
                  <wp:effectExtent l="0" t="0" r="0" b="0"/>
                  <wp:docPr id="4"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pic:cNvPicPr>
                            <a:picLocks noChangeAspect="1"/>
                          </pic:cNvPicPr>
                        </pic:nvPicPr>
                        <pic:blipFill>
                          <a:blip r:embed="rId132"/>
                          <a:stretch>
                            <a:fillRect/>
                          </a:stretch>
                        </pic:blipFill>
                        <pic:spPr>
                          <a:xfrm>
                            <a:off x="0" y="0"/>
                            <a:ext cx="361950" cy="361950"/>
                          </a:xfrm>
                          <a:prstGeom prst="rect">
                            <a:avLst/>
                          </a:prstGeom>
                        </pic:spPr>
                      </pic:pic>
                    </a:graphicData>
                  </a:graphic>
                </wp:inline>
              </w:drawing>
            </w:r>
          </w:p>
        </w:tc>
      </w:tr>
      <w:tr w:rsidR="00F715B8" w14:paraId="01C46EFC" w14:textId="77777777" w:rsidTr="00F715B8">
        <w:tc>
          <w:tcPr>
            <w:tcW w:w="6091" w:type="dxa"/>
          </w:tcPr>
          <w:p w14:paraId="208233F4" w14:textId="745ACB0D" w:rsidR="00F715B8" w:rsidRPr="00F715B8" w:rsidRDefault="00F715B8" w:rsidP="00F715B8">
            <w:r w:rsidRPr="00F715B8">
              <w:lastRenderedPageBreak/>
              <w:t>j) Plantes de marécages ou de mangroves</w:t>
            </w:r>
            <w:r>
              <w:t xml:space="preserve"> </w:t>
            </w:r>
            <w:r w:rsidRPr="00F715B8">
              <w:t>→</w:t>
            </w:r>
          </w:p>
        </w:tc>
        <w:tc>
          <w:tcPr>
            <w:tcW w:w="4699" w:type="dxa"/>
          </w:tcPr>
          <w:p w14:paraId="3E0FDE00" w14:textId="749D6C7A" w:rsidR="00F715B8" w:rsidRPr="00F715B8" w:rsidRDefault="00F715B8" w:rsidP="00E67091">
            <w:r w:rsidRPr="00F715B8">
              <w:rPr>
                <w:noProof/>
              </w:rPr>
              <w:drawing>
                <wp:inline distT="0" distB="0" distL="0" distR="0" wp14:anchorId="73688680" wp14:editId="0BFCCE8B">
                  <wp:extent cx="742950" cy="561975"/>
                  <wp:effectExtent l="0" t="0" r="0" b="9525"/>
                  <wp:docPr id="6"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pic:cNvPicPr>
                            <a:picLocks noChangeAspect="1"/>
                          </pic:cNvPicPr>
                        </pic:nvPicPr>
                        <pic:blipFill>
                          <a:blip r:embed="rId133">
                            <a:extLst>
                              <a:ext uri="{28A0092B-C50C-407E-A947-70E740481C1C}">
                                <a14:useLocalDpi xmlns:a14="http://schemas.microsoft.com/office/drawing/2010/main" val="0"/>
                              </a:ext>
                            </a:extLst>
                          </a:blip>
                          <a:stretch>
                            <a:fillRect/>
                          </a:stretch>
                        </pic:blipFill>
                        <pic:spPr>
                          <a:xfrm>
                            <a:off x="0" y="0"/>
                            <a:ext cx="742950" cy="561975"/>
                          </a:xfrm>
                          <a:prstGeom prst="rect">
                            <a:avLst/>
                          </a:prstGeom>
                        </pic:spPr>
                      </pic:pic>
                    </a:graphicData>
                  </a:graphic>
                </wp:inline>
              </w:drawing>
            </w:r>
            <w:r>
              <w:t xml:space="preserve"> </w:t>
            </w:r>
            <w:r w:rsidRPr="00F715B8">
              <w:rPr>
                <w:noProof/>
              </w:rPr>
              <w:drawing>
                <wp:inline distT="0" distB="0" distL="0" distR="0" wp14:anchorId="42E8CB43" wp14:editId="77CAB10A">
                  <wp:extent cx="723900" cy="533400"/>
                  <wp:effectExtent l="0" t="0" r="0" b="0"/>
                  <wp:docPr id="7"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pic:cNvPicPr>
                            <a:picLocks noChangeAspect="1"/>
                          </pic:cNvPicPr>
                        </pic:nvPicPr>
                        <pic:blipFill>
                          <a:blip r:embed="rId134">
                            <a:extLst>
                              <a:ext uri="{28A0092B-C50C-407E-A947-70E740481C1C}">
                                <a14:useLocalDpi xmlns:a14="http://schemas.microsoft.com/office/drawing/2010/main" val="0"/>
                              </a:ext>
                            </a:extLst>
                          </a:blip>
                          <a:stretch>
                            <a:fillRect/>
                          </a:stretch>
                        </pic:blipFill>
                        <pic:spPr>
                          <a:xfrm>
                            <a:off x="0" y="0"/>
                            <a:ext cx="723900" cy="533400"/>
                          </a:xfrm>
                          <a:prstGeom prst="rect">
                            <a:avLst/>
                          </a:prstGeom>
                        </pic:spPr>
                      </pic:pic>
                    </a:graphicData>
                  </a:graphic>
                </wp:inline>
              </w:drawing>
            </w:r>
            <w:r>
              <w:t xml:space="preserve"> </w:t>
            </w:r>
            <w:r w:rsidRPr="00F715B8">
              <w:rPr>
                <w:noProof/>
              </w:rPr>
              <w:drawing>
                <wp:inline distT="0" distB="0" distL="0" distR="0" wp14:anchorId="42463424" wp14:editId="1A4B31E8">
                  <wp:extent cx="942975" cy="742950"/>
                  <wp:effectExtent l="0" t="0" r="9525" b="0"/>
                  <wp:docPr id="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pic:cNvPicPr>
                            <a:picLocks noChangeAspect="1"/>
                          </pic:cNvPicPr>
                        </pic:nvPicPr>
                        <pic:blipFill>
                          <a:blip r:embed="rId135">
                            <a:extLst>
                              <a:ext uri="{28A0092B-C50C-407E-A947-70E740481C1C}">
                                <a14:useLocalDpi xmlns:a14="http://schemas.microsoft.com/office/drawing/2010/main" val="0"/>
                              </a:ext>
                            </a:extLst>
                          </a:blip>
                          <a:stretch>
                            <a:fillRect/>
                          </a:stretch>
                        </pic:blipFill>
                        <pic:spPr>
                          <a:xfrm>
                            <a:off x="0" y="0"/>
                            <a:ext cx="942975" cy="742950"/>
                          </a:xfrm>
                          <a:prstGeom prst="rect">
                            <a:avLst/>
                          </a:prstGeom>
                        </pic:spPr>
                      </pic:pic>
                    </a:graphicData>
                  </a:graphic>
                </wp:inline>
              </w:drawing>
            </w:r>
          </w:p>
        </w:tc>
      </w:tr>
      <w:tr w:rsidR="00F715B8" w14:paraId="1F53F36D" w14:textId="77777777" w:rsidTr="00F715B8">
        <w:tc>
          <w:tcPr>
            <w:tcW w:w="6091" w:type="dxa"/>
          </w:tcPr>
          <w:p w14:paraId="2F3B7FE0" w14:textId="4FA45004" w:rsidR="00F715B8" w:rsidRPr="00F715B8" w:rsidRDefault="00A0500C" w:rsidP="00F715B8">
            <w:r>
              <w:t xml:space="preserve">k) </w:t>
            </w:r>
            <w:r w:rsidR="00F715B8" w:rsidRPr="00F715B8">
              <w:t>Culture sol gorgé d’eau ou milieu aquatique / plante aquatique</w:t>
            </w:r>
            <w:r w:rsidR="00F715B8">
              <w:t xml:space="preserve"> </w:t>
            </w:r>
            <w:r w:rsidR="00F715B8" w:rsidRPr="00F715B8">
              <w:t>→</w:t>
            </w:r>
          </w:p>
        </w:tc>
        <w:tc>
          <w:tcPr>
            <w:tcW w:w="4699" w:type="dxa"/>
          </w:tcPr>
          <w:p w14:paraId="18A57A5D" w14:textId="566EA6FE" w:rsidR="00F715B8" w:rsidRPr="00F715B8" w:rsidRDefault="00F715B8" w:rsidP="00E67091">
            <w:r w:rsidRPr="00F715B8">
              <w:rPr>
                <w:noProof/>
              </w:rPr>
              <w:drawing>
                <wp:inline distT="0" distB="0" distL="0" distR="0" wp14:anchorId="5A1A0F6C" wp14:editId="34CE97DF">
                  <wp:extent cx="476250" cy="476250"/>
                  <wp:effectExtent l="0" t="0" r="0" b="0"/>
                  <wp:docPr id="19"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8"/>
                          <pic:cNvPicPr>
                            <a:picLocks noChangeAspect="1"/>
                          </pic:cNvPicPr>
                        </pic:nvPicPr>
                        <pic:blipFill>
                          <a:blip r:embed="rId136">
                            <a:extLst>
                              <a:ext uri="{28A0092B-C50C-407E-A947-70E740481C1C}">
                                <a14:useLocalDpi xmlns:a14="http://schemas.microsoft.com/office/drawing/2010/main" val="0"/>
                              </a:ext>
                            </a:extLst>
                          </a:blip>
                          <a:stretch>
                            <a:fillRect/>
                          </a:stretch>
                        </pic:blipFill>
                        <pic:spPr>
                          <a:xfrm>
                            <a:off x="0" y="0"/>
                            <a:ext cx="476250" cy="476250"/>
                          </a:xfrm>
                          <a:prstGeom prst="rect">
                            <a:avLst/>
                          </a:prstGeom>
                        </pic:spPr>
                      </pic:pic>
                    </a:graphicData>
                  </a:graphic>
                </wp:inline>
              </w:drawing>
            </w:r>
            <w:r>
              <w:t xml:space="preserve">   </w:t>
            </w:r>
            <w:r w:rsidRPr="00F715B8">
              <w:rPr>
                <w:noProof/>
              </w:rPr>
              <w:drawing>
                <wp:inline distT="0" distB="0" distL="0" distR="0" wp14:anchorId="37354BAC" wp14:editId="17917C5D">
                  <wp:extent cx="747319" cy="397510"/>
                  <wp:effectExtent l="0" t="0" r="0" b="2540"/>
                  <wp:docPr id="17"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6"/>
                          <pic:cNvPicPr>
                            <a:picLocks noChangeAspect="1"/>
                          </pic:cNvPicPr>
                        </pic:nvPicPr>
                        <pic:blipFill>
                          <a:blip r:embed="rId137">
                            <a:extLst>
                              <a:ext uri="{28A0092B-C50C-407E-A947-70E740481C1C}">
                                <a14:useLocalDpi xmlns:a14="http://schemas.microsoft.com/office/drawing/2010/main" val="0"/>
                              </a:ext>
                            </a:extLst>
                          </a:blip>
                          <a:stretch>
                            <a:fillRect/>
                          </a:stretch>
                        </pic:blipFill>
                        <pic:spPr>
                          <a:xfrm>
                            <a:off x="0" y="0"/>
                            <a:ext cx="751038" cy="399488"/>
                          </a:xfrm>
                          <a:prstGeom prst="rect">
                            <a:avLst/>
                          </a:prstGeom>
                        </pic:spPr>
                      </pic:pic>
                    </a:graphicData>
                  </a:graphic>
                </wp:inline>
              </w:drawing>
            </w:r>
          </w:p>
        </w:tc>
      </w:tr>
      <w:tr w:rsidR="00A0500C" w14:paraId="116A6FBD" w14:textId="77777777" w:rsidTr="00F715B8">
        <w:tc>
          <w:tcPr>
            <w:tcW w:w="6091" w:type="dxa"/>
          </w:tcPr>
          <w:p w14:paraId="61EE787A" w14:textId="68B2DBFB" w:rsidR="00A0500C" w:rsidRPr="00F715B8" w:rsidRDefault="00A0500C" w:rsidP="00F715B8">
            <w:r>
              <w:t xml:space="preserve">l) Plante fourragère </w:t>
            </w:r>
            <w:r w:rsidRPr="00F715B8">
              <w:t>→</w:t>
            </w:r>
          </w:p>
        </w:tc>
        <w:tc>
          <w:tcPr>
            <w:tcW w:w="4699" w:type="dxa"/>
          </w:tcPr>
          <w:p w14:paraId="1490C88C" w14:textId="001B6B7F" w:rsidR="00A0500C" w:rsidRPr="00F715B8" w:rsidRDefault="00A0500C" w:rsidP="00E67091">
            <w:pPr>
              <w:rPr>
                <w:noProof/>
              </w:rPr>
            </w:pPr>
            <w:r w:rsidRPr="00A0500C">
              <w:rPr>
                <w:rFonts w:eastAsia="+mn-ea" w:cstheme="minorHAnsi"/>
                <w:b/>
                <w:bCs/>
                <w:color w:val="008000"/>
                <w:kern w:val="24"/>
                <w:sz w:val="40"/>
                <w:szCs w:val="40"/>
              </w:rPr>
              <w:t>F</w:t>
            </w:r>
          </w:p>
        </w:tc>
      </w:tr>
      <w:tr w:rsidR="00F12C60" w14:paraId="0EE3DB47" w14:textId="77777777" w:rsidTr="00F715B8">
        <w:tc>
          <w:tcPr>
            <w:tcW w:w="6091" w:type="dxa"/>
          </w:tcPr>
          <w:p w14:paraId="00EBCA0A" w14:textId="589237F7" w:rsidR="00F12C60" w:rsidRDefault="00F12C60" w:rsidP="00F715B8">
            <w:r>
              <w:t>m) Plante épineuse</w:t>
            </w:r>
          </w:p>
        </w:tc>
        <w:tc>
          <w:tcPr>
            <w:tcW w:w="4699" w:type="dxa"/>
          </w:tcPr>
          <w:p w14:paraId="70B29AA7" w14:textId="27891554" w:rsidR="00F12C60" w:rsidRPr="00A0500C" w:rsidRDefault="00282800" w:rsidP="00E67091">
            <w:pPr>
              <w:rPr>
                <w:rFonts w:eastAsia="+mn-ea" w:cstheme="minorHAnsi"/>
                <w:b/>
                <w:bCs/>
                <w:color w:val="008000"/>
                <w:kern w:val="24"/>
                <w:sz w:val="40"/>
                <w:szCs w:val="40"/>
              </w:rPr>
            </w:pPr>
            <w:r w:rsidRPr="00853ED0">
              <w:rPr>
                <w:noProof/>
              </w:rPr>
              <w:drawing>
                <wp:inline distT="0" distB="0" distL="0" distR="0" wp14:anchorId="5103EF09" wp14:editId="1EF61CF7">
                  <wp:extent cx="400050" cy="352425"/>
                  <wp:effectExtent l="0" t="0" r="0" b="9525"/>
                  <wp:docPr id="24583" name="Image 21">
                    <a:extLst xmlns:a="http://schemas.openxmlformats.org/drawingml/2006/main">
                      <a:ext uri="{FF2B5EF4-FFF2-40B4-BE49-F238E27FC236}">
                        <a16:creationId xmlns:a16="http://schemas.microsoft.com/office/drawing/2014/main" id="{F52353B3-AA67-41AB-ACE3-C9465695F4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3" name="Image 21">
                            <a:extLst>
                              <a:ext uri="{FF2B5EF4-FFF2-40B4-BE49-F238E27FC236}">
                                <a16:creationId xmlns:a16="http://schemas.microsoft.com/office/drawing/2014/main" id="{F52353B3-AA67-41AB-ACE3-C9465695F4BE}"/>
                              </a:ext>
                            </a:extLst>
                          </pic:cNvPr>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325C6C95" w14:textId="77777777" w:rsidR="00F715B8" w:rsidRDefault="00F715B8" w:rsidP="00E67091">
      <w:pPr>
        <w:spacing w:after="0" w:line="240" w:lineRule="auto"/>
      </w:pPr>
    </w:p>
    <w:p w14:paraId="416F5EDE" w14:textId="7962D36E" w:rsidR="004708D6" w:rsidRPr="004708D6" w:rsidRDefault="00985457" w:rsidP="004708D6">
      <w:pPr>
        <w:pStyle w:val="Titre1"/>
      </w:pPr>
      <w:bookmarkStart w:id="34" w:name="_Toc139181325"/>
      <w:r>
        <w:t>Rêver de reverdir le désert</w:t>
      </w:r>
      <w:bookmarkEnd w:id="34"/>
    </w:p>
    <w:p w14:paraId="23276B0C" w14:textId="77777777" w:rsidR="004708D6" w:rsidRDefault="004708D6" w:rsidP="004708D6">
      <w:pPr>
        <w:spacing w:after="0" w:line="240" w:lineRule="auto"/>
      </w:pPr>
    </w:p>
    <w:p w14:paraId="68973E6B" w14:textId="4CBDA9C9" w:rsidR="004708D6" w:rsidRPr="004708D6" w:rsidRDefault="004708D6" w:rsidP="004708D6">
      <w:pPr>
        <w:pStyle w:val="Paragraphedeliste"/>
        <w:numPr>
          <w:ilvl w:val="0"/>
          <w:numId w:val="3"/>
        </w:numPr>
        <w:spacing w:after="0" w:line="240" w:lineRule="auto"/>
        <w:ind w:left="426"/>
        <w:jc w:val="both"/>
      </w:pPr>
      <w:r w:rsidRPr="004708D6">
        <w:rPr>
          <w:i/>
          <w:iCs/>
        </w:rPr>
        <w:t>Qui</w:t>
      </w:r>
      <w:r w:rsidRPr="004708D6">
        <w:t xml:space="preserve"> n’a pas rêvé de reverdir le désert ou d’arrêter l’avance « inexorable » du désert, par exemple dans les zones sahéliennes en Afrique ? Et d’y réduire la pauvreté ?</w:t>
      </w:r>
    </w:p>
    <w:p w14:paraId="0D426B90" w14:textId="0C51FD68" w:rsidR="004708D6" w:rsidRPr="004708D6" w:rsidRDefault="004708D6" w:rsidP="004708D6">
      <w:pPr>
        <w:pStyle w:val="Paragraphedeliste"/>
        <w:numPr>
          <w:ilvl w:val="0"/>
          <w:numId w:val="3"/>
        </w:numPr>
        <w:spacing w:after="0" w:line="240" w:lineRule="auto"/>
        <w:ind w:left="426"/>
        <w:jc w:val="both"/>
      </w:pPr>
      <w:r w:rsidRPr="004708D6">
        <w:t>Or en généralement, les régions arides et/ou salines sont les plus pauvres.</w:t>
      </w:r>
    </w:p>
    <w:p w14:paraId="48251AE0" w14:textId="4BDC2313" w:rsidR="004708D6" w:rsidRPr="004708D6" w:rsidRDefault="004708D6" w:rsidP="004708D6">
      <w:pPr>
        <w:pStyle w:val="Paragraphedeliste"/>
        <w:numPr>
          <w:ilvl w:val="0"/>
          <w:numId w:val="3"/>
        </w:numPr>
        <w:spacing w:after="0" w:line="240" w:lineRule="auto"/>
        <w:ind w:left="426"/>
        <w:jc w:val="both"/>
      </w:pPr>
      <w:r w:rsidRPr="004708D6">
        <w:t xml:space="preserve">Le but de notre projet est donc de montrer que </w:t>
      </w:r>
      <w:r w:rsidRPr="004708D6">
        <w:rPr>
          <w:b/>
          <w:bCs/>
          <w:i/>
          <w:iCs/>
        </w:rPr>
        <w:t>l’on peut assurer la sécurité alimentaire et des compléments de revenus aux populations locales</w:t>
      </w:r>
      <w:r w:rsidRPr="004708D6">
        <w:t xml:space="preserve">, </w:t>
      </w:r>
      <w:r w:rsidRPr="004708D6">
        <w:rPr>
          <w:i/>
          <w:iCs/>
        </w:rPr>
        <w:t>grâce à la création d’un écosystème équilibré, stable et prospère, en choisissant les plantes adéquates et adaptées, poussant en milieu aride et salin</w:t>
      </w:r>
      <w:r w:rsidRPr="004708D6">
        <w:t>.</w:t>
      </w:r>
    </w:p>
    <w:p w14:paraId="5284D99E" w14:textId="4B677404" w:rsidR="004708D6" w:rsidRPr="004708D6" w:rsidRDefault="004708D6" w:rsidP="004708D6">
      <w:pPr>
        <w:pStyle w:val="Paragraphedeliste"/>
        <w:numPr>
          <w:ilvl w:val="0"/>
          <w:numId w:val="3"/>
        </w:numPr>
        <w:spacing w:after="0" w:line="240" w:lineRule="auto"/>
        <w:ind w:left="426"/>
        <w:jc w:val="both"/>
      </w:pPr>
      <w:r w:rsidRPr="004708D6">
        <w:t xml:space="preserve">Un règle pour cela : si possible, </w:t>
      </w:r>
      <w:r w:rsidRPr="004708D6">
        <w:rPr>
          <w:i/>
          <w:iCs/>
          <w:color w:val="FF0000"/>
        </w:rPr>
        <w:t>éviter d’y introduire des plantes invasives et agressives</w:t>
      </w:r>
      <w:r w:rsidRPr="004708D6">
        <w:t>.</w:t>
      </w:r>
    </w:p>
    <w:p w14:paraId="7117F8CF" w14:textId="200E274F" w:rsidR="00057325" w:rsidRDefault="00057325" w:rsidP="001001BC">
      <w:pPr>
        <w:spacing w:after="0"/>
      </w:pPr>
    </w:p>
    <w:p w14:paraId="5A06D458" w14:textId="686F4D9E" w:rsidR="005B4A5E" w:rsidRDefault="005B4A5E" w:rsidP="001001BC">
      <w:pPr>
        <w:spacing w:after="0"/>
      </w:pPr>
      <w:r>
        <w:t>Mais reverdir le désert, est-ce toujours possible ? C’est que nous allons examiner dans cet ouvrage.</w:t>
      </w:r>
    </w:p>
    <w:p w14:paraId="1101A82E" w14:textId="079DA7E8" w:rsidR="00B74F91" w:rsidRDefault="00B74F91" w:rsidP="001001BC">
      <w:pPr>
        <w:spacing w:after="0"/>
      </w:pPr>
    </w:p>
    <w:p w14:paraId="463F35CA" w14:textId="3D89A18F" w:rsidR="00B74F91" w:rsidRDefault="00B74F91" w:rsidP="001001BC">
      <w:pPr>
        <w:spacing w:after="0"/>
      </w:pPr>
      <w:r>
        <w:t>Voici, ci-après, quelques images et photos, illustrant ce rêve.</w:t>
      </w:r>
    </w:p>
    <w:p w14:paraId="5D8625E9" w14:textId="77777777" w:rsidR="00FF770B" w:rsidRDefault="00FF770B" w:rsidP="001001BC">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14"/>
        <w:gridCol w:w="4678"/>
        <w:gridCol w:w="2998"/>
      </w:tblGrid>
      <w:tr w:rsidR="00057325" w14:paraId="18238B7F" w14:textId="77777777" w:rsidTr="00A948B1">
        <w:tc>
          <w:tcPr>
            <w:tcW w:w="3114" w:type="dxa"/>
          </w:tcPr>
          <w:p w14:paraId="7D7D3806" w14:textId="77777777" w:rsidR="00057325" w:rsidRDefault="00057325" w:rsidP="00057325">
            <w:pPr>
              <w:jc w:val="center"/>
            </w:pPr>
            <w:r w:rsidRPr="00057325">
              <w:rPr>
                <w:noProof/>
              </w:rPr>
              <w:drawing>
                <wp:inline distT="0" distB="0" distL="0" distR="0" wp14:anchorId="6638CA1B" wp14:editId="5D5E3093">
                  <wp:extent cx="1809750" cy="1357313"/>
                  <wp:effectExtent l="0" t="0" r="0" b="0"/>
                  <wp:docPr id="9" name="Image 5" descr="reverdir le deser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5" descr="reverdir le desert2.jpg"/>
                          <pic:cNvPicPr>
                            <a:picLocks noChangeAspect="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810387" cy="1357791"/>
                          </a:xfrm>
                          <a:prstGeom prst="rect">
                            <a:avLst/>
                          </a:prstGeom>
                          <a:noFill/>
                          <a:ln>
                            <a:noFill/>
                          </a:ln>
                        </pic:spPr>
                      </pic:pic>
                    </a:graphicData>
                  </a:graphic>
                </wp:inline>
              </w:drawing>
            </w:r>
          </w:p>
          <w:p w14:paraId="697FC510" w14:textId="11F87E80" w:rsidR="00057325" w:rsidRDefault="00057325" w:rsidP="00057325">
            <w:pPr>
              <w:jc w:val="center"/>
            </w:pPr>
            <w:r>
              <w:t>La « muraille verte » en Afrique</w:t>
            </w:r>
          </w:p>
        </w:tc>
        <w:tc>
          <w:tcPr>
            <w:tcW w:w="4678" w:type="dxa"/>
          </w:tcPr>
          <w:p w14:paraId="5925BAAB" w14:textId="1D87A6B9" w:rsidR="00E515FC" w:rsidRDefault="00786792" w:rsidP="00057325">
            <w:pPr>
              <w:jc w:val="center"/>
            </w:pPr>
            <w:r>
              <w:rPr>
                <w:noProof/>
              </w:rPr>
              <w:drawing>
                <wp:inline distT="0" distB="0" distL="0" distR="0" wp14:anchorId="7BFA5E70" wp14:editId="3EDBCCF9">
                  <wp:extent cx="2000250" cy="1355481"/>
                  <wp:effectExtent l="0" t="0" r="0" b="0"/>
                  <wp:docPr id="146461" name="Image 146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001080" cy="1356043"/>
                          </a:xfrm>
                          <a:prstGeom prst="rect">
                            <a:avLst/>
                          </a:prstGeom>
                          <a:noFill/>
                          <a:ln>
                            <a:noFill/>
                          </a:ln>
                        </pic:spPr>
                      </pic:pic>
                    </a:graphicData>
                  </a:graphic>
                </wp:inline>
              </w:drawing>
            </w:r>
          </w:p>
          <w:p w14:paraId="65B7EA5A" w14:textId="2D5500D4" w:rsidR="00A948B1" w:rsidRDefault="00786792" w:rsidP="001D240C">
            <w:pPr>
              <w:jc w:val="center"/>
            </w:pPr>
            <w:r w:rsidRPr="00786792">
              <w:t>Wangari Maathai, militante keyniane, à l'origine du mouvement écologiste africain</w:t>
            </w:r>
            <w:r w:rsidR="00317A2C">
              <w:t>, initiatrice du Green Belt Movement.</w:t>
            </w:r>
          </w:p>
        </w:tc>
        <w:tc>
          <w:tcPr>
            <w:tcW w:w="2998" w:type="dxa"/>
          </w:tcPr>
          <w:p w14:paraId="3470A96C" w14:textId="122466B0" w:rsidR="00057325" w:rsidRDefault="00786792" w:rsidP="00057325">
            <w:pPr>
              <w:jc w:val="center"/>
            </w:pPr>
            <w:r>
              <w:rPr>
                <w:noProof/>
              </w:rPr>
              <w:drawing>
                <wp:inline distT="0" distB="0" distL="0" distR="0" wp14:anchorId="11112FE3" wp14:editId="5C5A6011">
                  <wp:extent cx="1766570" cy="1318260"/>
                  <wp:effectExtent l="0" t="0" r="5080" b="0"/>
                  <wp:docPr id="146462" name="Image 146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766570" cy="1318260"/>
                          </a:xfrm>
                          <a:prstGeom prst="rect">
                            <a:avLst/>
                          </a:prstGeom>
                          <a:noFill/>
                          <a:ln>
                            <a:noFill/>
                          </a:ln>
                        </pic:spPr>
                      </pic:pic>
                    </a:graphicData>
                  </a:graphic>
                </wp:inline>
              </w:drawing>
            </w:r>
          </w:p>
          <w:p w14:paraId="5BA65BFB" w14:textId="26DE5BBF" w:rsidR="00E515FC" w:rsidRDefault="00786792" w:rsidP="00057325">
            <w:pPr>
              <w:jc w:val="center"/>
            </w:pPr>
            <w:r>
              <w:t>Pépinières du Green Belt Movement (Ken</w:t>
            </w:r>
            <w:r w:rsidR="00317A2C">
              <w:t>y</w:t>
            </w:r>
            <w:r>
              <w:t>a)</w:t>
            </w:r>
            <w:r w:rsidR="00E515FC">
              <w:t>.</w:t>
            </w:r>
          </w:p>
        </w:tc>
      </w:tr>
      <w:tr w:rsidR="00057325" w14:paraId="5F46A1DD" w14:textId="77777777" w:rsidTr="00A948B1">
        <w:tc>
          <w:tcPr>
            <w:tcW w:w="3114" w:type="dxa"/>
          </w:tcPr>
          <w:p w14:paraId="0BCE9F56" w14:textId="492EEFF1" w:rsidR="00057325" w:rsidRDefault="00786792" w:rsidP="00057325">
            <w:pPr>
              <w:jc w:val="center"/>
            </w:pPr>
            <w:r>
              <w:rPr>
                <w:noProof/>
              </w:rPr>
              <w:drawing>
                <wp:inline distT="0" distB="0" distL="0" distR="0" wp14:anchorId="1583C451" wp14:editId="66258A13">
                  <wp:extent cx="1840230" cy="1224280"/>
                  <wp:effectExtent l="0" t="0" r="7620" b="0"/>
                  <wp:docPr id="146463" name="Image 146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840230" cy="1224280"/>
                          </a:xfrm>
                          <a:prstGeom prst="rect">
                            <a:avLst/>
                          </a:prstGeom>
                          <a:noFill/>
                          <a:ln>
                            <a:noFill/>
                          </a:ln>
                        </pic:spPr>
                      </pic:pic>
                    </a:graphicData>
                  </a:graphic>
                </wp:inline>
              </w:drawing>
            </w:r>
          </w:p>
          <w:p w14:paraId="2EFE25FB" w14:textId="353DA9EB" w:rsidR="00E515FC" w:rsidRPr="00057325" w:rsidRDefault="00786792" w:rsidP="00057325">
            <w:pPr>
              <w:jc w:val="center"/>
            </w:pPr>
            <w:r>
              <w:t>Pépinières du Green Belt Movement (Keynia).</w:t>
            </w:r>
          </w:p>
        </w:tc>
        <w:tc>
          <w:tcPr>
            <w:tcW w:w="4678" w:type="dxa"/>
          </w:tcPr>
          <w:p w14:paraId="303A2DE3" w14:textId="77777777" w:rsidR="00057325" w:rsidRDefault="00057325" w:rsidP="00057325">
            <w:pPr>
              <w:jc w:val="center"/>
            </w:pPr>
            <w:r w:rsidRPr="00057325">
              <w:rPr>
                <w:noProof/>
              </w:rPr>
              <w:drawing>
                <wp:inline distT="0" distB="0" distL="0" distR="0" wp14:anchorId="16064F45" wp14:editId="3F81538D">
                  <wp:extent cx="2295889" cy="1527810"/>
                  <wp:effectExtent l="0" t="0" r="9525" b="0"/>
                  <wp:docPr id="15" name="Image 7" descr="reverdir le desert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7" descr="reverdir le desert4.jpg"/>
                          <pic:cNvPicPr>
                            <a:picLocks noChangeAspect="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310454" cy="1537503"/>
                          </a:xfrm>
                          <a:prstGeom prst="rect">
                            <a:avLst/>
                          </a:prstGeom>
                          <a:noFill/>
                          <a:ln>
                            <a:noFill/>
                          </a:ln>
                        </pic:spPr>
                      </pic:pic>
                    </a:graphicData>
                  </a:graphic>
                </wp:inline>
              </w:drawing>
            </w:r>
          </w:p>
          <w:p w14:paraId="6703C9AD" w14:textId="4077EA43" w:rsidR="00057325" w:rsidRDefault="00057325" w:rsidP="00E515FC">
            <w:pPr>
              <w:jc w:val="center"/>
            </w:pPr>
            <w:r w:rsidRPr="00057325">
              <w:lastRenderedPageBreak/>
              <w:t xml:space="preserve">Yacouba Swadogo, l’homme qui arrêta le désert (au Burkina </w:t>
            </w:r>
            <w:r>
              <w:t>F</w:t>
            </w:r>
            <w:r w:rsidRPr="00057325">
              <w:t>a</w:t>
            </w:r>
            <w:r>
              <w:t>s</w:t>
            </w:r>
            <w:r w:rsidRPr="00057325">
              <w:t>so).</w:t>
            </w:r>
            <w:r w:rsidR="00E515FC">
              <w:t xml:space="preserve"> </w:t>
            </w:r>
            <w:r>
              <w:t xml:space="preserve">Source : </w:t>
            </w:r>
            <w:hyperlink r:id="rId144" w:history="1">
              <w:r w:rsidRPr="00D10EA9">
                <w:rPr>
                  <w:rStyle w:val="Lienhypertexte"/>
                </w:rPr>
                <w:t>https://fr.wikipedia.org/wiki/Yacouba_Sawadogo</w:t>
              </w:r>
            </w:hyperlink>
            <w:r>
              <w:t xml:space="preserve"> </w:t>
            </w:r>
          </w:p>
        </w:tc>
        <w:tc>
          <w:tcPr>
            <w:tcW w:w="2998" w:type="dxa"/>
          </w:tcPr>
          <w:p w14:paraId="369A2FD2" w14:textId="77777777" w:rsidR="00057325" w:rsidRDefault="00057325" w:rsidP="00057325">
            <w:pPr>
              <w:jc w:val="center"/>
            </w:pPr>
            <w:r w:rsidRPr="00057325">
              <w:rPr>
                <w:noProof/>
              </w:rPr>
              <w:lastRenderedPageBreak/>
              <w:drawing>
                <wp:inline distT="0" distB="0" distL="0" distR="0" wp14:anchorId="12B3784B" wp14:editId="5AFDB894">
                  <wp:extent cx="1718376" cy="1419225"/>
                  <wp:effectExtent l="0" t="0" r="0" b="0"/>
                  <wp:docPr id="16" name="Image 8" descr="reverdir le desert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8" descr="reverdir le desert5.jpg"/>
                          <pic:cNvPicPr>
                            <a:picLocks noChangeAspect="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732957" cy="1431267"/>
                          </a:xfrm>
                          <a:prstGeom prst="rect">
                            <a:avLst/>
                          </a:prstGeom>
                          <a:noFill/>
                          <a:ln>
                            <a:noFill/>
                          </a:ln>
                        </pic:spPr>
                      </pic:pic>
                    </a:graphicData>
                  </a:graphic>
                </wp:inline>
              </w:drawing>
            </w:r>
          </w:p>
          <w:p w14:paraId="175CD43B" w14:textId="60D37B23" w:rsidR="00E515FC" w:rsidRDefault="00E515FC" w:rsidP="00057325">
            <w:pPr>
              <w:jc w:val="center"/>
            </w:pPr>
            <w:r>
              <w:t>Oasis</w:t>
            </w:r>
          </w:p>
        </w:tc>
      </w:tr>
    </w:tbl>
    <w:p w14:paraId="0DCCAF32" w14:textId="0C635649" w:rsidR="002C7013" w:rsidRDefault="002C7013" w:rsidP="002C7013">
      <w:pPr>
        <w:spacing w:after="0" w:line="240" w:lineRule="auto"/>
      </w:pPr>
    </w:p>
    <w:p w14:paraId="0A938295" w14:textId="2BDCD58D" w:rsidR="00F16157" w:rsidRPr="00F16157" w:rsidRDefault="00F16157" w:rsidP="00F16157">
      <w:pPr>
        <w:spacing w:after="0" w:line="240" w:lineRule="auto"/>
        <w:jc w:val="both"/>
      </w:pPr>
      <w:r w:rsidRPr="00F16157">
        <w:t>Parmi les plus beaux projets de reforestation du désert, sources d’inspirations, sont ceux du désert du Néguev</w:t>
      </w:r>
      <w:r>
        <w:t>, en Israël</w:t>
      </w:r>
      <w:r w:rsidRPr="00F16157">
        <w:t xml:space="preserve"> (</w:t>
      </w:r>
      <w:r w:rsidRPr="00F16157">
        <w:rPr>
          <w:i/>
          <w:iCs/>
        </w:rPr>
        <w:t>à condition de ne pas épuiser les ressources en eau</w:t>
      </w:r>
      <w:r w:rsidRPr="00F16157">
        <w:t>)</w:t>
      </w:r>
      <w:r>
        <w:t> </w:t>
      </w:r>
      <w:r w:rsidR="00B63701">
        <w:t xml:space="preserve">(voir page ci-dessous) </w:t>
      </w:r>
      <w:r>
        <w:t>:</w:t>
      </w:r>
    </w:p>
    <w:p w14:paraId="59F1DE53" w14:textId="6DE86283" w:rsidR="00F16157" w:rsidRDefault="00F16157" w:rsidP="00F16157">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82"/>
        <w:gridCol w:w="3486"/>
        <w:gridCol w:w="4358"/>
      </w:tblGrid>
      <w:tr w:rsidR="00F16157" w14:paraId="6D958A55" w14:textId="77777777" w:rsidTr="000E72DF">
        <w:tc>
          <w:tcPr>
            <w:tcW w:w="6068" w:type="dxa"/>
            <w:gridSpan w:val="2"/>
          </w:tcPr>
          <w:p w14:paraId="1CD5C638" w14:textId="77777777" w:rsidR="00F16157" w:rsidRDefault="00F16157" w:rsidP="00F16157">
            <w:pPr>
              <w:jc w:val="center"/>
            </w:pPr>
            <w:r w:rsidRPr="00F16157">
              <w:rPr>
                <w:noProof/>
              </w:rPr>
              <w:drawing>
                <wp:inline distT="0" distB="0" distL="0" distR="0" wp14:anchorId="2E56C40C" wp14:editId="51ABC165">
                  <wp:extent cx="2628900" cy="1743075"/>
                  <wp:effectExtent l="0" t="0" r="0" b="9525"/>
                  <wp:docPr id="156693"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9"/>
                          <pic:cNvPicPr>
                            <a:picLocks noChangeAspect="1"/>
                          </pic:cNvPicPr>
                        </pic:nvPicPr>
                        <pic:blipFill>
                          <a:blip r:embed="rId146">
                            <a:extLst>
                              <a:ext uri="{28A0092B-C50C-407E-A947-70E740481C1C}">
                                <a14:useLocalDpi xmlns:a14="http://schemas.microsoft.com/office/drawing/2010/main" val="0"/>
                              </a:ext>
                            </a:extLst>
                          </a:blip>
                          <a:stretch>
                            <a:fillRect/>
                          </a:stretch>
                        </pic:blipFill>
                        <pic:spPr>
                          <a:xfrm>
                            <a:off x="0" y="0"/>
                            <a:ext cx="2628900" cy="1743075"/>
                          </a:xfrm>
                          <a:prstGeom prst="rect">
                            <a:avLst/>
                          </a:prstGeom>
                        </pic:spPr>
                      </pic:pic>
                    </a:graphicData>
                  </a:graphic>
                </wp:inline>
              </w:drawing>
            </w:r>
            <w:r>
              <w:t xml:space="preserve"> </w:t>
            </w:r>
          </w:p>
          <w:p w14:paraId="717A2C41" w14:textId="10573AB5" w:rsidR="00F16157" w:rsidRPr="00F16157" w:rsidRDefault="00F16157" w:rsidP="00F16157">
            <w:pPr>
              <w:jc w:val="center"/>
            </w:pPr>
            <w:r w:rsidRPr="00F16157">
              <w:t xml:space="preserve">Le réservoir de Yatir. </w:t>
            </w:r>
            <w:r>
              <w:t xml:space="preserve">© </w:t>
            </w:r>
            <w:r w:rsidRPr="00F16157">
              <w:t>Photo</w:t>
            </w:r>
            <w:r>
              <w:t xml:space="preserve"> </w:t>
            </w:r>
            <w:r w:rsidRPr="00F16157">
              <w:t>Albetros, KKL-JNF</w:t>
            </w:r>
            <w:r>
              <w:rPr>
                <w:rStyle w:val="Appelnotedebasdep"/>
              </w:rPr>
              <w:footnoteReference w:id="58"/>
            </w:r>
            <w:r>
              <w:t>.</w:t>
            </w:r>
          </w:p>
        </w:tc>
        <w:tc>
          <w:tcPr>
            <w:tcW w:w="4358" w:type="dxa"/>
          </w:tcPr>
          <w:p w14:paraId="1A1900AC" w14:textId="77777777" w:rsidR="00F16157" w:rsidRDefault="00F16157" w:rsidP="00F16157">
            <w:pPr>
              <w:jc w:val="center"/>
            </w:pPr>
            <w:r w:rsidRPr="00F16157">
              <w:rPr>
                <w:noProof/>
              </w:rPr>
              <w:drawing>
                <wp:inline distT="0" distB="0" distL="0" distR="0" wp14:anchorId="75D04E7D" wp14:editId="5360046D">
                  <wp:extent cx="2466975" cy="1847850"/>
                  <wp:effectExtent l="0" t="0" r="9525" b="0"/>
                  <wp:docPr id="14"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3"/>
                          <pic:cNvPicPr>
                            <a:picLocks noChangeAspect="1"/>
                          </pic:cNvPicPr>
                        </pic:nvPicPr>
                        <pic:blipFill>
                          <a:blip r:embed="rId147">
                            <a:extLst>
                              <a:ext uri="{28A0092B-C50C-407E-A947-70E740481C1C}">
                                <a14:useLocalDpi xmlns:a14="http://schemas.microsoft.com/office/drawing/2010/main" val="0"/>
                              </a:ext>
                            </a:extLst>
                          </a:blip>
                          <a:stretch>
                            <a:fillRect/>
                          </a:stretch>
                        </pic:blipFill>
                        <pic:spPr>
                          <a:xfrm>
                            <a:off x="0" y="0"/>
                            <a:ext cx="2466975" cy="1847850"/>
                          </a:xfrm>
                          <a:prstGeom prst="rect">
                            <a:avLst/>
                          </a:prstGeom>
                        </pic:spPr>
                      </pic:pic>
                    </a:graphicData>
                  </a:graphic>
                </wp:inline>
              </w:drawing>
            </w:r>
          </w:p>
          <w:p w14:paraId="62CCAB8E" w14:textId="77777777" w:rsidR="00F16157" w:rsidRDefault="00F16157" w:rsidP="00F16157">
            <w:pPr>
              <w:jc w:val="center"/>
            </w:pPr>
            <w:r w:rsidRPr="00F16157">
              <w:t>Récolte de l'eau dans le Néguev</w:t>
            </w:r>
            <w:r>
              <w:rPr>
                <w:rStyle w:val="Appelnotedebasdep"/>
              </w:rPr>
              <w:footnoteReference w:id="59"/>
            </w:r>
            <w:r>
              <w:t>.</w:t>
            </w:r>
          </w:p>
          <w:p w14:paraId="77009D0A" w14:textId="554C14F4" w:rsidR="00154D7F" w:rsidRPr="00F16157" w:rsidRDefault="00154D7F" w:rsidP="00F16157">
            <w:pPr>
              <w:jc w:val="center"/>
            </w:pPr>
          </w:p>
        </w:tc>
      </w:tr>
      <w:tr w:rsidR="00F16157" w:rsidRPr="00A97779" w14:paraId="1A5E6656" w14:textId="77777777" w:rsidTr="000E72DF">
        <w:tc>
          <w:tcPr>
            <w:tcW w:w="6068" w:type="dxa"/>
            <w:gridSpan w:val="2"/>
          </w:tcPr>
          <w:p w14:paraId="596B636D" w14:textId="77777777" w:rsidR="00F16157" w:rsidRDefault="00F16157" w:rsidP="00F16157">
            <w:pPr>
              <w:jc w:val="center"/>
            </w:pPr>
            <w:r w:rsidRPr="00F16157">
              <w:rPr>
                <w:noProof/>
              </w:rPr>
              <w:drawing>
                <wp:inline distT="0" distB="0" distL="0" distR="0" wp14:anchorId="3CB2494A" wp14:editId="0F1C4CA5">
                  <wp:extent cx="3552825" cy="1421130"/>
                  <wp:effectExtent l="0" t="0" r="9525" b="7620"/>
                  <wp:docPr id="156689"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7"/>
                          <pic:cNvPicPr>
                            <a:picLocks noChangeAspect="1"/>
                          </pic:cNvPicPr>
                        </pic:nvPicPr>
                        <pic:blipFill>
                          <a:blip r:embed="rId148">
                            <a:extLst>
                              <a:ext uri="{28A0092B-C50C-407E-A947-70E740481C1C}">
                                <a14:useLocalDpi xmlns:a14="http://schemas.microsoft.com/office/drawing/2010/main" val="0"/>
                              </a:ext>
                            </a:extLst>
                          </a:blip>
                          <a:stretch>
                            <a:fillRect/>
                          </a:stretch>
                        </pic:blipFill>
                        <pic:spPr>
                          <a:xfrm>
                            <a:off x="0" y="0"/>
                            <a:ext cx="3558568" cy="1423427"/>
                          </a:xfrm>
                          <a:prstGeom prst="rect">
                            <a:avLst/>
                          </a:prstGeom>
                        </pic:spPr>
                      </pic:pic>
                    </a:graphicData>
                  </a:graphic>
                </wp:inline>
              </w:drawing>
            </w:r>
          </w:p>
          <w:p w14:paraId="3412DC06" w14:textId="2F8ECCEA" w:rsidR="00F16157" w:rsidRDefault="00F16157" w:rsidP="00F16157">
            <w:pPr>
              <w:jc w:val="center"/>
            </w:pPr>
            <w:r w:rsidRPr="00F16157">
              <w:t>Reverdissement du désert du Néguev</w:t>
            </w:r>
            <w:r>
              <w:rPr>
                <w:rStyle w:val="Appelnotedebasdep"/>
              </w:rPr>
              <w:footnoteReference w:id="60"/>
            </w:r>
            <w:r w:rsidRPr="00F16157">
              <w:t>.</w:t>
            </w:r>
          </w:p>
        </w:tc>
        <w:tc>
          <w:tcPr>
            <w:tcW w:w="4358" w:type="dxa"/>
          </w:tcPr>
          <w:p w14:paraId="42E73DD6" w14:textId="77777777" w:rsidR="00F16157" w:rsidRDefault="00F16157" w:rsidP="00F16157">
            <w:pPr>
              <w:jc w:val="center"/>
            </w:pPr>
            <w:r w:rsidRPr="00F16157">
              <w:rPr>
                <w:noProof/>
              </w:rPr>
              <w:drawing>
                <wp:inline distT="0" distB="0" distL="0" distR="0" wp14:anchorId="379EE28B" wp14:editId="4942CED5">
                  <wp:extent cx="2139315" cy="1441713"/>
                  <wp:effectExtent l="0" t="0" r="0" b="6350"/>
                  <wp:docPr id="156691"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4"/>
                          <pic:cNvPicPr>
                            <a:picLocks noChangeAspect="1"/>
                          </pic:cNvPicPr>
                        </pic:nvPicPr>
                        <pic:blipFill>
                          <a:blip r:embed="rId149">
                            <a:extLst>
                              <a:ext uri="{28A0092B-C50C-407E-A947-70E740481C1C}">
                                <a14:useLocalDpi xmlns:a14="http://schemas.microsoft.com/office/drawing/2010/main" val="0"/>
                              </a:ext>
                            </a:extLst>
                          </a:blip>
                          <a:stretch>
                            <a:fillRect/>
                          </a:stretch>
                        </pic:blipFill>
                        <pic:spPr>
                          <a:xfrm>
                            <a:off x="0" y="0"/>
                            <a:ext cx="2147065" cy="1446936"/>
                          </a:xfrm>
                          <a:prstGeom prst="rect">
                            <a:avLst/>
                          </a:prstGeom>
                        </pic:spPr>
                      </pic:pic>
                    </a:graphicData>
                  </a:graphic>
                </wp:inline>
              </w:drawing>
            </w:r>
          </w:p>
          <w:p w14:paraId="48E239A4" w14:textId="35DEFCB3" w:rsidR="00F16157" w:rsidRPr="00F16157" w:rsidRDefault="00F16157" w:rsidP="00F16157">
            <w:pPr>
              <w:jc w:val="center"/>
            </w:pPr>
            <w:r w:rsidRPr="00F16157">
              <w:t>Niveau d’eau maximum derrière les digues après la crue</w:t>
            </w:r>
            <w:r>
              <w:t xml:space="preserve"> </w:t>
            </w:r>
            <w:r w:rsidRPr="00F16157">
              <w:t>(système des limans israéliens).</w:t>
            </w:r>
          </w:p>
          <w:p w14:paraId="27231A7C" w14:textId="77777777" w:rsidR="00F16157" w:rsidRPr="00EB1C98" w:rsidRDefault="00F16157" w:rsidP="00F16157">
            <w:pPr>
              <w:jc w:val="center"/>
              <w:rPr>
                <w:lang w:val="en-GB"/>
              </w:rPr>
            </w:pPr>
            <w:r w:rsidRPr="00EB1C98">
              <w:rPr>
                <w:lang w:val="en-GB"/>
              </w:rPr>
              <w:t>Vidéo Water Harvesting in the Negev.</w:t>
            </w:r>
          </w:p>
          <w:p w14:paraId="6868DFCB" w14:textId="416DAA17" w:rsidR="00F16157" w:rsidRPr="00EB1C98" w:rsidRDefault="00F16157" w:rsidP="00F16157">
            <w:pPr>
              <w:jc w:val="center"/>
              <w:rPr>
                <w:lang w:val="en-GB"/>
              </w:rPr>
            </w:pPr>
          </w:p>
        </w:tc>
      </w:tr>
      <w:tr w:rsidR="00F16157" w:rsidRPr="00A97779" w14:paraId="4BAFE8A6" w14:textId="77777777" w:rsidTr="000E72DF">
        <w:tc>
          <w:tcPr>
            <w:tcW w:w="6068" w:type="dxa"/>
            <w:gridSpan w:val="2"/>
          </w:tcPr>
          <w:p w14:paraId="6AD51201" w14:textId="77777777" w:rsidR="00F16157" w:rsidRDefault="00F16157" w:rsidP="00F16157">
            <w:pPr>
              <w:jc w:val="center"/>
            </w:pPr>
            <w:r w:rsidRPr="00F16157">
              <w:rPr>
                <w:noProof/>
              </w:rPr>
              <w:drawing>
                <wp:inline distT="0" distB="0" distL="0" distR="0" wp14:anchorId="5A288A66" wp14:editId="7E1C860F">
                  <wp:extent cx="3276600" cy="1182731"/>
                  <wp:effectExtent l="0" t="0" r="0" b="0"/>
                  <wp:docPr id="15669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0"/>
                          <pic:cNvPicPr>
                            <a:picLocks noChangeAspect="1"/>
                          </pic:cNvPicPr>
                        </pic:nvPicPr>
                        <pic:blipFill>
                          <a:blip r:embed="rId150">
                            <a:extLst>
                              <a:ext uri="{28A0092B-C50C-407E-A947-70E740481C1C}">
                                <a14:useLocalDpi xmlns:a14="http://schemas.microsoft.com/office/drawing/2010/main" val="0"/>
                              </a:ext>
                            </a:extLst>
                          </a:blip>
                          <a:stretch>
                            <a:fillRect/>
                          </a:stretch>
                        </pic:blipFill>
                        <pic:spPr>
                          <a:xfrm>
                            <a:off x="0" y="0"/>
                            <a:ext cx="3305387" cy="1193122"/>
                          </a:xfrm>
                          <a:prstGeom prst="rect">
                            <a:avLst/>
                          </a:prstGeom>
                        </pic:spPr>
                      </pic:pic>
                    </a:graphicData>
                  </a:graphic>
                </wp:inline>
              </w:drawing>
            </w:r>
          </w:p>
          <w:p w14:paraId="3288A0D3" w14:textId="32E5B165" w:rsidR="00F16157" w:rsidRDefault="00F16157" w:rsidP="00F16157">
            <w:pPr>
              <w:jc w:val="center"/>
            </w:pPr>
            <w:r w:rsidRPr="00F16157">
              <w:t>La forêt de Yatir, la plus grande forêt en Israël, à la limite du désert du Néguev</w:t>
            </w:r>
            <w:r>
              <w:rPr>
                <w:rStyle w:val="Appelnotedebasdep"/>
              </w:rPr>
              <w:footnoteReference w:id="61"/>
            </w:r>
            <w:r>
              <w:t>.</w:t>
            </w:r>
          </w:p>
        </w:tc>
        <w:tc>
          <w:tcPr>
            <w:tcW w:w="4358" w:type="dxa"/>
          </w:tcPr>
          <w:p w14:paraId="0BD9C044" w14:textId="77777777" w:rsidR="00F16157" w:rsidRDefault="00F16157" w:rsidP="00F16157">
            <w:pPr>
              <w:jc w:val="center"/>
            </w:pPr>
            <w:r w:rsidRPr="00F16157">
              <w:rPr>
                <w:noProof/>
              </w:rPr>
              <w:drawing>
                <wp:inline distT="0" distB="0" distL="0" distR="0" wp14:anchorId="4968EC97" wp14:editId="4B349A86">
                  <wp:extent cx="1919372" cy="1323975"/>
                  <wp:effectExtent l="0" t="0" r="5080" b="0"/>
                  <wp:docPr id="156692"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6"/>
                          <pic:cNvPicPr>
                            <a:picLocks noChangeAspect="1"/>
                          </pic:cNvPicPr>
                        </pic:nvPicPr>
                        <pic:blipFill>
                          <a:blip r:embed="rId151">
                            <a:extLst>
                              <a:ext uri="{28A0092B-C50C-407E-A947-70E740481C1C}">
                                <a14:useLocalDpi xmlns:a14="http://schemas.microsoft.com/office/drawing/2010/main" val="0"/>
                              </a:ext>
                            </a:extLst>
                          </a:blip>
                          <a:stretch>
                            <a:fillRect/>
                          </a:stretch>
                        </pic:blipFill>
                        <pic:spPr>
                          <a:xfrm>
                            <a:off x="0" y="0"/>
                            <a:ext cx="1923005" cy="1326481"/>
                          </a:xfrm>
                          <a:prstGeom prst="rect">
                            <a:avLst/>
                          </a:prstGeom>
                        </pic:spPr>
                      </pic:pic>
                    </a:graphicData>
                  </a:graphic>
                </wp:inline>
              </w:drawing>
            </w:r>
          </w:p>
          <w:p w14:paraId="7680B396" w14:textId="55342931" w:rsidR="00F16157" w:rsidRPr="00F16157" w:rsidRDefault="00F16157" w:rsidP="00F16157">
            <w:pPr>
              <w:jc w:val="center"/>
            </w:pPr>
            <w:r w:rsidRPr="00F16157">
              <w:t>L’eau de la crue s’infiltre progressivement dans le sol</w:t>
            </w:r>
            <w:r>
              <w:t xml:space="preserve"> </w:t>
            </w:r>
            <w:r w:rsidRPr="00F16157">
              <w:t>(système des limans israéliens)</w:t>
            </w:r>
          </w:p>
          <w:p w14:paraId="4D6538B6" w14:textId="77777777" w:rsidR="00F16157" w:rsidRDefault="00F16157" w:rsidP="00F16157">
            <w:pPr>
              <w:jc w:val="center"/>
              <w:rPr>
                <w:lang w:val="en-GB"/>
              </w:rPr>
            </w:pPr>
            <w:r w:rsidRPr="00EB1C98">
              <w:rPr>
                <w:lang w:val="en-GB"/>
              </w:rPr>
              <w:t>Vidéo Water Harvesting in the Negev.</w:t>
            </w:r>
          </w:p>
          <w:p w14:paraId="7BB43706" w14:textId="60DE5B66" w:rsidR="00154D7F" w:rsidRPr="00EB1C98" w:rsidRDefault="00154D7F" w:rsidP="00F16157">
            <w:pPr>
              <w:jc w:val="center"/>
              <w:rPr>
                <w:lang w:val="en-GB"/>
              </w:rPr>
            </w:pPr>
          </w:p>
        </w:tc>
      </w:tr>
      <w:tr w:rsidR="00F16157" w:rsidRPr="00F16157" w14:paraId="307CF9F9" w14:textId="77777777" w:rsidTr="000E72DF">
        <w:tc>
          <w:tcPr>
            <w:tcW w:w="6068" w:type="dxa"/>
            <w:gridSpan w:val="2"/>
          </w:tcPr>
          <w:p w14:paraId="1B8385C5" w14:textId="77777777" w:rsidR="00F16157" w:rsidRDefault="00F16157" w:rsidP="00F16157">
            <w:pPr>
              <w:jc w:val="center"/>
            </w:pPr>
            <w:r w:rsidRPr="00F16157">
              <w:rPr>
                <w:noProof/>
              </w:rPr>
              <w:lastRenderedPageBreak/>
              <w:drawing>
                <wp:inline distT="0" distB="0" distL="0" distR="0" wp14:anchorId="27447008" wp14:editId="078ABC13">
                  <wp:extent cx="3238500" cy="1238250"/>
                  <wp:effectExtent l="0" t="0" r="0" b="0"/>
                  <wp:docPr id="156694"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0"/>
                          <pic:cNvPicPr>
                            <a:picLocks noChangeAspect="1"/>
                          </pic:cNvPicPr>
                        </pic:nvPicPr>
                        <pic:blipFill>
                          <a:blip r:embed="rId152">
                            <a:extLst>
                              <a:ext uri="{28A0092B-C50C-407E-A947-70E740481C1C}">
                                <a14:useLocalDpi xmlns:a14="http://schemas.microsoft.com/office/drawing/2010/main" val="0"/>
                              </a:ext>
                            </a:extLst>
                          </a:blip>
                          <a:stretch>
                            <a:fillRect/>
                          </a:stretch>
                        </pic:blipFill>
                        <pic:spPr>
                          <a:xfrm>
                            <a:off x="0" y="0"/>
                            <a:ext cx="3238500" cy="1238250"/>
                          </a:xfrm>
                          <a:prstGeom prst="rect">
                            <a:avLst/>
                          </a:prstGeom>
                        </pic:spPr>
                      </pic:pic>
                    </a:graphicData>
                  </a:graphic>
                </wp:inline>
              </w:drawing>
            </w:r>
          </w:p>
          <w:p w14:paraId="346322FC" w14:textId="7EDBBDC6" w:rsidR="00F16157" w:rsidRPr="00F16157" w:rsidRDefault="00F16157" w:rsidP="00F16157">
            <w:pPr>
              <w:jc w:val="center"/>
              <w:rPr>
                <w:lang w:val="en-US"/>
              </w:rPr>
            </w:pPr>
            <w:r w:rsidRPr="00F16157">
              <w:rPr>
                <w:lang w:val="en-GB"/>
              </w:rPr>
              <w:t>Vidéo « </w:t>
            </w:r>
            <w:r w:rsidRPr="00F16157">
              <w:rPr>
                <w:i/>
                <w:iCs/>
                <w:lang w:val="en-US"/>
              </w:rPr>
              <w:t>Growing Forests in the Desert</w:t>
            </w:r>
            <w:r w:rsidRPr="00F16157">
              <w:rPr>
                <w:lang w:val="en-GB"/>
              </w:rPr>
              <w:t> »</w:t>
            </w:r>
            <w:r w:rsidRPr="00F16157">
              <w:rPr>
                <w:lang w:val="en-US"/>
              </w:rPr>
              <w:t xml:space="preserve"> sur Youtube</w:t>
            </w:r>
            <w:r>
              <w:rPr>
                <w:lang w:val="en-US"/>
              </w:rPr>
              <w:t>.</w:t>
            </w:r>
          </w:p>
        </w:tc>
        <w:tc>
          <w:tcPr>
            <w:tcW w:w="4358" w:type="dxa"/>
          </w:tcPr>
          <w:p w14:paraId="0326ACCD" w14:textId="77777777" w:rsidR="00F16157" w:rsidRDefault="00F16157" w:rsidP="00F16157">
            <w:pPr>
              <w:jc w:val="center"/>
              <w:rPr>
                <w:lang w:val="en-GB"/>
              </w:rPr>
            </w:pPr>
            <w:r w:rsidRPr="00F16157">
              <w:rPr>
                <w:noProof/>
              </w:rPr>
              <w:drawing>
                <wp:inline distT="0" distB="0" distL="0" distR="0" wp14:anchorId="48CE2D43" wp14:editId="28AB426D">
                  <wp:extent cx="2088232" cy="1365817"/>
                  <wp:effectExtent l="0" t="0" r="7620" b="6350"/>
                  <wp:docPr id="156695"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6"/>
                          <pic:cNvPicPr>
                            <a:picLocks noChangeAspect="1"/>
                          </pic:cNvPicPr>
                        </pic:nvPicPr>
                        <pic:blipFill>
                          <a:blip r:embed="rId153">
                            <a:extLst>
                              <a:ext uri="{28A0092B-C50C-407E-A947-70E740481C1C}">
                                <a14:useLocalDpi xmlns:a14="http://schemas.microsoft.com/office/drawing/2010/main" val="0"/>
                              </a:ext>
                            </a:extLst>
                          </a:blip>
                          <a:stretch>
                            <a:fillRect/>
                          </a:stretch>
                        </pic:blipFill>
                        <pic:spPr>
                          <a:xfrm>
                            <a:off x="0" y="0"/>
                            <a:ext cx="2088232" cy="1365817"/>
                          </a:xfrm>
                          <a:prstGeom prst="rect">
                            <a:avLst/>
                          </a:prstGeom>
                        </pic:spPr>
                      </pic:pic>
                    </a:graphicData>
                  </a:graphic>
                </wp:inline>
              </w:drawing>
            </w:r>
          </w:p>
          <w:p w14:paraId="0951BC3D" w14:textId="77777777" w:rsidR="00F16157" w:rsidRDefault="00F16157" w:rsidP="00F16157">
            <w:pPr>
              <w:jc w:val="center"/>
              <w:rPr>
                <w:lang w:val="en-US"/>
              </w:rPr>
            </w:pPr>
            <w:r w:rsidRPr="00F16157">
              <w:t>Système des limans israéliens. Vidéo « </w:t>
            </w:r>
            <w:r w:rsidRPr="00F16157">
              <w:rPr>
                <w:i/>
                <w:iCs/>
                <w:lang w:val="en-US"/>
              </w:rPr>
              <w:t>Growing Forests in the Desert</w:t>
            </w:r>
            <w:r w:rsidRPr="00F16157">
              <w:t> »</w:t>
            </w:r>
            <w:r w:rsidRPr="00F16157">
              <w:rPr>
                <w:lang w:val="en-US"/>
              </w:rPr>
              <w:t xml:space="preserve"> sur Youtube</w:t>
            </w:r>
          </w:p>
          <w:p w14:paraId="5A41FC68" w14:textId="70019F86" w:rsidR="00154D7F" w:rsidRPr="00F16157" w:rsidRDefault="00154D7F" w:rsidP="00F16157">
            <w:pPr>
              <w:jc w:val="center"/>
            </w:pPr>
          </w:p>
        </w:tc>
      </w:tr>
      <w:tr w:rsidR="00F16157" w:rsidRPr="00F16157" w14:paraId="5DDC4199" w14:textId="77777777" w:rsidTr="000E72DF">
        <w:tc>
          <w:tcPr>
            <w:tcW w:w="6068" w:type="dxa"/>
            <w:gridSpan w:val="2"/>
          </w:tcPr>
          <w:p w14:paraId="6A39CBC6" w14:textId="77777777" w:rsidR="00F16157" w:rsidRDefault="00F16157" w:rsidP="00F16157">
            <w:pPr>
              <w:jc w:val="center"/>
            </w:pPr>
            <w:r w:rsidRPr="00F16157">
              <w:rPr>
                <w:noProof/>
              </w:rPr>
              <w:drawing>
                <wp:inline distT="0" distB="0" distL="0" distR="0" wp14:anchorId="6F2F90FB" wp14:editId="0ED9EC44">
                  <wp:extent cx="2838450" cy="1466850"/>
                  <wp:effectExtent l="0" t="0" r="0" b="0"/>
                  <wp:docPr id="156696"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8"/>
                          <pic:cNvPicPr>
                            <a:picLocks noChangeAspect="1"/>
                          </pic:cNvPicPr>
                        </pic:nvPicPr>
                        <pic:blipFill>
                          <a:blip r:embed="rId154">
                            <a:extLst>
                              <a:ext uri="{28A0092B-C50C-407E-A947-70E740481C1C}">
                                <a14:useLocalDpi xmlns:a14="http://schemas.microsoft.com/office/drawing/2010/main" val="0"/>
                              </a:ext>
                            </a:extLst>
                          </a:blip>
                          <a:stretch>
                            <a:fillRect/>
                          </a:stretch>
                        </pic:blipFill>
                        <pic:spPr>
                          <a:xfrm>
                            <a:off x="0" y="0"/>
                            <a:ext cx="2838450" cy="1466850"/>
                          </a:xfrm>
                          <a:prstGeom prst="rect">
                            <a:avLst/>
                          </a:prstGeom>
                        </pic:spPr>
                      </pic:pic>
                    </a:graphicData>
                  </a:graphic>
                </wp:inline>
              </w:drawing>
            </w:r>
          </w:p>
          <w:p w14:paraId="125D6D3B" w14:textId="13086BE6" w:rsidR="00F16157" w:rsidRPr="00F16157" w:rsidRDefault="00F16157" w:rsidP="00F16157">
            <w:pPr>
              <w:jc w:val="center"/>
            </w:pPr>
            <w:r w:rsidRPr="00F16157">
              <w:t>Systèmes de demi-lunes pour retenir l’eau des crues dans le désert. Vidéo « </w:t>
            </w:r>
            <w:r w:rsidRPr="00F16157">
              <w:rPr>
                <w:i/>
                <w:iCs/>
                <w:lang w:val="en-US"/>
              </w:rPr>
              <w:t>Growing Forests in the Desert</w:t>
            </w:r>
            <w:r w:rsidRPr="00F16157">
              <w:t> »</w:t>
            </w:r>
            <w:r w:rsidRPr="00F16157">
              <w:rPr>
                <w:lang w:val="en-US"/>
              </w:rPr>
              <w:t xml:space="preserve"> sur Youtube</w:t>
            </w:r>
            <w:r w:rsidRPr="00F16157">
              <w:t>.</w:t>
            </w:r>
          </w:p>
        </w:tc>
        <w:tc>
          <w:tcPr>
            <w:tcW w:w="4358" w:type="dxa"/>
          </w:tcPr>
          <w:p w14:paraId="719A1859" w14:textId="77777777" w:rsidR="00F16157" w:rsidRDefault="00F16157" w:rsidP="00F16157">
            <w:pPr>
              <w:jc w:val="center"/>
            </w:pPr>
            <w:r w:rsidRPr="00F16157">
              <w:rPr>
                <w:noProof/>
              </w:rPr>
              <w:drawing>
                <wp:inline distT="0" distB="0" distL="0" distR="0" wp14:anchorId="50187416" wp14:editId="552A4C27">
                  <wp:extent cx="1914525" cy="1390650"/>
                  <wp:effectExtent l="0" t="0" r="9525" b="0"/>
                  <wp:docPr id="156697"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8"/>
                          <pic:cNvPicPr>
                            <a:picLocks noChangeAspect="1"/>
                          </pic:cNvPicPr>
                        </pic:nvPicPr>
                        <pic:blipFill>
                          <a:blip r:embed="rId155">
                            <a:extLst>
                              <a:ext uri="{28A0092B-C50C-407E-A947-70E740481C1C}">
                                <a14:useLocalDpi xmlns:a14="http://schemas.microsoft.com/office/drawing/2010/main" val="0"/>
                              </a:ext>
                            </a:extLst>
                          </a:blip>
                          <a:stretch>
                            <a:fillRect/>
                          </a:stretch>
                        </pic:blipFill>
                        <pic:spPr>
                          <a:xfrm>
                            <a:off x="0" y="0"/>
                            <a:ext cx="1914525" cy="1390650"/>
                          </a:xfrm>
                          <a:prstGeom prst="rect">
                            <a:avLst/>
                          </a:prstGeom>
                        </pic:spPr>
                      </pic:pic>
                    </a:graphicData>
                  </a:graphic>
                </wp:inline>
              </w:drawing>
            </w:r>
          </w:p>
          <w:p w14:paraId="18DCCD6B" w14:textId="77777777" w:rsidR="00F16157" w:rsidRPr="00F16157" w:rsidRDefault="00F16157" w:rsidP="00F16157">
            <w:pPr>
              <w:jc w:val="center"/>
            </w:pPr>
            <w:r w:rsidRPr="00F16157">
              <w:t>Système des limans israéliens.</w:t>
            </w:r>
          </w:p>
          <w:p w14:paraId="36016EBA" w14:textId="77777777" w:rsidR="00F16157" w:rsidRDefault="00F16157" w:rsidP="00F16157">
            <w:pPr>
              <w:jc w:val="center"/>
              <w:rPr>
                <w:lang w:val="en-US"/>
              </w:rPr>
            </w:pPr>
            <w:r w:rsidRPr="00F16157">
              <w:t>Vidéo « </w:t>
            </w:r>
            <w:r w:rsidRPr="00F16157">
              <w:rPr>
                <w:i/>
                <w:iCs/>
                <w:lang w:val="en-US"/>
              </w:rPr>
              <w:t>Growing Forests in the Desert</w:t>
            </w:r>
            <w:r w:rsidRPr="00F16157">
              <w:t> »</w:t>
            </w:r>
            <w:r w:rsidRPr="00F16157">
              <w:rPr>
                <w:lang w:val="en-US"/>
              </w:rPr>
              <w:t xml:space="preserve"> sur Youtube</w:t>
            </w:r>
            <w:r>
              <w:rPr>
                <w:lang w:val="en-US"/>
              </w:rPr>
              <w:t>.</w:t>
            </w:r>
          </w:p>
          <w:p w14:paraId="25342E2D" w14:textId="3F3D8418" w:rsidR="00154D7F" w:rsidRPr="00F16157" w:rsidRDefault="00154D7F" w:rsidP="00F16157">
            <w:pPr>
              <w:jc w:val="center"/>
            </w:pPr>
          </w:p>
        </w:tc>
      </w:tr>
      <w:tr w:rsidR="00F16157" w:rsidRPr="00A97779" w14:paraId="58A7C805" w14:textId="77777777" w:rsidTr="000E72DF">
        <w:tc>
          <w:tcPr>
            <w:tcW w:w="6068" w:type="dxa"/>
            <w:gridSpan w:val="2"/>
          </w:tcPr>
          <w:p w14:paraId="079BCFC5" w14:textId="77777777" w:rsidR="00F16157" w:rsidRDefault="00304D22" w:rsidP="00F16157">
            <w:pPr>
              <w:jc w:val="center"/>
            </w:pPr>
            <w:r w:rsidRPr="00304D22">
              <w:rPr>
                <w:noProof/>
              </w:rPr>
              <w:drawing>
                <wp:inline distT="0" distB="0" distL="0" distR="0" wp14:anchorId="4F169858" wp14:editId="30DF5823">
                  <wp:extent cx="2838450" cy="1466850"/>
                  <wp:effectExtent l="0" t="0" r="0" b="0"/>
                  <wp:docPr id="156698"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3"/>
                          <pic:cNvPicPr>
                            <a:picLocks noChangeAspect="1"/>
                          </pic:cNvPicPr>
                        </pic:nvPicPr>
                        <pic:blipFill>
                          <a:blip r:embed="rId156">
                            <a:extLst>
                              <a:ext uri="{28A0092B-C50C-407E-A947-70E740481C1C}">
                                <a14:useLocalDpi xmlns:a14="http://schemas.microsoft.com/office/drawing/2010/main" val="0"/>
                              </a:ext>
                            </a:extLst>
                          </a:blip>
                          <a:stretch>
                            <a:fillRect/>
                          </a:stretch>
                        </pic:blipFill>
                        <pic:spPr>
                          <a:xfrm>
                            <a:off x="0" y="0"/>
                            <a:ext cx="2838450" cy="1466850"/>
                          </a:xfrm>
                          <a:prstGeom prst="rect">
                            <a:avLst/>
                          </a:prstGeom>
                        </pic:spPr>
                      </pic:pic>
                    </a:graphicData>
                  </a:graphic>
                </wp:inline>
              </w:drawing>
            </w:r>
          </w:p>
          <w:p w14:paraId="4AE5C7B8" w14:textId="77777777" w:rsidR="00304D22" w:rsidRDefault="00304D22" w:rsidP="00F16157">
            <w:pPr>
              <w:jc w:val="center"/>
            </w:pPr>
            <w:r w:rsidRPr="00304D22">
              <w:t>Systèmes de demi-lunes pour retenir l’eau des crues dans le désert. Vidéo « </w:t>
            </w:r>
            <w:r w:rsidRPr="00304D22">
              <w:rPr>
                <w:i/>
                <w:iCs/>
                <w:lang w:val="en-US"/>
              </w:rPr>
              <w:t>Growing Forests in the Desert</w:t>
            </w:r>
            <w:r w:rsidRPr="00304D22">
              <w:t> »</w:t>
            </w:r>
            <w:r w:rsidRPr="00304D22">
              <w:rPr>
                <w:lang w:val="en-US"/>
              </w:rPr>
              <w:t xml:space="preserve"> sur Youtube</w:t>
            </w:r>
            <w:r w:rsidRPr="00304D22">
              <w:t>.</w:t>
            </w:r>
          </w:p>
          <w:p w14:paraId="7FC9F3D4" w14:textId="05FCB62E" w:rsidR="006018C4" w:rsidRPr="00F16157" w:rsidRDefault="006018C4" w:rsidP="00F16157">
            <w:pPr>
              <w:jc w:val="center"/>
            </w:pPr>
          </w:p>
        </w:tc>
        <w:tc>
          <w:tcPr>
            <w:tcW w:w="4358" w:type="dxa"/>
          </w:tcPr>
          <w:p w14:paraId="786EB8F9" w14:textId="77777777" w:rsidR="00F16157" w:rsidRDefault="006018C4" w:rsidP="00F16157">
            <w:pPr>
              <w:jc w:val="center"/>
            </w:pPr>
            <w:r w:rsidRPr="006018C4">
              <w:rPr>
                <w:noProof/>
              </w:rPr>
              <w:drawing>
                <wp:inline distT="0" distB="0" distL="0" distR="0" wp14:anchorId="37490040" wp14:editId="069B590A">
                  <wp:extent cx="2428875" cy="1257300"/>
                  <wp:effectExtent l="0" t="0" r="9525" b="0"/>
                  <wp:docPr id="156699"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5"/>
                          <pic:cNvPicPr>
                            <a:picLocks noChangeAspect="1"/>
                          </pic:cNvPicPr>
                        </pic:nvPicPr>
                        <pic:blipFill>
                          <a:blip r:embed="rId157">
                            <a:extLst>
                              <a:ext uri="{28A0092B-C50C-407E-A947-70E740481C1C}">
                                <a14:useLocalDpi xmlns:a14="http://schemas.microsoft.com/office/drawing/2010/main" val="0"/>
                              </a:ext>
                            </a:extLst>
                          </a:blip>
                          <a:stretch>
                            <a:fillRect/>
                          </a:stretch>
                        </pic:blipFill>
                        <pic:spPr>
                          <a:xfrm>
                            <a:off x="0" y="0"/>
                            <a:ext cx="2428875" cy="1257300"/>
                          </a:xfrm>
                          <a:prstGeom prst="rect">
                            <a:avLst/>
                          </a:prstGeom>
                        </pic:spPr>
                      </pic:pic>
                    </a:graphicData>
                  </a:graphic>
                </wp:inline>
              </w:drawing>
            </w:r>
          </w:p>
          <w:p w14:paraId="019BFF8F" w14:textId="1AD3248C" w:rsidR="006018C4" w:rsidRPr="006018C4" w:rsidRDefault="006018C4" w:rsidP="006018C4">
            <w:pPr>
              <w:jc w:val="center"/>
              <w:rPr>
                <w:lang w:val="en-US"/>
              </w:rPr>
            </w:pPr>
            <w:r w:rsidRPr="006018C4">
              <w:rPr>
                <w:lang w:val="en-GB"/>
              </w:rPr>
              <w:t>Vidéo « </w:t>
            </w:r>
            <w:r w:rsidRPr="006018C4">
              <w:rPr>
                <w:i/>
                <w:iCs/>
                <w:lang w:val="en-US"/>
              </w:rPr>
              <w:t>Growing Forests in the Desert</w:t>
            </w:r>
            <w:r w:rsidRPr="006018C4">
              <w:rPr>
                <w:lang w:val="en-GB"/>
              </w:rPr>
              <w:t> »</w:t>
            </w:r>
            <w:r w:rsidRPr="006018C4">
              <w:rPr>
                <w:lang w:val="en-US"/>
              </w:rPr>
              <w:t xml:space="preserve"> sur Youtube</w:t>
            </w:r>
            <w:r>
              <w:rPr>
                <w:lang w:val="en-US"/>
              </w:rPr>
              <w:t>.</w:t>
            </w:r>
          </w:p>
        </w:tc>
      </w:tr>
      <w:tr w:rsidR="006018C4" w:rsidRPr="006018C4" w14:paraId="7A8DBF02" w14:textId="77777777" w:rsidTr="000E72DF">
        <w:tc>
          <w:tcPr>
            <w:tcW w:w="2582" w:type="dxa"/>
          </w:tcPr>
          <w:p w14:paraId="19B5E056" w14:textId="77777777" w:rsidR="006018C4" w:rsidRDefault="006018C4" w:rsidP="00F16157">
            <w:pPr>
              <w:jc w:val="center"/>
            </w:pPr>
            <w:r w:rsidRPr="006018C4">
              <w:rPr>
                <w:noProof/>
              </w:rPr>
              <w:lastRenderedPageBreak/>
              <w:drawing>
                <wp:inline distT="0" distB="0" distL="0" distR="0" wp14:anchorId="0BB40C95" wp14:editId="15536734">
                  <wp:extent cx="1371600" cy="3476625"/>
                  <wp:effectExtent l="0" t="0" r="0" b="9525"/>
                  <wp:docPr id="156703"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19"/>
                          <pic:cNvPicPr>
                            <a:picLocks noChangeAspect="1"/>
                          </pic:cNvPicPr>
                        </pic:nvPicPr>
                        <pic:blipFill>
                          <a:blip r:embed="rId158">
                            <a:extLst>
                              <a:ext uri="{28A0092B-C50C-407E-A947-70E740481C1C}">
                                <a14:useLocalDpi xmlns:a14="http://schemas.microsoft.com/office/drawing/2010/main" val="0"/>
                              </a:ext>
                            </a:extLst>
                          </a:blip>
                          <a:stretch>
                            <a:fillRect/>
                          </a:stretch>
                        </pic:blipFill>
                        <pic:spPr>
                          <a:xfrm>
                            <a:off x="0" y="0"/>
                            <a:ext cx="1371600" cy="3476625"/>
                          </a:xfrm>
                          <a:prstGeom prst="rect">
                            <a:avLst/>
                          </a:prstGeom>
                        </pic:spPr>
                      </pic:pic>
                    </a:graphicData>
                  </a:graphic>
                </wp:inline>
              </w:drawing>
            </w:r>
          </w:p>
          <w:p w14:paraId="6E856AAC" w14:textId="77777777" w:rsidR="006018C4" w:rsidRDefault="00A80B20" w:rsidP="00F16157">
            <w:pPr>
              <w:jc w:val="center"/>
              <w:rPr>
                <w:rFonts w:ascii="Calibri" w:eastAsia="+mn-ea" w:hAnsi="Calibri" w:cs="Calibri"/>
                <w:color w:val="000000" w:themeColor="text1"/>
                <w:kern w:val="24"/>
              </w:rPr>
            </w:pPr>
            <w:r>
              <w:rPr>
                <w:rFonts w:ascii="Calibri" w:eastAsia="+mn-ea" w:hAnsi="Calibri" w:cs="Calibri"/>
                <w:color w:val="000000" w:themeColor="text1"/>
                <w:kern w:val="24"/>
              </w:rPr>
              <w:t xml:space="preserve">↑ </w:t>
            </w:r>
            <w:r w:rsidR="006018C4" w:rsidRPr="006018C4">
              <w:rPr>
                <w:rFonts w:ascii="Calibri" w:eastAsia="+mn-ea" w:hAnsi="Calibri" w:cs="Calibri"/>
                <w:color w:val="000000" w:themeColor="text1"/>
                <w:kern w:val="24"/>
              </w:rPr>
              <w:t xml:space="preserve">Forêts plantées (en </w:t>
            </w:r>
            <w:r w:rsidR="006018C4" w:rsidRPr="006018C4">
              <w:rPr>
                <w:rFonts w:ascii="Calibri" w:eastAsia="+mn-ea" w:hAnsi="Calibri" w:cs="Calibri"/>
                <w:b/>
                <w:bCs/>
                <w:color w:val="003300"/>
                <w:kern w:val="24"/>
              </w:rPr>
              <w:t>vert foncé</w:t>
            </w:r>
            <w:r w:rsidR="006018C4" w:rsidRPr="006018C4">
              <w:rPr>
                <w:rFonts w:ascii="Calibri" w:eastAsia="+mn-ea" w:hAnsi="Calibri" w:cs="Calibri"/>
                <w:color w:val="008000"/>
                <w:kern w:val="24"/>
              </w:rPr>
              <w:t xml:space="preserve">) </w:t>
            </w:r>
            <w:r w:rsidR="006018C4" w:rsidRPr="006018C4">
              <w:rPr>
                <w:rFonts w:ascii="Calibri" w:eastAsia="+mn-ea" w:hAnsi="Calibri" w:cs="Calibri"/>
                <w:color w:val="000000" w:themeColor="text1"/>
                <w:kern w:val="24"/>
              </w:rPr>
              <w:t>et corridors écologiques</w:t>
            </w:r>
            <w:r w:rsidR="006018C4" w:rsidRPr="006018C4">
              <w:rPr>
                <w:rFonts w:ascii="Calibri" w:eastAsia="+mn-ea" w:hAnsi="Calibri" w:cs="Calibri"/>
                <w:color w:val="008000"/>
                <w:kern w:val="24"/>
              </w:rPr>
              <w:t xml:space="preserve"> (</w:t>
            </w:r>
            <w:r w:rsidR="006018C4" w:rsidRPr="006018C4">
              <w:rPr>
                <w:rFonts w:ascii="Calibri" w:eastAsia="+mn-ea" w:hAnsi="Calibri" w:cs="Calibri"/>
                <w:b/>
                <w:bCs/>
                <w:color w:val="77933C"/>
                <w:kern w:val="24"/>
              </w:rPr>
              <w:t>en vert clair</w:t>
            </w:r>
            <w:r w:rsidR="006018C4" w:rsidRPr="006018C4">
              <w:rPr>
                <w:rFonts w:ascii="Calibri" w:eastAsia="+mn-ea" w:hAnsi="Calibri" w:cs="Calibri"/>
                <w:color w:val="008000"/>
                <w:kern w:val="24"/>
              </w:rPr>
              <w:t xml:space="preserve">) </w:t>
            </w:r>
            <w:r w:rsidR="006018C4" w:rsidRPr="006018C4">
              <w:rPr>
                <w:rFonts w:ascii="Calibri" w:eastAsia="+mn-ea" w:hAnsi="Calibri" w:cs="Calibri"/>
                <w:color w:val="000000" w:themeColor="text1"/>
                <w:kern w:val="24"/>
              </w:rPr>
              <w:t>créés en Israël (projet NOP 22).</w:t>
            </w:r>
          </w:p>
          <w:p w14:paraId="0C04627A" w14:textId="4AE4F08A" w:rsidR="00A80B20" w:rsidRPr="006018C4" w:rsidRDefault="00A80B20" w:rsidP="00F16157">
            <w:pPr>
              <w:jc w:val="center"/>
              <w:rPr>
                <w:rFonts w:ascii="Calibri" w:hAnsi="Calibri" w:cs="Calibri"/>
              </w:rPr>
            </w:pPr>
            <w:r>
              <w:rPr>
                <w:rFonts w:ascii="Calibri" w:eastAsia="+mn-ea" w:hAnsi="Calibri" w:cs="Calibri"/>
                <w:kern w:val="24"/>
              </w:rPr>
              <w:t>(voir page précédente).</w:t>
            </w:r>
          </w:p>
        </w:tc>
        <w:tc>
          <w:tcPr>
            <w:tcW w:w="3486" w:type="dxa"/>
          </w:tcPr>
          <w:p w14:paraId="6B85D717" w14:textId="08998578" w:rsidR="006018C4" w:rsidRDefault="006018C4" w:rsidP="00F16157">
            <w:pPr>
              <w:jc w:val="center"/>
            </w:pPr>
            <w:r w:rsidRPr="006018C4">
              <w:rPr>
                <w:noProof/>
              </w:rPr>
              <w:drawing>
                <wp:inline distT="0" distB="0" distL="0" distR="0" wp14:anchorId="5AE668D8" wp14:editId="54511E6E">
                  <wp:extent cx="1847850" cy="1200150"/>
                  <wp:effectExtent l="0" t="0" r="0" b="0"/>
                  <wp:docPr id="156701"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 25"/>
                          <pic:cNvPicPr>
                            <a:picLocks noChangeAspect="1"/>
                          </pic:cNvPicPr>
                        </pic:nvPicPr>
                        <pic:blipFill>
                          <a:blip r:embed="rId159">
                            <a:extLst>
                              <a:ext uri="{28A0092B-C50C-407E-A947-70E740481C1C}">
                                <a14:useLocalDpi xmlns:a14="http://schemas.microsoft.com/office/drawing/2010/main" val="0"/>
                              </a:ext>
                            </a:extLst>
                          </a:blip>
                          <a:stretch>
                            <a:fillRect/>
                          </a:stretch>
                        </pic:blipFill>
                        <pic:spPr>
                          <a:xfrm>
                            <a:off x="0" y="0"/>
                            <a:ext cx="1847850" cy="1200150"/>
                          </a:xfrm>
                          <a:prstGeom prst="rect">
                            <a:avLst/>
                          </a:prstGeom>
                        </pic:spPr>
                      </pic:pic>
                    </a:graphicData>
                  </a:graphic>
                </wp:inline>
              </w:drawing>
            </w:r>
            <w:r>
              <w:t xml:space="preserve"> </w:t>
            </w:r>
          </w:p>
          <w:p w14:paraId="71A32E1D" w14:textId="77777777" w:rsidR="006018C4" w:rsidRPr="006018C4" w:rsidRDefault="006018C4" w:rsidP="006018C4">
            <w:pPr>
              <w:jc w:val="center"/>
            </w:pPr>
            <w:r w:rsidRPr="006018C4">
              <w:t>Collines de Ruhama</w:t>
            </w:r>
          </w:p>
          <w:p w14:paraId="04A206AB" w14:textId="77777777" w:rsidR="006018C4" w:rsidRDefault="006018C4" w:rsidP="00F16157">
            <w:pPr>
              <w:jc w:val="center"/>
            </w:pPr>
          </w:p>
          <w:p w14:paraId="66BB3F9F" w14:textId="77777777" w:rsidR="006018C4" w:rsidRDefault="006018C4" w:rsidP="00F16157">
            <w:pPr>
              <w:jc w:val="center"/>
            </w:pPr>
            <w:r w:rsidRPr="006018C4">
              <w:rPr>
                <w:noProof/>
              </w:rPr>
              <w:drawing>
                <wp:inline distT="0" distB="0" distL="0" distR="0" wp14:anchorId="47093462" wp14:editId="472B65F3">
                  <wp:extent cx="2070857" cy="1383547"/>
                  <wp:effectExtent l="0" t="0" r="5715" b="7620"/>
                  <wp:docPr id="156702"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 23"/>
                          <pic:cNvPicPr>
                            <a:picLocks noChangeAspect="1"/>
                          </pic:cNvPicPr>
                        </pic:nvPicPr>
                        <pic:blipFill>
                          <a:blip r:embed="rId160">
                            <a:extLst>
                              <a:ext uri="{28A0092B-C50C-407E-A947-70E740481C1C}">
                                <a14:useLocalDpi xmlns:a14="http://schemas.microsoft.com/office/drawing/2010/main" val="0"/>
                              </a:ext>
                            </a:extLst>
                          </a:blip>
                          <a:stretch>
                            <a:fillRect/>
                          </a:stretch>
                        </pic:blipFill>
                        <pic:spPr>
                          <a:xfrm>
                            <a:off x="0" y="0"/>
                            <a:ext cx="2070857" cy="1383547"/>
                          </a:xfrm>
                          <a:prstGeom prst="rect">
                            <a:avLst/>
                          </a:prstGeom>
                        </pic:spPr>
                      </pic:pic>
                    </a:graphicData>
                  </a:graphic>
                </wp:inline>
              </w:drawing>
            </w:r>
          </w:p>
          <w:p w14:paraId="1DDDB542" w14:textId="0F8BEC80" w:rsidR="006018C4" w:rsidRPr="00304D22" w:rsidRDefault="006018C4" w:rsidP="006018C4">
            <w:pPr>
              <w:jc w:val="center"/>
            </w:pPr>
            <w:r w:rsidRPr="006018C4">
              <w:t>Forêt plantée et terres agricoles</w:t>
            </w:r>
            <w:r>
              <w:t>.</w:t>
            </w:r>
          </w:p>
        </w:tc>
        <w:tc>
          <w:tcPr>
            <w:tcW w:w="4358" w:type="dxa"/>
          </w:tcPr>
          <w:p w14:paraId="1FC1D357" w14:textId="77777777" w:rsidR="006018C4" w:rsidRDefault="006018C4" w:rsidP="006018C4">
            <w:pPr>
              <w:jc w:val="center"/>
            </w:pPr>
            <w:r w:rsidRPr="006018C4">
              <w:rPr>
                <w:noProof/>
              </w:rPr>
              <w:drawing>
                <wp:inline distT="0" distB="0" distL="0" distR="0" wp14:anchorId="4C147254" wp14:editId="4772CD64">
                  <wp:extent cx="2524125" cy="1809750"/>
                  <wp:effectExtent l="0" t="0" r="9525" b="0"/>
                  <wp:docPr id="9932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8"/>
                          <pic:cNvPicPr>
                            <a:picLocks noChangeAspect="1"/>
                          </pic:cNvPicPr>
                        </pic:nvPicPr>
                        <pic:blipFill>
                          <a:blip r:embed="rId161">
                            <a:extLst>
                              <a:ext uri="{28A0092B-C50C-407E-A947-70E740481C1C}">
                                <a14:useLocalDpi xmlns:a14="http://schemas.microsoft.com/office/drawing/2010/main" val="0"/>
                              </a:ext>
                            </a:extLst>
                          </a:blip>
                          <a:stretch>
                            <a:fillRect/>
                          </a:stretch>
                        </pic:blipFill>
                        <pic:spPr>
                          <a:xfrm>
                            <a:off x="0" y="0"/>
                            <a:ext cx="2524125" cy="1809750"/>
                          </a:xfrm>
                          <a:prstGeom prst="rect">
                            <a:avLst/>
                          </a:prstGeom>
                        </pic:spPr>
                      </pic:pic>
                    </a:graphicData>
                  </a:graphic>
                </wp:inline>
              </w:drawing>
            </w:r>
          </w:p>
          <w:p w14:paraId="7FD32D00" w14:textId="6515ADA6" w:rsidR="006018C4" w:rsidRDefault="006018C4" w:rsidP="006018C4">
            <w:pPr>
              <w:jc w:val="center"/>
            </w:pPr>
            <w:r w:rsidRPr="006018C4">
              <w:t>Oryx au kibbutz Yotvata, désert du Néguev</w:t>
            </w:r>
            <w:r>
              <w:rPr>
                <w:rStyle w:val="Appelnotedebasdep"/>
              </w:rPr>
              <w:footnoteReference w:id="62"/>
            </w:r>
            <w:r w:rsidRPr="006018C4">
              <w:t>.</w:t>
            </w:r>
          </w:p>
          <w:p w14:paraId="0BB3B8E9" w14:textId="77777777" w:rsidR="006018C4" w:rsidRDefault="006018C4" w:rsidP="006018C4">
            <w:pPr>
              <w:jc w:val="center"/>
            </w:pPr>
          </w:p>
          <w:p w14:paraId="6F00E533" w14:textId="77777777" w:rsidR="006018C4" w:rsidRDefault="006018C4" w:rsidP="006018C4">
            <w:pPr>
              <w:jc w:val="center"/>
            </w:pPr>
            <w:r w:rsidRPr="006018C4">
              <w:rPr>
                <w:noProof/>
              </w:rPr>
              <w:drawing>
                <wp:inline distT="0" distB="0" distL="0" distR="0" wp14:anchorId="36FCD8CF" wp14:editId="1D164595">
                  <wp:extent cx="2619375" cy="1743075"/>
                  <wp:effectExtent l="0" t="0" r="9525" b="9525"/>
                  <wp:docPr id="99329"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6"/>
                          <pic:cNvPicPr>
                            <a:picLocks noChangeAspect="1"/>
                          </pic:cNvPicPr>
                        </pic:nvPicPr>
                        <pic:blipFill>
                          <a:blip r:embed="rId162">
                            <a:extLst>
                              <a:ext uri="{28A0092B-C50C-407E-A947-70E740481C1C}">
                                <a14:useLocalDpi xmlns:a14="http://schemas.microsoft.com/office/drawing/2010/main" val="0"/>
                              </a:ext>
                            </a:extLst>
                          </a:blip>
                          <a:stretch>
                            <a:fillRect/>
                          </a:stretch>
                        </pic:blipFill>
                        <pic:spPr>
                          <a:xfrm>
                            <a:off x="0" y="0"/>
                            <a:ext cx="2619375" cy="1743075"/>
                          </a:xfrm>
                          <a:prstGeom prst="rect">
                            <a:avLst/>
                          </a:prstGeom>
                        </pic:spPr>
                      </pic:pic>
                    </a:graphicData>
                  </a:graphic>
                </wp:inline>
              </w:drawing>
            </w:r>
          </w:p>
          <w:p w14:paraId="5D7F5FDE" w14:textId="07B419B7" w:rsidR="006018C4" w:rsidRPr="006018C4" w:rsidRDefault="006018C4" w:rsidP="006018C4">
            <w:pPr>
              <w:jc w:val="center"/>
            </w:pPr>
            <w:r w:rsidRPr="006018C4">
              <w:t>La forêt de Lahav (sud d’Israël) au printemps. Photo: Tania Susskind</w:t>
            </w:r>
            <w:r>
              <w:rPr>
                <w:rStyle w:val="Appelnotedebasdep"/>
              </w:rPr>
              <w:footnoteReference w:id="63"/>
            </w:r>
            <w:r>
              <w:t>.</w:t>
            </w:r>
          </w:p>
        </w:tc>
      </w:tr>
      <w:tr w:rsidR="006018C4" w:rsidRPr="006018C4" w14:paraId="386F8A14" w14:textId="77777777" w:rsidTr="000E72DF">
        <w:tc>
          <w:tcPr>
            <w:tcW w:w="6068" w:type="dxa"/>
            <w:gridSpan w:val="2"/>
          </w:tcPr>
          <w:p w14:paraId="497DDC7A" w14:textId="77777777" w:rsidR="006018C4" w:rsidRDefault="006018C4" w:rsidP="006018C4">
            <w:pPr>
              <w:jc w:val="center"/>
            </w:pPr>
            <w:r w:rsidRPr="006018C4">
              <w:rPr>
                <w:noProof/>
              </w:rPr>
              <w:drawing>
                <wp:inline distT="0" distB="0" distL="0" distR="0" wp14:anchorId="5D2692D8" wp14:editId="7099AE37">
                  <wp:extent cx="3495675" cy="903760"/>
                  <wp:effectExtent l="0" t="0" r="0" b="0"/>
                  <wp:docPr id="99330"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5"/>
                          <pic:cNvPicPr>
                            <a:picLocks noChangeAspect="1"/>
                          </pic:cNvPicPr>
                        </pic:nvPicPr>
                        <pic:blipFill>
                          <a:blip r:embed="rId163">
                            <a:extLst>
                              <a:ext uri="{28A0092B-C50C-407E-A947-70E740481C1C}">
                                <a14:useLocalDpi xmlns:a14="http://schemas.microsoft.com/office/drawing/2010/main" val="0"/>
                              </a:ext>
                            </a:extLst>
                          </a:blip>
                          <a:stretch>
                            <a:fillRect/>
                          </a:stretch>
                        </pic:blipFill>
                        <pic:spPr>
                          <a:xfrm>
                            <a:off x="0" y="0"/>
                            <a:ext cx="3498909" cy="904596"/>
                          </a:xfrm>
                          <a:prstGeom prst="rect">
                            <a:avLst/>
                          </a:prstGeom>
                        </pic:spPr>
                      </pic:pic>
                    </a:graphicData>
                  </a:graphic>
                </wp:inline>
              </w:drawing>
            </w:r>
          </w:p>
          <w:p w14:paraId="119C9639" w14:textId="77777777" w:rsidR="006018C4" w:rsidRPr="006018C4" w:rsidRDefault="006018C4" w:rsidP="006018C4">
            <w:pPr>
              <w:jc w:val="center"/>
            </w:pPr>
            <w:r w:rsidRPr="006018C4">
              <w:t>Un liman israélien.</w:t>
            </w:r>
          </w:p>
          <w:p w14:paraId="24D99F60" w14:textId="3414BD2C" w:rsidR="006018C4" w:rsidRPr="006018C4" w:rsidRDefault="006018C4" w:rsidP="006018C4">
            <w:pPr>
              <w:jc w:val="center"/>
            </w:pPr>
            <w:r w:rsidRPr="006018C4">
              <w:t>Les oasis et les oueds sont un gîte pour des bosquets d'arbres qui fournissent une ombre bienvenue aux personnes et aux animaux</w:t>
            </w:r>
            <w:r>
              <w:rPr>
                <w:rStyle w:val="Appelnotedebasdep"/>
              </w:rPr>
              <w:footnoteReference w:id="64"/>
            </w:r>
            <w:r>
              <w:t>.</w:t>
            </w:r>
          </w:p>
        </w:tc>
        <w:tc>
          <w:tcPr>
            <w:tcW w:w="4358" w:type="dxa"/>
          </w:tcPr>
          <w:p w14:paraId="67E2F0CC" w14:textId="77777777" w:rsidR="006018C4" w:rsidRDefault="006018C4" w:rsidP="006018C4">
            <w:pPr>
              <w:jc w:val="center"/>
            </w:pPr>
            <w:r w:rsidRPr="006018C4">
              <w:rPr>
                <w:noProof/>
              </w:rPr>
              <w:drawing>
                <wp:inline distT="0" distB="0" distL="0" distR="0" wp14:anchorId="1C060A93" wp14:editId="2ED06AD1">
                  <wp:extent cx="1895475" cy="1457325"/>
                  <wp:effectExtent l="0" t="0" r="9525" b="9525"/>
                  <wp:docPr id="156700"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1"/>
                          <pic:cNvPicPr>
                            <a:picLocks noChangeAspect="1"/>
                          </pic:cNvPicPr>
                        </pic:nvPicPr>
                        <pic:blipFill>
                          <a:blip r:embed="rId164">
                            <a:extLst>
                              <a:ext uri="{28A0092B-C50C-407E-A947-70E740481C1C}">
                                <a14:useLocalDpi xmlns:a14="http://schemas.microsoft.com/office/drawing/2010/main" val="0"/>
                              </a:ext>
                            </a:extLst>
                          </a:blip>
                          <a:stretch>
                            <a:fillRect/>
                          </a:stretch>
                        </pic:blipFill>
                        <pic:spPr>
                          <a:xfrm>
                            <a:off x="0" y="0"/>
                            <a:ext cx="1895475" cy="1457325"/>
                          </a:xfrm>
                          <a:prstGeom prst="rect">
                            <a:avLst/>
                          </a:prstGeom>
                        </pic:spPr>
                      </pic:pic>
                    </a:graphicData>
                  </a:graphic>
                </wp:inline>
              </w:drawing>
            </w:r>
          </w:p>
          <w:p w14:paraId="4BC3FA8B" w14:textId="0C9E9D5C" w:rsidR="006018C4" w:rsidRPr="006018C4" w:rsidRDefault="006018C4" w:rsidP="006018C4">
            <w:pPr>
              <w:jc w:val="center"/>
            </w:pPr>
            <w:r w:rsidRPr="006018C4">
              <w:t>Plantations à feuilles larges, terrasses à Yatir.</w:t>
            </w:r>
          </w:p>
        </w:tc>
      </w:tr>
    </w:tbl>
    <w:p w14:paraId="07182AF0" w14:textId="70CCAA30" w:rsidR="00F16157" w:rsidRDefault="00F16157" w:rsidP="00F16157">
      <w:pPr>
        <w:spacing w:after="0" w:line="240" w:lineRule="auto"/>
        <w:jc w:val="cente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6018C4" w14:paraId="4DDADF57" w14:textId="77777777" w:rsidTr="000E72DF">
        <w:tc>
          <w:tcPr>
            <w:tcW w:w="5208" w:type="dxa"/>
          </w:tcPr>
          <w:p w14:paraId="7722BDFD" w14:textId="77777777" w:rsidR="006018C4" w:rsidRDefault="006018C4" w:rsidP="00F16157">
            <w:pPr>
              <w:jc w:val="center"/>
            </w:pPr>
            <w:r w:rsidRPr="006018C4">
              <w:rPr>
                <w:noProof/>
              </w:rPr>
              <w:lastRenderedPageBreak/>
              <w:drawing>
                <wp:inline distT="0" distB="0" distL="0" distR="0" wp14:anchorId="18BEA2E5" wp14:editId="647BE3FC">
                  <wp:extent cx="2339485" cy="1846296"/>
                  <wp:effectExtent l="0" t="0" r="3810" b="1905"/>
                  <wp:docPr id="99331"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2"/>
                          <pic:cNvPicPr>
                            <a:picLocks noChangeAspect="1"/>
                          </pic:cNvPicPr>
                        </pic:nvPicPr>
                        <pic:blipFill>
                          <a:blip r:embed="rId165">
                            <a:extLst>
                              <a:ext uri="{28A0092B-C50C-407E-A947-70E740481C1C}">
                                <a14:useLocalDpi xmlns:a14="http://schemas.microsoft.com/office/drawing/2010/main" val="0"/>
                              </a:ext>
                            </a:extLst>
                          </a:blip>
                          <a:stretch>
                            <a:fillRect/>
                          </a:stretch>
                        </pic:blipFill>
                        <pic:spPr>
                          <a:xfrm>
                            <a:off x="0" y="0"/>
                            <a:ext cx="2339485" cy="1846296"/>
                          </a:xfrm>
                          <a:prstGeom prst="rect">
                            <a:avLst/>
                          </a:prstGeom>
                        </pic:spPr>
                      </pic:pic>
                    </a:graphicData>
                  </a:graphic>
                </wp:inline>
              </w:drawing>
            </w:r>
          </w:p>
          <w:p w14:paraId="340A1F70" w14:textId="266772E3" w:rsidR="006018C4" w:rsidRDefault="006018C4" w:rsidP="006018C4">
            <w:pPr>
              <w:jc w:val="center"/>
            </w:pPr>
            <w:r w:rsidRPr="006018C4">
              <w:t>Boisement dans la zone semi-aride de la Forêt de Hiran entre 1998 et 2008</w:t>
            </w:r>
            <w:r w:rsidR="000E72DF">
              <w:rPr>
                <w:rStyle w:val="Appelnotedebasdep"/>
              </w:rPr>
              <w:footnoteReference w:id="65"/>
            </w:r>
            <w:r>
              <w:t>.</w:t>
            </w:r>
          </w:p>
        </w:tc>
        <w:tc>
          <w:tcPr>
            <w:tcW w:w="5208" w:type="dxa"/>
          </w:tcPr>
          <w:p w14:paraId="27F2DA0F" w14:textId="77777777" w:rsidR="006018C4" w:rsidRDefault="006018C4" w:rsidP="00F16157">
            <w:pPr>
              <w:jc w:val="center"/>
            </w:pPr>
            <w:r w:rsidRPr="006018C4">
              <w:rPr>
                <w:noProof/>
              </w:rPr>
              <w:drawing>
                <wp:inline distT="0" distB="0" distL="0" distR="0" wp14:anchorId="43BB9BC7" wp14:editId="0F5402DA">
                  <wp:extent cx="2311313" cy="1985010"/>
                  <wp:effectExtent l="0" t="0" r="0" b="0"/>
                  <wp:docPr id="99332"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3"/>
                          <pic:cNvPicPr>
                            <a:picLocks noChangeAspect="1"/>
                          </pic:cNvPicPr>
                        </pic:nvPicPr>
                        <pic:blipFill>
                          <a:blip r:embed="rId166">
                            <a:extLst>
                              <a:ext uri="{28A0092B-C50C-407E-A947-70E740481C1C}">
                                <a14:useLocalDpi xmlns:a14="http://schemas.microsoft.com/office/drawing/2010/main" val="0"/>
                              </a:ext>
                            </a:extLst>
                          </a:blip>
                          <a:stretch>
                            <a:fillRect/>
                          </a:stretch>
                        </pic:blipFill>
                        <pic:spPr>
                          <a:xfrm>
                            <a:off x="0" y="0"/>
                            <a:ext cx="2311313" cy="1985010"/>
                          </a:xfrm>
                          <a:prstGeom prst="rect">
                            <a:avLst/>
                          </a:prstGeom>
                        </pic:spPr>
                      </pic:pic>
                    </a:graphicData>
                  </a:graphic>
                </wp:inline>
              </w:drawing>
            </w:r>
          </w:p>
          <w:p w14:paraId="0364D20D" w14:textId="48C82669" w:rsidR="006018C4" w:rsidRDefault="006018C4" w:rsidP="00F16157">
            <w:pPr>
              <w:jc w:val="center"/>
            </w:pPr>
            <w:r>
              <w:t>Idem.</w:t>
            </w:r>
          </w:p>
        </w:tc>
      </w:tr>
    </w:tbl>
    <w:p w14:paraId="33D6D9FA" w14:textId="03FC9C25" w:rsidR="00004C56" w:rsidRDefault="00004C56" w:rsidP="002C7013">
      <w:pPr>
        <w:spacing w:after="0" w:line="240" w:lineRule="auto"/>
      </w:pPr>
    </w:p>
    <w:p w14:paraId="676F0375" w14:textId="77777777" w:rsidR="00A80B20" w:rsidRDefault="00A80B20">
      <w:pPr>
        <w:rPr>
          <w:u w:val="single"/>
        </w:rPr>
      </w:pPr>
      <w:r>
        <w:rPr>
          <w:u w:val="single"/>
        </w:rPr>
        <w:br w:type="page"/>
      </w:r>
    </w:p>
    <w:p w14:paraId="0CFEF2A3" w14:textId="1EC78611" w:rsidR="000E72DF" w:rsidRDefault="000E72DF" w:rsidP="002C7013">
      <w:pPr>
        <w:spacing w:after="0" w:line="240" w:lineRule="auto"/>
      </w:pPr>
      <w:r w:rsidRPr="000E72DF">
        <w:rPr>
          <w:u w:val="single"/>
        </w:rPr>
        <w:lastRenderedPageBreak/>
        <w:t>Autres projets (en Chine …)</w:t>
      </w:r>
      <w:r>
        <w:t> </w:t>
      </w:r>
      <w:r w:rsidR="00A80B20">
        <w:t>(voir ci-après)</w:t>
      </w:r>
      <w:r>
        <w:t>:</w:t>
      </w:r>
    </w:p>
    <w:p w14:paraId="4399F298" w14:textId="6A161857" w:rsidR="000E72DF" w:rsidRDefault="000E72DF" w:rsidP="002C7013">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0E72DF" w14:paraId="6DFCC77D" w14:textId="77777777" w:rsidTr="000E72DF">
        <w:tc>
          <w:tcPr>
            <w:tcW w:w="5208" w:type="dxa"/>
          </w:tcPr>
          <w:p w14:paraId="5F50C450" w14:textId="77777777" w:rsidR="000E72DF" w:rsidRDefault="000E72DF" w:rsidP="000E72DF">
            <w:pPr>
              <w:jc w:val="center"/>
            </w:pPr>
            <w:r w:rsidRPr="000E72DF">
              <w:rPr>
                <w:noProof/>
              </w:rPr>
              <w:drawing>
                <wp:inline distT="0" distB="0" distL="0" distR="0" wp14:anchorId="41EB7E27" wp14:editId="02537C6F">
                  <wp:extent cx="2476500" cy="1847850"/>
                  <wp:effectExtent l="0" t="0" r="0" b="0"/>
                  <wp:docPr id="99333"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2"/>
                          <pic:cNvPicPr>
                            <a:picLocks noChangeAspect="1"/>
                          </pic:cNvPicPr>
                        </pic:nvPicPr>
                        <pic:blipFill>
                          <a:blip r:embed="rId167">
                            <a:extLst>
                              <a:ext uri="{28A0092B-C50C-407E-A947-70E740481C1C}">
                                <a14:useLocalDpi xmlns:a14="http://schemas.microsoft.com/office/drawing/2010/main" val="0"/>
                              </a:ext>
                            </a:extLst>
                          </a:blip>
                          <a:stretch>
                            <a:fillRect/>
                          </a:stretch>
                        </pic:blipFill>
                        <pic:spPr>
                          <a:xfrm>
                            <a:off x="0" y="0"/>
                            <a:ext cx="2476500" cy="1847850"/>
                          </a:xfrm>
                          <a:prstGeom prst="rect">
                            <a:avLst/>
                          </a:prstGeom>
                        </pic:spPr>
                      </pic:pic>
                    </a:graphicData>
                  </a:graphic>
                </wp:inline>
              </w:drawing>
            </w:r>
          </w:p>
          <w:p w14:paraId="6C9A4408" w14:textId="72352CDF" w:rsidR="000E72DF" w:rsidRDefault="000E72DF" w:rsidP="000E72DF">
            <w:pPr>
              <w:jc w:val="center"/>
            </w:pPr>
            <w:r w:rsidRPr="000E72DF">
              <w:t xml:space="preserve">Reverdir le désert à Nuweiba, Sud du Sinaï, </w:t>
            </w:r>
            <w:r w:rsidR="00EB17D8">
              <w:t>Égypte</w:t>
            </w:r>
            <w:r w:rsidR="00EB17D8">
              <w:rPr>
                <w:rStyle w:val="Appelnotedebasdep"/>
              </w:rPr>
              <w:t xml:space="preserve"> </w:t>
            </w:r>
            <w:r>
              <w:rPr>
                <w:rStyle w:val="Appelnotedebasdep"/>
              </w:rPr>
              <w:footnoteReference w:id="66"/>
            </w:r>
            <w:r>
              <w:t>.</w:t>
            </w:r>
          </w:p>
        </w:tc>
        <w:tc>
          <w:tcPr>
            <w:tcW w:w="5208" w:type="dxa"/>
          </w:tcPr>
          <w:p w14:paraId="704BBA5A" w14:textId="77777777" w:rsidR="000E72DF" w:rsidRDefault="000E72DF" w:rsidP="000E72DF">
            <w:pPr>
              <w:jc w:val="center"/>
            </w:pPr>
            <w:r w:rsidRPr="000E72DF">
              <w:rPr>
                <w:noProof/>
              </w:rPr>
              <w:drawing>
                <wp:inline distT="0" distB="0" distL="0" distR="0" wp14:anchorId="491B70D8" wp14:editId="3CC4E7EF">
                  <wp:extent cx="2457450" cy="1857375"/>
                  <wp:effectExtent l="0" t="0" r="0" b="9525"/>
                  <wp:docPr id="99334"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8"/>
                          <pic:cNvPicPr>
                            <a:picLocks noChangeAspect="1"/>
                          </pic:cNvPicPr>
                        </pic:nvPicPr>
                        <pic:blipFill>
                          <a:blip r:embed="rId168">
                            <a:extLst>
                              <a:ext uri="{28A0092B-C50C-407E-A947-70E740481C1C}">
                                <a14:useLocalDpi xmlns:a14="http://schemas.microsoft.com/office/drawing/2010/main" val="0"/>
                              </a:ext>
                            </a:extLst>
                          </a:blip>
                          <a:stretch>
                            <a:fillRect/>
                          </a:stretch>
                        </pic:blipFill>
                        <pic:spPr>
                          <a:xfrm>
                            <a:off x="0" y="0"/>
                            <a:ext cx="2457450" cy="1857375"/>
                          </a:xfrm>
                          <a:prstGeom prst="rect">
                            <a:avLst/>
                          </a:prstGeom>
                        </pic:spPr>
                      </pic:pic>
                    </a:graphicData>
                  </a:graphic>
                </wp:inline>
              </w:drawing>
            </w:r>
          </w:p>
          <w:p w14:paraId="7530D8DF" w14:textId="6863F3FC" w:rsidR="000E72DF" w:rsidRDefault="000E72DF" w:rsidP="000E72DF">
            <w:pPr>
              <w:jc w:val="center"/>
            </w:pPr>
            <w:r w:rsidRPr="000E72DF">
              <w:t>Projet de Permaculture dans la vallée du Jourdain (alias "Greening the Desert" (les séquelles))</w:t>
            </w:r>
            <w:r>
              <w:rPr>
                <w:rStyle w:val="Appelnotedebasdep"/>
              </w:rPr>
              <w:footnoteReference w:id="67"/>
            </w:r>
            <w:r>
              <w:t>.</w:t>
            </w:r>
          </w:p>
        </w:tc>
      </w:tr>
      <w:tr w:rsidR="000E72DF" w14:paraId="11F3026A" w14:textId="77777777" w:rsidTr="000E72DF">
        <w:tc>
          <w:tcPr>
            <w:tcW w:w="5208" w:type="dxa"/>
          </w:tcPr>
          <w:p w14:paraId="57DD3FA2" w14:textId="77777777" w:rsidR="000E72DF" w:rsidRDefault="000E72DF" w:rsidP="000E72DF">
            <w:pPr>
              <w:jc w:val="center"/>
            </w:pPr>
            <w:r w:rsidRPr="000E72DF">
              <w:rPr>
                <w:noProof/>
              </w:rPr>
              <w:drawing>
                <wp:inline distT="0" distB="0" distL="0" distR="0" wp14:anchorId="5BEDA7CD" wp14:editId="474B5C7B">
                  <wp:extent cx="2447925" cy="1266825"/>
                  <wp:effectExtent l="0" t="0" r="9525" b="9525"/>
                  <wp:docPr id="99337"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8"/>
                          <pic:cNvPicPr>
                            <a:picLocks noChangeAspect="1"/>
                          </pic:cNvPicPr>
                        </pic:nvPicPr>
                        <pic:blipFill>
                          <a:blip r:embed="rId169">
                            <a:extLst>
                              <a:ext uri="{28A0092B-C50C-407E-A947-70E740481C1C}">
                                <a14:useLocalDpi xmlns:a14="http://schemas.microsoft.com/office/drawing/2010/main" val="0"/>
                              </a:ext>
                            </a:extLst>
                          </a:blip>
                          <a:stretch>
                            <a:fillRect/>
                          </a:stretch>
                        </pic:blipFill>
                        <pic:spPr>
                          <a:xfrm>
                            <a:off x="0" y="0"/>
                            <a:ext cx="2447925" cy="1266825"/>
                          </a:xfrm>
                          <a:prstGeom prst="rect">
                            <a:avLst/>
                          </a:prstGeom>
                        </pic:spPr>
                      </pic:pic>
                    </a:graphicData>
                  </a:graphic>
                </wp:inline>
              </w:drawing>
            </w:r>
          </w:p>
          <w:p w14:paraId="157DF695" w14:textId="346B24FA" w:rsidR="000E72DF" w:rsidRDefault="000E72DF" w:rsidP="000E72DF">
            <w:pPr>
              <w:jc w:val="center"/>
            </w:pPr>
            <w:r w:rsidRPr="000E72DF">
              <w:t>Désert de Kubuqi dans le nord de la Chine</w:t>
            </w:r>
            <w:r>
              <w:rPr>
                <w:rStyle w:val="Appelnotedebasdep"/>
              </w:rPr>
              <w:footnoteReference w:id="68"/>
            </w:r>
            <w:r w:rsidRPr="000E72DF">
              <w:t>.</w:t>
            </w:r>
          </w:p>
        </w:tc>
        <w:tc>
          <w:tcPr>
            <w:tcW w:w="5208" w:type="dxa"/>
          </w:tcPr>
          <w:p w14:paraId="380857E0" w14:textId="77777777" w:rsidR="000E72DF" w:rsidRDefault="000E72DF" w:rsidP="000E72DF">
            <w:pPr>
              <w:jc w:val="center"/>
            </w:pPr>
            <w:r w:rsidRPr="000E72DF">
              <w:rPr>
                <w:noProof/>
              </w:rPr>
              <w:drawing>
                <wp:inline distT="0" distB="0" distL="0" distR="0" wp14:anchorId="73CE8435" wp14:editId="54B2C9F5">
                  <wp:extent cx="2905125" cy="1571625"/>
                  <wp:effectExtent l="0" t="0" r="9525" b="9525"/>
                  <wp:docPr id="99339"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0"/>
                          <pic:cNvPicPr>
                            <a:picLocks noChangeAspect="1"/>
                          </pic:cNvPicPr>
                        </pic:nvPicPr>
                        <pic:blipFill>
                          <a:blip r:embed="rId170">
                            <a:extLst>
                              <a:ext uri="{28A0092B-C50C-407E-A947-70E740481C1C}">
                                <a14:useLocalDpi xmlns:a14="http://schemas.microsoft.com/office/drawing/2010/main" val="0"/>
                              </a:ext>
                            </a:extLst>
                          </a:blip>
                          <a:stretch>
                            <a:fillRect/>
                          </a:stretch>
                        </pic:blipFill>
                        <pic:spPr>
                          <a:xfrm>
                            <a:off x="0" y="0"/>
                            <a:ext cx="2905125" cy="1571625"/>
                          </a:xfrm>
                          <a:prstGeom prst="rect">
                            <a:avLst/>
                          </a:prstGeom>
                        </pic:spPr>
                      </pic:pic>
                    </a:graphicData>
                  </a:graphic>
                </wp:inline>
              </w:drawing>
            </w:r>
          </w:p>
          <w:p w14:paraId="1C696276" w14:textId="3163A2C2" w:rsidR="000E72DF" w:rsidRDefault="000E72DF" w:rsidP="000E72DF">
            <w:pPr>
              <w:jc w:val="center"/>
            </w:pPr>
            <w:r w:rsidRPr="000E72DF">
              <w:t>Reforestation sur le plateau de Lœss (Chine)</w:t>
            </w:r>
            <w:r>
              <w:rPr>
                <w:rStyle w:val="Appelnotedebasdep"/>
              </w:rPr>
              <w:footnoteReference w:id="69"/>
            </w:r>
            <w:r>
              <w:t>.</w:t>
            </w:r>
          </w:p>
        </w:tc>
      </w:tr>
    </w:tbl>
    <w:p w14:paraId="471D8BA9" w14:textId="7F8AD330" w:rsidR="00A6418F" w:rsidRDefault="00A6418F" w:rsidP="002C7013">
      <w:pPr>
        <w:spacing w:after="0" w:line="240" w:lineRule="auto"/>
      </w:pPr>
    </w:p>
    <w:p w14:paraId="0BD4C3E3" w14:textId="77777777" w:rsidR="00A6418F" w:rsidRDefault="00A6418F">
      <w:r>
        <w:br w:type="page"/>
      </w:r>
    </w:p>
    <w:p w14:paraId="2F66384E" w14:textId="77777777" w:rsidR="000E72DF" w:rsidRPr="006018C4" w:rsidRDefault="000E72DF" w:rsidP="002C7013">
      <w:pPr>
        <w:spacing w:after="0" w:line="240" w:lineRule="auto"/>
      </w:pPr>
    </w:p>
    <w:p w14:paraId="4B94C49A" w14:textId="324227E1" w:rsidR="00004C56" w:rsidRPr="002C7013" w:rsidRDefault="00004C56" w:rsidP="00004C56">
      <w:pPr>
        <w:pStyle w:val="Titre1"/>
      </w:pPr>
      <w:bookmarkStart w:id="35" w:name="_Toc139181326"/>
      <w:r w:rsidRPr="002C7013">
        <w:t>Cartes des zones arides</w:t>
      </w:r>
      <w:r w:rsidR="00A35622">
        <w:t>, des sols</w:t>
      </w:r>
      <w:r w:rsidR="00985457">
        <w:t xml:space="preserve"> et de la pénurie d’eau</w:t>
      </w:r>
      <w:r w:rsidRPr="002C7013">
        <w:t xml:space="preserve"> dans le monde</w:t>
      </w:r>
      <w:bookmarkEnd w:id="35"/>
    </w:p>
    <w:p w14:paraId="331C3801" w14:textId="77777777" w:rsidR="00004C56" w:rsidRDefault="00004C56" w:rsidP="002C7013">
      <w:pPr>
        <w:spacing w:after="0" w:line="240" w:lineRule="auto"/>
      </w:pPr>
    </w:p>
    <w:p w14:paraId="1A873D7D" w14:textId="773CF54D" w:rsidR="00004C56" w:rsidRDefault="00004C56" w:rsidP="00004C56">
      <w:pPr>
        <w:spacing w:after="0" w:line="240" w:lineRule="auto"/>
        <w:jc w:val="center"/>
      </w:pPr>
      <w:r>
        <w:rPr>
          <w:noProof/>
        </w:rPr>
        <w:drawing>
          <wp:inline distT="0" distB="0" distL="0" distR="0" wp14:anchorId="16E1CE34" wp14:editId="6FC93E2F">
            <wp:extent cx="5724525" cy="7658100"/>
            <wp:effectExtent l="0" t="0" r="9525" b="0"/>
            <wp:docPr id="93191" name="Image 93191"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91" name="Image 93191" descr="Une image contenant carte&#10;&#10;Description générée automatiquement"/>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724525" cy="7658100"/>
                    </a:xfrm>
                    <a:prstGeom prst="rect">
                      <a:avLst/>
                    </a:prstGeom>
                    <a:noFill/>
                    <a:ln>
                      <a:noFill/>
                    </a:ln>
                  </pic:spPr>
                </pic:pic>
              </a:graphicData>
            </a:graphic>
          </wp:inline>
        </w:drawing>
      </w:r>
    </w:p>
    <w:p w14:paraId="789B742B" w14:textId="4097C88B" w:rsidR="00AE47E6" w:rsidRDefault="00AE47E6" w:rsidP="00004C56">
      <w:pPr>
        <w:spacing w:after="0" w:line="240" w:lineRule="auto"/>
        <w:jc w:val="center"/>
      </w:pPr>
      <w:r>
        <w:t>Carte de l’aridité dans le monde.</w:t>
      </w:r>
    </w:p>
    <w:p w14:paraId="19F54BC6" w14:textId="600E92A7" w:rsidR="00AE47E6" w:rsidRDefault="00AE47E6" w:rsidP="00004C56">
      <w:pPr>
        <w:spacing w:after="0" w:line="240" w:lineRule="auto"/>
        <w:jc w:val="center"/>
      </w:pPr>
      <w:r>
        <w:rPr>
          <w:noProof/>
        </w:rPr>
        <w:lastRenderedPageBreak/>
        <w:drawing>
          <wp:inline distT="0" distB="0" distL="0" distR="0" wp14:anchorId="6685C5E1" wp14:editId="3BB9A6CD">
            <wp:extent cx="4152900" cy="8325297"/>
            <wp:effectExtent l="0" t="0" r="0" b="0"/>
            <wp:docPr id="52244" name="Image 52244"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44" name="Image 52244" descr="Une image contenant carte&#10;&#10;Description générée automatiquement"/>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154807" cy="8329119"/>
                    </a:xfrm>
                    <a:prstGeom prst="rect">
                      <a:avLst/>
                    </a:prstGeom>
                    <a:noFill/>
                    <a:ln>
                      <a:noFill/>
                    </a:ln>
                  </pic:spPr>
                </pic:pic>
              </a:graphicData>
            </a:graphic>
          </wp:inline>
        </w:drawing>
      </w:r>
      <w:r>
        <w:t xml:space="preserve"> </w:t>
      </w:r>
      <w:r w:rsidRPr="00AE47E6">
        <w:rPr>
          <w:noProof/>
        </w:rPr>
        <w:drawing>
          <wp:inline distT="0" distB="0" distL="0" distR="0" wp14:anchorId="68B0C65A" wp14:editId="60B65877">
            <wp:extent cx="1381125" cy="876300"/>
            <wp:effectExtent l="0" t="0" r="9525" b="0"/>
            <wp:docPr id="207878" name="Picture 6" descr="CarteMondialeTerresArride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78" name="Picture 6" descr="CarteMondialeTerresArrides2"/>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381125" cy="876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A1D0AF4" w14:textId="2F00B8C2" w:rsidR="00AE47E6" w:rsidRDefault="00AE47E6" w:rsidP="00AE47E6">
      <w:pPr>
        <w:spacing w:after="0" w:line="240" w:lineRule="auto"/>
        <w:jc w:val="center"/>
      </w:pPr>
      <w:r w:rsidRPr="00AE47E6">
        <w:t>Carte mondiale des terres arides</w:t>
      </w:r>
      <w:r>
        <w:t xml:space="preserve">. </w:t>
      </w:r>
      <w:r w:rsidRPr="00AE47E6">
        <w:t>Source: UNEP/GRID 1991 dans WRI</w:t>
      </w:r>
      <w:r>
        <w:t>.</w:t>
      </w:r>
    </w:p>
    <w:p w14:paraId="49BCB208" w14:textId="6706C8A7" w:rsidR="00A35622" w:rsidRDefault="00A35622" w:rsidP="00AE47E6">
      <w:pPr>
        <w:spacing w:after="0" w:line="240" w:lineRule="auto"/>
        <w:jc w:val="center"/>
      </w:pPr>
    </w:p>
    <w:p w14:paraId="0A4C9027" w14:textId="7CBEB5DA" w:rsidR="00A35622" w:rsidRDefault="00A35622" w:rsidP="00AE47E6">
      <w:pPr>
        <w:spacing w:after="0" w:line="240" w:lineRule="auto"/>
        <w:jc w:val="center"/>
      </w:pPr>
      <w:r>
        <w:rPr>
          <w:noProof/>
        </w:rPr>
        <w:lastRenderedPageBreak/>
        <w:drawing>
          <wp:inline distT="0" distB="0" distL="0" distR="0" wp14:anchorId="7911DE77" wp14:editId="71F0B385">
            <wp:extent cx="3848100" cy="8115088"/>
            <wp:effectExtent l="0" t="0" r="0" b="635"/>
            <wp:docPr id="52245" name="Image 52245" descr="Une image contenant carte, texte, clipa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45" name="Image 52245" descr="Une image contenant carte, texte, clipart&#10;&#10;Description générée automatiquement"/>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857363" cy="8134622"/>
                    </a:xfrm>
                    <a:prstGeom prst="rect">
                      <a:avLst/>
                    </a:prstGeom>
                    <a:noFill/>
                    <a:ln>
                      <a:noFill/>
                    </a:ln>
                  </pic:spPr>
                </pic:pic>
              </a:graphicData>
            </a:graphic>
          </wp:inline>
        </w:drawing>
      </w:r>
    </w:p>
    <w:p w14:paraId="6660980E" w14:textId="77777777" w:rsidR="00A35622" w:rsidRPr="00A35622" w:rsidRDefault="00A35622" w:rsidP="00A35622">
      <w:pPr>
        <w:spacing w:after="0" w:line="240" w:lineRule="auto"/>
        <w:jc w:val="center"/>
        <w:rPr>
          <w:lang w:val="en-GB"/>
        </w:rPr>
      </w:pPr>
      <w:r>
        <w:t xml:space="preserve">Types de sols dans le monde. En </w:t>
      </w:r>
      <w:r w:rsidRPr="00A35622">
        <w:rPr>
          <w:b/>
          <w:bCs/>
          <w:i/>
          <w:iCs/>
          <w:color w:val="808080" w:themeColor="background1" w:themeShade="80"/>
        </w:rPr>
        <w:t>gris</w:t>
      </w:r>
      <w:r>
        <w:t xml:space="preserve">, les sols salins. </w:t>
      </w:r>
      <w:r w:rsidRPr="00A35622">
        <w:rPr>
          <w:lang w:val="en-GB"/>
        </w:rPr>
        <w:t xml:space="preserve">Source : </w:t>
      </w:r>
      <w:r w:rsidRPr="00A35622">
        <w:rPr>
          <w:i/>
          <w:iCs/>
          <w:lang w:val="en-GB"/>
        </w:rPr>
        <w:t>The soils</w:t>
      </w:r>
      <w:r w:rsidRPr="00A35622">
        <w:rPr>
          <w:lang w:val="en-GB"/>
        </w:rPr>
        <w:t xml:space="preserve">, FAO, </w:t>
      </w:r>
      <w:hyperlink r:id="rId175" w:history="1">
        <w:r w:rsidRPr="00A35622">
          <w:rPr>
            <w:rStyle w:val="Lienhypertexte"/>
            <w:lang w:val="en-GB"/>
          </w:rPr>
          <w:t>http://www.fao.org/docrep/u8480e/u8480e0b.htm</w:t>
        </w:r>
      </w:hyperlink>
    </w:p>
    <w:p w14:paraId="3B5360A2" w14:textId="63FA56E5" w:rsidR="00A35622" w:rsidRPr="00A35622" w:rsidRDefault="00000000" w:rsidP="00A35622">
      <w:pPr>
        <w:spacing w:after="0" w:line="240" w:lineRule="auto"/>
        <w:jc w:val="center"/>
        <w:rPr>
          <w:lang w:val="en-GB"/>
        </w:rPr>
      </w:pPr>
      <w:hyperlink r:id="rId176" w:history="1">
        <w:r w:rsidR="00A35622" w:rsidRPr="00A35622">
          <w:rPr>
            <w:rStyle w:val="Lienhypertexte"/>
            <w:lang w:val="en-GB"/>
          </w:rPr>
          <w:t>http://www.fao.org/docrep/u8480e/U8480E3f.jpg</w:t>
        </w:r>
      </w:hyperlink>
    </w:p>
    <w:p w14:paraId="3CFB6371" w14:textId="46036593" w:rsidR="002C7013" w:rsidRDefault="00004C56" w:rsidP="00004C56">
      <w:pPr>
        <w:spacing w:after="0" w:line="240" w:lineRule="auto"/>
        <w:jc w:val="center"/>
      </w:pPr>
      <w:r>
        <w:rPr>
          <w:noProof/>
        </w:rPr>
        <w:lastRenderedPageBreak/>
        <w:drawing>
          <wp:inline distT="0" distB="0" distL="0" distR="0" wp14:anchorId="7CA59AD3" wp14:editId="5E0E10F7">
            <wp:extent cx="2857910" cy="7629525"/>
            <wp:effectExtent l="0" t="0" r="0" b="0"/>
            <wp:docPr id="93194" name="Image 93194" descr="Une image contenant texte, clipa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94" name="Image 93194" descr="Une image contenant texte, clipart&#10;&#10;Description générée automatiquement"/>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891333" cy="7718751"/>
                    </a:xfrm>
                    <a:prstGeom prst="rect">
                      <a:avLst/>
                    </a:prstGeom>
                    <a:noFill/>
                    <a:ln>
                      <a:noFill/>
                    </a:ln>
                  </pic:spPr>
                </pic:pic>
              </a:graphicData>
            </a:graphic>
          </wp:inline>
        </w:drawing>
      </w:r>
    </w:p>
    <w:p w14:paraId="5FA06334" w14:textId="2AB5756F" w:rsidR="004A73B2" w:rsidRDefault="00004C56" w:rsidP="00A35622">
      <w:pPr>
        <w:spacing w:after="0" w:line="240" w:lineRule="auto"/>
        <w:jc w:val="center"/>
        <w:rPr>
          <w:rStyle w:val="Lienhypertexte"/>
        </w:rPr>
      </w:pPr>
      <w:r w:rsidRPr="004A73B2">
        <w:t xml:space="preserve">La </w:t>
      </w:r>
      <w:r w:rsidRPr="004A73B2">
        <w:rPr>
          <w:i/>
          <w:iCs/>
        </w:rPr>
        <w:t>carte de la pénurie d'eau</w:t>
      </w:r>
      <w:r w:rsidRPr="004A73B2">
        <w:t>. Photo: Mekonnen et al</w:t>
      </w:r>
      <w:r>
        <w:t xml:space="preserve">. </w:t>
      </w:r>
      <w:r w:rsidRPr="004A73B2">
        <w:t xml:space="preserve">Source : </w:t>
      </w:r>
      <w:hyperlink r:id="rId178" w:history="1">
        <w:r w:rsidRPr="006437AE">
          <w:rPr>
            <w:rStyle w:val="Lienhypertexte"/>
          </w:rPr>
          <w:t>http://www.theguardian.com/environment/2016/feb/12/four-billion-people-face-severe-water-scarcity-new-research-finds</w:t>
        </w:r>
      </w:hyperlink>
    </w:p>
    <w:p w14:paraId="2D8E9DDA" w14:textId="77777777" w:rsidR="00424AAC" w:rsidRDefault="00424AAC" w:rsidP="00A35622">
      <w:pPr>
        <w:spacing w:after="0" w:line="240" w:lineRule="auto"/>
        <w:jc w:val="center"/>
        <w:rPr>
          <w:rStyle w:val="Lienhypertexte"/>
        </w:rPr>
      </w:pPr>
    </w:p>
    <w:p w14:paraId="1C803BAD" w14:textId="615FA6CB" w:rsidR="00424AAC" w:rsidRDefault="00424AAC" w:rsidP="00A35622">
      <w:pPr>
        <w:spacing w:after="0" w:line="240" w:lineRule="auto"/>
        <w:jc w:val="center"/>
        <w:sectPr w:rsidR="00424AAC" w:rsidSect="00004C56">
          <w:footerReference w:type="default" r:id="rId179"/>
          <w:pgSz w:w="12240" w:h="15840"/>
          <w:pgMar w:top="907" w:right="907" w:bottom="907" w:left="907" w:header="709" w:footer="709" w:gutter="0"/>
          <w:cols w:space="708"/>
          <w:docGrid w:linePitch="360"/>
        </w:sectPr>
      </w:pPr>
    </w:p>
    <w:p w14:paraId="7573E1CB" w14:textId="73944FB3" w:rsidR="002C7013" w:rsidRDefault="003B0B44" w:rsidP="003B0B44">
      <w:pPr>
        <w:pStyle w:val="Titre1"/>
      </w:pPr>
      <w:bookmarkStart w:id="36" w:name="_Toc139181327"/>
      <w:r>
        <w:lastRenderedPageBreak/>
        <w:t>Définitions</w:t>
      </w:r>
      <w:bookmarkEnd w:id="36"/>
    </w:p>
    <w:p w14:paraId="1BC282A3" w14:textId="4E031034" w:rsidR="003B0B44" w:rsidRDefault="003B0B44" w:rsidP="002C7013">
      <w:pPr>
        <w:spacing w:after="0" w:line="240" w:lineRule="auto"/>
      </w:pPr>
    </w:p>
    <w:p w14:paraId="27402057" w14:textId="77777777" w:rsidR="00436A6A" w:rsidRPr="00436A6A" w:rsidRDefault="00436A6A" w:rsidP="00436A6A">
      <w:pPr>
        <w:spacing w:after="0" w:line="240" w:lineRule="auto"/>
        <w:jc w:val="both"/>
      </w:pPr>
      <w:r w:rsidRPr="00436A6A">
        <w:rPr>
          <w:b/>
          <w:bCs/>
        </w:rPr>
        <w:t>Aride</w:t>
      </w:r>
      <w:r w:rsidRPr="00436A6A">
        <w:t xml:space="preserve"> (adjectif) : </w:t>
      </w:r>
    </w:p>
    <w:p w14:paraId="59F348B1" w14:textId="77777777" w:rsidR="00A948B1" w:rsidRDefault="00A948B1" w:rsidP="00A948B1">
      <w:pPr>
        <w:spacing w:after="0" w:line="240" w:lineRule="auto"/>
        <w:jc w:val="both"/>
      </w:pPr>
      <w:r>
        <w:t>Sens 1 : Stérile, sec. Anglais : arid.</w:t>
      </w:r>
    </w:p>
    <w:p w14:paraId="66917FE4" w14:textId="46248F3B" w:rsidR="003B0B44" w:rsidRDefault="00A948B1" w:rsidP="00A948B1">
      <w:pPr>
        <w:spacing w:after="0" w:line="240" w:lineRule="auto"/>
        <w:jc w:val="both"/>
      </w:pPr>
      <w:r>
        <w:t>Synonymes : désertique, déshérité, desséché, incultivable, ingrat, pauvre, pelé, rébarbatif, rebutant, sec, stérile, vide.</w:t>
      </w:r>
    </w:p>
    <w:p w14:paraId="0397A806" w14:textId="77777777" w:rsidR="00A948B1" w:rsidRDefault="00A948B1" w:rsidP="00A948B1">
      <w:pPr>
        <w:spacing w:after="0" w:line="240" w:lineRule="auto"/>
        <w:jc w:val="both"/>
      </w:pPr>
    </w:p>
    <w:p w14:paraId="2F36B927" w14:textId="59AD2739" w:rsidR="00A948B1" w:rsidRDefault="00A948B1" w:rsidP="00436A6A">
      <w:pPr>
        <w:spacing w:after="0" w:line="240" w:lineRule="auto"/>
        <w:jc w:val="both"/>
      </w:pPr>
      <w:r w:rsidRPr="00A948B1">
        <w:rPr>
          <w:b/>
          <w:bCs/>
        </w:rPr>
        <w:t>Aridité</w:t>
      </w:r>
      <w:r>
        <w:t> :</w:t>
      </w:r>
    </w:p>
    <w:p w14:paraId="797E6B39" w14:textId="48D8D5DE" w:rsidR="00436A6A" w:rsidRPr="00436A6A" w:rsidRDefault="00436A6A" w:rsidP="00436A6A">
      <w:pPr>
        <w:spacing w:after="0" w:line="240" w:lineRule="auto"/>
        <w:jc w:val="both"/>
      </w:pPr>
      <w:r w:rsidRPr="00436A6A">
        <w:t>L’aridité se traduit par l’absence d’écoulement superficiel </w:t>
      </w:r>
      <w:r w:rsidRPr="00436A6A">
        <w:rPr>
          <w:i/>
          <w:iCs/>
        </w:rPr>
        <w:t>(aréisme)</w:t>
      </w:r>
      <w:r w:rsidRPr="00436A6A">
        <w:t>, ou par son indigence. Dans ce dernier cas, il y a impossibilité pour les cours d’eau d’atteindre les mers et océans libres </w:t>
      </w:r>
      <w:r w:rsidRPr="00436A6A">
        <w:rPr>
          <w:i/>
          <w:iCs/>
        </w:rPr>
        <w:t>(endoréisme)</w:t>
      </w:r>
      <w:r w:rsidRPr="00436A6A">
        <w:t>. L’aridité impose un paysage minéral dû à l’inexistence ou à la rareté de la végétation, et des formes de relief spécifiques (pédiments et glacis d’érosion, dépressions fermées, dont les sebkhas couvertes de sel en phase d’intense évaporation, surfaces caillouteuses, grandes formations dunaires)</w:t>
      </w:r>
      <w:r w:rsidR="00EA038D">
        <w:rPr>
          <w:rStyle w:val="Appelnotedebasdep"/>
        </w:rPr>
        <w:footnoteReference w:id="70"/>
      </w:r>
      <w:r w:rsidRPr="00436A6A">
        <w:t>.</w:t>
      </w:r>
    </w:p>
    <w:p w14:paraId="2E26FB5C" w14:textId="77777777" w:rsidR="00A948B1" w:rsidRDefault="00A948B1" w:rsidP="00436A6A">
      <w:pPr>
        <w:spacing w:after="0" w:line="240" w:lineRule="auto"/>
        <w:jc w:val="both"/>
      </w:pPr>
    </w:p>
    <w:p w14:paraId="3B989CDD" w14:textId="3B83DAE3" w:rsidR="00EA038D" w:rsidRDefault="00436A6A" w:rsidP="00436A6A">
      <w:pPr>
        <w:spacing w:after="0" w:line="240" w:lineRule="auto"/>
        <w:jc w:val="both"/>
      </w:pPr>
      <w:r w:rsidRPr="00436A6A">
        <w:t>L'aridité est une caractéristique permanente du climat, définissable par un déficit pluviométrique structurel par rapport aux besoins en eau de la végétation naturelle et cultivée. Elle est caractéristique des zones pour lesquelles les besoins en eau sont au moins une fois et demie plus élevés que les précipitations. En termes scientifiques, le rapport entre précipitations et évapotranspiration potentielle (P/ETP) est compris entre 0,005 et 0,65</w:t>
      </w:r>
      <w:r w:rsidR="00EA038D">
        <w:rPr>
          <w:rStyle w:val="Appelnotedebasdep"/>
        </w:rPr>
        <w:footnoteReference w:id="71"/>
      </w:r>
      <w:r w:rsidRPr="00436A6A">
        <w:t xml:space="preserve">. </w:t>
      </w:r>
    </w:p>
    <w:p w14:paraId="7093BF9C" w14:textId="4A0F4B3C" w:rsidR="00436A6A" w:rsidRDefault="00436A6A" w:rsidP="00436A6A">
      <w:pPr>
        <w:spacing w:after="0" w:line="240" w:lineRule="auto"/>
        <w:jc w:val="both"/>
      </w:pPr>
    </w:p>
    <w:p w14:paraId="2B2F17FA" w14:textId="77777777" w:rsidR="00436A6A" w:rsidRPr="00436A6A" w:rsidRDefault="00436A6A" w:rsidP="00436A6A">
      <w:pPr>
        <w:spacing w:after="0" w:line="240" w:lineRule="auto"/>
        <w:jc w:val="both"/>
      </w:pPr>
      <w:r w:rsidRPr="00436A6A">
        <w:rPr>
          <w:b/>
          <w:bCs/>
        </w:rPr>
        <w:t>Désertification</w:t>
      </w:r>
      <w:r w:rsidRPr="00436A6A">
        <w:t xml:space="preserve"> : </w:t>
      </w:r>
    </w:p>
    <w:p w14:paraId="48B79ABA" w14:textId="77777777" w:rsidR="00436A6A" w:rsidRPr="00436A6A" w:rsidRDefault="00436A6A" w:rsidP="00436A6A">
      <w:pPr>
        <w:spacing w:after="0" w:line="240" w:lineRule="auto"/>
        <w:jc w:val="both"/>
      </w:pPr>
      <w:r w:rsidRPr="00436A6A">
        <w:t xml:space="preserve">Le surpâturage, la coupe des forêts, le changement climatique (lui-même lié aux activités humaines, qui produisent du CO2 …) et le prélèvement excessif de l’eau de la nappe phréatique et des cours d’eau peuvent provoquer la </w:t>
      </w:r>
      <w:r w:rsidRPr="00436A6A">
        <w:rPr>
          <w:i/>
          <w:iCs/>
        </w:rPr>
        <w:t>désertification</w:t>
      </w:r>
      <w:r w:rsidRPr="00436A6A">
        <w:t xml:space="preserve"> d’une région. Pour l’éviter, il faut économiser l’eau, préserver les forêts, gérer d’une façon intelligente toutes les ressources, en général (eau, biodiversité etc. …).</w:t>
      </w:r>
    </w:p>
    <w:p w14:paraId="47C6088D" w14:textId="77777777" w:rsidR="00436A6A" w:rsidRDefault="00436A6A" w:rsidP="002C7013">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93"/>
        <w:gridCol w:w="5433"/>
      </w:tblGrid>
      <w:tr w:rsidR="00436A6A" w14:paraId="1B5C77F6" w14:textId="77777777" w:rsidTr="00F646D6">
        <w:tc>
          <w:tcPr>
            <w:tcW w:w="5395" w:type="dxa"/>
          </w:tcPr>
          <w:p w14:paraId="6B3332B1" w14:textId="40B9A817" w:rsidR="00436A6A" w:rsidRDefault="00F646D6" w:rsidP="00436A6A">
            <w:pPr>
              <w:jc w:val="center"/>
            </w:pPr>
            <w:r w:rsidRPr="00F646D6">
              <w:rPr>
                <w:noProof/>
              </w:rPr>
              <w:drawing>
                <wp:inline distT="0" distB="0" distL="0" distR="0" wp14:anchorId="2D7250AD" wp14:editId="6C65C589">
                  <wp:extent cx="3102793" cy="2324100"/>
                  <wp:effectExtent l="0" t="0" r="2540" b="0"/>
                  <wp:docPr id="20" name="Image 9" descr="aridit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9" descr="aridite3.jpg"/>
                          <pic:cNvPicPr>
                            <a:picLocks noChangeAspect="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105682" cy="2326264"/>
                          </a:xfrm>
                          <a:prstGeom prst="rect">
                            <a:avLst/>
                          </a:prstGeom>
                          <a:noFill/>
                          <a:ln>
                            <a:noFill/>
                          </a:ln>
                        </pic:spPr>
                      </pic:pic>
                    </a:graphicData>
                  </a:graphic>
                </wp:inline>
              </w:drawing>
            </w:r>
          </w:p>
        </w:tc>
        <w:tc>
          <w:tcPr>
            <w:tcW w:w="5395" w:type="dxa"/>
          </w:tcPr>
          <w:p w14:paraId="262CAFAE" w14:textId="0623857F" w:rsidR="00436A6A" w:rsidRDefault="00F646D6" w:rsidP="00436A6A">
            <w:pPr>
              <w:jc w:val="center"/>
            </w:pPr>
            <w:r w:rsidRPr="00F646D6">
              <w:rPr>
                <w:noProof/>
              </w:rPr>
              <w:drawing>
                <wp:inline distT="0" distB="0" distL="0" distR="0" wp14:anchorId="1BC51408" wp14:editId="08AD9439">
                  <wp:extent cx="3389630" cy="1495425"/>
                  <wp:effectExtent l="0" t="0" r="1270" b="9525"/>
                  <wp:docPr id="21" name="Image 7" descr="aridit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7" descr="aridite_s.jpg"/>
                          <pic:cNvPicPr>
                            <a:picLocks noChangeAspect="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389630" cy="1495425"/>
                          </a:xfrm>
                          <a:prstGeom prst="rect">
                            <a:avLst/>
                          </a:prstGeom>
                          <a:noFill/>
                          <a:ln>
                            <a:noFill/>
                          </a:ln>
                        </pic:spPr>
                      </pic:pic>
                    </a:graphicData>
                  </a:graphic>
                </wp:inline>
              </w:drawing>
            </w:r>
          </w:p>
        </w:tc>
      </w:tr>
    </w:tbl>
    <w:p w14:paraId="6E89BA83" w14:textId="6482A407" w:rsidR="00D05476" w:rsidRPr="003F05C3" w:rsidRDefault="00D05476" w:rsidP="003F05C3">
      <w:pPr>
        <w:spacing w:after="0" w:line="240" w:lineRule="auto"/>
      </w:pPr>
    </w:p>
    <w:p w14:paraId="3637ED63" w14:textId="77777777" w:rsidR="003F05C3" w:rsidRPr="003F05C3" w:rsidRDefault="003F05C3" w:rsidP="003F05C3">
      <w:pPr>
        <w:pStyle w:val="Titre1"/>
      </w:pPr>
      <w:bookmarkStart w:id="37" w:name="_Toc139181328"/>
      <w:r w:rsidRPr="003F05C3">
        <w:t>Introduction sur la salinité des sols</w:t>
      </w:r>
      <w:bookmarkEnd w:id="37"/>
    </w:p>
    <w:p w14:paraId="755EE27F" w14:textId="77777777" w:rsidR="00D832DB" w:rsidRDefault="00D832DB" w:rsidP="003F05C3">
      <w:pPr>
        <w:spacing w:after="0" w:line="240" w:lineRule="auto"/>
        <w:jc w:val="both"/>
      </w:pPr>
    </w:p>
    <w:p w14:paraId="690C3F7E" w14:textId="6FC9C3A0" w:rsidR="003F05C3" w:rsidRPr="00EA038D" w:rsidRDefault="003F05C3" w:rsidP="003F05C3">
      <w:pPr>
        <w:spacing w:after="0" w:line="240" w:lineRule="auto"/>
        <w:jc w:val="both"/>
      </w:pPr>
      <w:r w:rsidRPr="00EA038D">
        <w:t>Les causes de cette salinisation sont diverses : mauvaises techniques d’irrigation, montée du niveau des mer, due au réchauffement climatique</w:t>
      </w:r>
      <w:r w:rsidR="00D832DB">
        <w:t xml:space="preserve"> (en Floride, Maldive, Tuvalu</w:t>
      </w:r>
      <w:r w:rsidRPr="00EA038D">
        <w:t xml:space="preserve"> …</w:t>
      </w:r>
      <w:r w:rsidR="00D832DB">
        <w:t>).</w:t>
      </w:r>
    </w:p>
    <w:p w14:paraId="284C6936" w14:textId="77777777" w:rsidR="00806184" w:rsidRDefault="00806184" w:rsidP="003F05C3">
      <w:pPr>
        <w:spacing w:after="0" w:line="240" w:lineRule="auto"/>
        <w:jc w:val="both"/>
      </w:pPr>
    </w:p>
    <w:p w14:paraId="15ECC222" w14:textId="2F59EFAC" w:rsidR="003F05C3" w:rsidRPr="00EA038D" w:rsidRDefault="003F05C3" w:rsidP="003F05C3">
      <w:pPr>
        <w:spacing w:after="0" w:line="240" w:lineRule="auto"/>
        <w:jc w:val="both"/>
      </w:pPr>
      <w:r w:rsidRPr="00EA038D">
        <w:t>Variation [Sels] dans la rhizosphère : Insuffisance (Problème nutritionnel) ou Excès.</w:t>
      </w:r>
    </w:p>
    <w:p w14:paraId="36E04168" w14:textId="77777777" w:rsidR="003F05C3" w:rsidRPr="00EA038D" w:rsidRDefault="003F05C3" w:rsidP="003F05C3">
      <w:pPr>
        <w:spacing w:after="0" w:line="240" w:lineRule="auto"/>
        <w:jc w:val="both"/>
      </w:pPr>
      <w:r w:rsidRPr="00EA038D">
        <w:lastRenderedPageBreak/>
        <w:t xml:space="preserve"> Le stress salin s’applique plutôt à un Excès d’ions, en particulier, </w:t>
      </w:r>
      <w:r w:rsidRPr="00EA038D">
        <w:rPr>
          <w:u w:val="single"/>
        </w:rPr>
        <w:t>mais pas exclusivement,</w:t>
      </w:r>
      <w:r w:rsidRPr="00EA038D">
        <w:t xml:space="preserve"> aux ions Na</w:t>
      </w:r>
      <w:r w:rsidRPr="00EA038D">
        <w:rPr>
          <w:vertAlign w:val="superscript"/>
        </w:rPr>
        <w:t>+</w:t>
      </w:r>
      <w:r w:rsidRPr="00EA038D">
        <w:t xml:space="preserve"> et Cl</w:t>
      </w:r>
      <w:r w:rsidRPr="00EA038D">
        <w:rPr>
          <w:vertAlign w:val="superscript"/>
        </w:rPr>
        <w:noBreakHyphen/>
      </w:r>
      <w:r w:rsidRPr="00EA038D">
        <w:t>.</w:t>
      </w:r>
    </w:p>
    <w:p w14:paraId="0CED9E16" w14:textId="1EB4E33D" w:rsidR="00D05476" w:rsidRDefault="00D05476" w:rsidP="003F05C3">
      <w:pPr>
        <w:spacing w:after="0" w:line="240" w:lineRule="auto"/>
        <w:jc w:val="both"/>
      </w:pPr>
    </w:p>
    <w:p w14:paraId="62FF1DFF" w14:textId="77777777" w:rsidR="003F05C3" w:rsidRPr="003F05C3" w:rsidRDefault="003F05C3" w:rsidP="001001BC">
      <w:pPr>
        <w:spacing w:after="0" w:line="240" w:lineRule="auto"/>
      </w:pPr>
      <w:r w:rsidRPr="003F05C3">
        <w:t xml:space="preserve">Source : </w:t>
      </w:r>
      <w:r w:rsidRPr="003F05C3">
        <w:rPr>
          <w:i/>
          <w:iCs/>
        </w:rPr>
        <w:t>Stress Salin, Adaptation des plantes à l'environnement</w:t>
      </w:r>
      <w:r w:rsidRPr="003F05C3">
        <w:t xml:space="preserve">, Mehdi JABNOUNE, </w:t>
      </w:r>
      <w:hyperlink r:id="rId182" w:history="1">
        <w:r w:rsidRPr="003F05C3">
          <w:rPr>
            <w:rStyle w:val="Lienhypertexte"/>
          </w:rPr>
          <w:t>www.supagro.fr/theses/extranet/08-0043_JABNOUNE.pdf</w:t>
        </w:r>
      </w:hyperlink>
      <w:r w:rsidRPr="003F05C3">
        <w:t xml:space="preserve"> </w:t>
      </w:r>
    </w:p>
    <w:p w14:paraId="1C7E69B0" w14:textId="1051A6D9" w:rsidR="003F05C3" w:rsidRDefault="003F05C3" w:rsidP="00315DB0">
      <w:pPr>
        <w:spacing w:after="0" w:line="240" w:lineRule="auto"/>
        <w:jc w:val="both"/>
      </w:pPr>
    </w:p>
    <w:p w14:paraId="42942A45" w14:textId="77777777" w:rsidR="00315DB0" w:rsidRPr="00EA038D" w:rsidRDefault="00315DB0" w:rsidP="00315DB0">
      <w:pPr>
        <w:spacing w:after="0" w:line="240" w:lineRule="auto"/>
        <w:jc w:val="both"/>
      </w:pPr>
      <w:r w:rsidRPr="00EA038D">
        <w:t xml:space="preserve">Aujourd’hui dans le monde, près de 20 % des cultures sont irriguées avec l’eau saumâtre. </w:t>
      </w:r>
    </w:p>
    <w:p w14:paraId="49266DF6" w14:textId="77777777" w:rsidR="00315DB0" w:rsidRPr="00EA038D" w:rsidRDefault="00315DB0" w:rsidP="00315DB0">
      <w:pPr>
        <w:spacing w:after="0" w:line="240" w:lineRule="auto"/>
        <w:jc w:val="both"/>
      </w:pPr>
      <w:r w:rsidRPr="00EA038D">
        <w:t xml:space="preserve"> </w:t>
      </w:r>
      <w:r w:rsidRPr="00EA038D">
        <w:rPr>
          <w:b/>
          <w:bCs/>
        </w:rPr>
        <w:t>Si certaines cultures comme la betterave ou l’asperge s’accommodent fort bien d’un sol salé</w:t>
      </w:r>
      <w:r w:rsidRPr="00EA038D">
        <w:t>, il n’en est pas de même pour d’autres cultures comme les agrumes ou certaines légumineuses.</w:t>
      </w:r>
    </w:p>
    <w:p w14:paraId="31E3D68D" w14:textId="77777777" w:rsidR="00F61706" w:rsidRDefault="00315DB0" w:rsidP="00315DB0">
      <w:pPr>
        <w:spacing w:after="0" w:line="240" w:lineRule="auto"/>
        <w:jc w:val="both"/>
      </w:pPr>
      <w:r w:rsidRPr="00EA038D">
        <w:t xml:space="preserve"> </w:t>
      </w:r>
    </w:p>
    <w:p w14:paraId="6255487D" w14:textId="557CDAD4" w:rsidR="00315DB0" w:rsidRPr="00EA038D" w:rsidRDefault="00315DB0" w:rsidP="00315DB0">
      <w:pPr>
        <w:spacing w:after="0" w:line="240" w:lineRule="auto"/>
        <w:jc w:val="both"/>
      </w:pPr>
      <w:r w:rsidRPr="00EA038D">
        <w:t>Les ressources en eau douce menacent donc de diminuer dans les prochaines décennies.</w:t>
      </w:r>
    </w:p>
    <w:p w14:paraId="277A8CFA" w14:textId="398D8CCB" w:rsidR="003F05C3" w:rsidRDefault="00315DB0" w:rsidP="00315DB0">
      <w:pPr>
        <w:spacing w:after="0" w:line="240" w:lineRule="auto"/>
        <w:jc w:val="both"/>
      </w:pPr>
      <w:r w:rsidRPr="00EA038D">
        <w:t xml:space="preserve"> Plus de la moitiés des terres d’Irak sont salines. La salinisation des terres survient en </w:t>
      </w:r>
      <w:r w:rsidR="00DA1AFA">
        <w:t>Égypte</w:t>
      </w:r>
      <w:r w:rsidRPr="00EA038D">
        <w:t>, Pakistan, Tunisie, Turquie etc.</w:t>
      </w:r>
    </w:p>
    <w:p w14:paraId="1E94D241" w14:textId="4E52D071" w:rsidR="006A39AF" w:rsidRDefault="006A39AF" w:rsidP="00315DB0">
      <w:pPr>
        <w:spacing w:after="0" w:line="240" w:lineRule="auto"/>
        <w:jc w:val="both"/>
      </w:pPr>
    </w:p>
    <w:p w14:paraId="5A136E2B" w14:textId="08ABE2F2" w:rsidR="006A39AF" w:rsidRDefault="006A39AF" w:rsidP="006A39AF">
      <w:pPr>
        <w:pStyle w:val="Titre2"/>
      </w:pPr>
      <w:bookmarkStart w:id="38" w:name="_Toc139181329"/>
      <w:r>
        <w:t>Exemples de plantes de sols salins</w:t>
      </w:r>
      <w:bookmarkEnd w:id="38"/>
    </w:p>
    <w:p w14:paraId="452E07B9" w14:textId="11EB2BB0" w:rsidR="006A39AF" w:rsidRDefault="006A39AF" w:rsidP="006A39AF">
      <w:pPr>
        <w:spacing w:after="0" w:line="240" w:lineRule="auto"/>
      </w:pPr>
    </w:p>
    <w:p w14:paraId="05F7AC7F" w14:textId="0B1DA31B" w:rsidR="006A39AF" w:rsidRPr="006A39AF" w:rsidRDefault="006A39AF" w:rsidP="006A39AF">
      <w:pPr>
        <w:pStyle w:val="Titre3"/>
        <w:rPr>
          <w:i/>
          <w:iCs/>
        </w:rPr>
      </w:pPr>
      <w:bookmarkStart w:id="39" w:name="_Toc139181330"/>
      <w:r w:rsidRPr="006A39AF">
        <w:rPr>
          <w:i/>
          <w:iCs/>
        </w:rPr>
        <w:t>Acanthus ilicifolius</w:t>
      </w:r>
      <w:bookmarkEnd w:id="39"/>
    </w:p>
    <w:p w14:paraId="331DC1A3" w14:textId="23892F77" w:rsidR="00315DB0" w:rsidRDefault="00315DB0" w:rsidP="00315DB0">
      <w:pPr>
        <w:spacing w:after="0" w:line="240" w:lineRule="auto"/>
        <w:jc w:val="center"/>
      </w:pPr>
      <w:r w:rsidRPr="00315DB0">
        <w:rPr>
          <w:noProof/>
        </w:rPr>
        <w:drawing>
          <wp:inline distT="0" distB="0" distL="0" distR="0" wp14:anchorId="14B49E82" wp14:editId="7031AE07">
            <wp:extent cx="2466975" cy="1847850"/>
            <wp:effectExtent l="0" t="0" r="9525" b="0"/>
            <wp:docPr id="19461" name="Image 4" descr="Acanthus ilicifoli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1" name="Image 4" descr="Acanthus ilicifolius.jpg"/>
                    <pic:cNvPicPr>
                      <a:picLocks noChangeAspect="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t xml:space="preserve"> </w:t>
      </w:r>
      <w:r w:rsidRPr="00315DB0">
        <w:rPr>
          <w:noProof/>
        </w:rPr>
        <w:drawing>
          <wp:inline distT="0" distB="0" distL="0" distR="0" wp14:anchorId="0FCFD7AD" wp14:editId="3391D4A6">
            <wp:extent cx="1512887" cy="2268537"/>
            <wp:effectExtent l="0" t="0" r="0" b="0"/>
            <wp:docPr id="19462" name="Image 5" descr="Acanthus_ilicifolius_fru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2" name="Image 5" descr="Acanthus_ilicifolius_fruit.jpg"/>
                    <pic:cNvPicPr>
                      <a:picLocks noChangeAspect="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1512887" cy="22685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3D866D35" w14:textId="77777777" w:rsidR="006A39AF" w:rsidRDefault="006A39AF" w:rsidP="006A39AF">
      <w:pPr>
        <w:spacing w:after="0" w:line="240" w:lineRule="auto"/>
        <w:jc w:val="both"/>
        <w:rPr>
          <w:i/>
          <w:iCs/>
        </w:rPr>
      </w:pPr>
    </w:p>
    <w:p w14:paraId="562399F6" w14:textId="69DAA00D" w:rsidR="00315DB0" w:rsidRPr="00315DB0" w:rsidRDefault="00315DB0" w:rsidP="006A39AF">
      <w:pPr>
        <w:spacing w:after="0" w:line="240" w:lineRule="auto"/>
        <w:jc w:val="both"/>
      </w:pPr>
      <w:r w:rsidRPr="00315DB0">
        <w:rPr>
          <w:i/>
          <w:iCs/>
        </w:rPr>
        <w:t>Acanthus ilicifolius</w:t>
      </w:r>
      <w:r w:rsidR="006A39AF">
        <w:t xml:space="preserve"> : Distribution : </w:t>
      </w:r>
      <w:hyperlink r:id="rId185" w:history="1">
        <w:r w:rsidRPr="00315DB0">
          <w:rPr>
            <w:rStyle w:val="Lienhypertexte"/>
          </w:rPr>
          <w:t>Inde</w:t>
        </w:r>
      </w:hyperlink>
      <w:r w:rsidRPr="00315DB0">
        <w:t>, </w:t>
      </w:r>
      <w:hyperlink r:id="rId186" w:history="1">
        <w:r w:rsidRPr="00315DB0">
          <w:rPr>
            <w:rStyle w:val="Lienhypertexte"/>
          </w:rPr>
          <w:t>Sri Lanka</w:t>
        </w:r>
      </w:hyperlink>
      <w:r w:rsidRPr="00315DB0">
        <w:t>, Asie, </w:t>
      </w:r>
      <w:hyperlink r:id="rId187" w:history="1">
        <w:r w:rsidRPr="00315DB0">
          <w:rPr>
            <w:rStyle w:val="Lienhypertexte"/>
          </w:rPr>
          <w:t>Malaisie</w:t>
        </w:r>
      </w:hyperlink>
      <w:r w:rsidRPr="00315DB0">
        <w:t xml:space="preserve">, Australie et les îles du Pacifique. Petit arbuste qui pousse le long des lacs et des marais et des rivages.  Source :  </w:t>
      </w:r>
      <w:hyperlink r:id="rId188" w:history="1">
        <w:r w:rsidRPr="00315DB0">
          <w:rPr>
            <w:rStyle w:val="Lienhypertexte"/>
          </w:rPr>
          <w:t>http://en.wikipedia.org/wiki/Acanthus_ilicifolius</w:t>
        </w:r>
      </w:hyperlink>
      <w:r w:rsidRPr="00315DB0">
        <w:t xml:space="preserve"> </w:t>
      </w:r>
    </w:p>
    <w:p w14:paraId="60EEB016" w14:textId="576C8DDA" w:rsidR="00315DB0" w:rsidRDefault="00315DB0" w:rsidP="00B16E11">
      <w:pPr>
        <w:spacing w:after="0"/>
      </w:pPr>
    </w:p>
    <w:p w14:paraId="7A8AB723" w14:textId="166E80E2" w:rsidR="006A39AF" w:rsidRDefault="006A39AF" w:rsidP="006A39AF">
      <w:pPr>
        <w:pStyle w:val="Titre3"/>
      </w:pPr>
      <w:bookmarkStart w:id="40" w:name="_Toc139181331"/>
      <w:r w:rsidRPr="006A39AF">
        <w:t>Saligne à balai</w:t>
      </w:r>
      <w:r w:rsidRPr="001529BE">
        <w:t> (Haloxylon scoparium ou Hammada scoparia)</w:t>
      </w:r>
      <w:bookmarkEnd w:id="40"/>
    </w:p>
    <w:p w14:paraId="35804FC3" w14:textId="78CDDC1B" w:rsidR="00315DB0" w:rsidRDefault="00306184" w:rsidP="00306184">
      <w:pPr>
        <w:spacing w:after="0" w:line="240" w:lineRule="auto"/>
        <w:jc w:val="center"/>
      </w:pPr>
      <w:r w:rsidRPr="00853ED0">
        <w:rPr>
          <w:noProof/>
        </w:rPr>
        <w:drawing>
          <wp:inline distT="0" distB="0" distL="0" distR="0" wp14:anchorId="0C81FD7C" wp14:editId="71E63351">
            <wp:extent cx="400050" cy="352425"/>
            <wp:effectExtent l="0" t="0" r="0" b="9525"/>
            <wp:docPr id="104464" name="Image 21">
              <a:extLst xmlns:a="http://schemas.openxmlformats.org/drawingml/2006/main">
                <a:ext uri="{FF2B5EF4-FFF2-40B4-BE49-F238E27FC236}">
                  <a16:creationId xmlns:a16="http://schemas.microsoft.com/office/drawing/2014/main" id="{F52353B3-AA67-41AB-ACE3-C9465695F4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3" name="Image 21">
                      <a:extLst>
                        <a:ext uri="{FF2B5EF4-FFF2-40B4-BE49-F238E27FC236}">
                          <a16:creationId xmlns:a16="http://schemas.microsoft.com/office/drawing/2014/main" id="{F52353B3-AA67-41AB-ACE3-C9465695F4BE}"/>
                        </a:ext>
                      </a:extLst>
                    </pic:cNvPr>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5F45A92" w14:textId="607B03E4" w:rsidR="001529BE" w:rsidRDefault="001529BE" w:rsidP="001529BE">
      <w:pPr>
        <w:spacing w:after="0" w:line="240" w:lineRule="auto"/>
        <w:jc w:val="both"/>
      </w:pPr>
      <w:r w:rsidRPr="006A39AF">
        <w:rPr>
          <w:u w:val="single"/>
        </w:rPr>
        <w:t>Distribution</w:t>
      </w:r>
      <w:r w:rsidRPr="001529BE">
        <w:t xml:space="preserve"> : Afrique subtropicale (Sahara, très commune au Sahara Septentrional jusqu'au Tademaït, </w:t>
      </w:r>
      <w:r w:rsidR="00EA7C76">
        <w:t>Égypte</w:t>
      </w:r>
      <w:r w:rsidRPr="001529BE">
        <w:t>), Asie tempérée et subtropicale (Israel, Arabie, Jordanie, Irak). Déserts, steppes.</w:t>
      </w:r>
      <w:r w:rsidRPr="001529BE">
        <w:rPr>
          <w:i/>
          <w:iCs/>
        </w:rPr>
        <w:t xml:space="preserve"> </w:t>
      </w:r>
      <w:r w:rsidRPr="001529BE">
        <w:t xml:space="preserve">Ce buisson pérenne, de 20 à 40 cm, composé de branches ramifiées, </w:t>
      </w:r>
      <w:r w:rsidRPr="00C248B8">
        <w:rPr>
          <w:i/>
          <w:iCs/>
        </w:rPr>
        <w:t>épineuses</w:t>
      </w:r>
      <w:r w:rsidRPr="001529BE">
        <w:t>, dont les feuilles opposées sont réduites à des écailles, aux fleurs dépourvues de pétales et disposées en </w:t>
      </w:r>
      <w:hyperlink r:id="rId189" w:history="1">
        <w:r w:rsidRPr="001529BE">
          <w:rPr>
            <w:rStyle w:val="Lienhypertexte"/>
          </w:rPr>
          <w:t>épi</w:t>
        </w:r>
      </w:hyperlink>
      <w:r w:rsidRPr="001529BE">
        <w:t xml:space="preserve"> terminal dense, est utilisé comme </w:t>
      </w:r>
      <w:r w:rsidRPr="001529BE">
        <w:rPr>
          <w:b/>
          <w:bCs/>
        </w:rPr>
        <w:t xml:space="preserve">plante médicinale </w:t>
      </w:r>
      <w:r w:rsidRPr="001529BE">
        <w:t xml:space="preserve">en Afrique du Nord et au Moyen-Orient et dans la pharmacopée marocaine traditionnelle pour </w:t>
      </w:r>
      <w:r w:rsidRPr="001529BE">
        <w:rPr>
          <w:b/>
          <w:bCs/>
        </w:rPr>
        <w:t>l’hypertension</w:t>
      </w:r>
      <w:r w:rsidRPr="001529BE">
        <w:t xml:space="preserve">. Plante aux rameaux grêles et charnus, articulés, dressés, très nombreux. Les rameaux foncent et noircissent en séchant. Les rameaux âgés sont gris-brun et les rameaux nouveaux sont d'un vert légèrement blanchâtre. Feuilles opposées très petites en triangle. Les fleurs sont généralement solitaires à l'aisselle des feuilles, elles donnent un fruit entouré de 4 à 6 ailes de taille identique généralement vivement coloré (jaune, rose ou rouge). Les cendres de cette plantes mélangées à de l’huile d’olive permet de fabriquer un </w:t>
      </w:r>
      <w:r w:rsidRPr="001529BE">
        <w:rPr>
          <w:b/>
          <w:bCs/>
        </w:rPr>
        <w:t>savon</w:t>
      </w:r>
      <w:r w:rsidRPr="001529BE">
        <w:t xml:space="preserve">.  </w:t>
      </w:r>
    </w:p>
    <w:p w14:paraId="4CFBC8B4" w14:textId="77777777" w:rsidR="001529BE" w:rsidRDefault="001529BE" w:rsidP="001529BE">
      <w:pPr>
        <w:spacing w:after="0" w:line="240" w:lineRule="auto"/>
      </w:pPr>
      <w:r w:rsidRPr="001529BE">
        <w:t xml:space="preserve">Sources : a) </w:t>
      </w:r>
      <w:hyperlink r:id="rId190" w:history="1">
        <w:r w:rsidRPr="001529BE">
          <w:rPr>
            <w:rStyle w:val="Lienhypertexte"/>
          </w:rPr>
          <w:t>http://www.plantarium.ru/page/view/item/48340.html</w:t>
        </w:r>
      </w:hyperlink>
      <w:r w:rsidRPr="001529BE">
        <w:t xml:space="preserve">, </w:t>
      </w:r>
    </w:p>
    <w:p w14:paraId="0DDDB353" w14:textId="3A439018" w:rsidR="001529BE" w:rsidRPr="00A948B1" w:rsidRDefault="001529BE" w:rsidP="001529BE">
      <w:pPr>
        <w:spacing w:after="0" w:line="240" w:lineRule="auto"/>
      </w:pPr>
      <w:r w:rsidRPr="00A948B1">
        <w:t xml:space="preserve">b) </w:t>
      </w:r>
      <w:hyperlink r:id="rId191" w:history="1">
        <w:r w:rsidRPr="00A948B1">
          <w:rPr>
            <w:rStyle w:val="Lienhypertexte"/>
          </w:rPr>
          <w:t>https://pl.wikipedia.org/wiki/Haloxylon_scoparium</w:t>
        </w:r>
      </w:hyperlink>
      <w:r w:rsidRPr="00A948B1">
        <w:t xml:space="preserve">, </w:t>
      </w:r>
    </w:p>
    <w:p w14:paraId="0D35223D" w14:textId="77777777" w:rsidR="001529BE" w:rsidRPr="001529BE" w:rsidRDefault="001529BE" w:rsidP="001529BE">
      <w:pPr>
        <w:spacing w:after="0" w:line="240" w:lineRule="auto"/>
      </w:pPr>
      <w:r w:rsidRPr="001529BE">
        <w:t xml:space="preserve">c) </w:t>
      </w:r>
      <w:hyperlink r:id="rId192" w:history="1">
        <w:r w:rsidRPr="001529BE">
          <w:rPr>
            <w:rStyle w:val="Lienhypertexte"/>
          </w:rPr>
          <w:t>http://www.ethnopharmacologia.org/recherche-dans-prelude/?plant_id=6553</w:t>
        </w:r>
      </w:hyperlink>
      <w:r w:rsidRPr="001529BE">
        <w:t xml:space="preserve"> </w:t>
      </w:r>
    </w:p>
    <w:p w14:paraId="72A43E76" w14:textId="7FF52751" w:rsidR="001529BE" w:rsidRDefault="001529BE" w:rsidP="001529BE">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36"/>
        <w:gridCol w:w="5190"/>
      </w:tblGrid>
      <w:tr w:rsidR="006A39AF" w14:paraId="6B05F9BF" w14:textId="77777777" w:rsidTr="007E58C4">
        <w:tc>
          <w:tcPr>
            <w:tcW w:w="5395" w:type="dxa"/>
          </w:tcPr>
          <w:p w14:paraId="3E96B307" w14:textId="77777777" w:rsidR="006A39AF" w:rsidRDefault="006A39AF" w:rsidP="007E58C4">
            <w:pPr>
              <w:jc w:val="center"/>
            </w:pPr>
            <w:r w:rsidRPr="001529BE">
              <w:rPr>
                <w:noProof/>
              </w:rPr>
              <w:drawing>
                <wp:inline distT="0" distB="0" distL="0" distR="0" wp14:anchorId="2DF2098D" wp14:editId="39652F6E">
                  <wp:extent cx="2676600" cy="1857233"/>
                  <wp:effectExtent l="0" t="0" r="0" b="0"/>
                  <wp:docPr id="28" name="Image 27" descr="Une image contenant herbe, extérieur, plante, terra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 27" descr="Une image contenant herbe, extérieur, plante, terrain&#10;&#10;Description générée automatiquement"/>
                          <pic:cNvPicPr>
                            <a:picLocks noChangeAspect="1"/>
                          </pic:cNvPicPr>
                        </pic:nvPicPr>
                        <pic:blipFill>
                          <a:blip r:embed="rId193">
                            <a:extLst>
                              <a:ext uri="{28A0092B-C50C-407E-A947-70E740481C1C}">
                                <a14:useLocalDpi xmlns:a14="http://schemas.microsoft.com/office/drawing/2010/main" val="0"/>
                              </a:ext>
                            </a:extLst>
                          </a:blip>
                          <a:stretch>
                            <a:fillRect/>
                          </a:stretch>
                        </pic:blipFill>
                        <pic:spPr>
                          <a:xfrm>
                            <a:off x="0" y="0"/>
                            <a:ext cx="2683573" cy="1862071"/>
                          </a:xfrm>
                          <a:prstGeom prst="rect">
                            <a:avLst/>
                          </a:prstGeom>
                        </pic:spPr>
                      </pic:pic>
                    </a:graphicData>
                  </a:graphic>
                </wp:inline>
              </w:drawing>
            </w:r>
          </w:p>
          <w:p w14:paraId="365EDC4D" w14:textId="77777777" w:rsidR="006A39AF" w:rsidRDefault="006A39AF" w:rsidP="007E58C4">
            <w:pPr>
              <w:jc w:val="center"/>
            </w:pPr>
          </w:p>
        </w:tc>
        <w:tc>
          <w:tcPr>
            <w:tcW w:w="5395" w:type="dxa"/>
          </w:tcPr>
          <w:p w14:paraId="703637C2" w14:textId="77777777" w:rsidR="006A39AF" w:rsidRDefault="006A39AF" w:rsidP="007E58C4">
            <w:pPr>
              <w:jc w:val="center"/>
            </w:pPr>
            <w:r w:rsidRPr="001529BE">
              <w:rPr>
                <w:noProof/>
              </w:rPr>
              <w:drawing>
                <wp:inline distT="0" distB="0" distL="0" distR="0" wp14:anchorId="79D95431" wp14:editId="217FD5B6">
                  <wp:extent cx="2489198" cy="1866900"/>
                  <wp:effectExtent l="0" t="0" r="6985" b="0"/>
                  <wp:docPr id="27" name="Image 26" descr="Une image contenant plante, arbre, ram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 26" descr="Une image contenant plante, arbre, rameau&#10;&#10;Description générée automatiquement"/>
                          <pic:cNvPicPr>
                            <a:picLocks noChangeAspect="1"/>
                          </pic:cNvPicPr>
                        </pic:nvPicPr>
                        <pic:blipFill>
                          <a:blip r:embed="rId194">
                            <a:extLst>
                              <a:ext uri="{28A0092B-C50C-407E-A947-70E740481C1C}">
                                <a14:useLocalDpi xmlns:a14="http://schemas.microsoft.com/office/drawing/2010/main" val="0"/>
                              </a:ext>
                            </a:extLst>
                          </a:blip>
                          <a:stretch>
                            <a:fillRect/>
                          </a:stretch>
                        </pic:blipFill>
                        <pic:spPr>
                          <a:xfrm>
                            <a:off x="0" y="0"/>
                            <a:ext cx="2495018" cy="1871265"/>
                          </a:xfrm>
                          <a:prstGeom prst="rect">
                            <a:avLst/>
                          </a:prstGeom>
                        </pic:spPr>
                      </pic:pic>
                    </a:graphicData>
                  </a:graphic>
                </wp:inline>
              </w:drawing>
            </w:r>
          </w:p>
        </w:tc>
      </w:tr>
      <w:tr w:rsidR="006A39AF" w14:paraId="5AF96DB1" w14:textId="77777777" w:rsidTr="007E58C4">
        <w:tc>
          <w:tcPr>
            <w:tcW w:w="5395" w:type="dxa"/>
          </w:tcPr>
          <w:p w14:paraId="5F4B005B" w14:textId="77777777" w:rsidR="006A39AF" w:rsidRDefault="006A39AF" w:rsidP="007E58C4">
            <w:pPr>
              <w:jc w:val="center"/>
            </w:pPr>
            <w:r w:rsidRPr="001529BE">
              <w:rPr>
                <w:noProof/>
              </w:rPr>
              <w:drawing>
                <wp:inline distT="0" distB="0" distL="0" distR="0" wp14:anchorId="40366EF9" wp14:editId="034C27B8">
                  <wp:extent cx="1371600" cy="1666875"/>
                  <wp:effectExtent l="0" t="0" r="0" b="9525"/>
                  <wp:docPr id="30" name="Image 29" descr="Une image contenant plante, fl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 29" descr="Une image contenant plante, fleur&#10;&#10;Description générée automatiquement"/>
                          <pic:cNvPicPr>
                            <a:picLocks noChangeAspect="1"/>
                          </pic:cNvPicPr>
                        </pic:nvPicPr>
                        <pic:blipFill>
                          <a:blip r:embed="rId195">
                            <a:extLst>
                              <a:ext uri="{28A0092B-C50C-407E-A947-70E740481C1C}">
                                <a14:useLocalDpi xmlns:a14="http://schemas.microsoft.com/office/drawing/2010/main" val="0"/>
                              </a:ext>
                            </a:extLst>
                          </a:blip>
                          <a:stretch>
                            <a:fillRect/>
                          </a:stretch>
                        </pic:blipFill>
                        <pic:spPr>
                          <a:xfrm>
                            <a:off x="0" y="0"/>
                            <a:ext cx="1371600" cy="1666875"/>
                          </a:xfrm>
                          <a:prstGeom prst="rect">
                            <a:avLst/>
                          </a:prstGeom>
                        </pic:spPr>
                      </pic:pic>
                    </a:graphicData>
                  </a:graphic>
                </wp:inline>
              </w:drawing>
            </w:r>
            <w:r>
              <w:t xml:space="preserve"> </w:t>
            </w:r>
          </w:p>
        </w:tc>
        <w:tc>
          <w:tcPr>
            <w:tcW w:w="5395" w:type="dxa"/>
          </w:tcPr>
          <w:p w14:paraId="5B599985" w14:textId="77777777" w:rsidR="006A39AF" w:rsidRDefault="006A39AF" w:rsidP="007E58C4">
            <w:pPr>
              <w:jc w:val="center"/>
            </w:pPr>
            <w:r w:rsidRPr="001529BE">
              <w:rPr>
                <w:noProof/>
              </w:rPr>
              <w:drawing>
                <wp:inline distT="0" distB="0" distL="0" distR="0" wp14:anchorId="1B9C687B" wp14:editId="5A60F7B9">
                  <wp:extent cx="1691277" cy="1266825"/>
                  <wp:effectExtent l="0" t="0" r="4445" b="0"/>
                  <wp:docPr id="31" name="Image 30" descr="Une image contenant alimentation, riz, plante, ferm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 30" descr="Une image contenant alimentation, riz, plante, fermer&#10;&#10;Description générée automatiquement"/>
                          <pic:cNvPicPr>
                            <a:picLocks noChangeAspect="1"/>
                          </pic:cNvPicPr>
                        </pic:nvPicPr>
                        <pic:blipFill>
                          <a:blip r:embed="rId196">
                            <a:extLst>
                              <a:ext uri="{28A0092B-C50C-407E-A947-70E740481C1C}">
                                <a14:useLocalDpi xmlns:a14="http://schemas.microsoft.com/office/drawing/2010/main" val="0"/>
                              </a:ext>
                            </a:extLst>
                          </a:blip>
                          <a:stretch>
                            <a:fillRect/>
                          </a:stretch>
                        </pic:blipFill>
                        <pic:spPr>
                          <a:xfrm>
                            <a:off x="0" y="0"/>
                            <a:ext cx="1692968" cy="1268092"/>
                          </a:xfrm>
                          <a:prstGeom prst="rect">
                            <a:avLst/>
                          </a:prstGeom>
                        </pic:spPr>
                      </pic:pic>
                    </a:graphicData>
                  </a:graphic>
                </wp:inline>
              </w:drawing>
            </w:r>
            <w:r>
              <w:t xml:space="preserve"> </w:t>
            </w:r>
            <w:r w:rsidRPr="001529BE">
              <w:rPr>
                <w:noProof/>
              </w:rPr>
              <w:drawing>
                <wp:inline distT="0" distB="0" distL="0" distR="0" wp14:anchorId="550C5829" wp14:editId="559F0292">
                  <wp:extent cx="1332302" cy="1323975"/>
                  <wp:effectExtent l="0" t="0" r="1270" b="0"/>
                  <wp:docPr id="29" name="Image 28" descr="Une image contenant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 28" descr="Une image contenant plante&#10;&#10;Description générée automatiquement"/>
                          <pic:cNvPicPr>
                            <a:picLocks noChangeAspect="1"/>
                          </pic:cNvPicPr>
                        </pic:nvPicPr>
                        <pic:blipFill>
                          <a:blip r:embed="rId197">
                            <a:extLst>
                              <a:ext uri="{28A0092B-C50C-407E-A947-70E740481C1C}">
                                <a14:useLocalDpi xmlns:a14="http://schemas.microsoft.com/office/drawing/2010/main" val="0"/>
                              </a:ext>
                            </a:extLst>
                          </a:blip>
                          <a:stretch>
                            <a:fillRect/>
                          </a:stretch>
                        </pic:blipFill>
                        <pic:spPr>
                          <a:xfrm>
                            <a:off x="0" y="0"/>
                            <a:ext cx="1333583" cy="1325248"/>
                          </a:xfrm>
                          <a:prstGeom prst="rect">
                            <a:avLst/>
                          </a:prstGeom>
                        </pic:spPr>
                      </pic:pic>
                    </a:graphicData>
                  </a:graphic>
                </wp:inline>
              </w:drawing>
            </w:r>
          </w:p>
          <w:p w14:paraId="176363D4" w14:textId="77777777" w:rsidR="006A39AF" w:rsidRDefault="006A39AF" w:rsidP="007E58C4">
            <w:pPr>
              <w:jc w:val="center"/>
            </w:pPr>
            <w:r w:rsidRPr="001529BE">
              <w:rPr>
                <w:b/>
                <w:bCs/>
              </w:rPr>
              <w:t>Saligne à balai</w:t>
            </w:r>
            <w:r w:rsidRPr="001529BE">
              <w:t> (</w:t>
            </w:r>
            <w:r w:rsidRPr="001529BE">
              <w:rPr>
                <w:i/>
                <w:iCs/>
              </w:rPr>
              <w:t xml:space="preserve">Haloxylon scoparium </w:t>
            </w:r>
            <w:r w:rsidRPr="001529BE">
              <w:t xml:space="preserve">ou </w:t>
            </w:r>
            <w:r w:rsidRPr="001529BE">
              <w:rPr>
                <w:i/>
                <w:iCs/>
              </w:rPr>
              <w:t>Hammada scoparia</w:t>
            </w:r>
            <w:r w:rsidRPr="001529BE">
              <w:t>).</w:t>
            </w:r>
          </w:p>
        </w:tc>
      </w:tr>
    </w:tbl>
    <w:p w14:paraId="7AF25AEA" w14:textId="77777777" w:rsidR="006A39AF" w:rsidRDefault="006A39AF" w:rsidP="001529BE">
      <w:pPr>
        <w:spacing w:after="0" w:line="240" w:lineRule="auto"/>
        <w:jc w:val="both"/>
      </w:pPr>
    </w:p>
    <w:p w14:paraId="6C62CD2F" w14:textId="6C3D6A2A" w:rsidR="001529BE" w:rsidRDefault="006A39AF" w:rsidP="006A39AF">
      <w:pPr>
        <w:pStyle w:val="Titre3"/>
      </w:pPr>
      <w:bookmarkStart w:id="41" w:name="_Toc139181332"/>
      <w:r w:rsidRPr="006A39AF">
        <w:t>Ficoïde glaciale (</w:t>
      </w:r>
      <w:r w:rsidRPr="006A39AF">
        <w:rPr>
          <w:i/>
          <w:iCs/>
        </w:rPr>
        <w:t>Mesembryanthemum cristallinum</w:t>
      </w:r>
      <w:r w:rsidRPr="006A39AF">
        <w:t>) &amp; Orge maritime (</w:t>
      </w:r>
      <w:r w:rsidRPr="006A39AF">
        <w:rPr>
          <w:i/>
          <w:iCs/>
        </w:rPr>
        <w:t>Hordeum marinum</w:t>
      </w:r>
      <w:r w:rsidRPr="006A39AF">
        <w:t>)</w:t>
      </w:r>
      <w:bookmarkEnd w:id="41"/>
    </w:p>
    <w:p w14:paraId="0B1EAC75" w14:textId="77777777" w:rsidR="006A39AF" w:rsidRDefault="006A39AF" w:rsidP="001529BE">
      <w:pPr>
        <w:spacing w:after="0" w:line="240" w:lineRule="auto"/>
        <w:jc w:val="both"/>
      </w:pPr>
    </w:p>
    <w:tbl>
      <w:tblPr>
        <w:tblStyle w:val="Grilledutableau"/>
        <w:tblW w:w="0" w:type="auto"/>
        <w:tblLook w:val="04A0" w:firstRow="1" w:lastRow="0" w:firstColumn="1" w:lastColumn="0" w:noHBand="0" w:noVBand="1"/>
      </w:tblPr>
      <w:tblGrid>
        <w:gridCol w:w="4724"/>
        <w:gridCol w:w="5702"/>
      </w:tblGrid>
      <w:tr w:rsidR="00740F6C" w:rsidRPr="009954D2" w14:paraId="67E57407" w14:textId="77777777" w:rsidTr="00A302F5">
        <w:tc>
          <w:tcPr>
            <w:tcW w:w="4724" w:type="dxa"/>
            <w:tcBorders>
              <w:top w:val="nil"/>
              <w:left w:val="nil"/>
              <w:bottom w:val="nil"/>
              <w:right w:val="nil"/>
            </w:tcBorders>
          </w:tcPr>
          <w:p w14:paraId="09F82519" w14:textId="77777777" w:rsidR="00740F6C" w:rsidRPr="009954D2" w:rsidRDefault="00740F6C" w:rsidP="00740F6C">
            <w:pPr>
              <w:jc w:val="center"/>
              <w:rPr>
                <w:rFonts w:ascii="Calibri" w:hAnsi="Calibri" w:cs="Calibri"/>
              </w:rPr>
            </w:pPr>
            <w:r w:rsidRPr="009954D2">
              <w:rPr>
                <w:rFonts w:ascii="Calibri" w:hAnsi="Calibri" w:cs="Calibri"/>
                <w:noProof/>
              </w:rPr>
              <w:drawing>
                <wp:inline distT="0" distB="0" distL="0" distR="0" wp14:anchorId="07B20827" wp14:editId="53EF6209">
                  <wp:extent cx="2392362" cy="1795463"/>
                  <wp:effectExtent l="0" t="0" r="8255" b="0"/>
                  <wp:docPr id="7173" name="Image 4" descr="Mesembryanthemum cristallin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3" name="Image 4" descr="Mesembryanthemum cristallinum.jpg"/>
                          <pic:cNvPicPr>
                            <a:picLocks noChangeAspect="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392362" cy="17954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FB3F4CB" w14:textId="77777777" w:rsidR="00740F6C" w:rsidRPr="009954D2" w:rsidRDefault="00740F6C" w:rsidP="00740F6C">
            <w:pPr>
              <w:jc w:val="both"/>
              <w:textAlignment w:val="baseline"/>
              <w:rPr>
                <w:rFonts w:ascii="Calibri" w:eastAsia="Times New Roman" w:hAnsi="Calibri" w:cs="Calibri"/>
                <w:lang w:eastAsia="fr-FR"/>
              </w:rPr>
            </w:pPr>
            <w:r w:rsidRPr="00A948B1">
              <w:rPr>
                <w:rFonts w:ascii="Calibri" w:eastAsia="+mn-ea" w:hAnsi="Calibri" w:cs="Calibri"/>
                <w:kern w:val="24"/>
                <w:lang w:eastAsia="fr-FR"/>
              </w:rPr>
              <w:t>La ficoïde glaciale (</w:t>
            </w:r>
            <w:r w:rsidRPr="00A948B1">
              <w:rPr>
                <w:rFonts w:ascii="Calibri" w:eastAsia="+mn-ea" w:hAnsi="Calibri" w:cs="Calibri"/>
                <w:i/>
                <w:iCs/>
                <w:kern w:val="24"/>
                <w:lang w:eastAsia="fr-FR"/>
              </w:rPr>
              <w:t>Mesembryanthemum cristallinum</w:t>
            </w:r>
            <w:r w:rsidRPr="00A948B1">
              <w:rPr>
                <w:rFonts w:ascii="Calibri" w:eastAsia="+mn-ea" w:hAnsi="Calibri" w:cs="Calibri"/>
                <w:kern w:val="24"/>
                <w:lang w:eastAsia="fr-FR"/>
              </w:rPr>
              <w:t>)</w:t>
            </w:r>
            <w:r>
              <w:rPr>
                <w:rFonts w:ascii="Calibri" w:eastAsia="+mn-ea" w:hAnsi="Calibri" w:cs="Calibri"/>
                <w:kern w:val="24"/>
                <w:lang w:eastAsia="fr-FR"/>
              </w:rPr>
              <w:t xml:space="preserve">. </w:t>
            </w:r>
            <w:r w:rsidRPr="00A948B1">
              <w:rPr>
                <w:rFonts w:ascii="Calibri" w:eastAsia="+mn-ea" w:hAnsi="Calibri" w:cs="Calibri"/>
                <w:kern w:val="24"/>
                <w:lang w:eastAsia="fr-FR"/>
              </w:rPr>
              <w:t xml:space="preserve">Croissance en milieu sec, </w:t>
            </w:r>
            <w:r w:rsidRPr="00A948B1">
              <w:rPr>
                <w:rFonts w:ascii="Calibri" w:eastAsia="+mn-ea" w:hAnsi="Calibri" w:cs="Calibri"/>
                <w:b/>
                <w:bCs/>
                <w:kern w:val="24"/>
                <w:lang w:eastAsia="fr-FR"/>
              </w:rPr>
              <w:t>salin</w:t>
            </w:r>
            <w:r w:rsidRPr="00A948B1">
              <w:rPr>
                <w:rFonts w:ascii="Calibri" w:eastAsia="+mn-ea" w:hAnsi="Calibri" w:cs="Calibri"/>
                <w:kern w:val="24"/>
                <w:lang w:eastAsia="fr-FR"/>
              </w:rPr>
              <w:t xml:space="preserve"> et froid (</w:t>
            </w:r>
            <w:r w:rsidRPr="00A948B1">
              <w:rPr>
                <w:rFonts w:ascii="Calibri" w:eastAsia="+mn-ea" w:hAnsi="Calibri" w:cs="Calibri"/>
                <w:b/>
                <w:bCs/>
                <w:kern w:val="24"/>
                <w:lang w:eastAsia="fr-FR"/>
              </w:rPr>
              <w:t>feuilles comestibles</w:t>
            </w:r>
            <w:r w:rsidRPr="00A948B1">
              <w:rPr>
                <w:rFonts w:ascii="Calibri" w:eastAsia="+mn-ea" w:hAnsi="Calibri" w:cs="Calibri"/>
                <w:kern w:val="24"/>
                <w:lang w:eastAsia="fr-FR"/>
              </w:rPr>
              <w:t>). Désert de Namibie</w:t>
            </w:r>
            <w:r>
              <w:rPr>
                <w:rFonts w:ascii="Calibri" w:eastAsia="+mn-ea" w:hAnsi="Calibri" w:cs="Calibri"/>
                <w:kern w:val="24"/>
                <w:lang w:eastAsia="fr-FR"/>
              </w:rPr>
              <w:t>.</w:t>
            </w:r>
          </w:p>
        </w:tc>
        <w:tc>
          <w:tcPr>
            <w:tcW w:w="5702" w:type="dxa"/>
            <w:tcBorders>
              <w:top w:val="nil"/>
              <w:left w:val="nil"/>
              <w:bottom w:val="nil"/>
              <w:right w:val="nil"/>
            </w:tcBorders>
          </w:tcPr>
          <w:p w14:paraId="05C2D8E1" w14:textId="77777777" w:rsidR="00740F6C" w:rsidRPr="009954D2" w:rsidRDefault="00740F6C" w:rsidP="00740F6C">
            <w:pPr>
              <w:jc w:val="center"/>
              <w:rPr>
                <w:rFonts w:ascii="Calibri" w:hAnsi="Calibri" w:cs="Calibri"/>
              </w:rPr>
            </w:pPr>
            <w:r w:rsidRPr="009954D2">
              <w:rPr>
                <w:rFonts w:ascii="Calibri" w:hAnsi="Calibri" w:cs="Calibri"/>
                <w:noProof/>
              </w:rPr>
              <w:drawing>
                <wp:inline distT="0" distB="0" distL="0" distR="0" wp14:anchorId="2190D102" wp14:editId="6809D73E">
                  <wp:extent cx="1442534" cy="2314575"/>
                  <wp:effectExtent l="0" t="0" r="5715" b="0"/>
                  <wp:docPr id="8197" name="Image 5" descr="Hordeum marin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7" name="Image 5" descr="Hordeum marinum.jpg"/>
                          <pic:cNvPicPr>
                            <a:picLocks noChangeAspect="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1443026" cy="2315365"/>
                          </a:xfrm>
                          <a:prstGeom prst="rect">
                            <a:avLst/>
                          </a:prstGeom>
                          <a:noFill/>
                          <a:ln>
                            <a:noFill/>
                          </a:ln>
                        </pic:spPr>
                      </pic:pic>
                    </a:graphicData>
                  </a:graphic>
                </wp:inline>
              </w:drawing>
            </w:r>
          </w:p>
          <w:p w14:paraId="08855167" w14:textId="77777777" w:rsidR="00740F6C" w:rsidRDefault="00740F6C" w:rsidP="00740F6C">
            <w:pPr>
              <w:jc w:val="both"/>
              <w:rPr>
                <w:rFonts w:ascii="Calibri" w:eastAsia="+mn-ea" w:hAnsi="Calibri" w:cs="Calibri"/>
                <w:kern w:val="24"/>
              </w:rPr>
            </w:pPr>
            <w:r w:rsidRPr="00A948B1">
              <w:rPr>
                <w:rFonts w:ascii="Calibri" w:eastAsia="+mn-ea" w:hAnsi="Calibri" w:cs="Calibri"/>
                <w:kern w:val="24"/>
              </w:rPr>
              <w:t>↑ Orge maritime (</w:t>
            </w:r>
            <w:r w:rsidRPr="00A948B1">
              <w:rPr>
                <w:rFonts w:ascii="Calibri" w:eastAsia="+mn-ea" w:hAnsi="Calibri" w:cs="Calibri"/>
                <w:i/>
                <w:iCs/>
                <w:kern w:val="24"/>
              </w:rPr>
              <w:t>Hordeum marinum</w:t>
            </w:r>
            <w:r w:rsidRPr="00A948B1">
              <w:rPr>
                <w:rFonts w:ascii="Calibri" w:eastAsia="+mn-ea" w:hAnsi="Calibri" w:cs="Calibri"/>
                <w:kern w:val="24"/>
              </w:rPr>
              <w:t xml:space="preserve">), résistante au sel (climat tempéré et méditerranéen). Elle peut servir de fourrage. </w:t>
            </w:r>
          </w:p>
          <w:p w14:paraId="1F06EE02" w14:textId="1EC50CB5" w:rsidR="00740F6C" w:rsidRPr="00A948B1" w:rsidRDefault="00740F6C" w:rsidP="00740F6C">
            <w:pPr>
              <w:rPr>
                <w:rFonts w:ascii="Calibri" w:eastAsia="+mn-ea" w:hAnsi="Calibri" w:cs="Calibri"/>
                <w:kern w:val="24"/>
              </w:rPr>
            </w:pPr>
            <w:r w:rsidRPr="00A948B1">
              <w:rPr>
                <w:rFonts w:ascii="Calibri" w:eastAsia="+mn-ea" w:hAnsi="Calibri" w:cs="Calibri"/>
                <w:kern w:val="24"/>
              </w:rPr>
              <w:t xml:space="preserve">Source : </w:t>
            </w:r>
            <w:hyperlink r:id="rId200" w:history="1">
              <w:r w:rsidRPr="00DD7B49">
                <w:rPr>
                  <w:rStyle w:val="Lienhypertexte"/>
                  <w:rFonts w:ascii="Calibri" w:eastAsia="+mn-ea" w:hAnsi="Calibri" w:cs="Calibri"/>
                  <w:kern w:val="24"/>
                </w:rPr>
                <w:t>http://crdp.ac-besancon.fr/flore/Poaceae/especes/hordeum_marinum.htm</w:t>
              </w:r>
            </w:hyperlink>
          </w:p>
        </w:tc>
      </w:tr>
    </w:tbl>
    <w:p w14:paraId="68A11E50" w14:textId="77777777" w:rsidR="00740F6C" w:rsidRDefault="00740F6C" w:rsidP="00740F6C">
      <w:pPr>
        <w:spacing w:after="0" w:line="240" w:lineRule="auto"/>
      </w:pPr>
    </w:p>
    <w:p w14:paraId="675AFEDB" w14:textId="6840A570" w:rsidR="00740F6C" w:rsidRDefault="006A39AF" w:rsidP="006A39AF">
      <w:pPr>
        <w:pStyle w:val="Titre3"/>
      </w:pPr>
      <w:bookmarkStart w:id="42" w:name="_Toc139181333"/>
      <w:r w:rsidRPr="006A39AF">
        <w:t>Aster maritime ou oreille de cochon (</w:t>
      </w:r>
      <w:r w:rsidRPr="006A39AF">
        <w:rPr>
          <w:i/>
          <w:iCs/>
        </w:rPr>
        <w:t>Aster tripolium</w:t>
      </w:r>
      <w:r w:rsidRPr="006A39AF">
        <w:t>)</w:t>
      </w:r>
      <w:bookmarkEnd w:id="42"/>
    </w:p>
    <w:p w14:paraId="7736A1B0" w14:textId="4FF85175" w:rsidR="006A39AF" w:rsidRDefault="006A39AF" w:rsidP="00740F6C">
      <w:pPr>
        <w:spacing w:after="0" w:line="240" w:lineRule="auto"/>
      </w:pPr>
    </w:p>
    <w:p w14:paraId="06515F2D" w14:textId="3558FF58" w:rsidR="006A39AF" w:rsidRDefault="006A39AF" w:rsidP="006A39AF">
      <w:pPr>
        <w:spacing w:after="0" w:line="240" w:lineRule="auto"/>
        <w:jc w:val="both"/>
        <w:rPr>
          <w:rFonts w:ascii="Calibri" w:eastAsia="+mn-ea" w:hAnsi="Calibri" w:cs="Calibri"/>
          <w:kern w:val="24"/>
        </w:rPr>
      </w:pPr>
      <w:r w:rsidRPr="00A948B1">
        <w:rPr>
          <w:rFonts w:ascii="Calibri" w:eastAsia="+mn-ea" w:hAnsi="Calibri" w:cs="Calibri"/>
          <w:kern w:val="24"/>
        </w:rPr>
        <w:t xml:space="preserve">Synonymes : </w:t>
      </w:r>
      <w:r w:rsidRPr="00A948B1">
        <w:rPr>
          <w:rFonts w:ascii="Calibri" w:eastAsia="+mn-ea" w:hAnsi="Calibri" w:cs="Calibri"/>
          <w:i/>
          <w:iCs/>
          <w:kern w:val="24"/>
          <w:lang w:val="pt-BR"/>
        </w:rPr>
        <w:t xml:space="preserve">Tripolium pannonicum </w:t>
      </w:r>
      <w:r w:rsidRPr="00A948B1">
        <w:rPr>
          <w:rFonts w:ascii="Calibri" w:eastAsia="+mn-ea" w:hAnsi="Calibri" w:cs="Calibri"/>
          <w:kern w:val="24"/>
          <w:lang w:val="pt-BR"/>
        </w:rPr>
        <w:t xml:space="preserve">ou </w:t>
      </w:r>
      <w:r w:rsidRPr="00A948B1">
        <w:rPr>
          <w:rFonts w:ascii="Calibri" w:eastAsia="+mn-ea" w:hAnsi="Calibri" w:cs="Calibri"/>
          <w:i/>
          <w:iCs/>
          <w:kern w:val="24"/>
          <w:lang w:val="pt-BR"/>
        </w:rPr>
        <w:t>Tripolium vulgare</w:t>
      </w:r>
      <w:r>
        <w:rPr>
          <w:rFonts w:ascii="Calibri" w:eastAsia="+mn-ea" w:hAnsi="Calibri" w:cs="Calibri"/>
          <w:kern w:val="24"/>
          <w:lang w:val="pt-BR"/>
        </w:rPr>
        <w:t>. Famille</w:t>
      </w:r>
      <w:r w:rsidRPr="00A948B1">
        <w:rPr>
          <w:rFonts w:ascii="Calibri" w:eastAsia="+mn-ea" w:hAnsi="Calibri" w:cs="Calibri"/>
          <w:kern w:val="24"/>
        </w:rPr>
        <w:t xml:space="preserve"> des </w:t>
      </w:r>
      <w:hyperlink r:id="rId201" w:history="1">
        <w:r w:rsidRPr="006A39AF">
          <w:rPr>
            <w:rFonts w:ascii="Calibri" w:eastAsia="+mn-ea" w:hAnsi="Calibri" w:cs="Calibri"/>
            <w:i/>
            <w:iCs/>
            <w:kern w:val="24"/>
          </w:rPr>
          <w:t>Astéracées</w:t>
        </w:r>
      </w:hyperlink>
      <w:r w:rsidRPr="00A948B1">
        <w:rPr>
          <w:rFonts w:ascii="Calibri" w:eastAsia="+mn-ea" w:hAnsi="Calibri" w:cs="Calibri"/>
          <w:kern w:val="24"/>
        </w:rPr>
        <w:t> ou Composées. C'est une plante à fleur bisannuelle </w:t>
      </w:r>
      <w:hyperlink r:id="rId202" w:history="1">
        <w:r w:rsidRPr="006A39AF">
          <w:rPr>
            <w:rFonts w:ascii="Calibri" w:eastAsia="+mn-ea" w:hAnsi="Calibri" w:cs="Calibri"/>
            <w:i/>
            <w:iCs/>
            <w:kern w:val="24"/>
          </w:rPr>
          <w:t>halophile</w:t>
        </w:r>
      </w:hyperlink>
      <w:r w:rsidRPr="00A948B1">
        <w:rPr>
          <w:rFonts w:ascii="Calibri" w:eastAsia="+mn-ea" w:hAnsi="Calibri" w:cs="Calibri"/>
          <w:kern w:val="24"/>
        </w:rPr>
        <w:t xml:space="preserve"> typique des marais salés de 20 à 60 cm de haut. La plante pousse au bord de la mer, dans </w:t>
      </w:r>
      <w:r w:rsidRPr="00A948B1">
        <w:rPr>
          <w:rFonts w:ascii="Calibri" w:eastAsia="+mn-ea" w:hAnsi="Calibri" w:cs="Calibri"/>
          <w:kern w:val="24"/>
        </w:rPr>
        <w:lastRenderedPageBreak/>
        <w:t>les </w:t>
      </w:r>
      <w:hyperlink r:id="rId203" w:history="1">
        <w:r w:rsidRPr="006A39AF">
          <w:rPr>
            <w:rFonts w:ascii="Calibri" w:eastAsia="+mn-ea" w:hAnsi="Calibri" w:cs="Calibri"/>
            <w:i/>
            <w:iCs/>
            <w:kern w:val="24"/>
          </w:rPr>
          <w:t>marais salants</w:t>
        </w:r>
      </w:hyperlink>
      <w:r w:rsidRPr="00A948B1">
        <w:rPr>
          <w:rFonts w:ascii="Calibri" w:eastAsia="+mn-ea" w:hAnsi="Calibri" w:cs="Calibri"/>
          <w:kern w:val="24"/>
        </w:rPr>
        <w:t xml:space="preserve">. Elle est </w:t>
      </w:r>
      <w:r w:rsidRPr="006A39AF">
        <w:rPr>
          <w:rFonts w:ascii="Calibri" w:eastAsia="+mn-ea" w:hAnsi="Calibri" w:cs="Calibri"/>
          <w:i/>
          <w:iCs/>
          <w:kern w:val="24"/>
        </w:rPr>
        <w:t>comestible</w:t>
      </w:r>
      <w:r w:rsidRPr="00A948B1">
        <w:rPr>
          <w:rFonts w:ascii="Calibri" w:eastAsia="+mn-ea" w:hAnsi="Calibri" w:cs="Calibri"/>
          <w:kern w:val="24"/>
        </w:rPr>
        <w:t xml:space="preserve"> crue ou cuite surtout en période juvénile (taille de la feuille de 5 à 20 mm). Elle se cuisine très facilement et se marie avec toutes viandes et poissons.</w:t>
      </w:r>
    </w:p>
    <w:p w14:paraId="32489EDF" w14:textId="2703AAED" w:rsidR="00B479D8" w:rsidRDefault="00B479D8" w:rsidP="006A39AF">
      <w:pPr>
        <w:spacing w:after="0" w:line="240" w:lineRule="auto"/>
        <w:jc w:val="both"/>
        <w:rPr>
          <w:rFonts w:ascii="Calibri" w:eastAsia="+mn-ea" w:hAnsi="Calibri" w:cs="Calibri"/>
          <w:kern w:val="24"/>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86"/>
        <w:gridCol w:w="3583"/>
        <w:gridCol w:w="2957"/>
      </w:tblGrid>
      <w:tr w:rsidR="00B479D8" w14:paraId="3BD3AFB4" w14:textId="77777777" w:rsidTr="00B479D8">
        <w:tc>
          <w:tcPr>
            <w:tcW w:w="3912" w:type="dxa"/>
          </w:tcPr>
          <w:p w14:paraId="5106245C" w14:textId="50DF3FB7" w:rsidR="00B479D8" w:rsidRDefault="00B479D8" w:rsidP="00B479D8">
            <w:pPr>
              <w:jc w:val="center"/>
              <w:rPr>
                <w:rFonts w:ascii="Calibri" w:eastAsia="+mn-ea" w:hAnsi="Calibri" w:cs="Calibri"/>
                <w:kern w:val="24"/>
              </w:rPr>
            </w:pPr>
            <w:r w:rsidRPr="004D727B">
              <w:rPr>
                <w:noProof/>
              </w:rPr>
              <w:drawing>
                <wp:inline distT="0" distB="0" distL="0" distR="0" wp14:anchorId="1F9C2C05" wp14:editId="61B28B40">
                  <wp:extent cx="2347418" cy="1562100"/>
                  <wp:effectExtent l="0" t="0" r="0" b="0"/>
                  <wp:docPr id="52246"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3"/>
                          <pic:cNvPicPr>
                            <a:picLocks noChangeAspect="1"/>
                          </pic:cNvPicPr>
                        </pic:nvPicPr>
                        <pic:blipFill>
                          <a:blip r:embed="rId204">
                            <a:extLst>
                              <a:ext uri="{28A0092B-C50C-407E-A947-70E740481C1C}">
                                <a14:useLocalDpi xmlns:a14="http://schemas.microsoft.com/office/drawing/2010/main" val="0"/>
                              </a:ext>
                            </a:extLst>
                          </a:blip>
                          <a:stretch>
                            <a:fillRect/>
                          </a:stretch>
                        </pic:blipFill>
                        <pic:spPr>
                          <a:xfrm>
                            <a:off x="0" y="0"/>
                            <a:ext cx="2351905" cy="1565086"/>
                          </a:xfrm>
                          <a:prstGeom prst="rect">
                            <a:avLst/>
                          </a:prstGeom>
                        </pic:spPr>
                      </pic:pic>
                    </a:graphicData>
                  </a:graphic>
                </wp:inline>
              </w:drawing>
            </w:r>
          </w:p>
        </w:tc>
        <w:tc>
          <w:tcPr>
            <w:tcW w:w="3454" w:type="dxa"/>
          </w:tcPr>
          <w:p w14:paraId="73ADCD23" w14:textId="72A5F679" w:rsidR="00B479D8" w:rsidRDefault="00B479D8" w:rsidP="00B479D8">
            <w:pPr>
              <w:jc w:val="center"/>
              <w:rPr>
                <w:rFonts w:ascii="Calibri" w:eastAsia="+mn-ea" w:hAnsi="Calibri" w:cs="Calibri"/>
                <w:kern w:val="24"/>
              </w:rPr>
            </w:pPr>
            <w:r w:rsidRPr="004D727B">
              <w:rPr>
                <w:noProof/>
              </w:rPr>
              <w:drawing>
                <wp:inline distT="0" distB="0" distL="0" distR="0" wp14:anchorId="63ED68B5" wp14:editId="6D6EA996">
                  <wp:extent cx="2149066" cy="1609725"/>
                  <wp:effectExtent l="0" t="0" r="3810" b="0"/>
                  <wp:docPr id="52247"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1"/>
                          <pic:cNvPicPr>
                            <a:picLocks noChangeAspect="1"/>
                          </pic:cNvPicPr>
                        </pic:nvPicPr>
                        <pic:blipFill>
                          <a:blip r:embed="rId205">
                            <a:extLst>
                              <a:ext uri="{28A0092B-C50C-407E-A947-70E740481C1C}">
                                <a14:useLocalDpi xmlns:a14="http://schemas.microsoft.com/office/drawing/2010/main" val="0"/>
                              </a:ext>
                            </a:extLst>
                          </a:blip>
                          <a:stretch>
                            <a:fillRect/>
                          </a:stretch>
                        </pic:blipFill>
                        <pic:spPr>
                          <a:xfrm>
                            <a:off x="0" y="0"/>
                            <a:ext cx="2157395" cy="1615964"/>
                          </a:xfrm>
                          <a:prstGeom prst="rect">
                            <a:avLst/>
                          </a:prstGeom>
                        </pic:spPr>
                      </pic:pic>
                    </a:graphicData>
                  </a:graphic>
                </wp:inline>
              </w:drawing>
            </w:r>
          </w:p>
        </w:tc>
        <w:tc>
          <w:tcPr>
            <w:tcW w:w="3050" w:type="dxa"/>
          </w:tcPr>
          <w:p w14:paraId="6DA3B13F" w14:textId="02A14354" w:rsidR="00B479D8" w:rsidRDefault="00B479D8" w:rsidP="00B479D8">
            <w:pPr>
              <w:jc w:val="center"/>
              <w:rPr>
                <w:rFonts w:ascii="Calibri" w:eastAsia="+mn-ea" w:hAnsi="Calibri" w:cs="Calibri"/>
                <w:kern w:val="24"/>
              </w:rPr>
            </w:pPr>
            <w:r w:rsidRPr="004D727B">
              <w:rPr>
                <w:noProof/>
              </w:rPr>
              <w:drawing>
                <wp:inline distT="0" distB="0" distL="0" distR="0" wp14:anchorId="7FA0AFAC" wp14:editId="52806899">
                  <wp:extent cx="1752600" cy="2600325"/>
                  <wp:effectExtent l="0" t="0" r="0" b="9525"/>
                  <wp:docPr id="13"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2"/>
                          <pic:cNvPicPr>
                            <a:picLocks noChangeAspect="1"/>
                          </pic:cNvPicPr>
                        </pic:nvPicPr>
                        <pic:blipFill>
                          <a:blip r:embed="rId206">
                            <a:extLst>
                              <a:ext uri="{28A0092B-C50C-407E-A947-70E740481C1C}">
                                <a14:useLocalDpi xmlns:a14="http://schemas.microsoft.com/office/drawing/2010/main" val="0"/>
                              </a:ext>
                            </a:extLst>
                          </a:blip>
                          <a:stretch>
                            <a:fillRect/>
                          </a:stretch>
                        </pic:blipFill>
                        <pic:spPr>
                          <a:xfrm>
                            <a:off x="0" y="0"/>
                            <a:ext cx="1752600" cy="2600325"/>
                          </a:xfrm>
                          <a:prstGeom prst="rect">
                            <a:avLst/>
                          </a:prstGeom>
                        </pic:spPr>
                      </pic:pic>
                    </a:graphicData>
                  </a:graphic>
                </wp:inline>
              </w:drawing>
            </w:r>
          </w:p>
        </w:tc>
      </w:tr>
    </w:tbl>
    <w:p w14:paraId="02A3F2FF" w14:textId="77777777" w:rsidR="00740F6C" w:rsidRPr="00B655B6" w:rsidRDefault="00740F6C" w:rsidP="00740F6C">
      <w:pPr>
        <w:spacing w:after="0" w:line="240" w:lineRule="auto"/>
        <w:jc w:val="both"/>
        <w:rPr>
          <w:rFonts w:ascii="Calibri" w:eastAsia="+mn-ea" w:hAnsi="Calibri" w:cs="Calibri"/>
          <w:kern w:val="24"/>
        </w:rPr>
      </w:pPr>
    </w:p>
    <w:p w14:paraId="7849CD2B" w14:textId="49AF5ED8" w:rsidR="00740F6C" w:rsidRPr="00B655B6" w:rsidRDefault="00B655B6" w:rsidP="00B655B6">
      <w:pPr>
        <w:pStyle w:val="Titre3"/>
        <w:rPr>
          <w:rFonts w:eastAsia="+mn-ea"/>
        </w:rPr>
      </w:pPr>
      <w:bookmarkStart w:id="43" w:name="_Toc139181334"/>
      <w:r w:rsidRPr="00B655B6">
        <w:rPr>
          <w:rFonts w:eastAsia="+mn-ea"/>
        </w:rPr>
        <w:t xml:space="preserve">Genres </w:t>
      </w:r>
      <w:r w:rsidRPr="00B655B6">
        <w:rPr>
          <w:rFonts w:eastAsia="+mn-ea"/>
          <w:i/>
          <w:iCs/>
        </w:rPr>
        <w:t>Salicornia</w:t>
      </w:r>
      <w:r w:rsidRPr="00B655B6">
        <w:rPr>
          <w:rFonts w:eastAsia="+mn-ea"/>
        </w:rPr>
        <w:t xml:space="preserve">, </w:t>
      </w:r>
      <w:r w:rsidRPr="00B655B6">
        <w:rPr>
          <w:rFonts w:eastAsia="+mn-ea"/>
          <w:i/>
          <w:iCs/>
        </w:rPr>
        <w:t>Suaeda</w:t>
      </w:r>
      <w:r w:rsidRPr="00B655B6">
        <w:rPr>
          <w:rFonts w:eastAsia="+mn-ea"/>
        </w:rPr>
        <w:t>, palétuviers, autres plantes halophytes</w:t>
      </w:r>
      <w:bookmarkEnd w:id="43"/>
    </w:p>
    <w:p w14:paraId="3543F1F6" w14:textId="77777777" w:rsidR="006A39AF" w:rsidRPr="00B655B6" w:rsidRDefault="006A39AF" w:rsidP="001529BE">
      <w:pPr>
        <w:spacing w:after="0" w:line="240" w:lineRule="auto"/>
        <w:jc w:val="both"/>
        <w:rPr>
          <w:rFonts w:ascii="Calibri" w:hAnsi="Calibri" w:cs="Calibri"/>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86"/>
        <w:gridCol w:w="3376"/>
        <w:gridCol w:w="3264"/>
      </w:tblGrid>
      <w:tr w:rsidR="001529BE" w14:paraId="3C8425F8" w14:textId="77777777" w:rsidTr="00E708A2">
        <w:tc>
          <w:tcPr>
            <w:tcW w:w="3596" w:type="dxa"/>
          </w:tcPr>
          <w:p w14:paraId="08F4515E" w14:textId="77777777" w:rsidR="001529BE" w:rsidRDefault="001529BE" w:rsidP="001529BE">
            <w:pPr>
              <w:jc w:val="center"/>
            </w:pPr>
            <w:r w:rsidRPr="001529BE">
              <w:rPr>
                <w:noProof/>
              </w:rPr>
              <w:drawing>
                <wp:inline distT="0" distB="0" distL="0" distR="0" wp14:anchorId="099CA74D" wp14:editId="193C8D2C">
                  <wp:extent cx="2265462" cy="1685925"/>
                  <wp:effectExtent l="0" t="0" r="1905" b="0"/>
                  <wp:docPr id="21517" name="Image 15" descr="salicor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17" name="Image 15" descr="salicorne.jpg"/>
                          <pic:cNvPicPr>
                            <a:picLocks noChangeAspect="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2270931" cy="1689995"/>
                          </a:xfrm>
                          <a:prstGeom prst="rect">
                            <a:avLst/>
                          </a:prstGeom>
                          <a:noFill/>
                          <a:ln>
                            <a:noFill/>
                          </a:ln>
                        </pic:spPr>
                      </pic:pic>
                    </a:graphicData>
                  </a:graphic>
                </wp:inline>
              </w:drawing>
            </w:r>
          </w:p>
          <w:p w14:paraId="17689F6E" w14:textId="04470A46" w:rsidR="001529BE" w:rsidRPr="001529BE" w:rsidRDefault="001529BE" w:rsidP="001529BE">
            <w:pPr>
              <w:jc w:val="center"/>
            </w:pPr>
            <w:r>
              <w:t>G</w:t>
            </w:r>
            <w:r w:rsidRPr="001529BE">
              <w:t xml:space="preserve">enre </w:t>
            </w:r>
            <w:r w:rsidRPr="001529BE">
              <w:rPr>
                <w:i/>
                <w:iCs/>
              </w:rPr>
              <w:t xml:space="preserve">Salicornia </w:t>
            </w:r>
            <w:r w:rsidRPr="001529BE">
              <w:t>: la salicorne (comestible) (climats tempérés et tropicaux)</w:t>
            </w:r>
          </w:p>
          <w:p w14:paraId="5BDC867B" w14:textId="430098D7" w:rsidR="001529BE" w:rsidRDefault="001529BE" w:rsidP="001529BE">
            <w:pPr>
              <w:jc w:val="center"/>
            </w:pPr>
          </w:p>
        </w:tc>
        <w:tc>
          <w:tcPr>
            <w:tcW w:w="3597" w:type="dxa"/>
          </w:tcPr>
          <w:p w14:paraId="450EF6E2" w14:textId="77777777" w:rsidR="001529BE" w:rsidRDefault="001529BE" w:rsidP="001529BE">
            <w:pPr>
              <w:jc w:val="center"/>
            </w:pPr>
            <w:r w:rsidRPr="001529BE">
              <w:rPr>
                <w:noProof/>
              </w:rPr>
              <w:drawing>
                <wp:inline distT="0" distB="0" distL="0" distR="0" wp14:anchorId="406F9B8B" wp14:editId="182A7D3C">
                  <wp:extent cx="1721643" cy="2295525"/>
                  <wp:effectExtent l="0" t="0" r="0" b="0"/>
                  <wp:docPr id="21516" name="Image 13" descr="paletuvi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16" name="Image 13" descr="paletuvier.jpg"/>
                          <pic:cNvPicPr>
                            <a:picLocks noChangeAspect="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1724935" cy="2299915"/>
                          </a:xfrm>
                          <a:prstGeom prst="rect">
                            <a:avLst/>
                          </a:prstGeom>
                          <a:noFill/>
                          <a:ln>
                            <a:noFill/>
                          </a:ln>
                        </pic:spPr>
                      </pic:pic>
                    </a:graphicData>
                  </a:graphic>
                </wp:inline>
              </w:drawing>
            </w:r>
          </w:p>
          <w:p w14:paraId="241A1934" w14:textId="54EB730B" w:rsidR="001529BE" w:rsidRPr="001529BE" w:rsidRDefault="001529BE" w:rsidP="001529BE">
            <w:pPr>
              <w:jc w:val="center"/>
            </w:pPr>
            <w:r w:rsidRPr="001529BE">
              <w:t>Le</w:t>
            </w:r>
            <w:r>
              <w:t>s</w:t>
            </w:r>
            <w:r w:rsidRPr="001529BE">
              <w:t xml:space="preserve"> palétuvier</w:t>
            </w:r>
            <w:r>
              <w:t>s</w:t>
            </w:r>
            <w:r w:rsidRPr="001529BE">
              <w:t xml:space="preserve"> (climat tropical)</w:t>
            </w:r>
          </w:p>
          <w:p w14:paraId="3620044F" w14:textId="115F0A7A" w:rsidR="001529BE" w:rsidRDefault="001529BE" w:rsidP="001529BE">
            <w:pPr>
              <w:jc w:val="center"/>
            </w:pPr>
            <w:r w:rsidRPr="001529BE">
              <w:t>Au moins 14 espèces.</w:t>
            </w:r>
          </w:p>
        </w:tc>
        <w:tc>
          <w:tcPr>
            <w:tcW w:w="3597" w:type="dxa"/>
          </w:tcPr>
          <w:p w14:paraId="679308EF" w14:textId="77777777" w:rsidR="001529BE" w:rsidRDefault="001529BE" w:rsidP="001529BE">
            <w:pPr>
              <w:jc w:val="center"/>
            </w:pPr>
            <w:r w:rsidRPr="001529BE">
              <w:rPr>
                <w:noProof/>
              </w:rPr>
              <w:drawing>
                <wp:inline distT="0" distB="0" distL="0" distR="0" wp14:anchorId="673C58F0" wp14:editId="74E1BBF3">
                  <wp:extent cx="1496076" cy="1952625"/>
                  <wp:effectExtent l="0" t="0" r="8890" b="0"/>
                  <wp:docPr id="21518" name="Image 16" descr="sou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18" name="Image 16" descr="soude.jpg"/>
                          <pic:cNvPicPr>
                            <a:picLocks noChangeAspect="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498425" cy="1955691"/>
                          </a:xfrm>
                          <a:prstGeom prst="rect">
                            <a:avLst/>
                          </a:prstGeom>
                          <a:noFill/>
                          <a:ln>
                            <a:noFill/>
                          </a:ln>
                        </pic:spPr>
                      </pic:pic>
                    </a:graphicData>
                  </a:graphic>
                </wp:inline>
              </w:drawing>
            </w:r>
          </w:p>
          <w:p w14:paraId="05522C8F" w14:textId="65F77811" w:rsidR="001529BE" w:rsidRDefault="001529BE" w:rsidP="001529BE">
            <w:pPr>
              <w:jc w:val="center"/>
            </w:pPr>
            <w:r w:rsidRPr="001529BE">
              <w:t xml:space="preserve">Le genre </w:t>
            </w:r>
            <w:r w:rsidRPr="001529BE">
              <w:rPr>
                <w:i/>
                <w:iCs/>
              </w:rPr>
              <w:t xml:space="preserve">Suaeda </w:t>
            </w:r>
            <w:r w:rsidRPr="001529BE">
              <w:t xml:space="preserve">: la soude. Exemple : </w:t>
            </w:r>
            <w:hyperlink r:id="rId210" w:history="1">
              <w:r w:rsidRPr="001529BE">
                <w:rPr>
                  <w:rStyle w:val="Lienhypertexte"/>
                  <w:i/>
                  <w:iCs/>
                </w:rPr>
                <w:t>Suaeda</w:t>
              </w:r>
            </w:hyperlink>
            <w:hyperlink r:id="rId211" w:history="1">
              <w:r w:rsidRPr="001529BE">
                <w:rPr>
                  <w:rStyle w:val="Lienhypertexte"/>
                  <w:i/>
                  <w:iCs/>
                </w:rPr>
                <w:t xml:space="preserve"> </w:t>
              </w:r>
            </w:hyperlink>
            <w:hyperlink r:id="rId212" w:history="1">
              <w:r w:rsidRPr="001529BE">
                <w:rPr>
                  <w:rStyle w:val="Lienhypertexte"/>
                  <w:i/>
                  <w:iCs/>
                </w:rPr>
                <w:t>maritima</w:t>
              </w:r>
            </w:hyperlink>
            <w:r w:rsidRPr="001529BE">
              <w:t> (L.) Dumort. - Soude maritime</w:t>
            </w:r>
            <w:r>
              <w:t xml:space="preserve"> </w:t>
            </w:r>
            <w:r w:rsidRPr="001529BE">
              <w:t>(climat tempéré)</w:t>
            </w:r>
          </w:p>
        </w:tc>
      </w:tr>
    </w:tbl>
    <w:p w14:paraId="0F38F8AD" w14:textId="77777777" w:rsidR="001529BE" w:rsidRDefault="001529BE" w:rsidP="00B479D8">
      <w:pPr>
        <w:spacing w:after="0" w:line="240" w:lineRule="auto"/>
      </w:pPr>
    </w:p>
    <w:tbl>
      <w:tblPr>
        <w:tblStyle w:val="Grilledutableau"/>
        <w:tblW w:w="10348" w:type="dxa"/>
        <w:tblLayout w:type="fixed"/>
        <w:tblLook w:val="04A0" w:firstRow="1" w:lastRow="0" w:firstColumn="1" w:lastColumn="0" w:noHBand="0" w:noVBand="1"/>
      </w:tblPr>
      <w:tblGrid>
        <w:gridCol w:w="3596"/>
        <w:gridCol w:w="1799"/>
        <w:gridCol w:w="1798"/>
        <w:gridCol w:w="3155"/>
      </w:tblGrid>
      <w:tr w:rsidR="001529BE" w14:paraId="2BB1C9D0" w14:textId="77777777" w:rsidTr="00E61AE2">
        <w:tc>
          <w:tcPr>
            <w:tcW w:w="5395" w:type="dxa"/>
            <w:gridSpan w:val="2"/>
            <w:tcBorders>
              <w:top w:val="nil"/>
              <w:left w:val="nil"/>
              <w:bottom w:val="nil"/>
              <w:right w:val="nil"/>
            </w:tcBorders>
          </w:tcPr>
          <w:p w14:paraId="04D71550" w14:textId="77777777" w:rsidR="001529BE" w:rsidRDefault="001529BE" w:rsidP="001529BE">
            <w:pPr>
              <w:jc w:val="center"/>
            </w:pPr>
            <w:r w:rsidRPr="001529BE">
              <w:rPr>
                <w:noProof/>
              </w:rPr>
              <w:drawing>
                <wp:inline distT="0" distB="0" distL="0" distR="0" wp14:anchorId="4CAFA8BD" wp14:editId="22E9DDC7">
                  <wp:extent cx="2333625" cy="1747966"/>
                  <wp:effectExtent l="0" t="0" r="0" b="5080"/>
                  <wp:docPr id="21519" name="Image 18" descr="Cakile mariti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19" name="Image 18" descr="Cakile maritima.jpg"/>
                          <pic:cNvPicPr>
                            <a:picLocks noChangeAspect="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2336797" cy="1750342"/>
                          </a:xfrm>
                          <a:prstGeom prst="rect">
                            <a:avLst/>
                          </a:prstGeom>
                          <a:noFill/>
                          <a:ln>
                            <a:noFill/>
                          </a:ln>
                        </pic:spPr>
                      </pic:pic>
                    </a:graphicData>
                  </a:graphic>
                </wp:inline>
              </w:drawing>
            </w:r>
          </w:p>
          <w:p w14:paraId="43665096" w14:textId="3183E907" w:rsidR="001529BE" w:rsidRDefault="001529BE" w:rsidP="001529BE">
            <w:pPr>
              <w:jc w:val="center"/>
            </w:pPr>
            <w:r w:rsidRPr="001529BE">
              <w:rPr>
                <w:i/>
                <w:iCs/>
              </w:rPr>
              <w:lastRenderedPageBreak/>
              <w:t xml:space="preserve">Cakile maritima </w:t>
            </w:r>
            <w:r w:rsidRPr="001529BE">
              <w:t>: cakilier maritime ou Roquette de mer</w:t>
            </w:r>
            <w:r w:rsidR="006A39AF">
              <w:t>.</w:t>
            </w:r>
            <w:r w:rsidRPr="001529BE">
              <w:t xml:space="preserve"> </w:t>
            </w:r>
            <w:r w:rsidR="006A39AF">
              <w:t>C</w:t>
            </w:r>
            <w:r w:rsidRPr="001529BE">
              <w:t>limat tempéré et méditerranéen</w:t>
            </w:r>
            <w:r w:rsidR="006A39AF">
              <w:t>.</w:t>
            </w:r>
            <w:r w:rsidRPr="001529BE">
              <w:t xml:space="preserve"> </w:t>
            </w:r>
            <w:r w:rsidR="006A39AF">
              <w:t>C</w:t>
            </w:r>
            <w:r w:rsidRPr="001529BE">
              <w:t xml:space="preserve">omestible. Source : </w:t>
            </w:r>
            <w:hyperlink r:id="rId214" w:history="1">
              <w:r w:rsidRPr="001529BE">
                <w:rPr>
                  <w:rStyle w:val="Lienhypertexte"/>
                </w:rPr>
                <w:t>http://fr.wikipedia.org/wiki/Roquette_de_mer</w:t>
              </w:r>
            </w:hyperlink>
            <w:r w:rsidRPr="001529BE">
              <w:t xml:space="preserve"> </w:t>
            </w:r>
          </w:p>
          <w:p w14:paraId="68BB7249" w14:textId="00EDF1EA" w:rsidR="00E708A2" w:rsidRDefault="00E708A2" w:rsidP="001529BE">
            <w:pPr>
              <w:jc w:val="center"/>
            </w:pPr>
          </w:p>
        </w:tc>
        <w:tc>
          <w:tcPr>
            <w:tcW w:w="4953" w:type="dxa"/>
            <w:gridSpan w:val="2"/>
            <w:tcBorders>
              <w:top w:val="nil"/>
              <w:left w:val="nil"/>
              <w:bottom w:val="nil"/>
              <w:right w:val="nil"/>
            </w:tcBorders>
          </w:tcPr>
          <w:p w14:paraId="3628E0F8" w14:textId="77777777" w:rsidR="001529BE" w:rsidRDefault="001529BE" w:rsidP="001529BE">
            <w:pPr>
              <w:jc w:val="center"/>
            </w:pPr>
            <w:r w:rsidRPr="001529BE">
              <w:rPr>
                <w:noProof/>
              </w:rPr>
              <w:lastRenderedPageBreak/>
              <w:drawing>
                <wp:inline distT="0" distB="0" distL="0" distR="0" wp14:anchorId="15BC1ECE" wp14:editId="6CF68040">
                  <wp:extent cx="1309687" cy="1747838"/>
                  <wp:effectExtent l="0" t="0" r="5080" b="5080"/>
                  <wp:docPr id="21520" name="Image 19" descr="Spartina mariti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20" name="Image 19" descr="Spartina maritima.jpg"/>
                          <pic:cNvPicPr>
                            <a:picLocks noChangeAspect="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1309687" cy="1747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6A29935" w14:textId="77777777" w:rsidR="001529BE" w:rsidRPr="001529BE" w:rsidRDefault="001529BE" w:rsidP="001529BE">
            <w:pPr>
              <w:jc w:val="center"/>
            </w:pPr>
            <w:r w:rsidRPr="001529BE">
              <w:rPr>
                <w:i/>
                <w:iCs/>
                <w:lang w:val="la-Latn"/>
              </w:rPr>
              <w:t>↑</w:t>
            </w:r>
            <w:r w:rsidRPr="001529BE">
              <w:rPr>
                <w:i/>
                <w:iCs/>
              </w:rPr>
              <w:t xml:space="preserve"> </w:t>
            </w:r>
            <w:r w:rsidRPr="001529BE">
              <w:rPr>
                <w:i/>
                <w:iCs/>
                <w:lang w:val="la-Latn"/>
              </w:rPr>
              <w:t>Spartina maritima</w:t>
            </w:r>
            <w:r w:rsidRPr="001529BE">
              <w:t>.  Elle contribue à fixer la vase.</w:t>
            </w:r>
          </w:p>
          <w:p w14:paraId="66DC6509" w14:textId="77777777" w:rsidR="001529BE" w:rsidRPr="001529BE" w:rsidRDefault="001529BE" w:rsidP="001529BE">
            <w:pPr>
              <w:jc w:val="center"/>
            </w:pPr>
            <w:r w:rsidRPr="001529BE">
              <w:lastRenderedPageBreak/>
              <w:t xml:space="preserve">Source : </w:t>
            </w:r>
            <w:hyperlink r:id="rId216" w:history="1">
              <w:r w:rsidRPr="001529BE">
                <w:rPr>
                  <w:rStyle w:val="Lienhypertexte"/>
                </w:rPr>
                <w:t>http://fr.wikipedia.org/wiki/Spartina_maritima</w:t>
              </w:r>
            </w:hyperlink>
            <w:r w:rsidRPr="001529BE">
              <w:t xml:space="preserve"> </w:t>
            </w:r>
          </w:p>
          <w:p w14:paraId="7A1C533A" w14:textId="1733FF2F" w:rsidR="001529BE" w:rsidRDefault="006A39AF" w:rsidP="001529BE">
            <w:pPr>
              <w:jc w:val="center"/>
            </w:pPr>
            <w:r w:rsidRPr="001529BE">
              <w:t>Genre</w:t>
            </w:r>
            <w:r w:rsidR="001529BE" w:rsidRPr="001529BE">
              <w:t xml:space="preserve"> </w:t>
            </w:r>
            <w:r w:rsidR="001529BE" w:rsidRPr="001529BE">
              <w:rPr>
                <w:i/>
                <w:iCs/>
              </w:rPr>
              <w:t xml:space="preserve">Spartina </w:t>
            </w:r>
            <w:r w:rsidR="001529BE" w:rsidRPr="001529BE">
              <w:t>: les spartines (climat tempéré)</w:t>
            </w:r>
            <w:r w:rsidR="001529BE">
              <w:t>.</w:t>
            </w:r>
          </w:p>
        </w:tc>
      </w:tr>
      <w:tr w:rsidR="00E708A2" w14:paraId="70D1071C" w14:textId="77777777" w:rsidTr="00E61AE2">
        <w:tc>
          <w:tcPr>
            <w:tcW w:w="3596" w:type="dxa"/>
            <w:tcBorders>
              <w:top w:val="nil"/>
              <w:left w:val="nil"/>
              <w:bottom w:val="nil"/>
              <w:right w:val="nil"/>
            </w:tcBorders>
          </w:tcPr>
          <w:p w14:paraId="60DF9186" w14:textId="77777777" w:rsidR="001529BE" w:rsidRDefault="001529BE" w:rsidP="001529BE">
            <w:pPr>
              <w:jc w:val="center"/>
            </w:pPr>
            <w:r w:rsidRPr="001529BE">
              <w:rPr>
                <w:noProof/>
              </w:rPr>
              <w:lastRenderedPageBreak/>
              <w:drawing>
                <wp:inline distT="0" distB="0" distL="0" distR="0" wp14:anchorId="5EA439B9" wp14:editId="5D4754A2">
                  <wp:extent cx="2324100" cy="1962150"/>
                  <wp:effectExtent l="0" t="0" r="0" b="0"/>
                  <wp:docPr id="22536" name="Image 7" descr="Craterostigma plantagine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6" name="Image 7" descr="Craterostigma plantagineum.jpg"/>
                          <pic:cNvPicPr>
                            <a:picLocks noChangeAspect="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2324100" cy="1962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CEE7CB7" w14:textId="77777777" w:rsidR="001529BE" w:rsidRPr="001529BE" w:rsidRDefault="001529BE" w:rsidP="001529BE">
            <w:pPr>
              <w:jc w:val="center"/>
            </w:pPr>
            <w:r w:rsidRPr="001529BE">
              <w:t>Plante de la résurrection</w:t>
            </w:r>
          </w:p>
          <w:p w14:paraId="71D256AE" w14:textId="4EA54E10" w:rsidR="00B655B6" w:rsidRDefault="001529BE" w:rsidP="00B479D8">
            <w:pPr>
              <w:jc w:val="center"/>
            </w:pPr>
            <w:r w:rsidRPr="001529BE">
              <w:rPr>
                <w:i/>
                <w:iCs/>
              </w:rPr>
              <w:t>Craterostigma plantagineum</w:t>
            </w:r>
            <w:r w:rsidR="000B73C7">
              <w:rPr>
                <w:i/>
                <w:iCs/>
              </w:rPr>
              <w:t>,</w:t>
            </w:r>
            <w:r w:rsidR="000B73C7">
              <w:t xml:space="preserve"> </w:t>
            </w:r>
            <w:r w:rsidRPr="001529BE">
              <w:t xml:space="preserve">plante reviviscente. Source : </w:t>
            </w:r>
            <w:hyperlink r:id="rId218" w:history="1">
              <w:r w:rsidRPr="001529BE">
                <w:rPr>
                  <w:rStyle w:val="Lienhypertexte"/>
                </w:rPr>
                <w:t>http://www.zimbabweflora.co.zw/speciesdata/species.php?species_id=151360</w:t>
              </w:r>
            </w:hyperlink>
            <w:r w:rsidRPr="001529BE">
              <w:t xml:space="preserve"> </w:t>
            </w:r>
          </w:p>
        </w:tc>
        <w:tc>
          <w:tcPr>
            <w:tcW w:w="3597" w:type="dxa"/>
            <w:gridSpan w:val="2"/>
            <w:tcBorders>
              <w:top w:val="nil"/>
              <w:left w:val="nil"/>
              <w:bottom w:val="nil"/>
              <w:right w:val="nil"/>
            </w:tcBorders>
          </w:tcPr>
          <w:p w14:paraId="0F936229" w14:textId="77777777" w:rsidR="001529BE" w:rsidRDefault="001529BE" w:rsidP="007D46EC">
            <w:pPr>
              <w:jc w:val="center"/>
            </w:pPr>
            <w:r w:rsidRPr="001529BE">
              <w:rPr>
                <w:noProof/>
              </w:rPr>
              <w:drawing>
                <wp:inline distT="0" distB="0" distL="0" distR="0" wp14:anchorId="5B320C6F" wp14:editId="7E40F054">
                  <wp:extent cx="1930628" cy="1905000"/>
                  <wp:effectExtent l="0" t="0" r="0" b="0"/>
                  <wp:docPr id="22537" name="Image 8" descr="Xerophyta visco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7" name="Image 8" descr="Xerophyta viscosa.jpg"/>
                          <pic:cNvPicPr>
                            <a:picLocks noChangeAspect="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1932368" cy="1906717"/>
                          </a:xfrm>
                          <a:prstGeom prst="rect">
                            <a:avLst/>
                          </a:prstGeom>
                          <a:noFill/>
                          <a:ln>
                            <a:noFill/>
                          </a:ln>
                        </pic:spPr>
                      </pic:pic>
                    </a:graphicData>
                  </a:graphic>
                </wp:inline>
              </w:drawing>
            </w:r>
          </w:p>
          <w:p w14:paraId="1441B41C" w14:textId="77777777" w:rsidR="001529BE" w:rsidRPr="001529BE" w:rsidRDefault="001529BE" w:rsidP="001529BE">
            <w:pPr>
              <w:jc w:val="center"/>
            </w:pPr>
            <w:r w:rsidRPr="001529BE">
              <w:rPr>
                <w:i/>
                <w:iCs/>
              </w:rPr>
              <w:t>Xerophyta viscosa</w:t>
            </w:r>
            <w:r w:rsidRPr="001529BE">
              <w:t xml:space="preserve">. Certaines espèces de ce genre sont des plantes </w:t>
            </w:r>
            <w:r w:rsidRPr="006A39AF">
              <w:rPr>
                <w:i/>
                <w:iCs/>
              </w:rPr>
              <w:t>poikilochlorophylles</w:t>
            </w:r>
            <w:r w:rsidRPr="001529BE">
              <w:t xml:space="preserve"> et tolèrent la dessiccation. </w:t>
            </w:r>
          </w:p>
          <w:p w14:paraId="30FC0DCB" w14:textId="0095D830" w:rsidR="001529BE" w:rsidRDefault="001529BE" w:rsidP="007D46EC">
            <w:pPr>
              <w:jc w:val="center"/>
            </w:pPr>
          </w:p>
        </w:tc>
        <w:tc>
          <w:tcPr>
            <w:tcW w:w="3155" w:type="dxa"/>
            <w:tcBorders>
              <w:top w:val="nil"/>
              <w:left w:val="nil"/>
              <w:bottom w:val="nil"/>
              <w:right w:val="nil"/>
            </w:tcBorders>
          </w:tcPr>
          <w:p w14:paraId="0FEAFFE6" w14:textId="77777777" w:rsidR="001529BE" w:rsidRDefault="001529BE" w:rsidP="007D46EC">
            <w:pPr>
              <w:jc w:val="center"/>
            </w:pPr>
            <w:r w:rsidRPr="001529BE">
              <w:rPr>
                <w:noProof/>
              </w:rPr>
              <w:drawing>
                <wp:inline distT="0" distB="0" distL="0" distR="0" wp14:anchorId="6B59E9D5" wp14:editId="5647E277">
                  <wp:extent cx="1338884" cy="2019300"/>
                  <wp:effectExtent l="0" t="0" r="0" b="0"/>
                  <wp:docPr id="22539" name="Image 10" descr="Xerophyta_retinervis b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9" name="Image 10" descr="Xerophyta_retinervis bis.jpg"/>
                          <pic:cNvPicPr>
                            <a:picLocks noChangeAspect="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342895" cy="2025349"/>
                          </a:xfrm>
                          <a:prstGeom prst="rect">
                            <a:avLst/>
                          </a:prstGeom>
                          <a:noFill/>
                          <a:ln>
                            <a:noFill/>
                          </a:ln>
                        </pic:spPr>
                      </pic:pic>
                    </a:graphicData>
                  </a:graphic>
                </wp:inline>
              </w:drawing>
            </w:r>
          </w:p>
          <w:p w14:paraId="3942213C" w14:textId="77777777" w:rsidR="001529BE" w:rsidRPr="001529BE" w:rsidRDefault="001529BE" w:rsidP="001529BE">
            <w:pPr>
              <w:jc w:val="center"/>
            </w:pPr>
            <w:r w:rsidRPr="001529BE">
              <w:rPr>
                <w:i/>
                <w:iCs/>
              </w:rPr>
              <w:t xml:space="preserve">Xerophyta_retinervis. </w:t>
            </w:r>
            <w:r w:rsidRPr="001529BE">
              <w:t xml:space="preserve">Source : </w:t>
            </w:r>
            <w:hyperlink r:id="rId221" w:history="1">
              <w:r w:rsidRPr="001529BE">
                <w:rPr>
                  <w:rStyle w:val="Lienhypertexte"/>
                </w:rPr>
                <w:t>http://en.wikipedia.org/wiki/Xerophyta_retinervis</w:t>
              </w:r>
            </w:hyperlink>
            <w:r w:rsidRPr="001529BE">
              <w:t xml:space="preserve"> </w:t>
            </w:r>
          </w:p>
          <w:p w14:paraId="2350E0E9" w14:textId="286A4522" w:rsidR="001529BE" w:rsidRDefault="001529BE" w:rsidP="007D46EC">
            <w:pPr>
              <w:jc w:val="center"/>
            </w:pPr>
          </w:p>
        </w:tc>
      </w:tr>
    </w:tbl>
    <w:p w14:paraId="04B4DBEC" w14:textId="335F1AFD" w:rsidR="00E708A2" w:rsidRDefault="00E708A2" w:rsidP="00E708A2">
      <w:pPr>
        <w:spacing w:after="0" w:line="240" w:lineRule="auto"/>
      </w:pPr>
    </w:p>
    <w:tbl>
      <w:tblPr>
        <w:tblStyle w:val="Grilledutableau"/>
        <w:tblW w:w="0" w:type="auto"/>
        <w:tblLayout w:type="fixed"/>
        <w:tblLook w:val="04A0" w:firstRow="1" w:lastRow="0" w:firstColumn="1" w:lastColumn="0" w:noHBand="0" w:noVBand="1"/>
      </w:tblPr>
      <w:tblGrid>
        <w:gridCol w:w="5395"/>
        <w:gridCol w:w="4953"/>
      </w:tblGrid>
      <w:tr w:rsidR="00B479D8" w14:paraId="4367A92C" w14:textId="77777777" w:rsidTr="00E461C6">
        <w:tc>
          <w:tcPr>
            <w:tcW w:w="5395" w:type="dxa"/>
            <w:tcBorders>
              <w:top w:val="nil"/>
              <w:left w:val="nil"/>
              <w:bottom w:val="nil"/>
              <w:right w:val="nil"/>
            </w:tcBorders>
          </w:tcPr>
          <w:p w14:paraId="777837C6" w14:textId="77777777" w:rsidR="00B479D8" w:rsidRDefault="00B479D8" w:rsidP="003D7963">
            <w:pPr>
              <w:jc w:val="center"/>
            </w:pPr>
            <w:r w:rsidRPr="001529BE">
              <w:rPr>
                <w:noProof/>
              </w:rPr>
              <w:drawing>
                <wp:inline distT="0" distB="0" distL="0" distR="0" wp14:anchorId="7AD1E582" wp14:editId="615E94FA">
                  <wp:extent cx="2619375" cy="1743075"/>
                  <wp:effectExtent l="0" t="0" r="9525" b="9525"/>
                  <wp:docPr id="22544" name="Image 15" descr="Anastatica hierochunt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44" name="Image 15" descr="Anastatica hierochuntica.jpg"/>
                          <pic:cNvPicPr>
                            <a:picLocks noChangeAspect="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1529BE">
              <w:t xml:space="preserve"> </w:t>
            </w:r>
          </w:p>
          <w:p w14:paraId="5A009213" w14:textId="77777777" w:rsidR="00B479D8" w:rsidRDefault="00B479D8" w:rsidP="003D7963">
            <w:pPr>
              <w:jc w:val="center"/>
            </w:pPr>
            <w:r w:rsidRPr="001529BE">
              <w:t>Anastatique (</w:t>
            </w:r>
            <w:r w:rsidRPr="001529BE">
              <w:rPr>
                <w:i/>
                <w:iCs/>
              </w:rPr>
              <w:t>Anastatica hierochuntica</w:t>
            </w:r>
            <w:r w:rsidRPr="001529BE">
              <w:t>) ou </w:t>
            </w:r>
            <w:hyperlink r:id="rId223" w:history="1">
              <w:r w:rsidRPr="001529BE">
                <w:rPr>
                  <w:rStyle w:val="Lienhypertexte"/>
                </w:rPr>
                <w:t>Rose de Jéricho</w:t>
              </w:r>
            </w:hyperlink>
            <w:r>
              <w:t xml:space="preserve">. </w:t>
            </w:r>
            <w:r w:rsidRPr="001529BE">
              <w:t xml:space="preserve">Source : </w:t>
            </w:r>
            <w:hyperlink r:id="rId224" w:history="1">
              <w:r w:rsidRPr="001529BE">
                <w:rPr>
                  <w:rStyle w:val="Lienhypertexte"/>
                </w:rPr>
                <w:t>http://fr.wikipedia.org/wiki/Anastatica_hierochuntica</w:t>
              </w:r>
            </w:hyperlink>
            <w:r w:rsidRPr="001529BE">
              <w:t xml:space="preserve"> </w:t>
            </w:r>
          </w:p>
        </w:tc>
        <w:tc>
          <w:tcPr>
            <w:tcW w:w="4953" w:type="dxa"/>
            <w:tcBorders>
              <w:top w:val="nil"/>
              <w:left w:val="nil"/>
              <w:bottom w:val="nil"/>
              <w:right w:val="nil"/>
            </w:tcBorders>
          </w:tcPr>
          <w:p w14:paraId="62F0D983" w14:textId="77777777" w:rsidR="00B479D8" w:rsidRDefault="00B479D8" w:rsidP="003D7963">
            <w:pPr>
              <w:jc w:val="center"/>
            </w:pPr>
            <w:r w:rsidRPr="001529BE">
              <w:rPr>
                <w:noProof/>
              </w:rPr>
              <w:drawing>
                <wp:inline distT="0" distB="0" distL="0" distR="0" wp14:anchorId="04861244" wp14:editId="26776D35">
                  <wp:extent cx="2466975" cy="1847850"/>
                  <wp:effectExtent l="0" t="0" r="9525" b="0"/>
                  <wp:docPr id="22542" name="Image 13" descr="Selaginella_lepidophyl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42" name="Image 13" descr="Selaginella_lepidophylla.jpg"/>
                          <pic:cNvPicPr>
                            <a:picLocks noChangeAspect="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3191DA12" w14:textId="24CB2378" w:rsidR="00B479D8" w:rsidRDefault="00B479D8" w:rsidP="00E461C6">
            <w:pPr>
              <w:jc w:val="both"/>
            </w:pPr>
            <w:r w:rsidRPr="00E461C6">
              <w:rPr>
                <w:i/>
                <w:iCs/>
              </w:rPr>
              <w:t>Plante de la résurrection</w:t>
            </w:r>
            <w:r w:rsidRPr="001529BE">
              <w:t xml:space="preserve"> ou </w:t>
            </w:r>
            <w:r w:rsidRPr="00E461C6">
              <w:rPr>
                <w:i/>
                <w:iCs/>
              </w:rPr>
              <w:t>fleur de rocher</w:t>
            </w:r>
            <w:r w:rsidRPr="001529BE">
              <w:t>, sélaginelle (</w:t>
            </w:r>
            <w:r w:rsidRPr="001529BE">
              <w:rPr>
                <w:i/>
                <w:iCs/>
              </w:rPr>
              <w:t>Selaginella lepidophylla</w:t>
            </w:r>
            <w:r w:rsidRPr="001529BE">
              <w:t>). Plante douée de la capacité de </w:t>
            </w:r>
            <w:hyperlink r:id="rId226" w:history="1">
              <w:r w:rsidRPr="001529BE">
                <w:rPr>
                  <w:rStyle w:val="Lienhypertexte"/>
                </w:rPr>
                <w:t>reviviscence</w:t>
              </w:r>
            </w:hyperlink>
            <w:r w:rsidRPr="001529BE">
              <w:t xml:space="preserve">. </w:t>
            </w:r>
            <w:r w:rsidR="00E461C6">
              <w:t>Elle</w:t>
            </w:r>
            <w:r w:rsidRPr="001529BE">
              <w:t xml:space="preserve"> lui permet dans son milieu naturel de reprendre sa croissance en se réhydratant après une longue période de sécheresse ↑</w:t>
            </w:r>
            <w:r w:rsidR="00E461C6">
              <w:t xml:space="preserve"> </w:t>
            </w:r>
            <w:r w:rsidRPr="001529BE">
              <w:t xml:space="preserve">Source : </w:t>
            </w:r>
            <w:hyperlink r:id="rId227" w:history="1">
              <w:r w:rsidRPr="001529BE">
                <w:rPr>
                  <w:rStyle w:val="Lienhypertexte"/>
                </w:rPr>
                <w:t>http://fr.wikipedia.org/wiki/Selaginella_lepidophylla</w:t>
              </w:r>
            </w:hyperlink>
          </w:p>
        </w:tc>
      </w:tr>
    </w:tbl>
    <w:p w14:paraId="629B361F" w14:textId="7F57B238" w:rsidR="00B479D8" w:rsidRDefault="00B479D8" w:rsidP="00E708A2">
      <w:pPr>
        <w:spacing w:after="0" w:line="240" w:lineRule="auto"/>
      </w:pPr>
    </w:p>
    <w:p w14:paraId="625D0E65" w14:textId="77777777" w:rsidR="00B479D8" w:rsidRDefault="00B479D8">
      <w:r>
        <w:br w:type="page"/>
      </w:r>
    </w:p>
    <w:p w14:paraId="3F1763AD" w14:textId="77777777" w:rsidR="00B479D8" w:rsidRDefault="00B479D8" w:rsidP="00E708A2">
      <w:pPr>
        <w:spacing w:after="0" w:line="240" w:lineRule="auto"/>
      </w:pPr>
    </w:p>
    <w:p w14:paraId="56BD60E6" w14:textId="66BDFC24" w:rsidR="00740F6C" w:rsidRDefault="00740F6C" w:rsidP="00740F6C">
      <w:pPr>
        <w:pStyle w:val="Titre1"/>
      </w:pPr>
      <w:bookmarkStart w:id="44" w:name="_Toc139181335"/>
      <w:r>
        <w:t>A</w:t>
      </w:r>
      <w:r w:rsidRPr="00E708A2">
        <w:t>rbres</w:t>
      </w:r>
      <w:r w:rsidR="00640199">
        <w:t xml:space="preserve"> et arbustes</w:t>
      </w:r>
      <w:r w:rsidRPr="00E708A2">
        <w:t xml:space="preserve"> fruitiers résistants au sel et</w:t>
      </w:r>
      <w:r w:rsidR="00BA5A7C">
        <w:t>/ou</w:t>
      </w:r>
      <w:r w:rsidRPr="00E708A2">
        <w:t xml:space="preserve"> à l’aridité</w:t>
      </w:r>
      <w:bookmarkEnd w:id="44"/>
    </w:p>
    <w:p w14:paraId="4EEF8B3C" w14:textId="77777777" w:rsidR="00740F6C" w:rsidRDefault="00740F6C" w:rsidP="00E708A2">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63"/>
        <w:gridCol w:w="5063"/>
      </w:tblGrid>
      <w:tr w:rsidR="008C2F1A" w14:paraId="58C49076" w14:textId="77777777" w:rsidTr="00640199">
        <w:tc>
          <w:tcPr>
            <w:tcW w:w="5395" w:type="dxa"/>
          </w:tcPr>
          <w:p w14:paraId="2559AA2B" w14:textId="77777777" w:rsidR="008C2F1A" w:rsidRDefault="008C2F1A" w:rsidP="008C2F1A">
            <w:pPr>
              <w:jc w:val="center"/>
            </w:pPr>
            <w:r w:rsidRPr="008C2F1A">
              <w:rPr>
                <w:noProof/>
              </w:rPr>
              <w:drawing>
                <wp:inline distT="0" distB="0" distL="0" distR="0" wp14:anchorId="12B2A1B7" wp14:editId="69F2B621">
                  <wp:extent cx="3209925" cy="2281238"/>
                  <wp:effectExtent l="0" t="0" r="0" b="5080"/>
                  <wp:docPr id="23559" name="Image 6" descr="Ceratonia siliqu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9" name="Image 6" descr="Ceratonia siliqua5.jpg"/>
                          <pic:cNvPicPr>
                            <a:picLocks noChangeAspect="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209925" cy="22812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BB493B2" w14:textId="25EA50F0" w:rsidR="008C2F1A" w:rsidRDefault="008C2F1A" w:rsidP="008C2F1A">
            <w:pPr>
              <w:jc w:val="center"/>
            </w:pPr>
            <w:r w:rsidRPr="008C2F1A">
              <w:t>Caroubier (</w:t>
            </w:r>
            <w:r w:rsidRPr="008C2F1A">
              <w:rPr>
                <w:i/>
                <w:iCs/>
              </w:rPr>
              <w:t>Ceratonia siliqua</w:t>
            </w:r>
            <w:r w:rsidRPr="008C2F1A">
              <w:t xml:space="preserve">). Sud-ouest du Maroc. Source : </w:t>
            </w:r>
            <w:hyperlink r:id="rId229" w:history="1">
              <w:r w:rsidRPr="008C2F1A">
                <w:rPr>
                  <w:rStyle w:val="Lienhypertexte"/>
                </w:rPr>
                <w:t>http://www.teline.fr/fre/Photographies/Toutes-les-familles/Fabaceae/Ceratonia-siliqua</w:t>
              </w:r>
            </w:hyperlink>
            <w:r w:rsidRPr="008C2F1A">
              <w:t xml:space="preserve"> </w:t>
            </w:r>
          </w:p>
        </w:tc>
        <w:tc>
          <w:tcPr>
            <w:tcW w:w="5395" w:type="dxa"/>
          </w:tcPr>
          <w:p w14:paraId="2E19DEA2" w14:textId="77777777" w:rsidR="008C2F1A" w:rsidRDefault="008C2F1A" w:rsidP="008C2F1A">
            <w:pPr>
              <w:jc w:val="center"/>
            </w:pPr>
            <w:r w:rsidRPr="008C2F1A">
              <w:rPr>
                <w:noProof/>
              </w:rPr>
              <w:drawing>
                <wp:inline distT="0" distB="0" distL="0" distR="0" wp14:anchorId="135BF5B2" wp14:editId="05565A7B">
                  <wp:extent cx="2080260" cy="1428750"/>
                  <wp:effectExtent l="0" t="0" r="0" b="0"/>
                  <wp:docPr id="23561" name="Image 8" descr="Yucca_brevifolia_seeds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61" name="Image 8" descr="Yucca_brevifolia_seeds_s.jpg"/>
                          <pic:cNvPicPr>
                            <a:picLocks noChangeAspect="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2081228" cy="1429415"/>
                          </a:xfrm>
                          <a:prstGeom prst="rect">
                            <a:avLst/>
                          </a:prstGeom>
                          <a:noFill/>
                          <a:ln>
                            <a:noFill/>
                          </a:ln>
                        </pic:spPr>
                      </pic:pic>
                    </a:graphicData>
                  </a:graphic>
                </wp:inline>
              </w:drawing>
            </w:r>
          </w:p>
          <w:p w14:paraId="2C9A1BFB" w14:textId="77777777" w:rsidR="008C2F1A" w:rsidRDefault="008C2F1A" w:rsidP="008C2F1A">
            <w:pPr>
              <w:jc w:val="center"/>
            </w:pPr>
            <w:r w:rsidRPr="008C2F1A">
              <w:t>Graines d’arbre de Josué (</w:t>
            </w:r>
            <w:r w:rsidRPr="008C2F1A">
              <w:rPr>
                <w:i/>
                <w:iCs/>
              </w:rPr>
              <w:t>Yucca brevifolia</w:t>
            </w:r>
            <w:r w:rsidRPr="008C2F1A">
              <w:t>)</w:t>
            </w:r>
          </w:p>
          <w:p w14:paraId="6A31C364" w14:textId="77777777" w:rsidR="00640199" w:rsidRDefault="00640199" w:rsidP="008C2F1A">
            <w:pPr>
              <w:jc w:val="cente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9"/>
              <w:gridCol w:w="2409"/>
            </w:tblGrid>
            <w:tr w:rsidR="00640199" w14:paraId="27398BBF" w14:textId="77777777" w:rsidTr="00640199">
              <w:tc>
                <w:tcPr>
                  <w:tcW w:w="2409" w:type="dxa"/>
                </w:tcPr>
                <w:p w14:paraId="00473CDC" w14:textId="77777777" w:rsidR="00640199" w:rsidRDefault="00640199" w:rsidP="00640199">
                  <w:pPr>
                    <w:jc w:val="center"/>
                    <w:rPr>
                      <w:noProof/>
                    </w:rPr>
                  </w:pPr>
                  <w:r w:rsidRPr="00640199">
                    <w:rPr>
                      <w:noProof/>
                    </w:rPr>
                    <w:drawing>
                      <wp:inline distT="0" distB="0" distL="0" distR="0" wp14:anchorId="6F8A777F" wp14:editId="2E173315">
                        <wp:extent cx="1228725" cy="771525"/>
                        <wp:effectExtent l="0" t="0" r="9525" b="9525"/>
                        <wp:docPr id="115736" name="Image 39" descr="Une image contenant raisin, frui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36" name="Image 39" descr="Une image contenant raisin, fruit&#10;&#10;Description générée automatiquement"/>
                                <pic:cNvPicPr>
                                  <a:picLocks noChangeAspect="1"/>
                                </pic:cNvPicPr>
                              </pic:nvPicPr>
                              <pic:blipFill>
                                <a:blip r:embed="rId231">
                                  <a:extLst>
                                    <a:ext uri="{28A0092B-C50C-407E-A947-70E740481C1C}">
                                      <a14:useLocalDpi xmlns:a14="http://schemas.microsoft.com/office/drawing/2010/main" val="0"/>
                                    </a:ext>
                                  </a:extLst>
                                </a:blip>
                                <a:stretch>
                                  <a:fillRect/>
                                </a:stretch>
                              </pic:blipFill>
                              <pic:spPr>
                                <a:xfrm>
                                  <a:off x="0" y="0"/>
                                  <a:ext cx="1228725" cy="771525"/>
                                </a:xfrm>
                                <a:prstGeom prst="rect">
                                  <a:avLst/>
                                </a:prstGeom>
                              </pic:spPr>
                            </pic:pic>
                          </a:graphicData>
                        </a:graphic>
                      </wp:inline>
                    </w:drawing>
                  </w:r>
                  <w:r w:rsidRPr="00640199">
                    <w:rPr>
                      <w:noProof/>
                    </w:rPr>
                    <w:t xml:space="preserve"> </w:t>
                  </w:r>
                  <w:r w:rsidRPr="00640199">
                    <w:rPr>
                      <w:noProof/>
                    </w:rPr>
                    <w:drawing>
                      <wp:inline distT="0" distB="0" distL="0" distR="0" wp14:anchorId="4B0F6E7E" wp14:editId="2A0EA4A7">
                        <wp:extent cx="1225133" cy="612567"/>
                        <wp:effectExtent l="0" t="0" r="0" b="0"/>
                        <wp:docPr id="115737" name="Image 37" descr="Une image contenant extérieur, raisin, arbre, ve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37" name="Image 37" descr="Une image contenant extérieur, raisin, arbre, vert&#10;&#10;Description générée automatiquement"/>
                                <pic:cNvPicPr>
                                  <a:picLocks noChangeAspect="1"/>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1225133" cy="612567"/>
                                </a:xfrm>
                                <a:prstGeom prst="rect">
                                  <a:avLst/>
                                </a:prstGeom>
                              </pic:spPr>
                            </pic:pic>
                          </a:graphicData>
                        </a:graphic>
                      </wp:inline>
                    </w:drawing>
                  </w:r>
                </w:p>
                <w:p w14:paraId="47F66FC1" w14:textId="77777777" w:rsidR="00640199" w:rsidRPr="00640199" w:rsidRDefault="00640199" w:rsidP="00640199">
                  <w:pPr>
                    <w:jc w:val="center"/>
                  </w:pPr>
                  <w:r w:rsidRPr="00640199">
                    <w:t xml:space="preserve">Vigne (raisin) </w:t>
                  </w:r>
                </w:p>
                <w:p w14:paraId="282E5960" w14:textId="542A22EB" w:rsidR="00640199" w:rsidRDefault="00640199" w:rsidP="00640199">
                  <w:pPr>
                    <w:jc w:val="center"/>
                  </w:pPr>
                  <w:r w:rsidRPr="00640199">
                    <w:t>(</w:t>
                  </w:r>
                  <w:hyperlink r:id="rId233" w:history="1">
                    <w:r w:rsidRPr="00640199">
                      <w:rPr>
                        <w:rStyle w:val="Lienhypertexte"/>
                        <w:i/>
                        <w:iCs/>
                      </w:rPr>
                      <w:t xml:space="preserve">Vitis </w:t>
                    </w:r>
                  </w:hyperlink>
                  <w:hyperlink r:id="rId234" w:history="1">
                    <w:r w:rsidRPr="00640199">
                      <w:rPr>
                        <w:rStyle w:val="Lienhypertexte"/>
                        <w:i/>
                        <w:iCs/>
                      </w:rPr>
                      <w:t>vinifera</w:t>
                    </w:r>
                  </w:hyperlink>
                  <w:r w:rsidRPr="00640199">
                    <w:t>)</w:t>
                  </w:r>
                </w:p>
              </w:tc>
              <w:tc>
                <w:tcPr>
                  <w:tcW w:w="2409" w:type="dxa"/>
                </w:tcPr>
                <w:p w14:paraId="65B2D41C" w14:textId="77777777" w:rsidR="00640199" w:rsidRDefault="00640199" w:rsidP="00640199">
                  <w:pPr>
                    <w:jc w:val="center"/>
                  </w:pPr>
                  <w:r w:rsidRPr="00640199">
                    <w:rPr>
                      <w:noProof/>
                    </w:rPr>
                    <w:drawing>
                      <wp:inline distT="0" distB="0" distL="0" distR="0" wp14:anchorId="3EB86300" wp14:editId="42BACC32">
                        <wp:extent cx="952500" cy="952500"/>
                        <wp:effectExtent l="0" t="0" r="0" b="0"/>
                        <wp:docPr id="115738" name="Image 38" descr="Une image contenant extérieur, arbre, fruit, ve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38" name="Image 38" descr="Une image contenant extérieur, arbre, fruit, vert&#10;&#10;Description générée automatiquement"/>
                                <pic:cNvPicPr>
                                  <a:picLocks noChangeAspect="1"/>
                                </pic:cNvPicPr>
                              </pic:nvPicPr>
                              <pic:blipFill>
                                <a:blip r:embed="rId235">
                                  <a:extLst>
                                    <a:ext uri="{28A0092B-C50C-407E-A947-70E740481C1C}">
                                      <a14:useLocalDpi xmlns:a14="http://schemas.microsoft.com/office/drawing/2010/main" val="0"/>
                                    </a:ext>
                                  </a:extLst>
                                </a:blip>
                                <a:stretch>
                                  <a:fillRect/>
                                </a:stretch>
                              </pic:blipFill>
                              <pic:spPr>
                                <a:xfrm>
                                  <a:off x="0" y="0"/>
                                  <a:ext cx="952500" cy="952500"/>
                                </a:xfrm>
                                <a:prstGeom prst="rect">
                                  <a:avLst/>
                                </a:prstGeom>
                              </pic:spPr>
                            </pic:pic>
                          </a:graphicData>
                        </a:graphic>
                      </wp:inline>
                    </w:drawing>
                  </w:r>
                  <w:r>
                    <w:t xml:space="preserve">   </w:t>
                  </w:r>
                </w:p>
                <w:p w14:paraId="18801914" w14:textId="1C156AF3" w:rsidR="00640199" w:rsidRPr="00640199" w:rsidRDefault="00640199" w:rsidP="00640199">
                  <w:pPr>
                    <w:jc w:val="center"/>
                  </w:pPr>
                  <w:r w:rsidRPr="00640199">
                    <w:t>(</w:t>
                  </w:r>
                  <w:r>
                    <w:t>F</w:t>
                  </w:r>
                  <w:r w:rsidRPr="00640199">
                    <w:t>iguier commun)</w:t>
                  </w:r>
                </w:p>
                <w:p w14:paraId="15277ED6" w14:textId="054EE51E" w:rsidR="00640199" w:rsidRDefault="00640199" w:rsidP="00640199">
                  <w:pPr>
                    <w:jc w:val="center"/>
                  </w:pPr>
                  <w:r w:rsidRPr="00640199">
                    <w:t>(</w:t>
                  </w:r>
                  <w:hyperlink r:id="rId236" w:history="1">
                    <w:r w:rsidRPr="00640199">
                      <w:rPr>
                        <w:rStyle w:val="Lienhypertexte"/>
                        <w:i/>
                        <w:iCs/>
                      </w:rPr>
                      <w:t xml:space="preserve">Ficus </w:t>
                    </w:r>
                  </w:hyperlink>
                  <w:hyperlink r:id="rId237" w:history="1">
                    <w:r w:rsidRPr="00640199">
                      <w:rPr>
                        <w:rStyle w:val="Lienhypertexte"/>
                        <w:i/>
                        <w:iCs/>
                      </w:rPr>
                      <w:t>carica</w:t>
                    </w:r>
                  </w:hyperlink>
                  <w:r w:rsidRPr="00640199">
                    <w:t>)</w:t>
                  </w:r>
                </w:p>
              </w:tc>
            </w:tr>
          </w:tbl>
          <w:p w14:paraId="399308C7" w14:textId="64E5DA31" w:rsidR="00640199" w:rsidRDefault="00640199" w:rsidP="00640199">
            <w:pPr>
              <w:jc w:val="center"/>
            </w:pPr>
          </w:p>
        </w:tc>
      </w:tr>
    </w:tbl>
    <w:p w14:paraId="22B11DDC" w14:textId="77777777" w:rsidR="00640199" w:rsidRDefault="00640199" w:rsidP="000B73C7">
      <w:pPr>
        <w:spacing w:after="0" w:line="240" w:lineRule="auto"/>
      </w:pPr>
    </w:p>
    <w:p w14:paraId="642F31DE" w14:textId="64D952A2" w:rsidR="008948D9" w:rsidRDefault="00806184" w:rsidP="00B655B6">
      <w:pPr>
        <w:spacing w:after="0" w:line="240" w:lineRule="auto"/>
      </w:pPr>
      <w:r>
        <w:t xml:space="preserve">Voici, </w:t>
      </w:r>
      <w:r w:rsidR="004E4728">
        <w:t>dans les pages suivantes</w:t>
      </w:r>
      <w:r>
        <w:t>, une liste de plantes pouvant apporter la prospérité</w:t>
      </w:r>
      <w:r w:rsidR="008E5463">
        <w:t>, dans des zones salines et</w:t>
      </w:r>
      <w:r w:rsidR="006A39AF">
        <w:t>/ou</w:t>
      </w:r>
      <w:r w:rsidR="008E5463">
        <w:t xml:space="preserve"> arides.</w:t>
      </w:r>
    </w:p>
    <w:p w14:paraId="00440FA2" w14:textId="77777777" w:rsidR="00640199" w:rsidRDefault="00640199" w:rsidP="00B655B6">
      <w:pPr>
        <w:spacing w:after="0" w:line="240" w:lineRule="auto"/>
      </w:pPr>
    </w:p>
    <w:p w14:paraId="0D9F5A72" w14:textId="2BDB8FA3" w:rsidR="008948D9" w:rsidRDefault="008948D9" w:rsidP="00B655B6">
      <w:pPr>
        <w:pStyle w:val="Titre2"/>
      </w:pPr>
      <w:bookmarkStart w:id="45" w:name="_Toc139181336"/>
      <w:r w:rsidRPr="008948D9">
        <w:t>Jujubier commun (</w:t>
      </w:r>
      <w:r w:rsidRPr="00B655B6">
        <w:rPr>
          <w:i/>
          <w:iCs/>
        </w:rPr>
        <w:t>Ziziphus jujuba</w:t>
      </w:r>
      <w:r w:rsidR="003A241D">
        <w:t xml:space="preserve"> ou </w:t>
      </w:r>
      <w:r w:rsidR="003A241D" w:rsidRPr="00B655B6">
        <w:rPr>
          <w:i/>
          <w:iCs/>
        </w:rPr>
        <w:t>Ziziphus mauritania</w:t>
      </w:r>
      <w:r w:rsidRPr="008948D9">
        <w:t>)</w:t>
      </w:r>
      <w:bookmarkEnd w:id="45"/>
    </w:p>
    <w:p w14:paraId="654C4C86" w14:textId="77777777" w:rsidR="008948D9" w:rsidRDefault="008948D9" w:rsidP="008948D9">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2"/>
        <w:gridCol w:w="1030"/>
        <w:gridCol w:w="1559"/>
        <w:gridCol w:w="1649"/>
        <w:gridCol w:w="1406"/>
      </w:tblGrid>
      <w:tr w:rsidR="008948D9" w:rsidRPr="000B6BE3" w14:paraId="5C61957D" w14:textId="77777777" w:rsidTr="00C248B8">
        <w:tc>
          <w:tcPr>
            <w:tcW w:w="4782" w:type="dxa"/>
          </w:tcPr>
          <w:p w14:paraId="5E487027" w14:textId="77777777" w:rsidR="008948D9" w:rsidRPr="000B6BE3" w:rsidRDefault="008948D9" w:rsidP="007D46EC">
            <w:pPr>
              <w:rPr>
                <w:rFonts w:cstheme="minorHAnsi"/>
                <w:bCs/>
              </w:rPr>
            </w:pPr>
            <w:r w:rsidRPr="000B6BE3">
              <w:rPr>
                <w:rFonts w:cstheme="minorHAnsi"/>
                <w:bCs/>
              </w:rPr>
              <w:t>(</w:t>
            </w:r>
            <w:hyperlink r:id="rId238" w:history="1">
              <w:r w:rsidRPr="000B6BE3">
                <w:rPr>
                  <w:rFonts w:cstheme="minorHAnsi"/>
                </w:rPr>
                <w:t>F</w:t>
              </w:r>
              <w:r w:rsidRPr="000B6BE3">
                <w:rPr>
                  <w:rStyle w:val="Lienhypertexte"/>
                  <w:rFonts w:cstheme="minorHAnsi"/>
                  <w:color w:val="0B0080"/>
                  <w:shd w:val="clear" w:color="auto" w:fill="FFFFFF"/>
                </w:rPr>
                <w:t>amille</w:t>
              </w:r>
            </w:hyperlink>
            <w:r w:rsidRPr="000B6BE3">
              <w:rPr>
                <w:rFonts w:cstheme="minorHAnsi"/>
                <w:color w:val="222222"/>
                <w:shd w:val="clear" w:color="auto" w:fill="FFFFFF"/>
              </w:rPr>
              <w:t> des </w:t>
            </w:r>
            <w:hyperlink r:id="rId239" w:tooltip="Fabaceae" w:history="1">
              <w:r w:rsidRPr="000B6BE3">
                <w:rPr>
                  <w:rStyle w:val="Lienhypertexte"/>
                  <w:rFonts w:cstheme="minorHAnsi"/>
                  <w:i/>
                  <w:iCs/>
                  <w:color w:val="0B0080"/>
                  <w:shd w:val="clear" w:color="auto" w:fill="FFFFFF"/>
                </w:rPr>
                <w:t>Fabaceae</w:t>
              </w:r>
            </w:hyperlink>
            <w:r w:rsidRPr="000B6BE3">
              <w:rPr>
                <w:rFonts w:cstheme="minorHAnsi"/>
                <w:bCs/>
              </w:rPr>
              <w:t>)</w:t>
            </w:r>
          </w:p>
          <w:p w14:paraId="1C038274" w14:textId="77777777" w:rsidR="008948D9" w:rsidRPr="000B6BE3" w:rsidRDefault="008948D9" w:rsidP="007D46EC">
            <w:pPr>
              <w:rPr>
                <w:rFonts w:cstheme="minorHAnsi"/>
                <w:bCs/>
              </w:rPr>
            </w:pPr>
          </w:p>
          <w:p w14:paraId="4DB06066" w14:textId="4B7F6E4B" w:rsidR="008948D9" w:rsidRPr="00323C6C" w:rsidRDefault="003A241D" w:rsidP="007D46EC">
            <w:pPr>
              <w:rPr>
                <w:rFonts w:ascii="Calibri" w:hAnsi="Calibri" w:cs="Calibri"/>
                <w:b/>
                <w:bCs/>
              </w:rPr>
            </w:pPr>
            <w:r w:rsidRPr="00323C6C">
              <w:rPr>
                <w:rFonts w:ascii="Calibri" w:eastAsia="+mn-ea" w:hAnsi="Calibri" w:cs="Calibri"/>
                <w:b/>
                <w:bCs/>
                <w:color w:val="FF0000"/>
                <w:kern w:val="24"/>
              </w:rPr>
              <w:t>Risque élevé, score 9,5</w:t>
            </w:r>
          </w:p>
        </w:tc>
        <w:tc>
          <w:tcPr>
            <w:tcW w:w="1030" w:type="dxa"/>
          </w:tcPr>
          <w:p w14:paraId="026F151B" w14:textId="0A3FB40B" w:rsidR="008948D9" w:rsidRPr="000B6BE3" w:rsidRDefault="008948D9" w:rsidP="007D46EC">
            <w:pPr>
              <w:rPr>
                <w:rFonts w:cstheme="minorHAnsi"/>
              </w:rPr>
            </w:pPr>
            <w:r w:rsidRPr="000B6BE3">
              <w:rPr>
                <w:rFonts w:cstheme="minorHAnsi"/>
                <w:noProof/>
              </w:rPr>
              <w:t xml:space="preserve">  </w:t>
            </w:r>
          </w:p>
        </w:tc>
        <w:tc>
          <w:tcPr>
            <w:tcW w:w="1559" w:type="dxa"/>
          </w:tcPr>
          <w:p w14:paraId="7A895D6F" w14:textId="1A5A59EE" w:rsidR="008948D9" w:rsidRPr="00D1445E" w:rsidRDefault="00D1445E" w:rsidP="007D46EC">
            <w:pPr>
              <w:textAlignment w:val="baseline"/>
              <w:rPr>
                <w:rFonts w:cstheme="minorHAnsi"/>
                <w:sz w:val="44"/>
                <w:szCs w:val="44"/>
              </w:rPr>
            </w:pPr>
            <w:r w:rsidRPr="00D1445E">
              <w:rPr>
                <w:rFonts w:eastAsia="+mn-ea" w:cstheme="minorHAnsi"/>
                <w:b/>
                <w:bCs/>
                <w:color w:val="008000"/>
                <w:kern w:val="24"/>
                <w:sz w:val="56"/>
                <w:szCs w:val="56"/>
              </w:rPr>
              <w:t>U</w:t>
            </w:r>
            <w:r w:rsidR="00323C6C">
              <w:rPr>
                <w:rFonts w:eastAsia="+mn-ea" w:cstheme="minorHAnsi"/>
                <w:b/>
                <w:bCs/>
                <w:color w:val="008000"/>
                <w:kern w:val="24"/>
                <w:sz w:val="56"/>
                <w:szCs w:val="56"/>
              </w:rPr>
              <w:t xml:space="preserve"> </w:t>
            </w:r>
            <w:r w:rsidR="008948D9" w:rsidRPr="00D1445E">
              <w:rPr>
                <w:rFonts w:eastAsia="+mn-ea" w:cstheme="minorHAnsi"/>
                <w:b/>
                <w:bCs/>
                <w:color w:val="008000"/>
                <w:kern w:val="24"/>
                <w:sz w:val="44"/>
                <w:szCs w:val="44"/>
              </w:rPr>
              <w:t>↗↗</w:t>
            </w:r>
          </w:p>
        </w:tc>
        <w:tc>
          <w:tcPr>
            <w:tcW w:w="1649" w:type="dxa"/>
          </w:tcPr>
          <w:p w14:paraId="02D2671D" w14:textId="28F919C3" w:rsidR="008948D9" w:rsidRPr="000B6BE3" w:rsidRDefault="00C248B8" w:rsidP="007D46EC">
            <w:pPr>
              <w:rPr>
                <w:rFonts w:cstheme="minorHAnsi"/>
              </w:rPr>
            </w:pPr>
            <w:r w:rsidRPr="00853ED0">
              <w:rPr>
                <w:noProof/>
              </w:rPr>
              <w:drawing>
                <wp:inline distT="0" distB="0" distL="0" distR="0" wp14:anchorId="5D5E3667" wp14:editId="0259F8F2">
                  <wp:extent cx="400050" cy="352425"/>
                  <wp:effectExtent l="0" t="0" r="0" b="9525"/>
                  <wp:docPr id="104465" name="Image 21">
                    <a:extLst xmlns:a="http://schemas.openxmlformats.org/drawingml/2006/main">
                      <a:ext uri="{FF2B5EF4-FFF2-40B4-BE49-F238E27FC236}">
                        <a16:creationId xmlns:a16="http://schemas.microsoft.com/office/drawing/2014/main" id="{F52353B3-AA67-41AB-ACE3-C9465695F4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3" name="Image 21">
                            <a:extLst>
                              <a:ext uri="{FF2B5EF4-FFF2-40B4-BE49-F238E27FC236}">
                                <a16:creationId xmlns:a16="http://schemas.microsoft.com/office/drawing/2014/main" id="{F52353B3-AA67-41AB-ACE3-C9465695F4BE}"/>
                              </a:ext>
                            </a:extLst>
                          </pic:cNvPr>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853ED0">
              <w:rPr>
                <w:noProof/>
              </w:rPr>
              <w:drawing>
                <wp:inline distT="0" distB="0" distL="0" distR="0" wp14:anchorId="775E225B" wp14:editId="7158F910">
                  <wp:extent cx="400050" cy="352425"/>
                  <wp:effectExtent l="0" t="0" r="0" b="9525"/>
                  <wp:docPr id="104466" name="Image 21">
                    <a:extLst xmlns:a="http://schemas.openxmlformats.org/drawingml/2006/main">
                      <a:ext uri="{FF2B5EF4-FFF2-40B4-BE49-F238E27FC236}">
                        <a16:creationId xmlns:a16="http://schemas.microsoft.com/office/drawing/2014/main" id="{F52353B3-AA67-41AB-ACE3-C9465695F4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3" name="Image 21">
                            <a:extLst>
                              <a:ext uri="{FF2B5EF4-FFF2-40B4-BE49-F238E27FC236}">
                                <a16:creationId xmlns:a16="http://schemas.microsoft.com/office/drawing/2014/main" id="{F52353B3-AA67-41AB-ACE3-C9465695F4BE}"/>
                              </a:ext>
                            </a:extLst>
                          </pic:cNvPr>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406" w:type="dxa"/>
          </w:tcPr>
          <w:p w14:paraId="5CCA6A6C" w14:textId="77777777" w:rsidR="008948D9" w:rsidRPr="000B6BE3" w:rsidRDefault="008948D9" w:rsidP="007D46EC">
            <w:pPr>
              <w:rPr>
                <w:rFonts w:cstheme="minorHAnsi"/>
              </w:rPr>
            </w:pPr>
            <w:r w:rsidRPr="000B6BE3">
              <w:rPr>
                <w:rFonts w:cstheme="minorHAnsi"/>
                <w:noProof/>
              </w:rPr>
              <w:drawing>
                <wp:inline distT="0" distB="0" distL="0" distR="0" wp14:anchorId="6728DEC8" wp14:editId="25F79C17">
                  <wp:extent cx="457200" cy="457200"/>
                  <wp:effectExtent l="0" t="0" r="0" b="0"/>
                  <wp:docPr id="25617" name="Picture 16" descr="C:\Users\LISAN\Pictures\Plantes fourragères\logo invasive plants5_s.jpg">
                    <a:extLst xmlns:a="http://schemas.openxmlformats.org/drawingml/2006/main">
                      <a:ext uri="{FF2B5EF4-FFF2-40B4-BE49-F238E27FC236}">
                        <a16:creationId xmlns:a16="http://schemas.microsoft.com/office/drawing/2014/main" id="{592A1F5B-7F14-4F22-A792-576418DA3E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7" name="Picture 16" descr="C:\Users\LISAN\Pictures\Plantes fourragères\logo invasive plants5_s.jpg">
                            <a:extLst>
                              <a:ext uri="{FF2B5EF4-FFF2-40B4-BE49-F238E27FC236}">
                                <a16:creationId xmlns:a16="http://schemas.microsoft.com/office/drawing/2014/main" id="{592A1F5B-7F14-4F22-A792-576418DA3E6F}"/>
                              </a:ext>
                            </a:extLst>
                          </pic:cNvPr>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41B63844" w14:textId="1D452EA3" w:rsidR="008948D9" w:rsidRDefault="008948D9" w:rsidP="00D1445E">
      <w:pPr>
        <w:spacing w:after="0" w:line="240" w:lineRule="auto"/>
      </w:pPr>
    </w:p>
    <w:p w14:paraId="2248DD0B" w14:textId="77777777" w:rsidR="00806184" w:rsidRDefault="00D1445E" w:rsidP="00806184">
      <w:pPr>
        <w:spacing w:after="0" w:line="240" w:lineRule="auto"/>
        <w:jc w:val="both"/>
      </w:pPr>
      <w:r w:rsidRPr="00D1445E">
        <w:t>Originaire de </w:t>
      </w:r>
      <w:hyperlink r:id="rId240" w:history="1">
        <w:r w:rsidRPr="00D1445E">
          <w:rPr>
            <w:rStyle w:val="Lienhypertexte"/>
          </w:rPr>
          <w:t>Chine</w:t>
        </w:r>
      </w:hyperlink>
      <w:r w:rsidRPr="00D1445E">
        <w:t> et répandu dans les régions </w:t>
      </w:r>
      <w:hyperlink r:id="rId241" w:history="1">
        <w:r w:rsidRPr="00D1445E">
          <w:rPr>
            <w:rStyle w:val="Lienhypertexte"/>
          </w:rPr>
          <w:t>méditerranéennes</w:t>
        </w:r>
      </w:hyperlink>
      <w:r w:rsidRPr="00D1445E">
        <w:t xml:space="preserve">, c’est un </w:t>
      </w:r>
      <w:hyperlink r:id="rId242" w:history="1">
        <w:r w:rsidRPr="00D1445E">
          <w:rPr>
            <w:rStyle w:val="Lienhypertexte"/>
          </w:rPr>
          <w:t>arbuste</w:t>
        </w:r>
      </w:hyperlink>
      <w:r w:rsidRPr="00D1445E">
        <w:t xml:space="preserve"> épineux, aux feuilles luisantes et caduques, de 6 à 10 m de haut. </w:t>
      </w:r>
      <w:r w:rsidR="00806184">
        <w:t xml:space="preserve">Ce petit arbre, atteignant 15 m de haut, avec un tronc de 40 cm de diamètre ou plus, en ombrelle (cime étalée), produit des fruits comestibles, les jujubes. </w:t>
      </w:r>
    </w:p>
    <w:p w14:paraId="73B589E1" w14:textId="33BC2581" w:rsidR="003A241D" w:rsidRDefault="003A241D" w:rsidP="003A241D">
      <w:pPr>
        <w:spacing w:after="0" w:line="240" w:lineRule="auto"/>
        <w:jc w:val="both"/>
      </w:pPr>
      <w:r>
        <w:t>Cet arbre rustique se développe dans des conditions plutôt sèches et une pluviométrie annuelle de 300 à 500 mm (150 à 2225 mm). L'arbre a une grande tolérance à la fois à l'engorgement et à la sécheresse.</w:t>
      </w:r>
    </w:p>
    <w:p w14:paraId="4DFC63CF" w14:textId="77777777" w:rsidR="003A241D" w:rsidRDefault="003A241D" w:rsidP="003A241D">
      <w:pPr>
        <w:spacing w:after="0" w:line="240" w:lineRule="auto"/>
        <w:jc w:val="both"/>
      </w:pPr>
    </w:p>
    <w:p w14:paraId="3E5BBACD" w14:textId="6F50A59C" w:rsidR="003A241D" w:rsidRDefault="003A241D" w:rsidP="003A241D">
      <w:pPr>
        <w:spacing w:after="0" w:line="240" w:lineRule="auto"/>
        <w:jc w:val="both"/>
      </w:pPr>
      <w:r>
        <w:t>En Inde, sa température minimum de survie est 7-13 ° et la t. maximale est de 50 °C. </w:t>
      </w:r>
      <w:r w:rsidRPr="00D1445E">
        <w:rPr>
          <w:b/>
          <w:bCs/>
        </w:rPr>
        <w:t>Il possède une bonne résistance au feu.</w:t>
      </w:r>
      <w:r>
        <w:rPr>
          <w:b/>
          <w:bCs/>
        </w:rPr>
        <w:t xml:space="preserve"> </w:t>
      </w:r>
      <w:r w:rsidRPr="00D1445E">
        <w:t xml:space="preserve">Cet arbre se développe, </w:t>
      </w:r>
      <w:r w:rsidRPr="00D1445E">
        <w:rPr>
          <w:i/>
          <w:iCs/>
        </w:rPr>
        <w:t>à la faveur des feux de brousses.</w:t>
      </w:r>
      <w:r>
        <w:rPr>
          <w:b/>
          <w:bCs/>
        </w:rPr>
        <w:t xml:space="preserve"> </w:t>
      </w:r>
      <w:r>
        <w:t xml:space="preserve">« Il </w:t>
      </w:r>
      <w:r w:rsidRPr="00806184">
        <w:rPr>
          <w:i/>
          <w:iCs/>
        </w:rPr>
        <w:t>rejette des pousses après les incendies</w:t>
      </w:r>
      <w:r>
        <w:t xml:space="preserve"> » (Weber, 2003</w:t>
      </w:r>
      <w:r w:rsidR="008C2ECB">
        <w:t>,</w:t>
      </w:r>
      <w:r>
        <w:t xml:space="preserve"> p 460). Des études indiquent que cette espèce prospère dans les sols alcalins avec un pH plus élevé que 9,2. Les sols limoneux avec un pH neutre ou légèrement alcalin sont considérés comme optimale pour la croissance. [6]</w:t>
      </w:r>
    </w:p>
    <w:p w14:paraId="7CD8B951" w14:textId="77777777" w:rsidR="003A241D" w:rsidRDefault="003A241D" w:rsidP="003A241D">
      <w:pPr>
        <w:spacing w:after="0" w:line="240" w:lineRule="auto"/>
        <w:jc w:val="both"/>
      </w:pPr>
      <w:r>
        <w:t>Habitat : bords de rivières, oueds, sources, plaines alluviales, sites côtiers …</w:t>
      </w:r>
    </w:p>
    <w:p w14:paraId="2F7AFDB5" w14:textId="77777777" w:rsidR="00806184" w:rsidRDefault="00806184" w:rsidP="00D1445E">
      <w:pPr>
        <w:spacing w:after="0" w:line="240" w:lineRule="auto"/>
        <w:jc w:val="both"/>
      </w:pPr>
    </w:p>
    <w:p w14:paraId="5BB30697" w14:textId="7E10B820" w:rsidR="00806184" w:rsidRDefault="00806184" w:rsidP="00806184">
      <w:pPr>
        <w:spacing w:after="0" w:line="240" w:lineRule="auto"/>
        <w:jc w:val="both"/>
      </w:pPr>
      <w:r>
        <w:t>Le fruit est de forme et de taille variable. Il peut être ovale, obovale, oblongue ou ronde, et peut être 1 à 2,5 cm  (2.5 à 6.25 cm) de long, selon la variété. La chair est blanche et croquante. Ce fruit est un peu juteux et a une odeur agréable.</w:t>
      </w:r>
    </w:p>
    <w:p w14:paraId="41EF4AF3" w14:textId="79E70A17" w:rsidR="00D1445E" w:rsidRPr="00806184" w:rsidRDefault="00D1445E" w:rsidP="00D1445E">
      <w:pPr>
        <w:spacing w:after="0" w:line="240" w:lineRule="auto"/>
        <w:jc w:val="both"/>
      </w:pPr>
      <w:r w:rsidRPr="00D1445E">
        <w:lastRenderedPageBreak/>
        <w:t xml:space="preserve">Son </w:t>
      </w:r>
      <w:hyperlink r:id="rId243" w:history="1">
        <w:r w:rsidRPr="00D1445E">
          <w:rPr>
            <w:rStyle w:val="Lienhypertexte"/>
          </w:rPr>
          <w:t>fruit</w:t>
        </w:r>
      </w:hyperlink>
      <w:r w:rsidRPr="00D1445E">
        <w:t> comestible, riche en </w:t>
      </w:r>
      <w:hyperlink r:id="rId244" w:history="1">
        <w:r w:rsidRPr="00D1445E">
          <w:rPr>
            <w:rStyle w:val="Lienhypertexte"/>
          </w:rPr>
          <w:t>vitamines</w:t>
        </w:r>
      </w:hyperlink>
      <w:r w:rsidRPr="00D1445E">
        <w:t> </w:t>
      </w:r>
      <w:hyperlink r:id="rId245" w:history="1">
        <w:r w:rsidRPr="00D1445E">
          <w:rPr>
            <w:rStyle w:val="Lienhypertexte"/>
          </w:rPr>
          <w:t>A</w:t>
        </w:r>
      </w:hyperlink>
      <w:r w:rsidRPr="00D1445E">
        <w:t> et </w:t>
      </w:r>
      <w:hyperlink r:id="rId246" w:history="1">
        <w:r w:rsidRPr="00D1445E">
          <w:rPr>
            <w:rStyle w:val="Lienhypertexte"/>
          </w:rPr>
          <w:t>C</w:t>
        </w:r>
      </w:hyperlink>
      <w:r w:rsidRPr="00D1445E">
        <w:t>, ayant la consistance et le goût d'une </w:t>
      </w:r>
      <w:hyperlink r:id="rId247" w:history="1">
        <w:r w:rsidRPr="00D1445E">
          <w:rPr>
            <w:rStyle w:val="Lienhypertexte"/>
          </w:rPr>
          <w:t>pomme</w:t>
        </w:r>
      </w:hyperlink>
      <w:r w:rsidRPr="00D1445E">
        <w:t xml:space="preserve">, entrant dans diverses préparations médicinales, est appelé </w:t>
      </w:r>
      <w:hyperlink r:id="rId248" w:history="1">
        <w:r w:rsidRPr="00D1445E">
          <w:rPr>
            <w:rStyle w:val="Lienhypertexte"/>
          </w:rPr>
          <w:t>jujube</w:t>
        </w:r>
      </w:hyperlink>
      <w:r w:rsidRPr="00D1445E">
        <w:t>.</w:t>
      </w:r>
      <w:r w:rsidR="00806184">
        <w:t xml:space="preserve"> </w:t>
      </w:r>
      <w:r w:rsidR="00806184" w:rsidRPr="00D1445E">
        <w:t>La couleur des fruits vont de vert à rouge brun.</w:t>
      </w:r>
    </w:p>
    <w:p w14:paraId="141B2FA3" w14:textId="3B77DB3E" w:rsidR="00D1445E" w:rsidRPr="00D1445E" w:rsidRDefault="00D1445E" w:rsidP="00D1445E">
      <w:pPr>
        <w:spacing w:after="0" w:line="240" w:lineRule="auto"/>
        <w:jc w:val="both"/>
      </w:pPr>
      <w:r w:rsidRPr="00D1445E">
        <w:t xml:space="preserve">Le </w:t>
      </w:r>
      <w:hyperlink r:id="rId249" w:history="1">
        <w:r w:rsidRPr="00D1445E">
          <w:rPr>
            <w:rStyle w:val="Lienhypertexte"/>
          </w:rPr>
          <w:t xml:space="preserve">miel </w:t>
        </w:r>
      </w:hyperlink>
      <w:r w:rsidRPr="00D1445E">
        <w:t>de jujubier, réputé au </w:t>
      </w:r>
      <w:hyperlink r:id="rId250" w:history="1">
        <w:r w:rsidRPr="00D1445E">
          <w:rPr>
            <w:rStyle w:val="Lienhypertexte"/>
          </w:rPr>
          <w:t>Yémen</w:t>
        </w:r>
      </w:hyperlink>
      <w:r w:rsidRPr="00D1445E">
        <w:t>, est censé avoir des vertus médicinales.</w:t>
      </w:r>
    </w:p>
    <w:p w14:paraId="71FF2E25" w14:textId="4B6DA94E" w:rsidR="00D1445E" w:rsidRPr="00D1445E" w:rsidRDefault="00D1445E" w:rsidP="00D1445E">
      <w:pPr>
        <w:spacing w:after="0" w:line="240" w:lineRule="auto"/>
        <w:jc w:val="both"/>
      </w:pPr>
      <w:r w:rsidRPr="00D1445E">
        <w:t>Les jujubiers fournissent un bon bois pour le charbon de bois.</w:t>
      </w:r>
    </w:p>
    <w:p w14:paraId="76EA0F99" w14:textId="41B9B020" w:rsidR="003A241D" w:rsidRDefault="003A241D" w:rsidP="003A241D">
      <w:pPr>
        <w:spacing w:after="0" w:line="240" w:lineRule="auto"/>
        <w:jc w:val="both"/>
      </w:pPr>
      <w:r w:rsidRPr="003A241D">
        <w:t>Multiplication : semences dispersés par animaux, oiseaux, humains. Une espèce très variables avec de nombreuses variétés et cultivars.</w:t>
      </w:r>
    </w:p>
    <w:p w14:paraId="11E8DA96" w14:textId="77777777" w:rsidR="003A241D" w:rsidRDefault="003A241D" w:rsidP="003A241D">
      <w:pPr>
        <w:spacing w:after="0" w:line="240" w:lineRule="auto"/>
        <w:jc w:val="both"/>
      </w:pPr>
    </w:p>
    <w:p w14:paraId="67E12C5C" w14:textId="0BA69D2F" w:rsidR="003A241D" w:rsidRPr="00D1445E" w:rsidRDefault="003A241D" w:rsidP="003A241D">
      <w:pPr>
        <w:spacing w:after="0" w:line="240" w:lineRule="auto"/>
        <w:jc w:val="both"/>
      </w:pPr>
      <w:r w:rsidRPr="00D1445E">
        <w:t>Le jujubier a été domestiqué en </w:t>
      </w:r>
      <w:hyperlink r:id="rId251" w:history="1">
        <w:r w:rsidRPr="00D1445E">
          <w:rPr>
            <w:rStyle w:val="Lienhypertexte"/>
          </w:rPr>
          <w:t>Asie du Sud</w:t>
        </w:r>
      </w:hyperlink>
      <w:r w:rsidRPr="00D1445E">
        <w:t>, depuis 9000 AJC. Plus de 400 </w:t>
      </w:r>
      <w:hyperlink r:id="rId252" w:history="1">
        <w:r w:rsidRPr="00D1445E">
          <w:rPr>
            <w:rStyle w:val="Lienhypertexte"/>
          </w:rPr>
          <w:t>cultivars</w:t>
        </w:r>
      </w:hyperlink>
      <w:r w:rsidRPr="00D1445E">
        <w:t> ont été sélectionnés.</w:t>
      </w:r>
    </w:p>
    <w:p w14:paraId="5658ABF4" w14:textId="5EABA229" w:rsidR="000E4F8A" w:rsidRPr="000E4F8A" w:rsidRDefault="000E4F8A" w:rsidP="000E4F8A">
      <w:pPr>
        <w:spacing w:after="0" w:line="240" w:lineRule="auto"/>
        <w:jc w:val="both"/>
      </w:pPr>
      <w:r w:rsidRPr="000E4F8A">
        <w:t xml:space="preserve">Selon certains auteurs (voir bibliographie), </w:t>
      </w:r>
      <w:r w:rsidRPr="000E4F8A">
        <w:rPr>
          <w:i/>
          <w:iCs/>
        </w:rPr>
        <w:t xml:space="preserve">Ziziphus jujuba </w:t>
      </w:r>
      <w:r w:rsidRPr="000E4F8A">
        <w:t xml:space="preserve">et </w:t>
      </w:r>
      <w:r w:rsidRPr="000E4F8A">
        <w:rPr>
          <w:i/>
          <w:iCs/>
        </w:rPr>
        <w:t xml:space="preserve">Ziziphus mauritania </w:t>
      </w:r>
      <w:r w:rsidRPr="000E4F8A">
        <w:t>seraient des synonymes.</w:t>
      </w:r>
    </w:p>
    <w:p w14:paraId="25815E6E" w14:textId="77777777" w:rsidR="00D1445E" w:rsidRDefault="00D1445E" w:rsidP="00D1445E">
      <w:pPr>
        <w:spacing w:after="0" w:line="240" w:lineRule="auto"/>
        <w:jc w:val="both"/>
      </w:pPr>
    </w:p>
    <w:p w14:paraId="635F570D" w14:textId="72E3BAC7" w:rsidR="00D1445E" w:rsidRPr="00D1445E" w:rsidRDefault="00D1445E" w:rsidP="00D1445E">
      <w:pPr>
        <w:spacing w:after="0" w:line="240" w:lineRule="auto"/>
        <w:jc w:val="both"/>
      </w:pPr>
      <w:r w:rsidRPr="00D1445E">
        <w:t xml:space="preserve">Sources : a) </w:t>
      </w:r>
      <w:hyperlink r:id="rId253" w:history="1">
        <w:r w:rsidRPr="00D1445E">
          <w:rPr>
            <w:rStyle w:val="Lienhypertexte"/>
          </w:rPr>
          <w:t>http://fr.wikipedia.org/wiki/Jujubier_commun</w:t>
        </w:r>
      </w:hyperlink>
      <w:r w:rsidRPr="00D1445E">
        <w:t xml:space="preserve">, b) </w:t>
      </w:r>
      <w:hyperlink r:id="rId254" w:history="1">
        <w:r w:rsidRPr="00D1445E">
          <w:rPr>
            <w:rStyle w:val="Lienhypertexte"/>
          </w:rPr>
          <w:t>http://en.wikipedia.org/wiki/Jujube</w:t>
        </w:r>
      </w:hyperlink>
      <w:r w:rsidRPr="00D1445E">
        <w:t xml:space="preserve">, </w:t>
      </w:r>
    </w:p>
    <w:p w14:paraId="5B9B77E5" w14:textId="77777777" w:rsidR="00D1445E" w:rsidRPr="00D1445E" w:rsidRDefault="00D1445E" w:rsidP="00D1445E">
      <w:pPr>
        <w:spacing w:after="0" w:line="240" w:lineRule="auto"/>
        <w:jc w:val="both"/>
      </w:pPr>
      <w:r w:rsidRPr="00D1445E">
        <w:t xml:space="preserve">c) </w:t>
      </w:r>
      <w:hyperlink r:id="rId255" w:history="1">
        <w:r w:rsidRPr="00D1445E">
          <w:rPr>
            <w:rStyle w:val="Lienhypertexte"/>
          </w:rPr>
          <w:t>http://edis.ifas.ufl.edu/st680</w:t>
        </w:r>
      </w:hyperlink>
      <w:r w:rsidRPr="00D1445E">
        <w:t xml:space="preserve">, d) </w:t>
      </w:r>
      <w:hyperlink r:id="rId256" w:history="1">
        <w:r w:rsidRPr="00D1445E">
          <w:rPr>
            <w:rStyle w:val="Lienhypertexte"/>
          </w:rPr>
          <w:t>http://selectree.calpoly.edu/treedetail.lasso?rid=1483</w:t>
        </w:r>
      </w:hyperlink>
      <w:r w:rsidRPr="00D1445E">
        <w:t xml:space="preserve"> </w:t>
      </w:r>
    </w:p>
    <w:p w14:paraId="56352A19" w14:textId="3B3CE380" w:rsidR="003A241D" w:rsidRDefault="00D1445E" w:rsidP="003A241D">
      <w:pPr>
        <w:spacing w:after="0" w:line="240" w:lineRule="auto"/>
        <w:jc w:val="both"/>
        <w:rPr>
          <w:lang w:val="es-AR"/>
        </w:rPr>
      </w:pPr>
      <w:r w:rsidRPr="00D1445E">
        <w:rPr>
          <w:lang w:val="es-AR"/>
        </w:rPr>
        <w:t xml:space="preserve">e) </w:t>
      </w:r>
      <w:hyperlink r:id="rId257" w:history="1">
        <w:r w:rsidRPr="00D1445E">
          <w:rPr>
            <w:rStyle w:val="Lienhypertexte"/>
            <w:lang w:val="es-AR"/>
          </w:rPr>
          <w:t>http://www.hear.org/pier/species/ziziphus_jujuba.htm</w:t>
        </w:r>
      </w:hyperlink>
      <w:r w:rsidRPr="00D1445E">
        <w:rPr>
          <w:lang w:val="es-AR"/>
        </w:rPr>
        <w:t xml:space="preserve"> </w:t>
      </w:r>
      <w:r w:rsidR="003A241D">
        <w:rPr>
          <w:lang w:val="es-AR"/>
        </w:rPr>
        <w:t xml:space="preserve"> </w:t>
      </w:r>
      <w:r w:rsidR="003A241D" w:rsidRPr="003A241D">
        <w:rPr>
          <w:lang w:val="es-AR"/>
        </w:rPr>
        <w:t xml:space="preserve">f) </w:t>
      </w:r>
      <w:hyperlink r:id="rId258" w:history="1">
        <w:r w:rsidR="003A241D" w:rsidRPr="009A5570">
          <w:rPr>
            <w:rStyle w:val="Lienhypertexte"/>
            <w:lang w:val="es-AR"/>
          </w:rPr>
          <w:t>http://en.wikipedia.org/wiki/Ziziphus_mauritiana</w:t>
        </w:r>
      </w:hyperlink>
      <w:r w:rsidR="003A241D" w:rsidRPr="003A241D">
        <w:rPr>
          <w:lang w:val="es-AR"/>
        </w:rPr>
        <w:t>,</w:t>
      </w:r>
      <w:r w:rsidR="003A241D">
        <w:rPr>
          <w:lang w:val="es-AR"/>
        </w:rPr>
        <w:t xml:space="preserve"> </w:t>
      </w:r>
      <w:r w:rsidR="003A241D" w:rsidRPr="003A241D">
        <w:rPr>
          <w:lang w:val="es-AR"/>
        </w:rPr>
        <w:t xml:space="preserve"> </w:t>
      </w:r>
    </w:p>
    <w:p w14:paraId="7CAAA170" w14:textId="59275D5A" w:rsidR="003A241D" w:rsidRPr="003A241D" w:rsidRDefault="003A241D" w:rsidP="003A241D">
      <w:pPr>
        <w:spacing w:after="0" w:line="240" w:lineRule="auto"/>
        <w:jc w:val="both"/>
        <w:rPr>
          <w:lang w:val="es-AR"/>
        </w:rPr>
      </w:pPr>
      <w:r w:rsidRPr="003A241D">
        <w:rPr>
          <w:lang w:val="es-AR"/>
        </w:rPr>
        <w:t>g) Plantes de Madagascar (Atlas), Lucile Allorge, Ulmer, 2008.</w:t>
      </w:r>
    </w:p>
    <w:p w14:paraId="7AB45919" w14:textId="67A39744" w:rsidR="00D1445E" w:rsidRPr="003A241D" w:rsidRDefault="003A241D" w:rsidP="003A241D">
      <w:pPr>
        <w:spacing w:after="0" w:line="240" w:lineRule="auto"/>
        <w:jc w:val="both"/>
        <w:rPr>
          <w:lang w:val="en-GB"/>
        </w:rPr>
      </w:pPr>
      <w:r w:rsidRPr="003A241D">
        <w:rPr>
          <w:lang w:val="en-GB"/>
        </w:rPr>
        <w:t xml:space="preserve">h) </w:t>
      </w:r>
      <w:hyperlink r:id="rId259" w:history="1">
        <w:r w:rsidRPr="009A5570">
          <w:rPr>
            <w:rStyle w:val="Lienhypertexte"/>
            <w:lang w:val="en-GB"/>
          </w:rPr>
          <w:t>http://www.hear.org/pier/species/ziziphus_mauritiana.htm</w:t>
        </w:r>
      </w:hyperlink>
      <w:r>
        <w:rPr>
          <w:lang w:val="en-GB"/>
        </w:rPr>
        <w:t xml:space="preserve"> </w:t>
      </w:r>
    </w:p>
    <w:p w14:paraId="264F1B48" w14:textId="5EA0637D" w:rsidR="000E4F8A" w:rsidRDefault="000E4F8A" w:rsidP="00D1445E">
      <w:pPr>
        <w:spacing w:after="0" w:line="240" w:lineRule="auto"/>
        <w:jc w:val="both"/>
        <w:rPr>
          <w:lang w:val="en-GB"/>
        </w:rPr>
      </w:pPr>
    </w:p>
    <w:tbl>
      <w:tblPr>
        <w:tblStyle w:val="Grilledutableau"/>
        <w:tblW w:w="10426" w:type="dxa"/>
        <w:tblInd w:w="-5" w:type="dxa"/>
        <w:tblLook w:val="04A0" w:firstRow="1" w:lastRow="0" w:firstColumn="1" w:lastColumn="0" w:noHBand="0" w:noVBand="1"/>
      </w:tblPr>
      <w:tblGrid>
        <w:gridCol w:w="5232"/>
        <w:gridCol w:w="5194"/>
      </w:tblGrid>
      <w:tr w:rsidR="000B73C7" w14:paraId="28241D67" w14:textId="77777777" w:rsidTr="000B73C7">
        <w:tc>
          <w:tcPr>
            <w:tcW w:w="5232" w:type="dxa"/>
            <w:tcBorders>
              <w:top w:val="nil"/>
              <w:left w:val="nil"/>
              <w:bottom w:val="nil"/>
              <w:right w:val="nil"/>
            </w:tcBorders>
          </w:tcPr>
          <w:p w14:paraId="38FFB5EC" w14:textId="77777777" w:rsidR="000B73C7" w:rsidRDefault="000B73C7" w:rsidP="00520A81">
            <w:pPr>
              <w:jc w:val="center"/>
            </w:pPr>
            <w:r w:rsidRPr="00806184">
              <w:rPr>
                <w:noProof/>
              </w:rPr>
              <w:drawing>
                <wp:inline distT="0" distB="0" distL="0" distR="0" wp14:anchorId="0C88CC91" wp14:editId="771C8979">
                  <wp:extent cx="1916112" cy="1189037"/>
                  <wp:effectExtent l="0" t="0" r="8255" b="0"/>
                  <wp:docPr id="24584" name="Picture 2" descr="C:\Users\LISAN\Pictures\plantes invasives de Madagascar\Ziziphus jujuba fru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4" name="Picture 2" descr="C:\Users\LISAN\Pictures\plantes invasives de Madagascar\Ziziphus jujuba fruit.jpg"/>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1916112" cy="11890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4F2E671" w14:textId="77777777" w:rsidR="000B73C7" w:rsidRDefault="000B73C7" w:rsidP="00520A81">
            <w:pPr>
              <w:jc w:val="center"/>
            </w:pPr>
            <w:r>
              <w:t>Fruits</w:t>
            </w:r>
          </w:p>
        </w:tc>
        <w:tc>
          <w:tcPr>
            <w:tcW w:w="5194" w:type="dxa"/>
            <w:tcBorders>
              <w:top w:val="nil"/>
              <w:left w:val="nil"/>
              <w:bottom w:val="nil"/>
              <w:right w:val="nil"/>
            </w:tcBorders>
          </w:tcPr>
          <w:p w14:paraId="357F505F" w14:textId="77777777" w:rsidR="000B73C7" w:rsidRDefault="000B73C7" w:rsidP="00520A81">
            <w:pPr>
              <w:jc w:val="center"/>
            </w:pPr>
            <w:r w:rsidRPr="00806184">
              <w:rPr>
                <w:noProof/>
              </w:rPr>
              <w:drawing>
                <wp:inline distT="0" distB="0" distL="0" distR="0" wp14:anchorId="1CD2ED02" wp14:editId="62DB178D">
                  <wp:extent cx="1928813" cy="1447800"/>
                  <wp:effectExtent l="0" t="0" r="0" b="0"/>
                  <wp:docPr id="24585" name="Picture 3" descr="C:\Users\LISAN\Pictures\plantes invasives de Madagascar\Ziziphus jujuba_fruit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5" name="Picture 3" descr="C:\Users\LISAN\Pictures\plantes invasives de Madagascar\Ziziphus jujuba_fruits3.jpg"/>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1928813" cy="144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03B25C0" w14:textId="77777777" w:rsidR="000B73C7" w:rsidRDefault="000B73C7" w:rsidP="00520A81">
            <w:pPr>
              <w:jc w:val="center"/>
            </w:pPr>
            <w:r>
              <w:t>Fruits</w:t>
            </w:r>
          </w:p>
        </w:tc>
      </w:tr>
      <w:tr w:rsidR="00806184" w14:paraId="287A5941" w14:textId="77777777" w:rsidTr="000B73C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232" w:type="dxa"/>
          </w:tcPr>
          <w:p w14:paraId="6084B586" w14:textId="3EEC63A2" w:rsidR="00806184" w:rsidRDefault="00806184" w:rsidP="00806184">
            <w:pPr>
              <w:jc w:val="center"/>
            </w:pPr>
            <w:r w:rsidRPr="00806184">
              <w:rPr>
                <w:noProof/>
              </w:rPr>
              <w:drawing>
                <wp:inline distT="0" distB="0" distL="0" distR="0" wp14:anchorId="0DB717FE" wp14:editId="44203275">
                  <wp:extent cx="2181225" cy="2095500"/>
                  <wp:effectExtent l="0" t="0" r="9525" b="0"/>
                  <wp:docPr id="24586" name="Picture 5" descr="C:\Users\LISAN\Pictures\plantes invasives de Madagascar\Ziziphus jujuba_arb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6" name="Picture 5" descr="C:\Users\LISAN\Pictures\plantes invasives de Madagascar\Ziziphus jujuba_arbre.jpg"/>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2181225" cy="2095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194" w:type="dxa"/>
          </w:tcPr>
          <w:p w14:paraId="331EF29D" w14:textId="77777777" w:rsidR="00806184" w:rsidRDefault="00806184" w:rsidP="00806184">
            <w:pPr>
              <w:jc w:val="center"/>
            </w:pPr>
            <w:r w:rsidRPr="00806184">
              <w:rPr>
                <w:noProof/>
              </w:rPr>
              <w:drawing>
                <wp:inline distT="0" distB="0" distL="0" distR="0" wp14:anchorId="6200E989" wp14:editId="580C1884">
                  <wp:extent cx="1847850" cy="2466975"/>
                  <wp:effectExtent l="0" t="0" r="0" b="9525"/>
                  <wp:docPr id="24587" name="Picture 7" descr="C:\Users\LISAN\Pictures\plantes invasives de Madagascar\Ziziphus jujuba_fruits&amp;feuil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7" name="Picture 7" descr="C:\Users\LISAN\Pictures\plantes invasives de Madagascar\Ziziphus jujuba_fruits&amp;feuilles.jpg"/>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1847850" cy="2466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E34BE6E" w14:textId="62E9F4A6" w:rsidR="00806184" w:rsidRDefault="00806184" w:rsidP="00806184">
            <w:pPr>
              <w:jc w:val="center"/>
            </w:pPr>
            <w:r>
              <w:t>Fruits et feuilles</w:t>
            </w:r>
          </w:p>
        </w:tc>
      </w:tr>
    </w:tbl>
    <w:p w14:paraId="5EC356DF" w14:textId="77777777" w:rsidR="00806184" w:rsidRDefault="00806184" w:rsidP="00B479D8">
      <w:pPr>
        <w:spacing w:after="0" w:line="240" w:lineRule="auto"/>
      </w:pPr>
    </w:p>
    <w:p w14:paraId="61004398" w14:textId="1D8E96E4" w:rsidR="002C7BC4" w:rsidRDefault="002C7BC4" w:rsidP="00B655B6">
      <w:pPr>
        <w:pStyle w:val="Titre2"/>
      </w:pPr>
      <w:bookmarkStart w:id="46" w:name="_Toc139181337"/>
      <w:r>
        <w:t>Jujubier épine du Christ (</w:t>
      </w:r>
      <w:r w:rsidRPr="002C7BC4">
        <w:rPr>
          <w:i/>
          <w:iCs/>
        </w:rPr>
        <w:t>Ziziphus spina-christi</w:t>
      </w:r>
      <w:r>
        <w:t>)</w:t>
      </w:r>
      <w:bookmarkEnd w:id="46"/>
    </w:p>
    <w:p w14:paraId="622E1A86" w14:textId="404A3A6A" w:rsidR="002C7BC4" w:rsidRDefault="002C7BC4" w:rsidP="002C7BC4">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3"/>
        <w:gridCol w:w="2720"/>
        <w:gridCol w:w="1100"/>
        <w:gridCol w:w="945"/>
        <w:gridCol w:w="1408"/>
      </w:tblGrid>
      <w:tr w:rsidR="00D17EB8" w:rsidRPr="000B6BE3" w14:paraId="20E0C25C" w14:textId="77777777" w:rsidTr="002202D9">
        <w:tc>
          <w:tcPr>
            <w:tcW w:w="4253" w:type="dxa"/>
          </w:tcPr>
          <w:p w14:paraId="4757E950" w14:textId="77777777" w:rsidR="00D17EB8" w:rsidRPr="000B6BE3" w:rsidRDefault="00D17EB8" w:rsidP="00E9600F">
            <w:pPr>
              <w:rPr>
                <w:rFonts w:cstheme="minorHAnsi"/>
                <w:bCs/>
              </w:rPr>
            </w:pPr>
            <w:r w:rsidRPr="000B6BE3">
              <w:rPr>
                <w:rFonts w:cstheme="minorHAnsi"/>
                <w:bCs/>
              </w:rPr>
              <w:t>(</w:t>
            </w:r>
            <w:hyperlink r:id="rId264" w:history="1">
              <w:r w:rsidRPr="000B6BE3">
                <w:rPr>
                  <w:rFonts w:cstheme="minorHAnsi"/>
                </w:rPr>
                <w:t>F</w:t>
              </w:r>
              <w:r w:rsidRPr="000B6BE3">
                <w:rPr>
                  <w:rStyle w:val="Lienhypertexte"/>
                  <w:rFonts w:cstheme="minorHAnsi"/>
                  <w:color w:val="0B0080"/>
                  <w:shd w:val="clear" w:color="auto" w:fill="FFFFFF"/>
                </w:rPr>
                <w:t>amille</w:t>
              </w:r>
            </w:hyperlink>
            <w:r w:rsidRPr="000B6BE3">
              <w:rPr>
                <w:rFonts w:cstheme="minorHAnsi"/>
                <w:color w:val="222222"/>
                <w:shd w:val="clear" w:color="auto" w:fill="FFFFFF"/>
              </w:rPr>
              <w:t> des </w:t>
            </w:r>
            <w:hyperlink r:id="rId265" w:tooltip="Fabaceae" w:history="1">
              <w:r w:rsidRPr="000B6BE3">
                <w:rPr>
                  <w:rStyle w:val="Lienhypertexte"/>
                  <w:rFonts w:cstheme="minorHAnsi"/>
                  <w:i/>
                  <w:iCs/>
                  <w:color w:val="0B0080"/>
                  <w:shd w:val="clear" w:color="auto" w:fill="FFFFFF"/>
                </w:rPr>
                <w:t>Fabaceae</w:t>
              </w:r>
            </w:hyperlink>
            <w:r w:rsidRPr="000B6BE3">
              <w:rPr>
                <w:rFonts w:cstheme="minorHAnsi"/>
                <w:bCs/>
              </w:rPr>
              <w:t>)</w:t>
            </w:r>
          </w:p>
          <w:p w14:paraId="129E7469" w14:textId="77777777" w:rsidR="00D17EB8" w:rsidRPr="000B6BE3" w:rsidRDefault="00D17EB8" w:rsidP="00E9600F">
            <w:pPr>
              <w:rPr>
                <w:rFonts w:cstheme="minorHAnsi"/>
                <w:bCs/>
              </w:rPr>
            </w:pPr>
          </w:p>
          <w:p w14:paraId="63E4AB85" w14:textId="7136CFC5" w:rsidR="00D17EB8" w:rsidRPr="000B6BE3" w:rsidRDefault="00D17EB8" w:rsidP="00E9600F">
            <w:pPr>
              <w:rPr>
                <w:rFonts w:cstheme="minorHAnsi"/>
              </w:rPr>
            </w:pPr>
            <w:r w:rsidRPr="00D17EB8">
              <w:rPr>
                <w:rFonts w:cstheme="minorHAnsi"/>
                <w:b/>
                <w:bCs/>
                <w:color w:val="FF0000"/>
              </w:rPr>
              <w:t>Risque invasif élevé, score inconnu</w:t>
            </w:r>
          </w:p>
        </w:tc>
        <w:tc>
          <w:tcPr>
            <w:tcW w:w="2720" w:type="dxa"/>
          </w:tcPr>
          <w:p w14:paraId="5695032D" w14:textId="77777777" w:rsidR="00D17EB8" w:rsidRPr="000B6BE3" w:rsidRDefault="00D17EB8" w:rsidP="00E9600F">
            <w:pPr>
              <w:rPr>
                <w:rFonts w:cstheme="minorHAnsi"/>
              </w:rPr>
            </w:pPr>
            <w:r w:rsidRPr="000B6BE3">
              <w:rPr>
                <w:rFonts w:cstheme="minorHAnsi"/>
                <w:noProof/>
              </w:rPr>
              <w:drawing>
                <wp:inline distT="0" distB="0" distL="0" distR="0" wp14:anchorId="698D140B" wp14:editId="6446D4EB">
                  <wp:extent cx="400050" cy="352425"/>
                  <wp:effectExtent l="0" t="0" r="0" b="9525"/>
                  <wp:docPr id="22" name="Image 20">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0B6BE3">
              <w:rPr>
                <w:rFonts w:cstheme="minorHAnsi"/>
                <w:noProof/>
              </w:rPr>
              <w:t xml:space="preserve"> </w:t>
            </w:r>
            <w:r w:rsidRPr="000B6BE3">
              <w:rPr>
                <w:rFonts w:cstheme="minorHAnsi"/>
                <w:noProof/>
              </w:rPr>
              <w:drawing>
                <wp:inline distT="0" distB="0" distL="0" distR="0" wp14:anchorId="0C631CEE" wp14:editId="51599CF8">
                  <wp:extent cx="400050" cy="352425"/>
                  <wp:effectExtent l="0" t="0" r="0" b="9525"/>
                  <wp:docPr id="23" name="Image 20">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0B6BE3">
              <w:rPr>
                <w:rFonts w:cstheme="minorHAnsi"/>
                <w:noProof/>
              </w:rPr>
              <w:t xml:space="preserve"> </w:t>
            </w:r>
            <w:r w:rsidRPr="000B6BE3">
              <w:rPr>
                <w:rFonts w:cstheme="minorHAnsi"/>
                <w:noProof/>
              </w:rPr>
              <w:drawing>
                <wp:inline distT="0" distB="0" distL="0" distR="0" wp14:anchorId="75E7AD02" wp14:editId="53E51A8A">
                  <wp:extent cx="400050" cy="352425"/>
                  <wp:effectExtent l="0" t="0" r="0" b="9525"/>
                  <wp:docPr id="24" name="Image 20">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100" w:type="dxa"/>
          </w:tcPr>
          <w:p w14:paraId="2DA7CAD6" w14:textId="382263C5" w:rsidR="00D17EB8" w:rsidRPr="000B6BE3" w:rsidRDefault="00323C6C" w:rsidP="00E9600F">
            <w:pPr>
              <w:textAlignment w:val="baseline"/>
              <w:rPr>
                <w:rFonts w:cstheme="minorHAnsi"/>
              </w:rPr>
            </w:pPr>
            <w:r w:rsidRPr="00D1445E">
              <w:rPr>
                <w:rFonts w:eastAsia="+mn-ea" w:cstheme="minorHAnsi"/>
                <w:b/>
                <w:bCs/>
                <w:color w:val="008000"/>
                <w:kern w:val="24"/>
                <w:sz w:val="56"/>
                <w:szCs w:val="56"/>
              </w:rPr>
              <w:t>U</w:t>
            </w:r>
            <w:r>
              <w:rPr>
                <w:rFonts w:eastAsia="+mn-ea" w:cstheme="minorHAnsi"/>
                <w:b/>
                <w:bCs/>
                <w:color w:val="008000"/>
                <w:kern w:val="24"/>
                <w:sz w:val="56"/>
                <w:szCs w:val="56"/>
              </w:rPr>
              <w:t xml:space="preserve"> </w:t>
            </w:r>
            <w:r w:rsidRPr="00D1445E">
              <w:rPr>
                <w:rFonts w:eastAsia="+mn-ea" w:cstheme="minorHAnsi"/>
                <w:b/>
                <w:bCs/>
                <w:color w:val="008000"/>
                <w:kern w:val="24"/>
                <w:sz w:val="44"/>
                <w:szCs w:val="44"/>
              </w:rPr>
              <w:t>↗</w:t>
            </w:r>
          </w:p>
        </w:tc>
        <w:tc>
          <w:tcPr>
            <w:tcW w:w="945" w:type="dxa"/>
          </w:tcPr>
          <w:p w14:paraId="191D4664" w14:textId="493747BF" w:rsidR="00D17EB8" w:rsidRPr="000B6BE3" w:rsidRDefault="00D17EB8" w:rsidP="00E9600F">
            <w:pPr>
              <w:rPr>
                <w:rFonts w:cstheme="minorHAnsi"/>
              </w:rPr>
            </w:pPr>
          </w:p>
        </w:tc>
        <w:tc>
          <w:tcPr>
            <w:tcW w:w="1408" w:type="dxa"/>
          </w:tcPr>
          <w:p w14:paraId="13222B38" w14:textId="77777777" w:rsidR="00D17EB8" w:rsidRPr="000B6BE3" w:rsidRDefault="00D17EB8" w:rsidP="00E9600F">
            <w:pPr>
              <w:rPr>
                <w:rFonts w:cstheme="minorHAnsi"/>
              </w:rPr>
            </w:pPr>
            <w:r w:rsidRPr="000B6BE3">
              <w:rPr>
                <w:rFonts w:cstheme="minorHAnsi"/>
                <w:noProof/>
              </w:rPr>
              <w:drawing>
                <wp:inline distT="0" distB="0" distL="0" distR="0" wp14:anchorId="6369B451" wp14:editId="6937781E">
                  <wp:extent cx="457200" cy="457200"/>
                  <wp:effectExtent l="0" t="0" r="0" b="0"/>
                  <wp:docPr id="26" name="Picture 16" descr="C:\Users\LISAN\Pictures\Plantes fourragères\logo invasive plants5_s.jpg">
                    <a:extLst xmlns:a="http://schemas.openxmlformats.org/drawingml/2006/main">
                      <a:ext uri="{FF2B5EF4-FFF2-40B4-BE49-F238E27FC236}">
                        <a16:creationId xmlns:a16="http://schemas.microsoft.com/office/drawing/2014/main" id="{592A1F5B-7F14-4F22-A792-576418DA3E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7" name="Picture 16" descr="C:\Users\LISAN\Pictures\Plantes fourragères\logo invasive plants5_s.jpg">
                            <a:extLst>
                              <a:ext uri="{FF2B5EF4-FFF2-40B4-BE49-F238E27FC236}">
                                <a16:creationId xmlns:a16="http://schemas.microsoft.com/office/drawing/2014/main" id="{592A1F5B-7F14-4F22-A792-576418DA3E6F}"/>
                              </a:ext>
                            </a:extLst>
                          </pic:cNvPr>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1D617ECD" w14:textId="77777777" w:rsidR="00D17EB8" w:rsidRDefault="00D17EB8" w:rsidP="002C7BC4">
      <w:pPr>
        <w:spacing w:after="0" w:line="240" w:lineRule="auto"/>
        <w:jc w:val="both"/>
      </w:pPr>
    </w:p>
    <w:p w14:paraId="1DBC6DA2" w14:textId="77777777" w:rsidR="002C7BC4" w:rsidRDefault="002C7BC4" w:rsidP="002C7BC4">
      <w:pPr>
        <w:spacing w:after="0" w:line="240" w:lineRule="auto"/>
        <w:jc w:val="both"/>
      </w:pPr>
      <w:r>
        <w:t>Le Jujubier épine du Christ, est un arbre à feuilles persistantes, atteignant 20 m de haut, originaire de l'Afrique du Nord, tropicale et australe et l'Asie occidentale. </w:t>
      </w:r>
    </w:p>
    <w:p w14:paraId="60C6A95B" w14:textId="362034D1" w:rsidR="002C7BC4" w:rsidRDefault="002C7BC4" w:rsidP="002C7BC4">
      <w:pPr>
        <w:spacing w:after="0" w:line="240" w:lineRule="auto"/>
        <w:jc w:val="both"/>
      </w:pPr>
      <w:r>
        <w:lastRenderedPageBreak/>
        <w:t xml:space="preserve">Il est largement cultivé pour ses fruits agréables au goût et son ombre [3]. Ses fleurs sont une source importante de miel en Erythrée et le Yémen [4] . </w:t>
      </w:r>
    </w:p>
    <w:p w14:paraId="16C6AC19" w14:textId="77777777" w:rsidR="002C7BC4" w:rsidRDefault="002C7BC4" w:rsidP="002C7BC4">
      <w:pPr>
        <w:spacing w:after="0" w:line="240" w:lineRule="auto"/>
        <w:jc w:val="both"/>
      </w:pPr>
      <w:r>
        <w:t>Maladie : Il est parasité par le gui hémiparasite </w:t>
      </w:r>
      <w:r w:rsidRPr="002C7BC4">
        <w:rPr>
          <w:i/>
          <w:iCs/>
        </w:rPr>
        <w:t>Plicosepalus acaciae</w:t>
      </w:r>
      <w:r>
        <w:t xml:space="preserve">. </w:t>
      </w:r>
    </w:p>
    <w:p w14:paraId="76E12A52" w14:textId="77777777" w:rsidR="00926BF6" w:rsidRDefault="00926BF6" w:rsidP="00926BF6">
      <w:pPr>
        <w:spacing w:after="0" w:line="240" w:lineRule="auto"/>
        <w:jc w:val="both"/>
      </w:pPr>
      <w:r>
        <w:t>Habitat : oueds du désert …</w:t>
      </w:r>
    </w:p>
    <w:p w14:paraId="003774BA" w14:textId="77777777" w:rsidR="00926BF6" w:rsidRDefault="00926BF6" w:rsidP="00926BF6">
      <w:pPr>
        <w:spacing w:after="0" w:line="240" w:lineRule="auto"/>
        <w:jc w:val="both"/>
      </w:pPr>
    </w:p>
    <w:p w14:paraId="364A5B68" w14:textId="361BF32F" w:rsidR="00926BF6" w:rsidRDefault="00926BF6" w:rsidP="00926BF6">
      <w:pPr>
        <w:spacing w:after="0" w:line="240" w:lineRule="auto"/>
        <w:jc w:val="both"/>
      </w:pPr>
      <w:r>
        <w:t xml:space="preserve">Il est très robuste, très résistant à la chaleur et peut être trouvé dans les zones désertiques, même avec 100 mm précipitations par an. Il préfère les bords des étangs, rivière et les rives ses oueds (wadi), où l'eau souterraine est disponible. L'arbre est sensible au gel. Il peut résister à un engorgement d'eau pour un maximum de 2 mois et à 8-10 mois de saison sèche. </w:t>
      </w:r>
    </w:p>
    <w:p w14:paraId="694D0F83" w14:textId="77777777" w:rsidR="00926BF6" w:rsidRDefault="00926BF6" w:rsidP="00926BF6">
      <w:pPr>
        <w:spacing w:after="0" w:line="240" w:lineRule="auto"/>
        <w:jc w:val="both"/>
      </w:pPr>
    </w:p>
    <w:p w14:paraId="5DA184FD" w14:textId="77777777" w:rsidR="00926BF6" w:rsidRPr="00926BF6" w:rsidRDefault="00926BF6" w:rsidP="00926BF6">
      <w:pPr>
        <w:spacing w:after="0" w:line="240" w:lineRule="auto"/>
        <w:jc w:val="both"/>
        <w:rPr>
          <w:b/>
          <w:bCs/>
        </w:rPr>
      </w:pPr>
      <w:r w:rsidRPr="00926BF6">
        <w:rPr>
          <w:b/>
          <w:bCs/>
        </w:rPr>
        <w:t>C'est un colonisateur agressif, formant fourrés épineux impénétrables.</w:t>
      </w:r>
    </w:p>
    <w:p w14:paraId="26701D2C" w14:textId="77777777" w:rsidR="00926BF6" w:rsidRDefault="00926BF6" w:rsidP="00926BF6">
      <w:pPr>
        <w:spacing w:after="0" w:line="240" w:lineRule="auto"/>
        <w:jc w:val="both"/>
      </w:pPr>
    </w:p>
    <w:p w14:paraId="1877C072" w14:textId="6A85B4A5" w:rsidR="00926BF6" w:rsidRDefault="00926BF6" w:rsidP="00926BF6">
      <w:pPr>
        <w:spacing w:after="0" w:line="240" w:lineRule="auto"/>
        <w:jc w:val="both"/>
      </w:pPr>
      <w:r>
        <w:t xml:space="preserve">Limites biophysiques :  </w:t>
      </w:r>
    </w:p>
    <w:p w14:paraId="451E836C" w14:textId="77777777" w:rsidR="00926BF6" w:rsidRDefault="00926BF6" w:rsidP="00926BF6">
      <w:pPr>
        <w:spacing w:after="0" w:line="240" w:lineRule="auto"/>
        <w:jc w:val="both"/>
      </w:pPr>
      <w:r>
        <w:t xml:space="preserve">Altitude: 0-2 000 m. </w:t>
      </w:r>
    </w:p>
    <w:p w14:paraId="3EA48DF1" w14:textId="77777777" w:rsidR="00926BF6" w:rsidRDefault="00926BF6" w:rsidP="00926BF6">
      <w:pPr>
        <w:spacing w:after="0" w:line="240" w:lineRule="auto"/>
        <w:jc w:val="both"/>
      </w:pPr>
      <w:r>
        <w:t xml:space="preserve">Température moyenne annuelle: 19-28 °C </w:t>
      </w:r>
    </w:p>
    <w:p w14:paraId="49E629DF" w14:textId="77777777" w:rsidR="00926BF6" w:rsidRDefault="00926BF6" w:rsidP="00926BF6">
      <w:pPr>
        <w:spacing w:after="0" w:line="240" w:lineRule="auto"/>
        <w:jc w:val="both"/>
      </w:pPr>
      <w:r>
        <w:t xml:space="preserve">Pluviométrie annuelle moyenne: 100-500 mm </w:t>
      </w:r>
    </w:p>
    <w:p w14:paraId="47E54C01" w14:textId="61F862E6" w:rsidR="00926BF6" w:rsidRDefault="00926BF6" w:rsidP="00926BF6">
      <w:pPr>
        <w:spacing w:after="0" w:line="240" w:lineRule="auto"/>
        <w:jc w:val="both"/>
      </w:pPr>
      <w:r>
        <w:t xml:space="preserve">Type de sol: </w:t>
      </w:r>
      <w:r w:rsidRPr="00926BF6">
        <w:rPr>
          <w:i/>
          <w:iCs/>
        </w:rPr>
        <w:t>Z. spina-christi</w:t>
      </w:r>
      <w:r>
        <w:t xml:space="preserve"> préfère les plaines alluviales avec des sols profonds, mais il peut aussi se développer sur des terres argileuses [clay]; où l'eau est disponible, et sur les sols salins.</w:t>
      </w:r>
    </w:p>
    <w:p w14:paraId="10F70BEA" w14:textId="38E3F78F" w:rsidR="00926BF6" w:rsidRDefault="00926BF6" w:rsidP="00926BF6">
      <w:pPr>
        <w:spacing w:after="0" w:line="240" w:lineRule="auto"/>
        <w:jc w:val="both"/>
      </w:pPr>
      <w:r w:rsidRPr="00926BF6">
        <w:t>Nom vernaculaire arabe : « Zizouf ».</w:t>
      </w:r>
    </w:p>
    <w:p w14:paraId="1C9CFBBF" w14:textId="77777777" w:rsidR="00926BF6" w:rsidRDefault="00926BF6" w:rsidP="00926BF6">
      <w:pPr>
        <w:spacing w:after="0" w:line="240" w:lineRule="auto"/>
        <w:jc w:val="both"/>
      </w:pPr>
    </w:p>
    <w:p w14:paraId="210CD9AF" w14:textId="0F0B8476" w:rsidR="002C7BC4" w:rsidRPr="002C7BC4" w:rsidRDefault="002C7BC4" w:rsidP="002C7BC4">
      <w:pPr>
        <w:spacing w:after="0" w:line="240" w:lineRule="auto"/>
        <w:jc w:val="both"/>
      </w:pPr>
      <w:r w:rsidRPr="002C7BC4">
        <w:t>Source</w:t>
      </w:r>
      <w:r>
        <w:t>s</w:t>
      </w:r>
      <w:r w:rsidRPr="002C7BC4">
        <w:t xml:space="preserve"> :</w:t>
      </w:r>
      <w:r>
        <w:t xml:space="preserve"> a)</w:t>
      </w:r>
      <w:r w:rsidRPr="002C7BC4">
        <w:t xml:space="preserve"> </w:t>
      </w:r>
      <w:hyperlink r:id="rId266" w:history="1">
        <w:r w:rsidRPr="009A5570">
          <w:rPr>
            <w:rStyle w:val="Lienhypertexte"/>
          </w:rPr>
          <w:t>http://www.cabi.org/isc/abstract/20073185345</w:t>
        </w:r>
      </w:hyperlink>
      <w:r>
        <w:t xml:space="preserve"> </w:t>
      </w:r>
    </w:p>
    <w:p w14:paraId="0507D7DC" w14:textId="55FAE632" w:rsidR="002C7BC4" w:rsidRPr="002C7BC4" w:rsidRDefault="002C7BC4" w:rsidP="002C7BC4">
      <w:pPr>
        <w:spacing w:after="0" w:line="240" w:lineRule="auto"/>
        <w:jc w:val="both"/>
        <w:rPr>
          <w:lang w:val="en-GB"/>
        </w:rPr>
      </w:pPr>
      <w:r w:rsidRPr="002C7BC4">
        <w:rPr>
          <w:lang w:val="es-AR"/>
        </w:rPr>
        <w:t xml:space="preserve">a) Zohary M. Flora Palaestina. </w:t>
      </w:r>
      <w:r w:rsidRPr="002C7BC4">
        <w:rPr>
          <w:lang w:val="en-GB"/>
        </w:rPr>
        <w:t>II. Jerusalem: The Israel Academy of Science and Humanities; 1972. pp. 307–308 cited in Amots Dafni, Shay Levy, and Efraim Lev,</w:t>
      </w:r>
      <w:r>
        <w:rPr>
          <w:lang w:val="en-GB"/>
        </w:rPr>
        <w:t xml:space="preserve"> </w:t>
      </w:r>
      <w:r w:rsidRPr="002C7BC4">
        <w:rPr>
          <w:lang w:val="en-GB"/>
        </w:rPr>
        <w:t>The ethnobotany of Christ's Thorn Jujube (</w:t>
      </w:r>
      <w:r w:rsidRPr="002C7BC4">
        <w:rPr>
          <w:i/>
          <w:iCs/>
          <w:lang w:val="en-GB"/>
        </w:rPr>
        <w:t>Ziziphus spina-christi</w:t>
      </w:r>
      <w:r w:rsidRPr="002C7BC4">
        <w:rPr>
          <w:lang w:val="en-GB"/>
        </w:rPr>
        <w:t xml:space="preserve">) in Israel, doi:10.1186/1746-4269-1-8 &amp; </w:t>
      </w:r>
      <w:hyperlink r:id="rId267" w:history="1">
        <w:r w:rsidRPr="009A5570">
          <w:rPr>
            <w:rStyle w:val="Lienhypertexte"/>
            <w:lang w:val="en-GB"/>
          </w:rPr>
          <w:t>http://www.ncbi.nlm.nih.gov/pmc/articles/PMC1277088/?tool=pubmed</w:t>
        </w:r>
      </w:hyperlink>
      <w:r>
        <w:rPr>
          <w:lang w:val="en-GB"/>
        </w:rPr>
        <w:t xml:space="preserve"> </w:t>
      </w:r>
      <w:r w:rsidRPr="002C7BC4">
        <w:rPr>
          <w:lang w:val="en-GB"/>
        </w:rPr>
        <w:t xml:space="preserve"> </w:t>
      </w:r>
      <w:r>
        <w:rPr>
          <w:lang w:val="en-GB"/>
        </w:rPr>
        <w:t xml:space="preserve"> </w:t>
      </w:r>
    </w:p>
    <w:p w14:paraId="18F0B8C3" w14:textId="77777777" w:rsidR="002C7BC4" w:rsidRPr="002C7BC4" w:rsidRDefault="002C7BC4" w:rsidP="002C7BC4">
      <w:pPr>
        <w:spacing w:after="0" w:line="240" w:lineRule="auto"/>
        <w:jc w:val="both"/>
        <w:rPr>
          <w:lang w:val="en-GB"/>
        </w:rPr>
      </w:pPr>
      <w:r w:rsidRPr="002C7BC4">
        <w:rPr>
          <w:lang w:val="en-GB"/>
        </w:rPr>
        <w:t xml:space="preserve">b) Eden Foundation. "Nutritional study on </w:t>
      </w:r>
      <w:r w:rsidRPr="002C7BC4">
        <w:rPr>
          <w:i/>
          <w:iCs/>
          <w:lang w:val="en-GB"/>
        </w:rPr>
        <w:t>Ziziphus spina-christi</w:t>
      </w:r>
      <w:r w:rsidRPr="002C7BC4">
        <w:rPr>
          <w:lang w:val="en-GB"/>
        </w:rPr>
        <w:t>". eden-foundation.org.</w:t>
      </w:r>
    </w:p>
    <w:p w14:paraId="65ECE043" w14:textId="796C8A40" w:rsidR="002C7BC4" w:rsidRPr="002C7BC4" w:rsidRDefault="002C7BC4" w:rsidP="002C7BC4">
      <w:pPr>
        <w:spacing w:after="0" w:line="240" w:lineRule="auto"/>
        <w:jc w:val="both"/>
        <w:rPr>
          <w:lang w:val="en-GB"/>
        </w:rPr>
      </w:pPr>
      <w:r w:rsidRPr="002C7BC4">
        <w:rPr>
          <w:lang w:val="en-GB"/>
        </w:rPr>
        <w:t xml:space="preserve">c) </w:t>
      </w:r>
      <w:hyperlink r:id="rId268" w:history="1">
        <w:r w:rsidRPr="009A5570">
          <w:rPr>
            <w:rStyle w:val="Lienhypertexte"/>
            <w:lang w:val="en-GB"/>
          </w:rPr>
          <w:t>http://www.worldagroforestry.org/treedb/AFTPDFS/Zizyphus_spina-christi.pdf</w:t>
        </w:r>
      </w:hyperlink>
      <w:r>
        <w:rPr>
          <w:lang w:val="en-GB"/>
        </w:rPr>
        <w:t xml:space="preserve"> </w:t>
      </w:r>
      <w:r w:rsidRPr="002C7BC4">
        <w:rPr>
          <w:lang w:val="en-GB"/>
        </w:rPr>
        <w:t xml:space="preserve"> </w:t>
      </w:r>
    </w:p>
    <w:p w14:paraId="18BBF866" w14:textId="4D729D36" w:rsidR="000E4F8A" w:rsidRDefault="002C7BC4" w:rsidP="002C7BC4">
      <w:pPr>
        <w:spacing w:after="0" w:line="240" w:lineRule="auto"/>
        <w:jc w:val="both"/>
        <w:rPr>
          <w:lang w:val="en-GB"/>
        </w:rPr>
      </w:pPr>
      <w:r w:rsidRPr="002C7BC4">
        <w:rPr>
          <w:lang w:val="en-GB"/>
        </w:rPr>
        <w:t xml:space="preserve">d) </w:t>
      </w:r>
      <w:hyperlink r:id="rId269" w:history="1">
        <w:r w:rsidRPr="009A5570">
          <w:rPr>
            <w:rStyle w:val="Lienhypertexte"/>
            <w:lang w:val="en-GB"/>
          </w:rPr>
          <w:t>http://www.beesfordevelopment.org/info/info/flora/christs-thorn-ziziphus-sp.shtml</w:t>
        </w:r>
      </w:hyperlink>
      <w:r>
        <w:rPr>
          <w:lang w:val="en-GB"/>
        </w:rPr>
        <w:t xml:space="preserve"> </w:t>
      </w:r>
    </w:p>
    <w:p w14:paraId="4105FDC1" w14:textId="00680C32" w:rsidR="00926BF6" w:rsidRPr="00926BF6" w:rsidRDefault="00926BF6" w:rsidP="002C7BC4">
      <w:pPr>
        <w:spacing w:after="0" w:line="240" w:lineRule="auto"/>
        <w:jc w:val="both"/>
        <w:rPr>
          <w:lang w:val="es-AR"/>
        </w:rPr>
      </w:pPr>
      <w:r w:rsidRPr="00926BF6">
        <w:rPr>
          <w:lang w:val="es-AR"/>
        </w:rPr>
        <w:t xml:space="preserve">e) </w:t>
      </w:r>
      <w:hyperlink r:id="rId270" w:history="1">
        <w:r w:rsidRPr="009A5570">
          <w:rPr>
            <w:rStyle w:val="Lienhypertexte"/>
            <w:lang w:val="es-AR"/>
          </w:rPr>
          <w:t>http://www.worldagroforestry.org/treedb2/AFTPDFS/Zizyphus_spina-christi.pdf</w:t>
        </w:r>
      </w:hyperlink>
      <w:r>
        <w:rPr>
          <w:lang w:val="es-AR"/>
        </w:rPr>
        <w:t xml:space="preserve"> </w:t>
      </w:r>
    </w:p>
    <w:p w14:paraId="021AEEBF" w14:textId="1A7FD459" w:rsidR="008948D9" w:rsidRPr="00926BF6" w:rsidRDefault="008948D9" w:rsidP="00D1445E">
      <w:pPr>
        <w:spacing w:after="0" w:line="240" w:lineRule="auto"/>
        <w:rPr>
          <w:lang w:val="es-AR"/>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56"/>
        <w:gridCol w:w="3517"/>
        <w:gridCol w:w="3253"/>
      </w:tblGrid>
      <w:tr w:rsidR="002C7BC4" w14:paraId="6AF3428B" w14:textId="77777777" w:rsidTr="00D17EB8">
        <w:tc>
          <w:tcPr>
            <w:tcW w:w="3596" w:type="dxa"/>
          </w:tcPr>
          <w:p w14:paraId="6D87B059" w14:textId="1BDDE0C9" w:rsidR="002C7BC4" w:rsidRDefault="00D17EB8" w:rsidP="002C7BC4">
            <w:pPr>
              <w:jc w:val="center"/>
              <w:rPr>
                <w:lang w:val="en-GB"/>
              </w:rPr>
            </w:pPr>
            <w:r w:rsidRPr="00D17EB8">
              <w:rPr>
                <w:noProof/>
              </w:rPr>
              <w:drawing>
                <wp:inline distT="0" distB="0" distL="0" distR="0" wp14:anchorId="2A0536B1" wp14:editId="250FFC91">
                  <wp:extent cx="2232025" cy="1479550"/>
                  <wp:effectExtent l="0" t="0" r="0" b="6350"/>
                  <wp:docPr id="26634" name="Picture 9" descr="C:\Users\LISAN\Pictures\plantes-halophytes-xerophiles\ziziphus spina-christ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34" name="Picture 9" descr="C:\Users\LISAN\Pictures\plantes-halophytes-xerophiles\ziziphus spina-christi1.jpg"/>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2232025" cy="147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597" w:type="dxa"/>
          </w:tcPr>
          <w:p w14:paraId="0985262B" w14:textId="5CD74BEE" w:rsidR="002C7BC4" w:rsidRDefault="00D17EB8" w:rsidP="002C7BC4">
            <w:pPr>
              <w:jc w:val="center"/>
              <w:rPr>
                <w:lang w:val="en-GB"/>
              </w:rPr>
            </w:pPr>
            <w:r w:rsidRPr="00D17EB8">
              <w:rPr>
                <w:noProof/>
              </w:rPr>
              <w:drawing>
                <wp:inline distT="0" distB="0" distL="0" distR="0" wp14:anchorId="4A88DDD3" wp14:editId="7FB2C4DC">
                  <wp:extent cx="1871663" cy="1401762"/>
                  <wp:effectExtent l="0" t="0" r="0" b="8255"/>
                  <wp:docPr id="26639" name="Picture 14" descr="C:\Users\LISAN\Pictures\plantes-halophytes-xerophiles\Ziziphus spina-christi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39" name="Picture 14" descr="C:\Users\LISAN\Pictures\plantes-halophytes-xerophiles\Ziziphus spina-christi8.jpg"/>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1871663" cy="14017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597" w:type="dxa"/>
          </w:tcPr>
          <w:p w14:paraId="5415FF62" w14:textId="635E14D2" w:rsidR="002C7BC4" w:rsidRDefault="00D17EB8" w:rsidP="002C7BC4">
            <w:pPr>
              <w:jc w:val="center"/>
              <w:rPr>
                <w:lang w:val="en-GB"/>
              </w:rPr>
            </w:pPr>
            <w:r w:rsidRPr="00D17EB8">
              <w:rPr>
                <w:noProof/>
              </w:rPr>
              <w:drawing>
                <wp:inline distT="0" distB="0" distL="0" distR="0" wp14:anchorId="2B51B0BB" wp14:editId="77F5B3BF">
                  <wp:extent cx="1944687" cy="1457325"/>
                  <wp:effectExtent l="0" t="0" r="0" b="0"/>
                  <wp:docPr id="26638" name="Picture 13" descr="C:\Users\LISAN\Pictures\plantes-halophytes-xerophiles\Ziziphus spina-christi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38" name="Picture 13" descr="C:\Users\LISAN\Pictures\plantes-halophytes-xerophiles\Ziziphus spina-christi7.jpg"/>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1944687" cy="1457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2C7BC4" w14:paraId="37FBA5B2" w14:textId="77777777" w:rsidTr="00D17EB8">
        <w:tc>
          <w:tcPr>
            <w:tcW w:w="3596" w:type="dxa"/>
          </w:tcPr>
          <w:p w14:paraId="114CB693" w14:textId="137A6D6E" w:rsidR="002C7BC4" w:rsidRDefault="00D17EB8" w:rsidP="002C7BC4">
            <w:pPr>
              <w:jc w:val="center"/>
              <w:rPr>
                <w:lang w:val="en-GB"/>
              </w:rPr>
            </w:pPr>
            <w:r w:rsidRPr="00D17EB8">
              <w:rPr>
                <w:noProof/>
              </w:rPr>
              <w:drawing>
                <wp:inline distT="0" distB="0" distL="0" distR="0" wp14:anchorId="5AC4CD61" wp14:editId="4B07F9D3">
                  <wp:extent cx="2251075" cy="1685925"/>
                  <wp:effectExtent l="0" t="0" r="0" b="9525"/>
                  <wp:docPr id="26636" name="Picture 11" descr="C:\Users\LISAN\Pictures\plantes-halophytes-xerophiles\ziziphus spina-christi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36" name="Picture 11" descr="C:\Users\LISAN\Pictures\plantes-halophytes-xerophiles\ziziphus spina-christi3.jpg"/>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2251075" cy="1685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597" w:type="dxa"/>
          </w:tcPr>
          <w:p w14:paraId="4704E46B" w14:textId="6BA64301" w:rsidR="002C7BC4" w:rsidRDefault="00D17EB8" w:rsidP="002C7BC4">
            <w:pPr>
              <w:jc w:val="center"/>
              <w:rPr>
                <w:lang w:val="en-GB"/>
              </w:rPr>
            </w:pPr>
            <w:r w:rsidRPr="00D17EB8">
              <w:rPr>
                <w:noProof/>
              </w:rPr>
              <w:drawing>
                <wp:inline distT="0" distB="0" distL="0" distR="0" wp14:anchorId="646578D8" wp14:editId="23D9DD7F">
                  <wp:extent cx="2016125" cy="1509713"/>
                  <wp:effectExtent l="0" t="0" r="3175" b="0"/>
                  <wp:docPr id="26637" name="Picture 12" descr="C:\Users\LISAN\Pictures\plantes-halophytes-xerophiles\ziziphus spina-christi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37" name="Picture 12" descr="C:\Users\LISAN\Pictures\plantes-halophytes-xerophiles\ziziphus spina-christi4.jpg"/>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2016125" cy="15097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597" w:type="dxa"/>
          </w:tcPr>
          <w:p w14:paraId="21BBAD7F" w14:textId="14E13409" w:rsidR="002C7BC4" w:rsidRDefault="00D17EB8" w:rsidP="002C7BC4">
            <w:pPr>
              <w:jc w:val="center"/>
              <w:rPr>
                <w:lang w:val="en-GB"/>
              </w:rPr>
            </w:pPr>
            <w:r w:rsidRPr="00D17EB8">
              <w:rPr>
                <w:noProof/>
              </w:rPr>
              <w:drawing>
                <wp:inline distT="0" distB="0" distL="0" distR="0" wp14:anchorId="1E95E9C8" wp14:editId="78364D15">
                  <wp:extent cx="1987550" cy="1487488"/>
                  <wp:effectExtent l="0" t="0" r="0" b="0"/>
                  <wp:docPr id="26640" name="Picture 15" descr="C:\Users\LISAN\Pictures\plantes-halophytes-xerophiles\ziziphus spina-christi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40" name="Picture 15" descr="C:\Users\LISAN\Pictures\plantes-halophytes-xerophiles\ziziphus spina-christi6.jpg"/>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1987550" cy="14874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2C7BC4" w14:paraId="0EE39E02" w14:textId="77777777" w:rsidTr="00D17EB8">
        <w:tc>
          <w:tcPr>
            <w:tcW w:w="3596" w:type="dxa"/>
          </w:tcPr>
          <w:p w14:paraId="4C107F38" w14:textId="0F58C32F" w:rsidR="002C7BC4" w:rsidRDefault="00D17EB8" w:rsidP="002C7BC4">
            <w:pPr>
              <w:jc w:val="center"/>
              <w:rPr>
                <w:lang w:val="en-GB"/>
              </w:rPr>
            </w:pPr>
            <w:r w:rsidRPr="00D17EB8">
              <w:rPr>
                <w:noProof/>
              </w:rPr>
              <w:lastRenderedPageBreak/>
              <w:drawing>
                <wp:inline distT="0" distB="0" distL="0" distR="0" wp14:anchorId="5B44928D" wp14:editId="70B71911">
                  <wp:extent cx="2178050" cy="1631950"/>
                  <wp:effectExtent l="0" t="0" r="0" b="6350"/>
                  <wp:docPr id="26633" name="Picture 8" descr="C:\Users\LISAN\Pictures\plantes-halophytes-xerophiles\ziziphus spina-christi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33" name="Picture 8" descr="C:\Users\LISAN\Pictures\plantes-halophytes-xerophiles\ziziphus spina-christi5.jpg"/>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2178050" cy="163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597" w:type="dxa"/>
          </w:tcPr>
          <w:p w14:paraId="2FED7437" w14:textId="51FA3E98" w:rsidR="002C7BC4" w:rsidRDefault="00D17EB8" w:rsidP="002C7BC4">
            <w:pPr>
              <w:jc w:val="center"/>
              <w:rPr>
                <w:lang w:val="en-GB"/>
              </w:rPr>
            </w:pPr>
            <w:r w:rsidRPr="00D17EB8">
              <w:rPr>
                <w:noProof/>
              </w:rPr>
              <w:drawing>
                <wp:inline distT="0" distB="0" distL="0" distR="0" wp14:anchorId="08402BDB" wp14:editId="20DF33D9">
                  <wp:extent cx="2160587" cy="1438275"/>
                  <wp:effectExtent l="0" t="0" r="0" b="0"/>
                  <wp:docPr id="26635" name="Picture 10" descr="C:\Users\LISAN\Pictures\plantes-halophytes-xerophiles\ziziphus spina-christ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35" name="Picture 10" descr="C:\Users\LISAN\Pictures\plantes-halophytes-xerophiles\ziziphus spina-christi2.jpg"/>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2160587" cy="1438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597" w:type="dxa"/>
          </w:tcPr>
          <w:p w14:paraId="439038E6" w14:textId="77777777" w:rsidR="002C7BC4" w:rsidRDefault="002C7BC4" w:rsidP="002C7BC4">
            <w:pPr>
              <w:jc w:val="center"/>
              <w:rPr>
                <w:lang w:val="en-GB"/>
              </w:rPr>
            </w:pPr>
          </w:p>
        </w:tc>
      </w:tr>
    </w:tbl>
    <w:p w14:paraId="35021B4C" w14:textId="58A02300" w:rsidR="00D1445E" w:rsidRPr="00926BF6" w:rsidRDefault="00926BF6" w:rsidP="002C7BC4">
      <w:pPr>
        <w:spacing w:after="0" w:line="240" w:lineRule="auto"/>
        <w:jc w:val="center"/>
      </w:pPr>
      <w:r w:rsidRPr="00926BF6">
        <w:t xml:space="preserve">Photos de </w:t>
      </w:r>
      <w:r w:rsidRPr="00926BF6">
        <w:rPr>
          <w:i/>
          <w:iCs/>
        </w:rPr>
        <w:t>Ziziphus spina-christi</w:t>
      </w:r>
    </w:p>
    <w:p w14:paraId="7D8F25F0" w14:textId="77777777" w:rsidR="00162E18" w:rsidRDefault="00162E18" w:rsidP="00B655B6">
      <w:pPr>
        <w:pStyle w:val="Titre2"/>
      </w:pPr>
      <w:bookmarkStart w:id="47" w:name="_Toc139181338"/>
      <w:r>
        <w:t>Tamarinier (</w:t>
      </w:r>
      <w:r w:rsidRPr="00B655B6">
        <w:rPr>
          <w:i/>
          <w:iCs/>
        </w:rPr>
        <w:t>Tamaridus indica</w:t>
      </w:r>
      <w:r>
        <w:t>)</w:t>
      </w:r>
      <w:bookmarkEnd w:id="47"/>
    </w:p>
    <w:p w14:paraId="77AF5701" w14:textId="77777777" w:rsidR="00162E18" w:rsidRDefault="00162E18" w:rsidP="00162E18">
      <w:pPr>
        <w:spacing w:after="0" w:line="240" w:lineRule="auto"/>
      </w:pPr>
    </w:p>
    <w:p w14:paraId="1CA9B415" w14:textId="46C86F78" w:rsidR="00162E18" w:rsidRDefault="00162E18" w:rsidP="00162E18">
      <w:pPr>
        <w:spacing w:after="0" w:line="240" w:lineRule="auto"/>
        <w:jc w:val="both"/>
      </w:pPr>
      <w:r>
        <w:t xml:space="preserve">Originaire des régions tropicales sèches de l'Afrique de l'Est, cet arbre (famille des Fabacées, sous-famille des </w:t>
      </w:r>
      <w:r w:rsidRPr="00162E18">
        <w:rPr>
          <w:i/>
          <w:iCs/>
        </w:rPr>
        <w:t>Caesalpinioidées</w:t>
      </w:r>
      <w:r>
        <w:t>), atteignant 20 m de haut, à croissance lente et à longue durée de vie, a été diffusé dans toutes les régions tropicales et subtropicales, en raison des nombreuses utilisations du tamarinier _ gousses comestibles, usages médicinaux et culinaires, ombre, bois …</w:t>
      </w:r>
    </w:p>
    <w:p w14:paraId="356E40B4" w14:textId="26BC8AB1" w:rsidR="00162E18" w:rsidRDefault="00162E18" w:rsidP="00162E18">
      <w:pPr>
        <w:spacing w:after="0" w:line="240" w:lineRule="auto"/>
        <w:jc w:val="both"/>
      </w:pPr>
      <w:r>
        <w:t>Le tamarinier est sensible au gel mais peut supporter de brèves températures proches de 0°C. Lors de sécheresses, il perd une partie de son feuillage. Le tamarinier Il ne pénètre pas dans la forêt tropicale. Son système racinaire étendu contribue à sa résistance à la sécheresse et au vent, est bien adapté à des conditions semi-arides tropicales, de faible altitude (Climat chaud et sec). Il préfère les zones semi-arides et les savanes boisées, et peut également être trouvée de plus en plus le long du ruisseau et des rives.  Il tolère également de l'air et du brouillard salin dans les régions côtières.</w:t>
      </w:r>
    </w:p>
    <w:p w14:paraId="61B50045" w14:textId="77777777" w:rsidR="00162E18" w:rsidRDefault="00162E18" w:rsidP="00162E18">
      <w:pPr>
        <w:spacing w:after="0" w:line="240" w:lineRule="auto"/>
        <w:jc w:val="both"/>
      </w:pPr>
      <w:r>
        <w:t>Ces arbres donnent habituellement des fruits au bout de trois à quatre ans, si les conditions de croissance sont optimales.</w:t>
      </w:r>
    </w:p>
    <w:p w14:paraId="7E8C60E2" w14:textId="0FC8C4F9" w:rsidR="00B479D8" w:rsidRDefault="00162E18" w:rsidP="00162E18">
      <w:pPr>
        <w:spacing w:after="0" w:line="240" w:lineRule="auto"/>
      </w:pPr>
      <w:r>
        <w:t xml:space="preserve">Sources : a) </w:t>
      </w:r>
      <w:hyperlink r:id="rId279" w:history="1">
        <w:r w:rsidR="00B479D8" w:rsidRPr="00EE130C">
          <w:rPr>
            <w:rStyle w:val="Lienhypertexte"/>
          </w:rPr>
          <w:t>http://fr.wikipedia.org/wiki/Tamarinier</w:t>
        </w:r>
      </w:hyperlink>
      <w:r>
        <w:t>,</w:t>
      </w:r>
      <w:r w:rsidR="00B479D8">
        <w:t xml:space="preserve"> </w:t>
      </w:r>
      <w:r>
        <w:t xml:space="preserve">b) </w:t>
      </w:r>
      <w:hyperlink r:id="rId280" w:history="1">
        <w:r w:rsidR="00B479D8" w:rsidRPr="00EE130C">
          <w:rPr>
            <w:rStyle w:val="Lienhypertexte"/>
          </w:rPr>
          <w:t>http://en.wikipedia.org/wiki/Tamarind</w:t>
        </w:r>
      </w:hyperlink>
      <w:r>
        <w:t>,</w:t>
      </w:r>
      <w:r w:rsidR="00B479D8">
        <w:t xml:space="preserve"> </w:t>
      </w:r>
      <w:r>
        <w:t xml:space="preserve"> </w:t>
      </w:r>
    </w:p>
    <w:p w14:paraId="5FBEB0F3" w14:textId="4182A4BD" w:rsidR="00162E18" w:rsidRDefault="00162E18" w:rsidP="00B479D8">
      <w:pPr>
        <w:spacing w:after="0" w:line="240" w:lineRule="auto"/>
      </w:pPr>
      <w:r>
        <w:t xml:space="preserve">c) http://fr.wikipedia.org/wiki/Tamarin_(fruit), d) </w:t>
      </w:r>
      <w:hyperlink r:id="rId281" w:history="1">
        <w:r w:rsidR="00B479D8" w:rsidRPr="00EE130C">
          <w:rPr>
            <w:rStyle w:val="Lienhypertexte"/>
          </w:rPr>
          <w:t>http://benjamin.lisan.free.fr/projetsreforestation/Fiche-presentation-tamarinier.pdf</w:t>
        </w:r>
      </w:hyperlink>
      <w:r w:rsidR="00B479D8">
        <w:t xml:space="preserve"> </w:t>
      </w:r>
    </w:p>
    <w:p w14:paraId="4BF6C0A6" w14:textId="77777777" w:rsidR="00B479D8" w:rsidRDefault="00B479D8" w:rsidP="00B479D8">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72"/>
        <w:gridCol w:w="3429"/>
        <w:gridCol w:w="3425"/>
      </w:tblGrid>
      <w:tr w:rsidR="00162E18" w14:paraId="691CB01B" w14:textId="77777777" w:rsidTr="00CB5B80">
        <w:tc>
          <w:tcPr>
            <w:tcW w:w="3596" w:type="dxa"/>
          </w:tcPr>
          <w:p w14:paraId="42989407" w14:textId="3CDF6C64" w:rsidR="00162E18" w:rsidRDefault="00CB5B80" w:rsidP="00162E18">
            <w:pPr>
              <w:jc w:val="center"/>
            </w:pPr>
            <w:r w:rsidRPr="00CB5B80">
              <w:rPr>
                <w:noProof/>
              </w:rPr>
              <w:drawing>
                <wp:inline distT="0" distB="0" distL="0" distR="0" wp14:anchorId="624DFB3D" wp14:editId="64AC34DD">
                  <wp:extent cx="2116138" cy="1584325"/>
                  <wp:effectExtent l="0" t="0" r="0" b="0"/>
                  <wp:docPr id="28684" name="Picture 12" descr="C:\Users\LISAN\Pictures\plantes-halophytes-xerophiles\Tamarindus indic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84" name="Picture 12" descr="C:\Users\LISAN\Pictures\plantes-halophytes-xerophiles\Tamarindus indica4.jpg"/>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2116138" cy="158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597" w:type="dxa"/>
          </w:tcPr>
          <w:p w14:paraId="7273B685" w14:textId="2ABF3E90" w:rsidR="00162E18" w:rsidRDefault="00CB5B80" w:rsidP="00162E18">
            <w:pPr>
              <w:jc w:val="center"/>
            </w:pPr>
            <w:r w:rsidRPr="00CB5B80">
              <w:rPr>
                <w:noProof/>
              </w:rPr>
              <w:drawing>
                <wp:inline distT="0" distB="0" distL="0" distR="0" wp14:anchorId="05CFD5F6" wp14:editId="114FE1F6">
                  <wp:extent cx="1362075" cy="1771650"/>
                  <wp:effectExtent l="0" t="0" r="9525" b="0"/>
                  <wp:docPr id="28682" name="Picture 10" descr="C:\Users\LISAN\Pictures\plantes-halophytes-xerophiles\Tamarindus ind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82" name="Picture 10" descr="C:\Users\LISAN\Pictures\plantes-halophytes-xerophiles\Tamarindus indica.jpg"/>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1362075" cy="1771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597" w:type="dxa"/>
          </w:tcPr>
          <w:p w14:paraId="5C2DEE52" w14:textId="394AE7D5" w:rsidR="00162E18" w:rsidRDefault="00CB5B80" w:rsidP="00162E18">
            <w:pPr>
              <w:jc w:val="center"/>
            </w:pPr>
            <w:r w:rsidRPr="00CB5B80">
              <w:rPr>
                <w:noProof/>
              </w:rPr>
              <w:drawing>
                <wp:inline distT="0" distB="0" distL="0" distR="0" wp14:anchorId="09ACB2FE" wp14:editId="415B813B">
                  <wp:extent cx="1079500" cy="1439862"/>
                  <wp:effectExtent l="0" t="0" r="6350" b="8255"/>
                  <wp:docPr id="28685" name="Picture 13" descr="C:\Users\LISAN\Pictures\plantes-halophytes-xerophiles\Tamarindus_indica_po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85" name="Picture 13" descr="C:\Users\LISAN\Pictures\plantes-halophytes-xerophiles\Tamarindus_indica_pods.JPG"/>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1079500" cy="14398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162E18" w14:paraId="5399E4D6" w14:textId="77777777" w:rsidTr="00CB5B80">
        <w:tc>
          <w:tcPr>
            <w:tcW w:w="3596" w:type="dxa"/>
          </w:tcPr>
          <w:p w14:paraId="0C9CE05E" w14:textId="1BD628D7" w:rsidR="00162E18" w:rsidRDefault="00CB5B80" w:rsidP="00162E18">
            <w:pPr>
              <w:jc w:val="center"/>
            </w:pPr>
            <w:r w:rsidRPr="00CB5B80">
              <w:rPr>
                <w:noProof/>
              </w:rPr>
              <w:drawing>
                <wp:inline distT="0" distB="0" distL="0" distR="0" wp14:anchorId="01E9941B" wp14:editId="78E374AC">
                  <wp:extent cx="2011363" cy="1316037"/>
                  <wp:effectExtent l="0" t="0" r="8255" b="0"/>
                  <wp:docPr id="28680" name="Picture 8" descr="C:\Users\LISAN\Pictures\plantes-halophytes-xerophiles\Tamarindus_indica-flow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80" name="Picture 8" descr="C:\Users\LISAN\Pictures\plantes-halophytes-xerophiles\Tamarindus_indica-flowers.jpg"/>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2011363" cy="13160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597" w:type="dxa"/>
          </w:tcPr>
          <w:p w14:paraId="7958207B" w14:textId="50713112" w:rsidR="00162E18" w:rsidRDefault="00CB5B80" w:rsidP="00162E18">
            <w:pPr>
              <w:jc w:val="center"/>
            </w:pPr>
            <w:r w:rsidRPr="00CB5B80">
              <w:rPr>
                <w:noProof/>
              </w:rPr>
              <w:drawing>
                <wp:inline distT="0" distB="0" distL="0" distR="0" wp14:anchorId="2174690A" wp14:editId="09EE74E2">
                  <wp:extent cx="1930400" cy="1447800"/>
                  <wp:effectExtent l="0" t="0" r="0" b="0"/>
                  <wp:docPr id="28681" name="Picture 9" descr="C:\Users\LISAN\Pictures\plantes-halophytes-xerophiles\Tamarindus indica frui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81" name="Picture 9" descr="C:\Users\LISAN\Pictures\plantes-halophytes-xerophiles\Tamarindus indica fruits.jpg"/>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1930400" cy="144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597" w:type="dxa"/>
          </w:tcPr>
          <w:p w14:paraId="44E30093" w14:textId="7504584F" w:rsidR="00162E18" w:rsidRDefault="00CB5B80" w:rsidP="00162E18">
            <w:pPr>
              <w:jc w:val="center"/>
            </w:pPr>
            <w:r w:rsidRPr="00CB5B80">
              <w:rPr>
                <w:noProof/>
              </w:rPr>
              <w:drawing>
                <wp:inline distT="0" distB="0" distL="0" distR="0" wp14:anchorId="42BCD7E5" wp14:editId="61B33625">
                  <wp:extent cx="1925638" cy="1444625"/>
                  <wp:effectExtent l="0" t="0" r="0" b="3175"/>
                  <wp:docPr id="28683" name="Picture 11" descr="C:\Users\LISAN\Pictures\plantes-halophytes-xerophiles\Tamarindus indic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83" name="Picture 11" descr="C:\Users\LISAN\Pictures\plantes-halophytes-xerophiles\Tamarindus indica3.jpg"/>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1925638" cy="144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0C4A141E" w14:textId="77777777" w:rsidR="00CB5B80" w:rsidRDefault="00CB5B80" w:rsidP="00CB5B80">
      <w:pPr>
        <w:spacing w:after="0" w:line="240" w:lineRule="auto"/>
        <w:jc w:val="cente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27"/>
        <w:gridCol w:w="5199"/>
      </w:tblGrid>
      <w:tr w:rsidR="00CB5B80" w14:paraId="3417C63B" w14:textId="77777777" w:rsidTr="00CB5B80">
        <w:tc>
          <w:tcPr>
            <w:tcW w:w="5395" w:type="dxa"/>
          </w:tcPr>
          <w:p w14:paraId="492A8B3A" w14:textId="6024752D" w:rsidR="00CB5B80" w:rsidRDefault="00CB5B80" w:rsidP="00CB5B80">
            <w:pPr>
              <w:jc w:val="center"/>
            </w:pPr>
            <w:r w:rsidRPr="00CB5B80">
              <w:rPr>
                <w:noProof/>
              </w:rPr>
              <w:lastRenderedPageBreak/>
              <w:drawing>
                <wp:inline distT="0" distB="0" distL="0" distR="0" wp14:anchorId="71B02852" wp14:editId="4A724706">
                  <wp:extent cx="2825490" cy="2095500"/>
                  <wp:effectExtent l="0" t="0" r="0" b="0"/>
                  <wp:docPr id="29699" name="Picture 3" descr="C:\Users\LISAN\Pictures\plantes-halophytes-xerophiles\Tamarindus indica_vieil_arbre_s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99" name="Picture 3" descr="C:\Users\LISAN\Pictures\plantes-halophytes-xerophiles\Tamarindus indica_vieil_arbre_ss2.jpg"/>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2828015" cy="2097373"/>
                          </a:xfrm>
                          <a:prstGeom prst="rect">
                            <a:avLst/>
                          </a:prstGeom>
                          <a:noFill/>
                          <a:ln>
                            <a:noFill/>
                          </a:ln>
                        </pic:spPr>
                      </pic:pic>
                    </a:graphicData>
                  </a:graphic>
                </wp:inline>
              </w:drawing>
            </w:r>
          </w:p>
        </w:tc>
        <w:tc>
          <w:tcPr>
            <w:tcW w:w="5395" w:type="dxa"/>
          </w:tcPr>
          <w:p w14:paraId="002C0711" w14:textId="671410A8" w:rsidR="00CB5B80" w:rsidRDefault="00CB5B80" w:rsidP="00CB5B80">
            <w:pPr>
              <w:jc w:val="center"/>
            </w:pPr>
            <w:r w:rsidRPr="00CB5B80">
              <w:rPr>
                <w:noProof/>
              </w:rPr>
              <w:drawing>
                <wp:inline distT="0" distB="0" distL="0" distR="0" wp14:anchorId="07CFE915" wp14:editId="6C6422BA">
                  <wp:extent cx="2751409" cy="2095500"/>
                  <wp:effectExtent l="0" t="0" r="0" b="0"/>
                  <wp:docPr id="29698" name="Picture 2" descr="C:\Users\LISAN\Pictures\plantes-halophytes-xerophiles\Tamarindus indica_vieux_tronc_s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98" name="Picture 2" descr="C:\Users\LISAN\Pictures\plantes-halophytes-xerophiles\Tamarindus indica_vieux_tronc_ss2.jpg"/>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2757390" cy="2100055"/>
                          </a:xfrm>
                          <a:prstGeom prst="rect">
                            <a:avLst/>
                          </a:prstGeom>
                          <a:noFill/>
                          <a:ln>
                            <a:noFill/>
                          </a:ln>
                        </pic:spPr>
                      </pic:pic>
                    </a:graphicData>
                  </a:graphic>
                </wp:inline>
              </w:drawing>
            </w:r>
          </w:p>
        </w:tc>
      </w:tr>
    </w:tbl>
    <w:p w14:paraId="65F660D6" w14:textId="77777777" w:rsidR="000C7DAF" w:rsidRDefault="00CB5B80" w:rsidP="000C7DAF">
      <w:pPr>
        <w:spacing w:after="0" w:line="240" w:lineRule="auto"/>
        <w:jc w:val="center"/>
      </w:pPr>
      <w:r w:rsidRPr="00CB5B80">
        <w:t xml:space="preserve">Vieux tamarinier (village près de Morombe, côte ouest de Madagascar) © B. LISAN. </w:t>
      </w:r>
    </w:p>
    <w:p w14:paraId="3A00D548" w14:textId="77777777" w:rsidR="000C7DAF" w:rsidRDefault="000C7DAF" w:rsidP="000C7DAF">
      <w:pPr>
        <w:spacing w:after="0" w:line="240" w:lineRule="auto"/>
      </w:pPr>
    </w:p>
    <w:p w14:paraId="39288C66" w14:textId="77777777" w:rsidR="000C7DAF" w:rsidRDefault="000C7DAF" w:rsidP="00B655B6">
      <w:pPr>
        <w:pStyle w:val="Titre2"/>
      </w:pPr>
      <w:bookmarkStart w:id="48" w:name="_Toc139181339"/>
      <w:r>
        <w:t>Caroubier (</w:t>
      </w:r>
      <w:r w:rsidRPr="00B655B6">
        <w:rPr>
          <w:i/>
          <w:iCs/>
        </w:rPr>
        <w:t>Ceratonia siliqua</w:t>
      </w:r>
      <w:r>
        <w:t>)</w:t>
      </w:r>
      <w:bookmarkEnd w:id="48"/>
    </w:p>
    <w:p w14:paraId="639EF00E" w14:textId="20108627" w:rsidR="000C7DAF" w:rsidRDefault="000C7DAF" w:rsidP="000C7DAF">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5"/>
        <w:gridCol w:w="2197"/>
        <w:gridCol w:w="1639"/>
        <w:gridCol w:w="414"/>
        <w:gridCol w:w="1371"/>
      </w:tblGrid>
      <w:tr w:rsidR="008F2681" w:rsidRPr="000B6BE3" w14:paraId="12FB4640" w14:textId="77777777" w:rsidTr="008F2681">
        <w:tc>
          <w:tcPr>
            <w:tcW w:w="4957" w:type="dxa"/>
          </w:tcPr>
          <w:p w14:paraId="7EB0AE0D" w14:textId="77777777" w:rsidR="008F2681" w:rsidRPr="000B6BE3" w:rsidRDefault="008F2681" w:rsidP="00E9600F">
            <w:pPr>
              <w:rPr>
                <w:rFonts w:cstheme="minorHAnsi"/>
                <w:bCs/>
              </w:rPr>
            </w:pPr>
            <w:r w:rsidRPr="000B6BE3">
              <w:rPr>
                <w:rFonts w:cstheme="minorHAnsi"/>
                <w:bCs/>
              </w:rPr>
              <w:t>(</w:t>
            </w:r>
            <w:hyperlink r:id="rId290" w:history="1">
              <w:r w:rsidRPr="000B6BE3">
                <w:rPr>
                  <w:rFonts w:cstheme="minorHAnsi"/>
                </w:rPr>
                <w:t>F</w:t>
              </w:r>
              <w:r w:rsidRPr="000B6BE3">
                <w:rPr>
                  <w:rStyle w:val="Lienhypertexte"/>
                  <w:rFonts w:cstheme="minorHAnsi"/>
                  <w:color w:val="0B0080"/>
                  <w:shd w:val="clear" w:color="auto" w:fill="FFFFFF"/>
                </w:rPr>
                <w:t>amille</w:t>
              </w:r>
            </w:hyperlink>
            <w:r w:rsidRPr="000B6BE3">
              <w:rPr>
                <w:rFonts w:cstheme="minorHAnsi"/>
                <w:color w:val="222222"/>
                <w:shd w:val="clear" w:color="auto" w:fill="FFFFFF"/>
              </w:rPr>
              <w:t> des </w:t>
            </w:r>
            <w:hyperlink r:id="rId291" w:tooltip="Fabaceae" w:history="1">
              <w:r w:rsidRPr="000B6BE3">
                <w:rPr>
                  <w:rStyle w:val="Lienhypertexte"/>
                  <w:rFonts w:cstheme="minorHAnsi"/>
                  <w:i/>
                  <w:iCs/>
                  <w:color w:val="0B0080"/>
                  <w:shd w:val="clear" w:color="auto" w:fill="FFFFFF"/>
                </w:rPr>
                <w:t>Fabaceae</w:t>
              </w:r>
            </w:hyperlink>
            <w:r w:rsidRPr="000B6BE3">
              <w:rPr>
                <w:rFonts w:cstheme="minorHAnsi"/>
                <w:bCs/>
              </w:rPr>
              <w:t>)</w:t>
            </w:r>
          </w:p>
          <w:p w14:paraId="6179CC1F" w14:textId="2F13DD9D" w:rsidR="008F2681" w:rsidRPr="000B6BE3" w:rsidRDefault="008F2681" w:rsidP="00E9600F">
            <w:pPr>
              <w:rPr>
                <w:rFonts w:cstheme="minorHAnsi"/>
              </w:rPr>
            </w:pPr>
          </w:p>
        </w:tc>
        <w:tc>
          <w:tcPr>
            <w:tcW w:w="2268" w:type="dxa"/>
          </w:tcPr>
          <w:p w14:paraId="1898BE18" w14:textId="600633A0" w:rsidR="008F2681" w:rsidRPr="000B6BE3" w:rsidRDefault="008F2681" w:rsidP="00E9600F">
            <w:pPr>
              <w:rPr>
                <w:rFonts w:cstheme="minorHAnsi"/>
              </w:rPr>
            </w:pPr>
            <w:r w:rsidRPr="000B6BE3">
              <w:rPr>
                <w:rFonts w:cstheme="minorHAnsi"/>
                <w:noProof/>
              </w:rPr>
              <w:t xml:space="preserve">  </w:t>
            </w:r>
            <w:r w:rsidRPr="008F2681">
              <w:rPr>
                <w:rFonts w:cstheme="minorHAnsi"/>
                <w:noProof/>
              </w:rPr>
              <w:drawing>
                <wp:inline distT="0" distB="0" distL="0" distR="0" wp14:anchorId="1DCEFF28" wp14:editId="291F5861">
                  <wp:extent cx="495300" cy="666750"/>
                  <wp:effectExtent l="0" t="0" r="0" b="0"/>
                  <wp:docPr id="30739" name="Image 18"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9" name="Image 18" descr="logo aride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r w:rsidRPr="008F2681">
              <w:rPr>
                <w:rFonts w:cstheme="minorHAnsi"/>
                <w:noProof/>
              </w:rPr>
              <w:drawing>
                <wp:inline distT="0" distB="0" distL="0" distR="0" wp14:anchorId="68F77BA1" wp14:editId="794ECF03">
                  <wp:extent cx="463550" cy="661988"/>
                  <wp:effectExtent l="0" t="0" r="0" b="5080"/>
                  <wp:docPr id="30740"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701" w:type="dxa"/>
          </w:tcPr>
          <w:p w14:paraId="36C169B9" w14:textId="75AAA89F" w:rsidR="008F2681" w:rsidRPr="000B6BE3" w:rsidRDefault="008F2681" w:rsidP="00E9600F">
            <w:pPr>
              <w:textAlignment w:val="baseline"/>
              <w:rPr>
                <w:rFonts w:cstheme="minorHAnsi"/>
              </w:rPr>
            </w:pPr>
            <w:r w:rsidRPr="00D1445E">
              <w:rPr>
                <w:rFonts w:eastAsia="+mn-ea" w:cstheme="minorHAnsi"/>
                <w:b/>
                <w:bCs/>
                <w:color w:val="008000"/>
                <w:kern w:val="24"/>
                <w:sz w:val="56"/>
                <w:szCs w:val="56"/>
              </w:rPr>
              <w:t>U</w:t>
            </w:r>
            <w:r>
              <w:rPr>
                <w:rFonts w:eastAsia="+mn-ea" w:cstheme="minorHAnsi"/>
                <w:b/>
                <w:bCs/>
                <w:color w:val="008000"/>
                <w:kern w:val="24"/>
                <w:sz w:val="56"/>
                <w:szCs w:val="56"/>
              </w:rPr>
              <w:t xml:space="preserve"> </w:t>
            </w:r>
            <w:r w:rsidRPr="00D1445E">
              <w:rPr>
                <w:rFonts w:eastAsia="+mn-ea" w:cstheme="minorHAnsi"/>
                <w:b/>
                <w:bCs/>
                <w:color w:val="008000"/>
                <w:kern w:val="24"/>
                <w:sz w:val="44"/>
                <w:szCs w:val="44"/>
              </w:rPr>
              <w:t>↗</w:t>
            </w:r>
            <w:r>
              <w:rPr>
                <w:rFonts w:eastAsia="+mn-ea" w:cstheme="minorHAnsi"/>
                <w:b/>
                <w:bCs/>
                <w:color w:val="008000"/>
                <w:kern w:val="24"/>
                <w:sz w:val="44"/>
                <w:szCs w:val="44"/>
              </w:rPr>
              <w:t xml:space="preserve"> $</w:t>
            </w:r>
          </w:p>
        </w:tc>
        <w:tc>
          <w:tcPr>
            <w:tcW w:w="425" w:type="dxa"/>
          </w:tcPr>
          <w:p w14:paraId="3501B13B" w14:textId="6A3EFA74" w:rsidR="008F2681" w:rsidRPr="000B6BE3" w:rsidRDefault="008F2681" w:rsidP="00E9600F">
            <w:pPr>
              <w:rPr>
                <w:rFonts w:cstheme="minorHAnsi"/>
              </w:rPr>
            </w:pPr>
          </w:p>
        </w:tc>
        <w:tc>
          <w:tcPr>
            <w:tcW w:w="1439" w:type="dxa"/>
          </w:tcPr>
          <w:p w14:paraId="1CF8E1CD" w14:textId="423444C4" w:rsidR="008F2681" w:rsidRPr="000B6BE3" w:rsidRDefault="008F2681" w:rsidP="00E9600F">
            <w:pPr>
              <w:rPr>
                <w:rFonts w:cstheme="minorHAnsi"/>
              </w:rPr>
            </w:pPr>
          </w:p>
        </w:tc>
      </w:tr>
    </w:tbl>
    <w:p w14:paraId="5D00B1C5" w14:textId="77777777" w:rsidR="008F2681" w:rsidRDefault="008F2681" w:rsidP="000C7DAF">
      <w:pPr>
        <w:spacing w:after="0" w:line="240" w:lineRule="auto"/>
      </w:pPr>
    </w:p>
    <w:p w14:paraId="636C4278" w14:textId="77777777" w:rsidR="000C7DAF" w:rsidRDefault="000C7DAF" w:rsidP="000C7DAF">
      <w:pPr>
        <w:spacing w:after="0" w:line="240" w:lineRule="auto"/>
      </w:pPr>
      <w:r>
        <w:t>Originaire des régions méditerranéennes,  Afrique du Nord, Proche-Orient, Europe méridionale, cet arbre thermophile (famille des fabacées) a été largement répandu, car cultivé pour son fruit, la caroube, et se plaît sur des pentes arides.</w:t>
      </w:r>
    </w:p>
    <w:p w14:paraId="4B3ED953" w14:textId="1AAF9C5D" w:rsidR="000C7DAF" w:rsidRDefault="000C7DAF" w:rsidP="000C7DAF">
      <w:pPr>
        <w:spacing w:after="0" w:line="240" w:lineRule="auto"/>
      </w:pPr>
      <w:r>
        <w:t xml:space="preserve">Il est adaptable à une large gamme de sols, sols sablonneux et pauvres, coteaux rocheux, les sols profonds. Préfère les terreaux [en Anglais « loams »] sableux bien drainés. Les sols calcaires à haute teneur en chaux conviennent également. Il semble bien tolérer la salinité (Source : </w:t>
      </w:r>
      <w:r w:rsidRPr="000C7DAF">
        <w:rPr>
          <w:i/>
          <w:iCs/>
        </w:rPr>
        <w:t>World Agroforestry Centre</w:t>
      </w:r>
      <w:r>
        <w:t>). Il ne tolère pas les sols gorgés d’eau.</w:t>
      </w:r>
    </w:p>
    <w:p w14:paraId="452415ED" w14:textId="77777777" w:rsidR="000C7DAF" w:rsidRDefault="000C7DAF" w:rsidP="000C7DAF">
      <w:pPr>
        <w:spacing w:after="0" w:line="240" w:lineRule="auto"/>
      </w:pPr>
      <w:r>
        <w:t>Le caroubier ne résiste que très peu au froid (environ - 5 °). Un arbre peut fournir entre 300 et 800 kg de caroubes par an.</w:t>
      </w:r>
    </w:p>
    <w:p w14:paraId="550A2E06" w14:textId="77777777" w:rsidR="008F2681" w:rsidRDefault="008F2681" w:rsidP="000C7DAF">
      <w:pPr>
        <w:spacing w:after="0" w:line="240" w:lineRule="auto"/>
      </w:pPr>
    </w:p>
    <w:p w14:paraId="1469F799" w14:textId="57899AF3" w:rsidR="000C7DAF" w:rsidRDefault="000C7DAF" w:rsidP="000C7DAF">
      <w:pPr>
        <w:spacing w:after="0" w:line="240" w:lineRule="auto"/>
      </w:pPr>
      <w:r>
        <w:t xml:space="preserve">Sources : a) http://fr.wikipedia.org/wiki/Caroubier, b) </w:t>
      </w:r>
      <w:hyperlink r:id="rId292" w:history="1">
        <w:r w:rsidR="008F2681" w:rsidRPr="009A5570">
          <w:rPr>
            <w:rStyle w:val="Lienhypertexte"/>
          </w:rPr>
          <w:t>http://en.wikipedia.org/wiki/Ceratonia_siliqua</w:t>
        </w:r>
      </w:hyperlink>
      <w:r>
        <w:t>,</w:t>
      </w:r>
      <w:r w:rsidR="008F2681">
        <w:t xml:space="preserve"> </w:t>
      </w:r>
      <w:r>
        <w:t xml:space="preserve"> </w:t>
      </w:r>
    </w:p>
    <w:p w14:paraId="6978C202" w14:textId="7DEDBFA6" w:rsidR="002C7013" w:rsidRDefault="000C7DAF" w:rsidP="000C7DAF">
      <w:pPr>
        <w:spacing w:after="0" w:line="240" w:lineRule="auto"/>
      </w:pPr>
      <w:r>
        <w:t xml:space="preserve">c) </w:t>
      </w:r>
      <w:hyperlink r:id="rId293" w:history="1">
        <w:r w:rsidR="008F2681" w:rsidRPr="009A5570">
          <w:rPr>
            <w:rStyle w:val="Lienhypertexte"/>
          </w:rPr>
          <w:t>http://benjamin.lisan.free.fr/projetsreforestation/Fiche-presentation-caroubier.pdf</w:t>
        </w:r>
      </w:hyperlink>
    </w:p>
    <w:p w14:paraId="448A16AC" w14:textId="7314F1C0" w:rsidR="008F2681" w:rsidRDefault="008F2681" w:rsidP="000C7DAF">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63"/>
        <w:gridCol w:w="5163"/>
      </w:tblGrid>
      <w:tr w:rsidR="00733701" w14:paraId="29880075" w14:textId="77777777" w:rsidTr="00733701">
        <w:tc>
          <w:tcPr>
            <w:tcW w:w="5395" w:type="dxa"/>
          </w:tcPr>
          <w:p w14:paraId="5A9523B8" w14:textId="77777777" w:rsidR="00733701" w:rsidRDefault="00733701" w:rsidP="00733701">
            <w:pPr>
              <w:jc w:val="center"/>
              <w:rPr>
                <w:noProof/>
              </w:rPr>
            </w:pPr>
            <w:r w:rsidRPr="00733701">
              <w:rPr>
                <w:noProof/>
              </w:rPr>
              <w:drawing>
                <wp:inline distT="0" distB="0" distL="0" distR="0" wp14:anchorId="5A5C9ADF" wp14:editId="2DAE5101">
                  <wp:extent cx="2882900" cy="2155825"/>
                  <wp:effectExtent l="0" t="0" r="0" b="0"/>
                  <wp:docPr id="30736" name="Picture 14" descr="C:\Users\LISAN\Pictures\plantes-halophytes-xerophiles\Ceratonia siliqu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6" name="Picture 14" descr="C:\Users\LISAN\Pictures\plantes-halophytes-xerophiles\Ceratonia siliqua4.JPG"/>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2882900" cy="2155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733701">
              <w:rPr>
                <w:noProof/>
              </w:rPr>
              <w:t xml:space="preserve"> </w:t>
            </w:r>
          </w:p>
          <w:p w14:paraId="61490EB4" w14:textId="3A6132E9" w:rsidR="00733701" w:rsidRDefault="00733701" w:rsidP="00B479D8">
            <w:pPr>
              <w:jc w:val="center"/>
            </w:pPr>
            <w:r w:rsidRPr="00733701">
              <w:t>Forme basse de ramification naturelle de l'arbre dans l'habitat naturel à </w:t>
            </w:r>
            <w:hyperlink r:id="rId295" w:history="1">
              <w:r w:rsidRPr="00733701">
                <w:rPr>
                  <w:rStyle w:val="Lienhypertexte"/>
                </w:rPr>
                <w:t>l'Oasis WWF</w:t>
              </w:r>
            </w:hyperlink>
            <w:r w:rsidRPr="00733701">
              <w:t xml:space="preserve"> de </w:t>
            </w:r>
            <w:hyperlink r:id="rId296" w:history="1">
              <w:r w:rsidRPr="00733701">
                <w:rPr>
                  <w:rStyle w:val="Lienhypertexte"/>
                </w:rPr>
                <w:t xml:space="preserve">Monte </w:t>
              </w:r>
            </w:hyperlink>
            <w:hyperlink r:id="rId297" w:history="1">
              <w:r w:rsidRPr="00733701">
                <w:rPr>
                  <w:rStyle w:val="Lienhypertexte"/>
                </w:rPr>
                <w:t>Arcosu</w:t>
              </w:r>
            </w:hyperlink>
            <w:r w:rsidRPr="00733701">
              <w:t> , </w:t>
            </w:r>
            <w:hyperlink r:id="rId298" w:history="1">
              <w:r w:rsidRPr="00733701">
                <w:rPr>
                  <w:rStyle w:val="Lienhypertexte"/>
                </w:rPr>
                <w:t>Sardaigne</w:t>
              </w:r>
            </w:hyperlink>
            <w:r w:rsidRPr="00733701">
              <w:t> , Italie.</w:t>
            </w:r>
            <w:r w:rsidR="00B479D8">
              <w:t xml:space="preserve"> © </w:t>
            </w:r>
            <w:r w:rsidRPr="00733701">
              <w:t>Wikipedia En.</w:t>
            </w:r>
          </w:p>
        </w:tc>
        <w:tc>
          <w:tcPr>
            <w:tcW w:w="5395" w:type="dxa"/>
          </w:tcPr>
          <w:p w14:paraId="389F7853" w14:textId="77777777" w:rsidR="00733701" w:rsidRDefault="00733701" w:rsidP="00733701">
            <w:pPr>
              <w:jc w:val="center"/>
            </w:pPr>
            <w:r w:rsidRPr="00733701">
              <w:rPr>
                <w:noProof/>
              </w:rPr>
              <w:drawing>
                <wp:inline distT="0" distB="0" distL="0" distR="0" wp14:anchorId="384AD3AE" wp14:editId="29A79BC5">
                  <wp:extent cx="2574925" cy="1930400"/>
                  <wp:effectExtent l="0" t="0" r="0" b="0"/>
                  <wp:docPr id="30729" name="Picture 9" descr="C:\Users\LISAN\Pictures\plantes-halophytes-xerophiles\Ceratonia siliqua_gous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9" name="Picture 9" descr="C:\Users\LISAN\Pictures\plantes-halophytes-xerophiles\Ceratonia siliqua_gousse.jpg"/>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2574925" cy="1930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69036D1D" w14:textId="77777777" w:rsidR="00733701" w:rsidRDefault="00733701" w:rsidP="00733701">
            <w:pPr>
              <w:jc w:val="center"/>
            </w:pPr>
          </w:p>
          <w:p w14:paraId="73864774" w14:textId="77777777" w:rsidR="00733701" w:rsidRDefault="00733701" w:rsidP="00733701">
            <w:pPr>
              <w:jc w:val="center"/>
            </w:pPr>
            <w:r w:rsidRPr="00733701">
              <w:rPr>
                <w:noProof/>
              </w:rPr>
              <w:lastRenderedPageBreak/>
              <w:drawing>
                <wp:inline distT="0" distB="0" distL="0" distR="0" wp14:anchorId="4286F3B2" wp14:editId="4E3FBF6B">
                  <wp:extent cx="1701800" cy="1276350"/>
                  <wp:effectExtent l="0" t="0" r="0" b="0"/>
                  <wp:docPr id="30731" name="Picture 11" descr="C:\Users\LISAN\Pictures\plantes-halophytes-xerophiles\Ceratonia siliqu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1" name="Picture 11" descr="C:\Users\LISAN\Pictures\plantes-halophytes-xerophiles\Ceratonia siliqua3.JPG"/>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1701800" cy="1276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t xml:space="preserve">  </w:t>
            </w:r>
            <w:r w:rsidRPr="00733701">
              <w:rPr>
                <w:noProof/>
              </w:rPr>
              <w:drawing>
                <wp:inline distT="0" distB="0" distL="0" distR="0" wp14:anchorId="32676E5D" wp14:editId="4501B775">
                  <wp:extent cx="1073150" cy="804863"/>
                  <wp:effectExtent l="0" t="0" r="0" b="0"/>
                  <wp:docPr id="30734" name="Picture 12" descr="C:\Users\LISAN\Pictures\plantes-halophytes-xerophiles\Carob_tree_lea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4" name="Picture 12" descr="C:\Users\LISAN\Pictures\plantes-halophytes-xerophiles\Carob_tree_leaf.JPG"/>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1073150" cy="8048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AC603AE" w14:textId="0F4AFB0B" w:rsidR="00733701" w:rsidRDefault="00733701" w:rsidP="00733701">
            <w:pPr>
              <w:jc w:val="center"/>
            </w:pPr>
            <w:r w:rsidRPr="00733701">
              <w:t>Gousses verte et mûres</w:t>
            </w:r>
            <w:r>
              <w:t xml:space="preserve"> (à gauche), feuille (à droite)</w:t>
            </w:r>
          </w:p>
        </w:tc>
      </w:tr>
      <w:tr w:rsidR="00733701" w14:paraId="3D676E1F" w14:textId="77777777" w:rsidTr="00733701">
        <w:tc>
          <w:tcPr>
            <w:tcW w:w="5395" w:type="dxa"/>
          </w:tcPr>
          <w:p w14:paraId="61863E9A" w14:textId="40E3EC32" w:rsidR="00733701" w:rsidRDefault="00733701" w:rsidP="00733701">
            <w:pPr>
              <w:jc w:val="center"/>
            </w:pPr>
            <w:r w:rsidRPr="00733701">
              <w:rPr>
                <w:noProof/>
              </w:rPr>
              <w:lastRenderedPageBreak/>
              <w:drawing>
                <wp:inline distT="0" distB="0" distL="0" distR="0" wp14:anchorId="02E9022D" wp14:editId="40051AD1">
                  <wp:extent cx="2400300" cy="1800225"/>
                  <wp:effectExtent l="0" t="0" r="0" b="9525"/>
                  <wp:docPr id="30730" name="Picture 10" descr="C:\Users\LISAN\Pictures\plantes-halophytes-xerophiles\Ceratonia siliqu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0" name="Picture 10" descr="C:\Users\LISAN\Pictures\plantes-halophytes-xerophiles\Ceratonia siliqua2.JPG"/>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2400300" cy="1800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314C4C0E" w14:textId="77777777" w:rsidR="00733701" w:rsidRDefault="00733701" w:rsidP="00733701">
            <w:pPr>
              <w:jc w:val="center"/>
            </w:pPr>
          </w:p>
          <w:p w14:paraId="4371F80D" w14:textId="4A8D7EF5" w:rsidR="00733701" w:rsidRDefault="00733701" w:rsidP="00733701">
            <w:pPr>
              <w:jc w:val="center"/>
            </w:pPr>
            <w:r w:rsidRPr="00733701">
              <w:rPr>
                <w:noProof/>
              </w:rPr>
              <w:drawing>
                <wp:inline distT="0" distB="0" distL="0" distR="0" wp14:anchorId="0A9CF58B" wp14:editId="42847C62">
                  <wp:extent cx="1727200" cy="1295400"/>
                  <wp:effectExtent l="0" t="0" r="6350" b="0"/>
                  <wp:docPr id="30728" name="Picture 8" descr="C:\Users\LISAN\Pictures\plantes-halophytes-xerophiles\Ceratonia_siliqua_flow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8" name="Picture 8" descr="C:\Users\LISAN\Pictures\plantes-halophytes-xerophiles\Ceratonia_siliqua_flower.jpg"/>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727200" cy="129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t xml:space="preserve"> </w:t>
            </w:r>
            <w:r w:rsidRPr="00733701">
              <w:rPr>
                <w:noProof/>
              </w:rPr>
              <w:drawing>
                <wp:inline distT="0" distB="0" distL="0" distR="0" wp14:anchorId="4A640D40" wp14:editId="7B5D3939">
                  <wp:extent cx="901700" cy="1511300"/>
                  <wp:effectExtent l="0" t="0" r="0" b="0"/>
                  <wp:docPr id="30735" name="Picture 13" descr="C:\Users\LISAN\Pictures\plantes-halophytes-xerophiles\Ceratonia_siliqua_female_flow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5" name="Picture 13" descr="C:\Users\LISAN\Pictures\plantes-halophytes-xerophiles\Ceratonia_siliqua_female_flowers.jpg"/>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901700" cy="1511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61C7953" w14:textId="5317AE0F" w:rsidR="00733701" w:rsidRDefault="00733701" w:rsidP="00733701">
            <w:pPr>
              <w:jc w:val="center"/>
            </w:pPr>
            <w:r w:rsidRPr="00733701">
              <w:t>Fleurs mâles ↑ et femelles ↗</w:t>
            </w:r>
          </w:p>
        </w:tc>
      </w:tr>
    </w:tbl>
    <w:p w14:paraId="534C3370" w14:textId="77777777" w:rsidR="00733701" w:rsidRDefault="00733701" w:rsidP="00733701">
      <w:pPr>
        <w:spacing w:after="0" w:line="240" w:lineRule="auto"/>
      </w:pPr>
    </w:p>
    <w:p w14:paraId="78192828" w14:textId="7C00DA8B" w:rsidR="00E9697D" w:rsidRDefault="00E9697D" w:rsidP="00B655B6">
      <w:pPr>
        <w:pStyle w:val="Titre2"/>
      </w:pPr>
      <w:bookmarkStart w:id="49" w:name="_Toc139181340"/>
      <w:r>
        <w:t>Pistachier commun ou pistachier vrai (</w:t>
      </w:r>
      <w:r w:rsidRPr="00E9697D">
        <w:rPr>
          <w:i/>
          <w:iCs/>
        </w:rPr>
        <w:t>Pistacia vera</w:t>
      </w:r>
      <w:r>
        <w:t>)</w:t>
      </w:r>
      <w:bookmarkEnd w:id="49"/>
    </w:p>
    <w:p w14:paraId="782685FB" w14:textId="216595EA" w:rsidR="00E9697D" w:rsidRDefault="00E9697D" w:rsidP="00E9697D">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7"/>
        <w:gridCol w:w="2203"/>
        <w:gridCol w:w="1644"/>
        <w:gridCol w:w="415"/>
        <w:gridCol w:w="1377"/>
      </w:tblGrid>
      <w:tr w:rsidR="00DA44E0" w:rsidRPr="000B6BE3" w14:paraId="2F613BF6" w14:textId="77777777" w:rsidTr="00E9600F">
        <w:tc>
          <w:tcPr>
            <w:tcW w:w="4957" w:type="dxa"/>
          </w:tcPr>
          <w:p w14:paraId="7A95DB31" w14:textId="3C368B6F" w:rsidR="00DA44E0" w:rsidRPr="000B6BE3" w:rsidRDefault="00DA44E0" w:rsidP="00E9600F">
            <w:pPr>
              <w:rPr>
                <w:rFonts w:cstheme="minorHAnsi"/>
                <w:bCs/>
              </w:rPr>
            </w:pPr>
            <w:r w:rsidRPr="000B6BE3">
              <w:rPr>
                <w:rFonts w:cstheme="minorHAnsi"/>
                <w:bCs/>
              </w:rPr>
              <w:t>(</w:t>
            </w:r>
            <w:hyperlink r:id="rId305" w:history="1">
              <w:r w:rsidRPr="000B6BE3">
                <w:rPr>
                  <w:rFonts w:cstheme="minorHAnsi"/>
                </w:rPr>
                <w:t>F</w:t>
              </w:r>
              <w:r w:rsidRPr="000B6BE3">
                <w:rPr>
                  <w:rStyle w:val="Lienhypertexte"/>
                  <w:rFonts w:cstheme="minorHAnsi"/>
                  <w:color w:val="0B0080"/>
                  <w:shd w:val="clear" w:color="auto" w:fill="FFFFFF"/>
                </w:rPr>
                <w:t>amille</w:t>
              </w:r>
            </w:hyperlink>
            <w:r w:rsidRPr="000B6BE3">
              <w:rPr>
                <w:rFonts w:cstheme="minorHAnsi"/>
                <w:color w:val="222222"/>
                <w:shd w:val="clear" w:color="auto" w:fill="FFFFFF"/>
              </w:rPr>
              <w:t> des</w:t>
            </w:r>
            <w:r>
              <w:rPr>
                <w:rFonts w:cstheme="minorHAnsi"/>
                <w:color w:val="222222"/>
                <w:shd w:val="clear" w:color="auto" w:fill="FFFFFF"/>
              </w:rPr>
              <w:t xml:space="preserve"> </w:t>
            </w:r>
            <w:r w:rsidRPr="00DA44E0">
              <w:rPr>
                <w:rFonts w:cstheme="minorHAnsi"/>
                <w:i/>
                <w:iCs/>
                <w:color w:val="222222"/>
                <w:shd w:val="clear" w:color="auto" w:fill="FFFFFF"/>
              </w:rPr>
              <w:t>Anacardiaceae</w:t>
            </w:r>
            <w:r w:rsidRPr="000B6BE3">
              <w:rPr>
                <w:rFonts w:cstheme="minorHAnsi"/>
                <w:bCs/>
              </w:rPr>
              <w:t>)</w:t>
            </w:r>
          </w:p>
          <w:p w14:paraId="6206DC10" w14:textId="77777777" w:rsidR="00DA44E0" w:rsidRPr="000B6BE3" w:rsidRDefault="00DA44E0" w:rsidP="00E9600F">
            <w:pPr>
              <w:rPr>
                <w:rFonts w:cstheme="minorHAnsi"/>
              </w:rPr>
            </w:pPr>
          </w:p>
        </w:tc>
        <w:tc>
          <w:tcPr>
            <w:tcW w:w="2268" w:type="dxa"/>
          </w:tcPr>
          <w:p w14:paraId="3C3535FE" w14:textId="77777777" w:rsidR="00DA44E0" w:rsidRPr="000B6BE3" w:rsidRDefault="00DA44E0" w:rsidP="00E9600F">
            <w:pPr>
              <w:rPr>
                <w:rFonts w:cstheme="minorHAnsi"/>
              </w:rPr>
            </w:pPr>
            <w:r w:rsidRPr="000B6BE3">
              <w:rPr>
                <w:rFonts w:cstheme="minorHAnsi"/>
                <w:noProof/>
              </w:rPr>
              <w:t xml:space="preserve">  </w:t>
            </w:r>
            <w:r w:rsidRPr="008F2681">
              <w:rPr>
                <w:rFonts w:cstheme="minorHAnsi"/>
                <w:noProof/>
              </w:rPr>
              <w:drawing>
                <wp:inline distT="0" distB="0" distL="0" distR="0" wp14:anchorId="404613B3" wp14:editId="5B6E90DE">
                  <wp:extent cx="495300" cy="666750"/>
                  <wp:effectExtent l="0" t="0" r="0" b="0"/>
                  <wp:docPr id="29703" name="Image 18"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9" name="Image 18" descr="logo aride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r w:rsidRPr="008F2681">
              <w:rPr>
                <w:rFonts w:cstheme="minorHAnsi"/>
                <w:noProof/>
              </w:rPr>
              <w:drawing>
                <wp:inline distT="0" distB="0" distL="0" distR="0" wp14:anchorId="3BB8827E" wp14:editId="3073008E">
                  <wp:extent cx="463550" cy="661988"/>
                  <wp:effectExtent l="0" t="0" r="0" b="5080"/>
                  <wp:docPr id="29704"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701" w:type="dxa"/>
          </w:tcPr>
          <w:p w14:paraId="6065257E" w14:textId="14120001" w:rsidR="00DA44E0" w:rsidRPr="000B6BE3" w:rsidRDefault="00DA44E0" w:rsidP="00E9600F">
            <w:pPr>
              <w:textAlignment w:val="baseline"/>
              <w:rPr>
                <w:rFonts w:cstheme="minorHAnsi"/>
              </w:rPr>
            </w:pPr>
            <w:r w:rsidRPr="00D1445E">
              <w:rPr>
                <w:rFonts w:eastAsia="+mn-ea" w:cstheme="minorHAnsi"/>
                <w:b/>
                <w:bCs/>
                <w:color w:val="008000"/>
                <w:kern w:val="24"/>
                <w:sz w:val="56"/>
                <w:szCs w:val="56"/>
              </w:rPr>
              <w:t>U</w:t>
            </w:r>
            <w:r>
              <w:rPr>
                <w:rFonts w:eastAsia="+mn-ea" w:cstheme="minorHAnsi"/>
                <w:b/>
                <w:bCs/>
                <w:color w:val="008000"/>
                <w:kern w:val="24"/>
                <w:sz w:val="44"/>
                <w:szCs w:val="44"/>
              </w:rPr>
              <w:t xml:space="preserve"> $</w:t>
            </w:r>
          </w:p>
        </w:tc>
        <w:tc>
          <w:tcPr>
            <w:tcW w:w="425" w:type="dxa"/>
          </w:tcPr>
          <w:p w14:paraId="235C32E9" w14:textId="77777777" w:rsidR="00DA44E0" w:rsidRPr="000B6BE3" w:rsidRDefault="00DA44E0" w:rsidP="00E9600F">
            <w:pPr>
              <w:rPr>
                <w:rFonts w:cstheme="minorHAnsi"/>
              </w:rPr>
            </w:pPr>
          </w:p>
        </w:tc>
        <w:tc>
          <w:tcPr>
            <w:tcW w:w="1439" w:type="dxa"/>
          </w:tcPr>
          <w:p w14:paraId="2319C9D9" w14:textId="77777777" w:rsidR="00DA44E0" w:rsidRPr="000B6BE3" w:rsidRDefault="00DA44E0" w:rsidP="00E9600F">
            <w:pPr>
              <w:rPr>
                <w:rFonts w:cstheme="minorHAnsi"/>
              </w:rPr>
            </w:pPr>
          </w:p>
        </w:tc>
      </w:tr>
    </w:tbl>
    <w:p w14:paraId="5135088D" w14:textId="77777777" w:rsidR="00DA44E0" w:rsidRDefault="00DA44E0" w:rsidP="00E9697D">
      <w:pPr>
        <w:spacing w:after="0" w:line="240" w:lineRule="auto"/>
      </w:pPr>
    </w:p>
    <w:p w14:paraId="78EEED55" w14:textId="77777777" w:rsidR="00E9697D" w:rsidRDefault="00E9697D" w:rsidP="00E9697D">
      <w:pPr>
        <w:spacing w:after="0" w:line="240" w:lineRule="auto"/>
        <w:jc w:val="both"/>
      </w:pPr>
      <w:r>
        <w:t xml:space="preserve">Le pistachier cultivé (famille des </w:t>
      </w:r>
      <w:r w:rsidRPr="00E9697D">
        <w:rPr>
          <w:i/>
          <w:iCs/>
        </w:rPr>
        <w:t>Anacardiaceae</w:t>
      </w:r>
      <w:r>
        <w:t>) est un arbuste de 3 à 10 mètres, qui pousse dans les garrigues et surtout dans les maquis au climat méditerranéen.</w:t>
      </w:r>
    </w:p>
    <w:p w14:paraId="0113DF87" w14:textId="77777777" w:rsidR="00E9697D" w:rsidRDefault="00E9697D" w:rsidP="00E9697D">
      <w:pPr>
        <w:spacing w:after="0" w:line="240" w:lineRule="auto"/>
        <w:jc w:val="both"/>
      </w:pPr>
      <w:r>
        <w:t>Le pistachier est une plante du désert et est très tolérant au sol salin. Il a été rapporté bien grandir lorsqu'il est irrigué avec de l'eau ayant 3000-4000 ppm de sels solubles [7]. Les pistachiers sont assez robustes dans de bonnes conditions, et peuvent survivre à des températures comprises entre -10 ° C (14 ° F) en hiver et 48 ° C (118 ° F) en été. Ils ont besoin d'une situation ensoleillée et d’un sol bien drainé. </w:t>
      </w:r>
    </w:p>
    <w:p w14:paraId="7272E514" w14:textId="3498766B" w:rsidR="00E9697D" w:rsidRDefault="00E9697D" w:rsidP="00E9697D">
      <w:pPr>
        <w:spacing w:after="0" w:line="240" w:lineRule="auto"/>
        <w:jc w:val="both"/>
      </w:pPr>
      <w:r>
        <w:t>Les pistachiers deviennent maladifs dans des conditions de forte humidité, et sont sensibles à la pourriture des racines, en hiver, s’ils ont trop d'eau et si le sol n'est pas suffisamment drainé. Des étés longs et chauds sont nécessaires pour le bon mûrissement du fruit.</w:t>
      </w:r>
    </w:p>
    <w:p w14:paraId="3CCB2275" w14:textId="6B1EC9ED" w:rsidR="00E9697D" w:rsidRDefault="00E9697D" w:rsidP="00E9697D">
      <w:pPr>
        <w:spacing w:after="0" w:line="240" w:lineRule="auto"/>
        <w:jc w:val="both"/>
      </w:pPr>
      <w:r>
        <w:t>Les pistachiers sont vulnérables à une grande variété de maladies</w:t>
      </w:r>
      <w:r w:rsidR="00BF36F3">
        <w:t xml:space="preserve"> (voir ci-dessous)</w:t>
      </w:r>
      <w:r>
        <w:t>. Parmi ceux-ci est l'infection par le champignon </w:t>
      </w:r>
      <w:r w:rsidRPr="00E9697D">
        <w:rPr>
          <w:i/>
          <w:iCs/>
        </w:rPr>
        <w:t>Botryosphaeria</w:t>
      </w:r>
      <w:r>
        <w:t>, ce qui provoque la panicule et la brûlure des pousses (c’est-à-dire qu’il tue les fleurs et les jeunes pousses), et peut endommager des vergers entiers de pistachiers.</w:t>
      </w:r>
    </w:p>
    <w:p w14:paraId="57F5C0FD" w14:textId="77777777" w:rsidR="00E9697D" w:rsidRDefault="00E9697D" w:rsidP="00E9697D">
      <w:pPr>
        <w:spacing w:after="0" w:line="240" w:lineRule="auto"/>
        <w:jc w:val="both"/>
      </w:pPr>
      <w:r w:rsidRPr="00E9697D">
        <w:rPr>
          <w:i/>
          <w:iCs/>
        </w:rPr>
        <w:t>Pistacia vera</w:t>
      </w:r>
      <w:r>
        <w:t> est souvent confondue avec d'autres espèces du genre </w:t>
      </w:r>
      <w:r w:rsidRPr="00E9697D">
        <w:rPr>
          <w:i/>
          <w:iCs/>
        </w:rPr>
        <w:t>Pistacia</w:t>
      </w:r>
      <w:r>
        <w:t> qui sont également connue sous le nom de pistachier. Ces espèces peuvent être distinguées de </w:t>
      </w:r>
      <w:r w:rsidRPr="00E9697D">
        <w:rPr>
          <w:i/>
          <w:iCs/>
        </w:rPr>
        <w:t>P. vera</w:t>
      </w:r>
      <w:r>
        <w:t> par leurs distributions géographiques (dans la nature), et leurs graines qui sont beaucoup plus petites et ont une coque plus fine. Il se reproduit par semis.</w:t>
      </w:r>
    </w:p>
    <w:p w14:paraId="09F985A0" w14:textId="77777777" w:rsidR="00E9697D" w:rsidRDefault="00E9697D" w:rsidP="00E9697D">
      <w:pPr>
        <w:spacing w:after="0" w:line="240" w:lineRule="auto"/>
      </w:pPr>
    </w:p>
    <w:p w14:paraId="44880B30" w14:textId="2EF7F379" w:rsidR="00E9697D" w:rsidRPr="00712B10" w:rsidRDefault="00E9697D" w:rsidP="00E9697D">
      <w:pPr>
        <w:spacing w:after="0" w:line="240" w:lineRule="auto"/>
      </w:pPr>
      <w:r w:rsidRPr="00E9697D">
        <w:t>Sources</w:t>
      </w:r>
      <w:r w:rsidRPr="00712B10">
        <w:t xml:space="preserve"> : a) </w:t>
      </w:r>
      <w:hyperlink r:id="rId306" w:history="1">
        <w:r w:rsidRPr="00712B10">
          <w:rPr>
            <w:rStyle w:val="Lienhypertexte"/>
          </w:rPr>
          <w:t>http://fr.wikipedia.org/wiki/Pistacia_vera</w:t>
        </w:r>
      </w:hyperlink>
      <w:r w:rsidRPr="00712B10">
        <w:t xml:space="preserve">, b) </w:t>
      </w:r>
      <w:hyperlink r:id="rId307" w:history="1">
        <w:r w:rsidRPr="00712B10">
          <w:rPr>
            <w:rStyle w:val="Lienhypertexte"/>
          </w:rPr>
          <w:t>http://en.wikipedia.org/wiki/Pistachio</w:t>
        </w:r>
      </w:hyperlink>
      <w:r w:rsidRPr="00712B10">
        <w:t xml:space="preserve">,  </w:t>
      </w:r>
    </w:p>
    <w:p w14:paraId="322215E4" w14:textId="664814B7" w:rsidR="00E9697D" w:rsidRPr="00E9697D" w:rsidRDefault="00E9697D" w:rsidP="00E9697D">
      <w:pPr>
        <w:spacing w:after="0" w:line="240" w:lineRule="auto"/>
        <w:rPr>
          <w:lang w:val="en-GB"/>
        </w:rPr>
      </w:pPr>
      <w:r w:rsidRPr="00E9697D">
        <w:rPr>
          <w:lang w:val="en-GB"/>
        </w:rPr>
        <w:t xml:space="preserve">c) </w:t>
      </w:r>
      <w:r w:rsidRPr="00E9697D">
        <w:rPr>
          <w:i/>
          <w:iCs/>
          <w:lang w:val="en-GB"/>
        </w:rPr>
        <w:t>New pistachio varieties</w:t>
      </w:r>
      <w:r w:rsidRPr="00E9697D">
        <w:rPr>
          <w:lang w:val="en-GB"/>
        </w:rPr>
        <w:t xml:space="preserve">, </w:t>
      </w:r>
      <w:hyperlink r:id="rId308" w:history="1">
        <w:r w:rsidRPr="009A5570">
          <w:rPr>
            <w:rStyle w:val="Lienhypertexte"/>
            <w:lang w:val="en-GB"/>
          </w:rPr>
          <w:t>http://californiaagriculture.ucanr.edu/landingpage.cfm?article=ca.v063n01p18&amp;fulltext=yes</w:t>
        </w:r>
      </w:hyperlink>
      <w:r>
        <w:rPr>
          <w:lang w:val="en-GB"/>
        </w:rPr>
        <w:t xml:space="preserve"> </w:t>
      </w:r>
      <w:r w:rsidRPr="00E9697D">
        <w:rPr>
          <w:lang w:val="en-GB"/>
        </w:rPr>
        <w:t xml:space="preserve"> </w:t>
      </w:r>
    </w:p>
    <w:p w14:paraId="1FFEDC02" w14:textId="4A7DA38D" w:rsidR="00733701" w:rsidRDefault="00BF36F3" w:rsidP="00E9697D">
      <w:pPr>
        <w:spacing w:after="0" w:line="240" w:lineRule="auto"/>
      </w:pPr>
      <w:r w:rsidRPr="00BF36F3">
        <w:t>d</w:t>
      </w:r>
      <w:r w:rsidR="00E9697D">
        <w:t xml:space="preserve">) </w:t>
      </w:r>
      <w:r w:rsidR="00E9697D" w:rsidRPr="00E9697D">
        <w:rPr>
          <w:i/>
          <w:iCs/>
        </w:rPr>
        <w:t>Liste des maladies des pistachiers</w:t>
      </w:r>
      <w:r w:rsidR="00E9697D">
        <w:t xml:space="preserve"> : </w:t>
      </w:r>
      <w:hyperlink r:id="rId309" w:history="1">
        <w:r w:rsidR="00E9697D" w:rsidRPr="009A5570">
          <w:rPr>
            <w:rStyle w:val="Lienhypertexte"/>
          </w:rPr>
          <w:t>http://en.wikipedia.org/wiki/List_of_pistachio_diseases</w:t>
        </w:r>
      </w:hyperlink>
      <w:r w:rsidR="00E9697D">
        <w:t xml:space="preserve"> </w:t>
      </w:r>
    </w:p>
    <w:p w14:paraId="50F84578" w14:textId="5F8DDFFD" w:rsidR="00631C53" w:rsidRDefault="00631C53" w:rsidP="00E9697D">
      <w:pPr>
        <w:spacing w:after="0" w:line="240" w:lineRule="auto"/>
      </w:pPr>
    </w:p>
    <w:p w14:paraId="60D6CD1E" w14:textId="4261C0F1" w:rsidR="00631C53" w:rsidRDefault="00631C53" w:rsidP="00E9697D">
      <w:pPr>
        <w:spacing w:after="0" w:line="240" w:lineRule="auto"/>
      </w:pPr>
      <w:r w:rsidRPr="00631C53">
        <w:rPr>
          <w:noProof/>
        </w:rPr>
        <w:lastRenderedPageBreak/>
        <w:drawing>
          <wp:inline distT="0" distB="0" distL="0" distR="0" wp14:anchorId="7C680FFD" wp14:editId="3F3A44D6">
            <wp:extent cx="6718300" cy="2073275"/>
            <wp:effectExtent l="0" t="0" r="6350" b="3175"/>
            <wp:docPr id="32775" name="Picture 2" descr="C:\Users\LISAN\Pictures\plantes-halophytes-xerophiles\Pistacia vera_plan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5" name="Picture 2" descr="C:\Users\LISAN\Pictures\plantes-halophytes-xerophiles\Pistacia vera_plank.jpg"/>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6718300" cy="2073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9806930" w14:textId="77777777" w:rsidR="00D95CBF" w:rsidRDefault="00D95CBF" w:rsidP="00D95CBF">
      <w:pPr>
        <w:spacing w:after="0" w:line="240" w:lineRule="auto"/>
        <w:jc w:val="both"/>
      </w:pPr>
    </w:p>
    <w:p w14:paraId="3B33A8DB" w14:textId="4D907905" w:rsidR="00631C53" w:rsidRDefault="00D95CBF" w:rsidP="00D95CBF">
      <w:pPr>
        <w:spacing w:after="0" w:line="240" w:lineRule="auto"/>
        <w:jc w:val="both"/>
      </w:pPr>
      <w:r w:rsidRPr="00D95CBF">
        <w:t>Comme pour la plupart des plantes pollinisées par le vent, les fleurs de pistache sont petites et peu voyantes, comme avec, à gauche, la femelle 'Golden Hills' et, au centre, le mâle 'Randy'. En Californie, les arbres mâles sont généralement plantés tous les cinq arbres sur cinq rangées, pour assurer une pollinisation adéquate. À droite, une grappe de noix « Golden Hill » démontre un plus grand développement de la couleur rouge, dans la coque, que</w:t>
      </w:r>
      <w:r w:rsidR="00781991">
        <w:t xml:space="preserve"> pour le</w:t>
      </w:r>
      <w:r w:rsidRPr="00D95CBF">
        <w:t xml:space="preserve"> « Kernam ».</w:t>
      </w:r>
    </w:p>
    <w:p w14:paraId="5509915B" w14:textId="6B1A4039" w:rsidR="00BF36F3" w:rsidRDefault="00BF36F3" w:rsidP="00E9697D">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106"/>
        <w:gridCol w:w="2977"/>
        <w:gridCol w:w="3123"/>
      </w:tblGrid>
      <w:tr w:rsidR="00463E4F" w14:paraId="44C00463" w14:textId="77777777" w:rsidTr="006F2D8F">
        <w:tc>
          <w:tcPr>
            <w:tcW w:w="4106" w:type="dxa"/>
          </w:tcPr>
          <w:p w14:paraId="1BB22754" w14:textId="3259A59A" w:rsidR="00463E4F" w:rsidRDefault="00D95CBF" w:rsidP="00463E4F">
            <w:pPr>
              <w:jc w:val="center"/>
            </w:pPr>
            <w:r w:rsidRPr="00DA44E0">
              <w:rPr>
                <w:noProof/>
              </w:rPr>
              <w:drawing>
                <wp:inline distT="0" distB="0" distL="0" distR="0" wp14:anchorId="3432C1B7" wp14:editId="1A3E48DF">
                  <wp:extent cx="2178050" cy="1631950"/>
                  <wp:effectExtent l="0" t="0" r="0" b="6350"/>
                  <wp:docPr id="31755" name="Image 12" descr="pistacia vera_arbr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55" name="Image 12" descr="pistacia vera_arbre2.jpg"/>
                          <pic:cNvPicPr>
                            <a:picLocks noChangeAspect="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2178050" cy="163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2977" w:type="dxa"/>
          </w:tcPr>
          <w:p w14:paraId="71055154" w14:textId="77777777" w:rsidR="00463E4F" w:rsidRDefault="00DA44E0" w:rsidP="00463E4F">
            <w:pPr>
              <w:jc w:val="center"/>
            </w:pPr>
            <w:r w:rsidRPr="00DA44E0">
              <w:rPr>
                <w:noProof/>
              </w:rPr>
              <w:drawing>
                <wp:inline distT="0" distB="0" distL="0" distR="0" wp14:anchorId="35DE9414" wp14:editId="681FD6E1">
                  <wp:extent cx="1730219" cy="1190625"/>
                  <wp:effectExtent l="0" t="0" r="3810" b="0"/>
                  <wp:docPr id="31756" name="Image 13" descr="pistacia vera flow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56" name="Image 13" descr="pistacia vera flower.jpg"/>
                          <pic:cNvPicPr>
                            <a:picLocks noChangeAspect="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1731953" cy="1191819"/>
                          </a:xfrm>
                          <a:prstGeom prst="rect">
                            <a:avLst/>
                          </a:prstGeom>
                          <a:noFill/>
                          <a:ln>
                            <a:noFill/>
                          </a:ln>
                        </pic:spPr>
                      </pic:pic>
                    </a:graphicData>
                  </a:graphic>
                </wp:inline>
              </w:drawing>
            </w:r>
          </w:p>
          <w:p w14:paraId="1C9B7D29" w14:textId="46732BCF" w:rsidR="00DA44E0" w:rsidRDefault="00DA44E0" w:rsidP="00463E4F">
            <w:pPr>
              <w:jc w:val="center"/>
            </w:pPr>
            <w:r>
              <w:t>Fleurs</w:t>
            </w:r>
          </w:p>
        </w:tc>
        <w:tc>
          <w:tcPr>
            <w:tcW w:w="3123" w:type="dxa"/>
          </w:tcPr>
          <w:p w14:paraId="13FC00E6" w14:textId="77777777" w:rsidR="00463E4F" w:rsidRDefault="00DA44E0" w:rsidP="00463E4F">
            <w:pPr>
              <w:jc w:val="center"/>
            </w:pPr>
            <w:r w:rsidRPr="00DA44E0">
              <w:rPr>
                <w:noProof/>
              </w:rPr>
              <w:drawing>
                <wp:inline distT="0" distB="0" distL="0" distR="0" wp14:anchorId="6C5D3101" wp14:editId="4E2DF4B0">
                  <wp:extent cx="1270000" cy="1701800"/>
                  <wp:effectExtent l="0" t="0" r="6350" b="0"/>
                  <wp:docPr id="31752" name="Image 9" descr="Pistachios_th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52" name="Image 9" descr="Pistachios_th_s.jpg"/>
                          <pic:cNvPicPr>
                            <a:picLocks noChangeAspect="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1270000" cy="1701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41D57DA" w14:textId="57FA7BA3" w:rsidR="00DA44E0" w:rsidRDefault="00DA44E0" w:rsidP="00463E4F">
            <w:pPr>
              <w:jc w:val="center"/>
            </w:pPr>
            <w:r>
              <w:t>Graines</w:t>
            </w:r>
          </w:p>
        </w:tc>
      </w:tr>
      <w:tr w:rsidR="00463E4F" w14:paraId="5DDBA5E2" w14:textId="77777777" w:rsidTr="006F2D8F">
        <w:tc>
          <w:tcPr>
            <w:tcW w:w="4106" w:type="dxa"/>
          </w:tcPr>
          <w:p w14:paraId="15751AAA" w14:textId="08D93901" w:rsidR="00463E4F" w:rsidRDefault="00DA44E0" w:rsidP="00463E4F">
            <w:pPr>
              <w:jc w:val="center"/>
            </w:pPr>
            <w:r w:rsidRPr="00DA44E0">
              <w:rPr>
                <w:noProof/>
              </w:rPr>
              <w:drawing>
                <wp:inline distT="0" distB="0" distL="0" distR="0" wp14:anchorId="106C9091" wp14:editId="2FF2BCCE">
                  <wp:extent cx="1809750" cy="1771650"/>
                  <wp:effectExtent l="0" t="0" r="0" b="0"/>
                  <wp:docPr id="31753" name="Image 10" descr="Pistacia v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53" name="Image 10" descr="Pistacia vera.jpg"/>
                          <pic:cNvPicPr>
                            <a:picLocks noChangeAspect="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1809750" cy="1771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2977" w:type="dxa"/>
          </w:tcPr>
          <w:p w14:paraId="488CB749" w14:textId="69965223" w:rsidR="00463E4F" w:rsidRDefault="00DA44E0" w:rsidP="00463E4F">
            <w:pPr>
              <w:jc w:val="center"/>
            </w:pPr>
            <w:r w:rsidRPr="00DA44E0">
              <w:rPr>
                <w:noProof/>
              </w:rPr>
              <w:drawing>
                <wp:inline distT="0" distB="0" distL="0" distR="0" wp14:anchorId="46D9FA88" wp14:editId="336D09E0">
                  <wp:extent cx="1349375" cy="2011363"/>
                  <wp:effectExtent l="0" t="0" r="3175" b="8255"/>
                  <wp:docPr id="31754" name="Picture 8" descr="C:\Users\LISAN\Pictures\plantes-halophytes-xerophiles\Pistachier_fleurs_mâles-Jardin_alpin_Jardin_des_plantes_Muséum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54" name="Picture 8" descr="C:\Users\LISAN\Pictures\plantes-halophytes-xerophiles\Pistachier_fleurs_mâles-Jardin_alpin_Jardin_des_plantes_Muséum_s.jpg"/>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1349375" cy="20113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123" w:type="dxa"/>
          </w:tcPr>
          <w:p w14:paraId="596048F4" w14:textId="7034DCA4" w:rsidR="00463E4F" w:rsidRDefault="00D95CBF" w:rsidP="00463E4F">
            <w:pPr>
              <w:jc w:val="center"/>
            </w:pPr>
            <w:r w:rsidRPr="00D95CBF">
              <w:rPr>
                <w:noProof/>
              </w:rPr>
              <w:drawing>
                <wp:inline distT="0" distB="0" distL="0" distR="0" wp14:anchorId="37017597" wp14:editId="0E527B75">
                  <wp:extent cx="1953782" cy="1771650"/>
                  <wp:effectExtent l="0" t="0" r="8890" b="0"/>
                  <wp:docPr id="32779" name="Image 12" descr="pistacia vera_arb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9" name="Image 12" descr="pistacia vera_arbre.jpg"/>
                          <pic:cNvPicPr>
                            <a:picLocks noChangeAspect="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1964295" cy="1781183"/>
                          </a:xfrm>
                          <a:prstGeom prst="rect">
                            <a:avLst/>
                          </a:prstGeom>
                          <a:noFill/>
                          <a:ln>
                            <a:noFill/>
                          </a:ln>
                        </pic:spPr>
                      </pic:pic>
                    </a:graphicData>
                  </a:graphic>
                </wp:inline>
              </w:drawing>
            </w:r>
          </w:p>
        </w:tc>
      </w:tr>
      <w:tr w:rsidR="000B73C7" w14:paraId="5DE8093A" w14:textId="77777777" w:rsidTr="006F2D8F">
        <w:tc>
          <w:tcPr>
            <w:tcW w:w="4106" w:type="dxa"/>
          </w:tcPr>
          <w:p w14:paraId="2D718159" w14:textId="77777777" w:rsidR="000B73C7" w:rsidRPr="00DA44E0" w:rsidRDefault="000B73C7" w:rsidP="00463E4F">
            <w:pPr>
              <w:jc w:val="center"/>
              <w:rPr>
                <w:noProof/>
              </w:rPr>
            </w:pPr>
          </w:p>
        </w:tc>
        <w:tc>
          <w:tcPr>
            <w:tcW w:w="2977" w:type="dxa"/>
          </w:tcPr>
          <w:p w14:paraId="767C0B4B" w14:textId="77777777" w:rsidR="000B73C7" w:rsidRPr="00DA44E0" w:rsidRDefault="000B73C7" w:rsidP="00463E4F">
            <w:pPr>
              <w:jc w:val="center"/>
              <w:rPr>
                <w:noProof/>
              </w:rPr>
            </w:pPr>
          </w:p>
        </w:tc>
        <w:tc>
          <w:tcPr>
            <w:tcW w:w="3123" w:type="dxa"/>
          </w:tcPr>
          <w:p w14:paraId="0FCA45E5" w14:textId="77777777" w:rsidR="000B73C7" w:rsidRPr="00D95CBF" w:rsidRDefault="000B73C7" w:rsidP="00463E4F">
            <w:pPr>
              <w:jc w:val="center"/>
              <w:rPr>
                <w:noProof/>
              </w:rPr>
            </w:pPr>
          </w:p>
        </w:tc>
      </w:tr>
      <w:tr w:rsidR="00D95CBF" w14:paraId="7C94717C" w14:textId="77777777" w:rsidTr="006F2D8F">
        <w:tc>
          <w:tcPr>
            <w:tcW w:w="4106" w:type="dxa"/>
          </w:tcPr>
          <w:p w14:paraId="0D706B74" w14:textId="5DEBF077" w:rsidR="00D95CBF" w:rsidRPr="00DA44E0" w:rsidRDefault="00D95CBF" w:rsidP="00463E4F">
            <w:pPr>
              <w:jc w:val="center"/>
            </w:pPr>
            <w:r w:rsidRPr="00D95CBF">
              <w:rPr>
                <w:noProof/>
              </w:rPr>
              <w:lastRenderedPageBreak/>
              <w:drawing>
                <wp:inline distT="0" distB="0" distL="0" distR="0" wp14:anchorId="3F74DCBF" wp14:editId="473523C0">
                  <wp:extent cx="2486025" cy="1862119"/>
                  <wp:effectExtent l="0" t="0" r="0" b="5080"/>
                  <wp:docPr id="32778" name="Image 11" descr="Pistacia vera arb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8" name="Image 11" descr="Pistacia vera arbre.jpg"/>
                          <pic:cNvPicPr>
                            <a:picLocks noChangeAspect="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2498064" cy="1871136"/>
                          </a:xfrm>
                          <a:prstGeom prst="rect">
                            <a:avLst/>
                          </a:prstGeom>
                          <a:noFill/>
                          <a:ln>
                            <a:noFill/>
                          </a:ln>
                        </pic:spPr>
                      </pic:pic>
                    </a:graphicData>
                  </a:graphic>
                </wp:inline>
              </w:drawing>
            </w:r>
          </w:p>
        </w:tc>
        <w:tc>
          <w:tcPr>
            <w:tcW w:w="2977" w:type="dxa"/>
          </w:tcPr>
          <w:p w14:paraId="2D899A37" w14:textId="77777777" w:rsidR="00D95CBF" w:rsidRDefault="00D95CBF" w:rsidP="00463E4F">
            <w:pPr>
              <w:jc w:val="center"/>
            </w:pPr>
          </w:p>
          <w:p w14:paraId="76ABB4D2" w14:textId="77777777" w:rsidR="000B73C7" w:rsidRDefault="000B73C7" w:rsidP="00463E4F">
            <w:pPr>
              <w:jc w:val="center"/>
            </w:pPr>
            <w:r w:rsidRPr="00CA1CCB">
              <w:rPr>
                <w:rFonts w:ascii="Calibri" w:hAnsi="Calibri" w:cs="Calibri"/>
                <w:noProof/>
              </w:rPr>
              <w:drawing>
                <wp:inline distT="0" distB="0" distL="0" distR="0" wp14:anchorId="329676F8" wp14:editId="610C4814">
                  <wp:extent cx="1795784" cy="1914525"/>
                  <wp:effectExtent l="0" t="0" r="0" b="0"/>
                  <wp:docPr id="10245" name="Picture 5" descr="C:\Users\LISAN\Pictures\plantes-halophytes-xerophiles\Pistacia vera_arbre_California2_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5" name="Picture 5" descr="C:\Users\LISAN\Pictures\plantes-halophytes-xerophiles\Pistacia vera_arbre_California2_s1.jpg"/>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1811299" cy="1931066"/>
                          </a:xfrm>
                          <a:prstGeom prst="rect">
                            <a:avLst/>
                          </a:prstGeom>
                          <a:noFill/>
                          <a:ln>
                            <a:noFill/>
                          </a:ln>
                        </pic:spPr>
                      </pic:pic>
                    </a:graphicData>
                  </a:graphic>
                </wp:inline>
              </w:drawing>
            </w:r>
          </w:p>
          <w:p w14:paraId="2CD6F01F" w14:textId="3FD20236" w:rsidR="000B73C7" w:rsidRPr="00DA44E0" w:rsidRDefault="000B73C7" w:rsidP="00463E4F">
            <w:pPr>
              <w:jc w:val="center"/>
            </w:pPr>
          </w:p>
        </w:tc>
        <w:tc>
          <w:tcPr>
            <w:tcW w:w="3123" w:type="dxa"/>
          </w:tcPr>
          <w:p w14:paraId="4A80A2D6" w14:textId="77777777" w:rsidR="00D95CBF" w:rsidRDefault="00D95CBF" w:rsidP="00463E4F">
            <w:pPr>
              <w:jc w:val="center"/>
            </w:pPr>
            <w:r w:rsidRPr="00D95CBF">
              <w:rPr>
                <w:noProof/>
              </w:rPr>
              <w:drawing>
                <wp:inline distT="0" distB="0" distL="0" distR="0" wp14:anchorId="0ECBB15F" wp14:editId="3590D08C">
                  <wp:extent cx="1812225" cy="1438275"/>
                  <wp:effectExtent l="0" t="0" r="0" b="0"/>
                  <wp:docPr id="32780" name="Image 13" descr="Pistacia vera arbr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80" name="Image 13" descr="Pistacia vera arbre5.jpg"/>
                          <pic:cNvPicPr>
                            <a:picLocks noChangeAspect="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829205" cy="1451751"/>
                          </a:xfrm>
                          <a:prstGeom prst="rect">
                            <a:avLst/>
                          </a:prstGeom>
                          <a:noFill/>
                          <a:ln>
                            <a:noFill/>
                          </a:ln>
                        </pic:spPr>
                      </pic:pic>
                    </a:graphicData>
                  </a:graphic>
                </wp:inline>
              </w:drawing>
            </w:r>
          </w:p>
          <w:p w14:paraId="4CC6AAD4" w14:textId="51EEE937" w:rsidR="00D95CBF" w:rsidRPr="00D95CBF" w:rsidRDefault="00D95CBF" w:rsidP="00D95CBF">
            <w:pPr>
              <w:jc w:val="center"/>
            </w:pPr>
            <w:r w:rsidRPr="00D95CBF">
              <w:t xml:space="preserve">L'industrie de la pistache Californienne a toujours été dominée par une seule variété femelle, 'Kerman'. Source : </w:t>
            </w:r>
            <w:hyperlink r:id="rId320" w:history="1">
              <w:r w:rsidRPr="00D95CBF">
                <w:rPr>
                  <w:rStyle w:val="Lienhypertexte"/>
                </w:rPr>
                <w:t>http://californiaagriculture.ucanr.edu/landingpage.cfm?article=ca.v063n01p18&amp;fulltext=yes</w:t>
              </w:r>
            </w:hyperlink>
            <w:r w:rsidRPr="00D95CBF">
              <w:t xml:space="preserve"> </w:t>
            </w:r>
          </w:p>
        </w:tc>
      </w:tr>
    </w:tbl>
    <w:p w14:paraId="4DE04125" w14:textId="77777777" w:rsidR="000B73C7" w:rsidRDefault="000B73C7" w:rsidP="002302E9">
      <w:pPr>
        <w:spacing w:after="0" w:line="240" w:lineRule="auto"/>
        <w:jc w:val="both"/>
        <w:textAlignment w:val="baseline"/>
      </w:pPr>
    </w:p>
    <w:p w14:paraId="2DF34D5A" w14:textId="3444C903" w:rsidR="002302E9" w:rsidRDefault="002302E9" w:rsidP="002302E9">
      <w:pPr>
        <w:spacing w:after="0" w:line="240" w:lineRule="auto"/>
        <w:jc w:val="both"/>
        <w:textAlignment w:val="baseline"/>
        <w:rPr>
          <w:rFonts w:ascii="Calibri" w:eastAsia="+mn-ea" w:hAnsi="Calibri" w:cs="Calibri"/>
          <w:kern w:val="24"/>
          <w:lang w:eastAsia="fr-FR"/>
        </w:rPr>
      </w:pPr>
      <w:r w:rsidRPr="00A948B1">
        <w:rPr>
          <w:rFonts w:ascii="Calibri" w:eastAsia="+mn-ea" w:hAnsi="Calibri" w:cs="Calibri"/>
          <w:kern w:val="24"/>
          <w:lang w:eastAsia="fr-FR"/>
        </w:rPr>
        <w:t>↗ Les pistachiers du verger expérimental de Wolfskill (USA) permettent botanistes à poursuivre les recherches sur la variété Kerman et autres nouvelles variétés prometteuses de pistaches. Source :</w:t>
      </w:r>
    </w:p>
    <w:p w14:paraId="69EB517B" w14:textId="77777777" w:rsidR="002302E9" w:rsidRPr="00A948B1" w:rsidRDefault="00000000" w:rsidP="002302E9">
      <w:pPr>
        <w:spacing w:after="0" w:line="240" w:lineRule="auto"/>
        <w:jc w:val="both"/>
        <w:textAlignment w:val="baseline"/>
        <w:rPr>
          <w:rFonts w:ascii="Calibri" w:eastAsia="+mn-ea" w:hAnsi="Calibri" w:cs="Calibri"/>
          <w:kern w:val="24"/>
          <w:lang w:eastAsia="fr-FR"/>
        </w:rPr>
      </w:pPr>
      <w:hyperlink r:id="rId321" w:anchor="sthash.AnnPITwf.dpuf" w:history="1">
        <w:r w:rsidR="002302E9" w:rsidRPr="00DD7B49">
          <w:rPr>
            <w:rStyle w:val="Lienhypertexte"/>
            <w:rFonts w:ascii="Calibri" w:eastAsia="+mn-ea" w:hAnsi="Calibri" w:cs="Calibri"/>
            <w:kern w:val="24"/>
            <w:lang w:eastAsia="fr-FR"/>
          </w:rPr>
          <w:t>http://www.saudiaramcoworld.com/issue/201306/in.search.of.the.mother.tree.htm#sthash.AnnPITwf.dpuf</w:t>
        </w:r>
      </w:hyperlink>
    </w:p>
    <w:p w14:paraId="68F92549" w14:textId="77777777" w:rsidR="002302E9" w:rsidRDefault="002302E9" w:rsidP="00DA44E0">
      <w:pPr>
        <w:spacing w:after="0" w:line="240" w:lineRule="auto"/>
      </w:pPr>
    </w:p>
    <w:p w14:paraId="237D9C88" w14:textId="77777777" w:rsidR="000204A5" w:rsidRDefault="000204A5" w:rsidP="00B655B6">
      <w:pPr>
        <w:pStyle w:val="Titre2"/>
      </w:pPr>
      <w:bookmarkStart w:id="50" w:name="_Toc139181341"/>
      <w:r>
        <w:t>Pistachier lentisque (</w:t>
      </w:r>
      <w:r w:rsidRPr="000204A5">
        <w:rPr>
          <w:i/>
          <w:iCs/>
        </w:rPr>
        <w:t>Pistacia lentiscus</w:t>
      </w:r>
      <w:r>
        <w:t>)</w:t>
      </w:r>
      <w:bookmarkEnd w:id="50"/>
    </w:p>
    <w:p w14:paraId="24EADD5B" w14:textId="5850A9F5" w:rsidR="000204A5" w:rsidRDefault="000204A5" w:rsidP="000204A5">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7"/>
        <w:gridCol w:w="2203"/>
        <w:gridCol w:w="1644"/>
        <w:gridCol w:w="415"/>
        <w:gridCol w:w="1377"/>
      </w:tblGrid>
      <w:tr w:rsidR="000204A5" w:rsidRPr="000B6BE3" w14:paraId="0873ED0E" w14:textId="77777777" w:rsidTr="00E9600F">
        <w:tc>
          <w:tcPr>
            <w:tcW w:w="4957" w:type="dxa"/>
          </w:tcPr>
          <w:p w14:paraId="53D6038F" w14:textId="77777777" w:rsidR="000204A5" w:rsidRPr="000B6BE3" w:rsidRDefault="000204A5" w:rsidP="00E9600F">
            <w:pPr>
              <w:rPr>
                <w:rFonts w:cstheme="minorHAnsi"/>
                <w:bCs/>
              </w:rPr>
            </w:pPr>
            <w:r w:rsidRPr="000B6BE3">
              <w:rPr>
                <w:rFonts w:cstheme="minorHAnsi"/>
                <w:bCs/>
              </w:rPr>
              <w:t>(</w:t>
            </w:r>
            <w:hyperlink r:id="rId322" w:history="1">
              <w:r w:rsidRPr="000B6BE3">
                <w:rPr>
                  <w:rFonts w:cstheme="minorHAnsi"/>
                </w:rPr>
                <w:t>F</w:t>
              </w:r>
              <w:r w:rsidRPr="000B6BE3">
                <w:rPr>
                  <w:rStyle w:val="Lienhypertexte"/>
                  <w:rFonts w:cstheme="minorHAnsi"/>
                  <w:color w:val="0B0080"/>
                  <w:shd w:val="clear" w:color="auto" w:fill="FFFFFF"/>
                </w:rPr>
                <w:t>amille</w:t>
              </w:r>
            </w:hyperlink>
            <w:r w:rsidRPr="000B6BE3">
              <w:rPr>
                <w:rFonts w:cstheme="minorHAnsi"/>
                <w:color w:val="222222"/>
                <w:shd w:val="clear" w:color="auto" w:fill="FFFFFF"/>
              </w:rPr>
              <w:t> des</w:t>
            </w:r>
            <w:r>
              <w:rPr>
                <w:rFonts w:cstheme="minorHAnsi"/>
                <w:color w:val="222222"/>
                <w:shd w:val="clear" w:color="auto" w:fill="FFFFFF"/>
              </w:rPr>
              <w:t xml:space="preserve"> </w:t>
            </w:r>
            <w:r w:rsidRPr="00DA44E0">
              <w:rPr>
                <w:rFonts w:cstheme="minorHAnsi"/>
                <w:i/>
                <w:iCs/>
                <w:color w:val="222222"/>
                <w:shd w:val="clear" w:color="auto" w:fill="FFFFFF"/>
              </w:rPr>
              <w:t>Anacardiaceae</w:t>
            </w:r>
            <w:r w:rsidRPr="000B6BE3">
              <w:rPr>
                <w:rFonts w:cstheme="minorHAnsi"/>
                <w:bCs/>
              </w:rPr>
              <w:t>)</w:t>
            </w:r>
          </w:p>
          <w:p w14:paraId="545379FC" w14:textId="77777777" w:rsidR="000204A5" w:rsidRPr="000B6BE3" w:rsidRDefault="000204A5" w:rsidP="00E9600F">
            <w:pPr>
              <w:rPr>
                <w:rFonts w:cstheme="minorHAnsi"/>
              </w:rPr>
            </w:pPr>
          </w:p>
        </w:tc>
        <w:tc>
          <w:tcPr>
            <w:tcW w:w="2268" w:type="dxa"/>
          </w:tcPr>
          <w:p w14:paraId="217BAE1D" w14:textId="77777777" w:rsidR="000204A5" w:rsidRPr="000B6BE3" w:rsidRDefault="000204A5" w:rsidP="00E9600F">
            <w:pPr>
              <w:rPr>
                <w:rFonts w:cstheme="minorHAnsi"/>
              </w:rPr>
            </w:pPr>
            <w:r w:rsidRPr="000B6BE3">
              <w:rPr>
                <w:rFonts w:cstheme="minorHAnsi"/>
                <w:noProof/>
              </w:rPr>
              <w:t xml:space="preserve">  </w:t>
            </w:r>
            <w:r w:rsidRPr="008F2681">
              <w:rPr>
                <w:rFonts w:cstheme="minorHAnsi"/>
                <w:noProof/>
              </w:rPr>
              <w:drawing>
                <wp:inline distT="0" distB="0" distL="0" distR="0" wp14:anchorId="6259E20A" wp14:editId="2D417D10">
                  <wp:extent cx="495300" cy="666750"/>
                  <wp:effectExtent l="0" t="0" r="0" b="0"/>
                  <wp:docPr id="29705" name="Image 18"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9" name="Image 18" descr="logo aride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r w:rsidRPr="008F2681">
              <w:rPr>
                <w:rFonts w:cstheme="minorHAnsi"/>
                <w:noProof/>
              </w:rPr>
              <w:drawing>
                <wp:inline distT="0" distB="0" distL="0" distR="0" wp14:anchorId="4467AA13" wp14:editId="57F47DE2">
                  <wp:extent cx="463550" cy="661988"/>
                  <wp:effectExtent l="0" t="0" r="0" b="5080"/>
                  <wp:docPr id="29706"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701" w:type="dxa"/>
          </w:tcPr>
          <w:p w14:paraId="20D341CA" w14:textId="77777777" w:rsidR="000204A5" w:rsidRPr="000B6BE3" w:rsidRDefault="000204A5" w:rsidP="00E9600F">
            <w:pPr>
              <w:textAlignment w:val="baseline"/>
              <w:rPr>
                <w:rFonts w:cstheme="minorHAnsi"/>
              </w:rPr>
            </w:pPr>
            <w:r w:rsidRPr="00D1445E">
              <w:rPr>
                <w:rFonts w:eastAsia="+mn-ea" w:cstheme="minorHAnsi"/>
                <w:b/>
                <w:bCs/>
                <w:color w:val="008000"/>
                <w:kern w:val="24"/>
                <w:sz w:val="56"/>
                <w:szCs w:val="56"/>
              </w:rPr>
              <w:t>U</w:t>
            </w:r>
            <w:r>
              <w:rPr>
                <w:rFonts w:eastAsia="+mn-ea" w:cstheme="minorHAnsi"/>
                <w:b/>
                <w:bCs/>
                <w:color w:val="008000"/>
                <w:kern w:val="24"/>
                <w:sz w:val="44"/>
                <w:szCs w:val="44"/>
              </w:rPr>
              <w:t xml:space="preserve"> $</w:t>
            </w:r>
          </w:p>
        </w:tc>
        <w:tc>
          <w:tcPr>
            <w:tcW w:w="425" w:type="dxa"/>
          </w:tcPr>
          <w:p w14:paraId="638F9F26" w14:textId="77777777" w:rsidR="000204A5" w:rsidRPr="000B6BE3" w:rsidRDefault="000204A5" w:rsidP="00E9600F">
            <w:pPr>
              <w:rPr>
                <w:rFonts w:cstheme="minorHAnsi"/>
              </w:rPr>
            </w:pPr>
          </w:p>
        </w:tc>
        <w:tc>
          <w:tcPr>
            <w:tcW w:w="1439" w:type="dxa"/>
          </w:tcPr>
          <w:p w14:paraId="17D95A8F" w14:textId="77777777" w:rsidR="000204A5" w:rsidRPr="000B6BE3" w:rsidRDefault="000204A5" w:rsidP="00E9600F">
            <w:pPr>
              <w:rPr>
                <w:rFonts w:cstheme="minorHAnsi"/>
              </w:rPr>
            </w:pPr>
          </w:p>
        </w:tc>
      </w:tr>
    </w:tbl>
    <w:p w14:paraId="2994FDB6" w14:textId="77777777" w:rsidR="000204A5" w:rsidRDefault="000204A5" w:rsidP="000204A5">
      <w:pPr>
        <w:spacing w:after="0" w:line="240" w:lineRule="auto"/>
      </w:pPr>
    </w:p>
    <w:p w14:paraId="613ABEA1" w14:textId="77777777" w:rsidR="000204A5" w:rsidRDefault="000204A5" w:rsidP="000204A5">
      <w:pPr>
        <w:spacing w:after="0" w:line="240" w:lineRule="auto"/>
        <w:jc w:val="both"/>
      </w:pPr>
      <w:r>
        <w:t>L’arbre au mastic est un arbuste (famille des </w:t>
      </w:r>
      <w:r w:rsidRPr="000204A5">
        <w:rPr>
          <w:i/>
          <w:iCs/>
        </w:rPr>
        <w:t>Anacardiaceae</w:t>
      </w:r>
      <w:r>
        <w:t>), ne dépassant pas 6 mètres, à feuillage persistant, poussant dans les garrigues et les maquis des climats méditerranéens. Il donne des fruits, d'abord rouges, puis noirs.</w:t>
      </w:r>
    </w:p>
    <w:p w14:paraId="25B006C6" w14:textId="3946B2D5" w:rsidR="000204A5" w:rsidRDefault="000204A5" w:rsidP="000204A5">
      <w:pPr>
        <w:spacing w:after="0" w:line="240" w:lineRule="auto"/>
        <w:jc w:val="both"/>
      </w:pPr>
      <w:r>
        <w:t>Il est courant d'observer des galles formées aux dépens du limbe foliaire du pistachier lentisque. Les parasites qui induisent la production de ces galles, et s'en nourrissent ensuite, sont l'acarien </w:t>
      </w:r>
      <w:r w:rsidRPr="000204A5">
        <w:rPr>
          <w:i/>
          <w:iCs/>
        </w:rPr>
        <w:t>Eriophyes stefanii</w:t>
      </w:r>
      <w:r>
        <w:t> (galle par enroulement marginal serré par en haut) et surtout le puceron </w:t>
      </w:r>
      <w:r w:rsidRPr="000204A5">
        <w:rPr>
          <w:i/>
          <w:iCs/>
        </w:rPr>
        <w:t>Anopleura lentisci</w:t>
      </w:r>
      <w:r>
        <w:t xml:space="preserve"> (galle réniforme).</w:t>
      </w:r>
    </w:p>
    <w:p w14:paraId="6D009D10" w14:textId="77777777" w:rsidR="000204A5" w:rsidRDefault="000204A5" w:rsidP="000204A5">
      <w:pPr>
        <w:spacing w:after="0" w:line="240" w:lineRule="auto"/>
        <w:jc w:val="both"/>
      </w:pPr>
      <w:r>
        <w:t>Habitat : fruticées [formation végétale formée d'arbustes ou d'arbrisseaux] et forêts sclérophylles.</w:t>
      </w:r>
    </w:p>
    <w:p w14:paraId="4984B2A4" w14:textId="77777777" w:rsidR="000204A5" w:rsidRDefault="000204A5" w:rsidP="000204A5">
      <w:pPr>
        <w:spacing w:after="0" w:line="240" w:lineRule="auto"/>
        <w:jc w:val="both"/>
      </w:pPr>
    </w:p>
    <w:p w14:paraId="4B96656C" w14:textId="5E6AFD4F" w:rsidR="000204A5" w:rsidRDefault="000204A5" w:rsidP="000204A5">
      <w:pPr>
        <w:spacing w:after="0" w:line="240" w:lineRule="auto"/>
        <w:jc w:val="both"/>
      </w:pPr>
      <w:r>
        <w:t>Il résiste bien aux feux. Il est considéré comme un arbre écologiquement important. Il se reproduit par semis.</w:t>
      </w:r>
    </w:p>
    <w:p w14:paraId="63BDCEC0" w14:textId="77777777" w:rsidR="000204A5" w:rsidRDefault="000204A5" w:rsidP="000204A5">
      <w:pPr>
        <w:spacing w:after="0" w:line="240" w:lineRule="auto"/>
        <w:jc w:val="both"/>
      </w:pPr>
      <w:r>
        <w:t>La graine est identique aux pistaches et peut être préparée en la faisant bouillir avec des petites fèves, du blé et des pois chiches, à la cuisson, arrosée légèrement avec de l'huile d'olive. Cette préparation est très appréciée dans l'Est Algérien.</w:t>
      </w:r>
    </w:p>
    <w:p w14:paraId="03B198E2" w14:textId="77777777" w:rsidR="000204A5" w:rsidRDefault="000204A5" w:rsidP="000204A5">
      <w:pPr>
        <w:spacing w:after="0" w:line="240" w:lineRule="auto"/>
        <w:jc w:val="both"/>
      </w:pPr>
      <w:r>
        <w:t>En médecine traditionnelle, on utilise la résine aromatique de pistachier lentisque afin de combattre les ulcères d'estomac.</w:t>
      </w:r>
    </w:p>
    <w:p w14:paraId="4F42D69D" w14:textId="3C44F2B7" w:rsidR="000204A5" w:rsidRDefault="000204A5" w:rsidP="000204A5">
      <w:pPr>
        <w:spacing w:after="0" w:line="240" w:lineRule="auto"/>
        <w:jc w:val="both"/>
      </w:pPr>
      <w:r>
        <w:t>Les indications principales de son huile essentielle sont les problèmes des systèmes veineux et lymphatique.</w:t>
      </w:r>
    </w:p>
    <w:p w14:paraId="52302DEF" w14:textId="77777777" w:rsidR="000204A5" w:rsidRDefault="000204A5" w:rsidP="000204A5">
      <w:pPr>
        <w:spacing w:after="0" w:line="240" w:lineRule="auto"/>
        <w:jc w:val="both"/>
      </w:pPr>
      <w:r>
        <w:t>L'huile de lentisque est utilisée contre la bronchite, l'asthme, la sinusite, l'eczéma (psoriasis et lichen plan) et les brûlures.</w:t>
      </w:r>
    </w:p>
    <w:p w14:paraId="1D5F0F0E" w14:textId="77777777" w:rsidR="000204A5" w:rsidRDefault="000204A5" w:rsidP="000204A5">
      <w:pPr>
        <w:spacing w:after="0" w:line="240" w:lineRule="auto"/>
        <w:jc w:val="both"/>
      </w:pPr>
      <w:r>
        <w:t>Une tisane, préparées avec ses feuilles, agirait contre les problèmes de l'appareil digestif (ulcère, colopathie, parasites).</w:t>
      </w:r>
    </w:p>
    <w:p w14:paraId="62D14EC5" w14:textId="77777777" w:rsidR="000204A5" w:rsidRDefault="000204A5" w:rsidP="000204A5">
      <w:pPr>
        <w:spacing w:after="0" w:line="240" w:lineRule="auto"/>
      </w:pPr>
    </w:p>
    <w:p w14:paraId="1638C535" w14:textId="4EEC6852" w:rsidR="00DA44E0" w:rsidRDefault="000204A5" w:rsidP="000204A5">
      <w:pPr>
        <w:spacing w:after="0" w:line="240" w:lineRule="auto"/>
      </w:pPr>
      <w:r>
        <w:t xml:space="preserve">Sources : a) </w:t>
      </w:r>
      <w:hyperlink r:id="rId323" w:history="1">
        <w:r w:rsidRPr="009A5570">
          <w:rPr>
            <w:rStyle w:val="Lienhypertexte"/>
          </w:rPr>
          <w:t>http://fr.wikipedia.org/wiki/Pistacia_lentiscus</w:t>
        </w:r>
      </w:hyperlink>
      <w:r>
        <w:t xml:space="preserve">, b) </w:t>
      </w:r>
      <w:hyperlink r:id="rId324" w:history="1">
        <w:r w:rsidRPr="009A5570">
          <w:rPr>
            <w:rStyle w:val="Lienhypertexte"/>
          </w:rPr>
          <w:t>http://en.wikipedia.org/wiki/Pistacia_lentiscus</w:t>
        </w:r>
      </w:hyperlink>
    </w:p>
    <w:p w14:paraId="182661A6" w14:textId="02C6097C" w:rsidR="000204A5" w:rsidRDefault="000204A5" w:rsidP="000204A5">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97"/>
        <w:gridCol w:w="5229"/>
      </w:tblGrid>
      <w:tr w:rsidR="000204A5" w14:paraId="2201F9EF" w14:textId="77777777" w:rsidTr="000204A5">
        <w:tc>
          <w:tcPr>
            <w:tcW w:w="5395" w:type="dxa"/>
          </w:tcPr>
          <w:p w14:paraId="05FD9CE7" w14:textId="77777777" w:rsidR="000204A5" w:rsidRDefault="000204A5" w:rsidP="000204A5">
            <w:pPr>
              <w:jc w:val="center"/>
            </w:pPr>
            <w:r w:rsidRPr="000204A5">
              <w:rPr>
                <w:noProof/>
              </w:rPr>
              <w:lastRenderedPageBreak/>
              <w:drawing>
                <wp:inline distT="0" distB="0" distL="0" distR="0" wp14:anchorId="1282F27D" wp14:editId="449D57E9">
                  <wp:extent cx="2794000" cy="2095500"/>
                  <wp:effectExtent l="0" t="0" r="6350" b="0"/>
                  <wp:docPr id="33800" name="Picture 8" descr="C:\Users\LISAN\Pictures\plantes-halophytes-xerophiles\Pistacia_lentiscus_frui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00" name="Picture 8" descr="C:\Users\LISAN\Pictures\plantes-halophytes-xerophiles\Pistacia_lentiscus_fruits.JPG"/>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2794000" cy="2095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5D0028F" w14:textId="123D36C2" w:rsidR="000204A5" w:rsidRDefault="000204A5" w:rsidP="000204A5">
            <w:pPr>
              <w:jc w:val="center"/>
            </w:pPr>
            <w:r>
              <w:t>Fruits</w:t>
            </w:r>
          </w:p>
        </w:tc>
        <w:tc>
          <w:tcPr>
            <w:tcW w:w="5395" w:type="dxa"/>
          </w:tcPr>
          <w:p w14:paraId="07836354" w14:textId="77777777" w:rsidR="000204A5" w:rsidRDefault="000204A5" w:rsidP="000204A5">
            <w:pPr>
              <w:jc w:val="center"/>
            </w:pPr>
            <w:r w:rsidRPr="000204A5">
              <w:rPr>
                <w:noProof/>
              </w:rPr>
              <w:drawing>
                <wp:inline distT="0" distB="0" distL="0" distR="0" wp14:anchorId="38A0CE6F" wp14:editId="0C1C5B62">
                  <wp:extent cx="1397000" cy="1047750"/>
                  <wp:effectExtent l="0" t="0" r="0" b="0"/>
                  <wp:docPr id="33802" name="Picture 12" descr="C:\Users\LISAN\Pictures\plantes-halophytes-xerophiles\Pistacia_lentiscus_flow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02" name="Picture 12" descr="C:\Users\LISAN\Pictures\plantes-halophytes-xerophiles\Pistacia_lentiscus_flower.jpg"/>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1397000" cy="1047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t xml:space="preserve"> </w:t>
            </w:r>
            <w:r w:rsidRPr="000204A5">
              <w:rPr>
                <w:noProof/>
              </w:rPr>
              <w:drawing>
                <wp:inline distT="0" distB="0" distL="0" distR="0" wp14:anchorId="6980803B" wp14:editId="01C44CDA">
                  <wp:extent cx="1400175" cy="1790700"/>
                  <wp:effectExtent l="0" t="0" r="9525" b="0"/>
                  <wp:docPr id="33801" name="Picture 9" descr="C:\Users\LISAN\Pictures\plantes-halophytes-xerophiles\Pistacia lentiscus_fleurs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01" name="Picture 9" descr="C:\Users\LISAN\Pictures\plantes-halophytes-xerophiles\Pistacia lentiscus_fleurs_s.jpg"/>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1400175" cy="1790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7FF2381" w14:textId="342B2E87" w:rsidR="000204A5" w:rsidRDefault="000204A5" w:rsidP="000204A5">
            <w:pPr>
              <w:jc w:val="center"/>
            </w:pPr>
            <w:r>
              <w:t>Fleurs</w:t>
            </w:r>
          </w:p>
        </w:tc>
      </w:tr>
      <w:tr w:rsidR="000204A5" w14:paraId="693343A0" w14:textId="77777777" w:rsidTr="000204A5">
        <w:tc>
          <w:tcPr>
            <w:tcW w:w="5395" w:type="dxa"/>
          </w:tcPr>
          <w:p w14:paraId="6B31FF75" w14:textId="77777777" w:rsidR="000204A5" w:rsidRDefault="000204A5" w:rsidP="000204A5">
            <w:pPr>
              <w:jc w:val="center"/>
            </w:pPr>
            <w:r w:rsidRPr="000204A5">
              <w:rPr>
                <w:noProof/>
              </w:rPr>
              <w:drawing>
                <wp:inline distT="0" distB="0" distL="0" distR="0" wp14:anchorId="7939EB46" wp14:editId="3E03CD92">
                  <wp:extent cx="2540000" cy="1689100"/>
                  <wp:effectExtent l="0" t="0" r="0" b="6350"/>
                  <wp:docPr id="34825" name="Picture 4" descr="C:\Users\LISAN\Pictures\plantes-halophytes-xerophiles\Pistacia_lentiscus-Sakız_Ağac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25" name="Picture 4" descr="C:\Users\LISAN\Pictures\plantes-halophytes-xerophiles\Pistacia_lentiscus-Sakız_Ağacı.JPG"/>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2540000" cy="168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3AE6010C" w14:textId="676C991F" w:rsidR="000204A5" w:rsidRPr="000204A5" w:rsidRDefault="000204A5" w:rsidP="000204A5">
            <w:pPr>
              <w:jc w:val="center"/>
            </w:pPr>
            <w:r w:rsidRPr="000204A5">
              <w:t>Un vieux pistachier lentisque dans le parc de Fenerbahçe à </w:t>
            </w:r>
            <w:hyperlink r:id="rId329" w:history="1">
              <w:r w:rsidRPr="000204A5">
                <w:rPr>
                  <w:rStyle w:val="Lienhypertexte"/>
                </w:rPr>
                <w:t>İstanbul</w:t>
              </w:r>
            </w:hyperlink>
          </w:p>
        </w:tc>
        <w:tc>
          <w:tcPr>
            <w:tcW w:w="5395" w:type="dxa"/>
          </w:tcPr>
          <w:p w14:paraId="474F16E3" w14:textId="77777777" w:rsidR="000204A5" w:rsidRDefault="000204A5" w:rsidP="000204A5">
            <w:pPr>
              <w:jc w:val="center"/>
            </w:pPr>
            <w:r w:rsidRPr="000204A5">
              <w:rPr>
                <w:noProof/>
              </w:rPr>
              <w:drawing>
                <wp:inline distT="0" distB="0" distL="0" distR="0" wp14:anchorId="173644A0" wp14:editId="17F36A85">
                  <wp:extent cx="2879725" cy="1976438"/>
                  <wp:effectExtent l="0" t="0" r="0" b="5080"/>
                  <wp:docPr id="34830" name="Image 15" descr="Pistacia lentiscus_maqu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30" name="Image 15" descr="Pistacia lentiscus_maquis.jpg"/>
                          <pic:cNvPicPr>
                            <a:picLocks noChangeAspect="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2879725" cy="19764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4C308BF" w14:textId="5F26E58B" w:rsidR="000204A5" w:rsidRPr="000204A5" w:rsidRDefault="000204A5" w:rsidP="000204A5">
            <w:pPr>
              <w:jc w:val="center"/>
            </w:pPr>
            <w:r w:rsidRPr="000204A5">
              <w:t>Maquis à pistachiers lentisques (</w:t>
            </w:r>
            <w:hyperlink r:id="rId331" w:history="1">
              <w:r w:rsidRPr="000204A5">
                <w:rPr>
                  <w:rStyle w:val="Lienhypertexte"/>
                </w:rPr>
                <w:t>Sabaudia</w:t>
              </w:r>
            </w:hyperlink>
            <w:r w:rsidRPr="000204A5">
              <w:t>, Italie). Le sol présent sous les buissons de cette espèce est considéré comme un bon substrat pour le jardinage</w:t>
            </w:r>
            <w:r>
              <w:rPr>
                <w:rStyle w:val="Appelnotedebasdep"/>
              </w:rPr>
              <w:footnoteReference w:id="72"/>
            </w:r>
            <w:r w:rsidRPr="000204A5">
              <w:t>.</w:t>
            </w:r>
          </w:p>
        </w:tc>
      </w:tr>
    </w:tbl>
    <w:p w14:paraId="02668D9A" w14:textId="7E506814" w:rsidR="000204A5" w:rsidRDefault="000204A5" w:rsidP="000204A5">
      <w:pPr>
        <w:spacing w:after="0" w:line="240" w:lineRule="auto"/>
        <w:jc w:val="cente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90"/>
        <w:gridCol w:w="3494"/>
        <w:gridCol w:w="3442"/>
      </w:tblGrid>
      <w:tr w:rsidR="000204A5" w14:paraId="32D72217" w14:textId="77777777" w:rsidTr="000204A5">
        <w:tc>
          <w:tcPr>
            <w:tcW w:w="3596" w:type="dxa"/>
          </w:tcPr>
          <w:p w14:paraId="0BA4AF52" w14:textId="77777777" w:rsidR="000204A5" w:rsidRDefault="000204A5" w:rsidP="000204A5">
            <w:pPr>
              <w:jc w:val="center"/>
            </w:pPr>
            <w:r w:rsidRPr="000204A5">
              <w:rPr>
                <w:noProof/>
              </w:rPr>
              <w:drawing>
                <wp:inline distT="0" distB="0" distL="0" distR="0" wp14:anchorId="588E8CEC" wp14:editId="6FC12D0C">
                  <wp:extent cx="1781175" cy="2562225"/>
                  <wp:effectExtent l="0" t="0" r="9525" b="9525"/>
                  <wp:docPr id="34831" name="Image 16" descr="pistacia lentiscus_arbust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31" name="Image 16" descr="pistacia lentiscus_arbuste2.jpg"/>
                          <pic:cNvPicPr>
                            <a:picLocks noChangeAspect="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1781175" cy="2562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6E8708C" w14:textId="6774A33B" w:rsidR="000204A5" w:rsidRDefault="000204A5" w:rsidP="000204A5">
            <w:pPr>
              <w:jc w:val="center"/>
            </w:pPr>
            <w:r>
              <w:t>Fruits</w:t>
            </w:r>
          </w:p>
        </w:tc>
        <w:tc>
          <w:tcPr>
            <w:tcW w:w="3597" w:type="dxa"/>
          </w:tcPr>
          <w:p w14:paraId="3CC56936" w14:textId="77777777" w:rsidR="000204A5" w:rsidRDefault="000204A5" w:rsidP="000204A5">
            <w:pPr>
              <w:jc w:val="center"/>
            </w:pPr>
            <w:r w:rsidRPr="000204A5">
              <w:rPr>
                <w:noProof/>
              </w:rPr>
              <w:drawing>
                <wp:inline distT="0" distB="0" distL="0" distR="0" wp14:anchorId="1C11A571" wp14:editId="6C049CE4">
                  <wp:extent cx="1397000" cy="1003300"/>
                  <wp:effectExtent l="0" t="0" r="0" b="6350"/>
                  <wp:docPr id="33806" name="Picture 14" descr="C:\Users\LISAN\Pictures\plantes-halophytes-xerophiles\Pistacia lentiscus_Gal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06" name="Picture 14" descr="C:\Users\LISAN\Pictures\plantes-halophytes-xerophiles\Pistacia lentiscus_Gale_s.jpg"/>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1397000" cy="1003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2D027E9" w14:textId="6534C7FE" w:rsidR="000204A5" w:rsidRDefault="000204A5" w:rsidP="000204A5">
            <w:pPr>
              <w:jc w:val="center"/>
            </w:pPr>
            <w:r>
              <w:t>Galle (maladie)</w:t>
            </w:r>
          </w:p>
          <w:p w14:paraId="34E94D9D" w14:textId="77777777" w:rsidR="000204A5" w:rsidRDefault="000204A5" w:rsidP="000204A5">
            <w:pPr>
              <w:jc w:val="center"/>
            </w:pPr>
          </w:p>
          <w:p w14:paraId="0697CEF8" w14:textId="77777777" w:rsidR="000204A5" w:rsidRDefault="000204A5" w:rsidP="000204A5">
            <w:pPr>
              <w:jc w:val="center"/>
            </w:pPr>
            <w:r w:rsidRPr="000204A5">
              <w:rPr>
                <w:noProof/>
              </w:rPr>
              <w:drawing>
                <wp:inline distT="0" distB="0" distL="0" distR="0" wp14:anchorId="5512B3AE" wp14:editId="4983ED56">
                  <wp:extent cx="1947862" cy="1465262"/>
                  <wp:effectExtent l="0" t="0" r="0" b="1905"/>
                  <wp:docPr id="33805" name="Picture 13" descr="C:\Users\LISAN\Pictures\plantes-halophytes-xerophiles\Pistacia lentiscus_Mastic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05" name="Picture 13" descr="C:\Users\LISAN\Pictures\plantes-halophytes-xerophiles\Pistacia lentiscus_Mastic_s.jpg"/>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1947862" cy="14652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E3284ED" w14:textId="755360EA" w:rsidR="000204A5" w:rsidRDefault="000204A5" w:rsidP="000204A5">
            <w:pPr>
              <w:jc w:val="center"/>
            </w:pPr>
            <w:r>
              <w:t>Mastic</w:t>
            </w:r>
          </w:p>
        </w:tc>
        <w:tc>
          <w:tcPr>
            <w:tcW w:w="3597" w:type="dxa"/>
          </w:tcPr>
          <w:p w14:paraId="3DE11DF8" w14:textId="77777777" w:rsidR="000204A5" w:rsidRDefault="000204A5" w:rsidP="000204A5">
            <w:pPr>
              <w:jc w:val="center"/>
            </w:pPr>
            <w:r w:rsidRPr="000204A5">
              <w:rPr>
                <w:noProof/>
              </w:rPr>
              <w:drawing>
                <wp:inline distT="0" distB="0" distL="0" distR="0" wp14:anchorId="7CFADED9" wp14:editId="3F44323A">
                  <wp:extent cx="1847850" cy="2466975"/>
                  <wp:effectExtent l="0" t="0" r="0" b="9525"/>
                  <wp:docPr id="34827" name="Picture 5" descr="C:\Users\LISAN\Pictures\plantes-halophytes-xerophiles\pistacia lentiscus_fleur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27" name="Picture 5" descr="C:\Users\LISAN\Pictures\plantes-halophytes-xerophiles\pistacia lentiscus_fleurs2.jpg"/>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1847850" cy="2466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6322384F" w14:textId="3E99A06A" w:rsidR="000204A5" w:rsidRDefault="000204A5" w:rsidP="000204A5">
            <w:pPr>
              <w:jc w:val="center"/>
            </w:pPr>
            <w:r>
              <w:t>Fleurs</w:t>
            </w:r>
          </w:p>
        </w:tc>
      </w:tr>
      <w:tr w:rsidR="000204A5" w14:paraId="40D0C531" w14:textId="77777777" w:rsidTr="000204A5">
        <w:tc>
          <w:tcPr>
            <w:tcW w:w="3596" w:type="dxa"/>
          </w:tcPr>
          <w:p w14:paraId="02439BB5" w14:textId="1308BD71" w:rsidR="000204A5" w:rsidRDefault="000204A5" w:rsidP="000204A5">
            <w:pPr>
              <w:jc w:val="center"/>
            </w:pPr>
            <w:r w:rsidRPr="000204A5">
              <w:rPr>
                <w:noProof/>
              </w:rPr>
              <w:lastRenderedPageBreak/>
              <w:drawing>
                <wp:inline distT="0" distB="0" distL="0" distR="0" wp14:anchorId="12442B8E" wp14:editId="5C47AB4B">
                  <wp:extent cx="1941513" cy="2592387"/>
                  <wp:effectExtent l="0" t="0" r="1905" b="0"/>
                  <wp:docPr id="34824" name="Picture 3" descr="C:\Users\LISAN\Pictures\plantes-halophytes-xerophiles\Pistacia_lentiscus_arbr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24" name="Picture 3" descr="C:\Users\LISAN\Pictures\plantes-halophytes-xerophiles\Pistacia_lentiscus_arbre_s.jpg"/>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1941513" cy="25923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t xml:space="preserve"> </w:t>
            </w:r>
          </w:p>
        </w:tc>
        <w:tc>
          <w:tcPr>
            <w:tcW w:w="3597" w:type="dxa"/>
          </w:tcPr>
          <w:p w14:paraId="47BA5EFA" w14:textId="77777777" w:rsidR="000204A5" w:rsidRDefault="000204A5" w:rsidP="000204A5">
            <w:pPr>
              <w:jc w:val="center"/>
            </w:pPr>
            <w:r w:rsidRPr="000204A5">
              <w:rPr>
                <w:noProof/>
              </w:rPr>
              <w:drawing>
                <wp:inline distT="0" distB="0" distL="0" distR="0" wp14:anchorId="58F7D740" wp14:editId="032EDEB4">
                  <wp:extent cx="1669486" cy="2228850"/>
                  <wp:effectExtent l="0" t="0" r="6985" b="0"/>
                  <wp:docPr id="34828" name="Picture 6" descr="C:\Users\LISAN\Pictures\plantes-halophytes-xerophiles\pistacia lentiscus_arbus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28" name="Picture 6" descr="C:\Users\LISAN\Pictures\plantes-halophytes-xerophiles\pistacia lentiscus_arbuste.jpg"/>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1672245" cy="2232534"/>
                          </a:xfrm>
                          <a:prstGeom prst="rect">
                            <a:avLst/>
                          </a:prstGeom>
                          <a:noFill/>
                          <a:ln>
                            <a:noFill/>
                          </a:ln>
                        </pic:spPr>
                      </pic:pic>
                    </a:graphicData>
                  </a:graphic>
                </wp:inline>
              </w:drawing>
            </w:r>
          </w:p>
          <w:p w14:paraId="76B92FF0" w14:textId="779F1B0F" w:rsidR="000204A5" w:rsidRDefault="000204A5" w:rsidP="000204A5">
            <w:pPr>
              <w:jc w:val="center"/>
            </w:pPr>
            <w:r w:rsidRPr="000204A5">
              <w:t>Pistachier lentisque (Sant Tomás à Minorque)</w:t>
            </w:r>
          </w:p>
        </w:tc>
        <w:tc>
          <w:tcPr>
            <w:tcW w:w="3597" w:type="dxa"/>
          </w:tcPr>
          <w:p w14:paraId="39710B71" w14:textId="77777777" w:rsidR="000204A5" w:rsidRDefault="000204A5" w:rsidP="000204A5">
            <w:pPr>
              <w:jc w:val="center"/>
            </w:pPr>
          </w:p>
        </w:tc>
      </w:tr>
      <w:tr w:rsidR="000204A5" w14:paraId="6B15F28D" w14:textId="77777777" w:rsidTr="000204A5">
        <w:tc>
          <w:tcPr>
            <w:tcW w:w="3596" w:type="dxa"/>
          </w:tcPr>
          <w:p w14:paraId="2429CC28" w14:textId="77777777" w:rsidR="000204A5" w:rsidRDefault="000204A5" w:rsidP="008271DB"/>
        </w:tc>
        <w:tc>
          <w:tcPr>
            <w:tcW w:w="3597" w:type="dxa"/>
          </w:tcPr>
          <w:p w14:paraId="7289EED3" w14:textId="77777777" w:rsidR="000204A5" w:rsidRDefault="000204A5" w:rsidP="008271DB"/>
        </w:tc>
        <w:tc>
          <w:tcPr>
            <w:tcW w:w="3597" w:type="dxa"/>
          </w:tcPr>
          <w:p w14:paraId="309BFBC1" w14:textId="77777777" w:rsidR="000204A5" w:rsidRDefault="000204A5" w:rsidP="000204A5">
            <w:pPr>
              <w:jc w:val="center"/>
            </w:pPr>
          </w:p>
        </w:tc>
      </w:tr>
    </w:tbl>
    <w:p w14:paraId="282D76B8" w14:textId="77777777" w:rsidR="008271DB" w:rsidRDefault="008271DB" w:rsidP="00B655B6">
      <w:pPr>
        <w:pStyle w:val="Titre2"/>
      </w:pPr>
      <w:bookmarkStart w:id="51" w:name="_Toc139181342"/>
      <w:r>
        <w:t>Pistachier térébinthe (</w:t>
      </w:r>
      <w:r w:rsidRPr="00065B9C">
        <w:rPr>
          <w:i/>
          <w:iCs/>
        </w:rPr>
        <w:t>Pistacia terebinthus</w:t>
      </w:r>
      <w:r>
        <w:t>)</w:t>
      </w:r>
      <w:bookmarkEnd w:id="51"/>
    </w:p>
    <w:p w14:paraId="7330272A" w14:textId="42D8DA1F" w:rsidR="008271DB" w:rsidRDefault="008271DB" w:rsidP="008271DB">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7"/>
        <w:gridCol w:w="2203"/>
        <w:gridCol w:w="1644"/>
        <w:gridCol w:w="415"/>
        <w:gridCol w:w="1377"/>
      </w:tblGrid>
      <w:tr w:rsidR="00B942F5" w:rsidRPr="000B6BE3" w14:paraId="78A63A8A" w14:textId="77777777" w:rsidTr="00A302F5">
        <w:tc>
          <w:tcPr>
            <w:tcW w:w="4957" w:type="dxa"/>
          </w:tcPr>
          <w:p w14:paraId="46D0E938" w14:textId="77777777" w:rsidR="00B942F5" w:rsidRPr="000B6BE3" w:rsidRDefault="00B942F5" w:rsidP="00A302F5">
            <w:pPr>
              <w:rPr>
                <w:rFonts w:cstheme="minorHAnsi"/>
                <w:bCs/>
              </w:rPr>
            </w:pPr>
            <w:r w:rsidRPr="000B6BE3">
              <w:rPr>
                <w:rFonts w:cstheme="minorHAnsi"/>
                <w:bCs/>
              </w:rPr>
              <w:t>(</w:t>
            </w:r>
            <w:hyperlink r:id="rId338" w:history="1">
              <w:r w:rsidRPr="000B6BE3">
                <w:rPr>
                  <w:rFonts w:cstheme="minorHAnsi"/>
                </w:rPr>
                <w:t>F</w:t>
              </w:r>
              <w:r w:rsidRPr="000B6BE3">
                <w:rPr>
                  <w:rStyle w:val="Lienhypertexte"/>
                  <w:rFonts w:cstheme="minorHAnsi"/>
                  <w:color w:val="0B0080"/>
                  <w:shd w:val="clear" w:color="auto" w:fill="FFFFFF"/>
                </w:rPr>
                <w:t>amille</w:t>
              </w:r>
            </w:hyperlink>
            <w:r w:rsidRPr="000B6BE3">
              <w:rPr>
                <w:rFonts w:cstheme="minorHAnsi"/>
                <w:color w:val="222222"/>
                <w:shd w:val="clear" w:color="auto" w:fill="FFFFFF"/>
              </w:rPr>
              <w:t> des</w:t>
            </w:r>
            <w:r>
              <w:rPr>
                <w:rFonts w:cstheme="minorHAnsi"/>
                <w:color w:val="222222"/>
                <w:shd w:val="clear" w:color="auto" w:fill="FFFFFF"/>
              </w:rPr>
              <w:t xml:space="preserve"> </w:t>
            </w:r>
            <w:r w:rsidRPr="00DA44E0">
              <w:rPr>
                <w:rFonts w:cstheme="minorHAnsi"/>
                <w:i/>
                <w:iCs/>
                <w:color w:val="222222"/>
                <w:shd w:val="clear" w:color="auto" w:fill="FFFFFF"/>
              </w:rPr>
              <w:t>Anacardiaceae</w:t>
            </w:r>
            <w:r w:rsidRPr="000B6BE3">
              <w:rPr>
                <w:rFonts w:cstheme="minorHAnsi"/>
                <w:bCs/>
              </w:rPr>
              <w:t>)</w:t>
            </w:r>
          </w:p>
          <w:p w14:paraId="578FD58B" w14:textId="77777777" w:rsidR="00B942F5" w:rsidRPr="000B6BE3" w:rsidRDefault="00B942F5" w:rsidP="00A302F5">
            <w:pPr>
              <w:rPr>
                <w:rFonts w:cstheme="minorHAnsi"/>
              </w:rPr>
            </w:pPr>
          </w:p>
        </w:tc>
        <w:tc>
          <w:tcPr>
            <w:tcW w:w="2268" w:type="dxa"/>
          </w:tcPr>
          <w:p w14:paraId="44002B49" w14:textId="77777777" w:rsidR="00B942F5" w:rsidRPr="000B6BE3" w:rsidRDefault="00B942F5" w:rsidP="00A302F5">
            <w:pPr>
              <w:rPr>
                <w:rFonts w:cstheme="minorHAnsi"/>
              </w:rPr>
            </w:pPr>
            <w:r w:rsidRPr="000B6BE3">
              <w:rPr>
                <w:rFonts w:cstheme="minorHAnsi"/>
                <w:noProof/>
              </w:rPr>
              <w:t xml:space="preserve">  </w:t>
            </w:r>
            <w:r w:rsidRPr="008F2681">
              <w:rPr>
                <w:rFonts w:cstheme="minorHAnsi"/>
                <w:noProof/>
              </w:rPr>
              <w:drawing>
                <wp:inline distT="0" distB="0" distL="0" distR="0" wp14:anchorId="1C20CBBA" wp14:editId="31346155">
                  <wp:extent cx="495300" cy="666750"/>
                  <wp:effectExtent l="0" t="0" r="0" b="0"/>
                  <wp:docPr id="132097" name="Image 18"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9" name="Image 18" descr="logo aride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r w:rsidRPr="008F2681">
              <w:rPr>
                <w:rFonts w:cstheme="minorHAnsi"/>
                <w:noProof/>
              </w:rPr>
              <w:drawing>
                <wp:inline distT="0" distB="0" distL="0" distR="0" wp14:anchorId="4186CDA6" wp14:editId="6B8C35FD">
                  <wp:extent cx="463550" cy="661988"/>
                  <wp:effectExtent l="0" t="0" r="0" b="5080"/>
                  <wp:docPr id="132098"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701" w:type="dxa"/>
          </w:tcPr>
          <w:p w14:paraId="558957AD" w14:textId="77777777" w:rsidR="00B942F5" w:rsidRPr="000B6BE3" w:rsidRDefault="00B942F5" w:rsidP="00A302F5">
            <w:pPr>
              <w:textAlignment w:val="baseline"/>
              <w:rPr>
                <w:rFonts w:cstheme="minorHAnsi"/>
              </w:rPr>
            </w:pPr>
            <w:r w:rsidRPr="00D1445E">
              <w:rPr>
                <w:rFonts w:eastAsia="+mn-ea" w:cstheme="minorHAnsi"/>
                <w:b/>
                <w:bCs/>
                <w:color w:val="008000"/>
                <w:kern w:val="24"/>
                <w:sz w:val="56"/>
                <w:szCs w:val="56"/>
              </w:rPr>
              <w:t>U</w:t>
            </w:r>
            <w:r>
              <w:rPr>
                <w:rFonts w:eastAsia="+mn-ea" w:cstheme="minorHAnsi"/>
                <w:b/>
                <w:bCs/>
                <w:color w:val="008000"/>
                <w:kern w:val="24"/>
                <w:sz w:val="44"/>
                <w:szCs w:val="44"/>
              </w:rPr>
              <w:t xml:space="preserve"> $</w:t>
            </w:r>
          </w:p>
        </w:tc>
        <w:tc>
          <w:tcPr>
            <w:tcW w:w="425" w:type="dxa"/>
          </w:tcPr>
          <w:p w14:paraId="10F55E9E" w14:textId="77777777" w:rsidR="00B942F5" w:rsidRPr="000B6BE3" w:rsidRDefault="00B942F5" w:rsidP="00A302F5">
            <w:pPr>
              <w:rPr>
                <w:rFonts w:cstheme="minorHAnsi"/>
              </w:rPr>
            </w:pPr>
          </w:p>
        </w:tc>
        <w:tc>
          <w:tcPr>
            <w:tcW w:w="1439" w:type="dxa"/>
          </w:tcPr>
          <w:p w14:paraId="303B93EA" w14:textId="77777777" w:rsidR="00B942F5" w:rsidRPr="000B6BE3" w:rsidRDefault="00B942F5" w:rsidP="00A302F5">
            <w:pPr>
              <w:rPr>
                <w:rFonts w:cstheme="minorHAnsi"/>
              </w:rPr>
            </w:pPr>
          </w:p>
        </w:tc>
      </w:tr>
    </w:tbl>
    <w:p w14:paraId="1434C0B0" w14:textId="7D001F32" w:rsidR="00B942F5" w:rsidRDefault="00B942F5" w:rsidP="008271DB">
      <w:pPr>
        <w:spacing w:after="0" w:line="240" w:lineRule="auto"/>
      </w:pPr>
      <w:r>
        <w:tab/>
      </w:r>
    </w:p>
    <w:p w14:paraId="195B6A8D" w14:textId="77777777" w:rsidR="008271DB" w:rsidRDefault="008271DB" w:rsidP="00065B9C">
      <w:pPr>
        <w:spacing w:after="0" w:line="240" w:lineRule="auto"/>
        <w:jc w:val="both"/>
      </w:pPr>
      <w:r>
        <w:t>Le « Térébinthe » est un arbuste (famille des Anacardiacées), atteignant 10 mètres de haut, à feuillage caduc, poussant dans la garrigue et le maquis, commun dans tout le bassin méditerranéen (sauf la Corse).</w:t>
      </w:r>
    </w:p>
    <w:p w14:paraId="6313531A" w14:textId="77777777" w:rsidR="008271DB" w:rsidRDefault="008271DB" w:rsidP="00065B9C">
      <w:pPr>
        <w:spacing w:after="0" w:line="240" w:lineRule="auto"/>
        <w:jc w:val="both"/>
      </w:pPr>
      <w:r>
        <w:t>L'essence de térébenthine était à l'origine fabriquée avec la sève de cet arbre.</w:t>
      </w:r>
    </w:p>
    <w:p w14:paraId="265F8CDF" w14:textId="77777777" w:rsidR="00065B9C" w:rsidRDefault="00065B9C" w:rsidP="00065B9C">
      <w:pPr>
        <w:spacing w:after="0" w:line="240" w:lineRule="auto"/>
        <w:jc w:val="both"/>
      </w:pPr>
    </w:p>
    <w:p w14:paraId="7767E8E7" w14:textId="6B047DEB" w:rsidR="008271DB" w:rsidRDefault="008271DB" w:rsidP="00065B9C">
      <w:pPr>
        <w:spacing w:after="0" w:line="240" w:lineRule="auto"/>
        <w:jc w:val="both"/>
      </w:pPr>
      <w:r>
        <w:t>Habitat : Le pistachier térébinthe est rustique et tolérant à la sécheresse. Plante des garrigues, il nécessite un sol parfaitement drainé, souvent calcaire, et se plaira là où pousse le chêne vert, une exposition abritée (du vent) et ensoleillée. Jusqu'à une altitude de 500 m</w:t>
      </w:r>
      <w:r w:rsidR="00065B9C">
        <w:rPr>
          <w:rStyle w:val="Appelnotedebasdep"/>
        </w:rPr>
        <w:footnoteReference w:id="73"/>
      </w:r>
      <w:r>
        <w:t xml:space="preserve">. </w:t>
      </w:r>
    </w:p>
    <w:p w14:paraId="685EEBAA" w14:textId="77777777" w:rsidR="008271DB" w:rsidRDefault="008271DB" w:rsidP="00065B9C">
      <w:pPr>
        <w:spacing w:after="0" w:line="240" w:lineRule="auto"/>
        <w:jc w:val="both"/>
      </w:pPr>
      <w:r>
        <w:t>Il est plus exigeant en humidité et plus résistant au froid (au gel) que le pistachier lentisque.</w:t>
      </w:r>
    </w:p>
    <w:p w14:paraId="1C83BB71" w14:textId="77777777" w:rsidR="008271DB" w:rsidRDefault="008271DB" w:rsidP="00065B9C">
      <w:pPr>
        <w:spacing w:after="0" w:line="240" w:lineRule="auto"/>
        <w:jc w:val="both"/>
      </w:pPr>
      <w:r>
        <w:t>La résine, qu’on peut mâcher, peut être utilisée comme antiseptique et à la fabrication de vernis et de friandises.</w:t>
      </w:r>
    </w:p>
    <w:p w14:paraId="04BA99FF" w14:textId="77777777" w:rsidR="008271DB" w:rsidRDefault="008271DB" w:rsidP="00065B9C">
      <w:pPr>
        <w:spacing w:after="0" w:line="240" w:lineRule="auto"/>
        <w:jc w:val="both"/>
      </w:pPr>
      <w:r>
        <w:t>Les graines, comestibles mais aigrelettes, peuvent être utilisées pour produire une huile comestible.</w:t>
      </w:r>
    </w:p>
    <w:p w14:paraId="2EE03957" w14:textId="77777777" w:rsidR="00065B9C" w:rsidRDefault="00065B9C" w:rsidP="00065B9C">
      <w:pPr>
        <w:spacing w:after="0" w:line="240" w:lineRule="auto"/>
        <w:jc w:val="both"/>
      </w:pPr>
    </w:p>
    <w:p w14:paraId="05B28B1B" w14:textId="3B1850CA" w:rsidR="008271DB" w:rsidRDefault="008271DB" w:rsidP="00065B9C">
      <w:pPr>
        <w:spacing w:after="0" w:line="240" w:lineRule="auto"/>
        <w:jc w:val="both"/>
      </w:pPr>
      <w:r>
        <w:t>La galle du pistachier térébinthe amène la feuille à subir une mutation pour contenir les œufs de son parasite. Les galles les plus courantes sur cette espèces sont causées par les pucerons </w:t>
      </w:r>
      <w:r w:rsidRPr="00065B9C">
        <w:rPr>
          <w:i/>
          <w:iCs/>
        </w:rPr>
        <w:t>Forda marginata</w:t>
      </w:r>
      <w:r>
        <w:t>, </w:t>
      </w:r>
      <w:r w:rsidRPr="00065B9C">
        <w:rPr>
          <w:i/>
          <w:iCs/>
        </w:rPr>
        <w:t>Forda formicaria</w:t>
      </w:r>
      <w:r>
        <w:t> et </w:t>
      </w:r>
      <w:r w:rsidRPr="00065B9C">
        <w:rPr>
          <w:i/>
          <w:iCs/>
        </w:rPr>
        <w:t>Baizongia pistaciae</w:t>
      </w:r>
      <w:r>
        <w:t> (feuille transformée en énorme « corne » atteignant20 cm de long). Très sensible aux pucerons parasites, utilisant ses feuilles pour y abriter leurs larves, ils présentent très souvent des galles rougeâtre ourlant leurs feuilles ou proliférant en forme de cornes brun rougeâtre atteignant 20 cm de long (</w:t>
      </w:r>
      <w:r w:rsidRPr="00065B9C">
        <w:rPr>
          <w:i/>
          <w:iCs/>
        </w:rPr>
        <w:t>Baizongia pistaciae</w:t>
      </w:r>
      <w:r>
        <w:t>) ne mettant pas en péril le végétal.</w:t>
      </w:r>
    </w:p>
    <w:p w14:paraId="2D8F3884" w14:textId="77777777" w:rsidR="008271DB" w:rsidRDefault="008271DB" w:rsidP="00065B9C">
      <w:pPr>
        <w:spacing w:after="0" w:line="240" w:lineRule="auto"/>
        <w:jc w:val="both"/>
      </w:pPr>
      <w:r>
        <w:t>Il est utilisé comme porte-greffe pour le pistachier vrai. Il se reproduit par semis.</w:t>
      </w:r>
    </w:p>
    <w:p w14:paraId="6A77F226" w14:textId="77777777" w:rsidR="008271DB" w:rsidRDefault="008271DB" w:rsidP="008271DB">
      <w:pPr>
        <w:spacing w:after="0" w:line="240" w:lineRule="auto"/>
      </w:pPr>
    </w:p>
    <w:p w14:paraId="7D7B1EA1" w14:textId="0329C9E5" w:rsidR="00065B9C" w:rsidRDefault="008271DB" w:rsidP="008271DB">
      <w:pPr>
        <w:spacing w:after="0" w:line="240" w:lineRule="auto"/>
      </w:pPr>
      <w:r>
        <w:t xml:space="preserve">Sources : a) </w:t>
      </w:r>
      <w:hyperlink r:id="rId339" w:history="1">
        <w:r w:rsidR="00065B9C" w:rsidRPr="009A5570">
          <w:rPr>
            <w:rStyle w:val="Lienhypertexte"/>
          </w:rPr>
          <w:t>http://fr.wikipedia.org/wiki/Pistachier_t%C3%A9r%C3%A9binthe</w:t>
        </w:r>
      </w:hyperlink>
      <w:r>
        <w:t>,</w:t>
      </w:r>
      <w:r w:rsidR="00065B9C">
        <w:t xml:space="preserve"> </w:t>
      </w:r>
      <w:r>
        <w:t xml:space="preserve"> </w:t>
      </w:r>
    </w:p>
    <w:p w14:paraId="6DB5C046" w14:textId="3AABFB16" w:rsidR="000204A5" w:rsidRPr="00712B10" w:rsidRDefault="008271DB" w:rsidP="008271DB">
      <w:pPr>
        <w:spacing w:after="0" w:line="240" w:lineRule="auto"/>
      </w:pPr>
      <w:r w:rsidRPr="00712B10">
        <w:t xml:space="preserve">b) </w:t>
      </w:r>
      <w:hyperlink r:id="rId340" w:history="1">
        <w:r w:rsidR="00065B9C" w:rsidRPr="00712B10">
          <w:rPr>
            <w:rStyle w:val="Lienhypertexte"/>
          </w:rPr>
          <w:t>http://en.wikipedia.org/wiki/Pistacia_terebinthus</w:t>
        </w:r>
      </w:hyperlink>
      <w:r w:rsidR="00065B9C" w:rsidRPr="00712B10">
        <w:t xml:space="preserve"> </w:t>
      </w:r>
    </w:p>
    <w:p w14:paraId="72CC5E0B" w14:textId="2540D125" w:rsidR="00065B9C" w:rsidRPr="00712B10" w:rsidRDefault="00065B9C" w:rsidP="008271DB">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39"/>
        <w:gridCol w:w="3449"/>
        <w:gridCol w:w="3538"/>
      </w:tblGrid>
      <w:tr w:rsidR="00065B9C" w14:paraId="416D59C0" w14:textId="77777777" w:rsidTr="00B0554A">
        <w:tc>
          <w:tcPr>
            <w:tcW w:w="3596" w:type="dxa"/>
          </w:tcPr>
          <w:p w14:paraId="369902D7" w14:textId="77777777" w:rsidR="00065B9C" w:rsidRDefault="00B0554A" w:rsidP="00065B9C">
            <w:pPr>
              <w:jc w:val="center"/>
              <w:rPr>
                <w:lang w:val="en-GB"/>
              </w:rPr>
            </w:pPr>
            <w:r w:rsidRPr="00B0554A">
              <w:rPr>
                <w:noProof/>
              </w:rPr>
              <w:lastRenderedPageBreak/>
              <w:drawing>
                <wp:inline distT="0" distB="0" distL="0" distR="0" wp14:anchorId="15A0E75E" wp14:editId="58D8B73F">
                  <wp:extent cx="1806575" cy="1368425"/>
                  <wp:effectExtent l="0" t="0" r="3175" b="3175"/>
                  <wp:docPr id="35850" name="Picture 10" descr="C:\Users\LISAN\Pictures\plantes-halophytes-xerophiles\Pistacia terebinthus_fleurs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50" name="Picture 10" descr="C:\Users\LISAN\Pictures\plantes-halophytes-xerophiles\Pistacia terebinthus_fleurs_s.jpg"/>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1806575" cy="1368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A5B32DD" w14:textId="2AF75B93" w:rsidR="00B0554A" w:rsidRDefault="00B0554A" w:rsidP="00065B9C">
            <w:pPr>
              <w:jc w:val="center"/>
              <w:rPr>
                <w:lang w:val="en-GB"/>
              </w:rPr>
            </w:pPr>
            <w:r>
              <w:rPr>
                <w:lang w:val="en-GB"/>
              </w:rPr>
              <w:t>Fleurs</w:t>
            </w:r>
          </w:p>
        </w:tc>
        <w:tc>
          <w:tcPr>
            <w:tcW w:w="3597" w:type="dxa"/>
          </w:tcPr>
          <w:p w14:paraId="72DA1905" w14:textId="77777777" w:rsidR="00065B9C" w:rsidRDefault="00B0554A" w:rsidP="00065B9C">
            <w:pPr>
              <w:jc w:val="center"/>
              <w:rPr>
                <w:lang w:val="en-GB"/>
              </w:rPr>
            </w:pPr>
            <w:r w:rsidRPr="00B0554A">
              <w:rPr>
                <w:noProof/>
              </w:rPr>
              <w:drawing>
                <wp:inline distT="0" distB="0" distL="0" distR="0" wp14:anchorId="036E5927" wp14:editId="3B5EE85D">
                  <wp:extent cx="1824038" cy="1368425"/>
                  <wp:effectExtent l="0" t="0" r="5080" b="3175"/>
                  <wp:docPr id="35849" name="Picture 9" descr="C:\Users\LISAN\Pictures\plantes-halophytes-xerophiles\Pistacia_terebinthus_jeunes_fruits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9" name="Picture 9" descr="C:\Users\LISAN\Pictures\plantes-halophytes-xerophiles\Pistacia_terebinthus_jeunes_fruits_s.jpg"/>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1824038" cy="1368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7BB20EE" w14:textId="33F679BD" w:rsidR="00B0554A" w:rsidRDefault="00B0554A" w:rsidP="00065B9C">
            <w:pPr>
              <w:jc w:val="center"/>
              <w:rPr>
                <w:lang w:val="en-GB"/>
              </w:rPr>
            </w:pPr>
            <w:r>
              <w:rPr>
                <w:lang w:val="en-GB"/>
              </w:rPr>
              <w:t>Fruits</w:t>
            </w:r>
          </w:p>
        </w:tc>
        <w:tc>
          <w:tcPr>
            <w:tcW w:w="3597" w:type="dxa"/>
          </w:tcPr>
          <w:p w14:paraId="6B0EB2E4" w14:textId="77777777" w:rsidR="00065B9C" w:rsidRDefault="00B0554A" w:rsidP="00065B9C">
            <w:pPr>
              <w:jc w:val="center"/>
              <w:rPr>
                <w:lang w:val="en-GB"/>
              </w:rPr>
            </w:pPr>
            <w:r w:rsidRPr="00B0554A">
              <w:rPr>
                <w:noProof/>
              </w:rPr>
              <w:drawing>
                <wp:inline distT="0" distB="0" distL="0" distR="0" wp14:anchorId="21E6EF5C" wp14:editId="33795DFC">
                  <wp:extent cx="2011362" cy="1573213"/>
                  <wp:effectExtent l="0" t="0" r="8255" b="8255"/>
                  <wp:docPr id="35848" name="Picture 8" descr="C:\Users\LISAN\Pictures\plantes-halophytes-xerophiles\Pistacia_terebinthus_Baizongia_pistaciae_Gal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8" name="Picture 8" descr="C:\Users\LISAN\Pictures\plantes-halophytes-xerophiles\Pistacia_terebinthus_Baizongia_pistaciae_Galls.jpg"/>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2011362" cy="1573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30EAF95E" w14:textId="01C71B58" w:rsidR="00B0554A" w:rsidRPr="00B0554A" w:rsidRDefault="00B0554A" w:rsidP="00B0554A">
            <w:pPr>
              <w:jc w:val="center"/>
            </w:pPr>
            <w:r w:rsidRPr="00B0554A">
              <w:t>Galles par </w:t>
            </w:r>
            <w:r w:rsidRPr="00B0554A">
              <w:rPr>
                <w:i/>
                <w:iCs/>
              </w:rPr>
              <w:t>Baizongia pistaciae</w:t>
            </w:r>
          </w:p>
        </w:tc>
      </w:tr>
    </w:tbl>
    <w:p w14:paraId="42A449BD" w14:textId="4E721A1D" w:rsidR="00065B9C" w:rsidRDefault="00065B9C" w:rsidP="00065B9C">
      <w:pPr>
        <w:spacing w:after="0" w:line="240" w:lineRule="auto"/>
        <w:jc w:val="center"/>
        <w:rPr>
          <w:lang w:val="en-GB"/>
        </w:rPr>
      </w:pPr>
    </w:p>
    <w:p w14:paraId="0A60A640" w14:textId="3A8468EA" w:rsidR="00B0554A" w:rsidRDefault="00B0554A" w:rsidP="00065B9C">
      <w:pPr>
        <w:spacing w:after="0" w:line="240" w:lineRule="auto"/>
        <w:jc w:val="center"/>
        <w:rPr>
          <w:lang w:val="en-GB"/>
        </w:rPr>
      </w:pPr>
      <w:r w:rsidRPr="00B0554A">
        <w:rPr>
          <w:noProof/>
        </w:rPr>
        <w:drawing>
          <wp:inline distT="0" distB="0" distL="0" distR="0" wp14:anchorId="1FB7D97C" wp14:editId="6B1F2C5B">
            <wp:extent cx="2724150" cy="1676400"/>
            <wp:effectExtent l="0" t="0" r="0" b="0"/>
            <wp:docPr id="35854" name="Image 14" descr="pistacia terebinthus_arb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54" name="Image 14" descr="pistacia terebinthus_arbre.jpg"/>
                    <pic:cNvPicPr>
                      <a:picLocks noChangeAspect="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2724150" cy="167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4B9B240" w14:textId="06D74F42" w:rsidR="00B0554A" w:rsidRDefault="00B0554A" w:rsidP="00B0554A">
      <w:pPr>
        <w:spacing w:after="0" w:line="240" w:lineRule="auto"/>
        <w:jc w:val="center"/>
      </w:pPr>
      <w:r w:rsidRPr="00B0554A">
        <w:t>Dans les gorges du Gardon (France)</w:t>
      </w:r>
    </w:p>
    <w:p w14:paraId="0D085DA3" w14:textId="14FCF4B5" w:rsidR="00B0554A" w:rsidRDefault="00B0554A" w:rsidP="00B0554A">
      <w:pPr>
        <w:spacing w:after="0" w:line="240" w:lineRule="auto"/>
      </w:pPr>
    </w:p>
    <w:p w14:paraId="6E921A5E" w14:textId="77777777" w:rsidR="002F3DA7" w:rsidRDefault="002F3DA7" w:rsidP="00B655B6">
      <w:pPr>
        <w:pStyle w:val="Titre2"/>
      </w:pPr>
      <w:bookmarkStart w:id="52" w:name="_Toc139181343"/>
      <w:r>
        <w:t>Grenadier commun (</w:t>
      </w:r>
      <w:r w:rsidRPr="002F3DA7">
        <w:rPr>
          <w:i/>
          <w:iCs/>
        </w:rPr>
        <w:t>Punica granatum</w:t>
      </w:r>
      <w:r>
        <w:t>)</w:t>
      </w:r>
      <w:bookmarkEnd w:id="52"/>
    </w:p>
    <w:p w14:paraId="760A6A4D" w14:textId="08B9BDC6" w:rsidR="002F3DA7" w:rsidRDefault="002F3DA7" w:rsidP="002F3DA7">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4"/>
        <w:gridCol w:w="2203"/>
        <w:gridCol w:w="1648"/>
        <w:gridCol w:w="415"/>
        <w:gridCol w:w="1376"/>
      </w:tblGrid>
      <w:tr w:rsidR="00B942F5" w:rsidRPr="000B6BE3" w14:paraId="699DB10F" w14:textId="77777777" w:rsidTr="00A302F5">
        <w:tc>
          <w:tcPr>
            <w:tcW w:w="4957" w:type="dxa"/>
          </w:tcPr>
          <w:p w14:paraId="4160CACC" w14:textId="77777777" w:rsidR="00B942F5" w:rsidRPr="000B6BE3" w:rsidRDefault="00B942F5" w:rsidP="00A302F5">
            <w:pPr>
              <w:rPr>
                <w:rFonts w:cstheme="minorHAnsi"/>
                <w:bCs/>
              </w:rPr>
            </w:pPr>
            <w:r w:rsidRPr="000B6BE3">
              <w:rPr>
                <w:rFonts w:cstheme="minorHAnsi"/>
                <w:bCs/>
              </w:rPr>
              <w:t>(</w:t>
            </w:r>
            <w:hyperlink r:id="rId345" w:history="1">
              <w:r w:rsidRPr="000B6BE3">
                <w:rPr>
                  <w:rFonts w:cstheme="minorHAnsi"/>
                </w:rPr>
                <w:t>F</w:t>
              </w:r>
              <w:r w:rsidRPr="000B6BE3">
                <w:rPr>
                  <w:rStyle w:val="Lienhypertexte"/>
                  <w:rFonts w:cstheme="minorHAnsi"/>
                  <w:color w:val="0B0080"/>
                  <w:shd w:val="clear" w:color="auto" w:fill="FFFFFF"/>
                </w:rPr>
                <w:t>amille</w:t>
              </w:r>
            </w:hyperlink>
            <w:r w:rsidRPr="000B6BE3">
              <w:rPr>
                <w:rFonts w:cstheme="minorHAnsi"/>
                <w:color w:val="222222"/>
                <w:shd w:val="clear" w:color="auto" w:fill="FFFFFF"/>
              </w:rPr>
              <w:t> des</w:t>
            </w:r>
            <w:r>
              <w:rPr>
                <w:rFonts w:cstheme="minorHAnsi"/>
                <w:color w:val="222222"/>
                <w:shd w:val="clear" w:color="auto" w:fill="FFFFFF"/>
              </w:rPr>
              <w:t xml:space="preserve"> </w:t>
            </w:r>
            <w:r w:rsidRPr="00DA44E0">
              <w:rPr>
                <w:rFonts w:cstheme="minorHAnsi"/>
                <w:i/>
                <w:iCs/>
                <w:color w:val="222222"/>
                <w:shd w:val="clear" w:color="auto" w:fill="FFFFFF"/>
              </w:rPr>
              <w:t>Anacardiaceae</w:t>
            </w:r>
            <w:r w:rsidRPr="000B6BE3">
              <w:rPr>
                <w:rFonts w:cstheme="minorHAnsi"/>
                <w:bCs/>
              </w:rPr>
              <w:t>)</w:t>
            </w:r>
          </w:p>
          <w:p w14:paraId="3950D298" w14:textId="77777777" w:rsidR="00B942F5" w:rsidRPr="000B6BE3" w:rsidRDefault="00B942F5" w:rsidP="00A302F5">
            <w:pPr>
              <w:rPr>
                <w:rFonts w:cstheme="minorHAnsi"/>
              </w:rPr>
            </w:pPr>
          </w:p>
        </w:tc>
        <w:tc>
          <w:tcPr>
            <w:tcW w:w="2268" w:type="dxa"/>
          </w:tcPr>
          <w:p w14:paraId="6CABECEE" w14:textId="77777777" w:rsidR="00B942F5" w:rsidRPr="000B6BE3" w:rsidRDefault="00B942F5" w:rsidP="00A302F5">
            <w:pPr>
              <w:rPr>
                <w:rFonts w:cstheme="minorHAnsi"/>
              </w:rPr>
            </w:pPr>
            <w:r w:rsidRPr="000B6BE3">
              <w:rPr>
                <w:rFonts w:cstheme="minorHAnsi"/>
                <w:noProof/>
              </w:rPr>
              <w:t xml:space="preserve">  </w:t>
            </w:r>
            <w:r w:rsidRPr="008F2681">
              <w:rPr>
                <w:rFonts w:cstheme="minorHAnsi"/>
                <w:noProof/>
              </w:rPr>
              <w:drawing>
                <wp:inline distT="0" distB="0" distL="0" distR="0" wp14:anchorId="619E6EC1" wp14:editId="160BC7F2">
                  <wp:extent cx="495300" cy="666750"/>
                  <wp:effectExtent l="0" t="0" r="0" b="0"/>
                  <wp:docPr id="132099" name="Image 18"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9" name="Image 18" descr="logo aride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r w:rsidRPr="008F2681">
              <w:rPr>
                <w:rFonts w:cstheme="minorHAnsi"/>
                <w:noProof/>
              </w:rPr>
              <w:drawing>
                <wp:inline distT="0" distB="0" distL="0" distR="0" wp14:anchorId="5D023C9E" wp14:editId="39DC71F5">
                  <wp:extent cx="463550" cy="661988"/>
                  <wp:effectExtent l="0" t="0" r="0" b="5080"/>
                  <wp:docPr id="132100"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701" w:type="dxa"/>
          </w:tcPr>
          <w:p w14:paraId="1AAD4CE4" w14:textId="590CA7CF" w:rsidR="00B942F5" w:rsidRPr="000B6BE3" w:rsidRDefault="00B942F5" w:rsidP="00A302F5">
            <w:pPr>
              <w:textAlignment w:val="baseline"/>
              <w:rPr>
                <w:rFonts w:cstheme="minorHAnsi"/>
              </w:rPr>
            </w:pPr>
            <w:r w:rsidRPr="00D1445E">
              <w:rPr>
                <w:rFonts w:eastAsia="+mn-ea" w:cstheme="minorHAnsi"/>
                <w:b/>
                <w:bCs/>
                <w:color w:val="008000"/>
                <w:kern w:val="24"/>
                <w:sz w:val="56"/>
                <w:szCs w:val="56"/>
              </w:rPr>
              <w:t>U</w:t>
            </w:r>
            <w:r>
              <w:rPr>
                <w:rFonts w:eastAsia="+mn-ea" w:cstheme="minorHAnsi"/>
                <w:b/>
                <w:bCs/>
                <w:color w:val="008000"/>
                <w:kern w:val="24"/>
                <w:sz w:val="44"/>
                <w:szCs w:val="44"/>
              </w:rPr>
              <w:t xml:space="preserve"> $$</w:t>
            </w:r>
          </w:p>
        </w:tc>
        <w:tc>
          <w:tcPr>
            <w:tcW w:w="425" w:type="dxa"/>
          </w:tcPr>
          <w:p w14:paraId="056B85FF" w14:textId="77777777" w:rsidR="00B942F5" w:rsidRPr="000B6BE3" w:rsidRDefault="00B942F5" w:rsidP="00A302F5">
            <w:pPr>
              <w:rPr>
                <w:rFonts w:cstheme="minorHAnsi"/>
              </w:rPr>
            </w:pPr>
          </w:p>
        </w:tc>
        <w:tc>
          <w:tcPr>
            <w:tcW w:w="1439" w:type="dxa"/>
          </w:tcPr>
          <w:p w14:paraId="09003FD6" w14:textId="77777777" w:rsidR="00B942F5" w:rsidRPr="000B6BE3" w:rsidRDefault="00B942F5" w:rsidP="00A302F5">
            <w:pPr>
              <w:rPr>
                <w:rFonts w:cstheme="minorHAnsi"/>
              </w:rPr>
            </w:pPr>
          </w:p>
        </w:tc>
      </w:tr>
    </w:tbl>
    <w:p w14:paraId="58B20B1A" w14:textId="77777777" w:rsidR="00B942F5" w:rsidRDefault="00B942F5" w:rsidP="002F3DA7">
      <w:pPr>
        <w:spacing w:after="0" w:line="240" w:lineRule="auto"/>
      </w:pPr>
    </w:p>
    <w:p w14:paraId="089D0A61" w14:textId="23687EEC" w:rsidR="002F3DA7" w:rsidRDefault="002F3DA7" w:rsidP="002F3DA7">
      <w:pPr>
        <w:spacing w:after="0" w:line="240" w:lineRule="auto"/>
        <w:jc w:val="both"/>
      </w:pPr>
      <w:r>
        <w:t>Cet arbre fruitier (famille des Lythracées) auto fertile, pouvant vivre 200 ans, est cultivé pour ses fruits comestibles (les grenades) et pour les qualités ornementales de ses grandes fleurs.</w:t>
      </w:r>
    </w:p>
    <w:p w14:paraId="0BA3EF34" w14:textId="1757C849" w:rsidR="002F3DA7" w:rsidRDefault="002F3DA7" w:rsidP="002F3DA7">
      <w:pPr>
        <w:spacing w:after="0" w:line="240" w:lineRule="auto"/>
        <w:jc w:val="both"/>
      </w:pPr>
      <w:r>
        <w:t>L'espèce tolère bien les sols calcaires et salins, une légère sècheresse (qui pourra modifier la qualité des fruits) et peut supporter de courtes périodes de gel (jusqu'à -15 °C). Il préfère les climats secs. Il se reproduit par boutures et mal par semis. Les oiseaux sont friands des fruits murs.</w:t>
      </w:r>
    </w:p>
    <w:p w14:paraId="2B1C47B4" w14:textId="5069BD7B" w:rsidR="002F3DA7" w:rsidRDefault="002F3DA7" w:rsidP="002F3DA7">
      <w:pPr>
        <w:spacing w:after="0" w:line="240" w:lineRule="auto"/>
        <w:jc w:val="both"/>
      </w:pPr>
      <w:r>
        <w:t>En zone humide, le grenadier a du mal à fructifier _ car il a besoin de fortes chaleurs pendant toute la période de fructification _ sinon il est attaqué par des maladies fongiques dont il ne se remet pas.</w:t>
      </w:r>
    </w:p>
    <w:p w14:paraId="76F78580" w14:textId="77777777" w:rsidR="002F3DA7" w:rsidRDefault="002F3DA7" w:rsidP="002F3DA7">
      <w:pPr>
        <w:spacing w:after="0" w:line="240" w:lineRule="auto"/>
        <w:jc w:val="both"/>
      </w:pPr>
      <w:r>
        <w:t xml:space="preserve">Le grenadier est un arbre robuste qui ne nécessite que peu de soins, mais il peut tout de même être attaqué par un puceron  s'attaquant aux jeunes pousses et provoquant la fumagine, le papillon </w:t>
      </w:r>
      <w:r w:rsidRPr="002F3DA7">
        <w:rPr>
          <w:i/>
          <w:iCs/>
        </w:rPr>
        <w:t>Virachola isocrates</w:t>
      </w:r>
      <w:r>
        <w:t>, la punaise </w:t>
      </w:r>
      <w:r w:rsidRPr="002F3DA7">
        <w:rPr>
          <w:i/>
          <w:iCs/>
        </w:rPr>
        <w:t>Leptoglossus zonatus</w:t>
      </w:r>
      <w:r>
        <w:t>, le  coléoptère xylophage Xylébore (</w:t>
      </w:r>
      <w:r w:rsidRPr="002F3DA7">
        <w:rPr>
          <w:i/>
          <w:iCs/>
        </w:rPr>
        <w:t>Xyleborus dispar</w:t>
      </w:r>
      <w:r>
        <w:t xml:space="preserve"> …), le zeuzère (</w:t>
      </w:r>
      <w:r w:rsidRPr="002F3DA7">
        <w:rPr>
          <w:i/>
          <w:iCs/>
        </w:rPr>
        <w:t>Zeuzera pyrina</w:t>
      </w:r>
      <w:r>
        <w:t xml:space="preserve"> ...), la mouche du fruit (</w:t>
      </w:r>
      <w:r w:rsidRPr="002F3DA7">
        <w:rPr>
          <w:i/>
          <w:iCs/>
        </w:rPr>
        <w:t>Ceratitis capitata</w:t>
      </w:r>
      <w:r>
        <w:t>), un parasite moins courant, ne sévissant que par temps très chaud en zone méditerranéenne, une maladie fongique (</w:t>
      </w:r>
      <w:r w:rsidRPr="00185901">
        <w:rPr>
          <w:i/>
          <w:iCs/>
        </w:rPr>
        <w:t>Aspergillus castaros</w:t>
      </w:r>
      <w:r>
        <w:t xml:space="preserve">), en zone humide, pourrissant les fruits de l'intérieur (à traiter par bouillie bordelaise en préventif). </w:t>
      </w:r>
    </w:p>
    <w:p w14:paraId="10C979C9" w14:textId="77777777" w:rsidR="002F3DA7" w:rsidRDefault="002F3DA7" w:rsidP="002F3DA7">
      <w:pPr>
        <w:spacing w:after="0" w:line="240" w:lineRule="auto"/>
        <w:jc w:val="both"/>
      </w:pPr>
      <w:r>
        <w:t>L'écorce du fruit est utilisée contre la dysenterie. Les fleurs fraîches du grenadier sont utilisées en infusion contre l'asthme.</w:t>
      </w:r>
    </w:p>
    <w:p w14:paraId="0AE307D8" w14:textId="2E7DCB34" w:rsidR="002F3DA7" w:rsidRDefault="002F3DA7" w:rsidP="002F3DA7">
      <w:pPr>
        <w:spacing w:after="0" w:line="240" w:lineRule="auto"/>
      </w:pPr>
      <w:r>
        <w:t xml:space="preserve">Sources : a) </w:t>
      </w:r>
      <w:hyperlink r:id="rId346" w:history="1">
        <w:r w:rsidR="001431AA" w:rsidRPr="00FC1B3F">
          <w:rPr>
            <w:rStyle w:val="Lienhypertexte"/>
          </w:rPr>
          <w:t>http://fr.wikipedia.org/wiki/Grenadier_commun</w:t>
        </w:r>
      </w:hyperlink>
      <w:r>
        <w:t>,</w:t>
      </w:r>
      <w:r w:rsidR="001431AA">
        <w:t xml:space="preserve"> </w:t>
      </w:r>
      <w:r>
        <w:t xml:space="preserve"> </w:t>
      </w:r>
    </w:p>
    <w:p w14:paraId="474489F6" w14:textId="5887F846" w:rsidR="00B0554A" w:rsidRDefault="002F3DA7" w:rsidP="002F3DA7">
      <w:pPr>
        <w:spacing w:after="0" w:line="240" w:lineRule="auto"/>
      </w:pPr>
      <w:r>
        <w:t xml:space="preserve">b) </w:t>
      </w:r>
      <w:hyperlink r:id="rId347" w:history="1">
        <w:r w:rsidR="001431AA" w:rsidRPr="00FC1B3F">
          <w:rPr>
            <w:rStyle w:val="Lienhypertexte"/>
          </w:rPr>
          <w:t>http://en.wikipedia.org/wiki/Pomegranate</w:t>
        </w:r>
      </w:hyperlink>
      <w:r w:rsidR="001431AA">
        <w:t xml:space="preserve"> </w:t>
      </w:r>
    </w:p>
    <w:p w14:paraId="5FC66420" w14:textId="58FC00CE" w:rsidR="00700580" w:rsidRDefault="00700580" w:rsidP="00B0554A">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2302E9" w14:paraId="4D8116BA" w14:textId="77777777" w:rsidTr="002302E9">
        <w:tc>
          <w:tcPr>
            <w:tcW w:w="5208" w:type="dxa"/>
          </w:tcPr>
          <w:p w14:paraId="118F3EB1" w14:textId="77777777" w:rsidR="002302E9" w:rsidRDefault="002302E9" w:rsidP="002302E9">
            <w:pPr>
              <w:jc w:val="center"/>
            </w:pPr>
            <w:r w:rsidRPr="002302E9">
              <w:rPr>
                <w:noProof/>
              </w:rPr>
              <w:lastRenderedPageBreak/>
              <w:drawing>
                <wp:inline distT="0" distB="0" distL="0" distR="0" wp14:anchorId="53B7BE2B" wp14:editId="4B0758A7">
                  <wp:extent cx="2540000" cy="1905000"/>
                  <wp:effectExtent l="0" t="0" r="0" b="0"/>
                  <wp:docPr id="36872" name="Picture 8" descr="C:\Users\LISAN\Pictures\plantes-halophytes-xerophiles\Punica_granatum_fleurs_(Jardin_des_plan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72" name="Picture 8" descr="C:\Users\LISAN\Pictures\plantes-halophytes-xerophiles\Punica_granatum_fleurs_(Jardin_des_plantes).jpg"/>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2540000" cy="190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328A975" w14:textId="0298EFE3" w:rsidR="002302E9" w:rsidRDefault="002302E9" w:rsidP="002302E9">
            <w:pPr>
              <w:jc w:val="center"/>
            </w:pPr>
            <w:r>
              <w:t>Fleurs</w:t>
            </w:r>
          </w:p>
        </w:tc>
        <w:tc>
          <w:tcPr>
            <w:tcW w:w="5208" w:type="dxa"/>
          </w:tcPr>
          <w:p w14:paraId="40E59458" w14:textId="77777777" w:rsidR="002302E9" w:rsidRDefault="002302E9" w:rsidP="002302E9">
            <w:pPr>
              <w:jc w:val="center"/>
            </w:pPr>
            <w:r w:rsidRPr="002302E9">
              <w:rPr>
                <w:noProof/>
              </w:rPr>
              <w:drawing>
                <wp:inline distT="0" distB="0" distL="0" distR="0" wp14:anchorId="30E9204B" wp14:editId="559B78BD">
                  <wp:extent cx="2067768" cy="1841218"/>
                  <wp:effectExtent l="0" t="0" r="8890" b="6985"/>
                  <wp:docPr id="36874" name="Picture 10" descr="C:\Users\LISAN\Pictures\plantes-halophytes-xerophiles\Punica_granatum_fleurs&amp;fruit_Tunisia_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74" name="Picture 10" descr="C:\Users\LISAN\Pictures\plantes-halophytes-xerophiles\Punica_granatum_fleurs&amp;fruit_Tunisia_2011.jpg"/>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2069019" cy="1842332"/>
                          </a:xfrm>
                          <a:prstGeom prst="rect">
                            <a:avLst/>
                          </a:prstGeom>
                          <a:noFill/>
                          <a:ln>
                            <a:noFill/>
                          </a:ln>
                        </pic:spPr>
                      </pic:pic>
                    </a:graphicData>
                  </a:graphic>
                </wp:inline>
              </w:drawing>
            </w:r>
          </w:p>
          <w:p w14:paraId="09F9C181" w14:textId="69A1A9E6" w:rsidR="002302E9" w:rsidRDefault="002302E9" w:rsidP="002302E9">
            <w:pPr>
              <w:jc w:val="center"/>
            </w:pPr>
            <w:r>
              <w:t>Fleurs et fruits (Tunisie)</w:t>
            </w:r>
          </w:p>
        </w:tc>
      </w:tr>
      <w:tr w:rsidR="002302E9" w14:paraId="1672D6EA" w14:textId="77777777" w:rsidTr="002302E9">
        <w:tc>
          <w:tcPr>
            <w:tcW w:w="5208" w:type="dxa"/>
          </w:tcPr>
          <w:p w14:paraId="782AE3F5" w14:textId="77777777" w:rsidR="00B479D8" w:rsidRDefault="00B479D8" w:rsidP="002302E9">
            <w:pPr>
              <w:jc w:val="center"/>
            </w:pPr>
          </w:p>
          <w:p w14:paraId="6C51C57E" w14:textId="3DEAEA4A" w:rsidR="002302E9" w:rsidRDefault="002302E9" w:rsidP="002302E9">
            <w:pPr>
              <w:jc w:val="center"/>
            </w:pPr>
            <w:r w:rsidRPr="002302E9">
              <w:rPr>
                <w:noProof/>
              </w:rPr>
              <w:drawing>
                <wp:inline distT="0" distB="0" distL="0" distR="0" wp14:anchorId="3E5DF4AE" wp14:editId="358098FE">
                  <wp:extent cx="1304925" cy="1752600"/>
                  <wp:effectExtent l="0" t="0" r="9525" b="0"/>
                  <wp:docPr id="36877" name="Picture 11" descr="C:\Users\LISAN\Pictures\plantes-halophytes-xerophiles\Punica granatum_fruits2_bis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77" name="Picture 11" descr="C:\Users\LISAN\Pictures\plantes-halophytes-xerophiles\Punica granatum_fruits2_bis_s.jpg"/>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1304925" cy="1752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208" w:type="dxa"/>
          </w:tcPr>
          <w:p w14:paraId="4D46E25B" w14:textId="77777777" w:rsidR="002302E9" w:rsidRDefault="002302E9" w:rsidP="002302E9">
            <w:pPr>
              <w:jc w:val="center"/>
            </w:pPr>
            <w:r w:rsidRPr="002302E9">
              <w:rPr>
                <w:noProof/>
              </w:rPr>
              <w:drawing>
                <wp:inline distT="0" distB="0" distL="0" distR="0" wp14:anchorId="19F4285C" wp14:editId="46BD1A41">
                  <wp:extent cx="1673225" cy="2232025"/>
                  <wp:effectExtent l="0" t="0" r="3175" b="0"/>
                  <wp:docPr id="36873" name="Picture 9" descr="C:\Users\LISAN\Pictures\plantes-halophytes-xerophiles\Punica granatum_cultivé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73" name="Picture 9" descr="C:\Users\LISAN\Pictures\plantes-halophytes-xerophiles\Punica granatum_cultivé_s.jpg"/>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1673225" cy="2232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8127082" w14:textId="07B1DBB8" w:rsidR="002302E9" w:rsidRDefault="002302E9" w:rsidP="002302E9">
            <w:pPr>
              <w:jc w:val="center"/>
            </w:pPr>
          </w:p>
        </w:tc>
      </w:tr>
      <w:tr w:rsidR="002302E9" w:rsidRPr="009954D2" w14:paraId="6797CEFA" w14:textId="77777777" w:rsidTr="002302E9">
        <w:tc>
          <w:tcPr>
            <w:tcW w:w="5208" w:type="dxa"/>
          </w:tcPr>
          <w:p w14:paraId="4C1A55B0" w14:textId="77777777" w:rsidR="002302E9" w:rsidRPr="009954D2" w:rsidRDefault="002302E9" w:rsidP="00A302F5">
            <w:pPr>
              <w:jc w:val="center"/>
              <w:rPr>
                <w:rFonts w:ascii="Calibri" w:hAnsi="Calibri" w:cs="Calibri"/>
              </w:rPr>
            </w:pPr>
            <w:r w:rsidRPr="009954D2">
              <w:rPr>
                <w:rFonts w:ascii="Calibri" w:hAnsi="Calibri" w:cs="Calibri"/>
                <w:noProof/>
              </w:rPr>
              <w:drawing>
                <wp:inline distT="0" distB="0" distL="0" distR="0" wp14:anchorId="45EC2B9B" wp14:editId="1051AA89">
                  <wp:extent cx="2546350" cy="1908175"/>
                  <wp:effectExtent l="0" t="0" r="6350" b="0"/>
                  <wp:docPr id="5126" name="Image 5" descr="Punica granatum_fleur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6" name="Image 5" descr="Punica granatum_fleurs4.jpg"/>
                          <pic:cNvPicPr>
                            <a:picLocks noChangeAspect="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2546350" cy="1908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68D22481" w14:textId="70C56406" w:rsidR="002302E9" w:rsidRPr="009954D2" w:rsidRDefault="00000000" w:rsidP="002302E9">
            <w:pPr>
              <w:jc w:val="center"/>
              <w:rPr>
                <w:rFonts w:ascii="Calibri" w:hAnsi="Calibri" w:cs="Calibri"/>
              </w:rPr>
            </w:pPr>
            <w:hyperlink r:id="rId353" w:history="1">
              <w:r w:rsidR="002302E9" w:rsidRPr="00A948B1">
                <w:rPr>
                  <w:rFonts w:ascii="Calibri" w:eastAsia="+mn-ea" w:hAnsi="Calibri" w:cs="Calibri"/>
                  <w:kern w:val="24"/>
                  <w:u w:val="single"/>
                </w:rPr>
                <w:t>Sépales</w:t>
              </w:r>
            </w:hyperlink>
            <w:r w:rsidR="002302E9" w:rsidRPr="00A948B1">
              <w:rPr>
                <w:rFonts w:ascii="Calibri" w:eastAsia="+mn-ea" w:hAnsi="Calibri" w:cs="Calibri"/>
                <w:kern w:val="24"/>
              </w:rPr>
              <w:t xml:space="preserve"> de grenadier et </w:t>
            </w:r>
            <w:hyperlink r:id="rId354" w:history="1">
              <w:r w:rsidR="002302E9" w:rsidRPr="00A948B1">
                <w:rPr>
                  <w:rFonts w:ascii="Calibri" w:eastAsia="+mn-ea" w:hAnsi="Calibri" w:cs="Calibri"/>
                  <w:kern w:val="24"/>
                  <w:u w:val="single"/>
                </w:rPr>
                <w:t>étamines</w:t>
              </w:r>
            </w:hyperlink>
            <w:r w:rsidR="002302E9" w:rsidRPr="00A948B1">
              <w:rPr>
                <w:rFonts w:ascii="Calibri" w:eastAsia="+mn-ea" w:hAnsi="Calibri" w:cs="Calibri"/>
                <w:kern w:val="24"/>
              </w:rPr>
              <w:t> sèches après la fécondation et la chute des pétales</w:t>
            </w:r>
            <w:r w:rsidR="002302E9">
              <w:rPr>
                <w:rFonts w:ascii="Calibri" w:eastAsia="+mn-ea" w:hAnsi="Calibri" w:cs="Calibri"/>
                <w:kern w:val="24"/>
              </w:rPr>
              <w:t>.</w:t>
            </w:r>
          </w:p>
        </w:tc>
        <w:tc>
          <w:tcPr>
            <w:tcW w:w="5208" w:type="dxa"/>
          </w:tcPr>
          <w:p w14:paraId="60CF555C" w14:textId="77777777" w:rsidR="002302E9" w:rsidRPr="009954D2" w:rsidRDefault="002302E9" w:rsidP="00A302F5">
            <w:pPr>
              <w:jc w:val="center"/>
              <w:rPr>
                <w:rFonts w:ascii="Calibri" w:hAnsi="Calibri" w:cs="Calibri"/>
              </w:rPr>
            </w:pPr>
            <w:r w:rsidRPr="009954D2">
              <w:rPr>
                <w:rFonts w:ascii="Calibri" w:hAnsi="Calibri" w:cs="Calibri"/>
                <w:noProof/>
              </w:rPr>
              <w:drawing>
                <wp:inline distT="0" distB="0" distL="0" distR="0" wp14:anchorId="2807F95A" wp14:editId="54F5B248">
                  <wp:extent cx="2592387" cy="1944688"/>
                  <wp:effectExtent l="0" t="0" r="0" b="0"/>
                  <wp:docPr id="5127" name="Image 6" descr="Punica granatum_fleur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7" name="Image 6" descr="Punica granatum_fleurs3.JPG"/>
                          <pic:cNvPicPr>
                            <a:picLocks noChangeAspect="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2592387" cy="19446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D0A84DD" w14:textId="77777777" w:rsidR="002302E9" w:rsidRPr="009954D2" w:rsidRDefault="002302E9" w:rsidP="00A302F5">
            <w:pPr>
              <w:pStyle w:val="NormalWeb"/>
              <w:spacing w:before="0" w:beforeAutospacing="0" w:after="0" w:afterAutospacing="0"/>
              <w:jc w:val="center"/>
              <w:textAlignment w:val="baseline"/>
              <w:rPr>
                <w:rFonts w:ascii="Calibri" w:hAnsi="Calibri" w:cs="Calibri"/>
                <w:sz w:val="22"/>
                <w:szCs w:val="22"/>
              </w:rPr>
            </w:pPr>
            <w:r w:rsidRPr="00A948B1">
              <w:rPr>
                <w:rFonts w:ascii="Calibri" w:eastAsia="+mn-ea" w:hAnsi="Calibri" w:cs="Calibri"/>
                <w:kern w:val="24"/>
                <w:sz w:val="22"/>
                <w:szCs w:val="22"/>
              </w:rPr>
              <w:t>Fleur de grenadier avant la chute des pétales</w:t>
            </w:r>
          </w:p>
        </w:tc>
      </w:tr>
    </w:tbl>
    <w:p w14:paraId="56B7CF3A" w14:textId="1A768937" w:rsidR="00700580" w:rsidRDefault="00700580" w:rsidP="002302E9">
      <w:pPr>
        <w:spacing w:after="0" w:line="240" w:lineRule="auto"/>
        <w:jc w:val="center"/>
      </w:pPr>
    </w:p>
    <w:p w14:paraId="737B5AB1" w14:textId="77777777" w:rsidR="00C90DF0" w:rsidRPr="00C90DF0" w:rsidRDefault="00C90DF0" w:rsidP="00B655B6">
      <w:pPr>
        <w:pStyle w:val="Titre2"/>
        <w:rPr>
          <w:lang w:val="es-AR"/>
        </w:rPr>
      </w:pPr>
      <w:bookmarkStart w:id="53" w:name="_Toc139181344"/>
      <w:r w:rsidRPr="00C90DF0">
        <w:rPr>
          <w:lang w:val="es-AR"/>
        </w:rPr>
        <w:t>Grenadier de Socotra (</w:t>
      </w:r>
      <w:r w:rsidRPr="00B655B6">
        <w:rPr>
          <w:i/>
          <w:iCs/>
          <w:lang w:val="es-AR"/>
        </w:rPr>
        <w:t>Punica protopunica</w:t>
      </w:r>
      <w:r w:rsidRPr="00C90DF0">
        <w:rPr>
          <w:lang w:val="es-AR"/>
        </w:rPr>
        <w:t>)</w:t>
      </w:r>
      <w:bookmarkEnd w:id="53"/>
    </w:p>
    <w:p w14:paraId="4C8BD910" w14:textId="77777777" w:rsidR="00B655B6" w:rsidRPr="001562F1" w:rsidRDefault="00B655B6" w:rsidP="00C90DF0">
      <w:pPr>
        <w:spacing w:after="0" w:line="240" w:lineRule="auto"/>
        <w:rPr>
          <w:lang w:val="es-AR"/>
        </w:rPr>
      </w:pPr>
    </w:p>
    <w:p w14:paraId="3A39C83F" w14:textId="6DE6B331" w:rsidR="00C90DF0" w:rsidRDefault="00C90DF0" w:rsidP="00B655B6">
      <w:pPr>
        <w:spacing w:after="0" w:line="240" w:lineRule="auto"/>
      </w:pPr>
      <w:r w:rsidRPr="00C90DF0">
        <w:t>Pour mention</w:t>
      </w:r>
      <w:r>
        <w:t>.</w:t>
      </w:r>
      <w:r w:rsidR="00B655B6">
        <w:t xml:space="preserve"> </w:t>
      </w:r>
      <w:r>
        <w:t>Arbuste de 2 m à 4,5 m de haut aux feuilles persistantes, endémique de l'île de Socotra, près de la corne africaine de Somalie (genre </w:t>
      </w:r>
      <w:r w:rsidRPr="00C90DF0">
        <w:rPr>
          <w:i/>
          <w:iCs/>
        </w:rPr>
        <w:t>Punica</w:t>
      </w:r>
      <w:r>
        <w:t xml:space="preserve">). </w:t>
      </w:r>
    </w:p>
    <w:p w14:paraId="55C3F08D" w14:textId="77777777" w:rsidR="00C90DF0" w:rsidRDefault="00C90DF0" w:rsidP="00C90DF0">
      <w:pPr>
        <w:spacing w:after="0" w:line="240" w:lineRule="auto"/>
        <w:jc w:val="both"/>
      </w:pPr>
      <w:r>
        <w:t xml:space="preserve">Le feuillage n'est pas brouté par les animaux, le bois ne présente aucun intérêt économique, ni comme source énergétique, ni comme matériaux technologique. </w:t>
      </w:r>
      <w:r w:rsidRPr="00C90DF0">
        <w:rPr>
          <w:i/>
          <w:iCs/>
        </w:rPr>
        <w:t>Le fruits est très acide et âpre et n'est consommé ni par les humains ni par le bétail</w:t>
      </w:r>
      <w:r>
        <w:t>.</w:t>
      </w:r>
    </w:p>
    <w:p w14:paraId="58F03EFE" w14:textId="58270D63" w:rsidR="00C90DF0" w:rsidRDefault="00C90DF0" w:rsidP="00C90DF0">
      <w:pPr>
        <w:spacing w:after="0" w:line="240" w:lineRule="auto"/>
        <w:jc w:val="both"/>
      </w:pPr>
      <w:r>
        <w:t xml:space="preserve">Aire de répartition : Son aire total de répartition occupe une zone d'une centaines de kilomètres carrés sur des terrains humides calcaires ou granitiques à une altitude de 300-1 200 m parmi les bosquets de crotons. Les implantations sont très fragmentées est présentent différentes sous-populations par exemple sur les plateaux les plus hauts. Il a un port </w:t>
      </w:r>
      <w:r>
        <w:lastRenderedPageBreak/>
        <w:t>prostré, alors qu'il est érigé aux altitudes plus basses. Dans certaines zones, il est très commun et la population se régénère normalement, alors qu'ailleurs, l'arbre peut pour des raisons inconnus avoir disparu ou ne présenter que quelques individus reliquaire.</w:t>
      </w:r>
    </w:p>
    <w:p w14:paraId="22752652" w14:textId="36491399" w:rsidR="00C90DF0" w:rsidRDefault="00C90DF0" w:rsidP="00C90DF0">
      <w:pPr>
        <w:spacing w:after="0" w:line="240" w:lineRule="auto"/>
      </w:pPr>
      <w:r>
        <w:t xml:space="preserve">Sources : a) </w:t>
      </w:r>
      <w:hyperlink r:id="rId356" w:history="1">
        <w:r w:rsidRPr="00C8771B">
          <w:rPr>
            <w:rStyle w:val="Lienhypertexte"/>
          </w:rPr>
          <w:t>http://fr.wikipedia.org/wiki/Punica_protopunica</w:t>
        </w:r>
      </w:hyperlink>
    </w:p>
    <w:p w14:paraId="058EBC9A" w14:textId="77777777" w:rsidR="00C90DF0" w:rsidRDefault="00C90DF0" w:rsidP="00C90DF0">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91597E" w14:paraId="6733938C" w14:textId="77777777" w:rsidTr="00135B17">
        <w:tc>
          <w:tcPr>
            <w:tcW w:w="5208" w:type="dxa"/>
          </w:tcPr>
          <w:p w14:paraId="10DC9689" w14:textId="59CB675D" w:rsidR="0091597E" w:rsidRDefault="0091597E" w:rsidP="0091597E">
            <w:pPr>
              <w:jc w:val="center"/>
            </w:pPr>
            <w:r w:rsidRPr="0091597E">
              <w:rPr>
                <w:noProof/>
              </w:rPr>
              <w:drawing>
                <wp:inline distT="0" distB="0" distL="0" distR="0" wp14:anchorId="56AA3454" wp14:editId="5AA66A88">
                  <wp:extent cx="1995488" cy="1400175"/>
                  <wp:effectExtent l="0" t="0" r="5080" b="0"/>
                  <wp:docPr id="37903" name="Picture 7" descr="C:\Users\LISAN\Pictures\plantes-halophytes-xerophiles\punica protopunic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03" name="Picture 7" descr="C:\Users\LISAN\Pictures\plantes-halophytes-xerophiles\punica protopunica5.jpg"/>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1995488" cy="1400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t xml:space="preserve"> (b)</w:t>
            </w:r>
            <w:r>
              <w:rPr>
                <w:rStyle w:val="Appelnotedebasdep"/>
              </w:rPr>
              <w:footnoteReference w:id="74"/>
            </w:r>
          </w:p>
        </w:tc>
        <w:tc>
          <w:tcPr>
            <w:tcW w:w="5208" w:type="dxa"/>
          </w:tcPr>
          <w:p w14:paraId="3663AA29" w14:textId="77777777" w:rsidR="0091597E" w:rsidRDefault="0091597E" w:rsidP="0091597E">
            <w:pPr>
              <w:jc w:val="center"/>
            </w:pPr>
            <w:r w:rsidRPr="0091597E">
              <w:rPr>
                <w:noProof/>
              </w:rPr>
              <w:drawing>
                <wp:inline distT="0" distB="0" distL="0" distR="0" wp14:anchorId="46C251C6" wp14:editId="27C7FD8F">
                  <wp:extent cx="1905000" cy="1428750"/>
                  <wp:effectExtent l="0" t="0" r="0" b="0"/>
                  <wp:docPr id="37897" name="Picture 4" descr="C:\Users\LISAN\Pictures\plantes-halophytes-xerophiles\Punica protopun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97" name="Picture 4" descr="C:\Users\LISAN\Pictures\plantes-halophytes-xerophiles\Punica protopunica.jpg"/>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987BB91" w14:textId="76EB27D2" w:rsidR="00135B17" w:rsidRDefault="00135B17" w:rsidP="0091597E">
            <w:pPr>
              <w:jc w:val="center"/>
            </w:pPr>
          </w:p>
        </w:tc>
      </w:tr>
      <w:tr w:rsidR="0091597E" w14:paraId="5ECB6276" w14:textId="77777777" w:rsidTr="00135B17">
        <w:tc>
          <w:tcPr>
            <w:tcW w:w="5208" w:type="dxa"/>
          </w:tcPr>
          <w:p w14:paraId="40B05506" w14:textId="2CFC71D8" w:rsidR="0091597E" w:rsidRDefault="0091597E" w:rsidP="0091597E">
            <w:pPr>
              <w:jc w:val="center"/>
            </w:pPr>
            <w:r w:rsidRPr="0091597E">
              <w:rPr>
                <w:noProof/>
              </w:rPr>
              <w:drawing>
                <wp:inline distT="0" distB="0" distL="0" distR="0" wp14:anchorId="7776EB0A" wp14:editId="2823DF96">
                  <wp:extent cx="2081212" cy="1558925"/>
                  <wp:effectExtent l="0" t="0" r="0" b="3175"/>
                  <wp:docPr id="37898" name="Picture 5" descr="C:\Users\LISAN\Pictures\plantes-halophytes-xerophiles\Punica protopunic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98" name="Picture 5" descr="C:\Users\LISAN\Pictures\plantes-halophytes-xerophiles\Punica protopunica2.jpg"/>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2081212" cy="1558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t xml:space="preserve">  (a)</w:t>
            </w:r>
            <w:r>
              <w:rPr>
                <w:rStyle w:val="Appelnotedebasdep"/>
              </w:rPr>
              <w:footnoteReference w:id="75"/>
            </w:r>
          </w:p>
        </w:tc>
        <w:tc>
          <w:tcPr>
            <w:tcW w:w="5208" w:type="dxa"/>
          </w:tcPr>
          <w:p w14:paraId="47BAA7FD" w14:textId="35CDA33F" w:rsidR="0091597E" w:rsidRDefault="0091597E" w:rsidP="0091597E">
            <w:pPr>
              <w:jc w:val="center"/>
            </w:pPr>
            <w:r w:rsidRPr="0091597E">
              <w:rPr>
                <w:noProof/>
              </w:rPr>
              <w:drawing>
                <wp:inline distT="0" distB="0" distL="0" distR="0" wp14:anchorId="1DAF0583" wp14:editId="5E732EC1">
                  <wp:extent cx="2178050" cy="1631950"/>
                  <wp:effectExtent l="0" t="0" r="0" b="6350"/>
                  <wp:docPr id="37899" name="Picture 6" descr="C:\Users\LISAN\Pictures\plantes-halophytes-xerophiles\Punica protopunic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99" name="Picture 6" descr="C:\Users\LISAN\Pictures\plantes-halophytes-xerophiles\Punica protopunica3.jpg"/>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2178050" cy="163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t xml:space="preserve"> (a)</w:t>
            </w:r>
          </w:p>
        </w:tc>
      </w:tr>
    </w:tbl>
    <w:p w14:paraId="507ACF42" w14:textId="087E6B0A" w:rsidR="001431AA" w:rsidRDefault="001431AA" w:rsidP="00135B17">
      <w:pPr>
        <w:spacing w:after="0" w:line="240" w:lineRule="auto"/>
      </w:pPr>
    </w:p>
    <w:p w14:paraId="7CE5913E" w14:textId="6F0454DA" w:rsidR="0037287A" w:rsidRDefault="0037287A" w:rsidP="0037287A">
      <w:pPr>
        <w:pStyle w:val="Titre2"/>
      </w:pPr>
      <w:bookmarkStart w:id="54" w:name="_Toc139181345"/>
      <w:r>
        <w:t>Vigne cultivée</w:t>
      </w:r>
      <w:r w:rsidR="009C5C16">
        <w:t xml:space="preserve"> et sauvage</w:t>
      </w:r>
      <w:r>
        <w:t xml:space="preserve"> (</w:t>
      </w:r>
      <w:r w:rsidRPr="0037287A">
        <w:rPr>
          <w:i/>
          <w:iCs/>
        </w:rPr>
        <w:t>Vitis vinifera</w:t>
      </w:r>
      <w:r>
        <w:t>)</w:t>
      </w:r>
      <w:bookmarkEnd w:id="54"/>
    </w:p>
    <w:p w14:paraId="0E01F88E" w14:textId="77777777" w:rsidR="0037287A" w:rsidRDefault="0037287A" w:rsidP="0037287A">
      <w:pPr>
        <w:spacing w:after="0" w:line="240" w:lineRule="auto"/>
      </w:pPr>
    </w:p>
    <w:p w14:paraId="6EB37197" w14:textId="77777777" w:rsidR="00E40D50" w:rsidRDefault="0037287A" w:rsidP="0037287A">
      <w:pPr>
        <w:spacing w:after="0" w:line="240" w:lineRule="auto"/>
        <w:jc w:val="both"/>
      </w:pPr>
      <w:r>
        <w:t xml:space="preserve">Ce sont des arbrisseaux sarmenteux, proche des lianes, à feuillage caduc, de la famille des </w:t>
      </w:r>
      <w:hyperlink r:id="rId361" w:tooltip="Vitaceae" w:history="1">
        <w:r w:rsidRPr="0037287A">
          <w:rPr>
            <w:rStyle w:val="Lienhypertexte"/>
            <w:rFonts w:ascii="Calibri" w:hAnsi="Calibri" w:cs="Calibri"/>
            <w:i/>
            <w:iCs/>
            <w:color w:val="0645AD"/>
            <w:shd w:val="clear" w:color="auto" w:fill="F9F9F9"/>
          </w:rPr>
          <w:t>Vitaceae</w:t>
        </w:r>
      </w:hyperlink>
      <w:r w:rsidRPr="0037287A">
        <w:rPr>
          <w:rFonts w:ascii="Calibri" w:hAnsi="Calibri" w:cs="Calibri"/>
        </w:rPr>
        <w:t>,</w:t>
      </w:r>
      <w:r>
        <w:t xml:space="preserve"> grimpants, s'accrochant à des supports par des </w:t>
      </w:r>
      <w:hyperlink r:id="rId362" w:history="1">
        <w:r w:rsidRPr="0037287A">
          <w:rPr>
            <w:rStyle w:val="Lienhypertexte"/>
            <w:rFonts w:ascii="Calibri" w:hAnsi="Calibri" w:cs="Calibri"/>
            <w:color w:val="0645AD"/>
            <w:shd w:val="clear" w:color="auto" w:fill="FFFFFF"/>
          </w:rPr>
          <w:t>vrilles</w:t>
        </w:r>
      </w:hyperlink>
      <w:r w:rsidRPr="0037287A">
        <w:rPr>
          <w:rFonts w:ascii="Calibri" w:hAnsi="Calibri" w:cs="Calibri"/>
        </w:rPr>
        <w:t>,</w:t>
      </w:r>
      <w:r>
        <w:t xml:space="preserve"> dont les tiges peuvent atteindre six mètres de long</w:t>
      </w:r>
      <w:r w:rsidR="00E40D50">
        <w:t>.</w:t>
      </w:r>
    </w:p>
    <w:p w14:paraId="0B3AE795" w14:textId="77777777" w:rsidR="00F5429A" w:rsidRDefault="0037287A" w:rsidP="0037287A">
      <w:pPr>
        <w:spacing w:after="0" w:line="240" w:lineRule="auto"/>
        <w:jc w:val="both"/>
        <w:rPr>
          <w:rFonts w:ascii="Calibri" w:hAnsi="Calibri" w:cs="Calibri"/>
          <w:color w:val="000000" w:themeColor="text1"/>
          <w:shd w:val="clear" w:color="auto" w:fill="FFFFFF"/>
        </w:rPr>
      </w:pPr>
      <w:r w:rsidRPr="0037287A">
        <w:rPr>
          <w:rFonts w:ascii="Calibri" w:hAnsi="Calibri" w:cs="Calibri"/>
          <w:color w:val="000000" w:themeColor="text1"/>
          <w:shd w:val="clear" w:color="auto" w:fill="FFFFFF"/>
        </w:rPr>
        <w:t>Principale espèce de </w:t>
      </w:r>
      <w:hyperlink r:id="rId363" w:tooltip="Vigne" w:history="1">
        <w:r w:rsidRPr="0037287A">
          <w:rPr>
            <w:rStyle w:val="Lienhypertexte"/>
            <w:rFonts w:ascii="Calibri" w:hAnsi="Calibri" w:cs="Calibri"/>
            <w:color w:val="0645AD"/>
            <w:shd w:val="clear" w:color="auto" w:fill="FFFFFF"/>
          </w:rPr>
          <w:t>vigne</w:t>
        </w:r>
      </w:hyperlink>
      <w:r w:rsidRPr="0037287A">
        <w:rPr>
          <w:rFonts w:ascii="Calibri" w:hAnsi="Calibri" w:cs="Calibri"/>
          <w:color w:val="202122"/>
          <w:shd w:val="clear" w:color="auto" w:fill="FFFFFF"/>
        </w:rPr>
        <w:t> </w:t>
      </w:r>
      <w:r w:rsidRPr="0037287A">
        <w:rPr>
          <w:rFonts w:ascii="Calibri" w:hAnsi="Calibri" w:cs="Calibri"/>
          <w:color w:val="000000" w:themeColor="text1"/>
          <w:shd w:val="clear" w:color="auto" w:fill="FFFFFF"/>
        </w:rPr>
        <w:t>cultivée en Europe et dans le monde, elle est à l'origine de très nombreux </w:t>
      </w:r>
      <w:hyperlink r:id="rId364" w:tooltip="Cépage" w:history="1">
        <w:r w:rsidRPr="0037287A">
          <w:rPr>
            <w:rStyle w:val="Lienhypertexte"/>
            <w:rFonts w:ascii="Calibri" w:hAnsi="Calibri" w:cs="Calibri"/>
            <w:color w:val="0645AD"/>
            <w:shd w:val="clear" w:color="auto" w:fill="FFFFFF"/>
          </w:rPr>
          <w:t>cépages</w:t>
        </w:r>
      </w:hyperlink>
      <w:r w:rsidRPr="0037287A">
        <w:rPr>
          <w:rFonts w:ascii="Calibri" w:hAnsi="Calibri" w:cs="Calibri"/>
          <w:color w:val="202122"/>
          <w:shd w:val="clear" w:color="auto" w:fill="FFFFFF"/>
        </w:rPr>
        <w:t> </w:t>
      </w:r>
      <w:r w:rsidRPr="0037287A">
        <w:rPr>
          <w:rFonts w:ascii="Calibri" w:hAnsi="Calibri" w:cs="Calibri"/>
          <w:color w:val="000000" w:themeColor="text1"/>
          <w:shd w:val="clear" w:color="auto" w:fill="FFFFFF"/>
        </w:rPr>
        <w:t xml:space="preserve">de cuve </w:t>
      </w:r>
      <w:r w:rsidRPr="0037287A">
        <w:rPr>
          <w:rFonts w:ascii="Calibri" w:hAnsi="Calibri" w:cs="Calibri"/>
          <w:color w:val="202122"/>
          <w:shd w:val="clear" w:color="auto" w:fill="FFFFFF"/>
        </w:rPr>
        <w:t>(</w:t>
      </w:r>
      <w:hyperlink r:id="rId365" w:tooltip="Cabernet" w:history="1">
        <w:r w:rsidRPr="005B3046">
          <w:rPr>
            <w:rStyle w:val="Lienhypertexte"/>
            <w:rFonts w:ascii="Calibri" w:hAnsi="Calibri" w:cs="Calibri"/>
            <w:color w:val="2F5496" w:themeColor="accent1" w:themeShade="BF"/>
            <w:shd w:val="clear" w:color="auto" w:fill="FFFFFF"/>
          </w:rPr>
          <w:t>cabernet</w:t>
        </w:r>
      </w:hyperlink>
      <w:r w:rsidRPr="009F4703">
        <w:rPr>
          <w:rFonts w:ascii="Calibri" w:hAnsi="Calibri" w:cs="Calibri"/>
          <w:color w:val="000000" w:themeColor="text1"/>
          <w:shd w:val="clear" w:color="auto" w:fill="FFFFFF"/>
        </w:rPr>
        <w:t>, </w:t>
      </w:r>
      <w:hyperlink r:id="rId366" w:tooltip="Merlot" w:history="1">
        <w:r w:rsidRPr="005B3046">
          <w:rPr>
            <w:rStyle w:val="Lienhypertexte"/>
            <w:rFonts w:ascii="Calibri" w:hAnsi="Calibri" w:cs="Calibri"/>
            <w:color w:val="2F5496" w:themeColor="accent1" w:themeShade="BF"/>
            <w:shd w:val="clear" w:color="auto" w:fill="FFFFFF"/>
          </w:rPr>
          <w:t>merlot</w:t>
        </w:r>
      </w:hyperlink>
      <w:r w:rsidRPr="009F4703">
        <w:rPr>
          <w:rFonts w:ascii="Calibri" w:hAnsi="Calibri" w:cs="Calibri"/>
          <w:color w:val="000000" w:themeColor="text1"/>
          <w:shd w:val="clear" w:color="auto" w:fill="FFFFFF"/>
        </w:rPr>
        <w:t>, </w:t>
      </w:r>
      <w:hyperlink r:id="rId367" w:tooltip="Pinot noir (cépage)" w:history="1">
        <w:r w:rsidRPr="005B3046">
          <w:rPr>
            <w:rStyle w:val="Lienhypertexte"/>
            <w:rFonts w:ascii="Calibri" w:hAnsi="Calibri" w:cs="Calibri"/>
            <w:color w:val="2F5496" w:themeColor="accent1" w:themeShade="BF"/>
            <w:shd w:val="clear" w:color="auto" w:fill="FFFFFF"/>
          </w:rPr>
          <w:t>pinot</w:t>
        </w:r>
      </w:hyperlink>
      <w:r w:rsidRPr="005B3046">
        <w:rPr>
          <w:rFonts w:ascii="Calibri" w:hAnsi="Calibri" w:cs="Calibri"/>
          <w:color w:val="2F5496" w:themeColor="accent1" w:themeShade="BF"/>
          <w:shd w:val="clear" w:color="auto" w:fill="FFFFFF"/>
        </w:rPr>
        <w:t>, </w:t>
      </w:r>
      <w:hyperlink r:id="rId368" w:tooltip="Sauvignon" w:history="1">
        <w:r w:rsidRPr="005B3046">
          <w:rPr>
            <w:rStyle w:val="Lienhypertexte"/>
            <w:rFonts w:ascii="Calibri" w:hAnsi="Calibri" w:cs="Calibri"/>
            <w:color w:val="2F5496" w:themeColor="accent1" w:themeShade="BF"/>
            <w:shd w:val="clear" w:color="auto" w:fill="FFFFFF"/>
          </w:rPr>
          <w:t>sauvignon</w:t>
        </w:r>
      </w:hyperlink>
      <w:r w:rsidRPr="009F4703">
        <w:rPr>
          <w:rFonts w:ascii="Calibri" w:hAnsi="Calibri" w:cs="Calibri"/>
          <w:color w:val="000000" w:themeColor="text1"/>
          <w:shd w:val="clear" w:color="auto" w:fill="FFFFFF"/>
        </w:rPr>
        <w:t>, etc.) ou de table.</w:t>
      </w:r>
      <w:r w:rsidR="005B3046">
        <w:rPr>
          <w:rFonts w:ascii="Calibri" w:hAnsi="Calibri" w:cs="Calibri"/>
          <w:color w:val="000000" w:themeColor="text1"/>
          <w:shd w:val="clear" w:color="auto" w:fill="FFFFFF"/>
        </w:rPr>
        <w:t xml:space="preserve"> </w:t>
      </w:r>
      <w:r w:rsidR="005B3046" w:rsidRPr="005B3046">
        <w:rPr>
          <w:rFonts w:ascii="Calibri" w:hAnsi="Calibri" w:cs="Calibri"/>
          <w:color w:val="000000" w:themeColor="text1"/>
          <w:shd w:val="clear" w:color="auto" w:fill="FFFFFF"/>
        </w:rPr>
        <w:t xml:space="preserve">Il existe actuellement entre </w:t>
      </w:r>
      <w:hyperlink r:id="rId369" w:tooltip="Liste des cépages" w:history="1">
        <w:r w:rsidR="005B3046" w:rsidRPr="005B3046">
          <w:rPr>
            <w:rStyle w:val="Lienhypertexte"/>
            <w:rFonts w:ascii="Calibri" w:hAnsi="Calibri" w:cs="Calibri"/>
            <w:color w:val="0645AD"/>
            <w:shd w:val="clear" w:color="auto" w:fill="FFFFFF"/>
          </w:rPr>
          <w:t>5000 et 10000 variétés</w:t>
        </w:r>
      </w:hyperlink>
      <w:r w:rsidR="005B3046" w:rsidRPr="005B3046">
        <w:rPr>
          <w:rFonts w:ascii="Calibri" w:hAnsi="Calibri" w:cs="Calibri"/>
          <w:color w:val="202122"/>
          <w:shd w:val="clear" w:color="auto" w:fill="FFFFFF"/>
        </w:rPr>
        <w:t> </w:t>
      </w:r>
      <w:r w:rsidR="005B3046" w:rsidRPr="005B3046">
        <w:rPr>
          <w:rFonts w:ascii="Calibri" w:hAnsi="Calibri" w:cs="Calibri"/>
          <w:color w:val="000000" w:themeColor="text1"/>
          <w:shd w:val="clear" w:color="auto" w:fill="FFFFFF"/>
        </w:rPr>
        <w:t>de raisins</w:t>
      </w:r>
      <w:r w:rsidR="005B3046" w:rsidRPr="005B3046">
        <w:rPr>
          <w:rFonts w:ascii="Calibri" w:hAnsi="Calibri" w:cs="Calibri"/>
          <w:i/>
          <w:iCs/>
          <w:color w:val="000000" w:themeColor="text1"/>
          <w:shd w:val="clear" w:color="auto" w:fill="FFFFFF"/>
        </w:rPr>
        <w:t> Vitis vinifera,</w:t>
      </w:r>
      <w:r w:rsidR="005B3046" w:rsidRPr="005B3046">
        <w:rPr>
          <w:rFonts w:ascii="Calibri" w:hAnsi="Calibri" w:cs="Calibri"/>
          <w:color w:val="000000" w:themeColor="text1"/>
          <w:shd w:val="clear" w:color="auto" w:fill="FFFFFF"/>
        </w:rPr>
        <w:t> bien que seules quelques-unes aient une importance commerciale pour la production de vin et de raisin de table.</w:t>
      </w:r>
      <w:r w:rsidR="00F5429A">
        <w:rPr>
          <w:rFonts w:ascii="Calibri" w:hAnsi="Calibri" w:cs="Calibri"/>
          <w:color w:val="000000" w:themeColor="text1"/>
          <w:shd w:val="clear" w:color="auto" w:fill="FFFFFF"/>
        </w:rPr>
        <w:t xml:space="preserve"> </w:t>
      </w:r>
    </w:p>
    <w:p w14:paraId="0BBF09C7" w14:textId="41F255D8" w:rsidR="0037287A" w:rsidRPr="000704DA" w:rsidRDefault="00F5429A" w:rsidP="0037287A">
      <w:pPr>
        <w:spacing w:after="0" w:line="240" w:lineRule="auto"/>
        <w:jc w:val="both"/>
        <w:rPr>
          <w:rFonts w:ascii="Calibri" w:hAnsi="Calibri" w:cs="Calibri"/>
          <w:color w:val="000000" w:themeColor="text1"/>
          <w:shd w:val="clear" w:color="auto" w:fill="FFFFFF"/>
        </w:rPr>
      </w:pPr>
      <w:r w:rsidRPr="000704DA">
        <w:rPr>
          <w:rFonts w:ascii="Calibri" w:hAnsi="Calibri" w:cs="Calibri"/>
          <w:color w:val="000000" w:themeColor="text1"/>
          <w:u w:val="single"/>
          <w:shd w:val="clear" w:color="auto" w:fill="FFFFFF"/>
        </w:rPr>
        <w:t xml:space="preserve">Autres espèces de vignes </w:t>
      </w:r>
      <w:r w:rsidR="000704DA" w:rsidRPr="000704DA">
        <w:rPr>
          <w:rFonts w:ascii="Calibri" w:hAnsi="Calibri" w:cs="Calibri"/>
          <w:color w:val="000000" w:themeColor="text1"/>
          <w:u w:val="single"/>
          <w:shd w:val="clear" w:color="auto" w:fill="FFFFFF"/>
        </w:rPr>
        <w:t>pour la viticulture</w:t>
      </w:r>
      <w:r>
        <w:rPr>
          <w:rFonts w:ascii="Calibri" w:hAnsi="Calibri" w:cs="Calibri"/>
          <w:color w:val="000000" w:themeColor="text1"/>
          <w:shd w:val="clear" w:color="auto" w:fill="FFFFFF"/>
        </w:rPr>
        <w:t xml:space="preserve"> : </w:t>
      </w:r>
      <w:r w:rsidRPr="00F5429A">
        <w:rPr>
          <w:rFonts w:ascii="Calibri" w:hAnsi="Calibri" w:cs="Calibri"/>
          <w:color w:val="000000" w:themeColor="text1"/>
          <w:shd w:val="clear" w:color="auto" w:fill="FFFFFF"/>
        </w:rPr>
        <w:t>Outre </w:t>
      </w:r>
      <w:hyperlink r:id="rId370" w:tooltip="Vitis vinifera" w:history="1">
        <w:r w:rsidRPr="00F5429A">
          <w:rPr>
            <w:rStyle w:val="Lienhypertexte"/>
            <w:rFonts w:ascii="Calibri" w:hAnsi="Calibri" w:cs="Calibri"/>
            <w:i/>
            <w:iCs/>
            <w:color w:val="0645AD"/>
            <w:shd w:val="clear" w:color="auto" w:fill="FFFFFF"/>
          </w:rPr>
          <w:t>Vitis vinifera</w:t>
        </w:r>
      </w:hyperlink>
      <w:r w:rsidRPr="00F5429A">
        <w:rPr>
          <w:rFonts w:ascii="Calibri" w:hAnsi="Calibri" w:cs="Calibri"/>
          <w:color w:val="202122"/>
          <w:shd w:val="clear" w:color="auto" w:fill="FFFFFF"/>
        </w:rPr>
        <w:t xml:space="preserve">, </w:t>
      </w:r>
      <w:r w:rsidRPr="00F5429A">
        <w:rPr>
          <w:rFonts w:ascii="Calibri" w:hAnsi="Calibri" w:cs="Calibri"/>
          <w:color w:val="000000" w:themeColor="text1"/>
          <w:shd w:val="clear" w:color="auto" w:fill="FFFFFF"/>
        </w:rPr>
        <w:t xml:space="preserve">les espèces du genre </w:t>
      </w:r>
      <w:r w:rsidRPr="00F5429A">
        <w:rPr>
          <w:rFonts w:ascii="Calibri" w:hAnsi="Calibri" w:cs="Calibri"/>
          <w:i/>
          <w:iCs/>
          <w:color w:val="000000" w:themeColor="text1"/>
          <w:shd w:val="clear" w:color="auto" w:fill="FFFFFF"/>
        </w:rPr>
        <w:t>Vitis</w:t>
      </w:r>
      <w:r w:rsidRPr="00F5429A">
        <w:rPr>
          <w:rFonts w:ascii="Calibri" w:hAnsi="Calibri" w:cs="Calibri"/>
          <w:color w:val="000000" w:themeColor="text1"/>
          <w:shd w:val="clear" w:color="auto" w:fill="FFFFFF"/>
        </w:rPr>
        <w:t xml:space="preserve"> adaptées à la viticulture sont :</w:t>
      </w:r>
      <w:r w:rsidRPr="00F5429A">
        <w:rPr>
          <w:rFonts w:ascii="Calibri" w:hAnsi="Calibri" w:cs="Calibri"/>
          <w:i/>
          <w:iCs/>
          <w:color w:val="000000" w:themeColor="text1"/>
          <w:shd w:val="clear" w:color="auto" w:fill="FFFFFF"/>
        </w:rPr>
        <w:t> </w:t>
      </w:r>
      <w:hyperlink r:id="rId371" w:tooltip="Vitis labrusca" w:history="1">
        <w:r w:rsidRPr="00F5429A">
          <w:rPr>
            <w:rStyle w:val="Lienhypertexte"/>
            <w:rFonts w:ascii="Calibri" w:hAnsi="Calibri" w:cs="Calibri"/>
            <w:i/>
            <w:iCs/>
            <w:color w:val="0645AD"/>
            <w:shd w:val="clear" w:color="auto" w:fill="FFFFFF"/>
          </w:rPr>
          <w:t>Vitis labrusca</w:t>
        </w:r>
      </w:hyperlink>
      <w:r w:rsidRPr="00F5429A">
        <w:rPr>
          <w:rFonts w:ascii="Calibri" w:hAnsi="Calibri" w:cs="Calibri"/>
          <w:i/>
          <w:iCs/>
          <w:color w:val="202122"/>
          <w:shd w:val="clear" w:color="auto" w:fill="FFFFFF"/>
        </w:rPr>
        <w:t>, </w:t>
      </w:r>
      <w:hyperlink r:id="rId372" w:tooltip="Vigne des rivages" w:history="1">
        <w:r w:rsidRPr="00F5429A">
          <w:rPr>
            <w:rStyle w:val="Lienhypertexte"/>
            <w:rFonts w:ascii="Calibri" w:hAnsi="Calibri" w:cs="Calibri"/>
            <w:i/>
            <w:iCs/>
            <w:color w:val="0645AD"/>
            <w:shd w:val="clear" w:color="auto" w:fill="FFFFFF"/>
          </w:rPr>
          <w:t>Vitis riparia</w:t>
        </w:r>
      </w:hyperlink>
      <w:r w:rsidRPr="00F5429A">
        <w:rPr>
          <w:rFonts w:ascii="Calibri" w:hAnsi="Calibri" w:cs="Calibri"/>
          <w:i/>
          <w:iCs/>
          <w:color w:val="202122"/>
          <w:shd w:val="clear" w:color="auto" w:fill="FFFFFF"/>
        </w:rPr>
        <w:t>, </w:t>
      </w:r>
      <w:hyperlink r:id="rId373" w:tooltip="Vitis rupestris" w:history="1">
        <w:r w:rsidRPr="00F5429A">
          <w:rPr>
            <w:rStyle w:val="Lienhypertexte"/>
            <w:rFonts w:ascii="Calibri" w:hAnsi="Calibri" w:cs="Calibri"/>
            <w:i/>
            <w:iCs/>
            <w:color w:val="0645AD"/>
            <w:shd w:val="clear" w:color="auto" w:fill="FFFFFF"/>
          </w:rPr>
          <w:t>Vitis rupestris</w:t>
        </w:r>
      </w:hyperlink>
      <w:r w:rsidRPr="00F5429A">
        <w:rPr>
          <w:rFonts w:ascii="Calibri" w:hAnsi="Calibri" w:cs="Calibri"/>
          <w:i/>
          <w:iCs/>
          <w:color w:val="202122"/>
          <w:shd w:val="clear" w:color="auto" w:fill="FFFFFF"/>
        </w:rPr>
        <w:t>, </w:t>
      </w:r>
      <w:hyperlink r:id="rId374" w:tooltip="Vitis berlandieri" w:history="1">
        <w:r w:rsidRPr="00F5429A">
          <w:rPr>
            <w:rStyle w:val="Lienhypertexte"/>
            <w:rFonts w:ascii="Calibri" w:hAnsi="Calibri" w:cs="Calibri"/>
            <w:i/>
            <w:iCs/>
            <w:color w:val="0645AD"/>
            <w:shd w:val="clear" w:color="auto" w:fill="FFFFFF"/>
          </w:rPr>
          <w:t>Vitis berlandieri</w:t>
        </w:r>
      </w:hyperlink>
      <w:r w:rsidRPr="00F5429A">
        <w:rPr>
          <w:rFonts w:ascii="Calibri" w:hAnsi="Calibri" w:cs="Calibri"/>
          <w:i/>
          <w:iCs/>
          <w:color w:val="202122"/>
          <w:shd w:val="clear" w:color="auto" w:fill="FFFFFF"/>
        </w:rPr>
        <w:t>, </w:t>
      </w:r>
      <w:hyperlink r:id="rId375" w:tooltip="Vitis amurensis" w:history="1">
        <w:r w:rsidRPr="00F5429A">
          <w:rPr>
            <w:rStyle w:val="Lienhypertexte"/>
            <w:rFonts w:ascii="Calibri" w:hAnsi="Calibri" w:cs="Calibri"/>
            <w:i/>
            <w:iCs/>
            <w:color w:val="0645AD"/>
            <w:shd w:val="clear" w:color="auto" w:fill="FFFFFF"/>
          </w:rPr>
          <w:t>Vitis amurensis</w:t>
        </w:r>
      </w:hyperlink>
      <w:r w:rsidRPr="00F5429A">
        <w:rPr>
          <w:rFonts w:ascii="Calibri" w:hAnsi="Calibri" w:cs="Calibri"/>
          <w:i/>
          <w:iCs/>
          <w:color w:val="202122"/>
          <w:shd w:val="clear" w:color="auto" w:fill="FFFFFF"/>
        </w:rPr>
        <w:t>, </w:t>
      </w:r>
      <w:hyperlink r:id="rId376" w:tooltip="Vitis coignetiae" w:history="1">
        <w:r w:rsidRPr="00F5429A">
          <w:rPr>
            <w:rStyle w:val="Lienhypertexte"/>
            <w:rFonts w:ascii="Calibri" w:hAnsi="Calibri" w:cs="Calibri"/>
            <w:i/>
            <w:iCs/>
            <w:color w:val="0645AD"/>
            <w:shd w:val="clear" w:color="auto" w:fill="FFFFFF"/>
          </w:rPr>
          <w:t>Vitis coignetiae</w:t>
        </w:r>
      </w:hyperlink>
      <w:r w:rsidRPr="00F5429A">
        <w:rPr>
          <w:rFonts w:ascii="Calibri" w:hAnsi="Calibri" w:cs="Calibri"/>
          <w:i/>
          <w:iCs/>
          <w:color w:val="202122"/>
          <w:shd w:val="clear" w:color="auto" w:fill="FFFFFF"/>
        </w:rPr>
        <w:t>, </w:t>
      </w:r>
      <w:hyperlink r:id="rId377" w:tooltip="Vitis vulpina" w:history="1">
        <w:r w:rsidRPr="00F5429A">
          <w:rPr>
            <w:rStyle w:val="Lienhypertexte"/>
            <w:rFonts w:ascii="Calibri" w:hAnsi="Calibri" w:cs="Calibri"/>
            <w:i/>
            <w:iCs/>
            <w:color w:val="0645AD"/>
            <w:shd w:val="clear" w:color="auto" w:fill="FFFFFF"/>
          </w:rPr>
          <w:t>Vitis vulpina</w:t>
        </w:r>
      </w:hyperlink>
      <w:r w:rsidRPr="00F5429A">
        <w:rPr>
          <w:rFonts w:ascii="Calibri" w:hAnsi="Calibri" w:cs="Calibri"/>
          <w:i/>
          <w:iCs/>
          <w:color w:val="202122"/>
          <w:shd w:val="clear" w:color="auto" w:fill="FFFFFF"/>
        </w:rPr>
        <w:t>, </w:t>
      </w:r>
      <w:hyperlink r:id="rId378" w:tooltip="Vitis acerifolia" w:history="1">
        <w:r w:rsidRPr="00F5429A">
          <w:rPr>
            <w:rStyle w:val="Lienhypertexte"/>
            <w:rFonts w:ascii="Calibri" w:hAnsi="Calibri" w:cs="Calibri"/>
            <w:i/>
            <w:iCs/>
            <w:color w:val="0645AD"/>
            <w:shd w:val="clear" w:color="auto" w:fill="FFFFFF"/>
          </w:rPr>
          <w:t>Vitis acerifolia</w:t>
        </w:r>
      </w:hyperlink>
      <w:r w:rsidRPr="00F5429A">
        <w:rPr>
          <w:rFonts w:ascii="Calibri" w:hAnsi="Calibri" w:cs="Calibri"/>
          <w:i/>
          <w:iCs/>
          <w:color w:val="202122"/>
          <w:shd w:val="clear" w:color="auto" w:fill="FFFFFF"/>
        </w:rPr>
        <w:t>, </w:t>
      </w:r>
      <w:hyperlink r:id="rId379" w:tooltip="Vitis aestivalis" w:history="1">
        <w:r w:rsidRPr="00F5429A">
          <w:rPr>
            <w:rStyle w:val="Lienhypertexte"/>
            <w:rFonts w:ascii="Calibri" w:hAnsi="Calibri" w:cs="Calibri"/>
            <w:i/>
            <w:iCs/>
            <w:color w:val="0645AD"/>
            <w:shd w:val="clear" w:color="auto" w:fill="FFFFFF"/>
          </w:rPr>
          <w:t>Vitis aestivalis</w:t>
        </w:r>
      </w:hyperlink>
      <w:r w:rsidRPr="00F5429A">
        <w:rPr>
          <w:rFonts w:ascii="Calibri" w:hAnsi="Calibri" w:cs="Calibri"/>
          <w:i/>
          <w:iCs/>
          <w:color w:val="202122"/>
          <w:shd w:val="clear" w:color="auto" w:fill="FFFFFF"/>
        </w:rPr>
        <w:t>, </w:t>
      </w:r>
      <w:hyperlink r:id="rId380" w:tooltip="Vitis rotundifolia" w:history="1">
        <w:r w:rsidRPr="00F5429A">
          <w:rPr>
            <w:rStyle w:val="Lienhypertexte"/>
            <w:rFonts w:ascii="Calibri" w:hAnsi="Calibri" w:cs="Calibri"/>
            <w:i/>
            <w:iCs/>
            <w:color w:val="0645AD"/>
            <w:shd w:val="clear" w:color="auto" w:fill="FFFFFF"/>
          </w:rPr>
          <w:t>Vitis rotundifolia</w:t>
        </w:r>
      </w:hyperlink>
      <w:r>
        <w:rPr>
          <w:rFonts w:ascii="Calibri" w:hAnsi="Calibri" w:cs="Calibri"/>
          <w:color w:val="202122"/>
          <w:shd w:val="clear" w:color="auto" w:fill="FFFFFF"/>
        </w:rPr>
        <w:t xml:space="preserve"> </w:t>
      </w:r>
      <w:r w:rsidRPr="00F5429A">
        <w:rPr>
          <w:rFonts w:ascii="Calibri" w:hAnsi="Calibri" w:cs="Calibri"/>
          <w:color w:val="202122"/>
          <w:shd w:val="clear" w:color="auto" w:fill="FFFFFF"/>
        </w:rPr>
        <w:t>..</w:t>
      </w:r>
      <w:r w:rsidRPr="00F5429A">
        <w:rPr>
          <w:rFonts w:ascii="Calibri" w:hAnsi="Calibri" w:cs="Calibri"/>
          <w:color w:val="000000" w:themeColor="text1"/>
          <w:shd w:val="clear" w:color="auto" w:fill="FFFFFF"/>
        </w:rPr>
        <w:t>.</w:t>
      </w:r>
      <w:r w:rsidR="000704DA">
        <w:rPr>
          <w:rFonts w:ascii="Calibri" w:hAnsi="Calibri" w:cs="Calibri"/>
          <w:color w:val="000000" w:themeColor="text1"/>
          <w:shd w:val="clear" w:color="auto" w:fill="FFFFFF"/>
        </w:rPr>
        <w:t xml:space="preserve"> </w:t>
      </w:r>
      <w:r w:rsidR="000704DA" w:rsidRPr="000704DA">
        <w:rPr>
          <w:rFonts w:ascii="Calibri" w:hAnsi="Calibri" w:cs="Calibri"/>
          <w:color w:val="000000" w:themeColor="text1"/>
          <w:shd w:val="clear" w:color="auto" w:fill="FFFFFF"/>
        </w:rPr>
        <w:t>Certaines de ces espèces peuvent servir de </w:t>
      </w:r>
      <w:hyperlink r:id="rId381" w:tooltip="Porte-greffe (vigne)" w:history="1">
        <w:r w:rsidR="000704DA" w:rsidRPr="000704DA">
          <w:rPr>
            <w:rStyle w:val="Lienhypertexte"/>
            <w:rFonts w:ascii="Calibri" w:hAnsi="Calibri" w:cs="Calibri"/>
            <w:color w:val="0645AD"/>
            <w:shd w:val="clear" w:color="auto" w:fill="FFFFFF"/>
          </w:rPr>
          <w:t>porte-greffe</w:t>
        </w:r>
      </w:hyperlink>
      <w:r w:rsidR="000704DA" w:rsidRPr="000704DA">
        <w:rPr>
          <w:rFonts w:ascii="Calibri" w:hAnsi="Calibri" w:cs="Calibri"/>
          <w:color w:val="202122"/>
          <w:shd w:val="clear" w:color="auto" w:fill="FFFFFF"/>
        </w:rPr>
        <w:t> </w:t>
      </w:r>
      <w:r w:rsidR="000704DA" w:rsidRPr="000704DA">
        <w:rPr>
          <w:rFonts w:ascii="Calibri" w:hAnsi="Calibri" w:cs="Calibri"/>
          <w:color w:val="000000" w:themeColor="text1"/>
          <w:shd w:val="clear" w:color="auto" w:fill="FFFFFF"/>
        </w:rPr>
        <w:t>pour des </w:t>
      </w:r>
      <w:hyperlink r:id="rId382" w:tooltip="Cultivar" w:history="1">
        <w:r w:rsidR="000704DA" w:rsidRPr="000704DA">
          <w:rPr>
            <w:rStyle w:val="Lienhypertexte"/>
            <w:rFonts w:ascii="Calibri" w:hAnsi="Calibri" w:cs="Calibri"/>
            <w:color w:val="0645AD"/>
            <w:shd w:val="clear" w:color="auto" w:fill="FFFFFF"/>
          </w:rPr>
          <w:t>cultivars</w:t>
        </w:r>
      </w:hyperlink>
      <w:r w:rsidR="000704DA" w:rsidRPr="000704DA">
        <w:rPr>
          <w:rFonts w:ascii="Calibri" w:hAnsi="Calibri" w:cs="Calibri"/>
          <w:color w:val="202122"/>
          <w:shd w:val="clear" w:color="auto" w:fill="FFFFFF"/>
        </w:rPr>
        <w:t> </w:t>
      </w:r>
      <w:r w:rsidR="000704DA" w:rsidRPr="000704DA">
        <w:rPr>
          <w:rFonts w:ascii="Calibri" w:hAnsi="Calibri" w:cs="Calibri"/>
          <w:color w:val="000000" w:themeColor="text1"/>
          <w:shd w:val="clear" w:color="auto" w:fill="FFFFFF"/>
        </w:rPr>
        <w:t>afin de les protéger de maladies parasitaires comme le </w:t>
      </w:r>
      <w:hyperlink r:id="rId383" w:tooltip="Maladie de Pierce" w:history="1">
        <w:r w:rsidR="000704DA" w:rsidRPr="000704DA">
          <w:rPr>
            <w:rStyle w:val="Lienhypertexte"/>
            <w:rFonts w:ascii="Calibri" w:hAnsi="Calibri" w:cs="Calibri"/>
            <w:color w:val="0645AD"/>
            <w:shd w:val="clear" w:color="auto" w:fill="FFFFFF"/>
          </w:rPr>
          <w:t>phylloxéra</w:t>
        </w:r>
      </w:hyperlink>
      <w:r w:rsidR="000704DA" w:rsidRPr="000704DA">
        <w:rPr>
          <w:rFonts w:ascii="Calibri" w:hAnsi="Calibri" w:cs="Calibri"/>
          <w:color w:val="202122"/>
          <w:shd w:val="clear" w:color="auto" w:fill="FFFFFF"/>
        </w:rPr>
        <w:t xml:space="preserve">. </w:t>
      </w:r>
      <w:r w:rsidR="000704DA" w:rsidRPr="000704DA">
        <w:rPr>
          <w:rFonts w:ascii="Calibri" w:hAnsi="Calibri" w:cs="Calibri"/>
          <w:color w:val="000000" w:themeColor="text1"/>
          <w:shd w:val="clear" w:color="auto" w:fill="FFFFFF"/>
        </w:rPr>
        <w:t>Des hybridations entre les espèces peuvent s'avérer par ailleurs efficaces pour lutter contre des</w:t>
      </w:r>
      <w:r w:rsidR="000704DA" w:rsidRPr="000704DA">
        <w:rPr>
          <w:rFonts w:ascii="Calibri" w:hAnsi="Calibri" w:cs="Calibri"/>
          <w:color w:val="202122"/>
          <w:shd w:val="clear" w:color="auto" w:fill="FFFFFF"/>
        </w:rPr>
        <w:t> </w:t>
      </w:r>
      <w:hyperlink r:id="rId384" w:tooltip="Maladie cryptogamique" w:history="1">
        <w:r w:rsidR="000704DA" w:rsidRPr="000704DA">
          <w:rPr>
            <w:rStyle w:val="Lienhypertexte"/>
            <w:rFonts w:ascii="Calibri" w:hAnsi="Calibri" w:cs="Calibri"/>
            <w:color w:val="0645AD"/>
            <w:shd w:val="clear" w:color="auto" w:fill="FFFFFF"/>
          </w:rPr>
          <w:t>maladies cryptogamiques</w:t>
        </w:r>
      </w:hyperlink>
      <w:r w:rsidR="000704DA" w:rsidRPr="000704DA">
        <w:rPr>
          <w:rFonts w:ascii="Calibri" w:hAnsi="Calibri" w:cs="Calibri"/>
          <w:color w:val="202122"/>
          <w:shd w:val="clear" w:color="auto" w:fill="FFFFFF"/>
        </w:rPr>
        <w:t> </w:t>
      </w:r>
      <w:r w:rsidR="000704DA" w:rsidRPr="000704DA">
        <w:rPr>
          <w:rFonts w:ascii="Calibri" w:hAnsi="Calibri" w:cs="Calibri"/>
          <w:color w:val="000000" w:themeColor="text1"/>
          <w:shd w:val="clear" w:color="auto" w:fill="FFFFFF"/>
        </w:rPr>
        <w:t>comme le </w:t>
      </w:r>
      <w:hyperlink r:id="rId385" w:tooltip="Mildiou" w:history="1">
        <w:r w:rsidR="000704DA" w:rsidRPr="000704DA">
          <w:rPr>
            <w:rStyle w:val="Lienhypertexte"/>
            <w:rFonts w:ascii="Calibri" w:hAnsi="Calibri" w:cs="Calibri"/>
            <w:color w:val="0645AD"/>
            <w:shd w:val="clear" w:color="auto" w:fill="FFFFFF"/>
          </w:rPr>
          <w:t>mildiou</w:t>
        </w:r>
      </w:hyperlink>
      <w:r w:rsidR="000704DA" w:rsidRPr="000704DA">
        <w:rPr>
          <w:rFonts w:ascii="Calibri" w:hAnsi="Calibri" w:cs="Calibri"/>
          <w:color w:val="202122"/>
          <w:shd w:val="clear" w:color="auto" w:fill="FFFFFF"/>
        </w:rPr>
        <w:t> </w:t>
      </w:r>
      <w:r w:rsidR="000704DA" w:rsidRPr="000704DA">
        <w:rPr>
          <w:rFonts w:ascii="Calibri" w:hAnsi="Calibri" w:cs="Calibri"/>
          <w:color w:val="000000" w:themeColor="text1"/>
          <w:shd w:val="clear" w:color="auto" w:fill="FFFFFF"/>
        </w:rPr>
        <w:t>ou l</w:t>
      </w:r>
      <w:r w:rsidR="000704DA" w:rsidRPr="000704DA">
        <w:rPr>
          <w:rFonts w:ascii="Calibri" w:hAnsi="Calibri" w:cs="Calibri"/>
          <w:color w:val="202122"/>
          <w:shd w:val="clear" w:color="auto" w:fill="FFFFFF"/>
        </w:rPr>
        <w:t>'</w:t>
      </w:r>
      <w:hyperlink r:id="rId386" w:tooltip="Oïdium" w:history="1">
        <w:r w:rsidR="000704DA" w:rsidRPr="000704DA">
          <w:rPr>
            <w:rStyle w:val="Lienhypertexte"/>
            <w:rFonts w:ascii="Calibri" w:hAnsi="Calibri" w:cs="Calibri"/>
            <w:color w:val="0645AD"/>
            <w:shd w:val="clear" w:color="auto" w:fill="FFFFFF"/>
          </w:rPr>
          <w:t>oïdium</w:t>
        </w:r>
      </w:hyperlink>
      <w:r w:rsidR="000704DA" w:rsidRPr="000704DA">
        <w:rPr>
          <w:rFonts w:ascii="Calibri" w:hAnsi="Calibri" w:cs="Calibri"/>
          <w:color w:val="202122"/>
          <w:shd w:val="clear" w:color="auto" w:fill="FFFFFF"/>
        </w:rPr>
        <w:t>.</w:t>
      </w:r>
    </w:p>
    <w:p w14:paraId="58817182" w14:textId="39236B7D" w:rsidR="005B3046" w:rsidRDefault="005B3046" w:rsidP="0037287A">
      <w:pPr>
        <w:spacing w:after="0" w:line="240" w:lineRule="auto"/>
        <w:jc w:val="both"/>
        <w:rPr>
          <w:rFonts w:ascii="Calibri" w:hAnsi="Calibri" w:cs="Calibri"/>
          <w:color w:val="000000" w:themeColor="text1"/>
          <w:shd w:val="clear" w:color="auto" w:fill="FFFFFF"/>
        </w:rPr>
      </w:pPr>
      <w:r w:rsidRPr="00D44624">
        <w:rPr>
          <w:rFonts w:ascii="Calibri" w:hAnsi="Calibri" w:cs="Calibri"/>
          <w:color w:val="000000" w:themeColor="text1"/>
          <w:u w:val="single"/>
          <w:shd w:val="clear" w:color="auto" w:fill="FFFFFF"/>
        </w:rPr>
        <w:t>Sous-espèces</w:t>
      </w:r>
      <w:r w:rsidRPr="00D44624">
        <w:rPr>
          <w:rFonts w:ascii="Calibri" w:hAnsi="Calibri" w:cs="Calibri"/>
          <w:color w:val="000000" w:themeColor="text1"/>
          <w:shd w:val="clear" w:color="auto" w:fill="FFFFFF"/>
        </w:rPr>
        <w:t> : Le raisin sauvage est souvent classé comme </w:t>
      </w:r>
      <w:r w:rsidRPr="00D44624">
        <w:rPr>
          <w:rFonts w:ascii="Calibri" w:hAnsi="Calibri" w:cs="Calibri"/>
          <w:i/>
          <w:iCs/>
          <w:color w:val="000000" w:themeColor="text1"/>
          <w:shd w:val="clear" w:color="auto" w:fill="FFFFFF"/>
        </w:rPr>
        <w:t>V. vinifera</w:t>
      </w:r>
      <w:r w:rsidRPr="00D44624">
        <w:rPr>
          <w:rFonts w:ascii="Calibri" w:hAnsi="Calibri" w:cs="Calibri"/>
          <w:color w:val="000000" w:themeColor="text1"/>
          <w:shd w:val="clear" w:color="auto" w:fill="FFFFFF"/>
        </w:rPr>
        <w:t> subsp. </w:t>
      </w:r>
      <w:r w:rsidRPr="00D44624">
        <w:rPr>
          <w:rFonts w:ascii="Calibri" w:hAnsi="Calibri" w:cs="Calibri"/>
          <w:i/>
          <w:iCs/>
          <w:color w:val="000000" w:themeColor="text1"/>
          <w:shd w:val="clear" w:color="auto" w:fill="FFFFFF"/>
        </w:rPr>
        <w:t>sylvestris</w:t>
      </w:r>
      <w:r w:rsidRPr="00D44624">
        <w:rPr>
          <w:rFonts w:ascii="Calibri" w:hAnsi="Calibri" w:cs="Calibri"/>
          <w:color w:val="000000" w:themeColor="text1"/>
          <w:shd w:val="clear" w:color="auto" w:fill="FFFFFF"/>
        </w:rPr>
        <w:t> (dans certaines classifications considéré comme </w:t>
      </w:r>
      <w:r w:rsidRPr="00D44624">
        <w:rPr>
          <w:rFonts w:ascii="Calibri" w:hAnsi="Calibri" w:cs="Calibri"/>
          <w:i/>
          <w:iCs/>
          <w:color w:val="000000" w:themeColor="text1"/>
          <w:shd w:val="clear" w:color="auto" w:fill="FFFFFF"/>
        </w:rPr>
        <w:t>Vitis sylvestris</w:t>
      </w:r>
      <w:r w:rsidRPr="00D44624">
        <w:rPr>
          <w:rFonts w:ascii="Calibri" w:hAnsi="Calibri" w:cs="Calibri"/>
          <w:color w:val="000000" w:themeColor="text1"/>
          <w:shd w:val="clear" w:color="auto" w:fill="FFFFFF"/>
        </w:rPr>
        <w:t>), avec </w:t>
      </w:r>
      <w:r w:rsidRPr="00D44624">
        <w:rPr>
          <w:rFonts w:ascii="Calibri" w:hAnsi="Calibri" w:cs="Calibri"/>
          <w:i/>
          <w:iCs/>
          <w:color w:val="000000" w:themeColor="text1"/>
          <w:shd w:val="clear" w:color="auto" w:fill="FFFFFF"/>
        </w:rPr>
        <w:t>V. vinifera</w:t>
      </w:r>
      <w:r w:rsidRPr="00D44624">
        <w:rPr>
          <w:rFonts w:ascii="Calibri" w:hAnsi="Calibri" w:cs="Calibri"/>
          <w:color w:val="000000" w:themeColor="text1"/>
          <w:shd w:val="clear" w:color="auto" w:fill="FFFFFF"/>
        </w:rPr>
        <w:t> subsp. </w:t>
      </w:r>
      <w:r w:rsidRPr="00D44624">
        <w:rPr>
          <w:rFonts w:ascii="Calibri" w:hAnsi="Calibri" w:cs="Calibri"/>
          <w:i/>
          <w:iCs/>
          <w:color w:val="000000" w:themeColor="text1"/>
          <w:shd w:val="clear" w:color="auto" w:fill="FFFFFF"/>
        </w:rPr>
        <w:t>vinifera</w:t>
      </w:r>
      <w:r w:rsidRPr="00D44624">
        <w:rPr>
          <w:rFonts w:ascii="Calibri" w:hAnsi="Calibri" w:cs="Calibri"/>
          <w:color w:val="000000" w:themeColor="text1"/>
          <w:shd w:val="clear" w:color="auto" w:fill="FFFFFF"/>
        </w:rPr>
        <w:t> limité aux formes cultivées. Les vignes domestiquées ont </w:t>
      </w:r>
      <w:hyperlink r:id="rId387" w:anchor="Botany" w:tooltip="Hermaphrodite" w:history="1">
        <w:r w:rsidRPr="00D44624">
          <w:rPr>
            <w:rStyle w:val="Lienhypertexte"/>
            <w:rFonts w:ascii="Calibri" w:hAnsi="Calibri" w:cs="Calibri"/>
            <w:color w:val="0645AD"/>
            <w:shd w:val="clear" w:color="auto" w:fill="FFFFFF"/>
          </w:rPr>
          <w:t>des</w:t>
        </w:r>
      </w:hyperlink>
      <w:r w:rsidRPr="00D44624">
        <w:rPr>
          <w:rFonts w:ascii="Calibri" w:hAnsi="Calibri" w:cs="Calibri"/>
          <w:color w:val="202122"/>
          <w:shd w:val="clear" w:color="auto" w:fill="FFFFFF"/>
        </w:rPr>
        <w:t> </w:t>
      </w:r>
      <w:r w:rsidRPr="00D44624">
        <w:rPr>
          <w:rFonts w:ascii="Calibri" w:hAnsi="Calibri" w:cs="Calibri"/>
          <w:color w:val="000000" w:themeColor="text1"/>
          <w:shd w:val="clear" w:color="auto" w:fill="FFFFFF"/>
        </w:rPr>
        <w:t>fleurs </w:t>
      </w:r>
      <w:hyperlink r:id="rId388" w:anchor="Botany" w:history="1">
        <w:r w:rsidRPr="00D44624">
          <w:rPr>
            <w:rStyle w:val="Lienhypertexte"/>
            <w:rFonts w:ascii="Calibri" w:hAnsi="Calibri" w:cs="Calibri"/>
            <w:color w:val="0645AD"/>
            <w:shd w:val="clear" w:color="auto" w:fill="FFFFFF"/>
          </w:rPr>
          <w:t>hermaphrodites</w:t>
        </w:r>
      </w:hyperlink>
      <w:r w:rsidR="00D44624">
        <w:rPr>
          <w:rFonts w:ascii="Arial" w:hAnsi="Arial" w:cs="Arial"/>
          <w:color w:val="202122"/>
          <w:sz w:val="21"/>
          <w:szCs w:val="21"/>
          <w:shd w:val="clear" w:color="auto" w:fill="FFFFFF"/>
        </w:rPr>
        <w:t xml:space="preserve">, </w:t>
      </w:r>
      <w:r w:rsidR="00D44624" w:rsidRPr="00D44624">
        <w:rPr>
          <w:rFonts w:ascii="Calibri" w:hAnsi="Calibri" w:cs="Calibri"/>
          <w:color w:val="000000" w:themeColor="text1"/>
          <w:shd w:val="clear" w:color="auto" w:fill="FFFFFF"/>
        </w:rPr>
        <w:t>mais subsp. </w:t>
      </w:r>
      <w:r w:rsidR="00D44624" w:rsidRPr="00D44624">
        <w:rPr>
          <w:rFonts w:ascii="Calibri" w:hAnsi="Calibri" w:cs="Calibri"/>
          <w:i/>
          <w:iCs/>
          <w:color w:val="000000" w:themeColor="text1"/>
          <w:shd w:val="clear" w:color="auto" w:fill="FFFFFF"/>
        </w:rPr>
        <w:t>sylvestris</w:t>
      </w:r>
      <w:r w:rsidR="00D44624" w:rsidRPr="00D44624">
        <w:rPr>
          <w:rFonts w:ascii="Calibri" w:hAnsi="Calibri" w:cs="Calibri"/>
          <w:color w:val="000000" w:themeColor="text1"/>
          <w:shd w:val="clear" w:color="auto" w:fill="FFFFFF"/>
        </w:rPr>
        <w:t> est</w:t>
      </w:r>
      <w:r w:rsidR="00D44624" w:rsidRPr="00D44624">
        <w:rPr>
          <w:rFonts w:ascii="Calibri" w:hAnsi="Calibri" w:cs="Calibri"/>
          <w:color w:val="202122"/>
          <w:shd w:val="clear" w:color="auto" w:fill="FFFFFF"/>
        </w:rPr>
        <w:t> </w:t>
      </w:r>
      <w:hyperlink r:id="rId389" w:tooltip="Sexualité végétale" w:history="1">
        <w:r w:rsidR="00D44624" w:rsidRPr="00D44624">
          <w:rPr>
            <w:rStyle w:val="Lienhypertexte"/>
            <w:rFonts w:ascii="Calibri" w:hAnsi="Calibri" w:cs="Calibri"/>
            <w:color w:val="0645AD"/>
            <w:shd w:val="clear" w:color="auto" w:fill="FFFFFF"/>
          </w:rPr>
          <w:t>dioïque</w:t>
        </w:r>
      </w:hyperlink>
      <w:r w:rsidR="00D44624" w:rsidRPr="00D44624">
        <w:rPr>
          <w:rFonts w:ascii="Calibri" w:hAnsi="Calibri" w:cs="Calibri"/>
          <w:color w:val="202122"/>
          <w:shd w:val="clear" w:color="auto" w:fill="FFFFFF"/>
        </w:rPr>
        <w:t> (</w:t>
      </w:r>
      <w:r w:rsidR="00D44624" w:rsidRPr="00D44624">
        <w:rPr>
          <w:rFonts w:ascii="Calibri" w:hAnsi="Calibri" w:cs="Calibri"/>
          <w:color w:val="000000" w:themeColor="text1"/>
          <w:shd w:val="clear" w:color="auto" w:fill="FFFFFF"/>
        </w:rPr>
        <w:t>fleurs </w:t>
      </w:r>
      <w:hyperlink r:id="rId390" w:tooltip="Homme" w:history="1">
        <w:r w:rsidR="00D44624" w:rsidRPr="00D44624">
          <w:rPr>
            <w:rStyle w:val="Lienhypertexte"/>
            <w:rFonts w:ascii="Calibri" w:hAnsi="Calibri" w:cs="Calibri"/>
            <w:color w:val="0645AD"/>
            <w:shd w:val="clear" w:color="auto" w:fill="FFFFFF"/>
          </w:rPr>
          <w:t>mâles</w:t>
        </w:r>
      </w:hyperlink>
      <w:r w:rsidR="00D44624" w:rsidRPr="00D44624">
        <w:rPr>
          <w:rFonts w:ascii="Calibri" w:hAnsi="Calibri" w:cs="Calibri"/>
          <w:color w:val="202122"/>
          <w:shd w:val="clear" w:color="auto" w:fill="FFFFFF"/>
        </w:rPr>
        <w:t> et </w:t>
      </w:r>
      <w:hyperlink r:id="rId391" w:tooltip="Femelle" w:history="1">
        <w:r w:rsidR="00D44624" w:rsidRPr="00D44624">
          <w:rPr>
            <w:rStyle w:val="Lienhypertexte"/>
            <w:rFonts w:ascii="Calibri" w:hAnsi="Calibri" w:cs="Calibri"/>
            <w:color w:val="0645AD"/>
            <w:shd w:val="clear" w:color="auto" w:fill="FFFFFF"/>
          </w:rPr>
          <w:t>femelles</w:t>
        </w:r>
      </w:hyperlink>
      <w:r w:rsidR="00D44624" w:rsidRPr="00D44624">
        <w:rPr>
          <w:rFonts w:ascii="Calibri" w:hAnsi="Calibri" w:cs="Calibri"/>
          <w:color w:val="202122"/>
          <w:shd w:val="clear" w:color="auto" w:fill="FFFFFF"/>
        </w:rPr>
        <w:t> </w:t>
      </w:r>
      <w:r w:rsidR="00D44624" w:rsidRPr="00D44624">
        <w:rPr>
          <w:rFonts w:ascii="Calibri" w:hAnsi="Calibri" w:cs="Calibri"/>
          <w:color w:val="000000" w:themeColor="text1"/>
          <w:shd w:val="clear" w:color="auto" w:fill="FFFFFF"/>
        </w:rPr>
        <w:t>sur des plantes séparées) et la pollinisation est nécessaire au développement des fruits.</w:t>
      </w:r>
      <w:r w:rsidR="003107B7">
        <w:rPr>
          <w:rFonts w:ascii="Calibri" w:hAnsi="Calibri" w:cs="Calibri"/>
          <w:color w:val="000000" w:themeColor="text1"/>
          <w:shd w:val="clear" w:color="auto" w:fill="FFFFFF"/>
        </w:rPr>
        <w:t xml:space="preserve"> Pour résumer, on accepte deux sous-espèces : </w:t>
      </w:r>
    </w:p>
    <w:p w14:paraId="1EDF6FE8" w14:textId="77777777" w:rsidR="003107B7" w:rsidRDefault="003107B7" w:rsidP="0037287A">
      <w:pPr>
        <w:spacing w:after="0" w:line="240" w:lineRule="auto"/>
        <w:jc w:val="both"/>
        <w:rPr>
          <w:rFonts w:ascii="Calibri" w:hAnsi="Calibri" w:cs="Calibri"/>
          <w:color w:val="000000" w:themeColor="text1"/>
          <w:shd w:val="clear" w:color="auto" w:fill="FFFFFF"/>
        </w:rPr>
      </w:pPr>
    </w:p>
    <w:p w14:paraId="5F34D98F" w14:textId="78EC7FF7" w:rsidR="003107B7" w:rsidRPr="003107B7" w:rsidRDefault="00000000" w:rsidP="0022016D">
      <w:pPr>
        <w:numPr>
          <w:ilvl w:val="0"/>
          <w:numId w:val="36"/>
        </w:numPr>
        <w:shd w:val="clear" w:color="auto" w:fill="FFFFFF"/>
        <w:tabs>
          <w:tab w:val="clear" w:pos="720"/>
          <w:tab w:val="num" w:pos="426"/>
        </w:tabs>
        <w:spacing w:after="0" w:line="240" w:lineRule="auto"/>
        <w:ind w:left="426"/>
        <w:jc w:val="both"/>
        <w:rPr>
          <w:rFonts w:ascii="Calibri" w:hAnsi="Calibri" w:cs="Calibri"/>
          <w:color w:val="000000" w:themeColor="text1"/>
        </w:rPr>
      </w:pPr>
      <w:hyperlink r:id="rId392" w:history="1">
        <w:r w:rsidR="003107B7" w:rsidRPr="003107B7">
          <w:rPr>
            <w:rStyle w:val="Lienhypertexte"/>
            <w:rFonts w:ascii="Calibri" w:hAnsi="Calibri" w:cs="Calibri"/>
            <w:i/>
            <w:iCs/>
            <w:color w:val="0645AD"/>
          </w:rPr>
          <w:t>Vitis vinifera</w:t>
        </w:r>
        <w:r w:rsidR="003107B7" w:rsidRPr="003107B7">
          <w:rPr>
            <w:rStyle w:val="Lienhypertexte"/>
            <w:rFonts w:ascii="Calibri" w:hAnsi="Calibri" w:cs="Calibri"/>
            <w:color w:val="0645AD"/>
          </w:rPr>
          <w:t> subsp. </w:t>
        </w:r>
        <w:r w:rsidR="003107B7" w:rsidRPr="003107B7">
          <w:rPr>
            <w:rStyle w:val="Lienhypertexte"/>
            <w:rFonts w:ascii="Calibri" w:hAnsi="Calibri" w:cs="Calibri"/>
            <w:i/>
            <w:iCs/>
            <w:color w:val="0645AD"/>
          </w:rPr>
          <w:t>sylvestris</w:t>
        </w:r>
      </w:hyperlink>
      <w:r w:rsidR="003107B7" w:rsidRPr="003107B7">
        <w:rPr>
          <w:rFonts w:ascii="Calibri" w:hAnsi="Calibri" w:cs="Calibri"/>
          <w:color w:val="202122"/>
        </w:rPr>
        <w:t> </w:t>
      </w:r>
      <w:r w:rsidR="003107B7" w:rsidRPr="003107B7">
        <w:rPr>
          <w:rFonts w:ascii="Calibri" w:hAnsi="Calibri" w:cs="Calibri"/>
          <w:color w:val="000000" w:themeColor="text1"/>
        </w:rPr>
        <w:t>- La</w:t>
      </w:r>
      <w:r w:rsidR="003107B7" w:rsidRPr="003107B7">
        <w:rPr>
          <w:rFonts w:ascii="Calibri" w:hAnsi="Calibri" w:cs="Calibri"/>
          <w:color w:val="202122"/>
        </w:rPr>
        <w:t> </w:t>
      </w:r>
      <w:hyperlink r:id="rId393" w:tooltip="Vigne sauvage" w:history="1">
        <w:r w:rsidR="003107B7" w:rsidRPr="003107B7">
          <w:rPr>
            <w:rStyle w:val="Lienhypertexte"/>
            <w:rFonts w:ascii="Calibri" w:hAnsi="Calibri" w:cs="Calibri"/>
            <w:color w:val="0645AD"/>
          </w:rPr>
          <w:t>vigne sauvage</w:t>
        </w:r>
      </w:hyperlink>
      <w:r w:rsidR="009C5C16">
        <w:rPr>
          <w:rFonts w:ascii="Calibri" w:hAnsi="Calibri" w:cs="Calibri"/>
          <w:color w:val="202122"/>
        </w:rPr>
        <w:t>, vigne des bois</w:t>
      </w:r>
      <w:r w:rsidR="003107B7" w:rsidRPr="003107B7">
        <w:rPr>
          <w:rFonts w:ascii="Calibri" w:hAnsi="Calibri" w:cs="Calibri"/>
          <w:color w:val="202122"/>
        </w:rPr>
        <w:t> ou </w:t>
      </w:r>
      <w:hyperlink r:id="rId394" w:tooltip="Lambrusque" w:history="1">
        <w:r w:rsidR="003107B7" w:rsidRPr="003107B7">
          <w:rPr>
            <w:rStyle w:val="Lienhypertexte"/>
            <w:rFonts w:ascii="Calibri" w:hAnsi="Calibri" w:cs="Calibri"/>
            <w:color w:val="0645AD"/>
          </w:rPr>
          <w:t>lambrusque</w:t>
        </w:r>
      </w:hyperlink>
      <w:r w:rsidR="003107B7" w:rsidRPr="003107B7">
        <w:rPr>
          <w:rFonts w:ascii="Calibri" w:hAnsi="Calibri" w:cs="Calibri"/>
          <w:color w:val="202122"/>
        </w:rPr>
        <w:t>, </w:t>
      </w:r>
      <w:hyperlink r:id="rId395" w:tooltip="Dioïque" w:history="1">
        <w:r w:rsidR="003107B7" w:rsidRPr="003107B7">
          <w:rPr>
            <w:rStyle w:val="Lienhypertexte"/>
            <w:rFonts w:ascii="Calibri" w:hAnsi="Calibri" w:cs="Calibri"/>
            <w:color w:val="0645AD"/>
          </w:rPr>
          <w:t>dioïque</w:t>
        </w:r>
      </w:hyperlink>
      <w:r w:rsidR="003107B7" w:rsidRPr="003107B7">
        <w:rPr>
          <w:rFonts w:ascii="Calibri" w:hAnsi="Calibri" w:cs="Calibri"/>
          <w:color w:val="202122"/>
        </w:rPr>
        <w:t> (</w:t>
      </w:r>
      <w:r w:rsidR="003107B7" w:rsidRPr="003107B7">
        <w:rPr>
          <w:rFonts w:ascii="Calibri" w:hAnsi="Calibri" w:cs="Calibri"/>
          <w:color w:val="000000" w:themeColor="text1"/>
        </w:rPr>
        <w:t xml:space="preserve">strictement protégée en </w:t>
      </w:r>
      <w:r w:rsidR="003107B7">
        <w:rPr>
          <w:rFonts w:ascii="Calibri" w:hAnsi="Calibri" w:cs="Calibri"/>
          <w:color w:val="000000" w:themeColor="text1"/>
        </w:rPr>
        <w:t xml:space="preserve">France. </w:t>
      </w:r>
      <w:r w:rsidR="003107B7" w:rsidRPr="003107B7">
        <w:rPr>
          <w:rFonts w:ascii="Calibri" w:hAnsi="Calibri" w:cs="Calibri"/>
          <w:color w:val="000000" w:themeColor="text1"/>
        </w:rPr>
        <w:t>Sa cueillette y est interdite</w:t>
      </w:r>
      <w:r w:rsidR="003107B7">
        <w:rPr>
          <w:rFonts w:ascii="Calibri" w:hAnsi="Calibri" w:cs="Calibri"/>
          <w:color w:val="000000" w:themeColor="text1"/>
        </w:rPr>
        <w:t xml:space="preserve">. </w:t>
      </w:r>
      <w:r w:rsidR="003107B7" w:rsidRPr="003107B7">
        <w:rPr>
          <w:rFonts w:ascii="Calibri" w:hAnsi="Calibri" w:cs="Calibri"/>
          <w:color w:val="000000" w:themeColor="text1"/>
        </w:rPr>
        <w:t>Ses fruits sont plus acides et amers que ceux du raisin de cuve).</w:t>
      </w:r>
    </w:p>
    <w:p w14:paraId="098B25DC" w14:textId="77777777" w:rsidR="003107B7" w:rsidRPr="003107B7" w:rsidRDefault="003107B7" w:rsidP="0022016D">
      <w:pPr>
        <w:numPr>
          <w:ilvl w:val="0"/>
          <w:numId w:val="36"/>
        </w:numPr>
        <w:shd w:val="clear" w:color="auto" w:fill="FFFFFF"/>
        <w:tabs>
          <w:tab w:val="clear" w:pos="720"/>
          <w:tab w:val="num" w:pos="426"/>
        </w:tabs>
        <w:spacing w:after="0" w:line="240" w:lineRule="auto"/>
        <w:ind w:left="426"/>
        <w:jc w:val="both"/>
        <w:rPr>
          <w:rFonts w:ascii="Calibri" w:hAnsi="Calibri" w:cs="Calibri"/>
          <w:color w:val="000000" w:themeColor="text1"/>
        </w:rPr>
      </w:pPr>
      <w:r w:rsidRPr="003107B7">
        <w:rPr>
          <w:rFonts w:ascii="Calibri" w:hAnsi="Calibri" w:cs="Calibri"/>
          <w:i/>
          <w:iCs/>
          <w:color w:val="000000" w:themeColor="text1"/>
        </w:rPr>
        <w:lastRenderedPageBreak/>
        <w:t>Vitis vinifera</w:t>
      </w:r>
      <w:r w:rsidRPr="003107B7">
        <w:rPr>
          <w:rFonts w:ascii="Calibri" w:hAnsi="Calibri" w:cs="Calibri"/>
          <w:color w:val="000000" w:themeColor="text1"/>
        </w:rPr>
        <w:t> subsp. </w:t>
      </w:r>
      <w:r w:rsidRPr="003107B7">
        <w:rPr>
          <w:rFonts w:ascii="Calibri" w:hAnsi="Calibri" w:cs="Calibri"/>
          <w:i/>
          <w:iCs/>
          <w:color w:val="000000" w:themeColor="text1"/>
        </w:rPr>
        <w:t>vinifera</w:t>
      </w:r>
      <w:r w:rsidRPr="003107B7">
        <w:rPr>
          <w:rFonts w:ascii="Calibri" w:hAnsi="Calibri" w:cs="Calibri"/>
          <w:color w:val="000000" w:themeColor="text1"/>
        </w:rPr>
        <w:t> (syn. </w:t>
      </w:r>
      <w:r w:rsidRPr="003107B7">
        <w:rPr>
          <w:rFonts w:ascii="Calibri" w:hAnsi="Calibri" w:cs="Calibri"/>
          <w:i/>
          <w:iCs/>
          <w:color w:val="000000" w:themeColor="text1"/>
        </w:rPr>
        <w:t>Vitis vinifera</w:t>
      </w:r>
      <w:r w:rsidRPr="003107B7">
        <w:rPr>
          <w:rFonts w:ascii="Calibri" w:hAnsi="Calibri" w:cs="Calibri"/>
          <w:color w:val="000000" w:themeColor="text1"/>
        </w:rPr>
        <w:t> var. </w:t>
      </w:r>
      <w:r w:rsidRPr="003107B7">
        <w:rPr>
          <w:rFonts w:ascii="Calibri" w:hAnsi="Calibri" w:cs="Calibri"/>
          <w:i/>
          <w:iCs/>
          <w:color w:val="000000" w:themeColor="text1"/>
        </w:rPr>
        <w:t>sativa</w:t>
      </w:r>
      <w:r w:rsidRPr="003107B7">
        <w:rPr>
          <w:rFonts w:ascii="Calibri" w:hAnsi="Calibri" w:cs="Calibri"/>
          <w:color w:val="000000" w:themeColor="text1"/>
        </w:rPr>
        <w:t>) - La vigne commune à proprement parler, fleurs hermaphrodites.</w:t>
      </w:r>
    </w:p>
    <w:p w14:paraId="3C2B5AC8" w14:textId="77777777" w:rsidR="003107B7" w:rsidRPr="003107B7" w:rsidRDefault="003107B7" w:rsidP="0037287A">
      <w:pPr>
        <w:spacing w:after="0" w:line="240" w:lineRule="auto"/>
        <w:jc w:val="both"/>
      </w:pPr>
    </w:p>
    <w:p w14:paraId="1DC89310" w14:textId="528F988B" w:rsidR="00C75CA3" w:rsidRPr="009F4703" w:rsidRDefault="0037287A" w:rsidP="0037287A">
      <w:pPr>
        <w:spacing w:after="0" w:line="240" w:lineRule="auto"/>
        <w:jc w:val="both"/>
        <w:rPr>
          <w:rFonts w:ascii="Calibri" w:hAnsi="Calibri" w:cs="Calibri"/>
          <w:color w:val="000000" w:themeColor="text1"/>
          <w:shd w:val="clear" w:color="auto" w:fill="FFFFFF"/>
        </w:rPr>
      </w:pPr>
      <w:r w:rsidRPr="00D44624">
        <w:rPr>
          <w:rFonts w:ascii="Calibri" w:hAnsi="Calibri" w:cs="Calibri"/>
          <w:color w:val="000000" w:themeColor="text1"/>
          <w:u w:val="single"/>
        </w:rPr>
        <w:t>Racines</w:t>
      </w:r>
      <w:r w:rsidRPr="009F4703">
        <w:rPr>
          <w:rFonts w:ascii="Calibri" w:hAnsi="Calibri" w:cs="Calibri"/>
          <w:color w:val="000000" w:themeColor="text1"/>
        </w:rPr>
        <w:t xml:space="preserve"> </w:t>
      </w:r>
      <w:r w:rsidRPr="009F4703">
        <w:rPr>
          <w:rFonts w:ascii="Calibri" w:hAnsi="Calibri" w:cs="Calibri"/>
        </w:rPr>
        <w:t xml:space="preserve">: Un plant de vigne cultivé développe des racines qui s'enfoncent généralement à une profondeur de 2 à 5 mètres et parfois jusqu'à 12-15 mètres voire plus. </w:t>
      </w:r>
      <w:r w:rsidRPr="00D44624">
        <w:rPr>
          <w:rFonts w:ascii="Calibri" w:hAnsi="Calibri" w:cs="Calibri"/>
          <w:color w:val="000000" w:themeColor="text1"/>
          <w:u w:val="single"/>
        </w:rPr>
        <w:t>Feuilles</w:t>
      </w:r>
      <w:r w:rsidRPr="00D44624">
        <w:rPr>
          <w:rFonts w:ascii="Calibri" w:hAnsi="Calibri" w:cs="Calibri"/>
          <w:color w:val="000000" w:themeColor="text1"/>
        </w:rPr>
        <w:t xml:space="preserve"> : </w:t>
      </w:r>
      <w:r w:rsidRPr="00D44624">
        <w:rPr>
          <w:rFonts w:ascii="Calibri" w:hAnsi="Calibri" w:cs="Calibri"/>
          <w:color w:val="000000" w:themeColor="text1"/>
          <w:shd w:val="clear" w:color="auto" w:fill="FFFFFF"/>
        </w:rPr>
        <w:t>Leurs </w:t>
      </w:r>
      <w:hyperlink r:id="rId396" w:tooltip="Feuille" w:history="1">
        <w:r w:rsidRPr="009F4703">
          <w:rPr>
            <w:rStyle w:val="Lienhypertexte"/>
            <w:rFonts w:ascii="Calibri" w:hAnsi="Calibri" w:cs="Calibri"/>
            <w:color w:val="0645AD"/>
            <w:shd w:val="clear" w:color="auto" w:fill="FFFFFF"/>
          </w:rPr>
          <w:t>feuilles</w:t>
        </w:r>
      </w:hyperlink>
      <w:r w:rsidRPr="009F4703">
        <w:rPr>
          <w:rFonts w:ascii="Calibri" w:hAnsi="Calibri" w:cs="Calibri"/>
          <w:color w:val="202122"/>
          <w:shd w:val="clear" w:color="auto" w:fill="FFFFFF"/>
        </w:rPr>
        <w:t> à </w:t>
      </w:r>
      <w:hyperlink r:id="rId397" w:history="1">
        <w:r w:rsidRPr="009F4703">
          <w:rPr>
            <w:rStyle w:val="Lienhypertexte"/>
            <w:rFonts w:ascii="Calibri" w:hAnsi="Calibri" w:cs="Calibri"/>
            <w:color w:val="0645AD"/>
            <w:shd w:val="clear" w:color="auto" w:fill="FFFFFF"/>
          </w:rPr>
          <w:t>nervures</w:t>
        </w:r>
      </w:hyperlink>
      <w:r w:rsidRPr="009F4703">
        <w:rPr>
          <w:rFonts w:ascii="Calibri" w:hAnsi="Calibri" w:cs="Calibri"/>
          <w:color w:val="202122"/>
          <w:shd w:val="clear" w:color="auto" w:fill="FFFFFF"/>
        </w:rPr>
        <w:t> </w:t>
      </w:r>
      <w:r w:rsidRPr="009F4703">
        <w:rPr>
          <w:rFonts w:ascii="Calibri" w:hAnsi="Calibri" w:cs="Calibri"/>
          <w:color w:val="000000" w:themeColor="text1"/>
          <w:shd w:val="clear" w:color="auto" w:fill="FFFFFF"/>
        </w:rPr>
        <w:t>palmées, comportant pour la plupart cinq lobes principaux plus ou moins découpés, ont généralement une base </w:t>
      </w:r>
      <w:hyperlink r:id="rId398" w:tooltip="Cœur (symbole)" w:history="1">
        <w:r w:rsidRPr="009F4703">
          <w:rPr>
            <w:rStyle w:val="Lienhypertexte"/>
            <w:rFonts w:ascii="Calibri" w:hAnsi="Calibri" w:cs="Calibri"/>
            <w:color w:val="0645AD"/>
            <w:shd w:val="clear" w:color="auto" w:fill="FFFFFF"/>
          </w:rPr>
          <w:t>cordiforme</w:t>
        </w:r>
      </w:hyperlink>
      <w:r w:rsidRPr="009F4703">
        <w:rPr>
          <w:rFonts w:ascii="Calibri" w:hAnsi="Calibri" w:cs="Calibri"/>
          <w:color w:val="202122"/>
          <w:shd w:val="clear" w:color="auto" w:fill="FFFFFF"/>
        </w:rPr>
        <w:t> </w:t>
      </w:r>
      <w:r w:rsidRPr="009F4703">
        <w:rPr>
          <w:rFonts w:ascii="Calibri" w:hAnsi="Calibri" w:cs="Calibri"/>
          <w:color w:val="000000" w:themeColor="text1"/>
          <w:shd w:val="clear" w:color="auto" w:fill="FFFFFF"/>
        </w:rPr>
        <w:t>(forme de cœur).</w:t>
      </w:r>
    </w:p>
    <w:p w14:paraId="69DBFB3D" w14:textId="0D78ADD6" w:rsidR="0037287A" w:rsidRDefault="0037287A" w:rsidP="0037287A">
      <w:pPr>
        <w:spacing w:after="0" w:line="240" w:lineRule="auto"/>
        <w:jc w:val="both"/>
        <w:rPr>
          <w:rFonts w:ascii="Calibri" w:hAnsi="Calibri" w:cs="Calibri"/>
          <w:color w:val="202122"/>
          <w:shd w:val="clear" w:color="auto" w:fill="FFFFFF"/>
        </w:rPr>
      </w:pPr>
      <w:r w:rsidRPr="00D44624">
        <w:rPr>
          <w:rFonts w:ascii="Calibri" w:hAnsi="Calibri" w:cs="Calibri"/>
          <w:color w:val="000000" w:themeColor="text1"/>
          <w:u w:val="single"/>
          <w:shd w:val="clear" w:color="auto" w:fill="FFFFFF"/>
        </w:rPr>
        <w:t>Fleurs</w:t>
      </w:r>
      <w:r w:rsidRPr="009F4703">
        <w:rPr>
          <w:rFonts w:ascii="Calibri" w:hAnsi="Calibri" w:cs="Calibri"/>
          <w:color w:val="000000" w:themeColor="text1"/>
          <w:shd w:val="clear" w:color="auto" w:fill="FFFFFF"/>
        </w:rPr>
        <w:t> : Leurs fleurs, petites et verdâtres à blanches, sont regroupées en </w:t>
      </w:r>
      <w:hyperlink r:id="rId399" w:history="1">
        <w:r w:rsidRPr="009F4703">
          <w:rPr>
            <w:rStyle w:val="Lienhypertexte"/>
            <w:rFonts w:ascii="Calibri" w:hAnsi="Calibri" w:cs="Calibri"/>
            <w:color w:val="2F5496" w:themeColor="accent1" w:themeShade="BF"/>
            <w:shd w:val="clear" w:color="auto" w:fill="FFFFFF"/>
          </w:rPr>
          <w:t>inflorescences</w:t>
        </w:r>
      </w:hyperlink>
      <w:r w:rsidRPr="009F4703">
        <w:rPr>
          <w:rFonts w:ascii="Calibri" w:hAnsi="Calibri" w:cs="Calibri"/>
          <w:color w:val="000000" w:themeColor="text1"/>
          <w:shd w:val="clear" w:color="auto" w:fill="FFFFFF"/>
        </w:rPr>
        <w:t xml:space="preserve">. </w:t>
      </w:r>
      <w:r w:rsidRPr="00D44624">
        <w:rPr>
          <w:rFonts w:ascii="Calibri" w:hAnsi="Calibri" w:cs="Calibri"/>
          <w:color w:val="000000" w:themeColor="text1"/>
          <w:u w:val="single"/>
          <w:shd w:val="clear" w:color="auto" w:fill="FFFFFF"/>
        </w:rPr>
        <w:t>Fruits</w:t>
      </w:r>
      <w:r w:rsidRPr="009F4703">
        <w:rPr>
          <w:rFonts w:ascii="Calibri" w:hAnsi="Calibri" w:cs="Calibri"/>
          <w:color w:val="000000" w:themeColor="text1"/>
          <w:shd w:val="clear" w:color="auto" w:fill="FFFFFF"/>
        </w:rPr>
        <w:t xml:space="preserve"> : </w:t>
      </w:r>
      <w:r w:rsidR="009F4703" w:rsidRPr="009F4703">
        <w:rPr>
          <w:rFonts w:ascii="Calibri" w:hAnsi="Calibri" w:cs="Calibri"/>
          <w:color w:val="000000" w:themeColor="text1"/>
          <w:shd w:val="clear" w:color="auto" w:fill="FFFFFF"/>
        </w:rPr>
        <w:t>leurs fruits, de formes différentes selon le</w:t>
      </w:r>
      <w:r w:rsidR="009F4703" w:rsidRPr="009F4703">
        <w:rPr>
          <w:rFonts w:ascii="Calibri" w:hAnsi="Calibri" w:cs="Calibri"/>
          <w:color w:val="202122"/>
          <w:shd w:val="clear" w:color="auto" w:fill="FFFFFF"/>
        </w:rPr>
        <w:t>s </w:t>
      </w:r>
      <w:hyperlink r:id="rId400" w:tooltip="Sous-espèce" w:history="1">
        <w:r w:rsidR="009F4703" w:rsidRPr="009F4703">
          <w:rPr>
            <w:rStyle w:val="Lienhypertexte"/>
            <w:rFonts w:ascii="Calibri" w:hAnsi="Calibri" w:cs="Calibri"/>
            <w:color w:val="0645AD"/>
            <w:shd w:val="clear" w:color="auto" w:fill="FFFFFF"/>
          </w:rPr>
          <w:t>sous-espèces</w:t>
        </w:r>
      </w:hyperlink>
      <w:r w:rsidR="009F4703" w:rsidRPr="009F4703">
        <w:rPr>
          <w:rFonts w:ascii="Calibri" w:hAnsi="Calibri" w:cs="Calibri"/>
          <w:color w:val="202122"/>
          <w:shd w:val="clear" w:color="auto" w:fill="FFFFFF"/>
        </w:rPr>
        <w:t xml:space="preserve">, </w:t>
      </w:r>
      <w:r w:rsidR="009F4703" w:rsidRPr="009F4703">
        <w:rPr>
          <w:rFonts w:ascii="Calibri" w:hAnsi="Calibri" w:cs="Calibri"/>
          <w:color w:val="000000" w:themeColor="text1"/>
          <w:shd w:val="clear" w:color="auto" w:fill="FFFFFF"/>
        </w:rPr>
        <w:t>sont des </w:t>
      </w:r>
      <w:hyperlink r:id="rId401" w:tooltip="Baie (botanique)" w:history="1">
        <w:r w:rsidR="009F4703" w:rsidRPr="009F4703">
          <w:rPr>
            <w:rStyle w:val="Lienhypertexte"/>
            <w:rFonts w:ascii="Calibri" w:hAnsi="Calibri" w:cs="Calibri"/>
            <w:color w:val="0645AD"/>
            <w:shd w:val="clear" w:color="auto" w:fill="FFFFFF"/>
          </w:rPr>
          <w:t>baies</w:t>
        </w:r>
      </w:hyperlink>
      <w:r w:rsidR="009F4703" w:rsidRPr="009F4703">
        <w:rPr>
          <w:rFonts w:ascii="Calibri" w:hAnsi="Calibri" w:cs="Calibri"/>
          <w:color w:val="202122"/>
          <w:shd w:val="clear" w:color="auto" w:fill="FFFFFF"/>
        </w:rPr>
        <w:t> </w:t>
      </w:r>
      <w:r w:rsidR="009F4703" w:rsidRPr="009F4703">
        <w:rPr>
          <w:rFonts w:ascii="Calibri" w:hAnsi="Calibri" w:cs="Calibri"/>
          <w:color w:val="000000" w:themeColor="text1"/>
          <w:shd w:val="clear" w:color="auto" w:fill="FFFFFF"/>
        </w:rPr>
        <w:t>regroupées en </w:t>
      </w:r>
      <w:hyperlink r:id="rId402" w:tooltip="Grappe" w:history="1">
        <w:r w:rsidR="009F4703" w:rsidRPr="009F4703">
          <w:rPr>
            <w:rStyle w:val="Lienhypertexte"/>
            <w:rFonts w:ascii="Calibri" w:hAnsi="Calibri" w:cs="Calibri"/>
            <w:color w:val="0645AD"/>
            <w:shd w:val="clear" w:color="auto" w:fill="FFFFFF"/>
          </w:rPr>
          <w:t>grappes</w:t>
        </w:r>
      </w:hyperlink>
      <w:r w:rsidR="009F4703" w:rsidRPr="009F4703">
        <w:rPr>
          <w:rFonts w:ascii="Calibri" w:hAnsi="Calibri" w:cs="Calibri"/>
          <w:color w:val="202122"/>
          <w:shd w:val="clear" w:color="auto" w:fill="FFFFFF"/>
        </w:rPr>
        <w:t xml:space="preserve">. </w:t>
      </w:r>
      <w:r w:rsidR="009F4703" w:rsidRPr="009F4703">
        <w:rPr>
          <w:rFonts w:ascii="Calibri" w:hAnsi="Calibri" w:cs="Calibri"/>
          <w:color w:val="000000" w:themeColor="text1"/>
          <w:shd w:val="clear" w:color="auto" w:fill="FFFFFF"/>
        </w:rPr>
        <w:t>Les </w:t>
      </w:r>
      <w:hyperlink r:id="rId403" w:tooltip="Graine" w:history="1">
        <w:r w:rsidR="009F4703" w:rsidRPr="009F4703">
          <w:rPr>
            <w:rStyle w:val="Lienhypertexte"/>
            <w:rFonts w:ascii="Calibri" w:hAnsi="Calibri" w:cs="Calibri"/>
            <w:color w:val="0645AD"/>
            <w:shd w:val="clear" w:color="auto" w:fill="FFFFFF"/>
          </w:rPr>
          <w:t>graines</w:t>
        </w:r>
      </w:hyperlink>
      <w:r w:rsidR="009F4703" w:rsidRPr="009F4703">
        <w:rPr>
          <w:rFonts w:ascii="Calibri" w:hAnsi="Calibri" w:cs="Calibri"/>
          <w:color w:val="202122"/>
          <w:shd w:val="clear" w:color="auto" w:fill="FFFFFF"/>
        </w:rPr>
        <w:t> </w:t>
      </w:r>
      <w:r w:rsidR="009F4703" w:rsidRPr="009F4703">
        <w:rPr>
          <w:rFonts w:ascii="Calibri" w:hAnsi="Calibri" w:cs="Calibri"/>
          <w:color w:val="000000" w:themeColor="text1"/>
          <w:shd w:val="clear" w:color="auto" w:fill="FFFFFF"/>
        </w:rPr>
        <w:t>de ces baies sont des </w:t>
      </w:r>
      <w:hyperlink r:id="rId404" w:tooltip="Pépin (graine)" w:history="1">
        <w:r w:rsidR="009F4703" w:rsidRPr="009F4703">
          <w:rPr>
            <w:rStyle w:val="Lienhypertexte"/>
            <w:rFonts w:ascii="Calibri" w:hAnsi="Calibri" w:cs="Calibri"/>
            <w:color w:val="0645AD"/>
            <w:shd w:val="clear" w:color="auto" w:fill="FFFFFF"/>
          </w:rPr>
          <w:t>pépins</w:t>
        </w:r>
      </w:hyperlink>
      <w:r w:rsidR="009F4703" w:rsidRPr="009F4703">
        <w:rPr>
          <w:rFonts w:ascii="Calibri" w:hAnsi="Calibri" w:cs="Calibri"/>
          <w:color w:val="202122"/>
          <w:shd w:val="clear" w:color="auto" w:fill="FFFFFF"/>
        </w:rPr>
        <w:t>.</w:t>
      </w:r>
    </w:p>
    <w:p w14:paraId="63E3138D" w14:textId="3461F319" w:rsidR="0099036C" w:rsidRPr="00E37EF6" w:rsidRDefault="0099036C" w:rsidP="0099036C">
      <w:pPr>
        <w:spacing w:after="0" w:line="240" w:lineRule="auto"/>
        <w:jc w:val="both"/>
        <w:rPr>
          <w:rFonts w:ascii="Calibri" w:hAnsi="Calibri" w:cs="Calibri"/>
          <w:color w:val="000000" w:themeColor="text1"/>
          <w:shd w:val="clear" w:color="auto" w:fill="FFFFFF"/>
        </w:rPr>
      </w:pPr>
      <w:r w:rsidRPr="003107B7">
        <w:rPr>
          <w:u w:val="single"/>
        </w:rPr>
        <w:t>Distribution</w:t>
      </w:r>
      <w:r>
        <w:rPr>
          <w:u w:val="single"/>
        </w:rPr>
        <w:t xml:space="preserve"> de la vigne cultivée</w:t>
      </w:r>
      <w:r>
        <w:t xml:space="preserve"> : </w:t>
      </w:r>
      <w:r w:rsidRPr="00E40D50">
        <w:rPr>
          <w:rFonts w:ascii="Calibri" w:hAnsi="Calibri" w:cs="Calibri"/>
          <w:color w:val="000000" w:themeColor="text1"/>
          <w:shd w:val="clear" w:color="auto" w:fill="FFFFFF"/>
        </w:rPr>
        <w:t>originaire de l</w:t>
      </w:r>
      <w:r w:rsidRPr="005B3046">
        <w:rPr>
          <w:rFonts w:ascii="Calibri" w:hAnsi="Calibri" w:cs="Calibri"/>
          <w:color w:val="202122"/>
          <w:shd w:val="clear" w:color="auto" w:fill="FFFFFF"/>
        </w:rPr>
        <w:t>a</w:t>
      </w:r>
      <w:hyperlink r:id="rId405" w:tooltip="Bassin méditerranéen" w:history="1">
        <w:r w:rsidRPr="005B3046">
          <w:rPr>
            <w:rStyle w:val="Lienhypertexte"/>
            <w:rFonts w:ascii="Calibri" w:hAnsi="Calibri" w:cs="Calibri"/>
            <w:color w:val="0645AD"/>
            <w:shd w:val="clear" w:color="auto" w:fill="FFFFFF"/>
          </w:rPr>
          <w:t> région méditerranéenne</w:t>
        </w:r>
      </w:hyperlink>
      <w:r>
        <w:t xml:space="preserve">, </w:t>
      </w:r>
      <w:r>
        <w:rPr>
          <w:rFonts w:ascii="Calibri" w:hAnsi="Calibri" w:cs="Calibri"/>
          <w:color w:val="000000" w:themeColor="text1"/>
          <w:shd w:val="clear" w:color="auto" w:fill="FFFFFF"/>
        </w:rPr>
        <w:t>la vigne est</w:t>
      </w:r>
      <w:r w:rsidRPr="0037287A">
        <w:rPr>
          <w:rFonts w:ascii="Calibri" w:hAnsi="Calibri" w:cs="Calibri"/>
          <w:color w:val="000000" w:themeColor="text1"/>
          <w:shd w:val="clear" w:color="auto" w:fill="FFFFFF"/>
        </w:rPr>
        <w:t xml:space="preserve"> désormais cultivée dans tous </w:t>
      </w:r>
      <w:r w:rsidRPr="00E37EF6">
        <w:rPr>
          <w:rFonts w:ascii="Calibri" w:hAnsi="Calibri" w:cs="Calibri"/>
          <w:color w:val="000000" w:themeColor="text1"/>
          <w:shd w:val="clear" w:color="auto" w:fill="FFFFFF"/>
        </w:rPr>
        <w:t>les continents (sauf Antarctique). Elle prospère dans une gamme de climats allant de chaud et sec, à même frais humide et subtropical, avec différents types de sols</w:t>
      </w:r>
      <w:r w:rsidR="00E37EF6">
        <w:rPr>
          <w:rFonts w:ascii="Calibri" w:hAnsi="Calibri" w:cs="Calibri"/>
          <w:color w:val="000000" w:themeColor="text1"/>
          <w:shd w:val="clear" w:color="auto" w:fill="FFFFFF"/>
        </w:rPr>
        <w:t xml:space="preserve"> (si possible drainés, graves …)</w:t>
      </w:r>
      <w:r w:rsidRPr="00E37EF6">
        <w:rPr>
          <w:rFonts w:ascii="Calibri" w:hAnsi="Calibri" w:cs="Calibri"/>
          <w:color w:val="000000" w:themeColor="text1"/>
          <w:shd w:val="clear" w:color="auto" w:fill="FFFFFF"/>
        </w:rPr>
        <w:t>.</w:t>
      </w:r>
      <w:r w:rsidR="000025AE">
        <w:rPr>
          <w:rFonts w:ascii="Calibri" w:hAnsi="Calibri" w:cs="Calibri"/>
          <w:color w:val="000000" w:themeColor="text1"/>
          <w:shd w:val="clear" w:color="auto" w:fill="FFFFFF"/>
        </w:rPr>
        <w:t xml:space="preserve"> Elle peut résister à la sécheresse..</w:t>
      </w:r>
    </w:p>
    <w:p w14:paraId="69B1B212" w14:textId="1AD8EA19" w:rsidR="00600C0C" w:rsidRPr="00E37EF6" w:rsidRDefault="0099036C" w:rsidP="00E37EF6">
      <w:pPr>
        <w:shd w:val="clear" w:color="auto" w:fill="FFFFFF"/>
        <w:spacing w:after="0" w:line="240" w:lineRule="auto"/>
        <w:jc w:val="both"/>
        <w:rPr>
          <w:rFonts w:ascii="Calibri" w:hAnsi="Calibri" w:cs="Calibri"/>
          <w:color w:val="000000" w:themeColor="text1"/>
        </w:rPr>
      </w:pPr>
      <w:r w:rsidRPr="00E37EF6">
        <w:rPr>
          <w:rFonts w:ascii="Calibri" w:hAnsi="Calibri" w:cs="Calibri"/>
          <w:color w:val="000000" w:themeColor="text1"/>
          <w:u w:val="single"/>
          <w:shd w:val="clear" w:color="auto" w:fill="FFFFFF"/>
        </w:rPr>
        <w:t>Distribution de la vigne sauvage</w:t>
      </w:r>
      <w:r w:rsidRPr="00E37EF6">
        <w:rPr>
          <w:rFonts w:ascii="Calibri" w:hAnsi="Calibri" w:cs="Calibri"/>
          <w:color w:val="000000" w:themeColor="text1"/>
          <w:shd w:val="clear" w:color="auto" w:fill="FFFFFF"/>
        </w:rPr>
        <w:t xml:space="preserve"> :</w:t>
      </w:r>
      <w:r w:rsidR="00E37EF6" w:rsidRPr="00E37EF6">
        <w:rPr>
          <w:rFonts w:ascii="Calibri" w:hAnsi="Calibri" w:cs="Calibri"/>
          <w:color w:val="000000" w:themeColor="text1"/>
          <w:shd w:val="clear" w:color="auto" w:fill="FFFFFF"/>
        </w:rPr>
        <w:t xml:space="preserve"> </w:t>
      </w:r>
      <w:hyperlink r:id="rId406" w:tooltip="Afrique du Nord" w:history="1">
        <w:r w:rsidR="00E37EF6" w:rsidRPr="00E37EF6">
          <w:rPr>
            <w:rStyle w:val="Lienhypertexte"/>
            <w:rFonts w:ascii="Calibri" w:hAnsi="Calibri" w:cs="Calibri"/>
            <w:color w:val="0645AD"/>
          </w:rPr>
          <w:t>Afrique du Nord</w:t>
        </w:r>
      </w:hyperlink>
      <w:r w:rsidR="00E37EF6" w:rsidRPr="00E37EF6">
        <w:rPr>
          <w:rFonts w:ascii="Calibri" w:hAnsi="Calibri" w:cs="Calibri"/>
          <w:color w:val="202122"/>
        </w:rPr>
        <w:t> </w:t>
      </w:r>
      <w:r w:rsidR="00E37EF6" w:rsidRPr="00E37EF6">
        <w:rPr>
          <w:rFonts w:ascii="Calibri" w:hAnsi="Calibri" w:cs="Calibri"/>
          <w:color w:val="000000" w:themeColor="text1"/>
        </w:rPr>
        <w:t>(Algérie, Maroc et Tunisie)</w:t>
      </w:r>
      <w:r w:rsidR="00E37EF6" w:rsidRPr="00E37EF6">
        <w:rPr>
          <w:rFonts w:ascii="Calibri" w:hAnsi="Calibri" w:cs="Calibri"/>
          <w:color w:val="000000" w:themeColor="text1"/>
          <w:shd w:val="clear" w:color="auto" w:fill="FFFFFF"/>
        </w:rPr>
        <w:t xml:space="preserve">, </w:t>
      </w:r>
      <w:hyperlink r:id="rId407" w:history="1">
        <w:r w:rsidR="00E37EF6" w:rsidRPr="00E37EF6">
          <w:rPr>
            <w:rStyle w:val="Lienhypertexte"/>
            <w:rFonts w:ascii="Calibri" w:hAnsi="Calibri" w:cs="Calibri"/>
            <w:color w:val="0645AD"/>
            <w:shd w:val="clear" w:color="auto" w:fill="FFFFFF"/>
          </w:rPr>
          <w:t>Asie</w:t>
        </w:r>
      </w:hyperlink>
      <w:r w:rsidR="00E37EF6" w:rsidRPr="00E37EF6">
        <w:rPr>
          <w:rFonts w:ascii="Calibri" w:hAnsi="Calibri" w:cs="Calibri"/>
          <w:color w:val="202122"/>
          <w:shd w:val="clear" w:color="auto" w:fill="FFFFFF"/>
        </w:rPr>
        <w:t> </w:t>
      </w:r>
      <w:r w:rsidR="00E37EF6" w:rsidRPr="00E37EF6">
        <w:rPr>
          <w:rFonts w:ascii="Calibri" w:hAnsi="Calibri" w:cs="Calibri"/>
          <w:color w:val="000000" w:themeColor="text1"/>
          <w:shd w:val="clear" w:color="auto" w:fill="FFFFFF"/>
        </w:rPr>
        <w:t>tempérée et moyen Orientale, Eurasie caucasienne, Europe centrale, Europe du Sud Est, Europe du Sud-Ouest (France, Espagne).</w:t>
      </w:r>
    </w:p>
    <w:p w14:paraId="2AF9B0EB" w14:textId="20782E5C" w:rsidR="00600C0C" w:rsidRDefault="00D44624" w:rsidP="00600C0C">
      <w:pPr>
        <w:pStyle w:val="NormalWeb"/>
        <w:shd w:val="clear" w:color="auto" w:fill="FFFFFF"/>
        <w:spacing w:before="0" w:beforeAutospacing="0" w:after="0" w:afterAutospacing="0"/>
        <w:rPr>
          <w:rFonts w:ascii="Calibri" w:hAnsi="Calibri" w:cs="Calibri"/>
          <w:color w:val="000000" w:themeColor="text1"/>
          <w:sz w:val="22"/>
          <w:szCs w:val="22"/>
        </w:rPr>
      </w:pPr>
      <w:r w:rsidRPr="00600C0C">
        <w:rPr>
          <w:rFonts w:ascii="Calibri" w:hAnsi="Calibri" w:cs="Calibri"/>
          <w:color w:val="000000" w:themeColor="text1"/>
          <w:sz w:val="22"/>
          <w:szCs w:val="22"/>
          <w:u w:val="single"/>
          <w:shd w:val="clear" w:color="auto" w:fill="FFFFFF"/>
        </w:rPr>
        <w:t>Reproduction</w:t>
      </w:r>
      <w:r w:rsidRPr="00600C0C">
        <w:rPr>
          <w:rFonts w:ascii="Calibri" w:hAnsi="Calibri" w:cs="Calibri"/>
          <w:color w:val="000000" w:themeColor="text1"/>
          <w:sz w:val="22"/>
          <w:szCs w:val="22"/>
          <w:shd w:val="clear" w:color="auto" w:fill="FFFFFF"/>
        </w:rPr>
        <w:t xml:space="preserve"> : </w:t>
      </w:r>
      <w:r w:rsidR="00600C0C" w:rsidRPr="00600C0C">
        <w:rPr>
          <w:rFonts w:ascii="Calibri" w:hAnsi="Calibri" w:cs="Calibri"/>
          <w:color w:val="000000" w:themeColor="text1"/>
          <w:sz w:val="22"/>
          <w:szCs w:val="22"/>
        </w:rPr>
        <w:t>La multiplication de la vigne peut se faire par</w:t>
      </w:r>
      <w:r w:rsidR="00600C0C">
        <w:rPr>
          <w:rFonts w:ascii="Calibri" w:hAnsi="Calibri" w:cs="Calibri"/>
          <w:color w:val="000000" w:themeColor="text1"/>
          <w:sz w:val="22"/>
          <w:szCs w:val="22"/>
        </w:rPr>
        <w:t xml:space="preserve"> (voir ci-dessous)</w:t>
      </w:r>
      <w:r w:rsidR="00600C0C" w:rsidRPr="00600C0C">
        <w:rPr>
          <w:rFonts w:ascii="Calibri" w:hAnsi="Calibri" w:cs="Calibri"/>
          <w:color w:val="000000" w:themeColor="text1"/>
          <w:sz w:val="22"/>
          <w:szCs w:val="22"/>
        </w:rPr>
        <w:t> :</w:t>
      </w:r>
    </w:p>
    <w:p w14:paraId="3D9738BE" w14:textId="77777777" w:rsidR="00B479D8" w:rsidRPr="00600C0C" w:rsidRDefault="00B479D8" w:rsidP="00600C0C">
      <w:pPr>
        <w:pStyle w:val="NormalWeb"/>
        <w:shd w:val="clear" w:color="auto" w:fill="FFFFFF"/>
        <w:spacing w:before="0" w:beforeAutospacing="0" w:after="0" w:afterAutospacing="0"/>
        <w:rPr>
          <w:rFonts w:ascii="Calibri" w:hAnsi="Calibri" w:cs="Calibri"/>
          <w:color w:val="202122"/>
          <w:sz w:val="22"/>
          <w:szCs w:val="22"/>
        </w:rPr>
      </w:pPr>
    </w:p>
    <w:p w14:paraId="4804EB08" w14:textId="76A6829D" w:rsidR="00600C0C" w:rsidRPr="00600C0C" w:rsidRDefault="00000000" w:rsidP="0022016D">
      <w:pPr>
        <w:numPr>
          <w:ilvl w:val="0"/>
          <w:numId w:val="35"/>
        </w:numPr>
        <w:shd w:val="clear" w:color="auto" w:fill="FFFFFF"/>
        <w:spacing w:after="0" w:line="240" w:lineRule="auto"/>
        <w:ind w:left="1104"/>
        <w:rPr>
          <w:rFonts w:ascii="Calibri" w:hAnsi="Calibri" w:cs="Calibri"/>
          <w:color w:val="202122"/>
        </w:rPr>
      </w:pPr>
      <w:hyperlink r:id="rId408" w:tooltip="Semis (agriculture)" w:history="1">
        <w:r w:rsidR="00DC1CCC" w:rsidRPr="00600C0C">
          <w:rPr>
            <w:rStyle w:val="Lienhypertexte"/>
            <w:rFonts w:ascii="Calibri" w:hAnsi="Calibri" w:cs="Calibri"/>
            <w:color w:val="0645AD"/>
            <w:u w:val="none"/>
          </w:rPr>
          <w:t>Semis</w:t>
        </w:r>
      </w:hyperlink>
      <w:r w:rsidR="00600C0C" w:rsidRPr="00600C0C">
        <w:rPr>
          <w:rFonts w:ascii="Calibri" w:hAnsi="Calibri" w:cs="Calibri"/>
          <w:color w:val="202122"/>
        </w:rPr>
        <w:t> ;</w:t>
      </w:r>
    </w:p>
    <w:p w14:paraId="7FB96C91" w14:textId="7979C320" w:rsidR="00600C0C" w:rsidRPr="00600C0C" w:rsidRDefault="00000000" w:rsidP="0022016D">
      <w:pPr>
        <w:numPr>
          <w:ilvl w:val="0"/>
          <w:numId w:val="35"/>
        </w:numPr>
        <w:shd w:val="clear" w:color="auto" w:fill="FFFFFF"/>
        <w:spacing w:after="0" w:line="240" w:lineRule="auto"/>
        <w:ind w:left="1104"/>
        <w:rPr>
          <w:rFonts w:ascii="Calibri" w:hAnsi="Calibri" w:cs="Calibri"/>
          <w:color w:val="202122"/>
        </w:rPr>
      </w:pPr>
      <w:hyperlink r:id="rId409" w:tooltip="Bouturage" w:history="1">
        <w:r w:rsidR="00DC1CCC" w:rsidRPr="00600C0C">
          <w:rPr>
            <w:rStyle w:val="Lienhypertexte"/>
            <w:rFonts w:ascii="Calibri" w:hAnsi="Calibri" w:cs="Calibri"/>
            <w:color w:val="0645AD"/>
            <w:u w:val="none"/>
          </w:rPr>
          <w:t>Bouturage</w:t>
        </w:r>
      </w:hyperlink>
      <w:r w:rsidR="00600C0C" w:rsidRPr="00600C0C">
        <w:rPr>
          <w:rFonts w:ascii="Calibri" w:hAnsi="Calibri" w:cs="Calibri"/>
          <w:color w:val="202122"/>
        </w:rPr>
        <w:t> ;</w:t>
      </w:r>
    </w:p>
    <w:p w14:paraId="0786EEA4" w14:textId="57B82C5D" w:rsidR="00600C0C" w:rsidRPr="00600C0C" w:rsidRDefault="00000000" w:rsidP="0022016D">
      <w:pPr>
        <w:numPr>
          <w:ilvl w:val="0"/>
          <w:numId w:val="35"/>
        </w:numPr>
        <w:shd w:val="clear" w:color="auto" w:fill="FFFFFF"/>
        <w:spacing w:after="0" w:line="240" w:lineRule="auto"/>
        <w:ind w:left="1104"/>
        <w:rPr>
          <w:rFonts w:ascii="Calibri" w:hAnsi="Calibri" w:cs="Calibri"/>
          <w:color w:val="202122"/>
        </w:rPr>
      </w:pPr>
      <w:hyperlink r:id="rId410" w:tooltip="Provignage" w:history="1">
        <w:r w:rsidR="00DC1CCC" w:rsidRPr="00600C0C">
          <w:rPr>
            <w:rStyle w:val="Lienhypertexte"/>
            <w:rFonts w:ascii="Calibri" w:hAnsi="Calibri" w:cs="Calibri"/>
            <w:color w:val="0645AD"/>
            <w:u w:val="none"/>
          </w:rPr>
          <w:t>Provignage</w:t>
        </w:r>
      </w:hyperlink>
      <w:r w:rsidR="00600C0C" w:rsidRPr="00600C0C">
        <w:rPr>
          <w:rFonts w:ascii="Calibri" w:hAnsi="Calibri" w:cs="Calibri"/>
          <w:color w:val="202122"/>
        </w:rPr>
        <w:t> </w:t>
      </w:r>
      <w:r w:rsidR="00600C0C" w:rsidRPr="00600C0C">
        <w:rPr>
          <w:rFonts w:ascii="Calibri" w:hAnsi="Calibri" w:cs="Calibri"/>
          <w:color w:val="000000" w:themeColor="text1"/>
        </w:rPr>
        <w:t>(marcottage).</w:t>
      </w:r>
    </w:p>
    <w:p w14:paraId="632D94EE" w14:textId="77777777" w:rsidR="00B479D8" w:rsidRDefault="00B479D8" w:rsidP="0037287A">
      <w:pPr>
        <w:spacing w:after="0" w:line="240" w:lineRule="auto"/>
        <w:jc w:val="both"/>
        <w:rPr>
          <w:rFonts w:ascii="Calibri" w:hAnsi="Calibri" w:cs="Calibri"/>
          <w:color w:val="000000" w:themeColor="text1"/>
          <w:shd w:val="clear" w:color="auto" w:fill="FFFFFF"/>
        </w:rPr>
      </w:pPr>
    </w:p>
    <w:p w14:paraId="3D3C4917" w14:textId="6D68A923" w:rsidR="00D44624" w:rsidRPr="00D44624" w:rsidRDefault="00D44624" w:rsidP="0037287A">
      <w:pPr>
        <w:spacing w:after="0" w:line="240" w:lineRule="auto"/>
        <w:jc w:val="both"/>
        <w:rPr>
          <w:rFonts w:ascii="Calibri" w:hAnsi="Calibri" w:cs="Calibri"/>
          <w:color w:val="000000" w:themeColor="text1"/>
          <w:shd w:val="clear" w:color="auto" w:fill="FFFFFF"/>
        </w:rPr>
      </w:pPr>
      <w:r w:rsidRPr="00D44624">
        <w:rPr>
          <w:rFonts w:ascii="Calibri" w:hAnsi="Calibri" w:cs="Calibri"/>
          <w:color w:val="000000" w:themeColor="text1"/>
          <w:shd w:val="clear" w:color="auto" w:fill="FFFFFF"/>
        </w:rPr>
        <w:t>On peut</w:t>
      </w:r>
      <w:r w:rsidR="00870191">
        <w:rPr>
          <w:rFonts w:ascii="Calibri" w:hAnsi="Calibri" w:cs="Calibri"/>
          <w:color w:val="000000" w:themeColor="text1"/>
          <w:shd w:val="clear" w:color="auto" w:fill="FFFFFF"/>
        </w:rPr>
        <w:t xml:space="preserve"> aussi</w:t>
      </w:r>
      <w:r w:rsidRPr="00D44624">
        <w:rPr>
          <w:rFonts w:ascii="Calibri" w:hAnsi="Calibri" w:cs="Calibri"/>
          <w:color w:val="000000" w:themeColor="text1"/>
          <w:shd w:val="clear" w:color="auto" w:fill="FFFFFF"/>
        </w:rPr>
        <w:t xml:space="preserve"> trouver</w:t>
      </w:r>
      <w:r>
        <w:rPr>
          <w:rFonts w:ascii="Calibri" w:hAnsi="Calibri" w:cs="Calibri"/>
          <w:color w:val="000000" w:themeColor="text1"/>
          <w:shd w:val="clear" w:color="auto" w:fill="FFFFFF"/>
        </w:rPr>
        <w:t xml:space="preserve"> </w:t>
      </w:r>
      <w:r w:rsidRPr="005B3046">
        <w:rPr>
          <w:rFonts w:ascii="Calibri" w:hAnsi="Calibri" w:cs="Calibri"/>
          <w:i/>
          <w:iCs/>
          <w:color w:val="000000" w:themeColor="text1"/>
          <w:shd w:val="clear" w:color="auto" w:fill="FFFFFF"/>
        </w:rPr>
        <w:t>Vitis vinifera</w:t>
      </w:r>
      <w:r w:rsidRPr="00D44624">
        <w:rPr>
          <w:rFonts w:ascii="Calibri" w:hAnsi="Calibri" w:cs="Calibri"/>
          <w:color w:val="000000" w:themeColor="text1"/>
          <w:shd w:val="clear" w:color="auto" w:fill="FFFFFF"/>
        </w:rPr>
        <w:t xml:space="preserve"> à l'état </w:t>
      </w:r>
      <w:hyperlink r:id="rId411" w:tooltip="wikt:subspontané" w:history="1">
        <w:r w:rsidRPr="00D44624">
          <w:rPr>
            <w:rStyle w:val="Lienhypertexte"/>
            <w:rFonts w:ascii="Calibri" w:hAnsi="Calibri" w:cs="Calibri"/>
            <w:color w:val="3366BB"/>
            <w:shd w:val="clear" w:color="auto" w:fill="FFFFFF"/>
          </w:rPr>
          <w:t>subspontané</w:t>
        </w:r>
      </w:hyperlink>
      <w:r w:rsidRPr="00D44624">
        <w:rPr>
          <w:rFonts w:ascii="Calibri" w:hAnsi="Calibri" w:cs="Calibri"/>
          <w:color w:val="202122"/>
          <w:shd w:val="clear" w:color="auto" w:fill="FFFFFF"/>
        </w:rPr>
        <w:t xml:space="preserve">, </w:t>
      </w:r>
      <w:r w:rsidRPr="00D44624">
        <w:rPr>
          <w:rFonts w:ascii="Calibri" w:hAnsi="Calibri" w:cs="Calibri"/>
          <w:color w:val="000000" w:themeColor="text1"/>
          <w:shd w:val="clear" w:color="auto" w:fill="FFFFFF"/>
        </w:rPr>
        <w:t>notamment dans le sud de la France.</w:t>
      </w:r>
    </w:p>
    <w:p w14:paraId="3E214C9E" w14:textId="3958ACF7" w:rsidR="005B3046" w:rsidRPr="005B3046" w:rsidRDefault="005B3046" w:rsidP="0037287A">
      <w:pPr>
        <w:spacing w:after="0" w:line="240" w:lineRule="auto"/>
        <w:jc w:val="both"/>
        <w:rPr>
          <w:rFonts w:ascii="Calibri" w:hAnsi="Calibri" w:cs="Calibri"/>
          <w:color w:val="000000" w:themeColor="text1"/>
          <w:shd w:val="clear" w:color="auto" w:fill="FFFFFF"/>
        </w:rPr>
      </w:pPr>
      <w:r w:rsidRPr="00D44624">
        <w:rPr>
          <w:rFonts w:ascii="Calibri" w:hAnsi="Calibri" w:cs="Calibri"/>
          <w:color w:val="000000" w:themeColor="text1"/>
          <w:u w:val="single"/>
          <w:shd w:val="clear" w:color="auto" w:fill="FFFFFF"/>
        </w:rPr>
        <w:t>Usages</w:t>
      </w:r>
      <w:r w:rsidRPr="005B3046">
        <w:rPr>
          <w:rFonts w:ascii="Calibri" w:hAnsi="Calibri" w:cs="Calibri"/>
          <w:color w:val="000000" w:themeColor="text1"/>
          <w:shd w:val="clear" w:color="auto" w:fill="FFFFFF"/>
        </w:rPr>
        <w:t xml:space="preserve"> : </w:t>
      </w:r>
      <w:r w:rsidRPr="00E37EF6">
        <w:rPr>
          <w:rFonts w:ascii="Calibri" w:hAnsi="Calibri" w:cs="Calibri"/>
          <w:color w:val="000000" w:themeColor="text1"/>
          <w:shd w:val="clear" w:color="auto" w:fill="FFFFFF"/>
        </w:rPr>
        <w:t>L'espèce est cultivée pour ses </w:t>
      </w:r>
      <w:hyperlink r:id="rId412" w:tooltip="Fruit (botanique)" w:history="1">
        <w:r w:rsidRPr="0037287A">
          <w:rPr>
            <w:rStyle w:val="Lienhypertexte"/>
            <w:rFonts w:ascii="Calibri" w:hAnsi="Calibri" w:cs="Calibri"/>
            <w:color w:val="0645AD"/>
            <w:shd w:val="clear" w:color="auto" w:fill="FFFFFF"/>
          </w:rPr>
          <w:t>fruits</w:t>
        </w:r>
      </w:hyperlink>
      <w:r w:rsidRPr="0037287A">
        <w:rPr>
          <w:rFonts w:ascii="Calibri" w:hAnsi="Calibri" w:cs="Calibri"/>
          <w:color w:val="202122"/>
          <w:shd w:val="clear" w:color="auto" w:fill="FFFFFF"/>
        </w:rPr>
        <w:t> </w:t>
      </w:r>
      <w:r w:rsidRPr="0037287A">
        <w:rPr>
          <w:rFonts w:ascii="Calibri" w:hAnsi="Calibri" w:cs="Calibri"/>
          <w:color w:val="000000" w:themeColor="text1"/>
          <w:shd w:val="clear" w:color="auto" w:fill="FFFFFF"/>
        </w:rPr>
        <w:t>en grappes</w:t>
      </w:r>
      <w:r>
        <w:rPr>
          <w:rFonts w:ascii="Calibri" w:hAnsi="Calibri" w:cs="Calibri"/>
          <w:color w:val="000000" w:themeColor="text1"/>
          <w:shd w:val="clear" w:color="auto" w:fill="FFFFFF"/>
        </w:rPr>
        <w:t>, l</w:t>
      </w:r>
      <w:r w:rsidRPr="0037287A">
        <w:rPr>
          <w:rFonts w:ascii="Calibri" w:hAnsi="Calibri" w:cs="Calibri"/>
          <w:color w:val="000000" w:themeColor="text1"/>
          <w:shd w:val="clear" w:color="auto" w:fill="FFFFFF"/>
        </w:rPr>
        <w:t>e </w:t>
      </w:r>
      <w:hyperlink r:id="rId413" w:tooltip="Raisin" w:history="1">
        <w:r w:rsidRPr="0037287A">
          <w:rPr>
            <w:rStyle w:val="Lienhypertexte"/>
            <w:rFonts w:ascii="Calibri" w:hAnsi="Calibri" w:cs="Calibri"/>
            <w:color w:val="0645AD"/>
            <w:shd w:val="clear" w:color="auto" w:fill="FFFFFF"/>
          </w:rPr>
          <w:t>raisin</w:t>
        </w:r>
      </w:hyperlink>
      <w:r>
        <w:rPr>
          <w:rFonts w:ascii="Calibri" w:hAnsi="Calibri" w:cs="Calibri"/>
          <w:color w:val="202122"/>
          <w:shd w:val="clear" w:color="auto" w:fill="FFFFFF"/>
        </w:rPr>
        <w:t xml:space="preserve">, </w:t>
      </w:r>
      <w:r w:rsidRPr="0037287A">
        <w:rPr>
          <w:rFonts w:ascii="Calibri" w:hAnsi="Calibri" w:cs="Calibri"/>
          <w:color w:val="000000" w:themeColor="text1"/>
          <w:shd w:val="clear" w:color="auto" w:fill="FFFFFF"/>
        </w:rPr>
        <w:t>soit consommé frais comme </w:t>
      </w:r>
      <w:hyperlink r:id="rId414" w:tooltip="Raisin de table" w:history="1">
        <w:r w:rsidRPr="0037287A">
          <w:rPr>
            <w:rStyle w:val="Lienhypertexte"/>
            <w:rFonts w:ascii="Calibri" w:hAnsi="Calibri" w:cs="Calibri"/>
            <w:color w:val="0645AD"/>
            <w:shd w:val="clear" w:color="auto" w:fill="FFFFFF"/>
          </w:rPr>
          <w:t>raisin de table</w:t>
        </w:r>
      </w:hyperlink>
      <w:r w:rsidRPr="0037287A">
        <w:rPr>
          <w:rFonts w:ascii="Calibri" w:hAnsi="Calibri" w:cs="Calibri"/>
          <w:color w:val="202122"/>
          <w:shd w:val="clear" w:color="auto" w:fill="FFFFFF"/>
        </w:rPr>
        <w:t xml:space="preserve">, </w:t>
      </w:r>
      <w:r w:rsidRPr="005B3046">
        <w:rPr>
          <w:rFonts w:ascii="Calibri" w:hAnsi="Calibri" w:cs="Calibri"/>
          <w:color w:val="000000" w:themeColor="text1"/>
          <w:shd w:val="clear" w:color="auto" w:fill="FFFFFF"/>
        </w:rPr>
        <w:t xml:space="preserve">soit transformé pour </w:t>
      </w:r>
      <w:r>
        <w:rPr>
          <w:rFonts w:ascii="Calibri" w:hAnsi="Calibri" w:cs="Calibri"/>
          <w:color w:val="000000" w:themeColor="text1"/>
          <w:shd w:val="clear" w:color="auto" w:fill="FFFFFF"/>
        </w:rPr>
        <w:t>produire</w:t>
      </w:r>
      <w:r w:rsidRPr="005B3046">
        <w:rPr>
          <w:rFonts w:ascii="Calibri" w:hAnsi="Calibri" w:cs="Calibri"/>
          <w:color w:val="000000" w:themeColor="text1"/>
          <w:shd w:val="clear" w:color="auto" w:fill="FFFFFF"/>
        </w:rPr>
        <w:t xml:space="preserve"> du jus, du </w:t>
      </w:r>
      <w:hyperlink r:id="rId415" w:tooltip="Vin" w:history="1">
        <w:r w:rsidRPr="0037287A">
          <w:rPr>
            <w:rStyle w:val="Lienhypertexte"/>
            <w:rFonts w:ascii="Calibri" w:hAnsi="Calibri" w:cs="Calibri"/>
            <w:color w:val="0645AD"/>
            <w:shd w:val="clear" w:color="auto" w:fill="FFFFFF"/>
          </w:rPr>
          <w:t>vin</w:t>
        </w:r>
      </w:hyperlink>
      <w:r>
        <w:rPr>
          <w:rFonts w:ascii="Calibri" w:hAnsi="Calibri" w:cs="Calibri"/>
          <w:color w:val="000000" w:themeColor="text1"/>
          <w:shd w:val="clear" w:color="auto" w:fill="FFFFFF"/>
        </w:rPr>
        <w:t xml:space="preserve"> (jus fermenté),</w:t>
      </w:r>
      <w:r w:rsidR="00D44624">
        <w:rPr>
          <w:rFonts w:ascii="Calibri" w:hAnsi="Calibri" w:cs="Calibri"/>
          <w:color w:val="000000" w:themeColor="text1"/>
          <w:shd w:val="clear" w:color="auto" w:fill="FFFFFF"/>
        </w:rPr>
        <w:t xml:space="preserve"> de l’alcool,</w:t>
      </w:r>
      <w:r w:rsidRPr="005B3046">
        <w:rPr>
          <w:rFonts w:ascii="Calibri" w:hAnsi="Calibri" w:cs="Calibri"/>
          <w:color w:val="000000" w:themeColor="text1"/>
          <w:shd w:val="clear" w:color="auto" w:fill="FFFFFF"/>
        </w:rPr>
        <w:t xml:space="preserve"> du vinaigre ou séché pour produire des</w:t>
      </w:r>
      <w:r>
        <w:rPr>
          <w:rFonts w:ascii="Calibri" w:hAnsi="Calibri" w:cs="Calibri"/>
          <w:color w:val="000000" w:themeColor="text1"/>
          <w:shd w:val="clear" w:color="auto" w:fill="FFFFFF"/>
        </w:rPr>
        <w:t xml:space="preserve"> </w:t>
      </w:r>
      <w:hyperlink r:id="rId416" w:tooltip="Raisin sec" w:history="1">
        <w:r w:rsidRPr="0037287A">
          <w:rPr>
            <w:rStyle w:val="Lienhypertexte"/>
            <w:rFonts w:ascii="Calibri" w:hAnsi="Calibri" w:cs="Calibri"/>
            <w:color w:val="0645AD"/>
            <w:shd w:val="clear" w:color="auto" w:fill="FFFFFF"/>
          </w:rPr>
          <w:t>raisin</w:t>
        </w:r>
        <w:r>
          <w:rPr>
            <w:rStyle w:val="Lienhypertexte"/>
            <w:rFonts w:ascii="Calibri" w:hAnsi="Calibri" w:cs="Calibri"/>
            <w:color w:val="0645AD"/>
            <w:shd w:val="clear" w:color="auto" w:fill="FFFFFF"/>
          </w:rPr>
          <w:t>s</w:t>
        </w:r>
        <w:r w:rsidRPr="0037287A">
          <w:rPr>
            <w:rStyle w:val="Lienhypertexte"/>
            <w:rFonts w:ascii="Calibri" w:hAnsi="Calibri" w:cs="Calibri"/>
            <w:color w:val="0645AD"/>
            <w:shd w:val="clear" w:color="auto" w:fill="FFFFFF"/>
          </w:rPr>
          <w:t xml:space="preserve"> se</w:t>
        </w:r>
        <w:r>
          <w:rPr>
            <w:rStyle w:val="Lienhypertexte"/>
            <w:rFonts w:ascii="Calibri" w:hAnsi="Calibri" w:cs="Calibri"/>
            <w:color w:val="0645AD"/>
            <w:shd w:val="clear" w:color="auto" w:fill="FFFFFF"/>
          </w:rPr>
          <w:t>cs</w:t>
        </w:r>
      </w:hyperlink>
      <w:r>
        <w:rPr>
          <w:rFonts w:ascii="Calibri" w:hAnsi="Calibri" w:cs="Calibri"/>
          <w:color w:val="000000" w:themeColor="text1"/>
          <w:shd w:val="clear" w:color="auto" w:fill="FFFFFF"/>
        </w:rPr>
        <w:t>.</w:t>
      </w:r>
      <w:r w:rsidR="000704DA">
        <w:rPr>
          <w:rFonts w:ascii="Calibri" w:hAnsi="Calibri" w:cs="Calibri"/>
          <w:color w:val="000000" w:themeColor="text1"/>
          <w:shd w:val="clear" w:color="auto" w:fill="FFFFFF"/>
        </w:rPr>
        <w:t xml:space="preserve"> </w:t>
      </w:r>
      <w:r w:rsidR="000704DA" w:rsidRPr="000704DA">
        <w:rPr>
          <w:rFonts w:ascii="Calibri" w:hAnsi="Calibri" w:cs="Calibri"/>
          <w:color w:val="000000" w:themeColor="text1"/>
          <w:shd w:val="clear" w:color="auto" w:fill="FFFFFF"/>
        </w:rPr>
        <w:t xml:space="preserve">Dans le bassin méditerranéen, les feuilles et les jeunes tiges sont traditionnellement utilisées pour nourrir les moutons et les chèvres après la taille de la vigne. Les feuilles de vigne sont remplies de viande hachée (comme l'agneau, le porc ou le bœuf), de riz et d'oignons dans la fabrication du </w:t>
      </w:r>
      <w:hyperlink r:id="rId417" w:history="1">
        <w:r w:rsidR="000704DA" w:rsidRPr="000704DA">
          <w:rPr>
            <w:rStyle w:val="Lienhypertexte"/>
            <w:rFonts w:ascii="Calibri" w:hAnsi="Calibri" w:cs="Calibri"/>
            <w:color w:val="0645AD"/>
            <w:shd w:val="clear" w:color="auto" w:fill="FFFFFF"/>
          </w:rPr>
          <w:t>dolma</w:t>
        </w:r>
      </w:hyperlink>
      <w:r w:rsidR="000704DA" w:rsidRPr="000704DA">
        <w:rPr>
          <w:rFonts w:ascii="Calibri" w:hAnsi="Calibri" w:cs="Calibri"/>
          <w:color w:val="000000" w:themeColor="text1"/>
          <w:shd w:val="clear" w:color="auto" w:fill="FFFFFF"/>
        </w:rPr>
        <w:t xml:space="preserve"> traditionnel des Balkans.</w:t>
      </w:r>
    </w:p>
    <w:p w14:paraId="62DAF800" w14:textId="77777777" w:rsidR="00BA5A7C" w:rsidRPr="00BA5A7C" w:rsidRDefault="00BA5A7C" w:rsidP="00BA5A7C">
      <w:pPr>
        <w:spacing w:after="0" w:line="240" w:lineRule="auto"/>
        <w:jc w:val="both"/>
        <w:rPr>
          <w:rFonts w:ascii="Calibri" w:hAnsi="Calibri" w:cs="Calibri"/>
          <w:color w:val="000000" w:themeColor="text1"/>
          <w:shd w:val="clear" w:color="auto" w:fill="FFFFFF"/>
        </w:rPr>
      </w:pPr>
      <w:r w:rsidRPr="00BA5A7C">
        <w:rPr>
          <w:rFonts w:ascii="Calibri" w:hAnsi="Calibri" w:cs="Calibri"/>
          <w:color w:val="000000" w:themeColor="text1"/>
          <w:u w:val="single"/>
          <w:shd w:val="clear" w:color="auto" w:fill="FFFFFF"/>
        </w:rPr>
        <w:t>Note</w:t>
      </w:r>
      <w:r w:rsidRPr="00BA5A7C">
        <w:rPr>
          <w:rFonts w:ascii="Calibri" w:hAnsi="Calibri" w:cs="Calibri"/>
          <w:color w:val="000000" w:themeColor="text1"/>
          <w:shd w:val="clear" w:color="auto" w:fill="FFFFFF"/>
        </w:rPr>
        <w:t xml:space="preserve"> : Il ne semble pas que la vigne résiste au stress salin.</w:t>
      </w:r>
    </w:p>
    <w:p w14:paraId="3D1049A5" w14:textId="69B7FD47" w:rsidR="009F4703" w:rsidRDefault="009F4703" w:rsidP="0037287A">
      <w:pPr>
        <w:spacing w:after="0" w:line="240" w:lineRule="auto"/>
        <w:jc w:val="both"/>
        <w:rPr>
          <w:rFonts w:ascii="Calibri" w:hAnsi="Calibri" w:cs="Calibri"/>
          <w:color w:val="202122"/>
          <w:shd w:val="clear" w:color="auto" w:fill="FFFFFF"/>
        </w:rPr>
      </w:pPr>
      <w:r w:rsidRPr="009F4703">
        <w:rPr>
          <w:rFonts w:ascii="Calibri" w:hAnsi="Calibri" w:cs="Calibri"/>
          <w:color w:val="000000" w:themeColor="text1"/>
          <w:shd w:val="clear" w:color="auto" w:fill="FFFFFF"/>
        </w:rPr>
        <w:t xml:space="preserve">Sources : a) </w:t>
      </w:r>
      <w:hyperlink r:id="rId418" w:history="1">
        <w:r w:rsidRPr="00AE2D14">
          <w:rPr>
            <w:rStyle w:val="Lienhypertexte"/>
            <w:rFonts w:ascii="Calibri" w:hAnsi="Calibri" w:cs="Calibri"/>
            <w:shd w:val="clear" w:color="auto" w:fill="FFFFFF"/>
          </w:rPr>
          <w:t>https://fr.wikipedia.org/wiki/Vitis_vinifera</w:t>
        </w:r>
      </w:hyperlink>
      <w:r>
        <w:rPr>
          <w:rFonts w:ascii="Calibri" w:hAnsi="Calibri" w:cs="Calibri"/>
          <w:color w:val="202122"/>
          <w:shd w:val="clear" w:color="auto" w:fill="FFFFFF"/>
        </w:rPr>
        <w:t xml:space="preserve">, b) </w:t>
      </w:r>
      <w:hyperlink r:id="rId419" w:history="1">
        <w:r w:rsidRPr="00AE2D14">
          <w:rPr>
            <w:rStyle w:val="Lienhypertexte"/>
            <w:rFonts w:ascii="Calibri" w:hAnsi="Calibri" w:cs="Calibri"/>
            <w:shd w:val="clear" w:color="auto" w:fill="FFFFFF"/>
          </w:rPr>
          <w:t>https://en.wikipedia.org/wiki/Vitis_vinifera</w:t>
        </w:r>
      </w:hyperlink>
      <w:r w:rsidR="00D22AC6">
        <w:rPr>
          <w:rFonts w:ascii="Calibri" w:hAnsi="Calibri" w:cs="Calibri"/>
          <w:color w:val="202122"/>
          <w:shd w:val="clear" w:color="auto" w:fill="FFFFFF"/>
        </w:rPr>
        <w:t xml:space="preserve">, </w:t>
      </w:r>
    </w:p>
    <w:p w14:paraId="1DD2EAA4" w14:textId="37E31205" w:rsidR="00BA5A7C" w:rsidRDefault="00D22AC6" w:rsidP="0037287A">
      <w:pPr>
        <w:spacing w:after="0" w:line="240" w:lineRule="auto"/>
        <w:jc w:val="both"/>
        <w:rPr>
          <w:rFonts w:ascii="Calibri" w:hAnsi="Calibri" w:cs="Calibri"/>
          <w:color w:val="202122"/>
          <w:shd w:val="clear" w:color="auto" w:fill="FFFFFF"/>
        </w:rPr>
      </w:pPr>
      <w:r w:rsidRPr="000025AE">
        <w:rPr>
          <w:rFonts w:ascii="Calibri" w:hAnsi="Calibri" w:cs="Calibri"/>
          <w:color w:val="202122"/>
          <w:shd w:val="clear" w:color="auto" w:fill="FFFFFF"/>
        </w:rPr>
        <w:t xml:space="preserve">c) </w:t>
      </w:r>
      <w:hyperlink r:id="rId420" w:history="1">
        <w:r w:rsidRPr="000025AE">
          <w:rPr>
            <w:rStyle w:val="Lienhypertexte"/>
            <w:rFonts w:ascii="Calibri" w:hAnsi="Calibri" w:cs="Calibri"/>
            <w:shd w:val="clear" w:color="auto" w:fill="FFFFFF"/>
          </w:rPr>
          <w:t>https://fr.wikipedia.org/wiki/Vigne_sauvage</w:t>
        </w:r>
      </w:hyperlink>
      <w:r w:rsidR="00BA5A7C">
        <w:rPr>
          <w:rFonts w:ascii="Calibri" w:hAnsi="Calibri" w:cs="Calibri"/>
          <w:color w:val="202122"/>
          <w:shd w:val="clear" w:color="auto" w:fill="FFFFFF"/>
        </w:rPr>
        <w:t xml:space="preserve">, d) </w:t>
      </w:r>
      <w:hyperlink r:id="rId421" w:history="1">
        <w:r w:rsidR="00BA5A7C" w:rsidRPr="00AE2D14">
          <w:rPr>
            <w:rStyle w:val="Lienhypertexte"/>
            <w:rFonts w:ascii="Calibri" w:hAnsi="Calibri" w:cs="Calibri"/>
            <w:shd w:val="clear" w:color="auto" w:fill="FFFFFF"/>
          </w:rPr>
          <w:t>https://fr.wikipedia.org/wiki/Vigne</w:t>
        </w:r>
      </w:hyperlink>
      <w:r w:rsidR="00BA5A7C">
        <w:rPr>
          <w:rFonts w:ascii="Calibri" w:hAnsi="Calibri" w:cs="Calibri"/>
          <w:color w:val="202122"/>
          <w:shd w:val="clear" w:color="auto" w:fill="FFFFFF"/>
        </w:rPr>
        <w:t xml:space="preserve"> </w:t>
      </w:r>
      <w:r w:rsidRPr="000025AE">
        <w:rPr>
          <w:rFonts w:ascii="Calibri" w:hAnsi="Calibri" w:cs="Calibri"/>
          <w:color w:val="202122"/>
          <w:shd w:val="clear" w:color="auto" w:fill="FFFFFF"/>
        </w:rPr>
        <w:t xml:space="preserve"> </w:t>
      </w:r>
    </w:p>
    <w:p w14:paraId="0CD9F8BD" w14:textId="43462356" w:rsidR="009F4703" w:rsidRPr="000025AE" w:rsidRDefault="009F4703" w:rsidP="0037287A">
      <w:pPr>
        <w:spacing w:after="0" w:line="240" w:lineRule="auto"/>
        <w:jc w:val="both"/>
        <w:rPr>
          <w:rFonts w:ascii="Calibri" w:hAnsi="Calibri" w:cs="Calibri"/>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04"/>
        <w:gridCol w:w="2604"/>
        <w:gridCol w:w="2604"/>
        <w:gridCol w:w="2604"/>
      </w:tblGrid>
      <w:tr w:rsidR="009C5C16" w14:paraId="3C1EDD0F" w14:textId="77777777" w:rsidTr="009C5C16">
        <w:tc>
          <w:tcPr>
            <w:tcW w:w="2604" w:type="dxa"/>
          </w:tcPr>
          <w:p w14:paraId="7D6FC554" w14:textId="77777777" w:rsidR="00E37EF6" w:rsidRDefault="00E37EF6" w:rsidP="00E37EF6">
            <w:pPr>
              <w:jc w:val="center"/>
              <w:rPr>
                <w:rFonts w:ascii="Calibri" w:hAnsi="Calibri" w:cs="Calibri"/>
              </w:rPr>
            </w:pPr>
            <w:r>
              <w:rPr>
                <w:noProof/>
              </w:rPr>
              <w:drawing>
                <wp:inline distT="0" distB="0" distL="0" distR="0" wp14:anchorId="181675F6" wp14:editId="19EDF914">
                  <wp:extent cx="1438275" cy="1166902"/>
                  <wp:effectExtent l="0" t="0" r="0" b="0"/>
                  <wp:docPr id="115740" name="Image 115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1450149" cy="1176535"/>
                          </a:xfrm>
                          <a:prstGeom prst="rect">
                            <a:avLst/>
                          </a:prstGeom>
                          <a:noFill/>
                          <a:ln>
                            <a:noFill/>
                          </a:ln>
                        </pic:spPr>
                      </pic:pic>
                    </a:graphicData>
                  </a:graphic>
                </wp:inline>
              </w:drawing>
            </w:r>
          </w:p>
          <w:p w14:paraId="707DA3A5" w14:textId="168CC2D6" w:rsidR="009C5C16" w:rsidRDefault="009C5C16" w:rsidP="00E37EF6">
            <w:pPr>
              <w:jc w:val="center"/>
              <w:rPr>
                <w:rFonts w:ascii="Calibri" w:hAnsi="Calibri" w:cs="Calibri"/>
              </w:rPr>
            </w:pPr>
            <w:r>
              <w:rPr>
                <w:rFonts w:ascii="Calibri" w:hAnsi="Calibri" w:cs="Calibri"/>
              </w:rPr>
              <w:t>Grappes et feuilles.</w:t>
            </w:r>
          </w:p>
        </w:tc>
        <w:tc>
          <w:tcPr>
            <w:tcW w:w="2604" w:type="dxa"/>
          </w:tcPr>
          <w:p w14:paraId="371CFED9" w14:textId="77777777" w:rsidR="00E37EF6" w:rsidRDefault="00E37EF6" w:rsidP="00E37EF6">
            <w:pPr>
              <w:jc w:val="center"/>
              <w:rPr>
                <w:rFonts w:ascii="Calibri" w:hAnsi="Calibri" w:cs="Calibri"/>
              </w:rPr>
            </w:pPr>
            <w:r>
              <w:rPr>
                <w:noProof/>
              </w:rPr>
              <w:drawing>
                <wp:inline distT="0" distB="0" distL="0" distR="0" wp14:anchorId="5BAC49CB" wp14:editId="0C715783">
                  <wp:extent cx="1428750" cy="952500"/>
                  <wp:effectExtent l="0" t="0" r="0" b="0"/>
                  <wp:docPr id="115741" name="Image 115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1428750" cy="952500"/>
                          </a:xfrm>
                          <a:prstGeom prst="rect">
                            <a:avLst/>
                          </a:prstGeom>
                          <a:noFill/>
                          <a:ln>
                            <a:noFill/>
                          </a:ln>
                        </pic:spPr>
                      </pic:pic>
                    </a:graphicData>
                  </a:graphic>
                </wp:inline>
              </w:drawing>
            </w:r>
          </w:p>
          <w:p w14:paraId="1EFBD739" w14:textId="47B02203" w:rsidR="00E37EF6" w:rsidRDefault="00E37EF6" w:rsidP="00E37EF6">
            <w:pPr>
              <w:jc w:val="center"/>
              <w:rPr>
                <w:rFonts w:ascii="Calibri" w:hAnsi="Calibri" w:cs="Calibri"/>
              </w:rPr>
            </w:pPr>
            <w:r>
              <w:rPr>
                <w:rFonts w:ascii="Calibri" w:hAnsi="Calibri" w:cs="Calibri"/>
              </w:rPr>
              <w:t>Débourrement</w:t>
            </w:r>
            <w:r w:rsidR="009C5C16">
              <w:rPr>
                <w:rFonts w:ascii="Calibri" w:hAnsi="Calibri" w:cs="Calibri"/>
              </w:rPr>
              <w:t>.</w:t>
            </w:r>
          </w:p>
        </w:tc>
        <w:tc>
          <w:tcPr>
            <w:tcW w:w="2604" w:type="dxa"/>
          </w:tcPr>
          <w:p w14:paraId="413D6285" w14:textId="77777777" w:rsidR="00E37EF6" w:rsidRDefault="00E37EF6" w:rsidP="00E37EF6">
            <w:pPr>
              <w:jc w:val="center"/>
              <w:rPr>
                <w:rFonts w:ascii="Calibri" w:hAnsi="Calibri" w:cs="Calibri"/>
              </w:rPr>
            </w:pPr>
            <w:r>
              <w:rPr>
                <w:noProof/>
              </w:rPr>
              <w:drawing>
                <wp:inline distT="0" distB="0" distL="0" distR="0" wp14:anchorId="17CE41FF" wp14:editId="485EF9D1">
                  <wp:extent cx="1200150" cy="1200150"/>
                  <wp:effectExtent l="0" t="0" r="0" b="0"/>
                  <wp:docPr id="115742" name="Image 115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1200150" cy="1200150"/>
                          </a:xfrm>
                          <a:prstGeom prst="rect">
                            <a:avLst/>
                          </a:prstGeom>
                          <a:noFill/>
                          <a:ln>
                            <a:noFill/>
                          </a:ln>
                        </pic:spPr>
                      </pic:pic>
                    </a:graphicData>
                  </a:graphic>
                </wp:inline>
              </w:drawing>
            </w:r>
          </w:p>
          <w:p w14:paraId="3E7C56EF" w14:textId="43DACC79" w:rsidR="00E37EF6" w:rsidRDefault="00E37EF6" w:rsidP="00E37EF6">
            <w:pPr>
              <w:jc w:val="center"/>
              <w:rPr>
                <w:rFonts w:ascii="Calibri" w:hAnsi="Calibri" w:cs="Calibri"/>
              </w:rPr>
            </w:pPr>
            <w:r>
              <w:rPr>
                <w:rFonts w:ascii="Calibri" w:hAnsi="Calibri" w:cs="Calibri"/>
              </w:rPr>
              <w:t>Jeune rameau.</w:t>
            </w:r>
          </w:p>
        </w:tc>
        <w:tc>
          <w:tcPr>
            <w:tcW w:w="2604" w:type="dxa"/>
          </w:tcPr>
          <w:p w14:paraId="03145766" w14:textId="77777777" w:rsidR="00E37EF6" w:rsidRDefault="00E37EF6" w:rsidP="00E37EF6">
            <w:pPr>
              <w:jc w:val="center"/>
              <w:rPr>
                <w:rFonts w:ascii="Calibri" w:hAnsi="Calibri" w:cs="Calibri"/>
              </w:rPr>
            </w:pPr>
            <w:r>
              <w:rPr>
                <w:noProof/>
              </w:rPr>
              <w:drawing>
                <wp:inline distT="0" distB="0" distL="0" distR="0" wp14:anchorId="3A7E6D47" wp14:editId="75066EF3">
                  <wp:extent cx="857250" cy="1202531"/>
                  <wp:effectExtent l="0" t="0" r="0" b="0"/>
                  <wp:docPr id="115743" name="Image 115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859123" cy="1205159"/>
                          </a:xfrm>
                          <a:prstGeom prst="rect">
                            <a:avLst/>
                          </a:prstGeom>
                          <a:noFill/>
                          <a:ln>
                            <a:noFill/>
                          </a:ln>
                        </pic:spPr>
                      </pic:pic>
                    </a:graphicData>
                  </a:graphic>
                </wp:inline>
              </w:drawing>
            </w:r>
          </w:p>
          <w:p w14:paraId="431FF5A0" w14:textId="311B52A0" w:rsidR="00E37EF6" w:rsidRDefault="00E37EF6" w:rsidP="00E37EF6">
            <w:pPr>
              <w:jc w:val="center"/>
              <w:rPr>
                <w:rFonts w:ascii="Calibri" w:hAnsi="Calibri" w:cs="Calibri"/>
              </w:rPr>
            </w:pPr>
            <w:r>
              <w:rPr>
                <w:rFonts w:ascii="Calibri" w:hAnsi="Calibri" w:cs="Calibri"/>
              </w:rPr>
              <w:t>Inflorescence</w:t>
            </w:r>
            <w:r w:rsidR="009C5C16">
              <w:rPr>
                <w:rFonts w:ascii="Calibri" w:hAnsi="Calibri" w:cs="Calibri"/>
              </w:rPr>
              <w:t>.</w:t>
            </w:r>
          </w:p>
        </w:tc>
      </w:tr>
      <w:tr w:rsidR="009C5C16" w14:paraId="2C52BB92" w14:textId="77777777" w:rsidTr="009C5C16">
        <w:tc>
          <w:tcPr>
            <w:tcW w:w="2604" w:type="dxa"/>
          </w:tcPr>
          <w:p w14:paraId="6524F1CA" w14:textId="77777777" w:rsidR="00E37EF6" w:rsidRDefault="00E37EF6" w:rsidP="00E37EF6">
            <w:pPr>
              <w:jc w:val="center"/>
              <w:rPr>
                <w:rFonts w:ascii="Calibri" w:hAnsi="Calibri" w:cs="Calibri"/>
              </w:rPr>
            </w:pPr>
            <w:r>
              <w:rPr>
                <w:noProof/>
              </w:rPr>
              <w:drawing>
                <wp:inline distT="0" distB="0" distL="0" distR="0" wp14:anchorId="07B68404" wp14:editId="6FEF5D30">
                  <wp:extent cx="1428750" cy="952500"/>
                  <wp:effectExtent l="0" t="0" r="0" b="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1428750" cy="952500"/>
                          </a:xfrm>
                          <a:prstGeom prst="rect">
                            <a:avLst/>
                          </a:prstGeom>
                          <a:noFill/>
                          <a:ln>
                            <a:noFill/>
                          </a:ln>
                        </pic:spPr>
                      </pic:pic>
                    </a:graphicData>
                  </a:graphic>
                </wp:inline>
              </w:drawing>
            </w:r>
          </w:p>
          <w:p w14:paraId="07134B70" w14:textId="1CCEE190" w:rsidR="009C5C16" w:rsidRDefault="009C5C16" w:rsidP="00E37EF6">
            <w:pPr>
              <w:jc w:val="center"/>
              <w:rPr>
                <w:rFonts w:ascii="Calibri" w:hAnsi="Calibri" w:cs="Calibri"/>
              </w:rPr>
            </w:pPr>
            <w:r>
              <w:rPr>
                <w:rFonts w:ascii="Calibri" w:hAnsi="Calibri" w:cs="Calibri"/>
              </w:rPr>
              <w:t>Inflorescence.</w:t>
            </w:r>
          </w:p>
        </w:tc>
        <w:tc>
          <w:tcPr>
            <w:tcW w:w="2604" w:type="dxa"/>
          </w:tcPr>
          <w:p w14:paraId="57DACE90" w14:textId="77777777" w:rsidR="00E37EF6" w:rsidRDefault="00E37EF6" w:rsidP="00E37EF6">
            <w:pPr>
              <w:jc w:val="center"/>
              <w:rPr>
                <w:rFonts w:ascii="Calibri" w:hAnsi="Calibri" w:cs="Calibri"/>
              </w:rPr>
            </w:pPr>
            <w:r>
              <w:rPr>
                <w:noProof/>
              </w:rPr>
              <w:drawing>
                <wp:inline distT="0" distB="0" distL="0" distR="0" wp14:anchorId="5AD87261" wp14:editId="75ACD964">
                  <wp:extent cx="1428750" cy="895350"/>
                  <wp:effectExtent l="0" t="0" r="0" b="0"/>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1428750" cy="895350"/>
                          </a:xfrm>
                          <a:prstGeom prst="rect">
                            <a:avLst/>
                          </a:prstGeom>
                          <a:noFill/>
                          <a:ln>
                            <a:noFill/>
                          </a:ln>
                        </pic:spPr>
                      </pic:pic>
                    </a:graphicData>
                  </a:graphic>
                </wp:inline>
              </w:drawing>
            </w:r>
          </w:p>
          <w:p w14:paraId="0A41CA01" w14:textId="52EB1344" w:rsidR="00E37EF6" w:rsidRDefault="00E37EF6" w:rsidP="00E37EF6">
            <w:pPr>
              <w:jc w:val="center"/>
              <w:rPr>
                <w:rFonts w:ascii="Calibri" w:hAnsi="Calibri" w:cs="Calibri"/>
              </w:rPr>
            </w:pPr>
            <w:r>
              <w:rPr>
                <w:rFonts w:ascii="Calibri" w:hAnsi="Calibri" w:cs="Calibri"/>
              </w:rPr>
              <w:t>Floraison.</w:t>
            </w:r>
          </w:p>
        </w:tc>
        <w:tc>
          <w:tcPr>
            <w:tcW w:w="2604" w:type="dxa"/>
          </w:tcPr>
          <w:p w14:paraId="34FDC57B" w14:textId="77777777" w:rsidR="00E37EF6" w:rsidRDefault="00E37EF6" w:rsidP="00E37EF6">
            <w:pPr>
              <w:jc w:val="center"/>
              <w:rPr>
                <w:rFonts w:ascii="Calibri" w:hAnsi="Calibri" w:cs="Calibri"/>
              </w:rPr>
            </w:pPr>
            <w:r>
              <w:rPr>
                <w:noProof/>
              </w:rPr>
              <w:drawing>
                <wp:inline distT="0" distB="0" distL="0" distR="0" wp14:anchorId="1D04288E" wp14:editId="07215A70">
                  <wp:extent cx="1352550" cy="1352550"/>
                  <wp:effectExtent l="0" t="0" r="0" b="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1352550" cy="1352550"/>
                          </a:xfrm>
                          <a:prstGeom prst="rect">
                            <a:avLst/>
                          </a:prstGeom>
                          <a:noFill/>
                          <a:ln>
                            <a:noFill/>
                          </a:ln>
                        </pic:spPr>
                      </pic:pic>
                    </a:graphicData>
                  </a:graphic>
                </wp:inline>
              </w:drawing>
            </w:r>
          </w:p>
          <w:p w14:paraId="18EF3253" w14:textId="4EFF8A8B" w:rsidR="00E37EF6" w:rsidRDefault="00E37EF6" w:rsidP="00E37EF6">
            <w:pPr>
              <w:jc w:val="center"/>
              <w:rPr>
                <w:rFonts w:ascii="Calibri" w:hAnsi="Calibri" w:cs="Calibri"/>
              </w:rPr>
            </w:pPr>
            <w:r>
              <w:rPr>
                <w:rFonts w:ascii="Calibri" w:hAnsi="Calibri" w:cs="Calibri"/>
              </w:rPr>
              <w:t>Cep de vigne sur son support.</w:t>
            </w:r>
          </w:p>
        </w:tc>
        <w:tc>
          <w:tcPr>
            <w:tcW w:w="2604" w:type="dxa"/>
          </w:tcPr>
          <w:p w14:paraId="15B7D6D8" w14:textId="77777777" w:rsidR="00E37EF6" w:rsidRDefault="00E37EF6" w:rsidP="00E37EF6">
            <w:pPr>
              <w:jc w:val="center"/>
              <w:rPr>
                <w:rFonts w:ascii="Calibri" w:hAnsi="Calibri" w:cs="Calibri"/>
              </w:rPr>
            </w:pPr>
            <w:r>
              <w:rPr>
                <w:noProof/>
              </w:rPr>
              <w:drawing>
                <wp:inline distT="0" distB="0" distL="0" distR="0" wp14:anchorId="302DB11D" wp14:editId="0A87FD52">
                  <wp:extent cx="1481679" cy="1114425"/>
                  <wp:effectExtent l="0" t="0" r="4445" b="0"/>
                  <wp:docPr id="54272" name="Image 54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1484326" cy="1116416"/>
                          </a:xfrm>
                          <a:prstGeom prst="rect">
                            <a:avLst/>
                          </a:prstGeom>
                          <a:noFill/>
                          <a:ln>
                            <a:noFill/>
                          </a:ln>
                        </pic:spPr>
                      </pic:pic>
                    </a:graphicData>
                  </a:graphic>
                </wp:inline>
              </w:drawing>
            </w:r>
          </w:p>
          <w:p w14:paraId="2B6A6934" w14:textId="6106125E" w:rsidR="00E37EF6" w:rsidRDefault="00E37EF6" w:rsidP="00E37EF6">
            <w:pPr>
              <w:jc w:val="center"/>
              <w:rPr>
                <w:rFonts w:ascii="Calibri" w:hAnsi="Calibri" w:cs="Calibri"/>
              </w:rPr>
            </w:pPr>
            <w:r>
              <w:rPr>
                <w:rFonts w:ascii="Calibri" w:hAnsi="Calibri" w:cs="Calibri"/>
              </w:rPr>
              <w:t>Vignes cultivées (</w:t>
            </w:r>
            <w:r w:rsidR="009C5C16" w:rsidRPr="009C5C16">
              <w:rPr>
                <w:rFonts w:ascii="Calibri" w:hAnsi="Calibri" w:cs="Calibri"/>
                <w:color w:val="000000" w:themeColor="text1"/>
                <w:shd w:val="clear" w:color="auto" w:fill="F8F9FA"/>
              </w:rPr>
              <w:t>Vignoble du </w:t>
            </w:r>
            <w:hyperlink r:id="rId430" w:tooltip="Cognac (eau-de-vie)" w:history="1">
              <w:r w:rsidR="009C5C16" w:rsidRPr="009C5C16">
                <w:rPr>
                  <w:rStyle w:val="Lienhypertexte"/>
                  <w:rFonts w:ascii="Calibri" w:hAnsi="Calibri" w:cs="Calibri"/>
                  <w:color w:val="0645AD"/>
                  <w:shd w:val="clear" w:color="auto" w:fill="F8F9FA"/>
                </w:rPr>
                <w:t>cognac</w:t>
              </w:r>
            </w:hyperlink>
            <w:r w:rsidR="009C5C16" w:rsidRPr="009C5C16">
              <w:rPr>
                <w:rFonts w:ascii="Calibri" w:hAnsi="Calibri" w:cs="Calibri"/>
                <w:color w:val="202122"/>
                <w:shd w:val="clear" w:color="auto" w:fill="F8F9FA"/>
              </w:rPr>
              <w:t xml:space="preserve">, </w:t>
            </w:r>
            <w:r w:rsidR="009C5C16" w:rsidRPr="009C5C16">
              <w:rPr>
                <w:rFonts w:ascii="Calibri" w:hAnsi="Calibri" w:cs="Calibri"/>
                <w:color w:val="000000" w:themeColor="text1"/>
                <w:shd w:val="clear" w:color="auto" w:fill="F8F9FA"/>
              </w:rPr>
              <w:t>en Charente</w:t>
            </w:r>
            <w:r w:rsidRPr="009C5C16">
              <w:rPr>
                <w:rFonts w:ascii="Calibri" w:hAnsi="Calibri" w:cs="Calibri"/>
                <w:color w:val="000000" w:themeColor="text1"/>
              </w:rPr>
              <w:t>).</w:t>
            </w:r>
          </w:p>
        </w:tc>
      </w:tr>
      <w:tr w:rsidR="009C5C16" w14:paraId="56C0B159" w14:textId="77777777" w:rsidTr="009C5C16">
        <w:tc>
          <w:tcPr>
            <w:tcW w:w="2604" w:type="dxa"/>
          </w:tcPr>
          <w:p w14:paraId="47E52603" w14:textId="77777777" w:rsidR="00E37EF6" w:rsidRDefault="009C5C16" w:rsidP="00E37EF6">
            <w:pPr>
              <w:jc w:val="center"/>
              <w:rPr>
                <w:rFonts w:ascii="Calibri" w:hAnsi="Calibri" w:cs="Calibri"/>
              </w:rPr>
            </w:pPr>
            <w:r>
              <w:rPr>
                <w:noProof/>
              </w:rPr>
              <w:lastRenderedPageBreak/>
              <w:drawing>
                <wp:inline distT="0" distB="0" distL="0" distR="0" wp14:anchorId="77409F7C" wp14:editId="3DAEB16F">
                  <wp:extent cx="1409700" cy="1019988"/>
                  <wp:effectExtent l="0" t="0" r="0" b="8890"/>
                  <wp:docPr id="108545" name="Image 108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1418432" cy="1026306"/>
                          </a:xfrm>
                          <a:prstGeom prst="rect">
                            <a:avLst/>
                          </a:prstGeom>
                          <a:noFill/>
                          <a:ln>
                            <a:noFill/>
                          </a:ln>
                        </pic:spPr>
                      </pic:pic>
                    </a:graphicData>
                  </a:graphic>
                </wp:inline>
              </w:drawing>
            </w:r>
          </w:p>
          <w:p w14:paraId="7CF2950B" w14:textId="124D21EE" w:rsidR="009C5C16" w:rsidRDefault="009C5C16" w:rsidP="00E37EF6">
            <w:pPr>
              <w:jc w:val="center"/>
              <w:rPr>
                <w:rFonts w:ascii="Calibri" w:hAnsi="Calibri" w:cs="Calibri"/>
              </w:rPr>
            </w:pPr>
            <w:r w:rsidRPr="009C5C16">
              <w:rPr>
                <w:rFonts w:ascii="Calibri" w:hAnsi="Calibri" w:cs="Calibri"/>
                <w:color w:val="000000" w:themeColor="text1"/>
              </w:rPr>
              <w:t>Feuille de lambrusque mâle, bord de la Charente</w:t>
            </w:r>
            <w:r w:rsidRPr="009C5C16">
              <w:rPr>
                <w:rFonts w:ascii="Calibri" w:hAnsi="Calibri" w:cs="Calibri"/>
              </w:rPr>
              <w:t>.</w:t>
            </w:r>
          </w:p>
        </w:tc>
        <w:tc>
          <w:tcPr>
            <w:tcW w:w="2604" w:type="dxa"/>
          </w:tcPr>
          <w:p w14:paraId="40E5FA92" w14:textId="77777777" w:rsidR="00E37EF6" w:rsidRDefault="009C5C16" w:rsidP="00E37EF6">
            <w:pPr>
              <w:jc w:val="center"/>
              <w:rPr>
                <w:rFonts w:ascii="Calibri" w:hAnsi="Calibri" w:cs="Calibri"/>
              </w:rPr>
            </w:pPr>
            <w:r>
              <w:rPr>
                <w:noProof/>
              </w:rPr>
              <w:drawing>
                <wp:inline distT="0" distB="0" distL="0" distR="0" wp14:anchorId="0AE6D162" wp14:editId="28E2848A">
                  <wp:extent cx="1421765" cy="1179143"/>
                  <wp:effectExtent l="0" t="0" r="6985" b="2540"/>
                  <wp:docPr id="108546" name="Image 108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1427524" cy="1183919"/>
                          </a:xfrm>
                          <a:prstGeom prst="rect">
                            <a:avLst/>
                          </a:prstGeom>
                          <a:noFill/>
                          <a:ln>
                            <a:noFill/>
                          </a:ln>
                        </pic:spPr>
                      </pic:pic>
                    </a:graphicData>
                  </a:graphic>
                </wp:inline>
              </w:drawing>
            </w:r>
          </w:p>
          <w:p w14:paraId="014CD25E" w14:textId="1ED04A0C" w:rsidR="009C5C16" w:rsidRDefault="009C5C16" w:rsidP="00E37EF6">
            <w:pPr>
              <w:jc w:val="center"/>
              <w:rPr>
                <w:rFonts w:ascii="Calibri" w:hAnsi="Calibri" w:cs="Calibri"/>
              </w:rPr>
            </w:pPr>
            <w:r w:rsidRPr="009C5C16">
              <w:rPr>
                <w:rFonts w:ascii="Calibri" w:hAnsi="Calibri" w:cs="Calibri"/>
                <w:color w:val="000000" w:themeColor="text1"/>
              </w:rPr>
              <w:t>Fleur mâle de lambrusque, bord de la Charente.</w:t>
            </w:r>
          </w:p>
        </w:tc>
        <w:tc>
          <w:tcPr>
            <w:tcW w:w="2604" w:type="dxa"/>
          </w:tcPr>
          <w:p w14:paraId="57EFFC05" w14:textId="77777777" w:rsidR="00E37EF6" w:rsidRDefault="009C5C16" w:rsidP="00E37EF6">
            <w:pPr>
              <w:jc w:val="center"/>
              <w:rPr>
                <w:rFonts w:ascii="Calibri" w:hAnsi="Calibri" w:cs="Calibri"/>
              </w:rPr>
            </w:pPr>
            <w:r>
              <w:rPr>
                <w:noProof/>
              </w:rPr>
              <w:drawing>
                <wp:inline distT="0" distB="0" distL="0" distR="0" wp14:anchorId="63E94CC7" wp14:editId="0A68647E">
                  <wp:extent cx="1127800" cy="1514475"/>
                  <wp:effectExtent l="0" t="0" r="0" b="0"/>
                  <wp:docPr id="108547" name="Image 108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1132253" cy="1520455"/>
                          </a:xfrm>
                          <a:prstGeom prst="rect">
                            <a:avLst/>
                          </a:prstGeom>
                          <a:noFill/>
                          <a:ln>
                            <a:noFill/>
                          </a:ln>
                        </pic:spPr>
                      </pic:pic>
                    </a:graphicData>
                  </a:graphic>
                </wp:inline>
              </w:drawing>
            </w:r>
          </w:p>
          <w:p w14:paraId="7B2F0DED" w14:textId="4B15989E" w:rsidR="009C5C16" w:rsidRDefault="009C5C16" w:rsidP="00E37EF6">
            <w:pPr>
              <w:jc w:val="center"/>
              <w:rPr>
                <w:rFonts w:ascii="Calibri" w:hAnsi="Calibri" w:cs="Calibri"/>
              </w:rPr>
            </w:pPr>
            <w:r w:rsidRPr="009C5C16">
              <w:rPr>
                <w:rFonts w:ascii="Calibri" w:hAnsi="Calibri" w:cs="Calibri"/>
              </w:rPr>
              <w:t>Pied femelle avec raisin, Conservatoire du Vignoble Charentais</w:t>
            </w:r>
            <w:r>
              <w:rPr>
                <w:rFonts w:ascii="Calibri" w:hAnsi="Calibri" w:cs="Calibri"/>
              </w:rPr>
              <w:t>.</w:t>
            </w:r>
          </w:p>
        </w:tc>
        <w:tc>
          <w:tcPr>
            <w:tcW w:w="2604" w:type="dxa"/>
          </w:tcPr>
          <w:p w14:paraId="2D543E01" w14:textId="7244CACE" w:rsidR="00E37EF6" w:rsidRDefault="009C5C16" w:rsidP="00E37EF6">
            <w:pPr>
              <w:jc w:val="center"/>
              <w:rPr>
                <w:rFonts w:ascii="Calibri" w:hAnsi="Calibri" w:cs="Calibri"/>
              </w:rPr>
            </w:pPr>
            <w:r>
              <w:rPr>
                <w:noProof/>
              </w:rPr>
              <w:drawing>
                <wp:inline distT="0" distB="0" distL="0" distR="0" wp14:anchorId="120E6B91" wp14:editId="31690CC3">
                  <wp:extent cx="1303229" cy="1676400"/>
                  <wp:effectExtent l="0" t="0" r="0" b="0"/>
                  <wp:docPr id="108544" name="Image 108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1303633" cy="1676920"/>
                          </a:xfrm>
                          <a:prstGeom prst="rect">
                            <a:avLst/>
                          </a:prstGeom>
                          <a:noFill/>
                          <a:ln>
                            <a:noFill/>
                          </a:ln>
                        </pic:spPr>
                      </pic:pic>
                    </a:graphicData>
                  </a:graphic>
                </wp:inline>
              </w:drawing>
            </w:r>
          </w:p>
          <w:p w14:paraId="57363CA0" w14:textId="2F327137" w:rsidR="009C5C16" w:rsidRDefault="009C5C16" w:rsidP="009C5C16">
            <w:pPr>
              <w:jc w:val="center"/>
              <w:rPr>
                <w:rFonts w:ascii="Calibri" w:hAnsi="Calibri" w:cs="Calibri"/>
              </w:rPr>
            </w:pPr>
            <w:r w:rsidRPr="009C5C16">
              <w:rPr>
                <w:rFonts w:ascii="Calibri" w:hAnsi="Calibri" w:cs="Calibri"/>
                <w:color w:val="000000" w:themeColor="text1"/>
              </w:rPr>
              <w:t>Vigne grimpante sarmenteuse, sur façade</w:t>
            </w:r>
            <w:r>
              <w:rPr>
                <w:rFonts w:ascii="Calibri" w:hAnsi="Calibri" w:cs="Calibri"/>
              </w:rPr>
              <w:t>.</w:t>
            </w:r>
          </w:p>
        </w:tc>
      </w:tr>
    </w:tbl>
    <w:p w14:paraId="552EFBCF" w14:textId="094B6A73" w:rsidR="00C75CA3" w:rsidRDefault="00C75CA3" w:rsidP="00135B17">
      <w:pPr>
        <w:spacing w:after="0" w:line="240" w:lineRule="auto"/>
      </w:pPr>
    </w:p>
    <w:p w14:paraId="11A8C9D2" w14:textId="241225DA" w:rsidR="00C30ED2" w:rsidRDefault="00DC317C" w:rsidP="00DC317C">
      <w:pPr>
        <w:spacing w:after="0" w:line="240" w:lineRule="auto"/>
        <w:jc w:val="both"/>
      </w:pPr>
      <w:r>
        <w:t xml:space="preserve">Tableau : </w:t>
      </w:r>
      <w:r w:rsidR="00C30ED2">
        <w:t>Cépages résistants à la sécheresse</w:t>
      </w:r>
      <w:r>
        <w:t xml:space="preserve"> (au stress hydrique)</w:t>
      </w:r>
      <w:r w:rsidR="00C30ED2">
        <w:t>, pour des terres non irrigables, certains pouvant supporter des températures de 45°C (</w:t>
      </w:r>
      <w:r>
        <w:t xml:space="preserve">auteur </w:t>
      </w:r>
      <w:r w:rsidR="00C30ED2">
        <w:t>B. Lisan) :</w:t>
      </w:r>
    </w:p>
    <w:p w14:paraId="13533A0F" w14:textId="77777777" w:rsidR="00C30ED2" w:rsidRDefault="00C30ED2" w:rsidP="00C30ED2">
      <w:pPr>
        <w:spacing w:after="0" w:line="240" w:lineRule="auto"/>
      </w:pPr>
    </w:p>
    <w:tbl>
      <w:tblPr>
        <w:tblStyle w:val="Grilledutableau"/>
        <w:tblW w:w="0" w:type="auto"/>
        <w:tblLook w:val="04A0" w:firstRow="1" w:lastRow="0" w:firstColumn="1" w:lastColumn="0" w:noHBand="0" w:noVBand="1"/>
      </w:tblPr>
      <w:tblGrid>
        <w:gridCol w:w="2036"/>
        <w:gridCol w:w="1681"/>
        <w:gridCol w:w="1075"/>
        <w:gridCol w:w="955"/>
        <w:gridCol w:w="965"/>
        <w:gridCol w:w="935"/>
        <w:gridCol w:w="734"/>
        <w:gridCol w:w="921"/>
        <w:gridCol w:w="1000"/>
      </w:tblGrid>
      <w:tr w:rsidR="00C30ED2" w:rsidRPr="004E68A8" w14:paraId="1FFBF848" w14:textId="77777777" w:rsidTr="00DE5D1B">
        <w:trPr>
          <w:tblHeader/>
        </w:trPr>
        <w:tc>
          <w:tcPr>
            <w:tcW w:w="2036" w:type="dxa"/>
          </w:tcPr>
          <w:p w14:paraId="7AE710D6" w14:textId="77777777" w:rsidR="00C30ED2" w:rsidRPr="002B7BBA" w:rsidRDefault="00C30ED2" w:rsidP="00DE5D1B">
            <w:pPr>
              <w:rPr>
                <w:b/>
                <w:bCs/>
                <w:color w:val="000000" w:themeColor="text1"/>
              </w:rPr>
            </w:pPr>
            <w:r w:rsidRPr="002B7BBA">
              <w:rPr>
                <w:b/>
                <w:bCs/>
                <w:color w:val="000000" w:themeColor="text1"/>
              </w:rPr>
              <w:t>Cépages</w:t>
            </w:r>
          </w:p>
        </w:tc>
        <w:tc>
          <w:tcPr>
            <w:tcW w:w="1681" w:type="dxa"/>
          </w:tcPr>
          <w:p w14:paraId="0D7DD536" w14:textId="77777777" w:rsidR="00C30ED2" w:rsidRPr="004E68A8" w:rsidRDefault="00C30ED2" w:rsidP="00DE5D1B">
            <w:pPr>
              <w:rPr>
                <w:b/>
                <w:bCs/>
              </w:rPr>
            </w:pPr>
            <w:r w:rsidRPr="004E68A8">
              <w:rPr>
                <w:b/>
                <w:bCs/>
              </w:rPr>
              <w:t>Origine</w:t>
            </w:r>
          </w:p>
        </w:tc>
        <w:tc>
          <w:tcPr>
            <w:tcW w:w="1075" w:type="dxa"/>
          </w:tcPr>
          <w:p w14:paraId="2F6928A6" w14:textId="77777777" w:rsidR="00C30ED2" w:rsidRPr="004E68A8" w:rsidRDefault="00C30ED2" w:rsidP="00DE5D1B">
            <w:pPr>
              <w:rPr>
                <w:b/>
                <w:bCs/>
              </w:rPr>
            </w:pPr>
            <w:r w:rsidRPr="004E68A8">
              <w:rPr>
                <w:b/>
                <w:bCs/>
              </w:rPr>
              <w:t>Couleur</w:t>
            </w:r>
          </w:p>
        </w:tc>
        <w:tc>
          <w:tcPr>
            <w:tcW w:w="955" w:type="dxa"/>
          </w:tcPr>
          <w:p w14:paraId="70492C56" w14:textId="77777777" w:rsidR="00C30ED2" w:rsidRPr="004E68A8" w:rsidRDefault="00C30ED2" w:rsidP="00DE5D1B">
            <w:pPr>
              <w:rPr>
                <w:b/>
                <w:bCs/>
              </w:rPr>
            </w:pPr>
            <w:r w:rsidRPr="004E68A8">
              <w:rPr>
                <w:b/>
                <w:bCs/>
              </w:rPr>
              <w:t>Mildiou</w:t>
            </w:r>
          </w:p>
        </w:tc>
        <w:tc>
          <w:tcPr>
            <w:tcW w:w="965" w:type="dxa"/>
          </w:tcPr>
          <w:p w14:paraId="4236DCBF" w14:textId="77777777" w:rsidR="00C30ED2" w:rsidRPr="004E68A8" w:rsidRDefault="00C30ED2" w:rsidP="00DE5D1B">
            <w:pPr>
              <w:rPr>
                <w:b/>
                <w:bCs/>
              </w:rPr>
            </w:pPr>
            <w:r>
              <w:rPr>
                <w:b/>
                <w:bCs/>
              </w:rPr>
              <w:t>Oïdium</w:t>
            </w:r>
          </w:p>
        </w:tc>
        <w:tc>
          <w:tcPr>
            <w:tcW w:w="935" w:type="dxa"/>
          </w:tcPr>
          <w:p w14:paraId="4DBF6ED1" w14:textId="77777777" w:rsidR="00C30ED2" w:rsidRPr="004E68A8" w:rsidRDefault="00C30ED2" w:rsidP="00DE5D1B">
            <w:pPr>
              <w:rPr>
                <w:b/>
                <w:bCs/>
              </w:rPr>
            </w:pPr>
            <w:r w:rsidRPr="00371D59">
              <w:rPr>
                <w:b/>
                <w:bCs/>
              </w:rPr>
              <w:t>Botrytis</w:t>
            </w:r>
          </w:p>
        </w:tc>
        <w:tc>
          <w:tcPr>
            <w:tcW w:w="734" w:type="dxa"/>
          </w:tcPr>
          <w:p w14:paraId="440B2330" w14:textId="77777777" w:rsidR="00C30ED2" w:rsidRPr="004E68A8" w:rsidRDefault="00C30ED2" w:rsidP="00DE5D1B">
            <w:pPr>
              <w:rPr>
                <w:b/>
                <w:bCs/>
              </w:rPr>
            </w:pPr>
            <w:r>
              <w:rPr>
                <w:b/>
                <w:bCs/>
              </w:rPr>
              <w:t>Gel</w:t>
            </w:r>
          </w:p>
        </w:tc>
        <w:tc>
          <w:tcPr>
            <w:tcW w:w="921" w:type="dxa"/>
          </w:tcPr>
          <w:p w14:paraId="7A51CB6A" w14:textId="77777777" w:rsidR="00C30ED2" w:rsidRPr="004E68A8" w:rsidRDefault="00C30ED2" w:rsidP="00DE5D1B">
            <w:pPr>
              <w:rPr>
                <w:b/>
                <w:bCs/>
              </w:rPr>
            </w:pPr>
            <w:r>
              <w:rPr>
                <w:b/>
                <w:bCs/>
              </w:rPr>
              <w:t>Chaleur</w:t>
            </w:r>
          </w:p>
        </w:tc>
        <w:tc>
          <w:tcPr>
            <w:tcW w:w="1000" w:type="dxa"/>
          </w:tcPr>
          <w:p w14:paraId="2EF59FB0" w14:textId="77777777" w:rsidR="00C30ED2" w:rsidRPr="004E68A8" w:rsidRDefault="00C30ED2" w:rsidP="00DE5D1B">
            <w:pPr>
              <w:rPr>
                <w:b/>
                <w:bCs/>
              </w:rPr>
            </w:pPr>
            <w:r>
              <w:rPr>
                <w:b/>
                <w:bCs/>
              </w:rPr>
              <w:t>Sèchere.</w:t>
            </w:r>
          </w:p>
        </w:tc>
      </w:tr>
      <w:tr w:rsidR="00C30ED2" w:rsidRPr="0006574A" w14:paraId="530E013D" w14:textId="77777777" w:rsidTr="00DE5D1B">
        <w:tc>
          <w:tcPr>
            <w:tcW w:w="2036" w:type="dxa"/>
          </w:tcPr>
          <w:p w14:paraId="2070B7BA" w14:textId="77777777" w:rsidR="00C30ED2" w:rsidRPr="002B7BBA" w:rsidRDefault="00C30ED2" w:rsidP="00DE5D1B">
            <w:pPr>
              <w:rPr>
                <w:color w:val="000000" w:themeColor="text1"/>
              </w:rPr>
            </w:pPr>
            <w:r w:rsidRPr="002B7BBA">
              <w:rPr>
                <w:color w:val="000000" w:themeColor="text1"/>
              </w:rPr>
              <w:t>Assyrtiko</w:t>
            </w:r>
          </w:p>
        </w:tc>
        <w:tc>
          <w:tcPr>
            <w:tcW w:w="1681" w:type="dxa"/>
          </w:tcPr>
          <w:p w14:paraId="1F451EAF" w14:textId="77777777" w:rsidR="00C30ED2" w:rsidRPr="0006574A" w:rsidRDefault="00C30ED2" w:rsidP="00DE5D1B">
            <w:r>
              <w:t>Grèce, Santorin</w:t>
            </w:r>
          </w:p>
        </w:tc>
        <w:tc>
          <w:tcPr>
            <w:tcW w:w="1075" w:type="dxa"/>
          </w:tcPr>
          <w:p w14:paraId="39B6D752" w14:textId="77777777" w:rsidR="00C30ED2" w:rsidRPr="0006574A" w:rsidRDefault="00C30ED2" w:rsidP="00DE5D1B">
            <w:r>
              <w:t>Blanc</w:t>
            </w:r>
          </w:p>
        </w:tc>
        <w:tc>
          <w:tcPr>
            <w:tcW w:w="955" w:type="dxa"/>
          </w:tcPr>
          <w:p w14:paraId="366F4406" w14:textId="77777777" w:rsidR="00C30ED2" w:rsidRPr="0006574A" w:rsidRDefault="00C30ED2" w:rsidP="00DE5D1B"/>
        </w:tc>
        <w:tc>
          <w:tcPr>
            <w:tcW w:w="965" w:type="dxa"/>
          </w:tcPr>
          <w:p w14:paraId="65916ED9" w14:textId="77777777" w:rsidR="00C30ED2" w:rsidRPr="0006574A" w:rsidRDefault="00C30ED2" w:rsidP="00DE5D1B"/>
        </w:tc>
        <w:tc>
          <w:tcPr>
            <w:tcW w:w="935" w:type="dxa"/>
          </w:tcPr>
          <w:p w14:paraId="17565E6A" w14:textId="77777777" w:rsidR="00C30ED2" w:rsidRPr="0006574A" w:rsidRDefault="00C30ED2" w:rsidP="00DE5D1B"/>
        </w:tc>
        <w:tc>
          <w:tcPr>
            <w:tcW w:w="734" w:type="dxa"/>
          </w:tcPr>
          <w:p w14:paraId="6770CB57" w14:textId="77777777" w:rsidR="00C30ED2" w:rsidRPr="0006574A" w:rsidRDefault="00C30ED2" w:rsidP="00DE5D1B"/>
        </w:tc>
        <w:tc>
          <w:tcPr>
            <w:tcW w:w="921" w:type="dxa"/>
          </w:tcPr>
          <w:p w14:paraId="6D35C9B4" w14:textId="77777777" w:rsidR="00C30ED2" w:rsidRPr="0006574A" w:rsidRDefault="00C30ED2" w:rsidP="00DE5D1B">
            <w:r>
              <w:sym w:font="Wingdings" w:char="F043"/>
            </w:r>
          </w:p>
        </w:tc>
        <w:tc>
          <w:tcPr>
            <w:tcW w:w="1000" w:type="dxa"/>
          </w:tcPr>
          <w:p w14:paraId="4387FD52" w14:textId="77777777" w:rsidR="00C30ED2" w:rsidRPr="0006574A" w:rsidRDefault="00C30ED2" w:rsidP="00DE5D1B">
            <w:r>
              <w:sym w:font="Wingdings" w:char="F043"/>
            </w:r>
            <w:r>
              <w:sym w:font="Wingdings" w:char="F043"/>
            </w:r>
          </w:p>
        </w:tc>
      </w:tr>
      <w:tr w:rsidR="00C30ED2" w:rsidRPr="0006574A" w14:paraId="5467191B" w14:textId="77777777" w:rsidTr="00DE5D1B">
        <w:tc>
          <w:tcPr>
            <w:tcW w:w="2036" w:type="dxa"/>
          </w:tcPr>
          <w:p w14:paraId="5B5261D1" w14:textId="77777777" w:rsidR="00C30ED2" w:rsidRPr="002B7BBA" w:rsidRDefault="00C30ED2" w:rsidP="00DE5D1B">
            <w:pPr>
              <w:rPr>
                <w:color w:val="000000" w:themeColor="text1"/>
              </w:rPr>
            </w:pPr>
            <w:r w:rsidRPr="002B7BBA">
              <w:rPr>
                <w:color w:val="000000" w:themeColor="text1"/>
              </w:rPr>
              <w:t>Agiorgitiko</w:t>
            </w:r>
          </w:p>
        </w:tc>
        <w:tc>
          <w:tcPr>
            <w:tcW w:w="1681" w:type="dxa"/>
          </w:tcPr>
          <w:p w14:paraId="027F74E8" w14:textId="77777777" w:rsidR="00C30ED2" w:rsidRDefault="00C30ED2" w:rsidP="00DE5D1B">
            <w:r>
              <w:t>Grèce</w:t>
            </w:r>
          </w:p>
        </w:tc>
        <w:tc>
          <w:tcPr>
            <w:tcW w:w="1075" w:type="dxa"/>
          </w:tcPr>
          <w:p w14:paraId="6EB4A3EC" w14:textId="77777777" w:rsidR="00C30ED2" w:rsidRDefault="00C30ED2" w:rsidP="00DE5D1B"/>
        </w:tc>
        <w:tc>
          <w:tcPr>
            <w:tcW w:w="955" w:type="dxa"/>
          </w:tcPr>
          <w:p w14:paraId="2301850E" w14:textId="77777777" w:rsidR="00C30ED2" w:rsidRPr="0006574A" w:rsidRDefault="00C30ED2" w:rsidP="00DE5D1B"/>
        </w:tc>
        <w:tc>
          <w:tcPr>
            <w:tcW w:w="965" w:type="dxa"/>
          </w:tcPr>
          <w:p w14:paraId="0C5A3F48" w14:textId="77777777" w:rsidR="00C30ED2" w:rsidRPr="0006574A" w:rsidRDefault="00C30ED2" w:rsidP="00DE5D1B"/>
        </w:tc>
        <w:tc>
          <w:tcPr>
            <w:tcW w:w="935" w:type="dxa"/>
          </w:tcPr>
          <w:p w14:paraId="7D3A74C9" w14:textId="77777777" w:rsidR="00C30ED2" w:rsidRPr="0006574A" w:rsidRDefault="00C30ED2" w:rsidP="00DE5D1B"/>
        </w:tc>
        <w:tc>
          <w:tcPr>
            <w:tcW w:w="734" w:type="dxa"/>
          </w:tcPr>
          <w:p w14:paraId="469F35BC" w14:textId="77777777" w:rsidR="00C30ED2" w:rsidRPr="0006574A" w:rsidRDefault="00C30ED2" w:rsidP="00DE5D1B"/>
        </w:tc>
        <w:tc>
          <w:tcPr>
            <w:tcW w:w="921" w:type="dxa"/>
          </w:tcPr>
          <w:p w14:paraId="64DD4ABB" w14:textId="77777777" w:rsidR="00C30ED2" w:rsidRPr="0006574A" w:rsidRDefault="00C30ED2" w:rsidP="00DE5D1B"/>
        </w:tc>
        <w:tc>
          <w:tcPr>
            <w:tcW w:w="1000" w:type="dxa"/>
          </w:tcPr>
          <w:p w14:paraId="1888D52F" w14:textId="77777777" w:rsidR="00C30ED2" w:rsidRDefault="00C30ED2" w:rsidP="00DE5D1B"/>
        </w:tc>
      </w:tr>
      <w:tr w:rsidR="00C30ED2" w:rsidRPr="0006574A" w14:paraId="2F83AC9A" w14:textId="77777777" w:rsidTr="00DE5D1B">
        <w:tc>
          <w:tcPr>
            <w:tcW w:w="2036" w:type="dxa"/>
          </w:tcPr>
          <w:p w14:paraId="123B0105" w14:textId="77777777" w:rsidR="00C30ED2" w:rsidRPr="002B7BBA" w:rsidRDefault="00C30ED2" w:rsidP="00DE5D1B">
            <w:pPr>
              <w:rPr>
                <w:color w:val="000000" w:themeColor="text1"/>
              </w:rPr>
            </w:pPr>
            <w:r w:rsidRPr="002B7BBA">
              <w:rPr>
                <w:color w:val="000000" w:themeColor="text1"/>
              </w:rPr>
              <w:t>Torrontes riojano</w:t>
            </w:r>
          </w:p>
        </w:tc>
        <w:tc>
          <w:tcPr>
            <w:tcW w:w="1681" w:type="dxa"/>
          </w:tcPr>
          <w:p w14:paraId="7CA2D8FB" w14:textId="77777777" w:rsidR="00C30ED2" w:rsidRDefault="00C30ED2" w:rsidP="00DE5D1B">
            <w:r>
              <w:t>Argentine</w:t>
            </w:r>
          </w:p>
        </w:tc>
        <w:tc>
          <w:tcPr>
            <w:tcW w:w="1075" w:type="dxa"/>
          </w:tcPr>
          <w:p w14:paraId="0E6B0FEB" w14:textId="77777777" w:rsidR="00C30ED2" w:rsidRDefault="00C30ED2" w:rsidP="00DE5D1B">
            <w:r>
              <w:t>Blanc</w:t>
            </w:r>
          </w:p>
        </w:tc>
        <w:tc>
          <w:tcPr>
            <w:tcW w:w="955" w:type="dxa"/>
          </w:tcPr>
          <w:p w14:paraId="3C4E723A" w14:textId="77777777" w:rsidR="00C30ED2" w:rsidRPr="0006574A" w:rsidRDefault="00C30ED2" w:rsidP="00DE5D1B"/>
        </w:tc>
        <w:tc>
          <w:tcPr>
            <w:tcW w:w="965" w:type="dxa"/>
          </w:tcPr>
          <w:p w14:paraId="2880FC54" w14:textId="77777777" w:rsidR="00C30ED2" w:rsidRPr="0006574A" w:rsidRDefault="00C30ED2" w:rsidP="00DE5D1B"/>
        </w:tc>
        <w:tc>
          <w:tcPr>
            <w:tcW w:w="935" w:type="dxa"/>
          </w:tcPr>
          <w:p w14:paraId="775CF383" w14:textId="77777777" w:rsidR="00C30ED2" w:rsidRPr="0006574A" w:rsidRDefault="00C30ED2" w:rsidP="00DE5D1B"/>
        </w:tc>
        <w:tc>
          <w:tcPr>
            <w:tcW w:w="734" w:type="dxa"/>
          </w:tcPr>
          <w:p w14:paraId="43F6CFFE" w14:textId="77777777" w:rsidR="00C30ED2" w:rsidRPr="0006574A" w:rsidRDefault="00C30ED2" w:rsidP="00DE5D1B"/>
        </w:tc>
        <w:tc>
          <w:tcPr>
            <w:tcW w:w="921" w:type="dxa"/>
          </w:tcPr>
          <w:p w14:paraId="6E961039" w14:textId="77777777" w:rsidR="00C30ED2" w:rsidRPr="0006574A" w:rsidRDefault="00C30ED2" w:rsidP="00DE5D1B">
            <w:r>
              <w:sym w:font="Wingdings" w:char="F043"/>
            </w:r>
          </w:p>
        </w:tc>
        <w:tc>
          <w:tcPr>
            <w:tcW w:w="1000" w:type="dxa"/>
          </w:tcPr>
          <w:p w14:paraId="0DF94974" w14:textId="77777777" w:rsidR="00C30ED2" w:rsidRPr="0006574A" w:rsidRDefault="00C30ED2" w:rsidP="00DE5D1B">
            <w:r>
              <w:sym w:font="Wingdings" w:char="F043"/>
            </w:r>
            <w:r>
              <w:sym w:font="Wingdings" w:char="F043"/>
            </w:r>
          </w:p>
        </w:tc>
      </w:tr>
      <w:tr w:rsidR="00C30ED2" w:rsidRPr="0006574A" w14:paraId="4555211D" w14:textId="77777777" w:rsidTr="00DE5D1B">
        <w:tc>
          <w:tcPr>
            <w:tcW w:w="2036" w:type="dxa"/>
          </w:tcPr>
          <w:p w14:paraId="69815208" w14:textId="77777777" w:rsidR="00C30ED2" w:rsidRPr="002B7BBA" w:rsidRDefault="00C30ED2" w:rsidP="00DE5D1B">
            <w:pPr>
              <w:rPr>
                <w:color w:val="000000" w:themeColor="text1"/>
              </w:rPr>
            </w:pPr>
            <w:r w:rsidRPr="002B7BBA">
              <w:rPr>
                <w:color w:val="000000" w:themeColor="text1"/>
              </w:rPr>
              <w:t>Assyrtiko R2</w:t>
            </w:r>
          </w:p>
        </w:tc>
        <w:tc>
          <w:tcPr>
            <w:tcW w:w="1681" w:type="dxa"/>
          </w:tcPr>
          <w:p w14:paraId="2134DEB1" w14:textId="77777777" w:rsidR="00C30ED2" w:rsidRPr="0006574A" w:rsidRDefault="00C30ED2" w:rsidP="00DE5D1B">
            <w:r>
              <w:t>Grèce</w:t>
            </w:r>
          </w:p>
        </w:tc>
        <w:tc>
          <w:tcPr>
            <w:tcW w:w="1075" w:type="dxa"/>
          </w:tcPr>
          <w:p w14:paraId="044FE15B" w14:textId="77777777" w:rsidR="00C30ED2" w:rsidRPr="0006574A" w:rsidRDefault="00C30ED2" w:rsidP="00DE5D1B">
            <w:r>
              <w:t>Blanc</w:t>
            </w:r>
          </w:p>
        </w:tc>
        <w:tc>
          <w:tcPr>
            <w:tcW w:w="955" w:type="dxa"/>
          </w:tcPr>
          <w:p w14:paraId="07850441" w14:textId="77777777" w:rsidR="00C30ED2" w:rsidRPr="0006574A" w:rsidRDefault="00C30ED2" w:rsidP="00DE5D1B"/>
        </w:tc>
        <w:tc>
          <w:tcPr>
            <w:tcW w:w="965" w:type="dxa"/>
          </w:tcPr>
          <w:p w14:paraId="1500DAD4" w14:textId="77777777" w:rsidR="00C30ED2" w:rsidRPr="0006574A" w:rsidRDefault="00C30ED2" w:rsidP="00DE5D1B"/>
        </w:tc>
        <w:tc>
          <w:tcPr>
            <w:tcW w:w="935" w:type="dxa"/>
          </w:tcPr>
          <w:p w14:paraId="5CD7A6BE" w14:textId="77777777" w:rsidR="00C30ED2" w:rsidRPr="0006574A" w:rsidRDefault="00C30ED2" w:rsidP="00DE5D1B"/>
        </w:tc>
        <w:tc>
          <w:tcPr>
            <w:tcW w:w="734" w:type="dxa"/>
          </w:tcPr>
          <w:p w14:paraId="5824BBE9" w14:textId="77777777" w:rsidR="00C30ED2" w:rsidRPr="0006574A" w:rsidRDefault="00C30ED2" w:rsidP="00DE5D1B"/>
        </w:tc>
        <w:tc>
          <w:tcPr>
            <w:tcW w:w="921" w:type="dxa"/>
          </w:tcPr>
          <w:p w14:paraId="1449C146" w14:textId="77777777" w:rsidR="00C30ED2" w:rsidRPr="0006574A" w:rsidRDefault="00C30ED2" w:rsidP="00DE5D1B"/>
        </w:tc>
        <w:tc>
          <w:tcPr>
            <w:tcW w:w="1000" w:type="dxa"/>
          </w:tcPr>
          <w:p w14:paraId="6C8855EC" w14:textId="77777777" w:rsidR="00C30ED2" w:rsidRPr="0006574A" w:rsidRDefault="00C30ED2" w:rsidP="00DE5D1B"/>
        </w:tc>
      </w:tr>
      <w:tr w:rsidR="00C30ED2" w:rsidRPr="0006574A" w14:paraId="57DF574E" w14:textId="77777777" w:rsidTr="00DE5D1B">
        <w:tc>
          <w:tcPr>
            <w:tcW w:w="2036" w:type="dxa"/>
          </w:tcPr>
          <w:p w14:paraId="6DE44267" w14:textId="77777777" w:rsidR="00C30ED2" w:rsidRPr="002B7BBA" w:rsidRDefault="00C30ED2" w:rsidP="00DE5D1B">
            <w:pPr>
              <w:rPr>
                <w:color w:val="000000" w:themeColor="text1"/>
              </w:rPr>
            </w:pPr>
            <w:r w:rsidRPr="002B7BBA">
              <w:rPr>
                <w:color w:val="000000" w:themeColor="text1"/>
              </w:rPr>
              <w:t>Torrontes riojano R2</w:t>
            </w:r>
          </w:p>
        </w:tc>
        <w:tc>
          <w:tcPr>
            <w:tcW w:w="1681" w:type="dxa"/>
          </w:tcPr>
          <w:p w14:paraId="68D466B2" w14:textId="77777777" w:rsidR="00C30ED2" w:rsidRDefault="00C30ED2" w:rsidP="00DE5D1B">
            <w:r>
              <w:t>Argentine</w:t>
            </w:r>
          </w:p>
        </w:tc>
        <w:tc>
          <w:tcPr>
            <w:tcW w:w="1075" w:type="dxa"/>
          </w:tcPr>
          <w:p w14:paraId="3774AF7A" w14:textId="77777777" w:rsidR="00C30ED2" w:rsidRDefault="00C30ED2" w:rsidP="00DE5D1B">
            <w:r>
              <w:t>Blanc</w:t>
            </w:r>
          </w:p>
        </w:tc>
        <w:tc>
          <w:tcPr>
            <w:tcW w:w="955" w:type="dxa"/>
          </w:tcPr>
          <w:p w14:paraId="127CBBFB" w14:textId="77777777" w:rsidR="00C30ED2" w:rsidRPr="0006574A" w:rsidRDefault="00C30ED2" w:rsidP="00DE5D1B"/>
        </w:tc>
        <w:tc>
          <w:tcPr>
            <w:tcW w:w="965" w:type="dxa"/>
          </w:tcPr>
          <w:p w14:paraId="56444BCC" w14:textId="77777777" w:rsidR="00C30ED2" w:rsidRPr="0006574A" w:rsidRDefault="00C30ED2" w:rsidP="00DE5D1B"/>
        </w:tc>
        <w:tc>
          <w:tcPr>
            <w:tcW w:w="935" w:type="dxa"/>
          </w:tcPr>
          <w:p w14:paraId="151CB31E" w14:textId="77777777" w:rsidR="00C30ED2" w:rsidRPr="0006574A" w:rsidRDefault="00C30ED2" w:rsidP="00DE5D1B"/>
        </w:tc>
        <w:tc>
          <w:tcPr>
            <w:tcW w:w="734" w:type="dxa"/>
          </w:tcPr>
          <w:p w14:paraId="09104FDB" w14:textId="77777777" w:rsidR="00C30ED2" w:rsidRPr="0006574A" w:rsidRDefault="00C30ED2" w:rsidP="00DE5D1B"/>
        </w:tc>
        <w:tc>
          <w:tcPr>
            <w:tcW w:w="921" w:type="dxa"/>
          </w:tcPr>
          <w:p w14:paraId="51D442C0" w14:textId="77777777" w:rsidR="00C30ED2" w:rsidRPr="0006574A" w:rsidRDefault="00C30ED2" w:rsidP="00DE5D1B">
            <w:r>
              <w:sym w:font="Wingdings" w:char="F043"/>
            </w:r>
          </w:p>
        </w:tc>
        <w:tc>
          <w:tcPr>
            <w:tcW w:w="1000" w:type="dxa"/>
          </w:tcPr>
          <w:p w14:paraId="57119072" w14:textId="77777777" w:rsidR="00C30ED2" w:rsidRPr="0006574A" w:rsidRDefault="00C30ED2" w:rsidP="00DE5D1B">
            <w:r>
              <w:sym w:font="Wingdings" w:char="F043"/>
            </w:r>
            <w:r>
              <w:sym w:font="Wingdings" w:char="F043"/>
            </w:r>
          </w:p>
        </w:tc>
      </w:tr>
      <w:tr w:rsidR="00C30ED2" w:rsidRPr="0006574A" w14:paraId="03D22AF4" w14:textId="77777777" w:rsidTr="00DE5D1B">
        <w:tc>
          <w:tcPr>
            <w:tcW w:w="2036" w:type="dxa"/>
          </w:tcPr>
          <w:p w14:paraId="2E2528C6" w14:textId="77777777" w:rsidR="00C30ED2" w:rsidRPr="002B7BBA" w:rsidRDefault="00C30ED2" w:rsidP="00DE5D1B">
            <w:pPr>
              <w:rPr>
                <w:color w:val="000000" w:themeColor="text1"/>
              </w:rPr>
            </w:pPr>
            <w:r w:rsidRPr="002B7BBA">
              <w:rPr>
                <w:color w:val="000000" w:themeColor="text1"/>
              </w:rPr>
              <w:t>Calabrèse</w:t>
            </w:r>
          </w:p>
        </w:tc>
        <w:tc>
          <w:tcPr>
            <w:tcW w:w="1681" w:type="dxa"/>
          </w:tcPr>
          <w:p w14:paraId="6299FACF" w14:textId="77777777" w:rsidR="00C30ED2" w:rsidRDefault="00C30ED2" w:rsidP="00DE5D1B">
            <w:r>
              <w:t>Italie</w:t>
            </w:r>
          </w:p>
        </w:tc>
        <w:tc>
          <w:tcPr>
            <w:tcW w:w="1075" w:type="dxa"/>
          </w:tcPr>
          <w:p w14:paraId="4837D0F5" w14:textId="77777777" w:rsidR="00C30ED2" w:rsidRDefault="00C30ED2" w:rsidP="00DE5D1B">
            <w:r>
              <w:t>Rouge</w:t>
            </w:r>
          </w:p>
        </w:tc>
        <w:tc>
          <w:tcPr>
            <w:tcW w:w="955" w:type="dxa"/>
          </w:tcPr>
          <w:p w14:paraId="20582737" w14:textId="77777777" w:rsidR="00C30ED2" w:rsidRPr="0006574A" w:rsidRDefault="00C30ED2" w:rsidP="00DE5D1B"/>
        </w:tc>
        <w:tc>
          <w:tcPr>
            <w:tcW w:w="965" w:type="dxa"/>
          </w:tcPr>
          <w:p w14:paraId="70E52525" w14:textId="77777777" w:rsidR="00C30ED2" w:rsidRPr="0006574A" w:rsidRDefault="00C30ED2" w:rsidP="00DE5D1B"/>
        </w:tc>
        <w:tc>
          <w:tcPr>
            <w:tcW w:w="935" w:type="dxa"/>
          </w:tcPr>
          <w:p w14:paraId="21CEF72D" w14:textId="77777777" w:rsidR="00C30ED2" w:rsidRPr="0006574A" w:rsidRDefault="00C30ED2" w:rsidP="00DE5D1B"/>
        </w:tc>
        <w:tc>
          <w:tcPr>
            <w:tcW w:w="734" w:type="dxa"/>
          </w:tcPr>
          <w:p w14:paraId="1BED4135" w14:textId="77777777" w:rsidR="00C30ED2" w:rsidRPr="0006574A" w:rsidRDefault="00C30ED2" w:rsidP="00DE5D1B"/>
        </w:tc>
        <w:tc>
          <w:tcPr>
            <w:tcW w:w="921" w:type="dxa"/>
          </w:tcPr>
          <w:p w14:paraId="77EB4925" w14:textId="77777777" w:rsidR="00C30ED2" w:rsidRPr="0006574A" w:rsidRDefault="00C30ED2" w:rsidP="00DE5D1B"/>
        </w:tc>
        <w:tc>
          <w:tcPr>
            <w:tcW w:w="1000" w:type="dxa"/>
          </w:tcPr>
          <w:p w14:paraId="186207CE" w14:textId="77777777" w:rsidR="00C30ED2" w:rsidRPr="0006574A" w:rsidRDefault="00C30ED2" w:rsidP="00DE5D1B">
            <w:r>
              <w:sym w:font="Wingdings" w:char="F043"/>
            </w:r>
            <w:r>
              <w:sym w:font="Wingdings" w:char="F043"/>
            </w:r>
          </w:p>
        </w:tc>
      </w:tr>
      <w:tr w:rsidR="00C30ED2" w:rsidRPr="0006574A" w14:paraId="55A587C4" w14:textId="77777777" w:rsidTr="00DE5D1B">
        <w:tc>
          <w:tcPr>
            <w:tcW w:w="2036" w:type="dxa"/>
          </w:tcPr>
          <w:p w14:paraId="30C68033" w14:textId="77777777" w:rsidR="00C30ED2" w:rsidRPr="002B7BBA" w:rsidRDefault="00C30ED2" w:rsidP="00DE5D1B">
            <w:pPr>
              <w:rPr>
                <w:color w:val="000000" w:themeColor="text1"/>
              </w:rPr>
            </w:pPr>
            <w:r w:rsidRPr="002B7BBA">
              <w:rPr>
                <w:color w:val="000000" w:themeColor="text1"/>
              </w:rPr>
              <w:t>Montepulciano</w:t>
            </w:r>
          </w:p>
        </w:tc>
        <w:tc>
          <w:tcPr>
            <w:tcW w:w="1681" w:type="dxa"/>
          </w:tcPr>
          <w:p w14:paraId="4A30E8C9" w14:textId="77777777" w:rsidR="00C30ED2" w:rsidRDefault="00C30ED2" w:rsidP="00DE5D1B">
            <w:r>
              <w:t>Italie</w:t>
            </w:r>
          </w:p>
        </w:tc>
        <w:tc>
          <w:tcPr>
            <w:tcW w:w="1075" w:type="dxa"/>
          </w:tcPr>
          <w:p w14:paraId="515F5311" w14:textId="77777777" w:rsidR="00C30ED2" w:rsidRDefault="00C30ED2" w:rsidP="00DE5D1B"/>
        </w:tc>
        <w:tc>
          <w:tcPr>
            <w:tcW w:w="955" w:type="dxa"/>
          </w:tcPr>
          <w:p w14:paraId="51028A2B" w14:textId="77777777" w:rsidR="00C30ED2" w:rsidRPr="0006574A" w:rsidRDefault="00C30ED2" w:rsidP="00DE5D1B"/>
        </w:tc>
        <w:tc>
          <w:tcPr>
            <w:tcW w:w="965" w:type="dxa"/>
          </w:tcPr>
          <w:p w14:paraId="697B690A" w14:textId="77777777" w:rsidR="00C30ED2" w:rsidRPr="0006574A" w:rsidRDefault="00C30ED2" w:rsidP="00DE5D1B"/>
        </w:tc>
        <w:tc>
          <w:tcPr>
            <w:tcW w:w="935" w:type="dxa"/>
          </w:tcPr>
          <w:p w14:paraId="3E79812B" w14:textId="77777777" w:rsidR="00C30ED2" w:rsidRPr="0006574A" w:rsidRDefault="00C30ED2" w:rsidP="00DE5D1B"/>
        </w:tc>
        <w:tc>
          <w:tcPr>
            <w:tcW w:w="734" w:type="dxa"/>
          </w:tcPr>
          <w:p w14:paraId="565D34F9" w14:textId="77777777" w:rsidR="00C30ED2" w:rsidRPr="0006574A" w:rsidRDefault="00C30ED2" w:rsidP="00DE5D1B"/>
        </w:tc>
        <w:tc>
          <w:tcPr>
            <w:tcW w:w="921" w:type="dxa"/>
          </w:tcPr>
          <w:p w14:paraId="50C612F1" w14:textId="77777777" w:rsidR="00C30ED2" w:rsidRPr="0006574A" w:rsidRDefault="00C30ED2" w:rsidP="00DE5D1B"/>
        </w:tc>
        <w:tc>
          <w:tcPr>
            <w:tcW w:w="1000" w:type="dxa"/>
          </w:tcPr>
          <w:p w14:paraId="59D18343" w14:textId="77777777" w:rsidR="00C30ED2" w:rsidRDefault="00C30ED2" w:rsidP="00DE5D1B"/>
        </w:tc>
      </w:tr>
      <w:tr w:rsidR="00C30ED2" w:rsidRPr="0006574A" w14:paraId="5071E3BC" w14:textId="77777777" w:rsidTr="00DE5D1B">
        <w:tc>
          <w:tcPr>
            <w:tcW w:w="2036" w:type="dxa"/>
          </w:tcPr>
          <w:p w14:paraId="4A564FA8" w14:textId="77777777" w:rsidR="00C30ED2" w:rsidRPr="002B7BBA" w:rsidRDefault="00C30ED2" w:rsidP="00DE5D1B">
            <w:pPr>
              <w:rPr>
                <w:color w:val="000000" w:themeColor="text1"/>
              </w:rPr>
            </w:pPr>
            <w:r w:rsidRPr="002B7BBA">
              <w:rPr>
                <w:color w:val="000000" w:themeColor="text1"/>
              </w:rPr>
              <w:t>Néro d’Avola</w:t>
            </w:r>
          </w:p>
        </w:tc>
        <w:tc>
          <w:tcPr>
            <w:tcW w:w="1681" w:type="dxa"/>
          </w:tcPr>
          <w:p w14:paraId="6C3AB79F" w14:textId="77777777" w:rsidR="00C30ED2" w:rsidRDefault="00C30ED2" w:rsidP="00DE5D1B">
            <w:r w:rsidRPr="00891C3D">
              <w:t>Italie, Sicile</w:t>
            </w:r>
          </w:p>
        </w:tc>
        <w:tc>
          <w:tcPr>
            <w:tcW w:w="1075" w:type="dxa"/>
          </w:tcPr>
          <w:p w14:paraId="23A33591" w14:textId="77777777" w:rsidR="00C30ED2" w:rsidRDefault="00C30ED2" w:rsidP="00DE5D1B"/>
        </w:tc>
        <w:tc>
          <w:tcPr>
            <w:tcW w:w="955" w:type="dxa"/>
          </w:tcPr>
          <w:p w14:paraId="474AB73E" w14:textId="77777777" w:rsidR="00C30ED2" w:rsidRPr="0006574A" w:rsidRDefault="00C30ED2" w:rsidP="00DE5D1B"/>
        </w:tc>
        <w:tc>
          <w:tcPr>
            <w:tcW w:w="965" w:type="dxa"/>
          </w:tcPr>
          <w:p w14:paraId="1864AEE0" w14:textId="77777777" w:rsidR="00C30ED2" w:rsidRPr="0006574A" w:rsidRDefault="00C30ED2" w:rsidP="00DE5D1B"/>
        </w:tc>
        <w:tc>
          <w:tcPr>
            <w:tcW w:w="935" w:type="dxa"/>
          </w:tcPr>
          <w:p w14:paraId="699589AF" w14:textId="77777777" w:rsidR="00C30ED2" w:rsidRPr="0006574A" w:rsidRDefault="00C30ED2" w:rsidP="00DE5D1B"/>
        </w:tc>
        <w:tc>
          <w:tcPr>
            <w:tcW w:w="734" w:type="dxa"/>
          </w:tcPr>
          <w:p w14:paraId="28CFF543" w14:textId="77777777" w:rsidR="00C30ED2" w:rsidRPr="0006574A" w:rsidRDefault="00C30ED2" w:rsidP="00DE5D1B"/>
        </w:tc>
        <w:tc>
          <w:tcPr>
            <w:tcW w:w="921" w:type="dxa"/>
          </w:tcPr>
          <w:p w14:paraId="4D00DA64" w14:textId="77777777" w:rsidR="00C30ED2" w:rsidRPr="0006574A" w:rsidRDefault="00C30ED2" w:rsidP="00DE5D1B"/>
        </w:tc>
        <w:tc>
          <w:tcPr>
            <w:tcW w:w="1000" w:type="dxa"/>
          </w:tcPr>
          <w:p w14:paraId="34C6FA02" w14:textId="77777777" w:rsidR="00C30ED2" w:rsidRDefault="00C30ED2" w:rsidP="00DE5D1B"/>
        </w:tc>
      </w:tr>
      <w:tr w:rsidR="00C30ED2" w:rsidRPr="0006574A" w14:paraId="35A9399A" w14:textId="77777777" w:rsidTr="00DE5D1B">
        <w:tc>
          <w:tcPr>
            <w:tcW w:w="2036" w:type="dxa"/>
          </w:tcPr>
          <w:p w14:paraId="3C3A884D" w14:textId="77777777" w:rsidR="00C30ED2" w:rsidRPr="002B7BBA" w:rsidRDefault="00C30ED2" w:rsidP="00DE5D1B">
            <w:pPr>
              <w:rPr>
                <w:color w:val="000000" w:themeColor="text1"/>
              </w:rPr>
            </w:pPr>
            <w:r w:rsidRPr="002B7BBA">
              <w:rPr>
                <w:color w:val="000000" w:themeColor="text1"/>
              </w:rPr>
              <w:t>Grenache rouge</w:t>
            </w:r>
          </w:p>
        </w:tc>
        <w:tc>
          <w:tcPr>
            <w:tcW w:w="1681" w:type="dxa"/>
          </w:tcPr>
          <w:p w14:paraId="2C8BC61E" w14:textId="77777777" w:rsidR="00C30ED2" w:rsidRDefault="00C30ED2" w:rsidP="00DE5D1B">
            <w:r>
              <w:t>Espagne</w:t>
            </w:r>
          </w:p>
        </w:tc>
        <w:tc>
          <w:tcPr>
            <w:tcW w:w="1075" w:type="dxa"/>
          </w:tcPr>
          <w:p w14:paraId="093C4611" w14:textId="77777777" w:rsidR="00C30ED2" w:rsidRDefault="00C30ED2" w:rsidP="00DE5D1B">
            <w:r>
              <w:t>Rouge</w:t>
            </w:r>
          </w:p>
        </w:tc>
        <w:tc>
          <w:tcPr>
            <w:tcW w:w="955" w:type="dxa"/>
          </w:tcPr>
          <w:p w14:paraId="6858B37E" w14:textId="77777777" w:rsidR="00C30ED2" w:rsidRPr="0006574A" w:rsidRDefault="00C30ED2" w:rsidP="00DE5D1B"/>
        </w:tc>
        <w:tc>
          <w:tcPr>
            <w:tcW w:w="965" w:type="dxa"/>
          </w:tcPr>
          <w:p w14:paraId="2DEAE741" w14:textId="77777777" w:rsidR="00C30ED2" w:rsidRPr="0006574A" w:rsidRDefault="00C30ED2" w:rsidP="00DE5D1B"/>
        </w:tc>
        <w:tc>
          <w:tcPr>
            <w:tcW w:w="935" w:type="dxa"/>
          </w:tcPr>
          <w:p w14:paraId="27B67378" w14:textId="77777777" w:rsidR="00C30ED2" w:rsidRPr="0006574A" w:rsidRDefault="00C30ED2" w:rsidP="00DE5D1B"/>
        </w:tc>
        <w:tc>
          <w:tcPr>
            <w:tcW w:w="734" w:type="dxa"/>
          </w:tcPr>
          <w:p w14:paraId="1D7887AE" w14:textId="77777777" w:rsidR="00C30ED2" w:rsidRPr="0006574A" w:rsidRDefault="00C30ED2" w:rsidP="00DE5D1B"/>
        </w:tc>
        <w:tc>
          <w:tcPr>
            <w:tcW w:w="921" w:type="dxa"/>
          </w:tcPr>
          <w:p w14:paraId="33F9E3D2" w14:textId="77777777" w:rsidR="00C30ED2" w:rsidRPr="0006574A" w:rsidRDefault="00C30ED2" w:rsidP="00DE5D1B"/>
        </w:tc>
        <w:tc>
          <w:tcPr>
            <w:tcW w:w="1000" w:type="dxa"/>
          </w:tcPr>
          <w:p w14:paraId="14A5BF51" w14:textId="77777777" w:rsidR="00C30ED2" w:rsidRPr="0006574A" w:rsidRDefault="00C30ED2" w:rsidP="00DE5D1B">
            <w:r>
              <w:sym w:font="Wingdings" w:char="F043"/>
            </w:r>
          </w:p>
        </w:tc>
      </w:tr>
      <w:tr w:rsidR="00C30ED2" w:rsidRPr="0006574A" w14:paraId="665CEB8E" w14:textId="77777777" w:rsidTr="00DE5D1B">
        <w:tc>
          <w:tcPr>
            <w:tcW w:w="2036" w:type="dxa"/>
          </w:tcPr>
          <w:p w14:paraId="3813A51C" w14:textId="77777777" w:rsidR="00C30ED2" w:rsidRPr="002B7BBA" w:rsidRDefault="00C30ED2" w:rsidP="00DE5D1B">
            <w:pPr>
              <w:rPr>
                <w:color w:val="000000" w:themeColor="text1"/>
              </w:rPr>
            </w:pPr>
            <w:r w:rsidRPr="002B7BBA">
              <w:rPr>
                <w:color w:val="000000" w:themeColor="text1"/>
              </w:rPr>
              <w:t>Grenache blanc</w:t>
            </w:r>
          </w:p>
        </w:tc>
        <w:tc>
          <w:tcPr>
            <w:tcW w:w="1681" w:type="dxa"/>
          </w:tcPr>
          <w:p w14:paraId="64B1E6AE" w14:textId="77777777" w:rsidR="00C30ED2" w:rsidRDefault="00C30ED2" w:rsidP="00DE5D1B">
            <w:r>
              <w:t>Espagne</w:t>
            </w:r>
          </w:p>
        </w:tc>
        <w:tc>
          <w:tcPr>
            <w:tcW w:w="1075" w:type="dxa"/>
          </w:tcPr>
          <w:p w14:paraId="17EB944E" w14:textId="77777777" w:rsidR="00C30ED2" w:rsidRDefault="00C30ED2" w:rsidP="00DE5D1B">
            <w:r>
              <w:t>Blanc</w:t>
            </w:r>
          </w:p>
        </w:tc>
        <w:tc>
          <w:tcPr>
            <w:tcW w:w="955" w:type="dxa"/>
          </w:tcPr>
          <w:p w14:paraId="43A527D0" w14:textId="77777777" w:rsidR="00C30ED2" w:rsidRPr="0006574A" w:rsidRDefault="00C30ED2" w:rsidP="00DE5D1B"/>
        </w:tc>
        <w:tc>
          <w:tcPr>
            <w:tcW w:w="965" w:type="dxa"/>
          </w:tcPr>
          <w:p w14:paraId="31F5283C" w14:textId="77777777" w:rsidR="00C30ED2" w:rsidRPr="0006574A" w:rsidRDefault="00C30ED2" w:rsidP="00DE5D1B"/>
        </w:tc>
        <w:tc>
          <w:tcPr>
            <w:tcW w:w="935" w:type="dxa"/>
          </w:tcPr>
          <w:p w14:paraId="25155F30" w14:textId="77777777" w:rsidR="00C30ED2" w:rsidRPr="0006574A" w:rsidRDefault="00C30ED2" w:rsidP="00DE5D1B"/>
        </w:tc>
        <w:tc>
          <w:tcPr>
            <w:tcW w:w="734" w:type="dxa"/>
          </w:tcPr>
          <w:p w14:paraId="3FF182AA" w14:textId="77777777" w:rsidR="00C30ED2" w:rsidRPr="0006574A" w:rsidRDefault="00C30ED2" w:rsidP="00DE5D1B"/>
        </w:tc>
        <w:tc>
          <w:tcPr>
            <w:tcW w:w="921" w:type="dxa"/>
          </w:tcPr>
          <w:p w14:paraId="2F2E7F83" w14:textId="77777777" w:rsidR="00C30ED2" w:rsidRPr="0006574A" w:rsidRDefault="00C30ED2" w:rsidP="00DE5D1B"/>
        </w:tc>
        <w:tc>
          <w:tcPr>
            <w:tcW w:w="1000" w:type="dxa"/>
          </w:tcPr>
          <w:p w14:paraId="25DE9092" w14:textId="77777777" w:rsidR="00C30ED2" w:rsidRPr="0006574A" w:rsidRDefault="00C30ED2" w:rsidP="00DE5D1B">
            <w:r>
              <w:sym w:font="Wingdings" w:char="F043"/>
            </w:r>
          </w:p>
        </w:tc>
      </w:tr>
      <w:tr w:rsidR="00C30ED2" w:rsidRPr="0006574A" w14:paraId="74E0FF8D" w14:textId="77777777" w:rsidTr="00DE5D1B">
        <w:tc>
          <w:tcPr>
            <w:tcW w:w="2036" w:type="dxa"/>
          </w:tcPr>
          <w:p w14:paraId="15C5A179" w14:textId="77777777" w:rsidR="00C30ED2" w:rsidRPr="002B7BBA" w:rsidRDefault="00C30ED2" w:rsidP="00DE5D1B">
            <w:pPr>
              <w:rPr>
                <w:color w:val="000000" w:themeColor="text1"/>
              </w:rPr>
            </w:pPr>
            <w:r w:rsidRPr="002B7BBA">
              <w:rPr>
                <w:color w:val="000000" w:themeColor="text1"/>
              </w:rPr>
              <w:t>Airen</w:t>
            </w:r>
          </w:p>
        </w:tc>
        <w:tc>
          <w:tcPr>
            <w:tcW w:w="1681" w:type="dxa"/>
          </w:tcPr>
          <w:p w14:paraId="59D04E3C" w14:textId="77777777" w:rsidR="00C30ED2" w:rsidRDefault="00C30ED2" w:rsidP="00DE5D1B">
            <w:r>
              <w:t>Espagne</w:t>
            </w:r>
          </w:p>
        </w:tc>
        <w:tc>
          <w:tcPr>
            <w:tcW w:w="1075" w:type="dxa"/>
          </w:tcPr>
          <w:p w14:paraId="2756453D" w14:textId="77777777" w:rsidR="00C30ED2" w:rsidRDefault="00C30ED2" w:rsidP="00DE5D1B">
            <w:r>
              <w:t>Blanc</w:t>
            </w:r>
          </w:p>
        </w:tc>
        <w:tc>
          <w:tcPr>
            <w:tcW w:w="955" w:type="dxa"/>
          </w:tcPr>
          <w:p w14:paraId="33AB0F26" w14:textId="77777777" w:rsidR="00C30ED2" w:rsidRPr="0006574A" w:rsidRDefault="00C30ED2" w:rsidP="00DE5D1B"/>
        </w:tc>
        <w:tc>
          <w:tcPr>
            <w:tcW w:w="965" w:type="dxa"/>
          </w:tcPr>
          <w:p w14:paraId="4471046A" w14:textId="77777777" w:rsidR="00C30ED2" w:rsidRPr="0006574A" w:rsidRDefault="00C30ED2" w:rsidP="00DE5D1B"/>
        </w:tc>
        <w:tc>
          <w:tcPr>
            <w:tcW w:w="935" w:type="dxa"/>
          </w:tcPr>
          <w:p w14:paraId="3EC327A8" w14:textId="77777777" w:rsidR="00C30ED2" w:rsidRPr="0006574A" w:rsidRDefault="00C30ED2" w:rsidP="00DE5D1B"/>
        </w:tc>
        <w:tc>
          <w:tcPr>
            <w:tcW w:w="734" w:type="dxa"/>
          </w:tcPr>
          <w:p w14:paraId="5FD52701" w14:textId="77777777" w:rsidR="00C30ED2" w:rsidRPr="0006574A" w:rsidRDefault="00C30ED2" w:rsidP="00DE5D1B"/>
        </w:tc>
        <w:tc>
          <w:tcPr>
            <w:tcW w:w="921" w:type="dxa"/>
          </w:tcPr>
          <w:p w14:paraId="0F463C70" w14:textId="77777777" w:rsidR="00C30ED2" w:rsidRPr="0006574A" w:rsidRDefault="00C30ED2" w:rsidP="00DE5D1B"/>
        </w:tc>
        <w:tc>
          <w:tcPr>
            <w:tcW w:w="1000" w:type="dxa"/>
          </w:tcPr>
          <w:p w14:paraId="14895DD2" w14:textId="77777777" w:rsidR="00C30ED2" w:rsidRPr="0006574A" w:rsidRDefault="00C30ED2" w:rsidP="00DE5D1B">
            <w:r>
              <w:sym w:font="Wingdings" w:char="F043"/>
            </w:r>
            <w:r>
              <w:sym w:font="Wingdings" w:char="F043"/>
            </w:r>
          </w:p>
        </w:tc>
      </w:tr>
      <w:tr w:rsidR="00C30ED2" w:rsidRPr="0006574A" w14:paraId="585C945F" w14:textId="77777777" w:rsidTr="00DE5D1B">
        <w:tc>
          <w:tcPr>
            <w:tcW w:w="2036" w:type="dxa"/>
          </w:tcPr>
          <w:p w14:paraId="76B8C240" w14:textId="77777777" w:rsidR="00C30ED2" w:rsidRPr="002B7BBA" w:rsidRDefault="00C30ED2" w:rsidP="00DE5D1B">
            <w:pPr>
              <w:rPr>
                <w:color w:val="000000" w:themeColor="text1"/>
              </w:rPr>
            </w:pPr>
            <w:r w:rsidRPr="002B7BBA">
              <w:rPr>
                <w:color w:val="000000" w:themeColor="text1"/>
              </w:rPr>
              <w:t>Malvoisia Sardegna</w:t>
            </w:r>
          </w:p>
        </w:tc>
        <w:tc>
          <w:tcPr>
            <w:tcW w:w="1681" w:type="dxa"/>
          </w:tcPr>
          <w:p w14:paraId="2900FF2C" w14:textId="77777777" w:rsidR="00C30ED2" w:rsidRDefault="00C30ED2" w:rsidP="00DE5D1B">
            <w:r>
              <w:t>Italie</w:t>
            </w:r>
          </w:p>
        </w:tc>
        <w:tc>
          <w:tcPr>
            <w:tcW w:w="1075" w:type="dxa"/>
          </w:tcPr>
          <w:p w14:paraId="264A0072" w14:textId="77777777" w:rsidR="00C30ED2" w:rsidRDefault="00C30ED2" w:rsidP="00DE5D1B">
            <w:r>
              <w:t>Blanc</w:t>
            </w:r>
          </w:p>
        </w:tc>
        <w:tc>
          <w:tcPr>
            <w:tcW w:w="955" w:type="dxa"/>
          </w:tcPr>
          <w:p w14:paraId="7FFFD77F" w14:textId="77777777" w:rsidR="00C30ED2" w:rsidRPr="0006574A" w:rsidRDefault="00C30ED2" w:rsidP="00DE5D1B"/>
        </w:tc>
        <w:tc>
          <w:tcPr>
            <w:tcW w:w="965" w:type="dxa"/>
          </w:tcPr>
          <w:p w14:paraId="14FB2B49" w14:textId="77777777" w:rsidR="00C30ED2" w:rsidRPr="0006574A" w:rsidRDefault="00C30ED2" w:rsidP="00DE5D1B"/>
        </w:tc>
        <w:tc>
          <w:tcPr>
            <w:tcW w:w="935" w:type="dxa"/>
          </w:tcPr>
          <w:p w14:paraId="02B844A6" w14:textId="77777777" w:rsidR="00C30ED2" w:rsidRPr="0006574A" w:rsidRDefault="00C30ED2" w:rsidP="00DE5D1B"/>
        </w:tc>
        <w:tc>
          <w:tcPr>
            <w:tcW w:w="734" w:type="dxa"/>
          </w:tcPr>
          <w:p w14:paraId="722E3F76" w14:textId="77777777" w:rsidR="00C30ED2" w:rsidRPr="0006574A" w:rsidRDefault="00C30ED2" w:rsidP="00DE5D1B"/>
        </w:tc>
        <w:tc>
          <w:tcPr>
            <w:tcW w:w="921" w:type="dxa"/>
          </w:tcPr>
          <w:p w14:paraId="734583AF" w14:textId="77777777" w:rsidR="00C30ED2" w:rsidRPr="0006574A" w:rsidRDefault="00C30ED2" w:rsidP="00DE5D1B">
            <w:r>
              <w:sym w:font="Wingdings" w:char="F043"/>
            </w:r>
          </w:p>
        </w:tc>
        <w:tc>
          <w:tcPr>
            <w:tcW w:w="1000" w:type="dxa"/>
          </w:tcPr>
          <w:p w14:paraId="4CD9BE0B" w14:textId="77777777" w:rsidR="00C30ED2" w:rsidRPr="0006574A" w:rsidRDefault="00C30ED2" w:rsidP="00DE5D1B">
            <w:r>
              <w:sym w:font="Wingdings" w:char="F043"/>
            </w:r>
            <w:r>
              <w:sym w:font="Wingdings" w:char="F043"/>
            </w:r>
          </w:p>
        </w:tc>
      </w:tr>
      <w:tr w:rsidR="005D6FD0" w:rsidRPr="0006574A" w14:paraId="6B0D798E" w14:textId="77777777" w:rsidTr="00DE5D1B">
        <w:tc>
          <w:tcPr>
            <w:tcW w:w="2036" w:type="dxa"/>
          </w:tcPr>
          <w:p w14:paraId="29FE0380" w14:textId="77777777" w:rsidR="005D6FD0" w:rsidRDefault="005D6FD0" w:rsidP="005D6FD0">
            <w:pPr>
              <w:rPr>
                <w:color w:val="000000" w:themeColor="text1"/>
              </w:rPr>
            </w:pPr>
            <w:r w:rsidRPr="005D6FD0">
              <w:rPr>
                <w:color w:val="000000" w:themeColor="text1"/>
              </w:rPr>
              <w:t>Malvasia volcanica</w:t>
            </w:r>
          </w:p>
          <w:p w14:paraId="0B283AC9" w14:textId="596C04ED" w:rsidR="005D6FD0" w:rsidRPr="005D6FD0" w:rsidRDefault="005D6FD0" w:rsidP="005D6FD0">
            <w:pPr>
              <w:rPr>
                <w:i/>
                <w:iCs/>
                <w:color w:val="000000" w:themeColor="text1"/>
                <w:sz w:val="20"/>
                <w:szCs w:val="20"/>
              </w:rPr>
            </w:pPr>
            <w:r w:rsidRPr="005D6FD0">
              <w:rPr>
                <w:i/>
                <w:iCs/>
                <w:color w:val="000000" w:themeColor="text1"/>
                <w:sz w:val="20"/>
                <w:szCs w:val="20"/>
              </w:rPr>
              <w:t>malvoisie volcanique</w:t>
            </w:r>
          </w:p>
        </w:tc>
        <w:tc>
          <w:tcPr>
            <w:tcW w:w="1681" w:type="dxa"/>
          </w:tcPr>
          <w:p w14:paraId="2163E672" w14:textId="3A439B9D" w:rsidR="005D6FD0" w:rsidRDefault="005D6FD0" w:rsidP="005D6FD0">
            <w:r w:rsidRPr="005D6FD0">
              <w:t>Lanzarote (Canaries)</w:t>
            </w:r>
          </w:p>
        </w:tc>
        <w:tc>
          <w:tcPr>
            <w:tcW w:w="1075" w:type="dxa"/>
          </w:tcPr>
          <w:p w14:paraId="108C6A73" w14:textId="0536DBA2" w:rsidR="005D6FD0" w:rsidRDefault="005D6FD0" w:rsidP="005D6FD0">
            <w:r>
              <w:t>Blanc</w:t>
            </w:r>
          </w:p>
        </w:tc>
        <w:tc>
          <w:tcPr>
            <w:tcW w:w="955" w:type="dxa"/>
          </w:tcPr>
          <w:p w14:paraId="75DC78BE" w14:textId="77777777" w:rsidR="005D6FD0" w:rsidRPr="0006574A" w:rsidRDefault="005D6FD0" w:rsidP="005D6FD0"/>
        </w:tc>
        <w:tc>
          <w:tcPr>
            <w:tcW w:w="965" w:type="dxa"/>
          </w:tcPr>
          <w:p w14:paraId="26110F5B" w14:textId="77777777" w:rsidR="005D6FD0" w:rsidRPr="0006574A" w:rsidRDefault="005D6FD0" w:rsidP="005D6FD0"/>
        </w:tc>
        <w:tc>
          <w:tcPr>
            <w:tcW w:w="935" w:type="dxa"/>
          </w:tcPr>
          <w:p w14:paraId="7786D31F" w14:textId="77777777" w:rsidR="005D6FD0" w:rsidRPr="0006574A" w:rsidRDefault="005D6FD0" w:rsidP="005D6FD0"/>
        </w:tc>
        <w:tc>
          <w:tcPr>
            <w:tcW w:w="734" w:type="dxa"/>
          </w:tcPr>
          <w:p w14:paraId="0A5E4DE4" w14:textId="77777777" w:rsidR="005D6FD0" w:rsidRPr="0006574A" w:rsidRDefault="005D6FD0" w:rsidP="005D6FD0"/>
        </w:tc>
        <w:tc>
          <w:tcPr>
            <w:tcW w:w="921" w:type="dxa"/>
          </w:tcPr>
          <w:p w14:paraId="5EDEE098" w14:textId="610E9D7F" w:rsidR="005D6FD0" w:rsidRPr="0006574A" w:rsidRDefault="005D6FD0" w:rsidP="005D6FD0">
            <w:r>
              <w:sym w:font="Wingdings" w:char="F043"/>
            </w:r>
          </w:p>
        </w:tc>
        <w:tc>
          <w:tcPr>
            <w:tcW w:w="1000" w:type="dxa"/>
          </w:tcPr>
          <w:p w14:paraId="275B0CF9" w14:textId="08BD04D4" w:rsidR="005D6FD0" w:rsidRPr="0006574A" w:rsidRDefault="005D6FD0" w:rsidP="005D6FD0">
            <w:r>
              <w:sym w:font="Wingdings" w:char="F043"/>
            </w:r>
            <w:r>
              <w:sym w:font="Wingdings" w:char="F043"/>
            </w:r>
          </w:p>
        </w:tc>
      </w:tr>
      <w:tr w:rsidR="005D6FD0" w:rsidRPr="0006574A" w14:paraId="5EA971B9" w14:textId="77777777" w:rsidTr="00DE5D1B">
        <w:tc>
          <w:tcPr>
            <w:tcW w:w="2036" w:type="dxa"/>
          </w:tcPr>
          <w:p w14:paraId="72B4DB52" w14:textId="77777777" w:rsidR="005D6FD0" w:rsidRPr="002B7BBA" w:rsidRDefault="005D6FD0" w:rsidP="005D6FD0">
            <w:pPr>
              <w:rPr>
                <w:color w:val="000000" w:themeColor="text1"/>
              </w:rPr>
            </w:pPr>
            <w:r w:rsidRPr="002B7BBA">
              <w:rPr>
                <w:color w:val="000000" w:themeColor="text1"/>
              </w:rPr>
              <w:t>Anglianico</w:t>
            </w:r>
          </w:p>
        </w:tc>
        <w:tc>
          <w:tcPr>
            <w:tcW w:w="1681" w:type="dxa"/>
          </w:tcPr>
          <w:p w14:paraId="1F4EDEB0" w14:textId="77777777" w:rsidR="005D6FD0" w:rsidRDefault="005D6FD0" w:rsidP="005D6FD0">
            <w:r>
              <w:t>Italie</w:t>
            </w:r>
          </w:p>
        </w:tc>
        <w:tc>
          <w:tcPr>
            <w:tcW w:w="1075" w:type="dxa"/>
          </w:tcPr>
          <w:p w14:paraId="2FC1D031" w14:textId="77777777" w:rsidR="005D6FD0" w:rsidRDefault="005D6FD0" w:rsidP="005D6FD0">
            <w:r>
              <w:t>Blanc</w:t>
            </w:r>
          </w:p>
        </w:tc>
        <w:tc>
          <w:tcPr>
            <w:tcW w:w="955" w:type="dxa"/>
          </w:tcPr>
          <w:p w14:paraId="395CC1DE" w14:textId="77777777" w:rsidR="005D6FD0" w:rsidRPr="0006574A" w:rsidRDefault="005D6FD0" w:rsidP="005D6FD0"/>
        </w:tc>
        <w:tc>
          <w:tcPr>
            <w:tcW w:w="965" w:type="dxa"/>
          </w:tcPr>
          <w:p w14:paraId="368621DD" w14:textId="77777777" w:rsidR="005D6FD0" w:rsidRPr="0006574A" w:rsidRDefault="005D6FD0" w:rsidP="005D6FD0"/>
        </w:tc>
        <w:tc>
          <w:tcPr>
            <w:tcW w:w="935" w:type="dxa"/>
          </w:tcPr>
          <w:p w14:paraId="52CDE850" w14:textId="77777777" w:rsidR="005D6FD0" w:rsidRPr="0006574A" w:rsidRDefault="005D6FD0" w:rsidP="005D6FD0"/>
        </w:tc>
        <w:tc>
          <w:tcPr>
            <w:tcW w:w="734" w:type="dxa"/>
          </w:tcPr>
          <w:p w14:paraId="40561469" w14:textId="77777777" w:rsidR="005D6FD0" w:rsidRPr="0006574A" w:rsidRDefault="005D6FD0" w:rsidP="005D6FD0"/>
        </w:tc>
        <w:tc>
          <w:tcPr>
            <w:tcW w:w="921" w:type="dxa"/>
          </w:tcPr>
          <w:p w14:paraId="4159E7B2" w14:textId="77777777" w:rsidR="005D6FD0" w:rsidRPr="0006574A" w:rsidRDefault="005D6FD0" w:rsidP="005D6FD0"/>
        </w:tc>
        <w:tc>
          <w:tcPr>
            <w:tcW w:w="1000" w:type="dxa"/>
          </w:tcPr>
          <w:p w14:paraId="311A728E" w14:textId="77777777" w:rsidR="005D6FD0" w:rsidRPr="0006574A" w:rsidRDefault="005D6FD0" w:rsidP="005D6FD0"/>
        </w:tc>
      </w:tr>
      <w:tr w:rsidR="005D6FD0" w:rsidRPr="0006574A" w14:paraId="540A50D7" w14:textId="77777777" w:rsidTr="00DE5D1B">
        <w:tc>
          <w:tcPr>
            <w:tcW w:w="2036" w:type="dxa"/>
          </w:tcPr>
          <w:p w14:paraId="257CB2A1" w14:textId="77777777" w:rsidR="005D6FD0" w:rsidRPr="002B7BBA" w:rsidRDefault="005D6FD0" w:rsidP="005D6FD0">
            <w:pPr>
              <w:rPr>
                <w:color w:val="000000" w:themeColor="text1"/>
              </w:rPr>
            </w:pPr>
            <w:r w:rsidRPr="002B7BBA">
              <w:rPr>
                <w:color w:val="000000" w:themeColor="text1"/>
              </w:rPr>
              <w:t>Bobal</w:t>
            </w:r>
          </w:p>
        </w:tc>
        <w:tc>
          <w:tcPr>
            <w:tcW w:w="1681" w:type="dxa"/>
          </w:tcPr>
          <w:p w14:paraId="3BDD9DF5" w14:textId="77777777" w:rsidR="005D6FD0" w:rsidRDefault="005D6FD0" w:rsidP="005D6FD0">
            <w:r>
              <w:t>Espagne</w:t>
            </w:r>
          </w:p>
        </w:tc>
        <w:tc>
          <w:tcPr>
            <w:tcW w:w="1075" w:type="dxa"/>
          </w:tcPr>
          <w:p w14:paraId="4001A72E" w14:textId="77777777" w:rsidR="005D6FD0" w:rsidRDefault="005D6FD0" w:rsidP="005D6FD0">
            <w:r>
              <w:t>Rouge</w:t>
            </w:r>
          </w:p>
        </w:tc>
        <w:tc>
          <w:tcPr>
            <w:tcW w:w="955" w:type="dxa"/>
          </w:tcPr>
          <w:p w14:paraId="1A776E20" w14:textId="77777777" w:rsidR="005D6FD0" w:rsidRPr="0006574A" w:rsidRDefault="005D6FD0" w:rsidP="005D6FD0"/>
        </w:tc>
        <w:tc>
          <w:tcPr>
            <w:tcW w:w="965" w:type="dxa"/>
          </w:tcPr>
          <w:p w14:paraId="72C87001" w14:textId="77777777" w:rsidR="005D6FD0" w:rsidRPr="0006574A" w:rsidRDefault="005D6FD0" w:rsidP="005D6FD0"/>
        </w:tc>
        <w:tc>
          <w:tcPr>
            <w:tcW w:w="935" w:type="dxa"/>
          </w:tcPr>
          <w:p w14:paraId="0E7DC0EA" w14:textId="77777777" w:rsidR="005D6FD0" w:rsidRPr="0006574A" w:rsidRDefault="005D6FD0" w:rsidP="005D6FD0"/>
        </w:tc>
        <w:tc>
          <w:tcPr>
            <w:tcW w:w="734" w:type="dxa"/>
          </w:tcPr>
          <w:p w14:paraId="095E8FE0" w14:textId="77777777" w:rsidR="005D6FD0" w:rsidRPr="0006574A" w:rsidRDefault="005D6FD0" w:rsidP="005D6FD0"/>
        </w:tc>
        <w:tc>
          <w:tcPr>
            <w:tcW w:w="921" w:type="dxa"/>
          </w:tcPr>
          <w:p w14:paraId="0BC24711" w14:textId="77777777" w:rsidR="005D6FD0" w:rsidRPr="0006574A" w:rsidRDefault="005D6FD0" w:rsidP="005D6FD0"/>
        </w:tc>
        <w:tc>
          <w:tcPr>
            <w:tcW w:w="1000" w:type="dxa"/>
          </w:tcPr>
          <w:p w14:paraId="372CFD9D" w14:textId="77777777" w:rsidR="005D6FD0" w:rsidRPr="0006574A" w:rsidRDefault="005D6FD0" w:rsidP="005D6FD0"/>
        </w:tc>
      </w:tr>
      <w:tr w:rsidR="005D6FD0" w:rsidRPr="0006574A" w14:paraId="4EB74D70" w14:textId="77777777" w:rsidTr="00DE5D1B">
        <w:tc>
          <w:tcPr>
            <w:tcW w:w="2036" w:type="dxa"/>
          </w:tcPr>
          <w:p w14:paraId="2ACC3C05" w14:textId="77777777" w:rsidR="005D6FD0" w:rsidRPr="002B7BBA" w:rsidRDefault="005D6FD0" w:rsidP="005D6FD0">
            <w:pPr>
              <w:rPr>
                <w:color w:val="000000" w:themeColor="text1"/>
              </w:rPr>
            </w:pPr>
            <w:r w:rsidRPr="002B7BBA">
              <w:rPr>
                <w:color w:val="000000" w:themeColor="text1"/>
              </w:rPr>
              <w:t>Trépat</w:t>
            </w:r>
          </w:p>
        </w:tc>
        <w:tc>
          <w:tcPr>
            <w:tcW w:w="1681" w:type="dxa"/>
          </w:tcPr>
          <w:p w14:paraId="78276594" w14:textId="77777777" w:rsidR="005D6FD0" w:rsidRDefault="005D6FD0" w:rsidP="005D6FD0">
            <w:r>
              <w:t>Espagne</w:t>
            </w:r>
          </w:p>
        </w:tc>
        <w:tc>
          <w:tcPr>
            <w:tcW w:w="1075" w:type="dxa"/>
          </w:tcPr>
          <w:p w14:paraId="1A70CFD6" w14:textId="77777777" w:rsidR="005D6FD0" w:rsidRDefault="005D6FD0" w:rsidP="005D6FD0">
            <w:r>
              <w:t>Rouge</w:t>
            </w:r>
          </w:p>
        </w:tc>
        <w:tc>
          <w:tcPr>
            <w:tcW w:w="955" w:type="dxa"/>
          </w:tcPr>
          <w:p w14:paraId="74E1FBF6" w14:textId="77777777" w:rsidR="005D6FD0" w:rsidRPr="0006574A" w:rsidRDefault="005D6FD0" w:rsidP="005D6FD0"/>
        </w:tc>
        <w:tc>
          <w:tcPr>
            <w:tcW w:w="965" w:type="dxa"/>
          </w:tcPr>
          <w:p w14:paraId="1C8C078D" w14:textId="77777777" w:rsidR="005D6FD0" w:rsidRPr="0006574A" w:rsidRDefault="005D6FD0" w:rsidP="005D6FD0"/>
        </w:tc>
        <w:tc>
          <w:tcPr>
            <w:tcW w:w="935" w:type="dxa"/>
          </w:tcPr>
          <w:p w14:paraId="430A7760" w14:textId="77777777" w:rsidR="005D6FD0" w:rsidRPr="0006574A" w:rsidRDefault="005D6FD0" w:rsidP="005D6FD0"/>
        </w:tc>
        <w:tc>
          <w:tcPr>
            <w:tcW w:w="734" w:type="dxa"/>
          </w:tcPr>
          <w:p w14:paraId="03927ED6" w14:textId="77777777" w:rsidR="005D6FD0" w:rsidRPr="0006574A" w:rsidRDefault="005D6FD0" w:rsidP="005D6FD0"/>
        </w:tc>
        <w:tc>
          <w:tcPr>
            <w:tcW w:w="921" w:type="dxa"/>
          </w:tcPr>
          <w:p w14:paraId="26188CDE" w14:textId="77777777" w:rsidR="005D6FD0" w:rsidRPr="0006574A" w:rsidRDefault="005D6FD0" w:rsidP="005D6FD0"/>
        </w:tc>
        <w:tc>
          <w:tcPr>
            <w:tcW w:w="1000" w:type="dxa"/>
          </w:tcPr>
          <w:p w14:paraId="16E0F22C" w14:textId="77777777" w:rsidR="005D6FD0" w:rsidRPr="0006574A" w:rsidRDefault="005D6FD0" w:rsidP="005D6FD0">
            <w:r>
              <w:sym w:font="Wingdings" w:char="F043"/>
            </w:r>
            <w:r>
              <w:sym w:font="Wingdings" w:char="F043"/>
            </w:r>
          </w:p>
        </w:tc>
      </w:tr>
      <w:tr w:rsidR="005D6FD0" w:rsidRPr="0006574A" w14:paraId="25C67C34" w14:textId="77777777" w:rsidTr="00DE5D1B">
        <w:tc>
          <w:tcPr>
            <w:tcW w:w="2036" w:type="dxa"/>
          </w:tcPr>
          <w:p w14:paraId="69229827" w14:textId="77777777" w:rsidR="005D6FD0" w:rsidRPr="002B7BBA" w:rsidRDefault="005D6FD0" w:rsidP="005D6FD0">
            <w:pPr>
              <w:rPr>
                <w:color w:val="000000" w:themeColor="text1"/>
              </w:rPr>
            </w:pPr>
            <w:r w:rsidRPr="002B7BBA">
              <w:rPr>
                <w:color w:val="000000" w:themeColor="text1"/>
              </w:rPr>
              <w:t>Zinfandel / Primitivo</w:t>
            </w:r>
          </w:p>
        </w:tc>
        <w:tc>
          <w:tcPr>
            <w:tcW w:w="1681" w:type="dxa"/>
          </w:tcPr>
          <w:p w14:paraId="6F340188" w14:textId="77777777" w:rsidR="005D6FD0" w:rsidRDefault="005D6FD0" w:rsidP="005D6FD0">
            <w:r>
              <w:t>Croatie/Italie</w:t>
            </w:r>
          </w:p>
        </w:tc>
        <w:tc>
          <w:tcPr>
            <w:tcW w:w="1075" w:type="dxa"/>
          </w:tcPr>
          <w:p w14:paraId="392BB7CA" w14:textId="77777777" w:rsidR="005D6FD0" w:rsidRDefault="005D6FD0" w:rsidP="005D6FD0">
            <w:r>
              <w:t>Rouge</w:t>
            </w:r>
          </w:p>
        </w:tc>
        <w:tc>
          <w:tcPr>
            <w:tcW w:w="955" w:type="dxa"/>
          </w:tcPr>
          <w:p w14:paraId="5D36A41C" w14:textId="77777777" w:rsidR="005D6FD0" w:rsidRPr="0006574A" w:rsidRDefault="005D6FD0" w:rsidP="005D6FD0"/>
        </w:tc>
        <w:tc>
          <w:tcPr>
            <w:tcW w:w="965" w:type="dxa"/>
          </w:tcPr>
          <w:p w14:paraId="1442BD50" w14:textId="77777777" w:rsidR="005D6FD0" w:rsidRPr="0006574A" w:rsidRDefault="005D6FD0" w:rsidP="005D6FD0"/>
        </w:tc>
        <w:tc>
          <w:tcPr>
            <w:tcW w:w="935" w:type="dxa"/>
          </w:tcPr>
          <w:p w14:paraId="5F655232" w14:textId="77777777" w:rsidR="005D6FD0" w:rsidRPr="0006574A" w:rsidRDefault="005D6FD0" w:rsidP="005D6FD0"/>
        </w:tc>
        <w:tc>
          <w:tcPr>
            <w:tcW w:w="734" w:type="dxa"/>
          </w:tcPr>
          <w:p w14:paraId="4D0F217A" w14:textId="77777777" w:rsidR="005D6FD0" w:rsidRPr="0006574A" w:rsidRDefault="005D6FD0" w:rsidP="005D6FD0"/>
        </w:tc>
        <w:tc>
          <w:tcPr>
            <w:tcW w:w="921" w:type="dxa"/>
          </w:tcPr>
          <w:p w14:paraId="588432F0" w14:textId="77777777" w:rsidR="005D6FD0" w:rsidRPr="0006574A" w:rsidRDefault="005D6FD0" w:rsidP="005D6FD0"/>
        </w:tc>
        <w:tc>
          <w:tcPr>
            <w:tcW w:w="1000" w:type="dxa"/>
          </w:tcPr>
          <w:p w14:paraId="62A3176C" w14:textId="77777777" w:rsidR="005D6FD0" w:rsidRPr="0006574A" w:rsidRDefault="005D6FD0" w:rsidP="005D6FD0"/>
        </w:tc>
      </w:tr>
      <w:tr w:rsidR="005D6FD0" w:rsidRPr="0006574A" w14:paraId="6C710DB3" w14:textId="77777777" w:rsidTr="00DE5D1B">
        <w:tc>
          <w:tcPr>
            <w:tcW w:w="2036" w:type="dxa"/>
          </w:tcPr>
          <w:p w14:paraId="4A9794EE" w14:textId="77777777" w:rsidR="005D6FD0" w:rsidRPr="002B7BBA" w:rsidRDefault="005D6FD0" w:rsidP="005D6FD0">
            <w:pPr>
              <w:rPr>
                <w:color w:val="000000" w:themeColor="text1"/>
              </w:rPr>
            </w:pPr>
            <w:r w:rsidRPr="002B7BBA">
              <w:rPr>
                <w:color w:val="000000" w:themeColor="text1"/>
              </w:rPr>
              <w:t>Negro amaro</w:t>
            </w:r>
          </w:p>
        </w:tc>
        <w:tc>
          <w:tcPr>
            <w:tcW w:w="1681" w:type="dxa"/>
          </w:tcPr>
          <w:p w14:paraId="34395796" w14:textId="77777777" w:rsidR="005D6FD0" w:rsidRDefault="005D6FD0" w:rsidP="005D6FD0"/>
        </w:tc>
        <w:tc>
          <w:tcPr>
            <w:tcW w:w="1075" w:type="dxa"/>
          </w:tcPr>
          <w:p w14:paraId="16E1E944" w14:textId="77777777" w:rsidR="005D6FD0" w:rsidRDefault="005D6FD0" w:rsidP="005D6FD0"/>
        </w:tc>
        <w:tc>
          <w:tcPr>
            <w:tcW w:w="955" w:type="dxa"/>
          </w:tcPr>
          <w:p w14:paraId="73BE8C06" w14:textId="77777777" w:rsidR="005D6FD0" w:rsidRPr="0006574A" w:rsidRDefault="005D6FD0" w:rsidP="005D6FD0"/>
        </w:tc>
        <w:tc>
          <w:tcPr>
            <w:tcW w:w="965" w:type="dxa"/>
          </w:tcPr>
          <w:p w14:paraId="700EB677" w14:textId="77777777" w:rsidR="005D6FD0" w:rsidRPr="0006574A" w:rsidRDefault="005D6FD0" w:rsidP="005D6FD0"/>
        </w:tc>
        <w:tc>
          <w:tcPr>
            <w:tcW w:w="935" w:type="dxa"/>
          </w:tcPr>
          <w:p w14:paraId="7F7AEFD5" w14:textId="77777777" w:rsidR="005D6FD0" w:rsidRPr="0006574A" w:rsidRDefault="005D6FD0" w:rsidP="005D6FD0"/>
        </w:tc>
        <w:tc>
          <w:tcPr>
            <w:tcW w:w="734" w:type="dxa"/>
          </w:tcPr>
          <w:p w14:paraId="2A4FC148" w14:textId="77777777" w:rsidR="005D6FD0" w:rsidRPr="0006574A" w:rsidRDefault="005D6FD0" w:rsidP="005D6FD0"/>
        </w:tc>
        <w:tc>
          <w:tcPr>
            <w:tcW w:w="921" w:type="dxa"/>
          </w:tcPr>
          <w:p w14:paraId="50B6A738" w14:textId="77777777" w:rsidR="005D6FD0" w:rsidRPr="0006574A" w:rsidRDefault="005D6FD0" w:rsidP="005D6FD0"/>
        </w:tc>
        <w:tc>
          <w:tcPr>
            <w:tcW w:w="1000" w:type="dxa"/>
          </w:tcPr>
          <w:p w14:paraId="0A39F4CD" w14:textId="77777777" w:rsidR="005D6FD0" w:rsidRPr="0006574A" w:rsidRDefault="005D6FD0" w:rsidP="005D6FD0"/>
        </w:tc>
      </w:tr>
      <w:tr w:rsidR="005D6FD0" w:rsidRPr="0006574A" w14:paraId="06D0533B" w14:textId="77777777" w:rsidTr="00DE5D1B">
        <w:tc>
          <w:tcPr>
            <w:tcW w:w="2036" w:type="dxa"/>
          </w:tcPr>
          <w:p w14:paraId="482772D4" w14:textId="77777777" w:rsidR="005D6FD0" w:rsidRPr="002B7BBA" w:rsidRDefault="005D6FD0" w:rsidP="005D6FD0">
            <w:pPr>
              <w:rPr>
                <w:color w:val="000000" w:themeColor="text1"/>
              </w:rPr>
            </w:pPr>
            <w:r w:rsidRPr="002B7BBA">
              <w:rPr>
                <w:color w:val="000000" w:themeColor="text1"/>
              </w:rPr>
              <w:t>Saperavi</w:t>
            </w:r>
          </w:p>
        </w:tc>
        <w:tc>
          <w:tcPr>
            <w:tcW w:w="1681" w:type="dxa"/>
          </w:tcPr>
          <w:p w14:paraId="2C6D10F3" w14:textId="77777777" w:rsidR="005D6FD0" w:rsidRDefault="005D6FD0" w:rsidP="005D6FD0"/>
        </w:tc>
        <w:tc>
          <w:tcPr>
            <w:tcW w:w="1075" w:type="dxa"/>
          </w:tcPr>
          <w:p w14:paraId="6F2FFD43" w14:textId="77777777" w:rsidR="005D6FD0" w:rsidRDefault="005D6FD0" w:rsidP="005D6FD0"/>
        </w:tc>
        <w:tc>
          <w:tcPr>
            <w:tcW w:w="955" w:type="dxa"/>
          </w:tcPr>
          <w:p w14:paraId="1F13DC04" w14:textId="77777777" w:rsidR="005D6FD0" w:rsidRPr="0006574A" w:rsidRDefault="005D6FD0" w:rsidP="005D6FD0"/>
        </w:tc>
        <w:tc>
          <w:tcPr>
            <w:tcW w:w="965" w:type="dxa"/>
          </w:tcPr>
          <w:p w14:paraId="57EC55DA" w14:textId="77777777" w:rsidR="005D6FD0" w:rsidRPr="0006574A" w:rsidRDefault="005D6FD0" w:rsidP="005D6FD0"/>
        </w:tc>
        <w:tc>
          <w:tcPr>
            <w:tcW w:w="935" w:type="dxa"/>
          </w:tcPr>
          <w:p w14:paraId="20A66237" w14:textId="77777777" w:rsidR="005D6FD0" w:rsidRPr="0006574A" w:rsidRDefault="005D6FD0" w:rsidP="005D6FD0"/>
        </w:tc>
        <w:tc>
          <w:tcPr>
            <w:tcW w:w="734" w:type="dxa"/>
          </w:tcPr>
          <w:p w14:paraId="2A129F8A" w14:textId="77777777" w:rsidR="005D6FD0" w:rsidRPr="0006574A" w:rsidRDefault="005D6FD0" w:rsidP="005D6FD0"/>
        </w:tc>
        <w:tc>
          <w:tcPr>
            <w:tcW w:w="921" w:type="dxa"/>
          </w:tcPr>
          <w:p w14:paraId="277F3685" w14:textId="77777777" w:rsidR="005D6FD0" w:rsidRPr="0006574A" w:rsidRDefault="005D6FD0" w:rsidP="005D6FD0"/>
        </w:tc>
        <w:tc>
          <w:tcPr>
            <w:tcW w:w="1000" w:type="dxa"/>
          </w:tcPr>
          <w:p w14:paraId="565B476F" w14:textId="77777777" w:rsidR="005D6FD0" w:rsidRPr="0006574A" w:rsidRDefault="005D6FD0" w:rsidP="005D6FD0"/>
        </w:tc>
      </w:tr>
      <w:tr w:rsidR="005D6FD0" w:rsidRPr="0006574A" w14:paraId="593F2AAF" w14:textId="77777777" w:rsidTr="00DE5D1B">
        <w:tc>
          <w:tcPr>
            <w:tcW w:w="2036" w:type="dxa"/>
          </w:tcPr>
          <w:p w14:paraId="0115B31D" w14:textId="77777777" w:rsidR="005D6FD0" w:rsidRPr="002B7BBA" w:rsidRDefault="005D6FD0" w:rsidP="005D6FD0">
            <w:pPr>
              <w:rPr>
                <w:color w:val="000000" w:themeColor="text1"/>
              </w:rPr>
            </w:pPr>
            <w:r w:rsidRPr="002B7BBA">
              <w:rPr>
                <w:color w:val="000000" w:themeColor="text1"/>
              </w:rPr>
              <w:t>Fiano</w:t>
            </w:r>
          </w:p>
        </w:tc>
        <w:tc>
          <w:tcPr>
            <w:tcW w:w="1681" w:type="dxa"/>
          </w:tcPr>
          <w:p w14:paraId="3885073F" w14:textId="77777777" w:rsidR="005D6FD0" w:rsidRDefault="005D6FD0" w:rsidP="005D6FD0"/>
        </w:tc>
        <w:tc>
          <w:tcPr>
            <w:tcW w:w="1075" w:type="dxa"/>
          </w:tcPr>
          <w:p w14:paraId="6273E011" w14:textId="77777777" w:rsidR="005D6FD0" w:rsidRDefault="005D6FD0" w:rsidP="005D6FD0"/>
        </w:tc>
        <w:tc>
          <w:tcPr>
            <w:tcW w:w="955" w:type="dxa"/>
          </w:tcPr>
          <w:p w14:paraId="1267CBDD" w14:textId="77777777" w:rsidR="005D6FD0" w:rsidRPr="0006574A" w:rsidRDefault="005D6FD0" w:rsidP="005D6FD0"/>
        </w:tc>
        <w:tc>
          <w:tcPr>
            <w:tcW w:w="965" w:type="dxa"/>
          </w:tcPr>
          <w:p w14:paraId="33048F0A" w14:textId="77777777" w:rsidR="005D6FD0" w:rsidRPr="0006574A" w:rsidRDefault="005D6FD0" w:rsidP="005D6FD0"/>
        </w:tc>
        <w:tc>
          <w:tcPr>
            <w:tcW w:w="935" w:type="dxa"/>
          </w:tcPr>
          <w:p w14:paraId="50F03D7C" w14:textId="77777777" w:rsidR="005D6FD0" w:rsidRPr="0006574A" w:rsidRDefault="005D6FD0" w:rsidP="005D6FD0"/>
        </w:tc>
        <w:tc>
          <w:tcPr>
            <w:tcW w:w="734" w:type="dxa"/>
          </w:tcPr>
          <w:p w14:paraId="2B73A97F" w14:textId="77777777" w:rsidR="005D6FD0" w:rsidRPr="0006574A" w:rsidRDefault="005D6FD0" w:rsidP="005D6FD0"/>
        </w:tc>
        <w:tc>
          <w:tcPr>
            <w:tcW w:w="921" w:type="dxa"/>
          </w:tcPr>
          <w:p w14:paraId="0F3A32C0" w14:textId="77777777" w:rsidR="005D6FD0" w:rsidRPr="0006574A" w:rsidRDefault="005D6FD0" w:rsidP="005D6FD0">
            <w:r>
              <w:sym w:font="Wingdings" w:char="F043"/>
            </w:r>
          </w:p>
        </w:tc>
        <w:tc>
          <w:tcPr>
            <w:tcW w:w="1000" w:type="dxa"/>
          </w:tcPr>
          <w:p w14:paraId="46B99969" w14:textId="77777777" w:rsidR="005D6FD0" w:rsidRPr="0006574A" w:rsidRDefault="005D6FD0" w:rsidP="005D6FD0">
            <w:r>
              <w:sym w:font="Wingdings" w:char="F043"/>
            </w:r>
            <w:r>
              <w:sym w:font="Wingdings" w:char="F043"/>
            </w:r>
          </w:p>
        </w:tc>
      </w:tr>
      <w:tr w:rsidR="005D6FD0" w:rsidRPr="0006574A" w14:paraId="6BBE7643" w14:textId="77777777" w:rsidTr="00DE5D1B">
        <w:tc>
          <w:tcPr>
            <w:tcW w:w="2036" w:type="dxa"/>
          </w:tcPr>
          <w:p w14:paraId="675557BC" w14:textId="77777777" w:rsidR="005D6FD0" w:rsidRPr="002B7BBA" w:rsidRDefault="005D6FD0" w:rsidP="005D6FD0">
            <w:pPr>
              <w:rPr>
                <w:color w:val="000000" w:themeColor="text1"/>
              </w:rPr>
            </w:pPr>
            <w:r w:rsidRPr="002B7BBA">
              <w:rPr>
                <w:color w:val="000000" w:themeColor="text1"/>
              </w:rPr>
              <w:t>Manseng noir</w:t>
            </w:r>
          </w:p>
        </w:tc>
        <w:tc>
          <w:tcPr>
            <w:tcW w:w="1681" w:type="dxa"/>
          </w:tcPr>
          <w:p w14:paraId="5013B12B" w14:textId="77777777" w:rsidR="005D6FD0" w:rsidRDefault="005D6FD0" w:rsidP="005D6FD0">
            <w:r>
              <w:t>France (ancien)</w:t>
            </w:r>
          </w:p>
        </w:tc>
        <w:tc>
          <w:tcPr>
            <w:tcW w:w="1075" w:type="dxa"/>
          </w:tcPr>
          <w:p w14:paraId="1E80B1B7" w14:textId="77777777" w:rsidR="005D6FD0" w:rsidRDefault="005D6FD0" w:rsidP="005D6FD0">
            <w:r>
              <w:t>Rouge</w:t>
            </w:r>
          </w:p>
        </w:tc>
        <w:tc>
          <w:tcPr>
            <w:tcW w:w="955" w:type="dxa"/>
          </w:tcPr>
          <w:p w14:paraId="4A2E6CF5" w14:textId="77777777" w:rsidR="005D6FD0" w:rsidRPr="0006574A" w:rsidRDefault="005D6FD0" w:rsidP="005D6FD0"/>
        </w:tc>
        <w:tc>
          <w:tcPr>
            <w:tcW w:w="965" w:type="dxa"/>
          </w:tcPr>
          <w:p w14:paraId="7216C4AC" w14:textId="77777777" w:rsidR="005D6FD0" w:rsidRPr="0006574A" w:rsidRDefault="005D6FD0" w:rsidP="005D6FD0"/>
        </w:tc>
        <w:tc>
          <w:tcPr>
            <w:tcW w:w="935" w:type="dxa"/>
          </w:tcPr>
          <w:p w14:paraId="6E83FA3C" w14:textId="77777777" w:rsidR="005D6FD0" w:rsidRPr="0006574A" w:rsidRDefault="005D6FD0" w:rsidP="005D6FD0"/>
        </w:tc>
        <w:tc>
          <w:tcPr>
            <w:tcW w:w="734" w:type="dxa"/>
          </w:tcPr>
          <w:p w14:paraId="5823C476" w14:textId="77777777" w:rsidR="005D6FD0" w:rsidRPr="0006574A" w:rsidRDefault="005D6FD0" w:rsidP="005D6FD0"/>
        </w:tc>
        <w:tc>
          <w:tcPr>
            <w:tcW w:w="921" w:type="dxa"/>
          </w:tcPr>
          <w:p w14:paraId="6F34B5A9" w14:textId="77777777" w:rsidR="005D6FD0" w:rsidRPr="0006574A" w:rsidRDefault="005D6FD0" w:rsidP="005D6FD0">
            <w:r>
              <w:sym w:font="Wingdings" w:char="F043"/>
            </w:r>
          </w:p>
        </w:tc>
        <w:tc>
          <w:tcPr>
            <w:tcW w:w="1000" w:type="dxa"/>
          </w:tcPr>
          <w:p w14:paraId="542A0995" w14:textId="77777777" w:rsidR="005D6FD0" w:rsidRPr="0006574A" w:rsidRDefault="005D6FD0" w:rsidP="005D6FD0"/>
        </w:tc>
      </w:tr>
      <w:tr w:rsidR="005D6FD0" w:rsidRPr="0006574A" w14:paraId="2A3BC634" w14:textId="77777777" w:rsidTr="00DE5D1B">
        <w:tc>
          <w:tcPr>
            <w:tcW w:w="2036" w:type="dxa"/>
          </w:tcPr>
          <w:p w14:paraId="04CBE014" w14:textId="77777777" w:rsidR="005D6FD0" w:rsidRPr="002B7BBA" w:rsidRDefault="005D6FD0" w:rsidP="005D6FD0">
            <w:pPr>
              <w:rPr>
                <w:color w:val="000000" w:themeColor="text1"/>
              </w:rPr>
            </w:pPr>
            <w:r w:rsidRPr="002B7BBA">
              <w:rPr>
                <w:color w:val="000000" w:themeColor="text1"/>
              </w:rPr>
              <w:t>Tardif</w:t>
            </w:r>
          </w:p>
        </w:tc>
        <w:tc>
          <w:tcPr>
            <w:tcW w:w="1681" w:type="dxa"/>
          </w:tcPr>
          <w:p w14:paraId="1C601CEF" w14:textId="77777777" w:rsidR="005D6FD0" w:rsidRDefault="005D6FD0" w:rsidP="005D6FD0">
            <w:r>
              <w:t>France (ancien)</w:t>
            </w:r>
          </w:p>
        </w:tc>
        <w:tc>
          <w:tcPr>
            <w:tcW w:w="1075" w:type="dxa"/>
          </w:tcPr>
          <w:p w14:paraId="2E42C31C" w14:textId="77777777" w:rsidR="005D6FD0" w:rsidRDefault="005D6FD0" w:rsidP="005D6FD0">
            <w:r>
              <w:t>Rouge</w:t>
            </w:r>
          </w:p>
        </w:tc>
        <w:tc>
          <w:tcPr>
            <w:tcW w:w="955" w:type="dxa"/>
          </w:tcPr>
          <w:p w14:paraId="5243CB2F" w14:textId="77777777" w:rsidR="005D6FD0" w:rsidRPr="0006574A" w:rsidRDefault="005D6FD0" w:rsidP="005D6FD0"/>
        </w:tc>
        <w:tc>
          <w:tcPr>
            <w:tcW w:w="965" w:type="dxa"/>
          </w:tcPr>
          <w:p w14:paraId="0DD6A4E4" w14:textId="77777777" w:rsidR="005D6FD0" w:rsidRPr="0006574A" w:rsidRDefault="005D6FD0" w:rsidP="005D6FD0"/>
        </w:tc>
        <w:tc>
          <w:tcPr>
            <w:tcW w:w="935" w:type="dxa"/>
          </w:tcPr>
          <w:p w14:paraId="7E8077FF" w14:textId="77777777" w:rsidR="005D6FD0" w:rsidRPr="0006574A" w:rsidRDefault="005D6FD0" w:rsidP="005D6FD0"/>
        </w:tc>
        <w:tc>
          <w:tcPr>
            <w:tcW w:w="734" w:type="dxa"/>
          </w:tcPr>
          <w:p w14:paraId="2188622E" w14:textId="77777777" w:rsidR="005D6FD0" w:rsidRPr="0006574A" w:rsidRDefault="005D6FD0" w:rsidP="005D6FD0"/>
        </w:tc>
        <w:tc>
          <w:tcPr>
            <w:tcW w:w="921" w:type="dxa"/>
          </w:tcPr>
          <w:p w14:paraId="082B51F6" w14:textId="77777777" w:rsidR="005D6FD0" w:rsidRDefault="005D6FD0" w:rsidP="005D6FD0">
            <w:r>
              <w:sym w:font="Wingdings" w:char="F043"/>
            </w:r>
          </w:p>
        </w:tc>
        <w:tc>
          <w:tcPr>
            <w:tcW w:w="1000" w:type="dxa"/>
          </w:tcPr>
          <w:p w14:paraId="00F3F648" w14:textId="77777777" w:rsidR="005D6FD0" w:rsidRPr="0006574A" w:rsidRDefault="005D6FD0" w:rsidP="005D6FD0"/>
        </w:tc>
      </w:tr>
      <w:tr w:rsidR="005D6FD0" w:rsidRPr="0006574A" w14:paraId="6CB956F4" w14:textId="77777777" w:rsidTr="00DE5D1B">
        <w:tc>
          <w:tcPr>
            <w:tcW w:w="2036" w:type="dxa"/>
          </w:tcPr>
          <w:p w14:paraId="522F8C83" w14:textId="77777777" w:rsidR="005D6FD0" w:rsidRPr="002B7BBA" w:rsidRDefault="005D6FD0" w:rsidP="005D6FD0">
            <w:pPr>
              <w:rPr>
                <w:color w:val="000000" w:themeColor="text1"/>
              </w:rPr>
            </w:pPr>
            <w:r w:rsidRPr="002B7BBA">
              <w:rPr>
                <w:color w:val="000000" w:themeColor="text1"/>
              </w:rPr>
              <w:t>Ramsey</w:t>
            </w:r>
          </w:p>
        </w:tc>
        <w:tc>
          <w:tcPr>
            <w:tcW w:w="1681" w:type="dxa"/>
          </w:tcPr>
          <w:p w14:paraId="052E57D8" w14:textId="77777777" w:rsidR="005D6FD0" w:rsidRDefault="005D6FD0" w:rsidP="005D6FD0">
            <w:r>
              <w:t>Australie</w:t>
            </w:r>
          </w:p>
        </w:tc>
        <w:tc>
          <w:tcPr>
            <w:tcW w:w="1075" w:type="dxa"/>
          </w:tcPr>
          <w:p w14:paraId="5DECB7F5" w14:textId="77777777" w:rsidR="005D6FD0" w:rsidRDefault="005D6FD0" w:rsidP="005D6FD0">
            <w:r>
              <w:t>Porte-greffe</w:t>
            </w:r>
          </w:p>
        </w:tc>
        <w:tc>
          <w:tcPr>
            <w:tcW w:w="955" w:type="dxa"/>
          </w:tcPr>
          <w:p w14:paraId="5D5A1E93" w14:textId="77777777" w:rsidR="005D6FD0" w:rsidRPr="0006574A" w:rsidRDefault="005D6FD0" w:rsidP="005D6FD0"/>
        </w:tc>
        <w:tc>
          <w:tcPr>
            <w:tcW w:w="965" w:type="dxa"/>
          </w:tcPr>
          <w:p w14:paraId="6553CECF" w14:textId="77777777" w:rsidR="005D6FD0" w:rsidRPr="0006574A" w:rsidRDefault="005D6FD0" w:rsidP="005D6FD0"/>
        </w:tc>
        <w:tc>
          <w:tcPr>
            <w:tcW w:w="935" w:type="dxa"/>
          </w:tcPr>
          <w:p w14:paraId="5B31BA22" w14:textId="77777777" w:rsidR="005D6FD0" w:rsidRPr="0006574A" w:rsidRDefault="005D6FD0" w:rsidP="005D6FD0"/>
        </w:tc>
        <w:tc>
          <w:tcPr>
            <w:tcW w:w="734" w:type="dxa"/>
          </w:tcPr>
          <w:p w14:paraId="1DBE8983" w14:textId="77777777" w:rsidR="005D6FD0" w:rsidRPr="0006574A" w:rsidRDefault="005D6FD0" w:rsidP="005D6FD0"/>
        </w:tc>
        <w:tc>
          <w:tcPr>
            <w:tcW w:w="921" w:type="dxa"/>
          </w:tcPr>
          <w:p w14:paraId="31AE344B" w14:textId="77777777" w:rsidR="005D6FD0" w:rsidRDefault="005D6FD0" w:rsidP="005D6FD0">
            <w:r>
              <w:sym w:font="Wingdings" w:char="F043"/>
            </w:r>
          </w:p>
        </w:tc>
        <w:tc>
          <w:tcPr>
            <w:tcW w:w="1000" w:type="dxa"/>
          </w:tcPr>
          <w:p w14:paraId="0318E296" w14:textId="77777777" w:rsidR="005D6FD0" w:rsidRPr="0006574A" w:rsidRDefault="005D6FD0" w:rsidP="005D6FD0">
            <w:r>
              <w:sym w:font="Wingdings" w:char="F043"/>
            </w:r>
            <w:r>
              <w:sym w:font="Wingdings" w:char="F043"/>
            </w:r>
          </w:p>
        </w:tc>
      </w:tr>
      <w:tr w:rsidR="005D6FD0" w:rsidRPr="0006574A" w14:paraId="663D2A2D" w14:textId="77777777" w:rsidTr="00DE5D1B">
        <w:tc>
          <w:tcPr>
            <w:tcW w:w="2036" w:type="dxa"/>
          </w:tcPr>
          <w:p w14:paraId="1D49ACE8" w14:textId="77777777" w:rsidR="005D6FD0" w:rsidRPr="002B7BBA" w:rsidRDefault="005D6FD0" w:rsidP="005D6FD0">
            <w:pPr>
              <w:rPr>
                <w:color w:val="000000" w:themeColor="text1"/>
              </w:rPr>
            </w:pPr>
            <w:r w:rsidRPr="002B7BBA">
              <w:rPr>
                <w:color w:val="000000" w:themeColor="text1"/>
              </w:rPr>
              <w:t>Morrastel</w:t>
            </w:r>
          </w:p>
        </w:tc>
        <w:tc>
          <w:tcPr>
            <w:tcW w:w="1681" w:type="dxa"/>
          </w:tcPr>
          <w:p w14:paraId="2E7AF7CE" w14:textId="77777777" w:rsidR="005D6FD0" w:rsidRDefault="005D6FD0" w:rsidP="005D6FD0">
            <w:r>
              <w:t>Espagne</w:t>
            </w:r>
          </w:p>
        </w:tc>
        <w:tc>
          <w:tcPr>
            <w:tcW w:w="1075" w:type="dxa"/>
          </w:tcPr>
          <w:p w14:paraId="3E81642A" w14:textId="77777777" w:rsidR="005D6FD0" w:rsidRDefault="005D6FD0" w:rsidP="005D6FD0"/>
        </w:tc>
        <w:tc>
          <w:tcPr>
            <w:tcW w:w="955" w:type="dxa"/>
          </w:tcPr>
          <w:p w14:paraId="04EC804B" w14:textId="77777777" w:rsidR="005D6FD0" w:rsidRPr="0006574A" w:rsidRDefault="005D6FD0" w:rsidP="005D6FD0"/>
        </w:tc>
        <w:tc>
          <w:tcPr>
            <w:tcW w:w="965" w:type="dxa"/>
          </w:tcPr>
          <w:p w14:paraId="00027958" w14:textId="77777777" w:rsidR="005D6FD0" w:rsidRPr="0006574A" w:rsidRDefault="005D6FD0" w:rsidP="005D6FD0"/>
        </w:tc>
        <w:tc>
          <w:tcPr>
            <w:tcW w:w="935" w:type="dxa"/>
          </w:tcPr>
          <w:p w14:paraId="79F5CC01" w14:textId="77777777" w:rsidR="005D6FD0" w:rsidRPr="0006574A" w:rsidRDefault="005D6FD0" w:rsidP="005D6FD0"/>
        </w:tc>
        <w:tc>
          <w:tcPr>
            <w:tcW w:w="734" w:type="dxa"/>
          </w:tcPr>
          <w:p w14:paraId="65A0348E" w14:textId="77777777" w:rsidR="005D6FD0" w:rsidRPr="0006574A" w:rsidRDefault="005D6FD0" w:rsidP="005D6FD0"/>
        </w:tc>
        <w:tc>
          <w:tcPr>
            <w:tcW w:w="921" w:type="dxa"/>
          </w:tcPr>
          <w:p w14:paraId="4E0D0C78" w14:textId="77777777" w:rsidR="005D6FD0" w:rsidRDefault="005D6FD0" w:rsidP="005D6FD0"/>
        </w:tc>
        <w:tc>
          <w:tcPr>
            <w:tcW w:w="1000" w:type="dxa"/>
          </w:tcPr>
          <w:p w14:paraId="65A42C1C" w14:textId="77777777" w:rsidR="005D6FD0" w:rsidRDefault="005D6FD0" w:rsidP="005D6FD0"/>
        </w:tc>
      </w:tr>
      <w:tr w:rsidR="005D6FD0" w:rsidRPr="0006574A" w14:paraId="13BEE606" w14:textId="77777777" w:rsidTr="00DE5D1B">
        <w:tc>
          <w:tcPr>
            <w:tcW w:w="2036" w:type="dxa"/>
          </w:tcPr>
          <w:p w14:paraId="5387F1CA" w14:textId="77777777" w:rsidR="005D6FD0" w:rsidRPr="002B7BBA" w:rsidRDefault="005D6FD0" w:rsidP="005D6FD0">
            <w:pPr>
              <w:rPr>
                <w:color w:val="000000" w:themeColor="text1"/>
              </w:rPr>
            </w:pPr>
            <w:r w:rsidRPr="002B7BBA">
              <w:rPr>
                <w:color w:val="000000" w:themeColor="text1"/>
              </w:rPr>
              <w:t>Vidoc</w:t>
            </w:r>
          </w:p>
        </w:tc>
        <w:tc>
          <w:tcPr>
            <w:tcW w:w="1681" w:type="dxa"/>
          </w:tcPr>
          <w:p w14:paraId="2153AC60" w14:textId="77777777" w:rsidR="005D6FD0" w:rsidRDefault="005D6FD0" w:rsidP="005D6FD0">
            <w:r>
              <w:t>France (INRA)</w:t>
            </w:r>
          </w:p>
        </w:tc>
        <w:tc>
          <w:tcPr>
            <w:tcW w:w="1075" w:type="dxa"/>
          </w:tcPr>
          <w:p w14:paraId="2208981F" w14:textId="77777777" w:rsidR="005D6FD0" w:rsidRDefault="005D6FD0" w:rsidP="005D6FD0">
            <w:r>
              <w:t>Rouge</w:t>
            </w:r>
          </w:p>
        </w:tc>
        <w:tc>
          <w:tcPr>
            <w:tcW w:w="955" w:type="dxa"/>
          </w:tcPr>
          <w:p w14:paraId="3EC0AE69" w14:textId="77777777" w:rsidR="005D6FD0" w:rsidRPr="0006574A" w:rsidRDefault="005D6FD0" w:rsidP="005D6FD0">
            <w:r>
              <w:sym w:font="Wingdings" w:char="F043"/>
            </w:r>
          </w:p>
        </w:tc>
        <w:tc>
          <w:tcPr>
            <w:tcW w:w="965" w:type="dxa"/>
          </w:tcPr>
          <w:p w14:paraId="00EFC120" w14:textId="77777777" w:rsidR="005D6FD0" w:rsidRPr="0006574A" w:rsidRDefault="005D6FD0" w:rsidP="005D6FD0">
            <w:r>
              <w:sym w:font="Wingdings" w:char="F043"/>
            </w:r>
          </w:p>
        </w:tc>
        <w:tc>
          <w:tcPr>
            <w:tcW w:w="935" w:type="dxa"/>
          </w:tcPr>
          <w:p w14:paraId="08D086FA" w14:textId="77777777" w:rsidR="005D6FD0" w:rsidRPr="0006574A" w:rsidRDefault="005D6FD0" w:rsidP="005D6FD0"/>
        </w:tc>
        <w:tc>
          <w:tcPr>
            <w:tcW w:w="734" w:type="dxa"/>
          </w:tcPr>
          <w:p w14:paraId="42D6C797" w14:textId="77777777" w:rsidR="005D6FD0" w:rsidRPr="0006574A" w:rsidRDefault="005D6FD0" w:rsidP="005D6FD0"/>
        </w:tc>
        <w:tc>
          <w:tcPr>
            <w:tcW w:w="921" w:type="dxa"/>
          </w:tcPr>
          <w:p w14:paraId="44B3B59F" w14:textId="77777777" w:rsidR="005D6FD0" w:rsidRDefault="005D6FD0" w:rsidP="005D6FD0"/>
        </w:tc>
        <w:tc>
          <w:tcPr>
            <w:tcW w:w="1000" w:type="dxa"/>
          </w:tcPr>
          <w:p w14:paraId="3D4B7B1D" w14:textId="77777777" w:rsidR="005D6FD0" w:rsidRDefault="005D6FD0" w:rsidP="005D6FD0">
            <w:r>
              <w:sym w:font="Wingdings" w:char="F043"/>
            </w:r>
            <w:r>
              <w:sym w:font="Wingdings" w:char="F043"/>
            </w:r>
          </w:p>
        </w:tc>
      </w:tr>
      <w:tr w:rsidR="005D6FD0" w:rsidRPr="0006574A" w14:paraId="6E3F820A" w14:textId="77777777" w:rsidTr="00DE5D1B">
        <w:tc>
          <w:tcPr>
            <w:tcW w:w="2036" w:type="dxa"/>
          </w:tcPr>
          <w:p w14:paraId="1D8B2988" w14:textId="77777777" w:rsidR="005D6FD0" w:rsidRPr="002B7BBA" w:rsidRDefault="005D6FD0" w:rsidP="005D6FD0">
            <w:pPr>
              <w:rPr>
                <w:color w:val="000000" w:themeColor="text1"/>
              </w:rPr>
            </w:pPr>
            <w:r w:rsidRPr="002B7BBA">
              <w:rPr>
                <w:color w:val="000000" w:themeColor="text1"/>
              </w:rPr>
              <w:t>Artaban (IJ131)</w:t>
            </w:r>
          </w:p>
        </w:tc>
        <w:tc>
          <w:tcPr>
            <w:tcW w:w="1681" w:type="dxa"/>
          </w:tcPr>
          <w:p w14:paraId="7EC50677" w14:textId="77777777" w:rsidR="005D6FD0" w:rsidRDefault="005D6FD0" w:rsidP="005D6FD0">
            <w:r>
              <w:t>France (INRA)</w:t>
            </w:r>
          </w:p>
        </w:tc>
        <w:tc>
          <w:tcPr>
            <w:tcW w:w="1075" w:type="dxa"/>
          </w:tcPr>
          <w:p w14:paraId="67960F0B" w14:textId="77777777" w:rsidR="005D6FD0" w:rsidRDefault="005D6FD0" w:rsidP="005D6FD0">
            <w:r>
              <w:t>Rouge</w:t>
            </w:r>
          </w:p>
        </w:tc>
        <w:tc>
          <w:tcPr>
            <w:tcW w:w="955" w:type="dxa"/>
          </w:tcPr>
          <w:p w14:paraId="02CC171B" w14:textId="77777777" w:rsidR="005D6FD0" w:rsidRDefault="005D6FD0" w:rsidP="005D6FD0">
            <w:r>
              <w:sym w:font="Wingdings" w:char="F043"/>
            </w:r>
          </w:p>
        </w:tc>
        <w:tc>
          <w:tcPr>
            <w:tcW w:w="965" w:type="dxa"/>
          </w:tcPr>
          <w:p w14:paraId="6A9F0ED1" w14:textId="77777777" w:rsidR="005D6FD0" w:rsidRDefault="005D6FD0" w:rsidP="005D6FD0">
            <w:r>
              <w:sym w:font="Wingdings" w:char="F043"/>
            </w:r>
          </w:p>
        </w:tc>
        <w:tc>
          <w:tcPr>
            <w:tcW w:w="935" w:type="dxa"/>
          </w:tcPr>
          <w:p w14:paraId="730867FA" w14:textId="77777777" w:rsidR="005D6FD0" w:rsidRPr="0006574A" w:rsidRDefault="005D6FD0" w:rsidP="005D6FD0"/>
        </w:tc>
        <w:tc>
          <w:tcPr>
            <w:tcW w:w="734" w:type="dxa"/>
          </w:tcPr>
          <w:p w14:paraId="2489E2EC" w14:textId="77777777" w:rsidR="005D6FD0" w:rsidRPr="0006574A" w:rsidRDefault="005D6FD0" w:rsidP="005D6FD0"/>
        </w:tc>
        <w:tc>
          <w:tcPr>
            <w:tcW w:w="921" w:type="dxa"/>
          </w:tcPr>
          <w:p w14:paraId="58D35060" w14:textId="77777777" w:rsidR="005D6FD0" w:rsidRDefault="005D6FD0" w:rsidP="005D6FD0"/>
        </w:tc>
        <w:tc>
          <w:tcPr>
            <w:tcW w:w="1000" w:type="dxa"/>
          </w:tcPr>
          <w:p w14:paraId="3DBF4825" w14:textId="77777777" w:rsidR="005D6FD0" w:rsidRDefault="005D6FD0" w:rsidP="005D6FD0">
            <w:r>
              <w:sym w:font="Wingdings" w:char="F043"/>
            </w:r>
            <w:r>
              <w:sym w:font="Wingdings" w:char="F043"/>
            </w:r>
          </w:p>
        </w:tc>
      </w:tr>
      <w:tr w:rsidR="005D6FD0" w:rsidRPr="0006574A" w14:paraId="4DC5BEB9" w14:textId="77777777" w:rsidTr="00DE5D1B">
        <w:tc>
          <w:tcPr>
            <w:tcW w:w="2036" w:type="dxa"/>
          </w:tcPr>
          <w:p w14:paraId="156CA83B" w14:textId="77777777" w:rsidR="005D6FD0" w:rsidRPr="002B7BBA" w:rsidRDefault="005D6FD0" w:rsidP="005D6FD0">
            <w:pPr>
              <w:rPr>
                <w:color w:val="000000" w:themeColor="text1"/>
              </w:rPr>
            </w:pPr>
            <w:r w:rsidRPr="002B7BBA">
              <w:rPr>
                <w:color w:val="000000" w:themeColor="text1"/>
              </w:rPr>
              <w:t>Floréal B</w:t>
            </w:r>
          </w:p>
        </w:tc>
        <w:tc>
          <w:tcPr>
            <w:tcW w:w="1681" w:type="dxa"/>
          </w:tcPr>
          <w:p w14:paraId="047E96CF" w14:textId="77777777" w:rsidR="005D6FD0" w:rsidRDefault="005D6FD0" w:rsidP="005D6FD0">
            <w:r>
              <w:t>France (INRA)</w:t>
            </w:r>
          </w:p>
        </w:tc>
        <w:tc>
          <w:tcPr>
            <w:tcW w:w="1075" w:type="dxa"/>
          </w:tcPr>
          <w:p w14:paraId="076C3F98" w14:textId="77777777" w:rsidR="005D6FD0" w:rsidRDefault="005D6FD0" w:rsidP="005D6FD0">
            <w:r>
              <w:t>Blanc</w:t>
            </w:r>
          </w:p>
        </w:tc>
        <w:tc>
          <w:tcPr>
            <w:tcW w:w="955" w:type="dxa"/>
          </w:tcPr>
          <w:p w14:paraId="5ED06D21" w14:textId="77777777" w:rsidR="005D6FD0" w:rsidRDefault="005D6FD0" w:rsidP="005D6FD0">
            <w:r>
              <w:sym w:font="Wingdings" w:char="F043"/>
            </w:r>
          </w:p>
        </w:tc>
        <w:tc>
          <w:tcPr>
            <w:tcW w:w="965" w:type="dxa"/>
          </w:tcPr>
          <w:p w14:paraId="7CF76CB1" w14:textId="77777777" w:rsidR="005D6FD0" w:rsidRDefault="005D6FD0" w:rsidP="005D6FD0">
            <w:r>
              <w:sym w:font="Wingdings" w:char="F043"/>
            </w:r>
          </w:p>
        </w:tc>
        <w:tc>
          <w:tcPr>
            <w:tcW w:w="935" w:type="dxa"/>
          </w:tcPr>
          <w:p w14:paraId="3B11BD1C" w14:textId="77777777" w:rsidR="005D6FD0" w:rsidRPr="0006574A" w:rsidRDefault="005D6FD0" w:rsidP="005D6FD0"/>
        </w:tc>
        <w:tc>
          <w:tcPr>
            <w:tcW w:w="734" w:type="dxa"/>
          </w:tcPr>
          <w:p w14:paraId="3290A9EC" w14:textId="77777777" w:rsidR="005D6FD0" w:rsidRPr="0006574A" w:rsidRDefault="005D6FD0" w:rsidP="005D6FD0"/>
        </w:tc>
        <w:tc>
          <w:tcPr>
            <w:tcW w:w="921" w:type="dxa"/>
          </w:tcPr>
          <w:p w14:paraId="72D398E6" w14:textId="77777777" w:rsidR="005D6FD0" w:rsidRDefault="005D6FD0" w:rsidP="005D6FD0"/>
        </w:tc>
        <w:tc>
          <w:tcPr>
            <w:tcW w:w="1000" w:type="dxa"/>
          </w:tcPr>
          <w:p w14:paraId="3A9DAB69" w14:textId="77777777" w:rsidR="005D6FD0" w:rsidRDefault="005D6FD0" w:rsidP="005D6FD0">
            <w:r>
              <w:sym w:font="Wingdings" w:char="F043"/>
            </w:r>
            <w:r>
              <w:sym w:font="Wingdings" w:char="F043"/>
            </w:r>
          </w:p>
        </w:tc>
      </w:tr>
      <w:tr w:rsidR="005D6FD0" w:rsidRPr="0006574A" w14:paraId="379F2FFA" w14:textId="77777777" w:rsidTr="00DE5D1B">
        <w:tc>
          <w:tcPr>
            <w:tcW w:w="2036" w:type="dxa"/>
          </w:tcPr>
          <w:p w14:paraId="3632A868" w14:textId="77777777" w:rsidR="005D6FD0" w:rsidRPr="002B7BBA" w:rsidRDefault="005D6FD0" w:rsidP="005D6FD0">
            <w:pPr>
              <w:rPr>
                <w:color w:val="000000" w:themeColor="text1"/>
              </w:rPr>
            </w:pPr>
            <w:r w:rsidRPr="002B7BBA">
              <w:rPr>
                <w:color w:val="000000" w:themeColor="text1"/>
              </w:rPr>
              <w:t>Voltis</w:t>
            </w:r>
          </w:p>
        </w:tc>
        <w:tc>
          <w:tcPr>
            <w:tcW w:w="1681" w:type="dxa"/>
          </w:tcPr>
          <w:p w14:paraId="50737885" w14:textId="77777777" w:rsidR="005D6FD0" w:rsidRDefault="005D6FD0" w:rsidP="005D6FD0">
            <w:r>
              <w:t>France (INRA)</w:t>
            </w:r>
          </w:p>
        </w:tc>
        <w:tc>
          <w:tcPr>
            <w:tcW w:w="1075" w:type="dxa"/>
          </w:tcPr>
          <w:p w14:paraId="78E35EE1" w14:textId="77777777" w:rsidR="005D6FD0" w:rsidRDefault="005D6FD0" w:rsidP="005D6FD0">
            <w:r>
              <w:t>Blanc</w:t>
            </w:r>
          </w:p>
        </w:tc>
        <w:tc>
          <w:tcPr>
            <w:tcW w:w="955" w:type="dxa"/>
          </w:tcPr>
          <w:p w14:paraId="45BBD267" w14:textId="77777777" w:rsidR="005D6FD0" w:rsidRDefault="005D6FD0" w:rsidP="005D6FD0">
            <w:r>
              <w:sym w:font="Wingdings" w:char="F043"/>
            </w:r>
          </w:p>
        </w:tc>
        <w:tc>
          <w:tcPr>
            <w:tcW w:w="965" w:type="dxa"/>
          </w:tcPr>
          <w:p w14:paraId="51838C37" w14:textId="77777777" w:rsidR="005D6FD0" w:rsidRDefault="005D6FD0" w:rsidP="005D6FD0">
            <w:r>
              <w:sym w:font="Wingdings" w:char="F043"/>
            </w:r>
          </w:p>
        </w:tc>
        <w:tc>
          <w:tcPr>
            <w:tcW w:w="935" w:type="dxa"/>
          </w:tcPr>
          <w:p w14:paraId="3EA6E8CE" w14:textId="77777777" w:rsidR="005D6FD0" w:rsidRPr="0006574A" w:rsidRDefault="005D6FD0" w:rsidP="005D6FD0"/>
        </w:tc>
        <w:tc>
          <w:tcPr>
            <w:tcW w:w="734" w:type="dxa"/>
          </w:tcPr>
          <w:p w14:paraId="243E03F9" w14:textId="77777777" w:rsidR="005D6FD0" w:rsidRPr="0006574A" w:rsidRDefault="005D6FD0" w:rsidP="005D6FD0"/>
        </w:tc>
        <w:tc>
          <w:tcPr>
            <w:tcW w:w="921" w:type="dxa"/>
          </w:tcPr>
          <w:p w14:paraId="7A2B38D3" w14:textId="77777777" w:rsidR="005D6FD0" w:rsidRDefault="005D6FD0" w:rsidP="005D6FD0"/>
        </w:tc>
        <w:tc>
          <w:tcPr>
            <w:tcW w:w="1000" w:type="dxa"/>
          </w:tcPr>
          <w:p w14:paraId="673000E5" w14:textId="77777777" w:rsidR="005D6FD0" w:rsidRDefault="005D6FD0" w:rsidP="005D6FD0">
            <w:r>
              <w:sym w:font="Wingdings" w:char="F043"/>
            </w:r>
            <w:r>
              <w:sym w:font="Wingdings" w:char="F043"/>
            </w:r>
          </w:p>
        </w:tc>
      </w:tr>
      <w:tr w:rsidR="005D6FD0" w:rsidRPr="0006574A" w14:paraId="053E85A2" w14:textId="77777777" w:rsidTr="00DE5D1B">
        <w:tc>
          <w:tcPr>
            <w:tcW w:w="2036" w:type="dxa"/>
          </w:tcPr>
          <w:p w14:paraId="71005B0A" w14:textId="77777777" w:rsidR="005D6FD0" w:rsidRPr="002B7BBA" w:rsidRDefault="005D6FD0" w:rsidP="005D6FD0">
            <w:pPr>
              <w:rPr>
                <w:color w:val="000000" w:themeColor="text1"/>
              </w:rPr>
            </w:pPr>
            <w:r w:rsidRPr="002B7BBA">
              <w:rPr>
                <w:color w:val="000000" w:themeColor="text1"/>
              </w:rPr>
              <w:lastRenderedPageBreak/>
              <w:t>Bronner B</w:t>
            </w:r>
          </w:p>
        </w:tc>
        <w:tc>
          <w:tcPr>
            <w:tcW w:w="1681" w:type="dxa"/>
          </w:tcPr>
          <w:p w14:paraId="35B18AF1" w14:textId="77777777" w:rsidR="005D6FD0" w:rsidRDefault="005D6FD0" w:rsidP="005D6FD0">
            <w:r>
              <w:t>France (INRA)</w:t>
            </w:r>
          </w:p>
        </w:tc>
        <w:tc>
          <w:tcPr>
            <w:tcW w:w="1075" w:type="dxa"/>
          </w:tcPr>
          <w:p w14:paraId="772C0036" w14:textId="77777777" w:rsidR="005D6FD0" w:rsidRDefault="005D6FD0" w:rsidP="005D6FD0">
            <w:r>
              <w:t>Blanc</w:t>
            </w:r>
          </w:p>
        </w:tc>
        <w:tc>
          <w:tcPr>
            <w:tcW w:w="955" w:type="dxa"/>
          </w:tcPr>
          <w:p w14:paraId="6E110E73" w14:textId="77777777" w:rsidR="005D6FD0" w:rsidRDefault="005D6FD0" w:rsidP="005D6FD0">
            <w:r>
              <w:sym w:font="Wingdings" w:char="F043"/>
            </w:r>
          </w:p>
        </w:tc>
        <w:tc>
          <w:tcPr>
            <w:tcW w:w="965" w:type="dxa"/>
          </w:tcPr>
          <w:p w14:paraId="1F645547" w14:textId="77777777" w:rsidR="005D6FD0" w:rsidRDefault="005D6FD0" w:rsidP="005D6FD0">
            <w:r>
              <w:sym w:font="Wingdings" w:char="F043"/>
            </w:r>
          </w:p>
        </w:tc>
        <w:tc>
          <w:tcPr>
            <w:tcW w:w="935" w:type="dxa"/>
          </w:tcPr>
          <w:p w14:paraId="6728563D" w14:textId="77777777" w:rsidR="005D6FD0" w:rsidRPr="0006574A" w:rsidRDefault="005D6FD0" w:rsidP="005D6FD0">
            <w:r w:rsidRPr="00371D59">
              <w:rPr>
                <w:color w:val="FF0000"/>
              </w:rPr>
              <w:sym w:font="Wingdings" w:char="F0E6"/>
            </w:r>
          </w:p>
        </w:tc>
        <w:tc>
          <w:tcPr>
            <w:tcW w:w="734" w:type="dxa"/>
          </w:tcPr>
          <w:p w14:paraId="11814D03" w14:textId="77777777" w:rsidR="005D6FD0" w:rsidRPr="0006574A" w:rsidRDefault="005D6FD0" w:rsidP="005D6FD0"/>
        </w:tc>
        <w:tc>
          <w:tcPr>
            <w:tcW w:w="921" w:type="dxa"/>
          </w:tcPr>
          <w:p w14:paraId="28742051" w14:textId="77777777" w:rsidR="005D6FD0" w:rsidRDefault="005D6FD0" w:rsidP="005D6FD0">
            <w:r>
              <w:sym w:font="Wingdings" w:char="F043"/>
            </w:r>
          </w:p>
        </w:tc>
        <w:tc>
          <w:tcPr>
            <w:tcW w:w="1000" w:type="dxa"/>
          </w:tcPr>
          <w:p w14:paraId="0A088E0F" w14:textId="77777777" w:rsidR="005D6FD0" w:rsidRDefault="005D6FD0" w:rsidP="005D6FD0">
            <w:r>
              <w:sym w:font="Wingdings" w:char="F043"/>
            </w:r>
            <w:r>
              <w:sym w:font="Wingdings" w:char="F043"/>
            </w:r>
          </w:p>
        </w:tc>
      </w:tr>
      <w:tr w:rsidR="005D6FD0" w:rsidRPr="0006574A" w14:paraId="5D736EFA" w14:textId="77777777" w:rsidTr="00DE5D1B">
        <w:tc>
          <w:tcPr>
            <w:tcW w:w="2036" w:type="dxa"/>
          </w:tcPr>
          <w:p w14:paraId="4A994376" w14:textId="77777777" w:rsidR="005D6FD0" w:rsidRPr="002B7BBA" w:rsidRDefault="005D6FD0" w:rsidP="005D6FD0">
            <w:pPr>
              <w:rPr>
                <w:color w:val="000000" w:themeColor="text1"/>
              </w:rPr>
            </w:pPr>
            <w:r w:rsidRPr="002B7BBA">
              <w:rPr>
                <w:color w:val="000000" w:themeColor="text1"/>
              </w:rPr>
              <w:t>Mourvèdre</w:t>
            </w:r>
          </w:p>
        </w:tc>
        <w:tc>
          <w:tcPr>
            <w:tcW w:w="1681" w:type="dxa"/>
          </w:tcPr>
          <w:p w14:paraId="74BDD4C4" w14:textId="77777777" w:rsidR="005D6FD0" w:rsidRDefault="005D6FD0" w:rsidP="005D6FD0">
            <w:r>
              <w:t>France, Langued</w:t>
            </w:r>
          </w:p>
        </w:tc>
        <w:tc>
          <w:tcPr>
            <w:tcW w:w="1075" w:type="dxa"/>
          </w:tcPr>
          <w:p w14:paraId="3198474F" w14:textId="77777777" w:rsidR="005D6FD0" w:rsidRDefault="005D6FD0" w:rsidP="005D6FD0"/>
        </w:tc>
        <w:tc>
          <w:tcPr>
            <w:tcW w:w="955" w:type="dxa"/>
          </w:tcPr>
          <w:p w14:paraId="39F46EF3" w14:textId="77777777" w:rsidR="005D6FD0" w:rsidRDefault="005D6FD0" w:rsidP="005D6FD0"/>
        </w:tc>
        <w:tc>
          <w:tcPr>
            <w:tcW w:w="965" w:type="dxa"/>
          </w:tcPr>
          <w:p w14:paraId="71514487" w14:textId="77777777" w:rsidR="005D6FD0" w:rsidRDefault="005D6FD0" w:rsidP="005D6FD0"/>
        </w:tc>
        <w:tc>
          <w:tcPr>
            <w:tcW w:w="935" w:type="dxa"/>
          </w:tcPr>
          <w:p w14:paraId="55BEF098" w14:textId="77777777" w:rsidR="005D6FD0" w:rsidRPr="00371D59" w:rsidRDefault="005D6FD0" w:rsidP="005D6FD0">
            <w:pPr>
              <w:rPr>
                <w:color w:val="FF0000"/>
              </w:rPr>
            </w:pPr>
          </w:p>
        </w:tc>
        <w:tc>
          <w:tcPr>
            <w:tcW w:w="734" w:type="dxa"/>
          </w:tcPr>
          <w:p w14:paraId="1920D34F" w14:textId="77777777" w:rsidR="005D6FD0" w:rsidRPr="0006574A" w:rsidRDefault="005D6FD0" w:rsidP="005D6FD0"/>
        </w:tc>
        <w:tc>
          <w:tcPr>
            <w:tcW w:w="921" w:type="dxa"/>
          </w:tcPr>
          <w:p w14:paraId="1B573A3E" w14:textId="77777777" w:rsidR="005D6FD0" w:rsidRDefault="005D6FD0" w:rsidP="005D6FD0"/>
        </w:tc>
        <w:tc>
          <w:tcPr>
            <w:tcW w:w="1000" w:type="dxa"/>
          </w:tcPr>
          <w:p w14:paraId="7C622D5E" w14:textId="77777777" w:rsidR="005D6FD0" w:rsidRDefault="005D6FD0" w:rsidP="005D6FD0"/>
        </w:tc>
      </w:tr>
      <w:tr w:rsidR="005D6FD0" w:rsidRPr="0006574A" w14:paraId="3AD540AC" w14:textId="77777777" w:rsidTr="00DE5D1B">
        <w:tc>
          <w:tcPr>
            <w:tcW w:w="2036" w:type="dxa"/>
          </w:tcPr>
          <w:p w14:paraId="3075422A" w14:textId="77777777" w:rsidR="005D6FD0" w:rsidRPr="002B7BBA" w:rsidRDefault="005D6FD0" w:rsidP="005D6FD0">
            <w:pPr>
              <w:rPr>
                <w:color w:val="000000" w:themeColor="text1"/>
              </w:rPr>
            </w:pPr>
            <w:r w:rsidRPr="002B7BBA">
              <w:rPr>
                <w:color w:val="000000" w:themeColor="text1"/>
              </w:rPr>
              <w:t>Cabernet-Sauvignon</w:t>
            </w:r>
          </w:p>
        </w:tc>
        <w:tc>
          <w:tcPr>
            <w:tcW w:w="1681" w:type="dxa"/>
          </w:tcPr>
          <w:p w14:paraId="1D781AD4" w14:textId="77777777" w:rsidR="005D6FD0" w:rsidRDefault="005D6FD0" w:rsidP="005D6FD0"/>
        </w:tc>
        <w:tc>
          <w:tcPr>
            <w:tcW w:w="1075" w:type="dxa"/>
          </w:tcPr>
          <w:p w14:paraId="23A9FB21" w14:textId="77777777" w:rsidR="005D6FD0" w:rsidRDefault="005D6FD0" w:rsidP="005D6FD0"/>
        </w:tc>
        <w:tc>
          <w:tcPr>
            <w:tcW w:w="955" w:type="dxa"/>
          </w:tcPr>
          <w:p w14:paraId="4B13D8BC" w14:textId="77777777" w:rsidR="005D6FD0" w:rsidRDefault="005D6FD0" w:rsidP="005D6FD0"/>
        </w:tc>
        <w:tc>
          <w:tcPr>
            <w:tcW w:w="965" w:type="dxa"/>
          </w:tcPr>
          <w:p w14:paraId="536E8388" w14:textId="77777777" w:rsidR="005D6FD0" w:rsidRDefault="005D6FD0" w:rsidP="005D6FD0"/>
        </w:tc>
        <w:tc>
          <w:tcPr>
            <w:tcW w:w="935" w:type="dxa"/>
          </w:tcPr>
          <w:p w14:paraId="51B8CD13" w14:textId="77777777" w:rsidR="005D6FD0" w:rsidRPr="00371D59" w:rsidRDefault="005D6FD0" w:rsidP="005D6FD0">
            <w:pPr>
              <w:rPr>
                <w:color w:val="FF0000"/>
              </w:rPr>
            </w:pPr>
          </w:p>
        </w:tc>
        <w:tc>
          <w:tcPr>
            <w:tcW w:w="734" w:type="dxa"/>
          </w:tcPr>
          <w:p w14:paraId="39A0357C" w14:textId="77777777" w:rsidR="005D6FD0" w:rsidRPr="0006574A" w:rsidRDefault="005D6FD0" w:rsidP="005D6FD0"/>
        </w:tc>
        <w:tc>
          <w:tcPr>
            <w:tcW w:w="921" w:type="dxa"/>
          </w:tcPr>
          <w:p w14:paraId="523098E2" w14:textId="77777777" w:rsidR="005D6FD0" w:rsidRDefault="005D6FD0" w:rsidP="005D6FD0"/>
        </w:tc>
        <w:tc>
          <w:tcPr>
            <w:tcW w:w="1000" w:type="dxa"/>
          </w:tcPr>
          <w:p w14:paraId="2D65F0D7" w14:textId="77777777" w:rsidR="005D6FD0" w:rsidRDefault="005D6FD0" w:rsidP="005D6FD0"/>
        </w:tc>
      </w:tr>
      <w:tr w:rsidR="005D6FD0" w:rsidRPr="0006574A" w14:paraId="7D9BFB5B" w14:textId="77777777" w:rsidTr="00DE5D1B">
        <w:tc>
          <w:tcPr>
            <w:tcW w:w="2036" w:type="dxa"/>
          </w:tcPr>
          <w:p w14:paraId="221ED4C9" w14:textId="77777777" w:rsidR="005D6FD0" w:rsidRPr="002B7BBA" w:rsidRDefault="005D6FD0" w:rsidP="005D6FD0">
            <w:pPr>
              <w:rPr>
                <w:i/>
                <w:iCs/>
                <w:color w:val="000000" w:themeColor="text1"/>
              </w:rPr>
            </w:pPr>
            <w:r w:rsidRPr="002B7BBA">
              <w:rPr>
                <w:i/>
                <w:iCs/>
                <w:color w:val="000000" w:themeColor="text1"/>
              </w:rPr>
              <w:t>Vitis berlandieri</w:t>
            </w:r>
          </w:p>
        </w:tc>
        <w:tc>
          <w:tcPr>
            <w:tcW w:w="1681" w:type="dxa"/>
          </w:tcPr>
          <w:p w14:paraId="13D5F5BE" w14:textId="77777777" w:rsidR="005D6FD0" w:rsidRDefault="005D6FD0" w:rsidP="005D6FD0">
            <w:r>
              <w:t>Amérique</w:t>
            </w:r>
          </w:p>
        </w:tc>
        <w:tc>
          <w:tcPr>
            <w:tcW w:w="1075" w:type="dxa"/>
          </w:tcPr>
          <w:p w14:paraId="124141E2" w14:textId="77777777" w:rsidR="005D6FD0" w:rsidRDefault="005D6FD0" w:rsidP="005D6FD0">
            <w:r>
              <w:t>Porte-greffe</w:t>
            </w:r>
          </w:p>
        </w:tc>
        <w:tc>
          <w:tcPr>
            <w:tcW w:w="955" w:type="dxa"/>
          </w:tcPr>
          <w:p w14:paraId="6C8935FE" w14:textId="77777777" w:rsidR="005D6FD0" w:rsidRDefault="005D6FD0" w:rsidP="005D6FD0"/>
        </w:tc>
        <w:tc>
          <w:tcPr>
            <w:tcW w:w="965" w:type="dxa"/>
          </w:tcPr>
          <w:p w14:paraId="66E948A2" w14:textId="77777777" w:rsidR="005D6FD0" w:rsidRDefault="005D6FD0" w:rsidP="005D6FD0"/>
        </w:tc>
        <w:tc>
          <w:tcPr>
            <w:tcW w:w="935" w:type="dxa"/>
          </w:tcPr>
          <w:p w14:paraId="1E945654" w14:textId="77777777" w:rsidR="005D6FD0" w:rsidRPr="00371D59" w:rsidRDefault="005D6FD0" w:rsidP="005D6FD0">
            <w:pPr>
              <w:rPr>
                <w:color w:val="FF0000"/>
              </w:rPr>
            </w:pPr>
          </w:p>
        </w:tc>
        <w:tc>
          <w:tcPr>
            <w:tcW w:w="734" w:type="dxa"/>
          </w:tcPr>
          <w:p w14:paraId="3BC0A870" w14:textId="77777777" w:rsidR="005D6FD0" w:rsidRPr="0006574A" w:rsidRDefault="005D6FD0" w:rsidP="005D6FD0"/>
        </w:tc>
        <w:tc>
          <w:tcPr>
            <w:tcW w:w="921" w:type="dxa"/>
          </w:tcPr>
          <w:p w14:paraId="690A94F2" w14:textId="77777777" w:rsidR="005D6FD0" w:rsidRDefault="005D6FD0" w:rsidP="005D6FD0">
            <w:r>
              <w:sym w:font="Wingdings" w:char="F043"/>
            </w:r>
          </w:p>
        </w:tc>
        <w:tc>
          <w:tcPr>
            <w:tcW w:w="1000" w:type="dxa"/>
          </w:tcPr>
          <w:p w14:paraId="5600F3F6" w14:textId="77777777" w:rsidR="005D6FD0" w:rsidRDefault="005D6FD0" w:rsidP="005D6FD0">
            <w:r>
              <w:sym w:font="Wingdings" w:char="F043"/>
            </w:r>
            <w:r>
              <w:sym w:font="Wingdings" w:char="F043"/>
            </w:r>
          </w:p>
        </w:tc>
      </w:tr>
      <w:tr w:rsidR="005D6FD0" w:rsidRPr="0006574A" w14:paraId="6AED27A6" w14:textId="77777777" w:rsidTr="00DE5D1B">
        <w:tc>
          <w:tcPr>
            <w:tcW w:w="2036" w:type="dxa"/>
          </w:tcPr>
          <w:p w14:paraId="6406CDD7" w14:textId="77777777" w:rsidR="005D6FD0" w:rsidRPr="002B7BBA" w:rsidRDefault="005D6FD0" w:rsidP="005D6FD0">
            <w:pPr>
              <w:rPr>
                <w:color w:val="000000" w:themeColor="text1"/>
              </w:rPr>
            </w:pPr>
            <w:r w:rsidRPr="002B7BBA">
              <w:rPr>
                <w:color w:val="000000" w:themeColor="text1"/>
              </w:rPr>
              <w:t>Cinsaut</w:t>
            </w:r>
          </w:p>
        </w:tc>
        <w:tc>
          <w:tcPr>
            <w:tcW w:w="1681" w:type="dxa"/>
          </w:tcPr>
          <w:p w14:paraId="74138DA4" w14:textId="77777777" w:rsidR="005D6FD0" w:rsidRDefault="005D6FD0" w:rsidP="005D6FD0">
            <w:r>
              <w:t>France (ancien)</w:t>
            </w:r>
          </w:p>
        </w:tc>
        <w:tc>
          <w:tcPr>
            <w:tcW w:w="1075" w:type="dxa"/>
          </w:tcPr>
          <w:p w14:paraId="2D2DB2EF" w14:textId="77777777" w:rsidR="005D6FD0" w:rsidRDefault="005D6FD0" w:rsidP="005D6FD0">
            <w:r>
              <w:t>Rosé</w:t>
            </w:r>
          </w:p>
        </w:tc>
        <w:tc>
          <w:tcPr>
            <w:tcW w:w="955" w:type="dxa"/>
          </w:tcPr>
          <w:p w14:paraId="4D363318" w14:textId="77777777" w:rsidR="005D6FD0" w:rsidRDefault="005D6FD0" w:rsidP="005D6FD0">
            <w:r>
              <w:sym w:font="Wingdings" w:char="F043"/>
            </w:r>
          </w:p>
        </w:tc>
        <w:tc>
          <w:tcPr>
            <w:tcW w:w="965" w:type="dxa"/>
          </w:tcPr>
          <w:p w14:paraId="3353095E" w14:textId="77777777" w:rsidR="005D6FD0" w:rsidRDefault="005D6FD0" w:rsidP="005D6FD0">
            <w:r>
              <w:sym w:font="Wingdings" w:char="F043"/>
            </w:r>
          </w:p>
        </w:tc>
        <w:tc>
          <w:tcPr>
            <w:tcW w:w="935" w:type="dxa"/>
          </w:tcPr>
          <w:p w14:paraId="139B3956" w14:textId="77777777" w:rsidR="005D6FD0" w:rsidRPr="00371D59" w:rsidRDefault="005D6FD0" w:rsidP="005D6FD0">
            <w:pPr>
              <w:rPr>
                <w:color w:val="FF0000"/>
              </w:rPr>
            </w:pPr>
          </w:p>
        </w:tc>
        <w:tc>
          <w:tcPr>
            <w:tcW w:w="734" w:type="dxa"/>
          </w:tcPr>
          <w:p w14:paraId="44F35815" w14:textId="77777777" w:rsidR="005D6FD0" w:rsidRPr="0006574A" w:rsidRDefault="005D6FD0" w:rsidP="005D6FD0"/>
        </w:tc>
        <w:tc>
          <w:tcPr>
            <w:tcW w:w="921" w:type="dxa"/>
          </w:tcPr>
          <w:p w14:paraId="4686EE2D" w14:textId="77777777" w:rsidR="005D6FD0" w:rsidRDefault="005D6FD0" w:rsidP="005D6FD0">
            <w:r>
              <w:sym w:font="Wingdings" w:char="F043"/>
            </w:r>
          </w:p>
        </w:tc>
        <w:tc>
          <w:tcPr>
            <w:tcW w:w="1000" w:type="dxa"/>
          </w:tcPr>
          <w:p w14:paraId="416C184D" w14:textId="77777777" w:rsidR="005D6FD0" w:rsidRDefault="005D6FD0" w:rsidP="005D6FD0">
            <w:r>
              <w:sym w:font="Wingdings" w:char="F043"/>
            </w:r>
            <w:r>
              <w:sym w:font="Wingdings" w:char="F043"/>
            </w:r>
          </w:p>
        </w:tc>
      </w:tr>
      <w:tr w:rsidR="005D6FD0" w:rsidRPr="0006574A" w14:paraId="0B07E5E8" w14:textId="77777777" w:rsidTr="00DE5D1B">
        <w:tc>
          <w:tcPr>
            <w:tcW w:w="2036" w:type="dxa"/>
          </w:tcPr>
          <w:p w14:paraId="2716F7CD" w14:textId="77777777" w:rsidR="005D6FD0" w:rsidRPr="002B7BBA" w:rsidRDefault="005D6FD0" w:rsidP="005D6FD0">
            <w:pPr>
              <w:rPr>
                <w:color w:val="000000" w:themeColor="text1"/>
              </w:rPr>
            </w:pPr>
            <w:r w:rsidRPr="002B7BBA">
              <w:rPr>
                <w:color w:val="000000" w:themeColor="text1"/>
              </w:rPr>
              <w:t>Rolle</w:t>
            </w:r>
          </w:p>
        </w:tc>
        <w:tc>
          <w:tcPr>
            <w:tcW w:w="1681" w:type="dxa"/>
          </w:tcPr>
          <w:p w14:paraId="372D4DE9" w14:textId="77777777" w:rsidR="005D6FD0" w:rsidRDefault="005D6FD0" w:rsidP="005D6FD0">
            <w:r>
              <w:t>France (ancien)</w:t>
            </w:r>
          </w:p>
        </w:tc>
        <w:tc>
          <w:tcPr>
            <w:tcW w:w="1075" w:type="dxa"/>
          </w:tcPr>
          <w:p w14:paraId="6012C6B3" w14:textId="77777777" w:rsidR="005D6FD0" w:rsidRDefault="005D6FD0" w:rsidP="005D6FD0">
            <w:r>
              <w:t>Rosé</w:t>
            </w:r>
          </w:p>
        </w:tc>
        <w:tc>
          <w:tcPr>
            <w:tcW w:w="955" w:type="dxa"/>
          </w:tcPr>
          <w:p w14:paraId="4B5D9FD0" w14:textId="77777777" w:rsidR="005D6FD0" w:rsidRDefault="005D6FD0" w:rsidP="005D6FD0">
            <w:r>
              <w:sym w:font="Wingdings" w:char="F043"/>
            </w:r>
          </w:p>
        </w:tc>
        <w:tc>
          <w:tcPr>
            <w:tcW w:w="965" w:type="dxa"/>
          </w:tcPr>
          <w:p w14:paraId="61C8BFC8" w14:textId="77777777" w:rsidR="005D6FD0" w:rsidRDefault="005D6FD0" w:rsidP="005D6FD0">
            <w:r>
              <w:sym w:font="Wingdings" w:char="F043"/>
            </w:r>
          </w:p>
        </w:tc>
        <w:tc>
          <w:tcPr>
            <w:tcW w:w="935" w:type="dxa"/>
          </w:tcPr>
          <w:p w14:paraId="6D7257F6" w14:textId="77777777" w:rsidR="005D6FD0" w:rsidRPr="00371D59" w:rsidRDefault="005D6FD0" w:rsidP="005D6FD0">
            <w:pPr>
              <w:rPr>
                <w:color w:val="FF0000"/>
              </w:rPr>
            </w:pPr>
          </w:p>
        </w:tc>
        <w:tc>
          <w:tcPr>
            <w:tcW w:w="734" w:type="dxa"/>
          </w:tcPr>
          <w:p w14:paraId="56A55F51" w14:textId="77777777" w:rsidR="005D6FD0" w:rsidRPr="0006574A" w:rsidRDefault="005D6FD0" w:rsidP="005D6FD0"/>
        </w:tc>
        <w:tc>
          <w:tcPr>
            <w:tcW w:w="921" w:type="dxa"/>
          </w:tcPr>
          <w:p w14:paraId="21469672" w14:textId="77777777" w:rsidR="005D6FD0" w:rsidRDefault="005D6FD0" w:rsidP="005D6FD0">
            <w:r>
              <w:sym w:font="Wingdings" w:char="F043"/>
            </w:r>
          </w:p>
        </w:tc>
        <w:tc>
          <w:tcPr>
            <w:tcW w:w="1000" w:type="dxa"/>
          </w:tcPr>
          <w:p w14:paraId="2C065C19" w14:textId="77777777" w:rsidR="005D6FD0" w:rsidRDefault="005D6FD0" w:rsidP="005D6FD0">
            <w:r>
              <w:sym w:font="Wingdings" w:char="F043"/>
            </w:r>
            <w:r>
              <w:sym w:font="Wingdings" w:char="F043"/>
            </w:r>
          </w:p>
        </w:tc>
      </w:tr>
      <w:tr w:rsidR="005D6FD0" w:rsidRPr="0006574A" w14:paraId="77AF7231" w14:textId="77777777" w:rsidTr="00DE5D1B">
        <w:tc>
          <w:tcPr>
            <w:tcW w:w="2036" w:type="dxa"/>
          </w:tcPr>
          <w:p w14:paraId="490B98F2" w14:textId="77777777" w:rsidR="005D6FD0" w:rsidRPr="002B7BBA" w:rsidRDefault="005D6FD0" w:rsidP="005D6FD0">
            <w:pPr>
              <w:rPr>
                <w:color w:val="000000" w:themeColor="text1"/>
              </w:rPr>
            </w:pPr>
            <w:r w:rsidRPr="002B7BBA">
              <w:rPr>
                <w:i/>
                <w:iCs/>
                <w:color w:val="000000" w:themeColor="text1"/>
              </w:rPr>
              <w:t>Vitis rotundifolia</w:t>
            </w:r>
          </w:p>
          <w:p w14:paraId="5CF7676F" w14:textId="77777777" w:rsidR="005D6FD0" w:rsidRPr="002B7BBA" w:rsidRDefault="005D6FD0" w:rsidP="005D6FD0">
            <w:pPr>
              <w:rPr>
                <w:color w:val="000000" w:themeColor="text1"/>
              </w:rPr>
            </w:pPr>
            <w:r w:rsidRPr="002B7BBA">
              <w:rPr>
                <w:color w:val="000000" w:themeColor="text1"/>
              </w:rPr>
              <w:t>(Muscadine)</w:t>
            </w:r>
          </w:p>
        </w:tc>
        <w:tc>
          <w:tcPr>
            <w:tcW w:w="1681" w:type="dxa"/>
          </w:tcPr>
          <w:p w14:paraId="1A480044" w14:textId="77777777" w:rsidR="005D6FD0" w:rsidRDefault="005D6FD0" w:rsidP="005D6FD0">
            <w:r>
              <w:t>Amérique</w:t>
            </w:r>
          </w:p>
        </w:tc>
        <w:tc>
          <w:tcPr>
            <w:tcW w:w="1075" w:type="dxa"/>
          </w:tcPr>
          <w:p w14:paraId="573EFC9B" w14:textId="77777777" w:rsidR="005D6FD0" w:rsidRDefault="005D6FD0" w:rsidP="005D6FD0">
            <w:r>
              <w:t>Porte-greffe</w:t>
            </w:r>
          </w:p>
        </w:tc>
        <w:tc>
          <w:tcPr>
            <w:tcW w:w="955" w:type="dxa"/>
          </w:tcPr>
          <w:p w14:paraId="266DA039" w14:textId="77777777" w:rsidR="005D6FD0" w:rsidRDefault="005D6FD0" w:rsidP="005D6FD0">
            <w:r>
              <w:sym w:font="Wingdings" w:char="F043"/>
            </w:r>
          </w:p>
          <w:p w14:paraId="56A88359" w14:textId="77777777" w:rsidR="005D6FD0" w:rsidRDefault="005D6FD0" w:rsidP="005D6FD0">
            <w:r>
              <w:t>Variable</w:t>
            </w:r>
          </w:p>
        </w:tc>
        <w:tc>
          <w:tcPr>
            <w:tcW w:w="965" w:type="dxa"/>
          </w:tcPr>
          <w:p w14:paraId="19C3C29A" w14:textId="77777777" w:rsidR="005D6FD0" w:rsidRDefault="005D6FD0" w:rsidP="005D6FD0">
            <w:r>
              <w:sym w:font="Wingdings" w:char="F043"/>
            </w:r>
          </w:p>
          <w:p w14:paraId="060D5C8D" w14:textId="77777777" w:rsidR="005D6FD0" w:rsidRDefault="005D6FD0" w:rsidP="005D6FD0">
            <w:r>
              <w:t>Variable</w:t>
            </w:r>
          </w:p>
        </w:tc>
        <w:tc>
          <w:tcPr>
            <w:tcW w:w="935" w:type="dxa"/>
          </w:tcPr>
          <w:p w14:paraId="49A42F17" w14:textId="77777777" w:rsidR="005D6FD0" w:rsidRPr="00371D59" w:rsidRDefault="005D6FD0" w:rsidP="005D6FD0">
            <w:pPr>
              <w:rPr>
                <w:color w:val="FF0000"/>
              </w:rPr>
            </w:pPr>
          </w:p>
        </w:tc>
        <w:tc>
          <w:tcPr>
            <w:tcW w:w="734" w:type="dxa"/>
          </w:tcPr>
          <w:p w14:paraId="3AAF6317" w14:textId="77777777" w:rsidR="005D6FD0" w:rsidRPr="0006574A" w:rsidRDefault="005D6FD0" w:rsidP="005D6FD0"/>
        </w:tc>
        <w:tc>
          <w:tcPr>
            <w:tcW w:w="921" w:type="dxa"/>
          </w:tcPr>
          <w:p w14:paraId="75794C1C" w14:textId="77777777" w:rsidR="005D6FD0" w:rsidRDefault="005D6FD0" w:rsidP="005D6FD0">
            <w:r>
              <w:sym w:font="Wingdings" w:char="F043"/>
            </w:r>
          </w:p>
        </w:tc>
        <w:tc>
          <w:tcPr>
            <w:tcW w:w="1000" w:type="dxa"/>
          </w:tcPr>
          <w:p w14:paraId="4969B772" w14:textId="77777777" w:rsidR="005D6FD0" w:rsidRDefault="005D6FD0" w:rsidP="005D6FD0">
            <w:r>
              <w:sym w:font="Wingdings" w:char="F043"/>
            </w:r>
            <w:r>
              <w:sym w:font="Wingdings" w:char="F043"/>
            </w:r>
          </w:p>
        </w:tc>
      </w:tr>
      <w:tr w:rsidR="005D6FD0" w:rsidRPr="0006574A" w14:paraId="3E4F4D05" w14:textId="77777777" w:rsidTr="00DE5D1B">
        <w:tc>
          <w:tcPr>
            <w:tcW w:w="2036" w:type="dxa"/>
          </w:tcPr>
          <w:p w14:paraId="20BCC394" w14:textId="77777777" w:rsidR="005D6FD0" w:rsidRPr="002B7BBA" w:rsidRDefault="005D6FD0" w:rsidP="005D6FD0">
            <w:pPr>
              <w:rPr>
                <w:color w:val="000000" w:themeColor="text1"/>
              </w:rPr>
            </w:pPr>
            <w:r w:rsidRPr="002B7BBA">
              <w:rPr>
                <w:color w:val="000000" w:themeColor="text1"/>
              </w:rPr>
              <w:t>Monarch Noir</w:t>
            </w:r>
          </w:p>
        </w:tc>
        <w:tc>
          <w:tcPr>
            <w:tcW w:w="1681" w:type="dxa"/>
          </w:tcPr>
          <w:p w14:paraId="04A7CF53" w14:textId="77777777" w:rsidR="005D6FD0" w:rsidRDefault="005D6FD0" w:rsidP="005D6FD0"/>
        </w:tc>
        <w:tc>
          <w:tcPr>
            <w:tcW w:w="1075" w:type="dxa"/>
          </w:tcPr>
          <w:p w14:paraId="34C94C5D" w14:textId="77777777" w:rsidR="005D6FD0" w:rsidRDefault="005D6FD0" w:rsidP="005D6FD0">
            <w:r>
              <w:t>Rouge</w:t>
            </w:r>
          </w:p>
        </w:tc>
        <w:tc>
          <w:tcPr>
            <w:tcW w:w="955" w:type="dxa"/>
          </w:tcPr>
          <w:p w14:paraId="298361E1" w14:textId="77777777" w:rsidR="005D6FD0" w:rsidRDefault="005D6FD0" w:rsidP="005D6FD0">
            <w:r>
              <w:sym w:font="Wingdings" w:char="F043"/>
            </w:r>
          </w:p>
        </w:tc>
        <w:tc>
          <w:tcPr>
            <w:tcW w:w="965" w:type="dxa"/>
          </w:tcPr>
          <w:p w14:paraId="304EC344" w14:textId="77777777" w:rsidR="005D6FD0" w:rsidRDefault="005D6FD0" w:rsidP="005D6FD0">
            <w:r>
              <w:sym w:font="Wingdings" w:char="F043"/>
            </w:r>
          </w:p>
        </w:tc>
        <w:tc>
          <w:tcPr>
            <w:tcW w:w="935" w:type="dxa"/>
          </w:tcPr>
          <w:p w14:paraId="58A5C8F7" w14:textId="77777777" w:rsidR="005D6FD0" w:rsidRPr="00371D59" w:rsidRDefault="005D6FD0" w:rsidP="005D6FD0">
            <w:pPr>
              <w:rPr>
                <w:color w:val="FF0000"/>
              </w:rPr>
            </w:pPr>
            <w:r>
              <w:sym w:font="Wingdings" w:char="F043"/>
            </w:r>
          </w:p>
        </w:tc>
        <w:tc>
          <w:tcPr>
            <w:tcW w:w="734" w:type="dxa"/>
          </w:tcPr>
          <w:p w14:paraId="6B1B8D96" w14:textId="77777777" w:rsidR="005D6FD0" w:rsidRPr="0006574A" w:rsidRDefault="005D6FD0" w:rsidP="005D6FD0"/>
        </w:tc>
        <w:tc>
          <w:tcPr>
            <w:tcW w:w="921" w:type="dxa"/>
          </w:tcPr>
          <w:p w14:paraId="1B1395E0" w14:textId="77777777" w:rsidR="005D6FD0" w:rsidRDefault="005D6FD0" w:rsidP="005D6FD0"/>
        </w:tc>
        <w:tc>
          <w:tcPr>
            <w:tcW w:w="1000" w:type="dxa"/>
          </w:tcPr>
          <w:p w14:paraId="596978E2" w14:textId="77777777" w:rsidR="005D6FD0" w:rsidRPr="00371D59" w:rsidRDefault="005D6FD0" w:rsidP="005D6FD0">
            <w:pPr>
              <w:rPr>
                <w:color w:val="FF0000"/>
              </w:rPr>
            </w:pPr>
          </w:p>
        </w:tc>
      </w:tr>
      <w:tr w:rsidR="005D6FD0" w:rsidRPr="0006574A" w14:paraId="2076669A" w14:textId="77777777" w:rsidTr="00DE5D1B">
        <w:tc>
          <w:tcPr>
            <w:tcW w:w="2036" w:type="dxa"/>
          </w:tcPr>
          <w:p w14:paraId="034A8745" w14:textId="77777777" w:rsidR="005D6FD0" w:rsidRPr="002B7BBA" w:rsidRDefault="005D6FD0" w:rsidP="005D6FD0">
            <w:pPr>
              <w:rPr>
                <w:color w:val="000000" w:themeColor="text1"/>
              </w:rPr>
            </w:pPr>
            <w:r w:rsidRPr="002B7BBA">
              <w:rPr>
                <w:color w:val="000000" w:themeColor="text1"/>
              </w:rPr>
              <w:t>Muscaris Blanc</w:t>
            </w:r>
          </w:p>
        </w:tc>
        <w:tc>
          <w:tcPr>
            <w:tcW w:w="1681" w:type="dxa"/>
          </w:tcPr>
          <w:p w14:paraId="5D341C5C" w14:textId="77777777" w:rsidR="005D6FD0" w:rsidRDefault="005D6FD0" w:rsidP="005D6FD0"/>
        </w:tc>
        <w:tc>
          <w:tcPr>
            <w:tcW w:w="1075" w:type="dxa"/>
          </w:tcPr>
          <w:p w14:paraId="3330DB67" w14:textId="77777777" w:rsidR="005D6FD0" w:rsidRDefault="005D6FD0" w:rsidP="005D6FD0">
            <w:r>
              <w:t>Blanc</w:t>
            </w:r>
          </w:p>
        </w:tc>
        <w:tc>
          <w:tcPr>
            <w:tcW w:w="955" w:type="dxa"/>
          </w:tcPr>
          <w:p w14:paraId="745DD110" w14:textId="77777777" w:rsidR="005D6FD0" w:rsidRDefault="005D6FD0" w:rsidP="005D6FD0">
            <w:r>
              <w:sym w:font="Wingdings" w:char="F043"/>
            </w:r>
          </w:p>
        </w:tc>
        <w:tc>
          <w:tcPr>
            <w:tcW w:w="965" w:type="dxa"/>
          </w:tcPr>
          <w:p w14:paraId="4E2A3A10" w14:textId="77777777" w:rsidR="005D6FD0" w:rsidRDefault="005D6FD0" w:rsidP="005D6FD0">
            <w:r>
              <w:sym w:font="Wingdings" w:char="F043"/>
            </w:r>
          </w:p>
        </w:tc>
        <w:tc>
          <w:tcPr>
            <w:tcW w:w="935" w:type="dxa"/>
          </w:tcPr>
          <w:p w14:paraId="45025D57" w14:textId="77777777" w:rsidR="005D6FD0" w:rsidRPr="00371D59" w:rsidRDefault="005D6FD0" w:rsidP="005D6FD0">
            <w:pPr>
              <w:rPr>
                <w:color w:val="FF0000"/>
              </w:rPr>
            </w:pPr>
            <w:r>
              <w:sym w:font="Wingdings" w:char="F043"/>
            </w:r>
          </w:p>
        </w:tc>
        <w:tc>
          <w:tcPr>
            <w:tcW w:w="734" w:type="dxa"/>
          </w:tcPr>
          <w:p w14:paraId="06C3B12B" w14:textId="77777777" w:rsidR="005D6FD0" w:rsidRPr="0006574A" w:rsidRDefault="005D6FD0" w:rsidP="005D6FD0"/>
        </w:tc>
        <w:tc>
          <w:tcPr>
            <w:tcW w:w="921" w:type="dxa"/>
          </w:tcPr>
          <w:p w14:paraId="1C707AF1" w14:textId="77777777" w:rsidR="005D6FD0" w:rsidRDefault="005D6FD0" w:rsidP="005D6FD0"/>
        </w:tc>
        <w:tc>
          <w:tcPr>
            <w:tcW w:w="1000" w:type="dxa"/>
          </w:tcPr>
          <w:p w14:paraId="22292B7F" w14:textId="77777777" w:rsidR="005D6FD0" w:rsidRPr="00371D59" w:rsidRDefault="005D6FD0" w:rsidP="005D6FD0">
            <w:pPr>
              <w:rPr>
                <w:color w:val="FF0000"/>
              </w:rPr>
            </w:pPr>
          </w:p>
        </w:tc>
      </w:tr>
      <w:tr w:rsidR="005D6FD0" w:rsidRPr="0006574A" w14:paraId="5F2F2A48" w14:textId="77777777" w:rsidTr="00DE5D1B">
        <w:tc>
          <w:tcPr>
            <w:tcW w:w="2036" w:type="dxa"/>
          </w:tcPr>
          <w:p w14:paraId="794AF603" w14:textId="77777777" w:rsidR="005D6FD0" w:rsidRPr="002B7BBA" w:rsidRDefault="005D6FD0" w:rsidP="005D6FD0">
            <w:pPr>
              <w:rPr>
                <w:color w:val="000000" w:themeColor="text1"/>
              </w:rPr>
            </w:pPr>
            <w:r w:rsidRPr="002B7BBA">
              <w:rPr>
                <w:color w:val="000000" w:themeColor="text1"/>
              </w:rPr>
              <w:t>Prior Noir</w:t>
            </w:r>
          </w:p>
        </w:tc>
        <w:tc>
          <w:tcPr>
            <w:tcW w:w="1681" w:type="dxa"/>
          </w:tcPr>
          <w:p w14:paraId="4BCCC9A6" w14:textId="77777777" w:rsidR="005D6FD0" w:rsidRDefault="005D6FD0" w:rsidP="005D6FD0"/>
        </w:tc>
        <w:tc>
          <w:tcPr>
            <w:tcW w:w="1075" w:type="dxa"/>
          </w:tcPr>
          <w:p w14:paraId="0A60C930" w14:textId="77777777" w:rsidR="005D6FD0" w:rsidRDefault="005D6FD0" w:rsidP="005D6FD0">
            <w:r>
              <w:t>Rouge</w:t>
            </w:r>
          </w:p>
        </w:tc>
        <w:tc>
          <w:tcPr>
            <w:tcW w:w="955" w:type="dxa"/>
          </w:tcPr>
          <w:p w14:paraId="3E12EEC9" w14:textId="77777777" w:rsidR="005D6FD0" w:rsidRDefault="005D6FD0" w:rsidP="005D6FD0">
            <w:r>
              <w:sym w:font="Wingdings" w:char="F043"/>
            </w:r>
          </w:p>
        </w:tc>
        <w:tc>
          <w:tcPr>
            <w:tcW w:w="965" w:type="dxa"/>
          </w:tcPr>
          <w:p w14:paraId="775F5F45" w14:textId="77777777" w:rsidR="005D6FD0" w:rsidRDefault="005D6FD0" w:rsidP="005D6FD0">
            <w:r>
              <w:sym w:font="Wingdings" w:char="F043"/>
            </w:r>
          </w:p>
        </w:tc>
        <w:tc>
          <w:tcPr>
            <w:tcW w:w="935" w:type="dxa"/>
          </w:tcPr>
          <w:p w14:paraId="20D6DA7F" w14:textId="77777777" w:rsidR="005D6FD0" w:rsidRPr="00371D59" w:rsidRDefault="005D6FD0" w:rsidP="005D6FD0">
            <w:pPr>
              <w:rPr>
                <w:color w:val="FF0000"/>
              </w:rPr>
            </w:pPr>
            <w:r>
              <w:sym w:font="Wingdings" w:char="F043"/>
            </w:r>
          </w:p>
        </w:tc>
        <w:tc>
          <w:tcPr>
            <w:tcW w:w="734" w:type="dxa"/>
          </w:tcPr>
          <w:p w14:paraId="6D88FA7F" w14:textId="77777777" w:rsidR="005D6FD0" w:rsidRPr="0006574A" w:rsidRDefault="005D6FD0" w:rsidP="005D6FD0"/>
        </w:tc>
        <w:tc>
          <w:tcPr>
            <w:tcW w:w="921" w:type="dxa"/>
          </w:tcPr>
          <w:p w14:paraId="3AFEDB77" w14:textId="77777777" w:rsidR="005D6FD0" w:rsidRDefault="005D6FD0" w:rsidP="005D6FD0"/>
        </w:tc>
        <w:tc>
          <w:tcPr>
            <w:tcW w:w="1000" w:type="dxa"/>
          </w:tcPr>
          <w:p w14:paraId="5E362B7C" w14:textId="77777777" w:rsidR="005D6FD0" w:rsidRPr="00371D59" w:rsidRDefault="005D6FD0" w:rsidP="005D6FD0">
            <w:pPr>
              <w:rPr>
                <w:color w:val="FF0000"/>
              </w:rPr>
            </w:pPr>
          </w:p>
        </w:tc>
      </w:tr>
      <w:tr w:rsidR="005D6FD0" w:rsidRPr="0006574A" w14:paraId="2EB7C115" w14:textId="77777777" w:rsidTr="00DE5D1B">
        <w:tc>
          <w:tcPr>
            <w:tcW w:w="2036" w:type="dxa"/>
          </w:tcPr>
          <w:p w14:paraId="2F75FE20" w14:textId="77777777" w:rsidR="005D6FD0" w:rsidRPr="002B7BBA" w:rsidRDefault="005D6FD0" w:rsidP="005D6FD0">
            <w:pPr>
              <w:rPr>
                <w:color w:val="000000" w:themeColor="text1"/>
              </w:rPr>
            </w:pPr>
            <w:r w:rsidRPr="002B7BBA">
              <w:rPr>
                <w:color w:val="000000" w:themeColor="text1"/>
              </w:rPr>
              <w:t>Souvignier Gris</w:t>
            </w:r>
          </w:p>
        </w:tc>
        <w:tc>
          <w:tcPr>
            <w:tcW w:w="1681" w:type="dxa"/>
          </w:tcPr>
          <w:p w14:paraId="5CA2CFAA" w14:textId="77777777" w:rsidR="005D6FD0" w:rsidRDefault="005D6FD0" w:rsidP="005D6FD0"/>
        </w:tc>
        <w:tc>
          <w:tcPr>
            <w:tcW w:w="1075" w:type="dxa"/>
          </w:tcPr>
          <w:p w14:paraId="6D0595E1" w14:textId="77777777" w:rsidR="005D6FD0" w:rsidRDefault="005D6FD0" w:rsidP="005D6FD0">
            <w:r>
              <w:t>Blanc</w:t>
            </w:r>
          </w:p>
        </w:tc>
        <w:tc>
          <w:tcPr>
            <w:tcW w:w="955" w:type="dxa"/>
          </w:tcPr>
          <w:p w14:paraId="0A53D2E0" w14:textId="77777777" w:rsidR="005D6FD0" w:rsidRDefault="005D6FD0" w:rsidP="005D6FD0">
            <w:r>
              <w:sym w:font="Wingdings" w:char="F043"/>
            </w:r>
          </w:p>
        </w:tc>
        <w:tc>
          <w:tcPr>
            <w:tcW w:w="965" w:type="dxa"/>
          </w:tcPr>
          <w:p w14:paraId="4CCD91D9" w14:textId="77777777" w:rsidR="005D6FD0" w:rsidRDefault="005D6FD0" w:rsidP="005D6FD0">
            <w:r>
              <w:sym w:font="Wingdings" w:char="F043"/>
            </w:r>
          </w:p>
        </w:tc>
        <w:tc>
          <w:tcPr>
            <w:tcW w:w="935" w:type="dxa"/>
          </w:tcPr>
          <w:p w14:paraId="05610DB3" w14:textId="77777777" w:rsidR="005D6FD0" w:rsidRDefault="005D6FD0" w:rsidP="005D6FD0">
            <w:r>
              <w:sym w:font="Wingdings" w:char="F043"/>
            </w:r>
          </w:p>
        </w:tc>
        <w:tc>
          <w:tcPr>
            <w:tcW w:w="734" w:type="dxa"/>
          </w:tcPr>
          <w:p w14:paraId="775733A9" w14:textId="77777777" w:rsidR="005D6FD0" w:rsidRPr="0006574A" w:rsidRDefault="005D6FD0" w:rsidP="005D6FD0"/>
        </w:tc>
        <w:tc>
          <w:tcPr>
            <w:tcW w:w="921" w:type="dxa"/>
          </w:tcPr>
          <w:p w14:paraId="6765DDF7" w14:textId="77777777" w:rsidR="005D6FD0" w:rsidRDefault="005D6FD0" w:rsidP="005D6FD0"/>
        </w:tc>
        <w:tc>
          <w:tcPr>
            <w:tcW w:w="1000" w:type="dxa"/>
          </w:tcPr>
          <w:p w14:paraId="4A014B6F" w14:textId="77777777" w:rsidR="005D6FD0" w:rsidRPr="00371D59" w:rsidRDefault="005D6FD0" w:rsidP="005D6FD0">
            <w:pPr>
              <w:rPr>
                <w:color w:val="FF0000"/>
              </w:rPr>
            </w:pPr>
          </w:p>
        </w:tc>
      </w:tr>
      <w:tr w:rsidR="005D6FD0" w:rsidRPr="0006574A" w14:paraId="6ECE4D7C" w14:textId="77777777" w:rsidTr="00DE5D1B">
        <w:tc>
          <w:tcPr>
            <w:tcW w:w="2036" w:type="dxa"/>
          </w:tcPr>
          <w:p w14:paraId="5A7721B6" w14:textId="77777777" w:rsidR="005D6FD0" w:rsidRPr="002B7BBA" w:rsidRDefault="00000000" w:rsidP="005D6FD0">
            <w:pPr>
              <w:rPr>
                <w:rFonts w:ascii="Calibri" w:hAnsi="Calibri" w:cs="Calibri"/>
                <w:color w:val="000000" w:themeColor="text1"/>
              </w:rPr>
            </w:pPr>
            <w:hyperlink r:id="rId435" w:tooltip="Fetească neagră" w:history="1">
              <w:r w:rsidR="005D6FD0" w:rsidRPr="002B7BBA">
                <w:rPr>
                  <w:rStyle w:val="Lienhypertexte"/>
                  <w:rFonts w:ascii="Calibri" w:hAnsi="Calibri" w:cs="Calibri"/>
                  <w:color w:val="000000" w:themeColor="text1"/>
                  <w:shd w:val="clear" w:color="auto" w:fill="FFFFFF"/>
                </w:rPr>
                <w:t>Fetească neagră</w:t>
              </w:r>
            </w:hyperlink>
            <w:r w:rsidR="005D6FD0" w:rsidRPr="002B7BBA">
              <w:rPr>
                <w:rFonts w:ascii="Calibri" w:hAnsi="Calibri" w:cs="Calibri"/>
                <w:color w:val="000000" w:themeColor="text1"/>
              </w:rPr>
              <w:t xml:space="preserve"> ou noir des pucelles</w:t>
            </w:r>
          </w:p>
        </w:tc>
        <w:tc>
          <w:tcPr>
            <w:tcW w:w="1681" w:type="dxa"/>
          </w:tcPr>
          <w:p w14:paraId="27553037" w14:textId="77777777" w:rsidR="005D6FD0" w:rsidRDefault="005D6FD0" w:rsidP="005D6FD0">
            <w:r>
              <w:t>Roumanie</w:t>
            </w:r>
          </w:p>
        </w:tc>
        <w:tc>
          <w:tcPr>
            <w:tcW w:w="1075" w:type="dxa"/>
          </w:tcPr>
          <w:p w14:paraId="0A277371" w14:textId="77777777" w:rsidR="005D6FD0" w:rsidRDefault="005D6FD0" w:rsidP="005D6FD0">
            <w:r>
              <w:t>Rouge</w:t>
            </w:r>
          </w:p>
        </w:tc>
        <w:tc>
          <w:tcPr>
            <w:tcW w:w="955" w:type="dxa"/>
          </w:tcPr>
          <w:p w14:paraId="26847824" w14:textId="77777777" w:rsidR="005D6FD0" w:rsidRDefault="005D6FD0" w:rsidP="005D6FD0">
            <w:r>
              <w:sym w:font="Wingdings" w:char="F043"/>
            </w:r>
          </w:p>
        </w:tc>
        <w:tc>
          <w:tcPr>
            <w:tcW w:w="965" w:type="dxa"/>
          </w:tcPr>
          <w:p w14:paraId="4301B87F" w14:textId="77777777" w:rsidR="005D6FD0" w:rsidRDefault="005D6FD0" w:rsidP="005D6FD0"/>
        </w:tc>
        <w:tc>
          <w:tcPr>
            <w:tcW w:w="935" w:type="dxa"/>
          </w:tcPr>
          <w:p w14:paraId="340FBB8D" w14:textId="77777777" w:rsidR="005D6FD0" w:rsidRDefault="005D6FD0" w:rsidP="005D6FD0"/>
        </w:tc>
        <w:tc>
          <w:tcPr>
            <w:tcW w:w="734" w:type="dxa"/>
          </w:tcPr>
          <w:p w14:paraId="5A9ADAC6" w14:textId="77777777" w:rsidR="005D6FD0" w:rsidRDefault="005D6FD0" w:rsidP="005D6FD0">
            <w:pPr>
              <w:rPr>
                <w:color w:val="FF0000"/>
              </w:rPr>
            </w:pPr>
            <w:r>
              <w:rPr>
                <w:color w:val="008000"/>
              </w:rPr>
              <w:t>Hiver</w:t>
            </w:r>
          </w:p>
          <w:p w14:paraId="01C7D3DF" w14:textId="77777777" w:rsidR="005D6FD0" w:rsidRPr="00965E4C" w:rsidRDefault="005D6FD0" w:rsidP="005D6FD0">
            <w:pPr>
              <w:rPr>
                <w:color w:val="FF0000"/>
              </w:rPr>
            </w:pPr>
            <w:r>
              <w:rPr>
                <w:color w:val="FF0000"/>
              </w:rPr>
              <w:t>Print.</w:t>
            </w:r>
          </w:p>
        </w:tc>
        <w:tc>
          <w:tcPr>
            <w:tcW w:w="921" w:type="dxa"/>
          </w:tcPr>
          <w:p w14:paraId="6A17C1BD" w14:textId="77777777" w:rsidR="005D6FD0" w:rsidRDefault="005D6FD0" w:rsidP="005D6FD0">
            <w:r>
              <w:sym w:font="Wingdings" w:char="F043"/>
            </w:r>
          </w:p>
        </w:tc>
        <w:tc>
          <w:tcPr>
            <w:tcW w:w="1000" w:type="dxa"/>
          </w:tcPr>
          <w:p w14:paraId="2C70648D" w14:textId="77777777" w:rsidR="005D6FD0" w:rsidRPr="00371D59" w:rsidRDefault="005D6FD0" w:rsidP="005D6FD0">
            <w:pPr>
              <w:rPr>
                <w:color w:val="FF0000"/>
              </w:rPr>
            </w:pPr>
            <w:r>
              <w:sym w:font="Wingdings" w:char="F043"/>
            </w:r>
            <w:r>
              <w:sym w:font="Wingdings" w:char="F043"/>
            </w:r>
          </w:p>
        </w:tc>
      </w:tr>
      <w:tr w:rsidR="005D6FD0" w:rsidRPr="0006574A" w14:paraId="32042DFE" w14:textId="77777777" w:rsidTr="00DE5D1B">
        <w:tc>
          <w:tcPr>
            <w:tcW w:w="2036" w:type="dxa"/>
          </w:tcPr>
          <w:p w14:paraId="7B7F8D32" w14:textId="77777777" w:rsidR="005D6FD0" w:rsidRPr="002B7BBA" w:rsidRDefault="005D6FD0" w:rsidP="005D6FD0">
            <w:pPr>
              <w:rPr>
                <w:color w:val="000000" w:themeColor="text1"/>
              </w:rPr>
            </w:pPr>
            <w:r w:rsidRPr="002B7BBA">
              <w:rPr>
                <w:color w:val="000000" w:themeColor="text1"/>
              </w:rPr>
              <w:t>110R</w:t>
            </w:r>
          </w:p>
        </w:tc>
        <w:tc>
          <w:tcPr>
            <w:tcW w:w="1681" w:type="dxa"/>
          </w:tcPr>
          <w:p w14:paraId="6758C0CE" w14:textId="77777777" w:rsidR="005D6FD0" w:rsidRDefault="005D6FD0" w:rsidP="005D6FD0">
            <w:r>
              <w:t>Australie</w:t>
            </w:r>
          </w:p>
        </w:tc>
        <w:tc>
          <w:tcPr>
            <w:tcW w:w="1075" w:type="dxa"/>
          </w:tcPr>
          <w:p w14:paraId="52E99299" w14:textId="77777777" w:rsidR="005D6FD0" w:rsidRDefault="005D6FD0" w:rsidP="005D6FD0"/>
        </w:tc>
        <w:tc>
          <w:tcPr>
            <w:tcW w:w="955" w:type="dxa"/>
          </w:tcPr>
          <w:p w14:paraId="65A9E9C5" w14:textId="77777777" w:rsidR="005D6FD0" w:rsidRDefault="005D6FD0" w:rsidP="005D6FD0"/>
        </w:tc>
        <w:tc>
          <w:tcPr>
            <w:tcW w:w="965" w:type="dxa"/>
          </w:tcPr>
          <w:p w14:paraId="427A23E0" w14:textId="77777777" w:rsidR="005D6FD0" w:rsidRDefault="005D6FD0" w:rsidP="005D6FD0"/>
        </w:tc>
        <w:tc>
          <w:tcPr>
            <w:tcW w:w="935" w:type="dxa"/>
          </w:tcPr>
          <w:p w14:paraId="62BF2522" w14:textId="77777777" w:rsidR="005D6FD0" w:rsidRDefault="005D6FD0" w:rsidP="005D6FD0"/>
        </w:tc>
        <w:tc>
          <w:tcPr>
            <w:tcW w:w="734" w:type="dxa"/>
          </w:tcPr>
          <w:p w14:paraId="5A00849B" w14:textId="77777777" w:rsidR="005D6FD0" w:rsidRDefault="005D6FD0" w:rsidP="005D6FD0">
            <w:pPr>
              <w:rPr>
                <w:color w:val="008000"/>
              </w:rPr>
            </w:pPr>
          </w:p>
        </w:tc>
        <w:tc>
          <w:tcPr>
            <w:tcW w:w="921" w:type="dxa"/>
          </w:tcPr>
          <w:p w14:paraId="60EC26CB" w14:textId="77777777" w:rsidR="005D6FD0" w:rsidRDefault="005D6FD0" w:rsidP="005D6FD0">
            <w:r>
              <w:sym w:font="Wingdings" w:char="F043"/>
            </w:r>
          </w:p>
        </w:tc>
        <w:tc>
          <w:tcPr>
            <w:tcW w:w="1000" w:type="dxa"/>
          </w:tcPr>
          <w:p w14:paraId="5E991695" w14:textId="77777777" w:rsidR="005D6FD0" w:rsidRDefault="005D6FD0" w:rsidP="005D6FD0">
            <w:r>
              <w:sym w:font="Wingdings" w:char="F043"/>
            </w:r>
            <w:r>
              <w:sym w:font="Wingdings" w:char="F043"/>
            </w:r>
          </w:p>
        </w:tc>
      </w:tr>
      <w:tr w:rsidR="005D6FD0" w:rsidRPr="0006574A" w14:paraId="56D4DEE0" w14:textId="77777777" w:rsidTr="00DE5D1B">
        <w:tc>
          <w:tcPr>
            <w:tcW w:w="2036" w:type="dxa"/>
          </w:tcPr>
          <w:p w14:paraId="65653746" w14:textId="77777777" w:rsidR="005D6FD0" w:rsidRPr="002B7BBA" w:rsidRDefault="005D6FD0" w:rsidP="005D6FD0">
            <w:pPr>
              <w:rPr>
                <w:color w:val="000000" w:themeColor="text1"/>
              </w:rPr>
            </w:pPr>
            <w:r w:rsidRPr="002B7BBA">
              <w:rPr>
                <w:color w:val="000000" w:themeColor="text1"/>
              </w:rPr>
              <w:t>140Ru</w:t>
            </w:r>
          </w:p>
        </w:tc>
        <w:tc>
          <w:tcPr>
            <w:tcW w:w="1681" w:type="dxa"/>
          </w:tcPr>
          <w:p w14:paraId="770655A3" w14:textId="77777777" w:rsidR="005D6FD0" w:rsidRDefault="005D6FD0" w:rsidP="005D6FD0">
            <w:r>
              <w:t>Australie</w:t>
            </w:r>
          </w:p>
        </w:tc>
        <w:tc>
          <w:tcPr>
            <w:tcW w:w="1075" w:type="dxa"/>
          </w:tcPr>
          <w:p w14:paraId="49104CEB" w14:textId="77777777" w:rsidR="005D6FD0" w:rsidRDefault="005D6FD0" w:rsidP="005D6FD0"/>
        </w:tc>
        <w:tc>
          <w:tcPr>
            <w:tcW w:w="955" w:type="dxa"/>
          </w:tcPr>
          <w:p w14:paraId="1163B335" w14:textId="77777777" w:rsidR="005D6FD0" w:rsidRDefault="005D6FD0" w:rsidP="005D6FD0"/>
        </w:tc>
        <w:tc>
          <w:tcPr>
            <w:tcW w:w="965" w:type="dxa"/>
          </w:tcPr>
          <w:p w14:paraId="38DEB7F2" w14:textId="77777777" w:rsidR="005D6FD0" w:rsidRDefault="005D6FD0" w:rsidP="005D6FD0"/>
        </w:tc>
        <w:tc>
          <w:tcPr>
            <w:tcW w:w="935" w:type="dxa"/>
          </w:tcPr>
          <w:p w14:paraId="53438186" w14:textId="77777777" w:rsidR="005D6FD0" w:rsidRDefault="005D6FD0" w:rsidP="005D6FD0"/>
        </w:tc>
        <w:tc>
          <w:tcPr>
            <w:tcW w:w="734" w:type="dxa"/>
          </w:tcPr>
          <w:p w14:paraId="5FCCDDE0" w14:textId="77777777" w:rsidR="005D6FD0" w:rsidRDefault="005D6FD0" w:rsidP="005D6FD0">
            <w:pPr>
              <w:rPr>
                <w:color w:val="008000"/>
              </w:rPr>
            </w:pPr>
          </w:p>
        </w:tc>
        <w:tc>
          <w:tcPr>
            <w:tcW w:w="921" w:type="dxa"/>
          </w:tcPr>
          <w:p w14:paraId="5168BF4D" w14:textId="77777777" w:rsidR="005D6FD0" w:rsidRDefault="005D6FD0" w:rsidP="005D6FD0">
            <w:r>
              <w:sym w:font="Wingdings" w:char="F043"/>
            </w:r>
          </w:p>
        </w:tc>
        <w:tc>
          <w:tcPr>
            <w:tcW w:w="1000" w:type="dxa"/>
          </w:tcPr>
          <w:p w14:paraId="3A7FE083" w14:textId="77777777" w:rsidR="005D6FD0" w:rsidRDefault="005D6FD0" w:rsidP="005D6FD0">
            <w:r>
              <w:sym w:font="Wingdings" w:char="F043"/>
            </w:r>
            <w:r>
              <w:sym w:font="Wingdings" w:char="F043"/>
            </w:r>
          </w:p>
        </w:tc>
      </w:tr>
      <w:tr w:rsidR="005D6FD0" w:rsidRPr="0006574A" w14:paraId="452AF625" w14:textId="77777777" w:rsidTr="00DE5D1B">
        <w:tc>
          <w:tcPr>
            <w:tcW w:w="2036" w:type="dxa"/>
          </w:tcPr>
          <w:p w14:paraId="3F7716AF" w14:textId="77777777" w:rsidR="005D6FD0" w:rsidRPr="002B7BBA" w:rsidRDefault="005D6FD0" w:rsidP="005D6FD0">
            <w:pPr>
              <w:rPr>
                <w:color w:val="000000" w:themeColor="text1"/>
              </w:rPr>
            </w:pPr>
            <w:r w:rsidRPr="002B7BBA">
              <w:rPr>
                <w:color w:val="000000" w:themeColor="text1"/>
              </w:rPr>
              <w:t>Saperavi</w:t>
            </w:r>
          </w:p>
        </w:tc>
        <w:tc>
          <w:tcPr>
            <w:tcW w:w="1681" w:type="dxa"/>
          </w:tcPr>
          <w:p w14:paraId="56AE1336" w14:textId="77777777" w:rsidR="005D6FD0" w:rsidRDefault="005D6FD0" w:rsidP="005D6FD0">
            <w:r>
              <w:t>Géorgie</w:t>
            </w:r>
          </w:p>
        </w:tc>
        <w:tc>
          <w:tcPr>
            <w:tcW w:w="1075" w:type="dxa"/>
          </w:tcPr>
          <w:p w14:paraId="6F23DE13" w14:textId="77777777" w:rsidR="005D6FD0" w:rsidRDefault="005D6FD0" w:rsidP="005D6FD0">
            <w:r>
              <w:t>Rouge</w:t>
            </w:r>
          </w:p>
        </w:tc>
        <w:tc>
          <w:tcPr>
            <w:tcW w:w="955" w:type="dxa"/>
          </w:tcPr>
          <w:p w14:paraId="4E0B687A" w14:textId="77777777" w:rsidR="005D6FD0" w:rsidRDefault="005D6FD0" w:rsidP="005D6FD0">
            <w:r>
              <w:sym w:font="Wingdings" w:char="F043"/>
            </w:r>
          </w:p>
        </w:tc>
        <w:tc>
          <w:tcPr>
            <w:tcW w:w="965" w:type="dxa"/>
          </w:tcPr>
          <w:p w14:paraId="26B3E79D" w14:textId="77777777" w:rsidR="005D6FD0" w:rsidRDefault="005D6FD0" w:rsidP="005D6FD0">
            <w:r>
              <w:sym w:font="Wingdings" w:char="F043"/>
            </w:r>
          </w:p>
        </w:tc>
        <w:tc>
          <w:tcPr>
            <w:tcW w:w="935" w:type="dxa"/>
          </w:tcPr>
          <w:p w14:paraId="5EC93CF6" w14:textId="77777777" w:rsidR="005D6FD0" w:rsidRDefault="005D6FD0" w:rsidP="005D6FD0"/>
        </w:tc>
        <w:tc>
          <w:tcPr>
            <w:tcW w:w="734" w:type="dxa"/>
          </w:tcPr>
          <w:p w14:paraId="69349BC8" w14:textId="77777777" w:rsidR="005D6FD0" w:rsidRPr="00333C53" w:rsidRDefault="005D6FD0" w:rsidP="005D6FD0">
            <w:pPr>
              <w:rPr>
                <w:color w:val="FF0000"/>
              </w:rPr>
            </w:pPr>
            <w:r>
              <w:rPr>
                <w:color w:val="008000"/>
              </w:rPr>
              <w:t>Hiver</w:t>
            </w:r>
          </w:p>
        </w:tc>
        <w:tc>
          <w:tcPr>
            <w:tcW w:w="921" w:type="dxa"/>
          </w:tcPr>
          <w:p w14:paraId="22492F82" w14:textId="77777777" w:rsidR="005D6FD0" w:rsidRDefault="005D6FD0" w:rsidP="005D6FD0">
            <w:r>
              <w:sym w:font="Wingdings" w:char="F043"/>
            </w:r>
          </w:p>
        </w:tc>
        <w:tc>
          <w:tcPr>
            <w:tcW w:w="1000" w:type="dxa"/>
          </w:tcPr>
          <w:p w14:paraId="6CB05E9F" w14:textId="77777777" w:rsidR="005D6FD0" w:rsidRDefault="005D6FD0" w:rsidP="005D6FD0">
            <w:r>
              <w:sym w:font="Wingdings" w:char="F043"/>
            </w:r>
            <w:r>
              <w:sym w:font="Wingdings" w:char="F043"/>
            </w:r>
          </w:p>
        </w:tc>
      </w:tr>
      <w:tr w:rsidR="005D6FD0" w:rsidRPr="0006574A" w14:paraId="39976234" w14:textId="77777777" w:rsidTr="00DE5D1B">
        <w:tc>
          <w:tcPr>
            <w:tcW w:w="2036" w:type="dxa"/>
          </w:tcPr>
          <w:p w14:paraId="1C31B100" w14:textId="77777777" w:rsidR="005D6FD0" w:rsidRPr="002B7BBA" w:rsidRDefault="005D6FD0" w:rsidP="005D6FD0">
            <w:pPr>
              <w:rPr>
                <w:color w:val="000000" w:themeColor="text1"/>
              </w:rPr>
            </w:pPr>
            <w:r w:rsidRPr="002B7BBA">
              <w:rPr>
                <w:color w:val="000000" w:themeColor="text1"/>
              </w:rPr>
              <w:t>Bourboulenc (B)</w:t>
            </w:r>
          </w:p>
        </w:tc>
        <w:tc>
          <w:tcPr>
            <w:tcW w:w="1681" w:type="dxa"/>
          </w:tcPr>
          <w:p w14:paraId="39601262" w14:textId="77777777" w:rsidR="005D6FD0" w:rsidRDefault="005D6FD0" w:rsidP="005D6FD0">
            <w:r>
              <w:t>France, Langued</w:t>
            </w:r>
          </w:p>
        </w:tc>
        <w:tc>
          <w:tcPr>
            <w:tcW w:w="1075" w:type="dxa"/>
          </w:tcPr>
          <w:p w14:paraId="35AE1B16" w14:textId="77777777" w:rsidR="005D6FD0" w:rsidRDefault="005D6FD0" w:rsidP="005D6FD0">
            <w:r>
              <w:t>Blanc</w:t>
            </w:r>
          </w:p>
        </w:tc>
        <w:tc>
          <w:tcPr>
            <w:tcW w:w="955" w:type="dxa"/>
          </w:tcPr>
          <w:p w14:paraId="7351DA87" w14:textId="77777777" w:rsidR="005D6FD0" w:rsidRDefault="005D6FD0" w:rsidP="005D6FD0"/>
        </w:tc>
        <w:tc>
          <w:tcPr>
            <w:tcW w:w="965" w:type="dxa"/>
          </w:tcPr>
          <w:p w14:paraId="26396E72" w14:textId="77777777" w:rsidR="005D6FD0" w:rsidRDefault="005D6FD0" w:rsidP="005D6FD0"/>
        </w:tc>
        <w:tc>
          <w:tcPr>
            <w:tcW w:w="935" w:type="dxa"/>
          </w:tcPr>
          <w:p w14:paraId="044ED991" w14:textId="77777777" w:rsidR="005D6FD0" w:rsidRDefault="005D6FD0" w:rsidP="005D6FD0"/>
        </w:tc>
        <w:tc>
          <w:tcPr>
            <w:tcW w:w="734" w:type="dxa"/>
          </w:tcPr>
          <w:p w14:paraId="5FFD5475" w14:textId="77777777" w:rsidR="005D6FD0" w:rsidRDefault="005D6FD0" w:rsidP="005D6FD0">
            <w:pPr>
              <w:rPr>
                <w:color w:val="008000"/>
              </w:rPr>
            </w:pPr>
          </w:p>
        </w:tc>
        <w:tc>
          <w:tcPr>
            <w:tcW w:w="921" w:type="dxa"/>
          </w:tcPr>
          <w:p w14:paraId="149E02F8" w14:textId="77777777" w:rsidR="005D6FD0" w:rsidRDefault="005D6FD0" w:rsidP="005D6FD0">
            <w:r>
              <w:sym w:font="Wingdings" w:char="F043"/>
            </w:r>
          </w:p>
        </w:tc>
        <w:tc>
          <w:tcPr>
            <w:tcW w:w="1000" w:type="dxa"/>
          </w:tcPr>
          <w:p w14:paraId="0CE49E3E" w14:textId="77777777" w:rsidR="005D6FD0" w:rsidRDefault="005D6FD0" w:rsidP="005D6FD0">
            <w:r>
              <w:sym w:font="Wingdings" w:char="F043"/>
            </w:r>
            <w:r>
              <w:sym w:font="Wingdings" w:char="F043"/>
            </w:r>
          </w:p>
        </w:tc>
      </w:tr>
      <w:tr w:rsidR="005D6FD0" w:rsidRPr="0006574A" w14:paraId="37D3CB2F" w14:textId="77777777" w:rsidTr="00DE5D1B">
        <w:tc>
          <w:tcPr>
            <w:tcW w:w="2036" w:type="dxa"/>
          </w:tcPr>
          <w:p w14:paraId="7F9F28C6" w14:textId="77777777" w:rsidR="005D6FD0" w:rsidRPr="002B7BBA" w:rsidRDefault="005D6FD0" w:rsidP="005D6FD0">
            <w:pPr>
              <w:rPr>
                <w:color w:val="000000" w:themeColor="text1"/>
              </w:rPr>
            </w:pPr>
            <w:r w:rsidRPr="002B7BBA">
              <w:rPr>
                <w:color w:val="000000" w:themeColor="text1"/>
              </w:rPr>
              <w:t>Tourbat (B), torbato, caninu ou malvoise du Roussillon</w:t>
            </w:r>
          </w:p>
        </w:tc>
        <w:tc>
          <w:tcPr>
            <w:tcW w:w="1681" w:type="dxa"/>
          </w:tcPr>
          <w:p w14:paraId="17EC2380" w14:textId="77777777" w:rsidR="005D6FD0" w:rsidRDefault="005D6FD0" w:rsidP="005D6FD0">
            <w:r>
              <w:t>Italie, Sardaigne</w:t>
            </w:r>
          </w:p>
        </w:tc>
        <w:tc>
          <w:tcPr>
            <w:tcW w:w="1075" w:type="dxa"/>
          </w:tcPr>
          <w:p w14:paraId="591AAACF" w14:textId="77777777" w:rsidR="005D6FD0" w:rsidRDefault="005D6FD0" w:rsidP="005D6FD0">
            <w:r>
              <w:t>Blanc</w:t>
            </w:r>
          </w:p>
        </w:tc>
        <w:tc>
          <w:tcPr>
            <w:tcW w:w="955" w:type="dxa"/>
          </w:tcPr>
          <w:p w14:paraId="6F17A1B6" w14:textId="77777777" w:rsidR="005D6FD0" w:rsidRPr="00FD5F78" w:rsidRDefault="005D6FD0" w:rsidP="005D6FD0">
            <w:pPr>
              <w:rPr>
                <w:color w:val="FF0000"/>
              </w:rPr>
            </w:pPr>
            <w:r>
              <w:rPr>
                <w:color w:val="FF0000"/>
              </w:rPr>
              <w:sym w:font="Wingdings" w:char="F0E6"/>
            </w:r>
          </w:p>
        </w:tc>
        <w:tc>
          <w:tcPr>
            <w:tcW w:w="965" w:type="dxa"/>
          </w:tcPr>
          <w:p w14:paraId="78A3AD23" w14:textId="77777777" w:rsidR="005D6FD0" w:rsidRDefault="005D6FD0" w:rsidP="005D6FD0">
            <w:r>
              <w:rPr>
                <w:color w:val="FF0000"/>
              </w:rPr>
              <w:sym w:font="Wingdings" w:char="F0E6"/>
            </w:r>
          </w:p>
        </w:tc>
        <w:tc>
          <w:tcPr>
            <w:tcW w:w="935" w:type="dxa"/>
          </w:tcPr>
          <w:p w14:paraId="3A3618D1" w14:textId="77777777" w:rsidR="005D6FD0" w:rsidRDefault="005D6FD0" w:rsidP="005D6FD0"/>
        </w:tc>
        <w:tc>
          <w:tcPr>
            <w:tcW w:w="734" w:type="dxa"/>
          </w:tcPr>
          <w:p w14:paraId="4862E291" w14:textId="77777777" w:rsidR="005D6FD0" w:rsidRDefault="005D6FD0" w:rsidP="005D6FD0">
            <w:pPr>
              <w:rPr>
                <w:color w:val="008000"/>
              </w:rPr>
            </w:pPr>
          </w:p>
        </w:tc>
        <w:tc>
          <w:tcPr>
            <w:tcW w:w="921" w:type="dxa"/>
          </w:tcPr>
          <w:p w14:paraId="149AA9F2" w14:textId="77777777" w:rsidR="005D6FD0" w:rsidRDefault="005D6FD0" w:rsidP="005D6FD0">
            <w:r>
              <w:sym w:font="Wingdings" w:char="F043"/>
            </w:r>
          </w:p>
        </w:tc>
        <w:tc>
          <w:tcPr>
            <w:tcW w:w="1000" w:type="dxa"/>
          </w:tcPr>
          <w:p w14:paraId="0C767784" w14:textId="77777777" w:rsidR="005D6FD0" w:rsidRDefault="005D6FD0" w:rsidP="005D6FD0">
            <w:r>
              <w:sym w:font="Wingdings" w:char="F043"/>
            </w:r>
            <w:r>
              <w:sym w:font="Wingdings" w:char="F043"/>
            </w:r>
          </w:p>
        </w:tc>
      </w:tr>
      <w:tr w:rsidR="005D6FD0" w:rsidRPr="0006574A" w14:paraId="1682D6A8" w14:textId="77777777" w:rsidTr="00DE5D1B">
        <w:tc>
          <w:tcPr>
            <w:tcW w:w="2036" w:type="dxa"/>
          </w:tcPr>
          <w:p w14:paraId="5326A7CF" w14:textId="77777777" w:rsidR="005D6FD0" w:rsidRPr="002B7BBA" w:rsidRDefault="005D6FD0" w:rsidP="005D6FD0">
            <w:pPr>
              <w:rPr>
                <w:color w:val="000000" w:themeColor="text1"/>
              </w:rPr>
            </w:pPr>
            <w:r w:rsidRPr="002B7BBA">
              <w:rPr>
                <w:color w:val="000000" w:themeColor="text1"/>
              </w:rPr>
              <w:t xml:space="preserve">Morastel, </w:t>
            </w:r>
            <w:r w:rsidRPr="002B7BBA">
              <w:rPr>
                <w:rFonts w:ascii="Calibri" w:hAnsi="Calibri" w:cs="Calibri"/>
                <w:color w:val="000000" w:themeColor="text1"/>
                <w:shd w:val="clear" w:color="auto" w:fill="FFFFFF"/>
              </w:rPr>
              <w:t>graciano</w:t>
            </w:r>
          </w:p>
        </w:tc>
        <w:tc>
          <w:tcPr>
            <w:tcW w:w="1681" w:type="dxa"/>
          </w:tcPr>
          <w:p w14:paraId="0D0092F5" w14:textId="77777777" w:rsidR="005D6FD0" w:rsidRDefault="005D6FD0" w:rsidP="005D6FD0">
            <w:r>
              <w:t>France (ancien)</w:t>
            </w:r>
          </w:p>
        </w:tc>
        <w:tc>
          <w:tcPr>
            <w:tcW w:w="1075" w:type="dxa"/>
          </w:tcPr>
          <w:p w14:paraId="6A1283EA" w14:textId="77777777" w:rsidR="005D6FD0" w:rsidRDefault="005D6FD0" w:rsidP="005D6FD0">
            <w:r>
              <w:t>Rouge</w:t>
            </w:r>
          </w:p>
        </w:tc>
        <w:tc>
          <w:tcPr>
            <w:tcW w:w="955" w:type="dxa"/>
          </w:tcPr>
          <w:p w14:paraId="635B89B6" w14:textId="77777777" w:rsidR="005D6FD0" w:rsidRDefault="005D6FD0" w:rsidP="005D6FD0">
            <w:pPr>
              <w:rPr>
                <w:color w:val="FF0000"/>
              </w:rPr>
            </w:pPr>
            <w:r>
              <w:rPr>
                <w:color w:val="FF0000"/>
              </w:rPr>
              <w:t>(</w:t>
            </w:r>
            <w:r>
              <w:rPr>
                <w:color w:val="FF0000"/>
              </w:rPr>
              <w:sym w:font="Wingdings" w:char="F0E6"/>
            </w:r>
            <w:r>
              <w:rPr>
                <w:color w:val="FF0000"/>
              </w:rPr>
              <w:t>)</w:t>
            </w:r>
          </w:p>
        </w:tc>
        <w:tc>
          <w:tcPr>
            <w:tcW w:w="965" w:type="dxa"/>
          </w:tcPr>
          <w:p w14:paraId="49BF05ED" w14:textId="77777777" w:rsidR="005D6FD0" w:rsidRDefault="005D6FD0" w:rsidP="005D6FD0">
            <w:pPr>
              <w:rPr>
                <w:color w:val="FF0000"/>
              </w:rPr>
            </w:pPr>
            <w:r>
              <w:sym w:font="Wingdings" w:char="F043"/>
            </w:r>
          </w:p>
        </w:tc>
        <w:tc>
          <w:tcPr>
            <w:tcW w:w="935" w:type="dxa"/>
          </w:tcPr>
          <w:p w14:paraId="405323C6" w14:textId="77777777" w:rsidR="005D6FD0" w:rsidRDefault="005D6FD0" w:rsidP="005D6FD0"/>
        </w:tc>
        <w:tc>
          <w:tcPr>
            <w:tcW w:w="734" w:type="dxa"/>
          </w:tcPr>
          <w:p w14:paraId="50903221" w14:textId="77777777" w:rsidR="005D6FD0" w:rsidRDefault="005D6FD0" w:rsidP="005D6FD0">
            <w:pPr>
              <w:rPr>
                <w:color w:val="008000"/>
              </w:rPr>
            </w:pPr>
          </w:p>
        </w:tc>
        <w:tc>
          <w:tcPr>
            <w:tcW w:w="921" w:type="dxa"/>
          </w:tcPr>
          <w:p w14:paraId="46DFF59A" w14:textId="77777777" w:rsidR="005D6FD0" w:rsidRDefault="005D6FD0" w:rsidP="005D6FD0">
            <w:r>
              <w:sym w:font="Wingdings" w:char="F043"/>
            </w:r>
          </w:p>
        </w:tc>
        <w:tc>
          <w:tcPr>
            <w:tcW w:w="1000" w:type="dxa"/>
          </w:tcPr>
          <w:p w14:paraId="18DDF814" w14:textId="77777777" w:rsidR="005D6FD0" w:rsidRDefault="005D6FD0" w:rsidP="005D6FD0">
            <w:r>
              <w:sym w:font="Wingdings" w:char="F043"/>
            </w:r>
            <w:r>
              <w:sym w:font="Wingdings" w:char="F043"/>
            </w:r>
          </w:p>
        </w:tc>
      </w:tr>
      <w:tr w:rsidR="005D6FD0" w:rsidRPr="0006574A" w14:paraId="4A74D47C" w14:textId="77777777" w:rsidTr="00DE5D1B">
        <w:tc>
          <w:tcPr>
            <w:tcW w:w="2036" w:type="dxa"/>
          </w:tcPr>
          <w:p w14:paraId="3471B822" w14:textId="77777777" w:rsidR="005D6FD0" w:rsidRPr="002B7BBA" w:rsidRDefault="005D6FD0" w:rsidP="005D6FD0">
            <w:pPr>
              <w:rPr>
                <w:color w:val="000000" w:themeColor="text1"/>
              </w:rPr>
            </w:pPr>
            <w:r w:rsidRPr="002B7BBA">
              <w:rPr>
                <w:color w:val="000000" w:themeColor="text1"/>
              </w:rPr>
              <w:t>Agiorgitiko</w:t>
            </w:r>
          </w:p>
        </w:tc>
        <w:tc>
          <w:tcPr>
            <w:tcW w:w="1681" w:type="dxa"/>
          </w:tcPr>
          <w:p w14:paraId="09B1C6AC" w14:textId="77777777" w:rsidR="005D6FD0" w:rsidRDefault="005D6FD0" w:rsidP="005D6FD0">
            <w:r>
              <w:t>Grèce</w:t>
            </w:r>
          </w:p>
        </w:tc>
        <w:tc>
          <w:tcPr>
            <w:tcW w:w="1075" w:type="dxa"/>
          </w:tcPr>
          <w:p w14:paraId="041F718E" w14:textId="77777777" w:rsidR="005D6FD0" w:rsidRDefault="005D6FD0" w:rsidP="005D6FD0">
            <w:r>
              <w:t>Rouge</w:t>
            </w:r>
          </w:p>
        </w:tc>
        <w:tc>
          <w:tcPr>
            <w:tcW w:w="955" w:type="dxa"/>
          </w:tcPr>
          <w:p w14:paraId="4554097C" w14:textId="77777777" w:rsidR="005D6FD0" w:rsidRDefault="005D6FD0" w:rsidP="005D6FD0">
            <w:pPr>
              <w:rPr>
                <w:color w:val="FF0000"/>
              </w:rPr>
            </w:pPr>
            <w:r>
              <w:rPr>
                <w:color w:val="FF0000"/>
              </w:rPr>
              <w:sym w:font="Wingdings" w:char="F0E6"/>
            </w:r>
          </w:p>
        </w:tc>
        <w:tc>
          <w:tcPr>
            <w:tcW w:w="965" w:type="dxa"/>
          </w:tcPr>
          <w:p w14:paraId="43FCBD07" w14:textId="77777777" w:rsidR="005D6FD0" w:rsidRDefault="005D6FD0" w:rsidP="005D6FD0">
            <w:r>
              <w:rPr>
                <w:color w:val="FF0000"/>
              </w:rPr>
              <w:sym w:font="Wingdings" w:char="F0E6"/>
            </w:r>
          </w:p>
        </w:tc>
        <w:tc>
          <w:tcPr>
            <w:tcW w:w="935" w:type="dxa"/>
          </w:tcPr>
          <w:p w14:paraId="51EC8D5C" w14:textId="0347A197" w:rsidR="005D6FD0" w:rsidRDefault="005D6FD0" w:rsidP="005D6FD0">
            <w:r>
              <w:rPr>
                <w:color w:val="FF0000"/>
              </w:rPr>
              <w:sym w:font="Wingdings" w:char="F0E6"/>
            </w:r>
            <w:r>
              <w:rPr>
                <w:color w:val="FF0000"/>
              </w:rPr>
              <w:t> ?</w:t>
            </w:r>
          </w:p>
        </w:tc>
        <w:tc>
          <w:tcPr>
            <w:tcW w:w="734" w:type="dxa"/>
          </w:tcPr>
          <w:p w14:paraId="7AF7D7C3" w14:textId="77777777" w:rsidR="005D6FD0" w:rsidRDefault="005D6FD0" w:rsidP="005D6FD0">
            <w:pPr>
              <w:rPr>
                <w:color w:val="008000"/>
              </w:rPr>
            </w:pPr>
          </w:p>
        </w:tc>
        <w:tc>
          <w:tcPr>
            <w:tcW w:w="921" w:type="dxa"/>
          </w:tcPr>
          <w:p w14:paraId="111D4FC6" w14:textId="77777777" w:rsidR="005D6FD0" w:rsidRDefault="005D6FD0" w:rsidP="005D6FD0">
            <w:r>
              <w:sym w:font="Wingdings" w:char="F043"/>
            </w:r>
          </w:p>
        </w:tc>
        <w:tc>
          <w:tcPr>
            <w:tcW w:w="1000" w:type="dxa"/>
          </w:tcPr>
          <w:p w14:paraId="2C8A2331" w14:textId="77777777" w:rsidR="005D6FD0" w:rsidRDefault="005D6FD0" w:rsidP="005D6FD0">
            <w:r>
              <w:t>(</w:t>
            </w:r>
            <w:r>
              <w:sym w:font="Wingdings" w:char="F0E6"/>
            </w:r>
            <w:r>
              <w:t>)</w:t>
            </w:r>
          </w:p>
        </w:tc>
      </w:tr>
    </w:tbl>
    <w:p w14:paraId="1713F116" w14:textId="764FF95F" w:rsidR="00C30ED2" w:rsidRDefault="002B7BBA" w:rsidP="00135B17">
      <w:pPr>
        <w:spacing w:after="0" w:line="240" w:lineRule="auto"/>
      </w:pPr>
      <w:r w:rsidRPr="002B7BBA">
        <w:rPr>
          <w:u w:val="single"/>
        </w:rPr>
        <w:t>Note</w:t>
      </w:r>
      <w:r>
        <w:t> : tableau à compléter.</w:t>
      </w:r>
    </w:p>
    <w:p w14:paraId="0FF1A38C" w14:textId="77777777" w:rsidR="002B7BBA" w:rsidRDefault="002B7BBA" w:rsidP="00135B17">
      <w:pPr>
        <w:spacing w:after="0" w:line="240" w:lineRule="auto"/>
      </w:pPr>
    </w:p>
    <w:p w14:paraId="079FBE05" w14:textId="77777777" w:rsidR="001A0DD0" w:rsidRDefault="001A0DD0" w:rsidP="00B655B6">
      <w:pPr>
        <w:pStyle w:val="Titre2"/>
      </w:pPr>
      <w:bookmarkStart w:id="55" w:name="_Toc139181346"/>
      <w:r>
        <w:t>Arganier (</w:t>
      </w:r>
      <w:r w:rsidRPr="00B655B6">
        <w:rPr>
          <w:i/>
          <w:iCs/>
        </w:rPr>
        <w:t>Argania spinosa</w:t>
      </w:r>
      <w:r>
        <w:t>)</w:t>
      </w:r>
      <w:bookmarkEnd w:id="55"/>
    </w:p>
    <w:p w14:paraId="16498A9A" w14:textId="558E87F0" w:rsidR="001A0DD0" w:rsidRDefault="001A0DD0" w:rsidP="001A0DD0">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64"/>
        <w:gridCol w:w="2207"/>
        <w:gridCol w:w="1637"/>
        <w:gridCol w:w="413"/>
        <w:gridCol w:w="1405"/>
      </w:tblGrid>
      <w:tr w:rsidR="00B942F5" w:rsidRPr="000B6BE3" w14:paraId="0A78E261" w14:textId="77777777" w:rsidTr="00A302F5">
        <w:tc>
          <w:tcPr>
            <w:tcW w:w="4957" w:type="dxa"/>
          </w:tcPr>
          <w:p w14:paraId="5E6ABBC9" w14:textId="77777777" w:rsidR="00B942F5" w:rsidRPr="000B6BE3" w:rsidRDefault="00B942F5" w:rsidP="00A302F5">
            <w:pPr>
              <w:rPr>
                <w:rFonts w:cstheme="minorHAnsi"/>
                <w:bCs/>
              </w:rPr>
            </w:pPr>
            <w:r w:rsidRPr="000B6BE3">
              <w:rPr>
                <w:rFonts w:cstheme="minorHAnsi"/>
                <w:bCs/>
              </w:rPr>
              <w:t>(</w:t>
            </w:r>
            <w:hyperlink r:id="rId436" w:history="1">
              <w:r w:rsidRPr="000B6BE3">
                <w:rPr>
                  <w:rFonts w:cstheme="minorHAnsi"/>
                </w:rPr>
                <w:t>F</w:t>
              </w:r>
              <w:r w:rsidRPr="000B6BE3">
                <w:rPr>
                  <w:rStyle w:val="Lienhypertexte"/>
                  <w:rFonts w:cstheme="minorHAnsi"/>
                  <w:color w:val="0B0080"/>
                  <w:shd w:val="clear" w:color="auto" w:fill="FFFFFF"/>
                </w:rPr>
                <w:t>amille</w:t>
              </w:r>
            </w:hyperlink>
            <w:r w:rsidRPr="000B6BE3">
              <w:rPr>
                <w:rFonts w:cstheme="minorHAnsi"/>
                <w:color w:val="222222"/>
                <w:shd w:val="clear" w:color="auto" w:fill="FFFFFF"/>
              </w:rPr>
              <w:t> des</w:t>
            </w:r>
            <w:r>
              <w:rPr>
                <w:rFonts w:cstheme="minorHAnsi"/>
                <w:color w:val="222222"/>
                <w:shd w:val="clear" w:color="auto" w:fill="FFFFFF"/>
              </w:rPr>
              <w:t xml:space="preserve"> </w:t>
            </w:r>
            <w:r w:rsidRPr="00DA44E0">
              <w:rPr>
                <w:rFonts w:cstheme="minorHAnsi"/>
                <w:i/>
                <w:iCs/>
                <w:color w:val="222222"/>
                <w:shd w:val="clear" w:color="auto" w:fill="FFFFFF"/>
              </w:rPr>
              <w:t>Anacardiaceae</w:t>
            </w:r>
            <w:r w:rsidRPr="000B6BE3">
              <w:rPr>
                <w:rFonts w:cstheme="minorHAnsi"/>
                <w:bCs/>
              </w:rPr>
              <w:t>)</w:t>
            </w:r>
          </w:p>
          <w:p w14:paraId="3FB2F81E" w14:textId="77777777" w:rsidR="00B942F5" w:rsidRPr="000B6BE3" w:rsidRDefault="00B942F5" w:rsidP="00A302F5">
            <w:pPr>
              <w:rPr>
                <w:rFonts w:cstheme="minorHAnsi"/>
              </w:rPr>
            </w:pPr>
          </w:p>
        </w:tc>
        <w:tc>
          <w:tcPr>
            <w:tcW w:w="2268" w:type="dxa"/>
          </w:tcPr>
          <w:p w14:paraId="4FE57888" w14:textId="594AA5E6" w:rsidR="00B942F5" w:rsidRPr="000B6BE3" w:rsidRDefault="00B942F5" w:rsidP="00A302F5">
            <w:pPr>
              <w:rPr>
                <w:rFonts w:cstheme="minorHAnsi"/>
              </w:rPr>
            </w:pPr>
            <w:r w:rsidRPr="000B6BE3">
              <w:rPr>
                <w:rFonts w:cstheme="minorHAnsi"/>
                <w:noProof/>
              </w:rPr>
              <w:t xml:space="preserve">  </w:t>
            </w:r>
            <w:r w:rsidRPr="008F2681">
              <w:rPr>
                <w:rFonts w:cstheme="minorHAnsi"/>
                <w:noProof/>
              </w:rPr>
              <w:drawing>
                <wp:inline distT="0" distB="0" distL="0" distR="0" wp14:anchorId="5A914E3F" wp14:editId="1373AAC5">
                  <wp:extent cx="495300" cy="666750"/>
                  <wp:effectExtent l="0" t="0" r="0" b="0"/>
                  <wp:docPr id="132101" name="Image 18"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9" name="Image 18" descr="logo aride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r w:rsidRPr="008F2681">
              <w:rPr>
                <w:rFonts w:cstheme="minorHAnsi"/>
                <w:noProof/>
              </w:rPr>
              <w:drawing>
                <wp:inline distT="0" distB="0" distL="0" distR="0" wp14:anchorId="576AFFE9" wp14:editId="3EE87E43">
                  <wp:extent cx="463550" cy="661988"/>
                  <wp:effectExtent l="0" t="0" r="0" b="5080"/>
                  <wp:docPr id="132102"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00C57CF1">
              <w:rPr>
                <w:rFonts w:cstheme="minorHAnsi"/>
                <w:noProof/>
              </w:rPr>
              <w:t xml:space="preserve">  </w:t>
            </w:r>
            <w:r w:rsidR="00C57CF1" w:rsidRPr="00C57CF1">
              <w:rPr>
                <w:rFonts w:cstheme="minorHAnsi"/>
                <w:noProof/>
                <w:sz w:val="36"/>
                <w:szCs w:val="36"/>
              </w:rPr>
              <w:t>?</w:t>
            </w:r>
          </w:p>
        </w:tc>
        <w:tc>
          <w:tcPr>
            <w:tcW w:w="1701" w:type="dxa"/>
          </w:tcPr>
          <w:p w14:paraId="314DC6E2" w14:textId="77777777" w:rsidR="00B942F5" w:rsidRPr="000B6BE3" w:rsidRDefault="00B942F5" w:rsidP="00A302F5">
            <w:pPr>
              <w:textAlignment w:val="baseline"/>
              <w:rPr>
                <w:rFonts w:cstheme="minorHAnsi"/>
              </w:rPr>
            </w:pPr>
            <w:r w:rsidRPr="00D1445E">
              <w:rPr>
                <w:rFonts w:eastAsia="+mn-ea" w:cstheme="minorHAnsi"/>
                <w:b/>
                <w:bCs/>
                <w:color w:val="008000"/>
                <w:kern w:val="24"/>
                <w:sz w:val="56"/>
                <w:szCs w:val="56"/>
              </w:rPr>
              <w:t>U</w:t>
            </w:r>
            <w:r>
              <w:rPr>
                <w:rFonts w:eastAsia="+mn-ea" w:cstheme="minorHAnsi"/>
                <w:b/>
                <w:bCs/>
                <w:color w:val="008000"/>
                <w:kern w:val="24"/>
                <w:sz w:val="44"/>
                <w:szCs w:val="44"/>
              </w:rPr>
              <w:t xml:space="preserve"> $</w:t>
            </w:r>
          </w:p>
        </w:tc>
        <w:tc>
          <w:tcPr>
            <w:tcW w:w="425" w:type="dxa"/>
          </w:tcPr>
          <w:p w14:paraId="0FD39EE7" w14:textId="77777777" w:rsidR="00B942F5" w:rsidRPr="000B6BE3" w:rsidRDefault="00B942F5" w:rsidP="00A302F5">
            <w:pPr>
              <w:rPr>
                <w:rFonts w:cstheme="minorHAnsi"/>
              </w:rPr>
            </w:pPr>
          </w:p>
        </w:tc>
        <w:tc>
          <w:tcPr>
            <w:tcW w:w="1439" w:type="dxa"/>
          </w:tcPr>
          <w:p w14:paraId="4483AC61" w14:textId="11FFB787" w:rsidR="00B942F5" w:rsidRPr="000B6BE3" w:rsidRDefault="00F020F2" w:rsidP="00A302F5">
            <w:pPr>
              <w:rPr>
                <w:rFonts w:cstheme="minorHAnsi"/>
              </w:rPr>
            </w:pPr>
            <w:r w:rsidRPr="00853ED0">
              <w:rPr>
                <w:noProof/>
              </w:rPr>
              <w:drawing>
                <wp:inline distT="0" distB="0" distL="0" distR="0" wp14:anchorId="1A306391" wp14:editId="4D685F45">
                  <wp:extent cx="400050" cy="352425"/>
                  <wp:effectExtent l="0" t="0" r="0" b="9525"/>
                  <wp:docPr id="104467" name="Image 21">
                    <a:extLst xmlns:a="http://schemas.openxmlformats.org/drawingml/2006/main">
                      <a:ext uri="{FF2B5EF4-FFF2-40B4-BE49-F238E27FC236}">
                        <a16:creationId xmlns:a16="http://schemas.microsoft.com/office/drawing/2014/main" id="{F52353B3-AA67-41AB-ACE3-C9465695F4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3" name="Image 21">
                            <a:extLst>
                              <a:ext uri="{FF2B5EF4-FFF2-40B4-BE49-F238E27FC236}">
                                <a16:creationId xmlns:a16="http://schemas.microsoft.com/office/drawing/2014/main" id="{F52353B3-AA67-41AB-ACE3-C9465695F4BE}"/>
                              </a:ext>
                            </a:extLst>
                          </pic:cNvPr>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5801F6ED" w14:textId="77777777" w:rsidR="00B942F5" w:rsidRDefault="00B942F5" w:rsidP="001A0DD0">
      <w:pPr>
        <w:spacing w:after="0" w:line="240" w:lineRule="auto"/>
      </w:pPr>
    </w:p>
    <w:p w14:paraId="1E57060C" w14:textId="01337E72" w:rsidR="001A0DD0" w:rsidRDefault="001A0DD0" w:rsidP="001A0DD0">
      <w:pPr>
        <w:spacing w:after="0" w:line="240" w:lineRule="auto"/>
        <w:jc w:val="both"/>
      </w:pPr>
      <w:r>
        <w:t>Arbre endémique du Maroc (dans la région du Sud-Ouest et en particulier la plaine du Souss) et de la région de Tindouf en Algérie (famille des </w:t>
      </w:r>
      <w:r w:rsidRPr="001A0DD0">
        <w:rPr>
          <w:i/>
          <w:iCs/>
        </w:rPr>
        <w:t>Sapotaceae</w:t>
      </w:r>
      <w:r>
        <w:t xml:space="preserve">),  aux rameaux </w:t>
      </w:r>
      <w:r w:rsidRPr="00F020F2">
        <w:rPr>
          <w:i/>
          <w:iCs/>
        </w:rPr>
        <w:t>épine</w:t>
      </w:r>
      <w:r>
        <w:t xml:space="preserve">ux, de 8 à 10 m de haut, vivant jusqu'à 150-200 ans, il fournit l’huile d’argan, extraite de ses amandes. </w:t>
      </w:r>
      <w:r w:rsidRPr="001A0DD0">
        <w:t xml:space="preserve">Encore appelé </w:t>
      </w:r>
      <w:r w:rsidRPr="00544C1F">
        <w:rPr>
          <w:i/>
          <w:iCs/>
        </w:rPr>
        <w:t>affiache</w:t>
      </w:r>
      <w:r w:rsidRPr="001A0DD0">
        <w:t>.</w:t>
      </w:r>
    </w:p>
    <w:p w14:paraId="0B8FB482" w14:textId="77777777" w:rsidR="001A0DD0" w:rsidRDefault="001A0DD0" w:rsidP="001A0DD0">
      <w:pPr>
        <w:spacing w:after="0" w:line="240" w:lineRule="auto"/>
        <w:jc w:val="both"/>
      </w:pPr>
      <w:r>
        <w:t>Son fruit jaune-brun à maturité contient une noix très dure abritant deux ou trois amandons. </w:t>
      </w:r>
    </w:p>
    <w:p w14:paraId="230C90E8" w14:textId="732093A6" w:rsidR="001A0DD0" w:rsidRDefault="001A0DD0" w:rsidP="001A0DD0">
      <w:pPr>
        <w:spacing w:after="0" w:line="240" w:lineRule="auto"/>
        <w:jc w:val="both"/>
      </w:pPr>
      <w:r>
        <w:t xml:space="preserve"> Un arbre produit, chaque année, de 10 kg à 30 kg de fruits environ. Il a besoin de soleil.</w:t>
      </w:r>
    </w:p>
    <w:p w14:paraId="341FD82B" w14:textId="334BCE6C" w:rsidR="001A0DD0" w:rsidRDefault="001A0DD0" w:rsidP="001A0DD0">
      <w:pPr>
        <w:spacing w:after="0" w:line="240" w:lineRule="auto"/>
        <w:jc w:val="both"/>
      </w:pPr>
      <w:r>
        <w:t xml:space="preserve"> Il faut environ 38 kg de fruits ou bien 2,6 kg d'amandons pour produire 1 litre d'huile.</w:t>
      </w:r>
    </w:p>
    <w:p w14:paraId="7E3ADC99" w14:textId="1F6FF827" w:rsidR="00544C1F" w:rsidRDefault="00544C1F" w:rsidP="001A0DD0">
      <w:pPr>
        <w:spacing w:after="0" w:line="240" w:lineRule="auto"/>
        <w:jc w:val="both"/>
      </w:pPr>
      <w:r>
        <w:t>Ses feuilles, vert sombre et coriaces, sont consommées par les dromadaires et les chèvres.</w:t>
      </w:r>
    </w:p>
    <w:p w14:paraId="633D343F" w14:textId="43CD3A8B" w:rsidR="001A0DD0" w:rsidRDefault="001A0DD0" w:rsidP="001A0DD0">
      <w:pPr>
        <w:spacing w:after="0" w:line="240" w:lineRule="auto"/>
        <w:jc w:val="both"/>
      </w:pPr>
      <w:r>
        <w:t xml:space="preserve">Son système racinaire particulièrement profond est dépourvu de poils absorbants. Il profite d'une symbiose avec différents types de champignons pour pallier cette déficience, seuls ces derniers pouvant apporter les différents nutriments à l'arbre. La reproduction artificielle et la mise en culture de celui-ci nécessite ainsi l'inoculation de plusieurs espèces de champignons au niveau de ses racines. L'aire géographique de l'arganier bénéficie d'une forte humidité, tant par les précipitations saisonnières que par une fraîcheur relative, que l'arganier piège et restitue au sol. Peu exigeant en eau (climat aride à semi-aride). </w:t>
      </w:r>
      <w:r w:rsidR="00544C1F">
        <w:t xml:space="preserve"> </w:t>
      </w:r>
      <w:r>
        <w:t>S'il est peu exigeant en matière de sol, il semble apprécier l'air humide (influence océanique).</w:t>
      </w:r>
    </w:p>
    <w:p w14:paraId="3E0A4ECC" w14:textId="4DFEABD3" w:rsidR="001A0DD0" w:rsidRDefault="001A0DD0" w:rsidP="001A0DD0">
      <w:pPr>
        <w:spacing w:after="0" w:line="240" w:lineRule="auto"/>
        <w:jc w:val="both"/>
      </w:pPr>
      <w:r w:rsidRPr="00544C1F">
        <w:rPr>
          <w:u w:val="single"/>
        </w:rPr>
        <w:lastRenderedPageBreak/>
        <w:t xml:space="preserve"> Pluviométrie annuelle</w:t>
      </w:r>
      <w:r>
        <w:t xml:space="preserve"> : 150 à 250 mm en plaine; 200 à 450 mm en montagne. Source : </w:t>
      </w:r>
      <w:hyperlink r:id="rId437" w:history="1">
        <w:r w:rsidR="00544C1F" w:rsidRPr="00AE2D14">
          <w:rPr>
            <w:rStyle w:val="Lienhypertexte"/>
          </w:rPr>
          <w:t>http://ma.chm-cbd.net</w:t>
        </w:r>
      </w:hyperlink>
      <w:r w:rsidR="00544C1F">
        <w:t xml:space="preserve"> </w:t>
      </w:r>
      <w:r>
        <w:t xml:space="preserve">  </w:t>
      </w:r>
    </w:p>
    <w:p w14:paraId="6CD1981D" w14:textId="53CC7A9B" w:rsidR="001A0DD0" w:rsidRDefault="001A0DD0" w:rsidP="001A0DD0">
      <w:pPr>
        <w:spacing w:after="0" w:line="240" w:lineRule="auto"/>
        <w:jc w:val="both"/>
      </w:pPr>
      <w:r>
        <w:t xml:space="preserve"> L'arganier supporte les températures élevées (50°C à Taroudant), mais pas les basses temp</w:t>
      </w:r>
      <w:r w:rsidR="00544C1F">
        <w:t>ératures</w:t>
      </w:r>
      <w:r>
        <w:t>. On l’a vu résister à 7°C à Agadir.</w:t>
      </w:r>
      <w:r w:rsidR="00544C1F">
        <w:t xml:space="preserve"> </w:t>
      </w:r>
    </w:p>
    <w:p w14:paraId="3FC58C04" w14:textId="5B203ACA" w:rsidR="001A0DD0" w:rsidRDefault="004A07E7" w:rsidP="001A0DD0">
      <w:pPr>
        <w:spacing w:after="0" w:line="240" w:lineRule="auto"/>
        <w:jc w:val="both"/>
      </w:pPr>
      <w:r w:rsidRPr="004A07E7">
        <w:rPr>
          <w:color w:val="000000" w:themeColor="text1"/>
          <w:u w:val="single"/>
        </w:rPr>
        <w:t>Distribution</w:t>
      </w:r>
      <w:r w:rsidRPr="004A07E7">
        <w:rPr>
          <w:color w:val="000000" w:themeColor="text1"/>
        </w:rPr>
        <w:t xml:space="preserve"> : </w:t>
      </w:r>
      <w:r w:rsidR="001A0DD0">
        <w:t>S. Aziki estime que des forêts d'arganiers plus vastes et denses existaient autrefois mais qu'elles ont été dégradées par l'homme et ses troupeaux domestiques. Les semences peuvent être conservées au sec, plus de 8 ans.</w:t>
      </w:r>
    </w:p>
    <w:p w14:paraId="3CABE966" w14:textId="61AD61EA" w:rsidR="001A0DD0" w:rsidRDefault="001A0DD0" w:rsidP="001A0DD0">
      <w:pPr>
        <w:spacing w:after="0" w:line="240" w:lineRule="auto"/>
        <w:jc w:val="both"/>
      </w:pPr>
      <w:r>
        <w:t xml:space="preserve">Sources : a) </w:t>
      </w:r>
      <w:hyperlink r:id="rId438" w:history="1">
        <w:r w:rsidRPr="00C8771B">
          <w:rPr>
            <w:rStyle w:val="Lienhypertexte"/>
          </w:rPr>
          <w:t>http://fr.wikipedia.org/wiki/Arganier</w:t>
        </w:r>
      </w:hyperlink>
      <w:r>
        <w:t xml:space="preserve">, b) </w:t>
      </w:r>
      <w:hyperlink r:id="rId439" w:history="1">
        <w:r w:rsidRPr="00C8771B">
          <w:rPr>
            <w:rStyle w:val="Lienhypertexte"/>
          </w:rPr>
          <w:t>http://en.wikipedia.org/wiki/Argania</w:t>
        </w:r>
      </w:hyperlink>
      <w:r>
        <w:t xml:space="preserve">,  </w:t>
      </w:r>
    </w:p>
    <w:p w14:paraId="18995C7B" w14:textId="38594547" w:rsidR="001A0DD0" w:rsidRDefault="001A0DD0" w:rsidP="001A0DD0">
      <w:pPr>
        <w:spacing w:after="0" w:line="240" w:lineRule="auto"/>
        <w:jc w:val="both"/>
      </w:pPr>
      <w:r>
        <w:t xml:space="preserve">c) </w:t>
      </w:r>
      <w:hyperlink r:id="rId440" w:history="1">
        <w:r w:rsidRPr="00C8771B">
          <w:rPr>
            <w:rStyle w:val="Lienhypertexte"/>
          </w:rPr>
          <w:t>http://www.vulgarisation.net/bul95.htm</w:t>
        </w:r>
      </w:hyperlink>
      <w:r>
        <w:t xml:space="preserve">,    </w:t>
      </w:r>
    </w:p>
    <w:p w14:paraId="55239780" w14:textId="6686F3AE" w:rsidR="001A0DD0" w:rsidRDefault="001A0DD0" w:rsidP="001A0DD0">
      <w:pPr>
        <w:spacing w:after="0" w:line="240" w:lineRule="auto"/>
        <w:jc w:val="both"/>
      </w:pPr>
      <w:r>
        <w:t xml:space="preserve">d) </w:t>
      </w:r>
      <w:hyperlink r:id="rId441" w:history="1">
        <w:r w:rsidRPr="00C8771B">
          <w:rPr>
            <w:rStyle w:val="Lienhypertexte"/>
          </w:rPr>
          <w:t>http://benjamin.lisan.free.fr/projetsreforestation/Fiche-presentation-arbre-arganier.pdf</w:t>
        </w:r>
      </w:hyperlink>
      <w:r>
        <w:t xml:space="preserve">, </w:t>
      </w:r>
    </w:p>
    <w:p w14:paraId="6140C112" w14:textId="65F7450A" w:rsidR="00135B17" w:rsidRDefault="001A0DD0" w:rsidP="001A0DD0">
      <w:pPr>
        <w:spacing w:after="0" w:line="240" w:lineRule="auto"/>
      </w:pPr>
      <w:r>
        <w:t xml:space="preserve">e) </w:t>
      </w:r>
      <w:r w:rsidRPr="004A07E7">
        <w:rPr>
          <w:i/>
          <w:iCs/>
        </w:rPr>
        <w:t>Multiplication végétative de l’arganier au Maroc (projet John Goelet),</w:t>
      </w:r>
      <w:r>
        <w:t xml:space="preserve"> </w:t>
      </w:r>
      <w:hyperlink r:id="rId442" w:history="1">
        <w:r w:rsidRPr="00C8771B">
          <w:rPr>
            <w:rStyle w:val="Lienhypertexte"/>
          </w:rPr>
          <w:t>http://bft.revuesonline.com/gratuit/BFT64_304_5BellefonMonte304.pdf</w:t>
        </w:r>
      </w:hyperlink>
      <w:r>
        <w:t xml:space="preserve"> </w:t>
      </w:r>
    </w:p>
    <w:p w14:paraId="5A208A04" w14:textId="2D5B9F2F" w:rsidR="001A0DD0" w:rsidRDefault="001A0DD0" w:rsidP="001A0DD0">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1A0DD0" w14:paraId="167F85A0" w14:textId="77777777" w:rsidTr="007A5600">
        <w:tc>
          <w:tcPr>
            <w:tcW w:w="5208" w:type="dxa"/>
          </w:tcPr>
          <w:p w14:paraId="355A59A7" w14:textId="77CDDFCA" w:rsidR="001A0DD0" w:rsidRDefault="007A5600" w:rsidP="001A0DD0">
            <w:pPr>
              <w:jc w:val="center"/>
            </w:pPr>
            <w:r w:rsidRPr="007A5600">
              <w:rPr>
                <w:noProof/>
              </w:rPr>
              <w:drawing>
                <wp:inline distT="0" distB="0" distL="0" distR="0" wp14:anchorId="300F51A7" wp14:editId="56BC4484">
                  <wp:extent cx="1631950" cy="1223962"/>
                  <wp:effectExtent l="0" t="0" r="6350" b="0"/>
                  <wp:docPr id="38924" name="Picture 12" descr="C:\Users\LISAN\Pictures\plantes-halophytes-xerophiles\Argania spinosa-Essaouira_fru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24" name="Picture 12" descr="C:\Users\LISAN\Pictures\plantes-halophytes-xerophiles\Argania spinosa-Essaouira_fruit.JPG"/>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1631950" cy="12239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208" w:type="dxa"/>
          </w:tcPr>
          <w:p w14:paraId="662E3A4D" w14:textId="74338449" w:rsidR="001A0DD0" w:rsidRDefault="007A5600" w:rsidP="001A0DD0">
            <w:pPr>
              <w:jc w:val="center"/>
            </w:pPr>
            <w:r w:rsidRPr="007A5600">
              <w:rPr>
                <w:noProof/>
              </w:rPr>
              <w:drawing>
                <wp:inline distT="0" distB="0" distL="0" distR="0" wp14:anchorId="555DD40C" wp14:editId="0B9CB823">
                  <wp:extent cx="1943100" cy="1298575"/>
                  <wp:effectExtent l="0" t="0" r="0" b="0"/>
                  <wp:docPr id="38920" name="Picture 8" descr="C:\Users\LISAN\Pictures\plantes-halophytes-xerophiles\Argania_spinosa_grai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20" name="Picture 8" descr="C:\Users\LISAN\Pictures\plantes-halophytes-xerophiles\Argania_spinosa_graines.jpg"/>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1943100" cy="1298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t xml:space="preserve"> </w:t>
            </w:r>
          </w:p>
        </w:tc>
      </w:tr>
      <w:tr w:rsidR="001A0DD0" w14:paraId="6D0B2372" w14:textId="77777777" w:rsidTr="007A5600">
        <w:tc>
          <w:tcPr>
            <w:tcW w:w="5208" w:type="dxa"/>
          </w:tcPr>
          <w:p w14:paraId="353602F3" w14:textId="07DB624B" w:rsidR="001A0DD0" w:rsidRDefault="007A5600" w:rsidP="001A0DD0">
            <w:pPr>
              <w:jc w:val="center"/>
            </w:pPr>
            <w:r w:rsidRPr="007A5600">
              <w:rPr>
                <w:noProof/>
              </w:rPr>
              <w:drawing>
                <wp:inline distT="0" distB="0" distL="0" distR="0" wp14:anchorId="69785417" wp14:editId="483EECF3">
                  <wp:extent cx="1790700" cy="1368425"/>
                  <wp:effectExtent l="0" t="0" r="0" b="3175"/>
                  <wp:docPr id="38923" name="Picture 11" descr="C:\Users\LISAN\Pictures\plantes-halophytes-xerophiles\Argania spinosa_Tafraou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23" name="Picture 11" descr="C:\Users\LISAN\Pictures\plantes-halophytes-xerophiles\Argania spinosa_Tafraoute.jpg"/>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1790700" cy="1368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t xml:space="preserve"> </w:t>
            </w:r>
          </w:p>
        </w:tc>
        <w:tc>
          <w:tcPr>
            <w:tcW w:w="5208" w:type="dxa"/>
          </w:tcPr>
          <w:p w14:paraId="741BE41D" w14:textId="1342EA93" w:rsidR="001A0DD0" w:rsidRDefault="007A5600" w:rsidP="001A0DD0">
            <w:pPr>
              <w:jc w:val="center"/>
            </w:pPr>
            <w:r w:rsidRPr="007A5600">
              <w:rPr>
                <w:noProof/>
              </w:rPr>
              <w:drawing>
                <wp:inline distT="0" distB="0" distL="0" distR="0" wp14:anchorId="262C9F21" wp14:editId="18E16E03">
                  <wp:extent cx="1655762" cy="1246188"/>
                  <wp:effectExtent l="0" t="0" r="1905" b="0"/>
                  <wp:docPr id="38921" name="Picture 9" descr="C:\Users\LISAN\Pictures\plantes-halophytes-xerophiles\Argania spinosa_chev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21" name="Picture 9" descr="C:\Users\LISAN\Pictures\plantes-halophytes-xerophiles\Argania spinosa_chevres.jpg"/>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1655762" cy="12461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t xml:space="preserve">  </w:t>
            </w:r>
            <w:r w:rsidRPr="007A5600">
              <w:rPr>
                <w:noProof/>
              </w:rPr>
              <w:drawing>
                <wp:inline distT="0" distB="0" distL="0" distR="0" wp14:anchorId="022902C9" wp14:editId="7A5C9422">
                  <wp:extent cx="1309688" cy="982663"/>
                  <wp:effectExtent l="0" t="0" r="5080" b="8255"/>
                  <wp:docPr id="38922" name="Picture 10" descr="C:\Users\LISAN\Pictures\plantes-halophytes-xerophiles\Argania spinosa_Essaouira_arb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22" name="Picture 10" descr="C:\Users\LISAN\Pictures\plantes-halophytes-xerophiles\Argania spinosa_Essaouira_arbres.JPG"/>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1309688" cy="9826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t xml:space="preserve"> </w:t>
            </w:r>
          </w:p>
        </w:tc>
      </w:tr>
    </w:tbl>
    <w:p w14:paraId="2EF69ED9" w14:textId="0C75526C" w:rsidR="001A0DD0" w:rsidRDefault="001A0DD0" w:rsidP="007A5600">
      <w:pPr>
        <w:spacing w:after="0" w:line="240" w:lineRule="auto"/>
      </w:pPr>
    </w:p>
    <w:p w14:paraId="72C5E319" w14:textId="77777777" w:rsidR="002B2479" w:rsidRDefault="002B2479" w:rsidP="00B655B6">
      <w:pPr>
        <w:pStyle w:val="Titre2"/>
      </w:pPr>
      <w:bookmarkStart w:id="56" w:name="_Toc139181347"/>
      <w:r>
        <w:t>Palmier-dattier (</w:t>
      </w:r>
      <w:r w:rsidRPr="00B655B6">
        <w:rPr>
          <w:i/>
          <w:iCs/>
        </w:rPr>
        <w:t>Phoenix dactylifera</w:t>
      </w:r>
      <w:r>
        <w:t>)</w:t>
      </w:r>
      <w:bookmarkEnd w:id="56"/>
    </w:p>
    <w:p w14:paraId="2CA62DE5" w14:textId="3B8A82B2" w:rsidR="002B2479" w:rsidRDefault="002B2479" w:rsidP="002B2479">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8"/>
        <w:gridCol w:w="2206"/>
        <w:gridCol w:w="1647"/>
        <w:gridCol w:w="415"/>
        <w:gridCol w:w="1380"/>
      </w:tblGrid>
      <w:tr w:rsidR="00C57CF1" w:rsidRPr="000B6BE3" w14:paraId="11890DC3" w14:textId="77777777" w:rsidTr="00A302F5">
        <w:tc>
          <w:tcPr>
            <w:tcW w:w="4957" w:type="dxa"/>
          </w:tcPr>
          <w:p w14:paraId="574D78B2" w14:textId="76CD7DE7" w:rsidR="00C57CF1" w:rsidRPr="000B6BE3" w:rsidRDefault="00C57CF1" w:rsidP="00A302F5">
            <w:pPr>
              <w:rPr>
                <w:rFonts w:cstheme="minorHAnsi"/>
                <w:bCs/>
              </w:rPr>
            </w:pPr>
            <w:r w:rsidRPr="000B6BE3">
              <w:rPr>
                <w:rFonts w:cstheme="minorHAnsi"/>
                <w:bCs/>
              </w:rPr>
              <w:t>(</w:t>
            </w:r>
            <w:hyperlink r:id="rId448" w:history="1">
              <w:r w:rsidRPr="000B6BE3">
                <w:rPr>
                  <w:rFonts w:cstheme="minorHAnsi"/>
                </w:rPr>
                <w:t>F</w:t>
              </w:r>
              <w:r w:rsidRPr="000B6BE3">
                <w:rPr>
                  <w:rStyle w:val="Lienhypertexte"/>
                  <w:rFonts w:cstheme="minorHAnsi"/>
                  <w:color w:val="0B0080"/>
                  <w:shd w:val="clear" w:color="auto" w:fill="FFFFFF"/>
                </w:rPr>
                <w:t>amille</w:t>
              </w:r>
            </w:hyperlink>
            <w:r w:rsidRPr="000B6BE3">
              <w:rPr>
                <w:rFonts w:cstheme="minorHAnsi"/>
                <w:color w:val="222222"/>
                <w:shd w:val="clear" w:color="auto" w:fill="FFFFFF"/>
              </w:rPr>
              <w:t> des</w:t>
            </w:r>
            <w:r>
              <w:rPr>
                <w:rFonts w:cstheme="minorHAnsi"/>
                <w:color w:val="222222"/>
                <w:shd w:val="clear" w:color="auto" w:fill="FFFFFF"/>
              </w:rPr>
              <w:t xml:space="preserve"> </w:t>
            </w:r>
            <w:r w:rsidRPr="00C57CF1">
              <w:rPr>
                <w:i/>
                <w:iCs/>
              </w:rPr>
              <w:t>Arécacées</w:t>
            </w:r>
            <w:r w:rsidRPr="000B6BE3">
              <w:rPr>
                <w:rFonts w:cstheme="minorHAnsi"/>
                <w:bCs/>
              </w:rPr>
              <w:t>)</w:t>
            </w:r>
          </w:p>
          <w:p w14:paraId="521C3176" w14:textId="77777777" w:rsidR="00C57CF1" w:rsidRPr="000B6BE3" w:rsidRDefault="00C57CF1" w:rsidP="00A302F5">
            <w:pPr>
              <w:rPr>
                <w:rFonts w:cstheme="minorHAnsi"/>
              </w:rPr>
            </w:pPr>
          </w:p>
        </w:tc>
        <w:tc>
          <w:tcPr>
            <w:tcW w:w="2268" w:type="dxa"/>
          </w:tcPr>
          <w:p w14:paraId="1EA24BD1" w14:textId="50E99916" w:rsidR="00C57CF1" w:rsidRPr="000B6BE3" w:rsidRDefault="00C57CF1" w:rsidP="00A302F5">
            <w:pPr>
              <w:rPr>
                <w:rFonts w:cstheme="minorHAnsi"/>
              </w:rPr>
            </w:pPr>
            <w:r w:rsidRPr="000B6BE3">
              <w:rPr>
                <w:rFonts w:cstheme="minorHAnsi"/>
                <w:noProof/>
              </w:rPr>
              <w:t xml:space="preserve">  </w:t>
            </w:r>
            <w:r w:rsidRPr="008F2681">
              <w:rPr>
                <w:rFonts w:cstheme="minorHAnsi"/>
                <w:noProof/>
              </w:rPr>
              <w:drawing>
                <wp:inline distT="0" distB="0" distL="0" distR="0" wp14:anchorId="51E1B9EC" wp14:editId="5BA66288">
                  <wp:extent cx="495300" cy="666750"/>
                  <wp:effectExtent l="0" t="0" r="0" b="0"/>
                  <wp:docPr id="132103" name="Image 18"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9" name="Image 18" descr="logo aride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r w:rsidRPr="00C57CF1">
              <w:rPr>
                <w:rFonts w:cstheme="minorHAnsi"/>
                <w:noProof/>
                <w:sz w:val="36"/>
                <w:szCs w:val="36"/>
              </w:rPr>
              <w:t>?</w:t>
            </w:r>
            <w:r>
              <w:rPr>
                <w:rFonts w:cstheme="minorHAnsi"/>
                <w:noProof/>
              </w:rPr>
              <w:t xml:space="preserve">  </w:t>
            </w:r>
            <w:r w:rsidRPr="008F2681">
              <w:rPr>
                <w:rFonts w:cstheme="minorHAnsi"/>
                <w:noProof/>
              </w:rPr>
              <w:drawing>
                <wp:inline distT="0" distB="0" distL="0" distR="0" wp14:anchorId="191EE668" wp14:editId="5179E5F1">
                  <wp:extent cx="463550" cy="661988"/>
                  <wp:effectExtent l="0" t="0" r="0" b="5080"/>
                  <wp:docPr id="132104"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701" w:type="dxa"/>
          </w:tcPr>
          <w:p w14:paraId="5343637F" w14:textId="77777777" w:rsidR="00C57CF1" w:rsidRPr="000B6BE3" w:rsidRDefault="00C57CF1" w:rsidP="00A302F5">
            <w:pPr>
              <w:textAlignment w:val="baseline"/>
              <w:rPr>
                <w:rFonts w:cstheme="minorHAnsi"/>
              </w:rPr>
            </w:pPr>
            <w:r w:rsidRPr="00D1445E">
              <w:rPr>
                <w:rFonts w:eastAsia="+mn-ea" w:cstheme="minorHAnsi"/>
                <w:b/>
                <w:bCs/>
                <w:color w:val="008000"/>
                <w:kern w:val="24"/>
                <w:sz w:val="56"/>
                <w:szCs w:val="56"/>
              </w:rPr>
              <w:t>U</w:t>
            </w:r>
            <w:r>
              <w:rPr>
                <w:rFonts w:eastAsia="+mn-ea" w:cstheme="minorHAnsi"/>
                <w:b/>
                <w:bCs/>
                <w:color w:val="008000"/>
                <w:kern w:val="24"/>
                <w:sz w:val="44"/>
                <w:szCs w:val="44"/>
              </w:rPr>
              <w:t xml:space="preserve"> $</w:t>
            </w:r>
          </w:p>
        </w:tc>
        <w:tc>
          <w:tcPr>
            <w:tcW w:w="425" w:type="dxa"/>
          </w:tcPr>
          <w:p w14:paraId="5B4CDF6B" w14:textId="77777777" w:rsidR="00C57CF1" w:rsidRPr="000B6BE3" w:rsidRDefault="00C57CF1" w:rsidP="00A302F5">
            <w:pPr>
              <w:rPr>
                <w:rFonts w:cstheme="minorHAnsi"/>
              </w:rPr>
            </w:pPr>
          </w:p>
        </w:tc>
        <w:tc>
          <w:tcPr>
            <w:tcW w:w="1439" w:type="dxa"/>
          </w:tcPr>
          <w:p w14:paraId="2F23F55F" w14:textId="77777777" w:rsidR="00C57CF1" w:rsidRPr="000B6BE3" w:rsidRDefault="00C57CF1" w:rsidP="00A302F5">
            <w:pPr>
              <w:rPr>
                <w:rFonts w:cstheme="minorHAnsi"/>
              </w:rPr>
            </w:pPr>
          </w:p>
        </w:tc>
      </w:tr>
    </w:tbl>
    <w:p w14:paraId="4BC4C885" w14:textId="77777777" w:rsidR="00C57CF1" w:rsidRDefault="00C57CF1" w:rsidP="002B2479">
      <w:pPr>
        <w:spacing w:after="0" w:line="240" w:lineRule="auto"/>
      </w:pPr>
    </w:p>
    <w:p w14:paraId="7E3B6EBF" w14:textId="77777777" w:rsidR="002B2479" w:rsidRDefault="002B2479" w:rsidP="00674B3C">
      <w:pPr>
        <w:spacing w:after="0" w:line="240" w:lineRule="auto"/>
        <w:jc w:val="both"/>
      </w:pPr>
      <w:r>
        <w:t>C’est une plante (famille des </w:t>
      </w:r>
      <w:r w:rsidRPr="00C57CF1">
        <w:rPr>
          <w:i/>
          <w:iCs/>
        </w:rPr>
        <w:t>Arécacées</w:t>
      </w:r>
      <w:r>
        <w:t> / Palmiers, sous-famille des </w:t>
      </w:r>
      <w:r w:rsidRPr="00C57CF1">
        <w:rPr>
          <w:i/>
          <w:iCs/>
        </w:rPr>
        <w:t>Coryphoideae</w:t>
      </w:r>
      <w:r>
        <w:t xml:space="preserve">), de 15 à 30 m de haut, largement cultivé pour ses fruits : les dattes. </w:t>
      </w:r>
    </w:p>
    <w:p w14:paraId="49149D4E" w14:textId="77777777" w:rsidR="002B2479" w:rsidRDefault="002B2479" w:rsidP="00674B3C">
      <w:pPr>
        <w:spacing w:after="0" w:line="240" w:lineRule="auto"/>
        <w:jc w:val="both"/>
      </w:pPr>
      <w:r>
        <w:t>Dans l'agriculture d'oasis saharienne, c'est la plante (et non pas un arbre, au sens botanique, car ne produisant pas de vrai bois), dominant la strate arborée des arbres fruitiers, poussant à son ombre et couvrant cultures maraîchères, fourragères, voire céréalières.</w:t>
      </w:r>
    </w:p>
    <w:p w14:paraId="36E3A65C" w14:textId="073663F9" w:rsidR="002B2479" w:rsidRDefault="002B2479" w:rsidP="00674B3C">
      <w:pPr>
        <w:spacing w:after="0" w:line="240" w:lineRule="auto"/>
        <w:jc w:val="both"/>
      </w:pPr>
      <w:r>
        <w:t>Le palmier dattier résiste à un grand écart de température (-5 à 50 °C), a un optimum de croissance entre 32 et 38 °C et ne pousse plus en dessous de 7 °C. L'activité végétative se réduit dès 40 °C et cesse autour de 45 °C. Le givre fait des dégâts.</w:t>
      </w:r>
      <w:r w:rsidR="00674B3C">
        <w:t xml:space="preserve"> </w:t>
      </w:r>
      <w:r w:rsidR="00674B3C" w:rsidRPr="00674B3C">
        <w:t>Le palmier dattier peut tolérer environ 5 g/l de sel.</w:t>
      </w:r>
    </w:p>
    <w:p w14:paraId="5671D5E9" w14:textId="77777777" w:rsidR="002B2479" w:rsidRDefault="002B2479" w:rsidP="00674B3C">
      <w:pPr>
        <w:spacing w:after="0" w:line="240" w:lineRule="auto"/>
        <w:jc w:val="both"/>
      </w:pPr>
      <w:r>
        <w:t xml:space="preserve">La pollinisation se fait normalement par le vent. Le plus souvent à la main. </w:t>
      </w:r>
    </w:p>
    <w:p w14:paraId="68283837" w14:textId="77777777" w:rsidR="002B2479" w:rsidRDefault="002B2479" w:rsidP="00674B3C">
      <w:pPr>
        <w:spacing w:after="0" w:line="240" w:lineRule="auto"/>
        <w:jc w:val="both"/>
      </w:pPr>
      <w:r>
        <w:t>La propagation des palmiers dattiers se fait par clonage, soit par prélèvement de drageons ou rejets, soit par culture in vitro.</w:t>
      </w:r>
    </w:p>
    <w:p w14:paraId="6A017763" w14:textId="77777777" w:rsidR="002B2479" w:rsidRDefault="002B2479" w:rsidP="00674B3C">
      <w:pPr>
        <w:spacing w:after="0" w:line="240" w:lineRule="auto"/>
        <w:jc w:val="both"/>
      </w:pPr>
      <w:r>
        <w:t>En Tunisie, on compte plus de 300 variétés2,3, au Maroc, environ 150. En Algérie, plus de 1160 cultivars sont recensés.</w:t>
      </w:r>
    </w:p>
    <w:p w14:paraId="554DEFE6" w14:textId="77777777" w:rsidR="002B2479" w:rsidRDefault="002B2479" w:rsidP="00674B3C">
      <w:pPr>
        <w:spacing w:after="0" w:line="240" w:lineRule="auto"/>
        <w:jc w:val="both"/>
      </w:pPr>
      <w:r>
        <w:t>Toutes les parties de l'arbre sont utilisés, pour faire des cordes, des paniers, des ruches, comme poutres pour les maisons …</w:t>
      </w:r>
    </w:p>
    <w:p w14:paraId="29F929B7" w14:textId="77777777" w:rsidR="002B2479" w:rsidRDefault="002B2479" w:rsidP="00674B3C">
      <w:pPr>
        <w:spacing w:after="0" w:line="240" w:lineRule="auto"/>
        <w:jc w:val="both"/>
      </w:pPr>
      <w:r>
        <w:t>Il est sujet à de nombreuses maladies dont le bayoud (fusariose, champignon </w:t>
      </w:r>
      <w:r w:rsidRPr="00674B3C">
        <w:rPr>
          <w:i/>
          <w:iCs/>
        </w:rPr>
        <w:t>Fusarium oxysporum</w:t>
      </w:r>
      <w:r>
        <w:t>) etc.</w:t>
      </w:r>
    </w:p>
    <w:p w14:paraId="56C21F2E" w14:textId="77777777" w:rsidR="002B2479" w:rsidRDefault="002B2479" w:rsidP="00674B3C">
      <w:pPr>
        <w:spacing w:after="0" w:line="240" w:lineRule="auto"/>
        <w:jc w:val="both"/>
      </w:pPr>
      <w:r>
        <w:lastRenderedPageBreak/>
        <w:t>Ses graines ou semences [et leur pouvoir germinatif] se conservent très longtemps.</w:t>
      </w:r>
    </w:p>
    <w:p w14:paraId="283D3AD7" w14:textId="77777777" w:rsidR="002B2479" w:rsidRDefault="002B2479" w:rsidP="002B2479">
      <w:pPr>
        <w:spacing w:after="0" w:line="240" w:lineRule="auto"/>
      </w:pPr>
    </w:p>
    <w:p w14:paraId="70330F69" w14:textId="6FB76260" w:rsidR="002B2479" w:rsidRDefault="002B2479" w:rsidP="002B2479">
      <w:pPr>
        <w:spacing w:after="0" w:line="240" w:lineRule="auto"/>
      </w:pPr>
      <w:r>
        <w:t xml:space="preserve">Sources : a) </w:t>
      </w:r>
      <w:hyperlink r:id="rId449" w:history="1">
        <w:r w:rsidRPr="00C8771B">
          <w:rPr>
            <w:rStyle w:val="Lienhypertexte"/>
          </w:rPr>
          <w:t>http://fr.wikipedia.org/wiki/Phoenix_dactylifera</w:t>
        </w:r>
      </w:hyperlink>
      <w:r>
        <w:t xml:space="preserve">, b) </w:t>
      </w:r>
      <w:hyperlink r:id="rId450" w:history="1">
        <w:r w:rsidRPr="00C8771B">
          <w:rPr>
            <w:rStyle w:val="Lienhypertexte"/>
          </w:rPr>
          <w:t>http://en.wikipedia.org/wiki/Date_palm</w:t>
        </w:r>
      </w:hyperlink>
      <w:r>
        <w:t xml:space="preserve">, </w:t>
      </w:r>
    </w:p>
    <w:p w14:paraId="71E317F7" w14:textId="666A80FC" w:rsidR="002B2479" w:rsidRDefault="002B2479" w:rsidP="002B2479">
      <w:pPr>
        <w:spacing w:after="0" w:line="240" w:lineRule="auto"/>
      </w:pPr>
      <w:r>
        <w:t xml:space="preserve">c) Date Palm Cultivation, FAO, </w:t>
      </w:r>
      <w:hyperlink r:id="rId451" w:history="1">
        <w:r w:rsidRPr="00C8771B">
          <w:rPr>
            <w:rStyle w:val="Lienhypertexte"/>
          </w:rPr>
          <w:t>http://www.fao.org/docrep/006/Y4360E/Y4360E00.HTM</w:t>
        </w:r>
      </w:hyperlink>
      <w:r>
        <w:t xml:space="preserve">,  </w:t>
      </w:r>
    </w:p>
    <w:p w14:paraId="7372B0E3" w14:textId="77777777" w:rsidR="002B2479" w:rsidRDefault="002B2479" w:rsidP="002B2479">
      <w:pPr>
        <w:spacing w:after="0" w:line="240" w:lineRule="auto"/>
      </w:pPr>
      <w:r>
        <w:t xml:space="preserve">d) </w:t>
      </w:r>
      <w:hyperlink r:id="rId452" w:history="1">
        <w:r w:rsidRPr="00C8771B">
          <w:rPr>
            <w:rStyle w:val="Lienhypertexte"/>
          </w:rPr>
          <w:t>http://en.wikipedia.org/wiki/List_of_date_palm_diseases</w:t>
        </w:r>
      </w:hyperlink>
      <w:r>
        <w:t xml:space="preserve"> </w:t>
      </w:r>
    </w:p>
    <w:p w14:paraId="16679A87" w14:textId="77777777" w:rsidR="002B2479" w:rsidRDefault="002B2479" w:rsidP="002B2479">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674B3C" w14:paraId="6E94FE09" w14:textId="77777777" w:rsidTr="00B942F5">
        <w:tc>
          <w:tcPr>
            <w:tcW w:w="5208" w:type="dxa"/>
          </w:tcPr>
          <w:p w14:paraId="693E9F0D" w14:textId="77777777" w:rsidR="00674B3C" w:rsidRDefault="00B942F5" w:rsidP="00674B3C">
            <w:pPr>
              <w:jc w:val="center"/>
            </w:pPr>
            <w:r w:rsidRPr="00B942F5">
              <w:rPr>
                <w:noProof/>
              </w:rPr>
              <w:drawing>
                <wp:inline distT="0" distB="0" distL="0" distR="0" wp14:anchorId="0403E5BF" wp14:editId="2491722E">
                  <wp:extent cx="2352675" cy="1019175"/>
                  <wp:effectExtent l="0" t="0" r="9525" b="9525"/>
                  <wp:docPr id="39950" name="Image 16" descr="Phoenix dactylifera-Arcoiris_en_el_Palmeral_de_Elche_b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50" name="Image 16" descr="Phoenix dactylifera-Arcoiris_en_el_Palmeral_de_Elche_bis.jpg"/>
                          <pic:cNvPicPr>
                            <a:picLocks noChangeAspect="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2352675" cy="1019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3F8C34DA" w14:textId="05BAC99E" w:rsidR="00B942F5" w:rsidRDefault="00000000" w:rsidP="00B942F5">
            <w:pPr>
              <w:jc w:val="center"/>
            </w:pPr>
            <w:hyperlink r:id="rId454" w:history="1">
              <w:r w:rsidR="00B942F5" w:rsidRPr="00B942F5">
                <w:rPr>
                  <w:rStyle w:val="Lienhypertexte"/>
                </w:rPr>
                <w:t>Palmeraie d'Elche</w:t>
              </w:r>
            </w:hyperlink>
          </w:p>
        </w:tc>
        <w:tc>
          <w:tcPr>
            <w:tcW w:w="5208" w:type="dxa"/>
          </w:tcPr>
          <w:p w14:paraId="1AEE57C5" w14:textId="77777777" w:rsidR="00674B3C" w:rsidRDefault="00B942F5" w:rsidP="00674B3C">
            <w:pPr>
              <w:jc w:val="center"/>
            </w:pPr>
            <w:r w:rsidRPr="00B942F5">
              <w:rPr>
                <w:noProof/>
              </w:rPr>
              <w:drawing>
                <wp:inline distT="0" distB="0" distL="0" distR="0" wp14:anchorId="3D9C4788" wp14:editId="2F70F65D">
                  <wp:extent cx="2155825" cy="1439863"/>
                  <wp:effectExtent l="0" t="0" r="0" b="8255"/>
                  <wp:docPr id="39944" name="Image 9" descr="Phoenix dactylifera-Aurès_avant cueillet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44" name="Image 9" descr="Phoenix dactylifera-Aurès_avant cueillette.jpg"/>
                          <pic:cNvPicPr>
                            <a:picLocks noChangeAspect="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2155825" cy="14398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8294DDB" w14:textId="77777777" w:rsidR="00B942F5" w:rsidRDefault="00B942F5" w:rsidP="00B942F5">
            <w:pPr>
              <w:jc w:val="center"/>
            </w:pPr>
            <w:r w:rsidRPr="00B942F5">
              <w:t>Avant la cueillette à </w:t>
            </w:r>
            <w:hyperlink r:id="rId456" w:history="1">
              <w:r w:rsidRPr="00B942F5">
                <w:rPr>
                  <w:rStyle w:val="Lienhypertexte"/>
                </w:rPr>
                <w:t>Tolga</w:t>
              </w:r>
            </w:hyperlink>
            <w:r w:rsidRPr="00B942F5">
              <w:t xml:space="preserve"> (Aurès, </w:t>
            </w:r>
            <w:hyperlink r:id="rId457" w:history="1">
              <w:r w:rsidRPr="00B942F5">
                <w:rPr>
                  <w:rStyle w:val="Lienhypertexte"/>
                </w:rPr>
                <w:t>Algérie</w:t>
              </w:r>
            </w:hyperlink>
            <w:r w:rsidRPr="00B942F5">
              <w:t>)</w:t>
            </w:r>
          </w:p>
          <w:p w14:paraId="00D460DF" w14:textId="79316CD6" w:rsidR="00D8449A" w:rsidRDefault="00D8449A" w:rsidP="00B942F5">
            <w:pPr>
              <w:jc w:val="center"/>
            </w:pPr>
          </w:p>
        </w:tc>
      </w:tr>
      <w:tr w:rsidR="00674B3C" w14:paraId="70DFA6E8" w14:textId="77777777" w:rsidTr="00B942F5">
        <w:tc>
          <w:tcPr>
            <w:tcW w:w="5208" w:type="dxa"/>
          </w:tcPr>
          <w:p w14:paraId="487A9453" w14:textId="77777777" w:rsidR="00674B3C" w:rsidRDefault="00B942F5" w:rsidP="00674B3C">
            <w:pPr>
              <w:jc w:val="center"/>
            </w:pPr>
            <w:r w:rsidRPr="00B942F5">
              <w:rPr>
                <w:noProof/>
              </w:rPr>
              <w:drawing>
                <wp:inline distT="0" distB="0" distL="0" distR="0" wp14:anchorId="76044B7B" wp14:editId="1DD0946A">
                  <wp:extent cx="1136650" cy="1658938"/>
                  <wp:effectExtent l="0" t="0" r="6350" b="0"/>
                  <wp:docPr id="39945" name="Image 10" descr="Phoenix dactylifera-Dates_on_date_pal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45" name="Image 10" descr="Phoenix dactylifera-Dates_on_date_palm.jpg"/>
                          <pic:cNvPicPr>
                            <a:picLocks noChangeAspect="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1136650" cy="16589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64E293DB" w14:textId="74628DCE" w:rsidR="00B942F5" w:rsidRDefault="00B942F5" w:rsidP="00674B3C">
            <w:pPr>
              <w:jc w:val="center"/>
            </w:pPr>
            <w:r>
              <w:t>Régime de dattes</w:t>
            </w:r>
          </w:p>
        </w:tc>
        <w:tc>
          <w:tcPr>
            <w:tcW w:w="5208" w:type="dxa"/>
          </w:tcPr>
          <w:p w14:paraId="634F3636" w14:textId="095B9AB9" w:rsidR="00674B3C" w:rsidRDefault="00B942F5" w:rsidP="00674B3C">
            <w:pPr>
              <w:jc w:val="center"/>
            </w:pPr>
            <w:r w:rsidRPr="00B942F5">
              <w:rPr>
                <w:noProof/>
              </w:rPr>
              <w:drawing>
                <wp:inline distT="0" distB="0" distL="0" distR="0" wp14:anchorId="1A4B73AA" wp14:editId="5BA10D09">
                  <wp:extent cx="1104900" cy="1847850"/>
                  <wp:effectExtent l="0" t="0" r="0" b="0"/>
                  <wp:docPr id="39946" name="Image 12" descr="Phoenix dactylifera1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46" name="Image 12" descr="Phoenix dactylifera1_s.jpg"/>
                          <pic:cNvPicPr>
                            <a:picLocks noChangeAspect="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1104900"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21A548C0" w14:textId="5CE49F34" w:rsidR="00D8449A" w:rsidRDefault="00D8449A" w:rsidP="00D8449A">
      <w:pPr>
        <w:spacing w:after="0" w:line="240" w:lineRule="auto"/>
      </w:pPr>
    </w:p>
    <w:p w14:paraId="1902ECA6" w14:textId="77777777" w:rsidR="00D8449A" w:rsidRDefault="00D8449A" w:rsidP="00B655B6">
      <w:pPr>
        <w:pStyle w:val="Titre2"/>
      </w:pPr>
      <w:bookmarkStart w:id="57" w:name="_Toc139181348"/>
      <w:r>
        <w:t>Arbre de Josué ou Joshua tree (</w:t>
      </w:r>
      <w:r w:rsidRPr="00D8449A">
        <w:rPr>
          <w:i/>
          <w:iCs/>
        </w:rPr>
        <w:t>Yucca brevifolia</w:t>
      </w:r>
      <w:r>
        <w:t>)</w:t>
      </w:r>
      <w:bookmarkEnd w:id="57"/>
    </w:p>
    <w:p w14:paraId="203D5A7F" w14:textId="12BFADB4" w:rsidR="00D8449A" w:rsidRDefault="00D8449A" w:rsidP="00D8449A">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4"/>
        <w:gridCol w:w="2204"/>
        <w:gridCol w:w="1645"/>
        <w:gridCol w:w="415"/>
        <w:gridCol w:w="1378"/>
      </w:tblGrid>
      <w:tr w:rsidR="005F24EE" w:rsidRPr="000B6BE3" w14:paraId="3CFEA570" w14:textId="77777777" w:rsidTr="009C1251">
        <w:tc>
          <w:tcPr>
            <w:tcW w:w="4957" w:type="dxa"/>
          </w:tcPr>
          <w:p w14:paraId="2B0F5F0C" w14:textId="757290AC" w:rsidR="005F24EE" w:rsidRPr="000B6BE3" w:rsidRDefault="005F24EE" w:rsidP="009C1251">
            <w:pPr>
              <w:rPr>
                <w:rFonts w:cstheme="minorHAnsi"/>
                <w:bCs/>
              </w:rPr>
            </w:pPr>
            <w:r w:rsidRPr="000B6BE3">
              <w:rPr>
                <w:rFonts w:cstheme="minorHAnsi"/>
                <w:bCs/>
              </w:rPr>
              <w:t>(</w:t>
            </w:r>
            <w:hyperlink r:id="rId460" w:history="1">
              <w:r w:rsidRPr="000B6BE3">
                <w:rPr>
                  <w:rFonts w:cstheme="minorHAnsi"/>
                </w:rPr>
                <w:t>F</w:t>
              </w:r>
              <w:r w:rsidRPr="000B6BE3">
                <w:rPr>
                  <w:rStyle w:val="Lienhypertexte"/>
                  <w:rFonts w:cstheme="minorHAnsi"/>
                  <w:color w:val="0B0080"/>
                  <w:shd w:val="clear" w:color="auto" w:fill="FFFFFF"/>
                </w:rPr>
                <w:t>amille</w:t>
              </w:r>
            </w:hyperlink>
            <w:r w:rsidRPr="000B6BE3">
              <w:rPr>
                <w:rFonts w:cstheme="minorHAnsi"/>
                <w:color w:val="222222"/>
                <w:shd w:val="clear" w:color="auto" w:fill="FFFFFF"/>
              </w:rPr>
              <w:t> des</w:t>
            </w:r>
            <w:r>
              <w:rPr>
                <w:rFonts w:cstheme="minorHAnsi"/>
                <w:color w:val="222222"/>
                <w:shd w:val="clear" w:color="auto" w:fill="FFFFFF"/>
              </w:rPr>
              <w:t xml:space="preserve"> </w:t>
            </w:r>
            <w:r w:rsidRPr="00D8449A">
              <w:rPr>
                <w:i/>
                <w:iCs/>
              </w:rPr>
              <w:t>Asparagacées</w:t>
            </w:r>
            <w:r w:rsidRPr="000B6BE3">
              <w:rPr>
                <w:rFonts w:cstheme="minorHAnsi"/>
                <w:bCs/>
              </w:rPr>
              <w:t>)</w:t>
            </w:r>
          </w:p>
          <w:p w14:paraId="07BE072F" w14:textId="77777777" w:rsidR="005F24EE" w:rsidRPr="000B6BE3" w:rsidRDefault="005F24EE" w:rsidP="009C1251">
            <w:pPr>
              <w:rPr>
                <w:rFonts w:cstheme="minorHAnsi"/>
              </w:rPr>
            </w:pPr>
          </w:p>
        </w:tc>
        <w:tc>
          <w:tcPr>
            <w:tcW w:w="2268" w:type="dxa"/>
          </w:tcPr>
          <w:p w14:paraId="202655EA" w14:textId="77777777" w:rsidR="005F24EE" w:rsidRPr="000B6BE3" w:rsidRDefault="005F24EE" w:rsidP="009C1251">
            <w:pPr>
              <w:rPr>
                <w:rFonts w:cstheme="minorHAnsi"/>
              </w:rPr>
            </w:pPr>
            <w:r w:rsidRPr="000B6BE3">
              <w:rPr>
                <w:rFonts w:cstheme="minorHAnsi"/>
                <w:noProof/>
              </w:rPr>
              <w:t xml:space="preserve">  </w:t>
            </w:r>
            <w:r w:rsidRPr="008F2681">
              <w:rPr>
                <w:rFonts w:cstheme="minorHAnsi"/>
                <w:noProof/>
              </w:rPr>
              <w:drawing>
                <wp:inline distT="0" distB="0" distL="0" distR="0" wp14:anchorId="101D8BE3" wp14:editId="588C40E8">
                  <wp:extent cx="495300" cy="666750"/>
                  <wp:effectExtent l="0" t="0" r="0" b="0"/>
                  <wp:docPr id="132109" name="Image 18"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9" name="Image 18" descr="logo aride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r w:rsidRPr="00C57CF1">
              <w:rPr>
                <w:rFonts w:cstheme="minorHAnsi"/>
                <w:noProof/>
                <w:sz w:val="36"/>
                <w:szCs w:val="36"/>
              </w:rPr>
              <w:t>?</w:t>
            </w:r>
            <w:r>
              <w:rPr>
                <w:rFonts w:cstheme="minorHAnsi"/>
                <w:noProof/>
              </w:rPr>
              <w:t xml:space="preserve">  </w:t>
            </w:r>
            <w:r w:rsidRPr="008F2681">
              <w:rPr>
                <w:rFonts w:cstheme="minorHAnsi"/>
                <w:noProof/>
              </w:rPr>
              <w:drawing>
                <wp:inline distT="0" distB="0" distL="0" distR="0" wp14:anchorId="17A2DC06" wp14:editId="5DDFA08E">
                  <wp:extent cx="463550" cy="661988"/>
                  <wp:effectExtent l="0" t="0" r="0" b="5080"/>
                  <wp:docPr id="132110"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701" w:type="dxa"/>
          </w:tcPr>
          <w:p w14:paraId="79BAC28D" w14:textId="5DA6CCD7" w:rsidR="005F24EE" w:rsidRPr="000B6BE3" w:rsidRDefault="005F24EE" w:rsidP="009C1251">
            <w:pPr>
              <w:textAlignment w:val="baseline"/>
              <w:rPr>
                <w:rFonts w:cstheme="minorHAnsi"/>
              </w:rPr>
            </w:pPr>
            <w:r w:rsidRPr="00D1445E">
              <w:rPr>
                <w:rFonts w:eastAsia="+mn-ea" w:cstheme="minorHAnsi"/>
                <w:b/>
                <w:bCs/>
                <w:color w:val="008000"/>
                <w:kern w:val="24"/>
                <w:sz w:val="56"/>
                <w:szCs w:val="56"/>
              </w:rPr>
              <w:t>U</w:t>
            </w:r>
          </w:p>
        </w:tc>
        <w:tc>
          <w:tcPr>
            <w:tcW w:w="425" w:type="dxa"/>
          </w:tcPr>
          <w:p w14:paraId="0CC6A58B" w14:textId="77777777" w:rsidR="005F24EE" w:rsidRPr="000B6BE3" w:rsidRDefault="005F24EE" w:rsidP="009C1251">
            <w:pPr>
              <w:rPr>
                <w:rFonts w:cstheme="minorHAnsi"/>
              </w:rPr>
            </w:pPr>
          </w:p>
        </w:tc>
        <w:tc>
          <w:tcPr>
            <w:tcW w:w="1439" w:type="dxa"/>
          </w:tcPr>
          <w:p w14:paraId="3BC984F6" w14:textId="77777777" w:rsidR="005F24EE" w:rsidRPr="000B6BE3" w:rsidRDefault="005F24EE" w:rsidP="009C1251">
            <w:pPr>
              <w:rPr>
                <w:rFonts w:cstheme="minorHAnsi"/>
              </w:rPr>
            </w:pPr>
          </w:p>
        </w:tc>
      </w:tr>
    </w:tbl>
    <w:p w14:paraId="000CC9A0" w14:textId="77777777" w:rsidR="00613B24" w:rsidRDefault="00613B24" w:rsidP="00D8449A">
      <w:pPr>
        <w:spacing w:after="0" w:line="240" w:lineRule="auto"/>
        <w:jc w:val="both"/>
      </w:pPr>
    </w:p>
    <w:p w14:paraId="6384B972" w14:textId="18513FE4" w:rsidR="00D8449A" w:rsidRDefault="00D8449A" w:rsidP="00D8449A">
      <w:pPr>
        <w:spacing w:after="0" w:line="240" w:lineRule="auto"/>
        <w:jc w:val="both"/>
      </w:pPr>
      <w:r>
        <w:t xml:space="preserve">Originaire du sud-ouest d'Amérique du Nord, de Californie, Arizona, Utah et Nevada, cet arbre (famille des </w:t>
      </w:r>
      <w:r w:rsidRPr="00D8449A">
        <w:rPr>
          <w:i/>
          <w:iCs/>
        </w:rPr>
        <w:t>Asparagacées</w:t>
      </w:r>
      <w:r>
        <w:t>) est à croissance rapide pour le désert; les nouveaux plants peuvent croître à un taux moyen de 7,6 cm (3,0 po) par année, dans leurs dix premières années, puis que croître d'environ 3,8 cm (1,5 po) par an par la suite. Il tolère les sols pauvres, alcalins et salins. Il résiste à des températures entre 4 &amp; 46°C.</w:t>
      </w:r>
    </w:p>
    <w:p w14:paraId="716BFF44" w14:textId="77777777" w:rsidR="00D8449A" w:rsidRDefault="00D8449A" w:rsidP="00D8449A">
      <w:pPr>
        <w:spacing w:after="0" w:line="240" w:lineRule="auto"/>
        <w:jc w:val="both"/>
      </w:pPr>
      <w:r>
        <w:t>Les fleurs sont produites au printemps, en panicules de 30-55 cm de hauteur et 30-38 cm de large.</w:t>
      </w:r>
    </w:p>
    <w:p w14:paraId="572CD780" w14:textId="4817FD35" w:rsidR="00D8449A" w:rsidRDefault="00D8449A" w:rsidP="00D8449A">
      <w:pPr>
        <w:spacing w:after="0" w:line="240" w:lineRule="auto"/>
        <w:jc w:val="both"/>
      </w:pPr>
      <w:r>
        <w:t>Les amérindiens ont utilisé les feuilles de Y</w:t>
      </w:r>
      <w:r w:rsidRPr="00D8449A">
        <w:rPr>
          <w:i/>
          <w:iCs/>
        </w:rPr>
        <w:t>. brevifolia</w:t>
      </w:r>
      <w:r>
        <w:t> pour tisser des sandales et des paniers et ont récolté les graines et boutons floraux pour se nourrir. Les racines de ce yucca contiennent des glycosides de saponine (toxiques). </w:t>
      </w:r>
    </w:p>
    <w:p w14:paraId="6E5436D1" w14:textId="77777777" w:rsidR="00D8449A" w:rsidRDefault="00D8449A" w:rsidP="00D8449A">
      <w:pPr>
        <w:spacing w:after="0" w:line="240" w:lineRule="auto"/>
        <w:jc w:val="both"/>
      </w:pPr>
      <w:r>
        <w:t>Comme la plupart des plantes du désert, leur épanouissement floral est tributaire de la pluviométrie au bon moment. Ils ont également besoin d'un gel de l'hiver avant de pouvoir fleurir.</w:t>
      </w:r>
    </w:p>
    <w:p w14:paraId="2FC7F0A7" w14:textId="0D2B19ED" w:rsidR="00D8449A" w:rsidRDefault="00D8449A" w:rsidP="00D8449A">
      <w:pPr>
        <w:spacing w:after="0" w:line="240" w:lineRule="auto"/>
        <w:jc w:val="both"/>
      </w:pPr>
      <w:r>
        <w:t xml:space="preserve">Sources : a) </w:t>
      </w:r>
      <w:hyperlink r:id="rId461" w:history="1">
        <w:r w:rsidRPr="005B5A5E">
          <w:rPr>
            <w:rStyle w:val="Lienhypertexte"/>
          </w:rPr>
          <w:t>http://fr.wikipedia.org/wiki/Yucca_brevifolia</w:t>
        </w:r>
      </w:hyperlink>
      <w:r>
        <w:t xml:space="preserve">, b) </w:t>
      </w:r>
      <w:hyperlink r:id="rId462" w:history="1">
        <w:r w:rsidRPr="005B5A5E">
          <w:rPr>
            <w:rStyle w:val="Lienhypertexte"/>
          </w:rPr>
          <w:t>http://en.wikipedia.org/wiki/Yucca_brevifolia</w:t>
        </w:r>
      </w:hyperlink>
      <w:r>
        <w:t xml:space="preserve">, </w:t>
      </w:r>
    </w:p>
    <w:p w14:paraId="1D6B25BF" w14:textId="77777777" w:rsidR="00D8449A" w:rsidRDefault="00D8449A" w:rsidP="00D8449A">
      <w:pPr>
        <w:spacing w:after="0" w:line="240" w:lineRule="auto"/>
        <w:jc w:val="both"/>
      </w:pPr>
      <w:r>
        <w:t xml:space="preserve">c) Yucca brevifolia, </w:t>
      </w:r>
      <w:hyperlink r:id="rId463" w:anchor="94" w:history="1">
        <w:r w:rsidRPr="005B5A5E">
          <w:rPr>
            <w:rStyle w:val="Lienhypertexte"/>
          </w:rPr>
          <w:t>http://www.fs.fed.us/database/feis/plants/tree/yucbre/all.html#94</w:t>
        </w:r>
      </w:hyperlink>
      <w:r>
        <w:t xml:space="preserve"> </w:t>
      </w:r>
    </w:p>
    <w:p w14:paraId="6D3D5F61" w14:textId="77777777" w:rsidR="00D8449A" w:rsidRDefault="00D8449A" w:rsidP="00D8449A">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D8449A" w14:paraId="78D2E8A4" w14:textId="77777777" w:rsidTr="007D79FC">
        <w:tc>
          <w:tcPr>
            <w:tcW w:w="5208" w:type="dxa"/>
          </w:tcPr>
          <w:p w14:paraId="1936504A" w14:textId="77777777" w:rsidR="00D8449A" w:rsidRDefault="007D79FC" w:rsidP="00D8449A">
            <w:pPr>
              <w:jc w:val="center"/>
            </w:pPr>
            <w:r w:rsidRPr="007D79FC">
              <w:rPr>
                <w:noProof/>
              </w:rPr>
              <w:lastRenderedPageBreak/>
              <w:drawing>
                <wp:inline distT="0" distB="0" distL="0" distR="0" wp14:anchorId="77275BA4" wp14:editId="3BF39B83">
                  <wp:extent cx="1524000" cy="1143000"/>
                  <wp:effectExtent l="0" t="0" r="0" b="0"/>
                  <wp:docPr id="40969" name="Image 9" descr="Yucca_brevifolia_flow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69" name="Image 9" descr="Yucca_brevifolia_flower.jpg"/>
                          <pic:cNvPicPr>
                            <a:picLocks noChangeAspect="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1524000" cy="1143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t xml:space="preserve"> </w:t>
            </w:r>
            <w:r w:rsidRPr="007D79FC">
              <w:rPr>
                <w:noProof/>
              </w:rPr>
              <w:drawing>
                <wp:inline distT="0" distB="0" distL="0" distR="0" wp14:anchorId="0A95175F" wp14:editId="445B743B">
                  <wp:extent cx="1553766" cy="1285875"/>
                  <wp:effectExtent l="0" t="0" r="8890" b="0"/>
                  <wp:docPr id="40968" name="Image 8" descr="Yucca_brevifolia_florais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68" name="Image 8" descr="Yucca_brevifolia_floraison.jpg"/>
                          <pic:cNvPicPr>
                            <a:picLocks noChangeAspect="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1554322" cy="1286335"/>
                          </a:xfrm>
                          <a:prstGeom prst="rect">
                            <a:avLst/>
                          </a:prstGeom>
                          <a:noFill/>
                          <a:ln>
                            <a:noFill/>
                          </a:ln>
                        </pic:spPr>
                      </pic:pic>
                    </a:graphicData>
                  </a:graphic>
                </wp:inline>
              </w:drawing>
            </w:r>
          </w:p>
          <w:p w14:paraId="2E1B8754" w14:textId="38225C29" w:rsidR="000B73C7" w:rsidRDefault="000B73C7" w:rsidP="00D8449A">
            <w:pPr>
              <w:jc w:val="center"/>
            </w:pPr>
          </w:p>
        </w:tc>
        <w:tc>
          <w:tcPr>
            <w:tcW w:w="5208" w:type="dxa"/>
          </w:tcPr>
          <w:p w14:paraId="71237881" w14:textId="245128EB" w:rsidR="00D8449A" w:rsidRDefault="007D79FC" w:rsidP="00D8449A">
            <w:pPr>
              <w:jc w:val="center"/>
            </w:pPr>
            <w:r w:rsidRPr="007D79FC">
              <w:rPr>
                <w:noProof/>
              </w:rPr>
              <w:drawing>
                <wp:inline distT="0" distB="0" distL="0" distR="0" wp14:anchorId="315A3BD9" wp14:editId="6DB6B611">
                  <wp:extent cx="1524000" cy="1257300"/>
                  <wp:effectExtent l="0" t="0" r="0" b="0"/>
                  <wp:docPr id="40970" name="Image 10" descr="Yucca_brevifolia_frui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70" name="Image 10" descr="Yucca_brevifolia_fruits.jpg"/>
                          <pic:cNvPicPr>
                            <a:picLocks noChangeAspect="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1524000" cy="1257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t xml:space="preserve"> </w:t>
            </w:r>
            <w:r w:rsidRPr="007D79FC">
              <w:rPr>
                <w:noProof/>
              </w:rPr>
              <w:drawing>
                <wp:inline distT="0" distB="0" distL="0" distR="0" wp14:anchorId="589B8A9A" wp14:editId="62210E82">
                  <wp:extent cx="1492250" cy="1120775"/>
                  <wp:effectExtent l="0" t="0" r="0" b="3175"/>
                  <wp:docPr id="40972" name="Image 12" descr="Yucca_brevifolia_JoshuaTreeFru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72" name="Image 12" descr="Yucca_brevifolia_JoshuaTreeFruit.jpg"/>
                          <pic:cNvPicPr>
                            <a:picLocks noChangeAspect="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1492250" cy="1120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D8449A" w14:paraId="69F088D6" w14:textId="77777777" w:rsidTr="007D79FC">
        <w:tc>
          <w:tcPr>
            <w:tcW w:w="5208" w:type="dxa"/>
          </w:tcPr>
          <w:p w14:paraId="4E33DE7A" w14:textId="403F28DF" w:rsidR="00D8449A" w:rsidRDefault="007D79FC" w:rsidP="00D8449A">
            <w:pPr>
              <w:jc w:val="center"/>
            </w:pPr>
            <w:r w:rsidRPr="007D79FC">
              <w:rPr>
                <w:noProof/>
              </w:rPr>
              <w:drawing>
                <wp:inline distT="0" distB="0" distL="0" distR="0" wp14:anchorId="520FC848" wp14:editId="428340C2">
                  <wp:extent cx="2984500" cy="2857500"/>
                  <wp:effectExtent l="0" t="0" r="6350" b="0"/>
                  <wp:docPr id="40971" name="Image 11" descr="Yucca_brevifolia_Joshua_Tree_Panicl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71" name="Image 11" descr="Yucca_brevifolia_Joshua_Tree_Panicle_1.jpg"/>
                          <pic:cNvPicPr>
                            <a:picLocks noChangeAspect="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2984500" cy="2857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208" w:type="dxa"/>
          </w:tcPr>
          <w:p w14:paraId="36EAD4C0" w14:textId="7837ACD0" w:rsidR="00D8449A" w:rsidRDefault="007D79FC" w:rsidP="00D8449A">
            <w:pPr>
              <w:jc w:val="center"/>
            </w:pPr>
            <w:r w:rsidRPr="007D79FC">
              <w:rPr>
                <w:noProof/>
              </w:rPr>
              <w:drawing>
                <wp:inline distT="0" distB="0" distL="0" distR="0" wp14:anchorId="0AEDB15C" wp14:editId="5BB9CB65">
                  <wp:extent cx="2095500" cy="2790825"/>
                  <wp:effectExtent l="0" t="0" r="0" b="9525"/>
                  <wp:docPr id="40973" name="Image 13" descr="Yucca_brevifolia-Kaktus-drzewias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73" name="Image 13" descr="Yucca_brevifolia-Kaktus-drzewiasty.jpg"/>
                          <pic:cNvPicPr>
                            <a:picLocks noChangeAspect="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2095500" cy="2790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49BC633C" w14:textId="297B4D05" w:rsidR="00D8449A" w:rsidRDefault="00D8449A" w:rsidP="007D79FC">
      <w:pPr>
        <w:spacing w:after="0" w:line="240" w:lineRule="auto"/>
      </w:pPr>
    </w:p>
    <w:p w14:paraId="0A1F1775" w14:textId="77777777" w:rsidR="00023B13" w:rsidRDefault="00023B13" w:rsidP="00B655B6">
      <w:pPr>
        <w:pStyle w:val="Titre2"/>
      </w:pPr>
      <w:bookmarkStart w:id="58" w:name="_Toc139181349"/>
      <w:r>
        <w:t>"Palmier porcelaine" (</w:t>
      </w:r>
      <w:r w:rsidRPr="00023B13">
        <w:rPr>
          <w:i/>
          <w:iCs/>
        </w:rPr>
        <w:t>Yucca filifera</w:t>
      </w:r>
      <w:r>
        <w:t>)</w:t>
      </w:r>
      <w:bookmarkEnd w:id="58"/>
    </w:p>
    <w:p w14:paraId="65D3A657" w14:textId="77777777" w:rsidR="00023B13" w:rsidRDefault="00023B13" w:rsidP="00023B13">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4"/>
        <w:gridCol w:w="2204"/>
        <w:gridCol w:w="1645"/>
        <w:gridCol w:w="415"/>
        <w:gridCol w:w="1378"/>
      </w:tblGrid>
      <w:tr w:rsidR="005F24EE" w:rsidRPr="000B6BE3" w14:paraId="4F4B0920" w14:textId="77777777" w:rsidTr="009C1251">
        <w:tc>
          <w:tcPr>
            <w:tcW w:w="4957" w:type="dxa"/>
          </w:tcPr>
          <w:p w14:paraId="31D1D074" w14:textId="77777777" w:rsidR="005F24EE" w:rsidRPr="000B6BE3" w:rsidRDefault="005F24EE" w:rsidP="009C1251">
            <w:pPr>
              <w:rPr>
                <w:rFonts w:cstheme="minorHAnsi"/>
                <w:bCs/>
              </w:rPr>
            </w:pPr>
            <w:r w:rsidRPr="000B6BE3">
              <w:rPr>
                <w:rFonts w:cstheme="minorHAnsi"/>
                <w:bCs/>
              </w:rPr>
              <w:t>(</w:t>
            </w:r>
            <w:hyperlink r:id="rId470" w:history="1">
              <w:r w:rsidRPr="000B6BE3">
                <w:rPr>
                  <w:rFonts w:cstheme="minorHAnsi"/>
                </w:rPr>
                <w:t>F</w:t>
              </w:r>
              <w:r w:rsidRPr="000B6BE3">
                <w:rPr>
                  <w:rStyle w:val="Lienhypertexte"/>
                  <w:rFonts w:cstheme="minorHAnsi"/>
                  <w:color w:val="0B0080"/>
                  <w:shd w:val="clear" w:color="auto" w:fill="FFFFFF"/>
                </w:rPr>
                <w:t>amille</w:t>
              </w:r>
            </w:hyperlink>
            <w:r w:rsidRPr="000B6BE3">
              <w:rPr>
                <w:rFonts w:cstheme="minorHAnsi"/>
                <w:color w:val="222222"/>
                <w:shd w:val="clear" w:color="auto" w:fill="FFFFFF"/>
              </w:rPr>
              <w:t> des</w:t>
            </w:r>
            <w:r>
              <w:rPr>
                <w:rFonts w:cstheme="minorHAnsi"/>
                <w:color w:val="222222"/>
                <w:shd w:val="clear" w:color="auto" w:fill="FFFFFF"/>
              </w:rPr>
              <w:t xml:space="preserve"> </w:t>
            </w:r>
            <w:r w:rsidRPr="00D8449A">
              <w:rPr>
                <w:i/>
                <w:iCs/>
              </w:rPr>
              <w:t>Asparagacées</w:t>
            </w:r>
            <w:r w:rsidRPr="000B6BE3">
              <w:rPr>
                <w:rFonts w:cstheme="minorHAnsi"/>
                <w:bCs/>
              </w:rPr>
              <w:t>)</w:t>
            </w:r>
          </w:p>
          <w:p w14:paraId="5936CB61" w14:textId="77777777" w:rsidR="005F24EE" w:rsidRPr="000B6BE3" w:rsidRDefault="005F24EE" w:rsidP="009C1251">
            <w:pPr>
              <w:rPr>
                <w:rFonts w:cstheme="minorHAnsi"/>
              </w:rPr>
            </w:pPr>
          </w:p>
        </w:tc>
        <w:tc>
          <w:tcPr>
            <w:tcW w:w="2268" w:type="dxa"/>
          </w:tcPr>
          <w:p w14:paraId="26252EE4" w14:textId="77777777" w:rsidR="005F24EE" w:rsidRPr="000B6BE3" w:rsidRDefault="005F24EE" w:rsidP="009C1251">
            <w:pPr>
              <w:rPr>
                <w:rFonts w:cstheme="minorHAnsi"/>
              </w:rPr>
            </w:pPr>
            <w:r w:rsidRPr="000B6BE3">
              <w:rPr>
                <w:rFonts w:cstheme="minorHAnsi"/>
                <w:noProof/>
              </w:rPr>
              <w:t xml:space="preserve">  </w:t>
            </w:r>
            <w:r w:rsidRPr="008F2681">
              <w:rPr>
                <w:rFonts w:cstheme="minorHAnsi"/>
                <w:noProof/>
              </w:rPr>
              <w:drawing>
                <wp:inline distT="0" distB="0" distL="0" distR="0" wp14:anchorId="0CA9E286" wp14:editId="6C63F69C">
                  <wp:extent cx="495300" cy="666750"/>
                  <wp:effectExtent l="0" t="0" r="0" b="0"/>
                  <wp:docPr id="132111" name="Image 18"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9" name="Image 18" descr="logo aride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r w:rsidRPr="00C57CF1">
              <w:rPr>
                <w:rFonts w:cstheme="minorHAnsi"/>
                <w:noProof/>
                <w:sz w:val="36"/>
                <w:szCs w:val="36"/>
              </w:rPr>
              <w:t>?</w:t>
            </w:r>
            <w:r>
              <w:rPr>
                <w:rFonts w:cstheme="minorHAnsi"/>
                <w:noProof/>
              </w:rPr>
              <w:t xml:space="preserve">  </w:t>
            </w:r>
            <w:r w:rsidRPr="008F2681">
              <w:rPr>
                <w:rFonts w:cstheme="minorHAnsi"/>
                <w:noProof/>
              </w:rPr>
              <w:drawing>
                <wp:inline distT="0" distB="0" distL="0" distR="0" wp14:anchorId="51F8A6E5" wp14:editId="4B279281">
                  <wp:extent cx="463550" cy="661988"/>
                  <wp:effectExtent l="0" t="0" r="0" b="5080"/>
                  <wp:docPr id="132112"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701" w:type="dxa"/>
          </w:tcPr>
          <w:p w14:paraId="7B84B4D2" w14:textId="77777777" w:rsidR="005F24EE" w:rsidRPr="000B6BE3" w:rsidRDefault="005F24EE" w:rsidP="009C1251">
            <w:pPr>
              <w:textAlignment w:val="baseline"/>
              <w:rPr>
                <w:rFonts w:cstheme="minorHAnsi"/>
              </w:rPr>
            </w:pPr>
            <w:r w:rsidRPr="00D1445E">
              <w:rPr>
                <w:rFonts w:eastAsia="+mn-ea" w:cstheme="minorHAnsi"/>
                <w:b/>
                <w:bCs/>
                <w:color w:val="008000"/>
                <w:kern w:val="24"/>
                <w:sz w:val="56"/>
                <w:szCs w:val="56"/>
              </w:rPr>
              <w:t>U</w:t>
            </w:r>
          </w:p>
        </w:tc>
        <w:tc>
          <w:tcPr>
            <w:tcW w:w="425" w:type="dxa"/>
          </w:tcPr>
          <w:p w14:paraId="2D19CDE2" w14:textId="77777777" w:rsidR="005F24EE" w:rsidRPr="000B6BE3" w:rsidRDefault="005F24EE" w:rsidP="009C1251">
            <w:pPr>
              <w:rPr>
                <w:rFonts w:cstheme="minorHAnsi"/>
              </w:rPr>
            </w:pPr>
          </w:p>
        </w:tc>
        <w:tc>
          <w:tcPr>
            <w:tcW w:w="1439" w:type="dxa"/>
          </w:tcPr>
          <w:p w14:paraId="51FC18AA" w14:textId="77777777" w:rsidR="005F24EE" w:rsidRPr="000B6BE3" w:rsidRDefault="005F24EE" w:rsidP="009C1251">
            <w:pPr>
              <w:rPr>
                <w:rFonts w:cstheme="minorHAnsi"/>
              </w:rPr>
            </w:pPr>
          </w:p>
        </w:tc>
      </w:tr>
    </w:tbl>
    <w:p w14:paraId="11021EB6" w14:textId="77777777" w:rsidR="00023B13" w:rsidRDefault="00023B13" w:rsidP="00023B13">
      <w:pPr>
        <w:spacing w:after="0" w:line="240" w:lineRule="auto"/>
        <w:jc w:val="both"/>
      </w:pPr>
      <w:r>
        <w:t>Originaire des zones arides du Nord-est du Mexique, ce Yucca, très ramifié, aux feuilles droites ensiformes, se développant en rosettes en forme de grappes à la fin de chaque branche, peut atteindre 15 m de hauteur. </w:t>
      </w:r>
    </w:p>
    <w:p w14:paraId="0C274967" w14:textId="482C4D9B" w:rsidR="00023B13" w:rsidRDefault="00023B13" w:rsidP="00023B13">
      <w:pPr>
        <w:spacing w:after="0" w:line="240" w:lineRule="auto"/>
        <w:jc w:val="both"/>
      </w:pPr>
      <w:r>
        <w:t>On le distingue des autres yuccas par son inflorescence de fleurs blanches, en grappe retombante.</w:t>
      </w:r>
    </w:p>
    <w:p w14:paraId="7574D9A9" w14:textId="66AA1EFA" w:rsidR="00023B13" w:rsidRDefault="00023B13" w:rsidP="00023B13">
      <w:pPr>
        <w:spacing w:after="0" w:line="240" w:lineRule="auto"/>
        <w:jc w:val="both"/>
      </w:pPr>
      <w:r>
        <w:t>Ses fleurs et ses feuilles sont utilisées au Mexique pour l’alimentation humaine. Dans l'agro-industrie, ses fibres servent à la fabrication du papier ou pour certains combustibles. La saponine extraite du tronc ou est utilisée dans l'industrie pharmaceutique et comme nutraceutique dans l'élevage. La saponine extraite des racines est toxique.</w:t>
      </w:r>
    </w:p>
    <w:p w14:paraId="7A408011" w14:textId="5F6BEAEC" w:rsidR="00023B13" w:rsidRDefault="00023B13" w:rsidP="00023B13">
      <w:pPr>
        <w:spacing w:after="0" w:line="240" w:lineRule="auto"/>
        <w:jc w:val="both"/>
      </w:pPr>
      <w:r>
        <w:t>Cette plante est pollinisée par un papillon de nuit (</w:t>
      </w:r>
      <w:r w:rsidRPr="00023B13">
        <w:rPr>
          <w:i/>
          <w:iCs/>
        </w:rPr>
        <w:t>Tegiticula yuccasella</w:t>
      </w:r>
      <w:r>
        <w:t>) qui ne se trouve que dans son habitat naturel, ailleurs l'intervention de l'homme est nécessaire pour obtenir une fructification. Il prospère dans des régions sèches et semi-arides _ les précipitations annuelles moyennes sont de 250 mm, et les températures varient de 40 °C à –30 °C _ au climat subtropical tempéré par la continentalité et l’altitude (l’essentiel de cette région se trouve entre 1 000 et 1 500 m d’altitude) et dont les sols drainant sont sableux ou pierreux. Les gelées sont occasionnelles dans son aire de répartition naturelle, notamment dans la partie mexicaine du désert de Chihuahua et il peut supporter des températures minimales de –15 °C 15.</w:t>
      </w:r>
    </w:p>
    <w:p w14:paraId="4A2052AD" w14:textId="77777777" w:rsidR="00023B13" w:rsidRDefault="00023B13" w:rsidP="00023B13">
      <w:pPr>
        <w:spacing w:after="0" w:line="240" w:lineRule="auto"/>
        <w:jc w:val="both"/>
      </w:pPr>
    </w:p>
    <w:p w14:paraId="177E0543" w14:textId="12ED49A2" w:rsidR="00023B13" w:rsidRDefault="00023B13" w:rsidP="00023B13">
      <w:pPr>
        <w:spacing w:after="0" w:line="240" w:lineRule="auto"/>
        <w:jc w:val="both"/>
      </w:pPr>
      <w:r>
        <w:t xml:space="preserve">Sources : a) </w:t>
      </w:r>
      <w:hyperlink r:id="rId471" w:history="1">
        <w:r w:rsidRPr="00E65AB7">
          <w:rPr>
            <w:rStyle w:val="Lienhypertexte"/>
          </w:rPr>
          <w:t>http://fr.wikipedia.org/wiki/Yucca_filifera</w:t>
        </w:r>
      </w:hyperlink>
      <w:r>
        <w:t xml:space="preserve">, b) </w:t>
      </w:r>
      <w:hyperlink r:id="rId472" w:history="1">
        <w:r w:rsidRPr="00E65AB7">
          <w:rPr>
            <w:rStyle w:val="Lienhypertexte"/>
          </w:rPr>
          <w:t>http://en.wikipedia.org/wiki/Yucca_filifera</w:t>
        </w:r>
      </w:hyperlink>
      <w:r>
        <w:t xml:space="preserve">,  </w:t>
      </w:r>
    </w:p>
    <w:p w14:paraId="7A468577" w14:textId="5A37A39F" w:rsidR="007D79FC" w:rsidRDefault="00023B13" w:rsidP="00023B13">
      <w:pPr>
        <w:spacing w:after="0" w:line="240" w:lineRule="auto"/>
        <w:jc w:val="both"/>
      </w:pPr>
      <w:r>
        <w:t xml:space="preserve">c) </w:t>
      </w:r>
      <w:hyperlink r:id="rId473" w:history="1">
        <w:r w:rsidRPr="00E65AB7">
          <w:rPr>
            <w:rStyle w:val="Lienhypertexte"/>
          </w:rPr>
          <w:t>http://es.wikipedia.org/wiki/Yucca_filifera</w:t>
        </w:r>
      </w:hyperlink>
      <w:r>
        <w:t xml:space="preserve"> </w:t>
      </w:r>
    </w:p>
    <w:p w14:paraId="238CF53D" w14:textId="71A8DCE7" w:rsidR="00023B13" w:rsidRDefault="00023B13" w:rsidP="00023B13">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023B13" w14:paraId="696BF0FB" w14:textId="77777777" w:rsidTr="000A22D6">
        <w:tc>
          <w:tcPr>
            <w:tcW w:w="5208" w:type="dxa"/>
          </w:tcPr>
          <w:p w14:paraId="74F78CF5" w14:textId="1249862E" w:rsidR="00023B13" w:rsidRDefault="000A22D6" w:rsidP="00023B13">
            <w:pPr>
              <w:jc w:val="center"/>
            </w:pPr>
            <w:r w:rsidRPr="000A22D6">
              <w:rPr>
                <w:noProof/>
              </w:rPr>
              <w:lastRenderedPageBreak/>
              <w:drawing>
                <wp:inline distT="0" distB="0" distL="0" distR="0" wp14:anchorId="29AD5A0B" wp14:editId="7A642ED6">
                  <wp:extent cx="1871662" cy="1301750"/>
                  <wp:effectExtent l="0" t="0" r="0" b="0"/>
                  <wp:docPr id="41994" name="Picture 11" descr="C:\Users\LISAN\Pictures\plantes-halophytes-xerophiles\Yucca_filifera_fh_0344_MEX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94" name="Picture 11" descr="C:\Users\LISAN\Pictures\plantes-halophytes-xerophiles\Yucca_filifera_fh_0344_MEX_B.jpg"/>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1871662" cy="1301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208" w:type="dxa"/>
          </w:tcPr>
          <w:p w14:paraId="57E78F29" w14:textId="31674399" w:rsidR="00023B13" w:rsidRDefault="000A22D6" w:rsidP="00023B13">
            <w:pPr>
              <w:jc w:val="center"/>
            </w:pPr>
            <w:r w:rsidRPr="000A22D6">
              <w:rPr>
                <w:noProof/>
              </w:rPr>
              <w:drawing>
                <wp:inline distT="0" distB="0" distL="0" distR="0" wp14:anchorId="61991EDE" wp14:editId="4A422621">
                  <wp:extent cx="1871662" cy="1250950"/>
                  <wp:effectExtent l="0" t="0" r="0" b="6350"/>
                  <wp:docPr id="41992" name="Picture 9" descr="C:\Users\LISAN\Pictures\plantes-halophytes-xerophiles\YuccaFiliferaJBUN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92" name="Picture 9" descr="C:\Users\LISAN\Pictures\plantes-halophytes-xerophiles\YuccaFiliferaJBUNAM.JPG"/>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1871662" cy="1250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023B13" w14:paraId="271CB252" w14:textId="77777777" w:rsidTr="000A22D6">
        <w:tc>
          <w:tcPr>
            <w:tcW w:w="5208" w:type="dxa"/>
          </w:tcPr>
          <w:p w14:paraId="6D08CC42" w14:textId="2DA204ED" w:rsidR="00023B13" w:rsidRDefault="000A22D6" w:rsidP="00023B13">
            <w:pPr>
              <w:jc w:val="center"/>
            </w:pPr>
            <w:r w:rsidRPr="000A22D6">
              <w:rPr>
                <w:noProof/>
              </w:rPr>
              <w:drawing>
                <wp:inline distT="0" distB="0" distL="0" distR="0" wp14:anchorId="38E90583" wp14:editId="5E854BE7">
                  <wp:extent cx="1865313" cy="2682875"/>
                  <wp:effectExtent l="0" t="0" r="1905" b="3175"/>
                  <wp:docPr id="41996" name="Picture 13" descr="C:\Users\LISAN\Pictures\plantes-halophytes-xerophiles\Yucca_filifera_MEX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96" name="Picture 13" descr="C:\Users\LISAN\Pictures\plantes-halophytes-xerophiles\Yucca_filifera_MEX_B.jpg"/>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1865313" cy="2682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t xml:space="preserve"> </w:t>
            </w:r>
            <w:r w:rsidRPr="000A22D6">
              <w:rPr>
                <w:noProof/>
              </w:rPr>
              <w:drawing>
                <wp:inline distT="0" distB="0" distL="0" distR="0" wp14:anchorId="3BA3B7DD" wp14:editId="12D162DE">
                  <wp:extent cx="1152525" cy="1747837"/>
                  <wp:effectExtent l="0" t="0" r="0" b="5080"/>
                  <wp:docPr id="41995" name="Picture 12" descr="C:\Users\LISAN\Pictures\plantes-halophytes-xerophiles\Yucca_filifera_fh_0345_B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95" name="Picture 12" descr="C:\Users\LISAN\Pictures\plantes-halophytes-xerophiles\Yucca_filifera_fh_0345_BB.jpg"/>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1152525" cy="17478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208" w:type="dxa"/>
          </w:tcPr>
          <w:p w14:paraId="05910295" w14:textId="04E77475" w:rsidR="00023B13" w:rsidRDefault="000A22D6" w:rsidP="00023B13">
            <w:pPr>
              <w:jc w:val="center"/>
            </w:pPr>
            <w:r w:rsidRPr="000A22D6">
              <w:rPr>
                <w:noProof/>
              </w:rPr>
              <w:drawing>
                <wp:inline distT="0" distB="0" distL="0" distR="0" wp14:anchorId="19C49EEA" wp14:editId="27113008">
                  <wp:extent cx="1549400" cy="2259012"/>
                  <wp:effectExtent l="0" t="0" r="0" b="8255"/>
                  <wp:docPr id="41993" name="Picture 10" descr="C:\Users\LISAN\Pictures\plantes-halophytes-xerophiles\Yucca_filifera_fh_045_MEX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93" name="Picture 10" descr="C:\Users\LISAN\Pictures\plantes-halophytes-xerophiles\Yucca_filifera_fh_045_MEX_B.jpg"/>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1549400" cy="2259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t xml:space="preserve"> </w:t>
            </w:r>
            <w:r w:rsidRPr="000A22D6">
              <w:rPr>
                <w:noProof/>
              </w:rPr>
              <w:drawing>
                <wp:inline distT="0" distB="0" distL="0" distR="0" wp14:anchorId="3E6B4E4C" wp14:editId="35A79061">
                  <wp:extent cx="1223963" cy="1825625"/>
                  <wp:effectExtent l="0" t="0" r="0" b="3175"/>
                  <wp:docPr id="41997" name="Picture 14" descr="C:\Users\LISAN\Pictures\plantes-halophytes-xerophiles\Yucca_filifera_Phoenix,_Desert_Botanical_Gard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97" name="Picture 14" descr="C:\Users\LISAN\Pictures\plantes-halophytes-xerophiles\Yucca_filifera_Phoenix,_Desert_Botanical_Garden.jpg"/>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1223963" cy="1825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5AF6C077" w14:textId="47427B95" w:rsidR="000A22D6" w:rsidRDefault="000A22D6" w:rsidP="000A22D6">
      <w:pPr>
        <w:spacing w:after="0" w:line="240" w:lineRule="auto"/>
      </w:pPr>
    </w:p>
    <w:p w14:paraId="766B8BEC" w14:textId="77777777" w:rsidR="00FB4544" w:rsidRPr="00B655B6" w:rsidRDefault="00FB4544" w:rsidP="00B655B6">
      <w:pPr>
        <w:pStyle w:val="Titre2"/>
        <w:rPr>
          <w:i/>
          <w:iCs/>
        </w:rPr>
      </w:pPr>
      <w:bookmarkStart w:id="59" w:name="_Toc139181350"/>
      <w:r w:rsidRPr="00B655B6">
        <w:rPr>
          <w:i/>
          <w:iCs/>
        </w:rPr>
        <w:t>Washingtonia sp.</w:t>
      </w:r>
      <w:bookmarkEnd w:id="59"/>
    </w:p>
    <w:p w14:paraId="16E3C15E" w14:textId="77777777" w:rsidR="00FB4544" w:rsidRDefault="00FB4544" w:rsidP="00FB4544">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8"/>
        <w:gridCol w:w="2206"/>
        <w:gridCol w:w="1647"/>
        <w:gridCol w:w="415"/>
        <w:gridCol w:w="1380"/>
      </w:tblGrid>
      <w:tr w:rsidR="005F24EE" w:rsidRPr="000B6BE3" w14:paraId="17850A44" w14:textId="77777777" w:rsidTr="009C1251">
        <w:tc>
          <w:tcPr>
            <w:tcW w:w="4957" w:type="dxa"/>
          </w:tcPr>
          <w:p w14:paraId="63347E89" w14:textId="77777777" w:rsidR="005F24EE" w:rsidRPr="000B6BE3" w:rsidRDefault="005F24EE" w:rsidP="009C1251">
            <w:pPr>
              <w:rPr>
                <w:rFonts w:cstheme="minorHAnsi"/>
                <w:bCs/>
              </w:rPr>
            </w:pPr>
            <w:r w:rsidRPr="000B6BE3">
              <w:rPr>
                <w:rFonts w:cstheme="minorHAnsi"/>
                <w:bCs/>
              </w:rPr>
              <w:t>(</w:t>
            </w:r>
            <w:hyperlink r:id="rId480" w:history="1">
              <w:r w:rsidRPr="000B6BE3">
                <w:rPr>
                  <w:rFonts w:cstheme="minorHAnsi"/>
                </w:rPr>
                <w:t>F</w:t>
              </w:r>
              <w:r w:rsidRPr="000B6BE3">
                <w:rPr>
                  <w:rStyle w:val="Lienhypertexte"/>
                  <w:rFonts w:cstheme="minorHAnsi"/>
                  <w:color w:val="0B0080"/>
                  <w:shd w:val="clear" w:color="auto" w:fill="FFFFFF"/>
                </w:rPr>
                <w:t>amille</w:t>
              </w:r>
            </w:hyperlink>
            <w:r w:rsidRPr="000B6BE3">
              <w:rPr>
                <w:rFonts w:cstheme="minorHAnsi"/>
                <w:color w:val="222222"/>
                <w:shd w:val="clear" w:color="auto" w:fill="FFFFFF"/>
              </w:rPr>
              <w:t> des</w:t>
            </w:r>
            <w:r>
              <w:rPr>
                <w:rFonts w:cstheme="minorHAnsi"/>
                <w:color w:val="222222"/>
                <w:shd w:val="clear" w:color="auto" w:fill="FFFFFF"/>
              </w:rPr>
              <w:t xml:space="preserve"> </w:t>
            </w:r>
            <w:r w:rsidRPr="00C57CF1">
              <w:rPr>
                <w:i/>
                <w:iCs/>
              </w:rPr>
              <w:t>Arécacées</w:t>
            </w:r>
            <w:r w:rsidRPr="000B6BE3">
              <w:rPr>
                <w:rFonts w:cstheme="minorHAnsi"/>
                <w:bCs/>
              </w:rPr>
              <w:t>)</w:t>
            </w:r>
          </w:p>
          <w:p w14:paraId="6FE73CE3" w14:textId="77777777" w:rsidR="005F24EE" w:rsidRPr="000B6BE3" w:rsidRDefault="005F24EE" w:rsidP="009C1251">
            <w:pPr>
              <w:rPr>
                <w:rFonts w:cstheme="minorHAnsi"/>
              </w:rPr>
            </w:pPr>
          </w:p>
        </w:tc>
        <w:tc>
          <w:tcPr>
            <w:tcW w:w="2268" w:type="dxa"/>
          </w:tcPr>
          <w:p w14:paraId="1517B89E" w14:textId="77777777" w:rsidR="005F24EE" w:rsidRPr="000B6BE3" w:rsidRDefault="005F24EE" w:rsidP="009C1251">
            <w:pPr>
              <w:rPr>
                <w:rFonts w:cstheme="minorHAnsi"/>
              </w:rPr>
            </w:pPr>
            <w:r w:rsidRPr="000B6BE3">
              <w:rPr>
                <w:rFonts w:cstheme="minorHAnsi"/>
                <w:noProof/>
              </w:rPr>
              <w:t xml:space="preserve">  </w:t>
            </w:r>
            <w:r w:rsidRPr="008F2681">
              <w:rPr>
                <w:rFonts w:cstheme="minorHAnsi"/>
                <w:noProof/>
              </w:rPr>
              <w:drawing>
                <wp:inline distT="0" distB="0" distL="0" distR="0" wp14:anchorId="65E78115" wp14:editId="7D4FED2C">
                  <wp:extent cx="495300" cy="666750"/>
                  <wp:effectExtent l="0" t="0" r="0" b="0"/>
                  <wp:docPr id="132113" name="Image 18"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9" name="Image 18" descr="logo aride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r w:rsidRPr="00C57CF1">
              <w:rPr>
                <w:rFonts w:cstheme="minorHAnsi"/>
                <w:noProof/>
                <w:sz w:val="36"/>
                <w:szCs w:val="36"/>
              </w:rPr>
              <w:t>?</w:t>
            </w:r>
            <w:r>
              <w:rPr>
                <w:rFonts w:cstheme="minorHAnsi"/>
                <w:noProof/>
              </w:rPr>
              <w:t xml:space="preserve">  </w:t>
            </w:r>
            <w:r w:rsidRPr="008F2681">
              <w:rPr>
                <w:rFonts w:cstheme="minorHAnsi"/>
                <w:noProof/>
              </w:rPr>
              <w:drawing>
                <wp:inline distT="0" distB="0" distL="0" distR="0" wp14:anchorId="7E4ABC6C" wp14:editId="142B7CCA">
                  <wp:extent cx="463550" cy="661988"/>
                  <wp:effectExtent l="0" t="0" r="0" b="5080"/>
                  <wp:docPr id="132114"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701" w:type="dxa"/>
          </w:tcPr>
          <w:p w14:paraId="4A124B75" w14:textId="4FA079B7" w:rsidR="005F24EE" w:rsidRPr="000B6BE3" w:rsidRDefault="005F24EE" w:rsidP="009C1251">
            <w:pPr>
              <w:textAlignment w:val="baseline"/>
              <w:rPr>
                <w:rFonts w:cstheme="minorHAnsi"/>
              </w:rPr>
            </w:pPr>
            <w:r w:rsidRPr="00D1445E">
              <w:rPr>
                <w:rFonts w:eastAsia="+mn-ea" w:cstheme="minorHAnsi"/>
                <w:b/>
                <w:bCs/>
                <w:color w:val="008000"/>
                <w:kern w:val="24"/>
                <w:sz w:val="56"/>
                <w:szCs w:val="56"/>
              </w:rPr>
              <w:t>U</w:t>
            </w:r>
          </w:p>
        </w:tc>
        <w:tc>
          <w:tcPr>
            <w:tcW w:w="425" w:type="dxa"/>
          </w:tcPr>
          <w:p w14:paraId="3AE59AFA" w14:textId="77777777" w:rsidR="005F24EE" w:rsidRPr="000B6BE3" w:rsidRDefault="005F24EE" w:rsidP="009C1251">
            <w:pPr>
              <w:rPr>
                <w:rFonts w:cstheme="minorHAnsi"/>
              </w:rPr>
            </w:pPr>
          </w:p>
        </w:tc>
        <w:tc>
          <w:tcPr>
            <w:tcW w:w="1439" w:type="dxa"/>
          </w:tcPr>
          <w:p w14:paraId="157729A3" w14:textId="77777777" w:rsidR="005F24EE" w:rsidRPr="000B6BE3" w:rsidRDefault="005F24EE" w:rsidP="009C1251">
            <w:pPr>
              <w:rPr>
                <w:rFonts w:cstheme="minorHAnsi"/>
              </w:rPr>
            </w:pPr>
          </w:p>
        </w:tc>
      </w:tr>
    </w:tbl>
    <w:p w14:paraId="1056F70D" w14:textId="77777777" w:rsidR="00FB4544" w:rsidRDefault="00FB4544" w:rsidP="00FB4544">
      <w:pPr>
        <w:spacing w:after="0" w:line="240" w:lineRule="auto"/>
        <w:jc w:val="both"/>
      </w:pPr>
      <w:r w:rsidRPr="00FB4544">
        <w:rPr>
          <w:i/>
          <w:iCs/>
        </w:rPr>
        <w:t>Washingtonia</w:t>
      </w:r>
      <w:r>
        <w:t> est un genre de la famille des </w:t>
      </w:r>
      <w:r w:rsidRPr="00FB4544">
        <w:rPr>
          <w:i/>
          <w:iCs/>
        </w:rPr>
        <w:t>Arécacées</w:t>
      </w:r>
      <w:r>
        <w:t> (Palmiers).Originaire du Sud-Ouest des États-Unis (Californie, du sud-ouest de l'Arizona) et du nord-ouest du Mexique, il se développe en colonies, dans les gorges et les canyons humides des régions arides. Les deux espèces (</w:t>
      </w:r>
      <w:r w:rsidRPr="00FB4544">
        <w:rPr>
          <w:i/>
          <w:iCs/>
        </w:rPr>
        <w:t>Washingtonia filifera, Washingtonia robusta</w:t>
      </w:r>
      <w:r>
        <w:t xml:space="preserve">) sont très cultivées en dehors de leur habitat naturel, notamment dans les pays tempérés, pour leur bonne résistance au froid qui avoisine les - 10°/-12°C. Elles ont de plus une croissance très rapide. </w:t>
      </w:r>
    </w:p>
    <w:p w14:paraId="3A7DE487" w14:textId="6ED8A5BF" w:rsidR="00FB4544" w:rsidRDefault="00FB4544" w:rsidP="00FB4544">
      <w:pPr>
        <w:spacing w:after="0" w:line="240" w:lineRule="auto"/>
        <w:jc w:val="both"/>
      </w:pPr>
      <w:r>
        <w:t xml:space="preserve">Les Amérindiens utilisaient leurs feuilles comme chaume et faisaient de la farine avec les fruits du </w:t>
      </w:r>
      <w:r w:rsidRPr="00FB4544">
        <w:rPr>
          <w:i/>
          <w:iCs/>
        </w:rPr>
        <w:t>Washingtonia filifera,</w:t>
      </w:r>
      <w:r>
        <w:t xml:space="preserve"> qui sont comestibles et présentent de bonnes qualités nutritives. Les fruits sont des drupes. Parvenus à maturité, ils prennent une couleur marron-noir. Ils mesurent de 6 à 10 mm de diamètre. Le palmier jupon mesure jusqu'à 23 m de hauteur. Le palmier à jupon ou palmier de Californie (</w:t>
      </w:r>
      <w:r w:rsidRPr="00FB4544">
        <w:rPr>
          <w:i/>
          <w:iCs/>
        </w:rPr>
        <w:t>Washingtonia filifera</w:t>
      </w:r>
      <w:r>
        <w:t xml:space="preserve">) est considéré comme envahissant à Hawaii et en Australie dans la région de Perth. </w:t>
      </w:r>
    </w:p>
    <w:p w14:paraId="7FD15CCE" w14:textId="77777777" w:rsidR="00A13E1E" w:rsidRDefault="00A13E1E" w:rsidP="00FB4544">
      <w:pPr>
        <w:spacing w:after="0" w:line="240" w:lineRule="auto"/>
        <w:jc w:val="both"/>
      </w:pPr>
    </w:p>
    <w:p w14:paraId="5C8BE19D" w14:textId="5BCA7F68" w:rsidR="000A22D6" w:rsidRDefault="00FB4544" w:rsidP="00FB4544">
      <w:pPr>
        <w:spacing w:after="0" w:line="240" w:lineRule="auto"/>
        <w:jc w:val="both"/>
      </w:pPr>
      <w:r>
        <w:t>Sources</w:t>
      </w:r>
      <w:r w:rsidR="00A13E1E">
        <w:t> </w:t>
      </w:r>
      <w:r>
        <w:t xml:space="preserve">: a) </w:t>
      </w:r>
      <w:hyperlink r:id="rId481" w:history="1">
        <w:r w:rsidRPr="00E65AB7">
          <w:rPr>
            <w:rStyle w:val="Lienhypertexte"/>
          </w:rPr>
          <w:t>https</w:t>
        </w:r>
        <w:r w:rsidR="00A13E1E">
          <w:rPr>
            <w:rStyle w:val="Lienhypertexte"/>
          </w:rPr>
          <w:t> </w:t>
        </w:r>
        <w:r w:rsidRPr="00E65AB7">
          <w:rPr>
            <w:rStyle w:val="Lienhypertexte"/>
          </w:rPr>
          <w:t>://fr.wikipedia.org/wiki/Washingtonia</w:t>
        </w:r>
      </w:hyperlink>
      <w:r>
        <w:t xml:space="preserve">, b) </w:t>
      </w:r>
      <w:hyperlink r:id="rId482" w:history="1">
        <w:r w:rsidRPr="00E65AB7">
          <w:rPr>
            <w:rStyle w:val="Lienhypertexte"/>
          </w:rPr>
          <w:t>https</w:t>
        </w:r>
        <w:r w:rsidR="00A13E1E">
          <w:rPr>
            <w:rStyle w:val="Lienhypertexte"/>
          </w:rPr>
          <w:t> </w:t>
        </w:r>
        <w:r w:rsidRPr="00E65AB7">
          <w:rPr>
            <w:rStyle w:val="Lienhypertexte"/>
          </w:rPr>
          <w:t>://fr.wikipedia.org/wiki/Washingtonia_filifera</w:t>
        </w:r>
      </w:hyperlink>
      <w:r>
        <w:t xml:space="preserve"> </w:t>
      </w:r>
    </w:p>
    <w:p w14:paraId="4EDEF76F" w14:textId="5AC7349D" w:rsidR="00FB4544" w:rsidRDefault="00FB4544" w:rsidP="00FB4544">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FB4544" w14:paraId="4F794B20" w14:textId="77777777" w:rsidTr="005F24EE">
        <w:tc>
          <w:tcPr>
            <w:tcW w:w="5208" w:type="dxa"/>
          </w:tcPr>
          <w:p w14:paraId="4B695325" w14:textId="77777777" w:rsidR="00FB4544" w:rsidRDefault="00106F5B" w:rsidP="00FB4544">
            <w:pPr>
              <w:jc w:val="center"/>
            </w:pPr>
            <w:r w:rsidRPr="00106F5B">
              <w:rPr>
                <w:noProof/>
              </w:rPr>
              <w:lastRenderedPageBreak/>
              <w:drawing>
                <wp:inline distT="0" distB="0" distL="0" distR="0" wp14:anchorId="2965B1F1" wp14:editId="3D683927">
                  <wp:extent cx="2417564" cy="1817341"/>
                  <wp:effectExtent l="0" t="0" r="1905" b="0"/>
                  <wp:docPr id="132105"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2"/>
                          <pic:cNvPicPr>
                            <a:picLocks noChangeAspect="1"/>
                          </pic:cNvPicPr>
                        </pic:nvPicPr>
                        <pic:blipFill>
                          <a:blip r:embed="rId483">
                            <a:extLst>
                              <a:ext uri="{28A0092B-C50C-407E-A947-70E740481C1C}">
                                <a14:useLocalDpi xmlns:a14="http://schemas.microsoft.com/office/drawing/2010/main" val="0"/>
                              </a:ext>
                            </a:extLst>
                          </a:blip>
                          <a:stretch>
                            <a:fillRect/>
                          </a:stretch>
                        </pic:blipFill>
                        <pic:spPr>
                          <a:xfrm>
                            <a:off x="0" y="0"/>
                            <a:ext cx="2417564" cy="1817341"/>
                          </a:xfrm>
                          <a:prstGeom prst="rect">
                            <a:avLst/>
                          </a:prstGeom>
                        </pic:spPr>
                      </pic:pic>
                    </a:graphicData>
                  </a:graphic>
                </wp:inline>
              </w:drawing>
            </w:r>
          </w:p>
          <w:p w14:paraId="10F99B61" w14:textId="77777777" w:rsidR="00106F5B" w:rsidRDefault="00106F5B" w:rsidP="00106F5B">
            <w:pPr>
              <w:jc w:val="center"/>
            </w:pPr>
            <w:r w:rsidRPr="00106F5B">
              <w:rPr>
                <w:i/>
                <w:iCs/>
              </w:rPr>
              <w:t xml:space="preserve">Washingtonia filifera </w:t>
            </w:r>
            <w:r w:rsidRPr="00106F5B">
              <w:t>dans son habitat naturel (Palm Cayon, USA).</w:t>
            </w:r>
          </w:p>
          <w:p w14:paraId="35B1FDA3" w14:textId="53B2E49F" w:rsidR="000B73C7" w:rsidRDefault="000B73C7" w:rsidP="00106F5B">
            <w:pPr>
              <w:jc w:val="center"/>
            </w:pPr>
          </w:p>
        </w:tc>
        <w:tc>
          <w:tcPr>
            <w:tcW w:w="5208" w:type="dxa"/>
          </w:tcPr>
          <w:p w14:paraId="29D66153" w14:textId="77777777" w:rsidR="00FB4544" w:rsidRDefault="00106F5B" w:rsidP="00FB4544">
            <w:pPr>
              <w:jc w:val="center"/>
            </w:pPr>
            <w:r w:rsidRPr="00106F5B">
              <w:rPr>
                <w:noProof/>
              </w:rPr>
              <w:drawing>
                <wp:inline distT="0" distB="0" distL="0" distR="0" wp14:anchorId="79552056" wp14:editId="51C685D7">
                  <wp:extent cx="2606779" cy="1741802"/>
                  <wp:effectExtent l="0" t="0" r="3175" b="0"/>
                  <wp:docPr id="132106"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3"/>
                          <pic:cNvPicPr>
                            <a:picLocks noChangeAspect="1"/>
                          </pic:cNvPicPr>
                        </pic:nvPicPr>
                        <pic:blipFill>
                          <a:blip r:embed="rId484">
                            <a:extLst>
                              <a:ext uri="{28A0092B-C50C-407E-A947-70E740481C1C}">
                                <a14:useLocalDpi xmlns:a14="http://schemas.microsoft.com/office/drawing/2010/main" val="0"/>
                              </a:ext>
                            </a:extLst>
                          </a:blip>
                          <a:stretch>
                            <a:fillRect/>
                          </a:stretch>
                        </pic:blipFill>
                        <pic:spPr>
                          <a:xfrm>
                            <a:off x="0" y="0"/>
                            <a:ext cx="2606779" cy="1741802"/>
                          </a:xfrm>
                          <a:prstGeom prst="rect">
                            <a:avLst/>
                          </a:prstGeom>
                        </pic:spPr>
                      </pic:pic>
                    </a:graphicData>
                  </a:graphic>
                </wp:inline>
              </w:drawing>
            </w:r>
          </w:p>
          <w:p w14:paraId="085C1409" w14:textId="26879719" w:rsidR="00106F5B" w:rsidRDefault="00106F5B" w:rsidP="00106F5B">
            <w:pPr>
              <w:jc w:val="center"/>
            </w:pPr>
            <w:r w:rsidRPr="00106F5B">
              <w:t>Palmiers </w:t>
            </w:r>
            <w:r w:rsidRPr="00106F5B">
              <w:rPr>
                <w:i/>
                <w:iCs/>
              </w:rPr>
              <w:t>Washingtonia filifera</w:t>
            </w:r>
            <w:r w:rsidRPr="00106F5B">
              <w:t> dans le </w:t>
            </w:r>
            <w:hyperlink r:id="rId485" w:history="1">
              <w:r w:rsidRPr="00106F5B">
                <w:rPr>
                  <w:rStyle w:val="Lienhypertexte"/>
                </w:rPr>
                <w:t>Parc d</w:t>
              </w:r>
              <w:r w:rsidR="00A13E1E">
                <w:rPr>
                  <w:rStyle w:val="Lienhypertexte"/>
                </w:rPr>
                <w:t>’</w:t>
              </w:r>
              <w:r w:rsidRPr="00106F5B">
                <w:rPr>
                  <w:rStyle w:val="Lienhypertexte"/>
                </w:rPr>
                <w:t>État d</w:t>
              </w:r>
              <w:r w:rsidR="00A13E1E">
                <w:rPr>
                  <w:rStyle w:val="Lienhypertexte"/>
                </w:rPr>
                <w:t>’</w:t>
              </w:r>
            </w:hyperlink>
            <w:hyperlink r:id="rId486" w:history="1">
              <w:r w:rsidRPr="00106F5B">
                <w:rPr>
                  <w:rStyle w:val="Lienhypertexte"/>
                </w:rPr>
                <w:t>Anza-Borrego</w:t>
              </w:r>
            </w:hyperlink>
            <w:hyperlink r:id="rId487" w:history="1">
              <w:r w:rsidRPr="00106F5B">
                <w:rPr>
                  <w:rStyle w:val="Lienhypertexte"/>
                </w:rPr>
                <w:t xml:space="preserve"> </w:t>
              </w:r>
            </w:hyperlink>
            <w:hyperlink r:id="rId488" w:history="1">
              <w:r w:rsidRPr="00106F5B">
                <w:rPr>
                  <w:rStyle w:val="Lienhypertexte"/>
                </w:rPr>
                <w:t>Desert</w:t>
              </w:r>
            </w:hyperlink>
            <w:r>
              <w:t>.</w:t>
            </w:r>
          </w:p>
        </w:tc>
      </w:tr>
      <w:tr w:rsidR="00FB4544" w14:paraId="34B28846" w14:textId="77777777" w:rsidTr="005F24EE">
        <w:tc>
          <w:tcPr>
            <w:tcW w:w="5208" w:type="dxa"/>
          </w:tcPr>
          <w:p w14:paraId="7B43EAC1" w14:textId="1613E18B" w:rsidR="00FB4544" w:rsidRDefault="00106F5B" w:rsidP="00FB4544">
            <w:pPr>
              <w:jc w:val="center"/>
            </w:pPr>
            <w:r w:rsidRPr="00106F5B">
              <w:rPr>
                <w:noProof/>
              </w:rPr>
              <w:drawing>
                <wp:inline distT="0" distB="0" distL="0" distR="0" wp14:anchorId="13C0614D" wp14:editId="566170BF">
                  <wp:extent cx="1567399" cy="2092557"/>
                  <wp:effectExtent l="0" t="0" r="0" b="3175"/>
                  <wp:docPr id="132107"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4"/>
                          <pic:cNvPicPr>
                            <a:picLocks noChangeAspect="1"/>
                          </pic:cNvPicPr>
                        </pic:nvPicPr>
                        <pic:blipFill>
                          <a:blip r:embed="rId489">
                            <a:extLst>
                              <a:ext uri="{28A0092B-C50C-407E-A947-70E740481C1C}">
                                <a14:useLocalDpi xmlns:a14="http://schemas.microsoft.com/office/drawing/2010/main" val="0"/>
                              </a:ext>
                            </a:extLst>
                          </a:blip>
                          <a:stretch>
                            <a:fillRect/>
                          </a:stretch>
                        </pic:blipFill>
                        <pic:spPr>
                          <a:xfrm>
                            <a:off x="0" y="0"/>
                            <a:ext cx="1567399" cy="2092557"/>
                          </a:xfrm>
                          <a:prstGeom prst="rect">
                            <a:avLst/>
                          </a:prstGeom>
                        </pic:spPr>
                      </pic:pic>
                    </a:graphicData>
                  </a:graphic>
                </wp:inline>
              </w:drawing>
            </w:r>
          </w:p>
        </w:tc>
        <w:tc>
          <w:tcPr>
            <w:tcW w:w="5208" w:type="dxa"/>
          </w:tcPr>
          <w:p w14:paraId="7791F009" w14:textId="6573CF40" w:rsidR="00FB4544" w:rsidRDefault="00106F5B" w:rsidP="00FB4544">
            <w:pPr>
              <w:jc w:val="center"/>
            </w:pPr>
            <w:r w:rsidRPr="00106F5B">
              <w:rPr>
                <w:noProof/>
              </w:rPr>
              <w:drawing>
                <wp:inline distT="0" distB="0" distL="0" distR="0" wp14:anchorId="26E2A930" wp14:editId="60814F3B">
                  <wp:extent cx="1743075" cy="2286000"/>
                  <wp:effectExtent l="0" t="0" r="9525" b="0"/>
                  <wp:docPr id="132108"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5"/>
                          <pic:cNvPicPr>
                            <a:picLocks noChangeAspect="1"/>
                          </pic:cNvPicPr>
                        </pic:nvPicPr>
                        <pic:blipFill>
                          <a:blip r:embed="rId490">
                            <a:extLst>
                              <a:ext uri="{28A0092B-C50C-407E-A947-70E740481C1C}">
                                <a14:useLocalDpi xmlns:a14="http://schemas.microsoft.com/office/drawing/2010/main" val="0"/>
                              </a:ext>
                            </a:extLst>
                          </a:blip>
                          <a:stretch>
                            <a:fillRect/>
                          </a:stretch>
                        </pic:blipFill>
                        <pic:spPr>
                          <a:xfrm>
                            <a:off x="0" y="0"/>
                            <a:ext cx="1743075" cy="2286000"/>
                          </a:xfrm>
                          <a:prstGeom prst="rect">
                            <a:avLst/>
                          </a:prstGeom>
                        </pic:spPr>
                      </pic:pic>
                    </a:graphicData>
                  </a:graphic>
                </wp:inline>
              </w:drawing>
            </w:r>
          </w:p>
        </w:tc>
      </w:tr>
    </w:tbl>
    <w:p w14:paraId="273A5C54" w14:textId="1DE2486B" w:rsidR="00FB4544" w:rsidRDefault="00FB4544" w:rsidP="00A13E1E">
      <w:pPr>
        <w:spacing w:after="0" w:line="240" w:lineRule="auto"/>
      </w:pPr>
    </w:p>
    <w:p w14:paraId="0904D7C5" w14:textId="77777777" w:rsidR="00126DB8" w:rsidRDefault="00126DB8" w:rsidP="00B655B6">
      <w:pPr>
        <w:pStyle w:val="Titre2"/>
      </w:pPr>
      <w:bookmarkStart w:id="60" w:name="_Toc139181351"/>
      <w:r>
        <w:t>Olivier (</w:t>
      </w:r>
      <w:r w:rsidRPr="00126DB8">
        <w:t>Olea europaea</w:t>
      </w:r>
      <w:r>
        <w:t>)</w:t>
      </w:r>
      <w:bookmarkEnd w:id="60"/>
    </w:p>
    <w:p w14:paraId="19D65C70" w14:textId="548957F4" w:rsidR="00126DB8" w:rsidRDefault="00126DB8" w:rsidP="00126DB8">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8"/>
        <w:gridCol w:w="2206"/>
        <w:gridCol w:w="1647"/>
        <w:gridCol w:w="415"/>
        <w:gridCol w:w="1380"/>
      </w:tblGrid>
      <w:tr w:rsidR="008D2C3C" w:rsidRPr="000B6BE3" w14:paraId="6872F128" w14:textId="77777777" w:rsidTr="00CE5869">
        <w:tc>
          <w:tcPr>
            <w:tcW w:w="4957" w:type="dxa"/>
          </w:tcPr>
          <w:p w14:paraId="7FE1F139" w14:textId="7FB3BB20" w:rsidR="008D2C3C" w:rsidRPr="000B6BE3" w:rsidRDefault="008D2C3C" w:rsidP="00CE5869">
            <w:pPr>
              <w:rPr>
                <w:rFonts w:cstheme="minorHAnsi"/>
                <w:bCs/>
              </w:rPr>
            </w:pPr>
            <w:r w:rsidRPr="000B6BE3">
              <w:rPr>
                <w:rFonts w:cstheme="minorHAnsi"/>
                <w:bCs/>
              </w:rPr>
              <w:t>(</w:t>
            </w:r>
            <w:hyperlink r:id="rId491" w:history="1">
              <w:r w:rsidRPr="000B6BE3">
                <w:rPr>
                  <w:rFonts w:cstheme="minorHAnsi"/>
                </w:rPr>
                <w:t>F</w:t>
              </w:r>
              <w:r w:rsidRPr="000B6BE3">
                <w:rPr>
                  <w:rStyle w:val="Lienhypertexte"/>
                  <w:rFonts w:cstheme="minorHAnsi"/>
                  <w:color w:val="0B0080"/>
                  <w:shd w:val="clear" w:color="auto" w:fill="FFFFFF"/>
                </w:rPr>
                <w:t>amille</w:t>
              </w:r>
            </w:hyperlink>
            <w:r w:rsidRPr="000B6BE3">
              <w:rPr>
                <w:rFonts w:cstheme="minorHAnsi"/>
                <w:color w:val="222222"/>
                <w:shd w:val="clear" w:color="auto" w:fill="FFFFFF"/>
              </w:rPr>
              <w:t> des</w:t>
            </w:r>
            <w:r>
              <w:rPr>
                <w:rFonts w:cstheme="minorHAnsi"/>
                <w:color w:val="222222"/>
                <w:shd w:val="clear" w:color="auto" w:fill="FFFFFF"/>
              </w:rPr>
              <w:t xml:space="preserve"> </w:t>
            </w:r>
            <w:r>
              <w:rPr>
                <w:i/>
                <w:iCs/>
              </w:rPr>
              <w:t>Oléacées</w:t>
            </w:r>
            <w:r w:rsidRPr="000B6BE3">
              <w:rPr>
                <w:rFonts w:cstheme="minorHAnsi"/>
                <w:bCs/>
              </w:rPr>
              <w:t>)</w:t>
            </w:r>
          </w:p>
          <w:p w14:paraId="19F01357" w14:textId="77777777" w:rsidR="008D2C3C" w:rsidRPr="000B6BE3" w:rsidRDefault="008D2C3C" w:rsidP="00CE5869">
            <w:pPr>
              <w:rPr>
                <w:rFonts w:cstheme="minorHAnsi"/>
              </w:rPr>
            </w:pPr>
          </w:p>
        </w:tc>
        <w:tc>
          <w:tcPr>
            <w:tcW w:w="2268" w:type="dxa"/>
          </w:tcPr>
          <w:p w14:paraId="2A22BF5B" w14:textId="18A2A7FB" w:rsidR="008D2C3C" w:rsidRPr="000B6BE3" w:rsidRDefault="008D2C3C" w:rsidP="00CE5869">
            <w:pPr>
              <w:rPr>
                <w:rFonts w:cstheme="minorHAnsi"/>
              </w:rPr>
            </w:pPr>
            <w:r w:rsidRPr="000B6BE3">
              <w:rPr>
                <w:rFonts w:cstheme="minorHAnsi"/>
                <w:noProof/>
              </w:rPr>
              <w:t xml:space="preserve">  </w:t>
            </w:r>
            <w:r w:rsidRPr="008F2681">
              <w:rPr>
                <w:rFonts w:cstheme="minorHAnsi"/>
                <w:noProof/>
              </w:rPr>
              <w:drawing>
                <wp:inline distT="0" distB="0" distL="0" distR="0" wp14:anchorId="1C9A6A65" wp14:editId="6AF05684">
                  <wp:extent cx="495300" cy="666750"/>
                  <wp:effectExtent l="0" t="0" r="0" b="0"/>
                  <wp:docPr id="44033" name="Image 18"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9" name="Image 18" descr="logo aride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r w:rsidRPr="008F2681">
              <w:rPr>
                <w:rFonts w:cstheme="minorHAnsi"/>
                <w:noProof/>
              </w:rPr>
              <w:drawing>
                <wp:inline distT="0" distB="0" distL="0" distR="0" wp14:anchorId="2133FE24" wp14:editId="62A96C0A">
                  <wp:extent cx="463550" cy="661988"/>
                  <wp:effectExtent l="0" t="0" r="0" b="5080"/>
                  <wp:docPr id="44034"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701" w:type="dxa"/>
          </w:tcPr>
          <w:p w14:paraId="1213DC3B" w14:textId="7E0D68DE" w:rsidR="008D2C3C" w:rsidRPr="000B6BE3" w:rsidRDefault="008D2C3C" w:rsidP="00CE5869">
            <w:pPr>
              <w:textAlignment w:val="baseline"/>
              <w:rPr>
                <w:rFonts w:cstheme="minorHAnsi"/>
              </w:rPr>
            </w:pPr>
            <w:r w:rsidRPr="00D1445E">
              <w:rPr>
                <w:rFonts w:eastAsia="+mn-ea" w:cstheme="minorHAnsi"/>
                <w:b/>
                <w:bCs/>
                <w:color w:val="008000"/>
                <w:kern w:val="24"/>
                <w:sz w:val="56"/>
                <w:szCs w:val="56"/>
              </w:rPr>
              <w:t>U</w:t>
            </w:r>
            <w:r>
              <w:rPr>
                <w:rFonts w:eastAsia="+mn-ea" w:cstheme="minorHAnsi"/>
                <w:b/>
                <w:bCs/>
                <w:color w:val="008000"/>
                <w:kern w:val="24"/>
                <w:sz w:val="56"/>
                <w:szCs w:val="56"/>
              </w:rPr>
              <w:t xml:space="preserve"> $</w:t>
            </w:r>
          </w:p>
        </w:tc>
        <w:tc>
          <w:tcPr>
            <w:tcW w:w="425" w:type="dxa"/>
          </w:tcPr>
          <w:p w14:paraId="1EF47291" w14:textId="77777777" w:rsidR="008D2C3C" w:rsidRPr="000B6BE3" w:rsidRDefault="008D2C3C" w:rsidP="00CE5869">
            <w:pPr>
              <w:rPr>
                <w:rFonts w:cstheme="minorHAnsi"/>
              </w:rPr>
            </w:pPr>
          </w:p>
        </w:tc>
        <w:tc>
          <w:tcPr>
            <w:tcW w:w="1439" w:type="dxa"/>
          </w:tcPr>
          <w:p w14:paraId="22DBE1D2" w14:textId="77777777" w:rsidR="008D2C3C" w:rsidRPr="000B6BE3" w:rsidRDefault="008D2C3C" w:rsidP="00CE5869">
            <w:pPr>
              <w:rPr>
                <w:rFonts w:cstheme="minorHAnsi"/>
              </w:rPr>
            </w:pPr>
          </w:p>
        </w:tc>
      </w:tr>
    </w:tbl>
    <w:p w14:paraId="3400058E" w14:textId="77777777" w:rsidR="008D2C3C" w:rsidRDefault="008D2C3C" w:rsidP="00126DB8">
      <w:pPr>
        <w:spacing w:after="0" w:line="240" w:lineRule="auto"/>
        <w:jc w:val="both"/>
      </w:pPr>
    </w:p>
    <w:p w14:paraId="4FA4ED2F" w14:textId="77777777" w:rsidR="00126DB8" w:rsidRDefault="00126DB8" w:rsidP="00126DB8">
      <w:pPr>
        <w:spacing w:after="0" w:line="240" w:lineRule="auto"/>
        <w:jc w:val="both"/>
      </w:pPr>
      <w:r>
        <w:t>Variété, domestiquée depuis plusieurs millénaires et cultivée dans les régions de climat méditerranéen, de l'une des sous-espèces d'arbre fruitier toujours verts de </w:t>
      </w:r>
      <w:r w:rsidRPr="00126DB8">
        <w:rPr>
          <w:i/>
          <w:iCs/>
        </w:rPr>
        <w:t>Olea europaea</w:t>
      </w:r>
      <w:r>
        <w:t xml:space="preserve"> (famille des Oléacées), produisant les olives, un fruit consommé sous diverses formes et dont on extrait une huile alimentaire, l'huile d'olive.</w:t>
      </w:r>
    </w:p>
    <w:p w14:paraId="052BFC45" w14:textId="35B9EBD0" w:rsidR="00126DB8" w:rsidRDefault="00126DB8" w:rsidP="00126DB8">
      <w:pPr>
        <w:spacing w:after="0" w:line="240" w:lineRule="auto"/>
        <w:jc w:val="both"/>
      </w:pPr>
      <w:r>
        <w:t>Résistance à la sècheresse : En cas de sécheresse, les feuilles sont capables de perdre jusqu'à 60 % de leur eau, de réduire fortement la photosynthèse et de fermer les stomates permettant les échanges gazeux pour réduire les pertes en eau par évapotranspiration, permettant ainsi la survie de l'arbre au détriment de la production fructi-florale. C'est grâce à sa feuille que l'olivier peut survivre en milieu aride. Quand il pleut, les cellules foliaires s'allongent pour emmagasiner l'eau. Et, en cas de sécheresse, les feuilles se rétractent et bloquent l'activité de photosynthèse au détriment des fruits.</w:t>
      </w:r>
    </w:p>
    <w:p w14:paraId="38985438" w14:textId="77777777" w:rsidR="00126DB8" w:rsidRDefault="00126DB8" w:rsidP="00126DB8">
      <w:pPr>
        <w:spacing w:after="0" w:line="240" w:lineRule="auto"/>
        <w:jc w:val="both"/>
      </w:pPr>
    </w:p>
    <w:p w14:paraId="03798E87" w14:textId="46E3B106" w:rsidR="00126DB8" w:rsidRDefault="00126DB8" w:rsidP="00126DB8">
      <w:pPr>
        <w:spacing w:after="0" w:line="240" w:lineRule="auto"/>
        <w:jc w:val="both"/>
      </w:pPr>
      <w:r w:rsidRPr="00126DB8">
        <w:rPr>
          <w:u w:val="single"/>
        </w:rPr>
        <w:t>Racines</w:t>
      </w:r>
      <w:r>
        <w:t xml:space="preserve"> : Lors de la germination du noyau, le jeune plant développe une racine pivotante. Puis en croissant, l'olivier développe un système racinaire essentiellement peu profond 60 à 100 cm à développement latéral, dont les racines principales débordent peu l’aplomb du feuillage, alors que les racines secondaires et les radicelles peuvent explorer une surface de sol considérable. Le chevelu racinaire se limite en général au premier mètre de sol et est particulièrement développé dans les zones plus humides. Au-delà du premier mètre poussent des racines permettant </w:t>
      </w:r>
      <w:r>
        <w:lastRenderedPageBreak/>
        <w:t>l'alimentation de l'arbre en cas de sécheresse. Seules les radicelles émises au cours de l'année permettent l'absorption de l'eau. Les racines de l'olivier sont capables d'extraire de l'eau en exerçant une importante force de succion de l'ordre de - 25 bars sur le sol, contre - 15 bars en général pour les autres espèces fruitières, lui permettant de prospérer là où d'autres se flétriraient. Pour limiter la concurrence hydrique entre les oliviers, l'espacement entre les arbres doit tenir compte des ressources en eau : la plantation sera plus rapprochée dans les oliveraies irriguées et plus espacée dans les vergers en culture pluviale soumis à la sécheresse.</w:t>
      </w:r>
    </w:p>
    <w:p w14:paraId="280B145D" w14:textId="77777777" w:rsidR="00126DB8" w:rsidRDefault="00126DB8" w:rsidP="00126DB8">
      <w:pPr>
        <w:spacing w:after="0" w:line="240" w:lineRule="auto"/>
        <w:jc w:val="both"/>
      </w:pPr>
    </w:p>
    <w:p w14:paraId="695D9201" w14:textId="4C18FDD0" w:rsidR="00126DB8" w:rsidRDefault="00126DB8" w:rsidP="00126DB8">
      <w:pPr>
        <w:spacing w:after="0" w:line="240" w:lineRule="auto"/>
        <w:jc w:val="both"/>
        <w:rPr>
          <w:lang w:val="es-AR"/>
        </w:rPr>
      </w:pPr>
      <w:r w:rsidRPr="00126DB8">
        <w:rPr>
          <w:lang w:val="es-AR"/>
        </w:rPr>
        <w:t>L'Olivier cultivé (</w:t>
      </w:r>
      <w:r w:rsidRPr="00126DB8">
        <w:rPr>
          <w:i/>
          <w:iCs/>
          <w:lang w:val="es-AR"/>
        </w:rPr>
        <w:t>Olea europaea europaea europaea</w:t>
      </w:r>
      <w:r w:rsidRPr="00126DB8">
        <w:rPr>
          <w:lang w:val="es-AR"/>
        </w:rPr>
        <w:t>) descend de l'oléastre, l’olivier sauvage (</w:t>
      </w:r>
      <w:r w:rsidRPr="00126DB8">
        <w:rPr>
          <w:i/>
          <w:iCs/>
          <w:lang w:val="es-AR"/>
        </w:rPr>
        <w:t>Olea europaea europaea silvestri</w:t>
      </w:r>
      <w:r w:rsidRPr="00126DB8">
        <w:rPr>
          <w:lang w:val="es-AR"/>
        </w:rPr>
        <w:t>s).</w:t>
      </w:r>
    </w:p>
    <w:p w14:paraId="75CE0015" w14:textId="77777777" w:rsidR="00126DB8" w:rsidRPr="00126DB8" w:rsidRDefault="00126DB8" w:rsidP="00126DB8">
      <w:pPr>
        <w:spacing w:after="0" w:line="240" w:lineRule="auto"/>
        <w:jc w:val="both"/>
        <w:rPr>
          <w:lang w:val="es-AR"/>
        </w:rPr>
      </w:pPr>
    </w:p>
    <w:p w14:paraId="45B71CB6" w14:textId="77777777" w:rsidR="00126DB8" w:rsidRDefault="00126DB8" w:rsidP="00126DB8">
      <w:pPr>
        <w:spacing w:after="0" w:line="240" w:lineRule="auto"/>
        <w:jc w:val="both"/>
      </w:pPr>
      <w:r w:rsidRPr="00126DB8">
        <w:rPr>
          <w:u w:val="single"/>
        </w:rPr>
        <w:t>Multiplication</w:t>
      </w:r>
      <w:r>
        <w:t xml:space="preserve"> : L'olivier peut être multiplié par différentes méthodes : noyaux d'olives (méthode hasardeuse), morceaux de souche et rejets (souquets), greffes et bouturage herbacé.</w:t>
      </w:r>
    </w:p>
    <w:p w14:paraId="1CD53E9F" w14:textId="7AE61891" w:rsidR="00126DB8" w:rsidRDefault="00126DB8" w:rsidP="00126DB8">
      <w:pPr>
        <w:spacing w:after="0" w:line="240" w:lineRule="auto"/>
        <w:jc w:val="both"/>
      </w:pPr>
      <w:r>
        <w:t>Maladie : une seule maladie est réellement mortelle pour l'arbre, le pourridié (</w:t>
      </w:r>
      <w:r w:rsidRPr="00126DB8">
        <w:rPr>
          <w:i/>
          <w:iCs/>
        </w:rPr>
        <w:t>Armillaria mellea</w:t>
      </w:r>
      <w:r>
        <w:t>). Autres maladies : Chancre ou « rogne » ou Tuberculose de l'olivier (</w:t>
      </w:r>
      <w:r w:rsidRPr="00126DB8">
        <w:rPr>
          <w:i/>
          <w:iCs/>
        </w:rPr>
        <w:t>Pseudomonas savastanoi</w:t>
      </w:r>
      <w:r>
        <w:t>), fumagine (</w:t>
      </w:r>
      <w:r w:rsidRPr="00126DB8">
        <w:rPr>
          <w:i/>
          <w:iCs/>
        </w:rPr>
        <w:t>Capnodium oleaginum</w:t>
      </w:r>
      <w:r>
        <w:t> ou </w:t>
      </w:r>
      <w:r w:rsidRPr="00126DB8">
        <w:rPr>
          <w:i/>
          <w:iCs/>
        </w:rPr>
        <w:t>Fumago salicina</w:t>
      </w:r>
      <w:r>
        <w:t>) etc.</w:t>
      </w:r>
    </w:p>
    <w:p w14:paraId="68496517" w14:textId="77777777" w:rsidR="00126DB8" w:rsidRDefault="00126DB8" w:rsidP="00126DB8">
      <w:pPr>
        <w:spacing w:after="0" w:line="240" w:lineRule="auto"/>
        <w:jc w:val="both"/>
      </w:pPr>
    </w:p>
    <w:p w14:paraId="3BD01EB2" w14:textId="77777777" w:rsidR="00126DB8" w:rsidRDefault="00126DB8" w:rsidP="00126DB8">
      <w:pPr>
        <w:spacing w:after="0" w:line="240" w:lineRule="auto"/>
        <w:jc w:val="both"/>
      </w:pPr>
      <w:r w:rsidRPr="00126DB8">
        <w:rPr>
          <w:u w:val="single"/>
        </w:rPr>
        <w:t>Insectes</w:t>
      </w:r>
      <w:r>
        <w:t xml:space="preserve"> : cochenille noire de l'olivier (</w:t>
      </w:r>
      <w:r w:rsidRPr="00126DB8">
        <w:rPr>
          <w:i/>
          <w:iCs/>
        </w:rPr>
        <w:t>Saissetia oleae</w:t>
      </w:r>
      <w:r>
        <w:t>), mouche de l'olive (</w:t>
      </w:r>
      <w:r w:rsidRPr="00126DB8">
        <w:rPr>
          <w:i/>
          <w:iCs/>
        </w:rPr>
        <w:t>Bactrocera oleae</w:t>
      </w:r>
      <w:r>
        <w:t>), teigne de l'olivier (</w:t>
      </w:r>
      <w:r w:rsidRPr="00126DB8">
        <w:rPr>
          <w:i/>
          <w:iCs/>
        </w:rPr>
        <w:t>Prays oleae</w:t>
      </w:r>
      <w:r>
        <w:t>), hylésine de l'olivier (</w:t>
      </w:r>
      <w:r w:rsidRPr="00126DB8">
        <w:rPr>
          <w:i/>
          <w:iCs/>
        </w:rPr>
        <w:t>Hylesinus oleiperda</w:t>
      </w:r>
      <w:r>
        <w:t>), zeuzère du poirier (</w:t>
      </w:r>
      <w:r w:rsidRPr="00126DB8">
        <w:rPr>
          <w:i/>
          <w:iCs/>
        </w:rPr>
        <w:t>Zeuzera pyrina</w:t>
      </w:r>
      <w:r>
        <w:t>), otiorhynque de l'olivier (Otiorhyncus cribricolis) etc.</w:t>
      </w:r>
    </w:p>
    <w:p w14:paraId="3A3670B3" w14:textId="77777777" w:rsidR="00126DB8" w:rsidRDefault="00126DB8" w:rsidP="00126DB8">
      <w:pPr>
        <w:spacing w:after="0" w:line="240" w:lineRule="auto"/>
        <w:jc w:val="both"/>
      </w:pPr>
      <w:r>
        <w:t xml:space="preserve">L’olivier cultivar 'Picual', originaire d'Espagne, est autofertile, vigoureux, précoce, et s'adapte bien aux sols secs et est résistant au sel (jusqu'à 10dSm-1). </w:t>
      </w:r>
    </w:p>
    <w:p w14:paraId="558E5B4B" w14:textId="77777777" w:rsidR="00126DB8" w:rsidRDefault="00126DB8" w:rsidP="00126DB8">
      <w:pPr>
        <w:spacing w:after="0" w:line="240" w:lineRule="auto"/>
        <w:jc w:val="both"/>
      </w:pPr>
    </w:p>
    <w:p w14:paraId="51512509" w14:textId="77777777" w:rsidR="00126DB8" w:rsidRDefault="00126DB8" w:rsidP="00126DB8">
      <w:pPr>
        <w:spacing w:after="0" w:line="240" w:lineRule="auto"/>
        <w:jc w:val="both"/>
      </w:pPr>
      <w:r>
        <w:t>Il existe cinq autres sous-espèces d’</w:t>
      </w:r>
      <w:r w:rsidRPr="00126DB8">
        <w:rPr>
          <w:i/>
          <w:iCs/>
        </w:rPr>
        <w:t>Olea europaea </w:t>
      </w:r>
      <w:r>
        <w:t>:</w:t>
      </w:r>
    </w:p>
    <w:p w14:paraId="3106AD7A" w14:textId="77777777" w:rsidR="00126DB8" w:rsidRDefault="00126DB8" w:rsidP="00126DB8">
      <w:pPr>
        <w:spacing w:after="0" w:line="240" w:lineRule="auto"/>
        <w:jc w:val="both"/>
      </w:pPr>
    </w:p>
    <w:p w14:paraId="6839E7AD" w14:textId="0CC74BE5" w:rsidR="00126DB8" w:rsidRDefault="00126DB8" w:rsidP="00126DB8">
      <w:pPr>
        <w:pStyle w:val="Paragraphedeliste"/>
        <w:numPr>
          <w:ilvl w:val="0"/>
          <w:numId w:val="6"/>
        </w:numPr>
        <w:spacing w:after="0" w:line="240" w:lineRule="auto"/>
        <w:ind w:left="426"/>
        <w:jc w:val="both"/>
      </w:pPr>
      <w:r w:rsidRPr="00126DB8">
        <w:rPr>
          <w:i/>
          <w:iCs/>
        </w:rPr>
        <w:t>Olea europaea subsp. cerasiformis</w:t>
      </w:r>
      <w:r>
        <w:t> (Madère ; sous-espèce tetraploïde),</w:t>
      </w:r>
    </w:p>
    <w:p w14:paraId="1079C732" w14:textId="253C3A68" w:rsidR="00126DB8" w:rsidRDefault="00126DB8" w:rsidP="00126DB8">
      <w:pPr>
        <w:pStyle w:val="Paragraphedeliste"/>
        <w:numPr>
          <w:ilvl w:val="0"/>
          <w:numId w:val="6"/>
        </w:numPr>
        <w:spacing w:after="0" w:line="240" w:lineRule="auto"/>
        <w:ind w:left="426"/>
        <w:jc w:val="both"/>
      </w:pPr>
      <w:r w:rsidRPr="00126DB8">
        <w:rPr>
          <w:i/>
          <w:iCs/>
        </w:rPr>
        <w:t>Olea europaea subsp. cuspidata</w:t>
      </w:r>
      <w:r>
        <w:t> (la sous-espèce la plus largement répandue dans le monde : Afrique du Sud jusqu'au Sud de Égypte, et du Sud de l'Arabie jusqu'en Chine, régions sèches d'Asie …),</w:t>
      </w:r>
    </w:p>
    <w:p w14:paraId="2ADB797F" w14:textId="2DCAF992" w:rsidR="00126DB8" w:rsidRPr="00126DB8" w:rsidRDefault="00126DB8" w:rsidP="00126DB8">
      <w:pPr>
        <w:pStyle w:val="Paragraphedeliste"/>
        <w:numPr>
          <w:ilvl w:val="0"/>
          <w:numId w:val="6"/>
        </w:numPr>
        <w:spacing w:after="0" w:line="240" w:lineRule="auto"/>
        <w:ind w:left="426"/>
        <w:jc w:val="both"/>
        <w:rPr>
          <w:lang w:val="es-AR"/>
        </w:rPr>
      </w:pPr>
      <w:r w:rsidRPr="00126DB8">
        <w:rPr>
          <w:i/>
          <w:iCs/>
          <w:lang w:val="es-AR"/>
        </w:rPr>
        <w:t>Olea europaea subsp. guanchica</w:t>
      </w:r>
      <w:r w:rsidRPr="00126DB8">
        <w:rPr>
          <w:lang w:val="es-AR"/>
        </w:rPr>
        <w:t> (îles Canaries),</w:t>
      </w:r>
    </w:p>
    <w:p w14:paraId="40D0B6AF" w14:textId="0A9DD298" w:rsidR="00126DB8" w:rsidRDefault="00126DB8" w:rsidP="00126DB8">
      <w:pPr>
        <w:pStyle w:val="Paragraphedeliste"/>
        <w:numPr>
          <w:ilvl w:val="0"/>
          <w:numId w:val="6"/>
        </w:numPr>
        <w:spacing w:after="0" w:line="240" w:lineRule="auto"/>
        <w:ind w:left="426"/>
        <w:jc w:val="both"/>
      </w:pPr>
      <w:r w:rsidRPr="00126DB8">
        <w:rPr>
          <w:i/>
          <w:iCs/>
        </w:rPr>
        <w:t>Olea europaea subsp. laperrinei</w:t>
      </w:r>
      <w:r>
        <w:t> (Massifs montagneux du Sahara : Hoggar (Algérie), Aïr (Niger), et Jebel Marra (Soudan)),</w:t>
      </w:r>
    </w:p>
    <w:p w14:paraId="21FD1E3C" w14:textId="27963457" w:rsidR="00126DB8" w:rsidRDefault="00126DB8" w:rsidP="00126DB8">
      <w:pPr>
        <w:pStyle w:val="Paragraphedeliste"/>
        <w:numPr>
          <w:ilvl w:val="0"/>
          <w:numId w:val="6"/>
        </w:numPr>
        <w:spacing w:after="0" w:line="240" w:lineRule="auto"/>
        <w:ind w:left="426"/>
        <w:jc w:val="both"/>
      </w:pPr>
      <w:r w:rsidRPr="00126DB8">
        <w:rPr>
          <w:i/>
          <w:iCs/>
        </w:rPr>
        <w:t>Olea europaea subsp. maroccana</w:t>
      </w:r>
      <w:r>
        <w:t> (Haut Atlas (Maroc) ; sous-espèce hexaploïde).</w:t>
      </w:r>
    </w:p>
    <w:p w14:paraId="067DA24A" w14:textId="77777777" w:rsidR="00126DB8" w:rsidRDefault="00126DB8" w:rsidP="00126DB8">
      <w:pPr>
        <w:spacing w:after="0" w:line="240" w:lineRule="auto"/>
        <w:jc w:val="both"/>
      </w:pPr>
    </w:p>
    <w:p w14:paraId="1CC7B718" w14:textId="77777777" w:rsidR="00126DB8" w:rsidRDefault="00126DB8" w:rsidP="00126DB8">
      <w:pPr>
        <w:spacing w:after="0" w:line="240" w:lineRule="auto"/>
        <w:jc w:val="both"/>
      </w:pPr>
      <w:r w:rsidRPr="00126DB8">
        <w:rPr>
          <w:u w:val="single"/>
        </w:rPr>
        <w:t>Production</w:t>
      </w:r>
      <w:r>
        <w:t xml:space="preserve"> : L'olivier ne produit naturellement qu'une année sur deux en l'absence de taille, et la production s'installe lentement, progressivement, mais durablement : entre 1 et 7 ans, c'est la période d'installation improductive, dont la durée peut doubler en cas de sécheresse ; jusqu'à 35 ans, l'arbre se développe et connaît une augmentation progressive de la production ; entre 35 ans et150 ans, l'olivier atteint sa pleine maturité et sa production optimale. Au-delà de 150 ans, il vieillit et ses rendements deviennent aléatoires.</w:t>
      </w:r>
    </w:p>
    <w:p w14:paraId="34C7CEC3" w14:textId="77777777" w:rsidR="00126DB8" w:rsidRDefault="00126DB8" w:rsidP="00126DB8">
      <w:pPr>
        <w:spacing w:after="0" w:line="240" w:lineRule="auto"/>
        <w:jc w:val="both"/>
      </w:pPr>
    </w:p>
    <w:p w14:paraId="7053EDC5" w14:textId="77777777" w:rsidR="00126DB8" w:rsidRDefault="00126DB8" w:rsidP="00126DB8">
      <w:pPr>
        <w:spacing w:after="0" w:line="240" w:lineRule="auto"/>
        <w:jc w:val="both"/>
      </w:pPr>
      <w:r>
        <w:t>Sa longévité est exceptionnelle, peut-être plus de 3000 ans. Il peut atteindre jusqu'à15 m de hauteur. </w:t>
      </w:r>
    </w:p>
    <w:p w14:paraId="5ED5A416" w14:textId="77777777" w:rsidR="00126DB8" w:rsidRDefault="00126DB8" w:rsidP="00126DB8">
      <w:pPr>
        <w:spacing w:after="0" w:line="240" w:lineRule="auto"/>
        <w:jc w:val="both"/>
      </w:pPr>
      <w:r>
        <w:t>Par ailleurs, des populations envahissantes ont été signalées en Australie et dans certaines îles du Pacifique. Les analyses génétiques ont démontré que ces populations ont deux origines distinctes, l'une à partir de formes cultivées méditerranéennes (Sud Australie) et l'autre à partir de formes sauvages de la sous-espèce </w:t>
      </w:r>
      <w:r w:rsidRPr="00126DB8">
        <w:rPr>
          <w:i/>
          <w:iCs/>
        </w:rPr>
        <w:t>cuspidata</w:t>
      </w:r>
      <w:r>
        <w:t> du Sud de l'Afrique (e.g. Est Australie, Hawaï). Une possibilité d'hybridation entre ces deux formes a également été rapportée4.</w:t>
      </w:r>
    </w:p>
    <w:p w14:paraId="4504D435" w14:textId="3E70E5E5" w:rsidR="00126DB8" w:rsidRDefault="00126DB8" w:rsidP="00126DB8">
      <w:pPr>
        <w:spacing w:after="0" w:line="240" w:lineRule="auto"/>
        <w:jc w:val="both"/>
      </w:pPr>
      <w:r>
        <w:t>Climat et pluviométrie : L'olivier exige un climat doux, lumineux, et supporte tout à fait bien la sécheresse. Il craint plutôt le trop d'eau et donc les excès d'arrosage (apport de trente à quarante litres d'eau, une à deux fois en juillet et août, et seulement la première année après la plantation). Avec six-cents millimètres de pluie bien répartis sur l'année, l'olivier se développe et produit normalement. Entre 450 et 600 mm/an, la production est possible, à condition que le sol ait des capacités de rétention en eau suffisantes, ou que la densité de la plantation soit plus faible. Dans le sud de la Tunisie, où la pluviométrie peut être inférieure à 100 mm par an, la plupart des plantations comportent moins de vingt arbres par hectare. </w:t>
      </w:r>
    </w:p>
    <w:p w14:paraId="0C304C73" w14:textId="77777777" w:rsidR="00126DB8" w:rsidRDefault="00126DB8" w:rsidP="00126DB8">
      <w:pPr>
        <w:spacing w:after="0" w:line="240" w:lineRule="auto"/>
        <w:jc w:val="both"/>
      </w:pPr>
    </w:p>
    <w:p w14:paraId="654DC487" w14:textId="77777777" w:rsidR="00126DB8" w:rsidRDefault="00126DB8" w:rsidP="00126DB8">
      <w:pPr>
        <w:spacing w:after="0" w:line="240" w:lineRule="auto"/>
        <w:jc w:val="both"/>
      </w:pPr>
      <w:r>
        <w:t>L'olivier ne résiste pas en général à une température inférieure à -15 °C sauf pour certaines rares variétés (Mouflal −25 °C). De 35 à 38 °C, la croissance végétative s'arrête et à 40 °C et plus, des brûlures endommagent l'appareil foliacé, pouvant provoquer la chute des fruits, surtout si l'irrigation est insuffisante.</w:t>
      </w:r>
    </w:p>
    <w:p w14:paraId="73794F9F" w14:textId="77777777" w:rsidR="00126DB8" w:rsidRDefault="00126DB8" w:rsidP="00126DB8">
      <w:pPr>
        <w:spacing w:after="0" w:line="240" w:lineRule="auto"/>
        <w:jc w:val="both"/>
      </w:pPr>
    </w:p>
    <w:p w14:paraId="0FF08C23" w14:textId="4A60ED4E" w:rsidR="00126DB8" w:rsidRPr="00126DB8" w:rsidRDefault="00126DB8" w:rsidP="00126DB8">
      <w:pPr>
        <w:spacing w:after="0" w:line="240" w:lineRule="auto"/>
        <w:jc w:val="both"/>
        <w:rPr>
          <w:lang w:val="en-GB"/>
        </w:rPr>
      </w:pPr>
      <w:r w:rsidRPr="00126DB8">
        <w:rPr>
          <w:lang w:val="en-GB"/>
        </w:rPr>
        <w:t xml:space="preserve">Sources : a) </w:t>
      </w:r>
      <w:hyperlink r:id="rId492" w:history="1">
        <w:r w:rsidRPr="00E65AB7">
          <w:rPr>
            <w:rStyle w:val="Lienhypertexte"/>
            <w:lang w:val="en-GB"/>
          </w:rPr>
          <w:t>http://gardenbreizh.org/modules/gbdb/plante-275-olea-europaea.html</w:t>
        </w:r>
      </w:hyperlink>
      <w:r>
        <w:rPr>
          <w:lang w:val="en-GB"/>
        </w:rPr>
        <w:t xml:space="preserve"> </w:t>
      </w:r>
      <w:r w:rsidRPr="00126DB8">
        <w:rPr>
          <w:lang w:val="en-GB"/>
        </w:rPr>
        <w:t xml:space="preserve"> </w:t>
      </w:r>
    </w:p>
    <w:p w14:paraId="1A3CDA7B" w14:textId="77777777" w:rsidR="00126DB8" w:rsidRPr="00126DB8" w:rsidRDefault="00126DB8" w:rsidP="00126DB8">
      <w:pPr>
        <w:spacing w:after="0" w:line="240" w:lineRule="auto"/>
        <w:jc w:val="both"/>
        <w:rPr>
          <w:lang w:val="en-GB"/>
        </w:rPr>
      </w:pPr>
      <w:r w:rsidRPr="00126DB8">
        <w:rPr>
          <w:lang w:val="en-GB"/>
        </w:rPr>
        <w:t xml:space="preserve">b) </w:t>
      </w:r>
      <w:r w:rsidRPr="00126DB8">
        <w:rPr>
          <w:i/>
          <w:iCs/>
          <w:lang w:val="en-GB"/>
        </w:rPr>
        <w:t>Long term responses of olive trees to salinity</w:t>
      </w:r>
      <w:r w:rsidRPr="00126DB8">
        <w:rPr>
          <w:lang w:val="en-GB"/>
        </w:rPr>
        <w:t>, Agricultural Water Management, Volume 96, Issue 7, July 2009, Pages 1105–1113.</w:t>
      </w:r>
    </w:p>
    <w:p w14:paraId="2B966A44" w14:textId="3260A119" w:rsidR="00126DB8" w:rsidRPr="00126DB8" w:rsidRDefault="00126DB8" w:rsidP="00126DB8">
      <w:pPr>
        <w:spacing w:after="0" w:line="240" w:lineRule="auto"/>
        <w:jc w:val="both"/>
        <w:rPr>
          <w:lang w:val="en-GB"/>
        </w:rPr>
      </w:pPr>
      <w:r w:rsidRPr="00126DB8">
        <w:rPr>
          <w:lang w:val="en-GB"/>
        </w:rPr>
        <w:t xml:space="preserve">c) </w:t>
      </w:r>
      <w:hyperlink r:id="rId493" w:history="1">
        <w:r w:rsidRPr="00E65AB7">
          <w:rPr>
            <w:rStyle w:val="Lienhypertexte"/>
            <w:lang w:val="en-GB"/>
          </w:rPr>
          <w:t>http://fr.wikipedia.org/wiki/Olivier</w:t>
        </w:r>
      </w:hyperlink>
      <w:r w:rsidRPr="00126DB8">
        <w:rPr>
          <w:lang w:val="en-GB"/>
        </w:rPr>
        <w:t>,</w:t>
      </w:r>
      <w:r>
        <w:rPr>
          <w:lang w:val="en-GB"/>
        </w:rPr>
        <w:t xml:space="preserve"> </w:t>
      </w:r>
      <w:r w:rsidRPr="00126DB8">
        <w:rPr>
          <w:lang w:val="en-GB"/>
        </w:rPr>
        <w:t xml:space="preserve">b) </w:t>
      </w:r>
      <w:hyperlink r:id="rId494" w:history="1">
        <w:r w:rsidRPr="00E65AB7">
          <w:rPr>
            <w:rStyle w:val="Lienhypertexte"/>
            <w:lang w:val="en-GB"/>
          </w:rPr>
          <w:t>http://en.wikipedia.org/wiki/Olive</w:t>
        </w:r>
      </w:hyperlink>
      <w:r w:rsidRPr="00126DB8">
        <w:rPr>
          <w:lang w:val="en-GB"/>
        </w:rPr>
        <w:t>,</w:t>
      </w:r>
      <w:r>
        <w:rPr>
          <w:lang w:val="en-GB"/>
        </w:rPr>
        <w:t xml:space="preserve"> </w:t>
      </w:r>
      <w:r w:rsidRPr="00126DB8">
        <w:rPr>
          <w:lang w:val="en-GB"/>
        </w:rPr>
        <w:t xml:space="preserve"> </w:t>
      </w:r>
    </w:p>
    <w:p w14:paraId="4477746A" w14:textId="2BC19F31" w:rsidR="00126DB8" w:rsidRPr="00126DB8" w:rsidRDefault="00126DB8" w:rsidP="00126DB8">
      <w:pPr>
        <w:spacing w:after="0" w:line="240" w:lineRule="auto"/>
        <w:jc w:val="both"/>
        <w:rPr>
          <w:lang w:val="es-AR"/>
        </w:rPr>
      </w:pPr>
      <w:r w:rsidRPr="00126DB8">
        <w:rPr>
          <w:lang w:val="es-AR"/>
        </w:rPr>
        <w:t xml:space="preserve">d) </w:t>
      </w:r>
      <w:hyperlink r:id="rId495" w:history="1">
        <w:r w:rsidRPr="00E65AB7">
          <w:rPr>
            <w:rStyle w:val="Lienhypertexte"/>
            <w:lang w:val="es-AR"/>
          </w:rPr>
          <w:t>http://fr.wikipedia.org/wiki/Olea_europaea</w:t>
        </w:r>
      </w:hyperlink>
      <w:r w:rsidRPr="00126DB8">
        <w:rPr>
          <w:lang w:val="es-AR"/>
        </w:rPr>
        <w:t>,</w:t>
      </w:r>
      <w:r>
        <w:rPr>
          <w:lang w:val="es-AR"/>
        </w:rPr>
        <w:t xml:space="preserve"> </w:t>
      </w:r>
      <w:r w:rsidRPr="00126DB8">
        <w:rPr>
          <w:lang w:val="es-AR"/>
        </w:rPr>
        <w:t xml:space="preserve">e) Oela (genre), </w:t>
      </w:r>
      <w:hyperlink r:id="rId496" w:history="1">
        <w:r w:rsidRPr="00E65AB7">
          <w:rPr>
            <w:rStyle w:val="Lienhypertexte"/>
            <w:lang w:val="es-AR"/>
          </w:rPr>
          <w:t>http://fr.wikipedia.org/wiki/Olea</w:t>
        </w:r>
      </w:hyperlink>
      <w:r>
        <w:rPr>
          <w:lang w:val="es-AR"/>
        </w:rPr>
        <w:t xml:space="preserve"> </w:t>
      </w:r>
      <w:r w:rsidRPr="00126DB8">
        <w:rPr>
          <w:lang w:val="es-AR"/>
        </w:rPr>
        <w:t xml:space="preserve"> </w:t>
      </w:r>
    </w:p>
    <w:p w14:paraId="0D00F4D6" w14:textId="60C66F9C" w:rsidR="00A13E1E" w:rsidRDefault="00A13E1E" w:rsidP="00A13E1E">
      <w:pPr>
        <w:spacing w:after="0" w:line="240" w:lineRule="auto"/>
        <w:rPr>
          <w:lang w:val="es-AR"/>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375F3D" w14:paraId="323C942B" w14:textId="77777777" w:rsidTr="00BC7E74">
        <w:tc>
          <w:tcPr>
            <w:tcW w:w="5208" w:type="dxa"/>
          </w:tcPr>
          <w:p w14:paraId="7C55F4EA" w14:textId="77777777" w:rsidR="00375F3D" w:rsidRDefault="004C0D35" w:rsidP="00375F3D">
            <w:pPr>
              <w:jc w:val="center"/>
              <w:rPr>
                <w:lang w:val="es-AR"/>
              </w:rPr>
            </w:pPr>
            <w:r w:rsidRPr="004C0D35">
              <w:rPr>
                <w:noProof/>
              </w:rPr>
              <w:drawing>
                <wp:inline distT="0" distB="0" distL="0" distR="0" wp14:anchorId="79CC8D3F" wp14:editId="3753AECF">
                  <wp:extent cx="1524000" cy="1143000"/>
                  <wp:effectExtent l="0" t="0" r="0" b="0"/>
                  <wp:docPr id="45065" name="Picture 4" descr="C:\Users\LISAN\Pictures\plantes-halophytes-xerophiles\Olive_vertes_z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65" name="Picture 4" descr="C:\Users\LISAN\Pictures\plantes-halophytes-xerophiles\Olive_vertes_z03.jpg"/>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1524000" cy="1143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lang w:val="es-AR"/>
              </w:rPr>
              <w:t xml:space="preserve"> </w:t>
            </w:r>
            <w:r w:rsidRPr="004C0D35">
              <w:rPr>
                <w:noProof/>
              </w:rPr>
              <w:drawing>
                <wp:inline distT="0" distB="0" distL="0" distR="0" wp14:anchorId="153B8304" wp14:editId="271DDC96">
                  <wp:extent cx="1473200" cy="1524000"/>
                  <wp:effectExtent l="0" t="0" r="0" b="0"/>
                  <wp:docPr id="45067" name="Picture 6" descr="C:\Users\LISAN\Pictures\plantes-halophytes-xerophiles\Olives_mu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67" name="Picture 6" descr="C:\Users\LISAN\Pictures\plantes-halophytes-xerophiles\Olives_mures.jpg"/>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1473200" cy="152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AAE3AB7" w14:textId="2667F0A1" w:rsidR="004C0D35" w:rsidRPr="004C0D35" w:rsidRDefault="00965A16" w:rsidP="00375F3D">
            <w:pPr>
              <w:jc w:val="center"/>
            </w:pPr>
            <w:r>
              <w:rPr>
                <w:rFonts w:cstheme="minorHAnsi"/>
              </w:rPr>
              <w:t>↖</w:t>
            </w:r>
            <w:r>
              <w:t xml:space="preserve"> </w:t>
            </w:r>
            <w:r w:rsidR="004C0D35" w:rsidRPr="004C0D35">
              <w:t xml:space="preserve">Fruits verts – Fruits mûrs </w:t>
            </w:r>
            <w:r>
              <w:rPr>
                <w:rFonts w:cstheme="minorHAnsi"/>
              </w:rPr>
              <w:t>↗</w:t>
            </w:r>
          </w:p>
        </w:tc>
        <w:tc>
          <w:tcPr>
            <w:tcW w:w="5208" w:type="dxa"/>
          </w:tcPr>
          <w:p w14:paraId="707499E4" w14:textId="77777777" w:rsidR="00375F3D" w:rsidRDefault="004C0D35" w:rsidP="00375F3D">
            <w:pPr>
              <w:jc w:val="center"/>
              <w:rPr>
                <w:lang w:val="es-AR"/>
              </w:rPr>
            </w:pPr>
            <w:r w:rsidRPr="004C0D35">
              <w:rPr>
                <w:noProof/>
              </w:rPr>
              <w:drawing>
                <wp:inline distT="0" distB="0" distL="0" distR="0" wp14:anchorId="1601FAE5" wp14:editId="6502E1AE">
                  <wp:extent cx="1163637" cy="873125"/>
                  <wp:effectExtent l="0" t="0" r="0" b="3175"/>
                  <wp:docPr id="44041" name="Picture 2" descr="C:\Users\LISAN\Pictures\plantes-halophytes-xerophiles\Olivier-Fleurs jeu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41" name="Picture 2" descr="C:\Users\LISAN\Pictures\plantes-halophytes-xerophiles\Olivier-Fleurs jeunes.jpg"/>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1163637" cy="873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lang w:val="es-AR"/>
              </w:rPr>
              <w:t xml:space="preserve"> </w:t>
            </w:r>
            <w:r w:rsidRPr="004C0D35">
              <w:rPr>
                <w:noProof/>
              </w:rPr>
              <w:drawing>
                <wp:inline distT="0" distB="0" distL="0" distR="0" wp14:anchorId="7EA25B0F" wp14:editId="358C4643">
                  <wp:extent cx="1693862" cy="1135063"/>
                  <wp:effectExtent l="0" t="0" r="1905" b="8255"/>
                  <wp:docPr id="45066" name="Picture 5" descr="C:\Users\LISAN\Pictures\plantes-halophytes-xerophiles\Olivenblüt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66" name="Picture 5" descr="C:\Users\LISAN\Pictures\plantes-halophytes-xerophiles\Olivenblüte3.jpg"/>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1693862" cy="11350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90F7D0A" w14:textId="5ED76D6E" w:rsidR="004C0D35" w:rsidRPr="004C0D35" w:rsidRDefault="00965A16" w:rsidP="00375F3D">
            <w:pPr>
              <w:jc w:val="center"/>
            </w:pPr>
            <w:r>
              <w:rPr>
                <w:rFonts w:cstheme="minorHAnsi"/>
              </w:rPr>
              <w:t>↖</w:t>
            </w:r>
            <w:r>
              <w:t xml:space="preserve"> </w:t>
            </w:r>
            <w:r w:rsidR="004C0D35" w:rsidRPr="004C0D35">
              <w:t>Fleurs jeunes – Fleurs</w:t>
            </w:r>
            <w:r>
              <w:t xml:space="preserve"> </w:t>
            </w:r>
            <w:r>
              <w:rPr>
                <w:rFonts w:cstheme="minorHAnsi"/>
              </w:rPr>
              <w:t>↗</w:t>
            </w:r>
          </w:p>
        </w:tc>
      </w:tr>
      <w:tr w:rsidR="00375F3D" w:rsidRPr="00BC7E74" w14:paraId="48CCF2A7" w14:textId="77777777" w:rsidTr="00BC7E74">
        <w:tc>
          <w:tcPr>
            <w:tcW w:w="5208" w:type="dxa"/>
          </w:tcPr>
          <w:p w14:paraId="58902617" w14:textId="77777777" w:rsidR="00F0170C" w:rsidRDefault="00F0170C" w:rsidP="00375F3D">
            <w:pPr>
              <w:jc w:val="center"/>
              <w:rPr>
                <w:lang w:val="es-AR"/>
              </w:rPr>
            </w:pPr>
          </w:p>
          <w:p w14:paraId="590CFD8D" w14:textId="5C44DAF1" w:rsidR="00375F3D" w:rsidRDefault="004C0D35" w:rsidP="00375F3D">
            <w:pPr>
              <w:jc w:val="center"/>
              <w:rPr>
                <w:lang w:val="es-AR"/>
              </w:rPr>
            </w:pPr>
            <w:r w:rsidRPr="004C0D35">
              <w:rPr>
                <w:noProof/>
              </w:rPr>
              <w:drawing>
                <wp:inline distT="0" distB="0" distL="0" distR="0" wp14:anchorId="024085F9" wp14:editId="00605A8E">
                  <wp:extent cx="2619375" cy="1752600"/>
                  <wp:effectExtent l="0" t="0" r="9525" b="0"/>
                  <wp:docPr id="45063" name="Picture 2" descr="C:\Users\LISAN\Pictures\plantes-halophytes-xerophiles\Olivie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63" name="Picture 2" descr="C:\Users\LISAN\Pictures\plantes-halophytes-xerophiles\Olivier2.jpg"/>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2619375" cy="1752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208" w:type="dxa"/>
          </w:tcPr>
          <w:p w14:paraId="128DC159" w14:textId="77777777" w:rsidR="00375F3D" w:rsidRDefault="004C0D35" w:rsidP="00375F3D">
            <w:pPr>
              <w:jc w:val="center"/>
              <w:rPr>
                <w:lang w:val="es-AR"/>
              </w:rPr>
            </w:pPr>
            <w:r w:rsidRPr="004C0D35">
              <w:rPr>
                <w:noProof/>
              </w:rPr>
              <w:drawing>
                <wp:inline distT="0" distB="0" distL="0" distR="0" wp14:anchorId="11D5483F" wp14:editId="3E414B77">
                  <wp:extent cx="2794000" cy="2095500"/>
                  <wp:effectExtent l="0" t="0" r="6350" b="0"/>
                  <wp:docPr id="45064" name="Picture 3" descr="C:\Users\LISAN\Pictures\plantes-halophytes-xerophiles\Olea_europaea_var_sylvestris_oléast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64" name="Picture 3" descr="C:\Users\LISAN\Pictures\plantes-halophytes-xerophiles\Olea_europaea_var_sylvestris_oléastre.jpg"/>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2794000" cy="2095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F3A4FA1" w14:textId="77777777" w:rsidR="00BC7E74" w:rsidRDefault="00BC7E74" w:rsidP="00375F3D">
            <w:pPr>
              <w:jc w:val="center"/>
            </w:pPr>
            <w:r w:rsidRPr="00BC7E74">
              <w:rPr>
                <w:i/>
                <w:iCs/>
                <w:lang w:val="la-Latn"/>
              </w:rPr>
              <w:t>Olea europaea ssp. sylvestris</w:t>
            </w:r>
            <w:r w:rsidRPr="00BC7E74">
              <w:rPr>
                <w:lang w:val="la-Latn"/>
              </w:rPr>
              <w:t>(oléastre) à Majorque</w:t>
            </w:r>
            <w:r>
              <w:t>.</w:t>
            </w:r>
          </w:p>
          <w:p w14:paraId="6267F272" w14:textId="6727DC46" w:rsidR="008D2C3C" w:rsidRPr="00BC7E74" w:rsidRDefault="008D2C3C" w:rsidP="00375F3D">
            <w:pPr>
              <w:jc w:val="center"/>
            </w:pPr>
          </w:p>
        </w:tc>
      </w:tr>
      <w:tr w:rsidR="00375F3D" w:rsidRPr="00965A16" w14:paraId="4689769B" w14:textId="77777777" w:rsidTr="00BC7E74">
        <w:tc>
          <w:tcPr>
            <w:tcW w:w="5208" w:type="dxa"/>
          </w:tcPr>
          <w:p w14:paraId="38C9763B" w14:textId="77777777" w:rsidR="00375F3D" w:rsidRDefault="00965A16" w:rsidP="00375F3D">
            <w:pPr>
              <w:jc w:val="center"/>
              <w:rPr>
                <w:lang w:val="es-AR"/>
              </w:rPr>
            </w:pPr>
            <w:r w:rsidRPr="00965A16">
              <w:rPr>
                <w:noProof/>
              </w:rPr>
              <w:drawing>
                <wp:inline distT="0" distB="0" distL="0" distR="0" wp14:anchorId="7F95A479" wp14:editId="2AD3A4A1">
                  <wp:extent cx="1524000" cy="1524000"/>
                  <wp:effectExtent l="0" t="0" r="0" b="0"/>
                  <wp:docPr id="45069" name="Picture 8" descr="C:\Users\LISAN\Pictures\plantes-halophytes-xerophiles\Olivi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69" name="Picture 8" descr="C:\Users\LISAN\Pictures\plantes-halophytes-xerophiles\Olivier1.jpg"/>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1524000" cy="152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lang w:val="es-AR"/>
              </w:rPr>
              <w:t xml:space="preserve">  </w:t>
            </w:r>
            <w:r w:rsidRPr="00965A16">
              <w:rPr>
                <w:noProof/>
              </w:rPr>
              <w:drawing>
                <wp:inline distT="0" distB="0" distL="0" distR="0" wp14:anchorId="5AFB496C" wp14:editId="753C9F3B">
                  <wp:extent cx="1143000" cy="1524000"/>
                  <wp:effectExtent l="0" t="0" r="0" b="0"/>
                  <wp:docPr id="45068" name="Picture 7" descr="C:\Users\LISAN\Pictures\plantes-halophytes-xerophiles\Olive-tree-trunk-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68" name="Picture 7" descr="C:\Users\LISAN\Pictures\plantes-halophytes-xerophiles\Olive-tree-trunk-0.jpg"/>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1143000" cy="152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985D871" w14:textId="7FBB6927" w:rsidR="00965A16" w:rsidRDefault="00965A16" w:rsidP="00375F3D">
            <w:pPr>
              <w:jc w:val="center"/>
              <w:rPr>
                <w:lang w:val="es-AR"/>
              </w:rPr>
            </w:pPr>
            <w:r>
              <w:rPr>
                <w:lang w:val="es-AR"/>
              </w:rPr>
              <w:t xml:space="preserve">            Tronc </w:t>
            </w:r>
            <w:r>
              <w:rPr>
                <w:rFonts w:cstheme="minorHAnsi"/>
                <w:lang w:val="es-AR"/>
              </w:rPr>
              <w:t>↗</w:t>
            </w:r>
          </w:p>
        </w:tc>
        <w:tc>
          <w:tcPr>
            <w:tcW w:w="5208" w:type="dxa"/>
          </w:tcPr>
          <w:p w14:paraId="1E9D2BF8" w14:textId="77777777" w:rsidR="00375F3D" w:rsidRDefault="00965A16" w:rsidP="00375F3D">
            <w:pPr>
              <w:jc w:val="center"/>
              <w:rPr>
                <w:lang w:val="es-AR"/>
              </w:rPr>
            </w:pPr>
            <w:r w:rsidRPr="00965A16">
              <w:rPr>
                <w:noProof/>
              </w:rPr>
              <w:drawing>
                <wp:inline distT="0" distB="0" distL="0" distR="0" wp14:anchorId="6ECC7FD2" wp14:editId="36508CCE">
                  <wp:extent cx="2165350" cy="1624013"/>
                  <wp:effectExtent l="0" t="0" r="6350" b="0"/>
                  <wp:docPr id="45078" name="Picture 10" descr="C:\Users\LISAN\Pictures\plantes-halophytes-xerophiles\Olivier-Invasive_weeds_in_the_adelaide_hil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78" name="Picture 10" descr="C:\Users\LISAN\Pictures\plantes-halophytes-xerophiles\Olivier-Invasive_weeds_in_the_adelaide_hills.jpg"/>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2165350" cy="1624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ECD56D9" w14:textId="13B90F6E" w:rsidR="00965A16" w:rsidRPr="00965A16" w:rsidRDefault="00965A16" w:rsidP="00965A16">
            <w:pPr>
              <w:jc w:val="center"/>
            </w:pPr>
            <w:r w:rsidRPr="00965A16">
              <w:t>Oliviers envahissants, </w:t>
            </w:r>
            <w:hyperlink r:id="rId506" w:history="1">
              <w:r w:rsidRPr="00965A16">
                <w:rPr>
                  <w:rStyle w:val="Lienhypertexte"/>
                </w:rPr>
                <w:t>Adelaide</w:t>
              </w:r>
            </w:hyperlink>
            <w:hyperlink r:id="rId507" w:history="1">
              <w:r w:rsidRPr="00965A16">
                <w:rPr>
                  <w:rStyle w:val="Lienhypertexte"/>
                </w:rPr>
                <w:t xml:space="preserve"> Hills</w:t>
              </w:r>
            </w:hyperlink>
            <w:r w:rsidRPr="00965A16">
              <w:t> ,</w:t>
            </w:r>
            <w:hyperlink r:id="rId508" w:history="1">
              <w:r w:rsidRPr="00965A16">
                <w:rPr>
                  <w:rStyle w:val="Lienhypertexte"/>
                </w:rPr>
                <w:t>Australie</w:t>
              </w:r>
            </w:hyperlink>
            <w:r w:rsidRPr="00965A16">
              <w:t>.</w:t>
            </w:r>
          </w:p>
        </w:tc>
      </w:tr>
    </w:tbl>
    <w:p w14:paraId="37B4AC4F" w14:textId="333B3D31" w:rsidR="00375F3D" w:rsidRPr="00965A16" w:rsidRDefault="00375F3D" w:rsidP="00375F3D">
      <w:pPr>
        <w:spacing w:after="0" w:line="240" w:lineRule="auto"/>
        <w:jc w:val="center"/>
      </w:pPr>
    </w:p>
    <w:p w14:paraId="02A75673" w14:textId="0113D371" w:rsidR="004A5213" w:rsidRDefault="004A5213" w:rsidP="00375F3D">
      <w:pPr>
        <w:spacing w:after="0" w:line="240" w:lineRule="auto"/>
        <w:jc w:val="center"/>
        <w:rPr>
          <w:lang w:val="es-AR"/>
        </w:rPr>
      </w:pPr>
      <w:r w:rsidRPr="004A5213">
        <w:rPr>
          <w:noProof/>
        </w:rPr>
        <w:lastRenderedPageBreak/>
        <w:drawing>
          <wp:inline distT="0" distB="0" distL="0" distR="0" wp14:anchorId="2B191D2A" wp14:editId="7D80AB8C">
            <wp:extent cx="3683000" cy="4241800"/>
            <wp:effectExtent l="0" t="0" r="0" b="6350"/>
            <wp:docPr id="45074" name="Picture 9" descr="C:\Users\LISAN\Pictures\plantes-halophytes-xerophiles\Olea_europaea_-_Köhler–s_Medizinal-Pflanzen-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74" name="Picture 9" descr="C:\Users\LISAN\Pictures\plantes-halophytes-xerophiles\Olea_europaea_-_Köhler–s_Medizinal-Pflanzen-229.jpg"/>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3683000" cy="4241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0A33512" w14:textId="2EAA7C8F" w:rsidR="004A5213" w:rsidRDefault="00BC7E74" w:rsidP="00375F3D">
      <w:pPr>
        <w:spacing w:after="0" w:line="240" w:lineRule="auto"/>
        <w:jc w:val="center"/>
      </w:pPr>
      <w:r w:rsidRPr="00BC7E74">
        <w:t>Planche d’illustration d’</w:t>
      </w:r>
      <w:r w:rsidRPr="00BC7E74">
        <w:rPr>
          <w:i/>
          <w:iCs/>
        </w:rPr>
        <w:t>Olea europaea</w:t>
      </w:r>
      <w:r w:rsidRPr="00BC7E74">
        <w:t> par </w:t>
      </w:r>
      <w:hyperlink r:id="rId510" w:history="1">
        <w:r w:rsidRPr="00BC7E74">
          <w:rPr>
            <w:rStyle w:val="Lienhypertexte"/>
          </w:rPr>
          <w:t>Franz Eugen Köhler</w:t>
        </w:r>
      </w:hyperlink>
      <w:r w:rsidRPr="00BC7E74">
        <w:t> dans </w:t>
      </w:r>
      <w:hyperlink r:id="rId511" w:history="1">
        <w:r w:rsidRPr="00BC7E74">
          <w:rPr>
            <w:rStyle w:val="Lienhypertexte"/>
            <w:i/>
            <w:iCs/>
          </w:rPr>
          <w:t>Plantes médicinales de Köhler</w:t>
        </w:r>
      </w:hyperlink>
      <w:r w:rsidRPr="00BC7E74">
        <w:t>.</w:t>
      </w:r>
    </w:p>
    <w:p w14:paraId="5D793A76" w14:textId="0EC4A9C5" w:rsidR="00B81ECB" w:rsidRDefault="00B81ECB" w:rsidP="00375F3D">
      <w:pPr>
        <w:spacing w:after="0" w:line="240" w:lineRule="auto"/>
        <w:jc w:val="center"/>
      </w:pPr>
    </w:p>
    <w:p w14:paraId="47D36A59" w14:textId="77777777" w:rsidR="00003B90" w:rsidRDefault="00003B90" w:rsidP="00B655B6">
      <w:pPr>
        <w:pStyle w:val="Titre2"/>
      </w:pPr>
      <w:bookmarkStart w:id="61" w:name="_Toc139181352"/>
      <w:r>
        <w:t>Amandier (</w:t>
      </w:r>
      <w:r w:rsidRPr="00A97779">
        <w:rPr>
          <w:i/>
          <w:iCs/>
        </w:rPr>
        <w:t>Prunus dulcis</w:t>
      </w:r>
      <w:r>
        <w:t>)</w:t>
      </w:r>
      <w:bookmarkEnd w:id="61"/>
    </w:p>
    <w:p w14:paraId="14A3C4FB" w14:textId="7B0DCA65" w:rsidR="00003B90" w:rsidRDefault="00003B90" w:rsidP="00003B90">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8"/>
        <w:gridCol w:w="2206"/>
        <w:gridCol w:w="1647"/>
        <w:gridCol w:w="415"/>
        <w:gridCol w:w="1380"/>
      </w:tblGrid>
      <w:tr w:rsidR="008D2C3C" w:rsidRPr="000B6BE3" w14:paraId="7D085CE2" w14:textId="77777777" w:rsidTr="00CE5869">
        <w:tc>
          <w:tcPr>
            <w:tcW w:w="4957" w:type="dxa"/>
          </w:tcPr>
          <w:p w14:paraId="24F0055A" w14:textId="75F23F65" w:rsidR="008D2C3C" w:rsidRPr="000B6BE3" w:rsidRDefault="008D2C3C" w:rsidP="00CE5869">
            <w:pPr>
              <w:rPr>
                <w:rFonts w:cstheme="minorHAnsi"/>
                <w:bCs/>
              </w:rPr>
            </w:pPr>
            <w:r w:rsidRPr="000B6BE3">
              <w:rPr>
                <w:rFonts w:cstheme="minorHAnsi"/>
                <w:bCs/>
              </w:rPr>
              <w:t>(</w:t>
            </w:r>
            <w:hyperlink r:id="rId512" w:history="1">
              <w:r w:rsidRPr="000B6BE3">
                <w:rPr>
                  <w:rFonts w:cstheme="minorHAnsi"/>
                </w:rPr>
                <w:t>F</w:t>
              </w:r>
              <w:r w:rsidRPr="000B6BE3">
                <w:rPr>
                  <w:rStyle w:val="Lienhypertexte"/>
                  <w:rFonts w:cstheme="minorHAnsi"/>
                  <w:color w:val="0B0080"/>
                  <w:shd w:val="clear" w:color="auto" w:fill="FFFFFF"/>
                </w:rPr>
                <w:t>amille</w:t>
              </w:r>
            </w:hyperlink>
            <w:r w:rsidRPr="000B6BE3">
              <w:rPr>
                <w:rFonts w:cstheme="minorHAnsi"/>
                <w:color w:val="222222"/>
                <w:shd w:val="clear" w:color="auto" w:fill="FFFFFF"/>
              </w:rPr>
              <w:t> des</w:t>
            </w:r>
            <w:r>
              <w:rPr>
                <w:rFonts w:cstheme="minorHAnsi"/>
                <w:color w:val="222222"/>
                <w:shd w:val="clear" w:color="auto" w:fill="FFFFFF"/>
              </w:rPr>
              <w:t xml:space="preserve"> </w:t>
            </w:r>
            <w:hyperlink r:id="rId513" w:history="1">
              <w:r w:rsidR="00257870" w:rsidRPr="00257870">
                <w:rPr>
                  <w:rStyle w:val="Lienhypertexte"/>
                  <w:i/>
                  <w:iCs/>
                </w:rPr>
                <w:t>Rosaceae</w:t>
              </w:r>
            </w:hyperlink>
            <w:r w:rsidRPr="000B6BE3">
              <w:rPr>
                <w:rFonts w:cstheme="minorHAnsi"/>
                <w:bCs/>
              </w:rPr>
              <w:t>)</w:t>
            </w:r>
          </w:p>
          <w:p w14:paraId="270A16AD" w14:textId="77777777" w:rsidR="008D2C3C" w:rsidRPr="000B6BE3" w:rsidRDefault="008D2C3C" w:rsidP="00CE5869">
            <w:pPr>
              <w:rPr>
                <w:rFonts w:cstheme="minorHAnsi"/>
              </w:rPr>
            </w:pPr>
          </w:p>
        </w:tc>
        <w:tc>
          <w:tcPr>
            <w:tcW w:w="2268" w:type="dxa"/>
          </w:tcPr>
          <w:p w14:paraId="4914C18A" w14:textId="77777777" w:rsidR="008D2C3C" w:rsidRPr="000B6BE3" w:rsidRDefault="008D2C3C" w:rsidP="00CE5869">
            <w:pPr>
              <w:rPr>
                <w:rFonts w:cstheme="minorHAnsi"/>
              </w:rPr>
            </w:pPr>
            <w:r w:rsidRPr="000B6BE3">
              <w:rPr>
                <w:rFonts w:cstheme="minorHAnsi"/>
                <w:noProof/>
              </w:rPr>
              <w:t xml:space="preserve">  </w:t>
            </w:r>
            <w:r w:rsidRPr="008F2681">
              <w:rPr>
                <w:rFonts w:cstheme="minorHAnsi"/>
                <w:noProof/>
              </w:rPr>
              <w:drawing>
                <wp:inline distT="0" distB="0" distL="0" distR="0" wp14:anchorId="44E051DF" wp14:editId="6CB1B6F2">
                  <wp:extent cx="495300" cy="666750"/>
                  <wp:effectExtent l="0" t="0" r="0" b="0"/>
                  <wp:docPr id="44035" name="Image 18"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9" name="Image 18" descr="logo aride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r w:rsidRPr="008F2681">
              <w:rPr>
                <w:rFonts w:cstheme="minorHAnsi"/>
                <w:noProof/>
              </w:rPr>
              <w:drawing>
                <wp:inline distT="0" distB="0" distL="0" distR="0" wp14:anchorId="78C44112" wp14:editId="1C0143C1">
                  <wp:extent cx="463550" cy="661988"/>
                  <wp:effectExtent l="0" t="0" r="0" b="5080"/>
                  <wp:docPr id="44036"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701" w:type="dxa"/>
          </w:tcPr>
          <w:p w14:paraId="3C51AB0B" w14:textId="77777777" w:rsidR="008D2C3C" w:rsidRPr="000B6BE3" w:rsidRDefault="008D2C3C" w:rsidP="00CE5869">
            <w:pPr>
              <w:textAlignment w:val="baseline"/>
              <w:rPr>
                <w:rFonts w:cstheme="minorHAnsi"/>
              </w:rPr>
            </w:pPr>
            <w:r w:rsidRPr="00D1445E">
              <w:rPr>
                <w:rFonts w:eastAsia="+mn-ea" w:cstheme="minorHAnsi"/>
                <w:b/>
                <w:bCs/>
                <w:color w:val="008000"/>
                <w:kern w:val="24"/>
                <w:sz w:val="56"/>
                <w:szCs w:val="56"/>
              </w:rPr>
              <w:t>U</w:t>
            </w:r>
            <w:r>
              <w:rPr>
                <w:rFonts w:eastAsia="+mn-ea" w:cstheme="minorHAnsi"/>
                <w:b/>
                <w:bCs/>
                <w:color w:val="008000"/>
                <w:kern w:val="24"/>
                <w:sz w:val="56"/>
                <w:szCs w:val="56"/>
              </w:rPr>
              <w:t xml:space="preserve"> $</w:t>
            </w:r>
          </w:p>
        </w:tc>
        <w:tc>
          <w:tcPr>
            <w:tcW w:w="425" w:type="dxa"/>
          </w:tcPr>
          <w:p w14:paraId="241B8BA8" w14:textId="77777777" w:rsidR="008D2C3C" w:rsidRPr="000B6BE3" w:rsidRDefault="008D2C3C" w:rsidP="00CE5869">
            <w:pPr>
              <w:rPr>
                <w:rFonts w:cstheme="minorHAnsi"/>
              </w:rPr>
            </w:pPr>
          </w:p>
        </w:tc>
        <w:tc>
          <w:tcPr>
            <w:tcW w:w="1439" w:type="dxa"/>
          </w:tcPr>
          <w:p w14:paraId="4FC96A85" w14:textId="77777777" w:rsidR="008D2C3C" w:rsidRPr="000B6BE3" w:rsidRDefault="008D2C3C" w:rsidP="00CE5869">
            <w:pPr>
              <w:rPr>
                <w:rFonts w:cstheme="minorHAnsi"/>
              </w:rPr>
            </w:pPr>
          </w:p>
        </w:tc>
      </w:tr>
    </w:tbl>
    <w:p w14:paraId="5B1A8F15" w14:textId="77777777" w:rsidR="008D2C3C" w:rsidRDefault="008D2C3C" w:rsidP="00003B90">
      <w:pPr>
        <w:spacing w:after="0" w:line="240" w:lineRule="auto"/>
      </w:pPr>
    </w:p>
    <w:p w14:paraId="69C89331" w14:textId="419A7C83" w:rsidR="00003B90" w:rsidRDefault="00003B90" w:rsidP="00003B90">
      <w:pPr>
        <w:spacing w:after="0" w:line="240" w:lineRule="auto"/>
        <w:jc w:val="both"/>
      </w:pPr>
      <w:r>
        <w:t>Arbre dont les fleurs d'un blanc rosé, apparaissent avant les feuilles. C'est le premier arbre fruitier à fleurir à la fin de l'hiver.</w:t>
      </w:r>
    </w:p>
    <w:p w14:paraId="4EC3BFFA" w14:textId="30554C8D" w:rsidR="00003B90" w:rsidRDefault="00003B90" w:rsidP="00003B90">
      <w:pPr>
        <w:spacing w:after="0" w:line="240" w:lineRule="auto"/>
        <w:jc w:val="both"/>
      </w:pPr>
      <w:r>
        <w:t>Il peut atteindre 6 à 12 mètres de haut. Il vit en moyenne plus de 100 ans et se multiplie par semis ou par greffes. Son bois, de bonne qualité, s'utilise en ébénisterie.</w:t>
      </w:r>
    </w:p>
    <w:p w14:paraId="46A8B95B" w14:textId="77777777" w:rsidR="00003B90" w:rsidRDefault="00003B90" w:rsidP="00003B90">
      <w:pPr>
        <w:spacing w:after="0" w:line="240" w:lineRule="auto"/>
        <w:jc w:val="both"/>
      </w:pPr>
      <w:r>
        <w:t>Il valorise les terres pauvres car il peut pousser sur des sols dolomitiques, caillouteux, secs, pauvre en matière organique. Il a très peu d'exigences sauf un sol profond et perméable. Il s'accommode même des sols légèrement salés et se plaît sur les sols calcaires. L'amandier qui préfère un sol calcaire et sec (ph 7,5), très perméable pour évacuer les excès d'eau. Il craint la pluie quand cela dure trop longtemps, surtout si le sol est lourd et non drainé.</w:t>
      </w:r>
    </w:p>
    <w:p w14:paraId="20D81CD5" w14:textId="77777777" w:rsidR="00003B90" w:rsidRDefault="00003B90" w:rsidP="00003B90">
      <w:pPr>
        <w:spacing w:after="0" w:line="240" w:lineRule="auto"/>
        <w:jc w:val="both"/>
      </w:pPr>
      <w:r>
        <w:t>Les fleurs de l'amandier sont très sensibles au froid et cet arbre a besoin de lumière, de soleil et d'air sec. La pollinisation dépend essentiellement des abeilles. La récolte d'amandes fraîches (en vert) se fait manuellement en mai et juin.</w:t>
      </w:r>
    </w:p>
    <w:p w14:paraId="51DBA23D" w14:textId="1DD6E130" w:rsidR="00003B90" w:rsidRDefault="00003B90" w:rsidP="00003B90">
      <w:pPr>
        <w:spacing w:after="0" w:line="240" w:lineRule="auto"/>
        <w:jc w:val="both"/>
      </w:pPr>
      <w:r>
        <w:br/>
        <w:t>La récolte d'amandes sèches a lieu en septembre, octobre, lorsque l'écale (la partie verte qui entoure la coque) est bien ouverte et sèche. Il aime le soleil, il résiste bien à la sécheresse (50 à 60 mm d'eau par mois pour se développer / 800 à 850 mm/an).</w:t>
      </w:r>
    </w:p>
    <w:p w14:paraId="57899EB1" w14:textId="77777777" w:rsidR="00003B90" w:rsidRDefault="00003B90" w:rsidP="00003B90">
      <w:pPr>
        <w:spacing w:after="0" w:line="240" w:lineRule="auto"/>
        <w:jc w:val="both"/>
      </w:pPr>
    </w:p>
    <w:p w14:paraId="71EBD141" w14:textId="7D1277DE" w:rsidR="00003B90" w:rsidRDefault="00003B90" w:rsidP="00003B90">
      <w:pPr>
        <w:spacing w:after="0" w:line="240" w:lineRule="auto"/>
        <w:jc w:val="both"/>
      </w:pPr>
      <w:r>
        <w:lastRenderedPageBreak/>
        <w:t>Son fruit est l'amande et est consommable par l'Homme. L'amande est très riche en huile, protéines, glucides et vitamines. Elle contient 50 % de lipides avec en majorité des acides gras, soit en moyenne : 75 % d'acide oléique, 18 % d'acide linoléique et 7 % d'acide palmitique. Elle se mange telle quelle ou séchée. L'huile d'amande amère extraite du noyau est, depuis l'Antiquité, très utilisée pour ses propriétés cosmétiques, adoucissantes et hydratantes en cas d'inflammation cutanée (cicatrisante et anti-inflammatoire en cosmétologie). Elle adoucit, tonifie la peau et est utilisée en dermatologie. Elle est aussi laxative, utilisée par les éleveurs et vétérinaires comme purgatif pour le bétail.</w:t>
      </w:r>
    </w:p>
    <w:p w14:paraId="7EC7954F" w14:textId="5EA77E49" w:rsidR="00003B90" w:rsidRDefault="00003B90" w:rsidP="00003B90">
      <w:pPr>
        <w:spacing w:after="0" w:line="240" w:lineRule="auto"/>
        <w:jc w:val="both"/>
      </w:pPr>
      <w:r>
        <w:t>Les espèces d'amandiers sauvages (</w:t>
      </w:r>
      <w:r w:rsidRPr="00003B90">
        <w:rPr>
          <w:i/>
          <w:iCs/>
        </w:rPr>
        <w:t>Prunus dulcis amara</w:t>
      </w:r>
      <w:r>
        <w:t>) sont toxiques, alors que les amandes domestiques ne le sont pas. L'amande amère (fruit de l'amandier sauvage), est toxique pour l'homme et peut être mortelle à certaines doses car elle contient un glycoside cyanogénique (amygdaline), qui donne par hydrolyse de l'acide cyanhydrique lors de la consommation</w:t>
      </w:r>
      <w:r>
        <w:rPr>
          <w:rStyle w:val="Appelnotedebasdep"/>
        </w:rPr>
        <w:footnoteReference w:id="76"/>
      </w:r>
      <w:r>
        <w:t xml:space="preserve">. </w:t>
      </w:r>
    </w:p>
    <w:p w14:paraId="5AA4A869" w14:textId="77777777" w:rsidR="00A44ACA" w:rsidRDefault="00A44ACA" w:rsidP="00003B90">
      <w:pPr>
        <w:spacing w:after="0" w:line="240" w:lineRule="auto"/>
        <w:jc w:val="both"/>
      </w:pPr>
    </w:p>
    <w:p w14:paraId="5DEBF3B0" w14:textId="77777777" w:rsidR="00003B90" w:rsidRDefault="00003B90" w:rsidP="00003B90">
      <w:pPr>
        <w:spacing w:after="0" w:line="240" w:lineRule="auto"/>
        <w:jc w:val="both"/>
      </w:pPr>
      <w:r w:rsidRPr="00003B90">
        <w:rPr>
          <w:u w:val="single"/>
        </w:rPr>
        <w:t>Maladies</w:t>
      </w:r>
      <w:r>
        <w:t xml:space="preserve"> : Les maladies cryptogamiques comme la moniliose, l'anthracnose, le coryneum et plus récemment le verticillium ainsi que les ravageurs tels que les pucerons, les scolytes, les acariens et le capnode sont les principaux agents biotiques qui compromettent la production et la longévité des amandiers. Il existe des différences de sensibilité variétale. </w:t>
      </w:r>
    </w:p>
    <w:p w14:paraId="3FF0941C" w14:textId="77777777" w:rsidR="00003B90" w:rsidRDefault="00003B90" w:rsidP="00003B90">
      <w:pPr>
        <w:spacing w:after="0" w:line="240" w:lineRule="auto"/>
        <w:jc w:val="both"/>
      </w:pPr>
      <w:r>
        <w:t xml:space="preserve">La moniliose (due à </w:t>
      </w:r>
      <w:r w:rsidRPr="00003B90">
        <w:rPr>
          <w:i/>
          <w:iCs/>
        </w:rPr>
        <w:t>Monilia taxa</w:t>
      </w:r>
      <w:r>
        <w:t xml:space="preserve">) provoque le dessèchement des bouquets floraux. Puis des chancres se développent sur les rameaux, causant la mort des parties situées au-dessus. La criblure (due à </w:t>
      </w:r>
      <w:r w:rsidRPr="00003B90">
        <w:rPr>
          <w:i/>
          <w:iCs/>
        </w:rPr>
        <w:t>Coryneum bejerinckii</w:t>
      </w:r>
      <w:r>
        <w:t xml:space="preserve">) se manifeste par la formation de taches circulaires brunâtres sur les feuilles, taches qui se perforent facilement. En outre, sur les rameaux naissent de petites lésions circulaires qui laissent exsuder de la gomme. Pour lutter dans les deux cas, commencer par couper les rameaux malades. Pulvériser des fongicides à base de cuivre (bouillie bordelaise), ou à base de captafol et de thirame pour la criblure. En cas d'attaques de pucerons </w:t>
      </w:r>
    </w:p>
    <w:p w14:paraId="0B6EC29A" w14:textId="77777777" w:rsidR="00003B90" w:rsidRDefault="00003B90" w:rsidP="00003B90">
      <w:pPr>
        <w:spacing w:after="0" w:line="240" w:lineRule="auto"/>
        <w:jc w:val="both"/>
      </w:pPr>
      <w:r>
        <w:t xml:space="preserve">Des observations sur le terrain et l'intervention des services de la protection des végétaux permettent d'établir un calendrier de traitements en fonction des conditions climatiques locales et des cycles des parasites. </w:t>
      </w:r>
    </w:p>
    <w:p w14:paraId="332C4BEA" w14:textId="77777777" w:rsidR="00003B90" w:rsidRDefault="00003B90" w:rsidP="00003B90">
      <w:pPr>
        <w:spacing w:after="0" w:line="240" w:lineRule="auto"/>
        <w:jc w:val="both"/>
      </w:pPr>
      <w:r>
        <w:t xml:space="preserve">On cultive généralement l’amande douce </w:t>
      </w:r>
      <w:r w:rsidRPr="00003B90">
        <w:rPr>
          <w:i/>
          <w:iCs/>
        </w:rPr>
        <w:t>Prunus dulcis var. dulcis</w:t>
      </w:r>
      <w:r>
        <w:t xml:space="preserve"> à coque épaisse et dure, dont on se sert en pâtisserie surtout pour fabriquer la pâte d’amande. L’amande à coque tendre (</w:t>
      </w:r>
      <w:r w:rsidRPr="00003B90">
        <w:rPr>
          <w:i/>
          <w:iCs/>
        </w:rPr>
        <w:t>Prunus dulcis var. fragilis</w:t>
      </w:r>
      <w:r>
        <w:t>) est aussi comestible et très appréciée pour la table à l’état frais, moins par l’industrie, car la coque très mince se brise facilement.</w:t>
      </w:r>
    </w:p>
    <w:p w14:paraId="45690BCD" w14:textId="77777777" w:rsidR="00003B90" w:rsidRDefault="00003B90" w:rsidP="00003B90">
      <w:pPr>
        <w:spacing w:after="0" w:line="240" w:lineRule="auto"/>
        <w:jc w:val="both"/>
      </w:pPr>
      <w:r>
        <w:t xml:space="preserve">Cet arbre fruitier, à feuilles caduques, peut se multiplier par semis ou par greffes. </w:t>
      </w:r>
    </w:p>
    <w:p w14:paraId="69F68F5C" w14:textId="77777777" w:rsidR="00003B90" w:rsidRDefault="00003B90" w:rsidP="00003B90">
      <w:pPr>
        <w:spacing w:after="0" w:line="240" w:lineRule="auto"/>
        <w:jc w:val="both"/>
      </w:pPr>
      <w:r>
        <w:t>Même autofertile, l’amandier sera bien productif s’il est en présence d’une autre variété pollinisatrice.</w:t>
      </w:r>
    </w:p>
    <w:p w14:paraId="32E6BF19" w14:textId="77777777" w:rsidR="00003B90" w:rsidRDefault="00003B90" w:rsidP="00003B90">
      <w:pPr>
        <w:spacing w:after="0" w:line="240" w:lineRule="auto"/>
        <w:jc w:val="both"/>
      </w:pPr>
      <w:r>
        <w:t>L’amandier n’est généralement pas autofertile ce qui implique la proximité d’un second arbre fleuri en même temps.</w:t>
      </w:r>
    </w:p>
    <w:p w14:paraId="45107D84" w14:textId="593DF387" w:rsidR="00003B90" w:rsidRDefault="00003B90" w:rsidP="00003B90">
      <w:pPr>
        <w:spacing w:after="0" w:line="240" w:lineRule="auto"/>
        <w:jc w:val="both"/>
      </w:pPr>
      <w:r>
        <w:t xml:space="preserve">Noms Scientifiques : </w:t>
      </w:r>
      <w:r w:rsidRPr="00003B90">
        <w:rPr>
          <w:i/>
          <w:iCs/>
        </w:rPr>
        <w:t>Prunus amygdalus var. dulcis</w:t>
      </w:r>
      <w:r>
        <w:t xml:space="preserve">. Synonymes : </w:t>
      </w:r>
      <w:r w:rsidRPr="00003B90">
        <w:rPr>
          <w:i/>
          <w:iCs/>
        </w:rPr>
        <w:t>Amygdalus communis var. dulcis, Prunus amygdalus var. sativa, Prunus communis var. sativa, Prunus dulcis</w:t>
      </w:r>
      <w:r>
        <w:t>.</w:t>
      </w:r>
    </w:p>
    <w:p w14:paraId="49B7EAB7" w14:textId="479E07A8" w:rsidR="00003B90" w:rsidRDefault="00003B90" w:rsidP="00003B90">
      <w:pPr>
        <w:spacing w:after="0" w:line="240" w:lineRule="auto"/>
        <w:jc w:val="both"/>
      </w:pPr>
      <w:r>
        <w:t xml:space="preserve">Sources : a) </w:t>
      </w:r>
      <w:hyperlink r:id="rId514" w:history="1">
        <w:r w:rsidRPr="005B1D0E">
          <w:rPr>
            <w:rStyle w:val="Lienhypertexte"/>
          </w:rPr>
          <w:t>http://fr.wikipedia.org/wiki/Amandier</w:t>
        </w:r>
      </w:hyperlink>
      <w:r>
        <w:t xml:space="preserve">, b) </w:t>
      </w:r>
      <w:hyperlink r:id="rId515" w:history="1">
        <w:r w:rsidRPr="005B1D0E">
          <w:rPr>
            <w:rStyle w:val="Lienhypertexte"/>
          </w:rPr>
          <w:t>http://en.wikipedia.org/wiki/Almond</w:t>
        </w:r>
      </w:hyperlink>
      <w:r>
        <w:t>,</w:t>
      </w:r>
    </w:p>
    <w:p w14:paraId="29B1A96F" w14:textId="63F25B6E" w:rsidR="00B81ECB" w:rsidRDefault="00003B90" w:rsidP="00003B90">
      <w:pPr>
        <w:spacing w:after="0" w:line="240" w:lineRule="auto"/>
        <w:jc w:val="both"/>
      </w:pPr>
      <w:r>
        <w:t xml:space="preserve">c) </w:t>
      </w:r>
      <w:hyperlink r:id="rId516" w:history="1">
        <w:r w:rsidRPr="005B1D0E">
          <w:rPr>
            <w:rStyle w:val="Lienhypertexte"/>
          </w:rPr>
          <w:t>http://frutales.files.wordpress.com/2011/05/manual_cultivo_almendro.pdf</w:t>
        </w:r>
      </w:hyperlink>
    </w:p>
    <w:p w14:paraId="7A6A38F7" w14:textId="1A6DF70A" w:rsidR="00003B90" w:rsidRDefault="00003B90" w:rsidP="00003B90">
      <w:pPr>
        <w:spacing w:after="0" w:line="240" w:lineRule="auto"/>
      </w:pPr>
      <w:r>
        <w:t xml:space="preserve">d) </w:t>
      </w:r>
      <w:hyperlink r:id="rId517" w:history="1">
        <w:r w:rsidRPr="00640788">
          <w:rPr>
            <w:rStyle w:val="Lienhypertexte"/>
          </w:rPr>
          <w:t>http://www.legume-fruit-maroc.com/amandier.php</w:t>
        </w:r>
      </w:hyperlink>
      <w:r>
        <w:t xml:space="preserve">, e) Maladies amandiers, </w:t>
      </w:r>
      <w:hyperlink r:id="rId518" w:history="1">
        <w:r w:rsidRPr="00640788">
          <w:rPr>
            <w:rStyle w:val="Lienhypertexte"/>
          </w:rPr>
          <w:t>http://www.agrimaroc.net/87.pdf</w:t>
        </w:r>
      </w:hyperlink>
      <w:r>
        <w:t>,</w:t>
      </w:r>
    </w:p>
    <w:p w14:paraId="51A5D151" w14:textId="7D3519C3" w:rsidR="00003B90" w:rsidRPr="002E0298" w:rsidRDefault="00003B90" w:rsidP="00003B90">
      <w:pPr>
        <w:spacing w:after="0" w:line="240" w:lineRule="auto"/>
      </w:pPr>
      <w:r w:rsidRPr="002E0298">
        <w:t xml:space="preserve">f) </w:t>
      </w:r>
      <w:hyperlink r:id="rId519" w:history="1">
        <w:r w:rsidRPr="002E0298">
          <w:rPr>
            <w:rStyle w:val="Lienhypertexte"/>
          </w:rPr>
          <w:t>http://www.jardiner-malin.fr/fiche/amandier-taille-plantation.html</w:t>
        </w:r>
      </w:hyperlink>
    </w:p>
    <w:p w14:paraId="5AFFAA5C" w14:textId="77777777" w:rsidR="00003B90" w:rsidRPr="002E0298" w:rsidRDefault="00003B90" w:rsidP="00003B90">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7"/>
        <w:gridCol w:w="3348"/>
        <w:gridCol w:w="3731"/>
      </w:tblGrid>
      <w:tr w:rsidR="00003B90" w14:paraId="39A8664D" w14:textId="77777777" w:rsidTr="00000A55">
        <w:tc>
          <w:tcPr>
            <w:tcW w:w="3472" w:type="dxa"/>
          </w:tcPr>
          <w:p w14:paraId="0DBA9886" w14:textId="3D2D76EA" w:rsidR="00003B90" w:rsidRDefault="00003B90" w:rsidP="00003B90">
            <w:pPr>
              <w:jc w:val="center"/>
            </w:pPr>
            <w:r w:rsidRPr="00003B90">
              <w:rPr>
                <w:noProof/>
              </w:rPr>
              <w:drawing>
                <wp:inline distT="0" distB="0" distL="0" distR="0" wp14:anchorId="1437B4B2" wp14:editId="381BC14B">
                  <wp:extent cx="1727200" cy="1277937"/>
                  <wp:effectExtent l="0" t="0" r="6350" b="0"/>
                  <wp:docPr id="46084"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4" name="Image 7"/>
                          <pic:cNvPicPr>
                            <a:picLocks noChangeAspect="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1727200" cy="12779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4A7A05A0" w14:textId="602D3CA3" w:rsidR="00003B90" w:rsidRDefault="00003B90" w:rsidP="00003B90">
            <w:pPr>
              <w:jc w:val="center"/>
            </w:pPr>
            <w:r w:rsidRPr="00003B90">
              <w:rPr>
                <w:noProof/>
              </w:rPr>
              <w:drawing>
                <wp:inline distT="0" distB="0" distL="0" distR="0" wp14:anchorId="427C142E" wp14:editId="2D1EEFD2">
                  <wp:extent cx="1871662" cy="1246187"/>
                  <wp:effectExtent l="0" t="0" r="0" b="0"/>
                  <wp:docPr id="46085"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5" name="Image 8"/>
                          <pic:cNvPicPr>
                            <a:picLocks noChangeAspect="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1871662" cy="1246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4636A6C3" w14:textId="2BCCDB72" w:rsidR="00003B90" w:rsidRDefault="00003B90" w:rsidP="00003B90">
            <w:pPr>
              <w:jc w:val="center"/>
            </w:pPr>
            <w:r w:rsidRPr="00003B90">
              <w:rPr>
                <w:noProof/>
              </w:rPr>
              <w:drawing>
                <wp:inline distT="0" distB="0" distL="0" distR="0" wp14:anchorId="6D0B65C0" wp14:editId="694B6B13">
                  <wp:extent cx="2232025" cy="1673225"/>
                  <wp:effectExtent l="0" t="0" r="0" b="3175"/>
                  <wp:docPr id="46086"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6" name="Image 9"/>
                          <pic:cNvPicPr>
                            <a:picLocks noChangeAspect="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2232025" cy="1673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003B90" w14:paraId="38D345BD" w14:textId="77777777" w:rsidTr="00000A55">
        <w:tc>
          <w:tcPr>
            <w:tcW w:w="3472" w:type="dxa"/>
          </w:tcPr>
          <w:p w14:paraId="525B2DE3" w14:textId="68532079" w:rsidR="00003B90" w:rsidRPr="00003B90" w:rsidRDefault="00003B90" w:rsidP="00003B90">
            <w:pPr>
              <w:jc w:val="center"/>
            </w:pPr>
            <w:r w:rsidRPr="00003B90">
              <w:rPr>
                <w:noProof/>
              </w:rPr>
              <w:lastRenderedPageBreak/>
              <w:drawing>
                <wp:inline distT="0" distB="0" distL="0" distR="0" wp14:anchorId="5811BB6A" wp14:editId="3B4FBC35">
                  <wp:extent cx="1728788" cy="1443037"/>
                  <wp:effectExtent l="0" t="0" r="5080" b="5080"/>
                  <wp:docPr id="47107"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07" name="Image 2"/>
                          <pic:cNvPicPr>
                            <a:picLocks noChangeAspect="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1728788" cy="14430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0EFC4CD0" w14:textId="6A592631" w:rsidR="00003B90" w:rsidRPr="00003B90" w:rsidRDefault="00003B90" w:rsidP="00003B90">
            <w:pPr>
              <w:jc w:val="center"/>
            </w:pPr>
            <w:r w:rsidRPr="00003B90">
              <w:rPr>
                <w:noProof/>
              </w:rPr>
              <w:drawing>
                <wp:inline distT="0" distB="0" distL="0" distR="0" wp14:anchorId="791B22EE" wp14:editId="2117EB57">
                  <wp:extent cx="1890713" cy="1416050"/>
                  <wp:effectExtent l="0" t="0" r="0" b="0"/>
                  <wp:docPr id="47111"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11" name="Image 6"/>
                          <pic:cNvPicPr>
                            <a:picLocks noChangeAspect="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1890713" cy="141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468C9803" w14:textId="77777777" w:rsidR="00003B90" w:rsidRDefault="00003B90" w:rsidP="00003B90">
            <w:pPr>
              <w:jc w:val="center"/>
            </w:pPr>
            <w:r w:rsidRPr="00003B90">
              <w:rPr>
                <w:noProof/>
              </w:rPr>
              <w:drawing>
                <wp:inline distT="0" distB="0" distL="0" distR="0" wp14:anchorId="419F1CB5" wp14:editId="101D1676">
                  <wp:extent cx="1824037" cy="1374775"/>
                  <wp:effectExtent l="0" t="0" r="5080" b="0"/>
                  <wp:docPr id="47109"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09" name="Image 4"/>
                          <pic:cNvPicPr>
                            <a:picLocks noChangeAspect="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1824037" cy="1374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01B77E5" w14:textId="79DDA194" w:rsidR="00A44ACA" w:rsidRPr="00003B90" w:rsidRDefault="00A44ACA" w:rsidP="00003B90">
            <w:pPr>
              <w:jc w:val="center"/>
            </w:pPr>
          </w:p>
        </w:tc>
      </w:tr>
      <w:tr w:rsidR="00003B90" w14:paraId="7912103D" w14:textId="77777777" w:rsidTr="00000A55">
        <w:tc>
          <w:tcPr>
            <w:tcW w:w="3472" w:type="dxa"/>
          </w:tcPr>
          <w:p w14:paraId="23FCA634" w14:textId="352C1FDA" w:rsidR="00003B90" w:rsidRPr="00003B90" w:rsidRDefault="00003B90" w:rsidP="00003B90">
            <w:pPr>
              <w:jc w:val="center"/>
            </w:pPr>
            <w:r w:rsidRPr="00003B90">
              <w:rPr>
                <w:noProof/>
              </w:rPr>
              <w:drawing>
                <wp:inline distT="0" distB="0" distL="0" distR="0" wp14:anchorId="78CECF86" wp14:editId="30FC4603">
                  <wp:extent cx="1905000" cy="1428750"/>
                  <wp:effectExtent l="0" t="0" r="0" b="0"/>
                  <wp:docPr id="47110"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10" name="Image 5"/>
                          <pic:cNvPicPr>
                            <a:picLocks noChangeAspect="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2E80CCAB" w14:textId="1F1D4E92" w:rsidR="00003B90" w:rsidRPr="00003B90" w:rsidRDefault="00000A55" w:rsidP="00003B90">
            <w:pPr>
              <w:jc w:val="center"/>
            </w:pPr>
            <w:r w:rsidRPr="00000A55">
              <w:rPr>
                <w:noProof/>
              </w:rPr>
              <w:drawing>
                <wp:inline distT="0" distB="0" distL="0" distR="0" wp14:anchorId="425BEC50" wp14:editId="5B859885">
                  <wp:extent cx="1906588" cy="1446213"/>
                  <wp:effectExtent l="0" t="0" r="0" b="1905"/>
                  <wp:docPr id="47108"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08" name="Image 3"/>
                          <pic:cNvPicPr>
                            <a:picLocks noChangeAspect="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1906588" cy="1446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1E38834E" w14:textId="4EA72ADF" w:rsidR="00003B90" w:rsidRPr="00003B90" w:rsidRDefault="00000A55" w:rsidP="00003B90">
            <w:pPr>
              <w:jc w:val="center"/>
            </w:pPr>
            <w:r w:rsidRPr="00000A55">
              <w:rPr>
                <w:noProof/>
              </w:rPr>
              <w:drawing>
                <wp:inline distT="0" distB="0" distL="0" distR="0" wp14:anchorId="7E249B3A" wp14:editId="5D6407B0">
                  <wp:extent cx="1979613" cy="1484313"/>
                  <wp:effectExtent l="0" t="0" r="1905" b="1905"/>
                  <wp:docPr id="4710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06" name="Image 1"/>
                          <pic:cNvPicPr>
                            <a:picLocks noChangeAspect="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1979613" cy="14843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3A73B518" w14:textId="007FED1C" w:rsidR="00003B90" w:rsidRDefault="00003B90" w:rsidP="00003B90">
      <w:pPr>
        <w:spacing w:after="0" w:line="240" w:lineRule="auto"/>
        <w:jc w:val="center"/>
      </w:pPr>
    </w:p>
    <w:p w14:paraId="4A6F723B" w14:textId="77777777" w:rsidR="008D2C3C" w:rsidRDefault="008D2C3C" w:rsidP="00B655B6">
      <w:pPr>
        <w:pStyle w:val="Titre2"/>
      </w:pPr>
      <w:bookmarkStart w:id="62" w:name="_Toc139181353"/>
      <w:r>
        <w:t>Figuier commun (</w:t>
      </w:r>
      <w:r w:rsidRPr="008D2C3C">
        <w:rPr>
          <w:i/>
          <w:iCs/>
        </w:rPr>
        <w:t>Ficus carica</w:t>
      </w:r>
      <w:r>
        <w:t>)</w:t>
      </w:r>
      <w:bookmarkEnd w:id="62"/>
    </w:p>
    <w:p w14:paraId="307E1D4C" w14:textId="48908026" w:rsidR="008D2C3C" w:rsidRDefault="008D2C3C" w:rsidP="008D2C3C">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0"/>
        <w:gridCol w:w="2204"/>
        <w:gridCol w:w="1647"/>
        <w:gridCol w:w="415"/>
        <w:gridCol w:w="1380"/>
      </w:tblGrid>
      <w:tr w:rsidR="00FE3FE4" w:rsidRPr="000B6BE3" w14:paraId="43B2B748" w14:textId="77777777" w:rsidTr="00CE5869">
        <w:tc>
          <w:tcPr>
            <w:tcW w:w="4957" w:type="dxa"/>
          </w:tcPr>
          <w:p w14:paraId="5C2D4B72" w14:textId="265AE03E" w:rsidR="00FE3FE4" w:rsidRPr="000B6BE3" w:rsidRDefault="00FE3FE4" w:rsidP="00CE5869">
            <w:pPr>
              <w:rPr>
                <w:rFonts w:cstheme="minorHAnsi"/>
                <w:bCs/>
              </w:rPr>
            </w:pPr>
            <w:r w:rsidRPr="000B6BE3">
              <w:rPr>
                <w:rFonts w:cstheme="minorHAnsi"/>
                <w:bCs/>
              </w:rPr>
              <w:t>(</w:t>
            </w:r>
            <w:hyperlink r:id="rId529" w:history="1">
              <w:r w:rsidRPr="000B6BE3">
                <w:rPr>
                  <w:rFonts w:cstheme="minorHAnsi"/>
                </w:rPr>
                <w:t>F</w:t>
              </w:r>
              <w:r w:rsidRPr="000B6BE3">
                <w:rPr>
                  <w:rStyle w:val="Lienhypertexte"/>
                  <w:rFonts w:cstheme="minorHAnsi"/>
                  <w:color w:val="0B0080"/>
                  <w:shd w:val="clear" w:color="auto" w:fill="FFFFFF"/>
                </w:rPr>
                <w:t>amille</w:t>
              </w:r>
            </w:hyperlink>
            <w:r w:rsidRPr="000B6BE3">
              <w:rPr>
                <w:rFonts w:cstheme="minorHAnsi"/>
                <w:color w:val="222222"/>
                <w:shd w:val="clear" w:color="auto" w:fill="FFFFFF"/>
              </w:rPr>
              <w:t> des</w:t>
            </w:r>
            <w:r>
              <w:rPr>
                <w:rFonts w:cstheme="minorHAnsi"/>
                <w:color w:val="222222"/>
                <w:shd w:val="clear" w:color="auto" w:fill="FFFFFF"/>
              </w:rPr>
              <w:t xml:space="preserve"> </w:t>
            </w:r>
            <w:hyperlink r:id="rId530" w:history="1">
              <w:r w:rsidR="00A44ACA" w:rsidRPr="00A44ACA">
                <w:rPr>
                  <w:rStyle w:val="Lienhypertexte"/>
                  <w:rFonts w:ascii="Calibri" w:hAnsi="Calibri" w:cs="Calibri"/>
                  <w:i/>
                  <w:iCs/>
                  <w:color w:val="1A0DAB"/>
                  <w:shd w:val="clear" w:color="auto" w:fill="FFFFFF"/>
                </w:rPr>
                <w:t>Moraceae</w:t>
              </w:r>
            </w:hyperlink>
            <w:r w:rsidRPr="000B6BE3">
              <w:rPr>
                <w:rFonts w:cstheme="minorHAnsi"/>
                <w:bCs/>
              </w:rPr>
              <w:t>)</w:t>
            </w:r>
          </w:p>
          <w:p w14:paraId="50B43213" w14:textId="77777777" w:rsidR="00FE3FE4" w:rsidRPr="000B6BE3" w:rsidRDefault="00FE3FE4" w:rsidP="00CE5869">
            <w:pPr>
              <w:rPr>
                <w:rFonts w:cstheme="minorHAnsi"/>
              </w:rPr>
            </w:pPr>
          </w:p>
        </w:tc>
        <w:tc>
          <w:tcPr>
            <w:tcW w:w="2268" w:type="dxa"/>
          </w:tcPr>
          <w:p w14:paraId="2BF1DEB1" w14:textId="6E3A7859" w:rsidR="00FE3FE4" w:rsidRPr="000B6BE3" w:rsidRDefault="00FE3FE4" w:rsidP="00CE5869">
            <w:pPr>
              <w:rPr>
                <w:rFonts w:cstheme="minorHAnsi"/>
              </w:rPr>
            </w:pPr>
            <w:r w:rsidRPr="000B6BE3">
              <w:rPr>
                <w:rFonts w:cstheme="minorHAnsi"/>
                <w:noProof/>
              </w:rPr>
              <w:t xml:space="preserve">  </w:t>
            </w:r>
            <w:r>
              <w:rPr>
                <w:rFonts w:cstheme="minorHAnsi"/>
                <w:noProof/>
              </w:rPr>
              <w:t xml:space="preserve">   </w:t>
            </w:r>
            <w:r w:rsidRPr="008F2681">
              <w:rPr>
                <w:rFonts w:cstheme="minorHAnsi"/>
                <w:noProof/>
              </w:rPr>
              <w:drawing>
                <wp:inline distT="0" distB="0" distL="0" distR="0" wp14:anchorId="73339BA1" wp14:editId="1DE67098">
                  <wp:extent cx="463550" cy="661988"/>
                  <wp:effectExtent l="0" t="0" r="0" b="5080"/>
                  <wp:docPr id="44040"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701" w:type="dxa"/>
          </w:tcPr>
          <w:p w14:paraId="78F8F354" w14:textId="77777777" w:rsidR="00FE3FE4" w:rsidRPr="000B6BE3" w:rsidRDefault="00FE3FE4" w:rsidP="00CE5869">
            <w:pPr>
              <w:textAlignment w:val="baseline"/>
              <w:rPr>
                <w:rFonts w:cstheme="minorHAnsi"/>
              </w:rPr>
            </w:pPr>
            <w:r w:rsidRPr="00D1445E">
              <w:rPr>
                <w:rFonts w:eastAsia="+mn-ea" w:cstheme="minorHAnsi"/>
                <w:b/>
                <w:bCs/>
                <w:color w:val="008000"/>
                <w:kern w:val="24"/>
                <w:sz w:val="56"/>
                <w:szCs w:val="56"/>
              </w:rPr>
              <w:t>U</w:t>
            </w:r>
            <w:r>
              <w:rPr>
                <w:rFonts w:eastAsia="+mn-ea" w:cstheme="minorHAnsi"/>
                <w:b/>
                <w:bCs/>
                <w:color w:val="008000"/>
                <w:kern w:val="24"/>
                <w:sz w:val="56"/>
                <w:szCs w:val="56"/>
              </w:rPr>
              <w:t xml:space="preserve"> $</w:t>
            </w:r>
          </w:p>
        </w:tc>
        <w:tc>
          <w:tcPr>
            <w:tcW w:w="425" w:type="dxa"/>
          </w:tcPr>
          <w:p w14:paraId="019BE537" w14:textId="77777777" w:rsidR="00FE3FE4" w:rsidRPr="000B6BE3" w:rsidRDefault="00FE3FE4" w:rsidP="00CE5869">
            <w:pPr>
              <w:rPr>
                <w:rFonts w:cstheme="minorHAnsi"/>
              </w:rPr>
            </w:pPr>
          </w:p>
        </w:tc>
        <w:tc>
          <w:tcPr>
            <w:tcW w:w="1439" w:type="dxa"/>
          </w:tcPr>
          <w:p w14:paraId="54B520A8" w14:textId="77777777" w:rsidR="00FE3FE4" w:rsidRPr="000B6BE3" w:rsidRDefault="00FE3FE4" w:rsidP="00CE5869">
            <w:pPr>
              <w:rPr>
                <w:rFonts w:cstheme="minorHAnsi"/>
              </w:rPr>
            </w:pPr>
          </w:p>
        </w:tc>
      </w:tr>
    </w:tbl>
    <w:p w14:paraId="6A911DB3" w14:textId="77777777" w:rsidR="00FE3FE4" w:rsidRDefault="00FE3FE4" w:rsidP="008D2C3C">
      <w:pPr>
        <w:spacing w:after="0" w:line="240" w:lineRule="auto"/>
        <w:jc w:val="both"/>
      </w:pPr>
    </w:p>
    <w:p w14:paraId="7136C612" w14:textId="77777777" w:rsidR="008D2C3C" w:rsidRDefault="008D2C3C" w:rsidP="008D2C3C">
      <w:pPr>
        <w:spacing w:after="0" w:line="240" w:lineRule="auto"/>
        <w:jc w:val="both"/>
      </w:pPr>
      <w:r>
        <w:t>Le Figuier comestible ou Figuier commun, est un arbre fruitier caduque, dioïque (famille des Moracées) donnant des fruits comestibles appelés figues.</w:t>
      </w:r>
    </w:p>
    <w:p w14:paraId="5D599C18" w14:textId="77777777" w:rsidR="008D2C3C" w:rsidRDefault="008D2C3C" w:rsidP="008D2C3C">
      <w:pPr>
        <w:spacing w:after="0" w:line="240" w:lineRule="auto"/>
        <w:jc w:val="both"/>
      </w:pPr>
      <w:r>
        <w:t>C'est le seul représentant européen du genre Figuier qui représente près de 600 espèces, la plupart tropicales.</w:t>
      </w:r>
    </w:p>
    <w:p w14:paraId="51C632CA" w14:textId="77777777" w:rsidR="008D2C3C" w:rsidRDefault="008D2C3C" w:rsidP="008D2C3C">
      <w:pPr>
        <w:spacing w:after="0" w:line="240" w:lineRule="auto"/>
        <w:jc w:val="both"/>
      </w:pPr>
      <w:r>
        <w:t>Le figuier mâle qui ne donne pas de fruits comestibles, est aussi appelé « Caprifiguier » (c'est-à-dire « Figuier de bouc »).</w:t>
      </w:r>
    </w:p>
    <w:p w14:paraId="3B9742B4" w14:textId="77777777" w:rsidR="008D2C3C" w:rsidRDefault="008D2C3C" w:rsidP="008D2C3C">
      <w:pPr>
        <w:spacing w:after="0" w:line="240" w:lineRule="auto"/>
        <w:jc w:val="both"/>
      </w:pPr>
      <w:r>
        <w:t>Il semble originaire d'une zone de climat tempéré chaud, englobant le pourtour du bassin méditerranéen jusqu'à l'Asie centrale.</w:t>
      </w:r>
    </w:p>
    <w:p w14:paraId="34E6CCA2" w14:textId="77777777" w:rsidR="008D2C3C" w:rsidRDefault="008D2C3C" w:rsidP="008D2C3C">
      <w:pPr>
        <w:spacing w:after="0" w:line="240" w:lineRule="auto"/>
        <w:jc w:val="both"/>
      </w:pPr>
      <w:r>
        <w:t>Certaines variétés peuvent cependant atteindre 8 mètres de hauteur pour dix mètres de périmètre en conditions favorables (zone peu gélive, sol frais et fertile) - au tronc souvent tortueux, au port souvent buissonnant. Toutes les parties de la plante (rameaux, feuilles, fruits) contiennent un latex blanc et irritant.</w:t>
      </w:r>
    </w:p>
    <w:p w14:paraId="15452325" w14:textId="77777777" w:rsidR="008D2C3C" w:rsidRDefault="008D2C3C" w:rsidP="008D2C3C">
      <w:pPr>
        <w:spacing w:after="0" w:line="240" w:lineRule="auto"/>
        <w:jc w:val="both"/>
      </w:pPr>
      <w:r>
        <w:t>Les figuiers sauvages ont pour particularité d'avoir une reproduction dépendant d'une symbiose avec un insecte : le blastophage (sauf pour les variétés parthénocarpiques dites autofertiles). Cet insecte assure la pollinisation des fleurs femelles. En retour, le figuier abrite et nourrit l'insecte, dont le cycle se déroule quasi entièrement dans la plante. L'hiver, les ovaires, transformés en galles, des fleurs femelles des figues-mammes (des plants mâles) contiennent leurs larves .</w:t>
      </w:r>
    </w:p>
    <w:p w14:paraId="1861F013" w14:textId="77777777" w:rsidR="008D2C3C" w:rsidRDefault="008D2C3C" w:rsidP="008D2C3C">
      <w:pPr>
        <w:spacing w:after="0" w:line="240" w:lineRule="auto"/>
        <w:jc w:val="both"/>
      </w:pPr>
      <w:r>
        <w:t>Peu exigeant, le figuier est robuste, nécessitant peu voire pas de traitements, et peut produire très longtemps.</w:t>
      </w:r>
    </w:p>
    <w:p w14:paraId="0043D422" w14:textId="77777777" w:rsidR="008D2C3C" w:rsidRDefault="008D2C3C" w:rsidP="008D2C3C">
      <w:pPr>
        <w:spacing w:after="0" w:line="240" w:lineRule="auto"/>
        <w:jc w:val="both"/>
      </w:pPr>
      <w:r>
        <w:t>Le chancre du figuier (</w:t>
      </w:r>
      <w:r w:rsidRPr="008D2C3C">
        <w:rPr>
          <w:i/>
          <w:iCs/>
        </w:rPr>
        <w:t>Diaporthe cinerescens</w:t>
      </w:r>
      <w:r>
        <w:t>), est la seule maladie ayant une incidence économique.</w:t>
      </w:r>
    </w:p>
    <w:p w14:paraId="452DDDEA" w14:textId="77777777" w:rsidR="008D2C3C" w:rsidRDefault="008D2C3C" w:rsidP="008D2C3C">
      <w:pPr>
        <w:spacing w:after="0" w:line="240" w:lineRule="auto"/>
        <w:jc w:val="both"/>
      </w:pPr>
      <w:r>
        <w:t>Le figuier peut être cultivé sur une large gamme de sols, sable aride et pauvre, riche limon, argile lourde ou calcaire, pourvu qu'il y ait suffisamment de profondeur, de drainage et de nourriture. Le sol sablonneux demi-sec contenant une bonne dose de chaux est idéal lorsque la récolte est destinée au séchage. Les sols très acides ne sont pas adaptés. Le pH doit être compris entre 6,0 et 6,5. L'arbre est assez tolérant à une salinité modérée7. Il se développe sauvage dans les zones sèches et ensoleillées, avec des sols profonds et frais, également dans les zones rocheuses, du niveau de la mer à 1.700 mètres.</w:t>
      </w:r>
    </w:p>
    <w:p w14:paraId="0BA73161" w14:textId="77777777" w:rsidR="008D2C3C" w:rsidRDefault="008D2C3C" w:rsidP="008D2C3C">
      <w:pPr>
        <w:spacing w:after="0" w:line="240" w:lineRule="auto"/>
        <w:jc w:val="both"/>
      </w:pPr>
      <w:r>
        <w:lastRenderedPageBreak/>
        <w:t>Les racines du figuier étant souvent peu profondes, il faut éviter de travailler le sol au pied de l'arbre et procéder à un paillage en été pour conserver l'humidité du sol. Le paillage permet également de réduire la sensibilité aux nématodes.</w:t>
      </w:r>
    </w:p>
    <w:p w14:paraId="281E1029" w14:textId="77777777" w:rsidR="008D2C3C" w:rsidRDefault="008D2C3C" w:rsidP="008D2C3C">
      <w:pPr>
        <w:spacing w:after="0" w:line="240" w:lineRule="auto"/>
        <w:jc w:val="both"/>
      </w:pPr>
      <w:r>
        <w:t>Le figuier commun se bouture très facilement en prélevant durant l'hiver des rameaux d'une vingtaine de cm de long de 2 ou 3 ans d'âge soit environ 1 cm de diamètre (ou à défaut un rameau avec bourgeon terminal intact mais le taux de réussite sera alors plus faible) qu'on plante tel quel dans un substrat maintenu humide et au chaud12. On peut aussi le multiplier par semis.</w:t>
      </w:r>
    </w:p>
    <w:p w14:paraId="245EB808" w14:textId="77777777" w:rsidR="008D2C3C" w:rsidRDefault="008D2C3C" w:rsidP="008D2C3C">
      <w:pPr>
        <w:spacing w:after="0" w:line="240" w:lineRule="auto"/>
        <w:jc w:val="both"/>
      </w:pPr>
      <w:r w:rsidRPr="008D2C3C">
        <w:rPr>
          <w:u w:val="single"/>
        </w:rPr>
        <w:t>Note</w:t>
      </w:r>
      <w:r>
        <w:t xml:space="preserve"> : Le genre Figuier (Ficus) représente près de 600 espèces, la plupart tropicales.</w:t>
      </w:r>
    </w:p>
    <w:p w14:paraId="46B801F2" w14:textId="1AB07EA3" w:rsidR="00000A55" w:rsidRDefault="008D2C3C" w:rsidP="008D2C3C">
      <w:pPr>
        <w:spacing w:after="0" w:line="240" w:lineRule="auto"/>
        <w:jc w:val="both"/>
      </w:pPr>
      <w:r>
        <w:t xml:space="preserve">Sources : a) </w:t>
      </w:r>
      <w:hyperlink r:id="rId531" w:history="1">
        <w:r w:rsidRPr="00640788">
          <w:rPr>
            <w:rStyle w:val="Lienhypertexte"/>
          </w:rPr>
          <w:t>http://fr.wikipedia.org/wiki/Ficus_carica</w:t>
        </w:r>
      </w:hyperlink>
      <w:r>
        <w:t xml:space="preserve">, b) </w:t>
      </w:r>
      <w:hyperlink r:id="rId532" w:history="1">
        <w:r w:rsidRPr="00640788">
          <w:rPr>
            <w:rStyle w:val="Lienhypertexte"/>
          </w:rPr>
          <w:t>http://en.wikipedia.org/wiki/Common_fig</w:t>
        </w:r>
      </w:hyperlink>
      <w:r>
        <w:t xml:space="preserve"> </w:t>
      </w:r>
    </w:p>
    <w:p w14:paraId="7FF6FAFE" w14:textId="66E9A171" w:rsidR="00A44ACA" w:rsidRDefault="00A44ACA" w:rsidP="008D2C3C">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36"/>
        <w:gridCol w:w="2526"/>
        <w:gridCol w:w="2163"/>
        <w:gridCol w:w="3191"/>
      </w:tblGrid>
      <w:tr w:rsidR="00D4227E" w14:paraId="0A26D0B2" w14:textId="77777777" w:rsidTr="00CE5869">
        <w:tc>
          <w:tcPr>
            <w:tcW w:w="2536" w:type="dxa"/>
          </w:tcPr>
          <w:p w14:paraId="0149DF86" w14:textId="77777777" w:rsidR="00D4227E" w:rsidRDefault="00D4227E" w:rsidP="00CE5869">
            <w:pPr>
              <w:jc w:val="center"/>
            </w:pPr>
            <w:r w:rsidRPr="00D4227E">
              <w:rPr>
                <w:noProof/>
              </w:rPr>
              <w:drawing>
                <wp:inline distT="0" distB="0" distL="0" distR="0" wp14:anchorId="0E20E6B4" wp14:editId="1F3F370C">
                  <wp:extent cx="1473200" cy="1104900"/>
                  <wp:effectExtent l="0" t="0" r="0" b="0"/>
                  <wp:docPr id="48135" name="Picture 6" descr="C:\Users\LISAN\Pictures\plantes-halophytes-xerophiles\ficus caric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35" name="Picture 6" descr="C:\Users\LISAN\Pictures\plantes-halophytes-xerophiles\ficus carica4.jpg"/>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1473200" cy="1104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2526" w:type="dxa"/>
          </w:tcPr>
          <w:p w14:paraId="0A10C5B0" w14:textId="77777777" w:rsidR="00D4227E" w:rsidRDefault="00D4227E" w:rsidP="00CE5869">
            <w:pPr>
              <w:jc w:val="center"/>
            </w:pPr>
            <w:r w:rsidRPr="00D4227E">
              <w:rPr>
                <w:noProof/>
              </w:rPr>
              <w:drawing>
                <wp:inline distT="0" distB="0" distL="0" distR="0" wp14:anchorId="572F8EEA" wp14:editId="568A92C1">
                  <wp:extent cx="1458913" cy="1092200"/>
                  <wp:effectExtent l="0" t="0" r="8255" b="0"/>
                  <wp:docPr id="48136" name="Picture 7" descr="C:\Users\LISAN\Pictures\plantes-halophytes-xerophiles\ficus car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36" name="Picture 7" descr="C:\Users\LISAN\Pictures\plantes-halophytes-xerophiles\ficus carica.jpg"/>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1458913" cy="1092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2163" w:type="dxa"/>
          </w:tcPr>
          <w:p w14:paraId="407CB8A5" w14:textId="77777777" w:rsidR="00D4227E" w:rsidRDefault="00D4227E" w:rsidP="00CE5869">
            <w:pPr>
              <w:jc w:val="center"/>
            </w:pPr>
            <w:r w:rsidRPr="00D4227E">
              <w:rPr>
                <w:noProof/>
              </w:rPr>
              <w:drawing>
                <wp:inline distT="0" distB="0" distL="0" distR="0" wp14:anchorId="1D2CD799" wp14:editId="5C57C81F">
                  <wp:extent cx="1033462" cy="1104900"/>
                  <wp:effectExtent l="0" t="0" r="0" b="0"/>
                  <wp:docPr id="48137" name="Picture 8" descr="C:\Users\LISAN\Pictures\plantes-halophytes-xerophiles\ficus caric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37" name="Picture 8" descr="C:\Users\LISAN\Pictures\plantes-halophytes-xerophiles\ficus carica2.jpg"/>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1033462" cy="1104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191" w:type="dxa"/>
          </w:tcPr>
          <w:p w14:paraId="0BC470C4" w14:textId="77777777" w:rsidR="00D4227E" w:rsidRDefault="00D4227E" w:rsidP="00CE5869">
            <w:pPr>
              <w:jc w:val="center"/>
            </w:pPr>
            <w:r w:rsidRPr="00D4227E">
              <w:rPr>
                <w:noProof/>
              </w:rPr>
              <w:drawing>
                <wp:inline distT="0" distB="0" distL="0" distR="0" wp14:anchorId="2EA5284D" wp14:editId="1107E00D">
                  <wp:extent cx="1747838" cy="1308100"/>
                  <wp:effectExtent l="0" t="0" r="5080" b="6350"/>
                  <wp:docPr id="48138" name="Picture 9" descr="C:\Users\LISAN\Pictures\plantes-halophytes-xerophiles\ficus caric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38" name="Picture 9" descr="C:\Users\LISAN\Pictures\plantes-halophytes-xerophiles\ficus carica3.jpg"/>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1747838" cy="1308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6699734A" w14:textId="463B8235" w:rsidR="00A44ACA" w:rsidRDefault="00A44ACA" w:rsidP="00D4227E">
      <w:pPr>
        <w:spacing w:after="0" w:line="240" w:lineRule="auto"/>
      </w:pPr>
    </w:p>
    <w:p w14:paraId="73FF12CD" w14:textId="0CDD7278" w:rsidR="00712B74" w:rsidRDefault="005C50C9" w:rsidP="00B655B6">
      <w:pPr>
        <w:pStyle w:val="Titre2"/>
      </w:pPr>
      <w:bookmarkStart w:id="63" w:name="_Toc139181354"/>
      <w:r w:rsidRPr="005C50C9">
        <w:t>Figuier sycomore (</w:t>
      </w:r>
      <w:r w:rsidRPr="005C50C9">
        <w:rPr>
          <w:i/>
          <w:iCs/>
        </w:rPr>
        <w:t>Ficus sycomorus</w:t>
      </w:r>
      <w:r w:rsidRPr="005C50C9">
        <w:t>)</w:t>
      </w:r>
      <w:bookmarkEnd w:id="63"/>
    </w:p>
    <w:p w14:paraId="023FB0A2" w14:textId="77777777" w:rsidR="005C50C9" w:rsidRDefault="005C50C9" w:rsidP="00D4227E">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5"/>
        <w:gridCol w:w="2212"/>
        <w:gridCol w:w="1645"/>
        <w:gridCol w:w="415"/>
        <w:gridCol w:w="1379"/>
      </w:tblGrid>
      <w:tr w:rsidR="005C50C9" w:rsidRPr="000B6BE3" w14:paraId="1491553F" w14:textId="77777777" w:rsidTr="005C50C9">
        <w:tc>
          <w:tcPr>
            <w:tcW w:w="4775" w:type="dxa"/>
          </w:tcPr>
          <w:p w14:paraId="2A9D5233" w14:textId="77777777" w:rsidR="005C50C9" w:rsidRPr="000B6BE3" w:rsidRDefault="005C50C9" w:rsidP="00CE5869">
            <w:pPr>
              <w:rPr>
                <w:rFonts w:cstheme="minorHAnsi"/>
                <w:bCs/>
              </w:rPr>
            </w:pPr>
            <w:r w:rsidRPr="000B6BE3">
              <w:rPr>
                <w:rFonts w:cstheme="minorHAnsi"/>
                <w:bCs/>
              </w:rPr>
              <w:t>(</w:t>
            </w:r>
            <w:hyperlink r:id="rId537" w:history="1">
              <w:r w:rsidRPr="000B6BE3">
                <w:rPr>
                  <w:rFonts w:cstheme="minorHAnsi"/>
                </w:rPr>
                <w:t>F</w:t>
              </w:r>
              <w:r w:rsidRPr="000B6BE3">
                <w:rPr>
                  <w:rStyle w:val="Lienhypertexte"/>
                  <w:rFonts w:cstheme="minorHAnsi"/>
                  <w:color w:val="0B0080"/>
                  <w:shd w:val="clear" w:color="auto" w:fill="FFFFFF"/>
                </w:rPr>
                <w:t>amille</w:t>
              </w:r>
            </w:hyperlink>
            <w:r w:rsidRPr="000B6BE3">
              <w:rPr>
                <w:rFonts w:cstheme="minorHAnsi"/>
                <w:color w:val="222222"/>
                <w:shd w:val="clear" w:color="auto" w:fill="FFFFFF"/>
              </w:rPr>
              <w:t> des</w:t>
            </w:r>
            <w:r>
              <w:rPr>
                <w:rFonts w:cstheme="minorHAnsi"/>
                <w:color w:val="222222"/>
                <w:shd w:val="clear" w:color="auto" w:fill="FFFFFF"/>
              </w:rPr>
              <w:t xml:space="preserve"> </w:t>
            </w:r>
            <w:hyperlink r:id="rId538" w:history="1">
              <w:r w:rsidRPr="00A44ACA">
                <w:rPr>
                  <w:rStyle w:val="Lienhypertexte"/>
                  <w:rFonts w:ascii="Calibri" w:hAnsi="Calibri" w:cs="Calibri"/>
                  <w:i/>
                  <w:iCs/>
                  <w:color w:val="1A0DAB"/>
                  <w:shd w:val="clear" w:color="auto" w:fill="FFFFFF"/>
                </w:rPr>
                <w:t>Moraceae</w:t>
              </w:r>
            </w:hyperlink>
            <w:r w:rsidRPr="000B6BE3">
              <w:rPr>
                <w:rFonts w:cstheme="minorHAnsi"/>
                <w:bCs/>
              </w:rPr>
              <w:t>)</w:t>
            </w:r>
          </w:p>
          <w:p w14:paraId="70674059" w14:textId="77777777" w:rsidR="005C50C9" w:rsidRPr="000B6BE3" w:rsidRDefault="005C50C9" w:rsidP="00CE5869">
            <w:pPr>
              <w:rPr>
                <w:rFonts w:cstheme="minorHAnsi"/>
              </w:rPr>
            </w:pPr>
          </w:p>
        </w:tc>
        <w:tc>
          <w:tcPr>
            <w:tcW w:w="2212" w:type="dxa"/>
          </w:tcPr>
          <w:p w14:paraId="441C7DA9" w14:textId="443186BA" w:rsidR="005C50C9" w:rsidRPr="000B6BE3" w:rsidRDefault="005C50C9" w:rsidP="00CE5869">
            <w:pPr>
              <w:rPr>
                <w:rFonts w:cstheme="minorHAnsi"/>
              </w:rPr>
            </w:pPr>
            <w:r w:rsidRPr="000B6BE3">
              <w:rPr>
                <w:rFonts w:cstheme="minorHAnsi"/>
                <w:noProof/>
              </w:rPr>
              <w:t xml:space="preserve">  </w:t>
            </w:r>
            <w:r>
              <w:rPr>
                <w:rFonts w:cstheme="minorHAnsi"/>
                <w:noProof/>
              </w:rPr>
              <w:t xml:space="preserve">   </w:t>
            </w:r>
            <w:r w:rsidRPr="008F2681">
              <w:rPr>
                <w:rFonts w:cstheme="minorHAnsi"/>
                <w:noProof/>
              </w:rPr>
              <w:drawing>
                <wp:inline distT="0" distB="0" distL="0" distR="0" wp14:anchorId="26800045" wp14:editId="17971B41">
                  <wp:extent cx="463550" cy="661988"/>
                  <wp:effectExtent l="0" t="0" r="0" b="5080"/>
                  <wp:docPr id="44042"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r w:rsidRPr="005C50C9">
              <w:rPr>
                <w:rFonts w:cstheme="minorHAnsi"/>
                <w:noProof/>
              </w:rPr>
              <w:drawing>
                <wp:inline distT="0" distB="0" distL="0" distR="0" wp14:anchorId="0572E0AA" wp14:editId="2321824C">
                  <wp:extent cx="495300" cy="666750"/>
                  <wp:effectExtent l="0" t="0" r="0" b="0"/>
                  <wp:docPr id="49168" name="Image 15"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8" name="Image 15" descr="logo aride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w:t>
            </w:r>
          </w:p>
        </w:tc>
        <w:tc>
          <w:tcPr>
            <w:tcW w:w="1645" w:type="dxa"/>
          </w:tcPr>
          <w:p w14:paraId="140D8275" w14:textId="35C0FAD1" w:rsidR="005C50C9" w:rsidRPr="000B6BE3" w:rsidRDefault="005C50C9" w:rsidP="00CE5869">
            <w:pPr>
              <w:textAlignment w:val="baseline"/>
              <w:rPr>
                <w:rFonts w:cstheme="minorHAnsi"/>
              </w:rPr>
            </w:pPr>
            <w:r w:rsidRPr="00D1445E">
              <w:rPr>
                <w:rFonts w:eastAsia="+mn-ea" w:cstheme="minorHAnsi"/>
                <w:b/>
                <w:bCs/>
                <w:color w:val="008000"/>
                <w:kern w:val="24"/>
                <w:sz w:val="56"/>
                <w:szCs w:val="56"/>
              </w:rPr>
              <w:t>U</w:t>
            </w:r>
          </w:p>
        </w:tc>
        <w:tc>
          <w:tcPr>
            <w:tcW w:w="415" w:type="dxa"/>
          </w:tcPr>
          <w:p w14:paraId="65526F9C" w14:textId="77777777" w:rsidR="005C50C9" w:rsidRPr="000B6BE3" w:rsidRDefault="005C50C9" w:rsidP="00CE5869">
            <w:pPr>
              <w:rPr>
                <w:rFonts w:cstheme="minorHAnsi"/>
              </w:rPr>
            </w:pPr>
          </w:p>
        </w:tc>
        <w:tc>
          <w:tcPr>
            <w:tcW w:w="1379" w:type="dxa"/>
          </w:tcPr>
          <w:p w14:paraId="26909ADA" w14:textId="77777777" w:rsidR="005C50C9" w:rsidRPr="000B6BE3" w:rsidRDefault="005C50C9" w:rsidP="00CE5869">
            <w:pPr>
              <w:rPr>
                <w:rFonts w:cstheme="minorHAnsi"/>
              </w:rPr>
            </w:pPr>
          </w:p>
        </w:tc>
      </w:tr>
    </w:tbl>
    <w:p w14:paraId="4C08378A" w14:textId="77777777" w:rsidR="005C50C9" w:rsidRDefault="005C50C9" w:rsidP="005C50C9">
      <w:pPr>
        <w:spacing w:after="0" w:line="240" w:lineRule="auto"/>
        <w:jc w:val="both"/>
      </w:pPr>
      <w:r>
        <w:t xml:space="preserve">Cet arbre (famille des moracées), mesurant jusqu'à 20 m de haut et 6 m de large, pousse du Sénégal au Nord Est de l'Afrique du Sud, dans la péninsule Arabique et certaines régions de Madagascar, à l'exclusion des régions tropicales humides. </w:t>
      </w:r>
    </w:p>
    <w:p w14:paraId="724781B2" w14:textId="3F017079" w:rsidR="005C50C9" w:rsidRDefault="005C50C9" w:rsidP="005C50C9">
      <w:pPr>
        <w:spacing w:after="0" w:line="240" w:lineRule="auto"/>
        <w:jc w:val="both"/>
      </w:pPr>
      <w:r>
        <w:t xml:space="preserve">Ses figues comestibles, de 2 à 3 cm de diamètre, passant du vert au jaune rosé, poussent en grappe tout au long de l'année.  Mais elles sont souvent remplies d'insectes. </w:t>
      </w:r>
    </w:p>
    <w:p w14:paraId="3C477E54" w14:textId="77777777" w:rsidR="005C50C9" w:rsidRDefault="005C50C9" w:rsidP="005C50C9">
      <w:pPr>
        <w:spacing w:after="0" w:line="240" w:lineRule="auto"/>
        <w:jc w:val="both"/>
      </w:pPr>
      <w:r>
        <w:t>Une guêpe </w:t>
      </w:r>
      <w:r w:rsidRPr="005C50C9">
        <w:rPr>
          <w:i/>
          <w:iCs/>
        </w:rPr>
        <w:t>Ceratosolen arabicus</w:t>
      </w:r>
      <w:r>
        <w:t>, vivant en symbiose dans son fruit, l’aide à se reproduire sexuellement. Dans les zones tropicales, où la guêpe est commune, des mini-écosystèmes complexes, impliquant la guêpe, les nématodes, les autres guêpes parasites, et divers grands prédateurs, tournent autour du cycle de vie de la figue.</w:t>
      </w:r>
    </w:p>
    <w:p w14:paraId="1DC62F50" w14:textId="77777777" w:rsidR="005C50C9" w:rsidRDefault="005C50C9" w:rsidP="005C50C9">
      <w:pPr>
        <w:spacing w:after="0" w:line="240" w:lineRule="auto"/>
        <w:jc w:val="both"/>
      </w:pPr>
      <w:r>
        <w:t xml:space="preserve">Les fruits comme les feuilles peuvent servir d'alimentation pour le bétail en améliorant la production de lait. </w:t>
      </w:r>
    </w:p>
    <w:p w14:paraId="5711DEE3" w14:textId="77777777" w:rsidR="005C50C9" w:rsidRDefault="005C50C9" w:rsidP="005C50C9">
      <w:pPr>
        <w:spacing w:after="0" w:line="240" w:lineRule="auto"/>
        <w:jc w:val="both"/>
      </w:pPr>
      <w:r>
        <w:t xml:space="preserve">Il a un port étalé donnant une ombre appréciée dans les pays chauds. </w:t>
      </w:r>
    </w:p>
    <w:p w14:paraId="63A08799" w14:textId="77777777" w:rsidR="005C50C9" w:rsidRDefault="005C50C9" w:rsidP="005C50C9">
      <w:pPr>
        <w:spacing w:after="0" w:line="240" w:lineRule="auto"/>
        <w:jc w:val="both"/>
      </w:pPr>
      <w:r>
        <w:t>Le figuier sycomore se propage bien par bouture classique ou même par large tronçon.</w:t>
      </w:r>
    </w:p>
    <w:p w14:paraId="207EF052" w14:textId="7FF0EECA" w:rsidR="005C50C9" w:rsidRDefault="005C50C9" w:rsidP="005C50C9">
      <w:pPr>
        <w:spacing w:after="0" w:line="240" w:lineRule="auto"/>
        <w:jc w:val="both"/>
      </w:pPr>
      <w:r>
        <w:t>Dans son habitat d’origine, l’arbre pousse généralement sur des sols riches, le long des rivières et dans les forêts mixtes.</w:t>
      </w:r>
    </w:p>
    <w:p w14:paraId="5905AACD" w14:textId="790BE7DF" w:rsidR="000420E8" w:rsidRDefault="000420E8" w:rsidP="005C50C9">
      <w:pPr>
        <w:spacing w:after="0" w:line="240" w:lineRule="auto"/>
        <w:jc w:val="both"/>
      </w:pPr>
      <w:r w:rsidRPr="00912A70">
        <w:rPr>
          <w:u w:val="single"/>
        </w:rPr>
        <w:t>Note</w:t>
      </w:r>
      <w:r>
        <w:t xml:space="preserve"> : </w:t>
      </w:r>
      <w:r w:rsidRPr="000420E8">
        <w:t>Pas d’indication dans la littérature sur sa résistance au sel (?).</w:t>
      </w:r>
    </w:p>
    <w:p w14:paraId="58CB498D" w14:textId="20BCCFB5" w:rsidR="000420E8" w:rsidRDefault="000420E8" w:rsidP="005C50C9">
      <w:pPr>
        <w:spacing w:after="0" w:line="240" w:lineRule="auto"/>
        <w:jc w:val="both"/>
      </w:pPr>
      <w:r w:rsidRPr="00912A70">
        <w:rPr>
          <w:u w:val="single"/>
        </w:rPr>
        <w:t>Suggestion</w:t>
      </w:r>
      <w:r>
        <w:t xml:space="preserve"> : </w:t>
      </w:r>
      <w:r w:rsidRPr="000420E8">
        <w:t>On pourrait faire pousser les figuiers dans les limans.</w:t>
      </w:r>
    </w:p>
    <w:p w14:paraId="40D6374E" w14:textId="62A06E83" w:rsidR="005C50C9" w:rsidRDefault="005C50C9" w:rsidP="005C50C9">
      <w:pPr>
        <w:spacing w:after="0" w:line="240" w:lineRule="auto"/>
        <w:jc w:val="both"/>
      </w:pPr>
      <w:r>
        <w:t xml:space="preserve">Sources : a) </w:t>
      </w:r>
      <w:hyperlink r:id="rId539" w:history="1">
        <w:r w:rsidRPr="00640788">
          <w:rPr>
            <w:rStyle w:val="Lienhypertexte"/>
          </w:rPr>
          <w:t>http://fr.wikipedia.org/wiki/Figuier_sycomore</w:t>
        </w:r>
      </w:hyperlink>
      <w:r>
        <w:t xml:space="preserve">, b) </w:t>
      </w:r>
      <w:hyperlink r:id="rId540" w:history="1">
        <w:r w:rsidRPr="00640788">
          <w:rPr>
            <w:rStyle w:val="Lienhypertexte"/>
          </w:rPr>
          <w:t>http://en.wikipedia.org/wiki/Ficus_sycomorus</w:t>
        </w:r>
      </w:hyperlink>
      <w:r>
        <w:t xml:space="preserve">  </w:t>
      </w:r>
    </w:p>
    <w:p w14:paraId="490FF6C9" w14:textId="3544AA99" w:rsidR="00712B74" w:rsidRDefault="005C50C9" w:rsidP="005C50C9">
      <w:pPr>
        <w:spacing w:after="0" w:line="240" w:lineRule="auto"/>
        <w:jc w:val="both"/>
      </w:pPr>
      <w:r>
        <w:t xml:space="preserve">c) </w:t>
      </w:r>
      <w:hyperlink r:id="rId541" w:history="1">
        <w:r w:rsidRPr="00640788">
          <w:rPr>
            <w:rStyle w:val="Lienhypertexte"/>
          </w:rPr>
          <w:t>http://www.worldagroforestry.org/treedb2/AFTPDFS/Ficus_sycomorus.pdf</w:t>
        </w:r>
      </w:hyperlink>
      <w:r>
        <w:t xml:space="preserve"> </w:t>
      </w:r>
    </w:p>
    <w:p w14:paraId="265184DA" w14:textId="476304E2" w:rsidR="005C50C9" w:rsidRDefault="005C50C9" w:rsidP="005C50C9">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31"/>
        <w:gridCol w:w="3398"/>
        <w:gridCol w:w="3197"/>
      </w:tblGrid>
      <w:tr w:rsidR="000420E8" w14:paraId="541A2B22" w14:textId="77777777" w:rsidTr="00912A70">
        <w:tc>
          <w:tcPr>
            <w:tcW w:w="3472" w:type="dxa"/>
          </w:tcPr>
          <w:p w14:paraId="041AB7AF" w14:textId="77777777" w:rsidR="000420E8" w:rsidRDefault="00912A70" w:rsidP="000420E8">
            <w:pPr>
              <w:jc w:val="center"/>
            </w:pPr>
            <w:r w:rsidRPr="00912A70">
              <w:rPr>
                <w:noProof/>
              </w:rPr>
              <w:lastRenderedPageBreak/>
              <w:drawing>
                <wp:inline distT="0" distB="0" distL="0" distR="0" wp14:anchorId="015EDE92" wp14:editId="2F8D3F3D">
                  <wp:extent cx="2376487" cy="1662113"/>
                  <wp:effectExtent l="0" t="0" r="5080" b="0"/>
                  <wp:docPr id="49163" name="Picture 11" descr="C:\Users\LISAN\Pictures\plantes-halophytes-xerophiles\Ficus-Sycomorus_in_Ethi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3" name="Picture 11" descr="C:\Users\LISAN\Pictures\plantes-halophytes-xerophiles\Ficus-Sycomorus_in_Ethiopia.jpg"/>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2376487" cy="16621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29D5FCF" w14:textId="0A83FA01" w:rsidR="00912A70" w:rsidRDefault="00912A70" w:rsidP="000420E8">
            <w:pPr>
              <w:jc w:val="center"/>
            </w:pPr>
          </w:p>
        </w:tc>
        <w:tc>
          <w:tcPr>
            <w:tcW w:w="3472" w:type="dxa"/>
          </w:tcPr>
          <w:p w14:paraId="3A714916" w14:textId="667C09AF" w:rsidR="000420E8" w:rsidRDefault="00912A70" w:rsidP="000420E8">
            <w:pPr>
              <w:jc w:val="center"/>
            </w:pPr>
            <w:r w:rsidRPr="00912A70">
              <w:rPr>
                <w:noProof/>
              </w:rPr>
              <w:drawing>
                <wp:inline distT="0" distB="0" distL="0" distR="0" wp14:anchorId="4623AC21" wp14:editId="618F420E">
                  <wp:extent cx="2087562" cy="1314450"/>
                  <wp:effectExtent l="0" t="0" r="8255" b="0"/>
                  <wp:docPr id="49160" name="Picture 8" descr="C:\Users\LISAN\Pictures\plantes-halophytes-xerophiles\Ficus sycomoru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0" name="Picture 8" descr="C:\Users\LISAN\Pictures\plantes-halophytes-xerophiles\Ficus sycomorus2.jpg"/>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2087562" cy="1314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270DB65F" w14:textId="2B5BE622" w:rsidR="000420E8" w:rsidRDefault="00912A70" w:rsidP="000420E8">
            <w:pPr>
              <w:jc w:val="center"/>
            </w:pPr>
            <w:r w:rsidRPr="00912A70">
              <w:rPr>
                <w:noProof/>
              </w:rPr>
              <w:drawing>
                <wp:inline distT="0" distB="0" distL="0" distR="0" wp14:anchorId="7F98794B" wp14:editId="17723560">
                  <wp:extent cx="1963737" cy="1470025"/>
                  <wp:effectExtent l="0" t="0" r="0" b="0"/>
                  <wp:docPr id="49161" name="Picture 9" descr="C:\Users\LISAN\Pictures\plantes-halophytes-xerophiles\Ficus sycomoru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1" name="Picture 9" descr="C:\Users\LISAN\Pictures\plantes-halophytes-xerophiles\Ficus sycomorus3.jpg"/>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1963737" cy="147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0420E8" w14:paraId="4DC1C7CA" w14:textId="77777777" w:rsidTr="00912A70">
        <w:tc>
          <w:tcPr>
            <w:tcW w:w="3472" w:type="dxa"/>
          </w:tcPr>
          <w:p w14:paraId="0AF5A247" w14:textId="20513AAF" w:rsidR="000420E8" w:rsidRDefault="00912A70" w:rsidP="000420E8">
            <w:pPr>
              <w:jc w:val="center"/>
            </w:pPr>
            <w:r w:rsidRPr="00912A70">
              <w:rPr>
                <w:noProof/>
              </w:rPr>
              <w:drawing>
                <wp:inline distT="0" distB="0" distL="0" distR="0" wp14:anchorId="67450544" wp14:editId="5DE7FCA9">
                  <wp:extent cx="2078037" cy="1382712"/>
                  <wp:effectExtent l="0" t="0" r="0" b="8255"/>
                  <wp:docPr id="49159" name="Picture 6" descr="C:\Users\LISAN\Pictures\plantes-halophytes-xerophiles\Ficus sycomoru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59" name="Picture 6" descr="C:\Users\LISAN\Pictures\plantes-halophytes-xerophiles\Ficus sycomorus5.jpg"/>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2078037" cy="13827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0C5F38FD" w14:textId="2A32FAB0" w:rsidR="000420E8" w:rsidRDefault="00912A70" w:rsidP="000420E8">
            <w:pPr>
              <w:jc w:val="center"/>
            </w:pPr>
            <w:r w:rsidRPr="00912A70">
              <w:rPr>
                <w:noProof/>
              </w:rPr>
              <w:drawing>
                <wp:inline distT="0" distB="0" distL="0" distR="0" wp14:anchorId="00C7EF28" wp14:editId="112E945F">
                  <wp:extent cx="1944688" cy="1557337"/>
                  <wp:effectExtent l="0" t="0" r="0" b="5080"/>
                  <wp:docPr id="49162" name="Picture 10" descr="C:\Users\LISAN\Pictures\plantes-halophytes-xerophiles\Ficus sycomoru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2" name="Picture 10" descr="C:\Users\LISAN\Pictures\plantes-halophytes-xerophiles\Ficus sycomorus4.jpg"/>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944688" cy="15573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3C1A086B" w14:textId="18DF7233" w:rsidR="000420E8" w:rsidRDefault="00912A70" w:rsidP="000420E8">
            <w:pPr>
              <w:jc w:val="center"/>
            </w:pPr>
            <w:r w:rsidRPr="00912A70">
              <w:rPr>
                <w:noProof/>
              </w:rPr>
              <w:drawing>
                <wp:inline distT="0" distB="0" distL="0" distR="0" wp14:anchorId="4F2CC021" wp14:editId="02D39546">
                  <wp:extent cx="1079500" cy="1441450"/>
                  <wp:effectExtent l="0" t="0" r="6350" b="6350"/>
                  <wp:docPr id="49164" name="Picture 12" descr="C:\Users\LISAN\Pictures\plantes-halophytes-xerophiles\Ficus-Sycamorus_frui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4" name="Picture 12" descr="C:\Users\LISAN\Pictures\plantes-halophytes-xerophiles\Ficus-Sycamorus_fruits.jpg"/>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1079500" cy="1441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3CBF2D97" w14:textId="77777777" w:rsidR="000420E8" w:rsidRDefault="000420E8" w:rsidP="000420E8">
      <w:pPr>
        <w:spacing w:after="0" w:line="240" w:lineRule="auto"/>
        <w:jc w:val="center"/>
      </w:pPr>
    </w:p>
    <w:p w14:paraId="2F4014B3" w14:textId="77777777" w:rsidR="000420E8" w:rsidRDefault="000420E8" w:rsidP="00B655B6">
      <w:pPr>
        <w:pStyle w:val="Titre2"/>
      </w:pPr>
      <w:bookmarkStart w:id="64" w:name="_Toc139181355"/>
      <w:r>
        <w:t>Dattier du désert (</w:t>
      </w:r>
      <w:r w:rsidRPr="000420E8">
        <w:rPr>
          <w:i/>
          <w:iCs/>
        </w:rPr>
        <w:t>Balanites aegyptiaca</w:t>
      </w:r>
      <w:r>
        <w:t>)</w:t>
      </w:r>
      <w:bookmarkEnd w:id="64"/>
    </w:p>
    <w:p w14:paraId="4866F057" w14:textId="005E438E" w:rsidR="000420E8" w:rsidRDefault="000420E8" w:rsidP="000420E8">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9"/>
        <w:gridCol w:w="2135"/>
        <w:gridCol w:w="1234"/>
        <w:gridCol w:w="1701"/>
        <w:gridCol w:w="787"/>
      </w:tblGrid>
      <w:tr w:rsidR="000420E8" w:rsidRPr="000B6BE3" w14:paraId="746CD8F6" w14:textId="77777777" w:rsidTr="00F139A9">
        <w:tc>
          <w:tcPr>
            <w:tcW w:w="4569" w:type="dxa"/>
          </w:tcPr>
          <w:p w14:paraId="152C470E" w14:textId="489D4070" w:rsidR="000420E8" w:rsidRPr="000B6BE3" w:rsidRDefault="000420E8" w:rsidP="00CE5869">
            <w:pPr>
              <w:rPr>
                <w:rFonts w:cstheme="minorHAnsi"/>
                <w:bCs/>
              </w:rPr>
            </w:pPr>
            <w:r w:rsidRPr="000B6BE3">
              <w:rPr>
                <w:rFonts w:cstheme="minorHAnsi"/>
                <w:bCs/>
              </w:rPr>
              <w:t>(</w:t>
            </w:r>
            <w:hyperlink r:id="rId548" w:history="1">
              <w:r w:rsidRPr="000B6BE3">
                <w:rPr>
                  <w:rFonts w:cstheme="minorHAnsi"/>
                </w:rPr>
                <w:t>F</w:t>
              </w:r>
              <w:r w:rsidRPr="000B6BE3">
                <w:rPr>
                  <w:rStyle w:val="Lienhypertexte"/>
                  <w:rFonts w:cstheme="minorHAnsi"/>
                  <w:color w:val="0B0080"/>
                  <w:shd w:val="clear" w:color="auto" w:fill="FFFFFF"/>
                </w:rPr>
                <w:t>amille</w:t>
              </w:r>
            </w:hyperlink>
            <w:r w:rsidRPr="000B6BE3">
              <w:rPr>
                <w:rFonts w:cstheme="minorHAnsi"/>
                <w:color w:val="222222"/>
                <w:shd w:val="clear" w:color="auto" w:fill="FFFFFF"/>
              </w:rPr>
              <w:t> des</w:t>
            </w:r>
            <w:r>
              <w:rPr>
                <w:rFonts w:cstheme="minorHAnsi"/>
                <w:color w:val="222222"/>
                <w:shd w:val="clear" w:color="auto" w:fill="FFFFFF"/>
              </w:rPr>
              <w:t xml:space="preserve"> </w:t>
            </w:r>
            <w:hyperlink r:id="rId549" w:history="1">
              <w:r w:rsidR="0098588F" w:rsidRPr="0098588F">
                <w:rPr>
                  <w:rStyle w:val="Lienhypertexte"/>
                  <w:rFonts w:ascii="Calibri" w:hAnsi="Calibri" w:cs="Calibri"/>
                  <w:i/>
                  <w:iCs/>
                  <w:color w:val="1A0DAB"/>
                  <w:shd w:val="clear" w:color="auto" w:fill="FFFFFF"/>
                </w:rPr>
                <w:t>Zygophyllaceae</w:t>
              </w:r>
            </w:hyperlink>
            <w:r w:rsidRPr="000B6BE3">
              <w:rPr>
                <w:rFonts w:cstheme="minorHAnsi"/>
                <w:bCs/>
              </w:rPr>
              <w:t>)</w:t>
            </w:r>
          </w:p>
          <w:p w14:paraId="5EAEABDE" w14:textId="77777777" w:rsidR="000420E8" w:rsidRPr="000B6BE3" w:rsidRDefault="000420E8" w:rsidP="00CE5869">
            <w:pPr>
              <w:rPr>
                <w:rFonts w:cstheme="minorHAnsi"/>
              </w:rPr>
            </w:pPr>
          </w:p>
        </w:tc>
        <w:tc>
          <w:tcPr>
            <w:tcW w:w="2135" w:type="dxa"/>
          </w:tcPr>
          <w:p w14:paraId="6E043DEF" w14:textId="4B2A4024" w:rsidR="000420E8" w:rsidRPr="000B6BE3" w:rsidRDefault="000420E8" w:rsidP="00CE5869">
            <w:pPr>
              <w:rPr>
                <w:rFonts w:cstheme="minorHAnsi"/>
              </w:rPr>
            </w:pPr>
            <w:r w:rsidRPr="000B6BE3">
              <w:rPr>
                <w:rFonts w:cstheme="minorHAnsi"/>
                <w:noProof/>
              </w:rPr>
              <w:t xml:space="preserve">  </w:t>
            </w:r>
            <w:r>
              <w:rPr>
                <w:rFonts w:cstheme="minorHAnsi"/>
                <w:noProof/>
              </w:rPr>
              <w:t xml:space="preserve">    </w:t>
            </w:r>
            <w:r w:rsidRPr="005C50C9">
              <w:rPr>
                <w:rFonts w:cstheme="minorHAnsi"/>
                <w:noProof/>
              </w:rPr>
              <w:drawing>
                <wp:inline distT="0" distB="0" distL="0" distR="0" wp14:anchorId="3520D933" wp14:editId="48394AD3">
                  <wp:extent cx="495300" cy="666750"/>
                  <wp:effectExtent l="0" t="0" r="0" b="0"/>
                  <wp:docPr id="44044" name="Image 15"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8" name="Image 15" descr="logo aride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w:t>
            </w:r>
          </w:p>
        </w:tc>
        <w:tc>
          <w:tcPr>
            <w:tcW w:w="1234" w:type="dxa"/>
          </w:tcPr>
          <w:p w14:paraId="33C8F54F" w14:textId="1ECC4860" w:rsidR="000420E8" w:rsidRPr="000B6BE3" w:rsidRDefault="000420E8" w:rsidP="00CE5869">
            <w:pPr>
              <w:textAlignment w:val="baseline"/>
              <w:rPr>
                <w:rFonts w:cstheme="minorHAnsi"/>
              </w:rPr>
            </w:pPr>
            <w:r w:rsidRPr="00D1445E">
              <w:rPr>
                <w:rFonts w:eastAsia="+mn-ea" w:cstheme="minorHAnsi"/>
                <w:b/>
                <w:bCs/>
                <w:color w:val="008000"/>
                <w:kern w:val="24"/>
                <w:sz w:val="56"/>
                <w:szCs w:val="56"/>
              </w:rPr>
              <w:t>U</w:t>
            </w:r>
          </w:p>
        </w:tc>
        <w:tc>
          <w:tcPr>
            <w:tcW w:w="1701" w:type="dxa"/>
          </w:tcPr>
          <w:p w14:paraId="3F77985D" w14:textId="3B09756E" w:rsidR="000420E8" w:rsidRPr="000B6BE3" w:rsidRDefault="00F139A9" w:rsidP="00CE5869">
            <w:pPr>
              <w:rPr>
                <w:rFonts w:cstheme="minorHAnsi"/>
              </w:rPr>
            </w:pPr>
            <w:r w:rsidRPr="00853ED0">
              <w:rPr>
                <w:noProof/>
              </w:rPr>
              <w:drawing>
                <wp:inline distT="0" distB="0" distL="0" distR="0" wp14:anchorId="32F12324" wp14:editId="67DDF192">
                  <wp:extent cx="400050" cy="352425"/>
                  <wp:effectExtent l="0" t="0" r="0" b="9525"/>
                  <wp:docPr id="104468" name="Image 21">
                    <a:extLst xmlns:a="http://schemas.openxmlformats.org/drawingml/2006/main">
                      <a:ext uri="{FF2B5EF4-FFF2-40B4-BE49-F238E27FC236}">
                        <a16:creationId xmlns:a16="http://schemas.microsoft.com/office/drawing/2014/main" id="{F52353B3-AA67-41AB-ACE3-C9465695F4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3" name="Image 21">
                            <a:extLst>
                              <a:ext uri="{FF2B5EF4-FFF2-40B4-BE49-F238E27FC236}">
                                <a16:creationId xmlns:a16="http://schemas.microsoft.com/office/drawing/2014/main" id="{F52353B3-AA67-41AB-ACE3-C9465695F4BE}"/>
                              </a:ext>
                            </a:extLst>
                          </pic:cNvPr>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853ED0">
              <w:rPr>
                <w:noProof/>
              </w:rPr>
              <w:drawing>
                <wp:inline distT="0" distB="0" distL="0" distR="0" wp14:anchorId="74EAD526" wp14:editId="70000AFD">
                  <wp:extent cx="400050" cy="352425"/>
                  <wp:effectExtent l="0" t="0" r="0" b="9525"/>
                  <wp:docPr id="104469" name="Image 21">
                    <a:extLst xmlns:a="http://schemas.openxmlformats.org/drawingml/2006/main">
                      <a:ext uri="{FF2B5EF4-FFF2-40B4-BE49-F238E27FC236}">
                        <a16:creationId xmlns:a16="http://schemas.microsoft.com/office/drawing/2014/main" id="{F52353B3-AA67-41AB-ACE3-C9465695F4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3" name="Image 21">
                            <a:extLst>
                              <a:ext uri="{FF2B5EF4-FFF2-40B4-BE49-F238E27FC236}">
                                <a16:creationId xmlns:a16="http://schemas.microsoft.com/office/drawing/2014/main" id="{F52353B3-AA67-41AB-ACE3-C9465695F4BE}"/>
                              </a:ext>
                            </a:extLst>
                          </pic:cNvPr>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787" w:type="dxa"/>
          </w:tcPr>
          <w:p w14:paraId="6A1CF842" w14:textId="77777777" w:rsidR="000420E8" w:rsidRPr="000B6BE3" w:rsidRDefault="000420E8" w:rsidP="00CE5869">
            <w:pPr>
              <w:rPr>
                <w:rFonts w:cstheme="minorHAnsi"/>
              </w:rPr>
            </w:pPr>
          </w:p>
        </w:tc>
      </w:tr>
    </w:tbl>
    <w:p w14:paraId="712F9D52" w14:textId="77777777" w:rsidR="000420E8" w:rsidRDefault="000420E8" w:rsidP="000420E8">
      <w:pPr>
        <w:spacing w:after="0" w:line="240" w:lineRule="auto"/>
        <w:jc w:val="both"/>
      </w:pPr>
    </w:p>
    <w:p w14:paraId="301F273A" w14:textId="77777777" w:rsidR="000420E8" w:rsidRDefault="000420E8" w:rsidP="000420E8">
      <w:pPr>
        <w:spacing w:after="0" w:line="240" w:lineRule="auto"/>
        <w:jc w:val="both"/>
      </w:pPr>
      <w:r>
        <w:t xml:space="preserve">Cet Arbre à feuilles caduques, fixateur d’azote, </w:t>
      </w:r>
      <w:r w:rsidRPr="00F139A9">
        <w:rPr>
          <w:i/>
          <w:iCs/>
        </w:rPr>
        <w:t>très épineux</w:t>
      </w:r>
      <w:r>
        <w:t>, atteignant 8 m de haut, aux branches nombreuses, très ramifiées, est utilisé en agroforesterie.  </w:t>
      </w:r>
    </w:p>
    <w:p w14:paraId="3630ABF2" w14:textId="77777777" w:rsidR="000420E8" w:rsidRDefault="000420E8" w:rsidP="000420E8">
      <w:pPr>
        <w:spacing w:after="0" w:line="240" w:lineRule="auto"/>
        <w:jc w:val="both"/>
      </w:pPr>
      <w:r>
        <w:t>Il présente des adaptations morphologiques à la sécheresse : pubescence, sclérification, feuilles coriaces, rameaux chlorophylliens réduit à l'état d'épines de 2 à 7 cm, système racinaire double (un appareil racinaire superficiel étendu capte de manière très performante l'eau immédiatement après les précipitations dans un rayon de 20 mètres et un appareil racinaire profond puise dans les réserves du sol jusqu'à 7 mètres). Il peut survivre à de grandes sécheresses, telles celles de 1972-1973 et 1984-1985, jusqu'à deux ans en l'absence de précipitations. Il pousse lentement. Il sert aux haies vives.</w:t>
      </w:r>
    </w:p>
    <w:p w14:paraId="04412E85" w14:textId="4FE5CB94" w:rsidR="000420E8" w:rsidRDefault="000420E8" w:rsidP="000420E8">
      <w:pPr>
        <w:spacing w:after="0" w:line="240" w:lineRule="auto"/>
        <w:jc w:val="both"/>
      </w:pPr>
      <w:r>
        <w:t>L'homme le cultive au Sahel, en Égypte, au Soudan, en Arabie et en Inde. Il est commun au Sénégal et en Mauritanie.</w:t>
      </w:r>
    </w:p>
    <w:p w14:paraId="53A2625B" w14:textId="77777777" w:rsidR="000420E8" w:rsidRDefault="000420E8" w:rsidP="000420E8">
      <w:pPr>
        <w:spacing w:after="0" w:line="240" w:lineRule="auto"/>
        <w:jc w:val="both"/>
      </w:pPr>
      <w:r>
        <w:t>Il pousse bien en sol sablonneux et désertiques sur tout type de géomorphologie : dépressions, fond des vallées, plaines, et même montagnes. Il tolère une grande variété de types de sols, du sable à fortement argileux et des niveaux d'humidité allant d’aride à subhumide. Il est relativement tolérant aux inondations, à l'activité de l'élevage, et aux feux.</w:t>
      </w:r>
    </w:p>
    <w:p w14:paraId="17A42630" w14:textId="3DBFC10F" w:rsidR="000420E8" w:rsidRDefault="000420E8" w:rsidP="000420E8">
      <w:pPr>
        <w:spacing w:after="0" w:line="240" w:lineRule="auto"/>
        <w:jc w:val="both"/>
      </w:pPr>
      <w:r>
        <w:t>Ses feuilles sèches tombées (talufakt en tamasheq) et les fleurs (azakalkal en tamasheq) sont consommées par différents ruminants : dromadaires, chèvres et moutons, les éléphants … Il s'agit d'un excellent pâturage, très appétent.</w:t>
      </w:r>
    </w:p>
    <w:p w14:paraId="449855B2" w14:textId="77777777" w:rsidR="0098588F" w:rsidRDefault="0098588F" w:rsidP="000420E8">
      <w:pPr>
        <w:spacing w:after="0" w:line="240" w:lineRule="auto"/>
        <w:jc w:val="both"/>
      </w:pPr>
    </w:p>
    <w:p w14:paraId="0F59ACD9" w14:textId="62ED4C63" w:rsidR="000420E8" w:rsidRDefault="000420E8" w:rsidP="000420E8">
      <w:pPr>
        <w:spacing w:after="0" w:line="240" w:lineRule="auto"/>
        <w:jc w:val="both"/>
      </w:pPr>
      <w:r>
        <w:t xml:space="preserve">Le pouvoir germinatif des graines est augmenté après leur ingestion par une chèvre. </w:t>
      </w:r>
    </w:p>
    <w:p w14:paraId="7E48B727" w14:textId="750B86CA" w:rsidR="000420E8" w:rsidRDefault="000420E8" w:rsidP="000420E8">
      <w:pPr>
        <w:spacing w:after="0" w:line="240" w:lineRule="auto"/>
        <w:jc w:val="both"/>
      </w:pPr>
      <w:r>
        <w:t>La partie jaune du fruit, au goût sucré avec une pointe d</w:t>
      </w:r>
      <w:r w:rsidR="0098588F">
        <w:t>’</w:t>
      </w:r>
      <w:r>
        <w:t>amertume, est souvent consommé frais par succion, une fois débarrassé de son épicarpe. De l’huile alimentaire est également extraite des amandes. Au Mali, on fait également macérer le fruit pour produire une boisson, l</w:t>
      </w:r>
      <w:r w:rsidR="0098588F">
        <w:t>’</w:t>
      </w:r>
      <w:r>
        <w:t>asaborad et l</w:t>
      </w:r>
      <w:r w:rsidR="0098588F">
        <w:t>’</w:t>
      </w:r>
      <w:r>
        <w:t xml:space="preserve">amande contenue dans le noyau, </w:t>
      </w:r>
      <w:r>
        <w:lastRenderedPageBreak/>
        <w:t>appelée tandilba, est consommée après une longue cuisson. Les feuilles sont quant à elles séchées et réduites en une poudre utilisable dans différentes sauces.</w:t>
      </w:r>
    </w:p>
    <w:p w14:paraId="46A74775" w14:textId="46C34DD6" w:rsidR="000420E8" w:rsidRDefault="000420E8" w:rsidP="000420E8">
      <w:pPr>
        <w:spacing w:after="0" w:line="240" w:lineRule="auto"/>
        <w:jc w:val="both"/>
      </w:pPr>
      <w:r>
        <w:t>Le liquide obtenu en pressant le fruit est utilisé traditionnellement pour stimuler la production de lait des mères allaitantes, et les graines sont utilisés pour traiter des troubles digestifs. L</w:t>
      </w:r>
      <w:r w:rsidR="0098588F">
        <w:t>’</w:t>
      </w:r>
      <w:r>
        <w:t>huile est également utilisée pour soigner des problèmes cutanées.</w:t>
      </w:r>
    </w:p>
    <w:p w14:paraId="1A6D29C0" w14:textId="61B04640" w:rsidR="000420E8" w:rsidRDefault="000420E8" w:rsidP="000420E8">
      <w:pPr>
        <w:spacing w:after="0" w:line="240" w:lineRule="auto"/>
        <w:jc w:val="both"/>
      </w:pPr>
      <w:r>
        <w:t>Les graines et l’écorce de Balanites aegyptiaca ont des effets molluscicides sur l’escargot ​​</w:t>
      </w:r>
      <w:r w:rsidRPr="000420E8">
        <w:rPr>
          <w:i/>
          <w:iCs/>
        </w:rPr>
        <w:t>Biomphalaria pfeifferi</w:t>
      </w:r>
      <w:r>
        <w:t>.</w:t>
      </w:r>
    </w:p>
    <w:p w14:paraId="68E760D9" w14:textId="648FF066" w:rsidR="000420E8" w:rsidRDefault="000420E8" w:rsidP="000420E8">
      <w:pPr>
        <w:spacing w:after="0" w:line="240" w:lineRule="auto"/>
        <w:jc w:val="both"/>
      </w:pPr>
      <w:r>
        <w:t xml:space="preserve">Le bois jaune pâle à brunâtre est utilisé pour fabriquer des meubles et des outils. Il fournit un bon bois de feu et un bon charbon de bois. </w:t>
      </w:r>
    </w:p>
    <w:p w14:paraId="01066C39" w14:textId="4EE08D2E" w:rsidR="00912A70" w:rsidRDefault="00912A70" w:rsidP="000420E8">
      <w:pPr>
        <w:spacing w:after="0" w:line="240" w:lineRule="auto"/>
        <w:jc w:val="both"/>
      </w:pPr>
      <w:r w:rsidRPr="00912A70">
        <w:rPr>
          <w:u w:val="single"/>
        </w:rPr>
        <w:t>Note</w:t>
      </w:r>
      <w:r w:rsidR="0098588F">
        <w:t> </w:t>
      </w:r>
      <w:r w:rsidRPr="00912A70">
        <w:t>: Pas d’indication dans la littérature sur sa résistance au sel (?).</w:t>
      </w:r>
    </w:p>
    <w:p w14:paraId="0F7B4438" w14:textId="274D4551" w:rsidR="000420E8" w:rsidRDefault="000420E8" w:rsidP="000420E8">
      <w:pPr>
        <w:spacing w:after="0" w:line="240" w:lineRule="auto"/>
        <w:jc w:val="both"/>
      </w:pPr>
      <w:r>
        <w:t>Sources</w:t>
      </w:r>
      <w:r w:rsidR="0098588F">
        <w:t> </w:t>
      </w:r>
      <w:r>
        <w:t xml:space="preserve">: a) </w:t>
      </w:r>
      <w:hyperlink r:id="rId550" w:history="1">
        <w:r w:rsidRPr="00640788">
          <w:rPr>
            <w:rStyle w:val="Lienhypertexte"/>
          </w:rPr>
          <w:t>http</w:t>
        </w:r>
        <w:r w:rsidR="0098588F">
          <w:rPr>
            <w:rStyle w:val="Lienhypertexte"/>
          </w:rPr>
          <w:t> </w:t>
        </w:r>
        <w:r w:rsidRPr="00640788">
          <w:rPr>
            <w:rStyle w:val="Lienhypertexte"/>
          </w:rPr>
          <w:t>://fr.wikipedia.org/wiki/Balanites_aegyptiaca</w:t>
        </w:r>
      </w:hyperlink>
      <w:r>
        <w:t xml:space="preserve">, b) </w:t>
      </w:r>
      <w:hyperlink r:id="rId551" w:history="1">
        <w:r w:rsidRPr="00640788">
          <w:rPr>
            <w:rStyle w:val="Lienhypertexte"/>
          </w:rPr>
          <w:t>http</w:t>
        </w:r>
        <w:r w:rsidR="0098588F">
          <w:rPr>
            <w:rStyle w:val="Lienhypertexte"/>
          </w:rPr>
          <w:t> </w:t>
        </w:r>
        <w:r w:rsidRPr="00640788">
          <w:rPr>
            <w:rStyle w:val="Lienhypertexte"/>
          </w:rPr>
          <w:t>://en.wikipedia.org/wiki/Balanites_aegyptiaca</w:t>
        </w:r>
      </w:hyperlink>
      <w:r>
        <w:t xml:space="preserve">  </w:t>
      </w:r>
    </w:p>
    <w:p w14:paraId="5D566A5F" w14:textId="5A68F1F1" w:rsidR="000420E8" w:rsidRDefault="000420E8" w:rsidP="000420E8">
      <w:pPr>
        <w:spacing w:after="0" w:line="240" w:lineRule="auto"/>
        <w:jc w:val="both"/>
      </w:pPr>
      <w:r>
        <w:t xml:space="preserve">c) </w:t>
      </w:r>
      <w:hyperlink r:id="rId552" w:history="1">
        <w:r w:rsidR="00912A70" w:rsidRPr="00640788">
          <w:rPr>
            <w:rStyle w:val="Lienhypertexte"/>
          </w:rPr>
          <w:t>http</w:t>
        </w:r>
        <w:r w:rsidR="0098588F">
          <w:rPr>
            <w:rStyle w:val="Lienhypertexte"/>
          </w:rPr>
          <w:t> </w:t>
        </w:r>
        <w:r w:rsidR="00912A70" w:rsidRPr="00640788">
          <w:rPr>
            <w:rStyle w:val="Lienhypertexte"/>
          </w:rPr>
          <w:t>://www.worldagroforestry.org/treedb/AFTPDFS/Balanites_aegyptiaca.pdf</w:t>
        </w:r>
      </w:hyperlink>
      <w:r w:rsidR="00912A70">
        <w:t xml:space="preserve"> </w:t>
      </w:r>
      <w:r>
        <w:t xml:space="preserve"> </w:t>
      </w:r>
    </w:p>
    <w:p w14:paraId="27CE7E26" w14:textId="77777777" w:rsidR="000420E8" w:rsidRDefault="000420E8" w:rsidP="000420E8">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1"/>
        <w:gridCol w:w="3415"/>
        <w:gridCol w:w="3330"/>
      </w:tblGrid>
      <w:tr w:rsidR="00912A70" w14:paraId="218B6289" w14:textId="77777777" w:rsidTr="0098588F">
        <w:tc>
          <w:tcPr>
            <w:tcW w:w="3472" w:type="dxa"/>
          </w:tcPr>
          <w:p w14:paraId="42AA7C9D" w14:textId="77777777" w:rsidR="00912A70" w:rsidRDefault="0098588F" w:rsidP="00912A70">
            <w:pPr>
              <w:jc w:val="center"/>
            </w:pPr>
            <w:r w:rsidRPr="0098588F">
              <w:rPr>
                <w:noProof/>
              </w:rPr>
              <w:drawing>
                <wp:inline distT="0" distB="0" distL="0" distR="0" wp14:anchorId="49C69A59" wp14:editId="631C1236">
                  <wp:extent cx="2200275" cy="1236662"/>
                  <wp:effectExtent l="0" t="0" r="0" b="1905"/>
                  <wp:docPr id="50186" name="Picture 9" descr="C:\Users\LISAN\Pictures\plantes-halophytes-xerophiles\Balanites aegyptiac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86" name="Picture 9" descr="C:\Users\LISAN\Pictures\plantes-halophytes-xerophiles\Balanites aegyptiaca3.jpg"/>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2200275" cy="12366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1328398" w14:textId="2D842C76" w:rsidR="0098588F" w:rsidRDefault="0098588F" w:rsidP="00912A70">
            <w:pPr>
              <w:jc w:val="center"/>
            </w:pPr>
          </w:p>
        </w:tc>
        <w:tc>
          <w:tcPr>
            <w:tcW w:w="3472" w:type="dxa"/>
          </w:tcPr>
          <w:p w14:paraId="09EF01AA" w14:textId="11654D91" w:rsidR="00912A70" w:rsidRDefault="0098588F" w:rsidP="00912A70">
            <w:pPr>
              <w:jc w:val="center"/>
            </w:pPr>
            <w:r w:rsidRPr="0098588F">
              <w:rPr>
                <w:noProof/>
              </w:rPr>
              <w:drawing>
                <wp:inline distT="0" distB="0" distL="0" distR="0" wp14:anchorId="765D69CF" wp14:editId="78B1203F">
                  <wp:extent cx="1603375" cy="1200150"/>
                  <wp:effectExtent l="0" t="0" r="0" b="0"/>
                  <wp:docPr id="50183" name="Picture 6" descr="C:\Users\LISAN\Pictures\plantes-halophytes-xerophiles\Balanites aegyptiac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83" name="Picture 6" descr="C:\Users\LISAN\Pictures\plantes-halophytes-xerophiles\Balanites aegyptiaca5.jpg"/>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1603375" cy="1200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311F8704" w14:textId="05F14F3C" w:rsidR="00912A70" w:rsidRDefault="0098588F" w:rsidP="00912A70">
            <w:pPr>
              <w:jc w:val="center"/>
            </w:pPr>
            <w:r w:rsidRPr="0098588F">
              <w:rPr>
                <w:noProof/>
              </w:rPr>
              <w:drawing>
                <wp:inline distT="0" distB="0" distL="0" distR="0" wp14:anchorId="1579634D" wp14:editId="6CE344C8">
                  <wp:extent cx="892175" cy="1193800"/>
                  <wp:effectExtent l="0" t="0" r="3175" b="6350"/>
                  <wp:docPr id="50184" name="Picture 7" descr="C:\Users\LISAN\Pictures\plantes-halophytes-xerophiles\Balanites aegyptia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84" name="Picture 7" descr="C:\Users\LISAN\Pictures\plantes-halophytes-xerophiles\Balanites aegyptiaca.jpg"/>
                          <pic:cNvPicPr>
                            <a:picLocks noChangeAspect="1"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0" y="0"/>
                            <a:ext cx="892175" cy="1193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912A70" w14:paraId="02233487" w14:textId="77777777" w:rsidTr="0098588F">
        <w:tc>
          <w:tcPr>
            <w:tcW w:w="3472" w:type="dxa"/>
          </w:tcPr>
          <w:p w14:paraId="7B4FD4D4" w14:textId="2FA7A736" w:rsidR="00912A70" w:rsidRDefault="0098588F" w:rsidP="00912A70">
            <w:pPr>
              <w:jc w:val="center"/>
            </w:pPr>
            <w:r w:rsidRPr="0098588F">
              <w:rPr>
                <w:noProof/>
              </w:rPr>
              <w:drawing>
                <wp:inline distT="0" distB="0" distL="0" distR="0" wp14:anchorId="4DC67C9C" wp14:editId="52A75D23">
                  <wp:extent cx="1778000" cy="1355725"/>
                  <wp:effectExtent l="0" t="0" r="0" b="0"/>
                  <wp:docPr id="50187" name="Picture 10" descr="C:\Users\LISAN\Pictures\plantes-halophytes-xerophiles\Balanites aegyptiac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87" name="Picture 10" descr="C:\Users\LISAN\Pictures\plantes-halophytes-xerophiles\Balanites aegyptiaca4.jpg"/>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1778000" cy="1355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40A4D445" w14:textId="77777777" w:rsidR="00912A70" w:rsidRDefault="00912A70" w:rsidP="00912A70">
            <w:pPr>
              <w:jc w:val="center"/>
            </w:pPr>
          </w:p>
        </w:tc>
        <w:tc>
          <w:tcPr>
            <w:tcW w:w="3472" w:type="dxa"/>
          </w:tcPr>
          <w:p w14:paraId="0E70380E" w14:textId="298F7899" w:rsidR="00912A70" w:rsidRDefault="0098588F" w:rsidP="00912A70">
            <w:pPr>
              <w:jc w:val="center"/>
            </w:pPr>
            <w:r w:rsidRPr="0098588F">
              <w:rPr>
                <w:noProof/>
              </w:rPr>
              <w:drawing>
                <wp:inline distT="0" distB="0" distL="0" distR="0" wp14:anchorId="001251CA" wp14:editId="59D85B71">
                  <wp:extent cx="911225" cy="1217612"/>
                  <wp:effectExtent l="0" t="0" r="3175" b="1905"/>
                  <wp:docPr id="50185" name="Picture 8" descr="C:\Users\LISAN\Pictures\plantes-halophytes-xerophiles\Balanites aegyptiac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85" name="Picture 8" descr="C:\Users\LISAN\Pictures\plantes-halophytes-xerophiles\Balanites aegyptiaca2.jpg"/>
                          <pic:cNvPicPr>
                            <a:picLocks noChangeAspect="1" noChangeArrowheads="1"/>
                          </pic:cNvPicPr>
                        </pic:nvPicPr>
                        <pic:blipFill>
                          <a:blip r:embed="rId557">
                            <a:extLst>
                              <a:ext uri="{28A0092B-C50C-407E-A947-70E740481C1C}">
                                <a14:useLocalDpi xmlns:a14="http://schemas.microsoft.com/office/drawing/2010/main" val="0"/>
                              </a:ext>
                            </a:extLst>
                          </a:blip>
                          <a:srcRect/>
                          <a:stretch>
                            <a:fillRect/>
                          </a:stretch>
                        </pic:blipFill>
                        <pic:spPr bwMode="auto">
                          <a:xfrm>
                            <a:off x="0" y="0"/>
                            <a:ext cx="911225" cy="12176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125FC130" w14:textId="08A79DED" w:rsidR="0098588F" w:rsidRDefault="0098588F" w:rsidP="0098588F">
      <w:pPr>
        <w:spacing w:after="0" w:line="240" w:lineRule="auto"/>
      </w:pPr>
    </w:p>
    <w:p w14:paraId="460D0496" w14:textId="06242363" w:rsidR="00A86982" w:rsidRPr="00A86982" w:rsidRDefault="00A86982" w:rsidP="00B655B6">
      <w:pPr>
        <w:pStyle w:val="Titre2"/>
      </w:pPr>
      <w:bookmarkStart w:id="65" w:name="_Toc139181356"/>
      <w:r>
        <w:t>Madd (</w:t>
      </w:r>
      <w:r w:rsidRPr="00B655B6">
        <w:rPr>
          <w:i/>
          <w:iCs/>
        </w:rPr>
        <w:t>Saba senegalensis</w:t>
      </w:r>
      <w:r>
        <w:t>)</w:t>
      </w:r>
      <w:bookmarkEnd w:id="65"/>
    </w:p>
    <w:p w14:paraId="7C75BDC3" w14:textId="26B4115C" w:rsidR="00A86982" w:rsidRDefault="00A86982" w:rsidP="00A86982">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5"/>
        <w:gridCol w:w="2212"/>
        <w:gridCol w:w="1645"/>
        <w:gridCol w:w="415"/>
        <w:gridCol w:w="1379"/>
      </w:tblGrid>
      <w:tr w:rsidR="00417A3B" w:rsidRPr="000B6BE3" w14:paraId="6B534132" w14:textId="77777777" w:rsidTr="00F67697">
        <w:tc>
          <w:tcPr>
            <w:tcW w:w="4775" w:type="dxa"/>
          </w:tcPr>
          <w:p w14:paraId="278B5A07" w14:textId="1DEBC532" w:rsidR="00417A3B" w:rsidRPr="00B655B6" w:rsidRDefault="00417A3B" w:rsidP="00F67697">
            <w:pPr>
              <w:rPr>
                <w:rFonts w:cstheme="minorHAnsi"/>
                <w:bCs/>
              </w:rPr>
            </w:pPr>
            <w:r w:rsidRPr="000B6BE3">
              <w:rPr>
                <w:rFonts w:cstheme="minorHAnsi"/>
                <w:bCs/>
              </w:rPr>
              <w:t>(</w:t>
            </w:r>
            <w:hyperlink r:id="rId558" w:history="1">
              <w:r w:rsidRPr="000B6BE3">
                <w:rPr>
                  <w:rFonts w:cstheme="minorHAnsi"/>
                </w:rPr>
                <w:t>F</w:t>
              </w:r>
              <w:r w:rsidRPr="000B6BE3">
                <w:rPr>
                  <w:rStyle w:val="Lienhypertexte"/>
                  <w:rFonts w:cstheme="minorHAnsi"/>
                  <w:color w:val="0B0080"/>
                  <w:shd w:val="clear" w:color="auto" w:fill="FFFFFF"/>
                </w:rPr>
                <w:t>amille</w:t>
              </w:r>
            </w:hyperlink>
            <w:r w:rsidRPr="000B6BE3">
              <w:rPr>
                <w:rFonts w:cstheme="minorHAnsi"/>
                <w:color w:val="222222"/>
                <w:shd w:val="clear" w:color="auto" w:fill="FFFFFF"/>
              </w:rPr>
              <w:t> des</w:t>
            </w:r>
            <w:r>
              <w:rPr>
                <w:rFonts w:ascii="Arial" w:hAnsi="Arial" w:cs="Arial"/>
                <w:color w:val="202122"/>
                <w:sz w:val="21"/>
                <w:szCs w:val="21"/>
                <w:shd w:val="clear" w:color="auto" w:fill="FFFFFF"/>
              </w:rPr>
              <w:t> </w:t>
            </w:r>
            <w:hyperlink r:id="rId559" w:tooltip="Apocynaceae" w:history="1">
              <w:r w:rsidRPr="00417A3B">
                <w:rPr>
                  <w:rStyle w:val="Lienhypertexte"/>
                  <w:rFonts w:ascii="Calibri" w:hAnsi="Calibri" w:cs="Calibri"/>
                  <w:i/>
                  <w:iCs/>
                  <w:color w:val="0645AD"/>
                  <w:shd w:val="clear" w:color="auto" w:fill="FFFFFF"/>
                </w:rPr>
                <w:t>Apocynaceae</w:t>
              </w:r>
            </w:hyperlink>
            <w:r w:rsidRPr="000B6BE3">
              <w:rPr>
                <w:rFonts w:cstheme="minorHAnsi"/>
                <w:bCs/>
              </w:rPr>
              <w:t>)</w:t>
            </w:r>
          </w:p>
        </w:tc>
        <w:tc>
          <w:tcPr>
            <w:tcW w:w="2212" w:type="dxa"/>
          </w:tcPr>
          <w:p w14:paraId="280997DC" w14:textId="6B5B5494" w:rsidR="00417A3B" w:rsidRPr="000B6BE3" w:rsidRDefault="00417A3B" w:rsidP="00F67697">
            <w:pPr>
              <w:rPr>
                <w:rFonts w:cstheme="minorHAnsi"/>
              </w:rPr>
            </w:pPr>
            <w:r w:rsidRPr="000B6BE3">
              <w:rPr>
                <w:rFonts w:cstheme="minorHAnsi"/>
                <w:noProof/>
              </w:rPr>
              <w:t xml:space="preserve">  </w:t>
            </w:r>
            <w:r>
              <w:rPr>
                <w:rFonts w:cstheme="minorHAnsi"/>
                <w:noProof/>
              </w:rPr>
              <w:t xml:space="preserve">    </w:t>
            </w:r>
            <w:r w:rsidR="008F191E">
              <w:rPr>
                <w:rFonts w:cstheme="minorHAnsi"/>
                <w:noProof/>
              </w:rPr>
              <w:t xml:space="preserve"> </w:t>
            </w:r>
            <w:r w:rsidRPr="005C50C9">
              <w:rPr>
                <w:rFonts w:cstheme="minorHAnsi"/>
                <w:noProof/>
              </w:rPr>
              <w:drawing>
                <wp:inline distT="0" distB="0" distL="0" distR="0" wp14:anchorId="73F90B41" wp14:editId="3431B2A0">
                  <wp:extent cx="495300" cy="666750"/>
                  <wp:effectExtent l="0" t="0" r="0" b="0"/>
                  <wp:docPr id="44039" name="Image 15"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8" name="Image 15" descr="logo aride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w:t>
            </w:r>
          </w:p>
        </w:tc>
        <w:tc>
          <w:tcPr>
            <w:tcW w:w="1645" w:type="dxa"/>
          </w:tcPr>
          <w:p w14:paraId="13139A2F" w14:textId="77777777" w:rsidR="00417A3B" w:rsidRPr="000B6BE3" w:rsidRDefault="00417A3B" w:rsidP="00F67697">
            <w:pPr>
              <w:textAlignment w:val="baseline"/>
              <w:rPr>
                <w:rFonts w:cstheme="minorHAnsi"/>
              </w:rPr>
            </w:pPr>
            <w:r w:rsidRPr="00D1445E">
              <w:rPr>
                <w:rFonts w:eastAsia="+mn-ea" w:cstheme="minorHAnsi"/>
                <w:b/>
                <w:bCs/>
                <w:color w:val="008000"/>
                <w:kern w:val="24"/>
                <w:sz w:val="56"/>
                <w:szCs w:val="56"/>
              </w:rPr>
              <w:t>U</w:t>
            </w:r>
          </w:p>
        </w:tc>
        <w:tc>
          <w:tcPr>
            <w:tcW w:w="415" w:type="dxa"/>
          </w:tcPr>
          <w:p w14:paraId="720EA695" w14:textId="77777777" w:rsidR="00417A3B" w:rsidRPr="000B6BE3" w:rsidRDefault="00417A3B" w:rsidP="00F67697">
            <w:pPr>
              <w:rPr>
                <w:rFonts w:cstheme="minorHAnsi"/>
              </w:rPr>
            </w:pPr>
          </w:p>
        </w:tc>
        <w:tc>
          <w:tcPr>
            <w:tcW w:w="1379" w:type="dxa"/>
          </w:tcPr>
          <w:p w14:paraId="4859E422" w14:textId="77777777" w:rsidR="00417A3B" w:rsidRDefault="000F1DF5" w:rsidP="00F67697">
            <w:pPr>
              <w:rPr>
                <w:rFonts w:cstheme="minorHAnsi"/>
              </w:rPr>
            </w:pPr>
            <w:r w:rsidRPr="00F715B8">
              <w:rPr>
                <w:rFonts w:ascii="Arial" w:eastAsia="+mn-ea" w:hAnsi="Wingdings" w:cs="Arial"/>
                <w:noProof/>
                <w:color w:val="FF0000"/>
                <w:kern w:val="24"/>
                <w:sz w:val="64"/>
                <w:szCs w:val="64"/>
              </w:rPr>
              <w:drawing>
                <wp:inline distT="0" distB="0" distL="0" distR="0" wp14:anchorId="0794C4CC" wp14:editId="714E76F6">
                  <wp:extent cx="285750" cy="358775"/>
                  <wp:effectExtent l="0" t="0" r="0" b="3175"/>
                  <wp:docPr id="7174" name="Picture 2" descr="toxic-2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5" name="Picture 2" descr="toxic-2ss"/>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85750"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37199419" w14:textId="051A10B0" w:rsidR="000F1DF5" w:rsidRPr="000B6BE3" w:rsidRDefault="000F1DF5" w:rsidP="00F67697">
            <w:pPr>
              <w:rPr>
                <w:rFonts w:cstheme="minorHAnsi"/>
              </w:rPr>
            </w:pPr>
            <w:r>
              <w:rPr>
                <w:rFonts w:cstheme="minorHAnsi"/>
              </w:rPr>
              <w:t>(latex)</w:t>
            </w:r>
          </w:p>
        </w:tc>
      </w:tr>
    </w:tbl>
    <w:p w14:paraId="650AB3C9" w14:textId="77777777" w:rsidR="00417A3B" w:rsidRDefault="00417A3B" w:rsidP="00A86982">
      <w:pPr>
        <w:spacing w:after="0" w:line="240" w:lineRule="auto"/>
      </w:pPr>
    </w:p>
    <w:p w14:paraId="66D8461A" w14:textId="3A484363" w:rsidR="00A86982" w:rsidRDefault="00A86982" w:rsidP="00A86982">
      <w:pPr>
        <w:spacing w:after="0" w:line="240" w:lineRule="auto"/>
        <w:jc w:val="both"/>
      </w:pPr>
      <w:r>
        <w:t>Le Madd</w:t>
      </w:r>
      <w:r w:rsidR="007E0BA4">
        <w:t xml:space="preserve"> (ou made)</w:t>
      </w:r>
      <w:r>
        <w:t xml:space="preserve"> est le fruit d’une plante rampante</w:t>
      </w:r>
      <w:r w:rsidR="007E0BA4">
        <w:t xml:space="preserve"> ou liane</w:t>
      </w:r>
      <w:r w:rsidR="00240D30">
        <w:t xml:space="preserve"> ligneuse</w:t>
      </w:r>
      <w:r w:rsidR="007E0BA4">
        <w:t xml:space="preserve"> sauvage</w:t>
      </w:r>
      <w:r w:rsidR="00240D30">
        <w:t>, à vrilles, à latex blanc</w:t>
      </w:r>
      <w:r w:rsidR="000F1DF5">
        <w:t xml:space="preserve"> (toxique)</w:t>
      </w:r>
      <w:r w:rsidR="00240D30">
        <w:t>,</w:t>
      </w:r>
      <w:r>
        <w:t xml:space="preserve"> nommée </w:t>
      </w:r>
      <w:r w:rsidRPr="00A86982">
        <w:rPr>
          <w:i/>
          <w:iCs/>
        </w:rPr>
        <w:t>Saba senegalensis</w:t>
      </w:r>
      <w:r>
        <w:t>, pous</w:t>
      </w:r>
      <w:r w:rsidR="007E0BA4">
        <w:t>sant dans les savanes africaines,</w:t>
      </w:r>
      <w:r>
        <w:t xml:space="preserve"> généralement en bordure de cours d’eau, plutôt dans la moitié Sud du Sénégal</w:t>
      </w:r>
      <w:r w:rsidR="007E0BA4">
        <w:t>, mais aussi cultivé comme arbuste.</w:t>
      </w:r>
      <w:r w:rsidR="00240D30">
        <w:t xml:space="preserve"> </w:t>
      </w:r>
      <w:r w:rsidR="00240D30" w:rsidRPr="00240D30">
        <w:t>C’est une espèce à écorce gris foncé, à feuilles entières opposées aux limbes elliptiques ou ovales. La floraison est étalée sur toutes les saisons. Les fleurs sont très odorantes et de couleur blanche, jaunâtre ou blanc verdâtre.</w:t>
      </w:r>
      <w:r w:rsidR="00240D30">
        <w:t xml:space="preserve"> Son fruit</w:t>
      </w:r>
      <w:r>
        <w:t xml:space="preserve"> arrive à maturité avec les premières pluies, après avoir passé plus d’un an sur la liane...</w:t>
      </w:r>
    </w:p>
    <w:p w14:paraId="1206408B" w14:textId="77777777" w:rsidR="00A86982" w:rsidRDefault="00A86982" w:rsidP="00A86982">
      <w:pPr>
        <w:spacing w:after="0" w:line="240" w:lineRule="auto"/>
        <w:jc w:val="both"/>
      </w:pPr>
      <w:r>
        <w:t>Son fruit est une coque globuleuse qui contient des graines enrobées de pulpe jaune juteuse, acidulée et sucrée.</w:t>
      </w:r>
    </w:p>
    <w:p w14:paraId="14E6D9F5" w14:textId="77777777" w:rsidR="00A86982" w:rsidRDefault="00A86982" w:rsidP="00A86982">
      <w:pPr>
        <w:spacing w:after="0" w:line="240" w:lineRule="auto"/>
        <w:jc w:val="both"/>
      </w:pPr>
      <w:r>
        <w:t>On peut déguster le fruit tel quel ou l’assaisonner avec du sucre, du sel et du piment.</w:t>
      </w:r>
    </w:p>
    <w:p w14:paraId="3625662C" w14:textId="2E1431CE" w:rsidR="006747BF" w:rsidRDefault="00A86982" w:rsidP="00A86982">
      <w:pPr>
        <w:spacing w:after="0" w:line="240" w:lineRule="auto"/>
        <w:jc w:val="both"/>
      </w:pPr>
      <w:r>
        <w:t>C'est possible de faire du jus avec le Madd. Mélangées avec de l’eau et du sucre, les pulpes donnent un délicieux jus. C'est un fruit riche en vitamine C, thiamine, riboflavine, niacine, en vitamine B6,  acide malique,  calcium, phosphore et en magnésium.</w:t>
      </w:r>
      <w:r w:rsidR="00977F05">
        <w:t xml:space="preserve"> </w:t>
      </w:r>
      <w:r>
        <w:t>Son fruit est appelé zaban (en bambara ou dioula), malombo (dans le bassin du Congo), maad (en wolof), made (en français d’Afrique) et wèda (en mooré), ou côcôta (en Côte d’ivoire).</w:t>
      </w:r>
    </w:p>
    <w:p w14:paraId="57C76FA5" w14:textId="432CDAB5" w:rsidR="00240D30" w:rsidRDefault="00240D30" w:rsidP="00A86982">
      <w:pPr>
        <w:spacing w:after="0" w:line="240" w:lineRule="auto"/>
        <w:jc w:val="both"/>
        <w:rPr>
          <w:rFonts w:ascii="Calibri" w:hAnsi="Calibri" w:cs="Arial"/>
          <w:color w:val="000000" w:themeColor="text1"/>
          <w:shd w:val="clear" w:color="auto" w:fill="FFFFFF"/>
        </w:rPr>
      </w:pPr>
      <w:r w:rsidRPr="00240D30">
        <w:rPr>
          <w:rFonts w:ascii="Calibri" w:hAnsi="Calibri" w:cs="Arial"/>
          <w:color w:val="000000" w:themeColor="text1"/>
          <w:shd w:val="clear" w:color="auto" w:fill="FFFFFF"/>
        </w:rPr>
        <w:t>On le retrouve aussi en Afrique de l’Est, lui ou un fruit voisin</w:t>
      </w:r>
      <w:r w:rsidR="003F2A69">
        <w:rPr>
          <w:rFonts w:ascii="Calibri" w:hAnsi="Calibri" w:cs="Arial"/>
          <w:color w:val="000000" w:themeColor="text1"/>
          <w:shd w:val="clear" w:color="auto" w:fill="FFFFFF"/>
        </w:rPr>
        <w:t xml:space="preserve"> (et une plante très voisine)</w:t>
      </w:r>
      <w:r w:rsidRPr="00240D30">
        <w:rPr>
          <w:rFonts w:ascii="Calibri" w:hAnsi="Calibri" w:cs="Arial"/>
          <w:color w:val="202122"/>
          <w:shd w:val="clear" w:color="auto" w:fill="FFFFFF"/>
        </w:rPr>
        <w:t>, </w:t>
      </w:r>
      <w:hyperlink r:id="rId560" w:tooltip="Saba comorensis" w:history="1">
        <w:r w:rsidRPr="00240D30">
          <w:rPr>
            <w:rStyle w:val="Lienhypertexte"/>
            <w:rFonts w:ascii="Calibri" w:hAnsi="Calibri" w:cs="Arial"/>
            <w:i/>
            <w:iCs/>
            <w:color w:val="0645AD"/>
            <w:shd w:val="clear" w:color="auto" w:fill="FFFFFF"/>
          </w:rPr>
          <w:t>Saba comorensis</w:t>
        </w:r>
      </w:hyperlink>
      <w:r w:rsidRPr="00240D30">
        <w:rPr>
          <w:rFonts w:ascii="Calibri" w:hAnsi="Calibri" w:cs="Arial"/>
          <w:color w:val="202122"/>
          <w:shd w:val="clear" w:color="auto" w:fill="FFFFFF"/>
        </w:rPr>
        <w:t xml:space="preserve">, </w:t>
      </w:r>
      <w:r w:rsidRPr="00240D30">
        <w:rPr>
          <w:rFonts w:ascii="Calibri" w:hAnsi="Calibri" w:cs="Arial"/>
          <w:color w:val="000000" w:themeColor="text1"/>
          <w:shd w:val="clear" w:color="auto" w:fill="FFFFFF"/>
        </w:rPr>
        <w:t>en Tanzanie par exemple.</w:t>
      </w:r>
    </w:p>
    <w:p w14:paraId="29C434BF" w14:textId="5AAF64FA" w:rsidR="00647B9F" w:rsidRPr="00240D30" w:rsidRDefault="00647B9F" w:rsidP="00A86982">
      <w:pPr>
        <w:spacing w:after="0" w:line="240" w:lineRule="auto"/>
        <w:jc w:val="both"/>
        <w:rPr>
          <w:rFonts w:ascii="Calibri" w:hAnsi="Calibri"/>
        </w:rPr>
      </w:pPr>
      <w:r w:rsidRPr="00647B9F">
        <w:rPr>
          <w:rFonts w:ascii="Calibri" w:hAnsi="Calibri"/>
        </w:rPr>
        <w:lastRenderedPageBreak/>
        <w:t xml:space="preserve">Le </w:t>
      </w:r>
      <w:r w:rsidRPr="00647B9F">
        <w:rPr>
          <w:rFonts w:ascii="Calibri" w:hAnsi="Calibri"/>
          <w:i/>
          <w:iCs/>
        </w:rPr>
        <w:t>Saba senegalensis</w:t>
      </w:r>
      <w:r w:rsidRPr="00647B9F">
        <w:rPr>
          <w:rFonts w:ascii="Calibri" w:hAnsi="Calibri"/>
        </w:rPr>
        <w:t xml:space="preserve"> est apprécié pour son ombrage et son rôle ornemental. Il est de plus en plus utilisé dans les aménagements paysager, se développant sur un ou sans support.</w:t>
      </w:r>
    </w:p>
    <w:p w14:paraId="648A3C26" w14:textId="77777777" w:rsidR="00977F05" w:rsidRDefault="006747BF" w:rsidP="00A86982">
      <w:pPr>
        <w:spacing w:after="0" w:line="240" w:lineRule="auto"/>
        <w:jc w:val="both"/>
      </w:pPr>
      <w:r>
        <w:t xml:space="preserve">Sources : a) </w:t>
      </w:r>
      <w:hyperlink r:id="rId561" w:history="1">
        <w:r w:rsidRPr="00313E03">
          <w:rPr>
            <w:rStyle w:val="Lienhypertexte"/>
          </w:rPr>
          <w:t>https://fr.wikipedia.org/wiki/Saba_senegalensis</w:t>
        </w:r>
      </w:hyperlink>
      <w:r>
        <w:t xml:space="preserve">, </w:t>
      </w:r>
    </w:p>
    <w:p w14:paraId="0DA7D396" w14:textId="50053827" w:rsidR="006747BF" w:rsidRDefault="00977F05" w:rsidP="00A86982">
      <w:pPr>
        <w:spacing w:after="0" w:line="240" w:lineRule="auto"/>
        <w:jc w:val="both"/>
        <w:rPr>
          <w:lang w:val="en-GB"/>
        </w:rPr>
      </w:pPr>
      <w:r w:rsidRPr="00977F05">
        <w:rPr>
          <w:lang w:val="en-GB"/>
        </w:rPr>
        <w:t xml:space="preserve">b) </w:t>
      </w:r>
      <w:hyperlink r:id="rId562" w:history="1">
        <w:r w:rsidRPr="00224761">
          <w:rPr>
            <w:rStyle w:val="Lienhypertexte"/>
            <w:lang w:val="en-GB"/>
          </w:rPr>
          <w:t>https://uses.plantnet-project.org/fr/Saba_senegalensis</w:t>
        </w:r>
      </w:hyperlink>
      <w:r>
        <w:rPr>
          <w:lang w:val="en-GB"/>
        </w:rPr>
        <w:t xml:space="preserve"> </w:t>
      </w:r>
    </w:p>
    <w:p w14:paraId="7348019D" w14:textId="2C72CEE2" w:rsidR="00977F05" w:rsidRDefault="00977F05" w:rsidP="00A86982">
      <w:pPr>
        <w:spacing w:after="0" w:line="240" w:lineRule="auto"/>
        <w:jc w:val="both"/>
        <w:rPr>
          <w:lang w:val="en-G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7E0BA4" w14:paraId="0DDD2D3C" w14:textId="77777777" w:rsidTr="007E0BA4">
        <w:tc>
          <w:tcPr>
            <w:tcW w:w="5208" w:type="dxa"/>
          </w:tcPr>
          <w:p w14:paraId="268E6452" w14:textId="77777777" w:rsidR="007E0BA4" w:rsidRDefault="007E0BA4" w:rsidP="007E0BA4">
            <w:pPr>
              <w:jc w:val="center"/>
              <w:rPr>
                <w:lang w:val="en-GB"/>
              </w:rPr>
            </w:pPr>
            <w:r>
              <w:rPr>
                <w:noProof/>
              </w:rPr>
              <w:drawing>
                <wp:inline distT="0" distB="0" distL="0" distR="0" wp14:anchorId="2FDFAFBF" wp14:editId="33661179">
                  <wp:extent cx="2543175" cy="1905000"/>
                  <wp:effectExtent l="0" t="0" r="9525" b="0"/>
                  <wp:docPr id="7170" name="Image 7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2543175" cy="1905000"/>
                          </a:xfrm>
                          <a:prstGeom prst="rect">
                            <a:avLst/>
                          </a:prstGeom>
                          <a:noFill/>
                          <a:ln>
                            <a:noFill/>
                          </a:ln>
                        </pic:spPr>
                      </pic:pic>
                    </a:graphicData>
                  </a:graphic>
                </wp:inline>
              </w:drawing>
            </w:r>
          </w:p>
          <w:p w14:paraId="1741245A" w14:textId="7F567307" w:rsidR="007E0BA4" w:rsidRPr="007E0BA4" w:rsidRDefault="007E0BA4" w:rsidP="007E0BA4">
            <w:pPr>
              <w:jc w:val="center"/>
            </w:pPr>
            <w:r w:rsidRPr="007E0BA4">
              <w:t>Plante</w:t>
            </w:r>
            <w:r w:rsidR="003F2A69">
              <w:t xml:space="preserve"> (</w:t>
            </w:r>
            <w:r w:rsidR="003F2A69" w:rsidRPr="003F2A69">
              <w:rPr>
                <w:i/>
                <w:iCs/>
              </w:rPr>
              <w:t>Saba senegalensis</w:t>
            </w:r>
            <w:r w:rsidR="003F2A69">
              <w:t>)</w:t>
            </w:r>
          </w:p>
        </w:tc>
        <w:tc>
          <w:tcPr>
            <w:tcW w:w="5208" w:type="dxa"/>
          </w:tcPr>
          <w:p w14:paraId="0A0CBFCF" w14:textId="77777777" w:rsidR="007E0BA4" w:rsidRDefault="007E0BA4" w:rsidP="00977F05">
            <w:pPr>
              <w:jc w:val="center"/>
              <w:rPr>
                <w:lang w:val="en-GB"/>
              </w:rPr>
            </w:pPr>
            <w:r>
              <w:rPr>
                <w:noProof/>
              </w:rPr>
              <w:drawing>
                <wp:inline distT="0" distB="0" distL="0" distR="0" wp14:anchorId="0C92A1E6" wp14:editId="49FA971D">
                  <wp:extent cx="2857500" cy="1905000"/>
                  <wp:effectExtent l="0" t="0" r="0" b="0"/>
                  <wp:docPr id="7168" name="Image 7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inline>
              </w:drawing>
            </w:r>
          </w:p>
          <w:p w14:paraId="391C4DB0" w14:textId="4551ECF3" w:rsidR="007E0BA4" w:rsidRDefault="007E0BA4" w:rsidP="00977F05">
            <w:pPr>
              <w:jc w:val="center"/>
              <w:rPr>
                <w:lang w:val="en-GB"/>
              </w:rPr>
            </w:pPr>
            <w:r>
              <w:rPr>
                <w:lang w:val="en-GB"/>
              </w:rPr>
              <w:t>Fruit</w:t>
            </w:r>
            <w:r w:rsidR="003F2A69">
              <w:rPr>
                <w:lang w:val="en-GB"/>
              </w:rPr>
              <w:t xml:space="preserve"> </w:t>
            </w:r>
            <w:r w:rsidR="003F2A69">
              <w:t>(</w:t>
            </w:r>
            <w:r w:rsidR="003F2A69" w:rsidRPr="003F2A69">
              <w:rPr>
                <w:i/>
                <w:iCs/>
              </w:rPr>
              <w:t>Saba senegalensis</w:t>
            </w:r>
            <w:r w:rsidR="003F2A69">
              <w:t>)</w:t>
            </w:r>
          </w:p>
        </w:tc>
      </w:tr>
      <w:tr w:rsidR="007E0BA4" w14:paraId="2520828F" w14:textId="77777777" w:rsidTr="007E0BA4">
        <w:tc>
          <w:tcPr>
            <w:tcW w:w="5208" w:type="dxa"/>
          </w:tcPr>
          <w:p w14:paraId="715A832C" w14:textId="77777777" w:rsidR="007E0BA4" w:rsidRDefault="007E0BA4" w:rsidP="00977F05">
            <w:pPr>
              <w:jc w:val="center"/>
              <w:rPr>
                <w:lang w:val="en-GB"/>
              </w:rPr>
            </w:pPr>
            <w:r>
              <w:rPr>
                <w:noProof/>
              </w:rPr>
              <w:drawing>
                <wp:inline distT="0" distB="0" distL="0" distR="0" wp14:anchorId="164330CB" wp14:editId="2047C09A">
                  <wp:extent cx="2543175" cy="1905000"/>
                  <wp:effectExtent l="0" t="0" r="9525" b="0"/>
                  <wp:docPr id="7169" name="Image 7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0"/>
                            <a:ext cx="2543175" cy="1905000"/>
                          </a:xfrm>
                          <a:prstGeom prst="rect">
                            <a:avLst/>
                          </a:prstGeom>
                          <a:noFill/>
                          <a:ln>
                            <a:noFill/>
                          </a:ln>
                        </pic:spPr>
                      </pic:pic>
                    </a:graphicData>
                  </a:graphic>
                </wp:inline>
              </w:drawing>
            </w:r>
          </w:p>
          <w:p w14:paraId="791D1788" w14:textId="46614A4E" w:rsidR="007E0BA4" w:rsidRDefault="007E0BA4" w:rsidP="00977F05">
            <w:pPr>
              <w:jc w:val="center"/>
              <w:rPr>
                <w:lang w:val="en-GB"/>
              </w:rPr>
            </w:pPr>
            <w:r>
              <w:rPr>
                <w:lang w:val="en-GB"/>
              </w:rPr>
              <w:t>Fleurs</w:t>
            </w:r>
            <w:r w:rsidR="003F2A69">
              <w:rPr>
                <w:lang w:val="en-GB"/>
              </w:rPr>
              <w:t xml:space="preserve"> </w:t>
            </w:r>
            <w:r w:rsidR="003F2A69">
              <w:t>(</w:t>
            </w:r>
            <w:r w:rsidR="003F2A69" w:rsidRPr="003F2A69">
              <w:rPr>
                <w:i/>
                <w:iCs/>
              </w:rPr>
              <w:t>Saba senegalensis</w:t>
            </w:r>
            <w:r w:rsidR="003F2A69">
              <w:t>)</w:t>
            </w:r>
          </w:p>
        </w:tc>
        <w:tc>
          <w:tcPr>
            <w:tcW w:w="5208" w:type="dxa"/>
          </w:tcPr>
          <w:p w14:paraId="6C1CBA35" w14:textId="7A28B53F" w:rsidR="007E0BA4" w:rsidRDefault="007E0BA4" w:rsidP="007E0BA4">
            <w:pPr>
              <w:jc w:val="center"/>
              <w:rPr>
                <w:lang w:val="en-GB"/>
              </w:rPr>
            </w:pPr>
            <w:r>
              <w:rPr>
                <w:noProof/>
              </w:rPr>
              <w:drawing>
                <wp:inline distT="0" distB="0" distL="0" distR="0" wp14:anchorId="06BE22E2" wp14:editId="474CE848">
                  <wp:extent cx="3000375" cy="2009260"/>
                  <wp:effectExtent l="0" t="0" r="0" b="0"/>
                  <wp:docPr id="59423" name="Image 59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0" y="0"/>
                            <a:ext cx="3006920" cy="2013643"/>
                          </a:xfrm>
                          <a:prstGeom prst="rect">
                            <a:avLst/>
                          </a:prstGeom>
                          <a:noFill/>
                          <a:ln>
                            <a:noFill/>
                          </a:ln>
                        </pic:spPr>
                      </pic:pic>
                    </a:graphicData>
                  </a:graphic>
                </wp:inline>
              </w:drawing>
            </w:r>
          </w:p>
        </w:tc>
      </w:tr>
      <w:tr w:rsidR="007E0BA4" w14:paraId="12A4DC7F" w14:textId="77777777" w:rsidTr="007E0BA4">
        <w:tc>
          <w:tcPr>
            <w:tcW w:w="5208" w:type="dxa"/>
          </w:tcPr>
          <w:p w14:paraId="461A9ED1" w14:textId="77777777" w:rsidR="007E0BA4" w:rsidRDefault="007E0BA4" w:rsidP="007E0BA4">
            <w:pPr>
              <w:jc w:val="center"/>
              <w:rPr>
                <w:lang w:val="en-GB"/>
              </w:rPr>
            </w:pPr>
            <w:r>
              <w:rPr>
                <w:noProof/>
              </w:rPr>
              <w:drawing>
                <wp:inline distT="0" distB="0" distL="0" distR="0" wp14:anchorId="1A215507" wp14:editId="0BC7A957">
                  <wp:extent cx="1743075" cy="1714500"/>
                  <wp:effectExtent l="0" t="0" r="9525" b="0"/>
                  <wp:docPr id="7171" name="Image 7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0"/>
                            <a:ext cx="1743075" cy="1714500"/>
                          </a:xfrm>
                          <a:prstGeom prst="rect">
                            <a:avLst/>
                          </a:prstGeom>
                          <a:noFill/>
                          <a:ln>
                            <a:noFill/>
                          </a:ln>
                        </pic:spPr>
                      </pic:pic>
                    </a:graphicData>
                  </a:graphic>
                </wp:inline>
              </w:drawing>
            </w:r>
          </w:p>
          <w:p w14:paraId="064B845B" w14:textId="4EF06699" w:rsidR="007E0BA4" w:rsidRPr="007E0BA4" w:rsidRDefault="007E0BA4" w:rsidP="007E0BA4">
            <w:pPr>
              <w:jc w:val="center"/>
            </w:pPr>
            <w:r w:rsidRPr="007E0BA4">
              <w:t>Fruit ouvert et pulpe</w:t>
            </w:r>
            <w:r w:rsidR="003F2A69">
              <w:t xml:space="preserve"> (</w:t>
            </w:r>
            <w:r w:rsidR="003F2A69" w:rsidRPr="003F2A69">
              <w:rPr>
                <w:i/>
                <w:iCs/>
              </w:rPr>
              <w:t>Saba senegalensis</w:t>
            </w:r>
            <w:r w:rsidR="003F2A69">
              <w:t>).</w:t>
            </w:r>
          </w:p>
          <w:p w14:paraId="6B3D72CD" w14:textId="283579CD" w:rsidR="007E0BA4" w:rsidRPr="003F2A69" w:rsidRDefault="007E0BA4" w:rsidP="00977F05">
            <w:pPr>
              <w:jc w:val="center"/>
            </w:pPr>
          </w:p>
        </w:tc>
        <w:tc>
          <w:tcPr>
            <w:tcW w:w="5208" w:type="dxa"/>
          </w:tcPr>
          <w:p w14:paraId="666C53D6" w14:textId="6190D5F7" w:rsidR="007E0BA4" w:rsidRDefault="003F2A69" w:rsidP="00977F05">
            <w:pPr>
              <w:jc w:val="center"/>
              <w:rPr>
                <w:lang w:val="en-GB"/>
              </w:rPr>
            </w:pPr>
            <w:r>
              <w:rPr>
                <w:noProof/>
              </w:rPr>
              <w:drawing>
                <wp:inline distT="0" distB="0" distL="0" distR="0" wp14:anchorId="0A15881B" wp14:editId="0AB1C9A1">
                  <wp:extent cx="2095500" cy="1571625"/>
                  <wp:effectExtent l="0" t="0" r="0" b="9525"/>
                  <wp:docPr id="7172" name="Image 7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2095500" cy="1571625"/>
                          </a:xfrm>
                          <a:prstGeom prst="rect">
                            <a:avLst/>
                          </a:prstGeom>
                          <a:noFill/>
                          <a:ln>
                            <a:noFill/>
                          </a:ln>
                        </pic:spPr>
                      </pic:pic>
                    </a:graphicData>
                  </a:graphic>
                </wp:inline>
              </w:drawing>
            </w:r>
          </w:p>
          <w:p w14:paraId="2F6A0DEC" w14:textId="6D62A3A9" w:rsidR="003F2A69" w:rsidRDefault="003F2A69" w:rsidP="00977F05">
            <w:pPr>
              <w:jc w:val="center"/>
              <w:rPr>
                <w:lang w:val="en-GB"/>
              </w:rPr>
            </w:pPr>
            <w:r w:rsidRPr="003F2A69">
              <w:rPr>
                <w:lang w:val="en-GB"/>
              </w:rPr>
              <w:t xml:space="preserve">Fleur de </w:t>
            </w:r>
            <w:r w:rsidRPr="003F2A69">
              <w:rPr>
                <w:i/>
                <w:iCs/>
                <w:lang w:val="en-GB"/>
              </w:rPr>
              <w:t>Saba comorensis</w:t>
            </w:r>
          </w:p>
        </w:tc>
      </w:tr>
    </w:tbl>
    <w:p w14:paraId="4B778ED7" w14:textId="2D1E2E48" w:rsidR="00977F05" w:rsidRPr="00647B9F" w:rsidRDefault="00647B9F" w:rsidP="000F1DF5">
      <w:pPr>
        <w:pStyle w:val="Titre2"/>
        <w:rPr>
          <w:lang w:val="es-AR"/>
        </w:rPr>
      </w:pPr>
      <w:bookmarkStart w:id="66" w:name="_Toc139181357"/>
      <w:r w:rsidRPr="00647B9F">
        <w:rPr>
          <w:lang w:val="es-AR"/>
        </w:rPr>
        <w:t>Bungo, mbungo ou vigne en caoutchouc (</w:t>
      </w:r>
      <w:r w:rsidRPr="00647B9F">
        <w:rPr>
          <w:i/>
          <w:iCs/>
          <w:lang w:val="es-AR"/>
        </w:rPr>
        <w:t>Saba comorensis</w:t>
      </w:r>
      <w:r w:rsidRPr="00647B9F">
        <w:rPr>
          <w:lang w:val="es-AR"/>
        </w:rPr>
        <w:t>)</w:t>
      </w:r>
      <w:bookmarkEnd w:id="66"/>
    </w:p>
    <w:p w14:paraId="18AFC1C0" w14:textId="79E25B31" w:rsidR="00647B9F" w:rsidRDefault="00647B9F" w:rsidP="00240D30">
      <w:pPr>
        <w:spacing w:after="0" w:line="240" w:lineRule="auto"/>
        <w:rPr>
          <w:lang w:val="es-AR"/>
        </w:rPr>
      </w:pPr>
    </w:p>
    <w:p w14:paraId="43BD458F" w14:textId="77777777" w:rsidR="003F2A69" w:rsidRPr="003F2A69" w:rsidRDefault="001C02E5" w:rsidP="003F2A69">
      <w:pPr>
        <w:spacing w:after="0" w:line="240" w:lineRule="auto"/>
        <w:jc w:val="both"/>
        <w:rPr>
          <w:rFonts w:ascii="Calibri" w:hAnsi="Calibri" w:cs="Arial"/>
          <w:color w:val="202122"/>
          <w:shd w:val="clear" w:color="auto" w:fill="FFFFFF"/>
        </w:rPr>
      </w:pPr>
      <w:r w:rsidRPr="003F2A69">
        <w:rPr>
          <w:rFonts w:ascii="Calibri" w:hAnsi="Calibri"/>
        </w:rPr>
        <w:t>C’</w:t>
      </w:r>
      <w:r w:rsidRPr="003F2A69">
        <w:rPr>
          <w:rFonts w:ascii="Calibri" w:hAnsi="Calibri" w:cs="Arial"/>
          <w:color w:val="202122"/>
          <w:shd w:val="clear" w:color="auto" w:fill="FFFFFF"/>
        </w:rPr>
        <w:t>est une </w:t>
      </w:r>
      <w:hyperlink r:id="rId569" w:tooltip="Plante grimpante" w:history="1">
        <w:r w:rsidRPr="003F2A69">
          <w:rPr>
            <w:rStyle w:val="Lienhypertexte"/>
            <w:rFonts w:ascii="Calibri" w:hAnsi="Calibri" w:cs="Arial"/>
            <w:color w:val="0645AD"/>
            <w:shd w:val="clear" w:color="auto" w:fill="FFFFFF"/>
          </w:rPr>
          <w:t>plante grimpante</w:t>
        </w:r>
      </w:hyperlink>
      <w:r w:rsidRPr="003F2A69">
        <w:rPr>
          <w:rFonts w:ascii="Calibri" w:hAnsi="Calibri"/>
        </w:rPr>
        <w:t xml:space="preserve"> ou liane</w:t>
      </w:r>
      <w:r w:rsidRPr="003F2A69">
        <w:rPr>
          <w:rFonts w:ascii="Calibri" w:hAnsi="Calibri" w:cs="Arial"/>
          <w:color w:val="202122"/>
          <w:shd w:val="clear" w:color="auto" w:fill="FFFFFF"/>
        </w:rPr>
        <w:t> répandue dans la plupart des pays d'Afrique tropicale, ainsi qu'à </w:t>
      </w:r>
      <w:hyperlink r:id="rId570" w:tooltip="Madagascar" w:history="1">
        <w:r w:rsidRPr="003F2A69">
          <w:rPr>
            <w:rStyle w:val="Lienhypertexte"/>
            <w:rFonts w:ascii="Calibri" w:hAnsi="Calibri" w:cs="Arial"/>
            <w:color w:val="0645AD"/>
            <w:shd w:val="clear" w:color="auto" w:fill="FFFFFF"/>
          </w:rPr>
          <w:t>Madagascar</w:t>
        </w:r>
      </w:hyperlink>
      <w:r w:rsidRPr="003F2A69">
        <w:rPr>
          <w:rFonts w:ascii="Calibri" w:hAnsi="Calibri" w:cs="Arial"/>
          <w:color w:val="202122"/>
          <w:shd w:val="clear" w:color="auto" w:fill="FFFFFF"/>
        </w:rPr>
        <w:t> et aux </w:t>
      </w:r>
      <w:hyperlink r:id="rId571" w:tooltip="Comores (pays)" w:history="1">
        <w:r w:rsidRPr="003F2A69">
          <w:rPr>
            <w:rStyle w:val="Lienhypertexte"/>
            <w:rFonts w:ascii="Calibri" w:hAnsi="Calibri" w:cs="Arial"/>
            <w:color w:val="0645AD"/>
            <w:shd w:val="clear" w:color="auto" w:fill="FFFFFF"/>
          </w:rPr>
          <w:t>Comores</w:t>
        </w:r>
      </w:hyperlink>
      <w:r w:rsidRPr="003F2A69">
        <w:rPr>
          <w:rFonts w:ascii="Calibri" w:hAnsi="Calibri" w:cs="Arial"/>
          <w:color w:val="202122"/>
          <w:shd w:val="clear" w:color="auto" w:fill="FFFFFF"/>
        </w:rPr>
        <w:t>. Cette liane peut mesurer plus de 20 m de long. Elle produit un </w:t>
      </w:r>
      <w:hyperlink r:id="rId572" w:tooltip="Latex (matériau)" w:history="1">
        <w:r w:rsidRPr="003F2A69">
          <w:rPr>
            <w:rStyle w:val="Lienhypertexte"/>
            <w:rFonts w:ascii="Calibri" w:hAnsi="Calibri" w:cs="Arial"/>
            <w:color w:val="0645AD"/>
            <w:shd w:val="clear" w:color="auto" w:fill="FFFFFF"/>
          </w:rPr>
          <w:t>latex</w:t>
        </w:r>
      </w:hyperlink>
      <w:r w:rsidRPr="003F2A69">
        <w:rPr>
          <w:rFonts w:ascii="Calibri" w:hAnsi="Calibri" w:cs="Arial"/>
          <w:color w:val="202122"/>
          <w:shd w:val="clear" w:color="auto" w:fill="FFFFFF"/>
        </w:rPr>
        <w:t xml:space="preserve"> collant quand on la coupe. Cette plante présente des feuilles vertes, simples, opposées, elliptiques et sessiles avec un bord entier, à base arrondie, à extrémité obtuse ou arrondie, mesurant de 7 à 16 cm de long sur 4 à 8 cm, </w:t>
      </w:r>
      <w:r w:rsidR="003F2A69" w:rsidRPr="003F2A69">
        <w:rPr>
          <w:rFonts w:ascii="Calibri" w:hAnsi="Calibri" w:cs="Arial"/>
          <w:color w:val="202122"/>
          <w:shd w:val="clear" w:color="auto" w:fill="FFFFFF"/>
        </w:rPr>
        <w:t>des fleurs très parfumées à cinq pétales de couleur blanche. Les fleurs s'organisent en ombelles à terminaisons courtes, leurs corolles sont tubulaires, avec une gorge jaune et des pétales blancs.</w:t>
      </w:r>
    </w:p>
    <w:p w14:paraId="4F225438" w14:textId="77777777" w:rsidR="003F2A69" w:rsidRPr="003F2A69" w:rsidRDefault="003F2A69" w:rsidP="003F2A69">
      <w:pPr>
        <w:spacing w:after="0" w:line="240" w:lineRule="auto"/>
        <w:jc w:val="both"/>
        <w:rPr>
          <w:rFonts w:ascii="Calibri" w:hAnsi="Calibri" w:cs="Arial"/>
          <w:color w:val="202122"/>
          <w:shd w:val="clear" w:color="auto" w:fill="FFFFFF"/>
        </w:rPr>
      </w:pPr>
    </w:p>
    <w:p w14:paraId="7BD15B3C" w14:textId="3C4A8EB8" w:rsidR="00647B9F" w:rsidRPr="003F2A69" w:rsidRDefault="003F2A69" w:rsidP="003F2A69">
      <w:pPr>
        <w:spacing w:after="0" w:line="240" w:lineRule="auto"/>
        <w:jc w:val="both"/>
        <w:rPr>
          <w:rFonts w:ascii="Calibri" w:hAnsi="Calibri"/>
        </w:rPr>
      </w:pPr>
      <w:r w:rsidRPr="003F2A69">
        <w:rPr>
          <w:rFonts w:ascii="Calibri" w:hAnsi="Calibri" w:cs="Arial"/>
          <w:color w:val="202122"/>
          <w:shd w:val="clear" w:color="auto" w:fill="FFFFFF"/>
        </w:rPr>
        <w:lastRenderedPageBreak/>
        <w:t>Le fruit mesure 4-8 cm de long et 3.5-6 cm de large. D'abord vert, il vire au jaune orangé avec une peau d'orange dure. Une fois ouvert, il contient une douzaine de pépins marron foncé, qui ont la même texture qu'une graine de mangue avec les fibres et le jus enfermés dans ces fibres. Le fruit donne également un jus délicieux au goût de mangue, orange et ananas.</w:t>
      </w:r>
      <w:r w:rsidRPr="003F2A69">
        <w:rPr>
          <w:rFonts w:ascii="Calibri" w:hAnsi="Calibri"/>
        </w:rPr>
        <w:t xml:space="preserve"> L'espèce ne fructifie pas chaque année. La période de floraison de cette </w:t>
      </w:r>
      <w:r w:rsidRPr="003F2A69">
        <w:rPr>
          <w:rFonts w:ascii="Calibri" w:hAnsi="Calibri"/>
          <w:i/>
          <w:iCs/>
        </w:rPr>
        <w:t>plante envahissante</w:t>
      </w:r>
      <w:r w:rsidRPr="003F2A69">
        <w:rPr>
          <w:rFonts w:ascii="Calibri" w:hAnsi="Calibri"/>
        </w:rPr>
        <w:t xml:space="preserve"> est assez variable. Elle débute en octobre au Burkina faso et en février en Tanzanie.</w:t>
      </w:r>
    </w:p>
    <w:p w14:paraId="41525381" w14:textId="68FB020D" w:rsidR="00647B9F" w:rsidRPr="001C02E5" w:rsidRDefault="00647B9F" w:rsidP="00240D30">
      <w:pPr>
        <w:spacing w:after="0" w:line="240" w:lineRule="auto"/>
      </w:pPr>
      <w:r w:rsidRPr="001C02E5">
        <w:t xml:space="preserve">Sources : a) </w:t>
      </w:r>
      <w:hyperlink r:id="rId573" w:history="1">
        <w:r w:rsidRPr="001C02E5">
          <w:rPr>
            <w:rStyle w:val="Lienhypertexte"/>
          </w:rPr>
          <w:t>https://en.wikipedia.org/wiki/Saba_senegalensis</w:t>
        </w:r>
      </w:hyperlink>
      <w:r w:rsidRPr="001C02E5">
        <w:t xml:space="preserve"> </w:t>
      </w:r>
    </w:p>
    <w:p w14:paraId="08CDF1A0" w14:textId="77777777" w:rsidR="00167E1D" w:rsidRDefault="00167E1D" w:rsidP="00167E1D">
      <w:pPr>
        <w:spacing w:after="0" w:line="240" w:lineRule="auto"/>
      </w:pPr>
    </w:p>
    <w:p w14:paraId="5FBB367A" w14:textId="77777777" w:rsidR="00167E1D" w:rsidRPr="00167E1D" w:rsidRDefault="00167E1D" w:rsidP="00167E1D">
      <w:pPr>
        <w:pStyle w:val="Titre2"/>
        <w:numPr>
          <w:ilvl w:val="1"/>
          <w:numId w:val="99"/>
        </w:numPr>
        <w:rPr>
          <w:lang w:val="es-AR"/>
        </w:rPr>
      </w:pPr>
      <w:bookmarkStart w:id="67" w:name="_Toc139181358"/>
      <w:r w:rsidRPr="00167E1D">
        <w:rPr>
          <w:lang w:val="es-AR"/>
        </w:rPr>
        <w:t>Hanza ou aizen (</w:t>
      </w:r>
      <w:r w:rsidRPr="00167E1D">
        <w:rPr>
          <w:i/>
          <w:iCs/>
          <w:lang w:val="es-AR"/>
        </w:rPr>
        <w:t>Boscia senegalensis</w:t>
      </w:r>
      <w:r w:rsidRPr="00167E1D">
        <w:rPr>
          <w:lang w:val="es-AR"/>
        </w:rPr>
        <w:t>)</w:t>
      </w:r>
      <w:bookmarkEnd w:id="67"/>
    </w:p>
    <w:p w14:paraId="2C25DEBB" w14:textId="77777777" w:rsidR="00167E1D" w:rsidRDefault="00167E1D" w:rsidP="00167E1D">
      <w:pPr>
        <w:spacing w:after="0" w:line="240" w:lineRule="auto"/>
        <w:jc w:val="both"/>
        <w:rPr>
          <w:lang w:val="es-AR"/>
        </w:rPr>
      </w:pPr>
    </w:p>
    <w:p w14:paraId="43DE81CD" w14:textId="77777777" w:rsidR="00167E1D" w:rsidRPr="00652080" w:rsidRDefault="00167E1D" w:rsidP="00167E1D">
      <w:pPr>
        <w:pStyle w:val="NormalWeb"/>
        <w:shd w:val="clear" w:color="auto" w:fill="FFFFFF"/>
        <w:spacing w:before="0" w:beforeAutospacing="0" w:after="0" w:afterAutospacing="0"/>
        <w:jc w:val="both"/>
        <w:rPr>
          <w:rFonts w:ascii="Calibri" w:hAnsi="Calibri" w:cs="Calibri"/>
          <w:color w:val="202122"/>
          <w:sz w:val="22"/>
          <w:szCs w:val="22"/>
        </w:rPr>
      </w:pPr>
      <w:r w:rsidRPr="005F0D99">
        <w:rPr>
          <w:rFonts w:ascii="Calibri" w:hAnsi="Calibri" w:cs="Calibri"/>
          <w:color w:val="000000" w:themeColor="text1"/>
          <w:sz w:val="22"/>
          <w:szCs w:val="22"/>
        </w:rPr>
        <w:t xml:space="preserve">C’est une espèce </w:t>
      </w:r>
      <w:r w:rsidRPr="005F0D99">
        <w:rPr>
          <w:rFonts w:ascii="Calibri" w:hAnsi="Calibri" w:cs="Calibri"/>
          <w:color w:val="202122"/>
          <w:sz w:val="22"/>
          <w:szCs w:val="22"/>
        </w:rPr>
        <w:t>d'</w:t>
      </w:r>
      <w:hyperlink r:id="rId574" w:tooltip="Arbuste" w:history="1">
        <w:r w:rsidRPr="005F0D99">
          <w:rPr>
            <w:rStyle w:val="Lienhypertexte"/>
            <w:rFonts w:ascii="Calibri" w:eastAsiaTheme="majorEastAsia" w:hAnsi="Calibri" w:cs="Calibri"/>
            <w:color w:val="0645AD"/>
            <w:sz w:val="22"/>
            <w:szCs w:val="22"/>
          </w:rPr>
          <w:t>arbustes</w:t>
        </w:r>
      </w:hyperlink>
      <w:r w:rsidRPr="005F0D99">
        <w:rPr>
          <w:rStyle w:val="Lienhypertexte"/>
          <w:rFonts w:ascii="Calibri" w:eastAsiaTheme="majorEastAsia" w:hAnsi="Calibri" w:cs="Calibri"/>
          <w:color w:val="0645AD"/>
          <w:sz w:val="22"/>
          <w:szCs w:val="22"/>
        </w:rPr>
        <w:t xml:space="preserve">, </w:t>
      </w:r>
      <w:r w:rsidRPr="005F0D99">
        <w:rPr>
          <w:rFonts w:ascii="Calibri" w:hAnsi="Calibri" w:cs="Calibri"/>
          <w:sz w:val="22"/>
          <w:szCs w:val="22"/>
        </w:rPr>
        <w:t>à feuilles persistantes,</w:t>
      </w:r>
      <w:r w:rsidRPr="005F0D99">
        <w:rPr>
          <w:rFonts w:ascii="Calibri" w:hAnsi="Calibri" w:cs="Calibri"/>
          <w:color w:val="202122"/>
          <w:sz w:val="22"/>
          <w:szCs w:val="22"/>
        </w:rPr>
        <w:t> </w:t>
      </w:r>
      <w:r w:rsidRPr="005F0D99">
        <w:rPr>
          <w:rFonts w:ascii="Calibri" w:hAnsi="Calibri" w:cs="Calibri"/>
          <w:color w:val="000000" w:themeColor="text1"/>
          <w:sz w:val="22"/>
          <w:szCs w:val="22"/>
        </w:rPr>
        <w:t>de la famille des </w:t>
      </w:r>
      <w:hyperlink r:id="rId575" w:tooltip="Capparaceae" w:history="1">
        <w:r w:rsidRPr="005F0D99">
          <w:rPr>
            <w:rStyle w:val="Lienhypertexte"/>
            <w:rFonts w:ascii="Calibri" w:eastAsiaTheme="majorEastAsia" w:hAnsi="Calibri" w:cs="Calibri"/>
            <w:i/>
            <w:iCs/>
            <w:color w:val="0645AD"/>
            <w:sz w:val="22"/>
            <w:szCs w:val="22"/>
          </w:rPr>
          <w:t>Capparaceae</w:t>
        </w:r>
      </w:hyperlink>
      <w:r w:rsidRPr="005F0D99">
        <w:rPr>
          <w:rFonts w:ascii="Calibri" w:hAnsi="Calibri" w:cs="Calibri"/>
          <w:color w:val="202122"/>
          <w:sz w:val="22"/>
          <w:szCs w:val="22"/>
        </w:rPr>
        <w:t xml:space="preserve"> </w:t>
      </w:r>
      <w:r>
        <w:rPr>
          <w:rFonts w:ascii="Calibri" w:hAnsi="Calibri" w:cs="Calibri"/>
          <w:color w:val="202122"/>
          <w:sz w:val="22"/>
          <w:szCs w:val="22"/>
        </w:rPr>
        <w:t>(</w:t>
      </w:r>
      <w:r w:rsidRPr="005F0D99">
        <w:rPr>
          <w:rFonts w:ascii="Calibri" w:hAnsi="Calibri" w:cs="Calibri"/>
          <w:color w:val="000000" w:themeColor="text1"/>
          <w:sz w:val="22"/>
          <w:szCs w:val="22"/>
        </w:rPr>
        <w:t>celle des câpres</w:t>
      </w:r>
      <w:r>
        <w:rPr>
          <w:rFonts w:ascii="Calibri" w:hAnsi="Calibri" w:cs="Calibri"/>
          <w:color w:val="000000" w:themeColor="text1"/>
          <w:sz w:val="22"/>
          <w:szCs w:val="22"/>
        </w:rPr>
        <w:t>)</w:t>
      </w:r>
      <w:r w:rsidRPr="005F0D99">
        <w:rPr>
          <w:rFonts w:ascii="Calibri" w:hAnsi="Calibri" w:cs="Calibri"/>
          <w:color w:val="202122"/>
          <w:sz w:val="22"/>
          <w:szCs w:val="22"/>
        </w:rPr>
        <w:t>, o</w:t>
      </w:r>
      <w:r w:rsidRPr="005F0D99">
        <w:rPr>
          <w:rFonts w:ascii="Calibri" w:hAnsi="Calibri" w:cs="Calibri"/>
          <w:color w:val="000000" w:themeColor="text1"/>
          <w:sz w:val="22"/>
          <w:szCs w:val="22"/>
        </w:rPr>
        <w:t>riginaire</w:t>
      </w:r>
      <w:r w:rsidRPr="00652080">
        <w:rPr>
          <w:rFonts w:ascii="Calibri" w:hAnsi="Calibri" w:cs="Calibri"/>
          <w:color w:val="000000" w:themeColor="text1"/>
          <w:sz w:val="22"/>
          <w:szCs w:val="22"/>
        </w:rPr>
        <w:t xml:space="preserve"> </w:t>
      </w:r>
      <w:r w:rsidRPr="00652080">
        <w:rPr>
          <w:rFonts w:ascii="Calibri" w:hAnsi="Calibri" w:cs="Calibri"/>
          <w:color w:val="202122"/>
          <w:sz w:val="22"/>
          <w:szCs w:val="22"/>
        </w:rPr>
        <w:t>d'</w:t>
      </w:r>
      <w:hyperlink r:id="rId576" w:tooltip="Afrique de l'Ouest" w:history="1">
        <w:r w:rsidRPr="00652080">
          <w:rPr>
            <w:rStyle w:val="Lienhypertexte"/>
            <w:rFonts w:ascii="Calibri" w:eastAsiaTheme="majorEastAsia" w:hAnsi="Calibri" w:cs="Calibri"/>
            <w:color w:val="0645AD"/>
            <w:sz w:val="22"/>
            <w:szCs w:val="22"/>
          </w:rPr>
          <w:t>Afrique de l'Ouest</w:t>
        </w:r>
      </w:hyperlink>
      <w:r w:rsidRPr="00652080">
        <w:rPr>
          <w:rFonts w:ascii="Calibri" w:hAnsi="Calibri" w:cs="Calibri"/>
          <w:color w:val="202122"/>
          <w:sz w:val="22"/>
          <w:szCs w:val="22"/>
        </w:rPr>
        <w:t> (</w:t>
      </w:r>
      <w:hyperlink r:id="rId577" w:tooltip="Sahel" w:history="1">
        <w:r w:rsidRPr="00652080">
          <w:rPr>
            <w:rStyle w:val="Lienhypertexte"/>
            <w:rFonts w:ascii="Calibri" w:eastAsiaTheme="majorEastAsia" w:hAnsi="Calibri" w:cs="Calibri"/>
            <w:color w:val="0645AD"/>
            <w:sz w:val="22"/>
            <w:szCs w:val="22"/>
          </w:rPr>
          <w:t>Sahel</w:t>
        </w:r>
      </w:hyperlink>
      <w:r w:rsidRPr="00652080">
        <w:rPr>
          <w:rFonts w:ascii="Calibri" w:hAnsi="Calibri" w:cs="Calibri"/>
          <w:color w:val="202122"/>
          <w:sz w:val="22"/>
          <w:szCs w:val="22"/>
        </w:rPr>
        <w:t>).</w:t>
      </w:r>
    </w:p>
    <w:p w14:paraId="4A267575" w14:textId="77777777" w:rsidR="00167E1D" w:rsidRPr="00652080" w:rsidRDefault="00167E1D" w:rsidP="00167E1D">
      <w:pPr>
        <w:pStyle w:val="NormalWeb"/>
        <w:shd w:val="clear" w:color="auto" w:fill="FFFFFF"/>
        <w:spacing w:before="0" w:beforeAutospacing="0" w:after="0" w:afterAutospacing="0"/>
        <w:jc w:val="both"/>
        <w:rPr>
          <w:rFonts w:ascii="Calibri" w:hAnsi="Calibri" w:cs="Calibri"/>
          <w:color w:val="000000" w:themeColor="text1"/>
          <w:sz w:val="22"/>
          <w:szCs w:val="22"/>
        </w:rPr>
      </w:pPr>
      <w:r w:rsidRPr="00652080">
        <w:rPr>
          <w:rFonts w:ascii="Calibri" w:hAnsi="Calibri" w:cs="Calibri"/>
          <w:color w:val="000000" w:themeColor="text1"/>
          <w:sz w:val="22"/>
          <w:szCs w:val="22"/>
        </w:rPr>
        <w:t>Aliment traditionnel en Afrique, son fruit peu connu en Occident a le potentiel d'améliorer la </w:t>
      </w:r>
      <w:hyperlink r:id="rId578" w:tooltip="Nutrition" w:history="1">
        <w:r w:rsidRPr="00652080">
          <w:rPr>
            <w:rStyle w:val="Lienhypertexte"/>
            <w:rFonts w:ascii="Calibri" w:eastAsiaTheme="majorEastAsia" w:hAnsi="Calibri" w:cs="Calibri"/>
            <w:color w:val="0645AD"/>
            <w:sz w:val="22"/>
            <w:szCs w:val="22"/>
          </w:rPr>
          <w:t>nutrition</w:t>
        </w:r>
      </w:hyperlink>
      <w:r w:rsidRPr="00652080">
        <w:rPr>
          <w:rFonts w:ascii="Calibri" w:hAnsi="Calibri" w:cs="Calibri"/>
          <w:color w:val="202122"/>
          <w:sz w:val="22"/>
          <w:szCs w:val="22"/>
        </w:rPr>
        <w:t xml:space="preserve">, </w:t>
      </w:r>
      <w:r w:rsidRPr="00652080">
        <w:rPr>
          <w:rFonts w:ascii="Calibri" w:hAnsi="Calibri" w:cs="Calibri"/>
          <w:color w:val="000000" w:themeColor="text1"/>
          <w:sz w:val="22"/>
          <w:szCs w:val="22"/>
        </w:rPr>
        <w:t>renforcer la sécurité alimentaire, favoriser le développement rural et</w:t>
      </w:r>
      <w:r>
        <w:rPr>
          <w:rFonts w:ascii="Calibri" w:hAnsi="Calibri" w:cs="Calibri"/>
          <w:color w:val="000000" w:themeColor="text1"/>
          <w:sz w:val="22"/>
          <w:szCs w:val="22"/>
        </w:rPr>
        <w:t xml:space="preserve"> l’entretien</w:t>
      </w:r>
      <w:r w:rsidRPr="00652080">
        <w:rPr>
          <w:rFonts w:ascii="Calibri" w:hAnsi="Calibri" w:cs="Calibri"/>
          <w:color w:val="000000" w:themeColor="text1"/>
          <w:sz w:val="22"/>
          <w:szCs w:val="22"/>
        </w:rPr>
        <w:t xml:space="preserve"> durable des terres.</w:t>
      </w:r>
    </w:p>
    <w:p w14:paraId="4074D721" w14:textId="77777777" w:rsidR="00167E1D" w:rsidRDefault="00167E1D" w:rsidP="00167E1D">
      <w:pPr>
        <w:spacing w:after="0" w:line="240" w:lineRule="auto"/>
        <w:jc w:val="both"/>
      </w:pPr>
      <w:r>
        <w:t>Cet arbuste peut pousser n'importe où de 2 à 5 m (6 pi 7 po à 13 pi 1 po) de hauteur dans des conditions favorables. Il supporte bien le vent. Les feuilles à pétiole court sont petites et coriaces. Elles atteignent 12 cm × 4 cm (4,7 po × 1,6 po). Il produit des fruits, regroupés en petits bouquets, sous la forme de baies jaunes sphériques, jusqu'à 1,5 cm (0,59 pouces) de diamètre. Ces fruits contiennent 1-4 graines, qui sont d'une teinte verdâtre à maturité.</w:t>
      </w:r>
    </w:p>
    <w:p w14:paraId="5D6DEDB8" w14:textId="77777777" w:rsidR="00167E1D" w:rsidRPr="00652080" w:rsidRDefault="00167E1D" w:rsidP="00167E1D">
      <w:pPr>
        <w:spacing w:after="0" w:line="240" w:lineRule="auto"/>
        <w:jc w:val="both"/>
      </w:pPr>
      <w:r w:rsidRPr="005F0D99">
        <w:rPr>
          <w:u w:val="single"/>
        </w:rPr>
        <w:t>Utilisations</w:t>
      </w:r>
      <w:r>
        <w:t xml:space="preserve"> : </w:t>
      </w:r>
      <w:r w:rsidRPr="005F0D99">
        <w:t>Ses graines sont transformées en diverses produits alimentaires. Elle</w:t>
      </w:r>
      <w:r>
        <w:t>s</w:t>
      </w:r>
      <w:r w:rsidRPr="005F0D99">
        <w:t xml:space="preserve"> ser</w:t>
      </w:r>
      <w:r>
        <w:t>ven</w:t>
      </w:r>
      <w:r w:rsidRPr="005F0D99">
        <w:t>t à la fabrication d'entre autre de couscous, farines, gâteaux, biscuits, popcorns, hommos, et boissons.</w:t>
      </w:r>
      <w:r>
        <w:t xml:space="preserve"> L’espèce à des utilisations médicinales.</w:t>
      </w:r>
    </w:p>
    <w:p w14:paraId="5D4598CA" w14:textId="77777777" w:rsidR="00167E1D" w:rsidRDefault="00167E1D" w:rsidP="00167E1D">
      <w:pPr>
        <w:spacing w:after="0" w:line="240" w:lineRule="auto"/>
        <w:jc w:val="both"/>
      </w:pPr>
      <w:r w:rsidRPr="00243D34">
        <w:t>Il est reconnu comme une solution potentielle à la faim et un tampon contre la famine dans la région du Sahel</w:t>
      </w:r>
      <w:r>
        <w:t>.</w:t>
      </w:r>
    </w:p>
    <w:p w14:paraId="52035B44" w14:textId="77777777" w:rsidR="00167E1D" w:rsidRDefault="00167E1D" w:rsidP="00167E1D">
      <w:pPr>
        <w:spacing w:after="0" w:line="240" w:lineRule="auto"/>
        <w:jc w:val="both"/>
      </w:pPr>
      <w:r w:rsidRPr="00243D34">
        <w:rPr>
          <w:u w:val="single"/>
        </w:rPr>
        <w:t>Amertume</w:t>
      </w:r>
      <w:r>
        <w:t> : Les graines de hanza sont à l'état brut fortement amères, un goût dû à des doses élevées de glucocapparine (MeGSL). Pour qu'elles soient rendues comestibles, elles doivent d'abord être désamérisées. Ceci se fait habituellement par des techniques d'immersion prolongée dans l'eau, pouvant durer une semaine. La glucocapparine se dégage dans l'eau, où elle se retrouve dans une forme transformée, en methylisothiocyanate (MeITC). Cette eau amère a des effets de pesticide et d'herbicide.</w:t>
      </w:r>
    </w:p>
    <w:p w14:paraId="65D13065" w14:textId="77777777" w:rsidR="00167E1D" w:rsidRPr="00652080" w:rsidRDefault="00167E1D" w:rsidP="00167E1D">
      <w:pPr>
        <w:spacing w:after="0" w:line="240" w:lineRule="auto"/>
        <w:jc w:val="both"/>
      </w:pPr>
      <w:r>
        <w:t>L'amertume du hanza joue un rôle de pesticide naturel, qui protège les fruits lorsqu'ils sont sur l'arbre. Il est rare de voir des prédateurs s'attaquer aux fruits avant que ceux-ci ne soient pleinement mûrs. C'est alors seulement que les oiseaux s'intéressent à leurs mésocarpes sucrés. De même, des graines amères récoltées et séchées n'ont pas de parasite connu lors du stockage. Ainsi, les graines de hanza peuvent être conservées durant des années sans grand effort, tant qu'ils sont à l'abri de la pluie et de l'humidité. Ils peuvent ensuite être désamérisés et consommés au fur et à mesure, selon le besoin. Ceci peut être d'une grande utilité dans la recherche de la sécurité alimentaire.</w:t>
      </w:r>
    </w:p>
    <w:p w14:paraId="253A73BA" w14:textId="77777777" w:rsidR="00167E1D" w:rsidRDefault="00167E1D" w:rsidP="00167E1D">
      <w:pPr>
        <w:spacing w:after="0" w:line="240" w:lineRule="auto"/>
      </w:pPr>
      <w:r>
        <w:t xml:space="preserve">Source : a) </w:t>
      </w:r>
      <w:hyperlink r:id="rId579" w:history="1">
        <w:r w:rsidRPr="00EE60B2">
          <w:rPr>
            <w:rStyle w:val="Lienhypertexte"/>
          </w:rPr>
          <w:t>https://fr.wikipedia.org/wiki/Boscia_senegalensis</w:t>
        </w:r>
      </w:hyperlink>
      <w:r>
        <w:t xml:space="preserve">, b) </w:t>
      </w:r>
      <w:hyperlink r:id="rId580" w:history="1">
        <w:r w:rsidRPr="00EE60B2">
          <w:rPr>
            <w:rStyle w:val="Lienhypertexte"/>
          </w:rPr>
          <w:t>https://en.wikipedia.org/wiki/Boscia_senegalensis</w:t>
        </w:r>
      </w:hyperlink>
      <w:r>
        <w:t xml:space="preserve"> </w:t>
      </w:r>
    </w:p>
    <w:p w14:paraId="4E7662AA" w14:textId="77777777" w:rsidR="00167E1D" w:rsidRDefault="00167E1D" w:rsidP="00167E1D">
      <w:pPr>
        <w:spacing w:after="0" w:line="240" w:lineRule="auto"/>
      </w:pPr>
    </w:p>
    <w:tbl>
      <w:tblPr>
        <w:tblStyle w:val="Grilledutableau"/>
        <w:tblW w:w="0" w:type="auto"/>
        <w:tblLook w:val="04A0" w:firstRow="1" w:lastRow="0" w:firstColumn="1" w:lastColumn="0" w:noHBand="0" w:noVBand="1"/>
      </w:tblPr>
      <w:tblGrid>
        <w:gridCol w:w="5151"/>
        <w:gridCol w:w="5151"/>
      </w:tblGrid>
      <w:tr w:rsidR="00167E1D" w14:paraId="3126305B" w14:textId="77777777" w:rsidTr="00CB42F3">
        <w:tc>
          <w:tcPr>
            <w:tcW w:w="5151" w:type="dxa"/>
            <w:tcBorders>
              <w:top w:val="nil"/>
              <w:left w:val="nil"/>
              <w:bottom w:val="nil"/>
              <w:right w:val="nil"/>
            </w:tcBorders>
          </w:tcPr>
          <w:p w14:paraId="2EB3E129" w14:textId="77777777" w:rsidR="00167E1D" w:rsidRDefault="00167E1D" w:rsidP="00CB42F3">
            <w:pPr>
              <w:jc w:val="center"/>
            </w:pPr>
            <w:r>
              <w:rPr>
                <w:noProof/>
              </w:rPr>
              <w:drawing>
                <wp:inline distT="0" distB="0" distL="0" distR="0" wp14:anchorId="0E5A96B7" wp14:editId="4454AA2B">
                  <wp:extent cx="2142112" cy="1438275"/>
                  <wp:effectExtent l="0" t="0" r="0" b="0"/>
                  <wp:docPr id="146449" name="Image 146449" descr="Une image contenant extérieur, terrain, ciel, salet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49" name="Image 146449" descr="Une image contenant extérieur, terrain, ciel, saleté&#10;&#10;Description générée automatiquement"/>
                          <pic:cNvPicPr>
                            <a:picLocks noChangeAspect="1" noChangeArrowheads="1"/>
                          </pic:cNvPicPr>
                        </pic:nvPicPr>
                        <pic:blipFill>
                          <a:blip r:embed="rId581">
                            <a:extLst>
                              <a:ext uri="{28A0092B-C50C-407E-A947-70E740481C1C}">
                                <a14:useLocalDpi xmlns:a14="http://schemas.microsoft.com/office/drawing/2010/main" val="0"/>
                              </a:ext>
                            </a:extLst>
                          </a:blip>
                          <a:srcRect/>
                          <a:stretch>
                            <a:fillRect/>
                          </a:stretch>
                        </pic:blipFill>
                        <pic:spPr bwMode="auto">
                          <a:xfrm>
                            <a:off x="0" y="0"/>
                            <a:ext cx="2147224" cy="1441707"/>
                          </a:xfrm>
                          <a:prstGeom prst="rect">
                            <a:avLst/>
                          </a:prstGeom>
                          <a:noFill/>
                          <a:ln>
                            <a:noFill/>
                          </a:ln>
                        </pic:spPr>
                      </pic:pic>
                    </a:graphicData>
                  </a:graphic>
                </wp:inline>
              </w:drawing>
            </w:r>
          </w:p>
          <w:p w14:paraId="45D1ADB9" w14:textId="77777777" w:rsidR="00167E1D" w:rsidRDefault="00167E1D" w:rsidP="00CB42F3">
            <w:pPr>
              <w:jc w:val="center"/>
            </w:pPr>
            <w:r w:rsidRPr="00371128">
              <w:rPr>
                <w:i/>
                <w:iCs/>
              </w:rPr>
              <w:t>Boscia senegalensis</w:t>
            </w:r>
            <w:r w:rsidRPr="00371128">
              <w:t>, apparus dans un champ</w:t>
            </w:r>
          </w:p>
        </w:tc>
        <w:tc>
          <w:tcPr>
            <w:tcW w:w="5151" w:type="dxa"/>
            <w:tcBorders>
              <w:top w:val="nil"/>
              <w:left w:val="nil"/>
              <w:bottom w:val="nil"/>
              <w:right w:val="nil"/>
            </w:tcBorders>
          </w:tcPr>
          <w:p w14:paraId="18026528" w14:textId="77777777" w:rsidR="00167E1D" w:rsidRDefault="00167E1D" w:rsidP="00CB42F3">
            <w:pPr>
              <w:jc w:val="center"/>
            </w:pPr>
            <w:r>
              <w:rPr>
                <w:noProof/>
              </w:rPr>
              <w:drawing>
                <wp:inline distT="0" distB="0" distL="0" distR="0" wp14:anchorId="7F111C98" wp14:editId="4E82DF6A">
                  <wp:extent cx="2304419" cy="1438275"/>
                  <wp:effectExtent l="0" t="0" r="635" b="0"/>
                  <wp:docPr id="89090" name="Image 89090" descr="Une image contenant extérieur,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0" name="Image 89090" descr="Une image contenant extérieur, plante&#10;&#10;Description générée automatiquement"/>
                          <pic:cNvPicPr>
                            <a:picLocks noChangeAspect="1" noChangeArrowheads="1"/>
                          </pic:cNvPicPr>
                        </pic:nvPicPr>
                        <pic:blipFill>
                          <a:blip r:embed="rId582">
                            <a:extLst>
                              <a:ext uri="{28A0092B-C50C-407E-A947-70E740481C1C}">
                                <a14:useLocalDpi xmlns:a14="http://schemas.microsoft.com/office/drawing/2010/main" val="0"/>
                              </a:ext>
                            </a:extLst>
                          </a:blip>
                          <a:srcRect/>
                          <a:stretch>
                            <a:fillRect/>
                          </a:stretch>
                        </pic:blipFill>
                        <pic:spPr bwMode="auto">
                          <a:xfrm>
                            <a:off x="0" y="0"/>
                            <a:ext cx="2315154" cy="1444975"/>
                          </a:xfrm>
                          <a:prstGeom prst="rect">
                            <a:avLst/>
                          </a:prstGeom>
                          <a:noFill/>
                          <a:ln>
                            <a:noFill/>
                          </a:ln>
                        </pic:spPr>
                      </pic:pic>
                    </a:graphicData>
                  </a:graphic>
                </wp:inline>
              </w:drawing>
            </w:r>
          </w:p>
          <w:p w14:paraId="2EEF65EE" w14:textId="77777777" w:rsidR="00167E1D" w:rsidRDefault="00167E1D" w:rsidP="00CB42F3">
            <w:pPr>
              <w:jc w:val="center"/>
            </w:pPr>
            <w:r>
              <w:t>Feuilles et fruits</w:t>
            </w:r>
          </w:p>
        </w:tc>
      </w:tr>
      <w:tr w:rsidR="00167E1D" w14:paraId="09DE5936" w14:textId="77777777" w:rsidTr="00CB42F3">
        <w:tc>
          <w:tcPr>
            <w:tcW w:w="5151" w:type="dxa"/>
            <w:tcBorders>
              <w:top w:val="nil"/>
              <w:left w:val="nil"/>
              <w:bottom w:val="nil"/>
              <w:right w:val="nil"/>
            </w:tcBorders>
          </w:tcPr>
          <w:p w14:paraId="2119E52F" w14:textId="77777777" w:rsidR="00167E1D" w:rsidRDefault="00167E1D" w:rsidP="00CB42F3">
            <w:pPr>
              <w:jc w:val="center"/>
              <w:rPr>
                <w:noProof/>
              </w:rPr>
            </w:pPr>
            <w:r>
              <w:rPr>
                <w:noProof/>
              </w:rPr>
              <w:lastRenderedPageBreak/>
              <w:drawing>
                <wp:inline distT="0" distB="0" distL="0" distR="0" wp14:anchorId="0DC1CA71" wp14:editId="5E7FF7DD">
                  <wp:extent cx="2326532" cy="1562100"/>
                  <wp:effectExtent l="0" t="0" r="0" b="0"/>
                  <wp:docPr id="89091" name="Image 89091" descr="Une image contenant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1" name="Image 89091" descr="Une image contenant plante&#10;&#10;Description générée automatiquement"/>
                          <pic:cNvPicPr>
                            <a:picLocks noChangeAspect="1" noChangeArrowheads="1"/>
                          </pic:cNvPicPr>
                        </pic:nvPicPr>
                        <pic:blipFill>
                          <a:blip r:embed="rId583">
                            <a:extLst>
                              <a:ext uri="{28A0092B-C50C-407E-A947-70E740481C1C}">
                                <a14:useLocalDpi xmlns:a14="http://schemas.microsoft.com/office/drawing/2010/main" val="0"/>
                              </a:ext>
                            </a:extLst>
                          </a:blip>
                          <a:srcRect/>
                          <a:stretch>
                            <a:fillRect/>
                          </a:stretch>
                        </pic:blipFill>
                        <pic:spPr bwMode="auto">
                          <a:xfrm>
                            <a:off x="0" y="0"/>
                            <a:ext cx="2336068" cy="1568503"/>
                          </a:xfrm>
                          <a:prstGeom prst="rect">
                            <a:avLst/>
                          </a:prstGeom>
                          <a:noFill/>
                          <a:ln>
                            <a:noFill/>
                          </a:ln>
                        </pic:spPr>
                      </pic:pic>
                    </a:graphicData>
                  </a:graphic>
                </wp:inline>
              </w:drawing>
            </w:r>
          </w:p>
          <w:p w14:paraId="7979F28B" w14:textId="77777777" w:rsidR="00167E1D" w:rsidRDefault="00167E1D" w:rsidP="00CB42F3">
            <w:pPr>
              <w:jc w:val="center"/>
              <w:rPr>
                <w:noProof/>
              </w:rPr>
            </w:pPr>
            <w:r w:rsidRPr="003B7E9B">
              <w:rPr>
                <w:noProof/>
              </w:rPr>
              <w:t>Fruits non mûrs</w:t>
            </w:r>
          </w:p>
        </w:tc>
        <w:tc>
          <w:tcPr>
            <w:tcW w:w="5151" w:type="dxa"/>
            <w:tcBorders>
              <w:top w:val="nil"/>
              <w:left w:val="nil"/>
              <w:bottom w:val="nil"/>
              <w:right w:val="nil"/>
            </w:tcBorders>
          </w:tcPr>
          <w:p w14:paraId="565AC0B8" w14:textId="77777777" w:rsidR="00167E1D" w:rsidRDefault="00167E1D" w:rsidP="00CB42F3">
            <w:pPr>
              <w:jc w:val="center"/>
              <w:rPr>
                <w:noProof/>
              </w:rPr>
            </w:pPr>
            <w:r>
              <w:rPr>
                <w:noProof/>
              </w:rPr>
              <w:drawing>
                <wp:inline distT="0" distB="0" distL="0" distR="0" wp14:anchorId="6E54B692" wp14:editId="42ECDE59">
                  <wp:extent cx="2019300" cy="1516198"/>
                  <wp:effectExtent l="0" t="0" r="0" b="8255"/>
                  <wp:docPr id="89092" name="Image 89092" descr="Une image contenant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2" name="Image 89092" descr="Une image contenant intérieur&#10;&#10;Description générée automatiquement"/>
                          <pic:cNvPicPr>
                            <a:picLocks noChangeAspect="1" noChangeArrowheads="1"/>
                          </pic:cNvPicPr>
                        </pic:nvPicPr>
                        <pic:blipFill>
                          <a:blip r:embed="rId584">
                            <a:extLst>
                              <a:ext uri="{28A0092B-C50C-407E-A947-70E740481C1C}">
                                <a14:useLocalDpi xmlns:a14="http://schemas.microsoft.com/office/drawing/2010/main" val="0"/>
                              </a:ext>
                            </a:extLst>
                          </a:blip>
                          <a:srcRect/>
                          <a:stretch>
                            <a:fillRect/>
                          </a:stretch>
                        </pic:blipFill>
                        <pic:spPr bwMode="auto">
                          <a:xfrm>
                            <a:off x="0" y="0"/>
                            <a:ext cx="2028167" cy="1522856"/>
                          </a:xfrm>
                          <a:prstGeom prst="rect">
                            <a:avLst/>
                          </a:prstGeom>
                          <a:noFill/>
                          <a:ln>
                            <a:noFill/>
                          </a:ln>
                        </pic:spPr>
                      </pic:pic>
                    </a:graphicData>
                  </a:graphic>
                </wp:inline>
              </w:drawing>
            </w:r>
          </w:p>
          <w:p w14:paraId="72A0475B" w14:textId="77777777" w:rsidR="00167E1D" w:rsidRDefault="00167E1D" w:rsidP="00CB42F3">
            <w:pPr>
              <w:jc w:val="center"/>
              <w:rPr>
                <w:noProof/>
              </w:rPr>
            </w:pPr>
            <w:r w:rsidRPr="00371128">
              <w:rPr>
                <w:noProof/>
              </w:rPr>
              <w:t>Pain hanza, biscuits et hanza cuit, Zinder, République du Niger</w:t>
            </w:r>
            <w:r>
              <w:rPr>
                <w:noProof/>
              </w:rPr>
              <w:t>.</w:t>
            </w:r>
          </w:p>
        </w:tc>
      </w:tr>
    </w:tbl>
    <w:p w14:paraId="32111681" w14:textId="77777777" w:rsidR="00167E1D" w:rsidRDefault="00167E1D" w:rsidP="00167E1D">
      <w:pPr>
        <w:spacing w:after="0" w:line="240" w:lineRule="auto"/>
      </w:pPr>
    </w:p>
    <w:p w14:paraId="54991AF2" w14:textId="77777777" w:rsidR="00167E1D" w:rsidRDefault="00167E1D" w:rsidP="00167E1D">
      <w:pPr>
        <w:pStyle w:val="Titre2"/>
      </w:pPr>
      <w:bookmarkStart w:id="68" w:name="_Toc139181359"/>
      <w:r w:rsidRPr="00371128">
        <w:t>Ditax, ditakh, detar et « arbre à suif » (</w:t>
      </w:r>
      <w:r w:rsidRPr="00371128">
        <w:rPr>
          <w:i/>
          <w:iCs/>
        </w:rPr>
        <w:t>Detarium senegalense</w:t>
      </w:r>
      <w:r w:rsidRPr="00371128">
        <w:t>)</w:t>
      </w:r>
      <w:bookmarkEnd w:id="68"/>
    </w:p>
    <w:p w14:paraId="10AB85B7" w14:textId="77777777" w:rsidR="00167E1D" w:rsidRDefault="00167E1D" w:rsidP="00167E1D">
      <w:pPr>
        <w:spacing w:after="0" w:line="240" w:lineRule="auto"/>
        <w:jc w:val="both"/>
      </w:pPr>
    </w:p>
    <w:p w14:paraId="1F35821E" w14:textId="77777777" w:rsidR="00167E1D" w:rsidRDefault="00167E1D" w:rsidP="00167E1D">
      <w:pPr>
        <w:spacing w:after="0" w:line="240" w:lineRule="auto"/>
        <w:jc w:val="both"/>
        <w:rPr>
          <w:rFonts w:ascii="Calibri" w:hAnsi="Calibri" w:cs="Calibri"/>
          <w:shd w:val="clear" w:color="auto" w:fill="FFFFFF"/>
        </w:rPr>
      </w:pPr>
      <w:r w:rsidRPr="00371128">
        <w:rPr>
          <w:rFonts w:ascii="Calibri" w:hAnsi="Calibri" w:cs="Calibri"/>
        </w:rPr>
        <w:t>C'est une espèce d'arbres africains,</w:t>
      </w:r>
      <w:r>
        <w:rPr>
          <w:rFonts w:ascii="Calibri" w:hAnsi="Calibri" w:cs="Calibri"/>
        </w:rPr>
        <w:t xml:space="preserve"> </w:t>
      </w:r>
      <w:r w:rsidRPr="00371128">
        <w:rPr>
          <w:rFonts w:ascii="Calibri" w:hAnsi="Calibri" w:cs="Calibri"/>
        </w:rPr>
        <w:t>pouvant atteindre 40 m de haut</w:t>
      </w:r>
      <w:r>
        <w:rPr>
          <w:rFonts w:ascii="Calibri" w:hAnsi="Calibri" w:cs="Calibri"/>
        </w:rPr>
        <w:t>,</w:t>
      </w:r>
      <w:r w:rsidRPr="00371128">
        <w:rPr>
          <w:rFonts w:ascii="Calibri" w:hAnsi="Calibri" w:cs="Calibri"/>
        </w:rPr>
        <w:t xml:space="preserve"> </w:t>
      </w:r>
      <w:r w:rsidRPr="00371128">
        <w:rPr>
          <w:rFonts w:ascii="Calibri" w:hAnsi="Calibri" w:cs="Calibri"/>
          <w:shd w:val="clear" w:color="auto" w:fill="FFFFFF"/>
        </w:rPr>
        <w:t>natif du </w:t>
      </w:r>
      <w:hyperlink r:id="rId585" w:tooltip="Sénégal" w:history="1">
        <w:r w:rsidRPr="00371128">
          <w:rPr>
            <w:rStyle w:val="Lienhypertexte"/>
            <w:rFonts w:ascii="Calibri" w:hAnsi="Calibri" w:cs="Calibri"/>
            <w:color w:val="0645AD"/>
            <w:shd w:val="clear" w:color="auto" w:fill="FFFFFF"/>
          </w:rPr>
          <w:t>Sénégal</w:t>
        </w:r>
      </w:hyperlink>
      <w:r w:rsidRPr="00371128">
        <w:rPr>
          <w:rFonts w:ascii="Calibri" w:hAnsi="Calibri" w:cs="Calibri"/>
          <w:color w:val="202122"/>
          <w:shd w:val="clear" w:color="auto" w:fill="FFFFFF"/>
        </w:rPr>
        <w:t> </w:t>
      </w:r>
      <w:r w:rsidRPr="00371128">
        <w:rPr>
          <w:rFonts w:ascii="Calibri" w:hAnsi="Calibri" w:cs="Calibri"/>
          <w:shd w:val="clear" w:color="auto" w:fill="FFFFFF"/>
        </w:rPr>
        <w:t xml:space="preserve">et d'autres pays </w:t>
      </w:r>
      <w:r w:rsidRPr="00371128">
        <w:rPr>
          <w:rFonts w:ascii="Calibri" w:hAnsi="Calibri" w:cs="Calibri"/>
          <w:color w:val="202122"/>
          <w:shd w:val="clear" w:color="auto" w:fill="FFFFFF"/>
        </w:rPr>
        <w:t>d'</w:t>
      </w:r>
      <w:hyperlink r:id="rId586" w:tooltip="Afrique de l'Ouest" w:history="1">
        <w:r w:rsidRPr="00371128">
          <w:rPr>
            <w:rStyle w:val="Lienhypertexte"/>
            <w:rFonts w:ascii="Calibri" w:hAnsi="Calibri" w:cs="Calibri"/>
            <w:color w:val="0645AD"/>
            <w:shd w:val="clear" w:color="auto" w:fill="FFFFFF"/>
          </w:rPr>
          <w:t>Afrique de l'Ouest</w:t>
        </w:r>
      </w:hyperlink>
      <w:r w:rsidRPr="00371128">
        <w:rPr>
          <w:rFonts w:ascii="Calibri" w:hAnsi="Calibri" w:cs="Calibri"/>
        </w:rPr>
        <w:t xml:space="preserve">. </w:t>
      </w:r>
      <w:r w:rsidRPr="00371128">
        <w:rPr>
          <w:rFonts w:ascii="Calibri" w:hAnsi="Calibri" w:cs="Calibri"/>
          <w:shd w:val="clear" w:color="auto" w:fill="FFFFFF"/>
        </w:rPr>
        <w:t>Contrairement à la plupart des espèces de </w:t>
      </w:r>
      <w:hyperlink r:id="rId587" w:tooltip="Fabaceae" w:history="1">
        <w:r w:rsidRPr="00371128">
          <w:rPr>
            <w:rStyle w:val="Lienhypertexte"/>
            <w:rFonts w:ascii="Calibri" w:hAnsi="Calibri" w:cs="Calibri"/>
            <w:color w:val="0645AD"/>
            <w:shd w:val="clear" w:color="auto" w:fill="FFFFFF"/>
          </w:rPr>
          <w:t>Fabacées</w:t>
        </w:r>
      </w:hyperlink>
      <w:r>
        <w:rPr>
          <w:rFonts w:ascii="Calibri" w:hAnsi="Calibri" w:cs="Calibri"/>
        </w:rPr>
        <w:t xml:space="preserve"> (</w:t>
      </w:r>
      <w:r w:rsidRPr="00BF6564">
        <w:rPr>
          <w:rFonts w:ascii="Calibri" w:hAnsi="Calibri" w:cs="Calibri"/>
          <w:shd w:val="clear" w:color="auto" w:fill="FFFFFF"/>
        </w:rPr>
        <w:t>légumineuse</w:t>
      </w:r>
      <w:r>
        <w:rPr>
          <w:rFonts w:ascii="Calibri" w:hAnsi="Calibri" w:cs="Calibri"/>
        </w:rPr>
        <w:t>)</w:t>
      </w:r>
      <w:r w:rsidRPr="00371128">
        <w:rPr>
          <w:rFonts w:ascii="Calibri" w:hAnsi="Calibri" w:cs="Calibri"/>
          <w:color w:val="202122"/>
          <w:shd w:val="clear" w:color="auto" w:fill="FFFFFF"/>
        </w:rPr>
        <w:t xml:space="preserve">, </w:t>
      </w:r>
      <w:r w:rsidRPr="00371128">
        <w:rPr>
          <w:rFonts w:ascii="Calibri" w:hAnsi="Calibri" w:cs="Calibri"/>
          <w:shd w:val="clear" w:color="auto" w:fill="FFFFFF"/>
        </w:rPr>
        <w:t>il produit des fruits sphériques</w:t>
      </w:r>
      <w:r>
        <w:rPr>
          <w:rFonts w:ascii="Calibri" w:hAnsi="Calibri" w:cs="Calibri"/>
          <w:shd w:val="clear" w:color="auto" w:fill="FFFFFF"/>
        </w:rPr>
        <w:t xml:space="preserve"> ou de forme ovale,  de couleur verte, avec pulpe farineuse,</w:t>
      </w:r>
      <w:r>
        <w:rPr>
          <w:rFonts w:ascii="Calibri" w:hAnsi="Calibri" w:cs="Calibri"/>
        </w:rPr>
        <w:t xml:space="preserve"> et </w:t>
      </w:r>
      <w:r w:rsidRPr="00BF6564">
        <w:rPr>
          <w:rFonts w:ascii="Calibri" w:hAnsi="Calibri" w:cs="Calibri"/>
          <w:shd w:val="clear" w:color="auto" w:fill="FFFFFF"/>
        </w:rPr>
        <w:t>ne </w:t>
      </w:r>
      <w:hyperlink r:id="rId588" w:history="1">
        <w:r w:rsidRPr="00BF6564">
          <w:rPr>
            <w:rStyle w:val="Lienhypertexte"/>
            <w:rFonts w:ascii="Calibri" w:hAnsi="Calibri" w:cs="Calibri"/>
            <w:color w:val="0645AD"/>
            <w:shd w:val="clear" w:color="auto" w:fill="FFFFFF"/>
          </w:rPr>
          <w:t>fixe pas des quantités significatives d'azote</w:t>
        </w:r>
      </w:hyperlink>
      <w:r>
        <w:t>.</w:t>
      </w:r>
      <w:r w:rsidRPr="00371128">
        <w:rPr>
          <w:rFonts w:ascii="Calibri" w:hAnsi="Calibri" w:cs="Calibri"/>
        </w:rPr>
        <w:t xml:space="preserve"> </w:t>
      </w:r>
      <w:r w:rsidRPr="00371128">
        <w:rPr>
          <w:rFonts w:ascii="Calibri" w:hAnsi="Calibri" w:cs="Calibri"/>
          <w:shd w:val="clear" w:color="auto" w:fill="FFFFFF"/>
        </w:rPr>
        <w:t xml:space="preserve">Il fournit </w:t>
      </w:r>
      <w:r>
        <w:rPr>
          <w:rFonts w:ascii="Calibri" w:hAnsi="Calibri" w:cs="Calibri"/>
          <w:shd w:val="clear" w:color="auto" w:fill="FFFFFF"/>
        </w:rPr>
        <w:t xml:space="preserve">aussi </w:t>
      </w:r>
      <w:r w:rsidRPr="00371128">
        <w:rPr>
          <w:rFonts w:ascii="Calibri" w:hAnsi="Calibri" w:cs="Calibri"/>
          <w:shd w:val="clear" w:color="auto" w:fill="FFFFFF"/>
        </w:rPr>
        <w:t xml:space="preserve">des ingrédients pour la médecine traditionnelle et un bois de qualité. </w:t>
      </w:r>
    </w:p>
    <w:p w14:paraId="62CD7B0F" w14:textId="77777777" w:rsidR="00167E1D" w:rsidRDefault="00167E1D" w:rsidP="00167E1D">
      <w:pPr>
        <w:spacing w:after="0" w:line="240" w:lineRule="auto"/>
        <w:jc w:val="both"/>
        <w:rPr>
          <w:rFonts w:ascii="Calibri" w:hAnsi="Calibri" w:cs="Calibri"/>
        </w:rPr>
      </w:pPr>
      <w:r w:rsidRPr="00970E79">
        <w:rPr>
          <w:rFonts w:ascii="Calibri" w:hAnsi="Calibri" w:cs="Calibri"/>
          <w:u w:val="single"/>
        </w:rPr>
        <w:t>Description</w:t>
      </w:r>
      <w:r w:rsidRPr="00970E79">
        <w:rPr>
          <w:rFonts w:ascii="Calibri" w:hAnsi="Calibri" w:cs="Calibri"/>
        </w:rPr>
        <w:t xml:space="preserve"> : </w:t>
      </w:r>
      <w:r w:rsidRPr="00970E79">
        <w:rPr>
          <w:rFonts w:ascii="Calibri" w:hAnsi="Calibri" w:cs="Calibri"/>
          <w:shd w:val="clear" w:color="auto" w:fill="FFFFFF"/>
        </w:rPr>
        <w:t> il a des branches épaisses irrégulièrement disposées. Le tronc des arbres adultes atteint typiquement 60 à 100 cm de diamètre. Son fruit est une </w:t>
      </w:r>
      <w:hyperlink r:id="rId589" w:tooltip="Drupe" w:history="1">
        <w:r w:rsidRPr="00970E79">
          <w:rPr>
            <w:rStyle w:val="Lienhypertexte"/>
            <w:rFonts w:ascii="Calibri" w:hAnsi="Calibri" w:cs="Calibri"/>
            <w:color w:val="0645AD"/>
            <w:shd w:val="clear" w:color="auto" w:fill="FFFFFF"/>
          </w:rPr>
          <w:t>drupe</w:t>
        </w:r>
      </w:hyperlink>
      <w:r w:rsidRPr="00970E79">
        <w:rPr>
          <w:rFonts w:ascii="Calibri" w:hAnsi="Calibri" w:cs="Calibri"/>
          <w:color w:val="202122"/>
          <w:shd w:val="clear" w:color="auto" w:fill="FFFFFF"/>
        </w:rPr>
        <w:t> </w:t>
      </w:r>
      <w:r w:rsidRPr="00970E79">
        <w:rPr>
          <w:rFonts w:ascii="Calibri" w:hAnsi="Calibri" w:cs="Calibri"/>
          <w:shd w:val="clear" w:color="auto" w:fill="FFFFFF"/>
        </w:rPr>
        <w:t>sphérique vert foncé contenant une pulpe fibreuse entourant une graine unique. Cette disposition est proche de celle des fruits du </w:t>
      </w:r>
      <w:hyperlink r:id="rId590" w:tooltip="Tamarinier" w:history="1">
        <w:r w:rsidRPr="00970E79">
          <w:rPr>
            <w:rStyle w:val="Lienhypertexte"/>
            <w:rFonts w:ascii="Calibri" w:hAnsi="Calibri" w:cs="Calibri"/>
            <w:color w:val="0645AD"/>
            <w:shd w:val="clear" w:color="auto" w:fill="FFFFFF"/>
          </w:rPr>
          <w:t>tamarinier</w:t>
        </w:r>
      </w:hyperlink>
      <w:r w:rsidRPr="00970E79">
        <w:rPr>
          <w:rFonts w:ascii="Calibri" w:hAnsi="Calibri" w:cs="Calibri"/>
        </w:rPr>
        <w:t>.</w:t>
      </w:r>
      <w:r>
        <w:rPr>
          <w:rFonts w:ascii="Calibri" w:hAnsi="Calibri" w:cs="Calibri"/>
        </w:rPr>
        <w:t xml:space="preserve"> </w:t>
      </w:r>
      <w:r w:rsidRPr="00970E79">
        <w:rPr>
          <w:rFonts w:ascii="Calibri" w:hAnsi="Calibri" w:cs="Calibri"/>
        </w:rPr>
        <w:t xml:space="preserve">La saveur aigre-douce du fruit est appréciée et celui-ci se conserve bien sur les étals, grâce à sa peau épaisse et à sa pulpe sèche. </w:t>
      </w:r>
    </w:p>
    <w:p w14:paraId="7FF6D732" w14:textId="77777777" w:rsidR="00167E1D" w:rsidRPr="00BF6564" w:rsidRDefault="00167E1D" w:rsidP="00167E1D">
      <w:pPr>
        <w:spacing w:after="0" w:line="240" w:lineRule="auto"/>
        <w:jc w:val="both"/>
      </w:pPr>
      <w:r w:rsidRPr="00970E79">
        <w:rPr>
          <w:rFonts w:ascii="Calibri" w:hAnsi="Calibri" w:cs="Calibri"/>
          <w:u w:val="single"/>
        </w:rPr>
        <w:t>Toxicité et amélioration génétique</w:t>
      </w:r>
      <w:r>
        <w:rPr>
          <w:rFonts w:ascii="Calibri" w:hAnsi="Calibri" w:cs="Calibri"/>
        </w:rPr>
        <w:t xml:space="preserve"> : </w:t>
      </w:r>
      <w:r w:rsidRPr="00BF6564">
        <w:rPr>
          <w:rFonts w:ascii="Calibri" w:hAnsi="Calibri" w:cs="Calibri"/>
          <w:i/>
          <w:iCs/>
        </w:rPr>
        <w:t>Certains individus produisent par exemple des fruits toxiques</w:t>
      </w:r>
      <w:r w:rsidRPr="00BF6564">
        <w:rPr>
          <w:rFonts w:ascii="Calibri" w:hAnsi="Calibri" w:cs="Calibri"/>
        </w:rPr>
        <w:t xml:space="preserve"> et il n'existe pas de moyen certain de les distinguer de ceux dont les fruits sont comestibles. Les arbres qui produisent des fruits toxiques sont souvent identifiables par la présence de fruits intouchés à leur pied, alors que les animaux s'en emparent normalement très rapidement. </w:t>
      </w:r>
      <w:r w:rsidRPr="00BF6564">
        <w:rPr>
          <w:rFonts w:ascii="Calibri" w:hAnsi="Calibri" w:cs="Calibri"/>
          <w:shd w:val="clear" w:color="auto" w:fill="FFFFFF"/>
        </w:rPr>
        <w:t>Les arbres du genre </w:t>
      </w:r>
      <w:hyperlink r:id="rId591" w:tooltip="Detarium" w:history="1">
        <w:r w:rsidRPr="00483767">
          <w:rPr>
            <w:rStyle w:val="Lienhypertexte"/>
            <w:rFonts w:ascii="Calibri" w:hAnsi="Calibri" w:cs="Calibri"/>
            <w:i/>
            <w:iCs/>
            <w:color w:val="0645AD"/>
            <w:shd w:val="clear" w:color="auto" w:fill="FFFFFF"/>
          </w:rPr>
          <w:t>Detarium</w:t>
        </w:r>
      </w:hyperlink>
      <w:r w:rsidRPr="00483767">
        <w:rPr>
          <w:rFonts w:ascii="Calibri" w:hAnsi="Calibri" w:cs="Calibri"/>
          <w:color w:val="202122"/>
          <w:shd w:val="clear" w:color="auto" w:fill="FFFFFF"/>
        </w:rPr>
        <w:t> </w:t>
      </w:r>
      <w:r w:rsidRPr="00BF6564">
        <w:rPr>
          <w:rFonts w:ascii="Calibri" w:hAnsi="Calibri" w:cs="Calibri"/>
          <w:shd w:val="clear" w:color="auto" w:fill="FFFFFF"/>
        </w:rPr>
        <w:t>n'ont pas encore été systématiquement cultivés ou améliorés génétiquement</w:t>
      </w:r>
      <w:r w:rsidRPr="00BF6564">
        <w:rPr>
          <w:rFonts w:ascii="Calibri" w:hAnsi="Calibri" w:cs="Calibri"/>
        </w:rPr>
        <w:t>, alors qu’il est nécessaire de l'améliorer génétiquement, pour pouvoir les exploiter plus largement en agriculture et résoudre ce problème de toxicité.</w:t>
      </w:r>
    </w:p>
    <w:p w14:paraId="3BAA96D2" w14:textId="77777777" w:rsidR="00167E1D" w:rsidRDefault="00167E1D" w:rsidP="00167E1D">
      <w:pPr>
        <w:spacing w:after="0" w:line="240" w:lineRule="auto"/>
        <w:jc w:val="both"/>
        <w:rPr>
          <w:rFonts w:ascii="Calibri" w:hAnsi="Calibri" w:cs="Calibri"/>
        </w:rPr>
      </w:pPr>
      <w:r w:rsidRPr="00483767">
        <w:rPr>
          <w:rFonts w:ascii="Calibri" w:hAnsi="Calibri" w:cs="Calibri"/>
          <w:u w:val="single"/>
        </w:rPr>
        <w:t>Habitat, écologie</w:t>
      </w:r>
      <w:r>
        <w:rPr>
          <w:rFonts w:ascii="Calibri" w:hAnsi="Calibri" w:cs="Calibri"/>
        </w:rPr>
        <w:t xml:space="preserve"> : </w:t>
      </w:r>
      <w:r w:rsidRPr="00483767">
        <w:rPr>
          <w:rFonts w:ascii="Calibri" w:hAnsi="Calibri" w:cs="Calibri"/>
        </w:rPr>
        <w:t>Ces arbres poussent généralement dans les forêts-galeries, les savanes ou le long des berges des rivières.</w:t>
      </w:r>
      <w:r>
        <w:rPr>
          <w:rFonts w:ascii="Calibri" w:hAnsi="Calibri" w:cs="Calibri"/>
        </w:rPr>
        <w:t xml:space="preserve"> </w:t>
      </w:r>
      <w:r w:rsidRPr="00BF6564">
        <w:rPr>
          <w:rFonts w:ascii="Calibri" w:hAnsi="Calibri" w:cs="Calibri"/>
        </w:rPr>
        <w:t>Ces arbres supportent bien la sécheresse et peuvent pousser dans des zones infertiles, dans la mesure où ils sont relativement insensibles à la nature du sol, à l'altitude, à la chaleur et à l'humidité.</w:t>
      </w:r>
    </w:p>
    <w:p w14:paraId="1A68C14B" w14:textId="77777777" w:rsidR="00167E1D" w:rsidRDefault="00167E1D" w:rsidP="00167E1D">
      <w:pPr>
        <w:spacing w:after="0" w:line="240" w:lineRule="auto"/>
        <w:jc w:val="both"/>
        <w:rPr>
          <w:rFonts w:ascii="Calibri" w:hAnsi="Calibri" w:cs="Calibri"/>
          <w:shd w:val="clear" w:color="auto" w:fill="FFFFFF"/>
        </w:rPr>
      </w:pPr>
      <w:r w:rsidRPr="00483767">
        <w:rPr>
          <w:rFonts w:ascii="Calibri" w:hAnsi="Calibri" w:cs="Calibri"/>
          <w:u w:val="single"/>
        </w:rPr>
        <w:t>Reproduction</w:t>
      </w:r>
      <w:r>
        <w:rPr>
          <w:rFonts w:ascii="Calibri" w:hAnsi="Calibri" w:cs="Calibri"/>
          <w:u w:val="single"/>
        </w:rPr>
        <w:t>, feuillaison, floraison, fructification</w:t>
      </w:r>
      <w:r>
        <w:rPr>
          <w:rFonts w:ascii="Calibri" w:hAnsi="Calibri" w:cs="Calibri"/>
        </w:rPr>
        <w:t xml:space="preserve"> : </w:t>
      </w:r>
      <w:r w:rsidRPr="00065BDD">
        <w:rPr>
          <w:rFonts w:ascii="Calibri" w:hAnsi="Calibri" w:cs="Calibri"/>
        </w:rPr>
        <w:t xml:space="preserve">Cet arbre </w:t>
      </w:r>
      <w:r w:rsidRPr="00065BDD">
        <w:rPr>
          <w:rFonts w:ascii="Calibri" w:hAnsi="Calibri" w:cs="Calibri"/>
          <w:shd w:val="clear" w:color="auto" w:fill="FFFFFF"/>
        </w:rPr>
        <w:t>se propage grâce à ses graines, souvent transportées par les éléphants ou les chimpanzés qui consomment ses fruits. Ces graines germent entre 6 et 10 semaines après avoir été dispersées, mais leur taux de</w:t>
      </w:r>
      <w:r w:rsidRPr="00065BDD">
        <w:rPr>
          <w:rFonts w:ascii="Calibri" w:hAnsi="Calibri" w:cs="Calibri"/>
          <w:color w:val="202122"/>
          <w:shd w:val="clear" w:color="auto" w:fill="FFFFFF"/>
        </w:rPr>
        <w:t> </w:t>
      </w:r>
      <w:hyperlink r:id="rId592" w:tooltip="Germination" w:history="1">
        <w:r w:rsidRPr="00065BDD">
          <w:rPr>
            <w:rStyle w:val="Lienhypertexte"/>
            <w:rFonts w:ascii="Calibri" w:hAnsi="Calibri" w:cs="Calibri"/>
            <w:color w:val="0645AD"/>
            <w:shd w:val="clear" w:color="auto" w:fill="FFFFFF"/>
          </w:rPr>
          <w:t>germination</w:t>
        </w:r>
      </w:hyperlink>
      <w:r w:rsidRPr="00065BDD">
        <w:rPr>
          <w:rFonts w:ascii="Calibri" w:hAnsi="Calibri" w:cs="Calibri"/>
          <w:color w:val="202122"/>
          <w:shd w:val="clear" w:color="auto" w:fill="FFFFFF"/>
        </w:rPr>
        <w:t> </w:t>
      </w:r>
      <w:r w:rsidRPr="00065BDD">
        <w:rPr>
          <w:rFonts w:ascii="Calibri" w:hAnsi="Calibri" w:cs="Calibri"/>
          <w:shd w:val="clear" w:color="auto" w:fill="FFFFFF"/>
        </w:rPr>
        <w:t>est naturellement bas</w:t>
      </w:r>
      <w:r w:rsidRPr="00065BDD">
        <w:rPr>
          <w:rFonts w:ascii="Arial" w:hAnsi="Arial" w:cs="Arial"/>
          <w:sz w:val="21"/>
          <w:szCs w:val="21"/>
          <w:shd w:val="clear" w:color="auto" w:fill="FFFFFF"/>
        </w:rPr>
        <w:t>.</w:t>
      </w:r>
      <w:r>
        <w:rPr>
          <w:rFonts w:ascii="Arial" w:hAnsi="Arial" w:cs="Arial"/>
          <w:sz w:val="21"/>
          <w:szCs w:val="21"/>
          <w:shd w:val="clear" w:color="auto" w:fill="FFFFFF"/>
        </w:rPr>
        <w:t xml:space="preserve"> </w:t>
      </w:r>
      <w:r w:rsidRPr="008809B6">
        <w:rPr>
          <w:rFonts w:ascii="Calibri" w:hAnsi="Calibri" w:cs="Calibri"/>
          <w:shd w:val="clear" w:color="auto" w:fill="FFFFFF"/>
        </w:rPr>
        <w:t>Il possède deux phases de fructification. Il perd généralement ses feuilles au début du mois de mars et elles repoussent quelques semaines plus tard. La floraison se produit après le développement des jeunes feuilles. À mesure que le fruit mûrit, son goût devient plus sucré et il se charge en </w:t>
      </w:r>
      <w:hyperlink r:id="rId593" w:tooltip="Vitamine C" w:history="1">
        <w:r w:rsidRPr="008809B6">
          <w:rPr>
            <w:rStyle w:val="Lienhypertexte"/>
            <w:rFonts w:ascii="Calibri" w:hAnsi="Calibri" w:cs="Calibri"/>
            <w:color w:val="0645AD"/>
            <w:shd w:val="clear" w:color="auto" w:fill="FFFFFF"/>
          </w:rPr>
          <w:t>vitamine C</w:t>
        </w:r>
      </w:hyperlink>
      <w:r w:rsidRPr="008809B6">
        <w:rPr>
          <w:rFonts w:ascii="Calibri" w:hAnsi="Calibri" w:cs="Calibri"/>
          <w:color w:val="202122"/>
          <w:shd w:val="clear" w:color="auto" w:fill="FFFFFF"/>
        </w:rPr>
        <w:t xml:space="preserve">. </w:t>
      </w:r>
      <w:r w:rsidRPr="008809B6">
        <w:rPr>
          <w:rFonts w:ascii="Calibri" w:hAnsi="Calibri" w:cs="Calibri"/>
          <w:shd w:val="clear" w:color="auto" w:fill="FFFFFF"/>
        </w:rPr>
        <w:t>Il atteint son plein mûrissement entre août et novembre, selon la région.</w:t>
      </w:r>
    </w:p>
    <w:p w14:paraId="3FCC2D44" w14:textId="77777777" w:rsidR="00167E1D" w:rsidRPr="008809B6" w:rsidRDefault="00167E1D" w:rsidP="00167E1D">
      <w:pPr>
        <w:spacing w:after="0" w:line="240" w:lineRule="auto"/>
        <w:jc w:val="both"/>
        <w:rPr>
          <w:rFonts w:ascii="Calibri" w:hAnsi="Calibri" w:cs="Calibri"/>
          <w:shd w:val="clear" w:color="auto" w:fill="FFFFFF"/>
        </w:rPr>
      </w:pPr>
      <w:r w:rsidRPr="00D401D8">
        <w:rPr>
          <w:rFonts w:ascii="Calibri" w:hAnsi="Calibri" w:cs="Calibri"/>
          <w:shd w:val="clear" w:color="auto" w:fill="FFFFFF"/>
        </w:rPr>
        <w:t xml:space="preserve">Le temps de multiplication peut être réduit par la greffe. Pour </w:t>
      </w:r>
      <w:r w:rsidRPr="00D401D8">
        <w:rPr>
          <w:rFonts w:ascii="Calibri" w:hAnsi="Calibri" w:cs="Calibri"/>
          <w:i/>
          <w:iCs/>
          <w:shd w:val="clear" w:color="auto" w:fill="FFFFFF"/>
        </w:rPr>
        <w:t>Detarium senegalense</w:t>
      </w:r>
      <w:r w:rsidRPr="00D401D8">
        <w:rPr>
          <w:rFonts w:ascii="Calibri" w:hAnsi="Calibri" w:cs="Calibri"/>
          <w:shd w:val="clear" w:color="auto" w:fill="FFFFFF"/>
        </w:rPr>
        <w:t>, la greffe apicale est la plus efficace, si elle est faite à la fin de la saison sèche.</w:t>
      </w:r>
    </w:p>
    <w:p w14:paraId="16F16D6F" w14:textId="77777777" w:rsidR="00167E1D" w:rsidRDefault="00167E1D" w:rsidP="00167E1D">
      <w:pPr>
        <w:spacing w:after="0" w:line="240" w:lineRule="auto"/>
        <w:jc w:val="both"/>
        <w:rPr>
          <w:rFonts w:ascii="Calibri" w:hAnsi="Calibri" w:cs="Calibri"/>
          <w:color w:val="202122"/>
          <w:shd w:val="clear" w:color="auto" w:fill="FFFFFF"/>
        </w:rPr>
      </w:pPr>
      <w:r w:rsidRPr="009B1D0B">
        <w:rPr>
          <w:rFonts w:ascii="Calibri" w:hAnsi="Calibri" w:cs="Calibri"/>
          <w:u w:val="single"/>
          <w:shd w:val="clear" w:color="auto" w:fill="FFFFFF"/>
        </w:rPr>
        <w:t>Maladies</w:t>
      </w:r>
      <w:r w:rsidRPr="009B1D0B">
        <w:rPr>
          <w:rFonts w:ascii="Calibri" w:hAnsi="Calibri" w:cs="Calibri"/>
          <w:shd w:val="clear" w:color="auto" w:fill="FFFFFF"/>
        </w:rPr>
        <w:t> :</w:t>
      </w:r>
      <w:r>
        <w:rPr>
          <w:rFonts w:ascii="Arial" w:hAnsi="Arial" w:cs="Arial"/>
          <w:color w:val="202122"/>
          <w:sz w:val="21"/>
          <w:szCs w:val="21"/>
          <w:shd w:val="clear" w:color="auto" w:fill="FFFFFF"/>
        </w:rPr>
        <w:t> </w:t>
      </w:r>
      <w:r w:rsidRPr="009B1D0B">
        <w:rPr>
          <w:rFonts w:ascii="Calibri" w:hAnsi="Calibri" w:cs="Calibri"/>
          <w:shd w:val="clear" w:color="auto" w:fill="FFFFFF"/>
        </w:rPr>
        <w:t>Leur bois présente une bonne résistance aux attaques des termites, des </w:t>
      </w:r>
      <w:hyperlink r:id="rId594" w:tooltip="Platypodinae" w:history="1">
        <w:r w:rsidRPr="009B1D0B">
          <w:rPr>
            <w:rStyle w:val="Lienhypertexte"/>
            <w:rFonts w:ascii="Calibri" w:hAnsi="Calibri" w:cs="Calibri"/>
            <w:i/>
            <w:iCs/>
            <w:color w:val="0645AD"/>
            <w:shd w:val="clear" w:color="auto" w:fill="FFFFFF"/>
          </w:rPr>
          <w:t>Platypodinae</w:t>
        </w:r>
      </w:hyperlink>
      <w:r w:rsidRPr="009B1D0B">
        <w:rPr>
          <w:rFonts w:ascii="Calibri" w:hAnsi="Calibri" w:cs="Calibri"/>
          <w:color w:val="202122"/>
          <w:shd w:val="clear" w:color="auto" w:fill="FFFFFF"/>
        </w:rPr>
        <w:t> </w:t>
      </w:r>
      <w:r w:rsidRPr="009B1D0B">
        <w:rPr>
          <w:rFonts w:ascii="Calibri" w:hAnsi="Calibri" w:cs="Calibri"/>
          <w:shd w:val="clear" w:color="auto" w:fill="FFFFFF"/>
        </w:rPr>
        <w:t>et des </w:t>
      </w:r>
      <w:hyperlink r:id="rId595" w:tooltip="Térébrant marin" w:history="1">
        <w:r w:rsidRPr="009B1D0B">
          <w:rPr>
            <w:rStyle w:val="Lienhypertexte"/>
            <w:rFonts w:ascii="Calibri" w:hAnsi="Calibri" w:cs="Calibri"/>
            <w:color w:val="0645AD"/>
            <w:shd w:val="clear" w:color="auto" w:fill="FFFFFF"/>
          </w:rPr>
          <w:t>térébrants marins</w:t>
        </w:r>
      </w:hyperlink>
      <w:r w:rsidRPr="009B1D0B">
        <w:rPr>
          <w:rFonts w:ascii="Calibri" w:hAnsi="Calibri" w:cs="Calibri"/>
          <w:color w:val="202122"/>
          <w:shd w:val="clear" w:color="auto" w:fill="FFFFFF"/>
        </w:rPr>
        <w:t xml:space="preserve"> ; </w:t>
      </w:r>
      <w:r w:rsidRPr="009B1D0B">
        <w:rPr>
          <w:rFonts w:ascii="Calibri" w:hAnsi="Calibri" w:cs="Calibri"/>
          <w:shd w:val="clear" w:color="auto" w:fill="FFFFFF"/>
        </w:rPr>
        <w:t>il est cependant sensible à celles des </w:t>
      </w:r>
      <w:hyperlink r:id="rId596" w:tooltip="Bostrichidae" w:history="1">
        <w:r w:rsidRPr="009B1D0B">
          <w:rPr>
            <w:rStyle w:val="Lienhypertexte"/>
            <w:rFonts w:ascii="Calibri" w:hAnsi="Calibri" w:cs="Calibri"/>
            <w:i/>
            <w:iCs/>
            <w:color w:val="0645AD"/>
            <w:shd w:val="clear" w:color="auto" w:fill="FFFFFF"/>
          </w:rPr>
          <w:t>Bostrichidés</w:t>
        </w:r>
      </w:hyperlink>
      <w:r w:rsidRPr="009B1D0B">
        <w:rPr>
          <w:rFonts w:ascii="Calibri" w:hAnsi="Calibri" w:cs="Calibri"/>
          <w:color w:val="202122"/>
          <w:shd w:val="clear" w:color="auto" w:fill="FFFFFF"/>
        </w:rPr>
        <w:t> </w:t>
      </w:r>
      <w:r w:rsidRPr="009B1D0B">
        <w:rPr>
          <w:rFonts w:ascii="Calibri" w:hAnsi="Calibri" w:cs="Calibri"/>
          <w:shd w:val="clear" w:color="auto" w:fill="FFFFFF"/>
        </w:rPr>
        <w:t>du genre </w:t>
      </w:r>
      <w:hyperlink r:id="rId597" w:history="1">
        <w:r w:rsidRPr="009B1D0B">
          <w:rPr>
            <w:rStyle w:val="Lienhypertexte"/>
            <w:rFonts w:ascii="Calibri" w:hAnsi="Calibri" w:cs="Calibri"/>
            <w:i/>
            <w:iCs/>
            <w:color w:val="0645AD"/>
            <w:shd w:val="clear" w:color="auto" w:fill="FFFFFF"/>
          </w:rPr>
          <w:t>Lyctus</w:t>
        </w:r>
      </w:hyperlink>
      <w:r w:rsidRPr="009B1D0B">
        <w:rPr>
          <w:rFonts w:ascii="Calibri" w:hAnsi="Calibri" w:cs="Calibri"/>
          <w:i/>
          <w:iCs/>
          <w:color w:val="202122"/>
          <w:shd w:val="clear" w:color="auto" w:fill="FFFFFF"/>
        </w:rPr>
        <w:t>.</w:t>
      </w:r>
    </w:p>
    <w:p w14:paraId="47000C19" w14:textId="77777777" w:rsidR="00167E1D" w:rsidRDefault="00167E1D" w:rsidP="00167E1D">
      <w:pPr>
        <w:spacing w:after="0" w:line="240" w:lineRule="auto"/>
        <w:jc w:val="both"/>
        <w:rPr>
          <w:rFonts w:ascii="Calibri" w:hAnsi="Calibri" w:cs="Calibri"/>
          <w:shd w:val="clear" w:color="auto" w:fill="FFFFFF"/>
        </w:rPr>
      </w:pPr>
      <w:r w:rsidRPr="00D401D8">
        <w:rPr>
          <w:rFonts w:ascii="Calibri" w:hAnsi="Calibri" w:cs="Calibri"/>
          <w:u w:val="single"/>
          <w:shd w:val="clear" w:color="auto" w:fill="FFFFFF"/>
        </w:rPr>
        <w:t>Utilisations</w:t>
      </w:r>
      <w:r w:rsidRPr="00D401D8">
        <w:rPr>
          <w:rFonts w:ascii="Calibri" w:hAnsi="Calibri" w:cs="Calibri"/>
          <w:shd w:val="clear" w:color="auto" w:fill="FFFFFF"/>
        </w:rPr>
        <w:t> :</w:t>
      </w:r>
      <w:r>
        <w:rPr>
          <w:rFonts w:ascii="Calibri" w:hAnsi="Calibri" w:cs="Calibri"/>
          <w:shd w:val="clear" w:color="auto" w:fill="FFFFFF"/>
        </w:rPr>
        <w:t xml:space="preserve"> </w:t>
      </w:r>
      <w:r w:rsidRPr="00D401D8">
        <w:rPr>
          <w:rFonts w:ascii="Calibri" w:hAnsi="Calibri" w:cs="Calibri"/>
          <w:shd w:val="clear" w:color="auto" w:fill="FFFFFF"/>
        </w:rPr>
        <w:t xml:space="preserve">La farine d'« ofo » produite à partir des graines est souvent utilisée pour épaissir les soupes. La pulpe du fruit est mangée directement, en sorbet, en jus, en confiture ou séchée comme des dattes. Le bois, surnommé « </w:t>
      </w:r>
      <w:r w:rsidRPr="00D401D8">
        <w:rPr>
          <w:rFonts w:ascii="Calibri" w:hAnsi="Calibri" w:cs="Calibri"/>
          <w:i/>
          <w:iCs/>
          <w:shd w:val="clear" w:color="auto" w:fill="FFFFFF"/>
        </w:rPr>
        <w:t>acajou africain</w:t>
      </w:r>
      <w:r w:rsidRPr="00D401D8">
        <w:rPr>
          <w:rFonts w:ascii="Calibri" w:hAnsi="Calibri" w:cs="Calibri"/>
          <w:shd w:val="clear" w:color="auto" w:fill="FFFFFF"/>
        </w:rPr>
        <w:t xml:space="preserve"> », est caractérisé par sa teinte brun-rouge sombre. Il est lourd mais facile à travailler et résiste à l'humidité, aux intempéries et à des ravageurs comme les termites et autres térébrants. Il est apprécié pour la construction de bâtiments, de clôtures et de bateaux, mais aussi comme bois de chauffe, car il brûle facilement et proprement. </w:t>
      </w:r>
      <w:r w:rsidRPr="00D401D8">
        <w:rPr>
          <w:rFonts w:ascii="Calibri" w:hAnsi="Calibri" w:cs="Calibri"/>
          <w:i/>
          <w:iCs/>
          <w:shd w:val="clear" w:color="auto" w:fill="FFFFFF"/>
        </w:rPr>
        <w:t>Ces arbres sont souvent employés dans les programmes de reboisement dans les zones au sol dégradé, puisqu'ils poussent bien même sur des sols pauvres</w:t>
      </w:r>
      <w:r w:rsidRPr="00D401D8">
        <w:rPr>
          <w:rFonts w:ascii="Calibri" w:hAnsi="Calibri" w:cs="Calibri"/>
          <w:shd w:val="clear" w:color="auto" w:fill="FFFFFF"/>
        </w:rPr>
        <w:t>.</w:t>
      </w:r>
    </w:p>
    <w:p w14:paraId="67DCED93" w14:textId="77777777" w:rsidR="00167E1D" w:rsidRPr="009A731A" w:rsidRDefault="00167E1D" w:rsidP="00167E1D">
      <w:pPr>
        <w:spacing w:after="0" w:line="240" w:lineRule="auto"/>
        <w:jc w:val="both"/>
        <w:rPr>
          <w:rFonts w:ascii="Calibri" w:hAnsi="Calibri" w:cs="Calibri"/>
        </w:rPr>
      </w:pPr>
      <w:r w:rsidRPr="009A731A">
        <w:rPr>
          <w:rFonts w:ascii="Calibri" w:hAnsi="Calibri" w:cs="Calibri"/>
          <w:u w:val="single"/>
          <w:shd w:val="clear" w:color="auto" w:fill="FFFFFF"/>
        </w:rPr>
        <w:lastRenderedPageBreak/>
        <w:t>Stockage</w:t>
      </w:r>
      <w:r>
        <w:rPr>
          <w:rFonts w:ascii="Calibri" w:hAnsi="Calibri" w:cs="Calibri"/>
          <w:shd w:val="clear" w:color="auto" w:fill="FFFFFF"/>
        </w:rPr>
        <w:t xml:space="preserve"> : </w:t>
      </w:r>
      <w:r w:rsidRPr="009A731A">
        <w:rPr>
          <w:rFonts w:ascii="Calibri" w:hAnsi="Calibri" w:cs="Calibri"/>
          <w:shd w:val="clear" w:color="auto" w:fill="FFFFFF"/>
        </w:rPr>
        <w:t>Leur stockage à environ 4 </w:t>
      </w:r>
      <w:r w:rsidRPr="009A731A">
        <w:rPr>
          <w:rFonts w:ascii="Calibri" w:hAnsi="Calibri" w:cs="Calibri"/>
        </w:rPr>
        <w:t>°C</w:t>
      </w:r>
      <w:r w:rsidRPr="009A731A">
        <w:rPr>
          <w:rFonts w:ascii="Calibri" w:hAnsi="Calibri" w:cs="Calibri"/>
          <w:shd w:val="clear" w:color="auto" w:fill="FFFFFF"/>
        </w:rPr>
        <w:t> leur conserve leur qualité en limitant la perte de vitamine C. Lorsque le fruit s'abime, sa peau devient brun-jaune. Un tamis est utile pour séparer les débris et la graine de la pulpe, et un mortier permet de réduire celle-ci en </w:t>
      </w:r>
      <w:hyperlink r:id="rId598" w:history="1">
        <w:r w:rsidRPr="009A731A">
          <w:rPr>
            <w:rStyle w:val="Lienhypertexte"/>
            <w:rFonts w:ascii="Calibri" w:hAnsi="Calibri" w:cs="Calibri"/>
            <w:color w:val="0645AD"/>
            <w:shd w:val="clear" w:color="auto" w:fill="FFFFFF"/>
          </w:rPr>
          <w:t>purée</w:t>
        </w:r>
      </w:hyperlink>
      <w:r>
        <w:t>.</w:t>
      </w:r>
    </w:p>
    <w:p w14:paraId="21932015" w14:textId="77777777" w:rsidR="00167E1D" w:rsidRDefault="00167E1D" w:rsidP="00167E1D">
      <w:pPr>
        <w:spacing w:after="0" w:line="240" w:lineRule="auto"/>
        <w:jc w:val="both"/>
      </w:pPr>
      <w:r w:rsidRPr="00510DC0">
        <w:rPr>
          <w:u w:val="single"/>
        </w:rPr>
        <w:t>Economie</w:t>
      </w:r>
      <w:r>
        <w:rPr>
          <w:u w:val="single"/>
        </w:rPr>
        <w:t>, sécurité alimentaire</w:t>
      </w:r>
      <w:r>
        <w:t xml:space="preserve"> : </w:t>
      </w:r>
      <w:r w:rsidRPr="009A731A">
        <w:t xml:space="preserve">Les « detars » jouent aujourd'hui un rôle important dans la cuisine et l'économie du Sénégal. </w:t>
      </w:r>
      <w:r w:rsidRPr="009A731A">
        <w:rPr>
          <w:rFonts w:ascii="Calibri" w:hAnsi="Calibri" w:cs="Calibri"/>
          <w:shd w:val="clear" w:color="auto" w:fill="FFFFFF"/>
        </w:rPr>
        <w:t>Il pourrait contribuer à la</w:t>
      </w:r>
      <w:r w:rsidRPr="00371128">
        <w:rPr>
          <w:rFonts w:ascii="Calibri" w:hAnsi="Calibri" w:cs="Calibri"/>
          <w:color w:val="202122"/>
          <w:shd w:val="clear" w:color="auto" w:fill="FFFFFF"/>
        </w:rPr>
        <w:t> </w:t>
      </w:r>
      <w:hyperlink r:id="rId599" w:tooltip="Sécurité alimentaire" w:history="1">
        <w:r w:rsidRPr="00371128">
          <w:rPr>
            <w:rStyle w:val="Lienhypertexte"/>
            <w:rFonts w:ascii="Calibri" w:hAnsi="Calibri" w:cs="Calibri"/>
            <w:color w:val="0645AD"/>
            <w:shd w:val="clear" w:color="auto" w:fill="FFFFFF"/>
          </w:rPr>
          <w:t>sécurité alimentaire</w:t>
        </w:r>
      </w:hyperlink>
      <w:r w:rsidRPr="00371128">
        <w:rPr>
          <w:rFonts w:ascii="Calibri" w:hAnsi="Calibri" w:cs="Calibri"/>
          <w:color w:val="202122"/>
          <w:shd w:val="clear" w:color="auto" w:fill="FFFFFF"/>
        </w:rPr>
        <w:t xml:space="preserve">, </w:t>
      </w:r>
      <w:r w:rsidRPr="00371128">
        <w:rPr>
          <w:rFonts w:ascii="Calibri" w:hAnsi="Calibri" w:cs="Calibri"/>
          <w:shd w:val="clear" w:color="auto" w:fill="FFFFFF"/>
        </w:rPr>
        <w:t>à une </w:t>
      </w:r>
      <w:hyperlink r:id="rId600" w:tooltip="Agriculture durable" w:history="1">
        <w:r w:rsidRPr="00371128">
          <w:rPr>
            <w:rStyle w:val="Lienhypertexte"/>
            <w:rFonts w:ascii="Calibri" w:hAnsi="Calibri" w:cs="Calibri"/>
            <w:color w:val="0645AD"/>
            <w:shd w:val="clear" w:color="auto" w:fill="FFFFFF"/>
          </w:rPr>
          <w:t>agriculture durable</w:t>
        </w:r>
      </w:hyperlink>
      <w:r w:rsidRPr="00371128">
        <w:rPr>
          <w:rFonts w:ascii="Calibri" w:hAnsi="Calibri" w:cs="Calibri"/>
          <w:color w:val="202122"/>
          <w:shd w:val="clear" w:color="auto" w:fill="FFFFFF"/>
        </w:rPr>
        <w:t> </w:t>
      </w:r>
      <w:r w:rsidRPr="00371128">
        <w:rPr>
          <w:rFonts w:ascii="Calibri" w:hAnsi="Calibri" w:cs="Calibri"/>
          <w:shd w:val="clear" w:color="auto" w:fill="FFFFFF"/>
        </w:rPr>
        <w:t>et au développement rural.</w:t>
      </w:r>
      <w:r>
        <w:t xml:space="preserve"> </w:t>
      </w:r>
      <w:r w:rsidRPr="00D401D8">
        <w:t>Des fruits comme le ditakh peuvent contribuer à l'amélioration des conditions de vie locale</w:t>
      </w:r>
      <w:r>
        <w:t xml:space="preserve"> (aliment et source de revenus)</w:t>
      </w:r>
      <w:r w:rsidRPr="00D401D8">
        <w:t>, dans la mesure où ils sont riches en nutriments, faciles à préparer et ont un goût communément apprécié</w:t>
      </w:r>
      <w:r>
        <w:t xml:space="preserve">. </w:t>
      </w:r>
      <w:r w:rsidRPr="009A731A">
        <w:t>Le jus de ditakh, riche en vitamine C, est délicieux et très apprécié au Sénégal.</w:t>
      </w:r>
    </w:p>
    <w:p w14:paraId="24428CE3" w14:textId="77777777" w:rsidR="00167E1D" w:rsidRDefault="00167E1D" w:rsidP="00167E1D">
      <w:pPr>
        <w:spacing w:after="0" w:line="240" w:lineRule="auto"/>
        <w:jc w:val="both"/>
      </w:pPr>
      <w:r w:rsidRPr="00D401D8">
        <w:rPr>
          <w:u w:val="single"/>
        </w:rPr>
        <w:t>Tabous et conflits</w:t>
      </w:r>
      <w:r>
        <w:t xml:space="preserve"> : </w:t>
      </w:r>
      <w:r w:rsidRPr="00D401D8">
        <w:t xml:space="preserve">Il est important d'essayer d'améliorer l'estime des populations pour les fruits sauvages, car leur consommation est traditionnellement mal considérée. </w:t>
      </w:r>
    </w:p>
    <w:p w14:paraId="2823B057" w14:textId="77777777" w:rsidR="00167E1D" w:rsidRDefault="00167E1D" w:rsidP="00167E1D">
      <w:pPr>
        <w:spacing w:after="0" w:line="240" w:lineRule="auto"/>
        <w:jc w:val="both"/>
      </w:pPr>
      <w:r w:rsidRPr="00D401D8">
        <w:t>Des conflits pour la possession des arbres peuvent aussi survenir si ceux-ci ne sont pas cultivés. Une solution potentielle est l'adoption de la « sylviculture de sauvegarde », où les populations locales bénéficient d'une part garantie des profits, ce qui les motive à préserver la ressource sauvage.</w:t>
      </w:r>
    </w:p>
    <w:p w14:paraId="7C30C534" w14:textId="77777777" w:rsidR="00167E1D" w:rsidRDefault="00167E1D" w:rsidP="00167E1D">
      <w:pPr>
        <w:spacing w:after="0" w:line="240" w:lineRule="auto"/>
      </w:pPr>
      <w:r>
        <w:t xml:space="preserve">Sources : a) </w:t>
      </w:r>
      <w:hyperlink r:id="rId601" w:history="1">
        <w:r w:rsidRPr="00E9465C">
          <w:rPr>
            <w:rStyle w:val="Lienhypertexte"/>
          </w:rPr>
          <w:t>https://fr.wikipedia.org/wiki/Detarium_senegalense</w:t>
        </w:r>
      </w:hyperlink>
      <w:r>
        <w:t xml:space="preserve">, </w:t>
      </w:r>
    </w:p>
    <w:p w14:paraId="760A66A8" w14:textId="77777777" w:rsidR="00167E1D" w:rsidRPr="00167E1D" w:rsidRDefault="00167E1D" w:rsidP="00167E1D">
      <w:pPr>
        <w:spacing w:after="0" w:line="240" w:lineRule="auto"/>
      </w:pPr>
      <w:r w:rsidRPr="00167E1D">
        <w:t xml:space="preserve">b) </w:t>
      </w:r>
      <w:hyperlink r:id="rId602" w:history="1">
        <w:r w:rsidRPr="00167E1D">
          <w:rPr>
            <w:rStyle w:val="Lienhypertexte"/>
          </w:rPr>
          <w:t>https://en.wikipedia.org/wiki/Detarium_senegalense</w:t>
        </w:r>
      </w:hyperlink>
      <w:r w:rsidRPr="00167E1D">
        <w:t xml:space="preserve">  </w:t>
      </w:r>
    </w:p>
    <w:p w14:paraId="08112429" w14:textId="77777777" w:rsidR="00167E1D" w:rsidRPr="00167E1D" w:rsidRDefault="00167E1D" w:rsidP="00167E1D">
      <w:pPr>
        <w:spacing w:after="0" w:line="240" w:lineRule="auto"/>
      </w:pPr>
      <w:r w:rsidRPr="00167E1D">
        <w:t xml:space="preserve">c) </w:t>
      </w:r>
      <w:hyperlink r:id="rId603" w:history="1">
        <w:r w:rsidRPr="00167E1D">
          <w:rPr>
            <w:rStyle w:val="Lienhypertexte"/>
          </w:rPr>
          <w:t>https://www.senegal-export.com/le-ditakh,91</w:t>
        </w:r>
      </w:hyperlink>
      <w:r w:rsidRPr="00167E1D">
        <w:t xml:space="preserve"> </w:t>
      </w:r>
    </w:p>
    <w:p w14:paraId="14A4E661" w14:textId="77777777" w:rsidR="00167E1D" w:rsidRPr="00167E1D" w:rsidRDefault="00167E1D" w:rsidP="00167E1D">
      <w:pPr>
        <w:spacing w:after="0" w:line="240" w:lineRule="auto"/>
      </w:pPr>
      <w:r w:rsidRPr="00167E1D">
        <w:t xml:space="preserve">d) </w:t>
      </w:r>
      <w:hyperlink r:id="rId604" w:history="1">
        <w:r w:rsidRPr="00167E1D">
          <w:rPr>
            <w:rStyle w:val="Lienhypertexte"/>
          </w:rPr>
          <w:t>https://uses.plantnet-project.org/fr/Detarium_senegalense_(PROTA)</w:t>
        </w:r>
      </w:hyperlink>
      <w:r w:rsidRPr="00167E1D">
        <w:t xml:space="preserve"> </w:t>
      </w:r>
    </w:p>
    <w:p w14:paraId="1526D488" w14:textId="77777777" w:rsidR="00167E1D" w:rsidRPr="00167E1D" w:rsidRDefault="00167E1D" w:rsidP="00167E1D">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34"/>
        <w:gridCol w:w="3434"/>
        <w:gridCol w:w="3434"/>
      </w:tblGrid>
      <w:tr w:rsidR="00167E1D" w14:paraId="3ADA412B" w14:textId="77777777" w:rsidTr="00CB42F3">
        <w:tc>
          <w:tcPr>
            <w:tcW w:w="3434" w:type="dxa"/>
          </w:tcPr>
          <w:p w14:paraId="0DB42F37" w14:textId="77777777" w:rsidR="00167E1D" w:rsidRDefault="00167E1D" w:rsidP="00CB42F3">
            <w:pPr>
              <w:jc w:val="center"/>
              <w:rPr>
                <w:lang w:val="en-GB"/>
              </w:rPr>
            </w:pPr>
            <w:r>
              <w:rPr>
                <w:noProof/>
              </w:rPr>
              <w:drawing>
                <wp:inline distT="0" distB="0" distL="0" distR="0" wp14:anchorId="141AD7F9" wp14:editId="64DC248D">
                  <wp:extent cx="1981200" cy="1270701"/>
                  <wp:effectExtent l="0" t="0" r="0" b="5715"/>
                  <wp:docPr id="89093" name="Image 89093" descr="Une image contenant aliment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3" name="Image 89093" descr="Une image contenant alimentation&#10;&#10;Description générée automatiquement"/>
                          <pic:cNvPicPr>
                            <a:picLocks noChangeAspect="1" noChangeArrowheads="1"/>
                          </pic:cNvPicPr>
                        </pic:nvPicPr>
                        <pic:blipFill>
                          <a:blip r:embed="rId605">
                            <a:extLst>
                              <a:ext uri="{28A0092B-C50C-407E-A947-70E740481C1C}">
                                <a14:useLocalDpi xmlns:a14="http://schemas.microsoft.com/office/drawing/2010/main" val="0"/>
                              </a:ext>
                            </a:extLst>
                          </a:blip>
                          <a:srcRect/>
                          <a:stretch>
                            <a:fillRect/>
                          </a:stretch>
                        </pic:blipFill>
                        <pic:spPr bwMode="auto">
                          <a:xfrm>
                            <a:off x="0" y="0"/>
                            <a:ext cx="1990643" cy="1276757"/>
                          </a:xfrm>
                          <a:prstGeom prst="rect">
                            <a:avLst/>
                          </a:prstGeom>
                          <a:noFill/>
                          <a:ln>
                            <a:noFill/>
                          </a:ln>
                        </pic:spPr>
                      </pic:pic>
                    </a:graphicData>
                  </a:graphic>
                </wp:inline>
              </w:drawing>
            </w:r>
          </w:p>
          <w:p w14:paraId="5484013C" w14:textId="77777777" w:rsidR="00167E1D" w:rsidRDefault="00167E1D" w:rsidP="00CB42F3">
            <w:pPr>
              <w:jc w:val="center"/>
              <w:rPr>
                <w:lang w:val="en-GB"/>
              </w:rPr>
            </w:pPr>
            <w:r>
              <w:rPr>
                <w:lang w:val="en-GB"/>
              </w:rPr>
              <w:t>fruits</w:t>
            </w:r>
          </w:p>
        </w:tc>
        <w:tc>
          <w:tcPr>
            <w:tcW w:w="3434" w:type="dxa"/>
          </w:tcPr>
          <w:p w14:paraId="673033BC" w14:textId="77777777" w:rsidR="00167E1D" w:rsidRDefault="00167E1D" w:rsidP="00CB42F3">
            <w:pPr>
              <w:jc w:val="center"/>
              <w:rPr>
                <w:lang w:val="en-GB"/>
              </w:rPr>
            </w:pPr>
            <w:r>
              <w:rPr>
                <w:noProof/>
              </w:rPr>
              <w:drawing>
                <wp:inline distT="0" distB="0" distL="0" distR="0" wp14:anchorId="6C731ECB" wp14:editId="17714F54">
                  <wp:extent cx="1857375" cy="1857375"/>
                  <wp:effectExtent l="0" t="0" r="9525" b="9525"/>
                  <wp:docPr id="89094" name="Image 89094" descr="Une image contenant légume, plusieur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4" name="Image 89094" descr="Une image contenant légume, plusieurs&#10;&#10;Description générée automatiquement"/>
                          <pic:cNvPicPr>
                            <a:picLocks noChangeAspect="1" noChangeArrowheads="1"/>
                          </pic:cNvPicPr>
                        </pic:nvPicPr>
                        <pic:blipFill>
                          <a:blip r:embed="rId606">
                            <a:extLst>
                              <a:ext uri="{28A0092B-C50C-407E-A947-70E740481C1C}">
                                <a14:useLocalDpi xmlns:a14="http://schemas.microsoft.com/office/drawing/2010/main" val="0"/>
                              </a:ext>
                            </a:extLst>
                          </a:blip>
                          <a:srcRect/>
                          <a:stretch>
                            <a:fillRect/>
                          </a:stretch>
                        </pic:blipFill>
                        <pic:spPr bwMode="auto">
                          <a:xfrm>
                            <a:off x="0" y="0"/>
                            <a:ext cx="1857375" cy="1857375"/>
                          </a:xfrm>
                          <a:prstGeom prst="rect">
                            <a:avLst/>
                          </a:prstGeom>
                          <a:noFill/>
                          <a:ln>
                            <a:noFill/>
                          </a:ln>
                        </pic:spPr>
                      </pic:pic>
                    </a:graphicData>
                  </a:graphic>
                </wp:inline>
              </w:drawing>
            </w:r>
          </w:p>
        </w:tc>
        <w:tc>
          <w:tcPr>
            <w:tcW w:w="3434" w:type="dxa"/>
          </w:tcPr>
          <w:p w14:paraId="3F3DA470" w14:textId="77777777" w:rsidR="00167E1D" w:rsidRDefault="00167E1D" w:rsidP="00CB42F3">
            <w:pPr>
              <w:jc w:val="center"/>
              <w:rPr>
                <w:lang w:val="en-GB"/>
              </w:rPr>
            </w:pPr>
            <w:r>
              <w:rPr>
                <w:noProof/>
              </w:rPr>
              <w:drawing>
                <wp:inline distT="0" distB="0" distL="0" distR="0" wp14:anchorId="70FD0D79" wp14:editId="36FAD17F">
                  <wp:extent cx="2012783" cy="1390650"/>
                  <wp:effectExtent l="0" t="0" r="6985" b="0"/>
                  <wp:docPr id="89095" name="Image 89095" descr="Une image contenant champignon, frui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5" name="Image 89095" descr="Une image contenant champignon, fruit&#10;&#10;Description générée automatiquement"/>
                          <pic:cNvPicPr>
                            <a:picLocks noChangeAspect="1" noChangeArrowheads="1"/>
                          </pic:cNvPicPr>
                        </pic:nvPicPr>
                        <pic:blipFill>
                          <a:blip r:embed="rId607">
                            <a:extLst>
                              <a:ext uri="{28A0092B-C50C-407E-A947-70E740481C1C}">
                                <a14:useLocalDpi xmlns:a14="http://schemas.microsoft.com/office/drawing/2010/main" val="0"/>
                              </a:ext>
                            </a:extLst>
                          </a:blip>
                          <a:srcRect/>
                          <a:stretch>
                            <a:fillRect/>
                          </a:stretch>
                        </pic:blipFill>
                        <pic:spPr bwMode="auto">
                          <a:xfrm>
                            <a:off x="0" y="0"/>
                            <a:ext cx="2016109" cy="1392948"/>
                          </a:xfrm>
                          <a:prstGeom prst="rect">
                            <a:avLst/>
                          </a:prstGeom>
                          <a:noFill/>
                          <a:ln>
                            <a:noFill/>
                          </a:ln>
                        </pic:spPr>
                      </pic:pic>
                    </a:graphicData>
                  </a:graphic>
                </wp:inline>
              </w:drawing>
            </w:r>
          </w:p>
        </w:tc>
      </w:tr>
      <w:tr w:rsidR="00167E1D" w:rsidRPr="00C834D0" w14:paraId="6515A15C" w14:textId="77777777" w:rsidTr="00CB42F3">
        <w:tc>
          <w:tcPr>
            <w:tcW w:w="3434" w:type="dxa"/>
          </w:tcPr>
          <w:p w14:paraId="6202D859" w14:textId="77777777" w:rsidR="00167E1D" w:rsidRDefault="00167E1D" w:rsidP="00CB42F3">
            <w:pPr>
              <w:jc w:val="center"/>
              <w:rPr>
                <w:lang w:val="en-GB"/>
              </w:rPr>
            </w:pPr>
            <w:r>
              <w:rPr>
                <w:noProof/>
              </w:rPr>
              <w:drawing>
                <wp:inline distT="0" distB="0" distL="0" distR="0" wp14:anchorId="4F43B666" wp14:editId="73B948E9">
                  <wp:extent cx="1877882" cy="1400175"/>
                  <wp:effectExtent l="0" t="0" r="8255" b="0"/>
                  <wp:docPr id="89097" name="Image 89097" descr="Une image contenant alimentation, plat, soupe, cassero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7" name="Image 89097" descr="Une image contenant alimentation, plat, soupe, casserole&#10;&#10;Description générée automatiquement"/>
                          <pic:cNvPicPr>
                            <a:picLocks noChangeAspect="1" noChangeArrowheads="1"/>
                          </pic:cNvPicPr>
                        </pic:nvPicPr>
                        <pic:blipFill>
                          <a:blip r:embed="rId608">
                            <a:extLst>
                              <a:ext uri="{28A0092B-C50C-407E-A947-70E740481C1C}">
                                <a14:useLocalDpi xmlns:a14="http://schemas.microsoft.com/office/drawing/2010/main" val="0"/>
                              </a:ext>
                            </a:extLst>
                          </a:blip>
                          <a:srcRect/>
                          <a:stretch>
                            <a:fillRect/>
                          </a:stretch>
                        </pic:blipFill>
                        <pic:spPr bwMode="auto">
                          <a:xfrm>
                            <a:off x="0" y="0"/>
                            <a:ext cx="1882020" cy="1403261"/>
                          </a:xfrm>
                          <a:prstGeom prst="rect">
                            <a:avLst/>
                          </a:prstGeom>
                          <a:noFill/>
                          <a:ln>
                            <a:noFill/>
                          </a:ln>
                        </pic:spPr>
                      </pic:pic>
                    </a:graphicData>
                  </a:graphic>
                </wp:inline>
              </w:drawing>
            </w:r>
          </w:p>
          <w:p w14:paraId="28D2E0FA" w14:textId="77777777" w:rsidR="00167E1D" w:rsidRDefault="00167E1D" w:rsidP="00CB42F3">
            <w:pPr>
              <w:jc w:val="center"/>
            </w:pPr>
            <w:r w:rsidRPr="00B26A46">
              <w:t>Infusion de fruits de ditakh</w:t>
            </w:r>
          </w:p>
          <w:p w14:paraId="2232C459" w14:textId="3EBB0C47" w:rsidR="00167E1D" w:rsidRPr="00C834D0" w:rsidRDefault="00167E1D" w:rsidP="00CB42F3">
            <w:pPr>
              <w:jc w:val="center"/>
            </w:pPr>
          </w:p>
        </w:tc>
        <w:tc>
          <w:tcPr>
            <w:tcW w:w="3434" w:type="dxa"/>
          </w:tcPr>
          <w:p w14:paraId="10A34108" w14:textId="77777777" w:rsidR="00167E1D" w:rsidRDefault="00167E1D" w:rsidP="00CB42F3">
            <w:pPr>
              <w:jc w:val="center"/>
            </w:pPr>
            <w:r>
              <w:rPr>
                <w:noProof/>
              </w:rPr>
              <w:drawing>
                <wp:inline distT="0" distB="0" distL="0" distR="0" wp14:anchorId="262EF507" wp14:editId="727AD40C">
                  <wp:extent cx="2003893" cy="1333500"/>
                  <wp:effectExtent l="0" t="0" r="0" b="0"/>
                  <wp:docPr id="89098" name="Image 89098" descr="Une image contenant personne, tasse, alimentation, boiss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8" name="Image 89098" descr="Une image contenant personne, tasse, alimentation, boisson&#10;&#10;Description générée automatiquement"/>
                          <pic:cNvPicPr>
                            <a:picLocks noChangeAspect="1" noChangeArrowheads="1"/>
                          </pic:cNvPicPr>
                        </pic:nvPicPr>
                        <pic:blipFill>
                          <a:blip r:embed="rId609">
                            <a:extLst>
                              <a:ext uri="{28A0092B-C50C-407E-A947-70E740481C1C}">
                                <a14:useLocalDpi xmlns:a14="http://schemas.microsoft.com/office/drawing/2010/main" val="0"/>
                              </a:ext>
                            </a:extLst>
                          </a:blip>
                          <a:srcRect/>
                          <a:stretch>
                            <a:fillRect/>
                          </a:stretch>
                        </pic:blipFill>
                        <pic:spPr bwMode="auto">
                          <a:xfrm>
                            <a:off x="0" y="0"/>
                            <a:ext cx="2012444" cy="1339190"/>
                          </a:xfrm>
                          <a:prstGeom prst="rect">
                            <a:avLst/>
                          </a:prstGeom>
                          <a:noFill/>
                          <a:ln>
                            <a:noFill/>
                          </a:ln>
                        </pic:spPr>
                      </pic:pic>
                    </a:graphicData>
                  </a:graphic>
                </wp:inline>
              </w:drawing>
            </w:r>
          </w:p>
          <w:p w14:paraId="62029A4F" w14:textId="77777777" w:rsidR="00167E1D" w:rsidRPr="00C834D0" w:rsidRDefault="00167E1D" w:rsidP="00CB42F3">
            <w:pPr>
              <w:jc w:val="center"/>
            </w:pPr>
            <w:r>
              <w:t>Jus</w:t>
            </w:r>
          </w:p>
        </w:tc>
        <w:tc>
          <w:tcPr>
            <w:tcW w:w="3434" w:type="dxa"/>
          </w:tcPr>
          <w:p w14:paraId="18E6B0B4" w14:textId="77777777" w:rsidR="00167E1D" w:rsidRPr="00C834D0" w:rsidRDefault="00167E1D" w:rsidP="00CB42F3">
            <w:pPr>
              <w:jc w:val="center"/>
            </w:pPr>
            <w:r>
              <w:rPr>
                <w:noProof/>
              </w:rPr>
              <w:drawing>
                <wp:inline distT="0" distB="0" distL="0" distR="0" wp14:anchorId="6D25CDA3" wp14:editId="5E4EDB07">
                  <wp:extent cx="1859720" cy="1400175"/>
                  <wp:effectExtent l="0" t="0" r="7620" b="0"/>
                  <wp:docPr id="89099" name="Image 89099" descr="Une image contenant arbre, extérieur, plante, ve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9" name="Image 89099" descr="Une image contenant arbre, extérieur, plante, vert&#10;&#10;Description générée automatiquement"/>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bwMode="auto">
                          <a:xfrm>
                            <a:off x="0" y="0"/>
                            <a:ext cx="1864289" cy="1403615"/>
                          </a:xfrm>
                          <a:prstGeom prst="rect">
                            <a:avLst/>
                          </a:prstGeom>
                          <a:noFill/>
                          <a:ln>
                            <a:noFill/>
                          </a:ln>
                        </pic:spPr>
                      </pic:pic>
                    </a:graphicData>
                  </a:graphic>
                </wp:inline>
              </w:drawing>
            </w:r>
          </w:p>
        </w:tc>
      </w:tr>
      <w:tr w:rsidR="00167E1D" w:rsidRPr="00C834D0" w14:paraId="5A96C331" w14:textId="77777777" w:rsidTr="00CB42F3">
        <w:tc>
          <w:tcPr>
            <w:tcW w:w="3434" w:type="dxa"/>
          </w:tcPr>
          <w:p w14:paraId="09DC3A90" w14:textId="77777777" w:rsidR="00167E1D" w:rsidRDefault="00167E1D" w:rsidP="00CB42F3">
            <w:pPr>
              <w:jc w:val="center"/>
            </w:pPr>
            <w:r>
              <w:rPr>
                <w:noProof/>
              </w:rPr>
              <w:drawing>
                <wp:inline distT="0" distB="0" distL="0" distR="0" wp14:anchorId="12357C47" wp14:editId="7770D57D">
                  <wp:extent cx="1542166" cy="1724025"/>
                  <wp:effectExtent l="0" t="0" r="1270" b="0"/>
                  <wp:docPr id="89100" name="Image 89100" descr="Une image contenant arbre, extérieur,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0" name="Image 89100" descr="Une image contenant arbre, extérieur, plante&#10;&#10;Description générée automatiquement"/>
                          <pic:cNvPicPr>
                            <a:picLocks noChangeAspect="1" noChangeArrowheads="1"/>
                          </pic:cNvPicPr>
                        </pic:nvPicPr>
                        <pic:blipFill>
                          <a:blip r:embed="rId611">
                            <a:extLst>
                              <a:ext uri="{28A0092B-C50C-407E-A947-70E740481C1C}">
                                <a14:useLocalDpi xmlns:a14="http://schemas.microsoft.com/office/drawing/2010/main" val="0"/>
                              </a:ext>
                            </a:extLst>
                          </a:blip>
                          <a:srcRect/>
                          <a:stretch>
                            <a:fillRect/>
                          </a:stretch>
                        </pic:blipFill>
                        <pic:spPr bwMode="auto">
                          <a:xfrm>
                            <a:off x="0" y="0"/>
                            <a:ext cx="1547176" cy="1729626"/>
                          </a:xfrm>
                          <a:prstGeom prst="rect">
                            <a:avLst/>
                          </a:prstGeom>
                          <a:noFill/>
                          <a:ln>
                            <a:noFill/>
                          </a:ln>
                        </pic:spPr>
                      </pic:pic>
                    </a:graphicData>
                  </a:graphic>
                </wp:inline>
              </w:drawing>
            </w:r>
          </w:p>
          <w:p w14:paraId="60BF6E9E" w14:textId="77777777" w:rsidR="00167E1D" w:rsidRPr="00C834D0" w:rsidRDefault="00167E1D" w:rsidP="00CB42F3">
            <w:pPr>
              <w:jc w:val="center"/>
            </w:pPr>
            <w:r>
              <w:t>Port de l’arbre © P. Poilecot. CIRAD</w:t>
            </w:r>
          </w:p>
        </w:tc>
        <w:tc>
          <w:tcPr>
            <w:tcW w:w="3434" w:type="dxa"/>
          </w:tcPr>
          <w:p w14:paraId="2B03881B" w14:textId="77777777" w:rsidR="00167E1D" w:rsidRDefault="00167E1D" w:rsidP="00CB42F3">
            <w:pPr>
              <w:jc w:val="center"/>
            </w:pPr>
            <w:r>
              <w:rPr>
                <w:noProof/>
              </w:rPr>
              <w:drawing>
                <wp:inline distT="0" distB="0" distL="0" distR="0" wp14:anchorId="38E31EC3" wp14:editId="7C1FE92A">
                  <wp:extent cx="1771650" cy="1181100"/>
                  <wp:effectExtent l="0" t="0" r="0" b="0"/>
                  <wp:docPr id="89101" name="Image 89101" descr="Une image contenant gril, cuisinant, casier, roch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1" name="Image 89101" descr="Une image contenant gril, cuisinant, casier, roche&#10;&#10;Description générée automatiquement"/>
                          <pic:cNvPicPr>
                            <a:picLocks noChangeAspect="1" noChangeArrowheads="1"/>
                          </pic:cNvPicPr>
                        </pic:nvPicPr>
                        <pic:blipFill>
                          <a:blip r:embed="rId612">
                            <a:extLst>
                              <a:ext uri="{28A0092B-C50C-407E-A947-70E740481C1C}">
                                <a14:useLocalDpi xmlns:a14="http://schemas.microsoft.com/office/drawing/2010/main" val="0"/>
                              </a:ext>
                            </a:extLst>
                          </a:blip>
                          <a:srcRect/>
                          <a:stretch>
                            <a:fillRect/>
                          </a:stretch>
                        </pic:blipFill>
                        <pic:spPr bwMode="auto">
                          <a:xfrm>
                            <a:off x="0" y="0"/>
                            <a:ext cx="1772377" cy="1181585"/>
                          </a:xfrm>
                          <a:prstGeom prst="rect">
                            <a:avLst/>
                          </a:prstGeom>
                          <a:noFill/>
                          <a:ln>
                            <a:noFill/>
                          </a:ln>
                        </pic:spPr>
                      </pic:pic>
                    </a:graphicData>
                  </a:graphic>
                </wp:inline>
              </w:drawing>
            </w:r>
          </w:p>
          <w:p w14:paraId="41892C14" w14:textId="77777777" w:rsidR="00167E1D" w:rsidRPr="00C834D0" w:rsidRDefault="00167E1D" w:rsidP="00CB42F3">
            <w:pPr>
              <w:jc w:val="center"/>
            </w:pPr>
            <w:r>
              <w:t>© Sénégal Export.</w:t>
            </w:r>
          </w:p>
        </w:tc>
        <w:tc>
          <w:tcPr>
            <w:tcW w:w="3434" w:type="dxa"/>
          </w:tcPr>
          <w:p w14:paraId="466CE4EA" w14:textId="77777777" w:rsidR="00167E1D" w:rsidRPr="00C834D0" w:rsidRDefault="00167E1D" w:rsidP="00CB42F3">
            <w:pPr>
              <w:jc w:val="center"/>
            </w:pPr>
          </w:p>
        </w:tc>
      </w:tr>
    </w:tbl>
    <w:p w14:paraId="64CB1500" w14:textId="77777777" w:rsidR="00167E1D" w:rsidRPr="00C834D0" w:rsidRDefault="00167E1D" w:rsidP="00167E1D">
      <w:pPr>
        <w:spacing w:after="0" w:line="240" w:lineRule="auto"/>
      </w:pPr>
    </w:p>
    <w:p w14:paraId="5DF197E9" w14:textId="77777777" w:rsidR="00167E1D" w:rsidRPr="002A79FD" w:rsidRDefault="00167E1D" w:rsidP="00167E1D">
      <w:pPr>
        <w:pStyle w:val="Titre2"/>
        <w:rPr>
          <w:i/>
          <w:iCs/>
        </w:rPr>
      </w:pPr>
      <w:bookmarkStart w:id="69" w:name="_Toc139181360"/>
      <w:r w:rsidRPr="002A79FD">
        <w:rPr>
          <w:i/>
          <w:iCs/>
        </w:rPr>
        <w:t>Combretum glutinosum</w:t>
      </w:r>
      <w:bookmarkEnd w:id="69"/>
    </w:p>
    <w:p w14:paraId="185DA99A" w14:textId="77777777" w:rsidR="00167E1D" w:rsidRDefault="00167E1D" w:rsidP="00167E1D">
      <w:pPr>
        <w:spacing w:after="0" w:line="240" w:lineRule="auto"/>
      </w:pPr>
    </w:p>
    <w:p w14:paraId="5C403842" w14:textId="77777777" w:rsidR="00167E1D" w:rsidRDefault="00167E1D" w:rsidP="00167E1D">
      <w:pPr>
        <w:spacing w:after="0" w:line="240" w:lineRule="auto"/>
        <w:jc w:val="both"/>
      </w:pPr>
      <w:r w:rsidRPr="007347AA">
        <w:t>C'est un arbre</w:t>
      </w:r>
      <w:r>
        <w:t xml:space="preserve"> caduque, </w:t>
      </w:r>
      <w:r w:rsidRPr="007347AA">
        <w:rPr>
          <w:rFonts w:ascii="Calibri" w:hAnsi="Calibri" w:cs="Calibri"/>
          <w:shd w:val="clear" w:color="auto" w:fill="FFFFFF"/>
        </w:rPr>
        <w:t>de la famille des </w:t>
      </w:r>
      <w:hyperlink r:id="rId613" w:tooltip="Combretaceae" w:history="1">
        <w:r w:rsidRPr="007347AA">
          <w:rPr>
            <w:rStyle w:val="Lienhypertexte"/>
            <w:rFonts w:ascii="Calibri" w:hAnsi="Calibri" w:cs="Calibri"/>
            <w:i/>
            <w:iCs/>
            <w:color w:val="0645AD"/>
            <w:shd w:val="clear" w:color="auto" w:fill="FFFFFF"/>
          </w:rPr>
          <w:t>Combretaceae</w:t>
        </w:r>
      </w:hyperlink>
      <w:r>
        <w:t>, à croissance rapide,</w:t>
      </w:r>
      <w:r w:rsidRPr="007347AA">
        <w:t xml:space="preserve"> pouvant atteindre 12 m de hauteur et 60 cm de diamètre</w:t>
      </w:r>
      <w:r>
        <w:t xml:space="preserve">, présent </w:t>
      </w:r>
      <w:r w:rsidRPr="007347AA">
        <w:t xml:space="preserve">en Afrique tropicale, depuis le Sénégal, la Mauritanie, jusqu'au Soudan et en Ouganda. </w:t>
      </w:r>
    </w:p>
    <w:p w14:paraId="26BB2879" w14:textId="77777777" w:rsidR="00167E1D" w:rsidRDefault="00167E1D" w:rsidP="00167E1D">
      <w:pPr>
        <w:spacing w:after="0" w:line="240" w:lineRule="auto"/>
        <w:jc w:val="both"/>
      </w:pPr>
      <w:r w:rsidRPr="007347AA">
        <w:t>Plus ou moins pérenne, il perd ses feuilles pendant quelques mois durant la saison sèche des régions les plus sèches, mais les conserve dans la savane.</w:t>
      </w:r>
    </w:p>
    <w:p w14:paraId="750C8464" w14:textId="77777777" w:rsidR="00167E1D" w:rsidRDefault="00167E1D" w:rsidP="00167E1D">
      <w:pPr>
        <w:spacing w:after="0" w:line="240" w:lineRule="auto"/>
        <w:jc w:val="both"/>
      </w:pPr>
      <w:r w:rsidRPr="00DC71C6">
        <w:rPr>
          <w:u w:val="single"/>
        </w:rPr>
        <w:t>Description</w:t>
      </w:r>
      <w:r>
        <w:t xml:space="preserve"> : </w:t>
      </w:r>
      <w:r w:rsidRPr="0026428B">
        <w:t>Il possède une couronne ouverte avec des branches basses qui retombent et est à feuilles caduques. Le tronc est généralement tordu et bas ramifié, avec une écorce rugueuse gris-noir. Les feuilles vertes coriaces épaisses ont une sensation gommeuse et sont gluantes quand elles sont jeunes. La plante fleurit pendant la saison sèche après les feux de brousse qui facilitent le rinçage des feuilles qui favorise la floraison. Au Burkina Faso et au Mali, les fleurs ont tendance à apparaître entre décembre et mars, mais cela varie d'une région à l'autre et les fleurs peuvent apparaître jusqu'en juillet. Le fruit est une samare elliptique à quatre ailes et a une sensation collante, rougeâtre et devient jaunâtre vers la fin de la saison. Le fruit mesure généralement 2,5 à 4 centimètres (0,98 à 1,57 in) de long et 1,5 à 3 centimètres (0,59 à 1,18 in) de diamètre. Il porte des fruits généralement en janvier et la fructification dure jusqu'en novembre.</w:t>
      </w:r>
    </w:p>
    <w:p w14:paraId="7C3FF9BE" w14:textId="77777777" w:rsidR="00167E1D" w:rsidRDefault="00167E1D" w:rsidP="00167E1D">
      <w:pPr>
        <w:spacing w:after="0" w:line="240" w:lineRule="auto"/>
        <w:jc w:val="both"/>
      </w:pPr>
      <w:r w:rsidRPr="007347AA">
        <w:rPr>
          <w:u w:val="single"/>
        </w:rPr>
        <w:t>Habitat</w:t>
      </w:r>
      <w:r>
        <w:t xml:space="preserve"> : </w:t>
      </w:r>
      <w:r w:rsidRPr="007347AA">
        <w:t>On la rencontre dans la savane arborée, habituellement sur des sols peu profonds</w:t>
      </w:r>
      <w:r>
        <w:t>,</w:t>
      </w:r>
      <w:r w:rsidRPr="007347AA">
        <w:t xml:space="preserve"> dégradés</w:t>
      </w:r>
      <w:r>
        <w:t>, plutôt sableux, drainés</w:t>
      </w:r>
      <w:r w:rsidRPr="007347AA">
        <w:t xml:space="preserve">, dans des zones où les précipitations sont comprises entre 200 et </w:t>
      </w:r>
      <w:r>
        <w:t>700 mm (</w:t>
      </w:r>
      <w:r w:rsidRPr="007347AA">
        <w:t>900 mm</w:t>
      </w:r>
      <w:r>
        <w:t>)</w:t>
      </w:r>
      <w:r w:rsidRPr="007347AA">
        <w:t xml:space="preserve"> par an.</w:t>
      </w:r>
    </w:p>
    <w:p w14:paraId="3D5CF352" w14:textId="77777777" w:rsidR="00167E1D" w:rsidRPr="00B253A5" w:rsidRDefault="00167E1D" w:rsidP="00167E1D">
      <w:pPr>
        <w:spacing w:after="0" w:line="240" w:lineRule="auto"/>
        <w:jc w:val="both"/>
        <w:rPr>
          <w:rFonts w:ascii="Calibri" w:hAnsi="Calibri" w:cs="Calibri"/>
        </w:rPr>
      </w:pPr>
      <w:r w:rsidRPr="00B253A5">
        <w:rPr>
          <w:rFonts w:ascii="Calibri" w:hAnsi="Calibri" w:cs="Calibri"/>
          <w:u w:val="single"/>
        </w:rPr>
        <w:t>Maladies</w:t>
      </w:r>
      <w:r w:rsidRPr="00B253A5">
        <w:rPr>
          <w:rFonts w:ascii="Calibri" w:hAnsi="Calibri" w:cs="Calibri"/>
        </w:rPr>
        <w:t xml:space="preserve"> : </w:t>
      </w:r>
      <w:r w:rsidRPr="00B253A5">
        <w:rPr>
          <w:rFonts w:ascii="Calibri" w:hAnsi="Calibri" w:cs="Calibri"/>
          <w:shd w:val="clear" w:color="auto" w:fill="FFFFFF"/>
        </w:rPr>
        <w:t>Les </w:t>
      </w:r>
      <w:hyperlink r:id="rId614" w:tooltip="Parasite" w:history="1">
        <w:r w:rsidRPr="00B253A5">
          <w:rPr>
            <w:rStyle w:val="Lienhypertexte"/>
            <w:rFonts w:ascii="Calibri" w:hAnsi="Calibri" w:cs="Calibri"/>
            <w:color w:val="0645AD"/>
            <w:shd w:val="clear" w:color="auto" w:fill="FFFFFF"/>
          </w:rPr>
          <w:t>parasites</w:t>
        </w:r>
      </w:hyperlink>
      <w:r w:rsidRPr="00B253A5">
        <w:rPr>
          <w:rFonts w:ascii="Calibri" w:hAnsi="Calibri" w:cs="Calibri"/>
          <w:color w:val="202122"/>
          <w:shd w:val="clear" w:color="auto" w:fill="FFFFFF"/>
        </w:rPr>
        <w:t> </w:t>
      </w:r>
      <w:r w:rsidRPr="00B253A5">
        <w:rPr>
          <w:rFonts w:ascii="Calibri" w:hAnsi="Calibri" w:cs="Calibri"/>
          <w:shd w:val="clear" w:color="auto" w:fill="FFFFFF"/>
        </w:rPr>
        <w:t>végétaux, infectant </w:t>
      </w:r>
      <w:r w:rsidRPr="00B253A5">
        <w:rPr>
          <w:rFonts w:ascii="Calibri" w:hAnsi="Calibri" w:cs="Calibri"/>
          <w:i/>
          <w:iCs/>
          <w:shd w:val="clear" w:color="auto" w:fill="FFFFFF"/>
        </w:rPr>
        <w:t>Combretum glutinosum</w:t>
      </w:r>
      <w:r w:rsidRPr="00B253A5">
        <w:rPr>
          <w:rFonts w:ascii="Calibri" w:hAnsi="Calibri" w:cs="Calibri"/>
          <w:shd w:val="clear" w:color="auto" w:fill="FFFFFF"/>
        </w:rPr>
        <w:t xml:space="preserve">, sont ceux de la famille des </w:t>
      </w:r>
      <w:hyperlink r:id="rId615" w:tooltip="Loranthacées" w:history="1">
        <w:r w:rsidRPr="00B253A5">
          <w:rPr>
            <w:rStyle w:val="Lienhypertexte"/>
            <w:rFonts w:ascii="Calibri" w:hAnsi="Calibri" w:cs="Calibri"/>
            <w:i/>
            <w:iCs/>
            <w:color w:val="0645AD"/>
            <w:shd w:val="clear" w:color="auto" w:fill="FFFFFF"/>
          </w:rPr>
          <w:t>Loranthacées</w:t>
        </w:r>
      </w:hyperlink>
      <w:r w:rsidRPr="00B253A5">
        <w:rPr>
          <w:rFonts w:ascii="Calibri" w:hAnsi="Calibri" w:cs="Calibri"/>
        </w:rPr>
        <w:t>.</w:t>
      </w:r>
    </w:p>
    <w:p w14:paraId="31EF7006" w14:textId="77777777" w:rsidR="00167E1D" w:rsidRDefault="00167E1D" w:rsidP="00167E1D">
      <w:pPr>
        <w:spacing w:after="0" w:line="240" w:lineRule="auto"/>
        <w:jc w:val="both"/>
      </w:pPr>
      <w:r w:rsidRPr="00F97C3F">
        <w:rPr>
          <w:u w:val="single"/>
        </w:rPr>
        <w:t>Récolte</w:t>
      </w:r>
      <w:r>
        <w:t xml:space="preserve"> : </w:t>
      </w:r>
      <w:r w:rsidRPr="00F97C3F">
        <w:t>Les graines sont récoltées en secouant les branches de l'arbre.</w:t>
      </w:r>
    </w:p>
    <w:p w14:paraId="49A96AD9" w14:textId="77777777" w:rsidR="00167E1D" w:rsidRPr="00F97C3F" w:rsidRDefault="00167E1D" w:rsidP="00167E1D">
      <w:pPr>
        <w:spacing w:after="0" w:line="240" w:lineRule="auto"/>
        <w:jc w:val="both"/>
      </w:pPr>
      <w:r w:rsidRPr="00F97C3F">
        <w:rPr>
          <w:u w:val="single"/>
        </w:rPr>
        <w:t>Utilisations</w:t>
      </w:r>
      <w:r w:rsidRPr="00F97C3F">
        <w:t> : Récoltée à l'état sauvage, l'espèce connaît de très nombreuses utilisations. Quoique amères, les jeunes feuilles sont parfois consommées comme légumes.</w:t>
      </w:r>
      <w:r>
        <w:t xml:space="preserve"> </w:t>
      </w:r>
      <w:r w:rsidRPr="00D24BBC">
        <w:t>Les graines sont oléagineuses et un kilogramme contient environ 20 000 graines, et il a un rendement potentiel en huile d'environ 24%.</w:t>
      </w:r>
      <w:r w:rsidRPr="00F97C3F">
        <w:t xml:space="preserve"> Plusieurs parties de la plante sont employées pour fabriquer divers colorants. Le bois est dur, dense et résistant. On l'utilise pour la construction, la menuiserie, la fabrication d'outils, ou pour faire du charbon de bois. Il est très prisé en médecine traditionnelle et des travaux scientifiques ont mis en évidence la présence de plusieurs composants actifs</w:t>
      </w:r>
      <w:r>
        <w:rPr>
          <w:rStyle w:val="Appelnotedebasdep"/>
        </w:rPr>
        <w:footnoteReference w:id="77"/>
      </w:r>
      <w:r w:rsidRPr="00F97C3F">
        <w:t>.</w:t>
      </w:r>
    </w:p>
    <w:p w14:paraId="0374EA6A" w14:textId="77777777" w:rsidR="00167E1D" w:rsidRPr="00D24BBC" w:rsidRDefault="00167E1D" w:rsidP="00167E1D">
      <w:pPr>
        <w:spacing w:after="0" w:line="240" w:lineRule="auto"/>
        <w:jc w:val="both"/>
      </w:pPr>
      <w:r w:rsidRPr="00D24BBC">
        <w:rPr>
          <w:u w:val="single"/>
        </w:rPr>
        <w:t>Stockage des graines</w:t>
      </w:r>
      <w:r w:rsidRPr="00D24BBC">
        <w:t xml:space="preserve"> : Les graines conservées pendant 18 mois à une température maintenue à 4 °C (39 °F) ont un taux de germination de 84 % à la plantation. 95% de germination a également été rapporté par "</w:t>
      </w:r>
      <w:r w:rsidRPr="00D24BBC">
        <w:rPr>
          <w:i/>
          <w:iCs/>
        </w:rPr>
        <w:t>après séchage à des teneurs en humidité en équilibre avec 15% d'humidité relative et congélation pendant 1 mois à (-) 20 degrés C</w:t>
      </w:r>
      <w:r w:rsidRPr="00D24BBC">
        <w:t>." La température optimale pour la germination se situerait entre 25 °C (77 °F) et 30 °C (86 °F).</w:t>
      </w:r>
    </w:p>
    <w:p w14:paraId="3751A758" w14:textId="77777777" w:rsidR="00167E1D" w:rsidRPr="00167E1D" w:rsidRDefault="00167E1D" w:rsidP="00167E1D">
      <w:pPr>
        <w:spacing w:after="0" w:line="240" w:lineRule="auto"/>
      </w:pPr>
      <w:r w:rsidRPr="00082068">
        <w:t>Sources :</w:t>
      </w:r>
      <w:r w:rsidRPr="00167E1D">
        <w:t xml:space="preserve"> a) </w:t>
      </w:r>
      <w:hyperlink r:id="rId616" w:history="1">
        <w:r w:rsidRPr="00167E1D">
          <w:rPr>
            <w:rStyle w:val="Lienhypertexte"/>
          </w:rPr>
          <w:t>https://fr.wikipedia.org/wiki/Combretum_glutinosum</w:t>
        </w:r>
      </w:hyperlink>
    </w:p>
    <w:p w14:paraId="528DB5B5" w14:textId="77777777" w:rsidR="00167E1D" w:rsidRPr="00167E1D" w:rsidRDefault="00167E1D" w:rsidP="00167E1D">
      <w:pPr>
        <w:spacing w:after="0" w:line="240" w:lineRule="auto"/>
      </w:pPr>
      <w:r w:rsidRPr="00167E1D">
        <w:t xml:space="preserve">b) </w:t>
      </w:r>
      <w:hyperlink r:id="rId617" w:history="1">
        <w:r w:rsidRPr="00167E1D">
          <w:rPr>
            <w:rStyle w:val="Lienhypertexte"/>
          </w:rPr>
          <w:t>https://en.wikipedia.org/wiki/Combretum_glutinosum</w:t>
        </w:r>
      </w:hyperlink>
      <w:r w:rsidRPr="00167E1D">
        <w:t xml:space="preserve"> </w:t>
      </w:r>
    </w:p>
    <w:p w14:paraId="2180B952" w14:textId="77777777" w:rsidR="00167E1D" w:rsidRPr="00167E1D" w:rsidRDefault="00167E1D" w:rsidP="00167E1D">
      <w:pPr>
        <w:spacing w:after="0" w:line="240" w:lineRule="auto"/>
      </w:pPr>
      <w:r w:rsidRPr="00167E1D">
        <w:t xml:space="preserve">c) </w:t>
      </w:r>
      <w:hyperlink r:id="rId618" w:history="1">
        <w:r w:rsidRPr="00167E1D">
          <w:rPr>
            <w:rStyle w:val="Lienhypertexte"/>
          </w:rPr>
          <w:t>https://uses.plantnet-project.org/fr/Combretum_glutinosum_(PROTA)</w:t>
        </w:r>
      </w:hyperlink>
      <w:r w:rsidRPr="00167E1D">
        <w:t xml:space="preserve"> </w:t>
      </w:r>
    </w:p>
    <w:p w14:paraId="62524D16" w14:textId="77777777" w:rsidR="00167E1D" w:rsidRPr="00167E1D" w:rsidRDefault="00167E1D" w:rsidP="00167E1D">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34"/>
        <w:gridCol w:w="3434"/>
        <w:gridCol w:w="3434"/>
      </w:tblGrid>
      <w:tr w:rsidR="00167E1D" w:rsidRPr="00B04AF5" w14:paraId="6DD1A704" w14:textId="77777777" w:rsidTr="00167E1D">
        <w:tc>
          <w:tcPr>
            <w:tcW w:w="3434" w:type="dxa"/>
          </w:tcPr>
          <w:p w14:paraId="0A643E14" w14:textId="77777777" w:rsidR="00167E1D" w:rsidRDefault="00167E1D" w:rsidP="00CB42F3">
            <w:pPr>
              <w:jc w:val="center"/>
              <w:rPr>
                <w:lang w:val="en-GB"/>
              </w:rPr>
            </w:pPr>
            <w:r>
              <w:rPr>
                <w:noProof/>
              </w:rPr>
              <w:lastRenderedPageBreak/>
              <w:drawing>
                <wp:inline distT="0" distB="0" distL="0" distR="0" wp14:anchorId="6F40F7A7" wp14:editId="2A69A433">
                  <wp:extent cx="1914525" cy="2875056"/>
                  <wp:effectExtent l="0" t="0" r="0" b="1905"/>
                  <wp:docPr id="89102" name="Image 89102" descr="Une image contenant arbre, extérieur, plante, feuil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2" name="Image 89102" descr="Une image contenant arbre, extérieur, plante, feuille&#10;&#10;Description générée automatiquement"/>
                          <pic:cNvPicPr>
                            <a:picLocks noChangeAspect="1" noChangeArrowheads="1"/>
                          </pic:cNvPicPr>
                        </pic:nvPicPr>
                        <pic:blipFill>
                          <a:blip r:embed="rId619">
                            <a:extLst>
                              <a:ext uri="{28A0092B-C50C-407E-A947-70E740481C1C}">
                                <a14:useLocalDpi xmlns:a14="http://schemas.microsoft.com/office/drawing/2010/main" val="0"/>
                              </a:ext>
                            </a:extLst>
                          </a:blip>
                          <a:srcRect/>
                          <a:stretch>
                            <a:fillRect/>
                          </a:stretch>
                        </pic:blipFill>
                        <pic:spPr bwMode="auto">
                          <a:xfrm>
                            <a:off x="0" y="0"/>
                            <a:ext cx="1927358" cy="2894327"/>
                          </a:xfrm>
                          <a:prstGeom prst="rect">
                            <a:avLst/>
                          </a:prstGeom>
                          <a:noFill/>
                          <a:ln>
                            <a:noFill/>
                          </a:ln>
                        </pic:spPr>
                      </pic:pic>
                    </a:graphicData>
                  </a:graphic>
                </wp:inline>
              </w:drawing>
            </w:r>
          </w:p>
          <w:p w14:paraId="42AE4D1F" w14:textId="77777777" w:rsidR="00167E1D" w:rsidRPr="00B04AF5" w:rsidRDefault="00167E1D" w:rsidP="00CB42F3">
            <w:pPr>
              <w:jc w:val="center"/>
            </w:pPr>
            <w:r w:rsidRPr="00B04AF5">
              <w:t>Feuilles de Combretum glutinosum, Réserve de Pama, Burkina Faso</w:t>
            </w:r>
          </w:p>
        </w:tc>
        <w:tc>
          <w:tcPr>
            <w:tcW w:w="3434" w:type="dxa"/>
          </w:tcPr>
          <w:p w14:paraId="33D17F85" w14:textId="77777777" w:rsidR="00167E1D" w:rsidRDefault="00167E1D" w:rsidP="00CB42F3">
            <w:pPr>
              <w:jc w:val="center"/>
            </w:pPr>
            <w:r>
              <w:rPr>
                <w:noProof/>
              </w:rPr>
              <w:drawing>
                <wp:inline distT="0" distB="0" distL="0" distR="0" wp14:anchorId="31CD0CF9" wp14:editId="22777B22">
                  <wp:extent cx="1836708" cy="1390650"/>
                  <wp:effectExtent l="0" t="0" r="0" b="0"/>
                  <wp:docPr id="89103" name="Image 89103" descr="Une image contenant arbre, plante, vert, ferm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3" name="Image 89103" descr="Une image contenant arbre, plante, vert, fermer&#10;&#10;Description générée automatiquement"/>
                          <pic:cNvPicPr>
                            <a:picLocks noChangeAspect="1" noChangeArrowheads="1"/>
                          </pic:cNvPicPr>
                        </pic:nvPicPr>
                        <pic:blipFill>
                          <a:blip r:embed="rId620">
                            <a:extLst>
                              <a:ext uri="{28A0092B-C50C-407E-A947-70E740481C1C}">
                                <a14:useLocalDpi xmlns:a14="http://schemas.microsoft.com/office/drawing/2010/main" val="0"/>
                              </a:ext>
                            </a:extLst>
                          </a:blip>
                          <a:srcRect/>
                          <a:stretch>
                            <a:fillRect/>
                          </a:stretch>
                        </pic:blipFill>
                        <pic:spPr bwMode="auto">
                          <a:xfrm>
                            <a:off x="0" y="0"/>
                            <a:ext cx="1849416" cy="1400272"/>
                          </a:xfrm>
                          <a:prstGeom prst="rect">
                            <a:avLst/>
                          </a:prstGeom>
                          <a:noFill/>
                          <a:ln>
                            <a:noFill/>
                          </a:ln>
                        </pic:spPr>
                      </pic:pic>
                    </a:graphicData>
                  </a:graphic>
                </wp:inline>
              </w:drawing>
            </w:r>
          </w:p>
          <w:p w14:paraId="0715E251" w14:textId="77777777" w:rsidR="00167E1D" w:rsidRPr="00B04AF5" w:rsidRDefault="00167E1D" w:rsidP="00CB42F3">
            <w:pPr>
              <w:jc w:val="center"/>
            </w:pPr>
            <w:r w:rsidRPr="00B04AF5">
              <w:rPr>
                <w:rFonts w:ascii="Calibri" w:hAnsi="Calibri" w:cs="Calibri"/>
                <w:color w:val="202122"/>
                <w:shd w:val="clear" w:color="auto" w:fill="F8F9FA"/>
              </w:rPr>
              <w:t>Une espèce de </w:t>
            </w:r>
            <w:hyperlink r:id="rId621" w:tooltip="Combretum" w:history="1">
              <w:r w:rsidRPr="00B04AF5">
                <w:rPr>
                  <w:rStyle w:val="Lienhypertexte"/>
                  <w:rFonts w:ascii="Calibri" w:hAnsi="Calibri" w:cs="Calibri"/>
                  <w:i/>
                  <w:iCs/>
                  <w:color w:val="0645AD"/>
                  <w:shd w:val="clear" w:color="auto" w:fill="F8F9FA"/>
                </w:rPr>
                <w:t>Combretum</w:t>
              </w:r>
            </w:hyperlink>
            <w:r w:rsidRPr="00B04AF5">
              <w:rPr>
                <w:rFonts w:ascii="Calibri" w:hAnsi="Calibri" w:cs="Calibri"/>
                <w:color w:val="202122"/>
                <w:shd w:val="clear" w:color="auto" w:fill="F8F9FA"/>
              </w:rPr>
              <w:t> au </w:t>
            </w:r>
            <w:hyperlink r:id="rId622" w:tooltip="Burkina Faso" w:history="1">
              <w:r w:rsidRPr="00B04AF5">
                <w:rPr>
                  <w:rStyle w:val="Lienhypertexte"/>
                  <w:rFonts w:ascii="Calibri" w:hAnsi="Calibri" w:cs="Calibri"/>
                  <w:color w:val="0645AD"/>
                  <w:shd w:val="clear" w:color="auto" w:fill="F8F9FA"/>
                </w:rPr>
                <w:t>Burkina Faso</w:t>
              </w:r>
            </w:hyperlink>
            <w:r>
              <w:t>.</w:t>
            </w:r>
          </w:p>
        </w:tc>
        <w:tc>
          <w:tcPr>
            <w:tcW w:w="3434" w:type="dxa"/>
          </w:tcPr>
          <w:p w14:paraId="6D97FE76" w14:textId="77777777" w:rsidR="00167E1D" w:rsidRDefault="00167E1D" w:rsidP="00CB42F3">
            <w:pPr>
              <w:jc w:val="center"/>
            </w:pPr>
            <w:r>
              <w:rPr>
                <w:noProof/>
              </w:rPr>
              <w:drawing>
                <wp:inline distT="0" distB="0" distL="0" distR="0" wp14:anchorId="5CBB968D" wp14:editId="238B78D7">
                  <wp:extent cx="2009775" cy="1308523"/>
                  <wp:effectExtent l="0" t="0" r="0" b="6350"/>
                  <wp:docPr id="89104" name="Image 89104" descr="Une image contenant extérieur, ciel, herbe, ar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4" name="Image 89104" descr="Une image contenant extérieur, ciel, herbe, arbre&#10;&#10;Description générée automatiquement"/>
                          <pic:cNvPicPr>
                            <a:picLocks noChangeAspect="1" noChangeArrowheads="1"/>
                          </pic:cNvPicPr>
                        </pic:nvPicPr>
                        <pic:blipFill>
                          <a:blip r:embed="rId623">
                            <a:extLst>
                              <a:ext uri="{28A0092B-C50C-407E-A947-70E740481C1C}">
                                <a14:useLocalDpi xmlns:a14="http://schemas.microsoft.com/office/drawing/2010/main" val="0"/>
                              </a:ext>
                            </a:extLst>
                          </a:blip>
                          <a:srcRect/>
                          <a:stretch>
                            <a:fillRect/>
                          </a:stretch>
                        </pic:blipFill>
                        <pic:spPr bwMode="auto">
                          <a:xfrm>
                            <a:off x="0" y="0"/>
                            <a:ext cx="2021696" cy="1316285"/>
                          </a:xfrm>
                          <a:prstGeom prst="rect">
                            <a:avLst/>
                          </a:prstGeom>
                          <a:noFill/>
                          <a:ln>
                            <a:noFill/>
                          </a:ln>
                        </pic:spPr>
                      </pic:pic>
                    </a:graphicData>
                  </a:graphic>
                </wp:inline>
              </w:drawing>
            </w:r>
          </w:p>
          <w:p w14:paraId="7B09E82E" w14:textId="77777777" w:rsidR="00167E1D" w:rsidRDefault="00167E1D" w:rsidP="00CB42F3">
            <w:pPr>
              <w:jc w:val="center"/>
            </w:pPr>
            <w:r w:rsidRPr="00B04AF5">
              <w:t>Port de l’arbre en fruits</w:t>
            </w:r>
            <w:r>
              <w:t xml:space="preserve"> (Prota).</w:t>
            </w:r>
          </w:p>
          <w:p w14:paraId="461D1B88" w14:textId="77777777" w:rsidR="00167E1D" w:rsidRDefault="00167E1D" w:rsidP="00CB42F3">
            <w:pPr>
              <w:jc w:val="center"/>
            </w:pPr>
          </w:p>
          <w:p w14:paraId="65B5FCC2" w14:textId="77777777" w:rsidR="00167E1D" w:rsidRDefault="00167E1D" w:rsidP="00CB42F3">
            <w:pPr>
              <w:jc w:val="center"/>
            </w:pPr>
            <w:r>
              <w:rPr>
                <w:noProof/>
              </w:rPr>
              <w:drawing>
                <wp:inline distT="0" distB="0" distL="0" distR="0" wp14:anchorId="38A78CE0" wp14:editId="0ED42CC5">
                  <wp:extent cx="1866900" cy="1466850"/>
                  <wp:effectExtent l="0" t="0" r="0" b="0"/>
                  <wp:docPr id="89105" name="Image 89105" descr="Une image contenant arbre, extérieur,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5" name="Image 89105" descr="Une image contenant arbre, extérieur, plante&#10;&#10;Description générée automatiquement"/>
                          <pic:cNvPicPr>
                            <a:picLocks noChangeAspect="1" noChangeArrowheads="1"/>
                          </pic:cNvPicPr>
                        </pic:nvPicPr>
                        <pic:blipFill>
                          <a:blip r:embed="rId624">
                            <a:extLst>
                              <a:ext uri="{28A0092B-C50C-407E-A947-70E740481C1C}">
                                <a14:useLocalDpi xmlns:a14="http://schemas.microsoft.com/office/drawing/2010/main" val="0"/>
                              </a:ext>
                            </a:extLst>
                          </a:blip>
                          <a:srcRect/>
                          <a:stretch>
                            <a:fillRect/>
                          </a:stretch>
                        </pic:blipFill>
                        <pic:spPr bwMode="auto">
                          <a:xfrm>
                            <a:off x="0" y="0"/>
                            <a:ext cx="1897177" cy="1490639"/>
                          </a:xfrm>
                          <a:prstGeom prst="rect">
                            <a:avLst/>
                          </a:prstGeom>
                          <a:noFill/>
                          <a:ln>
                            <a:noFill/>
                          </a:ln>
                        </pic:spPr>
                      </pic:pic>
                    </a:graphicData>
                  </a:graphic>
                </wp:inline>
              </w:drawing>
            </w:r>
          </w:p>
          <w:p w14:paraId="11AE7BD7" w14:textId="77777777" w:rsidR="00167E1D" w:rsidRPr="00B04AF5" w:rsidRDefault="00167E1D" w:rsidP="00CB42F3">
            <w:pPr>
              <w:jc w:val="center"/>
            </w:pPr>
            <w:r w:rsidRPr="00B04AF5">
              <w:t>Branches en fruits</w:t>
            </w:r>
            <w:r>
              <w:t xml:space="preserve"> (Prota).</w:t>
            </w:r>
          </w:p>
        </w:tc>
      </w:tr>
    </w:tbl>
    <w:p w14:paraId="64F43CD0" w14:textId="77777777" w:rsidR="00167E1D" w:rsidRPr="001C02E5" w:rsidRDefault="00167E1D" w:rsidP="0098588F">
      <w:pPr>
        <w:spacing w:after="0" w:line="240" w:lineRule="auto"/>
      </w:pPr>
    </w:p>
    <w:p w14:paraId="069C9999" w14:textId="247F0EC0" w:rsidR="0098588F" w:rsidRDefault="003958BD" w:rsidP="003D6408">
      <w:pPr>
        <w:pStyle w:val="Titre1"/>
      </w:pPr>
      <w:bookmarkStart w:id="70" w:name="_Toc139181361"/>
      <w:r>
        <w:t>A</w:t>
      </w:r>
      <w:r w:rsidR="003D6408" w:rsidRPr="003D6408">
        <w:t>rbres utiles pour le fourrage, le bois et d’autres usages</w:t>
      </w:r>
      <w:bookmarkEnd w:id="70"/>
    </w:p>
    <w:p w14:paraId="23BF6FDD" w14:textId="023344D6" w:rsidR="003D6408" w:rsidRDefault="003D6408" w:rsidP="0098588F">
      <w:pPr>
        <w:spacing w:after="0" w:line="240" w:lineRule="auto"/>
      </w:pPr>
    </w:p>
    <w:p w14:paraId="03E4672A" w14:textId="3CF69E11" w:rsidR="003D6408" w:rsidRDefault="003D6408" w:rsidP="003D6408">
      <w:pPr>
        <w:spacing w:after="0" w:line="240" w:lineRule="auto"/>
        <w:jc w:val="center"/>
      </w:pPr>
      <w:r w:rsidRPr="003D6408">
        <w:rPr>
          <w:noProof/>
        </w:rPr>
        <w:drawing>
          <wp:inline distT="0" distB="0" distL="0" distR="0" wp14:anchorId="3BC5AC95" wp14:editId="297AA852">
            <wp:extent cx="3355975" cy="2374900"/>
            <wp:effectExtent l="0" t="0" r="0" b="6350"/>
            <wp:docPr id="51208" name="Image 7" descr="albizia lebbeck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08" name="Image 7" descr="albizia lebbeck0.jpg"/>
                    <pic:cNvPicPr>
                      <a:picLocks noChangeAspect="1"/>
                    </pic:cNvPicPr>
                  </pic:nvPicPr>
                  <pic:blipFill>
                    <a:blip r:embed="rId625">
                      <a:extLst>
                        <a:ext uri="{28A0092B-C50C-407E-A947-70E740481C1C}">
                          <a14:useLocalDpi xmlns:a14="http://schemas.microsoft.com/office/drawing/2010/main" val="0"/>
                        </a:ext>
                      </a:extLst>
                    </a:blip>
                    <a:srcRect/>
                    <a:stretch>
                      <a:fillRect/>
                    </a:stretch>
                  </pic:blipFill>
                  <pic:spPr bwMode="auto">
                    <a:xfrm>
                      <a:off x="0" y="0"/>
                      <a:ext cx="3355975" cy="2374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C1ACA71" w14:textId="6F076DD1" w:rsidR="003D6408" w:rsidRPr="008F191E" w:rsidRDefault="003D6408" w:rsidP="003D6408">
      <w:pPr>
        <w:spacing w:after="0" w:line="240" w:lineRule="auto"/>
        <w:jc w:val="center"/>
      </w:pPr>
      <w:r w:rsidRPr="003D6408">
        <w:rPr>
          <w:i/>
          <w:iCs/>
        </w:rPr>
        <w:t>Albizia lebbeck</w:t>
      </w:r>
      <w:r w:rsidR="008F191E">
        <w:t xml:space="preserve"> © Bruce Cook</w:t>
      </w:r>
    </w:p>
    <w:p w14:paraId="0E129774" w14:textId="4D602896" w:rsidR="007C2D9B" w:rsidRDefault="007C2D9B" w:rsidP="007C2D9B">
      <w:pPr>
        <w:spacing w:after="0" w:line="240" w:lineRule="auto"/>
      </w:pPr>
    </w:p>
    <w:p w14:paraId="37CD7169" w14:textId="77777777" w:rsidR="008F191E" w:rsidRDefault="008F191E" w:rsidP="00931CA7">
      <w:pPr>
        <w:pStyle w:val="Titre2"/>
      </w:pPr>
      <w:bookmarkStart w:id="71" w:name="_Toc139181362"/>
      <w:r>
        <w:t>Khejri ou Ghaf (</w:t>
      </w:r>
      <w:r w:rsidRPr="00931CA7">
        <w:rPr>
          <w:i/>
          <w:iCs/>
        </w:rPr>
        <w:t>Prosopis cineraria</w:t>
      </w:r>
      <w:r>
        <w:t>)</w:t>
      </w:r>
      <w:bookmarkEnd w:id="71"/>
    </w:p>
    <w:p w14:paraId="5F84914D" w14:textId="2D0817D5" w:rsidR="008F191E" w:rsidRDefault="008F191E" w:rsidP="008F191E">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5"/>
        <w:gridCol w:w="2212"/>
        <w:gridCol w:w="1645"/>
        <w:gridCol w:w="415"/>
        <w:gridCol w:w="1379"/>
      </w:tblGrid>
      <w:tr w:rsidR="008F191E" w:rsidRPr="000B6BE3" w14:paraId="7094E2D4" w14:textId="77777777" w:rsidTr="00644A82">
        <w:tc>
          <w:tcPr>
            <w:tcW w:w="4775" w:type="dxa"/>
          </w:tcPr>
          <w:p w14:paraId="199EBC0A" w14:textId="382BAE61" w:rsidR="008F191E" w:rsidRPr="008F191E" w:rsidRDefault="008F191E" w:rsidP="00644A82">
            <w:pPr>
              <w:rPr>
                <w:rFonts w:ascii="Calibri" w:hAnsi="Calibri" w:cs="Calibri"/>
                <w:bCs/>
              </w:rPr>
            </w:pPr>
            <w:r w:rsidRPr="008F191E">
              <w:rPr>
                <w:rFonts w:ascii="Calibri" w:hAnsi="Calibri" w:cs="Calibri"/>
                <w:bCs/>
              </w:rPr>
              <w:t>(</w:t>
            </w:r>
            <w:hyperlink r:id="rId626" w:history="1">
              <w:r w:rsidRPr="008F191E">
                <w:rPr>
                  <w:rFonts w:ascii="Calibri" w:hAnsi="Calibri" w:cs="Calibri"/>
                </w:rPr>
                <w:t>F</w:t>
              </w:r>
              <w:r w:rsidRPr="008F191E">
                <w:rPr>
                  <w:rStyle w:val="Lienhypertexte"/>
                  <w:rFonts w:ascii="Calibri" w:hAnsi="Calibri" w:cs="Calibri"/>
                  <w:color w:val="0B0080"/>
                  <w:shd w:val="clear" w:color="auto" w:fill="FFFFFF"/>
                </w:rPr>
                <w:t>amille</w:t>
              </w:r>
            </w:hyperlink>
            <w:r w:rsidRPr="008F191E">
              <w:rPr>
                <w:rFonts w:ascii="Calibri" w:hAnsi="Calibri" w:cs="Calibri"/>
                <w:color w:val="222222"/>
                <w:shd w:val="clear" w:color="auto" w:fill="FFFFFF"/>
              </w:rPr>
              <w:t> des</w:t>
            </w:r>
            <w:r w:rsidRPr="008F191E">
              <w:rPr>
                <w:rFonts w:ascii="Calibri" w:hAnsi="Calibri" w:cs="Calibri"/>
                <w:color w:val="202122"/>
                <w:shd w:val="clear" w:color="auto" w:fill="FFFFFF"/>
              </w:rPr>
              <w:t> Fabacées</w:t>
            </w:r>
            <w:r>
              <w:rPr>
                <w:rFonts w:ascii="Calibri" w:hAnsi="Calibri" w:cs="Calibri"/>
                <w:color w:val="202122"/>
                <w:shd w:val="clear" w:color="auto" w:fill="FFFFFF"/>
              </w:rPr>
              <w:t xml:space="preserve"> / </w:t>
            </w:r>
            <w:r w:rsidRPr="008F191E">
              <w:rPr>
                <w:rFonts w:ascii="Calibri" w:hAnsi="Calibri" w:cs="Calibri"/>
                <w:i/>
                <w:iCs/>
                <w:color w:val="202122"/>
                <w:shd w:val="clear" w:color="auto" w:fill="FFFFFF"/>
              </w:rPr>
              <w:t>Fabaceae</w:t>
            </w:r>
            <w:r w:rsidRPr="008F191E">
              <w:rPr>
                <w:rFonts w:ascii="Calibri" w:hAnsi="Calibri" w:cs="Calibri"/>
                <w:bCs/>
              </w:rPr>
              <w:t>)</w:t>
            </w:r>
          </w:p>
          <w:p w14:paraId="79A094FC" w14:textId="77777777" w:rsidR="008F191E" w:rsidRPr="000B6BE3" w:rsidRDefault="008F191E" w:rsidP="00644A82">
            <w:pPr>
              <w:rPr>
                <w:rFonts w:cstheme="minorHAnsi"/>
              </w:rPr>
            </w:pPr>
          </w:p>
        </w:tc>
        <w:tc>
          <w:tcPr>
            <w:tcW w:w="2212" w:type="dxa"/>
          </w:tcPr>
          <w:p w14:paraId="20808115" w14:textId="1212D7D8" w:rsidR="008F191E" w:rsidRPr="000B6BE3" w:rsidRDefault="008F191E" w:rsidP="00644A82">
            <w:pPr>
              <w:rPr>
                <w:rFonts w:cstheme="minorHAnsi"/>
              </w:rPr>
            </w:pPr>
            <w:r w:rsidRPr="000B6BE3">
              <w:rPr>
                <w:rFonts w:cstheme="minorHAnsi"/>
                <w:noProof/>
              </w:rPr>
              <w:t xml:space="preserve">  </w:t>
            </w:r>
            <w:r>
              <w:rPr>
                <w:rFonts w:cstheme="minorHAnsi"/>
                <w:noProof/>
              </w:rPr>
              <w:t xml:space="preserve">    </w:t>
            </w:r>
            <w:r w:rsidRPr="008F2681">
              <w:rPr>
                <w:rFonts w:cstheme="minorHAnsi"/>
                <w:noProof/>
              </w:rPr>
              <w:drawing>
                <wp:inline distT="0" distB="0" distL="0" distR="0" wp14:anchorId="77EF4525" wp14:editId="313C87D1">
                  <wp:extent cx="463550" cy="661988"/>
                  <wp:effectExtent l="0" t="0" r="0" b="5080"/>
                  <wp:docPr id="44045"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r w:rsidRPr="005C50C9">
              <w:rPr>
                <w:rFonts w:cstheme="minorHAnsi"/>
                <w:noProof/>
              </w:rPr>
              <w:drawing>
                <wp:inline distT="0" distB="0" distL="0" distR="0" wp14:anchorId="1ACEC18D" wp14:editId="08E3EC4F">
                  <wp:extent cx="495300" cy="666750"/>
                  <wp:effectExtent l="0" t="0" r="0" b="0"/>
                  <wp:docPr id="44043" name="Image 15"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8" name="Image 15" descr="logo aride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w:t>
            </w:r>
          </w:p>
        </w:tc>
        <w:tc>
          <w:tcPr>
            <w:tcW w:w="1645" w:type="dxa"/>
          </w:tcPr>
          <w:p w14:paraId="7CE4CE14" w14:textId="77777777" w:rsidR="008F191E" w:rsidRPr="000B6BE3" w:rsidRDefault="008F191E" w:rsidP="00644A82">
            <w:pPr>
              <w:textAlignment w:val="baseline"/>
              <w:rPr>
                <w:rFonts w:cstheme="minorHAnsi"/>
              </w:rPr>
            </w:pPr>
            <w:r w:rsidRPr="00D1445E">
              <w:rPr>
                <w:rFonts w:eastAsia="+mn-ea" w:cstheme="minorHAnsi"/>
                <w:b/>
                <w:bCs/>
                <w:color w:val="008000"/>
                <w:kern w:val="24"/>
                <w:sz w:val="56"/>
                <w:szCs w:val="56"/>
              </w:rPr>
              <w:t>U</w:t>
            </w:r>
          </w:p>
        </w:tc>
        <w:tc>
          <w:tcPr>
            <w:tcW w:w="415" w:type="dxa"/>
          </w:tcPr>
          <w:p w14:paraId="70C2D218" w14:textId="77777777" w:rsidR="008F191E" w:rsidRPr="000B6BE3" w:rsidRDefault="008F191E" w:rsidP="00644A82">
            <w:pPr>
              <w:rPr>
                <w:rFonts w:cstheme="minorHAnsi"/>
              </w:rPr>
            </w:pPr>
          </w:p>
        </w:tc>
        <w:tc>
          <w:tcPr>
            <w:tcW w:w="1379" w:type="dxa"/>
          </w:tcPr>
          <w:p w14:paraId="7D02D43B" w14:textId="77777777" w:rsidR="008F191E" w:rsidRPr="000B6BE3" w:rsidRDefault="008F191E" w:rsidP="00644A82">
            <w:pPr>
              <w:rPr>
                <w:rFonts w:cstheme="minorHAnsi"/>
              </w:rPr>
            </w:pPr>
          </w:p>
        </w:tc>
      </w:tr>
    </w:tbl>
    <w:p w14:paraId="2A870A31" w14:textId="77777777" w:rsidR="008F191E" w:rsidRDefault="008F191E" w:rsidP="008F191E">
      <w:pPr>
        <w:spacing w:after="0" w:line="240" w:lineRule="auto"/>
      </w:pPr>
    </w:p>
    <w:p w14:paraId="7BC70DBC" w14:textId="0B0CCBA9" w:rsidR="008F191E" w:rsidRDefault="008F191E" w:rsidP="008F191E">
      <w:pPr>
        <w:spacing w:after="0" w:line="240" w:lineRule="auto"/>
        <w:jc w:val="both"/>
      </w:pPr>
      <w:r>
        <w:t>Il est l' Arbre de Vie à Bahreïn. Ce petit arbre, de 3 à 5 m de haut, a une durée de vie d’environ 400 ans ou plus. Il pousse dans les déserts dépourvus de toute source visible de l'eau.</w:t>
      </w:r>
    </w:p>
    <w:p w14:paraId="1E66F28A" w14:textId="77777777" w:rsidR="008F191E" w:rsidRDefault="008F191E" w:rsidP="008F191E">
      <w:pPr>
        <w:spacing w:after="0" w:line="240" w:lineRule="auto"/>
        <w:jc w:val="both"/>
      </w:pPr>
      <w:r>
        <w:lastRenderedPageBreak/>
        <w:t>Le bois de P. cinéraire est une bonne source d'énergie, et offre un excellent charbon de bois [4] [7]. Les feuilles, appelées "Loong" en Inde et les gousses sont consommées par le bétail et sont un fourrage bénéfique. Au Rajasthan, en Inde, P. cinéraire est cultivé dans un cadre de l'agroforesterie en collaboration avec le mil [7]. L'arbre est bien adapté à une agroforesterie souple, car il a un seule épaisseur de feuillage, il est un fixateur d'azote (contribuant ainsi à enrichir le sol), et sa profonde racine évite la concurrence pour l'eau avec les cultures.</w:t>
      </w:r>
    </w:p>
    <w:p w14:paraId="6E735ABE" w14:textId="4AEBE5B2" w:rsidR="008F191E" w:rsidRDefault="008F191E" w:rsidP="008F191E">
      <w:pPr>
        <w:spacing w:after="0" w:line="240" w:lineRule="auto"/>
        <w:jc w:val="both"/>
      </w:pPr>
      <w:r>
        <w:t>Comme d'autres </w:t>
      </w:r>
      <w:r w:rsidRPr="008F191E">
        <w:rPr>
          <w:i/>
          <w:iCs/>
        </w:rPr>
        <w:t>Prosopis spp</w:t>
      </w:r>
      <w:r>
        <w:t>., </w:t>
      </w:r>
      <w:r w:rsidRPr="008F191E">
        <w:rPr>
          <w:i/>
          <w:iCs/>
        </w:rPr>
        <w:t>Prosopis cineraria</w:t>
      </w:r>
      <w:r>
        <w:t> a démontré une tolérance pour les environnements fortement alcalins et salins. </w:t>
      </w:r>
    </w:p>
    <w:p w14:paraId="2620A446" w14:textId="05AD48E7" w:rsidR="008F191E" w:rsidRDefault="008F191E" w:rsidP="008F191E">
      <w:pPr>
        <w:spacing w:after="0" w:line="240" w:lineRule="auto"/>
        <w:jc w:val="both"/>
      </w:pPr>
      <w:r>
        <w:t>L'arbre se rencontre dans des conditions extrêmement arides, avec des précipitations aussi faibles que 150 mm par an; dans ces conditions, sa présence est indicative d'une nappe d'eau profonde.</w:t>
      </w:r>
    </w:p>
    <w:p w14:paraId="08565539" w14:textId="77777777" w:rsidR="008F191E" w:rsidRDefault="008F191E" w:rsidP="008F191E">
      <w:pPr>
        <w:spacing w:after="0" w:line="240" w:lineRule="auto"/>
        <w:jc w:val="both"/>
      </w:pPr>
      <w:r>
        <w:t xml:space="preserve">Cet arbre ne convient pas pour la plantation dans les zones riveraines (sur les berges de rivières) ou des environnements subhumides où il peut devenir un colonisateur agressif et se propager rapidement. </w:t>
      </w:r>
    </w:p>
    <w:p w14:paraId="4E328C9B" w14:textId="77777777" w:rsidR="008F191E" w:rsidRDefault="008F191E" w:rsidP="008F191E">
      <w:pPr>
        <w:spacing w:after="0" w:line="240" w:lineRule="auto"/>
        <w:jc w:val="both"/>
      </w:pPr>
      <w:r>
        <w:t>Mais il est à préférer au Mesquite (Prosopis juliflora).</w:t>
      </w:r>
    </w:p>
    <w:p w14:paraId="4D4ADE9B" w14:textId="308825D9" w:rsidR="008F191E" w:rsidRDefault="008F191E" w:rsidP="008F191E">
      <w:pPr>
        <w:spacing w:after="0" w:line="240" w:lineRule="auto"/>
      </w:pPr>
      <w:r>
        <w:t xml:space="preserve">Source : a) </w:t>
      </w:r>
      <w:hyperlink r:id="rId627" w:history="1">
        <w:r w:rsidRPr="00BC0A02">
          <w:rPr>
            <w:rStyle w:val="Lienhypertexte"/>
          </w:rPr>
          <w:t>http://en.wikipedia.org/wiki/Prosopis_cineraria</w:t>
        </w:r>
      </w:hyperlink>
      <w:r>
        <w:t xml:space="preserve">  </w:t>
      </w:r>
    </w:p>
    <w:p w14:paraId="6A584F86" w14:textId="18356814" w:rsidR="008F191E" w:rsidRDefault="008F191E" w:rsidP="008F191E">
      <w:pPr>
        <w:spacing w:after="0" w:line="240" w:lineRule="auto"/>
        <w:rPr>
          <w:lang w:val="en-GB"/>
        </w:rPr>
      </w:pPr>
      <w:r w:rsidRPr="008F191E">
        <w:rPr>
          <w:lang w:val="en-GB"/>
        </w:rPr>
        <w:t xml:space="preserve">b) </w:t>
      </w:r>
      <w:hyperlink r:id="rId628" w:history="1">
        <w:r w:rsidRPr="00BC0A02">
          <w:rPr>
            <w:rStyle w:val="Lienhypertexte"/>
            <w:lang w:val="en-GB"/>
          </w:rPr>
          <w:t>www.winrock.org/fnrm/factnet/factpub/FACTSH/P_cineraria.htm</w:t>
        </w:r>
      </w:hyperlink>
      <w:r>
        <w:rPr>
          <w:lang w:val="en-GB"/>
        </w:rPr>
        <w:t xml:space="preserve"> </w:t>
      </w:r>
      <w:r w:rsidRPr="008F191E">
        <w:rPr>
          <w:lang w:val="en-GB"/>
        </w:rPr>
        <w:t xml:space="preserve"> </w:t>
      </w:r>
    </w:p>
    <w:p w14:paraId="50FCCC8F" w14:textId="0D405F25" w:rsidR="008F191E" w:rsidRDefault="008F191E" w:rsidP="008F191E">
      <w:pPr>
        <w:spacing w:after="0" w:line="240" w:lineRule="auto"/>
        <w:rPr>
          <w:lang w:val="en-GB"/>
        </w:rPr>
      </w:pPr>
    </w:p>
    <w:p w14:paraId="798ED612" w14:textId="77777777" w:rsidR="008F191E" w:rsidRDefault="008F191E" w:rsidP="008F191E">
      <w:pPr>
        <w:spacing w:after="0" w:line="240" w:lineRule="auto"/>
        <w:rPr>
          <w:lang w:val="en-G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8F191E" w14:paraId="56DC3E2A" w14:textId="77777777" w:rsidTr="008F191E">
        <w:tc>
          <w:tcPr>
            <w:tcW w:w="5208" w:type="dxa"/>
            <w:vMerge w:val="restart"/>
          </w:tcPr>
          <w:p w14:paraId="4F13207D" w14:textId="77777777" w:rsidR="008F191E" w:rsidRDefault="008F191E" w:rsidP="008F191E">
            <w:pPr>
              <w:jc w:val="center"/>
              <w:rPr>
                <w:lang w:val="en-GB"/>
              </w:rPr>
            </w:pPr>
            <w:r w:rsidRPr="008F191E">
              <w:rPr>
                <w:noProof/>
              </w:rPr>
              <w:drawing>
                <wp:inline distT="0" distB="0" distL="0" distR="0" wp14:anchorId="750C0575" wp14:editId="693A3D88">
                  <wp:extent cx="2794000" cy="3721100"/>
                  <wp:effectExtent l="0" t="0" r="6350" b="0"/>
                  <wp:docPr id="52231" name="Image 6" descr="Khej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31" name="Image 6" descr="Khejri.jpg"/>
                          <pic:cNvPicPr>
                            <a:picLocks noChangeAspect="1"/>
                          </pic:cNvPicPr>
                        </pic:nvPicPr>
                        <pic:blipFill>
                          <a:blip r:embed="rId629">
                            <a:extLst>
                              <a:ext uri="{28A0092B-C50C-407E-A947-70E740481C1C}">
                                <a14:useLocalDpi xmlns:a14="http://schemas.microsoft.com/office/drawing/2010/main" val="0"/>
                              </a:ext>
                            </a:extLst>
                          </a:blip>
                          <a:srcRect/>
                          <a:stretch>
                            <a:fillRect/>
                          </a:stretch>
                        </pic:blipFill>
                        <pic:spPr bwMode="auto">
                          <a:xfrm>
                            <a:off x="0" y="0"/>
                            <a:ext cx="2794000" cy="3721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528DEA3" w14:textId="77777777" w:rsidR="008F191E" w:rsidRPr="008F191E" w:rsidRDefault="00000000" w:rsidP="008F191E">
            <w:pPr>
              <w:jc w:val="center"/>
            </w:pPr>
            <w:hyperlink r:id="rId630" w:history="1">
              <w:r w:rsidR="008F191E" w:rsidRPr="008F191E">
                <w:rPr>
                  <w:rStyle w:val="Lienhypertexte"/>
                  <w:i/>
                  <w:iCs/>
                </w:rPr>
                <w:t>Prosopis cinéraire</w:t>
              </w:r>
            </w:hyperlink>
            <w:r w:rsidR="008F191E" w:rsidRPr="008F191E">
              <w:t> ou Khejri ou Ghaf</w:t>
            </w:r>
          </w:p>
          <w:p w14:paraId="54410147" w14:textId="7BE60713" w:rsidR="008F191E" w:rsidRPr="008F191E" w:rsidRDefault="008F191E" w:rsidP="008F191E">
            <w:pPr>
              <w:jc w:val="center"/>
            </w:pPr>
            <w:r w:rsidRPr="008F191E">
              <w:t>(</w:t>
            </w:r>
            <w:r w:rsidRPr="008F191E">
              <w:rPr>
                <w:i/>
                <w:iCs/>
              </w:rPr>
              <w:t>Prosopis cineraria</w:t>
            </w:r>
            <w:r w:rsidRPr="008F191E">
              <w:t>).</w:t>
            </w:r>
          </w:p>
        </w:tc>
        <w:tc>
          <w:tcPr>
            <w:tcW w:w="5208" w:type="dxa"/>
          </w:tcPr>
          <w:p w14:paraId="1F53402C" w14:textId="77777777" w:rsidR="008F191E" w:rsidRDefault="008F191E" w:rsidP="008F191E">
            <w:pPr>
              <w:jc w:val="center"/>
              <w:rPr>
                <w:lang w:val="en-GB"/>
              </w:rPr>
            </w:pPr>
            <w:r w:rsidRPr="008F191E">
              <w:rPr>
                <w:noProof/>
              </w:rPr>
              <w:drawing>
                <wp:inline distT="0" distB="0" distL="0" distR="0" wp14:anchorId="27804925" wp14:editId="7F82E5C8">
                  <wp:extent cx="2030412" cy="1627187"/>
                  <wp:effectExtent l="0" t="0" r="8255" b="0"/>
                  <wp:docPr id="52235" name="Image 10" descr="Prosopis cinerari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35" name="Image 10" descr="Prosopis cineraria2.jpg"/>
                          <pic:cNvPicPr>
                            <a:picLocks noChangeAspect="1"/>
                          </pic:cNvPicPr>
                        </pic:nvPicPr>
                        <pic:blipFill>
                          <a:blip r:embed="rId631">
                            <a:extLst>
                              <a:ext uri="{28A0092B-C50C-407E-A947-70E740481C1C}">
                                <a14:useLocalDpi xmlns:a14="http://schemas.microsoft.com/office/drawing/2010/main" val="0"/>
                              </a:ext>
                            </a:extLst>
                          </a:blip>
                          <a:srcRect/>
                          <a:stretch>
                            <a:fillRect/>
                          </a:stretch>
                        </pic:blipFill>
                        <pic:spPr bwMode="auto">
                          <a:xfrm>
                            <a:off x="0" y="0"/>
                            <a:ext cx="2030412" cy="1627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CDAF455" w14:textId="42AA6E38" w:rsidR="008F191E" w:rsidRDefault="008F191E" w:rsidP="008F191E">
            <w:pPr>
              <w:jc w:val="center"/>
              <w:rPr>
                <w:lang w:val="en-GB"/>
              </w:rPr>
            </w:pPr>
          </w:p>
        </w:tc>
      </w:tr>
      <w:tr w:rsidR="008F191E" w14:paraId="33B88A86" w14:textId="77777777" w:rsidTr="008F191E">
        <w:tc>
          <w:tcPr>
            <w:tcW w:w="5208" w:type="dxa"/>
            <w:vMerge/>
          </w:tcPr>
          <w:p w14:paraId="5A49B091" w14:textId="77777777" w:rsidR="008F191E" w:rsidRDefault="008F191E" w:rsidP="008F191E">
            <w:pPr>
              <w:jc w:val="center"/>
              <w:rPr>
                <w:lang w:val="en-GB"/>
              </w:rPr>
            </w:pPr>
          </w:p>
        </w:tc>
        <w:tc>
          <w:tcPr>
            <w:tcW w:w="5208" w:type="dxa"/>
          </w:tcPr>
          <w:p w14:paraId="58078650" w14:textId="780F96AB" w:rsidR="008F191E" w:rsidRDefault="008F191E" w:rsidP="008F191E">
            <w:pPr>
              <w:jc w:val="center"/>
              <w:rPr>
                <w:lang w:val="en-GB"/>
              </w:rPr>
            </w:pPr>
            <w:r w:rsidRPr="008F191E">
              <w:rPr>
                <w:noProof/>
              </w:rPr>
              <w:drawing>
                <wp:inline distT="0" distB="0" distL="0" distR="0" wp14:anchorId="091417A9" wp14:editId="62DC537B">
                  <wp:extent cx="1677988" cy="1611312"/>
                  <wp:effectExtent l="0" t="0" r="0" b="8255"/>
                  <wp:docPr id="52234" name="Image 9" descr="Prosopis cineraria_lo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34" name="Image 9" descr="Prosopis cineraria_loom.jpg"/>
                          <pic:cNvPicPr>
                            <a:picLocks noChangeAspect="1"/>
                          </pic:cNvPicPr>
                        </pic:nvPicPr>
                        <pic:blipFill>
                          <a:blip r:embed="rId632">
                            <a:extLst>
                              <a:ext uri="{28A0092B-C50C-407E-A947-70E740481C1C}">
                                <a14:useLocalDpi xmlns:a14="http://schemas.microsoft.com/office/drawing/2010/main" val="0"/>
                              </a:ext>
                            </a:extLst>
                          </a:blip>
                          <a:srcRect/>
                          <a:stretch>
                            <a:fillRect/>
                          </a:stretch>
                        </pic:blipFill>
                        <pic:spPr bwMode="auto">
                          <a:xfrm>
                            <a:off x="0" y="0"/>
                            <a:ext cx="1677988" cy="1611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65990406" w14:textId="3534E647" w:rsidR="008F191E" w:rsidRDefault="008F191E" w:rsidP="008F191E">
      <w:pPr>
        <w:spacing w:after="0" w:line="240" w:lineRule="auto"/>
      </w:pPr>
    </w:p>
    <w:p w14:paraId="3B02BF3B" w14:textId="6781C2C2" w:rsidR="0010132C" w:rsidRPr="00931CA7" w:rsidRDefault="0010132C" w:rsidP="00931CA7">
      <w:pPr>
        <w:pStyle w:val="Titre2"/>
        <w:rPr>
          <w:i/>
          <w:iCs/>
        </w:rPr>
      </w:pPr>
      <w:bookmarkStart w:id="72" w:name="_Toc139181363"/>
      <w:r w:rsidRPr="00931CA7">
        <w:rPr>
          <w:i/>
          <w:iCs/>
        </w:rPr>
        <w:t xml:space="preserve">Callitris tuberculata </w:t>
      </w:r>
      <w:r w:rsidRPr="00931CA7">
        <w:t>ou</w:t>
      </w:r>
      <w:r w:rsidRPr="00931CA7">
        <w:rPr>
          <w:i/>
          <w:iCs/>
        </w:rPr>
        <w:t xml:space="preserve"> Callitris preissii</w:t>
      </w:r>
      <w:bookmarkEnd w:id="72"/>
    </w:p>
    <w:p w14:paraId="736F19AA" w14:textId="23E364F1" w:rsidR="0010132C" w:rsidRDefault="0010132C" w:rsidP="0010132C">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5"/>
        <w:gridCol w:w="2212"/>
        <w:gridCol w:w="1645"/>
        <w:gridCol w:w="415"/>
        <w:gridCol w:w="1379"/>
      </w:tblGrid>
      <w:tr w:rsidR="0010132C" w:rsidRPr="000B6BE3" w14:paraId="75708F39" w14:textId="77777777" w:rsidTr="00644A82">
        <w:tc>
          <w:tcPr>
            <w:tcW w:w="4775" w:type="dxa"/>
          </w:tcPr>
          <w:p w14:paraId="301D12CC" w14:textId="77777777" w:rsidR="0010132C" w:rsidRPr="008F191E" w:rsidRDefault="0010132C" w:rsidP="00644A82">
            <w:pPr>
              <w:rPr>
                <w:rFonts w:ascii="Calibri" w:hAnsi="Calibri" w:cs="Calibri"/>
                <w:bCs/>
              </w:rPr>
            </w:pPr>
            <w:r w:rsidRPr="008F191E">
              <w:rPr>
                <w:rFonts w:ascii="Calibri" w:hAnsi="Calibri" w:cs="Calibri"/>
                <w:bCs/>
              </w:rPr>
              <w:t>(</w:t>
            </w:r>
            <w:hyperlink r:id="rId633" w:history="1">
              <w:r w:rsidRPr="008F191E">
                <w:rPr>
                  <w:rFonts w:ascii="Calibri" w:hAnsi="Calibri" w:cs="Calibri"/>
                </w:rPr>
                <w:t>F</w:t>
              </w:r>
              <w:r w:rsidRPr="008F191E">
                <w:rPr>
                  <w:rStyle w:val="Lienhypertexte"/>
                  <w:rFonts w:ascii="Calibri" w:hAnsi="Calibri" w:cs="Calibri"/>
                  <w:color w:val="0B0080"/>
                  <w:shd w:val="clear" w:color="auto" w:fill="FFFFFF"/>
                </w:rPr>
                <w:t>amille</w:t>
              </w:r>
            </w:hyperlink>
            <w:r w:rsidRPr="008F191E">
              <w:rPr>
                <w:rFonts w:ascii="Calibri" w:hAnsi="Calibri" w:cs="Calibri"/>
                <w:color w:val="222222"/>
                <w:shd w:val="clear" w:color="auto" w:fill="FFFFFF"/>
              </w:rPr>
              <w:t> des</w:t>
            </w:r>
            <w:r w:rsidRPr="008F191E">
              <w:rPr>
                <w:rFonts w:ascii="Calibri" w:hAnsi="Calibri" w:cs="Calibri"/>
                <w:color w:val="202122"/>
                <w:shd w:val="clear" w:color="auto" w:fill="FFFFFF"/>
              </w:rPr>
              <w:t> Fabacées</w:t>
            </w:r>
            <w:r>
              <w:rPr>
                <w:rFonts w:ascii="Calibri" w:hAnsi="Calibri" w:cs="Calibri"/>
                <w:color w:val="202122"/>
                <w:shd w:val="clear" w:color="auto" w:fill="FFFFFF"/>
              </w:rPr>
              <w:t xml:space="preserve"> / </w:t>
            </w:r>
            <w:r w:rsidRPr="008F191E">
              <w:rPr>
                <w:rFonts w:ascii="Calibri" w:hAnsi="Calibri" w:cs="Calibri"/>
                <w:i/>
                <w:iCs/>
                <w:color w:val="202122"/>
                <w:shd w:val="clear" w:color="auto" w:fill="FFFFFF"/>
              </w:rPr>
              <w:t>Fabaceae</w:t>
            </w:r>
            <w:r w:rsidRPr="008F191E">
              <w:rPr>
                <w:rFonts w:ascii="Calibri" w:hAnsi="Calibri" w:cs="Calibri"/>
                <w:bCs/>
              </w:rPr>
              <w:t>)</w:t>
            </w:r>
          </w:p>
          <w:p w14:paraId="6666F8F2" w14:textId="77777777" w:rsidR="0010132C" w:rsidRPr="000B6BE3" w:rsidRDefault="0010132C" w:rsidP="00644A82">
            <w:pPr>
              <w:rPr>
                <w:rFonts w:cstheme="minorHAnsi"/>
              </w:rPr>
            </w:pPr>
          </w:p>
        </w:tc>
        <w:tc>
          <w:tcPr>
            <w:tcW w:w="2212" w:type="dxa"/>
          </w:tcPr>
          <w:p w14:paraId="176937C7" w14:textId="77777777" w:rsidR="0010132C" w:rsidRPr="000B6BE3" w:rsidRDefault="0010132C" w:rsidP="00644A82">
            <w:pPr>
              <w:rPr>
                <w:rFonts w:cstheme="minorHAnsi"/>
              </w:rPr>
            </w:pPr>
            <w:r w:rsidRPr="000B6BE3">
              <w:rPr>
                <w:rFonts w:cstheme="minorHAnsi"/>
                <w:noProof/>
              </w:rPr>
              <w:t xml:space="preserve">  </w:t>
            </w:r>
            <w:r>
              <w:rPr>
                <w:rFonts w:cstheme="minorHAnsi"/>
                <w:noProof/>
              </w:rPr>
              <w:t xml:space="preserve">    </w:t>
            </w:r>
            <w:r w:rsidRPr="008F2681">
              <w:rPr>
                <w:rFonts w:cstheme="minorHAnsi"/>
                <w:noProof/>
              </w:rPr>
              <w:drawing>
                <wp:inline distT="0" distB="0" distL="0" distR="0" wp14:anchorId="7A338327" wp14:editId="253B5C57">
                  <wp:extent cx="463550" cy="661988"/>
                  <wp:effectExtent l="0" t="0" r="0" b="5080"/>
                  <wp:docPr id="44046"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r w:rsidRPr="005C50C9">
              <w:rPr>
                <w:rFonts w:cstheme="minorHAnsi"/>
                <w:noProof/>
              </w:rPr>
              <w:drawing>
                <wp:inline distT="0" distB="0" distL="0" distR="0" wp14:anchorId="7152421B" wp14:editId="7BBEF11A">
                  <wp:extent cx="495300" cy="666750"/>
                  <wp:effectExtent l="0" t="0" r="0" b="0"/>
                  <wp:docPr id="44047" name="Image 15"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8" name="Image 15" descr="logo aride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w:t>
            </w:r>
          </w:p>
        </w:tc>
        <w:tc>
          <w:tcPr>
            <w:tcW w:w="1645" w:type="dxa"/>
          </w:tcPr>
          <w:p w14:paraId="3A8D9B4B" w14:textId="77777777" w:rsidR="0010132C" w:rsidRPr="000B6BE3" w:rsidRDefault="0010132C" w:rsidP="00644A82">
            <w:pPr>
              <w:textAlignment w:val="baseline"/>
              <w:rPr>
                <w:rFonts w:cstheme="minorHAnsi"/>
              </w:rPr>
            </w:pPr>
            <w:r w:rsidRPr="00D1445E">
              <w:rPr>
                <w:rFonts w:eastAsia="+mn-ea" w:cstheme="minorHAnsi"/>
                <w:b/>
                <w:bCs/>
                <w:color w:val="008000"/>
                <w:kern w:val="24"/>
                <w:sz w:val="56"/>
                <w:szCs w:val="56"/>
              </w:rPr>
              <w:t>U</w:t>
            </w:r>
          </w:p>
        </w:tc>
        <w:tc>
          <w:tcPr>
            <w:tcW w:w="415" w:type="dxa"/>
          </w:tcPr>
          <w:p w14:paraId="658B6974" w14:textId="77777777" w:rsidR="0010132C" w:rsidRPr="000B6BE3" w:rsidRDefault="0010132C" w:rsidP="00644A82">
            <w:pPr>
              <w:rPr>
                <w:rFonts w:cstheme="minorHAnsi"/>
              </w:rPr>
            </w:pPr>
          </w:p>
        </w:tc>
        <w:tc>
          <w:tcPr>
            <w:tcW w:w="1379" w:type="dxa"/>
          </w:tcPr>
          <w:p w14:paraId="305985D8" w14:textId="77777777" w:rsidR="0010132C" w:rsidRPr="000B6BE3" w:rsidRDefault="0010132C" w:rsidP="00644A82">
            <w:pPr>
              <w:rPr>
                <w:rFonts w:cstheme="minorHAnsi"/>
              </w:rPr>
            </w:pPr>
          </w:p>
        </w:tc>
      </w:tr>
    </w:tbl>
    <w:p w14:paraId="7499651B" w14:textId="77777777" w:rsidR="0010132C" w:rsidRDefault="0010132C" w:rsidP="0010132C">
      <w:pPr>
        <w:spacing w:after="0" w:line="240" w:lineRule="auto"/>
      </w:pPr>
    </w:p>
    <w:p w14:paraId="083889CB" w14:textId="62C014CF" w:rsidR="0010132C" w:rsidRDefault="0010132C" w:rsidP="00B5258D">
      <w:pPr>
        <w:spacing w:after="0" w:line="240" w:lineRule="auto"/>
        <w:jc w:val="both"/>
      </w:pPr>
      <w:r w:rsidRPr="0010132C">
        <w:rPr>
          <w:i/>
          <w:iCs/>
        </w:rPr>
        <w:lastRenderedPageBreak/>
        <w:t>Callitris tuberculata</w:t>
      </w:r>
      <w:r>
        <w:t> est un arbuste persistant, atteignant jusqu’à 8 m, la famille de la famille des cyprès (Cupressaceae), originaire du sud de l'Australie occidentale. Selon l'INRA, il est l’arbre le plus résistant du monde à la sécheresse.</w:t>
      </w:r>
    </w:p>
    <w:p w14:paraId="190FA657" w14:textId="77777777" w:rsidR="00B5258D" w:rsidRDefault="0010132C" w:rsidP="00B5258D">
      <w:pPr>
        <w:spacing w:after="0" w:line="240" w:lineRule="auto"/>
        <w:jc w:val="both"/>
      </w:pPr>
      <w:r>
        <w:t xml:space="preserve">Note : La cavitation correspond à la formation d'une bulle d'air dans les vaisseaux des arbres (xylème), qui rompt la colonne d'eau et rend ainsi impossible le transport de la sève dans l'appareil vasculaire. La cavitation se produit lors d'épisodes de sécheresse sévère et conduit à la mort de l'arbre lorsqu'elle atteint des taux importants. Or le </w:t>
      </w:r>
      <w:r w:rsidRPr="00B5258D">
        <w:rPr>
          <w:i/>
          <w:iCs/>
        </w:rPr>
        <w:t>Callitris tuberculat</w:t>
      </w:r>
      <w:r>
        <w:t xml:space="preserve">a possède une grande résistance à ce phénomène. </w:t>
      </w:r>
    </w:p>
    <w:p w14:paraId="7C0AEE1C" w14:textId="3E281217" w:rsidR="0010132C" w:rsidRDefault="0010132C" w:rsidP="00B5258D">
      <w:pPr>
        <w:spacing w:after="0" w:line="240" w:lineRule="auto"/>
        <w:jc w:val="both"/>
      </w:pPr>
      <w:r>
        <w:t>Synonyme : </w:t>
      </w:r>
      <w:r w:rsidRPr="00B5258D">
        <w:rPr>
          <w:i/>
          <w:iCs/>
        </w:rPr>
        <w:t>Callitris preissii</w:t>
      </w:r>
      <w:r>
        <w:t> Miq.</w:t>
      </w:r>
      <w:r w:rsidR="00B5258D">
        <w:rPr>
          <w:rStyle w:val="Appelnotedebasdep"/>
        </w:rPr>
        <w:footnoteReference w:id="78"/>
      </w:r>
      <w:r>
        <w:t xml:space="preserve">, </w:t>
      </w:r>
      <w:r w:rsidRPr="00B5258D">
        <w:rPr>
          <w:i/>
          <w:iCs/>
        </w:rPr>
        <w:t>C. robusta</w:t>
      </w:r>
      <w:r>
        <w:t xml:space="preserve"> </w:t>
      </w:r>
    </w:p>
    <w:p w14:paraId="4A5D9F4F" w14:textId="77777777" w:rsidR="0010132C" w:rsidRDefault="0010132C" w:rsidP="00B5258D">
      <w:pPr>
        <w:spacing w:after="0" w:line="240" w:lineRule="auto"/>
        <w:jc w:val="both"/>
      </w:pPr>
      <w:r>
        <w:t xml:space="preserve">(°) partie orientale du sud des Wheatbelts de la région de Goldfields dans le Grand désert de Victoria. </w:t>
      </w:r>
      <w:r w:rsidRPr="00B5258D">
        <w:rPr>
          <w:i/>
          <w:iCs/>
        </w:rPr>
        <w:t>Callitris tuberculat</w:t>
      </w:r>
      <w:r>
        <w:t>a pousse principalement sur ​​les collines et les plaines de sable du désert rouge et sur ​​les dunes côtières.</w:t>
      </w:r>
    </w:p>
    <w:p w14:paraId="04B56C59" w14:textId="7B26A7D5" w:rsidR="0010132C" w:rsidRPr="0010132C" w:rsidRDefault="0010132C" w:rsidP="00B5258D">
      <w:pPr>
        <w:spacing w:after="0" w:line="240" w:lineRule="auto"/>
        <w:jc w:val="both"/>
        <w:rPr>
          <w:lang w:val="en-GB"/>
        </w:rPr>
      </w:pPr>
      <w:r w:rsidRPr="0010132C">
        <w:rPr>
          <w:lang w:val="en-GB"/>
        </w:rPr>
        <w:t xml:space="preserve">Sources : a) </w:t>
      </w:r>
      <w:r w:rsidRPr="00B5258D">
        <w:rPr>
          <w:i/>
          <w:iCs/>
          <w:lang w:val="en-GB"/>
        </w:rPr>
        <w:t>Extreme aridity pushes trees to their physical limits</w:t>
      </w:r>
      <w:r w:rsidRPr="0010132C">
        <w:rPr>
          <w:lang w:val="en-GB"/>
        </w:rPr>
        <w:t>, Larter M., Brodribb J., Pfautsch S., Burlett R., Cochard H., Delzon S., 2015, Plant Physiology. doi:10.1104/pp.15.00223,</w:t>
      </w:r>
      <w:r w:rsidR="00B5258D">
        <w:rPr>
          <w:lang w:val="en-GB"/>
        </w:rPr>
        <w:t xml:space="preserve"> </w:t>
      </w:r>
      <w:r w:rsidRPr="0010132C">
        <w:rPr>
          <w:lang w:val="en-GB"/>
        </w:rPr>
        <w:t xml:space="preserve">b) </w:t>
      </w:r>
      <w:hyperlink r:id="rId634" w:history="1">
        <w:r w:rsidR="00B5258D" w:rsidRPr="00B6599B">
          <w:rPr>
            <w:rStyle w:val="Lienhypertexte"/>
            <w:lang w:val="en-GB"/>
          </w:rPr>
          <w:t>http://de.wikipedia.org/wiki/Callitris_tuberculata</w:t>
        </w:r>
      </w:hyperlink>
      <w:r w:rsidRPr="0010132C">
        <w:rPr>
          <w:lang w:val="en-GB"/>
        </w:rPr>
        <w:t>,</w:t>
      </w:r>
      <w:r w:rsidR="00B5258D">
        <w:rPr>
          <w:lang w:val="en-GB"/>
        </w:rPr>
        <w:t xml:space="preserve"> </w:t>
      </w:r>
      <w:r w:rsidRPr="0010132C">
        <w:rPr>
          <w:lang w:val="en-GB"/>
        </w:rPr>
        <w:t xml:space="preserve"> c) </w:t>
      </w:r>
      <w:hyperlink r:id="rId635" w:history="1">
        <w:r w:rsidR="00B5258D" w:rsidRPr="00B6599B">
          <w:rPr>
            <w:rStyle w:val="Lienhypertexte"/>
            <w:lang w:val="en-GB"/>
          </w:rPr>
          <w:t>http://www.bordeaux-aquitaine.inra.fr/Toutes-les-actualites/Communique-presse-Callitris-tuberculata-l-arbre-le-plus-resistant-du-monde-a-la-secheresse</w:t>
        </w:r>
      </w:hyperlink>
      <w:r w:rsidR="00B5258D">
        <w:rPr>
          <w:lang w:val="en-GB"/>
        </w:rPr>
        <w:t>,</w:t>
      </w:r>
    </w:p>
    <w:p w14:paraId="0A2770BA" w14:textId="63CCDDBF" w:rsidR="0010132C" w:rsidRPr="0010132C" w:rsidRDefault="0010132C" w:rsidP="00B5258D">
      <w:pPr>
        <w:spacing w:after="0" w:line="240" w:lineRule="auto"/>
        <w:jc w:val="both"/>
        <w:rPr>
          <w:lang w:val="es-AR"/>
        </w:rPr>
      </w:pPr>
      <w:r w:rsidRPr="0010132C">
        <w:rPr>
          <w:lang w:val="es-AR"/>
        </w:rPr>
        <w:t xml:space="preserve">d) </w:t>
      </w:r>
      <w:hyperlink r:id="rId636" w:history="1">
        <w:r w:rsidR="00B5258D" w:rsidRPr="00B6599B">
          <w:rPr>
            <w:rStyle w:val="Lienhypertexte"/>
            <w:lang w:val="es-AR"/>
          </w:rPr>
          <w:t>https://fr.wikipedia.org/wiki/Callitris_preissii</w:t>
        </w:r>
      </w:hyperlink>
      <w:r w:rsidRPr="0010132C">
        <w:rPr>
          <w:lang w:val="es-AR"/>
        </w:rPr>
        <w:t>,</w:t>
      </w:r>
      <w:r w:rsidR="00B5258D">
        <w:rPr>
          <w:lang w:val="es-AR"/>
        </w:rPr>
        <w:t xml:space="preserve"> </w:t>
      </w:r>
      <w:r w:rsidRPr="0010132C">
        <w:rPr>
          <w:lang w:val="es-AR"/>
        </w:rPr>
        <w:t xml:space="preserve">e) </w:t>
      </w:r>
      <w:hyperlink r:id="rId637" w:history="1">
        <w:r w:rsidR="00B5258D" w:rsidRPr="00B6599B">
          <w:rPr>
            <w:rStyle w:val="Lienhypertexte"/>
            <w:lang w:val="es-AR"/>
          </w:rPr>
          <w:t>http://www.theplantlist.org/tpl/record/kew-2692900</w:t>
        </w:r>
      </w:hyperlink>
      <w:r w:rsidR="00B5258D">
        <w:rPr>
          <w:lang w:val="es-AR"/>
        </w:rPr>
        <w:t xml:space="preserve">, </w:t>
      </w:r>
      <w:r w:rsidRPr="0010132C">
        <w:rPr>
          <w:lang w:val="es-AR"/>
        </w:rPr>
        <w:t xml:space="preserve">  </w:t>
      </w:r>
    </w:p>
    <w:p w14:paraId="49730351" w14:textId="0EBDACD9" w:rsidR="0010132C" w:rsidRPr="0010132C" w:rsidRDefault="0010132C" w:rsidP="0010132C">
      <w:pPr>
        <w:spacing w:after="0" w:line="240" w:lineRule="auto"/>
        <w:rPr>
          <w:lang w:val="en-GB"/>
        </w:rPr>
      </w:pPr>
      <w:r w:rsidRPr="0010132C">
        <w:rPr>
          <w:lang w:val="en-GB"/>
        </w:rPr>
        <w:t xml:space="preserve">f) </w:t>
      </w:r>
      <w:hyperlink r:id="rId638" w:history="1">
        <w:r w:rsidR="00B5258D" w:rsidRPr="00B6599B">
          <w:rPr>
            <w:rStyle w:val="Lienhypertexte"/>
            <w:lang w:val="en-GB"/>
          </w:rPr>
          <w:t>http://bie.ala.org.au/species/urn:lsid:biodiversity.org.au:apni.taxon:409007</w:t>
        </w:r>
      </w:hyperlink>
      <w:r w:rsidR="00B5258D">
        <w:rPr>
          <w:lang w:val="en-GB"/>
        </w:rPr>
        <w:t xml:space="preserve"> </w:t>
      </w:r>
      <w:r w:rsidRPr="0010132C">
        <w:rPr>
          <w:lang w:val="en-GB"/>
        </w:rPr>
        <w:t xml:space="preserve"> (?)</w:t>
      </w:r>
    </w:p>
    <w:p w14:paraId="4563CE24" w14:textId="77777777" w:rsidR="00B5258D" w:rsidRDefault="00B5258D" w:rsidP="00B5258D">
      <w:pPr>
        <w:spacing w:after="0" w:line="240" w:lineRule="auto"/>
        <w:jc w:val="both"/>
      </w:pPr>
      <w:r>
        <w:t xml:space="preserve">Contact scientifique :  Sylvain Delzon (05 40 00 38 91) Unité Biodiversité, gènes et communautés (Inra, Université de Bordeaux), </w:t>
      </w:r>
    </w:p>
    <w:p w14:paraId="78155F34" w14:textId="20E8082E" w:rsidR="0010132C" w:rsidRDefault="0010132C" w:rsidP="008F191E">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32"/>
        <w:gridCol w:w="4694"/>
      </w:tblGrid>
      <w:tr w:rsidR="006D3C02" w14:paraId="659338A6" w14:textId="77777777" w:rsidTr="006D3C02">
        <w:tc>
          <w:tcPr>
            <w:tcW w:w="6516" w:type="dxa"/>
          </w:tcPr>
          <w:p w14:paraId="016B0284" w14:textId="22D2DA01" w:rsidR="006D3C02" w:rsidRDefault="006D3C02" w:rsidP="006D3C02">
            <w:pPr>
              <w:jc w:val="center"/>
            </w:pPr>
            <w:r w:rsidRPr="006D3C02">
              <w:rPr>
                <w:noProof/>
              </w:rPr>
              <w:drawing>
                <wp:inline distT="0" distB="0" distL="0" distR="0" wp14:anchorId="0E0217D5" wp14:editId="0158F417">
                  <wp:extent cx="3396390" cy="2413224"/>
                  <wp:effectExtent l="0" t="0" r="0" b="6350"/>
                  <wp:docPr id="44048"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2"/>
                          <pic:cNvPicPr>
                            <a:picLocks noChangeAspect="1"/>
                          </pic:cNvPicPr>
                        </pic:nvPicPr>
                        <pic:blipFill>
                          <a:blip r:embed="rId639">
                            <a:extLst>
                              <a:ext uri="{28A0092B-C50C-407E-A947-70E740481C1C}">
                                <a14:useLocalDpi xmlns:a14="http://schemas.microsoft.com/office/drawing/2010/main" val="0"/>
                              </a:ext>
                            </a:extLst>
                          </a:blip>
                          <a:stretch>
                            <a:fillRect/>
                          </a:stretch>
                        </pic:blipFill>
                        <pic:spPr>
                          <a:xfrm>
                            <a:off x="0" y="0"/>
                            <a:ext cx="3396390" cy="2413224"/>
                          </a:xfrm>
                          <a:prstGeom prst="rect">
                            <a:avLst/>
                          </a:prstGeom>
                        </pic:spPr>
                      </pic:pic>
                    </a:graphicData>
                  </a:graphic>
                </wp:inline>
              </w:drawing>
            </w:r>
          </w:p>
        </w:tc>
        <w:tc>
          <w:tcPr>
            <w:tcW w:w="3900" w:type="dxa"/>
          </w:tcPr>
          <w:p w14:paraId="69F3A5E9" w14:textId="77777777" w:rsidR="006D3C02" w:rsidRDefault="006D3C02" w:rsidP="006D3C02">
            <w:pPr>
              <w:jc w:val="center"/>
            </w:pPr>
            <w:r w:rsidRPr="006D3C02">
              <w:rPr>
                <w:noProof/>
              </w:rPr>
              <w:drawing>
                <wp:inline distT="0" distB="0" distL="0" distR="0" wp14:anchorId="7E1CCC82" wp14:editId="31DE9CC0">
                  <wp:extent cx="1571346" cy="2369899"/>
                  <wp:effectExtent l="0" t="0" r="0" b="0"/>
                  <wp:docPr id="44049"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1"/>
                          <pic:cNvPicPr>
                            <a:picLocks noChangeAspect="1"/>
                          </pic:cNvPicPr>
                        </pic:nvPicPr>
                        <pic:blipFill>
                          <a:blip r:embed="rId640">
                            <a:extLst>
                              <a:ext uri="{28A0092B-C50C-407E-A947-70E740481C1C}">
                                <a14:useLocalDpi xmlns:a14="http://schemas.microsoft.com/office/drawing/2010/main" val="0"/>
                              </a:ext>
                            </a:extLst>
                          </a:blip>
                          <a:stretch>
                            <a:fillRect/>
                          </a:stretch>
                        </pic:blipFill>
                        <pic:spPr>
                          <a:xfrm>
                            <a:off x="0" y="0"/>
                            <a:ext cx="1571346" cy="2369899"/>
                          </a:xfrm>
                          <a:prstGeom prst="rect">
                            <a:avLst/>
                          </a:prstGeom>
                        </pic:spPr>
                      </pic:pic>
                    </a:graphicData>
                  </a:graphic>
                </wp:inline>
              </w:drawing>
            </w:r>
          </w:p>
          <w:p w14:paraId="014C422C" w14:textId="4D05CA20" w:rsidR="006D3C02" w:rsidRDefault="006D3C02" w:rsidP="006D3C02">
            <w:pPr>
              <w:jc w:val="center"/>
            </w:pPr>
            <w:r w:rsidRPr="006D3C02">
              <w:t xml:space="preserve">Source : </w:t>
            </w:r>
            <w:hyperlink r:id="rId641" w:history="1">
              <w:r w:rsidRPr="006D3C02">
                <w:rPr>
                  <w:rStyle w:val="Lienhypertexte"/>
                </w:rPr>
                <w:t>https://www.anbg.gov.au/photo/apii/id/dig/3343</w:t>
              </w:r>
            </w:hyperlink>
          </w:p>
        </w:tc>
      </w:tr>
    </w:tbl>
    <w:p w14:paraId="6FCEC504" w14:textId="77777777" w:rsidR="006D3C02" w:rsidRPr="00B5258D" w:rsidRDefault="006D3C02" w:rsidP="006D3C02">
      <w:pPr>
        <w:spacing w:after="0" w:line="240" w:lineRule="auto"/>
      </w:pPr>
    </w:p>
    <w:p w14:paraId="07D69738" w14:textId="77777777" w:rsidR="007C2D9B" w:rsidRPr="00931CA7" w:rsidRDefault="007C2D9B" w:rsidP="00931CA7">
      <w:pPr>
        <w:pStyle w:val="Titre2"/>
        <w:rPr>
          <w:i/>
          <w:iCs/>
        </w:rPr>
      </w:pPr>
      <w:bookmarkStart w:id="73" w:name="_Toc139181364"/>
      <w:r w:rsidRPr="00931CA7">
        <w:rPr>
          <w:i/>
          <w:iCs/>
        </w:rPr>
        <w:t>Pterocarpus angolensis</w:t>
      </w:r>
      <w:bookmarkEnd w:id="73"/>
    </w:p>
    <w:p w14:paraId="4E73F152" w14:textId="44CD3036" w:rsidR="007C2D9B" w:rsidRDefault="007C2D9B" w:rsidP="007C2D9B">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5"/>
        <w:gridCol w:w="2212"/>
        <w:gridCol w:w="1645"/>
        <w:gridCol w:w="415"/>
        <w:gridCol w:w="1379"/>
      </w:tblGrid>
      <w:tr w:rsidR="00405A6D" w:rsidRPr="000B6BE3" w14:paraId="467F1176" w14:textId="77777777" w:rsidTr="00644A82">
        <w:tc>
          <w:tcPr>
            <w:tcW w:w="4775" w:type="dxa"/>
          </w:tcPr>
          <w:p w14:paraId="5D138DCE" w14:textId="77777777" w:rsidR="00405A6D" w:rsidRPr="008F191E" w:rsidRDefault="00405A6D" w:rsidP="00644A82">
            <w:pPr>
              <w:rPr>
                <w:rFonts w:ascii="Calibri" w:hAnsi="Calibri" w:cs="Calibri"/>
                <w:bCs/>
              </w:rPr>
            </w:pPr>
            <w:r w:rsidRPr="008F191E">
              <w:rPr>
                <w:rFonts w:ascii="Calibri" w:hAnsi="Calibri" w:cs="Calibri"/>
                <w:bCs/>
              </w:rPr>
              <w:t>(</w:t>
            </w:r>
            <w:hyperlink r:id="rId642" w:history="1">
              <w:r w:rsidRPr="008F191E">
                <w:rPr>
                  <w:rFonts w:ascii="Calibri" w:hAnsi="Calibri" w:cs="Calibri"/>
                </w:rPr>
                <w:t>F</w:t>
              </w:r>
              <w:r w:rsidRPr="008F191E">
                <w:rPr>
                  <w:rStyle w:val="Lienhypertexte"/>
                  <w:rFonts w:ascii="Calibri" w:hAnsi="Calibri" w:cs="Calibri"/>
                  <w:color w:val="0B0080"/>
                  <w:shd w:val="clear" w:color="auto" w:fill="FFFFFF"/>
                </w:rPr>
                <w:t>amille</w:t>
              </w:r>
            </w:hyperlink>
            <w:r w:rsidRPr="008F191E">
              <w:rPr>
                <w:rFonts w:ascii="Calibri" w:hAnsi="Calibri" w:cs="Calibri"/>
                <w:color w:val="222222"/>
                <w:shd w:val="clear" w:color="auto" w:fill="FFFFFF"/>
              </w:rPr>
              <w:t> des</w:t>
            </w:r>
            <w:r w:rsidRPr="008F191E">
              <w:rPr>
                <w:rFonts w:ascii="Calibri" w:hAnsi="Calibri" w:cs="Calibri"/>
                <w:color w:val="202122"/>
                <w:shd w:val="clear" w:color="auto" w:fill="FFFFFF"/>
              </w:rPr>
              <w:t> Fabacées</w:t>
            </w:r>
            <w:r>
              <w:rPr>
                <w:rFonts w:ascii="Calibri" w:hAnsi="Calibri" w:cs="Calibri"/>
                <w:color w:val="202122"/>
                <w:shd w:val="clear" w:color="auto" w:fill="FFFFFF"/>
              </w:rPr>
              <w:t xml:space="preserve"> / </w:t>
            </w:r>
            <w:r w:rsidRPr="008F191E">
              <w:rPr>
                <w:rFonts w:ascii="Calibri" w:hAnsi="Calibri" w:cs="Calibri"/>
                <w:i/>
                <w:iCs/>
                <w:color w:val="202122"/>
                <w:shd w:val="clear" w:color="auto" w:fill="FFFFFF"/>
              </w:rPr>
              <w:t>Fabaceae</w:t>
            </w:r>
            <w:r w:rsidRPr="008F191E">
              <w:rPr>
                <w:rFonts w:ascii="Calibri" w:hAnsi="Calibri" w:cs="Calibri"/>
                <w:bCs/>
              </w:rPr>
              <w:t>)</w:t>
            </w:r>
          </w:p>
          <w:p w14:paraId="52340FDF" w14:textId="77777777" w:rsidR="00405A6D" w:rsidRPr="000B6BE3" w:rsidRDefault="00405A6D" w:rsidP="00644A82">
            <w:pPr>
              <w:rPr>
                <w:rFonts w:cstheme="minorHAnsi"/>
              </w:rPr>
            </w:pPr>
          </w:p>
        </w:tc>
        <w:tc>
          <w:tcPr>
            <w:tcW w:w="2212" w:type="dxa"/>
          </w:tcPr>
          <w:p w14:paraId="3251B767" w14:textId="41E5BF45" w:rsidR="00405A6D" w:rsidRPr="000B6BE3" w:rsidRDefault="00405A6D" w:rsidP="00644A82">
            <w:pPr>
              <w:rPr>
                <w:rFonts w:cstheme="minorHAnsi"/>
              </w:rPr>
            </w:pPr>
            <w:r w:rsidRPr="000B6BE3">
              <w:rPr>
                <w:rFonts w:cstheme="minorHAnsi"/>
                <w:noProof/>
              </w:rPr>
              <w:t xml:space="preserve">  </w:t>
            </w:r>
            <w:r>
              <w:rPr>
                <w:rFonts w:cstheme="minorHAnsi"/>
                <w:noProof/>
              </w:rPr>
              <w:t xml:space="preserve">     </w:t>
            </w:r>
            <w:r w:rsidRPr="005C50C9">
              <w:rPr>
                <w:rFonts w:cstheme="minorHAnsi"/>
                <w:noProof/>
              </w:rPr>
              <w:drawing>
                <wp:inline distT="0" distB="0" distL="0" distR="0" wp14:anchorId="47027AC0" wp14:editId="452BF1BD">
                  <wp:extent cx="495300" cy="666750"/>
                  <wp:effectExtent l="0" t="0" r="0" b="0"/>
                  <wp:docPr id="132117" name="Image 15"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8" name="Image 15" descr="logo aride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w:t>
            </w:r>
          </w:p>
        </w:tc>
        <w:tc>
          <w:tcPr>
            <w:tcW w:w="1645" w:type="dxa"/>
          </w:tcPr>
          <w:p w14:paraId="03F5B8A6" w14:textId="77777777" w:rsidR="00405A6D" w:rsidRPr="002E01BB" w:rsidRDefault="00405A6D" w:rsidP="00644A82">
            <w:pPr>
              <w:textAlignment w:val="baseline"/>
              <w:rPr>
                <w:rFonts w:cstheme="minorHAnsi"/>
                <w:sz w:val="72"/>
                <w:szCs w:val="72"/>
              </w:rPr>
            </w:pPr>
            <w:r w:rsidRPr="002E01BB">
              <w:rPr>
                <w:rFonts w:eastAsia="+mn-ea" w:cstheme="minorHAnsi"/>
                <w:b/>
                <w:bCs/>
                <w:color w:val="008000"/>
                <w:kern w:val="24"/>
                <w:sz w:val="72"/>
                <w:szCs w:val="72"/>
              </w:rPr>
              <w:t>U</w:t>
            </w:r>
          </w:p>
        </w:tc>
        <w:tc>
          <w:tcPr>
            <w:tcW w:w="415" w:type="dxa"/>
          </w:tcPr>
          <w:p w14:paraId="04B95DB3" w14:textId="77777777" w:rsidR="00405A6D" w:rsidRPr="000B6BE3" w:rsidRDefault="00405A6D" w:rsidP="00644A82">
            <w:pPr>
              <w:rPr>
                <w:rFonts w:cstheme="minorHAnsi"/>
              </w:rPr>
            </w:pPr>
          </w:p>
        </w:tc>
        <w:tc>
          <w:tcPr>
            <w:tcW w:w="1379" w:type="dxa"/>
          </w:tcPr>
          <w:p w14:paraId="564C41A4" w14:textId="77777777" w:rsidR="00405A6D" w:rsidRPr="000B6BE3" w:rsidRDefault="00405A6D" w:rsidP="00644A82">
            <w:pPr>
              <w:rPr>
                <w:rFonts w:cstheme="minorHAnsi"/>
              </w:rPr>
            </w:pPr>
          </w:p>
        </w:tc>
      </w:tr>
    </w:tbl>
    <w:p w14:paraId="0EBF5459" w14:textId="77777777" w:rsidR="00405A6D" w:rsidRDefault="00405A6D" w:rsidP="007C2D9B">
      <w:pPr>
        <w:spacing w:after="0" w:line="240" w:lineRule="auto"/>
        <w:jc w:val="both"/>
      </w:pPr>
    </w:p>
    <w:p w14:paraId="151DFB64" w14:textId="75FAF0CE" w:rsidR="0035232A" w:rsidRPr="0035232A" w:rsidRDefault="0035232A" w:rsidP="007C2D9B">
      <w:pPr>
        <w:spacing w:after="0" w:line="240" w:lineRule="auto"/>
        <w:jc w:val="both"/>
        <w:rPr>
          <w:rFonts w:ascii="Calibri" w:hAnsi="Calibri" w:cs="Calibri"/>
        </w:rPr>
      </w:pPr>
      <w:r w:rsidRPr="0035232A">
        <w:rPr>
          <w:rFonts w:ascii="Calibri" w:hAnsi="Calibri" w:cs="Calibri"/>
          <w:color w:val="202122"/>
          <w:shd w:val="clear" w:color="auto" w:fill="FFFFFF"/>
        </w:rPr>
        <w:t>Originaire d'</w:t>
      </w:r>
      <w:hyperlink r:id="rId643" w:tooltip="Afrique australe" w:history="1">
        <w:r w:rsidRPr="0035232A">
          <w:rPr>
            <w:rStyle w:val="Lienhypertexte"/>
            <w:rFonts w:ascii="Calibri" w:hAnsi="Calibri" w:cs="Calibri"/>
            <w:color w:val="0645AD"/>
            <w:shd w:val="clear" w:color="auto" w:fill="FFFFFF"/>
          </w:rPr>
          <w:t>Afrique australe</w:t>
        </w:r>
      </w:hyperlink>
      <w:r w:rsidRPr="0035232A">
        <w:rPr>
          <w:rFonts w:ascii="Calibri" w:hAnsi="Calibri" w:cs="Calibri"/>
          <w:color w:val="202122"/>
          <w:shd w:val="clear" w:color="auto" w:fill="FFFFFF"/>
        </w:rPr>
        <w:t>, on le trouve en </w:t>
      </w:r>
      <w:hyperlink r:id="rId644" w:tooltip="Zimbabwe" w:history="1">
        <w:r w:rsidRPr="0035232A">
          <w:rPr>
            <w:rStyle w:val="Lienhypertexte"/>
            <w:rFonts w:ascii="Calibri" w:hAnsi="Calibri" w:cs="Calibri"/>
            <w:color w:val="0645AD"/>
            <w:shd w:val="clear" w:color="auto" w:fill="FFFFFF"/>
          </w:rPr>
          <w:t>Angola</w:t>
        </w:r>
      </w:hyperlink>
      <w:r w:rsidRPr="0035232A">
        <w:rPr>
          <w:rFonts w:ascii="Calibri" w:hAnsi="Calibri" w:cs="Calibri"/>
          <w:color w:val="202122"/>
          <w:shd w:val="clear" w:color="auto" w:fill="FFFFFF"/>
        </w:rPr>
        <w:t>, au </w:t>
      </w:r>
      <w:hyperlink r:id="rId645" w:history="1">
        <w:r w:rsidRPr="0035232A">
          <w:rPr>
            <w:rStyle w:val="Lienhypertexte"/>
            <w:rFonts w:ascii="Calibri" w:hAnsi="Calibri" w:cs="Calibri"/>
            <w:color w:val="0645AD"/>
            <w:shd w:val="clear" w:color="auto" w:fill="FFFFFF"/>
          </w:rPr>
          <w:t>Mozambique</w:t>
        </w:r>
      </w:hyperlink>
      <w:r w:rsidRPr="0035232A">
        <w:rPr>
          <w:rFonts w:ascii="Calibri" w:hAnsi="Calibri" w:cs="Calibri"/>
          <w:color w:val="202122"/>
          <w:shd w:val="clear" w:color="auto" w:fill="FFFFFF"/>
        </w:rPr>
        <w:t>, en </w:t>
      </w:r>
      <w:hyperlink r:id="rId646" w:tooltip="Namibie" w:history="1">
        <w:r w:rsidRPr="0035232A">
          <w:rPr>
            <w:rStyle w:val="Lienhypertexte"/>
            <w:rFonts w:ascii="Calibri" w:hAnsi="Calibri" w:cs="Calibri"/>
            <w:color w:val="0645AD"/>
            <w:shd w:val="clear" w:color="auto" w:fill="FFFFFF"/>
          </w:rPr>
          <w:t>Namibie</w:t>
        </w:r>
      </w:hyperlink>
      <w:r w:rsidRPr="0035232A">
        <w:rPr>
          <w:rFonts w:ascii="Calibri" w:hAnsi="Calibri" w:cs="Calibri"/>
          <w:color w:val="202122"/>
          <w:shd w:val="clear" w:color="auto" w:fill="FFFFFF"/>
        </w:rPr>
        <w:t>, en </w:t>
      </w:r>
      <w:hyperlink r:id="rId647" w:tooltip="Afrique du Sud" w:history="1">
        <w:r w:rsidRPr="0035232A">
          <w:rPr>
            <w:rStyle w:val="Lienhypertexte"/>
            <w:rFonts w:ascii="Calibri" w:hAnsi="Calibri" w:cs="Calibri"/>
            <w:color w:val="0645AD"/>
            <w:shd w:val="clear" w:color="auto" w:fill="FFFFFF"/>
          </w:rPr>
          <w:t>Afrique du Sud</w:t>
        </w:r>
      </w:hyperlink>
      <w:r w:rsidRPr="0035232A">
        <w:rPr>
          <w:rFonts w:ascii="Calibri" w:hAnsi="Calibri" w:cs="Calibri"/>
          <w:color w:val="202122"/>
          <w:shd w:val="clear" w:color="auto" w:fill="FFFFFF"/>
        </w:rPr>
        <w:t>, au </w:t>
      </w:r>
      <w:hyperlink r:id="rId648" w:tooltip="Swaziland" w:history="1">
        <w:r w:rsidRPr="0035232A">
          <w:rPr>
            <w:rStyle w:val="Lienhypertexte"/>
            <w:rFonts w:ascii="Calibri" w:hAnsi="Calibri" w:cs="Calibri"/>
            <w:color w:val="0645AD"/>
            <w:shd w:val="clear" w:color="auto" w:fill="FFFFFF"/>
          </w:rPr>
          <w:t>Swaziland</w:t>
        </w:r>
      </w:hyperlink>
      <w:r w:rsidRPr="0035232A">
        <w:rPr>
          <w:rFonts w:ascii="Calibri" w:hAnsi="Calibri" w:cs="Calibri"/>
          <w:color w:val="202122"/>
          <w:shd w:val="clear" w:color="auto" w:fill="FFFFFF"/>
        </w:rPr>
        <w:t>, en </w:t>
      </w:r>
      <w:hyperlink r:id="rId649" w:tooltip="Tanzanie" w:history="1">
        <w:r w:rsidRPr="0035232A">
          <w:rPr>
            <w:rStyle w:val="Lienhypertexte"/>
            <w:rFonts w:ascii="Calibri" w:hAnsi="Calibri" w:cs="Calibri"/>
            <w:color w:val="0645AD"/>
            <w:shd w:val="clear" w:color="auto" w:fill="FFFFFF"/>
          </w:rPr>
          <w:t>Tanzanie</w:t>
        </w:r>
      </w:hyperlink>
      <w:r w:rsidRPr="0035232A">
        <w:rPr>
          <w:rFonts w:ascii="Calibri" w:hAnsi="Calibri" w:cs="Calibri"/>
          <w:color w:val="202122"/>
          <w:shd w:val="clear" w:color="auto" w:fill="FFFFFF"/>
        </w:rPr>
        <w:t>, au </w:t>
      </w:r>
      <w:hyperlink r:id="rId650" w:tooltip="Zaïre" w:history="1">
        <w:r w:rsidRPr="0035232A">
          <w:rPr>
            <w:rStyle w:val="Lienhypertexte"/>
            <w:rFonts w:ascii="Calibri" w:hAnsi="Calibri" w:cs="Calibri"/>
            <w:color w:val="0645AD"/>
            <w:shd w:val="clear" w:color="auto" w:fill="FFFFFF"/>
          </w:rPr>
          <w:t>Zaïre</w:t>
        </w:r>
      </w:hyperlink>
      <w:r w:rsidRPr="0035232A">
        <w:rPr>
          <w:rFonts w:ascii="Calibri" w:hAnsi="Calibri" w:cs="Calibri"/>
          <w:color w:val="202122"/>
          <w:shd w:val="clear" w:color="auto" w:fill="FFFFFF"/>
        </w:rPr>
        <w:t>, au </w:t>
      </w:r>
      <w:hyperlink r:id="rId651" w:history="1">
        <w:r w:rsidRPr="0035232A">
          <w:rPr>
            <w:rStyle w:val="Lienhypertexte"/>
            <w:rFonts w:ascii="Calibri" w:hAnsi="Calibri" w:cs="Calibri"/>
            <w:color w:val="0645AD"/>
            <w:shd w:val="clear" w:color="auto" w:fill="FFFFFF"/>
          </w:rPr>
          <w:t>Zimbabwe</w:t>
        </w:r>
      </w:hyperlink>
      <w:r w:rsidRPr="0035232A">
        <w:rPr>
          <w:rFonts w:ascii="Calibri" w:hAnsi="Calibri" w:cs="Calibri"/>
          <w:color w:val="202122"/>
          <w:shd w:val="clear" w:color="auto" w:fill="FFFFFF"/>
        </w:rPr>
        <w:t> et en </w:t>
      </w:r>
      <w:hyperlink r:id="rId652" w:tooltip="Mozambique" w:history="1">
        <w:r w:rsidRPr="0035232A">
          <w:rPr>
            <w:rStyle w:val="Lienhypertexte"/>
            <w:rFonts w:ascii="Calibri" w:hAnsi="Calibri" w:cs="Calibri"/>
            <w:color w:val="0645AD"/>
            <w:shd w:val="clear" w:color="auto" w:fill="FFFFFF"/>
          </w:rPr>
          <w:t>Zambie</w:t>
        </w:r>
      </w:hyperlink>
      <w:r w:rsidRPr="0035232A">
        <w:rPr>
          <w:rFonts w:ascii="Calibri" w:hAnsi="Calibri" w:cs="Calibri"/>
        </w:rPr>
        <w:t>.</w:t>
      </w:r>
    </w:p>
    <w:p w14:paraId="50FDB68C" w14:textId="032DF509" w:rsidR="007C2D9B" w:rsidRDefault="007C2D9B" w:rsidP="007C2D9B">
      <w:pPr>
        <w:spacing w:after="0" w:line="240" w:lineRule="auto"/>
        <w:jc w:val="both"/>
      </w:pPr>
      <w:r>
        <w:t>Il est également connu sous le nom d'arbre à bois de sang, car lorsqu'il est haché ou endommagé, une sève rouge foncé qui ressemble étrangement au sang, suinte de l'arbre. En fait, le but de la sève est de coaguler et de sceller la plaie pour favoriser la guérison, tout comme le sang.</w:t>
      </w:r>
    </w:p>
    <w:p w14:paraId="2D44C5A6" w14:textId="77777777" w:rsidR="007C2D9B" w:rsidRDefault="007C2D9B" w:rsidP="007C2D9B">
      <w:pPr>
        <w:spacing w:after="0" w:line="240" w:lineRule="auto"/>
        <w:jc w:val="both"/>
      </w:pPr>
      <w:r w:rsidRPr="007C2D9B">
        <w:rPr>
          <w:i/>
          <w:iCs/>
        </w:rPr>
        <w:lastRenderedPageBreak/>
        <w:t>Pterocarpus angolensis</w:t>
      </w:r>
      <w:r>
        <w:t xml:space="preserve"> est un arbre à feuilles caduques de taille moyenne avec une couronne ouverte, arrondie ou étalée ; il pousse généralement de 5 à 20 mètres de haut mais des spécimens allant jusqu'à 35 mètres. Parfois, la plante n'est qu'un arbuste pouvant atteindre 5 mètres de haut.</w:t>
      </w:r>
    </w:p>
    <w:p w14:paraId="425F36C3" w14:textId="619776BC" w:rsidR="007C2D9B" w:rsidRDefault="007C2D9B" w:rsidP="007C2D9B">
      <w:pPr>
        <w:spacing w:after="0" w:line="240" w:lineRule="auto"/>
        <w:jc w:val="both"/>
      </w:pPr>
      <w:r>
        <w:t>Les arbres qui poussent sur de bons sites en pleine lumière vivent jusqu'à 100 ans, âge auquel ils atteignent une hauteur d'environ 20 mètres ou plus, avec un diamètre de couronne de 10 à 12 mètres et un diamètre de fût de 50 à 60 cm</w:t>
      </w:r>
      <w:r w:rsidR="00B407AB">
        <w:t xml:space="preserve">. </w:t>
      </w:r>
      <w:r w:rsidR="00B407AB" w:rsidRPr="00B407AB">
        <w:t>Son épaisse écorce liégeuse le protège des feux de brousse.</w:t>
      </w:r>
    </w:p>
    <w:p w14:paraId="59C4BF4A" w14:textId="290F7417" w:rsidR="007C2D9B" w:rsidRDefault="007C2D9B" w:rsidP="007C2D9B">
      <w:pPr>
        <w:spacing w:after="0" w:line="240" w:lineRule="auto"/>
        <w:jc w:val="both"/>
      </w:pPr>
    </w:p>
    <w:p w14:paraId="50E561CF" w14:textId="753B4CD3" w:rsidR="0035232A" w:rsidRPr="0035232A" w:rsidRDefault="0035232A" w:rsidP="007C2D9B">
      <w:pPr>
        <w:spacing w:after="0" w:line="240" w:lineRule="auto"/>
        <w:jc w:val="both"/>
        <w:rPr>
          <w:b/>
          <w:bCs/>
        </w:rPr>
      </w:pPr>
      <w:r w:rsidRPr="0035232A">
        <w:rPr>
          <w:b/>
          <w:bCs/>
        </w:rPr>
        <w:t>Usages</w:t>
      </w:r>
    </w:p>
    <w:p w14:paraId="3F4B2A56" w14:textId="560694DD" w:rsidR="0035232A" w:rsidRPr="0035232A" w:rsidRDefault="0035232A" w:rsidP="007C2D9B">
      <w:pPr>
        <w:spacing w:after="0" w:line="240" w:lineRule="auto"/>
        <w:jc w:val="both"/>
        <w:rPr>
          <w:rFonts w:ascii="Calibri" w:hAnsi="Calibri" w:cs="Calibri"/>
        </w:rPr>
      </w:pPr>
      <w:r w:rsidRPr="0035232A">
        <w:rPr>
          <w:rFonts w:ascii="Calibri" w:hAnsi="Calibri" w:cs="Calibri"/>
          <w:color w:val="000000" w:themeColor="text1"/>
          <w:shd w:val="clear" w:color="auto" w:fill="FFFFFF"/>
        </w:rPr>
        <w:t>Son bois brun est résistant aux </w:t>
      </w:r>
      <w:hyperlink r:id="rId653" w:tooltip="Termites" w:history="1">
        <w:r w:rsidRPr="0035232A">
          <w:rPr>
            <w:rStyle w:val="Lienhypertexte"/>
            <w:rFonts w:ascii="Calibri" w:hAnsi="Calibri" w:cs="Calibri"/>
            <w:color w:val="0645AD"/>
            <w:shd w:val="clear" w:color="auto" w:fill="FFFFFF"/>
          </w:rPr>
          <w:t>termites</w:t>
        </w:r>
      </w:hyperlink>
      <w:r w:rsidRPr="0035232A">
        <w:rPr>
          <w:rFonts w:ascii="Calibri" w:hAnsi="Calibri" w:cs="Calibri"/>
          <w:color w:val="202122"/>
          <w:shd w:val="clear" w:color="auto" w:fill="FFFFFF"/>
        </w:rPr>
        <w:t> </w:t>
      </w:r>
      <w:r w:rsidRPr="0035232A">
        <w:rPr>
          <w:rFonts w:ascii="Calibri" w:hAnsi="Calibri" w:cs="Calibri"/>
          <w:color w:val="000000" w:themeColor="text1"/>
          <w:shd w:val="clear" w:color="auto" w:fill="FFFFFF"/>
        </w:rPr>
        <w:t>et foreurs, est durable et a un parfum agréable épicé.</w:t>
      </w:r>
      <w:r w:rsidRPr="0035232A">
        <w:rPr>
          <w:rFonts w:ascii="Calibri" w:hAnsi="Calibri" w:cs="Calibri"/>
          <w:color w:val="000000" w:themeColor="text1"/>
        </w:rPr>
        <w:br/>
      </w:r>
      <w:r w:rsidRPr="0035232A">
        <w:rPr>
          <w:rFonts w:ascii="Calibri" w:hAnsi="Calibri" w:cs="Calibri"/>
          <w:color w:val="000000" w:themeColor="text1"/>
          <w:shd w:val="clear" w:color="auto" w:fill="FFFFFF"/>
        </w:rPr>
        <w:t>Ce bois se polit bien et est connu en Afrique tropicale sous le nom de "Mukwa" quand il est utilisé pour fabriquer des meubles.</w:t>
      </w:r>
      <w:r>
        <w:rPr>
          <w:rFonts w:ascii="Calibri" w:hAnsi="Calibri" w:cs="Calibri"/>
          <w:color w:val="000000" w:themeColor="text1"/>
        </w:rPr>
        <w:t xml:space="preserve"> </w:t>
      </w:r>
      <w:r w:rsidRPr="0035232A">
        <w:rPr>
          <w:rFonts w:ascii="Calibri" w:hAnsi="Calibri" w:cs="Calibri"/>
          <w:color w:val="000000" w:themeColor="text1"/>
          <w:shd w:val="clear" w:color="auto" w:fill="FFFFFF"/>
        </w:rPr>
        <w:t>Comme il ne gonfle pas ni ne se réduit au contact de l'eau, il est idéal pour la construction de </w:t>
      </w:r>
      <w:hyperlink r:id="rId654" w:history="1">
        <w:r w:rsidRPr="0035232A">
          <w:rPr>
            <w:rStyle w:val="Lienhypertexte"/>
            <w:rFonts w:ascii="Calibri" w:hAnsi="Calibri" w:cs="Calibri"/>
            <w:color w:val="0645AD"/>
            <w:shd w:val="clear" w:color="auto" w:fill="FFFFFF"/>
          </w:rPr>
          <w:t>pirogues</w:t>
        </w:r>
      </w:hyperlink>
      <w:r w:rsidRPr="0035232A">
        <w:rPr>
          <w:rFonts w:ascii="Calibri" w:hAnsi="Calibri" w:cs="Calibri"/>
          <w:color w:val="202122"/>
          <w:shd w:val="clear" w:color="auto" w:fill="FFFFFF"/>
        </w:rPr>
        <w:t>.</w:t>
      </w:r>
    </w:p>
    <w:p w14:paraId="24559782" w14:textId="77777777" w:rsidR="0035232A" w:rsidRDefault="007C2D9B" w:rsidP="007C2D9B">
      <w:pPr>
        <w:spacing w:after="0" w:line="240" w:lineRule="auto"/>
        <w:jc w:val="both"/>
      </w:pPr>
      <w:r>
        <w:t xml:space="preserve">Une espèce de bois clé dans toute son aire de répartition, donnant un bois de haute qualité (bois précieux). </w:t>
      </w:r>
    </w:p>
    <w:p w14:paraId="0B97B68B" w14:textId="1391549E" w:rsidR="007C2D9B" w:rsidRDefault="007C2D9B" w:rsidP="007C2D9B">
      <w:pPr>
        <w:spacing w:after="0" w:line="240" w:lineRule="auto"/>
        <w:jc w:val="both"/>
      </w:pPr>
      <w:r>
        <w:t>La plante est également souvent cultivée comme arbre d'ornement pour les rues et l'ombre, étant particulièrement appréciée pour ses masses de fleurs jaune-orange parfumées.</w:t>
      </w:r>
    </w:p>
    <w:p w14:paraId="4967DB48" w14:textId="0A6DCA4C" w:rsidR="0035232A" w:rsidRDefault="0035232A" w:rsidP="007C2D9B">
      <w:pPr>
        <w:spacing w:after="0" w:line="240" w:lineRule="auto"/>
        <w:jc w:val="both"/>
      </w:pPr>
    </w:p>
    <w:p w14:paraId="30F67950" w14:textId="77777777" w:rsidR="005B1BA7" w:rsidRDefault="005B1BA7" w:rsidP="007C2D9B">
      <w:pPr>
        <w:spacing w:after="0" w:line="240" w:lineRule="auto"/>
        <w:jc w:val="both"/>
      </w:pPr>
    </w:p>
    <w:p w14:paraId="2C4BAEBF" w14:textId="00BC0110" w:rsidR="0035232A" w:rsidRPr="0035232A" w:rsidRDefault="0035232A" w:rsidP="007C2D9B">
      <w:pPr>
        <w:spacing w:after="0" w:line="240" w:lineRule="auto"/>
        <w:jc w:val="both"/>
        <w:rPr>
          <w:b/>
          <w:bCs/>
        </w:rPr>
      </w:pPr>
      <w:r w:rsidRPr="0035232A">
        <w:rPr>
          <w:b/>
          <w:bCs/>
        </w:rPr>
        <w:t>Reproduction</w:t>
      </w:r>
    </w:p>
    <w:p w14:paraId="0FA50AE5" w14:textId="77777777" w:rsidR="0035232A" w:rsidRDefault="0035232A" w:rsidP="0035232A">
      <w:pPr>
        <w:spacing w:after="0" w:line="240" w:lineRule="auto"/>
        <w:jc w:val="both"/>
      </w:pPr>
      <w:r>
        <w:t>La régénération est suffisante mais peut être épisodique, en fonction des incendies ou des fortes précipitations.</w:t>
      </w:r>
    </w:p>
    <w:p w14:paraId="4BF46E72" w14:textId="77777777" w:rsidR="0035232A" w:rsidRDefault="0035232A" w:rsidP="007C2D9B">
      <w:pPr>
        <w:spacing w:after="0" w:line="240" w:lineRule="auto"/>
        <w:jc w:val="both"/>
      </w:pPr>
    </w:p>
    <w:p w14:paraId="083CA442" w14:textId="7FB54124" w:rsidR="0035232A" w:rsidRPr="0035232A" w:rsidRDefault="0035232A" w:rsidP="007C2D9B">
      <w:pPr>
        <w:spacing w:after="0" w:line="240" w:lineRule="auto"/>
        <w:jc w:val="both"/>
        <w:rPr>
          <w:b/>
          <w:bCs/>
        </w:rPr>
      </w:pPr>
      <w:r w:rsidRPr="0035232A">
        <w:rPr>
          <w:b/>
          <w:bCs/>
        </w:rPr>
        <w:t>Menaces</w:t>
      </w:r>
    </w:p>
    <w:p w14:paraId="56429BB5" w14:textId="77777777" w:rsidR="007C2D9B" w:rsidRDefault="007C2D9B" w:rsidP="007C2D9B">
      <w:pPr>
        <w:spacing w:after="0" w:line="240" w:lineRule="auto"/>
        <w:jc w:val="both"/>
      </w:pPr>
      <w:r>
        <w:t>Dans la plupart des régions de son aire de répartition, l'espèce est devenue moins fréquente, en particulier là où elle est fortement utilisée par les populations locales.</w:t>
      </w:r>
    </w:p>
    <w:p w14:paraId="545C44D8" w14:textId="77777777" w:rsidR="007C2D9B" w:rsidRDefault="007C2D9B" w:rsidP="007C2D9B">
      <w:pPr>
        <w:spacing w:after="0" w:line="240" w:lineRule="auto"/>
        <w:jc w:val="both"/>
      </w:pPr>
      <w:r>
        <w:t xml:space="preserve">Dans certaines parties de son aire de répartition, </w:t>
      </w:r>
      <w:r w:rsidRPr="00647F6F">
        <w:rPr>
          <w:i/>
          <w:iCs/>
        </w:rPr>
        <w:t>les arbres les plus grands et les plus matures sont menacés par la surexploitation du bois, ce qui entraîne le déclin de certaines sous-populations en dehors des zones protégées et parfois à l'intérieur des sites protégés en raison de l'exploitation forestière légale et illégale</w:t>
      </w:r>
      <w:r>
        <w:t xml:space="preserve">. Dans les zones d'extraction, la structure de taille des sous-populations est devenue tronquée, les arbres plus petits étant beaucoup plus courants que ceux de plus grande taille, ce qui réduit la quantité de graines produites par la population. On s'inquiète de l'impact que cela pourrait avoir sur la régénération de certains sites. </w:t>
      </w:r>
    </w:p>
    <w:p w14:paraId="72CA075B" w14:textId="77777777" w:rsidR="007C2D9B" w:rsidRDefault="007C2D9B" w:rsidP="007C2D9B">
      <w:pPr>
        <w:spacing w:after="0" w:line="240" w:lineRule="auto"/>
        <w:jc w:val="both"/>
      </w:pPr>
    </w:p>
    <w:p w14:paraId="6634A381" w14:textId="0E3DA70C" w:rsidR="0035232A" w:rsidRDefault="007C2D9B" w:rsidP="007C2D9B">
      <w:pPr>
        <w:spacing w:after="0" w:line="240" w:lineRule="auto"/>
        <w:jc w:val="both"/>
      </w:pPr>
      <w:r>
        <w:t xml:space="preserve">Des recherches supplémentaires sont nécessaires pour établir dans quelle mesure cela menace la viabilité future de l'espèce. Malgré ces menaces pour l'espèce, il est probable qu'une grande population de </w:t>
      </w:r>
      <w:r w:rsidRPr="001645B6">
        <w:rPr>
          <w:i/>
          <w:iCs/>
        </w:rPr>
        <w:t>Pterocarpus angolensis</w:t>
      </w:r>
      <w:r>
        <w:t xml:space="preserve"> subsistera dans toute son aire de répartition, car tous les arbres ne sont pas exploitables en raison de défauts ou de leur petite taille. L'espèce est également très répandue. La persistance de l'espèce à un stade de suffruque et sa capacité à coloniser des paysages exposés sont également à son avantage. </w:t>
      </w:r>
      <w:r w:rsidR="0035232A">
        <w:t>On sait que de grands peuplements sont encore présents par endroits, en particulier dans les zones protégées d'Afrique du Sud, du Botswana et de Namibie .</w:t>
      </w:r>
    </w:p>
    <w:p w14:paraId="5CF2DBAC" w14:textId="0B9ECD3F" w:rsidR="007C2D9B" w:rsidRDefault="007C2D9B" w:rsidP="007C2D9B">
      <w:pPr>
        <w:spacing w:after="0" w:line="240" w:lineRule="auto"/>
        <w:jc w:val="both"/>
      </w:pPr>
      <w:r>
        <w:t>La plante est classée comme "préoccupation mineure" dans la liste rouge des espèces menacées de l'UICN.</w:t>
      </w:r>
    </w:p>
    <w:p w14:paraId="2F7F3A4A" w14:textId="3E0F046D" w:rsidR="001645B6" w:rsidRDefault="001645B6" w:rsidP="007C2D9B">
      <w:pPr>
        <w:spacing w:after="0" w:line="240" w:lineRule="auto"/>
        <w:jc w:val="both"/>
      </w:pPr>
      <w:r>
        <w:t xml:space="preserve">Sources : a) </w:t>
      </w:r>
      <w:r w:rsidRPr="001645B6">
        <w:rPr>
          <w:i/>
          <w:iCs/>
        </w:rPr>
        <w:t>Pterocarpus angolensis</w:t>
      </w:r>
      <w:r w:rsidRPr="001645B6">
        <w:t xml:space="preserve">, </w:t>
      </w:r>
      <w:hyperlink r:id="rId655" w:history="1">
        <w:r w:rsidRPr="00B6599B">
          <w:rPr>
            <w:rStyle w:val="Lienhypertexte"/>
          </w:rPr>
          <w:t>https://fr.wikipedia.org/wiki/Pterocarpus_angolensis</w:t>
        </w:r>
      </w:hyperlink>
      <w:r>
        <w:t xml:space="preserve"> </w:t>
      </w:r>
    </w:p>
    <w:p w14:paraId="75B8224A" w14:textId="2C16A8F3" w:rsidR="007C2D9B" w:rsidRDefault="001645B6" w:rsidP="007C2D9B">
      <w:pPr>
        <w:spacing w:after="0" w:line="240" w:lineRule="auto"/>
        <w:jc w:val="both"/>
        <w:rPr>
          <w:lang w:val="en-GB"/>
        </w:rPr>
      </w:pPr>
      <w:r w:rsidRPr="007C574D">
        <w:rPr>
          <w:lang w:val="en-GB"/>
        </w:rPr>
        <w:t>b)</w:t>
      </w:r>
      <w:r w:rsidR="0035232A" w:rsidRPr="007C574D">
        <w:rPr>
          <w:lang w:val="en-GB"/>
        </w:rPr>
        <w:t xml:space="preserve"> </w:t>
      </w:r>
      <w:hyperlink r:id="rId656" w:history="1">
        <w:r w:rsidR="007C574D" w:rsidRPr="00B6599B">
          <w:rPr>
            <w:rStyle w:val="Lienhypertexte"/>
            <w:lang w:val="en-GB"/>
          </w:rPr>
          <w:t>https://www.prota4u.org/database/protav8.asp?fr=1&amp;g=pe&amp;p=Pterocarpus+angolensis+DC</w:t>
        </w:r>
      </w:hyperlink>
      <w:r w:rsidR="007C574D" w:rsidRPr="007C574D">
        <w:rPr>
          <w:lang w:val="en-GB"/>
        </w:rPr>
        <w:t>.</w:t>
      </w:r>
      <w:r w:rsidR="007C574D">
        <w:rPr>
          <w:lang w:val="en-GB"/>
        </w:rPr>
        <w:t xml:space="preserve"> </w:t>
      </w:r>
    </w:p>
    <w:p w14:paraId="7C5C3BA1" w14:textId="3BA771FB" w:rsidR="00647F6F" w:rsidRPr="007C574D" w:rsidRDefault="00647F6F" w:rsidP="007C2D9B">
      <w:pPr>
        <w:spacing w:after="0" w:line="240" w:lineRule="auto"/>
        <w:jc w:val="both"/>
        <w:rPr>
          <w:lang w:val="en-GB"/>
        </w:rPr>
      </w:pPr>
      <w:r>
        <w:rPr>
          <w:lang w:val="en-GB"/>
        </w:rPr>
        <w:t xml:space="preserve">c) </w:t>
      </w:r>
      <w:hyperlink r:id="rId657" w:history="1">
        <w:r w:rsidRPr="00B6599B">
          <w:rPr>
            <w:rStyle w:val="Lienhypertexte"/>
            <w:lang w:val="en-GB"/>
          </w:rPr>
          <w:t>http://tropical.theferns.info/viewtropical.php?id=Pterocarpus+angolensis</w:t>
        </w:r>
      </w:hyperlink>
      <w:r>
        <w:rPr>
          <w:lang w:val="en-GB"/>
        </w:rPr>
        <w:t xml:space="preserve"> </w:t>
      </w:r>
    </w:p>
    <w:p w14:paraId="167FA044" w14:textId="39341749" w:rsidR="001645B6" w:rsidRPr="007C574D" w:rsidRDefault="001645B6" w:rsidP="007C2D9B">
      <w:pPr>
        <w:spacing w:after="0" w:line="240" w:lineRule="auto"/>
        <w:jc w:val="both"/>
        <w:rPr>
          <w:lang w:val="en-G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56"/>
        <w:gridCol w:w="3402"/>
        <w:gridCol w:w="3758"/>
      </w:tblGrid>
      <w:tr w:rsidR="00346DD5" w14:paraId="70860F99" w14:textId="77777777" w:rsidTr="00346DD5">
        <w:tc>
          <w:tcPr>
            <w:tcW w:w="3256" w:type="dxa"/>
          </w:tcPr>
          <w:p w14:paraId="2658309E" w14:textId="596E7BA8" w:rsidR="007C574D" w:rsidRDefault="007C574D" w:rsidP="007C574D">
            <w:pPr>
              <w:jc w:val="center"/>
              <w:rPr>
                <w:lang w:val="en-GB"/>
              </w:rPr>
            </w:pPr>
            <w:r>
              <w:rPr>
                <w:noProof/>
              </w:rPr>
              <w:lastRenderedPageBreak/>
              <w:drawing>
                <wp:inline distT="0" distB="0" distL="0" distR="0" wp14:anchorId="01C1CC7D" wp14:editId="52D89239">
                  <wp:extent cx="1981200" cy="2305050"/>
                  <wp:effectExtent l="0" t="0" r="0" b="0"/>
                  <wp:docPr id="44050" name="Image 44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8">
                            <a:extLst>
                              <a:ext uri="{28A0092B-C50C-407E-A947-70E740481C1C}">
                                <a14:useLocalDpi xmlns:a14="http://schemas.microsoft.com/office/drawing/2010/main" val="0"/>
                              </a:ext>
                            </a:extLst>
                          </a:blip>
                          <a:srcRect/>
                          <a:stretch>
                            <a:fillRect/>
                          </a:stretch>
                        </pic:blipFill>
                        <pic:spPr bwMode="auto">
                          <a:xfrm>
                            <a:off x="0" y="0"/>
                            <a:ext cx="1981200" cy="2305050"/>
                          </a:xfrm>
                          <a:prstGeom prst="rect">
                            <a:avLst/>
                          </a:prstGeom>
                          <a:noFill/>
                          <a:ln>
                            <a:noFill/>
                          </a:ln>
                        </pic:spPr>
                      </pic:pic>
                    </a:graphicData>
                  </a:graphic>
                </wp:inline>
              </w:drawing>
            </w:r>
          </w:p>
        </w:tc>
        <w:tc>
          <w:tcPr>
            <w:tcW w:w="3402" w:type="dxa"/>
          </w:tcPr>
          <w:p w14:paraId="204DE21C" w14:textId="5F2B9CDB" w:rsidR="007C574D" w:rsidRDefault="007C574D" w:rsidP="007C574D">
            <w:pPr>
              <w:jc w:val="center"/>
              <w:rPr>
                <w:lang w:val="en-GB"/>
              </w:rPr>
            </w:pPr>
            <w:r>
              <w:rPr>
                <w:noProof/>
              </w:rPr>
              <w:drawing>
                <wp:inline distT="0" distB="0" distL="0" distR="0" wp14:anchorId="516A1C91" wp14:editId="3A6A333D">
                  <wp:extent cx="2021902" cy="1514475"/>
                  <wp:effectExtent l="0" t="0" r="0" b="0"/>
                  <wp:docPr id="44051" name="Image 44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9">
                            <a:extLst>
                              <a:ext uri="{28A0092B-C50C-407E-A947-70E740481C1C}">
                                <a14:useLocalDpi xmlns:a14="http://schemas.microsoft.com/office/drawing/2010/main" val="0"/>
                              </a:ext>
                            </a:extLst>
                          </a:blip>
                          <a:srcRect/>
                          <a:stretch>
                            <a:fillRect/>
                          </a:stretch>
                        </pic:blipFill>
                        <pic:spPr bwMode="auto">
                          <a:xfrm>
                            <a:off x="0" y="0"/>
                            <a:ext cx="2022686" cy="1515062"/>
                          </a:xfrm>
                          <a:prstGeom prst="rect">
                            <a:avLst/>
                          </a:prstGeom>
                          <a:noFill/>
                          <a:ln>
                            <a:noFill/>
                          </a:ln>
                        </pic:spPr>
                      </pic:pic>
                    </a:graphicData>
                  </a:graphic>
                </wp:inline>
              </w:drawing>
            </w:r>
          </w:p>
        </w:tc>
        <w:tc>
          <w:tcPr>
            <w:tcW w:w="3758" w:type="dxa"/>
          </w:tcPr>
          <w:p w14:paraId="66E8154D" w14:textId="1281373F" w:rsidR="007C574D" w:rsidRDefault="007C574D" w:rsidP="007C574D">
            <w:pPr>
              <w:jc w:val="center"/>
              <w:rPr>
                <w:lang w:val="en-GB"/>
              </w:rPr>
            </w:pPr>
            <w:r>
              <w:rPr>
                <w:noProof/>
              </w:rPr>
              <w:drawing>
                <wp:inline distT="0" distB="0" distL="0" distR="0" wp14:anchorId="14D57298" wp14:editId="5F8BD542">
                  <wp:extent cx="1847850" cy="2466975"/>
                  <wp:effectExtent l="0" t="0" r="0" b="9525"/>
                  <wp:docPr id="44052" name="Image 44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0">
                            <a:extLst>
                              <a:ext uri="{28A0092B-C50C-407E-A947-70E740481C1C}">
                                <a14:useLocalDpi xmlns:a14="http://schemas.microsoft.com/office/drawing/2010/main" val="0"/>
                              </a:ext>
                            </a:extLst>
                          </a:blip>
                          <a:srcRect/>
                          <a:stretch>
                            <a:fillRect/>
                          </a:stretch>
                        </pic:blipFill>
                        <pic:spPr bwMode="auto">
                          <a:xfrm>
                            <a:off x="0" y="0"/>
                            <a:ext cx="1847850" cy="2466975"/>
                          </a:xfrm>
                          <a:prstGeom prst="rect">
                            <a:avLst/>
                          </a:prstGeom>
                          <a:noFill/>
                          <a:ln>
                            <a:noFill/>
                          </a:ln>
                        </pic:spPr>
                      </pic:pic>
                    </a:graphicData>
                  </a:graphic>
                </wp:inline>
              </w:drawing>
            </w:r>
          </w:p>
        </w:tc>
      </w:tr>
      <w:tr w:rsidR="00346DD5" w14:paraId="02B3E56E" w14:textId="77777777" w:rsidTr="00346DD5">
        <w:tc>
          <w:tcPr>
            <w:tcW w:w="3256" w:type="dxa"/>
          </w:tcPr>
          <w:p w14:paraId="51EAC738" w14:textId="77777777" w:rsidR="007C574D" w:rsidRDefault="007C574D" w:rsidP="007C574D">
            <w:pPr>
              <w:jc w:val="center"/>
              <w:rPr>
                <w:lang w:val="en-GB"/>
              </w:rPr>
            </w:pPr>
            <w:r>
              <w:rPr>
                <w:noProof/>
              </w:rPr>
              <w:drawing>
                <wp:inline distT="0" distB="0" distL="0" distR="0" wp14:anchorId="7A96E79E" wp14:editId="010F4243">
                  <wp:extent cx="2009775" cy="1404601"/>
                  <wp:effectExtent l="0" t="0" r="0" b="5715"/>
                  <wp:docPr id="44053" name="Image 44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1">
                            <a:extLst>
                              <a:ext uri="{28A0092B-C50C-407E-A947-70E740481C1C}">
                                <a14:useLocalDpi xmlns:a14="http://schemas.microsoft.com/office/drawing/2010/main" val="0"/>
                              </a:ext>
                            </a:extLst>
                          </a:blip>
                          <a:srcRect/>
                          <a:stretch>
                            <a:fillRect/>
                          </a:stretch>
                        </pic:blipFill>
                        <pic:spPr bwMode="auto">
                          <a:xfrm>
                            <a:off x="0" y="0"/>
                            <a:ext cx="2015323" cy="1408479"/>
                          </a:xfrm>
                          <a:prstGeom prst="rect">
                            <a:avLst/>
                          </a:prstGeom>
                          <a:noFill/>
                          <a:ln>
                            <a:noFill/>
                          </a:ln>
                        </pic:spPr>
                      </pic:pic>
                    </a:graphicData>
                  </a:graphic>
                </wp:inline>
              </w:drawing>
            </w:r>
          </w:p>
          <w:p w14:paraId="62115E9C" w14:textId="420512A4" w:rsidR="003E4B71" w:rsidRDefault="003E4B71" w:rsidP="007C574D">
            <w:pPr>
              <w:jc w:val="center"/>
              <w:rPr>
                <w:lang w:val="en-GB"/>
              </w:rPr>
            </w:pPr>
            <w:r>
              <w:rPr>
                <w:lang w:val="en-GB"/>
              </w:rPr>
              <w:t>Fleur</w:t>
            </w:r>
          </w:p>
        </w:tc>
        <w:tc>
          <w:tcPr>
            <w:tcW w:w="3402" w:type="dxa"/>
          </w:tcPr>
          <w:p w14:paraId="078A7CA9" w14:textId="77777777" w:rsidR="007C574D" w:rsidRDefault="007C574D" w:rsidP="007C574D">
            <w:pPr>
              <w:jc w:val="center"/>
              <w:rPr>
                <w:lang w:val="en-GB"/>
              </w:rPr>
            </w:pPr>
            <w:r>
              <w:rPr>
                <w:noProof/>
              </w:rPr>
              <w:drawing>
                <wp:inline distT="0" distB="0" distL="0" distR="0" wp14:anchorId="056DA481" wp14:editId="7ADA971E">
                  <wp:extent cx="1907369" cy="1533525"/>
                  <wp:effectExtent l="0" t="0" r="0" b="0"/>
                  <wp:docPr id="44054" name="Image 44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62">
                            <a:extLst>
                              <a:ext uri="{28A0092B-C50C-407E-A947-70E740481C1C}">
                                <a14:useLocalDpi xmlns:a14="http://schemas.microsoft.com/office/drawing/2010/main" val="0"/>
                              </a:ext>
                            </a:extLst>
                          </a:blip>
                          <a:srcRect/>
                          <a:stretch>
                            <a:fillRect/>
                          </a:stretch>
                        </pic:blipFill>
                        <pic:spPr bwMode="auto">
                          <a:xfrm>
                            <a:off x="0" y="0"/>
                            <a:ext cx="1909258" cy="1535044"/>
                          </a:xfrm>
                          <a:prstGeom prst="rect">
                            <a:avLst/>
                          </a:prstGeom>
                          <a:noFill/>
                          <a:ln>
                            <a:noFill/>
                          </a:ln>
                        </pic:spPr>
                      </pic:pic>
                    </a:graphicData>
                  </a:graphic>
                </wp:inline>
              </w:drawing>
            </w:r>
          </w:p>
          <w:p w14:paraId="4F677497" w14:textId="14ADA041" w:rsidR="003E4B71" w:rsidRDefault="00346DD5" w:rsidP="007C574D">
            <w:pPr>
              <w:jc w:val="center"/>
              <w:rPr>
                <w:lang w:val="en-GB"/>
              </w:rPr>
            </w:pPr>
            <w:r>
              <w:rPr>
                <w:lang w:val="en-GB"/>
              </w:rPr>
              <w:t>G</w:t>
            </w:r>
            <w:r w:rsidR="003E4B71">
              <w:rPr>
                <w:lang w:val="en-GB"/>
              </w:rPr>
              <w:t>raine</w:t>
            </w:r>
            <w:r>
              <w:rPr>
                <w:lang w:val="en-GB"/>
              </w:rPr>
              <w:t>s</w:t>
            </w:r>
          </w:p>
        </w:tc>
        <w:tc>
          <w:tcPr>
            <w:tcW w:w="3758" w:type="dxa"/>
          </w:tcPr>
          <w:p w14:paraId="22730DFB" w14:textId="77777777" w:rsidR="007C574D" w:rsidRDefault="007C574D" w:rsidP="007C574D">
            <w:pPr>
              <w:jc w:val="center"/>
              <w:rPr>
                <w:lang w:val="en-GB"/>
              </w:rPr>
            </w:pPr>
            <w:r>
              <w:rPr>
                <w:noProof/>
              </w:rPr>
              <w:drawing>
                <wp:inline distT="0" distB="0" distL="0" distR="0" wp14:anchorId="7241759A" wp14:editId="286FD2E3">
                  <wp:extent cx="1952625" cy="1462584"/>
                  <wp:effectExtent l="0" t="0" r="0" b="4445"/>
                  <wp:docPr id="44055" name="Image 44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63">
                            <a:extLst>
                              <a:ext uri="{28A0092B-C50C-407E-A947-70E740481C1C}">
                                <a14:useLocalDpi xmlns:a14="http://schemas.microsoft.com/office/drawing/2010/main" val="0"/>
                              </a:ext>
                            </a:extLst>
                          </a:blip>
                          <a:srcRect/>
                          <a:stretch>
                            <a:fillRect/>
                          </a:stretch>
                        </pic:blipFill>
                        <pic:spPr bwMode="auto">
                          <a:xfrm>
                            <a:off x="0" y="0"/>
                            <a:ext cx="1959098" cy="1467433"/>
                          </a:xfrm>
                          <a:prstGeom prst="rect">
                            <a:avLst/>
                          </a:prstGeom>
                          <a:noFill/>
                          <a:ln>
                            <a:noFill/>
                          </a:ln>
                        </pic:spPr>
                      </pic:pic>
                    </a:graphicData>
                  </a:graphic>
                </wp:inline>
              </w:drawing>
            </w:r>
          </w:p>
          <w:p w14:paraId="4EF0B09A" w14:textId="4D81B8B1" w:rsidR="003E4B71" w:rsidRDefault="00346DD5" w:rsidP="007C574D">
            <w:pPr>
              <w:jc w:val="center"/>
              <w:rPr>
                <w:lang w:val="en-GB"/>
              </w:rPr>
            </w:pPr>
            <w:r>
              <w:rPr>
                <w:lang w:val="en-GB"/>
              </w:rPr>
              <w:t>G</w:t>
            </w:r>
            <w:r w:rsidR="003E4B71">
              <w:rPr>
                <w:lang w:val="en-GB"/>
              </w:rPr>
              <w:t>raine</w:t>
            </w:r>
            <w:r>
              <w:rPr>
                <w:lang w:val="en-GB"/>
              </w:rPr>
              <w:t>s</w:t>
            </w:r>
          </w:p>
        </w:tc>
      </w:tr>
      <w:tr w:rsidR="00346DD5" w14:paraId="509086BB" w14:textId="77777777" w:rsidTr="00346DD5">
        <w:tc>
          <w:tcPr>
            <w:tcW w:w="3256" w:type="dxa"/>
          </w:tcPr>
          <w:p w14:paraId="0C2A7BF6" w14:textId="77777777" w:rsidR="007C574D" w:rsidRDefault="003E4B71" w:rsidP="007C574D">
            <w:pPr>
              <w:jc w:val="center"/>
              <w:rPr>
                <w:lang w:val="en-GB"/>
              </w:rPr>
            </w:pPr>
            <w:r>
              <w:rPr>
                <w:noProof/>
              </w:rPr>
              <w:drawing>
                <wp:inline distT="0" distB="0" distL="0" distR="0" wp14:anchorId="08218BE5" wp14:editId="29E0F4B1">
                  <wp:extent cx="1104900" cy="962025"/>
                  <wp:effectExtent l="0" t="0" r="0" b="9525"/>
                  <wp:docPr id="44056" name="Image 44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64" cstate="print">
                            <a:extLst>
                              <a:ext uri="{28A0092B-C50C-407E-A947-70E740481C1C}">
                                <a14:useLocalDpi xmlns:a14="http://schemas.microsoft.com/office/drawing/2010/main" val="0"/>
                              </a:ext>
                            </a:extLst>
                          </a:blip>
                          <a:srcRect/>
                          <a:stretch>
                            <a:fillRect/>
                          </a:stretch>
                        </pic:blipFill>
                        <pic:spPr bwMode="auto">
                          <a:xfrm>
                            <a:off x="0" y="0"/>
                            <a:ext cx="1104900" cy="962025"/>
                          </a:xfrm>
                          <a:prstGeom prst="rect">
                            <a:avLst/>
                          </a:prstGeom>
                          <a:noFill/>
                          <a:ln>
                            <a:noFill/>
                          </a:ln>
                        </pic:spPr>
                      </pic:pic>
                    </a:graphicData>
                  </a:graphic>
                </wp:inline>
              </w:drawing>
            </w:r>
          </w:p>
          <w:p w14:paraId="4A756C80" w14:textId="7A494AD0" w:rsidR="003E4B71" w:rsidRDefault="003E4B71" w:rsidP="007C574D">
            <w:pPr>
              <w:jc w:val="center"/>
              <w:rPr>
                <w:lang w:val="en-GB"/>
              </w:rPr>
            </w:pPr>
            <w:r>
              <w:rPr>
                <w:lang w:val="en-GB"/>
              </w:rPr>
              <w:t>Fleur</w:t>
            </w:r>
          </w:p>
        </w:tc>
        <w:tc>
          <w:tcPr>
            <w:tcW w:w="3402" w:type="dxa"/>
          </w:tcPr>
          <w:p w14:paraId="00CBE91B" w14:textId="77777777" w:rsidR="007C574D" w:rsidRDefault="003E4B71" w:rsidP="007C574D">
            <w:pPr>
              <w:jc w:val="center"/>
              <w:rPr>
                <w:lang w:val="en-GB"/>
              </w:rPr>
            </w:pPr>
            <w:r>
              <w:rPr>
                <w:noProof/>
              </w:rPr>
              <w:drawing>
                <wp:inline distT="0" distB="0" distL="0" distR="0" wp14:anchorId="798FFD88" wp14:editId="73FEA1F3">
                  <wp:extent cx="1611086" cy="1409700"/>
                  <wp:effectExtent l="0" t="0" r="8255" b="0"/>
                  <wp:docPr id="44057" name="Image 44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65">
                            <a:extLst>
                              <a:ext uri="{28A0092B-C50C-407E-A947-70E740481C1C}">
                                <a14:useLocalDpi xmlns:a14="http://schemas.microsoft.com/office/drawing/2010/main" val="0"/>
                              </a:ext>
                            </a:extLst>
                          </a:blip>
                          <a:srcRect/>
                          <a:stretch>
                            <a:fillRect/>
                          </a:stretch>
                        </pic:blipFill>
                        <pic:spPr bwMode="auto">
                          <a:xfrm>
                            <a:off x="0" y="0"/>
                            <a:ext cx="1611652" cy="1410195"/>
                          </a:xfrm>
                          <a:prstGeom prst="rect">
                            <a:avLst/>
                          </a:prstGeom>
                          <a:noFill/>
                          <a:ln>
                            <a:noFill/>
                          </a:ln>
                        </pic:spPr>
                      </pic:pic>
                    </a:graphicData>
                  </a:graphic>
                </wp:inline>
              </w:drawing>
            </w:r>
          </w:p>
          <w:p w14:paraId="15D0458B" w14:textId="763029D2" w:rsidR="003E4B71" w:rsidRDefault="003E4B71" w:rsidP="007C574D">
            <w:pPr>
              <w:jc w:val="center"/>
              <w:rPr>
                <w:lang w:val="en-GB"/>
              </w:rPr>
            </w:pPr>
            <w:r w:rsidRPr="003E4B71">
              <w:t>Sève</w:t>
            </w:r>
            <w:r>
              <w:rPr>
                <w:lang w:val="en-GB"/>
              </w:rPr>
              <w:t xml:space="preserve"> rouge</w:t>
            </w:r>
          </w:p>
        </w:tc>
        <w:tc>
          <w:tcPr>
            <w:tcW w:w="3758" w:type="dxa"/>
          </w:tcPr>
          <w:p w14:paraId="64E8E04E" w14:textId="77777777" w:rsidR="007C574D" w:rsidRDefault="003E4B71" w:rsidP="007C574D">
            <w:pPr>
              <w:jc w:val="center"/>
              <w:rPr>
                <w:lang w:val="en-GB"/>
              </w:rPr>
            </w:pPr>
            <w:r>
              <w:rPr>
                <w:noProof/>
              </w:rPr>
              <w:drawing>
                <wp:inline distT="0" distB="0" distL="0" distR="0" wp14:anchorId="68091CB6" wp14:editId="430E4F28">
                  <wp:extent cx="1793008" cy="1343025"/>
                  <wp:effectExtent l="0" t="0" r="0" b="0"/>
                  <wp:docPr id="44058" name="Image 44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66">
                            <a:extLst>
                              <a:ext uri="{28A0092B-C50C-407E-A947-70E740481C1C}">
                                <a14:useLocalDpi xmlns:a14="http://schemas.microsoft.com/office/drawing/2010/main" val="0"/>
                              </a:ext>
                            </a:extLst>
                          </a:blip>
                          <a:srcRect/>
                          <a:stretch>
                            <a:fillRect/>
                          </a:stretch>
                        </pic:blipFill>
                        <pic:spPr bwMode="auto">
                          <a:xfrm>
                            <a:off x="0" y="0"/>
                            <a:ext cx="1796418" cy="1345579"/>
                          </a:xfrm>
                          <a:prstGeom prst="rect">
                            <a:avLst/>
                          </a:prstGeom>
                          <a:noFill/>
                          <a:ln>
                            <a:noFill/>
                          </a:ln>
                        </pic:spPr>
                      </pic:pic>
                    </a:graphicData>
                  </a:graphic>
                </wp:inline>
              </w:drawing>
            </w:r>
          </w:p>
          <w:p w14:paraId="7208A435" w14:textId="400B1C64" w:rsidR="003E4B71" w:rsidRDefault="003E4B71" w:rsidP="007C574D">
            <w:pPr>
              <w:jc w:val="center"/>
              <w:rPr>
                <w:lang w:val="en-GB"/>
              </w:rPr>
            </w:pPr>
            <w:r w:rsidRPr="003E4B71">
              <w:t>Sève</w:t>
            </w:r>
            <w:r>
              <w:rPr>
                <w:lang w:val="en-GB"/>
              </w:rPr>
              <w:t xml:space="preserve"> rouge</w:t>
            </w:r>
          </w:p>
        </w:tc>
      </w:tr>
      <w:tr w:rsidR="00346DD5" w14:paraId="5DD1A390" w14:textId="77777777" w:rsidTr="00346DD5">
        <w:tc>
          <w:tcPr>
            <w:tcW w:w="3256" w:type="dxa"/>
          </w:tcPr>
          <w:p w14:paraId="538D88FA" w14:textId="52777C76" w:rsidR="007C574D" w:rsidRDefault="00346DD5" w:rsidP="007C574D">
            <w:pPr>
              <w:jc w:val="center"/>
              <w:rPr>
                <w:lang w:val="en-GB"/>
              </w:rPr>
            </w:pPr>
            <w:r>
              <w:rPr>
                <w:noProof/>
              </w:rPr>
              <w:drawing>
                <wp:inline distT="0" distB="0" distL="0" distR="0" wp14:anchorId="59DA80B8" wp14:editId="4FED0221">
                  <wp:extent cx="1819275" cy="2505075"/>
                  <wp:effectExtent l="0" t="0" r="9525" b="9525"/>
                  <wp:docPr id="44059" name="Image 44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67">
                            <a:extLst>
                              <a:ext uri="{28A0092B-C50C-407E-A947-70E740481C1C}">
                                <a14:useLocalDpi xmlns:a14="http://schemas.microsoft.com/office/drawing/2010/main" val="0"/>
                              </a:ext>
                            </a:extLst>
                          </a:blip>
                          <a:srcRect/>
                          <a:stretch>
                            <a:fillRect/>
                          </a:stretch>
                        </pic:blipFill>
                        <pic:spPr bwMode="auto">
                          <a:xfrm>
                            <a:off x="0" y="0"/>
                            <a:ext cx="1819275" cy="2505075"/>
                          </a:xfrm>
                          <a:prstGeom prst="rect">
                            <a:avLst/>
                          </a:prstGeom>
                          <a:noFill/>
                          <a:ln>
                            <a:noFill/>
                          </a:ln>
                        </pic:spPr>
                      </pic:pic>
                    </a:graphicData>
                  </a:graphic>
                </wp:inline>
              </w:drawing>
            </w:r>
          </w:p>
        </w:tc>
        <w:tc>
          <w:tcPr>
            <w:tcW w:w="3402" w:type="dxa"/>
          </w:tcPr>
          <w:p w14:paraId="77CCBEE0" w14:textId="0C67CA44" w:rsidR="007C574D" w:rsidRDefault="00346DD5" w:rsidP="007C574D">
            <w:pPr>
              <w:jc w:val="center"/>
              <w:rPr>
                <w:lang w:val="en-GB"/>
              </w:rPr>
            </w:pPr>
            <w:r>
              <w:rPr>
                <w:noProof/>
              </w:rPr>
              <w:drawing>
                <wp:inline distT="0" distB="0" distL="0" distR="0" wp14:anchorId="52B7B3BA" wp14:editId="45E2157C">
                  <wp:extent cx="2140746" cy="1381125"/>
                  <wp:effectExtent l="0" t="0" r="0" b="0"/>
                  <wp:docPr id="44060" name="Image 44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68">
                            <a:extLst>
                              <a:ext uri="{28A0092B-C50C-407E-A947-70E740481C1C}">
                                <a14:useLocalDpi xmlns:a14="http://schemas.microsoft.com/office/drawing/2010/main" val="0"/>
                              </a:ext>
                            </a:extLst>
                          </a:blip>
                          <a:srcRect/>
                          <a:stretch>
                            <a:fillRect/>
                          </a:stretch>
                        </pic:blipFill>
                        <pic:spPr bwMode="auto">
                          <a:xfrm>
                            <a:off x="0" y="0"/>
                            <a:ext cx="2157143" cy="1391704"/>
                          </a:xfrm>
                          <a:prstGeom prst="rect">
                            <a:avLst/>
                          </a:prstGeom>
                          <a:noFill/>
                          <a:ln>
                            <a:noFill/>
                          </a:ln>
                        </pic:spPr>
                      </pic:pic>
                    </a:graphicData>
                  </a:graphic>
                </wp:inline>
              </w:drawing>
            </w:r>
          </w:p>
        </w:tc>
        <w:tc>
          <w:tcPr>
            <w:tcW w:w="3758" w:type="dxa"/>
          </w:tcPr>
          <w:p w14:paraId="04C39256" w14:textId="7065520D" w:rsidR="007C574D" w:rsidRDefault="00346DD5" w:rsidP="007C574D">
            <w:pPr>
              <w:jc w:val="center"/>
              <w:rPr>
                <w:lang w:val="en-GB"/>
              </w:rPr>
            </w:pPr>
            <w:r>
              <w:rPr>
                <w:noProof/>
              </w:rPr>
              <w:drawing>
                <wp:inline distT="0" distB="0" distL="0" distR="0" wp14:anchorId="511CA0BC" wp14:editId="50F91563">
                  <wp:extent cx="2181225" cy="1451506"/>
                  <wp:effectExtent l="0" t="0" r="0" b="0"/>
                  <wp:docPr id="44061" name="Image 44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69">
                            <a:extLst>
                              <a:ext uri="{28A0092B-C50C-407E-A947-70E740481C1C}">
                                <a14:useLocalDpi xmlns:a14="http://schemas.microsoft.com/office/drawing/2010/main" val="0"/>
                              </a:ext>
                            </a:extLst>
                          </a:blip>
                          <a:srcRect/>
                          <a:stretch>
                            <a:fillRect/>
                          </a:stretch>
                        </pic:blipFill>
                        <pic:spPr bwMode="auto">
                          <a:xfrm>
                            <a:off x="0" y="0"/>
                            <a:ext cx="2187883" cy="1455937"/>
                          </a:xfrm>
                          <a:prstGeom prst="rect">
                            <a:avLst/>
                          </a:prstGeom>
                          <a:noFill/>
                          <a:ln>
                            <a:noFill/>
                          </a:ln>
                        </pic:spPr>
                      </pic:pic>
                    </a:graphicData>
                  </a:graphic>
                </wp:inline>
              </w:drawing>
            </w:r>
          </w:p>
        </w:tc>
      </w:tr>
      <w:tr w:rsidR="00346DD5" w:rsidRPr="00346DD5" w14:paraId="4A311959" w14:textId="77777777" w:rsidTr="00346DD5">
        <w:tc>
          <w:tcPr>
            <w:tcW w:w="3256" w:type="dxa"/>
          </w:tcPr>
          <w:p w14:paraId="157AF760" w14:textId="77777777" w:rsidR="00346DD5" w:rsidRDefault="00346DD5" w:rsidP="007C574D">
            <w:pPr>
              <w:jc w:val="center"/>
              <w:rPr>
                <w:noProof/>
              </w:rPr>
            </w:pPr>
          </w:p>
          <w:p w14:paraId="0FC0D808" w14:textId="77777777" w:rsidR="00346DD5" w:rsidRDefault="00346DD5" w:rsidP="007C574D">
            <w:pPr>
              <w:jc w:val="center"/>
              <w:rPr>
                <w:noProof/>
              </w:rPr>
            </w:pPr>
            <w:r>
              <w:rPr>
                <w:noProof/>
              </w:rPr>
              <w:drawing>
                <wp:inline distT="0" distB="0" distL="0" distR="0" wp14:anchorId="37A6E88F" wp14:editId="75C663A7">
                  <wp:extent cx="1905000" cy="1353553"/>
                  <wp:effectExtent l="0" t="0" r="0" b="0"/>
                  <wp:docPr id="44062" name="Image 44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70">
                            <a:extLst>
                              <a:ext uri="{28A0092B-C50C-407E-A947-70E740481C1C}">
                                <a14:useLocalDpi xmlns:a14="http://schemas.microsoft.com/office/drawing/2010/main" val="0"/>
                              </a:ext>
                            </a:extLst>
                          </a:blip>
                          <a:srcRect/>
                          <a:stretch>
                            <a:fillRect/>
                          </a:stretch>
                        </pic:blipFill>
                        <pic:spPr bwMode="auto">
                          <a:xfrm>
                            <a:off x="0" y="0"/>
                            <a:ext cx="1912592" cy="1358947"/>
                          </a:xfrm>
                          <a:prstGeom prst="rect">
                            <a:avLst/>
                          </a:prstGeom>
                          <a:noFill/>
                          <a:ln>
                            <a:noFill/>
                          </a:ln>
                        </pic:spPr>
                      </pic:pic>
                    </a:graphicData>
                  </a:graphic>
                </wp:inline>
              </w:drawing>
            </w:r>
          </w:p>
          <w:p w14:paraId="4DB5BB9C" w14:textId="09391775" w:rsidR="00B407AB" w:rsidRDefault="00B407AB" w:rsidP="007C574D">
            <w:pPr>
              <w:jc w:val="center"/>
              <w:rPr>
                <w:noProof/>
              </w:rPr>
            </w:pPr>
            <w:r>
              <w:rPr>
                <w:noProof/>
              </w:rPr>
              <w:t>Bois.</w:t>
            </w:r>
          </w:p>
        </w:tc>
        <w:tc>
          <w:tcPr>
            <w:tcW w:w="3402" w:type="dxa"/>
          </w:tcPr>
          <w:p w14:paraId="4FEB3A38" w14:textId="1DA7D97D" w:rsidR="00346DD5" w:rsidRDefault="00346DD5" w:rsidP="007C574D">
            <w:pPr>
              <w:jc w:val="center"/>
              <w:rPr>
                <w:noProof/>
              </w:rPr>
            </w:pPr>
            <w:r>
              <w:rPr>
                <w:noProof/>
              </w:rPr>
              <w:drawing>
                <wp:inline distT="0" distB="0" distL="0" distR="0" wp14:anchorId="3636F983" wp14:editId="37FA7002">
                  <wp:extent cx="1628775" cy="2809875"/>
                  <wp:effectExtent l="0" t="0" r="9525" b="9525"/>
                  <wp:docPr id="44063" name="Image 44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71">
                            <a:extLst>
                              <a:ext uri="{28A0092B-C50C-407E-A947-70E740481C1C}">
                                <a14:useLocalDpi xmlns:a14="http://schemas.microsoft.com/office/drawing/2010/main" val="0"/>
                              </a:ext>
                            </a:extLst>
                          </a:blip>
                          <a:srcRect/>
                          <a:stretch>
                            <a:fillRect/>
                          </a:stretch>
                        </pic:blipFill>
                        <pic:spPr bwMode="auto">
                          <a:xfrm>
                            <a:off x="0" y="0"/>
                            <a:ext cx="1628775" cy="2809875"/>
                          </a:xfrm>
                          <a:prstGeom prst="rect">
                            <a:avLst/>
                          </a:prstGeom>
                          <a:noFill/>
                          <a:ln>
                            <a:noFill/>
                          </a:ln>
                        </pic:spPr>
                      </pic:pic>
                    </a:graphicData>
                  </a:graphic>
                </wp:inline>
              </w:drawing>
            </w:r>
          </w:p>
        </w:tc>
        <w:tc>
          <w:tcPr>
            <w:tcW w:w="3758" w:type="dxa"/>
          </w:tcPr>
          <w:p w14:paraId="04EC581B" w14:textId="77777777" w:rsidR="00346DD5" w:rsidRDefault="00346DD5" w:rsidP="007C574D">
            <w:pPr>
              <w:jc w:val="center"/>
              <w:rPr>
                <w:noProof/>
              </w:rPr>
            </w:pPr>
            <w:r>
              <w:rPr>
                <w:noProof/>
              </w:rPr>
              <w:drawing>
                <wp:inline distT="0" distB="0" distL="0" distR="0" wp14:anchorId="12CFA178" wp14:editId="7EA81CFE">
                  <wp:extent cx="1981200" cy="1483988"/>
                  <wp:effectExtent l="0" t="0" r="0" b="2540"/>
                  <wp:docPr id="132115" name="Image 132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72">
                            <a:extLst>
                              <a:ext uri="{28A0092B-C50C-407E-A947-70E740481C1C}">
                                <a14:useLocalDpi xmlns:a14="http://schemas.microsoft.com/office/drawing/2010/main" val="0"/>
                              </a:ext>
                            </a:extLst>
                          </a:blip>
                          <a:srcRect/>
                          <a:stretch>
                            <a:fillRect/>
                          </a:stretch>
                        </pic:blipFill>
                        <pic:spPr bwMode="auto">
                          <a:xfrm>
                            <a:off x="0" y="0"/>
                            <a:ext cx="1987512" cy="1488716"/>
                          </a:xfrm>
                          <a:prstGeom prst="rect">
                            <a:avLst/>
                          </a:prstGeom>
                          <a:noFill/>
                          <a:ln>
                            <a:noFill/>
                          </a:ln>
                        </pic:spPr>
                      </pic:pic>
                    </a:graphicData>
                  </a:graphic>
                </wp:inline>
              </w:drawing>
            </w:r>
          </w:p>
          <w:p w14:paraId="0E255B6D" w14:textId="3C44274B" w:rsidR="00346DD5" w:rsidRDefault="00346DD5" w:rsidP="007C574D">
            <w:pPr>
              <w:jc w:val="center"/>
              <w:rPr>
                <w:noProof/>
              </w:rPr>
            </w:pPr>
            <w:r>
              <w:rPr>
                <w:noProof/>
              </w:rPr>
              <w:t xml:space="preserve">Source : </w:t>
            </w:r>
            <w:hyperlink r:id="rId673" w:history="1">
              <w:r w:rsidRPr="00B6599B">
                <w:rPr>
                  <w:rStyle w:val="Lienhypertexte"/>
                  <w:noProof/>
                </w:rPr>
                <w:t>https://fr.made-in-china.com/co_safiimportexport/product_Umbila-Pterocarpus-Angolensis_engoeyuyg.html</w:t>
              </w:r>
            </w:hyperlink>
            <w:r>
              <w:rPr>
                <w:noProof/>
              </w:rPr>
              <w:t xml:space="preserve"> </w:t>
            </w:r>
          </w:p>
        </w:tc>
      </w:tr>
    </w:tbl>
    <w:p w14:paraId="5833D900" w14:textId="5F877F4E" w:rsidR="007C574D" w:rsidRDefault="007C574D" w:rsidP="007C2D9B">
      <w:pPr>
        <w:spacing w:after="0" w:line="240" w:lineRule="auto"/>
        <w:jc w:val="both"/>
      </w:pPr>
    </w:p>
    <w:p w14:paraId="009B4CC5" w14:textId="368287D3" w:rsidR="00250DA1" w:rsidRDefault="00250DA1" w:rsidP="00B243F9">
      <w:pPr>
        <w:pStyle w:val="Titre2"/>
      </w:pPr>
      <w:bookmarkStart w:id="74" w:name="_Toc139181365"/>
      <w:r>
        <w:t>Lebbeck ou bois noir (</w:t>
      </w:r>
      <w:r w:rsidRPr="00250DA1">
        <w:rPr>
          <w:i/>
          <w:iCs/>
        </w:rPr>
        <w:t>Albizia lebbeck</w:t>
      </w:r>
      <w:r>
        <w:t>)</w:t>
      </w:r>
      <w:bookmarkEnd w:id="74"/>
    </w:p>
    <w:p w14:paraId="60DCE41A" w14:textId="229349F6" w:rsidR="00250DA1" w:rsidRDefault="00250DA1" w:rsidP="00250DA1">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5"/>
        <w:gridCol w:w="2212"/>
        <w:gridCol w:w="1645"/>
        <w:gridCol w:w="415"/>
        <w:gridCol w:w="1379"/>
      </w:tblGrid>
      <w:tr w:rsidR="00250DA1" w:rsidRPr="000B6BE3" w14:paraId="33241240" w14:textId="77777777" w:rsidTr="00644A82">
        <w:tc>
          <w:tcPr>
            <w:tcW w:w="4775" w:type="dxa"/>
          </w:tcPr>
          <w:p w14:paraId="3142EF34" w14:textId="77777777" w:rsidR="00250DA1" w:rsidRPr="008F191E" w:rsidRDefault="00250DA1" w:rsidP="00644A82">
            <w:pPr>
              <w:rPr>
                <w:rFonts w:ascii="Calibri" w:hAnsi="Calibri" w:cs="Calibri"/>
                <w:bCs/>
              </w:rPr>
            </w:pPr>
            <w:r w:rsidRPr="008F191E">
              <w:rPr>
                <w:rFonts w:ascii="Calibri" w:hAnsi="Calibri" w:cs="Calibri"/>
                <w:bCs/>
              </w:rPr>
              <w:t>(</w:t>
            </w:r>
            <w:hyperlink r:id="rId674" w:history="1">
              <w:r w:rsidRPr="008F191E">
                <w:rPr>
                  <w:rFonts w:ascii="Calibri" w:hAnsi="Calibri" w:cs="Calibri"/>
                </w:rPr>
                <w:t>F</w:t>
              </w:r>
              <w:r w:rsidRPr="008F191E">
                <w:rPr>
                  <w:rStyle w:val="Lienhypertexte"/>
                  <w:rFonts w:ascii="Calibri" w:hAnsi="Calibri" w:cs="Calibri"/>
                  <w:color w:val="0B0080"/>
                  <w:shd w:val="clear" w:color="auto" w:fill="FFFFFF"/>
                </w:rPr>
                <w:t>amille</w:t>
              </w:r>
            </w:hyperlink>
            <w:r w:rsidRPr="008F191E">
              <w:rPr>
                <w:rFonts w:ascii="Calibri" w:hAnsi="Calibri" w:cs="Calibri"/>
                <w:color w:val="222222"/>
                <w:shd w:val="clear" w:color="auto" w:fill="FFFFFF"/>
              </w:rPr>
              <w:t> des</w:t>
            </w:r>
            <w:r w:rsidRPr="008F191E">
              <w:rPr>
                <w:rFonts w:ascii="Calibri" w:hAnsi="Calibri" w:cs="Calibri"/>
                <w:color w:val="202122"/>
                <w:shd w:val="clear" w:color="auto" w:fill="FFFFFF"/>
              </w:rPr>
              <w:t> Fabacées</w:t>
            </w:r>
            <w:r>
              <w:rPr>
                <w:rFonts w:ascii="Calibri" w:hAnsi="Calibri" w:cs="Calibri"/>
                <w:color w:val="202122"/>
                <w:shd w:val="clear" w:color="auto" w:fill="FFFFFF"/>
              </w:rPr>
              <w:t xml:space="preserve"> / </w:t>
            </w:r>
            <w:r w:rsidRPr="008F191E">
              <w:rPr>
                <w:rFonts w:ascii="Calibri" w:hAnsi="Calibri" w:cs="Calibri"/>
                <w:i/>
                <w:iCs/>
                <w:color w:val="202122"/>
                <w:shd w:val="clear" w:color="auto" w:fill="FFFFFF"/>
              </w:rPr>
              <w:t>Fabaceae</w:t>
            </w:r>
            <w:r w:rsidRPr="008F191E">
              <w:rPr>
                <w:rFonts w:ascii="Calibri" w:hAnsi="Calibri" w:cs="Calibri"/>
                <w:bCs/>
              </w:rPr>
              <w:t>)</w:t>
            </w:r>
          </w:p>
          <w:p w14:paraId="6FDF5FD3" w14:textId="77777777" w:rsidR="00250DA1" w:rsidRPr="000B6BE3" w:rsidRDefault="00250DA1" w:rsidP="00644A82">
            <w:pPr>
              <w:rPr>
                <w:rFonts w:cstheme="minorHAnsi"/>
              </w:rPr>
            </w:pPr>
          </w:p>
        </w:tc>
        <w:tc>
          <w:tcPr>
            <w:tcW w:w="2212" w:type="dxa"/>
          </w:tcPr>
          <w:p w14:paraId="676C1BDC" w14:textId="77777777" w:rsidR="00250DA1" w:rsidRPr="000B6BE3" w:rsidRDefault="00250DA1" w:rsidP="00644A82">
            <w:pPr>
              <w:rPr>
                <w:rFonts w:cstheme="minorHAnsi"/>
              </w:rPr>
            </w:pPr>
            <w:r w:rsidRPr="000B6BE3">
              <w:rPr>
                <w:rFonts w:cstheme="minorHAnsi"/>
                <w:noProof/>
              </w:rPr>
              <w:t xml:space="preserve">  </w:t>
            </w:r>
            <w:r>
              <w:rPr>
                <w:rFonts w:cstheme="minorHAnsi"/>
                <w:noProof/>
              </w:rPr>
              <w:t xml:space="preserve">    </w:t>
            </w:r>
            <w:r w:rsidRPr="008F2681">
              <w:rPr>
                <w:rFonts w:cstheme="minorHAnsi"/>
                <w:noProof/>
              </w:rPr>
              <w:drawing>
                <wp:inline distT="0" distB="0" distL="0" distR="0" wp14:anchorId="09DCEF7B" wp14:editId="7BDBE712">
                  <wp:extent cx="463550" cy="661988"/>
                  <wp:effectExtent l="0" t="0" r="0" b="5080"/>
                  <wp:docPr id="132118"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r w:rsidRPr="005C50C9">
              <w:rPr>
                <w:rFonts w:cstheme="minorHAnsi"/>
                <w:noProof/>
              </w:rPr>
              <w:drawing>
                <wp:inline distT="0" distB="0" distL="0" distR="0" wp14:anchorId="3E3C8FE1" wp14:editId="34688BC5">
                  <wp:extent cx="495300" cy="666750"/>
                  <wp:effectExtent l="0" t="0" r="0" b="0"/>
                  <wp:docPr id="132119" name="Image 15"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8" name="Image 15" descr="logo aride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w:t>
            </w:r>
          </w:p>
        </w:tc>
        <w:tc>
          <w:tcPr>
            <w:tcW w:w="1645" w:type="dxa"/>
          </w:tcPr>
          <w:p w14:paraId="330239F1" w14:textId="77777777" w:rsidR="002E01BB" w:rsidRPr="002E01BB" w:rsidRDefault="00250DA1" w:rsidP="002E01BB">
            <w:pPr>
              <w:rPr>
                <w:rFonts w:eastAsia="+mn-ea" w:cstheme="minorHAnsi"/>
                <w:b/>
                <w:bCs/>
                <w:color w:val="008000"/>
                <w:kern w:val="24"/>
                <w:sz w:val="56"/>
                <w:szCs w:val="56"/>
              </w:rPr>
            </w:pPr>
            <w:r w:rsidRPr="00D1445E">
              <w:rPr>
                <w:rFonts w:eastAsia="+mn-ea" w:cstheme="minorHAnsi"/>
                <w:b/>
                <w:bCs/>
                <w:color w:val="008000"/>
                <w:kern w:val="24"/>
                <w:sz w:val="56"/>
                <w:szCs w:val="56"/>
              </w:rPr>
              <w:t>U</w:t>
            </w:r>
            <w:r w:rsidR="002E01BB">
              <w:rPr>
                <w:rFonts w:eastAsia="+mn-ea" w:cstheme="minorHAnsi"/>
                <w:b/>
                <w:bCs/>
                <w:color w:val="008000"/>
                <w:kern w:val="24"/>
                <w:sz w:val="56"/>
                <w:szCs w:val="56"/>
              </w:rPr>
              <w:t xml:space="preserve"> </w:t>
            </w:r>
            <w:r w:rsidR="002E01BB" w:rsidRPr="002E01BB">
              <w:rPr>
                <w:rFonts w:eastAsia="+mn-ea" w:cstheme="minorHAnsi"/>
                <w:b/>
                <w:bCs/>
                <w:color w:val="008000"/>
                <w:kern w:val="24"/>
                <w:sz w:val="56"/>
                <w:szCs w:val="56"/>
              </w:rPr>
              <w:t>↗</w:t>
            </w:r>
          </w:p>
          <w:p w14:paraId="3975AAA7" w14:textId="7775A186" w:rsidR="00250DA1" w:rsidRPr="000B6BE3" w:rsidRDefault="00250DA1" w:rsidP="00644A82">
            <w:pPr>
              <w:textAlignment w:val="baseline"/>
              <w:rPr>
                <w:rFonts w:cstheme="minorHAnsi"/>
              </w:rPr>
            </w:pPr>
          </w:p>
        </w:tc>
        <w:tc>
          <w:tcPr>
            <w:tcW w:w="415" w:type="dxa"/>
          </w:tcPr>
          <w:p w14:paraId="72209970" w14:textId="77777777" w:rsidR="00250DA1" w:rsidRPr="000B6BE3" w:rsidRDefault="00250DA1" w:rsidP="00644A82">
            <w:pPr>
              <w:rPr>
                <w:rFonts w:cstheme="minorHAnsi"/>
              </w:rPr>
            </w:pPr>
          </w:p>
        </w:tc>
        <w:tc>
          <w:tcPr>
            <w:tcW w:w="1379" w:type="dxa"/>
          </w:tcPr>
          <w:p w14:paraId="67AB568B" w14:textId="77777777" w:rsidR="00250DA1" w:rsidRPr="000B6BE3" w:rsidRDefault="00250DA1" w:rsidP="00644A82">
            <w:pPr>
              <w:rPr>
                <w:rFonts w:cstheme="minorHAnsi"/>
              </w:rPr>
            </w:pPr>
          </w:p>
        </w:tc>
      </w:tr>
    </w:tbl>
    <w:p w14:paraId="15279EAD" w14:textId="4E999E94" w:rsidR="00250DA1" w:rsidRDefault="00250DA1" w:rsidP="00250DA1">
      <w:pPr>
        <w:spacing w:after="0" w:line="240" w:lineRule="auto"/>
        <w:jc w:val="both"/>
      </w:pPr>
      <w:r>
        <w:t>Arbre pouvant atteindre 18 à 30 m de haut, originaire des régions tropicales du sud de l'Asie, il est largement cultivé et naturalisé dans d'autres régions tropicales et subtropicales. Les bovins le préfèrent en tant que fourrage.</w:t>
      </w:r>
    </w:p>
    <w:p w14:paraId="59940C1E" w14:textId="77777777" w:rsidR="00250DA1" w:rsidRDefault="00250DA1" w:rsidP="00250DA1">
      <w:pPr>
        <w:spacing w:after="0" w:line="240" w:lineRule="auto"/>
        <w:jc w:val="both"/>
      </w:pPr>
      <w:r>
        <w:t>Habitat / écologie: « forêts fermées tropicales, zones perturbées. Les habitats indigènes de cet arbre fixateur d'azote comprennent les bancs de sable des rivières, les savanes, les forêts et les endroits broussailleux. Il est bien adapté aux sols pauvres, tolère le brouillard salin côtier ». (Weber, 2003, p 36.). Souvent planté comme arbre d'ombrage à croissance rapide.</w:t>
      </w:r>
    </w:p>
    <w:p w14:paraId="1FA1BB7C" w14:textId="4160D36E" w:rsidR="00250DA1" w:rsidRDefault="00250DA1" w:rsidP="00250DA1">
      <w:pPr>
        <w:spacing w:after="0" w:line="240" w:lineRule="auto"/>
        <w:jc w:val="both"/>
      </w:pPr>
      <w:r>
        <w:t xml:space="preserve"> « </w:t>
      </w:r>
      <w:r w:rsidRPr="00981B68">
        <w:rPr>
          <w:i/>
          <w:iCs/>
        </w:rPr>
        <w:t>L'arbre produit de grandes quantités de graines et des plantules à croissance rapide et il peut atteindre des densités élevées. Les surgeons de ses racines, une fois établies forment des peuplements denses</w:t>
      </w:r>
      <w:r>
        <w:t xml:space="preserve"> » (Weber, 2003, p 36.).</w:t>
      </w:r>
    </w:p>
    <w:p w14:paraId="0A47384A" w14:textId="77777777" w:rsidR="00250DA1" w:rsidRDefault="00250DA1" w:rsidP="00250DA1">
      <w:pPr>
        <w:spacing w:after="0" w:line="240" w:lineRule="auto"/>
        <w:jc w:val="both"/>
      </w:pPr>
      <w:r>
        <w:t>A Porto Rico, il apparaît dans une liste gouvernementale sur ​​les espèces envahissantes (Federal Highway Administration, 2001). En Afrique du Sud, A. lebbeck envahit les brousses côtières et les berges. Il est considéré comme invasive au Venezuela, dans les Caraïbes, les îles du Pacifique, à la Réunion …</w:t>
      </w:r>
    </w:p>
    <w:p w14:paraId="69472FB2" w14:textId="64298AF6" w:rsidR="00250DA1" w:rsidRDefault="00250DA1" w:rsidP="00250DA1">
      <w:pPr>
        <w:spacing w:after="0" w:line="240" w:lineRule="auto"/>
        <w:jc w:val="both"/>
      </w:pPr>
      <w:r>
        <w:t xml:space="preserve">Taux </w:t>
      </w:r>
      <w:r w:rsidR="00652AD3">
        <w:t>« </w:t>
      </w:r>
      <w:r>
        <w:t>d’invasivité</w:t>
      </w:r>
      <w:r w:rsidR="00652AD3">
        <w:t> »</w:t>
      </w:r>
      <w:r>
        <w:t> : A évaluer (Australie), Score : 4. Risque élevé (Pacifique), le score: 7</w:t>
      </w:r>
    </w:p>
    <w:p w14:paraId="1AA23CB2" w14:textId="0622848F" w:rsidR="00250DA1" w:rsidRDefault="00250DA1" w:rsidP="00250DA1">
      <w:pPr>
        <w:spacing w:after="0" w:line="240" w:lineRule="auto"/>
        <w:jc w:val="both"/>
      </w:pPr>
      <w:r>
        <w:t>Usages : Il est souvent utilisé pour son fourrage, en agroforesterie, ses applications médicinales, son bois, comme arbre d'ombrage. Certains herbivores l’utilisent comme ressource alimentaire. </w:t>
      </w:r>
    </w:p>
    <w:p w14:paraId="6188954E" w14:textId="71C36C70" w:rsidR="00250DA1" w:rsidRDefault="00250DA1" w:rsidP="00250DA1">
      <w:pPr>
        <w:spacing w:after="0" w:line="240" w:lineRule="auto"/>
        <w:jc w:val="both"/>
      </w:pPr>
      <w:r>
        <w:t xml:space="preserve">Source : a) </w:t>
      </w:r>
      <w:hyperlink r:id="rId675" w:history="1">
        <w:r w:rsidRPr="00B6599B">
          <w:rPr>
            <w:rStyle w:val="Lienhypertexte"/>
          </w:rPr>
          <w:t>https://uses.plantnet-project.org/fr/Albizia_lebbeck</w:t>
        </w:r>
      </w:hyperlink>
      <w:r>
        <w:t xml:space="preserve">, </w:t>
      </w:r>
    </w:p>
    <w:p w14:paraId="0F81C83B" w14:textId="4A88E143" w:rsidR="00250DA1" w:rsidRPr="00DF263C" w:rsidRDefault="00250DA1" w:rsidP="00250DA1">
      <w:pPr>
        <w:spacing w:after="0" w:line="240" w:lineRule="auto"/>
        <w:jc w:val="both"/>
        <w:rPr>
          <w:lang w:val="en-GB"/>
        </w:rPr>
      </w:pPr>
      <w:r w:rsidRPr="00DF263C">
        <w:rPr>
          <w:lang w:val="en-GB"/>
        </w:rPr>
        <w:t xml:space="preserve">b) </w:t>
      </w:r>
      <w:hyperlink r:id="rId676" w:history="1">
        <w:r w:rsidRPr="00DF263C">
          <w:rPr>
            <w:rStyle w:val="Lienhypertexte"/>
            <w:lang w:val="en-GB"/>
          </w:rPr>
          <w:t>http://www.hear.org/pier/species/albizia_lebbeck.htm</w:t>
        </w:r>
      </w:hyperlink>
      <w:r w:rsidRPr="00DF263C">
        <w:rPr>
          <w:lang w:val="en-GB"/>
        </w:rPr>
        <w:t xml:space="preserve">, </w:t>
      </w:r>
    </w:p>
    <w:p w14:paraId="5CFF386D" w14:textId="6E094ECB" w:rsidR="00250DA1" w:rsidRPr="00DF263C" w:rsidRDefault="00C90C89" w:rsidP="00250DA1">
      <w:pPr>
        <w:spacing w:after="0" w:line="240" w:lineRule="auto"/>
        <w:jc w:val="both"/>
        <w:rPr>
          <w:lang w:val="en-GB"/>
        </w:rPr>
      </w:pPr>
      <w:r w:rsidRPr="00DF263C">
        <w:rPr>
          <w:lang w:val="en-GB"/>
        </w:rPr>
        <w:t>c</w:t>
      </w:r>
      <w:r w:rsidR="00250DA1" w:rsidRPr="00DF263C">
        <w:rPr>
          <w:lang w:val="en-GB"/>
        </w:rPr>
        <w:t xml:space="preserve">) </w:t>
      </w:r>
      <w:hyperlink r:id="rId677" w:history="1">
        <w:r w:rsidR="00250DA1" w:rsidRPr="00DF263C">
          <w:rPr>
            <w:rStyle w:val="Lienhypertexte"/>
            <w:lang w:val="en-GB"/>
          </w:rPr>
          <w:t>http://fr.wikipedia.org/wiki/Albizia_lebbeck</w:t>
        </w:r>
      </w:hyperlink>
      <w:r w:rsidR="00250DA1" w:rsidRPr="00DF263C">
        <w:rPr>
          <w:lang w:val="en-GB"/>
        </w:rPr>
        <w:t xml:space="preserve">,  </w:t>
      </w:r>
    </w:p>
    <w:p w14:paraId="6C2BC4C6" w14:textId="5E92BD7E" w:rsidR="00346DD5" w:rsidRPr="00DF263C" w:rsidRDefault="00C90C89" w:rsidP="00250DA1">
      <w:pPr>
        <w:spacing w:after="0" w:line="240" w:lineRule="auto"/>
        <w:jc w:val="both"/>
        <w:rPr>
          <w:lang w:val="en-GB"/>
        </w:rPr>
      </w:pPr>
      <w:r w:rsidRPr="00DF263C">
        <w:rPr>
          <w:lang w:val="en-GB"/>
        </w:rPr>
        <w:t>d</w:t>
      </w:r>
      <w:r w:rsidR="00250DA1" w:rsidRPr="00DF263C">
        <w:rPr>
          <w:lang w:val="en-GB"/>
        </w:rPr>
        <w:t xml:space="preserve">) </w:t>
      </w:r>
      <w:hyperlink r:id="rId678" w:history="1">
        <w:r w:rsidR="00250DA1" w:rsidRPr="00DF263C">
          <w:rPr>
            <w:rStyle w:val="Lienhypertexte"/>
            <w:lang w:val="en-GB"/>
          </w:rPr>
          <w:t>http://www.mi-aime-a-ou.com/Albizia_lebbeck.php</w:t>
        </w:r>
      </w:hyperlink>
      <w:r w:rsidR="00250DA1" w:rsidRPr="00DF263C">
        <w:rPr>
          <w:lang w:val="en-GB"/>
        </w:rPr>
        <w:t xml:space="preserve"> </w:t>
      </w:r>
    </w:p>
    <w:p w14:paraId="342F93E8" w14:textId="767D44AF" w:rsidR="00C90C89" w:rsidRDefault="00C90C89" w:rsidP="00250DA1">
      <w:pPr>
        <w:spacing w:after="0" w:line="240" w:lineRule="auto"/>
        <w:jc w:val="both"/>
        <w:rPr>
          <w:lang w:val="es-AR"/>
        </w:rPr>
      </w:pPr>
      <w:r w:rsidRPr="00C90C89">
        <w:rPr>
          <w:lang w:val="es-AR"/>
        </w:rPr>
        <w:t xml:space="preserve">e) </w:t>
      </w:r>
      <w:hyperlink r:id="rId679" w:history="1">
        <w:r w:rsidRPr="00B6599B">
          <w:rPr>
            <w:rStyle w:val="Lienhypertexte"/>
            <w:lang w:val="es-AR"/>
          </w:rPr>
          <w:t>http://www.doc-developpement-durable.org/fiches-arbres/Fiche-presentation-albizia-lebbeck.pdf</w:t>
        </w:r>
      </w:hyperlink>
    </w:p>
    <w:p w14:paraId="7B1E55B1" w14:textId="62750420" w:rsidR="00C90C89" w:rsidRDefault="00C90C89" w:rsidP="00250DA1">
      <w:pPr>
        <w:spacing w:after="0" w:line="240" w:lineRule="auto"/>
        <w:jc w:val="both"/>
        <w:rPr>
          <w:lang w:val="es-AR"/>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C90C89" w14:paraId="6FCB89A6" w14:textId="77777777" w:rsidTr="00584E7F">
        <w:tc>
          <w:tcPr>
            <w:tcW w:w="3472" w:type="dxa"/>
          </w:tcPr>
          <w:p w14:paraId="14B83F93" w14:textId="77777777" w:rsidR="00C90C89" w:rsidRDefault="00610678" w:rsidP="00C90C89">
            <w:pPr>
              <w:jc w:val="center"/>
              <w:rPr>
                <w:lang w:val="es-AR"/>
              </w:rPr>
            </w:pPr>
            <w:r w:rsidRPr="00610678">
              <w:rPr>
                <w:noProof/>
              </w:rPr>
              <w:lastRenderedPageBreak/>
              <w:drawing>
                <wp:inline distT="0" distB="0" distL="0" distR="0" wp14:anchorId="0F34ED68" wp14:editId="5FC6427B">
                  <wp:extent cx="1600200" cy="2141275"/>
                  <wp:effectExtent l="0" t="0" r="0" b="0"/>
                  <wp:docPr id="53253" name="Picture 2" descr="C:\Users\LISAN\Pictures\plantes invasives de Madagascar\Albizia lebbeck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53" name="Picture 2" descr="C:\Users\LISAN\Pictures\plantes invasives de Madagascar\Albizia lebbeck3.jpg"/>
                          <pic:cNvPicPr>
                            <a:picLocks noChangeAspect="1" noChangeArrowheads="1"/>
                          </pic:cNvPicPr>
                        </pic:nvPicPr>
                        <pic:blipFill>
                          <a:blip r:embed="rId680">
                            <a:extLst>
                              <a:ext uri="{28A0092B-C50C-407E-A947-70E740481C1C}">
                                <a14:useLocalDpi xmlns:a14="http://schemas.microsoft.com/office/drawing/2010/main" val="0"/>
                              </a:ext>
                            </a:extLst>
                          </a:blip>
                          <a:srcRect/>
                          <a:stretch>
                            <a:fillRect/>
                          </a:stretch>
                        </pic:blipFill>
                        <pic:spPr bwMode="auto">
                          <a:xfrm>
                            <a:off x="0" y="0"/>
                            <a:ext cx="1601255" cy="2142687"/>
                          </a:xfrm>
                          <a:prstGeom prst="rect">
                            <a:avLst/>
                          </a:prstGeom>
                          <a:noFill/>
                          <a:ln>
                            <a:noFill/>
                          </a:ln>
                        </pic:spPr>
                      </pic:pic>
                    </a:graphicData>
                  </a:graphic>
                </wp:inline>
              </w:drawing>
            </w:r>
          </w:p>
          <w:p w14:paraId="42C75AA3" w14:textId="1BF25B1B" w:rsidR="00584E7F" w:rsidRDefault="00584E7F" w:rsidP="00C90C89">
            <w:pPr>
              <w:jc w:val="center"/>
              <w:rPr>
                <w:lang w:val="es-AR"/>
              </w:rPr>
            </w:pPr>
            <w:r w:rsidRPr="00584E7F">
              <w:t>Fleurs</w:t>
            </w:r>
            <w:r>
              <w:rPr>
                <w:lang w:val="es-AR"/>
              </w:rPr>
              <w:t xml:space="preserve"> et graines</w:t>
            </w:r>
          </w:p>
        </w:tc>
        <w:tc>
          <w:tcPr>
            <w:tcW w:w="3472" w:type="dxa"/>
          </w:tcPr>
          <w:p w14:paraId="7E79696A" w14:textId="77777777" w:rsidR="00C90C89" w:rsidRDefault="00610678" w:rsidP="00C90C89">
            <w:pPr>
              <w:jc w:val="center"/>
              <w:rPr>
                <w:lang w:val="es-AR"/>
              </w:rPr>
            </w:pPr>
            <w:r w:rsidRPr="00610678">
              <w:rPr>
                <w:noProof/>
              </w:rPr>
              <w:drawing>
                <wp:inline distT="0" distB="0" distL="0" distR="0" wp14:anchorId="04E26B9D" wp14:editId="7D472AE4">
                  <wp:extent cx="1524000" cy="1143000"/>
                  <wp:effectExtent l="0" t="0" r="0" b="0"/>
                  <wp:docPr id="53254" name="Picture 4" descr="C:\Users\LISAN\Pictures\plantes invasives de Madagascar\Albizia_lebbeck_fleu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54" name="Picture 4" descr="C:\Users\LISAN\Pictures\plantes invasives de Madagascar\Albizia_lebbeck_fleurs.jpg"/>
                          <pic:cNvPicPr>
                            <a:picLocks noChangeAspect="1" noChangeArrowheads="1"/>
                          </pic:cNvPicPr>
                        </pic:nvPicPr>
                        <pic:blipFill>
                          <a:blip r:embed="rId681">
                            <a:extLst>
                              <a:ext uri="{28A0092B-C50C-407E-A947-70E740481C1C}">
                                <a14:useLocalDpi xmlns:a14="http://schemas.microsoft.com/office/drawing/2010/main" val="0"/>
                              </a:ext>
                            </a:extLst>
                          </a:blip>
                          <a:srcRect/>
                          <a:stretch>
                            <a:fillRect/>
                          </a:stretch>
                        </pic:blipFill>
                        <pic:spPr bwMode="auto">
                          <a:xfrm>
                            <a:off x="0" y="0"/>
                            <a:ext cx="1524000" cy="1143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325B3D09" w14:textId="7FB9C2EE" w:rsidR="00610678" w:rsidRDefault="00610678" w:rsidP="00C90C89">
            <w:pPr>
              <w:jc w:val="center"/>
              <w:rPr>
                <w:lang w:val="es-AR"/>
              </w:rPr>
            </w:pPr>
            <w:r w:rsidRPr="00610678">
              <w:rPr>
                <w:noProof/>
              </w:rPr>
              <w:drawing>
                <wp:inline distT="0" distB="0" distL="0" distR="0" wp14:anchorId="41A7D1BC" wp14:editId="5E25F1A3">
                  <wp:extent cx="1524000" cy="1019175"/>
                  <wp:effectExtent l="0" t="0" r="0" b="9525"/>
                  <wp:docPr id="53257" name="Picture 7" descr="C:\Users\LISAN\Pictures\plantes invasives de Madagascar\Albizia lebbeck8_feuil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57" name="Picture 7" descr="C:\Users\LISAN\Pictures\plantes invasives de Madagascar\Albizia lebbeck8_feuilles.jpg"/>
                          <pic:cNvPicPr>
                            <a:picLocks noChangeAspect="1" noChangeArrowheads="1"/>
                          </pic:cNvPicPr>
                        </pic:nvPicPr>
                        <pic:blipFill>
                          <a:blip r:embed="rId682">
                            <a:extLst>
                              <a:ext uri="{28A0092B-C50C-407E-A947-70E740481C1C}">
                                <a14:useLocalDpi xmlns:a14="http://schemas.microsoft.com/office/drawing/2010/main" val="0"/>
                              </a:ext>
                            </a:extLst>
                          </a:blip>
                          <a:srcRect/>
                          <a:stretch>
                            <a:fillRect/>
                          </a:stretch>
                        </pic:blipFill>
                        <pic:spPr bwMode="auto">
                          <a:xfrm>
                            <a:off x="0" y="0"/>
                            <a:ext cx="1524000" cy="1019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4ED0903" w14:textId="12617911" w:rsidR="00584E7F" w:rsidRDefault="00584E7F" w:rsidP="00584E7F">
            <w:pPr>
              <w:jc w:val="center"/>
              <w:rPr>
                <w:lang w:val="es-AR"/>
              </w:rPr>
            </w:pPr>
            <w:r w:rsidRPr="00584E7F">
              <w:t>Fleurs</w:t>
            </w:r>
            <w:r>
              <w:rPr>
                <w:lang w:val="es-AR"/>
              </w:rPr>
              <w:t xml:space="preserve"> et feuilles</w:t>
            </w:r>
          </w:p>
        </w:tc>
        <w:tc>
          <w:tcPr>
            <w:tcW w:w="3472" w:type="dxa"/>
          </w:tcPr>
          <w:p w14:paraId="447FA436" w14:textId="5B494762" w:rsidR="00C90C89" w:rsidRDefault="00610678" w:rsidP="00C90C89">
            <w:pPr>
              <w:jc w:val="center"/>
              <w:rPr>
                <w:lang w:val="es-AR"/>
              </w:rPr>
            </w:pPr>
            <w:r w:rsidRPr="00610678">
              <w:rPr>
                <w:noProof/>
              </w:rPr>
              <w:drawing>
                <wp:inline distT="0" distB="0" distL="0" distR="0" wp14:anchorId="25446DB2" wp14:editId="4D30F924">
                  <wp:extent cx="1295400" cy="1958975"/>
                  <wp:effectExtent l="0" t="0" r="0" b="3175"/>
                  <wp:docPr id="53255" name="Picture 5" descr="C:\Users\LISAN\Pictures\plantes invasives de Madagascar\Albizia lebbeck6_arb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55" name="Picture 5" descr="C:\Users\LISAN\Pictures\plantes invasives de Madagascar\Albizia lebbeck6_arbre.jpg"/>
                          <pic:cNvPicPr>
                            <a:picLocks noChangeAspect="1" noChangeArrowheads="1"/>
                          </pic:cNvPicPr>
                        </pic:nvPicPr>
                        <pic:blipFill>
                          <a:blip r:embed="rId683">
                            <a:extLst>
                              <a:ext uri="{28A0092B-C50C-407E-A947-70E740481C1C}">
                                <a14:useLocalDpi xmlns:a14="http://schemas.microsoft.com/office/drawing/2010/main" val="0"/>
                              </a:ext>
                            </a:extLst>
                          </a:blip>
                          <a:srcRect/>
                          <a:stretch>
                            <a:fillRect/>
                          </a:stretch>
                        </pic:blipFill>
                        <pic:spPr bwMode="auto">
                          <a:xfrm>
                            <a:off x="0" y="0"/>
                            <a:ext cx="1295400" cy="1958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584E7F" w14:paraId="790D2688" w14:textId="77777777" w:rsidTr="00584E7F">
        <w:tc>
          <w:tcPr>
            <w:tcW w:w="3472" w:type="dxa"/>
          </w:tcPr>
          <w:p w14:paraId="07154D3B" w14:textId="77777777" w:rsidR="00584E7F" w:rsidRDefault="00584E7F" w:rsidP="00C90C89">
            <w:pPr>
              <w:jc w:val="center"/>
              <w:rPr>
                <w:lang w:val="es-AR"/>
              </w:rPr>
            </w:pPr>
            <w:r w:rsidRPr="00610678">
              <w:rPr>
                <w:noProof/>
              </w:rPr>
              <w:drawing>
                <wp:inline distT="0" distB="0" distL="0" distR="0" wp14:anchorId="5AE5C95D" wp14:editId="7E9FEF53">
                  <wp:extent cx="1965533" cy="1314450"/>
                  <wp:effectExtent l="0" t="0" r="0" b="0"/>
                  <wp:docPr id="53256" name="Picture 6" descr="C:\Users\LISAN\Pictures\plantes invasives de Madagascar\Albizia lebbeck7_gouss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56" name="Picture 6" descr="C:\Users\LISAN\Pictures\plantes invasives de Madagascar\Albizia lebbeck7_gousses.jpg"/>
                          <pic:cNvPicPr>
                            <a:picLocks noChangeAspect="1" noChangeArrowheads="1"/>
                          </pic:cNvPicPr>
                        </pic:nvPicPr>
                        <pic:blipFill>
                          <a:blip r:embed="rId684">
                            <a:extLst>
                              <a:ext uri="{28A0092B-C50C-407E-A947-70E740481C1C}">
                                <a14:useLocalDpi xmlns:a14="http://schemas.microsoft.com/office/drawing/2010/main" val="0"/>
                              </a:ext>
                            </a:extLst>
                          </a:blip>
                          <a:srcRect/>
                          <a:stretch>
                            <a:fillRect/>
                          </a:stretch>
                        </pic:blipFill>
                        <pic:spPr bwMode="auto">
                          <a:xfrm>
                            <a:off x="0" y="0"/>
                            <a:ext cx="1967126" cy="1315515"/>
                          </a:xfrm>
                          <a:prstGeom prst="rect">
                            <a:avLst/>
                          </a:prstGeom>
                          <a:noFill/>
                          <a:ln>
                            <a:noFill/>
                          </a:ln>
                        </pic:spPr>
                      </pic:pic>
                    </a:graphicData>
                  </a:graphic>
                </wp:inline>
              </w:drawing>
            </w:r>
          </w:p>
          <w:p w14:paraId="6E6CA3EE" w14:textId="2D7D6B05" w:rsidR="00584E7F" w:rsidRDefault="00584E7F" w:rsidP="00C90C89">
            <w:pPr>
              <w:jc w:val="center"/>
              <w:rPr>
                <w:lang w:val="es-AR"/>
              </w:rPr>
            </w:pPr>
            <w:r>
              <w:rPr>
                <w:lang w:val="es-AR"/>
              </w:rPr>
              <w:t>Graines</w:t>
            </w:r>
          </w:p>
        </w:tc>
        <w:tc>
          <w:tcPr>
            <w:tcW w:w="6944" w:type="dxa"/>
            <w:gridSpan w:val="2"/>
          </w:tcPr>
          <w:p w14:paraId="39908A0F" w14:textId="06AA48CB" w:rsidR="00584E7F" w:rsidRDefault="00584E7F" w:rsidP="00C90C89">
            <w:pPr>
              <w:jc w:val="center"/>
              <w:rPr>
                <w:lang w:val="es-AR"/>
              </w:rPr>
            </w:pPr>
            <w:r w:rsidRPr="00584E7F">
              <w:rPr>
                <w:noProof/>
              </w:rPr>
              <w:drawing>
                <wp:inline distT="0" distB="0" distL="0" distR="0" wp14:anchorId="4DB74E0A" wp14:editId="651EEAF1">
                  <wp:extent cx="1981200" cy="1483987"/>
                  <wp:effectExtent l="0" t="0" r="0" b="2540"/>
                  <wp:docPr id="53258" name="Picture 8" descr="C:\Users\LISAN\Pictures\plantes invasives de Madagascar\Albizia lebbeck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58" name="Picture 8" descr="C:\Users\LISAN\Pictures\plantes invasives de Madagascar\Albizia lebbeck4.jpg"/>
                          <pic:cNvPicPr>
                            <a:picLocks noChangeAspect="1" noChangeArrowheads="1"/>
                          </pic:cNvPicPr>
                        </pic:nvPicPr>
                        <pic:blipFill>
                          <a:blip r:embed="rId685">
                            <a:extLst>
                              <a:ext uri="{28A0092B-C50C-407E-A947-70E740481C1C}">
                                <a14:useLocalDpi xmlns:a14="http://schemas.microsoft.com/office/drawing/2010/main" val="0"/>
                              </a:ext>
                            </a:extLst>
                          </a:blip>
                          <a:srcRect/>
                          <a:stretch>
                            <a:fillRect/>
                          </a:stretch>
                        </pic:blipFill>
                        <pic:spPr bwMode="auto">
                          <a:xfrm>
                            <a:off x="0" y="0"/>
                            <a:ext cx="1986633" cy="1488057"/>
                          </a:xfrm>
                          <a:prstGeom prst="rect">
                            <a:avLst/>
                          </a:prstGeom>
                          <a:noFill/>
                          <a:ln>
                            <a:noFill/>
                          </a:ln>
                        </pic:spPr>
                      </pic:pic>
                    </a:graphicData>
                  </a:graphic>
                </wp:inline>
              </w:drawing>
            </w:r>
          </w:p>
        </w:tc>
      </w:tr>
    </w:tbl>
    <w:p w14:paraId="47C96761" w14:textId="77777777" w:rsidR="000E091C" w:rsidRDefault="000E091C" w:rsidP="000E091C">
      <w:pPr>
        <w:spacing w:after="0" w:line="240" w:lineRule="auto"/>
        <w:rPr>
          <w:lang w:val="es-AR"/>
        </w:rPr>
      </w:pPr>
    </w:p>
    <w:p w14:paraId="33A0C415" w14:textId="77777777" w:rsidR="000E091C" w:rsidRPr="000E091C" w:rsidRDefault="000E091C" w:rsidP="00B243F9">
      <w:pPr>
        <w:pStyle w:val="Titre2"/>
      </w:pPr>
      <w:bookmarkStart w:id="75" w:name="_Toc139181366"/>
      <w:r w:rsidRPr="000E091C">
        <w:t>Cassier (</w:t>
      </w:r>
      <w:r w:rsidRPr="00F21C8C">
        <w:rPr>
          <w:i/>
          <w:iCs/>
        </w:rPr>
        <w:t>Acacia farnesiana</w:t>
      </w:r>
      <w:r w:rsidRPr="000E091C">
        <w:t>)</w:t>
      </w:r>
      <w:bookmarkEnd w:id="75"/>
    </w:p>
    <w:p w14:paraId="398F36C4" w14:textId="4DE33D4A" w:rsidR="000E091C" w:rsidRDefault="000E091C" w:rsidP="000E091C">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84"/>
        <w:gridCol w:w="2127"/>
        <w:gridCol w:w="1575"/>
        <w:gridCol w:w="846"/>
        <w:gridCol w:w="1294"/>
      </w:tblGrid>
      <w:tr w:rsidR="000E091C" w:rsidRPr="000B6BE3" w14:paraId="284989F5" w14:textId="77777777" w:rsidTr="00644A82">
        <w:tc>
          <w:tcPr>
            <w:tcW w:w="4775" w:type="dxa"/>
          </w:tcPr>
          <w:p w14:paraId="6F0E3E74" w14:textId="77777777" w:rsidR="000E091C" w:rsidRPr="008F191E" w:rsidRDefault="000E091C" w:rsidP="00644A82">
            <w:pPr>
              <w:rPr>
                <w:rFonts w:ascii="Calibri" w:hAnsi="Calibri" w:cs="Calibri"/>
                <w:bCs/>
              </w:rPr>
            </w:pPr>
            <w:r w:rsidRPr="008F191E">
              <w:rPr>
                <w:rFonts w:ascii="Calibri" w:hAnsi="Calibri" w:cs="Calibri"/>
                <w:bCs/>
              </w:rPr>
              <w:t>(</w:t>
            </w:r>
            <w:hyperlink r:id="rId686" w:history="1">
              <w:r w:rsidRPr="008F191E">
                <w:rPr>
                  <w:rFonts w:ascii="Calibri" w:hAnsi="Calibri" w:cs="Calibri"/>
                </w:rPr>
                <w:t>F</w:t>
              </w:r>
              <w:r w:rsidRPr="008F191E">
                <w:rPr>
                  <w:rStyle w:val="Lienhypertexte"/>
                  <w:rFonts w:ascii="Calibri" w:hAnsi="Calibri" w:cs="Calibri"/>
                  <w:color w:val="0B0080"/>
                  <w:shd w:val="clear" w:color="auto" w:fill="FFFFFF"/>
                </w:rPr>
                <w:t>amille</w:t>
              </w:r>
            </w:hyperlink>
            <w:r w:rsidRPr="008F191E">
              <w:rPr>
                <w:rFonts w:ascii="Calibri" w:hAnsi="Calibri" w:cs="Calibri"/>
                <w:color w:val="222222"/>
                <w:shd w:val="clear" w:color="auto" w:fill="FFFFFF"/>
              </w:rPr>
              <w:t> des</w:t>
            </w:r>
            <w:r w:rsidRPr="008F191E">
              <w:rPr>
                <w:rFonts w:ascii="Calibri" w:hAnsi="Calibri" w:cs="Calibri"/>
                <w:color w:val="202122"/>
                <w:shd w:val="clear" w:color="auto" w:fill="FFFFFF"/>
              </w:rPr>
              <w:t> Fabacées</w:t>
            </w:r>
            <w:r>
              <w:rPr>
                <w:rFonts w:ascii="Calibri" w:hAnsi="Calibri" w:cs="Calibri"/>
                <w:color w:val="202122"/>
                <w:shd w:val="clear" w:color="auto" w:fill="FFFFFF"/>
              </w:rPr>
              <w:t xml:space="preserve"> / </w:t>
            </w:r>
            <w:r w:rsidRPr="008F191E">
              <w:rPr>
                <w:rFonts w:ascii="Calibri" w:hAnsi="Calibri" w:cs="Calibri"/>
                <w:i/>
                <w:iCs/>
                <w:color w:val="202122"/>
                <w:shd w:val="clear" w:color="auto" w:fill="FFFFFF"/>
              </w:rPr>
              <w:t>Fabaceae</w:t>
            </w:r>
            <w:r w:rsidRPr="008F191E">
              <w:rPr>
                <w:rFonts w:ascii="Calibri" w:hAnsi="Calibri" w:cs="Calibri"/>
                <w:bCs/>
              </w:rPr>
              <w:t>)</w:t>
            </w:r>
          </w:p>
          <w:p w14:paraId="107EE0EE" w14:textId="77777777" w:rsidR="000E091C" w:rsidRPr="000B6BE3" w:rsidRDefault="000E091C" w:rsidP="00644A82">
            <w:pPr>
              <w:rPr>
                <w:rFonts w:cstheme="minorHAnsi"/>
              </w:rPr>
            </w:pPr>
          </w:p>
        </w:tc>
        <w:tc>
          <w:tcPr>
            <w:tcW w:w="2212" w:type="dxa"/>
          </w:tcPr>
          <w:p w14:paraId="6E87B671" w14:textId="77777777" w:rsidR="000E091C" w:rsidRPr="000B6BE3" w:rsidRDefault="000E091C" w:rsidP="00644A82">
            <w:pPr>
              <w:rPr>
                <w:rFonts w:cstheme="minorHAnsi"/>
              </w:rPr>
            </w:pPr>
            <w:r w:rsidRPr="000B6BE3">
              <w:rPr>
                <w:rFonts w:cstheme="minorHAnsi"/>
                <w:noProof/>
              </w:rPr>
              <w:t xml:space="preserve">  </w:t>
            </w:r>
            <w:r>
              <w:rPr>
                <w:rFonts w:cstheme="minorHAnsi"/>
                <w:noProof/>
              </w:rPr>
              <w:t xml:space="preserve">    </w:t>
            </w:r>
            <w:r w:rsidRPr="008F2681">
              <w:rPr>
                <w:rFonts w:cstheme="minorHAnsi"/>
                <w:noProof/>
              </w:rPr>
              <w:drawing>
                <wp:inline distT="0" distB="0" distL="0" distR="0" wp14:anchorId="283E33FA" wp14:editId="755CCB98">
                  <wp:extent cx="463550" cy="661988"/>
                  <wp:effectExtent l="0" t="0" r="0" b="5080"/>
                  <wp:docPr id="132122"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r w:rsidRPr="005C50C9">
              <w:rPr>
                <w:rFonts w:cstheme="minorHAnsi"/>
                <w:noProof/>
              </w:rPr>
              <w:drawing>
                <wp:inline distT="0" distB="0" distL="0" distR="0" wp14:anchorId="03FB74E4" wp14:editId="60C00D3E">
                  <wp:extent cx="495300" cy="666750"/>
                  <wp:effectExtent l="0" t="0" r="0" b="0"/>
                  <wp:docPr id="132123" name="Image 15"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8" name="Image 15" descr="logo aride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w:t>
            </w:r>
          </w:p>
        </w:tc>
        <w:tc>
          <w:tcPr>
            <w:tcW w:w="1645" w:type="dxa"/>
          </w:tcPr>
          <w:p w14:paraId="676EFECA" w14:textId="77777777" w:rsidR="000E091C" w:rsidRPr="002E01BB" w:rsidRDefault="000E091C" w:rsidP="00644A82">
            <w:pPr>
              <w:rPr>
                <w:rFonts w:eastAsia="+mn-ea" w:cstheme="minorHAnsi"/>
                <w:b/>
                <w:bCs/>
                <w:color w:val="008000"/>
                <w:kern w:val="24"/>
                <w:sz w:val="56"/>
                <w:szCs w:val="56"/>
              </w:rPr>
            </w:pPr>
            <w:r w:rsidRPr="00D1445E">
              <w:rPr>
                <w:rFonts w:eastAsia="+mn-ea" w:cstheme="minorHAnsi"/>
                <w:b/>
                <w:bCs/>
                <w:color w:val="008000"/>
                <w:kern w:val="24"/>
                <w:sz w:val="56"/>
                <w:szCs w:val="56"/>
              </w:rPr>
              <w:t>U</w:t>
            </w:r>
            <w:r>
              <w:rPr>
                <w:rFonts w:eastAsia="+mn-ea" w:cstheme="minorHAnsi"/>
                <w:b/>
                <w:bCs/>
                <w:color w:val="008000"/>
                <w:kern w:val="24"/>
                <w:sz w:val="56"/>
                <w:szCs w:val="56"/>
              </w:rPr>
              <w:t xml:space="preserve"> </w:t>
            </w:r>
            <w:r w:rsidRPr="002E01BB">
              <w:rPr>
                <w:rFonts w:eastAsia="+mn-ea" w:cstheme="minorHAnsi"/>
                <w:b/>
                <w:bCs/>
                <w:color w:val="008000"/>
                <w:kern w:val="24"/>
                <w:sz w:val="56"/>
                <w:szCs w:val="56"/>
              </w:rPr>
              <w:t>↗</w:t>
            </w:r>
          </w:p>
          <w:p w14:paraId="28318166" w14:textId="77777777" w:rsidR="000E091C" w:rsidRPr="000B6BE3" w:rsidRDefault="000E091C" w:rsidP="00644A82">
            <w:pPr>
              <w:textAlignment w:val="baseline"/>
              <w:rPr>
                <w:rFonts w:cstheme="minorHAnsi"/>
              </w:rPr>
            </w:pPr>
          </w:p>
        </w:tc>
        <w:tc>
          <w:tcPr>
            <w:tcW w:w="415" w:type="dxa"/>
          </w:tcPr>
          <w:p w14:paraId="0E3DDCC1" w14:textId="0E3CFA3A" w:rsidR="000E091C" w:rsidRPr="000B6BE3" w:rsidRDefault="00EB7112" w:rsidP="00644A82">
            <w:pPr>
              <w:rPr>
                <w:rFonts w:cstheme="minorHAnsi"/>
              </w:rPr>
            </w:pPr>
            <w:r w:rsidRPr="00853ED0">
              <w:rPr>
                <w:noProof/>
              </w:rPr>
              <w:drawing>
                <wp:inline distT="0" distB="0" distL="0" distR="0" wp14:anchorId="54584AC7" wp14:editId="5A39879D">
                  <wp:extent cx="400050" cy="352425"/>
                  <wp:effectExtent l="0" t="0" r="0" b="9525"/>
                  <wp:docPr id="104470" name="Image 21">
                    <a:extLst xmlns:a="http://schemas.openxmlformats.org/drawingml/2006/main">
                      <a:ext uri="{FF2B5EF4-FFF2-40B4-BE49-F238E27FC236}">
                        <a16:creationId xmlns:a16="http://schemas.microsoft.com/office/drawing/2014/main" id="{F52353B3-AA67-41AB-ACE3-C9465695F4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3" name="Image 21">
                            <a:extLst>
                              <a:ext uri="{FF2B5EF4-FFF2-40B4-BE49-F238E27FC236}">
                                <a16:creationId xmlns:a16="http://schemas.microsoft.com/office/drawing/2014/main" id="{F52353B3-AA67-41AB-ACE3-C9465695F4BE}"/>
                              </a:ext>
                            </a:extLst>
                          </pic:cNvPr>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379" w:type="dxa"/>
          </w:tcPr>
          <w:p w14:paraId="764AA284" w14:textId="77777777" w:rsidR="000E091C" w:rsidRPr="000B6BE3" w:rsidRDefault="000E091C" w:rsidP="00644A82">
            <w:pPr>
              <w:rPr>
                <w:rFonts w:cstheme="minorHAnsi"/>
              </w:rPr>
            </w:pPr>
          </w:p>
        </w:tc>
      </w:tr>
    </w:tbl>
    <w:p w14:paraId="21B31A8C" w14:textId="77777777" w:rsidR="000E091C" w:rsidRPr="000E091C" w:rsidRDefault="000E091C" w:rsidP="000E091C">
      <w:pPr>
        <w:spacing w:after="0" w:line="240" w:lineRule="auto"/>
      </w:pPr>
    </w:p>
    <w:p w14:paraId="4634CE93" w14:textId="77777777" w:rsidR="000E091C" w:rsidRPr="000E091C" w:rsidRDefault="000E091C" w:rsidP="000E091C">
      <w:pPr>
        <w:spacing w:after="0" w:line="240" w:lineRule="auto"/>
        <w:jc w:val="both"/>
      </w:pPr>
      <w:r w:rsidRPr="000E091C">
        <w:t>C'est un acacia atteignant une hauteur de 8 à 10 m environ, à inflorescence globuleuse et fortement parfumé largement répandu dans les régions tropicales.</w:t>
      </w:r>
    </w:p>
    <w:p w14:paraId="72E5C147" w14:textId="77777777" w:rsidR="000E091C" w:rsidRPr="000E091C" w:rsidRDefault="000E091C" w:rsidP="000E091C">
      <w:pPr>
        <w:spacing w:after="0" w:line="240" w:lineRule="auto"/>
        <w:jc w:val="both"/>
      </w:pPr>
      <w:r w:rsidRPr="000E091C">
        <w:t xml:space="preserve">Les branches retombantes, de cet arbuste au port érigé, sont armées de longues </w:t>
      </w:r>
      <w:r w:rsidRPr="004E69D7">
        <w:rPr>
          <w:i/>
          <w:iCs/>
        </w:rPr>
        <w:t>épines</w:t>
      </w:r>
      <w:r w:rsidRPr="000E091C">
        <w:t xml:space="preserve"> stipulaires, droites et blanches, de 1,5 à 5 cm.</w:t>
      </w:r>
    </w:p>
    <w:p w14:paraId="7334C5DD" w14:textId="77777777" w:rsidR="000E091C" w:rsidRPr="000E091C" w:rsidRDefault="000E091C" w:rsidP="000E091C">
      <w:pPr>
        <w:spacing w:after="0" w:line="240" w:lineRule="auto"/>
        <w:jc w:val="both"/>
      </w:pPr>
      <w:r w:rsidRPr="000E091C">
        <w:t>Il possède une floraison en glomérules (12 mm de diamètre) [en boules] de fleurs jaunes, très parfumées.</w:t>
      </w:r>
    </w:p>
    <w:p w14:paraId="4A979FE7" w14:textId="77777777" w:rsidR="000E091C" w:rsidRPr="000E091C" w:rsidRDefault="000E091C" w:rsidP="000E091C">
      <w:pPr>
        <w:spacing w:after="0" w:line="240" w:lineRule="auto"/>
        <w:jc w:val="both"/>
      </w:pPr>
      <w:r w:rsidRPr="000E091C">
        <w:t>Les graines, brunes _ dans des gousses rondes, brunes à noirâtres d'environ 7 cm de long _, mesurent jusqu'à 7 mm de long.</w:t>
      </w:r>
    </w:p>
    <w:p w14:paraId="35DE3B0F" w14:textId="592B3E60" w:rsidR="000E091C" w:rsidRPr="000E091C" w:rsidRDefault="000E091C" w:rsidP="000E091C">
      <w:pPr>
        <w:spacing w:after="0" w:line="240" w:lineRule="auto"/>
        <w:jc w:val="both"/>
      </w:pPr>
      <w:r w:rsidRPr="000E091C">
        <w:t>Usages : On extrait des fleurs une huile utilisée en parfumerie. Le feuillage est une source importante de fourrage, contenant environ 18% de protéine. En Australie, le feuillage de cet arbuste est parfois utilisé pour nourrir le bétail. L'écorce est utilisée pour son tanin. Les feuilles sont utilisées comme un tamarin pour aromatiser les chutneys et les gousses sont torréfiés pour être utilisées dans les plats aigre-doux. Mais son usage le plus commun est ornemental ; il peut être planté seul ou en bosquet, mais il est aussi utilisé pour constituer des haies. L'écorce et les fleurs sont, utilisées, en médecine traditionnelle, contre le paludisme, pour traiter les diarrhées et les maladies de la peau, en la frottant avec les feuilles.</w:t>
      </w:r>
    </w:p>
    <w:p w14:paraId="298C75A2" w14:textId="77777777" w:rsidR="000E091C" w:rsidRPr="000E091C" w:rsidRDefault="000E091C" w:rsidP="000E091C">
      <w:pPr>
        <w:spacing w:after="0" w:line="240" w:lineRule="auto"/>
        <w:jc w:val="both"/>
      </w:pPr>
      <w:r w:rsidRPr="000E091C">
        <w:t xml:space="preserve">Peu exigeant en ce qui concerne la nature du sol, cet arbuste préfère les situations ensoleillées et résiste à la sécheresse. Aux Antilles, on le trouve dans les fourrés </w:t>
      </w:r>
      <w:r w:rsidRPr="004E69D7">
        <w:rPr>
          <w:i/>
          <w:iCs/>
        </w:rPr>
        <w:t>épineux</w:t>
      </w:r>
      <w:r w:rsidRPr="000E091C">
        <w:t xml:space="preserve"> xérophiles.</w:t>
      </w:r>
    </w:p>
    <w:p w14:paraId="0C8990C3" w14:textId="77777777" w:rsidR="000E091C" w:rsidRPr="000E091C" w:rsidRDefault="000E091C" w:rsidP="000E091C">
      <w:pPr>
        <w:spacing w:after="0" w:line="240" w:lineRule="auto"/>
        <w:jc w:val="both"/>
      </w:pPr>
      <w:r w:rsidRPr="000E091C">
        <w:t>Cette espèce est originaire d'Amérique tropicale, et répandue par l'homme dans d'autres zones chaudes du monde, comme dans de nombreux pays d'Afrique, et en Australie. Elle est commune dans les Antilles françaises.</w:t>
      </w:r>
    </w:p>
    <w:p w14:paraId="14833234" w14:textId="77777777" w:rsidR="000E091C" w:rsidRPr="000E091C" w:rsidRDefault="000E091C" w:rsidP="000E091C">
      <w:pPr>
        <w:spacing w:after="0" w:line="240" w:lineRule="auto"/>
        <w:jc w:val="both"/>
      </w:pPr>
      <w:r w:rsidRPr="000E091C">
        <w:t xml:space="preserve">Appelé parfois Cassie ancienne, Cassie du Levant, Mimosa de Farnèse (pour certains auteurs, </w:t>
      </w:r>
      <w:r w:rsidRPr="000E091C">
        <w:rPr>
          <w:i/>
          <w:iCs/>
        </w:rPr>
        <w:t>Vachellia farnesiana</w:t>
      </w:r>
      <w:r w:rsidRPr="000E091C">
        <w:t>).</w:t>
      </w:r>
    </w:p>
    <w:p w14:paraId="0829B28F" w14:textId="77777777" w:rsidR="000E091C" w:rsidRPr="000E091C" w:rsidRDefault="000E091C" w:rsidP="000E091C">
      <w:pPr>
        <w:spacing w:after="0" w:line="240" w:lineRule="auto"/>
        <w:jc w:val="both"/>
      </w:pPr>
      <w:r w:rsidRPr="000E091C">
        <w:lastRenderedPageBreak/>
        <w:t>Propagation : par les graines. Durée de vie : 25 à 50 ans. Il prospère dans les endroits secs, salins, ou les sols sodiques.</w:t>
      </w:r>
    </w:p>
    <w:p w14:paraId="42B3DE3B" w14:textId="77777777" w:rsidR="000E091C" w:rsidRPr="000E091C" w:rsidRDefault="000E091C" w:rsidP="000E091C">
      <w:pPr>
        <w:spacing w:after="0" w:line="240" w:lineRule="auto"/>
        <w:jc w:val="both"/>
      </w:pPr>
      <w:r w:rsidRPr="000E091C">
        <w:t>Il est considéré comme envahissant en Australie (Nouvelle-Galles du Sud), aux Fidji. Invasivité : Risque élevé, score: 14 (Australie).</w:t>
      </w:r>
    </w:p>
    <w:p w14:paraId="096165D0" w14:textId="5FE1880B" w:rsidR="000E091C" w:rsidRPr="000E091C" w:rsidRDefault="000E091C" w:rsidP="000E091C">
      <w:pPr>
        <w:spacing w:after="0" w:line="240" w:lineRule="auto"/>
        <w:jc w:val="both"/>
      </w:pPr>
      <w:r w:rsidRPr="000E091C">
        <w:t xml:space="preserve">Sources : a) </w:t>
      </w:r>
      <w:hyperlink r:id="rId687" w:history="1">
        <w:r w:rsidRPr="00B6599B">
          <w:rPr>
            <w:rStyle w:val="Lienhypertexte"/>
          </w:rPr>
          <w:t>http://fr.wikipedia.org/wiki/Cassier</w:t>
        </w:r>
      </w:hyperlink>
      <w:r w:rsidRPr="000E091C">
        <w:t>,</w:t>
      </w:r>
      <w:r>
        <w:t xml:space="preserve"> </w:t>
      </w:r>
      <w:r w:rsidRPr="000E091C">
        <w:t xml:space="preserve">b) </w:t>
      </w:r>
      <w:hyperlink r:id="rId688" w:history="1">
        <w:r w:rsidRPr="00B6599B">
          <w:rPr>
            <w:rStyle w:val="Lienhypertexte"/>
          </w:rPr>
          <w:t>http://en.wikipedia.org/wiki/Vachellia_farnesiana</w:t>
        </w:r>
      </w:hyperlink>
      <w:r w:rsidRPr="000E091C">
        <w:t>,</w:t>
      </w:r>
      <w:r>
        <w:t xml:space="preserve"> </w:t>
      </w:r>
      <w:r w:rsidRPr="000E091C">
        <w:t xml:space="preserve"> </w:t>
      </w:r>
    </w:p>
    <w:p w14:paraId="6BEA468C" w14:textId="42C8E920" w:rsidR="000E091C" w:rsidRDefault="000E091C" w:rsidP="000E091C">
      <w:pPr>
        <w:spacing w:after="0" w:line="240" w:lineRule="auto"/>
        <w:jc w:val="both"/>
      </w:pPr>
      <w:r w:rsidRPr="000E091C">
        <w:t xml:space="preserve">c) </w:t>
      </w:r>
      <w:hyperlink r:id="rId689" w:history="1">
        <w:r w:rsidRPr="00B6599B">
          <w:rPr>
            <w:rStyle w:val="Lienhypertexte"/>
          </w:rPr>
          <w:t>http://www.hear.org/pier/species/acacia_farnesiana.htm</w:t>
        </w:r>
      </w:hyperlink>
      <w:r w:rsidRPr="000E091C">
        <w:t xml:space="preserve"> </w:t>
      </w:r>
    </w:p>
    <w:p w14:paraId="30A45627" w14:textId="2B89F4BB" w:rsidR="000E091C" w:rsidRDefault="000E091C" w:rsidP="000E091C">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1736"/>
        <w:gridCol w:w="1736"/>
        <w:gridCol w:w="3472"/>
      </w:tblGrid>
      <w:tr w:rsidR="000E091C" w14:paraId="627841E0" w14:textId="77777777" w:rsidTr="000E091C">
        <w:tc>
          <w:tcPr>
            <w:tcW w:w="3472" w:type="dxa"/>
          </w:tcPr>
          <w:p w14:paraId="705BF168" w14:textId="77777777" w:rsidR="000E091C" w:rsidRDefault="000E091C" w:rsidP="000E091C">
            <w:pPr>
              <w:jc w:val="center"/>
            </w:pPr>
            <w:r w:rsidRPr="000E091C">
              <w:rPr>
                <w:noProof/>
              </w:rPr>
              <w:drawing>
                <wp:inline distT="0" distB="0" distL="0" distR="0" wp14:anchorId="5E8F189B" wp14:editId="3EB3E0B0">
                  <wp:extent cx="1198794" cy="1600200"/>
                  <wp:effectExtent l="0" t="0" r="1905" b="0"/>
                  <wp:docPr id="54282" name="Picture 5" descr="C:\Users\LISAN\Pictures\plantes-halophytes-xerophiles\Acacia farnesian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82" name="Picture 5" descr="C:\Users\LISAN\Pictures\plantes-halophytes-xerophiles\Acacia farnesiana3.jpg"/>
                          <pic:cNvPicPr>
                            <a:picLocks noChangeAspect="1" noChangeArrowheads="1"/>
                          </pic:cNvPicPr>
                        </pic:nvPicPr>
                        <pic:blipFill>
                          <a:blip r:embed="rId690">
                            <a:extLst>
                              <a:ext uri="{28A0092B-C50C-407E-A947-70E740481C1C}">
                                <a14:useLocalDpi xmlns:a14="http://schemas.microsoft.com/office/drawing/2010/main" val="0"/>
                              </a:ext>
                            </a:extLst>
                          </a:blip>
                          <a:srcRect/>
                          <a:stretch>
                            <a:fillRect/>
                          </a:stretch>
                        </pic:blipFill>
                        <pic:spPr bwMode="auto">
                          <a:xfrm>
                            <a:off x="0" y="0"/>
                            <a:ext cx="1200874" cy="1602976"/>
                          </a:xfrm>
                          <a:prstGeom prst="rect">
                            <a:avLst/>
                          </a:prstGeom>
                          <a:noFill/>
                          <a:ln>
                            <a:noFill/>
                          </a:ln>
                        </pic:spPr>
                      </pic:pic>
                    </a:graphicData>
                  </a:graphic>
                </wp:inline>
              </w:drawing>
            </w:r>
          </w:p>
          <w:p w14:paraId="0353089C" w14:textId="15BF8B9E" w:rsidR="000B73C7" w:rsidRDefault="000B73C7" w:rsidP="000E091C">
            <w:pPr>
              <w:jc w:val="center"/>
            </w:pPr>
          </w:p>
        </w:tc>
        <w:tc>
          <w:tcPr>
            <w:tcW w:w="3472" w:type="dxa"/>
            <w:gridSpan w:val="2"/>
          </w:tcPr>
          <w:p w14:paraId="237DEB97" w14:textId="73354480" w:rsidR="000E091C" w:rsidRDefault="000E091C" w:rsidP="000E091C">
            <w:pPr>
              <w:jc w:val="center"/>
            </w:pPr>
            <w:r w:rsidRPr="000E091C">
              <w:rPr>
                <w:noProof/>
              </w:rPr>
              <w:drawing>
                <wp:inline distT="0" distB="0" distL="0" distR="0" wp14:anchorId="5D91D3B7" wp14:editId="3E73FF01">
                  <wp:extent cx="1320800" cy="1268412"/>
                  <wp:effectExtent l="0" t="0" r="0" b="8255"/>
                  <wp:docPr id="54281" name="Picture 4" descr="C:\Users\LISAN\Pictures\plantes-halophytes-xerophiles\Acacia farnesian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81" name="Picture 4" descr="C:\Users\LISAN\Pictures\plantes-halophytes-xerophiles\Acacia farnesiana2.jpg"/>
                          <pic:cNvPicPr>
                            <a:picLocks noChangeAspect="1" noChangeArrowheads="1"/>
                          </pic:cNvPicPr>
                        </pic:nvPicPr>
                        <pic:blipFill>
                          <a:blip r:embed="rId691">
                            <a:extLst>
                              <a:ext uri="{28A0092B-C50C-407E-A947-70E740481C1C}">
                                <a14:useLocalDpi xmlns:a14="http://schemas.microsoft.com/office/drawing/2010/main" val="0"/>
                              </a:ext>
                            </a:extLst>
                          </a:blip>
                          <a:srcRect/>
                          <a:stretch>
                            <a:fillRect/>
                          </a:stretch>
                        </pic:blipFill>
                        <pic:spPr bwMode="auto">
                          <a:xfrm>
                            <a:off x="0" y="0"/>
                            <a:ext cx="1320800" cy="12684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30C3CC10" w14:textId="378D26BE" w:rsidR="000E091C" w:rsidRDefault="000E091C" w:rsidP="000E091C">
            <w:pPr>
              <w:jc w:val="center"/>
            </w:pPr>
            <w:r w:rsidRPr="000E091C">
              <w:rPr>
                <w:noProof/>
              </w:rPr>
              <w:drawing>
                <wp:inline distT="0" distB="0" distL="0" distR="0" wp14:anchorId="3D1427D5" wp14:editId="4948E3EE">
                  <wp:extent cx="1944687" cy="1293812"/>
                  <wp:effectExtent l="0" t="0" r="0" b="1905"/>
                  <wp:docPr id="54280" name="Picture 3" descr="C:\Users\LISAN\Pictures\plantes-halophytes-xerophiles\Acacia farnesiana_grai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80" name="Picture 3" descr="C:\Users\LISAN\Pictures\plantes-halophytes-xerophiles\Acacia farnesiana_graines.jpg"/>
                          <pic:cNvPicPr>
                            <a:picLocks noChangeAspect="1" noChangeArrowheads="1"/>
                          </pic:cNvPicPr>
                        </pic:nvPicPr>
                        <pic:blipFill>
                          <a:blip r:embed="rId692">
                            <a:extLst>
                              <a:ext uri="{28A0092B-C50C-407E-A947-70E740481C1C}">
                                <a14:useLocalDpi xmlns:a14="http://schemas.microsoft.com/office/drawing/2010/main" val="0"/>
                              </a:ext>
                            </a:extLst>
                          </a:blip>
                          <a:srcRect/>
                          <a:stretch>
                            <a:fillRect/>
                          </a:stretch>
                        </pic:blipFill>
                        <pic:spPr bwMode="auto">
                          <a:xfrm>
                            <a:off x="0" y="0"/>
                            <a:ext cx="1944687" cy="12938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0E091C" w14:paraId="219B7957" w14:textId="77777777" w:rsidTr="000E091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208" w:type="dxa"/>
            <w:gridSpan w:val="2"/>
            <w:tcBorders>
              <w:top w:val="nil"/>
              <w:left w:val="nil"/>
              <w:bottom w:val="nil"/>
              <w:right w:val="nil"/>
            </w:tcBorders>
          </w:tcPr>
          <w:p w14:paraId="5C19AEFD" w14:textId="7387B906" w:rsidR="000E091C" w:rsidRDefault="000E091C" w:rsidP="000E091C">
            <w:pPr>
              <w:jc w:val="center"/>
            </w:pPr>
            <w:r w:rsidRPr="000E091C">
              <w:rPr>
                <w:noProof/>
              </w:rPr>
              <w:drawing>
                <wp:inline distT="0" distB="0" distL="0" distR="0" wp14:anchorId="38D200B5" wp14:editId="6B71FE63">
                  <wp:extent cx="2192337" cy="1052512"/>
                  <wp:effectExtent l="0" t="0" r="0" b="0"/>
                  <wp:docPr id="54283" name="Picture 7" descr="C:\Users\LISAN\Pictures\plantes-halophytes-xerophiles\Acacia farnesiana4 b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83" name="Picture 7" descr="C:\Users\LISAN\Pictures\plantes-halophytes-xerophiles\Acacia farnesiana4 bis.jpg"/>
                          <pic:cNvPicPr>
                            <a:picLocks noChangeAspect="1" noChangeArrowheads="1"/>
                          </pic:cNvPicPr>
                        </pic:nvPicPr>
                        <pic:blipFill>
                          <a:blip r:embed="rId693">
                            <a:extLst>
                              <a:ext uri="{28A0092B-C50C-407E-A947-70E740481C1C}">
                                <a14:useLocalDpi xmlns:a14="http://schemas.microsoft.com/office/drawing/2010/main" val="0"/>
                              </a:ext>
                            </a:extLst>
                          </a:blip>
                          <a:srcRect/>
                          <a:stretch>
                            <a:fillRect/>
                          </a:stretch>
                        </pic:blipFill>
                        <pic:spPr bwMode="auto">
                          <a:xfrm>
                            <a:off x="0" y="0"/>
                            <a:ext cx="2192337" cy="10525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208" w:type="dxa"/>
            <w:gridSpan w:val="2"/>
            <w:tcBorders>
              <w:top w:val="nil"/>
              <w:left w:val="nil"/>
              <w:bottom w:val="nil"/>
              <w:right w:val="nil"/>
            </w:tcBorders>
          </w:tcPr>
          <w:p w14:paraId="605B1758" w14:textId="33D93C3B" w:rsidR="000E091C" w:rsidRDefault="000E091C" w:rsidP="000E091C">
            <w:pPr>
              <w:jc w:val="center"/>
            </w:pPr>
            <w:r w:rsidRPr="000E091C">
              <w:rPr>
                <w:noProof/>
              </w:rPr>
              <w:drawing>
                <wp:inline distT="0" distB="0" distL="0" distR="0" wp14:anchorId="2FE87794" wp14:editId="4B47A153">
                  <wp:extent cx="1457325" cy="1055082"/>
                  <wp:effectExtent l="0" t="0" r="0" b="0"/>
                  <wp:docPr id="54279" name="Picture 2" descr="C:\Users\LISAN\Pictures\plantes-halophytes-xerophiles\Acacia farnesian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79" name="Picture 2" descr="C:\Users\LISAN\Pictures\plantes-halophytes-xerophiles\Acacia farnesiana5.jpg"/>
                          <pic:cNvPicPr>
                            <a:picLocks noChangeAspect="1" noChangeArrowheads="1"/>
                          </pic:cNvPicPr>
                        </pic:nvPicPr>
                        <pic:blipFill>
                          <a:blip r:embed="rId694">
                            <a:extLst>
                              <a:ext uri="{28A0092B-C50C-407E-A947-70E740481C1C}">
                                <a14:useLocalDpi xmlns:a14="http://schemas.microsoft.com/office/drawing/2010/main" val="0"/>
                              </a:ext>
                            </a:extLst>
                          </a:blip>
                          <a:srcRect/>
                          <a:stretch>
                            <a:fillRect/>
                          </a:stretch>
                        </pic:blipFill>
                        <pic:spPr bwMode="auto">
                          <a:xfrm>
                            <a:off x="0" y="0"/>
                            <a:ext cx="1461210" cy="1057895"/>
                          </a:xfrm>
                          <a:prstGeom prst="rect">
                            <a:avLst/>
                          </a:prstGeom>
                          <a:noFill/>
                          <a:ln>
                            <a:noFill/>
                          </a:ln>
                        </pic:spPr>
                      </pic:pic>
                    </a:graphicData>
                  </a:graphic>
                </wp:inline>
              </w:drawing>
            </w:r>
          </w:p>
        </w:tc>
      </w:tr>
    </w:tbl>
    <w:p w14:paraId="34245188" w14:textId="77777777" w:rsidR="000E091C" w:rsidRDefault="000E091C" w:rsidP="000E091C">
      <w:pPr>
        <w:spacing w:after="0" w:line="240" w:lineRule="auto"/>
        <w:jc w:val="center"/>
      </w:pPr>
    </w:p>
    <w:p w14:paraId="04210749" w14:textId="77777777" w:rsidR="00453376" w:rsidRPr="00B243F9" w:rsidRDefault="00453376" w:rsidP="00B243F9">
      <w:pPr>
        <w:pStyle w:val="Titre2"/>
        <w:rPr>
          <w:i/>
          <w:iCs/>
        </w:rPr>
      </w:pPr>
      <w:bookmarkStart w:id="76" w:name="_Toc139181367"/>
      <w:r w:rsidRPr="00B243F9">
        <w:rPr>
          <w:i/>
          <w:iCs/>
        </w:rPr>
        <w:t>Acacia seyal</w:t>
      </w:r>
      <w:bookmarkEnd w:id="76"/>
    </w:p>
    <w:p w14:paraId="022123E9" w14:textId="6FF5205C" w:rsidR="00453376" w:rsidRDefault="00453376" w:rsidP="00453376">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5"/>
        <w:gridCol w:w="2212"/>
        <w:gridCol w:w="1645"/>
        <w:gridCol w:w="415"/>
        <w:gridCol w:w="1379"/>
      </w:tblGrid>
      <w:tr w:rsidR="00DE2C3A" w:rsidRPr="000B6BE3" w14:paraId="239F6041" w14:textId="77777777" w:rsidTr="00644A82">
        <w:tc>
          <w:tcPr>
            <w:tcW w:w="4775" w:type="dxa"/>
          </w:tcPr>
          <w:p w14:paraId="076EC009" w14:textId="70EBBC95" w:rsidR="00DE2C3A" w:rsidRPr="00DE2C3A" w:rsidRDefault="00DE2C3A" w:rsidP="00DE2C3A">
            <w:pPr>
              <w:jc w:val="both"/>
              <w:rPr>
                <w:rFonts w:ascii="Calibri" w:hAnsi="Calibri" w:cs="Calibri"/>
                <w:bCs/>
              </w:rPr>
            </w:pPr>
            <w:r>
              <w:rPr>
                <w:rFonts w:ascii="Calibri" w:hAnsi="Calibri" w:cs="Calibri"/>
                <w:bCs/>
              </w:rPr>
              <w:t>(</w:t>
            </w:r>
            <w:r w:rsidRPr="00DE2C3A">
              <w:rPr>
                <w:rFonts w:ascii="Calibri" w:hAnsi="Calibri" w:cs="Calibri"/>
                <w:bCs/>
              </w:rPr>
              <w:t>Famille des</w:t>
            </w:r>
            <w:r>
              <w:rPr>
                <w:rFonts w:ascii="Calibri" w:hAnsi="Calibri" w:cs="Calibri"/>
                <w:bCs/>
              </w:rPr>
              <w:t xml:space="preserve"> </w:t>
            </w:r>
            <w:r w:rsidRPr="008F191E">
              <w:rPr>
                <w:rFonts w:ascii="Calibri" w:hAnsi="Calibri" w:cs="Calibri"/>
                <w:color w:val="202122"/>
                <w:shd w:val="clear" w:color="auto" w:fill="FFFFFF"/>
              </w:rPr>
              <w:t>Fabacées</w:t>
            </w:r>
            <w:r>
              <w:rPr>
                <w:rFonts w:ascii="Calibri" w:hAnsi="Calibri" w:cs="Calibri"/>
                <w:color w:val="202122"/>
                <w:shd w:val="clear" w:color="auto" w:fill="FFFFFF"/>
              </w:rPr>
              <w:t xml:space="preserve"> /</w:t>
            </w:r>
            <w:r w:rsidRPr="00DE2C3A">
              <w:rPr>
                <w:rFonts w:ascii="Calibri" w:hAnsi="Calibri" w:cs="Calibri"/>
                <w:bCs/>
              </w:rPr>
              <w:t> </w:t>
            </w:r>
            <w:hyperlink r:id="rId695" w:history="1">
              <w:r w:rsidRPr="00DE2C3A">
                <w:rPr>
                  <w:rStyle w:val="Lienhypertexte"/>
                  <w:rFonts w:ascii="Calibri" w:hAnsi="Calibri" w:cs="Calibri"/>
                  <w:bCs/>
                  <w:i/>
                  <w:iCs/>
                </w:rPr>
                <w:t>Fabaceae</w:t>
              </w:r>
            </w:hyperlink>
            <w:r w:rsidRPr="00DE2C3A">
              <w:rPr>
                <w:rFonts w:ascii="Calibri" w:hAnsi="Calibri" w:cs="Calibri"/>
                <w:bCs/>
              </w:rPr>
              <w:t>, sous-famille des </w:t>
            </w:r>
            <w:hyperlink r:id="rId696" w:history="1">
              <w:r w:rsidRPr="00DE2C3A">
                <w:rPr>
                  <w:rStyle w:val="Lienhypertexte"/>
                  <w:rFonts w:ascii="Calibri" w:hAnsi="Calibri" w:cs="Calibri"/>
                  <w:bCs/>
                  <w:i/>
                  <w:iCs/>
                </w:rPr>
                <w:t>Mimosaceae</w:t>
              </w:r>
            </w:hyperlink>
            <w:r w:rsidRPr="00DE2C3A">
              <w:rPr>
                <w:rFonts w:ascii="Calibri" w:hAnsi="Calibri" w:cs="Calibri"/>
                <w:bCs/>
              </w:rPr>
              <w:t>, selon la classification phylogénétique</w:t>
            </w:r>
            <w:r>
              <w:rPr>
                <w:rFonts w:ascii="Calibri" w:hAnsi="Calibri" w:cs="Calibri"/>
                <w:bCs/>
              </w:rPr>
              <w:t>)</w:t>
            </w:r>
            <w:r w:rsidRPr="00DE2C3A">
              <w:rPr>
                <w:rFonts w:ascii="Calibri" w:hAnsi="Calibri" w:cs="Calibri"/>
                <w:bCs/>
              </w:rPr>
              <w:t>.</w:t>
            </w:r>
          </w:p>
          <w:p w14:paraId="3BABC206" w14:textId="77777777" w:rsidR="00DE2C3A" w:rsidRPr="008F191E" w:rsidRDefault="00DE2C3A" w:rsidP="00644A82">
            <w:pPr>
              <w:rPr>
                <w:rFonts w:ascii="Calibri" w:hAnsi="Calibri" w:cs="Calibri"/>
                <w:bCs/>
              </w:rPr>
            </w:pPr>
          </w:p>
          <w:p w14:paraId="179A89FE" w14:textId="77777777" w:rsidR="00DE2C3A" w:rsidRPr="000B6BE3" w:rsidRDefault="00DE2C3A" w:rsidP="00644A82">
            <w:pPr>
              <w:rPr>
                <w:rFonts w:cstheme="minorHAnsi"/>
              </w:rPr>
            </w:pPr>
          </w:p>
        </w:tc>
        <w:tc>
          <w:tcPr>
            <w:tcW w:w="2212" w:type="dxa"/>
          </w:tcPr>
          <w:p w14:paraId="1EAC878D" w14:textId="77777777" w:rsidR="00DE2C3A" w:rsidRPr="000B6BE3" w:rsidRDefault="00DE2C3A" w:rsidP="00644A82">
            <w:pPr>
              <w:rPr>
                <w:rFonts w:cstheme="minorHAnsi"/>
              </w:rPr>
            </w:pPr>
            <w:r w:rsidRPr="000B6BE3">
              <w:rPr>
                <w:rFonts w:cstheme="minorHAnsi"/>
                <w:noProof/>
              </w:rPr>
              <w:t xml:space="preserve">  </w:t>
            </w:r>
            <w:r>
              <w:rPr>
                <w:rFonts w:cstheme="minorHAnsi"/>
                <w:noProof/>
              </w:rPr>
              <w:t xml:space="preserve">    </w:t>
            </w:r>
            <w:r w:rsidRPr="008F2681">
              <w:rPr>
                <w:rFonts w:cstheme="minorHAnsi"/>
                <w:noProof/>
              </w:rPr>
              <w:drawing>
                <wp:inline distT="0" distB="0" distL="0" distR="0" wp14:anchorId="343C6086" wp14:editId="0B4FD664">
                  <wp:extent cx="463550" cy="661988"/>
                  <wp:effectExtent l="0" t="0" r="0" b="5080"/>
                  <wp:docPr id="132124"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r w:rsidRPr="005C50C9">
              <w:rPr>
                <w:rFonts w:cstheme="minorHAnsi"/>
                <w:noProof/>
              </w:rPr>
              <w:drawing>
                <wp:inline distT="0" distB="0" distL="0" distR="0" wp14:anchorId="10E0686A" wp14:editId="0C1252D3">
                  <wp:extent cx="495300" cy="666750"/>
                  <wp:effectExtent l="0" t="0" r="0" b="0"/>
                  <wp:docPr id="132125" name="Image 15"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8" name="Image 15" descr="logo aride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w:t>
            </w:r>
          </w:p>
        </w:tc>
        <w:tc>
          <w:tcPr>
            <w:tcW w:w="1645" w:type="dxa"/>
          </w:tcPr>
          <w:p w14:paraId="5BD9017D" w14:textId="2810DF41" w:rsidR="00DE2C3A" w:rsidRPr="002E01BB" w:rsidRDefault="00DE2C3A" w:rsidP="00644A82">
            <w:pPr>
              <w:rPr>
                <w:rFonts w:eastAsia="+mn-ea" w:cstheme="minorHAnsi"/>
                <w:b/>
                <w:bCs/>
                <w:color w:val="008000"/>
                <w:kern w:val="24"/>
                <w:sz w:val="56"/>
                <w:szCs w:val="56"/>
              </w:rPr>
            </w:pPr>
            <w:r w:rsidRPr="00D1445E">
              <w:rPr>
                <w:rFonts w:eastAsia="+mn-ea" w:cstheme="minorHAnsi"/>
                <w:b/>
                <w:bCs/>
                <w:color w:val="008000"/>
                <w:kern w:val="24"/>
                <w:sz w:val="56"/>
                <w:szCs w:val="56"/>
              </w:rPr>
              <w:t>U</w:t>
            </w:r>
            <w:r>
              <w:rPr>
                <w:rFonts w:eastAsia="+mn-ea" w:cstheme="minorHAnsi"/>
                <w:b/>
                <w:bCs/>
                <w:color w:val="008000"/>
                <w:kern w:val="24"/>
                <w:sz w:val="56"/>
                <w:szCs w:val="56"/>
              </w:rPr>
              <w:t xml:space="preserve"> </w:t>
            </w:r>
            <w:r w:rsidRPr="00DE2C3A">
              <w:rPr>
                <w:rFonts w:eastAsia="+mn-ea" w:cstheme="minorHAnsi"/>
                <w:b/>
                <w:bCs/>
                <w:color w:val="008000"/>
                <w:kern w:val="24"/>
                <w:sz w:val="48"/>
                <w:szCs w:val="48"/>
              </w:rPr>
              <w:t>$</w:t>
            </w:r>
          </w:p>
          <w:p w14:paraId="2F1B0D60" w14:textId="77777777" w:rsidR="00DE2C3A" w:rsidRPr="000B6BE3" w:rsidRDefault="00DE2C3A" w:rsidP="00644A82">
            <w:pPr>
              <w:textAlignment w:val="baseline"/>
              <w:rPr>
                <w:rFonts w:cstheme="minorHAnsi"/>
              </w:rPr>
            </w:pPr>
          </w:p>
        </w:tc>
        <w:tc>
          <w:tcPr>
            <w:tcW w:w="415" w:type="dxa"/>
          </w:tcPr>
          <w:p w14:paraId="3BDCE41B" w14:textId="77777777" w:rsidR="00DE2C3A" w:rsidRPr="000B6BE3" w:rsidRDefault="00DE2C3A" w:rsidP="00644A82">
            <w:pPr>
              <w:rPr>
                <w:rFonts w:cstheme="minorHAnsi"/>
              </w:rPr>
            </w:pPr>
          </w:p>
        </w:tc>
        <w:tc>
          <w:tcPr>
            <w:tcW w:w="1379" w:type="dxa"/>
          </w:tcPr>
          <w:p w14:paraId="2427BD8C" w14:textId="1C73AD47" w:rsidR="00DE2C3A" w:rsidRPr="00455C7E" w:rsidRDefault="00455C7E" w:rsidP="00644A82">
            <w:r w:rsidRPr="00853ED0">
              <w:rPr>
                <w:noProof/>
              </w:rPr>
              <w:drawing>
                <wp:inline distT="0" distB="0" distL="0" distR="0" wp14:anchorId="1CCB30CC" wp14:editId="3A1BB7D5">
                  <wp:extent cx="400050" cy="352425"/>
                  <wp:effectExtent l="0" t="0" r="0" b="9525"/>
                  <wp:docPr id="104471" name="Image 21">
                    <a:extLst xmlns:a="http://schemas.openxmlformats.org/drawingml/2006/main">
                      <a:ext uri="{FF2B5EF4-FFF2-40B4-BE49-F238E27FC236}">
                        <a16:creationId xmlns:a16="http://schemas.microsoft.com/office/drawing/2014/main" id="{F52353B3-AA67-41AB-ACE3-C9465695F4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3" name="Image 21">
                            <a:extLst>
                              <a:ext uri="{FF2B5EF4-FFF2-40B4-BE49-F238E27FC236}">
                                <a16:creationId xmlns:a16="http://schemas.microsoft.com/office/drawing/2014/main" id="{F52353B3-AA67-41AB-ACE3-C9465695F4BE}"/>
                              </a:ext>
                            </a:extLst>
                          </pic:cNvPr>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4C6B5173" w14:textId="3924DCFF" w:rsidR="00453376" w:rsidRDefault="00453376" w:rsidP="00453376">
      <w:pPr>
        <w:spacing w:after="0" w:line="240" w:lineRule="auto"/>
        <w:jc w:val="both"/>
      </w:pPr>
      <w:r>
        <w:t xml:space="preserve">Arbre </w:t>
      </w:r>
      <w:r w:rsidRPr="00205021">
        <w:rPr>
          <w:i/>
          <w:iCs/>
        </w:rPr>
        <w:t>épineux</w:t>
      </w:r>
      <w:r>
        <w:t xml:space="preserve"> à l'écorce verdâtre ou rougeâtre pâle de 6-10 m (20-30 pi) de hauteur.  Avec l'A</w:t>
      </w:r>
      <w:r w:rsidRPr="00453376">
        <w:rPr>
          <w:i/>
          <w:iCs/>
        </w:rPr>
        <w:t>cacia senegal</w:t>
      </w:r>
      <w:r>
        <w:t xml:space="preserve">, il s'agit d’une des deux espèces produisant de la gomme arabique. La gomme obtenue à partir de cette espèce est de consistance plus friable (ou </w:t>
      </w:r>
      <w:r w:rsidRPr="00453376">
        <w:rPr>
          <w:i/>
          <w:iCs/>
        </w:rPr>
        <w:t>Vachellia seyal</w:t>
      </w:r>
      <w:r>
        <w:t xml:space="preserve"> selon certains auteurs).</w:t>
      </w:r>
    </w:p>
    <w:p w14:paraId="4C207E46" w14:textId="77777777" w:rsidR="00453376" w:rsidRDefault="00453376" w:rsidP="00453376">
      <w:pPr>
        <w:spacing w:after="0" w:line="240" w:lineRule="auto"/>
        <w:jc w:val="both"/>
      </w:pPr>
      <w:r>
        <w:t xml:space="preserve">Ses fleurs sont réparties dans des grappes rondes jaunes claires d'environ 1,5 cm dans (0,5 po) de diamètre. Ses </w:t>
      </w:r>
      <w:r w:rsidRPr="00205021">
        <w:rPr>
          <w:i/>
          <w:iCs/>
        </w:rPr>
        <w:t>épines</w:t>
      </w:r>
      <w:r>
        <w:t xml:space="preserve"> peuvent atteindre 7-20 cm de long. Dans </w:t>
      </w:r>
      <w:r w:rsidRPr="00453376">
        <w:rPr>
          <w:i/>
          <w:iCs/>
        </w:rPr>
        <w:t>Vachellia seyal</w:t>
      </w:r>
      <w:r>
        <w:t> var. </w:t>
      </w:r>
      <w:r w:rsidRPr="00453376">
        <w:rPr>
          <w:i/>
          <w:iCs/>
        </w:rPr>
        <w:t>Fistula</w:t>
      </w:r>
      <w:r>
        <w:t xml:space="preserve">, plus fréquente sur les sols argileux lourds, la base renflée de des </w:t>
      </w:r>
      <w:r w:rsidRPr="00205021">
        <w:rPr>
          <w:i/>
          <w:iCs/>
        </w:rPr>
        <w:t>épines</w:t>
      </w:r>
      <w:r>
        <w:t xml:space="preserve"> offrent un abris à certaines fourmis symbiotiques. </w:t>
      </w:r>
    </w:p>
    <w:p w14:paraId="15991794" w14:textId="5F1B7630" w:rsidR="00453376" w:rsidRDefault="00453376" w:rsidP="00453376">
      <w:pPr>
        <w:spacing w:after="0" w:line="240" w:lineRule="auto"/>
        <w:jc w:val="both"/>
      </w:pPr>
      <w:r>
        <w:t xml:space="preserve">Son aire de distribution va de </w:t>
      </w:r>
      <w:r w:rsidR="00EA7C76">
        <w:t>Égypte</w:t>
      </w:r>
      <w:r>
        <w:t> au Kenya et à l'ouest du Sénégal. Au Sahara, il pousse souvent dans les vallées humides.</w:t>
      </w:r>
    </w:p>
    <w:p w14:paraId="2D2A3B92" w14:textId="77777777" w:rsidR="00453376" w:rsidRDefault="00453376" w:rsidP="00453376">
      <w:pPr>
        <w:spacing w:after="0" w:line="240" w:lineRule="auto"/>
        <w:jc w:val="both"/>
      </w:pPr>
      <w:r>
        <w:t>Cette espèce comprend plusieurs variétés distinctes : Selon Catalogue of Life (19 juin 2013) :</w:t>
      </w:r>
    </w:p>
    <w:p w14:paraId="483C095C" w14:textId="466088E9" w:rsidR="00453376" w:rsidRDefault="00453376" w:rsidP="00453376">
      <w:pPr>
        <w:spacing w:after="0" w:line="240" w:lineRule="auto"/>
        <w:jc w:val="both"/>
      </w:pPr>
      <w:r>
        <w:t>Variété </w:t>
      </w:r>
      <w:r w:rsidRPr="00453376">
        <w:rPr>
          <w:i/>
          <w:iCs/>
        </w:rPr>
        <w:t>Acacia seyal</w:t>
      </w:r>
      <w:r>
        <w:t xml:space="preserve"> var. </w:t>
      </w:r>
      <w:r w:rsidRPr="00453376">
        <w:rPr>
          <w:i/>
          <w:iCs/>
        </w:rPr>
        <w:t>fistula</w:t>
      </w:r>
      <w:r>
        <w:t xml:space="preserve"> et variété </w:t>
      </w:r>
      <w:r w:rsidRPr="00453376">
        <w:rPr>
          <w:i/>
          <w:iCs/>
        </w:rPr>
        <w:t>Acacia seyal</w:t>
      </w:r>
      <w:r>
        <w:t xml:space="preserve"> var. </w:t>
      </w:r>
      <w:r w:rsidRPr="00453376">
        <w:rPr>
          <w:i/>
          <w:iCs/>
        </w:rPr>
        <w:t>seyal</w:t>
      </w:r>
    </w:p>
    <w:p w14:paraId="62C94F97" w14:textId="650A868E" w:rsidR="00584E7F" w:rsidRDefault="00453376" w:rsidP="00453376">
      <w:pPr>
        <w:spacing w:after="0" w:line="240" w:lineRule="auto"/>
        <w:jc w:val="both"/>
      </w:pPr>
      <w:r>
        <w:t xml:space="preserve">Sources : a) </w:t>
      </w:r>
      <w:hyperlink r:id="rId697" w:history="1">
        <w:r w:rsidRPr="00B6599B">
          <w:rPr>
            <w:rStyle w:val="Lienhypertexte"/>
          </w:rPr>
          <w:t>http://fr.wikipedia.org/wiki/Acacia_seyal</w:t>
        </w:r>
      </w:hyperlink>
      <w:r>
        <w:t xml:space="preserve">, b) </w:t>
      </w:r>
      <w:hyperlink r:id="rId698" w:history="1">
        <w:r w:rsidRPr="00B6599B">
          <w:rPr>
            <w:rStyle w:val="Lienhypertexte"/>
          </w:rPr>
          <w:t>http://en.wikipedia.org/wiki/Vachellia_seyal</w:t>
        </w:r>
      </w:hyperlink>
      <w:r>
        <w:t xml:space="preserve"> </w:t>
      </w:r>
      <w:r w:rsidR="000E091C" w:rsidRPr="000E091C">
        <w:t xml:space="preserve">   </w:t>
      </w:r>
    </w:p>
    <w:p w14:paraId="769D958F" w14:textId="615F860C" w:rsidR="000E091C" w:rsidRDefault="000E091C" w:rsidP="000E091C">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09"/>
        <w:gridCol w:w="3401"/>
        <w:gridCol w:w="3416"/>
      </w:tblGrid>
      <w:tr w:rsidR="00DE2C3A" w14:paraId="465E2D42" w14:textId="77777777" w:rsidTr="00DE2C3A">
        <w:tc>
          <w:tcPr>
            <w:tcW w:w="3472" w:type="dxa"/>
          </w:tcPr>
          <w:p w14:paraId="2E65E229" w14:textId="75A7AB24" w:rsidR="00453376" w:rsidRDefault="00DE2C3A" w:rsidP="00453376">
            <w:pPr>
              <w:jc w:val="center"/>
            </w:pPr>
            <w:r w:rsidRPr="00DE2C3A">
              <w:rPr>
                <w:noProof/>
              </w:rPr>
              <w:lastRenderedPageBreak/>
              <w:drawing>
                <wp:inline distT="0" distB="0" distL="0" distR="0" wp14:anchorId="3C5D78F8" wp14:editId="6226B407">
                  <wp:extent cx="2133600" cy="1419814"/>
                  <wp:effectExtent l="0" t="0" r="0" b="9525"/>
                  <wp:docPr id="55306" name="Picture 6" descr="C:\Users\LISAN\Pictures\plantes-halophytes-xerophiles\Acacia seyal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06" name="Picture 6" descr="C:\Users\LISAN\Pictures\plantes-halophytes-xerophiles\Acacia seyal4.jpg"/>
                          <pic:cNvPicPr>
                            <a:picLocks noChangeAspect="1" noChangeArrowheads="1"/>
                          </pic:cNvPicPr>
                        </pic:nvPicPr>
                        <pic:blipFill>
                          <a:blip r:embed="rId699">
                            <a:extLst>
                              <a:ext uri="{28A0092B-C50C-407E-A947-70E740481C1C}">
                                <a14:useLocalDpi xmlns:a14="http://schemas.microsoft.com/office/drawing/2010/main" val="0"/>
                              </a:ext>
                            </a:extLst>
                          </a:blip>
                          <a:srcRect/>
                          <a:stretch>
                            <a:fillRect/>
                          </a:stretch>
                        </pic:blipFill>
                        <pic:spPr bwMode="auto">
                          <a:xfrm>
                            <a:off x="0" y="0"/>
                            <a:ext cx="2138505" cy="1423078"/>
                          </a:xfrm>
                          <a:prstGeom prst="rect">
                            <a:avLst/>
                          </a:prstGeom>
                          <a:noFill/>
                          <a:ln>
                            <a:noFill/>
                          </a:ln>
                        </pic:spPr>
                      </pic:pic>
                    </a:graphicData>
                  </a:graphic>
                </wp:inline>
              </w:drawing>
            </w:r>
          </w:p>
        </w:tc>
        <w:tc>
          <w:tcPr>
            <w:tcW w:w="3472" w:type="dxa"/>
          </w:tcPr>
          <w:p w14:paraId="15A20A80" w14:textId="145FDC7C" w:rsidR="00453376" w:rsidRDefault="00DE2C3A" w:rsidP="00453376">
            <w:pPr>
              <w:jc w:val="center"/>
            </w:pPr>
            <w:r w:rsidRPr="00DE2C3A">
              <w:rPr>
                <w:noProof/>
              </w:rPr>
              <w:drawing>
                <wp:inline distT="0" distB="0" distL="0" distR="0" wp14:anchorId="3C9A40D0" wp14:editId="2AEFE4BF">
                  <wp:extent cx="2028825" cy="1292383"/>
                  <wp:effectExtent l="0" t="0" r="0" b="3175"/>
                  <wp:docPr id="55304" name="Picture 4" descr="C:\Users\LISAN\Pictures\plantes-halophytes-xerophiles\Acacia seya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04" name="Picture 4" descr="C:\Users\LISAN\Pictures\plantes-halophytes-xerophiles\Acacia seyal2.jpg"/>
                          <pic:cNvPicPr>
                            <a:picLocks noChangeAspect="1" noChangeArrowheads="1"/>
                          </pic:cNvPicPr>
                        </pic:nvPicPr>
                        <pic:blipFill>
                          <a:blip r:embed="rId700">
                            <a:extLst>
                              <a:ext uri="{28A0092B-C50C-407E-A947-70E740481C1C}">
                                <a14:useLocalDpi xmlns:a14="http://schemas.microsoft.com/office/drawing/2010/main" val="0"/>
                              </a:ext>
                            </a:extLst>
                          </a:blip>
                          <a:srcRect/>
                          <a:stretch>
                            <a:fillRect/>
                          </a:stretch>
                        </pic:blipFill>
                        <pic:spPr bwMode="auto">
                          <a:xfrm>
                            <a:off x="0" y="0"/>
                            <a:ext cx="2035111" cy="1296387"/>
                          </a:xfrm>
                          <a:prstGeom prst="rect">
                            <a:avLst/>
                          </a:prstGeom>
                          <a:noFill/>
                          <a:ln>
                            <a:noFill/>
                          </a:ln>
                        </pic:spPr>
                      </pic:pic>
                    </a:graphicData>
                  </a:graphic>
                </wp:inline>
              </w:drawing>
            </w:r>
          </w:p>
        </w:tc>
        <w:tc>
          <w:tcPr>
            <w:tcW w:w="3472" w:type="dxa"/>
          </w:tcPr>
          <w:p w14:paraId="04798E8B" w14:textId="48A22E7C" w:rsidR="00453376" w:rsidRDefault="00DE2C3A" w:rsidP="00453376">
            <w:pPr>
              <w:jc w:val="center"/>
            </w:pPr>
            <w:r w:rsidRPr="00DE2C3A">
              <w:rPr>
                <w:noProof/>
              </w:rPr>
              <w:drawing>
                <wp:inline distT="0" distB="0" distL="0" distR="0" wp14:anchorId="10DE2C3B" wp14:editId="10022456">
                  <wp:extent cx="2034619" cy="1524000"/>
                  <wp:effectExtent l="0" t="0" r="3810" b="0"/>
                  <wp:docPr id="55305" name="Picture 5" descr="C:\Users\LISAN\Pictures\plantes-halophytes-xerophiles\Acacia seyal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05" name="Picture 5" descr="C:\Users\LISAN\Pictures\plantes-halophytes-xerophiles\Acacia seyal3.jpg"/>
                          <pic:cNvPicPr>
                            <a:picLocks noChangeAspect="1" noChangeArrowheads="1"/>
                          </pic:cNvPicPr>
                        </pic:nvPicPr>
                        <pic:blipFill>
                          <a:blip r:embed="rId701">
                            <a:extLst>
                              <a:ext uri="{28A0092B-C50C-407E-A947-70E740481C1C}">
                                <a14:useLocalDpi xmlns:a14="http://schemas.microsoft.com/office/drawing/2010/main" val="0"/>
                              </a:ext>
                            </a:extLst>
                          </a:blip>
                          <a:srcRect/>
                          <a:stretch>
                            <a:fillRect/>
                          </a:stretch>
                        </pic:blipFill>
                        <pic:spPr bwMode="auto">
                          <a:xfrm>
                            <a:off x="0" y="0"/>
                            <a:ext cx="2041849" cy="1529416"/>
                          </a:xfrm>
                          <a:prstGeom prst="rect">
                            <a:avLst/>
                          </a:prstGeom>
                          <a:noFill/>
                          <a:ln>
                            <a:noFill/>
                          </a:ln>
                        </pic:spPr>
                      </pic:pic>
                    </a:graphicData>
                  </a:graphic>
                </wp:inline>
              </w:drawing>
            </w:r>
          </w:p>
        </w:tc>
      </w:tr>
      <w:tr w:rsidR="00DE2C3A" w14:paraId="4D059542" w14:textId="77777777" w:rsidTr="00DE2C3A">
        <w:tc>
          <w:tcPr>
            <w:tcW w:w="3472" w:type="dxa"/>
          </w:tcPr>
          <w:p w14:paraId="25FB10C0" w14:textId="12999FEE" w:rsidR="00453376" w:rsidRDefault="00DE2C3A" w:rsidP="00453376">
            <w:pPr>
              <w:jc w:val="center"/>
            </w:pPr>
            <w:r w:rsidRPr="00DE2C3A">
              <w:rPr>
                <w:noProof/>
              </w:rPr>
              <w:drawing>
                <wp:inline distT="0" distB="0" distL="0" distR="0" wp14:anchorId="2A991FBD" wp14:editId="407C932A">
                  <wp:extent cx="2162175" cy="1044127"/>
                  <wp:effectExtent l="0" t="0" r="0" b="3810"/>
                  <wp:docPr id="55307" name="Picture 7" descr="C:\Users\LISAN\Pictures\plantes-halophytes-xerophiles\Acacia seyal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07" name="Picture 7" descr="C:\Users\LISAN\Pictures\plantes-halophytes-xerophiles\Acacia seyal5.jpg"/>
                          <pic:cNvPicPr>
                            <a:picLocks noChangeAspect="1" noChangeArrowheads="1"/>
                          </pic:cNvPicPr>
                        </pic:nvPicPr>
                        <pic:blipFill>
                          <a:blip r:embed="rId702">
                            <a:extLst>
                              <a:ext uri="{28A0092B-C50C-407E-A947-70E740481C1C}">
                                <a14:useLocalDpi xmlns:a14="http://schemas.microsoft.com/office/drawing/2010/main" val="0"/>
                              </a:ext>
                            </a:extLst>
                          </a:blip>
                          <a:srcRect/>
                          <a:stretch>
                            <a:fillRect/>
                          </a:stretch>
                        </pic:blipFill>
                        <pic:spPr bwMode="auto">
                          <a:xfrm>
                            <a:off x="0" y="0"/>
                            <a:ext cx="2163337" cy="1044688"/>
                          </a:xfrm>
                          <a:prstGeom prst="rect">
                            <a:avLst/>
                          </a:prstGeom>
                          <a:noFill/>
                          <a:ln>
                            <a:noFill/>
                          </a:ln>
                        </pic:spPr>
                      </pic:pic>
                    </a:graphicData>
                  </a:graphic>
                </wp:inline>
              </w:drawing>
            </w:r>
          </w:p>
        </w:tc>
        <w:tc>
          <w:tcPr>
            <w:tcW w:w="3472" w:type="dxa"/>
          </w:tcPr>
          <w:p w14:paraId="2BBE4C13" w14:textId="77777777" w:rsidR="00453376" w:rsidRDefault="00453376" w:rsidP="00453376">
            <w:pPr>
              <w:jc w:val="center"/>
            </w:pPr>
          </w:p>
        </w:tc>
        <w:tc>
          <w:tcPr>
            <w:tcW w:w="3472" w:type="dxa"/>
          </w:tcPr>
          <w:p w14:paraId="3E7942D4" w14:textId="6C0EA7EA" w:rsidR="00453376" w:rsidRDefault="00DE2C3A" w:rsidP="00453376">
            <w:pPr>
              <w:jc w:val="center"/>
            </w:pPr>
            <w:r w:rsidRPr="00DE2C3A">
              <w:rPr>
                <w:noProof/>
              </w:rPr>
              <w:drawing>
                <wp:inline distT="0" distB="0" distL="0" distR="0" wp14:anchorId="094CA4B0" wp14:editId="5C569DF9">
                  <wp:extent cx="1905000" cy="1428750"/>
                  <wp:effectExtent l="0" t="0" r="0" b="0"/>
                  <wp:docPr id="55303" name="Picture 3" descr="C:\Users\LISAN\Pictures\plantes-halophytes-xerophiles\Acacia sey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03" name="Picture 3" descr="C:\Users\LISAN\Pictures\plantes-halophytes-xerophiles\Acacia seyal.jpg"/>
                          <pic:cNvPicPr>
                            <a:picLocks noChangeAspect="1" noChangeArrowheads="1"/>
                          </pic:cNvPicPr>
                        </pic:nvPicPr>
                        <pic:blipFill>
                          <a:blip r:embed="rId703">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28A65B51" w14:textId="08534ADE" w:rsidR="00453376" w:rsidRDefault="00453376" w:rsidP="00453376">
      <w:pPr>
        <w:spacing w:after="0" w:line="240" w:lineRule="auto"/>
        <w:jc w:val="center"/>
      </w:pPr>
    </w:p>
    <w:p w14:paraId="07659C32" w14:textId="19A541A4" w:rsidR="003904B5" w:rsidRPr="003904B5" w:rsidRDefault="003904B5" w:rsidP="00B243F9">
      <w:pPr>
        <w:pStyle w:val="Titre2"/>
        <w:rPr>
          <w:lang w:val="es-AR"/>
        </w:rPr>
      </w:pPr>
      <w:bookmarkStart w:id="77" w:name="_Toc139181368"/>
      <w:r w:rsidRPr="00B243F9">
        <w:rPr>
          <w:i/>
          <w:iCs/>
          <w:lang w:val="es-AR"/>
        </w:rPr>
        <w:t>Faidherbia albida</w:t>
      </w:r>
      <w:r w:rsidRPr="003904B5">
        <w:rPr>
          <w:lang w:val="es-AR"/>
        </w:rPr>
        <w:t> (</w:t>
      </w:r>
      <w:r w:rsidRPr="00DF263C">
        <w:rPr>
          <w:lang w:val="es-AR"/>
        </w:rPr>
        <w:t>Synonyme</w:t>
      </w:r>
      <w:r w:rsidRPr="003904B5">
        <w:rPr>
          <w:lang w:val="es-AR"/>
        </w:rPr>
        <w:t> </w:t>
      </w:r>
      <w:r w:rsidRPr="00B243F9">
        <w:rPr>
          <w:i/>
          <w:iCs/>
          <w:lang w:val="es-AR"/>
        </w:rPr>
        <w:t>Acacia albida</w:t>
      </w:r>
      <w:r w:rsidRPr="003904B5">
        <w:rPr>
          <w:lang w:val="es-AR"/>
        </w:rPr>
        <w:t>)</w:t>
      </w:r>
      <w:bookmarkEnd w:id="77"/>
    </w:p>
    <w:p w14:paraId="6025E86E" w14:textId="0BAD7A9C" w:rsidR="003904B5" w:rsidRDefault="003904B5" w:rsidP="003904B5">
      <w:pPr>
        <w:spacing w:after="0" w:line="240" w:lineRule="auto"/>
        <w:jc w:val="both"/>
        <w:rPr>
          <w:lang w:val="es-AR"/>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5"/>
        <w:gridCol w:w="2212"/>
        <w:gridCol w:w="1645"/>
        <w:gridCol w:w="415"/>
        <w:gridCol w:w="1379"/>
      </w:tblGrid>
      <w:tr w:rsidR="003904B5" w:rsidRPr="000B6BE3" w14:paraId="5AF5D1CE" w14:textId="77777777" w:rsidTr="00644A82">
        <w:tc>
          <w:tcPr>
            <w:tcW w:w="4775" w:type="dxa"/>
          </w:tcPr>
          <w:p w14:paraId="17C2A217" w14:textId="7918F96E" w:rsidR="003904B5" w:rsidRPr="00DE2C3A" w:rsidRDefault="003904B5" w:rsidP="00644A82">
            <w:pPr>
              <w:jc w:val="both"/>
              <w:rPr>
                <w:rFonts w:ascii="Calibri" w:hAnsi="Calibri" w:cs="Calibri"/>
                <w:bCs/>
              </w:rPr>
            </w:pPr>
            <w:r>
              <w:rPr>
                <w:rFonts w:ascii="Calibri" w:hAnsi="Calibri" w:cs="Calibri"/>
                <w:bCs/>
              </w:rPr>
              <w:t>(</w:t>
            </w:r>
            <w:r w:rsidRPr="00DE2C3A">
              <w:rPr>
                <w:rFonts w:ascii="Calibri" w:hAnsi="Calibri" w:cs="Calibri"/>
                <w:bCs/>
              </w:rPr>
              <w:t>Famille des</w:t>
            </w:r>
            <w:r>
              <w:rPr>
                <w:rFonts w:ascii="Calibri" w:hAnsi="Calibri" w:cs="Calibri"/>
                <w:bCs/>
              </w:rPr>
              <w:t xml:space="preserve"> </w:t>
            </w:r>
            <w:r w:rsidRPr="008F191E">
              <w:rPr>
                <w:rFonts w:ascii="Calibri" w:hAnsi="Calibri" w:cs="Calibri"/>
                <w:color w:val="202122"/>
                <w:shd w:val="clear" w:color="auto" w:fill="FFFFFF"/>
              </w:rPr>
              <w:t>Fabacées</w:t>
            </w:r>
            <w:r>
              <w:rPr>
                <w:rFonts w:ascii="Calibri" w:hAnsi="Calibri" w:cs="Calibri"/>
                <w:color w:val="202122"/>
                <w:shd w:val="clear" w:color="auto" w:fill="FFFFFF"/>
              </w:rPr>
              <w:t xml:space="preserve"> /</w:t>
            </w:r>
            <w:r w:rsidRPr="00DE2C3A">
              <w:rPr>
                <w:rFonts w:ascii="Calibri" w:hAnsi="Calibri" w:cs="Calibri"/>
                <w:bCs/>
              </w:rPr>
              <w:t> </w:t>
            </w:r>
            <w:hyperlink r:id="rId704" w:history="1">
              <w:r w:rsidRPr="00DE2C3A">
                <w:rPr>
                  <w:rStyle w:val="Lienhypertexte"/>
                  <w:rFonts w:ascii="Calibri" w:hAnsi="Calibri" w:cs="Calibri"/>
                  <w:bCs/>
                  <w:i/>
                  <w:iCs/>
                </w:rPr>
                <w:t>Fabaceae</w:t>
              </w:r>
            </w:hyperlink>
            <w:r>
              <w:rPr>
                <w:rFonts w:ascii="Calibri" w:hAnsi="Calibri" w:cs="Calibri"/>
                <w:bCs/>
              </w:rPr>
              <w:t>)</w:t>
            </w:r>
            <w:r w:rsidRPr="00DE2C3A">
              <w:rPr>
                <w:rFonts w:ascii="Calibri" w:hAnsi="Calibri" w:cs="Calibri"/>
                <w:bCs/>
              </w:rPr>
              <w:t>.</w:t>
            </w:r>
          </w:p>
          <w:p w14:paraId="20D107B3" w14:textId="77777777" w:rsidR="003904B5" w:rsidRPr="008F191E" w:rsidRDefault="003904B5" w:rsidP="00644A82">
            <w:pPr>
              <w:rPr>
                <w:rFonts w:ascii="Calibri" w:hAnsi="Calibri" w:cs="Calibri"/>
                <w:bCs/>
              </w:rPr>
            </w:pPr>
          </w:p>
          <w:p w14:paraId="0E21327A" w14:textId="77777777" w:rsidR="003904B5" w:rsidRPr="000B6BE3" w:rsidRDefault="003904B5" w:rsidP="00644A82">
            <w:pPr>
              <w:rPr>
                <w:rFonts w:cstheme="minorHAnsi"/>
              </w:rPr>
            </w:pPr>
          </w:p>
        </w:tc>
        <w:tc>
          <w:tcPr>
            <w:tcW w:w="2212" w:type="dxa"/>
          </w:tcPr>
          <w:p w14:paraId="2A9A1AA2" w14:textId="77777777" w:rsidR="003904B5" w:rsidRPr="000B6BE3" w:rsidRDefault="003904B5" w:rsidP="00644A82">
            <w:pPr>
              <w:rPr>
                <w:rFonts w:cstheme="minorHAnsi"/>
              </w:rPr>
            </w:pPr>
            <w:r w:rsidRPr="000B6BE3">
              <w:rPr>
                <w:rFonts w:cstheme="minorHAnsi"/>
                <w:noProof/>
              </w:rPr>
              <w:t xml:space="preserve">  </w:t>
            </w:r>
            <w:r>
              <w:rPr>
                <w:rFonts w:cstheme="minorHAnsi"/>
                <w:noProof/>
              </w:rPr>
              <w:t xml:space="preserve">    </w:t>
            </w:r>
            <w:r w:rsidRPr="008F2681">
              <w:rPr>
                <w:rFonts w:cstheme="minorHAnsi"/>
                <w:noProof/>
              </w:rPr>
              <w:drawing>
                <wp:inline distT="0" distB="0" distL="0" distR="0" wp14:anchorId="237EA228" wp14:editId="4C1F9599">
                  <wp:extent cx="463550" cy="661988"/>
                  <wp:effectExtent l="0" t="0" r="0" b="5080"/>
                  <wp:docPr id="132126"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r w:rsidRPr="005C50C9">
              <w:rPr>
                <w:rFonts w:cstheme="minorHAnsi"/>
                <w:noProof/>
              </w:rPr>
              <w:drawing>
                <wp:inline distT="0" distB="0" distL="0" distR="0" wp14:anchorId="72BAE9D8" wp14:editId="07A9E674">
                  <wp:extent cx="495300" cy="666750"/>
                  <wp:effectExtent l="0" t="0" r="0" b="0"/>
                  <wp:docPr id="132127" name="Image 15"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8" name="Image 15" descr="logo aride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w:t>
            </w:r>
          </w:p>
        </w:tc>
        <w:tc>
          <w:tcPr>
            <w:tcW w:w="1645" w:type="dxa"/>
          </w:tcPr>
          <w:p w14:paraId="74FC880C" w14:textId="1F5FB87E" w:rsidR="003904B5" w:rsidRPr="002E01BB" w:rsidRDefault="003904B5" w:rsidP="00644A82">
            <w:pPr>
              <w:rPr>
                <w:rFonts w:eastAsia="+mn-ea" w:cstheme="minorHAnsi"/>
                <w:b/>
                <w:bCs/>
                <w:color w:val="008000"/>
                <w:kern w:val="24"/>
                <w:sz w:val="56"/>
                <w:szCs w:val="56"/>
              </w:rPr>
            </w:pPr>
            <w:r w:rsidRPr="00D1445E">
              <w:rPr>
                <w:rFonts w:eastAsia="+mn-ea" w:cstheme="minorHAnsi"/>
                <w:b/>
                <w:bCs/>
                <w:color w:val="008000"/>
                <w:kern w:val="24"/>
                <w:sz w:val="56"/>
                <w:szCs w:val="56"/>
              </w:rPr>
              <w:t>U</w:t>
            </w:r>
          </w:p>
          <w:p w14:paraId="16FC3457" w14:textId="77777777" w:rsidR="003904B5" w:rsidRPr="000B6BE3" w:rsidRDefault="003904B5" w:rsidP="00644A82">
            <w:pPr>
              <w:textAlignment w:val="baseline"/>
              <w:rPr>
                <w:rFonts w:cstheme="minorHAnsi"/>
              </w:rPr>
            </w:pPr>
          </w:p>
        </w:tc>
        <w:tc>
          <w:tcPr>
            <w:tcW w:w="415" w:type="dxa"/>
          </w:tcPr>
          <w:p w14:paraId="6470AA5F" w14:textId="77777777" w:rsidR="003904B5" w:rsidRPr="000B6BE3" w:rsidRDefault="003904B5" w:rsidP="00644A82">
            <w:pPr>
              <w:rPr>
                <w:rFonts w:cstheme="minorHAnsi"/>
              </w:rPr>
            </w:pPr>
          </w:p>
        </w:tc>
        <w:tc>
          <w:tcPr>
            <w:tcW w:w="1379" w:type="dxa"/>
          </w:tcPr>
          <w:p w14:paraId="5144E443" w14:textId="42A626A1" w:rsidR="003904B5" w:rsidRPr="000B6BE3" w:rsidRDefault="00205021" w:rsidP="00644A82">
            <w:pPr>
              <w:rPr>
                <w:rFonts w:cstheme="minorHAnsi"/>
              </w:rPr>
            </w:pPr>
            <w:r w:rsidRPr="00853ED0">
              <w:rPr>
                <w:noProof/>
              </w:rPr>
              <w:drawing>
                <wp:inline distT="0" distB="0" distL="0" distR="0" wp14:anchorId="7B24D835" wp14:editId="4F8774C5">
                  <wp:extent cx="400050" cy="352425"/>
                  <wp:effectExtent l="0" t="0" r="0" b="9525"/>
                  <wp:docPr id="104472" name="Image 21">
                    <a:extLst xmlns:a="http://schemas.openxmlformats.org/drawingml/2006/main">
                      <a:ext uri="{FF2B5EF4-FFF2-40B4-BE49-F238E27FC236}">
                        <a16:creationId xmlns:a16="http://schemas.microsoft.com/office/drawing/2014/main" id="{F52353B3-AA67-41AB-ACE3-C9465695F4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3" name="Image 21">
                            <a:extLst>
                              <a:ext uri="{FF2B5EF4-FFF2-40B4-BE49-F238E27FC236}">
                                <a16:creationId xmlns:a16="http://schemas.microsoft.com/office/drawing/2014/main" id="{F52353B3-AA67-41AB-ACE3-C9465695F4BE}"/>
                              </a:ext>
                            </a:extLst>
                          </pic:cNvPr>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11CB94AE" w14:textId="77777777" w:rsidR="00DF263C" w:rsidRDefault="00DF263C" w:rsidP="003904B5">
      <w:pPr>
        <w:spacing w:after="0" w:line="240" w:lineRule="auto"/>
        <w:jc w:val="both"/>
      </w:pPr>
    </w:p>
    <w:p w14:paraId="29529BA1" w14:textId="52D35E0A" w:rsidR="003904B5" w:rsidRDefault="003904B5" w:rsidP="003904B5">
      <w:pPr>
        <w:spacing w:after="0" w:line="240" w:lineRule="auto"/>
        <w:jc w:val="both"/>
      </w:pPr>
      <w:r>
        <w:t>Arbre </w:t>
      </w:r>
      <w:r w:rsidRPr="00205021">
        <w:rPr>
          <w:i/>
          <w:iCs/>
        </w:rPr>
        <w:t>épineux</w:t>
      </w:r>
      <w:r>
        <w:t xml:space="preserve"> mesurant jusqu'à 30 m de hauteur et 2 m de diamètre, originaire d'Afrique et du Moyen-Orient. </w:t>
      </w:r>
    </w:p>
    <w:p w14:paraId="612936E5" w14:textId="77777777" w:rsidR="003904B5" w:rsidRDefault="003904B5" w:rsidP="003904B5">
      <w:pPr>
        <w:spacing w:after="0" w:line="240" w:lineRule="auto"/>
        <w:jc w:val="both"/>
      </w:pPr>
      <w:r>
        <w:t>Sa racine pivotante pénétrant profondément le sol (jusqu'à 15 m de profondeur2) le rend très résistant à la sécheresse.</w:t>
      </w:r>
    </w:p>
    <w:p w14:paraId="052BCD01" w14:textId="1DA2FBAE" w:rsidR="003904B5" w:rsidRDefault="003904B5" w:rsidP="003904B5">
      <w:pPr>
        <w:spacing w:after="0" w:line="240" w:lineRule="auto"/>
        <w:jc w:val="both"/>
      </w:pPr>
      <w:r>
        <w:t>Il pousse dans des zones recevant 250-600 mm de précipitations annuelles. Le </w:t>
      </w:r>
      <w:r w:rsidRPr="003904B5">
        <w:rPr>
          <w:i/>
          <w:iCs/>
        </w:rPr>
        <w:t>Faidherbia albida</w:t>
      </w:r>
      <w:r>
        <w:t> a une stratégie de vie inversée par rapport à la plupart des arbres de zones arides. Il est le seul arbre de la zone semi-aride sahélienne à perdre ses feuilles à la saison des pluies et à reverdir en fin de saison des pluies, en prolongeant sa période de feuillaison en saison sèche (« </w:t>
      </w:r>
      <w:r w:rsidRPr="003904B5">
        <w:rPr>
          <w:i/>
          <w:iCs/>
        </w:rPr>
        <w:t>phénologie inversée</w:t>
      </w:r>
      <w:r>
        <w:t> »). Perdant ses feuilles en début de la nouvelle saison des pluies, elles se décomposent mieux.</w:t>
      </w:r>
    </w:p>
    <w:p w14:paraId="7C6462B8" w14:textId="3F8DE6E9" w:rsidR="003904B5" w:rsidRDefault="003904B5" w:rsidP="003904B5">
      <w:pPr>
        <w:spacing w:after="0" w:line="240" w:lineRule="auto"/>
        <w:jc w:val="both"/>
      </w:pPr>
      <w:r>
        <w:t>C'est une espèce intéressante pour l'agroforesterie car elle offre un ombrage et un fourrage apprécié du bétail. L'arbre s'alimente dans les nappes phréatiques profondes et ne concurrence pas les cultures, de plus sa litière améliore les sols. En pleine saison sèche les stomates se ferment et les feuilles réduisent de moitié leur « pertes » d'eau, avec alors une moindre capacité photosynthétique, probablement liée à un manque d'azote disponible et mobilisable par l'arbre. Ils sont capables, en saison des pluies, de changer de stratégie et de prélever alors leur eau près de la surface.  Ils évapo-transpirent beaucoup d'eau, surtout en début de la saison sèche (+/- 400 litres/jour pour un arbre dont le tronc mesure 65 cm de diamètre, cependant, comme il y a peu de ces arbres par hectare, leur rôle de transfert d'eau de la nappe vers l'atmosphère reste limité, bien qu'atteignant environ 5 % des pluies. </w:t>
      </w:r>
    </w:p>
    <w:p w14:paraId="322C385D" w14:textId="786FB568" w:rsidR="003904B5" w:rsidRDefault="003904B5" w:rsidP="003904B5">
      <w:pPr>
        <w:spacing w:after="0" w:line="240" w:lineRule="auto"/>
        <w:jc w:val="both"/>
      </w:pPr>
      <w:r>
        <w:t>Ses fleurs fournissent du pollen aux abeilles à la fin de la saison des pluies, quand la plupart des autres plantes locales n'en ont pas. Les gousses sont très importantes pour l'alimentation du bétail (bovins, dromadaires, etc.). Ses fruits et ses feuilles sont utilisés dans la pharmacopée traditionnelle. L'arbre fournit également du bois et le tannin de son écorce.</w:t>
      </w:r>
    </w:p>
    <w:p w14:paraId="708F557B" w14:textId="3FF7E7AD" w:rsidR="00DF263C" w:rsidRDefault="00DF263C" w:rsidP="003904B5">
      <w:pPr>
        <w:spacing w:after="0" w:line="240" w:lineRule="auto"/>
        <w:jc w:val="both"/>
      </w:pPr>
      <w:r w:rsidRPr="00DF263C">
        <w:t>L'acacia Faidherbia Albida est considéré par les populations soudano-sahéliennes comme l'« arbre miracle » du fait</w:t>
      </w:r>
      <w:r>
        <w:t xml:space="preserve"> </w:t>
      </w:r>
      <w:r w:rsidRPr="00DF263C">
        <w:t>de ses nombreuses fonctions et de sa capacité à pousser dans des sols sablonneux semi-arides.</w:t>
      </w:r>
    </w:p>
    <w:p w14:paraId="6BD606EF" w14:textId="6458A0A9" w:rsidR="00DF263C" w:rsidRDefault="00DF263C" w:rsidP="003904B5">
      <w:pPr>
        <w:spacing w:after="0" w:line="240" w:lineRule="auto"/>
        <w:jc w:val="both"/>
      </w:pPr>
      <w:r w:rsidRPr="00DF263C">
        <w:t>Il tolère l’inondation et la salinité saisonnière mais ne peut pas supporter les sols argileux lourds (selon l’ICRAF).</w:t>
      </w:r>
    </w:p>
    <w:p w14:paraId="657B03A7" w14:textId="183FBA0F" w:rsidR="003904B5" w:rsidRDefault="003904B5" w:rsidP="003904B5">
      <w:pPr>
        <w:spacing w:after="0" w:line="240" w:lineRule="auto"/>
        <w:jc w:val="both"/>
      </w:pPr>
      <w:r>
        <w:t xml:space="preserve">Sources : a) </w:t>
      </w:r>
      <w:hyperlink r:id="rId705" w:history="1">
        <w:r w:rsidRPr="00B6599B">
          <w:rPr>
            <w:rStyle w:val="Lienhypertexte"/>
          </w:rPr>
          <w:t>http://fr.wikipedia.org/wiki/Faidherbia_albida</w:t>
        </w:r>
      </w:hyperlink>
      <w:r>
        <w:t xml:space="preserve">, b) </w:t>
      </w:r>
      <w:hyperlink r:id="rId706" w:history="1">
        <w:r w:rsidRPr="00B6599B">
          <w:rPr>
            <w:rStyle w:val="Lienhypertexte"/>
          </w:rPr>
          <w:t>http://en.wikipedia.org/wiki/Faidherbia_albida</w:t>
        </w:r>
      </w:hyperlink>
      <w:r>
        <w:t xml:space="preserve">,  </w:t>
      </w:r>
    </w:p>
    <w:p w14:paraId="22B88092" w14:textId="07AD7E35" w:rsidR="003904B5" w:rsidRDefault="003904B5" w:rsidP="003904B5">
      <w:pPr>
        <w:spacing w:after="0" w:line="240" w:lineRule="auto"/>
        <w:jc w:val="both"/>
      </w:pPr>
      <w:r>
        <w:t xml:space="preserve">c) </w:t>
      </w:r>
      <w:hyperlink r:id="rId707" w:history="1">
        <w:r w:rsidRPr="00B6599B">
          <w:rPr>
            <w:rStyle w:val="Lienhypertexte"/>
          </w:rPr>
          <w:t>http://database.prota.org/PROTAhtml/Faidherbia%20albida_En.htm</w:t>
        </w:r>
      </w:hyperlink>
      <w:r>
        <w:t xml:space="preserve">,  </w:t>
      </w:r>
    </w:p>
    <w:p w14:paraId="7E6BD57A" w14:textId="4EBDA012" w:rsidR="00E920F5" w:rsidRDefault="003904B5" w:rsidP="003904B5">
      <w:pPr>
        <w:spacing w:after="0" w:line="240" w:lineRule="auto"/>
        <w:jc w:val="both"/>
      </w:pPr>
      <w:r>
        <w:lastRenderedPageBreak/>
        <w:t xml:space="preserve">d) </w:t>
      </w:r>
      <w:hyperlink r:id="rId708" w:history="1">
        <w:r w:rsidRPr="00B6599B">
          <w:rPr>
            <w:rStyle w:val="Lienhypertexte"/>
          </w:rPr>
          <w:t>http://www.fao.org/docrep/006/s4009f/S4009F22.htm</w:t>
        </w:r>
      </w:hyperlink>
    </w:p>
    <w:p w14:paraId="1BBB607E" w14:textId="627CC6EA" w:rsidR="00DF263C" w:rsidRDefault="00DF263C" w:rsidP="00DF263C">
      <w:pPr>
        <w:spacing w:after="0" w:line="240" w:lineRule="auto"/>
      </w:pPr>
      <w:r>
        <w:t xml:space="preserve">e) </w:t>
      </w:r>
      <w:r w:rsidRPr="00DF263C">
        <w:rPr>
          <w:i/>
          <w:iCs/>
        </w:rPr>
        <w:t>Les moissons du futur</w:t>
      </w:r>
      <w:r>
        <w:t xml:space="preserve">, Marie-Monique Robin, ARTE, </w:t>
      </w:r>
      <w:hyperlink r:id="rId709" w:history="1">
        <w:r w:rsidRPr="0007183A">
          <w:rPr>
            <w:rStyle w:val="Lienhypertexte"/>
          </w:rPr>
          <w:t>http://www.arte.tv/fr/faidherbia-l-arbre-miracle/6984730,CmC=6984954.html</w:t>
        </w:r>
      </w:hyperlink>
      <w:r>
        <w:t xml:space="preserve">  </w:t>
      </w:r>
    </w:p>
    <w:p w14:paraId="7E7171CD" w14:textId="6ED96ADF" w:rsidR="00DF263C" w:rsidRPr="00DF263C" w:rsidRDefault="00DF263C" w:rsidP="00DF263C">
      <w:pPr>
        <w:spacing w:after="0" w:line="240" w:lineRule="auto"/>
        <w:rPr>
          <w:lang w:val="en-GB"/>
        </w:rPr>
      </w:pPr>
      <w:r>
        <w:rPr>
          <w:lang w:val="en-GB"/>
        </w:rPr>
        <w:t>f</w:t>
      </w:r>
      <w:r w:rsidRPr="00DF263C">
        <w:rPr>
          <w:lang w:val="en-GB"/>
        </w:rPr>
        <w:t xml:space="preserve">)  </w:t>
      </w:r>
      <w:hyperlink r:id="rId710" w:history="1">
        <w:r w:rsidRPr="0007183A">
          <w:rPr>
            <w:rStyle w:val="Lienhypertexte"/>
            <w:lang w:val="en-GB"/>
          </w:rPr>
          <w:t>http://benjamin.lisan.free.fr/projetsreforestation/Fiche-presentation-Faidherbia-albida.pdf</w:t>
        </w:r>
      </w:hyperlink>
      <w:r w:rsidRPr="00DF263C">
        <w:rPr>
          <w:lang w:val="en-GB"/>
        </w:rPr>
        <w:t>,</w:t>
      </w:r>
      <w:r>
        <w:rPr>
          <w:lang w:val="en-GB"/>
        </w:rPr>
        <w:t xml:space="preserve"> </w:t>
      </w:r>
    </w:p>
    <w:p w14:paraId="14D93D0A" w14:textId="3609E5E8" w:rsidR="003904B5" w:rsidRPr="00DF263C" w:rsidRDefault="00DF263C" w:rsidP="00DF263C">
      <w:pPr>
        <w:spacing w:after="0" w:line="240" w:lineRule="auto"/>
        <w:rPr>
          <w:lang w:val="en-GB"/>
        </w:rPr>
      </w:pPr>
      <w:r>
        <w:rPr>
          <w:lang w:val="en-GB"/>
        </w:rPr>
        <w:t>g</w:t>
      </w:r>
      <w:r w:rsidRPr="00DF263C">
        <w:rPr>
          <w:lang w:val="en-GB"/>
        </w:rPr>
        <w:t xml:space="preserve">) </w:t>
      </w:r>
      <w:r w:rsidRPr="00DF263C">
        <w:rPr>
          <w:i/>
          <w:iCs/>
          <w:lang w:val="en-GB"/>
        </w:rPr>
        <w:t>Faidherbia albida</w:t>
      </w:r>
      <w:r w:rsidRPr="00DF263C">
        <w:rPr>
          <w:lang w:val="en-GB"/>
        </w:rPr>
        <w:t>, World Agroforestry Centre (ICRAF)</w:t>
      </w:r>
      <w:r>
        <w:rPr>
          <w:lang w:val="en-GB"/>
        </w:rPr>
        <w:t xml:space="preserve">, </w:t>
      </w:r>
      <w:hyperlink r:id="rId711" w:history="1">
        <w:r w:rsidRPr="0007183A">
          <w:rPr>
            <w:rStyle w:val="Lienhypertexte"/>
            <w:lang w:val="en-GB"/>
          </w:rPr>
          <w:t>http://www.worldagroforestry.org/sea/products/afdbases/af/asp/SpeciesInfo.asp?SpID=1</w:t>
        </w:r>
      </w:hyperlink>
      <w:r>
        <w:rPr>
          <w:lang w:val="en-GB"/>
        </w:rPr>
        <w:t xml:space="preserve"> </w:t>
      </w:r>
    </w:p>
    <w:p w14:paraId="192EB85C" w14:textId="09FA264C" w:rsidR="003904B5" w:rsidRDefault="003904B5" w:rsidP="00DF263C">
      <w:pPr>
        <w:spacing w:after="0" w:line="240" w:lineRule="auto"/>
        <w:jc w:val="center"/>
        <w:rPr>
          <w:lang w:val="en-G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98"/>
        <w:gridCol w:w="860"/>
        <w:gridCol w:w="4458"/>
      </w:tblGrid>
      <w:tr w:rsidR="00DF263C" w:rsidRPr="00DF263C" w14:paraId="1C3CD4AD" w14:textId="77777777" w:rsidTr="00DF263C">
        <w:tc>
          <w:tcPr>
            <w:tcW w:w="5958" w:type="dxa"/>
            <w:gridSpan w:val="2"/>
          </w:tcPr>
          <w:p w14:paraId="59E8F795" w14:textId="596EF70E" w:rsidR="00DF263C" w:rsidRDefault="00DF263C" w:rsidP="00DF263C">
            <w:pPr>
              <w:jc w:val="center"/>
              <w:rPr>
                <w:lang w:val="en-GB"/>
              </w:rPr>
            </w:pPr>
            <w:r w:rsidRPr="00DF263C">
              <w:rPr>
                <w:noProof/>
              </w:rPr>
              <w:drawing>
                <wp:inline distT="0" distB="0" distL="0" distR="0" wp14:anchorId="3FE7A495" wp14:editId="0EAFAB5A">
                  <wp:extent cx="3379470" cy="1688999"/>
                  <wp:effectExtent l="0" t="0" r="0" b="6985"/>
                  <wp:docPr id="56326" name="Image 5" descr="acacia-albida-racin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26" name="Image 5" descr="acacia-albida-racine_s.jpg"/>
                          <pic:cNvPicPr>
                            <a:picLocks noChangeAspect="1"/>
                          </pic:cNvPicPr>
                        </pic:nvPicPr>
                        <pic:blipFill>
                          <a:blip r:embed="rId712">
                            <a:extLst>
                              <a:ext uri="{28A0092B-C50C-407E-A947-70E740481C1C}">
                                <a14:useLocalDpi xmlns:a14="http://schemas.microsoft.com/office/drawing/2010/main" val="0"/>
                              </a:ext>
                            </a:extLst>
                          </a:blip>
                          <a:srcRect/>
                          <a:stretch>
                            <a:fillRect/>
                          </a:stretch>
                        </pic:blipFill>
                        <pic:spPr bwMode="auto">
                          <a:xfrm>
                            <a:off x="0" y="0"/>
                            <a:ext cx="3386077" cy="1692301"/>
                          </a:xfrm>
                          <a:prstGeom prst="rect">
                            <a:avLst/>
                          </a:prstGeom>
                          <a:noFill/>
                          <a:ln>
                            <a:noFill/>
                          </a:ln>
                        </pic:spPr>
                      </pic:pic>
                    </a:graphicData>
                  </a:graphic>
                </wp:inline>
              </w:drawing>
            </w:r>
          </w:p>
          <w:p w14:paraId="0F469B1D" w14:textId="77777777" w:rsidR="00DF263C" w:rsidRDefault="00DF263C" w:rsidP="00DF263C">
            <w:pPr>
              <w:jc w:val="center"/>
              <w:rPr>
                <w:i/>
                <w:iCs/>
              </w:rPr>
            </w:pPr>
            <w:r w:rsidRPr="00DF263C">
              <w:t>Système de racines d’</w:t>
            </w:r>
            <w:r w:rsidRPr="00DF263C">
              <w:rPr>
                <w:i/>
                <w:iCs/>
              </w:rPr>
              <w:t>Acacia albida</w:t>
            </w:r>
          </w:p>
          <w:p w14:paraId="633F3811" w14:textId="6E27FDF5" w:rsidR="00B243F9" w:rsidRPr="00DF263C" w:rsidRDefault="00B243F9" w:rsidP="00DF263C">
            <w:pPr>
              <w:jc w:val="center"/>
            </w:pPr>
          </w:p>
        </w:tc>
        <w:tc>
          <w:tcPr>
            <w:tcW w:w="4458" w:type="dxa"/>
          </w:tcPr>
          <w:p w14:paraId="4CB74962" w14:textId="77777777" w:rsidR="00DF263C" w:rsidRDefault="00DF263C" w:rsidP="00DF263C">
            <w:pPr>
              <w:jc w:val="center"/>
              <w:rPr>
                <w:lang w:val="en-GB"/>
              </w:rPr>
            </w:pPr>
            <w:r w:rsidRPr="00DF263C">
              <w:rPr>
                <w:noProof/>
              </w:rPr>
              <w:drawing>
                <wp:inline distT="0" distB="0" distL="0" distR="0" wp14:anchorId="57BD052B" wp14:editId="097C2F0C">
                  <wp:extent cx="1774825" cy="1331912"/>
                  <wp:effectExtent l="0" t="0" r="0" b="1905"/>
                  <wp:docPr id="56329" name="Image 9" descr="Faidherbia_albi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29" name="Image 9" descr="Faidherbia_albida.JPG"/>
                          <pic:cNvPicPr>
                            <a:picLocks noChangeAspect="1"/>
                          </pic:cNvPicPr>
                        </pic:nvPicPr>
                        <pic:blipFill>
                          <a:blip r:embed="rId713">
                            <a:extLst>
                              <a:ext uri="{28A0092B-C50C-407E-A947-70E740481C1C}">
                                <a14:useLocalDpi xmlns:a14="http://schemas.microsoft.com/office/drawing/2010/main" val="0"/>
                              </a:ext>
                            </a:extLst>
                          </a:blip>
                          <a:srcRect/>
                          <a:stretch>
                            <a:fillRect/>
                          </a:stretch>
                        </pic:blipFill>
                        <pic:spPr bwMode="auto">
                          <a:xfrm>
                            <a:off x="0" y="0"/>
                            <a:ext cx="1774825" cy="13319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B56CE81" w14:textId="19BEA12A" w:rsidR="00DF263C" w:rsidRPr="00DF263C" w:rsidRDefault="00000000" w:rsidP="00DF263C">
            <w:pPr>
              <w:jc w:val="center"/>
            </w:pPr>
            <w:hyperlink r:id="rId714" w:history="1">
              <w:r w:rsidR="00DF263C" w:rsidRPr="00DF263C">
                <w:rPr>
                  <w:rStyle w:val="Lienhypertexte"/>
                </w:rPr>
                <w:t>Palmiers</w:t>
              </w:r>
            </w:hyperlink>
            <w:r w:rsidR="00DF263C" w:rsidRPr="00DF263C">
              <w:t> rônier et Faidherbia poussants en </w:t>
            </w:r>
            <w:hyperlink r:id="rId715" w:history="1">
              <w:r w:rsidR="00DF263C" w:rsidRPr="00DF263C">
                <w:rPr>
                  <w:rStyle w:val="Lienhypertexte"/>
                </w:rPr>
                <w:t>agroforesterie</w:t>
              </w:r>
            </w:hyperlink>
            <w:r w:rsidR="00DF263C" w:rsidRPr="00DF263C">
              <w:t xml:space="preserve"> dans un champ de </w:t>
            </w:r>
            <w:hyperlink r:id="rId716" w:history="1">
              <w:r w:rsidR="00DF263C" w:rsidRPr="00DF263C">
                <w:rPr>
                  <w:rStyle w:val="Lienhypertexte"/>
                </w:rPr>
                <w:t>maïs</w:t>
              </w:r>
            </w:hyperlink>
            <w:r w:rsidR="00DF263C" w:rsidRPr="00DF263C">
              <w:t>.</w:t>
            </w:r>
          </w:p>
        </w:tc>
      </w:tr>
      <w:tr w:rsidR="00DF263C" w:rsidRPr="00DF263C" w14:paraId="2E025195" w14:textId="77777777" w:rsidTr="00DF263C">
        <w:tc>
          <w:tcPr>
            <w:tcW w:w="5958" w:type="dxa"/>
            <w:gridSpan w:val="2"/>
          </w:tcPr>
          <w:p w14:paraId="1254A33E" w14:textId="736E9256" w:rsidR="00DF263C" w:rsidRDefault="00DF263C" w:rsidP="00DF263C">
            <w:pPr>
              <w:jc w:val="center"/>
            </w:pPr>
            <w:r w:rsidRPr="00DF263C">
              <w:rPr>
                <w:noProof/>
              </w:rPr>
              <w:drawing>
                <wp:inline distT="0" distB="0" distL="0" distR="0" wp14:anchorId="7E87AF60" wp14:editId="365FF075">
                  <wp:extent cx="995362" cy="1279525"/>
                  <wp:effectExtent l="0" t="0" r="0" b="0"/>
                  <wp:docPr id="56332" name="Picture 10" descr="C:\Users\LISAN\Pictures\plantes-halophytes-xerophiles\faidherbia albida3_fleu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32" name="Picture 10" descr="C:\Users\LISAN\Pictures\plantes-halophytes-xerophiles\faidherbia albida3_fleurs.jpg"/>
                          <pic:cNvPicPr>
                            <a:picLocks noChangeAspect="1" noChangeArrowheads="1"/>
                          </pic:cNvPicPr>
                        </pic:nvPicPr>
                        <pic:blipFill>
                          <a:blip r:embed="rId717">
                            <a:extLst>
                              <a:ext uri="{28A0092B-C50C-407E-A947-70E740481C1C}">
                                <a14:useLocalDpi xmlns:a14="http://schemas.microsoft.com/office/drawing/2010/main" val="0"/>
                              </a:ext>
                            </a:extLst>
                          </a:blip>
                          <a:srcRect/>
                          <a:stretch>
                            <a:fillRect/>
                          </a:stretch>
                        </pic:blipFill>
                        <pic:spPr bwMode="auto">
                          <a:xfrm>
                            <a:off x="0" y="0"/>
                            <a:ext cx="995362" cy="1279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t xml:space="preserve">    </w:t>
            </w:r>
            <w:r w:rsidRPr="00DF263C">
              <w:rPr>
                <w:noProof/>
              </w:rPr>
              <w:drawing>
                <wp:inline distT="0" distB="0" distL="0" distR="0" wp14:anchorId="7E7739EB" wp14:editId="3EF5F6B0">
                  <wp:extent cx="1476375" cy="1495425"/>
                  <wp:effectExtent l="0" t="0" r="9525" b="9525"/>
                  <wp:docPr id="56331" name="Picture 8" descr="C:\Users\LISAN\Pictures\plantes-halophytes-xerophiles\faidherbia albida4_gous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31" name="Picture 8" descr="C:\Users\LISAN\Pictures\plantes-halophytes-xerophiles\faidherbia albida4_gousse.jpg"/>
                          <pic:cNvPicPr>
                            <a:picLocks noChangeAspect="1" noChangeArrowheads="1"/>
                          </pic:cNvPicPr>
                        </pic:nvPicPr>
                        <pic:blipFill>
                          <a:blip r:embed="rId718">
                            <a:extLst>
                              <a:ext uri="{28A0092B-C50C-407E-A947-70E740481C1C}">
                                <a14:useLocalDpi xmlns:a14="http://schemas.microsoft.com/office/drawing/2010/main" val="0"/>
                              </a:ext>
                            </a:extLst>
                          </a:blip>
                          <a:srcRect/>
                          <a:stretch>
                            <a:fillRect/>
                          </a:stretch>
                        </pic:blipFill>
                        <pic:spPr bwMode="auto">
                          <a:xfrm>
                            <a:off x="0" y="0"/>
                            <a:ext cx="1476375" cy="1495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621FE2A" w14:textId="7ED9DAAE" w:rsidR="00DF263C" w:rsidRPr="00DF263C" w:rsidRDefault="00DF263C" w:rsidP="00DF263C">
            <w:pPr>
              <w:jc w:val="center"/>
            </w:pPr>
            <w:r>
              <w:t>Fleur (à gauche), gousse (à droite)</w:t>
            </w:r>
          </w:p>
        </w:tc>
        <w:tc>
          <w:tcPr>
            <w:tcW w:w="4458" w:type="dxa"/>
          </w:tcPr>
          <w:p w14:paraId="0DA821AB" w14:textId="77777777" w:rsidR="00DF263C" w:rsidRDefault="00DF263C" w:rsidP="00DF263C">
            <w:pPr>
              <w:jc w:val="center"/>
            </w:pPr>
            <w:r w:rsidRPr="00DF263C">
              <w:rPr>
                <w:noProof/>
              </w:rPr>
              <w:drawing>
                <wp:inline distT="0" distB="0" distL="0" distR="0" wp14:anchorId="05F44E3D" wp14:editId="086A2025">
                  <wp:extent cx="1781175" cy="1695450"/>
                  <wp:effectExtent l="0" t="0" r="9525" b="0"/>
                  <wp:docPr id="57355" name="Picture 5" descr="C:\Users\LISAN\Pictures\plantes-halophytes-xerophiles\faidherbia albida gous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55" name="Picture 5" descr="C:\Users\LISAN\Pictures\plantes-halophytes-xerophiles\faidherbia albida gousse.jpg"/>
                          <pic:cNvPicPr>
                            <a:picLocks noChangeAspect="1" noChangeArrowheads="1"/>
                          </pic:cNvPicPr>
                        </pic:nvPicPr>
                        <pic:blipFill>
                          <a:blip r:embed="rId719">
                            <a:extLst>
                              <a:ext uri="{28A0092B-C50C-407E-A947-70E740481C1C}">
                                <a14:useLocalDpi xmlns:a14="http://schemas.microsoft.com/office/drawing/2010/main" val="0"/>
                              </a:ext>
                            </a:extLst>
                          </a:blip>
                          <a:srcRect/>
                          <a:stretch>
                            <a:fillRect/>
                          </a:stretch>
                        </pic:blipFill>
                        <pic:spPr bwMode="auto">
                          <a:xfrm>
                            <a:off x="0" y="0"/>
                            <a:ext cx="1781175" cy="1695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612044F5" w14:textId="04A1527C" w:rsidR="00DF263C" w:rsidRPr="00DF263C" w:rsidRDefault="00DF263C" w:rsidP="00DF263C">
            <w:pPr>
              <w:jc w:val="center"/>
            </w:pPr>
            <w:r>
              <w:t>Gousses</w:t>
            </w:r>
          </w:p>
        </w:tc>
      </w:tr>
      <w:tr w:rsidR="00DF263C" w14:paraId="668ABE9C" w14:textId="77777777" w:rsidTr="00DF263C">
        <w:tc>
          <w:tcPr>
            <w:tcW w:w="5098" w:type="dxa"/>
          </w:tcPr>
          <w:p w14:paraId="16BC7E2B" w14:textId="77777777" w:rsidR="00DF263C" w:rsidRDefault="00DF263C" w:rsidP="00DF263C">
            <w:pPr>
              <w:jc w:val="center"/>
              <w:rPr>
                <w:lang w:val="en-GB"/>
              </w:rPr>
            </w:pPr>
            <w:r w:rsidRPr="00DF263C">
              <w:rPr>
                <w:noProof/>
              </w:rPr>
              <w:drawing>
                <wp:inline distT="0" distB="0" distL="0" distR="0" wp14:anchorId="7F669B90" wp14:editId="1E6AD0C9">
                  <wp:extent cx="2390775" cy="1914525"/>
                  <wp:effectExtent l="0" t="0" r="9525" b="9525"/>
                  <wp:docPr id="132120" name="Picture 6" descr="C:\Users\LISAN\Pictures\plantes-halophytes-xerophiles\faidherbia albid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56" name="Picture 6" descr="C:\Users\LISAN\Pictures\plantes-halophytes-xerophiles\faidherbia albida7.jpg"/>
                          <pic:cNvPicPr>
                            <a:picLocks noChangeAspect="1" noChangeArrowheads="1"/>
                          </pic:cNvPicPr>
                        </pic:nvPicPr>
                        <pic:blipFill>
                          <a:blip r:embed="rId720">
                            <a:extLst>
                              <a:ext uri="{28A0092B-C50C-407E-A947-70E740481C1C}">
                                <a14:useLocalDpi xmlns:a14="http://schemas.microsoft.com/office/drawing/2010/main" val="0"/>
                              </a:ext>
                            </a:extLst>
                          </a:blip>
                          <a:srcRect/>
                          <a:stretch>
                            <a:fillRect/>
                          </a:stretch>
                        </pic:blipFill>
                        <pic:spPr bwMode="auto">
                          <a:xfrm>
                            <a:off x="0" y="0"/>
                            <a:ext cx="2390775" cy="1914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D7FDC67" w14:textId="124907CA" w:rsidR="000B73C7" w:rsidRDefault="000B73C7" w:rsidP="00DF263C">
            <w:pPr>
              <w:jc w:val="center"/>
              <w:rPr>
                <w:lang w:val="en-GB"/>
              </w:rPr>
            </w:pPr>
          </w:p>
        </w:tc>
        <w:tc>
          <w:tcPr>
            <w:tcW w:w="5318" w:type="dxa"/>
            <w:gridSpan w:val="2"/>
          </w:tcPr>
          <w:p w14:paraId="1D371E1B" w14:textId="1268868D" w:rsidR="00DF263C" w:rsidRDefault="00DF263C" w:rsidP="00DF263C">
            <w:pPr>
              <w:jc w:val="center"/>
              <w:rPr>
                <w:lang w:val="en-GB"/>
              </w:rPr>
            </w:pPr>
            <w:r w:rsidRPr="00DF263C">
              <w:rPr>
                <w:noProof/>
              </w:rPr>
              <w:drawing>
                <wp:inline distT="0" distB="0" distL="0" distR="0" wp14:anchorId="4EFE7C2E" wp14:editId="13EEC9F4">
                  <wp:extent cx="2667000" cy="1714500"/>
                  <wp:effectExtent l="0" t="0" r="0" b="0"/>
                  <wp:docPr id="57354" name="Picture 4" descr="C:\Users\LISAN\Pictures\plantes-halophytes-xerophiles\faidherbia albid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54" name="Picture 4" descr="C:\Users\LISAN\Pictures\plantes-halophytes-xerophiles\faidherbia albida8.jpg"/>
                          <pic:cNvPicPr>
                            <a:picLocks noChangeAspect="1" noChangeArrowheads="1"/>
                          </pic:cNvPicPr>
                        </pic:nvPicPr>
                        <pic:blipFill>
                          <a:blip r:embed="rId721">
                            <a:extLst>
                              <a:ext uri="{28A0092B-C50C-407E-A947-70E740481C1C}">
                                <a14:useLocalDpi xmlns:a14="http://schemas.microsoft.com/office/drawing/2010/main" val="0"/>
                              </a:ext>
                            </a:extLst>
                          </a:blip>
                          <a:srcRect/>
                          <a:stretch>
                            <a:fillRect/>
                          </a:stretch>
                        </pic:blipFill>
                        <pic:spPr bwMode="auto">
                          <a:xfrm>
                            <a:off x="0" y="0"/>
                            <a:ext cx="2667000" cy="1714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DF263C" w14:paraId="4A7B3631" w14:textId="77777777" w:rsidTr="00DF263C">
        <w:tc>
          <w:tcPr>
            <w:tcW w:w="5098" w:type="dxa"/>
          </w:tcPr>
          <w:p w14:paraId="15EB8FB9" w14:textId="4EB21E7D" w:rsidR="00DF263C" w:rsidRPr="00DF263C" w:rsidRDefault="00DF263C" w:rsidP="00DF263C">
            <w:pPr>
              <w:jc w:val="center"/>
            </w:pPr>
            <w:r w:rsidRPr="00DF263C">
              <w:rPr>
                <w:noProof/>
              </w:rPr>
              <w:lastRenderedPageBreak/>
              <w:drawing>
                <wp:inline distT="0" distB="0" distL="0" distR="0" wp14:anchorId="22487542" wp14:editId="50C72244">
                  <wp:extent cx="2619375" cy="1743075"/>
                  <wp:effectExtent l="0" t="0" r="9525" b="9525"/>
                  <wp:docPr id="57348" name="Picture 3" descr="C:\Users\LISAN\Pictures\plantes-halophytes-xerophiles\faidherbia albida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48" name="Picture 3" descr="C:\Users\LISAN\Pictures\plantes-halophytes-xerophiles\faidherbia albida6.jpg"/>
                          <pic:cNvPicPr>
                            <a:picLocks noChangeAspect="1" noChangeArrowheads="1"/>
                          </pic:cNvPicPr>
                        </pic:nvPicPr>
                        <pic:blipFill>
                          <a:blip r:embed="rId722">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18" w:type="dxa"/>
            <w:gridSpan w:val="2"/>
          </w:tcPr>
          <w:p w14:paraId="08F56DA0" w14:textId="6344BC52" w:rsidR="00DF263C" w:rsidRPr="00DF263C" w:rsidRDefault="00DF263C" w:rsidP="00DF263C">
            <w:pPr>
              <w:jc w:val="center"/>
            </w:pPr>
            <w:r w:rsidRPr="00DF263C">
              <w:rPr>
                <w:noProof/>
              </w:rPr>
              <w:drawing>
                <wp:inline distT="0" distB="0" distL="0" distR="0" wp14:anchorId="5EF97A7E" wp14:editId="23DD1269">
                  <wp:extent cx="2657475" cy="1724025"/>
                  <wp:effectExtent l="0" t="0" r="9525" b="9525"/>
                  <wp:docPr id="57347" name="Picture 2" descr="C:\Users\LISAN\Pictures\plantes-halophytes-xerophiles\faidherbia albid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47" name="Picture 2" descr="C:\Users\LISAN\Pictures\plantes-halophytes-xerophiles\faidherbia albida5.jpg"/>
                          <pic:cNvPicPr>
                            <a:picLocks noChangeAspect="1" noChangeArrowheads="1"/>
                          </pic:cNvPicPr>
                        </pic:nvPicPr>
                        <pic:blipFill>
                          <a:blip r:embed="rId723">
                            <a:extLst>
                              <a:ext uri="{28A0092B-C50C-407E-A947-70E740481C1C}">
                                <a14:useLocalDpi xmlns:a14="http://schemas.microsoft.com/office/drawing/2010/main" val="0"/>
                              </a:ext>
                            </a:extLst>
                          </a:blip>
                          <a:srcRect/>
                          <a:stretch>
                            <a:fillRect/>
                          </a:stretch>
                        </pic:blipFill>
                        <pic:spPr bwMode="auto">
                          <a:xfrm>
                            <a:off x="0" y="0"/>
                            <a:ext cx="2657475" cy="1724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DF263C" w14:paraId="65918924" w14:textId="77777777" w:rsidTr="00DF263C">
        <w:tc>
          <w:tcPr>
            <w:tcW w:w="5098" w:type="dxa"/>
          </w:tcPr>
          <w:p w14:paraId="4BCBF059" w14:textId="77777777" w:rsidR="00DF263C" w:rsidRDefault="00DF263C" w:rsidP="00DF263C">
            <w:pPr>
              <w:jc w:val="center"/>
            </w:pPr>
          </w:p>
          <w:p w14:paraId="6C1053D2" w14:textId="0E00B27C" w:rsidR="00DF263C" w:rsidRPr="00DF263C" w:rsidRDefault="00DF263C" w:rsidP="00DF263C">
            <w:pPr>
              <w:jc w:val="center"/>
            </w:pPr>
            <w:r w:rsidRPr="00DF263C">
              <w:rPr>
                <w:noProof/>
              </w:rPr>
              <w:drawing>
                <wp:inline distT="0" distB="0" distL="0" distR="0" wp14:anchorId="7A7EE689" wp14:editId="715F0B1B">
                  <wp:extent cx="2466975" cy="1847850"/>
                  <wp:effectExtent l="0" t="0" r="9525" b="0"/>
                  <wp:docPr id="57346" name="Picture 9" descr="C:\Users\LISAN\Pictures\plantes-halophytes-xerophiles\faidherbia albid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46" name="Picture 9" descr="C:\Users\LISAN\Pictures\plantes-halophytes-xerophiles\faidherbia albida2.jpg"/>
                          <pic:cNvPicPr>
                            <a:picLocks noChangeAspect="1" noChangeArrowheads="1"/>
                          </pic:cNvPicPr>
                        </pic:nvPicPr>
                        <pic:blipFill>
                          <a:blip r:embed="rId724">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18" w:type="dxa"/>
            <w:gridSpan w:val="2"/>
          </w:tcPr>
          <w:p w14:paraId="496C94B4" w14:textId="77777777" w:rsidR="00DF263C" w:rsidRPr="00DF263C" w:rsidRDefault="00DF263C" w:rsidP="00DF263C">
            <w:pPr>
              <w:jc w:val="center"/>
            </w:pPr>
          </w:p>
        </w:tc>
      </w:tr>
    </w:tbl>
    <w:p w14:paraId="22C365AA" w14:textId="77777777" w:rsidR="00DF263C" w:rsidRDefault="00DF263C" w:rsidP="00DF263C">
      <w:pPr>
        <w:spacing w:after="0" w:line="240" w:lineRule="auto"/>
        <w:rPr>
          <w:lang w:val="en-GB"/>
        </w:rPr>
      </w:pPr>
    </w:p>
    <w:p w14:paraId="074286B4" w14:textId="77777777" w:rsidR="009B584F" w:rsidRPr="00B243F9" w:rsidRDefault="009B584F" w:rsidP="00B243F9">
      <w:pPr>
        <w:pStyle w:val="Titre2"/>
        <w:rPr>
          <w:i/>
          <w:iCs/>
        </w:rPr>
      </w:pPr>
      <w:bookmarkStart w:id="78" w:name="_Toc139181369"/>
      <w:r w:rsidRPr="00B243F9">
        <w:rPr>
          <w:i/>
          <w:iCs/>
        </w:rPr>
        <w:t>Acacia dudgeoni</w:t>
      </w:r>
      <w:bookmarkEnd w:id="78"/>
    </w:p>
    <w:p w14:paraId="1E364943" w14:textId="2305F30F" w:rsidR="009B584F" w:rsidRDefault="009B584F" w:rsidP="009B584F">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5"/>
        <w:gridCol w:w="2212"/>
        <w:gridCol w:w="1645"/>
        <w:gridCol w:w="415"/>
        <w:gridCol w:w="1379"/>
      </w:tblGrid>
      <w:tr w:rsidR="008F64EC" w:rsidRPr="000B6BE3" w14:paraId="02C58D54" w14:textId="77777777" w:rsidTr="00CE3E1E">
        <w:tc>
          <w:tcPr>
            <w:tcW w:w="4775" w:type="dxa"/>
          </w:tcPr>
          <w:p w14:paraId="58D0C871" w14:textId="77777777" w:rsidR="008F64EC" w:rsidRPr="00DE2C3A" w:rsidRDefault="008F64EC" w:rsidP="00CE3E1E">
            <w:pPr>
              <w:jc w:val="both"/>
              <w:rPr>
                <w:rFonts w:ascii="Calibri" w:hAnsi="Calibri" w:cs="Calibri"/>
                <w:bCs/>
              </w:rPr>
            </w:pPr>
            <w:r>
              <w:rPr>
                <w:rFonts w:ascii="Calibri" w:hAnsi="Calibri" w:cs="Calibri"/>
                <w:bCs/>
              </w:rPr>
              <w:t>(</w:t>
            </w:r>
            <w:r w:rsidRPr="00DE2C3A">
              <w:rPr>
                <w:rFonts w:ascii="Calibri" w:hAnsi="Calibri" w:cs="Calibri"/>
                <w:bCs/>
              </w:rPr>
              <w:t>Famille des</w:t>
            </w:r>
            <w:r>
              <w:rPr>
                <w:rFonts w:ascii="Calibri" w:hAnsi="Calibri" w:cs="Calibri"/>
                <w:bCs/>
              </w:rPr>
              <w:t xml:space="preserve"> </w:t>
            </w:r>
            <w:r w:rsidRPr="008F191E">
              <w:rPr>
                <w:rFonts w:ascii="Calibri" w:hAnsi="Calibri" w:cs="Calibri"/>
                <w:color w:val="202122"/>
                <w:shd w:val="clear" w:color="auto" w:fill="FFFFFF"/>
              </w:rPr>
              <w:t>Fabacées</w:t>
            </w:r>
            <w:r>
              <w:rPr>
                <w:rFonts w:ascii="Calibri" w:hAnsi="Calibri" w:cs="Calibri"/>
                <w:color w:val="202122"/>
                <w:shd w:val="clear" w:color="auto" w:fill="FFFFFF"/>
              </w:rPr>
              <w:t xml:space="preserve"> /</w:t>
            </w:r>
            <w:r w:rsidRPr="00DE2C3A">
              <w:rPr>
                <w:rFonts w:ascii="Calibri" w:hAnsi="Calibri" w:cs="Calibri"/>
                <w:bCs/>
              </w:rPr>
              <w:t> </w:t>
            </w:r>
            <w:hyperlink r:id="rId725" w:history="1">
              <w:r w:rsidRPr="00DE2C3A">
                <w:rPr>
                  <w:rStyle w:val="Lienhypertexte"/>
                  <w:rFonts w:ascii="Calibri" w:hAnsi="Calibri" w:cs="Calibri"/>
                  <w:bCs/>
                  <w:i/>
                  <w:iCs/>
                </w:rPr>
                <w:t>Fabaceae</w:t>
              </w:r>
            </w:hyperlink>
            <w:r>
              <w:rPr>
                <w:rFonts w:ascii="Calibri" w:hAnsi="Calibri" w:cs="Calibri"/>
                <w:bCs/>
              </w:rPr>
              <w:t>)</w:t>
            </w:r>
            <w:r w:rsidRPr="00DE2C3A">
              <w:rPr>
                <w:rFonts w:ascii="Calibri" w:hAnsi="Calibri" w:cs="Calibri"/>
                <w:bCs/>
              </w:rPr>
              <w:t>.</w:t>
            </w:r>
          </w:p>
          <w:p w14:paraId="5CA672FD" w14:textId="77777777" w:rsidR="008F64EC" w:rsidRPr="008F191E" w:rsidRDefault="008F64EC" w:rsidP="00CE3E1E">
            <w:pPr>
              <w:rPr>
                <w:rFonts w:ascii="Calibri" w:hAnsi="Calibri" w:cs="Calibri"/>
                <w:bCs/>
              </w:rPr>
            </w:pPr>
          </w:p>
          <w:p w14:paraId="789628E0" w14:textId="77777777" w:rsidR="008F64EC" w:rsidRPr="000B6BE3" w:rsidRDefault="008F64EC" w:rsidP="00CE3E1E">
            <w:pPr>
              <w:rPr>
                <w:rFonts w:cstheme="minorHAnsi"/>
              </w:rPr>
            </w:pPr>
          </w:p>
        </w:tc>
        <w:tc>
          <w:tcPr>
            <w:tcW w:w="2212" w:type="dxa"/>
          </w:tcPr>
          <w:p w14:paraId="33AB18D4" w14:textId="77777777" w:rsidR="008F64EC" w:rsidRPr="000B6BE3" w:rsidRDefault="008F64EC" w:rsidP="00CE3E1E">
            <w:pPr>
              <w:rPr>
                <w:rFonts w:cstheme="minorHAnsi"/>
              </w:rPr>
            </w:pPr>
            <w:r w:rsidRPr="000B6BE3">
              <w:rPr>
                <w:rFonts w:cstheme="minorHAnsi"/>
                <w:noProof/>
              </w:rPr>
              <w:t xml:space="preserve">  </w:t>
            </w:r>
            <w:r>
              <w:rPr>
                <w:rFonts w:cstheme="minorHAnsi"/>
                <w:noProof/>
              </w:rPr>
              <w:t xml:space="preserve">    </w:t>
            </w:r>
            <w:r w:rsidRPr="008F2681">
              <w:rPr>
                <w:rFonts w:cstheme="minorHAnsi"/>
                <w:noProof/>
              </w:rPr>
              <w:drawing>
                <wp:inline distT="0" distB="0" distL="0" distR="0" wp14:anchorId="6FCB890F" wp14:editId="6E55F178">
                  <wp:extent cx="463550" cy="661988"/>
                  <wp:effectExtent l="0" t="0" r="0" b="5080"/>
                  <wp:docPr id="132121"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r w:rsidRPr="005C50C9">
              <w:rPr>
                <w:rFonts w:cstheme="minorHAnsi"/>
                <w:noProof/>
              </w:rPr>
              <w:drawing>
                <wp:inline distT="0" distB="0" distL="0" distR="0" wp14:anchorId="721D8473" wp14:editId="716F135B">
                  <wp:extent cx="495300" cy="666750"/>
                  <wp:effectExtent l="0" t="0" r="0" b="0"/>
                  <wp:docPr id="39936" name="Image 15"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8" name="Image 15" descr="logo aride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w:t>
            </w:r>
          </w:p>
        </w:tc>
        <w:tc>
          <w:tcPr>
            <w:tcW w:w="1645" w:type="dxa"/>
          </w:tcPr>
          <w:p w14:paraId="45E455CE" w14:textId="77777777" w:rsidR="008F64EC" w:rsidRPr="002E01BB" w:rsidRDefault="008F64EC" w:rsidP="00CE3E1E">
            <w:pPr>
              <w:rPr>
                <w:rFonts w:eastAsia="+mn-ea" w:cstheme="minorHAnsi"/>
                <w:b/>
                <w:bCs/>
                <w:color w:val="008000"/>
                <w:kern w:val="24"/>
                <w:sz w:val="56"/>
                <w:szCs w:val="56"/>
              </w:rPr>
            </w:pPr>
            <w:r w:rsidRPr="00D1445E">
              <w:rPr>
                <w:rFonts w:eastAsia="+mn-ea" w:cstheme="minorHAnsi"/>
                <w:b/>
                <w:bCs/>
                <w:color w:val="008000"/>
                <w:kern w:val="24"/>
                <w:sz w:val="56"/>
                <w:szCs w:val="56"/>
              </w:rPr>
              <w:t>U</w:t>
            </w:r>
          </w:p>
          <w:p w14:paraId="63BCA30A" w14:textId="77777777" w:rsidR="008F64EC" w:rsidRPr="000B6BE3" w:rsidRDefault="008F64EC" w:rsidP="00CE3E1E">
            <w:pPr>
              <w:textAlignment w:val="baseline"/>
              <w:rPr>
                <w:rFonts w:cstheme="minorHAnsi"/>
              </w:rPr>
            </w:pPr>
          </w:p>
        </w:tc>
        <w:tc>
          <w:tcPr>
            <w:tcW w:w="415" w:type="dxa"/>
          </w:tcPr>
          <w:p w14:paraId="56C7A35A" w14:textId="77777777" w:rsidR="008F64EC" w:rsidRPr="000B6BE3" w:rsidRDefault="008F64EC" w:rsidP="00CE3E1E">
            <w:pPr>
              <w:rPr>
                <w:rFonts w:cstheme="minorHAnsi"/>
              </w:rPr>
            </w:pPr>
          </w:p>
        </w:tc>
        <w:tc>
          <w:tcPr>
            <w:tcW w:w="1379" w:type="dxa"/>
          </w:tcPr>
          <w:p w14:paraId="43D2A30A" w14:textId="77777777" w:rsidR="008F64EC" w:rsidRPr="000B6BE3" w:rsidRDefault="008F64EC" w:rsidP="00CE3E1E">
            <w:pPr>
              <w:rPr>
                <w:rFonts w:cstheme="minorHAnsi"/>
              </w:rPr>
            </w:pPr>
          </w:p>
        </w:tc>
      </w:tr>
    </w:tbl>
    <w:p w14:paraId="364A3B46" w14:textId="77777777" w:rsidR="008F64EC" w:rsidRPr="009B584F" w:rsidRDefault="008F64EC" w:rsidP="009B584F">
      <w:pPr>
        <w:spacing w:after="0" w:line="240" w:lineRule="auto"/>
      </w:pPr>
    </w:p>
    <w:p w14:paraId="23A546B7" w14:textId="77777777" w:rsidR="009B584F" w:rsidRPr="009B584F" w:rsidRDefault="009B584F" w:rsidP="00E9293C">
      <w:pPr>
        <w:spacing w:after="0" w:line="240" w:lineRule="auto"/>
        <w:jc w:val="both"/>
      </w:pPr>
      <w:r w:rsidRPr="009B584F">
        <w:t>Petit arbre ou arbuste avec une houppe étalée [au port étalé], à fleurs blanches, en grappes de 2,5 à 6,0 cm de long.</w:t>
      </w:r>
    </w:p>
    <w:p w14:paraId="2A26D24A" w14:textId="491301EA" w:rsidR="009B584F" w:rsidRPr="00E9293C" w:rsidRDefault="009B584F" w:rsidP="00E9293C">
      <w:pPr>
        <w:spacing w:after="0" w:line="240" w:lineRule="auto"/>
        <w:jc w:val="both"/>
      </w:pPr>
      <w:r w:rsidRPr="00E9293C">
        <w:t>Gousse oblongue, aplatie, glabre, 3,0-8,0 x 1,5-2,5 cm, brun pâle, comme du papier, ressemblant à ceux d'Acacia Sénégal.</w:t>
      </w:r>
      <w:r w:rsidR="008F64EC">
        <w:t xml:space="preserve"> Il p</w:t>
      </w:r>
      <w:r w:rsidRPr="00E9293C">
        <w:t>réfère les sols à texture moyenne à fine.</w:t>
      </w:r>
    </w:p>
    <w:p w14:paraId="2E5E1C3A" w14:textId="77777777" w:rsidR="009B584F" w:rsidRPr="00E9293C" w:rsidRDefault="009B584F" w:rsidP="00E9293C">
      <w:pPr>
        <w:spacing w:after="0" w:line="240" w:lineRule="auto"/>
        <w:jc w:val="both"/>
      </w:pPr>
      <w:r w:rsidRPr="00E9293C">
        <w:t>Distribution : Écozones soudaniennes et guinéennes, dans des conditions de sol relativement humide dans le sud du Sahel (vallées étages, autour des étangs, etc.).</w:t>
      </w:r>
    </w:p>
    <w:p w14:paraId="6B6DB183" w14:textId="77777777" w:rsidR="009B584F" w:rsidRPr="00E9293C" w:rsidRDefault="009B584F" w:rsidP="00E9293C">
      <w:pPr>
        <w:spacing w:after="0" w:line="240" w:lineRule="auto"/>
        <w:jc w:val="both"/>
      </w:pPr>
      <w:r w:rsidRPr="00E9293C">
        <w:t>Produits et utilisations : broutage / pâturage, bois de service, bois de feu, charbon de bois, de fibre (racines), médecine (anti diarrhéique) et la réhabilitation des terres et des sols.</w:t>
      </w:r>
    </w:p>
    <w:p w14:paraId="6A3FE3A0" w14:textId="77777777" w:rsidR="009B584F" w:rsidRPr="00E9293C" w:rsidRDefault="009B584F" w:rsidP="009B584F">
      <w:pPr>
        <w:spacing w:after="0" w:line="240" w:lineRule="auto"/>
      </w:pPr>
      <w:r w:rsidRPr="00E9293C">
        <w:t>Il s’hybride avec Acacia laeta et Acacia Sénégal dans leur zones de chevauchement.</w:t>
      </w:r>
    </w:p>
    <w:p w14:paraId="300C66D7" w14:textId="7AC6A39E" w:rsidR="009B584F" w:rsidRPr="00E9293C" w:rsidRDefault="009B584F" w:rsidP="009B584F">
      <w:pPr>
        <w:spacing w:after="0" w:line="240" w:lineRule="auto"/>
      </w:pPr>
      <w:r w:rsidRPr="00E9293C">
        <w:t xml:space="preserve">Sources : a) </w:t>
      </w:r>
      <w:hyperlink r:id="rId726" w:history="1">
        <w:r w:rsidR="00E9293C" w:rsidRPr="00176503">
          <w:rPr>
            <w:rStyle w:val="Lienhypertexte"/>
          </w:rPr>
          <w:t>http://www.fao.org/ag/agp/AGPC/doc/gbase/DATA/Pf000353.htm</w:t>
        </w:r>
      </w:hyperlink>
      <w:r w:rsidR="00E9293C">
        <w:t xml:space="preserve"> </w:t>
      </w:r>
      <w:r w:rsidRPr="00E9293C">
        <w:t xml:space="preserve"> </w:t>
      </w:r>
    </w:p>
    <w:p w14:paraId="78C72EB7" w14:textId="396A630F" w:rsidR="00DF263C" w:rsidRDefault="009B584F" w:rsidP="009B584F">
      <w:pPr>
        <w:spacing w:after="0" w:line="240" w:lineRule="auto"/>
      </w:pPr>
      <w:r w:rsidRPr="00E9293C">
        <w:t xml:space="preserve">b) L’acacia au Sénégal, IRD, </w:t>
      </w:r>
      <w:hyperlink r:id="rId727" w:history="1">
        <w:r w:rsidR="00E9293C" w:rsidRPr="00176503">
          <w:rPr>
            <w:rStyle w:val="Lienhypertexte"/>
          </w:rPr>
          <w:t>http://horizon.documentation.ird.fr/exl-doc/pleins_textes/pleins_textes_7/divers2/010016064.pdf</w:t>
        </w:r>
      </w:hyperlink>
    </w:p>
    <w:p w14:paraId="1A78D295" w14:textId="14F94ABC" w:rsidR="00E9293C" w:rsidRDefault="00E9293C" w:rsidP="009B584F">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E9293C" w14:paraId="026F1AE6" w14:textId="77777777" w:rsidTr="00E9293C">
        <w:tc>
          <w:tcPr>
            <w:tcW w:w="5208" w:type="dxa"/>
          </w:tcPr>
          <w:p w14:paraId="22C2C2C2" w14:textId="45338AA9" w:rsidR="00E9293C" w:rsidRDefault="00E9293C" w:rsidP="00E9293C">
            <w:pPr>
              <w:jc w:val="center"/>
            </w:pPr>
            <w:r w:rsidRPr="00E9293C">
              <w:rPr>
                <w:noProof/>
              </w:rPr>
              <w:lastRenderedPageBreak/>
              <w:drawing>
                <wp:inline distT="0" distB="0" distL="0" distR="0" wp14:anchorId="655B427E" wp14:editId="7912D873">
                  <wp:extent cx="2628900" cy="1743075"/>
                  <wp:effectExtent l="0" t="0" r="0" b="9525"/>
                  <wp:docPr id="58378" name="Picture 9" descr="C:\Users\LISAN\Pictures\plantes-halophytes-xerophiles\Acacia dudgeoni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78" name="Picture 9" descr="C:\Users\LISAN\Pictures\plantes-halophytes-xerophiles\Acacia dudgeoni6.jpg"/>
                          <pic:cNvPicPr>
                            <a:picLocks noChangeAspect="1" noChangeArrowheads="1"/>
                          </pic:cNvPicPr>
                        </pic:nvPicPr>
                        <pic:blipFill>
                          <a:blip r:embed="rId728">
                            <a:extLst>
                              <a:ext uri="{28A0092B-C50C-407E-A947-70E740481C1C}">
                                <a14:useLocalDpi xmlns:a14="http://schemas.microsoft.com/office/drawing/2010/main" val="0"/>
                              </a:ext>
                            </a:extLst>
                          </a:blip>
                          <a:srcRect/>
                          <a:stretch>
                            <a:fillRect/>
                          </a:stretch>
                        </pic:blipFill>
                        <pic:spPr bwMode="auto">
                          <a:xfrm>
                            <a:off x="0" y="0"/>
                            <a:ext cx="2628900" cy="1743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208" w:type="dxa"/>
          </w:tcPr>
          <w:p w14:paraId="24B65888" w14:textId="2010C93F" w:rsidR="00E9293C" w:rsidRDefault="00E9293C" w:rsidP="00E9293C">
            <w:pPr>
              <w:jc w:val="center"/>
            </w:pPr>
            <w:r w:rsidRPr="00E9293C">
              <w:rPr>
                <w:noProof/>
              </w:rPr>
              <w:drawing>
                <wp:inline distT="0" distB="0" distL="0" distR="0" wp14:anchorId="3F054037" wp14:editId="477D5F03">
                  <wp:extent cx="2619375" cy="1743075"/>
                  <wp:effectExtent l="0" t="0" r="9525" b="9525"/>
                  <wp:docPr id="58377" name="Picture 8" descr="C:\Users\LISAN\Pictures\plantes-halophytes-xerophiles\Acacia dudgeon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77" name="Picture 8" descr="C:\Users\LISAN\Pictures\plantes-halophytes-xerophiles\Acacia dudgeoni2.jpg"/>
                          <pic:cNvPicPr>
                            <a:picLocks noChangeAspect="1" noChangeArrowheads="1"/>
                          </pic:cNvPicPr>
                        </pic:nvPicPr>
                        <pic:blipFill>
                          <a:blip r:embed="rId729">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E9293C" w14:paraId="436DB902" w14:textId="77777777" w:rsidTr="00E9293C">
        <w:tc>
          <w:tcPr>
            <w:tcW w:w="5208" w:type="dxa"/>
          </w:tcPr>
          <w:p w14:paraId="1D0D7FC1" w14:textId="77777777" w:rsidR="00E9293C" w:rsidRDefault="00E9293C" w:rsidP="00E9293C">
            <w:pPr>
              <w:jc w:val="center"/>
            </w:pPr>
          </w:p>
          <w:p w14:paraId="1CD10134" w14:textId="55183747" w:rsidR="00E9293C" w:rsidRDefault="00E9293C" w:rsidP="00E9293C">
            <w:pPr>
              <w:jc w:val="center"/>
            </w:pPr>
            <w:r w:rsidRPr="00E9293C">
              <w:rPr>
                <w:noProof/>
              </w:rPr>
              <w:drawing>
                <wp:inline distT="0" distB="0" distL="0" distR="0" wp14:anchorId="1F7C1D23" wp14:editId="77769D0E">
                  <wp:extent cx="2619375" cy="1743075"/>
                  <wp:effectExtent l="0" t="0" r="9525" b="9525"/>
                  <wp:docPr id="58376" name="Picture 7" descr="C:\Users\LISAN\Pictures\plantes-halophytes-xerophiles\Acacia dudgeo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76" name="Picture 7" descr="C:\Users\LISAN\Pictures\plantes-halophytes-xerophiles\Acacia dudgeoni.jpg"/>
                          <pic:cNvPicPr>
                            <a:picLocks noChangeAspect="1" noChangeArrowheads="1"/>
                          </pic:cNvPicPr>
                        </pic:nvPicPr>
                        <pic:blipFill>
                          <a:blip r:embed="rId730">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B679396" w14:textId="51661A9F" w:rsidR="00E9293C" w:rsidRDefault="00E9293C" w:rsidP="00E9293C">
            <w:pPr>
              <w:jc w:val="center"/>
            </w:pPr>
            <w:r>
              <w:t>Fleurs</w:t>
            </w:r>
          </w:p>
        </w:tc>
        <w:tc>
          <w:tcPr>
            <w:tcW w:w="5208" w:type="dxa"/>
          </w:tcPr>
          <w:p w14:paraId="2E7729AF" w14:textId="77777777" w:rsidR="00E9293C" w:rsidRDefault="00E9293C" w:rsidP="00E9293C">
            <w:pPr>
              <w:jc w:val="center"/>
            </w:pPr>
            <w:r w:rsidRPr="00E9293C">
              <w:rPr>
                <w:noProof/>
              </w:rPr>
              <w:drawing>
                <wp:inline distT="0" distB="0" distL="0" distR="0" wp14:anchorId="674749D4" wp14:editId="3E817EAC">
                  <wp:extent cx="1685925" cy="2533494"/>
                  <wp:effectExtent l="0" t="0" r="0" b="635"/>
                  <wp:docPr id="58375" name="Picture 6" descr="C:\Users\LISAN\Pictures\plantes-halophytes-xerophiles\Acacia dudgeoni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75" name="Picture 6" descr="C:\Users\LISAN\Pictures\plantes-halophytes-xerophiles\Acacia dudgeoni3.jpg"/>
                          <pic:cNvPicPr>
                            <a:picLocks noChangeAspect="1" noChangeArrowheads="1"/>
                          </pic:cNvPicPr>
                        </pic:nvPicPr>
                        <pic:blipFill>
                          <a:blip r:embed="rId731">
                            <a:extLst>
                              <a:ext uri="{28A0092B-C50C-407E-A947-70E740481C1C}">
                                <a14:useLocalDpi xmlns:a14="http://schemas.microsoft.com/office/drawing/2010/main" val="0"/>
                              </a:ext>
                            </a:extLst>
                          </a:blip>
                          <a:srcRect/>
                          <a:stretch>
                            <a:fillRect/>
                          </a:stretch>
                        </pic:blipFill>
                        <pic:spPr bwMode="auto">
                          <a:xfrm>
                            <a:off x="0" y="0"/>
                            <a:ext cx="1687374" cy="2535671"/>
                          </a:xfrm>
                          <a:prstGeom prst="rect">
                            <a:avLst/>
                          </a:prstGeom>
                          <a:noFill/>
                          <a:ln>
                            <a:noFill/>
                          </a:ln>
                        </pic:spPr>
                      </pic:pic>
                    </a:graphicData>
                  </a:graphic>
                </wp:inline>
              </w:drawing>
            </w:r>
            <w:r>
              <w:t xml:space="preserve"> </w:t>
            </w:r>
            <w:r w:rsidRPr="00E9293C">
              <w:rPr>
                <w:noProof/>
              </w:rPr>
              <w:drawing>
                <wp:inline distT="0" distB="0" distL="0" distR="0" wp14:anchorId="48A890E9" wp14:editId="3C6410AF">
                  <wp:extent cx="1367782" cy="1366520"/>
                  <wp:effectExtent l="0" t="0" r="4445" b="5080"/>
                  <wp:docPr id="58379" name="Picture 10" descr="C:\Users\LISAN\Pictures\plantes-halophytes-xerophiles\Acacia dudgeoni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79" name="Picture 10" descr="C:\Users\LISAN\Pictures\plantes-halophytes-xerophiles\Acacia dudgeoni5.jpg"/>
                          <pic:cNvPicPr>
                            <a:picLocks noChangeAspect="1" noChangeArrowheads="1"/>
                          </pic:cNvPicPr>
                        </pic:nvPicPr>
                        <pic:blipFill>
                          <a:blip r:embed="rId732">
                            <a:extLst>
                              <a:ext uri="{28A0092B-C50C-407E-A947-70E740481C1C}">
                                <a14:useLocalDpi xmlns:a14="http://schemas.microsoft.com/office/drawing/2010/main" val="0"/>
                              </a:ext>
                            </a:extLst>
                          </a:blip>
                          <a:srcRect/>
                          <a:stretch>
                            <a:fillRect/>
                          </a:stretch>
                        </pic:blipFill>
                        <pic:spPr bwMode="auto">
                          <a:xfrm>
                            <a:off x="0" y="0"/>
                            <a:ext cx="1369195" cy="1367931"/>
                          </a:xfrm>
                          <a:prstGeom prst="rect">
                            <a:avLst/>
                          </a:prstGeom>
                          <a:noFill/>
                          <a:ln>
                            <a:noFill/>
                          </a:ln>
                        </pic:spPr>
                      </pic:pic>
                    </a:graphicData>
                  </a:graphic>
                </wp:inline>
              </w:drawing>
            </w:r>
          </w:p>
          <w:p w14:paraId="4F95DDE0" w14:textId="5FE7E2D4" w:rsidR="00E9293C" w:rsidRDefault="00E9293C" w:rsidP="00E9293C">
            <w:pPr>
              <w:jc w:val="center"/>
            </w:pPr>
            <w:r>
              <w:t>Gousse (à gauche), écorce (à droite).</w:t>
            </w:r>
          </w:p>
        </w:tc>
      </w:tr>
    </w:tbl>
    <w:p w14:paraId="3AB4BCFA" w14:textId="77777777" w:rsidR="00E9293C" w:rsidRPr="00E9293C" w:rsidRDefault="00E9293C" w:rsidP="00E9293C">
      <w:pPr>
        <w:spacing w:after="0" w:line="240" w:lineRule="auto"/>
        <w:jc w:val="center"/>
      </w:pPr>
    </w:p>
    <w:p w14:paraId="02F0782C" w14:textId="77777777" w:rsidR="008F64EC" w:rsidRPr="008F64EC" w:rsidRDefault="008F64EC" w:rsidP="00B243F9">
      <w:pPr>
        <w:pStyle w:val="Titre2"/>
      </w:pPr>
      <w:bookmarkStart w:id="79" w:name="_Toc139181370"/>
      <w:r w:rsidRPr="00B243F9">
        <w:rPr>
          <w:i/>
          <w:iCs/>
        </w:rPr>
        <w:t>Acacia senegal</w:t>
      </w:r>
      <w:r>
        <w:t xml:space="preserve"> ou </w:t>
      </w:r>
      <w:r w:rsidRPr="00B243F9">
        <w:rPr>
          <w:i/>
          <w:iCs/>
        </w:rPr>
        <w:t>Senegalia senegal</w:t>
      </w:r>
      <w:bookmarkEnd w:id="79"/>
    </w:p>
    <w:p w14:paraId="5E3EECE6" w14:textId="28DF4C45" w:rsidR="008F64EC" w:rsidRDefault="008F64EC" w:rsidP="008F64EC">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5"/>
        <w:gridCol w:w="2212"/>
        <w:gridCol w:w="1645"/>
        <w:gridCol w:w="415"/>
        <w:gridCol w:w="1379"/>
      </w:tblGrid>
      <w:tr w:rsidR="006F4B5B" w:rsidRPr="000B6BE3" w14:paraId="1F7D4F24" w14:textId="77777777" w:rsidTr="00CE3E1E">
        <w:tc>
          <w:tcPr>
            <w:tcW w:w="4775" w:type="dxa"/>
          </w:tcPr>
          <w:p w14:paraId="0A614F80" w14:textId="77777777" w:rsidR="006F4B5B" w:rsidRPr="00DE2C3A" w:rsidRDefault="006F4B5B" w:rsidP="00CE3E1E">
            <w:pPr>
              <w:jc w:val="both"/>
              <w:rPr>
                <w:rFonts w:ascii="Calibri" w:hAnsi="Calibri" w:cs="Calibri"/>
                <w:bCs/>
              </w:rPr>
            </w:pPr>
            <w:r>
              <w:rPr>
                <w:rFonts w:ascii="Calibri" w:hAnsi="Calibri" w:cs="Calibri"/>
                <w:bCs/>
              </w:rPr>
              <w:t>(</w:t>
            </w:r>
            <w:r w:rsidRPr="00DE2C3A">
              <w:rPr>
                <w:rFonts w:ascii="Calibri" w:hAnsi="Calibri" w:cs="Calibri"/>
                <w:bCs/>
              </w:rPr>
              <w:t>Famille des</w:t>
            </w:r>
            <w:r>
              <w:rPr>
                <w:rFonts w:ascii="Calibri" w:hAnsi="Calibri" w:cs="Calibri"/>
                <w:bCs/>
              </w:rPr>
              <w:t xml:space="preserve"> </w:t>
            </w:r>
            <w:r w:rsidRPr="008F191E">
              <w:rPr>
                <w:rFonts w:ascii="Calibri" w:hAnsi="Calibri" w:cs="Calibri"/>
                <w:color w:val="202122"/>
                <w:shd w:val="clear" w:color="auto" w:fill="FFFFFF"/>
              </w:rPr>
              <w:t>Fabacées</w:t>
            </w:r>
            <w:r>
              <w:rPr>
                <w:rFonts w:ascii="Calibri" w:hAnsi="Calibri" w:cs="Calibri"/>
                <w:color w:val="202122"/>
                <w:shd w:val="clear" w:color="auto" w:fill="FFFFFF"/>
              </w:rPr>
              <w:t xml:space="preserve"> /</w:t>
            </w:r>
            <w:r w:rsidRPr="00DE2C3A">
              <w:rPr>
                <w:rFonts w:ascii="Calibri" w:hAnsi="Calibri" w:cs="Calibri"/>
                <w:bCs/>
              </w:rPr>
              <w:t> </w:t>
            </w:r>
            <w:hyperlink r:id="rId733" w:history="1">
              <w:r w:rsidRPr="00DE2C3A">
                <w:rPr>
                  <w:rStyle w:val="Lienhypertexte"/>
                  <w:rFonts w:ascii="Calibri" w:hAnsi="Calibri" w:cs="Calibri"/>
                  <w:bCs/>
                  <w:i/>
                  <w:iCs/>
                </w:rPr>
                <w:t>Fabaceae</w:t>
              </w:r>
            </w:hyperlink>
            <w:r>
              <w:rPr>
                <w:rFonts w:ascii="Calibri" w:hAnsi="Calibri" w:cs="Calibri"/>
                <w:bCs/>
              </w:rPr>
              <w:t>)</w:t>
            </w:r>
            <w:r w:rsidRPr="00DE2C3A">
              <w:rPr>
                <w:rFonts w:ascii="Calibri" w:hAnsi="Calibri" w:cs="Calibri"/>
                <w:bCs/>
              </w:rPr>
              <w:t>.</w:t>
            </w:r>
          </w:p>
          <w:p w14:paraId="523392F4" w14:textId="77777777" w:rsidR="006F4B5B" w:rsidRPr="008F191E" w:rsidRDefault="006F4B5B" w:rsidP="00CE3E1E">
            <w:pPr>
              <w:rPr>
                <w:rFonts w:ascii="Calibri" w:hAnsi="Calibri" w:cs="Calibri"/>
                <w:bCs/>
              </w:rPr>
            </w:pPr>
          </w:p>
          <w:p w14:paraId="1F996FFC" w14:textId="77777777" w:rsidR="006F4B5B" w:rsidRPr="000B6BE3" w:rsidRDefault="006F4B5B" w:rsidP="00CE3E1E">
            <w:pPr>
              <w:rPr>
                <w:rFonts w:cstheme="minorHAnsi"/>
              </w:rPr>
            </w:pPr>
          </w:p>
        </w:tc>
        <w:tc>
          <w:tcPr>
            <w:tcW w:w="2212" w:type="dxa"/>
          </w:tcPr>
          <w:p w14:paraId="5C69EC1D" w14:textId="77777777" w:rsidR="006F4B5B" w:rsidRPr="000B6BE3" w:rsidRDefault="006F4B5B" w:rsidP="00CE3E1E">
            <w:pPr>
              <w:rPr>
                <w:rFonts w:cstheme="minorHAnsi"/>
              </w:rPr>
            </w:pPr>
            <w:r w:rsidRPr="000B6BE3">
              <w:rPr>
                <w:rFonts w:cstheme="minorHAnsi"/>
                <w:noProof/>
              </w:rPr>
              <w:t xml:space="preserve">  </w:t>
            </w:r>
            <w:r>
              <w:rPr>
                <w:rFonts w:cstheme="minorHAnsi"/>
                <w:noProof/>
              </w:rPr>
              <w:t xml:space="preserve">    </w:t>
            </w:r>
            <w:r w:rsidRPr="008F2681">
              <w:rPr>
                <w:rFonts w:cstheme="minorHAnsi"/>
                <w:noProof/>
              </w:rPr>
              <w:drawing>
                <wp:inline distT="0" distB="0" distL="0" distR="0" wp14:anchorId="2551E8DA" wp14:editId="525EC5B1">
                  <wp:extent cx="463550" cy="661988"/>
                  <wp:effectExtent l="0" t="0" r="0" b="5080"/>
                  <wp:docPr id="39937"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r w:rsidRPr="005C50C9">
              <w:rPr>
                <w:rFonts w:cstheme="minorHAnsi"/>
                <w:noProof/>
              </w:rPr>
              <w:drawing>
                <wp:inline distT="0" distB="0" distL="0" distR="0" wp14:anchorId="18D2F09E" wp14:editId="6F65A4A7">
                  <wp:extent cx="495300" cy="666750"/>
                  <wp:effectExtent l="0" t="0" r="0" b="0"/>
                  <wp:docPr id="39938" name="Image 15"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8" name="Image 15" descr="logo aride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w:t>
            </w:r>
          </w:p>
        </w:tc>
        <w:tc>
          <w:tcPr>
            <w:tcW w:w="1645" w:type="dxa"/>
          </w:tcPr>
          <w:p w14:paraId="6693FF02" w14:textId="2BB08540" w:rsidR="006F4B5B" w:rsidRPr="002E01BB" w:rsidRDefault="006F4B5B" w:rsidP="00CE3E1E">
            <w:pPr>
              <w:rPr>
                <w:rFonts w:eastAsia="+mn-ea" w:cstheme="minorHAnsi"/>
                <w:b/>
                <w:bCs/>
                <w:color w:val="008000"/>
                <w:kern w:val="24"/>
                <w:sz w:val="56"/>
                <w:szCs w:val="56"/>
              </w:rPr>
            </w:pPr>
            <w:r w:rsidRPr="00D1445E">
              <w:rPr>
                <w:rFonts w:eastAsia="+mn-ea" w:cstheme="minorHAnsi"/>
                <w:b/>
                <w:bCs/>
                <w:color w:val="008000"/>
                <w:kern w:val="24"/>
                <w:sz w:val="56"/>
                <w:szCs w:val="56"/>
              </w:rPr>
              <w:t>U</w:t>
            </w:r>
            <w:r>
              <w:rPr>
                <w:rFonts w:eastAsia="+mn-ea" w:cstheme="minorHAnsi"/>
                <w:b/>
                <w:bCs/>
                <w:color w:val="008000"/>
                <w:kern w:val="24"/>
                <w:sz w:val="56"/>
                <w:szCs w:val="56"/>
              </w:rPr>
              <w:t xml:space="preserve"> $$</w:t>
            </w:r>
          </w:p>
          <w:p w14:paraId="56AACDD6" w14:textId="77777777" w:rsidR="006F4B5B" w:rsidRPr="000B6BE3" w:rsidRDefault="006F4B5B" w:rsidP="00CE3E1E">
            <w:pPr>
              <w:textAlignment w:val="baseline"/>
              <w:rPr>
                <w:rFonts w:cstheme="minorHAnsi"/>
              </w:rPr>
            </w:pPr>
          </w:p>
        </w:tc>
        <w:tc>
          <w:tcPr>
            <w:tcW w:w="415" w:type="dxa"/>
          </w:tcPr>
          <w:p w14:paraId="71A769F9" w14:textId="77777777" w:rsidR="006F4B5B" w:rsidRPr="000B6BE3" w:rsidRDefault="006F4B5B" w:rsidP="00CE3E1E">
            <w:pPr>
              <w:rPr>
                <w:rFonts w:cstheme="minorHAnsi"/>
              </w:rPr>
            </w:pPr>
          </w:p>
        </w:tc>
        <w:tc>
          <w:tcPr>
            <w:tcW w:w="1379" w:type="dxa"/>
          </w:tcPr>
          <w:p w14:paraId="3E99707D" w14:textId="3021F2AB" w:rsidR="006F4B5B" w:rsidRPr="000B6BE3" w:rsidRDefault="00500703" w:rsidP="00CE3E1E">
            <w:pPr>
              <w:rPr>
                <w:rFonts w:cstheme="minorHAnsi"/>
              </w:rPr>
            </w:pPr>
            <w:r w:rsidRPr="00853ED0">
              <w:rPr>
                <w:noProof/>
              </w:rPr>
              <w:drawing>
                <wp:inline distT="0" distB="0" distL="0" distR="0" wp14:anchorId="21675E91" wp14:editId="15A3AF5A">
                  <wp:extent cx="400050" cy="352425"/>
                  <wp:effectExtent l="0" t="0" r="0" b="9525"/>
                  <wp:docPr id="104473" name="Image 21">
                    <a:extLst xmlns:a="http://schemas.openxmlformats.org/drawingml/2006/main">
                      <a:ext uri="{FF2B5EF4-FFF2-40B4-BE49-F238E27FC236}">
                        <a16:creationId xmlns:a16="http://schemas.microsoft.com/office/drawing/2014/main" id="{F52353B3-AA67-41AB-ACE3-C9465695F4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3" name="Image 21">
                            <a:extLst>
                              <a:ext uri="{FF2B5EF4-FFF2-40B4-BE49-F238E27FC236}">
                                <a16:creationId xmlns:a16="http://schemas.microsoft.com/office/drawing/2014/main" id="{F52353B3-AA67-41AB-ACE3-C9465695F4BE}"/>
                              </a:ext>
                            </a:extLst>
                          </pic:cNvPr>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197DCE55" w14:textId="77777777" w:rsidR="006F4B5B" w:rsidRDefault="006F4B5B" w:rsidP="008F64EC">
      <w:pPr>
        <w:spacing w:after="0" w:line="240" w:lineRule="auto"/>
        <w:jc w:val="both"/>
      </w:pPr>
    </w:p>
    <w:p w14:paraId="2F13273F" w14:textId="77777777" w:rsidR="008F64EC" w:rsidRDefault="008F64EC" w:rsidP="008F64EC">
      <w:pPr>
        <w:spacing w:after="0" w:line="240" w:lineRule="auto"/>
        <w:jc w:val="both"/>
      </w:pPr>
      <w:r>
        <w:t xml:space="preserve">Cet arbre </w:t>
      </w:r>
      <w:r w:rsidRPr="00500703">
        <w:rPr>
          <w:i/>
          <w:iCs/>
        </w:rPr>
        <w:t>épine</w:t>
      </w:r>
      <w:r>
        <w:t>ux, encore appelé gommier blanc, peut atteindre une hauteur de 5-12 m et un tronc de 30 cm de diamètre. Il peut être multiplié par semis ou boutures.</w:t>
      </w:r>
    </w:p>
    <w:p w14:paraId="0CD577C1" w14:textId="340A7DA8" w:rsidR="008F64EC" w:rsidRDefault="008F64EC" w:rsidP="008F64EC">
      <w:pPr>
        <w:spacing w:after="0" w:line="240" w:lineRule="auto"/>
        <w:jc w:val="both"/>
      </w:pPr>
      <w:r w:rsidRPr="008F64EC">
        <w:rPr>
          <w:i/>
          <w:iCs/>
        </w:rPr>
        <w:t>S. senegal</w:t>
      </w:r>
      <w:r>
        <w:t> est la source de la gomme arabique de la plus haute qualité dans le monde. On tire de l'exsudat de l'</w:t>
      </w:r>
      <w:r w:rsidR="006852FC" w:rsidRPr="006852FC">
        <w:rPr>
          <w:i/>
          <w:iCs/>
        </w:rPr>
        <w:t>A</w:t>
      </w:r>
      <w:r w:rsidRPr="006852FC">
        <w:rPr>
          <w:i/>
          <w:iCs/>
        </w:rPr>
        <w:t xml:space="preserve">cacia </w:t>
      </w:r>
      <w:r w:rsidR="006852FC" w:rsidRPr="006852FC">
        <w:rPr>
          <w:i/>
          <w:iCs/>
        </w:rPr>
        <w:t>se</w:t>
      </w:r>
      <w:r w:rsidRPr="006852FC">
        <w:rPr>
          <w:i/>
          <w:iCs/>
        </w:rPr>
        <w:t>n</w:t>
      </w:r>
      <w:r w:rsidR="006852FC" w:rsidRPr="006852FC">
        <w:rPr>
          <w:i/>
          <w:iCs/>
        </w:rPr>
        <w:t>e</w:t>
      </w:r>
      <w:r w:rsidRPr="006852FC">
        <w:rPr>
          <w:i/>
          <w:iCs/>
        </w:rPr>
        <w:t>gal</w:t>
      </w:r>
      <w:r>
        <w:t xml:space="preserve"> la gomme arabique, utilisée à large échelle dans les industries pharmaceutique, alimentaire, cosmétique et textile (elle est utilisée comme additif alimentaire, dans l'artisanat, et comme cosmétique). On le récolte en pratiquant des entailles dans le tronc et les branches de l'arbre. Le bois très dense sert à fabriquer des manches d'outils et à produire un charbon de haute qualité. L'écorce est riche en tannins et est utilisée dans la pharmacopée populaire pour ses propriétés astringentes et expectorantes. Le jeune feuillage est très utile comme fourrage (les éléphants, les girafes … l’apprécient). Les graines séchées sont utilisées comme nourriture par l'homme. L'écorce de l'arbre et ses racines sont utilisées pour fabriquer de la corde.</w:t>
      </w:r>
    </w:p>
    <w:p w14:paraId="745FCEBF" w14:textId="7AC94B49" w:rsidR="008F64EC" w:rsidRDefault="008F64EC" w:rsidP="008F64EC">
      <w:pPr>
        <w:spacing w:after="0" w:line="240" w:lineRule="auto"/>
        <w:jc w:val="both"/>
      </w:pPr>
      <w:r>
        <w:t>Comme les autres espèces de légumineuses, </w:t>
      </w:r>
      <w:r w:rsidRPr="006852FC">
        <w:rPr>
          <w:i/>
          <w:iCs/>
        </w:rPr>
        <w:t>S. </w:t>
      </w:r>
      <w:r w:rsidR="006852FC">
        <w:rPr>
          <w:i/>
          <w:iCs/>
        </w:rPr>
        <w:t>s</w:t>
      </w:r>
      <w:r w:rsidR="006852FC" w:rsidRPr="006852FC">
        <w:rPr>
          <w:i/>
          <w:iCs/>
        </w:rPr>
        <w:t>e</w:t>
      </w:r>
      <w:r w:rsidRPr="006852FC">
        <w:rPr>
          <w:i/>
          <w:iCs/>
        </w:rPr>
        <w:t>n</w:t>
      </w:r>
      <w:r w:rsidR="006852FC" w:rsidRPr="006852FC">
        <w:rPr>
          <w:i/>
          <w:iCs/>
        </w:rPr>
        <w:t>e</w:t>
      </w:r>
      <w:r w:rsidRPr="006852FC">
        <w:rPr>
          <w:i/>
          <w:iCs/>
        </w:rPr>
        <w:t>gal</w:t>
      </w:r>
      <w:r>
        <w:t> fixe l'azote dans les rhizobiums ou bactéries fixatrices d'azote qui vivent dans les nodules des racines. Cette fixation de l'azote enrichit les sols pauvres où il est cultivé, permettant la rotation d'autres cultures dans les régions naturellement pauvres en éléments nutritifs. Sa croissance est lente.</w:t>
      </w:r>
    </w:p>
    <w:p w14:paraId="1A8B78F7" w14:textId="77777777" w:rsidR="008F64EC" w:rsidRDefault="008F64EC" w:rsidP="008F64EC">
      <w:pPr>
        <w:spacing w:after="0" w:line="240" w:lineRule="auto"/>
        <w:jc w:val="both"/>
      </w:pPr>
      <w:r>
        <w:t>Il est adapté aux régions chaudes et sèches, même à des pluviométries pouvant atteindre 300 à 500 mm par an.</w:t>
      </w:r>
    </w:p>
    <w:p w14:paraId="73AC4DB4" w14:textId="392AAB52" w:rsidR="008F64EC" w:rsidRDefault="008F64EC" w:rsidP="008F64EC">
      <w:pPr>
        <w:spacing w:after="0" w:line="240" w:lineRule="auto"/>
        <w:jc w:val="both"/>
      </w:pPr>
      <w:r>
        <w:lastRenderedPageBreak/>
        <w:t xml:space="preserve">Il aurait des propriétés médicinales et traiterait les saignements, la bronchite, la diarrhée, la gonorrhée, la lèpre, la fièvre typhoïde et les infections des voies respiratoires supérieures  (à vérifier). De 2003 à 2007, le prix de la tonne de gommes est passé de 1500 $ à 4500 $. </w:t>
      </w:r>
    </w:p>
    <w:p w14:paraId="7494A507" w14:textId="4EE2583C" w:rsidR="00815293" w:rsidRDefault="008F64EC" w:rsidP="008F64EC">
      <w:pPr>
        <w:spacing w:after="0" w:line="240" w:lineRule="auto"/>
      </w:pPr>
      <w:r>
        <w:t xml:space="preserve">Sources : a) </w:t>
      </w:r>
      <w:hyperlink r:id="rId734" w:history="1">
        <w:r w:rsidR="00815293" w:rsidRPr="00176503">
          <w:rPr>
            <w:rStyle w:val="Lienhypertexte"/>
          </w:rPr>
          <w:t>http://fr.wikipedia.org/wiki/Acacia_S%C3%A9n%C3%A9gal</w:t>
        </w:r>
      </w:hyperlink>
      <w:r>
        <w:t xml:space="preserve">, </w:t>
      </w:r>
    </w:p>
    <w:p w14:paraId="342DF883" w14:textId="2CCD495A" w:rsidR="008F64EC" w:rsidRPr="00E03B2B" w:rsidRDefault="008F64EC" w:rsidP="008F64EC">
      <w:pPr>
        <w:spacing w:after="0" w:line="240" w:lineRule="auto"/>
      </w:pPr>
      <w:r w:rsidRPr="00E03B2B">
        <w:t xml:space="preserve">b) </w:t>
      </w:r>
      <w:hyperlink r:id="rId735" w:history="1">
        <w:r w:rsidR="00815293" w:rsidRPr="00E03B2B">
          <w:rPr>
            <w:rStyle w:val="Lienhypertexte"/>
          </w:rPr>
          <w:t>http://en.wikipedia.org/wiki/Senegalia_senegal</w:t>
        </w:r>
      </w:hyperlink>
      <w:r w:rsidRPr="00E03B2B">
        <w:t>,</w:t>
      </w:r>
      <w:r w:rsidR="00815293" w:rsidRPr="00E03B2B">
        <w:t xml:space="preserve"> </w:t>
      </w:r>
    </w:p>
    <w:p w14:paraId="2B516FAB" w14:textId="7CB86EE0" w:rsidR="00DF263C" w:rsidRPr="00E03B2B" w:rsidRDefault="008F64EC" w:rsidP="008F64EC">
      <w:pPr>
        <w:spacing w:after="0" w:line="240" w:lineRule="auto"/>
      </w:pPr>
      <w:r w:rsidRPr="00E03B2B">
        <w:t xml:space="preserve">c) </w:t>
      </w:r>
      <w:hyperlink r:id="rId736" w:history="1">
        <w:r w:rsidR="00815293" w:rsidRPr="00E03B2B">
          <w:rPr>
            <w:rStyle w:val="Lienhypertexte"/>
          </w:rPr>
          <w:t>http://database.prota.org/PROTAhtml/Acacia%20senegal_En.htm</w:t>
        </w:r>
      </w:hyperlink>
      <w:r w:rsidR="00815293" w:rsidRPr="00E03B2B">
        <w:t xml:space="preserve"> </w:t>
      </w:r>
      <w:r w:rsidRPr="00E03B2B">
        <w:t xml:space="preserve">   </w:t>
      </w:r>
    </w:p>
    <w:p w14:paraId="38766793" w14:textId="0785A045" w:rsidR="00E9293C" w:rsidRPr="00E03B2B" w:rsidRDefault="00E9293C" w:rsidP="00DF263C">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815293" w:rsidRPr="00815293" w14:paraId="10D7EA2F" w14:textId="77777777" w:rsidTr="000E668B">
        <w:tc>
          <w:tcPr>
            <w:tcW w:w="5208" w:type="dxa"/>
          </w:tcPr>
          <w:p w14:paraId="665B556F" w14:textId="272B167B" w:rsidR="00815293" w:rsidRPr="00815293" w:rsidRDefault="000E668B" w:rsidP="00815293">
            <w:pPr>
              <w:jc w:val="center"/>
              <w:rPr>
                <w:lang w:val="en-GB"/>
              </w:rPr>
            </w:pPr>
            <w:r w:rsidRPr="000E668B">
              <w:rPr>
                <w:noProof/>
              </w:rPr>
              <w:drawing>
                <wp:inline distT="0" distB="0" distL="0" distR="0" wp14:anchorId="3B0A3B36" wp14:editId="128E47E2">
                  <wp:extent cx="1847850" cy="2466975"/>
                  <wp:effectExtent l="0" t="0" r="0" b="9525"/>
                  <wp:docPr id="59403" name="Picture 10" descr="C:\Users\LISAN\Pictures\plantes-halophytes-xerophiles\Acacia senegal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03" name="Picture 10" descr="C:\Users\LISAN\Pictures\plantes-halophytes-xerophiles\Acacia senegal4.jpg"/>
                          <pic:cNvPicPr>
                            <a:picLocks noChangeAspect="1" noChangeArrowheads="1"/>
                          </pic:cNvPicPr>
                        </pic:nvPicPr>
                        <pic:blipFill>
                          <a:blip r:embed="rId737">
                            <a:extLst>
                              <a:ext uri="{28A0092B-C50C-407E-A947-70E740481C1C}">
                                <a14:useLocalDpi xmlns:a14="http://schemas.microsoft.com/office/drawing/2010/main" val="0"/>
                              </a:ext>
                            </a:extLst>
                          </a:blip>
                          <a:srcRect/>
                          <a:stretch>
                            <a:fillRect/>
                          </a:stretch>
                        </pic:blipFill>
                        <pic:spPr bwMode="auto">
                          <a:xfrm>
                            <a:off x="0" y="0"/>
                            <a:ext cx="1847850" cy="2466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208" w:type="dxa"/>
          </w:tcPr>
          <w:p w14:paraId="58E97FC7" w14:textId="03D0D27C" w:rsidR="00815293" w:rsidRPr="00815293" w:rsidRDefault="000E668B" w:rsidP="00815293">
            <w:pPr>
              <w:jc w:val="center"/>
              <w:rPr>
                <w:lang w:val="en-GB"/>
              </w:rPr>
            </w:pPr>
            <w:r w:rsidRPr="000E668B">
              <w:rPr>
                <w:noProof/>
              </w:rPr>
              <w:drawing>
                <wp:inline distT="0" distB="0" distL="0" distR="0" wp14:anchorId="7D27A3C1" wp14:editId="74C2129B">
                  <wp:extent cx="2209800" cy="2066925"/>
                  <wp:effectExtent l="0" t="0" r="0" b="9525"/>
                  <wp:docPr id="59401" name="Picture 8" descr="C:\Users\LISAN\Pictures\plantes-halophytes-xerophiles\Acacia senega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01" name="Picture 8" descr="C:\Users\LISAN\Pictures\plantes-halophytes-xerophiles\Acacia senegal2.jpg"/>
                          <pic:cNvPicPr>
                            <a:picLocks noChangeAspect="1" noChangeArrowheads="1"/>
                          </pic:cNvPicPr>
                        </pic:nvPicPr>
                        <pic:blipFill>
                          <a:blip r:embed="rId738">
                            <a:extLst>
                              <a:ext uri="{28A0092B-C50C-407E-A947-70E740481C1C}">
                                <a14:useLocalDpi xmlns:a14="http://schemas.microsoft.com/office/drawing/2010/main" val="0"/>
                              </a:ext>
                            </a:extLst>
                          </a:blip>
                          <a:srcRect/>
                          <a:stretch>
                            <a:fillRect/>
                          </a:stretch>
                        </pic:blipFill>
                        <pic:spPr bwMode="auto">
                          <a:xfrm>
                            <a:off x="0" y="0"/>
                            <a:ext cx="2209800" cy="2066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815293" w:rsidRPr="00815293" w14:paraId="3BD9F077" w14:textId="77777777" w:rsidTr="000E668B">
        <w:tc>
          <w:tcPr>
            <w:tcW w:w="5208" w:type="dxa"/>
          </w:tcPr>
          <w:p w14:paraId="463FCE56" w14:textId="4E6D2771" w:rsidR="00815293" w:rsidRPr="00815293" w:rsidRDefault="000E668B" w:rsidP="00815293">
            <w:pPr>
              <w:jc w:val="center"/>
              <w:rPr>
                <w:lang w:val="en-GB"/>
              </w:rPr>
            </w:pPr>
            <w:r>
              <w:t>m</w:t>
            </w:r>
            <w:r w:rsidRPr="000E668B">
              <w:rPr>
                <w:noProof/>
              </w:rPr>
              <w:drawing>
                <wp:inline distT="0" distB="0" distL="0" distR="0" wp14:anchorId="7F08473D" wp14:editId="7BA1FE6B">
                  <wp:extent cx="1584325" cy="1076325"/>
                  <wp:effectExtent l="0" t="0" r="0" b="9525"/>
                  <wp:docPr id="59400" name="Picture 7" descr="C:\Users\LISAN\Pictures\plantes-halophytes-xerophiles\Acacia seneg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00" name="Picture 7" descr="C:\Users\LISAN\Pictures\plantes-halophytes-xerophiles\Acacia senegal.jpg"/>
                          <pic:cNvPicPr>
                            <a:picLocks noChangeAspect="1" noChangeArrowheads="1"/>
                          </pic:cNvPicPr>
                        </pic:nvPicPr>
                        <pic:blipFill>
                          <a:blip r:embed="rId739">
                            <a:extLst>
                              <a:ext uri="{28A0092B-C50C-407E-A947-70E740481C1C}">
                                <a14:useLocalDpi xmlns:a14="http://schemas.microsoft.com/office/drawing/2010/main" val="0"/>
                              </a:ext>
                            </a:extLst>
                          </a:blip>
                          <a:srcRect/>
                          <a:stretch>
                            <a:fillRect/>
                          </a:stretch>
                        </pic:blipFill>
                        <pic:spPr bwMode="auto">
                          <a:xfrm>
                            <a:off x="0" y="0"/>
                            <a:ext cx="1584325" cy="1076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lang w:val="en-GB"/>
              </w:rPr>
              <w:t xml:space="preserve"> </w:t>
            </w:r>
            <w:r w:rsidRPr="000E668B">
              <w:rPr>
                <w:noProof/>
              </w:rPr>
              <w:drawing>
                <wp:inline distT="0" distB="0" distL="0" distR="0" wp14:anchorId="18F8C228" wp14:editId="1A3D4782">
                  <wp:extent cx="1838325" cy="1143000"/>
                  <wp:effectExtent l="0" t="0" r="9525" b="0"/>
                  <wp:docPr id="59399" name="Picture 6" descr="C:\Users\LISAN\Pictures\plantes-halophytes-xerophiles\Acacia senegal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99" name="Picture 6" descr="C:\Users\LISAN\Pictures\plantes-halophytes-xerophiles\Acacia senegal5.jpg"/>
                          <pic:cNvPicPr>
                            <a:picLocks noChangeAspect="1" noChangeArrowheads="1"/>
                          </pic:cNvPicPr>
                        </pic:nvPicPr>
                        <pic:blipFill>
                          <a:blip r:embed="rId740">
                            <a:extLst>
                              <a:ext uri="{28A0092B-C50C-407E-A947-70E740481C1C}">
                                <a14:useLocalDpi xmlns:a14="http://schemas.microsoft.com/office/drawing/2010/main" val="0"/>
                              </a:ext>
                            </a:extLst>
                          </a:blip>
                          <a:srcRect/>
                          <a:stretch>
                            <a:fillRect/>
                          </a:stretch>
                        </pic:blipFill>
                        <pic:spPr bwMode="auto">
                          <a:xfrm>
                            <a:off x="0" y="0"/>
                            <a:ext cx="1838325" cy="1143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208" w:type="dxa"/>
          </w:tcPr>
          <w:p w14:paraId="06240E47" w14:textId="77777777" w:rsidR="00815293" w:rsidRDefault="000E668B" w:rsidP="00815293">
            <w:pPr>
              <w:jc w:val="center"/>
              <w:rPr>
                <w:lang w:val="en-GB"/>
              </w:rPr>
            </w:pPr>
            <w:r w:rsidRPr="000E668B">
              <w:rPr>
                <w:noProof/>
              </w:rPr>
              <w:drawing>
                <wp:inline distT="0" distB="0" distL="0" distR="0" wp14:anchorId="2194A430" wp14:editId="5E6B9888">
                  <wp:extent cx="2581275" cy="1771650"/>
                  <wp:effectExtent l="0" t="0" r="9525" b="0"/>
                  <wp:docPr id="59402" name="Picture 9" descr="C:\Users\LISAN\Pictures\plantes-halophytes-xerophiles\Acacia senegal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02" name="Picture 9" descr="C:\Users\LISAN\Pictures\plantes-halophytes-xerophiles\Acacia senegal3.jpg"/>
                          <pic:cNvPicPr>
                            <a:picLocks noChangeAspect="1" noChangeArrowheads="1"/>
                          </pic:cNvPicPr>
                        </pic:nvPicPr>
                        <pic:blipFill>
                          <a:blip r:embed="rId741">
                            <a:extLst>
                              <a:ext uri="{28A0092B-C50C-407E-A947-70E740481C1C}">
                                <a14:useLocalDpi xmlns:a14="http://schemas.microsoft.com/office/drawing/2010/main" val="0"/>
                              </a:ext>
                            </a:extLst>
                          </a:blip>
                          <a:srcRect/>
                          <a:stretch>
                            <a:fillRect/>
                          </a:stretch>
                        </pic:blipFill>
                        <pic:spPr bwMode="auto">
                          <a:xfrm>
                            <a:off x="0" y="0"/>
                            <a:ext cx="2581275" cy="1771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8DB9B1A" w14:textId="4C8F0905" w:rsidR="000E668B" w:rsidRPr="000E668B" w:rsidRDefault="000E668B" w:rsidP="00815293">
            <w:pPr>
              <w:jc w:val="center"/>
            </w:pPr>
            <w:r w:rsidRPr="000E668B">
              <w:t>Gomme arabique</w:t>
            </w:r>
          </w:p>
        </w:tc>
      </w:tr>
    </w:tbl>
    <w:p w14:paraId="60CE040E" w14:textId="49ECF105" w:rsidR="000E668B" w:rsidRDefault="000E668B" w:rsidP="000E668B">
      <w:pPr>
        <w:spacing w:after="0" w:line="240" w:lineRule="auto"/>
        <w:rPr>
          <w:lang w:val="en-GB"/>
        </w:rPr>
      </w:pPr>
    </w:p>
    <w:p w14:paraId="16D2F0C0" w14:textId="77777777" w:rsidR="00E03B2B" w:rsidRPr="00E03B2B" w:rsidRDefault="00E03B2B" w:rsidP="00B243F9">
      <w:pPr>
        <w:pStyle w:val="Titre2"/>
        <w:rPr>
          <w:lang w:val="en-GB"/>
        </w:rPr>
      </w:pPr>
      <w:bookmarkStart w:id="80" w:name="_Toc139181371"/>
      <w:r w:rsidRPr="00E03B2B">
        <w:rPr>
          <w:lang w:val="en-GB"/>
        </w:rPr>
        <w:t>Arbre Salam (</w:t>
      </w:r>
      <w:r w:rsidRPr="00B243F9">
        <w:rPr>
          <w:i/>
          <w:iCs/>
          <w:lang w:val="en-GB"/>
        </w:rPr>
        <w:t>Acacia ehrenbergiana</w:t>
      </w:r>
      <w:r w:rsidRPr="00E03B2B">
        <w:rPr>
          <w:lang w:val="en-GB"/>
        </w:rPr>
        <w:t>)</w:t>
      </w:r>
      <w:bookmarkEnd w:id="80"/>
    </w:p>
    <w:p w14:paraId="356AB2D1" w14:textId="44D18AD4" w:rsidR="00E03B2B" w:rsidRDefault="00E03B2B" w:rsidP="00E03B2B">
      <w:pPr>
        <w:spacing w:after="0" w:line="240" w:lineRule="auto"/>
        <w:jc w:val="both"/>
        <w:rPr>
          <w:lang w:val="en-G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5"/>
        <w:gridCol w:w="2212"/>
        <w:gridCol w:w="1645"/>
        <w:gridCol w:w="415"/>
        <w:gridCol w:w="1379"/>
      </w:tblGrid>
      <w:tr w:rsidR="00E03B2B" w:rsidRPr="000B6BE3" w14:paraId="59FAADB6" w14:textId="77777777" w:rsidTr="00476AAC">
        <w:tc>
          <w:tcPr>
            <w:tcW w:w="4775" w:type="dxa"/>
          </w:tcPr>
          <w:p w14:paraId="4A780C27" w14:textId="77777777" w:rsidR="00E03B2B" w:rsidRPr="00DE2C3A" w:rsidRDefault="00E03B2B" w:rsidP="00476AAC">
            <w:pPr>
              <w:jc w:val="both"/>
              <w:rPr>
                <w:rFonts w:ascii="Calibri" w:hAnsi="Calibri" w:cs="Calibri"/>
                <w:bCs/>
              </w:rPr>
            </w:pPr>
            <w:r>
              <w:rPr>
                <w:rFonts w:ascii="Calibri" w:hAnsi="Calibri" w:cs="Calibri"/>
                <w:bCs/>
              </w:rPr>
              <w:t>(</w:t>
            </w:r>
            <w:r w:rsidRPr="00DE2C3A">
              <w:rPr>
                <w:rFonts w:ascii="Calibri" w:hAnsi="Calibri" w:cs="Calibri"/>
                <w:bCs/>
              </w:rPr>
              <w:t>Famille des</w:t>
            </w:r>
            <w:r>
              <w:rPr>
                <w:rFonts w:ascii="Calibri" w:hAnsi="Calibri" w:cs="Calibri"/>
                <w:bCs/>
              </w:rPr>
              <w:t xml:space="preserve"> </w:t>
            </w:r>
            <w:r w:rsidRPr="008F191E">
              <w:rPr>
                <w:rFonts w:ascii="Calibri" w:hAnsi="Calibri" w:cs="Calibri"/>
                <w:color w:val="202122"/>
                <w:shd w:val="clear" w:color="auto" w:fill="FFFFFF"/>
              </w:rPr>
              <w:t>Fabacées</w:t>
            </w:r>
            <w:r>
              <w:rPr>
                <w:rFonts w:ascii="Calibri" w:hAnsi="Calibri" w:cs="Calibri"/>
                <w:color w:val="202122"/>
                <w:shd w:val="clear" w:color="auto" w:fill="FFFFFF"/>
              </w:rPr>
              <w:t xml:space="preserve"> /</w:t>
            </w:r>
            <w:r w:rsidRPr="00DE2C3A">
              <w:rPr>
                <w:rFonts w:ascii="Calibri" w:hAnsi="Calibri" w:cs="Calibri"/>
                <w:bCs/>
              </w:rPr>
              <w:t> </w:t>
            </w:r>
            <w:hyperlink r:id="rId742" w:history="1">
              <w:r w:rsidRPr="00DE2C3A">
                <w:rPr>
                  <w:rStyle w:val="Lienhypertexte"/>
                  <w:rFonts w:ascii="Calibri" w:hAnsi="Calibri" w:cs="Calibri"/>
                  <w:bCs/>
                  <w:i/>
                  <w:iCs/>
                </w:rPr>
                <w:t>Fabaceae</w:t>
              </w:r>
            </w:hyperlink>
            <w:r>
              <w:rPr>
                <w:rFonts w:ascii="Calibri" w:hAnsi="Calibri" w:cs="Calibri"/>
                <w:bCs/>
              </w:rPr>
              <w:t>)</w:t>
            </w:r>
            <w:r w:rsidRPr="00DE2C3A">
              <w:rPr>
                <w:rFonts w:ascii="Calibri" w:hAnsi="Calibri" w:cs="Calibri"/>
                <w:bCs/>
              </w:rPr>
              <w:t>.</w:t>
            </w:r>
          </w:p>
          <w:p w14:paraId="7A771D5D" w14:textId="77777777" w:rsidR="00E03B2B" w:rsidRPr="008F191E" w:rsidRDefault="00E03B2B" w:rsidP="00476AAC">
            <w:pPr>
              <w:rPr>
                <w:rFonts w:ascii="Calibri" w:hAnsi="Calibri" w:cs="Calibri"/>
                <w:bCs/>
              </w:rPr>
            </w:pPr>
          </w:p>
          <w:p w14:paraId="46AE79E3" w14:textId="77777777" w:rsidR="00E03B2B" w:rsidRPr="000B6BE3" w:rsidRDefault="00E03B2B" w:rsidP="00476AAC">
            <w:pPr>
              <w:rPr>
                <w:rFonts w:cstheme="minorHAnsi"/>
              </w:rPr>
            </w:pPr>
          </w:p>
        </w:tc>
        <w:tc>
          <w:tcPr>
            <w:tcW w:w="2212" w:type="dxa"/>
          </w:tcPr>
          <w:p w14:paraId="2E86D21B" w14:textId="77777777" w:rsidR="00E03B2B" w:rsidRPr="000B6BE3" w:rsidRDefault="00E03B2B" w:rsidP="00476AAC">
            <w:pPr>
              <w:rPr>
                <w:rFonts w:cstheme="minorHAnsi"/>
              </w:rPr>
            </w:pPr>
            <w:r w:rsidRPr="000B6BE3">
              <w:rPr>
                <w:rFonts w:cstheme="minorHAnsi"/>
                <w:noProof/>
              </w:rPr>
              <w:t xml:space="preserve">  </w:t>
            </w:r>
            <w:r>
              <w:rPr>
                <w:rFonts w:cstheme="minorHAnsi"/>
                <w:noProof/>
              </w:rPr>
              <w:t xml:space="preserve">    </w:t>
            </w:r>
            <w:r w:rsidRPr="008F2681">
              <w:rPr>
                <w:rFonts w:cstheme="minorHAnsi"/>
                <w:noProof/>
              </w:rPr>
              <w:drawing>
                <wp:inline distT="0" distB="0" distL="0" distR="0" wp14:anchorId="00E70865" wp14:editId="3A39C609">
                  <wp:extent cx="463550" cy="661988"/>
                  <wp:effectExtent l="0" t="0" r="0" b="5080"/>
                  <wp:docPr id="132116"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r w:rsidRPr="005C50C9">
              <w:rPr>
                <w:rFonts w:cstheme="minorHAnsi"/>
                <w:noProof/>
              </w:rPr>
              <w:drawing>
                <wp:inline distT="0" distB="0" distL="0" distR="0" wp14:anchorId="556F1BB7" wp14:editId="2287159F">
                  <wp:extent cx="495300" cy="666750"/>
                  <wp:effectExtent l="0" t="0" r="0" b="0"/>
                  <wp:docPr id="39939" name="Image 15"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8" name="Image 15" descr="logo aride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w:t>
            </w:r>
          </w:p>
        </w:tc>
        <w:tc>
          <w:tcPr>
            <w:tcW w:w="1645" w:type="dxa"/>
          </w:tcPr>
          <w:p w14:paraId="05372B15" w14:textId="77777777" w:rsidR="00E03B2B" w:rsidRPr="002E01BB" w:rsidRDefault="00E03B2B" w:rsidP="00476AAC">
            <w:pPr>
              <w:rPr>
                <w:rFonts w:eastAsia="+mn-ea" w:cstheme="minorHAnsi"/>
                <w:b/>
                <w:bCs/>
                <w:color w:val="008000"/>
                <w:kern w:val="24"/>
                <w:sz w:val="56"/>
                <w:szCs w:val="56"/>
              </w:rPr>
            </w:pPr>
            <w:r w:rsidRPr="00D1445E">
              <w:rPr>
                <w:rFonts w:eastAsia="+mn-ea" w:cstheme="minorHAnsi"/>
                <w:b/>
                <w:bCs/>
                <w:color w:val="008000"/>
                <w:kern w:val="24"/>
                <w:sz w:val="56"/>
                <w:szCs w:val="56"/>
              </w:rPr>
              <w:t>U</w:t>
            </w:r>
            <w:r>
              <w:rPr>
                <w:rFonts w:eastAsia="+mn-ea" w:cstheme="minorHAnsi"/>
                <w:b/>
                <w:bCs/>
                <w:color w:val="008000"/>
                <w:kern w:val="24"/>
                <w:sz w:val="56"/>
                <w:szCs w:val="56"/>
              </w:rPr>
              <w:t xml:space="preserve"> $$</w:t>
            </w:r>
          </w:p>
          <w:p w14:paraId="307C6CDE" w14:textId="77777777" w:rsidR="00E03B2B" w:rsidRPr="000B6BE3" w:rsidRDefault="00E03B2B" w:rsidP="00476AAC">
            <w:pPr>
              <w:textAlignment w:val="baseline"/>
              <w:rPr>
                <w:rFonts w:cstheme="minorHAnsi"/>
              </w:rPr>
            </w:pPr>
          </w:p>
        </w:tc>
        <w:tc>
          <w:tcPr>
            <w:tcW w:w="415" w:type="dxa"/>
          </w:tcPr>
          <w:p w14:paraId="306948E1" w14:textId="77777777" w:rsidR="00E03B2B" w:rsidRPr="000B6BE3" w:rsidRDefault="00E03B2B" w:rsidP="00476AAC">
            <w:pPr>
              <w:rPr>
                <w:rFonts w:cstheme="minorHAnsi"/>
              </w:rPr>
            </w:pPr>
          </w:p>
        </w:tc>
        <w:tc>
          <w:tcPr>
            <w:tcW w:w="1379" w:type="dxa"/>
          </w:tcPr>
          <w:p w14:paraId="521DBD79" w14:textId="77777777" w:rsidR="00E03B2B" w:rsidRPr="000B6BE3" w:rsidRDefault="00E03B2B" w:rsidP="00476AAC">
            <w:pPr>
              <w:rPr>
                <w:rFonts w:cstheme="minorHAnsi"/>
              </w:rPr>
            </w:pPr>
          </w:p>
        </w:tc>
      </w:tr>
    </w:tbl>
    <w:p w14:paraId="595AD730" w14:textId="77777777" w:rsidR="00E03B2B" w:rsidRPr="00E03B2B" w:rsidRDefault="00E03B2B" w:rsidP="00E03B2B">
      <w:pPr>
        <w:spacing w:after="0" w:line="240" w:lineRule="auto"/>
        <w:jc w:val="both"/>
      </w:pPr>
      <w:r w:rsidRPr="00E03B2B">
        <w:t xml:space="preserve">Arbuste d’environ 4 ½ m de haut, très résistant à la sécheresse, présent dans le Sahara, au nord du Sahel, Afrique de l'Est et de l'Arabie. </w:t>
      </w:r>
    </w:p>
    <w:p w14:paraId="0CFE2F6C" w14:textId="4823B906" w:rsidR="00E03B2B" w:rsidRPr="00E03B2B" w:rsidRDefault="00E03B2B" w:rsidP="00E03B2B">
      <w:pPr>
        <w:spacing w:after="0" w:line="240" w:lineRule="auto"/>
        <w:jc w:val="both"/>
      </w:pPr>
      <w:r w:rsidRPr="00E03B2B">
        <w:t>Il peut survivre dans les zones avec une gamme de précipitations entre 50 et 400 millimètres (2,0 et 15,7 po) par an.  Il croit généralement dans les dépressions et des ravins peu profonds, les lieux où l’on peut s'attendre que l'eau s'infiltre dans le sol, lors des rares occasions où la pluie tombe. Il est souvent dominant dans le type de végétation de la zone dans l</w:t>
      </w:r>
      <w:r>
        <w:t>a</w:t>
      </w:r>
      <w:r w:rsidRPr="00E03B2B">
        <w:t>quelle il se développe. Il est important qu'il ne soit pas surexploité en raison de son importance pour les peuples autochtones .</w:t>
      </w:r>
    </w:p>
    <w:p w14:paraId="0E6DF3B1" w14:textId="2ECF4EC8" w:rsidR="00E03B2B" w:rsidRPr="00E03B2B" w:rsidRDefault="00E03B2B" w:rsidP="00E03B2B">
      <w:pPr>
        <w:spacing w:after="0" w:line="240" w:lineRule="auto"/>
        <w:jc w:val="both"/>
      </w:pPr>
      <w:r w:rsidRPr="00E03B2B">
        <w:lastRenderedPageBreak/>
        <w:t>Le feuillage d'</w:t>
      </w:r>
      <w:r w:rsidRPr="00E03B2B">
        <w:rPr>
          <w:i/>
          <w:iCs/>
        </w:rPr>
        <w:t>Acacia ehrenbergiana </w:t>
      </w:r>
      <w:r w:rsidRPr="00E03B2B">
        <w:t>est utilisé pour l'alimentation du bétail et les arbres sont parfois étêtés à cet effet. Il s'agit d'une plante fourragère importante pour les chameaux, les chèvres et les moutons. Les fleurs sont visitées par les abeilles qui font du miel d'acacia à partir du nectar. Le bois est utilisé pour le charbon de bois et le bois de chauffage. La fibre de l'écorce sert à faire des cordes. La sève produit une faible qualité de gomme qui suinte de parties endommagées du tronc. Une pommade est faite à partir de parties broyées la plante.</w:t>
      </w:r>
    </w:p>
    <w:p w14:paraId="2B2A7C48" w14:textId="77777777" w:rsidR="00E03B2B" w:rsidRPr="00E03B2B" w:rsidRDefault="00E03B2B" w:rsidP="00E03B2B">
      <w:pPr>
        <w:spacing w:after="0" w:line="240" w:lineRule="auto"/>
        <w:jc w:val="both"/>
      </w:pPr>
      <w:r w:rsidRPr="00E03B2B">
        <w:t>Difficultés pour sa multiplication : faible taux de germination des graines et une forte mortalité des semis. Il existe une technique de multiplication in vitro (voir biblio ci-dessous).</w:t>
      </w:r>
    </w:p>
    <w:p w14:paraId="17EEABBA" w14:textId="77777777" w:rsidR="00E03B2B" w:rsidRPr="00E03B2B" w:rsidRDefault="00E03B2B" w:rsidP="00E03B2B">
      <w:pPr>
        <w:spacing w:after="0" w:line="240" w:lineRule="auto"/>
        <w:jc w:val="both"/>
      </w:pPr>
      <w:r w:rsidRPr="00E03B2B">
        <w:t>La plante ressemble un peu à A. seyal avec lequel il a été parfois confondu.</w:t>
      </w:r>
    </w:p>
    <w:p w14:paraId="21E71AAB" w14:textId="5606FB00" w:rsidR="00E03B2B" w:rsidRDefault="00E03B2B" w:rsidP="00E03B2B">
      <w:pPr>
        <w:spacing w:after="0" w:line="240" w:lineRule="auto"/>
        <w:jc w:val="both"/>
        <w:rPr>
          <w:lang w:val="en-GB"/>
        </w:rPr>
      </w:pPr>
      <w:r w:rsidRPr="00E03B2B">
        <w:rPr>
          <w:lang w:val="en-GB"/>
        </w:rPr>
        <w:t xml:space="preserve">Sources : a) </w:t>
      </w:r>
      <w:hyperlink r:id="rId743" w:history="1">
        <w:r w:rsidRPr="00F76CD1">
          <w:rPr>
            <w:rStyle w:val="Lienhypertexte"/>
            <w:lang w:val="en-GB"/>
          </w:rPr>
          <w:t>http://en.wikipedia.org/wiki/Acacia_ehrenbergiana</w:t>
        </w:r>
      </w:hyperlink>
      <w:r w:rsidRPr="00E03B2B">
        <w:rPr>
          <w:lang w:val="en-GB"/>
        </w:rPr>
        <w:t>,</w:t>
      </w:r>
      <w:r>
        <w:rPr>
          <w:lang w:val="en-GB"/>
        </w:rPr>
        <w:t xml:space="preserve"> </w:t>
      </w:r>
      <w:r w:rsidRPr="00E03B2B">
        <w:rPr>
          <w:lang w:val="en-GB"/>
        </w:rPr>
        <w:t xml:space="preserve">b) </w:t>
      </w:r>
      <w:hyperlink r:id="rId744" w:history="1">
        <w:r w:rsidRPr="00F76CD1">
          <w:rPr>
            <w:rStyle w:val="Lienhypertexte"/>
            <w:lang w:val="en-GB"/>
          </w:rPr>
          <w:t>http://plants.jstor.org/upwta/3_271</w:t>
        </w:r>
      </w:hyperlink>
      <w:r w:rsidRPr="00E03B2B">
        <w:rPr>
          <w:lang w:val="en-GB"/>
        </w:rPr>
        <w:t>,</w:t>
      </w:r>
      <w:r>
        <w:rPr>
          <w:lang w:val="en-GB"/>
        </w:rPr>
        <w:t xml:space="preserve"> </w:t>
      </w:r>
      <w:r w:rsidRPr="00E03B2B">
        <w:rPr>
          <w:lang w:val="en-GB"/>
        </w:rPr>
        <w:t xml:space="preserve">c) The useful plants of west tropical Africa, Vol 3, Burkill, HM 1985. d) In vitro regeneration and multiplication for mass propagation of Acacia ehrenbergiana Hayne: a potential reclaiment of denude arid lands, S. B. Javed, M. Anis, P. R. Khan, I. M. Aref, Agroforestry Systems, June 2013, Volume 87, Issue 3, pp 621-629 (article payant), </w:t>
      </w:r>
      <w:hyperlink r:id="rId745" w:history="1">
        <w:r w:rsidRPr="00F76CD1">
          <w:rPr>
            <w:rStyle w:val="Lienhypertexte"/>
            <w:lang w:val="en-GB"/>
          </w:rPr>
          <w:t>http://link.springer.com/article/10.1007/s10457-012-9583-8</w:t>
        </w:r>
      </w:hyperlink>
      <w:r>
        <w:rPr>
          <w:lang w:val="en-GB"/>
        </w:rPr>
        <w:t xml:space="preserve"> </w:t>
      </w:r>
    </w:p>
    <w:p w14:paraId="4F31C046" w14:textId="33553BF2" w:rsidR="00E03B2B" w:rsidRDefault="00E03B2B" w:rsidP="000E668B">
      <w:pPr>
        <w:spacing w:after="0" w:line="240" w:lineRule="auto"/>
        <w:rPr>
          <w:lang w:val="en-G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E03B2B" w14:paraId="342F1507" w14:textId="77777777" w:rsidTr="00C14F17">
        <w:tc>
          <w:tcPr>
            <w:tcW w:w="5208" w:type="dxa"/>
          </w:tcPr>
          <w:p w14:paraId="128BDF7D" w14:textId="77777777" w:rsidR="00E03B2B" w:rsidRDefault="00C14F17" w:rsidP="00E03B2B">
            <w:pPr>
              <w:jc w:val="center"/>
              <w:rPr>
                <w:lang w:val="en-GB"/>
              </w:rPr>
            </w:pPr>
            <w:r w:rsidRPr="00C14F17">
              <w:rPr>
                <w:noProof/>
              </w:rPr>
              <w:drawing>
                <wp:inline distT="0" distB="0" distL="0" distR="0" wp14:anchorId="4EFF71C4" wp14:editId="28CEF80D">
                  <wp:extent cx="2085975" cy="1324670"/>
                  <wp:effectExtent l="0" t="0" r="0" b="8890"/>
                  <wp:docPr id="60423" name="Picture 7" descr="C:\Users\LISAN\Pictures\plantes-halophytes-xerophiles\Acacia ehrenbergiana_fleurs_feuilles_bourge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23" name="Picture 7" descr="C:\Users\LISAN\Pictures\plantes-halophytes-xerophiles\Acacia ehrenbergiana_fleurs_feuilles_bourgeons.jpg"/>
                          <pic:cNvPicPr>
                            <a:picLocks noChangeAspect="1" noChangeArrowheads="1"/>
                          </pic:cNvPicPr>
                        </pic:nvPicPr>
                        <pic:blipFill>
                          <a:blip r:embed="rId746">
                            <a:extLst>
                              <a:ext uri="{28A0092B-C50C-407E-A947-70E740481C1C}">
                                <a14:useLocalDpi xmlns:a14="http://schemas.microsoft.com/office/drawing/2010/main" val="0"/>
                              </a:ext>
                            </a:extLst>
                          </a:blip>
                          <a:srcRect/>
                          <a:stretch>
                            <a:fillRect/>
                          </a:stretch>
                        </pic:blipFill>
                        <pic:spPr bwMode="auto">
                          <a:xfrm>
                            <a:off x="0" y="0"/>
                            <a:ext cx="2086069" cy="1324730"/>
                          </a:xfrm>
                          <a:prstGeom prst="rect">
                            <a:avLst/>
                          </a:prstGeom>
                          <a:noFill/>
                          <a:ln>
                            <a:noFill/>
                          </a:ln>
                        </pic:spPr>
                      </pic:pic>
                    </a:graphicData>
                  </a:graphic>
                </wp:inline>
              </w:drawing>
            </w:r>
            <w:r>
              <w:rPr>
                <w:lang w:val="en-GB"/>
              </w:rPr>
              <w:t xml:space="preserve"> </w:t>
            </w:r>
          </w:p>
          <w:p w14:paraId="15A789C7" w14:textId="4D6E10EB" w:rsidR="000B73C7" w:rsidRDefault="000B73C7" w:rsidP="00E03B2B">
            <w:pPr>
              <w:jc w:val="center"/>
              <w:rPr>
                <w:lang w:val="en-GB"/>
              </w:rPr>
            </w:pPr>
          </w:p>
        </w:tc>
        <w:tc>
          <w:tcPr>
            <w:tcW w:w="5208" w:type="dxa"/>
          </w:tcPr>
          <w:p w14:paraId="575D5FBF" w14:textId="7756938E" w:rsidR="00E03B2B" w:rsidRDefault="00C14F17" w:rsidP="00E03B2B">
            <w:pPr>
              <w:jc w:val="center"/>
              <w:rPr>
                <w:lang w:val="en-GB"/>
              </w:rPr>
            </w:pPr>
            <w:r w:rsidRPr="00C14F17">
              <w:rPr>
                <w:noProof/>
              </w:rPr>
              <w:drawing>
                <wp:inline distT="0" distB="0" distL="0" distR="0" wp14:anchorId="4F67947D" wp14:editId="53B85A72">
                  <wp:extent cx="1800225" cy="1204913"/>
                  <wp:effectExtent l="0" t="0" r="0" b="0"/>
                  <wp:docPr id="60424" name="Picture 9" descr="C:\Users\LISAN\Pictures\plantes-halophytes-xerophiles\acacia ehrenbergian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24" name="Picture 9" descr="C:\Users\LISAN\Pictures\plantes-halophytes-xerophiles\acacia ehrenbergiana3.jpg"/>
                          <pic:cNvPicPr>
                            <a:picLocks noChangeAspect="1" noChangeArrowheads="1"/>
                          </pic:cNvPicPr>
                        </pic:nvPicPr>
                        <pic:blipFill>
                          <a:blip r:embed="rId747">
                            <a:extLst>
                              <a:ext uri="{28A0092B-C50C-407E-A947-70E740481C1C}">
                                <a14:useLocalDpi xmlns:a14="http://schemas.microsoft.com/office/drawing/2010/main" val="0"/>
                              </a:ext>
                            </a:extLst>
                          </a:blip>
                          <a:srcRect/>
                          <a:stretch>
                            <a:fillRect/>
                          </a:stretch>
                        </pic:blipFill>
                        <pic:spPr bwMode="auto">
                          <a:xfrm>
                            <a:off x="0" y="0"/>
                            <a:ext cx="1800225" cy="12049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C14F17" w14:paraId="25CAD0D8" w14:textId="77777777" w:rsidTr="00C14F17">
        <w:tc>
          <w:tcPr>
            <w:tcW w:w="5208" w:type="dxa"/>
          </w:tcPr>
          <w:p w14:paraId="458566CE" w14:textId="77777777" w:rsidR="00C14F17" w:rsidRDefault="00C14F17" w:rsidP="00476AAC">
            <w:pPr>
              <w:jc w:val="center"/>
              <w:rPr>
                <w:lang w:val="en-GB"/>
              </w:rPr>
            </w:pPr>
            <w:r w:rsidRPr="00C14F17">
              <w:rPr>
                <w:noProof/>
              </w:rPr>
              <w:drawing>
                <wp:inline distT="0" distB="0" distL="0" distR="0" wp14:anchorId="70BAC84E" wp14:editId="48A3505F">
                  <wp:extent cx="2238375" cy="2038350"/>
                  <wp:effectExtent l="0" t="0" r="9525" b="0"/>
                  <wp:docPr id="60425" name="Picture 10" descr="C:\Users\LISAN\Pictures\plantes-halophytes-xerophiles\acacia ehrenbergian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25" name="Picture 10" descr="C:\Users\LISAN\Pictures\plantes-halophytes-xerophiles\acacia ehrenbergiana4.jpg"/>
                          <pic:cNvPicPr>
                            <a:picLocks noChangeAspect="1" noChangeArrowheads="1"/>
                          </pic:cNvPicPr>
                        </pic:nvPicPr>
                        <pic:blipFill>
                          <a:blip r:embed="rId748">
                            <a:extLst>
                              <a:ext uri="{28A0092B-C50C-407E-A947-70E740481C1C}">
                                <a14:useLocalDpi xmlns:a14="http://schemas.microsoft.com/office/drawing/2010/main" val="0"/>
                              </a:ext>
                            </a:extLst>
                          </a:blip>
                          <a:srcRect/>
                          <a:stretch>
                            <a:fillRect/>
                          </a:stretch>
                        </pic:blipFill>
                        <pic:spPr bwMode="auto">
                          <a:xfrm>
                            <a:off x="0" y="0"/>
                            <a:ext cx="2238375" cy="2038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208" w:type="dxa"/>
          </w:tcPr>
          <w:p w14:paraId="29C5D6B6" w14:textId="77777777" w:rsidR="00C14F17" w:rsidRDefault="00C14F17" w:rsidP="00476AAC">
            <w:pPr>
              <w:jc w:val="center"/>
              <w:rPr>
                <w:lang w:val="en-GB"/>
              </w:rPr>
            </w:pPr>
            <w:r w:rsidRPr="00C14F17">
              <w:rPr>
                <w:noProof/>
              </w:rPr>
              <w:drawing>
                <wp:inline distT="0" distB="0" distL="0" distR="0" wp14:anchorId="3C4F260D" wp14:editId="43739CE2">
                  <wp:extent cx="1885950" cy="1885950"/>
                  <wp:effectExtent l="0" t="0" r="0" b="0"/>
                  <wp:docPr id="60426" name="Picture 11" descr="C:\Users\LISAN\Pictures\plantes-halophytes-xerophiles\Acacia ehrenbergiana5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26" name="Picture 11" descr="C:\Users\LISAN\Pictures\plantes-halophytes-xerophiles\Acacia ehrenbergiana5_s.jpg"/>
                          <pic:cNvPicPr>
                            <a:picLocks noChangeAspect="1" noChangeArrowheads="1"/>
                          </pic:cNvPicPr>
                        </pic:nvPicPr>
                        <pic:blipFill>
                          <a:blip r:embed="rId749">
                            <a:extLst>
                              <a:ext uri="{28A0092B-C50C-407E-A947-70E740481C1C}">
                                <a14:useLocalDpi xmlns:a14="http://schemas.microsoft.com/office/drawing/2010/main" val="0"/>
                              </a:ext>
                            </a:extLst>
                          </a:blip>
                          <a:srcRect/>
                          <a:stretch>
                            <a:fillRect/>
                          </a:stretch>
                        </pic:blipFill>
                        <pic:spPr bwMode="auto">
                          <a:xfrm>
                            <a:off x="0" y="0"/>
                            <a:ext cx="1885950" cy="1885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67E97BD1" w14:textId="55509CC8" w:rsidR="00E03B2B" w:rsidRDefault="00E03B2B" w:rsidP="00C14F17">
      <w:pPr>
        <w:spacing w:after="0" w:line="240" w:lineRule="auto"/>
        <w:rPr>
          <w:lang w:val="en-GB"/>
        </w:rPr>
      </w:pPr>
    </w:p>
    <w:p w14:paraId="53164D19" w14:textId="77777777" w:rsidR="00826698" w:rsidRPr="00B243F9" w:rsidRDefault="00826698" w:rsidP="00B243F9">
      <w:pPr>
        <w:pStyle w:val="Titre2"/>
        <w:rPr>
          <w:i/>
          <w:iCs/>
        </w:rPr>
      </w:pPr>
      <w:bookmarkStart w:id="81" w:name="_Toc139181372"/>
      <w:r w:rsidRPr="00B243F9">
        <w:rPr>
          <w:i/>
          <w:iCs/>
        </w:rPr>
        <w:t>Acacia ampliceps</w:t>
      </w:r>
      <w:bookmarkEnd w:id="81"/>
    </w:p>
    <w:p w14:paraId="19988C27" w14:textId="02E76BFA" w:rsidR="00826698" w:rsidRDefault="00826698" w:rsidP="00826698">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5"/>
        <w:gridCol w:w="2212"/>
        <w:gridCol w:w="1645"/>
        <w:gridCol w:w="415"/>
        <w:gridCol w:w="1379"/>
      </w:tblGrid>
      <w:tr w:rsidR="008D0D1A" w:rsidRPr="000B6BE3" w14:paraId="07B79CF8" w14:textId="77777777" w:rsidTr="00476AAC">
        <w:tc>
          <w:tcPr>
            <w:tcW w:w="4775" w:type="dxa"/>
          </w:tcPr>
          <w:p w14:paraId="6273BA7C" w14:textId="77777777" w:rsidR="008D0D1A" w:rsidRPr="00DE2C3A" w:rsidRDefault="008D0D1A" w:rsidP="00476AAC">
            <w:pPr>
              <w:jc w:val="both"/>
              <w:rPr>
                <w:rFonts w:ascii="Calibri" w:hAnsi="Calibri" w:cs="Calibri"/>
                <w:bCs/>
              </w:rPr>
            </w:pPr>
            <w:r>
              <w:rPr>
                <w:rFonts w:ascii="Calibri" w:hAnsi="Calibri" w:cs="Calibri"/>
                <w:bCs/>
              </w:rPr>
              <w:t>(</w:t>
            </w:r>
            <w:r w:rsidRPr="00DE2C3A">
              <w:rPr>
                <w:rFonts w:ascii="Calibri" w:hAnsi="Calibri" w:cs="Calibri"/>
                <w:bCs/>
              </w:rPr>
              <w:t>Famille des</w:t>
            </w:r>
            <w:r>
              <w:rPr>
                <w:rFonts w:ascii="Calibri" w:hAnsi="Calibri" w:cs="Calibri"/>
                <w:bCs/>
              </w:rPr>
              <w:t xml:space="preserve"> </w:t>
            </w:r>
            <w:r w:rsidRPr="008F191E">
              <w:rPr>
                <w:rFonts w:ascii="Calibri" w:hAnsi="Calibri" w:cs="Calibri"/>
                <w:color w:val="202122"/>
                <w:shd w:val="clear" w:color="auto" w:fill="FFFFFF"/>
              </w:rPr>
              <w:t>Fabacées</w:t>
            </w:r>
            <w:r>
              <w:rPr>
                <w:rFonts w:ascii="Calibri" w:hAnsi="Calibri" w:cs="Calibri"/>
                <w:color w:val="202122"/>
                <w:shd w:val="clear" w:color="auto" w:fill="FFFFFF"/>
              </w:rPr>
              <w:t xml:space="preserve"> /</w:t>
            </w:r>
            <w:r w:rsidRPr="00DE2C3A">
              <w:rPr>
                <w:rFonts w:ascii="Calibri" w:hAnsi="Calibri" w:cs="Calibri"/>
                <w:bCs/>
              </w:rPr>
              <w:t> </w:t>
            </w:r>
            <w:hyperlink r:id="rId750" w:history="1">
              <w:r w:rsidRPr="00DE2C3A">
                <w:rPr>
                  <w:rStyle w:val="Lienhypertexte"/>
                  <w:rFonts w:ascii="Calibri" w:hAnsi="Calibri" w:cs="Calibri"/>
                  <w:bCs/>
                  <w:i/>
                  <w:iCs/>
                </w:rPr>
                <w:t>Fabaceae</w:t>
              </w:r>
            </w:hyperlink>
            <w:r>
              <w:rPr>
                <w:rFonts w:ascii="Calibri" w:hAnsi="Calibri" w:cs="Calibri"/>
                <w:bCs/>
              </w:rPr>
              <w:t>)</w:t>
            </w:r>
            <w:r w:rsidRPr="00DE2C3A">
              <w:rPr>
                <w:rFonts w:ascii="Calibri" w:hAnsi="Calibri" w:cs="Calibri"/>
                <w:bCs/>
              </w:rPr>
              <w:t>.</w:t>
            </w:r>
          </w:p>
          <w:p w14:paraId="0CC60DC6" w14:textId="77777777" w:rsidR="008D0D1A" w:rsidRPr="008F191E" w:rsidRDefault="008D0D1A" w:rsidP="00476AAC">
            <w:pPr>
              <w:rPr>
                <w:rFonts w:ascii="Calibri" w:hAnsi="Calibri" w:cs="Calibri"/>
                <w:bCs/>
              </w:rPr>
            </w:pPr>
          </w:p>
          <w:p w14:paraId="250B11E3" w14:textId="77777777" w:rsidR="008D0D1A" w:rsidRPr="000B6BE3" w:rsidRDefault="008D0D1A" w:rsidP="00476AAC">
            <w:pPr>
              <w:rPr>
                <w:rFonts w:cstheme="minorHAnsi"/>
              </w:rPr>
            </w:pPr>
          </w:p>
        </w:tc>
        <w:tc>
          <w:tcPr>
            <w:tcW w:w="2212" w:type="dxa"/>
          </w:tcPr>
          <w:p w14:paraId="34BA0AB5" w14:textId="77777777" w:rsidR="008D0D1A" w:rsidRPr="000B6BE3" w:rsidRDefault="008D0D1A" w:rsidP="00476AAC">
            <w:pPr>
              <w:rPr>
                <w:rFonts w:cstheme="minorHAnsi"/>
              </w:rPr>
            </w:pPr>
            <w:r w:rsidRPr="000B6BE3">
              <w:rPr>
                <w:rFonts w:cstheme="minorHAnsi"/>
                <w:noProof/>
              </w:rPr>
              <w:t xml:space="preserve">  </w:t>
            </w:r>
            <w:r>
              <w:rPr>
                <w:rFonts w:cstheme="minorHAnsi"/>
                <w:noProof/>
              </w:rPr>
              <w:t xml:space="preserve">    </w:t>
            </w:r>
            <w:r w:rsidRPr="008F2681">
              <w:rPr>
                <w:rFonts w:cstheme="minorHAnsi"/>
                <w:noProof/>
              </w:rPr>
              <w:drawing>
                <wp:inline distT="0" distB="0" distL="0" distR="0" wp14:anchorId="2A0D81A1" wp14:editId="6332C56B">
                  <wp:extent cx="463550" cy="661988"/>
                  <wp:effectExtent l="0" t="0" r="0" b="5080"/>
                  <wp:docPr id="39942"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r w:rsidRPr="005C50C9">
              <w:rPr>
                <w:rFonts w:cstheme="minorHAnsi"/>
                <w:noProof/>
              </w:rPr>
              <w:drawing>
                <wp:inline distT="0" distB="0" distL="0" distR="0" wp14:anchorId="2DCC8219" wp14:editId="19A7C5F6">
                  <wp:extent cx="495300" cy="666750"/>
                  <wp:effectExtent l="0" t="0" r="0" b="0"/>
                  <wp:docPr id="39943" name="Image 15"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8" name="Image 15" descr="logo aride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w:t>
            </w:r>
          </w:p>
        </w:tc>
        <w:tc>
          <w:tcPr>
            <w:tcW w:w="1645" w:type="dxa"/>
          </w:tcPr>
          <w:p w14:paraId="6039820A" w14:textId="77777777" w:rsidR="008D0D1A" w:rsidRPr="002E01BB" w:rsidRDefault="008D0D1A" w:rsidP="00476AAC">
            <w:pPr>
              <w:rPr>
                <w:rFonts w:eastAsia="+mn-ea" w:cstheme="minorHAnsi"/>
                <w:b/>
                <w:bCs/>
                <w:color w:val="008000"/>
                <w:kern w:val="24"/>
                <w:sz w:val="56"/>
                <w:szCs w:val="56"/>
              </w:rPr>
            </w:pPr>
            <w:r w:rsidRPr="00D1445E">
              <w:rPr>
                <w:rFonts w:eastAsia="+mn-ea" w:cstheme="minorHAnsi"/>
                <w:b/>
                <w:bCs/>
                <w:color w:val="008000"/>
                <w:kern w:val="24"/>
                <w:sz w:val="56"/>
                <w:szCs w:val="56"/>
              </w:rPr>
              <w:t>U</w:t>
            </w:r>
            <w:r>
              <w:rPr>
                <w:rFonts w:eastAsia="+mn-ea" w:cstheme="minorHAnsi"/>
                <w:b/>
                <w:bCs/>
                <w:color w:val="008000"/>
                <w:kern w:val="24"/>
                <w:sz w:val="56"/>
                <w:szCs w:val="56"/>
              </w:rPr>
              <w:t xml:space="preserve"> $$</w:t>
            </w:r>
          </w:p>
          <w:p w14:paraId="193EB3FE" w14:textId="77777777" w:rsidR="008D0D1A" w:rsidRPr="000B6BE3" w:rsidRDefault="008D0D1A" w:rsidP="00476AAC">
            <w:pPr>
              <w:textAlignment w:val="baseline"/>
              <w:rPr>
                <w:rFonts w:cstheme="minorHAnsi"/>
              </w:rPr>
            </w:pPr>
          </w:p>
        </w:tc>
        <w:tc>
          <w:tcPr>
            <w:tcW w:w="415" w:type="dxa"/>
          </w:tcPr>
          <w:p w14:paraId="158BE281" w14:textId="77777777" w:rsidR="008D0D1A" w:rsidRPr="000B6BE3" w:rsidRDefault="008D0D1A" w:rsidP="00476AAC">
            <w:pPr>
              <w:rPr>
                <w:rFonts w:cstheme="minorHAnsi"/>
              </w:rPr>
            </w:pPr>
          </w:p>
        </w:tc>
        <w:tc>
          <w:tcPr>
            <w:tcW w:w="1379" w:type="dxa"/>
          </w:tcPr>
          <w:p w14:paraId="327D306D" w14:textId="77777777" w:rsidR="008D0D1A" w:rsidRPr="000B6BE3" w:rsidRDefault="008D0D1A" w:rsidP="00476AAC">
            <w:pPr>
              <w:rPr>
                <w:rFonts w:cstheme="minorHAnsi"/>
              </w:rPr>
            </w:pPr>
          </w:p>
        </w:tc>
      </w:tr>
    </w:tbl>
    <w:p w14:paraId="0325F6A5" w14:textId="77777777" w:rsidR="008D0D1A" w:rsidRPr="00826698" w:rsidRDefault="008D0D1A" w:rsidP="00826698">
      <w:pPr>
        <w:spacing w:after="0" w:line="240" w:lineRule="auto"/>
        <w:jc w:val="both"/>
      </w:pPr>
    </w:p>
    <w:p w14:paraId="0C45865E" w14:textId="77777777" w:rsidR="00826698" w:rsidRPr="00826698" w:rsidRDefault="00826698" w:rsidP="00826698">
      <w:pPr>
        <w:spacing w:after="0" w:line="240" w:lineRule="auto"/>
        <w:jc w:val="both"/>
      </w:pPr>
      <w:r w:rsidRPr="00826698">
        <w:t>Arbuste ou petit arbre 2-8 m de haut, aux fleurs blanc ou de crème par 25-50 formant une boule.</w:t>
      </w:r>
    </w:p>
    <w:p w14:paraId="3D4C142D" w14:textId="0A8EF5FB" w:rsidR="00826698" w:rsidRPr="00826698" w:rsidRDefault="008D0D1A" w:rsidP="00826698">
      <w:pPr>
        <w:spacing w:after="0" w:line="240" w:lineRule="auto"/>
        <w:jc w:val="both"/>
      </w:pPr>
      <w:r w:rsidRPr="008D0D1A">
        <w:t>A</w:t>
      </w:r>
      <w:r w:rsidRPr="008D0D1A">
        <w:rPr>
          <w:i/>
          <w:iCs/>
        </w:rPr>
        <w:t>. ampliceps</w:t>
      </w:r>
      <w:r w:rsidRPr="008D0D1A">
        <w:t xml:space="preserve"> fait partie, avec A</w:t>
      </w:r>
      <w:r w:rsidRPr="008D0D1A">
        <w:rPr>
          <w:i/>
          <w:iCs/>
        </w:rPr>
        <w:t>. bivenosa</w:t>
      </w:r>
      <w:r w:rsidRPr="008D0D1A">
        <w:t>, d’un complexe qui comprend également A</w:t>
      </w:r>
      <w:r w:rsidRPr="008D0D1A">
        <w:rPr>
          <w:i/>
          <w:iCs/>
        </w:rPr>
        <w:t>. ligulata, A. salicina et A. sclerosperma</w:t>
      </w:r>
      <w:r w:rsidRPr="008D0D1A">
        <w:t>, bien que les trois derniers soient morphologiquement très différents du premier.</w:t>
      </w:r>
      <w:r>
        <w:t xml:space="preserve"> </w:t>
      </w:r>
      <w:r w:rsidR="00826698" w:rsidRPr="00826698">
        <w:t>Tandis que les trois autres A</w:t>
      </w:r>
      <w:r w:rsidR="00826698" w:rsidRPr="00826698">
        <w:rPr>
          <w:i/>
          <w:iCs/>
        </w:rPr>
        <w:t>. sclerosperma, A. ligulata et A. salicina</w:t>
      </w:r>
      <w:r w:rsidR="00826698" w:rsidRPr="00826698">
        <w:t> se développent très bien dans les zones arides méditerranéennes de Tunisie et d'Israël (Le Houérou et Pontanier, 1987). </w:t>
      </w:r>
      <w:r w:rsidR="00826698" w:rsidRPr="008D0D1A">
        <w:rPr>
          <w:i/>
          <w:iCs/>
        </w:rPr>
        <w:t>A. sclerosperma</w:t>
      </w:r>
      <w:r w:rsidR="00826698" w:rsidRPr="00826698">
        <w:t xml:space="preserve"> est donc le seul du groupe à être en forme à la fois au Sahel et dans les terres arides du bassin méditerranéen dans l'état actuel des espèces introduites dans les deux </w:t>
      </w:r>
      <w:r w:rsidR="00826698" w:rsidRPr="00826698">
        <w:lastRenderedPageBreak/>
        <w:t xml:space="preserve">écozones. En raison de son port buissonnant, complexe, s’étendant latéralement, </w:t>
      </w:r>
      <w:r w:rsidR="00826698" w:rsidRPr="00826698">
        <w:rPr>
          <w:i/>
          <w:iCs/>
        </w:rPr>
        <w:t>A. sclerosperma</w:t>
      </w:r>
      <w:r w:rsidR="00826698" w:rsidRPr="00826698">
        <w:t> est particulièrement adapté à des projets de lutte contre l'érosion (Dommergues et al., 1999).</w:t>
      </w:r>
    </w:p>
    <w:p w14:paraId="51BDA1A3" w14:textId="77777777" w:rsidR="008D0D1A" w:rsidRPr="00826698" w:rsidRDefault="008D0D1A" w:rsidP="008D0D1A">
      <w:pPr>
        <w:spacing w:after="0" w:line="240" w:lineRule="auto"/>
        <w:jc w:val="both"/>
      </w:pPr>
      <w:r w:rsidRPr="00826698">
        <w:rPr>
          <w:u w:val="single"/>
        </w:rPr>
        <w:t>Note</w:t>
      </w:r>
      <w:r w:rsidRPr="00826698">
        <w:t xml:space="preserve"> : </w:t>
      </w:r>
      <w:r w:rsidRPr="00826698">
        <w:rPr>
          <w:i/>
          <w:iCs/>
        </w:rPr>
        <w:t>A. ampliceps</w:t>
      </w:r>
      <w:r w:rsidRPr="00826698">
        <w:t xml:space="preserve">, </w:t>
      </w:r>
      <w:r w:rsidRPr="00826698">
        <w:rPr>
          <w:i/>
          <w:iCs/>
        </w:rPr>
        <w:t>A.</w:t>
      </w:r>
      <w:r>
        <w:rPr>
          <w:i/>
          <w:iCs/>
        </w:rPr>
        <w:t xml:space="preserve"> </w:t>
      </w:r>
      <w:r w:rsidRPr="00826698">
        <w:rPr>
          <w:i/>
          <w:iCs/>
        </w:rPr>
        <w:t>bivenosa </w:t>
      </w:r>
      <w:r w:rsidRPr="00826698">
        <w:t>et </w:t>
      </w:r>
      <w:r w:rsidRPr="00826698">
        <w:rPr>
          <w:i/>
          <w:iCs/>
        </w:rPr>
        <w:t>A. sclerosperma</w:t>
      </w:r>
      <w:r w:rsidRPr="00826698">
        <w:t> se développent bien au Sahel et Cap-Vert, mais pas A</w:t>
      </w:r>
      <w:r w:rsidRPr="00826698">
        <w:rPr>
          <w:i/>
          <w:iCs/>
        </w:rPr>
        <w:t>. ligulata</w:t>
      </w:r>
      <w:r w:rsidRPr="00826698">
        <w:t> et A. salicina (Delwaulle, 1979; Hamel, 1980; Cossalter, 1985, 1986, 1987). </w:t>
      </w:r>
    </w:p>
    <w:p w14:paraId="47392A9B" w14:textId="77777777" w:rsidR="00231C3F" w:rsidRPr="00826698" w:rsidRDefault="00231C3F" w:rsidP="00231C3F">
      <w:pPr>
        <w:spacing w:after="0" w:line="240" w:lineRule="auto"/>
        <w:jc w:val="both"/>
      </w:pPr>
      <w:r w:rsidRPr="00826698">
        <w:t>Il est endémique d'une région du Territoire du Nord et des régions de Kimberley et de Pilbara en Australie-Occidentale où il est présent le long des cours d'eau et dans les plaines inondables, sur les dunes de sable côtières et les marais salants poussant sur des sols sablonneux.</w:t>
      </w:r>
    </w:p>
    <w:p w14:paraId="501AF257" w14:textId="77777777" w:rsidR="00231C3F" w:rsidRPr="00826698" w:rsidRDefault="00231C3F" w:rsidP="00231C3F">
      <w:pPr>
        <w:spacing w:after="0" w:line="240" w:lineRule="auto"/>
        <w:jc w:val="both"/>
      </w:pPr>
      <w:r w:rsidRPr="002353E9">
        <w:rPr>
          <w:u w:val="single"/>
        </w:rPr>
        <w:t>Durée de vie</w:t>
      </w:r>
      <w:r w:rsidRPr="00826698">
        <w:t>: jusqu'à 50 ans. Il nécessite 200-800 mm et 3-7 mois de saison des pluies. Il peut être trouvé sur les sols sableux ou limoneux alluviaux ou alcalins. Il est très tolérant à la salinité (on l'appelle aussi Acacia salé). L'arbre est sensible au gel.</w:t>
      </w:r>
    </w:p>
    <w:p w14:paraId="34CFDD2E" w14:textId="77777777" w:rsidR="00231C3F" w:rsidRPr="00826698" w:rsidRDefault="00231C3F" w:rsidP="00231C3F">
      <w:pPr>
        <w:spacing w:after="0" w:line="240" w:lineRule="auto"/>
        <w:jc w:val="both"/>
      </w:pPr>
      <w:r w:rsidRPr="008D0D1A">
        <w:rPr>
          <w:u w:val="single"/>
        </w:rPr>
        <w:t>Usage</w:t>
      </w:r>
      <w:r w:rsidRPr="00826698">
        <w:t xml:space="preserve"> : bois dur rond, bon combustible, bon fourrage, les graines sont consommées par les humains.</w:t>
      </w:r>
    </w:p>
    <w:p w14:paraId="256504EE" w14:textId="15579856" w:rsidR="00231C3F" w:rsidRPr="00826698" w:rsidRDefault="00231C3F" w:rsidP="00231C3F">
      <w:pPr>
        <w:spacing w:after="0" w:line="240" w:lineRule="auto"/>
        <w:jc w:val="both"/>
      </w:pPr>
      <w:r w:rsidRPr="00231C3F">
        <w:rPr>
          <w:u w:val="single"/>
        </w:rPr>
        <w:t>Reproduction</w:t>
      </w:r>
      <w:r>
        <w:t xml:space="preserve"> : </w:t>
      </w:r>
      <w:r w:rsidRPr="00826698">
        <w:t>Il se propage par ses semences.</w:t>
      </w:r>
    </w:p>
    <w:p w14:paraId="25EF50A6" w14:textId="0A802FA0" w:rsidR="00826698" w:rsidRDefault="00826698" w:rsidP="00826698">
      <w:pPr>
        <w:spacing w:after="0" w:line="240" w:lineRule="auto"/>
        <w:jc w:val="both"/>
      </w:pPr>
      <w:r w:rsidRPr="00826698">
        <w:t xml:space="preserve">Source : a) </w:t>
      </w:r>
      <w:hyperlink r:id="rId751" w:history="1">
        <w:r w:rsidRPr="00BE3443">
          <w:rPr>
            <w:rStyle w:val="Lienhypertexte"/>
          </w:rPr>
          <w:t>http://www.fao.org/ag/AGP/AGPC/doc/Gbase/data/pf000362.htm</w:t>
        </w:r>
      </w:hyperlink>
      <w:r w:rsidRPr="00826698">
        <w:t>,</w:t>
      </w:r>
      <w:r>
        <w:t xml:space="preserve"> </w:t>
      </w:r>
      <w:r w:rsidRPr="00826698">
        <w:t xml:space="preserve"> </w:t>
      </w:r>
    </w:p>
    <w:p w14:paraId="5E2D1A89" w14:textId="08788322" w:rsidR="00C14F17" w:rsidRPr="00231C3F" w:rsidRDefault="00826698" w:rsidP="00231C3F">
      <w:pPr>
        <w:spacing w:after="0" w:line="240" w:lineRule="auto"/>
        <w:jc w:val="both"/>
      </w:pPr>
      <w:r w:rsidRPr="00826698">
        <w:t xml:space="preserve">b) </w:t>
      </w:r>
      <w:hyperlink r:id="rId752" w:history="1">
        <w:r w:rsidRPr="00826698">
          <w:rPr>
            <w:rStyle w:val="Lienhypertexte"/>
          </w:rPr>
          <w:t>https://en.wikipedia.org/wiki/Acacia_ampliceps</w:t>
        </w:r>
      </w:hyperlink>
      <w:r w:rsidRPr="00826698">
        <w:t xml:space="preserv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2353E9" w14:paraId="3850C4D3" w14:textId="77777777" w:rsidTr="002353E9">
        <w:tc>
          <w:tcPr>
            <w:tcW w:w="5208" w:type="dxa"/>
          </w:tcPr>
          <w:p w14:paraId="57E3BAC9" w14:textId="77777777" w:rsidR="00465BE1" w:rsidRDefault="002353E9" w:rsidP="00231C3F">
            <w:pPr>
              <w:jc w:val="center"/>
            </w:pPr>
            <w:r w:rsidRPr="002353E9">
              <w:rPr>
                <w:noProof/>
              </w:rPr>
              <w:drawing>
                <wp:inline distT="0" distB="0" distL="0" distR="0" wp14:anchorId="065AA649" wp14:editId="14746AF4">
                  <wp:extent cx="2327223" cy="1543050"/>
                  <wp:effectExtent l="0" t="0" r="0" b="0"/>
                  <wp:docPr id="62478" name="Picture 5" descr="C:\Users\LISAN\Pictures\plantes-halophytes-xerophiles\Acacia amplicep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78" name="Picture 5" descr="C:\Users\LISAN\Pictures\plantes-halophytes-xerophiles\Acacia ampliceps3.jpg"/>
                          <pic:cNvPicPr>
                            <a:picLocks noChangeAspect="1" noChangeArrowheads="1"/>
                          </pic:cNvPicPr>
                        </pic:nvPicPr>
                        <pic:blipFill>
                          <a:blip r:embed="rId753">
                            <a:extLst>
                              <a:ext uri="{28A0092B-C50C-407E-A947-70E740481C1C}">
                                <a14:useLocalDpi xmlns:a14="http://schemas.microsoft.com/office/drawing/2010/main" val="0"/>
                              </a:ext>
                            </a:extLst>
                          </a:blip>
                          <a:srcRect/>
                          <a:stretch>
                            <a:fillRect/>
                          </a:stretch>
                        </pic:blipFill>
                        <pic:spPr bwMode="auto">
                          <a:xfrm>
                            <a:off x="0" y="0"/>
                            <a:ext cx="2336277" cy="1549053"/>
                          </a:xfrm>
                          <a:prstGeom prst="rect">
                            <a:avLst/>
                          </a:prstGeom>
                          <a:noFill/>
                          <a:ln>
                            <a:noFill/>
                          </a:ln>
                        </pic:spPr>
                      </pic:pic>
                    </a:graphicData>
                  </a:graphic>
                </wp:inline>
              </w:drawing>
            </w:r>
          </w:p>
          <w:p w14:paraId="247845F4" w14:textId="1B098944" w:rsidR="000B73C7" w:rsidRDefault="000B73C7" w:rsidP="00231C3F">
            <w:pPr>
              <w:jc w:val="center"/>
            </w:pPr>
          </w:p>
        </w:tc>
        <w:tc>
          <w:tcPr>
            <w:tcW w:w="5208" w:type="dxa"/>
          </w:tcPr>
          <w:p w14:paraId="35206F0B" w14:textId="583D3785" w:rsidR="002353E9" w:rsidRDefault="002353E9" w:rsidP="002353E9">
            <w:pPr>
              <w:jc w:val="center"/>
            </w:pPr>
            <w:r w:rsidRPr="002353E9">
              <w:rPr>
                <w:noProof/>
              </w:rPr>
              <w:drawing>
                <wp:inline distT="0" distB="0" distL="0" distR="0" wp14:anchorId="3F87CF98" wp14:editId="409630C5">
                  <wp:extent cx="2325725" cy="1543050"/>
                  <wp:effectExtent l="0" t="0" r="0" b="0"/>
                  <wp:docPr id="62477" name="Picture 4" descr="C:\Users\LISAN\Pictures\plantes-halophytes-xerophiles\Acacia amplicep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77" name="Picture 4" descr="C:\Users\LISAN\Pictures\plantes-halophytes-xerophiles\Acacia ampliceps2.jpg"/>
                          <pic:cNvPicPr>
                            <a:picLocks noChangeAspect="1" noChangeArrowheads="1"/>
                          </pic:cNvPicPr>
                        </pic:nvPicPr>
                        <pic:blipFill>
                          <a:blip r:embed="rId754">
                            <a:extLst>
                              <a:ext uri="{28A0092B-C50C-407E-A947-70E740481C1C}">
                                <a14:useLocalDpi xmlns:a14="http://schemas.microsoft.com/office/drawing/2010/main" val="0"/>
                              </a:ext>
                            </a:extLst>
                          </a:blip>
                          <a:srcRect/>
                          <a:stretch>
                            <a:fillRect/>
                          </a:stretch>
                        </pic:blipFill>
                        <pic:spPr bwMode="auto">
                          <a:xfrm>
                            <a:off x="0" y="0"/>
                            <a:ext cx="2330934" cy="1546506"/>
                          </a:xfrm>
                          <a:prstGeom prst="rect">
                            <a:avLst/>
                          </a:prstGeom>
                          <a:noFill/>
                          <a:ln>
                            <a:noFill/>
                          </a:ln>
                        </pic:spPr>
                      </pic:pic>
                    </a:graphicData>
                  </a:graphic>
                </wp:inline>
              </w:drawing>
            </w:r>
          </w:p>
        </w:tc>
      </w:tr>
      <w:tr w:rsidR="002353E9" w14:paraId="2EA656F0" w14:textId="77777777" w:rsidTr="002353E9">
        <w:tc>
          <w:tcPr>
            <w:tcW w:w="5208" w:type="dxa"/>
          </w:tcPr>
          <w:p w14:paraId="17E0EDEA" w14:textId="77777777" w:rsidR="002353E9" w:rsidRDefault="002353E9" w:rsidP="00476AAC">
            <w:pPr>
              <w:jc w:val="center"/>
            </w:pPr>
            <w:r w:rsidRPr="002353E9">
              <w:rPr>
                <w:noProof/>
              </w:rPr>
              <w:drawing>
                <wp:inline distT="0" distB="0" distL="0" distR="0" wp14:anchorId="3E61F075" wp14:editId="4E5285FB">
                  <wp:extent cx="3168650" cy="2373313"/>
                  <wp:effectExtent l="0" t="0" r="0" b="8255"/>
                  <wp:docPr id="62475" name="Picture 2" descr="C:\Users\LISAN\Pictures\plantes-halophytes-xerophiles\Acacia amplicep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75" name="Picture 2" descr="C:\Users\LISAN\Pictures\plantes-halophytes-xerophiles\Acacia ampliceps4.jpg"/>
                          <pic:cNvPicPr>
                            <a:picLocks noChangeAspect="1" noChangeArrowheads="1"/>
                          </pic:cNvPicPr>
                        </pic:nvPicPr>
                        <pic:blipFill>
                          <a:blip r:embed="rId755">
                            <a:extLst>
                              <a:ext uri="{28A0092B-C50C-407E-A947-70E740481C1C}">
                                <a14:useLocalDpi xmlns:a14="http://schemas.microsoft.com/office/drawing/2010/main" val="0"/>
                              </a:ext>
                            </a:extLst>
                          </a:blip>
                          <a:srcRect/>
                          <a:stretch>
                            <a:fillRect/>
                          </a:stretch>
                        </pic:blipFill>
                        <pic:spPr bwMode="auto">
                          <a:xfrm>
                            <a:off x="0" y="0"/>
                            <a:ext cx="3168650" cy="23733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208" w:type="dxa"/>
          </w:tcPr>
          <w:p w14:paraId="2B13EB7F" w14:textId="77777777" w:rsidR="002353E9" w:rsidRDefault="002353E9" w:rsidP="00476AAC">
            <w:pPr>
              <w:jc w:val="center"/>
            </w:pPr>
            <w:r w:rsidRPr="002353E9">
              <w:rPr>
                <w:noProof/>
              </w:rPr>
              <w:drawing>
                <wp:inline distT="0" distB="0" distL="0" distR="0" wp14:anchorId="4EEAC0FB" wp14:editId="1EFA2C03">
                  <wp:extent cx="2466975" cy="1847850"/>
                  <wp:effectExtent l="0" t="0" r="9525" b="0"/>
                  <wp:docPr id="62476" name="Picture 3" descr="C:\Users\LISAN\Pictures\plantes-halophytes-xerophiles\Acacia amplicep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76" name="Picture 3" descr="C:\Users\LISAN\Pictures\plantes-halophytes-xerophiles\Acacia ampliceps1.jpg"/>
                          <pic:cNvPicPr>
                            <a:picLocks noChangeAspect="1" noChangeArrowheads="1"/>
                          </pic:cNvPicPr>
                        </pic:nvPicPr>
                        <pic:blipFill>
                          <a:blip r:embed="rId756">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363E3789" w14:textId="77777777" w:rsidR="002353E9" w:rsidRPr="002353E9" w:rsidRDefault="002353E9" w:rsidP="00476AAC">
            <w:pPr>
              <w:jc w:val="center"/>
            </w:pPr>
            <w:r w:rsidRPr="002353E9">
              <w:t>Plantation en Australie.</w:t>
            </w:r>
          </w:p>
          <w:p w14:paraId="0BE558CA" w14:textId="0C80C79C" w:rsidR="002353E9" w:rsidRPr="002353E9" w:rsidRDefault="002353E9" w:rsidP="00476AAC">
            <w:pPr>
              <w:jc w:val="center"/>
            </w:pPr>
            <w:r w:rsidRPr="002353E9">
              <w:t>Source</w:t>
            </w:r>
            <w:r w:rsidR="000B73C7">
              <w:t> </w:t>
            </w:r>
            <w:r w:rsidRPr="002353E9">
              <w:t xml:space="preserve">: </w:t>
            </w:r>
            <w:hyperlink r:id="rId757" w:history="1">
              <w:r w:rsidRPr="002353E9">
                <w:rPr>
                  <w:rStyle w:val="Lienhypertexte"/>
                </w:rPr>
                <w:t>http</w:t>
              </w:r>
              <w:r w:rsidR="000B73C7">
                <w:rPr>
                  <w:rStyle w:val="Lienhypertexte"/>
                </w:rPr>
                <w:t> </w:t>
              </w:r>
              <w:r w:rsidRPr="002353E9">
                <w:rPr>
                  <w:rStyle w:val="Lienhypertexte"/>
                </w:rPr>
                <w:t>://www.ncbi.nlm.nih.gov/</w:t>
              </w:r>
            </w:hyperlink>
            <w:r w:rsidRPr="002353E9">
              <w:t xml:space="preserve"> </w:t>
            </w:r>
          </w:p>
          <w:p w14:paraId="788C04F0" w14:textId="77777777" w:rsidR="002353E9" w:rsidRDefault="002353E9" w:rsidP="00476AAC">
            <w:pPr>
              <w:jc w:val="center"/>
            </w:pPr>
          </w:p>
        </w:tc>
      </w:tr>
    </w:tbl>
    <w:p w14:paraId="2D35FD1C" w14:textId="77777777" w:rsidR="000B73C7" w:rsidRDefault="000B73C7" w:rsidP="000B73C7">
      <w:pPr>
        <w:spacing w:after="0" w:line="240" w:lineRule="auto"/>
      </w:pPr>
    </w:p>
    <w:p w14:paraId="33E36E36" w14:textId="77777777" w:rsidR="00231C3F" w:rsidRPr="00B243F9" w:rsidRDefault="00231C3F" w:rsidP="00B243F9">
      <w:pPr>
        <w:pStyle w:val="Titre2"/>
        <w:rPr>
          <w:i/>
          <w:iCs/>
        </w:rPr>
      </w:pPr>
      <w:bookmarkStart w:id="82" w:name="_Toc139181373"/>
      <w:r w:rsidRPr="00B243F9">
        <w:rPr>
          <w:i/>
          <w:iCs/>
        </w:rPr>
        <w:t>Bauhinia rufescens</w:t>
      </w:r>
      <w:bookmarkEnd w:id="82"/>
    </w:p>
    <w:p w14:paraId="3707EFD9" w14:textId="73E42D07" w:rsidR="00231C3F" w:rsidRDefault="00231C3F" w:rsidP="00231C3F">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5"/>
        <w:gridCol w:w="2313"/>
        <w:gridCol w:w="1544"/>
        <w:gridCol w:w="415"/>
        <w:gridCol w:w="1379"/>
      </w:tblGrid>
      <w:tr w:rsidR="007013D6" w:rsidRPr="000B6BE3" w14:paraId="6662D039" w14:textId="77777777" w:rsidTr="007013D6">
        <w:tc>
          <w:tcPr>
            <w:tcW w:w="4775" w:type="dxa"/>
          </w:tcPr>
          <w:p w14:paraId="08896373" w14:textId="77777777" w:rsidR="007013D6" w:rsidRPr="00DE2C3A" w:rsidRDefault="007013D6" w:rsidP="00FC01CD">
            <w:pPr>
              <w:jc w:val="both"/>
              <w:rPr>
                <w:rFonts w:ascii="Calibri" w:hAnsi="Calibri" w:cs="Calibri"/>
                <w:bCs/>
              </w:rPr>
            </w:pPr>
            <w:r>
              <w:rPr>
                <w:rFonts w:ascii="Calibri" w:hAnsi="Calibri" w:cs="Calibri"/>
                <w:bCs/>
              </w:rPr>
              <w:t>(</w:t>
            </w:r>
            <w:r w:rsidRPr="00DE2C3A">
              <w:rPr>
                <w:rFonts w:ascii="Calibri" w:hAnsi="Calibri" w:cs="Calibri"/>
                <w:bCs/>
              </w:rPr>
              <w:t>Famille des</w:t>
            </w:r>
            <w:r>
              <w:rPr>
                <w:rFonts w:ascii="Calibri" w:hAnsi="Calibri" w:cs="Calibri"/>
                <w:bCs/>
              </w:rPr>
              <w:t xml:space="preserve"> </w:t>
            </w:r>
            <w:r w:rsidRPr="008F191E">
              <w:rPr>
                <w:rFonts w:ascii="Calibri" w:hAnsi="Calibri" w:cs="Calibri"/>
                <w:color w:val="202122"/>
                <w:shd w:val="clear" w:color="auto" w:fill="FFFFFF"/>
              </w:rPr>
              <w:t>Fabacées</w:t>
            </w:r>
            <w:r>
              <w:rPr>
                <w:rFonts w:ascii="Calibri" w:hAnsi="Calibri" w:cs="Calibri"/>
                <w:color w:val="202122"/>
                <w:shd w:val="clear" w:color="auto" w:fill="FFFFFF"/>
              </w:rPr>
              <w:t xml:space="preserve"> /</w:t>
            </w:r>
            <w:r w:rsidRPr="00DE2C3A">
              <w:rPr>
                <w:rFonts w:ascii="Calibri" w:hAnsi="Calibri" w:cs="Calibri"/>
                <w:bCs/>
              </w:rPr>
              <w:t> </w:t>
            </w:r>
            <w:hyperlink r:id="rId758" w:history="1">
              <w:r w:rsidRPr="00DE2C3A">
                <w:rPr>
                  <w:rStyle w:val="Lienhypertexte"/>
                  <w:rFonts w:ascii="Calibri" w:hAnsi="Calibri" w:cs="Calibri"/>
                  <w:bCs/>
                  <w:i/>
                  <w:iCs/>
                </w:rPr>
                <w:t>Fabaceae</w:t>
              </w:r>
            </w:hyperlink>
            <w:r>
              <w:rPr>
                <w:rFonts w:ascii="Calibri" w:hAnsi="Calibri" w:cs="Calibri"/>
                <w:bCs/>
              </w:rPr>
              <w:t>)</w:t>
            </w:r>
            <w:r w:rsidRPr="00DE2C3A">
              <w:rPr>
                <w:rFonts w:ascii="Calibri" w:hAnsi="Calibri" w:cs="Calibri"/>
                <w:bCs/>
              </w:rPr>
              <w:t>.</w:t>
            </w:r>
          </w:p>
          <w:p w14:paraId="19B8E4AF" w14:textId="77777777" w:rsidR="007013D6" w:rsidRPr="008F191E" w:rsidRDefault="007013D6" w:rsidP="00FC01CD">
            <w:pPr>
              <w:rPr>
                <w:rFonts w:ascii="Calibri" w:hAnsi="Calibri" w:cs="Calibri"/>
                <w:bCs/>
              </w:rPr>
            </w:pPr>
          </w:p>
          <w:p w14:paraId="6529C000" w14:textId="77777777" w:rsidR="007013D6" w:rsidRPr="000B6BE3" w:rsidRDefault="007013D6" w:rsidP="00FC01CD">
            <w:pPr>
              <w:rPr>
                <w:rFonts w:cstheme="minorHAnsi"/>
              </w:rPr>
            </w:pPr>
          </w:p>
        </w:tc>
        <w:tc>
          <w:tcPr>
            <w:tcW w:w="2313" w:type="dxa"/>
          </w:tcPr>
          <w:p w14:paraId="0DB7A335" w14:textId="57B61AB7" w:rsidR="007013D6" w:rsidRPr="000B6BE3" w:rsidRDefault="007013D6" w:rsidP="00FC01CD">
            <w:pPr>
              <w:rPr>
                <w:rFonts w:cstheme="minorHAnsi"/>
              </w:rPr>
            </w:pPr>
            <w:r w:rsidRPr="000B6BE3">
              <w:rPr>
                <w:rFonts w:cstheme="minorHAnsi"/>
                <w:noProof/>
              </w:rPr>
              <w:t xml:space="preserve">  </w:t>
            </w:r>
            <w:r>
              <w:rPr>
                <w:rFonts w:cstheme="minorHAnsi"/>
                <w:noProof/>
              </w:rPr>
              <w:t xml:space="preserve">     </w:t>
            </w:r>
            <w:r w:rsidRPr="005C50C9">
              <w:rPr>
                <w:rFonts w:cstheme="minorHAnsi"/>
                <w:noProof/>
              </w:rPr>
              <w:drawing>
                <wp:inline distT="0" distB="0" distL="0" distR="0" wp14:anchorId="690BF8E2" wp14:editId="0B57F4BC">
                  <wp:extent cx="495300" cy="666750"/>
                  <wp:effectExtent l="0" t="0" r="0" b="0"/>
                  <wp:docPr id="39948" name="Image 15"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8" name="Image 15" descr="logo aride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w:t>
            </w:r>
            <w:r w:rsidRPr="008F2681">
              <w:rPr>
                <w:rFonts w:cstheme="minorHAnsi"/>
                <w:noProof/>
              </w:rPr>
              <w:drawing>
                <wp:inline distT="0" distB="0" distL="0" distR="0" wp14:anchorId="7E210629" wp14:editId="53F65C76">
                  <wp:extent cx="463550" cy="661988"/>
                  <wp:effectExtent l="0" t="0" r="0" b="5080"/>
                  <wp:docPr id="39947"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w:t>
            </w:r>
          </w:p>
        </w:tc>
        <w:tc>
          <w:tcPr>
            <w:tcW w:w="1544" w:type="dxa"/>
          </w:tcPr>
          <w:p w14:paraId="58FCEE9C" w14:textId="2C5966DE" w:rsidR="007013D6" w:rsidRPr="002E01BB" w:rsidRDefault="007013D6" w:rsidP="00FC01CD">
            <w:pPr>
              <w:rPr>
                <w:rFonts w:eastAsia="+mn-ea" w:cstheme="minorHAnsi"/>
                <w:b/>
                <w:bCs/>
                <w:color w:val="008000"/>
                <w:kern w:val="24"/>
                <w:sz w:val="56"/>
                <w:szCs w:val="56"/>
              </w:rPr>
            </w:pPr>
            <w:r w:rsidRPr="00D1445E">
              <w:rPr>
                <w:rFonts w:eastAsia="+mn-ea" w:cstheme="minorHAnsi"/>
                <w:b/>
                <w:bCs/>
                <w:color w:val="008000"/>
                <w:kern w:val="24"/>
                <w:sz w:val="56"/>
                <w:szCs w:val="56"/>
              </w:rPr>
              <w:t>U</w:t>
            </w:r>
          </w:p>
          <w:p w14:paraId="7A5AC603" w14:textId="77777777" w:rsidR="007013D6" w:rsidRPr="000B6BE3" w:rsidRDefault="007013D6" w:rsidP="00FC01CD">
            <w:pPr>
              <w:textAlignment w:val="baseline"/>
              <w:rPr>
                <w:rFonts w:cstheme="minorHAnsi"/>
              </w:rPr>
            </w:pPr>
          </w:p>
        </w:tc>
        <w:tc>
          <w:tcPr>
            <w:tcW w:w="415" w:type="dxa"/>
          </w:tcPr>
          <w:p w14:paraId="076B5E26" w14:textId="77777777" w:rsidR="007013D6" w:rsidRPr="000B6BE3" w:rsidRDefault="007013D6" w:rsidP="00FC01CD">
            <w:pPr>
              <w:rPr>
                <w:rFonts w:cstheme="minorHAnsi"/>
              </w:rPr>
            </w:pPr>
          </w:p>
        </w:tc>
        <w:tc>
          <w:tcPr>
            <w:tcW w:w="1379" w:type="dxa"/>
          </w:tcPr>
          <w:p w14:paraId="3D07916D" w14:textId="44157B7E" w:rsidR="007013D6" w:rsidRPr="000B6BE3" w:rsidRDefault="00B66EB1" w:rsidP="00FC01CD">
            <w:pPr>
              <w:rPr>
                <w:rFonts w:cstheme="minorHAnsi"/>
              </w:rPr>
            </w:pPr>
            <w:r w:rsidRPr="00853ED0">
              <w:rPr>
                <w:noProof/>
              </w:rPr>
              <w:drawing>
                <wp:inline distT="0" distB="0" distL="0" distR="0" wp14:anchorId="072F6885" wp14:editId="40C95E54">
                  <wp:extent cx="400050" cy="352425"/>
                  <wp:effectExtent l="0" t="0" r="0" b="9525"/>
                  <wp:docPr id="104474" name="Image 21">
                    <a:extLst xmlns:a="http://schemas.openxmlformats.org/drawingml/2006/main">
                      <a:ext uri="{FF2B5EF4-FFF2-40B4-BE49-F238E27FC236}">
                        <a16:creationId xmlns:a16="http://schemas.microsoft.com/office/drawing/2014/main" id="{F52353B3-AA67-41AB-ACE3-C9465695F4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3" name="Image 21">
                            <a:extLst>
                              <a:ext uri="{FF2B5EF4-FFF2-40B4-BE49-F238E27FC236}">
                                <a16:creationId xmlns:a16="http://schemas.microsoft.com/office/drawing/2014/main" id="{F52353B3-AA67-41AB-ACE3-C9465695F4BE}"/>
                              </a:ext>
                            </a:extLst>
                          </pic:cNvPr>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13A0527E" w14:textId="77777777" w:rsidR="007013D6" w:rsidRDefault="007013D6" w:rsidP="00231C3F">
      <w:pPr>
        <w:spacing w:after="0" w:line="240" w:lineRule="auto"/>
      </w:pPr>
    </w:p>
    <w:p w14:paraId="468936B1" w14:textId="77777777" w:rsidR="00231C3F" w:rsidRDefault="00231C3F" w:rsidP="00231C3F">
      <w:pPr>
        <w:spacing w:after="0" w:line="240" w:lineRule="auto"/>
        <w:jc w:val="both"/>
      </w:pPr>
      <w:r>
        <w:t>Arbuste de la famille des Fabacées, de 1-3 mètres de haut, mais pouvant atteindre 8 mètres, originaire des régions semi-arides de l'Afrique comme le Sahel, où il est fréquent.</w:t>
      </w:r>
    </w:p>
    <w:p w14:paraId="1903FC7E" w14:textId="77777777" w:rsidR="00231C3F" w:rsidRDefault="00231C3F" w:rsidP="00231C3F">
      <w:pPr>
        <w:spacing w:after="0" w:line="240" w:lineRule="auto"/>
        <w:jc w:val="both"/>
      </w:pPr>
      <w:r>
        <w:t>Les rameaux sont disposés dans un même plan, les plus petits sont en forme d’</w:t>
      </w:r>
      <w:r w:rsidRPr="00B66EB1">
        <w:rPr>
          <w:i/>
          <w:iCs/>
        </w:rPr>
        <w:t>épine</w:t>
      </w:r>
      <w:r>
        <w:t xml:space="preserve">s. L’écorce est grise, lenticellée. Les feuilles sont petites, fortement bilobées, gris-vert mat, persistantes. Les fleurs sont jaune-verdâtre à blanc rose, </w:t>
      </w:r>
      <w:r>
        <w:lastRenderedPageBreak/>
        <w:t>de type cinq, groupées en racèmes de 5 cm. Ses gousses sont indéhiscentes, contournées en spirale et brun foncé, presque noires à maturité ; elles contiennent de 4 à 10 graines.</w:t>
      </w:r>
    </w:p>
    <w:p w14:paraId="48FA3F98" w14:textId="77777777" w:rsidR="00231C3F" w:rsidRDefault="00231C3F" w:rsidP="00231C3F">
      <w:pPr>
        <w:spacing w:after="0" w:line="240" w:lineRule="auto"/>
        <w:jc w:val="both"/>
      </w:pPr>
      <w:r>
        <w:t>La multiplication par graines après traitement à l'eau bouillante et refroidissement lent donne un taux de germination de 40%.</w:t>
      </w:r>
    </w:p>
    <w:p w14:paraId="4366918C" w14:textId="77777777" w:rsidR="00231C3F" w:rsidRDefault="00231C3F" w:rsidP="00231C3F">
      <w:pPr>
        <w:spacing w:after="0" w:line="240" w:lineRule="auto"/>
        <w:jc w:val="both"/>
      </w:pPr>
      <w:r w:rsidRPr="00231C3F">
        <w:rPr>
          <w:u w:val="single"/>
        </w:rPr>
        <w:t>Sols</w:t>
      </w:r>
      <w:r>
        <w:t xml:space="preserve"> : peu exigent, sur des sites secs et sablonneux, pierreux, également sur des sols argileux latéritiques, souvent dans des terres en jachère. Elle est rustique et pousse sur tous les types de sol. Espèce recommandée pour la création de haies-vives défensives, fourragères ou ornementales. </w:t>
      </w:r>
    </w:p>
    <w:p w14:paraId="50EA6DD7" w14:textId="77777777" w:rsidR="00231C3F" w:rsidRDefault="00231C3F" w:rsidP="00231C3F">
      <w:pPr>
        <w:spacing w:after="0" w:line="240" w:lineRule="auto"/>
        <w:jc w:val="both"/>
      </w:pPr>
      <w:r>
        <w:t>Bauhinia fixe l’azote de l’air. C’est un arbuste fourrager important : la valeur fourragère des rameaux feuillés est de 0,12 UF/kg et celle des gousses vertes ou sèches est de 0,94 UF/kg. Les rameaux sont appréciés des ovins, des caprins et des chameaux, les feuilles par les bovins. L’écorce est tanifère. Elle est découpée en bandes pour tresser des cordes.</w:t>
      </w:r>
    </w:p>
    <w:p w14:paraId="4C84C3F8" w14:textId="77777777" w:rsidR="00231C3F" w:rsidRDefault="00231C3F" w:rsidP="00231C3F">
      <w:pPr>
        <w:spacing w:after="0" w:line="240" w:lineRule="auto"/>
        <w:jc w:val="both"/>
      </w:pPr>
      <w:r>
        <w:t>De nombreux usages en pharmacopée : fébrifuge, diurétique, antientéralgique et autres usages. Le bois est brun clair à grain fin. On l’utilise en charpente, sculpture, artisanat et comme bois de feu. Il est également utilisé comme plante ornementale.</w:t>
      </w:r>
    </w:p>
    <w:p w14:paraId="1C5EEC65" w14:textId="6EDC84D0" w:rsidR="00231C3F" w:rsidRDefault="00231C3F" w:rsidP="00231C3F">
      <w:pPr>
        <w:spacing w:after="0" w:line="240" w:lineRule="auto"/>
      </w:pPr>
      <w:r>
        <w:t xml:space="preserve">Sources : a) </w:t>
      </w:r>
      <w:hyperlink r:id="rId759" w:history="1">
        <w:r w:rsidRPr="000958DE">
          <w:rPr>
            <w:rStyle w:val="Lienhypertexte"/>
          </w:rPr>
          <w:t>http://en.wikipedia.org/wiki/Bauhinia_rufescens</w:t>
        </w:r>
      </w:hyperlink>
      <w:r>
        <w:t xml:space="preserve">,  </w:t>
      </w:r>
    </w:p>
    <w:p w14:paraId="009F965E" w14:textId="34E5952B" w:rsidR="00231C3F" w:rsidRPr="00F67BB4" w:rsidRDefault="00231C3F" w:rsidP="00231C3F">
      <w:pPr>
        <w:spacing w:after="0" w:line="240" w:lineRule="auto"/>
        <w:rPr>
          <w:lang w:val="es-AR"/>
        </w:rPr>
      </w:pPr>
      <w:r w:rsidRPr="00F67BB4">
        <w:rPr>
          <w:lang w:val="es-AR"/>
        </w:rPr>
        <w:t xml:space="preserve">b) (CIRAD) </w:t>
      </w:r>
      <w:hyperlink r:id="rId760" w:history="1">
        <w:r w:rsidRPr="00F67BB4">
          <w:rPr>
            <w:rStyle w:val="Lienhypertexte"/>
            <w:lang w:val="es-AR"/>
          </w:rPr>
          <w:t>http://hal.archives-ouvertes.fr/docs/00/42/92/75/PDF/Bauhinia-rufescens.pdf</w:t>
        </w:r>
      </w:hyperlink>
      <w:r w:rsidRPr="00F67BB4">
        <w:rPr>
          <w:lang w:val="es-AR"/>
        </w:rPr>
        <w:t xml:space="preserve">, </w:t>
      </w:r>
    </w:p>
    <w:p w14:paraId="66985694" w14:textId="57C758B6" w:rsidR="0047412A" w:rsidRPr="00F67BB4" w:rsidRDefault="0047412A" w:rsidP="00231C3F">
      <w:pPr>
        <w:spacing w:after="0" w:line="240" w:lineRule="auto"/>
        <w:rPr>
          <w:lang w:val="es-AR"/>
        </w:rPr>
      </w:pPr>
      <w:r w:rsidRPr="00F67BB4">
        <w:rPr>
          <w:lang w:val="es-AR"/>
        </w:rPr>
        <w:t xml:space="preserve">c) </w:t>
      </w:r>
      <w:r w:rsidRPr="00F67BB4">
        <w:rPr>
          <w:i/>
          <w:iCs/>
          <w:lang w:val="es-AR"/>
        </w:rPr>
        <w:t>Bauhinia rufescens</w:t>
      </w:r>
      <w:r w:rsidRPr="00F67BB4">
        <w:rPr>
          <w:lang w:val="es-AR"/>
        </w:rPr>
        <w:t xml:space="preserve"> (CIRAD), </w:t>
      </w:r>
      <w:hyperlink r:id="rId761" w:history="1">
        <w:r w:rsidRPr="00F67BB4">
          <w:rPr>
            <w:rStyle w:val="Lienhypertexte"/>
            <w:lang w:val="es-AR"/>
          </w:rPr>
          <w:t>https://agritrop.cirad.fr/518849/1/document_518849.pdf</w:t>
        </w:r>
      </w:hyperlink>
      <w:r w:rsidRPr="00F67BB4">
        <w:rPr>
          <w:lang w:val="es-AR"/>
        </w:rPr>
        <w:t xml:space="preserve">, </w:t>
      </w:r>
    </w:p>
    <w:p w14:paraId="0558460E" w14:textId="3129421E" w:rsidR="00231C3F" w:rsidRPr="00F67BB4" w:rsidRDefault="0047412A" w:rsidP="00231C3F">
      <w:pPr>
        <w:spacing w:after="0" w:line="240" w:lineRule="auto"/>
        <w:rPr>
          <w:lang w:val="es-AR"/>
        </w:rPr>
      </w:pPr>
      <w:r w:rsidRPr="00F67BB4">
        <w:rPr>
          <w:lang w:val="es-AR"/>
        </w:rPr>
        <w:t>d</w:t>
      </w:r>
      <w:r w:rsidR="00231C3F" w:rsidRPr="00F67BB4">
        <w:rPr>
          <w:lang w:val="es-AR"/>
        </w:rPr>
        <w:t xml:space="preserve">) </w:t>
      </w:r>
      <w:hyperlink r:id="rId762" w:history="1">
        <w:r w:rsidR="00231C3F" w:rsidRPr="00F67BB4">
          <w:rPr>
            <w:rStyle w:val="Lienhypertexte"/>
            <w:lang w:val="es-AR"/>
          </w:rPr>
          <w:t>http://www.fao.org/ag/agp/AGPC/doc/Gbase/data/pf000148.htm</w:t>
        </w:r>
      </w:hyperlink>
      <w:r w:rsidR="00231C3F" w:rsidRPr="00F67BB4">
        <w:rPr>
          <w:lang w:val="es-AR"/>
        </w:rPr>
        <w:t xml:space="preserve">   </w:t>
      </w:r>
    </w:p>
    <w:p w14:paraId="0E90AD33" w14:textId="4FF87617" w:rsidR="00F04248" w:rsidRPr="0047412A" w:rsidRDefault="0047412A" w:rsidP="00231C3F">
      <w:pPr>
        <w:spacing w:after="0" w:line="240" w:lineRule="auto"/>
        <w:rPr>
          <w:lang w:val="es-AR"/>
        </w:rPr>
      </w:pPr>
      <w:r w:rsidRPr="0047412A">
        <w:rPr>
          <w:lang w:val="es-AR"/>
        </w:rPr>
        <w:t>e</w:t>
      </w:r>
      <w:r w:rsidR="00231C3F" w:rsidRPr="0047412A">
        <w:rPr>
          <w:lang w:val="es-AR"/>
        </w:rPr>
        <w:t xml:space="preserve">) </w:t>
      </w:r>
      <w:hyperlink r:id="rId763" w:history="1">
        <w:r w:rsidR="00231C3F" w:rsidRPr="0047412A">
          <w:rPr>
            <w:rStyle w:val="Lienhypertexte"/>
            <w:lang w:val="es-AR"/>
          </w:rPr>
          <w:t>http://ne.chm-cbd.net/biodiversity/la-diversite-biologique-vegetale/les-especes-vegetales-et-leurs-utilites/bauhinia-rufescens</w:t>
        </w:r>
      </w:hyperlink>
      <w:r w:rsidR="00231C3F" w:rsidRPr="0047412A">
        <w:rPr>
          <w:lang w:val="es-AR"/>
        </w:rPr>
        <w:t xml:space="preserve"> </w:t>
      </w:r>
    </w:p>
    <w:p w14:paraId="7A774287" w14:textId="4C402908" w:rsidR="00231C3F" w:rsidRPr="0047412A" w:rsidRDefault="00231C3F" w:rsidP="00231C3F">
      <w:pPr>
        <w:spacing w:after="0" w:line="240" w:lineRule="auto"/>
        <w:rPr>
          <w:lang w:val="es-AR"/>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7013D6" w14:paraId="066355E0" w14:textId="77777777" w:rsidTr="00AA15DB">
        <w:tc>
          <w:tcPr>
            <w:tcW w:w="3472" w:type="dxa"/>
          </w:tcPr>
          <w:p w14:paraId="13BE368F" w14:textId="77777777" w:rsidR="007013D6" w:rsidRDefault="007013D6" w:rsidP="007013D6">
            <w:pPr>
              <w:jc w:val="center"/>
            </w:pPr>
            <w:r w:rsidRPr="007013D6">
              <w:rPr>
                <w:noProof/>
              </w:rPr>
              <w:drawing>
                <wp:inline distT="0" distB="0" distL="0" distR="0" wp14:anchorId="3DEE589D" wp14:editId="7BCA4B89">
                  <wp:extent cx="1619250" cy="1214437"/>
                  <wp:effectExtent l="0" t="0" r="0" b="5080"/>
                  <wp:docPr id="64524" name="Picture 11" descr="C:\Users\LISAN\Pictures\plantes-halophytes-xerophiles\Bauhinia rufescens feuil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24" name="Picture 11" descr="C:\Users\LISAN\Pictures\plantes-halophytes-xerophiles\Bauhinia rufescens feuilles.jpg"/>
                          <pic:cNvPicPr>
                            <a:picLocks noChangeAspect="1" noChangeArrowheads="1"/>
                          </pic:cNvPicPr>
                        </pic:nvPicPr>
                        <pic:blipFill>
                          <a:blip r:embed="rId764">
                            <a:extLst>
                              <a:ext uri="{28A0092B-C50C-407E-A947-70E740481C1C}">
                                <a14:useLocalDpi xmlns:a14="http://schemas.microsoft.com/office/drawing/2010/main" val="0"/>
                              </a:ext>
                            </a:extLst>
                          </a:blip>
                          <a:srcRect/>
                          <a:stretch>
                            <a:fillRect/>
                          </a:stretch>
                        </pic:blipFill>
                        <pic:spPr bwMode="auto">
                          <a:xfrm>
                            <a:off x="0" y="0"/>
                            <a:ext cx="1619250" cy="12144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6403E37" w14:textId="540D0D25" w:rsidR="000B73C7" w:rsidRDefault="000B73C7" w:rsidP="007013D6">
            <w:pPr>
              <w:jc w:val="center"/>
            </w:pPr>
          </w:p>
        </w:tc>
        <w:tc>
          <w:tcPr>
            <w:tcW w:w="3472" w:type="dxa"/>
          </w:tcPr>
          <w:p w14:paraId="699F6A57" w14:textId="1CF132B3" w:rsidR="007013D6" w:rsidRDefault="007013D6" w:rsidP="007013D6">
            <w:pPr>
              <w:jc w:val="center"/>
            </w:pPr>
            <w:r w:rsidRPr="007013D6">
              <w:rPr>
                <w:noProof/>
              </w:rPr>
              <w:drawing>
                <wp:inline distT="0" distB="0" distL="0" distR="0" wp14:anchorId="6C32CEEC" wp14:editId="74392207">
                  <wp:extent cx="1597025" cy="1063625"/>
                  <wp:effectExtent l="0" t="0" r="3175" b="3175"/>
                  <wp:docPr id="64525" name="Picture 12" descr="C:\Users\LISAN\Pictures\plantes-halophytes-xerophiles\Bauhinia rufescen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25" name="Picture 12" descr="C:\Users\LISAN\Pictures\plantes-halophytes-xerophiles\Bauhinia rufescens6.jpg"/>
                          <pic:cNvPicPr>
                            <a:picLocks noChangeAspect="1" noChangeArrowheads="1"/>
                          </pic:cNvPicPr>
                        </pic:nvPicPr>
                        <pic:blipFill>
                          <a:blip r:embed="rId765">
                            <a:extLst>
                              <a:ext uri="{28A0092B-C50C-407E-A947-70E740481C1C}">
                                <a14:useLocalDpi xmlns:a14="http://schemas.microsoft.com/office/drawing/2010/main" val="0"/>
                              </a:ext>
                            </a:extLst>
                          </a:blip>
                          <a:srcRect/>
                          <a:stretch>
                            <a:fillRect/>
                          </a:stretch>
                        </pic:blipFill>
                        <pic:spPr bwMode="auto">
                          <a:xfrm>
                            <a:off x="0" y="0"/>
                            <a:ext cx="1597025" cy="1063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23BF8BCF" w14:textId="6B94059C" w:rsidR="007013D6" w:rsidRDefault="007013D6" w:rsidP="007013D6">
            <w:pPr>
              <w:jc w:val="center"/>
            </w:pPr>
            <w:r w:rsidRPr="007013D6">
              <w:rPr>
                <w:noProof/>
              </w:rPr>
              <w:drawing>
                <wp:inline distT="0" distB="0" distL="0" distR="0" wp14:anchorId="2CAA1E36" wp14:editId="1555BE82">
                  <wp:extent cx="1619250" cy="1214437"/>
                  <wp:effectExtent l="0" t="0" r="0" b="5080"/>
                  <wp:docPr id="39949" name="Picture 11" descr="C:\Users\LISAN\Pictures\plantes-halophytes-xerophiles\Bauhinia rufescens feuil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24" name="Picture 11" descr="C:\Users\LISAN\Pictures\plantes-halophytes-xerophiles\Bauhinia rufescens feuilles.jpg"/>
                          <pic:cNvPicPr>
                            <a:picLocks noChangeAspect="1" noChangeArrowheads="1"/>
                          </pic:cNvPicPr>
                        </pic:nvPicPr>
                        <pic:blipFill>
                          <a:blip r:embed="rId764">
                            <a:extLst>
                              <a:ext uri="{28A0092B-C50C-407E-A947-70E740481C1C}">
                                <a14:useLocalDpi xmlns:a14="http://schemas.microsoft.com/office/drawing/2010/main" val="0"/>
                              </a:ext>
                            </a:extLst>
                          </a:blip>
                          <a:srcRect/>
                          <a:stretch>
                            <a:fillRect/>
                          </a:stretch>
                        </pic:blipFill>
                        <pic:spPr bwMode="auto">
                          <a:xfrm>
                            <a:off x="0" y="0"/>
                            <a:ext cx="1619250" cy="12144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t xml:space="preserve"> </w:t>
            </w:r>
          </w:p>
        </w:tc>
      </w:tr>
      <w:tr w:rsidR="007013D6" w14:paraId="5DD26BE8" w14:textId="77777777" w:rsidTr="00AA15DB">
        <w:tc>
          <w:tcPr>
            <w:tcW w:w="3472" w:type="dxa"/>
          </w:tcPr>
          <w:p w14:paraId="141A2365" w14:textId="1D46FF6A" w:rsidR="007013D6" w:rsidRPr="007013D6" w:rsidRDefault="007013D6" w:rsidP="007013D6">
            <w:pPr>
              <w:jc w:val="center"/>
            </w:pPr>
            <w:r w:rsidRPr="007013D6">
              <w:rPr>
                <w:noProof/>
              </w:rPr>
              <w:drawing>
                <wp:inline distT="0" distB="0" distL="0" distR="0" wp14:anchorId="47C1346A" wp14:editId="5A04951B">
                  <wp:extent cx="1884363" cy="1255713"/>
                  <wp:effectExtent l="0" t="0" r="1905" b="1905"/>
                  <wp:docPr id="64523" name="Picture 10" descr="C:\Users\LISAN\Pictures\plantes-halophytes-xerophiles\Bauhinia rufescens_fleu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23" name="Picture 10" descr="C:\Users\LISAN\Pictures\plantes-halophytes-xerophiles\Bauhinia rufescens_fleurs.jpg"/>
                          <pic:cNvPicPr>
                            <a:picLocks noChangeAspect="1" noChangeArrowheads="1"/>
                          </pic:cNvPicPr>
                        </pic:nvPicPr>
                        <pic:blipFill>
                          <a:blip r:embed="rId766">
                            <a:extLst>
                              <a:ext uri="{28A0092B-C50C-407E-A947-70E740481C1C}">
                                <a14:useLocalDpi xmlns:a14="http://schemas.microsoft.com/office/drawing/2010/main" val="0"/>
                              </a:ext>
                            </a:extLst>
                          </a:blip>
                          <a:srcRect/>
                          <a:stretch>
                            <a:fillRect/>
                          </a:stretch>
                        </pic:blipFill>
                        <pic:spPr bwMode="auto">
                          <a:xfrm>
                            <a:off x="0" y="0"/>
                            <a:ext cx="1884363" cy="12557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29DF1772" w14:textId="77777777" w:rsidR="007013D6" w:rsidRDefault="007013D6" w:rsidP="007013D6">
            <w:pPr>
              <w:jc w:val="center"/>
            </w:pPr>
            <w:r w:rsidRPr="007013D6">
              <w:rPr>
                <w:noProof/>
              </w:rPr>
              <w:drawing>
                <wp:inline distT="0" distB="0" distL="0" distR="0" wp14:anchorId="4393F15A" wp14:editId="1D9EE52F">
                  <wp:extent cx="1333500" cy="1185863"/>
                  <wp:effectExtent l="0" t="0" r="0" b="0"/>
                  <wp:docPr id="64521" name="Picture 8" descr="C:\Users\LISAN\Pictures\plantes-halophytes-xerophiles\Bauhinia rufescens_bois bis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21" name="Picture 8" descr="C:\Users\LISAN\Pictures\plantes-halophytes-xerophiles\Bauhinia rufescens_bois bis_s.jpg"/>
                          <pic:cNvPicPr>
                            <a:picLocks noChangeAspect="1" noChangeArrowheads="1"/>
                          </pic:cNvPicPr>
                        </pic:nvPicPr>
                        <pic:blipFill>
                          <a:blip r:embed="rId767">
                            <a:extLst>
                              <a:ext uri="{28A0092B-C50C-407E-A947-70E740481C1C}">
                                <a14:useLocalDpi xmlns:a14="http://schemas.microsoft.com/office/drawing/2010/main" val="0"/>
                              </a:ext>
                            </a:extLst>
                          </a:blip>
                          <a:srcRect/>
                          <a:stretch>
                            <a:fillRect/>
                          </a:stretch>
                        </pic:blipFill>
                        <pic:spPr bwMode="auto">
                          <a:xfrm>
                            <a:off x="0" y="0"/>
                            <a:ext cx="1333500" cy="11858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9CC98A2" w14:textId="5BD15587" w:rsidR="00AA15DB" w:rsidRPr="007013D6" w:rsidRDefault="00AA15DB" w:rsidP="007013D6">
            <w:pPr>
              <w:jc w:val="center"/>
            </w:pPr>
            <w:r>
              <w:t>Bois.</w:t>
            </w:r>
          </w:p>
        </w:tc>
        <w:tc>
          <w:tcPr>
            <w:tcW w:w="3472" w:type="dxa"/>
          </w:tcPr>
          <w:p w14:paraId="49084881" w14:textId="67392E97" w:rsidR="007013D6" w:rsidRPr="007013D6" w:rsidRDefault="007013D6" w:rsidP="007013D6">
            <w:pPr>
              <w:jc w:val="center"/>
            </w:pPr>
            <w:r w:rsidRPr="007013D6">
              <w:rPr>
                <w:noProof/>
              </w:rPr>
              <w:drawing>
                <wp:inline distT="0" distB="0" distL="0" distR="0" wp14:anchorId="17BD4899" wp14:editId="5396E515">
                  <wp:extent cx="1219200" cy="1428750"/>
                  <wp:effectExtent l="0" t="0" r="0" b="0"/>
                  <wp:docPr id="64522" name="Picture 9" descr="C:\Users\LISAN\Pictures\plantes-halophytes-xerophiles\Bauhinia rufescens_gousses bis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22" name="Picture 9" descr="C:\Users\LISAN\Pictures\plantes-halophytes-xerophiles\Bauhinia rufescens_gousses bis_s.jpg"/>
                          <pic:cNvPicPr>
                            <a:picLocks noChangeAspect="1" noChangeArrowheads="1"/>
                          </pic:cNvPicPr>
                        </pic:nvPicPr>
                        <pic:blipFill>
                          <a:blip r:embed="rId768">
                            <a:extLst>
                              <a:ext uri="{28A0092B-C50C-407E-A947-70E740481C1C}">
                                <a14:useLocalDpi xmlns:a14="http://schemas.microsoft.com/office/drawing/2010/main" val="0"/>
                              </a:ext>
                            </a:extLst>
                          </a:blip>
                          <a:srcRect/>
                          <a:stretch>
                            <a:fillRect/>
                          </a:stretch>
                        </pic:blipFill>
                        <pic:spPr bwMode="auto">
                          <a:xfrm>
                            <a:off x="0" y="0"/>
                            <a:ext cx="1219200" cy="142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7013D6" w14:paraId="761D818C" w14:textId="77777777" w:rsidTr="00AA15DB">
        <w:tc>
          <w:tcPr>
            <w:tcW w:w="3472" w:type="dxa"/>
          </w:tcPr>
          <w:p w14:paraId="18234D92" w14:textId="51D511FB" w:rsidR="007013D6" w:rsidRPr="007013D6" w:rsidRDefault="00AA15DB" w:rsidP="007013D6">
            <w:pPr>
              <w:jc w:val="center"/>
            </w:pPr>
            <w:r w:rsidRPr="00AA15DB">
              <w:rPr>
                <w:noProof/>
              </w:rPr>
              <w:drawing>
                <wp:inline distT="0" distB="0" distL="0" distR="0" wp14:anchorId="761FBBFF" wp14:editId="3A7C2278">
                  <wp:extent cx="1971675" cy="1438275"/>
                  <wp:effectExtent l="0" t="0" r="9525" b="9525"/>
                  <wp:docPr id="39951" name="Picture 7" descr="C:\Users\LISAN\Pictures\plantes-halophytes-xerophiles\Bauhinia rufescens bis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20" name="Picture 7" descr="C:\Users\LISAN\Pictures\plantes-halophytes-xerophiles\Bauhinia rufescens bis_s.jpg"/>
                          <pic:cNvPicPr>
                            <a:picLocks noChangeAspect="1" noChangeArrowheads="1"/>
                          </pic:cNvPicPr>
                        </pic:nvPicPr>
                        <pic:blipFill>
                          <a:blip r:embed="rId769">
                            <a:extLst>
                              <a:ext uri="{28A0092B-C50C-407E-A947-70E740481C1C}">
                                <a14:useLocalDpi xmlns:a14="http://schemas.microsoft.com/office/drawing/2010/main" val="0"/>
                              </a:ext>
                            </a:extLst>
                          </a:blip>
                          <a:srcRect/>
                          <a:stretch>
                            <a:fillRect/>
                          </a:stretch>
                        </pic:blipFill>
                        <pic:spPr bwMode="auto">
                          <a:xfrm>
                            <a:off x="0" y="0"/>
                            <a:ext cx="1971675" cy="1438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1D639875" w14:textId="405408CC" w:rsidR="007013D6" w:rsidRPr="007013D6" w:rsidRDefault="00AA15DB" w:rsidP="007013D6">
            <w:pPr>
              <w:jc w:val="center"/>
            </w:pPr>
            <w:r w:rsidRPr="00AA15DB">
              <w:rPr>
                <w:noProof/>
              </w:rPr>
              <w:drawing>
                <wp:inline distT="0" distB="0" distL="0" distR="0" wp14:anchorId="72E24D94" wp14:editId="6EC70DF0">
                  <wp:extent cx="1981200" cy="1371600"/>
                  <wp:effectExtent l="0" t="0" r="0" b="0"/>
                  <wp:docPr id="64519" name="Picture 6" descr="C:\Users\LISAN\Pictures\plantes-halophytes-xerophiles\Bauhinia rufescens_haie bis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19" name="Picture 6" descr="C:\Users\LISAN\Pictures\plantes-halophytes-xerophiles\Bauhinia rufescens_haie bis_s.jpg"/>
                          <pic:cNvPicPr>
                            <a:picLocks noChangeAspect="1" noChangeArrowheads="1"/>
                          </pic:cNvPicPr>
                        </pic:nvPicPr>
                        <pic:blipFill>
                          <a:blip r:embed="rId770">
                            <a:extLst>
                              <a:ext uri="{28A0092B-C50C-407E-A947-70E740481C1C}">
                                <a14:useLocalDpi xmlns:a14="http://schemas.microsoft.com/office/drawing/2010/main" val="0"/>
                              </a:ext>
                            </a:extLst>
                          </a:blip>
                          <a:srcRect/>
                          <a:stretch>
                            <a:fillRect/>
                          </a:stretch>
                        </pic:blipFill>
                        <pic:spPr bwMode="auto">
                          <a:xfrm>
                            <a:off x="0" y="0"/>
                            <a:ext cx="1981200" cy="137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10DC7FBF" w14:textId="20ED07E1" w:rsidR="007013D6" w:rsidRPr="007013D6" w:rsidRDefault="007013D6" w:rsidP="007013D6">
            <w:pPr>
              <w:jc w:val="center"/>
            </w:pPr>
          </w:p>
        </w:tc>
      </w:tr>
    </w:tbl>
    <w:p w14:paraId="5472F8A3" w14:textId="4B25F539" w:rsidR="00231C3F" w:rsidRDefault="00231C3F" w:rsidP="00342FF3">
      <w:pPr>
        <w:spacing w:after="0" w:line="240" w:lineRule="auto"/>
      </w:pPr>
    </w:p>
    <w:p w14:paraId="0A3D6660" w14:textId="708D1C1B" w:rsidR="008B5D49" w:rsidRDefault="008B5D49" w:rsidP="00342FF3">
      <w:pPr>
        <w:spacing w:after="0" w:line="240" w:lineRule="auto"/>
      </w:pPr>
    </w:p>
    <w:p w14:paraId="707C3097" w14:textId="77777777" w:rsidR="008B5D49" w:rsidRDefault="008B5D49" w:rsidP="00342FF3">
      <w:pPr>
        <w:spacing w:after="0" w:line="240" w:lineRule="auto"/>
      </w:pPr>
    </w:p>
    <w:p w14:paraId="2DE6D8B8" w14:textId="77777777" w:rsidR="00EF1A93" w:rsidRDefault="00EF1A93" w:rsidP="00342FF3">
      <w:pPr>
        <w:spacing w:after="0" w:line="240" w:lineRule="auto"/>
      </w:pPr>
    </w:p>
    <w:p w14:paraId="77E0B39E" w14:textId="77777777" w:rsidR="007858C1" w:rsidRDefault="007858C1" w:rsidP="00B243F9">
      <w:pPr>
        <w:pStyle w:val="Titre2"/>
      </w:pPr>
      <w:bookmarkStart w:id="83" w:name="_Toc139181374"/>
      <w:r>
        <w:lastRenderedPageBreak/>
        <w:t>Arbre pilon ou Casse du Sénégal (</w:t>
      </w:r>
      <w:r w:rsidRPr="007858C1">
        <w:rPr>
          <w:i/>
          <w:iCs/>
        </w:rPr>
        <w:t>Cassia sieberiana</w:t>
      </w:r>
      <w:r>
        <w:t>)</w:t>
      </w:r>
      <w:bookmarkEnd w:id="83"/>
    </w:p>
    <w:p w14:paraId="0257B31B" w14:textId="1D96CDC4" w:rsidR="007858C1" w:rsidRDefault="007858C1" w:rsidP="007858C1">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5"/>
        <w:gridCol w:w="2313"/>
        <w:gridCol w:w="1544"/>
        <w:gridCol w:w="415"/>
        <w:gridCol w:w="1379"/>
      </w:tblGrid>
      <w:tr w:rsidR="00342FF3" w:rsidRPr="000B6BE3" w14:paraId="3A2524C3" w14:textId="77777777" w:rsidTr="00FC01CD">
        <w:tc>
          <w:tcPr>
            <w:tcW w:w="4775" w:type="dxa"/>
          </w:tcPr>
          <w:p w14:paraId="3F8FF935" w14:textId="77777777" w:rsidR="00342FF3" w:rsidRPr="00DE2C3A" w:rsidRDefault="00342FF3" w:rsidP="00FC01CD">
            <w:pPr>
              <w:jc w:val="both"/>
              <w:rPr>
                <w:rFonts w:ascii="Calibri" w:hAnsi="Calibri" w:cs="Calibri"/>
                <w:bCs/>
              </w:rPr>
            </w:pPr>
            <w:r>
              <w:rPr>
                <w:rFonts w:ascii="Calibri" w:hAnsi="Calibri" w:cs="Calibri"/>
                <w:bCs/>
              </w:rPr>
              <w:t>(</w:t>
            </w:r>
            <w:r w:rsidRPr="00DE2C3A">
              <w:rPr>
                <w:rFonts w:ascii="Calibri" w:hAnsi="Calibri" w:cs="Calibri"/>
                <w:bCs/>
              </w:rPr>
              <w:t>Famille des</w:t>
            </w:r>
            <w:r>
              <w:rPr>
                <w:rFonts w:ascii="Calibri" w:hAnsi="Calibri" w:cs="Calibri"/>
                <w:bCs/>
              </w:rPr>
              <w:t xml:space="preserve"> </w:t>
            </w:r>
            <w:r w:rsidRPr="008F191E">
              <w:rPr>
                <w:rFonts w:ascii="Calibri" w:hAnsi="Calibri" w:cs="Calibri"/>
                <w:color w:val="202122"/>
                <w:shd w:val="clear" w:color="auto" w:fill="FFFFFF"/>
              </w:rPr>
              <w:t>Fabacées</w:t>
            </w:r>
            <w:r>
              <w:rPr>
                <w:rFonts w:ascii="Calibri" w:hAnsi="Calibri" w:cs="Calibri"/>
                <w:color w:val="202122"/>
                <w:shd w:val="clear" w:color="auto" w:fill="FFFFFF"/>
              </w:rPr>
              <w:t xml:space="preserve"> /</w:t>
            </w:r>
            <w:r w:rsidRPr="00DE2C3A">
              <w:rPr>
                <w:rFonts w:ascii="Calibri" w:hAnsi="Calibri" w:cs="Calibri"/>
                <w:bCs/>
              </w:rPr>
              <w:t> </w:t>
            </w:r>
            <w:hyperlink r:id="rId771" w:history="1">
              <w:r w:rsidRPr="00DE2C3A">
                <w:rPr>
                  <w:rStyle w:val="Lienhypertexte"/>
                  <w:rFonts w:ascii="Calibri" w:hAnsi="Calibri" w:cs="Calibri"/>
                  <w:bCs/>
                  <w:i/>
                  <w:iCs/>
                </w:rPr>
                <w:t>Fabaceae</w:t>
              </w:r>
            </w:hyperlink>
            <w:r>
              <w:rPr>
                <w:rFonts w:ascii="Calibri" w:hAnsi="Calibri" w:cs="Calibri"/>
                <w:bCs/>
              </w:rPr>
              <w:t>)</w:t>
            </w:r>
            <w:r w:rsidRPr="00DE2C3A">
              <w:rPr>
                <w:rFonts w:ascii="Calibri" w:hAnsi="Calibri" w:cs="Calibri"/>
                <w:bCs/>
              </w:rPr>
              <w:t>.</w:t>
            </w:r>
          </w:p>
          <w:p w14:paraId="11582E6A" w14:textId="77777777" w:rsidR="00342FF3" w:rsidRPr="008F191E" w:rsidRDefault="00342FF3" w:rsidP="00FC01CD">
            <w:pPr>
              <w:rPr>
                <w:rFonts w:ascii="Calibri" w:hAnsi="Calibri" w:cs="Calibri"/>
                <w:bCs/>
              </w:rPr>
            </w:pPr>
          </w:p>
          <w:p w14:paraId="7EF948E8" w14:textId="77777777" w:rsidR="00342FF3" w:rsidRPr="000B6BE3" w:rsidRDefault="00342FF3" w:rsidP="00FC01CD">
            <w:pPr>
              <w:rPr>
                <w:rFonts w:cstheme="minorHAnsi"/>
              </w:rPr>
            </w:pPr>
          </w:p>
        </w:tc>
        <w:tc>
          <w:tcPr>
            <w:tcW w:w="2313" w:type="dxa"/>
          </w:tcPr>
          <w:p w14:paraId="3C6EF986" w14:textId="77777777" w:rsidR="00342FF3" w:rsidRPr="000B6BE3" w:rsidRDefault="00342FF3" w:rsidP="00FC01CD">
            <w:pPr>
              <w:rPr>
                <w:rFonts w:cstheme="minorHAnsi"/>
              </w:rPr>
            </w:pPr>
            <w:r w:rsidRPr="000B6BE3">
              <w:rPr>
                <w:rFonts w:cstheme="minorHAnsi"/>
                <w:noProof/>
              </w:rPr>
              <w:t xml:space="preserve">  </w:t>
            </w:r>
            <w:r>
              <w:rPr>
                <w:rFonts w:cstheme="minorHAnsi"/>
                <w:noProof/>
              </w:rPr>
              <w:t xml:space="preserve">     </w:t>
            </w:r>
            <w:r w:rsidRPr="005C50C9">
              <w:rPr>
                <w:rFonts w:cstheme="minorHAnsi"/>
                <w:noProof/>
              </w:rPr>
              <w:drawing>
                <wp:inline distT="0" distB="0" distL="0" distR="0" wp14:anchorId="3E002807" wp14:editId="270C708F">
                  <wp:extent cx="495300" cy="666750"/>
                  <wp:effectExtent l="0" t="0" r="0" b="0"/>
                  <wp:docPr id="39952" name="Image 15"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8" name="Image 15" descr="logo aride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w:t>
            </w:r>
            <w:r w:rsidRPr="008F2681">
              <w:rPr>
                <w:rFonts w:cstheme="minorHAnsi"/>
                <w:noProof/>
              </w:rPr>
              <w:drawing>
                <wp:inline distT="0" distB="0" distL="0" distR="0" wp14:anchorId="2346D386" wp14:editId="6F2D90A5">
                  <wp:extent cx="463550" cy="661988"/>
                  <wp:effectExtent l="0" t="0" r="0" b="5080"/>
                  <wp:docPr id="39953"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w:t>
            </w:r>
          </w:p>
        </w:tc>
        <w:tc>
          <w:tcPr>
            <w:tcW w:w="1544" w:type="dxa"/>
          </w:tcPr>
          <w:p w14:paraId="08674C4B" w14:textId="77777777" w:rsidR="00342FF3" w:rsidRPr="002E01BB" w:rsidRDefault="00342FF3" w:rsidP="00FC01CD">
            <w:pPr>
              <w:rPr>
                <w:rFonts w:eastAsia="+mn-ea" w:cstheme="minorHAnsi"/>
                <w:b/>
                <w:bCs/>
                <w:color w:val="008000"/>
                <w:kern w:val="24"/>
                <w:sz w:val="56"/>
                <w:szCs w:val="56"/>
              </w:rPr>
            </w:pPr>
            <w:r w:rsidRPr="00D1445E">
              <w:rPr>
                <w:rFonts w:eastAsia="+mn-ea" w:cstheme="minorHAnsi"/>
                <w:b/>
                <w:bCs/>
                <w:color w:val="008000"/>
                <w:kern w:val="24"/>
                <w:sz w:val="56"/>
                <w:szCs w:val="56"/>
              </w:rPr>
              <w:t>U</w:t>
            </w:r>
          </w:p>
          <w:p w14:paraId="7DE69F13" w14:textId="77777777" w:rsidR="00342FF3" w:rsidRPr="000B6BE3" w:rsidRDefault="00342FF3" w:rsidP="00FC01CD">
            <w:pPr>
              <w:textAlignment w:val="baseline"/>
              <w:rPr>
                <w:rFonts w:cstheme="minorHAnsi"/>
              </w:rPr>
            </w:pPr>
          </w:p>
        </w:tc>
        <w:tc>
          <w:tcPr>
            <w:tcW w:w="415" w:type="dxa"/>
          </w:tcPr>
          <w:p w14:paraId="1371A732" w14:textId="77777777" w:rsidR="00342FF3" w:rsidRPr="000B6BE3" w:rsidRDefault="00342FF3" w:rsidP="00FC01CD">
            <w:pPr>
              <w:rPr>
                <w:rFonts w:cstheme="minorHAnsi"/>
              </w:rPr>
            </w:pPr>
          </w:p>
        </w:tc>
        <w:tc>
          <w:tcPr>
            <w:tcW w:w="1379" w:type="dxa"/>
          </w:tcPr>
          <w:p w14:paraId="0A27F66B" w14:textId="77777777" w:rsidR="00342FF3" w:rsidRPr="000B6BE3" w:rsidRDefault="00342FF3" w:rsidP="00FC01CD">
            <w:pPr>
              <w:rPr>
                <w:rFonts w:cstheme="minorHAnsi"/>
              </w:rPr>
            </w:pPr>
          </w:p>
        </w:tc>
      </w:tr>
    </w:tbl>
    <w:p w14:paraId="3D60A468" w14:textId="77777777" w:rsidR="00342FF3" w:rsidRDefault="00342FF3" w:rsidP="007858C1">
      <w:pPr>
        <w:spacing w:after="0" w:line="240" w:lineRule="auto"/>
        <w:jc w:val="both"/>
      </w:pPr>
    </w:p>
    <w:p w14:paraId="797ECC47" w14:textId="77777777" w:rsidR="007858C1" w:rsidRDefault="007858C1" w:rsidP="007858C1">
      <w:pPr>
        <w:spacing w:after="0" w:line="240" w:lineRule="auto"/>
        <w:jc w:val="both"/>
      </w:pPr>
      <w:r w:rsidRPr="007858C1">
        <w:rPr>
          <w:i/>
          <w:iCs/>
        </w:rPr>
        <w:t>Cassia sieberiana</w:t>
      </w:r>
      <w:r>
        <w:t xml:space="preserve"> est un arbre caduque, de 10-20 mètres de hauteur, ayant des fleurs jaunes très lumineuses.</w:t>
      </w:r>
    </w:p>
    <w:p w14:paraId="106FA5DA" w14:textId="77777777" w:rsidR="007858C1" w:rsidRDefault="007858C1" w:rsidP="007858C1">
      <w:pPr>
        <w:spacing w:after="0" w:line="240" w:lineRule="auto"/>
        <w:jc w:val="both"/>
      </w:pPr>
      <w:r>
        <w:t>On le trouve dans la partie sud du Sahel, au Sénégal, Soudan et Ouganda. On le trouve aussi en Afrique de l'Est.</w:t>
      </w:r>
    </w:p>
    <w:p w14:paraId="263A4F86" w14:textId="77777777" w:rsidR="007858C1" w:rsidRDefault="007858C1" w:rsidP="007858C1">
      <w:pPr>
        <w:spacing w:after="0" w:line="240" w:lineRule="auto"/>
        <w:jc w:val="both"/>
      </w:pPr>
      <w:r>
        <w:t>Dans les régions très sèches, c’est un arbuste. En général, il n’est jamais seul et pousse au sein de groupes d'autres plantes.</w:t>
      </w:r>
    </w:p>
    <w:p w14:paraId="26098B6B" w14:textId="77777777" w:rsidR="007858C1" w:rsidRDefault="007858C1" w:rsidP="007858C1">
      <w:pPr>
        <w:spacing w:after="0" w:line="240" w:lineRule="auto"/>
        <w:jc w:val="both"/>
      </w:pPr>
      <w:r>
        <w:t>Il pousse mieux dans les sols bien drainés et humides avec une pluviométrie annuelle d'environ 500 mm (20 pouces).</w:t>
      </w:r>
    </w:p>
    <w:p w14:paraId="57364323" w14:textId="6F8B3B8A" w:rsidR="007858C1" w:rsidRDefault="007858C1" w:rsidP="007858C1">
      <w:pPr>
        <w:spacing w:after="0" w:line="240" w:lineRule="auto"/>
        <w:jc w:val="both"/>
      </w:pPr>
      <w:r>
        <w:t>L'extrait doux des tiges est utilisé comme nourriture. Des bâtonnets à mâcher peuvent également être fabriqués à partir de la racine. Il a de nombreuses utilisations médicinales. Les racines sont utilisées comme diurétique et vermifuge et pour traiter des maladies telles que l’éléphantiasis, la lèpre, la diarrhée, les hémorroïdes, la dysenterie et les maladies vénériennes. Il peut également être utilisé pour soulager les symptômes, liés au cycle menstruel, et les douleurs. D'autres utilisations incluent le traitement des oreilles avec la racine et les graines. Les graines sont aussi utilisées comme sédatifs. L'écorce de racine est également utilisée en outre pour l'hydropisie, l'enflure et la goutte. Enfin, les feuilles aident à traiter les symptômes de l'arthrite et les rhumatismes. Les gousses font également l’objet d’un commerce local, en particulier comme vermifuge.</w:t>
      </w:r>
    </w:p>
    <w:p w14:paraId="4B7819E3" w14:textId="598603F0" w:rsidR="007858C1" w:rsidRDefault="007858C1" w:rsidP="007858C1">
      <w:pPr>
        <w:spacing w:after="0" w:line="240" w:lineRule="auto"/>
        <w:jc w:val="both"/>
      </w:pPr>
      <w:r>
        <w:t>Il est principalement multiplié par graines.</w:t>
      </w:r>
    </w:p>
    <w:p w14:paraId="57BA898E" w14:textId="77777777" w:rsidR="007858C1" w:rsidRDefault="007858C1" w:rsidP="007858C1">
      <w:pPr>
        <w:spacing w:after="0" w:line="240" w:lineRule="auto"/>
        <w:jc w:val="both"/>
      </w:pPr>
      <w:r>
        <w:t>Sa racine est très utilisée comme tonique et aphrodisiaque en poudre ou en macération (allégations à vérifier).</w:t>
      </w:r>
    </w:p>
    <w:p w14:paraId="2A3BDF62" w14:textId="77777777" w:rsidR="007858C1" w:rsidRDefault="007858C1" w:rsidP="007858C1">
      <w:pPr>
        <w:spacing w:after="0" w:line="240" w:lineRule="auto"/>
        <w:jc w:val="both"/>
      </w:pPr>
      <w:r w:rsidRPr="007858C1">
        <w:rPr>
          <w:i/>
          <w:iCs/>
        </w:rPr>
        <w:t>Cassia sieberiana</w:t>
      </w:r>
      <w:r>
        <w:t> est utilisé pour fabriquer des outils, des pilons, mortiers, et également utilisé pour la construction car c'est un bois très dur, résistant aux termites. En outre, il est aussi un arbre d'ornement en raison de ses fleurs aux couleurs vives.</w:t>
      </w:r>
    </w:p>
    <w:p w14:paraId="55F5816D" w14:textId="59D23013" w:rsidR="007858C1" w:rsidRDefault="007858C1" w:rsidP="007858C1">
      <w:pPr>
        <w:spacing w:after="0" w:line="240" w:lineRule="auto"/>
        <w:jc w:val="both"/>
      </w:pPr>
      <w:r>
        <w:t xml:space="preserve">Il est présent dans les savanes arborées ou arbustives où la pluviométrie annuelle est inférieure à 800 mm. Il pousse le plus souvent dans les lieux argileux (°). </w:t>
      </w:r>
    </w:p>
    <w:p w14:paraId="742DD3B3" w14:textId="693FDF98" w:rsidR="007858C1" w:rsidRPr="00231C3F" w:rsidRDefault="007858C1" w:rsidP="007858C1">
      <w:pPr>
        <w:spacing w:after="0" w:line="240" w:lineRule="auto"/>
        <w:jc w:val="both"/>
      </w:pPr>
      <w:r w:rsidRPr="007858C1">
        <w:rPr>
          <w:u w:val="single"/>
        </w:rPr>
        <w:t>Note</w:t>
      </w:r>
      <w:r>
        <w:t xml:space="preserve"> : Mais selon la base de données PROTA, il préfère un sol sableux et acide (!).Donc donnée à vérifier.</w:t>
      </w:r>
    </w:p>
    <w:p w14:paraId="6581D88E" w14:textId="2BCDEFAA" w:rsidR="007858C1" w:rsidRDefault="007858C1" w:rsidP="007858C1">
      <w:pPr>
        <w:spacing w:after="0" w:line="240" w:lineRule="auto"/>
      </w:pPr>
      <w:r>
        <w:t xml:space="preserve">Sources : a) </w:t>
      </w:r>
      <w:hyperlink r:id="rId772" w:history="1">
        <w:r w:rsidRPr="00BA2F8C">
          <w:rPr>
            <w:rStyle w:val="Lienhypertexte"/>
          </w:rPr>
          <w:t>http://en.wikipedia.org/wiki/Cassia_sieberiana</w:t>
        </w:r>
      </w:hyperlink>
      <w:r>
        <w:t xml:space="preserve">, </w:t>
      </w:r>
    </w:p>
    <w:p w14:paraId="46730FBC" w14:textId="4B724620" w:rsidR="007858C1" w:rsidRPr="00F67BB4" w:rsidRDefault="007858C1" w:rsidP="007858C1">
      <w:pPr>
        <w:spacing w:after="0" w:line="240" w:lineRule="auto"/>
      </w:pPr>
      <w:r w:rsidRPr="00F67BB4">
        <w:t xml:space="preserve">b) </w:t>
      </w:r>
      <w:hyperlink r:id="rId773" w:history="1">
        <w:r w:rsidRPr="00F67BB4">
          <w:rPr>
            <w:rStyle w:val="Lienhypertexte"/>
          </w:rPr>
          <w:t>http://database.prota.org/PROTAhtml/Cassia%20sieberiana_Fr.htm</w:t>
        </w:r>
      </w:hyperlink>
      <w:r w:rsidRPr="00F67BB4">
        <w:t xml:space="preserve">, </w:t>
      </w:r>
    </w:p>
    <w:p w14:paraId="472F70AB" w14:textId="31E4129F" w:rsidR="007858C1" w:rsidRDefault="007858C1" w:rsidP="007858C1">
      <w:pPr>
        <w:spacing w:after="0" w:line="240" w:lineRule="auto"/>
        <w:jc w:val="both"/>
      </w:pPr>
      <w:r>
        <w:t xml:space="preserve">(°) c) Selon </w:t>
      </w:r>
      <w:hyperlink r:id="rId774" w:history="1">
        <w:r w:rsidRPr="00BA2F8C">
          <w:rPr>
            <w:rStyle w:val="Lienhypertexte"/>
          </w:rPr>
          <w:t>http://www.seyilaabe-htkm.com/2011/01/la-chronique-du-mardi-au-jardin_11.html</w:t>
        </w:r>
      </w:hyperlink>
      <w:r>
        <w:t xml:space="preserve">  </w:t>
      </w:r>
    </w:p>
    <w:p w14:paraId="09518559" w14:textId="55D82BFF" w:rsidR="00F04248" w:rsidRDefault="00F04248" w:rsidP="002353E9">
      <w:pPr>
        <w:spacing w:after="0" w:line="240" w:lineRule="auto"/>
        <w:jc w:val="cente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46"/>
        <w:gridCol w:w="4026"/>
        <w:gridCol w:w="3154"/>
      </w:tblGrid>
      <w:tr w:rsidR="00550D89" w14:paraId="1BB8E406" w14:textId="77777777" w:rsidTr="004363FC">
        <w:tc>
          <w:tcPr>
            <w:tcW w:w="3472" w:type="dxa"/>
          </w:tcPr>
          <w:p w14:paraId="434B7FFB" w14:textId="77777777" w:rsidR="00550D89" w:rsidRDefault="006979E1" w:rsidP="002353E9">
            <w:pPr>
              <w:jc w:val="center"/>
            </w:pPr>
            <w:r w:rsidRPr="006979E1">
              <w:rPr>
                <w:noProof/>
              </w:rPr>
              <w:drawing>
                <wp:inline distT="0" distB="0" distL="0" distR="0" wp14:anchorId="6792FC93" wp14:editId="0CF08020">
                  <wp:extent cx="1524000" cy="2032000"/>
                  <wp:effectExtent l="0" t="0" r="0" b="6350"/>
                  <wp:docPr id="65548" name="Picture 8" descr="C:\Users\LISAN\Pictures\plantes-halophytes-xerophiles\Cassia sieberiana L.K. Barnett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48" name="Picture 8" descr="C:\Users\LISAN\Pictures\plantes-halophytes-xerophiles\Cassia sieberiana L.K. Barnett_s.jpg"/>
                          <pic:cNvPicPr>
                            <a:picLocks noChangeAspect="1" noChangeArrowheads="1"/>
                          </pic:cNvPicPr>
                        </pic:nvPicPr>
                        <pic:blipFill>
                          <a:blip r:embed="rId775">
                            <a:extLst>
                              <a:ext uri="{28A0092B-C50C-407E-A947-70E740481C1C}">
                                <a14:useLocalDpi xmlns:a14="http://schemas.microsoft.com/office/drawing/2010/main" val="0"/>
                              </a:ext>
                            </a:extLst>
                          </a:blip>
                          <a:srcRect/>
                          <a:stretch>
                            <a:fillRect/>
                          </a:stretch>
                        </pic:blipFill>
                        <pic:spPr bwMode="auto">
                          <a:xfrm>
                            <a:off x="0" y="0"/>
                            <a:ext cx="1524000" cy="2032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6B95C91" w14:textId="033FD7EE" w:rsidR="000B73C7" w:rsidRDefault="000B73C7" w:rsidP="002353E9">
            <w:pPr>
              <w:jc w:val="center"/>
            </w:pPr>
          </w:p>
        </w:tc>
        <w:tc>
          <w:tcPr>
            <w:tcW w:w="3472" w:type="dxa"/>
          </w:tcPr>
          <w:p w14:paraId="1020CF84" w14:textId="67677DBF" w:rsidR="00550D89" w:rsidRDefault="006979E1" w:rsidP="002353E9">
            <w:pPr>
              <w:jc w:val="center"/>
            </w:pPr>
            <w:r w:rsidRPr="006979E1">
              <w:rPr>
                <w:noProof/>
              </w:rPr>
              <w:drawing>
                <wp:inline distT="0" distB="0" distL="0" distR="0" wp14:anchorId="084FED8B" wp14:editId="7D58A936">
                  <wp:extent cx="1412875" cy="1862138"/>
                  <wp:effectExtent l="0" t="0" r="0" b="5080"/>
                  <wp:docPr id="65547" name="Picture 7" descr="C:\Users\LISAN\Pictures\plantes-halophytes-xerophiles\Cassia sieberiana fleurs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47" name="Picture 7" descr="C:\Users\LISAN\Pictures\plantes-halophytes-xerophiles\Cassia sieberiana fleurs_s.jpg"/>
                          <pic:cNvPicPr>
                            <a:picLocks noChangeAspect="1" noChangeArrowheads="1"/>
                          </pic:cNvPicPr>
                        </pic:nvPicPr>
                        <pic:blipFill>
                          <a:blip r:embed="rId776">
                            <a:extLst>
                              <a:ext uri="{28A0092B-C50C-407E-A947-70E740481C1C}">
                                <a14:useLocalDpi xmlns:a14="http://schemas.microsoft.com/office/drawing/2010/main" val="0"/>
                              </a:ext>
                            </a:extLst>
                          </a:blip>
                          <a:srcRect/>
                          <a:stretch>
                            <a:fillRect/>
                          </a:stretch>
                        </pic:blipFill>
                        <pic:spPr bwMode="auto">
                          <a:xfrm>
                            <a:off x="0" y="0"/>
                            <a:ext cx="1412875" cy="18621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55C5AE34" w14:textId="0216BAC1" w:rsidR="00550D89" w:rsidRDefault="004363FC" w:rsidP="002353E9">
            <w:pPr>
              <w:jc w:val="center"/>
            </w:pPr>
            <w:r w:rsidRPr="004363FC">
              <w:rPr>
                <w:noProof/>
              </w:rPr>
              <w:drawing>
                <wp:inline distT="0" distB="0" distL="0" distR="0" wp14:anchorId="3D071E42" wp14:editId="5520A0E5">
                  <wp:extent cx="1439862" cy="1258887"/>
                  <wp:effectExtent l="0" t="0" r="8255" b="0"/>
                  <wp:docPr id="65551" name="Picture 11" descr="C:\Users\LISAN\Pictures\plantes-halophytes-xerophiles\cassia sieberian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51" name="Picture 11" descr="C:\Users\LISAN\Pictures\plantes-halophytes-xerophiles\cassia sieberianat.jpg"/>
                          <pic:cNvPicPr>
                            <a:picLocks noChangeAspect="1" noChangeArrowheads="1"/>
                          </pic:cNvPicPr>
                        </pic:nvPicPr>
                        <pic:blipFill>
                          <a:blip r:embed="rId777">
                            <a:extLst>
                              <a:ext uri="{28A0092B-C50C-407E-A947-70E740481C1C}">
                                <a14:useLocalDpi xmlns:a14="http://schemas.microsoft.com/office/drawing/2010/main" val="0"/>
                              </a:ext>
                            </a:extLst>
                          </a:blip>
                          <a:srcRect/>
                          <a:stretch>
                            <a:fillRect/>
                          </a:stretch>
                        </pic:blipFill>
                        <pic:spPr bwMode="auto">
                          <a:xfrm>
                            <a:off x="0" y="0"/>
                            <a:ext cx="1439862" cy="12588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550D89" w14:paraId="15087020" w14:textId="77777777" w:rsidTr="004363FC">
        <w:tc>
          <w:tcPr>
            <w:tcW w:w="3472" w:type="dxa"/>
          </w:tcPr>
          <w:p w14:paraId="1F107992" w14:textId="37FA6B7B" w:rsidR="00550D89" w:rsidRDefault="004363FC" w:rsidP="002353E9">
            <w:pPr>
              <w:jc w:val="center"/>
            </w:pPr>
            <w:r w:rsidRPr="004363FC">
              <w:rPr>
                <w:noProof/>
              </w:rPr>
              <w:lastRenderedPageBreak/>
              <w:drawing>
                <wp:inline distT="0" distB="0" distL="0" distR="0" wp14:anchorId="1CFA1CA9" wp14:editId="422A4F91">
                  <wp:extent cx="1625600" cy="1262062"/>
                  <wp:effectExtent l="0" t="0" r="0" b="0"/>
                  <wp:docPr id="65549" name="Picture 9" descr="C:\Users\LISAN\Pictures\plantes-halophytes-xerophiles\cassia sieberiana_frui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49" name="Picture 9" descr="C:\Users\LISAN\Pictures\plantes-halophytes-xerophiles\cassia sieberiana_fruits.jpg"/>
                          <pic:cNvPicPr>
                            <a:picLocks noChangeAspect="1" noChangeArrowheads="1"/>
                          </pic:cNvPicPr>
                        </pic:nvPicPr>
                        <pic:blipFill>
                          <a:blip r:embed="rId778">
                            <a:extLst>
                              <a:ext uri="{28A0092B-C50C-407E-A947-70E740481C1C}">
                                <a14:useLocalDpi xmlns:a14="http://schemas.microsoft.com/office/drawing/2010/main" val="0"/>
                              </a:ext>
                            </a:extLst>
                          </a:blip>
                          <a:srcRect/>
                          <a:stretch>
                            <a:fillRect/>
                          </a:stretch>
                        </pic:blipFill>
                        <pic:spPr bwMode="auto">
                          <a:xfrm>
                            <a:off x="0" y="0"/>
                            <a:ext cx="1625600" cy="12620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5614A324" w14:textId="7F31CC61" w:rsidR="00550D89" w:rsidRDefault="004363FC" w:rsidP="002353E9">
            <w:pPr>
              <w:jc w:val="center"/>
            </w:pPr>
            <w:r w:rsidRPr="004363FC">
              <w:rPr>
                <w:noProof/>
              </w:rPr>
              <w:drawing>
                <wp:inline distT="0" distB="0" distL="0" distR="0" wp14:anchorId="347AAF2F" wp14:editId="619F60FC">
                  <wp:extent cx="2419350" cy="1895475"/>
                  <wp:effectExtent l="0" t="0" r="0" b="9525"/>
                  <wp:docPr id="65550" name="Picture 10" descr="C:\Users\LISAN\Pictures\plantes-halophytes-xerophiles\Cassia sieberian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50" name="Picture 10" descr="C:\Users\LISAN\Pictures\plantes-halophytes-xerophiles\Cassia sieberiana2.jpg"/>
                          <pic:cNvPicPr>
                            <a:picLocks noChangeAspect="1" noChangeArrowheads="1"/>
                          </pic:cNvPicPr>
                        </pic:nvPicPr>
                        <pic:blipFill>
                          <a:blip r:embed="rId779">
                            <a:extLst>
                              <a:ext uri="{28A0092B-C50C-407E-A947-70E740481C1C}">
                                <a14:useLocalDpi xmlns:a14="http://schemas.microsoft.com/office/drawing/2010/main" val="0"/>
                              </a:ext>
                            </a:extLst>
                          </a:blip>
                          <a:srcRect/>
                          <a:stretch>
                            <a:fillRect/>
                          </a:stretch>
                        </pic:blipFill>
                        <pic:spPr bwMode="auto">
                          <a:xfrm>
                            <a:off x="0" y="0"/>
                            <a:ext cx="2419350" cy="1895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70C37265" w14:textId="77777777" w:rsidR="00550D89" w:rsidRDefault="00550D89" w:rsidP="002353E9">
            <w:pPr>
              <w:jc w:val="center"/>
            </w:pPr>
          </w:p>
        </w:tc>
      </w:tr>
    </w:tbl>
    <w:p w14:paraId="647EF1DF" w14:textId="77777777" w:rsidR="003C2896" w:rsidRDefault="003C2896" w:rsidP="00E95A70">
      <w:pPr>
        <w:spacing w:after="0" w:line="240" w:lineRule="auto"/>
      </w:pPr>
    </w:p>
    <w:p w14:paraId="46F8875F" w14:textId="77777777" w:rsidR="0012289D" w:rsidRDefault="0012289D" w:rsidP="00B243F9">
      <w:pPr>
        <w:pStyle w:val="Titre2"/>
      </w:pPr>
      <w:bookmarkStart w:id="84" w:name="_Toc139181375"/>
      <w:r>
        <w:t>Mopane ou Mopani (</w:t>
      </w:r>
      <w:r w:rsidRPr="0012289D">
        <w:t>Colophospermum mopane</w:t>
      </w:r>
      <w:r>
        <w:t>)</w:t>
      </w:r>
      <w:bookmarkEnd w:id="84"/>
    </w:p>
    <w:p w14:paraId="476E2A1E" w14:textId="353E1EC4" w:rsidR="0012289D" w:rsidRDefault="0012289D" w:rsidP="0012289D">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5"/>
        <w:gridCol w:w="2313"/>
        <w:gridCol w:w="1544"/>
        <w:gridCol w:w="415"/>
        <w:gridCol w:w="1379"/>
      </w:tblGrid>
      <w:tr w:rsidR="0012289D" w:rsidRPr="000B6BE3" w14:paraId="203BB7BB" w14:textId="77777777" w:rsidTr="005C76A4">
        <w:tc>
          <w:tcPr>
            <w:tcW w:w="4775" w:type="dxa"/>
          </w:tcPr>
          <w:p w14:paraId="14C5933F" w14:textId="3D71853E" w:rsidR="0012289D" w:rsidRPr="00DE2C3A" w:rsidRDefault="0012289D" w:rsidP="005C76A4">
            <w:pPr>
              <w:jc w:val="both"/>
              <w:rPr>
                <w:rFonts w:ascii="Calibri" w:hAnsi="Calibri" w:cs="Calibri"/>
                <w:bCs/>
              </w:rPr>
            </w:pPr>
            <w:r>
              <w:rPr>
                <w:rFonts w:ascii="Calibri" w:hAnsi="Calibri" w:cs="Calibri"/>
                <w:bCs/>
              </w:rPr>
              <w:t>(</w:t>
            </w:r>
            <w:r w:rsidRPr="00DE2C3A">
              <w:rPr>
                <w:rFonts w:ascii="Calibri" w:hAnsi="Calibri" w:cs="Calibri"/>
                <w:bCs/>
              </w:rPr>
              <w:t>Famille des</w:t>
            </w:r>
            <w:r>
              <w:rPr>
                <w:rFonts w:ascii="Calibri" w:hAnsi="Calibri" w:cs="Calibri"/>
              </w:rPr>
              <w:t xml:space="preserve"> </w:t>
            </w:r>
            <w:r w:rsidRPr="0012289D">
              <w:rPr>
                <w:i/>
                <w:iCs/>
              </w:rPr>
              <w:t>Caesalpiniaceae</w:t>
            </w:r>
            <w:r>
              <w:rPr>
                <w:rFonts w:ascii="Calibri" w:hAnsi="Calibri" w:cs="Calibri"/>
                <w:bCs/>
              </w:rPr>
              <w:t>)</w:t>
            </w:r>
            <w:r w:rsidRPr="00DE2C3A">
              <w:rPr>
                <w:rFonts w:ascii="Calibri" w:hAnsi="Calibri" w:cs="Calibri"/>
                <w:bCs/>
              </w:rPr>
              <w:t>.</w:t>
            </w:r>
          </w:p>
          <w:p w14:paraId="7AAE9480" w14:textId="77777777" w:rsidR="0012289D" w:rsidRPr="008F191E" w:rsidRDefault="0012289D" w:rsidP="005C76A4">
            <w:pPr>
              <w:rPr>
                <w:rFonts w:ascii="Calibri" w:hAnsi="Calibri" w:cs="Calibri"/>
                <w:bCs/>
              </w:rPr>
            </w:pPr>
          </w:p>
          <w:p w14:paraId="1683F0AF" w14:textId="77777777" w:rsidR="0012289D" w:rsidRPr="000B6BE3" w:rsidRDefault="0012289D" w:rsidP="005C76A4">
            <w:pPr>
              <w:rPr>
                <w:rFonts w:cstheme="minorHAnsi"/>
              </w:rPr>
            </w:pPr>
          </w:p>
        </w:tc>
        <w:tc>
          <w:tcPr>
            <w:tcW w:w="2313" w:type="dxa"/>
          </w:tcPr>
          <w:p w14:paraId="5EB5188D" w14:textId="77777777" w:rsidR="0012289D" w:rsidRPr="000B6BE3" w:rsidRDefault="0012289D" w:rsidP="005C76A4">
            <w:pPr>
              <w:rPr>
                <w:rFonts w:cstheme="minorHAnsi"/>
              </w:rPr>
            </w:pPr>
            <w:r w:rsidRPr="000B6BE3">
              <w:rPr>
                <w:rFonts w:cstheme="minorHAnsi"/>
                <w:noProof/>
              </w:rPr>
              <w:t xml:space="preserve">  </w:t>
            </w:r>
            <w:r>
              <w:rPr>
                <w:rFonts w:cstheme="minorHAnsi"/>
                <w:noProof/>
              </w:rPr>
              <w:t xml:space="preserve">     </w:t>
            </w:r>
            <w:r w:rsidRPr="005C50C9">
              <w:rPr>
                <w:rFonts w:cstheme="minorHAnsi"/>
                <w:noProof/>
              </w:rPr>
              <w:drawing>
                <wp:inline distT="0" distB="0" distL="0" distR="0" wp14:anchorId="2E04451F" wp14:editId="74DC74F9">
                  <wp:extent cx="495300" cy="666750"/>
                  <wp:effectExtent l="0" t="0" r="0" b="0"/>
                  <wp:docPr id="39960" name="Image 15"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8" name="Image 15" descr="logo aride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w:t>
            </w:r>
            <w:r w:rsidRPr="008F2681">
              <w:rPr>
                <w:rFonts w:cstheme="minorHAnsi"/>
                <w:noProof/>
              </w:rPr>
              <w:drawing>
                <wp:inline distT="0" distB="0" distL="0" distR="0" wp14:anchorId="488075EF" wp14:editId="033926DF">
                  <wp:extent cx="463550" cy="661988"/>
                  <wp:effectExtent l="0" t="0" r="0" b="5080"/>
                  <wp:docPr id="39961"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w:t>
            </w:r>
          </w:p>
        </w:tc>
        <w:tc>
          <w:tcPr>
            <w:tcW w:w="1544" w:type="dxa"/>
          </w:tcPr>
          <w:p w14:paraId="647BD527" w14:textId="3A73C2A7" w:rsidR="0012289D" w:rsidRPr="002E01BB" w:rsidRDefault="0012289D" w:rsidP="005C76A4">
            <w:pPr>
              <w:rPr>
                <w:rFonts w:eastAsia="+mn-ea" w:cstheme="minorHAnsi"/>
                <w:b/>
                <w:bCs/>
                <w:color w:val="008000"/>
                <w:kern w:val="24"/>
                <w:sz w:val="56"/>
                <w:szCs w:val="56"/>
              </w:rPr>
            </w:pPr>
            <w:r w:rsidRPr="00D1445E">
              <w:rPr>
                <w:rFonts w:eastAsia="+mn-ea" w:cstheme="minorHAnsi"/>
                <w:b/>
                <w:bCs/>
                <w:color w:val="008000"/>
                <w:kern w:val="24"/>
                <w:sz w:val="56"/>
                <w:szCs w:val="56"/>
              </w:rPr>
              <w:t>U</w:t>
            </w:r>
            <w:r w:rsidR="0018527A">
              <w:rPr>
                <w:rFonts w:eastAsia="+mn-ea" w:cstheme="minorHAnsi"/>
                <w:b/>
                <w:bCs/>
                <w:color w:val="008000"/>
                <w:kern w:val="24"/>
                <w:sz w:val="56"/>
                <w:szCs w:val="56"/>
              </w:rPr>
              <w:t xml:space="preserve"> $</w:t>
            </w:r>
          </w:p>
          <w:p w14:paraId="7DAD23A3" w14:textId="77777777" w:rsidR="0012289D" w:rsidRPr="000B6BE3" w:rsidRDefault="0012289D" w:rsidP="005C76A4">
            <w:pPr>
              <w:textAlignment w:val="baseline"/>
              <w:rPr>
                <w:rFonts w:cstheme="minorHAnsi"/>
              </w:rPr>
            </w:pPr>
          </w:p>
        </w:tc>
        <w:tc>
          <w:tcPr>
            <w:tcW w:w="415" w:type="dxa"/>
          </w:tcPr>
          <w:p w14:paraId="763D28AF" w14:textId="77777777" w:rsidR="0012289D" w:rsidRPr="000B6BE3" w:rsidRDefault="0012289D" w:rsidP="005C76A4">
            <w:pPr>
              <w:rPr>
                <w:rFonts w:cstheme="minorHAnsi"/>
              </w:rPr>
            </w:pPr>
          </w:p>
        </w:tc>
        <w:tc>
          <w:tcPr>
            <w:tcW w:w="1379" w:type="dxa"/>
          </w:tcPr>
          <w:p w14:paraId="234EC72C" w14:textId="77777777" w:rsidR="0012289D" w:rsidRPr="000B6BE3" w:rsidRDefault="0012289D" w:rsidP="005C76A4">
            <w:pPr>
              <w:rPr>
                <w:rFonts w:cstheme="minorHAnsi"/>
              </w:rPr>
            </w:pPr>
          </w:p>
        </w:tc>
      </w:tr>
    </w:tbl>
    <w:p w14:paraId="2B2F1C6C" w14:textId="49621F32" w:rsidR="0012289D" w:rsidRDefault="0012289D" w:rsidP="0012289D">
      <w:pPr>
        <w:spacing w:after="0" w:line="240" w:lineRule="auto"/>
        <w:jc w:val="both"/>
      </w:pPr>
    </w:p>
    <w:p w14:paraId="68529C3C" w14:textId="77777777" w:rsidR="0012289D" w:rsidRDefault="0012289D" w:rsidP="0012289D">
      <w:pPr>
        <w:spacing w:after="0" w:line="240" w:lineRule="auto"/>
        <w:jc w:val="both"/>
      </w:pPr>
      <w:r>
        <w:t xml:space="preserve">Arbre caduque d'Afrique australe, de 4 et 18 m de haut. Sa feuille en forme de papillon et sa gousse fine et fragile sont caractéristiques. Il dégage une forte odeur de térébenthine. Ses graines sont résineuses. </w:t>
      </w:r>
    </w:p>
    <w:p w14:paraId="444093BF" w14:textId="0F008F04" w:rsidR="0012289D" w:rsidRDefault="0012289D" w:rsidP="0012289D">
      <w:pPr>
        <w:spacing w:after="0" w:line="240" w:lineRule="auto"/>
        <w:jc w:val="both"/>
      </w:pPr>
      <w:r>
        <w:t>L'arbre existe exclusivement en Afrique. Il pousse dans les régions chaudes et sèches [sans gel] situées de 200 à 1 150 mètres d'altitude des parties les plus septentrionales de l'Afrique australe</w:t>
      </w:r>
      <w:r w:rsidR="00D45746">
        <w:rPr>
          <w:rStyle w:val="Appelnotedebasdep"/>
        </w:rPr>
        <w:footnoteReference w:id="79"/>
      </w:r>
      <w:r>
        <w:t>. Selon leur taille, ils sont regroupés en fruticées ou en forêts, forêts parfois comparées à des cathédrales de mopanes (jusqu’à 30 m).</w:t>
      </w:r>
    </w:p>
    <w:p w14:paraId="7C70DA14" w14:textId="77777777" w:rsidR="0012289D" w:rsidRDefault="0012289D" w:rsidP="0012289D">
      <w:pPr>
        <w:spacing w:after="0" w:line="240" w:lineRule="auto"/>
        <w:jc w:val="both"/>
      </w:pPr>
      <w:r>
        <w:t>Il pousse dans les sols alcalins (à haute teneur en chaux (calcaire ?)), peu profonds et mal drainés. Il croît aussi dans les sols alluviaux (formés par les sédiments déposés par les rivières). Il pousse mal en dehors des zones chaudes et arrosées par des pluies estivales. Pluviométrie annuelle moyenne : 200-800 mm. Sa croissance est lente.</w:t>
      </w:r>
    </w:p>
    <w:p w14:paraId="106B2D5A" w14:textId="427994B5" w:rsidR="0012289D" w:rsidRDefault="0012289D" w:rsidP="0012289D">
      <w:pPr>
        <w:spacing w:after="0" w:line="240" w:lineRule="auto"/>
        <w:jc w:val="both"/>
      </w:pPr>
      <w:r>
        <w:t xml:space="preserve">La forte densité du bois lourd de mopane le rend résistant aux termites et pour cette raison et pour sa riche couleur rougeâtre, il est depuis longtemps utilisé dans la construction de maisons, palissades, planchers, traverses de chemin de fer ou bois de soutènement de mine. Il est également de plus en plus utilisé dans la fabrication d'instruments de musique, en particulier des instruments à vent (clarinettes …), </w:t>
      </w:r>
      <w:r w:rsidRPr="0012289D">
        <w:rPr>
          <w:i/>
          <w:iCs/>
        </w:rPr>
        <w:t>le Dalbergia melanoxylon</w:t>
      </w:r>
      <w:r>
        <w:t> (ébène du Mozambique ou grenadille), étant de plus en plus difficile à trouver. Il est assez huileux, sèche très bien avec peu de fentes et donne aux instruments un son chaud et riche.</w:t>
      </w:r>
    </w:p>
    <w:p w14:paraId="7AB78160" w14:textId="77777777" w:rsidR="0012289D" w:rsidRDefault="0012289D" w:rsidP="0012289D">
      <w:pPr>
        <w:spacing w:after="0" w:line="240" w:lineRule="auto"/>
        <w:jc w:val="both"/>
      </w:pPr>
      <w:r>
        <w:t>Il fournit des brindilles à mâcher en guise de brosse à dents. Son écorce est employée pour fabriquer de la ficelle et des produits de tannage. Il a des usages médicinaux (ses feuilles aideraient à la cicatrisation des plaies…). Son écorce est employée pour fabriquer de la ficelle et des produits de tannage. L'arbre est une source importante de nourriture pour le ver mopane (chenille de la pyrale de l'</w:t>
      </w:r>
      <w:r w:rsidRPr="0012289D">
        <w:rPr>
          <w:i/>
          <w:iCs/>
        </w:rPr>
        <w:t>Imbrasia belina</w:t>
      </w:r>
      <w:r>
        <w:t>). Les chenilles sont riches en protéines et couramment consommées. La vente de vers mopane grillés ou séchés contribue significativement à l'économie rurale. L'arbre agit également comme plante hôte du vers à soie sauvage d'un papillon de nuit (</w:t>
      </w:r>
      <w:r w:rsidRPr="0012289D">
        <w:rPr>
          <w:i/>
          <w:iCs/>
        </w:rPr>
        <w:t>Gonometa rufobrunnea</w:t>
      </w:r>
      <w:r>
        <w:t>). Les cocons sont récoltés pour donner de la soie sauvage. Le bois est aussi utilisé pour faire du charbon de bois. Son écorce résiste aux feux. Il ne supporte pas le gel.</w:t>
      </w:r>
    </w:p>
    <w:p w14:paraId="6CEB3C1B" w14:textId="6B601F2D" w:rsidR="0012289D" w:rsidRDefault="00D45746" w:rsidP="0012289D">
      <w:pPr>
        <w:spacing w:after="0" w:line="240" w:lineRule="auto"/>
        <w:jc w:val="both"/>
      </w:pPr>
      <w:r>
        <w:t>(Seule espèce du genre </w:t>
      </w:r>
      <w:r w:rsidRPr="0012289D">
        <w:rPr>
          <w:i/>
          <w:iCs/>
        </w:rPr>
        <w:t>Colophospermum</w:t>
      </w:r>
      <w:r>
        <w:t>, de la famille des </w:t>
      </w:r>
      <w:r w:rsidRPr="0012289D">
        <w:rPr>
          <w:i/>
          <w:iCs/>
        </w:rPr>
        <w:t>Fabaceae</w:t>
      </w:r>
      <w:r>
        <w:t>). Il peut fournir un fourrage aux bovins.</w:t>
      </w:r>
    </w:p>
    <w:p w14:paraId="02F8AC29" w14:textId="016F56AC" w:rsidR="0012289D" w:rsidRDefault="0012289D" w:rsidP="0012289D">
      <w:pPr>
        <w:spacing w:after="0" w:line="240" w:lineRule="auto"/>
      </w:pPr>
      <w:r>
        <w:t xml:space="preserve">Sources : a) </w:t>
      </w:r>
      <w:hyperlink r:id="rId780" w:history="1">
        <w:r w:rsidRPr="009A5C23">
          <w:rPr>
            <w:rStyle w:val="Lienhypertexte"/>
          </w:rPr>
          <w:t>http://fr.wikipedia.org/wiki/Mopane</w:t>
        </w:r>
      </w:hyperlink>
      <w:r>
        <w:t xml:space="preserve">,  </w:t>
      </w:r>
    </w:p>
    <w:p w14:paraId="67367430" w14:textId="1E761E5D" w:rsidR="0012289D" w:rsidRPr="008F2557" w:rsidRDefault="0012289D" w:rsidP="0012289D">
      <w:pPr>
        <w:spacing w:after="0" w:line="240" w:lineRule="auto"/>
        <w:rPr>
          <w:lang w:val="en-GB"/>
        </w:rPr>
      </w:pPr>
      <w:r w:rsidRPr="008F2557">
        <w:rPr>
          <w:lang w:val="en-GB"/>
        </w:rPr>
        <w:t xml:space="preserve">b) </w:t>
      </w:r>
      <w:hyperlink r:id="rId781" w:history="1">
        <w:r w:rsidRPr="008F2557">
          <w:rPr>
            <w:rStyle w:val="Lienhypertexte"/>
            <w:lang w:val="en-GB"/>
          </w:rPr>
          <w:t>http://www.worldagroforestry.org/treedb2/AFTPDFS/Colophospermum_mopane.pdf</w:t>
        </w:r>
      </w:hyperlink>
      <w:r w:rsidRPr="008F2557">
        <w:rPr>
          <w:lang w:val="en-GB"/>
        </w:rPr>
        <w:t xml:space="preserve">,  </w:t>
      </w:r>
    </w:p>
    <w:p w14:paraId="6F7A8C9E" w14:textId="5354B7ED" w:rsidR="00E95A70" w:rsidRPr="008F2557" w:rsidRDefault="0012289D" w:rsidP="0012289D">
      <w:pPr>
        <w:spacing w:after="0" w:line="240" w:lineRule="auto"/>
        <w:rPr>
          <w:lang w:val="en-GB"/>
        </w:rPr>
      </w:pPr>
      <w:r w:rsidRPr="008F2557">
        <w:rPr>
          <w:lang w:val="en-GB"/>
        </w:rPr>
        <w:t xml:space="preserve">c) </w:t>
      </w:r>
      <w:hyperlink r:id="rId782" w:history="1">
        <w:r w:rsidR="00EC29DB" w:rsidRPr="00EE130C">
          <w:rPr>
            <w:rStyle w:val="Lienhypertexte"/>
            <w:lang w:val="en-GB"/>
          </w:rPr>
          <w:t>http://en.wikipedia.org/wiki/Mopane</w:t>
        </w:r>
      </w:hyperlink>
      <w:r w:rsidRPr="008F2557">
        <w:rPr>
          <w:lang w:val="en-GB"/>
        </w:rPr>
        <w:t>,</w:t>
      </w:r>
      <w:r w:rsidR="00EC29DB">
        <w:rPr>
          <w:lang w:val="en-GB"/>
        </w:rPr>
        <w:t xml:space="preserve"> </w:t>
      </w:r>
      <w:r w:rsidRPr="008F2557">
        <w:rPr>
          <w:lang w:val="en-GB"/>
        </w:rPr>
        <w:t xml:space="preserve">c) </w:t>
      </w:r>
      <w:hyperlink r:id="rId783" w:history="1">
        <w:r w:rsidRPr="008F2557">
          <w:rPr>
            <w:rStyle w:val="Lienhypertexte"/>
            <w:lang w:val="en-GB"/>
          </w:rPr>
          <w:t>http://www.plantzafrica.com/plantcd/colomopane.htm</w:t>
        </w:r>
      </w:hyperlink>
    </w:p>
    <w:p w14:paraId="49E9CE09" w14:textId="7CA4A208" w:rsidR="0012289D" w:rsidRPr="008F2557" w:rsidRDefault="0012289D" w:rsidP="0012289D">
      <w:pPr>
        <w:spacing w:after="0" w:line="240" w:lineRule="auto"/>
        <w:rPr>
          <w:lang w:val="en-G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C423A0" w14:paraId="5253DD6C" w14:textId="77777777" w:rsidTr="00C423A0">
        <w:tc>
          <w:tcPr>
            <w:tcW w:w="3472" w:type="dxa"/>
          </w:tcPr>
          <w:p w14:paraId="443BEAA6" w14:textId="77777777" w:rsidR="00C423A0" w:rsidRDefault="00C423A0" w:rsidP="0012289D">
            <w:pPr>
              <w:jc w:val="center"/>
            </w:pPr>
            <w:r w:rsidRPr="00C423A0">
              <w:rPr>
                <w:noProof/>
              </w:rPr>
              <w:lastRenderedPageBreak/>
              <w:drawing>
                <wp:inline distT="0" distB="0" distL="0" distR="0" wp14:anchorId="2D53213D" wp14:editId="692EDBFA">
                  <wp:extent cx="1692275" cy="1354137"/>
                  <wp:effectExtent l="0" t="0" r="3175" b="0"/>
                  <wp:docPr id="66576" name="Picture 4" descr="C:\Users\LISAN\Pictures\plantes-halophytes-xerophiles\colophospermum mopane_bu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76" name="Picture 4" descr="C:\Users\LISAN\Pictures\plantes-halophytes-xerophiles\colophospermum mopane_bush.jpg"/>
                          <pic:cNvPicPr>
                            <a:picLocks noChangeAspect="1" noChangeArrowheads="1"/>
                          </pic:cNvPicPr>
                        </pic:nvPicPr>
                        <pic:blipFill>
                          <a:blip r:embed="rId784">
                            <a:extLst>
                              <a:ext uri="{28A0092B-C50C-407E-A947-70E740481C1C}">
                                <a14:useLocalDpi xmlns:a14="http://schemas.microsoft.com/office/drawing/2010/main" val="0"/>
                              </a:ext>
                            </a:extLst>
                          </a:blip>
                          <a:srcRect/>
                          <a:stretch>
                            <a:fillRect/>
                          </a:stretch>
                        </pic:blipFill>
                        <pic:spPr bwMode="auto">
                          <a:xfrm>
                            <a:off x="0" y="0"/>
                            <a:ext cx="1692275" cy="1354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66E89193" w14:textId="321AABC1" w:rsidR="000B73C7" w:rsidRDefault="000B73C7" w:rsidP="0012289D">
            <w:pPr>
              <w:jc w:val="center"/>
            </w:pPr>
          </w:p>
        </w:tc>
        <w:tc>
          <w:tcPr>
            <w:tcW w:w="3472" w:type="dxa"/>
          </w:tcPr>
          <w:p w14:paraId="0325A027" w14:textId="59D929BD" w:rsidR="00C423A0" w:rsidRDefault="00C423A0" w:rsidP="0012289D">
            <w:pPr>
              <w:jc w:val="center"/>
            </w:pPr>
            <w:r w:rsidRPr="00C423A0">
              <w:rPr>
                <w:noProof/>
              </w:rPr>
              <w:drawing>
                <wp:inline distT="0" distB="0" distL="0" distR="0" wp14:anchorId="7B2325E0" wp14:editId="143E3965">
                  <wp:extent cx="1609725" cy="1192818"/>
                  <wp:effectExtent l="0" t="0" r="0" b="7620"/>
                  <wp:docPr id="66580" name="Picture 9" descr="C:\Users\LISAN\Pictures\plantes-halophytes-xerophiles\Colophospermum mopane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80" name="Picture 9" descr="C:\Users\LISAN\Pictures\plantes-halophytes-xerophiles\Colophospermum mopane2_s.jpg"/>
                          <pic:cNvPicPr>
                            <a:picLocks noChangeAspect="1" noChangeArrowheads="1"/>
                          </pic:cNvPicPr>
                        </pic:nvPicPr>
                        <pic:blipFill>
                          <a:blip r:embed="rId785">
                            <a:extLst>
                              <a:ext uri="{28A0092B-C50C-407E-A947-70E740481C1C}">
                                <a14:useLocalDpi xmlns:a14="http://schemas.microsoft.com/office/drawing/2010/main" val="0"/>
                              </a:ext>
                            </a:extLst>
                          </a:blip>
                          <a:srcRect/>
                          <a:stretch>
                            <a:fillRect/>
                          </a:stretch>
                        </pic:blipFill>
                        <pic:spPr bwMode="auto">
                          <a:xfrm>
                            <a:off x="0" y="0"/>
                            <a:ext cx="1613719" cy="1195778"/>
                          </a:xfrm>
                          <a:prstGeom prst="rect">
                            <a:avLst/>
                          </a:prstGeom>
                          <a:noFill/>
                          <a:ln>
                            <a:noFill/>
                          </a:ln>
                        </pic:spPr>
                      </pic:pic>
                    </a:graphicData>
                  </a:graphic>
                </wp:inline>
              </w:drawing>
            </w:r>
          </w:p>
        </w:tc>
        <w:tc>
          <w:tcPr>
            <w:tcW w:w="3472" w:type="dxa"/>
          </w:tcPr>
          <w:p w14:paraId="557DB349" w14:textId="3EE64911" w:rsidR="00C423A0" w:rsidRDefault="00C423A0" w:rsidP="0012289D">
            <w:pPr>
              <w:jc w:val="center"/>
            </w:pPr>
            <w:r w:rsidRPr="00C423A0">
              <w:rPr>
                <w:noProof/>
              </w:rPr>
              <w:drawing>
                <wp:inline distT="0" distB="0" distL="0" distR="0" wp14:anchorId="238DEE50" wp14:editId="3FF98956">
                  <wp:extent cx="1682344" cy="1266825"/>
                  <wp:effectExtent l="0" t="0" r="0" b="0"/>
                  <wp:docPr id="66574" name="Picture 2" descr="C:\Users\LISAN\Pictures\plantes-halophytes-xerophiles\Colophospermum mopane3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74" name="Picture 2" descr="C:\Users\LISAN\Pictures\plantes-halophytes-xerophiles\Colophospermum mopane3_s.jpg"/>
                          <pic:cNvPicPr>
                            <a:picLocks noChangeAspect="1" noChangeArrowheads="1"/>
                          </pic:cNvPicPr>
                        </pic:nvPicPr>
                        <pic:blipFill>
                          <a:blip r:embed="rId786">
                            <a:extLst>
                              <a:ext uri="{28A0092B-C50C-407E-A947-70E740481C1C}">
                                <a14:useLocalDpi xmlns:a14="http://schemas.microsoft.com/office/drawing/2010/main" val="0"/>
                              </a:ext>
                            </a:extLst>
                          </a:blip>
                          <a:srcRect/>
                          <a:stretch>
                            <a:fillRect/>
                          </a:stretch>
                        </pic:blipFill>
                        <pic:spPr bwMode="auto">
                          <a:xfrm>
                            <a:off x="0" y="0"/>
                            <a:ext cx="1685130" cy="1268923"/>
                          </a:xfrm>
                          <a:prstGeom prst="rect">
                            <a:avLst/>
                          </a:prstGeom>
                          <a:noFill/>
                          <a:ln>
                            <a:noFill/>
                          </a:ln>
                        </pic:spPr>
                      </pic:pic>
                    </a:graphicData>
                  </a:graphic>
                </wp:inline>
              </w:drawing>
            </w:r>
          </w:p>
        </w:tc>
      </w:tr>
      <w:tr w:rsidR="00C423A0" w14:paraId="292CBF56" w14:textId="77777777" w:rsidTr="00C423A0">
        <w:tc>
          <w:tcPr>
            <w:tcW w:w="3472" w:type="dxa"/>
          </w:tcPr>
          <w:p w14:paraId="76626A46" w14:textId="7FAF7407" w:rsidR="00C423A0" w:rsidRDefault="00C423A0" w:rsidP="0012289D">
            <w:pPr>
              <w:jc w:val="center"/>
            </w:pPr>
            <w:r w:rsidRPr="00C423A0">
              <w:rPr>
                <w:noProof/>
              </w:rPr>
              <w:drawing>
                <wp:inline distT="0" distB="0" distL="0" distR="0" wp14:anchorId="090331A6" wp14:editId="5A945F95">
                  <wp:extent cx="1079500" cy="1154112"/>
                  <wp:effectExtent l="0" t="0" r="6350" b="8255"/>
                  <wp:docPr id="66578" name="Picture 6" descr="C:\Users\LISAN\Pictures\plantes-halophytes-xerophiles\colophospermum mopane_feuill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78" name="Picture 6" descr="C:\Users\LISAN\Pictures\plantes-halophytes-xerophiles\colophospermum mopane_feuilles2.jpg"/>
                          <pic:cNvPicPr>
                            <a:picLocks noChangeAspect="1" noChangeArrowheads="1"/>
                          </pic:cNvPicPr>
                        </pic:nvPicPr>
                        <pic:blipFill>
                          <a:blip r:embed="rId787">
                            <a:extLst>
                              <a:ext uri="{28A0092B-C50C-407E-A947-70E740481C1C}">
                                <a14:useLocalDpi xmlns:a14="http://schemas.microsoft.com/office/drawing/2010/main" val="0"/>
                              </a:ext>
                            </a:extLst>
                          </a:blip>
                          <a:srcRect/>
                          <a:stretch>
                            <a:fillRect/>
                          </a:stretch>
                        </pic:blipFill>
                        <pic:spPr bwMode="auto">
                          <a:xfrm>
                            <a:off x="0" y="0"/>
                            <a:ext cx="1079500" cy="11541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3893EACD" w14:textId="659B89EF" w:rsidR="00C423A0" w:rsidRDefault="00C423A0" w:rsidP="0012289D">
            <w:pPr>
              <w:jc w:val="center"/>
            </w:pPr>
            <w:r w:rsidRPr="00C423A0">
              <w:rPr>
                <w:noProof/>
              </w:rPr>
              <w:drawing>
                <wp:inline distT="0" distB="0" distL="0" distR="0" wp14:anchorId="1B076FBE" wp14:editId="07567E4E">
                  <wp:extent cx="1633537" cy="1295400"/>
                  <wp:effectExtent l="0" t="0" r="5080" b="0"/>
                  <wp:docPr id="66577" name="Picture 5" descr="C:\Users\LISAN\Pictures\plantes-halophytes-xerophiles\colophospermum mopane_feuill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77" name="Picture 5" descr="C:\Users\LISAN\Pictures\plantes-halophytes-xerophiles\colophospermum mopane_feuilles1.jpg"/>
                          <pic:cNvPicPr>
                            <a:picLocks noChangeAspect="1" noChangeArrowheads="1"/>
                          </pic:cNvPicPr>
                        </pic:nvPicPr>
                        <pic:blipFill>
                          <a:blip r:embed="rId788">
                            <a:extLst>
                              <a:ext uri="{28A0092B-C50C-407E-A947-70E740481C1C}">
                                <a14:useLocalDpi xmlns:a14="http://schemas.microsoft.com/office/drawing/2010/main" val="0"/>
                              </a:ext>
                            </a:extLst>
                          </a:blip>
                          <a:srcRect/>
                          <a:stretch>
                            <a:fillRect/>
                          </a:stretch>
                        </pic:blipFill>
                        <pic:spPr bwMode="auto">
                          <a:xfrm>
                            <a:off x="0" y="0"/>
                            <a:ext cx="1633537" cy="129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0A73D5B9" w14:textId="77777777" w:rsidR="00C423A0" w:rsidRDefault="00C423A0" w:rsidP="0012289D">
            <w:pPr>
              <w:jc w:val="center"/>
            </w:pPr>
            <w:r w:rsidRPr="00C423A0">
              <w:rPr>
                <w:noProof/>
              </w:rPr>
              <w:drawing>
                <wp:inline distT="0" distB="0" distL="0" distR="0" wp14:anchorId="1AF38B4B" wp14:editId="0C337F4F">
                  <wp:extent cx="866775" cy="1319212"/>
                  <wp:effectExtent l="0" t="0" r="0" b="0"/>
                  <wp:docPr id="66579" name="Picture 7" descr="C:\Users\LISAN\Pictures\plantes-halophytes-xerophiles\colophospermum mopane_grai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79" name="Picture 7" descr="C:\Users\LISAN\Pictures\plantes-halophytes-xerophiles\colophospermum mopane_graines.jpg"/>
                          <pic:cNvPicPr>
                            <a:picLocks noChangeAspect="1" noChangeArrowheads="1"/>
                          </pic:cNvPicPr>
                        </pic:nvPicPr>
                        <pic:blipFill>
                          <a:blip r:embed="rId789">
                            <a:extLst>
                              <a:ext uri="{28A0092B-C50C-407E-A947-70E740481C1C}">
                                <a14:useLocalDpi xmlns:a14="http://schemas.microsoft.com/office/drawing/2010/main" val="0"/>
                              </a:ext>
                            </a:extLst>
                          </a:blip>
                          <a:srcRect/>
                          <a:stretch>
                            <a:fillRect/>
                          </a:stretch>
                        </pic:blipFill>
                        <pic:spPr bwMode="auto">
                          <a:xfrm>
                            <a:off x="0" y="0"/>
                            <a:ext cx="866775" cy="13192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DA39F8E" w14:textId="3401F206" w:rsidR="00C423A0" w:rsidRDefault="00C423A0" w:rsidP="0012289D">
            <w:pPr>
              <w:jc w:val="center"/>
            </w:pPr>
            <w:r>
              <w:t>Graine</w:t>
            </w:r>
          </w:p>
        </w:tc>
      </w:tr>
      <w:tr w:rsidR="00C423A0" w:rsidRPr="009122D0" w14:paraId="79023708" w14:textId="77777777" w:rsidTr="00C423A0">
        <w:tc>
          <w:tcPr>
            <w:tcW w:w="3472" w:type="dxa"/>
          </w:tcPr>
          <w:p w14:paraId="34B51B49" w14:textId="08E3D60E" w:rsidR="00C423A0" w:rsidRDefault="00C423A0" w:rsidP="0012289D">
            <w:pPr>
              <w:jc w:val="center"/>
            </w:pPr>
            <w:r w:rsidRPr="00C423A0">
              <w:rPr>
                <w:noProof/>
              </w:rPr>
              <w:drawing>
                <wp:inline distT="0" distB="0" distL="0" distR="0" wp14:anchorId="27977A4E" wp14:editId="793BC40B">
                  <wp:extent cx="881063" cy="1201737"/>
                  <wp:effectExtent l="0" t="0" r="0" b="0"/>
                  <wp:docPr id="66575" name="Picture 3" descr="C:\Users\LISAN\Pictures\plantes-halophytes-xerophiles\colophospermum mopane_bo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75" name="Picture 3" descr="C:\Users\LISAN\Pictures\plantes-halophytes-xerophiles\colophospermum mopane_bois.jpg"/>
                          <pic:cNvPicPr>
                            <a:picLocks noChangeAspect="1" noChangeArrowheads="1"/>
                          </pic:cNvPicPr>
                        </pic:nvPicPr>
                        <pic:blipFill>
                          <a:blip r:embed="rId790">
                            <a:extLst>
                              <a:ext uri="{28A0092B-C50C-407E-A947-70E740481C1C}">
                                <a14:useLocalDpi xmlns:a14="http://schemas.microsoft.com/office/drawing/2010/main" val="0"/>
                              </a:ext>
                            </a:extLst>
                          </a:blip>
                          <a:srcRect/>
                          <a:stretch>
                            <a:fillRect/>
                          </a:stretch>
                        </pic:blipFill>
                        <pic:spPr bwMode="auto">
                          <a:xfrm>
                            <a:off x="0" y="0"/>
                            <a:ext cx="881063" cy="12017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477C32E8" w14:textId="77777777" w:rsidR="00C423A0" w:rsidRDefault="00C423A0" w:rsidP="0012289D">
            <w:pPr>
              <w:jc w:val="center"/>
            </w:pPr>
            <w:r w:rsidRPr="00C423A0">
              <w:rPr>
                <w:noProof/>
              </w:rPr>
              <w:drawing>
                <wp:inline distT="0" distB="0" distL="0" distR="0" wp14:anchorId="612375C5" wp14:editId="4DBD18D5">
                  <wp:extent cx="1670797" cy="800100"/>
                  <wp:effectExtent l="0" t="0" r="5715" b="0"/>
                  <wp:docPr id="66571" name="Image 10" descr="Colophospermum mopane-Mopane_worm_on_mopane_tre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71" name="Image 10" descr="Colophospermum mopane-Mopane_worm_on_mopane_tree2.jpg"/>
                          <pic:cNvPicPr>
                            <a:picLocks noChangeAspect="1"/>
                          </pic:cNvPicPr>
                        </pic:nvPicPr>
                        <pic:blipFill>
                          <a:blip r:embed="rId791">
                            <a:extLst>
                              <a:ext uri="{28A0092B-C50C-407E-A947-70E740481C1C}">
                                <a14:useLocalDpi xmlns:a14="http://schemas.microsoft.com/office/drawing/2010/main" val="0"/>
                              </a:ext>
                            </a:extLst>
                          </a:blip>
                          <a:srcRect/>
                          <a:stretch>
                            <a:fillRect/>
                          </a:stretch>
                        </pic:blipFill>
                        <pic:spPr bwMode="auto">
                          <a:xfrm>
                            <a:off x="0" y="0"/>
                            <a:ext cx="1673574" cy="801430"/>
                          </a:xfrm>
                          <a:prstGeom prst="rect">
                            <a:avLst/>
                          </a:prstGeom>
                          <a:noFill/>
                          <a:ln>
                            <a:noFill/>
                          </a:ln>
                        </pic:spPr>
                      </pic:pic>
                    </a:graphicData>
                  </a:graphic>
                </wp:inline>
              </w:drawing>
            </w:r>
          </w:p>
          <w:p w14:paraId="22E49F94" w14:textId="701319A5" w:rsidR="00C423A0" w:rsidRPr="00C423A0" w:rsidRDefault="00C423A0" w:rsidP="00C423A0">
            <w:pPr>
              <w:jc w:val="center"/>
              <w:rPr>
                <w:lang w:val="es-AR"/>
              </w:rPr>
            </w:pPr>
            <w:r>
              <w:rPr>
                <w:lang w:val="pt-BR"/>
              </w:rPr>
              <w:t>V</w:t>
            </w:r>
            <w:r w:rsidRPr="00C423A0">
              <w:rPr>
                <w:lang w:val="pt-BR"/>
              </w:rPr>
              <w:t>er de mopane (</w:t>
            </w:r>
            <w:hyperlink r:id="rId792" w:history="1">
              <w:r w:rsidRPr="00C423A0">
                <w:rPr>
                  <w:rStyle w:val="Lienhypertexte"/>
                  <w:i/>
                  <w:iCs/>
                  <w:lang w:val="pt-BR"/>
                </w:rPr>
                <w:t>Gonimbrasia belina</w:t>
              </w:r>
            </w:hyperlink>
            <w:r w:rsidRPr="00C423A0">
              <w:rPr>
                <w:lang w:val="pt-BR"/>
              </w:rPr>
              <w:t>)</w:t>
            </w:r>
          </w:p>
        </w:tc>
        <w:tc>
          <w:tcPr>
            <w:tcW w:w="3472" w:type="dxa"/>
          </w:tcPr>
          <w:p w14:paraId="37CAC55C" w14:textId="77777777" w:rsidR="00C423A0" w:rsidRPr="00C423A0" w:rsidRDefault="00C423A0" w:rsidP="0012289D">
            <w:pPr>
              <w:jc w:val="center"/>
              <w:rPr>
                <w:lang w:val="es-AR"/>
              </w:rPr>
            </w:pPr>
          </w:p>
        </w:tc>
      </w:tr>
    </w:tbl>
    <w:p w14:paraId="01E5A941" w14:textId="05FF5963" w:rsidR="00C423A0" w:rsidRDefault="00C423A0" w:rsidP="00C423A0">
      <w:pPr>
        <w:spacing w:after="0" w:line="240" w:lineRule="auto"/>
        <w:rPr>
          <w:lang w:val="es-AR"/>
        </w:rPr>
      </w:pPr>
    </w:p>
    <w:p w14:paraId="1F8C02A2" w14:textId="77777777" w:rsidR="0018527A" w:rsidRPr="0018527A" w:rsidRDefault="0018527A" w:rsidP="00B243F9">
      <w:pPr>
        <w:pStyle w:val="Titre2"/>
      </w:pPr>
      <w:bookmarkStart w:id="85" w:name="_Toc139181376"/>
      <w:r w:rsidRPr="0018527A">
        <w:t>Karanj ou arbre de pongolote (</w:t>
      </w:r>
      <w:r w:rsidRPr="0018527A">
        <w:rPr>
          <w:i/>
          <w:iCs/>
        </w:rPr>
        <w:t>Millettia pinnata</w:t>
      </w:r>
      <w:r w:rsidRPr="0018527A">
        <w:t>)</w:t>
      </w:r>
      <w:bookmarkEnd w:id="85"/>
    </w:p>
    <w:p w14:paraId="594DD645" w14:textId="02907CAE" w:rsidR="0018527A" w:rsidRDefault="0018527A" w:rsidP="0018527A">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67"/>
        <w:gridCol w:w="2326"/>
        <w:gridCol w:w="1542"/>
        <w:gridCol w:w="415"/>
        <w:gridCol w:w="1376"/>
      </w:tblGrid>
      <w:tr w:rsidR="0018527A" w:rsidRPr="000B6BE3" w14:paraId="3FE11999" w14:textId="77777777" w:rsidTr="005C76A4">
        <w:tc>
          <w:tcPr>
            <w:tcW w:w="4775" w:type="dxa"/>
          </w:tcPr>
          <w:p w14:paraId="6B6DC951" w14:textId="257AB7A0" w:rsidR="0018527A" w:rsidRPr="00DE2C3A" w:rsidRDefault="0018527A" w:rsidP="005C76A4">
            <w:pPr>
              <w:jc w:val="both"/>
              <w:rPr>
                <w:rFonts w:ascii="Calibri" w:hAnsi="Calibri" w:cs="Calibri"/>
                <w:bCs/>
              </w:rPr>
            </w:pPr>
            <w:r>
              <w:rPr>
                <w:rFonts w:ascii="Calibri" w:hAnsi="Calibri" w:cs="Calibri"/>
                <w:bCs/>
              </w:rPr>
              <w:t>(</w:t>
            </w:r>
            <w:r w:rsidRPr="00DE2C3A">
              <w:rPr>
                <w:rFonts w:ascii="Calibri" w:hAnsi="Calibri" w:cs="Calibri"/>
                <w:bCs/>
              </w:rPr>
              <w:t>Famille des</w:t>
            </w:r>
            <w:r>
              <w:rPr>
                <w:rFonts w:ascii="Calibri" w:hAnsi="Calibri" w:cs="Calibri"/>
              </w:rPr>
              <w:t xml:space="preserve"> </w:t>
            </w:r>
            <w:r w:rsidRPr="0018527A">
              <w:rPr>
                <w:i/>
                <w:iCs/>
              </w:rPr>
              <w:t>Fabaceae</w:t>
            </w:r>
            <w:r>
              <w:rPr>
                <w:rFonts w:ascii="Calibri" w:hAnsi="Calibri" w:cs="Calibri"/>
                <w:bCs/>
              </w:rPr>
              <w:t>)</w:t>
            </w:r>
            <w:r w:rsidRPr="00DE2C3A">
              <w:rPr>
                <w:rFonts w:ascii="Calibri" w:hAnsi="Calibri" w:cs="Calibri"/>
                <w:bCs/>
              </w:rPr>
              <w:t>.</w:t>
            </w:r>
          </w:p>
          <w:p w14:paraId="6DD127BA" w14:textId="77777777" w:rsidR="0018527A" w:rsidRPr="008F191E" w:rsidRDefault="0018527A" w:rsidP="005C76A4">
            <w:pPr>
              <w:rPr>
                <w:rFonts w:ascii="Calibri" w:hAnsi="Calibri" w:cs="Calibri"/>
                <w:bCs/>
              </w:rPr>
            </w:pPr>
          </w:p>
          <w:p w14:paraId="0BEDFBCA" w14:textId="77777777" w:rsidR="0018527A" w:rsidRPr="000B6BE3" w:rsidRDefault="0018527A" w:rsidP="005C76A4">
            <w:pPr>
              <w:rPr>
                <w:rFonts w:cstheme="minorHAnsi"/>
              </w:rPr>
            </w:pPr>
          </w:p>
        </w:tc>
        <w:tc>
          <w:tcPr>
            <w:tcW w:w="2313" w:type="dxa"/>
          </w:tcPr>
          <w:p w14:paraId="43E1398B" w14:textId="29CBE38E" w:rsidR="0018527A" w:rsidRPr="000B6BE3" w:rsidRDefault="0018527A" w:rsidP="005C76A4">
            <w:pPr>
              <w:rPr>
                <w:rFonts w:cstheme="minorHAnsi"/>
              </w:rPr>
            </w:pPr>
            <w:r w:rsidRPr="000B6BE3">
              <w:rPr>
                <w:rFonts w:cstheme="minorHAnsi"/>
                <w:noProof/>
              </w:rPr>
              <w:t xml:space="preserve">  </w:t>
            </w:r>
            <w:r>
              <w:rPr>
                <w:rFonts w:cstheme="minorHAnsi"/>
                <w:noProof/>
              </w:rPr>
              <w:t xml:space="preserve">     </w:t>
            </w:r>
            <w:r w:rsidRPr="005C50C9">
              <w:rPr>
                <w:rFonts w:cstheme="minorHAnsi"/>
                <w:noProof/>
              </w:rPr>
              <w:drawing>
                <wp:inline distT="0" distB="0" distL="0" distR="0" wp14:anchorId="399FD12F" wp14:editId="4328C04E">
                  <wp:extent cx="495300" cy="666750"/>
                  <wp:effectExtent l="0" t="0" r="0" b="0"/>
                  <wp:docPr id="39962" name="Image 15"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8" name="Image 15" descr="logo aride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w:t>
            </w:r>
            <w:r w:rsidRPr="008F2681">
              <w:rPr>
                <w:rFonts w:cstheme="minorHAnsi"/>
                <w:noProof/>
              </w:rPr>
              <w:drawing>
                <wp:inline distT="0" distB="0" distL="0" distR="0" wp14:anchorId="0D664E13" wp14:editId="28CDEB4C">
                  <wp:extent cx="463550" cy="661988"/>
                  <wp:effectExtent l="0" t="0" r="0" b="5080"/>
                  <wp:docPr id="39963"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w:t>
            </w:r>
            <w:r w:rsidR="00506B77">
              <w:rPr>
                <w:rFonts w:cstheme="minorHAnsi"/>
                <w:noProof/>
              </w:rPr>
              <w:t xml:space="preserve"> </w:t>
            </w:r>
            <w:r w:rsidR="00506B77" w:rsidRPr="00506B77">
              <w:rPr>
                <w:rFonts w:cstheme="minorHAnsi"/>
                <w:noProof/>
              </w:rPr>
              <w:drawing>
                <wp:inline distT="0" distB="0" distL="0" distR="0" wp14:anchorId="0DE59847" wp14:editId="3C0F9F87">
                  <wp:extent cx="285750" cy="358775"/>
                  <wp:effectExtent l="0" t="0" r="0" b="3175"/>
                  <wp:docPr id="67603" name="Picture 2" descr="toxic-2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03" name="Picture 2" descr="toxic-2ss"/>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85750"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544" w:type="dxa"/>
          </w:tcPr>
          <w:p w14:paraId="32695613" w14:textId="7F876A33" w:rsidR="0018527A" w:rsidRPr="002E01BB" w:rsidRDefault="0018527A" w:rsidP="005C76A4">
            <w:pPr>
              <w:rPr>
                <w:rFonts w:eastAsia="+mn-ea" w:cstheme="minorHAnsi"/>
                <w:b/>
                <w:bCs/>
                <w:color w:val="008000"/>
                <w:kern w:val="24"/>
                <w:sz w:val="56"/>
                <w:szCs w:val="56"/>
              </w:rPr>
            </w:pPr>
            <w:r w:rsidRPr="00D1445E">
              <w:rPr>
                <w:rFonts w:eastAsia="+mn-ea" w:cstheme="minorHAnsi"/>
                <w:b/>
                <w:bCs/>
                <w:color w:val="008000"/>
                <w:kern w:val="24"/>
                <w:sz w:val="56"/>
                <w:szCs w:val="56"/>
              </w:rPr>
              <w:t>U</w:t>
            </w:r>
            <w:r>
              <w:rPr>
                <w:rFonts w:eastAsia="+mn-ea" w:cstheme="minorHAnsi"/>
                <w:b/>
                <w:bCs/>
                <w:color w:val="008000"/>
                <w:kern w:val="24"/>
                <w:sz w:val="56"/>
                <w:szCs w:val="56"/>
              </w:rPr>
              <w:t xml:space="preserve"> ↗</w:t>
            </w:r>
          </w:p>
          <w:p w14:paraId="0E17E2CF" w14:textId="77777777" w:rsidR="0018527A" w:rsidRPr="000B6BE3" w:rsidRDefault="0018527A" w:rsidP="005C76A4">
            <w:pPr>
              <w:textAlignment w:val="baseline"/>
              <w:rPr>
                <w:rFonts w:cstheme="minorHAnsi"/>
              </w:rPr>
            </w:pPr>
          </w:p>
        </w:tc>
        <w:tc>
          <w:tcPr>
            <w:tcW w:w="415" w:type="dxa"/>
          </w:tcPr>
          <w:p w14:paraId="4564D2C0" w14:textId="77777777" w:rsidR="0018527A" w:rsidRPr="000B6BE3" w:rsidRDefault="0018527A" w:rsidP="005C76A4">
            <w:pPr>
              <w:rPr>
                <w:rFonts w:cstheme="minorHAnsi"/>
              </w:rPr>
            </w:pPr>
          </w:p>
        </w:tc>
        <w:tc>
          <w:tcPr>
            <w:tcW w:w="1379" w:type="dxa"/>
          </w:tcPr>
          <w:p w14:paraId="47F5E864" w14:textId="77777777" w:rsidR="0018527A" w:rsidRPr="000B6BE3" w:rsidRDefault="0018527A" w:rsidP="005C76A4">
            <w:pPr>
              <w:rPr>
                <w:rFonts w:cstheme="minorHAnsi"/>
              </w:rPr>
            </w:pPr>
          </w:p>
        </w:tc>
      </w:tr>
    </w:tbl>
    <w:p w14:paraId="7C0BCABE" w14:textId="77777777" w:rsidR="0018527A" w:rsidRPr="0018527A" w:rsidRDefault="0018527A" w:rsidP="0018527A">
      <w:pPr>
        <w:spacing w:after="0" w:line="240" w:lineRule="auto"/>
        <w:jc w:val="both"/>
      </w:pPr>
    </w:p>
    <w:p w14:paraId="1A21F19B" w14:textId="77A05876" w:rsidR="0018527A" w:rsidRPr="0018527A" w:rsidRDefault="0018527A" w:rsidP="0018527A">
      <w:pPr>
        <w:spacing w:after="0" w:line="240" w:lineRule="auto"/>
        <w:jc w:val="both"/>
      </w:pPr>
      <w:r w:rsidRPr="0018527A">
        <w:t xml:space="preserve">Arbre à croissance rapide, fixateur d'azote, résidant en zone tropicale ou subtropicale humide (250 à 2500 ml/an) mais résistant à la sécheresse. Il pousse en plein soleil, sur des sols difficiles, même salés. </w:t>
      </w:r>
    </w:p>
    <w:p w14:paraId="233E874D" w14:textId="447B9153" w:rsidR="0018527A" w:rsidRPr="0018527A" w:rsidRDefault="0018527A" w:rsidP="0018527A">
      <w:pPr>
        <w:spacing w:after="0" w:line="240" w:lineRule="auto"/>
        <w:jc w:val="both"/>
      </w:pPr>
      <w:r w:rsidRPr="0018527A">
        <w:t>L'arbre pousse dans la plupart des sols (sablonneux et rocheux, calcaires …), même avec ses racines dans l'eau salée.</w:t>
      </w:r>
    </w:p>
    <w:p w14:paraId="30D94D18" w14:textId="7510FD59" w:rsidR="0018527A" w:rsidRPr="0018527A" w:rsidRDefault="0018527A" w:rsidP="0018527A">
      <w:pPr>
        <w:spacing w:after="0" w:line="240" w:lineRule="auto"/>
        <w:jc w:val="both"/>
      </w:pPr>
      <w:r w:rsidRPr="0018527A">
        <w:t>Il « s’auto-ensemence » fortement et peut propager ses racines latérales jusqu'à 9m. S'il n'est pas géré avec soin, il peut rapidement devenir une espèce envahissante (c’est le cas en Floride). Ses racines peuvent menacer les fondations de maisons. Cependant, son réseau dense de racines latérales rend cet arbre idéal pour contrôler l’érosion des sols et fixer les dunes de sable. Précipitations annuelles de 500 -2500 mm (20-100 po). Températures : de -3°C à 50°C.</w:t>
      </w:r>
    </w:p>
    <w:p w14:paraId="1B6F6D6F" w14:textId="77777777" w:rsidR="0018527A" w:rsidRPr="0018527A" w:rsidRDefault="0018527A" w:rsidP="0018527A">
      <w:pPr>
        <w:spacing w:after="0" w:line="240" w:lineRule="auto"/>
        <w:jc w:val="both"/>
      </w:pPr>
      <w:r w:rsidRPr="0018527A">
        <w:t>L'Inde encourage actuellement fortement la plantation de cet arbre ainsi que de l'arbuste Jatropha curcas dans les zones impropres aux cultures traditionnelles, ceci dans l'optique de produire de l'huile végétale.</w:t>
      </w:r>
    </w:p>
    <w:p w14:paraId="1CC5FB64" w14:textId="3BC50346" w:rsidR="0018527A" w:rsidRPr="0018527A" w:rsidRDefault="0018527A" w:rsidP="0018527A">
      <w:pPr>
        <w:spacing w:after="0" w:line="240" w:lineRule="auto"/>
        <w:jc w:val="both"/>
      </w:pPr>
      <w:r w:rsidRPr="0018527A">
        <w:t>On peut planter 200 arbres par hectare et chaque arbre permet de produire dès la 6 ou 7e année de 25 à 40 kg de fruits dont la teneur en huile est de 30 à 35 %. Une personne peut récolter chaque jour (8 heures de travail) 180 kg de fruit. Les rendements moyens sont de5 tonnes/hectare/an la dixième année. Tandis qu’avec </w:t>
      </w:r>
      <w:r w:rsidRPr="0018527A">
        <w:rPr>
          <w:i/>
          <w:iCs/>
        </w:rPr>
        <w:t>Jatropha curcas</w:t>
      </w:r>
      <w:r w:rsidRPr="0018527A">
        <w:t> avec lequel il faut attendre 3 ans pour obtenir le rendement maximal, avec </w:t>
      </w:r>
      <w:r w:rsidRPr="0018527A">
        <w:rPr>
          <w:i/>
          <w:iCs/>
        </w:rPr>
        <w:t>Millettia pinnata</w:t>
      </w:r>
      <w:r w:rsidRPr="0018527A">
        <w:t xml:space="preserve">, cette phase de maturation dure 4 à 5 ans. Les tourteaux obtenus après extraction de l'huile sont d'excellents fertilisants. Il est souvent utilisé à des fins d'aménagement paysager comme brise-vent ou arbre d'ombrage, en raison de sa couronne large et dense et </w:t>
      </w:r>
      <w:r w:rsidRPr="0018527A">
        <w:lastRenderedPageBreak/>
        <w:t>de ses fleurs odorantes voyantes. Son bois est utilisé pour faire des poteaux et des manches d'outils. Tandis que l'huile et les résidus de la plante sont toxiques et vont induire des nausées et des vomissements en cas d'ingestion, les fruits, avec les graines (toxiques), et les pousses sont utilisés dans de nombreux remèdes traditionnels. Les jus de la plante, ainsi que l'huile, sont antiseptiques. L’huile faite à partir des graines (en contenant 25-40%), connues sous le nom d’huile de pongamia, est utilisé comme huile de lampe, lubrifiant et pour fabriquer du savon.</w:t>
      </w:r>
    </w:p>
    <w:p w14:paraId="12B0F4ED" w14:textId="10DA2423" w:rsidR="0018527A" w:rsidRPr="0018527A" w:rsidRDefault="0018527A" w:rsidP="0018527A">
      <w:pPr>
        <w:spacing w:after="0" w:line="240" w:lineRule="auto"/>
        <w:jc w:val="both"/>
      </w:pPr>
      <w:r w:rsidRPr="0018527A">
        <w:t xml:space="preserve">Sources : a) </w:t>
      </w:r>
      <w:hyperlink r:id="rId793" w:history="1">
        <w:r w:rsidRPr="0018527A">
          <w:rPr>
            <w:rStyle w:val="Lienhypertexte"/>
          </w:rPr>
          <w:t>http://fr.wikipedia.org/wiki/Millettia_pinnata</w:t>
        </w:r>
      </w:hyperlink>
      <w:r w:rsidRPr="0018527A">
        <w:t xml:space="preserve">,  </w:t>
      </w:r>
    </w:p>
    <w:p w14:paraId="7249EA6A" w14:textId="12ADE962" w:rsidR="0018527A" w:rsidRPr="008F2557" w:rsidRDefault="0018527A" w:rsidP="0018527A">
      <w:pPr>
        <w:spacing w:after="0" w:line="240" w:lineRule="auto"/>
        <w:jc w:val="both"/>
      </w:pPr>
      <w:r w:rsidRPr="008F2557">
        <w:t xml:space="preserve">b) </w:t>
      </w:r>
      <w:hyperlink r:id="rId794" w:history="1">
        <w:r w:rsidRPr="008F2557">
          <w:rPr>
            <w:rStyle w:val="Lienhypertexte"/>
          </w:rPr>
          <w:t>https://en.wikipedia.org/wiki/Millettia_pinnata</w:t>
        </w:r>
      </w:hyperlink>
      <w:r w:rsidRPr="008F2557">
        <w:t xml:space="preserve"> </w:t>
      </w:r>
    </w:p>
    <w:p w14:paraId="3014E0D7" w14:textId="57F00DFF" w:rsidR="0018527A" w:rsidRPr="008F2557" w:rsidRDefault="0018527A" w:rsidP="0018527A">
      <w:pPr>
        <w:spacing w:after="0" w:line="240" w:lineRule="auto"/>
        <w:jc w:val="both"/>
      </w:pPr>
      <w:r w:rsidRPr="008F2557">
        <w:t xml:space="preserve">c) </w:t>
      </w:r>
      <w:hyperlink r:id="rId795" w:anchor="b" w:history="1">
        <w:r w:rsidRPr="008F2557">
          <w:rPr>
            <w:rStyle w:val="Lienhypertexte"/>
          </w:rPr>
          <w:t>http://davesgarden.com/guides/pf/go/93109/#b</w:t>
        </w:r>
      </w:hyperlink>
    </w:p>
    <w:p w14:paraId="0299546C" w14:textId="34DF0562" w:rsidR="0018527A" w:rsidRPr="008F2557" w:rsidRDefault="0018527A" w:rsidP="0018527A">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58"/>
        <w:gridCol w:w="3418"/>
        <w:gridCol w:w="3450"/>
      </w:tblGrid>
      <w:tr w:rsidR="00506B77" w14:paraId="0EA4AB6C" w14:textId="77777777" w:rsidTr="00764390">
        <w:tc>
          <w:tcPr>
            <w:tcW w:w="3472" w:type="dxa"/>
          </w:tcPr>
          <w:p w14:paraId="77755934" w14:textId="3C61FFD0" w:rsidR="00506B77" w:rsidRDefault="00764390" w:rsidP="0018527A">
            <w:pPr>
              <w:jc w:val="center"/>
              <w:rPr>
                <w:lang w:val="en-GB"/>
              </w:rPr>
            </w:pPr>
            <w:r w:rsidRPr="00764390">
              <w:rPr>
                <w:noProof/>
              </w:rPr>
              <w:drawing>
                <wp:inline distT="0" distB="0" distL="0" distR="0" wp14:anchorId="169FB332" wp14:editId="07AA3678">
                  <wp:extent cx="2122487" cy="1412875"/>
                  <wp:effectExtent l="0" t="0" r="0" b="0"/>
                  <wp:docPr id="67598" name="Picture 5" descr="C:\Users\LISAN\Pictures\plantes-halophytes-xerophiles\Millettia pinna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98" name="Picture 5" descr="C:\Users\LISAN\Pictures\plantes-halophytes-xerophiles\Millettia pinnata.jpg"/>
                          <pic:cNvPicPr>
                            <a:picLocks noChangeAspect="1" noChangeArrowheads="1"/>
                          </pic:cNvPicPr>
                        </pic:nvPicPr>
                        <pic:blipFill>
                          <a:blip r:embed="rId796">
                            <a:extLst>
                              <a:ext uri="{28A0092B-C50C-407E-A947-70E740481C1C}">
                                <a14:useLocalDpi xmlns:a14="http://schemas.microsoft.com/office/drawing/2010/main" val="0"/>
                              </a:ext>
                            </a:extLst>
                          </a:blip>
                          <a:srcRect/>
                          <a:stretch>
                            <a:fillRect/>
                          </a:stretch>
                        </pic:blipFill>
                        <pic:spPr bwMode="auto">
                          <a:xfrm>
                            <a:off x="0" y="0"/>
                            <a:ext cx="2122487" cy="1412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6BEC287C" w14:textId="4610ED58" w:rsidR="00506B77" w:rsidRDefault="00764390" w:rsidP="0018527A">
            <w:pPr>
              <w:jc w:val="center"/>
              <w:rPr>
                <w:lang w:val="en-GB"/>
              </w:rPr>
            </w:pPr>
            <w:r w:rsidRPr="00764390">
              <w:rPr>
                <w:noProof/>
              </w:rPr>
              <w:drawing>
                <wp:inline distT="0" distB="0" distL="0" distR="0" wp14:anchorId="126E2A4E" wp14:editId="2759A3F1">
                  <wp:extent cx="952500" cy="1268413"/>
                  <wp:effectExtent l="0" t="0" r="0" b="8255"/>
                  <wp:docPr id="67596" name="Picture 3" descr="C:\Users\LISAN\Pictures\plantes-halophytes-xerophiles\Milletia_pinna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96" name="Picture 3" descr="C:\Users\LISAN\Pictures\plantes-halophytes-xerophiles\Milletia_pinnata.jpg"/>
                          <pic:cNvPicPr>
                            <a:picLocks noChangeAspect="1" noChangeArrowheads="1"/>
                          </pic:cNvPicPr>
                        </pic:nvPicPr>
                        <pic:blipFill>
                          <a:blip r:embed="rId797">
                            <a:extLst>
                              <a:ext uri="{28A0092B-C50C-407E-A947-70E740481C1C}">
                                <a14:useLocalDpi xmlns:a14="http://schemas.microsoft.com/office/drawing/2010/main" val="0"/>
                              </a:ext>
                            </a:extLst>
                          </a:blip>
                          <a:srcRect/>
                          <a:stretch>
                            <a:fillRect/>
                          </a:stretch>
                        </pic:blipFill>
                        <pic:spPr bwMode="auto">
                          <a:xfrm>
                            <a:off x="0" y="0"/>
                            <a:ext cx="952500" cy="12684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73D6E424" w14:textId="77777777" w:rsidR="00506B77" w:rsidRDefault="00764390" w:rsidP="0018527A">
            <w:pPr>
              <w:jc w:val="center"/>
              <w:rPr>
                <w:lang w:val="en-GB"/>
              </w:rPr>
            </w:pPr>
            <w:r w:rsidRPr="00764390">
              <w:rPr>
                <w:noProof/>
              </w:rPr>
              <w:drawing>
                <wp:inline distT="0" distB="0" distL="0" distR="0" wp14:anchorId="3A6F55CA" wp14:editId="5C3AEAF1">
                  <wp:extent cx="1890713" cy="1416050"/>
                  <wp:effectExtent l="0" t="0" r="0" b="0"/>
                  <wp:docPr id="67599" name="Picture 6" descr="C:\Users\LISAN\Pictures\plantes-halophytes-xerophiles\Millettia pinnata_feuilles_fleu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99" name="Picture 6" descr="C:\Users\LISAN\Pictures\plantes-halophytes-xerophiles\Millettia pinnata_feuilles_fleurs.jpg"/>
                          <pic:cNvPicPr>
                            <a:picLocks noChangeAspect="1" noChangeArrowheads="1"/>
                          </pic:cNvPicPr>
                        </pic:nvPicPr>
                        <pic:blipFill>
                          <a:blip r:embed="rId798">
                            <a:extLst>
                              <a:ext uri="{28A0092B-C50C-407E-A947-70E740481C1C}">
                                <a14:useLocalDpi xmlns:a14="http://schemas.microsoft.com/office/drawing/2010/main" val="0"/>
                              </a:ext>
                            </a:extLst>
                          </a:blip>
                          <a:srcRect/>
                          <a:stretch>
                            <a:fillRect/>
                          </a:stretch>
                        </pic:blipFill>
                        <pic:spPr bwMode="auto">
                          <a:xfrm>
                            <a:off x="0" y="0"/>
                            <a:ext cx="1890713" cy="141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DD9FBFB" w14:textId="49A5AC7C" w:rsidR="000B73C7" w:rsidRDefault="000B73C7" w:rsidP="0018527A">
            <w:pPr>
              <w:jc w:val="center"/>
              <w:rPr>
                <w:lang w:val="en-GB"/>
              </w:rPr>
            </w:pPr>
          </w:p>
        </w:tc>
      </w:tr>
      <w:tr w:rsidR="00506B77" w14:paraId="0488D62B" w14:textId="77777777" w:rsidTr="00764390">
        <w:tc>
          <w:tcPr>
            <w:tcW w:w="3472" w:type="dxa"/>
          </w:tcPr>
          <w:p w14:paraId="67A865F0" w14:textId="77777777" w:rsidR="00506B77" w:rsidRDefault="00764390" w:rsidP="0018527A">
            <w:pPr>
              <w:jc w:val="center"/>
              <w:rPr>
                <w:lang w:val="en-GB"/>
              </w:rPr>
            </w:pPr>
            <w:r w:rsidRPr="00764390">
              <w:rPr>
                <w:noProof/>
              </w:rPr>
              <w:drawing>
                <wp:inline distT="0" distB="0" distL="0" distR="0" wp14:anchorId="7F1D9ACF" wp14:editId="2DC8EB90">
                  <wp:extent cx="1509713" cy="1484312"/>
                  <wp:effectExtent l="0" t="0" r="0" b="1905"/>
                  <wp:docPr id="67595" name="Picture 2" descr="C:\Users\LISAN\Pictures\plantes-halophytes-xerophiles\Millettia pinnata-Pongamia_pinnata_Karanj_fleu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95" name="Picture 2" descr="C:\Users\LISAN\Pictures\plantes-halophytes-xerophiles\Millettia pinnata-Pongamia_pinnata_Karanj_fleurs.jpg"/>
                          <pic:cNvPicPr>
                            <a:picLocks noChangeAspect="1" noChangeArrowheads="1"/>
                          </pic:cNvPicPr>
                        </pic:nvPicPr>
                        <pic:blipFill>
                          <a:blip r:embed="rId799">
                            <a:extLst>
                              <a:ext uri="{28A0092B-C50C-407E-A947-70E740481C1C}">
                                <a14:useLocalDpi xmlns:a14="http://schemas.microsoft.com/office/drawing/2010/main" val="0"/>
                              </a:ext>
                            </a:extLst>
                          </a:blip>
                          <a:srcRect/>
                          <a:stretch>
                            <a:fillRect/>
                          </a:stretch>
                        </pic:blipFill>
                        <pic:spPr bwMode="auto">
                          <a:xfrm>
                            <a:off x="0" y="0"/>
                            <a:ext cx="1509713" cy="1484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E50FC8A" w14:textId="50EBE555" w:rsidR="00764390" w:rsidRDefault="00764390" w:rsidP="0018527A">
            <w:pPr>
              <w:jc w:val="center"/>
              <w:rPr>
                <w:lang w:val="en-GB"/>
              </w:rPr>
            </w:pPr>
            <w:r>
              <w:rPr>
                <w:lang w:val="en-GB"/>
              </w:rPr>
              <w:t>Fleurs</w:t>
            </w:r>
          </w:p>
        </w:tc>
        <w:tc>
          <w:tcPr>
            <w:tcW w:w="3472" w:type="dxa"/>
          </w:tcPr>
          <w:p w14:paraId="460180E3" w14:textId="77777777" w:rsidR="00506B77" w:rsidRDefault="00764390" w:rsidP="0018527A">
            <w:pPr>
              <w:jc w:val="center"/>
              <w:rPr>
                <w:lang w:val="en-GB"/>
              </w:rPr>
            </w:pPr>
            <w:r w:rsidRPr="00764390">
              <w:rPr>
                <w:noProof/>
              </w:rPr>
              <w:drawing>
                <wp:inline distT="0" distB="0" distL="0" distR="0" wp14:anchorId="3AB16BBB" wp14:editId="437EACA4">
                  <wp:extent cx="1619250" cy="1619250"/>
                  <wp:effectExtent l="0" t="0" r="0" b="0"/>
                  <wp:docPr id="67600" name="Picture 7" descr="C:\Users\LISAN\Pictures\plantes-halophytes-xerophiles\Millettia pinnata_grai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00" name="Picture 7" descr="C:\Users\LISAN\Pictures\plantes-halophytes-xerophiles\Millettia pinnata_graines.jpg"/>
                          <pic:cNvPicPr>
                            <a:picLocks noChangeAspect="1" noChangeArrowheads="1"/>
                          </pic:cNvPicPr>
                        </pic:nvPicPr>
                        <pic:blipFill>
                          <a:blip r:embed="rId800">
                            <a:extLst>
                              <a:ext uri="{28A0092B-C50C-407E-A947-70E740481C1C}">
                                <a14:useLocalDpi xmlns:a14="http://schemas.microsoft.com/office/drawing/2010/main" val="0"/>
                              </a:ext>
                            </a:extLst>
                          </a:blip>
                          <a:srcRect/>
                          <a:stretch>
                            <a:fillRect/>
                          </a:stretch>
                        </pic:blipFill>
                        <pic:spPr bwMode="auto">
                          <a:xfrm>
                            <a:off x="0" y="0"/>
                            <a:ext cx="1619250" cy="1619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63F51DB6" w14:textId="19FDD17F" w:rsidR="00764390" w:rsidRPr="00764390" w:rsidRDefault="00764390" w:rsidP="0018527A">
            <w:pPr>
              <w:jc w:val="center"/>
            </w:pPr>
            <w:r w:rsidRPr="00764390">
              <w:t>Gousses</w:t>
            </w:r>
          </w:p>
        </w:tc>
        <w:tc>
          <w:tcPr>
            <w:tcW w:w="3472" w:type="dxa"/>
          </w:tcPr>
          <w:p w14:paraId="24C715B0" w14:textId="77777777" w:rsidR="00506B77" w:rsidRDefault="00764390" w:rsidP="0018527A">
            <w:pPr>
              <w:jc w:val="center"/>
              <w:rPr>
                <w:lang w:val="en-GB"/>
              </w:rPr>
            </w:pPr>
            <w:r w:rsidRPr="00764390">
              <w:rPr>
                <w:noProof/>
              </w:rPr>
              <w:drawing>
                <wp:inline distT="0" distB="0" distL="0" distR="0" wp14:anchorId="15E9CE27" wp14:editId="45966FCE">
                  <wp:extent cx="1524000" cy="1143000"/>
                  <wp:effectExtent l="0" t="0" r="0" b="0"/>
                  <wp:docPr id="67597" name="Picture 4" descr="C:\Users\LISAN\Pictures\plantes-halophytes-xerophiles\Milletia_pinnata_frui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97" name="Picture 4" descr="C:\Users\LISAN\Pictures\plantes-halophytes-xerophiles\Milletia_pinnata_fruits.jpg"/>
                          <pic:cNvPicPr>
                            <a:picLocks noChangeAspect="1" noChangeArrowheads="1"/>
                          </pic:cNvPicPr>
                        </pic:nvPicPr>
                        <pic:blipFill>
                          <a:blip r:embed="rId801">
                            <a:extLst>
                              <a:ext uri="{28A0092B-C50C-407E-A947-70E740481C1C}">
                                <a14:useLocalDpi xmlns:a14="http://schemas.microsoft.com/office/drawing/2010/main" val="0"/>
                              </a:ext>
                            </a:extLst>
                          </a:blip>
                          <a:srcRect/>
                          <a:stretch>
                            <a:fillRect/>
                          </a:stretch>
                        </pic:blipFill>
                        <pic:spPr bwMode="auto">
                          <a:xfrm>
                            <a:off x="0" y="0"/>
                            <a:ext cx="1524000" cy="1143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D81B851" w14:textId="395AA970" w:rsidR="00764390" w:rsidRDefault="00764390" w:rsidP="0018527A">
            <w:pPr>
              <w:jc w:val="center"/>
              <w:rPr>
                <w:lang w:val="en-GB"/>
              </w:rPr>
            </w:pPr>
            <w:r>
              <w:rPr>
                <w:lang w:val="en-GB"/>
              </w:rPr>
              <w:t>Graines</w:t>
            </w:r>
          </w:p>
        </w:tc>
      </w:tr>
    </w:tbl>
    <w:p w14:paraId="5E9855F1" w14:textId="7420E1DA" w:rsidR="0018527A" w:rsidRDefault="0018527A" w:rsidP="004A1E64">
      <w:pPr>
        <w:spacing w:after="0" w:line="240" w:lineRule="auto"/>
        <w:rPr>
          <w:lang w:val="en-GB"/>
        </w:rPr>
      </w:pPr>
    </w:p>
    <w:p w14:paraId="2C855179" w14:textId="621DD8A8" w:rsidR="00EC29DB" w:rsidRPr="00EC29DB" w:rsidRDefault="00EC29DB" w:rsidP="00EC29DB">
      <w:pPr>
        <w:pStyle w:val="Titre2"/>
        <w:rPr>
          <w:lang w:val="es-AR"/>
        </w:rPr>
      </w:pPr>
      <w:bookmarkStart w:id="86" w:name="_Toc139181377"/>
      <w:r w:rsidRPr="00F118EC">
        <w:rPr>
          <w:lang w:val="es-AR"/>
        </w:rPr>
        <w:t>Paulownia hybride</w:t>
      </w:r>
      <w:r w:rsidRPr="00EC29DB">
        <w:rPr>
          <w:lang w:val="es-AR"/>
        </w:rPr>
        <w:t xml:space="preserve"> (</w:t>
      </w:r>
      <w:r w:rsidRPr="00EC29DB">
        <w:rPr>
          <w:i/>
          <w:iCs/>
          <w:lang w:val="es-AR"/>
        </w:rPr>
        <w:t>Paulownia elongata</w:t>
      </w:r>
      <w:r w:rsidRPr="00EC29DB">
        <w:rPr>
          <w:lang w:val="es-AR"/>
        </w:rPr>
        <w:t xml:space="preserve"> x </w:t>
      </w:r>
      <w:r w:rsidRPr="00EC29DB">
        <w:rPr>
          <w:i/>
          <w:iCs/>
          <w:lang w:val="es-AR"/>
        </w:rPr>
        <w:t>fortunei</w:t>
      </w:r>
      <w:r w:rsidRPr="00EC29DB">
        <w:rPr>
          <w:lang w:val="es-AR"/>
        </w:rPr>
        <w:t xml:space="preserve"> x </w:t>
      </w:r>
      <w:r w:rsidRPr="00EC29DB">
        <w:rPr>
          <w:i/>
          <w:iCs/>
          <w:lang w:val="es-AR"/>
        </w:rPr>
        <w:t>elongata</w:t>
      </w:r>
      <w:r w:rsidRPr="00EC29DB">
        <w:rPr>
          <w:lang w:val="es-AR"/>
        </w:rPr>
        <w:t>).</w:t>
      </w:r>
      <w:bookmarkEnd w:id="86"/>
    </w:p>
    <w:p w14:paraId="5A992049" w14:textId="72911EC2" w:rsidR="00EC29DB" w:rsidRPr="00F118EC" w:rsidRDefault="00EC29DB" w:rsidP="00EC29DB">
      <w:pPr>
        <w:spacing w:after="0" w:line="240" w:lineRule="auto"/>
        <w:jc w:val="both"/>
        <w:rPr>
          <w:lang w:val="es-AR"/>
        </w:rPr>
      </w:pPr>
    </w:p>
    <w:p w14:paraId="092AE9A3" w14:textId="77777777" w:rsidR="00EC29DB" w:rsidRPr="00EC29DB" w:rsidRDefault="00EC29DB" w:rsidP="00EC29DB">
      <w:pPr>
        <w:jc w:val="both"/>
      </w:pPr>
      <w:r w:rsidRPr="00EC29DB">
        <w:t xml:space="preserve">Pour mention : Selon cet article, ci-dessous, l’hybride </w:t>
      </w:r>
      <w:r w:rsidRPr="00EC29DB">
        <w:rPr>
          <w:i/>
          <w:iCs/>
        </w:rPr>
        <w:t xml:space="preserve">Paulownia elongata x fortunei x elongata </w:t>
      </w:r>
      <w:r w:rsidRPr="00EC29DB">
        <w:t xml:space="preserve">serait plus résistant au sel (jusqu’à 6 g / litre), que les espèces classiques de </w:t>
      </w:r>
      <w:r w:rsidRPr="00EC29DB">
        <w:rPr>
          <w:i/>
          <w:iCs/>
        </w:rPr>
        <w:t>Paulownia</w:t>
      </w:r>
      <w:r w:rsidRPr="00EC29DB">
        <w:t xml:space="preserve"> (</w:t>
      </w:r>
      <w:r w:rsidRPr="00EC29DB">
        <w:rPr>
          <w:i/>
          <w:iCs/>
        </w:rPr>
        <w:t>Paulownia tomentosa, Paulownia fargesii etc.</w:t>
      </w:r>
      <w:r w:rsidRPr="00EC29DB">
        <w:t>) ou les autres hybrides (</w:t>
      </w:r>
      <w:r w:rsidRPr="00EC29DB">
        <w:rPr>
          <w:i/>
          <w:iCs/>
        </w:rPr>
        <w:t>P. elongata x elongata</w:t>
      </w:r>
      <w:r w:rsidRPr="00EC29DB">
        <w:t xml:space="preserve">, </w:t>
      </w:r>
      <w:r w:rsidRPr="00EC29DB">
        <w:rPr>
          <w:i/>
          <w:iCs/>
        </w:rPr>
        <w:t>P. elongata x kawakarnii</w:t>
      </w:r>
      <w:r w:rsidRPr="00EC29DB">
        <w:t xml:space="preserve">). Cette affirmation est encore à vérifier, parce que normalement </w:t>
      </w:r>
      <w:r w:rsidRPr="00EC29DB">
        <w:rPr>
          <w:b/>
          <w:bCs/>
        </w:rPr>
        <w:t xml:space="preserve">les </w:t>
      </w:r>
      <w:r w:rsidRPr="00EC29DB">
        <w:rPr>
          <w:b/>
          <w:bCs/>
          <w:i/>
          <w:iCs/>
        </w:rPr>
        <w:t xml:space="preserve">Paulownia </w:t>
      </w:r>
      <w:r w:rsidRPr="00EC29DB">
        <w:rPr>
          <w:b/>
          <w:bCs/>
        </w:rPr>
        <w:t>ne résistent pas au sel</w:t>
      </w:r>
      <w:r w:rsidRPr="00EC29DB">
        <w:t>, de plus ils consomment beaucoup d’eau. Enfin, elle n’est confirmée que par cet article.</w:t>
      </w:r>
    </w:p>
    <w:p w14:paraId="4E51BD00" w14:textId="1D9131DE" w:rsidR="00EC29DB" w:rsidRPr="00961F29" w:rsidRDefault="00EC29DB" w:rsidP="00EC29DB">
      <w:pPr>
        <w:spacing w:after="0" w:line="240" w:lineRule="auto"/>
        <w:jc w:val="both"/>
      </w:pPr>
      <w:r w:rsidRPr="00961F29">
        <w:t xml:space="preserve">Source : </w:t>
      </w:r>
      <w:r w:rsidRPr="00961F29">
        <w:rPr>
          <w:i/>
          <w:iCs/>
        </w:rPr>
        <w:t>The salinity effect on morphology and pigments content in three paulownia clones grown ex vitro</w:t>
      </w:r>
      <w:r w:rsidRPr="00961F29">
        <w:t xml:space="preserve">, K. Miladinova, K. Ivanova, T. Georgieva, M. Geneva and Y. Markovska, Bulgarian Journal of Agricultural Science, 19 (2) 2013, 52–56, </w:t>
      </w:r>
      <w:hyperlink r:id="rId802" w:history="1">
        <w:r w:rsidRPr="00961F29">
          <w:rPr>
            <w:rStyle w:val="Lienhypertexte"/>
          </w:rPr>
          <w:t>http://www.agrojournal.org/19/02-12s.pdf</w:t>
        </w:r>
      </w:hyperlink>
      <w:r w:rsidRPr="00961F29">
        <w:t xml:space="preserve"> </w:t>
      </w:r>
    </w:p>
    <w:p w14:paraId="12C60F54" w14:textId="6632D9A7" w:rsidR="00EC29DB" w:rsidRPr="00961F29" w:rsidRDefault="00EC29DB" w:rsidP="00EC29DB">
      <w:pPr>
        <w:spacing w:after="0" w:line="240" w:lineRule="auto"/>
        <w:jc w:val="both"/>
      </w:pPr>
    </w:p>
    <w:p w14:paraId="47D4CADD" w14:textId="2882F954" w:rsidR="00EC29DB" w:rsidRDefault="00EC29DB" w:rsidP="00EC29DB">
      <w:pPr>
        <w:spacing w:after="0" w:line="240" w:lineRule="auto"/>
        <w:jc w:val="center"/>
        <w:rPr>
          <w:lang w:val="en-GB"/>
        </w:rPr>
      </w:pPr>
      <w:r w:rsidRPr="00EC29DB">
        <w:rPr>
          <w:noProof/>
        </w:rPr>
        <w:drawing>
          <wp:inline distT="0" distB="0" distL="0" distR="0" wp14:anchorId="04D09693" wp14:editId="512D2F5D">
            <wp:extent cx="1285875" cy="857250"/>
            <wp:effectExtent l="0" t="0" r="9525" b="0"/>
            <wp:docPr id="15564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8"/>
                    <pic:cNvPicPr>
                      <a:picLocks noChangeAspect="1"/>
                    </pic:cNvPicPr>
                  </pic:nvPicPr>
                  <pic:blipFill>
                    <a:blip r:embed="rId803">
                      <a:extLst>
                        <a:ext uri="{28A0092B-C50C-407E-A947-70E740481C1C}">
                          <a14:useLocalDpi xmlns:a14="http://schemas.microsoft.com/office/drawing/2010/main" val="0"/>
                        </a:ext>
                      </a:extLst>
                    </a:blip>
                    <a:stretch>
                      <a:fillRect/>
                    </a:stretch>
                  </pic:blipFill>
                  <pic:spPr>
                    <a:xfrm>
                      <a:off x="0" y="0"/>
                      <a:ext cx="1285875" cy="857250"/>
                    </a:xfrm>
                    <a:prstGeom prst="rect">
                      <a:avLst/>
                    </a:prstGeom>
                  </pic:spPr>
                </pic:pic>
              </a:graphicData>
            </a:graphic>
          </wp:inline>
        </w:drawing>
      </w:r>
      <w:r>
        <w:rPr>
          <w:lang w:val="en-GB"/>
        </w:rPr>
        <w:t xml:space="preserve"> </w:t>
      </w:r>
      <w:r w:rsidRPr="00EC29DB">
        <w:rPr>
          <w:noProof/>
        </w:rPr>
        <w:drawing>
          <wp:inline distT="0" distB="0" distL="0" distR="0" wp14:anchorId="31445221" wp14:editId="250F7FE0">
            <wp:extent cx="952500" cy="952500"/>
            <wp:effectExtent l="0" t="0" r="0" b="0"/>
            <wp:docPr id="155649" name="Image 7" descr="Une image contenant plante, fleur, corydali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49" name="Image 7" descr="Une image contenant plante, fleur, corydalis&#10;&#10;Description générée automatiquement"/>
                    <pic:cNvPicPr>
                      <a:picLocks noChangeAspect="1"/>
                    </pic:cNvPicPr>
                  </pic:nvPicPr>
                  <pic:blipFill>
                    <a:blip r:embed="rId804">
                      <a:extLst>
                        <a:ext uri="{28A0092B-C50C-407E-A947-70E740481C1C}">
                          <a14:useLocalDpi xmlns:a14="http://schemas.microsoft.com/office/drawing/2010/main" val="0"/>
                        </a:ext>
                      </a:extLst>
                    </a:blip>
                    <a:stretch>
                      <a:fillRect/>
                    </a:stretch>
                  </pic:blipFill>
                  <pic:spPr>
                    <a:xfrm>
                      <a:off x="0" y="0"/>
                      <a:ext cx="952500" cy="952500"/>
                    </a:xfrm>
                    <a:prstGeom prst="rect">
                      <a:avLst/>
                    </a:prstGeom>
                  </pic:spPr>
                </pic:pic>
              </a:graphicData>
            </a:graphic>
          </wp:inline>
        </w:drawing>
      </w:r>
    </w:p>
    <w:p w14:paraId="43A3DBFD" w14:textId="77777777" w:rsidR="00EC29DB" w:rsidRPr="00EC29DB" w:rsidRDefault="00EC29DB" w:rsidP="00EC29DB">
      <w:pPr>
        <w:spacing w:after="0" w:line="240" w:lineRule="auto"/>
        <w:jc w:val="center"/>
        <w:rPr>
          <w:lang w:val="en-GB"/>
        </w:rPr>
      </w:pPr>
    </w:p>
    <w:p w14:paraId="765FB3F0" w14:textId="7478DC28" w:rsidR="00B243F9" w:rsidRPr="00B243F9" w:rsidRDefault="00B243F9" w:rsidP="00B243F9">
      <w:pPr>
        <w:pStyle w:val="Titre1"/>
      </w:pPr>
      <w:bookmarkStart w:id="87" w:name="_Toc139181378"/>
      <w:r w:rsidRPr="00B243F9">
        <w:lastRenderedPageBreak/>
        <w:t>Arbustes résistants à la s</w:t>
      </w:r>
      <w:r>
        <w:t>écheresse et/ou aux sols salins</w:t>
      </w:r>
      <w:bookmarkEnd w:id="87"/>
    </w:p>
    <w:p w14:paraId="64840363" w14:textId="77777777" w:rsidR="00B243F9" w:rsidRPr="00B243F9" w:rsidRDefault="00B243F9" w:rsidP="004A1E64">
      <w:pPr>
        <w:spacing w:after="0" w:line="240" w:lineRule="auto"/>
      </w:pPr>
    </w:p>
    <w:p w14:paraId="0F5F6B8C" w14:textId="77777777" w:rsidR="004A1E64" w:rsidRDefault="004A1E64" w:rsidP="00B243F9">
      <w:pPr>
        <w:pStyle w:val="Titre2"/>
      </w:pPr>
      <w:bookmarkStart w:id="88" w:name="_Toc139181379"/>
      <w:r>
        <w:t>Jojoba (</w:t>
      </w:r>
      <w:r w:rsidRPr="00B243F9">
        <w:rPr>
          <w:i/>
          <w:iCs/>
        </w:rPr>
        <w:t>Simmondsia chinensis</w:t>
      </w:r>
      <w:r>
        <w:t>)</w:t>
      </w:r>
      <w:bookmarkEnd w:id="88"/>
    </w:p>
    <w:p w14:paraId="5AAD955A" w14:textId="77777777" w:rsidR="004A1E64" w:rsidRDefault="004A1E64" w:rsidP="004A1E64">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5"/>
        <w:gridCol w:w="2313"/>
        <w:gridCol w:w="1544"/>
        <w:gridCol w:w="415"/>
        <w:gridCol w:w="1379"/>
      </w:tblGrid>
      <w:tr w:rsidR="004A1E64" w:rsidRPr="000B6BE3" w14:paraId="36DABE69" w14:textId="77777777" w:rsidTr="005C76A4">
        <w:tc>
          <w:tcPr>
            <w:tcW w:w="4775" w:type="dxa"/>
          </w:tcPr>
          <w:p w14:paraId="50478013" w14:textId="77777777" w:rsidR="004A1E64" w:rsidRPr="00DE2C3A" w:rsidRDefault="004A1E64" w:rsidP="005C76A4">
            <w:pPr>
              <w:jc w:val="both"/>
              <w:rPr>
                <w:rFonts w:ascii="Calibri" w:hAnsi="Calibri" w:cs="Calibri"/>
                <w:bCs/>
              </w:rPr>
            </w:pPr>
            <w:r>
              <w:rPr>
                <w:rFonts w:ascii="Calibri" w:hAnsi="Calibri" w:cs="Calibri"/>
                <w:bCs/>
              </w:rPr>
              <w:t>(</w:t>
            </w:r>
            <w:r w:rsidRPr="00DE2C3A">
              <w:rPr>
                <w:rFonts w:ascii="Calibri" w:hAnsi="Calibri" w:cs="Calibri"/>
                <w:bCs/>
              </w:rPr>
              <w:t>Famille des</w:t>
            </w:r>
            <w:r>
              <w:rPr>
                <w:rFonts w:ascii="Calibri" w:hAnsi="Calibri" w:cs="Calibri"/>
                <w:color w:val="202122"/>
                <w:shd w:val="clear" w:color="auto" w:fill="FFFFFF"/>
              </w:rPr>
              <w:t xml:space="preserve"> </w:t>
            </w:r>
            <w:hyperlink r:id="rId805" w:tooltip="Simmondsiaceae" w:history="1">
              <w:r w:rsidRPr="00962E3D">
                <w:rPr>
                  <w:rStyle w:val="Lienhypertexte"/>
                  <w:rFonts w:ascii="Calibri" w:hAnsi="Calibri" w:cs="Calibri"/>
                  <w:i/>
                  <w:iCs/>
                  <w:color w:val="0645AD"/>
                  <w:shd w:val="clear" w:color="auto" w:fill="F9F9F9"/>
                </w:rPr>
                <w:t>Simmondsiaceae</w:t>
              </w:r>
            </w:hyperlink>
            <w:r>
              <w:rPr>
                <w:rFonts w:ascii="Calibri" w:hAnsi="Calibri" w:cs="Calibri"/>
                <w:bCs/>
              </w:rPr>
              <w:t>)</w:t>
            </w:r>
            <w:r w:rsidRPr="00DE2C3A">
              <w:rPr>
                <w:rFonts w:ascii="Calibri" w:hAnsi="Calibri" w:cs="Calibri"/>
                <w:bCs/>
              </w:rPr>
              <w:t>.</w:t>
            </w:r>
          </w:p>
          <w:p w14:paraId="620945B2" w14:textId="77777777" w:rsidR="004A1E64" w:rsidRPr="008F191E" w:rsidRDefault="004A1E64" w:rsidP="005C76A4">
            <w:pPr>
              <w:rPr>
                <w:rFonts w:ascii="Calibri" w:hAnsi="Calibri" w:cs="Calibri"/>
                <w:bCs/>
              </w:rPr>
            </w:pPr>
          </w:p>
          <w:p w14:paraId="18C3B3FB" w14:textId="77777777" w:rsidR="004A1E64" w:rsidRPr="000B6BE3" w:rsidRDefault="004A1E64" w:rsidP="005C76A4">
            <w:pPr>
              <w:rPr>
                <w:rFonts w:cstheme="minorHAnsi"/>
              </w:rPr>
            </w:pPr>
          </w:p>
        </w:tc>
        <w:tc>
          <w:tcPr>
            <w:tcW w:w="2313" w:type="dxa"/>
          </w:tcPr>
          <w:p w14:paraId="26DC5065" w14:textId="77777777" w:rsidR="004A1E64" w:rsidRPr="000B6BE3" w:rsidRDefault="004A1E64" w:rsidP="005C76A4">
            <w:pPr>
              <w:rPr>
                <w:rFonts w:cstheme="minorHAnsi"/>
              </w:rPr>
            </w:pPr>
            <w:r w:rsidRPr="000B6BE3">
              <w:rPr>
                <w:rFonts w:cstheme="minorHAnsi"/>
                <w:noProof/>
              </w:rPr>
              <w:t xml:space="preserve">  </w:t>
            </w:r>
            <w:r>
              <w:rPr>
                <w:rFonts w:cstheme="minorHAnsi"/>
                <w:noProof/>
              </w:rPr>
              <w:t xml:space="preserve">     </w:t>
            </w:r>
            <w:r w:rsidRPr="005C50C9">
              <w:rPr>
                <w:rFonts w:cstheme="minorHAnsi"/>
                <w:noProof/>
              </w:rPr>
              <w:drawing>
                <wp:inline distT="0" distB="0" distL="0" distR="0" wp14:anchorId="76DA5CAB" wp14:editId="322207C1">
                  <wp:extent cx="495300" cy="666750"/>
                  <wp:effectExtent l="0" t="0" r="0" b="0"/>
                  <wp:docPr id="39954" name="Image 15"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8" name="Image 15" descr="logo aride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w:t>
            </w:r>
            <w:r w:rsidRPr="008F2681">
              <w:rPr>
                <w:rFonts w:cstheme="minorHAnsi"/>
                <w:noProof/>
              </w:rPr>
              <w:drawing>
                <wp:inline distT="0" distB="0" distL="0" distR="0" wp14:anchorId="5E9045DD" wp14:editId="5FD50573">
                  <wp:extent cx="463550" cy="661988"/>
                  <wp:effectExtent l="0" t="0" r="0" b="5080"/>
                  <wp:docPr id="39955"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w:t>
            </w:r>
          </w:p>
        </w:tc>
        <w:tc>
          <w:tcPr>
            <w:tcW w:w="1544" w:type="dxa"/>
          </w:tcPr>
          <w:p w14:paraId="6D04EC9C" w14:textId="77777777" w:rsidR="004A1E64" w:rsidRPr="002E01BB" w:rsidRDefault="004A1E64" w:rsidP="005C76A4">
            <w:pPr>
              <w:rPr>
                <w:rFonts w:eastAsia="+mn-ea" w:cstheme="minorHAnsi"/>
                <w:b/>
                <w:bCs/>
                <w:color w:val="008000"/>
                <w:kern w:val="24"/>
                <w:sz w:val="56"/>
                <w:szCs w:val="56"/>
              </w:rPr>
            </w:pPr>
            <w:r w:rsidRPr="00D1445E">
              <w:rPr>
                <w:rFonts w:eastAsia="+mn-ea" w:cstheme="minorHAnsi"/>
                <w:b/>
                <w:bCs/>
                <w:color w:val="008000"/>
                <w:kern w:val="24"/>
                <w:sz w:val="56"/>
                <w:szCs w:val="56"/>
              </w:rPr>
              <w:t>U</w:t>
            </w:r>
            <w:r>
              <w:rPr>
                <w:rFonts w:eastAsia="+mn-ea" w:cstheme="minorHAnsi"/>
                <w:b/>
                <w:bCs/>
                <w:color w:val="008000"/>
                <w:kern w:val="24"/>
                <w:sz w:val="56"/>
                <w:szCs w:val="56"/>
              </w:rPr>
              <w:t xml:space="preserve"> $$</w:t>
            </w:r>
          </w:p>
          <w:p w14:paraId="70F6062B" w14:textId="77777777" w:rsidR="004A1E64" w:rsidRPr="000B6BE3" w:rsidRDefault="004A1E64" w:rsidP="005C76A4">
            <w:pPr>
              <w:textAlignment w:val="baseline"/>
              <w:rPr>
                <w:rFonts w:cstheme="minorHAnsi"/>
              </w:rPr>
            </w:pPr>
          </w:p>
        </w:tc>
        <w:tc>
          <w:tcPr>
            <w:tcW w:w="415" w:type="dxa"/>
          </w:tcPr>
          <w:p w14:paraId="2957963C" w14:textId="77777777" w:rsidR="004A1E64" w:rsidRPr="000B6BE3" w:rsidRDefault="004A1E64" w:rsidP="005C76A4">
            <w:pPr>
              <w:rPr>
                <w:rFonts w:cstheme="minorHAnsi"/>
              </w:rPr>
            </w:pPr>
          </w:p>
        </w:tc>
        <w:tc>
          <w:tcPr>
            <w:tcW w:w="1379" w:type="dxa"/>
          </w:tcPr>
          <w:p w14:paraId="202B43F5" w14:textId="77777777" w:rsidR="004A1E64" w:rsidRPr="000B6BE3" w:rsidRDefault="004A1E64" w:rsidP="005C76A4">
            <w:pPr>
              <w:rPr>
                <w:rFonts w:cstheme="minorHAnsi"/>
              </w:rPr>
            </w:pPr>
          </w:p>
        </w:tc>
      </w:tr>
    </w:tbl>
    <w:p w14:paraId="00C782A9" w14:textId="77777777" w:rsidR="004A1E64" w:rsidRDefault="004A1E64" w:rsidP="004A1E64">
      <w:pPr>
        <w:spacing w:after="0" w:line="240" w:lineRule="auto"/>
      </w:pPr>
    </w:p>
    <w:p w14:paraId="00EC4FEF" w14:textId="77777777" w:rsidR="004A1E64" w:rsidRDefault="004A1E64" w:rsidP="004A1E64">
      <w:pPr>
        <w:spacing w:after="0" w:line="240" w:lineRule="auto"/>
        <w:jc w:val="both"/>
      </w:pPr>
      <w:r>
        <w:t>Cette espèce d'arbuste ou de buisson est originaire de l'extrême sud des Etats-Unis (Arizona et Californie) et du nord du Mexique.</w:t>
      </w:r>
    </w:p>
    <w:p w14:paraId="04C342B2" w14:textId="77777777" w:rsidR="004A1E64" w:rsidRDefault="004A1E64" w:rsidP="004A1E64">
      <w:pPr>
        <w:spacing w:after="0" w:line="240" w:lineRule="auto"/>
        <w:jc w:val="both"/>
      </w:pPr>
      <w:r>
        <w:t>Si le jojoba ne dépasse guère 2,5 m à l'état naturel, ses racines sont très longues, jusqu'à 30 m ou plus, ce qui lui permet d'aller chercher l'humidité très loin et très profondément dans le sol. Son feuillage rappelle celui de l'olivier.</w:t>
      </w:r>
    </w:p>
    <w:p w14:paraId="51E24E7C" w14:textId="77777777" w:rsidR="004A1E64" w:rsidRDefault="004A1E64" w:rsidP="004A1E64">
      <w:pPr>
        <w:spacing w:after="0" w:line="240" w:lineRule="auto"/>
        <w:jc w:val="both"/>
      </w:pPr>
      <w:r>
        <w:t>Les graines encore appelées « amandes » ou « fèves » sont de la taille d'une olive et on les récolte à l'automne. La production est soumise à l’alternance biennale. On en extrait l'huile de jojoba, une sorte de cire liquide comparable au sébum et qui ne rancit pas.</w:t>
      </w:r>
    </w:p>
    <w:p w14:paraId="71E9D5DD" w14:textId="77777777" w:rsidR="004A1E64" w:rsidRDefault="004A1E64" w:rsidP="004A1E64">
      <w:pPr>
        <w:spacing w:after="0" w:line="240" w:lineRule="auto"/>
        <w:jc w:val="both"/>
      </w:pPr>
      <w:r>
        <w:t>L'huile de jojoba est utilisée dans l'industrie des cosmétiques pour diluer les huiles essentielles, en remplacement du blanc de baleine. Elle est aussi appréciée comme huile de massage, car elle pénètre facilement la peau et ne laisse pas de sensation de gras, ou encore pour la lubrification des moteurs et l'alimentation des lampes pour l'éclairage. Les graines de jojoba ont un rendement en huile d'environ 50 % de leur poids.</w:t>
      </w:r>
    </w:p>
    <w:p w14:paraId="32BE78D2" w14:textId="77777777" w:rsidR="004A1E64" w:rsidRDefault="004A1E64" w:rsidP="004A1E64">
      <w:pPr>
        <w:spacing w:after="0" w:line="240" w:lineRule="auto"/>
        <w:jc w:val="both"/>
      </w:pPr>
      <w:r>
        <w:t>La cire de Jojoba bénéficie d'une grande stabilité et peut donc être conservée durant près de 10 ans. Elle se fige à une température inférieure à 10°C mais elle supporte des températures élevées. Dans les deux cas, sa qualité n'est pas altérée. L'huile de jojoba est un fongicide utilisable contre le mildiou7. Elle est comestible, mais acalorique et non-digestible, ce qui signifie que l'huile passe à travers les intestins sans transformation et qu'elle peut avoir un effet désagréable appelé « stéatorrhée ». Le Jojoba a été étudié en tant que carburant biodiesel bon marché et durable.</w:t>
      </w:r>
    </w:p>
    <w:p w14:paraId="502DDBBE" w14:textId="77777777" w:rsidR="004A1E64" w:rsidRDefault="004A1E64" w:rsidP="004A1E64">
      <w:pPr>
        <w:spacing w:after="0" w:line="240" w:lineRule="auto"/>
        <w:jc w:val="both"/>
      </w:pPr>
      <w:r>
        <w:t>Aujourd'hui, les principaux producteurs sont l'Argentine, Israël, les Etats-Unis, l'Australie et le Pérou. La culture de jojoba s'est implantée dans les régions semi-désertique d'Argentine, au nord-est du pays. Récemment, Israël s'est lancé dans la production de jojoba et compte parmi les plus grands producteurs mondiaux. On l'appelle encore « Or du désert » ou « Noix de brebis » car elle pousse dans les lieux arides, en plein soleil. Moyenne de prix : 60 à 120 euros / litre. Le jojoba peut supporter de l’eau d’irrigation légèrement salée.</w:t>
      </w:r>
    </w:p>
    <w:p w14:paraId="0A53DE7F" w14:textId="77777777" w:rsidR="004A1E64" w:rsidRDefault="004A1E64" w:rsidP="004A1E64">
      <w:pPr>
        <w:spacing w:after="0" w:line="240" w:lineRule="auto"/>
      </w:pPr>
      <w:r>
        <w:t xml:space="preserve">Sources : a) Jojoba, </w:t>
      </w:r>
      <w:hyperlink r:id="rId806" w:history="1">
        <w:r w:rsidRPr="009A5C23">
          <w:rPr>
            <w:rStyle w:val="Lienhypertexte"/>
          </w:rPr>
          <w:t>https://fr.wikipedia.org/wiki/Jojoba</w:t>
        </w:r>
      </w:hyperlink>
      <w:r>
        <w:t xml:space="preserve"> </w:t>
      </w:r>
    </w:p>
    <w:p w14:paraId="4E8B52C7" w14:textId="77777777" w:rsidR="004A1E64" w:rsidRDefault="004A1E64" w:rsidP="004A1E64">
      <w:pPr>
        <w:spacing w:after="0" w:line="240" w:lineRule="auto"/>
      </w:pPr>
      <w:r>
        <w:t xml:space="preserve">b) Huile de jojoba, </w:t>
      </w:r>
      <w:hyperlink r:id="rId807" w:history="1">
        <w:r w:rsidRPr="009A5C23">
          <w:rPr>
            <w:rStyle w:val="Lienhypertexte"/>
          </w:rPr>
          <w:t>https://fr.wikipedia.org/wiki/Huile_de_jojoba</w:t>
        </w:r>
      </w:hyperlink>
      <w:r>
        <w:t xml:space="preserve"> </w:t>
      </w:r>
    </w:p>
    <w:p w14:paraId="51F36F50" w14:textId="77777777" w:rsidR="004A1E64" w:rsidRDefault="004A1E64" w:rsidP="004A1E64">
      <w:pPr>
        <w:spacing w:after="0" w:line="240" w:lineRule="auto"/>
      </w:pPr>
      <w:r>
        <w:t xml:space="preserve">c) Huile de Jojoba - Composition, Utilisation, Bienfaits, </w:t>
      </w:r>
      <w:hyperlink r:id="rId808" w:history="1">
        <w:r w:rsidRPr="009A5C23">
          <w:rPr>
            <w:rStyle w:val="Lienhypertexte"/>
          </w:rPr>
          <w:t>https://www.passeportsante.net/huiles-vegetales-g152/Fiche.aspx?doc=huile-jojoba</w:t>
        </w:r>
      </w:hyperlink>
      <w:r>
        <w:t xml:space="preserve"> </w:t>
      </w:r>
    </w:p>
    <w:p w14:paraId="0689C386" w14:textId="0CDD6226" w:rsidR="004A1E64" w:rsidRDefault="004A1E64" w:rsidP="004A1E64">
      <w:pPr>
        <w:spacing w:after="0" w:line="240" w:lineRule="auto"/>
        <w:rPr>
          <w:lang w:val="en-GB"/>
        </w:rPr>
      </w:pPr>
      <w:r w:rsidRPr="00BE67E4">
        <w:rPr>
          <w:lang w:val="en-GB"/>
        </w:rPr>
        <w:t xml:space="preserve">d) </w:t>
      </w:r>
      <w:r w:rsidRPr="00BE67E4">
        <w:rPr>
          <w:i/>
          <w:iCs/>
          <w:lang w:val="en-GB"/>
        </w:rPr>
        <w:t>Effect of Seawater Irrigation on Growth and Some Metabolites of Jojoba Plants</w:t>
      </w:r>
      <w:r w:rsidRPr="00BE67E4">
        <w:rPr>
          <w:lang w:val="en-GB"/>
        </w:rPr>
        <w:t xml:space="preserve">, Sameera O. Bafeel, Hanaa K. Galal, Alaa Z. Basha, January 2016, </w:t>
      </w:r>
      <w:hyperlink r:id="rId809" w:history="1">
        <w:r w:rsidRPr="009A5C23">
          <w:rPr>
            <w:rStyle w:val="Lienhypertexte"/>
            <w:lang w:val="en-GB"/>
          </w:rPr>
          <w:t>https://www.researchgate.net/publication/315831343_Effect_of_Seawater_Irrigation_on_Growth_and_Some_Metabolites_of_Jojoba_Plants</w:t>
        </w:r>
      </w:hyperlink>
      <w:r>
        <w:rPr>
          <w:lang w:val="en-GB"/>
        </w:rPr>
        <w:t xml:space="preserve"> </w:t>
      </w:r>
    </w:p>
    <w:tbl>
      <w:tblPr>
        <w:tblStyle w:val="Grilledutableau"/>
        <w:tblW w:w="0" w:type="auto"/>
        <w:tblInd w:w="-5" w:type="dxa"/>
        <w:tblLook w:val="04A0" w:firstRow="1" w:lastRow="0" w:firstColumn="1" w:lastColumn="0" w:noHBand="0" w:noVBand="1"/>
      </w:tblPr>
      <w:tblGrid>
        <w:gridCol w:w="5208"/>
        <w:gridCol w:w="5208"/>
      </w:tblGrid>
      <w:tr w:rsidR="00FA4BA8" w14:paraId="3D91D756" w14:textId="77777777" w:rsidTr="00FA4BA8">
        <w:tc>
          <w:tcPr>
            <w:tcW w:w="5208" w:type="dxa"/>
            <w:tcBorders>
              <w:top w:val="nil"/>
              <w:left w:val="nil"/>
              <w:bottom w:val="nil"/>
              <w:right w:val="nil"/>
            </w:tcBorders>
          </w:tcPr>
          <w:p w14:paraId="55DC1C70" w14:textId="77777777" w:rsidR="00FA4BA8" w:rsidRDefault="00FA4BA8" w:rsidP="00520A81">
            <w:pPr>
              <w:jc w:val="center"/>
            </w:pPr>
            <w:r>
              <w:rPr>
                <w:noProof/>
              </w:rPr>
              <w:drawing>
                <wp:inline distT="0" distB="0" distL="0" distR="0" wp14:anchorId="1EFEC3B4" wp14:editId="06C437B3">
                  <wp:extent cx="2465894" cy="1647825"/>
                  <wp:effectExtent l="0" t="0" r="0" b="0"/>
                  <wp:docPr id="39958" name="Image 39958"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58" name="Image 39958" descr="Une image contenant texte&#10;&#10;Description générée automatiquement"/>
                          <pic:cNvPicPr>
                            <a:picLocks noChangeAspect="1" noChangeArrowheads="1"/>
                          </pic:cNvPicPr>
                        </pic:nvPicPr>
                        <pic:blipFill>
                          <a:blip r:embed="rId810">
                            <a:extLst>
                              <a:ext uri="{28A0092B-C50C-407E-A947-70E740481C1C}">
                                <a14:useLocalDpi xmlns:a14="http://schemas.microsoft.com/office/drawing/2010/main" val="0"/>
                              </a:ext>
                            </a:extLst>
                          </a:blip>
                          <a:srcRect/>
                          <a:stretch>
                            <a:fillRect/>
                          </a:stretch>
                        </pic:blipFill>
                        <pic:spPr bwMode="auto">
                          <a:xfrm>
                            <a:off x="0" y="0"/>
                            <a:ext cx="2475392" cy="1654172"/>
                          </a:xfrm>
                          <a:prstGeom prst="rect">
                            <a:avLst/>
                          </a:prstGeom>
                          <a:noFill/>
                          <a:ln>
                            <a:noFill/>
                          </a:ln>
                        </pic:spPr>
                      </pic:pic>
                    </a:graphicData>
                  </a:graphic>
                </wp:inline>
              </w:drawing>
            </w:r>
          </w:p>
          <w:p w14:paraId="783BEA52" w14:textId="77777777" w:rsidR="00FA4BA8" w:rsidRDefault="00FA4BA8" w:rsidP="00520A81">
            <w:pPr>
              <w:jc w:val="center"/>
            </w:pPr>
            <w:r>
              <w:t>Graine</w:t>
            </w:r>
          </w:p>
        </w:tc>
        <w:tc>
          <w:tcPr>
            <w:tcW w:w="5208" w:type="dxa"/>
            <w:tcBorders>
              <w:top w:val="nil"/>
              <w:left w:val="nil"/>
              <w:bottom w:val="nil"/>
              <w:right w:val="nil"/>
            </w:tcBorders>
          </w:tcPr>
          <w:p w14:paraId="2D9952BD" w14:textId="77777777" w:rsidR="00FA4BA8" w:rsidRDefault="00FA4BA8" w:rsidP="00520A81">
            <w:pPr>
              <w:jc w:val="center"/>
            </w:pPr>
            <w:r>
              <w:rPr>
                <w:noProof/>
              </w:rPr>
              <w:drawing>
                <wp:inline distT="0" distB="0" distL="0" distR="0" wp14:anchorId="474E341A" wp14:editId="58EBBF6A">
                  <wp:extent cx="1038225" cy="1549350"/>
                  <wp:effectExtent l="0" t="0" r="0" b="0"/>
                  <wp:docPr id="39959" name="Image 39959" descr="Une image contenant articles de toilette, parfum, cosmét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59" name="Image 39959" descr="Une image contenant articles de toilette, parfum, cosmétique&#10;&#10;Description générée automatiquement"/>
                          <pic:cNvPicPr>
                            <a:picLocks noChangeAspect="1" noChangeArrowheads="1"/>
                          </pic:cNvPicPr>
                        </pic:nvPicPr>
                        <pic:blipFill>
                          <a:blip r:embed="rId811">
                            <a:extLst>
                              <a:ext uri="{28A0092B-C50C-407E-A947-70E740481C1C}">
                                <a14:useLocalDpi xmlns:a14="http://schemas.microsoft.com/office/drawing/2010/main" val="0"/>
                              </a:ext>
                            </a:extLst>
                          </a:blip>
                          <a:srcRect/>
                          <a:stretch>
                            <a:fillRect/>
                          </a:stretch>
                        </pic:blipFill>
                        <pic:spPr bwMode="auto">
                          <a:xfrm>
                            <a:off x="0" y="0"/>
                            <a:ext cx="1052802" cy="1571103"/>
                          </a:xfrm>
                          <a:prstGeom prst="rect">
                            <a:avLst/>
                          </a:prstGeom>
                          <a:noFill/>
                          <a:ln>
                            <a:noFill/>
                          </a:ln>
                        </pic:spPr>
                      </pic:pic>
                    </a:graphicData>
                  </a:graphic>
                </wp:inline>
              </w:drawing>
            </w:r>
          </w:p>
          <w:p w14:paraId="6E07D561" w14:textId="77777777" w:rsidR="00FA4BA8" w:rsidRDefault="00FA4BA8" w:rsidP="00520A81">
            <w:pPr>
              <w:jc w:val="center"/>
            </w:pPr>
            <w:r w:rsidRPr="003C2896">
              <w:t>Flacon d'huile de jojoba non raffinée.</w:t>
            </w:r>
          </w:p>
        </w:tc>
      </w:tr>
      <w:tr w:rsidR="004A1E64" w14:paraId="71D18A98" w14:textId="77777777" w:rsidTr="00FA4BA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208" w:type="dxa"/>
          </w:tcPr>
          <w:p w14:paraId="6E1E97D0" w14:textId="77777777" w:rsidR="004A1E64" w:rsidRDefault="004A1E64" w:rsidP="005C76A4">
            <w:pPr>
              <w:jc w:val="center"/>
            </w:pPr>
            <w:r>
              <w:rPr>
                <w:noProof/>
              </w:rPr>
              <w:lastRenderedPageBreak/>
              <w:drawing>
                <wp:inline distT="0" distB="0" distL="0" distR="0" wp14:anchorId="0A3F08A3" wp14:editId="2F3B125C">
                  <wp:extent cx="3048000" cy="3124200"/>
                  <wp:effectExtent l="0" t="0" r="0" b="0"/>
                  <wp:docPr id="39956" name="Image 39956" descr="Une image contenant extérieur, plante, ar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56" name="Image 39956" descr="Une image contenant extérieur, plante, arbre&#10;&#10;Description générée automatiquement"/>
                          <pic:cNvPicPr>
                            <a:picLocks noChangeAspect="1" noChangeArrowheads="1"/>
                          </pic:cNvPicPr>
                        </pic:nvPicPr>
                        <pic:blipFill>
                          <a:blip r:embed="rId812">
                            <a:extLst>
                              <a:ext uri="{28A0092B-C50C-407E-A947-70E740481C1C}">
                                <a14:useLocalDpi xmlns:a14="http://schemas.microsoft.com/office/drawing/2010/main" val="0"/>
                              </a:ext>
                            </a:extLst>
                          </a:blip>
                          <a:srcRect/>
                          <a:stretch>
                            <a:fillRect/>
                          </a:stretch>
                        </pic:blipFill>
                        <pic:spPr bwMode="auto">
                          <a:xfrm>
                            <a:off x="0" y="0"/>
                            <a:ext cx="3048000" cy="3124200"/>
                          </a:xfrm>
                          <a:prstGeom prst="rect">
                            <a:avLst/>
                          </a:prstGeom>
                          <a:noFill/>
                          <a:ln>
                            <a:noFill/>
                          </a:ln>
                        </pic:spPr>
                      </pic:pic>
                    </a:graphicData>
                  </a:graphic>
                </wp:inline>
              </w:drawing>
            </w:r>
          </w:p>
          <w:p w14:paraId="26B2F6DF" w14:textId="77777777" w:rsidR="004A1E64" w:rsidRDefault="004A1E64" w:rsidP="005C76A4">
            <w:pPr>
              <w:jc w:val="center"/>
            </w:pPr>
            <w:r>
              <w:t>Feuillage et fruits.</w:t>
            </w:r>
          </w:p>
        </w:tc>
        <w:tc>
          <w:tcPr>
            <w:tcW w:w="5208" w:type="dxa"/>
          </w:tcPr>
          <w:p w14:paraId="3AB59E5B" w14:textId="77777777" w:rsidR="004A1E64" w:rsidRDefault="004A1E64" w:rsidP="005C76A4">
            <w:pPr>
              <w:jc w:val="center"/>
            </w:pPr>
            <w:r>
              <w:rPr>
                <w:noProof/>
              </w:rPr>
              <w:drawing>
                <wp:inline distT="0" distB="0" distL="0" distR="0" wp14:anchorId="083C0F4B" wp14:editId="032368BF">
                  <wp:extent cx="3124200" cy="2809358"/>
                  <wp:effectExtent l="0" t="0" r="0" b="0"/>
                  <wp:docPr id="39957" name="Image 39957" descr="Une image contenant plante, fleur, ferm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57" name="Image 39957" descr="Une image contenant plante, fleur, fermer&#10;&#10;Description générée automatiquement"/>
                          <pic:cNvPicPr>
                            <a:picLocks noChangeAspect="1" noChangeArrowheads="1"/>
                          </pic:cNvPicPr>
                        </pic:nvPicPr>
                        <pic:blipFill>
                          <a:blip r:embed="rId813">
                            <a:extLst>
                              <a:ext uri="{28A0092B-C50C-407E-A947-70E740481C1C}">
                                <a14:useLocalDpi xmlns:a14="http://schemas.microsoft.com/office/drawing/2010/main" val="0"/>
                              </a:ext>
                            </a:extLst>
                          </a:blip>
                          <a:srcRect/>
                          <a:stretch>
                            <a:fillRect/>
                          </a:stretch>
                        </pic:blipFill>
                        <pic:spPr bwMode="auto">
                          <a:xfrm>
                            <a:off x="0" y="0"/>
                            <a:ext cx="3132083" cy="2816446"/>
                          </a:xfrm>
                          <a:prstGeom prst="rect">
                            <a:avLst/>
                          </a:prstGeom>
                          <a:noFill/>
                          <a:ln>
                            <a:noFill/>
                          </a:ln>
                        </pic:spPr>
                      </pic:pic>
                    </a:graphicData>
                  </a:graphic>
                </wp:inline>
              </w:drawing>
            </w:r>
          </w:p>
          <w:p w14:paraId="6488DEA0" w14:textId="77777777" w:rsidR="004A1E64" w:rsidRDefault="004A1E64" w:rsidP="005C76A4">
            <w:pPr>
              <w:jc w:val="center"/>
            </w:pPr>
            <w:r>
              <w:t>Fleurs.</w:t>
            </w:r>
          </w:p>
        </w:tc>
      </w:tr>
    </w:tbl>
    <w:p w14:paraId="31651EE8" w14:textId="77777777" w:rsidR="004A1E64" w:rsidRPr="004A1E64" w:rsidRDefault="004A1E64" w:rsidP="004A1E64">
      <w:pPr>
        <w:spacing w:after="0" w:line="240" w:lineRule="auto"/>
      </w:pPr>
    </w:p>
    <w:p w14:paraId="7796A9F8" w14:textId="77777777" w:rsidR="00F6450E" w:rsidRPr="00F6450E" w:rsidRDefault="00F6450E" w:rsidP="00B243F9">
      <w:pPr>
        <w:pStyle w:val="Titre2"/>
      </w:pPr>
      <w:bookmarkStart w:id="89" w:name="_Toc139181380"/>
      <w:r w:rsidRPr="00F6450E">
        <w:t>Arroche halime, pourpier de mer ou arroche marine (</w:t>
      </w:r>
      <w:r w:rsidRPr="00F6450E">
        <w:rPr>
          <w:i/>
          <w:iCs/>
        </w:rPr>
        <w:t>Atriplex halimus</w:t>
      </w:r>
      <w:r w:rsidRPr="00F6450E">
        <w:t>)</w:t>
      </w:r>
      <w:bookmarkEnd w:id="89"/>
    </w:p>
    <w:p w14:paraId="6A038E18" w14:textId="7C09D539" w:rsidR="00F6450E" w:rsidRDefault="00F6450E" w:rsidP="00F6450E">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5"/>
        <w:gridCol w:w="2313"/>
        <w:gridCol w:w="1544"/>
        <w:gridCol w:w="415"/>
        <w:gridCol w:w="1379"/>
      </w:tblGrid>
      <w:tr w:rsidR="00F6450E" w:rsidRPr="000B6BE3" w14:paraId="44656CD4" w14:textId="77777777" w:rsidTr="005C76A4">
        <w:tc>
          <w:tcPr>
            <w:tcW w:w="4775" w:type="dxa"/>
          </w:tcPr>
          <w:p w14:paraId="33CEAE88" w14:textId="1E7917F7" w:rsidR="00F6450E" w:rsidRPr="00DE2C3A" w:rsidRDefault="00F6450E" w:rsidP="005C76A4">
            <w:pPr>
              <w:jc w:val="both"/>
              <w:rPr>
                <w:rFonts w:ascii="Calibri" w:hAnsi="Calibri" w:cs="Calibri"/>
                <w:bCs/>
              </w:rPr>
            </w:pPr>
            <w:r>
              <w:rPr>
                <w:rFonts w:ascii="Calibri" w:hAnsi="Calibri" w:cs="Calibri"/>
                <w:bCs/>
              </w:rPr>
              <w:t>(</w:t>
            </w:r>
            <w:r w:rsidRPr="00DE2C3A">
              <w:rPr>
                <w:rFonts w:ascii="Calibri" w:hAnsi="Calibri" w:cs="Calibri"/>
                <w:bCs/>
              </w:rPr>
              <w:t>Famille des</w:t>
            </w:r>
            <w:r>
              <w:rPr>
                <w:rFonts w:ascii="Calibri" w:hAnsi="Calibri" w:cs="Calibri"/>
              </w:rPr>
              <w:t xml:space="preserve"> </w:t>
            </w:r>
            <w:r w:rsidRPr="00F6450E">
              <w:rPr>
                <w:i/>
                <w:iCs/>
              </w:rPr>
              <w:t>Amaranthaceae</w:t>
            </w:r>
            <w:r>
              <w:rPr>
                <w:rFonts w:ascii="Calibri" w:hAnsi="Calibri" w:cs="Calibri"/>
                <w:bCs/>
              </w:rPr>
              <w:t>)</w:t>
            </w:r>
            <w:r w:rsidRPr="00DE2C3A">
              <w:rPr>
                <w:rFonts w:ascii="Calibri" w:hAnsi="Calibri" w:cs="Calibri"/>
                <w:bCs/>
              </w:rPr>
              <w:t>.</w:t>
            </w:r>
          </w:p>
          <w:p w14:paraId="1B0A73DF" w14:textId="77777777" w:rsidR="00F6450E" w:rsidRPr="008F191E" w:rsidRDefault="00F6450E" w:rsidP="005C76A4">
            <w:pPr>
              <w:rPr>
                <w:rFonts w:ascii="Calibri" w:hAnsi="Calibri" w:cs="Calibri"/>
                <w:bCs/>
              </w:rPr>
            </w:pPr>
          </w:p>
          <w:p w14:paraId="7B0BEB07" w14:textId="77777777" w:rsidR="00F6450E" w:rsidRPr="000B6BE3" w:rsidRDefault="00F6450E" w:rsidP="005C76A4">
            <w:pPr>
              <w:rPr>
                <w:rFonts w:cstheme="minorHAnsi"/>
              </w:rPr>
            </w:pPr>
          </w:p>
        </w:tc>
        <w:tc>
          <w:tcPr>
            <w:tcW w:w="2313" w:type="dxa"/>
          </w:tcPr>
          <w:p w14:paraId="13447484" w14:textId="46FA4391" w:rsidR="00F6450E" w:rsidRPr="000B6BE3" w:rsidRDefault="00F6450E" w:rsidP="005C76A4">
            <w:pPr>
              <w:rPr>
                <w:rFonts w:cstheme="minorHAnsi"/>
              </w:rPr>
            </w:pPr>
            <w:r w:rsidRPr="000B6BE3">
              <w:rPr>
                <w:rFonts w:cstheme="minorHAnsi"/>
                <w:noProof/>
              </w:rPr>
              <w:t xml:space="preserve">  </w:t>
            </w:r>
            <w:r>
              <w:rPr>
                <w:rFonts w:cstheme="minorHAnsi"/>
                <w:noProof/>
              </w:rPr>
              <w:t xml:space="preserve">     </w:t>
            </w:r>
            <w:r w:rsidRPr="005C50C9">
              <w:rPr>
                <w:rFonts w:cstheme="minorHAnsi"/>
                <w:noProof/>
              </w:rPr>
              <w:drawing>
                <wp:inline distT="0" distB="0" distL="0" distR="0" wp14:anchorId="020CD9BC" wp14:editId="4209B72C">
                  <wp:extent cx="495300" cy="666750"/>
                  <wp:effectExtent l="0" t="0" r="0" b="0"/>
                  <wp:docPr id="39964" name="Image 15"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8" name="Image 15" descr="logo aride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w:t>
            </w:r>
            <w:r w:rsidRPr="008F2681">
              <w:rPr>
                <w:rFonts w:cstheme="minorHAnsi"/>
                <w:noProof/>
              </w:rPr>
              <w:drawing>
                <wp:inline distT="0" distB="0" distL="0" distR="0" wp14:anchorId="09C4DD78" wp14:editId="6070FDD6">
                  <wp:extent cx="463550" cy="661988"/>
                  <wp:effectExtent l="0" t="0" r="0" b="5080"/>
                  <wp:docPr id="39965"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p>
        </w:tc>
        <w:tc>
          <w:tcPr>
            <w:tcW w:w="1544" w:type="dxa"/>
          </w:tcPr>
          <w:p w14:paraId="4436A0ED" w14:textId="77777777" w:rsidR="00F6450E" w:rsidRPr="002E01BB" w:rsidRDefault="00F6450E" w:rsidP="005C76A4">
            <w:pPr>
              <w:rPr>
                <w:rFonts w:eastAsia="+mn-ea" w:cstheme="minorHAnsi"/>
                <w:b/>
                <w:bCs/>
                <w:color w:val="008000"/>
                <w:kern w:val="24"/>
                <w:sz w:val="56"/>
                <w:szCs w:val="56"/>
              </w:rPr>
            </w:pPr>
            <w:r w:rsidRPr="00D1445E">
              <w:rPr>
                <w:rFonts w:eastAsia="+mn-ea" w:cstheme="minorHAnsi"/>
                <w:b/>
                <w:bCs/>
                <w:color w:val="008000"/>
                <w:kern w:val="24"/>
                <w:sz w:val="56"/>
                <w:szCs w:val="56"/>
              </w:rPr>
              <w:t>U</w:t>
            </w:r>
            <w:r>
              <w:rPr>
                <w:rFonts w:eastAsia="+mn-ea" w:cstheme="minorHAnsi"/>
                <w:b/>
                <w:bCs/>
                <w:color w:val="008000"/>
                <w:kern w:val="24"/>
                <w:sz w:val="56"/>
                <w:szCs w:val="56"/>
              </w:rPr>
              <w:t xml:space="preserve"> ↗</w:t>
            </w:r>
          </w:p>
          <w:p w14:paraId="7EC88E0B" w14:textId="77777777" w:rsidR="00F6450E" w:rsidRPr="000B6BE3" w:rsidRDefault="00F6450E" w:rsidP="005C76A4">
            <w:pPr>
              <w:textAlignment w:val="baseline"/>
              <w:rPr>
                <w:rFonts w:cstheme="minorHAnsi"/>
              </w:rPr>
            </w:pPr>
          </w:p>
        </w:tc>
        <w:tc>
          <w:tcPr>
            <w:tcW w:w="415" w:type="dxa"/>
          </w:tcPr>
          <w:p w14:paraId="6EFE360D" w14:textId="77777777" w:rsidR="00F6450E" w:rsidRPr="000B6BE3" w:rsidRDefault="00F6450E" w:rsidP="005C76A4">
            <w:pPr>
              <w:rPr>
                <w:rFonts w:cstheme="minorHAnsi"/>
              </w:rPr>
            </w:pPr>
          </w:p>
        </w:tc>
        <w:tc>
          <w:tcPr>
            <w:tcW w:w="1379" w:type="dxa"/>
          </w:tcPr>
          <w:p w14:paraId="296C8CE1" w14:textId="77777777" w:rsidR="00F6450E" w:rsidRPr="000B6BE3" w:rsidRDefault="00F6450E" w:rsidP="005C76A4">
            <w:pPr>
              <w:rPr>
                <w:rFonts w:cstheme="minorHAnsi"/>
              </w:rPr>
            </w:pPr>
          </w:p>
        </w:tc>
      </w:tr>
    </w:tbl>
    <w:p w14:paraId="2045E0D2" w14:textId="77777777" w:rsidR="00F6450E" w:rsidRPr="00F6450E" w:rsidRDefault="00F6450E" w:rsidP="00F6450E">
      <w:pPr>
        <w:spacing w:after="0" w:line="240" w:lineRule="auto"/>
        <w:jc w:val="both"/>
      </w:pPr>
    </w:p>
    <w:p w14:paraId="256F2A6D" w14:textId="720C1585" w:rsidR="00F6450E" w:rsidRPr="00F6450E" w:rsidRDefault="00F6450E" w:rsidP="00F6450E">
      <w:pPr>
        <w:spacing w:after="0" w:line="240" w:lineRule="auto"/>
        <w:jc w:val="both"/>
      </w:pPr>
      <w:r w:rsidRPr="00F6450E">
        <w:t>Originaire d'Afrique et du Sahara au Maroc, c’est un arbuste fourrager, halophyte</w:t>
      </w:r>
      <w:r>
        <w:rPr>
          <w:rStyle w:val="Appelnotedebasdep"/>
        </w:rPr>
        <w:footnoteReference w:id="80"/>
      </w:r>
      <w:r w:rsidRPr="00F6450E">
        <w:t xml:space="preserve"> de 1,5 m à 2 m de haut. Avec son réseau très dense de rameaux dressés à partir du sol, il forme des buissons très touffus, impénétrables. Sa croissance est rapide et il peut s'étendre grâce à ses rejets souterrains. </w:t>
      </w:r>
    </w:p>
    <w:p w14:paraId="34BB6D2B" w14:textId="6284F00A" w:rsidR="00F6450E" w:rsidRPr="00F6450E" w:rsidRDefault="00F6450E" w:rsidP="00F6450E">
      <w:pPr>
        <w:spacing w:after="0" w:line="240" w:lineRule="auto"/>
        <w:jc w:val="both"/>
      </w:pPr>
      <w:r w:rsidRPr="00F6450E">
        <w:t>Car tolérant des conditions sévères de sécheresse (très résistante à la sécheresse et aux embruns) et pouvant grandir dans des sols très alcalins et salins, cette plante est souvent cultivée comme fourrage et utilisée pour valoriser les zones dégradées et marginales. Elle supporte bien la taille. L'arroche marine est souvent plantée pour constituer des haies brise-vent sur le littoral. Les feuilles de l'arroche marine sont consommées crues dans les salades, dans certains pays d'Europe. Dans les zones arides d'Afrique du Nord et du Moyen-Orient, elle constitue un fourrage très apprécié du bétail (notamment pour les dromadaires).</w:t>
      </w:r>
    </w:p>
    <w:p w14:paraId="1557CEBC" w14:textId="05AEC10A" w:rsidR="00F6450E" w:rsidRPr="00F6450E" w:rsidRDefault="00F6450E" w:rsidP="00F6450E">
      <w:pPr>
        <w:spacing w:after="0" w:line="240" w:lineRule="auto"/>
        <w:jc w:val="both"/>
      </w:pPr>
      <w:r w:rsidRPr="00F6450E">
        <w:t xml:space="preserve">Les extraits des feuilles ont montré des effets hypoglycémiques importantes. </w:t>
      </w:r>
    </w:p>
    <w:p w14:paraId="64A2BA0B" w14:textId="77777777" w:rsidR="00F6450E" w:rsidRPr="00F6450E" w:rsidRDefault="00F6450E" w:rsidP="00F6450E">
      <w:pPr>
        <w:spacing w:after="0" w:line="240" w:lineRule="auto"/>
        <w:jc w:val="both"/>
      </w:pPr>
      <w:r w:rsidRPr="00F6450E">
        <w:t xml:space="preserve">Elle sert à la fixation biologique des dunes mobiles (par exemple, en Tunisie). </w:t>
      </w:r>
    </w:p>
    <w:p w14:paraId="5DC667CF" w14:textId="23BF41D6" w:rsidR="00764390" w:rsidRDefault="00F6450E" w:rsidP="00F6450E">
      <w:pPr>
        <w:spacing w:after="0" w:line="240" w:lineRule="auto"/>
        <w:jc w:val="both"/>
        <w:rPr>
          <w:lang w:val="en-GB"/>
        </w:rPr>
      </w:pPr>
      <w:r w:rsidRPr="00F6450E">
        <w:rPr>
          <w:lang w:val="en-GB"/>
        </w:rPr>
        <w:t xml:space="preserve">Sources : a) </w:t>
      </w:r>
      <w:hyperlink r:id="rId814" w:history="1">
        <w:r w:rsidRPr="00CD78C9">
          <w:rPr>
            <w:rStyle w:val="Lienhypertexte"/>
            <w:lang w:val="en-GB"/>
          </w:rPr>
          <w:t>http://fr.wikipedia.org/wiki/Atriplex_halimus</w:t>
        </w:r>
      </w:hyperlink>
      <w:r w:rsidRPr="00F6450E">
        <w:rPr>
          <w:lang w:val="en-GB"/>
        </w:rPr>
        <w:t>,</w:t>
      </w:r>
      <w:r>
        <w:rPr>
          <w:lang w:val="en-GB"/>
        </w:rPr>
        <w:t xml:space="preserve"> </w:t>
      </w:r>
      <w:r w:rsidRPr="00F6450E">
        <w:rPr>
          <w:lang w:val="en-GB"/>
        </w:rPr>
        <w:t xml:space="preserve">b) </w:t>
      </w:r>
      <w:hyperlink r:id="rId815" w:history="1">
        <w:r w:rsidRPr="00CD78C9">
          <w:rPr>
            <w:rStyle w:val="Lienhypertexte"/>
            <w:lang w:val="en-GB"/>
          </w:rPr>
          <w:t>http://en.wikipedia.org/wiki/Atriplex_halimus</w:t>
        </w:r>
      </w:hyperlink>
    </w:p>
    <w:p w14:paraId="01D9FEBB" w14:textId="1B49ADAD" w:rsidR="00F6450E" w:rsidRDefault="00F6450E" w:rsidP="00F6450E">
      <w:pPr>
        <w:spacing w:after="0" w:line="240" w:lineRule="auto"/>
        <w:jc w:val="both"/>
        <w:rPr>
          <w:lang w:val="en-G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1736"/>
        <w:gridCol w:w="1736"/>
        <w:gridCol w:w="3472"/>
      </w:tblGrid>
      <w:tr w:rsidR="0062292C" w14:paraId="0F4DD4F1" w14:textId="77777777" w:rsidTr="00C61B16">
        <w:tc>
          <w:tcPr>
            <w:tcW w:w="5208" w:type="dxa"/>
            <w:gridSpan w:val="2"/>
          </w:tcPr>
          <w:p w14:paraId="5035D103" w14:textId="3FF96666" w:rsidR="0062292C" w:rsidRDefault="00C61B16" w:rsidP="00F6450E">
            <w:pPr>
              <w:jc w:val="center"/>
              <w:rPr>
                <w:lang w:val="en-GB"/>
              </w:rPr>
            </w:pPr>
            <w:r w:rsidRPr="00C61B16">
              <w:rPr>
                <w:noProof/>
              </w:rPr>
              <w:lastRenderedPageBreak/>
              <w:drawing>
                <wp:inline distT="0" distB="0" distL="0" distR="0" wp14:anchorId="5DDA3144" wp14:editId="16A0F238">
                  <wp:extent cx="2676525" cy="1714500"/>
                  <wp:effectExtent l="0" t="0" r="9525" b="0"/>
                  <wp:docPr id="68623" name="Picture 15" descr="C:\Users\LISAN\Pictures\plantes-halophytes-xerophiles\Atriplex halimu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23" name="Picture 15" descr="C:\Users\LISAN\Pictures\plantes-halophytes-xerophiles\Atriplex halimus4.jpg"/>
                          <pic:cNvPicPr>
                            <a:picLocks noChangeAspect="1" noChangeArrowheads="1"/>
                          </pic:cNvPicPr>
                        </pic:nvPicPr>
                        <pic:blipFill>
                          <a:blip r:embed="rId816">
                            <a:extLst>
                              <a:ext uri="{28A0092B-C50C-407E-A947-70E740481C1C}">
                                <a14:useLocalDpi xmlns:a14="http://schemas.microsoft.com/office/drawing/2010/main" val="0"/>
                              </a:ext>
                            </a:extLst>
                          </a:blip>
                          <a:srcRect/>
                          <a:stretch>
                            <a:fillRect/>
                          </a:stretch>
                        </pic:blipFill>
                        <pic:spPr bwMode="auto">
                          <a:xfrm>
                            <a:off x="0" y="0"/>
                            <a:ext cx="2676525" cy="1714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208" w:type="dxa"/>
            <w:gridSpan w:val="2"/>
          </w:tcPr>
          <w:p w14:paraId="43CB585A" w14:textId="77777777" w:rsidR="0062292C" w:rsidRDefault="00C61B16" w:rsidP="00F6450E">
            <w:pPr>
              <w:jc w:val="center"/>
              <w:rPr>
                <w:lang w:val="en-GB"/>
              </w:rPr>
            </w:pPr>
            <w:r w:rsidRPr="00C61B16">
              <w:rPr>
                <w:noProof/>
              </w:rPr>
              <w:drawing>
                <wp:inline distT="0" distB="0" distL="0" distR="0" wp14:anchorId="2AF28CDD" wp14:editId="3612C6A3">
                  <wp:extent cx="2366962" cy="1773237"/>
                  <wp:effectExtent l="0" t="0" r="0" b="0"/>
                  <wp:docPr id="68624" name="Picture 16" descr="C:\Users\LISAN\Pictures\plantes-halophytes-xerophiles\Atriplex halimu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24" name="Picture 16" descr="C:\Users\LISAN\Pictures\plantes-halophytes-xerophiles\Atriplex halimus6.jpg"/>
                          <pic:cNvPicPr>
                            <a:picLocks noChangeAspect="1" noChangeArrowheads="1"/>
                          </pic:cNvPicPr>
                        </pic:nvPicPr>
                        <pic:blipFill>
                          <a:blip r:embed="rId817">
                            <a:extLst>
                              <a:ext uri="{28A0092B-C50C-407E-A947-70E740481C1C}">
                                <a14:useLocalDpi xmlns:a14="http://schemas.microsoft.com/office/drawing/2010/main" val="0"/>
                              </a:ext>
                            </a:extLst>
                          </a:blip>
                          <a:srcRect/>
                          <a:stretch>
                            <a:fillRect/>
                          </a:stretch>
                        </pic:blipFill>
                        <pic:spPr bwMode="auto">
                          <a:xfrm>
                            <a:off x="0" y="0"/>
                            <a:ext cx="2366962" cy="1773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3BA04A44" w14:textId="42E41A22" w:rsidR="00C61B16" w:rsidRDefault="00C61B16" w:rsidP="00F6450E">
            <w:pPr>
              <w:jc w:val="center"/>
              <w:rPr>
                <w:lang w:val="en-GB"/>
              </w:rPr>
            </w:pPr>
          </w:p>
        </w:tc>
      </w:tr>
      <w:tr w:rsidR="0062292C" w14:paraId="6F29C271" w14:textId="77777777" w:rsidTr="00C61B16">
        <w:tc>
          <w:tcPr>
            <w:tcW w:w="5208" w:type="dxa"/>
            <w:gridSpan w:val="2"/>
          </w:tcPr>
          <w:p w14:paraId="37EEEAE8" w14:textId="1C293C61" w:rsidR="0062292C" w:rsidRDefault="00C61B16" w:rsidP="00F6450E">
            <w:pPr>
              <w:jc w:val="center"/>
              <w:rPr>
                <w:lang w:val="en-GB"/>
              </w:rPr>
            </w:pPr>
            <w:r w:rsidRPr="00C61B16">
              <w:rPr>
                <w:noProof/>
              </w:rPr>
              <w:drawing>
                <wp:inline distT="0" distB="0" distL="0" distR="0" wp14:anchorId="74FE1F6A" wp14:editId="54081EF7">
                  <wp:extent cx="2051050" cy="1365250"/>
                  <wp:effectExtent l="0" t="0" r="6350" b="6350"/>
                  <wp:docPr id="68621" name="Picture 13" descr="C:\Users\LISAN\Pictures\plantes-halophytes-xerophiles\Atriplex halimu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21" name="Picture 13" descr="C:\Users\LISAN\Pictures\plantes-halophytes-xerophiles\Atriplex halimus2.jpg"/>
                          <pic:cNvPicPr>
                            <a:picLocks noChangeAspect="1" noChangeArrowheads="1"/>
                          </pic:cNvPicPr>
                        </pic:nvPicPr>
                        <pic:blipFill>
                          <a:blip r:embed="rId818">
                            <a:extLst>
                              <a:ext uri="{28A0092B-C50C-407E-A947-70E740481C1C}">
                                <a14:useLocalDpi xmlns:a14="http://schemas.microsoft.com/office/drawing/2010/main" val="0"/>
                              </a:ext>
                            </a:extLst>
                          </a:blip>
                          <a:srcRect/>
                          <a:stretch>
                            <a:fillRect/>
                          </a:stretch>
                        </pic:blipFill>
                        <pic:spPr bwMode="auto">
                          <a:xfrm>
                            <a:off x="0" y="0"/>
                            <a:ext cx="2051050" cy="1365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208" w:type="dxa"/>
            <w:gridSpan w:val="2"/>
          </w:tcPr>
          <w:p w14:paraId="0B65290A" w14:textId="77777777" w:rsidR="0062292C" w:rsidRDefault="00C61B16" w:rsidP="00F6450E">
            <w:pPr>
              <w:jc w:val="center"/>
              <w:rPr>
                <w:lang w:val="en-GB"/>
              </w:rPr>
            </w:pPr>
            <w:r w:rsidRPr="00C61B16">
              <w:rPr>
                <w:noProof/>
              </w:rPr>
              <w:drawing>
                <wp:inline distT="0" distB="0" distL="0" distR="0" wp14:anchorId="3FCEAC05" wp14:editId="76AA18A6">
                  <wp:extent cx="2073275" cy="1552575"/>
                  <wp:effectExtent l="0" t="0" r="3175" b="9525"/>
                  <wp:docPr id="68619" name="Picture 11" descr="C:\Users\LISAN\Pictures\plantes-halophytes-xerophiles\Atriplex halimus_feuil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19" name="Picture 11" descr="C:\Users\LISAN\Pictures\plantes-halophytes-xerophiles\Atriplex halimus_feuilles.jpg"/>
                          <pic:cNvPicPr>
                            <a:picLocks noChangeAspect="1" noChangeArrowheads="1"/>
                          </pic:cNvPicPr>
                        </pic:nvPicPr>
                        <pic:blipFill>
                          <a:blip r:embed="rId819">
                            <a:extLst>
                              <a:ext uri="{28A0092B-C50C-407E-A947-70E740481C1C}">
                                <a14:useLocalDpi xmlns:a14="http://schemas.microsoft.com/office/drawing/2010/main" val="0"/>
                              </a:ext>
                            </a:extLst>
                          </a:blip>
                          <a:srcRect/>
                          <a:stretch>
                            <a:fillRect/>
                          </a:stretch>
                        </pic:blipFill>
                        <pic:spPr bwMode="auto">
                          <a:xfrm>
                            <a:off x="0" y="0"/>
                            <a:ext cx="2073275" cy="1552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63B69973" w14:textId="401BF3CF" w:rsidR="00C61B16" w:rsidRDefault="00C61B16" w:rsidP="00F6450E">
            <w:pPr>
              <w:jc w:val="center"/>
              <w:rPr>
                <w:lang w:val="en-GB"/>
              </w:rPr>
            </w:pPr>
          </w:p>
        </w:tc>
      </w:tr>
      <w:tr w:rsidR="0062292C" w14:paraId="1859FE9F" w14:textId="77777777" w:rsidTr="00C61B16">
        <w:tc>
          <w:tcPr>
            <w:tcW w:w="3472" w:type="dxa"/>
          </w:tcPr>
          <w:p w14:paraId="3BBCA9B5" w14:textId="2425A016" w:rsidR="0062292C" w:rsidRDefault="00C61B16" w:rsidP="00F6450E">
            <w:pPr>
              <w:jc w:val="center"/>
              <w:rPr>
                <w:lang w:val="en-GB"/>
              </w:rPr>
            </w:pPr>
            <w:r w:rsidRPr="00C61B16">
              <w:rPr>
                <w:noProof/>
              </w:rPr>
              <w:drawing>
                <wp:inline distT="0" distB="0" distL="0" distR="0" wp14:anchorId="527B362C" wp14:editId="5BDA0914">
                  <wp:extent cx="1892300" cy="1416050"/>
                  <wp:effectExtent l="0" t="0" r="0" b="0"/>
                  <wp:docPr id="68622" name="Picture 14" descr="C:\Users\LISAN\Pictures\plantes-halophytes-xerophiles\Atriplex halimu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22" name="Picture 14" descr="C:\Users\LISAN\Pictures\plantes-halophytes-xerophiles\Atriplex halimus3.jpg"/>
                          <pic:cNvPicPr>
                            <a:picLocks noChangeAspect="1" noChangeArrowheads="1"/>
                          </pic:cNvPicPr>
                        </pic:nvPicPr>
                        <pic:blipFill>
                          <a:blip r:embed="rId820">
                            <a:extLst>
                              <a:ext uri="{28A0092B-C50C-407E-A947-70E740481C1C}">
                                <a14:useLocalDpi xmlns:a14="http://schemas.microsoft.com/office/drawing/2010/main" val="0"/>
                              </a:ext>
                            </a:extLst>
                          </a:blip>
                          <a:srcRect/>
                          <a:stretch>
                            <a:fillRect/>
                          </a:stretch>
                        </pic:blipFill>
                        <pic:spPr bwMode="auto">
                          <a:xfrm>
                            <a:off x="0" y="0"/>
                            <a:ext cx="1892300" cy="141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gridSpan w:val="2"/>
          </w:tcPr>
          <w:p w14:paraId="4FC7535A" w14:textId="76B7ACDA" w:rsidR="0062292C" w:rsidRDefault="00C61B16" w:rsidP="00F6450E">
            <w:pPr>
              <w:jc w:val="center"/>
              <w:rPr>
                <w:lang w:val="en-GB"/>
              </w:rPr>
            </w:pPr>
            <w:r w:rsidRPr="00C61B16">
              <w:rPr>
                <w:noProof/>
              </w:rPr>
              <w:drawing>
                <wp:inline distT="0" distB="0" distL="0" distR="0" wp14:anchorId="7F6F0BF8" wp14:editId="622B3522">
                  <wp:extent cx="2016125" cy="1516063"/>
                  <wp:effectExtent l="0" t="0" r="3175" b="8255"/>
                  <wp:docPr id="68625" name="Picture 17" descr="C:\Users\LISAN\Pictures\plantes-halophytes-xerophiles\Atriplex_halimus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25" name="Picture 17" descr="C:\Users\LISAN\Pictures\plantes-halophytes-xerophiles\Atriplex_halimus_s.jpg"/>
                          <pic:cNvPicPr>
                            <a:picLocks noChangeAspect="1" noChangeArrowheads="1"/>
                          </pic:cNvPicPr>
                        </pic:nvPicPr>
                        <pic:blipFill>
                          <a:blip r:embed="rId821">
                            <a:extLst>
                              <a:ext uri="{28A0092B-C50C-407E-A947-70E740481C1C}">
                                <a14:useLocalDpi xmlns:a14="http://schemas.microsoft.com/office/drawing/2010/main" val="0"/>
                              </a:ext>
                            </a:extLst>
                          </a:blip>
                          <a:srcRect/>
                          <a:stretch>
                            <a:fillRect/>
                          </a:stretch>
                        </pic:blipFill>
                        <pic:spPr bwMode="auto">
                          <a:xfrm>
                            <a:off x="0" y="0"/>
                            <a:ext cx="2016125" cy="15160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2CD5924A" w14:textId="4A50AED8" w:rsidR="0062292C" w:rsidRDefault="00C61B16" w:rsidP="00F6450E">
            <w:pPr>
              <w:jc w:val="center"/>
              <w:rPr>
                <w:lang w:val="en-GB"/>
              </w:rPr>
            </w:pPr>
            <w:r w:rsidRPr="00C61B16">
              <w:rPr>
                <w:noProof/>
              </w:rPr>
              <w:drawing>
                <wp:inline distT="0" distB="0" distL="0" distR="0" wp14:anchorId="14506D43" wp14:editId="6C7C602E">
                  <wp:extent cx="1916113" cy="1916112"/>
                  <wp:effectExtent l="0" t="0" r="8255" b="8255"/>
                  <wp:docPr id="68620" name="Picture 12" descr="C:\Users\LISAN\Pictures\plantes-halophytes-xerophiles\Atriplex halimus_fleu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20" name="Picture 12" descr="C:\Users\LISAN\Pictures\plantes-halophytes-xerophiles\Atriplex halimus_fleurs.jpg"/>
                          <pic:cNvPicPr>
                            <a:picLocks noChangeAspect="1" noChangeArrowheads="1"/>
                          </pic:cNvPicPr>
                        </pic:nvPicPr>
                        <pic:blipFill>
                          <a:blip r:embed="rId822">
                            <a:extLst>
                              <a:ext uri="{28A0092B-C50C-407E-A947-70E740481C1C}">
                                <a14:useLocalDpi xmlns:a14="http://schemas.microsoft.com/office/drawing/2010/main" val="0"/>
                              </a:ext>
                            </a:extLst>
                          </a:blip>
                          <a:srcRect/>
                          <a:stretch>
                            <a:fillRect/>
                          </a:stretch>
                        </pic:blipFill>
                        <pic:spPr bwMode="auto">
                          <a:xfrm>
                            <a:off x="0" y="0"/>
                            <a:ext cx="1916113" cy="19161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3C664BC6" w14:textId="77777777" w:rsidR="0062292C" w:rsidRDefault="0062292C" w:rsidP="004A1E64">
      <w:pPr>
        <w:spacing w:after="0" w:line="240" w:lineRule="auto"/>
        <w:rPr>
          <w:lang w:val="en-GB"/>
        </w:rPr>
      </w:pPr>
    </w:p>
    <w:p w14:paraId="6DD2B50B" w14:textId="77777777" w:rsidR="00E435ED" w:rsidRPr="00E435ED" w:rsidRDefault="00E435ED" w:rsidP="00D87D3F">
      <w:pPr>
        <w:pStyle w:val="Titre2"/>
      </w:pPr>
      <w:bookmarkStart w:id="90" w:name="_Toc139181381"/>
      <w:r w:rsidRPr="00E435ED">
        <w:t>Grande arroche (</w:t>
      </w:r>
      <w:r w:rsidRPr="00D87D3F">
        <w:rPr>
          <w:i/>
          <w:iCs/>
        </w:rPr>
        <w:t>Atriplex lentiformis</w:t>
      </w:r>
      <w:r w:rsidRPr="00E435ED">
        <w:t>)</w:t>
      </w:r>
      <w:bookmarkEnd w:id="90"/>
    </w:p>
    <w:p w14:paraId="477849D4" w14:textId="6B9032E3" w:rsidR="00E435ED" w:rsidRDefault="00E435ED" w:rsidP="00E435ED">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5"/>
        <w:gridCol w:w="2313"/>
        <w:gridCol w:w="1544"/>
        <w:gridCol w:w="415"/>
        <w:gridCol w:w="1379"/>
      </w:tblGrid>
      <w:tr w:rsidR="0030591D" w:rsidRPr="000B6BE3" w14:paraId="45A04478" w14:textId="77777777" w:rsidTr="005C76A4">
        <w:tc>
          <w:tcPr>
            <w:tcW w:w="4775" w:type="dxa"/>
          </w:tcPr>
          <w:p w14:paraId="0CB07448" w14:textId="77777777" w:rsidR="0030591D" w:rsidRPr="00DE2C3A" w:rsidRDefault="0030591D" w:rsidP="005C76A4">
            <w:pPr>
              <w:jc w:val="both"/>
              <w:rPr>
                <w:rFonts w:ascii="Calibri" w:hAnsi="Calibri" w:cs="Calibri"/>
                <w:bCs/>
              </w:rPr>
            </w:pPr>
            <w:r>
              <w:rPr>
                <w:rFonts w:ascii="Calibri" w:hAnsi="Calibri" w:cs="Calibri"/>
                <w:bCs/>
              </w:rPr>
              <w:t>(</w:t>
            </w:r>
            <w:r w:rsidRPr="00DE2C3A">
              <w:rPr>
                <w:rFonts w:ascii="Calibri" w:hAnsi="Calibri" w:cs="Calibri"/>
                <w:bCs/>
              </w:rPr>
              <w:t>Famille des</w:t>
            </w:r>
            <w:r>
              <w:rPr>
                <w:rFonts w:ascii="Calibri" w:hAnsi="Calibri" w:cs="Calibri"/>
              </w:rPr>
              <w:t xml:space="preserve"> </w:t>
            </w:r>
            <w:r w:rsidRPr="00F6450E">
              <w:rPr>
                <w:i/>
                <w:iCs/>
              </w:rPr>
              <w:t>Amaranthaceae</w:t>
            </w:r>
            <w:r>
              <w:rPr>
                <w:rFonts w:ascii="Calibri" w:hAnsi="Calibri" w:cs="Calibri"/>
                <w:bCs/>
              </w:rPr>
              <w:t>)</w:t>
            </w:r>
            <w:r w:rsidRPr="00DE2C3A">
              <w:rPr>
                <w:rFonts w:ascii="Calibri" w:hAnsi="Calibri" w:cs="Calibri"/>
                <w:bCs/>
              </w:rPr>
              <w:t>.</w:t>
            </w:r>
          </w:p>
          <w:p w14:paraId="6869AB98" w14:textId="77777777" w:rsidR="0030591D" w:rsidRPr="008F191E" w:rsidRDefault="0030591D" w:rsidP="005C76A4">
            <w:pPr>
              <w:rPr>
                <w:rFonts w:ascii="Calibri" w:hAnsi="Calibri" w:cs="Calibri"/>
                <w:bCs/>
              </w:rPr>
            </w:pPr>
          </w:p>
          <w:p w14:paraId="38E8E453" w14:textId="77777777" w:rsidR="0030591D" w:rsidRPr="000B6BE3" w:rsidRDefault="0030591D" w:rsidP="005C76A4">
            <w:pPr>
              <w:rPr>
                <w:rFonts w:cstheme="minorHAnsi"/>
              </w:rPr>
            </w:pPr>
          </w:p>
        </w:tc>
        <w:tc>
          <w:tcPr>
            <w:tcW w:w="2313" w:type="dxa"/>
          </w:tcPr>
          <w:p w14:paraId="598C1287" w14:textId="77777777" w:rsidR="0030591D" w:rsidRPr="000B6BE3" w:rsidRDefault="0030591D" w:rsidP="005C76A4">
            <w:pPr>
              <w:rPr>
                <w:rFonts w:cstheme="minorHAnsi"/>
              </w:rPr>
            </w:pPr>
            <w:r w:rsidRPr="000B6BE3">
              <w:rPr>
                <w:rFonts w:cstheme="minorHAnsi"/>
                <w:noProof/>
              </w:rPr>
              <w:t xml:space="preserve">  </w:t>
            </w:r>
            <w:r>
              <w:rPr>
                <w:rFonts w:cstheme="minorHAnsi"/>
                <w:noProof/>
              </w:rPr>
              <w:t xml:space="preserve">     </w:t>
            </w:r>
            <w:r w:rsidRPr="005C50C9">
              <w:rPr>
                <w:rFonts w:cstheme="minorHAnsi"/>
                <w:noProof/>
              </w:rPr>
              <w:drawing>
                <wp:inline distT="0" distB="0" distL="0" distR="0" wp14:anchorId="306F7E6B" wp14:editId="4051AC02">
                  <wp:extent cx="495300" cy="666750"/>
                  <wp:effectExtent l="0" t="0" r="0" b="0"/>
                  <wp:docPr id="39967" name="Image 15"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8" name="Image 15" descr="logo aride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w:t>
            </w:r>
            <w:r w:rsidRPr="008F2681">
              <w:rPr>
                <w:rFonts w:cstheme="minorHAnsi"/>
                <w:noProof/>
              </w:rPr>
              <w:drawing>
                <wp:inline distT="0" distB="0" distL="0" distR="0" wp14:anchorId="18409A1A" wp14:editId="016494F7">
                  <wp:extent cx="463550" cy="661988"/>
                  <wp:effectExtent l="0" t="0" r="0" b="5080"/>
                  <wp:docPr id="40960"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p>
        </w:tc>
        <w:tc>
          <w:tcPr>
            <w:tcW w:w="1544" w:type="dxa"/>
          </w:tcPr>
          <w:p w14:paraId="6DAF9EBB" w14:textId="5C24AE67" w:rsidR="0030591D" w:rsidRPr="002E01BB" w:rsidRDefault="0030591D" w:rsidP="005C76A4">
            <w:pPr>
              <w:rPr>
                <w:rFonts w:eastAsia="+mn-ea" w:cstheme="minorHAnsi"/>
                <w:b/>
                <w:bCs/>
                <w:color w:val="008000"/>
                <w:kern w:val="24"/>
                <w:sz w:val="56"/>
                <w:szCs w:val="56"/>
              </w:rPr>
            </w:pPr>
            <w:r w:rsidRPr="00D1445E">
              <w:rPr>
                <w:rFonts w:eastAsia="+mn-ea" w:cstheme="minorHAnsi"/>
                <w:b/>
                <w:bCs/>
                <w:color w:val="008000"/>
                <w:kern w:val="24"/>
                <w:sz w:val="56"/>
                <w:szCs w:val="56"/>
              </w:rPr>
              <w:t>U</w:t>
            </w:r>
          </w:p>
          <w:p w14:paraId="05695609" w14:textId="77777777" w:rsidR="0030591D" w:rsidRPr="000B6BE3" w:rsidRDefault="0030591D" w:rsidP="005C76A4">
            <w:pPr>
              <w:textAlignment w:val="baseline"/>
              <w:rPr>
                <w:rFonts w:cstheme="minorHAnsi"/>
              </w:rPr>
            </w:pPr>
          </w:p>
        </w:tc>
        <w:tc>
          <w:tcPr>
            <w:tcW w:w="415" w:type="dxa"/>
          </w:tcPr>
          <w:p w14:paraId="3516528A" w14:textId="77777777" w:rsidR="0030591D" w:rsidRPr="000B6BE3" w:rsidRDefault="0030591D" w:rsidP="005C76A4">
            <w:pPr>
              <w:rPr>
                <w:rFonts w:cstheme="minorHAnsi"/>
              </w:rPr>
            </w:pPr>
          </w:p>
        </w:tc>
        <w:tc>
          <w:tcPr>
            <w:tcW w:w="1379" w:type="dxa"/>
          </w:tcPr>
          <w:p w14:paraId="3469459C" w14:textId="77777777" w:rsidR="0030591D" w:rsidRPr="000B6BE3" w:rsidRDefault="0030591D" w:rsidP="005C76A4">
            <w:pPr>
              <w:rPr>
                <w:rFonts w:cstheme="minorHAnsi"/>
              </w:rPr>
            </w:pPr>
          </w:p>
        </w:tc>
      </w:tr>
    </w:tbl>
    <w:p w14:paraId="15FD126C" w14:textId="77777777" w:rsidR="0030591D" w:rsidRPr="00E435ED" w:rsidRDefault="0030591D" w:rsidP="00E435ED">
      <w:pPr>
        <w:spacing w:after="0" w:line="240" w:lineRule="auto"/>
        <w:jc w:val="both"/>
      </w:pPr>
    </w:p>
    <w:p w14:paraId="6CB513F8" w14:textId="3ECB56D4" w:rsidR="00E435ED" w:rsidRPr="00E435ED" w:rsidRDefault="00E435ED" w:rsidP="00E435ED">
      <w:pPr>
        <w:spacing w:after="0" w:line="240" w:lineRule="auto"/>
        <w:jc w:val="both"/>
      </w:pPr>
      <w:r w:rsidRPr="00E435ED">
        <w:rPr>
          <w:i/>
          <w:iCs/>
        </w:rPr>
        <w:t>Atriplex lentiformis</w:t>
      </w:r>
      <w:r w:rsidRPr="00E435ED">
        <w:t> est originaire du Sud-Ouest des États-Unis et le nord du Mexique, où elle pousse dans les habitats salins ou les sols alcalins, comme les marais salants et les lacs asséchés, sur le littoral, et dans les broussailles du désert. Il peut également être trouvée dans les sols annulaires non salins sur les berges et les bois.</w:t>
      </w:r>
    </w:p>
    <w:p w14:paraId="209BB228" w14:textId="6EBDE2C3" w:rsidR="00E435ED" w:rsidRPr="00E435ED" w:rsidRDefault="00E435ED" w:rsidP="00E435ED">
      <w:pPr>
        <w:spacing w:after="0" w:line="240" w:lineRule="auto"/>
        <w:jc w:val="both"/>
      </w:pPr>
      <w:r w:rsidRPr="00E435ED">
        <w:t>Cet arroche est un arbuste, fortement ramifié, atteignant un à trois mètres de hauteur et généralement plus en largeur.</w:t>
      </w:r>
      <w:r w:rsidR="00860B3E">
        <w:t xml:space="preserve"> </w:t>
      </w:r>
      <w:r w:rsidRPr="00E435ED">
        <w:t xml:space="preserve">Ce "Saltbush" peut atteindre 3,5 mètres (11 pi) de hauteur et de largeur dans les endroits les plus avantageuses, avec la forme d’une grande hémisphère aplatie, avec des hémisphères adjacentes fusionnant en un fourré impénétrable. Sa hauteur maximale est atteinte lorsqu’une source d’eau souterraine fournit une humidité abondante et les conditions de sol salin sont optimales. </w:t>
      </w:r>
      <w:r w:rsidR="00860B3E" w:rsidRPr="00860B3E">
        <w:t>Il</w:t>
      </w:r>
      <w:r w:rsidRPr="00E435ED">
        <w:t> est utilisé dans la restauration d’habitats riverains.</w:t>
      </w:r>
    </w:p>
    <w:p w14:paraId="100E5BB6" w14:textId="2FC92BD7" w:rsidR="00E435ED" w:rsidRDefault="00E435ED" w:rsidP="00E435ED">
      <w:pPr>
        <w:spacing w:after="0" w:line="240" w:lineRule="auto"/>
        <w:jc w:val="both"/>
      </w:pPr>
      <w:r w:rsidRPr="00E435ED">
        <w:lastRenderedPageBreak/>
        <w:t>Cependant, les espèces envahissantes _ le Tamaris - </w:t>
      </w:r>
      <w:r w:rsidRPr="00E435ED">
        <w:rPr>
          <w:i/>
          <w:iCs/>
        </w:rPr>
        <w:t>Tamarix ramosissima</w:t>
      </w:r>
      <w:r w:rsidRPr="00E435ED">
        <w:t> et le virevoltant ou Tumbleweed (de l'anglais, littéralement « l'herbe qui tourne »)  (</w:t>
      </w:r>
      <w:r w:rsidRPr="00E435ED">
        <w:rPr>
          <w:i/>
          <w:iCs/>
        </w:rPr>
        <w:t>Lechenaultia divaricata</w:t>
      </w:r>
      <w:r w:rsidRPr="00E435ED">
        <w:t>) et l’arroche rosée ou oracle Tumbling - </w:t>
      </w:r>
      <w:r w:rsidRPr="00E435ED">
        <w:rPr>
          <w:i/>
          <w:iCs/>
        </w:rPr>
        <w:t>Atriplex rosea</w:t>
      </w:r>
      <w:r w:rsidRPr="00E435ED">
        <w:t xml:space="preserve"> _ sont des concurrents problématiques [sérieux], pour cette plante.</w:t>
      </w:r>
    </w:p>
    <w:p w14:paraId="53A3A5DB" w14:textId="3E99D26A" w:rsidR="00F921A0" w:rsidRPr="00E435ED" w:rsidRDefault="00F921A0" w:rsidP="00E435ED">
      <w:pPr>
        <w:spacing w:after="0" w:line="240" w:lineRule="auto"/>
        <w:jc w:val="both"/>
      </w:pPr>
      <w:r w:rsidRPr="00F921A0">
        <w:rPr>
          <w:u w:val="single"/>
        </w:rPr>
        <w:t>Usage</w:t>
      </w:r>
      <w:r>
        <w:rPr>
          <w:u w:val="single"/>
        </w:rPr>
        <w:t>s</w:t>
      </w:r>
      <w:r>
        <w:t xml:space="preserve"> : </w:t>
      </w:r>
      <w:r w:rsidRPr="00F921A0">
        <w:t>Les Feuilles, jeunes pousses et les graines cuites sont comestibles. Mais la graine est plutôt petite et difficile à utiliser.</w:t>
      </w:r>
    </w:p>
    <w:p w14:paraId="11E10AEB" w14:textId="57DE1C97" w:rsidR="00E435ED" w:rsidRPr="00E435ED" w:rsidRDefault="00E435ED" w:rsidP="00E435ED">
      <w:pPr>
        <w:spacing w:after="0" w:line="240" w:lineRule="auto"/>
        <w:jc w:val="both"/>
      </w:pPr>
      <w:r w:rsidRPr="00E435ED">
        <w:t>Cette plante des prés salés (saltbush), A</w:t>
      </w:r>
      <w:r w:rsidRPr="00E435ED">
        <w:rPr>
          <w:i/>
          <w:iCs/>
        </w:rPr>
        <w:t>. lentiformis</w:t>
      </w:r>
      <w:r w:rsidRPr="00E435ED">
        <w:t>, et </w:t>
      </w:r>
      <w:r w:rsidRPr="00E435ED">
        <w:rPr>
          <w:i/>
          <w:iCs/>
        </w:rPr>
        <w:t>Atriplex canescens</w:t>
      </w:r>
      <w:r w:rsidRPr="00E435ED">
        <w:t xml:space="preserve"> sont des plantes alimentaires pour le papillon aux « ailes de suie » (« Sootywing ») </w:t>
      </w:r>
      <w:r w:rsidRPr="00E435ED">
        <w:rPr>
          <w:i/>
          <w:iCs/>
        </w:rPr>
        <w:t>Hesperopsis alpheus</w:t>
      </w:r>
      <w:r w:rsidRPr="00E435ED">
        <w:t>.</w:t>
      </w:r>
      <w:r w:rsidR="00F921A0">
        <w:t xml:space="preserve"> La plante supporte mal le gel.</w:t>
      </w:r>
    </w:p>
    <w:p w14:paraId="5F98099F" w14:textId="73CAD744" w:rsidR="00C61B16" w:rsidRPr="00F921A0" w:rsidRDefault="00E435ED" w:rsidP="00E435ED">
      <w:pPr>
        <w:spacing w:after="0" w:line="240" w:lineRule="auto"/>
        <w:jc w:val="both"/>
      </w:pPr>
      <w:r w:rsidRPr="00F921A0">
        <w:t xml:space="preserve">Sources : a) </w:t>
      </w:r>
      <w:hyperlink r:id="rId823" w:history="1">
        <w:r w:rsidRPr="00F921A0">
          <w:rPr>
            <w:rStyle w:val="Lienhypertexte"/>
          </w:rPr>
          <w:t>http://en.wikipedia.org/wiki/Atriplex_lentiformis</w:t>
        </w:r>
      </w:hyperlink>
    </w:p>
    <w:p w14:paraId="12BCDAE2" w14:textId="7EAE8E4D" w:rsidR="00E435ED" w:rsidRDefault="00860B3E" w:rsidP="00E435ED">
      <w:pPr>
        <w:spacing w:after="0" w:line="240" w:lineRule="auto"/>
        <w:jc w:val="both"/>
        <w:rPr>
          <w:lang w:val="en-GB"/>
        </w:rPr>
      </w:pPr>
      <w:r>
        <w:rPr>
          <w:lang w:val="en-GB"/>
        </w:rPr>
        <w:t xml:space="preserve">b) </w:t>
      </w:r>
      <w:hyperlink r:id="rId824" w:history="1">
        <w:r w:rsidRPr="00EE130C">
          <w:rPr>
            <w:rStyle w:val="Lienhypertexte"/>
            <w:lang w:val="en-GB"/>
          </w:rPr>
          <w:t>https://pfaf.org/user/Plant.aspx?LatinName=Atriplex+lentiformi</w:t>
        </w:r>
      </w:hyperlink>
      <w:r>
        <w:rPr>
          <w:lang w:val="en-GB"/>
        </w:rPr>
        <w:t xml:space="preserve"> </w:t>
      </w:r>
    </w:p>
    <w:p w14:paraId="408189F8" w14:textId="77777777" w:rsidR="00860B3E" w:rsidRDefault="00860B3E" w:rsidP="00E435ED">
      <w:pPr>
        <w:spacing w:after="0" w:line="240" w:lineRule="auto"/>
        <w:jc w:val="both"/>
        <w:rPr>
          <w:lang w:val="en-G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1736"/>
        <w:gridCol w:w="1736"/>
        <w:gridCol w:w="3472"/>
      </w:tblGrid>
      <w:tr w:rsidR="0030591D" w14:paraId="67AB2D37" w14:textId="77777777" w:rsidTr="00C55C26">
        <w:tc>
          <w:tcPr>
            <w:tcW w:w="3472" w:type="dxa"/>
          </w:tcPr>
          <w:p w14:paraId="26BA09CC" w14:textId="691F528C" w:rsidR="0030591D" w:rsidRDefault="0030591D" w:rsidP="0030591D">
            <w:pPr>
              <w:jc w:val="center"/>
              <w:rPr>
                <w:lang w:val="en-GB"/>
              </w:rPr>
            </w:pPr>
            <w:r w:rsidRPr="0030591D">
              <w:rPr>
                <w:noProof/>
              </w:rPr>
              <w:drawing>
                <wp:inline distT="0" distB="0" distL="0" distR="0" wp14:anchorId="71AEC4FC" wp14:editId="58C7E89D">
                  <wp:extent cx="2005013" cy="1468437"/>
                  <wp:effectExtent l="0" t="0" r="0" b="0"/>
                  <wp:docPr id="69647" name="Picture 15" descr="C:\Users\LISAN\Pictures\plantes-halophytes-xerophiles\Atriplex lentiformi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47" name="Picture 15" descr="C:\Users\LISAN\Pictures\plantes-halophytes-xerophiles\Atriplex lentiformis4.jpg"/>
                          <pic:cNvPicPr>
                            <a:picLocks noChangeAspect="1" noChangeArrowheads="1"/>
                          </pic:cNvPicPr>
                        </pic:nvPicPr>
                        <pic:blipFill>
                          <a:blip r:embed="rId825">
                            <a:extLst>
                              <a:ext uri="{28A0092B-C50C-407E-A947-70E740481C1C}">
                                <a14:useLocalDpi xmlns:a14="http://schemas.microsoft.com/office/drawing/2010/main" val="0"/>
                              </a:ext>
                            </a:extLst>
                          </a:blip>
                          <a:srcRect/>
                          <a:stretch>
                            <a:fillRect/>
                          </a:stretch>
                        </pic:blipFill>
                        <pic:spPr bwMode="auto">
                          <a:xfrm>
                            <a:off x="0" y="0"/>
                            <a:ext cx="2005013" cy="14684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gridSpan w:val="2"/>
          </w:tcPr>
          <w:p w14:paraId="7E534D27" w14:textId="77777777" w:rsidR="0030591D" w:rsidRDefault="0030591D" w:rsidP="0030591D">
            <w:pPr>
              <w:jc w:val="center"/>
              <w:rPr>
                <w:lang w:val="en-GB"/>
              </w:rPr>
            </w:pPr>
            <w:r w:rsidRPr="0030591D">
              <w:rPr>
                <w:noProof/>
              </w:rPr>
              <w:drawing>
                <wp:inline distT="0" distB="0" distL="0" distR="0" wp14:anchorId="49DAEC8E" wp14:editId="6EB1D960">
                  <wp:extent cx="1416050" cy="1890713"/>
                  <wp:effectExtent l="0" t="0" r="0" b="0"/>
                  <wp:docPr id="69645" name="Picture 13" descr="C:\Users\LISAN\Pictures\plantes-halophytes-xerophiles\Atriplex lentiformi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45" name="Picture 13" descr="C:\Users\LISAN\Pictures\plantes-halophytes-xerophiles\Atriplex lentiformis2.jpg"/>
                          <pic:cNvPicPr>
                            <a:picLocks noChangeAspect="1" noChangeArrowheads="1"/>
                          </pic:cNvPicPr>
                        </pic:nvPicPr>
                        <pic:blipFill>
                          <a:blip r:embed="rId826">
                            <a:extLst>
                              <a:ext uri="{28A0092B-C50C-407E-A947-70E740481C1C}">
                                <a14:useLocalDpi xmlns:a14="http://schemas.microsoft.com/office/drawing/2010/main" val="0"/>
                              </a:ext>
                            </a:extLst>
                          </a:blip>
                          <a:srcRect/>
                          <a:stretch>
                            <a:fillRect/>
                          </a:stretch>
                        </pic:blipFill>
                        <pic:spPr bwMode="auto">
                          <a:xfrm>
                            <a:off x="0" y="0"/>
                            <a:ext cx="1416050" cy="18907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A169945" w14:textId="5639B14A" w:rsidR="00C55C26" w:rsidRDefault="00C55C26" w:rsidP="0030591D">
            <w:pPr>
              <w:jc w:val="center"/>
              <w:rPr>
                <w:lang w:val="en-GB"/>
              </w:rPr>
            </w:pPr>
          </w:p>
        </w:tc>
        <w:tc>
          <w:tcPr>
            <w:tcW w:w="3472" w:type="dxa"/>
          </w:tcPr>
          <w:p w14:paraId="6002D4D1" w14:textId="62109A7D" w:rsidR="0030591D" w:rsidRDefault="0030591D" w:rsidP="0030591D">
            <w:pPr>
              <w:jc w:val="center"/>
              <w:rPr>
                <w:lang w:val="en-GB"/>
              </w:rPr>
            </w:pPr>
            <w:r w:rsidRPr="0030591D">
              <w:rPr>
                <w:noProof/>
              </w:rPr>
              <w:drawing>
                <wp:inline distT="0" distB="0" distL="0" distR="0" wp14:anchorId="320391AA" wp14:editId="4DF801F2">
                  <wp:extent cx="1392238" cy="1220788"/>
                  <wp:effectExtent l="0" t="0" r="0" b="0"/>
                  <wp:docPr id="69643" name="Picture 11" descr="C:\Users\LISAN\Pictures\plantes-halophytes-xerophiles\Atriplex_lentiformis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43" name="Picture 11" descr="C:\Users\LISAN\Pictures\plantes-halophytes-xerophiles\Atriplex_lentiformis_2.jpg"/>
                          <pic:cNvPicPr>
                            <a:picLocks noChangeAspect="1" noChangeArrowheads="1"/>
                          </pic:cNvPicPr>
                        </pic:nvPicPr>
                        <pic:blipFill>
                          <a:blip r:embed="rId827">
                            <a:extLst>
                              <a:ext uri="{28A0092B-C50C-407E-A947-70E740481C1C}">
                                <a14:useLocalDpi xmlns:a14="http://schemas.microsoft.com/office/drawing/2010/main" val="0"/>
                              </a:ext>
                            </a:extLst>
                          </a:blip>
                          <a:srcRect/>
                          <a:stretch>
                            <a:fillRect/>
                          </a:stretch>
                        </pic:blipFill>
                        <pic:spPr bwMode="auto">
                          <a:xfrm>
                            <a:off x="0" y="0"/>
                            <a:ext cx="1392238" cy="12207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30591D" w14:paraId="3833771F" w14:textId="77777777" w:rsidTr="00C55C26">
        <w:tc>
          <w:tcPr>
            <w:tcW w:w="5208" w:type="dxa"/>
            <w:gridSpan w:val="2"/>
          </w:tcPr>
          <w:p w14:paraId="5A98593D" w14:textId="3F17CCF1" w:rsidR="0030591D" w:rsidRDefault="0030591D" w:rsidP="0030591D">
            <w:pPr>
              <w:jc w:val="center"/>
              <w:rPr>
                <w:lang w:val="en-GB"/>
              </w:rPr>
            </w:pPr>
            <w:r w:rsidRPr="0030591D">
              <w:rPr>
                <w:noProof/>
              </w:rPr>
              <w:drawing>
                <wp:inline distT="0" distB="0" distL="0" distR="0" wp14:anchorId="0F1E1C89" wp14:editId="1139653A">
                  <wp:extent cx="2466975" cy="1847850"/>
                  <wp:effectExtent l="0" t="0" r="9525" b="0"/>
                  <wp:docPr id="69646" name="Picture 14" descr="C:\Users\LISAN\Pictures\plantes-halophytes-xerophiles\Atriplex lentiformi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46" name="Picture 14" descr="C:\Users\LISAN\Pictures\plantes-halophytes-xerophiles\Atriplex lentiformis3.jpg"/>
                          <pic:cNvPicPr>
                            <a:picLocks noChangeAspect="1" noChangeArrowheads="1"/>
                          </pic:cNvPicPr>
                        </pic:nvPicPr>
                        <pic:blipFill>
                          <a:blip r:embed="rId828">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208" w:type="dxa"/>
            <w:gridSpan w:val="2"/>
          </w:tcPr>
          <w:p w14:paraId="21A453E7" w14:textId="3AA84FD2" w:rsidR="0030591D" w:rsidRDefault="0030591D" w:rsidP="0030591D">
            <w:pPr>
              <w:jc w:val="center"/>
              <w:rPr>
                <w:lang w:val="en-GB"/>
              </w:rPr>
            </w:pPr>
            <w:r w:rsidRPr="0030591D">
              <w:rPr>
                <w:noProof/>
              </w:rPr>
              <w:drawing>
                <wp:inline distT="0" distB="0" distL="0" distR="0" wp14:anchorId="660B0C65" wp14:editId="50E7681D">
                  <wp:extent cx="2819400" cy="1619250"/>
                  <wp:effectExtent l="0" t="0" r="0" b="0"/>
                  <wp:docPr id="69644" name="Picture 12" descr="C:\Users\LISAN\Pictures\plantes-halophytes-xerophiles\Atriplex lentiform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44" name="Picture 12" descr="C:\Users\LISAN\Pictures\plantes-halophytes-xerophiles\Atriplex lentiformis.jpg"/>
                          <pic:cNvPicPr>
                            <a:picLocks noChangeAspect="1" noChangeArrowheads="1"/>
                          </pic:cNvPicPr>
                        </pic:nvPicPr>
                        <pic:blipFill>
                          <a:blip r:embed="rId829">
                            <a:extLst>
                              <a:ext uri="{28A0092B-C50C-407E-A947-70E740481C1C}">
                                <a14:useLocalDpi xmlns:a14="http://schemas.microsoft.com/office/drawing/2010/main" val="0"/>
                              </a:ext>
                            </a:extLst>
                          </a:blip>
                          <a:srcRect/>
                          <a:stretch>
                            <a:fillRect/>
                          </a:stretch>
                        </pic:blipFill>
                        <pic:spPr bwMode="auto">
                          <a:xfrm>
                            <a:off x="0" y="0"/>
                            <a:ext cx="2819400" cy="1619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0273EBF1" w14:textId="77777777" w:rsidR="0030591D" w:rsidRDefault="0030591D" w:rsidP="0030591D">
      <w:pPr>
        <w:spacing w:after="0" w:line="240" w:lineRule="auto"/>
        <w:jc w:val="center"/>
        <w:rPr>
          <w:lang w:val="en-GB"/>
        </w:rPr>
      </w:pPr>
    </w:p>
    <w:p w14:paraId="701543FC" w14:textId="77777777" w:rsidR="009F0A5A" w:rsidRPr="00D87D3F" w:rsidRDefault="009F0A5A" w:rsidP="00D87D3F">
      <w:pPr>
        <w:pStyle w:val="Titre2"/>
        <w:rPr>
          <w:i/>
          <w:iCs/>
        </w:rPr>
      </w:pPr>
      <w:bookmarkStart w:id="91" w:name="_Toc139181382"/>
      <w:r w:rsidRPr="00D87D3F">
        <w:rPr>
          <w:i/>
          <w:iCs/>
        </w:rPr>
        <w:t>Atriplex nummularia</w:t>
      </w:r>
      <w:bookmarkEnd w:id="91"/>
    </w:p>
    <w:p w14:paraId="7ADE0F35" w14:textId="29B1596E" w:rsidR="009F0A5A" w:rsidRDefault="009F0A5A" w:rsidP="009F0A5A">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5"/>
        <w:gridCol w:w="2313"/>
        <w:gridCol w:w="1544"/>
        <w:gridCol w:w="415"/>
        <w:gridCol w:w="1379"/>
      </w:tblGrid>
      <w:tr w:rsidR="009F0A5A" w:rsidRPr="000B6BE3" w14:paraId="19F184A1" w14:textId="77777777" w:rsidTr="005C76A4">
        <w:tc>
          <w:tcPr>
            <w:tcW w:w="4775" w:type="dxa"/>
          </w:tcPr>
          <w:p w14:paraId="60C73341" w14:textId="77777777" w:rsidR="009F0A5A" w:rsidRPr="00DE2C3A" w:rsidRDefault="009F0A5A" w:rsidP="005C76A4">
            <w:pPr>
              <w:jc w:val="both"/>
              <w:rPr>
                <w:rFonts w:ascii="Calibri" w:hAnsi="Calibri" w:cs="Calibri"/>
                <w:bCs/>
              </w:rPr>
            </w:pPr>
            <w:r>
              <w:rPr>
                <w:rFonts w:ascii="Calibri" w:hAnsi="Calibri" w:cs="Calibri"/>
                <w:bCs/>
              </w:rPr>
              <w:t>(</w:t>
            </w:r>
            <w:r w:rsidRPr="00DE2C3A">
              <w:rPr>
                <w:rFonts w:ascii="Calibri" w:hAnsi="Calibri" w:cs="Calibri"/>
                <w:bCs/>
              </w:rPr>
              <w:t>Famille des</w:t>
            </w:r>
            <w:r>
              <w:rPr>
                <w:rFonts w:ascii="Calibri" w:hAnsi="Calibri" w:cs="Calibri"/>
              </w:rPr>
              <w:t xml:space="preserve"> </w:t>
            </w:r>
            <w:r w:rsidRPr="00F6450E">
              <w:rPr>
                <w:i/>
                <w:iCs/>
              </w:rPr>
              <w:t>Amaranthaceae</w:t>
            </w:r>
            <w:r>
              <w:rPr>
                <w:rFonts w:ascii="Calibri" w:hAnsi="Calibri" w:cs="Calibri"/>
                <w:bCs/>
              </w:rPr>
              <w:t>)</w:t>
            </w:r>
            <w:r w:rsidRPr="00DE2C3A">
              <w:rPr>
                <w:rFonts w:ascii="Calibri" w:hAnsi="Calibri" w:cs="Calibri"/>
                <w:bCs/>
              </w:rPr>
              <w:t>.</w:t>
            </w:r>
          </w:p>
          <w:p w14:paraId="550640D8" w14:textId="77777777" w:rsidR="009F0A5A" w:rsidRPr="008F191E" w:rsidRDefault="009F0A5A" w:rsidP="005C76A4">
            <w:pPr>
              <w:rPr>
                <w:rFonts w:ascii="Calibri" w:hAnsi="Calibri" w:cs="Calibri"/>
                <w:bCs/>
              </w:rPr>
            </w:pPr>
          </w:p>
          <w:p w14:paraId="6BF27E73" w14:textId="77777777" w:rsidR="009F0A5A" w:rsidRPr="000B6BE3" w:rsidRDefault="009F0A5A" w:rsidP="005C76A4">
            <w:pPr>
              <w:rPr>
                <w:rFonts w:cstheme="minorHAnsi"/>
              </w:rPr>
            </w:pPr>
          </w:p>
        </w:tc>
        <w:tc>
          <w:tcPr>
            <w:tcW w:w="2313" w:type="dxa"/>
          </w:tcPr>
          <w:p w14:paraId="50E9F5C4" w14:textId="77777777" w:rsidR="009F0A5A" w:rsidRPr="000B6BE3" w:rsidRDefault="009F0A5A" w:rsidP="005C76A4">
            <w:pPr>
              <w:rPr>
                <w:rFonts w:cstheme="minorHAnsi"/>
              </w:rPr>
            </w:pPr>
            <w:r w:rsidRPr="000B6BE3">
              <w:rPr>
                <w:rFonts w:cstheme="minorHAnsi"/>
                <w:noProof/>
              </w:rPr>
              <w:t xml:space="preserve">  </w:t>
            </w:r>
            <w:r>
              <w:rPr>
                <w:rFonts w:cstheme="minorHAnsi"/>
                <w:noProof/>
              </w:rPr>
              <w:t xml:space="preserve">     </w:t>
            </w:r>
            <w:r w:rsidRPr="005C50C9">
              <w:rPr>
                <w:rFonts w:cstheme="minorHAnsi"/>
                <w:noProof/>
              </w:rPr>
              <w:drawing>
                <wp:inline distT="0" distB="0" distL="0" distR="0" wp14:anchorId="6179D094" wp14:editId="1943B188">
                  <wp:extent cx="495300" cy="666750"/>
                  <wp:effectExtent l="0" t="0" r="0" b="0"/>
                  <wp:docPr id="40961" name="Image 15"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8" name="Image 15" descr="logo aride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w:t>
            </w:r>
            <w:r w:rsidRPr="008F2681">
              <w:rPr>
                <w:rFonts w:cstheme="minorHAnsi"/>
                <w:noProof/>
              </w:rPr>
              <w:drawing>
                <wp:inline distT="0" distB="0" distL="0" distR="0" wp14:anchorId="54FE7A3C" wp14:editId="41A422BE">
                  <wp:extent cx="463550" cy="661988"/>
                  <wp:effectExtent l="0" t="0" r="0" b="5080"/>
                  <wp:docPr id="40962"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p>
        </w:tc>
        <w:tc>
          <w:tcPr>
            <w:tcW w:w="1544" w:type="dxa"/>
          </w:tcPr>
          <w:p w14:paraId="3A8640F0" w14:textId="77777777" w:rsidR="009F0A5A" w:rsidRPr="002E01BB" w:rsidRDefault="009F0A5A" w:rsidP="005C76A4">
            <w:pPr>
              <w:rPr>
                <w:rFonts w:eastAsia="+mn-ea" w:cstheme="minorHAnsi"/>
                <w:b/>
                <w:bCs/>
                <w:color w:val="008000"/>
                <w:kern w:val="24"/>
                <w:sz w:val="56"/>
                <w:szCs w:val="56"/>
              </w:rPr>
            </w:pPr>
            <w:r w:rsidRPr="00D1445E">
              <w:rPr>
                <w:rFonts w:eastAsia="+mn-ea" w:cstheme="minorHAnsi"/>
                <w:b/>
                <w:bCs/>
                <w:color w:val="008000"/>
                <w:kern w:val="24"/>
                <w:sz w:val="56"/>
                <w:szCs w:val="56"/>
              </w:rPr>
              <w:t>U</w:t>
            </w:r>
          </w:p>
          <w:p w14:paraId="4B75FDC5" w14:textId="77777777" w:rsidR="009F0A5A" w:rsidRPr="000B6BE3" w:rsidRDefault="009F0A5A" w:rsidP="005C76A4">
            <w:pPr>
              <w:textAlignment w:val="baseline"/>
              <w:rPr>
                <w:rFonts w:cstheme="minorHAnsi"/>
              </w:rPr>
            </w:pPr>
          </w:p>
        </w:tc>
        <w:tc>
          <w:tcPr>
            <w:tcW w:w="415" w:type="dxa"/>
          </w:tcPr>
          <w:p w14:paraId="08954C75" w14:textId="77777777" w:rsidR="009F0A5A" w:rsidRPr="000B6BE3" w:rsidRDefault="009F0A5A" w:rsidP="005C76A4">
            <w:pPr>
              <w:rPr>
                <w:rFonts w:cstheme="minorHAnsi"/>
              </w:rPr>
            </w:pPr>
          </w:p>
        </w:tc>
        <w:tc>
          <w:tcPr>
            <w:tcW w:w="1379" w:type="dxa"/>
          </w:tcPr>
          <w:p w14:paraId="62A2C878" w14:textId="77777777" w:rsidR="009F0A5A" w:rsidRPr="000B6BE3" w:rsidRDefault="009F0A5A" w:rsidP="005C76A4">
            <w:pPr>
              <w:rPr>
                <w:rFonts w:cstheme="minorHAnsi"/>
              </w:rPr>
            </w:pPr>
          </w:p>
        </w:tc>
      </w:tr>
    </w:tbl>
    <w:p w14:paraId="13C0A6AF" w14:textId="77777777" w:rsidR="009F0A5A" w:rsidRPr="009F0A5A" w:rsidRDefault="009F0A5A" w:rsidP="009F0A5A">
      <w:pPr>
        <w:spacing w:after="0" w:line="240" w:lineRule="auto"/>
        <w:jc w:val="both"/>
      </w:pPr>
    </w:p>
    <w:p w14:paraId="33FA5D6A" w14:textId="3DD032DE" w:rsidR="009F0A5A" w:rsidRPr="009F0A5A" w:rsidRDefault="009F0A5A" w:rsidP="009F0A5A">
      <w:pPr>
        <w:spacing w:after="0" w:line="240" w:lineRule="auto"/>
        <w:jc w:val="both"/>
      </w:pPr>
      <w:r w:rsidRPr="009F0A5A">
        <w:t xml:space="preserve">Cet arbuste vivace, ramifié, à feuilles persistantes d'un vert grisâtre, à croissance lente, atteignant des hauteurs comprises entre 1 et 3 mètres et des diamètres allant jusqu'à trois mètres, est originaire d'Australie, poussant sur tout le continent australien, sauf la Tasmanie, dans les zones méditerranéennes arides et semi-arides (précipitations allant de 250 mm à 600 mm par an). On la trouve ailleurs en Océanie, ainsi que dans l'île de Taiwan. Elle a été introduite dans d'autres régions du globe, pour des usages variés, notamment en Afrique du Sud, depuis le début du </w:t>
      </w:r>
      <w:r w:rsidR="00B62398">
        <w:t>XX</w:t>
      </w:r>
      <w:r w:rsidRPr="009F0A5A">
        <w:t>e siècle, au sud-ouest du désert américain et au nord du Mexique.</w:t>
      </w:r>
    </w:p>
    <w:p w14:paraId="26DE7A69" w14:textId="6B3C5B19" w:rsidR="009F0A5A" w:rsidRPr="009F0A5A" w:rsidRDefault="009F0A5A" w:rsidP="009F0A5A">
      <w:pPr>
        <w:spacing w:after="0" w:line="240" w:lineRule="auto"/>
        <w:jc w:val="both"/>
      </w:pPr>
      <w:r w:rsidRPr="009F0A5A">
        <w:lastRenderedPageBreak/>
        <w:t xml:space="preserve">Le système racinaire </w:t>
      </w:r>
      <w:r w:rsidR="00F921A0" w:rsidRPr="009F0A5A">
        <w:t>subérifié</w:t>
      </w:r>
      <w:r w:rsidR="00741674">
        <w:rPr>
          <w:rStyle w:val="Appelnotedebasdep"/>
        </w:rPr>
        <w:footnoteReference w:id="81"/>
      </w:r>
      <w:r w:rsidR="00741674">
        <w:t>,</w:t>
      </w:r>
      <w:r w:rsidRPr="009F0A5A">
        <w:t xml:space="preserve"> comporte une racine pivotante très développée, avec des racines latérales horizontales. Les feuilles alternes épaisses, ovales à triangulaires arrondies, sont aromatiques, coriaces, ondulées et, parfois, dentées de terne, mesurant de 2 à 7 centimètres de long et 1 à 4 cm de large. Les fleurs mâles, petites, rondes, de couleur jaune-brun, sont organisées en panicules de 7,5 cm à 10 cm de long. Les fleurs femelles, peu colorées, sont situées à l'aisselle des feuilles ou en inflorescences terminales ramifiées, denses et épaisses.</w:t>
      </w:r>
    </w:p>
    <w:p w14:paraId="400ACBE3" w14:textId="31347D2E" w:rsidR="009F0A5A" w:rsidRPr="009F0A5A" w:rsidRDefault="00B62398" w:rsidP="009F0A5A">
      <w:pPr>
        <w:spacing w:after="0" w:line="240" w:lineRule="auto"/>
        <w:jc w:val="both"/>
      </w:pPr>
      <w:r w:rsidRPr="00B62398">
        <w:rPr>
          <w:u w:val="single"/>
        </w:rPr>
        <w:t>Ecologie</w:t>
      </w:r>
      <w:r>
        <w:t xml:space="preserve"> : </w:t>
      </w:r>
      <w:r w:rsidR="009F0A5A" w:rsidRPr="009F0A5A">
        <w:t>Cette plante fourragère pousse généralement sur les sols argileux et salins des basses terres, comme les plaines inondables, en dessous de 400 m d'altitude, mais peut aussi se rencontrer dans les sous-bois d'eucalyptus.</w:t>
      </w:r>
    </w:p>
    <w:p w14:paraId="793C90B6" w14:textId="77777777" w:rsidR="009F0A5A" w:rsidRPr="009F0A5A" w:rsidRDefault="009F0A5A" w:rsidP="009F0A5A">
      <w:pPr>
        <w:spacing w:after="0" w:line="240" w:lineRule="auto"/>
        <w:jc w:val="both"/>
      </w:pPr>
      <w:r w:rsidRPr="009F0A5A">
        <w:t>En cas d'aridité, elle peut atteindre l'humidité de la nappe souterraine, jusqu'à 10 m de profondeur. Elle a une grande efficacité dans l'utilisation de l'eau. Dans le Karoo, en Afrique du Sud, celle-ci atteint 4 kg de matière sèche par m³ d'eau. Elle résiste très bien aux températures élevées, avec une photosynthèse optimale entre 30 et 35 °C. Elle supporte des températures descendant jusqu'à - 8 à - 12 °C, pendant quelques heures, mais des températures hivernales très basses provoquent la mort de la plante. Elle résiste également bien au feu et supporte la sécheresse ; elle peut survivre avec des précipitations annuelles apportant seulement 50 mm d'eau. Elle a une durée de vie d'environ quinze ans.</w:t>
      </w:r>
    </w:p>
    <w:p w14:paraId="2388A0BD" w14:textId="77777777" w:rsidR="009F0A5A" w:rsidRPr="009F0A5A" w:rsidRDefault="009F0A5A" w:rsidP="009F0A5A">
      <w:pPr>
        <w:spacing w:after="0" w:line="240" w:lineRule="auto"/>
        <w:jc w:val="both"/>
      </w:pPr>
      <w:r w:rsidRPr="00F921A0">
        <w:rPr>
          <w:u w:val="single"/>
        </w:rPr>
        <w:t>Fourrage</w:t>
      </w:r>
      <w:r w:rsidRPr="009F0A5A">
        <w:t xml:space="preserve"> : Les animaux domestiques, notamment les caprins, mangent l'arroche nummulaire, plante halophyte adaptée aux milieux arides avec des sols salé. Ces arbustes sont utilisés comme fourrage pour les animaux, mais sa consommation peut être limitée par la concentration en sel dans les tissus de la plante. Les animaux ont alors besoin d'une ration quotidienne d'eau plus importante, afin de pouvoir éliminer les ions sodium Na+. La part de l'arroche nummulaire ne doit pas excéder 20 à 30 % du fourrage fourni au bétail. Une plantation d'arroche nummulaire peut alimenter 20 à 25 moutons par hectare durant quatre mois.</w:t>
      </w:r>
    </w:p>
    <w:p w14:paraId="4B8B27A2" w14:textId="77777777" w:rsidR="009F0A5A" w:rsidRPr="009F0A5A" w:rsidRDefault="009F0A5A" w:rsidP="009F0A5A">
      <w:pPr>
        <w:spacing w:after="0" w:line="240" w:lineRule="auto"/>
        <w:jc w:val="both"/>
      </w:pPr>
      <w:r w:rsidRPr="00F921A0">
        <w:rPr>
          <w:u w:val="single"/>
        </w:rPr>
        <w:t>Culture/reproduction</w:t>
      </w:r>
      <w:r w:rsidRPr="009F0A5A">
        <w:t xml:space="preserve"> : La plante peut être monoïque ou dioïque. Les plantes sont multipiées par bouturage ou semis. La température optimale de germination est comprise entre 15 et 20 °C. Le taux de germination est amélioré en frottant les graines sous l'eau courante pendant plusieurs minutes ou en les faisant tremper dans l'eau pendant au moins une heure, afin d'éliminer le sel qu'elles contiennent. </w:t>
      </w:r>
    </w:p>
    <w:p w14:paraId="347C5BCD" w14:textId="77777777" w:rsidR="009F0A5A" w:rsidRPr="009F0A5A" w:rsidRDefault="009F0A5A" w:rsidP="009F0A5A">
      <w:pPr>
        <w:spacing w:after="0" w:line="240" w:lineRule="auto"/>
        <w:jc w:val="both"/>
      </w:pPr>
      <w:r w:rsidRPr="009F0A5A">
        <w:t>Les graines sont lenticulaires, de 2 mm de diamètre, formées de deux feuillets écailleux parcheminés. Les feuillets contiennent une forte concentration de chlorure de sodium, qui inhibe la germination des graines. Ceux-ci doivent donc être lessivés par suffisamment d'eau, pour que la germination puisse commencer. La pollinisation est effectuée par le vent. La floraison a lieu au printemps, entre avril et juin.</w:t>
      </w:r>
    </w:p>
    <w:p w14:paraId="21DA9B2B" w14:textId="77777777" w:rsidR="009F0A5A" w:rsidRPr="009F0A5A" w:rsidRDefault="009F0A5A" w:rsidP="009F0A5A">
      <w:pPr>
        <w:spacing w:after="0" w:line="240" w:lineRule="auto"/>
        <w:jc w:val="both"/>
      </w:pPr>
      <w:r w:rsidRPr="009F0A5A">
        <w:t>Les boutures sont réalisées à partir de rameaux de 25 cm de long et d'au moins 6 mm de diamètre. On laisse un œil ou une feuille à l'extrémité du rameau. Celui-ci est planté dans une terre sablonneuse et arrosé régulièrement. Le nouveau système racinaire apparaît au bout de six semaines. Le repiquage est possible, après dix semaines, dans un mélange 2/5 terre, 2/5 compost et 1/5 sable.</w:t>
      </w:r>
    </w:p>
    <w:p w14:paraId="5A7F9656" w14:textId="77777777" w:rsidR="009F0A5A" w:rsidRPr="009F0A5A" w:rsidRDefault="009F0A5A" w:rsidP="009F0A5A">
      <w:pPr>
        <w:spacing w:after="0" w:line="240" w:lineRule="auto"/>
        <w:jc w:val="both"/>
      </w:pPr>
      <w:r w:rsidRPr="009F0A5A">
        <w:t>Les plançons nécessitent un arrosage. Cultivées en pépinières, les plantes sont repiquées en pots, dans lesquels elles demeurent jusqu'à avoir atteint une hauteur suffisante (10 à 15 cm) pour être transplantées sur le terrain, bien drainé et ensoleillé, clos (auxquels les animaux n'ont pas accès), à l'automne ou au début de l'hiver, au début de la saison des pluies.  La plante est prête à être utilisée comme fourrage la seconde ou la troisième année après la plantation en sol, lorsque sa hauteur atteint 1,5 m. La coupe s'effectue à au moins 50 cm du sol. La récolte est parfois donnée aux volailles.</w:t>
      </w:r>
    </w:p>
    <w:p w14:paraId="6BB759A6" w14:textId="77777777" w:rsidR="009F0A5A" w:rsidRPr="009F0A5A" w:rsidRDefault="009F0A5A" w:rsidP="009F0A5A">
      <w:pPr>
        <w:spacing w:after="0" w:line="240" w:lineRule="auto"/>
        <w:jc w:val="both"/>
      </w:pPr>
      <w:r w:rsidRPr="00B62398">
        <w:rPr>
          <w:u w:val="single"/>
        </w:rPr>
        <w:t>Stabilisation des sols</w:t>
      </w:r>
      <w:r w:rsidRPr="009F0A5A">
        <w:t xml:space="preserve"> : La plante sert dans le cadre des efforts de lutte contre le déboisement et la désertification (au Chili ...) et pour la stabilisation des dunes de sable (au Botswana ...).</w:t>
      </w:r>
    </w:p>
    <w:p w14:paraId="227FFD16" w14:textId="6AE6AB71" w:rsidR="00DF7929" w:rsidRDefault="009F0A5A" w:rsidP="009F0A5A">
      <w:pPr>
        <w:spacing w:after="0" w:line="240" w:lineRule="auto"/>
        <w:jc w:val="both"/>
      </w:pPr>
      <w:r w:rsidRPr="00B62398">
        <w:rPr>
          <w:u w:val="single"/>
        </w:rPr>
        <w:t>Autres emplois</w:t>
      </w:r>
      <w:r w:rsidRPr="009F0A5A">
        <w:t xml:space="preserve"> : Utilisée comme combustible, l'arroche nummulaire récupère en trois mois après la coupe. La plante est aussi utilisée comme haie coupe-vent, avec son feuillage ornemental résistant à la taille. Avec ses feuilles facilement visibles la nuit, elle est appropriée aux plantations en bordure de route. Les aborigènes d'Australie consomment </w:t>
      </w:r>
      <w:r w:rsidR="00B62398">
        <w:t>s</w:t>
      </w:r>
      <w:r w:rsidRPr="009F0A5A">
        <w:t>es graines.</w:t>
      </w:r>
    </w:p>
    <w:p w14:paraId="5D206751" w14:textId="21CCCB12" w:rsidR="00B62398" w:rsidRDefault="00B62398" w:rsidP="009F0A5A">
      <w:pPr>
        <w:spacing w:after="0" w:line="240" w:lineRule="auto"/>
        <w:jc w:val="both"/>
      </w:pPr>
      <w:r w:rsidRPr="00B62398">
        <w:rPr>
          <w:u w:val="single"/>
        </w:rPr>
        <w:t>Plante envahissante</w:t>
      </w:r>
      <w:r>
        <w:t xml:space="preserve"> : </w:t>
      </w:r>
      <w:r w:rsidRPr="009F0A5A">
        <w:t>elle classée plante invasive de catégorie 2</w:t>
      </w:r>
      <w:r>
        <w:t>,  en Afrique du Sud.</w:t>
      </w:r>
    </w:p>
    <w:p w14:paraId="276E78B1" w14:textId="77777777" w:rsidR="00E35FBC" w:rsidRDefault="00E35FBC" w:rsidP="009F0A5A">
      <w:pPr>
        <w:spacing w:after="0" w:line="240" w:lineRule="auto"/>
        <w:jc w:val="both"/>
      </w:pPr>
      <w:r>
        <w:t xml:space="preserve">Sources : a) </w:t>
      </w:r>
      <w:hyperlink r:id="rId830" w:history="1">
        <w:r w:rsidRPr="00CD78C9">
          <w:rPr>
            <w:rStyle w:val="Lienhypertexte"/>
          </w:rPr>
          <w:t>https://fr.wikipedia.org/wiki/Atriplex_nummularia</w:t>
        </w:r>
      </w:hyperlink>
      <w:r>
        <w:t xml:space="preserve">, </w:t>
      </w:r>
    </w:p>
    <w:p w14:paraId="7F21444F" w14:textId="4A11FA05" w:rsidR="00E35FBC" w:rsidRDefault="00E35FBC" w:rsidP="009F0A5A">
      <w:pPr>
        <w:spacing w:after="0" w:line="240" w:lineRule="auto"/>
        <w:jc w:val="both"/>
        <w:rPr>
          <w:lang w:val="en-GB"/>
        </w:rPr>
      </w:pPr>
      <w:r w:rsidRPr="00E35FBC">
        <w:rPr>
          <w:lang w:val="en-GB"/>
        </w:rPr>
        <w:t xml:space="preserve">b) </w:t>
      </w:r>
      <w:hyperlink r:id="rId831" w:history="1">
        <w:r w:rsidRPr="00CD78C9">
          <w:rPr>
            <w:rStyle w:val="Lienhypertexte"/>
            <w:lang w:val="en-GB"/>
          </w:rPr>
          <w:t>https://en.wikipedia.org/wiki/Atriplex_nummularia</w:t>
        </w:r>
      </w:hyperlink>
    </w:p>
    <w:p w14:paraId="586DE2DE" w14:textId="77777777" w:rsidR="00E35FBC" w:rsidRPr="00E35FBC" w:rsidRDefault="00E35FBC" w:rsidP="009F0A5A">
      <w:pPr>
        <w:spacing w:after="0" w:line="240" w:lineRule="auto"/>
        <w:jc w:val="both"/>
        <w:rPr>
          <w:lang w:val="en-G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0"/>
        <w:gridCol w:w="5256"/>
      </w:tblGrid>
      <w:tr w:rsidR="000153DB" w14:paraId="74387AD3" w14:textId="77777777" w:rsidTr="00A81202">
        <w:tc>
          <w:tcPr>
            <w:tcW w:w="5208" w:type="dxa"/>
          </w:tcPr>
          <w:p w14:paraId="0626C3A5" w14:textId="0968551E" w:rsidR="000153DB" w:rsidRDefault="001C6916" w:rsidP="00E35FBC">
            <w:pPr>
              <w:jc w:val="center"/>
              <w:rPr>
                <w:lang w:val="en-GB"/>
              </w:rPr>
            </w:pPr>
            <w:r>
              <w:rPr>
                <w:noProof/>
              </w:rPr>
              <w:drawing>
                <wp:inline distT="0" distB="0" distL="0" distR="0" wp14:anchorId="18E56A55" wp14:editId="578E1895">
                  <wp:extent cx="2555920" cy="1923811"/>
                  <wp:effectExtent l="0" t="0" r="0" b="635"/>
                  <wp:docPr id="40963" name="Image 40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32">
                            <a:extLst>
                              <a:ext uri="{28A0092B-C50C-407E-A947-70E740481C1C}">
                                <a14:useLocalDpi xmlns:a14="http://schemas.microsoft.com/office/drawing/2010/main" val="0"/>
                              </a:ext>
                            </a:extLst>
                          </a:blip>
                          <a:srcRect/>
                          <a:stretch>
                            <a:fillRect/>
                          </a:stretch>
                        </pic:blipFill>
                        <pic:spPr bwMode="auto">
                          <a:xfrm>
                            <a:off x="0" y="0"/>
                            <a:ext cx="2576020" cy="1938940"/>
                          </a:xfrm>
                          <a:prstGeom prst="rect">
                            <a:avLst/>
                          </a:prstGeom>
                          <a:noFill/>
                          <a:ln>
                            <a:noFill/>
                          </a:ln>
                        </pic:spPr>
                      </pic:pic>
                    </a:graphicData>
                  </a:graphic>
                </wp:inline>
              </w:drawing>
            </w:r>
          </w:p>
        </w:tc>
        <w:tc>
          <w:tcPr>
            <w:tcW w:w="5208" w:type="dxa"/>
          </w:tcPr>
          <w:p w14:paraId="1447B322" w14:textId="77777777" w:rsidR="000153DB" w:rsidRDefault="001C6916" w:rsidP="00E35FBC">
            <w:pPr>
              <w:jc w:val="center"/>
              <w:rPr>
                <w:lang w:val="en-GB"/>
              </w:rPr>
            </w:pPr>
            <w:r>
              <w:rPr>
                <w:noProof/>
              </w:rPr>
              <w:drawing>
                <wp:inline distT="0" distB="0" distL="0" distR="0" wp14:anchorId="49F0593F" wp14:editId="1457BDD6">
                  <wp:extent cx="2724150" cy="1862077"/>
                  <wp:effectExtent l="0" t="0" r="0" b="5080"/>
                  <wp:docPr id="40964" name="Image 40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33">
                            <a:extLst>
                              <a:ext uri="{28A0092B-C50C-407E-A947-70E740481C1C}">
                                <a14:useLocalDpi xmlns:a14="http://schemas.microsoft.com/office/drawing/2010/main" val="0"/>
                              </a:ext>
                            </a:extLst>
                          </a:blip>
                          <a:srcRect/>
                          <a:stretch>
                            <a:fillRect/>
                          </a:stretch>
                        </pic:blipFill>
                        <pic:spPr bwMode="auto">
                          <a:xfrm>
                            <a:off x="0" y="0"/>
                            <a:ext cx="2728185" cy="1864835"/>
                          </a:xfrm>
                          <a:prstGeom prst="rect">
                            <a:avLst/>
                          </a:prstGeom>
                          <a:noFill/>
                          <a:ln>
                            <a:noFill/>
                          </a:ln>
                        </pic:spPr>
                      </pic:pic>
                    </a:graphicData>
                  </a:graphic>
                </wp:inline>
              </w:drawing>
            </w:r>
          </w:p>
          <w:p w14:paraId="182C3D4D" w14:textId="67341682" w:rsidR="007843D7" w:rsidRDefault="007843D7" w:rsidP="00E35FBC">
            <w:pPr>
              <w:jc w:val="center"/>
              <w:rPr>
                <w:lang w:val="en-GB"/>
              </w:rPr>
            </w:pPr>
            <w:r>
              <w:rPr>
                <w:lang w:val="en-GB"/>
              </w:rPr>
              <w:t>Grand arbuste.</w:t>
            </w:r>
          </w:p>
        </w:tc>
      </w:tr>
      <w:tr w:rsidR="000153DB" w14:paraId="01350ABF" w14:textId="77777777" w:rsidTr="00A81202">
        <w:tc>
          <w:tcPr>
            <w:tcW w:w="5208" w:type="dxa"/>
          </w:tcPr>
          <w:p w14:paraId="615CD7E5" w14:textId="0CB70BDC" w:rsidR="007843D7" w:rsidRDefault="007843D7" w:rsidP="00E35FBC">
            <w:pPr>
              <w:jc w:val="center"/>
              <w:rPr>
                <w:lang w:val="en-GB"/>
              </w:rPr>
            </w:pPr>
            <w:r>
              <w:rPr>
                <w:noProof/>
              </w:rPr>
              <w:drawing>
                <wp:inline distT="0" distB="0" distL="0" distR="0" wp14:anchorId="1C058DB4" wp14:editId="13C5F904">
                  <wp:extent cx="2847108" cy="2133600"/>
                  <wp:effectExtent l="0" t="0" r="0" b="0"/>
                  <wp:docPr id="40965" name="Image 40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34">
                            <a:extLst>
                              <a:ext uri="{28A0092B-C50C-407E-A947-70E740481C1C}">
                                <a14:useLocalDpi xmlns:a14="http://schemas.microsoft.com/office/drawing/2010/main" val="0"/>
                              </a:ext>
                            </a:extLst>
                          </a:blip>
                          <a:srcRect/>
                          <a:stretch>
                            <a:fillRect/>
                          </a:stretch>
                        </pic:blipFill>
                        <pic:spPr bwMode="auto">
                          <a:xfrm>
                            <a:off x="0" y="0"/>
                            <a:ext cx="2859772" cy="2143090"/>
                          </a:xfrm>
                          <a:prstGeom prst="rect">
                            <a:avLst/>
                          </a:prstGeom>
                          <a:noFill/>
                          <a:ln>
                            <a:noFill/>
                          </a:ln>
                        </pic:spPr>
                      </pic:pic>
                    </a:graphicData>
                  </a:graphic>
                </wp:inline>
              </w:drawing>
            </w:r>
          </w:p>
          <w:p w14:paraId="656C9187" w14:textId="77777777" w:rsidR="000153DB" w:rsidRDefault="007843D7" w:rsidP="00E35FBC">
            <w:pPr>
              <w:jc w:val="center"/>
              <w:rPr>
                <w:lang w:val="en-GB"/>
              </w:rPr>
            </w:pPr>
            <w:r w:rsidRPr="007843D7">
              <w:rPr>
                <w:lang w:val="en-GB"/>
              </w:rPr>
              <w:t>Fruits et fleurs</w:t>
            </w:r>
          </w:p>
          <w:p w14:paraId="35CCF846" w14:textId="578D5E6E" w:rsidR="00B62398" w:rsidRDefault="00B62398" w:rsidP="00E35FBC">
            <w:pPr>
              <w:jc w:val="center"/>
              <w:rPr>
                <w:lang w:val="en-GB"/>
              </w:rPr>
            </w:pPr>
          </w:p>
        </w:tc>
        <w:tc>
          <w:tcPr>
            <w:tcW w:w="5208" w:type="dxa"/>
          </w:tcPr>
          <w:p w14:paraId="65EE116F" w14:textId="77777777" w:rsidR="000153DB" w:rsidRDefault="007843D7" w:rsidP="00E35FBC">
            <w:pPr>
              <w:jc w:val="center"/>
              <w:rPr>
                <w:lang w:val="en-GB"/>
              </w:rPr>
            </w:pPr>
            <w:r>
              <w:rPr>
                <w:noProof/>
              </w:rPr>
              <w:drawing>
                <wp:inline distT="0" distB="0" distL="0" distR="0" wp14:anchorId="407B64E5" wp14:editId="6E242790">
                  <wp:extent cx="3196404" cy="2133600"/>
                  <wp:effectExtent l="0" t="0" r="4445" b="0"/>
                  <wp:docPr id="40966" name="Image 40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35">
                            <a:extLst>
                              <a:ext uri="{28A0092B-C50C-407E-A947-70E740481C1C}">
                                <a14:useLocalDpi xmlns:a14="http://schemas.microsoft.com/office/drawing/2010/main" val="0"/>
                              </a:ext>
                            </a:extLst>
                          </a:blip>
                          <a:srcRect/>
                          <a:stretch>
                            <a:fillRect/>
                          </a:stretch>
                        </pic:blipFill>
                        <pic:spPr bwMode="auto">
                          <a:xfrm>
                            <a:off x="0" y="0"/>
                            <a:ext cx="3205392" cy="2139600"/>
                          </a:xfrm>
                          <a:prstGeom prst="rect">
                            <a:avLst/>
                          </a:prstGeom>
                          <a:noFill/>
                          <a:ln>
                            <a:noFill/>
                          </a:ln>
                        </pic:spPr>
                      </pic:pic>
                    </a:graphicData>
                  </a:graphic>
                </wp:inline>
              </w:drawing>
            </w:r>
          </w:p>
          <w:p w14:paraId="135D6695" w14:textId="40E6ED51" w:rsidR="007843D7" w:rsidRDefault="007843D7" w:rsidP="00E35FBC">
            <w:pPr>
              <w:jc w:val="center"/>
              <w:rPr>
                <w:lang w:val="en-GB"/>
              </w:rPr>
            </w:pPr>
            <w:r>
              <w:rPr>
                <w:lang w:val="en-GB"/>
              </w:rPr>
              <w:t>Graines</w:t>
            </w:r>
          </w:p>
        </w:tc>
      </w:tr>
      <w:tr w:rsidR="001C6916" w14:paraId="630F8515" w14:textId="77777777" w:rsidTr="00A81202">
        <w:tc>
          <w:tcPr>
            <w:tcW w:w="5208" w:type="dxa"/>
          </w:tcPr>
          <w:p w14:paraId="20CA304D" w14:textId="157E4F69" w:rsidR="001C6916" w:rsidRDefault="00A81202" w:rsidP="00E35FBC">
            <w:pPr>
              <w:jc w:val="center"/>
              <w:rPr>
                <w:lang w:val="en-GB"/>
              </w:rPr>
            </w:pPr>
            <w:r>
              <w:rPr>
                <w:noProof/>
              </w:rPr>
              <w:drawing>
                <wp:inline distT="0" distB="0" distL="0" distR="0" wp14:anchorId="19B6ECF4" wp14:editId="102F92B7">
                  <wp:extent cx="2000250" cy="2236643"/>
                  <wp:effectExtent l="0" t="0" r="0" b="0"/>
                  <wp:docPr id="40967" name="Image 40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36">
                            <a:extLst>
                              <a:ext uri="{28A0092B-C50C-407E-A947-70E740481C1C}">
                                <a14:useLocalDpi xmlns:a14="http://schemas.microsoft.com/office/drawing/2010/main" val="0"/>
                              </a:ext>
                            </a:extLst>
                          </a:blip>
                          <a:srcRect/>
                          <a:stretch>
                            <a:fillRect/>
                          </a:stretch>
                        </pic:blipFill>
                        <pic:spPr bwMode="auto">
                          <a:xfrm>
                            <a:off x="0" y="0"/>
                            <a:ext cx="2000481" cy="2236901"/>
                          </a:xfrm>
                          <a:prstGeom prst="rect">
                            <a:avLst/>
                          </a:prstGeom>
                          <a:noFill/>
                          <a:ln>
                            <a:noFill/>
                          </a:ln>
                        </pic:spPr>
                      </pic:pic>
                    </a:graphicData>
                  </a:graphic>
                </wp:inline>
              </w:drawing>
            </w:r>
          </w:p>
        </w:tc>
        <w:tc>
          <w:tcPr>
            <w:tcW w:w="5208" w:type="dxa"/>
          </w:tcPr>
          <w:p w14:paraId="5FD2D678" w14:textId="77777777" w:rsidR="001C6916" w:rsidRDefault="00A81202" w:rsidP="00E35FBC">
            <w:pPr>
              <w:jc w:val="center"/>
              <w:rPr>
                <w:lang w:val="en-GB"/>
              </w:rPr>
            </w:pPr>
            <w:r>
              <w:rPr>
                <w:noProof/>
              </w:rPr>
              <w:drawing>
                <wp:inline distT="0" distB="0" distL="0" distR="0" wp14:anchorId="1B0D64D6" wp14:editId="0A914B20">
                  <wp:extent cx="1475740" cy="2145846"/>
                  <wp:effectExtent l="0" t="0" r="0" b="6985"/>
                  <wp:docPr id="40974" name="Image 40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1479812" cy="2151767"/>
                          </a:xfrm>
                          <a:prstGeom prst="rect">
                            <a:avLst/>
                          </a:prstGeom>
                          <a:noFill/>
                          <a:ln>
                            <a:noFill/>
                          </a:ln>
                        </pic:spPr>
                      </pic:pic>
                    </a:graphicData>
                  </a:graphic>
                </wp:inline>
              </w:drawing>
            </w:r>
          </w:p>
          <w:p w14:paraId="07ABC0C9" w14:textId="08585DE9" w:rsidR="00A81202" w:rsidRPr="00DF38A2" w:rsidRDefault="00A81202" w:rsidP="00E35FBC">
            <w:pPr>
              <w:jc w:val="center"/>
            </w:pPr>
            <w:r w:rsidRPr="00DF38A2">
              <w:t>Tige et segment foliaire</w:t>
            </w:r>
          </w:p>
        </w:tc>
      </w:tr>
    </w:tbl>
    <w:p w14:paraId="599AAEFD" w14:textId="77777777" w:rsidR="004832F0" w:rsidRDefault="004832F0" w:rsidP="00C61B16">
      <w:pPr>
        <w:spacing w:after="0" w:line="240" w:lineRule="auto"/>
        <w:rPr>
          <w:lang w:val="en-GB"/>
        </w:rPr>
      </w:pPr>
    </w:p>
    <w:p w14:paraId="085152C3" w14:textId="77777777" w:rsidR="00752617" w:rsidRPr="00752617" w:rsidRDefault="00752617" w:rsidP="00D87D3F">
      <w:pPr>
        <w:pStyle w:val="Titre2"/>
      </w:pPr>
      <w:bookmarkStart w:id="92" w:name="_Toc139181383"/>
      <w:r w:rsidRPr="00752617">
        <w:t>Les soudes (genre Salsola sp.)</w:t>
      </w:r>
      <w:bookmarkEnd w:id="92"/>
    </w:p>
    <w:p w14:paraId="32E0C96C" w14:textId="77777777" w:rsidR="00752617" w:rsidRPr="00752617" w:rsidRDefault="00752617" w:rsidP="00752617">
      <w:pPr>
        <w:spacing w:after="0" w:line="240" w:lineRule="auto"/>
      </w:pPr>
    </w:p>
    <w:p w14:paraId="6A8669D5" w14:textId="15B3E8C0" w:rsidR="00C55C26" w:rsidRPr="003C5957" w:rsidRDefault="00752617" w:rsidP="006970D9">
      <w:pPr>
        <w:spacing w:after="0" w:line="240" w:lineRule="auto"/>
        <w:jc w:val="both"/>
      </w:pPr>
      <w:r w:rsidRPr="00752617">
        <w:t>Le genre Salsola regroupe des plantes halophytes, présentes dans les prés salés, sur le littoral sablonneux</w:t>
      </w:r>
      <w:r w:rsidR="003C5957">
        <w:t xml:space="preserve">, de la famille des </w:t>
      </w:r>
      <w:r w:rsidR="003C5957" w:rsidRPr="00F6450E">
        <w:rPr>
          <w:i/>
          <w:iCs/>
        </w:rPr>
        <w:t>Amaranthaceae</w:t>
      </w:r>
      <w:r w:rsidR="003C5957">
        <w:t xml:space="preserve"> </w:t>
      </w:r>
      <w:r w:rsidR="006970D9" w:rsidRPr="006970D9">
        <w:t xml:space="preserve">(selon la classification phylogénétique) ou de la famille des </w:t>
      </w:r>
      <w:r w:rsidR="006970D9" w:rsidRPr="006970D9">
        <w:rPr>
          <w:i/>
          <w:iCs/>
        </w:rPr>
        <w:t>Chenopodiaceae</w:t>
      </w:r>
      <w:r w:rsidR="006970D9" w:rsidRPr="006970D9">
        <w:t xml:space="preserve"> (selon la classification classique) </w:t>
      </w:r>
      <w:r w:rsidR="003C5957">
        <w:t>(voir ci-après)</w:t>
      </w:r>
      <w:r w:rsidR="00741674">
        <w:t> :</w:t>
      </w:r>
    </w:p>
    <w:p w14:paraId="1741F266" w14:textId="57FCE15C" w:rsidR="00C52A3E" w:rsidRDefault="00C52A3E" w:rsidP="00752617">
      <w:pPr>
        <w:spacing w:after="0" w:line="240" w:lineRule="auto"/>
      </w:pPr>
    </w:p>
    <w:tbl>
      <w:tblPr>
        <w:tblW w:w="0" w:type="auto"/>
        <w:tblCellMar>
          <w:left w:w="0" w:type="dxa"/>
          <w:right w:w="0" w:type="dxa"/>
        </w:tblCellMar>
        <w:tblLook w:val="0600" w:firstRow="0" w:lastRow="0" w:firstColumn="0" w:lastColumn="0" w:noHBand="1" w:noVBand="1"/>
      </w:tblPr>
      <w:tblGrid>
        <w:gridCol w:w="2472"/>
        <w:gridCol w:w="1814"/>
        <w:gridCol w:w="6120"/>
      </w:tblGrid>
      <w:tr w:rsidR="006970D9" w:rsidRPr="00C478B7" w14:paraId="0A6214A2" w14:textId="77777777" w:rsidTr="00C52A3E">
        <w:trPr>
          <w:trHeight w:val="2910"/>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66" w:type="dxa"/>
              <w:bottom w:w="0" w:type="dxa"/>
              <w:right w:w="66" w:type="dxa"/>
            </w:tcMar>
            <w:hideMark/>
          </w:tcPr>
          <w:p w14:paraId="30A91ED0" w14:textId="63906D7E" w:rsidR="00C52A3E" w:rsidRPr="00C52A3E" w:rsidRDefault="00C52A3E" w:rsidP="00C52A3E">
            <w:pPr>
              <w:spacing w:after="0" w:line="240" w:lineRule="auto"/>
              <w:jc w:val="center"/>
            </w:pPr>
            <w:r w:rsidRPr="00C52A3E">
              <w:rPr>
                <w:noProof/>
              </w:rPr>
              <w:lastRenderedPageBreak/>
              <w:drawing>
                <wp:inline distT="0" distB="0" distL="0" distR="0" wp14:anchorId="36C5610D" wp14:editId="4D29073D">
                  <wp:extent cx="1371600" cy="1028700"/>
                  <wp:effectExtent l="0" t="0" r="0" b="0"/>
                  <wp:docPr id="40975" name="Image 8" descr="Salsola vermicula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8" descr="Salsola vermiculata.jpg"/>
                          <pic:cNvPicPr>
                            <a:picLocks noChangeAspect="1" noChangeArrowheads="1"/>
                          </pic:cNvPicPr>
                        </pic:nvPicPr>
                        <pic:blipFill>
                          <a:blip r:embed="rId838">
                            <a:extLst>
                              <a:ext uri="{28A0092B-C50C-407E-A947-70E740481C1C}">
                                <a14:useLocalDpi xmlns:a14="http://schemas.microsoft.com/office/drawing/2010/main" val="0"/>
                              </a:ext>
                            </a:extLst>
                          </a:blip>
                          <a:srcRect/>
                          <a:stretch>
                            <a:fillRect/>
                          </a:stretch>
                        </pic:blipFill>
                        <pic:spPr bwMode="auto">
                          <a:xfrm>
                            <a:off x="0" y="0"/>
                            <a:ext cx="1371600" cy="1028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66" w:type="dxa"/>
              <w:bottom w:w="0" w:type="dxa"/>
              <w:right w:w="66" w:type="dxa"/>
            </w:tcMar>
            <w:hideMark/>
          </w:tcPr>
          <w:p w14:paraId="630FCDBA" w14:textId="77777777" w:rsidR="00C52A3E" w:rsidRPr="00C52A3E" w:rsidRDefault="00C52A3E" w:rsidP="00C52A3E">
            <w:pPr>
              <w:spacing w:after="0" w:line="240" w:lineRule="auto"/>
            </w:pPr>
            <w:r w:rsidRPr="00C52A3E">
              <w:t>Soude vermiculée</w:t>
            </w:r>
          </w:p>
          <w:p w14:paraId="7054534D" w14:textId="77777777" w:rsidR="00C52A3E" w:rsidRPr="00C52A3E" w:rsidRDefault="00C52A3E" w:rsidP="00C52A3E">
            <w:pPr>
              <w:spacing w:after="0" w:line="240" w:lineRule="auto"/>
            </w:pPr>
            <w:r w:rsidRPr="00C52A3E">
              <w:t>(</w:t>
            </w:r>
            <w:r w:rsidRPr="00C52A3E">
              <w:rPr>
                <w:i/>
                <w:iCs/>
              </w:rPr>
              <w:t>Salsola vermiculata</w:t>
            </w:r>
            <w:r w:rsidRPr="00C52A3E">
              <w:t>)</w:t>
            </w:r>
          </w:p>
          <w:p w14:paraId="6E0C9F0A" w14:textId="77777777" w:rsidR="00C52A3E" w:rsidRPr="00C52A3E" w:rsidRDefault="00C52A3E" w:rsidP="00C52A3E">
            <w:pPr>
              <w:spacing w:after="0" w:line="240" w:lineRule="auto"/>
            </w:pPr>
            <w:r w:rsidRPr="00C52A3E">
              <w:t>En anglais :</w:t>
            </w:r>
          </w:p>
          <w:p w14:paraId="753E3C63" w14:textId="4092E170" w:rsidR="00C52A3E" w:rsidRPr="00C52A3E" w:rsidRDefault="00EF1A93" w:rsidP="00C52A3E">
            <w:pPr>
              <w:spacing w:after="0" w:line="240" w:lineRule="auto"/>
            </w:pPr>
            <w:r w:rsidRPr="00C52A3E">
              <w:t>Salicorne de</w:t>
            </w:r>
            <w:r w:rsidR="00C52A3E" w:rsidRPr="00C52A3E">
              <w:t xml:space="preserve"> Damas ou Méditerranéenne</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66" w:type="dxa"/>
              <w:bottom w:w="0" w:type="dxa"/>
              <w:right w:w="66" w:type="dxa"/>
            </w:tcMar>
            <w:hideMark/>
          </w:tcPr>
          <w:p w14:paraId="6F9FA89C" w14:textId="77777777" w:rsidR="00C52A3E" w:rsidRPr="00C52A3E" w:rsidRDefault="00C52A3E" w:rsidP="00776155">
            <w:pPr>
              <w:spacing w:after="0" w:line="240" w:lineRule="auto"/>
              <w:jc w:val="both"/>
            </w:pPr>
            <w:r w:rsidRPr="00C52A3E">
              <w:t>Il s'agit d'un </w:t>
            </w:r>
            <w:hyperlink r:id="rId839" w:history="1">
              <w:r w:rsidRPr="00C52A3E">
                <w:rPr>
                  <w:rStyle w:val="Lienhypertexte"/>
                </w:rPr>
                <w:t>arbuste</w:t>
              </w:r>
            </w:hyperlink>
            <w:r w:rsidRPr="00C52A3E">
              <w:t> </w:t>
            </w:r>
            <w:hyperlink r:id="rId840" w:history="1">
              <w:r w:rsidRPr="00C52A3E">
                <w:rPr>
                  <w:rStyle w:val="Lienhypertexte"/>
                </w:rPr>
                <w:t>à feuilles persistantes</w:t>
              </w:r>
            </w:hyperlink>
            <w:r w:rsidRPr="00C52A3E">
              <w:t>, </w:t>
            </w:r>
            <w:hyperlink r:id="rId841" w:history="1">
              <w:r w:rsidRPr="00C52A3E">
                <w:rPr>
                  <w:rStyle w:val="Lienhypertexte"/>
                </w:rPr>
                <w:t>hermaphrodite</w:t>
              </w:r>
            </w:hyperlink>
            <w:r w:rsidRPr="00C52A3E">
              <w:t>, jusqu'à 1,5 m de haut, très branchu, très irrégulier en taille, parfois complexe. Le tronc et les </w:t>
            </w:r>
            <w:hyperlink r:id="rId842" w:history="1">
              <w:r w:rsidRPr="00C52A3E">
                <w:rPr>
                  <w:rStyle w:val="Lienhypertexte"/>
                </w:rPr>
                <w:t>branches</w:t>
              </w:r>
            </w:hyperlink>
            <w:r w:rsidRPr="00C52A3E">
              <w:t xml:space="preserve"> principales sont très fissurés à écorce grise. </w:t>
            </w:r>
            <w:hyperlink r:id="rId843" w:history="1">
              <w:r w:rsidRPr="00C52A3E">
                <w:rPr>
                  <w:rStyle w:val="Lienhypertexte"/>
                </w:rPr>
                <w:t>Habitat</w:t>
              </w:r>
            </w:hyperlink>
            <w:r w:rsidRPr="00C52A3E">
              <w:t xml:space="preserve"> : tous types de terrains ou </w:t>
            </w:r>
            <w:r w:rsidRPr="00C52A3E">
              <w:rPr>
                <w:b/>
                <w:bCs/>
              </w:rPr>
              <w:t>semi-</w:t>
            </w:r>
            <w:hyperlink r:id="rId844" w:history="1">
              <w:r w:rsidRPr="00C52A3E">
                <w:rPr>
                  <w:rStyle w:val="Lienhypertexte"/>
                  <w:b/>
                  <w:bCs/>
                </w:rPr>
                <w:t>arides</w:t>
              </w:r>
            </w:hyperlink>
            <w:r w:rsidRPr="00C52A3E">
              <w:t xml:space="preserve">, </w:t>
            </w:r>
            <w:r w:rsidRPr="00C52A3E">
              <w:rPr>
                <w:b/>
                <w:bCs/>
              </w:rPr>
              <w:t>plus ou moins </w:t>
            </w:r>
            <w:hyperlink r:id="rId845" w:history="1">
              <w:r w:rsidRPr="00C52A3E">
                <w:rPr>
                  <w:rStyle w:val="Lienhypertexte"/>
                  <w:b/>
                  <w:bCs/>
                </w:rPr>
                <w:t>salés</w:t>
              </w:r>
            </w:hyperlink>
            <w:r w:rsidRPr="00C52A3E">
              <w:rPr>
                <w:u w:val="single"/>
              </w:rPr>
              <w:t>,</w:t>
            </w:r>
            <w:r w:rsidRPr="00C52A3E">
              <w:t xml:space="preserve"> ou côtiers  intérieurs. </w:t>
            </w:r>
            <w:r w:rsidRPr="00C52A3E">
              <w:rPr>
                <w:b/>
                <w:bCs/>
              </w:rPr>
              <w:t>Espèces pastorales utilisée pour le rétablissement des parcours en milieu aride.</w:t>
            </w:r>
          </w:p>
          <w:p w14:paraId="5B14523F" w14:textId="3D4CBB90" w:rsidR="00C52A3E" w:rsidRPr="00C52A3E" w:rsidRDefault="00C52A3E" w:rsidP="00C52A3E">
            <w:pPr>
              <w:spacing w:after="0" w:line="240" w:lineRule="auto"/>
            </w:pPr>
            <w:r w:rsidRPr="00C52A3E">
              <w:t>Source</w:t>
            </w:r>
            <w:r w:rsidR="003C5957">
              <w:t>s</w:t>
            </w:r>
            <w:r w:rsidRPr="00C52A3E">
              <w:t> :</w:t>
            </w:r>
            <w:r w:rsidR="003C5957">
              <w:t xml:space="preserve"> a)</w:t>
            </w:r>
            <w:r w:rsidRPr="00C52A3E">
              <w:t xml:space="preserve">  </w:t>
            </w:r>
            <w:hyperlink r:id="rId846" w:history="1">
              <w:r w:rsidRPr="00C52A3E">
                <w:rPr>
                  <w:rStyle w:val="Lienhypertexte"/>
                </w:rPr>
                <w:t>http://es.wikipedia.org/wiki/Salsola_vermiculata</w:t>
              </w:r>
            </w:hyperlink>
            <w:r w:rsidRPr="00C52A3E">
              <w:t xml:space="preserve"> </w:t>
            </w:r>
          </w:p>
          <w:p w14:paraId="1C97EE2C" w14:textId="77777777" w:rsidR="00776155" w:rsidRDefault="00C52A3E" w:rsidP="00C52A3E">
            <w:pPr>
              <w:spacing w:after="0" w:line="240" w:lineRule="auto"/>
            </w:pPr>
            <w:r w:rsidRPr="00C52A3E">
              <w:t xml:space="preserve">Invasive aux USA : </w:t>
            </w:r>
          </w:p>
          <w:p w14:paraId="35A4122E" w14:textId="0B98C775" w:rsidR="00C52A3E" w:rsidRPr="00C52A3E" w:rsidRDefault="003C5957" w:rsidP="00C52A3E">
            <w:pPr>
              <w:spacing w:after="0" w:line="240" w:lineRule="auto"/>
              <w:rPr>
                <w:lang w:val="en-GB"/>
              </w:rPr>
            </w:pPr>
            <w:r w:rsidRPr="00776155">
              <w:rPr>
                <w:lang w:val="en-GB"/>
              </w:rPr>
              <w:t>b</w:t>
            </w:r>
            <w:r w:rsidR="00C52A3E" w:rsidRPr="00C52A3E">
              <w:rPr>
                <w:lang w:val="en-GB"/>
              </w:rPr>
              <w:t xml:space="preserve">) </w:t>
            </w:r>
            <w:hyperlink r:id="rId847" w:history="1">
              <w:r w:rsidR="00C52A3E" w:rsidRPr="00C52A3E">
                <w:rPr>
                  <w:rStyle w:val="Lienhypertexte"/>
                  <w:lang w:val="en-GB"/>
                </w:rPr>
                <w:t>http://www.invasive.org/browse/subinfo.cfm?sub=4550</w:t>
              </w:r>
            </w:hyperlink>
            <w:r w:rsidR="00C52A3E" w:rsidRPr="00C52A3E">
              <w:rPr>
                <w:lang w:val="en-GB"/>
              </w:rPr>
              <w:t xml:space="preserve">, </w:t>
            </w:r>
          </w:p>
          <w:p w14:paraId="725A39A3" w14:textId="7B373E68" w:rsidR="00C52A3E" w:rsidRPr="008F2557" w:rsidRDefault="003C5957" w:rsidP="00C52A3E">
            <w:pPr>
              <w:spacing w:after="0" w:line="240" w:lineRule="auto"/>
              <w:rPr>
                <w:lang w:val="en-GB"/>
              </w:rPr>
            </w:pPr>
            <w:r w:rsidRPr="008F2557">
              <w:rPr>
                <w:lang w:val="en-GB"/>
              </w:rPr>
              <w:t>c</w:t>
            </w:r>
            <w:r w:rsidR="00C52A3E" w:rsidRPr="008F2557">
              <w:rPr>
                <w:lang w:val="en-GB"/>
              </w:rPr>
              <w:t xml:space="preserve">) </w:t>
            </w:r>
            <w:hyperlink r:id="rId848" w:history="1">
              <w:r w:rsidR="00C52A3E" w:rsidRPr="008F2557">
                <w:rPr>
                  <w:rStyle w:val="Lienhypertexte"/>
                  <w:lang w:val="en-GB"/>
                </w:rPr>
                <w:t>http://www.cdfa.ca.gov/plant/ipc/weedinfo/salsola-vermiculata.htm</w:t>
              </w:r>
            </w:hyperlink>
            <w:r w:rsidR="00C52A3E" w:rsidRPr="008F2557">
              <w:rPr>
                <w:lang w:val="en-GB"/>
              </w:rPr>
              <w:t xml:space="preserve"> </w:t>
            </w:r>
          </w:p>
        </w:tc>
      </w:tr>
      <w:tr w:rsidR="006970D9" w:rsidRPr="00C52A3E" w14:paraId="0EBA70E5" w14:textId="77777777" w:rsidTr="00EF1A93">
        <w:trPr>
          <w:trHeight w:val="393"/>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66" w:type="dxa"/>
              <w:bottom w:w="0" w:type="dxa"/>
              <w:right w:w="66" w:type="dxa"/>
            </w:tcMar>
            <w:hideMark/>
          </w:tcPr>
          <w:p w14:paraId="623229D3" w14:textId="77777777" w:rsidR="00C52A3E" w:rsidRDefault="00C52A3E" w:rsidP="00C52A3E">
            <w:pPr>
              <w:spacing w:after="0" w:line="240" w:lineRule="auto"/>
              <w:jc w:val="center"/>
            </w:pPr>
            <w:r w:rsidRPr="00C52A3E">
              <w:rPr>
                <w:noProof/>
              </w:rPr>
              <w:drawing>
                <wp:inline distT="0" distB="0" distL="0" distR="0" wp14:anchorId="3BA8E7BA" wp14:editId="59CEA1B6">
                  <wp:extent cx="1323975" cy="990600"/>
                  <wp:effectExtent l="0" t="0" r="9525" b="0"/>
                  <wp:docPr id="40976" name="Image 10" descr="Salsola sod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0" descr="Salsola soda2.jpg"/>
                          <pic:cNvPicPr>
                            <a:picLocks noChangeAspect="1" noChangeArrowheads="1"/>
                          </pic:cNvPicPr>
                        </pic:nvPicPr>
                        <pic:blipFill>
                          <a:blip r:embed="rId849">
                            <a:extLst>
                              <a:ext uri="{28A0092B-C50C-407E-A947-70E740481C1C}">
                                <a14:useLocalDpi xmlns:a14="http://schemas.microsoft.com/office/drawing/2010/main" val="0"/>
                              </a:ext>
                            </a:extLst>
                          </a:blip>
                          <a:srcRect/>
                          <a:stretch>
                            <a:fillRect/>
                          </a:stretch>
                        </pic:blipFill>
                        <pic:spPr bwMode="auto">
                          <a:xfrm>
                            <a:off x="0" y="0"/>
                            <a:ext cx="1323975" cy="990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22ADDFB" w14:textId="77777777" w:rsidR="00C52A3E" w:rsidRDefault="00C52A3E" w:rsidP="00C52A3E">
            <w:pPr>
              <w:spacing w:after="0" w:line="240" w:lineRule="auto"/>
              <w:jc w:val="center"/>
            </w:pPr>
          </w:p>
          <w:p w14:paraId="6FBE4C69" w14:textId="508086A2" w:rsidR="00C52A3E" w:rsidRPr="00C52A3E" w:rsidRDefault="003C5957" w:rsidP="00C52A3E">
            <w:pPr>
              <w:spacing w:after="0" w:line="240" w:lineRule="auto"/>
              <w:jc w:val="center"/>
            </w:pPr>
            <w:r>
              <w:rPr>
                <w:noProof/>
              </w:rPr>
              <w:drawing>
                <wp:inline distT="0" distB="0" distL="0" distR="0" wp14:anchorId="6F98B37B" wp14:editId="04CB592C">
                  <wp:extent cx="1242305" cy="1865579"/>
                  <wp:effectExtent l="0" t="0" r="0" b="1905"/>
                  <wp:docPr id="40981" name="Image 40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50">
                            <a:extLst>
                              <a:ext uri="{28A0092B-C50C-407E-A947-70E740481C1C}">
                                <a14:useLocalDpi xmlns:a14="http://schemas.microsoft.com/office/drawing/2010/main" val="0"/>
                              </a:ext>
                            </a:extLst>
                          </a:blip>
                          <a:srcRect/>
                          <a:stretch>
                            <a:fillRect/>
                          </a:stretch>
                        </pic:blipFill>
                        <pic:spPr bwMode="auto">
                          <a:xfrm>
                            <a:off x="0" y="0"/>
                            <a:ext cx="1247294" cy="1873070"/>
                          </a:xfrm>
                          <a:prstGeom prst="rect">
                            <a:avLst/>
                          </a:prstGeom>
                          <a:noFill/>
                          <a:ln>
                            <a:noFill/>
                          </a:ln>
                        </pic:spPr>
                      </pic:pic>
                    </a:graphicData>
                  </a:graphic>
                </wp:inline>
              </w:drawing>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66" w:type="dxa"/>
              <w:bottom w:w="0" w:type="dxa"/>
              <w:right w:w="66" w:type="dxa"/>
            </w:tcMar>
            <w:hideMark/>
          </w:tcPr>
          <w:p w14:paraId="728655DF" w14:textId="77777777" w:rsidR="00C52A3E" w:rsidRPr="00C52A3E" w:rsidRDefault="00C52A3E" w:rsidP="00C52A3E">
            <w:pPr>
              <w:spacing w:after="0" w:line="240" w:lineRule="auto"/>
            </w:pPr>
            <w:r w:rsidRPr="00C52A3E">
              <w:t xml:space="preserve">Soude commune </w:t>
            </w:r>
          </w:p>
          <w:p w14:paraId="2699446C" w14:textId="77777777" w:rsidR="00C52A3E" w:rsidRPr="00C52A3E" w:rsidRDefault="00C52A3E" w:rsidP="00C52A3E">
            <w:pPr>
              <w:spacing w:after="0" w:line="240" w:lineRule="auto"/>
            </w:pPr>
            <w:r w:rsidRPr="00C52A3E">
              <w:t>(</w:t>
            </w:r>
            <w:r w:rsidRPr="00C52A3E">
              <w:rPr>
                <w:i/>
                <w:iCs/>
              </w:rPr>
              <w:t>Salsola soda</w:t>
            </w:r>
            <w:r w:rsidRPr="00C52A3E">
              <w:t>)</w:t>
            </w:r>
          </w:p>
          <w:p w14:paraId="60E2B92D" w14:textId="77777777" w:rsidR="00C52A3E" w:rsidRPr="00C52A3E" w:rsidRDefault="00C52A3E" w:rsidP="00C52A3E">
            <w:pPr>
              <w:spacing w:after="0" w:line="240" w:lineRule="auto"/>
            </w:pPr>
            <w:r w:rsidRPr="00C52A3E">
              <w:t xml:space="preserve">en anglais : </w:t>
            </w:r>
            <w:hyperlink r:id="rId851" w:history="1">
              <w:r w:rsidRPr="00C52A3E">
                <w:rPr>
                  <w:rStyle w:val="Lienhypertexte"/>
                </w:rPr>
                <w:t>Salicorne</w:t>
              </w:r>
            </w:hyperlink>
            <w:r w:rsidRPr="00C52A3E">
              <w:t> à feuilles opposée.</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66" w:type="dxa"/>
              <w:bottom w:w="0" w:type="dxa"/>
              <w:right w:w="66" w:type="dxa"/>
            </w:tcMar>
            <w:hideMark/>
          </w:tcPr>
          <w:p w14:paraId="74E6DA4C" w14:textId="77777777" w:rsidR="00C52A3E" w:rsidRPr="00C52A3E" w:rsidRDefault="00C52A3E" w:rsidP="00776155">
            <w:pPr>
              <w:spacing w:after="0" w:line="240" w:lineRule="auto"/>
              <w:jc w:val="both"/>
            </w:pPr>
            <w:r w:rsidRPr="00C52A3E">
              <w:t>C'est une </w:t>
            </w:r>
            <w:hyperlink r:id="rId852" w:history="1">
              <w:r w:rsidRPr="00C52A3E">
                <w:rPr>
                  <w:rStyle w:val="Lienhypertexte"/>
                </w:rPr>
                <w:t>plante annuelle</w:t>
              </w:r>
            </w:hyperlink>
            <w:r w:rsidRPr="00C52A3E">
              <w:t> </w:t>
            </w:r>
            <w:hyperlink r:id="rId853" w:history="1">
              <w:r w:rsidRPr="00C52A3E">
                <w:rPr>
                  <w:rStyle w:val="Lienhypertexte"/>
                </w:rPr>
                <w:t>succulente</w:t>
              </w:r>
            </w:hyperlink>
            <w:r w:rsidRPr="00C52A3E">
              <w:t> pouvant mesurer 70 cm de haut originaire du </w:t>
            </w:r>
            <w:hyperlink r:id="rId854" w:history="1">
              <w:r w:rsidRPr="00C52A3E">
                <w:rPr>
                  <w:rStyle w:val="Lienhypertexte"/>
                </w:rPr>
                <w:t>bassin méditerranéen</w:t>
              </w:r>
            </w:hyperlink>
            <w:r w:rsidRPr="00C52A3E">
              <w:t xml:space="preserve">, </w:t>
            </w:r>
            <w:r w:rsidRPr="00C52A3E">
              <w:rPr>
                <w:b/>
                <w:bCs/>
              </w:rPr>
              <w:t xml:space="preserve">qui peut être irriguée avec de l’eau salée </w:t>
            </w:r>
            <w:r w:rsidRPr="00C52A3E">
              <w:t>ou non salée. On en trouve sur le littoral Atlantique de la France et du Portugal et sur la côte de la</w:t>
            </w:r>
            <w:hyperlink r:id="rId855" w:history="1">
              <w:r w:rsidRPr="00C52A3E">
                <w:rPr>
                  <w:rStyle w:val="Lienhypertexte"/>
                </w:rPr>
                <w:t>mer Noire</w:t>
              </w:r>
            </w:hyperlink>
            <w:r w:rsidRPr="00C52A3E">
              <w:t>. Il s'est naturalisé le long de la côte Pacifique de l'Amérique du Nord, et l'on se préoccupe de son caractère invasif en Californie dans les </w:t>
            </w:r>
            <w:hyperlink r:id="rId856" w:history="1">
              <w:r w:rsidRPr="00C52A3E">
                <w:rPr>
                  <w:rStyle w:val="Lienhypertexte"/>
                </w:rPr>
                <w:t>marais salants</w:t>
              </w:r>
            </w:hyperlink>
            <w:r w:rsidRPr="00C52A3E">
              <w:t>. Il est également naturalisé en Amérique du Sud.</w:t>
            </w:r>
          </w:p>
          <w:p w14:paraId="52A3A7C6" w14:textId="77777777" w:rsidR="00776155" w:rsidRDefault="00C52A3E" w:rsidP="00776155">
            <w:pPr>
              <w:spacing w:after="0" w:line="240" w:lineRule="auto"/>
              <w:jc w:val="both"/>
            </w:pPr>
            <w:r w:rsidRPr="00C52A3E">
              <w:t>Son goût est herbacé et légèrement salé avec une texture croquante agréable. La plante est le plus souvent cuite et consommée comme </w:t>
            </w:r>
            <w:hyperlink r:id="rId857" w:history="1">
              <w:r w:rsidRPr="00C52A3E">
                <w:rPr>
                  <w:rStyle w:val="Lienhypertexte"/>
                </w:rPr>
                <w:t>légume-feuille</w:t>
              </w:r>
            </w:hyperlink>
            <w:r w:rsidRPr="00C52A3E">
              <w:t xml:space="preserve">. </w:t>
            </w:r>
            <w:r w:rsidRPr="00C52A3E">
              <w:rPr>
                <w:i/>
                <w:iCs/>
              </w:rPr>
              <w:t>Salsola Soda</w:t>
            </w:r>
            <w:r w:rsidRPr="00C52A3E">
              <w:t xml:space="preserve"> a été étudié comme une « </w:t>
            </w:r>
            <w:r w:rsidRPr="00C52A3E">
              <w:rPr>
                <w:b/>
                <w:bCs/>
              </w:rPr>
              <w:t>plante de </w:t>
            </w:r>
            <w:hyperlink r:id="rId858" w:history="1">
              <w:r w:rsidRPr="00C52A3E">
                <w:rPr>
                  <w:rStyle w:val="Lienhypertexte"/>
                  <w:b/>
                  <w:bCs/>
                </w:rPr>
                <w:t>compagnonnage</w:t>
              </w:r>
            </w:hyperlink>
            <w:r w:rsidRPr="00C52A3E">
              <w:rPr>
                <w:b/>
                <w:bCs/>
              </w:rPr>
              <w:t> </w:t>
            </w:r>
            <w:hyperlink r:id="rId859" w:history="1">
              <w:r w:rsidRPr="00C52A3E">
                <w:rPr>
                  <w:rStyle w:val="Lienhypertexte"/>
                  <w:b/>
                  <w:bCs/>
                </w:rPr>
                <w:t>désalinisatrice</w:t>
              </w:r>
            </w:hyperlink>
            <w:r w:rsidRPr="00C52A3E">
              <w:t> » pour les cultures des </w:t>
            </w:r>
            <w:hyperlink r:id="rId860" w:history="1">
              <w:r w:rsidRPr="00C52A3E">
                <w:rPr>
                  <w:rStyle w:val="Lienhypertexte"/>
                </w:rPr>
                <w:t>tomates</w:t>
              </w:r>
            </w:hyperlink>
            <w:r w:rsidRPr="00C52A3E">
              <w:t> et </w:t>
            </w:r>
            <w:hyperlink r:id="rId861" w:history="1">
              <w:r w:rsidRPr="00C52A3E">
                <w:rPr>
                  <w:rStyle w:val="Lienhypertexte"/>
                </w:rPr>
                <w:t>poivrons</w:t>
              </w:r>
            </w:hyperlink>
            <w:r w:rsidRPr="00C52A3E">
              <w:t xml:space="preserve"> quand ils sont cultivés en sols salins. </w:t>
            </w:r>
          </w:p>
          <w:p w14:paraId="5751857A" w14:textId="7F289330" w:rsidR="00C52A3E" w:rsidRPr="00C52A3E" w:rsidRDefault="00C52A3E" w:rsidP="00776155">
            <w:pPr>
              <w:spacing w:after="0" w:line="240" w:lineRule="auto"/>
              <w:jc w:val="both"/>
            </w:pPr>
            <w:r w:rsidRPr="00C52A3E">
              <w:rPr>
                <w:i/>
                <w:iCs/>
              </w:rPr>
              <w:t>Salsola</w:t>
            </w:r>
            <w:r w:rsidRPr="00C52A3E">
              <w:t xml:space="preserve"> extrait assez de sodium du sol, améliorant la croissance de la plante cultivée. Un meilleur rendement des cultures en résulte malgré la concurrence des deux plantes pour le reste des minéraux du sol.</w:t>
            </w:r>
          </w:p>
          <w:p w14:paraId="3FDE820F" w14:textId="77777777" w:rsidR="00C52A3E" w:rsidRDefault="00C52A3E" w:rsidP="00776155">
            <w:pPr>
              <w:spacing w:after="0" w:line="240" w:lineRule="auto"/>
              <w:jc w:val="both"/>
            </w:pPr>
            <w:r w:rsidRPr="00C52A3E">
              <w:t>Source</w:t>
            </w:r>
            <w:r w:rsidR="003C5957">
              <w:t>s</w:t>
            </w:r>
            <w:r w:rsidRPr="00C52A3E">
              <w:t> :</w:t>
            </w:r>
            <w:r w:rsidR="003C5957">
              <w:t xml:space="preserve"> a)</w:t>
            </w:r>
            <w:r w:rsidRPr="00C52A3E">
              <w:t xml:space="preserve"> </w:t>
            </w:r>
            <w:hyperlink r:id="rId862" w:history="1">
              <w:r w:rsidRPr="00C52A3E">
                <w:rPr>
                  <w:rStyle w:val="Lienhypertexte"/>
                </w:rPr>
                <w:t>http://fr.wikipedia.org/wiki/Soude_commune</w:t>
              </w:r>
            </w:hyperlink>
            <w:r w:rsidRPr="00C52A3E">
              <w:t xml:space="preserve">, </w:t>
            </w:r>
          </w:p>
          <w:p w14:paraId="6D7A7A80" w14:textId="0B567BDC" w:rsidR="003C5957" w:rsidRPr="00C52A3E" w:rsidRDefault="003C5957" w:rsidP="00776155">
            <w:pPr>
              <w:spacing w:after="0" w:line="240" w:lineRule="auto"/>
              <w:jc w:val="both"/>
              <w:rPr>
                <w:lang w:val="en-GB"/>
              </w:rPr>
            </w:pPr>
            <w:r w:rsidRPr="003C5957">
              <w:rPr>
                <w:lang w:val="en-GB"/>
              </w:rPr>
              <w:t xml:space="preserve">b) </w:t>
            </w:r>
            <w:hyperlink r:id="rId863" w:history="1">
              <w:r w:rsidRPr="00CD78C9">
                <w:rPr>
                  <w:rStyle w:val="Lienhypertexte"/>
                  <w:lang w:val="en-GB"/>
                </w:rPr>
                <w:t>https://en.wikipedia.org/wiki/Salsola_soda</w:t>
              </w:r>
            </w:hyperlink>
            <w:r>
              <w:rPr>
                <w:lang w:val="en-GB"/>
              </w:rPr>
              <w:t xml:space="preserve"> </w:t>
            </w:r>
          </w:p>
        </w:tc>
      </w:tr>
      <w:tr w:rsidR="006970D9" w:rsidRPr="006970D9" w14:paraId="1DDD9CBC" w14:textId="77777777" w:rsidTr="006970D9">
        <w:trPr>
          <w:trHeight w:val="1810"/>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66" w:type="dxa"/>
              <w:bottom w:w="0" w:type="dxa"/>
              <w:right w:w="66" w:type="dxa"/>
            </w:tcMar>
          </w:tcPr>
          <w:p w14:paraId="723FDF69" w14:textId="1DBD3038" w:rsidR="006970D9" w:rsidRPr="00C52A3E" w:rsidRDefault="006970D9" w:rsidP="00C52A3E">
            <w:pPr>
              <w:spacing w:after="0" w:line="240" w:lineRule="auto"/>
              <w:jc w:val="center"/>
            </w:pPr>
            <w:r>
              <w:rPr>
                <w:noProof/>
              </w:rPr>
              <w:drawing>
                <wp:inline distT="0" distB="0" distL="0" distR="0" wp14:anchorId="393FE44C" wp14:editId="54B77981">
                  <wp:extent cx="1476375" cy="1962150"/>
                  <wp:effectExtent l="0" t="0" r="9525" b="0"/>
                  <wp:docPr id="9225" name="Image 9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64">
                            <a:extLst>
                              <a:ext uri="{28A0092B-C50C-407E-A947-70E740481C1C}">
                                <a14:useLocalDpi xmlns:a14="http://schemas.microsoft.com/office/drawing/2010/main" val="0"/>
                              </a:ext>
                            </a:extLst>
                          </a:blip>
                          <a:srcRect/>
                          <a:stretch>
                            <a:fillRect/>
                          </a:stretch>
                        </pic:blipFill>
                        <pic:spPr bwMode="auto">
                          <a:xfrm>
                            <a:off x="0" y="0"/>
                            <a:ext cx="1476375" cy="1962150"/>
                          </a:xfrm>
                          <a:prstGeom prst="rect">
                            <a:avLst/>
                          </a:prstGeom>
                          <a:noFill/>
                          <a:ln>
                            <a:noFill/>
                          </a:ln>
                        </pic:spPr>
                      </pic:pic>
                    </a:graphicData>
                  </a:graphic>
                </wp:inline>
              </w:drawing>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66" w:type="dxa"/>
              <w:bottom w:w="0" w:type="dxa"/>
              <w:right w:w="66" w:type="dxa"/>
            </w:tcMar>
          </w:tcPr>
          <w:p w14:paraId="176AC4AB" w14:textId="155D8747" w:rsidR="006970D9" w:rsidRPr="00C52A3E" w:rsidRDefault="006970D9" w:rsidP="00C52A3E">
            <w:pPr>
              <w:spacing w:after="0" w:line="240" w:lineRule="auto"/>
            </w:pPr>
            <w:r w:rsidRPr="006970D9">
              <w:t>Soude maritime, Suéda maritime (</w:t>
            </w:r>
            <w:r w:rsidRPr="006970D9">
              <w:rPr>
                <w:i/>
                <w:iCs/>
              </w:rPr>
              <w:t>Suaeda maritima</w:t>
            </w:r>
            <w:r w:rsidRPr="006970D9">
              <w:t>)</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66" w:type="dxa"/>
              <w:bottom w:w="0" w:type="dxa"/>
              <w:right w:w="66" w:type="dxa"/>
            </w:tcMar>
          </w:tcPr>
          <w:p w14:paraId="7607A1F8" w14:textId="346E9ACB" w:rsidR="006970D9" w:rsidRPr="00C52A3E" w:rsidRDefault="006970D9" w:rsidP="00776155">
            <w:pPr>
              <w:spacing w:after="0" w:line="240" w:lineRule="auto"/>
              <w:jc w:val="both"/>
            </w:pPr>
            <w:r w:rsidRPr="006970D9">
              <w:t>Petite plante comestible de Méditerranée, Atlantique et Manche. Elle vit uniquement sur des sols salés du littoral. Elle est parfois consommée sous forme de condiment en salade. Historiquement, de ses cendres était autrefois extraite de la soude utilisée artisanalement dans la fabrication du verre ou de la lessive</w:t>
            </w:r>
          </w:p>
        </w:tc>
      </w:tr>
    </w:tbl>
    <w:p w14:paraId="1B5E6A01" w14:textId="7C7A9972" w:rsidR="00C52A3E" w:rsidRPr="006970D9" w:rsidRDefault="00C52A3E" w:rsidP="00752617">
      <w:pPr>
        <w:spacing w:after="0" w:line="240" w:lineRule="auto"/>
      </w:pPr>
    </w:p>
    <w:p w14:paraId="065DB2F0" w14:textId="59DA8187" w:rsidR="003C5957" w:rsidRPr="003C5957" w:rsidRDefault="003C5957" w:rsidP="00D87D3F">
      <w:pPr>
        <w:pStyle w:val="Titre2"/>
      </w:pPr>
      <w:bookmarkStart w:id="93" w:name="_Toc139181384"/>
      <w:r w:rsidRPr="003C5957">
        <w:t xml:space="preserve">Nitres, genre </w:t>
      </w:r>
      <w:r w:rsidRPr="003C5957">
        <w:rPr>
          <w:i/>
          <w:iCs/>
        </w:rPr>
        <w:t>Nitraria sp.</w:t>
      </w:r>
      <w:bookmarkEnd w:id="93"/>
    </w:p>
    <w:p w14:paraId="2EC5D289" w14:textId="77777777" w:rsidR="003C5957" w:rsidRPr="003C5957" w:rsidRDefault="003C5957" w:rsidP="00752617">
      <w:pPr>
        <w:spacing w:after="0" w:line="240" w:lineRule="auto"/>
      </w:pPr>
    </w:p>
    <w:p w14:paraId="27009A9D" w14:textId="200831E8" w:rsidR="006D59D6" w:rsidRPr="006D59D6" w:rsidRDefault="006D59D6" w:rsidP="006D59D6">
      <w:pPr>
        <w:spacing w:after="0" w:line="240" w:lineRule="auto"/>
      </w:pPr>
      <w:r w:rsidRPr="006D59D6">
        <w:rPr>
          <w:b/>
          <w:bCs/>
          <w:i/>
          <w:iCs/>
        </w:rPr>
        <w:t>Nitraria</w:t>
      </w:r>
      <w:r w:rsidRPr="006D59D6">
        <w:t xml:space="preserve"> est un genre comprenant </w:t>
      </w:r>
      <w:r w:rsidR="003B2718">
        <w:t>neufs</w:t>
      </w:r>
      <w:r w:rsidRPr="006D59D6">
        <w:t> </w:t>
      </w:r>
      <w:hyperlink r:id="rId865" w:history="1">
        <w:r w:rsidRPr="006D59D6">
          <w:rPr>
            <w:rStyle w:val="Lienhypertexte"/>
          </w:rPr>
          <w:t>plantes à fleurs</w:t>
        </w:r>
      </w:hyperlink>
      <w:r w:rsidRPr="006D59D6">
        <w:t> </w:t>
      </w:r>
      <w:r w:rsidR="003C5957">
        <w:t xml:space="preserve">(en général des arbustes), </w:t>
      </w:r>
      <w:r w:rsidRPr="006D59D6">
        <w:t>de la famille des </w:t>
      </w:r>
      <w:hyperlink r:id="rId866" w:history="1">
        <w:r w:rsidRPr="006D59D6">
          <w:rPr>
            <w:rStyle w:val="Lienhypertexte"/>
            <w:i/>
            <w:iCs/>
          </w:rPr>
          <w:t>Nitrariaceae</w:t>
        </w:r>
      </w:hyperlink>
      <w:r w:rsidR="003B2718">
        <w:t>, toutes résistantes à la sècheresse et au sel.</w:t>
      </w:r>
    </w:p>
    <w:p w14:paraId="3CC6F6E3" w14:textId="5D383A25" w:rsidR="00752617" w:rsidRDefault="00752617" w:rsidP="00752617">
      <w:pPr>
        <w:spacing w:after="0" w:line="240" w:lineRule="auto"/>
      </w:pPr>
    </w:p>
    <w:tbl>
      <w:tblPr>
        <w:tblW w:w="0" w:type="auto"/>
        <w:tblCellMar>
          <w:left w:w="0" w:type="dxa"/>
          <w:right w:w="0" w:type="dxa"/>
        </w:tblCellMar>
        <w:tblLook w:val="0600" w:firstRow="0" w:lastRow="0" w:firstColumn="0" w:lastColumn="0" w:noHBand="1" w:noVBand="1"/>
      </w:tblPr>
      <w:tblGrid>
        <w:gridCol w:w="3019"/>
        <w:gridCol w:w="1233"/>
        <w:gridCol w:w="6154"/>
      </w:tblGrid>
      <w:tr w:rsidR="00DC289A" w:rsidRPr="00DC289A" w14:paraId="3E7FE09D" w14:textId="77777777" w:rsidTr="00DC289A">
        <w:trPr>
          <w:trHeight w:val="2255"/>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66" w:type="dxa"/>
              <w:bottom w:w="0" w:type="dxa"/>
              <w:right w:w="66" w:type="dxa"/>
            </w:tcMar>
            <w:hideMark/>
          </w:tcPr>
          <w:p w14:paraId="5AE5147C" w14:textId="00CAA359" w:rsidR="00DC289A" w:rsidRPr="00DC289A" w:rsidRDefault="00DC289A" w:rsidP="00DC289A">
            <w:pPr>
              <w:spacing w:after="0" w:line="240" w:lineRule="auto"/>
              <w:jc w:val="center"/>
            </w:pPr>
            <w:r w:rsidRPr="00DC289A">
              <w:rPr>
                <w:noProof/>
              </w:rPr>
              <w:lastRenderedPageBreak/>
              <w:drawing>
                <wp:inline distT="0" distB="0" distL="0" distR="0" wp14:anchorId="78E943CD" wp14:editId="27DB11B3">
                  <wp:extent cx="1728788" cy="1296987"/>
                  <wp:effectExtent l="0" t="0" r="5080" b="0"/>
                  <wp:docPr id="40978" name="Image 14" descr="Nitraria_billardiere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4" descr="Nitraria_billardierei.jpg"/>
                          <pic:cNvPicPr>
                            <a:picLocks noChangeAspect="1"/>
                          </pic:cNvPicPr>
                        </pic:nvPicPr>
                        <pic:blipFill>
                          <a:blip r:embed="rId867">
                            <a:extLst>
                              <a:ext uri="{28A0092B-C50C-407E-A947-70E740481C1C}">
                                <a14:useLocalDpi xmlns:a14="http://schemas.microsoft.com/office/drawing/2010/main" val="0"/>
                              </a:ext>
                            </a:extLst>
                          </a:blip>
                          <a:srcRect/>
                          <a:stretch>
                            <a:fillRect/>
                          </a:stretch>
                        </pic:blipFill>
                        <pic:spPr bwMode="auto">
                          <a:xfrm>
                            <a:off x="0" y="0"/>
                            <a:ext cx="1728788" cy="12969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66" w:type="dxa"/>
              <w:bottom w:w="0" w:type="dxa"/>
              <w:right w:w="66" w:type="dxa"/>
            </w:tcMar>
            <w:hideMark/>
          </w:tcPr>
          <w:p w14:paraId="214FB25D" w14:textId="77777777" w:rsidR="00DC289A" w:rsidRPr="00DC289A" w:rsidRDefault="00DC289A" w:rsidP="00DC289A">
            <w:pPr>
              <w:spacing w:after="0" w:line="240" w:lineRule="auto"/>
            </w:pPr>
            <w:r w:rsidRPr="00DC289A">
              <w:t>Nitre du bush</w:t>
            </w:r>
          </w:p>
          <w:p w14:paraId="097A610C" w14:textId="77777777" w:rsidR="00DC289A" w:rsidRPr="00DC289A" w:rsidRDefault="00DC289A" w:rsidP="00DC289A">
            <w:pPr>
              <w:spacing w:after="0" w:line="240" w:lineRule="auto"/>
            </w:pPr>
            <w:r w:rsidRPr="00DC289A">
              <w:rPr>
                <w:i/>
                <w:iCs/>
              </w:rPr>
              <w:t>Nitraria billardierei</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66" w:type="dxa"/>
              <w:bottom w:w="0" w:type="dxa"/>
              <w:right w:w="66" w:type="dxa"/>
            </w:tcMar>
            <w:hideMark/>
          </w:tcPr>
          <w:p w14:paraId="36E9B2DF" w14:textId="09A76E87" w:rsidR="00DC289A" w:rsidRPr="00DC289A" w:rsidRDefault="00000000" w:rsidP="00776155">
            <w:pPr>
              <w:spacing w:after="0" w:line="240" w:lineRule="auto"/>
              <w:jc w:val="both"/>
            </w:pPr>
            <w:hyperlink r:id="rId868" w:history="1">
              <w:r w:rsidR="00776155">
                <w:rPr>
                  <w:rStyle w:val="Lienhypertexte"/>
                </w:rPr>
                <w:t>P</w:t>
              </w:r>
              <w:r w:rsidR="00DC289A" w:rsidRPr="00DC289A">
                <w:rPr>
                  <w:rStyle w:val="Lienhypertexte"/>
                </w:rPr>
                <w:t>lante vivace</w:t>
              </w:r>
            </w:hyperlink>
            <w:r w:rsidR="00DC289A" w:rsidRPr="00DC289A">
              <w:t xml:space="preserve"> arbustive </w:t>
            </w:r>
            <w:hyperlink r:id="rId869" w:history="1">
              <w:r w:rsidR="00DC289A" w:rsidRPr="00DC289A">
                <w:rPr>
                  <w:rStyle w:val="Lienhypertexte"/>
                  <w:b/>
                  <w:bCs/>
                </w:rPr>
                <w:t>tolérant le sel</w:t>
              </w:r>
            </w:hyperlink>
            <w:r w:rsidR="00DC289A" w:rsidRPr="00DC289A">
              <w:t>. On le trouve souvent dans les zones salines, argileuses, ou des zones qui ont été surexploités. Les fruits sont comestibles, dit le goût des raisins salées, et ont été mangés par </w:t>
            </w:r>
            <w:hyperlink r:id="rId870" w:history="1">
              <w:r w:rsidR="00DC289A" w:rsidRPr="00DC289A">
                <w:rPr>
                  <w:rStyle w:val="Lienhypertexte"/>
                </w:rPr>
                <w:t>les Australiens autochtones</w:t>
              </w:r>
            </w:hyperlink>
            <w:r w:rsidR="00DC289A" w:rsidRPr="00DC289A">
              <w:t>. </w:t>
            </w:r>
            <w:r w:rsidR="00DC289A" w:rsidRPr="00DC289A">
              <w:rPr>
                <w:b/>
                <w:bCs/>
              </w:rPr>
              <w:t>Les fruits peuvent aussi être transformé en </w:t>
            </w:r>
            <w:hyperlink r:id="rId871" w:history="1">
              <w:r w:rsidR="00DC289A" w:rsidRPr="00DC289A">
                <w:rPr>
                  <w:rStyle w:val="Lienhypertexte"/>
                  <w:b/>
                  <w:bCs/>
                </w:rPr>
                <w:t>confiture</w:t>
              </w:r>
            </w:hyperlink>
            <w:r w:rsidR="00DC289A" w:rsidRPr="00DC289A">
              <w:rPr>
                <w:b/>
                <w:bCs/>
              </w:rPr>
              <w:t> ou séché et stocké</w:t>
            </w:r>
            <w:r w:rsidR="00DC289A" w:rsidRPr="00DC289A">
              <w:t>. C'est un arbuste large et bas, jusqu'à 2 mètres (7 pi) de hauteur et 4 m de large. En Australie, sa propagation et sa germination sont facilitées, grâce à la consommation de fruits par </w:t>
            </w:r>
            <w:hyperlink r:id="rId872" w:history="1">
              <w:r w:rsidR="00DC289A" w:rsidRPr="00DC289A">
                <w:rPr>
                  <w:rStyle w:val="Lienhypertexte"/>
                </w:rPr>
                <w:t>les émeus</w:t>
              </w:r>
            </w:hyperlink>
            <w:r w:rsidR="00DC289A" w:rsidRPr="00DC289A">
              <w:t>.</w:t>
            </w:r>
          </w:p>
        </w:tc>
      </w:tr>
      <w:tr w:rsidR="00DC289A" w:rsidRPr="00DC289A" w14:paraId="6CC02CB6" w14:textId="77777777" w:rsidTr="00DC289A">
        <w:trPr>
          <w:trHeight w:val="2395"/>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66" w:type="dxa"/>
              <w:bottom w:w="0" w:type="dxa"/>
              <w:right w:w="66" w:type="dxa"/>
            </w:tcMar>
            <w:hideMark/>
          </w:tcPr>
          <w:p w14:paraId="4AD8CB70" w14:textId="64A1E5BC" w:rsidR="00DC289A" w:rsidRPr="00DC289A" w:rsidRDefault="00DC289A" w:rsidP="00DC289A">
            <w:pPr>
              <w:spacing w:after="0" w:line="240" w:lineRule="auto"/>
              <w:jc w:val="center"/>
            </w:pPr>
            <w:r w:rsidRPr="00DC289A">
              <w:rPr>
                <w:noProof/>
              </w:rPr>
              <w:drawing>
                <wp:inline distT="0" distB="0" distL="0" distR="0" wp14:anchorId="31F74178" wp14:editId="75975D86">
                  <wp:extent cx="1800225" cy="1347787"/>
                  <wp:effectExtent l="0" t="0" r="0" b="5080"/>
                  <wp:docPr id="40979" name="Image 15" descr="Nitraria retu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5" descr="Nitraria retusa.jpg"/>
                          <pic:cNvPicPr>
                            <a:picLocks noChangeAspect="1"/>
                          </pic:cNvPicPr>
                        </pic:nvPicPr>
                        <pic:blipFill>
                          <a:blip r:embed="rId873">
                            <a:extLst>
                              <a:ext uri="{28A0092B-C50C-407E-A947-70E740481C1C}">
                                <a14:useLocalDpi xmlns:a14="http://schemas.microsoft.com/office/drawing/2010/main" val="0"/>
                              </a:ext>
                            </a:extLst>
                          </a:blip>
                          <a:srcRect/>
                          <a:stretch>
                            <a:fillRect/>
                          </a:stretch>
                        </pic:blipFill>
                        <pic:spPr bwMode="auto">
                          <a:xfrm>
                            <a:off x="0" y="0"/>
                            <a:ext cx="1800225" cy="13477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66" w:type="dxa"/>
              <w:bottom w:w="0" w:type="dxa"/>
              <w:right w:w="66" w:type="dxa"/>
            </w:tcMar>
            <w:hideMark/>
          </w:tcPr>
          <w:p w14:paraId="7A0170CF" w14:textId="77777777" w:rsidR="00DC289A" w:rsidRPr="00DC289A" w:rsidRDefault="00DC289A" w:rsidP="00DC289A">
            <w:pPr>
              <w:spacing w:after="0" w:line="240" w:lineRule="auto"/>
            </w:pPr>
            <w:r w:rsidRPr="00DC289A">
              <w:rPr>
                <w:i/>
                <w:iCs/>
              </w:rPr>
              <w:t>Nitraria retusa</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66" w:type="dxa"/>
              <w:bottom w:w="0" w:type="dxa"/>
              <w:right w:w="66" w:type="dxa"/>
            </w:tcMar>
            <w:hideMark/>
          </w:tcPr>
          <w:p w14:paraId="2451AF56" w14:textId="4A4909A7" w:rsidR="00DC289A" w:rsidRPr="00DC289A" w:rsidRDefault="00DC289A" w:rsidP="00776155">
            <w:pPr>
              <w:spacing w:after="0" w:line="240" w:lineRule="auto"/>
              <w:jc w:val="both"/>
            </w:pPr>
            <w:r w:rsidRPr="00DC289A">
              <w:t> </w:t>
            </w:r>
            <w:hyperlink r:id="rId874" w:history="1">
              <w:r w:rsidR="00776155">
                <w:rPr>
                  <w:rStyle w:val="Lienhypertexte"/>
                </w:rPr>
                <w:t>A</w:t>
              </w:r>
              <w:r w:rsidRPr="00DC289A">
                <w:rPr>
                  <w:rStyle w:val="Lienhypertexte"/>
                </w:rPr>
                <w:t>rbuste</w:t>
              </w:r>
            </w:hyperlink>
            <w:r w:rsidRPr="00DC289A">
              <w:t xml:space="preserve"> ou un buisson tolérant le sel. La plante pousse à 2.5m de haut, mais il est généralement </w:t>
            </w:r>
            <w:r w:rsidR="00776155" w:rsidRPr="00DC289A">
              <w:t>inférieur</w:t>
            </w:r>
            <w:r w:rsidRPr="00DC289A">
              <w:t xml:space="preserve"> à 1 m de hauteur. Il a de minuscules fleurs parfumées, blanc à vert, et un petit </w:t>
            </w:r>
            <w:hyperlink r:id="rId875" w:history="1">
              <w:r w:rsidRPr="00DC289A">
                <w:rPr>
                  <w:rStyle w:val="Lienhypertexte"/>
                </w:rPr>
                <w:t>fruit</w:t>
              </w:r>
            </w:hyperlink>
            <w:r w:rsidRPr="00DC289A">
              <w:t xml:space="preserve"> rouge comestible. La plante est originaire des régions désertiques du nord de </w:t>
            </w:r>
            <w:hyperlink r:id="rId876" w:history="1">
              <w:r w:rsidRPr="00DC289A">
                <w:rPr>
                  <w:rStyle w:val="Lienhypertexte"/>
                </w:rPr>
                <w:t>l'Afrique</w:t>
              </w:r>
            </w:hyperlink>
            <w:r w:rsidRPr="00DC289A">
              <w:t xml:space="preserve"> (Tunisie …), où elle pousse dans </w:t>
            </w:r>
            <w:hyperlink r:id="rId877" w:history="1">
              <w:r w:rsidRPr="00DC289A">
                <w:rPr>
                  <w:rStyle w:val="Lienhypertexte"/>
                </w:rPr>
                <w:t>la succession primaire</w:t>
              </w:r>
            </w:hyperlink>
            <w:r w:rsidRPr="00DC289A">
              <w:t> sur des </w:t>
            </w:r>
            <w:hyperlink r:id="rId878" w:history="1">
              <w:r w:rsidRPr="00DC289A">
                <w:rPr>
                  <w:rStyle w:val="Lienhypertexte"/>
                </w:rPr>
                <w:t>dunes de sable</w:t>
              </w:r>
            </w:hyperlink>
            <w:r w:rsidRPr="00DC289A">
              <w:t> arides. Il est lié aux sols gypseux ou salés. Cette espèce indique également une nappe phréatique peu profonde. Son enracinement est puissant et pivotant, mais sa croissance assez lente. Elle est utilisée pour la fixation biologique des dunes littorales et la régénération des pâturages salés.</w:t>
            </w:r>
          </w:p>
        </w:tc>
      </w:tr>
      <w:tr w:rsidR="00DC289A" w:rsidRPr="00DC289A" w14:paraId="1388C904" w14:textId="77777777" w:rsidTr="00EF1A93">
        <w:trPr>
          <w:trHeight w:val="676"/>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66" w:type="dxa"/>
              <w:bottom w:w="0" w:type="dxa"/>
              <w:right w:w="66" w:type="dxa"/>
            </w:tcMar>
            <w:hideMark/>
          </w:tcPr>
          <w:p w14:paraId="23804458" w14:textId="37C0F4C5" w:rsidR="00DC289A" w:rsidRPr="00DC289A" w:rsidRDefault="00DC289A" w:rsidP="00DC289A">
            <w:pPr>
              <w:spacing w:after="0" w:line="240" w:lineRule="auto"/>
              <w:jc w:val="center"/>
            </w:pPr>
            <w:r w:rsidRPr="00DC289A">
              <w:rPr>
                <w:noProof/>
              </w:rPr>
              <w:drawing>
                <wp:inline distT="0" distB="0" distL="0" distR="0" wp14:anchorId="007AF5B3" wp14:editId="08307620">
                  <wp:extent cx="1833562" cy="1368425"/>
                  <wp:effectExtent l="0" t="0" r="0" b="3175"/>
                  <wp:docPr id="40980" name="Picture 2" descr="C:\Users\LISAN\Pictures\plantes-halophytes-xerophiles\Nitraria tangutorum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2" descr="C:\Users\LISAN\Pictures\plantes-halophytes-xerophiles\Nitraria tangutorum6.jpg"/>
                          <pic:cNvPicPr>
                            <a:picLocks noChangeAspect="1" noChangeArrowheads="1"/>
                          </pic:cNvPicPr>
                        </pic:nvPicPr>
                        <pic:blipFill>
                          <a:blip r:embed="rId879">
                            <a:extLst>
                              <a:ext uri="{28A0092B-C50C-407E-A947-70E740481C1C}">
                                <a14:useLocalDpi xmlns:a14="http://schemas.microsoft.com/office/drawing/2010/main" val="0"/>
                              </a:ext>
                            </a:extLst>
                          </a:blip>
                          <a:srcRect/>
                          <a:stretch>
                            <a:fillRect/>
                          </a:stretch>
                        </pic:blipFill>
                        <pic:spPr bwMode="auto">
                          <a:xfrm>
                            <a:off x="0" y="0"/>
                            <a:ext cx="1833562" cy="1368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66" w:type="dxa"/>
              <w:bottom w:w="0" w:type="dxa"/>
              <w:right w:w="66" w:type="dxa"/>
            </w:tcMar>
            <w:hideMark/>
          </w:tcPr>
          <w:p w14:paraId="0ACAB21F" w14:textId="77777777" w:rsidR="00DC289A" w:rsidRPr="00DC289A" w:rsidRDefault="00DC289A" w:rsidP="00DC289A">
            <w:pPr>
              <w:spacing w:after="0" w:line="240" w:lineRule="auto"/>
            </w:pPr>
            <w:r w:rsidRPr="00DC289A">
              <w:rPr>
                <w:i/>
                <w:iCs/>
              </w:rPr>
              <w:t>Nitraria tangutorum</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66" w:type="dxa"/>
              <w:bottom w:w="0" w:type="dxa"/>
              <w:right w:w="66" w:type="dxa"/>
            </w:tcMar>
            <w:hideMark/>
          </w:tcPr>
          <w:p w14:paraId="1D20140C" w14:textId="4F5F8D8A" w:rsidR="00DC289A" w:rsidRPr="00DC289A" w:rsidRDefault="00DC289A" w:rsidP="00776155">
            <w:pPr>
              <w:spacing w:after="0" w:line="240" w:lineRule="auto"/>
              <w:jc w:val="both"/>
            </w:pPr>
            <w:r w:rsidRPr="00DC289A">
              <w:rPr>
                <w:i/>
                <w:iCs/>
              </w:rPr>
              <w:t>Nitraria tangutorum</w:t>
            </w:r>
            <w:r w:rsidRPr="00DC289A">
              <w:t xml:space="preserve"> Bobr. appartient à la famille </w:t>
            </w:r>
            <w:r w:rsidRPr="00DC289A">
              <w:rPr>
                <w:i/>
                <w:iCs/>
              </w:rPr>
              <w:t xml:space="preserve">Zygophyllaceae. </w:t>
            </w:r>
            <w:r w:rsidRPr="00DC289A">
              <w:t>Son aire de</w:t>
            </w:r>
            <w:r w:rsidRPr="00DC289A">
              <w:rPr>
                <w:i/>
                <w:iCs/>
              </w:rPr>
              <w:t xml:space="preserve"> </w:t>
            </w:r>
            <w:r w:rsidRPr="00DC289A">
              <w:t>distribution se situe principalement dans la région du Xinjiang du Nord, en Chine. Il est aussi appelé "cerise du Désert ".  La consommation de ses fruits nourrit l'estomac, la rate et les poumons. En médecine chinoise, il est utilis</w:t>
            </w:r>
            <w:r w:rsidR="00776155">
              <w:t>é</w:t>
            </w:r>
            <w:r w:rsidRPr="00DC289A">
              <w:t xml:space="preserve"> pour aider à la digestion, apaiser les nerfs, la lactation, prévenir la neurasthénie, et favoriser la circulation sanguine. Il contient une grande variété de nutriments, y compris de la vitamine C, des polysaccharides, des acides gras insaturés, des protéines, des acides aminés.</w:t>
            </w:r>
          </w:p>
          <w:p w14:paraId="72ADE074" w14:textId="77777777" w:rsidR="00DC289A" w:rsidRPr="00DC289A" w:rsidRDefault="00DC289A" w:rsidP="00776155">
            <w:pPr>
              <w:spacing w:after="0" w:line="240" w:lineRule="auto"/>
              <w:jc w:val="both"/>
            </w:pPr>
            <w:r w:rsidRPr="00DC289A">
              <w:t xml:space="preserve">Cette halophyte typique du désert joue un rôle écologique important en raison de sa meilleure tolérance aux graves sécheresses et à des fortes salinités (Source :  Halophytes database, </w:t>
            </w:r>
            <w:hyperlink r:id="rId880" w:history="1">
              <w:r w:rsidRPr="00DC289A">
                <w:rPr>
                  <w:rStyle w:val="Lienhypertexte"/>
                </w:rPr>
                <w:t>http://www.sussex.ac.uk/affiliates/halophytes/index.php</w:t>
              </w:r>
            </w:hyperlink>
            <w:r w:rsidRPr="00DC289A">
              <w:t xml:space="preserve"> ).</w:t>
            </w:r>
          </w:p>
        </w:tc>
      </w:tr>
    </w:tbl>
    <w:p w14:paraId="511B97B9" w14:textId="77777777" w:rsidR="006D59D6" w:rsidRDefault="006D59D6" w:rsidP="00752617">
      <w:pPr>
        <w:spacing w:after="0" w:line="240" w:lineRule="auto"/>
      </w:pPr>
    </w:p>
    <w:p w14:paraId="1732DF23" w14:textId="5D149307" w:rsidR="00752617" w:rsidRPr="00D87D3F" w:rsidRDefault="00776155" w:rsidP="00D87D3F">
      <w:pPr>
        <w:pStyle w:val="Titre2"/>
        <w:rPr>
          <w:i/>
          <w:iCs/>
        </w:rPr>
      </w:pPr>
      <w:bookmarkStart w:id="94" w:name="_Toc139181385"/>
      <w:r w:rsidRPr="00D87D3F">
        <w:rPr>
          <w:i/>
          <w:iCs/>
        </w:rPr>
        <w:t>Nitraria retusa</w:t>
      </w:r>
      <w:bookmarkEnd w:id="94"/>
    </w:p>
    <w:p w14:paraId="79595550" w14:textId="7CC71601" w:rsidR="00776155" w:rsidRDefault="00776155" w:rsidP="00752617">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5"/>
        <w:gridCol w:w="2313"/>
        <w:gridCol w:w="1544"/>
        <w:gridCol w:w="415"/>
        <w:gridCol w:w="1379"/>
      </w:tblGrid>
      <w:tr w:rsidR="000F7F6B" w:rsidRPr="000B6BE3" w14:paraId="796E19B3" w14:textId="77777777" w:rsidTr="005C76A4">
        <w:tc>
          <w:tcPr>
            <w:tcW w:w="4775" w:type="dxa"/>
          </w:tcPr>
          <w:p w14:paraId="410D158F" w14:textId="14C87595" w:rsidR="000F7F6B" w:rsidRPr="00DE2C3A" w:rsidRDefault="000F7F6B" w:rsidP="005C76A4">
            <w:pPr>
              <w:jc w:val="both"/>
              <w:rPr>
                <w:rFonts w:ascii="Calibri" w:hAnsi="Calibri" w:cs="Calibri"/>
                <w:bCs/>
              </w:rPr>
            </w:pPr>
            <w:r>
              <w:rPr>
                <w:rFonts w:ascii="Calibri" w:hAnsi="Calibri" w:cs="Calibri"/>
                <w:bCs/>
              </w:rPr>
              <w:t>(</w:t>
            </w:r>
            <w:r w:rsidRPr="00DE2C3A">
              <w:rPr>
                <w:rFonts w:ascii="Calibri" w:hAnsi="Calibri" w:cs="Calibri"/>
                <w:bCs/>
              </w:rPr>
              <w:t>Famille des</w:t>
            </w:r>
            <w:r>
              <w:rPr>
                <w:rFonts w:ascii="Calibri" w:hAnsi="Calibri" w:cs="Calibri"/>
              </w:rPr>
              <w:t xml:space="preserve"> </w:t>
            </w:r>
            <w:hyperlink r:id="rId881" w:history="1">
              <w:r w:rsidRPr="006D59D6">
                <w:rPr>
                  <w:rStyle w:val="Lienhypertexte"/>
                  <w:i/>
                  <w:iCs/>
                </w:rPr>
                <w:t>Nitrariaceae</w:t>
              </w:r>
            </w:hyperlink>
            <w:r>
              <w:rPr>
                <w:rFonts w:ascii="Calibri" w:hAnsi="Calibri" w:cs="Calibri"/>
                <w:bCs/>
              </w:rPr>
              <w:t>)</w:t>
            </w:r>
            <w:r w:rsidRPr="00DE2C3A">
              <w:rPr>
                <w:rFonts w:ascii="Calibri" w:hAnsi="Calibri" w:cs="Calibri"/>
                <w:bCs/>
              </w:rPr>
              <w:t>.</w:t>
            </w:r>
          </w:p>
          <w:p w14:paraId="2E00EE7C" w14:textId="77777777" w:rsidR="000F7F6B" w:rsidRPr="008F191E" w:rsidRDefault="000F7F6B" w:rsidP="005C76A4">
            <w:pPr>
              <w:rPr>
                <w:rFonts w:ascii="Calibri" w:hAnsi="Calibri" w:cs="Calibri"/>
                <w:bCs/>
              </w:rPr>
            </w:pPr>
          </w:p>
          <w:p w14:paraId="74C9D539" w14:textId="77777777" w:rsidR="000F7F6B" w:rsidRPr="000B6BE3" w:rsidRDefault="000F7F6B" w:rsidP="005C76A4">
            <w:pPr>
              <w:rPr>
                <w:rFonts w:cstheme="minorHAnsi"/>
              </w:rPr>
            </w:pPr>
          </w:p>
        </w:tc>
        <w:tc>
          <w:tcPr>
            <w:tcW w:w="2313" w:type="dxa"/>
          </w:tcPr>
          <w:p w14:paraId="7E05E52A" w14:textId="77777777" w:rsidR="000F7F6B" w:rsidRPr="000B6BE3" w:rsidRDefault="000F7F6B" w:rsidP="005C76A4">
            <w:pPr>
              <w:rPr>
                <w:rFonts w:cstheme="minorHAnsi"/>
              </w:rPr>
            </w:pPr>
            <w:r w:rsidRPr="000B6BE3">
              <w:rPr>
                <w:rFonts w:cstheme="minorHAnsi"/>
                <w:noProof/>
              </w:rPr>
              <w:t xml:space="preserve">  </w:t>
            </w:r>
            <w:r>
              <w:rPr>
                <w:rFonts w:cstheme="minorHAnsi"/>
                <w:noProof/>
              </w:rPr>
              <w:t xml:space="preserve">     </w:t>
            </w:r>
            <w:r w:rsidRPr="005C50C9">
              <w:rPr>
                <w:rFonts w:cstheme="minorHAnsi"/>
                <w:noProof/>
              </w:rPr>
              <w:drawing>
                <wp:inline distT="0" distB="0" distL="0" distR="0" wp14:anchorId="0FDCEE61" wp14:editId="29B1A694">
                  <wp:extent cx="495300" cy="666750"/>
                  <wp:effectExtent l="0" t="0" r="0" b="0"/>
                  <wp:docPr id="40989" name="Image 15"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8" name="Image 15" descr="logo aride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w:t>
            </w:r>
            <w:r w:rsidRPr="008F2681">
              <w:rPr>
                <w:rFonts w:cstheme="minorHAnsi"/>
                <w:noProof/>
              </w:rPr>
              <w:drawing>
                <wp:inline distT="0" distB="0" distL="0" distR="0" wp14:anchorId="1F503D1B" wp14:editId="6444F745">
                  <wp:extent cx="463550" cy="661988"/>
                  <wp:effectExtent l="0" t="0" r="0" b="5080"/>
                  <wp:docPr id="40990"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p>
        </w:tc>
        <w:tc>
          <w:tcPr>
            <w:tcW w:w="1544" w:type="dxa"/>
          </w:tcPr>
          <w:p w14:paraId="43356708" w14:textId="77777777" w:rsidR="000F7F6B" w:rsidRPr="002E01BB" w:rsidRDefault="000F7F6B" w:rsidP="005C76A4">
            <w:pPr>
              <w:rPr>
                <w:rFonts w:eastAsia="+mn-ea" w:cstheme="minorHAnsi"/>
                <w:b/>
                <w:bCs/>
                <w:color w:val="008000"/>
                <w:kern w:val="24"/>
                <w:sz w:val="56"/>
                <w:szCs w:val="56"/>
              </w:rPr>
            </w:pPr>
            <w:r w:rsidRPr="00D1445E">
              <w:rPr>
                <w:rFonts w:eastAsia="+mn-ea" w:cstheme="minorHAnsi"/>
                <w:b/>
                <w:bCs/>
                <w:color w:val="008000"/>
                <w:kern w:val="24"/>
                <w:sz w:val="56"/>
                <w:szCs w:val="56"/>
              </w:rPr>
              <w:t>U</w:t>
            </w:r>
          </w:p>
          <w:p w14:paraId="72BE7199" w14:textId="77777777" w:rsidR="000F7F6B" w:rsidRPr="000B6BE3" w:rsidRDefault="000F7F6B" w:rsidP="005C76A4">
            <w:pPr>
              <w:textAlignment w:val="baseline"/>
              <w:rPr>
                <w:rFonts w:cstheme="minorHAnsi"/>
              </w:rPr>
            </w:pPr>
          </w:p>
        </w:tc>
        <w:tc>
          <w:tcPr>
            <w:tcW w:w="415" w:type="dxa"/>
          </w:tcPr>
          <w:p w14:paraId="0F18F6AB" w14:textId="77777777" w:rsidR="000F7F6B" w:rsidRPr="000B6BE3" w:rsidRDefault="000F7F6B" w:rsidP="005C76A4">
            <w:pPr>
              <w:rPr>
                <w:rFonts w:cstheme="minorHAnsi"/>
              </w:rPr>
            </w:pPr>
          </w:p>
        </w:tc>
        <w:tc>
          <w:tcPr>
            <w:tcW w:w="1379" w:type="dxa"/>
          </w:tcPr>
          <w:p w14:paraId="4BBBA9CE" w14:textId="6919BACB" w:rsidR="000F7F6B" w:rsidRPr="000B6BE3" w:rsidRDefault="000D594B" w:rsidP="005C76A4">
            <w:pPr>
              <w:rPr>
                <w:rFonts w:cstheme="minorHAnsi"/>
              </w:rPr>
            </w:pPr>
            <w:r w:rsidRPr="00853ED0">
              <w:rPr>
                <w:noProof/>
              </w:rPr>
              <w:drawing>
                <wp:inline distT="0" distB="0" distL="0" distR="0" wp14:anchorId="1B1FF75B" wp14:editId="34613055">
                  <wp:extent cx="400050" cy="352425"/>
                  <wp:effectExtent l="0" t="0" r="0" b="9525"/>
                  <wp:docPr id="104475" name="Image 21">
                    <a:extLst xmlns:a="http://schemas.openxmlformats.org/drawingml/2006/main">
                      <a:ext uri="{FF2B5EF4-FFF2-40B4-BE49-F238E27FC236}">
                        <a16:creationId xmlns:a16="http://schemas.microsoft.com/office/drawing/2014/main" id="{F52353B3-AA67-41AB-ACE3-C9465695F4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3" name="Image 21">
                            <a:extLst>
                              <a:ext uri="{FF2B5EF4-FFF2-40B4-BE49-F238E27FC236}">
                                <a16:creationId xmlns:a16="http://schemas.microsoft.com/office/drawing/2014/main" id="{F52353B3-AA67-41AB-ACE3-C9465695F4BE}"/>
                              </a:ext>
                            </a:extLst>
                          </pic:cNvPr>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7CA42ADB" w14:textId="77777777" w:rsidR="000F7F6B" w:rsidRDefault="000F7F6B" w:rsidP="00752617">
      <w:pPr>
        <w:spacing w:after="0" w:line="240" w:lineRule="auto"/>
      </w:pPr>
    </w:p>
    <w:p w14:paraId="46FF3E22" w14:textId="23058039" w:rsidR="00776155" w:rsidRPr="00776155" w:rsidRDefault="00776155" w:rsidP="00776155">
      <w:pPr>
        <w:spacing w:after="0" w:line="240" w:lineRule="auto"/>
        <w:jc w:val="both"/>
      </w:pPr>
      <w:r w:rsidRPr="00776155">
        <w:rPr>
          <w:b/>
          <w:bCs/>
        </w:rPr>
        <w:t>Noms communs</w:t>
      </w:r>
      <w:r w:rsidR="003B2718">
        <w:rPr>
          <w:b/>
          <w:bCs/>
        </w:rPr>
        <w:t> :</w:t>
      </w:r>
      <w:r w:rsidRPr="00776155">
        <w:rPr>
          <w:b/>
          <w:bCs/>
        </w:rPr>
        <w:t xml:space="preserve"> </w:t>
      </w:r>
      <w:r w:rsidRPr="00776155">
        <w:t>Hassaniya: aguerzim; pulaar: guiyel goti; anglais: salt tree.</w:t>
      </w:r>
    </w:p>
    <w:p w14:paraId="48FF7D6F" w14:textId="0446F00D" w:rsidR="00776155" w:rsidRPr="00776155" w:rsidRDefault="00776155" w:rsidP="00776155">
      <w:pPr>
        <w:spacing w:after="0" w:line="240" w:lineRule="auto"/>
        <w:jc w:val="both"/>
      </w:pPr>
      <w:r w:rsidRPr="00776155">
        <w:rPr>
          <w:b/>
          <w:bCs/>
        </w:rPr>
        <w:t>Famille</w:t>
      </w:r>
      <w:r w:rsidR="003B2718">
        <w:rPr>
          <w:b/>
          <w:bCs/>
        </w:rPr>
        <w:t> :</w:t>
      </w:r>
      <w:r w:rsidR="003B2718">
        <w:t xml:space="preserve"> </w:t>
      </w:r>
      <w:r w:rsidR="003B2718" w:rsidRPr="003B2718">
        <w:rPr>
          <w:i/>
          <w:iCs/>
        </w:rPr>
        <w:t>Nitrariacées</w:t>
      </w:r>
      <w:r w:rsidR="003B2718" w:rsidRPr="003B2718">
        <w:t>/</w:t>
      </w:r>
      <w:r w:rsidR="003B2718" w:rsidRPr="003B2718">
        <w:rPr>
          <w:i/>
          <w:iCs/>
        </w:rPr>
        <w:t>Nitrariaceae</w:t>
      </w:r>
      <w:r w:rsidR="003B2718">
        <w:t xml:space="preserve"> (</w:t>
      </w:r>
      <w:r w:rsidRPr="00776155">
        <w:rPr>
          <w:i/>
          <w:iCs/>
        </w:rPr>
        <w:t>Zygophyllaceae</w:t>
      </w:r>
      <w:r w:rsidR="003B2718">
        <w:t>)</w:t>
      </w:r>
      <w:r w:rsidRPr="00776155">
        <w:t>.</w:t>
      </w:r>
    </w:p>
    <w:p w14:paraId="0C7BF86C" w14:textId="4794F947" w:rsidR="00776155" w:rsidRPr="00776155" w:rsidRDefault="00776155" w:rsidP="00776155">
      <w:pPr>
        <w:spacing w:after="0" w:line="240" w:lineRule="auto"/>
        <w:jc w:val="both"/>
      </w:pPr>
      <w:r w:rsidRPr="00776155">
        <w:rPr>
          <w:b/>
          <w:bCs/>
        </w:rPr>
        <w:t>Caractéristiques</w:t>
      </w:r>
      <w:r w:rsidR="00A70189">
        <w:t> :</w:t>
      </w:r>
      <w:r w:rsidRPr="00776155">
        <w:rPr>
          <w:b/>
          <w:bCs/>
        </w:rPr>
        <w:t xml:space="preserve"> </w:t>
      </w:r>
      <w:r w:rsidRPr="00776155">
        <w:t xml:space="preserve">Buisson </w:t>
      </w:r>
      <w:r w:rsidRPr="000D594B">
        <w:rPr>
          <w:i/>
          <w:iCs/>
        </w:rPr>
        <w:t>épineux</w:t>
      </w:r>
      <w:r w:rsidRPr="00776155">
        <w:t xml:space="preserve"> de 1,5 m de hauteur</w:t>
      </w:r>
      <w:r w:rsidR="003B2718">
        <w:t xml:space="preserve"> (parfois 2,5 m de haut)</w:t>
      </w:r>
      <w:r w:rsidRPr="00776155">
        <w:t xml:space="preserve">, vert toute l’année, aux feuilles grasses à peu près triangulaires, alternes et diversement colorées (vertes, jaunes ou rouges). </w:t>
      </w:r>
      <w:r w:rsidR="003B2718">
        <w:t>Il produit d</w:t>
      </w:r>
      <w:r w:rsidRPr="00776155">
        <w:t>es</w:t>
      </w:r>
      <w:r w:rsidR="003B2718">
        <w:t xml:space="preserve"> petites</w:t>
      </w:r>
      <w:r w:rsidRPr="00776155">
        <w:t xml:space="preserve"> fleurs </w:t>
      </w:r>
      <w:r w:rsidR="003B2718">
        <w:t>blanches/vertes/</w:t>
      </w:r>
      <w:r w:rsidRPr="00776155">
        <w:t xml:space="preserve">jaunâtres et </w:t>
      </w:r>
      <w:r w:rsidR="003B2718">
        <w:t>d</w:t>
      </w:r>
      <w:r w:rsidRPr="00776155">
        <w:t>es</w:t>
      </w:r>
      <w:r w:rsidR="003B2718">
        <w:t xml:space="preserve"> petits</w:t>
      </w:r>
      <w:r w:rsidRPr="00776155">
        <w:t xml:space="preserve"> fruits</w:t>
      </w:r>
      <w:r w:rsidR="003B2718">
        <w:t xml:space="preserve"> comestibles</w:t>
      </w:r>
      <w:r w:rsidRPr="00776155">
        <w:t xml:space="preserve"> rouges. Il accumule souvent le sable sous forme </w:t>
      </w:r>
      <w:r w:rsidRPr="00776155">
        <w:rPr>
          <w:rFonts w:ascii="Calibri" w:hAnsi="Calibri" w:cs="Calibri"/>
        </w:rPr>
        <w:t>de</w:t>
      </w:r>
      <w:r w:rsidR="00603C4A" w:rsidRPr="00603C4A">
        <w:rPr>
          <w:rFonts w:ascii="Calibri" w:hAnsi="Calibri" w:cs="Calibri"/>
          <w:color w:val="202122"/>
          <w:shd w:val="clear" w:color="auto" w:fill="FFFFFF"/>
        </w:rPr>
        <w:t> </w:t>
      </w:r>
      <w:hyperlink r:id="rId882" w:tooltip="Nabkha" w:history="1">
        <w:r w:rsidR="00603C4A" w:rsidRPr="00603C4A">
          <w:rPr>
            <w:rStyle w:val="Lienhypertexte"/>
            <w:rFonts w:ascii="Calibri" w:hAnsi="Calibri" w:cs="Calibri"/>
            <w:i/>
            <w:iCs/>
            <w:color w:val="0645AD"/>
            <w:shd w:val="clear" w:color="auto" w:fill="FFFFFF"/>
          </w:rPr>
          <w:t>nabkhas</w:t>
        </w:r>
      </w:hyperlink>
      <w:r w:rsidRPr="00776155">
        <w:t xml:space="preserve"> </w:t>
      </w:r>
      <w:r w:rsidR="00603C4A">
        <w:t xml:space="preserve">ou </w:t>
      </w:r>
      <w:r w:rsidRPr="00776155">
        <w:rPr>
          <w:i/>
          <w:iCs/>
        </w:rPr>
        <w:t>nebkas</w:t>
      </w:r>
      <w:r w:rsidR="00603C4A">
        <w:rPr>
          <w:rStyle w:val="Appelnotedebasdep"/>
          <w:i/>
          <w:iCs/>
        </w:rPr>
        <w:footnoteReference w:id="82"/>
      </w:r>
      <w:r w:rsidRPr="00776155">
        <w:t xml:space="preserve"> parfois importantes. Il est</w:t>
      </w:r>
      <w:r w:rsidR="003B2718">
        <w:t xml:space="preserve"> </w:t>
      </w:r>
      <w:r w:rsidR="003B2718" w:rsidRPr="003B2718">
        <w:t>tolérant au sel et résistant</w:t>
      </w:r>
      <w:r w:rsidR="003B2718">
        <w:t xml:space="preserve"> </w:t>
      </w:r>
      <w:r w:rsidR="003B2718" w:rsidRPr="003B2718">
        <w:t>à la</w:t>
      </w:r>
      <w:r w:rsidR="003B2718">
        <w:t xml:space="preserve"> </w:t>
      </w:r>
      <w:r w:rsidR="003B2718" w:rsidRPr="003B2718">
        <w:t>sécheresse</w:t>
      </w:r>
      <w:r w:rsidR="003B2718">
        <w:t xml:space="preserve"> et est</w:t>
      </w:r>
      <w:r w:rsidRPr="00776155">
        <w:t xml:space="preserve"> lié aux sols gypseux ou salés. Cette espèce indique également une nappe phréatique peu profonde. Son enracinement est puissant et pivotant, mais sa croissance assez lente.</w:t>
      </w:r>
    </w:p>
    <w:p w14:paraId="407F1954" w14:textId="015C5190" w:rsidR="00A70189" w:rsidRDefault="00776155" w:rsidP="00776155">
      <w:pPr>
        <w:spacing w:after="0" w:line="240" w:lineRule="auto"/>
        <w:jc w:val="both"/>
        <w:rPr>
          <w:b/>
          <w:bCs/>
        </w:rPr>
      </w:pPr>
      <w:r w:rsidRPr="00776155">
        <w:rPr>
          <w:b/>
          <w:bCs/>
        </w:rPr>
        <w:lastRenderedPageBreak/>
        <w:t>Distribution</w:t>
      </w:r>
      <w:r w:rsidR="00A70189">
        <w:rPr>
          <w:b/>
          <w:bCs/>
        </w:rPr>
        <w:t xml:space="preserve"> / Ecologie</w:t>
      </w:r>
      <w:r w:rsidR="00A70189">
        <w:t xml:space="preserve"> : </w:t>
      </w:r>
      <w:r w:rsidR="00A70189" w:rsidRPr="00A70189">
        <w:t>La plante est originaire des zones désertiques d'Afrique du Nord et de l'Est, de la péninsule arabique et du Moyen-Orient, où elle pousse en succession primaire, sur des dunes de sable stériles, et dans des zones à haute salinité telles que les marais salants, les zones salines semi-arides des déserts.</w:t>
      </w:r>
      <w:r w:rsidRPr="00776155">
        <w:rPr>
          <w:b/>
          <w:bCs/>
        </w:rPr>
        <w:t xml:space="preserve"> </w:t>
      </w:r>
    </w:p>
    <w:p w14:paraId="0AF60CB2" w14:textId="656B2305" w:rsidR="00776155" w:rsidRDefault="00A70189" w:rsidP="00776155">
      <w:pPr>
        <w:spacing w:after="0" w:line="240" w:lineRule="auto"/>
        <w:jc w:val="both"/>
      </w:pPr>
      <w:r>
        <w:t>Selon une autre source, concernant l’Afrique de l’Ouest : D</w:t>
      </w:r>
      <w:r w:rsidR="00776155" w:rsidRPr="00776155">
        <w:t xml:space="preserve">’origine méditerranéenne, </w:t>
      </w:r>
      <w:r w:rsidR="00776155" w:rsidRPr="00776155">
        <w:rPr>
          <w:i/>
          <w:iCs/>
        </w:rPr>
        <w:t xml:space="preserve">Nitraria retusa </w:t>
      </w:r>
      <w:r w:rsidR="00776155" w:rsidRPr="00776155">
        <w:t>est limitée en Mauritanie au littoral dans la zone de salure des nappes phréatiques.</w:t>
      </w:r>
      <w:r w:rsidR="00776155" w:rsidRPr="00776155">
        <w:rPr>
          <w:b/>
          <w:bCs/>
        </w:rPr>
        <w:t xml:space="preserve"> </w:t>
      </w:r>
      <w:r w:rsidR="00776155" w:rsidRPr="00776155">
        <w:t xml:space="preserve">Elle est très prospère du Cap Blanc au bas-delta du Sénégal. Elle est aussi présente dans la </w:t>
      </w:r>
      <w:r w:rsidR="00776155" w:rsidRPr="00776155">
        <w:rPr>
          <w:i/>
          <w:iCs/>
        </w:rPr>
        <w:t xml:space="preserve">wilaya </w:t>
      </w:r>
      <w:r w:rsidR="00776155" w:rsidRPr="00776155">
        <w:t>du Zemmour.</w:t>
      </w:r>
    </w:p>
    <w:p w14:paraId="5A2B62F0" w14:textId="57EFB715" w:rsidR="00A70189" w:rsidRPr="00776155" w:rsidRDefault="00A70189" w:rsidP="00776155">
      <w:pPr>
        <w:spacing w:after="0" w:line="240" w:lineRule="auto"/>
        <w:jc w:val="both"/>
        <w:rPr>
          <w:rFonts w:ascii="Calibri" w:hAnsi="Calibri" w:cs="Calibri"/>
        </w:rPr>
      </w:pPr>
      <w:r w:rsidRPr="00A70189">
        <w:rPr>
          <w:rFonts w:ascii="Calibri" w:hAnsi="Calibri" w:cs="Calibri"/>
        </w:rPr>
        <w:t xml:space="preserve">Il peut </w:t>
      </w:r>
      <w:r w:rsidRPr="00A70189">
        <w:rPr>
          <w:rFonts w:ascii="Calibri" w:hAnsi="Calibri" w:cs="Calibri"/>
          <w:shd w:val="clear" w:color="auto" w:fill="FFFFFF"/>
        </w:rPr>
        <w:t>s'associer au </w:t>
      </w:r>
      <w:hyperlink r:id="rId883" w:tooltip="Juncus rigidus" w:history="1">
        <w:r w:rsidRPr="00603C4A">
          <w:rPr>
            <w:rStyle w:val="Lienhypertexte"/>
            <w:rFonts w:ascii="Calibri" w:hAnsi="Calibri" w:cs="Calibri"/>
            <w:color w:val="0645AD"/>
            <w:shd w:val="clear" w:color="auto" w:fill="FFFFFF"/>
          </w:rPr>
          <w:t>jonc marin</w:t>
        </w:r>
      </w:hyperlink>
      <w:r w:rsidR="001049E0">
        <w:rPr>
          <w:rFonts w:ascii="Calibri" w:hAnsi="Calibri" w:cs="Calibri"/>
          <w:color w:val="202122"/>
          <w:shd w:val="clear" w:color="auto" w:fill="FFFFFF"/>
        </w:rPr>
        <w:t xml:space="preserve"> </w:t>
      </w:r>
      <w:r w:rsidR="001049E0" w:rsidRPr="001049E0">
        <w:rPr>
          <w:rFonts w:ascii="Calibri" w:hAnsi="Calibri" w:cs="Calibri"/>
          <w:color w:val="202122"/>
          <w:shd w:val="clear" w:color="auto" w:fill="FFFFFF"/>
        </w:rPr>
        <w:t>(</w:t>
      </w:r>
      <w:r w:rsidR="001049E0" w:rsidRPr="001049E0">
        <w:rPr>
          <w:rFonts w:ascii="Calibri" w:hAnsi="Calibri" w:cs="Calibri"/>
          <w:i/>
          <w:iCs/>
          <w:color w:val="202122"/>
          <w:shd w:val="clear" w:color="auto" w:fill="FFFFFF"/>
        </w:rPr>
        <w:t>Juncus rigidus</w:t>
      </w:r>
      <w:r w:rsidR="001049E0" w:rsidRPr="001049E0">
        <w:rPr>
          <w:rFonts w:ascii="Calibri" w:hAnsi="Calibri" w:cs="Calibri"/>
          <w:color w:val="202122"/>
          <w:shd w:val="clear" w:color="auto" w:fill="FFFFFF"/>
        </w:rPr>
        <w:t>)</w:t>
      </w:r>
      <w:r w:rsidRPr="00A70189">
        <w:rPr>
          <w:rFonts w:ascii="Calibri" w:hAnsi="Calibri" w:cs="Calibri"/>
          <w:color w:val="202122"/>
          <w:shd w:val="clear" w:color="auto" w:fill="FFFFFF"/>
        </w:rPr>
        <w:t xml:space="preserve">, </w:t>
      </w:r>
      <w:r w:rsidRPr="001049E0">
        <w:rPr>
          <w:rFonts w:ascii="Calibri" w:hAnsi="Calibri" w:cs="Calibri"/>
          <w:shd w:val="clear" w:color="auto" w:fill="FFFFFF"/>
        </w:rPr>
        <w:t>au</w:t>
      </w:r>
      <w:r w:rsidR="001049E0" w:rsidRPr="001049E0">
        <w:rPr>
          <w:rFonts w:ascii="Calibri" w:hAnsi="Calibri" w:cs="Calibri"/>
          <w:shd w:val="clear" w:color="auto" w:fill="FFFFFF"/>
        </w:rPr>
        <w:t xml:space="preserve">x </w:t>
      </w:r>
      <w:r w:rsidR="001049E0" w:rsidRPr="001049E0">
        <w:rPr>
          <w:rFonts w:ascii="Calibri" w:hAnsi="Calibri" w:cs="Calibri"/>
          <w:i/>
          <w:iCs/>
          <w:shd w:val="clear" w:color="auto" w:fill="FFFFFF"/>
        </w:rPr>
        <w:t>Phragmites sp</w:t>
      </w:r>
      <w:r w:rsidR="001049E0">
        <w:rPr>
          <w:rFonts w:ascii="Calibri" w:hAnsi="Calibri" w:cs="Calibri"/>
          <w:shd w:val="clear" w:color="auto" w:fill="FFFFFF"/>
        </w:rPr>
        <w:t>.</w:t>
      </w:r>
      <w:r w:rsidRPr="001049E0">
        <w:rPr>
          <w:rFonts w:ascii="Calibri" w:hAnsi="Calibri" w:cs="Calibri"/>
          <w:shd w:val="clear" w:color="auto" w:fill="FFFFFF"/>
        </w:rPr>
        <w:t xml:space="preserve">, à </w:t>
      </w:r>
      <w:r w:rsidRPr="00A70189">
        <w:rPr>
          <w:rFonts w:ascii="Calibri" w:hAnsi="Calibri" w:cs="Calibri"/>
          <w:color w:val="202122"/>
          <w:shd w:val="clear" w:color="auto" w:fill="FFFFFF"/>
        </w:rPr>
        <w:t>l</w:t>
      </w:r>
      <w:r w:rsidR="00603C4A">
        <w:rPr>
          <w:rFonts w:ascii="Calibri" w:hAnsi="Calibri" w:cs="Calibri"/>
          <w:color w:val="202122"/>
          <w:shd w:val="clear" w:color="auto" w:fill="FFFFFF"/>
        </w:rPr>
        <w:t>’</w:t>
      </w:r>
      <w:hyperlink r:id="rId884" w:tooltip="Sporobolus spicatus" w:history="1">
        <w:r w:rsidRPr="00A70189">
          <w:rPr>
            <w:rStyle w:val="Lienhypertexte"/>
            <w:rFonts w:ascii="Calibri" w:hAnsi="Calibri" w:cs="Calibri"/>
            <w:color w:val="0645AD"/>
            <w:shd w:val="clear" w:color="auto" w:fill="FFFFFF"/>
          </w:rPr>
          <w:t>herbe à sel</w:t>
        </w:r>
      </w:hyperlink>
      <w:r w:rsidR="00603C4A">
        <w:rPr>
          <w:rFonts w:ascii="Calibri" w:hAnsi="Calibri" w:cs="Calibri"/>
          <w:color w:val="202122"/>
          <w:shd w:val="clear" w:color="auto" w:fill="FFFFFF"/>
        </w:rPr>
        <w:t xml:space="preserve"> (</w:t>
      </w:r>
      <w:r w:rsidR="00603C4A" w:rsidRPr="00603C4A">
        <w:rPr>
          <w:rFonts w:ascii="Calibri" w:hAnsi="Calibri" w:cs="Calibri"/>
          <w:i/>
          <w:iCs/>
          <w:color w:val="202122"/>
          <w:shd w:val="clear" w:color="auto" w:fill="FFFFFF"/>
        </w:rPr>
        <w:t>Sporobolus spicatus</w:t>
      </w:r>
      <w:r w:rsidR="00603C4A">
        <w:rPr>
          <w:rFonts w:ascii="Calibri" w:hAnsi="Calibri" w:cs="Calibri"/>
          <w:color w:val="202122"/>
          <w:shd w:val="clear" w:color="auto" w:fill="FFFFFF"/>
        </w:rPr>
        <w:t>),</w:t>
      </w:r>
      <w:r w:rsidRPr="00A70189">
        <w:rPr>
          <w:rFonts w:ascii="Calibri" w:hAnsi="Calibri" w:cs="Calibri"/>
          <w:color w:val="202122"/>
          <w:shd w:val="clear" w:color="auto" w:fill="FFFFFF"/>
        </w:rPr>
        <w:t xml:space="preserve"> au </w:t>
      </w:r>
      <w:hyperlink r:id="rId885" w:tooltip="Arbuste" w:history="1">
        <w:r w:rsidRPr="00A70189">
          <w:rPr>
            <w:rStyle w:val="Lienhypertexte"/>
            <w:rFonts w:ascii="Calibri" w:hAnsi="Calibri" w:cs="Calibri"/>
            <w:i/>
            <w:iCs/>
            <w:color w:val="0645AD"/>
            <w:shd w:val="clear" w:color="auto" w:fill="FFFFFF"/>
          </w:rPr>
          <w:t>Zygophyllum album</w:t>
        </w:r>
      </w:hyperlink>
      <w:r w:rsidRPr="00A70189">
        <w:rPr>
          <w:rFonts w:ascii="Calibri" w:hAnsi="Calibri" w:cs="Calibri"/>
          <w:color w:val="202122"/>
          <w:shd w:val="clear" w:color="auto" w:fill="FFFFFF"/>
        </w:rPr>
        <w:t> </w:t>
      </w:r>
      <w:r w:rsidRPr="00A70189">
        <w:rPr>
          <w:rFonts w:ascii="Calibri" w:hAnsi="Calibri" w:cs="Calibri"/>
        </w:rPr>
        <w:t xml:space="preserve">et/ou au </w:t>
      </w:r>
      <w:hyperlink r:id="rId886" w:history="1">
        <w:r w:rsidRPr="00A70189">
          <w:rPr>
            <w:rStyle w:val="Lienhypertexte"/>
            <w:rFonts w:ascii="Calibri" w:hAnsi="Calibri" w:cs="Calibri"/>
            <w:color w:val="0645AD"/>
            <w:shd w:val="clear" w:color="auto" w:fill="FFFFFF"/>
          </w:rPr>
          <w:t>Tamaris du Nil</w:t>
        </w:r>
      </w:hyperlink>
      <w:r w:rsidR="00603C4A">
        <w:rPr>
          <w:rFonts w:ascii="Calibri" w:hAnsi="Calibri" w:cs="Calibri"/>
        </w:rPr>
        <w:t xml:space="preserve"> (</w:t>
      </w:r>
      <w:r w:rsidR="00603C4A" w:rsidRPr="00603C4A">
        <w:rPr>
          <w:rFonts w:ascii="Calibri" w:hAnsi="Calibri" w:cs="Calibri"/>
          <w:i/>
          <w:iCs/>
        </w:rPr>
        <w:t>Tamarix nilotica</w:t>
      </w:r>
      <w:r w:rsidR="00603C4A">
        <w:rPr>
          <w:rFonts w:ascii="Calibri" w:hAnsi="Calibri" w:cs="Calibri"/>
        </w:rPr>
        <w:t>).</w:t>
      </w:r>
    </w:p>
    <w:p w14:paraId="1C51CAC1" w14:textId="325A7896" w:rsidR="00776155" w:rsidRPr="00776155" w:rsidRDefault="00776155" w:rsidP="00776155">
      <w:pPr>
        <w:spacing w:after="0" w:line="240" w:lineRule="auto"/>
        <w:jc w:val="both"/>
      </w:pPr>
      <w:r w:rsidRPr="00776155">
        <w:rPr>
          <w:b/>
          <w:bCs/>
        </w:rPr>
        <w:t>Multiplication</w:t>
      </w:r>
      <w:r w:rsidR="00A70189">
        <w:t> :</w:t>
      </w:r>
      <w:r w:rsidRPr="00776155">
        <w:rPr>
          <w:b/>
          <w:bCs/>
        </w:rPr>
        <w:t xml:space="preserve"> </w:t>
      </w:r>
      <w:r w:rsidRPr="00776155">
        <w:t>Elle se fait par graines, en pépinière ou en milieu naturel. La capacité de germination est bonne.</w:t>
      </w:r>
    </w:p>
    <w:p w14:paraId="08DC0989" w14:textId="3851CD42" w:rsidR="00776155" w:rsidRPr="00776155" w:rsidRDefault="00776155" w:rsidP="00776155">
      <w:pPr>
        <w:spacing w:after="0" w:line="240" w:lineRule="auto"/>
        <w:jc w:val="both"/>
      </w:pPr>
      <w:r w:rsidRPr="00776155">
        <w:rPr>
          <w:b/>
          <w:bCs/>
        </w:rPr>
        <w:t>Utilisations</w:t>
      </w:r>
      <w:r w:rsidR="00A70189">
        <w:t> :</w:t>
      </w:r>
      <w:r w:rsidRPr="00776155">
        <w:rPr>
          <w:b/>
          <w:bCs/>
        </w:rPr>
        <w:t xml:space="preserve"> </w:t>
      </w:r>
      <w:r w:rsidRPr="00776155">
        <w:t>Cette espèce est très appréciée par les dromadaires. Ses fruits, aqueux et légèrement sucrés, sont comestibles. Elle est utilisée pour la fixation biologique des dunes littorales</w:t>
      </w:r>
      <w:r w:rsidR="00A70189">
        <w:t xml:space="preserve">, </w:t>
      </w:r>
      <w:r w:rsidR="00A70189" w:rsidRPr="00A70189">
        <w:t>la stabilisation des sols meubles</w:t>
      </w:r>
      <w:r w:rsidRPr="00776155">
        <w:t xml:space="preserve"> et la régénération des pâturages salés.</w:t>
      </w:r>
      <w:r w:rsidR="00A70189">
        <w:t xml:space="preserve"> </w:t>
      </w:r>
      <w:r w:rsidR="00A70189" w:rsidRPr="00A70189">
        <w:t xml:space="preserve">Le bois est utilisé comme combustible et les fruits sont parfois utilisés pour faire une boisson enivrante. </w:t>
      </w:r>
      <w:r w:rsidR="00A70189" w:rsidRPr="00A70189">
        <w:rPr>
          <w:i/>
          <w:iCs/>
        </w:rPr>
        <w:t>N. retusa</w:t>
      </w:r>
      <w:r w:rsidR="00A70189" w:rsidRPr="00A70189">
        <w:t xml:space="preserve"> est l'une des nombreuses plantes tolérantes au sel étudiées en tant que cultures fourragères potentielles pour le bétail.</w:t>
      </w:r>
    </w:p>
    <w:p w14:paraId="51DE41BE" w14:textId="1D9863F1" w:rsidR="003B2718" w:rsidRDefault="00776155" w:rsidP="00776155">
      <w:pPr>
        <w:spacing w:after="0" w:line="240" w:lineRule="auto"/>
        <w:jc w:val="both"/>
        <w:rPr>
          <w:i/>
          <w:iCs/>
        </w:rPr>
      </w:pPr>
      <w:r w:rsidRPr="00776155">
        <w:t>Source</w:t>
      </w:r>
      <w:r w:rsidR="003B2718">
        <w:t xml:space="preserve">s : a) </w:t>
      </w:r>
      <w:hyperlink r:id="rId887" w:history="1">
        <w:r w:rsidR="003B2718" w:rsidRPr="00CD78C9">
          <w:rPr>
            <w:rStyle w:val="Lienhypertexte"/>
          </w:rPr>
          <w:t>https://en.wikipedia.org/wiki/Nitraria_retusa</w:t>
        </w:r>
      </w:hyperlink>
      <w:r w:rsidR="003B2718">
        <w:t xml:space="preserve"> </w:t>
      </w:r>
      <w:r w:rsidRPr="00776155">
        <w:rPr>
          <w:i/>
          <w:iCs/>
        </w:rPr>
        <w:t xml:space="preserve"> </w:t>
      </w:r>
    </w:p>
    <w:p w14:paraId="7C6681D1" w14:textId="4E5F79FF" w:rsidR="00776155" w:rsidRPr="00776155" w:rsidRDefault="003B2718" w:rsidP="003B2718">
      <w:pPr>
        <w:spacing w:after="0" w:line="240" w:lineRule="auto"/>
      </w:pPr>
      <w:r>
        <w:rPr>
          <w:i/>
          <w:iCs/>
        </w:rPr>
        <w:t xml:space="preserve">b) </w:t>
      </w:r>
      <w:r w:rsidR="00776155" w:rsidRPr="00776155">
        <w:rPr>
          <w:i/>
          <w:iCs/>
        </w:rPr>
        <w:t>Quelques espèces ligneuses et herbacées utilisées pour la fixation des dunes</w:t>
      </w:r>
      <w:r w:rsidR="00776155" w:rsidRPr="00776155">
        <w:t xml:space="preserve">, page 56, </w:t>
      </w:r>
      <w:hyperlink r:id="rId888" w:history="1">
        <w:r w:rsidR="00776155" w:rsidRPr="00776155">
          <w:rPr>
            <w:rStyle w:val="Lienhypertexte"/>
          </w:rPr>
          <w:t>http://www.fao.org/docrep/012/i1488f/i1488f10.pdf</w:t>
        </w:r>
      </w:hyperlink>
      <w:r w:rsidR="00776155" w:rsidRPr="00776155">
        <w:t xml:space="preserve"> </w:t>
      </w:r>
    </w:p>
    <w:p w14:paraId="4C8FA00B" w14:textId="1BD698B0" w:rsidR="00776155" w:rsidRDefault="00776155" w:rsidP="00776155">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1049E0" w14:paraId="51B7F89E" w14:textId="77777777" w:rsidTr="000F7F6B">
        <w:tc>
          <w:tcPr>
            <w:tcW w:w="5208" w:type="dxa"/>
          </w:tcPr>
          <w:p w14:paraId="3E29FB55" w14:textId="42C21C1E" w:rsidR="001049E0" w:rsidRDefault="001049E0" w:rsidP="001049E0">
            <w:pPr>
              <w:jc w:val="center"/>
            </w:pPr>
            <w:r>
              <w:rPr>
                <w:noProof/>
              </w:rPr>
              <w:drawing>
                <wp:inline distT="0" distB="0" distL="0" distR="0" wp14:anchorId="397D571F" wp14:editId="6E5EB7E7">
                  <wp:extent cx="2514600" cy="1819275"/>
                  <wp:effectExtent l="0" t="0" r="0" b="9525"/>
                  <wp:docPr id="40983" name="Image 40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89">
                            <a:extLst>
                              <a:ext uri="{28A0092B-C50C-407E-A947-70E740481C1C}">
                                <a14:useLocalDpi xmlns:a14="http://schemas.microsoft.com/office/drawing/2010/main" val="0"/>
                              </a:ext>
                            </a:extLst>
                          </a:blip>
                          <a:srcRect/>
                          <a:stretch>
                            <a:fillRect/>
                          </a:stretch>
                        </pic:blipFill>
                        <pic:spPr bwMode="auto">
                          <a:xfrm>
                            <a:off x="0" y="0"/>
                            <a:ext cx="2514600" cy="1819275"/>
                          </a:xfrm>
                          <a:prstGeom prst="rect">
                            <a:avLst/>
                          </a:prstGeom>
                          <a:noFill/>
                          <a:ln>
                            <a:noFill/>
                          </a:ln>
                        </pic:spPr>
                      </pic:pic>
                    </a:graphicData>
                  </a:graphic>
                </wp:inline>
              </w:drawing>
            </w:r>
          </w:p>
        </w:tc>
        <w:tc>
          <w:tcPr>
            <w:tcW w:w="5208" w:type="dxa"/>
          </w:tcPr>
          <w:p w14:paraId="6B9BC3EB" w14:textId="4BBBF744" w:rsidR="001049E0" w:rsidRDefault="001049E0" w:rsidP="001049E0">
            <w:pPr>
              <w:jc w:val="center"/>
            </w:pPr>
            <w:r w:rsidRPr="001049E0">
              <w:rPr>
                <w:noProof/>
              </w:rPr>
              <w:drawing>
                <wp:inline distT="0" distB="0" distL="0" distR="0" wp14:anchorId="0509B73C" wp14:editId="60C72FDE">
                  <wp:extent cx="3019040" cy="2016249"/>
                  <wp:effectExtent l="0" t="0" r="0" b="3175"/>
                  <wp:docPr id="40987"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0"/>
                          <pic:cNvPicPr>
                            <a:picLocks noChangeAspect="1"/>
                          </pic:cNvPicPr>
                        </pic:nvPicPr>
                        <pic:blipFill>
                          <a:blip r:embed="rId890">
                            <a:extLst>
                              <a:ext uri="{28A0092B-C50C-407E-A947-70E740481C1C}">
                                <a14:useLocalDpi xmlns:a14="http://schemas.microsoft.com/office/drawing/2010/main" val="0"/>
                              </a:ext>
                            </a:extLst>
                          </a:blip>
                          <a:stretch>
                            <a:fillRect/>
                          </a:stretch>
                        </pic:blipFill>
                        <pic:spPr>
                          <a:xfrm>
                            <a:off x="0" y="0"/>
                            <a:ext cx="3019040" cy="2016249"/>
                          </a:xfrm>
                          <a:prstGeom prst="rect">
                            <a:avLst/>
                          </a:prstGeom>
                        </pic:spPr>
                      </pic:pic>
                    </a:graphicData>
                  </a:graphic>
                </wp:inline>
              </w:drawing>
            </w:r>
          </w:p>
        </w:tc>
      </w:tr>
      <w:tr w:rsidR="001049E0" w14:paraId="378664D8" w14:textId="77777777" w:rsidTr="000F7F6B">
        <w:tc>
          <w:tcPr>
            <w:tcW w:w="5208" w:type="dxa"/>
          </w:tcPr>
          <w:p w14:paraId="19C9B51F" w14:textId="1251FF8D" w:rsidR="001049E0" w:rsidRDefault="001049E0" w:rsidP="001049E0">
            <w:pPr>
              <w:jc w:val="center"/>
            </w:pPr>
            <w:r>
              <w:rPr>
                <w:noProof/>
              </w:rPr>
              <w:drawing>
                <wp:inline distT="0" distB="0" distL="0" distR="0" wp14:anchorId="33888ED8" wp14:editId="5EDE5439">
                  <wp:extent cx="2628900" cy="1743075"/>
                  <wp:effectExtent l="0" t="0" r="0" b="9525"/>
                  <wp:docPr id="40985" name="Image 40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91">
                            <a:extLst>
                              <a:ext uri="{28A0092B-C50C-407E-A947-70E740481C1C}">
                                <a14:useLocalDpi xmlns:a14="http://schemas.microsoft.com/office/drawing/2010/main" val="0"/>
                              </a:ext>
                            </a:extLst>
                          </a:blip>
                          <a:srcRect/>
                          <a:stretch>
                            <a:fillRect/>
                          </a:stretch>
                        </pic:blipFill>
                        <pic:spPr bwMode="auto">
                          <a:xfrm>
                            <a:off x="0" y="0"/>
                            <a:ext cx="2628900" cy="1743075"/>
                          </a:xfrm>
                          <a:prstGeom prst="rect">
                            <a:avLst/>
                          </a:prstGeom>
                          <a:noFill/>
                          <a:ln>
                            <a:noFill/>
                          </a:ln>
                        </pic:spPr>
                      </pic:pic>
                    </a:graphicData>
                  </a:graphic>
                </wp:inline>
              </w:drawing>
            </w:r>
          </w:p>
        </w:tc>
        <w:tc>
          <w:tcPr>
            <w:tcW w:w="5208" w:type="dxa"/>
          </w:tcPr>
          <w:p w14:paraId="2F15AD34" w14:textId="77777777" w:rsidR="00F0170C" w:rsidRDefault="00F0170C" w:rsidP="001049E0">
            <w:pPr>
              <w:jc w:val="center"/>
            </w:pPr>
          </w:p>
          <w:p w14:paraId="34F35D6C" w14:textId="2D1238B1" w:rsidR="001049E0" w:rsidRDefault="001049E0" w:rsidP="001049E0">
            <w:pPr>
              <w:jc w:val="center"/>
            </w:pPr>
            <w:r>
              <w:rPr>
                <w:noProof/>
              </w:rPr>
              <w:drawing>
                <wp:inline distT="0" distB="0" distL="0" distR="0" wp14:anchorId="4B0B39EA" wp14:editId="08B9B222">
                  <wp:extent cx="2609850" cy="1752600"/>
                  <wp:effectExtent l="0" t="0" r="0" b="0"/>
                  <wp:docPr id="40984" name="Image 40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92">
                            <a:extLst>
                              <a:ext uri="{28A0092B-C50C-407E-A947-70E740481C1C}">
                                <a14:useLocalDpi xmlns:a14="http://schemas.microsoft.com/office/drawing/2010/main" val="0"/>
                              </a:ext>
                            </a:extLst>
                          </a:blip>
                          <a:srcRect/>
                          <a:stretch>
                            <a:fillRect/>
                          </a:stretch>
                        </pic:blipFill>
                        <pic:spPr bwMode="auto">
                          <a:xfrm>
                            <a:off x="0" y="0"/>
                            <a:ext cx="2609850" cy="1752600"/>
                          </a:xfrm>
                          <a:prstGeom prst="rect">
                            <a:avLst/>
                          </a:prstGeom>
                          <a:noFill/>
                          <a:ln>
                            <a:noFill/>
                          </a:ln>
                        </pic:spPr>
                      </pic:pic>
                    </a:graphicData>
                  </a:graphic>
                </wp:inline>
              </w:drawing>
            </w:r>
          </w:p>
          <w:p w14:paraId="6A361311" w14:textId="69E94470" w:rsidR="000F7F6B" w:rsidRDefault="000F7F6B" w:rsidP="001049E0">
            <w:pPr>
              <w:jc w:val="center"/>
            </w:pPr>
          </w:p>
        </w:tc>
      </w:tr>
      <w:tr w:rsidR="001049E0" w14:paraId="1B0F7D29" w14:textId="77777777" w:rsidTr="000F7F6B">
        <w:tc>
          <w:tcPr>
            <w:tcW w:w="5208" w:type="dxa"/>
          </w:tcPr>
          <w:p w14:paraId="39D77B00" w14:textId="4869C2BE" w:rsidR="001049E0" w:rsidRDefault="001049E0" w:rsidP="001049E0">
            <w:pPr>
              <w:jc w:val="center"/>
            </w:pPr>
            <w:r>
              <w:rPr>
                <w:noProof/>
              </w:rPr>
              <w:lastRenderedPageBreak/>
              <w:drawing>
                <wp:inline distT="0" distB="0" distL="0" distR="0" wp14:anchorId="1C60D9AD" wp14:editId="4A8B95D8">
                  <wp:extent cx="2466975" cy="1847850"/>
                  <wp:effectExtent l="0" t="0" r="9525" b="0"/>
                  <wp:docPr id="40986" name="Image 40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93">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pic:spPr>
                      </pic:pic>
                    </a:graphicData>
                  </a:graphic>
                </wp:inline>
              </w:drawing>
            </w:r>
          </w:p>
        </w:tc>
        <w:tc>
          <w:tcPr>
            <w:tcW w:w="5208" w:type="dxa"/>
          </w:tcPr>
          <w:p w14:paraId="1A96823F" w14:textId="285F4510" w:rsidR="001049E0" w:rsidRDefault="000F7F6B" w:rsidP="001049E0">
            <w:pPr>
              <w:jc w:val="center"/>
            </w:pPr>
            <w:r>
              <w:rPr>
                <w:noProof/>
              </w:rPr>
              <w:drawing>
                <wp:inline distT="0" distB="0" distL="0" distR="0" wp14:anchorId="5104DB04" wp14:editId="33B10024">
                  <wp:extent cx="2619375" cy="1743075"/>
                  <wp:effectExtent l="0" t="0" r="9525" b="9525"/>
                  <wp:docPr id="40991" name="Image 40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94">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pic:spPr>
                      </pic:pic>
                    </a:graphicData>
                  </a:graphic>
                </wp:inline>
              </w:drawing>
            </w:r>
          </w:p>
        </w:tc>
      </w:tr>
    </w:tbl>
    <w:p w14:paraId="32E7DFFB" w14:textId="3D47D730" w:rsidR="006970D9" w:rsidRDefault="001049E0" w:rsidP="00D87D3F">
      <w:pPr>
        <w:spacing w:after="0" w:line="240" w:lineRule="auto"/>
        <w:jc w:val="center"/>
      </w:pPr>
      <w:r>
        <w:rPr>
          <w:noProof/>
        </w:rPr>
        <w:drawing>
          <wp:inline distT="0" distB="0" distL="0" distR="0" wp14:anchorId="1F581A21" wp14:editId="22A022CA">
            <wp:extent cx="6620510" cy="4145915"/>
            <wp:effectExtent l="0" t="0" r="8890" b="6985"/>
            <wp:docPr id="40988" name="Image 40988"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8" name="Image 40988" descr="Une image contenant texte&#10;&#10;Description générée automatiquement"/>
                    <pic:cNvPicPr>
                      <a:picLocks noChangeAspect="1" noChangeArrowheads="1"/>
                    </pic:cNvPicPr>
                  </pic:nvPicPr>
                  <pic:blipFill>
                    <a:blip r:embed="rId895">
                      <a:extLst>
                        <a:ext uri="{28A0092B-C50C-407E-A947-70E740481C1C}">
                          <a14:useLocalDpi xmlns:a14="http://schemas.microsoft.com/office/drawing/2010/main" val="0"/>
                        </a:ext>
                      </a:extLst>
                    </a:blip>
                    <a:srcRect/>
                    <a:stretch>
                      <a:fillRect/>
                    </a:stretch>
                  </pic:blipFill>
                  <pic:spPr bwMode="auto">
                    <a:xfrm>
                      <a:off x="0" y="0"/>
                      <a:ext cx="6620510" cy="4145915"/>
                    </a:xfrm>
                    <a:prstGeom prst="rect">
                      <a:avLst/>
                    </a:prstGeom>
                    <a:noFill/>
                    <a:ln>
                      <a:noFill/>
                    </a:ln>
                  </pic:spPr>
                </pic:pic>
              </a:graphicData>
            </a:graphic>
          </wp:inline>
        </w:drawing>
      </w:r>
    </w:p>
    <w:p w14:paraId="0F9194EA" w14:textId="77777777" w:rsidR="002558DF" w:rsidRDefault="002558DF" w:rsidP="00D87D3F">
      <w:pPr>
        <w:pStyle w:val="Titre2"/>
      </w:pPr>
      <w:bookmarkStart w:id="95" w:name="_Toc139181386"/>
      <w:r>
        <w:t>Saxaoul ou saxaul (</w:t>
      </w:r>
      <w:r w:rsidRPr="00D87D3F">
        <w:rPr>
          <w:i/>
          <w:iCs/>
        </w:rPr>
        <w:t>Haloxylon ammodendron</w:t>
      </w:r>
      <w:r>
        <w:t>)</w:t>
      </w:r>
      <w:bookmarkEnd w:id="95"/>
    </w:p>
    <w:p w14:paraId="5F0A7C7E" w14:textId="1193E16B" w:rsidR="002558DF" w:rsidRDefault="002558DF" w:rsidP="002558DF">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2714"/>
        <w:gridCol w:w="1536"/>
        <w:gridCol w:w="413"/>
        <w:gridCol w:w="1368"/>
      </w:tblGrid>
      <w:tr w:rsidR="00970670" w:rsidRPr="000B6BE3" w14:paraId="558F0C57" w14:textId="77777777" w:rsidTr="00A92A34">
        <w:tc>
          <w:tcPr>
            <w:tcW w:w="4395" w:type="dxa"/>
          </w:tcPr>
          <w:p w14:paraId="22D93889" w14:textId="12469011" w:rsidR="00970670" w:rsidRPr="000B6BE3" w:rsidRDefault="00970670" w:rsidP="00FA4BA8">
            <w:pPr>
              <w:jc w:val="both"/>
              <w:rPr>
                <w:rFonts w:cstheme="minorHAnsi"/>
              </w:rPr>
            </w:pPr>
            <w:r>
              <w:rPr>
                <w:rFonts w:ascii="Calibri" w:hAnsi="Calibri" w:cs="Calibri"/>
                <w:bCs/>
              </w:rPr>
              <w:t>(</w:t>
            </w:r>
            <w:r w:rsidR="00A92A34">
              <w:rPr>
                <w:rFonts w:ascii="Calibri" w:hAnsi="Calibri" w:cs="Calibri"/>
                <w:bCs/>
              </w:rPr>
              <w:t>F</w:t>
            </w:r>
            <w:r>
              <w:t>amille des Chenopodiaceae</w:t>
            </w:r>
            <w:r w:rsidR="00A92A34">
              <w:t>,</w:t>
            </w:r>
            <w:r>
              <w:t> en classification classique</w:t>
            </w:r>
            <w:r w:rsidR="00A92A34">
              <w:t>. F</w:t>
            </w:r>
            <w:r>
              <w:t>amille des </w:t>
            </w:r>
            <w:r w:rsidRPr="002558DF">
              <w:rPr>
                <w:i/>
                <w:iCs/>
              </w:rPr>
              <w:t>Amaranthaceae</w:t>
            </w:r>
            <w:r>
              <w:t> en classification phylogénétique</w:t>
            </w:r>
            <w:r>
              <w:rPr>
                <w:rFonts w:ascii="Calibri" w:hAnsi="Calibri" w:cs="Calibri"/>
                <w:bCs/>
              </w:rPr>
              <w:t>)</w:t>
            </w:r>
            <w:r w:rsidRPr="00DE2C3A">
              <w:rPr>
                <w:rFonts w:ascii="Calibri" w:hAnsi="Calibri" w:cs="Calibri"/>
                <w:bCs/>
              </w:rPr>
              <w:t>.</w:t>
            </w:r>
          </w:p>
        </w:tc>
        <w:tc>
          <w:tcPr>
            <w:tcW w:w="2714" w:type="dxa"/>
          </w:tcPr>
          <w:p w14:paraId="025A99FE" w14:textId="4780926F" w:rsidR="00970670" w:rsidRPr="000B6BE3" w:rsidRDefault="00970670" w:rsidP="005C76A4">
            <w:pPr>
              <w:rPr>
                <w:rFonts w:cstheme="minorHAnsi"/>
              </w:rPr>
            </w:pPr>
            <w:r w:rsidRPr="000B6BE3">
              <w:rPr>
                <w:rFonts w:cstheme="minorHAnsi"/>
                <w:noProof/>
              </w:rPr>
              <w:t xml:space="preserve">  </w:t>
            </w:r>
            <w:r>
              <w:rPr>
                <w:rFonts w:cstheme="minorHAnsi"/>
                <w:noProof/>
              </w:rPr>
              <w:t xml:space="preserve">     </w:t>
            </w:r>
            <w:r w:rsidRPr="005C50C9">
              <w:rPr>
                <w:rFonts w:cstheme="minorHAnsi"/>
                <w:noProof/>
              </w:rPr>
              <w:drawing>
                <wp:inline distT="0" distB="0" distL="0" distR="0" wp14:anchorId="6BD9558C" wp14:editId="0BB3C3F0">
                  <wp:extent cx="495300" cy="666750"/>
                  <wp:effectExtent l="0" t="0" r="0" b="0"/>
                  <wp:docPr id="9216" name="Image 15"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8" name="Image 15" descr="logo aride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w:t>
            </w:r>
            <w:r w:rsidRPr="008F2681">
              <w:rPr>
                <w:rFonts w:cstheme="minorHAnsi"/>
                <w:noProof/>
              </w:rPr>
              <w:drawing>
                <wp:inline distT="0" distB="0" distL="0" distR="0" wp14:anchorId="0A708D35" wp14:editId="1AE5D484">
                  <wp:extent cx="463550" cy="661988"/>
                  <wp:effectExtent l="0" t="0" r="0" b="5080"/>
                  <wp:docPr id="9217"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w:t>
            </w:r>
            <w:r w:rsidR="00A92A34">
              <w:rPr>
                <w:rFonts w:cstheme="minorHAnsi"/>
                <w:noProof/>
              </w:rPr>
              <w:t xml:space="preserve"> </w:t>
            </w:r>
            <w:r w:rsidR="00A92A34" w:rsidRPr="00A92A34">
              <w:rPr>
                <w:rFonts w:cstheme="minorHAnsi"/>
                <w:noProof/>
              </w:rPr>
              <w:drawing>
                <wp:inline distT="0" distB="0" distL="0" distR="0" wp14:anchorId="2A7E7874" wp14:editId="50DFC298">
                  <wp:extent cx="304800" cy="304800"/>
                  <wp:effectExtent l="0" t="0" r="0" b="0"/>
                  <wp:docPr id="921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6"/>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p>
        </w:tc>
        <w:tc>
          <w:tcPr>
            <w:tcW w:w="1536" w:type="dxa"/>
          </w:tcPr>
          <w:p w14:paraId="68D25DEB" w14:textId="379AC9E0" w:rsidR="00970670" w:rsidRPr="002E01BB" w:rsidRDefault="00970670" w:rsidP="005C76A4">
            <w:pPr>
              <w:rPr>
                <w:rFonts w:eastAsia="+mn-ea" w:cstheme="minorHAnsi"/>
                <w:b/>
                <w:bCs/>
                <w:color w:val="008000"/>
                <w:kern w:val="24"/>
                <w:sz w:val="56"/>
                <w:szCs w:val="56"/>
              </w:rPr>
            </w:pPr>
            <w:r w:rsidRPr="00D1445E">
              <w:rPr>
                <w:rFonts w:eastAsia="+mn-ea" w:cstheme="minorHAnsi"/>
                <w:b/>
                <w:bCs/>
                <w:color w:val="008000"/>
                <w:kern w:val="24"/>
                <w:sz w:val="56"/>
                <w:szCs w:val="56"/>
              </w:rPr>
              <w:t>U</w:t>
            </w:r>
            <w:r w:rsidR="00A92A34">
              <w:rPr>
                <w:rFonts w:eastAsia="+mn-ea" w:cstheme="minorHAnsi"/>
                <w:b/>
                <w:bCs/>
                <w:color w:val="008000"/>
                <w:kern w:val="24"/>
                <w:sz w:val="56"/>
                <w:szCs w:val="56"/>
              </w:rPr>
              <w:t xml:space="preserve"> </w:t>
            </w:r>
            <w:r w:rsidR="00A92A34">
              <w:rPr>
                <w:rFonts w:ascii="Calibri" w:eastAsia="+mn-ea" w:hAnsi="Calibri" w:cs="Calibri"/>
                <w:b/>
                <w:bCs/>
                <w:color w:val="008000"/>
                <w:kern w:val="24"/>
                <w:sz w:val="56"/>
                <w:szCs w:val="56"/>
              </w:rPr>
              <w:t>↗</w:t>
            </w:r>
          </w:p>
          <w:p w14:paraId="6969E680" w14:textId="77777777" w:rsidR="00970670" w:rsidRPr="000B6BE3" w:rsidRDefault="00970670" w:rsidP="005C76A4">
            <w:pPr>
              <w:textAlignment w:val="baseline"/>
              <w:rPr>
                <w:rFonts w:cstheme="minorHAnsi"/>
              </w:rPr>
            </w:pPr>
          </w:p>
        </w:tc>
        <w:tc>
          <w:tcPr>
            <w:tcW w:w="413" w:type="dxa"/>
          </w:tcPr>
          <w:p w14:paraId="1EBC9D16" w14:textId="77777777" w:rsidR="00970670" w:rsidRPr="000B6BE3" w:rsidRDefault="00970670" w:rsidP="005C76A4">
            <w:pPr>
              <w:rPr>
                <w:rFonts w:cstheme="minorHAnsi"/>
              </w:rPr>
            </w:pPr>
          </w:p>
        </w:tc>
        <w:tc>
          <w:tcPr>
            <w:tcW w:w="1368" w:type="dxa"/>
          </w:tcPr>
          <w:p w14:paraId="44E30DA3" w14:textId="6AC9A1B0" w:rsidR="00970670" w:rsidRPr="000B6BE3" w:rsidRDefault="003250C5" w:rsidP="005C76A4">
            <w:pPr>
              <w:rPr>
                <w:rFonts w:cstheme="minorHAnsi"/>
              </w:rPr>
            </w:pPr>
            <w:r w:rsidRPr="00853ED0">
              <w:rPr>
                <w:noProof/>
              </w:rPr>
              <w:drawing>
                <wp:inline distT="0" distB="0" distL="0" distR="0" wp14:anchorId="544CD9FE" wp14:editId="2353C542">
                  <wp:extent cx="400050" cy="352425"/>
                  <wp:effectExtent l="0" t="0" r="0" b="9525"/>
                  <wp:docPr id="104476" name="Image 21">
                    <a:extLst xmlns:a="http://schemas.openxmlformats.org/drawingml/2006/main">
                      <a:ext uri="{FF2B5EF4-FFF2-40B4-BE49-F238E27FC236}">
                        <a16:creationId xmlns:a16="http://schemas.microsoft.com/office/drawing/2014/main" id="{F52353B3-AA67-41AB-ACE3-C9465695F4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3" name="Image 21">
                            <a:extLst>
                              <a:ext uri="{FF2B5EF4-FFF2-40B4-BE49-F238E27FC236}">
                                <a16:creationId xmlns:a16="http://schemas.microsoft.com/office/drawing/2014/main" id="{F52353B3-AA67-41AB-ACE3-C9465695F4BE}"/>
                              </a:ext>
                            </a:extLst>
                          </pic:cNvPr>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713B8781" w14:textId="77777777" w:rsidR="00970670" w:rsidRDefault="00970670" w:rsidP="002558DF">
      <w:pPr>
        <w:spacing w:after="0" w:line="240" w:lineRule="auto"/>
        <w:jc w:val="both"/>
      </w:pPr>
    </w:p>
    <w:p w14:paraId="3056E36A" w14:textId="56843D6A" w:rsidR="002558DF" w:rsidRDefault="002558DF" w:rsidP="002558DF">
      <w:pPr>
        <w:spacing w:after="0" w:line="240" w:lineRule="auto"/>
        <w:jc w:val="both"/>
      </w:pPr>
      <w:r>
        <w:t>C’est un arbuste dicotylédone, sempervirent d'environ 2 m de haut qui peut atteindre 9 m de haut, aux feuilles squamiformes, réduites à des </w:t>
      </w:r>
      <w:r w:rsidRPr="003250C5">
        <w:rPr>
          <w:i/>
          <w:iCs/>
        </w:rPr>
        <w:t>épine</w:t>
      </w:r>
      <w:r>
        <w:t>s vertes, endémique de l'Asie centrale.</w:t>
      </w:r>
    </w:p>
    <w:p w14:paraId="6D69F11D" w14:textId="653DE98A" w:rsidR="00107C5F" w:rsidRDefault="00107C5F" w:rsidP="002558DF">
      <w:pPr>
        <w:spacing w:after="0" w:line="240" w:lineRule="auto"/>
        <w:jc w:val="both"/>
      </w:pPr>
      <w:r w:rsidRPr="00107C5F">
        <w:t>Les fleurs sont bisexuées ou mâles, très petites, aussi longues ou plus courtes que les bractéoles. La période de floraison est de mars à avril</w:t>
      </w:r>
      <w:r>
        <w:t xml:space="preserve"> (autre source :</w:t>
      </w:r>
      <w:r w:rsidRPr="00107C5F">
        <w:t xml:space="preserve"> </w:t>
      </w:r>
      <w:r>
        <w:t>l</w:t>
      </w:r>
      <w:r w:rsidR="002558DF">
        <w:t>'éclosion des fleurs, petites et jaunes se fait entre avril et juin</w:t>
      </w:r>
      <w:r>
        <w:t>)</w:t>
      </w:r>
      <w:r w:rsidR="002558DF">
        <w:t xml:space="preserve">. </w:t>
      </w:r>
      <w:r w:rsidRPr="00107C5F">
        <w:t>Les inflorescences sont constituées de courtes pousses latérales portées sur les tiges de l'année précédente. Dans le fruit, les segments du périanthe développent des ailes étalées brun pâle ou blanches. Le diamètre du fruit ailé est d'environ 8 mm. La graine a un diamètre de 1,5 mm. La période de fructification est d'octobre à novembre</w:t>
      </w:r>
      <w:r>
        <w:t xml:space="preserve"> (Autre source : Les fruits, des utricules vert foncé, apparaissent en septembre et contiennent des graines noires)</w:t>
      </w:r>
      <w:r w:rsidRPr="00107C5F">
        <w:t>.</w:t>
      </w:r>
    </w:p>
    <w:p w14:paraId="105F13BB" w14:textId="20D38389" w:rsidR="002558DF" w:rsidRDefault="002558DF" w:rsidP="002558DF">
      <w:pPr>
        <w:spacing w:after="0" w:line="240" w:lineRule="auto"/>
        <w:jc w:val="both"/>
      </w:pPr>
      <w:r>
        <w:lastRenderedPageBreak/>
        <w:t>Il joue un rôle primordial dans la prévention de la dégradation et de l’érosion des dunes de sable, grâce à ses racines qui s’enfoncent très profondément dans le sol. De plus, les forêts de saxaoul diminuent l’intensité et le danger lié aux tempêtes de sable. Il constitue également la ressource essentielle en bois de chauffage et de construction pour les abris permanents ou temporaires. De plus, il est indispensable à la présence de troupeaux d'animaux dans le désert.</w:t>
      </w:r>
    </w:p>
    <w:p w14:paraId="2A84A595" w14:textId="1F572E83" w:rsidR="002558DF" w:rsidRDefault="002558DF" w:rsidP="002558DF">
      <w:pPr>
        <w:spacing w:after="0" w:line="240" w:lineRule="auto"/>
        <w:jc w:val="both"/>
      </w:pPr>
      <w:r>
        <w:t>On le trouve dans les déserts arides et salés de l'Asie centrale, particulièrement dans la région du Turkestan et à l'est de la Mer Caspienne, mais également dans le désert de Gobi et dans les déserts iraniens. Il est le plus souvent regroupé en "forêts".</w:t>
      </w:r>
    </w:p>
    <w:p w14:paraId="3DD104E5" w14:textId="77777777" w:rsidR="002558DF" w:rsidRDefault="002558DF" w:rsidP="002558DF">
      <w:pPr>
        <w:spacing w:after="0" w:line="240" w:lineRule="auto"/>
        <w:jc w:val="both"/>
      </w:pPr>
      <w:r>
        <w:t>Il possède des racines profondes et succulentes lui permettant de prospérer dans des environnements arides, salins ou sablonneux. Sa densité de son bois très dur est telle qu'il coule. Son écorce épaisse gris clair contient de l’eau.</w:t>
      </w:r>
    </w:p>
    <w:p w14:paraId="16B58EC6" w14:textId="61E790CF" w:rsidR="002558DF" w:rsidRDefault="002558DF" w:rsidP="002558DF">
      <w:pPr>
        <w:spacing w:after="0" w:line="240" w:lineRule="auto"/>
        <w:jc w:val="both"/>
      </w:pPr>
      <w:r>
        <w:t>Deux autres espèces proches du genre </w:t>
      </w:r>
      <w:r w:rsidRPr="002558DF">
        <w:rPr>
          <w:i/>
          <w:iCs/>
        </w:rPr>
        <w:t>Haloxylon</w:t>
      </w:r>
      <w:r>
        <w:t>, </w:t>
      </w:r>
      <w:r w:rsidRPr="002558DF">
        <w:rPr>
          <w:i/>
          <w:iCs/>
        </w:rPr>
        <w:t>Haloxylon aphyllum</w:t>
      </w:r>
      <w:r>
        <w:t> ou Saxaoul noir et </w:t>
      </w:r>
      <w:r w:rsidRPr="002558DF">
        <w:rPr>
          <w:i/>
          <w:iCs/>
        </w:rPr>
        <w:t>Haloxylon persicum</w:t>
      </w:r>
      <w:r>
        <w:t> ou Saxaoul blanc</w:t>
      </w:r>
      <w:r w:rsidR="00A92A34">
        <w:t>, existent</w:t>
      </w:r>
      <w:r>
        <w:t>.</w:t>
      </w:r>
    </w:p>
    <w:p w14:paraId="7558ADA2" w14:textId="02C495EF" w:rsidR="00A92A34" w:rsidRDefault="000B630B" w:rsidP="002558DF">
      <w:pPr>
        <w:spacing w:after="0" w:line="240" w:lineRule="auto"/>
        <w:jc w:val="both"/>
      </w:pPr>
      <w:r w:rsidRPr="000B630B">
        <w:rPr>
          <w:b/>
          <w:bCs/>
        </w:rPr>
        <w:t>Menaces sur l’espèce</w:t>
      </w:r>
      <w:r>
        <w:t xml:space="preserve"> : </w:t>
      </w:r>
      <w:r w:rsidR="002558DF">
        <w:t>La pression humaine</w:t>
      </w:r>
      <w:r>
        <w:t>,</w:t>
      </w:r>
      <w:r w:rsidR="002558DF">
        <w:t xml:space="preserve"> l’utilis</w:t>
      </w:r>
      <w:r>
        <w:t>ant</w:t>
      </w:r>
      <w:r w:rsidR="002558DF">
        <w:t xml:space="preserve"> comme bois de feu</w:t>
      </w:r>
      <w:r>
        <w:t xml:space="preserve"> ou carburant (lors de la crise de l’énergie de l’Asie centrale de 2008),</w:t>
      </w:r>
      <w:r w:rsidR="002558DF">
        <w:t xml:space="preserve"> l’a conduit à être inscrit comme en danger d'extinction. Le saxaul est planté sur une grande échelle dans le boisement des zones arides en Chine.</w:t>
      </w:r>
      <w:r w:rsidR="00A92A34">
        <w:t xml:space="preserve"> </w:t>
      </w:r>
      <w:r w:rsidR="00A92A34" w:rsidRPr="00A92A34">
        <w:t>L’Ouzbékistan a planté 27 000 hectares de saxaoul.</w:t>
      </w:r>
    </w:p>
    <w:p w14:paraId="161F8FE2" w14:textId="45B350B4" w:rsidR="002558DF" w:rsidRDefault="002558DF" w:rsidP="002558DF">
      <w:pPr>
        <w:spacing w:after="0" w:line="240" w:lineRule="auto"/>
        <w:jc w:val="both"/>
      </w:pPr>
      <w:r>
        <w:t xml:space="preserve"> Il peut être attaqué par T</w:t>
      </w:r>
      <w:r w:rsidRPr="00214236">
        <w:rPr>
          <w:i/>
          <w:iCs/>
        </w:rPr>
        <w:t>urcmenigena varentzovi</w:t>
      </w:r>
      <w:r>
        <w:t>.</w:t>
      </w:r>
      <w:r w:rsidR="00A92A34">
        <w:t xml:space="preserve"> </w:t>
      </w:r>
      <w:r>
        <w:t>Le saxaoul est atteint d'une maladie fongique due à </w:t>
      </w:r>
      <w:r w:rsidRPr="002558DF">
        <w:rPr>
          <w:i/>
          <w:iCs/>
        </w:rPr>
        <w:t>Erysiphe saxaouli</w:t>
      </w:r>
      <w:r>
        <w:t xml:space="preserve"> : les arbres semblent recouverts d'une couche de cendre.</w:t>
      </w:r>
    </w:p>
    <w:p w14:paraId="53DF9AC1" w14:textId="671F143C" w:rsidR="002558DF" w:rsidRPr="002558DF" w:rsidRDefault="002558DF" w:rsidP="002558DF">
      <w:pPr>
        <w:spacing w:after="0" w:line="240" w:lineRule="auto"/>
        <w:rPr>
          <w:lang w:val="en-GB"/>
        </w:rPr>
      </w:pPr>
      <w:r w:rsidRPr="002558DF">
        <w:rPr>
          <w:lang w:val="en-GB"/>
        </w:rPr>
        <w:t xml:space="preserve">Sources : a) </w:t>
      </w:r>
      <w:hyperlink r:id="rId896" w:history="1">
        <w:r w:rsidR="008C0CF1" w:rsidRPr="00CD78C9">
          <w:rPr>
            <w:rStyle w:val="Lienhypertexte"/>
            <w:lang w:val="en-GB"/>
          </w:rPr>
          <w:t>http://fr.wikipedia.org/wiki/Haloxylon_ammodendron</w:t>
        </w:r>
      </w:hyperlink>
      <w:r w:rsidRPr="002558DF">
        <w:rPr>
          <w:lang w:val="en-GB"/>
        </w:rPr>
        <w:t>,</w:t>
      </w:r>
      <w:r w:rsidR="008C0CF1">
        <w:rPr>
          <w:lang w:val="en-GB"/>
        </w:rPr>
        <w:t xml:space="preserve"> </w:t>
      </w:r>
      <w:r w:rsidRPr="002558DF">
        <w:rPr>
          <w:lang w:val="en-GB"/>
        </w:rPr>
        <w:t>b) Farangis Najibullah (January 13, 2008). "</w:t>
      </w:r>
      <w:r w:rsidRPr="00A92A34">
        <w:rPr>
          <w:i/>
          <w:iCs/>
          <w:lang w:val="en-GB"/>
        </w:rPr>
        <w:t>Tajikistan: Energy shortages, extreme cold create crisis situation</w:t>
      </w:r>
      <w:r w:rsidRPr="002558DF">
        <w:rPr>
          <w:lang w:val="en-GB"/>
        </w:rPr>
        <w:t xml:space="preserve">“, </w:t>
      </w:r>
      <w:hyperlink r:id="rId897" w:history="1">
        <w:r w:rsidR="008C0CF1" w:rsidRPr="00CD78C9">
          <w:rPr>
            <w:rStyle w:val="Lienhypertexte"/>
            <w:lang w:val="en-GB"/>
          </w:rPr>
          <w:t>http://www.eurasianet.org/departments/insight/articles/pp011308.shtml</w:t>
        </w:r>
      </w:hyperlink>
      <w:r w:rsidRPr="002558DF">
        <w:rPr>
          <w:lang w:val="en-GB"/>
        </w:rPr>
        <w:t>,</w:t>
      </w:r>
      <w:r w:rsidR="008C0CF1">
        <w:rPr>
          <w:lang w:val="en-GB"/>
        </w:rPr>
        <w:t xml:space="preserve"> </w:t>
      </w:r>
    </w:p>
    <w:p w14:paraId="62CC35CF" w14:textId="1153913B" w:rsidR="000F7F6B" w:rsidRPr="002558DF" w:rsidRDefault="002558DF" w:rsidP="002558DF">
      <w:pPr>
        <w:spacing w:after="0" w:line="240" w:lineRule="auto"/>
        <w:rPr>
          <w:lang w:val="en-GB"/>
        </w:rPr>
      </w:pPr>
      <w:r w:rsidRPr="002558DF">
        <w:rPr>
          <w:lang w:val="en-GB"/>
        </w:rPr>
        <w:t xml:space="preserve">c) </w:t>
      </w:r>
      <w:hyperlink r:id="rId898" w:history="1">
        <w:r w:rsidR="008C0CF1" w:rsidRPr="00CD78C9">
          <w:rPr>
            <w:rStyle w:val="Lienhypertexte"/>
            <w:lang w:val="en-GB"/>
          </w:rPr>
          <w:t>http://en.wikipedia.org/wiki/Haloxylon_ammodendron</w:t>
        </w:r>
      </w:hyperlink>
      <w:r w:rsidRPr="002558DF">
        <w:rPr>
          <w:lang w:val="en-GB"/>
        </w:rPr>
        <w:t>,</w:t>
      </w:r>
      <w:r w:rsidR="008C0CF1">
        <w:rPr>
          <w:lang w:val="en-GB"/>
        </w:rPr>
        <w:t xml:space="preserve"> </w:t>
      </w:r>
      <w:r w:rsidRPr="002558DF">
        <w:rPr>
          <w:lang w:val="en-GB"/>
        </w:rPr>
        <w:t>d)</w:t>
      </w:r>
      <w:r w:rsidR="009B60FD">
        <w:rPr>
          <w:lang w:val="en-GB"/>
        </w:rPr>
        <w:t xml:space="preserve"> </w:t>
      </w:r>
      <w:hyperlink r:id="rId899" w:history="1">
        <w:r w:rsidR="009B60FD" w:rsidRPr="00CD78C9">
          <w:rPr>
            <w:rStyle w:val="Lienhypertexte"/>
            <w:lang w:val="en-GB"/>
          </w:rPr>
          <w:t>https://fr.wikipedia.org/wiki/Haloxylon_ammodendron</w:t>
        </w:r>
      </w:hyperlink>
      <w:r w:rsidR="009B60FD">
        <w:rPr>
          <w:lang w:val="en-GB"/>
        </w:rPr>
        <w:t>, d)</w:t>
      </w:r>
      <w:r w:rsidRPr="002558DF">
        <w:rPr>
          <w:lang w:val="en-GB"/>
        </w:rPr>
        <w:t xml:space="preserve"> </w:t>
      </w:r>
      <w:hyperlink r:id="rId900" w:history="1">
        <w:r w:rsidR="008C0CF1" w:rsidRPr="00CD78C9">
          <w:rPr>
            <w:rStyle w:val="Lienhypertexte"/>
            <w:lang w:val="en-GB"/>
          </w:rPr>
          <w:t>http://en.wikipedia.org/wiki/Haloxylon_persicum</w:t>
        </w:r>
      </w:hyperlink>
      <w:r w:rsidR="008C0CF1">
        <w:rPr>
          <w:lang w:val="en-GB"/>
        </w:rPr>
        <w:t xml:space="preserve"> </w:t>
      </w:r>
      <w:r w:rsidRPr="002558DF">
        <w:rPr>
          <w:lang w:val="en-GB"/>
        </w:rPr>
        <w:t xml:space="preserve">   </w:t>
      </w:r>
    </w:p>
    <w:p w14:paraId="63593CA0" w14:textId="43D84355" w:rsidR="004A1E64" w:rsidRDefault="004A1E64" w:rsidP="00752617">
      <w:pPr>
        <w:spacing w:after="0" w:line="240" w:lineRule="auto"/>
        <w:rPr>
          <w:lang w:val="en-G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A92A34" w14:paraId="0E31C030" w14:textId="77777777" w:rsidTr="006970D9">
        <w:tc>
          <w:tcPr>
            <w:tcW w:w="5208" w:type="dxa"/>
          </w:tcPr>
          <w:p w14:paraId="7EBBD804" w14:textId="77777777" w:rsidR="00A92A34" w:rsidRDefault="00A92A34" w:rsidP="00A92A34">
            <w:pPr>
              <w:jc w:val="center"/>
              <w:rPr>
                <w:lang w:val="en-GB"/>
              </w:rPr>
            </w:pPr>
            <w:r w:rsidRPr="00A92A34">
              <w:rPr>
                <w:noProof/>
              </w:rPr>
              <w:drawing>
                <wp:inline distT="0" distB="0" distL="0" distR="0" wp14:anchorId="02F761B7" wp14:editId="676C4B7F">
                  <wp:extent cx="2249488" cy="1685925"/>
                  <wp:effectExtent l="0" t="0" r="0" b="0"/>
                  <wp:docPr id="9219" name="Picture 4" descr="C:\Users\LISAN\Pictures\Plantes fourragères\Haloxylon aphyllu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4" descr="C:\Users\LISAN\Pictures\Plantes fourragères\Haloxylon aphyllum2.jpg"/>
                          <pic:cNvPicPr>
                            <a:picLocks noChangeAspect="1" noChangeArrowheads="1"/>
                          </pic:cNvPicPr>
                        </pic:nvPicPr>
                        <pic:blipFill>
                          <a:blip r:embed="rId901">
                            <a:extLst>
                              <a:ext uri="{28A0092B-C50C-407E-A947-70E740481C1C}">
                                <a14:useLocalDpi xmlns:a14="http://schemas.microsoft.com/office/drawing/2010/main" val="0"/>
                              </a:ext>
                            </a:extLst>
                          </a:blip>
                          <a:srcRect/>
                          <a:stretch>
                            <a:fillRect/>
                          </a:stretch>
                        </pic:blipFill>
                        <pic:spPr bwMode="auto">
                          <a:xfrm>
                            <a:off x="0" y="0"/>
                            <a:ext cx="2249488" cy="1685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47B609D" w14:textId="04885F47" w:rsidR="006970D9" w:rsidRDefault="006970D9" w:rsidP="00A92A34">
            <w:pPr>
              <w:jc w:val="center"/>
              <w:rPr>
                <w:lang w:val="en-GB"/>
              </w:rPr>
            </w:pPr>
          </w:p>
        </w:tc>
        <w:tc>
          <w:tcPr>
            <w:tcW w:w="5208" w:type="dxa"/>
          </w:tcPr>
          <w:p w14:paraId="3C36679D" w14:textId="5BD92FA2" w:rsidR="00A92A34" w:rsidRDefault="00A92A34" w:rsidP="00A92A34">
            <w:pPr>
              <w:jc w:val="center"/>
              <w:rPr>
                <w:lang w:val="en-GB"/>
              </w:rPr>
            </w:pPr>
            <w:r w:rsidRPr="00A92A34">
              <w:rPr>
                <w:noProof/>
              </w:rPr>
              <w:drawing>
                <wp:inline distT="0" distB="0" distL="0" distR="0" wp14:anchorId="42C68E6D" wp14:editId="5652BB8C">
                  <wp:extent cx="2251075" cy="1685925"/>
                  <wp:effectExtent l="0" t="0" r="0" b="9525"/>
                  <wp:docPr id="9220" name="Picture 3" descr="C:\Users\LISAN\Pictures\Plantes fourragères\Haloxylon aphyllum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3" descr="C:\Users\LISAN\Pictures\Plantes fourragères\Haloxylon aphyllum3.jpg"/>
                          <pic:cNvPicPr>
                            <a:picLocks noChangeAspect="1" noChangeArrowheads="1"/>
                          </pic:cNvPicPr>
                        </pic:nvPicPr>
                        <pic:blipFill>
                          <a:blip r:embed="rId902">
                            <a:extLst>
                              <a:ext uri="{28A0092B-C50C-407E-A947-70E740481C1C}">
                                <a14:useLocalDpi xmlns:a14="http://schemas.microsoft.com/office/drawing/2010/main" val="0"/>
                              </a:ext>
                            </a:extLst>
                          </a:blip>
                          <a:srcRect/>
                          <a:stretch>
                            <a:fillRect/>
                          </a:stretch>
                        </pic:blipFill>
                        <pic:spPr bwMode="auto">
                          <a:xfrm>
                            <a:off x="0" y="0"/>
                            <a:ext cx="2251075" cy="1685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lang w:val="en-GB"/>
              </w:rPr>
              <w:t xml:space="preserve"> </w:t>
            </w:r>
          </w:p>
        </w:tc>
      </w:tr>
      <w:tr w:rsidR="00A92A34" w14:paraId="0B8C5759" w14:textId="77777777" w:rsidTr="006970D9">
        <w:tc>
          <w:tcPr>
            <w:tcW w:w="5208" w:type="dxa"/>
          </w:tcPr>
          <w:p w14:paraId="25A6B639" w14:textId="212DCC70" w:rsidR="00A92A34" w:rsidRDefault="00A92A34" w:rsidP="00A92A34">
            <w:pPr>
              <w:jc w:val="center"/>
              <w:rPr>
                <w:lang w:val="en-GB"/>
              </w:rPr>
            </w:pPr>
            <w:r w:rsidRPr="00A92A34">
              <w:rPr>
                <w:noProof/>
              </w:rPr>
              <w:drawing>
                <wp:inline distT="0" distB="0" distL="0" distR="0" wp14:anchorId="75089FF4" wp14:editId="66ED477A">
                  <wp:extent cx="1700212" cy="1700212"/>
                  <wp:effectExtent l="0" t="0" r="0" b="0"/>
                  <wp:docPr id="9221" name="Picture 5" descr="C:\Users\LISAN\Pictures\Plantes fourragères\Haloxylon aphyllu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5" descr="C:\Users\LISAN\Pictures\Plantes fourragères\Haloxylon aphyllum1.jpg"/>
                          <pic:cNvPicPr>
                            <a:picLocks noChangeAspect="1" noChangeArrowheads="1"/>
                          </pic:cNvPicPr>
                        </pic:nvPicPr>
                        <pic:blipFill>
                          <a:blip r:embed="rId903">
                            <a:extLst>
                              <a:ext uri="{28A0092B-C50C-407E-A947-70E740481C1C}">
                                <a14:useLocalDpi xmlns:a14="http://schemas.microsoft.com/office/drawing/2010/main" val="0"/>
                              </a:ext>
                            </a:extLst>
                          </a:blip>
                          <a:srcRect/>
                          <a:stretch>
                            <a:fillRect/>
                          </a:stretch>
                        </pic:blipFill>
                        <pic:spPr bwMode="auto">
                          <a:xfrm>
                            <a:off x="0" y="0"/>
                            <a:ext cx="1700212" cy="17002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208" w:type="dxa"/>
          </w:tcPr>
          <w:p w14:paraId="07A978CF" w14:textId="44B0ECFA" w:rsidR="00A92A34" w:rsidRDefault="00A92A34" w:rsidP="00A92A34">
            <w:pPr>
              <w:jc w:val="center"/>
              <w:rPr>
                <w:lang w:val="en-GB"/>
              </w:rPr>
            </w:pPr>
            <w:r w:rsidRPr="00A92A34">
              <w:rPr>
                <w:noProof/>
              </w:rPr>
              <w:drawing>
                <wp:inline distT="0" distB="0" distL="0" distR="0" wp14:anchorId="52800803" wp14:editId="14C04916">
                  <wp:extent cx="2555875" cy="1700212"/>
                  <wp:effectExtent l="0" t="0" r="0" b="0"/>
                  <wp:docPr id="9223" name="Picture 2" descr="C:\Users\LISAN\Pictures\Plantes fourragères\Haloxylon aphyllum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2" descr="C:\Users\LISAN\Pictures\Plantes fourragères\Haloxylon aphyllum4.jpg"/>
                          <pic:cNvPicPr>
                            <a:picLocks noChangeAspect="1" noChangeArrowheads="1"/>
                          </pic:cNvPicPr>
                        </pic:nvPicPr>
                        <pic:blipFill>
                          <a:blip r:embed="rId904">
                            <a:extLst>
                              <a:ext uri="{28A0092B-C50C-407E-A947-70E740481C1C}">
                                <a14:useLocalDpi xmlns:a14="http://schemas.microsoft.com/office/drawing/2010/main" val="0"/>
                              </a:ext>
                            </a:extLst>
                          </a:blip>
                          <a:srcRect/>
                          <a:stretch>
                            <a:fillRect/>
                          </a:stretch>
                        </pic:blipFill>
                        <pic:spPr bwMode="auto">
                          <a:xfrm>
                            <a:off x="0" y="0"/>
                            <a:ext cx="2555875" cy="17002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A92A34" w:rsidRPr="00A92A34" w14:paraId="6F10D906" w14:textId="77777777" w:rsidTr="006970D9">
        <w:tc>
          <w:tcPr>
            <w:tcW w:w="5208" w:type="dxa"/>
          </w:tcPr>
          <w:p w14:paraId="1C958AAC" w14:textId="77777777" w:rsidR="00A92A34" w:rsidRDefault="00A92A34" w:rsidP="00A92A34">
            <w:pPr>
              <w:jc w:val="center"/>
              <w:rPr>
                <w:lang w:val="en-GB"/>
              </w:rPr>
            </w:pPr>
            <w:r>
              <w:rPr>
                <w:noProof/>
              </w:rPr>
              <w:lastRenderedPageBreak/>
              <w:drawing>
                <wp:inline distT="0" distB="0" distL="0" distR="0" wp14:anchorId="3B9020EF" wp14:editId="26661870">
                  <wp:extent cx="2790825" cy="2095500"/>
                  <wp:effectExtent l="0" t="0" r="9525" b="0"/>
                  <wp:docPr id="9224" name="Image 9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05">
                            <a:extLst>
                              <a:ext uri="{28A0092B-C50C-407E-A947-70E740481C1C}">
                                <a14:useLocalDpi xmlns:a14="http://schemas.microsoft.com/office/drawing/2010/main" val="0"/>
                              </a:ext>
                            </a:extLst>
                          </a:blip>
                          <a:srcRect/>
                          <a:stretch>
                            <a:fillRect/>
                          </a:stretch>
                        </pic:blipFill>
                        <pic:spPr bwMode="auto">
                          <a:xfrm>
                            <a:off x="0" y="0"/>
                            <a:ext cx="2790825" cy="2095500"/>
                          </a:xfrm>
                          <a:prstGeom prst="rect">
                            <a:avLst/>
                          </a:prstGeom>
                          <a:noFill/>
                          <a:ln>
                            <a:noFill/>
                          </a:ln>
                        </pic:spPr>
                      </pic:pic>
                    </a:graphicData>
                  </a:graphic>
                </wp:inline>
              </w:drawing>
            </w:r>
          </w:p>
          <w:p w14:paraId="21FFA303" w14:textId="047353E3" w:rsidR="00A92A34" w:rsidRPr="00A92A34" w:rsidRDefault="00A92A34" w:rsidP="00A92A34">
            <w:pPr>
              <w:jc w:val="center"/>
            </w:pPr>
            <w:r w:rsidRPr="00A92A34">
              <w:t>Jeunes plantations de saxaoul (avril 2012) sur l</w:t>
            </w:r>
            <w:r w:rsidR="006970D9">
              <w:t>’</w:t>
            </w:r>
            <w:r w:rsidRPr="00A92A34">
              <w:t>ancien fond de la mer d</w:t>
            </w:r>
            <w:r w:rsidR="006970D9">
              <w:t>’</w:t>
            </w:r>
            <w:r w:rsidRPr="00A92A34">
              <w:t>Aral – au sud de la Grande mer d</w:t>
            </w:r>
            <w:r w:rsidR="006970D9">
              <w:t>’</w:t>
            </w:r>
            <w:r w:rsidRPr="00A92A34">
              <w:t>Aral en Ouzbékistan.</w:t>
            </w:r>
          </w:p>
        </w:tc>
        <w:tc>
          <w:tcPr>
            <w:tcW w:w="5208" w:type="dxa"/>
          </w:tcPr>
          <w:p w14:paraId="3BE8A5D7" w14:textId="77777777" w:rsidR="00A92A34" w:rsidRDefault="000B630B" w:rsidP="00A92A34">
            <w:pPr>
              <w:jc w:val="center"/>
            </w:pPr>
            <w:r>
              <w:rPr>
                <w:noProof/>
              </w:rPr>
              <w:drawing>
                <wp:inline distT="0" distB="0" distL="0" distR="0" wp14:anchorId="33FCF0B1" wp14:editId="6DCDCBC8">
                  <wp:extent cx="1885950" cy="2310772"/>
                  <wp:effectExtent l="0" t="0" r="0" b="0"/>
                  <wp:docPr id="9226" name="Image 9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906">
                            <a:extLst>
                              <a:ext uri="{28A0092B-C50C-407E-A947-70E740481C1C}">
                                <a14:useLocalDpi xmlns:a14="http://schemas.microsoft.com/office/drawing/2010/main" val="0"/>
                              </a:ext>
                            </a:extLst>
                          </a:blip>
                          <a:srcRect/>
                          <a:stretch>
                            <a:fillRect/>
                          </a:stretch>
                        </pic:blipFill>
                        <pic:spPr bwMode="auto">
                          <a:xfrm>
                            <a:off x="0" y="0"/>
                            <a:ext cx="1885950" cy="2310772"/>
                          </a:xfrm>
                          <a:prstGeom prst="rect">
                            <a:avLst/>
                          </a:prstGeom>
                          <a:noFill/>
                          <a:ln>
                            <a:noFill/>
                          </a:ln>
                        </pic:spPr>
                      </pic:pic>
                    </a:graphicData>
                  </a:graphic>
                </wp:inline>
              </w:drawing>
            </w:r>
          </w:p>
          <w:p w14:paraId="671D6DF9" w14:textId="2EE606BF" w:rsidR="000B630B" w:rsidRPr="00A92A34" w:rsidRDefault="000B630B" w:rsidP="00A92A34">
            <w:pPr>
              <w:jc w:val="center"/>
            </w:pPr>
            <w:r>
              <w:t>Feu de bois de saxaoul.</w:t>
            </w:r>
          </w:p>
        </w:tc>
      </w:tr>
    </w:tbl>
    <w:p w14:paraId="44DD6DD1" w14:textId="77777777" w:rsidR="00EF1A93" w:rsidRDefault="00EF1A93" w:rsidP="006970D9">
      <w:pPr>
        <w:spacing w:after="0" w:line="240" w:lineRule="auto"/>
      </w:pPr>
    </w:p>
    <w:p w14:paraId="01E7EBCE" w14:textId="77777777" w:rsidR="00203C82" w:rsidRDefault="00203C82" w:rsidP="00D87D3F">
      <w:pPr>
        <w:pStyle w:val="Titre2"/>
      </w:pPr>
      <w:bookmarkStart w:id="96" w:name="_Toc139181387"/>
      <w:r>
        <w:t>Taupata ou buisson miroir (</w:t>
      </w:r>
      <w:r w:rsidRPr="00203C82">
        <w:rPr>
          <w:i/>
          <w:iCs/>
        </w:rPr>
        <w:t>Coprosma repens</w:t>
      </w:r>
      <w:r>
        <w:t>)</w:t>
      </w:r>
      <w:bookmarkEnd w:id="96"/>
    </w:p>
    <w:p w14:paraId="394DE673" w14:textId="298C8531" w:rsidR="00203C82" w:rsidRDefault="00203C82" w:rsidP="00203C82">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2714"/>
        <w:gridCol w:w="1536"/>
        <w:gridCol w:w="413"/>
        <w:gridCol w:w="1368"/>
      </w:tblGrid>
      <w:tr w:rsidR="00203C82" w:rsidRPr="000B6BE3" w14:paraId="149B8589" w14:textId="77777777" w:rsidTr="005C76A4">
        <w:tc>
          <w:tcPr>
            <w:tcW w:w="4395" w:type="dxa"/>
          </w:tcPr>
          <w:p w14:paraId="06809F33" w14:textId="1B5495D4" w:rsidR="00203C82" w:rsidRPr="00DE2C3A" w:rsidRDefault="00203C82" w:rsidP="005C76A4">
            <w:pPr>
              <w:jc w:val="both"/>
              <w:rPr>
                <w:rFonts w:ascii="Calibri" w:hAnsi="Calibri" w:cs="Calibri"/>
                <w:bCs/>
              </w:rPr>
            </w:pPr>
            <w:r>
              <w:rPr>
                <w:rFonts w:ascii="Calibri" w:hAnsi="Calibri" w:cs="Calibri"/>
                <w:bCs/>
              </w:rPr>
              <w:t>(</w:t>
            </w:r>
            <w:r>
              <w:t>Famille des </w:t>
            </w:r>
            <w:r w:rsidRPr="00203C82">
              <w:rPr>
                <w:i/>
                <w:iCs/>
              </w:rPr>
              <w:t>Rubiaceae</w:t>
            </w:r>
            <w:r>
              <w:rPr>
                <w:rFonts w:ascii="Calibri" w:hAnsi="Calibri" w:cs="Calibri"/>
                <w:bCs/>
              </w:rPr>
              <w:t>)</w:t>
            </w:r>
            <w:r w:rsidRPr="00DE2C3A">
              <w:rPr>
                <w:rFonts w:ascii="Calibri" w:hAnsi="Calibri" w:cs="Calibri"/>
                <w:bCs/>
              </w:rPr>
              <w:t>.</w:t>
            </w:r>
          </w:p>
          <w:p w14:paraId="0F6808A6" w14:textId="77777777" w:rsidR="00203C82" w:rsidRPr="008F191E" w:rsidRDefault="00203C82" w:rsidP="005C76A4">
            <w:pPr>
              <w:rPr>
                <w:rFonts w:ascii="Calibri" w:hAnsi="Calibri" w:cs="Calibri"/>
                <w:bCs/>
              </w:rPr>
            </w:pPr>
          </w:p>
          <w:p w14:paraId="252086B9" w14:textId="77777777" w:rsidR="00203C82" w:rsidRPr="000B6BE3" w:rsidRDefault="00203C82" w:rsidP="005C76A4">
            <w:pPr>
              <w:rPr>
                <w:rFonts w:cstheme="minorHAnsi"/>
              </w:rPr>
            </w:pPr>
          </w:p>
        </w:tc>
        <w:tc>
          <w:tcPr>
            <w:tcW w:w="2714" w:type="dxa"/>
          </w:tcPr>
          <w:p w14:paraId="6BDD2672" w14:textId="1AE15D1D" w:rsidR="00203C82" w:rsidRPr="000B6BE3" w:rsidRDefault="00203C82" w:rsidP="005C76A4">
            <w:pPr>
              <w:rPr>
                <w:rFonts w:cstheme="minorHAnsi"/>
              </w:rPr>
            </w:pPr>
            <w:r w:rsidRPr="000B6BE3">
              <w:rPr>
                <w:rFonts w:cstheme="minorHAnsi"/>
                <w:noProof/>
              </w:rPr>
              <w:t xml:space="preserve">  </w:t>
            </w:r>
            <w:r>
              <w:rPr>
                <w:rFonts w:cstheme="minorHAnsi"/>
                <w:noProof/>
              </w:rPr>
              <w:t xml:space="preserve">      </w:t>
            </w:r>
            <w:r w:rsidRPr="008F2681">
              <w:rPr>
                <w:rFonts w:cstheme="minorHAnsi"/>
                <w:noProof/>
              </w:rPr>
              <w:drawing>
                <wp:inline distT="0" distB="0" distL="0" distR="0" wp14:anchorId="3680E2E6" wp14:editId="098D57B1">
                  <wp:extent cx="463550" cy="661988"/>
                  <wp:effectExtent l="0" t="0" r="0" b="5080"/>
                  <wp:docPr id="9228"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p>
        </w:tc>
        <w:tc>
          <w:tcPr>
            <w:tcW w:w="1536" w:type="dxa"/>
          </w:tcPr>
          <w:p w14:paraId="1E18C8F2" w14:textId="77777777" w:rsidR="00203C82" w:rsidRPr="002E01BB" w:rsidRDefault="00203C82" w:rsidP="005C76A4">
            <w:pPr>
              <w:rPr>
                <w:rFonts w:eastAsia="+mn-ea" w:cstheme="minorHAnsi"/>
                <w:b/>
                <w:bCs/>
                <w:color w:val="008000"/>
                <w:kern w:val="24"/>
                <w:sz w:val="56"/>
                <w:szCs w:val="56"/>
              </w:rPr>
            </w:pPr>
            <w:r w:rsidRPr="00D1445E">
              <w:rPr>
                <w:rFonts w:eastAsia="+mn-ea" w:cstheme="minorHAnsi"/>
                <w:b/>
                <w:bCs/>
                <w:color w:val="008000"/>
                <w:kern w:val="24"/>
                <w:sz w:val="56"/>
                <w:szCs w:val="56"/>
              </w:rPr>
              <w:t>U</w:t>
            </w:r>
            <w:r>
              <w:rPr>
                <w:rFonts w:eastAsia="+mn-ea" w:cstheme="minorHAnsi"/>
                <w:b/>
                <w:bCs/>
                <w:color w:val="008000"/>
                <w:kern w:val="24"/>
                <w:sz w:val="56"/>
                <w:szCs w:val="56"/>
              </w:rPr>
              <w:t xml:space="preserve"> </w:t>
            </w:r>
            <w:r>
              <w:rPr>
                <w:rFonts w:ascii="Calibri" w:eastAsia="+mn-ea" w:hAnsi="Calibri" w:cs="Calibri"/>
                <w:b/>
                <w:bCs/>
                <w:color w:val="008000"/>
                <w:kern w:val="24"/>
                <w:sz w:val="56"/>
                <w:szCs w:val="56"/>
              </w:rPr>
              <w:t>↗</w:t>
            </w:r>
          </w:p>
          <w:p w14:paraId="37E1A430" w14:textId="77777777" w:rsidR="00203C82" w:rsidRPr="000B6BE3" w:rsidRDefault="00203C82" w:rsidP="005C76A4">
            <w:pPr>
              <w:textAlignment w:val="baseline"/>
              <w:rPr>
                <w:rFonts w:cstheme="minorHAnsi"/>
              </w:rPr>
            </w:pPr>
          </w:p>
        </w:tc>
        <w:tc>
          <w:tcPr>
            <w:tcW w:w="413" w:type="dxa"/>
          </w:tcPr>
          <w:p w14:paraId="666488B9" w14:textId="77777777" w:rsidR="00203C82" w:rsidRPr="000B6BE3" w:rsidRDefault="00203C82" w:rsidP="005C76A4">
            <w:pPr>
              <w:rPr>
                <w:rFonts w:cstheme="minorHAnsi"/>
              </w:rPr>
            </w:pPr>
          </w:p>
        </w:tc>
        <w:tc>
          <w:tcPr>
            <w:tcW w:w="1368" w:type="dxa"/>
          </w:tcPr>
          <w:p w14:paraId="39DDFF65" w14:textId="77777777" w:rsidR="00203C82" w:rsidRPr="000B6BE3" w:rsidRDefault="00203C82" w:rsidP="005C76A4">
            <w:pPr>
              <w:rPr>
                <w:rFonts w:cstheme="minorHAnsi"/>
              </w:rPr>
            </w:pPr>
          </w:p>
        </w:tc>
      </w:tr>
    </w:tbl>
    <w:p w14:paraId="0EDE7023" w14:textId="77777777" w:rsidR="00203C82" w:rsidRDefault="00203C82" w:rsidP="00203C82">
      <w:pPr>
        <w:spacing w:after="0" w:line="240" w:lineRule="auto"/>
      </w:pPr>
    </w:p>
    <w:p w14:paraId="7C8E8E7C" w14:textId="1704967F" w:rsidR="00203C82" w:rsidRDefault="00203C82" w:rsidP="00203C82">
      <w:pPr>
        <w:spacing w:after="0" w:line="240" w:lineRule="auto"/>
        <w:jc w:val="both"/>
      </w:pPr>
      <w:r>
        <w:t>C’est un arbuste ou petit arbre, de 2 à 3 m de haut, natif de Nouvelle-Zélande. Dans les zones abritées, il peut atteindre jusqu’à 8 mètres de haut. Ses feuilles épaisses et très brillantes varient considérablement en taille, en fonction lors de l'exposition aux éléments. Ses feuilles brillantes l’aide à survivre à proximité des zones côtières. Elle pousse dans les régions tempérées et résiste au vent, feu, embrun et sécheresse. Elle retarde le feu. La plante sert souvent à faire des haies.</w:t>
      </w:r>
    </w:p>
    <w:p w14:paraId="03FD318C" w14:textId="77777777" w:rsidR="00203C82" w:rsidRDefault="00203C82" w:rsidP="00203C82">
      <w:pPr>
        <w:spacing w:after="0" w:line="240" w:lineRule="auto"/>
        <w:jc w:val="both"/>
      </w:pPr>
      <w:r>
        <w:t xml:space="preserve">Cette plante est adaptée aux côtes, marais et sous-bois. Elle est une plante refuge. Dioïque, elle nécessite 5% de plants mâles. Elle se bouture facilement. Les moutons, chevaux et vaches raffolent de son feuillage, qui est aussi un bon engrais. Cet arbre se taille bien au sécateur. </w:t>
      </w:r>
    </w:p>
    <w:p w14:paraId="23627D23" w14:textId="77777777" w:rsidR="00203C82" w:rsidRDefault="00203C82" w:rsidP="00203C82">
      <w:pPr>
        <w:spacing w:after="0" w:line="240" w:lineRule="auto"/>
        <w:jc w:val="both"/>
      </w:pPr>
      <w:r>
        <w:t xml:space="preserve">Les plantes femelles produisent drupes ovoïdes rouge-orange, comestibles (sucrées, avec un léger arrière-goût amer), d’environ 8 mm de diamètre et 10 mm de longueur. Ses fruits et graines sont excellents pour les volailles. </w:t>
      </w:r>
    </w:p>
    <w:p w14:paraId="146760D0" w14:textId="77777777" w:rsidR="00203C82" w:rsidRDefault="00203C82" w:rsidP="00203C82">
      <w:pPr>
        <w:spacing w:after="0" w:line="240" w:lineRule="auto"/>
        <w:jc w:val="both"/>
      </w:pPr>
      <w:r>
        <w:t>Dans le sud de l’Australie et en Tasmanie, elle est considérée comme une mauvaise herbe.</w:t>
      </w:r>
    </w:p>
    <w:p w14:paraId="4DB27554" w14:textId="34F7886F" w:rsidR="006970D9" w:rsidRDefault="00203C82" w:rsidP="00203C82">
      <w:pPr>
        <w:spacing w:after="0" w:line="240" w:lineRule="auto"/>
      </w:pPr>
      <w:r>
        <w:t xml:space="preserve">Sources : a) </w:t>
      </w:r>
      <w:hyperlink r:id="rId907" w:history="1">
        <w:r w:rsidRPr="00CD78C9">
          <w:rPr>
            <w:rStyle w:val="Lienhypertexte"/>
          </w:rPr>
          <w:t>http://en.wikipedia.org/wiki/Coprosma_repens</w:t>
        </w:r>
      </w:hyperlink>
      <w:r>
        <w:t xml:space="preserve">, b) </w:t>
      </w:r>
      <w:r w:rsidRPr="00203C82">
        <w:rPr>
          <w:i/>
          <w:iCs/>
        </w:rPr>
        <w:t>Introduction à la permaculture</w:t>
      </w:r>
      <w:r>
        <w:t xml:space="preserve">, Bill Mollison, Ed. Passerelle Eco, 2012, pages 179 et 211, c) </w:t>
      </w:r>
      <w:hyperlink r:id="rId908" w:history="1">
        <w:r w:rsidRPr="00CD78C9">
          <w:rPr>
            <w:rStyle w:val="Lienhypertexte"/>
          </w:rPr>
          <w:t>http://www.kahikateafarm.co.nz/fruit-and-nuts/item/341-taupata.html</w:t>
        </w:r>
      </w:hyperlink>
      <w:r>
        <w:t xml:space="preserve">    </w:t>
      </w:r>
    </w:p>
    <w:p w14:paraId="682ECAC3" w14:textId="260E4D9F" w:rsidR="00203C82" w:rsidRDefault="00203C82" w:rsidP="00203C82">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203C82" w14:paraId="1A561C8C" w14:textId="77777777" w:rsidTr="00203C82">
        <w:tc>
          <w:tcPr>
            <w:tcW w:w="3472" w:type="dxa"/>
          </w:tcPr>
          <w:p w14:paraId="7F526519" w14:textId="77777777" w:rsidR="00203C82" w:rsidRDefault="00203C82" w:rsidP="00203C82">
            <w:pPr>
              <w:jc w:val="center"/>
            </w:pPr>
            <w:r w:rsidRPr="00203C82">
              <w:rPr>
                <w:noProof/>
              </w:rPr>
              <w:drawing>
                <wp:inline distT="0" distB="0" distL="0" distR="0" wp14:anchorId="3F784B62" wp14:editId="04F0CE10">
                  <wp:extent cx="1209675" cy="904875"/>
                  <wp:effectExtent l="0" t="0" r="9525" b="9525"/>
                  <wp:docPr id="9233" name="Picture 6" descr="D:\Users\blisan\Pictures\perso\plantes halophytes milieux salins\Coprosma repen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6" descr="D:\Users\blisan\Pictures\perso\plantes halophytes milieux salins\Coprosma repens2.jpg"/>
                          <pic:cNvPicPr>
                            <a:picLocks noChangeAspect="1" noChangeArrowheads="1"/>
                          </pic:cNvPicPr>
                        </pic:nvPicPr>
                        <pic:blipFill>
                          <a:blip r:embed="rId909">
                            <a:extLst>
                              <a:ext uri="{28A0092B-C50C-407E-A947-70E740481C1C}">
                                <a14:useLocalDpi xmlns:a14="http://schemas.microsoft.com/office/drawing/2010/main" val="0"/>
                              </a:ext>
                            </a:extLst>
                          </a:blip>
                          <a:srcRect/>
                          <a:stretch>
                            <a:fillRect/>
                          </a:stretch>
                        </pic:blipFill>
                        <pic:spPr bwMode="auto">
                          <a:xfrm>
                            <a:off x="0" y="0"/>
                            <a:ext cx="1209675" cy="9048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0E7C24BD" w14:textId="16FD7E99" w:rsidR="0015775E" w:rsidRDefault="0015775E" w:rsidP="00203C82">
            <w:pPr>
              <w:jc w:val="center"/>
            </w:pPr>
            <w:r>
              <w:t>Feuilles</w:t>
            </w:r>
          </w:p>
        </w:tc>
        <w:tc>
          <w:tcPr>
            <w:tcW w:w="3472" w:type="dxa"/>
          </w:tcPr>
          <w:p w14:paraId="4B9A1D6F" w14:textId="41D17BAC" w:rsidR="00203C82" w:rsidRDefault="00203C82" w:rsidP="00203C82">
            <w:pPr>
              <w:jc w:val="center"/>
            </w:pPr>
            <w:r w:rsidRPr="00203C82">
              <w:rPr>
                <w:noProof/>
              </w:rPr>
              <w:drawing>
                <wp:inline distT="0" distB="0" distL="0" distR="0" wp14:anchorId="1C8253F9" wp14:editId="4EDC2CCE">
                  <wp:extent cx="1512168" cy="1134127"/>
                  <wp:effectExtent l="0" t="0" r="0" b="8890"/>
                  <wp:docPr id="9234" name="Picture 4" descr="D:\Users\blisan\Pictures\perso\plantes halophytes milieux salins\Coprosma_repens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4" descr="D:\Users\blisan\Pictures\perso\plantes halophytes milieux salins\Coprosma_repens_11.JPG"/>
                          <pic:cNvPicPr>
                            <a:picLocks noChangeAspect="1" noChangeArrowheads="1"/>
                          </pic:cNvPicPr>
                        </pic:nvPicPr>
                        <pic:blipFill>
                          <a:blip r:embed="rId910">
                            <a:extLst>
                              <a:ext uri="{28A0092B-C50C-407E-A947-70E740481C1C}">
                                <a14:useLocalDpi xmlns:a14="http://schemas.microsoft.com/office/drawing/2010/main" val="0"/>
                              </a:ext>
                            </a:extLst>
                          </a:blip>
                          <a:srcRect/>
                          <a:stretch>
                            <a:fillRect/>
                          </a:stretch>
                        </pic:blipFill>
                        <pic:spPr bwMode="auto">
                          <a:xfrm>
                            <a:off x="0" y="0"/>
                            <a:ext cx="1512168" cy="1134127"/>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3472" w:type="dxa"/>
          </w:tcPr>
          <w:p w14:paraId="09E90372" w14:textId="77777777" w:rsidR="00203C82" w:rsidRDefault="00203C82" w:rsidP="00203C82">
            <w:pPr>
              <w:jc w:val="center"/>
            </w:pPr>
            <w:r w:rsidRPr="00203C82">
              <w:rPr>
                <w:noProof/>
              </w:rPr>
              <w:drawing>
                <wp:inline distT="0" distB="0" distL="0" distR="0" wp14:anchorId="56CCF118" wp14:editId="0F4A0747">
                  <wp:extent cx="1425756" cy="1067941"/>
                  <wp:effectExtent l="0" t="0" r="3175" b="0"/>
                  <wp:docPr id="9235" name="Picture 10" descr="D:\Users\blisan\Pictures\perso\plantes halophytes milieux salins\Taupat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0" descr="D:\Users\blisan\Pictures\perso\plantes halophytes milieux salins\Taupata4.jpg"/>
                          <pic:cNvPicPr>
                            <a:picLocks noChangeAspect="1" noChangeArrowheads="1"/>
                          </pic:cNvPicPr>
                        </pic:nvPicPr>
                        <pic:blipFill>
                          <a:blip r:embed="rId911">
                            <a:extLst>
                              <a:ext uri="{28A0092B-C50C-407E-A947-70E740481C1C}">
                                <a14:useLocalDpi xmlns:a14="http://schemas.microsoft.com/office/drawing/2010/main" val="0"/>
                              </a:ext>
                            </a:extLst>
                          </a:blip>
                          <a:srcRect/>
                          <a:stretch>
                            <a:fillRect/>
                          </a:stretch>
                        </pic:blipFill>
                        <pic:spPr bwMode="auto">
                          <a:xfrm>
                            <a:off x="0" y="0"/>
                            <a:ext cx="1425756" cy="1067941"/>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7267FCB2" w14:textId="1AAC5057" w:rsidR="0015775E" w:rsidRDefault="0015775E" w:rsidP="00203C82">
            <w:pPr>
              <w:jc w:val="center"/>
            </w:pPr>
            <w:r>
              <w:t>Feuilles</w:t>
            </w:r>
          </w:p>
        </w:tc>
      </w:tr>
      <w:tr w:rsidR="00203C82" w14:paraId="4478895C" w14:textId="77777777" w:rsidTr="00203C82">
        <w:tc>
          <w:tcPr>
            <w:tcW w:w="3472" w:type="dxa"/>
          </w:tcPr>
          <w:p w14:paraId="61808EE7" w14:textId="77777777" w:rsidR="00203C82" w:rsidRDefault="00203C82" w:rsidP="005C76A4">
            <w:pPr>
              <w:jc w:val="center"/>
            </w:pPr>
            <w:r w:rsidRPr="00203C82">
              <w:rPr>
                <w:noProof/>
              </w:rPr>
              <w:lastRenderedPageBreak/>
              <w:drawing>
                <wp:inline distT="0" distB="0" distL="0" distR="0" wp14:anchorId="5F3A5A06" wp14:editId="5C9C7C95">
                  <wp:extent cx="1610794" cy="2139465"/>
                  <wp:effectExtent l="0" t="0" r="8890" b="0"/>
                  <wp:docPr id="9230" name="Picture 9" descr="D:\Users\blisan\Pictures\perso\plantes halophytes milieux salins\Taupat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9" descr="D:\Users\blisan\Pictures\perso\plantes halophytes milieux salins\Taupata3.jpg"/>
                          <pic:cNvPicPr>
                            <a:picLocks noChangeAspect="1" noChangeArrowheads="1"/>
                          </pic:cNvPicPr>
                        </pic:nvPicPr>
                        <pic:blipFill>
                          <a:blip r:embed="rId912">
                            <a:extLst>
                              <a:ext uri="{28A0092B-C50C-407E-A947-70E740481C1C}">
                                <a14:useLocalDpi xmlns:a14="http://schemas.microsoft.com/office/drawing/2010/main" val="0"/>
                              </a:ext>
                            </a:extLst>
                          </a:blip>
                          <a:srcRect/>
                          <a:stretch>
                            <a:fillRect/>
                          </a:stretch>
                        </pic:blipFill>
                        <pic:spPr bwMode="auto">
                          <a:xfrm>
                            <a:off x="0" y="0"/>
                            <a:ext cx="1610794" cy="213946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3472" w:type="dxa"/>
          </w:tcPr>
          <w:p w14:paraId="1BF72B0E" w14:textId="77777777" w:rsidR="00203C82" w:rsidRDefault="00203C82" w:rsidP="005C76A4">
            <w:pPr>
              <w:jc w:val="center"/>
            </w:pPr>
            <w:r w:rsidRPr="00203C82">
              <w:rPr>
                <w:noProof/>
              </w:rPr>
              <w:drawing>
                <wp:inline distT="0" distB="0" distL="0" distR="0" wp14:anchorId="7A644940" wp14:editId="745B1661">
                  <wp:extent cx="1333500" cy="1866900"/>
                  <wp:effectExtent l="0" t="0" r="0" b="0"/>
                  <wp:docPr id="9231" name="Picture 3" descr="D:\Users\blisan\Pictures\perso\plantes halophytes milieux salins\Male_taupata_flower_(Coprosma_repe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3" descr="D:\Users\blisan\Pictures\perso\plantes halophytes milieux salins\Male_taupata_flower_(Coprosma_repens).jpg"/>
                          <pic:cNvPicPr>
                            <a:picLocks noChangeAspect="1" noChangeArrowheads="1"/>
                          </pic:cNvPicPr>
                        </pic:nvPicPr>
                        <pic:blipFill>
                          <a:blip r:embed="rId913">
                            <a:extLst>
                              <a:ext uri="{28A0092B-C50C-407E-A947-70E740481C1C}">
                                <a14:useLocalDpi xmlns:a14="http://schemas.microsoft.com/office/drawing/2010/main" val="0"/>
                              </a:ext>
                            </a:extLst>
                          </a:blip>
                          <a:srcRect/>
                          <a:stretch>
                            <a:fillRect/>
                          </a:stretch>
                        </pic:blipFill>
                        <pic:spPr bwMode="auto">
                          <a:xfrm>
                            <a:off x="0" y="0"/>
                            <a:ext cx="1333500" cy="18669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743B8A94" w14:textId="77777777" w:rsidR="00203C82" w:rsidRDefault="00203C82" w:rsidP="005C76A4">
            <w:pPr>
              <w:jc w:val="center"/>
            </w:pPr>
            <w:r>
              <w:t>Fleur femelle</w:t>
            </w:r>
          </w:p>
        </w:tc>
        <w:tc>
          <w:tcPr>
            <w:tcW w:w="3472" w:type="dxa"/>
          </w:tcPr>
          <w:p w14:paraId="2B404F72" w14:textId="77777777" w:rsidR="00203C82" w:rsidRDefault="00203C82" w:rsidP="005C76A4">
            <w:pPr>
              <w:jc w:val="center"/>
            </w:pPr>
            <w:r w:rsidRPr="00203C82">
              <w:rPr>
                <w:noProof/>
              </w:rPr>
              <w:drawing>
                <wp:inline distT="0" distB="0" distL="0" distR="0" wp14:anchorId="65768A70" wp14:editId="0FA9C6A1">
                  <wp:extent cx="1397000" cy="1866900"/>
                  <wp:effectExtent l="0" t="0" r="0" b="0"/>
                  <wp:docPr id="9232" name="Picture 2" descr="D:\Users\blisan\Pictures\perso\plantes halophytes milieux salins\Female_taupata_flower_(Coprosma_repe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 descr="D:\Users\blisan\Pictures\perso\plantes halophytes milieux salins\Female_taupata_flower_(Coprosma_repens).jpg"/>
                          <pic:cNvPicPr>
                            <a:picLocks noChangeAspect="1" noChangeArrowheads="1"/>
                          </pic:cNvPicPr>
                        </pic:nvPicPr>
                        <pic:blipFill>
                          <a:blip r:embed="rId914">
                            <a:extLst>
                              <a:ext uri="{28A0092B-C50C-407E-A947-70E740481C1C}">
                                <a14:useLocalDpi xmlns:a14="http://schemas.microsoft.com/office/drawing/2010/main" val="0"/>
                              </a:ext>
                            </a:extLst>
                          </a:blip>
                          <a:srcRect/>
                          <a:stretch>
                            <a:fillRect/>
                          </a:stretch>
                        </pic:blipFill>
                        <pic:spPr bwMode="auto">
                          <a:xfrm>
                            <a:off x="0" y="0"/>
                            <a:ext cx="1397000" cy="18669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5D348FAB" w14:textId="77777777" w:rsidR="00203C82" w:rsidRDefault="00203C82" w:rsidP="005C76A4">
            <w:pPr>
              <w:jc w:val="center"/>
            </w:pPr>
            <w:r>
              <w:t>Fleur femelle</w:t>
            </w:r>
          </w:p>
        </w:tc>
      </w:tr>
    </w:tbl>
    <w:p w14:paraId="0DC48B2E" w14:textId="38D1EB5B" w:rsidR="00203C82" w:rsidRDefault="00203C82" w:rsidP="00203C82">
      <w:pPr>
        <w:spacing w:after="0" w:line="240" w:lineRule="auto"/>
        <w:jc w:val="center"/>
      </w:pPr>
      <w:r w:rsidRPr="00203C82">
        <w:rPr>
          <w:noProof/>
        </w:rPr>
        <w:drawing>
          <wp:inline distT="0" distB="0" distL="0" distR="0" wp14:anchorId="255D9692" wp14:editId="12661477">
            <wp:extent cx="2619375" cy="1743075"/>
            <wp:effectExtent l="0" t="0" r="9525" b="9525"/>
            <wp:docPr id="9236" name="Picture 8" descr="D:\Users\blisan\Pictures\perso\plantes halophytes milieux salins\Taupa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8" descr="D:\Users\blisan\Pictures\perso\plantes halophytes milieux salins\Taupata.jpg"/>
                    <pic:cNvPicPr>
                      <a:picLocks noChangeAspect="1" noChangeArrowheads="1"/>
                    </pic:cNvPicPr>
                  </pic:nvPicPr>
                  <pic:blipFill>
                    <a:blip r:embed="rId915">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79C9C087" w14:textId="28D17655" w:rsidR="00203C82" w:rsidRDefault="00203C82" w:rsidP="00203C82">
      <w:pPr>
        <w:spacing w:after="0" w:line="240" w:lineRule="auto"/>
        <w:jc w:val="center"/>
      </w:pPr>
      <w:r>
        <w:t>Fruits.</w:t>
      </w:r>
    </w:p>
    <w:p w14:paraId="41D50850" w14:textId="77777777" w:rsidR="00FA4BA8" w:rsidRDefault="00FA4BA8" w:rsidP="00FA4BA8">
      <w:pPr>
        <w:spacing w:after="0" w:line="240" w:lineRule="auto"/>
        <w:jc w:val="both"/>
      </w:pPr>
    </w:p>
    <w:p w14:paraId="1FA7EBC8" w14:textId="77777777" w:rsidR="00AE423D" w:rsidRPr="00D87D3F" w:rsidRDefault="00AE423D" w:rsidP="00D87D3F">
      <w:pPr>
        <w:pStyle w:val="Titre2"/>
        <w:rPr>
          <w:i/>
          <w:iCs/>
        </w:rPr>
      </w:pPr>
      <w:bookmarkStart w:id="97" w:name="_Toc139181388"/>
      <w:r w:rsidRPr="00D87D3F">
        <w:rPr>
          <w:i/>
          <w:iCs/>
        </w:rPr>
        <w:t>Eleagnus sp.</w:t>
      </w:r>
      <w:bookmarkEnd w:id="97"/>
    </w:p>
    <w:p w14:paraId="080D1088" w14:textId="6F0A7DE2" w:rsidR="00AE423D" w:rsidRDefault="00AE423D" w:rsidP="00AE423D">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2714"/>
        <w:gridCol w:w="1536"/>
        <w:gridCol w:w="413"/>
        <w:gridCol w:w="1368"/>
      </w:tblGrid>
      <w:tr w:rsidR="000951C4" w:rsidRPr="000B6BE3" w14:paraId="20081212" w14:textId="77777777" w:rsidTr="005C76A4">
        <w:tc>
          <w:tcPr>
            <w:tcW w:w="4395" w:type="dxa"/>
          </w:tcPr>
          <w:p w14:paraId="1CA19AD0" w14:textId="24ED15CD" w:rsidR="000951C4" w:rsidRPr="00DE2C3A" w:rsidRDefault="000951C4" w:rsidP="005C76A4">
            <w:pPr>
              <w:jc w:val="both"/>
              <w:rPr>
                <w:rFonts w:ascii="Calibri" w:hAnsi="Calibri" w:cs="Calibri"/>
                <w:bCs/>
              </w:rPr>
            </w:pPr>
            <w:r>
              <w:rPr>
                <w:rFonts w:ascii="Calibri" w:hAnsi="Calibri" w:cs="Calibri"/>
                <w:bCs/>
              </w:rPr>
              <w:t>(</w:t>
            </w:r>
            <w:r>
              <w:t>Famille des </w:t>
            </w:r>
            <w:hyperlink r:id="rId916" w:tooltip="Elaeagnaceae" w:history="1">
              <w:r w:rsidRPr="000951C4">
                <w:rPr>
                  <w:rStyle w:val="Lienhypertexte"/>
                  <w:rFonts w:ascii="Calibri" w:hAnsi="Calibri" w:cs="Calibri"/>
                  <w:i/>
                  <w:iCs/>
                  <w:color w:val="0645AD"/>
                  <w:shd w:val="clear" w:color="auto" w:fill="F9F9F9"/>
                </w:rPr>
                <w:t>Elaeagnaceae</w:t>
              </w:r>
            </w:hyperlink>
            <w:r>
              <w:rPr>
                <w:rFonts w:ascii="Calibri" w:hAnsi="Calibri" w:cs="Calibri"/>
                <w:bCs/>
              </w:rPr>
              <w:t>)</w:t>
            </w:r>
            <w:r w:rsidRPr="00DE2C3A">
              <w:rPr>
                <w:rFonts w:ascii="Calibri" w:hAnsi="Calibri" w:cs="Calibri"/>
                <w:bCs/>
              </w:rPr>
              <w:t>.</w:t>
            </w:r>
          </w:p>
          <w:p w14:paraId="7EBCDB73" w14:textId="77777777" w:rsidR="000951C4" w:rsidRPr="008F191E" w:rsidRDefault="000951C4" w:rsidP="005C76A4">
            <w:pPr>
              <w:rPr>
                <w:rFonts w:ascii="Calibri" w:hAnsi="Calibri" w:cs="Calibri"/>
                <w:bCs/>
              </w:rPr>
            </w:pPr>
          </w:p>
          <w:p w14:paraId="2E3BD7D5" w14:textId="77777777" w:rsidR="000951C4" w:rsidRPr="000B6BE3" w:rsidRDefault="000951C4" w:rsidP="005C76A4">
            <w:pPr>
              <w:rPr>
                <w:rFonts w:cstheme="minorHAnsi"/>
              </w:rPr>
            </w:pPr>
          </w:p>
        </w:tc>
        <w:tc>
          <w:tcPr>
            <w:tcW w:w="2714" w:type="dxa"/>
          </w:tcPr>
          <w:p w14:paraId="48D3CACA" w14:textId="77777777" w:rsidR="000951C4" w:rsidRPr="000B6BE3" w:rsidRDefault="000951C4" w:rsidP="005C76A4">
            <w:pPr>
              <w:rPr>
                <w:rFonts w:cstheme="minorHAnsi"/>
              </w:rPr>
            </w:pPr>
            <w:r w:rsidRPr="000B6BE3">
              <w:rPr>
                <w:rFonts w:cstheme="minorHAnsi"/>
                <w:noProof/>
              </w:rPr>
              <w:t xml:space="preserve">  </w:t>
            </w:r>
            <w:r>
              <w:rPr>
                <w:rFonts w:cstheme="minorHAnsi"/>
                <w:noProof/>
              </w:rPr>
              <w:t xml:space="preserve">      </w:t>
            </w:r>
            <w:r w:rsidRPr="008F2681">
              <w:rPr>
                <w:rFonts w:cstheme="minorHAnsi"/>
                <w:noProof/>
              </w:rPr>
              <w:drawing>
                <wp:inline distT="0" distB="0" distL="0" distR="0" wp14:anchorId="70AA09A3" wp14:editId="4640AEE5">
                  <wp:extent cx="463550" cy="661988"/>
                  <wp:effectExtent l="0" t="0" r="0" b="5080"/>
                  <wp:docPr id="9237"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p>
        </w:tc>
        <w:tc>
          <w:tcPr>
            <w:tcW w:w="1536" w:type="dxa"/>
          </w:tcPr>
          <w:p w14:paraId="00177B02" w14:textId="77777777" w:rsidR="000951C4" w:rsidRPr="002E01BB" w:rsidRDefault="000951C4" w:rsidP="005C76A4">
            <w:pPr>
              <w:rPr>
                <w:rFonts w:eastAsia="+mn-ea" w:cstheme="minorHAnsi"/>
                <w:b/>
                <w:bCs/>
                <w:color w:val="008000"/>
                <w:kern w:val="24"/>
                <w:sz w:val="56"/>
                <w:szCs w:val="56"/>
              </w:rPr>
            </w:pPr>
            <w:r w:rsidRPr="00D1445E">
              <w:rPr>
                <w:rFonts w:eastAsia="+mn-ea" w:cstheme="minorHAnsi"/>
                <w:b/>
                <w:bCs/>
                <w:color w:val="008000"/>
                <w:kern w:val="24"/>
                <w:sz w:val="56"/>
                <w:szCs w:val="56"/>
              </w:rPr>
              <w:t>U</w:t>
            </w:r>
            <w:r>
              <w:rPr>
                <w:rFonts w:eastAsia="+mn-ea" w:cstheme="minorHAnsi"/>
                <w:b/>
                <w:bCs/>
                <w:color w:val="008000"/>
                <w:kern w:val="24"/>
                <w:sz w:val="56"/>
                <w:szCs w:val="56"/>
              </w:rPr>
              <w:t xml:space="preserve"> </w:t>
            </w:r>
            <w:r>
              <w:rPr>
                <w:rFonts w:ascii="Calibri" w:eastAsia="+mn-ea" w:hAnsi="Calibri" w:cs="Calibri"/>
                <w:b/>
                <w:bCs/>
                <w:color w:val="008000"/>
                <w:kern w:val="24"/>
                <w:sz w:val="56"/>
                <w:szCs w:val="56"/>
              </w:rPr>
              <w:t>↗</w:t>
            </w:r>
          </w:p>
          <w:p w14:paraId="1FD6A41D" w14:textId="77777777" w:rsidR="000951C4" w:rsidRPr="000B6BE3" w:rsidRDefault="000951C4" w:rsidP="005C76A4">
            <w:pPr>
              <w:textAlignment w:val="baseline"/>
              <w:rPr>
                <w:rFonts w:cstheme="minorHAnsi"/>
              </w:rPr>
            </w:pPr>
          </w:p>
        </w:tc>
        <w:tc>
          <w:tcPr>
            <w:tcW w:w="413" w:type="dxa"/>
          </w:tcPr>
          <w:p w14:paraId="0862C2B5" w14:textId="77777777" w:rsidR="000951C4" w:rsidRPr="000B6BE3" w:rsidRDefault="000951C4" w:rsidP="005C76A4">
            <w:pPr>
              <w:rPr>
                <w:rFonts w:cstheme="minorHAnsi"/>
              </w:rPr>
            </w:pPr>
          </w:p>
        </w:tc>
        <w:tc>
          <w:tcPr>
            <w:tcW w:w="1368" w:type="dxa"/>
          </w:tcPr>
          <w:p w14:paraId="4FD45685" w14:textId="77777777" w:rsidR="000951C4" w:rsidRPr="000B6BE3" w:rsidRDefault="000951C4" w:rsidP="005C76A4">
            <w:pPr>
              <w:rPr>
                <w:rFonts w:cstheme="minorHAnsi"/>
              </w:rPr>
            </w:pPr>
          </w:p>
        </w:tc>
      </w:tr>
    </w:tbl>
    <w:p w14:paraId="008C2CDC" w14:textId="77777777" w:rsidR="000951C4" w:rsidRDefault="000951C4" w:rsidP="00AE423D">
      <w:pPr>
        <w:spacing w:after="0" w:line="240" w:lineRule="auto"/>
        <w:jc w:val="both"/>
      </w:pPr>
    </w:p>
    <w:p w14:paraId="619D91F0" w14:textId="6E9D0DB5" w:rsidR="00AE423D" w:rsidRDefault="00AE423D" w:rsidP="00AE423D">
      <w:pPr>
        <w:spacing w:after="0" w:line="240" w:lineRule="auto"/>
        <w:jc w:val="both"/>
      </w:pPr>
      <w:r>
        <w:t xml:space="preserve">Diverses variétés d'Eleagnus à feuillage caduc ou persistant sont utilisées comme haies en bord de mer. Ils résistent aux embruns et aux sols salés. Le plus courant est </w:t>
      </w:r>
      <w:r w:rsidRPr="00AE423D">
        <w:rPr>
          <w:i/>
          <w:iCs/>
        </w:rPr>
        <w:t>l'Eleagnus ebbingei</w:t>
      </w:r>
      <w:r>
        <w:t>, petit arbuste (2,5 mètres de haut) à feuillage persistant. L'olivier de Bohème (</w:t>
      </w:r>
      <w:r w:rsidRPr="00AE423D">
        <w:rPr>
          <w:i/>
          <w:iCs/>
        </w:rPr>
        <w:t>Elaeagnus angustifoli</w:t>
      </w:r>
      <w:r>
        <w:t xml:space="preserve">), un peu plus grand (4-6 mètres) fait partie de la même famille. Ses nodules racinaires fixent l’azote de l'air. Ils lui permettent de grandir sur des supports minéraux nus. Ses fleurs parfumées sont mellifères. Le fruit est comestible et sucré, mais avec une texture farineuse. Elle présente une bonne résistance au froid, supportant des températures minimales jusqu'à près de -40 °C, mais craint les gelées printanières tardives. C’est plutôt une plante héliophile, n'aimant guère l'ombrage. Elle pousse à des altitudes généralement inférieures à 2 000 m. On la trouve souvent près de l'eau : côtes maritimes, rives de lacs et rivières, bordures de fossés, marais, plaines inondables, mais aussi dans le lit de rivières asséchées. L'espèce est invasive, car fructifère (un individu peut produire de nombreux fruits) et la durée de vie des individus est longue. </w:t>
      </w:r>
    </w:p>
    <w:p w14:paraId="3554E59B" w14:textId="7F2E73B1" w:rsidR="00203C82" w:rsidRDefault="00AE423D" w:rsidP="00AE423D">
      <w:pPr>
        <w:spacing w:after="0" w:line="240" w:lineRule="auto"/>
        <w:jc w:val="both"/>
      </w:pPr>
      <w:r>
        <w:t xml:space="preserve">Source : </w:t>
      </w:r>
      <w:hyperlink r:id="rId917" w:history="1">
        <w:r w:rsidRPr="00CD78C9">
          <w:rPr>
            <w:rStyle w:val="Lienhypertexte"/>
          </w:rPr>
          <w:t>https://fr.wikipedia.org/wiki/Elaeagnus_angustifolia</w:t>
        </w:r>
      </w:hyperlink>
      <w:r>
        <w:t xml:space="preserve"> </w:t>
      </w:r>
    </w:p>
    <w:p w14:paraId="341950A7" w14:textId="3958DCF7" w:rsidR="00364E31" w:rsidRDefault="00364E31" w:rsidP="00AE423D">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0951C4" w14:paraId="4D9EE3B0" w14:textId="77777777" w:rsidTr="003F2033">
        <w:tc>
          <w:tcPr>
            <w:tcW w:w="3472" w:type="dxa"/>
          </w:tcPr>
          <w:p w14:paraId="4A1EAD51" w14:textId="77777777" w:rsidR="000951C4" w:rsidRDefault="000951C4" w:rsidP="000951C4">
            <w:pPr>
              <w:jc w:val="center"/>
            </w:pPr>
            <w:r w:rsidRPr="000951C4">
              <w:rPr>
                <w:noProof/>
              </w:rPr>
              <w:lastRenderedPageBreak/>
              <w:drawing>
                <wp:inline distT="0" distB="0" distL="0" distR="0" wp14:anchorId="2638052F" wp14:editId="4E2B9CBD">
                  <wp:extent cx="1600200" cy="1704975"/>
                  <wp:effectExtent l="0" t="0" r="0" b="9525"/>
                  <wp:docPr id="9240"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1"/>
                          <pic:cNvPicPr>
                            <a:picLocks noChangeAspect="1"/>
                          </pic:cNvPicPr>
                        </pic:nvPicPr>
                        <pic:blipFill>
                          <a:blip r:embed="rId918">
                            <a:extLst>
                              <a:ext uri="{28A0092B-C50C-407E-A947-70E740481C1C}">
                                <a14:useLocalDpi xmlns:a14="http://schemas.microsoft.com/office/drawing/2010/main" val="0"/>
                              </a:ext>
                            </a:extLst>
                          </a:blip>
                          <a:stretch>
                            <a:fillRect/>
                          </a:stretch>
                        </pic:blipFill>
                        <pic:spPr>
                          <a:xfrm>
                            <a:off x="0" y="0"/>
                            <a:ext cx="1600200" cy="1704975"/>
                          </a:xfrm>
                          <a:prstGeom prst="rect">
                            <a:avLst/>
                          </a:prstGeom>
                        </pic:spPr>
                      </pic:pic>
                    </a:graphicData>
                  </a:graphic>
                </wp:inline>
              </w:drawing>
            </w:r>
          </w:p>
          <w:p w14:paraId="13569BA3" w14:textId="77777777" w:rsidR="000951C4" w:rsidRDefault="000951C4" w:rsidP="000951C4">
            <w:pPr>
              <w:jc w:val="center"/>
              <w:rPr>
                <w:i/>
                <w:iCs/>
              </w:rPr>
            </w:pPr>
            <w:r w:rsidRPr="000951C4">
              <w:rPr>
                <w:i/>
                <w:iCs/>
              </w:rPr>
              <w:t>Elaeagnus angustifoli</w:t>
            </w:r>
          </w:p>
          <w:p w14:paraId="59E2A172" w14:textId="38118636" w:rsidR="00FA4BA8" w:rsidRDefault="00FA4BA8" w:rsidP="000951C4">
            <w:pPr>
              <w:jc w:val="center"/>
            </w:pPr>
          </w:p>
        </w:tc>
        <w:tc>
          <w:tcPr>
            <w:tcW w:w="3472" w:type="dxa"/>
          </w:tcPr>
          <w:p w14:paraId="0990E7B3" w14:textId="77777777" w:rsidR="000951C4" w:rsidRDefault="000951C4" w:rsidP="000951C4">
            <w:pPr>
              <w:jc w:val="center"/>
            </w:pPr>
            <w:r w:rsidRPr="000951C4">
              <w:rPr>
                <w:noProof/>
              </w:rPr>
              <w:drawing>
                <wp:inline distT="0" distB="0" distL="0" distR="0" wp14:anchorId="2EACE894" wp14:editId="3A633887">
                  <wp:extent cx="1930931" cy="1448198"/>
                  <wp:effectExtent l="0" t="0" r="0" b="0"/>
                  <wp:docPr id="9241"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pic:cNvPicPr>
                            <a:picLocks noChangeAspect="1"/>
                          </pic:cNvPicPr>
                        </pic:nvPicPr>
                        <pic:blipFill>
                          <a:blip r:embed="rId919">
                            <a:extLst>
                              <a:ext uri="{28A0092B-C50C-407E-A947-70E740481C1C}">
                                <a14:useLocalDpi xmlns:a14="http://schemas.microsoft.com/office/drawing/2010/main" val="0"/>
                              </a:ext>
                            </a:extLst>
                          </a:blip>
                          <a:stretch>
                            <a:fillRect/>
                          </a:stretch>
                        </pic:blipFill>
                        <pic:spPr>
                          <a:xfrm>
                            <a:off x="0" y="0"/>
                            <a:ext cx="1930931" cy="1448198"/>
                          </a:xfrm>
                          <a:prstGeom prst="rect">
                            <a:avLst/>
                          </a:prstGeom>
                        </pic:spPr>
                      </pic:pic>
                    </a:graphicData>
                  </a:graphic>
                </wp:inline>
              </w:drawing>
            </w:r>
          </w:p>
          <w:p w14:paraId="6658679B" w14:textId="067FAC0E" w:rsidR="000951C4" w:rsidRDefault="000951C4" w:rsidP="000951C4">
            <w:pPr>
              <w:jc w:val="center"/>
            </w:pPr>
            <w:r w:rsidRPr="000951C4">
              <w:t>Détail des fleurs</w:t>
            </w:r>
          </w:p>
        </w:tc>
        <w:tc>
          <w:tcPr>
            <w:tcW w:w="3472" w:type="dxa"/>
          </w:tcPr>
          <w:p w14:paraId="79986EBE" w14:textId="77777777" w:rsidR="000951C4" w:rsidRDefault="000951C4" w:rsidP="000951C4">
            <w:pPr>
              <w:jc w:val="center"/>
            </w:pPr>
            <w:r w:rsidRPr="000951C4">
              <w:rPr>
                <w:noProof/>
              </w:rPr>
              <w:drawing>
                <wp:inline distT="0" distB="0" distL="0" distR="0" wp14:anchorId="6B473CEF" wp14:editId="26F99383">
                  <wp:extent cx="1561923" cy="1171442"/>
                  <wp:effectExtent l="0" t="0" r="635" b="0"/>
                  <wp:docPr id="9242"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pic:cNvPicPr>
                            <a:picLocks noChangeAspect="1"/>
                          </pic:cNvPicPr>
                        </pic:nvPicPr>
                        <pic:blipFill>
                          <a:blip r:embed="rId920">
                            <a:extLst>
                              <a:ext uri="{28A0092B-C50C-407E-A947-70E740481C1C}">
                                <a14:useLocalDpi xmlns:a14="http://schemas.microsoft.com/office/drawing/2010/main" val="0"/>
                              </a:ext>
                            </a:extLst>
                          </a:blip>
                          <a:stretch>
                            <a:fillRect/>
                          </a:stretch>
                        </pic:blipFill>
                        <pic:spPr>
                          <a:xfrm>
                            <a:off x="0" y="0"/>
                            <a:ext cx="1561923" cy="1171442"/>
                          </a:xfrm>
                          <a:prstGeom prst="rect">
                            <a:avLst/>
                          </a:prstGeom>
                        </pic:spPr>
                      </pic:pic>
                    </a:graphicData>
                  </a:graphic>
                </wp:inline>
              </w:drawing>
            </w:r>
          </w:p>
          <w:p w14:paraId="688B934D" w14:textId="4277352D" w:rsidR="000951C4" w:rsidRDefault="000951C4" w:rsidP="000951C4">
            <w:pPr>
              <w:jc w:val="center"/>
            </w:pPr>
            <w:r w:rsidRPr="000951C4">
              <w:t>Fruits mûrs (</w:t>
            </w:r>
            <w:r w:rsidRPr="000951C4">
              <w:rPr>
                <w:i/>
                <w:iCs/>
              </w:rPr>
              <w:t>Elaeagnus angustifoli</w:t>
            </w:r>
            <w:r w:rsidRPr="000951C4">
              <w:t>)</w:t>
            </w:r>
          </w:p>
        </w:tc>
      </w:tr>
      <w:tr w:rsidR="000951C4" w14:paraId="3D28E104" w14:textId="77777777" w:rsidTr="003F2033">
        <w:tc>
          <w:tcPr>
            <w:tcW w:w="3472" w:type="dxa"/>
          </w:tcPr>
          <w:p w14:paraId="7BF5B929" w14:textId="77777777" w:rsidR="000951C4" w:rsidRDefault="003F2033" w:rsidP="000951C4">
            <w:pPr>
              <w:jc w:val="center"/>
            </w:pPr>
            <w:r w:rsidRPr="003F2033">
              <w:rPr>
                <w:noProof/>
              </w:rPr>
              <w:drawing>
                <wp:inline distT="0" distB="0" distL="0" distR="0" wp14:anchorId="6E9EB04F" wp14:editId="58DEB54B">
                  <wp:extent cx="1292971" cy="982003"/>
                  <wp:effectExtent l="0" t="0" r="2540" b="8890"/>
                  <wp:docPr id="924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pic:cNvPicPr>
                            <a:picLocks noChangeAspect="1"/>
                          </pic:cNvPicPr>
                        </pic:nvPicPr>
                        <pic:blipFill>
                          <a:blip r:embed="rId921">
                            <a:extLst>
                              <a:ext uri="{28A0092B-C50C-407E-A947-70E740481C1C}">
                                <a14:useLocalDpi xmlns:a14="http://schemas.microsoft.com/office/drawing/2010/main" val="0"/>
                              </a:ext>
                            </a:extLst>
                          </a:blip>
                          <a:stretch>
                            <a:fillRect/>
                          </a:stretch>
                        </pic:blipFill>
                        <pic:spPr>
                          <a:xfrm>
                            <a:off x="0" y="0"/>
                            <a:ext cx="1292971" cy="982003"/>
                          </a:xfrm>
                          <a:prstGeom prst="rect">
                            <a:avLst/>
                          </a:prstGeom>
                        </pic:spPr>
                      </pic:pic>
                    </a:graphicData>
                  </a:graphic>
                </wp:inline>
              </w:drawing>
            </w:r>
          </w:p>
          <w:p w14:paraId="6391B44C" w14:textId="213B36FD" w:rsidR="003F2033" w:rsidRDefault="003F2033" w:rsidP="000951C4">
            <w:pPr>
              <w:jc w:val="center"/>
            </w:pPr>
            <w:r w:rsidRPr="003F2033">
              <w:t>Coupe montrant l'akène englobé dans l'hypanthe charnu (</w:t>
            </w:r>
            <w:r w:rsidRPr="003F2033">
              <w:rPr>
                <w:i/>
                <w:iCs/>
              </w:rPr>
              <w:t>Elaeagnus angustifoli</w:t>
            </w:r>
            <w:r w:rsidRPr="003F2033">
              <w:t>).</w:t>
            </w:r>
          </w:p>
        </w:tc>
        <w:tc>
          <w:tcPr>
            <w:tcW w:w="3472" w:type="dxa"/>
          </w:tcPr>
          <w:p w14:paraId="03373001" w14:textId="77777777" w:rsidR="000951C4" w:rsidRDefault="003F2033" w:rsidP="000951C4">
            <w:pPr>
              <w:jc w:val="center"/>
            </w:pPr>
            <w:r w:rsidRPr="003F2033">
              <w:rPr>
                <w:noProof/>
              </w:rPr>
              <w:drawing>
                <wp:inline distT="0" distB="0" distL="0" distR="0" wp14:anchorId="415B28D0" wp14:editId="61399DE2">
                  <wp:extent cx="833628" cy="1111504"/>
                  <wp:effectExtent l="0" t="0" r="5080" b="0"/>
                  <wp:docPr id="9244"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6"/>
                          <pic:cNvPicPr>
                            <a:picLocks noChangeAspect="1"/>
                          </pic:cNvPicPr>
                        </pic:nvPicPr>
                        <pic:blipFill>
                          <a:blip r:embed="rId922">
                            <a:extLst>
                              <a:ext uri="{28A0092B-C50C-407E-A947-70E740481C1C}">
                                <a14:useLocalDpi xmlns:a14="http://schemas.microsoft.com/office/drawing/2010/main" val="0"/>
                              </a:ext>
                            </a:extLst>
                          </a:blip>
                          <a:stretch>
                            <a:fillRect/>
                          </a:stretch>
                        </pic:blipFill>
                        <pic:spPr>
                          <a:xfrm>
                            <a:off x="0" y="0"/>
                            <a:ext cx="833628" cy="1111504"/>
                          </a:xfrm>
                          <a:prstGeom prst="rect">
                            <a:avLst/>
                          </a:prstGeom>
                        </pic:spPr>
                      </pic:pic>
                    </a:graphicData>
                  </a:graphic>
                </wp:inline>
              </w:drawing>
            </w:r>
          </w:p>
          <w:p w14:paraId="67BEADE2" w14:textId="0434CE0E" w:rsidR="003F2033" w:rsidRDefault="003F2033" w:rsidP="003F2033">
            <w:pPr>
              <w:jc w:val="center"/>
            </w:pPr>
            <w:r w:rsidRPr="003F2033">
              <w:t>Écorce d'un vieux tronc</w:t>
            </w:r>
            <w:r>
              <w:t>.</w:t>
            </w:r>
          </w:p>
        </w:tc>
        <w:tc>
          <w:tcPr>
            <w:tcW w:w="3472" w:type="dxa"/>
          </w:tcPr>
          <w:p w14:paraId="46F6261A" w14:textId="77777777" w:rsidR="000951C4" w:rsidRDefault="003F2033" w:rsidP="000951C4">
            <w:pPr>
              <w:jc w:val="center"/>
            </w:pPr>
            <w:r>
              <w:rPr>
                <w:noProof/>
              </w:rPr>
              <w:drawing>
                <wp:inline distT="0" distB="0" distL="0" distR="0" wp14:anchorId="322AA8D7" wp14:editId="69146F2D">
                  <wp:extent cx="1818440" cy="1362075"/>
                  <wp:effectExtent l="0" t="0" r="0" b="0"/>
                  <wp:docPr id="9245" name="Image 9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23">
                            <a:extLst>
                              <a:ext uri="{28A0092B-C50C-407E-A947-70E740481C1C}">
                                <a14:useLocalDpi xmlns:a14="http://schemas.microsoft.com/office/drawing/2010/main" val="0"/>
                              </a:ext>
                            </a:extLst>
                          </a:blip>
                          <a:srcRect/>
                          <a:stretch>
                            <a:fillRect/>
                          </a:stretch>
                        </pic:blipFill>
                        <pic:spPr bwMode="auto">
                          <a:xfrm>
                            <a:off x="0" y="0"/>
                            <a:ext cx="1825347" cy="1367248"/>
                          </a:xfrm>
                          <a:prstGeom prst="rect">
                            <a:avLst/>
                          </a:prstGeom>
                          <a:noFill/>
                          <a:ln>
                            <a:noFill/>
                          </a:ln>
                        </pic:spPr>
                      </pic:pic>
                    </a:graphicData>
                  </a:graphic>
                </wp:inline>
              </w:drawing>
            </w:r>
          </w:p>
          <w:p w14:paraId="1921B4FC" w14:textId="7F465887" w:rsidR="003F2033" w:rsidRDefault="003F2033" w:rsidP="000951C4">
            <w:pPr>
              <w:jc w:val="center"/>
            </w:pPr>
            <w:r>
              <w:t>© Gerbaud.</w:t>
            </w:r>
          </w:p>
        </w:tc>
      </w:tr>
    </w:tbl>
    <w:p w14:paraId="52C783D3" w14:textId="77777777" w:rsidR="003F2033" w:rsidRDefault="003F2033" w:rsidP="003F2033">
      <w:pPr>
        <w:spacing w:after="0" w:line="240" w:lineRule="auto"/>
        <w:jc w:val="center"/>
      </w:pPr>
      <w:r w:rsidRPr="000951C4">
        <w:rPr>
          <w:noProof/>
        </w:rPr>
        <w:drawing>
          <wp:inline distT="0" distB="0" distL="0" distR="0" wp14:anchorId="1DAA6CF8" wp14:editId="2E233944">
            <wp:extent cx="2524125" cy="2076450"/>
            <wp:effectExtent l="0" t="0" r="9525" b="0"/>
            <wp:docPr id="9238" name="Image 17" descr="Une image contenant fleur, plante, ar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8" name="Image 17" descr="Une image contenant fleur, plante, arbre&#10;&#10;Description générée automatiquement"/>
                    <pic:cNvPicPr>
                      <a:picLocks noChangeAspect="1"/>
                    </pic:cNvPicPr>
                  </pic:nvPicPr>
                  <pic:blipFill>
                    <a:blip r:embed="rId924">
                      <a:extLst>
                        <a:ext uri="{28A0092B-C50C-407E-A947-70E740481C1C}">
                          <a14:useLocalDpi xmlns:a14="http://schemas.microsoft.com/office/drawing/2010/main" val="0"/>
                        </a:ext>
                      </a:extLst>
                    </a:blip>
                    <a:stretch>
                      <a:fillRect/>
                    </a:stretch>
                  </pic:blipFill>
                  <pic:spPr>
                    <a:xfrm>
                      <a:off x="0" y="0"/>
                      <a:ext cx="2524125" cy="2076450"/>
                    </a:xfrm>
                    <a:prstGeom prst="rect">
                      <a:avLst/>
                    </a:prstGeom>
                  </pic:spPr>
                </pic:pic>
              </a:graphicData>
            </a:graphic>
          </wp:inline>
        </w:drawing>
      </w:r>
    </w:p>
    <w:p w14:paraId="2121CA9F" w14:textId="4B191E40" w:rsidR="000951C4" w:rsidRDefault="003F2033" w:rsidP="003F2033">
      <w:pPr>
        <w:spacing w:after="0" w:line="240" w:lineRule="auto"/>
        <w:jc w:val="center"/>
      </w:pPr>
      <w:r w:rsidRPr="000951C4">
        <w:rPr>
          <w:i/>
          <w:iCs/>
        </w:rPr>
        <w:t>Eleagnus ebbingei</w:t>
      </w:r>
      <w:r w:rsidRPr="000951C4">
        <w:t xml:space="preserve">. Photo prise dans le parc du Fogeo sur la presqu'île du Rhuys (Commune d’Arzon, Morbihan, France). Source : </w:t>
      </w:r>
      <w:hyperlink r:id="rId925" w:history="1">
        <w:r w:rsidRPr="000951C4">
          <w:rPr>
            <w:rStyle w:val="Lienhypertexte"/>
          </w:rPr>
          <w:t>http://fogeo.free.fr/flore/arbustes_halophiles.pdf</w:t>
        </w:r>
      </w:hyperlink>
    </w:p>
    <w:p w14:paraId="5BB9E370" w14:textId="7C18724F" w:rsidR="00364E31" w:rsidRDefault="00364E31" w:rsidP="003F2033">
      <w:pPr>
        <w:spacing w:after="0" w:line="240" w:lineRule="auto"/>
      </w:pPr>
    </w:p>
    <w:p w14:paraId="20BDD300" w14:textId="77777777" w:rsidR="00AC1F86" w:rsidRDefault="00AC1F86" w:rsidP="00D87D3F">
      <w:pPr>
        <w:pStyle w:val="Titre2"/>
      </w:pPr>
      <w:bookmarkStart w:id="98" w:name="_Toc139181389"/>
      <w:r>
        <w:t>Lyciets (</w:t>
      </w:r>
      <w:r w:rsidRPr="00AC1F86">
        <w:rPr>
          <w:i/>
          <w:iCs/>
        </w:rPr>
        <w:t>Lycium sp</w:t>
      </w:r>
      <w:r>
        <w:t>.)</w:t>
      </w:r>
      <w:bookmarkEnd w:id="98"/>
      <w:r>
        <w:t xml:space="preserve"> </w:t>
      </w:r>
    </w:p>
    <w:p w14:paraId="6B5677C2" w14:textId="3C7D58B6" w:rsidR="00AC1F86" w:rsidRDefault="00AC1F86" w:rsidP="00AC1F86">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2714"/>
        <w:gridCol w:w="1536"/>
        <w:gridCol w:w="413"/>
        <w:gridCol w:w="1368"/>
      </w:tblGrid>
      <w:tr w:rsidR="00F23ABA" w:rsidRPr="000B6BE3" w14:paraId="50A6A50B" w14:textId="77777777" w:rsidTr="005C76A4">
        <w:tc>
          <w:tcPr>
            <w:tcW w:w="4395" w:type="dxa"/>
          </w:tcPr>
          <w:p w14:paraId="00804C55" w14:textId="0806F0CF" w:rsidR="002B01E7" w:rsidRDefault="002B01E7" w:rsidP="002B01E7">
            <w:pPr>
              <w:jc w:val="both"/>
            </w:pPr>
            <w:r>
              <w:t xml:space="preserve">(Famille des </w:t>
            </w:r>
            <w:r w:rsidRPr="002B01E7">
              <w:rPr>
                <w:i/>
                <w:iCs/>
              </w:rPr>
              <w:t>Solanaceae</w:t>
            </w:r>
            <w:r>
              <w:t>)</w:t>
            </w:r>
          </w:p>
          <w:p w14:paraId="52EB43D4" w14:textId="77777777" w:rsidR="00F23ABA" w:rsidRPr="000B6BE3" w:rsidRDefault="00F23ABA" w:rsidP="005C76A4">
            <w:pPr>
              <w:rPr>
                <w:rFonts w:cstheme="minorHAnsi"/>
              </w:rPr>
            </w:pPr>
          </w:p>
        </w:tc>
        <w:tc>
          <w:tcPr>
            <w:tcW w:w="2714" w:type="dxa"/>
          </w:tcPr>
          <w:p w14:paraId="2695ED9D" w14:textId="77777777" w:rsidR="00F23ABA" w:rsidRPr="000B6BE3" w:rsidRDefault="00F23ABA" w:rsidP="005C76A4">
            <w:pPr>
              <w:rPr>
                <w:rFonts w:cstheme="minorHAnsi"/>
              </w:rPr>
            </w:pPr>
            <w:r w:rsidRPr="000B6BE3">
              <w:rPr>
                <w:rFonts w:cstheme="minorHAnsi"/>
                <w:noProof/>
              </w:rPr>
              <w:t xml:space="preserve">  </w:t>
            </w:r>
            <w:r>
              <w:rPr>
                <w:rFonts w:cstheme="minorHAnsi"/>
                <w:noProof/>
              </w:rPr>
              <w:t xml:space="preserve">      </w:t>
            </w:r>
            <w:r w:rsidRPr="008F2681">
              <w:rPr>
                <w:rFonts w:cstheme="minorHAnsi"/>
                <w:noProof/>
              </w:rPr>
              <w:drawing>
                <wp:inline distT="0" distB="0" distL="0" distR="0" wp14:anchorId="241669A5" wp14:editId="0ADF9FD5">
                  <wp:extent cx="463550" cy="661988"/>
                  <wp:effectExtent l="0" t="0" r="0" b="5080"/>
                  <wp:docPr id="9246"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p>
        </w:tc>
        <w:tc>
          <w:tcPr>
            <w:tcW w:w="1536" w:type="dxa"/>
          </w:tcPr>
          <w:p w14:paraId="60C97274" w14:textId="77777777" w:rsidR="00F23ABA" w:rsidRPr="002E01BB" w:rsidRDefault="00F23ABA" w:rsidP="005C76A4">
            <w:pPr>
              <w:rPr>
                <w:rFonts w:eastAsia="+mn-ea" w:cstheme="minorHAnsi"/>
                <w:b/>
                <w:bCs/>
                <w:color w:val="008000"/>
                <w:kern w:val="24"/>
                <w:sz w:val="56"/>
                <w:szCs w:val="56"/>
              </w:rPr>
            </w:pPr>
            <w:r w:rsidRPr="00D1445E">
              <w:rPr>
                <w:rFonts w:eastAsia="+mn-ea" w:cstheme="minorHAnsi"/>
                <w:b/>
                <w:bCs/>
                <w:color w:val="008000"/>
                <w:kern w:val="24"/>
                <w:sz w:val="56"/>
                <w:szCs w:val="56"/>
              </w:rPr>
              <w:t>U</w:t>
            </w:r>
            <w:r>
              <w:rPr>
                <w:rFonts w:eastAsia="+mn-ea" w:cstheme="minorHAnsi"/>
                <w:b/>
                <w:bCs/>
                <w:color w:val="008000"/>
                <w:kern w:val="24"/>
                <w:sz w:val="56"/>
                <w:szCs w:val="56"/>
              </w:rPr>
              <w:t xml:space="preserve"> </w:t>
            </w:r>
            <w:r>
              <w:rPr>
                <w:rFonts w:ascii="Calibri" w:eastAsia="+mn-ea" w:hAnsi="Calibri" w:cs="Calibri"/>
                <w:b/>
                <w:bCs/>
                <w:color w:val="008000"/>
                <w:kern w:val="24"/>
                <w:sz w:val="56"/>
                <w:szCs w:val="56"/>
              </w:rPr>
              <w:t>↗</w:t>
            </w:r>
          </w:p>
          <w:p w14:paraId="2B38C4DA" w14:textId="77777777" w:rsidR="00F23ABA" w:rsidRPr="000B6BE3" w:rsidRDefault="00F23ABA" w:rsidP="005C76A4">
            <w:pPr>
              <w:textAlignment w:val="baseline"/>
              <w:rPr>
                <w:rFonts w:cstheme="minorHAnsi"/>
              </w:rPr>
            </w:pPr>
          </w:p>
        </w:tc>
        <w:tc>
          <w:tcPr>
            <w:tcW w:w="413" w:type="dxa"/>
          </w:tcPr>
          <w:p w14:paraId="3BE4AA93" w14:textId="77777777" w:rsidR="00F23ABA" w:rsidRPr="000B6BE3" w:rsidRDefault="00F23ABA" w:rsidP="005C76A4">
            <w:pPr>
              <w:rPr>
                <w:rFonts w:cstheme="minorHAnsi"/>
              </w:rPr>
            </w:pPr>
          </w:p>
        </w:tc>
        <w:tc>
          <w:tcPr>
            <w:tcW w:w="1368" w:type="dxa"/>
          </w:tcPr>
          <w:p w14:paraId="4E7098E7" w14:textId="0BD54E98" w:rsidR="00F23ABA" w:rsidRPr="000B6BE3" w:rsidRDefault="00D9319A" w:rsidP="005C76A4">
            <w:pPr>
              <w:rPr>
                <w:rFonts w:cstheme="minorHAnsi"/>
              </w:rPr>
            </w:pPr>
            <w:r w:rsidRPr="00853ED0">
              <w:rPr>
                <w:noProof/>
              </w:rPr>
              <w:drawing>
                <wp:inline distT="0" distB="0" distL="0" distR="0" wp14:anchorId="1134E5E7" wp14:editId="356489BD">
                  <wp:extent cx="400050" cy="352425"/>
                  <wp:effectExtent l="0" t="0" r="0" b="9525"/>
                  <wp:docPr id="104477" name="Image 21">
                    <a:extLst xmlns:a="http://schemas.openxmlformats.org/drawingml/2006/main">
                      <a:ext uri="{FF2B5EF4-FFF2-40B4-BE49-F238E27FC236}">
                        <a16:creationId xmlns:a16="http://schemas.microsoft.com/office/drawing/2014/main" id="{F52353B3-AA67-41AB-ACE3-C9465695F4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3" name="Image 21">
                            <a:extLst>
                              <a:ext uri="{FF2B5EF4-FFF2-40B4-BE49-F238E27FC236}">
                                <a16:creationId xmlns:a16="http://schemas.microsoft.com/office/drawing/2014/main" id="{F52353B3-AA67-41AB-ACE3-C9465695F4BE}"/>
                              </a:ext>
                            </a:extLst>
                          </pic:cNvPr>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4326A464" w14:textId="77777777" w:rsidR="00F23ABA" w:rsidRDefault="00F23ABA" w:rsidP="00AC1F86">
      <w:pPr>
        <w:spacing w:after="0" w:line="240" w:lineRule="auto"/>
        <w:jc w:val="both"/>
      </w:pPr>
    </w:p>
    <w:p w14:paraId="6F3D47E8" w14:textId="6EDFFEA2" w:rsidR="00AC1F86" w:rsidRDefault="00AC1F86" w:rsidP="00AC1F86">
      <w:pPr>
        <w:spacing w:after="0" w:line="240" w:lineRule="auto"/>
        <w:jc w:val="both"/>
      </w:pPr>
      <w:r>
        <w:t>Le lyciet commun ou lyciet de Barbarie (</w:t>
      </w:r>
      <w:r w:rsidRPr="00AC1F86">
        <w:rPr>
          <w:i/>
          <w:iCs/>
        </w:rPr>
        <w:t>Lycium barbarum</w:t>
      </w:r>
      <w:r>
        <w:t>) est un arbuste largement répandu de l'Europe méridionale à l'Asie. Le </w:t>
      </w:r>
      <w:r w:rsidRPr="00AC1F86">
        <w:rPr>
          <w:i/>
          <w:iCs/>
        </w:rPr>
        <w:t>Lycium chinense</w:t>
      </w:r>
      <w:r>
        <w:t xml:space="preserve"> ou lyciet de Chine, est un arbrisseau de 1 à 2 mètres de haut, touffu, à rameaux flexibles, tombants, légèrement anguleux et peu </w:t>
      </w:r>
      <w:r w:rsidRPr="00D9319A">
        <w:rPr>
          <w:i/>
          <w:iCs/>
        </w:rPr>
        <w:t>épineux</w:t>
      </w:r>
      <w:r>
        <w:t xml:space="preserve"> (avec des </w:t>
      </w:r>
      <w:r w:rsidRPr="00D9319A">
        <w:rPr>
          <w:i/>
          <w:iCs/>
        </w:rPr>
        <w:t>épines</w:t>
      </w:r>
      <w:r>
        <w:t xml:space="preserve"> de 0,5 à 2 cm), répandu du pourtour de la Méditerranée à l'Asie orientale. Le goji ou baie de goji est le nom commercial de la baie du lyciet commun (</w:t>
      </w:r>
      <w:r w:rsidRPr="00AC1F86">
        <w:rPr>
          <w:i/>
          <w:iCs/>
        </w:rPr>
        <w:t>Lycium barbarum</w:t>
      </w:r>
      <w:r>
        <w:t>) et du lyciet de Chine (</w:t>
      </w:r>
      <w:r w:rsidRPr="00AC1F86">
        <w:rPr>
          <w:i/>
          <w:iCs/>
        </w:rPr>
        <w:t>Lycium chinense</w:t>
      </w:r>
      <w:r>
        <w:t xml:space="preserve">). Les lyciets sont cultivés surtout en altitude, du nord-ouest de la Chine (dans la région autonome Hui du Ningxia) à la Mongolie. Le lyciet commun, le lyciet d'Europe et le lyciet de Chine sont les trois espèces de lyciet poussant naturellement en France. En début d'été, il se pare de petites fleurs </w:t>
      </w:r>
      <w:r>
        <w:lastRenderedPageBreak/>
        <w:t xml:space="preserve">violettes et blanches en étoile, remplacées vers le mois de septembre par les baies rouges. </w:t>
      </w:r>
      <w:r w:rsidRPr="00AC1F86">
        <w:rPr>
          <w:i/>
          <w:iCs/>
        </w:rPr>
        <w:t>Lycium barbarum</w:t>
      </w:r>
      <w:r>
        <w:t> est peu exigeant. Il pousse dans n'importe quelle terre de jardin enrichie d'un peu de terreau, de préférence pour les sols alcalins (basique ; pH &gt;7), plutôt riches en minéraux. En hiver, pas d'arrosage en extérieur. En été, le Goji appréciera un sol relativement frais, qu’il faut arroser régulièrement. Il résiste à -20°C. Il préfère une exposition soleil / mi-ombre. Ses baies, semblables à de petites cerises allongées, légèrement sucrées et de faible acidité, sont commercialisées principalement sous forme de jus, généralement pasteurisés et souvent mélangés avec d'autres jus de fruits, ou de fruits déshydratés ou encore réduits en poudre. Les feuilles fraiches, riches en vitamines C et E, peuvent être consommées comme légumes. Semis : Semez les graines dans un terreau bien fin, sous une mini-serre à une température comprise entre 20 et 25°C. La germination interviendra sous 4 à 6 semaines.</w:t>
      </w:r>
    </w:p>
    <w:p w14:paraId="1CFC87FE" w14:textId="77777777" w:rsidR="00AC1F86" w:rsidRDefault="00AC1F86" w:rsidP="00AC1F86">
      <w:pPr>
        <w:spacing w:after="0" w:line="240" w:lineRule="auto"/>
        <w:jc w:val="both"/>
      </w:pPr>
      <w:r>
        <w:t>Controverses : ce fruit ne contiendrait pas plus de vitamines que l'orange ou la pomme, et moins que les baies d'argousier.</w:t>
      </w:r>
    </w:p>
    <w:p w14:paraId="1EF9E6BB" w14:textId="0C7393BD" w:rsidR="00AC1F86" w:rsidRDefault="00AC1F86" w:rsidP="00AC1F86">
      <w:pPr>
        <w:spacing w:after="0" w:line="240" w:lineRule="auto"/>
        <w:jc w:val="both"/>
      </w:pPr>
      <w:r>
        <w:t xml:space="preserve">Sources : a) </w:t>
      </w:r>
      <w:hyperlink r:id="rId926" w:history="1">
        <w:r w:rsidR="002B01E7" w:rsidRPr="00CD78C9">
          <w:rPr>
            <w:rStyle w:val="Lienhypertexte"/>
          </w:rPr>
          <w:t>https://fr.wikipedia.org/wiki/Baie_de_goji</w:t>
        </w:r>
      </w:hyperlink>
      <w:r>
        <w:t>,</w:t>
      </w:r>
      <w:r w:rsidR="002B01E7">
        <w:t xml:space="preserve"> </w:t>
      </w:r>
      <w:r>
        <w:t xml:space="preserve">b) </w:t>
      </w:r>
      <w:hyperlink r:id="rId927" w:history="1">
        <w:r w:rsidR="002B01E7" w:rsidRPr="00CD78C9">
          <w:rPr>
            <w:rStyle w:val="Lienhypertexte"/>
          </w:rPr>
          <w:t>https://fr.wikipedia.org/wiki/Lycium_chinense</w:t>
        </w:r>
      </w:hyperlink>
      <w:r>
        <w:t>,</w:t>
      </w:r>
      <w:r w:rsidR="002B01E7">
        <w:t xml:space="preserve"> </w:t>
      </w:r>
      <w:r>
        <w:t xml:space="preserve"> </w:t>
      </w:r>
    </w:p>
    <w:p w14:paraId="635727EA" w14:textId="57E76EA8" w:rsidR="002B01E7" w:rsidRDefault="00AC1F86" w:rsidP="00AC1F86">
      <w:pPr>
        <w:spacing w:after="0" w:line="240" w:lineRule="auto"/>
        <w:jc w:val="both"/>
      </w:pPr>
      <w:r>
        <w:t xml:space="preserve">c) </w:t>
      </w:r>
      <w:hyperlink r:id="rId928" w:history="1">
        <w:r w:rsidR="002B01E7" w:rsidRPr="00CD78C9">
          <w:rPr>
            <w:rStyle w:val="Lienhypertexte"/>
          </w:rPr>
          <w:t>https://fr.wikipedia.org/wiki/Lycium_barbarum</w:t>
        </w:r>
      </w:hyperlink>
    </w:p>
    <w:p w14:paraId="77FED45F" w14:textId="77777777" w:rsidR="002B01E7" w:rsidRDefault="002B01E7" w:rsidP="00AC1F86">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86"/>
        <w:gridCol w:w="3486"/>
        <w:gridCol w:w="3454"/>
      </w:tblGrid>
      <w:tr w:rsidR="00136968" w14:paraId="5B13697B" w14:textId="77777777" w:rsidTr="00136968">
        <w:tc>
          <w:tcPr>
            <w:tcW w:w="3472" w:type="dxa"/>
          </w:tcPr>
          <w:p w14:paraId="2ECD8304" w14:textId="074336B7" w:rsidR="00136968" w:rsidRDefault="00136968" w:rsidP="00136968">
            <w:pPr>
              <w:jc w:val="center"/>
            </w:pPr>
            <w:r w:rsidRPr="00136968">
              <w:rPr>
                <w:noProof/>
              </w:rPr>
              <w:drawing>
                <wp:inline distT="0" distB="0" distL="0" distR="0" wp14:anchorId="29E7ABC5" wp14:editId="37B56322">
                  <wp:extent cx="2068008" cy="1549010"/>
                  <wp:effectExtent l="0" t="0" r="8890" b="0"/>
                  <wp:docPr id="9247"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2"/>
                          <pic:cNvPicPr>
                            <a:picLocks noChangeAspect="1"/>
                          </pic:cNvPicPr>
                        </pic:nvPicPr>
                        <pic:blipFill>
                          <a:blip r:embed="rId929">
                            <a:extLst>
                              <a:ext uri="{28A0092B-C50C-407E-A947-70E740481C1C}">
                                <a14:useLocalDpi xmlns:a14="http://schemas.microsoft.com/office/drawing/2010/main" val="0"/>
                              </a:ext>
                            </a:extLst>
                          </a:blip>
                          <a:stretch>
                            <a:fillRect/>
                          </a:stretch>
                        </pic:blipFill>
                        <pic:spPr>
                          <a:xfrm>
                            <a:off x="0" y="0"/>
                            <a:ext cx="2068008" cy="1549010"/>
                          </a:xfrm>
                          <a:prstGeom prst="rect">
                            <a:avLst/>
                          </a:prstGeom>
                        </pic:spPr>
                      </pic:pic>
                    </a:graphicData>
                  </a:graphic>
                </wp:inline>
              </w:drawing>
            </w:r>
            <w:r>
              <w:t xml:space="preserve"> </w:t>
            </w:r>
          </w:p>
        </w:tc>
        <w:tc>
          <w:tcPr>
            <w:tcW w:w="3472" w:type="dxa"/>
          </w:tcPr>
          <w:p w14:paraId="4EAF60AE" w14:textId="77777777" w:rsidR="00136968" w:rsidRDefault="00136968" w:rsidP="00136968">
            <w:pPr>
              <w:jc w:val="center"/>
            </w:pPr>
            <w:r w:rsidRPr="00136968">
              <w:rPr>
                <w:noProof/>
              </w:rPr>
              <w:drawing>
                <wp:inline distT="0" distB="0" distL="0" distR="0" wp14:anchorId="71D9A56B" wp14:editId="45ABDB94">
                  <wp:extent cx="2072331" cy="1552248"/>
                  <wp:effectExtent l="0" t="0" r="4445" b="0"/>
                  <wp:docPr id="29696"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0"/>
                          <pic:cNvPicPr>
                            <a:picLocks noChangeAspect="1"/>
                          </pic:cNvPicPr>
                        </pic:nvPicPr>
                        <pic:blipFill>
                          <a:blip r:embed="rId930">
                            <a:extLst>
                              <a:ext uri="{28A0092B-C50C-407E-A947-70E740481C1C}">
                                <a14:useLocalDpi xmlns:a14="http://schemas.microsoft.com/office/drawing/2010/main" val="0"/>
                              </a:ext>
                            </a:extLst>
                          </a:blip>
                          <a:stretch>
                            <a:fillRect/>
                          </a:stretch>
                        </pic:blipFill>
                        <pic:spPr>
                          <a:xfrm>
                            <a:off x="0" y="0"/>
                            <a:ext cx="2072331" cy="1552248"/>
                          </a:xfrm>
                          <a:prstGeom prst="rect">
                            <a:avLst/>
                          </a:prstGeom>
                        </pic:spPr>
                      </pic:pic>
                    </a:graphicData>
                  </a:graphic>
                </wp:inline>
              </w:drawing>
            </w:r>
          </w:p>
          <w:p w14:paraId="1D280C8B" w14:textId="6B4EF239" w:rsidR="00136968" w:rsidRPr="00136968" w:rsidRDefault="00136968" w:rsidP="00136968">
            <w:pPr>
              <w:jc w:val="center"/>
            </w:pPr>
          </w:p>
        </w:tc>
        <w:tc>
          <w:tcPr>
            <w:tcW w:w="3472" w:type="dxa"/>
          </w:tcPr>
          <w:p w14:paraId="2475ED0A" w14:textId="70436E0B" w:rsidR="00136968" w:rsidRDefault="00136968" w:rsidP="00136968">
            <w:pPr>
              <w:jc w:val="center"/>
            </w:pPr>
            <w:r w:rsidRPr="00136968">
              <w:rPr>
                <w:noProof/>
              </w:rPr>
              <w:drawing>
                <wp:inline distT="0" distB="0" distL="0" distR="0" wp14:anchorId="65E19B86" wp14:editId="1B184384">
                  <wp:extent cx="1825135" cy="1310779"/>
                  <wp:effectExtent l="0" t="0" r="3810" b="3810"/>
                  <wp:docPr id="29697"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8"/>
                          <pic:cNvPicPr>
                            <a:picLocks noChangeAspect="1"/>
                          </pic:cNvPicPr>
                        </pic:nvPicPr>
                        <pic:blipFill>
                          <a:blip r:embed="rId931">
                            <a:extLst>
                              <a:ext uri="{28A0092B-C50C-407E-A947-70E740481C1C}">
                                <a14:useLocalDpi xmlns:a14="http://schemas.microsoft.com/office/drawing/2010/main" val="0"/>
                              </a:ext>
                            </a:extLst>
                          </a:blip>
                          <a:stretch>
                            <a:fillRect/>
                          </a:stretch>
                        </pic:blipFill>
                        <pic:spPr>
                          <a:xfrm>
                            <a:off x="0" y="0"/>
                            <a:ext cx="1825135" cy="1310779"/>
                          </a:xfrm>
                          <a:prstGeom prst="rect">
                            <a:avLst/>
                          </a:prstGeom>
                        </pic:spPr>
                      </pic:pic>
                    </a:graphicData>
                  </a:graphic>
                </wp:inline>
              </w:drawing>
            </w:r>
          </w:p>
        </w:tc>
      </w:tr>
      <w:tr w:rsidR="00136968" w14:paraId="167E7E35" w14:textId="77777777" w:rsidTr="00136968">
        <w:tc>
          <w:tcPr>
            <w:tcW w:w="3472" w:type="dxa"/>
          </w:tcPr>
          <w:p w14:paraId="12C26D27" w14:textId="0F7AA88D" w:rsidR="00136968" w:rsidRDefault="00136968" w:rsidP="00136968">
            <w:pPr>
              <w:jc w:val="center"/>
            </w:pPr>
            <w:r w:rsidRPr="00136968">
              <w:rPr>
                <w:noProof/>
              </w:rPr>
              <w:drawing>
                <wp:inline distT="0" distB="0" distL="0" distR="0" wp14:anchorId="6FA0E9CF" wp14:editId="0B369A12">
                  <wp:extent cx="2002860" cy="1331902"/>
                  <wp:effectExtent l="0" t="0" r="0" b="1905"/>
                  <wp:docPr id="29700"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9"/>
                          <pic:cNvPicPr>
                            <a:picLocks noChangeAspect="1"/>
                          </pic:cNvPicPr>
                        </pic:nvPicPr>
                        <pic:blipFill>
                          <a:blip r:embed="rId932">
                            <a:extLst>
                              <a:ext uri="{28A0092B-C50C-407E-A947-70E740481C1C}">
                                <a14:useLocalDpi xmlns:a14="http://schemas.microsoft.com/office/drawing/2010/main" val="0"/>
                              </a:ext>
                            </a:extLst>
                          </a:blip>
                          <a:stretch>
                            <a:fillRect/>
                          </a:stretch>
                        </pic:blipFill>
                        <pic:spPr>
                          <a:xfrm>
                            <a:off x="0" y="0"/>
                            <a:ext cx="2002860" cy="1331902"/>
                          </a:xfrm>
                          <a:prstGeom prst="rect">
                            <a:avLst/>
                          </a:prstGeom>
                        </pic:spPr>
                      </pic:pic>
                    </a:graphicData>
                  </a:graphic>
                </wp:inline>
              </w:drawing>
            </w:r>
          </w:p>
        </w:tc>
        <w:tc>
          <w:tcPr>
            <w:tcW w:w="3472" w:type="dxa"/>
          </w:tcPr>
          <w:p w14:paraId="47E21FFF" w14:textId="7FAE5E16" w:rsidR="00136968" w:rsidRDefault="00136968" w:rsidP="00136968">
            <w:pPr>
              <w:jc w:val="center"/>
            </w:pPr>
            <w:r w:rsidRPr="00136968">
              <w:rPr>
                <w:noProof/>
              </w:rPr>
              <w:drawing>
                <wp:inline distT="0" distB="0" distL="0" distR="0" wp14:anchorId="5F5C7A0F" wp14:editId="79C38C41">
                  <wp:extent cx="1619672" cy="1213191"/>
                  <wp:effectExtent l="0" t="0" r="0" b="6350"/>
                  <wp:docPr id="2970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1"/>
                          <pic:cNvPicPr>
                            <a:picLocks noChangeAspect="1"/>
                          </pic:cNvPicPr>
                        </pic:nvPicPr>
                        <pic:blipFill>
                          <a:blip r:embed="rId933">
                            <a:extLst>
                              <a:ext uri="{28A0092B-C50C-407E-A947-70E740481C1C}">
                                <a14:useLocalDpi xmlns:a14="http://schemas.microsoft.com/office/drawing/2010/main" val="0"/>
                              </a:ext>
                            </a:extLst>
                          </a:blip>
                          <a:stretch>
                            <a:fillRect/>
                          </a:stretch>
                        </pic:blipFill>
                        <pic:spPr>
                          <a:xfrm>
                            <a:off x="0" y="0"/>
                            <a:ext cx="1619672" cy="1213191"/>
                          </a:xfrm>
                          <a:prstGeom prst="rect">
                            <a:avLst/>
                          </a:prstGeom>
                        </pic:spPr>
                      </pic:pic>
                    </a:graphicData>
                  </a:graphic>
                </wp:inline>
              </w:drawing>
            </w:r>
          </w:p>
        </w:tc>
        <w:tc>
          <w:tcPr>
            <w:tcW w:w="3472" w:type="dxa"/>
          </w:tcPr>
          <w:p w14:paraId="219BFB38" w14:textId="77777777" w:rsidR="00136968" w:rsidRDefault="00136968" w:rsidP="00136968">
            <w:pPr>
              <w:jc w:val="center"/>
            </w:pPr>
            <w:r w:rsidRPr="00136968">
              <w:rPr>
                <w:noProof/>
              </w:rPr>
              <w:drawing>
                <wp:inline distT="0" distB="0" distL="0" distR="0" wp14:anchorId="7FD3DEA7" wp14:editId="7E11B628">
                  <wp:extent cx="1817890" cy="851103"/>
                  <wp:effectExtent l="0" t="0" r="0" b="6350"/>
                  <wp:docPr id="29702"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7"/>
                          <pic:cNvPicPr>
                            <a:picLocks noChangeAspect="1"/>
                          </pic:cNvPicPr>
                        </pic:nvPicPr>
                        <pic:blipFill>
                          <a:blip r:embed="rId934">
                            <a:extLst>
                              <a:ext uri="{28A0092B-C50C-407E-A947-70E740481C1C}">
                                <a14:useLocalDpi xmlns:a14="http://schemas.microsoft.com/office/drawing/2010/main" val="0"/>
                              </a:ext>
                            </a:extLst>
                          </a:blip>
                          <a:stretch>
                            <a:fillRect/>
                          </a:stretch>
                        </pic:blipFill>
                        <pic:spPr>
                          <a:xfrm>
                            <a:off x="0" y="0"/>
                            <a:ext cx="1817890" cy="851103"/>
                          </a:xfrm>
                          <a:prstGeom prst="rect">
                            <a:avLst/>
                          </a:prstGeom>
                        </pic:spPr>
                      </pic:pic>
                    </a:graphicData>
                  </a:graphic>
                </wp:inline>
              </w:drawing>
            </w:r>
          </w:p>
          <w:p w14:paraId="48F267A2" w14:textId="3C6AD15F" w:rsidR="00136968" w:rsidRDefault="00136968" w:rsidP="00136968">
            <w:pPr>
              <w:jc w:val="center"/>
            </w:pPr>
            <w:r>
              <w:t>Baies sèchées.</w:t>
            </w:r>
          </w:p>
        </w:tc>
      </w:tr>
    </w:tbl>
    <w:p w14:paraId="38CDC2E1" w14:textId="4D9C36C6" w:rsidR="00F0170C" w:rsidRDefault="00F0170C" w:rsidP="00B01C89">
      <w:pPr>
        <w:spacing w:after="0" w:line="240" w:lineRule="auto"/>
        <w:jc w:val="both"/>
      </w:pPr>
    </w:p>
    <w:p w14:paraId="28C6A40D" w14:textId="39CC6A55" w:rsidR="00B55D4E" w:rsidRDefault="00B01C89" w:rsidP="003E1894">
      <w:pPr>
        <w:pStyle w:val="Titre2"/>
      </w:pPr>
      <w:bookmarkStart w:id="99" w:name="_Toc139181390"/>
      <w:r>
        <w:t>Neverdier, moringa ou ben ailé (</w:t>
      </w:r>
      <w:r w:rsidRPr="00B01C89">
        <w:rPr>
          <w:i/>
          <w:iCs/>
        </w:rPr>
        <w:t>Moringa oleifera</w:t>
      </w:r>
      <w:r>
        <w:t>)</w:t>
      </w:r>
      <w:bookmarkEnd w:id="99"/>
    </w:p>
    <w:p w14:paraId="2AFC7C13" w14:textId="1CAC8473" w:rsidR="00B01C89" w:rsidRDefault="00B01C89" w:rsidP="00B01C89">
      <w:pPr>
        <w:spacing w:after="0" w:line="240" w:lineRule="auto"/>
        <w:jc w:val="both"/>
      </w:pPr>
    </w:p>
    <w:p w14:paraId="6A7406B8" w14:textId="4A3B274B" w:rsidR="00A1481E" w:rsidRPr="008C7925" w:rsidRDefault="008C7925" w:rsidP="008C7925">
      <w:pPr>
        <w:pStyle w:val="NormalWeb"/>
        <w:shd w:val="clear" w:color="auto" w:fill="FFFFFF"/>
        <w:spacing w:before="0" w:beforeAutospacing="0" w:after="0" w:afterAutospacing="0"/>
        <w:jc w:val="both"/>
        <w:rPr>
          <w:rFonts w:ascii="Calibri" w:hAnsi="Calibri" w:cs="Calibri"/>
          <w:color w:val="202122"/>
          <w:sz w:val="22"/>
          <w:szCs w:val="22"/>
        </w:rPr>
      </w:pPr>
      <w:r w:rsidRPr="002809DE">
        <w:rPr>
          <w:rFonts w:ascii="Calibri" w:hAnsi="Calibri" w:cs="Calibri"/>
          <w:color w:val="000000" w:themeColor="text1"/>
          <w:sz w:val="22"/>
          <w:szCs w:val="22"/>
        </w:rPr>
        <w:t>C’e</w:t>
      </w:r>
      <w:r w:rsidR="00A1481E" w:rsidRPr="002809DE">
        <w:rPr>
          <w:rFonts w:ascii="Calibri" w:hAnsi="Calibri" w:cs="Calibri"/>
          <w:color w:val="000000" w:themeColor="text1"/>
          <w:sz w:val="22"/>
          <w:szCs w:val="22"/>
        </w:rPr>
        <w:t>st l'espèce la plus cultivée du genre </w:t>
      </w:r>
      <w:hyperlink r:id="rId935" w:tooltip="Moringa" w:history="1">
        <w:r w:rsidR="00A1481E" w:rsidRPr="008C7925">
          <w:rPr>
            <w:rStyle w:val="Lienhypertexte"/>
            <w:rFonts w:ascii="Calibri" w:hAnsi="Calibri" w:cs="Calibri"/>
            <w:i/>
            <w:iCs/>
            <w:color w:val="0645AD"/>
            <w:sz w:val="22"/>
            <w:szCs w:val="22"/>
            <w:u w:val="none"/>
          </w:rPr>
          <w:t>Moringa</w:t>
        </w:r>
      </w:hyperlink>
      <w:r w:rsidR="00A1481E" w:rsidRPr="008C7925">
        <w:rPr>
          <w:rFonts w:ascii="Calibri" w:hAnsi="Calibri" w:cs="Calibri"/>
          <w:color w:val="202122"/>
          <w:sz w:val="22"/>
          <w:szCs w:val="22"/>
        </w:rPr>
        <w:t> de la famille </w:t>
      </w:r>
      <w:hyperlink r:id="rId936" w:tooltip="Taxon monotypique" w:history="1">
        <w:r w:rsidR="00A1481E" w:rsidRPr="008C7925">
          <w:rPr>
            <w:rStyle w:val="Lienhypertexte"/>
            <w:rFonts w:ascii="Calibri" w:hAnsi="Calibri" w:cs="Calibri"/>
            <w:color w:val="0645AD"/>
            <w:sz w:val="22"/>
            <w:szCs w:val="22"/>
            <w:u w:val="none"/>
          </w:rPr>
          <w:t>monotypique</w:t>
        </w:r>
      </w:hyperlink>
      <w:r w:rsidR="00A1481E" w:rsidRPr="008C7925">
        <w:rPr>
          <w:rFonts w:ascii="Calibri" w:hAnsi="Calibri" w:cs="Calibri"/>
          <w:color w:val="202122"/>
          <w:sz w:val="22"/>
          <w:szCs w:val="22"/>
        </w:rPr>
        <w:t> des </w:t>
      </w:r>
      <w:hyperlink r:id="rId937" w:tooltip="Moringaceae" w:history="1">
        <w:r w:rsidR="00A1481E" w:rsidRPr="008C7925">
          <w:rPr>
            <w:rStyle w:val="Lienhypertexte"/>
            <w:rFonts w:ascii="Calibri" w:hAnsi="Calibri" w:cs="Calibri"/>
            <w:i/>
            <w:iCs/>
            <w:color w:val="0645AD"/>
            <w:sz w:val="22"/>
            <w:szCs w:val="22"/>
            <w:u w:val="none"/>
          </w:rPr>
          <w:t>Moringaceae</w:t>
        </w:r>
      </w:hyperlink>
      <w:r w:rsidR="00A1481E" w:rsidRPr="008C7925">
        <w:rPr>
          <w:rFonts w:ascii="Calibri" w:hAnsi="Calibri" w:cs="Calibri"/>
          <w:color w:val="202122"/>
          <w:sz w:val="22"/>
          <w:szCs w:val="22"/>
        </w:rPr>
        <w:t>.</w:t>
      </w:r>
    </w:p>
    <w:p w14:paraId="0032B8E2" w14:textId="68442269" w:rsidR="00A1481E" w:rsidRPr="00056612" w:rsidRDefault="00A1481E" w:rsidP="008C7925">
      <w:pPr>
        <w:pStyle w:val="NormalWeb"/>
        <w:shd w:val="clear" w:color="auto" w:fill="FFFFFF"/>
        <w:spacing w:before="0" w:beforeAutospacing="0" w:after="0" w:afterAutospacing="0"/>
        <w:jc w:val="both"/>
        <w:rPr>
          <w:rFonts w:ascii="Calibri" w:hAnsi="Calibri" w:cs="Calibri"/>
          <w:color w:val="000000" w:themeColor="text1"/>
          <w:sz w:val="22"/>
          <w:szCs w:val="22"/>
        </w:rPr>
      </w:pPr>
      <w:r w:rsidRPr="008C7925">
        <w:rPr>
          <w:rFonts w:ascii="Calibri" w:hAnsi="Calibri" w:cs="Calibri"/>
          <w:color w:val="202122"/>
          <w:sz w:val="22"/>
          <w:szCs w:val="22"/>
        </w:rPr>
        <w:t>Originaire d'</w:t>
      </w:r>
      <w:hyperlink r:id="rId938" w:tooltip="Inde" w:history="1">
        <w:r w:rsidRPr="008C7925">
          <w:rPr>
            <w:rStyle w:val="Lienhypertexte"/>
            <w:rFonts w:ascii="Calibri" w:hAnsi="Calibri" w:cs="Calibri"/>
            <w:color w:val="0645AD"/>
            <w:sz w:val="22"/>
            <w:szCs w:val="22"/>
            <w:u w:val="none"/>
          </w:rPr>
          <w:t>Inde</w:t>
        </w:r>
      </w:hyperlink>
      <w:r w:rsidRPr="008C7925">
        <w:rPr>
          <w:rFonts w:ascii="Calibri" w:hAnsi="Calibri" w:cs="Calibri"/>
          <w:color w:val="202122"/>
          <w:sz w:val="22"/>
          <w:szCs w:val="22"/>
        </w:rPr>
        <w:t> et du </w:t>
      </w:r>
      <w:hyperlink r:id="rId939" w:tooltip="Sri Lanka" w:history="1">
        <w:r w:rsidRPr="008C7925">
          <w:rPr>
            <w:rStyle w:val="Lienhypertexte"/>
            <w:rFonts w:ascii="Calibri" w:hAnsi="Calibri" w:cs="Calibri"/>
            <w:color w:val="0645AD"/>
            <w:sz w:val="22"/>
            <w:szCs w:val="22"/>
            <w:u w:val="none"/>
          </w:rPr>
          <w:t>Sri Lanka</w:t>
        </w:r>
      </w:hyperlink>
      <w:r w:rsidRPr="008C7925">
        <w:rPr>
          <w:rFonts w:ascii="Calibri" w:hAnsi="Calibri" w:cs="Calibri"/>
          <w:color w:val="202122"/>
          <w:sz w:val="22"/>
          <w:szCs w:val="22"/>
        </w:rPr>
        <w:t xml:space="preserve">, </w:t>
      </w:r>
      <w:r w:rsidRPr="002809DE">
        <w:rPr>
          <w:rFonts w:ascii="Calibri" w:hAnsi="Calibri" w:cs="Calibri"/>
          <w:color w:val="000000" w:themeColor="text1"/>
          <w:sz w:val="22"/>
          <w:szCs w:val="22"/>
        </w:rPr>
        <w:t xml:space="preserve">elle est maintenant acclimatée dans presque toutes les régions tropicales : ce petit arbre mellifère à croissance rapide, </w:t>
      </w:r>
      <w:r w:rsidRPr="002809DE">
        <w:rPr>
          <w:rFonts w:ascii="Calibri" w:hAnsi="Calibri" w:cs="Calibri"/>
          <w:i/>
          <w:iCs/>
          <w:color w:val="000000" w:themeColor="text1"/>
          <w:sz w:val="22"/>
          <w:szCs w:val="22"/>
        </w:rPr>
        <w:t>résistant à la </w:t>
      </w:r>
      <w:hyperlink r:id="rId940" w:tooltip="Sécheresse" w:history="1">
        <w:r w:rsidRPr="00323582">
          <w:rPr>
            <w:rStyle w:val="Lienhypertexte"/>
            <w:rFonts w:ascii="Calibri" w:hAnsi="Calibri" w:cs="Calibri"/>
            <w:i/>
            <w:iCs/>
            <w:color w:val="0645AD"/>
            <w:sz w:val="22"/>
            <w:szCs w:val="22"/>
            <w:u w:val="none"/>
          </w:rPr>
          <w:t>sécheresse</w:t>
        </w:r>
      </w:hyperlink>
      <w:r w:rsidRPr="008C7925">
        <w:rPr>
          <w:rFonts w:ascii="Calibri" w:hAnsi="Calibri" w:cs="Calibri"/>
          <w:color w:val="202122"/>
          <w:sz w:val="22"/>
          <w:szCs w:val="22"/>
        </w:rPr>
        <w:t xml:space="preserve">, </w:t>
      </w:r>
      <w:r w:rsidRPr="002809DE">
        <w:rPr>
          <w:rFonts w:ascii="Calibri" w:hAnsi="Calibri" w:cs="Calibri"/>
          <w:color w:val="000000" w:themeColor="text1"/>
          <w:sz w:val="22"/>
          <w:szCs w:val="22"/>
        </w:rPr>
        <w:t>peut mesurer jusqu'à 10 mètres. Ses jeunes gousses et les feuilles sont utilisées comme </w:t>
      </w:r>
      <w:hyperlink r:id="rId941" w:tooltip="Légume" w:history="1">
        <w:r w:rsidRPr="008C7925">
          <w:rPr>
            <w:rStyle w:val="Lienhypertexte"/>
            <w:rFonts w:ascii="Calibri" w:hAnsi="Calibri" w:cs="Calibri"/>
            <w:color w:val="0645AD"/>
            <w:sz w:val="22"/>
            <w:szCs w:val="22"/>
            <w:u w:val="none"/>
          </w:rPr>
          <w:t>légumes</w:t>
        </w:r>
      </w:hyperlink>
      <w:r w:rsidRPr="008C7925">
        <w:rPr>
          <w:rFonts w:ascii="Calibri" w:hAnsi="Calibri" w:cs="Calibri"/>
          <w:color w:val="202122"/>
          <w:sz w:val="22"/>
          <w:szCs w:val="22"/>
        </w:rPr>
        <w:t xml:space="preserve">. </w:t>
      </w:r>
      <w:r w:rsidRPr="002809DE">
        <w:rPr>
          <w:rFonts w:ascii="Calibri" w:hAnsi="Calibri" w:cs="Calibri"/>
          <w:color w:val="000000" w:themeColor="text1"/>
          <w:sz w:val="22"/>
          <w:szCs w:val="22"/>
        </w:rPr>
        <w:t>Les bourgeons axillaires sur la tige verte apparaissent à partir de la mi-mai, moment de reprise de la croissance végétale. Les graines sont aussi utilisé</w:t>
      </w:r>
      <w:r w:rsidR="00323582" w:rsidRPr="002809DE">
        <w:rPr>
          <w:rFonts w:ascii="Calibri" w:hAnsi="Calibri" w:cs="Calibri"/>
          <w:color w:val="000000" w:themeColor="text1"/>
          <w:sz w:val="22"/>
          <w:szCs w:val="22"/>
        </w:rPr>
        <w:t>es comme amuse-gueules,</w:t>
      </w:r>
      <w:r w:rsidRPr="002809DE">
        <w:rPr>
          <w:rFonts w:ascii="Calibri" w:hAnsi="Calibri" w:cs="Calibri"/>
          <w:color w:val="000000" w:themeColor="text1"/>
          <w:sz w:val="22"/>
          <w:szCs w:val="22"/>
        </w:rPr>
        <w:t xml:space="preserve"> pour purifier l'eau</w:t>
      </w:r>
      <w:r w:rsidR="002809DE" w:rsidRPr="002809DE">
        <w:rPr>
          <w:rFonts w:ascii="Calibri" w:hAnsi="Calibri" w:cs="Calibri"/>
          <w:color w:val="000000" w:themeColor="text1"/>
          <w:sz w:val="22"/>
          <w:szCs w:val="22"/>
        </w:rPr>
        <w:t xml:space="preserve"> (floculation)</w:t>
      </w:r>
      <w:r w:rsidRPr="002809DE">
        <w:rPr>
          <w:rFonts w:ascii="Calibri" w:hAnsi="Calibri" w:cs="Calibri"/>
          <w:color w:val="000000" w:themeColor="text1"/>
          <w:sz w:val="22"/>
          <w:szCs w:val="22"/>
        </w:rPr>
        <w:t>, comme </w:t>
      </w:r>
      <w:hyperlink r:id="rId942" w:tooltip="Détergent" w:history="1">
        <w:r w:rsidRPr="008C7925">
          <w:rPr>
            <w:rStyle w:val="Lienhypertexte"/>
            <w:rFonts w:ascii="Calibri" w:hAnsi="Calibri" w:cs="Calibri"/>
            <w:color w:val="0645AD"/>
            <w:sz w:val="22"/>
            <w:szCs w:val="22"/>
            <w:u w:val="none"/>
          </w:rPr>
          <w:t>détergent</w:t>
        </w:r>
      </w:hyperlink>
      <w:r w:rsidRPr="008C7925">
        <w:rPr>
          <w:rFonts w:ascii="Calibri" w:hAnsi="Calibri" w:cs="Calibri"/>
          <w:color w:val="202122"/>
          <w:sz w:val="22"/>
          <w:szCs w:val="22"/>
        </w:rPr>
        <w:t xml:space="preserve">, </w:t>
      </w:r>
      <w:r w:rsidRPr="002809DE">
        <w:rPr>
          <w:rFonts w:ascii="Calibri" w:hAnsi="Calibri" w:cs="Calibri"/>
          <w:color w:val="000000" w:themeColor="text1"/>
          <w:sz w:val="22"/>
          <w:szCs w:val="22"/>
        </w:rPr>
        <w:t>ou comme </w:t>
      </w:r>
      <w:hyperlink r:id="rId943" w:tooltip="Plante médicinale" w:history="1">
        <w:r w:rsidRPr="008C7925">
          <w:rPr>
            <w:rStyle w:val="Lienhypertexte"/>
            <w:rFonts w:ascii="Calibri" w:hAnsi="Calibri" w:cs="Calibri"/>
            <w:color w:val="0645AD"/>
            <w:sz w:val="22"/>
            <w:szCs w:val="22"/>
            <w:u w:val="none"/>
          </w:rPr>
          <w:t>plante médicinale</w:t>
        </w:r>
      </w:hyperlink>
      <w:r w:rsidR="008C7925" w:rsidRPr="00056612">
        <w:rPr>
          <w:rFonts w:ascii="Calibri" w:hAnsi="Calibri" w:cs="Calibri"/>
          <w:color w:val="000000" w:themeColor="text1"/>
          <w:sz w:val="22"/>
          <w:szCs w:val="22"/>
        </w:rPr>
        <w:t>.</w:t>
      </w:r>
      <w:r w:rsidR="00056612" w:rsidRPr="00056612">
        <w:rPr>
          <w:rFonts w:ascii="Calibri" w:hAnsi="Calibri" w:cs="Calibri"/>
          <w:color w:val="000000" w:themeColor="text1"/>
          <w:sz w:val="22"/>
          <w:szCs w:val="22"/>
        </w:rPr>
        <w:t xml:space="preserve"> Son huile très riche en protéines, nommée huile de </w:t>
      </w:r>
      <w:r w:rsidR="00056612" w:rsidRPr="00056612">
        <w:rPr>
          <w:rFonts w:ascii="Calibri" w:hAnsi="Calibri" w:cs="Calibri"/>
          <w:i/>
          <w:iCs/>
          <w:color w:val="000000" w:themeColor="text1"/>
          <w:sz w:val="22"/>
          <w:szCs w:val="22"/>
        </w:rPr>
        <w:t>Ben</w:t>
      </w:r>
      <w:r w:rsidR="00056612" w:rsidRPr="00056612">
        <w:rPr>
          <w:rFonts w:ascii="Calibri" w:hAnsi="Calibri" w:cs="Calibri"/>
          <w:color w:val="000000" w:themeColor="text1"/>
          <w:sz w:val="22"/>
          <w:szCs w:val="22"/>
        </w:rPr>
        <w:t xml:space="preserve"> par les Omanais, est très utilisée en cosmétique et comme huile alimentaire.</w:t>
      </w:r>
    </w:p>
    <w:p w14:paraId="6AB2E33E" w14:textId="45F025BD" w:rsidR="007B1E15" w:rsidRDefault="007B1E15" w:rsidP="008C7925">
      <w:pPr>
        <w:pStyle w:val="NormalWeb"/>
        <w:shd w:val="clear" w:color="auto" w:fill="FFFFFF"/>
        <w:spacing w:before="0" w:beforeAutospacing="0" w:after="0" w:afterAutospacing="0"/>
        <w:jc w:val="both"/>
        <w:rPr>
          <w:rFonts w:ascii="Calibri" w:hAnsi="Calibri" w:cs="Calibri"/>
          <w:sz w:val="22"/>
          <w:szCs w:val="22"/>
        </w:rPr>
      </w:pPr>
      <w:r w:rsidRPr="007B1E15">
        <w:rPr>
          <w:rFonts w:ascii="Calibri" w:hAnsi="Calibri" w:cs="Calibri"/>
          <w:color w:val="000000" w:themeColor="text1"/>
          <w:sz w:val="22"/>
          <w:szCs w:val="22"/>
          <w:u w:val="single"/>
        </w:rPr>
        <w:t>Description</w:t>
      </w:r>
      <w:r w:rsidRPr="007B1E15">
        <w:rPr>
          <w:rFonts w:ascii="Calibri" w:hAnsi="Calibri" w:cs="Calibri"/>
          <w:color w:val="000000" w:themeColor="text1"/>
          <w:sz w:val="22"/>
          <w:szCs w:val="22"/>
        </w:rPr>
        <w:t xml:space="preserve"> : </w:t>
      </w:r>
      <w:hyperlink r:id="rId944" w:tooltip="Plante succulente" w:history="1">
        <w:r w:rsidRPr="007B1E15">
          <w:rPr>
            <w:rStyle w:val="Lienhypertexte"/>
            <w:rFonts w:ascii="Calibri" w:hAnsi="Calibri" w:cs="Calibri"/>
            <w:color w:val="0645AD"/>
            <w:sz w:val="22"/>
            <w:szCs w:val="22"/>
            <w:shd w:val="clear" w:color="auto" w:fill="FFFFFF"/>
          </w:rPr>
          <w:t>Plante succulente</w:t>
        </w:r>
      </w:hyperlink>
      <w:r w:rsidRPr="007B1E15">
        <w:rPr>
          <w:rFonts w:ascii="Calibri" w:hAnsi="Calibri" w:cs="Calibri"/>
          <w:color w:val="202122"/>
          <w:sz w:val="22"/>
          <w:szCs w:val="22"/>
          <w:shd w:val="clear" w:color="auto" w:fill="FFFFFF"/>
        </w:rPr>
        <w:t> </w:t>
      </w:r>
      <w:hyperlink r:id="rId945" w:tooltip="Xérophyte" w:history="1">
        <w:r w:rsidRPr="007B1E15">
          <w:rPr>
            <w:rStyle w:val="Lienhypertexte"/>
            <w:rFonts w:ascii="Calibri" w:hAnsi="Calibri" w:cs="Calibri"/>
            <w:color w:val="0645AD"/>
            <w:sz w:val="22"/>
            <w:szCs w:val="22"/>
            <w:shd w:val="clear" w:color="auto" w:fill="FFFFFF"/>
          </w:rPr>
          <w:t>xérophyte</w:t>
        </w:r>
      </w:hyperlink>
      <w:r w:rsidRPr="007B1E15">
        <w:rPr>
          <w:rFonts w:ascii="Calibri" w:hAnsi="Calibri" w:cs="Calibri"/>
          <w:color w:val="202122"/>
          <w:sz w:val="22"/>
          <w:szCs w:val="22"/>
          <w:shd w:val="clear" w:color="auto" w:fill="FFFFFF"/>
        </w:rPr>
        <w:t> à </w:t>
      </w:r>
      <w:hyperlink r:id="rId946" w:tooltip="Caudex" w:history="1">
        <w:r w:rsidRPr="007B1E15">
          <w:rPr>
            <w:rStyle w:val="Lienhypertexte"/>
            <w:rFonts w:ascii="Calibri" w:hAnsi="Calibri" w:cs="Calibri"/>
            <w:color w:val="0645AD"/>
            <w:sz w:val="22"/>
            <w:szCs w:val="22"/>
            <w:shd w:val="clear" w:color="auto" w:fill="FFFFFF"/>
          </w:rPr>
          <w:t>caudex</w:t>
        </w:r>
      </w:hyperlink>
      <w:r w:rsidRPr="007B1E15">
        <w:rPr>
          <w:rFonts w:ascii="Calibri" w:hAnsi="Calibri" w:cs="Calibri"/>
          <w:color w:val="202122"/>
          <w:sz w:val="22"/>
          <w:szCs w:val="22"/>
          <w:shd w:val="clear" w:color="auto" w:fill="FFFFFF"/>
        </w:rPr>
        <w:t>, </w:t>
      </w:r>
      <w:r w:rsidRPr="007B1E15">
        <w:rPr>
          <w:rFonts w:ascii="Calibri" w:hAnsi="Calibri" w:cs="Calibri"/>
          <w:i/>
          <w:iCs/>
          <w:color w:val="000000" w:themeColor="text1"/>
          <w:sz w:val="22"/>
          <w:szCs w:val="22"/>
          <w:shd w:val="clear" w:color="auto" w:fill="FFFFFF"/>
        </w:rPr>
        <w:t>Moringa oleifera</w:t>
      </w:r>
      <w:r w:rsidRPr="007B1E15">
        <w:rPr>
          <w:rFonts w:ascii="Calibri" w:hAnsi="Calibri" w:cs="Calibri"/>
          <w:color w:val="000000" w:themeColor="text1"/>
          <w:sz w:val="22"/>
          <w:szCs w:val="22"/>
          <w:shd w:val="clear" w:color="auto" w:fill="FFFFFF"/>
        </w:rPr>
        <w:t> est un petit arbre à croissance rapide, à feuillage caduc, qui peut atteindre une hauteur de 10−12 mètres pour un diamètre du tronc de 45 centimètres,  à tronc résineux et écorce vert pâle, à cime légère. L'écorce de couleur gris blanchâtre est entourée par une épaisse couche de liège. Ses feuilles d'apparence plumeuse sont </w:t>
      </w:r>
      <w:hyperlink r:id="rId947" w:tooltip="Forme foliaire" w:history="1">
        <w:r w:rsidRPr="007B1E15">
          <w:rPr>
            <w:rStyle w:val="Lienhypertexte"/>
            <w:rFonts w:ascii="Calibri" w:hAnsi="Calibri" w:cs="Calibri"/>
            <w:color w:val="0645AD"/>
            <w:sz w:val="22"/>
            <w:szCs w:val="22"/>
            <w:shd w:val="clear" w:color="auto" w:fill="FFFFFF"/>
          </w:rPr>
          <w:t>tripennées</w:t>
        </w:r>
      </w:hyperlink>
      <w:r w:rsidRPr="007B1E15">
        <w:rPr>
          <w:rFonts w:ascii="Calibri" w:hAnsi="Calibri" w:cs="Calibri"/>
          <w:color w:val="000000" w:themeColor="text1"/>
          <w:sz w:val="22"/>
          <w:szCs w:val="22"/>
          <w:shd w:val="clear" w:color="auto" w:fill="FFFFFF"/>
        </w:rPr>
        <w:t>. Les fleurs odorantes et bisexuées comptent 5 sépales et 5 pétales de tailles inégales, blanc jaunâtre. La floraison peut se produire dès les six premiers mois suivant la plantation. Selon les conditions saisonnières de températures et de </w:t>
      </w:r>
      <w:hyperlink r:id="rId948" w:tooltip="Pluviométrie" w:history="1">
        <w:r w:rsidRPr="007B1E15">
          <w:rPr>
            <w:rStyle w:val="Lienhypertexte"/>
            <w:rFonts w:ascii="Calibri" w:hAnsi="Calibri" w:cs="Calibri"/>
            <w:color w:val="0645AD"/>
            <w:sz w:val="22"/>
            <w:szCs w:val="22"/>
            <w:shd w:val="clear" w:color="auto" w:fill="FFFFFF"/>
          </w:rPr>
          <w:t>pluviométrie</w:t>
        </w:r>
      </w:hyperlink>
      <w:r w:rsidRPr="007B1E15">
        <w:rPr>
          <w:rFonts w:ascii="Calibri" w:hAnsi="Calibri" w:cs="Calibri"/>
          <w:color w:val="202122"/>
          <w:sz w:val="22"/>
          <w:szCs w:val="22"/>
          <w:shd w:val="clear" w:color="auto" w:fill="FFFFFF"/>
        </w:rPr>
        <w:t xml:space="preserve">, </w:t>
      </w:r>
      <w:r w:rsidRPr="007B1E15">
        <w:rPr>
          <w:rFonts w:ascii="Calibri" w:hAnsi="Calibri" w:cs="Calibri"/>
          <w:color w:val="000000" w:themeColor="text1"/>
          <w:sz w:val="22"/>
          <w:szCs w:val="22"/>
          <w:shd w:val="clear" w:color="auto" w:fill="FFFFFF"/>
        </w:rPr>
        <w:t>la floraison peut se produire deux fois par an, voire toute l'année. Le fruit est une longue </w:t>
      </w:r>
      <w:hyperlink r:id="rId949" w:tooltip="Capsule (botanique)" w:history="1">
        <w:r w:rsidRPr="007B1E15">
          <w:rPr>
            <w:rStyle w:val="Lienhypertexte"/>
            <w:rFonts w:ascii="Calibri" w:hAnsi="Calibri" w:cs="Calibri"/>
            <w:color w:val="0645AD"/>
            <w:sz w:val="22"/>
            <w:szCs w:val="22"/>
            <w:shd w:val="clear" w:color="auto" w:fill="FFFFFF"/>
          </w:rPr>
          <w:t>capsule</w:t>
        </w:r>
      </w:hyperlink>
      <w:r w:rsidRPr="007B1E15">
        <w:rPr>
          <w:rFonts w:ascii="Calibri" w:hAnsi="Calibri" w:cs="Calibri"/>
          <w:color w:val="202122"/>
          <w:sz w:val="22"/>
          <w:szCs w:val="22"/>
          <w:shd w:val="clear" w:color="auto" w:fill="FFFFFF"/>
        </w:rPr>
        <w:t> </w:t>
      </w:r>
      <w:r w:rsidRPr="007B1E15">
        <w:rPr>
          <w:rFonts w:ascii="Calibri" w:hAnsi="Calibri" w:cs="Calibri"/>
          <w:color w:val="000000" w:themeColor="text1"/>
          <w:sz w:val="22"/>
          <w:szCs w:val="22"/>
          <w:shd w:val="clear" w:color="auto" w:fill="FFFFFF"/>
        </w:rPr>
        <w:t xml:space="preserve">pendante, trigone, marron, à section anguleuse, formée de 3 valves, contenant jusqu’à une trentaine de graines huileuses garnies de 3 ailes. Les graines globuleuses, </w:t>
      </w:r>
      <w:r w:rsidRPr="007B1E15">
        <w:rPr>
          <w:rFonts w:ascii="Calibri" w:hAnsi="Calibri" w:cs="Calibri"/>
          <w:color w:val="000000" w:themeColor="text1"/>
          <w:sz w:val="22"/>
          <w:szCs w:val="22"/>
          <w:shd w:val="clear" w:color="auto" w:fill="FFFFFF"/>
        </w:rPr>
        <w:lastRenderedPageBreak/>
        <w:t>portant trois ailes blanchât</w:t>
      </w:r>
      <w:r w:rsidRPr="007B1E15">
        <w:rPr>
          <w:rFonts w:ascii="Calibri" w:hAnsi="Calibri" w:cs="Calibri"/>
          <w:color w:val="202122"/>
          <w:sz w:val="22"/>
          <w:szCs w:val="22"/>
          <w:shd w:val="clear" w:color="auto" w:fill="FFFFFF"/>
        </w:rPr>
        <w:t>res </w:t>
      </w:r>
      <w:hyperlink r:id="rId950" w:tooltip="Papier" w:history="1">
        <w:r w:rsidRPr="007B1E15">
          <w:rPr>
            <w:rStyle w:val="Lienhypertexte"/>
            <w:rFonts w:ascii="Calibri" w:hAnsi="Calibri" w:cs="Calibri"/>
            <w:color w:val="0645AD"/>
            <w:sz w:val="22"/>
            <w:szCs w:val="22"/>
            <w:shd w:val="clear" w:color="auto" w:fill="FFFFFF"/>
          </w:rPr>
          <w:t>papyracées</w:t>
        </w:r>
      </w:hyperlink>
      <w:r w:rsidRPr="007B1E15">
        <w:rPr>
          <w:rFonts w:ascii="Calibri" w:hAnsi="Calibri" w:cs="Calibri"/>
          <w:sz w:val="22"/>
          <w:szCs w:val="22"/>
        </w:rPr>
        <w:t xml:space="preserve">, </w:t>
      </w:r>
      <w:r w:rsidRPr="007B1E15">
        <w:rPr>
          <w:rFonts w:ascii="Calibri" w:hAnsi="Calibri" w:cs="Calibri"/>
          <w:color w:val="000000" w:themeColor="text1"/>
          <w:sz w:val="22"/>
          <w:szCs w:val="22"/>
          <w:shd w:val="clear" w:color="auto" w:fill="FFFFFF"/>
        </w:rPr>
        <w:t>sont disséminées par le vent et l'eau. En culture, il est souvent </w:t>
      </w:r>
      <w:hyperlink r:id="rId951" w:tooltip="Émondage" w:history="1">
        <w:r w:rsidRPr="007B1E15">
          <w:rPr>
            <w:rStyle w:val="Lienhypertexte"/>
            <w:rFonts w:ascii="Calibri" w:hAnsi="Calibri" w:cs="Calibri"/>
            <w:color w:val="0645AD"/>
            <w:sz w:val="22"/>
            <w:szCs w:val="22"/>
            <w:shd w:val="clear" w:color="auto" w:fill="FFFFFF"/>
          </w:rPr>
          <w:t>émondé</w:t>
        </w:r>
      </w:hyperlink>
      <w:r w:rsidRPr="007B1E15">
        <w:rPr>
          <w:rFonts w:ascii="Calibri" w:hAnsi="Calibri" w:cs="Calibri"/>
          <w:color w:val="202122"/>
          <w:sz w:val="22"/>
          <w:szCs w:val="22"/>
          <w:shd w:val="clear" w:color="auto" w:fill="FFFFFF"/>
        </w:rPr>
        <w:t> </w:t>
      </w:r>
      <w:r w:rsidRPr="007B1E15">
        <w:rPr>
          <w:rFonts w:ascii="Calibri" w:hAnsi="Calibri" w:cs="Calibri"/>
          <w:color w:val="000000" w:themeColor="text1"/>
          <w:sz w:val="22"/>
          <w:szCs w:val="22"/>
          <w:shd w:val="clear" w:color="auto" w:fill="FFFFFF"/>
        </w:rPr>
        <w:t>de 1 à 2 mètres chaque année, ce qui permet de garder les capsules et les </w:t>
      </w:r>
      <w:hyperlink r:id="rId952" w:tooltip="Feuille" w:history="1">
        <w:r w:rsidRPr="007B1E15">
          <w:rPr>
            <w:rStyle w:val="Lienhypertexte"/>
            <w:rFonts w:ascii="Calibri" w:hAnsi="Calibri" w:cs="Calibri"/>
            <w:color w:val="0645AD"/>
            <w:sz w:val="22"/>
            <w:szCs w:val="22"/>
            <w:shd w:val="clear" w:color="auto" w:fill="FFFFFF"/>
          </w:rPr>
          <w:t>feuilles</w:t>
        </w:r>
      </w:hyperlink>
      <w:r w:rsidRPr="007B1E15">
        <w:rPr>
          <w:rFonts w:ascii="Calibri" w:hAnsi="Calibri" w:cs="Calibri"/>
          <w:color w:val="202122"/>
          <w:sz w:val="22"/>
          <w:szCs w:val="22"/>
          <w:shd w:val="clear" w:color="auto" w:fill="FFFFFF"/>
        </w:rPr>
        <w:t> </w:t>
      </w:r>
      <w:r w:rsidRPr="007B1E15">
        <w:rPr>
          <w:rFonts w:ascii="Calibri" w:hAnsi="Calibri" w:cs="Calibri"/>
          <w:color w:val="000000" w:themeColor="text1"/>
          <w:sz w:val="22"/>
          <w:szCs w:val="22"/>
          <w:shd w:val="clear" w:color="auto" w:fill="FFFFFF"/>
        </w:rPr>
        <w:t>à portée de bras sur les </w:t>
      </w:r>
      <w:hyperlink r:id="rId953" w:tooltip="Rejet (botanique)" w:history="1">
        <w:r w:rsidRPr="007B1E15">
          <w:rPr>
            <w:rStyle w:val="Lienhypertexte"/>
            <w:rFonts w:ascii="Calibri" w:hAnsi="Calibri" w:cs="Calibri"/>
            <w:color w:val="0645AD"/>
            <w:sz w:val="22"/>
            <w:szCs w:val="22"/>
            <w:shd w:val="clear" w:color="auto" w:fill="FFFFFF"/>
          </w:rPr>
          <w:t>rejets</w:t>
        </w:r>
      </w:hyperlink>
      <w:r w:rsidRPr="007B1E15">
        <w:rPr>
          <w:rFonts w:ascii="Calibri" w:hAnsi="Calibri" w:cs="Calibri"/>
          <w:sz w:val="22"/>
          <w:szCs w:val="22"/>
        </w:rPr>
        <w:t>.</w:t>
      </w:r>
    </w:p>
    <w:p w14:paraId="0EBA6AEB" w14:textId="77777777" w:rsidR="007B1E15" w:rsidRPr="007B1E15" w:rsidRDefault="007B1E15" w:rsidP="007B1E15">
      <w:pPr>
        <w:pStyle w:val="NormalWeb"/>
        <w:shd w:val="clear" w:color="auto" w:fill="FFFFFF"/>
        <w:spacing w:before="0" w:beforeAutospacing="0" w:after="0" w:afterAutospacing="0"/>
        <w:jc w:val="both"/>
        <w:rPr>
          <w:rFonts w:ascii="Calibri" w:hAnsi="Calibri" w:cs="Calibri"/>
          <w:color w:val="000000" w:themeColor="text1"/>
          <w:sz w:val="22"/>
          <w:szCs w:val="22"/>
        </w:rPr>
      </w:pPr>
      <w:r w:rsidRPr="007B1E15">
        <w:rPr>
          <w:rFonts w:ascii="Calibri" w:hAnsi="Calibri" w:cs="Calibri"/>
          <w:color w:val="000000" w:themeColor="text1"/>
          <w:sz w:val="22"/>
          <w:szCs w:val="22"/>
          <w:u w:val="single"/>
        </w:rPr>
        <w:t>Utilisations</w:t>
      </w:r>
      <w:r w:rsidRPr="007B1E15">
        <w:rPr>
          <w:rFonts w:ascii="Calibri" w:hAnsi="Calibri" w:cs="Calibri"/>
          <w:color w:val="000000" w:themeColor="text1"/>
          <w:sz w:val="22"/>
          <w:szCs w:val="22"/>
        </w:rPr>
        <w:t> : De nombreuses parties du moringa sont comestibles, avec des utilisations régionales très diverses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273FE2" w14:paraId="0297DDC9" w14:textId="77777777" w:rsidTr="00273FE2">
        <w:tc>
          <w:tcPr>
            <w:tcW w:w="5208" w:type="dxa"/>
          </w:tcPr>
          <w:p w14:paraId="37840ADD" w14:textId="77777777" w:rsidR="00273FE2" w:rsidRPr="007B1E15" w:rsidRDefault="00273FE2" w:rsidP="00273FE2">
            <w:pPr>
              <w:numPr>
                <w:ilvl w:val="0"/>
                <w:numId w:val="89"/>
              </w:numPr>
              <w:shd w:val="clear" w:color="auto" w:fill="FFFFFF"/>
              <w:ind w:left="589"/>
              <w:jc w:val="both"/>
              <w:rPr>
                <w:rFonts w:ascii="Calibri" w:eastAsia="Times New Roman" w:hAnsi="Calibri" w:cs="Calibri"/>
                <w:color w:val="000000" w:themeColor="text1"/>
                <w:lang w:eastAsia="fr-FR"/>
              </w:rPr>
            </w:pPr>
            <w:r w:rsidRPr="007B1E15">
              <w:rPr>
                <w:rFonts w:ascii="Calibri" w:eastAsia="Times New Roman" w:hAnsi="Calibri" w:cs="Calibri"/>
                <w:color w:val="000000" w:themeColor="text1"/>
                <w:lang w:eastAsia="fr-FR"/>
              </w:rPr>
              <w:t>Capsules (fruits) immatures</w:t>
            </w:r>
          </w:p>
          <w:p w14:paraId="5FA184D8" w14:textId="77777777" w:rsidR="00273FE2" w:rsidRPr="007B1E15" w:rsidRDefault="00273FE2" w:rsidP="00273FE2">
            <w:pPr>
              <w:numPr>
                <w:ilvl w:val="0"/>
                <w:numId w:val="89"/>
              </w:numPr>
              <w:shd w:val="clear" w:color="auto" w:fill="FFFFFF"/>
              <w:ind w:left="589"/>
              <w:jc w:val="both"/>
              <w:rPr>
                <w:rFonts w:ascii="Calibri" w:eastAsia="Times New Roman" w:hAnsi="Calibri" w:cs="Calibri"/>
                <w:color w:val="000000" w:themeColor="text1"/>
                <w:lang w:eastAsia="fr-FR"/>
              </w:rPr>
            </w:pPr>
            <w:r w:rsidRPr="007B1E15">
              <w:rPr>
                <w:rFonts w:ascii="Calibri" w:eastAsia="Times New Roman" w:hAnsi="Calibri" w:cs="Calibri"/>
                <w:color w:val="000000" w:themeColor="text1"/>
                <w:lang w:eastAsia="fr-FR"/>
              </w:rPr>
              <w:t>Feuilles</w:t>
            </w:r>
          </w:p>
          <w:p w14:paraId="52723406" w14:textId="77777777" w:rsidR="00273FE2" w:rsidRPr="007B1E15" w:rsidRDefault="00273FE2" w:rsidP="00273FE2">
            <w:pPr>
              <w:numPr>
                <w:ilvl w:val="0"/>
                <w:numId w:val="89"/>
              </w:numPr>
              <w:shd w:val="clear" w:color="auto" w:fill="FFFFFF"/>
              <w:ind w:left="589"/>
              <w:jc w:val="both"/>
              <w:rPr>
                <w:rFonts w:ascii="Calibri" w:eastAsia="Times New Roman" w:hAnsi="Calibri" w:cs="Calibri"/>
                <w:color w:val="000000" w:themeColor="text1"/>
                <w:lang w:eastAsia="fr-FR"/>
              </w:rPr>
            </w:pPr>
            <w:r w:rsidRPr="007B1E15">
              <w:rPr>
                <w:rFonts w:ascii="Calibri" w:eastAsia="Times New Roman" w:hAnsi="Calibri" w:cs="Calibri"/>
                <w:color w:val="000000" w:themeColor="text1"/>
                <w:lang w:eastAsia="fr-FR"/>
              </w:rPr>
              <w:t>Graines mûres</w:t>
            </w:r>
          </w:p>
          <w:p w14:paraId="0242B70E" w14:textId="77777777" w:rsidR="00273FE2" w:rsidRPr="007B1E15" w:rsidRDefault="00273FE2" w:rsidP="00273FE2">
            <w:pPr>
              <w:numPr>
                <w:ilvl w:val="0"/>
                <w:numId w:val="89"/>
              </w:numPr>
              <w:shd w:val="clear" w:color="auto" w:fill="FFFFFF"/>
              <w:ind w:left="589"/>
              <w:jc w:val="both"/>
              <w:rPr>
                <w:rFonts w:ascii="Calibri" w:eastAsia="Times New Roman" w:hAnsi="Calibri" w:cs="Calibri"/>
                <w:color w:val="000000" w:themeColor="text1"/>
                <w:lang w:eastAsia="fr-FR"/>
              </w:rPr>
            </w:pPr>
            <w:r w:rsidRPr="007B1E15">
              <w:rPr>
                <w:rFonts w:ascii="Calibri" w:eastAsia="Times New Roman" w:hAnsi="Calibri" w:cs="Calibri"/>
                <w:color w:val="000000" w:themeColor="text1"/>
                <w:lang w:eastAsia="fr-FR"/>
              </w:rPr>
              <w:t>Huile extraite des graines</w:t>
            </w:r>
          </w:p>
          <w:p w14:paraId="547544A3" w14:textId="77777777" w:rsidR="00273FE2" w:rsidRPr="007B1E15" w:rsidRDefault="00273FE2" w:rsidP="00273FE2">
            <w:pPr>
              <w:numPr>
                <w:ilvl w:val="0"/>
                <w:numId w:val="89"/>
              </w:numPr>
              <w:shd w:val="clear" w:color="auto" w:fill="FFFFFF"/>
              <w:ind w:left="589"/>
              <w:jc w:val="both"/>
              <w:rPr>
                <w:rFonts w:ascii="Calibri" w:eastAsia="Times New Roman" w:hAnsi="Calibri" w:cs="Calibri"/>
                <w:color w:val="000000" w:themeColor="text1"/>
                <w:lang w:eastAsia="fr-FR"/>
              </w:rPr>
            </w:pPr>
            <w:r w:rsidRPr="007B1E15">
              <w:rPr>
                <w:rFonts w:ascii="Calibri" w:eastAsia="Times New Roman" w:hAnsi="Calibri" w:cs="Calibri"/>
                <w:color w:val="000000" w:themeColor="text1"/>
                <w:lang w:eastAsia="fr-FR"/>
              </w:rPr>
              <w:t>Fleurs</w:t>
            </w:r>
          </w:p>
          <w:p w14:paraId="0F21F5F2" w14:textId="07D70E1E" w:rsidR="00273FE2" w:rsidRPr="00273FE2" w:rsidRDefault="00273FE2" w:rsidP="00273FE2">
            <w:pPr>
              <w:numPr>
                <w:ilvl w:val="0"/>
                <w:numId w:val="89"/>
              </w:numPr>
              <w:shd w:val="clear" w:color="auto" w:fill="FFFFFF"/>
              <w:ind w:left="589"/>
              <w:jc w:val="both"/>
              <w:rPr>
                <w:rFonts w:ascii="Calibri" w:eastAsia="Times New Roman" w:hAnsi="Calibri" w:cs="Calibri"/>
                <w:color w:val="000000" w:themeColor="text1"/>
                <w:lang w:eastAsia="fr-FR"/>
              </w:rPr>
            </w:pPr>
            <w:r w:rsidRPr="007B1E15">
              <w:rPr>
                <w:rFonts w:ascii="Calibri" w:eastAsia="Times New Roman" w:hAnsi="Calibri" w:cs="Calibri"/>
                <w:color w:val="000000" w:themeColor="text1"/>
                <w:lang w:eastAsia="fr-FR"/>
              </w:rPr>
              <w:t>Racines</w:t>
            </w:r>
          </w:p>
        </w:tc>
        <w:tc>
          <w:tcPr>
            <w:tcW w:w="5208" w:type="dxa"/>
          </w:tcPr>
          <w:p w14:paraId="344E4264" w14:textId="77777777" w:rsidR="00273FE2" w:rsidRDefault="00273FE2" w:rsidP="00273FE2">
            <w:pPr>
              <w:pStyle w:val="NormalWeb"/>
              <w:spacing w:before="0" w:beforeAutospacing="0" w:after="0" w:afterAutospacing="0"/>
              <w:jc w:val="center"/>
              <w:rPr>
                <w:rFonts w:ascii="Calibri" w:hAnsi="Calibri" w:cs="Calibri"/>
                <w:color w:val="000000" w:themeColor="text1"/>
                <w:sz w:val="22"/>
                <w:szCs w:val="22"/>
              </w:rPr>
            </w:pPr>
            <w:r>
              <w:rPr>
                <w:noProof/>
              </w:rPr>
              <w:drawing>
                <wp:inline distT="0" distB="0" distL="0" distR="0" wp14:anchorId="2BB857F3" wp14:editId="794B6286">
                  <wp:extent cx="1634962" cy="857250"/>
                  <wp:effectExtent l="0" t="0" r="3810" b="0"/>
                  <wp:docPr id="146435" name="Image 146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54">
                            <a:extLst>
                              <a:ext uri="{28A0092B-C50C-407E-A947-70E740481C1C}">
                                <a14:useLocalDpi xmlns:a14="http://schemas.microsoft.com/office/drawing/2010/main" val="0"/>
                              </a:ext>
                            </a:extLst>
                          </a:blip>
                          <a:srcRect/>
                          <a:stretch>
                            <a:fillRect/>
                          </a:stretch>
                        </pic:blipFill>
                        <pic:spPr bwMode="auto">
                          <a:xfrm>
                            <a:off x="0" y="0"/>
                            <a:ext cx="1649237" cy="864735"/>
                          </a:xfrm>
                          <a:prstGeom prst="rect">
                            <a:avLst/>
                          </a:prstGeom>
                          <a:noFill/>
                          <a:ln>
                            <a:noFill/>
                          </a:ln>
                        </pic:spPr>
                      </pic:pic>
                    </a:graphicData>
                  </a:graphic>
                </wp:inline>
              </w:drawing>
            </w:r>
          </w:p>
          <w:p w14:paraId="24E50FB2" w14:textId="20319D25" w:rsidR="00273FE2" w:rsidRPr="00273FE2" w:rsidRDefault="00273FE2" w:rsidP="00273FE2">
            <w:pPr>
              <w:pStyle w:val="NormalWeb"/>
              <w:spacing w:before="0" w:beforeAutospacing="0" w:after="0" w:afterAutospacing="0"/>
              <w:jc w:val="center"/>
              <w:rPr>
                <w:rFonts w:ascii="Calibri" w:hAnsi="Calibri" w:cs="Calibri"/>
                <w:color w:val="000000" w:themeColor="text1"/>
                <w:sz w:val="22"/>
                <w:szCs w:val="22"/>
              </w:rPr>
            </w:pPr>
            <w:r>
              <w:rPr>
                <w:rFonts w:ascii="Calibri" w:hAnsi="Calibri" w:cs="Calibri"/>
                <w:color w:val="000000" w:themeColor="text1"/>
                <w:sz w:val="22"/>
                <w:szCs w:val="22"/>
              </w:rPr>
              <w:t>Gousses vendues sur un marché.</w:t>
            </w:r>
          </w:p>
        </w:tc>
      </w:tr>
    </w:tbl>
    <w:p w14:paraId="28E4A00C" w14:textId="5A134AAC" w:rsidR="007B1E15" w:rsidRPr="00003E7A" w:rsidRDefault="007B1E15" w:rsidP="00003E7A">
      <w:pPr>
        <w:shd w:val="clear" w:color="auto" w:fill="FFFFFF"/>
        <w:spacing w:after="0" w:line="240" w:lineRule="auto"/>
        <w:jc w:val="both"/>
        <w:rPr>
          <w:rFonts w:ascii="Calibri" w:eastAsia="Times New Roman" w:hAnsi="Calibri" w:cs="Calibri"/>
          <w:color w:val="000000" w:themeColor="text1"/>
          <w:lang w:eastAsia="fr-FR"/>
        </w:rPr>
      </w:pPr>
      <w:r w:rsidRPr="007B1E15">
        <w:rPr>
          <w:rFonts w:ascii="Calibri" w:eastAsia="Times New Roman" w:hAnsi="Calibri" w:cs="Calibri"/>
          <w:color w:val="000000" w:themeColor="text1"/>
          <w:lang w:eastAsia="fr-FR"/>
        </w:rPr>
        <w:t>Le moringa a nombreuses applications en cuisine du fait de sa répartition mondiale. Il peut être consommé cru, sans préparation, mais est souvent employé dans une variété de plats.</w:t>
      </w:r>
      <w:r w:rsidRPr="00003E7A">
        <w:rPr>
          <w:rFonts w:ascii="Calibri" w:eastAsia="Times New Roman" w:hAnsi="Calibri" w:cs="Calibri"/>
          <w:color w:val="000000" w:themeColor="text1"/>
          <w:lang w:eastAsia="fr-FR"/>
        </w:rPr>
        <w:t xml:space="preserve"> </w:t>
      </w:r>
      <w:r w:rsidRPr="00003E7A">
        <w:rPr>
          <w:rFonts w:ascii="Calibri" w:hAnsi="Calibri" w:cs="Calibri"/>
          <w:color w:val="000000" w:themeColor="text1"/>
        </w:rPr>
        <w:t>Ses feuilles sont la partie la plus nutritive de la plante. Des analyses nutritionnelles ont montré qu'elles sont plus riches en vitamines et protéines que la plupart des légumes.</w:t>
      </w:r>
      <w:r w:rsidR="00273FE2">
        <w:rPr>
          <w:rFonts w:ascii="Calibri" w:hAnsi="Calibri" w:cs="Calibri"/>
          <w:color w:val="000000" w:themeColor="text1"/>
        </w:rPr>
        <w:t xml:space="preserve"> </w:t>
      </w:r>
      <w:r w:rsidR="00273FE2" w:rsidRPr="00273FE2">
        <w:rPr>
          <w:rFonts w:ascii="Calibri" w:hAnsi="Calibri" w:cs="Calibri"/>
          <w:color w:val="000000" w:themeColor="text1"/>
          <w:u w:val="single"/>
        </w:rPr>
        <w:t>Caractère invasif</w:t>
      </w:r>
      <w:r w:rsidR="00273FE2">
        <w:rPr>
          <w:rFonts w:ascii="Calibri" w:hAnsi="Calibri" w:cs="Calibri"/>
          <w:color w:val="000000" w:themeColor="text1"/>
          <w:u w:val="single"/>
        </w:rPr>
        <w:t xml:space="preserve"> possible</w:t>
      </w:r>
      <w:r w:rsidR="00273FE2">
        <w:rPr>
          <w:rFonts w:ascii="Calibri" w:hAnsi="Calibri" w:cs="Calibri"/>
          <w:color w:val="000000" w:themeColor="text1"/>
        </w:rPr>
        <w:t> : Cette espèce</w:t>
      </w:r>
      <w:r w:rsidR="00273FE2" w:rsidRPr="00273FE2">
        <w:rPr>
          <w:rFonts w:ascii="Calibri" w:hAnsi="Calibri" w:cs="Calibri"/>
          <w:color w:val="000000" w:themeColor="text1"/>
        </w:rPr>
        <w:t xml:space="preserve"> se comporte comme une plante envahissante à Cuba</w:t>
      </w:r>
      <w:r w:rsidR="00273FE2">
        <w:rPr>
          <w:rFonts w:ascii="Calibri" w:hAnsi="Calibri" w:cs="Calibri"/>
          <w:color w:val="000000" w:themeColor="text1"/>
        </w:rPr>
        <w:t>.</w:t>
      </w:r>
    </w:p>
    <w:p w14:paraId="4A88B7A7" w14:textId="58DF36E0" w:rsidR="00323582" w:rsidRDefault="00003E7A" w:rsidP="00003E7A">
      <w:pPr>
        <w:pStyle w:val="NormalWeb"/>
        <w:shd w:val="clear" w:color="auto" w:fill="FFFFFF"/>
        <w:spacing w:before="0" w:beforeAutospacing="0" w:after="0" w:afterAutospacing="0"/>
        <w:jc w:val="both"/>
        <w:rPr>
          <w:rFonts w:ascii="Calibri" w:hAnsi="Calibri" w:cs="Calibri"/>
          <w:color w:val="000000" w:themeColor="text1"/>
          <w:sz w:val="22"/>
          <w:szCs w:val="22"/>
        </w:rPr>
      </w:pPr>
      <w:r w:rsidRPr="00003E7A">
        <w:rPr>
          <w:rFonts w:ascii="Calibri" w:hAnsi="Calibri" w:cs="Calibri"/>
          <w:color w:val="000000" w:themeColor="text1"/>
          <w:sz w:val="22"/>
          <w:szCs w:val="22"/>
          <w:u w:val="single"/>
        </w:rPr>
        <w:t>Lutte contre la malnutrition</w:t>
      </w:r>
      <w:r w:rsidRPr="00003E7A">
        <w:rPr>
          <w:rFonts w:ascii="Calibri" w:hAnsi="Calibri" w:cs="Calibri"/>
          <w:color w:val="000000" w:themeColor="text1"/>
          <w:sz w:val="22"/>
          <w:szCs w:val="22"/>
        </w:rPr>
        <w:t xml:space="preserve"> : Beaucoup de programmes humanitaires utilisent les feuilles de </w:t>
      </w:r>
      <w:r w:rsidRPr="00003E7A">
        <w:rPr>
          <w:rFonts w:ascii="Calibri" w:hAnsi="Calibri" w:cs="Calibri"/>
          <w:i/>
          <w:iCs/>
          <w:color w:val="000000" w:themeColor="text1"/>
          <w:sz w:val="22"/>
          <w:szCs w:val="22"/>
        </w:rPr>
        <w:t>Moringa oleifera</w:t>
      </w:r>
      <w:r w:rsidRPr="00003E7A">
        <w:rPr>
          <w:rFonts w:ascii="Calibri" w:hAnsi="Calibri" w:cs="Calibri"/>
          <w:color w:val="000000" w:themeColor="text1"/>
          <w:sz w:val="22"/>
          <w:szCs w:val="22"/>
        </w:rPr>
        <w:t xml:space="preserve"> contre la malnutrition et ses maladies associées (cécité, etc.) [comme avec la spiruline]. Il est particulièrement utile pour lutter contre la malnutrition chez les nourrissons et les mères allaitantes. Le moringa pouvant pousser en zone aride ou semi-aride, il peut</w:t>
      </w:r>
      <w:r w:rsidR="00273FE2">
        <w:rPr>
          <w:rFonts w:ascii="Calibri" w:hAnsi="Calibri" w:cs="Calibri"/>
          <w:color w:val="000000" w:themeColor="text1"/>
          <w:sz w:val="22"/>
          <w:szCs w:val="22"/>
        </w:rPr>
        <w:t xml:space="preserve"> donc</w:t>
      </w:r>
      <w:r w:rsidRPr="00003E7A">
        <w:rPr>
          <w:rFonts w:ascii="Calibri" w:hAnsi="Calibri" w:cs="Calibri"/>
          <w:color w:val="000000" w:themeColor="text1"/>
          <w:sz w:val="22"/>
          <w:szCs w:val="22"/>
        </w:rPr>
        <w:t xml:space="preserve"> y constituer une source d'aliments nutritifs et variés tout au long de l'année.</w:t>
      </w:r>
    </w:p>
    <w:p w14:paraId="03935701" w14:textId="5A1F06D2" w:rsidR="002809DE" w:rsidRDefault="002809DE" w:rsidP="00003E7A">
      <w:pPr>
        <w:pStyle w:val="NormalWeb"/>
        <w:shd w:val="clear" w:color="auto" w:fill="FFFFFF"/>
        <w:spacing w:before="0" w:beforeAutospacing="0" w:after="0" w:afterAutospacing="0"/>
        <w:jc w:val="both"/>
        <w:rPr>
          <w:rFonts w:ascii="Calibri" w:hAnsi="Calibri" w:cs="Calibri"/>
          <w:color w:val="000000" w:themeColor="text1"/>
          <w:sz w:val="22"/>
          <w:szCs w:val="22"/>
        </w:rPr>
      </w:pPr>
      <w:r>
        <w:rPr>
          <w:rFonts w:ascii="Calibri" w:hAnsi="Calibri" w:cs="Calibri"/>
          <w:color w:val="000000" w:themeColor="text1"/>
          <w:sz w:val="22"/>
          <w:szCs w:val="22"/>
        </w:rPr>
        <w:t xml:space="preserve">Sources : a) </w:t>
      </w:r>
      <w:hyperlink r:id="rId955" w:history="1">
        <w:r w:rsidRPr="00896786">
          <w:rPr>
            <w:rStyle w:val="Lienhypertexte"/>
            <w:rFonts w:ascii="Calibri" w:hAnsi="Calibri" w:cs="Calibri"/>
            <w:sz w:val="22"/>
            <w:szCs w:val="22"/>
          </w:rPr>
          <w:t>https://fr.wikipedia.org/wiki/Moringa_oleifera</w:t>
        </w:r>
      </w:hyperlink>
      <w:r>
        <w:rPr>
          <w:rFonts w:ascii="Calibri" w:hAnsi="Calibri" w:cs="Calibri"/>
          <w:color w:val="000000" w:themeColor="text1"/>
          <w:sz w:val="22"/>
          <w:szCs w:val="22"/>
        </w:rPr>
        <w:t xml:space="preserve">, b) </w:t>
      </w:r>
      <w:hyperlink r:id="rId956" w:history="1">
        <w:r w:rsidRPr="00896786">
          <w:rPr>
            <w:rStyle w:val="Lienhypertexte"/>
            <w:rFonts w:ascii="Calibri" w:hAnsi="Calibri" w:cs="Calibri"/>
            <w:sz w:val="22"/>
            <w:szCs w:val="22"/>
          </w:rPr>
          <w:t>https://en.wikipedia.org/wiki/Moringa_oleifera</w:t>
        </w:r>
      </w:hyperlink>
      <w:r>
        <w:rPr>
          <w:rFonts w:ascii="Calibri" w:hAnsi="Calibri" w:cs="Calibri"/>
          <w:color w:val="000000" w:themeColor="text1"/>
          <w:sz w:val="22"/>
          <w:szCs w:val="22"/>
        </w:rPr>
        <w:t xml:space="preserve"> </w:t>
      </w:r>
    </w:p>
    <w:p w14:paraId="73559003" w14:textId="3482A83E" w:rsidR="002809DE" w:rsidRDefault="002809DE" w:rsidP="00003E7A">
      <w:pPr>
        <w:pStyle w:val="NormalWeb"/>
        <w:shd w:val="clear" w:color="auto" w:fill="FFFFFF"/>
        <w:spacing w:before="0" w:beforeAutospacing="0" w:after="0" w:afterAutospacing="0"/>
        <w:jc w:val="both"/>
        <w:rPr>
          <w:rFonts w:ascii="Calibri" w:hAnsi="Calibri" w:cs="Calibri"/>
          <w:color w:val="000000" w:themeColor="text1"/>
          <w:sz w:val="22"/>
          <w:szCs w:val="2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A6683D" w14:paraId="3DF75138" w14:textId="77777777" w:rsidTr="00A6683D">
        <w:tc>
          <w:tcPr>
            <w:tcW w:w="3472" w:type="dxa"/>
          </w:tcPr>
          <w:p w14:paraId="407666DC" w14:textId="77777777" w:rsidR="002809DE" w:rsidRDefault="00157F7B" w:rsidP="002809DE">
            <w:pPr>
              <w:pStyle w:val="NormalWeb"/>
              <w:spacing w:before="0" w:beforeAutospacing="0" w:after="0" w:afterAutospacing="0"/>
              <w:jc w:val="center"/>
              <w:rPr>
                <w:rFonts w:ascii="Calibri" w:hAnsi="Calibri" w:cs="Calibri"/>
                <w:color w:val="000000" w:themeColor="text1"/>
                <w:sz w:val="22"/>
                <w:szCs w:val="22"/>
              </w:rPr>
            </w:pPr>
            <w:r>
              <w:rPr>
                <w:noProof/>
              </w:rPr>
              <w:drawing>
                <wp:inline distT="0" distB="0" distL="0" distR="0" wp14:anchorId="54F5BAEB" wp14:editId="53A8D855">
                  <wp:extent cx="1866900" cy="1242476"/>
                  <wp:effectExtent l="0" t="0" r="0" b="0"/>
                  <wp:docPr id="36889" name="Image 36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57">
                            <a:extLst>
                              <a:ext uri="{28A0092B-C50C-407E-A947-70E740481C1C}">
                                <a14:useLocalDpi xmlns:a14="http://schemas.microsoft.com/office/drawing/2010/main" val="0"/>
                              </a:ext>
                            </a:extLst>
                          </a:blip>
                          <a:srcRect/>
                          <a:stretch>
                            <a:fillRect/>
                          </a:stretch>
                        </pic:blipFill>
                        <pic:spPr bwMode="auto">
                          <a:xfrm>
                            <a:off x="0" y="0"/>
                            <a:ext cx="1872745" cy="1246366"/>
                          </a:xfrm>
                          <a:prstGeom prst="rect">
                            <a:avLst/>
                          </a:prstGeom>
                          <a:noFill/>
                          <a:ln>
                            <a:noFill/>
                          </a:ln>
                        </pic:spPr>
                      </pic:pic>
                    </a:graphicData>
                  </a:graphic>
                </wp:inline>
              </w:drawing>
            </w:r>
          </w:p>
          <w:p w14:paraId="252BAC45" w14:textId="62DEE0C9" w:rsidR="00157F7B" w:rsidRDefault="00157F7B" w:rsidP="002809DE">
            <w:pPr>
              <w:pStyle w:val="NormalWeb"/>
              <w:spacing w:before="0" w:beforeAutospacing="0" w:after="0" w:afterAutospacing="0"/>
              <w:jc w:val="center"/>
              <w:rPr>
                <w:rFonts w:ascii="Calibri" w:hAnsi="Calibri" w:cs="Calibri"/>
                <w:color w:val="000000" w:themeColor="text1"/>
                <w:sz w:val="22"/>
                <w:szCs w:val="22"/>
              </w:rPr>
            </w:pPr>
            <w:r>
              <w:rPr>
                <w:rFonts w:ascii="Calibri" w:hAnsi="Calibri" w:cs="Calibri"/>
                <w:color w:val="000000" w:themeColor="text1"/>
                <w:sz w:val="22"/>
                <w:szCs w:val="22"/>
              </w:rPr>
              <w:t>Fleurs et feuilles.</w:t>
            </w:r>
          </w:p>
        </w:tc>
        <w:tc>
          <w:tcPr>
            <w:tcW w:w="3472" w:type="dxa"/>
          </w:tcPr>
          <w:p w14:paraId="34BD1044" w14:textId="77777777" w:rsidR="002809DE" w:rsidRDefault="00157F7B" w:rsidP="002809DE">
            <w:pPr>
              <w:pStyle w:val="NormalWeb"/>
              <w:spacing w:before="0" w:beforeAutospacing="0" w:after="0" w:afterAutospacing="0"/>
              <w:jc w:val="center"/>
              <w:rPr>
                <w:rFonts w:ascii="Calibri" w:hAnsi="Calibri" w:cs="Calibri"/>
                <w:color w:val="000000" w:themeColor="text1"/>
                <w:sz w:val="22"/>
                <w:szCs w:val="22"/>
              </w:rPr>
            </w:pPr>
            <w:r>
              <w:rPr>
                <w:noProof/>
              </w:rPr>
              <w:drawing>
                <wp:inline distT="0" distB="0" distL="0" distR="0" wp14:anchorId="73483B89" wp14:editId="78E33E9E">
                  <wp:extent cx="1857375" cy="1394616"/>
                  <wp:effectExtent l="0" t="0" r="0" b="0"/>
                  <wp:docPr id="36890" name="Image 36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58">
                            <a:extLst>
                              <a:ext uri="{28A0092B-C50C-407E-A947-70E740481C1C}">
                                <a14:useLocalDpi xmlns:a14="http://schemas.microsoft.com/office/drawing/2010/main" val="0"/>
                              </a:ext>
                            </a:extLst>
                          </a:blip>
                          <a:srcRect/>
                          <a:stretch>
                            <a:fillRect/>
                          </a:stretch>
                        </pic:blipFill>
                        <pic:spPr bwMode="auto">
                          <a:xfrm>
                            <a:off x="0" y="0"/>
                            <a:ext cx="1871516" cy="1405234"/>
                          </a:xfrm>
                          <a:prstGeom prst="rect">
                            <a:avLst/>
                          </a:prstGeom>
                          <a:noFill/>
                          <a:ln>
                            <a:noFill/>
                          </a:ln>
                        </pic:spPr>
                      </pic:pic>
                    </a:graphicData>
                  </a:graphic>
                </wp:inline>
              </w:drawing>
            </w:r>
          </w:p>
          <w:p w14:paraId="177CAB69" w14:textId="4BAB1341" w:rsidR="00157F7B" w:rsidRDefault="00157F7B" w:rsidP="002809DE">
            <w:pPr>
              <w:pStyle w:val="NormalWeb"/>
              <w:spacing w:before="0" w:beforeAutospacing="0" w:after="0" w:afterAutospacing="0"/>
              <w:jc w:val="center"/>
              <w:rPr>
                <w:rFonts w:ascii="Calibri" w:hAnsi="Calibri" w:cs="Calibri"/>
                <w:color w:val="000000" w:themeColor="text1"/>
                <w:sz w:val="22"/>
                <w:szCs w:val="22"/>
              </w:rPr>
            </w:pPr>
            <w:r>
              <w:rPr>
                <w:rFonts w:ascii="Calibri" w:hAnsi="Calibri" w:cs="Calibri"/>
                <w:color w:val="000000" w:themeColor="text1"/>
                <w:sz w:val="22"/>
                <w:szCs w:val="22"/>
              </w:rPr>
              <w:t>Fleurs.</w:t>
            </w:r>
          </w:p>
        </w:tc>
        <w:tc>
          <w:tcPr>
            <w:tcW w:w="3472" w:type="dxa"/>
          </w:tcPr>
          <w:p w14:paraId="54B5068E" w14:textId="77777777" w:rsidR="002809DE" w:rsidRDefault="004A503C" w:rsidP="002809DE">
            <w:pPr>
              <w:pStyle w:val="NormalWeb"/>
              <w:spacing w:before="0" w:beforeAutospacing="0" w:after="0" w:afterAutospacing="0"/>
              <w:jc w:val="center"/>
              <w:rPr>
                <w:rFonts w:ascii="Calibri" w:hAnsi="Calibri" w:cs="Calibri"/>
                <w:color w:val="000000" w:themeColor="text1"/>
                <w:sz w:val="22"/>
                <w:szCs w:val="22"/>
              </w:rPr>
            </w:pPr>
            <w:r>
              <w:rPr>
                <w:noProof/>
              </w:rPr>
              <w:drawing>
                <wp:inline distT="0" distB="0" distL="0" distR="0" wp14:anchorId="6282120E" wp14:editId="24303310">
                  <wp:extent cx="1600200" cy="1203568"/>
                  <wp:effectExtent l="0" t="0" r="0" b="0"/>
                  <wp:docPr id="36891" name="Image 36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59">
                            <a:extLst>
                              <a:ext uri="{28A0092B-C50C-407E-A947-70E740481C1C}">
                                <a14:useLocalDpi xmlns:a14="http://schemas.microsoft.com/office/drawing/2010/main" val="0"/>
                              </a:ext>
                            </a:extLst>
                          </a:blip>
                          <a:srcRect/>
                          <a:stretch>
                            <a:fillRect/>
                          </a:stretch>
                        </pic:blipFill>
                        <pic:spPr bwMode="auto">
                          <a:xfrm>
                            <a:off x="0" y="0"/>
                            <a:ext cx="1608987" cy="1210177"/>
                          </a:xfrm>
                          <a:prstGeom prst="rect">
                            <a:avLst/>
                          </a:prstGeom>
                          <a:noFill/>
                          <a:ln>
                            <a:noFill/>
                          </a:ln>
                        </pic:spPr>
                      </pic:pic>
                    </a:graphicData>
                  </a:graphic>
                </wp:inline>
              </w:drawing>
            </w:r>
          </w:p>
          <w:p w14:paraId="24C8948B" w14:textId="76E58A3C" w:rsidR="004A503C" w:rsidRDefault="004A503C" w:rsidP="002809DE">
            <w:pPr>
              <w:pStyle w:val="NormalWeb"/>
              <w:spacing w:before="0" w:beforeAutospacing="0" w:after="0" w:afterAutospacing="0"/>
              <w:jc w:val="center"/>
              <w:rPr>
                <w:rFonts w:ascii="Calibri" w:hAnsi="Calibri" w:cs="Calibri"/>
                <w:color w:val="000000" w:themeColor="text1"/>
                <w:sz w:val="22"/>
                <w:szCs w:val="22"/>
              </w:rPr>
            </w:pPr>
            <w:r w:rsidRPr="004A503C">
              <w:rPr>
                <w:rFonts w:ascii="Calibri" w:hAnsi="Calibri" w:cs="Calibri"/>
                <w:color w:val="202122"/>
                <w:sz w:val="22"/>
                <w:szCs w:val="22"/>
                <w:shd w:val="clear" w:color="auto" w:fill="F8F9FA"/>
              </w:rPr>
              <w:t>Les gousses de </w:t>
            </w:r>
            <w:r w:rsidRPr="004A503C">
              <w:rPr>
                <w:rFonts w:ascii="Calibri" w:hAnsi="Calibri" w:cs="Calibri"/>
                <w:i/>
                <w:iCs/>
                <w:color w:val="202122"/>
                <w:sz w:val="22"/>
                <w:szCs w:val="22"/>
                <w:shd w:val="clear" w:color="auto" w:fill="F8F9FA"/>
              </w:rPr>
              <w:t>Moringa oleifera</w:t>
            </w:r>
            <w:r w:rsidRPr="004A503C">
              <w:rPr>
                <w:rFonts w:ascii="Calibri" w:hAnsi="Calibri" w:cs="Calibri"/>
                <w:color w:val="202122"/>
                <w:sz w:val="22"/>
                <w:szCs w:val="22"/>
                <w:shd w:val="clear" w:color="auto" w:fill="F8F9FA"/>
              </w:rPr>
              <w:t> à </w:t>
            </w:r>
            <w:hyperlink r:id="rId960" w:tooltip="Panchkhal" w:history="1">
              <w:r w:rsidRPr="004A503C">
                <w:rPr>
                  <w:rStyle w:val="Lienhypertexte"/>
                  <w:rFonts w:ascii="Calibri" w:hAnsi="Calibri" w:cs="Calibri"/>
                  <w:color w:val="0645AD"/>
                  <w:sz w:val="22"/>
                  <w:szCs w:val="22"/>
                  <w:shd w:val="clear" w:color="auto" w:fill="F8F9FA"/>
                </w:rPr>
                <w:t>Panchkhal</w:t>
              </w:r>
            </w:hyperlink>
            <w:r w:rsidRPr="004A503C">
              <w:rPr>
                <w:rFonts w:ascii="Calibri" w:hAnsi="Calibri" w:cs="Calibri"/>
                <w:color w:val="202122"/>
                <w:sz w:val="22"/>
                <w:szCs w:val="22"/>
                <w:shd w:val="clear" w:color="auto" w:fill="F8F9FA"/>
              </w:rPr>
              <w:t>, </w:t>
            </w:r>
            <w:hyperlink r:id="rId961" w:tooltip="Népal" w:history="1">
              <w:r w:rsidRPr="004A503C">
                <w:rPr>
                  <w:rStyle w:val="Lienhypertexte"/>
                  <w:rFonts w:ascii="Calibri" w:hAnsi="Calibri" w:cs="Calibri"/>
                  <w:color w:val="0645AD"/>
                  <w:sz w:val="22"/>
                  <w:szCs w:val="22"/>
                  <w:shd w:val="clear" w:color="auto" w:fill="F8F9FA"/>
                </w:rPr>
                <w:t>Népal</w:t>
              </w:r>
            </w:hyperlink>
            <w:r>
              <w:rPr>
                <w:rFonts w:ascii="Calibri" w:hAnsi="Calibri" w:cs="Calibri"/>
                <w:color w:val="000000" w:themeColor="text1"/>
                <w:sz w:val="22"/>
                <w:szCs w:val="22"/>
              </w:rPr>
              <w:t>.</w:t>
            </w:r>
          </w:p>
        </w:tc>
      </w:tr>
      <w:tr w:rsidR="00A6683D" w14:paraId="5A6567D0" w14:textId="77777777" w:rsidTr="00A6683D">
        <w:tc>
          <w:tcPr>
            <w:tcW w:w="3472" w:type="dxa"/>
          </w:tcPr>
          <w:p w14:paraId="4CFE4ECE" w14:textId="5628B4C2" w:rsidR="002809DE" w:rsidRDefault="00A6683D" w:rsidP="002809DE">
            <w:pPr>
              <w:pStyle w:val="NormalWeb"/>
              <w:spacing w:before="0" w:beforeAutospacing="0" w:after="0" w:afterAutospacing="0"/>
              <w:jc w:val="center"/>
              <w:rPr>
                <w:rFonts w:ascii="Calibri" w:hAnsi="Calibri" w:cs="Calibri"/>
                <w:color w:val="000000" w:themeColor="text1"/>
                <w:sz w:val="22"/>
                <w:szCs w:val="22"/>
              </w:rPr>
            </w:pPr>
            <w:r>
              <w:rPr>
                <w:noProof/>
              </w:rPr>
              <w:drawing>
                <wp:inline distT="0" distB="0" distL="0" distR="0" wp14:anchorId="09591036" wp14:editId="37DCEC05">
                  <wp:extent cx="1924050" cy="1291862"/>
                  <wp:effectExtent l="0" t="0" r="0" b="3810"/>
                  <wp:docPr id="36892" name="Image 36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62">
                            <a:extLst>
                              <a:ext uri="{28A0092B-C50C-407E-A947-70E740481C1C}">
                                <a14:useLocalDpi xmlns:a14="http://schemas.microsoft.com/office/drawing/2010/main" val="0"/>
                              </a:ext>
                            </a:extLst>
                          </a:blip>
                          <a:srcRect/>
                          <a:stretch>
                            <a:fillRect/>
                          </a:stretch>
                        </pic:blipFill>
                        <pic:spPr bwMode="auto">
                          <a:xfrm>
                            <a:off x="0" y="0"/>
                            <a:ext cx="1937487" cy="1300884"/>
                          </a:xfrm>
                          <a:prstGeom prst="rect">
                            <a:avLst/>
                          </a:prstGeom>
                          <a:noFill/>
                          <a:ln>
                            <a:noFill/>
                          </a:ln>
                        </pic:spPr>
                      </pic:pic>
                    </a:graphicData>
                  </a:graphic>
                </wp:inline>
              </w:drawing>
            </w:r>
          </w:p>
          <w:p w14:paraId="53F39813" w14:textId="4F9A7470" w:rsidR="00A6683D" w:rsidRDefault="00A6683D" w:rsidP="002809DE">
            <w:pPr>
              <w:pStyle w:val="NormalWeb"/>
              <w:spacing w:before="0" w:beforeAutospacing="0" w:after="0" w:afterAutospacing="0"/>
              <w:jc w:val="center"/>
              <w:rPr>
                <w:rFonts w:ascii="Calibri" w:hAnsi="Calibri" w:cs="Calibri"/>
                <w:color w:val="000000" w:themeColor="text1"/>
                <w:sz w:val="22"/>
                <w:szCs w:val="22"/>
              </w:rPr>
            </w:pPr>
            <w:r w:rsidRPr="00A6683D">
              <w:rPr>
                <w:rFonts w:ascii="Calibri" w:hAnsi="Calibri" w:cs="Calibri"/>
                <w:color w:val="000000" w:themeColor="text1"/>
                <w:sz w:val="22"/>
                <w:szCs w:val="22"/>
              </w:rPr>
              <w:t>Arbres et gousses</w:t>
            </w:r>
          </w:p>
        </w:tc>
        <w:tc>
          <w:tcPr>
            <w:tcW w:w="3472" w:type="dxa"/>
          </w:tcPr>
          <w:p w14:paraId="7174DCB5" w14:textId="53169D4E" w:rsidR="002809DE" w:rsidRDefault="00A6683D" w:rsidP="002809DE">
            <w:pPr>
              <w:pStyle w:val="NormalWeb"/>
              <w:spacing w:before="0" w:beforeAutospacing="0" w:after="0" w:afterAutospacing="0"/>
              <w:jc w:val="center"/>
              <w:rPr>
                <w:rFonts w:ascii="Calibri" w:hAnsi="Calibri" w:cs="Calibri"/>
                <w:color w:val="000000" w:themeColor="text1"/>
                <w:sz w:val="22"/>
                <w:szCs w:val="22"/>
              </w:rPr>
            </w:pPr>
            <w:r>
              <w:rPr>
                <w:noProof/>
              </w:rPr>
              <w:drawing>
                <wp:inline distT="0" distB="0" distL="0" distR="0" wp14:anchorId="622AAD93" wp14:editId="12C27494">
                  <wp:extent cx="1924050" cy="1444679"/>
                  <wp:effectExtent l="0" t="0" r="0" b="3175"/>
                  <wp:docPr id="36893" name="Image 36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63">
                            <a:extLst>
                              <a:ext uri="{28A0092B-C50C-407E-A947-70E740481C1C}">
                                <a14:useLocalDpi xmlns:a14="http://schemas.microsoft.com/office/drawing/2010/main" val="0"/>
                              </a:ext>
                            </a:extLst>
                          </a:blip>
                          <a:srcRect/>
                          <a:stretch>
                            <a:fillRect/>
                          </a:stretch>
                        </pic:blipFill>
                        <pic:spPr bwMode="auto">
                          <a:xfrm>
                            <a:off x="0" y="0"/>
                            <a:ext cx="1932767" cy="1451224"/>
                          </a:xfrm>
                          <a:prstGeom prst="rect">
                            <a:avLst/>
                          </a:prstGeom>
                          <a:noFill/>
                          <a:ln>
                            <a:noFill/>
                          </a:ln>
                        </pic:spPr>
                      </pic:pic>
                    </a:graphicData>
                  </a:graphic>
                </wp:inline>
              </w:drawing>
            </w:r>
          </w:p>
          <w:p w14:paraId="431DFCB9" w14:textId="5727CA86" w:rsidR="00A6683D" w:rsidRDefault="00A6683D" w:rsidP="002809DE">
            <w:pPr>
              <w:pStyle w:val="NormalWeb"/>
              <w:spacing w:before="0" w:beforeAutospacing="0" w:after="0" w:afterAutospacing="0"/>
              <w:jc w:val="center"/>
              <w:rPr>
                <w:rFonts w:ascii="Calibri" w:hAnsi="Calibri" w:cs="Calibri"/>
                <w:color w:val="000000" w:themeColor="text1"/>
                <w:sz w:val="22"/>
                <w:szCs w:val="22"/>
              </w:rPr>
            </w:pPr>
            <w:r>
              <w:rPr>
                <w:rFonts w:ascii="Calibri" w:hAnsi="Calibri" w:cs="Calibri"/>
                <w:color w:val="000000" w:themeColor="text1"/>
                <w:sz w:val="22"/>
                <w:szCs w:val="22"/>
              </w:rPr>
              <w:t>Feuillage.</w:t>
            </w:r>
          </w:p>
        </w:tc>
        <w:tc>
          <w:tcPr>
            <w:tcW w:w="3472" w:type="dxa"/>
          </w:tcPr>
          <w:p w14:paraId="7C724469" w14:textId="21808381" w:rsidR="00A6683D" w:rsidRDefault="00A6683D" w:rsidP="002809DE">
            <w:pPr>
              <w:pStyle w:val="NormalWeb"/>
              <w:spacing w:before="0" w:beforeAutospacing="0" w:after="0" w:afterAutospacing="0"/>
              <w:jc w:val="center"/>
              <w:rPr>
                <w:rFonts w:ascii="Arial" w:hAnsi="Arial" w:cs="Arial"/>
                <w:color w:val="202122"/>
                <w:sz w:val="20"/>
                <w:szCs w:val="20"/>
                <w:shd w:val="clear" w:color="auto" w:fill="FFFFFF"/>
              </w:rPr>
            </w:pPr>
            <w:r>
              <w:rPr>
                <w:noProof/>
              </w:rPr>
              <w:drawing>
                <wp:inline distT="0" distB="0" distL="0" distR="0" wp14:anchorId="2BE665B8" wp14:editId="5A9CEEFA">
                  <wp:extent cx="1787726" cy="1444625"/>
                  <wp:effectExtent l="0" t="0" r="3175" b="3175"/>
                  <wp:docPr id="36895" name="Image 36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64">
                            <a:extLst>
                              <a:ext uri="{28A0092B-C50C-407E-A947-70E740481C1C}">
                                <a14:useLocalDpi xmlns:a14="http://schemas.microsoft.com/office/drawing/2010/main" val="0"/>
                              </a:ext>
                            </a:extLst>
                          </a:blip>
                          <a:srcRect/>
                          <a:stretch>
                            <a:fillRect/>
                          </a:stretch>
                        </pic:blipFill>
                        <pic:spPr bwMode="auto">
                          <a:xfrm>
                            <a:off x="0" y="0"/>
                            <a:ext cx="1804085" cy="1457844"/>
                          </a:xfrm>
                          <a:prstGeom prst="rect">
                            <a:avLst/>
                          </a:prstGeom>
                          <a:noFill/>
                          <a:ln>
                            <a:noFill/>
                          </a:ln>
                        </pic:spPr>
                      </pic:pic>
                    </a:graphicData>
                  </a:graphic>
                </wp:inline>
              </w:drawing>
            </w:r>
          </w:p>
          <w:p w14:paraId="70752DA8" w14:textId="2649EAF2" w:rsidR="002809DE" w:rsidRDefault="00A6683D" w:rsidP="002809DE">
            <w:pPr>
              <w:pStyle w:val="NormalWeb"/>
              <w:spacing w:before="0" w:beforeAutospacing="0" w:after="0" w:afterAutospacing="0"/>
              <w:jc w:val="center"/>
              <w:rPr>
                <w:rFonts w:ascii="Calibri" w:hAnsi="Calibri" w:cs="Calibri"/>
                <w:color w:val="000000" w:themeColor="text1"/>
                <w:sz w:val="22"/>
                <w:szCs w:val="22"/>
              </w:rPr>
            </w:pPr>
            <w:r w:rsidRPr="00A6683D">
              <w:rPr>
                <w:rFonts w:ascii="Calibri" w:hAnsi="Calibri" w:cs="Calibri"/>
                <w:color w:val="000000" w:themeColor="text1"/>
                <w:sz w:val="22"/>
                <w:szCs w:val="22"/>
                <w:shd w:val="clear" w:color="auto" w:fill="FFFFFF"/>
              </w:rPr>
              <w:t>Branche avec des fleurs et des feuilles au </w:t>
            </w:r>
            <w:hyperlink r:id="rId965" w:tooltip="Bengale-Occidental" w:history="1">
              <w:r w:rsidRPr="00A6683D">
                <w:rPr>
                  <w:rStyle w:val="Lienhypertexte"/>
                  <w:rFonts w:ascii="Calibri" w:hAnsi="Calibri" w:cs="Calibri"/>
                  <w:color w:val="0645AD"/>
                  <w:sz w:val="22"/>
                  <w:szCs w:val="22"/>
                  <w:shd w:val="clear" w:color="auto" w:fill="FFFFFF"/>
                </w:rPr>
                <w:t>Bengale occidental</w:t>
              </w:r>
            </w:hyperlink>
            <w:r>
              <w:t>.</w:t>
            </w:r>
          </w:p>
        </w:tc>
      </w:tr>
      <w:tr w:rsidR="00A6683D" w14:paraId="4BEFCA13" w14:textId="77777777" w:rsidTr="00A6683D">
        <w:tc>
          <w:tcPr>
            <w:tcW w:w="3472" w:type="dxa"/>
          </w:tcPr>
          <w:p w14:paraId="1437C12D" w14:textId="1A7C981F" w:rsidR="002809DE" w:rsidRDefault="00A6683D" w:rsidP="002809DE">
            <w:pPr>
              <w:pStyle w:val="NormalWeb"/>
              <w:spacing w:before="0" w:beforeAutospacing="0" w:after="0" w:afterAutospacing="0"/>
              <w:jc w:val="center"/>
              <w:rPr>
                <w:rFonts w:ascii="Calibri" w:hAnsi="Calibri" w:cs="Calibri"/>
                <w:color w:val="000000" w:themeColor="text1"/>
                <w:sz w:val="22"/>
                <w:szCs w:val="22"/>
              </w:rPr>
            </w:pPr>
            <w:r>
              <w:rPr>
                <w:noProof/>
              </w:rPr>
              <w:drawing>
                <wp:inline distT="0" distB="0" distL="0" distR="0" wp14:anchorId="0E0508C4" wp14:editId="0FC16020">
                  <wp:extent cx="1861820" cy="1395275"/>
                  <wp:effectExtent l="0" t="0" r="5080" b="0"/>
                  <wp:docPr id="36894" name="Image 36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66">
                            <a:extLst>
                              <a:ext uri="{28A0092B-C50C-407E-A947-70E740481C1C}">
                                <a14:useLocalDpi xmlns:a14="http://schemas.microsoft.com/office/drawing/2010/main" val="0"/>
                              </a:ext>
                            </a:extLst>
                          </a:blip>
                          <a:srcRect/>
                          <a:stretch>
                            <a:fillRect/>
                          </a:stretch>
                        </pic:blipFill>
                        <pic:spPr bwMode="auto">
                          <a:xfrm>
                            <a:off x="0" y="0"/>
                            <a:ext cx="1871519" cy="1402544"/>
                          </a:xfrm>
                          <a:prstGeom prst="rect">
                            <a:avLst/>
                          </a:prstGeom>
                          <a:noFill/>
                          <a:ln>
                            <a:noFill/>
                          </a:ln>
                        </pic:spPr>
                      </pic:pic>
                    </a:graphicData>
                  </a:graphic>
                </wp:inline>
              </w:drawing>
            </w:r>
          </w:p>
          <w:p w14:paraId="7F4C720C" w14:textId="46C2EA8A" w:rsidR="00A6683D" w:rsidRDefault="00A6683D" w:rsidP="002809DE">
            <w:pPr>
              <w:pStyle w:val="NormalWeb"/>
              <w:spacing w:before="0" w:beforeAutospacing="0" w:after="0" w:afterAutospacing="0"/>
              <w:jc w:val="center"/>
              <w:rPr>
                <w:rFonts w:ascii="Calibri" w:hAnsi="Calibri" w:cs="Calibri"/>
                <w:color w:val="000000" w:themeColor="text1"/>
                <w:sz w:val="22"/>
                <w:szCs w:val="22"/>
              </w:rPr>
            </w:pPr>
            <w:r w:rsidRPr="00A6683D">
              <w:rPr>
                <w:rFonts w:ascii="Calibri" w:hAnsi="Calibri" w:cs="Calibri"/>
                <w:color w:val="000000" w:themeColor="text1"/>
                <w:sz w:val="22"/>
                <w:szCs w:val="22"/>
                <w:shd w:val="clear" w:color="auto" w:fill="FFFFFF"/>
              </w:rPr>
              <w:t>Moringa séché avec gousses et graines au sol à </w:t>
            </w:r>
            <w:hyperlink r:id="rId967" w:tooltip="Hawaii" w:history="1">
              <w:r w:rsidRPr="00A6683D">
                <w:rPr>
                  <w:rStyle w:val="Lienhypertexte"/>
                  <w:rFonts w:ascii="Calibri" w:hAnsi="Calibri" w:cs="Calibri"/>
                  <w:color w:val="0645AD"/>
                  <w:sz w:val="22"/>
                  <w:szCs w:val="22"/>
                  <w:shd w:val="clear" w:color="auto" w:fill="FFFFFF"/>
                </w:rPr>
                <w:t>Hawaï</w:t>
              </w:r>
            </w:hyperlink>
            <w:r>
              <w:t>.</w:t>
            </w:r>
          </w:p>
        </w:tc>
        <w:tc>
          <w:tcPr>
            <w:tcW w:w="3472" w:type="dxa"/>
          </w:tcPr>
          <w:p w14:paraId="4FA4C1B6" w14:textId="77777777" w:rsidR="00273FE2" w:rsidRDefault="00273FE2" w:rsidP="00273FE2">
            <w:pPr>
              <w:jc w:val="center"/>
              <w:rPr>
                <w:rFonts w:ascii="Calibri" w:eastAsia="Times New Roman" w:hAnsi="Calibri" w:cs="Calibri"/>
                <w:color w:val="000000" w:themeColor="text1"/>
                <w:lang w:eastAsia="fr-FR"/>
              </w:rPr>
            </w:pPr>
            <w:r>
              <w:rPr>
                <w:noProof/>
              </w:rPr>
              <w:drawing>
                <wp:inline distT="0" distB="0" distL="0" distR="0" wp14:anchorId="15FE02C6" wp14:editId="7E227A8B">
                  <wp:extent cx="1209675" cy="1612900"/>
                  <wp:effectExtent l="0" t="0" r="9525" b="6350"/>
                  <wp:docPr id="146434" name="Image 146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68">
                            <a:extLst>
                              <a:ext uri="{28A0092B-C50C-407E-A947-70E740481C1C}">
                                <a14:useLocalDpi xmlns:a14="http://schemas.microsoft.com/office/drawing/2010/main" val="0"/>
                              </a:ext>
                            </a:extLst>
                          </a:blip>
                          <a:srcRect/>
                          <a:stretch>
                            <a:fillRect/>
                          </a:stretch>
                        </pic:blipFill>
                        <pic:spPr bwMode="auto">
                          <a:xfrm flipV="1">
                            <a:off x="0" y="0"/>
                            <a:ext cx="1209675" cy="1612900"/>
                          </a:xfrm>
                          <a:prstGeom prst="rect">
                            <a:avLst/>
                          </a:prstGeom>
                          <a:noFill/>
                          <a:ln>
                            <a:noFill/>
                          </a:ln>
                        </pic:spPr>
                      </pic:pic>
                    </a:graphicData>
                  </a:graphic>
                </wp:inline>
              </w:drawing>
            </w:r>
          </w:p>
          <w:p w14:paraId="32C02E3F" w14:textId="7EA834C9" w:rsidR="00273FE2" w:rsidRDefault="00000000" w:rsidP="00273FE2">
            <w:pPr>
              <w:pStyle w:val="NormalWeb"/>
              <w:spacing w:before="0" w:beforeAutospacing="0" w:after="0" w:afterAutospacing="0"/>
              <w:jc w:val="center"/>
              <w:rPr>
                <w:rFonts w:ascii="Calibri" w:hAnsi="Calibri" w:cs="Calibri"/>
                <w:color w:val="000000" w:themeColor="text1"/>
                <w:sz w:val="22"/>
                <w:szCs w:val="22"/>
              </w:rPr>
            </w:pPr>
            <w:hyperlink r:id="rId969" w:history="1">
              <w:r w:rsidR="00273FE2" w:rsidRPr="00273FE2">
                <w:rPr>
                  <w:rStyle w:val="Lienhypertexte"/>
                  <w:rFonts w:ascii="Calibri" w:hAnsi="Calibri" w:cs="Calibri"/>
                  <w:color w:val="0645AD"/>
                  <w:sz w:val="22"/>
                  <w:szCs w:val="22"/>
                  <w:shd w:val="clear" w:color="auto" w:fill="FFFFFF"/>
                </w:rPr>
                <w:t>Capsule</w:t>
              </w:r>
            </w:hyperlink>
            <w:r w:rsidR="00273FE2" w:rsidRPr="00273FE2">
              <w:rPr>
                <w:rFonts w:ascii="Calibri" w:hAnsi="Calibri" w:cs="Calibri"/>
                <w:sz w:val="22"/>
                <w:szCs w:val="22"/>
              </w:rPr>
              <w:t>.</w:t>
            </w:r>
          </w:p>
        </w:tc>
        <w:tc>
          <w:tcPr>
            <w:tcW w:w="3472" w:type="dxa"/>
          </w:tcPr>
          <w:p w14:paraId="74DA9C5E" w14:textId="4FAB63F1" w:rsidR="002809DE" w:rsidRDefault="00A6683D" w:rsidP="002809DE">
            <w:pPr>
              <w:pStyle w:val="NormalWeb"/>
              <w:spacing w:before="0" w:beforeAutospacing="0" w:after="0" w:afterAutospacing="0"/>
              <w:jc w:val="center"/>
              <w:rPr>
                <w:rFonts w:ascii="Calibri" w:hAnsi="Calibri" w:cs="Calibri"/>
                <w:color w:val="000000" w:themeColor="text1"/>
                <w:sz w:val="22"/>
                <w:szCs w:val="22"/>
              </w:rPr>
            </w:pPr>
            <w:r>
              <w:rPr>
                <w:noProof/>
              </w:rPr>
              <w:drawing>
                <wp:inline distT="0" distB="0" distL="0" distR="0" wp14:anchorId="272D1893" wp14:editId="5947B58E">
                  <wp:extent cx="1200150" cy="1449846"/>
                  <wp:effectExtent l="0" t="0" r="0" b="0"/>
                  <wp:docPr id="146433" name="Image 146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70">
                            <a:extLst>
                              <a:ext uri="{28A0092B-C50C-407E-A947-70E740481C1C}">
                                <a14:useLocalDpi xmlns:a14="http://schemas.microsoft.com/office/drawing/2010/main" val="0"/>
                              </a:ext>
                            </a:extLst>
                          </a:blip>
                          <a:srcRect/>
                          <a:stretch>
                            <a:fillRect/>
                          </a:stretch>
                        </pic:blipFill>
                        <pic:spPr bwMode="auto">
                          <a:xfrm>
                            <a:off x="0" y="0"/>
                            <a:ext cx="1200561" cy="1450343"/>
                          </a:xfrm>
                          <a:prstGeom prst="rect">
                            <a:avLst/>
                          </a:prstGeom>
                          <a:noFill/>
                          <a:ln>
                            <a:noFill/>
                          </a:ln>
                        </pic:spPr>
                      </pic:pic>
                    </a:graphicData>
                  </a:graphic>
                </wp:inline>
              </w:drawing>
            </w:r>
          </w:p>
          <w:p w14:paraId="11BAF258" w14:textId="212B016F" w:rsidR="00A6683D" w:rsidRDefault="00A6683D" w:rsidP="002809DE">
            <w:pPr>
              <w:pStyle w:val="NormalWeb"/>
              <w:spacing w:before="0" w:beforeAutospacing="0" w:after="0" w:afterAutospacing="0"/>
              <w:jc w:val="center"/>
              <w:rPr>
                <w:rFonts w:ascii="Calibri" w:hAnsi="Calibri" w:cs="Calibri"/>
                <w:color w:val="000000" w:themeColor="text1"/>
                <w:sz w:val="22"/>
                <w:szCs w:val="22"/>
              </w:rPr>
            </w:pPr>
            <w:r w:rsidRPr="00A6683D">
              <w:rPr>
                <w:rFonts w:ascii="Calibri" w:hAnsi="Calibri" w:cs="Calibri"/>
                <w:color w:val="000000" w:themeColor="text1"/>
                <w:sz w:val="22"/>
                <w:szCs w:val="22"/>
              </w:rPr>
              <w:t>Le moringa développe un caudex sur sa racine pivot.</w:t>
            </w:r>
          </w:p>
        </w:tc>
      </w:tr>
    </w:tbl>
    <w:p w14:paraId="0988511B" w14:textId="06504948" w:rsidR="003F2033" w:rsidRDefault="003F2033" w:rsidP="008225ED">
      <w:pPr>
        <w:spacing w:after="0" w:line="240" w:lineRule="auto"/>
      </w:pPr>
    </w:p>
    <w:p w14:paraId="1554024E" w14:textId="77777777" w:rsidR="00C24E45" w:rsidRDefault="00C24E45" w:rsidP="001D00A0">
      <w:pPr>
        <w:pStyle w:val="Titre2"/>
      </w:pPr>
      <w:bookmarkStart w:id="100" w:name="_Toc139181391"/>
      <w:r>
        <w:lastRenderedPageBreak/>
        <w:t>Ananambo (</w:t>
      </w:r>
      <w:r w:rsidRPr="001D00A0">
        <w:rPr>
          <w:i/>
          <w:iCs/>
        </w:rPr>
        <w:t>Moringa drouhardii</w:t>
      </w:r>
      <w:r>
        <w:t>)</w:t>
      </w:r>
      <w:bookmarkEnd w:id="100"/>
    </w:p>
    <w:p w14:paraId="52E92D9F" w14:textId="77777777" w:rsidR="00C24E45" w:rsidRDefault="00C24E45" w:rsidP="00C24E45">
      <w:pPr>
        <w:spacing w:after="0" w:line="240" w:lineRule="auto"/>
      </w:pPr>
    </w:p>
    <w:p w14:paraId="56880AF2" w14:textId="77777777" w:rsidR="00C24E45" w:rsidRDefault="00C24E45" w:rsidP="00C24E45">
      <w:pPr>
        <w:spacing w:after="0" w:line="240" w:lineRule="auto"/>
        <w:rPr>
          <w:rFonts w:cstheme="minorHAnsi"/>
          <w:color w:val="202122"/>
          <w:shd w:val="clear" w:color="auto" w:fill="FFFFFF"/>
        </w:rPr>
      </w:pPr>
      <w:r w:rsidRPr="009B6168">
        <w:rPr>
          <w:i/>
          <w:iCs/>
        </w:rPr>
        <w:t>Moringa drouhardii</w:t>
      </w:r>
      <w:r w:rsidRPr="0010051F">
        <w:rPr>
          <w:rFonts w:cstheme="minorHAnsi"/>
        </w:rPr>
        <w:t xml:space="preserve"> </w:t>
      </w:r>
      <w:r>
        <w:rPr>
          <w:rFonts w:cstheme="minorHAnsi"/>
        </w:rPr>
        <w:t xml:space="preserve">(ou </w:t>
      </w:r>
      <w:r w:rsidRPr="009B6168">
        <w:t>arbre bouteille</w:t>
      </w:r>
      <w:r>
        <w:rPr>
          <w:rFonts w:cstheme="minorHAnsi"/>
        </w:rPr>
        <w:t xml:space="preserve">) </w:t>
      </w:r>
      <w:r w:rsidRPr="0010051F">
        <w:rPr>
          <w:rFonts w:cstheme="minorHAnsi"/>
        </w:rPr>
        <w:t xml:space="preserve">est une </w:t>
      </w:r>
      <w:r w:rsidRPr="0010051F">
        <w:rPr>
          <w:rFonts w:cstheme="minorHAnsi"/>
          <w:color w:val="202122"/>
          <w:shd w:val="clear" w:color="auto" w:fill="FFFFFF"/>
        </w:rPr>
        <w:t>espèce d'arbre</w:t>
      </w:r>
      <w:r>
        <w:rPr>
          <w:rFonts w:cstheme="minorHAnsi"/>
          <w:color w:val="202122"/>
          <w:shd w:val="clear" w:color="auto" w:fill="FFFFFF"/>
        </w:rPr>
        <w:t>,</w:t>
      </w:r>
      <w:r w:rsidRPr="0010051F">
        <w:rPr>
          <w:rFonts w:cstheme="minorHAnsi"/>
          <w:color w:val="202122"/>
          <w:shd w:val="clear" w:color="auto" w:fill="FFFFFF"/>
        </w:rPr>
        <w:t xml:space="preserve"> de la </w:t>
      </w:r>
      <w:hyperlink r:id="rId971" w:tooltip="Famille (biologie)" w:history="1">
        <w:r w:rsidRPr="0010051F">
          <w:rPr>
            <w:rStyle w:val="Lienhypertexte"/>
            <w:rFonts w:cstheme="minorHAnsi"/>
            <w:color w:val="3366CC"/>
            <w:shd w:val="clear" w:color="auto" w:fill="FFFFFF"/>
          </w:rPr>
          <w:t>famille</w:t>
        </w:r>
      </w:hyperlink>
      <w:r w:rsidRPr="0010051F">
        <w:rPr>
          <w:rFonts w:cstheme="minorHAnsi"/>
          <w:color w:val="202122"/>
          <w:shd w:val="clear" w:color="auto" w:fill="FFFFFF"/>
        </w:rPr>
        <w:t> des </w:t>
      </w:r>
      <w:hyperlink r:id="rId972" w:tooltip="Moringaceae" w:history="1">
        <w:r w:rsidRPr="0010051F">
          <w:rPr>
            <w:rStyle w:val="Lienhypertexte"/>
            <w:rFonts w:cstheme="minorHAnsi"/>
            <w:i/>
            <w:iCs/>
            <w:color w:val="3366CC"/>
            <w:shd w:val="clear" w:color="auto" w:fill="FFFFFF"/>
          </w:rPr>
          <w:t>Moringaceae</w:t>
        </w:r>
      </w:hyperlink>
      <w:r>
        <w:rPr>
          <w:rFonts w:cstheme="minorHAnsi"/>
          <w:color w:val="202122"/>
          <w:shd w:val="clear" w:color="auto" w:fill="FFFFFF"/>
        </w:rPr>
        <w:t xml:space="preserve">, </w:t>
      </w:r>
      <w:r w:rsidRPr="0010051F">
        <w:rPr>
          <w:rFonts w:cstheme="minorHAnsi"/>
          <w:color w:val="202122"/>
          <w:shd w:val="clear" w:color="auto" w:fill="FFFFFF"/>
        </w:rPr>
        <w:t>au large tronc blanc endémique des forêts sèches du sud</w:t>
      </w:r>
      <w:r>
        <w:rPr>
          <w:rFonts w:cstheme="minorHAnsi"/>
          <w:color w:val="202122"/>
          <w:shd w:val="clear" w:color="auto" w:fill="FFFFFF"/>
        </w:rPr>
        <w:t xml:space="preserve"> et sud-ouest</w:t>
      </w:r>
      <w:r w:rsidRPr="0010051F">
        <w:rPr>
          <w:rFonts w:cstheme="minorHAnsi"/>
          <w:color w:val="202122"/>
          <w:shd w:val="clear" w:color="auto" w:fill="FFFFFF"/>
        </w:rPr>
        <w:t xml:space="preserve"> de Madagascar où il est appelé localement </w:t>
      </w:r>
      <w:r w:rsidRPr="0010051F">
        <w:rPr>
          <w:rFonts w:cstheme="minorHAnsi"/>
          <w:i/>
          <w:iCs/>
          <w:color w:val="202122"/>
          <w:shd w:val="clear" w:color="auto" w:fill="FFFFFF"/>
        </w:rPr>
        <w:t>ananambo</w:t>
      </w:r>
      <w:r w:rsidRPr="0010051F">
        <w:rPr>
          <w:rFonts w:cstheme="minorHAnsi"/>
          <w:color w:val="202122"/>
          <w:shd w:val="clear" w:color="auto" w:fill="FFFFFF"/>
        </w:rPr>
        <w:t>.</w:t>
      </w:r>
    </w:p>
    <w:p w14:paraId="3C18CC1E" w14:textId="77777777" w:rsidR="00C24E45" w:rsidRPr="0010051F" w:rsidRDefault="00C24E45" w:rsidP="00C24E45">
      <w:pPr>
        <w:spacing w:after="0" w:line="240" w:lineRule="auto"/>
        <w:rPr>
          <w:rFonts w:cstheme="minorHAnsi"/>
        </w:rPr>
      </w:pPr>
      <w:r w:rsidRPr="0010051F">
        <w:rPr>
          <w:rFonts w:cstheme="minorHAnsi"/>
        </w:rPr>
        <w:t>Il pousse extrêmement rapidement, jusqu'à 3 m par an.</w:t>
      </w:r>
    </w:p>
    <w:p w14:paraId="1E5B6B73" w14:textId="77777777" w:rsidR="00C24E45" w:rsidRDefault="00C24E45" w:rsidP="00C24E45">
      <w:pPr>
        <w:spacing w:after="0" w:line="240" w:lineRule="auto"/>
      </w:pPr>
    </w:p>
    <w:p w14:paraId="3435D85F" w14:textId="77777777" w:rsidR="00C24E45" w:rsidRDefault="00C24E45" w:rsidP="00C24E45">
      <w:pPr>
        <w:spacing w:after="0" w:line="240" w:lineRule="auto"/>
      </w:pPr>
      <w:r w:rsidRPr="00EC7937">
        <w:rPr>
          <w:u w:val="single"/>
        </w:rPr>
        <w:t>Localisation / Ecologie</w:t>
      </w:r>
      <w:r>
        <w:t xml:space="preserve"> : </w:t>
      </w:r>
      <w:r w:rsidRPr="009B6168">
        <w:t xml:space="preserve">Il est présent dans l'écorégion des fourrés épineux de Madagascar, en particulier sur les falaises calcaires à l'est du lac Tsimanampetsotsa, sur le plateau de Mahafaly. </w:t>
      </w:r>
    </w:p>
    <w:p w14:paraId="10BA73D4" w14:textId="77777777" w:rsidR="00C24E45" w:rsidRDefault="00C24E45" w:rsidP="00C24E45">
      <w:pPr>
        <w:spacing w:after="0" w:line="240" w:lineRule="auto"/>
        <w:jc w:val="both"/>
      </w:pPr>
      <w:r w:rsidRPr="009B6168">
        <w:t>L'espèce est souvent plantée dans les villages locaux et autour des tombes traditionnelles.</w:t>
      </w:r>
    </w:p>
    <w:p w14:paraId="5BFA5226" w14:textId="77777777" w:rsidR="00C24E45" w:rsidRDefault="00C24E45" w:rsidP="00C24E45">
      <w:pPr>
        <w:spacing w:after="0" w:line="240" w:lineRule="auto"/>
        <w:jc w:val="both"/>
      </w:pPr>
      <w:r w:rsidRPr="00EC7937">
        <w:t xml:space="preserve">L’ONG Humada a reboisé 30 hectares en </w:t>
      </w:r>
      <w:r w:rsidRPr="001A66F6">
        <w:rPr>
          <w:i/>
          <w:iCs/>
        </w:rPr>
        <w:t>Moringa drouardii</w:t>
      </w:r>
      <w:r w:rsidRPr="00EC7937">
        <w:t>, près de Tuléar.</w:t>
      </w:r>
    </w:p>
    <w:p w14:paraId="2D2E563F" w14:textId="77777777" w:rsidR="00C24E45" w:rsidRDefault="00C24E45" w:rsidP="00C24E45">
      <w:pPr>
        <w:spacing w:after="0" w:line="240" w:lineRule="auto"/>
        <w:jc w:val="both"/>
      </w:pPr>
      <w:r w:rsidRPr="008538AE">
        <w:rPr>
          <w:u w:val="single"/>
        </w:rPr>
        <w:t>Usage</w:t>
      </w:r>
      <w:r>
        <w:t xml:space="preserve"> : </w:t>
      </w:r>
      <w:r w:rsidRPr="00717B6A">
        <w:rPr>
          <w:i/>
          <w:iCs/>
        </w:rPr>
        <w:t>Moringa drouardii</w:t>
      </w:r>
      <w:r w:rsidRPr="008538AE">
        <w:t xml:space="preserve"> produit une huile siccative. </w:t>
      </w:r>
      <w:r w:rsidRPr="00717B6A">
        <w:t>Il possède des usages médicinaux. Ses feuilles (brèdes) sont utilisée</w:t>
      </w:r>
      <w:r>
        <w:t>s</w:t>
      </w:r>
      <w:r w:rsidRPr="00717B6A">
        <w:t xml:space="preserve"> dans la cuisine malgache. </w:t>
      </w:r>
      <w:r w:rsidRPr="008538AE">
        <w:t>Ses fleurs</w:t>
      </w:r>
      <w:r>
        <w:t>,</w:t>
      </w:r>
      <w:r w:rsidRPr="008538AE">
        <w:t xml:space="preserve"> en beignets, et ses jeunes fruits sont comestibles (source Lucile Allorge</w:t>
      </w:r>
      <w:r>
        <w:t>, botaniste du Muséum d’Histoire Naturelle de Paris</w:t>
      </w:r>
      <w:r w:rsidRPr="008538AE">
        <w:t>).</w:t>
      </w:r>
    </w:p>
    <w:p w14:paraId="65AF6B94" w14:textId="77777777" w:rsidR="00C24E45" w:rsidRDefault="00C24E45" w:rsidP="00C24E45">
      <w:pPr>
        <w:spacing w:after="0" w:line="240" w:lineRule="auto"/>
        <w:jc w:val="both"/>
      </w:pPr>
      <w:r w:rsidRPr="00404C40">
        <w:rPr>
          <w:u w:val="single"/>
        </w:rPr>
        <w:t>Toxicité</w:t>
      </w:r>
      <w:r>
        <w:t> : « </w:t>
      </w:r>
      <w:r w:rsidRPr="00404C40">
        <w:t xml:space="preserve">Dans </w:t>
      </w:r>
      <w:r w:rsidRPr="00F54E18">
        <w:rPr>
          <w:i/>
          <w:iCs/>
        </w:rPr>
        <w:t>Moringa drouhardii</w:t>
      </w:r>
      <w:r w:rsidRPr="00404C40">
        <w:t xml:space="preserve"> seule l’écorce de la racine est toxique (chose fréquente comme chez les Apocynacées, où des alcaloïdes très toxiques permettent à l’arbre d’empêcher la croissance des autres plantes, via une </w:t>
      </w:r>
      <w:r>
        <w:t>« </w:t>
      </w:r>
      <w:r w:rsidRPr="00404C40">
        <w:t>guerre chimique</w:t>
      </w:r>
      <w:r>
        <w:t> »</w:t>
      </w:r>
      <w:r w:rsidRPr="00404C40">
        <w:t>)</w:t>
      </w:r>
      <w:r>
        <w:t> » (source Lucile Allorge)</w:t>
      </w:r>
      <w:r w:rsidRPr="00404C40">
        <w:t>.</w:t>
      </w:r>
    </w:p>
    <w:p w14:paraId="15BEEB8E" w14:textId="77777777" w:rsidR="00C24E45" w:rsidRPr="0010051F" w:rsidRDefault="00C24E45" w:rsidP="00C24E45">
      <w:pPr>
        <w:spacing w:after="0" w:line="240" w:lineRule="auto"/>
        <w:jc w:val="both"/>
        <w:rPr>
          <w:lang w:val="en-GB"/>
        </w:rPr>
      </w:pPr>
      <w:r w:rsidRPr="00404C40">
        <w:rPr>
          <w:lang w:val="en-GB"/>
        </w:rPr>
        <w:t xml:space="preserve">Sources : </w:t>
      </w:r>
      <w:r w:rsidRPr="0010051F">
        <w:rPr>
          <w:lang w:val="en-GB"/>
        </w:rPr>
        <w:t xml:space="preserve">a) </w:t>
      </w:r>
      <w:hyperlink r:id="rId973" w:history="1">
        <w:r w:rsidRPr="0010051F">
          <w:rPr>
            <w:rStyle w:val="Lienhypertexte"/>
            <w:lang w:val="en-GB"/>
          </w:rPr>
          <w:t>https://fr.wikipedia.org/wiki/Moringa_drouhardii</w:t>
        </w:r>
      </w:hyperlink>
      <w:r w:rsidRPr="0010051F">
        <w:rPr>
          <w:lang w:val="en-GB"/>
        </w:rPr>
        <w:t xml:space="preserve"> &amp; </w:t>
      </w:r>
      <w:hyperlink r:id="rId974" w:history="1">
        <w:r w:rsidRPr="0010051F">
          <w:rPr>
            <w:rStyle w:val="Lienhypertexte"/>
            <w:lang w:val="en-GB"/>
          </w:rPr>
          <w:t>https://en.wikipedia.org/wiki/Moringa_drouhardii</w:t>
        </w:r>
      </w:hyperlink>
    </w:p>
    <w:p w14:paraId="585F5172" w14:textId="77777777" w:rsidR="00C24E45" w:rsidRPr="00E83B5A" w:rsidRDefault="00C24E45" w:rsidP="00C24E45">
      <w:pPr>
        <w:pStyle w:val="Textebrut"/>
        <w:rPr>
          <w:rFonts w:asciiTheme="minorHAnsi" w:hAnsiTheme="minorHAnsi" w:cstheme="minorHAnsi"/>
          <w:color w:val="202122"/>
          <w:szCs w:val="22"/>
        </w:rPr>
      </w:pPr>
      <w:r w:rsidRPr="0010051F">
        <w:rPr>
          <w:lang w:val="en-GB"/>
        </w:rPr>
        <w:t xml:space="preserve">c) </w:t>
      </w:r>
      <w:r w:rsidRPr="00E83B5A">
        <w:rPr>
          <w:rFonts w:asciiTheme="minorHAnsi" w:hAnsiTheme="minorHAnsi" w:cstheme="minorHAnsi"/>
          <w:color w:val="202122"/>
          <w:szCs w:val="22"/>
          <w:lang w:val="en-GB"/>
        </w:rPr>
        <w:t> </w:t>
      </w:r>
      <w:hyperlink r:id="rId975" w:history="1">
        <w:r w:rsidRPr="00E83B5A">
          <w:rPr>
            <w:rStyle w:val="Lienhypertexte"/>
            <w:rFonts w:asciiTheme="minorHAnsi" w:hAnsiTheme="minorHAnsi" w:cstheme="minorHAnsi"/>
            <w:i/>
            <w:iCs/>
            <w:color w:val="3366BB"/>
            <w:szCs w:val="22"/>
            <w:lang w:val="en-GB"/>
          </w:rPr>
          <w:t>"Madagascar spiny thickets"</w:t>
        </w:r>
      </w:hyperlink>
      <w:r w:rsidRPr="00E83B5A">
        <w:rPr>
          <w:rStyle w:val="CitationHTML"/>
          <w:rFonts w:asciiTheme="minorHAnsi" w:hAnsiTheme="minorHAnsi" w:cstheme="minorHAnsi"/>
          <w:color w:val="202122"/>
          <w:szCs w:val="22"/>
          <w:lang w:val="en-GB"/>
        </w:rPr>
        <w:t xml:space="preserve">. Terrestrial Ecoregions. </w:t>
      </w:r>
      <w:r w:rsidRPr="00E83B5A">
        <w:rPr>
          <w:rStyle w:val="CitationHTML"/>
          <w:rFonts w:asciiTheme="minorHAnsi" w:hAnsiTheme="minorHAnsi" w:cstheme="minorHAnsi"/>
          <w:color w:val="202122"/>
          <w:szCs w:val="22"/>
        </w:rPr>
        <w:t>World Wildlife Fund.</w:t>
      </w:r>
    </w:p>
    <w:p w14:paraId="5BC4585B" w14:textId="77777777" w:rsidR="00C24E45" w:rsidRDefault="00C24E45" w:rsidP="00C24E45">
      <w:pPr>
        <w:pStyle w:val="Textebrut"/>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11"/>
        <w:gridCol w:w="3548"/>
        <w:gridCol w:w="3467"/>
      </w:tblGrid>
      <w:tr w:rsidR="00C24E45" w14:paraId="321DF780" w14:textId="77777777" w:rsidTr="00F8111F">
        <w:tc>
          <w:tcPr>
            <w:tcW w:w="3472" w:type="dxa"/>
          </w:tcPr>
          <w:p w14:paraId="167E8203" w14:textId="77777777" w:rsidR="00C24E45" w:rsidRDefault="00C24E45" w:rsidP="00F8111F">
            <w:pPr>
              <w:pStyle w:val="NormalWeb"/>
              <w:spacing w:before="0" w:beforeAutospacing="0" w:after="0" w:afterAutospacing="0"/>
              <w:jc w:val="center"/>
              <w:rPr>
                <w:rFonts w:ascii="Calibri" w:hAnsi="Calibri" w:cs="Calibri"/>
                <w:color w:val="000000" w:themeColor="text1"/>
                <w:sz w:val="22"/>
                <w:szCs w:val="22"/>
              </w:rPr>
            </w:pPr>
            <w:r>
              <w:rPr>
                <w:noProof/>
              </w:rPr>
              <w:drawing>
                <wp:inline distT="0" distB="0" distL="0" distR="0" wp14:anchorId="744435CB" wp14:editId="77D0B423">
                  <wp:extent cx="1952625" cy="1478416"/>
                  <wp:effectExtent l="0" t="0" r="0" b="7620"/>
                  <wp:docPr id="47125" name="Image 47125" descr="Une image contenant texte,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25" name="Image 47125" descr="Une image contenant texte, plante&#10;&#10;Description générée automatiquement"/>
                          <pic:cNvPicPr>
                            <a:picLocks noChangeAspect="1" noChangeArrowheads="1"/>
                          </pic:cNvPicPr>
                        </pic:nvPicPr>
                        <pic:blipFill>
                          <a:blip r:embed="rId976">
                            <a:extLst>
                              <a:ext uri="{28A0092B-C50C-407E-A947-70E740481C1C}">
                                <a14:useLocalDpi xmlns:a14="http://schemas.microsoft.com/office/drawing/2010/main" val="0"/>
                              </a:ext>
                            </a:extLst>
                          </a:blip>
                          <a:srcRect/>
                          <a:stretch>
                            <a:fillRect/>
                          </a:stretch>
                        </pic:blipFill>
                        <pic:spPr bwMode="auto">
                          <a:xfrm>
                            <a:off x="0" y="0"/>
                            <a:ext cx="1963973" cy="1487008"/>
                          </a:xfrm>
                          <a:prstGeom prst="rect">
                            <a:avLst/>
                          </a:prstGeom>
                          <a:noFill/>
                          <a:ln>
                            <a:noFill/>
                          </a:ln>
                        </pic:spPr>
                      </pic:pic>
                    </a:graphicData>
                  </a:graphic>
                </wp:inline>
              </w:drawing>
            </w:r>
          </w:p>
          <w:p w14:paraId="0E4E7699" w14:textId="77777777" w:rsidR="00C24E45" w:rsidRDefault="00C24E45" w:rsidP="00F8111F">
            <w:pPr>
              <w:pStyle w:val="NormalWeb"/>
              <w:spacing w:before="0" w:beforeAutospacing="0" w:after="0" w:afterAutospacing="0"/>
              <w:jc w:val="center"/>
              <w:rPr>
                <w:rFonts w:ascii="Calibri" w:hAnsi="Calibri" w:cs="Calibri"/>
                <w:color w:val="000000" w:themeColor="text1"/>
                <w:sz w:val="22"/>
                <w:szCs w:val="22"/>
              </w:rPr>
            </w:pPr>
            <w:r>
              <w:rPr>
                <w:rFonts w:ascii="Calibri" w:hAnsi="Calibri" w:cs="Calibri"/>
                <w:color w:val="000000" w:themeColor="text1"/>
                <w:sz w:val="22"/>
                <w:szCs w:val="22"/>
              </w:rPr>
              <w:t xml:space="preserve">© </w:t>
            </w:r>
            <w:r w:rsidRPr="00A53A4B">
              <w:rPr>
                <w:rFonts w:ascii="Calibri" w:hAnsi="Calibri" w:cs="Calibri"/>
                <w:color w:val="000000" w:themeColor="text1"/>
                <w:sz w:val="22"/>
                <w:szCs w:val="22"/>
              </w:rPr>
              <w:t>Asit K. Ghosh</w:t>
            </w:r>
          </w:p>
        </w:tc>
        <w:tc>
          <w:tcPr>
            <w:tcW w:w="3472" w:type="dxa"/>
          </w:tcPr>
          <w:p w14:paraId="73288653" w14:textId="77777777" w:rsidR="00C24E45" w:rsidRDefault="00C24E45" w:rsidP="00F8111F">
            <w:pPr>
              <w:pStyle w:val="NormalWeb"/>
              <w:spacing w:before="0" w:beforeAutospacing="0" w:after="0" w:afterAutospacing="0"/>
              <w:jc w:val="center"/>
              <w:rPr>
                <w:rFonts w:ascii="Calibri" w:hAnsi="Calibri" w:cs="Calibri"/>
                <w:color w:val="000000" w:themeColor="text1"/>
                <w:sz w:val="22"/>
                <w:szCs w:val="22"/>
              </w:rPr>
            </w:pPr>
            <w:r>
              <w:rPr>
                <w:noProof/>
              </w:rPr>
              <w:drawing>
                <wp:inline distT="0" distB="0" distL="0" distR="0" wp14:anchorId="1C9BAB9C" wp14:editId="1B13541E">
                  <wp:extent cx="2115820" cy="1586865"/>
                  <wp:effectExtent l="0" t="0" r="0" b="0"/>
                  <wp:docPr id="47126" name="Image 47126" descr="Une image contenant texte,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26" name="Image 47126" descr="Une image contenant texte, plante&#10;&#10;Description générée automatiquement"/>
                          <pic:cNvPicPr>
                            <a:picLocks noChangeAspect="1" noChangeArrowheads="1"/>
                          </pic:cNvPicPr>
                        </pic:nvPicPr>
                        <pic:blipFill>
                          <a:blip r:embed="rId977" cstate="print">
                            <a:extLst>
                              <a:ext uri="{28A0092B-C50C-407E-A947-70E740481C1C}">
                                <a14:useLocalDpi xmlns:a14="http://schemas.microsoft.com/office/drawing/2010/main" val="0"/>
                              </a:ext>
                            </a:extLst>
                          </a:blip>
                          <a:srcRect/>
                          <a:stretch>
                            <a:fillRect/>
                          </a:stretch>
                        </pic:blipFill>
                        <pic:spPr bwMode="auto">
                          <a:xfrm>
                            <a:off x="0" y="0"/>
                            <a:ext cx="2115820" cy="1586865"/>
                          </a:xfrm>
                          <a:prstGeom prst="rect">
                            <a:avLst/>
                          </a:prstGeom>
                          <a:noFill/>
                          <a:ln>
                            <a:noFill/>
                          </a:ln>
                        </pic:spPr>
                      </pic:pic>
                    </a:graphicData>
                  </a:graphic>
                </wp:inline>
              </w:drawing>
            </w:r>
          </w:p>
          <w:p w14:paraId="74B60793" w14:textId="77777777" w:rsidR="00C24E45" w:rsidRDefault="00C24E45" w:rsidP="00F8111F">
            <w:pPr>
              <w:pStyle w:val="NormalWeb"/>
              <w:spacing w:before="0" w:beforeAutospacing="0" w:after="0" w:afterAutospacing="0"/>
              <w:jc w:val="center"/>
              <w:rPr>
                <w:rFonts w:ascii="Calibri" w:hAnsi="Calibri" w:cs="Calibri"/>
                <w:color w:val="000000" w:themeColor="text1"/>
                <w:sz w:val="22"/>
                <w:szCs w:val="22"/>
              </w:rPr>
            </w:pPr>
            <w:r>
              <w:rPr>
                <w:rFonts w:ascii="Calibri" w:hAnsi="Calibri" w:cs="Calibri"/>
                <w:color w:val="000000" w:themeColor="text1"/>
                <w:sz w:val="22"/>
                <w:szCs w:val="22"/>
              </w:rPr>
              <w:t xml:space="preserve">© </w:t>
            </w:r>
            <w:r w:rsidRPr="00A53A4B">
              <w:rPr>
                <w:rFonts w:ascii="Calibri" w:hAnsi="Calibri" w:cs="Calibri"/>
                <w:color w:val="000000" w:themeColor="text1"/>
                <w:sz w:val="22"/>
                <w:szCs w:val="22"/>
              </w:rPr>
              <w:t>Asit K. Ghosh</w:t>
            </w:r>
          </w:p>
        </w:tc>
        <w:tc>
          <w:tcPr>
            <w:tcW w:w="3472" w:type="dxa"/>
          </w:tcPr>
          <w:p w14:paraId="064D8220" w14:textId="77777777" w:rsidR="00C24E45" w:rsidRDefault="00C24E45" w:rsidP="00F8111F">
            <w:pPr>
              <w:pStyle w:val="NormalWeb"/>
              <w:spacing w:before="0" w:beforeAutospacing="0" w:after="0" w:afterAutospacing="0"/>
              <w:jc w:val="center"/>
              <w:rPr>
                <w:rFonts w:ascii="Calibri" w:hAnsi="Calibri" w:cs="Calibri"/>
                <w:color w:val="000000" w:themeColor="text1"/>
                <w:sz w:val="22"/>
                <w:szCs w:val="22"/>
              </w:rPr>
            </w:pPr>
            <w:r>
              <w:rPr>
                <w:noProof/>
              </w:rPr>
              <w:drawing>
                <wp:inline distT="0" distB="0" distL="0" distR="0" wp14:anchorId="4F8ED193" wp14:editId="350AC39A">
                  <wp:extent cx="2053482" cy="1540510"/>
                  <wp:effectExtent l="0" t="0" r="4445" b="2540"/>
                  <wp:docPr id="47127" name="Image 47127" descr="Une image contenant arbre, plante, extérieur, feuil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27" name="Image 47127" descr="Une image contenant arbre, plante, extérieur, feuille&#10;&#10;Description générée automatiquement"/>
                          <pic:cNvPicPr>
                            <a:picLocks noChangeAspect="1" noChangeArrowheads="1"/>
                          </pic:cNvPicPr>
                        </pic:nvPicPr>
                        <pic:blipFill>
                          <a:blip r:embed="rId978" cstate="print">
                            <a:extLst>
                              <a:ext uri="{28A0092B-C50C-407E-A947-70E740481C1C}">
                                <a14:useLocalDpi xmlns:a14="http://schemas.microsoft.com/office/drawing/2010/main" val="0"/>
                              </a:ext>
                            </a:extLst>
                          </a:blip>
                          <a:srcRect/>
                          <a:stretch>
                            <a:fillRect/>
                          </a:stretch>
                        </pic:blipFill>
                        <pic:spPr bwMode="auto">
                          <a:xfrm>
                            <a:off x="0" y="0"/>
                            <a:ext cx="2070064" cy="1552950"/>
                          </a:xfrm>
                          <a:prstGeom prst="rect">
                            <a:avLst/>
                          </a:prstGeom>
                          <a:noFill/>
                          <a:ln>
                            <a:noFill/>
                          </a:ln>
                        </pic:spPr>
                      </pic:pic>
                    </a:graphicData>
                  </a:graphic>
                </wp:inline>
              </w:drawing>
            </w:r>
          </w:p>
          <w:p w14:paraId="6685B281" w14:textId="77777777" w:rsidR="00C24E45" w:rsidRDefault="00C24E45" w:rsidP="00F8111F">
            <w:pPr>
              <w:pStyle w:val="NormalWeb"/>
              <w:spacing w:before="0" w:beforeAutospacing="0" w:after="0" w:afterAutospacing="0"/>
              <w:jc w:val="center"/>
              <w:rPr>
                <w:rFonts w:ascii="Calibri" w:hAnsi="Calibri" w:cs="Calibri"/>
                <w:color w:val="000000" w:themeColor="text1"/>
                <w:sz w:val="22"/>
                <w:szCs w:val="22"/>
              </w:rPr>
            </w:pPr>
            <w:r>
              <w:rPr>
                <w:rFonts w:ascii="Calibri" w:hAnsi="Calibri" w:cs="Calibri"/>
                <w:color w:val="000000" w:themeColor="text1"/>
                <w:sz w:val="22"/>
                <w:szCs w:val="22"/>
              </w:rPr>
              <w:t xml:space="preserve">© </w:t>
            </w:r>
            <w:r w:rsidRPr="00A53A4B">
              <w:rPr>
                <w:rFonts w:ascii="Calibri" w:hAnsi="Calibri" w:cs="Calibri"/>
                <w:color w:val="000000" w:themeColor="text1"/>
                <w:sz w:val="22"/>
                <w:szCs w:val="22"/>
              </w:rPr>
              <w:t>Asit K. Ghosh</w:t>
            </w:r>
          </w:p>
        </w:tc>
      </w:tr>
      <w:tr w:rsidR="00C24E45" w14:paraId="4DFFE520" w14:textId="77777777" w:rsidTr="00F8111F">
        <w:tc>
          <w:tcPr>
            <w:tcW w:w="3472" w:type="dxa"/>
          </w:tcPr>
          <w:p w14:paraId="42ACADE9" w14:textId="77777777" w:rsidR="00C24E45" w:rsidRDefault="00C24E45" w:rsidP="00F8111F">
            <w:pPr>
              <w:pStyle w:val="NormalWeb"/>
              <w:spacing w:before="0" w:beforeAutospacing="0" w:after="0" w:afterAutospacing="0"/>
              <w:jc w:val="center"/>
              <w:rPr>
                <w:rFonts w:ascii="Calibri" w:hAnsi="Calibri" w:cs="Calibri"/>
                <w:color w:val="000000" w:themeColor="text1"/>
                <w:sz w:val="22"/>
                <w:szCs w:val="22"/>
              </w:rPr>
            </w:pPr>
            <w:r>
              <w:rPr>
                <w:noProof/>
              </w:rPr>
              <w:drawing>
                <wp:inline distT="0" distB="0" distL="0" distR="0" wp14:anchorId="78FEC48E" wp14:editId="60C78514">
                  <wp:extent cx="1857375" cy="1393391"/>
                  <wp:effectExtent l="0" t="0" r="0" b="0"/>
                  <wp:docPr id="47128" name="Image 47128" descr="Une image contenant arbre, extérieur, ciel,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28" name="Image 47128" descr="Une image contenant arbre, extérieur, ciel, plante&#10;&#10;Description générée automatiquement"/>
                          <pic:cNvPicPr>
                            <a:picLocks noChangeAspect="1" noChangeArrowheads="1"/>
                          </pic:cNvPicPr>
                        </pic:nvPicPr>
                        <pic:blipFill>
                          <a:blip r:embed="rId979" cstate="print">
                            <a:extLst>
                              <a:ext uri="{28A0092B-C50C-407E-A947-70E740481C1C}">
                                <a14:useLocalDpi xmlns:a14="http://schemas.microsoft.com/office/drawing/2010/main" val="0"/>
                              </a:ext>
                            </a:extLst>
                          </a:blip>
                          <a:srcRect/>
                          <a:stretch>
                            <a:fillRect/>
                          </a:stretch>
                        </pic:blipFill>
                        <pic:spPr bwMode="auto">
                          <a:xfrm>
                            <a:off x="0" y="0"/>
                            <a:ext cx="1876016" cy="1407375"/>
                          </a:xfrm>
                          <a:prstGeom prst="rect">
                            <a:avLst/>
                          </a:prstGeom>
                          <a:noFill/>
                          <a:ln>
                            <a:noFill/>
                          </a:ln>
                        </pic:spPr>
                      </pic:pic>
                    </a:graphicData>
                  </a:graphic>
                </wp:inline>
              </w:drawing>
            </w:r>
          </w:p>
          <w:p w14:paraId="75989743" w14:textId="77777777" w:rsidR="00C24E45" w:rsidRDefault="00C24E45" w:rsidP="00F8111F">
            <w:pPr>
              <w:pStyle w:val="NormalWeb"/>
              <w:spacing w:before="0" w:beforeAutospacing="0" w:after="0" w:afterAutospacing="0"/>
              <w:jc w:val="center"/>
              <w:rPr>
                <w:rFonts w:ascii="Calibri" w:hAnsi="Calibri" w:cs="Calibri"/>
                <w:color w:val="000000" w:themeColor="text1"/>
                <w:sz w:val="22"/>
                <w:szCs w:val="22"/>
              </w:rPr>
            </w:pPr>
            <w:r>
              <w:rPr>
                <w:rFonts w:ascii="Calibri" w:hAnsi="Calibri" w:cs="Calibri"/>
                <w:color w:val="000000" w:themeColor="text1"/>
                <w:sz w:val="22"/>
                <w:szCs w:val="22"/>
              </w:rPr>
              <w:t xml:space="preserve">© </w:t>
            </w:r>
            <w:r w:rsidRPr="00A53A4B">
              <w:rPr>
                <w:rFonts w:ascii="Calibri" w:hAnsi="Calibri" w:cs="Calibri"/>
                <w:color w:val="000000" w:themeColor="text1"/>
                <w:sz w:val="22"/>
                <w:szCs w:val="22"/>
              </w:rPr>
              <w:t>Asit K. Ghosh</w:t>
            </w:r>
          </w:p>
        </w:tc>
        <w:tc>
          <w:tcPr>
            <w:tcW w:w="3472" w:type="dxa"/>
          </w:tcPr>
          <w:p w14:paraId="79EFDA73" w14:textId="77777777" w:rsidR="00C24E45" w:rsidRDefault="00C24E45" w:rsidP="00F8111F">
            <w:pPr>
              <w:pStyle w:val="NormalWeb"/>
              <w:spacing w:before="0" w:beforeAutospacing="0" w:after="0" w:afterAutospacing="0"/>
              <w:jc w:val="center"/>
              <w:rPr>
                <w:rFonts w:ascii="Calibri" w:hAnsi="Calibri" w:cs="Calibri"/>
                <w:color w:val="000000" w:themeColor="text1"/>
                <w:sz w:val="22"/>
                <w:szCs w:val="22"/>
              </w:rPr>
            </w:pPr>
            <w:r>
              <w:rPr>
                <w:noProof/>
              </w:rPr>
              <w:drawing>
                <wp:inline distT="0" distB="0" distL="0" distR="0" wp14:anchorId="61493617" wp14:editId="50AD0ACA">
                  <wp:extent cx="2080895" cy="1561075"/>
                  <wp:effectExtent l="0" t="0" r="0" b="1270"/>
                  <wp:docPr id="47129" name="Image 47129" descr="Une image contenant arbre, extérieur, plante, jo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29" name="Image 47129" descr="Une image contenant arbre, extérieur, plante, jour&#10;&#10;Description générée automatiquement"/>
                          <pic:cNvPicPr>
                            <a:picLocks noChangeAspect="1" noChangeArrowheads="1"/>
                          </pic:cNvPicPr>
                        </pic:nvPicPr>
                        <pic:blipFill>
                          <a:blip r:embed="rId980" cstate="print">
                            <a:extLst>
                              <a:ext uri="{28A0092B-C50C-407E-A947-70E740481C1C}">
                                <a14:useLocalDpi xmlns:a14="http://schemas.microsoft.com/office/drawing/2010/main" val="0"/>
                              </a:ext>
                            </a:extLst>
                          </a:blip>
                          <a:srcRect/>
                          <a:stretch>
                            <a:fillRect/>
                          </a:stretch>
                        </pic:blipFill>
                        <pic:spPr bwMode="auto">
                          <a:xfrm>
                            <a:off x="0" y="0"/>
                            <a:ext cx="2093126" cy="1570250"/>
                          </a:xfrm>
                          <a:prstGeom prst="rect">
                            <a:avLst/>
                          </a:prstGeom>
                          <a:noFill/>
                          <a:ln>
                            <a:noFill/>
                          </a:ln>
                        </pic:spPr>
                      </pic:pic>
                    </a:graphicData>
                  </a:graphic>
                </wp:inline>
              </w:drawing>
            </w:r>
          </w:p>
          <w:p w14:paraId="019C6A63" w14:textId="77777777" w:rsidR="00C24E45" w:rsidRDefault="00C24E45" w:rsidP="00F8111F">
            <w:pPr>
              <w:pStyle w:val="NormalWeb"/>
              <w:spacing w:before="0" w:beforeAutospacing="0" w:after="0" w:afterAutospacing="0"/>
              <w:jc w:val="center"/>
              <w:rPr>
                <w:rFonts w:ascii="Calibri" w:hAnsi="Calibri" w:cs="Calibri"/>
                <w:color w:val="000000" w:themeColor="text1"/>
                <w:sz w:val="22"/>
                <w:szCs w:val="22"/>
              </w:rPr>
            </w:pPr>
            <w:r>
              <w:rPr>
                <w:rFonts w:ascii="Calibri" w:hAnsi="Calibri" w:cs="Calibri"/>
                <w:color w:val="000000" w:themeColor="text1"/>
                <w:sz w:val="22"/>
                <w:szCs w:val="22"/>
              </w:rPr>
              <w:t xml:space="preserve">© </w:t>
            </w:r>
            <w:r w:rsidRPr="00A53A4B">
              <w:rPr>
                <w:rFonts w:ascii="Calibri" w:hAnsi="Calibri" w:cs="Calibri"/>
                <w:color w:val="000000" w:themeColor="text1"/>
                <w:sz w:val="22"/>
                <w:szCs w:val="22"/>
              </w:rPr>
              <w:t>Asit K. Ghosh</w:t>
            </w:r>
          </w:p>
        </w:tc>
        <w:tc>
          <w:tcPr>
            <w:tcW w:w="3472" w:type="dxa"/>
          </w:tcPr>
          <w:p w14:paraId="68AA0E23" w14:textId="77777777" w:rsidR="00C24E45" w:rsidRDefault="00C24E45" w:rsidP="00F8111F">
            <w:pPr>
              <w:pStyle w:val="NormalWeb"/>
              <w:spacing w:before="0" w:beforeAutospacing="0" w:after="0" w:afterAutospacing="0"/>
              <w:jc w:val="center"/>
              <w:rPr>
                <w:rFonts w:ascii="Calibri" w:hAnsi="Calibri" w:cs="Calibri"/>
                <w:color w:val="000000" w:themeColor="text1"/>
                <w:sz w:val="22"/>
                <w:szCs w:val="22"/>
              </w:rPr>
            </w:pPr>
            <w:r>
              <w:rPr>
                <w:noProof/>
              </w:rPr>
              <w:drawing>
                <wp:inline distT="0" distB="0" distL="0" distR="0" wp14:anchorId="1983B995" wp14:editId="6D734691">
                  <wp:extent cx="2014220" cy="1510665"/>
                  <wp:effectExtent l="0" t="0" r="5080" b="0"/>
                  <wp:docPr id="47130" name="Image 47130" descr="Une image contenant arbre, ciel, extérieur,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30" name="Image 47130" descr="Une image contenant arbre, ciel, extérieur, plante&#10;&#10;Description générée automatiquement"/>
                          <pic:cNvPicPr>
                            <a:picLocks noChangeAspect="1" noChangeArrowheads="1"/>
                          </pic:cNvPicPr>
                        </pic:nvPicPr>
                        <pic:blipFill>
                          <a:blip r:embed="rId981" cstate="print">
                            <a:extLst>
                              <a:ext uri="{28A0092B-C50C-407E-A947-70E740481C1C}">
                                <a14:useLocalDpi xmlns:a14="http://schemas.microsoft.com/office/drawing/2010/main" val="0"/>
                              </a:ext>
                            </a:extLst>
                          </a:blip>
                          <a:srcRect/>
                          <a:stretch>
                            <a:fillRect/>
                          </a:stretch>
                        </pic:blipFill>
                        <pic:spPr bwMode="auto">
                          <a:xfrm>
                            <a:off x="0" y="0"/>
                            <a:ext cx="2014739" cy="1511054"/>
                          </a:xfrm>
                          <a:prstGeom prst="rect">
                            <a:avLst/>
                          </a:prstGeom>
                          <a:noFill/>
                          <a:ln>
                            <a:noFill/>
                          </a:ln>
                        </pic:spPr>
                      </pic:pic>
                    </a:graphicData>
                  </a:graphic>
                </wp:inline>
              </w:drawing>
            </w:r>
          </w:p>
          <w:p w14:paraId="5EED3B11" w14:textId="77777777" w:rsidR="00C24E45" w:rsidRDefault="00C24E45" w:rsidP="00F8111F">
            <w:pPr>
              <w:pStyle w:val="NormalWeb"/>
              <w:spacing w:before="0" w:beforeAutospacing="0" w:after="0" w:afterAutospacing="0"/>
              <w:jc w:val="center"/>
              <w:rPr>
                <w:rFonts w:ascii="Calibri" w:hAnsi="Calibri" w:cs="Calibri"/>
                <w:color w:val="000000" w:themeColor="text1"/>
                <w:sz w:val="22"/>
                <w:szCs w:val="22"/>
              </w:rPr>
            </w:pPr>
            <w:r>
              <w:rPr>
                <w:rFonts w:ascii="Calibri" w:hAnsi="Calibri" w:cs="Calibri"/>
                <w:color w:val="000000" w:themeColor="text1"/>
                <w:sz w:val="22"/>
                <w:szCs w:val="22"/>
              </w:rPr>
              <w:t xml:space="preserve">© </w:t>
            </w:r>
            <w:r w:rsidRPr="00A53A4B">
              <w:rPr>
                <w:rFonts w:ascii="Calibri" w:hAnsi="Calibri" w:cs="Calibri"/>
                <w:color w:val="000000" w:themeColor="text1"/>
                <w:sz w:val="22"/>
                <w:szCs w:val="22"/>
              </w:rPr>
              <w:t>Asit K. Ghosh</w:t>
            </w:r>
          </w:p>
        </w:tc>
      </w:tr>
      <w:tr w:rsidR="00C24E45" w14:paraId="58141A79" w14:textId="77777777" w:rsidTr="00F8111F">
        <w:tc>
          <w:tcPr>
            <w:tcW w:w="3472" w:type="dxa"/>
          </w:tcPr>
          <w:p w14:paraId="6D05D051" w14:textId="77777777" w:rsidR="00C24E45" w:rsidRDefault="00C24E45" w:rsidP="00F8111F">
            <w:pPr>
              <w:pStyle w:val="NormalWeb"/>
              <w:spacing w:before="0" w:beforeAutospacing="0" w:after="0" w:afterAutospacing="0"/>
              <w:jc w:val="center"/>
              <w:rPr>
                <w:rFonts w:ascii="Calibri" w:hAnsi="Calibri" w:cs="Calibri"/>
                <w:color w:val="000000" w:themeColor="text1"/>
                <w:sz w:val="22"/>
                <w:szCs w:val="22"/>
              </w:rPr>
            </w:pPr>
            <w:r>
              <w:rPr>
                <w:noProof/>
              </w:rPr>
              <w:drawing>
                <wp:inline distT="0" distB="0" distL="0" distR="0" wp14:anchorId="7A6726C7" wp14:editId="6247951B">
                  <wp:extent cx="1728561" cy="981075"/>
                  <wp:effectExtent l="0" t="0" r="5080" b="0"/>
                  <wp:docPr id="47131" name="Image 47131" descr="Une image contenant fruit, raviolis chinoi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31" name="Image 47131" descr="Une image contenant fruit, raviolis chinois&#10;&#10;Description générée automatiquement"/>
                          <pic:cNvPicPr>
                            <a:picLocks noChangeAspect="1" noChangeArrowheads="1"/>
                          </pic:cNvPicPr>
                        </pic:nvPicPr>
                        <pic:blipFill>
                          <a:blip r:embed="rId982">
                            <a:extLst>
                              <a:ext uri="{28A0092B-C50C-407E-A947-70E740481C1C}">
                                <a14:useLocalDpi xmlns:a14="http://schemas.microsoft.com/office/drawing/2010/main" val="0"/>
                              </a:ext>
                            </a:extLst>
                          </a:blip>
                          <a:srcRect/>
                          <a:stretch>
                            <a:fillRect/>
                          </a:stretch>
                        </pic:blipFill>
                        <pic:spPr bwMode="auto">
                          <a:xfrm>
                            <a:off x="0" y="0"/>
                            <a:ext cx="1731559" cy="982777"/>
                          </a:xfrm>
                          <a:prstGeom prst="rect">
                            <a:avLst/>
                          </a:prstGeom>
                          <a:noFill/>
                          <a:ln>
                            <a:noFill/>
                          </a:ln>
                        </pic:spPr>
                      </pic:pic>
                    </a:graphicData>
                  </a:graphic>
                </wp:inline>
              </w:drawing>
            </w:r>
          </w:p>
          <w:p w14:paraId="1315AF83" w14:textId="77777777" w:rsidR="00C24E45" w:rsidRDefault="00C24E45" w:rsidP="00F8111F">
            <w:pPr>
              <w:pStyle w:val="NormalWeb"/>
              <w:spacing w:before="0" w:beforeAutospacing="0" w:after="0" w:afterAutospacing="0"/>
              <w:jc w:val="center"/>
              <w:rPr>
                <w:rFonts w:ascii="Calibri" w:hAnsi="Calibri" w:cs="Calibri"/>
                <w:color w:val="000000" w:themeColor="text1"/>
                <w:sz w:val="22"/>
                <w:szCs w:val="22"/>
              </w:rPr>
            </w:pPr>
            <w:r w:rsidRPr="00A53A4B">
              <w:rPr>
                <w:rFonts w:ascii="Calibri" w:hAnsi="Calibri" w:cs="Calibri"/>
                <w:color w:val="000000" w:themeColor="text1"/>
                <w:sz w:val="22"/>
                <w:szCs w:val="22"/>
              </w:rPr>
              <w:t xml:space="preserve">Graines </w:t>
            </w:r>
            <w:r w:rsidRPr="00A53A4B">
              <w:rPr>
                <w:rFonts w:ascii="Calibri" w:hAnsi="Calibri" w:cs="Calibri"/>
                <w:i/>
                <w:iCs/>
                <w:color w:val="000000" w:themeColor="text1"/>
                <w:sz w:val="22"/>
                <w:szCs w:val="22"/>
              </w:rPr>
              <w:t>de M. drouhardii</w:t>
            </w:r>
            <w:r w:rsidRPr="00A53A4B">
              <w:rPr>
                <w:rFonts w:ascii="Calibri" w:hAnsi="Calibri" w:cs="Calibri"/>
                <w:color w:val="000000" w:themeColor="text1"/>
                <w:sz w:val="22"/>
                <w:szCs w:val="22"/>
              </w:rPr>
              <w:t xml:space="preserve"> avec coques externes fissurées</w:t>
            </w:r>
          </w:p>
          <w:p w14:paraId="41FAE046" w14:textId="77777777" w:rsidR="00C24E45" w:rsidRDefault="00C24E45" w:rsidP="00F8111F">
            <w:pPr>
              <w:pStyle w:val="NormalWeb"/>
              <w:spacing w:before="0" w:beforeAutospacing="0" w:after="0" w:afterAutospacing="0"/>
              <w:jc w:val="center"/>
              <w:rPr>
                <w:rFonts w:ascii="Calibri" w:hAnsi="Calibri" w:cs="Calibri"/>
                <w:color w:val="000000" w:themeColor="text1"/>
                <w:sz w:val="22"/>
                <w:szCs w:val="22"/>
              </w:rPr>
            </w:pPr>
            <w:r>
              <w:rPr>
                <w:rFonts w:ascii="Calibri" w:hAnsi="Calibri" w:cs="Calibri"/>
                <w:color w:val="000000" w:themeColor="text1"/>
                <w:sz w:val="22"/>
                <w:szCs w:val="22"/>
              </w:rPr>
              <w:t xml:space="preserve">© </w:t>
            </w:r>
            <w:r w:rsidRPr="00A53A4B">
              <w:rPr>
                <w:rFonts w:ascii="Calibri" w:hAnsi="Calibri" w:cs="Calibri"/>
                <w:color w:val="000000" w:themeColor="text1"/>
                <w:sz w:val="22"/>
                <w:szCs w:val="22"/>
              </w:rPr>
              <w:t>Asit K. Ghosh</w:t>
            </w:r>
          </w:p>
        </w:tc>
        <w:tc>
          <w:tcPr>
            <w:tcW w:w="3472" w:type="dxa"/>
          </w:tcPr>
          <w:p w14:paraId="507AB34C" w14:textId="77777777" w:rsidR="00C24E45" w:rsidRDefault="00C24E45" w:rsidP="00F8111F">
            <w:pPr>
              <w:pStyle w:val="NormalWeb"/>
              <w:spacing w:before="0" w:beforeAutospacing="0" w:after="0" w:afterAutospacing="0"/>
              <w:jc w:val="center"/>
              <w:rPr>
                <w:rFonts w:ascii="Calibri" w:hAnsi="Calibri" w:cs="Calibri"/>
                <w:color w:val="000000" w:themeColor="text1"/>
                <w:sz w:val="22"/>
                <w:szCs w:val="22"/>
              </w:rPr>
            </w:pPr>
            <w:r>
              <w:rPr>
                <w:noProof/>
              </w:rPr>
              <w:drawing>
                <wp:inline distT="0" distB="0" distL="0" distR="0" wp14:anchorId="6F300D8A" wp14:editId="21845415">
                  <wp:extent cx="1728561" cy="981075"/>
                  <wp:effectExtent l="0" t="0" r="5080" b="0"/>
                  <wp:docPr id="47132" name="Image 47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83">
                            <a:extLst>
                              <a:ext uri="{28A0092B-C50C-407E-A947-70E740481C1C}">
                                <a14:useLocalDpi xmlns:a14="http://schemas.microsoft.com/office/drawing/2010/main" val="0"/>
                              </a:ext>
                            </a:extLst>
                          </a:blip>
                          <a:srcRect/>
                          <a:stretch>
                            <a:fillRect/>
                          </a:stretch>
                        </pic:blipFill>
                        <pic:spPr bwMode="auto">
                          <a:xfrm>
                            <a:off x="0" y="0"/>
                            <a:ext cx="1735940" cy="985263"/>
                          </a:xfrm>
                          <a:prstGeom prst="rect">
                            <a:avLst/>
                          </a:prstGeom>
                          <a:noFill/>
                          <a:ln>
                            <a:noFill/>
                          </a:ln>
                        </pic:spPr>
                      </pic:pic>
                    </a:graphicData>
                  </a:graphic>
                </wp:inline>
              </w:drawing>
            </w:r>
          </w:p>
          <w:p w14:paraId="0E3D4A99" w14:textId="77777777" w:rsidR="00C24E45" w:rsidRDefault="00C24E45" w:rsidP="00F8111F">
            <w:pPr>
              <w:pStyle w:val="NormalWeb"/>
              <w:spacing w:before="0" w:beforeAutospacing="0" w:after="0" w:afterAutospacing="0"/>
              <w:jc w:val="center"/>
              <w:rPr>
                <w:rFonts w:ascii="Calibri" w:hAnsi="Calibri" w:cs="Calibri"/>
                <w:color w:val="000000" w:themeColor="text1"/>
                <w:sz w:val="22"/>
                <w:szCs w:val="22"/>
              </w:rPr>
            </w:pPr>
            <w:r w:rsidRPr="00A53A4B">
              <w:rPr>
                <w:rFonts w:ascii="Calibri" w:hAnsi="Calibri" w:cs="Calibri"/>
                <w:color w:val="000000" w:themeColor="text1"/>
                <w:sz w:val="22"/>
                <w:szCs w:val="22"/>
              </w:rPr>
              <w:t xml:space="preserve">Graines de </w:t>
            </w:r>
            <w:r w:rsidRPr="00A53A4B">
              <w:rPr>
                <w:rFonts w:ascii="Calibri" w:hAnsi="Calibri" w:cs="Calibri"/>
                <w:i/>
                <w:iCs/>
                <w:color w:val="000000" w:themeColor="text1"/>
                <w:sz w:val="22"/>
                <w:szCs w:val="22"/>
              </w:rPr>
              <w:t>M. drouhardii</w:t>
            </w:r>
            <w:r w:rsidRPr="00A53A4B">
              <w:rPr>
                <w:rFonts w:ascii="Calibri" w:hAnsi="Calibri" w:cs="Calibri"/>
                <w:color w:val="000000" w:themeColor="text1"/>
                <w:sz w:val="22"/>
                <w:szCs w:val="22"/>
              </w:rPr>
              <w:t xml:space="preserve"> : entières (à gauche) et sans coque (à droite)</w:t>
            </w:r>
          </w:p>
          <w:p w14:paraId="606376D8" w14:textId="77777777" w:rsidR="00C24E45" w:rsidRDefault="00C24E45" w:rsidP="00F8111F">
            <w:pPr>
              <w:pStyle w:val="NormalWeb"/>
              <w:spacing w:before="0" w:beforeAutospacing="0" w:after="0" w:afterAutospacing="0"/>
              <w:jc w:val="center"/>
              <w:rPr>
                <w:rFonts w:ascii="Calibri" w:hAnsi="Calibri" w:cs="Calibri"/>
                <w:color w:val="000000" w:themeColor="text1"/>
                <w:sz w:val="22"/>
                <w:szCs w:val="22"/>
              </w:rPr>
            </w:pPr>
            <w:r>
              <w:rPr>
                <w:rFonts w:ascii="Calibri" w:hAnsi="Calibri" w:cs="Calibri"/>
                <w:color w:val="000000" w:themeColor="text1"/>
                <w:sz w:val="22"/>
                <w:szCs w:val="22"/>
              </w:rPr>
              <w:t xml:space="preserve">© </w:t>
            </w:r>
            <w:r w:rsidRPr="00A53A4B">
              <w:rPr>
                <w:rFonts w:ascii="Calibri" w:hAnsi="Calibri" w:cs="Calibri"/>
                <w:color w:val="000000" w:themeColor="text1"/>
                <w:sz w:val="22"/>
                <w:szCs w:val="22"/>
              </w:rPr>
              <w:t>Asit K. Ghosh</w:t>
            </w:r>
          </w:p>
        </w:tc>
        <w:tc>
          <w:tcPr>
            <w:tcW w:w="3472" w:type="dxa"/>
          </w:tcPr>
          <w:p w14:paraId="62D31D33" w14:textId="77777777" w:rsidR="00C24E45" w:rsidRDefault="00C24E45" w:rsidP="00F8111F">
            <w:pPr>
              <w:pStyle w:val="NormalWeb"/>
              <w:spacing w:before="0" w:beforeAutospacing="0" w:after="0" w:afterAutospacing="0"/>
              <w:jc w:val="center"/>
              <w:rPr>
                <w:rFonts w:ascii="Calibri" w:hAnsi="Calibri" w:cs="Calibri"/>
                <w:color w:val="000000" w:themeColor="text1"/>
                <w:sz w:val="22"/>
                <w:szCs w:val="22"/>
              </w:rPr>
            </w:pPr>
          </w:p>
        </w:tc>
      </w:tr>
    </w:tbl>
    <w:p w14:paraId="511801F5" w14:textId="77777777" w:rsidR="00056612" w:rsidRDefault="00056612" w:rsidP="008225ED">
      <w:pPr>
        <w:spacing w:after="0" w:line="240" w:lineRule="auto"/>
      </w:pPr>
    </w:p>
    <w:p w14:paraId="5C419344" w14:textId="77777777" w:rsidR="001D00A0" w:rsidRDefault="001D00A0" w:rsidP="001D00A0">
      <w:pPr>
        <w:pStyle w:val="Titre2"/>
      </w:pPr>
      <w:bookmarkStart w:id="101" w:name="_Toc139181392"/>
      <w:r>
        <w:lastRenderedPageBreak/>
        <w:t xml:space="preserve">Plantain des Indes, </w:t>
      </w:r>
      <w:r w:rsidRPr="00957B66">
        <w:t>Ispaghul ou psyllium blond (</w:t>
      </w:r>
      <w:r w:rsidRPr="00957B66">
        <w:rPr>
          <w:i/>
          <w:iCs/>
        </w:rPr>
        <w:t>Plantago ovata</w:t>
      </w:r>
      <w:r w:rsidRPr="00957B66">
        <w:t xml:space="preserve">, famille des </w:t>
      </w:r>
      <w:r w:rsidRPr="00957B66">
        <w:rPr>
          <w:i/>
          <w:iCs/>
        </w:rPr>
        <w:t>Plantaginaceae</w:t>
      </w:r>
      <w:r w:rsidRPr="00957B66">
        <w:t>)</w:t>
      </w:r>
      <w:bookmarkEnd w:id="101"/>
    </w:p>
    <w:p w14:paraId="5ABB70A4" w14:textId="77777777" w:rsidR="001D00A0" w:rsidRDefault="001D00A0" w:rsidP="001D00A0">
      <w:pPr>
        <w:spacing w:after="0" w:line="240" w:lineRule="auto"/>
      </w:pPr>
    </w:p>
    <w:p w14:paraId="63DD34B8" w14:textId="77777777" w:rsidR="001D00A0" w:rsidRDefault="001D00A0" w:rsidP="001D00A0">
      <w:pPr>
        <w:spacing w:after="0" w:line="240" w:lineRule="auto"/>
        <w:jc w:val="both"/>
      </w:pPr>
      <w:r w:rsidRPr="0066759B">
        <w:rPr>
          <w:u w:val="single"/>
        </w:rPr>
        <w:t>Description</w:t>
      </w:r>
      <w:r>
        <w:t xml:space="preserve"> : Plante herbacée annuelle, à tige courte, à racine pivotante rigide. La tige est courte et couverte de poils doux.</w:t>
      </w:r>
    </w:p>
    <w:p w14:paraId="383C5B53" w14:textId="77777777" w:rsidR="001D00A0" w:rsidRDefault="001D00A0" w:rsidP="001D00A0">
      <w:pPr>
        <w:spacing w:after="0" w:line="240" w:lineRule="auto"/>
        <w:jc w:val="both"/>
      </w:pPr>
      <w:r>
        <w:t>Les feuilles, en rosette, étroitement linéaires, de 3 à 15 cm de long, de 1 à 6 mm de large, obtuses à aiguës, à 3 nervures, sont densément couvertes de poils laineux.</w:t>
      </w:r>
    </w:p>
    <w:p w14:paraId="7E8848E1" w14:textId="77777777" w:rsidR="001D00A0" w:rsidRDefault="001D00A0" w:rsidP="001D00A0">
      <w:pPr>
        <w:spacing w:after="0" w:line="240" w:lineRule="auto"/>
        <w:jc w:val="both"/>
      </w:pPr>
      <w:r>
        <w:t xml:space="preserve">Hampe florale de 1–9 cm de long, portant un épi cylindrique court, puis ovoïde à maturité, densément fleurie. La corolle blanche est lobée. </w:t>
      </w:r>
    </w:p>
    <w:p w14:paraId="4D60D5C0" w14:textId="77777777" w:rsidR="001D00A0" w:rsidRDefault="001D00A0" w:rsidP="001D00A0">
      <w:pPr>
        <w:spacing w:after="0" w:line="240" w:lineRule="auto"/>
        <w:jc w:val="both"/>
      </w:pPr>
      <w:r>
        <w:t>Le fruit est une capsule, à déhiscence transversale de 4-5 mm, s'ouvrant par le milieu et contenant deux graines.</w:t>
      </w:r>
    </w:p>
    <w:p w14:paraId="16F503E4" w14:textId="77777777" w:rsidR="001D00A0" w:rsidRDefault="001D00A0" w:rsidP="001D00A0">
      <w:pPr>
        <w:spacing w:after="0" w:line="240" w:lineRule="auto"/>
        <w:jc w:val="both"/>
      </w:pPr>
      <w:r>
        <w:t xml:space="preserve">La graine ovale, lisse, est brun jaunâtre à beige rosé. Sa face convexe possède une tache brun clair. </w:t>
      </w:r>
    </w:p>
    <w:p w14:paraId="50A2ECD6" w14:textId="77777777" w:rsidR="001D00A0" w:rsidRDefault="001D00A0" w:rsidP="001D00A0">
      <w:pPr>
        <w:spacing w:after="0" w:line="240" w:lineRule="auto"/>
        <w:jc w:val="both"/>
      </w:pPr>
      <w:r>
        <w:t>Floraison : La floraison a lieu en mai-juin.</w:t>
      </w:r>
    </w:p>
    <w:p w14:paraId="1564B1A0" w14:textId="77777777" w:rsidR="001D00A0" w:rsidRDefault="001D00A0" w:rsidP="001D00A0">
      <w:pPr>
        <w:spacing w:after="0" w:line="240" w:lineRule="auto"/>
        <w:jc w:val="both"/>
      </w:pPr>
      <w:r>
        <w:t>Fructification : La fructification a lieu en juin-juillet</w:t>
      </w:r>
    </w:p>
    <w:p w14:paraId="52FEFF78" w14:textId="77777777" w:rsidR="001D00A0" w:rsidRDefault="001D00A0" w:rsidP="001D00A0">
      <w:pPr>
        <w:spacing w:after="0" w:line="240" w:lineRule="auto"/>
        <w:jc w:val="both"/>
      </w:pPr>
    </w:p>
    <w:p w14:paraId="1B9B8F37" w14:textId="77777777" w:rsidR="001D00A0" w:rsidRDefault="001D00A0" w:rsidP="001D00A0">
      <w:pPr>
        <w:spacing w:after="0" w:line="240" w:lineRule="auto"/>
        <w:jc w:val="both"/>
      </w:pPr>
      <w:r w:rsidRPr="0066759B">
        <w:rPr>
          <w:u w:val="single"/>
        </w:rPr>
        <w:t>Zone géographique / Ecologie</w:t>
      </w:r>
      <w:r>
        <w:t xml:space="preserve"> : </w:t>
      </w:r>
      <w:r w:rsidRPr="00624963">
        <w:rPr>
          <w:i/>
          <w:iCs/>
        </w:rPr>
        <w:t>Plantago ovata</w:t>
      </w:r>
      <w:r>
        <w:t xml:space="preserve"> croît dans les régions désertiques de l'hémisphère nord. Il possède deux grandes aires de distribution :</w:t>
      </w:r>
    </w:p>
    <w:p w14:paraId="39D1E4AF" w14:textId="77777777" w:rsidR="001D00A0" w:rsidRDefault="001D00A0" w:rsidP="001D00A0">
      <w:pPr>
        <w:spacing w:after="0" w:line="240" w:lineRule="auto"/>
        <w:jc w:val="both"/>
      </w:pPr>
    </w:p>
    <w:p w14:paraId="443ECDCA" w14:textId="77777777" w:rsidR="001D00A0" w:rsidRDefault="001D00A0" w:rsidP="001D00A0">
      <w:pPr>
        <w:pStyle w:val="Paragraphedeliste"/>
        <w:numPr>
          <w:ilvl w:val="0"/>
          <w:numId w:val="130"/>
        </w:numPr>
        <w:spacing w:after="0" w:line="240" w:lineRule="auto"/>
        <w:jc w:val="both"/>
      </w:pPr>
      <w:r>
        <w:t>En Afrique du Nord et Eurasie , il est trouvé dans les régions sèches du sud du bassin méditerranéen (Afrique du Nord : îles Canaries, Maroc, Algérie, Libye, Égypte) et en Asie du Sud-Ouest (de l'Égypte à l'Inde de l'Ouest).</w:t>
      </w:r>
    </w:p>
    <w:p w14:paraId="38698B69" w14:textId="77777777" w:rsidR="001D00A0" w:rsidRDefault="001D00A0" w:rsidP="001D00A0">
      <w:pPr>
        <w:pStyle w:val="Paragraphedeliste"/>
        <w:numPr>
          <w:ilvl w:val="0"/>
          <w:numId w:val="130"/>
        </w:numPr>
        <w:spacing w:after="0" w:line="240" w:lineRule="auto"/>
        <w:jc w:val="both"/>
      </w:pPr>
      <w:r>
        <w:t>En Amérique, on le trouve dans les régions sèches du sud-ouest des États-Unis et le maquis côtier de Californie</w:t>
      </w:r>
    </w:p>
    <w:p w14:paraId="44160A7E" w14:textId="77777777" w:rsidR="001D00A0" w:rsidRDefault="001D00A0" w:rsidP="001D00A0">
      <w:pPr>
        <w:spacing w:after="0" w:line="240" w:lineRule="auto"/>
        <w:jc w:val="both"/>
      </w:pPr>
    </w:p>
    <w:p w14:paraId="1C9D6B54" w14:textId="77777777" w:rsidR="001D00A0" w:rsidRDefault="001D00A0" w:rsidP="001D00A0">
      <w:pPr>
        <w:spacing w:after="0" w:line="240" w:lineRule="auto"/>
        <w:jc w:val="both"/>
      </w:pPr>
      <w:r w:rsidRPr="0066759B">
        <w:rPr>
          <w:u w:val="single"/>
        </w:rPr>
        <w:t>Zone de culture</w:t>
      </w:r>
      <w:r>
        <w:t xml:space="preserve"> : </w:t>
      </w:r>
      <w:r w:rsidRPr="0037779F">
        <w:t>La production de graines d'ispaghul médicinales, se fait dans l'Inde, le Pakistan, l'Égypte et l'Afghanistan. L'Inde est le principal pays producteur d'ispaghul. Il y est cultivé dans les états du Gujarat, Punjab, Maharashtra et Rajasthan. Au Pakistan, sa culture se fait dans la province du Sindh.</w:t>
      </w:r>
    </w:p>
    <w:p w14:paraId="5E2B2A0A" w14:textId="77777777" w:rsidR="001D00A0" w:rsidRPr="00957B66" w:rsidRDefault="001D00A0" w:rsidP="001D00A0">
      <w:pPr>
        <w:spacing w:after="0" w:line="240" w:lineRule="auto"/>
        <w:jc w:val="both"/>
      </w:pPr>
      <w:r w:rsidRPr="0037779F">
        <w:rPr>
          <w:i/>
          <w:iCs/>
        </w:rPr>
        <w:t>Plantago ovata</w:t>
      </w:r>
      <w:r w:rsidRPr="0037779F">
        <w:t xml:space="preserve"> peut aussi s'acclimater aux régions tempérées. Il a été introduit en France où il n'est pas indigène. De même en Chine où il s'est naturalisé.</w:t>
      </w:r>
    </w:p>
    <w:p w14:paraId="38F8A823" w14:textId="77777777" w:rsidR="001D00A0" w:rsidRDefault="001D00A0" w:rsidP="001D00A0">
      <w:pPr>
        <w:spacing w:after="0" w:line="240" w:lineRule="auto"/>
        <w:jc w:val="both"/>
      </w:pPr>
    </w:p>
    <w:p w14:paraId="36570CC6" w14:textId="77777777" w:rsidR="001D00A0" w:rsidRDefault="001D00A0" w:rsidP="001D00A0">
      <w:pPr>
        <w:spacing w:after="0" w:line="240" w:lineRule="auto"/>
        <w:jc w:val="both"/>
      </w:pPr>
      <w:r w:rsidRPr="0066759B">
        <w:rPr>
          <w:u w:val="single"/>
        </w:rPr>
        <w:t>Composants</w:t>
      </w:r>
      <w:r w:rsidRPr="007C5C4F">
        <w:t xml:space="preserve"> : Le tégument de la graine d'ispaghul est particulièrement riche en fibres et en particulier en mucilages. Parmi les espèces de plantain, </w:t>
      </w:r>
      <w:r w:rsidRPr="0066759B">
        <w:rPr>
          <w:i/>
          <w:iCs/>
        </w:rPr>
        <w:t>Plantago ovata</w:t>
      </w:r>
      <w:r w:rsidRPr="007C5C4F">
        <w:t xml:space="preserve"> est le plus riche en mucilage15 ; il en contient de 25 à 30 % de la graine sèche alors que </w:t>
      </w:r>
      <w:r w:rsidRPr="0066759B">
        <w:rPr>
          <w:i/>
          <w:iCs/>
        </w:rPr>
        <w:t>Plantago afra</w:t>
      </w:r>
      <w:r w:rsidRPr="007C5C4F">
        <w:t xml:space="preserve"> en contient 10-12 %.</w:t>
      </w:r>
    </w:p>
    <w:p w14:paraId="4491DB66" w14:textId="77777777" w:rsidR="001D00A0" w:rsidRDefault="001D00A0" w:rsidP="001D00A0">
      <w:pPr>
        <w:spacing w:after="0" w:line="240" w:lineRule="auto"/>
        <w:jc w:val="both"/>
      </w:pPr>
    </w:p>
    <w:p w14:paraId="2A9ABF3C" w14:textId="77777777" w:rsidR="001D00A0" w:rsidRDefault="001D00A0" w:rsidP="001D00A0">
      <w:pPr>
        <w:spacing w:after="0" w:line="240" w:lineRule="auto"/>
        <w:jc w:val="both"/>
      </w:pPr>
      <w:r w:rsidRPr="0066759B">
        <w:rPr>
          <w:u w:val="single"/>
        </w:rPr>
        <w:t>Usage</w:t>
      </w:r>
      <w:r>
        <w:rPr>
          <w:u w:val="single"/>
        </w:rPr>
        <w:t>s</w:t>
      </w:r>
      <w:r>
        <w:t xml:space="preserve"> : </w:t>
      </w:r>
      <w:r w:rsidRPr="00957B66">
        <w:t>Cette plante est largement cultivée, pour sa graine et le tégument de sa graine, aux propriétés laxatives et émollientes.</w:t>
      </w:r>
      <w:r>
        <w:t xml:space="preserve"> </w:t>
      </w:r>
      <w:r w:rsidRPr="007C5C4F">
        <w:t>Le mucilage peut absorber un grand volume d'eau (jusqu'à 40 fois son poids) et former au niveau du côlon, un gel volumineux.</w:t>
      </w:r>
      <w:r>
        <w:t xml:space="preserve"> </w:t>
      </w:r>
      <w:r w:rsidRPr="007C5C4F">
        <w:t>C'est d'ailleurs le plus souvent le tégument seul qui est commercialisé.</w:t>
      </w:r>
    </w:p>
    <w:p w14:paraId="0DA718D9" w14:textId="77777777" w:rsidR="001D00A0" w:rsidRDefault="001D00A0" w:rsidP="001D00A0">
      <w:pPr>
        <w:spacing w:after="0" w:line="240" w:lineRule="auto"/>
        <w:jc w:val="both"/>
      </w:pPr>
      <w:r>
        <w:t>Les enveloppes de graines de psyllium sont indigestes.</w:t>
      </w:r>
    </w:p>
    <w:p w14:paraId="5E70EB36" w14:textId="77777777" w:rsidR="001D00A0" w:rsidRDefault="001D00A0" w:rsidP="001D00A0">
      <w:pPr>
        <w:spacing w:after="0" w:line="240" w:lineRule="auto"/>
        <w:jc w:val="both"/>
      </w:pPr>
    </w:p>
    <w:p w14:paraId="2CFC612B" w14:textId="77777777" w:rsidR="001D00A0" w:rsidRDefault="001D00A0" w:rsidP="001D00A0">
      <w:pPr>
        <w:spacing w:after="0" w:line="240" w:lineRule="auto"/>
        <w:jc w:val="both"/>
      </w:pPr>
      <w:r w:rsidRPr="0066759B">
        <w:rPr>
          <w:u w:val="single"/>
        </w:rPr>
        <w:t>Propriétés laxatives</w:t>
      </w:r>
      <w:r>
        <w:t xml:space="preserve"> : laxatif de lest, coupe faim, régulateur du transit intestinal.</w:t>
      </w:r>
    </w:p>
    <w:p w14:paraId="69286D55" w14:textId="77777777" w:rsidR="001D00A0" w:rsidRDefault="001D00A0" w:rsidP="001D00A0">
      <w:pPr>
        <w:spacing w:after="0" w:line="240" w:lineRule="auto"/>
        <w:jc w:val="both"/>
      </w:pPr>
      <w:r>
        <w:t>Comme tous les plantains, c'est un laxatif purement mécanique, ou laxatif de lest. Il n'est donc pas absorbé par les intestins. Ses mucilages peuvent retenir l'eau en excès pour redonner de la consistance à des selles liquides ou hydrater un bol fécal trop sec en cas de constipation. Ils favorisent les contractions musculaires du sphincter et l'élimination par défécation. Il permet de lutter efficacement contre la constipation.</w:t>
      </w:r>
    </w:p>
    <w:p w14:paraId="4EF7575B" w14:textId="77777777" w:rsidR="001D00A0" w:rsidRDefault="001D00A0" w:rsidP="001D00A0">
      <w:pPr>
        <w:spacing w:after="0" w:line="240" w:lineRule="auto"/>
        <w:jc w:val="both"/>
      </w:pPr>
      <w:r w:rsidRPr="0066759B">
        <w:rPr>
          <w:u w:val="single"/>
        </w:rPr>
        <w:t>Avantages</w:t>
      </w:r>
      <w:r>
        <w:t xml:space="preserve"> : </w:t>
      </w:r>
      <w:r w:rsidRPr="00365993">
        <w:t>Contrairement à d'autres laxatifs végétaux, comme le séné et la bourdaine, l'ispaghul ne provoque pas d'irritation de la muqueuse. On peut donc l'utiliser sur des périodes plus longues, et on ne connaît pas d'inconvénient à une prise permanente tout au long d'une vie.</w:t>
      </w:r>
    </w:p>
    <w:p w14:paraId="01DF131B" w14:textId="77777777" w:rsidR="001D00A0" w:rsidRDefault="001D00A0" w:rsidP="001D00A0">
      <w:pPr>
        <w:spacing w:after="0" w:line="240" w:lineRule="auto"/>
        <w:jc w:val="both"/>
      </w:pPr>
      <w:r w:rsidRPr="0066759B">
        <w:rPr>
          <w:u w:val="single"/>
        </w:rPr>
        <w:t>Usage coupe-faim</w:t>
      </w:r>
      <w:r>
        <w:t xml:space="preserve"> : </w:t>
      </w:r>
      <w:r w:rsidRPr="0066759B">
        <w:t>il forme dans l'estomac un gel mucilagineux qui donne une sensation de satiété naturelle ; il est donc avantageux comme coupe-faim.</w:t>
      </w:r>
    </w:p>
    <w:p w14:paraId="65ECAC80" w14:textId="77777777" w:rsidR="001D00A0" w:rsidRDefault="001D00A0" w:rsidP="001D00A0">
      <w:pPr>
        <w:spacing w:after="0" w:line="240" w:lineRule="auto"/>
        <w:jc w:val="both"/>
      </w:pPr>
      <w:r w:rsidRPr="0066759B">
        <w:rPr>
          <w:u w:val="single"/>
        </w:rPr>
        <w:t>Activité hypoglycémiante</w:t>
      </w:r>
      <w:r>
        <w:t xml:space="preserve"> : La capacité à atténuer l’élévation de la glycémie consécutive à la prise d’un repas (glycémie postprandiale) a été observée par plusieurs études.</w:t>
      </w:r>
    </w:p>
    <w:p w14:paraId="43A2A576" w14:textId="77777777" w:rsidR="001D00A0" w:rsidRDefault="001D00A0" w:rsidP="001D00A0">
      <w:pPr>
        <w:spacing w:after="0" w:line="240" w:lineRule="auto"/>
        <w:jc w:val="both"/>
      </w:pPr>
      <w:r w:rsidRPr="0066759B">
        <w:rPr>
          <w:u w:val="single"/>
        </w:rPr>
        <w:t>Activité hypocholestérolémiante</w:t>
      </w:r>
      <w:r>
        <w:t xml:space="preserve"> : Plusieurs études récentes ont montré l'efficacité de l'ispaghul pour réduire le taux de cholestérol ainsi que la glycémie.</w:t>
      </w:r>
    </w:p>
    <w:p w14:paraId="51B26D1E" w14:textId="77777777" w:rsidR="001D00A0" w:rsidRDefault="001D00A0" w:rsidP="001D00A0">
      <w:pPr>
        <w:spacing w:after="0" w:line="240" w:lineRule="auto"/>
      </w:pPr>
    </w:p>
    <w:p w14:paraId="4510FC27" w14:textId="77777777" w:rsidR="001D00A0" w:rsidRDefault="001D00A0" w:rsidP="001D00A0">
      <w:pPr>
        <w:pStyle w:val="Titre2"/>
      </w:pPr>
      <w:bookmarkStart w:id="102" w:name="_Toc139181393"/>
      <w:r>
        <w:t>Risques de confusions taxonomiques (sur le nom de l’espèce)</w:t>
      </w:r>
      <w:bookmarkEnd w:id="102"/>
    </w:p>
    <w:p w14:paraId="37A63F5B" w14:textId="77777777" w:rsidR="001D00A0" w:rsidRDefault="001D00A0" w:rsidP="001D00A0">
      <w:pPr>
        <w:spacing w:after="0" w:line="240" w:lineRule="auto"/>
      </w:pPr>
    </w:p>
    <w:p w14:paraId="7FD96211" w14:textId="77777777" w:rsidR="001D00A0" w:rsidRDefault="001D00A0" w:rsidP="001D00A0">
      <w:pPr>
        <w:spacing w:after="0" w:line="240" w:lineRule="auto"/>
        <w:jc w:val="both"/>
      </w:pPr>
      <w:r>
        <w:t xml:space="preserve">Conformément à l'étymologie donnée dans la première section, la pharmacopée française1 distingue nettement l’« </w:t>
      </w:r>
      <w:r w:rsidRPr="00957B66">
        <w:rPr>
          <w:i/>
          <w:iCs/>
        </w:rPr>
        <w:t>ispaghul</w:t>
      </w:r>
      <w:r>
        <w:t xml:space="preserve"> » (</w:t>
      </w:r>
      <w:r w:rsidRPr="00957B66">
        <w:rPr>
          <w:i/>
          <w:iCs/>
        </w:rPr>
        <w:t>Plantago ovata</w:t>
      </w:r>
      <w:r>
        <w:t xml:space="preserve"> Forssk.) du « </w:t>
      </w:r>
      <w:r w:rsidRPr="00957B66">
        <w:rPr>
          <w:i/>
          <w:iCs/>
        </w:rPr>
        <w:t>psyllium</w:t>
      </w:r>
      <w:r>
        <w:t xml:space="preserve"> » (</w:t>
      </w:r>
      <w:r w:rsidRPr="00957B66">
        <w:rPr>
          <w:i/>
          <w:iCs/>
        </w:rPr>
        <w:t>Plantago af</w:t>
      </w:r>
      <w:r>
        <w:t>ra L.).</w:t>
      </w:r>
    </w:p>
    <w:p w14:paraId="5194287A" w14:textId="77777777" w:rsidR="001D00A0" w:rsidRDefault="001D00A0" w:rsidP="001D00A0">
      <w:pPr>
        <w:spacing w:after="0" w:line="240" w:lineRule="auto"/>
        <w:jc w:val="both"/>
      </w:pPr>
    </w:p>
    <w:p w14:paraId="3BE1A55D" w14:textId="77777777" w:rsidR="001D00A0" w:rsidRDefault="001D00A0" w:rsidP="001D00A0">
      <w:pPr>
        <w:spacing w:after="0" w:line="240" w:lineRule="auto"/>
        <w:jc w:val="both"/>
      </w:pPr>
      <w:r>
        <w:t xml:space="preserve">Malheureusement, le terme psyllium est utilisé en anglais pour le </w:t>
      </w:r>
      <w:r w:rsidRPr="00957B66">
        <w:rPr>
          <w:i/>
          <w:iCs/>
        </w:rPr>
        <w:t>P. ovata</w:t>
      </w:r>
      <w:r>
        <w:t xml:space="preserve"> et cet usage tend à se répandre en français en raison de la libre circulation des marchandises et de l’usage de l’anglais comme langue du commerce international.</w:t>
      </w:r>
    </w:p>
    <w:p w14:paraId="5A91C0D8" w14:textId="77777777" w:rsidR="001D00A0" w:rsidRDefault="001D00A0" w:rsidP="001D00A0">
      <w:pPr>
        <w:spacing w:after="0" w:line="240" w:lineRule="auto"/>
        <w:jc w:val="both"/>
      </w:pPr>
    </w:p>
    <w:p w14:paraId="249FF311" w14:textId="77777777" w:rsidR="001D00A0" w:rsidRDefault="001D00A0" w:rsidP="001D00A0">
      <w:pPr>
        <w:spacing w:after="0" w:line="240" w:lineRule="auto"/>
        <w:jc w:val="both"/>
      </w:pPr>
      <w:r>
        <w:t>Pour lever toute ambiguïté, il est d’usage de distinguer :</w:t>
      </w:r>
    </w:p>
    <w:p w14:paraId="273C896D" w14:textId="77777777" w:rsidR="001D00A0" w:rsidRDefault="001D00A0" w:rsidP="001D00A0">
      <w:pPr>
        <w:spacing w:after="0" w:line="240" w:lineRule="auto"/>
        <w:jc w:val="both"/>
      </w:pPr>
    </w:p>
    <w:p w14:paraId="5870E18E" w14:textId="77777777" w:rsidR="001D00A0" w:rsidRDefault="001D00A0" w:rsidP="001D00A0">
      <w:pPr>
        <w:pStyle w:val="Paragraphedeliste"/>
        <w:numPr>
          <w:ilvl w:val="0"/>
          <w:numId w:val="131"/>
        </w:numPr>
        <w:spacing w:after="0" w:line="240" w:lineRule="auto"/>
        <w:jc w:val="both"/>
      </w:pPr>
      <w:r>
        <w:t xml:space="preserve">Le psyllium blond, le </w:t>
      </w:r>
      <w:r w:rsidRPr="0066759B">
        <w:rPr>
          <w:i/>
          <w:iCs/>
        </w:rPr>
        <w:t>Plantago ovata</w:t>
      </w:r>
      <w:r>
        <w:t xml:space="preserve"> (synonyme </w:t>
      </w:r>
      <w:r w:rsidRPr="0066759B">
        <w:rPr>
          <w:i/>
          <w:iCs/>
        </w:rPr>
        <w:t>P. ispaghul</w:t>
      </w:r>
      <w:r>
        <w:t xml:space="preserve">), ou </w:t>
      </w:r>
      <w:r w:rsidRPr="0066759B">
        <w:rPr>
          <w:i/>
          <w:iCs/>
        </w:rPr>
        <w:t>ispaghul</w:t>
      </w:r>
      <w:r>
        <w:t>, ou plantain des Indes, aux graines brunes, non décrit par Linné ;</w:t>
      </w:r>
    </w:p>
    <w:p w14:paraId="7D89DEF2" w14:textId="77777777" w:rsidR="001D00A0" w:rsidRDefault="001D00A0" w:rsidP="001D00A0">
      <w:pPr>
        <w:pStyle w:val="Paragraphedeliste"/>
        <w:numPr>
          <w:ilvl w:val="0"/>
          <w:numId w:val="131"/>
        </w:numPr>
        <w:spacing w:after="0" w:line="240" w:lineRule="auto"/>
        <w:jc w:val="both"/>
      </w:pPr>
      <w:r>
        <w:t xml:space="preserve">Le psyllium de Provence, </w:t>
      </w:r>
      <w:r w:rsidRPr="0066759B">
        <w:rPr>
          <w:i/>
          <w:iCs/>
        </w:rPr>
        <w:t>Plantago afra</w:t>
      </w:r>
      <w:r>
        <w:t xml:space="preserve"> L. (ancien synonyme P</w:t>
      </w:r>
      <w:r w:rsidRPr="0066759B">
        <w:rPr>
          <w:i/>
          <w:iCs/>
        </w:rPr>
        <w:t>. psyllium</w:t>
      </w:r>
      <w:r>
        <w:t xml:space="preserve">), plantain noir de Provence, aux graines allant du brun clair au brun-noir, décrit initialement par Linné sous plusieurs noms : </w:t>
      </w:r>
      <w:r w:rsidRPr="0066759B">
        <w:rPr>
          <w:i/>
          <w:iCs/>
        </w:rPr>
        <w:t>Plantago psyllium</w:t>
      </w:r>
      <w:r>
        <w:t xml:space="preserve"> et </w:t>
      </w:r>
      <w:r w:rsidRPr="0066759B">
        <w:rPr>
          <w:i/>
          <w:iCs/>
        </w:rPr>
        <w:t>Plantago cynops</w:t>
      </w:r>
      <w:r>
        <w:t xml:space="preserve">. Mais </w:t>
      </w:r>
      <w:r w:rsidRPr="0066759B">
        <w:rPr>
          <w:i/>
          <w:iCs/>
        </w:rPr>
        <w:t>P. psyllium</w:t>
      </w:r>
      <w:r>
        <w:t xml:space="preserve"> est maintenant rejeté, à la suite de la proposition Applequist, 2006.</w:t>
      </w:r>
    </w:p>
    <w:p w14:paraId="2D3AEC5E" w14:textId="77777777" w:rsidR="001D00A0" w:rsidRDefault="001D00A0" w:rsidP="001D00A0">
      <w:pPr>
        <w:spacing w:after="0" w:line="240" w:lineRule="auto"/>
        <w:jc w:val="both"/>
      </w:pPr>
    </w:p>
    <w:p w14:paraId="488A8EC4" w14:textId="77777777" w:rsidR="001D00A0" w:rsidRDefault="001D00A0" w:rsidP="001D00A0">
      <w:pPr>
        <w:spacing w:after="0" w:line="240" w:lineRule="auto"/>
        <w:jc w:val="both"/>
      </w:pPr>
      <w:r>
        <w:t xml:space="preserve">L’« </w:t>
      </w:r>
      <w:r w:rsidRPr="00957B66">
        <w:rPr>
          <w:i/>
          <w:iCs/>
        </w:rPr>
        <w:t>ispaghul</w:t>
      </w:r>
      <w:r>
        <w:t xml:space="preserve"> » de la pharmacopée française désigne la graine ou le tégument de la graine. C'est-à-dire qu'en français, le terme </w:t>
      </w:r>
      <w:r w:rsidRPr="00957B66">
        <w:rPr>
          <w:i/>
          <w:iCs/>
        </w:rPr>
        <w:t>ispaghul</w:t>
      </w:r>
      <w:r>
        <w:t>, a trois acceptions: il peut désigner suivant le contexte, la plante, la graine ou le tégument de la graine.</w:t>
      </w:r>
    </w:p>
    <w:p w14:paraId="0693CD06" w14:textId="77777777" w:rsidR="001D00A0" w:rsidRDefault="001D00A0" w:rsidP="001D00A0">
      <w:pPr>
        <w:spacing w:after="0" w:line="240" w:lineRule="auto"/>
        <w:jc w:val="both"/>
      </w:pPr>
    </w:p>
    <w:p w14:paraId="6F2D0E28" w14:textId="77777777" w:rsidR="001D00A0" w:rsidRDefault="001D00A0" w:rsidP="001D00A0">
      <w:pPr>
        <w:spacing w:after="0" w:line="240" w:lineRule="auto"/>
        <w:jc w:val="both"/>
      </w:pPr>
      <w:r>
        <w:t xml:space="preserve">Le terme « </w:t>
      </w:r>
      <w:r w:rsidRPr="00957B66">
        <w:rPr>
          <w:i/>
          <w:iCs/>
        </w:rPr>
        <w:t>psyllium</w:t>
      </w:r>
      <w:r>
        <w:t xml:space="preserve"> », à l'origine, concerne trois espèces distinctes : </w:t>
      </w:r>
      <w:r w:rsidRPr="00957B66">
        <w:rPr>
          <w:i/>
          <w:iCs/>
        </w:rPr>
        <w:t>Plantago afra, Plantago indica</w:t>
      </w:r>
      <w:r>
        <w:t xml:space="preserve"> (synonyme </w:t>
      </w:r>
      <w:r w:rsidRPr="00957B66">
        <w:rPr>
          <w:i/>
          <w:iCs/>
        </w:rPr>
        <w:t>Plantago arenaria</w:t>
      </w:r>
      <w:r>
        <w:t xml:space="preserve">) et </w:t>
      </w:r>
      <w:r w:rsidRPr="00957B66">
        <w:rPr>
          <w:i/>
          <w:iCs/>
        </w:rPr>
        <w:t>Plantago ovat</w:t>
      </w:r>
      <w:r>
        <w:t>a.</w:t>
      </w:r>
    </w:p>
    <w:p w14:paraId="2E851077" w14:textId="77777777" w:rsidR="001D00A0" w:rsidRDefault="001D00A0" w:rsidP="001D00A0">
      <w:pPr>
        <w:spacing w:after="0" w:line="240" w:lineRule="auto"/>
        <w:jc w:val="both"/>
      </w:pPr>
    </w:p>
    <w:p w14:paraId="41D5697E" w14:textId="77777777" w:rsidR="001D00A0" w:rsidRDefault="001D00A0" w:rsidP="001D00A0">
      <w:pPr>
        <w:spacing w:after="0" w:line="240" w:lineRule="auto"/>
        <w:jc w:val="both"/>
      </w:pPr>
      <w:r w:rsidRPr="007C5C4F">
        <w:t xml:space="preserve">On trouve de l'ispaghul pur (autrement dit du tégument de graines de </w:t>
      </w:r>
      <w:r w:rsidRPr="007C5C4F">
        <w:rPr>
          <w:i/>
          <w:iCs/>
        </w:rPr>
        <w:t>Plantago ovata</w:t>
      </w:r>
      <w:r w:rsidRPr="007C5C4F">
        <w:t xml:space="preserve"> Forssk.), souvent sous le nom de psyllium blond, dans les pharmacies et les magasins diététiques.</w:t>
      </w:r>
    </w:p>
    <w:p w14:paraId="333CCC75" w14:textId="77777777" w:rsidR="001D00A0" w:rsidRDefault="001D00A0" w:rsidP="001D00A0">
      <w:pPr>
        <w:spacing w:after="0" w:line="240" w:lineRule="auto"/>
        <w:jc w:val="both"/>
      </w:pPr>
    </w:p>
    <w:p w14:paraId="3E7C7B7F" w14:textId="77777777" w:rsidR="001D00A0" w:rsidRDefault="001D00A0" w:rsidP="001D00A0">
      <w:pPr>
        <w:spacing w:after="0" w:line="240" w:lineRule="auto"/>
        <w:jc w:val="both"/>
      </w:pPr>
      <w:r>
        <w:t xml:space="preserve">Source : a) </w:t>
      </w:r>
      <w:hyperlink r:id="rId984" w:history="1">
        <w:r w:rsidRPr="001A5E93">
          <w:rPr>
            <w:rStyle w:val="Lienhypertexte"/>
          </w:rPr>
          <w:t>https://fr.wikipedia.org/wiki/Plantago_ovata</w:t>
        </w:r>
      </w:hyperlink>
      <w:r>
        <w:t xml:space="preserve">, b) </w:t>
      </w:r>
      <w:hyperlink r:id="rId985" w:history="1">
        <w:r w:rsidRPr="001A5E93">
          <w:rPr>
            <w:rStyle w:val="Lienhypertexte"/>
          </w:rPr>
          <w:t>https://en.wikipedia.org/wiki/Plantago_ovata</w:t>
        </w:r>
      </w:hyperlink>
      <w:r>
        <w:t xml:space="preserve"> </w:t>
      </w:r>
    </w:p>
    <w:p w14:paraId="489A8C8E" w14:textId="77777777" w:rsidR="001D00A0" w:rsidRDefault="001D00A0" w:rsidP="001D00A0">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51"/>
        <w:gridCol w:w="5151"/>
      </w:tblGrid>
      <w:tr w:rsidR="001D00A0" w14:paraId="47D32CE7" w14:textId="77777777" w:rsidTr="001D00A0">
        <w:tc>
          <w:tcPr>
            <w:tcW w:w="5151" w:type="dxa"/>
          </w:tcPr>
          <w:p w14:paraId="6C0F001F" w14:textId="77777777" w:rsidR="001D00A0" w:rsidRDefault="001D00A0" w:rsidP="00E24F30">
            <w:pPr>
              <w:jc w:val="center"/>
            </w:pPr>
            <w:r>
              <w:rPr>
                <w:noProof/>
              </w:rPr>
              <w:drawing>
                <wp:inline distT="0" distB="0" distL="0" distR="0" wp14:anchorId="57408E3D" wp14:editId="629D980B">
                  <wp:extent cx="3048000" cy="2209800"/>
                  <wp:effectExtent l="0" t="0" r="0" b="0"/>
                  <wp:docPr id="695861310" name="Image 1" descr="Une image contenant plein air, sol, plante, herb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861310" name="Image 1" descr="Une image contenant plein air, sol, plante, herbe&#10;&#10;Description générée automatiquement"/>
                          <pic:cNvPicPr>
                            <a:picLocks noChangeAspect="1" noChangeArrowheads="1"/>
                          </pic:cNvPicPr>
                        </pic:nvPicPr>
                        <pic:blipFill>
                          <a:blip r:embed="rId986">
                            <a:extLst>
                              <a:ext uri="{28A0092B-C50C-407E-A947-70E740481C1C}">
                                <a14:useLocalDpi xmlns:a14="http://schemas.microsoft.com/office/drawing/2010/main" val="0"/>
                              </a:ext>
                            </a:extLst>
                          </a:blip>
                          <a:srcRect/>
                          <a:stretch>
                            <a:fillRect/>
                          </a:stretch>
                        </pic:blipFill>
                        <pic:spPr bwMode="auto">
                          <a:xfrm>
                            <a:off x="0" y="0"/>
                            <a:ext cx="3048000" cy="2209800"/>
                          </a:xfrm>
                          <a:prstGeom prst="rect">
                            <a:avLst/>
                          </a:prstGeom>
                          <a:noFill/>
                          <a:ln>
                            <a:noFill/>
                          </a:ln>
                        </pic:spPr>
                      </pic:pic>
                    </a:graphicData>
                  </a:graphic>
                </wp:inline>
              </w:drawing>
            </w:r>
          </w:p>
          <w:p w14:paraId="16848B9E" w14:textId="77777777" w:rsidR="001D00A0" w:rsidRDefault="001D00A0" w:rsidP="00E24F30">
            <w:pPr>
              <w:jc w:val="center"/>
            </w:pPr>
            <w:r>
              <w:t>En Californie.</w:t>
            </w:r>
          </w:p>
        </w:tc>
        <w:tc>
          <w:tcPr>
            <w:tcW w:w="5151" w:type="dxa"/>
          </w:tcPr>
          <w:p w14:paraId="75ECE4AB" w14:textId="77777777" w:rsidR="001D00A0" w:rsidRDefault="001D00A0" w:rsidP="00E24F30">
            <w:pPr>
              <w:jc w:val="center"/>
            </w:pPr>
            <w:r>
              <w:rPr>
                <w:noProof/>
              </w:rPr>
              <w:drawing>
                <wp:inline distT="0" distB="0" distL="0" distR="0" wp14:anchorId="52DECEB0" wp14:editId="48AC16F8">
                  <wp:extent cx="2095500" cy="2790825"/>
                  <wp:effectExtent l="0" t="0" r="0" b="9525"/>
                  <wp:docPr id="918306101" name="Image 4" descr="Une image contenant sol, plein air, plante, fl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306101" name="Image 4" descr="Une image contenant sol, plein air, plante, fleur&#10;&#10;Description générée automatiquement"/>
                          <pic:cNvPicPr>
                            <a:picLocks noChangeAspect="1" noChangeArrowheads="1"/>
                          </pic:cNvPicPr>
                        </pic:nvPicPr>
                        <pic:blipFill>
                          <a:blip r:embed="rId987">
                            <a:extLst>
                              <a:ext uri="{28A0092B-C50C-407E-A947-70E740481C1C}">
                                <a14:useLocalDpi xmlns:a14="http://schemas.microsoft.com/office/drawing/2010/main" val="0"/>
                              </a:ext>
                            </a:extLst>
                          </a:blip>
                          <a:srcRect/>
                          <a:stretch>
                            <a:fillRect/>
                          </a:stretch>
                        </pic:blipFill>
                        <pic:spPr bwMode="auto">
                          <a:xfrm>
                            <a:off x="0" y="0"/>
                            <a:ext cx="2095500" cy="2790825"/>
                          </a:xfrm>
                          <a:prstGeom prst="rect">
                            <a:avLst/>
                          </a:prstGeom>
                          <a:noFill/>
                          <a:ln>
                            <a:noFill/>
                          </a:ln>
                        </pic:spPr>
                      </pic:pic>
                    </a:graphicData>
                  </a:graphic>
                </wp:inline>
              </w:drawing>
            </w:r>
          </w:p>
          <w:p w14:paraId="1C0D5DC6" w14:textId="77777777" w:rsidR="001D00A0" w:rsidRDefault="001D00A0" w:rsidP="00E24F30">
            <w:pPr>
              <w:jc w:val="center"/>
            </w:pPr>
            <w:r w:rsidRPr="00AD0B40">
              <w:rPr>
                <w:i/>
                <w:iCs/>
              </w:rPr>
              <w:t>Plantago ovata</w:t>
            </w:r>
            <w:r w:rsidRPr="00AD0B40">
              <w:t>, feuilles densément couvertes de poils laineux (Lanzarote)</w:t>
            </w:r>
          </w:p>
        </w:tc>
      </w:tr>
      <w:tr w:rsidR="001D00A0" w14:paraId="442C6BAC" w14:textId="77777777" w:rsidTr="001D00A0">
        <w:tc>
          <w:tcPr>
            <w:tcW w:w="5151" w:type="dxa"/>
          </w:tcPr>
          <w:p w14:paraId="0B6E67B2" w14:textId="77777777" w:rsidR="001D00A0" w:rsidRDefault="001D00A0" w:rsidP="00E24F30">
            <w:pPr>
              <w:jc w:val="center"/>
            </w:pPr>
            <w:r>
              <w:rPr>
                <w:noProof/>
              </w:rPr>
              <w:lastRenderedPageBreak/>
              <w:drawing>
                <wp:inline distT="0" distB="0" distL="0" distR="0" wp14:anchorId="0CFA0A8E" wp14:editId="6F73909F">
                  <wp:extent cx="1510042" cy="2237607"/>
                  <wp:effectExtent l="0" t="0" r="0" b="0"/>
                  <wp:docPr id="652369967" name="Image 3" descr="Une image contenant plante, plein air, flore, Sous-arbriss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369967" name="Image 3" descr="Une image contenant plante, plein air, flore, Sous-arbrisseau&#10;&#10;Description générée automatiquement"/>
                          <pic:cNvPicPr>
                            <a:picLocks noChangeAspect="1" noChangeArrowheads="1"/>
                          </pic:cNvPicPr>
                        </pic:nvPicPr>
                        <pic:blipFill>
                          <a:blip r:embed="rId988">
                            <a:extLst>
                              <a:ext uri="{28A0092B-C50C-407E-A947-70E740481C1C}">
                                <a14:useLocalDpi xmlns:a14="http://schemas.microsoft.com/office/drawing/2010/main" val="0"/>
                              </a:ext>
                            </a:extLst>
                          </a:blip>
                          <a:srcRect/>
                          <a:stretch>
                            <a:fillRect/>
                          </a:stretch>
                        </pic:blipFill>
                        <pic:spPr bwMode="auto">
                          <a:xfrm>
                            <a:off x="0" y="0"/>
                            <a:ext cx="1513401" cy="2242584"/>
                          </a:xfrm>
                          <a:prstGeom prst="rect">
                            <a:avLst/>
                          </a:prstGeom>
                          <a:noFill/>
                          <a:ln>
                            <a:noFill/>
                          </a:ln>
                        </pic:spPr>
                      </pic:pic>
                    </a:graphicData>
                  </a:graphic>
                </wp:inline>
              </w:drawing>
            </w:r>
            <w:r>
              <w:t xml:space="preserve"> </w:t>
            </w:r>
            <w:r>
              <w:rPr>
                <w:noProof/>
              </w:rPr>
              <w:drawing>
                <wp:inline distT="0" distB="0" distL="0" distR="0" wp14:anchorId="3F8015F4" wp14:editId="2FD70496">
                  <wp:extent cx="1258570" cy="2237937"/>
                  <wp:effectExtent l="0" t="0" r="0" b="0"/>
                  <wp:docPr id="1065581380" name="Image 5" descr="Une image contenant plein air, plante, ciel, so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581380" name="Image 5" descr="Une image contenant plein air, plante, ciel, sol&#10;&#10;Description générée automatiquement"/>
                          <pic:cNvPicPr>
                            <a:picLocks noChangeAspect="1" noChangeArrowheads="1"/>
                          </pic:cNvPicPr>
                        </pic:nvPicPr>
                        <pic:blipFill>
                          <a:blip r:embed="rId989">
                            <a:extLst>
                              <a:ext uri="{28A0092B-C50C-407E-A947-70E740481C1C}">
                                <a14:useLocalDpi xmlns:a14="http://schemas.microsoft.com/office/drawing/2010/main" val="0"/>
                              </a:ext>
                            </a:extLst>
                          </a:blip>
                          <a:srcRect/>
                          <a:stretch>
                            <a:fillRect/>
                          </a:stretch>
                        </pic:blipFill>
                        <pic:spPr bwMode="auto">
                          <a:xfrm flipH="1">
                            <a:off x="0" y="0"/>
                            <a:ext cx="1269580" cy="2257515"/>
                          </a:xfrm>
                          <a:prstGeom prst="rect">
                            <a:avLst/>
                          </a:prstGeom>
                          <a:noFill/>
                          <a:ln>
                            <a:noFill/>
                          </a:ln>
                        </pic:spPr>
                      </pic:pic>
                    </a:graphicData>
                  </a:graphic>
                </wp:inline>
              </w:drawing>
            </w:r>
          </w:p>
          <w:p w14:paraId="3130D8CF" w14:textId="77777777" w:rsidR="001D00A0" w:rsidRDefault="001D00A0" w:rsidP="00E24F30">
            <w:pPr>
              <w:jc w:val="center"/>
            </w:pPr>
            <w:r w:rsidRPr="00AD0B40">
              <w:t xml:space="preserve">Feuilles en rosette basale du </w:t>
            </w:r>
            <w:r w:rsidRPr="00AD0B40">
              <w:rPr>
                <w:i/>
                <w:iCs/>
              </w:rPr>
              <w:t>Plantago ovata</w:t>
            </w:r>
            <w:r w:rsidRPr="00AD0B40">
              <w:t xml:space="preserve"> (USA)</w:t>
            </w:r>
          </w:p>
          <w:p w14:paraId="258CDFF9" w14:textId="77777777" w:rsidR="001D00A0" w:rsidRDefault="001D00A0" w:rsidP="00E24F30">
            <w:pPr>
              <w:jc w:val="center"/>
            </w:pPr>
          </w:p>
        </w:tc>
        <w:tc>
          <w:tcPr>
            <w:tcW w:w="5151" w:type="dxa"/>
          </w:tcPr>
          <w:p w14:paraId="287911CD" w14:textId="77777777" w:rsidR="001D00A0" w:rsidRDefault="001D00A0" w:rsidP="00E24F30">
            <w:pPr>
              <w:jc w:val="center"/>
            </w:pPr>
            <w:r>
              <w:rPr>
                <w:noProof/>
              </w:rPr>
              <w:drawing>
                <wp:inline distT="0" distB="0" distL="0" distR="0" wp14:anchorId="66D7CB40" wp14:editId="7F9D5181">
                  <wp:extent cx="1047750" cy="1571625"/>
                  <wp:effectExtent l="0" t="0" r="0" b="9525"/>
                  <wp:docPr id="57388422" name="Image 2" descr="Une image contenant texte, Empaquetage et étiquetage, Conserve, conten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88422" name="Image 2" descr="Une image contenant texte, Empaquetage et étiquetage, Conserve, conteneur&#10;&#10;Description générée automatiquement"/>
                          <pic:cNvPicPr>
                            <a:picLocks noChangeAspect="1" noChangeArrowheads="1"/>
                          </pic:cNvPicPr>
                        </pic:nvPicPr>
                        <pic:blipFill>
                          <a:blip r:embed="rId990">
                            <a:extLst>
                              <a:ext uri="{28A0092B-C50C-407E-A947-70E740481C1C}">
                                <a14:useLocalDpi xmlns:a14="http://schemas.microsoft.com/office/drawing/2010/main" val="0"/>
                              </a:ext>
                            </a:extLst>
                          </a:blip>
                          <a:srcRect/>
                          <a:stretch>
                            <a:fillRect/>
                          </a:stretch>
                        </pic:blipFill>
                        <pic:spPr bwMode="auto">
                          <a:xfrm>
                            <a:off x="0" y="0"/>
                            <a:ext cx="1047750" cy="1571625"/>
                          </a:xfrm>
                          <a:prstGeom prst="rect">
                            <a:avLst/>
                          </a:prstGeom>
                          <a:noFill/>
                          <a:ln>
                            <a:noFill/>
                          </a:ln>
                        </pic:spPr>
                      </pic:pic>
                    </a:graphicData>
                  </a:graphic>
                </wp:inline>
              </w:drawing>
            </w:r>
          </w:p>
          <w:p w14:paraId="47AC9DBE" w14:textId="77777777" w:rsidR="001D00A0" w:rsidRDefault="001D00A0" w:rsidP="00E24F30">
            <w:pPr>
              <w:jc w:val="center"/>
            </w:pPr>
            <w:r w:rsidRPr="00AD0B40">
              <w:t>Tégument d'ispaghul (hindi: sat isabgol, traduit malencontreusement en anglais par psyllium husk)</w:t>
            </w:r>
          </w:p>
        </w:tc>
      </w:tr>
      <w:tr w:rsidR="001D00A0" w14:paraId="476271DC" w14:textId="77777777" w:rsidTr="001D00A0">
        <w:tc>
          <w:tcPr>
            <w:tcW w:w="5151" w:type="dxa"/>
          </w:tcPr>
          <w:p w14:paraId="772B83AB" w14:textId="77777777" w:rsidR="001D00A0" w:rsidRDefault="001D00A0" w:rsidP="00E24F30">
            <w:pPr>
              <w:jc w:val="center"/>
            </w:pPr>
            <w:r>
              <w:rPr>
                <w:noProof/>
              </w:rPr>
              <w:drawing>
                <wp:inline distT="0" distB="0" distL="0" distR="0" wp14:anchorId="514CBA59" wp14:editId="0795C52C">
                  <wp:extent cx="1828800" cy="1028700"/>
                  <wp:effectExtent l="0" t="0" r="0" b="0"/>
                  <wp:docPr id="433920094" name="Image 6" descr="Une image contenant plein air, plante, Tige, Matériau natur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920094" name="Image 6" descr="Une image contenant plein air, plante, Tige, Matériau naturel&#10;&#10;Description générée automatiquement"/>
                          <pic:cNvPicPr>
                            <a:picLocks noChangeAspect="1" noChangeArrowheads="1"/>
                          </pic:cNvPicPr>
                        </pic:nvPicPr>
                        <pic:blipFill>
                          <a:blip r:embed="rId991">
                            <a:extLst>
                              <a:ext uri="{28A0092B-C50C-407E-A947-70E740481C1C}">
                                <a14:useLocalDpi xmlns:a14="http://schemas.microsoft.com/office/drawing/2010/main" val="0"/>
                              </a:ext>
                            </a:extLst>
                          </a:blip>
                          <a:srcRect/>
                          <a:stretch>
                            <a:fillRect/>
                          </a:stretch>
                        </pic:blipFill>
                        <pic:spPr bwMode="auto">
                          <a:xfrm>
                            <a:off x="0" y="0"/>
                            <a:ext cx="1828800" cy="1028700"/>
                          </a:xfrm>
                          <a:prstGeom prst="rect">
                            <a:avLst/>
                          </a:prstGeom>
                          <a:noFill/>
                          <a:ln>
                            <a:noFill/>
                          </a:ln>
                        </pic:spPr>
                      </pic:pic>
                    </a:graphicData>
                  </a:graphic>
                </wp:inline>
              </w:drawing>
            </w:r>
          </w:p>
          <w:p w14:paraId="5B671D52" w14:textId="77777777" w:rsidR="001D00A0" w:rsidRDefault="001D00A0" w:rsidP="00E24F30">
            <w:pPr>
              <w:jc w:val="center"/>
            </w:pPr>
            <w:r w:rsidRPr="00AD0B40">
              <w:t>Inflorescence</w:t>
            </w:r>
          </w:p>
        </w:tc>
        <w:tc>
          <w:tcPr>
            <w:tcW w:w="5151" w:type="dxa"/>
          </w:tcPr>
          <w:p w14:paraId="1DDCC9B4" w14:textId="77777777" w:rsidR="001D00A0" w:rsidRDefault="001D00A0" w:rsidP="00E24F30">
            <w:pPr>
              <w:jc w:val="center"/>
            </w:pPr>
            <w:r>
              <w:rPr>
                <w:noProof/>
              </w:rPr>
              <w:drawing>
                <wp:inline distT="0" distB="0" distL="0" distR="0" wp14:anchorId="17B9DE7C" wp14:editId="5099090C">
                  <wp:extent cx="1532553" cy="1028700"/>
                  <wp:effectExtent l="0" t="0" r="0" b="0"/>
                  <wp:docPr id="2108202322" name="Image 7" descr="Une image contenant Graines et oléagineux, graine, Céréales alimentaires, harico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202322" name="Image 7" descr="Une image contenant Graines et oléagineux, graine, Céréales alimentaires, haricot&#10;&#10;Description générée automatiquement"/>
                          <pic:cNvPicPr>
                            <a:picLocks noChangeAspect="1" noChangeArrowheads="1"/>
                          </pic:cNvPicPr>
                        </pic:nvPicPr>
                        <pic:blipFill>
                          <a:blip r:embed="rId992">
                            <a:extLst>
                              <a:ext uri="{28A0092B-C50C-407E-A947-70E740481C1C}">
                                <a14:useLocalDpi xmlns:a14="http://schemas.microsoft.com/office/drawing/2010/main" val="0"/>
                              </a:ext>
                            </a:extLst>
                          </a:blip>
                          <a:srcRect/>
                          <a:stretch>
                            <a:fillRect/>
                          </a:stretch>
                        </pic:blipFill>
                        <pic:spPr bwMode="auto">
                          <a:xfrm>
                            <a:off x="0" y="0"/>
                            <a:ext cx="1539558" cy="1033402"/>
                          </a:xfrm>
                          <a:prstGeom prst="rect">
                            <a:avLst/>
                          </a:prstGeom>
                          <a:noFill/>
                          <a:ln>
                            <a:noFill/>
                          </a:ln>
                        </pic:spPr>
                      </pic:pic>
                    </a:graphicData>
                  </a:graphic>
                </wp:inline>
              </w:drawing>
            </w:r>
          </w:p>
          <w:p w14:paraId="3A32BBFB" w14:textId="77777777" w:rsidR="001D00A0" w:rsidRDefault="001D00A0" w:rsidP="00E24F30">
            <w:pPr>
              <w:jc w:val="center"/>
            </w:pPr>
            <w:r>
              <w:t>Graines</w:t>
            </w:r>
          </w:p>
        </w:tc>
      </w:tr>
      <w:tr w:rsidR="001D00A0" w14:paraId="69BAEFE5" w14:textId="77777777" w:rsidTr="001D00A0">
        <w:tc>
          <w:tcPr>
            <w:tcW w:w="5151" w:type="dxa"/>
          </w:tcPr>
          <w:p w14:paraId="26B6F16B" w14:textId="77777777" w:rsidR="001D00A0" w:rsidRDefault="001D00A0" w:rsidP="00E24F30">
            <w:pPr>
              <w:jc w:val="center"/>
            </w:pPr>
            <w:r>
              <w:rPr>
                <w:noProof/>
              </w:rPr>
              <w:drawing>
                <wp:inline distT="0" distB="0" distL="0" distR="0" wp14:anchorId="19FCEE93" wp14:editId="17592F62">
                  <wp:extent cx="2052935" cy="1152525"/>
                  <wp:effectExtent l="0" t="0" r="5080" b="0"/>
                  <wp:docPr id="1048537221" name="Image 8" descr="Une image contenant nourritu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537221" name="Image 8" descr="Une image contenant nourriture&#10;&#10;Description générée automatiquement"/>
                          <pic:cNvPicPr>
                            <a:picLocks noChangeAspect="1" noChangeArrowheads="1"/>
                          </pic:cNvPicPr>
                        </pic:nvPicPr>
                        <pic:blipFill>
                          <a:blip r:embed="rId993">
                            <a:extLst>
                              <a:ext uri="{28A0092B-C50C-407E-A947-70E740481C1C}">
                                <a14:useLocalDpi xmlns:a14="http://schemas.microsoft.com/office/drawing/2010/main" val="0"/>
                              </a:ext>
                            </a:extLst>
                          </a:blip>
                          <a:srcRect/>
                          <a:stretch>
                            <a:fillRect/>
                          </a:stretch>
                        </pic:blipFill>
                        <pic:spPr bwMode="auto">
                          <a:xfrm>
                            <a:off x="0" y="0"/>
                            <a:ext cx="2057858" cy="1155289"/>
                          </a:xfrm>
                          <a:prstGeom prst="rect">
                            <a:avLst/>
                          </a:prstGeom>
                          <a:noFill/>
                          <a:ln>
                            <a:noFill/>
                          </a:ln>
                        </pic:spPr>
                      </pic:pic>
                    </a:graphicData>
                  </a:graphic>
                </wp:inline>
              </w:drawing>
            </w:r>
          </w:p>
          <w:p w14:paraId="5358704F" w14:textId="77777777" w:rsidR="001D00A0" w:rsidRDefault="001D00A0" w:rsidP="00E24F30">
            <w:pPr>
              <w:jc w:val="center"/>
            </w:pPr>
            <w:r w:rsidRPr="00AD0B40">
              <w:t>Téguments des graines vendus pour le transit intestinal.</w:t>
            </w:r>
          </w:p>
        </w:tc>
        <w:tc>
          <w:tcPr>
            <w:tcW w:w="5151" w:type="dxa"/>
          </w:tcPr>
          <w:p w14:paraId="02D969C2" w14:textId="77777777" w:rsidR="001D00A0" w:rsidRDefault="001D00A0" w:rsidP="00E24F30">
            <w:pPr>
              <w:jc w:val="center"/>
            </w:pPr>
            <w:r>
              <w:rPr>
                <w:noProof/>
              </w:rPr>
              <w:drawing>
                <wp:inline distT="0" distB="0" distL="0" distR="0" wp14:anchorId="537B7BFF" wp14:editId="4350C4B9">
                  <wp:extent cx="1711741" cy="962025"/>
                  <wp:effectExtent l="0" t="0" r="3175" b="0"/>
                  <wp:docPr id="930093229" name="Image 10" descr="Une image contenant ustensile de cuisine, Saladier, mélange, nourritu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093229" name="Image 10" descr="Une image contenant ustensile de cuisine, Saladier, mélange, nourriture&#10;&#10;Description générée automatiquement"/>
                          <pic:cNvPicPr>
                            <a:picLocks noChangeAspect="1" noChangeArrowheads="1"/>
                          </pic:cNvPicPr>
                        </pic:nvPicPr>
                        <pic:blipFill>
                          <a:blip r:embed="rId994">
                            <a:extLst>
                              <a:ext uri="{28A0092B-C50C-407E-A947-70E740481C1C}">
                                <a14:useLocalDpi xmlns:a14="http://schemas.microsoft.com/office/drawing/2010/main" val="0"/>
                              </a:ext>
                            </a:extLst>
                          </a:blip>
                          <a:srcRect/>
                          <a:stretch>
                            <a:fillRect/>
                          </a:stretch>
                        </pic:blipFill>
                        <pic:spPr bwMode="auto">
                          <a:xfrm>
                            <a:off x="0" y="0"/>
                            <a:ext cx="1713894" cy="963235"/>
                          </a:xfrm>
                          <a:prstGeom prst="rect">
                            <a:avLst/>
                          </a:prstGeom>
                          <a:noFill/>
                          <a:ln>
                            <a:noFill/>
                          </a:ln>
                        </pic:spPr>
                      </pic:pic>
                    </a:graphicData>
                  </a:graphic>
                </wp:inline>
              </w:drawing>
            </w:r>
            <w:r>
              <w:rPr>
                <w:noProof/>
              </w:rPr>
              <w:drawing>
                <wp:inline distT="0" distB="0" distL="0" distR="0" wp14:anchorId="0C97B3F1" wp14:editId="32DEEA03">
                  <wp:extent cx="1381125" cy="1381125"/>
                  <wp:effectExtent l="0" t="0" r="9525" b="9525"/>
                  <wp:docPr id="816890938" name="Image 9" descr="Une image contenant poudre, farine, Farine de blé, pâ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890938" name="Image 9" descr="Une image contenant poudre, farine, Farine de blé, pâte&#10;&#10;Description générée automatiquement"/>
                          <pic:cNvPicPr>
                            <a:picLocks noChangeAspect="1" noChangeArrowheads="1"/>
                          </pic:cNvPicPr>
                        </pic:nvPicPr>
                        <pic:blipFill>
                          <a:blip r:embed="rId995">
                            <a:extLst>
                              <a:ext uri="{28A0092B-C50C-407E-A947-70E740481C1C}">
                                <a14:useLocalDpi xmlns:a14="http://schemas.microsoft.com/office/drawing/2010/main" val="0"/>
                              </a:ext>
                            </a:extLst>
                          </a:blip>
                          <a:srcRect/>
                          <a:stretch>
                            <a:fillRect/>
                          </a:stretch>
                        </pic:blipFill>
                        <pic:spPr bwMode="auto">
                          <a:xfrm>
                            <a:off x="0" y="0"/>
                            <a:ext cx="1381125" cy="1381125"/>
                          </a:xfrm>
                          <a:prstGeom prst="rect">
                            <a:avLst/>
                          </a:prstGeom>
                          <a:noFill/>
                          <a:ln>
                            <a:noFill/>
                          </a:ln>
                        </pic:spPr>
                      </pic:pic>
                    </a:graphicData>
                  </a:graphic>
                </wp:inline>
              </w:drawing>
            </w:r>
          </w:p>
        </w:tc>
      </w:tr>
    </w:tbl>
    <w:p w14:paraId="7CA4E066" w14:textId="30A77D4A" w:rsidR="007376CC" w:rsidRDefault="007376CC" w:rsidP="008225ED">
      <w:pPr>
        <w:spacing w:after="0" w:line="240" w:lineRule="auto"/>
      </w:pPr>
    </w:p>
    <w:p w14:paraId="247E572D" w14:textId="77777777" w:rsidR="007376CC" w:rsidRDefault="007376CC">
      <w:r>
        <w:br w:type="page"/>
      </w:r>
    </w:p>
    <w:p w14:paraId="6A754A12" w14:textId="77777777" w:rsidR="001D00A0" w:rsidRDefault="001D00A0" w:rsidP="008225ED">
      <w:pPr>
        <w:spacing w:after="0" w:line="240" w:lineRule="auto"/>
      </w:pPr>
    </w:p>
    <w:p w14:paraId="0804EAA2" w14:textId="59384F63" w:rsidR="00136968" w:rsidRDefault="008225ED" w:rsidP="008225ED">
      <w:pPr>
        <w:pStyle w:val="Titre1"/>
      </w:pPr>
      <w:bookmarkStart w:id="103" w:name="_Toc139181394"/>
      <w:r w:rsidRPr="008225ED">
        <w:t>Plantes tropicale poussant dans l’eau salée</w:t>
      </w:r>
      <w:bookmarkEnd w:id="103"/>
    </w:p>
    <w:p w14:paraId="07FC359D" w14:textId="71A183AD" w:rsidR="008225ED" w:rsidRDefault="008225ED" w:rsidP="00136968">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6"/>
        <w:gridCol w:w="6280"/>
      </w:tblGrid>
      <w:tr w:rsidR="008225ED" w14:paraId="4C6B7251" w14:textId="77777777" w:rsidTr="008225ED">
        <w:tc>
          <w:tcPr>
            <w:tcW w:w="3472" w:type="dxa"/>
          </w:tcPr>
          <w:p w14:paraId="43C85953" w14:textId="77777777" w:rsidR="008225ED" w:rsidRDefault="008225ED" w:rsidP="008225ED">
            <w:pPr>
              <w:jc w:val="center"/>
            </w:pPr>
            <w:r w:rsidRPr="008225ED">
              <w:rPr>
                <w:noProof/>
              </w:rPr>
              <w:drawing>
                <wp:inline distT="0" distB="0" distL="0" distR="0" wp14:anchorId="66333D1A" wp14:editId="0D868858">
                  <wp:extent cx="2495550" cy="3362470"/>
                  <wp:effectExtent l="0" t="0" r="0" b="9525"/>
                  <wp:docPr id="29713" name="Image 10" descr="Cocoti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10" descr="Cocotier1.jpg"/>
                          <pic:cNvPicPr>
                            <a:picLocks noChangeAspect="1"/>
                          </pic:cNvPicPr>
                        </pic:nvPicPr>
                        <pic:blipFill>
                          <a:blip r:embed="rId996">
                            <a:extLst>
                              <a:ext uri="{28A0092B-C50C-407E-A947-70E740481C1C}">
                                <a14:useLocalDpi xmlns:a14="http://schemas.microsoft.com/office/drawing/2010/main" val="0"/>
                              </a:ext>
                            </a:extLst>
                          </a:blip>
                          <a:srcRect/>
                          <a:stretch>
                            <a:fillRect/>
                          </a:stretch>
                        </pic:blipFill>
                        <pic:spPr bwMode="auto">
                          <a:xfrm>
                            <a:off x="0" y="0"/>
                            <a:ext cx="2505297" cy="3375603"/>
                          </a:xfrm>
                          <a:prstGeom prst="rect">
                            <a:avLst/>
                          </a:prstGeom>
                          <a:noFill/>
                          <a:ln>
                            <a:noFill/>
                          </a:ln>
                        </pic:spPr>
                      </pic:pic>
                    </a:graphicData>
                  </a:graphic>
                </wp:inline>
              </w:drawing>
            </w:r>
          </w:p>
          <w:p w14:paraId="730113B8" w14:textId="4E2808D8" w:rsidR="008225ED" w:rsidRDefault="008225ED" w:rsidP="008225ED">
            <w:pPr>
              <w:jc w:val="center"/>
            </w:pPr>
            <w:r>
              <w:t>Cocotier</w:t>
            </w:r>
          </w:p>
        </w:tc>
        <w:tc>
          <w:tcPr>
            <w:tcW w:w="6944" w:type="dxa"/>
          </w:tcPr>
          <w:p w14:paraId="2641F50F" w14:textId="778F2ECD" w:rsidR="008225ED" w:rsidRDefault="008225ED" w:rsidP="008225ED">
            <w:pPr>
              <w:jc w:val="center"/>
            </w:pPr>
            <w:r w:rsidRPr="008225ED">
              <w:rPr>
                <w:noProof/>
              </w:rPr>
              <w:drawing>
                <wp:inline distT="0" distB="0" distL="0" distR="0" wp14:anchorId="4425F71B" wp14:editId="7F85A2F8">
                  <wp:extent cx="2533650" cy="1800225"/>
                  <wp:effectExtent l="0" t="0" r="0" b="9525"/>
                  <wp:docPr id="29717"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pic:cNvPicPr>
                            <a:picLocks noChangeAspect="1"/>
                          </pic:cNvPicPr>
                        </pic:nvPicPr>
                        <pic:blipFill>
                          <a:blip r:embed="rId997">
                            <a:extLst>
                              <a:ext uri="{28A0092B-C50C-407E-A947-70E740481C1C}">
                                <a14:useLocalDpi xmlns:a14="http://schemas.microsoft.com/office/drawing/2010/main" val="0"/>
                              </a:ext>
                            </a:extLst>
                          </a:blip>
                          <a:stretch>
                            <a:fillRect/>
                          </a:stretch>
                        </pic:blipFill>
                        <pic:spPr>
                          <a:xfrm>
                            <a:off x="0" y="0"/>
                            <a:ext cx="2533650" cy="1800225"/>
                          </a:xfrm>
                          <a:prstGeom prst="rect">
                            <a:avLst/>
                          </a:prstGeom>
                        </pic:spPr>
                      </pic:pic>
                    </a:graphicData>
                  </a:graphic>
                </wp:inline>
              </w:drawing>
            </w:r>
          </w:p>
          <w:p w14:paraId="4B035580" w14:textId="77777777" w:rsidR="00FA4BA8" w:rsidRDefault="00FA4BA8" w:rsidP="008225ED">
            <w:pPr>
              <w:jc w:val="center"/>
            </w:pPr>
          </w:p>
          <w:p w14:paraId="17806C08" w14:textId="77777777" w:rsidR="008225ED" w:rsidRDefault="008225ED" w:rsidP="008225ED">
            <w:pPr>
              <w:jc w:val="center"/>
            </w:pPr>
            <w:r w:rsidRPr="008225ED">
              <w:rPr>
                <w:noProof/>
              </w:rPr>
              <w:drawing>
                <wp:inline distT="0" distB="0" distL="0" distR="0" wp14:anchorId="26BAF417" wp14:editId="6D32DCDC">
                  <wp:extent cx="2466975" cy="1847850"/>
                  <wp:effectExtent l="0" t="0" r="9525" b="0"/>
                  <wp:docPr id="29720"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pic:cNvPicPr>
                            <a:picLocks noChangeAspect="1"/>
                          </pic:cNvPicPr>
                        </pic:nvPicPr>
                        <pic:blipFill>
                          <a:blip r:embed="rId998">
                            <a:extLst>
                              <a:ext uri="{28A0092B-C50C-407E-A947-70E740481C1C}">
                                <a14:useLocalDpi xmlns:a14="http://schemas.microsoft.com/office/drawing/2010/main" val="0"/>
                              </a:ext>
                            </a:extLst>
                          </a:blip>
                          <a:stretch>
                            <a:fillRect/>
                          </a:stretch>
                        </pic:blipFill>
                        <pic:spPr>
                          <a:xfrm>
                            <a:off x="0" y="0"/>
                            <a:ext cx="2466975" cy="1847850"/>
                          </a:xfrm>
                          <a:prstGeom prst="rect">
                            <a:avLst/>
                          </a:prstGeom>
                        </pic:spPr>
                      </pic:pic>
                    </a:graphicData>
                  </a:graphic>
                </wp:inline>
              </w:drawing>
            </w:r>
          </w:p>
          <w:p w14:paraId="409FC593" w14:textId="494432DF" w:rsidR="008225ED" w:rsidRDefault="008225ED" w:rsidP="008225ED">
            <w:pPr>
              <w:jc w:val="center"/>
            </w:pPr>
            <w:r w:rsidRPr="008225ED">
              <w:t>Cachiman-cochon, Mamain ou Mammier (</w:t>
            </w:r>
            <w:r w:rsidR="00604625">
              <w:t xml:space="preserve">ou </w:t>
            </w:r>
            <w:r w:rsidRPr="008225ED">
              <w:t>Kachiman kochon) (</w:t>
            </w:r>
            <w:r w:rsidRPr="008225ED">
              <w:rPr>
                <w:i/>
                <w:iCs/>
              </w:rPr>
              <w:t>Annona glabra</w:t>
            </w:r>
            <w:r w:rsidRPr="008225ED">
              <w:t>)</w:t>
            </w:r>
          </w:p>
        </w:tc>
      </w:tr>
    </w:tbl>
    <w:p w14:paraId="5C45742A" w14:textId="32D61586" w:rsidR="008225ED" w:rsidRDefault="008225ED" w:rsidP="008225ED">
      <w:pPr>
        <w:spacing w:after="0" w:line="240" w:lineRule="auto"/>
        <w:jc w:val="center"/>
      </w:pPr>
    </w:p>
    <w:p w14:paraId="6E07B602" w14:textId="77777777" w:rsidR="00671AE6" w:rsidRDefault="00671AE6" w:rsidP="00D87D3F">
      <w:pPr>
        <w:pStyle w:val="Titre2"/>
      </w:pPr>
      <w:bookmarkStart w:id="104" w:name="_Toc139181395"/>
      <w:r>
        <w:t>Badamier (</w:t>
      </w:r>
      <w:r w:rsidRPr="00D87D3F">
        <w:rPr>
          <w:i/>
          <w:iCs/>
        </w:rPr>
        <w:t>Terminalia catappa</w:t>
      </w:r>
      <w:r>
        <w:t>)</w:t>
      </w:r>
      <w:bookmarkEnd w:id="104"/>
    </w:p>
    <w:p w14:paraId="38DE5DD1" w14:textId="4EE07A1E" w:rsidR="00671AE6" w:rsidRDefault="00671AE6" w:rsidP="00671AE6">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2714"/>
        <w:gridCol w:w="1536"/>
        <w:gridCol w:w="413"/>
        <w:gridCol w:w="1368"/>
      </w:tblGrid>
      <w:tr w:rsidR="002719BD" w:rsidRPr="000B6BE3" w14:paraId="2A41F417" w14:textId="77777777" w:rsidTr="005C76A4">
        <w:tc>
          <w:tcPr>
            <w:tcW w:w="4395" w:type="dxa"/>
          </w:tcPr>
          <w:p w14:paraId="33C37038" w14:textId="0AB561B4" w:rsidR="002719BD" w:rsidRDefault="002719BD" w:rsidP="005C76A4">
            <w:pPr>
              <w:jc w:val="both"/>
            </w:pPr>
            <w:r>
              <w:t xml:space="preserve">(Famille des </w:t>
            </w:r>
            <w:r w:rsidRPr="002719BD">
              <w:rPr>
                <w:i/>
                <w:iCs/>
              </w:rPr>
              <w:t>Combretaceae</w:t>
            </w:r>
            <w:r>
              <w:t>)</w:t>
            </w:r>
          </w:p>
          <w:p w14:paraId="6BB4DF92" w14:textId="77777777" w:rsidR="002719BD" w:rsidRPr="000B6BE3" w:rsidRDefault="002719BD" w:rsidP="005C76A4">
            <w:pPr>
              <w:rPr>
                <w:rFonts w:cstheme="minorHAnsi"/>
              </w:rPr>
            </w:pPr>
          </w:p>
        </w:tc>
        <w:tc>
          <w:tcPr>
            <w:tcW w:w="2714" w:type="dxa"/>
          </w:tcPr>
          <w:p w14:paraId="14F1CBF8" w14:textId="77777777" w:rsidR="002719BD" w:rsidRPr="000B6BE3" w:rsidRDefault="002719BD" w:rsidP="005C76A4">
            <w:pPr>
              <w:rPr>
                <w:rFonts w:cstheme="minorHAnsi"/>
              </w:rPr>
            </w:pPr>
            <w:r w:rsidRPr="000B6BE3">
              <w:rPr>
                <w:rFonts w:cstheme="minorHAnsi"/>
                <w:noProof/>
              </w:rPr>
              <w:t xml:space="preserve">  </w:t>
            </w:r>
            <w:r>
              <w:rPr>
                <w:rFonts w:cstheme="minorHAnsi"/>
                <w:noProof/>
              </w:rPr>
              <w:t xml:space="preserve">      </w:t>
            </w:r>
            <w:r w:rsidRPr="008F2681">
              <w:rPr>
                <w:rFonts w:cstheme="minorHAnsi"/>
                <w:noProof/>
              </w:rPr>
              <w:drawing>
                <wp:inline distT="0" distB="0" distL="0" distR="0" wp14:anchorId="3F3DDA2A" wp14:editId="42E765DC">
                  <wp:extent cx="463550" cy="661988"/>
                  <wp:effectExtent l="0" t="0" r="0" b="5080"/>
                  <wp:docPr id="50180"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p>
        </w:tc>
        <w:tc>
          <w:tcPr>
            <w:tcW w:w="1536" w:type="dxa"/>
          </w:tcPr>
          <w:p w14:paraId="1B2A9A2D" w14:textId="77777777" w:rsidR="002719BD" w:rsidRPr="002E01BB" w:rsidRDefault="002719BD" w:rsidP="005C76A4">
            <w:pPr>
              <w:rPr>
                <w:rFonts w:eastAsia="+mn-ea" w:cstheme="minorHAnsi"/>
                <w:b/>
                <w:bCs/>
                <w:color w:val="008000"/>
                <w:kern w:val="24"/>
                <w:sz w:val="56"/>
                <w:szCs w:val="56"/>
              </w:rPr>
            </w:pPr>
            <w:r w:rsidRPr="00D1445E">
              <w:rPr>
                <w:rFonts w:eastAsia="+mn-ea" w:cstheme="minorHAnsi"/>
                <w:b/>
                <w:bCs/>
                <w:color w:val="008000"/>
                <w:kern w:val="24"/>
                <w:sz w:val="56"/>
                <w:szCs w:val="56"/>
              </w:rPr>
              <w:t>U</w:t>
            </w:r>
            <w:r>
              <w:rPr>
                <w:rFonts w:eastAsia="+mn-ea" w:cstheme="minorHAnsi"/>
                <w:b/>
                <w:bCs/>
                <w:color w:val="008000"/>
                <w:kern w:val="24"/>
                <w:sz w:val="56"/>
                <w:szCs w:val="56"/>
              </w:rPr>
              <w:t xml:space="preserve"> </w:t>
            </w:r>
            <w:r>
              <w:rPr>
                <w:rFonts w:ascii="Calibri" w:eastAsia="+mn-ea" w:hAnsi="Calibri" w:cs="Calibri"/>
                <w:b/>
                <w:bCs/>
                <w:color w:val="008000"/>
                <w:kern w:val="24"/>
                <w:sz w:val="56"/>
                <w:szCs w:val="56"/>
              </w:rPr>
              <w:t>↗</w:t>
            </w:r>
          </w:p>
          <w:p w14:paraId="4C6962D9" w14:textId="77777777" w:rsidR="002719BD" w:rsidRPr="000B6BE3" w:rsidRDefault="002719BD" w:rsidP="005C76A4">
            <w:pPr>
              <w:textAlignment w:val="baseline"/>
              <w:rPr>
                <w:rFonts w:cstheme="minorHAnsi"/>
              </w:rPr>
            </w:pPr>
          </w:p>
        </w:tc>
        <w:tc>
          <w:tcPr>
            <w:tcW w:w="413" w:type="dxa"/>
          </w:tcPr>
          <w:p w14:paraId="02020902" w14:textId="77777777" w:rsidR="002719BD" w:rsidRPr="000B6BE3" w:rsidRDefault="002719BD" w:rsidP="005C76A4">
            <w:pPr>
              <w:rPr>
                <w:rFonts w:cstheme="minorHAnsi"/>
              </w:rPr>
            </w:pPr>
          </w:p>
        </w:tc>
        <w:tc>
          <w:tcPr>
            <w:tcW w:w="1368" w:type="dxa"/>
          </w:tcPr>
          <w:p w14:paraId="232053F7" w14:textId="77777777" w:rsidR="002719BD" w:rsidRPr="000B6BE3" w:rsidRDefault="002719BD" w:rsidP="005C76A4">
            <w:pPr>
              <w:rPr>
                <w:rFonts w:cstheme="minorHAnsi"/>
              </w:rPr>
            </w:pPr>
          </w:p>
        </w:tc>
      </w:tr>
    </w:tbl>
    <w:p w14:paraId="14B9B78E" w14:textId="77777777" w:rsidR="002719BD" w:rsidRDefault="002719BD" w:rsidP="00671AE6">
      <w:pPr>
        <w:spacing w:after="0" w:line="240" w:lineRule="auto"/>
      </w:pPr>
    </w:p>
    <w:p w14:paraId="5A047298" w14:textId="0B39C844" w:rsidR="008225ED" w:rsidRDefault="00671AE6" w:rsidP="00671AE6">
      <w:pPr>
        <w:spacing w:after="0" w:line="240" w:lineRule="auto"/>
        <w:jc w:val="both"/>
      </w:pPr>
      <w:r>
        <w:t>Le badamier (</w:t>
      </w:r>
      <w:r w:rsidRPr="00671AE6">
        <w:rPr>
          <w:i/>
          <w:iCs/>
        </w:rPr>
        <w:t>Terminalia catappa</w:t>
      </w:r>
      <w:r>
        <w:t xml:space="preserve">) est un arbre fruitier. Il peut atteindre une vingtaine de mètres de hauteur. Originaire de Nouvelle-Guinée, il s'est naturalisé dans de nombreuses régions tropicales. Son fruit est appelé « myrobalan » ou « badame ». C'est un arbre1 de 9 à 25 m de haut, aux branches horizontales verticillées, lui donnant une ramification à étages typique. On trouve cette espèce dans les arrière-plages sableuses.  L'activité hépatoprotectrice de ses feuilles (protectrice du foie) est confirmée. Le fruit contient un seul noyau, très dur, renfermant une amande comestible, au goût délicat. Les badames se mangent généralement crues. Elles se consomment au pied de l'arbre, après avoir cassé la coque entre deux pierres. Elles se vendent aussi sèches, sur les marchés urbains. Le bois sert à fabriquer des pirogues ou à sculpter des objets artisanaux. C'est un bon combustible et un bon bois de charpente. L'écorce est très souvent utilisée dans le traitement de la toux (extrait de jus) ou des infections urinaires (décoction). </w:t>
      </w:r>
      <w:r w:rsidRPr="00671AE6">
        <w:t>Ses feuilles sont utilisées en aquariophilie, pour la prévention de diverses pathologie des poissons (phytothérapie).</w:t>
      </w:r>
      <w:r>
        <w:t xml:space="preserve"> Source : </w:t>
      </w:r>
      <w:hyperlink r:id="rId999" w:history="1">
        <w:r w:rsidRPr="00CD78C9">
          <w:rPr>
            <w:rStyle w:val="Lienhypertexte"/>
          </w:rPr>
          <w:t>https://fr.wikipedia.org/wiki/Badamier</w:t>
        </w:r>
      </w:hyperlink>
    </w:p>
    <w:p w14:paraId="3F0E6EC4" w14:textId="6458200C" w:rsidR="00671AE6" w:rsidRDefault="00671AE6" w:rsidP="00671AE6">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671AE6" w14:paraId="68592870" w14:textId="77777777" w:rsidTr="00671AE6">
        <w:tc>
          <w:tcPr>
            <w:tcW w:w="6944" w:type="dxa"/>
            <w:gridSpan w:val="2"/>
          </w:tcPr>
          <w:p w14:paraId="0171A9E0" w14:textId="77777777" w:rsidR="00671AE6" w:rsidRDefault="00671AE6" w:rsidP="00671AE6">
            <w:pPr>
              <w:jc w:val="center"/>
            </w:pPr>
            <w:r w:rsidRPr="00671AE6">
              <w:rPr>
                <w:noProof/>
              </w:rPr>
              <w:lastRenderedPageBreak/>
              <w:drawing>
                <wp:inline distT="0" distB="0" distL="0" distR="0" wp14:anchorId="1485FC78" wp14:editId="73334A94">
                  <wp:extent cx="2741114" cy="2026954"/>
                  <wp:effectExtent l="0" t="0" r="2540" b="0"/>
                  <wp:docPr id="29727"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8"/>
                          <pic:cNvPicPr>
                            <a:picLocks noChangeAspect="1"/>
                          </pic:cNvPicPr>
                        </pic:nvPicPr>
                        <pic:blipFill>
                          <a:blip r:embed="rId1000">
                            <a:extLst>
                              <a:ext uri="{28A0092B-C50C-407E-A947-70E740481C1C}">
                                <a14:useLocalDpi xmlns:a14="http://schemas.microsoft.com/office/drawing/2010/main" val="0"/>
                              </a:ext>
                            </a:extLst>
                          </a:blip>
                          <a:stretch>
                            <a:fillRect/>
                          </a:stretch>
                        </pic:blipFill>
                        <pic:spPr>
                          <a:xfrm>
                            <a:off x="0" y="0"/>
                            <a:ext cx="2741114" cy="2026954"/>
                          </a:xfrm>
                          <a:prstGeom prst="rect">
                            <a:avLst/>
                          </a:prstGeom>
                        </pic:spPr>
                      </pic:pic>
                    </a:graphicData>
                  </a:graphic>
                </wp:inline>
              </w:drawing>
            </w:r>
          </w:p>
          <w:p w14:paraId="798AA028" w14:textId="06BB7EB3" w:rsidR="00671AE6" w:rsidRDefault="00671AE6" w:rsidP="00671AE6">
            <w:pPr>
              <w:jc w:val="center"/>
            </w:pPr>
            <w:r w:rsidRPr="00671AE6">
              <w:t xml:space="preserve">Source:  </w:t>
            </w:r>
            <w:hyperlink r:id="rId1001" w:history="1">
              <w:r w:rsidRPr="00671AE6">
                <w:rPr>
                  <w:rStyle w:val="Lienhypertexte"/>
                </w:rPr>
                <w:t>www.eattheweeds.com</w:t>
              </w:r>
            </w:hyperlink>
            <w:r w:rsidRPr="00671AE6">
              <w:t xml:space="preserve"> </w:t>
            </w:r>
          </w:p>
        </w:tc>
        <w:tc>
          <w:tcPr>
            <w:tcW w:w="3472" w:type="dxa"/>
          </w:tcPr>
          <w:p w14:paraId="0044F166" w14:textId="77777777" w:rsidR="00671AE6" w:rsidRDefault="00671AE6" w:rsidP="00671AE6">
            <w:pPr>
              <w:jc w:val="center"/>
            </w:pPr>
            <w:r w:rsidRPr="00671AE6">
              <w:rPr>
                <w:noProof/>
              </w:rPr>
              <w:drawing>
                <wp:inline distT="0" distB="0" distL="0" distR="0" wp14:anchorId="0C07BC49" wp14:editId="1FCEE249">
                  <wp:extent cx="1473206" cy="1992180"/>
                  <wp:effectExtent l="0" t="0" r="0" b="8255"/>
                  <wp:docPr id="50176"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0"/>
                          <pic:cNvPicPr>
                            <a:picLocks noChangeAspect="1"/>
                          </pic:cNvPicPr>
                        </pic:nvPicPr>
                        <pic:blipFill>
                          <a:blip r:embed="rId1002" cstate="print">
                            <a:extLst>
                              <a:ext uri="{28A0092B-C50C-407E-A947-70E740481C1C}">
                                <a14:useLocalDpi xmlns:a14="http://schemas.microsoft.com/office/drawing/2010/main" val="0"/>
                              </a:ext>
                            </a:extLst>
                          </a:blip>
                          <a:stretch>
                            <a:fillRect/>
                          </a:stretch>
                        </pic:blipFill>
                        <pic:spPr>
                          <a:xfrm>
                            <a:off x="0" y="0"/>
                            <a:ext cx="1473206" cy="1992180"/>
                          </a:xfrm>
                          <a:prstGeom prst="rect">
                            <a:avLst/>
                          </a:prstGeom>
                        </pic:spPr>
                      </pic:pic>
                    </a:graphicData>
                  </a:graphic>
                </wp:inline>
              </w:drawing>
            </w:r>
          </w:p>
          <w:p w14:paraId="562F1C2F" w14:textId="2B7DD3F2" w:rsidR="00671AE6" w:rsidRDefault="00671AE6" w:rsidP="00671AE6">
            <w:pPr>
              <w:jc w:val="center"/>
            </w:pPr>
            <w:r w:rsidRPr="00671AE6">
              <w:t xml:space="preserve">Source : </w:t>
            </w:r>
            <w:r>
              <w:t>Wikipedia</w:t>
            </w:r>
          </w:p>
        </w:tc>
      </w:tr>
      <w:tr w:rsidR="00671AE6" w14:paraId="4A616DC0" w14:textId="77777777" w:rsidTr="00671AE6">
        <w:tc>
          <w:tcPr>
            <w:tcW w:w="3472" w:type="dxa"/>
          </w:tcPr>
          <w:p w14:paraId="7F95AF88" w14:textId="77777777" w:rsidR="00671AE6" w:rsidRDefault="00671AE6" w:rsidP="00671AE6">
            <w:pPr>
              <w:jc w:val="center"/>
            </w:pPr>
            <w:r w:rsidRPr="00671AE6">
              <w:rPr>
                <w:noProof/>
              </w:rPr>
              <w:drawing>
                <wp:inline distT="0" distB="0" distL="0" distR="0" wp14:anchorId="3BBF6836" wp14:editId="390DA095">
                  <wp:extent cx="1803276" cy="1352457"/>
                  <wp:effectExtent l="0" t="0" r="6985" b="635"/>
                  <wp:docPr id="5017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7"/>
                          <pic:cNvPicPr>
                            <a:picLocks noChangeAspect="1"/>
                          </pic:cNvPicPr>
                        </pic:nvPicPr>
                        <pic:blipFill>
                          <a:blip r:embed="rId1003">
                            <a:extLst>
                              <a:ext uri="{28A0092B-C50C-407E-A947-70E740481C1C}">
                                <a14:useLocalDpi xmlns:a14="http://schemas.microsoft.com/office/drawing/2010/main" val="0"/>
                              </a:ext>
                            </a:extLst>
                          </a:blip>
                          <a:stretch>
                            <a:fillRect/>
                          </a:stretch>
                        </pic:blipFill>
                        <pic:spPr>
                          <a:xfrm>
                            <a:off x="0" y="0"/>
                            <a:ext cx="1803276" cy="1352457"/>
                          </a:xfrm>
                          <a:prstGeom prst="rect">
                            <a:avLst/>
                          </a:prstGeom>
                        </pic:spPr>
                      </pic:pic>
                    </a:graphicData>
                  </a:graphic>
                </wp:inline>
              </w:drawing>
            </w:r>
          </w:p>
          <w:p w14:paraId="3F714A12" w14:textId="2C7BF343" w:rsidR="00671AE6" w:rsidRDefault="00671AE6" w:rsidP="00671AE6">
            <w:pPr>
              <w:jc w:val="center"/>
            </w:pPr>
            <w:r w:rsidRPr="00671AE6">
              <w:t xml:space="preserve">Source : </w:t>
            </w:r>
            <w:r>
              <w:t>Wikipedia</w:t>
            </w:r>
          </w:p>
        </w:tc>
        <w:tc>
          <w:tcPr>
            <w:tcW w:w="3472" w:type="dxa"/>
          </w:tcPr>
          <w:p w14:paraId="654274FC" w14:textId="77777777" w:rsidR="00671AE6" w:rsidRDefault="00671AE6" w:rsidP="00671AE6">
            <w:pPr>
              <w:jc w:val="center"/>
            </w:pPr>
            <w:r w:rsidRPr="00671AE6">
              <w:rPr>
                <w:noProof/>
              </w:rPr>
              <w:drawing>
                <wp:inline distT="0" distB="0" distL="0" distR="0" wp14:anchorId="3E91F9BE" wp14:editId="0126BF1A">
                  <wp:extent cx="1357194" cy="1811925"/>
                  <wp:effectExtent l="0" t="0" r="0" b="0"/>
                  <wp:docPr id="50178"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9"/>
                          <pic:cNvPicPr>
                            <a:picLocks noChangeAspect="1"/>
                          </pic:cNvPicPr>
                        </pic:nvPicPr>
                        <pic:blipFill>
                          <a:blip r:embed="rId1004">
                            <a:extLst>
                              <a:ext uri="{28A0092B-C50C-407E-A947-70E740481C1C}">
                                <a14:useLocalDpi xmlns:a14="http://schemas.microsoft.com/office/drawing/2010/main" val="0"/>
                              </a:ext>
                            </a:extLst>
                          </a:blip>
                          <a:stretch>
                            <a:fillRect/>
                          </a:stretch>
                        </pic:blipFill>
                        <pic:spPr>
                          <a:xfrm>
                            <a:off x="0" y="0"/>
                            <a:ext cx="1357194" cy="1811925"/>
                          </a:xfrm>
                          <a:prstGeom prst="rect">
                            <a:avLst/>
                          </a:prstGeom>
                        </pic:spPr>
                      </pic:pic>
                    </a:graphicData>
                  </a:graphic>
                </wp:inline>
              </w:drawing>
            </w:r>
          </w:p>
          <w:p w14:paraId="78337844" w14:textId="49C66437" w:rsidR="00671AE6" w:rsidRDefault="00BA20AC" w:rsidP="00671AE6">
            <w:pPr>
              <w:jc w:val="center"/>
            </w:pPr>
            <w:r>
              <w:t>Fruits</w:t>
            </w:r>
            <w:r>
              <w:rPr>
                <w:rStyle w:val="Appelnotedebasdep"/>
              </w:rPr>
              <w:footnoteReference w:id="83"/>
            </w:r>
            <w:r>
              <w:t>.</w:t>
            </w:r>
            <w:r w:rsidR="00671AE6" w:rsidRPr="00671AE6">
              <w:t xml:space="preserve"> </w:t>
            </w:r>
          </w:p>
        </w:tc>
        <w:tc>
          <w:tcPr>
            <w:tcW w:w="3472" w:type="dxa"/>
          </w:tcPr>
          <w:p w14:paraId="5D2627AD" w14:textId="77777777" w:rsidR="00671AE6" w:rsidRDefault="00671AE6" w:rsidP="00671AE6">
            <w:pPr>
              <w:jc w:val="center"/>
            </w:pPr>
            <w:r w:rsidRPr="00671AE6">
              <w:rPr>
                <w:noProof/>
              </w:rPr>
              <w:drawing>
                <wp:inline distT="0" distB="0" distL="0" distR="0" wp14:anchorId="64D17E6E" wp14:editId="53EC3786">
                  <wp:extent cx="1376434" cy="935666"/>
                  <wp:effectExtent l="0" t="0" r="0" b="0"/>
                  <wp:docPr id="50179"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8"/>
                          <pic:cNvPicPr>
                            <a:picLocks noChangeAspect="1"/>
                          </pic:cNvPicPr>
                        </pic:nvPicPr>
                        <pic:blipFill>
                          <a:blip r:embed="rId1005">
                            <a:extLst>
                              <a:ext uri="{28A0092B-C50C-407E-A947-70E740481C1C}">
                                <a14:useLocalDpi xmlns:a14="http://schemas.microsoft.com/office/drawing/2010/main" val="0"/>
                              </a:ext>
                            </a:extLst>
                          </a:blip>
                          <a:stretch>
                            <a:fillRect/>
                          </a:stretch>
                        </pic:blipFill>
                        <pic:spPr>
                          <a:xfrm>
                            <a:off x="0" y="0"/>
                            <a:ext cx="1376434" cy="935666"/>
                          </a:xfrm>
                          <a:prstGeom prst="rect">
                            <a:avLst/>
                          </a:prstGeom>
                        </pic:spPr>
                      </pic:pic>
                    </a:graphicData>
                  </a:graphic>
                </wp:inline>
              </w:drawing>
            </w:r>
          </w:p>
          <w:p w14:paraId="6999BFD6" w14:textId="1BCCED32" w:rsidR="00671AE6" w:rsidRDefault="00671AE6" w:rsidP="00671AE6">
            <w:pPr>
              <w:jc w:val="center"/>
            </w:pPr>
            <w:r w:rsidRPr="00671AE6">
              <w:t xml:space="preserve">Source : </w:t>
            </w:r>
            <w:r>
              <w:t>Wikipedia</w:t>
            </w:r>
          </w:p>
        </w:tc>
      </w:tr>
    </w:tbl>
    <w:p w14:paraId="6D83BDAB" w14:textId="77777777" w:rsidR="00671AE6" w:rsidRDefault="00671AE6" w:rsidP="00671AE6">
      <w:pPr>
        <w:spacing w:after="0" w:line="240" w:lineRule="auto"/>
      </w:pPr>
    </w:p>
    <w:p w14:paraId="7B51A276" w14:textId="77777777" w:rsidR="008C780A" w:rsidRDefault="008C780A" w:rsidP="00D87D3F">
      <w:pPr>
        <w:pStyle w:val="Titre2"/>
      </w:pPr>
      <w:bookmarkStart w:id="105" w:name="_Toc139181396"/>
      <w:r>
        <w:t>Mancenillier ou arbre de la Mort (</w:t>
      </w:r>
      <w:r w:rsidRPr="00D87D3F">
        <w:rPr>
          <w:i/>
          <w:iCs/>
        </w:rPr>
        <w:t>Hippomane mancinella</w:t>
      </w:r>
      <w:r>
        <w:t>)</w:t>
      </w:r>
      <w:bookmarkEnd w:id="105"/>
    </w:p>
    <w:p w14:paraId="05D28B79" w14:textId="454E38B3" w:rsidR="008C780A" w:rsidRDefault="008C780A" w:rsidP="008C780A">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2714"/>
        <w:gridCol w:w="1536"/>
        <w:gridCol w:w="413"/>
        <w:gridCol w:w="1368"/>
      </w:tblGrid>
      <w:tr w:rsidR="008C780A" w:rsidRPr="000B6BE3" w14:paraId="31D36C88" w14:textId="77777777" w:rsidTr="005F7B42">
        <w:tc>
          <w:tcPr>
            <w:tcW w:w="4395" w:type="dxa"/>
          </w:tcPr>
          <w:p w14:paraId="505CCDBD" w14:textId="468C2CE8" w:rsidR="008C780A" w:rsidRDefault="008C780A" w:rsidP="005F7B42">
            <w:pPr>
              <w:jc w:val="both"/>
            </w:pPr>
            <w:r>
              <w:t xml:space="preserve">(Famille des </w:t>
            </w:r>
            <w:r w:rsidRPr="008C780A">
              <w:rPr>
                <w:i/>
                <w:iCs/>
              </w:rPr>
              <w:t>Euphorbiaceae</w:t>
            </w:r>
            <w:r>
              <w:t>)</w:t>
            </w:r>
          </w:p>
          <w:p w14:paraId="134DAF05" w14:textId="77777777" w:rsidR="008C780A" w:rsidRPr="000B6BE3" w:rsidRDefault="008C780A" w:rsidP="005F7B42">
            <w:pPr>
              <w:rPr>
                <w:rFonts w:cstheme="minorHAnsi"/>
              </w:rPr>
            </w:pPr>
          </w:p>
        </w:tc>
        <w:tc>
          <w:tcPr>
            <w:tcW w:w="2714" w:type="dxa"/>
          </w:tcPr>
          <w:p w14:paraId="264000C0" w14:textId="77777777" w:rsidR="008C780A" w:rsidRPr="000B6BE3" w:rsidRDefault="008C780A" w:rsidP="005F7B42">
            <w:pPr>
              <w:rPr>
                <w:rFonts w:cstheme="minorHAnsi"/>
              </w:rPr>
            </w:pPr>
            <w:r w:rsidRPr="000B6BE3">
              <w:rPr>
                <w:rFonts w:cstheme="minorHAnsi"/>
                <w:noProof/>
              </w:rPr>
              <w:t xml:space="preserve">  </w:t>
            </w:r>
            <w:r>
              <w:rPr>
                <w:rFonts w:cstheme="minorHAnsi"/>
                <w:noProof/>
              </w:rPr>
              <w:t xml:space="preserve">      </w:t>
            </w:r>
            <w:r w:rsidRPr="008F2681">
              <w:rPr>
                <w:rFonts w:cstheme="minorHAnsi"/>
                <w:noProof/>
              </w:rPr>
              <w:drawing>
                <wp:inline distT="0" distB="0" distL="0" distR="0" wp14:anchorId="16F77526" wp14:editId="2E56012E">
                  <wp:extent cx="463550" cy="661988"/>
                  <wp:effectExtent l="0" t="0" r="0" b="5080"/>
                  <wp:docPr id="38933"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p>
        </w:tc>
        <w:tc>
          <w:tcPr>
            <w:tcW w:w="1536" w:type="dxa"/>
          </w:tcPr>
          <w:p w14:paraId="0069867E" w14:textId="7CAA4D05" w:rsidR="008C780A" w:rsidRPr="008C780A" w:rsidRDefault="008C780A" w:rsidP="005F7B42">
            <w:pPr>
              <w:rPr>
                <w:rFonts w:eastAsia="+mn-ea" w:cstheme="minorHAnsi"/>
                <w:b/>
                <w:bCs/>
                <w:color w:val="008000"/>
                <w:kern w:val="24"/>
                <w:sz w:val="40"/>
                <w:szCs w:val="40"/>
              </w:rPr>
            </w:pPr>
            <w:r w:rsidRPr="008C780A">
              <w:rPr>
                <w:rFonts w:eastAsia="+mn-ea" w:cstheme="minorHAnsi"/>
                <w:b/>
                <w:bCs/>
                <w:color w:val="008000"/>
                <w:kern w:val="24"/>
                <w:sz w:val="40"/>
                <w:szCs w:val="40"/>
              </w:rPr>
              <w:t>(U)</w:t>
            </w:r>
          </w:p>
          <w:p w14:paraId="6B5940D9" w14:textId="77777777" w:rsidR="008C780A" w:rsidRPr="000B6BE3" w:rsidRDefault="008C780A" w:rsidP="005F7B42">
            <w:pPr>
              <w:textAlignment w:val="baseline"/>
              <w:rPr>
                <w:rFonts w:cstheme="minorHAnsi"/>
              </w:rPr>
            </w:pPr>
          </w:p>
        </w:tc>
        <w:tc>
          <w:tcPr>
            <w:tcW w:w="413" w:type="dxa"/>
          </w:tcPr>
          <w:p w14:paraId="5A19C40F" w14:textId="77777777" w:rsidR="008C780A" w:rsidRPr="000B6BE3" w:rsidRDefault="008C780A" w:rsidP="005F7B42">
            <w:pPr>
              <w:rPr>
                <w:rFonts w:cstheme="minorHAnsi"/>
              </w:rPr>
            </w:pPr>
          </w:p>
        </w:tc>
        <w:tc>
          <w:tcPr>
            <w:tcW w:w="1368" w:type="dxa"/>
          </w:tcPr>
          <w:p w14:paraId="29836C03" w14:textId="670B5044" w:rsidR="008C780A" w:rsidRPr="000B6BE3" w:rsidRDefault="00D87D3F" w:rsidP="005F7B42">
            <w:pPr>
              <w:rPr>
                <w:rFonts w:cstheme="minorHAnsi"/>
              </w:rPr>
            </w:pPr>
            <w:r w:rsidRPr="00F715B8">
              <w:rPr>
                <w:rFonts w:ascii="Arial" w:eastAsia="+mn-ea" w:hAnsi="Wingdings" w:cs="Arial"/>
                <w:noProof/>
                <w:color w:val="FF0000"/>
                <w:kern w:val="24"/>
                <w:sz w:val="64"/>
                <w:szCs w:val="64"/>
              </w:rPr>
              <w:drawing>
                <wp:inline distT="0" distB="0" distL="0" distR="0" wp14:anchorId="38133A16" wp14:editId="54A841B9">
                  <wp:extent cx="285750" cy="358775"/>
                  <wp:effectExtent l="0" t="0" r="0" b="3175"/>
                  <wp:docPr id="91147" name="Picture 2" descr="toxic-2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5" name="Picture 2" descr="toxic-2ss"/>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85750"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64E2156C" w14:textId="77777777" w:rsidR="008C780A" w:rsidRDefault="008C780A" w:rsidP="008C780A">
      <w:pPr>
        <w:spacing w:after="0" w:line="240" w:lineRule="auto"/>
      </w:pPr>
    </w:p>
    <w:p w14:paraId="793D4525" w14:textId="0AA3A0B8" w:rsidR="008C780A" w:rsidRDefault="008C780A" w:rsidP="008C780A">
      <w:pPr>
        <w:spacing w:after="0" w:line="240" w:lineRule="auto"/>
        <w:jc w:val="both"/>
      </w:pPr>
      <w:r>
        <w:t>Parfois surnommé « pomme de plage » ou « poison goyave », cet arbre très toxique, de 5 à 10 m de haut (jusqu'à 25 m en situation abritée), possède le port d'un poirier, aux feuilles luisantes, ovales à elliptiques, de 3 à 20 cm de long, et une écorce grise assez lisse. Le fruit est une drupe de 3 cm de diamètre ressemblant à une petite pomme verte. Ce fruit très toxique exhale pourtant une odeur agréable de citron et pomme reinette. C'est un arbre monoïque, portant sur un épi (de 4-15 cm) à la fois des fleurs mâles vers l'apex en groupe de 3-5 et des fleurs femelles globuleuses dans les aisselles des bractées inférieures. La floraison a lieu en février-mars puis en août-novembre. Le mancenillier pousse sur le littoral sableux, généralement à proximité des plages et est présent dans toutes régions sèches et chaudes d'Amérique tropicale (sud de l’Amérique du Nord, Amérique centrale, nord de l’Amérique du Sud et des Caraïbes).</w:t>
      </w:r>
    </w:p>
    <w:p w14:paraId="3E929261" w14:textId="77777777" w:rsidR="008C780A" w:rsidRDefault="008C780A" w:rsidP="008C780A">
      <w:pPr>
        <w:spacing w:after="0" w:line="240" w:lineRule="auto"/>
        <w:jc w:val="both"/>
      </w:pPr>
      <w:r w:rsidRPr="008C780A">
        <w:rPr>
          <w:b/>
          <w:bCs/>
        </w:rPr>
        <w:t>Rôle écologique</w:t>
      </w:r>
      <w:r>
        <w:t xml:space="preserve"> : Bien que très toxiques, ces arbres jouent un rôle précieux dans les écosystèmes locaux : le mancenillier se développe dans des bosquets denses et constitue un excellent coupe-vent naturel, ses racines stabilisent le sable et permettent de prévenir l’érosion côtière. Confusion possible avec le catalpa, aux fruits rugueux et feuilles moins brillantes.</w:t>
      </w:r>
    </w:p>
    <w:p w14:paraId="1806697C" w14:textId="77777777" w:rsidR="008C780A" w:rsidRDefault="008C780A" w:rsidP="008C780A">
      <w:pPr>
        <w:spacing w:after="0" w:line="240" w:lineRule="auto"/>
        <w:jc w:val="both"/>
      </w:pPr>
      <w:r>
        <w:t>Les charpentiers de ces régions utilisent le bois du mancenillier pour créer des meubles depuis des siècles, après avoir soigneusement coupé et séché le bois au soleil, afin de neutraliser la sève toxique.</w:t>
      </w:r>
    </w:p>
    <w:p w14:paraId="49097025" w14:textId="77777777" w:rsidR="008C780A" w:rsidRDefault="008C780A" w:rsidP="008C780A">
      <w:pPr>
        <w:spacing w:after="0" w:line="240" w:lineRule="auto"/>
        <w:jc w:val="both"/>
      </w:pPr>
      <w:r w:rsidRPr="008C780A">
        <w:rPr>
          <w:b/>
          <w:bCs/>
        </w:rPr>
        <w:lastRenderedPageBreak/>
        <w:t>Toxicité</w:t>
      </w:r>
      <w:r>
        <w:t xml:space="preserve"> : Toutes les parties du mancenillier sont extrêmement toxiques (Florida Institute of Food and Agricultural Sciences – IFAS). Son latex blanc déclenche par simple contact avec la peau (ou les muqueuses), une réaction inflammatoire intense. Le fruit provoque des brûlures intenses, un gonflement des lèvres ainsi que la tuméfaction de la langue (qui se couvre alors de cloques). L’intoxication due à ce fruit s’accompagne d’une chute de la tension artérielle et d’un choc général. Les conséquences peuvent être fatales. Même le bois est toxique et les bûcherons qui abattent l’arbre ainsi que les menuisiers qui le travaillent, doivent prendre de grandes précautions. Dans certaines régions, ces arbres sont marqués par une croix (ou un cercle) rouge. </w:t>
      </w:r>
    </w:p>
    <w:p w14:paraId="7AA8B1F3" w14:textId="09A0BD69" w:rsidR="008C780A" w:rsidRDefault="008C780A" w:rsidP="008C780A">
      <w:pPr>
        <w:spacing w:after="0" w:line="240" w:lineRule="auto"/>
      </w:pPr>
      <w:r>
        <w:t xml:space="preserve">Source : a) </w:t>
      </w:r>
      <w:hyperlink r:id="rId1006" w:history="1">
        <w:r w:rsidRPr="00AF787D">
          <w:rPr>
            <w:rStyle w:val="Lienhypertexte"/>
          </w:rPr>
          <w:t>https://fr.wikipedia.org/wiki/Hippomane_mancinella</w:t>
        </w:r>
      </w:hyperlink>
      <w:r>
        <w:t xml:space="preserve">, b) </w:t>
      </w:r>
      <w:hyperlink r:id="rId1007" w:history="1">
        <w:r w:rsidRPr="00AF787D">
          <w:rPr>
            <w:rStyle w:val="Lienhypertexte"/>
          </w:rPr>
          <w:t>https://en.wikipedia.org/wiki/Manchineel</w:t>
        </w:r>
      </w:hyperlink>
    </w:p>
    <w:p w14:paraId="7966D897" w14:textId="768F2B80" w:rsidR="008C780A" w:rsidRDefault="008C780A" w:rsidP="008C780A">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8C780A" w14:paraId="0AE2CA52" w14:textId="77777777" w:rsidTr="00D22F12">
        <w:tc>
          <w:tcPr>
            <w:tcW w:w="3472" w:type="dxa"/>
          </w:tcPr>
          <w:p w14:paraId="6083D2DA" w14:textId="735A92B9" w:rsidR="008C780A" w:rsidRDefault="00D22F12" w:rsidP="008C780A">
            <w:pPr>
              <w:jc w:val="center"/>
            </w:pPr>
            <w:r w:rsidRPr="00D22F12">
              <w:rPr>
                <w:noProof/>
              </w:rPr>
              <w:drawing>
                <wp:inline distT="0" distB="0" distL="0" distR="0" wp14:anchorId="74BBCB0D" wp14:editId="636997B3">
                  <wp:extent cx="2051720" cy="1365326"/>
                  <wp:effectExtent l="0" t="0" r="5715" b="6350"/>
                  <wp:docPr id="38934" name="Image 11">
                    <a:extLst xmlns:a="http://schemas.openxmlformats.org/drawingml/2006/main">
                      <a:ext uri="{FF2B5EF4-FFF2-40B4-BE49-F238E27FC236}">
                        <a16:creationId xmlns:a16="http://schemas.microsoft.com/office/drawing/2014/main" id="{0DC6E50A-E67C-4B07-B068-B9D3CDF1586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1">
                            <a:extLst>
                              <a:ext uri="{FF2B5EF4-FFF2-40B4-BE49-F238E27FC236}">
                                <a16:creationId xmlns:a16="http://schemas.microsoft.com/office/drawing/2014/main" id="{0DC6E50A-E67C-4B07-B068-B9D3CDF15863}"/>
                              </a:ext>
                            </a:extLst>
                          </pic:cNvPr>
                          <pic:cNvPicPr>
                            <a:picLocks noChangeAspect="1"/>
                          </pic:cNvPicPr>
                        </pic:nvPicPr>
                        <pic:blipFill>
                          <a:blip r:embed="rId1008">
                            <a:extLst>
                              <a:ext uri="{28A0092B-C50C-407E-A947-70E740481C1C}">
                                <a14:useLocalDpi xmlns:a14="http://schemas.microsoft.com/office/drawing/2010/main" val="0"/>
                              </a:ext>
                            </a:extLst>
                          </a:blip>
                          <a:stretch>
                            <a:fillRect/>
                          </a:stretch>
                        </pic:blipFill>
                        <pic:spPr>
                          <a:xfrm>
                            <a:off x="0" y="0"/>
                            <a:ext cx="2051720" cy="1365326"/>
                          </a:xfrm>
                          <a:prstGeom prst="rect">
                            <a:avLst/>
                          </a:prstGeom>
                        </pic:spPr>
                      </pic:pic>
                    </a:graphicData>
                  </a:graphic>
                </wp:inline>
              </w:drawing>
            </w:r>
          </w:p>
        </w:tc>
        <w:tc>
          <w:tcPr>
            <w:tcW w:w="3472" w:type="dxa"/>
          </w:tcPr>
          <w:p w14:paraId="3C3CECEE" w14:textId="31F78156" w:rsidR="008C780A" w:rsidRDefault="00D22F12" w:rsidP="008C780A">
            <w:pPr>
              <w:jc w:val="center"/>
            </w:pPr>
            <w:r w:rsidRPr="00D22F12">
              <w:rPr>
                <w:noProof/>
              </w:rPr>
              <w:drawing>
                <wp:inline distT="0" distB="0" distL="0" distR="0" wp14:anchorId="7F299C2D" wp14:editId="7A5965AD">
                  <wp:extent cx="1789931" cy="1193287"/>
                  <wp:effectExtent l="0" t="0" r="1270" b="6985"/>
                  <wp:docPr id="38935" name="Image 21">
                    <a:extLst xmlns:a="http://schemas.openxmlformats.org/drawingml/2006/main">
                      <a:ext uri="{FF2B5EF4-FFF2-40B4-BE49-F238E27FC236}">
                        <a16:creationId xmlns:a16="http://schemas.microsoft.com/office/drawing/2014/main" id="{4F8BB1A7-DE7A-419A-834A-3071C64B4C1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1">
                            <a:extLst>
                              <a:ext uri="{FF2B5EF4-FFF2-40B4-BE49-F238E27FC236}">
                                <a16:creationId xmlns:a16="http://schemas.microsoft.com/office/drawing/2014/main" id="{4F8BB1A7-DE7A-419A-834A-3071C64B4C12}"/>
                              </a:ext>
                            </a:extLst>
                          </pic:cNvPr>
                          <pic:cNvPicPr>
                            <a:picLocks noChangeAspect="1"/>
                          </pic:cNvPicPr>
                        </pic:nvPicPr>
                        <pic:blipFill>
                          <a:blip r:embed="rId1009">
                            <a:extLst>
                              <a:ext uri="{28A0092B-C50C-407E-A947-70E740481C1C}">
                                <a14:useLocalDpi xmlns:a14="http://schemas.microsoft.com/office/drawing/2010/main" val="0"/>
                              </a:ext>
                            </a:extLst>
                          </a:blip>
                          <a:stretch>
                            <a:fillRect/>
                          </a:stretch>
                        </pic:blipFill>
                        <pic:spPr>
                          <a:xfrm>
                            <a:off x="0" y="0"/>
                            <a:ext cx="1789931" cy="1193287"/>
                          </a:xfrm>
                          <a:prstGeom prst="rect">
                            <a:avLst/>
                          </a:prstGeom>
                        </pic:spPr>
                      </pic:pic>
                    </a:graphicData>
                  </a:graphic>
                </wp:inline>
              </w:drawing>
            </w:r>
          </w:p>
        </w:tc>
        <w:tc>
          <w:tcPr>
            <w:tcW w:w="3472" w:type="dxa"/>
          </w:tcPr>
          <w:p w14:paraId="085A4A58" w14:textId="572BBCC1" w:rsidR="008C780A" w:rsidRDefault="00D22F12" w:rsidP="008C780A">
            <w:pPr>
              <w:jc w:val="center"/>
            </w:pPr>
            <w:r w:rsidRPr="00D22F12">
              <w:rPr>
                <w:noProof/>
              </w:rPr>
              <w:drawing>
                <wp:inline distT="0" distB="0" distL="0" distR="0" wp14:anchorId="43F52E20" wp14:editId="2FF75EB0">
                  <wp:extent cx="1730261" cy="1216590"/>
                  <wp:effectExtent l="0" t="0" r="3810" b="3175"/>
                  <wp:docPr id="38936" name="Image 19">
                    <a:extLst xmlns:a="http://schemas.openxmlformats.org/drawingml/2006/main">
                      <a:ext uri="{FF2B5EF4-FFF2-40B4-BE49-F238E27FC236}">
                        <a16:creationId xmlns:a16="http://schemas.microsoft.com/office/drawing/2014/main" id="{35668022-7850-470F-B27E-BA5550E0E09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19">
                            <a:extLst>
                              <a:ext uri="{FF2B5EF4-FFF2-40B4-BE49-F238E27FC236}">
                                <a16:creationId xmlns:a16="http://schemas.microsoft.com/office/drawing/2014/main" id="{35668022-7850-470F-B27E-BA5550E0E099}"/>
                              </a:ext>
                            </a:extLst>
                          </pic:cNvPr>
                          <pic:cNvPicPr>
                            <a:picLocks noChangeAspect="1"/>
                          </pic:cNvPicPr>
                        </pic:nvPicPr>
                        <pic:blipFill>
                          <a:blip r:embed="rId1010">
                            <a:extLst>
                              <a:ext uri="{28A0092B-C50C-407E-A947-70E740481C1C}">
                                <a14:useLocalDpi xmlns:a14="http://schemas.microsoft.com/office/drawing/2010/main" val="0"/>
                              </a:ext>
                            </a:extLst>
                          </a:blip>
                          <a:stretch>
                            <a:fillRect/>
                          </a:stretch>
                        </pic:blipFill>
                        <pic:spPr>
                          <a:xfrm>
                            <a:off x="0" y="0"/>
                            <a:ext cx="1730261" cy="1216590"/>
                          </a:xfrm>
                          <a:prstGeom prst="rect">
                            <a:avLst/>
                          </a:prstGeom>
                        </pic:spPr>
                      </pic:pic>
                    </a:graphicData>
                  </a:graphic>
                </wp:inline>
              </w:drawing>
            </w:r>
          </w:p>
        </w:tc>
      </w:tr>
      <w:tr w:rsidR="008C780A" w14:paraId="06FF0DC2" w14:textId="77777777" w:rsidTr="00D22F12">
        <w:tc>
          <w:tcPr>
            <w:tcW w:w="3472" w:type="dxa"/>
          </w:tcPr>
          <w:p w14:paraId="41EEC589" w14:textId="77777777" w:rsidR="00D22F12" w:rsidRDefault="00D22F12" w:rsidP="008C780A">
            <w:pPr>
              <w:jc w:val="center"/>
            </w:pPr>
          </w:p>
          <w:p w14:paraId="39784FAE" w14:textId="7A2393EC" w:rsidR="008C780A" w:rsidRDefault="00D22F12" w:rsidP="008C780A">
            <w:pPr>
              <w:jc w:val="center"/>
            </w:pPr>
            <w:r w:rsidRPr="00D22F12">
              <w:rPr>
                <w:noProof/>
              </w:rPr>
              <w:drawing>
                <wp:inline distT="0" distB="0" distL="0" distR="0" wp14:anchorId="57F6A1F1" wp14:editId="2BAF6E9F">
                  <wp:extent cx="1143000" cy="857250"/>
                  <wp:effectExtent l="0" t="0" r="0" b="0"/>
                  <wp:docPr id="38937" name="Image 13">
                    <a:extLst xmlns:a="http://schemas.openxmlformats.org/drawingml/2006/main">
                      <a:ext uri="{FF2B5EF4-FFF2-40B4-BE49-F238E27FC236}">
                        <a16:creationId xmlns:a16="http://schemas.microsoft.com/office/drawing/2014/main" id="{B58083D5-9AE9-4E7F-899D-207CFD66260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3">
                            <a:extLst>
                              <a:ext uri="{FF2B5EF4-FFF2-40B4-BE49-F238E27FC236}">
                                <a16:creationId xmlns:a16="http://schemas.microsoft.com/office/drawing/2014/main" id="{B58083D5-9AE9-4E7F-899D-207CFD66260C}"/>
                              </a:ext>
                            </a:extLst>
                          </pic:cNvPr>
                          <pic:cNvPicPr>
                            <a:picLocks noChangeAspect="1"/>
                          </pic:cNvPicPr>
                        </pic:nvPicPr>
                        <pic:blipFill>
                          <a:blip r:embed="rId1011">
                            <a:extLst>
                              <a:ext uri="{28A0092B-C50C-407E-A947-70E740481C1C}">
                                <a14:useLocalDpi xmlns:a14="http://schemas.microsoft.com/office/drawing/2010/main" val="0"/>
                              </a:ext>
                            </a:extLst>
                          </a:blip>
                          <a:stretch>
                            <a:fillRect/>
                          </a:stretch>
                        </pic:blipFill>
                        <pic:spPr>
                          <a:xfrm>
                            <a:off x="0" y="0"/>
                            <a:ext cx="1143000" cy="857250"/>
                          </a:xfrm>
                          <a:prstGeom prst="rect">
                            <a:avLst/>
                          </a:prstGeom>
                        </pic:spPr>
                      </pic:pic>
                    </a:graphicData>
                  </a:graphic>
                </wp:inline>
              </w:drawing>
            </w:r>
          </w:p>
        </w:tc>
        <w:tc>
          <w:tcPr>
            <w:tcW w:w="3472" w:type="dxa"/>
          </w:tcPr>
          <w:p w14:paraId="5795A046" w14:textId="254A9C87" w:rsidR="008C780A" w:rsidRDefault="00D22F12" w:rsidP="008C780A">
            <w:pPr>
              <w:jc w:val="center"/>
            </w:pPr>
            <w:r w:rsidRPr="00D22F12">
              <w:rPr>
                <w:noProof/>
              </w:rPr>
              <w:drawing>
                <wp:inline distT="0" distB="0" distL="0" distR="0" wp14:anchorId="3A63A42F" wp14:editId="1B9E814F">
                  <wp:extent cx="1606351" cy="1204763"/>
                  <wp:effectExtent l="0" t="0" r="0" b="0"/>
                  <wp:docPr id="38938" name="Image 15">
                    <a:extLst xmlns:a="http://schemas.openxmlformats.org/drawingml/2006/main">
                      <a:ext uri="{FF2B5EF4-FFF2-40B4-BE49-F238E27FC236}">
                        <a16:creationId xmlns:a16="http://schemas.microsoft.com/office/drawing/2014/main" id="{8FFBCF34-D002-497A-A718-A49B876CA05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5">
                            <a:extLst>
                              <a:ext uri="{FF2B5EF4-FFF2-40B4-BE49-F238E27FC236}">
                                <a16:creationId xmlns:a16="http://schemas.microsoft.com/office/drawing/2014/main" id="{8FFBCF34-D002-497A-A718-A49B876CA054}"/>
                              </a:ext>
                            </a:extLst>
                          </pic:cNvPr>
                          <pic:cNvPicPr>
                            <a:picLocks noChangeAspect="1"/>
                          </pic:cNvPicPr>
                        </pic:nvPicPr>
                        <pic:blipFill>
                          <a:blip r:embed="rId1012">
                            <a:extLst>
                              <a:ext uri="{28A0092B-C50C-407E-A947-70E740481C1C}">
                                <a14:useLocalDpi xmlns:a14="http://schemas.microsoft.com/office/drawing/2010/main" val="0"/>
                              </a:ext>
                            </a:extLst>
                          </a:blip>
                          <a:stretch>
                            <a:fillRect/>
                          </a:stretch>
                        </pic:blipFill>
                        <pic:spPr>
                          <a:xfrm>
                            <a:off x="0" y="0"/>
                            <a:ext cx="1606351" cy="1204763"/>
                          </a:xfrm>
                          <a:prstGeom prst="rect">
                            <a:avLst/>
                          </a:prstGeom>
                        </pic:spPr>
                      </pic:pic>
                    </a:graphicData>
                  </a:graphic>
                </wp:inline>
              </w:drawing>
            </w:r>
          </w:p>
        </w:tc>
        <w:tc>
          <w:tcPr>
            <w:tcW w:w="3472" w:type="dxa"/>
          </w:tcPr>
          <w:p w14:paraId="22328402" w14:textId="3A0C2768" w:rsidR="008C780A" w:rsidRDefault="00D22F12" w:rsidP="008C780A">
            <w:pPr>
              <w:jc w:val="center"/>
            </w:pPr>
            <w:r w:rsidRPr="00D22F12">
              <w:rPr>
                <w:noProof/>
              </w:rPr>
              <w:drawing>
                <wp:inline distT="0" distB="0" distL="0" distR="0" wp14:anchorId="7F5097D8" wp14:editId="51DE3C38">
                  <wp:extent cx="1472359" cy="1043404"/>
                  <wp:effectExtent l="0" t="0" r="0" b="4445"/>
                  <wp:docPr id="38939" name="Image 17">
                    <a:extLst xmlns:a="http://schemas.openxmlformats.org/drawingml/2006/main">
                      <a:ext uri="{FF2B5EF4-FFF2-40B4-BE49-F238E27FC236}">
                        <a16:creationId xmlns:a16="http://schemas.microsoft.com/office/drawing/2014/main" id="{D7BFBDE0-1AAE-42F7-8B4F-B9CA72B8696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7">
                            <a:extLst>
                              <a:ext uri="{FF2B5EF4-FFF2-40B4-BE49-F238E27FC236}">
                                <a16:creationId xmlns:a16="http://schemas.microsoft.com/office/drawing/2014/main" id="{D7BFBDE0-1AAE-42F7-8B4F-B9CA72B86967}"/>
                              </a:ext>
                            </a:extLst>
                          </pic:cNvPr>
                          <pic:cNvPicPr>
                            <a:picLocks noChangeAspect="1"/>
                          </pic:cNvPicPr>
                        </pic:nvPicPr>
                        <pic:blipFill>
                          <a:blip r:embed="rId1013">
                            <a:extLst>
                              <a:ext uri="{28A0092B-C50C-407E-A947-70E740481C1C}">
                                <a14:useLocalDpi xmlns:a14="http://schemas.microsoft.com/office/drawing/2010/main" val="0"/>
                              </a:ext>
                            </a:extLst>
                          </a:blip>
                          <a:stretch>
                            <a:fillRect/>
                          </a:stretch>
                        </pic:blipFill>
                        <pic:spPr>
                          <a:xfrm>
                            <a:off x="0" y="0"/>
                            <a:ext cx="1472359" cy="1043404"/>
                          </a:xfrm>
                          <a:prstGeom prst="rect">
                            <a:avLst/>
                          </a:prstGeom>
                        </pic:spPr>
                      </pic:pic>
                    </a:graphicData>
                  </a:graphic>
                </wp:inline>
              </w:drawing>
            </w:r>
          </w:p>
        </w:tc>
      </w:tr>
    </w:tbl>
    <w:p w14:paraId="72DDCEF5" w14:textId="77777777" w:rsidR="00EF1A93" w:rsidRDefault="00EF1A93" w:rsidP="00D22F12">
      <w:pPr>
        <w:spacing w:after="0" w:line="240" w:lineRule="auto"/>
      </w:pPr>
    </w:p>
    <w:p w14:paraId="218E7EE5" w14:textId="77777777" w:rsidR="00D22F12" w:rsidRDefault="00D22F12" w:rsidP="00D87D3F">
      <w:pPr>
        <w:pStyle w:val="Titre2"/>
      </w:pPr>
      <w:bookmarkStart w:id="106" w:name="_Toc139181397"/>
      <w:r>
        <w:t>Cocotier (</w:t>
      </w:r>
      <w:r w:rsidRPr="00D87D3F">
        <w:rPr>
          <w:i/>
          <w:iCs/>
        </w:rPr>
        <w:t>Cocos nucifera</w:t>
      </w:r>
      <w:r>
        <w:t>)</w:t>
      </w:r>
      <w:bookmarkEnd w:id="106"/>
    </w:p>
    <w:p w14:paraId="72A6E830" w14:textId="77777777" w:rsidR="00D22F12" w:rsidRDefault="00D22F12" w:rsidP="00D22F12">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3118"/>
        <w:gridCol w:w="1276"/>
        <w:gridCol w:w="269"/>
        <w:gridCol w:w="1368"/>
      </w:tblGrid>
      <w:tr w:rsidR="00D22F12" w:rsidRPr="000B6BE3" w14:paraId="5F8E7FCD" w14:textId="77777777" w:rsidTr="005F7B42">
        <w:tc>
          <w:tcPr>
            <w:tcW w:w="4395" w:type="dxa"/>
          </w:tcPr>
          <w:p w14:paraId="082660D8" w14:textId="77777777" w:rsidR="00D22F12" w:rsidRPr="000B6BE3" w:rsidRDefault="00D22F12" w:rsidP="005F7B42">
            <w:pPr>
              <w:jc w:val="both"/>
              <w:rPr>
                <w:rFonts w:cstheme="minorHAnsi"/>
              </w:rPr>
            </w:pPr>
            <w:r>
              <w:t>(T</w:t>
            </w:r>
            <w:r w:rsidRPr="00660F86">
              <w:t>ribu des </w:t>
            </w:r>
            <w:hyperlink r:id="rId1014" w:history="1">
              <w:r w:rsidRPr="00660F86">
                <w:rPr>
                  <w:rStyle w:val="Lienhypertexte"/>
                  <w:i/>
                  <w:iCs/>
                </w:rPr>
                <w:t>Cocoeae</w:t>
              </w:r>
            </w:hyperlink>
            <w:r>
              <w:t>)</w:t>
            </w:r>
          </w:p>
        </w:tc>
        <w:tc>
          <w:tcPr>
            <w:tcW w:w="3118" w:type="dxa"/>
          </w:tcPr>
          <w:p w14:paraId="435DE50F" w14:textId="77777777" w:rsidR="00D22F12" w:rsidRPr="000B6BE3" w:rsidRDefault="00D22F12" w:rsidP="005F7B42">
            <w:pPr>
              <w:rPr>
                <w:rFonts w:cstheme="minorHAnsi"/>
              </w:rPr>
            </w:pPr>
            <w:r w:rsidRPr="000B6BE3">
              <w:rPr>
                <w:rFonts w:cstheme="minorHAnsi"/>
                <w:noProof/>
              </w:rPr>
              <w:t xml:space="preserve">  </w:t>
            </w:r>
            <w:r>
              <w:rPr>
                <w:rFonts w:cstheme="minorHAnsi"/>
                <w:noProof/>
              </w:rPr>
              <w:t xml:space="preserve">      </w:t>
            </w:r>
            <w:r w:rsidRPr="008F2681">
              <w:rPr>
                <w:rFonts w:cstheme="minorHAnsi"/>
                <w:noProof/>
              </w:rPr>
              <w:drawing>
                <wp:inline distT="0" distB="0" distL="0" distR="0" wp14:anchorId="35E8BE50" wp14:editId="3CD9CB38">
                  <wp:extent cx="463550" cy="661988"/>
                  <wp:effectExtent l="0" t="0" r="0" b="5080"/>
                  <wp:docPr id="50205"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r w:rsidRPr="00C60236">
              <w:rPr>
                <w:rFonts w:cstheme="minorHAnsi"/>
                <w:noProof/>
              </w:rPr>
              <w:drawing>
                <wp:inline distT="0" distB="0" distL="0" distR="0" wp14:anchorId="0A55FA1D" wp14:editId="1F68EB0D">
                  <wp:extent cx="942975" cy="742950"/>
                  <wp:effectExtent l="0" t="0" r="9525" b="0"/>
                  <wp:docPr id="50206" name="Image 14" descr="Une image contenant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91" name="Image 14" descr="Une image contenant plante&#10;&#10;Description générée automatiquement"/>
                          <pic:cNvPicPr>
                            <a:picLocks noChangeAspect="1"/>
                          </pic:cNvPicPr>
                        </pic:nvPicPr>
                        <pic:blipFill>
                          <a:blip r:embed="rId135">
                            <a:extLst>
                              <a:ext uri="{28A0092B-C50C-407E-A947-70E740481C1C}">
                                <a14:useLocalDpi xmlns:a14="http://schemas.microsoft.com/office/drawing/2010/main" val="0"/>
                              </a:ext>
                            </a:extLst>
                          </a:blip>
                          <a:stretch>
                            <a:fillRect/>
                          </a:stretch>
                        </pic:blipFill>
                        <pic:spPr>
                          <a:xfrm>
                            <a:off x="0" y="0"/>
                            <a:ext cx="942975" cy="742950"/>
                          </a:xfrm>
                          <a:prstGeom prst="rect">
                            <a:avLst/>
                          </a:prstGeom>
                        </pic:spPr>
                      </pic:pic>
                    </a:graphicData>
                  </a:graphic>
                </wp:inline>
              </w:drawing>
            </w:r>
            <w:r>
              <w:rPr>
                <w:rFonts w:cstheme="minorHAnsi"/>
                <w:noProof/>
              </w:rPr>
              <w:t xml:space="preserve"> </w:t>
            </w:r>
          </w:p>
        </w:tc>
        <w:tc>
          <w:tcPr>
            <w:tcW w:w="1276" w:type="dxa"/>
          </w:tcPr>
          <w:p w14:paraId="042938D5" w14:textId="77777777" w:rsidR="00D22F12" w:rsidRPr="000B6BE3" w:rsidRDefault="00D22F12" w:rsidP="005F7B42">
            <w:pPr>
              <w:rPr>
                <w:rFonts w:cstheme="minorHAnsi"/>
              </w:rPr>
            </w:pPr>
            <w:r w:rsidRPr="00D1445E">
              <w:rPr>
                <w:rFonts w:eastAsia="+mn-ea" w:cstheme="minorHAnsi"/>
                <w:b/>
                <w:bCs/>
                <w:color w:val="008000"/>
                <w:kern w:val="24"/>
                <w:sz w:val="56"/>
                <w:szCs w:val="56"/>
              </w:rPr>
              <w:t>U</w:t>
            </w:r>
          </w:p>
        </w:tc>
        <w:tc>
          <w:tcPr>
            <w:tcW w:w="269" w:type="dxa"/>
          </w:tcPr>
          <w:p w14:paraId="3C7608B0" w14:textId="77777777" w:rsidR="00D22F12" w:rsidRPr="000B6BE3" w:rsidRDefault="00D22F12" w:rsidP="005F7B42">
            <w:pPr>
              <w:rPr>
                <w:rFonts w:cstheme="minorHAnsi"/>
              </w:rPr>
            </w:pPr>
          </w:p>
        </w:tc>
        <w:tc>
          <w:tcPr>
            <w:tcW w:w="1368" w:type="dxa"/>
          </w:tcPr>
          <w:p w14:paraId="17382274" w14:textId="77777777" w:rsidR="00D22F12" w:rsidRPr="000B6BE3" w:rsidRDefault="00D22F12" w:rsidP="005F7B42">
            <w:pPr>
              <w:rPr>
                <w:rFonts w:cstheme="minorHAnsi"/>
              </w:rPr>
            </w:pPr>
          </w:p>
        </w:tc>
      </w:tr>
    </w:tbl>
    <w:p w14:paraId="78C9B622" w14:textId="77777777" w:rsidR="00D22F12" w:rsidRDefault="00D22F12" w:rsidP="00D22F12">
      <w:pPr>
        <w:spacing w:after="0" w:line="240" w:lineRule="auto"/>
      </w:pPr>
    </w:p>
    <w:p w14:paraId="6D5D2E4F" w14:textId="77777777" w:rsidR="00D22F12" w:rsidRDefault="00D22F12" w:rsidP="00D22F12">
      <w:pPr>
        <w:spacing w:after="0" w:line="240" w:lineRule="auto"/>
        <w:jc w:val="both"/>
      </w:pPr>
      <w:r>
        <w:t>Palmier monoïque de la tribu des Cocoeae, présent dans toute la zone intertropicale humide. Surtout cultivé le long des côtes, il n'y reste pas confiné. En Inde, il est planté jusqu'à mille mètres d'altitude. La longévité de la plante dépasse un siècle.</w:t>
      </w:r>
    </w:p>
    <w:p w14:paraId="2AC6858F" w14:textId="77777777" w:rsidR="00D22F12" w:rsidRDefault="00D22F12" w:rsidP="00D22F12">
      <w:pPr>
        <w:spacing w:after="0" w:line="240" w:lineRule="auto"/>
        <w:jc w:val="both"/>
      </w:pPr>
      <w:r>
        <w:t>La dissémination du cocotier est due à la flottaison des fruits au gré des courants marins et, beaucoup plus tardivement, aux voyages et migrations humaines. Il produit des inflorescences avec des fleurs femelles et des fleurs mâles. Il peut donc se féconder lui-même ; la plupart des cocotiers nains se reproduisent d’ailleurs de cette façon.</w:t>
      </w:r>
    </w:p>
    <w:p w14:paraId="1CFE9857" w14:textId="77777777" w:rsidR="00D22F12" w:rsidRDefault="00D22F12" w:rsidP="00D22F12">
      <w:pPr>
        <w:spacing w:after="0" w:line="240" w:lineRule="auto"/>
        <w:jc w:val="both"/>
      </w:pPr>
      <w:r>
        <w:t>La pulpe séchée, se composant à 60-70 % de lipides, est appelée coprah. Celui-ci sert à la fabrication d'huile utilisée dans la confection de margarine, de savon et de monoï. Les noix de coco immatures contiennent un liquide sucré, l'eau de coco, qui est une boisson rafraîchissante. La pulpe de la noix de coco comestible est râpée puis pressée pour en extraire le lait de coco.</w:t>
      </w:r>
    </w:p>
    <w:p w14:paraId="6E270FD4" w14:textId="77777777" w:rsidR="00D22F12" w:rsidRDefault="00D22F12" w:rsidP="00D22F12">
      <w:pPr>
        <w:spacing w:after="0" w:line="240" w:lineRule="auto"/>
        <w:jc w:val="both"/>
      </w:pPr>
      <w:r>
        <w:t>La fibre de coco entourant la coque de la noix de coco, est utilisé pour faire des brosses, paillassons, matelas et des cordes.</w:t>
      </w:r>
    </w:p>
    <w:p w14:paraId="6B972A21" w14:textId="77777777" w:rsidR="00D22F12" w:rsidRDefault="00D22F12" w:rsidP="00D22F12">
      <w:pPr>
        <w:spacing w:after="0" w:line="240" w:lineRule="auto"/>
        <w:jc w:val="both"/>
      </w:pPr>
      <w:r>
        <w:t xml:space="preserve">Certains cultivars comme Grand Panama, Nain Brun Nouvelle Guinée et son hybride, avec le Grand Rotuma, sont plus résistants à la sècheresse. </w:t>
      </w:r>
    </w:p>
    <w:p w14:paraId="21382668" w14:textId="77777777" w:rsidR="00D22F12" w:rsidRDefault="00D22F12" w:rsidP="00D22F12">
      <w:pPr>
        <w:spacing w:after="0" w:line="240" w:lineRule="auto"/>
        <w:jc w:val="both"/>
      </w:pPr>
      <w:r>
        <w:t>Le cocotier est très tolérant au sel et aux embruns.</w:t>
      </w:r>
    </w:p>
    <w:p w14:paraId="02262559" w14:textId="77777777" w:rsidR="00D22F12" w:rsidRDefault="00D22F12" w:rsidP="00D22F12">
      <w:pPr>
        <w:spacing w:after="0" w:line="240" w:lineRule="auto"/>
      </w:pPr>
      <w:r>
        <w:t xml:space="preserve">Sources : a) </w:t>
      </w:r>
      <w:hyperlink r:id="rId1015" w:history="1">
        <w:r w:rsidRPr="00AF787D">
          <w:rPr>
            <w:rStyle w:val="Lienhypertexte"/>
          </w:rPr>
          <w:t>http://fr.wikipedia.org/wiki/Cocos_nucifera</w:t>
        </w:r>
      </w:hyperlink>
      <w:r>
        <w:t xml:space="preserve">, b) </w:t>
      </w:r>
      <w:hyperlink r:id="rId1016" w:history="1">
        <w:r w:rsidRPr="00AF787D">
          <w:rPr>
            <w:rStyle w:val="Lienhypertexte"/>
          </w:rPr>
          <w:t>http://en.wikipedia.org/wiki/Coconut</w:t>
        </w:r>
      </w:hyperlink>
      <w:r>
        <w:t xml:space="preserve">  </w:t>
      </w:r>
    </w:p>
    <w:p w14:paraId="0C737857" w14:textId="77777777" w:rsidR="00D22F12" w:rsidRDefault="00D22F12" w:rsidP="00D22F12">
      <w:pPr>
        <w:spacing w:after="0" w:line="240" w:lineRule="auto"/>
      </w:pPr>
      <w:r>
        <w:lastRenderedPageBreak/>
        <w:t xml:space="preserve">c) </w:t>
      </w:r>
      <w:hyperlink r:id="rId1017" w:history="1">
        <w:r w:rsidRPr="00AF787D">
          <w:rPr>
            <w:rStyle w:val="Lienhypertexte"/>
          </w:rPr>
          <w:t>http://publications.cirad.fr/une_notice.php?dk=537539</w:t>
        </w:r>
      </w:hyperlink>
    </w:p>
    <w:p w14:paraId="44DC4D24" w14:textId="77777777" w:rsidR="00D22F12" w:rsidRDefault="00D22F12" w:rsidP="00D22F12">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1736"/>
        <w:gridCol w:w="1736"/>
        <w:gridCol w:w="3472"/>
      </w:tblGrid>
      <w:tr w:rsidR="00D22F12" w14:paraId="6AE2FA12" w14:textId="77777777" w:rsidTr="005F7B42">
        <w:tc>
          <w:tcPr>
            <w:tcW w:w="3472" w:type="dxa"/>
          </w:tcPr>
          <w:p w14:paraId="52883D01" w14:textId="77777777" w:rsidR="00D22F12" w:rsidRDefault="00D22F12" w:rsidP="005F7B42">
            <w:pPr>
              <w:jc w:val="center"/>
            </w:pPr>
            <w:r w:rsidRPr="007E24A4">
              <w:rPr>
                <w:noProof/>
              </w:rPr>
              <w:drawing>
                <wp:inline distT="0" distB="0" distL="0" distR="0" wp14:anchorId="170E1443" wp14:editId="122C0D35">
                  <wp:extent cx="1492065" cy="990600"/>
                  <wp:effectExtent l="0" t="0" r="0" b="0"/>
                  <wp:docPr id="38913" name="Picture 4" descr="C:\Users\LISAN\Pictures\plantes-halophytes-xerophiles\Cocos_nucifera_plantation_in_continental_India_(Nage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4" descr="C:\Users\LISAN\Pictures\plantes-halophytes-xerophiles\Cocos_nucifera_plantation_in_continental_India_(Nagesh).jpg"/>
                          <pic:cNvPicPr>
                            <a:picLocks noChangeAspect="1" noChangeArrowheads="1"/>
                          </pic:cNvPicPr>
                        </pic:nvPicPr>
                        <pic:blipFill>
                          <a:blip r:embed="rId1018">
                            <a:extLst>
                              <a:ext uri="{28A0092B-C50C-407E-A947-70E740481C1C}">
                                <a14:useLocalDpi xmlns:a14="http://schemas.microsoft.com/office/drawing/2010/main" val="0"/>
                              </a:ext>
                            </a:extLst>
                          </a:blip>
                          <a:srcRect/>
                          <a:stretch>
                            <a:fillRect/>
                          </a:stretch>
                        </pic:blipFill>
                        <pic:spPr bwMode="auto">
                          <a:xfrm>
                            <a:off x="0" y="0"/>
                            <a:ext cx="1495476" cy="992865"/>
                          </a:xfrm>
                          <a:prstGeom prst="rect">
                            <a:avLst/>
                          </a:prstGeom>
                          <a:noFill/>
                          <a:ln>
                            <a:noFill/>
                          </a:ln>
                        </pic:spPr>
                      </pic:pic>
                    </a:graphicData>
                  </a:graphic>
                </wp:inline>
              </w:drawing>
            </w:r>
          </w:p>
          <w:p w14:paraId="4F991F3C" w14:textId="77777777" w:rsidR="00D22F12" w:rsidRDefault="00D22F12" w:rsidP="005F7B42">
            <w:pPr>
              <w:jc w:val="center"/>
            </w:pPr>
            <w:r>
              <w:t>Plantation en Inde.</w:t>
            </w:r>
          </w:p>
          <w:p w14:paraId="405032C3" w14:textId="77777777" w:rsidR="00D22F12" w:rsidRDefault="00D22F12" w:rsidP="005F7B42">
            <w:pPr>
              <w:jc w:val="center"/>
            </w:pPr>
          </w:p>
        </w:tc>
        <w:tc>
          <w:tcPr>
            <w:tcW w:w="3472" w:type="dxa"/>
            <w:gridSpan w:val="2"/>
          </w:tcPr>
          <w:p w14:paraId="5FB8473E" w14:textId="77777777" w:rsidR="00D22F12" w:rsidRDefault="00D22F12" w:rsidP="005F7B42">
            <w:pPr>
              <w:jc w:val="center"/>
            </w:pPr>
            <w:r w:rsidRPr="007E24A4">
              <w:rPr>
                <w:noProof/>
              </w:rPr>
              <w:drawing>
                <wp:inline distT="0" distB="0" distL="0" distR="0" wp14:anchorId="3F036CF1" wp14:editId="0177265B">
                  <wp:extent cx="1323975" cy="990600"/>
                  <wp:effectExtent l="0" t="0" r="9525" b="0"/>
                  <wp:docPr id="38914" name="Picture 7" descr="C:\Users\LISAN\Pictures\plantes-halophytes-xerophiles\Cocotie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7" descr="C:\Users\LISAN\Pictures\plantes-halophytes-xerophiles\Cocotier3.jpg"/>
                          <pic:cNvPicPr>
                            <a:picLocks noChangeAspect="1" noChangeArrowheads="1"/>
                          </pic:cNvPicPr>
                        </pic:nvPicPr>
                        <pic:blipFill>
                          <a:blip r:embed="rId1019">
                            <a:extLst>
                              <a:ext uri="{28A0092B-C50C-407E-A947-70E740481C1C}">
                                <a14:useLocalDpi xmlns:a14="http://schemas.microsoft.com/office/drawing/2010/main" val="0"/>
                              </a:ext>
                            </a:extLst>
                          </a:blip>
                          <a:srcRect/>
                          <a:stretch>
                            <a:fillRect/>
                          </a:stretch>
                        </pic:blipFill>
                        <pic:spPr bwMode="auto">
                          <a:xfrm>
                            <a:off x="0" y="0"/>
                            <a:ext cx="1323975" cy="990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3B91FEA6" w14:textId="77777777" w:rsidR="00D22F12" w:rsidRDefault="00D22F12" w:rsidP="005F7B42">
            <w:pPr>
              <w:jc w:val="center"/>
            </w:pPr>
            <w:r w:rsidRPr="007E24A4">
              <w:rPr>
                <w:noProof/>
              </w:rPr>
              <w:drawing>
                <wp:inline distT="0" distB="0" distL="0" distR="0" wp14:anchorId="53072B80" wp14:editId="551CC16A">
                  <wp:extent cx="1347788" cy="1009650"/>
                  <wp:effectExtent l="0" t="0" r="5080" b="0"/>
                  <wp:docPr id="38915" name="Picture 6" descr="C:\Users\LISAN\Pictures\plantes-halophytes-xerophiles\Cocotie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6" descr="C:\Users\LISAN\Pictures\plantes-halophytes-xerophiles\Cocotier2.jpg"/>
                          <pic:cNvPicPr>
                            <a:picLocks noChangeAspect="1" noChangeArrowheads="1"/>
                          </pic:cNvPicPr>
                        </pic:nvPicPr>
                        <pic:blipFill>
                          <a:blip r:embed="rId1020">
                            <a:extLst>
                              <a:ext uri="{28A0092B-C50C-407E-A947-70E740481C1C}">
                                <a14:useLocalDpi xmlns:a14="http://schemas.microsoft.com/office/drawing/2010/main" val="0"/>
                              </a:ext>
                            </a:extLst>
                          </a:blip>
                          <a:srcRect/>
                          <a:stretch>
                            <a:fillRect/>
                          </a:stretch>
                        </pic:blipFill>
                        <pic:spPr bwMode="auto">
                          <a:xfrm>
                            <a:off x="0" y="0"/>
                            <a:ext cx="1347788" cy="1009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D22F12" w14:paraId="306526B8" w14:textId="77777777" w:rsidTr="005F7B42">
        <w:tc>
          <w:tcPr>
            <w:tcW w:w="3472" w:type="dxa"/>
          </w:tcPr>
          <w:p w14:paraId="20A08797" w14:textId="77777777" w:rsidR="00D22F12" w:rsidRPr="007E24A4" w:rsidRDefault="00D22F12" w:rsidP="005F7B42">
            <w:pPr>
              <w:jc w:val="center"/>
            </w:pPr>
            <w:r w:rsidRPr="007E24A4">
              <w:rPr>
                <w:noProof/>
              </w:rPr>
              <w:drawing>
                <wp:inline distT="0" distB="0" distL="0" distR="0" wp14:anchorId="4B34E4BC" wp14:editId="4737E959">
                  <wp:extent cx="811212" cy="1079500"/>
                  <wp:effectExtent l="0" t="0" r="8255" b="6350"/>
                  <wp:docPr id="38916" name="Picture 8" descr="C:\Users\LISAN\Pictures\plantes-halophytes-xerophiles\Cocotie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8" descr="C:\Users\LISAN\Pictures\plantes-halophytes-xerophiles\Cocotier4.jpg"/>
                          <pic:cNvPicPr>
                            <a:picLocks noChangeAspect="1" noChangeArrowheads="1"/>
                          </pic:cNvPicPr>
                        </pic:nvPicPr>
                        <pic:blipFill>
                          <a:blip r:embed="rId1021">
                            <a:extLst>
                              <a:ext uri="{28A0092B-C50C-407E-A947-70E740481C1C}">
                                <a14:useLocalDpi xmlns:a14="http://schemas.microsoft.com/office/drawing/2010/main" val="0"/>
                              </a:ext>
                            </a:extLst>
                          </a:blip>
                          <a:srcRect/>
                          <a:stretch>
                            <a:fillRect/>
                          </a:stretch>
                        </pic:blipFill>
                        <pic:spPr bwMode="auto">
                          <a:xfrm>
                            <a:off x="0" y="0"/>
                            <a:ext cx="811212" cy="1079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gridSpan w:val="2"/>
          </w:tcPr>
          <w:p w14:paraId="497E79DB" w14:textId="77777777" w:rsidR="00D22F12" w:rsidRPr="007E24A4" w:rsidRDefault="00D22F12" w:rsidP="005F7B42">
            <w:pPr>
              <w:jc w:val="center"/>
            </w:pPr>
            <w:r w:rsidRPr="007E24A4">
              <w:rPr>
                <w:noProof/>
              </w:rPr>
              <w:drawing>
                <wp:inline distT="0" distB="0" distL="0" distR="0" wp14:anchorId="46FFC822" wp14:editId="5DADA128">
                  <wp:extent cx="1503363" cy="1128712"/>
                  <wp:effectExtent l="0" t="0" r="1905" b="0"/>
                  <wp:docPr id="38917" name="Picture 9" descr="C:\Users\LISAN\Pictures\plantes-halophytes-xerophiles\Cocotie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9" descr="C:\Users\LISAN\Pictures\plantes-halophytes-xerophiles\Cocotier5.jpg"/>
                          <pic:cNvPicPr>
                            <a:picLocks noChangeAspect="1" noChangeArrowheads="1"/>
                          </pic:cNvPicPr>
                        </pic:nvPicPr>
                        <pic:blipFill>
                          <a:blip r:embed="rId1022">
                            <a:extLst>
                              <a:ext uri="{28A0092B-C50C-407E-A947-70E740481C1C}">
                                <a14:useLocalDpi xmlns:a14="http://schemas.microsoft.com/office/drawing/2010/main" val="0"/>
                              </a:ext>
                            </a:extLst>
                          </a:blip>
                          <a:srcRect/>
                          <a:stretch>
                            <a:fillRect/>
                          </a:stretch>
                        </pic:blipFill>
                        <pic:spPr bwMode="auto">
                          <a:xfrm>
                            <a:off x="0" y="0"/>
                            <a:ext cx="1503363" cy="11287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t xml:space="preserve"> </w:t>
            </w:r>
          </w:p>
        </w:tc>
        <w:tc>
          <w:tcPr>
            <w:tcW w:w="3472" w:type="dxa"/>
          </w:tcPr>
          <w:p w14:paraId="1415A3C6" w14:textId="77777777" w:rsidR="00D22F12" w:rsidRDefault="00D22F12" w:rsidP="005F7B42">
            <w:pPr>
              <w:jc w:val="center"/>
            </w:pPr>
            <w:r w:rsidRPr="007E24A4">
              <w:rPr>
                <w:noProof/>
              </w:rPr>
              <w:drawing>
                <wp:inline distT="0" distB="0" distL="0" distR="0" wp14:anchorId="690C6F71" wp14:editId="1D1C422E">
                  <wp:extent cx="1397000" cy="1054100"/>
                  <wp:effectExtent l="0" t="0" r="0" b="0"/>
                  <wp:docPr id="38918" name="Picture 11" descr="C:\Users\LISAN\Pictures\plantes-halophytes-xerophiles\Coconut-butter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1" descr="C:\Users\LISAN\Pictures\plantes-halophytes-xerophiles\Coconut-butter_s.jpg"/>
                          <pic:cNvPicPr>
                            <a:picLocks noChangeAspect="1" noChangeArrowheads="1"/>
                          </pic:cNvPicPr>
                        </pic:nvPicPr>
                        <pic:blipFill>
                          <a:blip r:embed="rId1023">
                            <a:extLst>
                              <a:ext uri="{28A0092B-C50C-407E-A947-70E740481C1C}">
                                <a14:useLocalDpi xmlns:a14="http://schemas.microsoft.com/office/drawing/2010/main" val="0"/>
                              </a:ext>
                            </a:extLst>
                          </a:blip>
                          <a:srcRect/>
                          <a:stretch>
                            <a:fillRect/>
                          </a:stretch>
                        </pic:blipFill>
                        <pic:spPr bwMode="auto">
                          <a:xfrm>
                            <a:off x="0" y="0"/>
                            <a:ext cx="1397000" cy="1054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D3894E9" w14:textId="77777777" w:rsidR="00D22F12" w:rsidRDefault="00D22F12" w:rsidP="005F7B42">
            <w:pPr>
              <w:jc w:val="center"/>
            </w:pPr>
            <w:r>
              <w:t>Beurre de coco.</w:t>
            </w:r>
          </w:p>
          <w:p w14:paraId="1EB5680B" w14:textId="77777777" w:rsidR="00D22F12" w:rsidRPr="007E24A4" w:rsidRDefault="00D22F12" w:rsidP="005F7B42">
            <w:pPr>
              <w:jc w:val="center"/>
            </w:pPr>
          </w:p>
        </w:tc>
      </w:tr>
      <w:tr w:rsidR="00D22F12" w14:paraId="34CAD94B" w14:textId="77777777" w:rsidTr="005F7B42">
        <w:tc>
          <w:tcPr>
            <w:tcW w:w="5208" w:type="dxa"/>
            <w:gridSpan w:val="2"/>
          </w:tcPr>
          <w:p w14:paraId="338B2794" w14:textId="77777777" w:rsidR="00D22F12" w:rsidRDefault="00D22F12" w:rsidP="005F7B42">
            <w:pPr>
              <w:jc w:val="center"/>
            </w:pPr>
            <w:r w:rsidRPr="00660F86">
              <w:rPr>
                <w:noProof/>
              </w:rPr>
              <w:drawing>
                <wp:inline distT="0" distB="0" distL="0" distR="0" wp14:anchorId="6023A96A" wp14:editId="53272504">
                  <wp:extent cx="3014437" cy="2000250"/>
                  <wp:effectExtent l="0" t="0" r="0" b="0"/>
                  <wp:docPr id="50207" name="Picture 2" descr="C:\Users\LISAN\Pictures\plantes-halophytes-xerophiles\Cocotiers-Diversite_des_frui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2" descr="C:\Users\LISAN\Pictures\plantes-halophytes-xerophiles\Cocotiers-Diversite_des_fruits.jpg"/>
                          <pic:cNvPicPr>
                            <a:picLocks noChangeAspect="1" noChangeArrowheads="1"/>
                          </pic:cNvPicPr>
                        </pic:nvPicPr>
                        <pic:blipFill>
                          <a:blip r:embed="rId1024">
                            <a:extLst>
                              <a:ext uri="{28A0092B-C50C-407E-A947-70E740481C1C}">
                                <a14:useLocalDpi xmlns:a14="http://schemas.microsoft.com/office/drawing/2010/main" val="0"/>
                              </a:ext>
                            </a:extLst>
                          </a:blip>
                          <a:srcRect/>
                          <a:stretch>
                            <a:fillRect/>
                          </a:stretch>
                        </pic:blipFill>
                        <pic:spPr bwMode="auto">
                          <a:xfrm>
                            <a:off x="0" y="0"/>
                            <a:ext cx="3015615" cy="2001032"/>
                          </a:xfrm>
                          <a:prstGeom prst="rect">
                            <a:avLst/>
                          </a:prstGeom>
                          <a:noFill/>
                          <a:ln>
                            <a:noFill/>
                          </a:ln>
                        </pic:spPr>
                      </pic:pic>
                    </a:graphicData>
                  </a:graphic>
                </wp:inline>
              </w:drawing>
            </w:r>
          </w:p>
          <w:p w14:paraId="7C7A1E39" w14:textId="77777777" w:rsidR="00D22F12" w:rsidRDefault="00D22F12" w:rsidP="005F7B42">
            <w:pPr>
              <w:jc w:val="center"/>
            </w:pPr>
            <w:r w:rsidRPr="00660F86">
              <w:t>Diversité des fruits du cocotier dans la collection internationale de </w:t>
            </w:r>
            <w:hyperlink r:id="rId1025" w:history="1">
              <w:r w:rsidRPr="00660F86">
                <w:rPr>
                  <w:rStyle w:val="Lienhypertexte"/>
                </w:rPr>
                <w:t>Côte d'Ivoire</w:t>
              </w:r>
            </w:hyperlink>
            <w:r>
              <w:t>.</w:t>
            </w:r>
          </w:p>
        </w:tc>
        <w:tc>
          <w:tcPr>
            <w:tcW w:w="5208" w:type="dxa"/>
            <w:gridSpan w:val="2"/>
          </w:tcPr>
          <w:p w14:paraId="73E65927" w14:textId="77777777" w:rsidR="00D22F12" w:rsidRDefault="00D22F12" w:rsidP="005F7B42">
            <w:pPr>
              <w:jc w:val="center"/>
            </w:pPr>
            <w:r w:rsidRPr="00660F86">
              <w:rPr>
                <w:noProof/>
              </w:rPr>
              <w:drawing>
                <wp:inline distT="0" distB="0" distL="0" distR="0" wp14:anchorId="1FC3FEAB" wp14:editId="3D0DB565">
                  <wp:extent cx="2667000" cy="2000250"/>
                  <wp:effectExtent l="0" t="0" r="0" b="0"/>
                  <wp:docPr id="38912" name="Picture 10" descr="C:\Users\LISAN\Pictures\plantes-halophytes-xerophiles\Cocotier-Biologie_de_la_reprodu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0" descr="C:\Users\LISAN\Pictures\plantes-halophytes-xerophiles\Cocotier-Biologie_de_la_reproduction.jpg"/>
                          <pic:cNvPicPr>
                            <a:picLocks noChangeAspect="1" noChangeArrowheads="1"/>
                          </pic:cNvPicPr>
                        </pic:nvPicPr>
                        <pic:blipFill>
                          <a:blip r:embed="rId1026">
                            <a:extLst>
                              <a:ext uri="{28A0092B-C50C-407E-A947-70E740481C1C}">
                                <a14:useLocalDpi xmlns:a14="http://schemas.microsoft.com/office/drawing/2010/main" val="0"/>
                              </a:ext>
                            </a:extLst>
                          </a:blip>
                          <a:srcRect/>
                          <a:stretch>
                            <a:fillRect/>
                          </a:stretch>
                        </pic:blipFill>
                        <pic:spPr bwMode="auto">
                          <a:xfrm>
                            <a:off x="0" y="0"/>
                            <a:ext cx="2669001" cy="2001751"/>
                          </a:xfrm>
                          <a:prstGeom prst="rect">
                            <a:avLst/>
                          </a:prstGeom>
                          <a:noFill/>
                          <a:ln>
                            <a:noFill/>
                          </a:ln>
                        </pic:spPr>
                      </pic:pic>
                    </a:graphicData>
                  </a:graphic>
                </wp:inline>
              </w:drawing>
            </w:r>
          </w:p>
          <w:p w14:paraId="66F73576" w14:textId="77777777" w:rsidR="00D22F12" w:rsidRDefault="00D22F12" w:rsidP="005F7B42">
            <w:pPr>
              <w:jc w:val="center"/>
            </w:pPr>
            <w:r w:rsidRPr="00660F86">
              <w:t>Les deux modes d'autofécondation possibles chez le cocotier</w:t>
            </w:r>
            <w:r>
              <w:t>.</w:t>
            </w:r>
          </w:p>
        </w:tc>
      </w:tr>
    </w:tbl>
    <w:p w14:paraId="04649400" w14:textId="77777777" w:rsidR="00D22F12" w:rsidRDefault="00D22F12" w:rsidP="00D22F12">
      <w:pPr>
        <w:spacing w:after="0" w:line="240" w:lineRule="auto"/>
      </w:pPr>
    </w:p>
    <w:p w14:paraId="7E087F71" w14:textId="77777777" w:rsidR="00C535D9" w:rsidRDefault="00C535D9" w:rsidP="00D87D3F">
      <w:pPr>
        <w:pStyle w:val="Titre2"/>
      </w:pPr>
      <w:bookmarkStart w:id="107" w:name="_Toc139181398"/>
      <w:r>
        <w:t>Raisinier bord de mer (</w:t>
      </w:r>
      <w:r w:rsidRPr="00C535D9">
        <w:rPr>
          <w:i/>
          <w:iCs/>
        </w:rPr>
        <w:t>Coccoloba uvifera</w:t>
      </w:r>
      <w:r>
        <w:t>)</w:t>
      </w:r>
      <w:bookmarkEnd w:id="107"/>
    </w:p>
    <w:p w14:paraId="270E206B" w14:textId="0B8E43F4" w:rsidR="00C535D9" w:rsidRDefault="00C535D9" w:rsidP="00C535D9">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3118"/>
        <w:gridCol w:w="1276"/>
        <w:gridCol w:w="269"/>
        <w:gridCol w:w="1368"/>
      </w:tblGrid>
      <w:tr w:rsidR="00C60236" w:rsidRPr="000B6BE3" w14:paraId="0396F1A2" w14:textId="77777777" w:rsidTr="00C60236">
        <w:tc>
          <w:tcPr>
            <w:tcW w:w="4395" w:type="dxa"/>
          </w:tcPr>
          <w:p w14:paraId="31645267" w14:textId="5888160E" w:rsidR="00C60236" w:rsidRPr="000B6BE3" w:rsidRDefault="00C60236" w:rsidP="00C60236">
            <w:pPr>
              <w:jc w:val="both"/>
              <w:rPr>
                <w:rFonts w:cstheme="minorHAnsi"/>
              </w:rPr>
            </w:pPr>
            <w:r>
              <w:t>(G</w:t>
            </w:r>
            <w:r w:rsidRPr="00C60236">
              <w:t>enre </w:t>
            </w:r>
            <w:hyperlink r:id="rId1027" w:history="1">
              <w:r w:rsidRPr="00C60236">
                <w:rPr>
                  <w:rStyle w:val="Lienhypertexte"/>
                  <w:i/>
                  <w:iCs/>
                </w:rPr>
                <w:t>Coccoloba</w:t>
              </w:r>
            </w:hyperlink>
            <w:r>
              <w:t>. F</w:t>
            </w:r>
            <w:r w:rsidRPr="00C60236">
              <w:t>amille des </w:t>
            </w:r>
            <w:hyperlink r:id="rId1028" w:history="1">
              <w:r w:rsidRPr="00C60236">
                <w:rPr>
                  <w:rStyle w:val="Lienhypertexte"/>
                  <w:i/>
                  <w:iCs/>
                </w:rPr>
                <w:t>Polygonaceae</w:t>
              </w:r>
            </w:hyperlink>
            <w:r>
              <w:t>)</w:t>
            </w:r>
          </w:p>
        </w:tc>
        <w:tc>
          <w:tcPr>
            <w:tcW w:w="3118" w:type="dxa"/>
          </w:tcPr>
          <w:p w14:paraId="70BA0A30" w14:textId="6CFA4724" w:rsidR="00C60236" w:rsidRPr="000B6BE3" w:rsidRDefault="00C60236" w:rsidP="005F7B42">
            <w:pPr>
              <w:rPr>
                <w:rFonts w:cstheme="minorHAnsi"/>
              </w:rPr>
            </w:pPr>
            <w:r w:rsidRPr="000B6BE3">
              <w:rPr>
                <w:rFonts w:cstheme="minorHAnsi"/>
                <w:noProof/>
              </w:rPr>
              <w:t xml:space="preserve">  </w:t>
            </w:r>
            <w:r>
              <w:rPr>
                <w:rFonts w:cstheme="minorHAnsi"/>
                <w:noProof/>
              </w:rPr>
              <w:t xml:space="preserve">      </w:t>
            </w:r>
            <w:r w:rsidRPr="008F2681">
              <w:rPr>
                <w:rFonts w:cstheme="minorHAnsi"/>
                <w:noProof/>
              </w:rPr>
              <w:drawing>
                <wp:inline distT="0" distB="0" distL="0" distR="0" wp14:anchorId="50C08E5F" wp14:editId="0622A709">
                  <wp:extent cx="463550" cy="661988"/>
                  <wp:effectExtent l="0" t="0" r="0" b="5080"/>
                  <wp:docPr id="9239"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r w:rsidRPr="00C60236">
              <w:rPr>
                <w:rFonts w:cstheme="minorHAnsi"/>
                <w:noProof/>
              </w:rPr>
              <w:drawing>
                <wp:inline distT="0" distB="0" distL="0" distR="0" wp14:anchorId="2B97E332" wp14:editId="7CF3B72C">
                  <wp:extent cx="942975" cy="742950"/>
                  <wp:effectExtent l="0" t="0" r="9525" b="0"/>
                  <wp:docPr id="297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4"/>
                          <pic:cNvPicPr>
                            <a:picLocks noChangeAspect="1"/>
                          </pic:cNvPicPr>
                        </pic:nvPicPr>
                        <pic:blipFill>
                          <a:blip r:embed="rId135">
                            <a:extLst>
                              <a:ext uri="{28A0092B-C50C-407E-A947-70E740481C1C}">
                                <a14:useLocalDpi xmlns:a14="http://schemas.microsoft.com/office/drawing/2010/main" val="0"/>
                              </a:ext>
                            </a:extLst>
                          </a:blip>
                          <a:stretch>
                            <a:fillRect/>
                          </a:stretch>
                        </pic:blipFill>
                        <pic:spPr>
                          <a:xfrm>
                            <a:off x="0" y="0"/>
                            <a:ext cx="942975" cy="742950"/>
                          </a:xfrm>
                          <a:prstGeom prst="rect">
                            <a:avLst/>
                          </a:prstGeom>
                        </pic:spPr>
                      </pic:pic>
                    </a:graphicData>
                  </a:graphic>
                </wp:inline>
              </w:drawing>
            </w:r>
            <w:r>
              <w:rPr>
                <w:rFonts w:cstheme="minorHAnsi"/>
                <w:noProof/>
              </w:rPr>
              <w:t xml:space="preserve"> </w:t>
            </w:r>
          </w:p>
        </w:tc>
        <w:tc>
          <w:tcPr>
            <w:tcW w:w="1276" w:type="dxa"/>
          </w:tcPr>
          <w:p w14:paraId="411B5900" w14:textId="285E09EB" w:rsidR="00C60236" w:rsidRPr="000B6BE3" w:rsidRDefault="00C60236" w:rsidP="00C60236">
            <w:pPr>
              <w:rPr>
                <w:rFonts w:cstheme="minorHAnsi"/>
              </w:rPr>
            </w:pPr>
            <w:r w:rsidRPr="00D1445E">
              <w:rPr>
                <w:rFonts w:eastAsia="+mn-ea" w:cstheme="minorHAnsi"/>
                <w:b/>
                <w:bCs/>
                <w:color w:val="008000"/>
                <w:kern w:val="24"/>
                <w:sz w:val="56"/>
                <w:szCs w:val="56"/>
              </w:rPr>
              <w:t>U</w:t>
            </w:r>
          </w:p>
        </w:tc>
        <w:tc>
          <w:tcPr>
            <w:tcW w:w="269" w:type="dxa"/>
          </w:tcPr>
          <w:p w14:paraId="51322339" w14:textId="77777777" w:rsidR="00C60236" w:rsidRPr="000B6BE3" w:rsidRDefault="00C60236" w:rsidP="005F7B42">
            <w:pPr>
              <w:rPr>
                <w:rFonts w:cstheme="minorHAnsi"/>
              </w:rPr>
            </w:pPr>
          </w:p>
        </w:tc>
        <w:tc>
          <w:tcPr>
            <w:tcW w:w="1368" w:type="dxa"/>
          </w:tcPr>
          <w:p w14:paraId="0B7E33D4" w14:textId="77777777" w:rsidR="00C60236" w:rsidRPr="000B6BE3" w:rsidRDefault="00C60236" w:rsidP="005F7B42">
            <w:pPr>
              <w:rPr>
                <w:rFonts w:cstheme="minorHAnsi"/>
              </w:rPr>
            </w:pPr>
          </w:p>
        </w:tc>
      </w:tr>
    </w:tbl>
    <w:p w14:paraId="6BD1A993" w14:textId="77777777" w:rsidR="00C60236" w:rsidRDefault="00C60236" w:rsidP="00C535D9">
      <w:pPr>
        <w:spacing w:after="0" w:line="240" w:lineRule="auto"/>
      </w:pPr>
    </w:p>
    <w:p w14:paraId="63FE60D7" w14:textId="772C6727" w:rsidR="00C535D9" w:rsidRDefault="00C535D9" w:rsidP="00C535D9">
      <w:pPr>
        <w:spacing w:after="0" w:line="240" w:lineRule="auto"/>
        <w:jc w:val="both"/>
      </w:pPr>
      <w:r>
        <w:t xml:space="preserve">Le Raisinier bord de mer est une plante arbustive. Elle doit son nom de Raisinier bord de mer à ses fructifications ressemblant superficiellement à des grappes de raisins.  Arbre petit ou moyen de 3 à 8 m parfois rabougri sous l'action du vent. On le retrouve sur les plages de certaines zones tropicales. Ses fruits sont très appréciés des enfants. Branches tortueuses. Ecorce gris-clair ou blanchâtre se détache par plaques. Ses feuilles simples et alterne. Elles sont arrondies et larges. Fruits en grappe. Verts au début, deviennent rouges violacés en mûrissant. Fruits comestibles du mois d'août à novembre. </w:t>
      </w:r>
    </w:p>
    <w:p w14:paraId="30D60C3F" w14:textId="77777777" w:rsidR="00C535D9" w:rsidRDefault="00C535D9" w:rsidP="00C535D9">
      <w:pPr>
        <w:spacing w:after="0" w:line="240" w:lineRule="auto"/>
        <w:jc w:val="both"/>
      </w:pPr>
      <w:r>
        <w:t xml:space="preserve">Le raisinier est un arbuste ou petit arbre poussant sur les plages en bordure de rivage, à côté des cocotiers au niveau des tropiques en Amérique et dans les Caraïbes. Il peut atteindre une hauteur de 8 mètres. Il est extrêmement résistant au sel et aux embruns, mais ne tolère pas le gel. Dans les Îles du Nord de la Caraïbe, les fruits du raisinier </w:t>
      </w:r>
      <w:r>
        <w:lastRenderedPageBreak/>
        <w:t>entrent dans la composition de certains rhums arrangés et nombreux sont les insulaires qui les grignotent lorsqu'ils sont bien mûrs. On peut également en faire une confiture.</w:t>
      </w:r>
    </w:p>
    <w:p w14:paraId="1EA09532" w14:textId="38AFC396" w:rsidR="00C535D9" w:rsidRDefault="00C535D9" w:rsidP="00C535D9">
      <w:pPr>
        <w:spacing w:after="0" w:line="240" w:lineRule="auto"/>
      </w:pPr>
      <w:r>
        <w:t xml:space="preserve">Sources : a) </w:t>
      </w:r>
      <w:hyperlink r:id="rId1029" w:history="1">
        <w:r w:rsidRPr="00CD78C9">
          <w:rPr>
            <w:rStyle w:val="Lienhypertexte"/>
          </w:rPr>
          <w:t>http://www.ac-guadeloupe.fr/Cati971/Prem_Degre/preste/activite_classe_fichiers/lesite/vegetation1.html</w:t>
        </w:r>
      </w:hyperlink>
      <w:r>
        <w:t xml:space="preserve"> </w:t>
      </w:r>
    </w:p>
    <w:p w14:paraId="61FC6E9F" w14:textId="473E6799" w:rsidR="00671AE6" w:rsidRPr="008F2557" w:rsidRDefault="00C535D9" w:rsidP="00C535D9">
      <w:pPr>
        <w:spacing w:after="0" w:line="240" w:lineRule="auto"/>
        <w:rPr>
          <w:lang w:val="en-GB"/>
        </w:rPr>
      </w:pPr>
      <w:r w:rsidRPr="008F2557">
        <w:rPr>
          <w:lang w:val="en-GB"/>
        </w:rPr>
        <w:t xml:space="preserve">b) </w:t>
      </w:r>
      <w:hyperlink r:id="rId1030" w:history="1">
        <w:r w:rsidRPr="008F2557">
          <w:rPr>
            <w:rStyle w:val="Lienhypertexte"/>
            <w:lang w:val="en-GB"/>
          </w:rPr>
          <w:t>https://fr.wikipedia.org/wiki/Coccoloba_uvifera</w:t>
        </w:r>
      </w:hyperlink>
      <w:r w:rsidRPr="008F2557">
        <w:rPr>
          <w:lang w:val="en-GB"/>
        </w:rPr>
        <w:t xml:space="preserve"> </w:t>
      </w:r>
    </w:p>
    <w:p w14:paraId="401922FC" w14:textId="1F60058D" w:rsidR="009F3D6A" w:rsidRPr="008F2557" w:rsidRDefault="009F3D6A" w:rsidP="00C535D9">
      <w:pPr>
        <w:spacing w:after="0" w:line="240" w:lineRule="auto"/>
        <w:rPr>
          <w:lang w:val="en-G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63"/>
        <w:gridCol w:w="3416"/>
        <w:gridCol w:w="3547"/>
      </w:tblGrid>
      <w:tr w:rsidR="00B14EE3" w14:paraId="27DB4963" w14:textId="77777777" w:rsidTr="00B14EE3">
        <w:tc>
          <w:tcPr>
            <w:tcW w:w="3472" w:type="dxa"/>
          </w:tcPr>
          <w:p w14:paraId="4C558050" w14:textId="77777777" w:rsidR="00B14EE3" w:rsidRDefault="00B14EE3" w:rsidP="00B14EE3">
            <w:pPr>
              <w:jc w:val="center"/>
            </w:pPr>
            <w:r w:rsidRPr="00B14EE3">
              <w:rPr>
                <w:noProof/>
              </w:rPr>
              <w:drawing>
                <wp:inline distT="0" distB="0" distL="0" distR="0" wp14:anchorId="74E5F9F7" wp14:editId="35B36168">
                  <wp:extent cx="1963109" cy="1472332"/>
                  <wp:effectExtent l="0" t="0" r="0" b="0"/>
                  <wp:docPr id="50181"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7"/>
                          <pic:cNvPicPr>
                            <a:picLocks noChangeAspect="1"/>
                          </pic:cNvPicPr>
                        </pic:nvPicPr>
                        <pic:blipFill>
                          <a:blip r:embed="rId1031">
                            <a:extLst>
                              <a:ext uri="{28A0092B-C50C-407E-A947-70E740481C1C}">
                                <a14:useLocalDpi xmlns:a14="http://schemas.microsoft.com/office/drawing/2010/main" val="0"/>
                              </a:ext>
                            </a:extLst>
                          </a:blip>
                          <a:stretch>
                            <a:fillRect/>
                          </a:stretch>
                        </pic:blipFill>
                        <pic:spPr>
                          <a:xfrm>
                            <a:off x="0" y="0"/>
                            <a:ext cx="1963109" cy="1472332"/>
                          </a:xfrm>
                          <a:prstGeom prst="rect">
                            <a:avLst/>
                          </a:prstGeom>
                        </pic:spPr>
                      </pic:pic>
                    </a:graphicData>
                  </a:graphic>
                </wp:inline>
              </w:drawing>
            </w:r>
          </w:p>
          <w:p w14:paraId="4392F294" w14:textId="68069330" w:rsidR="00B14EE3" w:rsidRDefault="00B14EE3" w:rsidP="00B14EE3">
            <w:pPr>
              <w:jc w:val="center"/>
            </w:pPr>
            <w:r>
              <w:t>Wikipedia FR.</w:t>
            </w:r>
          </w:p>
        </w:tc>
        <w:tc>
          <w:tcPr>
            <w:tcW w:w="3472" w:type="dxa"/>
          </w:tcPr>
          <w:p w14:paraId="46BBEB0F" w14:textId="77777777" w:rsidR="00B14EE3" w:rsidRDefault="00B14EE3" w:rsidP="00B14EE3">
            <w:pPr>
              <w:jc w:val="center"/>
            </w:pPr>
            <w:r w:rsidRPr="00B14EE3">
              <w:rPr>
                <w:noProof/>
              </w:rPr>
              <w:drawing>
                <wp:inline distT="0" distB="0" distL="0" distR="0" wp14:anchorId="63CD8B35" wp14:editId="5F62637E">
                  <wp:extent cx="1423045" cy="1423045"/>
                  <wp:effectExtent l="0" t="0" r="5715" b="5715"/>
                  <wp:docPr id="50182"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6"/>
                          <pic:cNvPicPr>
                            <a:picLocks noChangeAspect="1"/>
                          </pic:cNvPicPr>
                        </pic:nvPicPr>
                        <pic:blipFill>
                          <a:blip r:embed="rId1032">
                            <a:extLst>
                              <a:ext uri="{28A0092B-C50C-407E-A947-70E740481C1C}">
                                <a14:useLocalDpi xmlns:a14="http://schemas.microsoft.com/office/drawing/2010/main" val="0"/>
                              </a:ext>
                            </a:extLst>
                          </a:blip>
                          <a:stretch>
                            <a:fillRect/>
                          </a:stretch>
                        </pic:blipFill>
                        <pic:spPr>
                          <a:xfrm>
                            <a:off x="0" y="0"/>
                            <a:ext cx="1423045" cy="1423045"/>
                          </a:xfrm>
                          <a:prstGeom prst="rect">
                            <a:avLst/>
                          </a:prstGeom>
                        </pic:spPr>
                      </pic:pic>
                    </a:graphicData>
                  </a:graphic>
                </wp:inline>
              </w:drawing>
            </w:r>
          </w:p>
          <w:p w14:paraId="7770F952" w14:textId="3235676E" w:rsidR="00B14EE3" w:rsidRDefault="00B14EE3" w:rsidP="00B14EE3">
            <w:pPr>
              <w:jc w:val="center"/>
            </w:pPr>
            <w:r>
              <w:rPr>
                <w:rStyle w:val="Appelnotedebasdep"/>
              </w:rPr>
              <w:footnoteReference w:id="84"/>
            </w:r>
          </w:p>
        </w:tc>
        <w:tc>
          <w:tcPr>
            <w:tcW w:w="3472" w:type="dxa"/>
          </w:tcPr>
          <w:p w14:paraId="30C579B7" w14:textId="77777777" w:rsidR="00B14EE3" w:rsidRDefault="00B14EE3" w:rsidP="00B14EE3">
            <w:pPr>
              <w:jc w:val="center"/>
            </w:pPr>
            <w:r w:rsidRPr="00B14EE3">
              <w:rPr>
                <w:noProof/>
              </w:rPr>
              <w:drawing>
                <wp:inline distT="0" distB="0" distL="0" distR="0" wp14:anchorId="33B2255C" wp14:editId="544FF923">
                  <wp:extent cx="2115319" cy="1407649"/>
                  <wp:effectExtent l="0" t="0" r="0" b="2540"/>
                  <wp:docPr id="5018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8"/>
                          <pic:cNvPicPr>
                            <a:picLocks noChangeAspect="1"/>
                          </pic:cNvPicPr>
                        </pic:nvPicPr>
                        <pic:blipFill>
                          <a:blip r:embed="rId1033">
                            <a:extLst>
                              <a:ext uri="{28A0092B-C50C-407E-A947-70E740481C1C}">
                                <a14:useLocalDpi xmlns:a14="http://schemas.microsoft.com/office/drawing/2010/main" val="0"/>
                              </a:ext>
                            </a:extLst>
                          </a:blip>
                          <a:stretch>
                            <a:fillRect/>
                          </a:stretch>
                        </pic:blipFill>
                        <pic:spPr>
                          <a:xfrm>
                            <a:off x="0" y="0"/>
                            <a:ext cx="2115319" cy="1407649"/>
                          </a:xfrm>
                          <a:prstGeom prst="rect">
                            <a:avLst/>
                          </a:prstGeom>
                        </pic:spPr>
                      </pic:pic>
                    </a:graphicData>
                  </a:graphic>
                </wp:inline>
              </w:drawing>
            </w:r>
          </w:p>
          <w:p w14:paraId="4419ABA9" w14:textId="22DB2EBC" w:rsidR="00B14EE3" w:rsidRDefault="00B14EE3" w:rsidP="00B14EE3">
            <w:pPr>
              <w:jc w:val="center"/>
            </w:pPr>
            <w:r>
              <w:rPr>
                <w:rStyle w:val="Appelnotedebasdep"/>
              </w:rPr>
              <w:footnoteReference w:id="85"/>
            </w:r>
          </w:p>
        </w:tc>
      </w:tr>
      <w:tr w:rsidR="00B14EE3" w14:paraId="2FA9B7A9" w14:textId="77777777" w:rsidTr="00B14EE3">
        <w:tc>
          <w:tcPr>
            <w:tcW w:w="3472" w:type="dxa"/>
          </w:tcPr>
          <w:p w14:paraId="229B3063" w14:textId="77777777" w:rsidR="00B14EE3" w:rsidRDefault="00B14EE3" w:rsidP="00B14EE3">
            <w:pPr>
              <w:jc w:val="center"/>
            </w:pPr>
          </w:p>
        </w:tc>
        <w:tc>
          <w:tcPr>
            <w:tcW w:w="3472" w:type="dxa"/>
          </w:tcPr>
          <w:p w14:paraId="08B79F4F" w14:textId="77777777" w:rsidR="00B14EE3" w:rsidRDefault="00B14EE3" w:rsidP="00B14EE3">
            <w:pPr>
              <w:jc w:val="center"/>
            </w:pPr>
            <w:r w:rsidRPr="00B14EE3">
              <w:rPr>
                <w:noProof/>
              </w:rPr>
              <w:drawing>
                <wp:inline distT="0" distB="0" distL="0" distR="0" wp14:anchorId="1344059B" wp14:editId="3397BC63">
                  <wp:extent cx="1043608" cy="1238311"/>
                  <wp:effectExtent l="0" t="0" r="4445" b="0"/>
                  <wp:docPr id="50189"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1"/>
                          <pic:cNvPicPr>
                            <a:picLocks noChangeAspect="1"/>
                          </pic:cNvPicPr>
                        </pic:nvPicPr>
                        <pic:blipFill>
                          <a:blip r:embed="rId1034">
                            <a:extLst>
                              <a:ext uri="{28A0092B-C50C-407E-A947-70E740481C1C}">
                                <a14:useLocalDpi xmlns:a14="http://schemas.microsoft.com/office/drawing/2010/main" val="0"/>
                              </a:ext>
                            </a:extLst>
                          </a:blip>
                          <a:stretch>
                            <a:fillRect/>
                          </a:stretch>
                        </pic:blipFill>
                        <pic:spPr>
                          <a:xfrm>
                            <a:off x="0" y="0"/>
                            <a:ext cx="1043608" cy="1238311"/>
                          </a:xfrm>
                          <a:prstGeom prst="rect">
                            <a:avLst/>
                          </a:prstGeom>
                        </pic:spPr>
                      </pic:pic>
                    </a:graphicData>
                  </a:graphic>
                </wp:inline>
              </w:drawing>
            </w:r>
          </w:p>
          <w:p w14:paraId="369BFC24" w14:textId="5DB5973F" w:rsidR="00B14EE3" w:rsidRDefault="00B14EE3" w:rsidP="00B14EE3">
            <w:pPr>
              <w:jc w:val="center"/>
            </w:pPr>
            <w:r w:rsidRPr="00B14EE3">
              <w:t>Sources : TopTropicals.com</w:t>
            </w:r>
          </w:p>
        </w:tc>
        <w:tc>
          <w:tcPr>
            <w:tcW w:w="3472" w:type="dxa"/>
          </w:tcPr>
          <w:p w14:paraId="1924B112" w14:textId="77777777" w:rsidR="00B14EE3" w:rsidRDefault="00B14EE3" w:rsidP="00B14EE3">
            <w:pPr>
              <w:jc w:val="center"/>
            </w:pPr>
          </w:p>
        </w:tc>
      </w:tr>
    </w:tbl>
    <w:p w14:paraId="41C1AA32" w14:textId="4BDBCB5F" w:rsidR="009F3D6A" w:rsidRDefault="009F3D6A" w:rsidP="00B14EE3">
      <w:pPr>
        <w:spacing w:after="0" w:line="240" w:lineRule="auto"/>
        <w:jc w:val="center"/>
      </w:pPr>
    </w:p>
    <w:p w14:paraId="19CEC97A" w14:textId="77777777" w:rsidR="00BA4260" w:rsidRDefault="00BA4260" w:rsidP="00D87D3F">
      <w:pPr>
        <w:pStyle w:val="Titre2"/>
      </w:pPr>
      <w:bookmarkStart w:id="108" w:name="_Toc139181399"/>
      <w:r>
        <w:t>Cachiman-cochon, Mamain ou Mammier (</w:t>
      </w:r>
      <w:r w:rsidRPr="00BA4260">
        <w:rPr>
          <w:i/>
          <w:iCs/>
        </w:rPr>
        <w:t>Annona glabra</w:t>
      </w:r>
      <w:r>
        <w:t>)</w:t>
      </w:r>
      <w:bookmarkEnd w:id="108"/>
    </w:p>
    <w:p w14:paraId="2D14127B" w14:textId="3CE504BA" w:rsidR="00BA4260" w:rsidRDefault="00BA4260" w:rsidP="00BA4260">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3118"/>
        <w:gridCol w:w="1276"/>
        <w:gridCol w:w="269"/>
        <w:gridCol w:w="1368"/>
      </w:tblGrid>
      <w:tr w:rsidR="00BA4260" w:rsidRPr="000B6BE3" w14:paraId="709E646F" w14:textId="77777777" w:rsidTr="005F7B42">
        <w:tc>
          <w:tcPr>
            <w:tcW w:w="4395" w:type="dxa"/>
          </w:tcPr>
          <w:p w14:paraId="6195642C" w14:textId="14658F19" w:rsidR="00BA4260" w:rsidRPr="000B6BE3" w:rsidRDefault="00BA4260" w:rsidP="005F7B42">
            <w:pPr>
              <w:jc w:val="both"/>
              <w:rPr>
                <w:rFonts w:cstheme="minorHAnsi"/>
              </w:rPr>
            </w:pPr>
            <w:r>
              <w:t>(F</w:t>
            </w:r>
            <w:r w:rsidRPr="00BA4260">
              <w:t>amille des </w:t>
            </w:r>
            <w:hyperlink r:id="rId1035" w:history="1">
              <w:r w:rsidRPr="00BA4260">
                <w:rPr>
                  <w:rStyle w:val="Lienhypertexte"/>
                  <w:i/>
                  <w:iCs/>
                </w:rPr>
                <w:t>Annonaceae</w:t>
              </w:r>
            </w:hyperlink>
            <w:r>
              <w:t>)</w:t>
            </w:r>
          </w:p>
        </w:tc>
        <w:tc>
          <w:tcPr>
            <w:tcW w:w="3118" w:type="dxa"/>
          </w:tcPr>
          <w:p w14:paraId="3B30D423" w14:textId="77777777" w:rsidR="00BA4260" w:rsidRPr="000B6BE3" w:rsidRDefault="00BA4260" w:rsidP="005F7B42">
            <w:pPr>
              <w:rPr>
                <w:rFonts w:cstheme="minorHAnsi"/>
              </w:rPr>
            </w:pPr>
            <w:r w:rsidRPr="000B6BE3">
              <w:rPr>
                <w:rFonts w:cstheme="minorHAnsi"/>
                <w:noProof/>
              </w:rPr>
              <w:t xml:space="preserve">  </w:t>
            </w:r>
            <w:r>
              <w:rPr>
                <w:rFonts w:cstheme="minorHAnsi"/>
                <w:noProof/>
              </w:rPr>
              <w:t xml:space="preserve">      </w:t>
            </w:r>
            <w:r w:rsidRPr="008F2681">
              <w:rPr>
                <w:rFonts w:cstheme="minorHAnsi"/>
                <w:noProof/>
              </w:rPr>
              <w:drawing>
                <wp:inline distT="0" distB="0" distL="0" distR="0" wp14:anchorId="077FF8A1" wp14:editId="5371E72B">
                  <wp:extent cx="463550" cy="661988"/>
                  <wp:effectExtent l="0" t="0" r="0" b="5080"/>
                  <wp:docPr id="50190"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r w:rsidRPr="00C60236">
              <w:rPr>
                <w:rFonts w:cstheme="minorHAnsi"/>
                <w:noProof/>
              </w:rPr>
              <w:drawing>
                <wp:inline distT="0" distB="0" distL="0" distR="0" wp14:anchorId="53BE3CAE" wp14:editId="442AB3CE">
                  <wp:extent cx="942975" cy="742950"/>
                  <wp:effectExtent l="0" t="0" r="9525" b="0"/>
                  <wp:docPr id="50191" name="Image 14" descr="Une image contenant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91" name="Image 14" descr="Une image contenant plante&#10;&#10;Description générée automatiquement"/>
                          <pic:cNvPicPr>
                            <a:picLocks noChangeAspect="1"/>
                          </pic:cNvPicPr>
                        </pic:nvPicPr>
                        <pic:blipFill>
                          <a:blip r:embed="rId135">
                            <a:extLst>
                              <a:ext uri="{28A0092B-C50C-407E-A947-70E740481C1C}">
                                <a14:useLocalDpi xmlns:a14="http://schemas.microsoft.com/office/drawing/2010/main" val="0"/>
                              </a:ext>
                            </a:extLst>
                          </a:blip>
                          <a:stretch>
                            <a:fillRect/>
                          </a:stretch>
                        </pic:blipFill>
                        <pic:spPr>
                          <a:xfrm>
                            <a:off x="0" y="0"/>
                            <a:ext cx="942975" cy="742950"/>
                          </a:xfrm>
                          <a:prstGeom prst="rect">
                            <a:avLst/>
                          </a:prstGeom>
                        </pic:spPr>
                      </pic:pic>
                    </a:graphicData>
                  </a:graphic>
                </wp:inline>
              </w:drawing>
            </w:r>
            <w:r>
              <w:rPr>
                <w:rFonts w:cstheme="minorHAnsi"/>
                <w:noProof/>
              </w:rPr>
              <w:t xml:space="preserve"> </w:t>
            </w:r>
          </w:p>
        </w:tc>
        <w:tc>
          <w:tcPr>
            <w:tcW w:w="1276" w:type="dxa"/>
          </w:tcPr>
          <w:p w14:paraId="5B47089F" w14:textId="77777777" w:rsidR="00BA4260" w:rsidRPr="000B6BE3" w:rsidRDefault="00BA4260" w:rsidP="005F7B42">
            <w:pPr>
              <w:rPr>
                <w:rFonts w:cstheme="minorHAnsi"/>
              </w:rPr>
            </w:pPr>
            <w:r w:rsidRPr="00D1445E">
              <w:rPr>
                <w:rFonts w:eastAsia="+mn-ea" w:cstheme="minorHAnsi"/>
                <w:b/>
                <w:bCs/>
                <w:color w:val="008000"/>
                <w:kern w:val="24"/>
                <w:sz w:val="56"/>
                <w:szCs w:val="56"/>
              </w:rPr>
              <w:t>U</w:t>
            </w:r>
          </w:p>
        </w:tc>
        <w:tc>
          <w:tcPr>
            <w:tcW w:w="269" w:type="dxa"/>
          </w:tcPr>
          <w:p w14:paraId="4F22A7A8" w14:textId="77777777" w:rsidR="00BA4260" w:rsidRPr="000B6BE3" w:rsidRDefault="00BA4260" w:rsidP="005F7B42">
            <w:pPr>
              <w:rPr>
                <w:rFonts w:cstheme="minorHAnsi"/>
              </w:rPr>
            </w:pPr>
          </w:p>
        </w:tc>
        <w:tc>
          <w:tcPr>
            <w:tcW w:w="1368" w:type="dxa"/>
          </w:tcPr>
          <w:p w14:paraId="7F86C772" w14:textId="77777777" w:rsidR="00BA4260" w:rsidRPr="000B6BE3" w:rsidRDefault="00BA4260" w:rsidP="005F7B42">
            <w:pPr>
              <w:rPr>
                <w:rFonts w:cstheme="minorHAnsi"/>
              </w:rPr>
            </w:pPr>
          </w:p>
        </w:tc>
      </w:tr>
    </w:tbl>
    <w:p w14:paraId="38F31C67" w14:textId="77777777" w:rsidR="00BA4260" w:rsidRDefault="00BA4260" w:rsidP="00BA4260">
      <w:pPr>
        <w:spacing w:after="0" w:line="240" w:lineRule="auto"/>
      </w:pPr>
    </w:p>
    <w:p w14:paraId="7615C542" w14:textId="03E7735E" w:rsidR="00BA4260" w:rsidRDefault="00BA4260" w:rsidP="00BA4260">
      <w:pPr>
        <w:spacing w:after="0" w:line="240" w:lineRule="auto"/>
        <w:jc w:val="both"/>
      </w:pPr>
      <w:r>
        <w:t>En Anglais, pond apple, alligator apple (parce que les alligators mangent ses fruits), swamp apple, corkwood, bobwood, ou monkey apple. C’est un petit arbre, de 3 à 5 m (exceptionnellement de 6-7 m), souvent à contreforts à la base. Il se rencontre dans les Petites Antilles (Martinique, Guadeloupe), les Grandes Antilles, dans les zones côtières du Mexique au Sud du Brésil et en Afrique occidentale. C’est un arbuste des lieux marécageux (arrière-mangrove, forêts à Pterocarpus) ou sableux humides. Il est tolérant à l' eau salée, mais ne peut pas se développer dans un sol sec. La pulpe du fruit à maturité est jaune à orangé. Le fruit est comestible pour l' homme et son goût rappelle le melon.</w:t>
      </w:r>
    </w:p>
    <w:p w14:paraId="3C3D673E" w14:textId="77777777" w:rsidR="00BA4260" w:rsidRDefault="00BA4260" w:rsidP="00BA4260">
      <w:pPr>
        <w:spacing w:after="0" w:line="240" w:lineRule="auto"/>
        <w:jc w:val="both"/>
      </w:pPr>
      <w:r>
        <w:t>Il peut être transformé en confiture et il est un ingrédient populaire de nouvelles boissons aux fruits aux Maldives. La pulpe orange, aromatique et agréable au goût, est très appréciées des crabes et sert d’appâts pour la pêche.</w:t>
      </w:r>
    </w:p>
    <w:p w14:paraId="1AAE8F84" w14:textId="77777777" w:rsidR="00BA4260" w:rsidRDefault="00BA4260" w:rsidP="00BA4260">
      <w:pPr>
        <w:spacing w:after="0" w:line="240" w:lineRule="auto"/>
        <w:jc w:val="both"/>
      </w:pPr>
      <w:r>
        <w:t xml:space="preserve">Une étude réalisée en 2008 dans la revue, Anticancer Research, suggère que les extraits alcooliques de ses graines contiennent des composés anticancéreux qui pourraient être utilisées pharmaceutiquement. Les feuilles du cachiman-cochon sont réputées calmer les diarrhées. Il est une espèce envahissante dans le nord du Queensland en Australie et au Sri Lanka , où il pousse dans les estuaires et étouffent les zones marécageuses des mangroves. </w:t>
      </w:r>
    </w:p>
    <w:p w14:paraId="4A15E60F" w14:textId="202011C4" w:rsidR="00B14EE3" w:rsidRDefault="00BA4260" w:rsidP="00BA4260">
      <w:pPr>
        <w:spacing w:after="0" w:line="240" w:lineRule="auto"/>
      </w:pPr>
      <w:r>
        <w:t xml:space="preserve">Sources : a) </w:t>
      </w:r>
      <w:hyperlink r:id="rId1036" w:history="1">
        <w:r w:rsidRPr="00AF787D">
          <w:rPr>
            <w:rStyle w:val="Lienhypertexte"/>
          </w:rPr>
          <w:t>https://en.wikipedia.org/wiki/Annona_glabra</w:t>
        </w:r>
      </w:hyperlink>
      <w:r>
        <w:t xml:space="preserve">, b) </w:t>
      </w:r>
      <w:hyperlink r:id="rId1037" w:history="1">
        <w:r w:rsidRPr="00AF787D">
          <w:rPr>
            <w:rStyle w:val="Lienhypertexte"/>
          </w:rPr>
          <w:t>https://fr.wikipedia.org/wiki/Annona_glabra</w:t>
        </w:r>
      </w:hyperlink>
    </w:p>
    <w:p w14:paraId="0FFED4A2" w14:textId="095645AD" w:rsidR="00BA4260" w:rsidRDefault="00BA4260" w:rsidP="00BA4260">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76"/>
        <w:gridCol w:w="3879"/>
        <w:gridCol w:w="2471"/>
      </w:tblGrid>
      <w:tr w:rsidR="00985701" w14:paraId="03F8E570" w14:textId="77777777" w:rsidTr="00AA164A">
        <w:tc>
          <w:tcPr>
            <w:tcW w:w="3472" w:type="dxa"/>
          </w:tcPr>
          <w:p w14:paraId="1EA67577" w14:textId="504EA44A" w:rsidR="00985701" w:rsidRDefault="00AA164A" w:rsidP="00985701">
            <w:pPr>
              <w:jc w:val="center"/>
            </w:pPr>
            <w:r w:rsidRPr="00AA164A">
              <w:rPr>
                <w:noProof/>
              </w:rPr>
              <w:drawing>
                <wp:inline distT="0" distB="0" distL="0" distR="0" wp14:anchorId="74018E9C" wp14:editId="7AC8EDCE">
                  <wp:extent cx="2466975" cy="1847850"/>
                  <wp:effectExtent l="0" t="0" r="9525" b="0"/>
                  <wp:docPr id="5019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2"/>
                          <pic:cNvPicPr>
                            <a:picLocks noChangeAspect="1"/>
                          </pic:cNvPicPr>
                        </pic:nvPicPr>
                        <pic:blipFill>
                          <a:blip r:embed="rId1038">
                            <a:extLst>
                              <a:ext uri="{28A0092B-C50C-407E-A947-70E740481C1C}">
                                <a14:useLocalDpi xmlns:a14="http://schemas.microsoft.com/office/drawing/2010/main" val="0"/>
                              </a:ext>
                            </a:extLst>
                          </a:blip>
                          <a:stretch>
                            <a:fillRect/>
                          </a:stretch>
                        </pic:blipFill>
                        <pic:spPr>
                          <a:xfrm>
                            <a:off x="0" y="0"/>
                            <a:ext cx="2466975" cy="1847850"/>
                          </a:xfrm>
                          <a:prstGeom prst="rect">
                            <a:avLst/>
                          </a:prstGeom>
                        </pic:spPr>
                      </pic:pic>
                    </a:graphicData>
                  </a:graphic>
                </wp:inline>
              </w:drawing>
            </w:r>
          </w:p>
        </w:tc>
        <w:tc>
          <w:tcPr>
            <w:tcW w:w="3472" w:type="dxa"/>
          </w:tcPr>
          <w:p w14:paraId="72F51E02" w14:textId="03793F54" w:rsidR="00985701" w:rsidRDefault="00AA164A" w:rsidP="00985701">
            <w:pPr>
              <w:jc w:val="center"/>
            </w:pPr>
            <w:r w:rsidRPr="00AA164A">
              <w:rPr>
                <w:noProof/>
              </w:rPr>
              <w:drawing>
                <wp:inline distT="0" distB="0" distL="0" distR="0" wp14:anchorId="5D7F29D8" wp14:editId="72752360">
                  <wp:extent cx="2466975" cy="1847850"/>
                  <wp:effectExtent l="0" t="0" r="9525" b="0"/>
                  <wp:docPr id="50193"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1"/>
                          <pic:cNvPicPr>
                            <a:picLocks noChangeAspect="1"/>
                          </pic:cNvPicPr>
                        </pic:nvPicPr>
                        <pic:blipFill>
                          <a:blip r:embed="rId1039">
                            <a:extLst>
                              <a:ext uri="{28A0092B-C50C-407E-A947-70E740481C1C}">
                                <a14:useLocalDpi xmlns:a14="http://schemas.microsoft.com/office/drawing/2010/main" val="0"/>
                              </a:ext>
                            </a:extLst>
                          </a:blip>
                          <a:stretch>
                            <a:fillRect/>
                          </a:stretch>
                        </pic:blipFill>
                        <pic:spPr>
                          <a:xfrm>
                            <a:off x="0" y="0"/>
                            <a:ext cx="2466975" cy="1847850"/>
                          </a:xfrm>
                          <a:prstGeom prst="rect">
                            <a:avLst/>
                          </a:prstGeom>
                        </pic:spPr>
                      </pic:pic>
                    </a:graphicData>
                  </a:graphic>
                </wp:inline>
              </w:drawing>
            </w:r>
          </w:p>
        </w:tc>
        <w:tc>
          <w:tcPr>
            <w:tcW w:w="3472" w:type="dxa"/>
          </w:tcPr>
          <w:p w14:paraId="408D3361" w14:textId="239DC39B" w:rsidR="00985701" w:rsidRDefault="00AA164A" w:rsidP="00985701">
            <w:pPr>
              <w:jc w:val="center"/>
            </w:pPr>
            <w:r w:rsidRPr="00AA164A">
              <w:rPr>
                <w:noProof/>
              </w:rPr>
              <w:drawing>
                <wp:inline distT="0" distB="0" distL="0" distR="0" wp14:anchorId="7665E0BB" wp14:editId="3D6B5474">
                  <wp:extent cx="1524670" cy="1143503"/>
                  <wp:effectExtent l="0" t="0" r="0" b="0"/>
                  <wp:docPr id="50194"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0"/>
                          <pic:cNvPicPr>
                            <a:picLocks noChangeAspect="1"/>
                          </pic:cNvPicPr>
                        </pic:nvPicPr>
                        <pic:blipFill>
                          <a:blip r:embed="rId1040">
                            <a:extLst>
                              <a:ext uri="{28A0092B-C50C-407E-A947-70E740481C1C}">
                                <a14:useLocalDpi xmlns:a14="http://schemas.microsoft.com/office/drawing/2010/main" val="0"/>
                              </a:ext>
                            </a:extLst>
                          </a:blip>
                          <a:stretch>
                            <a:fillRect/>
                          </a:stretch>
                        </pic:blipFill>
                        <pic:spPr>
                          <a:xfrm>
                            <a:off x="0" y="0"/>
                            <a:ext cx="1524670" cy="1143503"/>
                          </a:xfrm>
                          <a:prstGeom prst="rect">
                            <a:avLst/>
                          </a:prstGeom>
                        </pic:spPr>
                      </pic:pic>
                    </a:graphicData>
                  </a:graphic>
                </wp:inline>
              </w:drawing>
            </w:r>
          </w:p>
        </w:tc>
      </w:tr>
      <w:tr w:rsidR="00985701" w14:paraId="16482C06" w14:textId="77777777" w:rsidTr="00AA164A">
        <w:tc>
          <w:tcPr>
            <w:tcW w:w="3472" w:type="dxa"/>
          </w:tcPr>
          <w:p w14:paraId="1CE8807A" w14:textId="77777777" w:rsidR="00AA164A" w:rsidRDefault="00AA164A" w:rsidP="00985701">
            <w:pPr>
              <w:jc w:val="center"/>
            </w:pPr>
          </w:p>
          <w:p w14:paraId="7E869AF4" w14:textId="76685DEF" w:rsidR="00985701" w:rsidRDefault="00AA164A" w:rsidP="00985701">
            <w:pPr>
              <w:jc w:val="center"/>
            </w:pPr>
            <w:r w:rsidRPr="00AA164A">
              <w:rPr>
                <w:noProof/>
              </w:rPr>
              <w:drawing>
                <wp:inline distT="0" distB="0" distL="0" distR="0" wp14:anchorId="058A7BF7" wp14:editId="2CC27678">
                  <wp:extent cx="2600325" cy="1752600"/>
                  <wp:effectExtent l="0" t="0" r="9525" b="0"/>
                  <wp:docPr id="5019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5"/>
                          <pic:cNvPicPr>
                            <a:picLocks noChangeAspect="1"/>
                          </pic:cNvPicPr>
                        </pic:nvPicPr>
                        <pic:blipFill>
                          <a:blip r:embed="rId1041">
                            <a:extLst>
                              <a:ext uri="{28A0092B-C50C-407E-A947-70E740481C1C}">
                                <a14:useLocalDpi xmlns:a14="http://schemas.microsoft.com/office/drawing/2010/main" val="0"/>
                              </a:ext>
                            </a:extLst>
                          </a:blip>
                          <a:stretch>
                            <a:fillRect/>
                          </a:stretch>
                        </pic:blipFill>
                        <pic:spPr>
                          <a:xfrm>
                            <a:off x="0" y="0"/>
                            <a:ext cx="2600325" cy="1752600"/>
                          </a:xfrm>
                          <a:prstGeom prst="rect">
                            <a:avLst/>
                          </a:prstGeom>
                        </pic:spPr>
                      </pic:pic>
                    </a:graphicData>
                  </a:graphic>
                </wp:inline>
              </w:drawing>
            </w:r>
          </w:p>
        </w:tc>
        <w:tc>
          <w:tcPr>
            <w:tcW w:w="3472" w:type="dxa"/>
          </w:tcPr>
          <w:p w14:paraId="4695A85A" w14:textId="77777777" w:rsidR="00AA164A" w:rsidRDefault="00AA164A" w:rsidP="00985701">
            <w:pPr>
              <w:jc w:val="center"/>
            </w:pPr>
          </w:p>
          <w:p w14:paraId="0CF3755C" w14:textId="7AB9D7B8" w:rsidR="00985701" w:rsidRDefault="00AA164A" w:rsidP="00985701">
            <w:pPr>
              <w:jc w:val="center"/>
            </w:pPr>
            <w:r w:rsidRPr="00AA164A">
              <w:rPr>
                <w:noProof/>
              </w:rPr>
              <w:drawing>
                <wp:inline distT="0" distB="0" distL="0" distR="0" wp14:anchorId="4DBBE318" wp14:editId="3C03E9B5">
                  <wp:extent cx="2046703" cy="1736342"/>
                  <wp:effectExtent l="0" t="0" r="0" b="0"/>
                  <wp:docPr id="50196"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4"/>
                          <pic:cNvPicPr>
                            <a:picLocks noChangeAspect="1"/>
                          </pic:cNvPicPr>
                        </pic:nvPicPr>
                        <pic:blipFill>
                          <a:blip r:embed="rId1042">
                            <a:extLst>
                              <a:ext uri="{28A0092B-C50C-407E-A947-70E740481C1C}">
                                <a14:useLocalDpi xmlns:a14="http://schemas.microsoft.com/office/drawing/2010/main" val="0"/>
                              </a:ext>
                            </a:extLst>
                          </a:blip>
                          <a:stretch>
                            <a:fillRect/>
                          </a:stretch>
                        </pic:blipFill>
                        <pic:spPr>
                          <a:xfrm>
                            <a:off x="0" y="0"/>
                            <a:ext cx="2046703" cy="1736342"/>
                          </a:xfrm>
                          <a:prstGeom prst="rect">
                            <a:avLst/>
                          </a:prstGeom>
                        </pic:spPr>
                      </pic:pic>
                    </a:graphicData>
                  </a:graphic>
                </wp:inline>
              </w:drawing>
            </w:r>
          </w:p>
        </w:tc>
        <w:tc>
          <w:tcPr>
            <w:tcW w:w="3472" w:type="dxa"/>
          </w:tcPr>
          <w:p w14:paraId="72EA017E" w14:textId="77777777" w:rsidR="00985701" w:rsidRDefault="00985701" w:rsidP="00985701">
            <w:pPr>
              <w:jc w:val="center"/>
            </w:pPr>
          </w:p>
        </w:tc>
      </w:tr>
    </w:tbl>
    <w:p w14:paraId="4DBBBD89" w14:textId="10CA6C10" w:rsidR="00BA4260" w:rsidRDefault="00BA4260" w:rsidP="00AA164A">
      <w:pPr>
        <w:spacing w:after="0" w:line="240" w:lineRule="auto"/>
      </w:pPr>
    </w:p>
    <w:p w14:paraId="7161FC18" w14:textId="77777777" w:rsidR="00394309" w:rsidRDefault="00394309" w:rsidP="00D87D3F">
      <w:pPr>
        <w:pStyle w:val="Titre2"/>
      </w:pPr>
      <w:bookmarkStart w:id="109" w:name="_Toc139181400"/>
      <w:r>
        <w:t>Nypa buissonnant ou arbustif (</w:t>
      </w:r>
      <w:r w:rsidRPr="00394309">
        <w:rPr>
          <w:i/>
          <w:iCs/>
        </w:rPr>
        <w:t>Nypa fruticans</w:t>
      </w:r>
      <w:r>
        <w:t>)</w:t>
      </w:r>
      <w:bookmarkEnd w:id="109"/>
    </w:p>
    <w:p w14:paraId="57112A77" w14:textId="4BC9FEC7" w:rsidR="00394309" w:rsidRDefault="00394309" w:rsidP="00394309">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3118"/>
        <w:gridCol w:w="1276"/>
        <w:gridCol w:w="269"/>
        <w:gridCol w:w="1368"/>
      </w:tblGrid>
      <w:tr w:rsidR="00394309" w:rsidRPr="000B6BE3" w14:paraId="770ED667" w14:textId="77777777" w:rsidTr="005F7B42">
        <w:tc>
          <w:tcPr>
            <w:tcW w:w="4395" w:type="dxa"/>
          </w:tcPr>
          <w:p w14:paraId="72B499F8" w14:textId="77777777" w:rsidR="00394309" w:rsidRPr="000B6BE3" w:rsidRDefault="00394309" w:rsidP="005F7B42">
            <w:pPr>
              <w:jc w:val="both"/>
              <w:rPr>
                <w:rFonts w:cstheme="minorHAnsi"/>
              </w:rPr>
            </w:pPr>
            <w:r>
              <w:t>(F</w:t>
            </w:r>
            <w:r w:rsidRPr="00BA4260">
              <w:t>amille des </w:t>
            </w:r>
            <w:hyperlink r:id="rId1043" w:history="1">
              <w:r w:rsidRPr="00BA4260">
                <w:rPr>
                  <w:rStyle w:val="Lienhypertexte"/>
                  <w:i/>
                  <w:iCs/>
                </w:rPr>
                <w:t>Annonaceae</w:t>
              </w:r>
            </w:hyperlink>
            <w:r>
              <w:t>)</w:t>
            </w:r>
          </w:p>
        </w:tc>
        <w:tc>
          <w:tcPr>
            <w:tcW w:w="3118" w:type="dxa"/>
          </w:tcPr>
          <w:p w14:paraId="1583BC9A" w14:textId="77777777" w:rsidR="00394309" w:rsidRPr="000B6BE3" w:rsidRDefault="00394309" w:rsidP="005F7B42">
            <w:pPr>
              <w:rPr>
                <w:rFonts w:cstheme="minorHAnsi"/>
              </w:rPr>
            </w:pPr>
            <w:r w:rsidRPr="000B6BE3">
              <w:rPr>
                <w:rFonts w:cstheme="minorHAnsi"/>
                <w:noProof/>
              </w:rPr>
              <w:t xml:space="preserve">  </w:t>
            </w:r>
            <w:r>
              <w:rPr>
                <w:rFonts w:cstheme="minorHAnsi"/>
                <w:noProof/>
              </w:rPr>
              <w:t xml:space="preserve">      </w:t>
            </w:r>
            <w:r w:rsidRPr="008F2681">
              <w:rPr>
                <w:rFonts w:cstheme="minorHAnsi"/>
                <w:noProof/>
              </w:rPr>
              <w:drawing>
                <wp:inline distT="0" distB="0" distL="0" distR="0" wp14:anchorId="0F4420E3" wp14:editId="43AE547E">
                  <wp:extent cx="463550" cy="661988"/>
                  <wp:effectExtent l="0" t="0" r="0" b="5080"/>
                  <wp:docPr id="50197"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r w:rsidRPr="00C60236">
              <w:rPr>
                <w:rFonts w:cstheme="minorHAnsi"/>
                <w:noProof/>
              </w:rPr>
              <w:drawing>
                <wp:inline distT="0" distB="0" distL="0" distR="0" wp14:anchorId="11EC502D" wp14:editId="31CC7F21">
                  <wp:extent cx="942975" cy="742950"/>
                  <wp:effectExtent l="0" t="0" r="9525" b="0"/>
                  <wp:docPr id="50198" name="Image 14" descr="Une image contenant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91" name="Image 14" descr="Une image contenant plante&#10;&#10;Description générée automatiquement"/>
                          <pic:cNvPicPr>
                            <a:picLocks noChangeAspect="1"/>
                          </pic:cNvPicPr>
                        </pic:nvPicPr>
                        <pic:blipFill>
                          <a:blip r:embed="rId135">
                            <a:extLst>
                              <a:ext uri="{28A0092B-C50C-407E-A947-70E740481C1C}">
                                <a14:useLocalDpi xmlns:a14="http://schemas.microsoft.com/office/drawing/2010/main" val="0"/>
                              </a:ext>
                            </a:extLst>
                          </a:blip>
                          <a:stretch>
                            <a:fillRect/>
                          </a:stretch>
                        </pic:blipFill>
                        <pic:spPr>
                          <a:xfrm>
                            <a:off x="0" y="0"/>
                            <a:ext cx="942975" cy="742950"/>
                          </a:xfrm>
                          <a:prstGeom prst="rect">
                            <a:avLst/>
                          </a:prstGeom>
                        </pic:spPr>
                      </pic:pic>
                    </a:graphicData>
                  </a:graphic>
                </wp:inline>
              </w:drawing>
            </w:r>
            <w:r>
              <w:rPr>
                <w:rFonts w:cstheme="minorHAnsi"/>
                <w:noProof/>
              </w:rPr>
              <w:t xml:space="preserve"> </w:t>
            </w:r>
          </w:p>
        </w:tc>
        <w:tc>
          <w:tcPr>
            <w:tcW w:w="1276" w:type="dxa"/>
          </w:tcPr>
          <w:p w14:paraId="79E71D02" w14:textId="77777777" w:rsidR="00394309" w:rsidRPr="000B6BE3" w:rsidRDefault="00394309" w:rsidP="005F7B42">
            <w:pPr>
              <w:rPr>
                <w:rFonts w:cstheme="minorHAnsi"/>
              </w:rPr>
            </w:pPr>
            <w:r w:rsidRPr="00D1445E">
              <w:rPr>
                <w:rFonts w:eastAsia="+mn-ea" w:cstheme="minorHAnsi"/>
                <w:b/>
                <w:bCs/>
                <w:color w:val="008000"/>
                <w:kern w:val="24"/>
                <w:sz w:val="56"/>
                <w:szCs w:val="56"/>
              </w:rPr>
              <w:t>U</w:t>
            </w:r>
          </w:p>
        </w:tc>
        <w:tc>
          <w:tcPr>
            <w:tcW w:w="269" w:type="dxa"/>
          </w:tcPr>
          <w:p w14:paraId="3250D75B" w14:textId="77777777" w:rsidR="00394309" w:rsidRPr="000B6BE3" w:rsidRDefault="00394309" w:rsidP="005F7B42">
            <w:pPr>
              <w:rPr>
                <w:rFonts w:cstheme="minorHAnsi"/>
              </w:rPr>
            </w:pPr>
          </w:p>
        </w:tc>
        <w:tc>
          <w:tcPr>
            <w:tcW w:w="1368" w:type="dxa"/>
          </w:tcPr>
          <w:p w14:paraId="62627AD3" w14:textId="77777777" w:rsidR="00394309" w:rsidRPr="000B6BE3" w:rsidRDefault="00394309" w:rsidP="005F7B42">
            <w:pPr>
              <w:rPr>
                <w:rFonts w:cstheme="minorHAnsi"/>
              </w:rPr>
            </w:pPr>
          </w:p>
        </w:tc>
      </w:tr>
    </w:tbl>
    <w:p w14:paraId="1F3FEEB0" w14:textId="77777777" w:rsidR="00394309" w:rsidRDefault="00394309" w:rsidP="00394309">
      <w:pPr>
        <w:spacing w:after="0" w:line="240" w:lineRule="auto"/>
      </w:pPr>
    </w:p>
    <w:p w14:paraId="4896F9E9" w14:textId="4EF9FB5E" w:rsidR="00394309" w:rsidRDefault="00394309" w:rsidP="00394309">
      <w:pPr>
        <w:spacing w:after="0" w:line="240" w:lineRule="auto"/>
        <w:jc w:val="both"/>
      </w:pPr>
      <w:r>
        <w:t>Le palmier Nypa pousse dans la vase ou la boue, où le courant de la marée lui apporte les nutriments nécessaires à sa croissance. Le palmier peut se disséminer aussi loin que le courant parvient à déposer les graines. Haut de 8-9 m, il est courant sur les côtes et les rivières de l’océan Indien et de l’océan Pacifique du Bangladesh. Zone tropicale humide. Zone 12.</w:t>
      </w:r>
    </w:p>
    <w:p w14:paraId="62FE41F3" w14:textId="77777777" w:rsidR="00394309" w:rsidRDefault="00394309" w:rsidP="00394309">
      <w:pPr>
        <w:spacing w:after="0" w:line="240" w:lineRule="auto"/>
        <w:jc w:val="both"/>
      </w:pPr>
      <w:r w:rsidRPr="00394309">
        <w:rPr>
          <w:b/>
          <w:bCs/>
        </w:rPr>
        <w:t>Usages</w:t>
      </w:r>
      <w:r>
        <w:t xml:space="preserve"> : Les feuilles longues du palmier Nypa sont utilisées par les populations comme chaume pour recouvrir les maisons, ou comme matériel pour la construction des habitations. Les feuilles sont également utilisées pour la production de biens artisanaux comme les paniers. L'inflorescence sert, avant sa floraison, à récolter une douce sève comestible grâce à laquelle on produit une boisson alcoolisée. Les jeunes plants sont également comestibles et les pétales des fleurs peuvent être infusées pour donner une tisane aromatique. Attap chee est le nom malaisien pour les fruits immatures qui sont des boules douces, translucides et gélatineuses utilisées comme ingrédient dans les desserts. Sur certaines îles, on donne le palmier Nypa à manger aux cochons durant la saison sèche. </w:t>
      </w:r>
      <w:r w:rsidRPr="00394309">
        <w:rPr>
          <w:b/>
          <w:bCs/>
        </w:rPr>
        <w:t>Emplacement</w:t>
      </w:r>
      <w:r>
        <w:t xml:space="preserve"> : soleil, mi-ombre avec les pieds dans l'eau. Il peut devenir envahissant, colonisant les espaces.</w:t>
      </w:r>
    </w:p>
    <w:p w14:paraId="64C55E7A" w14:textId="77777777" w:rsidR="00394309" w:rsidRDefault="00394309" w:rsidP="00394309">
      <w:pPr>
        <w:spacing w:after="0" w:line="240" w:lineRule="auto"/>
        <w:jc w:val="both"/>
      </w:pPr>
      <w:r w:rsidRPr="00394309">
        <w:rPr>
          <w:b/>
          <w:bCs/>
        </w:rPr>
        <w:t>Fruit</w:t>
      </w:r>
      <w:r>
        <w:t xml:space="preserve"> : grosse noix hérissée à l'écorce externe dure à l'endosperme blanc comestible avec un noyau central. </w:t>
      </w:r>
    </w:p>
    <w:p w14:paraId="358131A1" w14:textId="0D35D1FC" w:rsidR="00394309" w:rsidRDefault="00394309" w:rsidP="00394309">
      <w:pPr>
        <w:spacing w:after="0" w:line="240" w:lineRule="auto"/>
        <w:jc w:val="both"/>
      </w:pPr>
      <w:r w:rsidRPr="00394309">
        <w:rPr>
          <w:b/>
          <w:bCs/>
        </w:rPr>
        <w:t>Sol</w:t>
      </w:r>
      <w:r>
        <w:t xml:space="preserve"> : marais tourbeux d'eau saumâtre ou d'eau douce. Multiplication : attention uniquement par semis à chaud de graines très fraîches, car le pouvoir germinatif est vraiment de très courte durée entre 2 et 4 semaines surtout si le stockage n'a pas été fait dans les règles pour éviter le dessèchement. </w:t>
      </w:r>
    </w:p>
    <w:p w14:paraId="718AFA90" w14:textId="623F43D6" w:rsidR="00394309" w:rsidRDefault="00394309" w:rsidP="00394309">
      <w:pPr>
        <w:spacing w:after="0" w:line="240" w:lineRule="auto"/>
      </w:pPr>
      <w:r>
        <w:t xml:space="preserve">Sources : a) </w:t>
      </w:r>
      <w:hyperlink r:id="rId1044" w:history="1">
        <w:r w:rsidRPr="00AF787D">
          <w:rPr>
            <w:rStyle w:val="Lienhypertexte"/>
          </w:rPr>
          <w:t>http://nature.jardin.free.fr/1105/nypa_fruticans.html</w:t>
        </w:r>
      </w:hyperlink>
      <w:r>
        <w:t xml:space="preserve">, b) </w:t>
      </w:r>
      <w:hyperlink r:id="rId1045" w:history="1">
        <w:r w:rsidRPr="00AF787D">
          <w:rPr>
            <w:rStyle w:val="Lienhypertexte"/>
          </w:rPr>
          <w:t>https://fr.wikipedia.org/wiki/Nypa</w:t>
        </w:r>
      </w:hyperlink>
      <w:r>
        <w:t xml:space="preserve">,  </w:t>
      </w:r>
    </w:p>
    <w:p w14:paraId="40A058E3" w14:textId="42599167" w:rsidR="00AA164A" w:rsidRDefault="00394309" w:rsidP="00394309">
      <w:pPr>
        <w:spacing w:after="0" w:line="240" w:lineRule="auto"/>
        <w:rPr>
          <w:rStyle w:val="Lienhypertexte"/>
        </w:rPr>
      </w:pPr>
      <w:r>
        <w:t xml:space="preserve">c) </w:t>
      </w:r>
      <w:hyperlink r:id="rId1046" w:history="1">
        <w:r w:rsidRPr="00AF787D">
          <w:rPr>
            <w:rStyle w:val="Lienhypertexte"/>
          </w:rPr>
          <w:t>https://en.wikipedia.org/wiki/Nypa_fruticans</w:t>
        </w:r>
      </w:hyperlink>
      <w:r>
        <w:t xml:space="preserve">, d) </w:t>
      </w:r>
      <w:hyperlink r:id="rId1047" w:history="1">
        <w:r w:rsidRPr="00AF787D">
          <w:rPr>
            <w:rStyle w:val="Lienhypertexte"/>
          </w:rPr>
          <w:t>http://www.stuartxchange.org/Nipa.html</w:t>
        </w:r>
      </w:hyperlink>
    </w:p>
    <w:p w14:paraId="012BF4C3" w14:textId="77777777" w:rsidR="00EF1A93" w:rsidRDefault="00EF1A93" w:rsidP="00394309">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C90F37" w14:paraId="78A109DB" w14:textId="77777777" w:rsidTr="00C90F37">
        <w:tc>
          <w:tcPr>
            <w:tcW w:w="3472" w:type="dxa"/>
          </w:tcPr>
          <w:p w14:paraId="337A83E5" w14:textId="7164593A" w:rsidR="00C90F37" w:rsidRDefault="00C90F37" w:rsidP="00C90F37">
            <w:pPr>
              <w:jc w:val="center"/>
            </w:pPr>
            <w:r w:rsidRPr="00C90F37">
              <w:rPr>
                <w:noProof/>
              </w:rPr>
              <w:drawing>
                <wp:inline distT="0" distB="0" distL="0" distR="0" wp14:anchorId="31BFFA6F" wp14:editId="2CF7519D">
                  <wp:extent cx="1835696" cy="1221572"/>
                  <wp:effectExtent l="0" t="0" r="0" b="0"/>
                  <wp:docPr id="50199" name="Image 5">
                    <a:extLst xmlns:a="http://schemas.openxmlformats.org/drawingml/2006/main">
                      <a:ext uri="{FF2B5EF4-FFF2-40B4-BE49-F238E27FC236}">
                        <a16:creationId xmlns:a16="http://schemas.microsoft.com/office/drawing/2014/main" id="{6D5DA469-AA16-417A-AC55-261A4CD5EE1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5">
                            <a:extLst>
                              <a:ext uri="{FF2B5EF4-FFF2-40B4-BE49-F238E27FC236}">
                                <a16:creationId xmlns:a16="http://schemas.microsoft.com/office/drawing/2014/main" id="{6D5DA469-AA16-417A-AC55-261A4CD5EE11}"/>
                              </a:ext>
                            </a:extLst>
                          </pic:cNvPr>
                          <pic:cNvPicPr>
                            <a:picLocks noChangeAspect="1"/>
                          </pic:cNvPicPr>
                        </pic:nvPicPr>
                        <pic:blipFill>
                          <a:blip r:embed="rId1048">
                            <a:extLst>
                              <a:ext uri="{28A0092B-C50C-407E-A947-70E740481C1C}">
                                <a14:useLocalDpi xmlns:a14="http://schemas.microsoft.com/office/drawing/2010/main" val="0"/>
                              </a:ext>
                            </a:extLst>
                          </a:blip>
                          <a:srcRect/>
                          <a:stretch>
                            <a:fillRect/>
                          </a:stretch>
                        </pic:blipFill>
                        <pic:spPr bwMode="auto">
                          <a:xfrm>
                            <a:off x="0" y="0"/>
                            <a:ext cx="1835696" cy="12215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7E22B3F1" w14:textId="6C5D262D" w:rsidR="00C90F37" w:rsidRDefault="00C90F37" w:rsidP="00C90F37">
            <w:pPr>
              <w:jc w:val="center"/>
            </w:pPr>
            <w:r w:rsidRPr="00C90F37">
              <w:rPr>
                <w:noProof/>
              </w:rPr>
              <w:drawing>
                <wp:inline distT="0" distB="0" distL="0" distR="0" wp14:anchorId="4C8E7D57" wp14:editId="116B4927">
                  <wp:extent cx="1305966" cy="979194"/>
                  <wp:effectExtent l="0" t="0" r="8890" b="0"/>
                  <wp:docPr id="50201" name="Image 14">
                    <a:extLst xmlns:a="http://schemas.openxmlformats.org/drawingml/2006/main">
                      <a:ext uri="{FF2B5EF4-FFF2-40B4-BE49-F238E27FC236}">
                        <a16:creationId xmlns:a16="http://schemas.microsoft.com/office/drawing/2014/main" id="{6672FDD6-C784-491A-A5FB-A6EDC8C6A77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4">
                            <a:extLst>
                              <a:ext uri="{FF2B5EF4-FFF2-40B4-BE49-F238E27FC236}">
                                <a16:creationId xmlns:a16="http://schemas.microsoft.com/office/drawing/2014/main" id="{6672FDD6-C784-491A-A5FB-A6EDC8C6A77C}"/>
                              </a:ext>
                            </a:extLst>
                          </pic:cNvPr>
                          <pic:cNvPicPr>
                            <a:picLocks noChangeAspect="1"/>
                          </pic:cNvPicPr>
                        </pic:nvPicPr>
                        <pic:blipFill>
                          <a:blip r:embed="rId1049">
                            <a:extLst>
                              <a:ext uri="{28A0092B-C50C-407E-A947-70E740481C1C}">
                                <a14:useLocalDpi xmlns:a14="http://schemas.microsoft.com/office/drawing/2010/main" val="0"/>
                              </a:ext>
                            </a:extLst>
                          </a:blip>
                          <a:srcRect/>
                          <a:stretch>
                            <a:fillRect/>
                          </a:stretch>
                        </pic:blipFill>
                        <pic:spPr bwMode="auto">
                          <a:xfrm>
                            <a:off x="0" y="0"/>
                            <a:ext cx="1305966" cy="979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145E16E5" w14:textId="26909DA0" w:rsidR="00C90F37" w:rsidRDefault="00C90F37" w:rsidP="00C90F37">
            <w:pPr>
              <w:jc w:val="center"/>
            </w:pPr>
            <w:r w:rsidRPr="00C90F37">
              <w:rPr>
                <w:noProof/>
              </w:rPr>
              <w:drawing>
                <wp:inline distT="0" distB="0" distL="0" distR="0" wp14:anchorId="14FBC8D0" wp14:editId="1A538432">
                  <wp:extent cx="1496358" cy="1120824"/>
                  <wp:effectExtent l="0" t="0" r="8890" b="3175"/>
                  <wp:docPr id="50203" name="Image 6">
                    <a:extLst xmlns:a="http://schemas.openxmlformats.org/drawingml/2006/main">
                      <a:ext uri="{FF2B5EF4-FFF2-40B4-BE49-F238E27FC236}">
                        <a16:creationId xmlns:a16="http://schemas.microsoft.com/office/drawing/2014/main" id="{DF26072D-1847-4291-BB91-8B00E71D3B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6">
                            <a:extLst>
                              <a:ext uri="{FF2B5EF4-FFF2-40B4-BE49-F238E27FC236}">
                                <a16:creationId xmlns:a16="http://schemas.microsoft.com/office/drawing/2014/main" id="{DF26072D-1847-4291-BB91-8B00E71D3B6A}"/>
                              </a:ext>
                            </a:extLst>
                          </pic:cNvPr>
                          <pic:cNvPicPr>
                            <a:picLocks noChangeAspect="1"/>
                          </pic:cNvPicPr>
                        </pic:nvPicPr>
                        <pic:blipFill>
                          <a:blip r:embed="rId1050">
                            <a:extLst>
                              <a:ext uri="{28A0092B-C50C-407E-A947-70E740481C1C}">
                                <a14:useLocalDpi xmlns:a14="http://schemas.microsoft.com/office/drawing/2010/main" val="0"/>
                              </a:ext>
                            </a:extLst>
                          </a:blip>
                          <a:srcRect/>
                          <a:stretch>
                            <a:fillRect/>
                          </a:stretch>
                        </pic:blipFill>
                        <pic:spPr bwMode="auto">
                          <a:xfrm>
                            <a:off x="0" y="0"/>
                            <a:ext cx="1496358" cy="11208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C90F37" w14:paraId="6F97E081" w14:textId="77777777" w:rsidTr="00C90F37">
        <w:tc>
          <w:tcPr>
            <w:tcW w:w="3472" w:type="dxa"/>
          </w:tcPr>
          <w:p w14:paraId="55041F60" w14:textId="548A7ABE" w:rsidR="00C90F37" w:rsidRDefault="00C90F37" w:rsidP="00C90F37">
            <w:pPr>
              <w:jc w:val="center"/>
            </w:pPr>
            <w:r w:rsidRPr="00C90F37">
              <w:rPr>
                <w:noProof/>
              </w:rPr>
              <w:drawing>
                <wp:inline distT="0" distB="0" distL="0" distR="0" wp14:anchorId="5F93A144" wp14:editId="3D9E8A2A">
                  <wp:extent cx="1829647" cy="1217547"/>
                  <wp:effectExtent l="0" t="0" r="0" b="1905"/>
                  <wp:docPr id="50200" name="Image 9">
                    <a:extLst xmlns:a="http://schemas.openxmlformats.org/drawingml/2006/main">
                      <a:ext uri="{FF2B5EF4-FFF2-40B4-BE49-F238E27FC236}">
                        <a16:creationId xmlns:a16="http://schemas.microsoft.com/office/drawing/2014/main" id="{9F8513C1-1A20-453E-836F-32A829438FC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9">
                            <a:extLst>
                              <a:ext uri="{FF2B5EF4-FFF2-40B4-BE49-F238E27FC236}">
                                <a16:creationId xmlns:a16="http://schemas.microsoft.com/office/drawing/2014/main" id="{9F8513C1-1A20-453E-836F-32A829438FC2}"/>
                              </a:ext>
                            </a:extLst>
                          </pic:cNvPr>
                          <pic:cNvPicPr>
                            <a:picLocks noChangeAspect="1"/>
                          </pic:cNvPicPr>
                        </pic:nvPicPr>
                        <pic:blipFill>
                          <a:blip r:embed="rId1051">
                            <a:extLst>
                              <a:ext uri="{28A0092B-C50C-407E-A947-70E740481C1C}">
                                <a14:useLocalDpi xmlns:a14="http://schemas.microsoft.com/office/drawing/2010/main" val="0"/>
                              </a:ext>
                            </a:extLst>
                          </a:blip>
                          <a:srcRect/>
                          <a:stretch>
                            <a:fillRect/>
                          </a:stretch>
                        </pic:blipFill>
                        <pic:spPr bwMode="auto">
                          <a:xfrm>
                            <a:off x="0" y="0"/>
                            <a:ext cx="1829647" cy="12175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1A3499CB" w14:textId="2A7EE017" w:rsidR="00C90F37" w:rsidRDefault="00C90F37" w:rsidP="00C90F37">
            <w:pPr>
              <w:jc w:val="center"/>
            </w:pPr>
            <w:r w:rsidRPr="00C90F37">
              <w:rPr>
                <w:noProof/>
              </w:rPr>
              <w:drawing>
                <wp:inline distT="0" distB="0" distL="0" distR="0" wp14:anchorId="6067A6F3" wp14:editId="037C94E5">
                  <wp:extent cx="1265178" cy="885625"/>
                  <wp:effectExtent l="0" t="0" r="0" b="0"/>
                  <wp:docPr id="50202" name="Image 13">
                    <a:extLst xmlns:a="http://schemas.openxmlformats.org/drawingml/2006/main">
                      <a:ext uri="{FF2B5EF4-FFF2-40B4-BE49-F238E27FC236}">
                        <a16:creationId xmlns:a16="http://schemas.microsoft.com/office/drawing/2014/main" id="{0D1F3F36-159E-4966-9407-5E8C18FE71F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13">
                            <a:extLst>
                              <a:ext uri="{FF2B5EF4-FFF2-40B4-BE49-F238E27FC236}">
                                <a16:creationId xmlns:a16="http://schemas.microsoft.com/office/drawing/2014/main" id="{0D1F3F36-159E-4966-9407-5E8C18FE71F4}"/>
                              </a:ext>
                            </a:extLst>
                          </pic:cNvPr>
                          <pic:cNvPicPr>
                            <a:picLocks noChangeAspect="1"/>
                          </pic:cNvPicPr>
                        </pic:nvPicPr>
                        <pic:blipFill>
                          <a:blip r:embed="rId1052" cstate="print">
                            <a:extLst>
                              <a:ext uri="{28A0092B-C50C-407E-A947-70E740481C1C}">
                                <a14:useLocalDpi xmlns:a14="http://schemas.microsoft.com/office/drawing/2010/main" val="0"/>
                              </a:ext>
                            </a:extLst>
                          </a:blip>
                          <a:srcRect/>
                          <a:stretch>
                            <a:fillRect/>
                          </a:stretch>
                        </pic:blipFill>
                        <pic:spPr bwMode="auto">
                          <a:xfrm>
                            <a:off x="0" y="0"/>
                            <a:ext cx="1265178" cy="885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6EFCB425" w14:textId="3E64F1A9" w:rsidR="00C90F37" w:rsidRDefault="00C90F37" w:rsidP="00C90F37">
            <w:pPr>
              <w:jc w:val="center"/>
            </w:pPr>
            <w:r w:rsidRPr="00C90F37">
              <w:rPr>
                <w:noProof/>
              </w:rPr>
              <w:drawing>
                <wp:inline distT="0" distB="0" distL="0" distR="0" wp14:anchorId="4197B537" wp14:editId="740FCA21">
                  <wp:extent cx="842574" cy="1211985"/>
                  <wp:effectExtent l="0" t="0" r="0" b="7620"/>
                  <wp:docPr id="50204" name="Image 11">
                    <a:extLst xmlns:a="http://schemas.openxmlformats.org/drawingml/2006/main">
                      <a:ext uri="{FF2B5EF4-FFF2-40B4-BE49-F238E27FC236}">
                        <a16:creationId xmlns:a16="http://schemas.microsoft.com/office/drawing/2014/main" id="{29416A9E-320D-4DCE-A876-4F4B5A6FC3E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1">
                            <a:extLst>
                              <a:ext uri="{FF2B5EF4-FFF2-40B4-BE49-F238E27FC236}">
                                <a16:creationId xmlns:a16="http://schemas.microsoft.com/office/drawing/2014/main" id="{29416A9E-320D-4DCE-A876-4F4B5A6FC3E3}"/>
                              </a:ext>
                            </a:extLst>
                          </pic:cNvPr>
                          <pic:cNvPicPr>
                            <a:picLocks noChangeAspect="1"/>
                          </pic:cNvPicPr>
                        </pic:nvPicPr>
                        <pic:blipFill>
                          <a:blip r:embed="rId1053">
                            <a:extLst>
                              <a:ext uri="{28A0092B-C50C-407E-A947-70E740481C1C}">
                                <a14:useLocalDpi xmlns:a14="http://schemas.microsoft.com/office/drawing/2010/main" val="0"/>
                              </a:ext>
                            </a:extLst>
                          </a:blip>
                          <a:srcRect/>
                          <a:stretch>
                            <a:fillRect/>
                          </a:stretch>
                        </pic:blipFill>
                        <pic:spPr bwMode="auto">
                          <a:xfrm>
                            <a:off x="0" y="0"/>
                            <a:ext cx="842574" cy="1211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0DC7E7AE" w14:textId="4127D76F" w:rsidR="00394309" w:rsidRDefault="00394309" w:rsidP="00394309">
      <w:pPr>
        <w:spacing w:after="0" w:line="240" w:lineRule="auto"/>
      </w:pPr>
    </w:p>
    <w:p w14:paraId="2D8C33B8" w14:textId="77777777" w:rsidR="009B626D" w:rsidRDefault="009B626D" w:rsidP="00D87D3F">
      <w:pPr>
        <w:pStyle w:val="Titre2"/>
      </w:pPr>
      <w:bookmarkStart w:id="110" w:name="_Toc139181401"/>
      <w:r>
        <w:t>Mangle médaille, sang-dragon, mangle-rivière (</w:t>
      </w:r>
      <w:r w:rsidRPr="009B626D">
        <w:rPr>
          <w:i/>
          <w:iCs/>
        </w:rPr>
        <w:t>Pterocarpus officinalis</w:t>
      </w:r>
      <w:r>
        <w:t>)</w:t>
      </w:r>
      <w:bookmarkEnd w:id="110"/>
    </w:p>
    <w:p w14:paraId="76A8D8DB" w14:textId="3853F644" w:rsidR="009B626D" w:rsidRDefault="009B626D" w:rsidP="009B626D">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3118"/>
        <w:gridCol w:w="1276"/>
        <w:gridCol w:w="269"/>
        <w:gridCol w:w="1368"/>
      </w:tblGrid>
      <w:tr w:rsidR="009334AE" w:rsidRPr="000B6BE3" w14:paraId="2C5D5C7D" w14:textId="77777777" w:rsidTr="005F7B42">
        <w:tc>
          <w:tcPr>
            <w:tcW w:w="4395" w:type="dxa"/>
          </w:tcPr>
          <w:p w14:paraId="1C44A82A" w14:textId="5A02E822" w:rsidR="009334AE" w:rsidRPr="000B6BE3" w:rsidRDefault="009334AE" w:rsidP="005F7B42">
            <w:pPr>
              <w:jc w:val="both"/>
              <w:rPr>
                <w:rFonts w:cstheme="minorHAnsi"/>
              </w:rPr>
            </w:pPr>
            <w:r>
              <w:t>(T</w:t>
            </w:r>
            <w:r w:rsidRPr="00660F86">
              <w:t>ribu des</w:t>
            </w:r>
            <w:r>
              <w:rPr>
                <w:i/>
                <w:iCs/>
              </w:rPr>
              <w:t xml:space="preserve"> Fabaceae</w:t>
            </w:r>
            <w:r>
              <w:t>)</w:t>
            </w:r>
          </w:p>
        </w:tc>
        <w:tc>
          <w:tcPr>
            <w:tcW w:w="3118" w:type="dxa"/>
          </w:tcPr>
          <w:p w14:paraId="10F41CFE" w14:textId="77777777" w:rsidR="009334AE" w:rsidRPr="000B6BE3" w:rsidRDefault="009334AE" w:rsidP="005F7B42">
            <w:pPr>
              <w:rPr>
                <w:rFonts w:cstheme="minorHAnsi"/>
              </w:rPr>
            </w:pPr>
            <w:r w:rsidRPr="000B6BE3">
              <w:rPr>
                <w:rFonts w:cstheme="minorHAnsi"/>
                <w:noProof/>
              </w:rPr>
              <w:t xml:space="preserve">  </w:t>
            </w:r>
            <w:r>
              <w:rPr>
                <w:rFonts w:cstheme="minorHAnsi"/>
                <w:noProof/>
              </w:rPr>
              <w:t xml:space="preserve">      </w:t>
            </w:r>
            <w:r w:rsidRPr="008F2681">
              <w:rPr>
                <w:rFonts w:cstheme="minorHAnsi"/>
                <w:noProof/>
              </w:rPr>
              <w:drawing>
                <wp:inline distT="0" distB="0" distL="0" distR="0" wp14:anchorId="14B1E89A" wp14:editId="08351BFA">
                  <wp:extent cx="463550" cy="661988"/>
                  <wp:effectExtent l="0" t="0" r="0" b="5080"/>
                  <wp:docPr id="38919"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r w:rsidRPr="00C60236">
              <w:rPr>
                <w:rFonts w:cstheme="minorHAnsi"/>
                <w:noProof/>
              </w:rPr>
              <w:drawing>
                <wp:inline distT="0" distB="0" distL="0" distR="0" wp14:anchorId="787EEE3E" wp14:editId="3886AD5C">
                  <wp:extent cx="942975" cy="742950"/>
                  <wp:effectExtent l="0" t="0" r="9525" b="0"/>
                  <wp:docPr id="38925" name="Image 14" descr="Une image contenant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91" name="Image 14" descr="Une image contenant plante&#10;&#10;Description générée automatiquement"/>
                          <pic:cNvPicPr>
                            <a:picLocks noChangeAspect="1"/>
                          </pic:cNvPicPr>
                        </pic:nvPicPr>
                        <pic:blipFill>
                          <a:blip r:embed="rId135">
                            <a:extLst>
                              <a:ext uri="{28A0092B-C50C-407E-A947-70E740481C1C}">
                                <a14:useLocalDpi xmlns:a14="http://schemas.microsoft.com/office/drawing/2010/main" val="0"/>
                              </a:ext>
                            </a:extLst>
                          </a:blip>
                          <a:stretch>
                            <a:fillRect/>
                          </a:stretch>
                        </pic:blipFill>
                        <pic:spPr>
                          <a:xfrm>
                            <a:off x="0" y="0"/>
                            <a:ext cx="942975" cy="742950"/>
                          </a:xfrm>
                          <a:prstGeom prst="rect">
                            <a:avLst/>
                          </a:prstGeom>
                        </pic:spPr>
                      </pic:pic>
                    </a:graphicData>
                  </a:graphic>
                </wp:inline>
              </w:drawing>
            </w:r>
            <w:r>
              <w:rPr>
                <w:rFonts w:cstheme="minorHAnsi"/>
                <w:noProof/>
              </w:rPr>
              <w:t xml:space="preserve"> </w:t>
            </w:r>
          </w:p>
        </w:tc>
        <w:tc>
          <w:tcPr>
            <w:tcW w:w="1276" w:type="dxa"/>
          </w:tcPr>
          <w:p w14:paraId="0008E590" w14:textId="77777777" w:rsidR="009334AE" w:rsidRPr="000B6BE3" w:rsidRDefault="009334AE" w:rsidP="005F7B42">
            <w:pPr>
              <w:rPr>
                <w:rFonts w:cstheme="minorHAnsi"/>
              </w:rPr>
            </w:pPr>
            <w:r w:rsidRPr="00D1445E">
              <w:rPr>
                <w:rFonts w:eastAsia="+mn-ea" w:cstheme="minorHAnsi"/>
                <w:b/>
                <w:bCs/>
                <w:color w:val="008000"/>
                <w:kern w:val="24"/>
                <w:sz w:val="56"/>
                <w:szCs w:val="56"/>
              </w:rPr>
              <w:t>U</w:t>
            </w:r>
          </w:p>
        </w:tc>
        <w:tc>
          <w:tcPr>
            <w:tcW w:w="269" w:type="dxa"/>
          </w:tcPr>
          <w:p w14:paraId="705B7C02" w14:textId="77777777" w:rsidR="009334AE" w:rsidRPr="000B6BE3" w:rsidRDefault="009334AE" w:rsidP="005F7B42">
            <w:pPr>
              <w:rPr>
                <w:rFonts w:cstheme="minorHAnsi"/>
              </w:rPr>
            </w:pPr>
          </w:p>
        </w:tc>
        <w:tc>
          <w:tcPr>
            <w:tcW w:w="1368" w:type="dxa"/>
          </w:tcPr>
          <w:p w14:paraId="00B14980" w14:textId="77777777" w:rsidR="009334AE" w:rsidRPr="000B6BE3" w:rsidRDefault="009334AE" w:rsidP="005F7B42">
            <w:pPr>
              <w:rPr>
                <w:rFonts w:cstheme="minorHAnsi"/>
              </w:rPr>
            </w:pPr>
          </w:p>
        </w:tc>
      </w:tr>
    </w:tbl>
    <w:p w14:paraId="081B597C" w14:textId="77777777" w:rsidR="009334AE" w:rsidRDefault="009334AE" w:rsidP="009B626D">
      <w:pPr>
        <w:spacing w:after="0" w:line="240" w:lineRule="auto"/>
      </w:pPr>
    </w:p>
    <w:p w14:paraId="4694408B" w14:textId="77777777" w:rsidR="009B626D" w:rsidRDefault="009B626D" w:rsidP="009B626D">
      <w:pPr>
        <w:spacing w:after="0" w:line="240" w:lineRule="auto"/>
        <w:jc w:val="both"/>
      </w:pPr>
      <w:r>
        <w:t>Arbre pouvant atteindre 30 m de haut et possédant de larges contreforts s'élevant parfois à 5 m sur le tronc. Adulte, il peut avoir une base de 5 ou 6 m de largeur. Le système racinaire est toujours superficiel et limité dans son extension horizontale aux buttes générées par l'accumulation de litière au pied des grands arbres. Les feuilles sont alternes, composées de 5 à 9 folioles elliptique, luisantes, de 5 à 17 cm de longueur sur 5-6 cm de large. Les fleurs sont petites (10 à 15 mm) jaunâtres marbrées de brun-rouge, regroupées en panicules lâches de 5 à 20 cm de long. Le calice de 5 mm est à 5 dents courtes. Une corolle de 1,25 cm de long, qui entoure 10 étamines, unies en un tube. Le fruit est une gousse suborbiculaire, plate et indéhiscente, semblable à une médaille (d'où son nom de mangle-médaille en Guadeloupe). Elle est uniséminée, brièvement pédonculée, ailée d'un côté, et d'un diamètre de 3 à 5 cm.</w:t>
      </w:r>
    </w:p>
    <w:p w14:paraId="598912C9" w14:textId="12FE0825" w:rsidR="00B25AA7" w:rsidRDefault="009B626D" w:rsidP="009B626D">
      <w:pPr>
        <w:spacing w:after="0" w:line="240" w:lineRule="auto"/>
        <w:jc w:val="both"/>
      </w:pPr>
      <w:r>
        <w:t>Le bois sec, couleur crème, tendre, léger, se scie et se travaille facilement, mais ne résiste pas aux xylophages et champignons. On le trouve dans les forêts marécageuses littorales tropicales. Cette espèce se développe dans les milieux faiblement salé, jusqu'à 12 g/l de sel.</w:t>
      </w:r>
    </w:p>
    <w:p w14:paraId="368B3D9F" w14:textId="378705A2" w:rsidR="00403EF6" w:rsidRDefault="00403EF6" w:rsidP="009B626D">
      <w:pPr>
        <w:spacing w:after="0" w:line="240" w:lineRule="auto"/>
        <w:jc w:val="both"/>
      </w:pPr>
      <w:r>
        <w:t xml:space="preserve">Source : </w:t>
      </w:r>
      <w:hyperlink r:id="rId1054" w:history="1">
        <w:r w:rsidRPr="00AF787D">
          <w:rPr>
            <w:rStyle w:val="Lienhypertexte"/>
          </w:rPr>
          <w:t>https://fr.wikipedia.org/wiki/Pterocarpus_officinalis</w:t>
        </w:r>
      </w:hyperlink>
      <w:r>
        <w:t xml:space="preserve"> </w:t>
      </w:r>
    </w:p>
    <w:p w14:paraId="6AC17B77" w14:textId="77777777" w:rsidR="009B626D" w:rsidRDefault="009B626D" w:rsidP="009B626D">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9334AE" w14:paraId="11FC6EE2" w14:textId="77777777" w:rsidTr="007048B6">
        <w:tc>
          <w:tcPr>
            <w:tcW w:w="5208" w:type="dxa"/>
          </w:tcPr>
          <w:p w14:paraId="178FC66C" w14:textId="77777777" w:rsidR="009334AE" w:rsidRDefault="009334AE" w:rsidP="005E1456">
            <w:pPr>
              <w:jc w:val="center"/>
            </w:pPr>
            <w:r w:rsidRPr="009334AE">
              <w:rPr>
                <w:noProof/>
              </w:rPr>
              <w:drawing>
                <wp:inline distT="0" distB="0" distL="0" distR="0" wp14:anchorId="41D9D288" wp14:editId="5C6E817F">
                  <wp:extent cx="2540000" cy="1905000"/>
                  <wp:effectExtent l="0" t="0" r="0" b="0"/>
                  <wp:docPr id="38926" name="Image 10" descr="Une image contenant extérieur, plante, arbre, girafe&#10;&#10;Description générée automatiquement">
                    <a:extLst xmlns:a="http://schemas.openxmlformats.org/drawingml/2006/main">
                      <a:ext uri="{FF2B5EF4-FFF2-40B4-BE49-F238E27FC236}">
                        <a16:creationId xmlns:a16="http://schemas.microsoft.com/office/drawing/2014/main" id="{B812D12B-4692-49B9-87DF-FB622587298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0" descr="Une image contenant extérieur, plante, arbre, girafe&#10;&#10;Description générée automatiquement">
                            <a:extLst>
                              <a:ext uri="{FF2B5EF4-FFF2-40B4-BE49-F238E27FC236}">
                                <a16:creationId xmlns:a16="http://schemas.microsoft.com/office/drawing/2014/main" id="{B812D12B-4692-49B9-87DF-FB6225872980}"/>
                              </a:ext>
                            </a:extLst>
                          </pic:cNvPr>
                          <pic:cNvPicPr>
                            <a:picLocks noChangeAspect="1"/>
                          </pic:cNvPicPr>
                        </pic:nvPicPr>
                        <pic:blipFill>
                          <a:blip r:embed="rId1055">
                            <a:extLst>
                              <a:ext uri="{28A0092B-C50C-407E-A947-70E740481C1C}">
                                <a14:useLocalDpi xmlns:a14="http://schemas.microsoft.com/office/drawing/2010/main" val="0"/>
                              </a:ext>
                            </a:extLst>
                          </a:blip>
                          <a:stretch>
                            <a:fillRect/>
                          </a:stretch>
                        </pic:blipFill>
                        <pic:spPr>
                          <a:xfrm>
                            <a:off x="0" y="0"/>
                            <a:ext cx="2540000" cy="1905000"/>
                          </a:xfrm>
                          <a:prstGeom prst="rect">
                            <a:avLst/>
                          </a:prstGeom>
                        </pic:spPr>
                      </pic:pic>
                    </a:graphicData>
                  </a:graphic>
                </wp:inline>
              </w:drawing>
            </w:r>
          </w:p>
          <w:p w14:paraId="7A76B0E8" w14:textId="77777777" w:rsidR="009334AE" w:rsidRDefault="009334AE" w:rsidP="009334AE">
            <w:pPr>
              <w:jc w:val="center"/>
              <w:rPr>
                <w:i/>
                <w:iCs/>
              </w:rPr>
            </w:pPr>
            <w:r w:rsidRPr="009334AE">
              <w:t>Contreforts de </w:t>
            </w:r>
            <w:r w:rsidRPr="009334AE">
              <w:rPr>
                <w:i/>
                <w:iCs/>
              </w:rPr>
              <w:t>Pterocarpus officinalis</w:t>
            </w:r>
          </w:p>
          <w:p w14:paraId="394C0C8C" w14:textId="7C80F652" w:rsidR="007048B6" w:rsidRDefault="007048B6" w:rsidP="009334AE">
            <w:pPr>
              <w:jc w:val="center"/>
            </w:pPr>
          </w:p>
        </w:tc>
        <w:tc>
          <w:tcPr>
            <w:tcW w:w="5208" w:type="dxa"/>
          </w:tcPr>
          <w:p w14:paraId="3D52690C" w14:textId="77777777" w:rsidR="009334AE" w:rsidRDefault="009334AE" w:rsidP="005E1456">
            <w:pPr>
              <w:jc w:val="center"/>
            </w:pPr>
            <w:r w:rsidRPr="009334AE">
              <w:rPr>
                <w:noProof/>
              </w:rPr>
              <w:drawing>
                <wp:inline distT="0" distB="0" distL="0" distR="0" wp14:anchorId="68B14DB2" wp14:editId="74FEA544">
                  <wp:extent cx="2540000" cy="1689100"/>
                  <wp:effectExtent l="0" t="0" r="0" b="6350"/>
                  <wp:docPr id="38927" name="Image 12" descr="Une image contenant extérieur, arbre, assis, vert&#10;&#10;Description générée automatiquement">
                    <a:extLst xmlns:a="http://schemas.openxmlformats.org/drawingml/2006/main">
                      <a:ext uri="{FF2B5EF4-FFF2-40B4-BE49-F238E27FC236}">
                        <a16:creationId xmlns:a16="http://schemas.microsoft.com/office/drawing/2014/main" id="{C26E1CC0-A072-4922-95CF-4FF077F9ECC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2" descr="Une image contenant extérieur, arbre, assis, vert&#10;&#10;Description générée automatiquement">
                            <a:extLst>
                              <a:ext uri="{FF2B5EF4-FFF2-40B4-BE49-F238E27FC236}">
                                <a16:creationId xmlns:a16="http://schemas.microsoft.com/office/drawing/2014/main" id="{C26E1CC0-A072-4922-95CF-4FF077F9ECC9}"/>
                              </a:ext>
                            </a:extLst>
                          </pic:cNvPr>
                          <pic:cNvPicPr>
                            <a:picLocks noChangeAspect="1"/>
                          </pic:cNvPicPr>
                        </pic:nvPicPr>
                        <pic:blipFill>
                          <a:blip r:embed="rId1056">
                            <a:extLst>
                              <a:ext uri="{28A0092B-C50C-407E-A947-70E740481C1C}">
                                <a14:useLocalDpi xmlns:a14="http://schemas.microsoft.com/office/drawing/2010/main" val="0"/>
                              </a:ext>
                            </a:extLst>
                          </a:blip>
                          <a:stretch>
                            <a:fillRect/>
                          </a:stretch>
                        </pic:blipFill>
                        <pic:spPr>
                          <a:xfrm>
                            <a:off x="0" y="0"/>
                            <a:ext cx="2540000" cy="1689100"/>
                          </a:xfrm>
                          <a:prstGeom prst="rect">
                            <a:avLst/>
                          </a:prstGeom>
                        </pic:spPr>
                      </pic:pic>
                    </a:graphicData>
                  </a:graphic>
                </wp:inline>
              </w:drawing>
            </w:r>
          </w:p>
          <w:p w14:paraId="358A3412" w14:textId="0EE7AFC4" w:rsidR="009334AE" w:rsidRDefault="009334AE" w:rsidP="009334AE">
            <w:pPr>
              <w:jc w:val="center"/>
            </w:pPr>
            <w:r w:rsidRPr="009334AE">
              <w:t>Feuille pennée</w:t>
            </w:r>
          </w:p>
        </w:tc>
      </w:tr>
      <w:tr w:rsidR="009334AE" w14:paraId="51E3F170" w14:textId="77777777" w:rsidTr="007048B6">
        <w:tc>
          <w:tcPr>
            <w:tcW w:w="5208" w:type="dxa"/>
          </w:tcPr>
          <w:p w14:paraId="2132DBA7" w14:textId="77777777" w:rsidR="009334AE" w:rsidRDefault="00337F25" w:rsidP="005E1456">
            <w:pPr>
              <w:jc w:val="center"/>
            </w:pPr>
            <w:r w:rsidRPr="00337F25">
              <w:rPr>
                <w:noProof/>
              </w:rPr>
              <w:lastRenderedPageBreak/>
              <w:drawing>
                <wp:inline distT="0" distB="0" distL="0" distR="0" wp14:anchorId="49EC3C38" wp14:editId="06CF186C">
                  <wp:extent cx="1584871" cy="2377307"/>
                  <wp:effectExtent l="0" t="0" r="0" b="4445"/>
                  <wp:docPr id="38928" name="Image 14" descr="Une image contenant extérieur, forêt, arbre, herbe&#10;&#10;Description générée automatiquement">
                    <a:extLst xmlns:a="http://schemas.openxmlformats.org/drawingml/2006/main">
                      <a:ext uri="{FF2B5EF4-FFF2-40B4-BE49-F238E27FC236}">
                        <a16:creationId xmlns:a16="http://schemas.microsoft.com/office/drawing/2014/main" id="{6A149FC5-F007-496C-B862-8D1C90FAB4C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4" descr="Une image contenant extérieur, forêt, arbre, herbe&#10;&#10;Description générée automatiquement">
                            <a:extLst>
                              <a:ext uri="{FF2B5EF4-FFF2-40B4-BE49-F238E27FC236}">
                                <a16:creationId xmlns:a16="http://schemas.microsoft.com/office/drawing/2014/main" id="{6A149FC5-F007-496C-B862-8D1C90FAB4C1}"/>
                              </a:ext>
                            </a:extLst>
                          </pic:cNvPr>
                          <pic:cNvPicPr>
                            <a:picLocks noChangeAspect="1"/>
                          </pic:cNvPicPr>
                        </pic:nvPicPr>
                        <pic:blipFill>
                          <a:blip r:embed="rId1057">
                            <a:extLst>
                              <a:ext uri="{28A0092B-C50C-407E-A947-70E740481C1C}">
                                <a14:useLocalDpi xmlns:a14="http://schemas.microsoft.com/office/drawing/2010/main" val="0"/>
                              </a:ext>
                            </a:extLst>
                          </a:blip>
                          <a:stretch>
                            <a:fillRect/>
                          </a:stretch>
                        </pic:blipFill>
                        <pic:spPr>
                          <a:xfrm>
                            <a:off x="0" y="0"/>
                            <a:ext cx="1584871" cy="2377307"/>
                          </a:xfrm>
                          <a:prstGeom prst="rect">
                            <a:avLst/>
                          </a:prstGeom>
                        </pic:spPr>
                      </pic:pic>
                    </a:graphicData>
                  </a:graphic>
                </wp:inline>
              </w:drawing>
            </w:r>
          </w:p>
          <w:p w14:paraId="1C368D80" w14:textId="4E7F79DD" w:rsidR="00337F25" w:rsidRDefault="00337F25" w:rsidP="00337F25">
            <w:pPr>
              <w:jc w:val="center"/>
            </w:pPr>
            <w:r w:rsidRPr="00337F25">
              <w:rPr>
                <w:i/>
                <w:iCs/>
              </w:rPr>
              <w:t>Pterocarpus officinalis</w:t>
            </w:r>
            <w:r w:rsidRPr="00337F25">
              <w:t> dans la forêt marécageuse du littoral (</w:t>
            </w:r>
            <w:hyperlink r:id="rId1058" w:history="1">
              <w:r w:rsidRPr="00337F25">
                <w:rPr>
                  <w:rStyle w:val="Lienhypertexte"/>
                </w:rPr>
                <w:t>Guadeloupe</w:t>
              </w:r>
            </w:hyperlink>
            <w:r w:rsidRPr="00337F25">
              <w:t>)</w:t>
            </w:r>
            <w:r>
              <w:t>.</w:t>
            </w:r>
          </w:p>
        </w:tc>
        <w:tc>
          <w:tcPr>
            <w:tcW w:w="5208" w:type="dxa"/>
          </w:tcPr>
          <w:p w14:paraId="412B2934" w14:textId="77777777" w:rsidR="009334AE" w:rsidRDefault="007048B6" w:rsidP="005E1456">
            <w:pPr>
              <w:jc w:val="center"/>
            </w:pPr>
            <w:r>
              <w:rPr>
                <w:noProof/>
              </w:rPr>
              <w:drawing>
                <wp:inline distT="0" distB="0" distL="0" distR="0" wp14:anchorId="41136B57" wp14:editId="79EA4302">
                  <wp:extent cx="2628900" cy="1743075"/>
                  <wp:effectExtent l="0" t="0" r="0" b="9525"/>
                  <wp:docPr id="38929" name="Image 38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9">
                            <a:extLst>
                              <a:ext uri="{28A0092B-C50C-407E-A947-70E740481C1C}">
                                <a14:useLocalDpi xmlns:a14="http://schemas.microsoft.com/office/drawing/2010/main" val="0"/>
                              </a:ext>
                            </a:extLst>
                          </a:blip>
                          <a:srcRect/>
                          <a:stretch>
                            <a:fillRect/>
                          </a:stretch>
                        </pic:blipFill>
                        <pic:spPr bwMode="auto">
                          <a:xfrm>
                            <a:off x="0" y="0"/>
                            <a:ext cx="2628900" cy="1743075"/>
                          </a:xfrm>
                          <a:prstGeom prst="rect">
                            <a:avLst/>
                          </a:prstGeom>
                          <a:noFill/>
                          <a:ln>
                            <a:noFill/>
                          </a:ln>
                        </pic:spPr>
                      </pic:pic>
                    </a:graphicData>
                  </a:graphic>
                </wp:inline>
              </w:drawing>
            </w:r>
          </w:p>
          <w:p w14:paraId="1F8AAF3B" w14:textId="77777777" w:rsidR="007048B6" w:rsidRDefault="007048B6" w:rsidP="005E1456">
            <w:pPr>
              <w:jc w:val="center"/>
            </w:pPr>
          </w:p>
          <w:p w14:paraId="312DCE46" w14:textId="77777777" w:rsidR="007048B6" w:rsidRDefault="007048B6" w:rsidP="007048B6">
            <w:pPr>
              <w:jc w:val="center"/>
            </w:pPr>
            <w:r>
              <w:t xml:space="preserve"> </w:t>
            </w:r>
            <w:r>
              <w:rPr>
                <w:noProof/>
              </w:rPr>
              <w:drawing>
                <wp:inline distT="0" distB="0" distL="0" distR="0" wp14:anchorId="0C8D289A" wp14:editId="26B415D8">
                  <wp:extent cx="1905000" cy="857250"/>
                  <wp:effectExtent l="0" t="0" r="0" b="0"/>
                  <wp:docPr id="38930" name="Image 38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60">
                            <a:extLst>
                              <a:ext uri="{28A0092B-C50C-407E-A947-70E740481C1C}">
                                <a14:useLocalDpi xmlns:a14="http://schemas.microsoft.com/office/drawing/2010/main" val="0"/>
                              </a:ext>
                            </a:extLst>
                          </a:blip>
                          <a:srcRect/>
                          <a:stretch>
                            <a:fillRect/>
                          </a:stretch>
                        </pic:blipFill>
                        <pic:spPr bwMode="auto">
                          <a:xfrm>
                            <a:off x="0" y="0"/>
                            <a:ext cx="1905000" cy="857250"/>
                          </a:xfrm>
                          <a:prstGeom prst="rect">
                            <a:avLst/>
                          </a:prstGeom>
                          <a:noFill/>
                          <a:ln>
                            <a:noFill/>
                          </a:ln>
                        </pic:spPr>
                      </pic:pic>
                    </a:graphicData>
                  </a:graphic>
                </wp:inline>
              </w:drawing>
            </w:r>
            <w:r>
              <w:t xml:space="preserve">  bois</w:t>
            </w:r>
          </w:p>
          <w:p w14:paraId="73DF2038" w14:textId="311FEF58" w:rsidR="007048B6" w:rsidRDefault="007048B6" w:rsidP="007048B6">
            <w:pPr>
              <w:jc w:val="center"/>
            </w:pPr>
          </w:p>
        </w:tc>
      </w:tr>
      <w:tr w:rsidR="007048B6" w14:paraId="1C154CDD" w14:textId="77777777" w:rsidTr="007048B6">
        <w:tc>
          <w:tcPr>
            <w:tcW w:w="5208" w:type="dxa"/>
          </w:tcPr>
          <w:p w14:paraId="79E9ACA3" w14:textId="77777777" w:rsidR="007048B6" w:rsidRDefault="007048B6" w:rsidP="005E1456">
            <w:pPr>
              <w:jc w:val="center"/>
            </w:pPr>
            <w:r>
              <w:rPr>
                <w:noProof/>
              </w:rPr>
              <w:drawing>
                <wp:inline distT="0" distB="0" distL="0" distR="0" wp14:anchorId="2489864B" wp14:editId="11900A5C">
                  <wp:extent cx="2200275" cy="1746250"/>
                  <wp:effectExtent l="0" t="0" r="9525" b="6350"/>
                  <wp:docPr id="38931" name="Image 38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61">
                            <a:extLst>
                              <a:ext uri="{28A0092B-C50C-407E-A947-70E740481C1C}">
                                <a14:useLocalDpi xmlns:a14="http://schemas.microsoft.com/office/drawing/2010/main" val="0"/>
                              </a:ext>
                            </a:extLst>
                          </a:blip>
                          <a:srcRect/>
                          <a:stretch>
                            <a:fillRect/>
                          </a:stretch>
                        </pic:blipFill>
                        <pic:spPr bwMode="auto">
                          <a:xfrm>
                            <a:off x="0" y="0"/>
                            <a:ext cx="2201761" cy="1747429"/>
                          </a:xfrm>
                          <a:prstGeom prst="rect">
                            <a:avLst/>
                          </a:prstGeom>
                          <a:noFill/>
                          <a:ln>
                            <a:noFill/>
                          </a:ln>
                        </pic:spPr>
                      </pic:pic>
                    </a:graphicData>
                  </a:graphic>
                </wp:inline>
              </w:drawing>
            </w:r>
          </w:p>
          <w:p w14:paraId="5C596460" w14:textId="0F0CE384" w:rsidR="007048B6" w:rsidRPr="00337F25" w:rsidRDefault="007048B6" w:rsidP="005E1456">
            <w:pPr>
              <w:jc w:val="center"/>
            </w:pPr>
            <w:r>
              <w:t>Fruits (gousses en forme de médaille)</w:t>
            </w:r>
          </w:p>
        </w:tc>
        <w:tc>
          <w:tcPr>
            <w:tcW w:w="5208" w:type="dxa"/>
          </w:tcPr>
          <w:p w14:paraId="7A055DFF" w14:textId="77777777" w:rsidR="007048B6" w:rsidRDefault="007048B6" w:rsidP="005E1456">
            <w:pPr>
              <w:jc w:val="center"/>
              <w:rPr>
                <w:noProof/>
              </w:rPr>
            </w:pPr>
            <w:r>
              <w:rPr>
                <w:noProof/>
              </w:rPr>
              <w:drawing>
                <wp:inline distT="0" distB="0" distL="0" distR="0" wp14:anchorId="3504776F" wp14:editId="746ADF11">
                  <wp:extent cx="2619375" cy="1743075"/>
                  <wp:effectExtent l="0" t="0" r="9525" b="9525"/>
                  <wp:docPr id="38932" name="Image 38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62">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pic:spPr>
                      </pic:pic>
                    </a:graphicData>
                  </a:graphic>
                </wp:inline>
              </w:drawing>
            </w:r>
          </w:p>
          <w:p w14:paraId="6C6C9176" w14:textId="14780A4E" w:rsidR="007048B6" w:rsidRDefault="007048B6" w:rsidP="005E1456">
            <w:pPr>
              <w:jc w:val="center"/>
              <w:rPr>
                <w:noProof/>
              </w:rPr>
            </w:pPr>
            <w:r>
              <w:rPr>
                <w:noProof/>
              </w:rPr>
              <w:t>Fleurs</w:t>
            </w:r>
          </w:p>
        </w:tc>
      </w:tr>
    </w:tbl>
    <w:p w14:paraId="7BE7104F" w14:textId="77777777" w:rsidR="007048B6" w:rsidRDefault="007048B6" w:rsidP="007048B6">
      <w:pPr>
        <w:spacing w:after="0" w:line="240" w:lineRule="auto"/>
      </w:pPr>
    </w:p>
    <w:p w14:paraId="0C019B33" w14:textId="188E3F46" w:rsidR="001633FC" w:rsidRDefault="001633FC" w:rsidP="001633FC">
      <w:pPr>
        <w:pStyle w:val="Titre1"/>
      </w:pPr>
      <w:bookmarkStart w:id="111" w:name="_Toc139181402"/>
      <w:r>
        <w:t>Palétuviers</w:t>
      </w:r>
      <w:bookmarkEnd w:id="111"/>
    </w:p>
    <w:p w14:paraId="241E3181" w14:textId="355DE9DF" w:rsidR="001633FC" w:rsidRDefault="001633FC" w:rsidP="007048B6">
      <w:pPr>
        <w:spacing w:after="0" w:line="240" w:lineRule="auto"/>
      </w:pPr>
    </w:p>
    <w:p w14:paraId="6EE1D8D7" w14:textId="0272A471" w:rsidR="001633FC" w:rsidRDefault="001633FC" w:rsidP="007048B6">
      <w:pPr>
        <w:spacing w:after="0" w:line="240" w:lineRule="auto"/>
      </w:pPr>
      <w:r w:rsidRPr="001633FC">
        <w:t>Plantes ne résistant pas normalement à la sècheresse, mais poussant dans l’eau salée</w:t>
      </w:r>
      <w:r>
        <w:t xml:space="preserve"> et/ou l’eau de mer.</w:t>
      </w:r>
    </w:p>
    <w:p w14:paraId="031B407F" w14:textId="77777777" w:rsidR="00EF1A93" w:rsidRDefault="00EF1A93" w:rsidP="007048B6">
      <w:pPr>
        <w:spacing w:after="0" w:line="240" w:lineRule="auto"/>
      </w:pPr>
    </w:p>
    <w:p w14:paraId="66C7459A" w14:textId="77777777" w:rsidR="00EF1A93" w:rsidRDefault="00EF1A93" w:rsidP="00EF1A93">
      <w:pPr>
        <w:spacing w:after="0" w:line="240" w:lineRule="auto"/>
        <w:jc w:val="center"/>
      </w:pPr>
      <w:r>
        <w:rPr>
          <w:noProof/>
        </w:rPr>
        <w:drawing>
          <wp:inline distT="0" distB="0" distL="0" distR="0" wp14:anchorId="19110815" wp14:editId="23345E6B">
            <wp:extent cx="2390775" cy="2116785"/>
            <wp:effectExtent l="0" t="0" r="0" b="0"/>
            <wp:docPr id="195585" name="Image 195585" descr="Une image contenant eau, bateau, extérieur, riviè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85" name="Image 195585" descr="Une image contenant eau, bateau, extérieur, rivière&#10;&#10;Description générée automatiquement"/>
                    <pic:cNvPicPr/>
                  </pic:nvPicPr>
                  <pic:blipFill>
                    <a:blip r:embed="rId1063"/>
                    <a:stretch>
                      <a:fillRect/>
                    </a:stretch>
                  </pic:blipFill>
                  <pic:spPr>
                    <a:xfrm>
                      <a:off x="0" y="0"/>
                      <a:ext cx="2394142" cy="2119766"/>
                    </a:xfrm>
                    <a:prstGeom prst="rect">
                      <a:avLst/>
                    </a:prstGeom>
                  </pic:spPr>
                </pic:pic>
              </a:graphicData>
            </a:graphic>
          </wp:inline>
        </w:drawing>
      </w:r>
    </w:p>
    <w:p w14:paraId="05C60741" w14:textId="77777777" w:rsidR="00EF1A93" w:rsidRDefault="00EF1A93" w:rsidP="00EF1A93">
      <w:pPr>
        <w:spacing w:after="0" w:line="240" w:lineRule="auto"/>
        <w:jc w:val="center"/>
      </w:pPr>
      <w:r>
        <w:t>L'épave érodée d'un navire à vapeur, du XIXème siècle, en provenance d'Ecosse a trouvé son lieu de repos au large de l'île Magnétique, dans le nord de l'Australie. La nature reprend ses droits.</w:t>
      </w:r>
    </w:p>
    <w:p w14:paraId="38F04523" w14:textId="74991518" w:rsidR="001633FC" w:rsidRDefault="001633FC" w:rsidP="007048B6">
      <w:pPr>
        <w:spacing w:after="0" w:line="240" w:lineRule="auto"/>
      </w:pPr>
    </w:p>
    <w:p w14:paraId="2A98BF0F" w14:textId="5A2E2730" w:rsidR="001633FC" w:rsidRDefault="001633FC" w:rsidP="001633FC">
      <w:pPr>
        <w:spacing w:after="0" w:line="240" w:lineRule="auto"/>
        <w:jc w:val="cente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E7779D" w14:paraId="758262BD" w14:textId="77777777" w:rsidTr="00E7779D">
        <w:tc>
          <w:tcPr>
            <w:tcW w:w="5208" w:type="dxa"/>
          </w:tcPr>
          <w:p w14:paraId="37A2512D" w14:textId="77777777" w:rsidR="00E7779D" w:rsidRDefault="00E7779D" w:rsidP="00E7779D">
            <w:pPr>
              <w:jc w:val="center"/>
            </w:pPr>
            <w:r w:rsidRPr="001633FC">
              <w:rPr>
                <w:noProof/>
              </w:rPr>
              <w:drawing>
                <wp:inline distT="0" distB="0" distL="0" distR="0" wp14:anchorId="4CFB145E" wp14:editId="57493BC7">
                  <wp:extent cx="2438400" cy="1876425"/>
                  <wp:effectExtent l="0" t="0" r="0" b="9525"/>
                  <wp:docPr id="188425" name="Image 11" descr="Mangro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25" name="Image 11" descr="Mangrove.jpg"/>
                          <pic:cNvPicPr>
                            <a:picLocks noChangeAspect="1"/>
                          </pic:cNvPicPr>
                        </pic:nvPicPr>
                        <pic:blipFill>
                          <a:blip r:embed="rId1064">
                            <a:extLst>
                              <a:ext uri="{28A0092B-C50C-407E-A947-70E740481C1C}">
                                <a14:useLocalDpi xmlns:a14="http://schemas.microsoft.com/office/drawing/2010/main" val="0"/>
                              </a:ext>
                            </a:extLst>
                          </a:blip>
                          <a:srcRect/>
                          <a:stretch>
                            <a:fillRect/>
                          </a:stretch>
                        </pic:blipFill>
                        <pic:spPr bwMode="auto">
                          <a:xfrm>
                            <a:off x="0" y="0"/>
                            <a:ext cx="2438400" cy="1876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0A643C5" w14:textId="77777777" w:rsidR="00E7779D" w:rsidRDefault="00E7779D" w:rsidP="00E7779D">
            <w:pPr>
              <w:jc w:val="center"/>
            </w:pPr>
            <w:r>
              <w:t>Mangrove.</w:t>
            </w:r>
          </w:p>
          <w:p w14:paraId="75400735" w14:textId="77777777" w:rsidR="00E7779D" w:rsidRDefault="00E7779D" w:rsidP="00E7779D">
            <w:pPr>
              <w:jc w:val="center"/>
            </w:pPr>
          </w:p>
          <w:p w14:paraId="1B8E7F37" w14:textId="77777777" w:rsidR="00E7779D" w:rsidRDefault="00E7779D" w:rsidP="00E7779D">
            <w:pPr>
              <w:jc w:val="center"/>
            </w:pPr>
          </w:p>
          <w:p w14:paraId="27B120D2" w14:textId="77777777" w:rsidR="00E7779D" w:rsidRDefault="00E7779D" w:rsidP="00E7779D">
            <w:pPr>
              <w:jc w:val="center"/>
            </w:pPr>
          </w:p>
          <w:p w14:paraId="5AC227E9" w14:textId="77777777" w:rsidR="00E7779D" w:rsidRDefault="00E7779D" w:rsidP="00E7779D">
            <w:pPr>
              <w:jc w:val="center"/>
            </w:pPr>
          </w:p>
          <w:p w14:paraId="495F2515" w14:textId="77777777" w:rsidR="00E7779D" w:rsidRDefault="00E7779D" w:rsidP="00E7779D">
            <w:pPr>
              <w:jc w:val="center"/>
            </w:pPr>
          </w:p>
          <w:p w14:paraId="46574B8C" w14:textId="77777777" w:rsidR="00E7779D" w:rsidRDefault="00E7779D" w:rsidP="00E7779D">
            <w:pPr>
              <w:jc w:val="center"/>
            </w:pPr>
          </w:p>
          <w:p w14:paraId="1F6219BA" w14:textId="77777777" w:rsidR="00E7779D" w:rsidRDefault="00E7779D" w:rsidP="00E7779D">
            <w:pPr>
              <w:jc w:val="center"/>
            </w:pPr>
          </w:p>
          <w:p w14:paraId="366C0248" w14:textId="77777777" w:rsidR="00E7779D" w:rsidRDefault="00E7779D" w:rsidP="00E7779D">
            <w:pPr>
              <w:jc w:val="center"/>
            </w:pPr>
          </w:p>
          <w:p w14:paraId="6A87F9B6" w14:textId="77777777" w:rsidR="00E7779D" w:rsidRDefault="00E7779D" w:rsidP="00E7779D">
            <w:pPr>
              <w:jc w:val="center"/>
            </w:pPr>
          </w:p>
          <w:p w14:paraId="418AEC67" w14:textId="77777777" w:rsidR="00E7779D" w:rsidRDefault="00E7779D" w:rsidP="00E7779D">
            <w:pPr>
              <w:jc w:val="center"/>
            </w:pPr>
          </w:p>
          <w:p w14:paraId="0D16D5B6" w14:textId="39EFF816" w:rsidR="00E7779D" w:rsidRDefault="00E7779D" w:rsidP="00E7779D">
            <w:pPr>
              <w:jc w:val="right"/>
            </w:pPr>
            <w:r w:rsidRPr="00E7779D">
              <w:rPr>
                <w:i/>
                <w:iCs/>
              </w:rPr>
              <w:t xml:space="preserve">Avicennia marina </w:t>
            </w:r>
            <w:r w:rsidRPr="00E7779D">
              <w:t>(Schatz 2001)</w:t>
            </w:r>
            <w:r>
              <w:t xml:space="preserve"> </w:t>
            </w:r>
          </w:p>
        </w:tc>
        <w:tc>
          <w:tcPr>
            <w:tcW w:w="5208" w:type="dxa"/>
          </w:tcPr>
          <w:p w14:paraId="40115F50" w14:textId="79522E7E" w:rsidR="00E7779D" w:rsidRDefault="00E7779D" w:rsidP="00E7779D">
            <w:pPr>
              <w:jc w:val="center"/>
            </w:pPr>
            <w:r w:rsidRPr="00E7779D">
              <w:rPr>
                <w:noProof/>
              </w:rPr>
              <w:drawing>
                <wp:inline distT="0" distB="0" distL="0" distR="0" wp14:anchorId="32A72962" wp14:editId="51EB6A8B">
                  <wp:extent cx="2667000" cy="3952875"/>
                  <wp:effectExtent l="0" t="0" r="0" b="9525"/>
                  <wp:docPr id="196619" name="Image 10" descr="Avicennia marina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19" name="Image 10" descr="Avicennia marina_s.jpg"/>
                          <pic:cNvPicPr>
                            <a:picLocks noChangeAspect="1"/>
                          </pic:cNvPicPr>
                        </pic:nvPicPr>
                        <pic:blipFill>
                          <a:blip r:embed="rId1065">
                            <a:extLst>
                              <a:ext uri="{28A0092B-C50C-407E-A947-70E740481C1C}">
                                <a14:useLocalDpi xmlns:a14="http://schemas.microsoft.com/office/drawing/2010/main" val="0"/>
                              </a:ext>
                            </a:extLst>
                          </a:blip>
                          <a:srcRect/>
                          <a:stretch>
                            <a:fillRect/>
                          </a:stretch>
                        </pic:blipFill>
                        <pic:spPr bwMode="auto">
                          <a:xfrm>
                            <a:off x="0" y="0"/>
                            <a:ext cx="2667000" cy="3952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42828C99" w14:textId="77777777" w:rsidR="001633FC" w:rsidRDefault="001633FC" w:rsidP="001633FC">
      <w:pPr>
        <w:spacing w:after="0" w:line="240" w:lineRule="auto"/>
      </w:pPr>
    </w:p>
    <w:tbl>
      <w:tblPr>
        <w:tblW w:w="0" w:type="auto"/>
        <w:tblCellMar>
          <w:left w:w="0" w:type="dxa"/>
          <w:right w:w="0" w:type="dxa"/>
        </w:tblCellMar>
        <w:tblLook w:val="0600" w:firstRow="0" w:lastRow="0" w:firstColumn="0" w:lastColumn="0" w:noHBand="1" w:noVBand="1"/>
      </w:tblPr>
      <w:tblGrid>
        <w:gridCol w:w="3703"/>
        <w:gridCol w:w="1532"/>
        <w:gridCol w:w="2693"/>
        <w:gridCol w:w="1985"/>
      </w:tblGrid>
      <w:tr w:rsidR="0046111D" w:rsidRPr="00A635DB" w14:paraId="75B25DC6" w14:textId="77777777" w:rsidTr="0046111D">
        <w:trPr>
          <w:trHeight w:val="428"/>
        </w:trPr>
        <w:tc>
          <w:tcPr>
            <w:tcW w:w="0" w:type="auto"/>
            <w:tcBorders>
              <w:top w:val="single" w:sz="8" w:space="0" w:color="000000"/>
              <w:left w:val="single" w:sz="8" w:space="0" w:color="000000"/>
              <w:bottom w:val="single" w:sz="8" w:space="0" w:color="000000"/>
              <w:right w:val="single" w:sz="8" w:space="0" w:color="000000"/>
            </w:tcBorders>
            <w:shd w:val="clear" w:color="auto" w:fill="B9CDE5"/>
            <w:tcMar>
              <w:top w:w="15" w:type="dxa"/>
              <w:left w:w="15" w:type="dxa"/>
              <w:bottom w:w="0" w:type="dxa"/>
              <w:right w:w="15" w:type="dxa"/>
            </w:tcMar>
            <w:vAlign w:val="center"/>
            <w:hideMark/>
          </w:tcPr>
          <w:p w14:paraId="5F4A0F9D" w14:textId="77777777" w:rsidR="0046111D" w:rsidRPr="00A635DB" w:rsidRDefault="0046111D" w:rsidP="0046111D">
            <w:pPr>
              <w:spacing w:after="0" w:line="240" w:lineRule="auto"/>
            </w:pPr>
            <w:r w:rsidRPr="00A635DB">
              <w:t>Espèces de la mangrove</w:t>
            </w:r>
          </w:p>
        </w:tc>
        <w:tc>
          <w:tcPr>
            <w:tcW w:w="1532" w:type="dxa"/>
            <w:tcBorders>
              <w:top w:val="single" w:sz="8" w:space="0" w:color="000000"/>
              <w:left w:val="single" w:sz="8" w:space="0" w:color="000000"/>
              <w:bottom w:val="single" w:sz="8" w:space="0" w:color="000000"/>
              <w:right w:val="single" w:sz="8" w:space="0" w:color="000000"/>
            </w:tcBorders>
            <w:shd w:val="clear" w:color="auto" w:fill="B9CDE5"/>
            <w:tcMar>
              <w:top w:w="15" w:type="dxa"/>
              <w:left w:w="15" w:type="dxa"/>
              <w:bottom w:w="0" w:type="dxa"/>
              <w:right w:w="15" w:type="dxa"/>
            </w:tcMar>
            <w:vAlign w:val="center"/>
            <w:hideMark/>
          </w:tcPr>
          <w:p w14:paraId="3745EC87" w14:textId="77777777" w:rsidR="0046111D" w:rsidRPr="00A635DB" w:rsidRDefault="0046111D" w:rsidP="0046111D">
            <w:pPr>
              <w:spacing w:after="0" w:line="240" w:lineRule="auto"/>
            </w:pPr>
            <w:r w:rsidRPr="00A635DB">
              <w:t>Matériel de plantation</w:t>
            </w:r>
          </w:p>
        </w:tc>
        <w:tc>
          <w:tcPr>
            <w:tcW w:w="2693" w:type="dxa"/>
            <w:tcBorders>
              <w:top w:val="single" w:sz="8" w:space="0" w:color="000000"/>
              <w:left w:val="single" w:sz="8" w:space="0" w:color="000000"/>
              <w:bottom w:val="single" w:sz="8" w:space="0" w:color="000000"/>
              <w:right w:val="single" w:sz="8" w:space="0" w:color="000000"/>
            </w:tcBorders>
            <w:shd w:val="clear" w:color="auto" w:fill="B9CDE5"/>
            <w:tcMar>
              <w:top w:w="15" w:type="dxa"/>
              <w:left w:w="15" w:type="dxa"/>
              <w:bottom w:w="0" w:type="dxa"/>
              <w:right w:w="15" w:type="dxa"/>
            </w:tcMar>
            <w:vAlign w:val="center"/>
            <w:hideMark/>
          </w:tcPr>
          <w:p w14:paraId="44DB7524" w14:textId="77777777" w:rsidR="0046111D" w:rsidRPr="00A635DB" w:rsidRDefault="0046111D" w:rsidP="0046111D">
            <w:pPr>
              <w:spacing w:after="0" w:line="240" w:lineRule="auto"/>
            </w:pPr>
            <w:r w:rsidRPr="00A635DB">
              <w:t>Usage</w:t>
            </w:r>
            <w:r>
              <w:t xml:space="preserve"> pour </w:t>
            </w:r>
            <w:r w:rsidRPr="00A635DB">
              <w:t>Plantation</w:t>
            </w:r>
          </w:p>
        </w:tc>
        <w:tc>
          <w:tcPr>
            <w:tcW w:w="1985" w:type="dxa"/>
            <w:tcBorders>
              <w:top w:val="single" w:sz="8" w:space="0" w:color="000000"/>
              <w:left w:val="single" w:sz="8" w:space="0" w:color="000000"/>
              <w:bottom w:val="single" w:sz="8" w:space="0" w:color="000000"/>
              <w:right w:val="single" w:sz="8" w:space="0" w:color="000000"/>
            </w:tcBorders>
            <w:shd w:val="clear" w:color="auto" w:fill="B9CDE5"/>
            <w:vAlign w:val="center"/>
          </w:tcPr>
          <w:p w14:paraId="108FBF80" w14:textId="3D37EAD7" w:rsidR="0046111D" w:rsidRPr="00A635DB" w:rsidRDefault="0046111D" w:rsidP="0046111D">
            <w:pPr>
              <w:spacing w:after="0" w:line="240" w:lineRule="auto"/>
            </w:pPr>
            <w:r>
              <w:t>Famille botanique</w:t>
            </w:r>
          </w:p>
        </w:tc>
      </w:tr>
      <w:tr w:rsidR="0046111D" w:rsidRPr="00A635DB" w14:paraId="7D1C15D3" w14:textId="77777777" w:rsidTr="0046111D">
        <w:trPr>
          <w:trHeight w:val="392"/>
        </w:trPr>
        <w:tc>
          <w:tcPr>
            <w:tcW w:w="0" w:type="auto"/>
            <w:tcBorders>
              <w:top w:val="single" w:sz="8" w:space="0" w:color="000000"/>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center"/>
            <w:hideMark/>
          </w:tcPr>
          <w:p w14:paraId="56C471AF" w14:textId="77777777" w:rsidR="0046111D" w:rsidRPr="00A635DB" w:rsidRDefault="0046111D" w:rsidP="0046111D">
            <w:pPr>
              <w:spacing w:after="0" w:line="240" w:lineRule="auto"/>
            </w:pPr>
            <w:r w:rsidRPr="00A635DB">
              <w:rPr>
                <w:i/>
                <w:iCs/>
              </w:rPr>
              <w:t xml:space="preserve">Avicennia marina </w:t>
            </w:r>
            <w:r w:rsidRPr="00A635DB">
              <w:t>(Forsk.) Vierh.</w:t>
            </w:r>
          </w:p>
        </w:tc>
        <w:tc>
          <w:tcPr>
            <w:tcW w:w="1532" w:type="dxa"/>
            <w:tcBorders>
              <w:top w:val="single" w:sz="8" w:space="0" w:color="000000"/>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center"/>
            <w:hideMark/>
          </w:tcPr>
          <w:p w14:paraId="494A310C" w14:textId="77777777" w:rsidR="0046111D" w:rsidRPr="00A635DB" w:rsidRDefault="0046111D" w:rsidP="0046111D">
            <w:pPr>
              <w:spacing w:after="0" w:line="240" w:lineRule="auto"/>
            </w:pPr>
            <w:r w:rsidRPr="00A635DB">
              <w:t>Fruits</w:t>
            </w:r>
          </w:p>
        </w:tc>
        <w:tc>
          <w:tcPr>
            <w:tcW w:w="2693" w:type="dxa"/>
            <w:tcBorders>
              <w:top w:val="single" w:sz="8" w:space="0" w:color="000000"/>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center"/>
            <w:hideMark/>
          </w:tcPr>
          <w:p w14:paraId="13CAB5BB" w14:textId="01B5324B" w:rsidR="0046111D" w:rsidRPr="00A635DB" w:rsidRDefault="004573E0" w:rsidP="0046111D">
            <w:pPr>
              <w:spacing w:after="0" w:line="240" w:lineRule="auto"/>
            </w:pPr>
            <w:r w:rsidRPr="00A635DB">
              <w:t>Dans</w:t>
            </w:r>
            <w:r w:rsidR="0046111D" w:rsidRPr="00A635DB">
              <w:t xml:space="preserve"> les zones dégradées</w:t>
            </w:r>
          </w:p>
        </w:tc>
        <w:tc>
          <w:tcPr>
            <w:tcW w:w="1985" w:type="dxa"/>
            <w:tcBorders>
              <w:top w:val="single" w:sz="8" w:space="0" w:color="000000"/>
              <w:left w:val="single" w:sz="8" w:space="0" w:color="000000"/>
              <w:bottom w:val="single" w:sz="8" w:space="0" w:color="000000"/>
              <w:right w:val="single" w:sz="8" w:space="0" w:color="000000"/>
            </w:tcBorders>
            <w:shd w:val="clear" w:color="auto" w:fill="E9EDF4"/>
            <w:vAlign w:val="center"/>
          </w:tcPr>
          <w:p w14:paraId="3E487778" w14:textId="196BA057" w:rsidR="0046111D" w:rsidRPr="00A635DB" w:rsidRDefault="0046111D" w:rsidP="0046111D">
            <w:pPr>
              <w:spacing w:after="0" w:line="240" w:lineRule="auto"/>
              <w:rPr>
                <w:i/>
                <w:iCs/>
              </w:rPr>
            </w:pPr>
            <w:r w:rsidRPr="004573E0">
              <w:rPr>
                <w:i/>
                <w:iCs/>
              </w:rPr>
              <w:t>Avicenniaceae</w:t>
            </w:r>
          </w:p>
        </w:tc>
      </w:tr>
      <w:tr w:rsidR="0046111D" w:rsidRPr="00A635DB" w14:paraId="7603C8AA" w14:textId="77777777" w:rsidTr="0046111D">
        <w:trPr>
          <w:trHeight w:val="256"/>
        </w:trPr>
        <w:tc>
          <w:tcPr>
            <w:tcW w:w="0" w:type="auto"/>
            <w:tcBorders>
              <w:top w:val="single" w:sz="8" w:space="0" w:color="000000"/>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center"/>
            <w:hideMark/>
          </w:tcPr>
          <w:p w14:paraId="397E3AAF" w14:textId="77777777" w:rsidR="0046111D" w:rsidRPr="00A635DB" w:rsidRDefault="0046111D" w:rsidP="0046111D">
            <w:pPr>
              <w:spacing w:after="0" w:line="240" w:lineRule="auto"/>
            </w:pPr>
            <w:r w:rsidRPr="00A635DB">
              <w:rPr>
                <w:i/>
                <w:iCs/>
              </w:rPr>
              <w:t xml:space="preserve">Avicennia </w:t>
            </w:r>
            <w:r w:rsidRPr="00A635DB">
              <w:t xml:space="preserve"> </w:t>
            </w:r>
            <w:r w:rsidRPr="00A635DB">
              <w:rPr>
                <w:i/>
                <w:iCs/>
              </w:rPr>
              <w:t>officinalis</w:t>
            </w:r>
            <w:r w:rsidRPr="00A635DB">
              <w:t xml:space="preserve"> L.</w:t>
            </w:r>
          </w:p>
        </w:tc>
        <w:tc>
          <w:tcPr>
            <w:tcW w:w="1532" w:type="dxa"/>
            <w:tcBorders>
              <w:top w:val="single" w:sz="8" w:space="0" w:color="000000"/>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center"/>
            <w:hideMark/>
          </w:tcPr>
          <w:p w14:paraId="3A9E2F4E" w14:textId="77777777" w:rsidR="0046111D" w:rsidRPr="00A635DB" w:rsidRDefault="0046111D" w:rsidP="0046111D">
            <w:pPr>
              <w:spacing w:after="0" w:line="240" w:lineRule="auto"/>
            </w:pPr>
            <w:r w:rsidRPr="00A635DB">
              <w:t>Fruits</w:t>
            </w:r>
          </w:p>
        </w:tc>
        <w:tc>
          <w:tcPr>
            <w:tcW w:w="2693" w:type="dxa"/>
            <w:tcBorders>
              <w:top w:val="single" w:sz="8" w:space="0" w:color="000000"/>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center"/>
            <w:hideMark/>
          </w:tcPr>
          <w:p w14:paraId="07C1480B" w14:textId="6B2D6271" w:rsidR="0046111D" w:rsidRPr="00A635DB" w:rsidRDefault="004573E0" w:rsidP="0046111D">
            <w:pPr>
              <w:spacing w:after="0" w:line="240" w:lineRule="auto"/>
            </w:pPr>
            <w:r w:rsidRPr="00A635DB">
              <w:t>Dans</w:t>
            </w:r>
            <w:r w:rsidR="0046111D" w:rsidRPr="00A635DB">
              <w:t xml:space="preserve"> les zones dégradées</w:t>
            </w:r>
          </w:p>
        </w:tc>
        <w:tc>
          <w:tcPr>
            <w:tcW w:w="1985" w:type="dxa"/>
            <w:tcBorders>
              <w:top w:val="single" w:sz="8" w:space="0" w:color="000000"/>
              <w:left w:val="single" w:sz="8" w:space="0" w:color="000000"/>
              <w:bottom w:val="single" w:sz="8" w:space="0" w:color="000000"/>
              <w:right w:val="single" w:sz="8" w:space="0" w:color="000000"/>
            </w:tcBorders>
            <w:shd w:val="clear" w:color="auto" w:fill="E9EDF4"/>
            <w:vAlign w:val="center"/>
          </w:tcPr>
          <w:p w14:paraId="6189941B" w14:textId="61FB8F91" w:rsidR="0046111D" w:rsidRPr="00A635DB" w:rsidRDefault="0046111D" w:rsidP="0046111D">
            <w:pPr>
              <w:spacing w:after="0" w:line="240" w:lineRule="auto"/>
              <w:rPr>
                <w:i/>
                <w:iCs/>
              </w:rPr>
            </w:pPr>
            <w:r w:rsidRPr="004573E0">
              <w:rPr>
                <w:i/>
                <w:iCs/>
              </w:rPr>
              <w:t>Avicenniaceae</w:t>
            </w:r>
          </w:p>
        </w:tc>
      </w:tr>
      <w:tr w:rsidR="0046111D" w:rsidRPr="00A635DB" w14:paraId="426FE3FC" w14:textId="77777777" w:rsidTr="0046111D">
        <w:trPr>
          <w:trHeight w:val="360"/>
        </w:trPr>
        <w:tc>
          <w:tcPr>
            <w:tcW w:w="0" w:type="auto"/>
            <w:tcBorders>
              <w:top w:val="single" w:sz="8" w:space="0" w:color="000000"/>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center"/>
            <w:hideMark/>
          </w:tcPr>
          <w:p w14:paraId="0A362170" w14:textId="77777777" w:rsidR="0046111D" w:rsidRPr="00A635DB" w:rsidRDefault="0046111D" w:rsidP="0046111D">
            <w:pPr>
              <w:spacing w:after="0" w:line="240" w:lineRule="auto"/>
            </w:pPr>
            <w:r w:rsidRPr="00A635DB">
              <w:rPr>
                <w:i/>
                <w:iCs/>
              </w:rPr>
              <w:t xml:space="preserve">Excoecaria agallocha </w:t>
            </w:r>
            <w:r w:rsidRPr="00A635DB">
              <w:t>L.</w:t>
            </w:r>
          </w:p>
        </w:tc>
        <w:tc>
          <w:tcPr>
            <w:tcW w:w="1532" w:type="dxa"/>
            <w:tcBorders>
              <w:top w:val="single" w:sz="8" w:space="0" w:color="000000"/>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center"/>
            <w:hideMark/>
          </w:tcPr>
          <w:p w14:paraId="59AD8CF1" w14:textId="77777777" w:rsidR="0046111D" w:rsidRPr="00A635DB" w:rsidRDefault="0046111D" w:rsidP="0046111D">
            <w:pPr>
              <w:spacing w:after="0" w:line="240" w:lineRule="auto"/>
            </w:pPr>
            <w:r w:rsidRPr="00A635DB">
              <w:t>Jeunes plants</w:t>
            </w:r>
          </w:p>
        </w:tc>
        <w:tc>
          <w:tcPr>
            <w:tcW w:w="2693" w:type="dxa"/>
            <w:tcBorders>
              <w:top w:val="single" w:sz="8" w:space="0" w:color="000000"/>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center"/>
            <w:hideMark/>
          </w:tcPr>
          <w:p w14:paraId="6215AA95" w14:textId="46734AB7" w:rsidR="0046111D" w:rsidRPr="00A635DB" w:rsidRDefault="004573E0" w:rsidP="0046111D">
            <w:pPr>
              <w:spacing w:after="0" w:line="240" w:lineRule="auto"/>
            </w:pPr>
            <w:r w:rsidRPr="00A635DB">
              <w:t>Dans</w:t>
            </w:r>
            <w:r w:rsidR="0046111D" w:rsidRPr="00A635DB">
              <w:t xml:space="preserve"> les zones dégradées</w:t>
            </w:r>
          </w:p>
        </w:tc>
        <w:tc>
          <w:tcPr>
            <w:tcW w:w="1985" w:type="dxa"/>
            <w:tcBorders>
              <w:top w:val="single" w:sz="8" w:space="0" w:color="000000"/>
              <w:left w:val="single" w:sz="8" w:space="0" w:color="000000"/>
              <w:bottom w:val="single" w:sz="8" w:space="0" w:color="000000"/>
              <w:right w:val="single" w:sz="8" w:space="0" w:color="000000"/>
            </w:tcBorders>
            <w:shd w:val="clear" w:color="auto" w:fill="E9EDF4"/>
            <w:vAlign w:val="center"/>
          </w:tcPr>
          <w:p w14:paraId="7204EFC9" w14:textId="06D459DF" w:rsidR="0046111D" w:rsidRPr="00A635DB" w:rsidRDefault="004573E0" w:rsidP="0046111D">
            <w:pPr>
              <w:spacing w:after="0" w:line="240" w:lineRule="auto"/>
              <w:rPr>
                <w:i/>
                <w:iCs/>
              </w:rPr>
            </w:pPr>
            <w:r w:rsidRPr="004573E0">
              <w:rPr>
                <w:i/>
                <w:iCs/>
              </w:rPr>
              <w:t>Euphorbiaceae</w:t>
            </w:r>
          </w:p>
        </w:tc>
      </w:tr>
      <w:tr w:rsidR="0046111D" w:rsidRPr="00A635DB" w14:paraId="3BBA7654" w14:textId="77777777" w:rsidTr="0046111D">
        <w:trPr>
          <w:trHeight w:val="252"/>
        </w:trPr>
        <w:tc>
          <w:tcPr>
            <w:tcW w:w="0" w:type="auto"/>
            <w:tcBorders>
              <w:top w:val="single" w:sz="8" w:space="0" w:color="000000"/>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center"/>
            <w:hideMark/>
          </w:tcPr>
          <w:p w14:paraId="598A1F06" w14:textId="77777777" w:rsidR="0046111D" w:rsidRPr="00A635DB" w:rsidRDefault="0046111D" w:rsidP="0046111D">
            <w:pPr>
              <w:spacing w:after="0" w:line="240" w:lineRule="auto"/>
            </w:pPr>
            <w:r w:rsidRPr="00A635DB">
              <w:rPr>
                <w:i/>
                <w:iCs/>
              </w:rPr>
              <w:t xml:space="preserve">Aegiceras comiculatum </w:t>
            </w:r>
            <w:r w:rsidRPr="00A635DB">
              <w:t>(L.) Blanto</w:t>
            </w:r>
          </w:p>
        </w:tc>
        <w:tc>
          <w:tcPr>
            <w:tcW w:w="1532" w:type="dxa"/>
            <w:tcBorders>
              <w:top w:val="single" w:sz="8" w:space="0" w:color="000000"/>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center"/>
            <w:hideMark/>
          </w:tcPr>
          <w:p w14:paraId="22D51946" w14:textId="77777777" w:rsidR="0046111D" w:rsidRPr="00A635DB" w:rsidRDefault="0046111D" w:rsidP="0046111D">
            <w:pPr>
              <w:spacing w:after="0" w:line="240" w:lineRule="auto"/>
            </w:pPr>
            <w:r w:rsidRPr="00A635DB">
              <w:t>Propagules</w:t>
            </w:r>
          </w:p>
        </w:tc>
        <w:tc>
          <w:tcPr>
            <w:tcW w:w="2693" w:type="dxa"/>
            <w:tcBorders>
              <w:top w:val="single" w:sz="8" w:space="0" w:color="000000"/>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center"/>
            <w:hideMark/>
          </w:tcPr>
          <w:p w14:paraId="02A8A45E" w14:textId="27DD48DE" w:rsidR="0046111D" w:rsidRPr="00A635DB" w:rsidRDefault="004573E0" w:rsidP="0046111D">
            <w:pPr>
              <w:spacing w:after="0" w:line="240" w:lineRule="auto"/>
            </w:pPr>
            <w:r w:rsidRPr="00A635DB">
              <w:t>Dans</w:t>
            </w:r>
            <w:r w:rsidR="0046111D" w:rsidRPr="00A635DB">
              <w:t xml:space="preserve"> les zones dégradées</w:t>
            </w:r>
          </w:p>
        </w:tc>
        <w:tc>
          <w:tcPr>
            <w:tcW w:w="1985" w:type="dxa"/>
            <w:tcBorders>
              <w:top w:val="single" w:sz="8" w:space="0" w:color="000000"/>
              <w:left w:val="single" w:sz="8" w:space="0" w:color="000000"/>
              <w:bottom w:val="single" w:sz="8" w:space="0" w:color="000000"/>
              <w:right w:val="single" w:sz="8" w:space="0" w:color="000000"/>
            </w:tcBorders>
            <w:shd w:val="clear" w:color="auto" w:fill="E9EDF4"/>
            <w:vAlign w:val="center"/>
          </w:tcPr>
          <w:p w14:paraId="64376214" w14:textId="33FDCAD5" w:rsidR="0046111D" w:rsidRPr="00A635DB" w:rsidRDefault="004573E0" w:rsidP="0046111D">
            <w:pPr>
              <w:spacing w:after="0" w:line="240" w:lineRule="auto"/>
              <w:rPr>
                <w:i/>
                <w:iCs/>
              </w:rPr>
            </w:pPr>
            <w:r w:rsidRPr="004573E0">
              <w:rPr>
                <w:i/>
                <w:iCs/>
              </w:rPr>
              <w:t>Primulaceae</w:t>
            </w:r>
          </w:p>
        </w:tc>
      </w:tr>
      <w:tr w:rsidR="0046111D" w:rsidRPr="00A635DB" w14:paraId="7DC0519B" w14:textId="77777777" w:rsidTr="0046111D">
        <w:trPr>
          <w:trHeight w:val="241"/>
        </w:trPr>
        <w:tc>
          <w:tcPr>
            <w:tcW w:w="0" w:type="auto"/>
            <w:tcBorders>
              <w:top w:val="single" w:sz="8" w:space="0" w:color="000000"/>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center"/>
            <w:hideMark/>
          </w:tcPr>
          <w:p w14:paraId="7B5A3EEB" w14:textId="77777777" w:rsidR="0046111D" w:rsidRPr="00A635DB" w:rsidRDefault="0046111D" w:rsidP="0046111D">
            <w:pPr>
              <w:spacing w:after="0" w:line="240" w:lineRule="auto"/>
            </w:pPr>
            <w:r w:rsidRPr="00A635DB">
              <w:rPr>
                <w:i/>
                <w:iCs/>
              </w:rPr>
              <w:t xml:space="preserve">Bruguiera gymnorrhiza </w:t>
            </w:r>
            <w:r w:rsidRPr="00A635DB">
              <w:t>(L.) Savigny</w:t>
            </w:r>
          </w:p>
        </w:tc>
        <w:tc>
          <w:tcPr>
            <w:tcW w:w="1532" w:type="dxa"/>
            <w:tcBorders>
              <w:top w:val="single" w:sz="8" w:space="0" w:color="000000"/>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center"/>
            <w:hideMark/>
          </w:tcPr>
          <w:p w14:paraId="502CA55F" w14:textId="77777777" w:rsidR="0046111D" w:rsidRPr="00A635DB" w:rsidRDefault="0046111D" w:rsidP="0046111D">
            <w:pPr>
              <w:spacing w:after="0" w:line="240" w:lineRule="auto"/>
            </w:pPr>
            <w:r w:rsidRPr="00A635DB">
              <w:t>Propagules</w:t>
            </w:r>
          </w:p>
        </w:tc>
        <w:tc>
          <w:tcPr>
            <w:tcW w:w="2693" w:type="dxa"/>
            <w:tcBorders>
              <w:top w:val="single" w:sz="8" w:space="0" w:color="000000"/>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center"/>
            <w:hideMark/>
          </w:tcPr>
          <w:p w14:paraId="0E97A429" w14:textId="34FAE970" w:rsidR="0046111D" w:rsidRPr="00A635DB" w:rsidRDefault="004573E0" w:rsidP="0046111D">
            <w:pPr>
              <w:spacing w:after="0" w:line="240" w:lineRule="auto"/>
            </w:pPr>
            <w:r w:rsidRPr="00A635DB">
              <w:t>Pour</w:t>
            </w:r>
            <w:r w:rsidR="0046111D" w:rsidRPr="00A635DB">
              <w:t xml:space="preserve"> la diversité génétique</w:t>
            </w:r>
          </w:p>
        </w:tc>
        <w:tc>
          <w:tcPr>
            <w:tcW w:w="1985" w:type="dxa"/>
            <w:tcBorders>
              <w:top w:val="single" w:sz="8" w:space="0" w:color="000000"/>
              <w:left w:val="single" w:sz="8" w:space="0" w:color="000000"/>
              <w:bottom w:val="single" w:sz="8" w:space="0" w:color="000000"/>
              <w:right w:val="single" w:sz="8" w:space="0" w:color="000000"/>
            </w:tcBorders>
            <w:shd w:val="clear" w:color="auto" w:fill="E9EDF4"/>
            <w:vAlign w:val="center"/>
          </w:tcPr>
          <w:p w14:paraId="5BD10BD8" w14:textId="3EFFE77D" w:rsidR="0046111D" w:rsidRPr="00A635DB" w:rsidRDefault="0046111D" w:rsidP="0046111D">
            <w:pPr>
              <w:spacing w:after="0" w:line="240" w:lineRule="auto"/>
              <w:rPr>
                <w:i/>
                <w:iCs/>
              </w:rPr>
            </w:pPr>
            <w:r w:rsidRPr="004573E0">
              <w:rPr>
                <w:i/>
                <w:iCs/>
              </w:rPr>
              <w:t>Rhizophoraceae</w:t>
            </w:r>
          </w:p>
        </w:tc>
      </w:tr>
      <w:tr w:rsidR="0046111D" w:rsidRPr="00A635DB" w14:paraId="1EAFF39B" w14:textId="77777777" w:rsidTr="0046111D">
        <w:trPr>
          <w:trHeight w:val="232"/>
        </w:trPr>
        <w:tc>
          <w:tcPr>
            <w:tcW w:w="0" w:type="auto"/>
            <w:tcBorders>
              <w:top w:val="single" w:sz="8" w:space="0" w:color="000000"/>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center"/>
            <w:hideMark/>
          </w:tcPr>
          <w:p w14:paraId="560795FA" w14:textId="77777777" w:rsidR="0046111D" w:rsidRPr="00A635DB" w:rsidRDefault="0046111D" w:rsidP="0046111D">
            <w:pPr>
              <w:spacing w:after="0" w:line="240" w:lineRule="auto"/>
            </w:pPr>
            <w:r w:rsidRPr="00A635DB">
              <w:rPr>
                <w:i/>
                <w:iCs/>
              </w:rPr>
              <w:t xml:space="preserve">Rhizophora apiculata </w:t>
            </w:r>
            <w:r w:rsidRPr="00A635DB">
              <w:t>BI.</w:t>
            </w:r>
          </w:p>
        </w:tc>
        <w:tc>
          <w:tcPr>
            <w:tcW w:w="1532" w:type="dxa"/>
            <w:tcBorders>
              <w:top w:val="single" w:sz="8" w:space="0" w:color="000000"/>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center"/>
            <w:hideMark/>
          </w:tcPr>
          <w:p w14:paraId="7C117C98" w14:textId="77777777" w:rsidR="0046111D" w:rsidRPr="00A635DB" w:rsidRDefault="0046111D" w:rsidP="0046111D">
            <w:pPr>
              <w:spacing w:after="0" w:line="240" w:lineRule="auto"/>
            </w:pPr>
            <w:r w:rsidRPr="00A635DB">
              <w:t>Propagules</w:t>
            </w:r>
          </w:p>
        </w:tc>
        <w:tc>
          <w:tcPr>
            <w:tcW w:w="2693" w:type="dxa"/>
            <w:tcBorders>
              <w:top w:val="single" w:sz="8" w:space="0" w:color="000000"/>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center"/>
            <w:hideMark/>
          </w:tcPr>
          <w:p w14:paraId="6D98F477" w14:textId="08785D69" w:rsidR="0046111D" w:rsidRPr="00A635DB" w:rsidRDefault="004573E0" w:rsidP="0046111D">
            <w:pPr>
              <w:spacing w:after="0" w:line="240" w:lineRule="auto"/>
            </w:pPr>
            <w:r w:rsidRPr="00A635DB">
              <w:t>Pour</w:t>
            </w:r>
            <w:r w:rsidR="0046111D" w:rsidRPr="00A635DB">
              <w:t xml:space="preserve"> la diversité génétique</w:t>
            </w:r>
          </w:p>
        </w:tc>
        <w:tc>
          <w:tcPr>
            <w:tcW w:w="1985" w:type="dxa"/>
            <w:tcBorders>
              <w:top w:val="single" w:sz="8" w:space="0" w:color="000000"/>
              <w:left w:val="single" w:sz="8" w:space="0" w:color="000000"/>
              <w:bottom w:val="single" w:sz="8" w:space="0" w:color="000000"/>
              <w:right w:val="single" w:sz="8" w:space="0" w:color="000000"/>
            </w:tcBorders>
            <w:shd w:val="clear" w:color="auto" w:fill="E9EDF4"/>
            <w:vAlign w:val="center"/>
          </w:tcPr>
          <w:p w14:paraId="45E5DF2F" w14:textId="222083F5" w:rsidR="0046111D" w:rsidRPr="00A635DB" w:rsidRDefault="0046111D" w:rsidP="0046111D">
            <w:pPr>
              <w:spacing w:after="0" w:line="240" w:lineRule="auto"/>
              <w:rPr>
                <w:i/>
                <w:iCs/>
              </w:rPr>
            </w:pPr>
            <w:r w:rsidRPr="004573E0">
              <w:rPr>
                <w:i/>
                <w:iCs/>
              </w:rPr>
              <w:t>Rhizophoraceae</w:t>
            </w:r>
          </w:p>
        </w:tc>
      </w:tr>
      <w:tr w:rsidR="0046111D" w:rsidRPr="00A635DB" w14:paraId="6083084C" w14:textId="77777777" w:rsidTr="0046111D">
        <w:trPr>
          <w:trHeight w:val="194"/>
        </w:trPr>
        <w:tc>
          <w:tcPr>
            <w:tcW w:w="0" w:type="auto"/>
            <w:tcBorders>
              <w:top w:val="single" w:sz="8" w:space="0" w:color="000000"/>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center"/>
            <w:hideMark/>
          </w:tcPr>
          <w:p w14:paraId="5F213981" w14:textId="6FDAD8B7" w:rsidR="0046111D" w:rsidRPr="00A635DB" w:rsidRDefault="0046111D" w:rsidP="0046111D">
            <w:pPr>
              <w:spacing w:after="0" w:line="240" w:lineRule="auto"/>
            </w:pPr>
            <w:r w:rsidRPr="00A635DB">
              <w:rPr>
                <w:i/>
                <w:iCs/>
              </w:rPr>
              <w:t>Rhizophora mucronata</w:t>
            </w:r>
            <w:r w:rsidRPr="00A635DB">
              <w:t xml:space="preserve"> Lamk.</w:t>
            </w:r>
          </w:p>
        </w:tc>
        <w:tc>
          <w:tcPr>
            <w:tcW w:w="1532" w:type="dxa"/>
            <w:tcBorders>
              <w:top w:val="single" w:sz="8" w:space="0" w:color="000000"/>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center"/>
            <w:hideMark/>
          </w:tcPr>
          <w:p w14:paraId="18A7EC8C" w14:textId="77777777" w:rsidR="0046111D" w:rsidRPr="00A635DB" w:rsidRDefault="0046111D" w:rsidP="0046111D">
            <w:pPr>
              <w:spacing w:after="0" w:line="240" w:lineRule="auto"/>
            </w:pPr>
            <w:r w:rsidRPr="00A635DB">
              <w:t>Propagules</w:t>
            </w:r>
          </w:p>
        </w:tc>
        <w:tc>
          <w:tcPr>
            <w:tcW w:w="2693" w:type="dxa"/>
            <w:tcBorders>
              <w:top w:val="single" w:sz="8" w:space="0" w:color="000000"/>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center"/>
            <w:hideMark/>
          </w:tcPr>
          <w:p w14:paraId="5BD2BCFB" w14:textId="183158DC" w:rsidR="0046111D" w:rsidRPr="00A635DB" w:rsidRDefault="004573E0" w:rsidP="0046111D">
            <w:pPr>
              <w:spacing w:after="0" w:line="240" w:lineRule="auto"/>
            </w:pPr>
            <w:r w:rsidRPr="00A635DB">
              <w:t>Pour</w:t>
            </w:r>
            <w:r w:rsidR="0046111D" w:rsidRPr="00A635DB">
              <w:t xml:space="preserve"> la diversité génétique</w:t>
            </w:r>
          </w:p>
        </w:tc>
        <w:tc>
          <w:tcPr>
            <w:tcW w:w="1985" w:type="dxa"/>
            <w:tcBorders>
              <w:top w:val="single" w:sz="8" w:space="0" w:color="000000"/>
              <w:left w:val="single" w:sz="8" w:space="0" w:color="000000"/>
              <w:bottom w:val="single" w:sz="8" w:space="0" w:color="000000"/>
              <w:right w:val="single" w:sz="8" w:space="0" w:color="000000"/>
            </w:tcBorders>
            <w:shd w:val="clear" w:color="auto" w:fill="E9EDF4"/>
            <w:vAlign w:val="center"/>
          </w:tcPr>
          <w:p w14:paraId="7D2A72CC" w14:textId="2AA3FF84" w:rsidR="0046111D" w:rsidRPr="00A635DB" w:rsidRDefault="0046111D" w:rsidP="0046111D">
            <w:pPr>
              <w:spacing w:after="0" w:line="240" w:lineRule="auto"/>
              <w:rPr>
                <w:i/>
                <w:iCs/>
              </w:rPr>
            </w:pPr>
            <w:r w:rsidRPr="004573E0">
              <w:rPr>
                <w:i/>
                <w:iCs/>
              </w:rPr>
              <w:t>Rhizophoraceae</w:t>
            </w:r>
          </w:p>
        </w:tc>
      </w:tr>
      <w:tr w:rsidR="0046111D" w:rsidRPr="00A635DB" w14:paraId="18B760EA" w14:textId="77777777" w:rsidTr="005F7B42">
        <w:trPr>
          <w:trHeight w:val="302"/>
        </w:trPr>
        <w:tc>
          <w:tcPr>
            <w:tcW w:w="0" w:type="auto"/>
            <w:tcBorders>
              <w:top w:val="single" w:sz="8" w:space="0" w:color="000000"/>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center"/>
          </w:tcPr>
          <w:p w14:paraId="2DAA2913" w14:textId="77777777" w:rsidR="0046111D" w:rsidRPr="00A635DB" w:rsidRDefault="0046111D" w:rsidP="005F7B42">
            <w:pPr>
              <w:spacing w:after="0" w:line="240" w:lineRule="auto"/>
              <w:rPr>
                <w:i/>
                <w:iCs/>
              </w:rPr>
            </w:pPr>
            <w:r w:rsidRPr="0046111D">
              <w:rPr>
                <w:i/>
                <w:iCs/>
              </w:rPr>
              <w:t>Ceriops tagal</w:t>
            </w:r>
          </w:p>
        </w:tc>
        <w:tc>
          <w:tcPr>
            <w:tcW w:w="1532" w:type="dxa"/>
            <w:tcBorders>
              <w:top w:val="single" w:sz="8" w:space="0" w:color="000000"/>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center"/>
          </w:tcPr>
          <w:p w14:paraId="73F68588" w14:textId="77777777" w:rsidR="0046111D" w:rsidRPr="00A635DB" w:rsidRDefault="0046111D" w:rsidP="005F7B42">
            <w:pPr>
              <w:spacing w:after="0" w:line="240" w:lineRule="auto"/>
            </w:pPr>
            <w:r w:rsidRPr="00A635DB">
              <w:t>Propagules</w:t>
            </w:r>
          </w:p>
        </w:tc>
        <w:tc>
          <w:tcPr>
            <w:tcW w:w="2693" w:type="dxa"/>
            <w:tcBorders>
              <w:top w:val="single" w:sz="8" w:space="0" w:color="000000"/>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center"/>
          </w:tcPr>
          <w:p w14:paraId="536DA51F" w14:textId="77777777" w:rsidR="0046111D" w:rsidRPr="00A635DB" w:rsidRDefault="0046111D" w:rsidP="005F7B42">
            <w:pPr>
              <w:spacing w:after="0" w:line="240" w:lineRule="auto"/>
            </w:pPr>
          </w:p>
        </w:tc>
        <w:tc>
          <w:tcPr>
            <w:tcW w:w="1985" w:type="dxa"/>
            <w:tcBorders>
              <w:top w:val="single" w:sz="8" w:space="0" w:color="000000"/>
              <w:left w:val="single" w:sz="8" w:space="0" w:color="000000"/>
              <w:bottom w:val="single" w:sz="8" w:space="0" w:color="000000"/>
              <w:right w:val="single" w:sz="8" w:space="0" w:color="000000"/>
            </w:tcBorders>
            <w:shd w:val="clear" w:color="auto" w:fill="E9EDF4"/>
            <w:vAlign w:val="center"/>
          </w:tcPr>
          <w:p w14:paraId="306473B3" w14:textId="23466823" w:rsidR="0046111D" w:rsidRPr="004573E0" w:rsidRDefault="0046111D" w:rsidP="005F7B42">
            <w:pPr>
              <w:spacing w:after="0" w:line="240" w:lineRule="auto"/>
              <w:rPr>
                <w:i/>
                <w:iCs/>
              </w:rPr>
            </w:pPr>
            <w:r w:rsidRPr="004573E0">
              <w:rPr>
                <w:i/>
                <w:iCs/>
              </w:rPr>
              <w:t>Rhizophoraceae</w:t>
            </w:r>
          </w:p>
        </w:tc>
      </w:tr>
      <w:tr w:rsidR="0046111D" w:rsidRPr="00A635DB" w14:paraId="789B6740" w14:textId="77777777" w:rsidTr="0046111D">
        <w:trPr>
          <w:trHeight w:val="184"/>
        </w:trPr>
        <w:tc>
          <w:tcPr>
            <w:tcW w:w="0" w:type="auto"/>
            <w:tcBorders>
              <w:top w:val="single" w:sz="8" w:space="0" w:color="000000"/>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center"/>
            <w:hideMark/>
          </w:tcPr>
          <w:p w14:paraId="1DE2461F" w14:textId="77777777" w:rsidR="0046111D" w:rsidRPr="00A635DB" w:rsidRDefault="0046111D" w:rsidP="0046111D">
            <w:pPr>
              <w:spacing w:after="0" w:line="240" w:lineRule="auto"/>
            </w:pPr>
            <w:r w:rsidRPr="00A635DB">
              <w:rPr>
                <w:i/>
                <w:iCs/>
              </w:rPr>
              <w:t xml:space="preserve">Sonneratia apetala </w:t>
            </w:r>
            <w:r w:rsidRPr="00A635DB">
              <w:t>Buch.-Ham.</w:t>
            </w:r>
          </w:p>
        </w:tc>
        <w:tc>
          <w:tcPr>
            <w:tcW w:w="1532" w:type="dxa"/>
            <w:tcBorders>
              <w:top w:val="single" w:sz="8" w:space="0" w:color="000000"/>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center"/>
            <w:hideMark/>
          </w:tcPr>
          <w:p w14:paraId="0CA8C611" w14:textId="76EED513" w:rsidR="0046111D" w:rsidRPr="00A635DB" w:rsidRDefault="0046111D" w:rsidP="0046111D">
            <w:pPr>
              <w:spacing w:after="0" w:line="240" w:lineRule="auto"/>
            </w:pPr>
            <w:r w:rsidRPr="00A635DB">
              <w:t>Graines</w:t>
            </w:r>
          </w:p>
        </w:tc>
        <w:tc>
          <w:tcPr>
            <w:tcW w:w="2693" w:type="dxa"/>
            <w:tcBorders>
              <w:top w:val="single" w:sz="8" w:space="0" w:color="000000"/>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center"/>
            <w:hideMark/>
          </w:tcPr>
          <w:p w14:paraId="3CD70192" w14:textId="11795051" w:rsidR="0046111D" w:rsidRPr="00A635DB" w:rsidRDefault="004573E0" w:rsidP="0046111D">
            <w:pPr>
              <w:spacing w:after="0" w:line="240" w:lineRule="auto"/>
            </w:pPr>
            <w:r w:rsidRPr="00A635DB">
              <w:t>Pour</w:t>
            </w:r>
            <w:r w:rsidR="0046111D" w:rsidRPr="00A635DB">
              <w:t xml:space="preserve"> la diversité génétique</w:t>
            </w:r>
          </w:p>
        </w:tc>
        <w:tc>
          <w:tcPr>
            <w:tcW w:w="1985" w:type="dxa"/>
            <w:tcBorders>
              <w:top w:val="single" w:sz="8" w:space="0" w:color="000000"/>
              <w:left w:val="single" w:sz="8" w:space="0" w:color="000000"/>
              <w:bottom w:val="single" w:sz="8" w:space="0" w:color="000000"/>
              <w:right w:val="single" w:sz="8" w:space="0" w:color="000000"/>
            </w:tcBorders>
            <w:shd w:val="clear" w:color="auto" w:fill="E9EDF4"/>
            <w:vAlign w:val="center"/>
          </w:tcPr>
          <w:p w14:paraId="41C3337F" w14:textId="1342CC97" w:rsidR="0046111D" w:rsidRPr="00A635DB" w:rsidRDefault="0046111D" w:rsidP="0046111D">
            <w:pPr>
              <w:spacing w:after="0" w:line="240" w:lineRule="auto"/>
              <w:rPr>
                <w:i/>
                <w:iCs/>
              </w:rPr>
            </w:pPr>
            <w:r w:rsidRPr="004573E0">
              <w:rPr>
                <w:i/>
                <w:iCs/>
              </w:rPr>
              <w:t>Sonneratiaceae</w:t>
            </w:r>
          </w:p>
        </w:tc>
      </w:tr>
      <w:tr w:rsidR="0046111D" w:rsidRPr="00A635DB" w14:paraId="0914AA49" w14:textId="77777777" w:rsidTr="005F7B42">
        <w:trPr>
          <w:trHeight w:val="302"/>
        </w:trPr>
        <w:tc>
          <w:tcPr>
            <w:tcW w:w="0" w:type="auto"/>
            <w:tcBorders>
              <w:top w:val="single" w:sz="8" w:space="0" w:color="000000"/>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center"/>
          </w:tcPr>
          <w:p w14:paraId="01B06AF4" w14:textId="77777777" w:rsidR="0046111D" w:rsidRPr="0046111D" w:rsidRDefault="0046111D" w:rsidP="005F7B42">
            <w:pPr>
              <w:spacing w:after="0" w:line="240" w:lineRule="auto"/>
              <w:rPr>
                <w:i/>
                <w:iCs/>
              </w:rPr>
            </w:pPr>
            <w:r w:rsidRPr="0046111D">
              <w:rPr>
                <w:i/>
                <w:iCs/>
              </w:rPr>
              <w:t>Sonneratia alba</w:t>
            </w:r>
            <w:r>
              <w:rPr>
                <w:i/>
                <w:iCs/>
              </w:rPr>
              <w:t xml:space="preserve"> </w:t>
            </w:r>
          </w:p>
        </w:tc>
        <w:tc>
          <w:tcPr>
            <w:tcW w:w="1532" w:type="dxa"/>
            <w:tcBorders>
              <w:top w:val="single" w:sz="8" w:space="0" w:color="000000"/>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center"/>
          </w:tcPr>
          <w:p w14:paraId="6803CEE1" w14:textId="77777777" w:rsidR="0046111D" w:rsidRPr="00A635DB" w:rsidRDefault="0046111D" w:rsidP="005F7B42">
            <w:pPr>
              <w:spacing w:after="0" w:line="240" w:lineRule="auto"/>
            </w:pPr>
            <w:r w:rsidRPr="00A635DB">
              <w:t>Graines</w:t>
            </w:r>
          </w:p>
        </w:tc>
        <w:tc>
          <w:tcPr>
            <w:tcW w:w="2693" w:type="dxa"/>
            <w:tcBorders>
              <w:top w:val="single" w:sz="8" w:space="0" w:color="000000"/>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center"/>
          </w:tcPr>
          <w:p w14:paraId="75248F70" w14:textId="77777777" w:rsidR="0046111D" w:rsidRPr="00A635DB" w:rsidRDefault="0046111D" w:rsidP="005F7B42">
            <w:pPr>
              <w:spacing w:after="0" w:line="240" w:lineRule="auto"/>
            </w:pPr>
          </w:p>
        </w:tc>
        <w:tc>
          <w:tcPr>
            <w:tcW w:w="1985" w:type="dxa"/>
            <w:tcBorders>
              <w:top w:val="single" w:sz="8" w:space="0" w:color="000000"/>
              <w:left w:val="single" w:sz="8" w:space="0" w:color="000000"/>
              <w:bottom w:val="single" w:sz="8" w:space="0" w:color="000000"/>
              <w:right w:val="single" w:sz="8" w:space="0" w:color="000000"/>
            </w:tcBorders>
            <w:shd w:val="clear" w:color="auto" w:fill="E9EDF4"/>
            <w:vAlign w:val="center"/>
          </w:tcPr>
          <w:p w14:paraId="169FBCA4" w14:textId="77777777" w:rsidR="0046111D" w:rsidRPr="004573E0" w:rsidRDefault="0046111D" w:rsidP="005F7B42">
            <w:pPr>
              <w:spacing w:after="0" w:line="240" w:lineRule="auto"/>
              <w:rPr>
                <w:i/>
                <w:iCs/>
              </w:rPr>
            </w:pPr>
            <w:r w:rsidRPr="004573E0">
              <w:rPr>
                <w:i/>
                <w:iCs/>
              </w:rPr>
              <w:t>Sonneratiaceae</w:t>
            </w:r>
          </w:p>
        </w:tc>
      </w:tr>
      <w:tr w:rsidR="0046111D" w:rsidRPr="00A635DB" w14:paraId="00878914" w14:textId="77777777" w:rsidTr="0046111D">
        <w:trPr>
          <w:trHeight w:val="302"/>
        </w:trPr>
        <w:tc>
          <w:tcPr>
            <w:tcW w:w="0" w:type="auto"/>
            <w:tcBorders>
              <w:top w:val="single" w:sz="8" w:space="0" w:color="000000"/>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center"/>
            <w:hideMark/>
          </w:tcPr>
          <w:p w14:paraId="7CD4F377" w14:textId="77777777" w:rsidR="0046111D" w:rsidRPr="00A635DB" w:rsidRDefault="0046111D" w:rsidP="0046111D">
            <w:pPr>
              <w:spacing w:after="0" w:line="240" w:lineRule="auto"/>
            </w:pPr>
            <w:r w:rsidRPr="00A635DB">
              <w:rPr>
                <w:i/>
                <w:iCs/>
              </w:rPr>
              <w:t xml:space="preserve">Xylocarpus moluccensis </w:t>
            </w:r>
            <w:r w:rsidRPr="00A635DB">
              <w:t>(Lamk.) M.Roem.</w:t>
            </w:r>
          </w:p>
        </w:tc>
        <w:tc>
          <w:tcPr>
            <w:tcW w:w="1532" w:type="dxa"/>
            <w:tcBorders>
              <w:top w:val="single" w:sz="8" w:space="0" w:color="000000"/>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center"/>
            <w:hideMark/>
          </w:tcPr>
          <w:p w14:paraId="108D07C1" w14:textId="6B13C0DD" w:rsidR="0046111D" w:rsidRPr="00A635DB" w:rsidRDefault="0046111D" w:rsidP="0046111D">
            <w:pPr>
              <w:spacing w:after="0" w:line="240" w:lineRule="auto"/>
            </w:pPr>
            <w:r w:rsidRPr="00A635DB">
              <w:t>Graines</w:t>
            </w:r>
          </w:p>
        </w:tc>
        <w:tc>
          <w:tcPr>
            <w:tcW w:w="2693" w:type="dxa"/>
            <w:tcBorders>
              <w:top w:val="single" w:sz="8" w:space="0" w:color="000000"/>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center"/>
            <w:hideMark/>
          </w:tcPr>
          <w:p w14:paraId="5634E8F7" w14:textId="1F25D11B" w:rsidR="0046111D" w:rsidRPr="00A635DB" w:rsidRDefault="004573E0" w:rsidP="0046111D">
            <w:pPr>
              <w:spacing w:after="0" w:line="240" w:lineRule="auto"/>
            </w:pPr>
            <w:r w:rsidRPr="00A635DB">
              <w:t>Pour</w:t>
            </w:r>
            <w:r w:rsidR="0046111D" w:rsidRPr="00A635DB">
              <w:t xml:space="preserve"> la diversité génétique</w:t>
            </w:r>
          </w:p>
        </w:tc>
        <w:tc>
          <w:tcPr>
            <w:tcW w:w="1985" w:type="dxa"/>
            <w:tcBorders>
              <w:top w:val="single" w:sz="8" w:space="0" w:color="000000"/>
              <w:left w:val="single" w:sz="8" w:space="0" w:color="000000"/>
              <w:bottom w:val="single" w:sz="8" w:space="0" w:color="000000"/>
              <w:right w:val="single" w:sz="8" w:space="0" w:color="000000"/>
            </w:tcBorders>
            <w:shd w:val="clear" w:color="auto" w:fill="E9EDF4"/>
            <w:vAlign w:val="center"/>
          </w:tcPr>
          <w:p w14:paraId="0D6F43C5" w14:textId="3AA6BC51" w:rsidR="0046111D" w:rsidRPr="00A635DB" w:rsidRDefault="004573E0" w:rsidP="0046111D">
            <w:pPr>
              <w:spacing w:after="0" w:line="240" w:lineRule="auto"/>
              <w:rPr>
                <w:i/>
                <w:iCs/>
              </w:rPr>
            </w:pPr>
            <w:r w:rsidRPr="004573E0">
              <w:rPr>
                <w:i/>
                <w:iCs/>
              </w:rPr>
              <w:t>Meliaceae</w:t>
            </w:r>
          </w:p>
        </w:tc>
      </w:tr>
      <w:tr w:rsidR="0046111D" w:rsidRPr="00A635DB" w14:paraId="4AA2405D" w14:textId="77777777" w:rsidTr="005F7B42">
        <w:trPr>
          <w:trHeight w:val="302"/>
        </w:trPr>
        <w:tc>
          <w:tcPr>
            <w:tcW w:w="0" w:type="auto"/>
            <w:tcBorders>
              <w:top w:val="single" w:sz="8" w:space="0" w:color="000000"/>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center"/>
          </w:tcPr>
          <w:p w14:paraId="63098470" w14:textId="77777777" w:rsidR="0046111D" w:rsidRPr="0046111D" w:rsidRDefault="0046111D" w:rsidP="005F7B42">
            <w:pPr>
              <w:spacing w:after="0" w:line="240" w:lineRule="auto"/>
              <w:rPr>
                <w:i/>
                <w:iCs/>
              </w:rPr>
            </w:pPr>
            <w:r w:rsidRPr="0046111D">
              <w:rPr>
                <w:i/>
                <w:iCs/>
              </w:rPr>
              <w:t>Xylocarpus granatum</w:t>
            </w:r>
          </w:p>
        </w:tc>
        <w:tc>
          <w:tcPr>
            <w:tcW w:w="1532" w:type="dxa"/>
            <w:tcBorders>
              <w:top w:val="single" w:sz="8" w:space="0" w:color="000000"/>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center"/>
          </w:tcPr>
          <w:p w14:paraId="7F2AA103" w14:textId="1F2FFD01" w:rsidR="0046111D" w:rsidRPr="00A635DB" w:rsidRDefault="004573E0" w:rsidP="005F7B42">
            <w:pPr>
              <w:spacing w:after="0" w:line="240" w:lineRule="auto"/>
            </w:pPr>
            <w:r w:rsidRPr="00A635DB">
              <w:t>Graines</w:t>
            </w:r>
          </w:p>
        </w:tc>
        <w:tc>
          <w:tcPr>
            <w:tcW w:w="2693" w:type="dxa"/>
            <w:tcBorders>
              <w:top w:val="single" w:sz="8" w:space="0" w:color="000000"/>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center"/>
          </w:tcPr>
          <w:p w14:paraId="216FF89D" w14:textId="77777777" w:rsidR="0046111D" w:rsidRPr="00A635DB" w:rsidRDefault="0046111D" w:rsidP="005F7B42">
            <w:pPr>
              <w:spacing w:after="0" w:line="240" w:lineRule="auto"/>
            </w:pPr>
          </w:p>
        </w:tc>
        <w:tc>
          <w:tcPr>
            <w:tcW w:w="1985" w:type="dxa"/>
            <w:tcBorders>
              <w:top w:val="single" w:sz="8" w:space="0" w:color="000000"/>
              <w:left w:val="single" w:sz="8" w:space="0" w:color="000000"/>
              <w:bottom w:val="single" w:sz="8" w:space="0" w:color="000000"/>
              <w:right w:val="single" w:sz="8" w:space="0" w:color="000000"/>
            </w:tcBorders>
            <w:shd w:val="clear" w:color="auto" w:fill="E9EDF4"/>
            <w:vAlign w:val="center"/>
          </w:tcPr>
          <w:p w14:paraId="5FA150B6" w14:textId="33464618" w:rsidR="0046111D" w:rsidRPr="004573E0" w:rsidRDefault="004573E0" w:rsidP="005F7B42">
            <w:pPr>
              <w:spacing w:after="0" w:line="240" w:lineRule="auto"/>
              <w:rPr>
                <w:i/>
                <w:iCs/>
              </w:rPr>
            </w:pPr>
            <w:r w:rsidRPr="004573E0">
              <w:rPr>
                <w:i/>
                <w:iCs/>
              </w:rPr>
              <w:t>Meliaceae</w:t>
            </w:r>
          </w:p>
        </w:tc>
      </w:tr>
      <w:tr w:rsidR="0046111D" w:rsidRPr="00A635DB" w14:paraId="481A0A55" w14:textId="77777777" w:rsidTr="0046111D">
        <w:trPr>
          <w:trHeight w:val="302"/>
        </w:trPr>
        <w:tc>
          <w:tcPr>
            <w:tcW w:w="0" w:type="auto"/>
            <w:tcBorders>
              <w:top w:val="single" w:sz="8" w:space="0" w:color="000000"/>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center"/>
          </w:tcPr>
          <w:p w14:paraId="77F35302" w14:textId="0A4F78EB" w:rsidR="0046111D" w:rsidRPr="0046111D" w:rsidRDefault="0046111D" w:rsidP="0046111D">
            <w:pPr>
              <w:spacing w:after="0" w:line="240" w:lineRule="auto"/>
              <w:rPr>
                <w:i/>
                <w:iCs/>
              </w:rPr>
            </w:pPr>
            <w:r w:rsidRPr="0046111D">
              <w:rPr>
                <w:i/>
                <w:iCs/>
              </w:rPr>
              <w:t>Lumnitzera racemosa</w:t>
            </w:r>
          </w:p>
        </w:tc>
        <w:tc>
          <w:tcPr>
            <w:tcW w:w="1532" w:type="dxa"/>
            <w:tcBorders>
              <w:top w:val="single" w:sz="8" w:space="0" w:color="000000"/>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center"/>
          </w:tcPr>
          <w:p w14:paraId="4CC47AF9" w14:textId="77777777" w:rsidR="0046111D" w:rsidRPr="00A635DB" w:rsidRDefault="0046111D" w:rsidP="0046111D">
            <w:pPr>
              <w:spacing w:after="0" w:line="240" w:lineRule="auto"/>
            </w:pPr>
          </w:p>
        </w:tc>
        <w:tc>
          <w:tcPr>
            <w:tcW w:w="2693" w:type="dxa"/>
            <w:tcBorders>
              <w:top w:val="single" w:sz="8" w:space="0" w:color="000000"/>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center"/>
          </w:tcPr>
          <w:p w14:paraId="5B565196" w14:textId="77777777" w:rsidR="0046111D" w:rsidRPr="00A635DB" w:rsidRDefault="0046111D" w:rsidP="0046111D">
            <w:pPr>
              <w:spacing w:after="0" w:line="240" w:lineRule="auto"/>
            </w:pPr>
          </w:p>
        </w:tc>
        <w:tc>
          <w:tcPr>
            <w:tcW w:w="1985" w:type="dxa"/>
            <w:tcBorders>
              <w:top w:val="single" w:sz="8" w:space="0" w:color="000000"/>
              <w:left w:val="single" w:sz="8" w:space="0" w:color="000000"/>
              <w:bottom w:val="single" w:sz="8" w:space="0" w:color="000000"/>
              <w:right w:val="single" w:sz="8" w:space="0" w:color="000000"/>
            </w:tcBorders>
            <w:shd w:val="clear" w:color="auto" w:fill="E9EDF4"/>
            <w:vAlign w:val="center"/>
          </w:tcPr>
          <w:p w14:paraId="28AE770E" w14:textId="48524D3F" w:rsidR="0046111D" w:rsidRPr="004573E0" w:rsidRDefault="004573E0" w:rsidP="0046111D">
            <w:pPr>
              <w:spacing w:after="0" w:line="240" w:lineRule="auto"/>
              <w:rPr>
                <w:i/>
                <w:iCs/>
              </w:rPr>
            </w:pPr>
            <w:r w:rsidRPr="004573E0">
              <w:rPr>
                <w:i/>
                <w:iCs/>
              </w:rPr>
              <w:t>Combretaceae</w:t>
            </w:r>
          </w:p>
        </w:tc>
      </w:tr>
      <w:tr w:rsidR="0046111D" w:rsidRPr="00A635DB" w14:paraId="3C69F220" w14:textId="77777777" w:rsidTr="0046111D">
        <w:trPr>
          <w:trHeight w:val="302"/>
        </w:trPr>
        <w:tc>
          <w:tcPr>
            <w:tcW w:w="0" w:type="auto"/>
            <w:tcBorders>
              <w:top w:val="single" w:sz="8" w:space="0" w:color="000000"/>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center"/>
          </w:tcPr>
          <w:p w14:paraId="7DAC3A5F" w14:textId="4F6BB628" w:rsidR="0046111D" w:rsidRPr="0046111D" w:rsidRDefault="0046111D" w:rsidP="0046111D">
            <w:pPr>
              <w:spacing w:after="0" w:line="240" w:lineRule="auto"/>
              <w:rPr>
                <w:i/>
                <w:iCs/>
              </w:rPr>
            </w:pPr>
            <w:r w:rsidRPr="0046111D">
              <w:rPr>
                <w:i/>
                <w:iCs/>
              </w:rPr>
              <w:t>Heritiera littoralis</w:t>
            </w:r>
          </w:p>
        </w:tc>
        <w:tc>
          <w:tcPr>
            <w:tcW w:w="1532" w:type="dxa"/>
            <w:tcBorders>
              <w:top w:val="single" w:sz="8" w:space="0" w:color="000000"/>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center"/>
          </w:tcPr>
          <w:p w14:paraId="53483C81" w14:textId="77777777" w:rsidR="0046111D" w:rsidRPr="00A635DB" w:rsidRDefault="0046111D" w:rsidP="0046111D">
            <w:pPr>
              <w:spacing w:after="0" w:line="240" w:lineRule="auto"/>
            </w:pPr>
          </w:p>
        </w:tc>
        <w:tc>
          <w:tcPr>
            <w:tcW w:w="2693" w:type="dxa"/>
            <w:tcBorders>
              <w:top w:val="single" w:sz="8" w:space="0" w:color="000000"/>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center"/>
          </w:tcPr>
          <w:p w14:paraId="3861D9CD" w14:textId="77777777" w:rsidR="0046111D" w:rsidRPr="00A635DB" w:rsidRDefault="0046111D" w:rsidP="0046111D">
            <w:pPr>
              <w:spacing w:after="0" w:line="240" w:lineRule="auto"/>
            </w:pPr>
          </w:p>
        </w:tc>
        <w:tc>
          <w:tcPr>
            <w:tcW w:w="1985" w:type="dxa"/>
            <w:tcBorders>
              <w:top w:val="single" w:sz="8" w:space="0" w:color="000000"/>
              <w:left w:val="single" w:sz="8" w:space="0" w:color="000000"/>
              <w:bottom w:val="single" w:sz="8" w:space="0" w:color="000000"/>
              <w:right w:val="single" w:sz="8" w:space="0" w:color="000000"/>
            </w:tcBorders>
            <w:shd w:val="clear" w:color="auto" w:fill="E9EDF4"/>
            <w:vAlign w:val="center"/>
          </w:tcPr>
          <w:p w14:paraId="15461395" w14:textId="50A74054" w:rsidR="0046111D" w:rsidRPr="004573E0" w:rsidRDefault="004573E0" w:rsidP="0046111D">
            <w:pPr>
              <w:spacing w:after="0" w:line="240" w:lineRule="auto"/>
              <w:rPr>
                <w:i/>
                <w:iCs/>
              </w:rPr>
            </w:pPr>
            <w:r w:rsidRPr="004573E0">
              <w:rPr>
                <w:i/>
                <w:iCs/>
              </w:rPr>
              <w:t>Sterculiaceae</w:t>
            </w:r>
          </w:p>
        </w:tc>
      </w:tr>
      <w:tr w:rsidR="0046111D" w:rsidRPr="00A635DB" w14:paraId="63A97837" w14:textId="77777777" w:rsidTr="0046111D">
        <w:trPr>
          <w:trHeight w:val="302"/>
        </w:trPr>
        <w:tc>
          <w:tcPr>
            <w:tcW w:w="0" w:type="auto"/>
            <w:tcBorders>
              <w:top w:val="single" w:sz="8" w:space="0" w:color="000000"/>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center"/>
          </w:tcPr>
          <w:p w14:paraId="67A63460" w14:textId="58AA87F5" w:rsidR="0046111D" w:rsidRPr="0046111D" w:rsidRDefault="0046111D" w:rsidP="0046111D">
            <w:pPr>
              <w:spacing w:after="0" w:line="240" w:lineRule="auto"/>
              <w:rPr>
                <w:i/>
                <w:iCs/>
              </w:rPr>
            </w:pPr>
            <w:r w:rsidRPr="0046111D">
              <w:rPr>
                <w:i/>
                <w:iCs/>
              </w:rPr>
              <w:t>Pemphis acidula</w:t>
            </w:r>
          </w:p>
        </w:tc>
        <w:tc>
          <w:tcPr>
            <w:tcW w:w="1532" w:type="dxa"/>
            <w:tcBorders>
              <w:top w:val="single" w:sz="8" w:space="0" w:color="000000"/>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center"/>
          </w:tcPr>
          <w:p w14:paraId="6E34364A" w14:textId="77777777" w:rsidR="0046111D" w:rsidRPr="00A635DB" w:rsidRDefault="0046111D" w:rsidP="0046111D">
            <w:pPr>
              <w:spacing w:after="0" w:line="240" w:lineRule="auto"/>
            </w:pPr>
          </w:p>
        </w:tc>
        <w:tc>
          <w:tcPr>
            <w:tcW w:w="2693" w:type="dxa"/>
            <w:tcBorders>
              <w:top w:val="single" w:sz="8" w:space="0" w:color="000000"/>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center"/>
          </w:tcPr>
          <w:p w14:paraId="278C4EB5" w14:textId="77777777" w:rsidR="0046111D" w:rsidRPr="00A635DB" w:rsidRDefault="0046111D" w:rsidP="0046111D">
            <w:pPr>
              <w:spacing w:after="0" w:line="240" w:lineRule="auto"/>
            </w:pPr>
          </w:p>
        </w:tc>
        <w:tc>
          <w:tcPr>
            <w:tcW w:w="1985" w:type="dxa"/>
            <w:tcBorders>
              <w:top w:val="single" w:sz="8" w:space="0" w:color="000000"/>
              <w:left w:val="single" w:sz="8" w:space="0" w:color="000000"/>
              <w:bottom w:val="single" w:sz="8" w:space="0" w:color="000000"/>
              <w:right w:val="single" w:sz="8" w:space="0" w:color="000000"/>
            </w:tcBorders>
            <w:shd w:val="clear" w:color="auto" w:fill="E9EDF4"/>
            <w:vAlign w:val="center"/>
          </w:tcPr>
          <w:p w14:paraId="6413B8E8" w14:textId="4A01AC61" w:rsidR="0046111D" w:rsidRPr="004573E0" w:rsidRDefault="004573E0" w:rsidP="0046111D">
            <w:pPr>
              <w:spacing w:after="0" w:line="240" w:lineRule="auto"/>
              <w:rPr>
                <w:i/>
                <w:iCs/>
              </w:rPr>
            </w:pPr>
            <w:r w:rsidRPr="004573E0">
              <w:rPr>
                <w:i/>
                <w:iCs/>
              </w:rPr>
              <w:t>Lythraceae</w:t>
            </w:r>
          </w:p>
        </w:tc>
      </w:tr>
      <w:tr w:rsidR="00E21FD7" w:rsidRPr="00A635DB" w14:paraId="4C646315" w14:textId="77777777" w:rsidTr="0046111D">
        <w:trPr>
          <w:trHeight w:val="302"/>
        </w:trPr>
        <w:tc>
          <w:tcPr>
            <w:tcW w:w="0" w:type="auto"/>
            <w:tcBorders>
              <w:top w:val="single" w:sz="8" w:space="0" w:color="000000"/>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center"/>
          </w:tcPr>
          <w:p w14:paraId="06DF8E9E" w14:textId="43BCD642" w:rsidR="00E21FD7" w:rsidRPr="0046111D" w:rsidRDefault="00E21FD7" w:rsidP="0046111D">
            <w:pPr>
              <w:spacing w:after="0" w:line="240" w:lineRule="auto"/>
              <w:rPr>
                <w:i/>
                <w:iCs/>
              </w:rPr>
            </w:pPr>
            <w:r w:rsidRPr="00E21FD7">
              <w:rPr>
                <w:i/>
                <w:iCs/>
              </w:rPr>
              <w:t>Barringtonia asiatica</w:t>
            </w:r>
          </w:p>
        </w:tc>
        <w:tc>
          <w:tcPr>
            <w:tcW w:w="1532" w:type="dxa"/>
            <w:tcBorders>
              <w:top w:val="single" w:sz="8" w:space="0" w:color="000000"/>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center"/>
          </w:tcPr>
          <w:p w14:paraId="496F0496" w14:textId="77777777" w:rsidR="00E21FD7" w:rsidRPr="00A635DB" w:rsidRDefault="00E21FD7" w:rsidP="0046111D">
            <w:pPr>
              <w:spacing w:after="0" w:line="240" w:lineRule="auto"/>
            </w:pPr>
          </w:p>
        </w:tc>
        <w:tc>
          <w:tcPr>
            <w:tcW w:w="2693" w:type="dxa"/>
            <w:tcBorders>
              <w:top w:val="single" w:sz="8" w:space="0" w:color="000000"/>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center"/>
          </w:tcPr>
          <w:p w14:paraId="430FC961" w14:textId="77777777" w:rsidR="00E21FD7" w:rsidRPr="00A635DB" w:rsidRDefault="00E21FD7" w:rsidP="0046111D">
            <w:pPr>
              <w:spacing w:after="0" w:line="240" w:lineRule="auto"/>
            </w:pPr>
          </w:p>
        </w:tc>
        <w:tc>
          <w:tcPr>
            <w:tcW w:w="1985" w:type="dxa"/>
            <w:tcBorders>
              <w:top w:val="single" w:sz="8" w:space="0" w:color="000000"/>
              <w:left w:val="single" w:sz="8" w:space="0" w:color="000000"/>
              <w:bottom w:val="single" w:sz="8" w:space="0" w:color="000000"/>
              <w:right w:val="single" w:sz="8" w:space="0" w:color="000000"/>
            </w:tcBorders>
            <w:shd w:val="clear" w:color="auto" w:fill="E9EDF4"/>
            <w:vAlign w:val="center"/>
          </w:tcPr>
          <w:p w14:paraId="4FAD74BD" w14:textId="1B694C4E" w:rsidR="00E21FD7" w:rsidRPr="004573E0" w:rsidRDefault="00E21FD7" w:rsidP="0046111D">
            <w:pPr>
              <w:spacing w:after="0" w:line="240" w:lineRule="auto"/>
              <w:rPr>
                <w:i/>
                <w:iCs/>
              </w:rPr>
            </w:pPr>
            <w:r w:rsidRPr="00E21FD7">
              <w:rPr>
                <w:i/>
                <w:iCs/>
              </w:rPr>
              <w:t>Lecythidaceae</w:t>
            </w:r>
          </w:p>
        </w:tc>
      </w:tr>
    </w:tbl>
    <w:p w14:paraId="12BF57C4" w14:textId="7D492EF5" w:rsidR="00A635DB" w:rsidRDefault="0046111D" w:rsidP="00A635DB">
      <w:pPr>
        <w:spacing w:after="0" w:line="240" w:lineRule="auto"/>
        <w:jc w:val="center"/>
      </w:pPr>
      <w:r>
        <w:t xml:space="preserve">Source : </w:t>
      </w:r>
      <w:r w:rsidR="00A635DB" w:rsidRPr="00A635DB">
        <w:t xml:space="preserve">Détails sur les espèces de palétuviers et le matériel de plantation. Source : </w:t>
      </w:r>
      <w:hyperlink r:id="rId1066" w:history="1">
        <w:r w:rsidR="00A635DB" w:rsidRPr="00A635DB">
          <w:rPr>
            <w:rStyle w:val="Lienhypertexte"/>
          </w:rPr>
          <w:t>http://www.drcsc.org/VET/library/Nursery/Mangrove_Nursery_manual_HR.pdf</w:t>
        </w:r>
      </w:hyperlink>
    </w:p>
    <w:p w14:paraId="4A6DB5FA" w14:textId="77777777" w:rsidR="00F25603" w:rsidRDefault="00F25603" w:rsidP="00A635DB">
      <w:pPr>
        <w:spacing w:after="0" w:line="240" w:lineRule="auto"/>
        <w:jc w:val="center"/>
      </w:pPr>
    </w:p>
    <w:tbl>
      <w:tblPr>
        <w:tblW w:w="0" w:type="auto"/>
        <w:tblInd w:w="137" w:type="dxa"/>
        <w:tblBorders>
          <w:top w:val="nil"/>
          <w:left w:val="nil"/>
          <w:bottom w:val="nil"/>
          <w:right w:val="nil"/>
        </w:tblBorders>
        <w:tblLook w:val="0000" w:firstRow="0" w:lastRow="0" w:firstColumn="0" w:lastColumn="0" w:noHBand="0" w:noVBand="0"/>
      </w:tblPr>
      <w:tblGrid>
        <w:gridCol w:w="2048"/>
        <w:gridCol w:w="1056"/>
        <w:gridCol w:w="1374"/>
        <w:gridCol w:w="1036"/>
        <w:gridCol w:w="1384"/>
        <w:gridCol w:w="1782"/>
        <w:gridCol w:w="1599"/>
      </w:tblGrid>
      <w:tr w:rsidR="00F25603" w14:paraId="6B5AB0D6" w14:textId="77777777" w:rsidTr="0026313C">
        <w:trPr>
          <w:trHeight w:val="241"/>
          <w:tblHeader/>
        </w:trPr>
        <w:tc>
          <w:tcPr>
            <w:tcW w:w="2048" w:type="dxa"/>
            <w:tcBorders>
              <w:top w:val="single" w:sz="4" w:space="0" w:color="auto"/>
              <w:left w:val="single" w:sz="4" w:space="0" w:color="auto"/>
              <w:bottom w:val="single" w:sz="4" w:space="0" w:color="auto"/>
              <w:right w:val="single" w:sz="4" w:space="0" w:color="auto"/>
            </w:tcBorders>
          </w:tcPr>
          <w:p w14:paraId="66B43301" w14:textId="77777777" w:rsidR="00F25603" w:rsidRPr="00F25603" w:rsidRDefault="00F25603">
            <w:pPr>
              <w:pStyle w:val="Default"/>
              <w:rPr>
                <w:b/>
                <w:bCs/>
                <w:sz w:val="20"/>
                <w:szCs w:val="20"/>
              </w:rPr>
            </w:pPr>
            <w:r w:rsidRPr="00F25603">
              <w:rPr>
                <w:b/>
                <w:bCs/>
                <w:sz w:val="20"/>
                <w:szCs w:val="20"/>
              </w:rPr>
              <w:lastRenderedPageBreak/>
              <w:t xml:space="preserve">Espèce </w:t>
            </w:r>
          </w:p>
        </w:tc>
        <w:tc>
          <w:tcPr>
            <w:tcW w:w="1056" w:type="dxa"/>
            <w:tcBorders>
              <w:top w:val="single" w:sz="4" w:space="0" w:color="auto"/>
              <w:left w:val="single" w:sz="4" w:space="0" w:color="auto"/>
              <w:bottom w:val="single" w:sz="4" w:space="0" w:color="auto"/>
              <w:right w:val="single" w:sz="4" w:space="0" w:color="auto"/>
            </w:tcBorders>
          </w:tcPr>
          <w:p w14:paraId="2A15A0AE" w14:textId="77777777" w:rsidR="00F25603" w:rsidRPr="00F25603" w:rsidRDefault="00F25603">
            <w:pPr>
              <w:pStyle w:val="Default"/>
              <w:rPr>
                <w:b/>
                <w:bCs/>
                <w:sz w:val="20"/>
                <w:szCs w:val="20"/>
              </w:rPr>
            </w:pPr>
            <w:r w:rsidRPr="00F25603">
              <w:rPr>
                <w:b/>
                <w:bCs/>
                <w:sz w:val="20"/>
                <w:szCs w:val="20"/>
              </w:rPr>
              <w:t xml:space="preserve">Nature du substrat </w:t>
            </w:r>
          </w:p>
        </w:tc>
        <w:tc>
          <w:tcPr>
            <w:tcW w:w="1574" w:type="dxa"/>
            <w:tcBorders>
              <w:top w:val="single" w:sz="4" w:space="0" w:color="auto"/>
              <w:left w:val="single" w:sz="4" w:space="0" w:color="auto"/>
              <w:bottom w:val="single" w:sz="4" w:space="0" w:color="auto"/>
              <w:right w:val="single" w:sz="4" w:space="0" w:color="auto"/>
            </w:tcBorders>
          </w:tcPr>
          <w:p w14:paraId="1AC1FB98" w14:textId="77777777" w:rsidR="00F25603" w:rsidRPr="00F25603" w:rsidRDefault="00F25603">
            <w:pPr>
              <w:pStyle w:val="Default"/>
              <w:rPr>
                <w:b/>
                <w:bCs/>
                <w:sz w:val="20"/>
                <w:szCs w:val="20"/>
              </w:rPr>
            </w:pPr>
            <w:r w:rsidRPr="00F25603">
              <w:rPr>
                <w:b/>
                <w:bCs/>
                <w:sz w:val="20"/>
                <w:szCs w:val="20"/>
              </w:rPr>
              <w:t xml:space="preserve">Durée d’immersion </w:t>
            </w:r>
          </w:p>
        </w:tc>
        <w:tc>
          <w:tcPr>
            <w:tcW w:w="836" w:type="dxa"/>
            <w:tcBorders>
              <w:top w:val="single" w:sz="4" w:space="0" w:color="auto"/>
              <w:left w:val="single" w:sz="4" w:space="0" w:color="auto"/>
              <w:bottom w:val="single" w:sz="4" w:space="0" w:color="auto"/>
              <w:right w:val="single" w:sz="4" w:space="0" w:color="auto"/>
            </w:tcBorders>
          </w:tcPr>
          <w:p w14:paraId="1EDDBB88" w14:textId="77777777" w:rsidR="00F25603" w:rsidRPr="00F25603" w:rsidRDefault="00F25603">
            <w:pPr>
              <w:pStyle w:val="Default"/>
              <w:rPr>
                <w:b/>
                <w:bCs/>
                <w:sz w:val="20"/>
                <w:szCs w:val="20"/>
              </w:rPr>
            </w:pPr>
            <w:r w:rsidRPr="00F25603">
              <w:rPr>
                <w:b/>
                <w:bCs/>
                <w:sz w:val="20"/>
                <w:szCs w:val="20"/>
              </w:rPr>
              <w:t xml:space="preserve">Taux de salinité requis </w:t>
            </w:r>
          </w:p>
        </w:tc>
        <w:tc>
          <w:tcPr>
            <w:tcW w:w="0" w:type="auto"/>
            <w:tcBorders>
              <w:top w:val="single" w:sz="4" w:space="0" w:color="auto"/>
              <w:left w:val="single" w:sz="4" w:space="0" w:color="auto"/>
              <w:bottom w:val="single" w:sz="4" w:space="0" w:color="auto"/>
              <w:right w:val="single" w:sz="4" w:space="0" w:color="auto"/>
            </w:tcBorders>
          </w:tcPr>
          <w:p w14:paraId="3B70048F" w14:textId="77777777" w:rsidR="00F25603" w:rsidRPr="00F25603" w:rsidRDefault="00F25603">
            <w:pPr>
              <w:pStyle w:val="Default"/>
              <w:rPr>
                <w:b/>
                <w:bCs/>
                <w:sz w:val="20"/>
                <w:szCs w:val="20"/>
              </w:rPr>
            </w:pPr>
            <w:r w:rsidRPr="00F25603">
              <w:rPr>
                <w:b/>
                <w:bCs/>
                <w:sz w:val="20"/>
                <w:szCs w:val="20"/>
              </w:rPr>
              <w:t xml:space="preserve">Localisation </w:t>
            </w:r>
          </w:p>
        </w:tc>
        <w:tc>
          <w:tcPr>
            <w:tcW w:w="0" w:type="auto"/>
            <w:tcBorders>
              <w:top w:val="single" w:sz="4" w:space="0" w:color="auto"/>
              <w:left w:val="single" w:sz="4" w:space="0" w:color="auto"/>
              <w:bottom w:val="single" w:sz="4" w:space="0" w:color="auto"/>
              <w:right w:val="single" w:sz="4" w:space="0" w:color="auto"/>
            </w:tcBorders>
          </w:tcPr>
          <w:p w14:paraId="536BA59C" w14:textId="77777777" w:rsidR="00F25603" w:rsidRPr="00F25603" w:rsidRDefault="00F25603">
            <w:pPr>
              <w:pStyle w:val="Default"/>
              <w:rPr>
                <w:b/>
                <w:bCs/>
                <w:sz w:val="20"/>
                <w:szCs w:val="20"/>
              </w:rPr>
            </w:pPr>
            <w:r w:rsidRPr="00F25603">
              <w:rPr>
                <w:b/>
                <w:bCs/>
                <w:sz w:val="20"/>
                <w:szCs w:val="20"/>
              </w:rPr>
              <w:t xml:space="preserve">Station préférentielle pour la régénération </w:t>
            </w:r>
          </w:p>
        </w:tc>
        <w:tc>
          <w:tcPr>
            <w:tcW w:w="0" w:type="auto"/>
            <w:tcBorders>
              <w:top w:val="single" w:sz="4" w:space="0" w:color="auto"/>
              <w:left w:val="single" w:sz="4" w:space="0" w:color="auto"/>
              <w:bottom w:val="single" w:sz="4" w:space="0" w:color="auto"/>
              <w:right w:val="single" w:sz="4" w:space="0" w:color="auto"/>
            </w:tcBorders>
          </w:tcPr>
          <w:p w14:paraId="63BD2C55" w14:textId="77777777" w:rsidR="00F25603" w:rsidRPr="00F25603" w:rsidRDefault="00F25603">
            <w:pPr>
              <w:pStyle w:val="Default"/>
              <w:rPr>
                <w:b/>
                <w:bCs/>
                <w:sz w:val="20"/>
                <w:szCs w:val="20"/>
              </w:rPr>
            </w:pPr>
            <w:r w:rsidRPr="00F25603">
              <w:rPr>
                <w:b/>
                <w:bCs/>
                <w:sz w:val="20"/>
                <w:szCs w:val="20"/>
              </w:rPr>
              <w:t xml:space="preserve">Morphologie des individus adultes </w:t>
            </w:r>
          </w:p>
        </w:tc>
      </w:tr>
      <w:tr w:rsidR="00F25603" w14:paraId="06252702" w14:textId="77777777" w:rsidTr="0026313C">
        <w:trPr>
          <w:trHeight w:val="373"/>
        </w:trPr>
        <w:tc>
          <w:tcPr>
            <w:tcW w:w="2048" w:type="dxa"/>
            <w:tcBorders>
              <w:top w:val="single" w:sz="4" w:space="0" w:color="auto"/>
              <w:left w:val="single" w:sz="4" w:space="0" w:color="auto"/>
              <w:bottom w:val="single" w:sz="4" w:space="0" w:color="auto"/>
              <w:right w:val="single" w:sz="4" w:space="0" w:color="auto"/>
            </w:tcBorders>
          </w:tcPr>
          <w:p w14:paraId="113EFA88" w14:textId="77777777" w:rsidR="00F25603" w:rsidRDefault="00F25603">
            <w:pPr>
              <w:pStyle w:val="Default"/>
              <w:rPr>
                <w:sz w:val="20"/>
                <w:szCs w:val="20"/>
              </w:rPr>
            </w:pPr>
            <w:r>
              <w:rPr>
                <w:b/>
                <w:bCs/>
                <w:i/>
                <w:iCs/>
                <w:sz w:val="20"/>
                <w:szCs w:val="20"/>
              </w:rPr>
              <w:t xml:space="preserve">Sonneratia alba </w:t>
            </w:r>
          </w:p>
          <w:p w14:paraId="381DDF64" w14:textId="77777777" w:rsidR="00F25603" w:rsidRDefault="00F25603">
            <w:pPr>
              <w:pStyle w:val="Default"/>
              <w:rPr>
                <w:sz w:val="20"/>
                <w:szCs w:val="20"/>
              </w:rPr>
            </w:pPr>
            <w:r>
              <w:rPr>
                <w:b/>
                <w:bCs/>
                <w:i/>
                <w:iCs/>
                <w:sz w:val="20"/>
                <w:szCs w:val="20"/>
              </w:rPr>
              <w:t xml:space="preserve">(Sonneratiaceae) </w:t>
            </w:r>
          </w:p>
        </w:tc>
        <w:tc>
          <w:tcPr>
            <w:tcW w:w="1056" w:type="dxa"/>
            <w:tcBorders>
              <w:top w:val="single" w:sz="4" w:space="0" w:color="auto"/>
              <w:left w:val="single" w:sz="4" w:space="0" w:color="auto"/>
              <w:bottom w:val="single" w:sz="4" w:space="0" w:color="auto"/>
              <w:right w:val="single" w:sz="4" w:space="0" w:color="auto"/>
            </w:tcBorders>
          </w:tcPr>
          <w:p w14:paraId="6D0FCAB4" w14:textId="77777777" w:rsidR="00F25603" w:rsidRDefault="00F25603">
            <w:pPr>
              <w:pStyle w:val="Default"/>
              <w:rPr>
                <w:sz w:val="20"/>
                <w:szCs w:val="20"/>
              </w:rPr>
            </w:pPr>
            <w:r>
              <w:rPr>
                <w:sz w:val="20"/>
                <w:szCs w:val="20"/>
              </w:rPr>
              <w:t xml:space="preserve">Sablo-vaseux sur les fronts </w:t>
            </w:r>
          </w:p>
        </w:tc>
        <w:tc>
          <w:tcPr>
            <w:tcW w:w="1574" w:type="dxa"/>
            <w:tcBorders>
              <w:top w:val="single" w:sz="4" w:space="0" w:color="auto"/>
              <w:left w:val="single" w:sz="4" w:space="0" w:color="auto"/>
              <w:bottom w:val="single" w:sz="4" w:space="0" w:color="auto"/>
              <w:right w:val="single" w:sz="4" w:space="0" w:color="auto"/>
            </w:tcBorders>
          </w:tcPr>
          <w:p w14:paraId="11E05142" w14:textId="77777777" w:rsidR="00F25603" w:rsidRDefault="00F25603">
            <w:pPr>
              <w:pStyle w:val="Default"/>
              <w:rPr>
                <w:sz w:val="20"/>
                <w:szCs w:val="20"/>
              </w:rPr>
            </w:pPr>
            <w:r>
              <w:rPr>
                <w:sz w:val="20"/>
                <w:szCs w:val="20"/>
              </w:rPr>
              <w:t xml:space="preserve">Longue à permanente </w:t>
            </w:r>
          </w:p>
        </w:tc>
        <w:tc>
          <w:tcPr>
            <w:tcW w:w="836" w:type="dxa"/>
            <w:tcBorders>
              <w:top w:val="single" w:sz="4" w:space="0" w:color="auto"/>
              <w:left w:val="single" w:sz="4" w:space="0" w:color="auto"/>
              <w:bottom w:val="single" w:sz="4" w:space="0" w:color="auto"/>
              <w:right w:val="single" w:sz="4" w:space="0" w:color="auto"/>
            </w:tcBorders>
          </w:tcPr>
          <w:p w14:paraId="6599F9CF" w14:textId="77777777" w:rsidR="00F25603" w:rsidRDefault="00F25603">
            <w:pPr>
              <w:pStyle w:val="Default"/>
              <w:rPr>
                <w:sz w:val="20"/>
                <w:szCs w:val="20"/>
              </w:rPr>
            </w:pPr>
            <w:r>
              <w:rPr>
                <w:sz w:val="20"/>
                <w:szCs w:val="20"/>
              </w:rPr>
              <w:t xml:space="preserve">Moyenne (13,92 à 35,190g/l) </w:t>
            </w:r>
          </w:p>
        </w:tc>
        <w:tc>
          <w:tcPr>
            <w:tcW w:w="0" w:type="auto"/>
            <w:tcBorders>
              <w:top w:val="single" w:sz="4" w:space="0" w:color="auto"/>
              <w:left w:val="single" w:sz="4" w:space="0" w:color="auto"/>
              <w:bottom w:val="single" w:sz="4" w:space="0" w:color="auto"/>
              <w:right w:val="single" w:sz="4" w:space="0" w:color="auto"/>
            </w:tcBorders>
          </w:tcPr>
          <w:p w14:paraId="5F117A2D" w14:textId="77777777" w:rsidR="00F25603" w:rsidRDefault="00F25603">
            <w:pPr>
              <w:pStyle w:val="Default"/>
              <w:rPr>
                <w:sz w:val="20"/>
                <w:szCs w:val="20"/>
              </w:rPr>
            </w:pPr>
            <w:r>
              <w:rPr>
                <w:sz w:val="20"/>
                <w:szCs w:val="20"/>
              </w:rPr>
              <w:t xml:space="preserve">Zones externes (front de la mer) </w:t>
            </w:r>
          </w:p>
        </w:tc>
        <w:tc>
          <w:tcPr>
            <w:tcW w:w="0" w:type="auto"/>
            <w:tcBorders>
              <w:top w:val="single" w:sz="4" w:space="0" w:color="auto"/>
              <w:left w:val="single" w:sz="4" w:space="0" w:color="auto"/>
              <w:bottom w:val="single" w:sz="4" w:space="0" w:color="auto"/>
              <w:right w:val="single" w:sz="4" w:space="0" w:color="auto"/>
            </w:tcBorders>
          </w:tcPr>
          <w:p w14:paraId="3C88F37A" w14:textId="77777777" w:rsidR="00F25603" w:rsidRDefault="00F25603">
            <w:pPr>
              <w:pStyle w:val="Default"/>
              <w:rPr>
                <w:sz w:val="20"/>
                <w:szCs w:val="20"/>
              </w:rPr>
            </w:pPr>
            <w:r>
              <w:rPr>
                <w:sz w:val="20"/>
                <w:szCs w:val="20"/>
              </w:rPr>
              <w:t xml:space="preserve">Sédiments nouvellement formés </w:t>
            </w:r>
          </w:p>
        </w:tc>
        <w:tc>
          <w:tcPr>
            <w:tcW w:w="0" w:type="auto"/>
            <w:tcBorders>
              <w:top w:val="single" w:sz="4" w:space="0" w:color="auto"/>
              <w:left w:val="single" w:sz="4" w:space="0" w:color="auto"/>
              <w:bottom w:val="single" w:sz="4" w:space="0" w:color="auto"/>
              <w:right w:val="single" w:sz="4" w:space="0" w:color="auto"/>
            </w:tcBorders>
          </w:tcPr>
          <w:p w14:paraId="6CF17512" w14:textId="22D0DFEA" w:rsidR="00F25603" w:rsidRDefault="00F25603">
            <w:pPr>
              <w:pStyle w:val="Default"/>
              <w:rPr>
                <w:sz w:val="20"/>
                <w:szCs w:val="20"/>
              </w:rPr>
            </w:pPr>
            <w:r>
              <w:rPr>
                <w:sz w:val="20"/>
                <w:szCs w:val="20"/>
              </w:rPr>
              <w:t xml:space="preserve">3 à 12 m de haut,15 à 25cm de diamètre, à pneumatophores </w:t>
            </w:r>
          </w:p>
        </w:tc>
      </w:tr>
      <w:tr w:rsidR="00F25603" w14:paraId="7CA360E1" w14:textId="77777777" w:rsidTr="0026313C">
        <w:trPr>
          <w:trHeight w:val="373"/>
        </w:trPr>
        <w:tc>
          <w:tcPr>
            <w:tcW w:w="2048" w:type="dxa"/>
            <w:tcBorders>
              <w:top w:val="single" w:sz="4" w:space="0" w:color="auto"/>
              <w:left w:val="single" w:sz="4" w:space="0" w:color="auto"/>
              <w:bottom w:val="single" w:sz="4" w:space="0" w:color="auto"/>
              <w:right w:val="single" w:sz="4" w:space="0" w:color="auto"/>
            </w:tcBorders>
          </w:tcPr>
          <w:p w14:paraId="5A5627C1" w14:textId="77777777" w:rsidR="00F25603" w:rsidRDefault="00F25603">
            <w:pPr>
              <w:pStyle w:val="Default"/>
              <w:rPr>
                <w:sz w:val="20"/>
                <w:szCs w:val="20"/>
              </w:rPr>
            </w:pPr>
            <w:r>
              <w:rPr>
                <w:b/>
                <w:bCs/>
                <w:i/>
                <w:iCs/>
                <w:sz w:val="20"/>
                <w:szCs w:val="20"/>
              </w:rPr>
              <w:t xml:space="preserve">Xylocarpusgranatum </w:t>
            </w:r>
          </w:p>
          <w:p w14:paraId="36400183" w14:textId="77777777" w:rsidR="00F25603" w:rsidRDefault="00F25603">
            <w:pPr>
              <w:pStyle w:val="Default"/>
              <w:rPr>
                <w:sz w:val="20"/>
                <w:szCs w:val="20"/>
              </w:rPr>
            </w:pPr>
            <w:r>
              <w:rPr>
                <w:b/>
                <w:bCs/>
                <w:i/>
                <w:iCs/>
                <w:sz w:val="20"/>
                <w:szCs w:val="20"/>
              </w:rPr>
              <w:t xml:space="preserve">(Meliaceae) </w:t>
            </w:r>
          </w:p>
        </w:tc>
        <w:tc>
          <w:tcPr>
            <w:tcW w:w="1056" w:type="dxa"/>
            <w:tcBorders>
              <w:top w:val="single" w:sz="4" w:space="0" w:color="auto"/>
              <w:left w:val="single" w:sz="4" w:space="0" w:color="auto"/>
              <w:bottom w:val="single" w:sz="4" w:space="0" w:color="auto"/>
              <w:right w:val="single" w:sz="4" w:space="0" w:color="auto"/>
            </w:tcBorders>
          </w:tcPr>
          <w:p w14:paraId="5086D5BB" w14:textId="77777777" w:rsidR="00F25603" w:rsidRDefault="00F25603">
            <w:pPr>
              <w:pStyle w:val="Default"/>
              <w:rPr>
                <w:sz w:val="20"/>
                <w:szCs w:val="20"/>
              </w:rPr>
            </w:pPr>
            <w:r>
              <w:rPr>
                <w:sz w:val="20"/>
                <w:szCs w:val="20"/>
              </w:rPr>
              <w:t xml:space="preserve">Sablo-vaseux </w:t>
            </w:r>
          </w:p>
        </w:tc>
        <w:tc>
          <w:tcPr>
            <w:tcW w:w="1574" w:type="dxa"/>
            <w:tcBorders>
              <w:top w:val="single" w:sz="4" w:space="0" w:color="auto"/>
              <w:left w:val="single" w:sz="4" w:space="0" w:color="auto"/>
              <w:bottom w:val="single" w:sz="4" w:space="0" w:color="auto"/>
              <w:right w:val="single" w:sz="4" w:space="0" w:color="auto"/>
            </w:tcBorders>
          </w:tcPr>
          <w:p w14:paraId="5FC24A49" w14:textId="77777777" w:rsidR="00F25603" w:rsidRDefault="00F25603">
            <w:pPr>
              <w:pStyle w:val="Default"/>
              <w:rPr>
                <w:sz w:val="20"/>
                <w:szCs w:val="20"/>
              </w:rPr>
            </w:pPr>
            <w:r>
              <w:rPr>
                <w:sz w:val="20"/>
                <w:szCs w:val="20"/>
              </w:rPr>
              <w:t xml:space="preserve">Occasionnelle </w:t>
            </w:r>
          </w:p>
        </w:tc>
        <w:tc>
          <w:tcPr>
            <w:tcW w:w="836" w:type="dxa"/>
            <w:tcBorders>
              <w:top w:val="single" w:sz="4" w:space="0" w:color="auto"/>
              <w:left w:val="single" w:sz="4" w:space="0" w:color="auto"/>
              <w:bottom w:val="single" w:sz="4" w:space="0" w:color="auto"/>
              <w:right w:val="single" w:sz="4" w:space="0" w:color="auto"/>
            </w:tcBorders>
          </w:tcPr>
          <w:p w14:paraId="3BA8CD2D" w14:textId="77777777" w:rsidR="00F25603" w:rsidRDefault="00F25603">
            <w:pPr>
              <w:pStyle w:val="Default"/>
              <w:rPr>
                <w:sz w:val="20"/>
                <w:szCs w:val="20"/>
              </w:rPr>
            </w:pPr>
            <w:r>
              <w:rPr>
                <w:sz w:val="20"/>
                <w:szCs w:val="20"/>
              </w:rPr>
              <w:t xml:space="preserve">Faible </w:t>
            </w:r>
          </w:p>
          <w:p w14:paraId="55D41E73" w14:textId="77777777" w:rsidR="00F25603" w:rsidRDefault="00F25603">
            <w:pPr>
              <w:pStyle w:val="Default"/>
              <w:rPr>
                <w:sz w:val="20"/>
                <w:szCs w:val="20"/>
              </w:rPr>
            </w:pPr>
            <w:r>
              <w:rPr>
                <w:sz w:val="20"/>
                <w:szCs w:val="20"/>
              </w:rPr>
              <w:t xml:space="preserve">(10 à 20g/l) </w:t>
            </w:r>
          </w:p>
        </w:tc>
        <w:tc>
          <w:tcPr>
            <w:tcW w:w="0" w:type="auto"/>
            <w:tcBorders>
              <w:top w:val="single" w:sz="4" w:space="0" w:color="auto"/>
              <w:left w:val="single" w:sz="4" w:space="0" w:color="auto"/>
              <w:bottom w:val="single" w:sz="4" w:space="0" w:color="auto"/>
              <w:right w:val="single" w:sz="4" w:space="0" w:color="auto"/>
            </w:tcBorders>
          </w:tcPr>
          <w:p w14:paraId="45A0F938" w14:textId="77777777" w:rsidR="00F25603" w:rsidRDefault="00F25603">
            <w:pPr>
              <w:pStyle w:val="Default"/>
              <w:rPr>
                <w:sz w:val="20"/>
                <w:szCs w:val="20"/>
              </w:rPr>
            </w:pPr>
            <w:r>
              <w:rPr>
                <w:sz w:val="20"/>
                <w:szCs w:val="20"/>
              </w:rPr>
              <w:t xml:space="preserve">Zones intermédiaires </w:t>
            </w:r>
          </w:p>
        </w:tc>
        <w:tc>
          <w:tcPr>
            <w:tcW w:w="0" w:type="auto"/>
            <w:tcBorders>
              <w:top w:val="single" w:sz="4" w:space="0" w:color="auto"/>
              <w:left w:val="single" w:sz="4" w:space="0" w:color="auto"/>
              <w:bottom w:val="single" w:sz="4" w:space="0" w:color="auto"/>
              <w:right w:val="single" w:sz="4" w:space="0" w:color="auto"/>
            </w:tcBorders>
          </w:tcPr>
          <w:p w14:paraId="4B85B235" w14:textId="77777777" w:rsidR="00F25603" w:rsidRDefault="00F25603">
            <w:pPr>
              <w:pStyle w:val="Default"/>
              <w:rPr>
                <w:sz w:val="20"/>
                <w:szCs w:val="20"/>
              </w:rPr>
            </w:pPr>
            <w:r>
              <w:rPr>
                <w:sz w:val="20"/>
                <w:szCs w:val="20"/>
              </w:rPr>
              <w:t xml:space="preserve">Sur les bancs externes peu salés </w:t>
            </w:r>
          </w:p>
        </w:tc>
        <w:tc>
          <w:tcPr>
            <w:tcW w:w="0" w:type="auto"/>
            <w:tcBorders>
              <w:top w:val="single" w:sz="4" w:space="0" w:color="auto"/>
              <w:left w:val="single" w:sz="4" w:space="0" w:color="auto"/>
              <w:bottom w:val="single" w:sz="4" w:space="0" w:color="auto"/>
              <w:right w:val="single" w:sz="4" w:space="0" w:color="auto"/>
            </w:tcBorders>
          </w:tcPr>
          <w:p w14:paraId="6312856D" w14:textId="31E46C68" w:rsidR="00F25603" w:rsidRDefault="00F25603">
            <w:pPr>
              <w:pStyle w:val="Default"/>
              <w:rPr>
                <w:sz w:val="20"/>
                <w:szCs w:val="20"/>
              </w:rPr>
            </w:pPr>
            <w:r>
              <w:rPr>
                <w:sz w:val="20"/>
                <w:szCs w:val="20"/>
              </w:rPr>
              <w:t xml:space="preserve">Grands arbres, 10à 12m de haut, de gros diamètre </w:t>
            </w:r>
          </w:p>
          <w:p w14:paraId="58958F32" w14:textId="77777777" w:rsidR="00F25603" w:rsidRDefault="00F25603">
            <w:pPr>
              <w:pStyle w:val="Default"/>
              <w:rPr>
                <w:sz w:val="20"/>
                <w:szCs w:val="20"/>
              </w:rPr>
            </w:pPr>
            <w:r>
              <w:rPr>
                <w:sz w:val="20"/>
                <w:szCs w:val="20"/>
              </w:rPr>
              <w:t xml:space="preserve">(60cm), </w:t>
            </w:r>
          </w:p>
        </w:tc>
      </w:tr>
      <w:tr w:rsidR="00F25603" w14:paraId="3B61C0B3" w14:textId="77777777" w:rsidTr="0026313C">
        <w:trPr>
          <w:trHeight w:val="513"/>
        </w:trPr>
        <w:tc>
          <w:tcPr>
            <w:tcW w:w="2048" w:type="dxa"/>
            <w:tcBorders>
              <w:top w:val="single" w:sz="4" w:space="0" w:color="auto"/>
              <w:left w:val="single" w:sz="4" w:space="0" w:color="auto"/>
              <w:bottom w:val="single" w:sz="4" w:space="0" w:color="auto"/>
              <w:right w:val="single" w:sz="4" w:space="0" w:color="auto"/>
            </w:tcBorders>
          </w:tcPr>
          <w:p w14:paraId="22C89146" w14:textId="77777777" w:rsidR="00F25603" w:rsidRDefault="00F25603">
            <w:pPr>
              <w:pStyle w:val="Default"/>
              <w:rPr>
                <w:sz w:val="20"/>
                <w:szCs w:val="20"/>
              </w:rPr>
            </w:pPr>
            <w:r>
              <w:rPr>
                <w:b/>
                <w:bCs/>
                <w:i/>
                <w:iCs/>
                <w:sz w:val="20"/>
                <w:szCs w:val="20"/>
              </w:rPr>
              <w:t xml:space="preserve">Rhizophora mucronata </w:t>
            </w:r>
          </w:p>
          <w:p w14:paraId="0379F5E3" w14:textId="77777777" w:rsidR="00F25603" w:rsidRDefault="00F25603">
            <w:pPr>
              <w:pStyle w:val="Default"/>
              <w:rPr>
                <w:sz w:val="20"/>
                <w:szCs w:val="20"/>
              </w:rPr>
            </w:pPr>
            <w:r>
              <w:rPr>
                <w:b/>
                <w:bCs/>
                <w:i/>
                <w:iCs/>
                <w:sz w:val="20"/>
                <w:szCs w:val="20"/>
              </w:rPr>
              <w:t xml:space="preserve">(Rhizophoraceae) </w:t>
            </w:r>
          </w:p>
        </w:tc>
        <w:tc>
          <w:tcPr>
            <w:tcW w:w="1056" w:type="dxa"/>
            <w:tcBorders>
              <w:top w:val="single" w:sz="4" w:space="0" w:color="auto"/>
              <w:left w:val="single" w:sz="4" w:space="0" w:color="auto"/>
              <w:bottom w:val="single" w:sz="4" w:space="0" w:color="auto"/>
              <w:right w:val="single" w:sz="4" w:space="0" w:color="auto"/>
            </w:tcBorders>
          </w:tcPr>
          <w:p w14:paraId="78DAB591" w14:textId="77777777" w:rsidR="00F25603" w:rsidRDefault="00F25603">
            <w:pPr>
              <w:pStyle w:val="Default"/>
              <w:rPr>
                <w:sz w:val="20"/>
                <w:szCs w:val="20"/>
              </w:rPr>
            </w:pPr>
            <w:r>
              <w:rPr>
                <w:sz w:val="20"/>
                <w:szCs w:val="20"/>
              </w:rPr>
              <w:t xml:space="preserve">Vaseux riche en substance colloïdale </w:t>
            </w:r>
          </w:p>
        </w:tc>
        <w:tc>
          <w:tcPr>
            <w:tcW w:w="1574" w:type="dxa"/>
            <w:tcBorders>
              <w:top w:val="single" w:sz="4" w:space="0" w:color="auto"/>
              <w:left w:val="single" w:sz="4" w:space="0" w:color="auto"/>
              <w:bottom w:val="single" w:sz="4" w:space="0" w:color="auto"/>
              <w:right w:val="single" w:sz="4" w:space="0" w:color="auto"/>
            </w:tcBorders>
          </w:tcPr>
          <w:p w14:paraId="79746D0A" w14:textId="77777777" w:rsidR="00F25603" w:rsidRDefault="00F25603">
            <w:pPr>
              <w:pStyle w:val="Default"/>
              <w:rPr>
                <w:sz w:val="20"/>
                <w:szCs w:val="20"/>
              </w:rPr>
            </w:pPr>
            <w:r>
              <w:rPr>
                <w:sz w:val="20"/>
                <w:szCs w:val="20"/>
              </w:rPr>
              <w:t xml:space="preserve">Régulière et quotidienne </w:t>
            </w:r>
          </w:p>
        </w:tc>
        <w:tc>
          <w:tcPr>
            <w:tcW w:w="836" w:type="dxa"/>
            <w:tcBorders>
              <w:top w:val="single" w:sz="4" w:space="0" w:color="auto"/>
              <w:left w:val="single" w:sz="4" w:space="0" w:color="auto"/>
              <w:bottom w:val="single" w:sz="4" w:space="0" w:color="auto"/>
              <w:right w:val="single" w:sz="4" w:space="0" w:color="auto"/>
            </w:tcBorders>
          </w:tcPr>
          <w:p w14:paraId="02881218" w14:textId="77777777" w:rsidR="00F25603" w:rsidRDefault="00F25603">
            <w:pPr>
              <w:pStyle w:val="Default"/>
              <w:rPr>
                <w:sz w:val="20"/>
                <w:szCs w:val="20"/>
              </w:rPr>
            </w:pPr>
            <w:r>
              <w:rPr>
                <w:sz w:val="20"/>
                <w:szCs w:val="20"/>
              </w:rPr>
              <w:t xml:space="preserve">Forte (7,753 à 42,410g/l) </w:t>
            </w:r>
          </w:p>
        </w:tc>
        <w:tc>
          <w:tcPr>
            <w:tcW w:w="0" w:type="auto"/>
            <w:tcBorders>
              <w:top w:val="single" w:sz="4" w:space="0" w:color="auto"/>
              <w:left w:val="single" w:sz="4" w:space="0" w:color="auto"/>
              <w:bottom w:val="single" w:sz="4" w:space="0" w:color="auto"/>
              <w:right w:val="single" w:sz="4" w:space="0" w:color="auto"/>
            </w:tcBorders>
          </w:tcPr>
          <w:p w14:paraId="392AE721" w14:textId="77777777" w:rsidR="00F25603" w:rsidRDefault="00F25603">
            <w:pPr>
              <w:pStyle w:val="Default"/>
              <w:rPr>
                <w:sz w:val="20"/>
                <w:szCs w:val="20"/>
              </w:rPr>
            </w:pPr>
            <w:r>
              <w:rPr>
                <w:sz w:val="20"/>
                <w:szCs w:val="20"/>
              </w:rPr>
              <w:t xml:space="preserve">Zones externes (bord des chenaux) et zones intermédiaires </w:t>
            </w:r>
          </w:p>
        </w:tc>
        <w:tc>
          <w:tcPr>
            <w:tcW w:w="0" w:type="auto"/>
            <w:tcBorders>
              <w:top w:val="single" w:sz="4" w:space="0" w:color="auto"/>
              <w:left w:val="single" w:sz="4" w:space="0" w:color="auto"/>
              <w:bottom w:val="single" w:sz="4" w:space="0" w:color="auto"/>
              <w:right w:val="single" w:sz="4" w:space="0" w:color="auto"/>
            </w:tcBorders>
          </w:tcPr>
          <w:p w14:paraId="3DF1B09C" w14:textId="77777777" w:rsidR="00F25603" w:rsidRDefault="00F25603">
            <w:pPr>
              <w:pStyle w:val="Default"/>
              <w:rPr>
                <w:sz w:val="20"/>
                <w:szCs w:val="20"/>
              </w:rPr>
            </w:pPr>
            <w:r>
              <w:rPr>
                <w:sz w:val="20"/>
                <w:szCs w:val="20"/>
              </w:rPr>
              <w:t xml:space="preserve">Vase inondée périodiquement </w:t>
            </w:r>
          </w:p>
        </w:tc>
        <w:tc>
          <w:tcPr>
            <w:tcW w:w="0" w:type="auto"/>
            <w:tcBorders>
              <w:top w:val="single" w:sz="4" w:space="0" w:color="auto"/>
              <w:left w:val="single" w:sz="4" w:space="0" w:color="auto"/>
              <w:bottom w:val="single" w:sz="4" w:space="0" w:color="auto"/>
              <w:right w:val="single" w:sz="4" w:space="0" w:color="auto"/>
            </w:tcBorders>
          </w:tcPr>
          <w:p w14:paraId="7C11366C" w14:textId="051D8ACC" w:rsidR="00F25603" w:rsidRDefault="00F25603">
            <w:pPr>
              <w:pStyle w:val="Default"/>
              <w:rPr>
                <w:sz w:val="20"/>
                <w:szCs w:val="20"/>
              </w:rPr>
            </w:pPr>
            <w:r>
              <w:rPr>
                <w:sz w:val="20"/>
                <w:szCs w:val="20"/>
              </w:rPr>
              <w:t xml:space="preserve">7 à 12m de haut,10 à 15cm de diamètre, port droit et à racine échasse </w:t>
            </w:r>
          </w:p>
        </w:tc>
      </w:tr>
      <w:tr w:rsidR="00F25603" w14:paraId="765CF083" w14:textId="77777777" w:rsidTr="0026313C">
        <w:trPr>
          <w:trHeight w:val="654"/>
        </w:trPr>
        <w:tc>
          <w:tcPr>
            <w:tcW w:w="2048" w:type="dxa"/>
            <w:tcBorders>
              <w:top w:val="single" w:sz="4" w:space="0" w:color="auto"/>
              <w:left w:val="single" w:sz="4" w:space="0" w:color="auto"/>
              <w:bottom w:val="single" w:sz="4" w:space="0" w:color="auto"/>
              <w:right w:val="single" w:sz="4" w:space="0" w:color="auto"/>
            </w:tcBorders>
          </w:tcPr>
          <w:p w14:paraId="302A696C" w14:textId="77777777" w:rsidR="00F25603" w:rsidRDefault="00F25603">
            <w:pPr>
              <w:pStyle w:val="Default"/>
              <w:rPr>
                <w:sz w:val="20"/>
                <w:szCs w:val="20"/>
              </w:rPr>
            </w:pPr>
            <w:r>
              <w:rPr>
                <w:b/>
                <w:bCs/>
                <w:i/>
                <w:iCs/>
                <w:sz w:val="20"/>
                <w:szCs w:val="20"/>
              </w:rPr>
              <w:t xml:space="preserve">Ceriops tagal </w:t>
            </w:r>
          </w:p>
          <w:p w14:paraId="661B1844" w14:textId="77777777" w:rsidR="00F25603" w:rsidRDefault="00F25603">
            <w:pPr>
              <w:pStyle w:val="Default"/>
              <w:rPr>
                <w:sz w:val="20"/>
                <w:szCs w:val="20"/>
              </w:rPr>
            </w:pPr>
            <w:r>
              <w:rPr>
                <w:b/>
                <w:bCs/>
                <w:i/>
                <w:iCs/>
                <w:sz w:val="20"/>
                <w:szCs w:val="20"/>
              </w:rPr>
              <w:t xml:space="preserve">(Rhizophoraceae) </w:t>
            </w:r>
          </w:p>
        </w:tc>
        <w:tc>
          <w:tcPr>
            <w:tcW w:w="1056" w:type="dxa"/>
            <w:tcBorders>
              <w:top w:val="single" w:sz="4" w:space="0" w:color="auto"/>
              <w:left w:val="single" w:sz="4" w:space="0" w:color="auto"/>
              <w:bottom w:val="single" w:sz="4" w:space="0" w:color="auto"/>
              <w:right w:val="single" w:sz="4" w:space="0" w:color="auto"/>
            </w:tcBorders>
          </w:tcPr>
          <w:p w14:paraId="387EE635" w14:textId="77777777" w:rsidR="00F25603" w:rsidRDefault="00F25603">
            <w:pPr>
              <w:pStyle w:val="Default"/>
              <w:rPr>
                <w:sz w:val="20"/>
                <w:szCs w:val="20"/>
              </w:rPr>
            </w:pPr>
            <w:r>
              <w:rPr>
                <w:sz w:val="20"/>
                <w:szCs w:val="20"/>
              </w:rPr>
              <w:t xml:space="preserve">Sablo-vaseux à sableux </w:t>
            </w:r>
          </w:p>
        </w:tc>
        <w:tc>
          <w:tcPr>
            <w:tcW w:w="1574" w:type="dxa"/>
            <w:tcBorders>
              <w:top w:val="single" w:sz="4" w:space="0" w:color="auto"/>
              <w:left w:val="single" w:sz="4" w:space="0" w:color="auto"/>
              <w:bottom w:val="single" w:sz="4" w:space="0" w:color="auto"/>
              <w:right w:val="single" w:sz="4" w:space="0" w:color="auto"/>
            </w:tcBorders>
          </w:tcPr>
          <w:p w14:paraId="2E9DCEF8" w14:textId="453169AB" w:rsidR="00F25603" w:rsidRDefault="00F25603">
            <w:pPr>
              <w:pStyle w:val="Default"/>
              <w:rPr>
                <w:sz w:val="20"/>
                <w:szCs w:val="20"/>
              </w:rPr>
            </w:pPr>
            <w:r>
              <w:rPr>
                <w:sz w:val="20"/>
                <w:szCs w:val="20"/>
              </w:rPr>
              <w:t xml:space="preserve">Courte mais régulière (résistante à une Exondation prolongée) </w:t>
            </w:r>
          </w:p>
        </w:tc>
        <w:tc>
          <w:tcPr>
            <w:tcW w:w="836" w:type="dxa"/>
            <w:tcBorders>
              <w:top w:val="single" w:sz="4" w:space="0" w:color="auto"/>
              <w:left w:val="single" w:sz="4" w:space="0" w:color="auto"/>
              <w:bottom w:val="single" w:sz="4" w:space="0" w:color="auto"/>
              <w:right w:val="single" w:sz="4" w:space="0" w:color="auto"/>
            </w:tcBorders>
          </w:tcPr>
          <w:p w14:paraId="7719C0E7" w14:textId="77777777" w:rsidR="00F25603" w:rsidRDefault="00F25603">
            <w:pPr>
              <w:pStyle w:val="Default"/>
              <w:rPr>
                <w:sz w:val="20"/>
                <w:szCs w:val="20"/>
              </w:rPr>
            </w:pPr>
            <w:r>
              <w:rPr>
                <w:sz w:val="20"/>
                <w:szCs w:val="20"/>
              </w:rPr>
              <w:t xml:space="preserve">Forte </w:t>
            </w:r>
          </w:p>
          <w:p w14:paraId="320A62B1" w14:textId="77777777" w:rsidR="00F25603" w:rsidRDefault="00F25603">
            <w:pPr>
              <w:pStyle w:val="Default"/>
              <w:rPr>
                <w:sz w:val="20"/>
                <w:szCs w:val="20"/>
              </w:rPr>
            </w:pPr>
            <w:r>
              <w:rPr>
                <w:sz w:val="20"/>
                <w:szCs w:val="20"/>
              </w:rPr>
              <w:t xml:space="preserve">(15 à 45g/l) </w:t>
            </w:r>
          </w:p>
        </w:tc>
        <w:tc>
          <w:tcPr>
            <w:tcW w:w="0" w:type="auto"/>
            <w:tcBorders>
              <w:top w:val="single" w:sz="4" w:space="0" w:color="auto"/>
              <w:left w:val="single" w:sz="4" w:space="0" w:color="auto"/>
              <w:bottom w:val="single" w:sz="4" w:space="0" w:color="auto"/>
              <w:right w:val="single" w:sz="4" w:space="0" w:color="auto"/>
            </w:tcBorders>
          </w:tcPr>
          <w:p w14:paraId="5378F50B" w14:textId="77777777" w:rsidR="00F25603" w:rsidRDefault="00F25603">
            <w:pPr>
              <w:pStyle w:val="Default"/>
              <w:rPr>
                <w:sz w:val="20"/>
                <w:szCs w:val="20"/>
              </w:rPr>
            </w:pPr>
            <w:r>
              <w:rPr>
                <w:sz w:val="20"/>
                <w:szCs w:val="20"/>
              </w:rPr>
              <w:t xml:space="preserve">Zones internes et Intermédiaires </w:t>
            </w:r>
          </w:p>
        </w:tc>
        <w:tc>
          <w:tcPr>
            <w:tcW w:w="0" w:type="auto"/>
            <w:tcBorders>
              <w:top w:val="single" w:sz="4" w:space="0" w:color="auto"/>
              <w:left w:val="single" w:sz="4" w:space="0" w:color="auto"/>
              <w:bottom w:val="single" w:sz="4" w:space="0" w:color="auto"/>
              <w:right w:val="single" w:sz="4" w:space="0" w:color="auto"/>
            </w:tcBorders>
          </w:tcPr>
          <w:p w14:paraId="625D918B" w14:textId="77777777" w:rsidR="00F25603" w:rsidRDefault="00F25603">
            <w:pPr>
              <w:pStyle w:val="Default"/>
              <w:rPr>
                <w:sz w:val="20"/>
                <w:szCs w:val="20"/>
              </w:rPr>
            </w:pPr>
            <w:r>
              <w:rPr>
                <w:sz w:val="20"/>
                <w:szCs w:val="20"/>
              </w:rPr>
              <w:t xml:space="preserve">Bien éclairée </w:t>
            </w:r>
          </w:p>
        </w:tc>
        <w:tc>
          <w:tcPr>
            <w:tcW w:w="0" w:type="auto"/>
            <w:tcBorders>
              <w:top w:val="single" w:sz="4" w:space="0" w:color="auto"/>
              <w:left w:val="single" w:sz="4" w:space="0" w:color="auto"/>
              <w:bottom w:val="single" w:sz="4" w:space="0" w:color="auto"/>
              <w:right w:val="single" w:sz="4" w:space="0" w:color="auto"/>
            </w:tcBorders>
          </w:tcPr>
          <w:p w14:paraId="3AA56693" w14:textId="25CA0268" w:rsidR="00F25603" w:rsidRDefault="00F25603">
            <w:pPr>
              <w:pStyle w:val="Default"/>
              <w:rPr>
                <w:sz w:val="20"/>
                <w:szCs w:val="20"/>
              </w:rPr>
            </w:pPr>
            <w:r>
              <w:rPr>
                <w:sz w:val="20"/>
                <w:szCs w:val="20"/>
              </w:rPr>
              <w:t xml:space="preserve">2 à 4m de haut, de petit diamètre (&lt;10cm), port plus moins droit et à contrefort </w:t>
            </w:r>
          </w:p>
        </w:tc>
      </w:tr>
      <w:tr w:rsidR="00F25603" w14:paraId="316F142B" w14:textId="77777777" w:rsidTr="0026313C">
        <w:trPr>
          <w:trHeight w:val="513"/>
        </w:trPr>
        <w:tc>
          <w:tcPr>
            <w:tcW w:w="2048" w:type="dxa"/>
            <w:tcBorders>
              <w:top w:val="single" w:sz="4" w:space="0" w:color="auto"/>
              <w:left w:val="single" w:sz="4" w:space="0" w:color="auto"/>
              <w:bottom w:val="single" w:sz="4" w:space="0" w:color="auto"/>
              <w:right w:val="single" w:sz="4" w:space="0" w:color="auto"/>
            </w:tcBorders>
          </w:tcPr>
          <w:p w14:paraId="6683CCFF" w14:textId="77777777" w:rsidR="00F25603" w:rsidRDefault="00F25603">
            <w:pPr>
              <w:pStyle w:val="Default"/>
              <w:rPr>
                <w:sz w:val="20"/>
                <w:szCs w:val="20"/>
              </w:rPr>
            </w:pPr>
            <w:r>
              <w:rPr>
                <w:b/>
                <w:bCs/>
                <w:i/>
                <w:iCs/>
                <w:sz w:val="20"/>
                <w:szCs w:val="20"/>
              </w:rPr>
              <w:t xml:space="preserve">Bruguiera gymnorhiza </w:t>
            </w:r>
          </w:p>
          <w:p w14:paraId="695C32C4" w14:textId="77777777" w:rsidR="00F25603" w:rsidRDefault="00F25603">
            <w:pPr>
              <w:pStyle w:val="Default"/>
              <w:rPr>
                <w:sz w:val="20"/>
                <w:szCs w:val="20"/>
              </w:rPr>
            </w:pPr>
            <w:r>
              <w:rPr>
                <w:b/>
                <w:bCs/>
                <w:i/>
                <w:iCs/>
                <w:sz w:val="20"/>
                <w:szCs w:val="20"/>
              </w:rPr>
              <w:t xml:space="preserve">(Rhizophoraceae) </w:t>
            </w:r>
          </w:p>
        </w:tc>
        <w:tc>
          <w:tcPr>
            <w:tcW w:w="1056" w:type="dxa"/>
            <w:tcBorders>
              <w:top w:val="single" w:sz="4" w:space="0" w:color="auto"/>
              <w:left w:val="single" w:sz="4" w:space="0" w:color="auto"/>
              <w:bottom w:val="single" w:sz="4" w:space="0" w:color="auto"/>
              <w:right w:val="single" w:sz="4" w:space="0" w:color="auto"/>
            </w:tcBorders>
          </w:tcPr>
          <w:p w14:paraId="11148B22" w14:textId="77777777" w:rsidR="00F25603" w:rsidRDefault="00F25603">
            <w:pPr>
              <w:pStyle w:val="Default"/>
              <w:rPr>
                <w:sz w:val="20"/>
                <w:szCs w:val="20"/>
              </w:rPr>
            </w:pPr>
            <w:r>
              <w:rPr>
                <w:sz w:val="20"/>
                <w:szCs w:val="20"/>
              </w:rPr>
              <w:t xml:space="preserve">Sablo-vaseux à compact </w:t>
            </w:r>
          </w:p>
        </w:tc>
        <w:tc>
          <w:tcPr>
            <w:tcW w:w="1574" w:type="dxa"/>
            <w:tcBorders>
              <w:top w:val="single" w:sz="4" w:space="0" w:color="auto"/>
              <w:left w:val="single" w:sz="4" w:space="0" w:color="auto"/>
              <w:bottom w:val="single" w:sz="4" w:space="0" w:color="auto"/>
              <w:right w:val="single" w:sz="4" w:space="0" w:color="auto"/>
            </w:tcBorders>
          </w:tcPr>
          <w:p w14:paraId="5C2A497A" w14:textId="77777777" w:rsidR="00F25603" w:rsidRDefault="00F25603">
            <w:pPr>
              <w:pStyle w:val="Default"/>
              <w:rPr>
                <w:sz w:val="20"/>
                <w:szCs w:val="20"/>
              </w:rPr>
            </w:pPr>
            <w:r>
              <w:rPr>
                <w:sz w:val="20"/>
                <w:szCs w:val="20"/>
              </w:rPr>
              <w:t xml:space="preserve">Courte mais régulière </w:t>
            </w:r>
          </w:p>
        </w:tc>
        <w:tc>
          <w:tcPr>
            <w:tcW w:w="836" w:type="dxa"/>
            <w:tcBorders>
              <w:top w:val="single" w:sz="4" w:space="0" w:color="auto"/>
              <w:left w:val="single" w:sz="4" w:space="0" w:color="auto"/>
              <w:bottom w:val="single" w:sz="4" w:space="0" w:color="auto"/>
              <w:right w:val="single" w:sz="4" w:space="0" w:color="auto"/>
            </w:tcBorders>
          </w:tcPr>
          <w:p w14:paraId="5D51BB04" w14:textId="77777777" w:rsidR="00F25603" w:rsidRDefault="00F25603">
            <w:pPr>
              <w:pStyle w:val="Default"/>
              <w:rPr>
                <w:sz w:val="20"/>
                <w:szCs w:val="20"/>
              </w:rPr>
            </w:pPr>
            <w:r>
              <w:rPr>
                <w:sz w:val="20"/>
                <w:szCs w:val="20"/>
              </w:rPr>
              <w:t xml:space="preserve">Forte </w:t>
            </w:r>
          </w:p>
          <w:p w14:paraId="23805F4C" w14:textId="77777777" w:rsidR="00F25603" w:rsidRDefault="00F25603">
            <w:pPr>
              <w:pStyle w:val="Default"/>
              <w:rPr>
                <w:sz w:val="20"/>
                <w:szCs w:val="20"/>
              </w:rPr>
            </w:pPr>
            <w:r>
              <w:rPr>
                <w:sz w:val="20"/>
                <w:szCs w:val="20"/>
              </w:rPr>
              <w:t xml:space="preserve">(15 à 45g/l) </w:t>
            </w:r>
          </w:p>
        </w:tc>
        <w:tc>
          <w:tcPr>
            <w:tcW w:w="0" w:type="auto"/>
            <w:tcBorders>
              <w:top w:val="single" w:sz="4" w:space="0" w:color="auto"/>
              <w:left w:val="single" w:sz="4" w:space="0" w:color="auto"/>
              <w:bottom w:val="single" w:sz="4" w:space="0" w:color="auto"/>
              <w:right w:val="single" w:sz="4" w:space="0" w:color="auto"/>
            </w:tcBorders>
          </w:tcPr>
          <w:p w14:paraId="0ED4AE18" w14:textId="77777777" w:rsidR="00F25603" w:rsidRDefault="00F25603">
            <w:pPr>
              <w:pStyle w:val="Default"/>
              <w:rPr>
                <w:sz w:val="20"/>
                <w:szCs w:val="20"/>
              </w:rPr>
            </w:pPr>
            <w:r>
              <w:rPr>
                <w:sz w:val="20"/>
                <w:szCs w:val="20"/>
              </w:rPr>
              <w:t xml:space="preserve">Zones externes (bord des chenaux) et zones intermédiaires </w:t>
            </w:r>
          </w:p>
        </w:tc>
        <w:tc>
          <w:tcPr>
            <w:tcW w:w="0" w:type="auto"/>
            <w:tcBorders>
              <w:top w:val="single" w:sz="4" w:space="0" w:color="auto"/>
              <w:left w:val="single" w:sz="4" w:space="0" w:color="auto"/>
              <w:bottom w:val="single" w:sz="4" w:space="0" w:color="auto"/>
              <w:right w:val="single" w:sz="4" w:space="0" w:color="auto"/>
            </w:tcBorders>
          </w:tcPr>
          <w:p w14:paraId="10278D23" w14:textId="77777777" w:rsidR="00F25603" w:rsidRDefault="00F25603">
            <w:pPr>
              <w:pStyle w:val="Default"/>
              <w:rPr>
                <w:sz w:val="20"/>
                <w:szCs w:val="20"/>
              </w:rPr>
            </w:pPr>
            <w:r>
              <w:rPr>
                <w:sz w:val="20"/>
                <w:szCs w:val="20"/>
              </w:rPr>
              <w:t xml:space="preserve">Vase peu salée périodiquement inondée </w:t>
            </w:r>
          </w:p>
        </w:tc>
        <w:tc>
          <w:tcPr>
            <w:tcW w:w="0" w:type="auto"/>
            <w:tcBorders>
              <w:top w:val="single" w:sz="4" w:space="0" w:color="auto"/>
              <w:left w:val="single" w:sz="4" w:space="0" w:color="auto"/>
              <w:bottom w:val="single" w:sz="4" w:space="0" w:color="auto"/>
              <w:right w:val="single" w:sz="4" w:space="0" w:color="auto"/>
            </w:tcBorders>
          </w:tcPr>
          <w:p w14:paraId="585E36F4" w14:textId="77777777" w:rsidR="00F25603" w:rsidRDefault="00F25603">
            <w:pPr>
              <w:pStyle w:val="Default"/>
              <w:rPr>
                <w:sz w:val="20"/>
                <w:szCs w:val="20"/>
              </w:rPr>
            </w:pPr>
            <w:r>
              <w:rPr>
                <w:sz w:val="20"/>
                <w:szCs w:val="20"/>
              </w:rPr>
              <w:t xml:space="preserve">10 à 14m de haut,10 à 15cm de diamètre, à contrefort </w:t>
            </w:r>
          </w:p>
        </w:tc>
      </w:tr>
      <w:tr w:rsidR="00F25603" w14:paraId="783A543D" w14:textId="77777777" w:rsidTr="0026313C">
        <w:trPr>
          <w:trHeight w:val="513"/>
        </w:trPr>
        <w:tc>
          <w:tcPr>
            <w:tcW w:w="2048" w:type="dxa"/>
            <w:tcBorders>
              <w:top w:val="single" w:sz="4" w:space="0" w:color="auto"/>
              <w:left w:val="single" w:sz="4" w:space="0" w:color="auto"/>
              <w:bottom w:val="single" w:sz="4" w:space="0" w:color="auto"/>
              <w:right w:val="single" w:sz="4" w:space="0" w:color="auto"/>
            </w:tcBorders>
          </w:tcPr>
          <w:p w14:paraId="0D65942F" w14:textId="77777777" w:rsidR="00F25603" w:rsidRDefault="00F25603">
            <w:pPr>
              <w:pStyle w:val="Default"/>
              <w:rPr>
                <w:sz w:val="20"/>
                <w:szCs w:val="20"/>
              </w:rPr>
            </w:pPr>
            <w:r>
              <w:rPr>
                <w:b/>
                <w:bCs/>
                <w:i/>
                <w:iCs/>
                <w:sz w:val="20"/>
                <w:szCs w:val="20"/>
              </w:rPr>
              <w:t xml:space="preserve">Avicennia marina </w:t>
            </w:r>
          </w:p>
          <w:p w14:paraId="0CF28B65" w14:textId="77777777" w:rsidR="00F25603" w:rsidRDefault="00F25603">
            <w:pPr>
              <w:pStyle w:val="Default"/>
              <w:rPr>
                <w:sz w:val="20"/>
                <w:szCs w:val="20"/>
              </w:rPr>
            </w:pPr>
            <w:r>
              <w:rPr>
                <w:b/>
                <w:bCs/>
                <w:i/>
                <w:iCs/>
                <w:sz w:val="20"/>
                <w:szCs w:val="20"/>
              </w:rPr>
              <w:t xml:space="preserve">(Avicenniaceae) </w:t>
            </w:r>
          </w:p>
        </w:tc>
        <w:tc>
          <w:tcPr>
            <w:tcW w:w="1056" w:type="dxa"/>
            <w:tcBorders>
              <w:top w:val="single" w:sz="4" w:space="0" w:color="auto"/>
              <w:left w:val="single" w:sz="4" w:space="0" w:color="auto"/>
              <w:bottom w:val="single" w:sz="4" w:space="0" w:color="auto"/>
              <w:right w:val="single" w:sz="4" w:space="0" w:color="auto"/>
            </w:tcBorders>
          </w:tcPr>
          <w:p w14:paraId="4FDA5DA2" w14:textId="77777777" w:rsidR="00F25603" w:rsidRDefault="00F25603">
            <w:pPr>
              <w:pStyle w:val="Default"/>
              <w:rPr>
                <w:sz w:val="20"/>
                <w:szCs w:val="20"/>
              </w:rPr>
            </w:pPr>
            <w:r>
              <w:rPr>
                <w:sz w:val="20"/>
                <w:szCs w:val="20"/>
              </w:rPr>
              <w:t xml:space="preserve">Sablo-vaseux </w:t>
            </w:r>
          </w:p>
        </w:tc>
        <w:tc>
          <w:tcPr>
            <w:tcW w:w="1574" w:type="dxa"/>
            <w:tcBorders>
              <w:top w:val="single" w:sz="4" w:space="0" w:color="auto"/>
              <w:left w:val="single" w:sz="4" w:space="0" w:color="auto"/>
              <w:bottom w:val="single" w:sz="4" w:space="0" w:color="auto"/>
              <w:right w:val="single" w:sz="4" w:space="0" w:color="auto"/>
            </w:tcBorders>
          </w:tcPr>
          <w:p w14:paraId="0746F5AF" w14:textId="77777777" w:rsidR="00F25603" w:rsidRDefault="00F25603">
            <w:pPr>
              <w:pStyle w:val="Default"/>
              <w:rPr>
                <w:sz w:val="20"/>
                <w:szCs w:val="20"/>
              </w:rPr>
            </w:pPr>
            <w:r>
              <w:rPr>
                <w:sz w:val="20"/>
                <w:szCs w:val="20"/>
              </w:rPr>
              <w:t xml:space="preserve">Immersion quotidienne à occasionnelle </w:t>
            </w:r>
          </w:p>
          <w:p w14:paraId="484BE848" w14:textId="76D69FC0" w:rsidR="00F25603" w:rsidRDefault="00F25603">
            <w:pPr>
              <w:pStyle w:val="Default"/>
              <w:rPr>
                <w:sz w:val="20"/>
                <w:szCs w:val="20"/>
              </w:rPr>
            </w:pPr>
            <w:r>
              <w:rPr>
                <w:sz w:val="20"/>
                <w:szCs w:val="20"/>
              </w:rPr>
              <w:t xml:space="preserve">(Espèce ubiquiste) </w:t>
            </w:r>
          </w:p>
        </w:tc>
        <w:tc>
          <w:tcPr>
            <w:tcW w:w="836" w:type="dxa"/>
            <w:tcBorders>
              <w:top w:val="single" w:sz="4" w:space="0" w:color="auto"/>
              <w:left w:val="single" w:sz="4" w:space="0" w:color="auto"/>
              <w:bottom w:val="single" w:sz="4" w:space="0" w:color="auto"/>
              <w:right w:val="single" w:sz="4" w:space="0" w:color="auto"/>
            </w:tcBorders>
          </w:tcPr>
          <w:p w14:paraId="231AE45B" w14:textId="77777777" w:rsidR="00F25603" w:rsidRDefault="00F25603">
            <w:pPr>
              <w:pStyle w:val="Default"/>
              <w:rPr>
                <w:sz w:val="20"/>
                <w:szCs w:val="20"/>
              </w:rPr>
            </w:pPr>
            <w:r>
              <w:rPr>
                <w:sz w:val="20"/>
                <w:szCs w:val="20"/>
              </w:rPr>
              <w:t xml:space="preserve">Forte </w:t>
            </w:r>
          </w:p>
          <w:p w14:paraId="59B73480" w14:textId="77777777" w:rsidR="00F25603" w:rsidRDefault="00F25603">
            <w:pPr>
              <w:pStyle w:val="Default"/>
              <w:rPr>
                <w:sz w:val="20"/>
                <w:szCs w:val="20"/>
              </w:rPr>
            </w:pPr>
            <w:r>
              <w:rPr>
                <w:sz w:val="20"/>
                <w:szCs w:val="20"/>
              </w:rPr>
              <w:t xml:space="preserve">(15 à 45g/l) </w:t>
            </w:r>
          </w:p>
        </w:tc>
        <w:tc>
          <w:tcPr>
            <w:tcW w:w="0" w:type="auto"/>
            <w:tcBorders>
              <w:top w:val="single" w:sz="4" w:space="0" w:color="auto"/>
              <w:left w:val="single" w:sz="4" w:space="0" w:color="auto"/>
              <w:bottom w:val="single" w:sz="4" w:space="0" w:color="auto"/>
              <w:right w:val="single" w:sz="4" w:space="0" w:color="auto"/>
            </w:tcBorders>
          </w:tcPr>
          <w:p w14:paraId="34D81AE6" w14:textId="1910FDF3" w:rsidR="00F25603" w:rsidRDefault="00F25603">
            <w:pPr>
              <w:pStyle w:val="Default"/>
              <w:rPr>
                <w:sz w:val="20"/>
                <w:szCs w:val="20"/>
              </w:rPr>
            </w:pPr>
            <w:r>
              <w:rPr>
                <w:sz w:val="20"/>
                <w:szCs w:val="20"/>
              </w:rPr>
              <w:t xml:space="preserve">Zones externes (bord des chenaux) </w:t>
            </w:r>
          </w:p>
        </w:tc>
        <w:tc>
          <w:tcPr>
            <w:tcW w:w="0" w:type="auto"/>
            <w:tcBorders>
              <w:top w:val="single" w:sz="4" w:space="0" w:color="auto"/>
              <w:left w:val="single" w:sz="4" w:space="0" w:color="auto"/>
              <w:bottom w:val="single" w:sz="4" w:space="0" w:color="auto"/>
              <w:right w:val="single" w:sz="4" w:space="0" w:color="auto"/>
            </w:tcBorders>
          </w:tcPr>
          <w:p w14:paraId="618CC33E" w14:textId="77777777" w:rsidR="00F25603" w:rsidRDefault="00F25603">
            <w:pPr>
              <w:pStyle w:val="Default"/>
              <w:rPr>
                <w:sz w:val="20"/>
                <w:szCs w:val="20"/>
              </w:rPr>
            </w:pPr>
            <w:r>
              <w:rPr>
                <w:sz w:val="20"/>
                <w:szCs w:val="20"/>
              </w:rPr>
              <w:t xml:space="preserve">Plus ou moins sableux </w:t>
            </w:r>
          </w:p>
          <w:p w14:paraId="702B0B9F" w14:textId="77777777" w:rsidR="00F25603" w:rsidRDefault="00F25603">
            <w:pPr>
              <w:pStyle w:val="Default"/>
              <w:rPr>
                <w:sz w:val="20"/>
                <w:szCs w:val="20"/>
              </w:rPr>
            </w:pPr>
            <w:r>
              <w:rPr>
                <w:sz w:val="20"/>
                <w:szCs w:val="20"/>
              </w:rPr>
              <w:t xml:space="preserve">Occasionnellement inondée </w:t>
            </w:r>
          </w:p>
        </w:tc>
        <w:tc>
          <w:tcPr>
            <w:tcW w:w="0" w:type="auto"/>
            <w:tcBorders>
              <w:top w:val="single" w:sz="4" w:space="0" w:color="auto"/>
              <w:left w:val="single" w:sz="4" w:space="0" w:color="auto"/>
              <w:bottom w:val="single" w:sz="4" w:space="0" w:color="auto"/>
              <w:right w:val="single" w:sz="4" w:space="0" w:color="auto"/>
            </w:tcBorders>
          </w:tcPr>
          <w:p w14:paraId="3E69B465" w14:textId="31C14424" w:rsidR="00F25603" w:rsidRDefault="00F25603">
            <w:pPr>
              <w:pStyle w:val="Default"/>
              <w:rPr>
                <w:sz w:val="20"/>
                <w:szCs w:val="20"/>
              </w:rPr>
            </w:pPr>
            <w:r>
              <w:rPr>
                <w:sz w:val="20"/>
                <w:szCs w:val="20"/>
              </w:rPr>
              <w:t xml:space="preserve">4 à 10m de haut,15 à 20cm de diamètre, à pneumatophores </w:t>
            </w:r>
          </w:p>
        </w:tc>
      </w:tr>
      <w:tr w:rsidR="00F25603" w14:paraId="047B4581" w14:textId="77777777" w:rsidTr="0026313C">
        <w:trPr>
          <w:trHeight w:val="373"/>
        </w:trPr>
        <w:tc>
          <w:tcPr>
            <w:tcW w:w="2048" w:type="dxa"/>
            <w:tcBorders>
              <w:top w:val="single" w:sz="4" w:space="0" w:color="auto"/>
              <w:left w:val="single" w:sz="4" w:space="0" w:color="auto"/>
              <w:bottom w:val="single" w:sz="4" w:space="0" w:color="auto"/>
              <w:right w:val="single" w:sz="4" w:space="0" w:color="auto"/>
            </w:tcBorders>
          </w:tcPr>
          <w:p w14:paraId="70BEA849" w14:textId="77777777" w:rsidR="00F25603" w:rsidRDefault="00F25603">
            <w:pPr>
              <w:pStyle w:val="Default"/>
              <w:rPr>
                <w:sz w:val="20"/>
                <w:szCs w:val="20"/>
              </w:rPr>
            </w:pPr>
            <w:r>
              <w:rPr>
                <w:b/>
                <w:bCs/>
                <w:i/>
                <w:iCs/>
                <w:sz w:val="20"/>
                <w:szCs w:val="20"/>
              </w:rPr>
              <w:t xml:space="preserve">Lumnitzera racemosa </w:t>
            </w:r>
          </w:p>
          <w:p w14:paraId="5D4AE9BC" w14:textId="77777777" w:rsidR="00F25603" w:rsidRDefault="00F25603">
            <w:pPr>
              <w:pStyle w:val="Default"/>
              <w:rPr>
                <w:sz w:val="20"/>
                <w:szCs w:val="20"/>
              </w:rPr>
            </w:pPr>
            <w:r>
              <w:rPr>
                <w:b/>
                <w:bCs/>
                <w:i/>
                <w:iCs/>
                <w:sz w:val="20"/>
                <w:szCs w:val="20"/>
              </w:rPr>
              <w:t xml:space="preserve">(Combretaceae) </w:t>
            </w:r>
          </w:p>
        </w:tc>
        <w:tc>
          <w:tcPr>
            <w:tcW w:w="1056" w:type="dxa"/>
            <w:tcBorders>
              <w:top w:val="single" w:sz="4" w:space="0" w:color="auto"/>
              <w:left w:val="single" w:sz="4" w:space="0" w:color="auto"/>
              <w:bottom w:val="single" w:sz="4" w:space="0" w:color="auto"/>
              <w:right w:val="single" w:sz="4" w:space="0" w:color="auto"/>
            </w:tcBorders>
          </w:tcPr>
          <w:p w14:paraId="1DF5BCD2" w14:textId="77777777" w:rsidR="00F25603" w:rsidRDefault="00F25603">
            <w:pPr>
              <w:pStyle w:val="Default"/>
              <w:rPr>
                <w:sz w:val="20"/>
                <w:szCs w:val="20"/>
              </w:rPr>
            </w:pPr>
            <w:r>
              <w:rPr>
                <w:sz w:val="20"/>
                <w:szCs w:val="20"/>
              </w:rPr>
              <w:t xml:space="preserve">Sableux </w:t>
            </w:r>
          </w:p>
        </w:tc>
        <w:tc>
          <w:tcPr>
            <w:tcW w:w="1574" w:type="dxa"/>
            <w:tcBorders>
              <w:top w:val="single" w:sz="4" w:space="0" w:color="auto"/>
              <w:left w:val="single" w:sz="4" w:space="0" w:color="auto"/>
              <w:bottom w:val="single" w:sz="4" w:space="0" w:color="auto"/>
              <w:right w:val="single" w:sz="4" w:space="0" w:color="auto"/>
            </w:tcBorders>
          </w:tcPr>
          <w:p w14:paraId="775990DD" w14:textId="77777777" w:rsidR="00F25603" w:rsidRDefault="00F25603">
            <w:pPr>
              <w:pStyle w:val="Default"/>
              <w:rPr>
                <w:sz w:val="20"/>
                <w:szCs w:val="20"/>
              </w:rPr>
            </w:pPr>
            <w:r>
              <w:rPr>
                <w:sz w:val="20"/>
                <w:szCs w:val="20"/>
              </w:rPr>
              <w:t xml:space="preserve">Occasionnelle </w:t>
            </w:r>
          </w:p>
        </w:tc>
        <w:tc>
          <w:tcPr>
            <w:tcW w:w="836" w:type="dxa"/>
            <w:tcBorders>
              <w:top w:val="single" w:sz="4" w:space="0" w:color="auto"/>
              <w:left w:val="single" w:sz="4" w:space="0" w:color="auto"/>
              <w:bottom w:val="single" w:sz="4" w:space="0" w:color="auto"/>
              <w:right w:val="single" w:sz="4" w:space="0" w:color="auto"/>
            </w:tcBorders>
          </w:tcPr>
          <w:p w14:paraId="4217608D" w14:textId="77777777" w:rsidR="00F25603" w:rsidRDefault="00F25603">
            <w:pPr>
              <w:pStyle w:val="Default"/>
              <w:rPr>
                <w:sz w:val="20"/>
                <w:szCs w:val="20"/>
              </w:rPr>
            </w:pPr>
            <w:r>
              <w:rPr>
                <w:sz w:val="20"/>
                <w:szCs w:val="20"/>
              </w:rPr>
              <w:t xml:space="preserve">Forte (2,625 à 43,021g/l) </w:t>
            </w:r>
          </w:p>
        </w:tc>
        <w:tc>
          <w:tcPr>
            <w:tcW w:w="0" w:type="auto"/>
            <w:tcBorders>
              <w:top w:val="single" w:sz="4" w:space="0" w:color="auto"/>
              <w:left w:val="single" w:sz="4" w:space="0" w:color="auto"/>
              <w:bottom w:val="single" w:sz="4" w:space="0" w:color="auto"/>
              <w:right w:val="single" w:sz="4" w:space="0" w:color="auto"/>
            </w:tcBorders>
          </w:tcPr>
          <w:p w14:paraId="15DFDB37" w14:textId="77777777" w:rsidR="00F25603" w:rsidRDefault="00F25603">
            <w:pPr>
              <w:pStyle w:val="Default"/>
              <w:rPr>
                <w:sz w:val="20"/>
                <w:szCs w:val="20"/>
              </w:rPr>
            </w:pPr>
            <w:r>
              <w:rPr>
                <w:sz w:val="20"/>
                <w:szCs w:val="20"/>
              </w:rPr>
              <w:t xml:space="preserve">Zones internes </w:t>
            </w:r>
          </w:p>
        </w:tc>
        <w:tc>
          <w:tcPr>
            <w:tcW w:w="0" w:type="auto"/>
            <w:tcBorders>
              <w:top w:val="single" w:sz="4" w:space="0" w:color="auto"/>
              <w:left w:val="single" w:sz="4" w:space="0" w:color="auto"/>
              <w:bottom w:val="single" w:sz="4" w:space="0" w:color="auto"/>
              <w:right w:val="single" w:sz="4" w:space="0" w:color="auto"/>
            </w:tcBorders>
          </w:tcPr>
          <w:p w14:paraId="64CF3037" w14:textId="53BF8149" w:rsidR="00F25603" w:rsidRDefault="00F25603">
            <w:pPr>
              <w:pStyle w:val="Default"/>
              <w:rPr>
                <w:sz w:val="20"/>
                <w:szCs w:val="20"/>
              </w:rPr>
            </w:pPr>
            <w:r>
              <w:rPr>
                <w:sz w:val="20"/>
                <w:szCs w:val="20"/>
              </w:rPr>
              <w:t xml:space="preserve">Limite interne de l'arrière-mangrove </w:t>
            </w:r>
          </w:p>
        </w:tc>
        <w:tc>
          <w:tcPr>
            <w:tcW w:w="0" w:type="auto"/>
            <w:tcBorders>
              <w:top w:val="single" w:sz="4" w:space="0" w:color="auto"/>
              <w:left w:val="single" w:sz="4" w:space="0" w:color="auto"/>
              <w:bottom w:val="single" w:sz="4" w:space="0" w:color="auto"/>
              <w:right w:val="single" w:sz="4" w:space="0" w:color="auto"/>
            </w:tcBorders>
          </w:tcPr>
          <w:p w14:paraId="7B79A351" w14:textId="26F3F29C" w:rsidR="00F25603" w:rsidRDefault="00F25603">
            <w:pPr>
              <w:pStyle w:val="Default"/>
              <w:rPr>
                <w:sz w:val="20"/>
                <w:szCs w:val="20"/>
              </w:rPr>
            </w:pPr>
            <w:r>
              <w:rPr>
                <w:sz w:val="20"/>
                <w:szCs w:val="20"/>
              </w:rPr>
              <w:t xml:space="preserve">Arbuste (&lt;1,5m de haut), feuilles succulentes </w:t>
            </w:r>
          </w:p>
        </w:tc>
      </w:tr>
      <w:tr w:rsidR="00F25603" w14:paraId="26260A9E" w14:textId="77777777" w:rsidTr="0026313C">
        <w:trPr>
          <w:trHeight w:val="513"/>
        </w:trPr>
        <w:tc>
          <w:tcPr>
            <w:tcW w:w="2048" w:type="dxa"/>
            <w:tcBorders>
              <w:top w:val="single" w:sz="4" w:space="0" w:color="auto"/>
              <w:left w:val="single" w:sz="4" w:space="0" w:color="auto"/>
              <w:bottom w:val="single" w:sz="4" w:space="0" w:color="auto"/>
              <w:right w:val="single" w:sz="4" w:space="0" w:color="auto"/>
            </w:tcBorders>
          </w:tcPr>
          <w:p w14:paraId="082608B5" w14:textId="77777777" w:rsidR="00F25603" w:rsidRDefault="00F25603">
            <w:pPr>
              <w:pStyle w:val="Default"/>
              <w:rPr>
                <w:sz w:val="20"/>
                <w:szCs w:val="20"/>
              </w:rPr>
            </w:pPr>
            <w:r>
              <w:rPr>
                <w:b/>
                <w:bCs/>
                <w:i/>
                <w:iCs/>
                <w:sz w:val="20"/>
                <w:szCs w:val="20"/>
              </w:rPr>
              <w:t xml:space="preserve">Heritiera littoralis </w:t>
            </w:r>
          </w:p>
          <w:p w14:paraId="3628CCFD" w14:textId="77777777" w:rsidR="00F25603" w:rsidRDefault="00F25603">
            <w:pPr>
              <w:pStyle w:val="Default"/>
              <w:rPr>
                <w:sz w:val="20"/>
                <w:szCs w:val="20"/>
              </w:rPr>
            </w:pPr>
            <w:r>
              <w:rPr>
                <w:b/>
                <w:bCs/>
                <w:i/>
                <w:iCs/>
                <w:sz w:val="20"/>
                <w:szCs w:val="20"/>
              </w:rPr>
              <w:t xml:space="preserve">(Sterculiaceae) </w:t>
            </w:r>
          </w:p>
        </w:tc>
        <w:tc>
          <w:tcPr>
            <w:tcW w:w="1056" w:type="dxa"/>
            <w:tcBorders>
              <w:top w:val="single" w:sz="4" w:space="0" w:color="auto"/>
              <w:left w:val="single" w:sz="4" w:space="0" w:color="auto"/>
              <w:bottom w:val="single" w:sz="4" w:space="0" w:color="auto"/>
              <w:right w:val="single" w:sz="4" w:space="0" w:color="auto"/>
            </w:tcBorders>
          </w:tcPr>
          <w:p w14:paraId="564CD974" w14:textId="77777777" w:rsidR="00F25603" w:rsidRDefault="00F25603">
            <w:pPr>
              <w:pStyle w:val="Default"/>
              <w:rPr>
                <w:sz w:val="20"/>
                <w:szCs w:val="20"/>
              </w:rPr>
            </w:pPr>
            <w:r>
              <w:rPr>
                <w:sz w:val="20"/>
                <w:szCs w:val="20"/>
              </w:rPr>
              <w:t xml:space="preserve">Sableux </w:t>
            </w:r>
          </w:p>
        </w:tc>
        <w:tc>
          <w:tcPr>
            <w:tcW w:w="1574" w:type="dxa"/>
            <w:tcBorders>
              <w:top w:val="single" w:sz="4" w:space="0" w:color="auto"/>
              <w:left w:val="single" w:sz="4" w:space="0" w:color="auto"/>
              <w:bottom w:val="single" w:sz="4" w:space="0" w:color="auto"/>
              <w:right w:val="single" w:sz="4" w:space="0" w:color="auto"/>
            </w:tcBorders>
          </w:tcPr>
          <w:p w14:paraId="5D3F2549" w14:textId="77777777" w:rsidR="00F25603" w:rsidRDefault="00F25603">
            <w:pPr>
              <w:pStyle w:val="Default"/>
              <w:rPr>
                <w:sz w:val="20"/>
                <w:szCs w:val="20"/>
              </w:rPr>
            </w:pPr>
            <w:r>
              <w:rPr>
                <w:sz w:val="20"/>
                <w:szCs w:val="20"/>
              </w:rPr>
              <w:t xml:space="preserve">Occasionnelle </w:t>
            </w:r>
          </w:p>
        </w:tc>
        <w:tc>
          <w:tcPr>
            <w:tcW w:w="836" w:type="dxa"/>
            <w:tcBorders>
              <w:top w:val="single" w:sz="4" w:space="0" w:color="auto"/>
              <w:left w:val="single" w:sz="4" w:space="0" w:color="auto"/>
              <w:bottom w:val="single" w:sz="4" w:space="0" w:color="auto"/>
              <w:right w:val="single" w:sz="4" w:space="0" w:color="auto"/>
            </w:tcBorders>
          </w:tcPr>
          <w:p w14:paraId="5A863BCF" w14:textId="77777777" w:rsidR="00F25603" w:rsidRDefault="00F25603">
            <w:pPr>
              <w:pStyle w:val="Default"/>
              <w:rPr>
                <w:sz w:val="20"/>
                <w:szCs w:val="20"/>
              </w:rPr>
            </w:pPr>
            <w:r>
              <w:rPr>
                <w:sz w:val="20"/>
                <w:szCs w:val="20"/>
              </w:rPr>
              <w:t xml:space="preserve">Faible </w:t>
            </w:r>
          </w:p>
          <w:p w14:paraId="6AB14951" w14:textId="77777777" w:rsidR="00F25603" w:rsidRDefault="00F25603">
            <w:pPr>
              <w:pStyle w:val="Default"/>
              <w:rPr>
                <w:sz w:val="20"/>
                <w:szCs w:val="20"/>
              </w:rPr>
            </w:pPr>
            <w:r>
              <w:rPr>
                <w:sz w:val="20"/>
                <w:szCs w:val="20"/>
              </w:rPr>
              <w:t xml:space="preserve">(10 - 20g/l) </w:t>
            </w:r>
          </w:p>
        </w:tc>
        <w:tc>
          <w:tcPr>
            <w:tcW w:w="0" w:type="auto"/>
            <w:tcBorders>
              <w:top w:val="single" w:sz="4" w:space="0" w:color="auto"/>
              <w:left w:val="single" w:sz="4" w:space="0" w:color="auto"/>
              <w:bottom w:val="single" w:sz="4" w:space="0" w:color="auto"/>
              <w:right w:val="single" w:sz="4" w:space="0" w:color="auto"/>
            </w:tcBorders>
          </w:tcPr>
          <w:p w14:paraId="2E568F74" w14:textId="3615699D" w:rsidR="00F25603" w:rsidRDefault="00F25603">
            <w:pPr>
              <w:pStyle w:val="Default"/>
              <w:rPr>
                <w:sz w:val="20"/>
                <w:szCs w:val="20"/>
              </w:rPr>
            </w:pPr>
            <w:r>
              <w:rPr>
                <w:sz w:val="20"/>
                <w:szCs w:val="20"/>
              </w:rPr>
              <w:t xml:space="preserve">Zones internes à la limite des formations non-mangroves </w:t>
            </w:r>
          </w:p>
        </w:tc>
        <w:tc>
          <w:tcPr>
            <w:tcW w:w="0" w:type="auto"/>
            <w:tcBorders>
              <w:top w:val="single" w:sz="4" w:space="0" w:color="auto"/>
              <w:left w:val="single" w:sz="4" w:space="0" w:color="auto"/>
              <w:bottom w:val="single" w:sz="4" w:space="0" w:color="auto"/>
              <w:right w:val="single" w:sz="4" w:space="0" w:color="auto"/>
            </w:tcBorders>
          </w:tcPr>
          <w:p w14:paraId="49CA259D" w14:textId="5EBB95ED" w:rsidR="00F25603" w:rsidRDefault="00F25603">
            <w:pPr>
              <w:pStyle w:val="Default"/>
              <w:rPr>
                <w:sz w:val="20"/>
                <w:szCs w:val="20"/>
              </w:rPr>
            </w:pPr>
            <w:r>
              <w:rPr>
                <w:sz w:val="20"/>
                <w:szCs w:val="20"/>
              </w:rPr>
              <w:t xml:space="preserve">Limite interne de l'arrière-mangrove </w:t>
            </w:r>
          </w:p>
        </w:tc>
        <w:tc>
          <w:tcPr>
            <w:tcW w:w="0" w:type="auto"/>
            <w:tcBorders>
              <w:top w:val="single" w:sz="4" w:space="0" w:color="auto"/>
              <w:left w:val="single" w:sz="4" w:space="0" w:color="auto"/>
              <w:bottom w:val="single" w:sz="4" w:space="0" w:color="auto"/>
              <w:right w:val="single" w:sz="4" w:space="0" w:color="auto"/>
            </w:tcBorders>
          </w:tcPr>
          <w:p w14:paraId="6B11D505" w14:textId="77777777" w:rsidR="00F25603" w:rsidRDefault="00F25603">
            <w:pPr>
              <w:pStyle w:val="Default"/>
              <w:rPr>
                <w:sz w:val="20"/>
                <w:szCs w:val="20"/>
              </w:rPr>
            </w:pPr>
            <w:r>
              <w:rPr>
                <w:sz w:val="20"/>
                <w:szCs w:val="20"/>
              </w:rPr>
              <w:t xml:space="preserve">3 à 4m de haut, 7à 10cm de diamètre </w:t>
            </w:r>
          </w:p>
        </w:tc>
      </w:tr>
    </w:tbl>
    <w:p w14:paraId="6E271840" w14:textId="6CDA4050" w:rsidR="00F25603" w:rsidRDefault="00F25603" w:rsidP="00F25603">
      <w:pPr>
        <w:spacing w:after="0" w:line="240" w:lineRule="auto"/>
        <w:jc w:val="center"/>
      </w:pPr>
      <w:r w:rsidRPr="00F25603">
        <w:t>Caractéristiques des 8 espèces les plus reconnues à Madagascar.</w:t>
      </w:r>
    </w:p>
    <w:p w14:paraId="33D7FD4F" w14:textId="7FC2C5B1" w:rsidR="00F25603" w:rsidRPr="00A635DB" w:rsidRDefault="00F25603" w:rsidP="00F25603">
      <w:pPr>
        <w:spacing w:after="0" w:line="240" w:lineRule="auto"/>
        <w:jc w:val="center"/>
      </w:pPr>
      <w:r w:rsidRPr="00F25603">
        <w:t>Source : Tostain, 2010 ; Kathiresan et Bingham, 2001 et Kathiresan et al., 1996 in RAZAKANIRINA, 2016.</w:t>
      </w:r>
    </w:p>
    <w:p w14:paraId="2CD8A9C0" w14:textId="0EF4E832" w:rsidR="00EF1A93" w:rsidRDefault="00EF1A93">
      <w:r>
        <w:br w:type="page"/>
      </w:r>
    </w:p>
    <w:p w14:paraId="647C778A" w14:textId="77777777" w:rsidR="00EF1A93" w:rsidRDefault="00EF1A93" w:rsidP="00A635DB">
      <w:pPr>
        <w:spacing w:after="0" w:line="240" w:lineRule="auto"/>
      </w:pPr>
    </w:p>
    <w:p w14:paraId="03C8D530" w14:textId="0FC01676" w:rsidR="003256AA" w:rsidRDefault="003256AA" w:rsidP="003256AA">
      <w:pPr>
        <w:pStyle w:val="Titre2"/>
      </w:pPr>
      <w:bookmarkStart w:id="112" w:name="_Toc139181403"/>
      <w:r>
        <w:t>Définitions de la Mangrove</w:t>
      </w:r>
      <w:bookmarkEnd w:id="112"/>
    </w:p>
    <w:p w14:paraId="4AA73F52" w14:textId="09A149F9" w:rsidR="003256AA" w:rsidRDefault="003256AA" w:rsidP="003256AA">
      <w:pPr>
        <w:spacing w:after="0" w:line="240" w:lineRule="auto"/>
      </w:pPr>
    </w:p>
    <w:p w14:paraId="5BCEAF87" w14:textId="78FFC95F" w:rsidR="00867C79" w:rsidRDefault="00867C79" w:rsidP="00867C79">
      <w:pPr>
        <w:spacing w:after="0" w:line="240" w:lineRule="auto"/>
      </w:pPr>
      <w:r>
        <w:t>Écosystème qui se développe le long des côtes protégées des zones tropicales et subtropicales. Elle pousse dans un milieu à dépôt salin présentant diverses formes de sols anaérobies. Elle accueille une flore peu diversifiée mais une faune très riche. Cet écosystème est caractérisé par trois types de formations végétales :</w:t>
      </w:r>
    </w:p>
    <w:p w14:paraId="4CEA09EA" w14:textId="77777777" w:rsidR="00867C79" w:rsidRDefault="00867C79" w:rsidP="00867C79">
      <w:pPr>
        <w:spacing w:after="0" w:line="240" w:lineRule="auto"/>
      </w:pPr>
    </w:p>
    <w:p w14:paraId="2330C1E2" w14:textId="07DD3940" w:rsidR="00867C79" w:rsidRDefault="00867C79" w:rsidP="00867C79">
      <w:pPr>
        <w:spacing w:after="0" w:line="240" w:lineRule="auto"/>
        <w:jc w:val="both"/>
      </w:pPr>
      <w:r>
        <w:t>- La mangrove de bord de mer, essentiellement composée de Palétuviers rouges (</w:t>
      </w:r>
      <w:r w:rsidRPr="00867C79">
        <w:rPr>
          <w:i/>
          <w:iCs/>
        </w:rPr>
        <w:t>Rhyzophora mangle</w:t>
      </w:r>
      <w:r>
        <w:t>) qui peuvent atteindre 8 mètres de haut.</w:t>
      </w:r>
    </w:p>
    <w:p w14:paraId="7638D8FE" w14:textId="57F331C3" w:rsidR="00867C79" w:rsidRDefault="00867C79" w:rsidP="00867C79">
      <w:pPr>
        <w:spacing w:after="0" w:line="240" w:lineRule="auto"/>
        <w:jc w:val="both"/>
      </w:pPr>
      <w:r>
        <w:t xml:space="preserve">- La mangrove arbustive, en arrière de la ceinture côtière, où les Palétuviers rouges ne dépassent pas 2 mètres de haut et d'où émergent quelques Palétuviers noir </w:t>
      </w:r>
      <w:r w:rsidRPr="00867C79">
        <w:rPr>
          <w:i/>
          <w:iCs/>
        </w:rPr>
        <w:t>Avicennia germinans</w:t>
      </w:r>
      <w:r>
        <w:t xml:space="preserve">, Palétuviers blancs </w:t>
      </w:r>
      <w:r w:rsidRPr="00867C79">
        <w:rPr>
          <w:i/>
          <w:iCs/>
        </w:rPr>
        <w:t>Laguncularia racemosa</w:t>
      </w:r>
      <w:r>
        <w:t xml:space="preserve"> et Palétuviers gris </w:t>
      </w:r>
      <w:r w:rsidRPr="00867C79">
        <w:rPr>
          <w:i/>
          <w:iCs/>
        </w:rPr>
        <w:t>Conocarpus erectus</w:t>
      </w:r>
      <w:r>
        <w:t xml:space="preserve"> selon le niveau de salinité des sols. Dans cette partie de la mangrove, ces espèces peuvent former des peuplements plus élevés mais assez ouverts, fréquemment parsemés d'arbres morts ou dépérissants. Il s'agit des étangs bois secs.</w:t>
      </w:r>
    </w:p>
    <w:p w14:paraId="55172233" w14:textId="528F27E4" w:rsidR="00867C79" w:rsidRDefault="00867C79" w:rsidP="00867C79">
      <w:pPr>
        <w:spacing w:after="0" w:line="240" w:lineRule="auto"/>
        <w:jc w:val="both"/>
      </w:pPr>
      <w:r>
        <w:t xml:space="preserve">- La mangrove haute et les peuplements périphériques, situés après les étendues arbustives et culminants à des hauteurs variant entre 10 et 20 mètres. Dans cette partie de la mangrove, le Palétuvier blanc fait la transition avec les marais herbacés ou la forêt marécageuse. Cette espèce donne un couvert assez clair qui permet le développement de la Fougère dorée </w:t>
      </w:r>
      <w:r w:rsidRPr="00867C79">
        <w:rPr>
          <w:i/>
          <w:iCs/>
        </w:rPr>
        <w:t>Acrostichum aureum</w:t>
      </w:r>
      <w:r>
        <w:t>. Le Palétuviers gris, assez peu abondant, se rencontre dans les endroits les mieux drainés (sols sableux ou rocheux). Il est surtout fréquent aux abords des plages</w:t>
      </w:r>
      <w:r>
        <w:rPr>
          <w:rStyle w:val="Appelnotedebasdep"/>
        </w:rPr>
        <w:footnoteReference w:id="86"/>
      </w:r>
      <w:r>
        <w:t>.</w:t>
      </w:r>
    </w:p>
    <w:p w14:paraId="58FA422C" w14:textId="77777777" w:rsidR="00D653D5" w:rsidRDefault="00D653D5" w:rsidP="00867C79">
      <w:pPr>
        <w:spacing w:after="0" w:line="240" w:lineRule="auto"/>
        <w:jc w:val="both"/>
      </w:pPr>
    </w:p>
    <w:p w14:paraId="55A3D3C2" w14:textId="4258C6C9" w:rsidR="00867C79" w:rsidRDefault="00867C79" w:rsidP="00867C79">
      <w:pPr>
        <w:spacing w:after="0" w:line="240" w:lineRule="auto"/>
        <w:jc w:val="both"/>
      </w:pPr>
      <w:r w:rsidRPr="00867C79">
        <w:rPr>
          <w:b/>
          <w:bCs/>
        </w:rPr>
        <w:t>Autres définitions</w:t>
      </w:r>
      <w:r>
        <w:t> </w:t>
      </w:r>
      <w:r w:rsidR="00D653D5">
        <w:t xml:space="preserve">(voir ci-après) </w:t>
      </w:r>
      <w:r>
        <w:t>:</w:t>
      </w:r>
    </w:p>
    <w:p w14:paraId="7A4A7A44" w14:textId="77777777" w:rsidR="00867C79" w:rsidRDefault="00867C79" w:rsidP="003256AA">
      <w:pPr>
        <w:spacing w:after="0" w:line="240" w:lineRule="auto"/>
      </w:pPr>
    </w:p>
    <w:p w14:paraId="0D34FF10" w14:textId="2B9CE33B" w:rsidR="003256AA" w:rsidRDefault="009E078E" w:rsidP="003256AA">
      <w:pPr>
        <w:pStyle w:val="Paragraphedeliste"/>
        <w:numPr>
          <w:ilvl w:val="0"/>
          <w:numId w:val="7"/>
        </w:numPr>
        <w:spacing w:after="0" w:line="240" w:lineRule="auto"/>
        <w:ind w:left="426"/>
        <w:jc w:val="both"/>
      </w:pPr>
      <w:r>
        <w:t>E</w:t>
      </w:r>
      <w:r w:rsidR="003256AA">
        <w:t>nsemble des formations végétales, arborescentes ou buissonnantes, colonisant des atterrissements intertidaux marins ou fluviaux, périodiquement submergés par la marée saline (Guilcher 1954).</w:t>
      </w:r>
    </w:p>
    <w:p w14:paraId="4529CD39" w14:textId="4DBC19E7" w:rsidR="003256AA" w:rsidRDefault="009E078E" w:rsidP="003256AA">
      <w:pPr>
        <w:pStyle w:val="Paragraphedeliste"/>
        <w:numPr>
          <w:ilvl w:val="0"/>
          <w:numId w:val="7"/>
        </w:numPr>
        <w:spacing w:after="0" w:line="240" w:lineRule="auto"/>
        <w:ind w:left="426"/>
        <w:jc w:val="both"/>
      </w:pPr>
      <w:r>
        <w:t>Z</w:t>
      </w:r>
      <w:r w:rsidR="003256AA">
        <w:t>one baignée périodiquement par les eaux très salées (Kiener 1978)</w:t>
      </w:r>
      <w:r w:rsidR="00867C79">
        <w:t>.</w:t>
      </w:r>
    </w:p>
    <w:p w14:paraId="6FB2D753" w14:textId="061CC68B" w:rsidR="003256AA" w:rsidRDefault="009E078E" w:rsidP="003256AA">
      <w:pPr>
        <w:pStyle w:val="Paragraphedeliste"/>
        <w:numPr>
          <w:ilvl w:val="0"/>
          <w:numId w:val="7"/>
        </w:numPr>
        <w:spacing w:after="0" w:line="240" w:lineRule="auto"/>
        <w:ind w:left="426"/>
        <w:jc w:val="both"/>
      </w:pPr>
      <w:r>
        <w:t>E</w:t>
      </w:r>
      <w:r w:rsidR="003256AA">
        <w:t xml:space="preserve">cosystème intertropical, littoral des basses côtes (Conard (1993). </w:t>
      </w:r>
    </w:p>
    <w:p w14:paraId="3AFB8044" w14:textId="13F74A91" w:rsidR="003256AA" w:rsidRDefault="003256AA" w:rsidP="003256AA">
      <w:pPr>
        <w:pStyle w:val="Paragraphedeliste"/>
        <w:numPr>
          <w:ilvl w:val="0"/>
          <w:numId w:val="7"/>
        </w:numPr>
        <w:spacing w:after="0" w:line="240" w:lineRule="auto"/>
        <w:ind w:left="426"/>
        <w:jc w:val="both"/>
      </w:pPr>
      <w:r>
        <w:t>Ecosystème incluant un groupement de végétaux principalement ligneux spécifique, ne se développant que dans la zone de balancement des marées appelée « estran » des côtes basses des régions tropicales (souvent à l’embouchure des fleuves).</w:t>
      </w:r>
      <w:r w:rsidR="00867C79">
        <w:t xml:space="preserve"> </w:t>
      </w:r>
    </w:p>
    <w:p w14:paraId="10F44CDC" w14:textId="27304E0C" w:rsidR="009E078E" w:rsidRDefault="009E078E" w:rsidP="003256AA">
      <w:pPr>
        <w:pStyle w:val="Paragraphedeliste"/>
        <w:numPr>
          <w:ilvl w:val="0"/>
          <w:numId w:val="7"/>
        </w:numPr>
        <w:spacing w:after="0" w:line="240" w:lineRule="auto"/>
        <w:ind w:left="426"/>
        <w:jc w:val="both"/>
      </w:pPr>
      <w:r>
        <w:t>G</w:t>
      </w:r>
      <w:r w:rsidRPr="009E078E">
        <w:t>roupe diversifié d'arbres tolérants au sel (halophyte) et en général toujours verts.</w:t>
      </w:r>
    </w:p>
    <w:p w14:paraId="5D7486F2" w14:textId="0356127F" w:rsidR="003256AA" w:rsidRDefault="003256AA" w:rsidP="003256AA">
      <w:pPr>
        <w:spacing w:after="0" w:line="240" w:lineRule="auto"/>
      </w:pPr>
    </w:p>
    <w:p w14:paraId="215697AA" w14:textId="7B91317A" w:rsidR="00D12507" w:rsidRDefault="00D12507" w:rsidP="00D12507">
      <w:pPr>
        <w:spacing w:after="0" w:line="240" w:lineRule="auto"/>
        <w:jc w:val="both"/>
      </w:pPr>
      <w:r w:rsidRPr="00D12507">
        <w:t xml:space="preserve">Les espèces ligneuses les plus notables sont les </w:t>
      </w:r>
      <w:r w:rsidRPr="00D12507">
        <w:rPr>
          <w:i/>
          <w:iCs/>
        </w:rPr>
        <w:t>palétuviers</w:t>
      </w:r>
      <w:r w:rsidRPr="00D12507">
        <w:t xml:space="preserve">, des arbres ou arbustes tropicaux avec leurs pneumatophores et leurs racines-échasses, appartenant à diverses espèces, capables de prospérer le long des rivages marins dans la zone de balancement des marées. </w:t>
      </w:r>
    </w:p>
    <w:p w14:paraId="5D609E30" w14:textId="77777777" w:rsidR="00CF6014" w:rsidRDefault="00CF6014" w:rsidP="00CF6014">
      <w:pPr>
        <w:spacing w:after="0" w:line="240" w:lineRule="auto"/>
      </w:pPr>
    </w:p>
    <w:p w14:paraId="5EA17432" w14:textId="77777777" w:rsidR="00CF6014" w:rsidRDefault="00CF6014" w:rsidP="0022016D">
      <w:pPr>
        <w:pStyle w:val="Titre2"/>
        <w:numPr>
          <w:ilvl w:val="1"/>
          <w:numId w:val="26"/>
        </w:numPr>
      </w:pPr>
      <w:bookmarkStart w:id="113" w:name="_Toc139181404"/>
      <w:r w:rsidRPr="0086495D">
        <w:t>Vocabulaire spécifique aux mangroves</w:t>
      </w:r>
      <w:bookmarkEnd w:id="113"/>
    </w:p>
    <w:p w14:paraId="72F39D6B" w14:textId="77777777" w:rsidR="00CF6014" w:rsidRDefault="00CF6014" w:rsidP="00CF6014">
      <w:pPr>
        <w:spacing w:after="0" w:line="240" w:lineRule="auto"/>
      </w:pPr>
    </w:p>
    <w:p w14:paraId="06EB0A5C" w14:textId="77777777" w:rsidR="00CF6014" w:rsidRPr="0086495D" w:rsidRDefault="00CF6014" w:rsidP="00CF6014">
      <w:pPr>
        <w:spacing w:after="0" w:line="240" w:lineRule="auto"/>
        <w:jc w:val="both"/>
      </w:pPr>
      <w:r w:rsidRPr="0086495D">
        <w:rPr>
          <w:b/>
          <w:bCs/>
          <w:i/>
          <w:iCs/>
        </w:rPr>
        <w:t>Chenier</w:t>
      </w:r>
      <w:r w:rsidRPr="0086495D">
        <w:t xml:space="preserve"> : type de cordon littoral mobile se présentant comme une accumulation de sable à la surface d'un marais. </w:t>
      </w:r>
    </w:p>
    <w:p w14:paraId="01F921E6" w14:textId="77777777" w:rsidR="00CF6014" w:rsidRPr="0086495D" w:rsidRDefault="00CF6014" w:rsidP="00CF6014">
      <w:pPr>
        <w:spacing w:after="0" w:line="240" w:lineRule="auto"/>
        <w:jc w:val="both"/>
      </w:pPr>
      <w:r w:rsidRPr="0086495D">
        <w:rPr>
          <w:b/>
          <w:bCs/>
          <w:i/>
          <w:iCs/>
        </w:rPr>
        <w:t>Mangal</w:t>
      </w:r>
      <w:r w:rsidRPr="0086495D">
        <w:rPr>
          <w:b/>
          <w:bCs/>
        </w:rPr>
        <w:t xml:space="preserve"> </w:t>
      </w:r>
      <w:r w:rsidRPr="0086495D">
        <w:t>: terme désignant, en anglais, la mangrove sans faire de contre-sens, mangrove, en anglais, désignant en même temps les palétuviers et la mangrove.</w:t>
      </w:r>
    </w:p>
    <w:p w14:paraId="4D962A0E" w14:textId="77777777" w:rsidR="00CF6014" w:rsidRPr="0086495D" w:rsidRDefault="00CF6014" w:rsidP="00CF6014">
      <w:pPr>
        <w:spacing w:after="0" w:line="240" w:lineRule="auto"/>
      </w:pPr>
      <w:r w:rsidRPr="0086495D">
        <w:rPr>
          <w:b/>
          <w:bCs/>
          <w:i/>
          <w:iCs/>
        </w:rPr>
        <w:t>Pneumatophore</w:t>
      </w:r>
      <w:r w:rsidRPr="0086495D">
        <w:rPr>
          <w:b/>
          <w:bCs/>
        </w:rPr>
        <w:t xml:space="preserve"> </w:t>
      </w:r>
      <w:r w:rsidRPr="0086495D">
        <w:t>: organes aérifères propres à certains palétuviers et à certains arbres des forêts marécageuses continentales.</w:t>
      </w:r>
      <w:r>
        <w:t xml:space="preserve"> </w:t>
      </w:r>
      <w:r w:rsidRPr="009C0798">
        <w:t>On distingue des pneumatophores droits, souples (</w:t>
      </w:r>
      <w:r w:rsidRPr="009C0798">
        <w:rPr>
          <w:i/>
          <w:iCs/>
        </w:rPr>
        <w:t>Avicennia</w:t>
      </w:r>
      <w:r w:rsidRPr="009C0798">
        <w:t>), durs (</w:t>
      </w:r>
      <w:r w:rsidRPr="009C0798">
        <w:rPr>
          <w:i/>
          <w:iCs/>
        </w:rPr>
        <w:t>Sonneratia</w:t>
      </w:r>
      <w:r w:rsidRPr="009C0798">
        <w:t>) ou coudés (</w:t>
      </w:r>
      <w:r w:rsidRPr="009C0798">
        <w:rPr>
          <w:i/>
          <w:iCs/>
        </w:rPr>
        <w:t>Bruguiera, Lumnitzera</w:t>
      </w:r>
      <w:r w:rsidRPr="009C0798">
        <w:t>). Les pneumatophores se développent le long des racines.</w:t>
      </w:r>
      <w:r>
        <w:tab/>
      </w:r>
    </w:p>
    <w:p w14:paraId="14D82917" w14:textId="77777777" w:rsidR="00CF6014" w:rsidRPr="0086495D" w:rsidRDefault="00CF6014" w:rsidP="00CF6014">
      <w:pPr>
        <w:spacing w:after="0" w:line="240" w:lineRule="auto"/>
        <w:jc w:val="both"/>
      </w:pPr>
      <w:r w:rsidRPr="0086495D">
        <w:rPr>
          <w:b/>
          <w:bCs/>
          <w:i/>
          <w:iCs/>
        </w:rPr>
        <w:t>Propagules</w:t>
      </w:r>
      <w:r w:rsidRPr="0086495D">
        <w:rPr>
          <w:b/>
          <w:bCs/>
        </w:rPr>
        <w:t xml:space="preserve"> </w:t>
      </w:r>
      <w:r w:rsidRPr="0086495D">
        <w:t>(appelées également "plantules" ou "hypocotyles") : Beaucoup de palétuviers sont vivipares c'est-à-dire que leurs graines germent sur l'arbre parent avant de tomber. Quand la propagule est mûr</w:t>
      </w:r>
      <w:r>
        <w:t>e</w:t>
      </w:r>
      <w:r w:rsidRPr="0086495D">
        <w:t xml:space="preserve">, il chute dans l'eau où il peut être transporté sur grandes distances. Il peut survivre à la dessiccation et rester dormant durant des semaines, </w:t>
      </w:r>
      <w:r w:rsidRPr="0086495D">
        <w:lastRenderedPageBreak/>
        <w:t>des mois, ou même une année jusqu'à ce qu'il arrive dans un environnement approprié. Une fois qu'une propagule est prêt</w:t>
      </w:r>
      <w:r>
        <w:t>e</w:t>
      </w:r>
      <w:r w:rsidRPr="0086495D">
        <w:t xml:space="preserve"> à s'enraciner, il changera sa densité de sorte qu'au lieu de faire un système racinaire horizontal favorisant la flottaison</w:t>
      </w:r>
      <w:r>
        <w:t xml:space="preserve"> et</w:t>
      </w:r>
      <w:r w:rsidRPr="0086495D">
        <w:t xml:space="preserve"> il produit un système racinaire vertical. En cette position, il est prêt s'enraciner dans la boue.</w:t>
      </w:r>
      <w:r>
        <w:t xml:space="preserve"> </w:t>
      </w:r>
      <w:r w:rsidRPr="009C0798">
        <w:t>Si une propagule ne s'enracine pas, il peut changer sa densité de sorte qu'il flotte plus loin encore à la recherche de conditions plus favorables (Wikipedia 2010).</w:t>
      </w:r>
    </w:p>
    <w:p w14:paraId="43AD2535" w14:textId="77777777" w:rsidR="00CF6014" w:rsidRPr="0086495D" w:rsidRDefault="00CF6014" w:rsidP="00CF6014">
      <w:pPr>
        <w:spacing w:after="0" w:line="240" w:lineRule="auto"/>
        <w:jc w:val="both"/>
      </w:pPr>
      <w:r w:rsidRPr="0086495D">
        <w:rPr>
          <w:b/>
          <w:bCs/>
          <w:i/>
          <w:iCs/>
        </w:rPr>
        <w:t xml:space="preserve">Racines échasses </w:t>
      </w:r>
      <w:r w:rsidRPr="0086495D">
        <w:t xml:space="preserve">: parmi les palétuviers les plus communs, seul le genre </w:t>
      </w:r>
      <w:r w:rsidRPr="0086495D">
        <w:rPr>
          <w:i/>
          <w:iCs/>
        </w:rPr>
        <w:t xml:space="preserve">Rhizophora </w:t>
      </w:r>
      <w:r w:rsidRPr="0086495D">
        <w:t>possède des racines échasses (celles qui partent du tronc) et des racines aériennes (celles qui partent des branches parfois appelées cordages) partant des branches.</w:t>
      </w:r>
    </w:p>
    <w:p w14:paraId="64793187" w14:textId="77777777" w:rsidR="00CF6014" w:rsidRPr="0086495D" w:rsidRDefault="00CF6014" w:rsidP="00CF6014">
      <w:pPr>
        <w:spacing w:after="0" w:line="240" w:lineRule="auto"/>
        <w:jc w:val="both"/>
      </w:pPr>
      <w:r w:rsidRPr="0086495D">
        <w:rPr>
          <w:b/>
          <w:bCs/>
          <w:i/>
          <w:iCs/>
        </w:rPr>
        <w:t>Régénération</w:t>
      </w:r>
      <w:r w:rsidRPr="0086495D">
        <w:rPr>
          <w:b/>
          <w:bCs/>
        </w:rPr>
        <w:t xml:space="preserve"> : </w:t>
      </w:r>
      <w:r w:rsidRPr="0086495D">
        <w:t>au</w:t>
      </w:r>
      <w:r w:rsidRPr="0086495D">
        <w:rPr>
          <w:b/>
          <w:bCs/>
        </w:rPr>
        <w:t xml:space="preserve"> </w:t>
      </w:r>
      <w:r w:rsidRPr="0086495D">
        <w:t>travers l'observation d'une bonne régénération, l'on peut juger du bon état de santé d'un peuplement de palétuviers. Elle s'exprime par une densité de plantules et de jeunes arbres dans le sous-bois.</w:t>
      </w:r>
    </w:p>
    <w:p w14:paraId="186DE8A1" w14:textId="77777777" w:rsidR="00CF6014" w:rsidRPr="0086495D" w:rsidRDefault="00CF6014" w:rsidP="00CF6014">
      <w:pPr>
        <w:spacing w:after="0" w:line="240" w:lineRule="auto"/>
        <w:jc w:val="both"/>
      </w:pPr>
      <w:r w:rsidRPr="0086495D">
        <w:rPr>
          <w:b/>
          <w:bCs/>
        </w:rPr>
        <w:t xml:space="preserve">Tanne herbacée </w:t>
      </w:r>
      <w:r w:rsidRPr="0086495D">
        <w:t xml:space="preserve">: étendue de sol couverte d'halophytes de petite taille (salicornes, </w:t>
      </w:r>
      <w:r w:rsidRPr="0086495D">
        <w:rPr>
          <w:i/>
          <w:iCs/>
        </w:rPr>
        <w:t xml:space="preserve">Sesuvium portulacastrum, Cressa creica, Sporobolus </w:t>
      </w:r>
      <w:r w:rsidRPr="0086495D">
        <w:t>spp., etc.) se développant aux dépens de la mangrove. La surface des tannes herbeuses est moins salée que celle des tannes vives (zones brunes) ce qui explique la présence d'herbacées ou de tout petits ligneux.</w:t>
      </w:r>
    </w:p>
    <w:p w14:paraId="4B822122" w14:textId="77777777" w:rsidR="00CF6014" w:rsidRPr="0086495D" w:rsidRDefault="00CF6014" w:rsidP="00CF6014">
      <w:pPr>
        <w:spacing w:after="0" w:line="240" w:lineRule="auto"/>
        <w:jc w:val="both"/>
      </w:pPr>
      <w:r w:rsidRPr="0086495D">
        <w:rPr>
          <w:b/>
          <w:bCs/>
          <w:i/>
          <w:iCs/>
        </w:rPr>
        <w:t xml:space="preserve">Tanne vive </w:t>
      </w:r>
      <w:r w:rsidRPr="0086495D">
        <w:t>: on appelle tanne vive une étendue de sol nu se développant aux dépens de la mangrove. Il existe deux origines au phénomène de « tannification » : la salinisation et parfois l'acidification. Une diminution de la salinité ou de l'acidité des nappes et des sols peut conduire à une re-colonisation partielle et souvent temporaire des tannes par les palétuviers.</w:t>
      </w:r>
    </w:p>
    <w:p w14:paraId="5A3DFB7A" w14:textId="77777777" w:rsidR="00CF6014" w:rsidRPr="0086495D" w:rsidRDefault="00CF6014" w:rsidP="00CF6014">
      <w:pPr>
        <w:spacing w:after="0" w:line="240" w:lineRule="auto"/>
        <w:jc w:val="both"/>
      </w:pPr>
      <w:r w:rsidRPr="0086495D">
        <w:rPr>
          <w:b/>
          <w:bCs/>
          <w:i/>
          <w:iCs/>
        </w:rPr>
        <w:t xml:space="preserve">Voile algaire </w:t>
      </w:r>
      <w:r w:rsidRPr="0086495D">
        <w:t xml:space="preserve">: c'est une pellicule organique fibreuse de quelques millimètres d'épaisseur, d'aspect cartonneux lors des périodes sèches, couvrant des dépressions à la surface des tannes ; il est formé par des </w:t>
      </w:r>
      <w:r w:rsidRPr="0086495D">
        <w:rPr>
          <w:i/>
          <w:iCs/>
        </w:rPr>
        <w:t>Cyanophycées</w:t>
      </w:r>
      <w:r w:rsidRPr="0086495D">
        <w:t>. Sa couleur varie considérablement. Si l'absence de précipitations correspond à des marées de morte-eau, le voile peut se dessécher, se détacher de la surface du sol et être emporté par le vent.</w:t>
      </w:r>
    </w:p>
    <w:p w14:paraId="16E56744" w14:textId="77777777" w:rsidR="00CF6014" w:rsidRPr="0086495D" w:rsidRDefault="00CF6014" w:rsidP="00CF6014">
      <w:pPr>
        <w:spacing w:after="0" w:line="240" w:lineRule="auto"/>
        <w:jc w:val="both"/>
      </w:pPr>
      <w:r w:rsidRPr="0086495D">
        <w:rPr>
          <w:b/>
          <w:bCs/>
          <w:i/>
          <w:iCs/>
        </w:rPr>
        <w:t xml:space="preserve">Zonation végétale </w:t>
      </w:r>
      <w:r w:rsidRPr="0086495D">
        <w:t>:au sein d'une mangrove, la zonation végétale s'exprime par des peuplements d'espèces différentes de palétuviers s'organisant en bandes grossièrement parallèles. Cette zonation est dépendante de la topographie, aussi subtile soit-elle, qui influe elle-même sur la durée de l'inondation par les marées.</w:t>
      </w:r>
    </w:p>
    <w:p w14:paraId="79B75D69" w14:textId="77777777" w:rsidR="00CF6014" w:rsidRDefault="00CF6014" w:rsidP="00CF6014">
      <w:pPr>
        <w:spacing w:after="0" w:line="240" w:lineRule="auto"/>
      </w:pPr>
      <w:r w:rsidRPr="0086495D">
        <w:t xml:space="preserve">Source : </w:t>
      </w:r>
      <w:hyperlink r:id="rId1067" w:history="1">
        <w:r w:rsidRPr="0086495D">
          <w:rPr>
            <w:rStyle w:val="Lienhypertexte"/>
          </w:rPr>
          <w:t>http://mangrove.mangals.over-blog.com/categorie-10994492.html</w:t>
        </w:r>
      </w:hyperlink>
      <w:r w:rsidRPr="0086495D">
        <w:t xml:space="preserve">   </w:t>
      </w:r>
    </w:p>
    <w:p w14:paraId="0A8790D0" w14:textId="77777777" w:rsidR="00CF6014" w:rsidRDefault="00CF6014" w:rsidP="00CF6014">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CF6014" w14:paraId="5312EDF1" w14:textId="77777777" w:rsidTr="00C47B8B">
        <w:tc>
          <w:tcPr>
            <w:tcW w:w="3472" w:type="dxa"/>
          </w:tcPr>
          <w:p w14:paraId="0DCB4538" w14:textId="77777777" w:rsidR="00CF6014" w:rsidRDefault="00CF6014" w:rsidP="00C47B8B">
            <w:pPr>
              <w:jc w:val="center"/>
            </w:pPr>
            <w:r w:rsidRPr="00F216BE">
              <w:rPr>
                <w:noProof/>
              </w:rPr>
              <w:drawing>
                <wp:inline distT="0" distB="0" distL="0" distR="0" wp14:anchorId="183F1078" wp14:editId="46677DDF">
                  <wp:extent cx="1893729" cy="1333500"/>
                  <wp:effectExtent l="0" t="0" r="0" b="0"/>
                  <wp:docPr id="193551" name="Picture 3" descr="C:\Users\LISAN\Pictures\plantes-halophytes-xerophiles\tanne herbac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51" name="Picture 3" descr="C:\Users\LISAN\Pictures\plantes-halophytes-xerophiles\tanne herbacee.jpg"/>
                          <pic:cNvPicPr>
                            <a:picLocks noChangeAspect="1" noChangeArrowheads="1"/>
                          </pic:cNvPicPr>
                        </pic:nvPicPr>
                        <pic:blipFill>
                          <a:blip r:embed="rId1068">
                            <a:extLst>
                              <a:ext uri="{28A0092B-C50C-407E-A947-70E740481C1C}">
                                <a14:useLocalDpi xmlns:a14="http://schemas.microsoft.com/office/drawing/2010/main" val="0"/>
                              </a:ext>
                            </a:extLst>
                          </a:blip>
                          <a:srcRect/>
                          <a:stretch>
                            <a:fillRect/>
                          </a:stretch>
                        </pic:blipFill>
                        <pic:spPr bwMode="auto">
                          <a:xfrm>
                            <a:off x="0" y="0"/>
                            <a:ext cx="1897703" cy="1336299"/>
                          </a:xfrm>
                          <a:prstGeom prst="rect">
                            <a:avLst/>
                          </a:prstGeom>
                          <a:noFill/>
                          <a:ln>
                            <a:noFill/>
                          </a:ln>
                        </pic:spPr>
                      </pic:pic>
                    </a:graphicData>
                  </a:graphic>
                </wp:inline>
              </w:drawing>
            </w:r>
          </w:p>
          <w:p w14:paraId="4A2B3E06" w14:textId="77777777" w:rsidR="00CF6014" w:rsidRPr="00F216BE" w:rsidRDefault="00CF6014" w:rsidP="00C47B8B">
            <w:pPr>
              <w:jc w:val="center"/>
            </w:pPr>
            <w:r w:rsidRPr="00F216BE">
              <w:t>Tanne à salicornes en Nouvelle-Calédonie</w:t>
            </w:r>
          </w:p>
        </w:tc>
        <w:tc>
          <w:tcPr>
            <w:tcW w:w="3472" w:type="dxa"/>
          </w:tcPr>
          <w:p w14:paraId="77F74D5C" w14:textId="77777777" w:rsidR="00CF6014" w:rsidRDefault="00CF6014" w:rsidP="00C47B8B">
            <w:pPr>
              <w:jc w:val="center"/>
            </w:pPr>
            <w:r w:rsidRPr="00F216BE">
              <w:rPr>
                <w:noProof/>
              </w:rPr>
              <w:drawing>
                <wp:inline distT="0" distB="0" distL="0" distR="0" wp14:anchorId="0B54A949" wp14:editId="49EEFDC1">
                  <wp:extent cx="1998690" cy="1466850"/>
                  <wp:effectExtent l="0" t="0" r="1905" b="0"/>
                  <wp:docPr id="193552" name="Picture 4" descr="C:\Users\LISAN\Pictures\plantes-halophytes-xerophiles\tanne v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52" name="Picture 4" descr="C:\Users\LISAN\Pictures\plantes-halophytes-xerophiles\tanne vive.jpg"/>
                          <pic:cNvPicPr>
                            <a:picLocks noChangeAspect="1" noChangeArrowheads="1"/>
                          </pic:cNvPicPr>
                        </pic:nvPicPr>
                        <pic:blipFill>
                          <a:blip r:embed="rId1069">
                            <a:extLst>
                              <a:ext uri="{28A0092B-C50C-407E-A947-70E740481C1C}">
                                <a14:useLocalDpi xmlns:a14="http://schemas.microsoft.com/office/drawing/2010/main" val="0"/>
                              </a:ext>
                            </a:extLst>
                          </a:blip>
                          <a:srcRect/>
                          <a:stretch>
                            <a:fillRect/>
                          </a:stretch>
                        </pic:blipFill>
                        <pic:spPr bwMode="auto">
                          <a:xfrm>
                            <a:off x="0" y="0"/>
                            <a:ext cx="2001648" cy="1469021"/>
                          </a:xfrm>
                          <a:prstGeom prst="rect">
                            <a:avLst/>
                          </a:prstGeom>
                          <a:noFill/>
                          <a:ln>
                            <a:noFill/>
                          </a:ln>
                        </pic:spPr>
                      </pic:pic>
                    </a:graphicData>
                  </a:graphic>
                </wp:inline>
              </w:drawing>
            </w:r>
          </w:p>
          <w:p w14:paraId="655FB2D0" w14:textId="77777777" w:rsidR="00CF6014" w:rsidRDefault="00CF6014" w:rsidP="00C47B8B">
            <w:pPr>
              <w:jc w:val="center"/>
            </w:pPr>
            <w:r w:rsidRPr="00F216BE">
              <w:t xml:space="preserve">Tanne à </w:t>
            </w:r>
            <w:r w:rsidRPr="00F216BE">
              <w:rPr>
                <w:i/>
                <w:iCs/>
              </w:rPr>
              <w:t xml:space="preserve">Sesuvium portulacastrum </w:t>
            </w:r>
          </w:p>
        </w:tc>
        <w:tc>
          <w:tcPr>
            <w:tcW w:w="3472" w:type="dxa"/>
          </w:tcPr>
          <w:p w14:paraId="235BC116" w14:textId="77777777" w:rsidR="00CF6014" w:rsidRDefault="00CF6014" w:rsidP="00C47B8B">
            <w:pPr>
              <w:jc w:val="center"/>
            </w:pPr>
            <w:r w:rsidRPr="00F216BE">
              <w:rPr>
                <w:noProof/>
              </w:rPr>
              <w:drawing>
                <wp:inline distT="0" distB="0" distL="0" distR="0" wp14:anchorId="7089C3B4" wp14:editId="7025D47D">
                  <wp:extent cx="1959909" cy="1514475"/>
                  <wp:effectExtent l="0" t="0" r="2540" b="0"/>
                  <wp:docPr id="193548" name="Picture 2" descr="C:\Users\LISAN\Pictures\plantes-halophytes-xerophiles\Voile algair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48" name="Picture 2" descr="C:\Users\LISAN\Pictures\plantes-halophytes-xerophiles\Voile algaire_s.jpg"/>
                          <pic:cNvPicPr>
                            <a:picLocks noChangeAspect="1" noChangeArrowheads="1"/>
                          </pic:cNvPicPr>
                        </pic:nvPicPr>
                        <pic:blipFill>
                          <a:blip r:embed="rId1070">
                            <a:extLst>
                              <a:ext uri="{28A0092B-C50C-407E-A947-70E740481C1C}">
                                <a14:useLocalDpi xmlns:a14="http://schemas.microsoft.com/office/drawing/2010/main" val="0"/>
                              </a:ext>
                            </a:extLst>
                          </a:blip>
                          <a:srcRect/>
                          <a:stretch>
                            <a:fillRect/>
                          </a:stretch>
                        </pic:blipFill>
                        <pic:spPr bwMode="auto">
                          <a:xfrm>
                            <a:off x="0" y="0"/>
                            <a:ext cx="1961530" cy="1515728"/>
                          </a:xfrm>
                          <a:prstGeom prst="rect">
                            <a:avLst/>
                          </a:prstGeom>
                          <a:noFill/>
                          <a:ln>
                            <a:noFill/>
                          </a:ln>
                        </pic:spPr>
                      </pic:pic>
                    </a:graphicData>
                  </a:graphic>
                </wp:inline>
              </w:drawing>
            </w:r>
          </w:p>
          <w:p w14:paraId="120B3592" w14:textId="77777777" w:rsidR="00CF6014" w:rsidRDefault="00CF6014" w:rsidP="00C47B8B">
            <w:pPr>
              <w:jc w:val="center"/>
            </w:pPr>
            <w:r>
              <w:t>Voile algaire.</w:t>
            </w:r>
          </w:p>
        </w:tc>
      </w:tr>
    </w:tbl>
    <w:p w14:paraId="19E82AF8" w14:textId="77777777" w:rsidR="00D12507" w:rsidRDefault="00D12507" w:rsidP="003256AA">
      <w:pPr>
        <w:spacing w:after="0" w:line="240" w:lineRule="auto"/>
      </w:pPr>
    </w:p>
    <w:p w14:paraId="5A69CE60" w14:textId="25D1125B" w:rsidR="003256AA" w:rsidRDefault="00D12507" w:rsidP="003256AA">
      <w:pPr>
        <w:pStyle w:val="Titre2"/>
      </w:pPr>
      <w:bookmarkStart w:id="114" w:name="_Toc139181405"/>
      <w:r>
        <w:t>Caractéristiques et r</w:t>
      </w:r>
      <w:r w:rsidR="003256AA">
        <w:t>ôles</w:t>
      </w:r>
      <w:r w:rsidR="000F322C">
        <w:t xml:space="preserve"> écologiques</w:t>
      </w:r>
      <w:r w:rsidR="003256AA">
        <w:t xml:space="preserve"> de la mangrove</w:t>
      </w:r>
      <w:bookmarkEnd w:id="114"/>
    </w:p>
    <w:p w14:paraId="281F1843" w14:textId="50B05B55" w:rsidR="003256AA" w:rsidRDefault="003256AA" w:rsidP="003256AA">
      <w:pPr>
        <w:spacing w:after="0" w:line="240" w:lineRule="auto"/>
      </w:pPr>
    </w:p>
    <w:p w14:paraId="742FE1A4" w14:textId="43106D3A" w:rsidR="00D12507" w:rsidRPr="00D12507" w:rsidRDefault="00D12507" w:rsidP="00D12507">
      <w:pPr>
        <w:spacing w:after="0" w:line="240" w:lineRule="auto"/>
        <w:jc w:val="both"/>
      </w:pPr>
      <w:r w:rsidRPr="00D12507">
        <w:t>Les mangroves y sont l'un des </w:t>
      </w:r>
      <w:hyperlink r:id="rId1071" w:history="1">
        <w:r w:rsidRPr="00D12507">
          <w:rPr>
            <w:rStyle w:val="Lienhypertexte"/>
          </w:rPr>
          <w:t>écosystèmes</w:t>
        </w:r>
      </w:hyperlink>
      <w:r w:rsidRPr="00D12507">
        <w:t xml:space="preserve"> les plus </w:t>
      </w:r>
      <w:r w:rsidRPr="00D12507">
        <w:rPr>
          <w:i/>
          <w:iCs/>
        </w:rPr>
        <w:t>bioproductifs</w:t>
      </w:r>
      <w:r w:rsidRPr="00D12507">
        <w:t xml:space="preserve"> du monde. Ce sont les seules grandes espèces à survivre sur des vases dépourvues d’oxygène. </w:t>
      </w:r>
      <w:r>
        <w:t xml:space="preserve"> </w:t>
      </w:r>
    </w:p>
    <w:p w14:paraId="0373BBBC" w14:textId="77777777" w:rsidR="00D12507" w:rsidRDefault="00D12507" w:rsidP="00D12507">
      <w:pPr>
        <w:spacing w:after="0" w:line="240" w:lineRule="auto"/>
        <w:jc w:val="both"/>
      </w:pPr>
    </w:p>
    <w:p w14:paraId="57D57F96" w14:textId="364801A4" w:rsidR="00EB69BA" w:rsidRDefault="003256AA" w:rsidP="00D12507">
      <w:pPr>
        <w:spacing w:after="0" w:line="240" w:lineRule="auto"/>
        <w:jc w:val="both"/>
      </w:pPr>
      <w:r>
        <w:t xml:space="preserve">Les palétuviers, il joue un rôle important de nurserie et de fixation des littoraux vaseux ou vaso-sableux. En première ligne lors des tempêtes, il peut en souffrir durement, mais les mangroves qu'il constitue semblent augmenter la résilience des écosystèmes littoraux et leur résistance face à certains aléas géoclimatiques (cyclones, tsunami). </w:t>
      </w:r>
    </w:p>
    <w:p w14:paraId="71458CD0" w14:textId="77777777" w:rsidR="00D12507" w:rsidRPr="00D12507" w:rsidRDefault="00D12507" w:rsidP="00D12507">
      <w:pPr>
        <w:spacing w:after="0" w:line="240" w:lineRule="auto"/>
        <w:jc w:val="both"/>
      </w:pPr>
      <w:r w:rsidRPr="00D12507">
        <w:t xml:space="preserve">Ils y constituent un véritable barrage vert qui devient le support et l'abri d'une faune importante, et </w:t>
      </w:r>
      <w:r w:rsidRPr="00D12507">
        <w:rPr>
          <w:b/>
          <w:bCs/>
        </w:rPr>
        <w:t>qui protège les littoraux instables des assauts de la mer et des tempêtes</w:t>
      </w:r>
      <w:r w:rsidRPr="00D12507">
        <w:t>.</w:t>
      </w:r>
    </w:p>
    <w:p w14:paraId="31453CEF" w14:textId="7CBB3E0A" w:rsidR="00EB69BA" w:rsidRDefault="00D12507" w:rsidP="00D12507">
      <w:pPr>
        <w:spacing w:after="0" w:line="240" w:lineRule="auto"/>
        <w:jc w:val="both"/>
      </w:pPr>
      <w:r w:rsidRPr="00D12507">
        <w:t xml:space="preserve">Ces milieux procurent des </w:t>
      </w:r>
      <w:r w:rsidRPr="00D12507">
        <w:rPr>
          <w:b/>
          <w:bCs/>
        </w:rPr>
        <w:t xml:space="preserve">ressources importantes </w:t>
      </w:r>
      <w:r w:rsidRPr="00D12507">
        <w:t>(forestières et halieutiques) pour les populations vivants sur ces côtes.</w:t>
      </w:r>
      <w:r>
        <w:t xml:space="preserve"> </w:t>
      </w:r>
      <w:r w:rsidR="00EB69BA">
        <w:t xml:space="preserve">La mangrove sert de nurserie aux alevins, crabes, crevettes, mollusques, huitres, etc. </w:t>
      </w:r>
    </w:p>
    <w:p w14:paraId="30EEF578" w14:textId="0CDC2702" w:rsidR="003256AA" w:rsidRDefault="003256AA" w:rsidP="003256AA">
      <w:pPr>
        <w:spacing w:after="0" w:line="240" w:lineRule="auto"/>
        <w:jc w:val="both"/>
      </w:pPr>
      <w:r>
        <w:lastRenderedPageBreak/>
        <w:t>Leurs bois sont souvent utilisés pour le chauffage, comme bois de charpente</w:t>
      </w:r>
      <w:r w:rsidR="00EB69BA">
        <w:t xml:space="preserve">, </w:t>
      </w:r>
      <w:r w:rsidR="00EB69BA" w:rsidRPr="00CB5830">
        <w:t>dans la construction</w:t>
      </w:r>
      <w:r w:rsidR="00EB69BA">
        <w:t xml:space="preserve"> (voir ci-dessous)</w:t>
      </w:r>
      <w:r>
        <w:t>, pour la construction de radeaux, de pilotis et de poteaux devant séjourner dans l'humidité ou dans l'eau. Le bois du palétuvier est souvent très dur, coriace, imputrescible, renfermant beaucoup de tannin. L'écorce riche en tanin, de certains palétuviers, servent à tanner les peaux.</w:t>
      </w:r>
      <w:r w:rsidR="00CB5830">
        <w:t xml:space="preserve"> </w:t>
      </w:r>
      <w:r w:rsidR="00EB69BA">
        <w:t>La mangrove sert de zone de pêche.</w:t>
      </w:r>
      <w:r w:rsidR="00105AF8">
        <w:t xml:space="preserve"> Certaines espèces sont médicinales. </w:t>
      </w:r>
      <w:r>
        <w:t>Le fruit de certains palétuviers, le mangle, est comestible.</w:t>
      </w:r>
      <w:r w:rsidR="00105AF8">
        <w:t xml:space="preserve"> Les feuilles de certaines espèces de fourrage.</w:t>
      </w:r>
    </w:p>
    <w:p w14:paraId="65CD4060" w14:textId="0E2B8436" w:rsidR="00CB5830" w:rsidRDefault="00CB5830" w:rsidP="003256AA">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26"/>
        <w:gridCol w:w="6400"/>
      </w:tblGrid>
      <w:tr w:rsidR="00CB5830" w14:paraId="20DCE435" w14:textId="77777777" w:rsidTr="00CB5830">
        <w:tc>
          <w:tcPr>
            <w:tcW w:w="3539" w:type="dxa"/>
          </w:tcPr>
          <w:p w14:paraId="360632B6" w14:textId="77777777" w:rsidR="00CB5830" w:rsidRDefault="00CB5830" w:rsidP="00CB5830">
            <w:pPr>
              <w:jc w:val="center"/>
            </w:pPr>
            <w:r>
              <w:rPr>
                <w:noProof/>
              </w:rPr>
              <w:drawing>
                <wp:inline distT="0" distB="0" distL="0" distR="0" wp14:anchorId="78F49AE4" wp14:editId="6D1D1318">
                  <wp:extent cx="2409825" cy="1358265"/>
                  <wp:effectExtent l="0" t="0" r="9525" b="0"/>
                  <wp:docPr id="195584" name="Image 195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72">
                            <a:extLst>
                              <a:ext uri="{28A0092B-C50C-407E-A947-70E740481C1C}">
                                <a14:useLocalDpi xmlns:a14="http://schemas.microsoft.com/office/drawing/2010/main" val="0"/>
                              </a:ext>
                            </a:extLst>
                          </a:blip>
                          <a:srcRect/>
                          <a:stretch>
                            <a:fillRect/>
                          </a:stretch>
                        </pic:blipFill>
                        <pic:spPr bwMode="auto">
                          <a:xfrm>
                            <a:off x="0" y="0"/>
                            <a:ext cx="2411312" cy="1359103"/>
                          </a:xfrm>
                          <a:prstGeom prst="rect">
                            <a:avLst/>
                          </a:prstGeom>
                          <a:noFill/>
                          <a:ln>
                            <a:noFill/>
                          </a:ln>
                        </pic:spPr>
                      </pic:pic>
                    </a:graphicData>
                  </a:graphic>
                </wp:inline>
              </w:drawing>
            </w:r>
          </w:p>
          <w:p w14:paraId="7CA59A0B" w14:textId="59C371DC" w:rsidR="00CB5830" w:rsidRDefault="00CB5830" w:rsidP="00CB5830">
            <w:pPr>
              <w:jc w:val="center"/>
            </w:pPr>
            <w:r>
              <w:t xml:space="preserve">© </w:t>
            </w:r>
            <w:r w:rsidRPr="00CB5830">
              <w:t>. Photo: USAID / HAY TAO</w:t>
            </w:r>
          </w:p>
        </w:tc>
        <w:tc>
          <w:tcPr>
            <w:tcW w:w="6877" w:type="dxa"/>
          </w:tcPr>
          <w:p w14:paraId="631E49B7" w14:textId="77777777" w:rsidR="00CB5830" w:rsidRDefault="00CB5830" w:rsidP="00CB5830">
            <w:r>
              <w:t xml:space="preserve">Sources : a) </w:t>
            </w:r>
            <w:hyperlink r:id="rId1073" w:history="1">
              <w:r w:rsidRPr="00AF787D">
                <w:rPr>
                  <w:rStyle w:val="Lienhypertexte"/>
                </w:rPr>
                <w:t>http://www.bio-et-naturel.re/fiches-plantes/P/paletuvier.html</w:t>
              </w:r>
            </w:hyperlink>
            <w:r>
              <w:t xml:space="preserve">  </w:t>
            </w:r>
          </w:p>
          <w:p w14:paraId="1BFED3DD" w14:textId="77777777" w:rsidR="00CB5830" w:rsidRPr="00CB5830" w:rsidRDefault="00CB5830" w:rsidP="00CB5830">
            <w:r w:rsidRPr="00CB5830">
              <w:t xml:space="preserve">b) </w:t>
            </w:r>
            <w:hyperlink r:id="rId1074" w:history="1">
              <w:r w:rsidRPr="00CB5830">
                <w:rPr>
                  <w:rStyle w:val="Lienhypertexte"/>
                </w:rPr>
                <w:t>http://ntbg.org/plants/plant_details.php?plantid=1970</w:t>
              </w:r>
            </w:hyperlink>
            <w:r w:rsidRPr="00CB5830">
              <w:t xml:space="preserve">  </w:t>
            </w:r>
          </w:p>
          <w:p w14:paraId="1A128BB8" w14:textId="77777777" w:rsidR="00CB5830" w:rsidRDefault="00CB5830" w:rsidP="00CB5830">
            <w:r>
              <w:t xml:space="preserve">c) </w:t>
            </w:r>
            <w:hyperlink r:id="rId1075" w:history="1">
              <w:r w:rsidRPr="00AF787D">
                <w:rPr>
                  <w:rStyle w:val="Lienhypertexte"/>
                </w:rPr>
                <w:t>https://fr.wikipedia.org/wiki/Rhizophora_mangle</w:t>
              </w:r>
            </w:hyperlink>
            <w:r>
              <w:t xml:space="preserve">  </w:t>
            </w:r>
          </w:p>
          <w:p w14:paraId="5486E1CB" w14:textId="77777777" w:rsidR="00CB5830" w:rsidRDefault="00CB5830" w:rsidP="00CB5830">
            <w:r>
              <w:t xml:space="preserve">d) </w:t>
            </w:r>
            <w:hyperlink r:id="rId1076" w:history="1">
              <w:r w:rsidRPr="00AF787D">
                <w:rPr>
                  <w:rStyle w:val="Lienhypertexte"/>
                </w:rPr>
                <w:t>http://www.aquaportail.com/fiche-plante-2801-rhizophora-mangle.html</w:t>
              </w:r>
            </w:hyperlink>
          </w:p>
          <w:p w14:paraId="78138B88" w14:textId="77777777" w:rsidR="00CB5830" w:rsidRDefault="00CB5830" w:rsidP="003256AA"/>
        </w:tc>
      </w:tr>
    </w:tbl>
    <w:p w14:paraId="1AF3BFCD" w14:textId="232E9B96" w:rsidR="003256AA" w:rsidRDefault="003256AA" w:rsidP="003256AA">
      <w:pPr>
        <w:spacing w:after="0" w:line="240" w:lineRule="auto"/>
      </w:pPr>
    </w:p>
    <w:p w14:paraId="4E1382BD" w14:textId="5C982396" w:rsidR="000F322C" w:rsidRDefault="003D65D0" w:rsidP="003256AA">
      <w:pPr>
        <w:spacing w:after="0" w:line="240" w:lineRule="auto"/>
      </w:pPr>
      <w:r w:rsidRPr="003D65D0">
        <w:t>Rôles écologiques de la mangrove (suite) :</w:t>
      </w:r>
    </w:p>
    <w:p w14:paraId="539A1991" w14:textId="59D3B4FA" w:rsidR="003D65D0" w:rsidRDefault="003D65D0" w:rsidP="003256AA">
      <w:pPr>
        <w:spacing w:after="0" w:line="240" w:lineRule="auto"/>
      </w:pPr>
    </w:p>
    <w:p w14:paraId="0B535354" w14:textId="6838B9F4" w:rsidR="003D65D0" w:rsidRPr="003D65D0" w:rsidRDefault="003D65D0" w:rsidP="0022016D">
      <w:pPr>
        <w:pStyle w:val="Paragraphedeliste"/>
        <w:numPr>
          <w:ilvl w:val="0"/>
          <w:numId w:val="19"/>
        </w:numPr>
        <w:spacing w:after="0" w:line="240" w:lineRule="auto"/>
      </w:pPr>
      <w:r w:rsidRPr="003D65D0">
        <w:t>Stabiliser les sédiments</w:t>
      </w:r>
    </w:p>
    <w:p w14:paraId="16B07FFB" w14:textId="77777777" w:rsidR="003D65D0" w:rsidRPr="003D65D0" w:rsidRDefault="003D65D0" w:rsidP="0022016D">
      <w:pPr>
        <w:pStyle w:val="Paragraphedeliste"/>
        <w:numPr>
          <w:ilvl w:val="0"/>
          <w:numId w:val="19"/>
        </w:numPr>
        <w:spacing w:after="0" w:line="240" w:lineRule="auto"/>
      </w:pPr>
      <w:r w:rsidRPr="003D65D0">
        <w:t>Accumuler la matière étrangère détritique ou autre</w:t>
      </w:r>
    </w:p>
    <w:p w14:paraId="0C2A7815" w14:textId="77777777" w:rsidR="003D65D0" w:rsidRPr="003D65D0" w:rsidRDefault="003D65D0" w:rsidP="0022016D">
      <w:pPr>
        <w:pStyle w:val="Paragraphedeliste"/>
        <w:numPr>
          <w:ilvl w:val="0"/>
          <w:numId w:val="19"/>
        </w:numPr>
        <w:spacing w:after="0" w:line="240" w:lineRule="auto"/>
      </w:pPr>
      <w:r w:rsidRPr="003D65D0">
        <w:t>Servir d’habitat pour des épiphytes</w:t>
      </w:r>
    </w:p>
    <w:p w14:paraId="544D846F" w14:textId="77777777" w:rsidR="003D65D0" w:rsidRPr="003D65D0" w:rsidRDefault="003D65D0" w:rsidP="0022016D">
      <w:pPr>
        <w:pStyle w:val="Paragraphedeliste"/>
        <w:numPr>
          <w:ilvl w:val="0"/>
          <w:numId w:val="19"/>
        </w:numPr>
        <w:spacing w:after="0" w:line="240" w:lineRule="auto"/>
      </w:pPr>
      <w:r w:rsidRPr="003D65D0">
        <w:t>Servir de nurserie pour les poissons et les invertébrés</w:t>
      </w:r>
    </w:p>
    <w:p w14:paraId="3CDE891D" w14:textId="6342A9E5" w:rsidR="003D65D0" w:rsidRPr="003D65D0" w:rsidRDefault="003D65D0" w:rsidP="0022016D">
      <w:pPr>
        <w:pStyle w:val="Paragraphedeliste"/>
        <w:numPr>
          <w:ilvl w:val="0"/>
          <w:numId w:val="19"/>
        </w:numPr>
        <w:spacing w:after="0" w:line="240" w:lineRule="auto"/>
      </w:pPr>
      <w:r w:rsidRPr="003D65D0">
        <w:t>Servir de perchoirs et de sites de nidification pour les oiseaux</w:t>
      </w:r>
    </w:p>
    <w:p w14:paraId="403F01DD" w14:textId="77777777" w:rsidR="003D65D0" w:rsidRPr="003D65D0" w:rsidRDefault="003D65D0" w:rsidP="0022016D">
      <w:pPr>
        <w:pStyle w:val="Paragraphedeliste"/>
        <w:numPr>
          <w:ilvl w:val="0"/>
          <w:numId w:val="19"/>
        </w:numPr>
        <w:spacing w:after="0" w:line="240" w:lineRule="auto"/>
      </w:pPr>
      <w:r w:rsidRPr="003D65D0">
        <w:t>A un rôle limité en tant que source alimentaire directe.</w:t>
      </w:r>
    </w:p>
    <w:p w14:paraId="4C375D71" w14:textId="77777777" w:rsidR="003D65D0" w:rsidRPr="003D65D0" w:rsidRDefault="003D65D0" w:rsidP="0022016D">
      <w:pPr>
        <w:pStyle w:val="Paragraphedeliste"/>
        <w:numPr>
          <w:ilvl w:val="0"/>
          <w:numId w:val="19"/>
        </w:numPr>
        <w:spacing w:after="0" w:line="240" w:lineRule="auto"/>
      </w:pPr>
      <w:r w:rsidRPr="003D65D0">
        <w:t>Contributeur majeur à la chaîne alimentaire détritique.</w:t>
      </w:r>
    </w:p>
    <w:p w14:paraId="29D2CAD7" w14:textId="6B39BFF3" w:rsidR="003D65D0" w:rsidRDefault="003D65D0" w:rsidP="003256AA">
      <w:pPr>
        <w:spacing w:after="0" w:line="240" w:lineRule="auto"/>
      </w:pPr>
    </w:p>
    <w:p w14:paraId="2185CB9C" w14:textId="01BDEB87" w:rsidR="003D65D0" w:rsidRDefault="003D65D0" w:rsidP="003256AA">
      <w:pPr>
        <w:spacing w:after="0" w:line="240" w:lineRule="auto"/>
      </w:pPr>
      <w:r w:rsidRPr="003D65D0">
        <w:t xml:space="preserve">Les mangroves favorisent la </w:t>
      </w:r>
      <w:r w:rsidRPr="003D65D0">
        <w:rPr>
          <w:b/>
          <w:bCs/>
        </w:rPr>
        <w:t>sédimentation</w:t>
      </w:r>
      <w:r w:rsidRPr="003D65D0">
        <w:t xml:space="preserve"> : 0.5-20 mm/an. Le sol s'exhausse, donc le rivage avance et la mangrove se déplace vers le large</w:t>
      </w:r>
      <w:r>
        <w:t xml:space="preserve"> (voir ci-dessous). </w:t>
      </w:r>
    </w:p>
    <w:p w14:paraId="5B067E78" w14:textId="51DB1AFE" w:rsidR="000F322C" w:rsidRDefault="000F322C" w:rsidP="003256AA">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66"/>
        <w:gridCol w:w="3460"/>
      </w:tblGrid>
      <w:tr w:rsidR="003D65D0" w14:paraId="6D588E8F" w14:textId="77777777" w:rsidTr="00CF6014">
        <w:tc>
          <w:tcPr>
            <w:tcW w:w="5208" w:type="dxa"/>
          </w:tcPr>
          <w:p w14:paraId="6A19DBD5" w14:textId="716BF6E1" w:rsidR="003D65D0" w:rsidRDefault="003D65D0" w:rsidP="003D65D0">
            <w:pPr>
              <w:jc w:val="center"/>
            </w:pPr>
            <w:r w:rsidRPr="003D65D0">
              <w:rPr>
                <w:noProof/>
              </w:rPr>
              <w:drawing>
                <wp:inline distT="0" distB="0" distL="0" distR="0" wp14:anchorId="55EAFC3D" wp14:editId="32DB9C95">
                  <wp:extent cx="2781300" cy="1333500"/>
                  <wp:effectExtent l="0" t="0" r="0" b="0"/>
                  <wp:docPr id="8090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3" name="Image 3"/>
                          <pic:cNvPicPr>
                            <a:picLocks noChangeAspect="1"/>
                          </pic:cNvPicPr>
                        </pic:nvPicPr>
                        <pic:blipFill>
                          <a:blip r:embed="rId1077">
                            <a:extLst>
                              <a:ext uri="{28A0092B-C50C-407E-A947-70E740481C1C}">
                                <a14:useLocalDpi xmlns:a14="http://schemas.microsoft.com/office/drawing/2010/main" val="0"/>
                              </a:ext>
                            </a:extLst>
                          </a:blip>
                          <a:srcRect/>
                          <a:stretch>
                            <a:fillRect/>
                          </a:stretch>
                        </pic:blipFill>
                        <pic:spPr bwMode="auto">
                          <a:xfrm>
                            <a:off x="0" y="0"/>
                            <a:ext cx="2781300" cy="1333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208" w:type="dxa"/>
          </w:tcPr>
          <w:p w14:paraId="3DA85C9F" w14:textId="77777777" w:rsidR="003D65D0" w:rsidRDefault="003D65D0" w:rsidP="003D65D0">
            <w:pPr>
              <w:jc w:val="center"/>
            </w:pPr>
            <w:r w:rsidRPr="003D65D0">
              <w:rPr>
                <w:noProof/>
              </w:rPr>
              <w:drawing>
                <wp:inline distT="0" distB="0" distL="0" distR="0" wp14:anchorId="13970DE6" wp14:editId="7215A2DD">
                  <wp:extent cx="2005877" cy="1333500"/>
                  <wp:effectExtent l="0" t="0" r="0" b="0"/>
                  <wp:docPr id="1434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8" name="Image 8"/>
                          <pic:cNvPicPr>
                            <a:picLocks noChangeAspect="1"/>
                          </pic:cNvPicPr>
                        </pic:nvPicPr>
                        <pic:blipFill>
                          <a:blip r:embed="rId1078">
                            <a:extLst>
                              <a:ext uri="{28A0092B-C50C-407E-A947-70E740481C1C}">
                                <a14:useLocalDpi xmlns:a14="http://schemas.microsoft.com/office/drawing/2010/main" val="0"/>
                              </a:ext>
                            </a:extLst>
                          </a:blip>
                          <a:srcRect/>
                          <a:stretch>
                            <a:fillRect/>
                          </a:stretch>
                        </pic:blipFill>
                        <pic:spPr bwMode="auto">
                          <a:xfrm>
                            <a:off x="0" y="0"/>
                            <a:ext cx="2010738" cy="1336732"/>
                          </a:xfrm>
                          <a:prstGeom prst="rect">
                            <a:avLst/>
                          </a:prstGeom>
                          <a:noFill/>
                          <a:ln>
                            <a:noFill/>
                          </a:ln>
                        </pic:spPr>
                      </pic:pic>
                    </a:graphicData>
                  </a:graphic>
                </wp:inline>
              </w:drawing>
            </w:r>
          </w:p>
          <w:p w14:paraId="7D136D64" w14:textId="78FC60F6" w:rsidR="003D65D0" w:rsidRDefault="003D65D0" w:rsidP="003D65D0">
            <w:pPr>
              <w:jc w:val="center"/>
            </w:pPr>
            <w:r>
              <w:t>L</w:t>
            </w:r>
            <w:r w:rsidRPr="003D65D0">
              <w:t>a litière dans une mangrove</w:t>
            </w:r>
          </w:p>
        </w:tc>
      </w:tr>
      <w:tr w:rsidR="003D65D0" w14:paraId="76A8F81F" w14:textId="77777777" w:rsidTr="00CF6014">
        <w:tc>
          <w:tcPr>
            <w:tcW w:w="5208" w:type="dxa"/>
          </w:tcPr>
          <w:p w14:paraId="79620041" w14:textId="6CED4C6D" w:rsidR="003D65D0" w:rsidRDefault="003D65D0" w:rsidP="003D65D0">
            <w:pPr>
              <w:jc w:val="center"/>
            </w:pPr>
            <w:r w:rsidRPr="003D65D0">
              <w:rPr>
                <w:noProof/>
              </w:rPr>
              <w:drawing>
                <wp:inline distT="0" distB="0" distL="0" distR="0" wp14:anchorId="6699EECD" wp14:editId="3A6B1C65">
                  <wp:extent cx="3314700" cy="904875"/>
                  <wp:effectExtent l="0" t="0" r="0" b="9525"/>
                  <wp:docPr id="8090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4" name="Image 4"/>
                          <pic:cNvPicPr>
                            <a:picLocks noChangeAspect="1"/>
                          </pic:cNvPicPr>
                        </pic:nvPicPr>
                        <pic:blipFill>
                          <a:blip r:embed="rId1079">
                            <a:extLst>
                              <a:ext uri="{28A0092B-C50C-407E-A947-70E740481C1C}">
                                <a14:useLocalDpi xmlns:a14="http://schemas.microsoft.com/office/drawing/2010/main" val="0"/>
                              </a:ext>
                            </a:extLst>
                          </a:blip>
                          <a:srcRect/>
                          <a:stretch>
                            <a:fillRect/>
                          </a:stretch>
                        </pic:blipFill>
                        <pic:spPr bwMode="auto">
                          <a:xfrm>
                            <a:off x="0" y="0"/>
                            <a:ext cx="3314700" cy="904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208" w:type="dxa"/>
          </w:tcPr>
          <w:p w14:paraId="3FB0A4A4" w14:textId="77777777" w:rsidR="003D65D0" w:rsidRDefault="003D65D0" w:rsidP="003D65D0">
            <w:pPr>
              <w:jc w:val="center"/>
            </w:pPr>
          </w:p>
        </w:tc>
      </w:tr>
      <w:tr w:rsidR="003D65D0" w14:paraId="46D5C14A" w14:textId="77777777" w:rsidTr="00CF6014">
        <w:tc>
          <w:tcPr>
            <w:tcW w:w="5208" w:type="dxa"/>
          </w:tcPr>
          <w:p w14:paraId="4B43C794" w14:textId="0E45BDEE" w:rsidR="003D65D0" w:rsidRDefault="003D65D0" w:rsidP="003D65D0">
            <w:pPr>
              <w:jc w:val="center"/>
            </w:pPr>
            <w:r w:rsidRPr="003D65D0">
              <w:rPr>
                <w:noProof/>
              </w:rPr>
              <w:drawing>
                <wp:inline distT="0" distB="0" distL="0" distR="0" wp14:anchorId="249417CC" wp14:editId="6061B9C2">
                  <wp:extent cx="4276725" cy="895350"/>
                  <wp:effectExtent l="0" t="0" r="9525" b="0"/>
                  <wp:docPr id="80909"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5" name="Image 5"/>
                          <pic:cNvPicPr>
                            <a:picLocks noChangeAspect="1"/>
                          </pic:cNvPicPr>
                        </pic:nvPicPr>
                        <pic:blipFill>
                          <a:blip r:embed="rId1080">
                            <a:extLst>
                              <a:ext uri="{28A0092B-C50C-407E-A947-70E740481C1C}">
                                <a14:useLocalDpi xmlns:a14="http://schemas.microsoft.com/office/drawing/2010/main" val="0"/>
                              </a:ext>
                            </a:extLst>
                          </a:blip>
                          <a:srcRect/>
                          <a:stretch>
                            <a:fillRect/>
                          </a:stretch>
                        </pic:blipFill>
                        <pic:spPr bwMode="auto">
                          <a:xfrm>
                            <a:off x="0" y="0"/>
                            <a:ext cx="4276725" cy="895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208" w:type="dxa"/>
          </w:tcPr>
          <w:p w14:paraId="024C5E99" w14:textId="77777777" w:rsidR="003D65D0" w:rsidRDefault="003D65D0" w:rsidP="003D65D0">
            <w:pPr>
              <w:jc w:val="center"/>
            </w:pPr>
          </w:p>
        </w:tc>
      </w:tr>
    </w:tbl>
    <w:p w14:paraId="5DA76999" w14:textId="75057F58" w:rsidR="003D65D0" w:rsidRDefault="003D65D0" w:rsidP="00E27198">
      <w:pPr>
        <w:spacing w:after="0" w:line="240" w:lineRule="auto"/>
      </w:pPr>
    </w:p>
    <w:p w14:paraId="6EF34395" w14:textId="30BA3A0D" w:rsidR="00CF6014" w:rsidRDefault="00CF6014" w:rsidP="00CF6014">
      <w:pPr>
        <w:pStyle w:val="Titre2"/>
      </w:pPr>
      <w:bookmarkStart w:id="115" w:name="_Toc139181406"/>
      <w:r>
        <w:lastRenderedPageBreak/>
        <w:t>Zonations</w:t>
      </w:r>
      <w:bookmarkEnd w:id="115"/>
    </w:p>
    <w:p w14:paraId="67E92D1B" w14:textId="24B989C6" w:rsidR="00CF6014" w:rsidRDefault="00CF6014" w:rsidP="00E27198">
      <w:pPr>
        <w:spacing w:after="0" w:line="240" w:lineRule="auto"/>
      </w:pPr>
    </w:p>
    <w:p w14:paraId="4D9CD6B9" w14:textId="77777777" w:rsidR="00CF6014" w:rsidRDefault="00CF6014" w:rsidP="00CF6014">
      <w:pPr>
        <w:spacing w:after="0" w:line="240" w:lineRule="auto"/>
        <w:jc w:val="center"/>
      </w:pPr>
      <w:r w:rsidRPr="001A590D">
        <w:rPr>
          <w:noProof/>
        </w:rPr>
        <w:drawing>
          <wp:inline distT="0" distB="0" distL="0" distR="0" wp14:anchorId="6588EAF5" wp14:editId="50AAA02E">
            <wp:extent cx="5448300" cy="1971675"/>
            <wp:effectExtent l="0" t="0" r="0" b="9525"/>
            <wp:docPr id="195595" name="Image 10" descr="sequences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95" name="Image 10" descr="sequences_s.jpg"/>
                    <pic:cNvPicPr>
                      <a:picLocks noChangeAspect="1"/>
                    </pic:cNvPicPr>
                  </pic:nvPicPr>
                  <pic:blipFill>
                    <a:blip r:embed="rId1081">
                      <a:extLst>
                        <a:ext uri="{28A0092B-C50C-407E-A947-70E740481C1C}">
                          <a14:useLocalDpi xmlns:a14="http://schemas.microsoft.com/office/drawing/2010/main" val="0"/>
                        </a:ext>
                      </a:extLst>
                    </a:blip>
                    <a:srcRect/>
                    <a:stretch>
                      <a:fillRect/>
                    </a:stretch>
                  </pic:blipFill>
                  <pic:spPr bwMode="auto">
                    <a:xfrm>
                      <a:off x="0" y="0"/>
                      <a:ext cx="5448300" cy="1971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CE739AF" w14:textId="07068DB4" w:rsidR="00CF6014" w:rsidRDefault="00CF6014" w:rsidP="00EF1A93">
      <w:pPr>
        <w:spacing w:after="0" w:line="240" w:lineRule="auto"/>
        <w:jc w:val="both"/>
      </w:pPr>
      <w:r w:rsidRPr="001A590D">
        <w:t xml:space="preserve">Séquence de Tsinjoriaka (sud de Morombe, Madagascar). a : </w:t>
      </w:r>
      <w:r w:rsidRPr="001A590D">
        <w:rPr>
          <w:i/>
          <w:iCs/>
        </w:rPr>
        <w:t>Avicennia marina</w:t>
      </w:r>
      <w:r w:rsidRPr="001A590D">
        <w:t xml:space="preserve">, c : </w:t>
      </w:r>
      <w:r w:rsidRPr="001A590D">
        <w:rPr>
          <w:i/>
          <w:iCs/>
        </w:rPr>
        <w:t>Ceriops tagal</w:t>
      </w:r>
      <w:r w:rsidRPr="001A590D">
        <w:t xml:space="preserve">, l : </w:t>
      </w:r>
      <w:r w:rsidRPr="001A590D">
        <w:rPr>
          <w:i/>
          <w:iCs/>
        </w:rPr>
        <w:t>Lumnitzera acemosa</w:t>
      </w:r>
      <w:r w:rsidRPr="001A590D">
        <w:t xml:space="preserve">, r : </w:t>
      </w:r>
      <w:r w:rsidRPr="001A590D">
        <w:rPr>
          <w:i/>
          <w:iCs/>
        </w:rPr>
        <w:t>Rhizophora mucronata</w:t>
      </w:r>
      <w:r w:rsidRPr="001A590D">
        <w:t xml:space="preserve">, s : </w:t>
      </w:r>
      <w:r w:rsidRPr="001A590D">
        <w:rPr>
          <w:i/>
          <w:iCs/>
        </w:rPr>
        <w:t>Sonneratia alba</w:t>
      </w:r>
      <w:r w:rsidRPr="001A590D">
        <w:t xml:space="preserve">, t : </w:t>
      </w:r>
      <w:r w:rsidRPr="001A590D">
        <w:rPr>
          <w:i/>
          <w:iCs/>
        </w:rPr>
        <w:t>Typha augustifolia</w:t>
      </w:r>
      <w:r w:rsidRPr="001A590D">
        <w:t xml:space="preserve">, h : </w:t>
      </w:r>
      <w:r w:rsidRPr="001A590D">
        <w:rPr>
          <w:i/>
          <w:iCs/>
        </w:rPr>
        <w:t>Hibiscus tiliaceus</w:t>
      </w:r>
      <w:r>
        <w:t xml:space="preserve"> (voir page, ci-avant)</w:t>
      </w:r>
      <w:r>
        <w:rPr>
          <w:rStyle w:val="Appelnotedebasdep"/>
        </w:rPr>
        <w:footnoteReference w:id="87"/>
      </w:r>
      <w:r>
        <w:t xml:space="preserve">. </w:t>
      </w:r>
    </w:p>
    <w:p w14:paraId="2176F621" w14:textId="77777777" w:rsidR="00EF1A93" w:rsidRDefault="00EF1A93" w:rsidP="00EF1A93">
      <w:pPr>
        <w:spacing w:after="0" w:line="240" w:lineRule="auto"/>
        <w:jc w:val="both"/>
      </w:pPr>
    </w:p>
    <w:p w14:paraId="50B474C4" w14:textId="65D32AB7" w:rsidR="00CF6014" w:rsidRDefault="00413073" w:rsidP="00413073">
      <w:pPr>
        <w:spacing w:after="0" w:line="240" w:lineRule="auto"/>
        <w:jc w:val="center"/>
      </w:pPr>
      <w:r w:rsidRPr="00413073">
        <w:rPr>
          <w:noProof/>
        </w:rPr>
        <w:drawing>
          <wp:inline distT="0" distB="0" distL="0" distR="0" wp14:anchorId="5287156B" wp14:editId="234D7BD9">
            <wp:extent cx="6248400" cy="3354387"/>
            <wp:effectExtent l="0" t="0" r="0" b="0"/>
            <wp:docPr id="37893"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93" name="Image 5"/>
                    <pic:cNvPicPr>
                      <a:picLocks noChangeAspect="1"/>
                    </pic:cNvPicPr>
                  </pic:nvPicPr>
                  <pic:blipFill>
                    <a:blip r:embed="rId1082">
                      <a:extLst>
                        <a:ext uri="{28A0092B-C50C-407E-A947-70E740481C1C}">
                          <a14:useLocalDpi xmlns:a14="http://schemas.microsoft.com/office/drawing/2010/main" val="0"/>
                        </a:ext>
                      </a:extLst>
                    </a:blip>
                    <a:srcRect/>
                    <a:stretch>
                      <a:fillRect/>
                    </a:stretch>
                  </pic:blipFill>
                  <pic:spPr bwMode="auto">
                    <a:xfrm>
                      <a:off x="0" y="0"/>
                      <a:ext cx="6248400" cy="33543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11A8AB7" w14:textId="183941CF" w:rsidR="00413073" w:rsidRDefault="00413073" w:rsidP="00413073">
      <w:pPr>
        <w:spacing w:after="0" w:line="240" w:lineRule="auto"/>
        <w:jc w:val="center"/>
      </w:pPr>
      <w:r w:rsidRPr="00413073">
        <w:rPr>
          <w:noProof/>
        </w:rPr>
        <w:lastRenderedPageBreak/>
        <w:drawing>
          <wp:inline distT="0" distB="0" distL="0" distR="0" wp14:anchorId="15BFF644" wp14:editId="0057404F">
            <wp:extent cx="5457825" cy="2381250"/>
            <wp:effectExtent l="0" t="0" r="9525" b="0"/>
            <wp:docPr id="94235"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pic:cNvPicPr>
                      <a:picLocks noChangeAspect="1"/>
                    </pic:cNvPicPr>
                  </pic:nvPicPr>
                  <pic:blipFill>
                    <a:blip r:embed="rId1083">
                      <a:extLst>
                        <a:ext uri="{28A0092B-C50C-407E-A947-70E740481C1C}">
                          <a14:useLocalDpi xmlns:a14="http://schemas.microsoft.com/office/drawing/2010/main" val="0"/>
                        </a:ext>
                      </a:extLst>
                    </a:blip>
                    <a:stretch>
                      <a:fillRect/>
                    </a:stretch>
                  </pic:blipFill>
                  <pic:spPr>
                    <a:xfrm>
                      <a:off x="0" y="0"/>
                      <a:ext cx="5457825" cy="2381250"/>
                    </a:xfrm>
                    <a:prstGeom prst="rect">
                      <a:avLst/>
                    </a:prstGeom>
                  </pic:spPr>
                </pic:pic>
              </a:graphicData>
            </a:graphic>
          </wp:inline>
        </w:drawing>
      </w:r>
    </w:p>
    <w:p w14:paraId="5AC79BFE" w14:textId="64A37A1C" w:rsidR="00413073" w:rsidRDefault="00413073" w:rsidP="00413073">
      <w:pPr>
        <w:spacing w:after="0" w:line="240" w:lineRule="auto"/>
        <w:jc w:val="center"/>
      </w:pPr>
      <w:r w:rsidRPr="00413073">
        <w:t>Coupe d'une section typique de mangroves divisée en zone inférieure, méso et supérieure.</w:t>
      </w:r>
    </w:p>
    <w:p w14:paraId="6E9083C6" w14:textId="391C2995" w:rsidR="00EE6034" w:rsidRDefault="00EE6034" w:rsidP="00413073">
      <w:pPr>
        <w:spacing w:after="0" w:line="240" w:lineRule="auto"/>
        <w:jc w:val="center"/>
      </w:pPr>
    </w:p>
    <w:p w14:paraId="08740D47" w14:textId="5FA41310" w:rsidR="00EE6034" w:rsidRDefault="00EE6034" w:rsidP="00413073">
      <w:pPr>
        <w:spacing w:after="0" w:line="240" w:lineRule="auto"/>
        <w:jc w:val="center"/>
      </w:pPr>
      <w:r w:rsidRPr="00EE6034">
        <w:rPr>
          <w:noProof/>
        </w:rPr>
        <w:drawing>
          <wp:inline distT="0" distB="0" distL="0" distR="0" wp14:anchorId="3F443699" wp14:editId="36EF577C">
            <wp:extent cx="3549650" cy="1909763"/>
            <wp:effectExtent l="0" t="0" r="0" b="0"/>
            <wp:docPr id="94236"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28" name="Image 12"/>
                    <pic:cNvPicPr>
                      <a:picLocks noChangeAspect="1"/>
                    </pic:cNvPicPr>
                  </pic:nvPicPr>
                  <pic:blipFill>
                    <a:blip r:embed="rId1084">
                      <a:extLst>
                        <a:ext uri="{28A0092B-C50C-407E-A947-70E740481C1C}">
                          <a14:useLocalDpi xmlns:a14="http://schemas.microsoft.com/office/drawing/2010/main" val="0"/>
                        </a:ext>
                      </a:extLst>
                    </a:blip>
                    <a:srcRect/>
                    <a:stretch>
                      <a:fillRect/>
                    </a:stretch>
                  </pic:blipFill>
                  <pic:spPr bwMode="auto">
                    <a:xfrm>
                      <a:off x="0" y="0"/>
                      <a:ext cx="3549650" cy="19097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347C2F92" w14:textId="4138B85F" w:rsidR="00EE6034" w:rsidRPr="00413073" w:rsidRDefault="00EE6034" w:rsidP="00EE6034">
      <w:pPr>
        <w:spacing w:after="0" w:line="240" w:lineRule="auto"/>
        <w:jc w:val="center"/>
      </w:pPr>
      <w:r w:rsidRPr="00EE6034">
        <w:t>Les zonations végétales dans les mangroves de la partie centrale du littoral oriental de l'Afrique (d'après Chapman V.J. 1976 p. 103)</w:t>
      </w:r>
      <w:r>
        <w:t>.</w:t>
      </w:r>
    </w:p>
    <w:p w14:paraId="679E70F2" w14:textId="7946BC2F" w:rsidR="00413073" w:rsidRDefault="00413073" w:rsidP="00413073">
      <w:pPr>
        <w:spacing w:after="0" w:line="240" w:lineRule="auto"/>
        <w:jc w:val="center"/>
      </w:pPr>
    </w:p>
    <w:p w14:paraId="29AE4A2A" w14:textId="524D95CD" w:rsidR="00EE6034" w:rsidRDefault="00EE6034" w:rsidP="00413073">
      <w:pPr>
        <w:spacing w:after="0" w:line="240" w:lineRule="auto"/>
        <w:jc w:val="center"/>
      </w:pPr>
      <w:r w:rsidRPr="00EE6034">
        <w:rPr>
          <w:noProof/>
        </w:rPr>
        <w:drawing>
          <wp:inline distT="0" distB="0" distL="0" distR="0" wp14:anchorId="2D76E33A" wp14:editId="5AB4D8A6">
            <wp:extent cx="4991100" cy="3181445"/>
            <wp:effectExtent l="0" t="0" r="0" b="0"/>
            <wp:docPr id="37894"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94" name="Image 7"/>
                    <pic:cNvPicPr>
                      <a:picLocks noChangeAspect="1"/>
                    </pic:cNvPicPr>
                  </pic:nvPicPr>
                  <pic:blipFill>
                    <a:blip r:embed="rId1085">
                      <a:extLst>
                        <a:ext uri="{28A0092B-C50C-407E-A947-70E740481C1C}">
                          <a14:useLocalDpi xmlns:a14="http://schemas.microsoft.com/office/drawing/2010/main" val="0"/>
                        </a:ext>
                      </a:extLst>
                    </a:blip>
                    <a:srcRect/>
                    <a:stretch>
                      <a:fillRect/>
                    </a:stretch>
                  </pic:blipFill>
                  <pic:spPr bwMode="auto">
                    <a:xfrm>
                      <a:off x="0" y="0"/>
                      <a:ext cx="5000256" cy="3187281"/>
                    </a:xfrm>
                    <a:prstGeom prst="rect">
                      <a:avLst/>
                    </a:prstGeom>
                    <a:noFill/>
                    <a:ln>
                      <a:noFill/>
                    </a:ln>
                  </pic:spPr>
                </pic:pic>
              </a:graphicData>
            </a:graphic>
          </wp:inline>
        </w:drawing>
      </w:r>
    </w:p>
    <w:p w14:paraId="59708F75" w14:textId="6495DF46" w:rsidR="00EE6034" w:rsidRPr="00EE6034" w:rsidRDefault="00EE6034" w:rsidP="00EE6034">
      <w:pPr>
        <w:spacing w:after="0" w:line="240" w:lineRule="auto"/>
        <w:jc w:val="both"/>
      </w:pPr>
      <w:r w:rsidRPr="00EE6034">
        <w:t xml:space="preserve">Exemples de </w:t>
      </w:r>
      <w:r>
        <w:t xml:space="preserve">la </w:t>
      </w:r>
      <w:r w:rsidRPr="00EE6034">
        <w:t xml:space="preserve">Nouvelle-Calédonie. A. Séquence montrant un sur-salement progressif et aboutissant à un tanne et à une frange interne à </w:t>
      </w:r>
      <w:r w:rsidRPr="00EE6034">
        <w:rPr>
          <w:i/>
          <w:iCs/>
        </w:rPr>
        <w:t xml:space="preserve">Lumnitzera </w:t>
      </w:r>
      <w:r w:rsidRPr="00EE6034">
        <w:t xml:space="preserve">en bordure de terre ferme. B. Séquence montrant un dessalement progressif et </w:t>
      </w:r>
      <w:r w:rsidRPr="00EE6034">
        <w:lastRenderedPageBreak/>
        <w:t xml:space="preserve">aboutissant à une prairie à </w:t>
      </w:r>
      <w:r w:rsidRPr="00EE6034">
        <w:rPr>
          <w:i/>
          <w:iCs/>
        </w:rPr>
        <w:t>Acrostichum aureum</w:t>
      </w:r>
      <w:r w:rsidRPr="00EE6034">
        <w:t>. Lebigre, J.-M. 2004. Les marais à mangrove de Nouvelle-Calédonie, un exemple de milieu « naturel » lagonaire. Nouméa, Centre de Documentation Pédagogique, Scérén, Sce 44, 48 p</w:t>
      </w:r>
      <w:r>
        <w:t>.</w:t>
      </w:r>
    </w:p>
    <w:p w14:paraId="22B51B73" w14:textId="77777777" w:rsidR="00CF6014" w:rsidRDefault="00CF6014" w:rsidP="00E27198">
      <w:pPr>
        <w:spacing w:after="0" w:line="240" w:lineRule="auto"/>
      </w:pPr>
    </w:p>
    <w:p w14:paraId="65C3FD16" w14:textId="20A76350" w:rsidR="00E27198" w:rsidRDefault="00E27198" w:rsidP="00E27198">
      <w:pPr>
        <w:pStyle w:val="Titre2"/>
      </w:pPr>
      <w:bookmarkStart w:id="116" w:name="_Toc139181407"/>
      <w:r w:rsidRPr="00E27198">
        <w:t>Usages de la mangrove pour l’homme et la nature</w:t>
      </w:r>
      <w:bookmarkEnd w:id="116"/>
    </w:p>
    <w:p w14:paraId="5099AD28" w14:textId="3294C11B" w:rsidR="00E27198" w:rsidRDefault="00E27198" w:rsidP="00E27198">
      <w:pPr>
        <w:spacing w:after="0" w:line="240" w:lineRule="auto"/>
      </w:pPr>
    </w:p>
    <w:p w14:paraId="40056086" w14:textId="58F0254F" w:rsidR="00E27198" w:rsidRPr="00E27198" w:rsidRDefault="00E27198" w:rsidP="0022016D">
      <w:pPr>
        <w:pStyle w:val="Paragraphedeliste"/>
        <w:numPr>
          <w:ilvl w:val="0"/>
          <w:numId w:val="20"/>
        </w:numPr>
        <w:spacing w:after="0" w:line="240" w:lineRule="auto"/>
      </w:pPr>
      <w:r w:rsidRPr="00E27198">
        <w:t>Pisciculture de poissons et de crevettes,</w:t>
      </w:r>
    </w:p>
    <w:p w14:paraId="2954CFF2" w14:textId="598D42FE" w:rsidR="00E27198" w:rsidRPr="00E27198" w:rsidRDefault="00E27198" w:rsidP="0022016D">
      <w:pPr>
        <w:pStyle w:val="Paragraphedeliste"/>
        <w:numPr>
          <w:ilvl w:val="0"/>
          <w:numId w:val="20"/>
        </w:numPr>
        <w:spacing w:after="0" w:line="240" w:lineRule="auto"/>
      </w:pPr>
      <w:r w:rsidRPr="00E27198">
        <w:t>Tampons naturels contre les ouragans (éviter que les rizières soient envahies par l’eau salée),</w:t>
      </w:r>
    </w:p>
    <w:p w14:paraId="35BA3388" w14:textId="67756A16" w:rsidR="00E27198" w:rsidRPr="00E27198" w:rsidRDefault="00E27198" w:rsidP="0022016D">
      <w:pPr>
        <w:pStyle w:val="Paragraphedeliste"/>
        <w:numPr>
          <w:ilvl w:val="0"/>
          <w:numId w:val="20"/>
        </w:numPr>
        <w:spacing w:after="0" w:line="240" w:lineRule="auto"/>
      </w:pPr>
      <w:r w:rsidRPr="00E27198">
        <w:t>Principale source détritique,</w:t>
      </w:r>
    </w:p>
    <w:p w14:paraId="4357C039" w14:textId="59FC99E1" w:rsidR="00E27198" w:rsidRPr="00E27198" w:rsidRDefault="00E27198" w:rsidP="0022016D">
      <w:pPr>
        <w:pStyle w:val="Paragraphedeliste"/>
        <w:numPr>
          <w:ilvl w:val="0"/>
          <w:numId w:val="20"/>
        </w:numPr>
        <w:spacing w:after="0" w:line="240" w:lineRule="auto"/>
      </w:pPr>
      <w:r w:rsidRPr="00E27198">
        <w:t>Nurserie pour de nombreux animaux différents (poissons, crabes, crevettes …),</w:t>
      </w:r>
    </w:p>
    <w:p w14:paraId="1876200E" w14:textId="3388C326" w:rsidR="00E27198" w:rsidRPr="00E27198" w:rsidRDefault="00E27198" w:rsidP="0022016D">
      <w:pPr>
        <w:pStyle w:val="Paragraphedeliste"/>
        <w:numPr>
          <w:ilvl w:val="0"/>
          <w:numId w:val="20"/>
        </w:numPr>
        <w:spacing w:after="0" w:line="240" w:lineRule="auto"/>
      </w:pPr>
      <w:r w:rsidRPr="00E27198">
        <w:t>Nourriture pour : les personnes, les crabes, les champignons, les bactéries, autres animaux,</w:t>
      </w:r>
    </w:p>
    <w:p w14:paraId="06B8684B" w14:textId="77777777" w:rsidR="00E27198" w:rsidRPr="00E27198" w:rsidRDefault="00E27198" w:rsidP="0022016D">
      <w:pPr>
        <w:pStyle w:val="Paragraphedeliste"/>
        <w:numPr>
          <w:ilvl w:val="0"/>
          <w:numId w:val="20"/>
        </w:numPr>
        <w:spacing w:after="0" w:line="240" w:lineRule="auto"/>
      </w:pPr>
      <w:r w:rsidRPr="00E27198">
        <w:t>Charbon de bois,</w:t>
      </w:r>
    </w:p>
    <w:p w14:paraId="6B85C95B" w14:textId="1C100ECC" w:rsidR="00E27198" w:rsidRPr="00E27198" w:rsidRDefault="00E27198" w:rsidP="0022016D">
      <w:pPr>
        <w:pStyle w:val="Paragraphedeliste"/>
        <w:numPr>
          <w:ilvl w:val="0"/>
          <w:numId w:val="20"/>
        </w:numPr>
        <w:spacing w:after="0" w:line="240" w:lineRule="auto"/>
      </w:pPr>
      <w:r w:rsidRPr="00E27198">
        <w:t>Matière tannante,</w:t>
      </w:r>
    </w:p>
    <w:p w14:paraId="068A862C" w14:textId="77777777" w:rsidR="00E27198" w:rsidRPr="00E27198" w:rsidRDefault="00E27198" w:rsidP="0022016D">
      <w:pPr>
        <w:pStyle w:val="Paragraphedeliste"/>
        <w:numPr>
          <w:ilvl w:val="0"/>
          <w:numId w:val="20"/>
        </w:numPr>
        <w:spacing w:after="0" w:line="240" w:lineRule="auto"/>
      </w:pPr>
      <w:r w:rsidRPr="00E27198">
        <w:t>Miels de qualité.</w:t>
      </w:r>
    </w:p>
    <w:p w14:paraId="0FC10007" w14:textId="1E33482D" w:rsidR="00E27198" w:rsidRDefault="00E27198" w:rsidP="00E27198">
      <w:pPr>
        <w:spacing w:after="0" w:line="240" w:lineRule="auto"/>
      </w:pPr>
    </w:p>
    <w:p w14:paraId="14991EE8" w14:textId="77777777" w:rsidR="00E27198" w:rsidRPr="00E27198" w:rsidRDefault="00E27198" w:rsidP="00E27198">
      <w:pPr>
        <w:spacing w:after="0" w:line="240" w:lineRule="auto"/>
        <w:jc w:val="both"/>
      </w:pPr>
      <w:r w:rsidRPr="00E27198">
        <w:t>La mangrove permet la reproduction du poisson (pisciculture possible), des coquillages, des huitres (ostréiculture possible), la possibilité de remettre en culture des rizières précédemment envahies par l’eau salée, la production de bois d’œuvre ou bien un excellent miel que les abeilles produisent à partir des fleurs du palétuvier.</w:t>
      </w:r>
    </w:p>
    <w:p w14:paraId="3064A9DC" w14:textId="231E12B2" w:rsidR="00E27198" w:rsidRDefault="00E27198" w:rsidP="00E27198">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E27198" w14:paraId="65FBD85F" w14:textId="77777777" w:rsidTr="00E27198">
        <w:tc>
          <w:tcPr>
            <w:tcW w:w="5208" w:type="dxa"/>
          </w:tcPr>
          <w:p w14:paraId="5766C669" w14:textId="77777777" w:rsidR="00E27198" w:rsidRDefault="00E27198" w:rsidP="00E27198">
            <w:pPr>
              <w:jc w:val="center"/>
            </w:pPr>
            <w:r w:rsidRPr="00E27198">
              <w:rPr>
                <w:noProof/>
              </w:rPr>
              <w:drawing>
                <wp:inline distT="0" distB="0" distL="0" distR="0" wp14:anchorId="160EF1D2" wp14:editId="565FC966">
                  <wp:extent cx="2647950" cy="1628775"/>
                  <wp:effectExtent l="0" t="0" r="0" b="9525"/>
                  <wp:docPr id="80910"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1"/>
                          <pic:cNvPicPr>
                            <a:picLocks noChangeAspect="1"/>
                          </pic:cNvPicPr>
                        </pic:nvPicPr>
                        <pic:blipFill>
                          <a:blip r:embed="rId1086">
                            <a:extLst>
                              <a:ext uri="{28A0092B-C50C-407E-A947-70E740481C1C}">
                                <a14:useLocalDpi xmlns:a14="http://schemas.microsoft.com/office/drawing/2010/main" val="0"/>
                              </a:ext>
                            </a:extLst>
                          </a:blip>
                          <a:stretch>
                            <a:fillRect/>
                          </a:stretch>
                        </pic:blipFill>
                        <pic:spPr>
                          <a:xfrm>
                            <a:off x="0" y="0"/>
                            <a:ext cx="2647950" cy="1628775"/>
                          </a:xfrm>
                          <a:prstGeom prst="rect">
                            <a:avLst/>
                          </a:prstGeom>
                        </pic:spPr>
                      </pic:pic>
                    </a:graphicData>
                  </a:graphic>
                </wp:inline>
              </w:drawing>
            </w:r>
          </w:p>
          <w:p w14:paraId="03EC59FC" w14:textId="77777777" w:rsidR="00E27198" w:rsidRDefault="00E27198" w:rsidP="00E27198">
            <w:pPr>
              <w:jc w:val="center"/>
            </w:pPr>
            <w:r w:rsidRPr="00E27198">
              <w:t xml:space="preserve">Mangrove restaurée, </w:t>
            </w:r>
            <w:r w:rsidRPr="00E27198">
              <w:rPr>
                <w:i/>
                <w:iCs/>
              </w:rPr>
              <w:t>protégeant un village des assauts de la mer</w:t>
            </w:r>
            <w:r>
              <w:t xml:space="preserve"> </w:t>
            </w:r>
            <w:r w:rsidRPr="00E27198">
              <w:t>(au Guyana, Amérique du Sud).</w:t>
            </w:r>
          </w:p>
          <w:p w14:paraId="6F48F222" w14:textId="72355AE1" w:rsidR="0051226F" w:rsidRPr="00E27198" w:rsidRDefault="0051226F" w:rsidP="00E27198">
            <w:pPr>
              <w:jc w:val="center"/>
            </w:pPr>
          </w:p>
        </w:tc>
        <w:tc>
          <w:tcPr>
            <w:tcW w:w="5208" w:type="dxa"/>
          </w:tcPr>
          <w:p w14:paraId="6B128DB9" w14:textId="77777777" w:rsidR="00E27198" w:rsidRDefault="00E27198" w:rsidP="00E27198">
            <w:pPr>
              <w:jc w:val="center"/>
            </w:pPr>
            <w:r w:rsidRPr="00E27198">
              <w:rPr>
                <w:noProof/>
              </w:rPr>
              <w:drawing>
                <wp:inline distT="0" distB="0" distL="0" distR="0" wp14:anchorId="3FAC1184" wp14:editId="4728D1CA">
                  <wp:extent cx="2137036" cy="1422100"/>
                  <wp:effectExtent l="0" t="0" r="0" b="6985"/>
                  <wp:docPr id="80911"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pic:cNvPicPr>
                            <a:picLocks noChangeAspect="1"/>
                          </pic:cNvPicPr>
                        </pic:nvPicPr>
                        <pic:blipFill>
                          <a:blip r:embed="rId1087">
                            <a:extLst>
                              <a:ext uri="{28A0092B-C50C-407E-A947-70E740481C1C}">
                                <a14:useLocalDpi xmlns:a14="http://schemas.microsoft.com/office/drawing/2010/main" val="0"/>
                              </a:ext>
                            </a:extLst>
                          </a:blip>
                          <a:stretch>
                            <a:fillRect/>
                          </a:stretch>
                        </pic:blipFill>
                        <pic:spPr>
                          <a:xfrm>
                            <a:off x="0" y="0"/>
                            <a:ext cx="2137036" cy="1422100"/>
                          </a:xfrm>
                          <a:prstGeom prst="rect">
                            <a:avLst/>
                          </a:prstGeom>
                        </pic:spPr>
                      </pic:pic>
                    </a:graphicData>
                  </a:graphic>
                </wp:inline>
              </w:drawing>
            </w:r>
          </w:p>
          <w:p w14:paraId="1258C9C9" w14:textId="16CE6B29" w:rsidR="00E27198" w:rsidRDefault="00E27198" w:rsidP="00E27198">
            <w:pPr>
              <w:jc w:val="center"/>
            </w:pPr>
            <w:r w:rsidRPr="00E27198">
              <w:t>Le programme SmartFish</w:t>
            </w:r>
            <w:r>
              <w:rPr>
                <w:rStyle w:val="Appelnotedebasdep"/>
              </w:rPr>
              <w:footnoteReference w:id="88"/>
            </w:r>
            <w:r w:rsidRPr="00E27198">
              <w:t xml:space="preserve"> en appui à l’exploitation du crabe de mangrove, Août 2014, Madagascar </w:t>
            </w:r>
          </w:p>
          <w:p w14:paraId="5C7DED0C" w14:textId="413F85F0" w:rsidR="00E27198" w:rsidRDefault="00E27198" w:rsidP="00E27198">
            <w:pPr>
              <w:jc w:val="center"/>
            </w:pPr>
            <w:r>
              <w:t xml:space="preserve">© </w:t>
            </w:r>
            <w:r w:rsidRPr="00E27198">
              <w:t>NJARATIANA RAKOTONIAINA</w:t>
            </w:r>
            <w:r>
              <w:rPr>
                <w:rStyle w:val="Appelnotedebasdep"/>
              </w:rPr>
              <w:footnoteReference w:id="89"/>
            </w:r>
          </w:p>
        </w:tc>
      </w:tr>
      <w:tr w:rsidR="00E27198" w14:paraId="50AA13BA" w14:textId="77777777" w:rsidTr="00E27198">
        <w:tc>
          <w:tcPr>
            <w:tcW w:w="5208" w:type="dxa"/>
          </w:tcPr>
          <w:p w14:paraId="02AA6A7B" w14:textId="77777777" w:rsidR="00E27198" w:rsidRDefault="00E27198" w:rsidP="00E27198">
            <w:pPr>
              <w:jc w:val="center"/>
            </w:pPr>
            <w:r w:rsidRPr="00E27198">
              <w:rPr>
                <w:noProof/>
              </w:rPr>
              <w:drawing>
                <wp:inline distT="0" distB="0" distL="0" distR="0" wp14:anchorId="3B4D8073" wp14:editId="27457E04">
                  <wp:extent cx="2286000" cy="1524000"/>
                  <wp:effectExtent l="0" t="0" r="0" b="0"/>
                  <wp:docPr id="8091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pic:cNvPicPr>
                            <a:picLocks noChangeAspect="1"/>
                          </pic:cNvPicPr>
                        </pic:nvPicPr>
                        <pic:blipFill>
                          <a:blip r:embed="rId1088">
                            <a:extLst>
                              <a:ext uri="{28A0092B-C50C-407E-A947-70E740481C1C}">
                                <a14:useLocalDpi xmlns:a14="http://schemas.microsoft.com/office/drawing/2010/main" val="0"/>
                              </a:ext>
                            </a:extLst>
                          </a:blip>
                          <a:stretch>
                            <a:fillRect/>
                          </a:stretch>
                        </pic:blipFill>
                        <pic:spPr>
                          <a:xfrm>
                            <a:off x="0" y="0"/>
                            <a:ext cx="2286000" cy="1524000"/>
                          </a:xfrm>
                          <a:prstGeom prst="rect">
                            <a:avLst/>
                          </a:prstGeom>
                        </pic:spPr>
                      </pic:pic>
                    </a:graphicData>
                  </a:graphic>
                </wp:inline>
              </w:drawing>
            </w:r>
          </w:p>
          <w:p w14:paraId="09A8ADC0" w14:textId="179A5B39" w:rsidR="00E27198" w:rsidRDefault="00E27198" w:rsidP="00E27198">
            <w:pPr>
              <w:jc w:val="center"/>
            </w:pPr>
            <w:r>
              <w:t>Production de poissons</w:t>
            </w:r>
          </w:p>
        </w:tc>
        <w:tc>
          <w:tcPr>
            <w:tcW w:w="5208" w:type="dxa"/>
          </w:tcPr>
          <w:p w14:paraId="22D73B77" w14:textId="77777777" w:rsidR="00E27198" w:rsidRDefault="00E27198" w:rsidP="00E27198">
            <w:pPr>
              <w:jc w:val="center"/>
            </w:pPr>
            <w:r w:rsidRPr="00E27198">
              <w:rPr>
                <w:noProof/>
              </w:rPr>
              <w:drawing>
                <wp:inline distT="0" distB="0" distL="0" distR="0" wp14:anchorId="120508C6" wp14:editId="662E533E">
                  <wp:extent cx="2286000" cy="1524000"/>
                  <wp:effectExtent l="0" t="0" r="0" b="0"/>
                  <wp:docPr id="8091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pic:cNvPicPr>
                            <a:picLocks noChangeAspect="1"/>
                          </pic:cNvPicPr>
                        </pic:nvPicPr>
                        <pic:blipFill>
                          <a:blip r:embed="rId1089">
                            <a:extLst>
                              <a:ext uri="{28A0092B-C50C-407E-A947-70E740481C1C}">
                                <a14:useLocalDpi xmlns:a14="http://schemas.microsoft.com/office/drawing/2010/main" val="0"/>
                              </a:ext>
                            </a:extLst>
                          </a:blip>
                          <a:stretch>
                            <a:fillRect/>
                          </a:stretch>
                        </pic:blipFill>
                        <pic:spPr>
                          <a:xfrm>
                            <a:off x="0" y="0"/>
                            <a:ext cx="2286000" cy="1524000"/>
                          </a:xfrm>
                          <a:prstGeom prst="rect">
                            <a:avLst/>
                          </a:prstGeom>
                        </pic:spPr>
                      </pic:pic>
                    </a:graphicData>
                  </a:graphic>
                </wp:inline>
              </w:drawing>
            </w:r>
          </w:p>
          <w:p w14:paraId="271E4E2E" w14:textId="5FE7BB55" w:rsidR="00E27198" w:rsidRDefault="00E27198" w:rsidP="00E27198">
            <w:pPr>
              <w:jc w:val="center"/>
            </w:pPr>
            <w:r>
              <w:t>Production de coquillages.</w:t>
            </w:r>
          </w:p>
        </w:tc>
      </w:tr>
    </w:tbl>
    <w:p w14:paraId="4162BCF7" w14:textId="31D9EBE3" w:rsidR="003D65D0" w:rsidRDefault="003D65D0" w:rsidP="003256AA">
      <w:pPr>
        <w:spacing w:after="0" w:line="240" w:lineRule="auto"/>
      </w:pPr>
    </w:p>
    <w:p w14:paraId="103B33CB" w14:textId="23CC0787" w:rsidR="0051226F" w:rsidRDefault="0051226F" w:rsidP="0051226F">
      <w:pPr>
        <w:spacing w:after="0" w:line="240" w:lineRule="auto"/>
        <w:jc w:val="center"/>
      </w:pPr>
      <w:r w:rsidRPr="0051226F">
        <w:rPr>
          <w:noProof/>
        </w:rPr>
        <w:lastRenderedPageBreak/>
        <w:drawing>
          <wp:inline distT="0" distB="0" distL="0" distR="0" wp14:anchorId="7C8FF273" wp14:editId="39553112">
            <wp:extent cx="3381375" cy="1847850"/>
            <wp:effectExtent l="0" t="0" r="9525" b="0"/>
            <wp:docPr id="47115"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0"/>
                    <pic:cNvPicPr>
                      <a:picLocks noChangeAspect="1"/>
                    </pic:cNvPicPr>
                  </pic:nvPicPr>
                  <pic:blipFill>
                    <a:blip r:embed="rId1090">
                      <a:extLst>
                        <a:ext uri="{28A0092B-C50C-407E-A947-70E740481C1C}">
                          <a14:useLocalDpi xmlns:a14="http://schemas.microsoft.com/office/drawing/2010/main" val="0"/>
                        </a:ext>
                      </a:extLst>
                    </a:blip>
                    <a:stretch>
                      <a:fillRect/>
                    </a:stretch>
                  </pic:blipFill>
                  <pic:spPr>
                    <a:xfrm>
                      <a:off x="0" y="0"/>
                      <a:ext cx="3381375" cy="1847850"/>
                    </a:xfrm>
                    <a:prstGeom prst="rect">
                      <a:avLst/>
                    </a:prstGeom>
                  </pic:spPr>
                </pic:pic>
              </a:graphicData>
            </a:graphic>
          </wp:inline>
        </w:drawing>
      </w:r>
    </w:p>
    <w:p w14:paraId="654978C4" w14:textId="566D058E" w:rsidR="0051226F" w:rsidRDefault="0051226F" w:rsidP="0051226F">
      <w:pPr>
        <w:spacing w:after="0" w:line="240" w:lineRule="auto"/>
        <w:jc w:val="center"/>
      </w:pPr>
      <w:r w:rsidRPr="0051226F">
        <w:t>Produits de la mangrove au Guyana (miel, sculptures en bois, fruits …).</w:t>
      </w:r>
    </w:p>
    <w:p w14:paraId="5EDDBD00" w14:textId="77777777" w:rsidR="0051226F" w:rsidRDefault="0051226F" w:rsidP="003256AA">
      <w:pPr>
        <w:spacing w:after="0" w:line="240" w:lineRule="auto"/>
      </w:pPr>
    </w:p>
    <w:p w14:paraId="0D6455E8" w14:textId="4A41FFB3" w:rsidR="00C86514" w:rsidRDefault="00C86514" w:rsidP="00C86514">
      <w:pPr>
        <w:pStyle w:val="Titre2"/>
      </w:pPr>
      <w:bookmarkStart w:id="117" w:name="_Toc139181408"/>
      <w:r w:rsidRPr="00C86514">
        <w:t>Caractéristiques des plantes de la mangrove</w:t>
      </w:r>
      <w:bookmarkEnd w:id="117"/>
    </w:p>
    <w:p w14:paraId="60FB5E8D" w14:textId="26672FF9" w:rsidR="00C86514" w:rsidRDefault="00C86514" w:rsidP="003256AA">
      <w:pPr>
        <w:spacing w:after="0" w:line="240" w:lineRule="auto"/>
      </w:pPr>
    </w:p>
    <w:p w14:paraId="1152FABC" w14:textId="4CD5A921" w:rsidR="00C86514" w:rsidRDefault="00C86514" w:rsidP="00C86514">
      <w:pPr>
        <w:spacing w:after="0" w:line="240" w:lineRule="auto"/>
      </w:pPr>
      <w:r w:rsidRPr="00C86514">
        <w:t>Caractéristiques des plantes se développant dans la mangrove, adaptées à un milieu hostile :</w:t>
      </w:r>
    </w:p>
    <w:p w14:paraId="3BC644FC" w14:textId="77777777" w:rsidR="00C86514" w:rsidRPr="00C86514" w:rsidRDefault="00C86514" w:rsidP="00C86514">
      <w:pPr>
        <w:spacing w:after="0" w:line="240" w:lineRule="auto"/>
      </w:pPr>
    </w:p>
    <w:p w14:paraId="3769BB5D" w14:textId="77777777" w:rsidR="00C86514" w:rsidRPr="00C86514" w:rsidRDefault="00C86514" w:rsidP="0022016D">
      <w:pPr>
        <w:numPr>
          <w:ilvl w:val="0"/>
          <w:numId w:val="18"/>
        </w:numPr>
        <w:spacing w:after="0" w:line="240" w:lineRule="auto"/>
      </w:pPr>
      <w:r w:rsidRPr="00C86514">
        <w:t>Une salinité élevée,</w:t>
      </w:r>
    </w:p>
    <w:p w14:paraId="6E45BA0C" w14:textId="77777777" w:rsidR="00C86514" w:rsidRPr="00C86514" w:rsidRDefault="00C86514" w:rsidP="0022016D">
      <w:pPr>
        <w:numPr>
          <w:ilvl w:val="0"/>
          <w:numId w:val="18"/>
        </w:numPr>
        <w:spacing w:after="0" w:line="240" w:lineRule="auto"/>
      </w:pPr>
      <w:r w:rsidRPr="00C86514">
        <w:t>Des racines immergées,</w:t>
      </w:r>
    </w:p>
    <w:p w14:paraId="03FF4158" w14:textId="77777777" w:rsidR="00C86514" w:rsidRPr="00C86514" w:rsidRDefault="00C86514" w:rsidP="0022016D">
      <w:pPr>
        <w:numPr>
          <w:ilvl w:val="0"/>
          <w:numId w:val="18"/>
        </w:numPr>
        <w:spacing w:after="0" w:line="240" w:lineRule="auto"/>
      </w:pPr>
      <w:r w:rsidRPr="00C86514">
        <w:t>Une faible oxygénation du sol due à la vase,</w:t>
      </w:r>
    </w:p>
    <w:p w14:paraId="727A7E7E" w14:textId="77777777" w:rsidR="00C86514" w:rsidRPr="00C86514" w:rsidRDefault="00C86514" w:rsidP="0022016D">
      <w:pPr>
        <w:numPr>
          <w:ilvl w:val="0"/>
          <w:numId w:val="18"/>
        </w:numPr>
        <w:spacing w:after="0" w:line="240" w:lineRule="auto"/>
      </w:pPr>
      <w:r w:rsidRPr="00C86514">
        <w:t>Un sol instable,</w:t>
      </w:r>
    </w:p>
    <w:p w14:paraId="6053AA72" w14:textId="77777777" w:rsidR="00C86514" w:rsidRPr="00C86514" w:rsidRDefault="00C86514" w:rsidP="0022016D">
      <w:pPr>
        <w:numPr>
          <w:ilvl w:val="0"/>
          <w:numId w:val="18"/>
        </w:numPr>
        <w:spacing w:after="0" w:line="240" w:lineRule="auto"/>
      </w:pPr>
      <w:r w:rsidRPr="00C86514">
        <w:t>Des eaux chaudes.</w:t>
      </w:r>
    </w:p>
    <w:p w14:paraId="08605EBD" w14:textId="77777777" w:rsidR="00C86514" w:rsidRDefault="00C86514" w:rsidP="003256AA">
      <w:pPr>
        <w:spacing w:after="0" w:line="240" w:lineRule="auto"/>
      </w:pPr>
    </w:p>
    <w:p w14:paraId="2DA6B978" w14:textId="096CA463" w:rsidR="009E078E" w:rsidRDefault="009E078E" w:rsidP="009E078E">
      <w:pPr>
        <w:pStyle w:val="Titre2"/>
      </w:pPr>
      <w:bookmarkStart w:id="118" w:name="_Toc139181409"/>
      <w:r w:rsidRPr="009E078E">
        <w:t>Productivité de l’océan et des mangroves</w:t>
      </w:r>
      <w:bookmarkEnd w:id="118"/>
    </w:p>
    <w:p w14:paraId="27EB3292" w14:textId="04FFE542" w:rsidR="009E078E" w:rsidRDefault="009E078E" w:rsidP="003256AA">
      <w:pPr>
        <w:spacing w:after="0" w:line="240" w:lineRule="auto"/>
      </w:pPr>
    </w:p>
    <w:p w14:paraId="5B427943" w14:textId="5375D025" w:rsidR="009E078E" w:rsidRPr="009E078E" w:rsidRDefault="009E078E" w:rsidP="0022016D">
      <w:pPr>
        <w:pStyle w:val="Paragraphedeliste"/>
        <w:numPr>
          <w:ilvl w:val="0"/>
          <w:numId w:val="11"/>
        </w:numPr>
        <w:spacing w:after="0" w:line="240" w:lineRule="auto"/>
      </w:pPr>
      <w:r>
        <w:t>O</w:t>
      </w:r>
      <w:r w:rsidRPr="009E078E">
        <w:t>céan ouvert &lt; 50 g C/m2/an</w:t>
      </w:r>
      <w:r>
        <w:t>.</w:t>
      </w:r>
    </w:p>
    <w:p w14:paraId="2032EADD" w14:textId="69BEFC9F" w:rsidR="009E078E" w:rsidRPr="009E078E" w:rsidRDefault="009E078E" w:rsidP="0022016D">
      <w:pPr>
        <w:pStyle w:val="Paragraphedeliste"/>
        <w:numPr>
          <w:ilvl w:val="0"/>
          <w:numId w:val="11"/>
        </w:numPr>
        <w:spacing w:after="0" w:line="240" w:lineRule="auto"/>
      </w:pPr>
      <w:r w:rsidRPr="009E078E">
        <w:t xml:space="preserve">Les récifs coralliens </w:t>
      </w:r>
      <w:r w:rsidRPr="009E078E">
        <w:rPr>
          <w:b/>
          <w:bCs/>
        </w:rPr>
        <w:t>1000 g</w:t>
      </w:r>
      <w:r w:rsidRPr="009E078E">
        <w:t xml:space="preserve"> C/m2/an</w:t>
      </w:r>
      <w:r>
        <w:t>.</w:t>
      </w:r>
    </w:p>
    <w:p w14:paraId="5C68ECDC" w14:textId="5EEE5027" w:rsidR="009E078E" w:rsidRPr="009E078E" w:rsidRDefault="009E078E" w:rsidP="0022016D">
      <w:pPr>
        <w:pStyle w:val="Paragraphedeliste"/>
        <w:numPr>
          <w:ilvl w:val="0"/>
          <w:numId w:val="11"/>
        </w:numPr>
        <w:spacing w:after="0" w:line="240" w:lineRule="auto"/>
        <w:rPr>
          <w:lang w:val="en-GB"/>
        </w:rPr>
      </w:pPr>
      <w:r w:rsidRPr="009E078E">
        <w:rPr>
          <w:lang w:val="en-GB"/>
        </w:rPr>
        <w:t xml:space="preserve">Mangroves </w:t>
      </w:r>
      <w:r w:rsidRPr="009E078E">
        <w:rPr>
          <w:b/>
          <w:bCs/>
          <w:lang w:val="en-GB"/>
        </w:rPr>
        <w:t>500</w:t>
      </w:r>
      <w:r w:rsidRPr="009E078E">
        <w:rPr>
          <w:lang w:val="en-GB"/>
        </w:rPr>
        <w:t xml:space="preserve"> g C/m2/an.</w:t>
      </w:r>
    </w:p>
    <w:p w14:paraId="4053A630" w14:textId="164C5806" w:rsidR="009E078E" w:rsidRPr="009E078E" w:rsidRDefault="009E078E" w:rsidP="0022016D">
      <w:pPr>
        <w:pStyle w:val="Paragraphedeliste"/>
        <w:numPr>
          <w:ilvl w:val="0"/>
          <w:numId w:val="12"/>
        </w:numPr>
        <w:spacing w:after="0" w:line="240" w:lineRule="auto"/>
      </w:pPr>
      <w:r w:rsidRPr="009E078E">
        <w:t>Plate-Forme Continentale:</w:t>
      </w:r>
    </w:p>
    <w:p w14:paraId="641B5959" w14:textId="7785D3B0" w:rsidR="009E078E" w:rsidRPr="009E078E" w:rsidRDefault="009E078E" w:rsidP="0022016D">
      <w:pPr>
        <w:pStyle w:val="Paragraphedeliste"/>
        <w:numPr>
          <w:ilvl w:val="0"/>
          <w:numId w:val="11"/>
        </w:numPr>
        <w:spacing w:after="0" w:line="240" w:lineRule="auto"/>
      </w:pPr>
      <w:r w:rsidRPr="009E078E">
        <w:t xml:space="preserve">Les herbiers </w:t>
      </w:r>
      <w:r w:rsidRPr="009E078E">
        <w:rPr>
          <w:b/>
          <w:bCs/>
        </w:rPr>
        <w:t>1000</w:t>
      </w:r>
      <w:r w:rsidRPr="009E078E">
        <w:t xml:space="preserve"> g C/m2/an</w:t>
      </w:r>
      <w:r>
        <w:t>.</w:t>
      </w:r>
    </w:p>
    <w:p w14:paraId="083FAA57" w14:textId="6416F9E0" w:rsidR="009E078E" w:rsidRPr="009E078E" w:rsidRDefault="009E078E" w:rsidP="0022016D">
      <w:pPr>
        <w:pStyle w:val="Paragraphedeliste"/>
        <w:numPr>
          <w:ilvl w:val="0"/>
          <w:numId w:val="11"/>
        </w:numPr>
        <w:spacing w:after="0" w:line="240" w:lineRule="auto"/>
      </w:pPr>
      <w:r w:rsidRPr="009E078E">
        <w:t xml:space="preserve">Les estuaires et les marais salants </w:t>
      </w:r>
      <w:r w:rsidRPr="009E078E">
        <w:rPr>
          <w:b/>
          <w:bCs/>
        </w:rPr>
        <w:t>800</w:t>
      </w:r>
      <w:r w:rsidRPr="009E078E">
        <w:t xml:space="preserve"> g C/m2/an</w:t>
      </w:r>
      <w:r>
        <w:t>.</w:t>
      </w:r>
    </w:p>
    <w:p w14:paraId="788393F4" w14:textId="77777777" w:rsidR="009E078E" w:rsidRDefault="009E078E" w:rsidP="003256AA">
      <w:pPr>
        <w:spacing w:after="0" w:line="240" w:lineRule="auto"/>
      </w:pPr>
    </w:p>
    <w:p w14:paraId="460618B5" w14:textId="1952B0C6" w:rsidR="00C5321F" w:rsidRDefault="00C5321F" w:rsidP="00C5321F">
      <w:pPr>
        <w:pStyle w:val="Titre2"/>
      </w:pPr>
      <w:bookmarkStart w:id="119" w:name="_Toc139181410"/>
      <w:r w:rsidRPr="00C5321F">
        <w:t>Les chaînes alimentaires</w:t>
      </w:r>
      <w:bookmarkEnd w:id="119"/>
    </w:p>
    <w:p w14:paraId="48D274E4" w14:textId="2204D19C" w:rsidR="00C5321F" w:rsidRDefault="00C5321F" w:rsidP="003256AA">
      <w:pPr>
        <w:spacing w:after="0" w:line="240" w:lineRule="auto"/>
      </w:pPr>
    </w:p>
    <w:p w14:paraId="37C489DA" w14:textId="77777777" w:rsidR="00C5321F" w:rsidRDefault="00C5321F" w:rsidP="0022016D">
      <w:pPr>
        <w:pStyle w:val="Paragraphedeliste"/>
        <w:numPr>
          <w:ilvl w:val="0"/>
          <w:numId w:val="21"/>
        </w:numPr>
        <w:spacing w:after="0" w:line="240" w:lineRule="auto"/>
        <w:jc w:val="both"/>
      </w:pPr>
      <w:r>
        <w:t xml:space="preserve">La plus grande partie de la production primaire des palétuviers, non exportée [par les courants marins …], est consommée par des animaux détritivores. </w:t>
      </w:r>
    </w:p>
    <w:p w14:paraId="2DEA14C8" w14:textId="1E526740" w:rsidR="00C5321F" w:rsidRDefault="00C5321F" w:rsidP="0022016D">
      <w:pPr>
        <w:pStyle w:val="Paragraphedeliste"/>
        <w:numPr>
          <w:ilvl w:val="0"/>
          <w:numId w:val="21"/>
        </w:numPr>
        <w:spacing w:after="0" w:line="240" w:lineRule="auto"/>
      </w:pPr>
      <w:r>
        <w:t>Les Crabes en Australie accélèrerait (x 10-20) la biodégradation de 70-80% de la litière.</w:t>
      </w:r>
    </w:p>
    <w:p w14:paraId="5A4FBC3E" w14:textId="36F7F497" w:rsidR="00EF1A93" w:rsidRDefault="00EF1A93" w:rsidP="00EF1A93">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EF1A93" w14:paraId="0266E0B0" w14:textId="77777777" w:rsidTr="001304D1">
        <w:tc>
          <w:tcPr>
            <w:tcW w:w="3472" w:type="dxa"/>
          </w:tcPr>
          <w:p w14:paraId="7D55B737" w14:textId="77777777" w:rsidR="00EF1A93" w:rsidRDefault="00EF1A93" w:rsidP="001304D1">
            <w:pPr>
              <w:jc w:val="center"/>
            </w:pPr>
            <w:r w:rsidRPr="005E7B39">
              <w:rPr>
                <w:noProof/>
              </w:rPr>
              <w:drawing>
                <wp:inline distT="0" distB="0" distL="0" distR="0" wp14:anchorId="3FC6748A" wp14:editId="3B71993E">
                  <wp:extent cx="871188" cy="1495425"/>
                  <wp:effectExtent l="0" t="0" r="5715" b="0"/>
                  <wp:docPr id="80915" name="Image 12" descr="Une image contenant plante, légu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15" name="Image 12" descr="Une image contenant plante, légume&#10;&#10;Description générée automatiquement"/>
                          <pic:cNvPicPr>
                            <a:picLocks noChangeAspect="1"/>
                          </pic:cNvPicPr>
                        </pic:nvPicPr>
                        <pic:blipFill>
                          <a:blip r:embed="rId1091">
                            <a:extLst>
                              <a:ext uri="{28A0092B-C50C-407E-A947-70E740481C1C}">
                                <a14:useLocalDpi xmlns:a14="http://schemas.microsoft.com/office/drawing/2010/main" val="0"/>
                              </a:ext>
                            </a:extLst>
                          </a:blip>
                          <a:stretch>
                            <a:fillRect/>
                          </a:stretch>
                        </pic:blipFill>
                        <pic:spPr>
                          <a:xfrm>
                            <a:off x="0" y="0"/>
                            <a:ext cx="890830" cy="1529140"/>
                          </a:xfrm>
                          <a:prstGeom prst="rect">
                            <a:avLst/>
                          </a:prstGeom>
                        </pic:spPr>
                      </pic:pic>
                    </a:graphicData>
                  </a:graphic>
                </wp:inline>
              </w:drawing>
            </w:r>
          </w:p>
          <w:p w14:paraId="5C62AC98" w14:textId="77777777" w:rsidR="00EF1A93" w:rsidRDefault="00EF1A93" w:rsidP="001304D1">
            <w:pPr>
              <w:jc w:val="center"/>
            </w:pPr>
            <w:r w:rsidRPr="005E7B39">
              <w:t>Chenille se nourrissant de plantule d'</w:t>
            </w:r>
            <w:r w:rsidRPr="005E7B39">
              <w:rPr>
                <w:i/>
                <w:iCs/>
              </w:rPr>
              <w:t>Avicennia</w:t>
            </w:r>
            <w:r>
              <w:rPr>
                <w:i/>
                <w:iCs/>
              </w:rPr>
              <w:t>.</w:t>
            </w:r>
          </w:p>
        </w:tc>
        <w:tc>
          <w:tcPr>
            <w:tcW w:w="3472" w:type="dxa"/>
          </w:tcPr>
          <w:p w14:paraId="5084278C" w14:textId="77777777" w:rsidR="00EF1A93" w:rsidRDefault="00EF1A93" w:rsidP="001304D1">
            <w:pPr>
              <w:jc w:val="center"/>
            </w:pPr>
            <w:r w:rsidRPr="005E7B39">
              <w:rPr>
                <w:noProof/>
              </w:rPr>
              <w:drawing>
                <wp:inline distT="0" distB="0" distL="0" distR="0" wp14:anchorId="1010B877" wp14:editId="6C817802">
                  <wp:extent cx="1266825" cy="857250"/>
                  <wp:effectExtent l="0" t="0" r="9525" b="0"/>
                  <wp:docPr id="80916" name="Image 13" descr="Une image contenant ferm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16" name="Image 13" descr="Une image contenant fermer&#10;&#10;Description générée automatiquement"/>
                          <pic:cNvPicPr>
                            <a:picLocks noChangeAspect="1"/>
                          </pic:cNvPicPr>
                        </pic:nvPicPr>
                        <pic:blipFill>
                          <a:blip r:embed="rId1092">
                            <a:extLst>
                              <a:ext uri="{28A0092B-C50C-407E-A947-70E740481C1C}">
                                <a14:useLocalDpi xmlns:a14="http://schemas.microsoft.com/office/drawing/2010/main" val="0"/>
                              </a:ext>
                            </a:extLst>
                          </a:blip>
                          <a:stretch>
                            <a:fillRect/>
                          </a:stretch>
                        </pic:blipFill>
                        <pic:spPr>
                          <a:xfrm>
                            <a:off x="0" y="0"/>
                            <a:ext cx="1266825" cy="857250"/>
                          </a:xfrm>
                          <a:prstGeom prst="rect">
                            <a:avLst/>
                          </a:prstGeom>
                        </pic:spPr>
                      </pic:pic>
                    </a:graphicData>
                  </a:graphic>
                </wp:inline>
              </w:drawing>
            </w:r>
          </w:p>
          <w:p w14:paraId="78EE0803" w14:textId="77777777" w:rsidR="00EF1A93" w:rsidRPr="005E7B39" w:rsidRDefault="00EF1A93" w:rsidP="001304D1">
            <w:pPr>
              <w:jc w:val="center"/>
            </w:pPr>
            <w:r w:rsidRPr="005E7B39">
              <w:rPr>
                <w:i/>
                <w:iCs/>
              </w:rPr>
              <w:t xml:space="preserve">Sphaeroma serratum </w:t>
            </w:r>
            <w:r w:rsidRPr="005E7B39">
              <w:t>↑</w:t>
            </w:r>
          </w:p>
          <w:p w14:paraId="5EB65958" w14:textId="77777777" w:rsidR="00EF1A93" w:rsidRDefault="00EF1A93" w:rsidP="001304D1">
            <w:pPr>
              <w:jc w:val="center"/>
            </w:pPr>
            <w:r w:rsidRPr="005E7B39">
              <w:t>Crustacé, de la famille des cloporte, xylophage foreur des palétuvier</w:t>
            </w:r>
            <w:r>
              <w:t>.</w:t>
            </w:r>
          </w:p>
        </w:tc>
        <w:tc>
          <w:tcPr>
            <w:tcW w:w="3472" w:type="dxa"/>
          </w:tcPr>
          <w:p w14:paraId="148E615C" w14:textId="77777777" w:rsidR="00EF1A93" w:rsidRDefault="00EF1A93" w:rsidP="001304D1">
            <w:pPr>
              <w:jc w:val="center"/>
            </w:pPr>
            <w:r w:rsidRPr="005E7B39">
              <w:rPr>
                <w:noProof/>
              </w:rPr>
              <w:drawing>
                <wp:inline distT="0" distB="0" distL="0" distR="0" wp14:anchorId="3DE5C935" wp14:editId="3364C00F">
                  <wp:extent cx="1152525" cy="1000125"/>
                  <wp:effectExtent l="0" t="0" r="9525" b="9525"/>
                  <wp:docPr id="80917" name="Image 8" descr="Une image contenant mollusque, invertébr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17" name="Image 8" descr="Une image contenant mollusque, invertébré&#10;&#10;Description générée automatiquement"/>
                          <pic:cNvPicPr>
                            <a:picLocks noChangeAspect="1"/>
                          </pic:cNvPicPr>
                        </pic:nvPicPr>
                        <pic:blipFill>
                          <a:blip r:embed="rId1093">
                            <a:extLst>
                              <a:ext uri="{28A0092B-C50C-407E-A947-70E740481C1C}">
                                <a14:useLocalDpi xmlns:a14="http://schemas.microsoft.com/office/drawing/2010/main" val="0"/>
                              </a:ext>
                            </a:extLst>
                          </a:blip>
                          <a:srcRect/>
                          <a:stretch>
                            <a:fillRect/>
                          </a:stretch>
                        </pic:blipFill>
                        <pic:spPr bwMode="auto">
                          <a:xfrm>
                            <a:off x="0" y="0"/>
                            <a:ext cx="1152525" cy="1000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3539B87A" w14:textId="77777777" w:rsidR="00EF1A93" w:rsidRDefault="00EF1A93" w:rsidP="001304D1">
            <w:pPr>
              <w:jc w:val="center"/>
            </w:pPr>
            <w:r w:rsidRPr="005E7B39">
              <w:t>Escargot herbivore (un bigorneau), vivant sur les branches et racines aériennes du palétuvier rouge (</w:t>
            </w:r>
            <w:hyperlink r:id="rId1094" w:history="1">
              <w:r w:rsidRPr="005E7B39">
                <w:rPr>
                  <w:rStyle w:val="Lienhypertexte"/>
                  <w:i/>
                  <w:iCs/>
                </w:rPr>
                <w:t>Rhizophora mangle</w:t>
              </w:r>
            </w:hyperlink>
            <w:r w:rsidRPr="005E7B39">
              <w:t>)</w:t>
            </w:r>
            <w:r>
              <w:t>.</w:t>
            </w:r>
          </w:p>
        </w:tc>
      </w:tr>
    </w:tbl>
    <w:p w14:paraId="616F13C1" w14:textId="77777777" w:rsidR="00EF1A93" w:rsidRDefault="00EF1A93" w:rsidP="00EF1A93">
      <w:pPr>
        <w:spacing w:after="0" w:line="240" w:lineRule="auto"/>
      </w:pPr>
    </w:p>
    <w:p w14:paraId="4D9243A7" w14:textId="478544A1" w:rsidR="00C5321F" w:rsidRDefault="007F7BE1" w:rsidP="007F7BE1">
      <w:pPr>
        <w:spacing w:after="0" w:line="240" w:lineRule="auto"/>
        <w:jc w:val="center"/>
      </w:pPr>
      <w:r w:rsidRPr="007F7BE1">
        <w:rPr>
          <w:noProof/>
        </w:rPr>
        <w:drawing>
          <wp:inline distT="0" distB="0" distL="0" distR="0" wp14:anchorId="10E6A79E" wp14:editId="498C679A">
            <wp:extent cx="4819650" cy="6222384"/>
            <wp:effectExtent l="0" t="0" r="0" b="6985"/>
            <wp:docPr id="80914"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2"/>
                    <pic:cNvPicPr>
                      <a:picLocks noChangeAspect="1"/>
                    </pic:cNvPicPr>
                  </pic:nvPicPr>
                  <pic:blipFill>
                    <a:blip r:embed="rId1095">
                      <a:extLst>
                        <a:ext uri="{28A0092B-C50C-407E-A947-70E740481C1C}">
                          <a14:useLocalDpi xmlns:a14="http://schemas.microsoft.com/office/drawing/2010/main" val="0"/>
                        </a:ext>
                      </a:extLst>
                    </a:blip>
                    <a:srcRect/>
                    <a:stretch>
                      <a:fillRect/>
                    </a:stretch>
                  </pic:blipFill>
                  <pic:spPr bwMode="auto">
                    <a:xfrm>
                      <a:off x="0" y="0"/>
                      <a:ext cx="4820449" cy="6223416"/>
                    </a:xfrm>
                    <a:prstGeom prst="rect">
                      <a:avLst/>
                    </a:prstGeom>
                    <a:noFill/>
                    <a:ln>
                      <a:noFill/>
                    </a:ln>
                  </pic:spPr>
                </pic:pic>
              </a:graphicData>
            </a:graphic>
          </wp:inline>
        </w:drawing>
      </w:r>
    </w:p>
    <w:p w14:paraId="5EA6A69C" w14:textId="596AA2C3" w:rsidR="007F7BE1" w:rsidRDefault="007F7BE1" w:rsidP="007F7BE1">
      <w:pPr>
        <w:spacing w:after="0" w:line="240" w:lineRule="auto"/>
        <w:jc w:val="center"/>
      </w:pPr>
      <w:r w:rsidRPr="007F7BE1">
        <w:t>Chaînes alimentaires médiolittorales issues des feuilles de palétuviers (d'après Lear et Turner in Ramade (1984)</w:t>
      </w:r>
      <w:r>
        <w:t xml:space="preserve">. </w:t>
      </w:r>
      <w:r w:rsidRPr="007F7BE1">
        <w:t xml:space="preserve">D’après Ramade, 1984. </w:t>
      </w:r>
      <w:r w:rsidRPr="007F7BE1">
        <w:rPr>
          <w:i/>
          <w:iCs/>
        </w:rPr>
        <w:t>Eléments d'écologie. Ecologie fondamentale</w:t>
      </w:r>
      <w:r w:rsidRPr="007F7BE1">
        <w:t>. McGraw Hill publ., Paris : i-ix + 1-403 + 33 pl. h.t</w:t>
      </w:r>
    </w:p>
    <w:p w14:paraId="2B0CC97C" w14:textId="77777777" w:rsidR="00283CA3" w:rsidRPr="00283CA3" w:rsidRDefault="00283CA3" w:rsidP="00283CA3"/>
    <w:p w14:paraId="221DD5BB" w14:textId="7FC68B6F" w:rsidR="009E078E" w:rsidRDefault="009E078E" w:rsidP="009E078E">
      <w:pPr>
        <w:pStyle w:val="Titre2"/>
      </w:pPr>
      <w:bookmarkStart w:id="120" w:name="_Toc139181411"/>
      <w:r w:rsidRPr="009E078E">
        <w:t>Où sont-elles localisées, dans le monde ?</w:t>
      </w:r>
      <w:bookmarkEnd w:id="120"/>
    </w:p>
    <w:p w14:paraId="3F97D97B" w14:textId="4D699C60" w:rsidR="009E078E" w:rsidRDefault="009E078E" w:rsidP="009E078E">
      <w:pPr>
        <w:spacing w:after="0" w:line="240" w:lineRule="auto"/>
      </w:pPr>
    </w:p>
    <w:p w14:paraId="440FA240" w14:textId="77777777" w:rsidR="009E078E" w:rsidRPr="009E078E" w:rsidRDefault="009E078E" w:rsidP="0022016D">
      <w:pPr>
        <w:pStyle w:val="Paragraphedeliste"/>
        <w:numPr>
          <w:ilvl w:val="0"/>
          <w:numId w:val="13"/>
        </w:numPr>
        <w:spacing w:after="0" w:line="240" w:lineRule="auto"/>
        <w:jc w:val="both"/>
      </w:pPr>
      <w:r w:rsidRPr="009E078E">
        <w:t>Estrans des régions tropicales et subtropicales peu profonds et protégés,</w:t>
      </w:r>
    </w:p>
    <w:p w14:paraId="26D04F36" w14:textId="77777777" w:rsidR="009E078E" w:rsidRPr="009E078E" w:rsidRDefault="009E078E" w:rsidP="0022016D">
      <w:pPr>
        <w:pStyle w:val="Paragraphedeliste"/>
        <w:numPr>
          <w:ilvl w:val="0"/>
          <w:numId w:val="13"/>
        </w:numPr>
        <w:spacing w:after="0" w:line="240" w:lineRule="auto"/>
        <w:jc w:val="both"/>
      </w:pPr>
      <w:r w:rsidRPr="009E078E">
        <w:t>Les mangroves se localisent le long des rivages tropicaux, en eau marine et saumâtre (parfois douce),</w:t>
      </w:r>
    </w:p>
    <w:p w14:paraId="207B9BEB" w14:textId="77777777" w:rsidR="009E078E" w:rsidRPr="009E078E" w:rsidRDefault="009E078E" w:rsidP="0022016D">
      <w:pPr>
        <w:pStyle w:val="Paragraphedeliste"/>
        <w:numPr>
          <w:ilvl w:val="0"/>
          <w:numId w:val="13"/>
        </w:numPr>
        <w:spacing w:after="0" w:line="240" w:lineRule="auto"/>
        <w:jc w:val="both"/>
      </w:pPr>
      <w:r w:rsidRPr="009E078E">
        <w:t>Il y a des mangroves de front de mer, d'îlots, d'estuaire et de lagunes,</w:t>
      </w:r>
    </w:p>
    <w:p w14:paraId="41193CEB" w14:textId="2B983C3A" w:rsidR="009E078E" w:rsidRPr="009E078E" w:rsidRDefault="009E078E" w:rsidP="0022016D">
      <w:pPr>
        <w:pStyle w:val="Paragraphedeliste"/>
        <w:numPr>
          <w:ilvl w:val="0"/>
          <w:numId w:val="13"/>
        </w:numPr>
        <w:spacing w:after="0" w:line="240" w:lineRule="auto"/>
        <w:jc w:val="both"/>
      </w:pPr>
      <w:r w:rsidRPr="009E078E">
        <w:t xml:space="preserve">Les mangroves s'installent généralement sur </w:t>
      </w:r>
      <w:r w:rsidR="000F322C">
        <w:t xml:space="preserve">un </w:t>
      </w:r>
      <w:r w:rsidRPr="009E078E">
        <w:t>substrat meuble.</w:t>
      </w:r>
    </w:p>
    <w:p w14:paraId="0042E635" w14:textId="44ED7AE4" w:rsidR="009E078E" w:rsidRPr="009E078E" w:rsidRDefault="009E078E" w:rsidP="0022016D">
      <w:pPr>
        <w:pStyle w:val="Paragraphedeliste"/>
        <w:numPr>
          <w:ilvl w:val="0"/>
          <w:numId w:val="13"/>
        </w:numPr>
        <w:spacing w:after="0" w:line="240" w:lineRule="auto"/>
        <w:jc w:val="both"/>
      </w:pPr>
      <w:r w:rsidRPr="009E078E">
        <w:t>Restreintes aux habitats marins et intertidaux adjacents,</w:t>
      </w:r>
    </w:p>
    <w:p w14:paraId="218622C6" w14:textId="0A4B3E09" w:rsidR="009E078E" w:rsidRPr="009E078E" w:rsidRDefault="009E078E" w:rsidP="0022016D">
      <w:pPr>
        <w:pStyle w:val="Paragraphedeliste"/>
        <w:numPr>
          <w:ilvl w:val="0"/>
          <w:numId w:val="13"/>
        </w:numPr>
        <w:spacing w:after="0" w:line="240" w:lineRule="auto"/>
        <w:jc w:val="both"/>
      </w:pPr>
      <w:r w:rsidRPr="009E078E">
        <w:lastRenderedPageBreak/>
        <w:t>Plage de température</w:t>
      </w:r>
      <w:r w:rsidR="000F322C">
        <w:t xml:space="preserve"> </w:t>
      </w:r>
      <w:r w:rsidRPr="009E078E">
        <w:t>: 10 ° C à 20 ° C</w:t>
      </w:r>
      <w:r>
        <w:rPr>
          <w:rStyle w:val="Appelnotedebasdep"/>
        </w:rPr>
        <w:footnoteReference w:id="90"/>
      </w:r>
      <w:r w:rsidRPr="009E078E">
        <w:t>.</w:t>
      </w:r>
    </w:p>
    <w:p w14:paraId="67A0EB69" w14:textId="71D8762C" w:rsidR="009E078E" w:rsidRDefault="009E078E" w:rsidP="009E078E">
      <w:pPr>
        <w:spacing w:after="0" w:line="240" w:lineRule="auto"/>
        <w:jc w:val="both"/>
      </w:pPr>
    </w:p>
    <w:p w14:paraId="183A63AF" w14:textId="4DBEB0D4" w:rsidR="009E078E" w:rsidRDefault="00221217" w:rsidP="00221217">
      <w:pPr>
        <w:pStyle w:val="Titre2"/>
      </w:pPr>
      <w:bookmarkStart w:id="121" w:name="_Toc139181412"/>
      <w:r w:rsidRPr="00221217">
        <w:t>Leur résistance au sel</w:t>
      </w:r>
      <w:bookmarkEnd w:id="121"/>
    </w:p>
    <w:p w14:paraId="279292C1" w14:textId="3D14B282" w:rsidR="00221217" w:rsidRDefault="00221217" w:rsidP="009E078E">
      <w:pPr>
        <w:spacing w:after="0" w:line="240" w:lineRule="auto"/>
        <w:jc w:val="both"/>
      </w:pPr>
    </w:p>
    <w:p w14:paraId="37D99AEA" w14:textId="6BEBF925" w:rsidR="00221217" w:rsidRDefault="00221217" w:rsidP="00221217">
      <w:pPr>
        <w:spacing w:after="0" w:line="240" w:lineRule="auto"/>
        <w:jc w:val="both"/>
      </w:pPr>
      <w:r w:rsidRPr="00221217">
        <w:t>Les mangroves ont une tolérance élevée en sel. Ils peuvent survivre bien dans un sol avec une salinité de 9</w:t>
      </w:r>
      <w:r w:rsidR="008B00C8">
        <w:t xml:space="preserve">0 </w:t>
      </w:r>
      <w:r w:rsidR="008B00C8">
        <w:rPr>
          <w:rFonts w:cstheme="minorHAnsi"/>
          <w:rtl/>
        </w:rPr>
        <w:t>؉</w:t>
      </w:r>
      <w:r w:rsidRPr="00221217">
        <w:t xml:space="preserve"> La moyenne de l'océan est de 35 </w:t>
      </w:r>
      <w:r w:rsidR="008B00C8">
        <w:rPr>
          <w:rFonts w:cstheme="minorHAnsi"/>
          <w:rtl/>
        </w:rPr>
        <w:t>؉</w:t>
      </w:r>
      <w:r>
        <w:t xml:space="preserve"> </w:t>
      </w:r>
      <w:r w:rsidR="008B00C8">
        <w:t xml:space="preserve">(35 pour mille). </w:t>
      </w:r>
      <w:r w:rsidRPr="00221217">
        <w:t>Ils ont besoin de se prémunir de la perte d'eau par soit :</w:t>
      </w:r>
    </w:p>
    <w:p w14:paraId="49800B55" w14:textId="77777777" w:rsidR="00221217" w:rsidRPr="00221217" w:rsidRDefault="00221217" w:rsidP="00221217">
      <w:pPr>
        <w:spacing w:after="0" w:line="240" w:lineRule="auto"/>
        <w:jc w:val="both"/>
      </w:pPr>
    </w:p>
    <w:p w14:paraId="3218DDBF" w14:textId="2C9EF2D5" w:rsidR="00221217" w:rsidRPr="00221217" w:rsidRDefault="00221217" w:rsidP="0022016D">
      <w:pPr>
        <w:numPr>
          <w:ilvl w:val="0"/>
          <w:numId w:val="14"/>
        </w:numPr>
        <w:spacing w:after="0" w:line="240" w:lineRule="auto"/>
        <w:jc w:val="both"/>
      </w:pPr>
      <w:r w:rsidRPr="00221217">
        <w:t>L’excrétion du par feuilles</w:t>
      </w:r>
      <w:r w:rsidR="000F322C">
        <w:t>.</w:t>
      </w:r>
    </w:p>
    <w:p w14:paraId="7EFFC0F3" w14:textId="6BAB7B1D" w:rsidR="00221217" w:rsidRPr="00221217" w:rsidRDefault="00221217" w:rsidP="0022016D">
      <w:pPr>
        <w:numPr>
          <w:ilvl w:val="0"/>
          <w:numId w:val="14"/>
        </w:numPr>
        <w:spacing w:after="0" w:line="240" w:lineRule="auto"/>
        <w:jc w:val="both"/>
      </w:pPr>
      <w:r w:rsidRPr="00221217">
        <w:t>L’exclusion du sel dans les racines</w:t>
      </w:r>
      <w:r w:rsidR="000F322C">
        <w:t>.</w:t>
      </w:r>
    </w:p>
    <w:p w14:paraId="349A1EF1" w14:textId="0397A542" w:rsidR="00221217" w:rsidRPr="00221217" w:rsidRDefault="00221217" w:rsidP="0022016D">
      <w:pPr>
        <w:numPr>
          <w:ilvl w:val="0"/>
          <w:numId w:val="14"/>
        </w:numPr>
        <w:spacing w:after="0" w:line="240" w:lineRule="auto"/>
        <w:jc w:val="both"/>
      </w:pPr>
      <w:r w:rsidRPr="00221217">
        <w:t>L’excrétion du sel et l’abscission (en supprimant les organes chargés de sel)</w:t>
      </w:r>
      <w:r w:rsidR="000F322C">
        <w:t>.</w:t>
      </w:r>
    </w:p>
    <w:p w14:paraId="346A439F" w14:textId="77777777" w:rsidR="009E078E" w:rsidRPr="009E078E" w:rsidRDefault="009E078E" w:rsidP="009E078E">
      <w:pPr>
        <w:spacing w:after="0" w:line="240" w:lineRule="auto"/>
      </w:pPr>
    </w:p>
    <w:p w14:paraId="3038C8DF" w14:textId="3D405D39" w:rsidR="001A590D" w:rsidRDefault="001A590D" w:rsidP="001A590D">
      <w:pPr>
        <w:pStyle w:val="Titre2"/>
      </w:pPr>
      <w:bookmarkStart w:id="122" w:name="_Toc139181413"/>
      <w:r>
        <w:t>Ecologie de la Mangrove</w:t>
      </w:r>
      <w:bookmarkEnd w:id="122"/>
    </w:p>
    <w:p w14:paraId="0D7EEA62" w14:textId="77777777" w:rsidR="001A590D" w:rsidRDefault="001A590D" w:rsidP="001A590D">
      <w:pPr>
        <w:spacing w:after="0" w:line="240" w:lineRule="auto"/>
      </w:pPr>
    </w:p>
    <w:p w14:paraId="58F25D22" w14:textId="4B0E1FB9" w:rsidR="001A590D" w:rsidRPr="00CF6014" w:rsidRDefault="000F322C" w:rsidP="000F322C">
      <w:pPr>
        <w:spacing w:after="0" w:line="240" w:lineRule="auto"/>
        <w:jc w:val="both"/>
      </w:pPr>
      <w:r w:rsidRPr="000F322C">
        <w:t>La mangrove vit dans la zone de transition écologique entre milieu continental et milieu marin.</w:t>
      </w:r>
      <w:r w:rsidRPr="00CF6014">
        <w:t xml:space="preserve"> </w:t>
      </w:r>
      <w:r w:rsidR="001A590D" w:rsidRPr="00CF6014">
        <w:t>Les plantes</w:t>
      </w:r>
      <w:r w:rsidR="00CF6014" w:rsidRPr="00CF6014">
        <w:t>,</w:t>
      </w:r>
      <w:r w:rsidR="001A590D" w:rsidRPr="00CF6014">
        <w:t xml:space="preserve"> se développant dans la mangrove (palétuviers, badamier …)</w:t>
      </w:r>
      <w:r w:rsidR="00CF6014" w:rsidRPr="00CF6014">
        <w:t>,</w:t>
      </w:r>
      <w:r w:rsidR="001A590D" w:rsidRPr="00CF6014">
        <w:t xml:space="preserve"> sont adaptées à un milieu hostile, ayant ces caractéristiques</w:t>
      </w:r>
      <w:r w:rsidR="00CF6014" w:rsidRPr="00CF6014">
        <w:t xml:space="preserve"> suivantes</w:t>
      </w:r>
      <w:r w:rsidR="001A590D" w:rsidRPr="00CF6014">
        <w:t xml:space="preserve"> :</w:t>
      </w:r>
    </w:p>
    <w:p w14:paraId="64EBCFA5" w14:textId="77777777" w:rsidR="001A590D" w:rsidRDefault="001A590D" w:rsidP="001A590D">
      <w:pPr>
        <w:spacing w:after="0" w:line="240" w:lineRule="auto"/>
      </w:pPr>
    </w:p>
    <w:p w14:paraId="4589D52B" w14:textId="3F24727F" w:rsidR="001A590D" w:rsidRDefault="001A590D" w:rsidP="0022016D">
      <w:pPr>
        <w:pStyle w:val="Paragraphedeliste"/>
        <w:numPr>
          <w:ilvl w:val="0"/>
          <w:numId w:val="13"/>
        </w:numPr>
        <w:spacing w:after="0" w:line="240" w:lineRule="auto"/>
      </w:pPr>
      <w:r>
        <w:t>Une salinité élevée,</w:t>
      </w:r>
    </w:p>
    <w:p w14:paraId="53C39F7F" w14:textId="24245338" w:rsidR="001A590D" w:rsidRDefault="001A590D" w:rsidP="0022016D">
      <w:pPr>
        <w:pStyle w:val="Paragraphedeliste"/>
        <w:numPr>
          <w:ilvl w:val="0"/>
          <w:numId w:val="13"/>
        </w:numPr>
        <w:spacing w:after="0" w:line="240" w:lineRule="auto"/>
      </w:pPr>
      <w:r>
        <w:t>Des racines immergées,</w:t>
      </w:r>
    </w:p>
    <w:p w14:paraId="12CAB2EA" w14:textId="18753250" w:rsidR="001A590D" w:rsidRDefault="001A590D" w:rsidP="0022016D">
      <w:pPr>
        <w:pStyle w:val="Paragraphedeliste"/>
        <w:numPr>
          <w:ilvl w:val="0"/>
          <w:numId w:val="13"/>
        </w:numPr>
        <w:spacing w:after="0" w:line="240" w:lineRule="auto"/>
      </w:pPr>
      <w:r>
        <w:t>Une faible oxygénation du sol due à la vase,</w:t>
      </w:r>
    </w:p>
    <w:p w14:paraId="053E8471" w14:textId="6D2881D0" w:rsidR="001A590D" w:rsidRDefault="001A590D" w:rsidP="0022016D">
      <w:pPr>
        <w:pStyle w:val="Paragraphedeliste"/>
        <w:numPr>
          <w:ilvl w:val="0"/>
          <w:numId w:val="13"/>
        </w:numPr>
        <w:spacing w:after="0" w:line="240" w:lineRule="auto"/>
      </w:pPr>
      <w:r>
        <w:t>Un sol instable,</w:t>
      </w:r>
    </w:p>
    <w:p w14:paraId="4A6B96D3" w14:textId="79581766" w:rsidR="001A590D" w:rsidRDefault="001A590D" w:rsidP="0022016D">
      <w:pPr>
        <w:pStyle w:val="Paragraphedeliste"/>
        <w:numPr>
          <w:ilvl w:val="0"/>
          <w:numId w:val="13"/>
        </w:numPr>
        <w:spacing w:after="0" w:line="240" w:lineRule="auto"/>
      </w:pPr>
      <w:r>
        <w:t>Des eaux chaudes (Wikipedia 2010).</w:t>
      </w:r>
    </w:p>
    <w:p w14:paraId="2B1E1734" w14:textId="77777777" w:rsidR="00E7779D" w:rsidRDefault="00E7779D" w:rsidP="00E7779D">
      <w:pPr>
        <w:spacing w:after="0" w:line="240" w:lineRule="auto"/>
      </w:pPr>
    </w:p>
    <w:p w14:paraId="3C6CF9BC" w14:textId="77777777" w:rsidR="00E7779D" w:rsidRDefault="00E7779D" w:rsidP="00E7779D">
      <w:pPr>
        <w:spacing w:after="0" w:line="240" w:lineRule="auto"/>
        <w:jc w:val="both"/>
      </w:pPr>
      <w:r>
        <w:t xml:space="preserve">La mangrove héberge des animaux : crabes (crabes violonistes …), poissons (périophtalmes …), ses crustacés, fameuses huîtres et délicieux mollusques.  Elle sert de nurserie aux alevins. </w:t>
      </w:r>
    </w:p>
    <w:p w14:paraId="7DDC7F9B" w14:textId="0AACA815" w:rsidR="001A590D" w:rsidRDefault="001A590D" w:rsidP="003256AA">
      <w:pPr>
        <w:spacing w:after="0" w:line="240" w:lineRule="auto"/>
      </w:pPr>
    </w:p>
    <w:p w14:paraId="1CB8E23B" w14:textId="532C1A99" w:rsidR="001D57D7" w:rsidRDefault="001D57D7" w:rsidP="001D57D7">
      <w:pPr>
        <w:pStyle w:val="Titre2"/>
      </w:pPr>
      <w:bookmarkStart w:id="123" w:name="_Toc139181414"/>
      <w:r w:rsidRPr="001D57D7">
        <w:t>Les facteurs physiques influençant la croissance et le développement des mangroves</w:t>
      </w:r>
      <w:bookmarkEnd w:id="123"/>
    </w:p>
    <w:p w14:paraId="5E053633" w14:textId="08FD1B79" w:rsidR="001D57D7" w:rsidRDefault="001D57D7" w:rsidP="003256AA">
      <w:pPr>
        <w:spacing w:after="0" w:line="240" w:lineRule="auto"/>
      </w:pPr>
    </w:p>
    <w:p w14:paraId="32AFA39D" w14:textId="5FD4488C" w:rsidR="001D57D7" w:rsidRPr="001D57D7" w:rsidRDefault="001D57D7" w:rsidP="0022016D">
      <w:pPr>
        <w:pStyle w:val="Paragraphedeliste"/>
        <w:numPr>
          <w:ilvl w:val="0"/>
          <w:numId w:val="15"/>
        </w:numPr>
        <w:spacing w:after="0" w:line="240" w:lineRule="auto"/>
        <w:jc w:val="both"/>
      </w:pPr>
      <w:r w:rsidRPr="001D57D7">
        <w:t>L'action des vagues : vent de la côte au vent (plus de flux de marée) v</w:t>
      </w:r>
      <w:r>
        <w:t>ersus</w:t>
      </w:r>
      <w:r w:rsidRPr="001D57D7">
        <w:t xml:space="preserve"> vent de la côte sous le vent (plus de conditions de anoxiques, de stagnation, de prolifération d'algues),</w:t>
      </w:r>
    </w:p>
    <w:p w14:paraId="17247C61" w14:textId="77777777" w:rsidR="001D57D7" w:rsidRPr="001D57D7" w:rsidRDefault="001D57D7" w:rsidP="0022016D">
      <w:pPr>
        <w:pStyle w:val="Paragraphedeliste"/>
        <w:numPr>
          <w:ilvl w:val="0"/>
          <w:numId w:val="15"/>
        </w:numPr>
        <w:spacing w:after="0" w:line="240" w:lineRule="auto"/>
        <w:jc w:val="both"/>
      </w:pPr>
      <w:r w:rsidRPr="001D57D7">
        <w:t>Les nutriments,</w:t>
      </w:r>
    </w:p>
    <w:p w14:paraId="6DC44D82" w14:textId="77777777" w:rsidR="001D57D7" w:rsidRPr="001D57D7" w:rsidRDefault="001D57D7" w:rsidP="0022016D">
      <w:pPr>
        <w:pStyle w:val="Paragraphedeliste"/>
        <w:numPr>
          <w:ilvl w:val="0"/>
          <w:numId w:val="15"/>
        </w:numPr>
        <w:spacing w:after="0" w:line="240" w:lineRule="auto"/>
        <w:jc w:val="both"/>
      </w:pPr>
      <w:r w:rsidRPr="001D57D7">
        <w:t>Le flux de la marée (la force de la marée),</w:t>
      </w:r>
    </w:p>
    <w:p w14:paraId="1EDE5DE1" w14:textId="77777777" w:rsidR="001D57D7" w:rsidRPr="001D57D7" w:rsidRDefault="001D57D7" w:rsidP="0022016D">
      <w:pPr>
        <w:pStyle w:val="Paragraphedeliste"/>
        <w:numPr>
          <w:ilvl w:val="0"/>
          <w:numId w:val="15"/>
        </w:numPr>
        <w:spacing w:after="0" w:line="240" w:lineRule="auto"/>
        <w:jc w:val="both"/>
      </w:pPr>
      <w:r w:rsidRPr="001D57D7">
        <w:t>Le flux fluviale (la force du fleuve),</w:t>
      </w:r>
    </w:p>
    <w:p w14:paraId="53C438B5" w14:textId="77777777" w:rsidR="001D57D7" w:rsidRPr="001D57D7" w:rsidRDefault="001D57D7" w:rsidP="0022016D">
      <w:pPr>
        <w:pStyle w:val="Paragraphedeliste"/>
        <w:numPr>
          <w:ilvl w:val="0"/>
          <w:numId w:val="15"/>
        </w:numPr>
        <w:spacing w:after="0" w:line="240" w:lineRule="auto"/>
        <w:jc w:val="both"/>
      </w:pPr>
      <w:r w:rsidRPr="001D57D7">
        <w:t>Le couvert forestier,</w:t>
      </w:r>
    </w:p>
    <w:p w14:paraId="55F7F87F" w14:textId="39448FA2" w:rsidR="001D57D7" w:rsidRPr="001D57D7" w:rsidRDefault="001D57D7" w:rsidP="0022016D">
      <w:pPr>
        <w:pStyle w:val="Paragraphedeliste"/>
        <w:numPr>
          <w:ilvl w:val="0"/>
          <w:numId w:val="15"/>
        </w:numPr>
        <w:spacing w:after="0" w:line="240" w:lineRule="auto"/>
        <w:jc w:val="both"/>
      </w:pPr>
      <w:r w:rsidRPr="001D57D7">
        <w:t>sol: sa faible teneur en oxygène (anaérobie), sa haute teneur en sulfure d'hydrogène, les sols à grains fins (boueux),</w:t>
      </w:r>
      <w:r>
        <w:t xml:space="preserve"> </w:t>
      </w:r>
      <w:r w:rsidRPr="001D57D7">
        <w:t>les bactéries anaérobies de réduction du soufre,</w:t>
      </w:r>
    </w:p>
    <w:p w14:paraId="250504D8" w14:textId="77777777" w:rsidR="001D57D7" w:rsidRPr="001D57D7" w:rsidRDefault="001D57D7" w:rsidP="0022016D">
      <w:pPr>
        <w:pStyle w:val="Paragraphedeliste"/>
        <w:numPr>
          <w:ilvl w:val="0"/>
          <w:numId w:val="15"/>
        </w:numPr>
        <w:spacing w:after="0" w:line="240" w:lineRule="auto"/>
        <w:jc w:val="both"/>
      </w:pPr>
      <w:r w:rsidRPr="001D57D7">
        <w:t>Les coquilles calcaires de mollusques sont utilisées par les bactéries de soufre --- qui, à leur tour, fournissent les nutriments Ca ++ que la mangrove et d'autres animaux ont besoin, mais qui augmentent également l'alcalinité du sol.</w:t>
      </w:r>
    </w:p>
    <w:p w14:paraId="7113955F" w14:textId="30D3AB18" w:rsidR="001D57D7" w:rsidRDefault="001D57D7" w:rsidP="001D57D7">
      <w:pPr>
        <w:spacing w:after="0" w:line="240" w:lineRule="auto"/>
        <w:jc w:val="both"/>
      </w:pPr>
    </w:p>
    <w:p w14:paraId="435780D9" w14:textId="5DFDEE2D" w:rsidR="001D57D7" w:rsidRDefault="001D57D7" w:rsidP="001D57D7">
      <w:pPr>
        <w:pStyle w:val="Titre2"/>
      </w:pPr>
      <w:bookmarkStart w:id="124" w:name="_Toc139181415"/>
      <w:r w:rsidRPr="001D57D7">
        <w:t>Les facteurs de stress</w:t>
      </w:r>
      <w:bookmarkEnd w:id="124"/>
    </w:p>
    <w:p w14:paraId="71A71228" w14:textId="31707242" w:rsidR="001D57D7" w:rsidRDefault="001D57D7" w:rsidP="001D57D7">
      <w:pPr>
        <w:spacing w:after="0" w:line="240" w:lineRule="auto"/>
        <w:jc w:val="both"/>
      </w:pPr>
    </w:p>
    <w:p w14:paraId="76876D14" w14:textId="26E1E2B9" w:rsidR="001D57D7" w:rsidRPr="001D57D7" w:rsidRDefault="001D57D7" w:rsidP="0022016D">
      <w:pPr>
        <w:pStyle w:val="Paragraphedeliste"/>
        <w:numPr>
          <w:ilvl w:val="0"/>
          <w:numId w:val="16"/>
        </w:numPr>
        <w:spacing w:after="0" w:line="240" w:lineRule="auto"/>
        <w:jc w:val="both"/>
      </w:pPr>
      <w:r w:rsidRPr="001D57D7">
        <w:t>Canalisation, drainage, et envasement</w:t>
      </w:r>
      <w:r>
        <w:t>.</w:t>
      </w:r>
    </w:p>
    <w:p w14:paraId="44709C84" w14:textId="318A6F70" w:rsidR="001D57D7" w:rsidRPr="001D57D7" w:rsidRDefault="001D57D7" w:rsidP="0022016D">
      <w:pPr>
        <w:pStyle w:val="Paragraphedeliste"/>
        <w:numPr>
          <w:ilvl w:val="0"/>
          <w:numId w:val="16"/>
        </w:numPr>
        <w:spacing w:after="0" w:line="240" w:lineRule="auto"/>
        <w:jc w:val="both"/>
      </w:pPr>
      <w:r w:rsidRPr="001D57D7">
        <w:t>Ouragan</w:t>
      </w:r>
      <w:r>
        <w:t>.</w:t>
      </w:r>
    </w:p>
    <w:p w14:paraId="2F313E5C" w14:textId="058A9BDF" w:rsidR="001D57D7" w:rsidRPr="001D57D7" w:rsidRDefault="001D57D7" w:rsidP="0022016D">
      <w:pPr>
        <w:pStyle w:val="Paragraphedeliste"/>
        <w:numPr>
          <w:ilvl w:val="0"/>
          <w:numId w:val="16"/>
        </w:numPr>
        <w:spacing w:after="0" w:line="240" w:lineRule="auto"/>
        <w:jc w:val="both"/>
      </w:pPr>
      <w:r w:rsidRPr="001D57D7">
        <w:t>Les herbicides et défoliants</w:t>
      </w:r>
      <w:r>
        <w:t>.</w:t>
      </w:r>
    </w:p>
    <w:p w14:paraId="0F321110" w14:textId="531FC9B9" w:rsidR="001D57D7" w:rsidRPr="001D57D7" w:rsidRDefault="001D57D7" w:rsidP="0022016D">
      <w:pPr>
        <w:pStyle w:val="Paragraphedeliste"/>
        <w:numPr>
          <w:ilvl w:val="0"/>
          <w:numId w:val="16"/>
        </w:numPr>
        <w:spacing w:after="0" w:line="240" w:lineRule="auto"/>
        <w:jc w:val="both"/>
      </w:pPr>
      <w:r w:rsidRPr="001D57D7">
        <w:t>Pesticides et pollution</w:t>
      </w:r>
      <w:r>
        <w:t>.</w:t>
      </w:r>
    </w:p>
    <w:p w14:paraId="0EC54ACA" w14:textId="190E42A7" w:rsidR="001D57D7" w:rsidRPr="001D57D7" w:rsidRDefault="001D57D7" w:rsidP="0022016D">
      <w:pPr>
        <w:pStyle w:val="Paragraphedeliste"/>
        <w:numPr>
          <w:ilvl w:val="0"/>
          <w:numId w:val="16"/>
        </w:numPr>
        <w:spacing w:after="0" w:line="240" w:lineRule="auto"/>
        <w:jc w:val="both"/>
      </w:pPr>
      <w:r w:rsidRPr="001D57D7">
        <w:lastRenderedPageBreak/>
        <w:t>Charge thermique (chaleur)</w:t>
      </w:r>
      <w:r>
        <w:t>.</w:t>
      </w:r>
    </w:p>
    <w:p w14:paraId="51736E6F" w14:textId="0F705B30" w:rsidR="001D57D7" w:rsidRDefault="001D57D7" w:rsidP="003256AA">
      <w:pPr>
        <w:spacing w:after="0" w:line="240" w:lineRule="auto"/>
      </w:pPr>
    </w:p>
    <w:p w14:paraId="6467073E" w14:textId="14DDA3F1" w:rsidR="0076695B" w:rsidRDefault="0076695B" w:rsidP="00144C3A">
      <w:pPr>
        <w:pStyle w:val="Titre2"/>
      </w:pPr>
      <w:bookmarkStart w:id="125" w:name="_Toc139181416"/>
      <w:r w:rsidRPr="0076695B">
        <w:t>Physiologie, reproduction</w:t>
      </w:r>
      <w:bookmarkEnd w:id="125"/>
    </w:p>
    <w:p w14:paraId="5D4A8964" w14:textId="7073ABC2" w:rsidR="0076695B" w:rsidRDefault="0076695B" w:rsidP="003256AA">
      <w:pPr>
        <w:spacing w:after="0" w:line="240" w:lineRule="auto"/>
      </w:pPr>
    </w:p>
    <w:p w14:paraId="178BDB7C" w14:textId="77777777" w:rsidR="0076695B" w:rsidRPr="0076695B" w:rsidRDefault="0076695B" w:rsidP="0022016D">
      <w:pPr>
        <w:pStyle w:val="Paragraphedeliste"/>
        <w:numPr>
          <w:ilvl w:val="0"/>
          <w:numId w:val="17"/>
        </w:numPr>
        <w:spacing w:after="0" w:line="240" w:lineRule="auto"/>
        <w:jc w:val="both"/>
      </w:pPr>
      <w:r w:rsidRPr="0076695B">
        <w:t>La plupart des mangroves sont vivipares, leurs propagules tombent des branches et sont emportés par les vagues.</w:t>
      </w:r>
    </w:p>
    <w:p w14:paraId="6B6FF0FF" w14:textId="7EFF0C96" w:rsidR="0076695B" w:rsidRPr="0076695B" w:rsidRDefault="0076695B" w:rsidP="0022016D">
      <w:pPr>
        <w:pStyle w:val="Paragraphedeliste"/>
        <w:numPr>
          <w:ilvl w:val="0"/>
          <w:numId w:val="17"/>
        </w:numPr>
        <w:spacing w:after="0" w:line="240" w:lineRule="auto"/>
        <w:jc w:val="both"/>
      </w:pPr>
      <w:r w:rsidRPr="0076695B">
        <w:t>Pas d'étape de repos des graines : le corps fructificateur (la propagule) est un semis.</w:t>
      </w:r>
    </w:p>
    <w:p w14:paraId="2091326E" w14:textId="283D6511" w:rsidR="0076695B" w:rsidRDefault="0076695B" w:rsidP="0022016D">
      <w:pPr>
        <w:pStyle w:val="Paragraphedeliste"/>
        <w:numPr>
          <w:ilvl w:val="0"/>
          <w:numId w:val="17"/>
        </w:numPr>
        <w:spacing w:after="0" w:line="240" w:lineRule="auto"/>
        <w:jc w:val="both"/>
      </w:pPr>
      <w:r w:rsidRPr="0076695B">
        <w:t xml:space="preserve">Les palétuviers présentent un certain nombre </w:t>
      </w:r>
      <w:r w:rsidRPr="0076695B">
        <w:rPr>
          <w:b/>
          <w:bCs/>
        </w:rPr>
        <w:t>d'adaptations</w:t>
      </w:r>
      <w:r w:rsidRPr="0076695B">
        <w:t xml:space="preserve"> au milieu très particulier dans lequel ils vivent. Leurs </w:t>
      </w:r>
      <w:r w:rsidRPr="0076695B">
        <w:rPr>
          <w:b/>
          <w:bCs/>
        </w:rPr>
        <w:t>graines</w:t>
      </w:r>
      <w:r w:rsidRPr="0076695B">
        <w:t xml:space="preserve"> sont souvent vivipares : elles germent sur l'arbre afin de se ficher dans la vase quand elles tombent (</w:t>
      </w:r>
      <w:r w:rsidRPr="0076695B">
        <w:rPr>
          <w:i/>
          <w:iCs/>
        </w:rPr>
        <w:t>Rhizophora, Avicennia</w:t>
      </w:r>
      <w:r w:rsidRPr="0076695B">
        <w:t>)</w:t>
      </w:r>
      <w:r>
        <w:t>.</w:t>
      </w:r>
    </w:p>
    <w:p w14:paraId="5B8AA1F2" w14:textId="560C89EB" w:rsidR="0076695B" w:rsidRDefault="0076695B" w:rsidP="003256AA">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9F2CBF" w14:paraId="29CA4018" w14:textId="77777777" w:rsidTr="009F2CBF">
        <w:tc>
          <w:tcPr>
            <w:tcW w:w="3472" w:type="dxa"/>
          </w:tcPr>
          <w:p w14:paraId="0959EDEC" w14:textId="7AB28188" w:rsidR="009F2CBF" w:rsidRDefault="009F2CBF" w:rsidP="009F2CBF">
            <w:pPr>
              <w:jc w:val="center"/>
            </w:pPr>
            <w:r w:rsidRPr="009F2CBF">
              <w:rPr>
                <w:noProof/>
              </w:rPr>
              <w:drawing>
                <wp:inline distT="0" distB="0" distL="0" distR="0" wp14:anchorId="2D202D87" wp14:editId="467F55E8">
                  <wp:extent cx="1733550" cy="2019300"/>
                  <wp:effectExtent l="0" t="0" r="0" b="0"/>
                  <wp:docPr id="11271"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1" name="Image 2"/>
                          <pic:cNvPicPr>
                            <a:picLocks noChangeAspect="1"/>
                          </pic:cNvPicPr>
                        </pic:nvPicPr>
                        <pic:blipFill>
                          <a:blip r:embed="rId1096">
                            <a:extLst>
                              <a:ext uri="{28A0092B-C50C-407E-A947-70E740481C1C}">
                                <a14:useLocalDpi xmlns:a14="http://schemas.microsoft.com/office/drawing/2010/main" val="0"/>
                              </a:ext>
                            </a:extLst>
                          </a:blip>
                          <a:srcRect/>
                          <a:stretch>
                            <a:fillRect/>
                          </a:stretch>
                        </pic:blipFill>
                        <pic:spPr bwMode="auto">
                          <a:xfrm>
                            <a:off x="0" y="0"/>
                            <a:ext cx="1733550" cy="2019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030BDA6B" w14:textId="77777777" w:rsidR="009F2CBF" w:rsidRDefault="009F2CBF" w:rsidP="009F2CBF">
            <w:pPr>
              <w:jc w:val="center"/>
            </w:pPr>
            <w:r w:rsidRPr="009F2CBF">
              <w:rPr>
                <w:noProof/>
              </w:rPr>
              <w:drawing>
                <wp:inline distT="0" distB="0" distL="0" distR="0" wp14:anchorId="15BC1D19" wp14:editId="0C44C938">
                  <wp:extent cx="1721803" cy="1933575"/>
                  <wp:effectExtent l="0" t="0" r="0" b="0"/>
                  <wp:docPr id="11272"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2" name="Image 3"/>
                          <pic:cNvPicPr>
                            <a:picLocks noChangeAspect="1"/>
                          </pic:cNvPicPr>
                        </pic:nvPicPr>
                        <pic:blipFill>
                          <a:blip r:embed="rId1097">
                            <a:extLst>
                              <a:ext uri="{28A0092B-C50C-407E-A947-70E740481C1C}">
                                <a14:useLocalDpi xmlns:a14="http://schemas.microsoft.com/office/drawing/2010/main" val="0"/>
                              </a:ext>
                            </a:extLst>
                          </a:blip>
                          <a:srcRect/>
                          <a:stretch>
                            <a:fillRect/>
                          </a:stretch>
                        </pic:blipFill>
                        <pic:spPr bwMode="auto">
                          <a:xfrm>
                            <a:off x="0" y="0"/>
                            <a:ext cx="1723711" cy="1935718"/>
                          </a:xfrm>
                          <a:prstGeom prst="rect">
                            <a:avLst/>
                          </a:prstGeom>
                          <a:noFill/>
                          <a:ln>
                            <a:noFill/>
                          </a:ln>
                        </pic:spPr>
                      </pic:pic>
                    </a:graphicData>
                  </a:graphic>
                </wp:inline>
              </w:drawing>
            </w:r>
          </w:p>
          <w:p w14:paraId="5A093A18" w14:textId="73E312BB" w:rsidR="009F2CBF" w:rsidRDefault="009F2CBF" w:rsidP="009F2CBF">
            <w:pPr>
              <w:jc w:val="center"/>
            </w:pPr>
            <w:r w:rsidRPr="009F2CBF">
              <w:t>Une graine germée sur l'arbre (vivipare</w:t>
            </w:r>
            <w:r>
              <w:t>).</w:t>
            </w:r>
          </w:p>
        </w:tc>
        <w:tc>
          <w:tcPr>
            <w:tcW w:w="3472" w:type="dxa"/>
          </w:tcPr>
          <w:p w14:paraId="57BCC245" w14:textId="77777777" w:rsidR="009F2CBF" w:rsidRDefault="009F2CBF" w:rsidP="009F2CBF">
            <w:pPr>
              <w:jc w:val="center"/>
            </w:pPr>
            <w:r w:rsidRPr="009F2CBF">
              <w:rPr>
                <w:noProof/>
              </w:rPr>
              <w:drawing>
                <wp:inline distT="0" distB="0" distL="0" distR="0" wp14:anchorId="490C250E" wp14:editId="242F0B93">
                  <wp:extent cx="1555853" cy="1933575"/>
                  <wp:effectExtent l="0" t="0" r="6350" b="0"/>
                  <wp:docPr id="11273"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3" name="Image 4"/>
                          <pic:cNvPicPr>
                            <a:picLocks noChangeAspect="1"/>
                          </pic:cNvPicPr>
                        </pic:nvPicPr>
                        <pic:blipFill>
                          <a:blip r:embed="rId1098">
                            <a:extLst>
                              <a:ext uri="{28A0092B-C50C-407E-A947-70E740481C1C}">
                                <a14:useLocalDpi xmlns:a14="http://schemas.microsoft.com/office/drawing/2010/main" val="0"/>
                              </a:ext>
                            </a:extLst>
                          </a:blip>
                          <a:srcRect/>
                          <a:stretch>
                            <a:fillRect/>
                          </a:stretch>
                        </pic:blipFill>
                        <pic:spPr bwMode="auto">
                          <a:xfrm>
                            <a:off x="0" y="0"/>
                            <a:ext cx="1560072" cy="1938819"/>
                          </a:xfrm>
                          <a:prstGeom prst="rect">
                            <a:avLst/>
                          </a:prstGeom>
                          <a:noFill/>
                          <a:ln>
                            <a:noFill/>
                          </a:ln>
                        </pic:spPr>
                      </pic:pic>
                    </a:graphicData>
                  </a:graphic>
                </wp:inline>
              </w:drawing>
            </w:r>
          </w:p>
          <w:p w14:paraId="2F068FE0" w14:textId="16AA1AEE" w:rsidR="009F2CBF" w:rsidRDefault="009F2CBF" w:rsidP="009F2CBF">
            <w:pPr>
              <w:jc w:val="center"/>
            </w:pPr>
            <w:r w:rsidRPr="009F2CBF">
              <w:t>Une graine germée (plantule) fichée dans la vase</w:t>
            </w:r>
            <w:r>
              <w:t>.</w:t>
            </w:r>
          </w:p>
        </w:tc>
      </w:tr>
    </w:tbl>
    <w:p w14:paraId="36907111" w14:textId="3B28D611" w:rsidR="00026520" w:rsidRDefault="00026520" w:rsidP="00026520">
      <w:pPr>
        <w:spacing w:after="0" w:line="240" w:lineRule="auto"/>
      </w:pPr>
    </w:p>
    <w:p w14:paraId="69E7D153" w14:textId="77777777" w:rsidR="00EF1A93" w:rsidRPr="00130C9E" w:rsidRDefault="00EF1A93" w:rsidP="00130C9E">
      <w:pPr>
        <w:pStyle w:val="Titre2"/>
        <w:rPr>
          <w:rStyle w:val="Caractresdenotedebasdepage"/>
        </w:rPr>
      </w:pPr>
      <w:bookmarkStart w:id="126" w:name="_Toc139181417"/>
      <w:r w:rsidRPr="00130C9E">
        <w:rPr>
          <w:rStyle w:val="Caractresdenotedebasdepage"/>
        </w:rPr>
        <w:t>Racines aériennes et pneumatophores</w:t>
      </w:r>
      <w:bookmarkEnd w:id="126"/>
    </w:p>
    <w:p w14:paraId="28A9231E" w14:textId="77777777" w:rsidR="00EF1A93" w:rsidRDefault="00EF1A93" w:rsidP="00026520">
      <w:pPr>
        <w:spacing w:after="0" w:line="240" w:lineRule="auto"/>
      </w:pPr>
    </w:p>
    <w:p w14:paraId="066A39E8" w14:textId="66788252" w:rsidR="00026520" w:rsidRDefault="00026520" w:rsidP="00144C3A">
      <w:pPr>
        <w:spacing w:after="0" w:line="240" w:lineRule="auto"/>
        <w:jc w:val="both"/>
      </w:pPr>
      <w:r w:rsidRPr="00026520">
        <w:t xml:space="preserve">Les </w:t>
      </w:r>
      <w:r w:rsidRPr="00026520">
        <w:rPr>
          <w:i/>
          <w:iCs/>
        </w:rPr>
        <w:t>racines aériennes</w:t>
      </w:r>
      <w:r w:rsidRPr="00026520">
        <w:t xml:space="preserve"> aident à soutenir l'arbre. Ce système racinaire peut être très étendu.</w:t>
      </w:r>
      <w:r w:rsidR="00144C3A">
        <w:t xml:space="preserve"> </w:t>
      </w:r>
      <w:r w:rsidRPr="00026520">
        <w:t xml:space="preserve">Les </w:t>
      </w:r>
      <w:r w:rsidRPr="00026520">
        <w:rPr>
          <w:i/>
          <w:iCs/>
        </w:rPr>
        <w:t>pneumatophores</w:t>
      </w:r>
      <w:r w:rsidRPr="00026520">
        <w:t xml:space="preserve"> ont une fonction respiratoire. Le sol est très anaérobie, de sorte que les pneumatophores se maintiennent au-dessus de la surface et capture l'oxygène O2. Ils fonctionnent aussi en repoussant les nutriments vers la couche supérieure du sol</w:t>
      </w:r>
      <w:r>
        <w:t>.</w:t>
      </w:r>
      <w:r w:rsidR="00144C3A">
        <w:t xml:space="preserve"> </w:t>
      </w:r>
      <w:r w:rsidR="00144C3A" w:rsidRPr="00144C3A">
        <w:t xml:space="preserve">Les </w:t>
      </w:r>
      <w:r w:rsidR="00144C3A" w:rsidRPr="00144C3A">
        <w:rPr>
          <w:i/>
          <w:iCs/>
        </w:rPr>
        <w:t xml:space="preserve">racines échasses </w:t>
      </w:r>
      <w:r w:rsidR="00144C3A" w:rsidRPr="00144C3A">
        <w:t xml:space="preserve">et les </w:t>
      </w:r>
      <w:r w:rsidR="00144C3A" w:rsidRPr="00144C3A">
        <w:rPr>
          <w:i/>
          <w:iCs/>
        </w:rPr>
        <w:t>pneumatophores</w:t>
      </w:r>
      <w:r w:rsidR="00144C3A" w:rsidRPr="00144C3A">
        <w:t xml:space="preserve"> peuvent porter les huitres et autres coquillages. </w:t>
      </w:r>
    </w:p>
    <w:p w14:paraId="63B9BBA1" w14:textId="77777777" w:rsidR="00144C3A" w:rsidRDefault="00144C3A" w:rsidP="00144C3A">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144C3A" w14:paraId="6BEAD841" w14:textId="77777777" w:rsidTr="00283CA3">
        <w:tc>
          <w:tcPr>
            <w:tcW w:w="3472" w:type="dxa"/>
          </w:tcPr>
          <w:p w14:paraId="3BF8BFA4" w14:textId="77777777" w:rsidR="00026520" w:rsidRDefault="00283CA3" w:rsidP="00026520">
            <w:pPr>
              <w:jc w:val="center"/>
            </w:pPr>
            <w:r w:rsidRPr="00283CA3">
              <w:rPr>
                <w:noProof/>
              </w:rPr>
              <w:drawing>
                <wp:inline distT="0" distB="0" distL="0" distR="0" wp14:anchorId="61DE266E" wp14:editId="1CB49511">
                  <wp:extent cx="1876425" cy="1667685"/>
                  <wp:effectExtent l="19050" t="19050" r="9525" b="27940"/>
                  <wp:docPr id="1229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5" name="Picture 5"/>
                          <pic:cNvPicPr>
                            <a:picLocks noChangeAspect="1" noChangeArrowheads="1"/>
                          </pic:cNvPicPr>
                        </pic:nvPicPr>
                        <pic:blipFill>
                          <a:blip r:embed="rId1099">
                            <a:extLst>
                              <a:ext uri="{28A0092B-C50C-407E-A947-70E740481C1C}">
                                <a14:useLocalDpi xmlns:a14="http://schemas.microsoft.com/office/drawing/2010/main" val="0"/>
                              </a:ext>
                            </a:extLst>
                          </a:blip>
                          <a:srcRect/>
                          <a:stretch>
                            <a:fillRect/>
                          </a:stretch>
                        </pic:blipFill>
                        <pic:spPr bwMode="auto">
                          <a:xfrm>
                            <a:off x="0" y="0"/>
                            <a:ext cx="1882352" cy="1672953"/>
                          </a:xfrm>
                          <a:prstGeom prst="rect">
                            <a:avLst/>
                          </a:prstGeom>
                          <a:noFill/>
                          <a:ln w="9525">
                            <a:solidFill>
                              <a:schemeClr val="tx1"/>
                            </a:solidFill>
                            <a:miter lim="800000"/>
                            <a:headEnd/>
                            <a:tailEnd/>
                          </a:ln>
                          <a:effectLst/>
                        </pic:spPr>
                      </pic:pic>
                    </a:graphicData>
                  </a:graphic>
                </wp:inline>
              </w:drawing>
            </w:r>
          </w:p>
          <w:p w14:paraId="17297DF5" w14:textId="7E4DD01B" w:rsidR="00283CA3" w:rsidRDefault="00283CA3" w:rsidP="00026520">
            <w:pPr>
              <w:jc w:val="center"/>
            </w:pPr>
            <w:r>
              <w:t>Racines aériennes en échasses.</w:t>
            </w:r>
          </w:p>
        </w:tc>
        <w:tc>
          <w:tcPr>
            <w:tcW w:w="3472" w:type="dxa"/>
          </w:tcPr>
          <w:p w14:paraId="02C98FAA" w14:textId="51149BEB" w:rsidR="00026520" w:rsidRDefault="00283CA3" w:rsidP="00026520">
            <w:pPr>
              <w:jc w:val="center"/>
            </w:pPr>
            <w:r w:rsidRPr="00283CA3">
              <w:rPr>
                <w:noProof/>
              </w:rPr>
              <w:drawing>
                <wp:inline distT="0" distB="0" distL="0" distR="0" wp14:anchorId="416D1CF4" wp14:editId="7EAE81DB">
                  <wp:extent cx="1862371" cy="1686560"/>
                  <wp:effectExtent l="0" t="0" r="5080" b="8890"/>
                  <wp:docPr id="12296" name="Picture 4" descr="C:\WINDOWS\Desktop\black mangro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6" name="Picture 4" descr="C:\WINDOWS\Desktop\black mangrove.jpg"/>
                          <pic:cNvPicPr>
                            <a:picLocks noChangeAspect="1" noChangeArrowheads="1"/>
                          </pic:cNvPicPr>
                        </pic:nvPicPr>
                        <pic:blipFill>
                          <a:blip r:embed="rId1100">
                            <a:extLst>
                              <a:ext uri="{28A0092B-C50C-407E-A947-70E740481C1C}">
                                <a14:useLocalDpi xmlns:a14="http://schemas.microsoft.com/office/drawing/2010/main" val="0"/>
                              </a:ext>
                            </a:extLst>
                          </a:blip>
                          <a:srcRect/>
                          <a:stretch>
                            <a:fillRect/>
                          </a:stretch>
                        </pic:blipFill>
                        <pic:spPr bwMode="auto">
                          <a:xfrm>
                            <a:off x="0" y="0"/>
                            <a:ext cx="1880829" cy="1703276"/>
                          </a:xfrm>
                          <a:prstGeom prst="rect">
                            <a:avLst/>
                          </a:prstGeom>
                          <a:noFill/>
                          <a:ln>
                            <a:noFill/>
                          </a:ln>
                        </pic:spPr>
                      </pic:pic>
                    </a:graphicData>
                  </a:graphic>
                </wp:inline>
              </w:drawing>
            </w:r>
          </w:p>
          <w:p w14:paraId="1EAE72A5" w14:textId="57E8542A" w:rsidR="00144C3A" w:rsidRDefault="00144C3A" w:rsidP="00026520">
            <w:pPr>
              <w:jc w:val="center"/>
            </w:pPr>
            <w:r w:rsidRPr="00283CA3">
              <w:rPr>
                <w:noProof/>
              </w:rPr>
              <w:drawing>
                <wp:inline distT="0" distB="0" distL="0" distR="0" wp14:anchorId="06F1BA2F" wp14:editId="02805846">
                  <wp:extent cx="1905000" cy="570324"/>
                  <wp:effectExtent l="0" t="0" r="0" b="1270"/>
                  <wp:docPr id="80897"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pic:cNvPicPr>
                            <a:picLocks noChangeAspect="1"/>
                          </pic:cNvPicPr>
                        </pic:nvPicPr>
                        <pic:blipFill>
                          <a:blip r:embed="rId1101">
                            <a:extLst>
                              <a:ext uri="{28A0092B-C50C-407E-A947-70E740481C1C}">
                                <a14:useLocalDpi xmlns:a14="http://schemas.microsoft.com/office/drawing/2010/main" val="0"/>
                              </a:ext>
                            </a:extLst>
                          </a:blip>
                          <a:stretch>
                            <a:fillRect/>
                          </a:stretch>
                        </pic:blipFill>
                        <pic:spPr>
                          <a:xfrm>
                            <a:off x="0" y="0"/>
                            <a:ext cx="1951356" cy="584202"/>
                          </a:xfrm>
                          <a:prstGeom prst="rect">
                            <a:avLst/>
                          </a:prstGeom>
                        </pic:spPr>
                      </pic:pic>
                    </a:graphicData>
                  </a:graphic>
                </wp:inline>
              </w:drawing>
            </w:r>
          </w:p>
          <w:p w14:paraId="2DD1E77D" w14:textId="52345272" w:rsidR="00283CA3" w:rsidRDefault="00283CA3" w:rsidP="00026520">
            <w:pPr>
              <w:jc w:val="center"/>
            </w:pPr>
            <w:r w:rsidRPr="00283CA3">
              <w:t>Pneumatophores</w:t>
            </w:r>
          </w:p>
        </w:tc>
        <w:tc>
          <w:tcPr>
            <w:tcW w:w="3472" w:type="dxa"/>
          </w:tcPr>
          <w:p w14:paraId="30E64961" w14:textId="77777777" w:rsidR="00026520" w:rsidRDefault="00283CA3" w:rsidP="00026520">
            <w:pPr>
              <w:jc w:val="center"/>
            </w:pPr>
            <w:r w:rsidRPr="00283CA3">
              <w:rPr>
                <w:noProof/>
              </w:rPr>
              <w:drawing>
                <wp:inline distT="0" distB="0" distL="0" distR="0" wp14:anchorId="1EB6952A" wp14:editId="1A54A0AA">
                  <wp:extent cx="1552575" cy="2037241"/>
                  <wp:effectExtent l="0" t="0" r="0" b="1270"/>
                  <wp:docPr id="12299"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9" name="Image 12"/>
                          <pic:cNvPicPr>
                            <a:picLocks noChangeAspect="1"/>
                          </pic:cNvPicPr>
                        </pic:nvPicPr>
                        <pic:blipFill>
                          <a:blip r:embed="rId1102">
                            <a:extLst>
                              <a:ext uri="{28A0092B-C50C-407E-A947-70E740481C1C}">
                                <a14:useLocalDpi xmlns:a14="http://schemas.microsoft.com/office/drawing/2010/main" val="0"/>
                              </a:ext>
                            </a:extLst>
                          </a:blip>
                          <a:srcRect/>
                          <a:stretch>
                            <a:fillRect/>
                          </a:stretch>
                        </pic:blipFill>
                        <pic:spPr bwMode="auto">
                          <a:xfrm>
                            <a:off x="0" y="0"/>
                            <a:ext cx="1557669" cy="2043926"/>
                          </a:xfrm>
                          <a:prstGeom prst="rect">
                            <a:avLst/>
                          </a:prstGeom>
                          <a:noFill/>
                          <a:ln>
                            <a:noFill/>
                          </a:ln>
                        </pic:spPr>
                      </pic:pic>
                    </a:graphicData>
                  </a:graphic>
                </wp:inline>
              </w:drawing>
            </w:r>
          </w:p>
          <w:p w14:paraId="68AA64D3" w14:textId="534A947C" w:rsidR="00283CA3" w:rsidRDefault="00283CA3" w:rsidP="00283CA3">
            <w:pPr>
              <w:jc w:val="center"/>
            </w:pPr>
            <w:r w:rsidRPr="00283CA3">
              <w:t>Paillasson de pneumatophores d’</w:t>
            </w:r>
            <w:r w:rsidRPr="00283CA3">
              <w:rPr>
                <w:i/>
                <w:iCs/>
              </w:rPr>
              <w:t>Avicennia marina</w:t>
            </w:r>
            <w:r>
              <w:rPr>
                <w:i/>
                <w:iCs/>
              </w:rPr>
              <w:t xml:space="preserve"> </w:t>
            </w:r>
            <w:r>
              <w:t xml:space="preserve">© </w:t>
            </w:r>
            <w:r w:rsidRPr="00283CA3">
              <w:t>FORMAD Environnement</w:t>
            </w:r>
            <w:r>
              <w:t>.</w:t>
            </w:r>
          </w:p>
        </w:tc>
      </w:tr>
      <w:tr w:rsidR="00144C3A" w14:paraId="50F67263" w14:textId="77777777" w:rsidTr="00283CA3">
        <w:tc>
          <w:tcPr>
            <w:tcW w:w="3472" w:type="dxa"/>
          </w:tcPr>
          <w:p w14:paraId="656C9A91" w14:textId="4CF9506D" w:rsidR="00026520" w:rsidRDefault="00144C3A" w:rsidP="00026520">
            <w:pPr>
              <w:jc w:val="center"/>
            </w:pPr>
            <w:r w:rsidRPr="00144C3A">
              <w:rPr>
                <w:noProof/>
              </w:rPr>
              <w:lastRenderedPageBreak/>
              <w:drawing>
                <wp:inline distT="0" distB="0" distL="0" distR="0" wp14:anchorId="138F31CE" wp14:editId="33CFC4AB">
                  <wp:extent cx="1924287" cy="1295400"/>
                  <wp:effectExtent l="0" t="0" r="0" b="0"/>
                  <wp:docPr id="80902"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1"/>
                          <pic:cNvPicPr>
                            <a:picLocks noChangeAspect="1"/>
                          </pic:cNvPicPr>
                        </pic:nvPicPr>
                        <pic:blipFill>
                          <a:blip r:embed="rId1103">
                            <a:extLst>
                              <a:ext uri="{28A0092B-C50C-407E-A947-70E740481C1C}">
                                <a14:useLocalDpi xmlns:a14="http://schemas.microsoft.com/office/drawing/2010/main" val="0"/>
                              </a:ext>
                            </a:extLst>
                          </a:blip>
                          <a:stretch>
                            <a:fillRect/>
                          </a:stretch>
                        </pic:blipFill>
                        <pic:spPr>
                          <a:xfrm>
                            <a:off x="0" y="0"/>
                            <a:ext cx="1928341" cy="1298129"/>
                          </a:xfrm>
                          <a:prstGeom prst="rect">
                            <a:avLst/>
                          </a:prstGeom>
                        </pic:spPr>
                      </pic:pic>
                    </a:graphicData>
                  </a:graphic>
                </wp:inline>
              </w:drawing>
            </w:r>
          </w:p>
          <w:p w14:paraId="2B771B25" w14:textId="46D30027" w:rsidR="00283CA3" w:rsidRDefault="00283CA3" w:rsidP="00026520">
            <w:pPr>
              <w:jc w:val="center"/>
            </w:pPr>
            <w:r w:rsidRPr="00283CA3">
              <w:t>Pneumatophores d’</w:t>
            </w:r>
            <w:r w:rsidRPr="00283CA3">
              <w:rPr>
                <w:i/>
                <w:iCs/>
              </w:rPr>
              <w:t xml:space="preserve">Avicennia </w:t>
            </w:r>
            <w:r w:rsidR="00144C3A" w:rsidRPr="00144C3A">
              <w:rPr>
                <w:i/>
                <w:iCs/>
              </w:rPr>
              <w:t xml:space="preserve">germinans </w:t>
            </w:r>
            <w:r>
              <w:t xml:space="preserve">© </w:t>
            </w:r>
            <w:r w:rsidRPr="00283CA3">
              <w:t>FORMAD Environnement</w:t>
            </w:r>
            <w:r>
              <w:t>.</w:t>
            </w:r>
          </w:p>
        </w:tc>
        <w:tc>
          <w:tcPr>
            <w:tcW w:w="3472" w:type="dxa"/>
          </w:tcPr>
          <w:p w14:paraId="373EFDE8" w14:textId="77777777" w:rsidR="00026520" w:rsidRDefault="00283CA3" w:rsidP="00026520">
            <w:pPr>
              <w:jc w:val="center"/>
            </w:pPr>
            <w:r w:rsidRPr="00283CA3">
              <w:rPr>
                <w:noProof/>
              </w:rPr>
              <w:drawing>
                <wp:inline distT="0" distB="0" distL="0" distR="0" wp14:anchorId="3194BDF0" wp14:editId="19F319DE">
                  <wp:extent cx="2000250" cy="1475794"/>
                  <wp:effectExtent l="0" t="0" r="0" b="0"/>
                  <wp:docPr id="12301"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1" name="Image 14"/>
                          <pic:cNvPicPr>
                            <a:picLocks noChangeAspect="1"/>
                          </pic:cNvPicPr>
                        </pic:nvPicPr>
                        <pic:blipFill>
                          <a:blip r:embed="rId1104">
                            <a:extLst>
                              <a:ext uri="{28A0092B-C50C-407E-A947-70E740481C1C}">
                                <a14:useLocalDpi xmlns:a14="http://schemas.microsoft.com/office/drawing/2010/main" val="0"/>
                              </a:ext>
                            </a:extLst>
                          </a:blip>
                          <a:srcRect/>
                          <a:stretch>
                            <a:fillRect/>
                          </a:stretch>
                        </pic:blipFill>
                        <pic:spPr bwMode="auto">
                          <a:xfrm>
                            <a:off x="0" y="0"/>
                            <a:ext cx="2007035" cy="1480800"/>
                          </a:xfrm>
                          <a:prstGeom prst="rect">
                            <a:avLst/>
                          </a:prstGeom>
                          <a:noFill/>
                          <a:ln>
                            <a:noFill/>
                          </a:ln>
                        </pic:spPr>
                      </pic:pic>
                    </a:graphicData>
                  </a:graphic>
                </wp:inline>
              </w:drawing>
            </w:r>
          </w:p>
          <w:p w14:paraId="135912B7" w14:textId="4410A1DD" w:rsidR="00283CA3" w:rsidRDefault="00283CA3" w:rsidP="00283CA3">
            <w:pPr>
              <w:jc w:val="center"/>
            </w:pPr>
            <w:r w:rsidRPr="00283CA3">
              <w:t xml:space="preserve">Pneumatophores de </w:t>
            </w:r>
            <w:r w:rsidRPr="00283CA3">
              <w:rPr>
                <w:i/>
                <w:iCs/>
              </w:rPr>
              <w:t xml:space="preserve">Sonneratia </w:t>
            </w:r>
            <w:r w:rsidRPr="00283CA3">
              <w:t>alba</w:t>
            </w:r>
            <w:r>
              <w:t xml:space="preserve"> © </w:t>
            </w:r>
            <w:r w:rsidRPr="00283CA3">
              <w:t>FORMAD Environnemen</w:t>
            </w:r>
            <w:r>
              <w:t>t</w:t>
            </w:r>
          </w:p>
        </w:tc>
        <w:tc>
          <w:tcPr>
            <w:tcW w:w="3472" w:type="dxa"/>
          </w:tcPr>
          <w:p w14:paraId="207659AB" w14:textId="77777777" w:rsidR="00144C3A" w:rsidRDefault="00144C3A" w:rsidP="00026520">
            <w:pPr>
              <w:jc w:val="center"/>
            </w:pPr>
            <w:r w:rsidRPr="00144C3A">
              <w:rPr>
                <w:noProof/>
              </w:rPr>
              <w:drawing>
                <wp:inline distT="0" distB="0" distL="0" distR="0" wp14:anchorId="2968BDF8" wp14:editId="6E887FB9">
                  <wp:extent cx="1733550" cy="1301530"/>
                  <wp:effectExtent l="0" t="0" r="0" b="0"/>
                  <wp:docPr id="13320"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0" name="Image 12"/>
                          <pic:cNvPicPr>
                            <a:picLocks noChangeAspect="1"/>
                          </pic:cNvPicPr>
                        </pic:nvPicPr>
                        <pic:blipFill>
                          <a:blip r:embed="rId1105">
                            <a:extLst>
                              <a:ext uri="{28A0092B-C50C-407E-A947-70E740481C1C}">
                                <a14:useLocalDpi xmlns:a14="http://schemas.microsoft.com/office/drawing/2010/main" val="0"/>
                              </a:ext>
                            </a:extLst>
                          </a:blip>
                          <a:srcRect/>
                          <a:stretch>
                            <a:fillRect/>
                          </a:stretch>
                        </pic:blipFill>
                        <pic:spPr bwMode="auto">
                          <a:xfrm>
                            <a:off x="0" y="0"/>
                            <a:ext cx="1745670" cy="1310630"/>
                          </a:xfrm>
                          <a:prstGeom prst="rect">
                            <a:avLst/>
                          </a:prstGeom>
                          <a:noFill/>
                          <a:ln>
                            <a:noFill/>
                          </a:ln>
                        </pic:spPr>
                      </pic:pic>
                    </a:graphicData>
                  </a:graphic>
                </wp:inline>
              </w:drawing>
            </w:r>
          </w:p>
          <w:p w14:paraId="7A78BFD3" w14:textId="77777777" w:rsidR="00144C3A" w:rsidRPr="00144C3A" w:rsidRDefault="00144C3A" w:rsidP="00144C3A">
            <w:pPr>
              <w:jc w:val="center"/>
            </w:pPr>
            <w:r w:rsidRPr="00144C3A">
              <w:t>Racines échasses (Nouvelle-Calédonie : baie de Prony).</w:t>
            </w:r>
          </w:p>
          <w:p w14:paraId="5B2FB9C4" w14:textId="67EE2868" w:rsidR="00144C3A" w:rsidRDefault="00144C3A" w:rsidP="00144C3A">
            <w:pPr>
              <w:jc w:val="center"/>
            </w:pPr>
            <w:r>
              <w:t xml:space="preserve">© </w:t>
            </w:r>
            <w:r w:rsidRPr="00144C3A">
              <w:t>FORMAD Environnemen</w:t>
            </w:r>
            <w:r>
              <w:t>t.</w:t>
            </w:r>
          </w:p>
        </w:tc>
      </w:tr>
    </w:tbl>
    <w:p w14:paraId="257BE6D5" w14:textId="77777777" w:rsidR="009F2CBF" w:rsidRDefault="009F2CBF" w:rsidP="003256AA">
      <w:pPr>
        <w:spacing w:after="0" w:line="240" w:lineRule="auto"/>
      </w:pPr>
    </w:p>
    <w:p w14:paraId="0A57C3FF" w14:textId="77777777" w:rsidR="006B2C49" w:rsidRDefault="006B2C49" w:rsidP="006B2C49">
      <w:pPr>
        <w:pStyle w:val="Titre2"/>
      </w:pPr>
      <w:bookmarkStart w:id="127" w:name="_Toc139181418"/>
      <w:r>
        <w:t>Bilan de l'aménagement forestier des mangroves</w:t>
      </w:r>
      <w:bookmarkEnd w:id="127"/>
    </w:p>
    <w:p w14:paraId="6406BA98" w14:textId="77777777" w:rsidR="006B2C49" w:rsidRDefault="006B2C49" w:rsidP="006B2C49">
      <w:pPr>
        <w:spacing w:after="0" w:line="240" w:lineRule="auto"/>
      </w:pPr>
    </w:p>
    <w:p w14:paraId="792567AC" w14:textId="787D1089" w:rsidR="006B2C49" w:rsidRPr="006B2C49" w:rsidRDefault="006B2C49" w:rsidP="006B2C49">
      <w:pPr>
        <w:spacing w:after="0" w:line="240" w:lineRule="auto"/>
        <w:jc w:val="both"/>
        <w:rPr>
          <w:i/>
          <w:iCs/>
        </w:rPr>
      </w:pPr>
      <w:r>
        <w:t>« </w:t>
      </w:r>
      <w:r w:rsidRPr="006B2C49">
        <w:rPr>
          <w:i/>
          <w:iCs/>
        </w:rPr>
        <w:t>Les mangroves semblent bien préservées dans les pays à faible densité de population et ressources en bois suffisantes (Gabon, Guyane, Australie) et en régression dramatique où la pression démographique est forte. Par exemple, aux Philippines et en Equateur, elles ont été abusivement converties en bassins d'aquaculture, tandis qu'en Indonésie, le rythme de leur exploitation forestière est excessif. En Afrique de l'Est, la principale cause de leur régression a été la conversion en marais salants.</w:t>
      </w:r>
    </w:p>
    <w:p w14:paraId="5A0CA37C" w14:textId="77777777" w:rsidR="00A82DA2" w:rsidRDefault="006B2C49" w:rsidP="006B2C49">
      <w:pPr>
        <w:spacing w:after="0" w:line="240" w:lineRule="auto"/>
        <w:jc w:val="both"/>
        <w:rPr>
          <w:i/>
          <w:iCs/>
        </w:rPr>
      </w:pPr>
      <w:r w:rsidRPr="006B2C49">
        <w:rPr>
          <w:i/>
          <w:iCs/>
        </w:rPr>
        <w:t>Peu d'aménagements durables pour la production de bois (énergie et bois de service) sont appliqués sauf localement</w:t>
      </w:r>
      <w:r w:rsidR="00C26C6C">
        <w:rPr>
          <w:i/>
          <w:iCs/>
        </w:rPr>
        <w:t xml:space="preserve"> </w:t>
      </w:r>
      <w:r w:rsidRPr="006B2C49">
        <w:rPr>
          <w:i/>
          <w:iCs/>
        </w:rPr>
        <w:t xml:space="preserve">dans certains pays asiatiques (Inde, Bangladesh, Thaïlande, Malaisie). C'est l'Australie qui semble le mieux assurer à la fois la protection, la conservation et l'exploitation de ces écosystèmes (vingt-trois parcs nationaux et sites effectivement protégés). Le rôle des mangroves dans la protection contre l'érosion côtière et la conservation </w:t>
      </w:r>
    </w:p>
    <w:p w14:paraId="3F10B5FF" w14:textId="69AE2D4C" w:rsidR="006B2C49" w:rsidRPr="006B2C49" w:rsidRDefault="006B2C49" w:rsidP="006B2C49">
      <w:pPr>
        <w:spacing w:after="0" w:line="240" w:lineRule="auto"/>
        <w:jc w:val="both"/>
        <w:rPr>
          <w:i/>
          <w:iCs/>
        </w:rPr>
      </w:pPr>
      <w:r w:rsidRPr="006B2C49">
        <w:rPr>
          <w:i/>
          <w:iCs/>
        </w:rPr>
        <w:t>de la faune aquatique a été reconnu</w:t>
      </w:r>
      <w:r>
        <w:rPr>
          <w:i/>
          <w:iCs/>
        </w:rPr>
        <w:t xml:space="preserve"> </w:t>
      </w:r>
      <w:r w:rsidRPr="006B2C49">
        <w:rPr>
          <w:i/>
          <w:iCs/>
        </w:rPr>
        <w:t>: des reboisements et des remises en état de mangroves dégradées sont réalisés dans certaines zones d’Asie et d’Amérique centrale.</w:t>
      </w:r>
    </w:p>
    <w:p w14:paraId="0DC746CE" w14:textId="041D2B3F" w:rsidR="006B2C49" w:rsidRDefault="006B2C49" w:rsidP="006B2C49">
      <w:pPr>
        <w:spacing w:after="0" w:line="240" w:lineRule="auto"/>
        <w:jc w:val="both"/>
      </w:pPr>
      <w:r w:rsidRPr="006B2C49">
        <w:rPr>
          <w:i/>
          <w:iCs/>
        </w:rPr>
        <w:t>Les mangroves peuvent être techniquement gérées de façon durable en vue d'un rendement soutenu en produits ligneux et autres produits forestiers. Toutefois les aménagements sont fortement dépendants des pratiques d'utilisation des zones terrestres, surtout en ce qui concerne les variations des régimes hydriques, d’où la nécessité d’intégrer les zones en arrière du littoral dans l’aménagement des mangroves</w:t>
      </w:r>
      <w:r>
        <w:t> »</w:t>
      </w:r>
      <w:r>
        <w:rPr>
          <w:rStyle w:val="Appelnotedebasdep"/>
        </w:rPr>
        <w:footnoteReference w:id="91"/>
      </w:r>
      <w:r>
        <w:t>.</w:t>
      </w:r>
    </w:p>
    <w:p w14:paraId="6E10CA2E" w14:textId="15292CB1" w:rsidR="00860C2E" w:rsidRDefault="00860C2E" w:rsidP="006B2C49">
      <w:pPr>
        <w:spacing w:after="0" w:line="240" w:lineRule="auto"/>
        <w:jc w:val="both"/>
      </w:pPr>
    </w:p>
    <w:p w14:paraId="67A43E04" w14:textId="498D5BD4" w:rsidR="00860C2E" w:rsidRDefault="00860C2E" w:rsidP="00860C2E">
      <w:pPr>
        <w:pStyle w:val="Titre2"/>
      </w:pPr>
      <w:bookmarkStart w:id="128" w:name="_Toc139181419"/>
      <w:r>
        <w:t>Menace sur les mangroves</w:t>
      </w:r>
      <w:bookmarkEnd w:id="128"/>
    </w:p>
    <w:p w14:paraId="7887C629" w14:textId="4F08B652" w:rsidR="006B2C49" w:rsidRDefault="006B2C49" w:rsidP="006B2C49">
      <w:pPr>
        <w:spacing w:after="0" w:line="240" w:lineRule="auto"/>
        <w:jc w:val="both"/>
      </w:pPr>
    </w:p>
    <w:p w14:paraId="24DC6741" w14:textId="77777777" w:rsidR="006724E2" w:rsidRDefault="0016575E" w:rsidP="006B2C49">
      <w:pPr>
        <w:spacing w:after="0" w:line="240" w:lineRule="auto"/>
        <w:jc w:val="both"/>
      </w:pPr>
      <w:r w:rsidRPr="0016575E">
        <w:t xml:space="preserve">La dégradation rapide de certaines mangroves, dans le monde entier, _ surexploitées pour leur bois, le fourrage _ est </w:t>
      </w:r>
      <w:r w:rsidR="006724E2">
        <w:t xml:space="preserve">   </w:t>
      </w:r>
    </w:p>
    <w:p w14:paraId="592088C0" w14:textId="4DEC184A" w:rsidR="00E3404A" w:rsidRDefault="006724E2" w:rsidP="006B2C49">
      <w:pPr>
        <w:spacing w:after="0" w:line="240" w:lineRule="auto"/>
        <w:jc w:val="both"/>
        <w:rPr>
          <w:i/>
          <w:iCs/>
        </w:rPr>
      </w:pPr>
      <w:r>
        <w:t xml:space="preserve">  </w:t>
      </w:r>
      <w:r w:rsidR="0016575E" w:rsidRPr="0016575E">
        <w:t xml:space="preserve">devenue préoccupante, parce qu'elles constituent des </w:t>
      </w:r>
      <w:r w:rsidR="0016575E" w:rsidRPr="0016575E">
        <w:rPr>
          <w:i/>
          <w:iCs/>
        </w:rPr>
        <w:t xml:space="preserve">stabilisateurs efficaces pour certaines zones côtières </w:t>
      </w:r>
    </w:p>
    <w:p w14:paraId="79DD1B0F" w14:textId="77777777" w:rsidR="006724E2" w:rsidRDefault="006724E2" w:rsidP="006B2C49">
      <w:pPr>
        <w:spacing w:after="0" w:line="240" w:lineRule="auto"/>
        <w:jc w:val="both"/>
        <w:rPr>
          <w:i/>
          <w:iCs/>
        </w:rPr>
      </w:pPr>
      <w:r>
        <w:rPr>
          <w:i/>
          <w:iCs/>
        </w:rPr>
        <w:t xml:space="preserve">  </w:t>
      </w:r>
      <w:r w:rsidR="0016575E" w:rsidRPr="0016575E">
        <w:rPr>
          <w:i/>
          <w:iCs/>
        </w:rPr>
        <w:t>fragiles</w:t>
      </w:r>
      <w:r w:rsidR="00E3404A">
        <w:rPr>
          <w:i/>
          <w:iCs/>
        </w:rPr>
        <w:t xml:space="preserve"> </w:t>
      </w:r>
      <w:r w:rsidR="0016575E" w:rsidRPr="0016575E">
        <w:t xml:space="preserve">qui sont maintenant menacées, et parce qu'elles contribuent à la </w:t>
      </w:r>
      <w:r w:rsidR="0016575E" w:rsidRPr="0016575E">
        <w:rPr>
          <w:i/>
          <w:iCs/>
        </w:rPr>
        <w:t xml:space="preserve">résilience écologique des écosystèmes </w:t>
      </w:r>
    </w:p>
    <w:p w14:paraId="550FDFD9" w14:textId="1EB32572" w:rsidR="0016575E" w:rsidRDefault="006724E2" w:rsidP="006B2C49">
      <w:pPr>
        <w:spacing w:after="0" w:line="240" w:lineRule="auto"/>
        <w:jc w:val="both"/>
      </w:pPr>
      <w:r>
        <w:rPr>
          <w:i/>
          <w:iCs/>
        </w:rPr>
        <w:t xml:space="preserve">  </w:t>
      </w:r>
      <w:r w:rsidR="0016575E" w:rsidRPr="0016575E">
        <w:rPr>
          <w:i/>
          <w:iCs/>
        </w:rPr>
        <w:t xml:space="preserve">après les cyclones et tsunamis </w:t>
      </w:r>
      <w:r w:rsidR="0016575E" w:rsidRPr="0016575E">
        <w:t>et face aux effets du dérèglement climatique, incluant la montée des océans.</w:t>
      </w:r>
    </w:p>
    <w:p w14:paraId="1C474D9E" w14:textId="03725ABE" w:rsidR="00860C2E" w:rsidRDefault="00860C2E" w:rsidP="006B2C49">
      <w:pPr>
        <w:spacing w:after="0" w:line="240" w:lineRule="auto"/>
        <w:jc w:val="both"/>
      </w:pPr>
      <w:r>
        <w:t>«</w:t>
      </w:r>
      <w:r>
        <w:rPr>
          <w:i/>
          <w:iCs/>
        </w:rPr>
        <w:t xml:space="preserve"> </w:t>
      </w:r>
      <w:r w:rsidRPr="00860C2E">
        <w:rPr>
          <w:i/>
          <w:iCs/>
        </w:rPr>
        <w:t>Sur le plan mondial, les mangroves occupent approximativement une superficie de 152 000 Km² (Spalding et al, 2010). Cette estimation de la couverture mondiale a été révisée à la baisse à 13 776 000ha par Giri et al. (2011). En 2016, la superficie des mangroves mondiales a connu une diminution significative à hauteur de 8 349 500 ha selon Hamilton et Casey. La croissance démographique, le développement de la zone côtière, l’aquaculture, la conversion en agriculture telle que la riziculture, la surexploitation des bois en sont les principales raisons.</w:t>
      </w:r>
      <w:r>
        <w:t> » [22].</w:t>
      </w:r>
    </w:p>
    <w:p w14:paraId="0E79657B" w14:textId="533E849B" w:rsidR="00860C2E" w:rsidRDefault="00B277B4" w:rsidP="006B2C49">
      <w:pPr>
        <w:spacing w:after="0" w:line="240" w:lineRule="auto"/>
        <w:jc w:val="both"/>
      </w:pPr>
      <w:r w:rsidRPr="00B277B4">
        <w:t>Les espèces</w:t>
      </w:r>
      <w:r>
        <w:t>,</w:t>
      </w:r>
      <w:r w:rsidRPr="00B277B4">
        <w:t xml:space="preserve"> poussant à la limite terrestre de la zone de la ma</w:t>
      </w:r>
      <w:r>
        <w:t>n</w:t>
      </w:r>
      <w:r w:rsidRPr="00B277B4">
        <w:t>grove</w:t>
      </w:r>
      <w:r>
        <w:t xml:space="preserve"> et</w:t>
      </w:r>
      <w:r w:rsidRPr="00B277B4">
        <w:t xml:space="preserve"> ne supportant pas d'être immergées en permanence, peuvent être plus menacées par l'élévation du niveau de la mer que d'autres espèces [22].</w:t>
      </w:r>
    </w:p>
    <w:p w14:paraId="207209A7" w14:textId="0AF66B6A" w:rsidR="00C97183" w:rsidRDefault="00C97183" w:rsidP="006B2C49">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16"/>
        <w:gridCol w:w="3113"/>
        <w:gridCol w:w="3597"/>
      </w:tblGrid>
      <w:tr w:rsidR="00503689" w14:paraId="02CBE02F" w14:textId="77777777" w:rsidTr="00D33905">
        <w:tc>
          <w:tcPr>
            <w:tcW w:w="3716" w:type="dxa"/>
          </w:tcPr>
          <w:p w14:paraId="2CAE8744" w14:textId="77777777" w:rsidR="0016575E" w:rsidRDefault="0016575E" w:rsidP="0016575E">
            <w:pPr>
              <w:jc w:val="center"/>
            </w:pPr>
            <w:r w:rsidRPr="0016575E">
              <w:rPr>
                <w:noProof/>
              </w:rPr>
              <w:lastRenderedPageBreak/>
              <w:drawing>
                <wp:inline distT="0" distB="0" distL="0" distR="0" wp14:anchorId="78638359" wp14:editId="6514D80B">
                  <wp:extent cx="2232340" cy="1485900"/>
                  <wp:effectExtent l="0" t="0" r="0" b="0"/>
                  <wp:docPr id="16392"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2" name="Image 9"/>
                          <pic:cNvPicPr>
                            <a:picLocks noChangeAspect="1"/>
                          </pic:cNvPicPr>
                        </pic:nvPicPr>
                        <pic:blipFill>
                          <a:blip r:embed="rId1106">
                            <a:extLst>
                              <a:ext uri="{28A0092B-C50C-407E-A947-70E740481C1C}">
                                <a14:useLocalDpi xmlns:a14="http://schemas.microsoft.com/office/drawing/2010/main" val="0"/>
                              </a:ext>
                            </a:extLst>
                          </a:blip>
                          <a:srcRect/>
                          <a:stretch>
                            <a:fillRect/>
                          </a:stretch>
                        </pic:blipFill>
                        <pic:spPr bwMode="auto">
                          <a:xfrm>
                            <a:off x="0" y="0"/>
                            <a:ext cx="2267882" cy="1509558"/>
                          </a:xfrm>
                          <a:prstGeom prst="rect">
                            <a:avLst/>
                          </a:prstGeom>
                          <a:noFill/>
                          <a:ln>
                            <a:noFill/>
                          </a:ln>
                        </pic:spPr>
                      </pic:pic>
                    </a:graphicData>
                  </a:graphic>
                </wp:inline>
              </w:drawing>
            </w:r>
          </w:p>
          <w:p w14:paraId="3D599AA9" w14:textId="32296740" w:rsidR="0016575E" w:rsidRDefault="0016575E" w:rsidP="0016575E">
            <w:pPr>
              <w:jc w:val="center"/>
            </w:pPr>
            <w:r w:rsidRPr="0016575E">
              <w:t xml:space="preserve">Zone de mangrove fortement dégradée. </w:t>
            </w:r>
            <w:r>
              <w:t xml:space="preserve">© </w:t>
            </w:r>
            <w:r w:rsidRPr="0016575E">
              <w:t>Oceanium</w:t>
            </w:r>
            <w:r>
              <w:t xml:space="preserve"> </w:t>
            </w:r>
            <w:r>
              <w:sym w:font="Wingdings" w:char="F0E1"/>
            </w:r>
            <w:r>
              <w:t xml:space="preserve"> </w:t>
            </w:r>
            <w:r>
              <w:rPr>
                <w:rFonts w:cstheme="minorHAnsi"/>
              </w:rPr>
              <w:t>↗</w:t>
            </w:r>
          </w:p>
        </w:tc>
        <w:tc>
          <w:tcPr>
            <w:tcW w:w="2947" w:type="dxa"/>
          </w:tcPr>
          <w:p w14:paraId="7FA00433" w14:textId="77777777" w:rsidR="0016575E" w:rsidRDefault="0016575E" w:rsidP="0016575E">
            <w:pPr>
              <w:jc w:val="center"/>
            </w:pPr>
            <w:r w:rsidRPr="0016575E">
              <w:rPr>
                <w:noProof/>
              </w:rPr>
              <w:drawing>
                <wp:inline distT="0" distB="0" distL="0" distR="0" wp14:anchorId="5E3F61AA" wp14:editId="3A3BE9C2">
                  <wp:extent cx="1844475" cy="1381125"/>
                  <wp:effectExtent l="0" t="0" r="3810" b="0"/>
                  <wp:docPr id="16391"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1" name="Image 7"/>
                          <pic:cNvPicPr>
                            <a:picLocks noChangeAspect="1"/>
                          </pic:cNvPicPr>
                        </pic:nvPicPr>
                        <pic:blipFill>
                          <a:blip r:embed="rId1107">
                            <a:extLst>
                              <a:ext uri="{28A0092B-C50C-407E-A947-70E740481C1C}">
                                <a14:useLocalDpi xmlns:a14="http://schemas.microsoft.com/office/drawing/2010/main" val="0"/>
                              </a:ext>
                            </a:extLst>
                          </a:blip>
                          <a:srcRect/>
                          <a:stretch>
                            <a:fillRect/>
                          </a:stretch>
                        </pic:blipFill>
                        <pic:spPr bwMode="auto">
                          <a:xfrm>
                            <a:off x="0" y="0"/>
                            <a:ext cx="1863267" cy="1395197"/>
                          </a:xfrm>
                          <a:prstGeom prst="rect">
                            <a:avLst/>
                          </a:prstGeom>
                          <a:noFill/>
                          <a:ln>
                            <a:noFill/>
                          </a:ln>
                        </pic:spPr>
                      </pic:pic>
                    </a:graphicData>
                  </a:graphic>
                </wp:inline>
              </w:drawing>
            </w:r>
          </w:p>
          <w:p w14:paraId="318F14D2" w14:textId="5607AAB6" w:rsidR="00503689" w:rsidRDefault="00503689" w:rsidP="0016575E">
            <w:pPr>
              <w:jc w:val="center"/>
            </w:pPr>
            <w:r>
              <w:t xml:space="preserve">© </w:t>
            </w:r>
            <w:r w:rsidRPr="0016575E">
              <w:t>Oceanium</w:t>
            </w:r>
            <w:r>
              <w:t>.</w:t>
            </w:r>
          </w:p>
        </w:tc>
        <w:tc>
          <w:tcPr>
            <w:tcW w:w="3763" w:type="dxa"/>
          </w:tcPr>
          <w:p w14:paraId="50C6E1DA" w14:textId="77777777" w:rsidR="00503689" w:rsidRDefault="00503689" w:rsidP="00503689">
            <w:pPr>
              <w:jc w:val="center"/>
            </w:pPr>
            <w:r w:rsidRPr="00503689">
              <w:rPr>
                <w:noProof/>
              </w:rPr>
              <w:drawing>
                <wp:inline distT="0" distB="0" distL="0" distR="0" wp14:anchorId="5C3CFD92" wp14:editId="2AD89EC9">
                  <wp:extent cx="2085975" cy="609747"/>
                  <wp:effectExtent l="0" t="0" r="0" b="0"/>
                  <wp:docPr id="80918"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7"/>
                          <pic:cNvPicPr>
                            <a:picLocks noChangeAspect="1"/>
                          </pic:cNvPicPr>
                        </pic:nvPicPr>
                        <pic:blipFill>
                          <a:blip r:embed="rId1108">
                            <a:extLst>
                              <a:ext uri="{28A0092B-C50C-407E-A947-70E740481C1C}">
                                <a14:useLocalDpi xmlns:a14="http://schemas.microsoft.com/office/drawing/2010/main" val="0"/>
                              </a:ext>
                            </a:extLst>
                          </a:blip>
                          <a:stretch>
                            <a:fillRect/>
                          </a:stretch>
                        </pic:blipFill>
                        <pic:spPr>
                          <a:xfrm>
                            <a:off x="0" y="0"/>
                            <a:ext cx="2111834" cy="617306"/>
                          </a:xfrm>
                          <a:prstGeom prst="rect">
                            <a:avLst/>
                          </a:prstGeom>
                        </pic:spPr>
                      </pic:pic>
                    </a:graphicData>
                  </a:graphic>
                </wp:inline>
              </w:drawing>
            </w:r>
          </w:p>
          <w:p w14:paraId="591E8472" w14:textId="78D3464D" w:rsidR="0016575E" w:rsidRPr="0016575E" w:rsidRDefault="00503689" w:rsidP="00503689">
            <w:pPr>
              <w:jc w:val="center"/>
              <w:rPr>
                <w:rFonts w:ascii="Calibri" w:hAnsi="Calibri" w:cs="Calibri"/>
              </w:rPr>
            </w:pPr>
            <w:r w:rsidRPr="00503689">
              <w:t>Stocks de rondins de palétuviers coupés pour leur bois</w:t>
            </w:r>
            <w:r>
              <w:t xml:space="preserve"> </w:t>
            </w:r>
            <w:r w:rsidRPr="00503689">
              <w:t>(au Guyana)</w:t>
            </w:r>
            <w:r>
              <w:t>.</w:t>
            </w:r>
          </w:p>
        </w:tc>
      </w:tr>
      <w:tr w:rsidR="00503689" w14:paraId="2C0F6E05" w14:textId="77777777" w:rsidTr="00D33905">
        <w:tc>
          <w:tcPr>
            <w:tcW w:w="3716" w:type="dxa"/>
          </w:tcPr>
          <w:p w14:paraId="120657BF" w14:textId="77777777" w:rsidR="00503689" w:rsidRDefault="00503689" w:rsidP="00503689">
            <w:pPr>
              <w:jc w:val="center"/>
            </w:pPr>
            <w:r w:rsidRPr="00503689">
              <w:rPr>
                <w:rFonts w:ascii="Calibri" w:hAnsi="Calibri" w:cs="Calibri"/>
                <w:noProof/>
              </w:rPr>
              <w:drawing>
                <wp:inline distT="0" distB="0" distL="0" distR="0" wp14:anchorId="241E7038" wp14:editId="6C7D6C38">
                  <wp:extent cx="2191128" cy="1590675"/>
                  <wp:effectExtent l="0" t="0" r="0" b="0"/>
                  <wp:docPr id="80919"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4"/>
                          <pic:cNvPicPr>
                            <a:picLocks noChangeAspect="1"/>
                          </pic:cNvPicPr>
                        </pic:nvPicPr>
                        <pic:blipFill>
                          <a:blip r:embed="rId1109">
                            <a:extLst>
                              <a:ext uri="{28A0092B-C50C-407E-A947-70E740481C1C}">
                                <a14:useLocalDpi xmlns:a14="http://schemas.microsoft.com/office/drawing/2010/main" val="0"/>
                              </a:ext>
                            </a:extLst>
                          </a:blip>
                          <a:stretch>
                            <a:fillRect/>
                          </a:stretch>
                        </pic:blipFill>
                        <pic:spPr>
                          <a:xfrm>
                            <a:off x="0" y="0"/>
                            <a:ext cx="2195992" cy="1594206"/>
                          </a:xfrm>
                          <a:prstGeom prst="rect">
                            <a:avLst/>
                          </a:prstGeom>
                        </pic:spPr>
                      </pic:pic>
                    </a:graphicData>
                  </a:graphic>
                </wp:inline>
              </w:drawing>
            </w:r>
          </w:p>
          <w:p w14:paraId="6E77C62C" w14:textId="205A3F82" w:rsidR="00503689" w:rsidRPr="00503689" w:rsidRDefault="00503689" w:rsidP="00503689">
            <w:pPr>
              <w:jc w:val="center"/>
            </w:pPr>
            <w:r w:rsidRPr="00503689">
              <w:t>Arasement / nivellement d’une mangrove, à Tahun anggaran</w:t>
            </w:r>
            <w:r>
              <w:t xml:space="preserve"> </w:t>
            </w:r>
            <w:r w:rsidRPr="00503689">
              <w:t>(Indonésie)</w:t>
            </w:r>
            <w:r>
              <w:t>.</w:t>
            </w:r>
          </w:p>
        </w:tc>
        <w:tc>
          <w:tcPr>
            <w:tcW w:w="2947" w:type="dxa"/>
          </w:tcPr>
          <w:p w14:paraId="1679A98F" w14:textId="77777777" w:rsidR="00503689" w:rsidRDefault="00503689" w:rsidP="00503689">
            <w:pPr>
              <w:jc w:val="center"/>
            </w:pPr>
            <w:r w:rsidRPr="00C97183">
              <w:rPr>
                <w:noProof/>
              </w:rPr>
              <w:drawing>
                <wp:inline distT="0" distB="0" distL="0" distR="0" wp14:anchorId="164F0E4A" wp14:editId="71E3E78D">
                  <wp:extent cx="1624475" cy="1857375"/>
                  <wp:effectExtent l="0" t="0" r="0" b="0"/>
                  <wp:docPr id="195602" name="Image 195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110">
                            <a:extLst>
                              <a:ext uri="{28A0092B-C50C-407E-A947-70E740481C1C}">
                                <a14:useLocalDpi xmlns:a14="http://schemas.microsoft.com/office/drawing/2010/main" val="0"/>
                              </a:ext>
                            </a:extLst>
                          </a:blip>
                          <a:srcRect/>
                          <a:stretch>
                            <a:fillRect/>
                          </a:stretch>
                        </pic:blipFill>
                        <pic:spPr bwMode="auto">
                          <a:xfrm>
                            <a:off x="0" y="0"/>
                            <a:ext cx="1624898" cy="1857859"/>
                          </a:xfrm>
                          <a:prstGeom prst="rect">
                            <a:avLst/>
                          </a:prstGeom>
                          <a:noFill/>
                          <a:ln>
                            <a:noFill/>
                          </a:ln>
                        </pic:spPr>
                      </pic:pic>
                    </a:graphicData>
                  </a:graphic>
                </wp:inline>
              </w:drawing>
            </w:r>
          </w:p>
          <w:p w14:paraId="03FA74A8" w14:textId="546A8A78" w:rsidR="00503689" w:rsidRPr="0016575E" w:rsidRDefault="00503689" w:rsidP="00503689">
            <w:pPr>
              <w:jc w:val="center"/>
            </w:pPr>
            <w:r w:rsidRPr="00C97183">
              <w:rPr>
                <w:rFonts w:ascii="Calibri" w:hAnsi="Calibri" w:cs="Calibri"/>
              </w:rPr>
              <w:t>Coupe de bois</w:t>
            </w:r>
            <w:r>
              <w:rPr>
                <w:rFonts w:ascii="Calibri" w:hAnsi="Calibri" w:cs="Calibri"/>
              </w:rPr>
              <w:t xml:space="preserve"> </w:t>
            </w:r>
            <w:r w:rsidRPr="0016575E">
              <w:rPr>
                <w:rFonts w:ascii="Calibri" w:hAnsi="Calibri" w:cs="Calibri"/>
              </w:rPr>
              <w:t xml:space="preserve">de </w:t>
            </w:r>
            <w:r w:rsidRPr="0016575E">
              <w:rPr>
                <w:rFonts w:ascii="Calibri" w:hAnsi="Calibri" w:cs="Calibri"/>
                <w:i/>
                <w:iCs/>
              </w:rPr>
              <w:t>Rhizophora</w:t>
            </w:r>
            <w:r w:rsidRPr="00C97183">
              <w:rPr>
                <w:rFonts w:ascii="Calibri" w:hAnsi="Calibri" w:cs="Calibri"/>
              </w:rPr>
              <w:t>, pas de repousse</w:t>
            </w:r>
            <w:r>
              <w:rPr>
                <w:rFonts w:ascii="Calibri" w:hAnsi="Calibri" w:cs="Calibri"/>
              </w:rPr>
              <w:t xml:space="preserve"> © FORMAD.</w:t>
            </w:r>
          </w:p>
        </w:tc>
        <w:tc>
          <w:tcPr>
            <w:tcW w:w="3763" w:type="dxa"/>
          </w:tcPr>
          <w:p w14:paraId="59ECAEFB" w14:textId="77777777" w:rsidR="00503689" w:rsidRDefault="007A3887" w:rsidP="0016575E">
            <w:pPr>
              <w:jc w:val="center"/>
              <w:rPr>
                <w:noProof/>
              </w:rPr>
            </w:pPr>
            <w:r w:rsidRPr="007A3887">
              <w:rPr>
                <w:noProof/>
              </w:rPr>
              <w:drawing>
                <wp:inline distT="0" distB="0" distL="0" distR="0" wp14:anchorId="2516A0E2" wp14:editId="1EF8DC56">
                  <wp:extent cx="2156503" cy="1238250"/>
                  <wp:effectExtent l="0" t="0" r="0" b="0"/>
                  <wp:docPr id="94234"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72" name="Image 10"/>
                          <pic:cNvPicPr>
                            <a:picLocks noChangeAspect="1"/>
                          </pic:cNvPicPr>
                        </pic:nvPicPr>
                        <pic:blipFill>
                          <a:blip r:embed="rId1111">
                            <a:extLst>
                              <a:ext uri="{28A0092B-C50C-407E-A947-70E740481C1C}">
                                <a14:useLocalDpi xmlns:a14="http://schemas.microsoft.com/office/drawing/2010/main" val="0"/>
                              </a:ext>
                            </a:extLst>
                          </a:blip>
                          <a:srcRect/>
                          <a:stretch>
                            <a:fillRect/>
                          </a:stretch>
                        </pic:blipFill>
                        <pic:spPr bwMode="auto">
                          <a:xfrm>
                            <a:off x="0" y="0"/>
                            <a:ext cx="2164315" cy="1242736"/>
                          </a:xfrm>
                          <a:prstGeom prst="rect">
                            <a:avLst/>
                          </a:prstGeom>
                          <a:noFill/>
                          <a:ln>
                            <a:noFill/>
                          </a:ln>
                        </pic:spPr>
                      </pic:pic>
                    </a:graphicData>
                  </a:graphic>
                </wp:inline>
              </w:drawing>
            </w:r>
          </w:p>
          <w:p w14:paraId="47C2DBAF" w14:textId="77777777" w:rsidR="007A3887" w:rsidRPr="00D33905" w:rsidRDefault="007A3887" w:rsidP="007A3887">
            <w:pPr>
              <w:pStyle w:val="NormalWeb"/>
              <w:spacing w:before="0" w:beforeAutospacing="0" w:after="0" w:afterAutospacing="0"/>
              <w:textAlignment w:val="baseline"/>
              <w:rPr>
                <w:color w:val="000000" w:themeColor="text1"/>
                <w:sz w:val="22"/>
                <w:szCs w:val="22"/>
              </w:rPr>
            </w:pPr>
            <w:r w:rsidRPr="00D33905">
              <w:rPr>
                <w:rFonts w:ascii="Calibri" w:eastAsia="+mn-ea" w:hAnsi="Calibri" w:cs="+mn-cs"/>
                <w:color w:val="000000" w:themeColor="text1"/>
                <w:kern w:val="24"/>
                <w:sz w:val="22"/>
                <w:szCs w:val="22"/>
              </w:rPr>
              <w:t>Racines échasses :</w:t>
            </w:r>
          </w:p>
          <w:p w14:paraId="1972AA35" w14:textId="66E6E4CE" w:rsidR="007A3887" w:rsidRPr="003F5F30" w:rsidRDefault="007A3887" w:rsidP="007A3887">
            <w:pPr>
              <w:pStyle w:val="NormalWeb"/>
              <w:spacing w:before="0" w:beforeAutospacing="0" w:after="0" w:afterAutospacing="0"/>
              <w:textAlignment w:val="baseline"/>
              <w:rPr>
                <w:color w:val="000000" w:themeColor="text1"/>
                <w:sz w:val="22"/>
                <w:szCs w:val="22"/>
              </w:rPr>
            </w:pPr>
            <w:r w:rsidRPr="003F5F30">
              <w:rPr>
                <w:rFonts w:ascii="Calibri" w:eastAsia="+mn-ea" w:hAnsi="Calibri" w:cs="+mn-cs"/>
                <w:color w:val="000000" w:themeColor="text1"/>
                <w:kern w:val="24"/>
                <w:sz w:val="22"/>
                <w:szCs w:val="22"/>
              </w:rPr>
              <w:t>A</w:t>
            </w:r>
            <w:r w:rsidR="00D33905" w:rsidRPr="003F5F30">
              <w:rPr>
                <w:rFonts w:ascii="Calibri" w:eastAsia="+mn-ea" w:hAnsi="Calibri" w:cs="+mn-cs"/>
                <w:color w:val="000000" w:themeColor="text1"/>
                <w:kern w:val="24"/>
                <w:sz w:val="22"/>
                <w:szCs w:val="22"/>
              </w:rPr>
              <w:t>)</w:t>
            </w:r>
            <w:r w:rsidRPr="003F5F30">
              <w:rPr>
                <w:rFonts w:ascii="Calibri" w:eastAsia="+mn-ea" w:hAnsi="Calibri" w:cs="+mn-cs"/>
                <w:color w:val="000000" w:themeColor="text1"/>
                <w:kern w:val="24"/>
                <w:sz w:val="22"/>
                <w:szCs w:val="22"/>
              </w:rPr>
              <w:t xml:space="preserve"> </w:t>
            </w:r>
            <w:r w:rsidRPr="003F5F30">
              <w:rPr>
                <w:rFonts w:ascii="Calibri" w:eastAsia="+mn-ea" w:hAnsi="Calibri" w:cs="+mn-cs"/>
                <w:i/>
                <w:iCs/>
                <w:color w:val="000000" w:themeColor="text1"/>
                <w:kern w:val="24"/>
                <w:sz w:val="22"/>
                <w:szCs w:val="22"/>
              </w:rPr>
              <w:t>Xylocarpus granatum</w:t>
            </w:r>
            <w:r w:rsidRPr="003F5F30">
              <w:rPr>
                <w:rFonts w:ascii="Calibri" w:eastAsia="+mn-ea" w:hAnsi="Calibri" w:cs="+mn-cs"/>
                <w:color w:val="000000" w:themeColor="text1"/>
                <w:kern w:val="24"/>
                <w:sz w:val="22"/>
                <w:szCs w:val="22"/>
              </w:rPr>
              <w:t>;</w:t>
            </w:r>
          </w:p>
          <w:p w14:paraId="5EF880BA" w14:textId="690C208B" w:rsidR="007A3887" w:rsidRPr="00D33905" w:rsidRDefault="007A3887" w:rsidP="007A3887">
            <w:pPr>
              <w:pStyle w:val="NormalWeb"/>
              <w:spacing w:before="0" w:beforeAutospacing="0" w:after="0" w:afterAutospacing="0"/>
              <w:textAlignment w:val="baseline"/>
              <w:rPr>
                <w:color w:val="000000" w:themeColor="text1"/>
                <w:sz w:val="22"/>
                <w:szCs w:val="22"/>
                <w:lang w:val="es-AR"/>
              </w:rPr>
            </w:pPr>
            <w:r w:rsidRPr="00D33905">
              <w:rPr>
                <w:rFonts w:ascii="Calibri" w:eastAsia="+mn-ea" w:hAnsi="Calibri" w:cs="+mn-cs"/>
                <w:color w:val="000000" w:themeColor="text1"/>
                <w:kern w:val="24"/>
                <w:sz w:val="22"/>
                <w:szCs w:val="22"/>
                <w:lang w:val="it-IT"/>
              </w:rPr>
              <w:t>B</w:t>
            </w:r>
            <w:r w:rsidR="00D33905">
              <w:rPr>
                <w:rFonts w:ascii="Calibri" w:eastAsia="+mn-ea" w:hAnsi="Calibri" w:cs="+mn-cs"/>
                <w:color w:val="000000" w:themeColor="text1"/>
                <w:kern w:val="24"/>
                <w:sz w:val="22"/>
                <w:szCs w:val="22"/>
                <w:lang w:val="it-IT"/>
              </w:rPr>
              <w:t>)</w:t>
            </w:r>
            <w:r w:rsidRPr="00D33905">
              <w:rPr>
                <w:rFonts w:ascii="Calibri" w:eastAsia="+mn-ea" w:hAnsi="Calibri" w:cs="+mn-cs"/>
                <w:color w:val="000000" w:themeColor="text1"/>
                <w:kern w:val="24"/>
                <w:sz w:val="22"/>
                <w:szCs w:val="22"/>
                <w:lang w:val="it-IT"/>
              </w:rPr>
              <w:t xml:space="preserve"> </w:t>
            </w:r>
            <w:r w:rsidRPr="00D33905">
              <w:rPr>
                <w:rFonts w:ascii="Calibri" w:eastAsia="+mn-ea" w:hAnsi="Calibri" w:cs="+mn-cs"/>
                <w:i/>
                <w:iCs/>
                <w:color w:val="000000" w:themeColor="text1"/>
                <w:kern w:val="24"/>
                <w:sz w:val="22"/>
                <w:szCs w:val="22"/>
                <w:lang w:val="it-IT"/>
              </w:rPr>
              <w:t>Avicennia marina</w:t>
            </w:r>
            <w:r w:rsidRPr="00D33905">
              <w:rPr>
                <w:rFonts w:ascii="Calibri" w:eastAsia="+mn-ea" w:hAnsi="Calibri" w:cs="+mn-cs"/>
                <w:color w:val="000000" w:themeColor="text1"/>
                <w:kern w:val="24"/>
                <w:sz w:val="22"/>
                <w:szCs w:val="22"/>
                <w:lang w:val="it-IT"/>
              </w:rPr>
              <w:t xml:space="preserve">, </w:t>
            </w:r>
            <w:r w:rsidRPr="00D33905">
              <w:rPr>
                <w:rFonts w:ascii="Calibri" w:eastAsia="+mn-ea" w:hAnsi="Calibri" w:cs="+mn-cs"/>
                <w:i/>
                <w:iCs/>
                <w:color w:val="000000" w:themeColor="text1"/>
                <w:kern w:val="24"/>
                <w:sz w:val="22"/>
                <w:szCs w:val="22"/>
                <w:lang w:val="it-IT"/>
              </w:rPr>
              <w:t>Sonneratia alba</w:t>
            </w:r>
            <w:r w:rsidRPr="00D33905">
              <w:rPr>
                <w:rFonts w:ascii="Calibri" w:eastAsia="+mn-ea" w:hAnsi="Calibri" w:cs="+mn-cs"/>
                <w:color w:val="000000" w:themeColor="text1"/>
                <w:kern w:val="24"/>
                <w:sz w:val="22"/>
                <w:szCs w:val="22"/>
                <w:lang w:val="it-IT"/>
              </w:rPr>
              <w:t>;</w:t>
            </w:r>
          </w:p>
          <w:p w14:paraId="7E6F58BA" w14:textId="42E49C56" w:rsidR="007A3887" w:rsidRPr="003F5F30" w:rsidRDefault="007A3887" w:rsidP="007A3887">
            <w:pPr>
              <w:pStyle w:val="NormalWeb"/>
              <w:spacing w:before="0" w:beforeAutospacing="0" w:after="0" w:afterAutospacing="0"/>
              <w:textAlignment w:val="baseline"/>
              <w:rPr>
                <w:color w:val="000000" w:themeColor="text1"/>
                <w:sz w:val="22"/>
                <w:szCs w:val="22"/>
                <w:lang w:val="es-AR"/>
              </w:rPr>
            </w:pPr>
            <w:r w:rsidRPr="003F5F30">
              <w:rPr>
                <w:rFonts w:ascii="Calibri" w:eastAsia="+mn-ea" w:hAnsi="Calibri" w:cs="+mn-cs"/>
                <w:color w:val="000000" w:themeColor="text1"/>
                <w:kern w:val="24"/>
                <w:sz w:val="22"/>
                <w:szCs w:val="22"/>
                <w:lang w:val="es-AR"/>
              </w:rPr>
              <w:t>C</w:t>
            </w:r>
            <w:r w:rsidR="00D33905" w:rsidRPr="003F5F30">
              <w:rPr>
                <w:rFonts w:ascii="Calibri" w:eastAsia="+mn-ea" w:hAnsi="Calibri" w:cs="+mn-cs"/>
                <w:color w:val="000000" w:themeColor="text1"/>
                <w:kern w:val="24"/>
                <w:sz w:val="22"/>
                <w:szCs w:val="22"/>
                <w:lang w:val="es-AR"/>
              </w:rPr>
              <w:t>)</w:t>
            </w:r>
            <w:r w:rsidRPr="003F5F30">
              <w:rPr>
                <w:rFonts w:ascii="Calibri" w:eastAsia="+mn-ea" w:hAnsi="Calibri" w:cs="+mn-cs"/>
                <w:color w:val="000000" w:themeColor="text1"/>
                <w:kern w:val="24"/>
                <w:sz w:val="22"/>
                <w:szCs w:val="22"/>
                <w:lang w:val="es-AR"/>
              </w:rPr>
              <w:t xml:space="preserve"> </w:t>
            </w:r>
            <w:r w:rsidRPr="003F5F30">
              <w:rPr>
                <w:rFonts w:ascii="Calibri" w:eastAsia="+mn-ea" w:hAnsi="Calibri" w:cs="+mn-cs"/>
                <w:i/>
                <w:iCs/>
                <w:color w:val="000000" w:themeColor="text1"/>
                <w:kern w:val="24"/>
                <w:sz w:val="22"/>
                <w:szCs w:val="22"/>
                <w:lang w:val="es-AR"/>
              </w:rPr>
              <w:t>Rhizophora mucronata</w:t>
            </w:r>
            <w:r w:rsidRPr="003F5F30">
              <w:rPr>
                <w:rFonts w:ascii="Calibri" w:eastAsia="+mn-ea" w:hAnsi="Calibri" w:cs="+mn-cs"/>
                <w:color w:val="000000" w:themeColor="text1"/>
                <w:kern w:val="24"/>
                <w:sz w:val="22"/>
                <w:szCs w:val="22"/>
                <w:lang w:val="es-AR"/>
              </w:rPr>
              <w:t>;</w:t>
            </w:r>
          </w:p>
          <w:p w14:paraId="10ABCCC3" w14:textId="3954023E" w:rsidR="007A3887" w:rsidRPr="00D33905" w:rsidRDefault="007A3887" w:rsidP="007A3887">
            <w:pPr>
              <w:pStyle w:val="NormalWeb"/>
              <w:spacing w:before="0" w:beforeAutospacing="0" w:after="0" w:afterAutospacing="0"/>
              <w:textAlignment w:val="baseline"/>
              <w:rPr>
                <w:color w:val="000000" w:themeColor="text1"/>
                <w:sz w:val="22"/>
                <w:szCs w:val="22"/>
              </w:rPr>
            </w:pPr>
            <w:r w:rsidRPr="00D33905">
              <w:rPr>
                <w:rFonts w:ascii="Calibri" w:eastAsia="+mn-ea" w:hAnsi="Calibri" w:cs="+mn-cs"/>
                <w:color w:val="000000" w:themeColor="text1"/>
                <w:kern w:val="24"/>
                <w:sz w:val="22"/>
                <w:szCs w:val="22"/>
              </w:rPr>
              <w:t>D</w:t>
            </w:r>
            <w:r w:rsidR="00D33905">
              <w:rPr>
                <w:rFonts w:ascii="Calibri" w:eastAsia="+mn-ea" w:hAnsi="Calibri" w:cs="+mn-cs"/>
                <w:color w:val="000000" w:themeColor="text1"/>
                <w:kern w:val="24"/>
                <w:sz w:val="22"/>
                <w:szCs w:val="22"/>
              </w:rPr>
              <w:t>)</w:t>
            </w:r>
            <w:r w:rsidRPr="00D33905">
              <w:rPr>
                <w:rFonts w:ascii="Calibri" w:eastAsia="+mn-ea" w:hAnsi="Calibri" w:cs="+mn-cs"/>
                <w:color w:val="000000" w:themeColor="text1"/>
                <w:kern w:val="24"/>
                <w:sz w:val="22"/>
                <w:szCs w:val="22"/>
              </w:rPr>
              <w:t xml:space="preserve"> </w:t>
            </w:r>
            <w:r w:rsidRPr="00D33905">
              <w:rPr>
                <w:rFonts w:ascii="Calibri" w:eastAsia="+mn-ea" w:hAnsi="Calibri" w:cs="+mn-cs"/>
                <w:i/>
                <w:iCs/>
                <w:color w:val="000000" w:themeColor="text1"/>
                <w:kern w:val="24"/>
                <w:sz w:val="22"/>
                <w:szCs w:val="22"/>
              </w:rPr>
              <w:t>Bruguiera gymnorrhiza</w:t>
            </w:r>
          </w:p>
          <w:p w14:paraId="034E4A52" w14:textId="74B22CDA" w:rsidR="007A3887" w:rsidRDefault="007A3887" w:rsidP="007A3887">
            <w:pPr>
              <w:jc w:val="both"/>
              <w:rPr>
                <w:noProof/>
              </w:rPr>
            </w:pPr>
            <w:r>
              <w:rPr>
                <w:noProof/>
              </w:rPr>
              <w:t xml:space="preserve">© </w:t>
            </w:r>
            <w:r w:rsidR="00D33905" w:rsidRPr="00D33905">
              <w:rPr>
                <w:noProof/>
              </w:rPr>
              <w:t>FORMAD Environnement</w:t>
            </w:r>
          </w:p>
          <w:p w14:paraId="726F9D5B" w14:textId="77777777" w:rsidR="00D33905" w:rsidRDefault="00D33905" w:rsidP="007A3887">
            <w:pPr>
              <w:jc w:val="both"/>
              <w:rPr>
                <w:noProof/>
              </w:rPr>
            </w:pPr>
          </w:p>
          <w:p w14:paraId="3A5A0F72" w14:textId="574E5F7D" w:rsidR="00D33905" w:rsidRPr="00C97183" w:rsidRDefault="00D33905" w:rsidP="007A3887">
            <w:pPr>
              <w:jc w:val="both"/>
              <w:rPr>
                <w:noProof/>
              </w:rPr>
            </w:pPr>
            <w:r w:rsidRPr="00D33905">
              <w:rPr>
                <w:noProof/>
                <w:u w:val="single"/>
              </w:rPr>
              <w:t>Note</w:t>
            </w:r>
            <w:r w:rsidRPr="00D33905">
              <w:rPr>
                <w:noProof/>
              </w:rPr>
              <w:t xml:space="preserve"> : image en rapport avec le paragraphe "</w:t>
            </w:r>
            <w:r w:rsidRPr="00D33905">
              <w:rPr>
                <w:i/>
                <w:iCs/>
                <w:noProof/>
              </w:rPr>
              <w:t>Racines aériennes et pneumatophores</w:t>
            </w:r>
            <w:r w:rsidRPr="00D33905">
              <w:rPr>
                <w:noProof/>
              </w:rPr>
              <w:t>"</w:t>
            </w:r>
            <w:r>
              <w:rPr>
                <w:noProof/>
              </w:rPr>
              <w:t>.</w:t>
            </w:r>
          </w:p>
        </w:tc>
      </w:tr>
    </w:tbl>
    <w:p w14:paraId="312DD7E9" w14:textId="22AD8D97" w:rsidR="00C97183" w:rsidRDefault="00C97183" w:rsidP="0016575E">
      <w:pPr>
        <w:spacing w:after="0" w:line="240" w:lineRule="auto"/>
        <w:rPr>
          <w:rFonts w:ascii="Calibri" w:hAnsi="Calibri" w:cs="Calibri"/>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503689" w14:paraId="0FB03AE5" w14:textId="77777777" w:rsidTr="00503689">
        <w:tc>
          <w:tcPr>
            <w:tcW w:w="5208" w:type="dxa"/>
          </w:tcPr>
          <w:p w14:paraId="5D5D3E05" w14:textId="77777777" w:rsidR="00503689" w:rsidRDefault="00503689" w:rsidP="00503689">
            <w:pPr>
              <w:jc w:val="center"/>
              <w:rPr>
                <w:rFonts w:ascii="Calibri" w:hAnsi="Calibri" w:cs="Calibri"/>
              </w:rPr>
            </w:pPr>
            <w:r w:rsidRPr="00503689">
              <w:rPr>
                <w:rFonts w:ascii="Calibri" w:hAnsi="Calibri" w:cs="Calibri"/>
                <w:noProof/>
              </w:rPr>
              <w:drawing>
                <wp:inline distT="0" distB="0" distL="0" distR="0" wp14:anchorId="08C6FED3" wp14:editId="1DD61F12">
                  <wp:extent cx="2943225" cy="2085485"/>
                  <wp:effectExtent l="0" t="0" r="0" b="0"/>
                  <wp:docPr id="80920"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pic:cNvPicPr>
                            <a:picLocks noChangeAspect="1"/>
                          </pic:cNvPicPr>
                        </pic:nvPicPr>
                        <pic:blipFill>
                          <a:blip r:embed="rId1112">
                            <a:extLst>
                              <a:ext uri="{28A0092B-C50C-407E-A947-70E740481C1C}">
                                <a14:useLocalDpi xmlns:a14="http://schemas.microsoft.com/office/drawing/2010/main" val="0"/>
                              </a:ext>
                            </a:extLst>
                          </a:blip>
                          <a:stretch>
                            <a:fillRect/>
                          </a:stretch>
                        </pic:blipFill>
                        <pic:spPr>
                          <a:xfrm>
                            <a:off x="0" y="0"/>
                            <a:ext cx="2949857" cy="2090184"/>
                          </a:xfrm>
                          <a:prstGeom prst="rect">
                            <a:avLst/>
                          </a:prstGeom>
                        </pic:spPr>
                      </pic:pic>
                    </a:graphicData>
                  </a:graphic>
                </wp:inline>
              </w:drawing>
            </w:r>
          </w:p>
          <w:p w14:paraId="2F8B12A9" w14:textId="59F23FD0" w:rsidR="00503689" w:rsidRDefault="00503689" w:rsidP="00503689">
            <w:pPr>
              <w:jc w:val="center"/>
              <w:rPr>
                <w:rFonts w:ascii="Calibri" w:hAnsi="Calibri" w:cs="Calibri"/>
              </w:rPr>
            </w:pPr>
            <w:r w:rsidRPr="00503689">
              <w:rPr>
                <w:rFonts w:ascii="Calibri" w:hAnsi="Calibri" w:cs="Calibri"/>
              </w:rPr>
              <w:t>Feu de forêt dans la mangrove (au Guyana)</w:t>
            </w:r>
            <w:r>
              <w:rPr>
                <w:rFonts w:ascii="Calibri" w:hAnsi="Calibri" w:cs="Calibri"/>
              </w:rPr>
              <w:t>, à</w:t>
            </w:r>
            <w:r w:rsidRPr="00503689">
              <w:rPr>
                <w:rFonts w:ascii="Calibri" w:hAnsi="Calibri" w:cs="Calibri"/>
              </w:rPr>
              <w:t xml:space="preserve"> cause de l’homme.</w:t>
            </w:r>
          </w:p>
        </w:tc>
        <w:tc>
          <w:tcPr>
            <w:tcW w:w="5208" w:type="dxa"/>
          </w:tcPr>
          <w:p w14:paraId="1F38633E" w14:textId="77777777" w:rsidR="00503689" w:rsidRDefault="00503689" w:rsidP="00503689">
            <w:pPr>
              <w:jc w:val="center"/>
              <w:rPr>
                <w:rFonts w:ascii="Calibri" w:hAnsi="Calibri" w:cs="Calibri"/>
              </w:rPr>
            </w:pPr>
            <w:r w:rsidRPr="00503689">
              <w:rPr>
                <w:rFonts w:ascii="Calibri" w:hAnsi="Calibri" w:cs="Calibri"/>
                <w:noProof/>
              </w:rPr>
              <w:drawing>
                <wp:inline distT="0" distB="0" distL="0" distR="0" wp14:anchorId="709ABFC5" wp14:editId="6E07AF1C">
                  <wp:extent cx="2982886" cy="2080076"/>
                  <wp:effectExtent l="0" t="0" r="8255" b="0"/>
                  <wp:docPr id="80921"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9"/>
                          <pic:cNvPicPr>
                            <a:picLocks noChangeAspect="1"/>
                          </pic:cNvPicPr>
                        </pic:nvPicPr>
                        <pic:blipFill>
                          <a:blip r:embed="rId1113">
                            <a:extLst>
                              <a:ext uri="{28A0092B-C50C-407E-A947-70E740481C1C}">
                                <a14:useLocalDpi xmlns:a14="http://schemas.microsoft.com/office/drawing/2010/main" val="0"/>
                              </a:ext>
                            </a:extLst>
                          </a:blip>
                          <a:stretch>
                            <a:fillRect/>
                          </a:stretch>
                        </pic:blipFill>
                        <pic:spPr>
                          <a:xfrm>
                            <a:off x="0" y="0"/>
                            <a:ext cx="2996706" cy="2089713"/>
                          </a:xfrm>
                          <a:prstGeom prst="rect">
                            <a:avLst/>
                          </a:prstGeom>
                        </pic:spPr>
                      </pic:pic>
                    </a:graphicData>
                  </a:graphic>
                </wp:inline>
              </w:drawing>
            </w:r>
          </w:p>
          <w:p w14:paraId="52FA9926" w14:textId="77777777" w:rsidR="00503689" w:rsidRDefault="00503689" w:rsidP="00503689">
            <w:pPr>
              <w:jc w:val="both"/>
              <w:rPr>
                <w:rFonts w:ascii="Calibri" w:hAnsi="Calibri" w:cs="Calibri"/>
              </w:rPr>
            </w:pPr>
            <w:r w:rsidRPr="00503689">
              <w:rPr>
                <w:rFonts w:ascii="Calibri" w:hAnsi="Calibri" w:cs="Calibri"/>
              </w:rPr>
              <w:t xml:space="preserve">Mangrove à </w:t>
            </w:r>
            <w:r w:rsidRPr="00503689">
              <w:rPr>
                <w:rFonts w:ascii="Calibri" w:hAnsi="Calibri" w:cs="Calibri"/>
                <w:i/>
                <w:iCs/>
              </w:rPr>
              <w:t>Sonneratia</w:t>
            </w:r>
            <w:r w:rsidRPr="00503689">
              <w:rPr>
                <w:rFonts w:ascii="Calibri" w:hAnsi="Calibri" w:cs="Calibri"/>
              </w:rPr>
              <w:t xml:space="preserve"> très « attaqué » par l’homme, pour la récolte du bois de feux (sur la route entre Tuléar et Ifaty. Côte Ouest de Madagascar).</w:t>
            </w:r>
            <w:r>
              <w:rPr>
                <w:rFonts w:ascii="Calibri" w:hAnsi="Calibri" w:cs="Calibri"/>
              </w:rPr>
              <w:t xml:space="preserve"> © B. Lisan</w:t>
            </w:r>
          </w:p>
          <w:p w14:paraId="0557ADB9" w14:textId="4803C071" w:rsidR="00503689" w:rsidRDefault="00503689" w:rsidP="00503689">
            <w:pPr>
              <w:jc w:val="both"/>
              <w:rPr>
                <w:rFonts w:ascii="Calibri" w:hAnsi="Calibri" w:cs="Calibri"/>
              </w:rPr>
            </w:pPr>
          </w:p>
        </w:tc>
      </w:tr>
      <w:tr w:rsidR="00503689" w14:paraId="235F32E6" w14:textId="77777777" w:rsidTr="00503689">
        <w:tc>
          <w:tcPr>
            <w:tcW w:w="5208" w:type="dxa"/>
          </w:tcPr>
          <w:p w14:paraId="2982930D" w14:textId="77777777" w:rsidR="00503689" w:rsidRDefault="00503689" w:rsidP="00503689">
            <w:pPr>
              <w:jc w:val="center"/>
              <w:rPr>
                <w:rFonts w:ascii="Calibri" w:hAnsi="Calibri" w:cs="Calibri"/>
              </w:rPr>
            </w:pPr>
            <w:r w:rsidRPr="00503689">
              <w:rPr>
                <w:rFonts w:ascii="Calibri" w:hAnsi="Calibri" w:cs="Calibri"/>
                <w:noProof/>
              </w:rPr>
              <w:lastRenderedPageBreak/>
              <w:drawing>
                <wp:inline distT="0" distB="0" distL="0" distR="0" wp14:anchorId="361368F5" wp14:editId="21AE431E">
                  <wp:extent cx="2914650" cy="1943100"/>
                  <wp:effectExtent l="0" t="0" r="0" b="0"/>
                  <wp:docPr id="80922"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6"/>
                          <pic:cNvPicPr>
                            <a:picLocks noChangeAspect="1"/>
                          </pic:cNvPicPr>
                        </pic:nvPicPr>
                        <pic:blipFill>
                          <a:blip r:embed="rId1114">
                            <a:extLst>
                              <a:ext uri="{28A0092B-C50C-407E-A947-70E740481C1C}">
                                <a14:useLocalDpi xmlns:a14="http://schemas.microsoft.com/office/drawing/2010/main" val="0"/>
                              </a:ext>
                            </a:extLst>
                          </a:blip>
                          <a:stretch>
                            <a:fillRect/>
                          </a:stretch>
                        </pic:blipFill>
                        <pic:spPr>
                          <a:xfrm>
                            <a:off x="0" y="0"/>
                            <a:ext cx="2914650" cy="1943100"/>
                          </a:xfrm>
                          <a:prstGeom prst="rect">
                            <a:avLst/>
                          </a:prstGeom>
                        </pic:spPr>
                      </pic:pic>
                    </a:graphicData>
                  </a:graphic>
                </wp:inline>
              </w:drawing>
            </w:r>
          </w:p>
          <w:p w14:paraId="76D02EDE" w14:textId="4EF9D060" w:rsidR="00503689" w:rsidRDefault="00503689" w:rsidP="00503689">
            <w:pPr>
              <w:jc w:val="both"/>
              <w:rPr>
                <w:rFonts w:ascii="Calibri" w:hAnsi="Calibri" w:cs="Calibri"/>
              </w:rPr>
            </w:pPr>
            <w:r w:rsidRPr="00503689">
              <w:rPr>
                <w:rFonts w:ascii="Calibri" w:hAnsi="Calibri" w:cs="Calibri"/>
              </w:rPr>
              <w:t>Les coupes à blanc pour la production de charbon de bois met les villages face aux risques de l'augmentation de l’impact des vagues, du vent et des inondations. Les villages le long du côté ouest (au vent) de cette île, en Indonésie, ont tous connu des inondations. Elles ont augmenté en raison de la coupe à blanc des mangroves côtières; pour la production de charbon de bois et le développement de bassins piscicoles.</w:t>
            </w:r>
          </w:p>
        </w:tc>
        <w:tc>
          <w:tcPr>
            <w:tcW w:w="5208" w:type="dxa"/>
          </w:tcPr>
          <w:p w14:paraId="16FF1D2C" w14:textId="77777777" w:rsidR="00503689" w:rsidRDefault="00503689" w:rsidP="00503689">
            <w:pPr>
              <w:jc w:val="center"/>
              <w:rPr>
                <w:rFonts w:ascii="Calibri" w:hAnsi="Calibri" w:cs="Calibri"/>
              </w:rPr>
            </w:pPr>
            <w:r w:rsidRPr="00503689">
              <w:rPr>
                <w:rFonts w:ascii="Calibri" w:hAnsi="Calibri" w:cs="Calibri"/>
                <w:noProof/>
              </w:rPr>
              <w:drawing>
                <wp:inline distT="0" distB="0" distL="0" distR="0" wp14:anchorId="39B99BF5" wp14:editId="0E5C8184">
                  <wp:extent cx="3002280" cy="1876425"/>
                  <wp:effectExtent l="0" t="0" r="7620" b="9525"/>
                  <wp:docPr id="80923"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8"/>
                          <pic:cNvPicPr>
                            <a:picLocks noChangeAspect="1"/>
                          </pic:cNvPicPr>
                        </pic:nvPicPr>
                        <pic:blipFill>
                          <a:blip r:embed="rId1115">
                            <a:extLst>
                              <a:ext uri="{28A0092B-C50C-407E-A947-70E740481C1C}">
                                <a14:useLocalDpi xmlns:a14="http://schemas.microsoft.com/office/drawing/2010/main" val="0"/>
                              </a:ext>
                            </a:extLst>
                          </a:blip>
                          <a:stretch>
                            <a:fillRect/>
                          </a:stretch>
                        </pic:blipFill>
                        <pic:spPr>
                          <a:xfrm>
                            <a:off x="0" y="0"/>
                            <a:ext cx="3006660" cy="1879163"/>
                          </a:xfrm>
                          <a:prstGeom prst="rect">
                            <a:avLst/>
                          </a:prstGeom>
                        </pic:spPr>
                      </pic:pic>
                    </a:graphicData>
                  </a:graphic>
                </wp:inline>
              </w:drawing>
            </w:r>
          </w:p>
          <w:p w14:paraId="2BA2E606" w14:textId="311CB722" w:rsidR="00503689" w:rsidRDefault="00503689" w:rsidP="00503689">
            <w:pPr>
              <w:jc w:val="both"/>
              <w:rPr>
                <w:rFonts w:ascii="Calibri" w:hAnsi="Calibri" w:cs="Calibri"/>
              </w:rPr>
            </w:pPr>
            <w:r w:rsidRPr="00503689">
              <w:rPr>
                <w:rFonts w:ascii="Calibri" w:hAnsi="Calibri" w:cs="Calibri"/>
              </w:rPr>
              <w:t xml:space="preserve">Pour éviter la surexploitation du bois des mangroves, certaines ONG apprennent à construire et à utiliser des cuiseurs performants et économes en bois. </w:t>
            </w:r>
            <w:r w:rsidRPr="00503689">
              <w:rPr>
                <w:rFonts w:ascii="Calibri" w:hAnsi="Calibri" w:cs="Calibri"/>
                <w:i/>
                <w:iCs/>
              </w:rPr>
              <w:t>Ces initiatives peuvent contribuer encore plus à ce que les communautés locales s’engagent encore plus dans la préservation de leur mangrove</w:t>
            </w:r>
            <w:r w:rsidRPr="00503689">
              <w:rPr>
                <w:rFonts w:ascii="Calibri" w:hAnsi="Calibri" w:cs="Calibri"/>
              </w:rPr>
              <w:t>.</w:t>
            </w:r>
          </w:p>
        </w:tc>
      </w:tr>
    </w:tbl>
    <w:p w14:paraId="26844EF8" w14:textId="77777777" w:rsidR="00503689" w:rsidRPr="00C97183" w:rsidRDefault="00503689" w:rsidP="0016575E">
      <w:pPr>
        <w:spacing w:after="0" w:line="240" w:lineRule="auto"/>
        <w:rPr>
          <w:rFonts w:ascii="Calibri" w:hAnsi="Calibri" w:cs="Calibri"/>
        </w:rPr>
      </w:pPr>
    </w:p>
    <w:p w14:paraId="2BA64130" w14:textId="26D01CF3" w:rsidR="009B63F6" w:rsidRDefault="009B63F6" w:rsidP="00D87D3F">
      <w:pPr>
        <w:pStyle w:val="Titre2"/>
      </w:pPr>
      <w:bookmarkStart w:id="129" w:name="_Toc139181420"/>
      <w:r w:rsidRPr="009B63F6">
        <w:t>Palétuvier</w:t>
      </w:r>
      <w:r w:rsidR="001A2781">
        <w:t xml:space="preserve"> noir</w:t>
      </w:r>
      <w:r w:rsidR="005B0C79">
        <w:t xml:space="preserve"> /</w:t>
      </w:r>
      <w:r w:rsidR="00FB2195">
        <w:t xml:space="preserve"> </w:t>
      </w:r>
      <w:r w:rsidR="005B0C79" w:rsidRPr="009B63F6">
        <w:t>Palétuvier</w:t>
      </w:r>
      <w:r w:rsidR="00FB2195">
        <w:t xml:space="preserve"> gris</w:t>
      </w:r>
      <w:r w:rsidRPr="009B63F6">
        <w:rPr>
          <w:b/>
          <w:bCs/>
        </w:rPr>
        <w:t xml:space="preserve"> </w:t>
      </w:r>
      <w:r w:rsidRPr="009B63F6">
        <w:t>(</w:t>
      </w:r>
      <w:r w:rsidRPr="009B63F6">
        <w:rPr>
          <w:i/>
          <w:iCs/>
        </w:rPr>
        <w:t>Avicennia marina</w:t>
      </w:r>
      <w:r w:rsidRPr="009B63F6">
        <w:t>)</w:t>
      </w:r>
      <w:bookmarkEnd w:id="129"/>
    </w:p>
    <w:p w14:paraId="48D0DBF6" w14:textId="0F935040" w:rsidR="009B63F6" w:rsidRDefault="009B63F6" w:rsidP="003256AA">
      <w:pPr>
        <w:spacing w:after="0" w:line="240" w:lineRule="auto"/>
      </w:pPr>
    </w:p>
    <w:p w14:paraId="04B33A08" w14:textId="7A8E5F69" w:rsidR="009B63F6" w:rsidRPr="009B63F6" w:rsidRDefault="009B63F6" w:rsidP="009B63F6">
      <w:pPr>
        <w:spacing w:after="0" w:line="240" w:lineRule="auto"/>
      </w:pPr>
      <w:r w:rsidRPr="009B63F6">
        <w:rPr>
          <w:u w:val="single"/>
        </w:rPr>
        <w:t>Famille</w:t>
      </w:r>
      <w:r w:rsidRPr="009B63F6">
        <w:t xml:space="preserve"> : </w:t>
      </w:r>
      <w:r w:rsidR="00FB2195" w:rsidRPr="00FB2195">
        <w:rPr>
          <w:i/>
          <w:iCs/>
        </w:rPr>
        <w:t>Verbenaceae</w:t>
      </w:r>
      <w:r w:rsidR="00FB2195" w:rsidRPr="00FB2195">
        <w:t xml:space="preserve">, ou </w:t>
      </w:r>
      <w:r w:rsidR="00FB2195" w:rsidRPr="009B63F6">
        <w:rPr>
          <w:i/>
          <w:iCs/>
        </w:rPr>
        <w:t>Acanthaceae</w:t>
      </w:r>
      <w:r w:rsidR="00FB2195" w:rsidRPr="009B63F6">
        <w:t xml:space="preserve"> (ex </w:t>
      </w:r>
      <w:r w:rsidR="00FB2195" w:rsidRPr="009B63F6">
        <w:rPr>
          <w:i/>
          <w:iCs/>
        </w:rPr>
        <w:t>Aviceniaceae</w:t>
      </w:r>
      <w:r w:rsidR="00FB2195" w:rsidRPr="009B63F6">
        <w:t>)</w:t>
      </w:r>
      <w:r w:rsidR="00FB2195">
        <w:t xml:space="preserve">, </w:t>
      </w:r>
      <w:r w:rsidR="00FB2195" w:rsidRPr="00FB2195">
        <w:t>selon la classification phylogénétique.</w:t>
      </w:r>
    </w:p>
    <w:p w14:paraId="6AC6069E" w14:textId="31F5A4E5" w:rsidR="009B63F6" w:rsidRPr="009B63F6" w:rsidRDefault="009B63F6" w:rsidP="009B63F6">
      <w:pPr>
        <w:spacing w:after="0" w:line="240" w:lineRule="auto"/>
      </w:pPr>
      <w:r w:rsidRPr="009B63F6">
        <w:rPr>
          <w:u w:val="single"/>
        </w:rPr>
        <w:t>Synonyme</w:t>
      </w:r>
      <w:r w:rsidRPr="009B63F6">
        <w:t xml:space="preserve"> : palétuvier </w:t>
      </w:r>
      <w:r w:rsidR="00FB2195">
        <w:t>noir</w:t>
      </w:r>
      <w:r w:rsidR="006752C4">
        <w:t xml:space="preserve"> (en français)</w:t>
      </w:r>
      <w:r w:rsidR="00FB2195">
        <w:t xml:space="preserve"> ou</w:t>
      </w:r>
      <w:r w:rsidR="006752C4">
        <w:t xml:space="preserve"> palétuvier</w:t>
      </w:r>
      <w:r w:rsidR="00FB2195">
        <w:t xml:space="preserve"> </w:t>
      </w:r>
      <w:r w:rsidRPr="009B63F6">
        <w:t>gris</w:t>
      </w:r>
      <w:r w:rsidR="006752C4">
        <w:t xml:space="preserve"> (en anglais</w:t>
      </w:r>
      <w:r w:rsidR="00FB2195">
        <w:t>)</w:t>
      </w:r>
      <w:r w:rsidRPr="009B63F6">
        <w:t>.</w:t>
      </w:r>
    </w:p>
    <w:p w14:paraId="49F8C0B4" w14:textId="2B26D644" w:rsidR="009B63F6" w:rsidRPr="009B63F6" w:rsidRDefault="009B63F6" w:rsidP="009F00C7">
      <w:pPr>
        <w:spacing w:after="0" w:line="240" w:lineRule="auto"/>
        <w:jc w:val="both"/>
      </w:pPr>
      <w:r w:rsidRPr="009B63F6">
        <w:rPr>
          <w:u w:val="single"/>
        </w:rPr>
        <w:t>Écologie</w:t>
      </w:r>
      <w:r w:rsidRPr="009B63F6">
        <w:t xml:space="preserve"> :</w:t>
      </w:r>
      <w:r w:rsidR="001A2781">
        <w:t xml:space="preserve"> </w:t>
      </w:r>
      <w:r w:rsidR="001A2781" w:rsidRPr="001A2781">
        <w:t xml:space="preserve">Les palétuviers noirs </w:t>
      </w:r>
      <w:r w:rsidR="001A2781" w:rsidRPr="001A2781">
        <w:rPr>
          <w:i/>
          <w:iCs/>
        </w:rPr>
        <w:t>Avicennia marina</w:t>
      </w:r>
      <w:r w:rsidR="001A2781" w:rsidRPr="001A2781">
        <w:t xml:space="preserve"> se trouvent près de la mer, au niveau des basses eaux. Ce sont parmi les premiers arbres à former et coloniser la mangrove (avec les arbustes du genre </w:t>
      </w:r>
      <w:r w:rsidR="001A2781" w:rsidRPr="001A2781">
        <w:rPr>
          <w:i/>
          <w:iCs/>
        </w:rPr>
        <w:t>Sonneratia</w:t>
      </w:r>
      <w:r w:rsidR="001A2781" w:rsidRPr="001A2781">
        <w:t>). Ces arbres ont de longues racines qui fixent la vase et permettent à de nouveaux sédiments de se déposer derrière.</w:t>
      </w:r>
      <w:r w:rsidR="00FB2195">
        <w:t xml:space="preserve"> </w:t>
      </w:r>
      <w:r w:rsidR="00FB2195" w:rsidRPr="00FB2195">
        <w:t xml:space="preserve">Comme les autres palétuviers, cette espèce contribue à la fixation des sédiments et du trait de côte. Les racines de cette plante, en complément du travail de crabes fouisseurs tels que </w:t>
      </w:r>
      <w:r w:rsidR="00FB2195" w:rsidRPr="00FB2195">
        <w:rPr>
          <w:i/>
          <w:iCs/>
        </w:rPr>
        <w:t>Uca vocans</w:t>
      </w:r>
      <w:r w:rsidR="00FB2195" w:rsidRPr="00FB2195">
        <w:t>, réoxygènent en permanence le sédiment vaseux et modifient le cycle du soufre et du carbone en contribuant à la biogéochimie des sulfures.</w:t>
      </w:r>
    </w:p>
    <w:p w14:paraId="6705830B" w14:textId="0F851B5E" w:rsidR="009B63F6" w:rsidRPr="009B63F6" w:rsidRDefault="009B63F6" w:rsidP="009F00C7">
      <w:pPr>
        <w:spacing w:after="0" w:line="240" w:lineRule="auto"/>
        <w:jc w:val="both"/>
      </w:pPr>
      <w:r w:rsidRPr="009B63F6">
        <w:rPr>
          <w:u w:val="single"/>
        </w:rPr>
        <w:t>Salinité</w:t>
      </w:r>
      <w:r w:rsidRPr="009B63F6">
        <w:t xml:space="preserve"> :</w:t>
      </w:r>
      <w:r w:rsidR="004573E0">
        <w:t xml:space="preserve"> </w:t>
      </w:r>
      <w:r w:rsidR="009F00C7" w:rsidRPr="009F00C7">
        <w:t>Forte (15 à 45g/l)</w:t>
      </w:r>
      <w:r w:rsidR="009F00C7">
        <w:t xml:space="preserve">. </w:t>
      </w:r>
      <w:r w:rsidR="004573E0" w:rsidRPr="004573E0">
        <w:t xml:space="preserve">Les </w:t>
      </w:r>
      <w:r w:rsidR="004573E0" w:rsidRPr="001A2781">
        <w:rPr>
          <w:i/>
          <w:iCs/>
        </w:rPr>
        <w:t>Avicennias</w:t>
      </w:r>
      <w:r w:rsidR="004573E0" w:rsidRPr="004573E0">
        <w:t xml:space="preserve"> marina supportent un degré élevé de salinité. Ils supportent aussi d'être presque continuellement submergés dans l'eau salée de la mer.</w:t>
      </w:r>
    </w:p>
    <w:p w14:paraId="4B835CD0" w14:textId="4DA9DB18" w:rsidR="009B63F6" w:rsidRPr="009B63F6" w:rsidRDefault="009B63F6" w:rsidP="009F00C7">
      <w:pPr>
        <w:spacing w:after="0" w:line="240" w:lineRule="auto"/>
        <w:jc w:val="both"/>
      </w:pPr>
      <w:r w:rsidRPr="009B63F6">
        <w:rPr>
          <w:u w:val="single"/>
        </w:rPr>
        <w:t>Zonation</w:t>
      </w:r>
      <w:r w:rsidRPr="009B63F6">
        <w:t xml:space="preserve"> : immersion quotidienne (zone </w:t>
      </w:r>
      <w:r w:rsidR="007F470F" w:rsidRPr="009B63F6">
        <w:t>intertidal</w:t>
      </w:r>
      <w:r w:rsidRPr="009B63F6">
        <w:t>), immersion à forte marée, atterrissements vaseux, immersion aux grandes marées d'équinoxe (chenaux des marées) ;</w:t>
      </w:r>
    </w:p>
    <w:p w14:paraId="098C87F5" w14:textId="16922084" w:rsidR="009B63F6" w:rsidRPr="009B63F6" w:rsidRDefault="009B63F6" w:rsidP="009F00C7">
      <w:pPr>
        <w:spacing w:after="0" w:line="240" w:lineRule="auto"/>
        <w:jc w:val="both"/>
      </w:pPr>
      <w:r w:rsidRPr="009B63F6">
        <w:rPr>
          <w:u w:val="single"/>
        </w:rPr>
        <w:t>Plantule</w:t>
      </w:r>
      <w:r w:rsidRPr="009B63F6">
        <w:t xml:space="preserve"> :</w:t>
      </w:r>
      <w:r w:rsidR="0051682E">
        <w:t xml:space="preserve"> </w:t>
      </w:r>
      <w:r w:rsidR="0051682E" w:rsidRPr="0051682E">
        <w:t>Cette espèce ne forme pas de propagules mais plutôt une graine qui dispose donc d’une plus grande zone de dispersion, ce qui lui permet de coloniser des espaces éloignés par rapport à l’arbre-mère.</w:t>
      </w:r>
    </w:p>
    <w:p w14:paraId="6F488729" w14:textId="77777777" w:rsidR="009B63F6" w:rsidRPr="009B63F6" w:rsidRDefault="009B63F6" w:rsidP="009F00C7">
      <w:pPr>
        <w:spacing w:after="0" w:line="240" w:lineRule="auto"/>
        <w:jc w:val="both"/>
      </w:pPr>
      <w:r w:rsidRPr="009B63F6">
        <w:rPr>
          <w:u w:val="single"/>
        </w:rPr>
        <w:t>Plante</w:t>
      </w:r>
      <w:r w:rsidRPr="009B63F6">
        <w:t xml:space="preserve"> : 4-10 m de hauteur.</w:t>
      </w:r>
    </w:p>
    <w:p w14:paraId="4C7622D6" w14:textId="77777777" w:rsidR="009B63F6" w:rsidRPr="009B63F6" w:rsidRDefault="009B63F6" w:rsidP="009F00C7">
      <w:pPr>
        <w:spacing w:after="0" w:line="240" w:lineRule="auto"/>
        <w:jc w:val="both"/>
      </w:pPr>
      <w:r w:rsidRPr="009B63F6">
        <w:rPr>
          <w:u w:val="single"/>
        </w:rPr>
        <w:t>Tronc</w:t>
      </w:r>
      <w:r w:rsidRPr="009B63F6">
        <w:t xml:space="preserve"> : écorce jaunâtre, circonférence 35-57 cm</w:t>
      </w:r>
    </w:p>
    <w:p w14:paraId="6B2337CB" w14:textId="0846F460" w:rsidR="009B63F6" w:rsidRPr="009B63F6" w:rsidRDefault="009B63F6" w:rsidP="009F00C7">
      <w:pPr>
        <w:spacing w:after="0" w:line="240" w:lineRule="auto"/>
        <w:jc w:val="both"/>
      </w:pPr>
      <w:r w:rsidRPr="009B63F6">
        <w:rPr>
          <w:u w:val="single"/>
        </w:rPr>
        <w:t>Feuilles</w:t>
      </w:r>
      <w:r w:rsidRPr="009B63F6">
        <w:t xml:space="preserve"> : opposées décussées, ovale, allongée, épaisse, une seule nervure centrale apparente en relief sur la face inférieure, face inférieure vert-clair, exudats de sel</w:t>
      </w:r>
      <w:r w:rsidR="007F470F">
        <w:t>.</w:t>
      </w:r>
    </w:p>
    <w:p w14:paraId="41204E99" w14:textId="2519B362" w:rsidR="009B63F6" w:rsidRPr="009B63F6" w:rsidRDefault="009B63F6" w:rsidP="009F00C7">
      <w:pPr>
        <w:spacing w:after="0" w:line="240" w:lineRule="auto"/>
        <w:jc w:val="both"/>
      </w:pPr>
      <w:r w:rsidRPr="009B63F6">
        <w:rPr>
          <w:u w:val="single"/>
        </w:rPr>
        <w:t>Racines</w:t>
      </w:r>
      <w:r w:rsidRPr="009B63F6">
        <w:t xml:space="preserve"> : </w:t>
      </w:r>
      <w:r w:rsidR="0051682E" w:rsidRPr="0051682E">
        <w:t>Il présente une adaptation aux milieux anoxiques sous forme de pneumatophores</w:t>
      </w:r>
      <w:r w:rsidR="007F470F">
        <w:rPr>
          <w:rStyle w:val="Appelnotedebasdep"/>
        </w:rPr>
        <w:footnoteReference w:id="92"/>
      </w:r>
      <w:r w:rsidR="0051682E">
        <w:t xml:space="preserve">, </w:t>
      </w:r>
      <w:r w:rsidR="0051682E" w:rsidRPr="009B63F6">
        <w:t>de 6 à 30 cm (95 à 525 par m2 ou 41 à 492)</w:t>
      </w:r>
      <w:r w:rsidR="0051682E">
        <w:t>,</w:t>
      </w:r>
      <w:r w:rsidR="0051682E" w:rsidRPr="0051682E">
        <w:t xml:space="preserve"> le long des racines principales.</w:t>
      </w:r>
    </w:p>
    <w:p w14:paraId="0F741422" w14:textId="7FABBA39" w:rsidR="009B63F6" w:rsidRPr="009B63F6" w:rsidRDefault="009B63F6" w:rsidP="009F00C7">
      <w:pPr>
        <w:spacing w:after="0" w:line="240" w:lineRule="auto"/>
        <w:jc w:val="both"/>
      </w:pPr>
      <w:r w:rsidRPr="009B63F6">
        <w:rPr>
          <w:u w:val="single"/>
        </w:rPr>
        <w:t>Inflorescences</w:t>
      </w:r>
      <w:r w:rsidRPr="009B63F6">
        <w:t xml:space="preserve"> : débute </w:t>
      </w:r>
      <w:r w:rsidR="0005185F" w:rsidRPr="009B63F6">
        <w:t>mi-septembre</w:t>
      </w:r>
    </w:p>
    <w:p w14:paraId="733519F1" w14:textId="77777777" w:rsidR="009B63F6" w:rsidRPr="009B63F6" w:rsidRDefault="009B63F6" w:rsidP="009F00C7">
      <w:pPr>
        <w:spacing w:after="0" w:line="240" w:lineRule="auto"/>
        <w:jc w:val="both"/>
      </w:pPr>
      <w:r w:rsidRPr="009B63F6">
        <w:rPr>
          <w:u w:val="single"/>
        </w:rPr>
        <w:t>Fruits</w:t>
      </w:r>
      <w:r w:rsidRPr="009B63F6">
        <w:t xml:space="preserve"> : rond avec une pointe, jaunâtre à vert clair, écorce duveteuse. Deux gros cotylédons.</w:t>
      </w:r>
    </w:p>
    <w:p w14:paraId="5731183A" w14:textId="1B246C7D" w:rsidR="009B63F6" w:rsidRPr="009B63F6" w:rsidRDefault="009B63F6" w:rsidP="009B63F6">
      <w:pPr>
        <w:spacing w:after="0" w:line="240" w:lineRule="auto"/>
      </w:pPr>
      <w:r w:rsidRPr="009B63F6">
        <w:rPr>
          <w:u w:val="single"/>
        </w:rPr>
        <w:t xml:space="preserve">Période de collecte des fruits </w:t>
      </w:r>
      <w:r w:rsidRPr="009B63F6">
        <w:t>: mars (à Madagascar)</w:t>
      </w:r>
      <w:r w:rsidR="00707310">
        <w:t>.</w:t>
      </w:r>
    </w:p>
    <w:p w14:paraId="117B55A5" w14:textId="0EC821A4" w:rsidR="009B63F6" w:rsidRDefault="009B63F6" w:rsidP="009B63F6">
      <w:pPr>
        <w:spacing w:after="0" w:line="240" w:lineRule="auto"/>
      </w:pPr>
      <w:r w:rsidRPr="009B63F6">
        <w:rPr>
          <w:u w:val="single"/>
        </w:rPr>
        <w:t>Utilisation</w:t>
      </w:r>
      <w:r w:rsidRPr="009B63F6">
        <w:t xml:space="preserve"> : les fruits sont mangés par les zébus et les chèvres, cercueil, clôture, médicament (feuille séchée ou verte contre maux de ventre et jaunisse), roue de charrette, chaux.</w:t>
      </w:r>
      <w:r w:rsidR="00E559AC">
        <w:t xml:space="preserve"> </w:t>
      </w:r>
      <w:r w:rsidR="00E559AC" w:rsidRPr="00E559AC">
        <w:t>Les feuillages d’</w:t>
      </w:r>
      <w:r w:rsidR="00E559AC" w:rsidRPr="00E559AC">
        <w:rPr>
          <w:i/>
          <w:iCs/>
        </w:rPr>
        <w:t xml:space="preserve">Avicennia marina </w:t>
      </w:r>
      <w:r w:rsidR="00E559AC" w:rsidRPr="00E559AC">
        <w:t xml:space="preserve">permettent la survie </w:t>
      </w:r>
      <w:r w:rsidR="00E559AC" w:rsidRPr="00E559AC">
        <w:lastRenderedPageBreak/>
        <w:t>des zébus car les herbes ne suffisent pas pendant la saison sèche. De temps en temps, les éleveurs cueillent les feuilles pour nourrir leurs zébus ou ils envoient leurs bovins pâturés dans la mangrove.</w:t>
      </w:r>
    </w:p>
    <w:p w14:paraId="4EDA13F5" w14:textId="77777777" w:rsidR="003B1530" w:rsidRDefault="003B1530" w:rsidP="003B1530">
      <w:pPr>
        <w:spacing w:after="0" w:line="240" w:lineRule="auto"/>
      </w:pPr>
      <w:r w:rsidRPr="00157ADC">
        <w:rPr>
          <w:i/>
          <w:iCs/>
        </w:rPr>
        <w:t>Utilisation en construction</w:t>
      </w:r>
      <w:r>
        <w:t xml:space="preserve"> : Charbon, clôture, renforcement de la toiture.</w:t>
      </w:r>
    </w:p>
    <w:p w14:paraId="2EBF5A62" w14:textId="1F3C89FA" w:rsidR="003B1530" w:rsidRPr="009B63F6" w:rsidRDefault="003B1530" w:rsidP="003B1530">
      <w:pPr>
        <w:spacing w:after="0" w:line="240" w:lineRule="auto"/>
      </w:pPr>
      <w:r w:rsidRPr="00157ADC">
        <w:rPr>
          <w:i/>
          <w:iCs/>
        </w:rPr>
        <w:t>Utilisation en bois d’énergie</w:t>
      </w:r>
      <w:r>
        <w:t xml:space="preserve"> : Fumage traditionnel de poisson, cuisson.</w:t>
      </w:r>
    </w:p>
    <w:p w14:paraId="439155FC" w14:textId="77777777" w:rsidR="009B63F6" w:rsidRPr="009B63F6" w:rsidRDefault="009B63F6" w:rsidP="009B63F6">
      <w:pPr>
        <w:spacing w:after="0" w:line="240" w:lineRule="auto"/>
      </w:pPr>
      <w:r w:rsidRPr="009B63F6">
        <w:rPr>
          <w:u w:val="single"/>
        </w:rPr>
        <w:t xml:space="preserve">Conservation :des graines </w:t>
      </w:r>
      <w:r w:rsidRPr="009B63F6">
        <w:t>: ?</w:t>
      </w:r>
    </w:p>
    <w:p w14:paraId="399C837B" w14:textId="39093335" w:rsidR="009B63F6" w:rsidRDefault="009B63F6" w:rsidP="009B63F6">
      <w:pPr>
        <w:spacing w:after="0" w:line="240" w:lineRule="auto"/>
      </w:pPr>
      <w:r w:rsidRPr="009B63F6">
        <w:rPr>
          <w:u w:val="single"/>
        </w:rPr>
        <w:t>Multiplication</w:t>
      </w:r>
      <w:r w:rsidRPr="009B63F6">
        <w:t xml:space="preserve"> : par graine</w:t>
      </w:r>
      <w:r w:rsidR="00D653D5">
        <w:t>.</w:t>
      </w:r>
    </w:p>
    <w:p w14:paraId="30FE4D60" w14:textId="665CCCAE" w:rsidR="00D653D5" w:rsidRPr="009B63F6" w:rsidRDefault="00D653D5" w:rsidP="009B63F6">
      <w:pPr>
        <w:spacing w:after="0" w:line="240" w:lineRule="auto"/>
      </w:pPr>
      <w:r w:rsidRPr="00D653D5">
        <w:rPr>
          <w:u w:val="single"/>
        </w:rPr>
        <w:t>Bois</w:t>
      </w:r>
      <w:r>
        <w:t xml:space="preserve"> : </w:t>
      </w:r>
      <w:r w:rsidRPr="00D653D5">
        <w:t>faible qualité du bois</w:t>
      </w:r>
      <w:r>
        <w:t>.</w:t>
      </w:r>
    </w:p>
    <w:p w14:paraId="443BA56C" w14:textId="6D34B278" w:rsidR="009B63F6" w:rsidRPr="009B63F6" w:rsidRDefault="009B63F6" w:rsidP="009B63F6">
      <w:pPr>
        <w:spacing w:after="0" w:line="240" w:lineRule="auto"/>
      </w:pPr>
      <w:r w:rsidRPr="009B63F6">
        <w:t>Source</w:t>
      </w:r>
      <w:r w:rsidR="00FB2195">
        <w:t>s</w:t>
      </w:r>
      <w:r w:rsidRPr="009B63F6">
        <w:t xml:space="preserve"> :</w:t>
      </w:r>
      <w:r w:rsidR="00FB2195">
        <w:t xml:space="preserve"> a)</w:t>
      </w:r>
      <w:r w:rsidRPr="009B63F6">
        <w:t xml:space="preserve"> </w:t>
      </w:r>
      <w:r w:rsidRPr="009B63F6">
        <w:rPr>
          <w:i/>
          <w:iCs/>
        </w:rPr>
        <w:t>Espèces de palétuviers dans les mangroves de Toliara</w:t>
      </w:r>
      <w:r w:rsidRPr="009B63F6">
        <w:t xml:space="preserve">, Serge Tostain, FORMAD Environnement, Toliara, juin 2010, </w:t>
      </w:r>
      <w:hyperlink r:id="rId1116" w:history="1">
        <w:r w:rsidRPr="009B63F6">
          <w:rPr>
            <w:rStyle w:val="Lienhypertexte"/>
          </w:rPr>
          <w:t>http://www.formad-environnement.org/paletuviers_29dec11.pdf</w:t>
        </w:r>
      </w:hyperlink>
      <w:r w:rsidRPr="009B63F6">
        <w:t xml:space="preserve"> </w:t>
      </w:r>
    </w:p>
    <w:p w14:paraId="217A5F99" w14:textId="1CC53D0B" w:rsidR="009B63F6" w:rsidRPr="00FB2195" w:rsidRDefault="00FB2195" w:rsidP="003256AA">
      <w:pPr>
        <w:spacing w:after="0" w:line="240" w:lineRule="auto"/>
        <w:rPr>
          <w:lang w:val="en-GB"/>
        </w:rPr>
      </w:pPr>
      <w:r w:rsidRPr="00FB2195">
        <w:rPr>
          <w:lang w:val="en-GB"/>
        </w:rPr>
        <w:t xml:space="preserve">b) </w:t>
      </w:r>
      <w:hyperlink r:id="rId1117" w:history="1">
        <w:r w:rsidRPr="00AF787D">
          <w:rPr>
            <w:rStyle w:val="Lienhypertexte"/>
            <w:lang w:val="en-GB"/>
          </w:rPr>
          <w:t>https://fr.wikipedia.org/wiki/Avicennia_marina</w:t>
        </w:r>
      </w:hyperlink>
      <w:r>
        <w:rPr>
          <w:lang w:val="en-GB"/>
        </w:rPr>
        <w:t xml:space="preserve"> </w:t>
      </w:r>
    </w:p>
    <w:p w14:paraId="00C088B9" w14:textId="1881579F" w:rsidR="00FB2195" w:rsidRDefault="00FB2195" w:rsidP="003256AA">
      <w:pPr>
        <w:spacing w:after="0" w:line="240" w:lineRule="auto"/>
        <w:rPr>
          <w:lang w:val="en-G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76"/>
        <w:gridCol w:w="3224"/>
        <w:gridCol w:w="4116"/>
      </w:tblGrid>
      <w:tr w:rsidR="005B0C79" w:rsidRPr="005B0C79" w14:paraId="43BAC081" w14:textId="77777777" w:rsidTr="005B0C79">
        <w:tc>
          <w:tcPr>
            <w:tcW w:w="3076" w:type="dxa"/>
          </w:tcPr>
          <w:p w14:paraId="6E3C274D" w14:textId="77777777" w:rsidR="005B0C79" w:rsidRDefault="005B0C79" w:rsidP="005B0C79">
            <w:pPr>
              <w:jc w:val="center"/>
              <w:rPr>
                <w:lang w:val="en-GB"/>
              </w:rPr>
            </w:pPr>
            <w:r>
              <w:rPr>
                <w:noProof/>
              </w:rPr>
              <w:drawing>
                <wp:inline distT="0" distB="0" distL="0" distR="0" wp14:anchorId="5165C68B" wp14:editId="320359F0">
                  <wp:extent cx="1685925" cy="2247900"/>
                  <wp:effectExtent l="0" t="0" r="9525" b="0"/>
                  <wp:docPr id="38941" name="Image 38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18">
                            <a:extLst>
                              <a:ext uri="{28A0092B-C50C-407E-A947-70E740481C1C}">
                                <a14:useLocalDpi xmlns:a14="http://schemas.microsoft.com/office/drawing/2010/main" val="0"/>
                              </a:ext>
                            </a:extLst>
                          </a:blip>
                          <a:srcRect/>
                          <a:stretch>
                            <a:fillRect/>
                          </a:stretch>
                        </pic:blipFill>
                        <pic:spPr bwMode="auto">
                          <a:xfrm>
                            <a:off x="0" y="0"/>
                            <a:ext cx="1685925" cy="2247900"/>
                          </a:xfrm>
                          <a:prstGeom prst="rect">
                            <a:avLst/>
                          </a:prstGeom>
                          <a:noFill/>
                          <a:ln>
                            <a:noFill/>
                          </a:ln>
                        </pic:spPr>
                      </pic:pic>
                    </a:graphicData>
                  </a:graphic>
                </wp:inline>
              </w:drawing>
            </w:r>
          </w:p>
          <w:p w14:paraId="545560B2" w14:textId="026424AB" w:rsidR="005B0C79" w:rsidRDefault="005B0C79" w:rsidP="005B0C79">
            <w:pPr>
              <w:jc w:val="center"/>
              <w:rPr>
                <w:lang w:val="en-GB"/>
              </w:rPr>
            </w:pPr>
            <w:r>
              <w:rPr>
                <w:lang w:val="en-GB"/>
              </w:rPr>
              <w:t>Fruits</w:t>
            </w:r>
          </w:p>
        </w:tc>
        <w:tc>
          <w:tcPr>
            <w:tcW w:w="3224" w:type="dxa"/>
          </w:tcPr>
          <w:p w14:paraId="791A82CE" w14:textId="77777777" w:rsidR="005B0C79" w:rsidRDefault="005B0C79" w:rsidP="005B0C79">
            <w:pPr>
              <w:jc w:val="center"/>
              <w:rPr>
                <w:lang w:val="en-GB"/>
              </w:rPr>
            </w:pPr>
            <w:r>
              <w:rPr>
                <w:noProof/>
              </w:rPr>
              <w:drawing>
                <wp:inline distT="0" distB="0" distL="0" distR="0" wp14:anchorId="2EB7A311" wp14:editId="60637E54">
                  <wp:extent cx="1619250" cy="2314575"/>
                  <wp:effectExtent l="0" t="0" r="0" b="9525"/>
                  <wp:docPr id="38942" name="Image 38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19">
                            <a:extLst>
                              <a:ext uri="{28A0092B-C50C-407E-A947-70E740481C1C}">
                                <a14:useLocalDpi xmlns:a14="http://schemas.microsoft.com/office/drawing/2010/main" val="0"/>
                              </a:ext>
                            </a:extLst>
                          </a:blip>
                          <a:srcRect/>
                          <a:stretch>
                            <a:fillRect/>
                          </a:stretch>
                        </pic:blipFill>
                        <pic:spPr bwMode="auto">
                          <a:xfrm>
                            <a:off x="0" y="0"/>
                            <a:ext cx="1619250" cy="2314575"/>
                          </a:xfrm>
                          <a:prstGeom prst="rect">
                            <a:avLst/>
                          </a:prstGeom>
                          <a:noFill/>
                          <a:ln>
                            <a:noFill/>
                          </a:ln>
                        </pic:spPr>
                      </pic:pic>
                    </a:graphicData>
                  </a:graphic>
                </wp:inline>
              </w:drawing>
            </w:r>
          </w:p>
          <w:p w14:paraId="6A6B66F3" w14:textId="5E92BA52" w:rsidR="005B0C79" w:rsidRPr="005B0C79" w:rsidRDefault="005B0C79" w:rsidP="005B0C79">
            <w:pPr>
              <w:jc w:val="center"/>
            </w:pPr>
            <w:r>
              <w:rPr>
                <w:rFonts w:ascii="Arial" w:hAnsi="Arial" w:cs="Arial"/>
                <w:color w:val="202122"/>
                <w:sz w:val="19"/>
                <w:szCs w:val="19"/>
                <w:shd w:val="clear" w:color="auto" w:fill="F8F9FA"/>
              </w:rPr>
              <w:t>Individu pionnier de l'espèce </w:t>
            </w:r>
            <w:r>
              <w:rPr>
                <w:rFonts w:ascii="Arial" w:hAnsi="Arial" w:cs="Arial"/>
                <w:i/>
                <w:iCs/>
                <w:color w:val="202122"/>
                <w:sz w:val="19"/>
                <w:szCs w:val="19"/>
                <w:shd w:val="clear" w:color="auto" w:fill="F8F9FA"/>
              </w:rPr>
              <w:t>A. marina</w:t>
            </w:r>
            <w:r>
              <w:rPr>
                <w:rFonts w:ascii="Arial" w:hAnsi="Arial" w:cs="Arial"/>
                <w:color w:val="202122"/>
                <w:sz w:val="19"/>
                <w:szCs w:val="19"/>
                <w:shd w:val="clear" w:color="auto" w:fill="F8F9FA"/>
              </w:rPr>
              <w:t> dans le lagon de </w:t>
            </w:r>
            <w:hyperlink r:id="rId1120" w:tooltip="Batticaloa" w:history="1">
              <w:r>
                <w:rPr>
                  <w:rStyle w:val="Lienhypertexte"/>
                  <w:rFonts w:ascii="Arial" w:hAnsi="Arial" w:cs="Arial"/>
                  <w:color w:val="0645AD"/>
                  <w:sz w:val="19"/>
                  <w:szCs w:val="19"/>
                  <w:shd w:val="clear" w:color="auto" w:fill="F8F9FA"/>
                </w:rPr>
                <w:t>Batticaloa</w:t>
              </w:r>
            </w:hyperlink>
            <w:r>
              <w:rPr>
                <w:rFonts w:ascii="Arial" w:hAnsi="Arial" w:cs="Arial"/>
                <w:color w:val="202122"/>
                <w:sz w:val="19"/>
                <w:szCs w:val="19"/>
                <w:shd w:val="clear" w:color="auto" w:fill="F8F9FA"/>
              </w:rPr>
              <w:t>, au </w:t>
            </w:r>
            <w:hyperlink r:id="rId1121" w:tooltip="Sri Lanka" w:history="1">
              <w:r>
                <w:rPr>
                  <w:rStyle w:val="Lienhypertexte"/>
                  <w:rFonts w:ascii="Arial" w:hAnsi="Arial" w:cs="Arial"/>
                  <w:color w:val="0645AD"/>
                  <w:sz w:val="19"/>
                  <w:szCs w:val="19"/>
                  <w:shd w:val="clear" w:color="auto" w:fill="F8F9FA"/>
                </w:rPr>
                <w:t>Sri Lanka</w:t>
              </w:r>
            </w:hyperlink>
            <w:r>
              <w:rPr>
                <w:rFonts w:ascii="Arial" w:hAnsi="Arial" w:cs="Arial"/>
                <w:color w:val="202122"/>
                <w:sz w:val="19"/>
                <w:szCs w:val="19"/>
                <w:shd w:val="clear" w:color="auto" w:fill="F8F9FA"/>
              </w:rPr>
              <w:t>.</w:t>
            </w:r>
          </w:p>
        </w:tc>
        <w:tc>
          <w:tcPr>
            <w:tcW w:w="4116" w:type="dxa"/>
          </w:tcPr>
          <w:p w14:paraId="6DFDA15D" w14:textId="77777777" w:rsidR="005B0C79" w:rsidRDefault="005B0C79" w:rsidP="005B0C79">
            <w:pPr>
              <w:jc w:val="center"/>
            </w:pPr>
            <w:r w:rsidRPr="005B0C79">
              <w:rPr>
                <w:noProof/>
              </w:rPr>
              <w:drawing>
                <wp:inline distT="0" distB="0" distL="0" distR="0" wp14:anchorId="738E234A" wp14:editId="2EECB283">
                  <wp:extent cx="2466975" cy="1847850"/>
                  <wp:effectExtent l="0" t="0" r="9525" b="0"/>
                  <wp:docPr id="196624" name="Image 15" descr="Avicennia marin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24" name="Image 15" descr="Avicennia marina3.jpg"/>
                          <pic:cNvPicPr>
                            <a:picLocks noChangeAspect="1"/>
                          </pic:cNvPicPr>
                        </pic:nvPicPr>
                        <pic:blipFill>
                          <a:blip r:embed="rId1122">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355973C3" w14:textId="419F220F" w:rsidR="005B0C79" w:rsidRPr="005B0C79" w:rsidRDefault="005B0C79" w:rsidP="005B0C79">
            <w:pPr>
              <w:jc w:val="center"/>
            </w:pPr>
            <w:r>
              <w:t>Fleurs</w:t>
            </w:r>
          </w:p>
        </w:tc>
      </w:tr>
    </w:tbl>
    <w:p w14:paraId="595CA070" w14:textId="643777A7" w:rsidR="00FB2195" w:rsidRDefault="00FB2195" w:rsidP="005B0C79">
      <w:pPr>
        <w:spacing w:after="0" w:line="240" w:lineRule="auto"/>
      </w:pPr>
    </w:p>
    <w:p w14:paraId="377C3D05" w14:textId="27275A3E" w:rsidR="00A41CF8" w:rsidRPr="00A41CF8" w:rsidRDefault="00A41CF8" w:rsidP="00D87D3F">
      <w:pPr>
        <w:pStyle w:val="Titre2"/>
      </w:pPr>
      <w:bookmarkStart w:id="130" w:name="_Toc139181421"/>
      <w:r w:rsidRPr="00A41CF8">
        <w:t>Palétuvier orange (</w:t>
      </w:r>
      <w:r w:rsidRPr="00D87D3F">
        <w:rPr>
          <w:i/>
          <w:iCs/>
        </w:rPr>
        <w:t>Bruguiera gymnorrhiza</w:t>
      </w:r>
      <w:r w:rsidRPr="00A41CF8">
        <w:t>)</w:t>
      </w:r>
      <w:bookmarkEnd w:id="130"/>
    </w:p>
    <w:p w14:paraId="3EF63535" w14:textId="77777777" w:rsidR="000E09E2" w:rsidRPr="00A41CF8" w:rsidRDefault="000E09E2" w:rsidP="00A41CF8">
      <w:pPr>
        <w:spacing w:after="0" w:line="240" w:lineRule="auto"/>
      </w:pPr>
    </w:p>
    <w:p w14:paraId="644B24A1" w14:textId="77777777" w:rsidR="00A41CF8" w:rsidRPr="00A41CF8" w:rsidRDefault="00A41CF8" w:rsidP="00A41CF8">
      <w:pPr>
        <w:spacing w:after="0" w:line="240" w:lineRule="auto"/>
      </w:pPr>
      <w:r w:rsidRPr="00A41CF8">
        <w:rPr>
          <w:u w:val="single"/>
        </w:rPr>
        <w:t>Famille</w:t>
      </w:r>
      <w:r w:rsidRPr="00A41CF8">
        <w:t xml:space="preserve"> : </w:t>
      </w:r>
      <w:r w:rsidRPr="00A41CF8">
        <w:rPr>
          <w:i/>
          <w:iCs/>
        </w:rPr>
        <w:t xml:space="preserve">Rhizophoraceae </w:t>
      </w:r>
    </w:p>
    <w:p w14:paraId="31C91479" w14:textId="77777777" w:rsidR="00A41CF8" w:rsidRPr="00A41CF8" w:rsidRDefault="00A41CF8" w:rsidP="00A41CF8">
      <w:pPr>
        <w:spacing w:after="0" w:line="240" w:lineRule="auto"/>
      </w:pPr>
      <w:r w:rsidRPr="00A41CF8">
        <w:rPr>
          <w:u w:val="single"/>
        </w:rPr>
        <w:t>Synonyme</w:t>
      </w:r>
      <w:r w:rsidRPr="00A41CF8">
        <w:t xml:space="preserve"> : palétuvier orange.</w:t>
      </w:r>
    </w:p>
    <w:p w14:paraId="0A233396" w14:textId="148FD7F4" w:rsidR="00A41CF8" w:rsidRPr="00A41CF8" w:rsidRDefault="00A41CF8" w:rsidP="00157ADC">
      <w:pPr>
        <w:spacing w:after="0" w:line="240" w:lineRule="auto"/>
        <w:jc w:val="both"/>
        <w:rPr>
          <w:rFonts w:cstheme="minorHAnsi"/>
        </w:rPr>
      </w:pPr>
      <w:r w:rsidRPr="00A41CF8">
        <w:rPr>
          <w:u w:val="single"/>
        </w:rPr>
        <w:t>Écologie</w:t>
      </w:r>
      <w:r w:rsidRPr="00A41CF8">
        <w:t xml:space="preserve"> :</w:t>
      </w:r>
      <w:r w:rsidR="00157ADC">
        <w:t xml:space="preserve"> </w:t>
      </w:r>
      <w:r w:rsidR="00157ADC" w:rsidRPr="00157ADC">
        <w:t xml:space="preserve">Il se trouve principalement à l’intérieur des mangroves, et fortement liée à la présence de </w:t>
      </w:r>
      <w:r w:rsidR="00157ADC" w:rsidRPr="00157ADC">
        <w:rPr>
          <w:i/>
          <w:iCs/>
        </w:rPr>
        <w:t>Rhizophora mucronata</w:t>
      </w:r>
      <w:r w:rsidR="00157ADC" w:rsidRPr="00157ADC">
        <w:t>.</w:t>
      </w:r>
      <w:r w:rsidR="00F308ED">
        <w:t xml:space="preserve"> </w:t>
      </w:r>
      <w:r w:rsidR="00F308ED" w:rsidRPr="00F308ED">
        <w:t xml:space="preserve">En termes de succession écologique, elle a tendance à se développer à la suite de </w:t>
      </w:r>
      <w:r w:rsidR="00F308ED" w:rsidRPr="00F308ED">
        <w:rPr>
          <w:i/>
          <w:iCs/>
        </w:rPr>
        <w:t>Rhizophora mucronata</w:t>
      </w:r>
      <w:r w:rsidR="00F308ED" w:rsidRPr="00F308ED">
        <w:t>, profitant de la présence de cette dernière pour pousser à l’abri de la force de la marée.</w:t>
      </w:r>
      <w:r w:rsidR="00D16F5C">
        <w:t xml:space="preserve"> </w:t>
      </w:r>
      <w:r w:rsidR="00D16F5C" w:rsidRPr="00D16F5C">
        <w:rPr>
          <w:rFonts w:cstheme="minorHAnsi"/>
          <w:shd w:val="clear" w:color="auto" w:fill="FFFFFF"/>
        </w:rPr>
        <w:t>Le palétuvier </w:t>
      </w:r>
      <w:r w:rsidR="00D16F5C" w:rsidRPr="00D16F5C">
        <w:rPr>
          <w:rFonts w:cstheme="minorHAnsi"/>
          <w:i/>
          <w:iCs/>
          <w:shd w:val="clear" w:color="auto" w:fill="FFFFFF"/>
        </w:rPr>
        <w:t>Bruguiera</w:t>
      </w:r>
      <w:r w:rsidR="00D16F5C" w:rsidRPr="00D16F5C">
        <w:rPr>
          <w:rFonts w:cstheme="minorHAnsi"/>
          <w:shd w:val="clear" w:color="auto" w:fill="FFFFFF"/>
        </w:rPr>
        <w:t> </w:t>
      </w:r>
      <w:r w:rsidR="00D16F5C" w:rsidRPr="00D16F5C">
        <w:rPr>
          <w:rFonts w:cstheme="minorHAnsi"/>
          <w:i/>
          <w:iCs/>
          <w:shd w:val="clear" w:color="auto" w:fill="FFFFFF"/>
        </w:rPr>
        <w:t>gymnorhiza</w:t>
      </w:r>
      <w:r w:rsidR="00D16F5C" w:rsidRPr="00D16F5C">
        <w:rPr>
          <w:rFonts w:cstheme="minorHAnsi"/>
          <w:shd w:val="clear" w:color="auto" w:fill="FFFFFF"/>
        </w:rPr>
        <w:t> pousse à l'intérieur de la mangrove de l'Asie du Sud-Est près de la terre ferme, derrière les premiers arbustes et arbres colonisateurs du genre </w:t>
      </w:r>
      <w:hyperlink r:id="rId1123" w:tooltip="Sonneratia (page inexistante)" w:history="1">
        <w:r w:rsidR="00D16F5C" w:rsidRPr="00D16F5C">
          <w:rPr>
            <w:rStyle w:val="Lienhypertexte"/>
            <w:rFonts w:cstheme="minorHAnsi"/>
            <w:i/>
            <w:iCs/>
            <w:color w:val="auto"/>
            <w:shd w:val="clear" w:color="auto" w:fill="FFFFFF"/>
          </w:rPr>
          <w:t>Sonneratia</w:t>
        </w:r>
      </w:hyperlink>
      <w:r w:rsidR="00D16F5C" w:rsidRPr="00D16F5C">
        <w:rPr>
          <w:rFonts w:cstheme="minorHAnsi"/>
          <w:shd w:val="clear" w:color="auto" w:fill="FFFFFF"/>
        </w:rPr>
        <w:t xml:space="preserve"> et les </w:t>
      </w:r>
      <w:r w:rsidR="00D16F5C" w:rsidRPr="00D16F5C">
        <w:rPr>
          <w:rFonts w:cstheme="minorHAnsi"/>
          <w:color w:val="202122"/>
          <w:shd w:val="clear" w:color="auto" w:fill="FFFFFF"/>
        </w:rPr>
        <w:t>palétuviers noirs du genre </w:t>
      </w:r>
      <w:hyperlink r:id="rId1124" w:tooltip="Avicennia" w:history="1">
        <w:r w:rsidR="00D16F5C" w:rsidRPr="00D16F5C">
          <w:rPr>
            <w:rStyle w:val="Lienhypertexte"/>
            <w:rFonts w:cstheme="minorHAnsi"/>
            <w:i/>
            <w:iCs/>
            <w:color w:val="0645AD"/>
            <w:shd w:val="clear" w:color="auto" w:fill="FFFFFF"/>
          </w:rPr>
          <w:t>Avicennia</w:t>
        </w:r>
      </w:hyperlink>
      <w:r w:rsidR="00D16F5C" w:rsidRPr="00D16F5C">
        <w:rPr>
          <w:rFonts w:cstheme="minorHAnsi"/>
          <w:color w:val="202122"/>
          <w:shd w:val="clear" w:color="auto" w:fill="FFFFFF"/>
        </w:rPr>
        <w:t> </w:t>
      </w:r>
      <w:r w:rsidR="00D16F5C" w:rsidRPr="00D16F5C">
        <w:rPr>
          <w:rFonts w:cstheme="minorHAnsi"/>
          <w:shd w:val="clear" w:color="auto" w:fill="FFFFFF"/>
        </w:rPr>
        <w:t>qui poussent près de la mer, au niveau des basses eaux ; et aussi derrière les palétuviers rouges du genre </w:t>
      </w:r>
      <w:hyperlink r:id="rId1125" w:history="1">
        <w:r w:rsidR="00D16F5C" w:rsidRPr="00D16F5C">
          <w:rPr>
            <w:rStyle w:val="Lienhypertexte"/>
            <w:rFonts w:cstheme="minorHAnsi"/>
            <w:i/>
            <w:iCs/>
            <w:color w:val="0645AD"/>
            <w:shd w:val="clear" w:color="auto" w:fill="FFFFFF"/>
          </w:rPr>
          <w:t>Rhizophora</w:t>
        </w:r>
      </w:hyperlink>
      <w:r w:rsidR="00D16F5C" w:rsidRPr="00D16F5C">
        <w:rPr>
          <w:rFonts w:cstheme="minorHAnsi"/>
          <w:i/>
          <w:iCs/>
          <w:color w:val="202122"/>
          <w:shd w:val="clear" w:color="auto" w:fill="FFFFFF"/>
        </w:rPr>
        <w:t>.</w:t>
      </w:r>
    </w:p>
    <w:p w14:paraId="037EBBDE" w14:textId="504B8298" w:rsidR="00A41CF8" w:rsidRPr="00A41CF8" w:rsidRDefault="00A41CF8" w:rsidP="00A41CF8">
      <w:pPr>
        <w:spacing w:after="0" w:line="240" w:lineRule="auto"/>
      </w:pPr>
      <w:r w:rsidRPr="00A41CF8">
        <w:rPr>
          <w:u w:val="single"/>
        </w:rPr>
        <w:t>Salinité</w:t>
      </w:r>
      <w:r w:rsidRPr="00A41CF8">
        <w:t xml:space="preserve"> :</w:t>
      </w:r>
      <w:r w:rsidR="00707310">
        <w:t> </w:t>
      </w:r>
      <w:r w:rsidR="00CA54B2" w:rsidRPr="00CA54B2">
        <w:t>Forte (15 à 45g/l)</w:t>
      </w:r>
      <w:r w:rsidR="00CA54B2">
        <w:t>.</w:t>
      </w:r>
    </w:p>
    <w:p w14:paraId="1E41C989" w14:textId="77777777" w:rsidR="00A41CF8" w:rsidRPr="00A41CF8" w:rsidRDefault="00A41CF8" w:rsidP="00A41CF8">
      <w:pPr>
        <w:spacing w:after="0" w:line="240" w:lineRule="auto"/>
      </w:pPr>
      <w:r w:rsidRPr="00A41CF8">
        <w:rPr>
          <w:u w:val="single"/>
        </w:rPr>
        <w:t>Zonation</w:t>
      </w:r>
      <w:r w:rsidRPr="00A41CF8">
        <w:t xml:space="preserve"> : immersion quotidienne (zone intertidale)</w:t>
      </w:r>
    </w:p>
    <w:p w14:paraId="5CDD5719" w14:textId="0BB77F53" w:rsidR="00A41CF8" w:rsidRPr="00A41CF8" w:rsidRDefault="00A41CF8" w:rsidP="00A41CF8">
      <w:pPr>
        <w:spacing w:after="0" w:line="240" w:lineRule="auto"/>
      </w:pPr>
      <w:r w:rsidRPr="00A41CF8">
        <w:rPr>
          <w:u w:val="single"/>
        </w:rPr>
        <w:t>Plantule</w:t>
      </w:r>
      <w:r w:rsidRPr="00A41CF8">
        <w:t xml:space="preserve"> :</w:t>
      </w:r>
      <w:r w:rsidR="00A968B2">
        <w:t xml:space="preserve"> </w:t>
      </w:r>
      <w:r w:rsidR="00A968B2" w:rsidRPr="00A968B2">
        <w:t>propagules courtes, épaisses et sillonnées</w:t>
      </w:r>
      <w:r w:rsidR="00A968B2">
        <w:t>.</w:t>
      </w:r>
    </w:p>
    <w:p w14:paraId="32633B1E" w14:textId="4286AA06" w:rsidR="00A41CF8" w:rsidRPr="00A41CF8" w:rsidRDefault="00A41CF8" w:rsidP="000D46A7">
      <w:pPr>
        <w:spacing w:after="0" w:line="240" w:lineRule="auto"/>
        <w:jc w:val="both"/>
      </w:pPr>
      <w:r w:rsidRPr="00A41CF8">
        <w:rPr>
          <w:u w:val="single"/>
        </w:rPr>
        <w:t>Plante</w:t>
      </w:r>
      <w:r w:rsidRPr="00A41CF8">
        <w:t xml:space="preserve"> : environ 10 à 14 m de hauteur</w:t>
      </w:r>
      <w:r w:rsidR="000D46A7">
        <w:t xml:space="preserve">. </w:t>
      </w:r>
      <w:r w:rsidR="000D46A7" w:rsidRPr="000D46A7">
        <w:t>Arbre sempervirent généralement haut de 10 à 20 mètres, mais pouvant atteindre environ 35 mètres de haut et 1,5 mètre de diamètre à la base.</w:t>
      </w:r>
    </w:p>
    <w:p w14:paraId="23DFA9FE" w14:textId="46828D6A" w:rsidR="00A41CF8" w:rsidRPr="00A41CF8" w:rsidRDefault="00A41CF8" w:rsidP="00A41CF8">
      <w:pPr>
        <w:spacing w:after="0" w:line="240" w:lineRule="auto"/>
      </w:pPr>
      <w:r w:rsidRPr="00A41CF8">
        <w:rPr>
          <w:u w:val="single"/>
        </w:rPr>
        <w:t>Tronc</w:t>
      </w:r>
      <w:r w:rsidRPr="00A41CF8">
        <w:t xml:space="preserve"> : rouge. Tige rougeâtre avec traces des pétioles</w:t>
      </w:r>
      <w:r w:rsidR="00C97183">
        <w:t>.</w:t>
      </w:r>
    </w:p>
    <w:p w14:paraId="568942AC" w14:textId="77777777" w:rsidR="00A41CF8" w:rsidRPr="00A41CF8" w:rsidRDefault="00A41CF8" w:rsidP="00A41CF8">
      <w:pPr>
        <w:spacing w:after="0" w:line="240" w:lineRule="auto"/>
      </w:pPr>
      <w:r w:rsidRPr="00A41CF8">
        <w:rPr>
          <w:u w:val="single"/>
        </w:rPr>
        <w:t>Pneumatophores</w:t>
      </w:r>
      <w:r w:rsidRPr="00A41CF8">
        <w:t xml:space="preserve"> :</w:t>
      </w:r>
    </w:p>
    <w:p w14:paraId="6ACFB2AC" w14:textId="66B74596" w:rsidR="00A41CF8" w:rsidRPr="00A41CF8" w:rsidRDefault="00A41CF8" w:rsidP="00A41CF8">
      <w:pPr>
        <w:spacing w:after="0" w:line="240" w:lineRule="auto"/>
      </w:pPr>
      <w:r w:rsidRPr="00A41CF8">
        <w:rPr>
          <w:u w:val="single"/>
        </w:rPr>
        <w:t>Feuilles</w:t>
      </w:r>
      <w:r w:rsidRPr="00A41CF8">
        <w:t xml:space="preserve"> : ovales pointus, en verticille à l'apex alternes. Pétiole rouge sur une courte distance</w:t>
      </w:r>
      <w:r w:rsidR="00A968B2">
        <w:t xml:space="preserve">. </w:t>
      </w:r>
      <w:r w:rsidR="00A968B2" w:rsidRPr="00A968B2">
        <w:t>Il présente des feuilles lancéolées disposées en étoile.</w:t>
      </w:r>
    </w:p>
    <w:p w14:paraId="3D0669CB" w14:textId="4DA14207" w:rsidR="00A41CF8" w:rsidRPr="00A41CF8" w:rsidRDefault="00A41CF8" w:rsidP="00534279">
      <w:pPr>
        <w:spacing w:after="0" w:line="240" w:lineRule="auto"/>
        <w:jc w:val="both"/>
      </w:pPr>
      <w:r w:rsidRPr="00A41CF8">
        <w:rPr>
          <w:u w:val="single"/>
        </w:rPr>
        <w:t>Racines</w:t>
      </w:r>
      <w:r w:rsidRPr="00A41CF8">
        <w:t xml:space="preserve"> :</w:t>
      </w:r>
      <w:r w:rsidR="00D16F5C">
        <w:t xml:space="preserve"> </w:t>
      </w:r>
      <w:r w:rsidR="00D16F5C" w:rsidRPr="00D16F5C">
        <w:t>Ses racines ne sont que rarement voir</w:t>
      </w:r>
      <w:r w:rsidR="00D16F5C">
        <w:t>e</w:t>
      </w:r>
      <w:r w:rsidR="00D16F5C" w:rsidRPr="00D16F5C">
        <w:t xml:space="preserve"> jamais submergées par la marée haute.</w:t>
      </w:r>
      <w:r w:rsidR="00534279">
        <w:t xml:space="preserve"> </w:t>
      </w:r>
      <w:r w:rsidR="00534279" w:rsidRPr="00534279">
        <w:rPr>
          <w:rFonts w:ascii="Calibri" w:hAnsi="Calibri" w:cs="Calibri"/>
        </w:rPr>
        <w:t>U</w:t>
      </w:r>
      <w:r w:rsidR="00534279" w:rsidRPr="00534279">
        <w:rPr>
          <w:rFonts w:ascii="Calibri" w:hAnsi="Calibri" w:cs="Calibri"/>
          <w:color w:val="202122"/>
          <w:shd w:val="clear" w:color="auto" w:fill="FFFFFF"/>
        </w:rPr>
        <w:t>n </w:t>
      </w:r>
      <w:hyperlink r:id="rId1126" w:tooltip="Palétuvier" w:history="1">
        <w:r w:rsidR="00534279" w:rsidRPr="00534279">
          <w:rPr>
            <w:rStyle w:val="Lienhypertexte"/>
            <w:rFonts w:ascii="Calibri" w:hAnsi="Calibri" w:cs="Calibri"/>
            <w:color w:val="0645AD"/>
            <w:shd w:val="clear" w:color="auto" w:fill="FFFFFF"/>
          </w:rPr>
          <w:t>palétuvier</w:t>
        </w:r>
      </w:hyperlink>
      <w:r w:rsidR="00534279" w:rsidRPr="00534279">
        <w:rPr>
          <w:rFonts w:ascii="Calibri" w:hAnsi="Calibri" w:cs="Calibri"/>
          <w:color w:val="202122"/>
          <w:shd w:val="clear" w:color="auto" w:fill="FFFFFF"/>
        </w:rPr>
        <w:t> </w:t>
      </w:r>
      <w:r w:rsidR="00534279" w:rsidRPr="00534279">
        <w:rPr>
          <w:rFonts w:ascii="Calibri" w:hAnsi="Calibri" w:cs="Calibri"/>
          <w:shd w:val="clear" w:color="auto" w:fill="FFFFFF"/>
        </w:rPr>
        <w:t>sans échasses, avec des racines coudées ou des </w:t>
      </w:r>
      <w:hyperlink r:id="rId1127" w:tooltip="Pneumatophore" w:history="1">
        <w:r w:rsidR="00534279" w:rsidRPr="00534279">
          <w:rPr>
            <w:rStyle w:val="Lienhypertexte"/>
            <w:rFonts w:ascii="Calibri" w:hAnsi="Calibri" w:cs="Calibri"/>
            <w:color w:val="0645AD"/>
            <w:shd w:val="clear" w:color="auto" w:fill="FFFFFF"/>
          </w:rPr>
          <w:t>pneumatophores</w:t>
        </w:r>
      </w:hyperlink>
      <w:r w:rsidR="00534279" w:rsidRPr="00534279">
        <w:rPr>
          <w:rFonts w:ascii="Calibri" w:hAnsi="Calibri" w:cs="Calibri"/>
          <w:color w:val="202122"/>
          <w:shd w:val="clear" w:color="auto" w:fill="FFFFFF"/>
        </w:rPr>
        <w:t> </w:t>
      </w:r>
      <w:r w:rsidR="00534279" w:rsidRPr="00534279">
        <w:rPr>
          <w:rFonts w:ascii="Calibri" w:hAnsi="Calibri" w:cs="Calibri"/>
          <w:shd w:val="clear" w:color="auto" w:fill="FFFFFF"/>
        </w:rPr>
        <w:t xml:space="preserve">(aussi appelées </w:t>
      </w:r>
      <w:r w:rsidR="00842E10">
        <w:rPr>
          <w:rFonts w:ascii="Calibri" w:hAnsi="Calibri" w:cs="Calibri"/>
          <w:shd w:val="clear" w:color="auto" w:fill="FFFFFF"/>
        </w:rPr>
        <w:t>« </w:t>
      </w:r>
      <w:r w:rsidR="00534279" w:rsidRPr="00534279">
        <w:rPr>
          <w:rFonts w:ascii="Calibri" w:hAnsi="Calibri" w:cs="Calibri"/>
          <w:shd w:val="clear" w:color="auto" w:fill="FFFFFF"/>
        </w:rPr>
        <w:t>racines en genou</w:t>
      </w:r>
      <w:r w:rsidR="00842E10">
        <w:rPr>
          <w:rFonts w:ascii="Calibri" w:hAnsi="Calibri" w:cs="Calibri"/>
          <w:shd w:val="clear" w:color="auto" w:fill="FFFFFF"/>
        </w:rPr>
        <w:t> »</w:t>
      </w:r>
      <w:r w:rsidR="00534279" w:rsidRPr="00534279">
        <w:rPr>
          <w:rFonts w:ascii="Calibri" w:hAnsi="Calibri" w:cs="Calibri"/>
          <w:shd w:val="clear" w:color="auto" w:fill="FFFFFF"/>
        </w:rPr>
        <w:t>).</w:t>
      </w:r>
    </w:p>
    <w:p w14:paraId="3A156D95" w14:textId="5E4DBC92" w:rsidR="00A41CF8" w:rsidRPr="00A41CF8" w:rsidRDefault="00A41CF8" w:rsidP="00A41CF8">
      <w:pPr>
        <w:spacing w:after="0" w:line="240" w:lineRule="auto"/>
      </w:pPr>
      <w:r w:rsidRPr="00A41CF8">
        <w:rPr>
          <w:u w:val="single"/>
        </w:rPr>
        <w:lastRenderedPageBreak/>
        <w:t>Inflorescences</w:t>
      </w:r>
      <w:r w:rsidRPr="00A41CF8">
        <w:t xml:space="preserve"> : rougeâtres sépales en pointe</w:t>
      </w:r>
      <w:r w:rsidR="00D7514D">
        <w:t xml:space="preserve">. </w:t>
      </w:r>
      <w:r w:rsidR="000D46A7" w:rsidRPr="000D46A7">
        <w:t>Les fleurs, solitaires, vont du rouge vif au rouge-rose. Elles sont généralement retombantes. Les pétales sont en forme de fines dents acérées.</w:t>
      </w:r>
    </w:p>
    <w:p w14:paraId="6319C8FD" w14:textId="20A75F35" w:rsidR="00A41CF8" w:rsidRPr="00A41CF8" w:rsidRDefault="00A41CF8" w:rsidP="007525CA">
      <w:pPr>
        <w:spacing w:after="0" w:line="240" w:lineRule="auto"/>
        <w:jc w:val="both"/>
        <w:rPr>
          <w:rFonts w:ascii="Calibri" w:hAnsi="Calibri" w:cs="Calibri"/>
        </w:rPr>
      </w:pPr>
      <w:r w:rsidRPr="00A41CF8">
        <w:rPr>
          <w:u w:val="single"/>
        </w:rPr>
        <w:t>Fruits</w:t>
      </w:r>
      <w:r w:rsidRPr="00A41CF8">
        <w:t xml:space="preserve"> : graines germées sur l'arbre (propagules)</w:t>
      </w:r>
      <w:r w:rsidR="000D46A7">
        <w:t>.</w:t>
      </w:r>
      <w:r w:rsidR="007525CA">
        <w:t xml:space="preserve"> </w:t>
      </w:r>
      <w:r w:rsidR="007525CA" w:rsidRPr="007525CA">
        <w:rPr>
          <w:rFonts w:ascii="Calibri" w:hAnsi="Calibri" w:cs="Calibri"/>
          <w:shd w:val="clear" w:color="auto" w:fill="FFFFFF"/>
        </w:rPr>
        <w:t>Les fruits sont des baies campanulées, vertes et oblongues, renfermées dans le tube du calice. Ils contiennent une ou deux graines. Ils s'allongent pour former un </w:t>
      </w:r>
      <w:hyperlink r:id="rId1128" w:tooltip="Hypocotyle" w:history="1">
        <w:r w:rsidR="007525CA" w:rsidRPr="007525CA">
          <w:rPr>
            <w:rStyle w:val="Lienhypertexte"/>
            <w:rFonts w:ascii="Calibri" w:hAnsi="Calibri" w:cs="Calibri"/>
            <w:color w:val="0645AD"/>
            <w:shd w:val="clear" w:color="auto" w:fill="FFFFFF"/>
          </w:rPr>
          <w:t>hypocotyle</w:t>
        </w:r>
      </w:hyperlink>
      <w:r w:rsidR="007525CA" w:rsidRPr="007525CA">
        <w:rPr>
          <w:rFonts w:ascii="Calibri" w:hAnsi="Calibri" w:cs="Calibri"/>
          <w:color w:val="202122"/>
          <w:shd w:val="clear" w:color="auto" w:fill="FFFFFF"/>
        </w:rPr>
        <w:t> </w:t>
      </w:r>
      <w:r w:rsidR="007525CA" w:rsidRPr="007525CA">
        <w:rPr>
          <w:rFonts w:ascii="Calibri" w:hAnsi="Calibri" w:cs="Calibri"/>
          <w:shd w:val="clear" w:color="auto" w:fill="FFFFFF"/>
        </w:rPr>
        <w:t>de 25 centimètres de long.</w:t>
      </w:r>
    </w:p>
    <w:p w14:paraId="6F408645" w14:textId="08CCCD62" w:rsidR="00A41CF8" w:rsidRPr="00A41CF8" w:rsidRDefault="00A41CF8" w:rsidP="00A41CF8">
      <w:pPr>
        <w:spacing w:after="0" w:line="240" w:lineRule="auto"/>
      </w:pPr>
      <w:r w:rsidRPr="00A41CF8">
        <w:rPr>
          <w:u w:val="single"/>
        </w:rPr>
        <w:t>Période de collecte des prop</w:t>
      </w:r>
      <w:r w:rsidR="00461F2A">
        <w:rPr>
          <w:u w:val="single"/>
        </w:rPr>
        <w:t>agules</w:t>
      </w:r>
      <w:r w:rsidRPr="00A41CF8">
        <w:t xml:space="preserve"> : mars (à Madagascar)</w:t>
      </w:r>
      <w:r w:rsidR="00707310">
        <w:t>.</w:t>
      </w:r>
    </w:p>
    <w:p w14:paraId="609453EB" w14:textId="270C8A4F" w:rsidR="00A41CF8" w:rsidRDefault="00A41CF8" w:rsidP="00A41CF8">
      <w:pPr>
        <w:spacing w:after="0" w:line="240" w:lineRule="auto"/>
        <w:jc w:val="both"/>
      </w:pPr>
      <w:r w:rsidRPr="00A41CF8">
        <w:rPr>
          <w:u w:val="single"/>
        </w:rPr>
        <w:t>Utilisation</w:t>
      </w:r>
      <w:r w:rsidRPr="00A41CF8">
        <w:t xml:space="preserve"> : bois de chauffe. </w:t>
      </w:r>
      <w:r w:rsidRPr="00A41CF8">
        <w:rPr>
          <w:i/>
          <w:iCs/>
        </w:rPr>
        <w:t>Pour être mangés, les propagules doivent être pelés, lavés,</w:t>
      </w:r>
      <w:r>
        <w:t xml:space="preserve"> </w:t>
      </w:r>
      <w:r w:rsidRPr="00A41CF8">
        <w:rPr>
          <w:i/>
          <w:iCs/>
        </w:rPr>
        <w:t>éventuellement macérés (dans la vase), râpés et longuement cuits</w:t>
      </w:r>
      <w:r w:rsidRPr="00A41CF8">
        <w:t>. On relève parfois un goût amer que l'on fait disparaître à Guam en les faisant bouillir avec de la cendre. Aux Antilles, les "Nègres marrons" n'en consommaient que la "pulpe" centrale. Dans l'île de Biak qui fait partie de l'actuel Papua indonésien, on fabrique à partir des propagules une pâte riche en protéines.</w:t>
      </w:r>
      <w:r>
        <w:t xml:space="preserve"> </w:t>
      </w:r>
      <w:r w:rsidRPr="00A41CF8">
        <w:t>Les propagules ou gousses vertes sont consommées comme légume cuit.</w:t>
      </w:r>
    </w:p>
    <w:p w14:paraId="4BBF8167" w14:textId="58562CD2" w:rsidR="00157ADC" w:rsidRDefault="00157ADC" w:rsidP="00157ADC">
      <w:pPr>
        <w:spacing w:after="0" w:line="240" w:lineRule="auto"/>
        <w:jc w:val="both"/>
      </w:pPr>
      <w:r w:rsidRPr="00157ADC">
        <w:rPr>
          <w:i/>
          <w:iCs/>
        </w:rPr>
        <w:t>Utilisation en construction</w:t>
      </w:r>
      <w:r>
        <w:t xml:space="preserve"> : Bois d’</w:t>
      </w:r>
      <w:r w:rsidR="00461F2A">
        <w:t>œuvre</w:t>
      </w:r>
      <w:r>
        <w:t>, élément de structure de case.</w:t>
      </w:r>
    </w:p>
    <w:p w14:paraId="2722B851" w14:textId="0CD42416" w:rsidR="00157ADC" w:rsidRPr="00A41CF8" w:rsidRDefault="00157ADC" w:rsidP="00157ADC">
      <w:pPr>
        <w:spacing w:after="0" w:line="240" w:lineRule="auto"/>
        <w:jc w:val="both"/>
      </w:pPr>
      <w:r w:rsidRPr="00157ADC">
        <w:rPr>
          <w:i/>
          <w:iCs/>
        </w:rPr>
        <w:t>Utilisation en bois d’énergie</w:t>
      </w:r>
      <w:r>
        <w:t xml:space="preserve"> : Charbon, cuisson.</w:t>
      </w:r>
    </w:p>
    <w:p w14:paraId="35643E21" w14:textId="77777777" w:rsidR="00A41CF8" w:rsidRPr="00A41CF8" w:rsidRDefault="00A41CF8" w:rsidP="00A41CF8">
      <w:pPr>
        <w:spacing w:after="0" w:line="240" w:lineRule="auto"/>
      </w:pPr>
      <w:r w:rsidRPr="00A41CF8">
        <w:rPr>
          <w:u w:val="single"/>
        </w:rPr>
        <w:t xml:space="preserve">Conservation :des graines </w:t>
      </w:r>
      <w:r w:rsidRPr="00A41CF8">
        <w:t>: ?</w:t>
      </w:r>
    </w:p>
    <w:p w14:paraId="61813702" w14:textId="1F944367" w:rsidR="003B1530" w:rsidRDefault="00A41CF8" w:rsidP="00A41CF8">
      <w:pPr>
        <w:spacing w:after="0" w:line="240" w:lineRule="auto"/>
      </w:pPr>
      <w:r w:rsidRPr="00A41CF8">
        <w:rPr>
          <w:u w:val="single"/>
        </w:rPr>
        <w:t>Multiplication</w:t>
      </w:r>
      <w:r w:rsidRPr="00A41CF8">
        <w:t xml:space="preserve"> : propagules très fines</w:t>
      </w:r>
      <w:r>
        <w:t>.</w:t>
      </w:r>
    </w:p>
    <w:p w14:paraId="56CDD13B" w14:textId="4E94C4F7" w:rsidR="00A41CF8" w:rsidRPr="00A41CF8" w:rsidRDefault="00A41CF8" w:rsidP="00A41CF8">
      <w:pPr>
        <w:spacing w:after="0" w:line="240" w:lineRule="auto"/>
        <w:jc w:val="both"/>
      </w:pPr>
      <w:r w:rsidRPr="00A41CF8">
        <w:t xml:space="preserve">Source : </w:t>
      </w:r>
      <w:r>
        <w:t xml:space="preserve">a) </w:t>
      </w:r>
      <w:r w:rsidRPr="00A41CF8">
        <w:rPr>
          <w:i/>
          <w:iCs/>
        </w:rPr>
        <w:t>Espèces de palétuviers dans les mangroves de Toliara</w:t>
      </w:r>
      <w:r w:rsidRPr="00A41CF8">
        <w:t xml:space="preserve">, Serge Tostain, FORMAD Environnement, Toliara, juin 2010, </w:t>
      </w:r>
      <w:hyperlink r:id="rId1129" w:history="1">
        <w:r w:rsidR="00534279" w:rsidRPr="00A41CF8">
          <w:rPr>
            <w:rStyle w:val="Lienhypertexte"/>
          </w:rPr>
          <w:t>http://www.formad-environnement.org/paletuviers_29dec11.pdf</w:t>
        </w:r>
      </w:hyperlink>
      <w:r w:rsidRPr="00A41CF8">
        <w:t xml:space="preserve"> </w:t>
      </w:r>
    </w:p>
    <w:p w14:paraId="5E11B8A1" w14:textId="3DCA106B" w:rsidR="005B0C79" w:rsidRDefault="00A41CF8" w:rsidP="00A41CF8">
      <w:pPr>
        <w:spacing w:after="0" w:line="240" w:lineRule="auto"/>
        <w:rPr>
          <w:lang w:val="en-GB"/>
        </w:rPr>
      </w:pPr>
      <w:r w:rsidRPr="00A41CF8">
        <w:rPr>
          <w:lang w:val="en-GB"/>
        </w:rPr>
        <w:t xml:space="preserve">b) </w:t>
      </w:r>
      <w:hyperlink r:id="rId1130" w:history="1">
        <w:r w:rsidRPr="00A41CF8">
          <w:rPr>
            <w:rStyle w:val="Lienhypertexte"/>
            <w:lang w:val="en-GB"/>
          </w:rPr>
          <w:t>http://en.wikipedia.org/wiki/Bruguiera_gymnorrhiza</w:t>
        </w:r>
      </w:hyperlink>
    </w:p>
    <w:p w14:paraId="16562403" w14:textId="62784E68" w:rsidR="00A41CF8" w:rsidRDefault="00A41CF8" w:rsidP="00A41CF8">
      <w:pPr>
        <w:spacing w:after="0" w:line="240" w:lineRule="auto"/>
        <w:rPr>
          <w:lang w:val="en-G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842E10" w14:paraId="5BBFA5DB" w14:textId="77777777" w:rsidTr="00842E10">
        <w:tc>
          <w:tcPr>
            <w:tcW w:w="3472" w:type="dxa"/>
          </w:tcPr>
          <w:p w14:paraId="5781A9AA" w14:textId="77777777" w:rsidR="00A41CF8" w:rsidRDefault="00A41CF8" w:rsidP="00A41CF8">
            <w:pPr>
              <w:jc w:val="center"/>
              <w:rPr>
                <w:lang w:val="en-GB"/>
              </w:rPr>
            </w:pPr>
            <w:r w:rsidRPr="00A41CF8">
              <w:rPr>
                <w:noProof/>
              </w:rPr>
              <w:drawing>
                <wp:inline distT="0" distB="0" distL="0" distR="0" wp14:anchorId="1F45A0BB" wp14:editId="7CF2021C">
                  <wp:extent cx="1876425" cy="1876425"/>
                  <wp:effectExtent l="0" t="0" r="9525" b="9525"/>
                  <wp:docPr id="197639" name="Image 7" descr="Bruguiera_gymnorrhi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39" name="Image 7" descr="Bruguiera_gymnorrhiza.jpg"/>
                          <pic:cNvPicPr>
                            <a:picLocks noChangeAspect="1"/>
                          </pic:cNvPicPr>
                        </pic:nvPicPr>
                        <pic:blipFill>
                          <a:blip r:embed="rId1131">
                            <a:extLst>
                              <a:ext uri="{28A0092B-C50C-407E-A947-70E740481C1C}">
                                <a14:useLocalDpi xmlns:a14="http://schemas.microsoft.com/office/drawing/2010/main" val="0"/>
                              </a:ext>
                            </a:extLst>
                          </a:blip>
                          <a:srcRect/>
                          <a:stretch>
                            <a:fillRect/>
                          </a:stretch>
                        </pic:blipFill>
                        <pic:spPr bwMode="auto">
                          <a:xfrm>
                            <a:off x="0" y="0"/>
                            <a:ext cx="1876425" cy="1876425"/>
                          </a:xfrm>
                          <a:prstGeom prst="rect">
                            <a:avLst/>
                          </a:prstGeom>
                          <a:noFill/>
                          <a:ln>
                            <a:noFill/>
                          </a:ln>
                        </pic:spPr>
                      </pic:pic>
                    </a:graphicData>
                  </a:graphic>
                </wp:inline>
              </w:drawing>
            </w:r>
          </w:p>
          <w:p w14:paraId="725093B5" w14:textId="771764C4" w:rsidR="00B277B4" w:rsidRDefault="00B277B4" w:rsidP="00A41CF8">
            <w:pPr>
              <w:jc w:val="center"/>
              <w:rPr>
                <w:lang w:val="en-GB"/>
              </w:rPr>
            </w:pPr>
          </w:p>
        </w:tc>
        <w:tc>
          <w:tcPr>
            <w:tcW w:w="3472" w:type="dxa"/>
          </w:tcPr>
          <w:p w14:paraId="5D835285" w14:textId="77777777" w:rsidR="00842E10" w:rsidRPr="00842E10" w:rsidRDefault="00842E10" w:rsidP="00842E10">
            <w:pPr>
              <w:jc w:val="center"/>
              <w:rPr>
                <w:rFonts w:ascii="Calibri" w:hAnsi="Calibri" w:cs="Calibri"/>
                <w:noProof/>
              </w:rPr>
            </w:pPr>
            <w:r w:rsidRPr="00842E10">
              <w:rPr>
                <w:rFonts w:ascii="Calibri" w:hAnsi="Calibri" w:cs="Calibri"/>
                <w:noProof/>
              </w:rPr>
              <w:drawing>
                <wp:inline distT="0" distB="0" distL="0" distR="0" wp14:anchorId="64F9F00A" wp14:editId="637AAEA2">
                  <wp:extent cx="1809750" cy="1358857"/>
                  <wp:effectExtent l="0" t="0" r="0" b="0"/>
                  <wp:docPr id="195589" name="Image 195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32">
                            <a:extLst>
                              <a:ext uri="{28A0092B-C50C-407E-A947-70E740481C1C}">
                                <a14:useLocalDpi xmlns:a14="http://schemas.microsoft.com/office/drawing/2010/main" val="0"/>
                              </a:ext>
                            </a:extLst>
                          </a:blip>
                          <a:srcRect/>
                          <a:stretch>
                            <a:fillRect/>
                          </a:stretch>
                        </pic:blipFill>
                        <pic:spPr bwMode="auto">
                          <a:xfrm>
                            <a:off x="0" y="0"/>
                            <a:ext cx="1812409" cy="1360854"/>
                          </a:xfrm>
                          <a:prstGeom prst="rect">
                            <a:avLst/>
                          </a:prstGeom>
                          <a:noFill/>
                          <a:ln>
                            <a:noFill/>
                          </a:ln>
                        </pic:spPr>
                      </pic:pic>
                    </a:graphicData>
                  </a:graphic>
                </wp:inline>
              </w:drawing>
            </w:r>
          </w:p>
          <w:p w14:paraId="183F85C3" w14:textId="1201AA96" w:rsidR="00A41CF8" w:rsidRDefault="00842E10" w:rsidP="00842E10">
            <w:pPr>
              <w:jc w:val="center"/>
              <w:rPr>
                <w:lang w:val="en-GB"/>
              </w:rPr>
            </w:pPr>
            <w:r w:rsidRPr="00842E10">
              <w:rPr>
                <w:rFonts w:ascii="Calibri" w:hAnsi="Calibri" w:cs="Calibri"/>
                <w:shd w:val="clear" w:color="auto" w:fill="F8F9FA"/>
              </w:rPr>
              <w:t>Fleur renfermant un hypocotyle.</w:t>
            </w:r>
          </w:p>
        </w:tc>
        <w:tc>
          <w:tcPr>
            <w:tcW w:w="3472" w:type="dxa"/>
          </w:tcPr>
          <w:p w14:paraId="57FB38D2" w14:textId="7CE99E9F" w:rsidR="00DE6686" w:rsidRDefault="00842E10" w:rsidP="00842E10">
            <w:pPr>
              <w:jc w:val="center"/>
              <w:rPr>
                <w:lang w:val="en-GB"/>
              </w:rPr>
            </w:pPr>
            <w:r w:rsidRPr="00A41CF8">
              <w:rPr>
                <w:noProof/>
              </w:rPr>
              <w:drawing>
                <wp:inline distT="0" distB="0" distL="0" distR="0" wp14:anchorId="297740EF" wp14:editId="5F02DE60">
                  <wp:extent cx="1612410" cy="1847227"/>
                  <wp:effectExtent l="0" t="0" r="6985" b="635"/>
                  <wp:docPr id="197645" name="Image 12" descr="Bruguiera gymnorhiza_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45" name="Image 12" descr="Bruguiera gymnorhiza_s1.jpg"/>
                          <pic:cNvPicPr>
                            <a:picLocks noChangeAspect="1"/>
                          </pic:cNvPicPr>
                        </pic:nvPicPr>
                        <pic:blipFill>
                          <a:blip r:embed="rId1133">
                            <a:extLst>
                              <a:ext uri="{28A0092B-C50C-407E-A947-70E740481C1C}">
                                <a14:useLocalDpi xmlns:a14="http://schemas.microsoft.com/office/drawing/2010/main" val="0"/>
                              </a:ext>
                            </a:extLst>
                          </a:blip>
                          <a:srcRect/>
                          <a:stretch>
                            <a:fillRect/>
                          </a:stretch>
                        </pic:blipFill>
                        <pic:spPr bwMode="auto">
                          <a:xfrm>
                            <a:off x="0" y="0"/>
                            <a:ext cx="1614602" cy="1849738"/>
                          </a:xfrm>
                          <a:prstGeom prst="rect">
                            <a:avLst/>
                          </a:prstGeom>
                          <a:noFill/>
                          <a:ln>
                            <a:noFill/>
                          </a:ln>
                        </pic:spPr>
                      </pic:pic>
                    </a:graphicData>
                  </a:graphic>
                </wp:inline>
              </w:drawing>
            </w:r>
          </w:p>
        </w:tc>
      </w:tr>
      <w:tr w:rsidR="00842E10" w:rsidRPr="00842E10" w14:paraId="537CF3F1" w14:textId="77777777" w:rsidTr="00842E10">
        <w:tc>
          <w:tcPr>
            <w:tcW w:w="3472" w:type="dxa"/>
          </w:tcPr>
          <w:p w14:paraId="6935FCC3" w14:textId="77777777" w:rsidR="00842E10" w:rsidRDefault="00842E10" w:rsidP="00842E10">
            <w:pPr>
              <w:jc w:val="center"/>
            </w:pPr>
            <w:r>
              <w:rPr>
                <w:noProof/>
              </w:rPr>
              <w:drawing>
                <wp:inline distT="0" distB="0" distL="0" distR="0" wp14:anchorId="33DD7BA0" wp14:editId="52DC6897">
                  <wp:extent cx="2019300" cy="1422153"/>
                  <wp:effectExtent l="0" t="0" r="0" b="6985"/>
                  <wp:docPr id="195588" name="Image 195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34">
                            <a:extLst>
                              <a:ext uri="{28A0092B-C50C-407E-A947-70E740481C1C}">
                                <a14:useLocalDpi xmlns:a14="http://schemas.microsoft.com/office/drawing/2010/main" val="0"/>
                              </a:ext>
                            </a:extLst>
                          </a:blip>
                          <a:srcRect/>
                          <a:stretch>
                            <a:fillRect/>
                          </a:stretch>
                        </pic:blipFill>
                        <pic:spPr bwMode="auto">
                          <a:xfrm>
                            <a:off x="0" y="0"/>
                            <a:ext cx="2023605" cy="1425185"/>
                          </a:xfrm>
                          <a:prstGeom prst="rect">
                            <a:avLst/>
                          </a:prstGeom>
                          <a:noFill/>
                          <a:ln>
                            <a:noFill/>
                          </a:ln>
                        </pic:spPr>
                      </pic:pic>
                    </a:graphicData>
                  </a:graphic>
                </wp:inline>
              </w:drawing>
            </w:r>
          </w:p>
          <w:p w14:paraId="54080B6D" w14:textId="572EA785" w:rsidR="00842E10" w:rsidRPr="00A41CF8" w:rsidRDefault="00842E10" w:rsidP="00842E10">
            <w:pPr>
              <w:jc w:val="center"/>
            </w:pPr>
            <w:r w:rsidRPr="00842E10">
              <w:t>Photo : RAHERITAHIANA, 2016</w:t>
            </w:r>
          </w:p>
        </w:tc>
        <w:tc>
          <w:tcPr>
            <w:tcW w:w="3472" w:type="dxa"/>
          </w:tcPr>
          <w:p w14:paraId="65EB2621" w14:textId="77777777" w:rsidR="00707310" w:rsidRDefault="00842E10" w:rsidP="00842E10">
            <w:pPr>
              <w:jc w:val="center"/>
            </w:pPr>
            <w:r>
              <w:rPr>
                <w:noProof/>
              </w:rPr>
              <w:drawing>
                <wp:inline distT="0" distB="0" distL="0" distR="0" wp14:anchorId="64475955" wp14:editId="300EE358">
                  <wp:extent cx="1823605" cy="1371600"/>
                  <wp:effectExtent l="0" t="0" r="5715" b="0"/>
                  <wp:docPr id="195590" name="Image 195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35">
                            <a:extLst>
                              <a:ext uri="{28A0092B-C50C-407E-A947-70E740481C1C}">
                                <a14:useLocalDpi xmlns:a14="http://schemas.microsoft.com/office/drawing/2010/main" val="0"/>
                              </a:ext>
                            </a:extLst>
                          </a:blip>
                          <a:srcRect/>
                          <a:stretch>
                            <a:fillRect/>
                          </a:stretch>
                        </pic:blipFill>
                        <pic:spPr bwMode="auto">
                          <a:xfrm>
                            <a:off x="0" y="0"/>
                            <a:ext cx="1827574" cy="1374585"/>
                          </a:xfrm>
                          <a:prstGeom prst="rect">
                            <a:avLst/>
                          </a:prstGeom>
                          <a:noFill/>
                          <a:ln>
                            <a:noFill/>
                          </a:ln>
                        </pic:spPr>
                      </pic:pic>
                    </a:graphicData>
                  </a:graphic>
                </wp:inline>
              </w:drawing>
            </w:r>
          </w:p>
          <w:p w14:paraId="53AB38A0" w14:textId="7A198AC6" w:rsidR="00842E10" w:rsidRPr="00A41CF8" w:rsidRDefault="00842E10" w:rsidP="00842E10">
            <w:pPr>
              <w:jc w:val="center"/>
            </w:pPr>
            <w:r>
              <w:t>Racines en genoux.</w:t>
            </w:r>
          </w:p>
        </w:tc>
        <w:tc>
          <w:tcPr>
            <w:tcW w:w="3472" w:type="dxa"/>
          </w:tcPr>
          <w:p w14:paraId="5759F6CE" w14:textId="77777777" w:rsidR="00842E10" w:rsidRDefault="00842E10" w:rsidP="00A41CF8">
            <w:pPr>
              <w:jc w:val="center"/>
              <w:rPr>
                <w:rFonts w:ascii="Calibri" w:hAnsi="Calibri" w:cs="Calibri"/>
                <w:noProof/>
              </w:rPr>
            </w:pPr>
            <w:r>
              <w:rPr>
                <w:noProof/>
              </w:rPr>
              <w:drawing>
                <wp:inline distT="0" distB="0" distL="0" distR="0" wp14:anchorId="2DEDAA76" wp14:editId="6446F95A">
                  <wp:extent cx="1697525" cy="1371600"/>
                  <wp:effectExtent l="0" t="0" r="0" b="0"/>
                  <wp:docPr id="195591" name="Image 195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36">
                            <a:extLst>
                              <a:ext uri="{28A0092B-C50C-407E-A947-70E740481C1C}">
                                <a14:useLocalDpi xmlns:a14="http://schemas.microsoft.com/office/drawing/2010/main" val="0"/>
                              </a:ext>
                            </a:extLst>
                          </a:blip>
                          <a:srcRect/>
                          <a:stretch>
                            <a:fillRect/>
                          </a:stretch>
                        </pic:blipFill>
                        <pic:spPr bwMode="auto">
                          <a:xfrm>
                            <a:off x="0" y="0"/>
                            <a:ext cx="1700211" cy="1373771"/>
                          </a:xfrm>
                          <a:prstGeom prst="rect">
                            <a:avLst/>
                          </a:prstGeom>
                          <a:noFill/>
                          <a:ln>
                            <a:noFill/>
                          </a:ln>
                        </pic:spPr>
                      </pic:pic>
                    </a:graphicData>
                  </a:graphic>
                </wp:inline>
              </w:drawing>
            </w:r>
          </w:p>
          <w:p w14:paraId="6AA83EC5" w14:textId="315E22E4" w:rsidR="00842E10" w:rsidRPr="00842E10" w:rsidRDefault="00842E10" w:rsidP="00A41CF8">
            <w:pPr>
              <w:jc w:val="center"/>
              <w:rPr>
                <w:rFonts w:ascii="Calibri" w:hAnsi="Calibri" w:cs="Calibri"/>
                <w:noProof/>
              </w:rPr>
            </w:pPr>
            <w:r>
              <w:t>Racines en genoux.</w:t>
            </w:r>
          </w:p>
        </w:tc>
      </w:tr>
    </w:tbl>
    <w:p w14:paraId="11D4871D" w14:textId="0D5D5D3D" w:rsidR="00A41CF8" w:rsidRDefault="00A41CF8" w:rsidP="00A41CF8">
      <w:pPr>
        <w:spacing w:after="0" w:line="240" w:lineRule="auto"/>
        <w:rPr>
          <w:lang w:val="en-GB"/>
        </w:rPr>
      </w:pPr>
    </w:p>
    <w:p w14:paraId="51CEA67B" w14:textId="601BBB77" w:rsidR="00DE6686" w:rsidRDefault="00CB1F45" w:rsidP="00D87D3F">
      <w:pPr>
        <w:pStyle w:val="Titre2"/>
        <w:rPr>
          <w:lang w:val="en-GB"/>
        </w:rPr>
      </w:pPr>
      <w:bookmarkStart w:id="131" w:name="_Toc139181422"/>
      <w:r>
        <w:rPr>
          <w:lang w:val="en-GB"/>
        </w:rPr>
        <w:t>P</w:t>
      </w:r>
      <w:r w:rsidRPr="00CB1F45">
        <w:rPr>
          <w:lang w:val="en-GB"/>
        </w:rPr>
        <w:t>alétuvier jaune (</w:t>
      </w:r>
      <w:r w:rsidRPr="00CB1F45">
        <w:rPr>
          <w:i/>
          <w:iCs/>
          <w:lang w:val="en-GB"/>
        </w:rPr>
        <w:t>Ceriops tagal</w:t>
      </w:r>
      <w:r w:rsidRPr="00CB1F45">
        <w:rPr>
          <w:lang w:val="en-GB"/>
        </w:rPr>
        <w:t>)</w:t>
      </w:r>
      <w:bookmarkEnd w:id="131"/>
    </w:p>
    <w:p w14:paraId="4201A3C7" w14:textId="22F3A843" w:rsidR="00CB1F45" w:rsidRDefault="00CB1F45" w:rsidP="00A41CF8">
      <w:pPr>
        <w:spacing w:after="0" w:line="240" w:lineRule="auto"/>
        <w:rPr>
          <w:lang w:val="en-GB"/>
        </w:rPr>
      </w:pPr>
    </w:p>
    <w:p w14:paraId="24EB7C45" w14:textId="77777777" w:rsidR="00CB1F45" w:rsidRPr="00CB1F45" w:rsidRDefault="00CB1F45" w:rsidP="00CB1F45">
      <w:pPr>
        <w:spacing w:after="0" w:line="240" w:lineRule="auto"/>
        <w:rPr>
          <w:lang w:val="en-GB"/>
        </w:rPr>
      </w:pPr>
      <w:r w:rsidRPr="008B5D49">
        <w:rPr>
          <w:u w:val="single"/>
          <w:lang w:val="en-GB"/>
        </w:rPr>
        <w:t>Famille</w:t>
      </w:r>
      <w:r w:rsidRPr="008B5D49">
        <w:rPr>
          <w:lang w:val="en-GB"/>
        </w:rPr>
        <w:t xml:space="preserve"> :</w:t>
      </w:r>
      <w:r w:rsidRPr="00CB1F45">
        <w:rPr>
          <w:lang w:val="en-GB"/>
        </w:rPr>
        <w:t xml:space="preserve"> </w:t>
      </w:r>
      <w:r w:rsidRPr="00CB1F45">
        <w:rPr>
          <w:i/>
          <w:iCs/>
          <w:lang w:val="en-GB"/>
        </w:rPr>
        <w:t>Rhizophoraceae</w:t>
      </w:r>
    </w:p>
    <w:p w14:paraId="790B3329" w14:textId="77777777" w:rsidR="00CB1F45" w:rsidRPr="00056612" w:rsidRDefault="00CB1F45" w:rsidP="00CB1F45">
      <w:pPr>
        <w:spacing w:after="0" w:line="240" w:lineRule="auto"/>
      </w:pPr>
      <w:r w:rsidRPr="00056612">
        <w:rPr>
          <w:u w:val="single"/>
        </w:rPr>
        <w:t>Synonyme</w:t>
      </w:r>
      <w:r w:rsidRPr="00056612">
        <w:t xml:space="preserve"> : </w:t>
      </w:r>
      <w:r w:rsidRPr="00056612">
        <w:rPr>
          <w:i/>
          <w:iCs/>
        </w:rPr>
        <w:t xml:space="preserve">Ceriops condolleana </w:t>
      </w:r>
      <w:r w:rsidRPr="00056612">
        <w:t xml:space="preserve">ou </w:t>
      </w:r>
      <w:r w:rsidRPr="00056612">
        <w:rPr>
          <w:i/>
          <w:iCs/>
        </w:rPr>
        <w:t>Ceriops boviniana</w:t>
      </w:r>
      <w:r w:rsidRPr="00056612">
        <w:t>, palétuvier jaune.</w:t>
      </w:r>
    </w:p>
    <w:p w14:paraId="3DB6B2C4" w14:textId="1B5AF7F7" w:rsidR="00CB1F45" w:rsidRPr="00CB1F45" w:rsidRDefault="00CB1F45" w:rsidP="00204EB0">
      <w:pPr>
        <w:spacing w:after="0" w:line="240" w:lineRule="auto"/>
        <w:jc w:val="both"/>
      </w:pPr>
      <w:r w:rsidRPr="00CB1F45">
        <w:rPr>
          <w:u w:val="single"/>
        </w:rPr>
        <w:t>Écologie</w:t>
      </w:r>
      <w:r w:rsidRPr="00CB1F45">
        <w:t xml:space="preserve"> : </w:t>
      </w:r>
      <w:r w:rsidR="00C72919" w:rsidRPr="00C72919">
        <w:t>Son habitat est dans les zones d'eau saumâtre dans les zones de marée.</w:t>
      </w:r>
      <w:r w:rsidR="00C72919">
        <w:t xml:space="preserve"> </w:t>
      </w:r>
      <w:r w:rsidR="00204EB0" w:rsidRPr="00204EB0">
        <w:t xml:space="preserve">Elle ne supporte pas en revanche les longues périodes d’immersion, ce qui la place au plus haut niveau de l’estran, au-delà du </w:t>
      </w:r>
      <w:r w:rsidR="00204EB0">
        <w:t xml:space="preserve">cœur </w:t>
      </w:r>
      <w:r w:rsidR="00204EB0" w:rsidRPr="00204EB0">
        <w:t>de mangrove. Les individus de cette espèce se rassemblent généralement sur des langues de terres sèches qui s’inondent à chaque marée haute.</w:t>
      </w:r>
      <w:r w:rsidR="00C47622">
        <w:t xml:space="preserve"> </w:t>
      </w:r>
      <w:r w:rsidR="00C47622" w:rsidRPr="00C47622">
        <w:rPr>
          <w:i/>
          <w:iCs/>
        </w:rPr>
        <w:t>C. tagal</w:t>
      </w:r>
      <w:r w:rsidR="00C47622" w:rsidRPr="00C47622">
        <w:t xml:space="preserve"> a tendance à se produire dans les marécages d'espèces mixtes (avec </w:t>
      </w:r>
      <w:r w:rsidR="00C47622" w:rsidRPr="00C47622">
        <w:rPr>
          <w:i/>
          <w:iCs/>
        </w:rPr>
        <w:t>Xylocarpus</w:t>
      </w:r>
      <w:r w:rsidR="00C47622" w:rsidRPr="00C47622">
        <w:t xml:space="preserve"> et </w:t>
      </w:r>
      <w:r w:rsidR="00C47622" w:rsidRPr="00C47622">
        <w:rPr>
          <w:i/>
          <w:iCs/>
        </w:rPr>
        <w:t>Avicennia</w:t>
      </w:r>
      <w:r w:rsidR="00C47622" w:rsidRPr="00C47622">
        <w:t>).</w:t>
      </w:r>
      <w:r w:rsidR="00204EB0">
        <w:t xml:space="preserve"> </w:t>
      </w:r>
      <w:r w:rsidR="00204EB0" w:rsidRPr="00204EB0">
        <w:lastRenderedPageBreak/>
        <w:t>On observe systématiquement de nombreuses populations de crabes violonistes au niveau de leurs racines, ainsi que des crabes araignées des mangroves, lorsque la marée est haute.</w:t>
      </w:r>
    </w:p>
    <w:p w14:paraId="24F4E13F" w14:textId="1BB7E9AD" w:rsidR="00CB1F45" w:rsidRPr="00CB1F45" w:rsidRDefault="00CB1F45" w:rsidP="006D6819">
      <w:pPr>
        <w:pStyle w:val="Default"/>
        <w:rPr>
          <w:rFonts w:ascii="Calibri" w:hAnsi="Calibri" w:cs="Calibri"/>
          <w:sz w:val="22"/>
          <w:szCs w:val="22"/>
        </w:rPr>
      </w:pPr>
      <w:r w:rsidRPr="00CB1F45">
        <w:rPr>
          <w:rFonts w:ascii="Calibri" w:hAnsi="Calibri" w:cs="Calibri"/>
          <w:sz w:val="22"/>
          <w:szCs w:val="22"/>
          <w:u w:val="single"/>
        </w:rPr>
        <w:t>Salinité</w:t>
      </w:r>
      <w:r w:rsidRPr="00CB1F45">
        <w:rPr>
          <w:rFonts w:ascii="Calibri" w:hAnsi="Calibri" w:cs="Calibri"/>
          <w:sz w:val="22"/>
          <w:szCs w:val="22"/>
        </w:rPr>
        <w:t xml:space="preserve"> :</w:t>
      </w:r>
      <w:r w:rsidR="006D6819" w:rsidRPr="006D6819">
        <w:rPr>
          <w:rFonts w:ascii="Calibri" w:hAnsi="Calibri" w:cs="Calibri"/>
          <w:sz w:val="22"/>
          <w:szCs w:val="22"/>
        </w:rPr>
        <w:t xml:space="preserve"> Forte (15 à 45g/l).</w:t>
      </w:r>
      <w:r w:rsidR="00980696" w:rsidRPr="006D6819">
        <w:rPr>
          <w:rFonts w:ascii="Calibri" w:hAnsi="Calibri" w:cs="Calibri"/>
          <w:sz w:val="22"/>
          <w:szCs w:val="22"/>
        </w:rPr>
        <w:t xml:space="preserve"> Espèce résistante à la dessiccation</w:t>
      </w:r>
      <w:r w:rsidR="00C47622" w:rsidRPr="006D6819">
        <w:rPr>
          <w:rFonts w:ascii="Calibri" w:hAnsi="Calibri" w:cs="Calibri"/>
          <w:sz w:val="22"/>
          <w:szCs w:val="22"/>
        </w:rPr>
        <w:t xml:space="preserve"> (à la sècheresse)</w:t>
      </w:r>
      <w:r w:rsidR="00980696" w:rsidRPr="006D6819">
        <w:rPr>
          <w:rFonts w:ascii="Calibri" w:hAnsi="Calibri" w:cs="Calibri"/>
          <w:sz w:val="22"/>
          <w:szCs w:val="22"/>
        </w:rPr>
        <w:t xml:space="preserve"> ainsi qu’au stress salin.</w:t>
      </w:r>
    </w:p>
    <w:p w14:paraId="373FBDF3" w14:textId="5ED4B935" w:rsidR="00CB1F45" w:rsidRPr="00CB1F45" w:rsidRDefault="00CB1F45" w:rsidP="00CB1F45">
      <w:pPr>
        <w:spacing w:after="0" w:line="240" w:lineRule="auto"/>
      </w:pPr>
      <w:r w:rsidRPr="00CB1F45">
        <w:rPr>
          <w:u w:val="single"/>
        </w:rPr>
        <w:t>Zonation</w:t>
      </w:r>
      <w:r w:rsidRPr="00CB1F45">
        <w:t xml:space="preserve"> : immersion quotidienne (zone intertidale), immersion à forte marée avec atterrissements</w:t>
      </w:r>
      <w:r w:rsidR="00132437">
        <w:t xml:space="preserve"> v</w:t>
      </w:r>
      <w:r w:rsidRPr="00CB1F45">
        <w:t>aseux</w:t>
      </w:r>
      <w:r w:rsidR="00132437">
        <w:t>.</w:t>
      </w:r>
    </w:p>
    <w:p w14:paraId="3DB1F46F" w14:textId="56872E1C" w:rsidR="00CB1F45" w:rsidRPr="00CB1F45" w:rsidRDefault="00CB1F45" w:rsidP="00071F79">
      <w:pPr>
        <w:spacing w:after="0" w:line="240" w:lineRule="auto"/>
        <w:jc w:val="both"/>
      </w:pPr>
      <w:r w:rsidRPr="00CB1F45">
        <w:rPr>
          <w:u w:val="single"/>
        </w:rPr>
        <w:t>Plante</w:t>
      </w:r>
      <w:r w:rsidRPr="00CB1F45">
        <w:t xml:space="preserve"> : 6 à 8 m de hauteur</w:t>
      </w:r>
      <w:r w:rsidR="001F0174">
        <w:t xml:space="preserve"> en moyenne</w:t>
      </w:r>
      <w:r w:rsidRPr="00CB1F45">
        <w:t>.</w:t>
      </w:r>
      <w:r w:rsidR="001F0174">
        <w:t xml:space="preserve"> A</w:t>
      </w:r>
      <w:r w:rsidR="001F0174" w:rsidRPr="001F0174">
        <w:t>rbre de taille moyenne atteignant une hauteur de 25 mètres (80 pieds) avec un diamètre de tronc allant jusqu'à 45 cm (18 pouces). L'habitude de croissance est colonnaire ou multi-tronc.</w:t>
      </w:r>
    </w:p>
    <w:p w14:paraId="6EFB209C" w14:textId="4A881B3D" w:rsidR="00CB1F45" w:rsidRPr="00CB1F45" w:rsidRDefault="00CB1F45" w:rsidP="00CB1F45">
      <w:pPr>
        <w:spacing w:after="0" w:line="240" w:lineRule="auto"/>
      </w:pPr>
      <w:r w:rsidRPr="00CB1F45">
        <w:rPr>
          <w:u w:val="single"/>
        </w:rPr>
        <w:t>Tronc</w:t>
      </w:r>
      <w:r w:rsidRPr="00CB1F45">
        <w:t xml:space="preserve"> :</w:t>
      </w:r>
      <w:r w:rsidR="0037110C">
        <w:t xml:space="preserve"> Ecorce </w:t>
      </w:r>
      <w:r w:rsidR="0037110C" w:rsidRPr="0037110C">
        <w:t>gris argenté à brun orangé, lisse avec des lenticelles pustuleuses occasionnelles.</w:t>
      </w:r>
    </w:p>
    <w:p w14:paraId="331EFC28" w14:textId="3030CE5D" w:rsidR="00CB1F45" w:rsidRPr="00CB1F45" w:rsidRDefault="00CB1F45" w:rsidP="00CB1F45">
      <w:pPr>
        <w:spacing w:after="0" w:line="240" w:lineRule="auto"/>
      </w:pPr>
      <w:r w:rsidRPr="00CB1F45">
        <w:rPr>
          <w:u w:val="single"/>
        </w:rPr>
        <w:t>Pneumatophores</w:t>
      </w:r>
      <w:r w:rsidRPr="00CB1F45">
        <w:t xml:space="preserve"> : coudés</w:t>
      </w:r>
      <w:r w:rsidR="00873D8A">
        <w:t>.</w:t>
      </w:r>
    </w:p>
    <w:p w14:paraId="46BC4B32" w14:textId="25150099" w:rsidR="00CB1F45" w:rsidRPr="00CB1F45" w:rsidRDefault="00CB1F45" w:rsidP="00CB1F45">
      <w:pPr>
        <w:spacing w:after="0" w:line="240" w:lineRule="auto"/>
      </w:pPr>
      <w:r w:rsidRPr="00CB1F45">
        <w:rPr>
          <w:u w:val="single"/>
        </w:rPr>
        <w:t>Feuilles</w:t>
      </w:r>
      <w:r w:rsidRPr="00CB1F45">
        <w:t xml:space="preserve"> : ovales plus ou moins allongé</w:t>
      </w:r>
      <w:r w:rsidR="005115EF">
        <w:t xml:space="preserve">. </w:t>
      </w:r>
      <w:r w:rsidR="00532ADA" w:rsidRPr="00532ADA">
        <w:t>Les feuilles sont en paires opposées, vert jaunâtre brillant dessus, obovales avec des marges entières, jusqu'à 6 cm (2,4 po) de long et 3 cm (1,2 po) de large.</w:t>
      </w:r>
    </w:p>
    <w:p w14:paraId="409D8DA3" w14:textId="52F3C506" w:rsidR="00CB1F45" w:rsidRPr="00CB1F45" w:rsidRDefault="00CB1F45" w:rsidP="001F0174">
      <w:pPr>
        <w:spacing w:after="0" w:line="240" w:lineRule="auto"/>
        <w:jc w:val="both"/>
      </w:pPr>
      <w:r w:rsidRPr="00CB1F45">
        <w:rPr>
          <w:u w:val="single"/>
        </w:rPr>
        <w:t>Racines</w:t>
      </w:r>
      <w:r w:rsidRPr="00CB1F45">
        <w:t xml:space="preserve"> : longue radicule, grêle et verruqueuse</w:t>
      </w:r>
      <w:r w:rsidR="001F0174">
        <w:t>. G</w:t>
      </w:r>
      <w:r w:rsidR="001F0174" w:rsidRPr="001F0174">
        <w:t>randes racines en contrefort. Les racines d'ancrage rayonnantes sont parfois exposées et peuvent s'enrouler par endroits.</w:t>
      </w:r>
    </w:p>
    <w:p w14:paraId="774F8333" w14:textId="647FE3E9" w:rsidR="00CB1F45" w:rsidRPr="00CB1F45" w:rsidRDefault="00CB1F45" w:rsidP="002C1AD7">
      <w:pPr>
        <w:spacing w:after="0" w:line="240" w:lineRule="auto"/>
        <w:jc w:val="both"/>
      </w:pPr>
      <w:r w:rsidRPr="00CB1F45">
        <w:rPr>
          <w:u w:val="single"/>
        </w:rPr>
        <w:t>Inflorescences</w:t>
      </w:r>
      <w:r w:rsidRPr="00CB1F45">
        <w:t xml:space="preserve"> :</w:t>
      </w:r>
      <w:r w:rsidR="002C1AD7">
        <w:t xml:space="preserve"> </w:t>
      </w:r>
      <w:r w:rsidR="002C1AD7" w:rsidRPr="002C1AD7">
        <w:t xml:space="preserve">Les fleurs sont portées seules à l'aisselle des feuilles ; chacun a une longue tige et un tube calice </w:t>
      </w:r>
      <w:r w:rsidR="00D15AEE" w:rsidRPr="002C1AD7">
        <w:t>court et</w:t>
      </w:r>
      <w:r w:rsidR="002C1AD7" w:rsidRPr="002C1AD7">
        <w:t xml:space="preserve"> des pièces par cinq ou six. Les étamines appariées sont enfermées dans les pétales qui s'ouvrent de manière explosive lorsqu'elles sont dérangées.</w:t>
      </w:r>
    </w:p>
    <w:p w14:paraId="40692554" w14:textId="50786B7B" w:rsidR="00CB1F45" w:rsidRPr="00CB1F45" w:rsidRDefault="00CB1F45" w:rsidP="00873D8A">
      <w:pPr>
        <w:spacing w:after="0" w:line="240" w:lineRule="auto"/>
        <w:jc w:val="both"/>
        <w:rPr>
          <w:rFonts w:ascii="Calibri" w:hAnsi="Calibri" w:cs="Calibri"/>
        </w:rPr>
      </w:pPr>
      <w:r w:rsidRPr="00CB1F45">
        <w:rPr>
          <w:u w:val="single"/>
        </w:rPr>
        <w:t>Fruits</w:t>
      </w:r>
      <w:r w:rsidRPr="00CB1F45">
        <w:t xml:space="preserve"> : graines germées sur l'arbre (propagules)</w:t>
      </w:r>
      <w:r w:rsidR="00873D8A">
        <w:t xml:space="preserve">. </w:t>
      </w:r>
      <w:r w:rsidR="00873D8A" w:rsidRPr="00873D8A">
        <w:rPr>
          <w:rFonts w:ascii="Calibri" w:hAnsi="Calibri" w:cs="Calibri"/>
          <w:shd w:val="clear" w:color="auto" w:fill="FFFFFF"/>
        </w:rPr>
        <w:t xml:space="preserve">Les fruits ovoïdes mesurent jusqu'à 3 cm (1 po) de long suspendus au tube du calice rétréci. Brunes d'abord, elles changent de couleur en mûrissant et </w:t>
      </w:r>
      <w:r w:rsidR="00873D8A" w:rsidRPr="00873D8A">
        <w:rPr>
          <w:rFonts w:ascii="Calibri" w:hAnsi="Calibri" w:cs="Calibri"/>
          <w:color w:val="202122"/>
          <w:shd w:val="clear" w:color="auto" w:fill="FFFFFF"/>
        </w:rPr>
        <w:t>l'</w:t>
      </w:r>
      <w:hyperlink r:id="rId1137" w:tooltip="Hypocotyle" w:history="1">
        <w:r w:rsidR="00873D8A" w:rsidRPr="00873D8A">
          <w:rPr>
            <w:rStyle w:val="Lienhypertexte"/>
            <w:rFonts w:ascii="Calibri" w:hAnsi="Calibri" w:cs="Calibri"/>
            <w:color w:val="0645AD"/>
            <w:shd w:val="clear" w:color="auto" w:fill="FFFFFF"/>
          </w:rPr>
          <w:t>hypocotyle</w:t>
        </w:r>
      </w:hyperlink>
      <w:r w:rsidR="00873D8A" w:rsidRPr="00873D8A">
        <w:rPr>
          <w:rFonts w:ascii="Calibri" w:hAnsi="Calibri" w:cs="Calibri"/>
          <w:color w:val="202122"/>
          <w:shd w:val="clear" w:color="auto" w:fill="FFFFFF"/>
        </w:rPr>
        <w:t> </w:t>
      </w:r>
      <w:r w:rsidR="00873D8A" w:rsidRPr="00873D8A">
        <w:rPr>
          <w:rFonts w:ascii="Calibri" w:hAnsi="Calibri" w:cs="Calibri"/>
          <w:shd w:val="clear" w:color="auto" w:fill="FFFFFF"/>
        </w:rPr>
        <w:t>émerge. L'hypocotyle est long et mince, atteignant environ 35 cm (14 po) de long, et est côtelé, une caractéristique qui distingue ce palétuvier du </w:t>
      </w:r>
      <w:hyperlink r:id="rId1138" w:tooltip="Ceriops australis" w:history="1">
        <w:r w:rsidR="00873D8A" w:rsidRPr="00873D8A">
          <w:rPr>
            <w:rStyle w:val="Lienhypertexte"/>
            <w:rFonts w:ascii="Calibri" w:hAnsi="Calibri" w:cs="Calibri"/>
            <w:color w:val="0645AD"/>
            <w:shd w:val="clear" w:color="auto" w:fill="FFFFFF"/>
          </w:rPr>
          <w:t>palétuvier jaune à fruits lisses</w:t>
        </w:r>
      </w:hyperlink>
      <w:r w:rsidR="00873D8A" w:rsidRPr="00873D8A">
        <w:rPr>
          <w:rFonts w:ascii="Calibri" w:hAnsi="Calibri" w:cs="Calibri"/>
          <w:color w:val="202122"/>
          <w:shd w:val="clear" w:color="auto" w:fill="FFFFFF"/>
        </w:rPr>
        <w:t> </w:t>
      </w:r>
      <w:r w:rsidR="00873D8A" w:rsidRPr="00873D8A">
        <w:rPr>
          <w:rFonts w:ascii="Calibri" w:hAnsi="Calibri" w:cs="Calibri"/>
          <w:shd w:val="clear" w:color="auto" w:fill="FFFFFF"/>
        </w:rPr>
        <w:t>(</w:t>
      </w:r>
      <w:r w:rsidR="00873D8A" w:rsidRPr="00873D8A">
        <w:rPr>
          <w:rFonts w:ascii="Calibri" w:hAnsi="Calibri" w:cs="Calibri"/>
          <w:i/>
          <w:iCs/>
          <w:shd w:val="clear" w:color="auto" w:fill="FFFFFF"/>
        </w:rPr>
        <w:t>Ceriops australis</w:t>
      </w:r>
      <w:r w:rsidR="00873D8A" w:rsidRPr="00873D8A">
        <w:rPr>
          <w:rFonts w:ascii="Calibri" w:hAnsi="Calibri" w:cs="Calibri"/>
          <w:shd w:val="clear" w:color="auto" w:fill="FFFFFF"/>
        </w:rPr>
        <w:t>).</w:t>
      </w:r>
    </w:p>
    <w:p w14:paraId="1CC9CD47" w14:textId="77777777" w:rsidR="00CB1F45" w:rsidRPr="00CB1F45" w:rsidRDefault="00CB1F45" w:rsidP="00CB1F45">
      <w:pPr>
        <w:spacing w:after="0" w:line="240" w:lineRule="auto"/>
      </w:pPr>
      <w:r w:rsidRPr="00CB1F45">
        <w:rPr>
          <w:u w:val="single"/>
        </w:rPr>
        <w:t xml:space="preserve">Période de collecte des fruits </w:t>
      </w:r>
      <w:r w:rsidRPr="00CB1F45">
        <w:t>: février-mars</w:t>
      </w:r>
    </w:p>
    <w:p w14:paraId="04D4D465" w14:textId="59C55FC6" w:rsidR="00CB1F45" w:rsidRPr="00CB1F45" w:rsidRDefault="00CB1F45" w:rsidP="00873D8A">
      <w:pPr>
        <w:spacing w:after="0" w:line="240" w:lineRule="auto"/>
        <w:jc w:val="both"/>
      </w:pPr>
      <w:r w:rsidRPr="00CB1F45">
        <w:rPr>
          <w:u w:val="single"/>
        </w:rPr>
        <w:t>Utilisation</w:t>
      </w:r>
      <w:r w:rsidRPr="00CB1F45">
        <w:t xml:space="preserve"> : mât de pirogue, maison, chaise, table, lit, charbon, clôture, bois de chauffe.</w:t>
      </w:r>
      <w:r w:rsidR="00873D8A">
        <w:t xml:space="preserve"> </w:t>
      </w:r>
      <w:r w:rsidR="00873D8A" w:rsidRPr="00873D8A">
        <w:t xml:space="preserve">Le bois durable est utilisé dans la construction de maisons. Il est également utilisé dans la fabrication de charbon de bois et est préféré comme bois de chauffage, étant le deuxième derrière </w:t>
      </w:r>
      <w:r w:rsidR="00873D8A" w:rsidRPr="00873D8A">
        <w:rPr>
          <w:i/>
          <w:iCs/>
        </w:rPr>
        <w:t>Rhizophora spp</w:t>
      </w:r>
      <w:r w:rsidR="00873D8A" w:rsidRPr="00873D8A">
        <w:t>., et un colorant peut être extrait de l'écorce. Parmi les espèces de palétuviers, son écorce et sa sève donnent des colorants rouges et noirs qui sont utilisés dans le batik et le tannage du cuir.</w:t>
      </w:r>
      <w:r w:rsidR="00873D8A">
        <w:t xml:space="preserve"> </w:t>
      </w:r>
      <w:r w:rsidR="00873D8A" w:rsidRPr="00873D8A">
        <w:t xml:space="preserve">Bois de bonne qualité. </w:t>
      </w:r>
      <w:r w:rsidR="00873D8A" w:rsidRPr="00873D8A">
        <w:rPr>
          <w:i/>
          <w:iCs/>
        </w:rPr>
        <w:t>Utilisation en construction</w:t>
      </w:r>
      <w:r w:rsidR="00873D8A" w:rsidRPr="00873D8A">
        <w:t xml:space="preserve"> : Bois d’</w:t>
      </w:r>
      <w:r w:rsidR="00873D8A">
        <w:t>œuvre</w:t>
      </w:r>
      <w:r w:rsidR="00873D8A" w:rsidRPr="00873D8A">
        <w:t xml:space="preserve">, élément de structure de case et de clôture. </w:t>
      </w:r>
      <w:r w:rsidR="00873D8A" w:rsidRPr="00873D8A">
        <w:rPr>
          <w:i/>
          <w:iCs/>
        </w:rPr>
        <w:t>Utilisation en bois d’énergie</w:t>
      </w:r>
      <w:r w:rsidR="00873D8A" w:rsidRPr="00873D8A">
        <w:t xml:space="preserve"> : Charbon, cuisson.</w:t>
      </w:r>
    </w:p>
    <w:p w14:paraId="73E4D19F" w14:textId="77777777" w:rsidR="00CB1F45" w:rsidRPr="00CB1F45" w:rsidRDefault="00CB1F45" w:rsidP="00CB1F45">
      <w:pPr>
        <w:spacing w:after="0" w:line="240" w:lineRule="auto"/>
      </w:pPr>
      <w:r w:rsidRPr="00CB1F45">
        <w:rPr>
          <w:u w:val="single"/>
        </w:rPr>
        <w:t xml:space="preserve">Conservation des graines </w:t>
      </w:r>
      <w:r w:rsidRPr="00CB1F45">
        <w:t>:</w:t>
      </w:r>
    </w:p>
    <w:p w14:paraId="2C4AC40A" w14:textId="77777777" w:rsidR="00CB1F45" w:rsidRPr="00CB1F45" w:rsidRDefault="00CB1F45" w:rsidP="00CB1F45">
      <w:pPr>
        <w:spacing w:after="0" w:line="240" w:lineRule="auto"/>
      </w:pPr>
      <w:r w:rsidRPr="00CB1F45">
        <w:rPr>
          <w:u w:val="single"/>
        </w:rPr>
        <w:t>Multiplication</w:t>
      </w:r>
      <w:r w:rsidRPr="00CB1F45">
        <w:t xml:space="preserve"> : propagules à grosses côtes</w:t>
      </w:r>
    </w:p>
    <w:p w14:paraId="7DA3CB63" w14:textId="03C9B334" w:rsidR="00CB1F45" w:rsidRDefault="00CB1F45" w:rsidP="00CB1F45">
      <w:pPr>
        <w:spacing w:after="0" w:line="240" w:lineRule="auto"/>
        <w:jc w:val="both"/>
      </w:pPr>
      <w:r w:rsidRPr="00A41CF8">
        <w:t xml:space="preserve">Source : </w:t>
      </w:r>
      <w:r>
        <w:t xml:space="preserve">a) </w:t>
      </w:r>
      <w:r w:rsidRPr="00A41CF8">
        <w:rPr>
          <w:i/>
          <w:iCs/>
        </w:rPr>
        <w:t>Espèces de palétuviers dans les mangroves de Toliara</w:t>
      </w:r>
      <w:r w:rsidRPr="00A41CF8">
        <w:t xml:space="preserve">, Serge Tostain, FORMAD Environnement, Toliara, juin 2010, </w:t>
      </w:r>
      <w:hyperlink r:id="rId1139" w:history="1">
        <w:r w:rsidRPr="00A41CF8">
          <w:rPr>
            <w:rStyle w:val="Lienhypertexte"/>
          </w:rPr>
          <w:t>http://www.formad-environnement.org/paletuviers_29dec11.pdf</w:t>
        </w:r>
      </w:hyperlink>
      <w:r w:rsidRPr="00A41CF8">
        <w:t xml:space="preserve"> </w:t>
      </w:r>
    </w:p>
    <w:p w14:paraId="6BEC8643" w14:textId="6E97B7F1" w:rsidR="001F0174" w:rsidRDefault="001F0174" w:rsidP="00CB1F45">
      <w:pPr>
        <w:spacing w:after="0" w:line="240" w:lineRule="auto"/>
        <w:jc w:val="both"/>
        <w:rPr>
          <w:lang w:val="en-GB"/>
        </w:rPr>
      </w:pPr>
      <w:r w:rsidRPr="001F0174">
        <w:rPr>
          <w:lang w:val="en-GB"/>
        </w:rPr>
        <w:t xml:space="preserve">b) </w:t>
      </w:r>
      <w:hyperlink r:id="rId1140" w:history="1">
        <w:r w:rsidRPr="00AF787D">
          <w:rPr>
            <w:rStyle w:val="Lienhypertexte"/>
            <w:lang w:val="en-GB"/>
          </w:rPr>
          <w:t>https://en.wikipedia.org/wiki/Ceriops_tagal</w:t>
        </w:r>
      </w:hyperlink>
      <w:r>
        <w:rPr>
          <w:lang w:val="en-GB"/>
        </w:rPr>
        <w:t xml:space="preserve"> </w:t>
      </w:r>
    </w:p>
    <w:p w14:paraId="4D787CBB" w14:textId="689D6194" w:rsidR="009D65F3" w:rsidRDefault="009D65F3" w:rsidP="00CB1F45">
      <w:pPr>
        <w:spacing w:after="0" w:line="240" w:lineRule="auto"/>
        <w:jc w:val="both"/>
        <w:rPr>
          <w:lang w:val="en-GB"/>
        </w:rPr>
      </w:pPr>
      <w:r>
        <w:rPr>
          <w:lang w:val="en-GB"/>
        </w:rPr>
        <w:t xml:space="preserve">c) </w:t>
      </w:r>
      <w:hyperlink r:id="rId1141" w:history="1">
        <w:r w:rsidRPr="00AF787D">
          <w:rPr>
            <w:rStyle w:val="Lienhypertexte"/>
            <w:lang w:val="en-GB"/>
          </w:rPr>
          <w:t>https://www.prota4u.org/database/protav8.asp?g=pe&amp;p=Ceriops+tagal+(Perr.)+C.B.Rob</w:t>
        </w:r>
      </w:hyperlink>
      <w:r w:rsidRPr="009D65F3">
        <w:rPr>
          <w:lang w:val="en-GB"/>
        </w:rPr>
        <w:t>.</w:t>
      </w:r>
      <w:r>
        <w:rPr>
          <w:lang w:val="en-GB"/>
        </w:rPr>
        <w:t xml:space="preserve"> </w:t>
      </w:r>
    </w:p>
    <w:p w14:paraId="78B568B8" w14:textId="666C3859" w:rsidR="009D65F3" w:rsidRPr="00A41CF8" w:rsidRDefault="009D65F3" w:rsidP="00CB1F45">
      <w:pPr>
        <w:spacing w:after="0" w:line="240" w:lineRule="auto"/>
        <w:jc w:val="both"/>
        <w:rPr>
          <w:lang w:val="en-GB"/>
        </w:rPr>
      </w:pPr>
      <w:r>
        <w:rPr>
          <w:lang w:val="en-GB"/>
        </w:rPr>
        <w:t xml:space="preserve">d) </w:t>
      </w:r>
      <w:hyperlink r:id="rId1142" w:history="1">
        <w:r w:rsidRPr="00AF787D">
          <w:rPr>
            <w:rStyle w:val="Lienhypertexte"/>
            <w:lang w:val="en-GB"/>
          </w:rPr>
          <w:t>http://queenslandcoast.blogspot.com/2016/09/australias-spurred-mangroves-ceriops-sp.html</w:t>
        </w:r>
      </w:hyperlink>
      <w:r>
        <w:rPr>
          <w:lang w:val="en-GB"/>
        </w:rPr>
        <w:t xml:space="preserve"> </w:t>
      </w:r>
    </w:p>
    <w:p w14:paraId="788AD89F" w14:textId="77777777" w:rsidR="00CB1F45" w:rsidRPr="001F0174" w:rsidRDefault="00CB1F45" w:rsidP="00A41CF8">
      <w:pPr>
        <w:spacing w:after="0" w:line="240" w:lineRule="auto"/>
        <w:rPr>
          <w:lang w:val="en-G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431464" w14:paraId="1E4C2D62" w14:textId="77777777" w:rsidTr="001F0174">
        <w:tc>
          <w:tcPr>
            <w:tcW w:w="5208" w:type="dxa"/>
          </w:tcPr>
          <w:p w14:paraId="37ACE03E" w14:textId="77777777" w:rsidR="00431464" w:rsidRDefault="00431464" w:rsidP="00431464">
            <w:pPr>
              <w:jc w:val="center"/>
            </w:pPr>
            <w:r w:rsidRPr="00431464">
              <w:rPr>
                <w:noProof/>
              </w:rPr>
              <w:drawing>
                <wp:inline distT="0" distB="0" distL="0" distR="0" wp14:anchorId="6B301225" wp14:editId="7DBED15E">
                  <wp:extent cx="2266950" cy="1698024"/>
                  <wp:effectExtent l="0" t="0" r="0" b="0"/>
                  <wp:docPr id="198671" name="Picture 4" descr="C:\Users\LISAN\Pictures\plantes-halophytes-xerophiles\Ceriops tagal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71" name="Picture 4" descr="C:\Users\LISAN\Pictures\plantes-halophytes-xerophiles\Ceriops tagal3.jpg"/>
                          <pic:cNvPicPr>
                            <a:picLocks noChangeAspect="1" noChangeArrowheads="1"/>
                          </pic:cNvPicPr>
                        </pic:nvPicPr>
                        <pic:blipFill>
                          <a:blip r:embed="rId1143">
                            <a:extLst>
                              <a:ext uri="{28A0092B-C50C-407E-A947-70E740481C1C}">
                                <a14:useLocalDpi xmlns:a14="http://schemas.microsoft.com/office/drawing/2010/main" val="0"/>
                              </a:ext>
                            </a:extLst>
                          </a:blip>
                          <a:srcRect/>
                          <a:stretch>
                            <a:fillRect/>
                          </a:stretch>
                        </pic:blipFill>
                        <pic:spPr bwMode="auto">
                          <a:xfrm>
                            <a:off x="0" y="0"/>
                            <a:ext cx="2268479" cy="1699169"/>
                          </a:xfrm>
                          <a:prstGeom prst="rect">
                            <a:avLst/>
                          </a:prstGeom>
                          <a:noFill/>
                          <a:ln>
                            <a:noFill/>
                          </a:ln>
                        </pic:spPr>
                      </pic:pic>
                    </a:graphicData>
                  </a:graphic>
                </wp:inline>
              </w:drawing>
            </w:r>
          </w:p>
          <w:p w14:paraId="6B9270F2" w14:textId="77777777" w:rsidR="009D65F3" w:rsidRDefault="009D65F3" w:rsidP="00431464">
            <w:pPr>
              <w:jc w:val="center"/>
            </w:pPr>
            <w:r>
              <w:t>Propagules (jeunes)</w:t>
            </w:r>
          </w:p>
          <w:p w14:paraId="6C910D79" w14:textId="77777777" w:rsidR="00C33D8C" w:rsidRDefault="00C33D8C" w:rsidP="00431464">
            <w:pPr>
              <w:jc w:val="center"/>
            </w:pPr>
          </w:p>
          <w:p w14:paraId="080D2FAC" w14:textId="77777777" w:rsidR="00C33D8C" w:rsidRDefault="00C33D8C" w:rsidP="00431464">
            <w:pPr>
              <w:jc w:val="center"/>
            </w:pPr>
            <w:r w:rsidRPr="00C33D8C">
              <w:rPr>
                <w:noProof/>
              </w:rPr>
              <w:lastRenderedPageBreak/>
              <w:drawing>
                <wp:inline distT="0" distB="0" distL="0" distR="0" wp14:anchorId="00704EED" wp14:editId="6F90833B">
                  <wp:extent cx="1704975" cy="1352550"/>
                  <wp:effectExtent l="0" t="0" r="9525" b="0"/>
                  <wp:docPr id="195608"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9"/>
                          <pic:cNvPicPr>
                            <a:picLocks noChangeAspect="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1704975" cy="1352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4FE7B74" w14:textId="43337C41" w:rsidR="00C33D8C" w:rsidRDefault="00C33D8C" w:rsidP="00431464">
            <w:pPr>
              <w:jc w:val="center"/>
            </w:pPr>
            <w:r>
              <w:t>Propagules</w:t>
            </w:r>
          </w:p>
        </w:tc>
        <w:tc>
          <w:tcPr>
            <w:tcW w:w="5208" w:type="dxa"/>
          </w:tcPr>
          <w:p w14:paraId="4025519E" w14:textId="77777777" w:rsidR="00860C2E" w:rsidRDefault="00431464" w:rsidP="009D65F3">
            <w:pPr>
              <w:jc w:val="center"/>
            </w:pPr>
            <w:r w:rsidRPr="00431464">
              <w:rPr>
                <w:noProof/>
              </w:rPr>
              <w:lastRenderedPageBreak/>
              <w:drawing>
                <wp:inline distT="0" distB="0" distL="0" distR="0" wp14:anchorId="56BC6975" wp14:editId="5AA2C296">
                  <wp:extent cx="2486025" cy="1654337"/>
                  <wp:effectExtent l="0" t="0" r="0" b="3175"/>
                  <wp:docPr id="198669" name="Picture 2" descr="C:\Users\LISAN\Pictures\plantes-halophytes-xerophiles\Ceriops tagal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69" name="Picture 2" descr="C:\Users\LISAN\Pictures\plantes-halophytes-xerophiles\Ceriops tagal4.jpg"/>
                          <pic:cNvPicPr>
                            <a:picLocks noChangeAspect="1" noChangeArrowheads="1"/>
                          </pic:cNvPicPr>
                        </pic:nvPicPr>
                        <pic:blipFill>
                          <a:blip r:embed="rId1145">
                            <a:extLst>
                              <a:ext uri="{28A0092B-C50C-407E-A947-70E740481C1C}">
                                <a14:useLocalDpi xmlns:a14="http://schemas.microsoft.com/office/drawing/2010/main" val="0"/>
                              </a:ext>
                            </a:extLst>
                          </a:blip>
                          <a:srcRect/>
                          <a:stretch>
                            <a:fillRect/>
                          </a:stretch>
                        </pic:blipFill>
                        <pic:spPr bwMode="auto">
                          <a:xfrm>
                            <a:off x="0" y="0"/>
                            <a:ext cx="2487447" cy="1655283"/>
                          </a:xfrm>
                          <a:prstGeom prst="rect">
                            <a:avLst/>
                          </a:prstGeom>
                          <a:noFill/>
                          <a:ln>
                            <a:noFill/>
                          </a:ln>
                        </pic:spPr>
                      </pic:pic>
                    </a:graphicData>
                  </a:graphic>
                </wp:inline>
              </w:drawing>
            </w:r>
          </w:p>
          <w:p w14:paraId="32BA6B36" w14:textId="77777777" w:rsidR="00C33D8C" w:rsidRDefault="009D65F3" w:rsidP="00C33D8C">
            <w:pPr>
              <w:jc w:val="center"/>
            </w:pPr>
            <w:r>
              <w:t>Fleurs</w:t>
            </w:r>
          </w:p>
          <w:p w14:paraId="552DE915" w14:textId="77777777" w:rsidR="00C33D8C" w:rsidRDefault="00C33D8C" w:rsidP="00C33D8C">
            <w:pPr>
              <w:jc w:val="center"/>
            </w:pPr>
          </w:p>
          <w:p w14:paraId="24B61EFE" w14:textId="77777777" w:rsidR="00C33D8C" w:rsidRDefault="00C33D8C" w:rsidP="00C33D8C">
            <w:pPr>
              <w:jc w:val="center"/>
            </w:pPr>
            <w:r w:rsidRPr="00C33D8C">
              <w:rPr>
                <w:noProof/>
              </w:rPr>
              <w:lastRenderedPageBreak/>
              <w:drawing>
                <wp:inline distT="0" distB="0" distL="0" distR="0" wp14:anchorId="2E9C0063" wp14:editId="31C798BA">
                  <wp:extent cx="1504950" cy="1400175"/>
                  <wp:effectExtent l="0" t="0" r="0" b="9525"/>
                  <wp:docPr id="195609"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8"/>
                          <pic:cNvPicPr>
                            <a:picLocks noChangeAspect="1"/>
                          </pic:cNvPicPr>
                        </pic:nvPicPr>
                        <pic:blipFill>
                          <a:blip r:embed="rId1146">
                            <a:extLst>
                              <a:ext uri="{28A0092B-C50C-407E-A947-70E740481C1C}">
                                <a14:useLocalDpi xmlns:a14="http://schemas.microsoft.com/office/drawing/2010/main" val="0"/>
                              </a:ext>
                            </a:extLst>
                          </a:blip>
                          <a:srcRect/>
                          <a:stretch>
                            <a:fillRect/>
                          </a:stretch>
                        </pic:blipFill>
                        <pic:spPr bwMode="auto">
                          <a:xfrm>
                            <a:off x="0" y="0"/>
                            <a:ext cx="1504950" cy="1400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1D2C7EA" w14:textId="7B616281" w:rsidR="00C33D8C" w:rsidRDefault="00C33D8C" w:rsidP="00C33D8C">
            <w:pPr>
              <w:jc w:val="center"/>
            </w:pPr>
            <w:r>
              <w:t>Feuilles</w:t>
            </w:r>
          </w:p>
        </w:tc>
      </w:tr>
    </w:tbl>
    <w:p w14:paraId="501806C5" w14:textId="182E3E11" w:rsidR="00CB1F45" w:rsidRDefault="00CB1F45" w:rsidP="00431464">
      <w:pPr>
        <w:spacing w:after="0" w:line="240" w:lineRule="auto"/>
        <w:jc w:val="cente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95"/>
        <w:gridCol w:w="3285"/>
        <w:gridCol w:w="3846"/>
      </w:tblGrid>
      <w:tr w:rsidR="00C47622" w14:paraId="22BE0558" w14:textId="77777777" w:rsidTr="00C47622">
        <w:tc>
          <w:tcPr>
            <w:tcW w:w="3472" w:type="dxa"/>
          </w:tcPr>
          <w:p w14:paraId="0B832959" w14:textId="77777777" w:rsidR="009D65F3" w:rsidRDefault="00C47622" w:rsidP="00431464">
            <w:pPr>
              <w:jc w:val="center"/>
            </w:pPr>
            <w:r>
              <w:rPr>
                <w:noProof/>
              </w:rPr>
              <w:drawing>
                <wp:inline distT="0" distB="0" distL="0" distR="0" wp14:anchorId="0673EDAA" wp14:editId="0CD9174C">
                  <wp:extent cx="1678781" cy="2238375"/>
                  <wp:effectExtent l="0" t="0" r="0" b="0"/>
                  <wp:docPr id="195598" name="Image 195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147">
                            <a:extLst>
                              <a:ext uri="{28A0092B-C50C-407E-A947-70E740481C1C}">
                                <a14:useLocalDpi xmlns:a14="http://schemas.microsoft.com/office/drawing/2010/main" val="0"/>
                              </a:ext>
                            </a:extLst>
                          </a:blip>
                          <a:srcRect/>
                          <a:stretch>
                            <a:fillRect/>
                          </a:stretch>
                        </pic:blipFill>
                        <pic:spPr bwMode="auto">
                          <a:xfrm>
                            <a:off x="0" y="0"/>
                            <a:ext cx="1681323" cy="2241764"/>
                          </a:xfrm>
                          <a:prstGeom prst="rect">
                            <a:avLst/>
                          </a:prstGeom>
                          <a:noFill/>
                          <a:ln>
                            <a:noFill/>
                          </a:ln>
                        </pic:spPr>
                      </pic:pic>
                    </a:graphicData>
                  </a:graphic>
                </wp:inline>
              </w:drawing>
            </w:r>
          </w:p>
          <w:p w14:paraId="6E370351" w14:textId="77777777" w:rsidR="00C47622" w:rsidRDefault="00C47622" w:rsidP="00431464">
            <w:pPr>
              <w:jc w:val="center"/>
            </w:pPr>
            <w:r w:rsidRPr="00C47622">
              <w:t>Les hypocotyles matures sont beaucoup plus gros et peuvent avoir des colliers au sommet (</w:t>
            </w:r>
            <w:r w:rsidRPr="00C47622">
              <w:rPr>
                <w:i/>
                <w:iCs/>
              </w:rPr>
              <w:t>C. tagal</w:t>
            </w:r>
            <w:r w:rsidRPr="00C47622">
              <w:t>)</w:t>
            </w:r>
            <w:r>
              <w:t xml:space="preserve"> </w:t>
            </w:r>
            <w:r>
              <w:rPr>
                <w:rStyle w:val="Appelnotedebasdep"/>
              </w:rPr>
              <w:footnoteReference w:id="93"/>
            </w:r>
            <w:r>
              <w:t xml:space="preserve"> (© Q</w:t>
            </w:r>
            <w:r w:rsidRPr="009D65F3">
              <w:t>ueensland</w:t>
            </w:r>
            <w:r>
              <w:t xml:space="preserve"> </w:t>
            </w:r>
            <w:r w:rsidRPr="009D65F3">
              <w:t>coast</w:t>
            </w:r>
            <w:r>
              <w:t>)</w:t>
            </w:r>
            <w:r w:rsidR="00C97183">
              <w:t>.</w:t>
            </w:r>
          </w:p>
          <w:p w14:paraId="7C63E2B0" w14:textId="6E05C3D7" w:rsidR="00C97183" w:rsidRDefault="00C97183" w:rsidP="00431464">
            <w:pPr>
              <w:jc w:val="center"/>
            </w:pPr>
          </w:p>
        </w:tc>
        <w:tc>
          <w:tcPr>
            <w:tcW w:w="3472" w:type="dxa"/>
          </w:tcPr>
          <w:p w14:paraId="052F33FD" w14:textId="77777777" w:rsidR="009D65F3" w:rsidRDefault="009D65F3" w:rsidP="00431464">
            <w:pPr>
              <w:jc w:val="center"/>
            </w:pPr>
            <w:r w:rsidRPr="00431464">
              <w:rPr>
                <w:noProof/>
              </w:rPr>
              <w:drawing>
                <wp:inline distT="0" distB="0" distL="0" distR="0" wp14:anchorId="23BE15DC" wp14:editId="4E5950F8">
                  <wp:extent cx="1638300" cy="1638300"/>
                  <wp:effectExtent l="0" t="0" r="0" b="0"/>
                  <wp:docPr id="198670" name="Picture 3" descr="C:\Users\LISAN\Pictures\plantes-halophytes-xerophiles\Ceriops taga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70" name="Picture 3" descr="C:\Users\LISAN\Pictures\plantes-halophytes-xerophiles\Ceriops tagal2.jpg"/>
                          <pic:cNvPicPr>
                            <a:picLocks noChangeAspect="1" noChangeArrowheads="1"/>
                          </pic:cNvPicPr>
                        </pic:nvPicPr>
                        <pic:blipFill>
                          <a:blip r:embed="rId1148">
                            <a:extLst>
                              <a:ext uri="{28A0092B-C50C-407E-A947-70E740481C1C}">
                                <a14:useLocalDpi xmlns:a14="http://schemas.microsoft.com/office/drawing/2010/main" val="0"/>
                              </a:ext>
                            </a:extLst>
                          </a:blip>
                          <a:srcRect/>
                          <a:stretch>
                            <a:fillRect/>
                          </a:stretch>
                        </pic:blipFill>
                        <pic:spPr bwMode="auto">
                          <a:xfrm>
                            <a:off x="0" y="0"/>
                            <a:ext cx="1638300" cy="1638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EFC629D" w14:textId="277401CB" w:rsidR="009D65F3" w:rsidRDefault="009D65F3" w:rsidP="00431464">
            <w:pPr>
              <w:jc w:val="center"/>
            </w:pPr>
            <w:r>
              <w:t>Feuilles</w:t>
            </w:r>
          </w:p>
        </w:tc>
        <w:tc>
          <w:tcPr>
            <w:tcW w:w="3472" w:type="dxa"/>
          </w:tcPr>
          <w:p w14:paraId="13FB469B" w14:textId="77777777" w:rsidR="009D65F3" w:rsidRDefault="009D65F3" w:rsidP="00431464">
            <w:pPr>
              <w:jc w:val="center"/>
            </w:pPr>
            <w:r>
              <w:rPr>
                <w:noProof/>
              </w:rPr>
              <w:drawing>
                <wp:inline distT="0" distB="0" distL="0" distR="0" wp14:anchorId="08964FA7" wp14:editId="687746DB">
                  <wp:extent cx="1936173" cy="1638300"/>
                  <wp:effectExtent l="0" t="0" r="6985" b="0"/>
                  <wp:docPr id="195592" name="Image 195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49">
                            <a:extLst>
                              <a:ext uri="{28A0092B-C50C-407E-A947-70E740481C1C}">
                                <a14:useLocalDpi xmlns:a14="http://schemas.microsoft.com/office/drawing/2010/main" val="0"/>
                              </a:ext>
                            </a:extLst>
                          </a:blip>
                          <a:srcRect/>
                          <a:stretch>
                            <a:fillRect/>
                          </a:stretch>
                        </pic:blipFill>
                        <pic:spPr bwMode="auto">
                          <a:xfrm>
                            <a:off x="0" y="0"/>
                            <a:ext cx="1939451" cy="1641074"/>
                          </a:xfrm>
                          <a:prstGeom prst="rect">
                            <a:avLst/>
                          </a:prstGeom>
                          <a:noFill/>
                          <a:ln>
                            <a:noFill/>
                          </a:ln>
                        </pic:spPr>
                      </pic:pic>
                    </a:graphicData>
                  </a:graphic>
                </wp:inline>
              </w:drawing>
            </w:r>
          </w:p>
          <w:p w14:paraId="535FF16F" w14:textId="5C774AA9" w:rsidR="009D65F3" w:rsidRDefault="009D65F3" w:rsidP="00431464">
            <w:pPr>
              <w:jc w:val="center"/>
            </w:pPr>
            <w:r>
              <w:t>Fleurs</w:t>
            </w:r>
          </w:p>
        </w:tc>
      </w:tr>
      <w:tr w:rsidR="00C47622" w14:paraId="4B6487E9" w14:textId="77777777" w:rsidTr="00C47622">
        <w:tc>
          <w:tcPr>
            <w:tcW w:w="3472" w:type="dxa"/>
          </w:tcPr>
          <w:p w14:paraId="1A6C179F" w14:textId="77777777" w:rsidR="009D65F3" w:rsidRDefault="009D65F3" w:rsidP="00431464">
            <w:pPr>
              <w:jc w:val="center"/>
            </w:pPr>
            <w:r>
              <w:rPr>
                <w:noProof/>
              </w:rPr>
              <w:drawing>
                <wp:inline distT="0" distB="0" distL="0" distR="0" wp14:anchorId="7327985B" wp14:editId="7183E777">
                  <wp:extent cx="1847850" cy="2466975"/>
                  <wp:effectExtent l="0" t="0" r="0" b="9525"/>
                  <wp:docPr id="195594" name="Image 195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50">
                            <a:extLst>
                              <a:ext uri="{28A0092B-C50C-407E-A947-70E740481C1C}">
                                <a14:useLocalDpi xmlns:a14="http://schemas.microsoft.com/office/drawing/2010/main" val="0"/>
                              </a:ext>
                            </a:extLst>
                          </a:blip>
                          <a:srcRect/>
                          <a:stretch>
                            <a:fillRect/>
                          </a:stretch>
                        </pic:blipFill>
                        <pic:spPr bwMode="auto">
                          <a:xfrm>
                            <a:off x="0" y="0"/>
                            <a:ext cx="1847850" cy="2466975"/>
                          </a:xfrm>
                          <a:prstGeom prst="rect">
                            <a:avLst/>
                          </a:prstGeom>
                          <a:noFill/>
                          <a:ln>
                            <a:noFill/>
                          </a:ln>
                        </pic:spPr>
                      </pic:pic>
                    </a:graphicData>
                  </a:graphic>
                </wp:inline>
              </w:drawing>
            </w:r>
          </w:p>
          <w:p w14:paraId="6EDFC886" w14:textId="1FB5298A" w:rsidR="009D65F3" w:rsidRDefault="009D65F3" w:rsidP="00431464">
            <w:pPr>
              <w:jc w:val="center"/>
            </w:pPr>
            <w:r>
              <w:t>Propagules (fruits)</w:t>
            </w:r>
          </w:p>
        </w:tc>
        <w:tc>
          <w:tcPr>
            <w:tcW w:w="3472" w:type="dxa"/>
          </w:tcPr>
          <w:p w14:paraId="5C7876CE" w14:textId="77777777" w:rsidR="009D65F3" w:rsidRDefault="009D65F3" w:rsidP="00431464">
            <w:pPr>
              <w:jc w:val="center"/>
            </w:pPr>
            <w:r>
              <w:rPr>
                <w:noProof/>
              </w:rPr>
              <w:drawing>
                <wp:inline distT="0" distB="0" distL="0" distR="0" wp14:anchorId="759B5920" wp14:editId="16774FC3">
                  <wp:extent cx="1835944" cy="2447925"/>
                  <wp:effectExtent l="0" t="0" r="0" b="0"/>
                  <wp:docPr id="195596" name="Image 195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151">
                            <a:extLst>
                              <a:ext uri="{28A0092B-C50C-407E-A947-70E740481C1C}">
                                <a14:useLocalDpi xmlns:a14="http://schemas.microsoft.com/office/drawing/2010/main" val="0"/>
                              </a:ext>
                            </a:extLst>
                          </a:blip>
                          <a:srcRect/>
                          <a:stretch>
                            <a:fillRect/>
                          </a:stretch>
                        </pic:blipFill>
                        <pic:spPr bwMode="auto">
                          <a:xfrm>
                            <a:off x="0" y="0"/>
                            <a:ext cx="1837164" cy="2449552"/>
                          </a:xfrm>
                          <a:prstGeom prst="rect">
                            <a:avLst/>
                          </a:prstGeom>
                          <a:noFill/>
                          <a:ln>
                            <a:noFill/>
                          </a:ln>
                        </pic:spPr>
                      </pic:pic>
                    </a:graphicData>
                  </a:graphic>
                </wp:inline>
              </w:drawing>
            </w:r>
          </w:p>
          <w:p w14:paraId="1A1CA86E" w14:textId="65F0BD31" w:rsidR="009D65F3" w:rsidRDefault="009D65F3" w:rsidP="00431464">
            <w:pPr>
              <w:jc w:val="center"/>
            </w:pPr>
            <w:r>
              <w:t>Tronc</w:t>
            </w:r>
            <w:r>
              <w:rPr>
                <w:rStyle w:val="Appelnotedebasdep"/>
              </w:rPr>
              <w:footnoteReference w:id="94"/>
            </w:r>
            <w:r>
              <w:t xml:space="preserve"> (</w:t>
            </w:r>
            <w:r w:rsidR="00C47622">
              <w:t xml:space="preserve">© </w:t>
            </w:r>
            <w:r>
              <w:t>Q</w:t>
            </w:r>
            <w:r w:rsidRPr="009D65F3">
              <w:t>ueensland</w:t>
            </w:r>
            <w:r>
              <w:t xml:space="preserve"> </w:t>
            </w:r>
            <w:r w:rsidRPr="009D65F3">
              <w:t>coast</w:t>
            </w:r>
            <w:r>
              <w:t>)</w:t>
            </w:r>
          </w:p>
        </w:tc>
        <w:tc>
          <w:tcPr>
            <w:tcW w:w="3472" w:type="dxa"/>
          </w:tcPr>
          <w:p w14:paraId="53994B37" w14:textId="77777777" w:rsidR="009D65F3" w:rsidRDefault="009D65F3" w:rsidP="00431464">
            <w:pPr>
              <w:jc w:val="center"/>
            </w:pPr>
            <w:r>
              <w:rPr>
                <w:noProof/>
              </w:rPr>
              <w:drawing>
                <wp:inline distT="0" distB="0" distL="0" distR="0" wp14:anchorId="7620F1D2" wp14:editId="48766603">
                  <wp:extent cx="2305050" cy="1728788"/>
                  <wp:effectExtent l="0" t="0" r="0" b="5080"/>
                  <wp:docPr id="195597" name="Image 195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52">
                            <a:extLst>
                              <a:ext uri="{28A0092B-C50C-407E-A947-70E740481C1C}">
                                <a14:useLocalDpi xmlns:a14="http://schemas.microsoft.com/office/drawing/2010/main" val="0"/>
                              </a:ext>
                            </a:extLst>
                          </a:blip>
                          <a:srcRect/>
                          <a:stretch>
                            <a:fillRect/>
                          </a:stretch>
                        </pic:blipFill>
                        <pic:spPr bwMode="auto">
                          <a:xfrm>
                            <a:off x="0" y="0"/>
                            <a:ext cx="2307064" cy="1730298"/>
                          </a:xfrm>
                          <a:prstGeom prst="rect">
                            <a:avLst/>
                          </a:prstGeom>
                          <a:noFill/>
                          <a:ln>
                            <a:noFill/>
                          </a:ln>
                        </pic:spPr>
                      </pic:pic>
                    </a:graphicData>
                  </a:graphic>
                </wp:inline>
              </w:drawing>
            </w:r>
          </w:p>
          <w:p w14:paraId="27AEDBF1" w14:textId="77777777" w:rsidR="00C47622" w:rsidRDefault="009D65F3" w:rsidP="00431464">
            <w:pPr>
              <w:jc w:val="center"/>
            </w:pPr>
            <w:r>
              <w:t xml:space="preserve">Racines et habitat du </w:t>
            </w:r>
            <w:r w:rsidRPr="009D65F3">
              <w:rPr>
                <w:i/>
                <w:iCs/>
              </w:rPr>
              <w:t>Ceriops tagal</w:t>
            </w:r>
            <w:r>
              <w:t xml:space="preserve"> </w:t>
            </w:r>
          </w:p>
          <w:p w14:paraId="58763F3A" w14:textId="5FDC762F" w:rsidR="009D65F3" w:rsidRDefault="00C47622" w:rsidP="00431464">
            <w:pPr>
              <w:jc w:val="center"/>
            </w:pPr>
            <w:r>
              <w:t xml:space="preserve">(© </w:t>
            </w:r>
            <w:r w:rsidR="009D65F3">
              <w:t>Q</w:t>
            </w:r>
            <w:r w:rsidR="009D65F3" w:rsidRPr="009D65F3">
              <w:t>ueensland</w:t>
            </w:r>
            <w:r w:rsidR="009D65F3">
              <w:t xml:space="preserve"> </w:t>
            </w:r>
            <w:r w:rsidR="009D65F3" w:rsidRPr="009D65F3">
              <w:t>coast</w:t>
            </w:r>
            <w:r>
              <w:t>)</w:t>
            </w:r>
            <w:r w:rsidR="009D65F3">
              <w:t>.</w:t>
            </w:r>
          </w:p>
        </w:tc>
      </w:tr>
    </w:tbl>
    <w:p w14:paraId="410FD22A" w14:textId="4B8783A2" w:rsidR="00EF1A93" w:rsidRDefault="00EF1A93" w:rsidP="00832C2B">
      <w:pPr>
        <w:spacing w:after="0" w:line="240" w:lineRule="auto"/>
      </w:pPr>
    </w:p>
    <w:p w14:paraId="28D1A99B" w14:textId="77777777" w:rsidR="00EF1A93" w:rsidRDefault="00EF1A93">
      <w:r>
        <w:br w:type="page"/>
      </w:r>
    </w:p>
    <w:p w14:paraId="7C726487" w14:textId="77777777" w:rsidR="009D65F3" w:rsidRDefault="009D65F3" w:rsidP="00832C2B">
      <w:pPr>
        <w:spacing w:after="0" w:line="240" w:lineRule="auto"/>
      </w:pPr>
    </w:p>
    <w:p w14:paraId="31DEF746" w14:textId="77777777" w:rsidR="00832C2B" w:rsidRPr="00D87D3F" w:rsidRDefault="00832C2B" w:rsidP="00D87D3F">
      <w:pPr>
        <w:pStyle w:val="Titre2"/>
        <w:rPr>
          <w:i/>
          <w:iCs/>
        </w:rPr>
      </w:pPr>
      <w:bookmarkStart w:id="132" w:name="_Toc139181423"/>
      <w:r w:rsidRPr="00D87D3F">
        <w:rPr>
          <w:i/>
          <w:iCs/>
        </w:rPr>
        <w:t>Lumnitzera racemosa</w:t>
      </w:r>
      <w:bookmarkEnd w:id="132"/>
    </w:p>
    <w:p w14:paraId="538584CB" w14:textId="5321FE3B" w:rsidR="00832C2B" w:rsidRDefault="00832C2B" w:rsidP="00832C2B">
      <w:pPr>
        <w:spacing w:after="0" w:line="240" w:lineRule="auto"/>
      </w:pPr>
    </w:p>
    <w:p w14:paraId="58BDD0C0" w14:textId="279B5B79" w:rsidR="00832C2B" w:rsidRPr="00832C2B" w:rsidRDefault="00832C2B" w:rsidP="00832C2B">
      <w:pPr>
        <w:spacing w:after="0" w:line="240" w:lineRule="auto"/>
      </w:pPr>
      <w:r w:rsidRPr="00832C2B">
        <w:rPr>
          <w:u w:val="single"/>
        </w:rPr>
        <w:t>Famille</w:t>
      </w:r>
      <w:r w:rsidRPr="00832C2B">
        <w:t xml:space="preserve"> : </w:t>
      </w:r>
      <w:hyperlink r:id="rId1153" w:history="1">
        <w:r w:rsidR="003F6EA2" w:rsidRPr="003F6EA2">
          <w:rPr>
            <w:rStyle w:val="Lienhypertexte"/>
            <w:rFonts w:ascii="Calibri" w:hAnsi="Calibri" w:cs="Calibri"/>
            <w:i/>
            <w:iCs/>
            <w:color w:val="0645AD"/>
            <w:shd w:val="clear" w:color="auto" w:fill="F8F9FA"/>
          </w:rPr>
          <w:t>Combretaceae</w:t>
        </w:r>
      </w:hyperlink>
    </w:p>
    <w:p w14:paraId="04FE47B8" w14:textId="1C3F2C7A" w:rsidR="00832C2B" w:rsidRPr="00832C2B" w:rsidRDefault="00832C2B" w:rsidP="00832C2B">
      <w:pPr>
        <w:spacing w:after="0" w:line="240" w:lineRule="auto"/>
      </w:pPr>
      <w:r w:rsidRPr="00832C2B">
        <w:t>Synonyme : Roneho, Sahiranko</w:t>
      </w:r>
      <w:r w:rsidR="006752C4">
        <w:t xml:space="preserve"> (en malgache)</w:t>
      </w:r>
      <w:r w:rsidRPr="00832C2B">
        <w:t>.</w:t>
      </w:r>
    </w:p>
    <w:p w14:paraId="2A121BE3" w14:textId="26BB0826" w:rsidR="00832C2B" w:rsidRPr="00832C2B" w:rsidRDefault="00832C2B" w:rsidP="00415AF7">
      <w:pPr>
        <w:spacing w:after="0" w:line="240" w:lineRule="auto"/>
        <w:jc w:val="both"/>
      </w:pPr>
      <w:r w:rsidRPr="00832C2B">
        <w:rPr>
          <w:u w:val="single"/>
        </w:rPr>
        <w:t>Écologie</w:t>
      </w:r>
      <w:r w:rsidRPr="00832C2B">
        <w:t xml:space="preserve"> :</w:t>
      </w:r>
      <w:r w:rsidR="00415AF7">
        <w:t xml:space="preserve"> </w:t>
      </w:r>
      <w:r w:rsidR="00415AF7" w:rsidRPr="00415AF7">
        <w:t>Il pousse dans la partie supérieure de la zone intertidale et se trouve à la fois sur les plages et le long des berges des criques. C'est une espèce pionnière à croissance rapide</w:t>
      </w:r>
      <w:r w:rsidR="00415AF7">
        <w:t>.</w:t>
      </w:r>
    </w:p>
    <w:p w14:paraId="13C4963B" w14:textId="0C3C142E" w:rsidR="00832C2B" w:rsidRPr="00832C2B" w:rsidRDefault="00832C2B" w:rsidP="00832C2B">
      <w:pPr>
        <w:spacing w:after="0" w:line="240" w:lineRule="auto"/>
      </w:pPr>
      <w:r w:rsidRPr="00832C2B">
        <w:rPr>
          <w:u w:val="single"/>
        </w:rPr>
        <w:t>Salinité</w:t>
      </w:r>
      <w:r w:rsidRPr="00832C2B">
        <w:t xml:space="preserve"> : </w:t>
      </w:r>
      <w:r w:rsidR="006D6819" w:rsidRPr="006D6819">
        <w:t>Forte (2,625 à 43,021g/l)</w:t>
      </w:r>
      <w:r w:rsidR="006D6819">
        <w:t>.</w:t>
      </w:r>
    </w:p>
    <w:p w14:paraId="77C402D6" w14:textId="77777777" w:rsidR="00832C2B" w:rsidRPr="00832C2B" w:rsidRDefault="00832C2B" w:rsidP="00832C2B">
      <w:pPr>
        <w:spacing w:after="0" w:line="240" w:lineRule="auto"/>
      </w:pPr>
      <w:r w:rsidRPr="00832C2B">
        <w:rPr>
          <w:u w:val="single"/>
        </w:rPr>
        <w:t>PH</w:t>
      </w:r>
      <w:r w:rsidRPr="00832C2B">
        <w:t xml:space="preserve"> : 6,7-7,7</w:t>
      </w:r>
    </w:p>
    <w:p w14:paraId="67E30FBF" w14:textId="70345FB6" w:rsidR="00832C2B" w:rsidRPr="00832C2B" w:rsidRDefault="00832C2B" w:rsidP="00B82BB3">
      <w:pPr>
        <w:spacing w:after="0" w:line="240" w:lineRule="auto"/>
        <w:jc w:val="both"/>
      </w:pPr>
      <w:r w:rsidRPr="00832C2B">
        <w:rPr>
          <w:u w:val="single"/>
        </w:rPr>
        <w:t>Zonation</w:t>
      </w:r>
      <w:r w:rsidRPr="00832C2B">
        <w:t xml:space="preserve"> : immersion à forte marée avec atterrissements vaseux, immersion à grandes marées</w:t>
      </w:r>
      <w:r>
        <w:t xml:space="preserve"> </w:t>
      </w:r>
      <w:r w:rsidRPr="00832C2B">
        <w:t>d'équinoxe et chenaux des marées, sols salés des chenaux marins, terres fermes peu salées, tannes</w:t>
      </w:r>
      <w:r w:rsidR="00415AF7">
        <w:t>.</w:t>
      </w:r>
    </w:p>
    <w:p w14:paraId="0CDFEF9A" w14:textId="77777777" w:rsidR="00832C2B" w:rsidRPr="00832C2B" w:rsidRDefault="00832C2B" w:rsidP="00B82BB3">
      <w:pPr>
        <w:spacing w:after="0" w:line="240" w:lineRule="auto"/>
        <w:jc w:val="both"/>
      </w:pPr>
      <w:r w:rsidRPr="00832C2B">
        <w:rPr>
          <w:u w:val="single"/>
        </w:rPr>
        <w:t>Plantule</w:t>
      </w:r>
      <w:r w:rsidRPr="00832C2B">
        <w:t xml:space="preserve"> :</w:t>
      </w:r>
    </w:p>
    <w:p w14:paraId="05F798ED" w14:textId="5C8DB7E8" w:rsidR="00832C2B" w:rsidRPr="00832C2B" w:rsidRDefault="00832C2B" w:rsidP="00B82BB3">
      <w:pPr>
        <w:spacing w:after="0" w:line="240" w:lineRule="auto"/>
        <w:jc w:val="both"/>
      </w:pPr>
      <w:r w:rsidRPr="00832C2B">
        <w:rPr>
          <w:u w:val="single"/>
        </w:rPr>
        <w:t>Plante</w:t>
      </w:r>
      <w:r w:rsidRPr="00832C2B">
        <w:t xml:space="preserve"> : 1,5 m à 2 m de hauteur.</w:t>
      </w:r>
      <w:r w:rsidR="00415AF7">
        <w:t xml:space="preserve"> </w:t>
      </w:r>
      <w:r w:rsidR="00415AF7" w:rsidRPr="00415AF7">
        <w:rPr>
          <w:rFonts w:ascii="Calibri" w:hAnsi="Calibri" w:cs="Calibri"/>
          <w:shd w:val="clear" w:color="auto" w:fill="FFFFFF"/>
        </w:rPr>
        <w:t>Arbre à feuilles persistantes de taille petite à moyenne, atteignant une hauteur maximale de 37 m (121 pi). </w:t>
      </w:r>
    </w:p>
    <w:p w14:paraId="06B2757F" w14:textId="22093AA1" w:rsidR="00832C2B" w:rsidRPr="00832C2B" w:rsidRDefault="00832C2B" w:rsidP="00832C2B">
      <w:pPr>
        <w:spacing w:after="0" w:line="240" w:lineRule="auto"/>
      </w:pPr>
      <w:r w:rsidRPr="00832C2B">
        <w:rPr>
          <w:u w:val="single"/>
        </w:rPr>
        <w:t>Tronc</w:t>
      </w:r>
      <w:r w:rsidRPr="00832C2B">
        <w:t xml:space="preserve"> :</w:t>
      </w:r>
      <w:r w:rsidR="00415AF7">
        <w:t xml:space="preserve"> </w:t>
      </w:r>
    </w:p>
    <w:p w14:paraId="075241DC" w14:textId="36D88ADA" w:rsidR="00832C2B" w:rsidRPr="00832C2B" w:rsidRDefault="00415AF7" w:rsidP="00832C2B">
      <w:pPr>
        <w:spacing w:after="0" w:line="240" w:lineRule="auto"/>
      </w:pPr>
      <w:r>
        <w:rPr>
          <w:u w:val="single"/>
        </w:rPr>
        <w:t xml:space="preserve">Racines / </w:t>
      </w:r>
      <w:r w:rsidR="00832C2B" w:rsidRPr="00832C2B">
        <w:rPr>
          <w:u w:val="single"/>
        </w:rPr>
        <w:t>Pneumatophores</w:t>
      </w:r>
      <w:r w:rsidR="00832C2B" w:rsidRPr="00832C2B">
        <w:t xml:space="preserve"> : coudés ?</w:t>
      </w:r>
      <w:r>
        <w:t xml:space="preserve"> </w:t>
      </w:r>
      <w:r w:rsidR="00545315">
        <w:rPr>
          <w:rFonts w:ascii="Calibri" w:hAnsi="Calibri" w:cs="Calibri"/>
          <w:shd w:val="clear" w:color="auto" w:fill="FFFFFF"/>
        </w:rPr>
        <w:t>L’arbre</w:t>
      </w:r>
      <w:r w:rsidRPr="00415AF7">
        <w:rPr>
          <w:rFonts w:ascii="Calibri" w:hAnsi="Calibri" w:cs="Calibri"/>
          <w:shd w:val="clear" w:color="auto" w:fill="FFFFFF"/>
        </w:rPr>
        <w:t xml:space="preserve"> développe des </w:t>
      </w:r>
      <w:hyperlink r:id="rId1154" w:tooltip="Pneumatophore" w:history="1">
        <w:r w:rsidRPr="00415AF7">
          <w:rPr>
            <w:rStyle w:val="Lienhypertexte"/>
            <w:rFonts w:ascii="Calibri" w:hAnsi="Calibri" w:cs="Calibri"/>
            <w:color w:val="0645AD"/>
            <w:shd w:val="clear" w:color="auto" w:fill="FFFFFF"/>
          </w:rPr>
          <w:t>pneumatophores</w:t>
        </w:r>
      </w:hyperlink>
      <w:r w:rsidRPr="00415AF7">
        <w:rPr>
          <w:rFonts w:ascii="Calibri" w:hAnsi="Calibri" w:cs="Calibri"/>
          <w:color w:val="202122"/>
          <w:shd w:val="clear" w:color="auto" w:fill="FFFFFF"/>
        </w:rPr>
        <w:t> </w:t>
      </w:r>
      <w:r w:rsidRPr="00415AF7">
        <w:rPr>
          <w:rFonts w:ascii="Calibri" w:hAnsi="Calibri" w:cs="Calibri"/>
          <w:shd w:val="clear" w:color="auto" w:fill="FFFFFF"/>
        </w:rPr>
        <w:t>et a souvent </w:t>
      </w:r>
      <w:hyperlink r:id="rId1155" w:tooltip="Racine de contrefort" w:history="1">
        <w:r w:rsidRPr="00415AF7">
          <w:rPr>
            <w:rStyle w:val="Lienhypertexte"/>
            <w:rFonts w:ascii="Calibri" w:hAnsi="Calibri" w:cs="Calibri"/>
            <w:color w:val="0645AD"/>
            <w:shd w:val="clear" w:color="auto" w:fill="FFFFFF"/>
          </w:rPr>
          <w:t>des racines échasses</w:t>
        </w:r>
      </w:hyperlink>
      <w:r w:rsidRPr="00415AF7">
        <w:rPr>
          <w:rFonts w:ascii="Calibri" w:hAnsi="Calibri" w:cs="Calibri"/>
          <w:color w:val="202122"/>
          <w:shd w:val="clear" w:color="auto" w:fill="FFFFFF"/>
        </w:rPr>
        <w:t>.</w:t>
      </w:r>
    </w:p>
    <w:p w14:paraId="79B55BA7" w14:textId="2CD50676" w:rsidR="00832C2B" w:rsidRPr="00832C2B" w:rsidRDefault="00832C2B" w:rsidP="00832C2B">
      <w:pPr>
        <w:spacing w:after="0" w:line="240" w:lineRule="auto"/>
        <w:jc w:val="both"/>
      </w:pPr>
      <w:r w:rsidRPr="00832C2B">
        <w:rPr>
          <w:u w:val="single"/>
        </w:rPr>
        <w:t>Feuilles</w:t>
      </w:r>
      <w:r w:rsidRPr="00832C2B">
        <w:t xml:space="preserve"> : ovale, opposées</w:t>
      </w:r>
      <w:r w:rsidR="00415AF7">
        <w:t>,</w:t>
      </w:r>
      <w:r w:rsidRPr="00832C2B">
        <w:t xml:space="preserve"> décussées avec quelques échancrures, nervure centrale peu apparente, épaisse, sans</w:t>
      </w:r>
      <w:r>
        <w:t xml:space="preserve"> </w:t>
      </w:r>
      <w:r w:rsidRPr="00832C2B">
        <w:t>pointe</w:t>
      </w:r>
      <w:r w:rsidR="00415AF7">
        <w:t xml:space="preserve">. </w:t>
      </w:r>
      <w:r w:rsidR="00415AF7" w:rsidRPr="00415AF7">
        <w:t>Les feuilles sont disposées en spirale à l'extrémité des pousses ; elles sont simples et obovales, avec des bords légèrement dentés.</w:t>
      </w:r>
    </w:p>
    <w:p w14:paraId="3D8A017E" w14:textId="5677E785" w:rsidR="00832C2B" w:rsidRPr="00832C2B" w:rsidRDefault="00832C2B" w:rsidP="00832C2B">
      <w:pPr>
        <w:spacing w:after="0" w:line="240" w:lineRule="auto"/>
      </w:pPr>
      <w:r w:rsidRPr="00832C2B">
        <w:rPr>
          <w:u w:val="single"/>
        </w:rPr>
        <w:t>Inflorescences</w:t>
      </w:r>
      <w:r w:rsidRPr="00832C2B">
        <w:t xml:space="preserve"> : très petites fleurs blanches</w:t>
      </w:r>
      <w:r w:rsidR="00B2131F">
        <w:t xml:space="preserve">. </w:t>
      </w:r>
      <w:r w:rsidR="00B2131F" w:rsidRPr="00B2131F">
        <w:t>Les inflorescences se développent en épis courts à l'aisselle des feuilles ou à l'extrémité des pousses. Les fleurs sont petites et blanches.</w:t>
      </w:r>
    </w:p>
    <w:p w14:paraId="726800EF" w14:textId="4CA036B3" w:rsidR="00832C2B" w:rsidRPr="00832C2B" w:rsidRDefault="00832C2B" w:rsidP="00832C2B">
      <w:pPr>
        <w:spacing w:after="0" w:line="240" w:lineRule="auto"/>
      </w:pPr>
      <w:r w:rsidRPr="00832C2B">
        <w:rPr>
          <w:u w:val="single"/>
        </w:rPr>
        <w:t>Fruits</w:t>
      </w:r>
      <w:r w:rsidRPr="00832C2B">
        <w:t xml:space="preserve"> :</w:t>
      </w:r>
      <w:r w:rsidR="006752C4">
        <w:t xml:space="preserve"> </w:t>
      </w:r>
      <w:r w:rsidR="006752C4" w:rsidRPr="006752C4">
        <w:t>Fruits ligneux aplatis contenant une seule graine.</w:t>
      </w:r>
    </w:p>
    <w:p w14:paraId="1AF8B994" w14:textId="77777777" w:rsidR="00832C2B" w:rsidRPr="00832C2B" w:rsidRDefault="00832C2B" w:rsidP="00832C2B">
      <w:pPr>
        <w:spacing w:after="0" w:line="240" w:lineRule="auto"/>
      </w:pPr>
      <w:r w:rsidRPr="00832C2B">
        <w:rPr>
          <w:u w:val="single"/>
        </w:rPr>
        <w:t xml:space="preserve">Période de collecte des fruits </w:t>
      </w:r>
      <w:r w:rsidRPr="00832C2B">
        <w:t>:</w:t>
      </w:r>
    </w:p>
    <w:p w14:paraId="52F413D8" w14:textId="0DEC02A9" w:rsidR="00832C2B" w:rsidRPr="00832C2B" w:rsidRDefault="00832C2B" w:rsidP="00832C2B">
      <w:pPr>
        <w:spacing w:after="0" w:line="240" w:lineRule="auto"/>
      </w:pPr>
      <w:r w:rsidRPr="00832C2B">
        <w:rPr>
          <w:u w:val="single"/>
        </w:rPr>
        <w:t>Utilisation</w:t>
      </w:r>
      <w:r w:rsidRPr="00832C2B">
        <w:t xml:space="preserve"> : bois de chauffe, maison, bétail</w:t>
      </w:r>
      <w:r w:rsidR="00B82BB3">
        <w:t xml:space="preserve">. </w:t>
      </w:r>
      <w:r w:rsidR="00B82BB3" w:rsidRPr="00B82BB3">
        <w:t>Son bois est solide et durable et a de nombreuses utilisations, y compris la construction de ponts. Le bois est très apprécié pour la fabrication du charbon de bois au Cambodge. L'écorce est récoltée pour les tanins qu'elle contient.</w:t>
      </w:r>
    </w:p>
    <w:p w14:paraId="78AA1E55" w14:textId="77777777" w:rsidR="00832C2B" w:rsidRPr="00832C2B" w:rsidRDefault="00832C2B" w:rsidP="00832C2B">
      <w:pPr>
        <w:spacing w:after="0" w:line="240" w:lineRule="auto"/>
      </w:pPr>
      <w:r w:rsidRPr="00832C2B">
        <w:rPr>
          <w:u w:val="single"/>
        </w:rPr>
        <w:t xml:space="preserve">Conservation :des graines </w:t>
      </w:r>
      <w:r w:rsidRPr="00832C2B">
        <w:t>:</w:t>
      </w:r>
    </w:p>
    <w:p w14:paraId="5A22FC5E" w14:textId="34B25542" w:rsidR="00832C2B" w:rsidRDefault="00832C2B" w:rsidP="00832C2B">
      <w:pPr>
        <w:spacing w:after="0" w:line="240" w:lineRule="auto"/>
      </w:pPr>
      <w:r w:rsidRPr="00832C2B">
        <w:rPr>
          <w:u w:val="single"/>
        </w:rPr>
        <w:t>Multiplication</w:t>
      </w:r>
      <w:r w:rsidRPr="00832C2B">
        <w:t xml:space="preserve"> : propagules très fines</w:t>
      </w:r>
      <w:r>
        <w:t>.</w:t>
      </w:r>
    </w:p>
    <w:p w14:paraId="7412419E" w14:textId="714EB971" w:rsidR="00832C2B" w:rsidRPr="00832C2B" w:rsidRDefault="00832C2B" w:rsidP="00B82BB3">
      <w:pPr>
        <w:spacing w:after="0" w:line="240" w:lineRule="auto"/>
        <w:jc w:val="both"/>
      </w:pPr>
      <w:r w:rsidRPr="00832C2B">
        <w:t>Source</w:t>
      </w:r>
      <w:r w:rsidR="005C734E">
        <w:t>s</w:t>
      </w:r>
      <w:r w:rsidRPr="00832C2B">
        <w:t xml:space="preserve"> :</w:t>
      </w:r>
      <w:r w:rsidR="005C734E">
        <w:t xml:space="preserve"> a)</w:t>
      </w:r>
      <w:r w:rsidRPr="00832C2B">
        <w:t xml:space="preserve"> </w:t>
      </w:r>
      <w:r w:rsidRPr="00832C2B">
        <w:rPr>
          <w:i/>
          <w:iCs/>
        </w:rPr>
        <w:t>Espèces de palétuviers dans les mangroves de Toliara</w:t>
      </w:r>
      <w:r w:rsidRPr="00832C2B">
        <w:t xml:space="preserve">, Serge Tostain, FORMAD Environnement, Toliara, juin 2010, </w:t>
      </w:r>
      <w:hyperlink r:id="rId1156" w:history="1">
        <w:r w:rsidRPr="00832C2B">
          <w:rPr>
            <w:rStyle w:val="Lienhypertexte"/>
          </w:rPr>
          <w:t>http://www.formad-environnement.org/paletuviers_29dec11.pdf</w:t>
        </w:r>
      </w:hyperlink>
      <w:r w:rsidRPr="00832C2B">
        <w:t xml:space="preserve"> </w:t>
      </w:r>
    </w:p>
    <w:p w14:paraId="387D8424" w14:textId="796E8656" w:rsidR="00832C2B" w:rsidRPr="005C734E" w:rsidRDefault="005C734E" w:rsidP="00832C2B">
      <w:pPr>
        <w:spacing w:after="0" w:line="240" w:lineRule="auto"/>
        <w:rPr>
          <w:lang w:val="en-GB"/>
        </w:rPr>
      </w:pPr>
      <w:r w:rsidRPr="005C734E">
        <w:rPr>
          <w:lang w:val="en-GB"/>
        </w:rPr>
        <w:t xml:space="preserve">b) </w:t>
      </w:r>
      <w:hyperlink r:id="rId1157" w:history="1">
        <w:r w:rsidRPr="00AF787D">
          <w:rPr>
            <w:rStyle w:val="Lienhypertexte"/>
            <w:lang w:val="en-GB"/>
          </w:rPr>
          <w:t>https://en.wikipedia.org/wiki/Lumnitzera_racemosa</w:t>
        </w:r>
      </w:hyperlink>
      <w:r>
        <w:rPr>
          <w:lang w:val="en-GB"/>
        </w:rPr>
        <w:t xml:space="preserve"> </w:t>
      </w:r>
    </w:p>
    <w:p w14:paraId="3AAB1BBC" w14:textId="60AC18EC" w:rsidR="009D65F3" w:rsidRDefault="009D65F3" w:rsidP="00832C2B">
      <w:pPr>
        <w:spacing w:after="0" w:line="240" w:lineRule="auto"/>
        <w:jc w:val="center"/>
        <w:rPr>
          <w:lang w:val="en-G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6"/>
        <w:gridCol w:w="3874"/>
        <w:gridCol w:w="3246"/>
      </w:tblGrid>
      <w:tr w:rsidR="00AC60DC" w14:paraId="39EE3538" w14:textId="77777777" w:rsidTr="00AC60DC">
        <w:tc>
          <w:tcPr>
            <w:tcW w:w="3306" w:type="dxa"/>
          </w:tcPr>
          <w:p w14:paraId="44F08BE0" w14:textId="77777777" w:rsidR="007E794A" w:rsidRDefault="000170B4" w:rsidP="00832C2B">
            <w:pPr>
              <w:jc w:val="center"/>
              <w:rPr>
                <w:lang w:val="en-GB"/>
              </w:rPr>
            </w:pPr>
            <w:r>
              <w:rPr>
                <w:noProof/>
              </w:rPr>
              <w:drawing>
                <wp:inline distT="0" distB="0" distL="0" distR="0" wp14:anchorId="043BD0D5" wp14:editId="0EDE20E7">
                  <wp:extent cx="1958320" cy="1466850"/>
                  <wp:effectExtent l="0" t="0" r="4445" b="0"/>
                  <wp:docPr id="195599" name="Image 195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158">
                            <a:extLst>
                              <a:ext uri="{28A0092B-C50C-407E-A947-70E740481C1C}">
                                <a14:useLocalDpi xmlns:a14="http://schemas.microsoft.com/office/drawing/2010/main" val="0"/>
                              </a:ext>
                            </a:extLst>
                          </a:blip>
                          <a:srcRect/>
                          <a:stretch>
                            <a:fillRect/>
                          </a:stretch>
                        </pic:blipFill>
                        <pic:spPr bwMode="auto">
                          <a:xfrm>
                            <a:off x="0" y="0"/>
                            <a:ext cx="1967192" cy="1473495"/>
                          </a:xfrm>
                          <a:prstGeom prst="rect">
                            <a:avLst/>
                          </a:prstGeom>
                          <a:noFill/>
                          <a:ln>
                            <a:noFill/>
                          </a:ln>
                        </pic:spPr>
                      </pic:pic>
                    </a:graphicData>
                  </a:graphic>
                </wp:inline>
              </w:drawing>
            </w:r>
          </w:p>
          <w:p w14:paraId="4EA85432" w14:textId="1EAF44D6" w:rsidR="00AB0CFA" w:rsidRDefault="00AB0CFA" w:rsidP="00832C2B">
            <w:pPr>
              <w:jc w:val="center"/>
              <w:rPr>
                <w:lang w:val="en-GB"/>
              </w:rPr>
            </w:pPr>
          </w:p>
        </w:tc>
        <w:tc>
          <w:tcPr>
            <w:tcW w:w="4065" w:type="dxa"/>
          </w:tcPr>
          <w:p w14:paraId="3B2C4C11" w14:textId="77777777" w:rsidR="007E794A" w:rsidRDefault="000170B4" w:rsidP="00832C2B">
            <w:pPr>
              <w:jc w:val="center"/>
              <w:rPr>
                <w:lang w:val="en-GB"/>
              </w:rPr>
            </w:pPr>
            <w:r>
              <w:rPr>
                <w:noProof/>
              </w:rPr>
              <w:drawing>
                <wp:inline distT="0" distB="0" distL="0" distR="0" wp14:anchorId="6ECA36EC" wp14:editId="36E77FB8">
                  <wp:extent cx="2032520" cy="1352550"/>
                  <wp:effectExtent l="0" t="0" r="6350" b="0"/>
                  <wp:docPr id="195600" name="Image 195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159">
                            <a:extLst>
                              <a:ext uri="{28A0092B-C50C-407E-A947-70E740481C1C}">
                                <a14:useLocalDpi xmlns:a14="http://schemas.microsoft.com/office/drawing/2010/main" val="0"/>
                              </a:ext>
                            </a:extLst>
                          </a:blip>
                          <a:srcRect/>
                          <a:stretch>
                            <a:fillRect/>
                          </a:stretch>
                        </pic:blipFill>
                        <pic:spPr bwMode="auto">
                          <a:xfrm>
                            <a:off x="0" y="0"/>
                            <a:ext cx="2041162" cy="1358301"/>
                          </a:xfrm>
                          <a:prstGeom prst="rect">
                            <a:avLst/>
                          </a:prstGeom>
                          <a:noFill/>
                          <a:ln>
                            <a:noFill/>
                          </a:ln>
                        </pic:spPr>
                      </pic:pic>
                    </a:graphicData>
                  </a:graphic>
                </wp:inline>
              </w:drawing>
            </w:r>
          </w:p>
          <w:p w14:paraId="2AB2D782" w14:textId="2D6EF847" w:rsidR="00AC60DC" w:rsidRDefault="00AC60DC" w:rsidP="00832C2B">
            <w:pPr>
              <w:jc w:val="center"/>
              <w:rPr>
                <w:lang w:val="en-GB"/>
              </w:rPr>
            </w:pPr>
            <w:r>
              <w:rPr>
                <w:noProof/>
              </w:rPr>
              <w:t>Petites fleurs blanches</w:t>
            </w:r>
          </w:p>
        </w:tc>
        <w:tc>
          <w:tcPr>
            <w:tcW w:w="3055" w:type="dxa"/>
          </w:tcPr>
          <w:p w14:paraId="2A026BCC" w14:textId="3316FD83" w:rsidR="007E794A" w:rsidRDefault="000170B4" w:rsidP="00832C2B">
            <w:pPr>
              <w:jc w:val="center"/>
              <w:rPr>
                <w:lang w:val="en-GB"/>
              </w:rPr>
            </w:pPr>
            <w:r>
              <w:rPr>
                <w:noProof/>
              </w:rPr>
              <w:drawing>
                <wp:inline distT="0" distB="0" distL="0" distR="0" wp14:anchorId="601BD711" wp14:editId="11CC2531">
                  <wp:extent cx="1920171" cy="1438275"/>
                  <wp:effectExtent l="0" t="0" r="4445" b="0"/>
                  <wp:docPr id="195601" name="Image 195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160">
                            <a:extLst>
                              <a:ext uri="{28A0092B-C50C-407E-A947-70E740481C1C}">
                                <a14:useLocalDpi xmlns:a14="http://schemas.microsoft.com/office/drawing/2010/main" val="0"/>
                              </a:ext>
                            </a:extLst>
                          </a:blip>
                          <a:srcRect/>
                          <a:stretch>
                            <a:fillRect/>
                          </a:stretch>
                        </pic:blipFill>
                        <pic:spPr bwMode="auto">
                          <a:xfrm>
                            <a:off x="0" y="0"/>
                            <a:ext cx="1926693" cy="1443160"/>
                          </a:xfrm>
                          <a:prstGeom prst="rect">
                            <a:avLst/>
                          </a:prstGeom>
                          <a:noFill/>
                          <a:ln>
                            <a:noFill/>
                          </a:ln>
                        </pic:spPr>
                      </pic:pic>
                    </a:graphicData>
                  </a:graphic>
                </wp:inline>
              </w:drawing>
            </w:r>
          </w:p>
        </w:tc>
      </w:tr>
      <w:tr w:rsidR="00AB0CFA" w14:paraId="58E35221" w14:textId="77777777" w:rsidTr="00AC60DC">
        <w:tc>
          <w:tcPr>
            <w:tcW w:w="3306" w:type="dxa"/>
          </w:tcPr>
          <w:p w14:paraId="2D7E82CE" w14:textId="6681626E" w:rsidR="00AB0CFA" w:rsidRDefault="00AB0CFA" w:rsidP="00832C2B">
            <w:pPr>
              <w:jc w:val="center"/>
              <w:rPr>
                <w:noProof/>
              </w:rPr>
            </w:pPr>
            <w:r w:rsidRPr="00AB0CFA">
              <w:rPr>
                <w:noProof/>
              </w:rPr>
              <w:lastRenderedPageBreak/>
              <w:drawing>
                <wp:inline distT="0" distB="0" distL="0" distR="0" wp14:anchorId="0CAA11AC" wp14:editId="7374A2B0">
                  <wp:extent cx="1638300" cy="1638300"/>
                  <wp:effectExtent l="0" t="0" r="0" b="0"/>
                  <wp:docPr id="199694" name="Picture 6" descr="C:\Users\LISAN\Pictures\plantes-halophytes-xerophiles\Lumnitzera racemo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94" name="Picture 6" descr="C:\Users\LISAN\Pictures\plantes-halophytes-xerophiles\Lumnitzera racemosa.jpg"/>
                          <pic:cNvPicPr>
                            <a:picLocks noChangeAspect="1" noChangeArrowheads="1"/>
                          </pic:cNvPicPr>
                        </pic:nvPicPr>
                        <pic:blipFill>
                          <a:blip r:embed="rId1161">
                            <a:extLst>
                              <a:ext uri="{28A0092B-C50C-407E-A947-70E740481C1C}">
                                <a14:useLocalDpi xmlns:a14="http://schemas.microsoft.com/office/drawing/2010/main" val="0"/>
                              </a:ext>
                            </a:extLst>
                          </a:blip>
                          <a:srcRect/>
                          <a:stretch>
                            <a:fillRect/>
                          </a:stretch>
                        </pic:blipFill>
                        <pic:spPr bwMode="auto">
                          <a:xfrm>
                            <a:off x="0" y="0"/>
                            <a:ext cx="1638300" cy="1638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4065" w:type="dxa"/>
          </w:tcPr>
          <w:p w14:paraId="55E5EC19" w14:textId="35008FE9" w:rsidR="00AB0CFA" w:rsidRDefault="00AC60DC" w:rsidP="00832C2B">
            <w:pPr>
              <w:jc w:val="center"/>
              <w:rPr>
                <w:noProof/>
              </w:rPr>
            </w:pPr>
            <w:r w:rsidRPr="00AC60DC">
              <w:rPr>
                <w:noProof/>
              </w:rPr>
              <w:drawing>
                <wp:inline distT="0" distB="0" distL="0" distR="0" wp14:anchorId="0E12DAD4" wp14:editId="4AA1D78B">
                  <wp:extent cx="1114139" cy="1079322"/>
                  <wp:effectExtent l="0" t="0" r="0" b="6985"/>
                  <wp:docPr id="195612"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21"/>
                          <pic:cNvPicPr>
                            <a:picLocks noChangeAspect="1"/>
                          </pic:cNvPicPr>
                        </pic:nvPicPr>
                        <pic:blipFill>
                          <a:blip r:embed="rId1162">
                            <a:extLst>
                              <a:ext uri="{28A0092B-C50C-407E-A947-70E740481C1C}">
                                <a14:useLocalDpi xmlns:a14="http://schemas.microsoft.com/office/drawing/2010/main" val="0"/>
                              </a:ext>
                            </a:extLst>
                          </a:blip>
                          <a:srcRect/>
                          <a:stretch>
                            <a:fillRect/>
                          </a:stretch>
                        </pic:blipFill>
                        <pic:spPr bwMode="auto">
                          <a:xfrm>
                            <a:off x="0" y="0"/>
                            <a:ext cx="1117402" cy="1082483"/>
                          </a:xfrm>
                          <a:prstGeom prst="rect">
                            <a:avLst/>
                          </a:prstGeom>
                          <a:noFill/>
                          <a:ln>
                            <a:noFill/>
                          </a:ln>
                        </pic:spPr>
                      </pic:pic>
                    </a:graphicData>
                  </a:graphic>
                </wp:inline>
              </w:drawing>
            </w:r>
            <w:r>
              <w:rPr>
                <w:noProof/>
              </w:rPr>
              <w:t xml:space="preserve"> </w:t>
            </w:r>
            <w:r w:rsidRPr="00AC60DC">
              <w:rPr>
                <w:noProof/>
              </w:rPr>
              <w:drawing>
                <wp:inline distT="0" distB="0" distL="0" distR="0" wp14:anchorId="73697C2D" wp14:editId="22E48CF6">
                  <wp:extent cx="1114425" cy="1051739"/>
                  <wp:effectExtent l="0" t="0" r="0" b="0"/>
                  <wp:docPr id="195613"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9"/>
                          <pic:cNvPicPr>
                            <a:picLocks noChangeAspect="1"/>
                          </pic:cNvPicPr>
                        </pic:nvPicPr>
                        <pic:blipFill>
                          <a:blip r:embed="rId1163">
                            <a:extLst>
                              <a:ext uri="{28A0092B-C50C-407E-A947-70E740481C1C}">
                                <a14:useLocalDpi xmlns:a14="http://schemas.microsoft.com/office/drawing/2010/main" val="0"/>
                              </a:ext>
                            </a:extLst>
                          </a:blip>
                          <a:srcRect/>
                          <a:stretch>
                            <a:fillRect/>
                          </a:stretch>
                        </pic:blipFill>
                        <pic:spPr bwMode="auto">
                          <a:xfrm>
                            <a:off x="0" y="0"/>
                            <a:ext cx="1124376" cy="1061131"/>
                          </a:xfrm>
                          <a:prstGeom prst="rect">
                            <a:avLst/>
                          </a:prstGeom>
                          <a:noFill/>
                          <a:ln>
                            <a:noFill/>
                          </a:ln>
                        </pic:spPr>
                      </pic:pic>
                    </a:graphicData>
                  </a:graphic>
                </wp:inline>
              </w:drawing>
            </w:r>
          </w:p>
          <w:p w14:paraId="719DAF9D" w14:textId="436E98FE" w:rsidR="00AC60DC" w:rsidRDefault="00AC60DC" w:rsidP="00832C2B">
            <w:pPr>
              <w:jc w:val="center"/>
              <w:rPr>
                <w:noProof/>
              </w:rPr>
            </w:pPr>
            <w:r>
              <w:rPr>
                <w:noProof/>
              </w:rPr>
              <w:t>Feuilles</w:t>
            </w:r>
          </w:p>
          <w:p w14:paraId="696CD59A" w14:textId="2E6D5AB5" w:rsidR="00AC60DC" w:rsidRDefault="00AC60DC" w:rsidP="00832C2B">
            <w:pPr>
              <w:jc w:val="center"/>
              <w:rPr>
                <w:noProof/>
              </w:rPr>
            </w:pPr>
          </w:p>
        </w:tc>
        <w:tc>
          <w:tcPr>
            <w:tcW w:w="3055" w:type="dxa"/>
          </w:tcPr>
          <w:p w14:paraId="3170654C" w14:textId="77777777" w:rsidR="00AB0CFA" w:rsidRDefault="00AC60DC" w:rsidP="00832C2B">
            <w:pPr>
              <w:jc w:val="center"/>
              <w:rPr>
                <w:noProof/>
              </w:rPr>
            </w:pPr>
            <w:r w:rsidRPr="00AC60DC">
              <w:rPr>
                <w:noProof/>
              </w:rPr>
              <w:drawing>
                <wp:inline distT="0" distB="0" distL="0" distR="0" wp14:anchorId="0A4EC06F" wp14:editId="0A390911">
                  <wp:extent cx="1524000" cy="1285875"/>
                  <wp:effectExtent l="0" t="0" r="0" b="9525"/>
                  <wp:docPr id="195611"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24"/>
                          <pic:cNvPicPr>
                            <a:picLocks noChangeAspect="1"/>
                          </pic:cNvPicPr>
                        </pic:nvPicPr>
                        <pic:blipFill>
                          <a:blip r:embed="rId1164">
                            <a:extLst>
                              <a:ext uri="{28A0092B-C50C-407E-A947-70E740481C1C}">
                                <a14:useLocalDpi xmlns:a14="http://schemas.microsoft.com/office/drawing/2010/main" val="0"/>
                              </a:ext>
                            </a:extLst>
                          </a:blip>
                          <a:srcRect/>
                          <a:stretch>
                            <a:fillRect/>
                          </a:stretch>
                        </pic:blipFill>
                        <pic:spPr bwMode="auto">
                          <a:xfrm>
                            <a:off x="0" y="0"/>
                            <a:ext cx="1524000" cy="1285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F4B5AB4" w14:textId="1AC8B0EC" w:rsidR="00AC60DC" w:rsidRDefault="00AC60DC" w:rsidP="00832C2B">
            <w:pPr>
              <w:jc w:val="center"/>
              <w:rPr>
                <w:noProof/>
              </w:rPr>
            </w:pPr>
            <w:r>
              <w:rPr>
                <w:noProof/>
              </w:rPr>
              <w:t>Fruits verts caduques.</w:t>
            </w:r>
          </w:p>
        </w:tc>
      </w:tr>
    </w:tbl>
    <w:p w14:paraId="4544EDA0" w14:textId="0077A7EA" w:rsidR="005E41EA" w:rsidRDefault="005E41EA" w:rsidP="00832C2B">
      <w:pPr>
        <w:spacing w:after="0" w:line="240" w:lineRule="auto"/>
        <w:jc w:val="center"/>
        <w:rPr>
          <w:lang w:val="en-GB"/>
        </w:rPr>
      </w:pPr>
    </w:p>
    <w:p w14:paraId="0971696B" w14:textId="49BA535C" w:rsidR="009F00C7" w:rsidRPr="00542512" w:rsidRDefault="00542512" w:rsidP="00D87D3F">
      <w:pPr>
        <w:pStyle w:val="Titre2"/>
      </w:pPr>
      <w:bookmarkStart w:id="133" w:name="_Toc139181424"/>
      <w:r w:rsidRPr="00542512">
        <w:t>Palétuvier rouge (</w:t>
      </w:r>
      <w:r w:rsidRPr="00D87D3F">
        <w:rPr>
          <w:i/>
          <w:iCs/>
        </w:rPr>
        <w:t>Rhizophora mucronata</w:t>
      </w:r>
      <w:r w:rsidRPr="00542512">
        <w:t>)</w:t>
      </w:r>
      <w:bookmarkEnd w:id="133"/>
    </w:p>
    <w:p w14:paraId="34702B98" w14:textId="5B3EA62C" w:rsidR="009F00C7" w:rsidRPr="00542512" w:rsidRDefault="009F00C7" w:rsidP="009F00C7">
      <w:pPr>
        <w:spacing w:after="0" w:line="240" w:lineRule="auto"/>
      </w:pPr>
    </w:p>
    <w:p w14:paraId="0B6803C5" w14:textId="77777777" w:rsidR="00542512" w:rsidRPr="00542512" w:rsidRDefault="00542512" w:rsidP="00542512">
      <w:pPr>
        <w:spacing w:after="0" w:line="240" w:lineRule="auto"/>
      </w:pPr>
      <w:r w:rsidRPr="00542512">
        <w:rPr>
          <w:u w:val="single"/>
        </w:rPr>
        <w:t>Famille</w:t>
      </w:r>
      <w:r w:rsidRPr="00542512">
        <w:t xml:space="preserve"> : </w:t>
      </w:r>
      <w:r w:rsidRPr="00542512">
        <w:rPr>
          <w:i/>
          <w:iCs/>
        </w:rPr>
        <w:t>Rhizophoraceae</w:t>
      </w:r>
    </w:p>
    <w:p w14:paraId="306560C1" w14:textId="64AA6795" w:rsidR="00542512" w:rsidRPr="00542512" w:rsidRDefault="00542512" w:rsidP="00542512">
      <w:pPr>
        <w:spacing w:after="0" w:line="240" w:lineRule="auto"/>
      </w:pPr>
      <w:r w:rsidRPr="00542512">
        <w:rPr>
          <w:u w:val="single"/>
        </w:rPr>
        <w:t>Synonyme</w:t>
      </w:r>
      <w:r w:rsidRPr="00542512">
        <w:t xml:space="preserve"> : Tanga marotagna</w:t>
      </w:r>
      <w:r w:rsidR="0089021A">
        <w:t xml:space="preserve"> (malgache)</w:t>
      </w:r>
      <w:r w:rsidRPr="00542512">
        <w:t>, palétuvier rouge.</w:t>
      </w:r>
    </w:p>
    <w:p w14:paraId="3C3D8AD4" w14:textId="689FCACC" w:rsidR="00542512" w:rsidRPr="00542512" w:rsidRDefault="00542512" w:rsidP="00A22F2A">
      <w:pPr>
        <w:spacing w:after="0" w:line="240" w:lineRule="auto"/>
        <w:jc w:val="both"/>
        <w:rPr>
          <w:rFonts w:ascii="Calibri" w:hAnsi="Calibri" w:cs="Calibri"/>
        </w:rPr>
      </w:pPr>
      <w:r w:rsidRPr="00542512">
        <w:rPr>
          <w:u w:val="single"/>
        </w:rPr>
        <w:t>Écologie</w:t>
      </w:r>
      <w:r w:rsidRPr="00542512">
        <w:t xml:space="preserve"> :</w:t>
      </w:r>
      <w:r w:rsidR="00C77496">
        <w:t xml:space="preserve"> </w:t>
      </w:r>
      <w:r w:rsidR="00A22F2A" w:rsidRPr="00A22F2A">
        <w:t xml:space="preserve">Il pousse à l'intérieur de la mangrove de l'Asie du Sud-Est, juste derrière les premiers arbustes et arbres colonisateurs du genre </w:t>
      </w:r>
      <w:r w:rsidR="00A22F2A" w:rsidRPr="00A22F2A">
        <w:rPr>
          <w:i/>
          <w:iCs/>
        </w:rPr>
        <w:t>Sonneratia</w:t>
      </w:r>
      <w:r w:rsidR="00A22F2A" w:rsidRPr="00A22F2A">
        <w:t xml:space="preserve"> et les palétuviers noirs du genre </w:t>
      </w:r>
      <w:r w:rsidR="00A22F2A" w:rsidRPr="00A22F2A">
        <w:rPr>
          <w:i/>
          <w:iCs/>
        </w:rPr>
        <w:t>Avicennia</w:t>
      </w:r>
      <w:r w:rsidR="00A22F2A" w:rsidRPr="00A22F2A">
        <w:t xml:space="preserve"> qui poussent près de la mer, au niveau des basses-eaux.</w:t>
      </w:r>
      <w:r w:rsidR="00A22F2A">
        <w:t xml:space="preserve"> </w:t>
      </w:r>
      <w:r w:rsidR="00A22F2A" w:rsidRPr="00A22F2A">
        <w:rPr>
          <w:rFonts w:ascii="Calibri" w:hAnsi="Calibri" w:cs="Calibri"/>
          <w:shd w:val="clear" w:color="auto" w:fill="FFFFFF"/>
        </w:rPr>
        <w:t>L'habitat naturel de </w:t>
      </w:r>
      <w:r w:rsidR="00A22F2A" w:rsidRPr="00A22F2A">
        <w:rPr>
          <w:rFonts w:ascii="Calibri" w:hAnsi="Calibri" w:cs="Calibri"/>
          <w:i/>
          <w:iCs/>
          <w:shd w:val="clear" w:color="auto" w:fill="FFFFFF"/>
        </w:rPr>
        <w:t>Rhizophora mucronata</w:t>
      </w:r>
      <w:r w:rsidR="00A22F2A" w:rsidRPr="00A22F2A">
        <w:rPr>
          <w:rFonts w:ascii="Calibri" w:hAnsi="Calibri" w:cs="Calibri"/>
          <w:shd w:val="clear" w:color="auto" w:fill="FFFFFF"/>
        </w:rPr>
        <w:t> est constitué d'estuaires, de criques de marée et de zones côtières plates soumises à des crues quotidiennes. Il semble être plus tolérant aux inondations que les autres espèces de mangrove et forme souvent une frange à feuilles persistantes dans les zones de mangrove. Il se présente parfois en peuplement pur ou peut pousser avec </w:t>
      </w:r>
      <w:hyperlink r:id="rId1165" w:tooltip="Rhizophora apiculata" w:history="1">
        <w:r w:rsidR="00A22F2A" w:rsidRPr="00A22F2A">
          <w:rPr>
            <w:rStyle w:val="Lienhypertexte"/>
            <w:rFonts w:ascii="Calibri" w:hAnsi="Calibri" w:cs="Calibri"/>
            <w:i/>
            <w:iCs/>
            <w:color w:val="0645AD"/>
            <w:shd w:val="clear" w:color="auto" w:fill="FFFFFF"/>
          </w:rPr>
          <w:t>Rhizophora apiculata</w:t>
        </w:r>
      </w:hyperlink>
      <w:r w:rsidR="00A22F2A" w:rsidRPr="00A22F2A">
        <w:rPr>
          <w:rFonts w:ascii="Calibri" w:hAnsi="Calibri" w:cs="Calibri"/>
          <w:color w:val="202122"/>
          <w:shd w:val="clear" w:color="auto" w:fill="FFFFFF"/>
        </w:rPr>
        <w:t>.</w:t>
      </w:r>
      <w:r w:rsidR="00A22F2A">
        <w:rPr>
          <w:rFonts w:ascii="Calibri" w:hAnsi="Calibri" w:cs="Calibri"/>
          <w:color w:val="202122"/>
          <w:shd w:val="clear" w:color="auto" w:fill="FFFFFF"/>
        </w:rPr>
        <w:t xml:space="preserve"> </w:t>
      </w:r>
      <w:r w:rsidR="00A22F2A" w:rsidRPr="00A22F2A">
        <w:rPr>
          <w:rFonts w:ascii="Calibri" w:hAnsi="Calibri" w:cs="Calibri"/>
          <w:shd w:val="clear" w:color="auto" w:fill="FFFFFF"/>
        </w:rPr>
        <w:t>Les plantules sont souvent endommagées par les crabes. Les feuilles sont également mangées par les crabes</w:t>
      </w:r>
      <w:r w:rsidR="00A22F2A" w:rsidRPr="00A22F2A">
        <w:rPr>
          <w:rFonts w:ascii="Calibri" w:hAnsi="Calibri" w:cs="Calibri"/>
          <w:shd w:val="clear" w:color="auto" w:fill="FFFFFF"/>
          <w:vertAlign w:val="superscript"/>
        </w:rPr>
        <w:t xml:space="preserve"> </w:t>
      </w:r>
      <w:r w:rsidR="00A22F2A" w:rsidRPr="00A22F2A">
        <w:rPr>
          <w:rFonts w:ascii="Calibri" w:hAnsi="Calibri" w:cs="Calibri"/>
          <w:shd w:val="clear" w:color="auto" w:fill="FFFFFF"/>
        </w:rPr>
        <w:t>et font partie du régime alimentaire du </w:t>
      </w:r>
      <w:hyperlink r:id="rId1166" w:tooltip="Macaque crabier" w:history="1">
        <w:r w:rsidR="00A22F2A" w:rsidRPr="00A22F2A">
          <w:rPr>
            <w:rStyle w:val="Lienhypertexte"/>
            <w:rFonts w:ascii="Calibri" w:hAnsi="Calibri" w:cs="Calibri"/>
            <w:color w:val="0645AD"/>
            <w:shd w:val="clear" w:color="auto" w:fill="FFFFFF"/>
          </w:rPr>
          <w:t>macaque mangeur de crabes</w:t>
        </w:r>
      </w:hyperlink>
      <w:r w:rsidR="00A22F2A" w:rsidRPr="00A22F2A">
        <w:rPr>
          <w:rFonts w:ascii="Calibri" w:hAnsi="Calibri" w:cs="Calibri"/>
          <w:color w:val="202122"/>
          <w:shd w:val="clear" w:color="auto" w:fill="FFFFFF"/>
        </w:rPr>
        <w:t> </w:t>
      </w:r>
      <w:r w:rsidR="00A22F2A" w:rsidRPr="00A22F2A">
        <w:rPr>
          <w:rFonts w:ascii="Calibri" w:hAnsi="Calibri" w:cs="Calibri"/>
          <w:shd w:val="clear" w:color="auto" w:fill="FFFFFF"/>
        </w:rPr>
        <w:t>(</w:t>
      </w:r>
      <w:r w:rsidR="00A22F2A" w:rsidRPr="00A22F2A">
        <w:rPr>
          <w:rFonts w:ascii="Calibri" w:hAnsi="Calibri" w:cs="Calibri"/>
          <w:i/>
          <w:iCs/>
          <w:shd w:val="clear" w:color="auto" w:fill="FFFFFF"/>
        </w:rPr>
        <w:t>Macaca irus</w:t>
      </w:r>
      <w:r w:rsidR="00A22F2A" w:rsidRPr="00A22F2A">
        <w:rPr>
          <w:rFonts w:ascii="Calibri" w:hAnsi="Calibri" w:cs="Calibri"/>
          <w:shd w:val="clear" w:color="auto" w:fill="FFFFFF"/>
        </w:rPr>
        <w:t>). L'arbre est attaqué par le coléoptère </w:t>
      </w:r>
      <w:hyperlink r:id="rId1167" w:tooltip="Poecilus fallax (la page n'existe pas)" w:history="1">
        <w:r w:rsidR="00A22F2A" w:rsidRPr="00A22F2A">
          <w:rPr>
            <w:rStyle w:val="Lienhypertexte"/>
            <w:rFonts w:ascii="Calibri" w:hAnsi="Calibri" w:cs="Calibri"/>
            <w:i/>
            <w:iCs/>
            <w:color w:val="DD3333"/>
            <w:shd w:val="clear" w:color="auto" w:fill="FFFFFF"/>
          </w:rPr>
          <w:t>Poecilus fallax</w:t>
        </w:r>
      </w:hyperlink>
      <w:r w:rsidR="00A22F2A" w:rsidRPr="00A22F2A">
        <w:rPr>
          <w:rFonts w:ascii="Calibri" w:hAnsi="Calibri" w:cs="Calibri"/>
          <w:color w:val="202122"/>
          <w:shd w:val="clear" w:color="auto" w:fill="FFFFFF"/>
        </w:rPr>
        <w:t>. </w:t>
      </w:r>
      <w:r w:rsidR="00A22F2A" w:rsidRPr="00A22F2A">
        <w:rPr>
          <w:rFonts w:ascii="Calibri" w:hAnsi="Calibri" w:cs="Calibri"/>
          <w:shd w:val="clear" w:color="auto" w:fill="FFFFFF"/>
        </w:rPr>
        <w:t>Dans le </w:t>
      </w:r>
      <w:hyperlink r:id="rId1168" w:tooltip="Sanctuaire d'oiseaux de Mangalavanam" w:history="1">
        <w:r w:rsidR="00A22F2A" w:rsidRPr="00A22F2A">
          <w:rPr>
            <w:rStyle w:val="Lienhypertexte"/>
            <w:rFonts w:ascii="Calibri" w:hAnsi="Calibri" w:cs="Calibri"/>
            <w:color w:val="0645AD"/>
            <w:shd w:val="clear" w:color="auto" w:fill="FFFFFF"/>
          </w:rPr>
          <w:t>sanctuaire d'oiseaux de Mangalavanam</w:t>
        </w:r>
      </w:hyperlink>
      <w:r w:rsidR="00A22F2A" w:rsidRPr="00A22F2A">
        <w:rPr>
          <w:rFonts w:ascii="Calibri" w:hAnsi="Calibri" w:cs="Calibri"/>
          <w:color w:val="202122"/>
          <w:shd w:val="clear" w:color="auto" w:fill="FFFFFF"/>
        </w:rPr>
        <w:t> </w:t>
      </w:r>
      <w:r w:rsidR="00A22F2A" w:rsidRPr="00A22F2A">
        <w:rPr>
          <w:rFonts w:ascii="Calibri" w:hAnsi="Calibri" w:cs="Calibri"/>
          <w:shd w:val="clear" w:color="auto" w:fill="FFFFFF"/>
        </w:rPr>
        <w:t>près de </w:t>
      </w:r>
      <w:hyperlink r:id="rId1169" w:tooltip="Cochin" w:history="1">
        <w:r w:rsidR="00A22F2A" w:rsidRPr="00A22F2A">
          <w:rPr>
            <w:rStyle w:val="Lienhypertexte"/>
            <w:rFonts w:ascii="Calibri" w:hAnsi="Calibri" w:cs="Calibri"/>
            <w:color w:val="0645AD"/>
            <w:shd w:val="clear" w:color="auto" w:fill="FFFFFF"/>
          </w:rPr>
          <w:t>Cochin</w:t>
        </w:r>
      </w:hyperlink>
      <w:r w:rsidR="00A22F2A" w:rsidRPr="00A22F2A">
        <w:rPr>
          <w:rFonts w:ascii="Calibri" w:hAnsi="Calibri" w:cs="Calibri"/>
          <w:shd w:val="clear" w:color="auto" w:fill="FFFFFF"/>
        </w:rPr>
        <w:t>, en Inde, il pousse en association avec la mangrove </w:t>
      </w:r>
      <w:hyperlink r:id="rId1170" w:tooltip="Avicennia officinalis" w:history="1">
        <w:r w:rsidR="00A22F2A" w:rsidRPr="00A22F2A">
          <w:rPr>
            <w:rStyle w:val="Lienhypertexte"/>
            <w:rFonts w:ascii="Calibri" w:hAnsi="Calibri" w:cs="Calibri"/>
            <w:i/>
            <w:iCs/>
            <w:color w:val="0645AD"/>
            <w:shd w:val="clear" w:color="auto" w:fill="FFFFFF"/>
          </w:rPr>
          <w:t>Avicennia officinalis</w:t>
        </w:r>
      </w:hyperlink>
      <w:r w:rsidR="00A22F2A" w:rsidRPr="00A22F2A">
        <w:rPr>
          <w:rFonts w:ascii="Calibri" w:hAnsi="Calibri" w:cs="Calibri"/>
          <w:color w:val="202122"/>
          <w:shd w:val="clear" w:color="auto" w:fill="FFFFFF"/>
        </w:rPr>
        <w:t>, la </w:t>
      </w:r>
      <w:hyperlink r:id="rId1171" w:tooltip="Acrostiche aureum" w:history="1">
        <w:r w:rsidR="00A22F2A" w:rsidRPr="00A22F2A">
          <w:rPr>
            <w:rStyle w:val="Lienhypertexte"/>
            <w:rFonts w:ascii="Calibri" w:hAnsi="Calibri" w:cs="Calibri"/>
            <w:color w:val="0645AD"/>
            <w:shd w:val="clear" w:color="auto" w:fill="FFFFFF"/>
          </w:rPr>
          <w:t>fougère doré</w:t>
        </w:r>
      </w:hyperlink>
      <w:r w:rsidR="00E9284B">
        <w:rPr>
          <w:rFonts w:ascii="Calibri" w:hAnsi="Calibri" w:cs="Calibri"/>
          <w:color w:val="202122"/>
          <w:shd w:val="clear" w:color="auto" w:fill="FFFFFF"/>
        </w:rPr>
        <w:t>,</w:t>
      </w:r>
      <w:r w:rsidR="00E9284B" w:rsidRPr="00E9284B">
        <w:rPr>
          <w:rFonts w:ascii="Calibri" w:hAnsi="Calibri" w:cs="Calibri"/>
          <w:shd w:val="clear" w:color="auto" w:fill="FFFFFF"/>
        </w:rPr>
        <w:t xml:space="preserve"> fougère des marais</w:t>
      </w:r>
      <w:r w:rsidR="00E9284B">
        <w:rPr>
          <w:rFonts w:ascii="Calibri" w:hAnsi="Calibri" w:cs="Calibri"/>
          <w:shd w:val="clear" w:color="auto" w:fill="FFFFFF"/>
        </w:rPr>
        <w:t xml:space="preserve"> ou a</w:t>
      </w:r>
      <w:r w:rsidR="00E9284B" w:rsidRPr="00E9284B">
        <w:rPr>
          <w:rFonts w:ascii="Calibri" w:hAnsi="Calibri" w:cs="Calibri"/>
          <w:shd w:val="clear" w:color="auto" w:fill="FFFFFF"/>
        </w:rPr>
        <w:t xml:space="preserve">crostic doré </w:t>
      </w:r>
      <w:r w:rsidR="00A22F2A" w:rsidRPr="00A22F2A">
        <w:rPr>
          <w:rFonts w:ascii="Calibri" w:hAnsi="Calibri" w:cs="Calibri"/>
          <w:shd w:val="clear" w:color="auto" w:fill="FFFFFF"/>
        </w:rPr>
        <w:t>(</w:t>
      </w:r>
      <w:r w:rsidR="00A22F2A" w:rsidRPr="00A22F2A">
        <w:rPr>
          <w:rFonts w:ascii="Calibri" w:hAnsi="Calibri" w:cs="Calibri"/>
          <w:i/>
          <w:iCs/>
          <w:shd w:val="clear" w:color="auto" w:fill="FFFFFF"/>
        </w:rPr>
        <w:t>Acrostichum aureum</w:t>
      </w:r>
      <w:r w:rsidR="00A22F2A" w:rsidRPr="00A22F2A">
        <w:rPr>
          <w:rFonts w:ascii="Calibri" w:hAnsi="Calibri" w:cs="Calibri"/>
          <w:shd w:val="clear" w:color="auto" w:fill="FFFFFF"/>
        </w:rPr>
        <w:t xml:space="preserve">) </w:t>
      </w:r>
      <w:r w:rsidR="00A22F2A" w:rsidRPr="00A22F2A">
        <w:rPr>
          <w:rFonts w:ascii="Calibri" w:hAnsi="Calibri" w:cs="Calibri"/>
          <w:color w:val="202122"/>
          <w:shd w:val="clear" w:color="auto" w:fill="FFFFFF"/>
        </w:rPr>
        <w:t>et l</w:t>
      </w:r>
      <w:r w:rsidR="00E9284B">
        <w:rPr>
          <w:rFonts w:ascii="Calibri" w:hAnsi="Calibri" w:cs="Calibri"/>
          <w:color w:val="202122"/>
          <w:shd w:val="clear" w:color="auto" w:fill="FFFFFF"/>
        </w:rPr>
        <w:t>’acanthe à feuilles de houx</w:t>
      </w:r>
      <w:r w:rsidR="00A22F2A" w:rsidRPr="00A22F2A">
        <w:rPr>
          <w:rFonts w:ascii="Calibri" w:hAnsi="Calibri" w:cs="Calibri"/>
          <w:color w:val="202122"/>
          <w:shd w:val="clear" w:color="auto" w:fill="FFFFFF"/>
        </w:rPr>
        <w:t> </w:t>
      </w:r>
      <w:r w:rsidR="00A22F2A" w:rsidRPr="00A22F2A">
        <w:rPr>
          <w:rFonts w:ascii="Calibri" w:hAnsi="Calibri" w:cs="Calibri"/>
          <w:shd w:val="clear" w:color="auto" w:fill="FFFFFF"/>
        </w:rPr>
        <w:t>(</w:t>
      </w:r>
      <w:r w:rsidR="00A22F2A" w:rsidRPr="00A22F2A">
        <w:rPr>
          <w:rFonts w:ascii="Calibri" w:hAnsi="Calibri" w:cs="Calibri"/>
          <w:i/>
          <w:iCs/>
          <w:shd w:val="clear" w:color="auto" w:fill="FFFFFF"/>
        </w:rPr>
        <w:t>Acanthus ilicifolius</w:t>
      </w:r>
      <w:r w:rsidR="00A22F2A" w:rsidRPr="00A22F2A">
        <w:rPr>
          <w:rFonts w:ascii="Calibri" w:hAnsi="Calibri" w:cs="Calibri"/>
          <w:shd w:val="clear" w:color="auto" w:fill="FFFFFF"/>
        </w:rPr>
        <w:t>).</w:t>
      </w:r>
    </w:p>
    <w:p w14:paraId="2003C221" w14:textId="21B56786" w:rsidR="00542512" w:rsidRPr="00542512" w:rsidRDefault="00542512" w:rsidP="00542512">
      <w:pPr>
        <w:spacing w:after="0" w:line="240" w:lineRule="auto"/>
      </w:pPr>
      <w:r w:rsidRPr="00542512">
        <w:rPr>
          <w:u w:val="single"/>
        </w:rPr>
        <w:t>Salinité</w:t>
      </w:r>
      <w:r w:rsidRPr="00542512">
        <w:t xml:space="preserve"> : </w:t>
      </w:r>
      <w:r w:rsidR="005365DA" w:rsidRPr="005365DA">
        <w:t>Forte (7,753 à 42,410</w:t>
      </w:r>
      <w:r w:rsidR="005365DA">
        <w:t xml:space="preserve"> </w:t>
      </w:r>
      <w:r w:rsidR="005365DA" w:rsidRPr="005365DA">
        <w:t>g/l)</w:t>
      </w:r>
      <w:r w:rsidR="005365DA">
        <w:t>.</w:t>
      </w:r>
    </w:p>
    <w:p w14:paraId="4B3B4108" w14:textId="638AD54E" w:rsidR="00542512" w:rsidRPr="00542512" w:rsidRDefault="00542512" w:rsidP="00542512">
      <w:pPr>
        <w:spacing w:after="0" w:line="240" w:lineRule="auto"/>
      </w:pPr>
      <w:r w:rsidRPr="00542512">
        <w:rPr>
          <w:u w:val="single"/>
        </w:rPr>
        <w:t>PH</w:t>
      </w:r>
      <w:r w:rsidRPr="00542512">
        <w:t xml:space="preserve"> : 6,6-7,7</w:t>
      </w:r>
      <w:r w:rsidR="005365DA">
        <w:t xml:space="preserve">. </w:t>
      </w:r>
    </w:p>
    <w:p w14:paraId="3B3AAFF7" w14:textId="006FBC1D" w:rsidR="00542512" w:rsidRPr="00542512" w:rsidRDefault="00542512" w:rsidP="00542512">
      <w:pPr>
        <w:spacing w:after="0" w:line="240" w:lineRule="auto"/>
      </w:pPr>
      <w:r w:rsidRPr="00542512">
        <w:rPr>
          <w:u w:val="single"/>
        </w:rPr>
        <w:t>Zonation</w:t>
      </w:r>
      <w:r w:rsidRPr="00542512">
        <w:t xml:space="preserve"> : immersion quo</w:t>
      </w:r>
      <w:r w:rsidR="00C77496">
        <w:t>.</w:t>
      </w:r>
    </w:p>
    <w:p w14:paraId="557D6B53" w14:textId="4D82ACD6" w:rsidR="00542512" w:rsidRPr="00542512" w:rsidRDefault="00542512" w:rsidP="00C77496">
      <w:pPr>
        <w:spacing w:after="0" w:line="240" w:lineRule="auto"/>
        <w:jc w:val="both"/>
      </w:pPr>
      <w:r w:rsidRPr="00542512">
        <w:rPr>
          <w:u w:val="single"/>
        </w:rPr>
        <w:t>Plantule</w:t>
      </w:r>
      <w:r w:rsidRPr="00542512">
        <w:t xml:space="preserve"> : propagule germée</w:t>
      </w:r>
      <w:r w:rsidR="00C77496">
        <w:t>.</w:t>
      </w:r>
      <w:r w:rsidR="00A22F2A">
        <w:t xml:space="preserve"> </w:t>
      </w:r>
      <w:r w:rsidR="00A22F2A" w:rsidRPr="00A22F2A">
        <w:t>L'espèce se régénère facilement à partir de graines.</w:t>
      </w:r>
      <w:r w:rsidR="00C77496">
        <w:t xml:space="preserve"> </w:t>
      </w:r>
      <w:r w:rsidR="00C77496" w:rsidRPr="00C77496">
        <w:t>L'espèce se reproduit via la germination de propagules et se disperse par hydrochorie, c’est-à-dire grâce à l’action de marée. Elle est également capable de viviparité en permettant à la propagule de germer en étant toujours accrochée à l’arbre-mère.</w:t>
      </w:r>
    </w:p>
    <w:p w14:paraId="478B2BC3" w14:textId="2AF7AA46" w:rsidR="00542512" w:rsidRPr="00542512" w:rsidRDefault="00542512" w:rsidP="00542512">
      <w:pPr>
        <w:spacing w:after="0" w:line="240" w:lineRule="auto"/>
      </w:pPr>
      <w:r w:rsidRPr="00542512">
        <w:rPr>
          <w:u w:val="single"/>
        </w:rPr>
        <w:t>Plante</w:t>
      </w:r>
      <w:r w:rsidRPr="00542512">
        <w:t xml:space="preserve"> : 10-12 m de hauteur.</w:t>
      </w:r>
      <w:r w:rsidR="00C77496">
        <w:t xml:space="preserve"> </w:t>
      </w:r>
      <w:r w:rsidR="00C77496" w:rsidRPr="00C77496">
        <w:t>Arbre de 7 à 12 m de haut, 10 à 15 cm de diamètre, port droit et à racine échasse.</w:t>
      </w:r>
    </w:p>
    <w:p w14:paraId="411AC529" w14:textId="7A4C0629" w:rsidR="00542512" w:rsidRPr="00542512" w:rsidRDefault="00542512" w:rsidP="00542512">
      <w:pPr>
        <w:spacing w:after="0" w:line="240" w:lineRule="auto"/>
      </w:pPr>
      <w:r w:rsidRPr="00542512">
        <w:rPr>
          <w:u w:val="single"/>
        </w:rPr>
        <w:t>Tronc</w:t>
      </w:r>
      <w:r w:rsidRPr="00542512">
        <w:t xml:space="preserve"> : rugueux</w:t>
      </w:r>
      <w:r w:rsidR="00C77496">
        <w:t>.</w:t>
      </w:r>
    </w:p>
    <w:p w14:paraId="3B0A9042" w14:textId="162289EF" w:rsidR="00542512" w:rsidRPr="00542512" w:rsidRDefault="00542512" w:rsidP="00C154C7">
      <w:pPr>
        <w:spacing w:after="0" w:line="240" w:lineRule="auto"/>
        <w:jc w:val="both"/>
      </w:pPr>
      <w:r w:rsidRPr="00542512">
        <w:rPr>
          <w:u w:val="single"/>
        </w:rPr>
        <w:t>Racines</w:t>
      </w:r>
      <w:r w:rsidRPr="00542512">
        <w:t xml:space="preserve"> : en échasses au</w:t>
      </w:r>
      <w:r w:rsidR="005365DA">
        <w:t>-</w:t>
      </w:r>
      <w:r w:rsidRPr="00542512">
        <w:t>dessus du sol</w:t>
      </w:r>
      <w:r w:rsidR="00C77496">
        <w:t xml:space="preserve">.  </w:t>
      </w:r>
      <w:r w:rsidR="00C77496" w:rsidRPr="00C77496">
        <w:t>L'espèce est reconnaissable à ses hautes racines échasses.</w:t>
      </w:r>
      <w:r w:rsidR="00C154C7">
        <w:t xml:space="preserve"> </w:t>
      </w:r>
      <w:r w:rsidR="00C154C7" w:rsidRPr="00C154C7">
        <w:t>La racine commence à s'allonger et peut atteindre une longueur d'un mètre (yard) ou plus. La propagule se détache alors de la branche lorsqu'elle est suffisamment développée pour s'enraciner dans la vase en dessous.</w:t>
      </w:r>
    </w:p>
    <w:p w14:paraId="1F4D1011" w14:textId="33D39609" w:rsidR="00542512" w:rsidRPr="00542512" w:rsidRDefault="00542512" w:rsidP="00542512">
      <w:pPr>
        <w:spacing w:after="0" w:line="240" w:lineRule="auto"/>
      </w:pPr>
      <w:r w:rsidRPr="00542512">
        <w:rPr>
          <w:u w:val="single"/>
        </w:rPr>
        <w:t>Pneumatophores</w:t>
      </w:r>
      <w:r w:rsidRPr="00542512">
        <w:t xml:space="preserve"> :</w:t>
      </w:r>
      <w:r w:rsidR="00C77496">
        <w:t xml:space="preserve"> non.</w:t>
      </w:r>
    </w:p>
    <w:p w14:paraId="6A6E18B7" w14:textId="59A40EDE" w:rsidR="00542512" w:rsidRPr="00542512" w:rsidRDefault="00542512" w:rsidP="00C34DA8">
      <w:pPr>
        <w:spacing w:after="0" w:line="240" w:lineRule="auto"/>
        <w:jc w:val="both"/>
      </w:pPr>
      <w:r w:rsidRPr="00542512">
        <w:rPr>
          <w:u w:val="single"/>
        </w:rPr>
        <w:t>Feuilles</w:t>
      </w:r>
      <w:r w:rsidRPr="00542512">
        <w:t xml:space="preserve"> : grandes feuilles ovales allongées, opposées, nervure centrale très apparente en relief sur la face inférieure, épaisses, vertes</w:t>
      </w:r>
      <w:r w:rsidR="00C34DA8">
        <w:t xml:space="preserve">. </w:t>
      </w:r>
      <w:r w:rsidR="00C34DA8" w:rsidRPr="00C34DA8">
        <w:t>Les feuilles sont elliptiques et mesurent généralement environ 12 centimètres (4,7 pouces) de long et 6 centimètres (2,4 pouces) de large. Ils ont des pointes allongées mais celles-ci se cassent souvent. Il y a des verrues liégeuses sur le dessous pâle des feuilles.</w:t>
      </w:r>
    </w:p>
    <w:p w14:paraId="1CB71BB2" w14:textId="14123FB7" w:rsidR="00542512" w:rsidRPr="00542512" w:rsidRDefault="00542512" w:rsidP="006748F5">
      <w:pPr>
        <w:spacing w:after="0" w:line="240" w:lineRule="auto"/>
        <w:jc w:val="both"/>
      </w:pPr>
      <w:r w:rsidRPr="00542512">
        <w:rPr>
          <w:u w:val="single"/>
        </w:rPr>
        <w:t>Inflorescences</w:t>
      </w:r>
      <w:r w:rsidRPr="00542512">
        <w:t xml:space="preserve"> : petites fleurs jaunes à 4 sépales et 4 pétales</w:t>
      </w:r>
      <w:r w:rsidR="00C77496">
        <w:t>.</w:t>
      </w:r>
      <w:r w:rsidR="006748F5">
        <w:t xml:space="preserve"> </w:t>
      </w:r>
      <w:r w:rsidR="006748F5" w:rsidRPr="006748F5">
        <w:t>Les fleurs se développent en grappes axillaires sur les rameaux. Chacun a un calice dur de couleur crème avec quatre sépales et quatre pétales blancs et velus.</w:t>
      </w:r>
    </w:p>
    <w:p w14:paraId="37AE2EC4" w14:textId="188CBE98" w:rsidR="00542512" w:rsidRPr="00542512" w:rsidRDefault="00542512" w:rsidP="00542512">
      <w:pPr>
        <w:spacing w:after="0" w:line="240" w:lineRule="auto"/>
      </w:pPr>
      <w:r w:rsidRPr="00542512">
        <w:rPr>
          <w:u w:val="single"/>
        </w:rPr>
        <w:t>Fruits</w:t>
      </w:r>
      <w:r w:rsidRPr="00542512">
        <w:t xml:space="preserve"> : vivipare, les graines germent sur l'arbre formant des propagules</w:t>
      </w:r>
      <w:r w:rsidR="00672646">
        <w:t>. </w:t>
      </w:r>
      <w:r w:rsidR="00672646" w:rsidRPr="00672646">
        <w:t>Les graines sontvivipares et commencent à se développer alors qu'ils sont encore attachés à l'arbre.</w:t>
      </w:r>
    </w:p>
    <w:p w14:paraId="3044EA66" w14:textId="77777777" w:rsidR="00542512" w:rsidRPr="00542512" w:rsidRDefault="00542512" w:rsidP="00542512">
      <w:pPr>
        <w:spacing w:after="0" w:line="240" w:lineRule="auto"/>
      </w:pPr>
      <w:r w:rsidRPr="00542512">
        <w:rPr>
          <w:u w:val="single"/>
        </w:rPr>
        <w:t xml:space="preserve">Période de collecte des propagules </w:t>
      </w:r>
      <w:r w:rsidRPr="00542512">
        <w:t>:</w:t>
      </w:r>
    </w:p>
    <w:p w14:paraId="051DD04D" w14:textId="77777777" w:rsidR="00FA57B1" w:rsidRDefault="00542512" w:rsidP="00594ABA">
      <w:pPr>
        <w:spacing w:after="0" w:line="240" w:lineRule="auto"/>
        <w:jc w:val="both"/>
      </w:pPr>
      <w:r w:rsidRPr="00542512">
        <w:rPr>
          <w:u w:val="single"/>
        </w:rPr>
        <w:t>Utilisation</w:t>
      </w:r>
      <w:r w:rsidRPr="00542512">
        <w:t xml:space="preserve"> : bois de chauffe, mât de pirogue, maison, chaise, table, clôture, roue de charrette, bois de chauffe. </w:t>
      </w:r>
    </w:p>
    <w:p w14:paraId="3A5DDE44" w14:textId="416E77E9" w:rsidR="00CE6A87" w:rsidRDefault="00FA57B1" w:rsidP="00594ABA">
      <w:pPr>
        <w:spacing w:after="0" w:line="240" w:lineRule="auto"/>
        <w:jc w:val="both"/>
        <w:rPr>
          <w:i/>
          <w:iCs/>
        </w:rPr>
      </w:pPr>
      <w:r>
        <w:t xml:space="preserve">  </w:t>
      </w:r>
      <w:r w:rsidR="00542512" w:rsidRPr="00542512">
        <w:rPr>
          <w:i/>
          <w:iCs/>
        </w:rPr>
        <w:t xml:space="preserve">Les jeunes feuilles de Rhizophora sont susceptibles soit d'être mangées bien cuites, soit de servir à donner un goût </w:t>
      </w:r>
    </w:p>
    <w:p w14:paraId="2A69B359" w14:textId="4639CB79" w:rsidR="00CE6A87" w:rsidRDefault="00FA57B1" w:rsidP="00594ABA">
      <w:pPr>
        <w:spacing w:after="0" w:line="240" w:lineRule="auto"/>
        <w:jc w:val="both"/>
      </w:pPr>
      <w:r>
        <w:rPr>
          <w:i/>
          <w:iCs/>
        </w:rPr>
        <w:t xml:space="preserve">  </w:t>
      </w:r>
      <w:r w:rsidR="00542512" w:rsidRPr="00542512">
        <w:rPr>
          <w:i/>
          <w:iCs/>
        </w:rPr>
        <w:t>original à un plat</w:t>
      </w:r>
      <w:r w:rsidR="00542512" w:rsidRPr="00542512">
        <w:t xml:space="preserve">. Elles sont réputées riches en acides aminés, thiamine, riboflavine, acide folique et choline. </w:t>
      </w:r>
    </w:p>
    <w:p w14:paraId="373ACE6C" w14:textId="52135419" w:rsidR="00CE6A87" w:rsidRDefault="00FA57B1" w:rsidP="00594ABA">
      <w:pPr>
        <w:spacing w:after="0" w:line="240" w:lineRule="auto"/>
        <w:jc w:val="both"/>
      </w:pPr>
      <w:r>
        <w:t xml:space="preserve">  </w:t>
      </w:r>
      <w:r w:rsidR="00542512" w:rsidRPr="00542512">
        <w:t xml:space="preserve">En Floride on utilise les feuilles de </w:t>
      </w:r>
      <w:r w:rsidR="00542512" w:rsidRPr="00542512">
        <w:rPr>
          <w:i/>
          <w:iCs/>
        </w:rPr>
        <w:t>Rhizophora</w:t>
      </w:r>
      <w:r w:rsidR="00542512" w:rsidRPr="00542512">
        <w:t xml:space="preserve"> mangle préalablement séchées pour fabriquer le "Maritime Tea". </w:t>
      </w:r>
    </w:p>
    <w:p w14:paraId="5EE112AF" w14:textId="341225A4" w:rsidR="00542512" w:rsidRDefault="00542512" w:rsidP="00594ABA">
      <w:pPr>
        <w:spacing w:after="0" w:line="240" w:lineRule="auto"/>
        <w:jc w:val="both"/>
      </w:pPr>
      <w:r w:rsidRPr="00542512">
        <w:lastRenderedPageBreak/>
        <w:t>Des tablettes protéinées sont élaborées à partir de ces mêmes feuilles (blog Lebigre 2009).</w:t>
      </w:r>
    </w:p>
    <w:p w14:paraId="5F31E700" w14:textId="79D2D5E8" w:rsidR="00594ABA" w:rsidRPr="00542512" w:rsidRDefault="00594ABA" w:rsidP="00594ABA">
      <w:pPr>
        <w:spacing w:after="0" w:line="240" w:lineRule="auto"/>
        <w:jc w:val="both"/>
      </w:pPr>
      <w:r w:rsidRPr="00594ABA">
        <w:t>Il est utilisé pour aider à prévenir l'érosion côtière et dans la restauration des habitats de mangrove. Le bois est utilisé pour le bois de chauffage et dans la construction de bâtiments, comme poteaux et pilotis, et dans la fabrication de pièges à poissons. Les fruits peuvent être cuits et consommés</w:t>
      </w:r>
      <w:r>
        <w:t>,</w:t>
      </w:r>
      <w:r w:rsidRPr="00594ABA">
        <w:t xml:space="preserve"> le jus</w:t>
      </w:r>
      <w:r>
        <w:t xml:space="preserve"> est</w:t>
      </w:r>
      <w:r w:rsidRPr="00594ABA">
        <w:t xml:space="preserve"> extrait pour faire du vin, et les jeunes pousses peuvent être consommées comme légume. L'écorce est utilisée en tannage et un colorant peut être extrait à la fois de l'écorce et des feuilles. Diverses parties de la plante sont utilisées en médecine traditionnelle.</w:t>
      </w:r>
    </w:p>
    <w:p w14:paraId="7B96B649" w14:textId="51B8647F" w:rsidR="00542512" w:rsidRPr="00542512" w:rsidRDefault="00542512" w:rsidP="00542512">
      <w:pPr>
        <w:spacing w:after="0" w:line="240" w:lineRule="auto"/>
      </w:pPr>
      <w:r w:rsidRPr="00542512">
        <w:rPr>
          <w:u w:val="single"/>
        </w:rPr>
        <w:t>Multiplication</w:t>
      </w:r>
      <w:r w:rsidRPr="00542512">
        <w:t xml:space="preserve"> : grandes propagules sans côte</w:t>
      </w:r>
      <w:r w:rsidR="00594ABA">
        <w:t>.</w:t>
      </w:r>
    </w:p>
    <w:p w14:paraId="19C9BD9A" w14:textId="464CF746" w:rsidR="00542512" w:rsidRDefault="00542512" w:rsidP="00542512">
      <w:pPr>
        <w:spacing w:after="0" w:line="240" w:lineRule="auto"/>
      </w:pPr>
      <w:r w:rsidRPr="00542512">
        <w:t>Source</w:t>
      </w:r>
      <w:r w:rsidR="00A22F2A">
        <w:t>s</w:t>
      </w:r>
      <w:r w:rsidRPr="00542512">
        <w:t xml:space="preserve"> :</w:t>
      </w:r>
      <w:r w:rsidR="00A22F2A">
        <w:t xml:space="preserve"> a)</w:t>
      </w:r>
      <w:r w:rsidRPr="00542512">
        <w:t xml:space="preserve"> Espèces de palétuviers dans les mangroves de Toliara, Serge Tostain, FORMAD Environnement, Toliara, juin 2010, </w:t>
      </w:r>
      <w:hyperlink r:id="rId1172" w:history="1">
        <w:r w:rsidRPr="00542512">
          <w:rPr>
            <w:rStyle w:val="Lienhypertexte"/>
          </w:rPr>
          <w:t>http://www.formad-environnement.org/paletuviers_29dec11.pdf</w:t>
        </w:r>
      </w:hyperlink>
      <w:r w:rsidRPr="00542512">
        <w:t xml:space="preserve"> </w:t>
      </w:r>
    </w:p>
    <w:p w14:paraId="11F0796D" w14:textId="517BF05A" w:rsidR="00A22F2A" w:rsidRPr="00542512" w:rsidRDefault="00A22F2A" w:rsidP="00542512">
      <w:pPr>
        <w:spacing w:after="0" w:line="240" w:lineRule="auto"/>
        <w:rPr>
          <w:lang w:val="en-GB"/>
        </w:rPr>
      </w:pPr>
      <w:r w:rsidRPr="00A22F2A">
        <w:rPr>
          <w:lang w:val="en-GB"/>
        </w:rPr>
        <w:t xml:space="preserve">b) </w:t>
      </w:r>
      <w:hyperlink r:id="rId1173" w:history="1">
        <w:r w:rsidRPr="00A22F2A">
          <w:rPr>
            <w:rStyle w:val="Lienhypertexte"/>
            <w:lang w:val="en-GB"/>
          </w:rPr>
          <w:t>https://fr.wikipedia.org/wiki/Rhizophora_mucronata</w:t>
        </w:r>
      </w:hyperlink>
      <w:r w:rsidRPr="00A22F2A">
        <w:rPr>
          <w:lang w:val="en-GB"/>
        </w:rPr>
        <w:t>, c)</w:t>
      </w:r>
      <w:r>
        <w:rPr>
          <w:lang w:val="en-GB"/>
        </w:rPr>
        <w:t xml:space="preserve"> </w:t>
      </w:r>
      <w:hyperlink r:id="rId1174" w:history="1">
        <w:r w:rsidRPr="00AF787D">
          <w:rPr>
            <w:rStyle w:val="Lienhypertexte"/>
            <w:lang w:val="en-GB"/>
          </w:rPr>
          <w:t>https://en.wikipedia.org/wiki/Rhizophora_mucronata</w:t>
        </w:r>
      </w:hyperlink>
      <w:r>
        <w:rPr>
          <w:lang w:val="en-GB"/>
        </w:rPr>
        <w:t xml:space="preserve"> </w:t>
      </w:r>
    </w:p>
    <w:p w14:paraId="0D79CF1D" w14:textId="4F873023" w:rsidR="00542512" w:rsidRPr="00A22F2A" w:rsidRDefault="00542512" w:rsidP="009F00C7">
      <w:pPr>
        <w:spacing w:after="0" w:line="240" w:lineRule="auto"/>
        <w:rPr>
          <w:lang w:val="en-G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530"/>
        <w:gridCol w:w="5208"/>
      </w:tblGrid>
      <w:tr w:rsidR="0089021A" w14:paraId="74120CD2" w14:textId="77777777" w:rsidTr="0089021A">
        <w:tc>
          <w:tcPr>
            <w:tcW w:w="5208" w:type="dxa"/>
            <w:gridSpan w:val="2"/>
          </w:tcPr>
          <w:p w14:paraId="2B708550" w14:textId="77777777" w:rsidR="0089021A" w:rsidRDefault="0089021A" w:rsidP="0089021A">
            <w:pPr>
              <w:jc w:val="center"/>
            </w:pPr>
            <w:r w:rsidRPr="0089021A">
              <w:rPr>
                <w:noProof/>
              </w:rPr>
              <w:drawing>
                <wp:inline distT="0" distB="0" distL="0" distR="0" wp14:anchorId="016A30AE" wp14:editId="61DA302B">
                  <wp:extent cx="2466975" cy="1847850"/>
                  <wp:effectExtent l="0" t="0" r="9525" b="0"/>
                  <wp:docPr id="200719" name="Picture 5" descr="C:\Users\LISAN\Pictures\plantes-halophytes-xerophiles\Rhizophora mucronat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19" name="Picture 5" descr="C:\Users\LISAN\Pictures\plantes-halophytes-xerophiles\Rhizophora mucronata3.jpg"/>
                          <pic:cNvPicPr>
                            <a:picLocks noChangeAspect="1" noChangeArrowheads="1"/>
                          </pic:cNvPicPr>
                        </pic:nvPicPr>
                        <pic:blipFill>
                          <a:blip r:embed="rId1175">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3344450" w14:textId="470F27A3" w:rsidR="0089021A" w:rsidRDefault="0089021A" w:rsidP="0089021A">
            <w:pPr>
              <w:jc w:val="center"/>
            </w:pPr>
          </w:p>
        </w:tc>
        <w:tc>
          <w:tcPr>
            <w:tcW w:w="5208" w:type="dxa"/>
          </w:tcPr>
          <w:p w14:paraId="072D6897" w14:textId="1B4E4237" w:rsidR="0089021A" w:rsidRDefault="0089021A" w:rsidP="0089021A">
            <w:pPr>
              <w:jc w:val="center"/>
            </w:pPr>
            <w:r w:rsidRPr="0089021A">
              <w:rPr>
                <w:noProof/>
              </w:rPr>
              <w:drawing>
                <wp:inline distT="0" distB="0" distL="0" distR="0" wp14:anchorId="244EE6BD" wp14:editId="01F6A154">
                  <wp:extent cx="2466975" cy="1847850"/>
                  <wp:effectExtent l="0" t="0" r="9525" b="0"/>
                  <wp:docPr id="200718" name="Picture 4" descr="C:\Users\LISAN\Pictures\plantes-halophytes-xerophiles\Rhizophora mucronat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18" name="Picture 4" descr="C:\Users\LISAN\Pictures\plantes-halophytes-xerophiles\Rhizophora mucronata2.jpg"/>
                          <pic:cNvPicPr>
                            <a:picLocks noChangeAspect="1" noChangeArrowheads="1"/>
                          </pic:cNvPicPr>
                        </pic:nvPicPr>
                        <pic:blipFill>
                          <a:blip r:embed="rId1176">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89021A" w14:paraId="1CB1325A" w14:textId="77777777" w:rsidTr="008E15D5">
        <w:tc>
          <w:tcPr>
            <w:tcW w:w="4678" w:type="dxa"/>
          </w:tcPr>
          <w:p w14:paraId="7382CC50" w14:textId="086528D1" w:rsidR="0089021A" w:rsidRDefault="0089021A" w:rsidP="0089021A">
            <w:pPr>
              <w:jc w:val="center"/>
            </w:pPr>
            <w:r w:rsidRPr="0089021A">
              <w:rPr>
                <w:noProof/>
              </w:rPr>
              <w:drawing>
                <wp:inline distT="0" distB="0" distL="0" distR="0" wp14:anchorId="2BDB7EB8" wp14:editId="1E991371">
                  <wp:extent cx="1847850" cy="2466975"/>
                  <wp:effectExtent l="0" t="0" r="0" b="9525"/>
                  <wp:docPr id="200716" name="Picture 2" descr="C:\Users\LISAN\Pictures\plantes-halophytes-xerophiles\Rhizophora mucronat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16" name="Picture 2" descr="C:\Users\LISAN\Pictures\plantes-halophytes-xerophiles\Rhizophora mucronata4.jpg"/>
                          <pic:cNvPicPr>
                            <a:picLocks noChangeAspect="1" noChangeArrowheads="1"/>
                          </pic:cNvPicPr>
                        </pic:nvPicPr>
                        <pic:blipFill>
                          <a:blip r:embed="rId1177">
                            <a:extLst>
                              <a:ext uri="{28A0092B-C50C-407E-A947-70E740481C1C}">
                                <a14:useLocalDpi xmlns:a14="http://schemas.microsoft.com/office/drawing/2010/main" val="0"/>
                              </a:ext>
                            </a:extLst>
                          </a:blip>
                          <a:srcRect/>
                          <a:stretch>
                            <a:fillRect/>
                          </a:stretch>
                        </pic:blipFill>
                        <pic:spPr bwMode="auto">
                          <a:xfrm>
                            <a:off x="0" y="0"/>
                            <a:ext cx="1847850" cy="2466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738" w:type="dxa"/>
            <w:gridSpan w:val="2"/>
          </w:tcPr>
          <w:p w14:paraId="6192EB11" w14:textId="77777777" w:rsidR="00702368" w:rsidRDefault="008E15D5" w:rsidP="0089021A">
            <w:pPr>
              <w:jc w:val="center"/>
            </w:pPr>
            <w:r>
              <w:rPr>
                <w:noProof/>
              </w:rPr>
              <w:drawing>
                <wp:inline distT="0" distB="0" distL="0" distR="0" wp14:anchorId="2DFB988E" wp14:editId="03E70C7F">
                  <wp:extent cx="1895475" cy="1332160"/>
                  <wp:effectExtent l="0" t="0" r="0" b="1905"/>
                  <wp:docPr id="195603" name="Image 195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178">
                            <a:extLst>
                              <a:ext uri="{28A0092B-C50C-407E-A947-70E740481C1C}">
                                <a14:useLocalDpi xmlns:a14="http://schemas.microsoft.com/office/drawing/2010/main" val="0"/>
                              </a:ext>
                            </a:extLst>
                          </a:blip>
                          <a:srcRect/>
                          <a:stretch>
                            <a:fillRect/>
                          </a:stretch>
                        </pic:blipFill>
                        <pic:spPr bwMode="auto">
                          <a:xfrm>
                            <a:off x="0" y="0"/>
                            <a:ext cx="1920932" cy="1350052"/>
                          </a:xfrm>
                          <a:prstGeom prst="rect">
                            <a:avLst/>
                          </a:prstGeom>
                          <a:noFill/>
                          <a:ln>
                            <a:noFill/>
                          </a:ln>
                        </pic:spPr>
                      </pic:pic>
                    </a:graphicData>
                  </a:graphic>
                </wp:inline>
              </w:drawing>
            </w:r>
            <w:r w:rsidRPr="0089021A">
              <w:t xml:space="preserve"> </w:t>
            </w:r>
            <w:r>
              <w:t xml:space="preserve"> </w:t>
            </w:r>
            <w:r w:rsidR="0089021A" w:rsidRPr="0089021A">
              <w:rPr>
                <w:noProof/>
              </w:rPr>
              <w:drawing>
                <wp:inline distT="0" distB="0" distL="0" distR="0" wp14:anchorId="49D1260B" wp14:editId="77AD4E6E">
                  <wp:extent cx="1484312" cy="1503363"/>
                  <wp:effectExtent l="0" t="0" r="1905" b="1905"/>
                  <wp:docPr id="200717" name="Picture 3" descr="C:\Users\LISAN\Pictures\plantes-halophytes-xerophiles\Rhizophora mucronat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17" name="Picture 3" descr="C:\Users\LISAN\Pictures\plantes-halophytes-xerophiles\Rhizophora mucronata1.jpg"/>
                          <pic:cNvPicPr>
                            <a:picLocks noChangeAspect="1" noChangeArrowheads="1"/>
                          </pic:cNvPicPr>
                        </pic:nvPicPr>
                        <pic:blipFill>
                          <a:blip r:embed="rId1179">
                            <a:extLst>
                              <a:ext uri="{28A0092B-C50C-407E-A947-70E740481C1C}">
                                <a14:useLocalDpi xmlns:a14="http://schemas.microsoft.com/office/drawing/2010/main" val="0"/>
                              </a:ext>
                            </a:extLst>
                          </a:blip>
                          <a:srcRect/>
                          <a:stretch>
                            <a:fillRect/>
                          </a:stretch>
                        </pic:blipFill>
                        <pic:spPr bwMode="auto">
                          <a:xfrm>
                            <a:off x="0" y="0"/>
                            <a:ext cx="1484312" cy="15033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D706A04" w14:textId="77777777" w:rsidR="0089021A" w:rsidRDefault="00702368" w:rsidP="0089021A">
            <w:pPr>
              <w:jc w:val="center"/>
            </w:pPr>
            <w:r w:rsidRPr="00702368">
              <w:t>Raheritahiana, 2016</w:t>
            </w:r>
            <w:r>
              <w:t xml:space="preserve"> (à gauche). Fleurs (à droite)</w:t>
            </w:r>
            <w:r w:rsidRPr="00702368">
              <w:t>.</w:t>
            </w:r>
            <w:r w:rsidR="008E15D5">
              <w:t xml:space="preserve"> </w:t>
            </w:r>
          </w:p>
          <w:p w14:paraId="4F5B7260" w14:textId="77777777" w:rsidR="000E7BE8" w:rsidRDefault="000E7BE8" w:rsidP="0089021A">
            <w:pPr>
              <w:jc w:val="center"/>
            </w:pPr>
          </w:p>
          <w:p w14:paraId="7BE509AD" w14:textId="5A2E53EE" w:rsidR="000E7BE8" w:rsidRDefault="000E7BE8" w:rsidP="0089021A">
            <w:pPr>
              <w:jc w:val="center"/>
            </w:pPr>
            <w:r>
              <w:rPr>
                <w:noProof/>
              </w:rPr>
              <w:drawing>
                <wp:inline distT="0" distB="0" distL="0" distR="0" wp14:anchorId="4D448F6C" wp14:editId="73BFF069">
                  <wp:extent cx="1924050" cy="1066800"/>
                  <wp:effectExtent l="0" t="0" r="0" b="0"/>
                  <wp:docPr id="195614" name="Image 195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180">
                            <a:extLst>
                              <a:ext uri="{28A0092B-C50C-407E-A947-70E740481C1C}">
                                <a14:useLocalDpi xmlns:a14="http://schemas.microsoft.com/office/drawing/2010/main" val="0"/>
                              </a:ext>
                            </a:extLst>
                          </a:blip>
                          <a:srcRect/>
                          <a:stretch>
                            <a:fillRect/>
                          </a:stretch>
                        </pic:blipFill>
                        <pic:spPr bwMode="auto">
                          <a:xfrm>
                            <a:off x="0" y="0"/>
                            <a:ext cx="1924050" cy="1066800"/>
                          </a:xfrm>
                          <a:prstGeom prst="rect">
                            <a:avLst/>
                          </a:prstGeom>
                          <a:noFill/>
                          <a:ln>
                            <a:noFill/>
                          </a:ln>
                        </pic:spPr>
                      </pic:pic>
                    </a:graphicData>
                  </a:graphic>
                </wp:inline>
              </w:drawing>
            </w:r>
            <w:r>
              <w:rPr>
                <w:rStyle w:val="Appelnotedebasdep"/>
              </w:rPr>
              <w:footnoteReference w:id="95"/>
            </w:r>
          </w:p>
        </w:tc>
      </w:tr>
    </w:tbl>
    <w:p w14:paraId="104E9658" w14:textId="00E2A990" w:rsidR="00C97183" w:rsidRDefault="00C97183" w:rsidP="008E15D5">
      <w:pPr>
        <w:spacing w:after="0" w:line="240" w:lineRule="auto"/>
      </w:pPr>
    </w:p>
    <w:p w14:paraId="4FB34330" w14:textId="6EB0E364" w:rsidR="008B182C" w:rsidRPr="00D87D3F" w:rsidRDefault="00702368" w:rsidP="00D87D3F">
      <w:pPr>
        <w:pStyle w:val="Titre2"/>
        <w:rPr>
          <w:i/>
          <w:iCs/>
        </w:rPr>
      </w:pPr>
      <w:bookmarkStart w:id="134" w:name="_Toc139181425"/>
      <w:r w:rsidRPr="00D87D3F">
        <w:rPr>
          <w:i/>
          <w:iCs/>
        </w:rPr>
        <w:t>Sonneratia alba</w:t>
      </w:r>
      <w:bookmarkEnd w:id="134"/>
    </w:p>
    <w:p w14:paraId="13107555" w14:textId="6647AC29" w:rsidR="00702368" w:rsidRDefault="00702368" w:rsidP="008B182C">
      <w:pPr>
        <w:spacing w:after="0" w:line="240" w:lineRule="auto"/>
      </w:pPr>
    </w:p>
    <w:p w14:paraId="3FEE6846" w14:textId="0A0D447B" w:rsidR="00EA6314" w:rsidRPr="00EA6314" w:rsidRDefault="00EA6314" w:rsidP="00EA6314">
      <w:pPr>
        <w:spacing w:after="0" w:line="240" w:lineRule="auto"/>
      </w:pPr>
      <w:r w:rsidRPr="00EA6314">
        <w:rPr>
          <w:u w:val="single"/>
        </w:rPr>
        <w:t>Famille</w:t>
      </w:r>
      <w:r w:rsidRPr="00EA6314">
        <w:t xml:space="preserve"> : </w:t>
      </w:r>
      <w:r w:rsidRPr="00EA6314">
        <w:rPr>
          <w:i/>
          <w:iCs/>
        </w:rPr>
        <w:t>Lythraceae</w:t>
      </w:r>
      <w:r w:rsidR="000F225B">
        <w:rPr>
          <w:i/>
          <w:iCs/>
        </w:rPr>
        <w:t xml:space="preserve"> </w:t>
      </w:r>
      <w:r w:rsidR="000F225B" w:rsidRPr="000F225B">
        <w:t>(ou</w:t>
      </w:r>
      <w:r w:rsidR="000F225B">
        <w:rPr>
          <w:i/>
          <w:iCs/>
        </w:rPr>
        <w:t xml:space="preserve"> </w:t>
      </w:r>
      <w:r w:rsidR="000F225B" w:rsidRPr="000F225B">
        <w:rPr>
          <w:i/>
          <w:iCs/>
        </w:rPr>
        <w:t>Sonneratiaceae</w:t>
      </w:r>
      <w:r w:rsidR="000F225B">
        <w:t>).</w:t>
      </w:r>
    </w:p>
    <w:p w14:paraId="38231F92" w14:textId="6D2D3878" w:rsidR="00EA6314" w:rsidRPr="00EA6314" w:rsidRDefault="00EA6314" w:rsidP="00EA6314">
      <w:pPr>
        <w:spacing w:after="0" w:line="240" w:lineRule="auto"/>
      </w:pPr>
      <w:r w:rsidRPr="00EA6314">
        <w:t>Synonyme : Songery</w:t>
      </w:r>
      <w:r w:rsidR="007D0F95">
        <w:t xml:space="preserve"> (en malgache)</w:t>
      </w:r>
      <w:r w:rsidRPr="00EA6314">
        <w:t>.</w:t>
      </w:r>
    </w:p>
    <w:p w14:paraId="367EEB39" w14:textId="21686B9D" w:rsidR="00EA6314" w:rsidRPr="00EA6314" w:rsidRDefault="00EA6314" w:rsidP="00493ABE">
      <w:pPr>
        <w:spacing w:after="0" w:line="240" w:lineRule="auto"/>
        <w:jc w:val="both"/>
      </w:pPr>
      <w:r w:rsidRPr="00EA6314">
        <w:rPr>
          <w:u w:val="single"/>
        </w:rPr>
        <w:t>Écologie</w:t>
      </w:r>
      <w:r w:rsidRPr="00EA6314">
        <w:t xml:space="preserve"> :</w:t>
      </w:r>
      <w:r w:rsidR="00493ABE">
        <w:t xml:space="preserve"> </w:t>
      </w:r>
      <w:r w:rsidR="00493ABE" w:rsidRPr="00493ABE">
        <w:t>Son habitat est abrité, constitué de rivages sablonneux et de criques dans la zone tidale (</w:t>
      </w:r>
      <w:r w:rsidR="00493ABE">
        <w:t xml:space="preserve">celle </w:t>
      </w:r>
      <w:r w:rsidR="00493ABE" w:rsidRPr="00493ABE">
        <w:t>des marées).</w:t>
      </w:r>
      <w:r w:rsidR="006A79A5">
        <w:t xml:space="preserve"> C’</w:t>
      </w:r>
      <w:r w:rsidR="006A79A5" w:rsidRPr="006A79A5">
        <w:t>une espèce typique des zones à forte et fréquente immersion.</w:t>
      </w:r>
    </w:p>
    <w:p w14:paraId="3E12B29D" w14:textId="77777777" w:rsidR="00EA6314" w:rsidRPr="00EA6314" w:rsidRDefault="00EA6314" w:rsidP="00EA6314">
      <w:pPr>
        <w:spacing w:after="0" w:line="240" w:lineRule="auto"/>
      </w:pPr>
      <w:r w:rsidRPr="00EA6314">
        <w:rPr>
          <w:u w:val="single"/>
        </w:rPr>
        <w:t>Salinité</w:t>
      </w:r>
      <w:r w:rsidRPr="00EA6314">
        <w:t xml:space="preserve"> : 13,920 g à 35,190 g / l</w:t>
      </w:r>
    </w:p>
    <w:p w14:paraId="6E5B00C2" w14:textId="77777777" w:rsidR="00EA6314" w:rsidRPr="00EA6314" w:rsidRDefault="00EA6314" w:rsidP="00EA6314">
      <w:pPr>
        <w:spacing w:after="0" w:line="240" w:lineRule="auto"/>
      </w:pPr>
      <w:r w:rsidRPr="00EA6314">
        <w:rPr>
          <w:u w:val="single"/>
        </w:rPr>
        <w:lastRenderedPageBreak/>
        <w:t>PH</w:t>
      </w:r>
      <w:r w:rsidRPr="00EA6314">
        <w:t xml:space="preserve"> : 6,7-8,2</w:t>
      </w:r>
    </w:p>
    <w:p w14:paraId="3438F682" w14:textId="18431B7E" w:rsidR="00EA6314" w:rsidRPr="00EA6314" w:rsidRDefault="00EA6314" w:rsidP="00EA6314">
      <w:pPr>
        <w:spacing w:after="0" w:line="240" w:lineRule="auto"/>
      </w:pPr>
      <w:r w:rsidRPr="00EA6314">
        <w:rPr>
          <w:u w:val="single"/>
        </w:rPr>
        <w:t>Zonation</w:t>
      </w:r>
      <w:r w:rsidRPr="00EA6314">
        <w:t xml:space="preserve"> : immersion quotidienne (zone intertidale)</w:t>
      </w:r>
      <w:r w:rsidR="00DA65F7">
        <w:t>.</w:t>
      </w:r>
    </w:p>
    <w:p w14:paraId="08559F97" w14:textId="77777777" w:rsidR="00EA6314" w:rsidRPr="00EA6314" w:rsidRDefault="00EA6314" w:rsidP="00EA6314">
      <w:pPr>
        <w:spacing w:after="0" w:line="240" w:lineRule="auto"/>
      </w:pPr>
      <w:r w:rsidRPr="00EA6314">
        <w:rPr>
          <w:u w:val="single"/>
        </w:rPr>
        <w:t>Plantule</w:t>
      </w:r>
      <w:r w:rsidRPr="00EA6314">
        <w:t xml:space="preserve"> :</w:t>
      </w:r>
    </w:p>
    <w:p w14:paraId="57D80679" w14:textId="73889CA9" w:rsidR="00EA6314" w:rsidRPr="00EA6314" w:rsidRDefault="00EA6314" w:rsidP="00DA65F7">
      <w:pPr>
        <w:spacing w:after="0" w:line="240" w:lineRule="auto"/>
        <w:jc w:val="both"/>
      </w:pPr>
      <w:r w:rsidRPr="00EA6314">
        <w:rPr>
          <w:u w:val="single"/>
        </w:rPr>
        <w:t>Plante</w:t>
      </w:r>
      <w:r w:rsidRPr="00EA6314">
        <w:t xml:space="preserve"> : 5 – 6 m à 8-10 m de hauteur.</w:t>
      </w:r>
      <w:r w:rsidR="00DA65F7">
        <w:t xml:space="preserve"> </w:t>
      </w:r>
      <w:r w:rsidR="00DA65F7" w:rsidRPr="00DA65F7">
        <w:rPr>
          <w:i/>
          <w:iCs/>
        </w:rPr>
        <w:t>S. alba</w:t>
      </w:r>
      <w:r w:rsidR="00DA65F7" w:rsidRPr="00DA65F7">
        <w:t xml:space="preserve"> pousse jusqu'à 40 m (130 pi) de hauteur avec un diamètre de tronc jusqu'à 70 cm (30 po).</w:t>
      </w:r>
    </w:p>
    <w:p w14:paraId="157D26A7" w14:textId="6833F9BB" w:rsidR="00EA6314" w:rsidRPr="00EA6314" w:rsidRDefault="00EA6314" w:rsidP="00EA6314">
      <w:pPr>
        <w:spacing w:after="0" w:line="240" w:lineRule="auto"/>
      </w:pPr>
      <w:r w:rsidRPr="00EA6314">
        <w:rPr>
          <w:u w:val="single"/>
        </w:rPr>
        <w:t>Tronc</w:t>
      </w:r>
      <w:r w:rsidRPr="00EA6314">
        <w:t xml:space="preserve"> : 90 à 118 cm de diamètre</w:t>
      </w:r>
      <w:r w:rsidR="007D0F95">
        <w:t xml:space="preserve">. </w:t>
      </w:r>
      <w:r w:rsidR="007D0F95" w:rsidRPr="007D0F95">
        <w:t>L'écorce fissurée est brunâtre, virant au gris sous la marque de la marée.</w:t>
      </w:r>
    </w:p>
    <w:p w14:paraId="7D408E36" w14:textId="2FB49C6D" w:rsidR="00EA6314" w:rsidRPr="00EA6314" w:rsidRDefault="00EA6314" w:rsidP="00EA6314">
      <w:pPr>
        <w:spacing w:after="0" w:line="240" w:lineRule="auto"/>
      </w:pPr>
      <w:r w:rsidRPr="00EA6314">
        <w:rPr>
          <w:u w:val="single"/>
        </w:rPr>
        <w:t>Pneumatophores</w:t>
      </w:r>
      <w:r w:rsidRPr="00EA6314">
        <w:t xml:space="preserve"> : droits ou coudés, gros en forme de cône, 49 à 247 par m2</w:t>
      </w:r>
      <w:r w:rsidR="00CF331E">
        <w:t>. Ou</w:t>
      </w:r>
      <w:r w:rsidR="00CF331E" w:rsidRPr="00CF331E">
        <w:t xml:space="preserve"> grands, durs et pointus</w:t>
      </w:r>
      <w:r w:rsidR="00CF331E">
        <w:t>.</w:t>
      </w:r>
    </w:p>
    <w:p w14:paraId="309C9AA4" w14:textId="77777777" w:rsidR="00EA6314" w:rsidRPr="00EA6314" w:rsidRDefault="00EA6314" w:rsidP="00EA6314">
      <w:pPr>
        <w:spacing w:after="0" w:line="240" w:lineRule="auto"/>
      </w:pPr>
      <w:r w:rsidRPr="00EA6314">
        <w:rPr>
          <w:u w:val="single"/>
        </w:rPr>
        <w:t>Racines</w:t>
      </w:r>
      <w:r w:rsidRPr="00EA6314">
        <w:t xml:space="preserve"> :</w:t>
      </w:r>
    </w:p>
    <w:p w14:paraId="02E54426" w14:textId="77777777" w:rsidR="00EA6314" w:rsidRPr="00EA6314" w:rsidRDefault="00EA6314" w:rsidP="00EA6314">
      <w:pPr>
        <w:spacing w:after="0" w:line="240" w:lineRule="auto"/>
      </w:pPr>
      <w:r w:rsidRPr="00EA6314">
        <w:rPr>
          <w:u w:val="single"/>
        </w:rPr>
        <w:t>Feuille</w:t>
      </w:r>
      <w:r w:rsidRPr="00EA6314">
        <w:t xml:space="preserve"> : épaisse, large, arrondie</w:t>
      </w:r>
    </w:p>
    <w:p w14:paraId="30740C9E" w14:textId="798CE548" w:rsidR="00EA6314" w:rsidRPr="00EA6314" w:rsidRDefault="00EA6314" w:rsidP="00EA6314">
      <w:pPr>
        <w:spacing w:after="0" w:line="240" w:lineRule="auto"/>
      </w:pPr>
      <w:r w:rsidRPr="00EA6314">
        <w:rPr>
          <w:u w:val="single"/>
        </w:rPr>
        <w:t>Inflorescences</w:t>
      </w:r>
      <w:r w:rsidRPr="00EA6314">
        <w:t xml:space="preserve"> : beaucoup d'étamines</w:t>
      </w:r>
      <w:r w:rsidR="00A277C9">
        <w:t xml:space="preserve">. </w:t>
      </w:r>
      <w:r w:rsidR="00A277C9" w:rsidRPr="00A277C9">
        <w:t>Les fleurs sont blanches, avec du rose à leur base.</w:t>
      </w:r>
    </w:p>
    <w:p w14:paraId="6F14E6AF" w14:textId="1824AC65" w:rsidR="00EA6314" w:rsidRPr="00EA6314" w:rsidRDefault="00EA6314" w:rsidP="00EA6314">
      <w:pPr>
        <w:spacing w:after="0" w:line="240" w:lineRule="auto"/>
      </w:pPr>
      <w:r w:rsidRPr="00EA6314">
        <w:rPr>
          <w:u w:val="single"/>
        </w:rPr>
        <w:t>Fruits</w:t>
      </w:r>
      <w:r w:rsidRPr="00EA6314">
        <w:t xml:space="preserve"> : ronds, graines difficiles à faire germer en pépinière), pas de dormance</w:t>
      </w:r>
      <w:r w:rsidR="00A277C9">
        <w:t xml:space="preserve">. </w:t>
      </w:r>
      <w:r w:rsidR="00A277C9" w:rsidRPr="00A277C9">
        <w:t>Les fruits vert foncé mesurent jusqu'à 5 cm (2 po) de long.</w:t>
      </w:r>
    </w:p>
    <w:p w14:paraId="0FE2BDE4" w14:textId="7A98C775" w:rsidR="00EA6314" w:rsidRPr="00EA6314" w:rsidRDefault="00EA6314" w:rsidP="00EA6314">
      <w:pPr>
        <w:spacing w:after="0" w:line="240" w:lineRule="auto"/>
      </w:pPr>
      <w:r w:rsidRPr="00EA6314">
        <w:rPr>
          <w:u w:val="single"/>
        </w:rPr>
        <w:t xml:space="preserve">Période de collecte des fruits </w:t>
      </w:r>
      <w:r w:rsidRPr="00EA6314">
        <w:t>: tardifs, mai</w:t>
      </w:r>
      <w:r w:rsidR="000F225B">
        <w:t xml:space="preserve"> (à Madagascar).</w:t>
      </w:r>
    </w:p>
    <w:p w14:paraId="089B801D" w14:textId="1C26F228" w:rsidR="00EA6314" w:rsidRPr="00EA6314" w:rsidRDefault="00EA6314" w:rsidP="00870CCD">
      <w:pPr>
        <w:spacing w:after="0" w:line="240" w:lineRule="auto"/>
        <w:jc w:val="both"/>
      </w:pPr>
      <w:r w:rsidRPr="00EA6314">
        <w:rPr>
          <w:u w:val="single"/>
        </w:rPr>
        <w:t>Utilisation</w:t>
      </w:r>
      <w:r w:rsidRPr="00EA6314">
        <w:t xml:space="preserve"> : bétail</w:t>
      </w:r>
      <w:r w:rsidR="00870CCD">
        <w:t xml:space="preserve"> (fourrage)</w:t>
      </w:r>
      <w:r w:rsidRPr="00EA6314">
        <w:t>, charbon, chaux, cercueil, bois de chauffe</w:t>
      </w:r>
      <w:r w:rsidR="00870CCD">
        <w:t xml:space="preserve">. </w:t>
      </w:r>
      <w:r w:rsidR="00870CCD" w:rsidRPr="00870CCD">
        <w:rPr>
          <w:i/>
          <w:iCs/>
        </w:rPr>
        <w:t>S. alba</w:t>
      </w:r>
      <w:r w:rsidR="00870CCD" w:rsidRPr="00870CCD">
        <w:t xml:space="preserve"> est utilisé comme bois de chauffage. Son bois est utilisé dans la construction de maisons et de bateaux. Les fruits aigres sont utilisés pour parfumer le poisson et sont parfois consommés crus. Les feuilles se consomment également crues ou cuites.</w:t>
      </w:r>
    </w:p>
    <w:p w14:paraId="508E996C" w14:textId="77777777" w:rsidR="00EA6314" w:rsidRPr="00EA6314" w:rsidRDefault="00EA6314" w:rsidP="00EA6314">
      <w:pPr>
        <w:spacing w:after="0" w:line="240" w:lineRule="auto"/>
      </w:pPr>
      <w:r w:rsidRPr="00EA6314">
        <w:rPr>
          <w:u w:val="single"/>
        </w:rPr>
        <w:t xml:space="preserve">Conservation :des graines </w:t>
      </w:r>
      <w:r w:rsidRPr="00EA6314">
        <w:t>:</w:t>
      </w:r>
    </w:p>
    <w:p w14:paraId="09A0A99E" w14:textId="7AE85045" w:rsidR="00EA6314" w:rsidRDefault="00EA6314" w:rsidP="00EA6314">
      <w:pPr>
        <w:spacing w:after="0" w:line="240" w:lineRule="auto"/>
      </w:pPr>
      <w:r w:rsidRPr="00EA6314">
        <w:rPr>
          <w:u w:val="single"/>
        </w:rPr>
        <w:t>Multiplication</w:t>
      </w:r>
      <w:r w:rsidRPr="00EA6314">
        <w:t xml:space="preserve"> : par graines</w:t>
      </w:r>
      <w:r w:rsidR="00DA65F7">
        <w:t>.</w:t>
      </w:r>
    </w:p>
    <w:p w14:paraId="5C3682E9" w14:textId="2B0E8491" w:rsidR="00DA65F7" w:rsidRPr="00DA65F7" w:rsidRDefault="00DA65F7" w:rsidP="00DA65F7">
      <w:pPr>
        <w:spacing w:after="0" w:line="240" w:lineRule="auto"/>
      </w:pPr>
      <w:r w:rsidRPr="00DA65F7">
        <w:t>Source</w:t>
      </w:r>
      <w:r>
        <w:t>s</w:t>
      </w:r>
      <w:r w:rsidRPr="00DA65F7">
        <w:t xml:space="preserve"> :</w:t>
      </w:r>
      <w:r>
        <w:t xml:space="preserve"> a)</w:t>
      </w:r>
      <w:r w:rsidRPr="00DA65F7">
        <w:t xml:space="preserve"> </w:t>
      </w:r>
      <w:r w:rsidRPr="00DA65F7">
        <w:rPr>
          <w:i/>
          <w:iCs/>
        </w:rPr>
        <w:t>Espèces de palétuviers dans les mangroves de Toliara</w:t>
      </w:r>
      <w:r w:rsidRPr="00DA65F7">
        <w:t xml:space="preserve">, Serge Tostain, FORMAD Environnement, Toliara, juin 2010, </w:t>
      </w:r>
      <w:hyperlink r:id="rId1181" w:history="1">
        <w:r w:rsidRPr="00DA65F7">
          <w:rPr>
            <w:rStyle w:val="Lienhypertexte"/>
          </w:rPr>
          <w:t>http://www.formad-environnement.org/paletuviers_29dec11.pdf</w:t>
        </w:r>
      </w:hyperlink>
      <w:r w:rsidRPr="00DA65F7">
        <w:t xml:space="preserve"> </w:t>
      </w:r>
    </w:p>
    <w:p w14:paraId="3D5C6672" w14:textId="7CA071EF" w:rsidR="00DA65F7" w:rsidRPr="00EA6314" w:rsidRDefault="00493ABE" w:rsidP="00EA6314">
      <w:pPr>
        <w:spacing w:after="0" w:line="240" w:lineRule="auto"/>
        <w:rPr>
          <w:lang w:val="en-GB"/>
        </w:rPr>
      </w:pPr>
      <w:r w:rsidRPr="00493ABE">
        <w:rPr>
          <w:lang w:val="en-GB"/>
        </w:rPr>
        <w:t xml:space="preserve">b) </w:t>
      </w:r>
      <w:hyperlink r:id="rId1182" w:history="1">
        <w:r w:rsidRPr="00AF787D">
          <w:rPr>
            <w:rStyle w:val="Lienhypertexte"/>
            <w:lang w:val="en-GB"/>
          </w:rPr>
          <w:t>https://en.wikipedia.org/wiki/Sonneratia_alba</w:t>
        </w:r>
      </w:hyperlink>
      <w:r>
        <w:rPr>
          <w:lang w:val="en-GB"/>
        </w:rPr>
        <w:t xml:space="preserve"> </w:t>
      </w:r>
    </w:p>
    <w:p w14:paraId="66A49987" w14:textId="4A2C8F1E" w:rsidR="00702368" w:rsidRPr="00493ABE" w:rsidRDefault="00702368" w:rsidP="008B182C">
      <w:pPr>
        <w:spacing w:after="0" w:line="240" w:lineRule="auto"/>
        <w:rPr>
          <w:lang w:val="en-G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EA6314" w14:paraId="16F92276" w14:textId="77777777" w:rsidTr="00CC71DA">
        <w:tc>
          <w:tcPr>
            <w:tcW w:w="5208" w:type="dxa"/>
          </w:tcPr>
          <w:p w14:paraId="469E6021" w14:textId="77777777" w:rsidR="00EA6314" w:rsidRDefault="00CC71DA" w:rsidP="00EA6314">
            <w:pPr>
              <w:jc w:val="center"/>
            </w:pPr>
            <w:r w:rsidRPr="00CC71DA">
              <w:rPr>
                <w:noProof/>
              </w:rPr>
              <w:drawing>
                <wp:inline distT="0" distB="0" distL="0" distR="0" wp14:anchorId="312C3985" wp14:editId="08A7767E">
                  <wp:extent cx="2209800" cy="2066925"/>
                  <wp:effectExtent l="0" t="0" r="0" b="9525"/>
                  <wp:docPr id="201742" name="Picture 15" descr="C:\Users\LISAN\Pictures\plantes-halophytes-xerophiles\Sonneratia alb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42" name="Picture 15" descr="C:\Users\LISAN\Pictures\plantes-halophytes-xerophiles\Sonneratia alba2.jpg"/>
                          <pic:cNvPicPr>
                            <a:picLocks noChangeAspect="1" noChangeArrowheads="1"/>
                          </pic:cNvPicPr>
                        </pic:nvPicPr>
                        <pic:blipFill>
                          <a:blip r:embed="rId1183">
                            <a:extLst>
                              <a:ext uri="{28A0092B-C50C-407E-A947-70E740481C1C}">
                                <a14:useLocalDpi xmlns:a14="http://schemas.microsoft.com/office/drawing/2010/main" val="0"/>
                              </a:ext>
                            </a:extLst>
                          </a:blip>
                          <a:srcRect/>
                          <a:stretch>
                            <a:fillRect/>
                          </a:stretch>
                        </pic:blipFill>
                        <pic:spPr bwMode="auto">
                          <a:xfrm>
                            <a:off x="0" y="0"/>
                            <a:ext cx="2209800" cy="2066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2D0B26B" w14:textId="4612499A" w:rsidR="00C154C7" w:rsidRDefault="00C154C7" w:rsidP="00EA6314">
            <w:pPr>
              <w:jc w:val="center"/>
            </w:pPr>
          </w:p>
        </w:tc>
        <w:tc>
          <w:tcPr>
            <w:tcW w:w="5208" w:type="dxa"/>
          </w:tcPr>
          <w:p w14:paraId="5B5996C0" w14:textId="6F73D6A2" w:rsidR="00EA6314" w:rsidRDefault="00CC71DA" w:rsidP="00EA6314">
            <w:pPr>
              <w:jc w:val="center"/>
            </w:pPr>
            <w:r w:rsidRPr="00CC71DA">
              <w:rPr>
                <w:noProof/>
              </w:rPr>
              <w:drawing>
                <wp:inline distT="0" distB="0" distL="0" distR="0" wp14:anchorId="49FDE73B" wp14:editId="2C9CAF4E">
                  <wp:extent cx="2466975" cy="1847850"/>
                  <wp:effectExtent l="0" t="0" r="9525" b="0"/>
                  <wp:docPr id="201744" name="Picture 17" descr="C:\Users\LISAN\Pictures\plantes-halophytes-xerophiles\Sonneratia alb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44" name="Picture 17" descr="C:\Users\LISAN\Pictures\plantes-halophytes-xerophiles\Sonneratia alba4.jpg"/>
                          <pic:cNvPicPr>
                            <a:picLocks noChangeAspect="1" noChangeArrowheads="1"/>
                          </pic:cNvPicPr>
                        </pic:nvPicPr>
                        <pic:blipFill>
                          <a:blip r:embed="rId1184">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EA6314" w14:paraId="35FE24E1" w14:textId="77777777" w:rsidTr="00CC71DA">
        <w:tc>
          <w:tcPr>
            <w:tcW w:w="5208" w:type="dxa"/>
          </w:tcPr>
          <w:p w14:paraId="6EABD31E" w14:textId="1DB6F555" w:rsidR="00EA6314" w:rsidRDefault="00CC71DA" w:rsidP="00EA6314">
            <w:pPr>
              <w:jc w:val="center"/>
            </w:pPr>
            <w:r w:rsidRPr="00CC71DA">
              <w:rPr>
                <w:noProof/>
              </w:rPr>
              <w:drawing>
                <wp:inline distT="0" distB="0" distL="0" distR="0" wp14:anchorId="0EEE7302" wp14:editId="6CBEBEE2">
                  <wp:extent cx="2466975" cy="1847850"/>
                  <wp:effectExtent l="0" t="0" r="9525" b="0"/>
                  <wp:docPr id="201743" name="Picture 16" descr="C:\Users\LISAN\Pictures\plantes-halophytes-xerophiles\Sonneratia alb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43" name="Picture 16" descr="C:\Users\LISAN\Pictures\plantes-halophytes-xerophiles\Sonneratia alba3.jpg"/>
                          <pic:cNvPicPr>
                            <a:picLocks noChangeAspect="1" noChangeArrowheads="1"/>
                          </pic:cNvPicPr>
                        </pic:nvPicPr>
                        <pic:blipFill>
                          <a:blip r:embed="rId1185">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208" w:type="dxa"/>
          </w:tcPr>
          <w:p w14:paraId="523D093A" w14:textId="58668483" w:rsidR="00EA6314" w:rsidRDefault="00CC71DA" w:rsidP="00EA6314">
            <w:pPr>
              <w:jc w:val="center"/>
            </w:pPr>
            <w:r w:rsidRPr="00CC71DA">
              <w:rPr>
                <w:noProof/>
              </w:rPr>
              <w:drawing>
                <wp:inline distT="0" distB="0" distL="0" distR="0" wp14:anchorId="6C87D4B7" wp14:editId="31F869CA">
                  <wp:extent cx="2466975" cy="1847850"/>
                  <wp:effectExtent l="0" t="0" r="9525" b="0"/>
                  <wp:docPr id="201741" name="Picture 14" descr="C:\Users\LISAN\Pictures\plantes-halophytes-xerophiles\Sonneratia al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41" name="Picture 14" descr="C:\Users\LISAN\Pictures\plantes-halophytes-xerophiles\Sonneratia alba.jpg"/>
                          <pic:cNvPicPr>
                            <a:picLocks noChangeAspect="1" noChangeArrowheads="1"/>
                          </pic:cNvPicPr>
                        </pic:nvPicPr>
                        <pic:blipFill>
                          <a:blip r:embed="rId1186">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6FF677F8" w14:textId="66A3B12C" w:rsidR="007105DB" w:rsidRDefault="007105DB" w:rsidP="00EA6314">
            <w:pPr>
              <w:jc w:val="center"/>
            </w:pPr>
            <w:r>
              <w:t>Fleur</w:t>
            </w:r>
          </w:p>
          <w:p w14:paraId="50CF2653" w14:textId="2FCFCECB" w:rsidR="00CC71DA" w:rsidRDefault="00CC71DA" w:rsidP="00EA6314">
            <w:pPr>
              <w:jc w:val="center"/>
            </w:pPr>
          </w:p>
        </w:tc>
      </w:tr>
      <w:tr w:rsidR="00CC71DA" w14:paraId="6E89038D" w14:textId="77777777" w:rsidTr="00CC71DA">
        <w:tc>
          <w:tcPr>
            <w:tcW w:w="5208" w:type="dxa"/>
          </w:tcPr>
          <w:p w14:paraId="1E7C8C22" w14:textId="1834DD76" w:rsidR="00CC71DA" w:rsidRPr="00CC71DA" w:rsidRDefault="00CC71DA" w:rsidP="00EA6314">
            <w:pPr>
              <w:jc w:val="center"/>
            </w:pPr>
            <w:r w:rsidRPr="00CC71DA">
              <w:rPr>
                <w:noProof/>
              </w:rPr>
              <w:lastRenderedPageBreak/>
              <w:drawing>
                <wp:inline distT="0" distB="0" distL="0" distR="0" wp14:anchorId="3F20C245" wp14:editId="66C9B911">
                  <wp:extent cx="2495550" cy="1838325"/>
                  <wp:effectExtent l="0" t="0" r="0" b="9525"/>
                  <wp:docPr id="201740" name="Picture 13" descr="C:\Users\LISAN\Pictures\plantes-halophytes-xerophiles\Sonneratia alb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40" name="Picture 13" descr="C:\Users\LISAN\Pictures\plantes-halophytes-xerophiles\Sonneratia alba5.jpg"/>
                          <pic:cNvPicPr>
                            <a:picLocks noChangeAspect="1" noChangeArrowheads="1"/>
                          </pic:cNvPicPr>
                        </pic:nvPicPr>
                        <pic:blipFill>
                          <a:blip r:embed="rId1187">
                            <a:extLst>
                              <a:ext uri="{28A0092B-C50C-407E-A947-70E740481C1C}">
                                <a14:useLocalDpi xmlns:a14="http://schemas.microsoft.com/office/drawing/2010/main" val="0"/>
                              </a:ext>
                            </a:extLst>
                          </a:blip>
                          <a:srcRect/>
                          <a:stretch>
                            <a:fillRect/>
                          </a:stretch>
                        </pic:blipFill>
                        <pic:spPr bwMode="auto">
                          <a:xfrm>
                            <a:off x="0" y="0"/>
                            <a:ext cx="2495550" cy="1838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208" w:type="dxa"/>
          </w:tcPr>
          <w:p w14:paraId="01579F3F" w14:textId="77777777" w:rsidR="00CC71DA" w:rsidRDefault="00CC71DA" w:rsidP="00EA6314">
            <w:pPr>
              <w:jc w:val="center"/>
            </w:pPr>
            <w:r w:rsidRPr="00CC71DA">
              <w:rPr>
                <w:noProof/>
              </w:rPr>
              <w:drawing>
                <wp:inline distT="0" distB="0" distL="0" distR="0" wp14:anchorId="3469B7C1" wp14:editId="56BB2680">
                  <wp:extent cx="2428875" cy="809625"/>
                  <wp:effectExtent l="0" t="0" r="9525" b="9525"/>
                  <wp:docPr id="201747" name="Picture 19" descr="C:\Users\LISAN\Pictures\plantes-halophytes-xerophiles\Sonneratia alba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47" name="Picture 19" descr="C:\Users\LISAN\Pictures\plantes-halophytes-xerophiles\Sonneratia alba6.jpg"/>
                          <pic:cNvPicPr>
                            <a:picLocks noChangeAspect="1" noChangeArrowheads="1"/>
                          </pic:cNvPicPr>
                        </pic:nvPicPr>
                        <pic:blipFill>
                          <a:blip r:embed="rId1188">
                            <a:extLst>
                              <a:ext uri="{28A0092B-C50C-407E-A947-70E740481C1C}">
                                <a14:useLocalDpi xmlns:a14="http://schemas.microsoft.com/office/drawing/2010/main" val="0"/>
                              </a:ext>
                            </a:extLst>
                          </a:blip>
                          <a:srcRect/>
                          <a:stretch>
                            <a:fillRect/>
                          </a:stretch>
                        </pic:blipFill>
                        <pic:spPr bwMode="auto">
                          <a:xfrm>
                            <a:off x="0" y="0"/>
                            <a:ext cx="2428875" cy="809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F0A7EDE" w14:textId="1A485C23" w:rsidR="00CC71DA" w:rsidRDefault="00CC71DA" w:rsidP="00CC71DA">
            <w:pPr>
              <w:jc w:val="center"/>
            </w:pPr>
            <w:r w:rsidRPr="00CC71DA">
              <w:t>Fruit sec contenant de très nombreuses petites graines (elles germent difficilement en pépinière)</w:t>
            </w:r>
            <w:r>
              <w:t>.</w:t>
            </w:r>
          </w:p>
          <w:p w14:paraId="650379B0" w14:textId="77777777" w:rsidR="00CF331E" w:rsidRDefault="00CF331E" w:rsidP="00CC71DA">
            <w:pPr>
              <w:jc w:val="center"/>
            </w:pPr>
          </w:p>
          <w:p w14:paraId="431E5F35" w14:textId="77777777" w:rsidR="00CC71DA" w:rsidRDefault="00CC71DA" w:rsidP="00CC71DA">
            <w:pPr>
              <w:jc w:val="center"/>
            </w:pPr>
            <w:r w:rsidRPr="00CC71DA">
              <w:rPr>
                <w:noProof/>
              </w:rPr>
              <w:drawing>
                <wp:inline distT="0" distB="0" distL="0" distR="0" wp14:anchorId="44D98EA0" wp14:editId="69416EE8">
                  <wp:extent cx="962025" cy="695325"/>
                  <wp:effectExtent l="0" t="0" r="9525" b="9525"/>
                  <wp:docPr id="201746" name="Picture 18" descr="C:\Users\LISAN\Pictures\plantes-halophytes-xerophiles\Sonneratia alb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46" name="Picture 18" descr="C:\Users\LISAN\Pictures\plantes-halophytes-xerophiles\Sonneratia alba7.jpg"/>
                          <pic:cNvPicPr>
                            <a:picLocks noChangeAspect="1" noChangeArrowheads="1"/>
                          </pic:cNvPicPr>
                        </pic:nvPicPr>
                        <pic:blipFill>
                          <a:blip r:embed="rId1189">
                            <a:extLst>
                              <a:ext uri="{28A0092B-C50C-407E-A947-70E740481C1C}">
                                <a14:useLocalDpi xmlns:a14="http://schemas.microsoft.com/office/drawing/2010/main" val="0"/>
                              </a:ext>
                            </a:extLst>
                          </a:blip>
                          <a:srcRect/>
                          <a:stretch>
                            <a:fillRect/>
                          </a:stretch>
                        </pic:blipFill>
                        <pic:spPr bwMode="auto">
                          <a:xfrm>
                            <a:off x="0" y="0"/>
                            <a:ext cx="962025" cy="695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B18B94A" w14:textId="1135417F" w:rsidR="00FA4BA8" w:rsidRPr="00CC71DA" w:rsidRDefault="00FA4BA8" w:rsidP="00CC71DA">
            <w:pPr>
              <w:jc w:val="center"/>
            </w:pPr>
          </w:p>
        </w:tc>
      </w:tr>
      <w:tr w:rsidR="00CF331E" w14:paraId="46AA98AB" w14:textId="77777777" w:rsidTr="00CC71DA">
        <w:tc>
          <w:tcPr>
            <w:tcW w:w="5208" w:type="dxa"/>
          </w:tcPr>
          <w:p w14:paraId="37CC26A8" w14:textId="77777777" w:rsidR="00CF331E" w:rsidRDefault="00CF331E" w:rsidP="00EA6314">
            <w:pPr>
              <w:jc w:val="center"/>
            </w:pPr>
            <w:r>
              <w:rPr>
                <w:noProof/>
              </w:rPr>
              <w:drawing>
                <wp:inline distT="0" distB="0" distL="0" distR="0" wp14:anchorId="73714DCB" wp14:editId="6C8B06A5">
                  <wp:extent cx="2466975" cy="1847850"/>
                  <wp:effectExtent l="0" t="0" r="9525" b="0"/>
                  <wp:docPr id="195604" name="Image 195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190">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pic:spPr>
                      </pic:pic>
                    </a:graphicData>
                  </a:graphic>
                </wp:inline>
              </w:drawing>
            </w:r>
          </w:p>
          <w:p w14:paraId="520C5FC8" w14:textId="5A556D20" w:rsidR="00CF331E" w:rsidRPr="00CC71DA" w:rsidRDefault="00CF331E" w:rsidP="00EA6314">
            <w:pPr>
              <w:jc w:val="center"/>
            </w:pPr>
            <w:r>
              <w:t>Pneumatophore pointues (</w:t>
            </w:r>
            <w:r w:rsidRPr="00CF331E">
              <w:rPr>
                <w:i/>
                <w:iCs/>
              </w:rPr>
              <w:t>Sonneratia alba</w:t>
            </w:r>
            <w:r>
              <w:t>)</w:t>
            </w:r>
          </w:p>
        </w:tc>
        <w:tc>
          <w:tcPr>
            <w:tcW w:w="5208" w:type="dxa"/>
          </w:tcPr>
          <w:p w14:paraId="7D107D1F" w14:textId="77777777" w:rsidR="00CF331E" w:rsidRDefault="00CF331E" w:rsidP="00EA6314">
            <w:pPr>
              <w:jc w:val="center"/>
            </w:pPr>
            <w:r>
              <w:rPr>
                <w:noProof/>
              </w:rPr>
              <w:drawing>
                <wp:inline distT="0" distB="0" distL="0" distR="0" wp14:anchorId="7CB0AEDD" wp14:editId="30D1C0C9">
                  <wp:extent cx="2857500" cy="1600200"/>
                  <wp:effectExtent l="0" t="0" r="0" b="0"/>
                  <wp:docPr id="195605" name="Image 195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191">
                            <a:extLst>
                              <a:ext uri="{28A0092B-C50C-407E-A947-70E740481C1C}">
                                <a14:useLocalDpi xmlns:a14="http://schemas.microsoft.com/office/drawing/2010/main" val="0"/>
                              </a:ext>
                            </a:extLst>
                          </a:blip>
                          <a:srcRect/>
                          <a:stretch>
                            <a:fillRect/>
                          </a:stretch>
                        </pic:blipFill>
                        <pic:spPr bwMode="auto">
                          <a:xfrm>
                            <a:off x="0" y="0"/>
                            <a:ext cx="2857500" cy="1600200"/>
                          </a:xfrm>
                          <a:prstGeom prst="rect">
                            <a:avLst/>
                          </a:prstGeom>
                          <a:noFill/>
                          <a:ln>
                            <a:noFill/>
                          </a:ln>
                        </pic:spPr>
                      </pic:pic>
                    </a:graphicData>
                  </a:graphic>
                </wp:inline>
              </w:drawing>
            </w:r>
          </w:p>
          <w:p w14:paraId="3FC36947" w14:textId="4438A449" w:rsidR="00CF331E" w:rsidRPr="00CC71DA" w:rsidRDefault="00CF331E" w:rsidP="00EA6314">
            <w:pPr>
              <w:jc w:val="center"/>
            </w:pPr>
            <w:r w:rsidRPr="00CF331E">
              <w:rPr>
                <w:i/>
                <w:iCs/>
              </w:rPr>
              <w:t>Sonneratia alb</w:t>
            </w:r>
            <w:r w:rsidRPr="00CF331E">
              <w:t>a</w:t>
            </w:r>
            <w:r>
              <w:t xml:space="preserve"> (fleur)</w:t>
            </w:r>
          </w:p>
        </w:tc>
      </w:tr>
    </w:tbl>
    <w:p w14:paraId="45A3050C" w14:textId="0A97DADA" w:rsidR="00702368" w:rsidRDefault="00702368" w:rsidP="008B182C">
      <w:pPr>
        <w:spacing w:after="0" w:line="240" w:lineRule="auto"/>
      </w:pPr>
    </w:p>
    <w:p w14:paraId="7EB39C6E" w14:textId="03F6CFD9" w:rsidR="00CC71DA" w:rsidRDefault="00DA65F7" w:rsidP="00D87D3F">
      <w:pPr>
        <w:pStyle w:val="Titre2"/>
      </w:pPr>
      <w:bookmarkStart w:id="135" w:name="_Toc139181426"/>
      <w:r w:rsidRPr="00DA65F7">
        <w:t>Palétuvier casse-tête (</w:t>
      </w:r>
      <w:r w:rsidRPr="00DA65F7">
        <w:rPr>
          <w:i/>
          <w:iCs/>
        </w:rPr>
        <w:t>Xylocarpus granatum</w:t>
      </w:r>
      <w:r w:rsidRPr="00DA65F7">
        <w:t>)</w:t>
      </w:r>
      <w:bookmarkEnd w:id="135"/>
    </w:p>
    <w:p w14:paraId="3D23E599" w14:textId="2DC4EC7F" w:rsidR="00DA65F7" w:rsidRDefault="00DA65F7" w:rsidP="008B182C">
      <w:pPr>
        <w:spacing w:after="0" w:line="240" w:lineRule="auto"/>
      </w:pPr>
    </w:p>
    <w:p w14:paraId="22175F91" w14:textId="77777777" w:rsidR="00CA2618" w:rsidRPr="00CA2618" w:rsidRDefault="00CA2618" w:rsidP="00CA2618">
      <w:pPr>
        <w:spacing w:after="0" w:line="240" w:lineRule="auto"/>
      </w:pPr>
      <w:r w:rsidRPr="00CA2618">
        <w:rPr>
          <w:u w:val="single"/>
        </w:rPr>
        <w:t>Famille</w:t>
      </w:r>
      <w:r w:rsidRPr="00CA2618">
        <w:t xml:space="preserve"> : </w:t>
      </w:r>
      <w:r w:rsidRPr="00CA2618">
        <w:rPr>
          <w:i/>
          <w:iCs/>
        </w:rPr>
        <w:t>Meliaceae</w:t>
      </w:r>
      <w:r w:rsidRPr="00CA2618">
        <w:t xml:space="preserve"> (ex </w:t>
      </w:r>
      <w:r w:rsidRPr="00CA2618">
        <w:rPr>
          <w:i/>
          <w:iCs/>
        </w:rPr>
        <w:t>Combretaceae</w:t>
      </w:r>
      <w:r w:rsidRPr="00CA2618">
        <w:t>)</w:t>
      </w:r>
    </w:p>
    <w:p w14:paraId="75BA1557" w14:textId="717D8549" w:rsidR="00CA2618" w:rsidRPr="00CA2618" w:rsidRDefault="00CA2618" w:rsidP="00CA2618">
      <w:pPr>
        <w:spacing w:after="0" w:line="240" w:lineRule="auto"/>
      </w:pPr>
      <w:r w:rsidRPr="00CA2618">
        <w:rPr>
          <w:u w:val="single"/>
        </w:rPr>
        <w:t>Synonyme</w:t>
      </w:r>
      <w:r w:rsidRPr="00CA2618">
        <w:t xml:space="preserve"> : </w:t>
      </w:r>
      <w:r w:rsidRPr="00CA2618">
        <w:rPr>
          <w:i/>
          <w:iCs/>
        </w:rPr>
        <w:t>Carapa obovata</w:t>
      </w:r>
      <w:r w:rsidRPr="00CA2618">
        <w:t>, palétuvier casse-tête</w:t>
      </w:r>
      <w:r w:rsidR="00943856">
        <w:t xml:space="preserve"> ou puzzle</w:t>
      </w:r>
      <w:r w:rsidR="006A79A5">
        <w:t xml:space="preserve">, </w:t>
      </w:r>
      <w:r w:rsidR="006A79A5" w:rsidRPr="006A79A5">
        <w:t>palétuvier boulet de canon, palétuvier cèdre</w:t>
      </w:r>
      <w:r w:rsidR="006A79A5">
        <w:t>.</w:t>
      </w:r>
    </w:p>
    <w:p w14:paraId="7ED1985F" w14:textId="77777777" w:rsidR="00CA2618" w:rsidRPr="00CA2618" w:rsidRDefault="00CA2618" w:rsidP="00CA2618">
      <w:pPr>
        <w:spacing w:after="0" w:line="240" w:lineRule="auto"/>
      </w:pPr>
      <w:r w:rsidRPr="00CA2618">
        <w:rPr>
          <w:u w:val="single"/>
        </w:rPr>
        <w:t xml:space="preserve">Noms vernaculaires </w:t>
      </w:r>
      <w:r w:rsidRPr="00CA2618">
        <w:t>:</w:t>
      </w:r>
    </w:p>
    <w:p w14:paraId="49CF78C3" w14:textId="5DF215AC" w:rsidR="00CA2618" w:rsidRPr="00CA2618" w:rsidRDefault="00CA2618" w:rsidP="00CA2618">
      <w:pPr>
        <w:spacing w:after="0" w:line="240" w:lineRule="auto"/>
      </w:pPr>
      <w:r w:rsidRPr="00CA2618">
        <w:rPr>
          <w:u w:val="single"/>
        </w:rPr>
        <w:t>Écologie</w:t>
      </w:r>
      <w:r w:rsidRPr="00CA2618">
        <w:t xml:space="preserve"> : milieu peu salé</w:t>
      </w:r>
      <w:r>
        <w:t>.</w:t>
      </w:r>
    </w:p>
    <w:p w14:paraId="37589B3F" w14:textId="701973DA" w:rsidR="00CA2618" w:rsidRPr="00CA2618" w:rsidRDefault="00CA2618" w:rsidP="00541161">
      <w:pPr>
        <w:spacing w:after="0" w:line="240" w:lineRule="auto"/>
        <w:jc w:val="both"/>
      </w:pPr>
      <w:r w:rsidRPr="00CA2618">
        <w:rPr>
          <w:u w:val="single"/>
        </w:rPr>
        <w:t>Salinité</w:t>
      </w:r>
      <w:r w:rsidRPr="00CA2618">
        <w:t xml:space="preserve"> :</w:t>
      </w:r>
      <w:r w:rsidR="00541161">
        <w:t xml:space="preserve"> </w:t>
      </w:r>
      <w:r w:rsidR="00F53213" w:rsidRPr="00F53213">
        <w:t>Il tolère une salinité de 0,1</w:t>
      </w:r>
      <w:r w:rsidR="00F53213">
        <w:t>-</w:t>
      </w:r>
      <w:r w:rsidR="00F53213" w:rsidRPr="00F53213">
        <w:t xml:space="preserve">3%. </w:t>
      </w:r>
      <w:r w:rsidR="00541161" w:rsidRPr="00541161">
        <w:t>Il se rencontre préférentiellement dans les zones peu immergées, ce qui explique sa faible adaptation aux stress hydriques et salins.</w:t>
      </w:r>
    </w:p>
    <w:p w14:paraId="5E41F73A" w14:textId="64C138A5" w:rsidR="00CA2618" w:rsidRPr="00CA2618" w:rsidRDefault="00CA2618" w:rsidP="00CA2618">
      <w:pPr>
        <w:spacing w:after="0" w:line="240" w:lineRule="auto"/>
        <w:jc w:val="both"/>
      </w:pPr>
      <w:r w:rsidRPr="00CA2618">
        <w:rPr>
          <w:u w:val="single"/>
        </w:rPr>
        <w:t>Zonation</w:t>
      </w:r>
      <w:r w:rsidRPr="00CA2618">
        <w:t xml:space="preserve"> : immersion quotidienne (zone intertidale), immersion à forte marée, atterrissements</w:t>
      </w:r>
      <w:r>
        <w:t xml:space="preserve"> </w:t>
      </w:r>
      <w:r w:rsidRPr="00CA2618">
        <w:t>vaseux, immersion à grande marée d'équinoxe et chenaux des marées, sol salé des chenaux marins</w:t>
      </w:r>
      <w:r w:rsidR="006A79A5">
        <w:t xml:space="preserve">. </w:t>
      </w:r>
      <w:r w:rsidR="007A54E1" w:rsidRPr="006A79A5">
        <w:t>Il</w:t>
      </w:r>
      <w:r w:rsidR="006A79A5" w:rsidRPr="006A79A5">
        <w:t xml:space="preserve"> pousse dans la zone intertidale supérieure et se trouve dans les estuaires et le long des berges des ruisseaux.</w:t>
      </w:r>
    </w:p>
    <w:p w14:paraId="23B65ABE" w14:textId="3F2DD3F5" w:rsidR="00CA2618" w:rsidRPr="00CA2618" w:rsidRDefault="00CA2618" w:rsidP="00CA2618">
      <w:pPr>
        <w:spacing w:after="0" w:line="240" w:lineRule="auto"/>
      </w:pPr>
      <w:r w:rsidRPr="00CA2618">
        <w:rPr>
          <w:u w:val="single"/>
        </w:rPr>
        <w:t>Plantule</w:t>
      </w:r>
      <w:r w:rsidRPr="00CA2618">
        <w:t xml:space="preserve"> :</w:t>
      </w:r>
      <w:r w:rsidR="00DB0ED3">
        <w:t> ?</w:t>
      </w:r>
    </w:p>
    <w:p w14:paraId="25C3E95E" w14:textId="44C4CA46" w:rsidR="00CA2618" w:rsidRPr="00CA2618" w:rsidRDefault="00CA2618" w:rsidP="00CA2618">
      <w:pPr>
        <w:spacing w:after="0" w:line="240" w:lineRule="auto"/>
      </w:pPr>
      <w:r w:rsidRPr="00CA2618">
        <w:rPr>
          <w:u w:val="single"/>
        </w:rPr>
        <w:t>Plante</w:t>
      </w:r>
      <w:r w:rsidRPr="00CA2618">
        <w:t xml:space="preserve"> : 6-9 m de haut ; 65 à 75 cm</w:t>
      </w:r>
      <w:r w:rsidR="00490A21">
        <w:t>.</w:t>
      </w:r>
    </w:p>
    <w:p w14:paraId="67DC736B" w14:textId="1EF7E5D9" w:rsidR="00CA2618" w:rsidRPr="00CA2618" w:rsidRDefault="00CA2618" w:rsidP="00490A21">
      <w:pPr>
        <w:spacing w:after="0" w:line="240" w:lineRule="auto"/>
        <w:jc w:val="both"/>
      </w:pPr>
      <w:r w:rsidRPr="00CA2618">
        <w:rPr>
          <w:u w:val="single"/>
        </w:rPr>
        <w:t>Tronc</w:t>
      </w:r>
      <w:r w:rsidRPr="00CA2618">
        <w:t xml:space="preserve"> :</w:t>
      </w:r>
      <w:r w:rsidR="00490A21">
        <w:t xml:space="preserve"> </w:t>
      </w:r>
      <w:r w:rsidR="00490A21" w:rsidRPr="00490A21">
        <w:t>Le tronc a des contreforts et des racines aériennes qui s'étendent sur de longues distances de chaque côté. L'écorce est brune et lisse, et se détache en flocons.</w:t>
      </w:r>
    </w:p>
    <w:p w14:paraId="0F44B986" w14:textId="286B503D" w:rsidR="00CA2618" w:rsidRPr="00CA2618" w:rsidRDefault="00CA2618" w:rsidP="00CA2618">
      <w:pPr>
        <w:spacing w:after="0" w:line="240" w:lineRule="auto"/>
      </w:pPr>
      <w:r w:rsidRPr="00CA2618">
        <w:rPr>
          <w:u w:val="single"/>
        </w:rPr>
        <w:t>Racines</w:t>
      </w:r>
      <w:r w:rsidRPr="00CA2618">
        <w:t xml:space="preserve"> : à contrefort</w:t>
      </w:r>
      <w:r w:rsidR="00A85994">
        <w:t xml:space="preserve">. </w:t>
      </w:r>
    </w:p>
    <w:p w14:paraId="5A8E0180" w14:textId="603286F2" w:rsidR="00CA2618" w:rsidRPr="00CA2618" w:rsidRDefault="00CA2618" w:rsidP="00CA2618">
      <w:pPr>
        <w:spacing w:after="0" w:line="240" w:lineRule="auto"/>
      </w:pPr>
      <w:r w:rsidRPr="00CA2618">
        <w:rPr>
          <w:u w:val="single"/>
        </w:rPr>
        <w:t>Pneumatophores</w:t>
      </w:r>
      <w:r w:rsidRPr="00CA2618">
        <w:t xml:space="preserve"> : absents</w:t>
      </w:r>
      <w:r w:rsidR="008F3771">
        <w:t>.</w:t>
      </w:r>
    </w:p>
    <w:p w14:paraId="14DC71B5" w14:textId="3D9D05BC" w:rsidR="00CA2618" w:rsidRPr="00CA2618" w:rsidRDefault="00CA2618" w:rsidP="00A85994">
      <w:pPr>
        <w:spacing w:after="0" w:line="240" w:lineRule="auto"/>
        <w:jc w:val="both"/>
      </w:pPr>
      <w:r w:rsidRPr="00CA2618">
        <w:rPr>
          <w:u w:val="single"/>
        </w:rPr>
        <w:t>Feuilles</w:t>
      </w:r>
      <w:r w:rsidRPr="00CA2618">
        <w:t xml:space="preserve"> : composées folioles en nombre pairs, ovale, vert clair</w:t>
      </w:r>
      <w:r w:rsidR="00A85994">
        <w:t xml:space="preserve">. </w:t>
      </w:r>
      <w:r w:rsidR="00A85994" w:rsidRPr="00A85994">
        <w:t>Les feuilles sont pennées et disposées en spirale sur les rameaux; elles ont deux à quatre paires de folioles et sont vert pâle lorsqu'elles sont jeunes et s'assombrissent avec l'âge.</w:t>
      </w:r>
    </w:p>
    <w:p w14:paraId="6802D6F0" w14:textId="776F46F7" w:rsidR="00CA2618" w:rsidRPr="00CA2618" w:rsidRDefault="00CA2618" w:rsidP="00943856">
      <w:pPr>
        <w:spacing w:after="0" w:line="240" w:lineRule="auto"/>
        <w:jc w:val="both"/>
      </w:pPr>
      <w:r w:rsidRPr="00CA2618">
        <w:rPr>
          <w:u w:val="single"/>
        </w:rPr>
        <w:t>Inflorescences</w:t>
      </w:r>
      <w:r w:rsidRPr="00CA2618">
        <w:t xml:space="preserve"> :</w:t>
      </w:r>
      <w:r w:rsidR="00943856">
        <w:t xml:space="preserve"> </w:t>
      </w:r>
      <w:r w:rsidR="00943856" w:rsidRPr="00943856">
        <w:t>L' inflorescence se développe en une courte panicule</w:t>
      </w:r>
      <w:r w:rsidR="00943856">
        <w:t xml:space="preserve"> </w:t>
      </w:r>
      <w:r w:rsidR="00943856" w:rsidRPr="00943856">
        <w:t>à l'aisselle d'une feuille ou à l'extrémité de la pousse. Les fleurs individuelles mesurent 8 mm (0,3 po) de large, avec des parties par quatre, et sont blanches ou jaune rosâtre.</w:t>
      </w:r>
    </w:p>
    <w:p w14:paraId="4FFC9924" w14:textId="10D3622A" w:rsidR="00CA2618" w:rsidRPr="00CA2618" w:rsidRDefault="00CA2618" w:rsidP="00943856">
      <w:pPr>
        <w:spacing w:after="0" w:line="240" w:lineRule="auto"/>
        <w:jc w:val="both"/>
      </w:pPr>
      <w:r w:rsidRPr="00CA2618">
        <w:rPr>
          <w:u w:val="single"/>
        </w:rPr>
        <w:lastRenderedPageBreak/>
        <w:t>Fruits</w:t>
      </w:r>
      <w:r w:rsidRPr="00CA2618">
        <w:t xml:space="preserve"> : très gros fruits sphériques, légers</w:t>
      </w:r>
      <w:r w:rsidR="00943856">
        <w:t xml:space="preserve">. </w:t>
      </w:r>
      <w:r w:rsidR="00943856" w:rsidRPr="00943856">
        <w:t>Les fleurs sont suivi</w:t>
      </w:r>
      <w:r w:rsidR="00943856">
        <w:t>e</w:t>
      </w:r>
      <w:r w:rsidR="00943856" w:rsidRPr="00943856">
        <w:t>s de grandes capsules ligneuses sphériques, de 9 à 12 cm (4 à 5 pouces) de diamètre, qui se fendent pour révéler jusqu'à une douzaine de graines. Le nom commun "</w:t>
      </w:r>
      <w:r w:rsidR="004910D9" w:rsidRPr="00CA2618">
        <w:t>palétuvier casse-tête</w:t>
      </w:r>
      <w:r w:rsidR="00943856" w:rsidRPr="00943856">
        <w:t xml:space="preserve">" dérive de la forme irrégulière des graines : un puzzle peut être </w:t>
      </w:r>
      <w:r w:rsidR="004910D9">
        <w:t>créé</w:t>
      </w:r>
      <w:r w:rsidR="00943856" w:rsidRPr="00943856">
        <w:t xml:space="preserve"> en mélangeant les graines et en essayant de les réassembler dans l</w:t>
      </w:r>
      <w:r w:rsidR="004910D9">
        <w:t xml:space="preserve">eur </w:t>
      </w:r>
      <w:r w:rsidR="00943856" w:rsidRPr="00943856">
        <w:t>arrangement sphérique original.</w:t>
      </w:r>
    </w:p>
    <w:p w14:paraId="288BDFC2" w14:textId="77777777" w:rsidR="00CA2618" w:rsidRPr="00CA2618" w:rsidRDefault="00CA2618" w:rsidP="00CA2618">
      <w:pPr>
        <w:spacing w:after="0" w:line="240" w:lineRule="auto"/>
      </w:pPr>
      <w:r w:rsidRPr="00CA2618">
        <w:rPr>
          <w:u w:val="single"/>
        </w:rPr>
        <w:t xml:space="preserve">Période de collecte des fruits </w:t>
      </w:r>
      <w:r w:rsidRPr="00CA2618">
        <w:t>: mai (à Madagascar)</w:t>
      </w:r>
    </w:p>
    <w:p w14:paraId="1913DB9D" w14:textId="6B12496D" w:rsidR="00CA2618" w:rsidRPr="00CA2618" w:rsidRDefault="00CA2618" w:rsidP="00541161">
      <w:pPr>
        <w:spacing w:after="0" w:line="240" w:lineRule="auto"/>
        <w:jc w:val="both"/>
      </w:pPr>
      <w:r w:rsidRPr="00CA2618">
        <w:rPr>
          <w:u w:val="single"/>
        </w:rPr>
        <w:t>Utilisation</w:t>
      </w:r>
      <w:r w:rsidRPr="00CA2618">
        <w:t xml:space="preserve"> : </w:t>
      </w:r>
      <w:r w:rsidR="00541161" w:rsidRPr="00541161">
        <w:t>Le bois est dur et durable et peut être utilisé pour la construction de bateaux</w:t>
      </w:r>
      <w:r w:rsidR="00541161">
        <w:t xml:space="preserve"> _ </w:t>
      </w:r>
      <w:r w:rsidR="00541161" w:rsidRPr="00541161">
        <w:t>Kasama (étrave) de pirogue</w:t>
      </w:r>
      <w:r w:rsidR="00541161">
        <w:t xml:space="preserve"> … _</w:t>
      </w:r>
      <w:r w:rsidR="00541161" w:rsidRPr="00541161">
        <w:t xml:space="preserve">, </w:t>
      </w:r>
      <w:r w:rsidR="00541161">
        <w:t>l’</w:t>
      </w:r>
      <w:r w:rsidR="00541161" w:rsidRPr="00541161">
        <w:t>encadrement de porte, la construction et la fabrication de meubles, mais les arbres sont tordus et souvent creux, de sorte que les gros morceaux de bois peuvent ne pas être disponibles ; le bois est également utilisé pour les manches d'outils et autres petits objets, et peut être utilisé comme bois de chauffage</w:t>
      </w:r>
      <w:r w:rsidR="00541161">
        <w:t>,</w:t>
      </w:r>
      <w:r w:rsidR="00541161" w:rsidRPr="00541161">
        <w:t xml:space="preserve"> mais brûle assez rapidement</w:t>
      </w:r>
      <w:r w:rsidR="00541161">
        <w:t xml:space="preserve"> (donc il est rarement utilisé comme bois de chauffe)</w:t>
      </w:r>
      <w:r w:rsidR="00541161" w:rsidRPr="00541161">
        <w:t>. L'écorce est riche en tanins et a été utilisée pour renforcer la corde et teindre le tissu. L'écorce, les fruits et les graines ont été utilisés en médecine traditionnelle.</w:t>
      </w:r>
    </w:p>
    <w:p w14:paraId="29DCCA1D" w14:textId="77777777" w:rsidR="00CA2618" w:rsidRPr="00CA2618" w:rsidRDefault="00CA2618" w:rsidP="00CA2618">
      <w:pPr>
        <w:spacing w:after="0" w:line="240" w:lineRule="auto"/>
      </w:pPr>
      <w:r w:rsidRPr="00CA2618">
        <w:rPr>
          <w:u w:val="single"/>
        </w:rPr>
        <w:t xml:space="preserve">Conservation :des graines </w:t>
      </w:r>
      <w:r w:rsidRPr="00CA2618">
        <w:t>:</w:t>
      </w:r>
    </w:p>
    <w:p w14:paraId="1642773B" w14:textId="58DEA6BB" w:rsidR="00CA2618" w:rsidRPr="00CA2618" w:rsidRDefault="00CA2618" w:rsidP="00CA2618">
      <w:pPr>
        <w:spacing w:after="0" w:line="240" w:lineRule="auto"/>
      </w:pPr>
      <w:r w:rsidRPr="00CA2618">
        <w:rPr>
          <w:u w:val="single"/>
        </w:rPr>
        <w:t>Dormance</w:t>
      </w:r>
      <w:r w:rsidRPr="00CA2618">
        <w:t xml:space="preserve"> : pas de dormance</w:t>
      </w:r>
      <w:r w:rsidR="00541161">
        <w:t>.</w:t>
      </w:r>
    </w:p>
    <w:p w14:paraId="76B18C4A" w14:textId="5682A9E3" w:rsidR="00A277C9" w:rsidRDefault="00CA2618" w:rsidP="00CA2618">
      <w:pPr>
        <w:spacing w:after="0" w:line="240" w:lineRule="auto"/>
      </w:pPr>
      <w:r w:rsidRPr="00CA2618">
        <w:rPr>
          <w:u w:val="single"/>
        </w:rPr>
        <w:t>Multiplication</w:t>
      </w:r>
      <w:r w:rsidRPr="00CA2618">
        <w:t xml:space="preserve"> : par graines</w:t>
      </w:r>
      <w:r>
        <w:t>.</w:t>
      </w:r>
    </w:p>
    <w:p w14:paraId="5B1F17EF" w14:textId="5C5CB0EC" w:rsidR="00CA2618" w:rsidRPr="00CA2618" w:rsidRDefault="00CA2618" w:rsidP="00CA2618">
      <w:pPr>
        <w:spacing w:after="0" w:line="240" w:lineRule="auto"/>
      </w:pPr>
      <w:r w:rsidRPr="00CA2618">
        <w:t>Source</w:t>
      </w:r>
      <w:r>
        <w:t>s</w:t>
      </w:r>
      <w:r w:rsidRPr="00CA2618">
        <w:t xml:space="preserve"> : </w:t>
      </w:r>
      <w:r>
        <w:t xml:space="preserve">a) </w:t>
      </w:r>
      <w:r w:rsidRPr="00CA2618">
        <w:t xml:space="preserve">Espèces de palétuviers dans les mangroves de Toliara, Serge Tostain, FORMAD Environnement, Toliara, juin 2010, </w:t>
      </w:r>
      <w:hyperlink r:id="rId1192" w:history="1">
        <w:r w:rsidRPr="00CA2618">
          <w:rPr>
            <w:rStyle w:val="Lienhypertexte"/>
          </w:rPr>
          <w:t>http://www.formad-environnement.org/paletuviers_29dec11.pdf</w:t>
        </w:r>
      </w:hyperlink>
      <w:r w:rsidRPr="00CA2618">
        <w:t xml:space="preserve"> </w:t>
      </w:r>
    </w:p>
    <w:p w14:paraId="6DBC5E80" w14:textId="39713707" w:rsidR="00CA2618" w:rsidRDefault="00CA2618" w:rsidP="00CA2618">
      <w:pPr>
        <w:spacing w:after="0" w:line="240" w:lineRule="auto"/>
        <w:rPr>
          <w:lang w:val="en-GB"/>
        </w:rPr>
      </w:pPr>
      <w:r w:rsidRPr="00CA2618">
        <w:rPr>
          <w:lang w:val="en-GB"/>
        </w:rPr>
        <w:t xml:space="preserve">b) </w:t>
      </w:r>
      <w:hyperlink r:id="rId1193" w:history="1">
        <w:r w:rsidRPr="00AF787D">
          <w:rPr>
            <w:rStyle w:val="Lienhypertexte"/>
            <w:lang w:val="en-GB"/>
          </w:rPr>
          <w:t>https://en.wikipedia.org/wiki/Xylocarpus_granatum</w:t>
        </w:r>
      </w:hyperlink>
      <w:r>
        <w:rPr>
          <w:lang w:val="en-GB"/>
        </w:rPr>
        <w:t xml:space="preserve"> </w:t>
      </w:r>
    </w:p>
    <w:p w14:paraId="4758D073" w14:textId="425902E2" w:rsidR="00411F84" w:rsidRPr="00CA2618" w:rsidRDefault="00411F84" w:rsidP="00CA2618">
      <w:pPr>
        <w:spacing w:after="0" w:line="240" w:lineRule="auto"/>
        <w:rPr>
          <w:lang w:val="en-GB"/>
        </w:rPr>
      </w:pPr>
      <w:r>
        <w:rPr>
          <w:lang w:val="en-GB"/>
        </w:rPr>
        <w:t xml:space="preserve">c) </w:t>
      </w:r>
      <w:hyperlink r:id="rId1194" w:history="1">
        <w:r w:rsidRPr="00AF787D">
          <w:rPr>
            <w:rStyle w:val="Lienhypertexte"/>
            <w:lang w:val="en-GB"/>
          </w:rPr>
          <w:t>https://uses.plantnet-project.org/fr/Xylocarpus_granatum_(PROTA)</w:t>
        </w:r>
      </w:hyperlink>
      <w:r>
        <w:rPr>
          <w:lang w:val="en-GB"/>
        </w:rPr>
        <w:t xml:space="preserve"> </w:t>
      </w:r>
    </w:p>
    <w:p w14:paraId="75AB04C8" w14:textId="35BC788C" w:rsidR="00DA65F7" w:rsidRDefault="00DA65F7" w:rsidP="008B182C">
      <w:pPr>
        <w:spacing w:after="0" w:line="240" w:lineRule="auto"/>
        <w:rPr>
          <w:lang w:val="en-G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F53213" w14:paraId="7EDA0DB1" w14:textId="77777777" w:rsidTr="00411F84">
        <w:tc>
          <w:tcPr>
            <w:tcW w:w="5208" w:type="dxa"/>
          </w:tcPr>
          <w:p w14:paraId="5CD9D186" w14:textId="40CCA010" w:rsidR="00F53213" w:rsidRDefault="00F53213" w:rsidP="00F53213">
            <w:pPr>
              <w:jc w:val="center"/>
              <w:rPr>
                <w:lang w:val="en-GB"/>
              </w:rPr>
            </w:pPr>
            <w:r w:rsidRPr="00F53213">
              <w:rPr>
                <w:noProof/>
              </w:rPr>
              <w:drawing>
                <wp:inline distT="0" distB="0" distL="0" distR="0" wp14:anchorId="05256666" wp14:editId="59721D8C">
                  <wp:extent cx="2759451" cy="2066925"/>
                  <wp:effectExtent l="0" t="0" r="3175" b="0"/>
                  <wp:docPr id="202768" name="Picture 6" descr="C:\Users\LISAN\Pictures\plantes-halophytes-xerophiles\Xylocarpus granatum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68" name="Picture 6" descr="C:\Users\LISAN\Pictures\plantes-halophytes-xerophiles\Xylocarpus granatum5.jpg"/>
                          <pic:cNvPicPr>
                            <a:picLocks noChangeAspect="1" noChangeArrowheads="1"/>
                          </pic:cNvPicPr>
                        </pic:nvPicPr>
                        <pic:blipFill>
                          <a:blip r:embed="rId1195">
                            <a:extLst>
                              <a:ext uri="{28A0092B-C50C-407E-A947-70E740481C1C}">
                                <a14:useLocalDpi xmlns:a14="http://schemas.microsoft.com/office/drawing/2010/main" val="0"/>
                              </a:ext>
                            </a:extLst>
                          </a:blip>
                          <a:srcRect/>
                          <a:stretch>
                            <a:fillRect/>
                          </a:stretch>
                        </pic:blipFill>
                        <pic:spPr bwMode="auto">
                          <a:xfrm>
                            <a:off x="0" y="0"/>
                            <a:ext cx="2764568" cy="2070758"/>
                          </a:xfrm>
                          <a:prstGeom prst="rect">
                            <a:avLst/>
                          </a:prstGeom>
                          <a:noFill/>
                          <a:ln>
                            <a:noFill/>
                          </a:ln>
                        </pic:spPr>
                      </pic:pic>
                    </a:graphicData>
                  </a:graphic>
                </wp:inline>
              </w:drawing>
            </w:r>
          </w:p>
        </w:tc>
        <w:tc>
          <w:tcPr>
            <w:tcW w:w="5208" w:type="dxa"/>
          </w:tcPr>
          <w:p w14:paraId="42A55115" w14:textId="77777777" w:rsidR="00F53213" w:rsidRDefault="00F53213" w:rsidP="00F53213">
            <w:pPr>
              <w:jc w:val="center"/>
              <w:rPr>
                <w:lang w:val="en-GB"/>
              </w:rPr>
            </w:pPr>
            <w:r w:rsidRPr="00F53213">
              <w:rPr>
                <w:noProof/>
              </w:rPr>
              <w:drawing>
                <wp:inline distT="0" distB="0" distL="0" distR="0" wp14:anchorId="551740B5" wp14:editId="781A5011">
                  <wp:extent cx="2143125" cy="2143125"/>
                  <wp:effectExtent l="0" t="0" r="9525" b="9525"/>
                  <wp:docPr id="202764" name="Picture 2" descr="C:\Users\LISAN\Pictures\plantes-halophytes-xerophiles\Xylocarpus granatum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64" name="Picture 2" descr="C:\Users\LISAN\Pictures\plantes-halophytes-xerophiles\Xylocarpus granatum6.jpg"/>
                          <pic:cNvPicPr>
                            <a:picLocks noChangeAspect="1" noChangeArrowheads="1"/>
                          </pic:cNvPicPr>
                        </pic:nvPicPr>
                        <pic:blipFill>
                          <a:blip r:embed="rId1196">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B47DC45" w14:textId="2915C14C" w:rsidR="00411F84" w:rsidRDefault="00411F84" w:rsidP="00F53213">
            <w:pPr>
              <w:jc w:val="center"/>
              <w:rPr>
                <w:lang w:val="en-GB"/>
              </w:rPr>
            </w:pPr>
          </w:p>
        </w:tc>
      </w:tr>
      <w:tr w:rsidR="00F53213" w14:paraId="4CBC52D7" w14:textId="77777777" w:rsidTr="00411F84">
        <w:tc>
          <w:tcPr>
            <w:tcW w:w="5208" w:type="dxa"/>
          </w:tcPr>
          <w:p w14:paraId="0E4C3C36" w14:textId="2247C08F" w:rsidR="00F53213" w:rsidRDefault="00F53213" w:rsidP="00F53213">
            <w:pPr>
              <w:jc w:val="center"/>
              <w:rPr>
                <w:lang w:val="en-GB"/>
              </w:rPr>
            </w:pPr>
            <w:r w:rsidRPr="00F53213">
              <w:rPr>
                <w:noProof/>
              </w:rPr>
              <w:drawing>
                <wp:inline distT="0" distB="0" distL="0" distR="0" wp14:anchorId="083E01A0" wp14:editId="4DD11F48">
                  <wp:extent cx="2495550" cy="1828800"/>
                  <wp:effectExtent l="0" t="0" r="0" b="0"/>
                  <wp:docPr id="202767" name="Picture 5" descr="C:\Users\LISAN\Pictures\plantes-halophytes-xerophiles\Xylocarpus granatum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67" name="Picture 5" descr="C:\Users\LISAN\Pictures\plantes-halophytes-xerophiles\Xylocarpus granatum4.jpg"/>
                          <pic:cNvPicPr>
                            <a:picLocks noChangeAspect="1" noChangeArrowheads="1"/>
                          </pic:cNvPicPr>
                        </pic:nvPicPr>
                        <pic:blipFill>
                          <a:blip r:embed="rId1197">
                            <a:extLst>
                              <a:ext uri="{28A0092B-C50C-407E-A947-70E740481C1C}">
                                <a14:useLocalDpi xmlns:a14="http://schemas.microsoft.com/office/drawing/2010/main" val="0"/>
                              </a:ext>
                            </a:extLst>
                          </a:blip>
                          <a:srcRect/>
                          <a:stretch>
                            <a:fillRect/>
                          </a:stretch>
                        </pic:blipFill>
                        <pic:spPr bwMode="auto">
                          <a:xfrm>
                            <a:off x="0" y="0"/>
                            <a:ext cx="2495550" cy="182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lang w:val="en-GB"/>
              </w:rPr>
              <w:t xml:space="preserve"> </w:t>
            </w:r>
          </w:p>
        </w:tc>
        <w:tc>
          <w:tcPr>
            <w:tcW w:w="5208" w:type="dxa"/>
          </w:tcPr>
          <w:p w14:paraId="1FDAC3D6" w14:textId="77777777" w:rsidR="00F53213" w:rsidRDefault="00F53213" w:rsidP="00F53213">
            <w:pPr>
              <w:jc w:val="center"/>
              <w:rPr>
                <w:lang w:val="en-GB"/>
              </w:rPr>
            </w:pPr>
            <w:r w:rsidRPr="00F53213">
              <w:rPr>
                <w:noProof/>
              </w:rPr>
              <w:drawing>
                <wp:inline distT="0" distB="0" distL="0" distR="0" wp14:anchorId="6940120B" wp14:editId="5A0125DB">
                  <wp:extent cx="2466975" cy="1847850"/>
                  <wp:effectExtent l="0" t="0" r="9525" b="0"/>
                  <wp:docPr id="202766" name="Picture 4" descr="C:\Users\LISAN\Pictures\plantes-halophytes-xerophiles\Xylocarpus granatum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66" name="Picture 4" descr="C:\Users\LISAN\Pictures\plantes-halophytes-xerophiles\Xylocarpus granatum3.jpg"/>
                          <pic:cNvPicPr>
                            <a:picLocks noChangeAspect="1" noChangeArrowheads="1"/>
                          </pic:cNvPicPr>
                        </pic:nvPicPr>
                        <pic:blipFill>
                          <a:blip r:embed="rId1198">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DAE8F4E" w14:textId="5B246F9D" w:rsidR="00411F84" w:rsidRDefault="00411F84" w:rsidP="00F53213">
            <w:pPr>
              <w:jc w:val="center"/>
              <w:rPr>
                <w:lang w:val="en-GB"/>
              </w:rPr>
            </w:pPr>
          </w:p>
        </w:tc>
      </w:tr>
      <w:tr w:rsidR="00F53213" w14:paraId="1850D2EB" w14:textId="77777777" w:rsidTr="00411F84">
        <w:tc>
          <w:tcPr>
            <w:tcW w:w="5208" w:type="dxa"/>
          </w:tcPr>
          <w:p w14:paraId="6FC2E216" w14:textId="22897300" w:rsidR="00F53213" w:rsidRDefault="00F53213" w:rsidP="00F53213">
            <w:pPr>
              <w:jc w:val="center"/>
              <w:rPr>
                <w:lang w:val="en-GB"/>
              </w:rPr>
            </w:pPr>
            <w:r w:rsidRPr="00F53213">
              <w:rPr>
                <w:noProof/>
              </w:rPr>
              <w:lastRenderedPageBreak/>
              <w:drawing>
                <wp:inline distT="0" distB="0" distL="0" distR="0" wp14:anchorId="0E0D8891" wp14:editId="46DF2D65">
                  <wp:extent cx="2475699" cy="1847850"/>
                  <wp:effectExtent l="0" t="0" r="1270" b="0"/>
                  <wp:docPr id="202765" name="Picture 3" descr="C:\Users\LISAN\Pictures\plantes-halophytes-xerophiles\Xylocarpus granatu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65" name="Picture 3" descr="C:\Users\LISAN\Pictures\plantes-halophytes-xerophiles\Xylocarpus granatum1.jpg"/>
                          <pic:cNvPicPr>
                            <a:picLocks noChangeAspect="1" noChangeArrowheads="1"/>
                          </pic:cNvPicPr>
                        </pic:nvPicPr>
                        <pic:blipFill>
                          <a:blip r:embed="rId1199">
                            <a:extLst>
                              <a:ext uri="{28A0092B-C50C-407E-A947-70E740481C1C}">
                                <a14:useLocalDpi xmlns:a14="http://schemas.microsoft.com/office/drawing/2010/main" val="0"/>
                              </a:ext>
                            </a:extLst>
                          </a:blip>
                          <a:srcRect/>
                          <a:stretch>
                            <a:fillRect/>
                          </a:stretch>
                        </pic:blipFill>
                        <pic:spPr bwMode="auto">
                          <a:xfrm>
                            <a:off x="0" y="0"/>
                            <a:ext cx="2481733" cy="1852354"/>
                          </a:xfrm>
                          <a:prstGeom prst="rect">
                            <a:avLst/>
                          </a:prstGeom>
                          <a:noFill/>
                          <a:ln>
                            <a:noFill/>
                          </a:ln>
                        </pic:spPr>
                      </pic:pic>
                    </a:graphicData>
                  </a:graphic>
                </wp:inline>
              </w:drawing>
            </w:r>
          </w:p>
        </w:tc>
        <w:tc>
          <w:tcPr>
            <w:tcW w:w="5208" w:type="dxa"/>
          </w:tcPr>
          <w:p w14:paraId="226859FC" w14:textId="63B3943C" w:rsidR="00F53213" w:rsidRDefault="00411F84" w:rsidP="00F53213">
            <w:pPr>
              <w:jc w:val="center"/>
              <w:rPr>
                <w:lang w:val="en-GB"/>
              </w:rPr>
            </w:pPr>
            <w:r>
              <w:rPr>
                <w:noProof/>
              </w:rPr>
              <w:drawing>
                <wp:inline distT="0" distB="0" distL="0" distR="0" wp14:anchorId="2CB13096" wp14:editId="04FC7224">
                  <wp:extent cx="2466975" cy="1847850"/>
                  <wp:effectExtent l="0" t="0" r="9525" b="0"/>
                  <wp:docPr id="195607" name="Image 195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200">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pic:spPr>
                      </pic:pic>
                    </a:graphicData>
                  </a:graphic>
                </wp:inline>
              </w:drawing>
            </w:r>
            <w:r>
              <w:rPr>
                <w:rStyle w:val="Appelnotedebasdep"/>
                <w:lang w:val="en-GB"/>
              </w:rPr>
              <w:t xml:space="preserve"> </w:t>
            </w:r>
            <w:r>
              <w:rPr>
                <w:rStyle w:val="Appelnotedebasdep"/>
                <w:lang w:val="en-GB"/>
              </w:rPr>
              <w:footnoteReference w:id="96"/>
            </w:r>
          </w:p>
        </w:tc>
      </w:tr>
    </w:tbl>
    <w:p w14:paraId="00CEF678" w14:textId="77777777" w:rsidR="00411F84" w:rsidRDefault="00411F84" w:rsidP="00411F84">
      <w:pPr>
        <w:spacing w:after="0" w:line="240" w:lineRule="auto"/>
        <w:rPr>
          <w:lang w:val="en-GB"/>
        </w:rPr>
      </w:pPr>
    </w:p>
    <w:p w14:paraId="158C3216" w14:textId="36686939" w:rsidR="000E7BE8" w:rsidRDefault="008F3771" w:rsidP="00D87D3F">
      <w:pPr>
        <w:pStyle w:val="Titre2"/>
      </w:pPr>
      <w:bookmarkStart w:id="136" w:name="_Toc139181427"/>
      <w:r w:rsidRPr="008F3771">
        <w:t>Palétuvier</w:t>
      </w:r>
      <w:r w:rsidRPr="008F3771">
        <w:rPr>
          <w:i/>
          <w:iCs/>
        </w:rPr>
        <w:t xml:space="preserve"> </w:t>
      </w:r>
      <w:r w:rsidRPr="008F3771">
        <w:t>Toto margot (</w:t>
      </w:r>
      <w:r w:rsidRPr="008F3771">
        <w:rPr>
          <w:i/>
          <w:iCs/>
        </w:rPr>
        <w:t>Heritiera littoralis</w:t>
      </w:r>
      <w:r w:rsidRPr="008F3771">
        <w:t>)</w:t>
      </w:r>
      <w:bookmarkEnd w:id="136"/>
    </w:p>
    <w:p w14:paraId="5E999023" w14:textId="443B8627" w:rsidR="008F3771" w:rsidRDefault="008F3771" w:rsidP="00411F84">
      <w:pPr>
        <w:spacing w:after="0" w:line="240" w:lineRule="auto"/>
      </w:pPr>
    </w:p>
    <w:p w14:paraId="4D794721" w14:textId="4529BA51" w:rsidR="008F3771" w:rsidRPr="00CA2618" w:rsidRDefault="008F3771" w:rsidP="008F3771">
      <w:pPr>
        <w:spacing w:after="0" w:line="240" w:lineRule="auto"/>
        <w:rPr>
          <w:rFonts w:ascii="Calibri" w:hAnsi="Calibri" w:cs="Calibri"/>
        </w:rPr>
      </w:pPr>
      <w:r w:rsidRPr="00CA2618">
        <w:rPr>
          <w:rFonts w:ascii="Calibri" w:hAnsi="Calibri" w:cs="Calibri"/>
          <w:u w:val="single"/>
        </w:rPr>
        <w:t>Famille</w:t>
      </w:r>
      <w:r w:rsidRPr="00CA2618">
        <w:rPr>
          <w:rFonts w:ascii="Calibri" w:hAnsi="Calibri" w:cs="Calibri"/>
        </w:rPr>
        <w:t xml:space="preserve"> :</w:t>
      </w:r>
      <w:r w:rsidRPr="0012412B">
        <w:rPr>
          <w:rFonts w:ascii="Calibri" w:hAnsi="Calibri" w:cs="Calibri"/>
        </w:rPr>
        <w:t xml:space="preserve"> </w:t>
      </w:r>
      <w:hyperlink r:id="rId1201" w:tooltip="Sterculiaceae" w:history="1">
        <w:r w:rsidR="0012412B" w:rsidRPr="0012412B">
          <w:rPr>
            <w:rStyle w:val="Lienhypertexte"/>
            <w:rFonts w:ascii="Calibri" w:hAnsi="Calibri" w:cs="Calibri"/>
            <w:i/>
            <w:iCs/>
            <w:color w:val="0645AD"/>
            <w:shd w:val="clear" w:color="auto" w:fill="F9F9F9"/>
          </w:rPr>
          <w:t>Sterculiaceae</w:t>
        </w:r>
      </w:hyperlink>
      <w:r w:rsidR="0012412B" w:rsidRPr="0012412B">
        <w:rPr>
          <w:rFonts w:ascii="Calibri" w:hAnsi="Calibri" w:cs="Calibri"/>
        </w:rPr>
        <w:t xml:space="preserve"> (celle du cacaoyer).</w:t>
      </w:r>
    </w:p>
    <w:p w14:paraId="40AAA37E" w14:textId="40AB2A5C" w:rsidR="008F3771" w:rsidRPr="00CA2618" w:rsidRDefault="008F3771" w:rsidP="008F3771">
      <w:pPr>
        <w:spacing w:after="0" w:line="240" w:lineRule="auto"/>
      </w:pPr>
      <w:r w:rsidRPr="00CA2618">
        <w:rPr>
          <w:u w:val="single"/>
        </w:rPr>
        <w:t>Synonyme</w:t>
      </w:r>
      <w:r w:rsidRPr="00CA2618">
        <w:t xml:space="preserve"> :</w:t>
      </w:r>
      <w:r>
        <w:rPr>
          <w:i/>
          <w:iCs/>
        </w:rPr>
        <w:t xml:space="preserve"> </w:t>
      </w:r>
      <w:r w:rsidR="00D26F8D" w:rsidRPr="00D26F8D">
        <w:t>talotus philippin, mangrove-miroir ou dugun</w:t>
      </w:r>
      <w:r w:rsidR="00D26F8D" w:rsidRPr="00D26F8D">
        <w:rPr>
          <w:i/>
          <w:iCs/>
        </w:rPr>
        <w:t>.</w:t>
      </w:r>
    </w:p>
    <w:p w14:paraId="6B42CC42" w14:textId="155D582A" w:rsidR="00D10C10" w:rsidRPr="00CA2618" w:rsidRDefault="008F3771" w:rsidP="00D10C10">
      <w:pPr>
        <w:spacing w:after="0" w:line="240" w:lineRule="auto"/>
        <w:jc w:val="both"/>
      </w:pPr>
      <w:r w:rsidRPr="00CA2618">
        <w:rPr>
          <w:u w:val="single"/>
        </w:rPr>
        <w:t>Écologie</w:t>
      </w:r>
      <w:r w:rsidRPr="00CA2618">
        <w:t xml:space="preserve"> :</w:t>
      </w:r>
      <w:r>
        <w:t xml:space="preserve"> </w:t>
      </w:r>
      <w:r w:rsidR="005C42A1" w:rsidRPr="005C42A1">
        <w:t>arbre de mangrove et de sub</w:t>
      </w:r>
      <w:r w:rsidR="004003C3">
        <w:t>-</w:t>
      </w:r>
      <w:r w:rsidR="005C42A1" w:rsidRPr="005C42A1">
        <w:t>mangrove</w:t>
      </w:r>
      <w:r w:rsidR="004003C3">
        <w:t>.</w:t>
      </w:r>
      <w:r w:rsidR="00D10C10">
        <w:t xml:space="preserve"> </w:t>
      </w:r>
      <w:r w:rsidR="00D10C10" w:rsidRPr="00D10C10">
        <w:t>Il pousse sur la marge intérieure des mangroves, là où l’eau douce se mélange à l’eau de mer ou prédomine. On le trouve parfois aussi sur des rivages rocheux, et plus souvent sur les berges de cours d’eau soumis à la marée.</w:t>
      </w:r>
    </w:p>
    <w:p w14:paraId="4D74C028" w14:textId="390BF649" w:rsidR="008F3771" w:rsidRPr="00CA2618" w:rsidRDefault="008F3771" w:rsidP="008F3771">
      <w:pPr>
        <w:spacing w:after="0" w:line="240" w:lineRule="auto"/>
        <w:jc w:val="both"/>
      </w:pPr>
      <w:r w:rsidRPr="00CA2618">
        <w:rPr>
          <w:u w:val="single"/>
        </w:rPr>
        <w:t>Salinité</w:t>
      </w:r>
      <w:r w:rsidRPr="00CA2618">
        <w:t xml:space="preserve"> :</w:t>
      </w:r>
      <w:r>
        <w:t xml:space="preserve"> </w:t>
      </w:r>
      <w:r w:rsidR="00D10C10" w:rsidRPr="00D10C10">
        <w:t>Il semble être intolérant à une salinité élevée.</w:t>
      </w:r>
    </w:p>
    <w:p w14:paraId="12FCAAE1" w14:textId="6BDA78B6" w:rsidR="008F3771" w:rsidRPr="00CA2618" w:rsidRDefault="008F3771" w:rsidP="008F3771">
      <w:pPr>
        <w:spacing w:after="0" w:line="240" w:lineRule="auto"/>
      </w:pPr>
      <w:r w:rsidRPr="00CA2618">
        <w:rPr>
          <w:u w:val="single"/>
        </w:rPr>
        <w:t>PH</w:t>
      </w:r>
      <w:r w:rsidRPr="00CA2618">
        <w:t xml:space="preserve"> :</w:t>
      </w:r>
      <w:r w:rsidR="00123872">
        <w:t> ?</w:t>
      </w:r>
    </w:p>
    <w:p w14:paraId="0234463F" w14:textId="3C7CA8AD" w:rsidR="008F3771" w:rsidRPr="00CA2618" w:rsidRDefault="008F3771" w:rsidP="008F3771">
      <w:pPr>
        <w:spacing w:after="0" w:line="240" w:lineRule="auto"/>
        <w:jc w:val="both"/>
      </w:pPr>
      <w:r w:rsidRPr="00CA2618">
        <w:rPr>
          <w:u w:val="single"/>
        </w:rPr>
        <w:t>Zonation</w:t>
      </w:r>
      <w:r w:rsidRPr="00CA2618">
        <w:t xml:space="preserve"> :</w:t>
      </w:r>
      <w:r>
        <w:t xml:space="preserve"> </w:t>
      </w:r>
    </w:p>
    <w:p w14:paraId="2A777D76" w14:textId="42BA37E0" w:rsidR="008F3771" w:rsidRPr="00CA2618" w:rsidRDefault="008F3771" w:rsidP="008F3771">
      <w:pPr>
        <w:spacing w:after="0" w:line="240" w:lineRule="auto"/>
      </w:pPr>
      <w:r w:rsidRPr="00CA2618">
        <w:rPr>
          <w:u w:val="single"/>
        </w:rPr>
        <w:t>Plantule</w:t>
      </w:r>
      <w:r w:rsidRPr="00CA2618">
        <w:t xml:space="preserve"> :</w:t>
      </w:r>
      <w:r w:rsidR="005A101B">
        <w:t xml:space="preserve"> </w:t>
      </w:r>
      <w:r w:rsidR="005A101B" w:rsidRPr="005A101B">
        <w:t>Plantule à germination hypogée.</w:t>
      </w:r>
    </w:p>
    <w:p w14:paraId="4514CF8B" w14:textId="1AFEBB78" w:rsidR="008F3771" w:rsidRPr="00CA2618" w:rsidRDefault="008F3771" w:rsidP="008F3771">
      <w:pPr>
        <w:spacing w:after="0" w:line="240" w:lineRule="auto"/>
      </w:pPr>
      <w:r w:rsidRPr="00CA2618">
        <w:rPr>
          <w:u w:val="single"/>
        </w:rPr>
        <w:t>Plante</w:t>
      </w:r>
      <w:r w:rsidRPr="00CA2618">
        <w:t xml:space="preserve"> :</w:t>
      </w:r>
      <w:r w:rsidR="009D5E61">
        <w:t xml:space="preserve"> </w:t>
      </w:r>
      <w:r w:rsidR="009D5E61" w:rsidRPr="009D5E61">
        <w:t>Grand arbre à noix en forme d'aile</w:t>
      </w:r>
      <w:r w:rsidR="00D10C10">
        <w:t xml:space="preserve">, </w:t>
      </w:r>
      <w:r w:rsidR="00D10C10" w:rsidRPr="004003C3">
        <w:t>de taille moyenne, de 5 à 15 m de hauteur, toujours ver</w:t>
      </w:r>
      <w:r w:rsidR="00D10C10">
        <w:t>t</w:t>
      </w:r>
      <w:r w:rsidR="009D5E61" w:rsidRPr="009D5E61">
        <w:t>.</w:t>
      </w:r>
    </w:p>
    <w:p w14:paraId="4A6AD067" w14:textId="5FA95BAB" w:rsidR="008F3771" w:rsidRPr="00CA2618" w:rsidRDefault="008F3771" w:rsidP="008F3771">
      <w:pPr>
        <w:spacing w:after="0" w:line="240" w:lineRule="auto"/>
        <w:jc w:val="both"/>
      </w:pPr>
      <w:r w:rsidRPr="00CA2618">
        <w:rPr>
          <w:u w:val="single"/>
        </w:rPr>
        <w:t>Tronc</w:t>
      </w:r>
      <w:r w:rsidRPr="00CA2618">
        <w:t xml:space="preserve"> :</w:t>
      </w:r>
      <w:r>
        <w:t xml:space="preserve"> </w:t>
      </w:r>
      <w:r w:rsidR="004003C3" w:rsidRPr="004003C3">
        <w:t>écorce grise rosâtre, lisse sur les sujets jeunes et plus écailleuse sur les arbres plus âgés.</w:t>
      </w:r>
    </w:p>
    <w:p w14:paraId="7EC9CF23" w14:textId="1B70995F" w:rsidR="008F3771" w:rsidRPr="00CA2618" w:rsidRDefault="008F3771" w:rsidP="005B7165">
      <w:pPr>
        <w:spacing w:after="0" w:line="240" w:lineRule="auto"/>
        <w:jc w:val="both"/>
      </w:pPr>
      <w:r w:rsidRPr="00CA2618">
        <w:rPr>
          <w:u w:val="single"/>
        </w:rPr>
        <w:t>Racines</w:t>
      </w:r>
      <w:r w:rsidRPr="00CA2618">
        <w:t xml:space="preserve"> :</w:t>
      </w:r>
      <w:r>
        <w:t xml:space="preserve"> </w:t>
      </w:r>
      <w:r w:rsidR="005B7165" w:rsidRPr="005B7165">
        <w:t>Le fruit se fend sous l’action de la radicule épaisse et dure qui en sort et forme une racine primaire qui pénètre profondément dans le sol. La racine primaire se ramifie ensuite rapidement, et finalement la plumule apparaît.</w:t>
      </w:r>
    </w:p>
    <w:p w14:paraId="1F1C7C1C" w14:textId="2BE6BDDB" w:rsidR="008F3771" w:rsidRPr="00CA2618" w:rsidRDefault="008F3771" w:rsidP="008F3771">
      <w:pPr>
        <w:spacing w:after="0" w:line="240" w:lineRule="auto"/>
      </w:pPr>
      <w:r w:rsidRPr="00CA2618">
        <w:rPr>
          <w:u w:val="single"/>
        </w:rPr>
        <w:t>Pneumatophores</w:t>
      </w:r>
      <w:r w:rsidRPr="00CA2618">
        <w:t xml:space="preserve"> : </w:t>
      </w:r>
      <w:r w:rsidR="005A101B">
        <w:t>absent.</w:t>
      </w:r>
    </w:p>
    <w:p w14:paraId="22D20488" w14:textId="29D6A810" w:rsidR="008F3771" w:rsidRPr="00CA2618" w:rsidRDefault="008F3771" w:rsidP="008F3771">
      <w:pPr>
        <w:spacing w:after="0" w:line="240" w:lineRule="auto"/>
        <w:jc w:val="both"/>
      </w:pPr>
      <w:r w:rsidRPr="00CA2618">
        <w:rPr>
          <w:u w:val="single"/>
        </w:rPr>
        <w:t>Feuilles</w:t>
      </w:r>
      <w:r w:rsidRPr="00CA2618">
        <w:t xml:space="preserve"> : </w:t>
      </w:r>
      <w:r w:rsidR="004003C3">
        <w:t xml:space="preserve">Feuilles </w:t>
      </w:r>
      <w:r w:rsidR="004003C3" w:rsidRPr="004003C3">
        <w:t>oblongues, ovales à elliptiques, avec une extrémité pointue, de 10 à 20 cm de longueur. Elles sont vert foncé sur la face supérieure et très blanche à argentée sur la face inférieure.</w:t>
      </w:r>
      <w:r w:rsidR="004003C3">
        <w:t xml:space="preserve"> </w:t>
      </w:r>
      <w:r w:rsidR="004003C3" w:rsidRPr="009D5E61">
        <w:t>Il est facilement reconnaissable par les écailles argentées présentes sur la face inférieure de ses feuilles, qui apparaissent donc vert d'en haut et blanc d'en bas.</w:t>
      </w:r>
    </w:p>
    <w:p w14:paraId="6E049E62" w14:textId="69331CD9" w:rsidR="008F3771" w:rsidRPr="00CA2618" w:rsidRDefault="008F3771" w:rsidP="008F3771">
      <w:pPr>
        <w:spacing w:after="0" w:line="240" w:lineRule="auto"/>
        <w:jc w:val="both"/>
      </w:pPr>
      <w:r w:rsidRPr="00CA2618">
        <w:rPr>
          <w:u w:val="single"/>
        </w:rPr>
        <w:t>Inflorescences</w:t>
      </w:r>
      <w:r w:rsidRPr="00CA2618">
        <w:t xml:space="preserve"> :</w:t>
      </w:r>
      <w:r>
        <w:t xml:space="preserve"> </w:t>
      </w:r>
      <w:r w:rsidR="005A101B">
        <w:t>P</w:t>
      </w:r>
      <w:r w:rsidR="005A101B" w:rsidRPr="005A101B">
        <w:t>anicule axillaire jusqu’à 18 cm de long, très ramifiée, à poils écailleux. Fleurs unisexuées, régulières, (4–)5-mères, petites ; pédicelle jusqu’à 5 mm de long ; calice en coupe, d’environ 5 mm de long, à lobes courts, poilu ; pétales absents ; fleurs mâles avec des étamines fusionnées en une colonne ; fleurs femelles avec (4–)5 carpelles réunis de manière lâche, généralement un seul carpelle se développant pour former un fruit.</w:t>
      </w:r>
    </w:p>
    <w:p w14:paraId="423D12A8" w14:textId="48B59598" w:rsidR="008F3771" w:rsidRPr="00CA2618" w:rsidRDefault="008F3771" w:rsidP="008F3771">
      <w:pPr>
        <w:spacing w:after="0" w:line="240" w:lineRule="auto"/>
        <w:jc w:val="both"/>
      </w:pPr>
      <w:r w:rsidRPr="00CA2618">
        <w:rPr>
          <w:u w:val="single"/>
        </w:rPr>
        <w:t>Fruits</w:t>
      </w:r>
      <w:r w:rsidRPr="00CA2618">
        <w:t xml:space="preserve"> : </w:t>
      </w:r>
      <w:r w:rsidR="00D86C41" w:rsidRPr="00D86C41">
        <w:t>Le fruit est une graine boisée elliptique d’environ 6 cm de long et 4 cm de large, de couleur pourpre à marron, brillante avec une quille raide sur un côté bien caractéristique.</w:t>
      </w:r>
      <w:r w:rsidR="00182753">
        <w:t xml:space="preserve"> </w:t>
      </w:r>
      <w:r w:rsidR="00182753" w:rsidRPr="00182753">
        <w:t>Fruit : nucule ellipsoïde à oblongue-ovoïde de 6–8 cm × 3–6 cm, avec une crête dressée distincte sur un des côtés, ligneuse, brun luisant, renfermant 1 graine. Graine oblongue-ellipsoïde, aplatie, d’environ 3 cm de long, brune.</w:t>
      </w:r>
    </w:p>
    <w:p w14:paraId="3C019704" w14:textId="6972BCAB" w:rsidR="008F3771" w:rsidRPr="00CA2618" w:rsidRDefault="008F3771" w:rsidP="008F3771">
      <w:pPr>
        <w:spacing w:after="0" w:line="240" w:lineRule="auto"/>
      </w:pPr>
      <w:r w:rsidRPr="00CA2618">
        <w:rPr>
          <w:u w:val="single"/>
        </w:rPr>
        <w:t xml:space="preserve">Période de collecte des fruits </w:t>
      </w:r>
      <w:r w:rsidRPr="00CA2618">
        <w:t>:</w:t>
      </w:r>
      <w:r w:rsidR="00182753">
        <w:t> ?</w:t>
      </w:r>
    </w:p>
    <w:p w14:paraId="4A1FDDDF" w14:textId="644A101F" w:rsidR="009B1020" w:rsidRDefault="008F3771" w:rsidP="00296B70">
      <w:pPr>
        <w:spacing w:after="0" w:line="240" w:lineRule="auto"/>
        <w:jc w:val="both"/>
      </w:pPr>
      <w:r w:rsidRPr="00CA2618">
        <w:rPr>
          <w:u w:val="single"/>
        </w:rPr>
        <w:t>Utilisation</w:t>
      </w:r>
      <w:r w:rsidRPr="00CA2618">
        <w:t xml:space="preserve"> : </w:t>
      </w:r>
      <w:r w:rsidR="009B1020" w:rsidRPr="009B1020">
        <w:t>Son bois est lourd, dur et résistant. Le bois de cœur est brun rougeâtre ou brun foncé, avec souvent une teinte chocolat ou pourpre. La densité est de 830–1040 kg/m³ à 15% de taux d’humidité. Contrefil, grain fin et régulier.</w:t>
      </w:r>
      <w:r w:rsidR="009B1020">
        <w:t xml:space="preserve"> </w:t>
      </w:r>
      <w:r w:rsidR="00A77917">
        <w:t>Le bois de cette espèce est apprécié pour sa ténacité, sa durabilité et sa résistance à l'eau salée. En tant que tel, il est couramment utilisé dans la construction navale et dans la fabrication de pieux, de ponts et de quais.</w:t>
      </w:r>
      <w:r w:rsidR="00296B70">
        <w:t xml:space="preserve"> </w:t>
      </w:r>
      <w:r w:rsidR="000B3520" w:rsidRPr="000B3520">
        <w:t>Le bois dur est utilisé pour la construction de canoës, de mâts, de poteaux pour les maisons, pour les charpentes de bateaux.</w:t>
      </w:r>
      <w:r w:rsidR="009B1020">
        <w:t xml:space="preserve"> </w:t>
      </w:r>
      <w:r w:rsidR="009B1020" w:rsidRPr="009B1020">
        <w:t>Le bois est un excellent combustible, ayant un grand pouvoir énergétique.</w:t>
      </w:r>
      <w:r w:rsidR="000B3520" w:rsidRPr="000B3520">
        <w:t xml:space="preserve"> </w:t>
      </w:r>
    </w:p>
    <w:p w14:paraId="3BE2CD45" w14:textId="520E2139" w:rsidR="009B1020" w:rsidRDefault="000B3520" w:rsidP="00296B70">
      <w:pPr>
        <w:spacing w:after="0" w:line="240" w:lineRule="auto"/>
        <w:jc w:val="both"/>
      </w:pPr>
      <w:r w:rsidRPr="000B3520">
        <w:lastRenderedPageBreak/>
        <w:t>Les brindilles sont utilisées aux philippines comme brosse à dent.</w:t>
      </w:r>
      <w:r>
        <w:t xml:space="preserve"> </w:t>
      </w:r>
      <w:r w:rsidR="00296B70" w:rsidRPr="00296B70">
        <w:t>Un extrait de la graine est utilisé pour traiter la diarrhée et la dysenterie. L’écorce aurait des vertus anti-inflammatoires.</w:t>
      </w:r>
      <w:r>
        <w:t xml:space="preserve"> </w:t>
      </w:r>
      <w:r w:rsidR="00D10C10" w:rsidRPr="00D10C10">
        <w:t>Ses racines, dont l'action toxique est due à à la présence de sesquiterpénoïdes, sont utilisées comme poison de pêche.</w:t>
      </w:r>
    </w:p>
    <w:p w14:paraId="240B4215" w14:textId="7D0B770B" w:rsidR="008F3771" w:rsidRPr="00CA2618" w:rsidRDefault="000B3520" w:rsidP="00296B70">
      <w:pPr>
        <w:spacing w:after="0" w:line="240" w:lineRule="auto"/>
        <w:jc w:val="both"/>
      </w:pPr>
      <w:r w:rsidRPr="00296B70">
        <w:t xml:space="preserve">Le fruit grillé est comestible. </w:t>
      </w:r>
      <w:r w:rsidR="00A77917">
        <w:t>Le fruit des espèces du genre est utilisé dans la cuisine philippine pour neutraliser le goût de poisson du kinilaw, un plat local de poisson cru au vinaigre ou aux jus d'agrumes.</w:t>
      </w:r>
    </w:p>
    <w:p w14:paraId="5EF2D9FF" w14:textId="77777777" w:rsidR="008F3771" w:rsidRPr="00CA2618" w:rsidRDefault="008F3771" w:rsidP="008F3771">
      <w:pPr>
        <w:spacing w:after="0" w:line="240" w:lineRule="auto"/>
      </w:pPr>
      <w:r w:rsidRPr="00CA2618">
        <w:rPr>
          <w:u w:val="single"/>
        </w:rPr>
        <w:t xml:space="preserve">Conservation :des graines </w:t>
      </w:r>
      <w:r w:rsidRPr="00CA2618">
        <w:t>:</w:t>
      </w:r>
    </w:p>
    <w:p w14:paraId="25A1F896" w14:textId="1458011C" w:rsidR="008F3771" w:rsidRPr="00CA2618" w:rsidRDefault="008F3771" w:rsidP="008F3771">
      <w:pPr>
        <w:spacing w:after="0" w:line="240" w:lineRule="auto"/>
      </w:pPr>
      <w:r w:rsidRPr="00CA2618">
        <w:rPr>
          <w:u w:val="single"/>
        </w:rPr>
        <w:t>Dormance</w:t>
      </w:r>
      <w:r w:rsidRPr="00CA2618">
        <w:t xml:space="preserve"> : </w:t>
      </w:r>
    </w:p>
    <w:p w14:paraId="51CA4A03" w14:textId="73811050" w:rsidR="008F3771" w:rsidRDefault="008F3771" w:rsidP="008F3771">
      <w:pPr>
        <w:spacing w:after="0" w:line="240" w:lineRule="auto"/>
      </w:pPr>
      <w:r w:rsidRPr="00CA2618">
        <w:rPr>
          <w:u w:val="single"/>
        </w:rPr>
        <w:t>Multiplication</w:t>
      </w:r>
      <w:r w:rsidRPr="00CA2618">
        <w:t xml:space="preserve"> : </w:t>
      </w:r>
      <w:r w:rsidR="00D20EC9">
        <w:t xml:space="preserve">Graine </w:t>
      </w:r>
      <w:r w:rsidR="00D20EC9" w:rsidRPr="00D20EC9">
        <w:t>insubmersible dispersée par les courants marins</w:t>
      </w:r>
      <w:r w:rsidR="00D20EC9">
        <w:t>.</w:t>
      </w:r>
    </w:p>
    <w:p w14:paraId="3A964E2D" w14:textId="4003583E" w:rsidR="008F3771" w:rsidRPr="00390684" w:rsidRDefault="008F3771" w:rsidP="00411F84">
      <w:pPr>
        <w:spacing w:after="0" w:line="240" w:lineRule="auto"/>
      </w:pPr>
      <w:r w:rsidRPr="008F3771">
        <w:t xml:space="preserve">Sources : a) </w:t>
      </w:r>
      <w:hyperlink r:id="rId1202" w:history="1">
        <w:r w:rsidRPr="008F3771">
          <w:rPr>
            <w:rStyle w:val="Lienhypertexte"/>
          </w:rPr>
          <w:t>http://www.tahitiheritage.pf/toto-margot-heritiera-littoralis/</w:t>
        </w:r>
      </w:hyperlink>
    </w:p>
    <w:p w14:paraId="59B997D9" w14:textId="0CC02C16" w:rsidR="008F3771" w:rsidRPr="00AD078B" w:rsidRDefault="008F3771" w:rsidP="00411F84">
      <w:pPr>
        <w:spacing w:after="0" w:line="240" w:lineRule="auto"/>
      </w:pPr>
      <w:r w:rsidRPr="00AD078B">
        <w:t xml:space="preserve">b) </w:t>
      </w:r>
      <w:hyperlink r:id="rId1203" w:history="1">
        <w:r w:rsidR="00390684" w:rsidRPr="00AD078B">
          <w:rPr>
            <w:rStyle w:val="Lienhypertexte"/>
          </w:rPr>
          <w:t>https://www.prota4u.org/database/protav8.asp?fr=1&amp;g=pe&amp;p=Heritiera+littoralis+Aiton</w:t>
        </w:r>
      </w:hyperlink>
    </w:p>
    <w:p w14:paraId="555482FC" w14:textId="3755D0FC" w:rsidR="00390684" w:rsidRDefault="00390684" w:rsidP="00411F84">
      <w:pPr>
        <w:spacing w:after="0" w:line="240" w:lineRule="auto"/>
      </w:pPr>
      <w:r w:rsidRPr="00AD078B">
        <w:t xml:space="preserve">c) </w:t>
      </w:r>
      <w:hyperlink r:id="rId1204" w:history="1">
        <w:r w:rsidRPr="00AD078B">
          <w:rPr>
            <w:rStyle w:val="Lienhypertexte"/>
          </w:rPr>
          <w:t>https://fr.wikipedia.org/wiki/Toto_margot</w:t>
        </w:r>
      </w:hyperlink>
      <w:r w:rsidRPr="00AD078B">
        <w:t xml:space="preserve"> </w:t>
      </w:r>
    </w:p>
    <w:p w14:paraId="723F188E" w14:textId="0E646B4A" w:rsidR="00123872" w:rsidRDefault="00123872" w:rsidP="00411F84">
      <w:pPr>
        <w:spacing w:after="0" w:line="240" w:lineRule="auto"/>
        <w:rPr>
          <w:i/>
          <w:iCs/>
        </w:rPr>
      </w:pPr>
      <w:r w:rsidRPr="00123872">
        <w:rPr>
          <w:i/>
          <w:iCs/>
          <w:u w:val="single"/>
        </w:rPr>
        <w:t>Suggestion</w:t>
      </w:r>
      <w:r w:rsidRPr="00123872">
        <w:rPr>
          <w:i/>
          <w:iCs/>
        </w:rPr>
        <w:t xml:space="preserve"> : Peut-être serait-il possible d’utiliser le gène de résistance au stress salin du Toto margot, afin de rendre le cacaoyer résistant au sel et lui permettre de pousser dans une mangrove ?</w:t>
      </w:r>
    </w:p>
    <w:p w14:paraId="3D74B067" w14:textId="77777777" w:rsidR="00EF1A93" w:rsidRPr="00123872" w:rsidRDefault="00EF1A93" w:rsidP="00411F84">
      <w:pPr>
        <w:spacing w:after="0" w:line="240" w:lineRule="auto"/>
        <w:rPr>
          <w:i/>
          <w:iCs/>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2"/>
        <w:gridCol w:w="3731"/>
        <w:gridCol w:w="3433"/>
      </w:tblGrid>
      <w:tr w:rsidR="000E50D5" w14:paraId="628F5623" w14:textId="77777777" w:rsidTr="000E50D5">
        <w:tc>
          <w:tcPr>
            <w:tcW w:w="3472" w:type="dxa"/>
          </w:tcPr>
          <w:p w14:paraId="0309BBFF" w14:textId="68E62329" w:rsidR="000E50D5" w:rsidRDefault="000E50D5" w:rsidP="000E50D5">
            <w:pPr>
              <w:jc w:val="center"/>
              <w:rPr>
                <w:lang w:val="en-GB"/>
              </w:rPr>
            </w:pPr>
            <w:r w:rsidRPr="000E50D5">
              <w:rPr>
                <w:noProof/>
              </w:rPr>
              <w:drawing>
                <wp:inline distT="0" distB="0" distL="0" distR="0" wp14:anchorId="5FDFD1AE" wp14:editId="287BEEBB">
                  <wp:extent cx="1653353" cy="1537618"/>
                  <wp:effectExtent l="0" t="0" r="4445" b="5715"/>
                  <wp:docPr id="59392"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3"/>
                          <pic:cNvPicPr>
                            <a:picLocks noChangeAspect="1"/>
                          </pic:cNvPicPr>
                        </pic:nvPicPr>
                        <pic:blipFill>
                          <a:blip r:embed="rId1205">
                            <a:extLst>
                              <a:ext uri="{28A0092B-C50C-407E-A947-70E740481C1C}">
                                <a14:useLocalDpi xmlns:a14="http://schemas.microsoft.com/office/drawing/2010/main" val="0"/>
                              </a:ext>
                            </a:extLst>
                          </a:blip>
                          <a:stretch>
                            <a:fillRect/>
                          </a:stretch>
                        </pic:blipFill>
                        <pic:spPr>
                          <a:xfrm>
                            <a:off x="0" y="0"/>
                            <a:ext cx="1653353" cy="1537618"/>
                          </a:xfrm>
                          <a:prstGeom prst="rect">
                            <a:avLst/>
                          </a:prstGeom>
                        </pic:spPr>
                      </pic:pic>
                    </a:graphicData>
                  </a:graphic>
                </wp:inline>
              </w:drawing>
            </w:r>
          </w:p>
        </w:tc>
        <w:tc>
          <w:tcPr>
            <w:tcW w:w="3472" w:type="dxa"/>
          </w:tcPr>
          <w:p w14:paraId="277DCD20" w14:textId="6DD454E7" w:rsidR="000E50D5" w:rsidRDefault="000E50D5" w:rsidP="000E50D5">
            <w:pPr>
              <w:jc w:val="center"/>
              <w:rPr>
                <w:lang w:val="en-GB"/>
              </w:rPr>
            </w:pPr>
            <w:r w:rsidRPr="000E50D5">
              <w:rPr>
                <w:noProof/>
              </w:rPr>
              <w:drawing>
                <wp:inline distT="0" distB="0" distL="0" distR="0" wp14:anchorId="05CA0BCC" wp14:editId="3333378C">
                  <wp:extent cx="2232248" cy="1672031"/>
                  <wp:effectExtent l="0" t="0" r="0" b="4445"/>
                  <wp:docPr id="59393"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1"/>
                          <pic:cNvPicPr>
                            <a:picLocks noChangeAspect="1"/>
                          </pic:cNvPicPr>
                        </pic:nvPicPr>
                        <pic:blipFill>
                          <a:blip r:embed="rId1206">
                            <a:extLst>
                              <a:ext uri="{28A0092B-C50C-407E-A947-70E740481C1C}">
                                <a14:useLocalDpi xmlns:a14="http://schemas.microsoft.com/office/drawing/2010/main" val="0"/>
                              </a:ext>
                            </a:extLst>
                          </a:blip>
                          <a:stretch>
                            <a:fillRect/>
                          </a:stretch>
                        </pic:blipFill>
                        <pic:spPr>
                          <a:xfrm>
                            <a:off x="0" y="0"/>
                            <a:ext cx="2232248" cy="1672031"/>
                          </a:xfrm>
                          <a:prstGeom prst="rect">
                            <a:avLst/>
                          </a:prstGeom>
                        </pic:spPr>
                      </pic:pic>
                    </a:graphicData>
                  </a:graphic>
                </wp:inline>
              </w:drawing>
            </w:r>
          </w:p>
        </w:tc>
        <w:tc>
          <w:tcPr>
            <w:tcW w:w="3472" w:type="dxa"/>
          </w:tcPr>
          <w:p w14:paraId="203313E7" w14:textId="6647F6E6" w:rsidR="000E50D5" w:rsidRDefault="000E50D5" w:rsidP="000E50D5">
            <w:pPr>
              <w:jc w:val="center"/>
              <w:rPr>
                <w:lang w:val="en-GB"/>
              </w:rPr>
            </w:pPr>
            <w:r w:rsidRPr="000E50D5">
              <w:rPr>
                <w:noProof/>
              </w:rPr>
              <w:drawing>
                <wp:inline distT="0" distB="0" distL="0" distR="0" wp14:anchorId="71D7B922" wp14:editId="7BE6368C">
                  <wp:extent cx="1154656" cy="1357018"/>
                  <wp:effectExtent l="0" t="0" r="7620" b="0"/>
                  <wp:docPr id="59394"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5"/>
                          <pic:cNvPicPr>
                            <a:picLocks noChangeAspect="1"/>
                          </pic:cNvPicPr>
                        </pic:nvPicPr>
                        <pic:blipFill>
                          <a:blip r:embed="rId1207">
                            <a:extLst>
                              <a:ext uri="{28A0092B-C50C-407E-A947-70E740481C1C}">
                                <a14:useLocalDpi xmlns:a14="http://schemas.microsoft.com/office/drawing/2010/main" val="0"/>
                              </a:ext>
                            </a:extLst>
                          </a:blip>
                          <a:stretch>
                            <a:fillRect/>
                          </a:stretch>
                        </pic:blipFill>
                        <pic:spPr>
                          <a:xfrm>
                            <a:off x="0" y="0"/>
                            <a:ext cx="1154656" cy="1357018"/>
                          </a:xfrm>
                          <a:prstGeom prst="rect">
                            <a:avLst/>
                          </a:prstGeom>
                        </pic:spPr>
                      </pic:pic>
                    </a:graphicData>
                  </a:graphic>
                </wp:inline>
              </w:drawing>
            </w:r>
          </w:p>
        </w:tc>
      </w:tr>
      <w:tr w:rsidR="000E50D5" w14:paraId="12921FE1" w14:textId="77777777" w:rsidTr="000E50D5">
        <w:tc>
          <w:tcPr>
            <w:tcW w:w="3472" w:type="dxa"/>
          </w:tcPr>
          <w:p w14:paraId="43C967BC" w14:textId="4752A750" w:rsidR="000E50D5" w:rsidRPr="000E50D5" w:rsidRDefault="000E50D5" w:rsidP="000E50D5">
            <w:pPr>
              <w:jc w:val="center"/>
            </w:pPr>
            <w:r w:rsidRPr="000E50D5">
              <w:rPr>
                <w:noProof/>
              </w:rPr>
              <w:drawing>
                <wp:inline distT="0" distB="0" distL="0" distR="0" wp14:anchorId="48E98499" wp14:editId="4190C7EF">
                  <wp:extent cx="1805600" cy="1354200"/>
                  <wp:effectExtent l="0" t="0" r="4445" b="0"/>
                  <wp:docPr id="59395"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4"/>
                          <pic:cNvPicPr>
                            <a:picLocks noChangeAspect="1"/>
                          </pic:cNvPicPr>
                        </pic:nvPicPr>
                        <pic:blipFill>
                          <a:blip r:embed="rId1208">
                            <a:extLst>
                              <a:ext uri="{28A0092B-C50C-407E-A947-70E740481C1C}">
                                <a14:useLocalDpi xmlns:a14="http://schemas.microsoft.com/office/drawing/2010/main" val="0"/>
                              </a:ext>
                            </a:extLst>
                          </a:blip>
                          <a:stretch>
                            <a:fillRect/>
                          </a:stretch>
                        </pic:blipFill>
                        <pic:spPr>
                          <a:xfrm>
                            <a:off x="0" y="0"/>
                            <a:ext cx="1805600" cy="1354200"/>
                          </a:xfrm>
                          <a:prstGeom prst="rect">
                            <a:avLst/>
                          </a:prstGeom>
                        </pic:spPr>
                      </pic:pic>
                    </a:graphicData>
                  </a:graphic>
                </wp:inline>
              </w:drawing>
            </w:r>
          </w:p>
        </w:tc>
        <w:tc>
          <w:tcPr>
            <w:tcW w:w="3472" w:type="dxa"/>
          </w:tcPr>
          <w:p w14:paraId="3FAB4B74" w14:textId="77777777" w:rsidR="000E50D5" w:rsidRDefault="000E50D5" w:rsidP="000E50D5">
            <w:pPr>
              <w:jc w:val="center"/>
            </w:pPr>
          </w:p>
          <w:p w14:paraId="209D7DCD" w14:textId="3E9044C7" w:rsidR="000E50D5" w:rsidRPr="000E50D5" w:rsidRDefault="000E50D5" w:rsidP="000E50D5">
            <w:pPr>
              <w:jc w:val="center"/>
            </w:pPr>
            <w:r w:rsidRPr="000E50D5">
              <w:rPr>
                <w:noProof/>
              </w:rPr>
              <w:drawing>
                <wp:inline distT="0" distB="0" distL="0" distR="0" wp14:anchorId="06F5BA73" wp14:editId="1BFE726B">
                  <wp:extent cx="1571625" cy="1181100"/>
                  <wp:effectExtent l="0" t="0" r="9525" b="0"/>
                  <wp:docPr id="59396"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2"/>
                          <pic:cNvPicPr>
                            <a:picLocks noChangeAspect="1"/>
                          </pic:cNvPicPr>
                        </pic:nvPicPr>
                        <pic:blipFill>
                          <a:blip r:embed="rId1209">
                            <a:extLst>
                              <a:ext uri="{28A0092B-C50C-407E-A947-70E740481C1C}">
                                <a14:useLocalDpi xmlns:a14="http://schemas.microsoft.com/office/drawing/2010/main" val="0"/>
                              </a:ext>
                            </a:extLst>
                          </a:blip>
                          <a:stretch>
                            <a:fillRect/>
                          </a:stretch>
                        </pic:blipFill>
                        <pic:spPr>
                          <a:xfrm>
                            <a:off x="0" y="0"/>
                            <a:ext cx="1571625" cy="1181100"/>
                          </a:xfrm>
                          <a:prstGeom prst="rect">
                            <a:avLst/>
                          </a:prstGeom>
                        </pic:spPr>
                      </pic:pic>
                    </a:graphicData>
                  </a:graphic>
                </wp:inline>
              </w:drawing>
            </w:r>
          </w:p>
        </w:tc>
        <w:tc>
          <w:tcPr>
            <w:tcW w:w="3472" w:type="dxa"/>
          </w:tcPr>
          <w:p w14:paraId="06436BC3" w14:textId="77777777" w:rsidR="000E50D5" w:rsidRDefault="000E50D5" w:rsidP="000E50D5">
            <w:pPr>
              <w:jc w:val="center"/>
            </w:pPr>
            <w:r>
              <w:rPr>
                <w:noProof/>
              </w:rPr>
              <w:drawing>
                <wp:inline distT="0" distB="0" distL="0" distR="0" wp14:anchorId="31B2A306" wp14:editId="4CAA5BCA">
                  <wp:extent cx="2010427" cy="1019175"/>
                  <wp:effectExtent l="0" t="0" r="8890" b="0"/>
                  <wp:docPr id="59397" name="Image 59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210">
                            <a:extLst>
                              <a:ext uri="{28A0092B-C50C-407E-A947-70E740481C1C}">
                                <a14:useLocalDpi xmlns:a14="http://schemas.microsoft.com/office/drawing/2010/main" val="0"/>
                              </a:ext>
                            </a:extLst>
                          </a:blip>
                          <a:srcRect/>
                          <a:stretch>
                            <a:fillRect/>
                          </a:stretch>
                        </pic:blipFill>
                        <pic:spPr bwMode="auto">
                          <a:xfrm>
                            <a:off x="0" y="0"/>
                            <a:ext cx="2014290" cy="1021133"/>
                          </a:xfrm>
                          <a:prstGeom prst="rect">
                            <a:avLst/>
                          </a:prstGeom>
                          <a:noFill/>
                          <a:ln>
                            <a:noFill/>
                          </a:ln>
                        </pic:spPr>
                      </pic:pic>
                    </a:graphicData>
                  </a:graphic>
                </wp:inline>
              </w:drawing>
            </w:r>
          </w:p>
          <w:p w14:paraId="54EFE788" w14:textId="4B97074C" w:rsidR="000E50D5" w:rsidRPr="000E50D5" w:rsidRDefault="000E50D5" w:rsidP="000E50D5">
            <w:pPr>
              <w:jc w:val="center"/>
            </w:pPr>
            <w:r>
              <w:t>Bois.</w:t>
            </w:r>
          </w:p>
        </w:tc>
      </w:tr>
    </w:tbl>
    <w:p w14:paraId="189E9042" w14:textId="6F46D61C" w:rsidR="00D10C10" w:rsidRDefault="00D10C10" w:rsidP="00D47421">
      <w:pPr>
        <w:spacing w:after="0" w:line="240" w:lineRule="auto"/>
        <w:rPr>
          <w:lang w:val="en-GB"/>
        </w:rPr>
      </w:pPr>
    </w:p>
    <w:p w14:paraId="6F46148F" w14:textId="068ED894" w:rsidR="00D47421" w:rsidRDefault="004D4183" w:rsidP="004D4183">
      <w:pPr>
        <w:pStyle w:val="Titre2"/>
      </w:pPr>
      <w:bookmarkStart w:id="137" w:name="_Toc139181428"/>
      <w:r w:rsidRPr="004D4183">
        <w:t xml:space="preserve">Techniques de reboisement de la mangrove [pour </w:t>
      </w:r>
      <w:r w:rsidRPr="004D4183">
        <w:rPr>
          <w:i/>
          <w:iCs/>
        </w:rPr>
        <w:t>Rhizophora sp</w:t>
      </w:r>
      <w:r w:rsidRPr="004D4183">
        <w:t>.]</w:t>
      </w:r>
      <w:bookmarkEnd w:id="137"/>
    </w:p>
    <w:p w14:paraId="0BC2BAB2" w14:textId="3BF9D6DD" w:rsidR="00D47421" w:rsidRDefault="00D47421" w:rsidP="00D47421">
      <w:pPr>
        <w:spacing w:after="0" w:line="240" w:lineRule="auto"/>
      </w:pPr>
    </w:p>
    <w:p w14:paraId="7AB4C050" w14:textId="46EE258C" w:rsidR="004D4183" w:rsidRDefault="004D4183" w:rsidP="004D4183">
      <w:pPr>
        <w:pStyle w:val="Titre3"/>
      </w:pPr>
      <w:bookmarkStart w:id="138" w:name="_Toc139181429"/>
      <w:r w:rsidRPr="004D4183">
        <w:t>Etape 1 : Organiser les équipes</w:t>
      </w:r>
      <w:bookmarkEnd w:id="138"/>
    </w:p>
    <w:p w14:paraId="6E9F5C4E" w14:textId="392333CB" w:rsidR="004D4183" w:rsidRDefault="004D4183" w:rsidP="004D4183">
      <w:pPr>
        <w:spacing w:after="0" w:line="240" w:lineRule="auto"/>
        <w:jc w:val="both"/>
      </w:pPr>
    </w:p>
    <w:p w14:paraId="460CA8F1" w14:textId="67940C3B" w:rsidR="000F0082" w:rsidRDefault="000F0082" w:rsidP="000F0082">
      <w:pPr>
        <w:spacing w:after="0" w:line="240" w:lineRule="auto"/>
        <w:jc w:val="both"/>
      </w:pPr>
      <w:r w:rsidRPr="000F0082">
        <w:t>Pour commencer, il est important de bien s’organiser. Un responsable du village doit déterminer le rôle de chacun</w:t>
      </w:r>
      <w:r>
        <w:t xml:space="preserve"> </w:t>
      </w:r>
      <w:r w:rsidRPr="000F0082">
        <w:t>pour le jour j du reboisement :</w:t>
      </w:r>
    </w:p>
    <w:p w14:paraId="35A61C1C" w14:textId="77777777" w:rsidR="000F0082" w:rsidRPr="000F0082" w:rsidRDefault="000F0082" w:rsidP="000F0082">
      <w:pPr>
        <w:spacing w:after="0" w:line="240" w:lineRule="auto"/>
        <w:jc w:val="both"/>
      </w:pPr>
    </w:p>
    <w:p w14:paraId="6EBA0618" w14:textId="27A21570" w:rsidR="000F0082" w:rsidRPr="000F0082" w:rsidRDefault="000F0082" w:rsidP="0022016D">
      <w:pPr>
        <w:pStyle w:val="Paragraphedeliste"/>
        <w:numPr>
          <w:ilvl w:val="0"/>
          <w:numId w:val="23"/>
        </w:numPr>
        <w:spacing w:after="0" w:line="240" w:lineRule="auto"/>
        <w:jc w:val="both"/>
      </w:pPr>
      <w:r w:rsidRPr="000F0082">
        <w:t>Une équipe formée d’anciens et de jeunes enfants s’occupera du tri des propagules,</w:t>
      </w:r>
    </w:p>
    <w:p w14:paraId="7188B576" w14:textId="4BF9B7A1" w:rsidR="000F0082" w:rsidRPr="000F0082" w:rsidRDefault="000F0082" w:rsidP="0022016D">
      <w:pPr>
        <w:pStyle w:val="Paragraphedeliste"/>
        <w:numPr>
          <w:ilvl w:val="0"/>
          <w:numId w:val="23"/>
        </w:numPr>
        <w:spacing w:after="0" w:line="240" w:lineRule="auto"/>
        <w:jc w:val="both"/>
      </w:pPr>
      <w:r w:rsidRPr="000F0082">
        <w:t>Un groupe d’hommes ou de femmes tracera les limites de reboisement,</w:t>
      </w:r>
    </w:p>
    <w:p w14:paraId="24A65BB1" w14:textId="03DDC604" w:rsidR="000F0082" w:rsidRPr="000F0082" w:rsidRDefault="000F0082" w:rsidP="0022016D">
      <w:pPr>
        <w:pStyle w:val="Paragraphedeliste"/>
        <w:numPr>
          <w:ilvl w:val="0"/>
          <w:numId w:val="23"/>
        </w:numPr>
        <w:spacing w:after="0" w:line="240" w:lineRule="auto"/>
        <w:jc w:val="both"/>
      </w:pPr>
      <w:r w:rsidRPr="000F0082">
        <w:t>Les jeunes hommes costauds joueront le rôle de porteur,</w:t>
      </w:r>
    </w:p>
    <w:p w14:paraId="1D185777" w14:textId="65485D64" w:rsidR="000F0082" w:rsidRPr="000F0082" w:rsidRDefault="000F0082" w:rsidP="0022016D">
      <w:pPr>
        <w:pStyle w:val="Paragraphedeliste"/>
        <w:numPr>
          <w:ilvl w:val="0"/>
          <w:numId w:val="23"/>
        </w:numPr>
        <w:spacing w:after="0" w:line="240" w:lineRule="auto"/>
        <w:jc w:val="both"/>
      </w:pPr>
      <w:r w:rsidRPr="000F0082">
        <w:t>Le reste du village formera le groupe des planteurs.</w:t>
      </w:r>
    </w:p>
    <w:p w14:paraId="55137C4A" w14:textId="77777777" w:rsidR="000F0082" w:rsidRDefault="000F0082" w:rsidP="000F0082">
      <w:pPr>
        <w:spacing w:after="0" w:line="240" w:lineRule="auto"/>
        <w:jc w:val="both"/>
      </w:pPr>
    </w:p>
    <w:p w14:paraId="49E0329E" w14:textId="3A6F260C" w:rsidR="000F0082" w:rsidRPr="000F0082" w:rsidRDefault="000F0082" w:rsidP="000F0082">
      <w:pPr>
        <w:spacing w:after="0" w:line="240" w:lineRule="auto"/>
        <w:jc w:val="both"/>
      </w:pPr>
      <w:r w:rsidRPr="000F0082">
        <w:t>Attention :</w:t>
      </w:r>
    </w:p>
    <w:p w14:paraId="3902AEB1" w14:textId="5A900B10" w:rsidR="000F0082" w:rsidRPr="000F0082" w:rsidRDefault="000F0082" w:rsidP="0022016D">
      <w:pPr>
        <w:numPr>
          <w:ilvl w:val="0"/>
          <w:numId w:val="22"/>
        </w:numPr>
        <w:spacing w:after="0" w:line="240" w:lineRule="auto"/>
        <w:jc w:val="both"/>
      </w:pPr>
      <w:r w:rsidRPr="000F0082">
        <w:t>N’oubliez pas de prévoir des bidons et des bouteilles d’eau pour que tout le monde puisse boire.</w:t>
      </w:r>
    </w:p>
    <w:p w14:paraId="1686B49C" w14:textId="5CFEEA4B" w:rsidR="004D4183" w:rsidRDefault="000F0082" w:rsidP="0022016D">
      <w:pPr>
        <w:pStyle w:val="Paragraphedeliste"/>
        <w:numPr>
          <w:ilvl w:val="0"/>
          <w:numId w:val="22"/>
        </w:numPr>
        <w:spacing w:after="0" w:line="240" w:lineRule="auto"/>
        <w:jc w:val="both"/>
      </w:pPr>
      <w:r w:rsidRPr="000F0082">
        <w:t>Apportez aussi des seaux, des calebasses ou tout autre récipient pour transporter les propagules.</w:t>
      </w:r>
    </w:p>
    <w:p w14:paraId="24978597" w14:textId="40912E7F" w:rsidR="00D47421" w:rsidRDefault="00D47421" w:rsidP="00D47421">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0F0082" w14:paraId="537AE577" w14:textId="77777777" w:rsidTr="000F0082">
        <w:tc>
          <w:tcPr>
            <w:tcW w:w="3472" w:type="dxa"/>
          </w:tcPr>
          <w:p w14:paraId="6C12A8A0" w14:textId="77777777" w:rsidR="000F0082" w:rsidRDefault="000F0082" w:rsidP="000F0082">
            <w:pPr>
              <w:jc w:val="center"/>
            </w:pPr>
            <w:r w:rsidRPr="000F0082">
              <w:rPr>
                <w:noProof/>
              </w:rPr>
              <w:lastRenderedPageBreak/>
              <w:drawing>
                <wp:inline distT="0" distB="0" distL="0" distR="0" wp14:anchorId="0AE37BD3" wp14:editId="54120B8B">
                  <wp:extent cx="1162050" cy="1219200"/>
                  <wp:effectExtent l="0" t="0" r="0" b="0"/>
                  <wp:docPr id="26631"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31" name="Image 6"/>
                          <pic:cNvPicPr>
                            <a:picLocks noChangeAspect="1"/>
                          </pic:cNvPicPr>
                        </pic:nvPicPr>
                        <pic:blipFill>
                          <a:blip r:embed="rId1211">
                            <a:extLst>
                              <a:ext uri="{28A0092B-C50C-407E-A947-70E740481C1C}">
                                <a14:useLocalDpi xmlns:a14="http://schemas.microsoft.com/office/drawing/2010/main" val="0"/>
                              </a:ext>
                            </a:extLst>
                          </a:blip>
                          <a:srcRect/>
                          <a:stretch>
                            <a:fillRect/>
                          </a:stretch>
                        </pic:blipFill>
                        <pic:spPr bwMode="auto">
                          <a:xfrm>
                            <a:off x="0" y="0"/>
                            <a:ext cx="1162050" cy="1219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A4ADD7E" w14:textId="41F06BCB" w:rsidR="000F0082" w:rsidRDefault="000F0082" w:rsidP="000F0082">
            <w:pPr>
              <w:jc w:val="center"/>
            </w:pPr>
            <w:r>
              <w:t>Traceurs</w:t>
            </w:r>
          </w:p>
        </w:tc>
        <w:tc>
          <w:tcPr>
            <w:tcW w:w="3472" w:type="dxa"/>
          </w:tcPr>
          <w:p w14:paraId="231D5248" w14:textId="77777777" w:rsidR="000F0082" w:rsidRDefault="000F0082" w:rsidP="000F0082">
            <w:pPr>
              <w:jc w:val="center"/>
            </w:pPr>
            <w:r w:rsidRPr="000F0082">
              <w:rPr>
                <w:noProof/>
              </w:rPr>
              <w:drawing>
                <wp:inline distT="0" distB="0" distL="0" distR="0" wp14:anchorId="478ECB19" wp14:editId="4C124F3B">
                  <wp:extent cx="1676400" cy="1066800"/>
                  <wp:effectExtent l="0" t="0" r="0" b="0"/>
                  <wp:docPr id="80924"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34" name="Image 9"/>
                          <pic:cNvPicPr>
                            <a:picLocks noChangeAspect="1"/>
                          </pic:cNvPicPr>
                        </pic:nvPicPr>
                        <pic:blipFill>
                          <a:blip r:embed="rId1212">
                            <a:extLst>
                              <a:ext uri="{28A0092B-C50C-407E-A947-70E740481C1C}">
                                <a14:useLocalDpi xmlns:a14="http://schemas.microsoft.com/office/drawing/2010/main" val="0"/>
                              </a:ext>
                            </a:extLst>
                          </a:blip>
                          <a:srcRect/>
                          <a:stretch>
                            <a:fillRect/>
                          </a:stretch>
                        </pic:blipFill>
                        <pic:spPr bwMode="auto">
                          <a:xfrm>
                            <a:off x="0" y="0"/>
                            <a:ext cx="1676400" cy="1066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51FFACC" w14:textId="42C1F8EC" w:rsidR="000F0082" w:rsidRDefault="000F0082" w:rsidP="000F0082">
            <w:pPr>
              <w:jc w:val="center"/>
            </w:pPr>
            <w:r>
              <w:t>Trieurs</w:t>
            </w:r>
          </w:p>
        </w:tc>
        <w:tc>
          <w:tcPr>
            <w:tcW w:w="3472" w:type="dxa"/>
          </w:tcPr>
          <w:p w14:paraId="769B2596" w14:textId="77777777" w:rsidR="000F0082" w:rsidRDefault="000F0082" w:rsidP="000F0082">
            <w:pPr>
              <w:jc w:val="center"/>
            </w:pPr>
            <w:r w:rsidRPr="000F0082">
              <w:rPr>
                <w:noProof/>
              </w:rPr>
              <w:drawing>
                <wp:inline distT="0" distB="0" distL="0" distR="0" wp14:anchorId="017F5477" wp14:editId="34BBD8DF">
                  <wp:extent cx="1343994" cy="2114550"/>
                  <wp:effectExtent l="0" t="0" r="8890" b="0"/>
                  <wp:docPr id="80925"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33" name="Image 8"/>
                          <pic:cNvPicPr>
                            <a:picLocks noChangeAspect="1"/>
                          </pic:cNvPicPr>
                        </pic:nvPicPr>
                        <pic:blipFill>
                          <a:blip r:embed="rId1213">
                            <a:extLst>
                              <a:ext uri="{28A0092B-C50C-407E-A947-70E740481C1C}">
                                <a14:useLocalDpi xmlns:a14="http://schemas.microsoft.com/office/drawing/2010/main" val="0"/>
                              </a:ext>
                            </a:extLst>
                          </a:blip>
                          <a:srcRect/>
                          <a:stretch>
                            <a:fillRect/>
                          </a:stretch>
                        </pic:blipFill>
                        <pic:spPr bwMode="auto">
                          <a:xfrm>
                            <a:off x="0" y="0"/>
                            <a:ext cx="1372023" cy="2158649"/>
                          </a:xfrm>
                          <a:prstGeom prst="rect">
                            <a:avLst/>
                          </a:prstGeom>
                          <a:noFill/>
                          <a:ln>
                            <a:noFill/>
                          </a:ln>
                        </pic:spPr>
                      </pic:pic>
                    </a:graphicData>
                  </a:graphic>
                </wp:inline>
              </w:drawing>
            </w:r>
          </w:p>
          <w:p w14:paraId="76E53DA5" w14:textId="792252FE" w:rsidR="000F0082" w:rsidRDefault="000F0082" w:rsidP="000F0082">
            <w:pPr>
              <w:jc w:val="center"/>
            </w:pPr>
            <w:r>
              <w:t>Porteurs</w:t>
            </w:r>
          </w:p>
        </w:tc>
      </w:tr>
      <w:tr w:rsidR="000F0082" w14:paraId="7C3E57BF" w14:textId="77777777" w:rsidTr="000F0082">
        <w:tc>
          <w:tcPr>
            <w:tcW w:w="3472" w:type="dxa"/>
          </w:tcPr>
          <w:p w14:paraId="33FF424E" w14:textId="77777777" w:rsidR="000F0082" w:rsidRDefault="000F0082" w:rsidP="000F0082">
            <w:pPr>
              <w:jc w:val="center"/>
            </w:pPr>
            <w:r w:rsidRPr="000F0082">
              <w:rPr>
                <w:noProof/>
              </w:rPr>
              <w:drawing>
                <wp:inline distT="0" distB="0" distL="0" distR="0" wp14:anchorId="4D44D0CD" wp14:editId="640B18CB">
                  <wp:extent cx="1704975" cy="1390650"/>
                  <wp:effectExtent l="0" t="0" r="9525" b="0"/>
                  <wp:docPr id="26632"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32" name="Image 7"/>
                          <pic:cNvPicPr>
                            <a:picLocks noChangeAspect="1"/>
                          </pic:cNvPicPr>
                        </pic:nvPicPr>
                        <pic:blipFill>
                          <a:blip r:embed="rId1214">
                            <a:extLst>
                              <a:ext uri="{28A0092B-C50C-407E-A947-70E740481C1C}">
                                <a14:useLocalDpi xmlns:a14="http://schemas.microsoft.com/office/drawing/2010/main" val="0"/>
                              </a:ext>
                            </a:extLst>
                          </a:blip>
                          <a:srcRect/>
                          <a:stretch>
                            <a:fillRect/>
                          </a:stretch>
                        </pic:blipFill>
                        <pic:spPr bwMode="auto">
                          <a:xfrm>
                            <a:off x="0" y="0"/>
                            <a:ext cx="1704975" cy="139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CC1F041" w14:textId="008BD7F5" w:rsidR="000F0082" w:rsidRDefault="000F0082" w:rsidP="000F0082">
            <w:pPr>
              <w:jc w:val="center"/>
            </w:pPr>
            <w:r>
              <w:t>Planteurs</w:t>
            </w:r>
          </w:p>
        </w:tc>
        <w:tc>
          <w:tcPr>
            <w:tcW w:w="3472" w:type="dxa"/>
          </w:tcPr>
          <w:p w14:paraId="6F9D5BE6" w14:textId="77777777" w:rsidR="000F0082" w:rsidRDefault="000F0082" w:rsidP="000F0082">
            <w:pPr>
              <w:jc w:val="center"/>
            </w:pPr>
            <w:r w:rsidRPr="000F0082">
              <w:rPr>
                <w:noProof/>
              </w:rPr>
              <w:drawing>
                <wp:inline distT="0" distB="0" distL="0" distR="0" wp14:anchorId="679B32DF" wp14:editId="47FB7D89">
                  <wp:extent cx="1828800" cy="1447800"/>
                  <wp:effectExtent l="0" t="0" r="0" b="0"/>
                  <wp:docPr id="80926"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35" name="Image 10"/>
                          <pic:cNvPicPr>
                            <a:picLocks noChangeAspect="1"/>
                          </pic:cNvPicPr>
                        </pic:nvPicPr>
                        <pic:blipFill>
                          <a:blip r:embed="rId1215">
                            <a:extLst>
                              <a:ext uri="{28A0092B-C50C-407E-A947-70E740481C1C}">
                                <a14:useLocalDpi xmlns:a14="http://schemas.microsoft.com/office/drawing/2010/main" val="0"/>
                              </a:ext>
                            </a:extLst>
                          </a:blip>
                          <a:srcRect/>
                          <a:stretch>
                            <a:fillRect/>
                          </a:stretch>
                        </pic:blipFill>
                        <pic:spPr bwMode="auto">
                          <a:xfrm>
                            <a:off x="0" y="0"/>
                            <a:ext cx="1828800" cy="144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72AC847" w14:textId="7833E1B8" w:rsidR="000F0082" w:rsidRDefault="000F0082" w:rsidP="000F0082">
            <w:pPr>
              <w:jc w:val="center"/>
            </w:pPr>
            <w:r w:rsidRPr="000F0082">
              <w:t>Ne pas oublier de l’eaux pour boire</w:t>
            </w:r>
          </w:p>
        </w:tc>
        <w:tc>
          <w:tcPr>
            <w:tcW w:w="3472" w:type="dxa"/>
          </w:tcPr>
          <w:p w14:paraId="2F521D64" w14:textId="77777777" w:rsidR="000F0082" w:rsidRDefault="000F0082" w:rsidP="000F0082">
            <w:pPr>
              <w:jc w:val="center"/>
            </w:pPr>
          </w:p>
        </w:tc>
      </w:tr>
    </w:tbl>
    <w:p w14:paraId="21647AEF" w14:textId="77777777" w:rsidR="000F0082" w:rsidRPr="000F0082" w:rsidRDefault="000F0082" w:rsidP="000F0082">
      <w:pPr>
        <w:spacing w:after="0" w:line="240" w:lineRule="auto"/>
        <w:jc w:val="center"/>
      </w:pPr>
      <w:r w:rsidRPr="000F0082">
        <w:t>© Images / dessins Oceanium Dakar</w:t>
      </w:r>
    </w:p>
    <w:p w14:paraId="1CB18D30" w14:textId="2EDF990B" w:rsidR="000F0082" w:rsidRDefault="000F0082" w:rsidP="000F0082">
      <w:pPr>
        <w:spacing w:after="0" w:line="240" w:lineRule="auto"/>
        <w:jc w:val="center"/>
      </w:pPr>
    </w:p>
    <w:p w14:paraId="52FEFA89" w14:textId="2CC9264B" w:rsidR="000F0082" w:rsidRDefault="002E0EBE" w:rsidP="002E0EBE">
      <w:pPr>
        <w:pStyle w:val="Titre3"/>
      </w:pPr>
      <w:bookmarkStart w:id="139" w:name="_Toc139181430"/>
      <w:r w:rsidRPr="002E0EBE">
        <w:t>Etape 2 : Choisir la zone de reboisement</w:t>
      </w:r>
      <w:bookmarkEnd w:id="139"/>
    </w:p>
    <w:p w14:paraId="3BCECFCE" w14:textId="0806F365" w:rsidR="002E0EBE" w:rsidRDefault="002E0EBE" w:rsidP="000F0082">
      <w:pPr>
        <w:spacing w:after="0" w:line="240" w:lineRule="auto"/>
      </w:pPr>
    </w:p>
    <w:p w14:paraId="27A18CB3" w14:textId="2BD3E864" w:rsidR="002E0EBE" w:rsidRPr="002E0EBE" w:rsidRDefault="002E0EBE" w:rsidP="0022016D">
      <w:pPr>
        <w:pStyle w:val="Paragraphedeliste"/>
        <w:numPr>
          <w:ilvl w:val="0"/>
          <w:numId w:val="24"/>
        </w:numPr>
        <w:spacing w:after="0" w:line="240" w:lineRule="auto"/>
        <w:jc w:val="both"/>
      </w:pPr>
      <w:r w:rsidRPr="002E0EBE">
        <w:t xml:space="preserve">Pour vous donner toutes les chances de réussir le reboisement, </w:t>
      </w:r>
      <w:r w:rsidRPr="002E0EBE">
        <w:rPr>
          <w:b/>
          <w:bCs/>
        </w:rPr>
        <w:t>il faut choisir en priorité des zones o</w:t>
      </w:r>
      <w:r>
        <w:rPr>
          <w:b/>
          <w:bCs/>
        </w:rPr>
        <w:t>ù</w:t>
      </w:r>
      <w:r w:rsidRPr="002E0EBE">
        <w:rPr>
          <w:b/>
          <w:bCs/>
        </w:rPr>
        <w:t xml:space="preserve"> poussent déjà (ou ont déjà poussé) des palétuviers</w:t>
      </w:r>
      <w:r w:rsidRPr="002E0EBE">
        <w:t xml:space="preserve">. </w:t>
      </w:r>
    </w:p>
    <w:p w14:paraId="7B9F729C" w14:textId="77574E3D" w:rsidR="002E0EBE" w:rsidRPr="002E0EBE" w:rsidRDefault="002E0EBE" w:rsidP="0022016D">
      <w:pPr>
        <w:pStyle w:val="Paragraphedeliste"/>
        <w:numPr>
          <w:ilvl w:val="0"/>
          <w:numId w:val="24"/>
        </w:numPr>
        <w:spacing w:after="0" w:line="240" w:lineRule="auto"/>
        <w:jc w:val="both"/>
      </w:pPr>
      <w:r w:rsidRPr="002E0EBE">
        <w:t xml:space="preserve">Attention, les propagules ne pousseront pas dans n’importe quel sol. </w:t>
      </w:r>
      <w:r w:rsidRPr="002E0EBE">
        <w:rPr>
          <w:b/>
          <w:bCs/>
        </w:rPr>
        <w:t>La zone doit être impérativement immergée à chaque marée haute</w:t>
      </w:r>
      <w:r w:rsidRPr="002E0EBE">
        <w:t xml:space="preserve">, </w:t>
      </w:r>
      <w:r w:rsidRPr="002E0EBE">
        <w:rPr>
          <w:i/>
          <w:iCs/>
        </w:rPr>
        <w:t>y compris lors des petites marées en saison sèche</w:t>
      </w:r>
      <w:r w:rsidRPr="002E0EBE">
        <w:t>.</w:t>
      </w:r>
    </w:p>
    <w:p w14:paraId="2EFCC4BB" w14:textId="77777777" w:rsidR="002E0EBE" w:rsidRPr="002E0EBE" w:rsidRDefault="002E0EBE" w:rsidP="0022016D">
      <w:pPr>
        <w:pStyle w:val="Paragraphedeliste"/>
        <w:numPr>
          <w:ilvl w:val="0"/>
          <w:numId w:val="24"/>
        </w:numPr>
        <w:spacing w:after="0" w:line="240" w:lineRule="auto"/>
        <w:jc w:val="both"/>
      </w:pPr>
      <w:r w:rsidRPr="002E0EBE">
        <w:t xml:space="preserve">Enfin, il faut choisir un </w:t>
      </w:r>
      <w:r w:rsidRPr="002E0EBE">
        <w:rPr>
          <w:b/>
          <w:bCs/>
        </w:rPr>
        <w:t xml:space="preserve">sol vaseux </w:t>
      </w:r>
      <w:r w:rsidRPr="002E0EBE">
        <w:t>(poto-poto) sinon les palétuviers auront très peu de chance de pousser dans un sol trop dur (sur un tanne sec, dans du sable dense, etc.).</w:t>
      </w:r>
    </w:p>
    <w:p w14:paraId="0DB43034" w14:textId="6B616CCC" w:rsidR="002E0EBE" w:rsidRDefault="002E0EBE" w:rsidP="002E0EBE">
      <w:pPr>
        <w:spacing w:after="0" w:line="240" w:lineRule="auto"/>
        <w:jc w:val="cente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94"/>
        <w:gridCol w:w="3416"/>
        <w:gridCol w:w="4216"/>
      </w:tblGrid>
      <w:tr w:rsidR="002E0EBE" w14:paraId="750C58E4" w14:textId="77777777" w:rsidTr="002E0EBE">
        <w:tc>
          <w:tcPr>
            <w:tcW w:w="2791" w:type="dxa"/>
          </w:tcPr>
          <w:p w14:paraId="0D85EC5B" w14:textId="77777777" w:rsidR="002E0EBE" w:rsidRDefault="002E0EBE" w:rsidP="002E0EBE">
            <w:pPr>
              <w:jc w:val="center"/>
            </w:pPr>
            <w:r w:rsidRPr="002E0EBE">
              <w:rPr>
                <w:noProof/>
              </w:rPr>
              <w:drawing>
                <wp:inline distT="0" distB="0" distL="0" distR="0" wp14:anchorId="68730BD4" wp14:editId="2099B95B">
                  <wp:extent cx="1657350" cy="1343025"/>
                  <wp:effectExtent l="0" t="0" r="0" b="9525"/>
                  <wp:docPr id="27658"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8" name="Image 16"/>
                          <pic:cNvPicPr>
                            <a:picLocks noChangeAspect="1"/>
                          </pic:cNvPicPr>
                        </pic:nvPicPr>
                        <pic:blipFill>
                          <a:blip r:embed="rId1216">
                            <a:extLst>
                              <a:ext uri="{28A0092B-C50C-407E-A947-70E740481C1C}">
                                <a14:useLocalDpi xmlns:a14="http://schemas.microsoft.com/office/drawing/2010/main" val="0"/>
                              </a:ext>
                            </a:extLst>
                          </a:blip>
                          <a:srcRect/>
                          <a:stretch>
                            <a:fillRect/>
                          </a:stretch>
                        </pic:blipFill>
                        <pic:spPr bwMode="auto">
                          <a:xfrm>
                            <a:off x="0" y="0"/>
                            <a:ext cx="1657350" cy="1343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B20F92D" w14:textId="2C72D04A" w:rsidR="002E0EBE" w:rsidRDefault="002E0EBE" w:rsidP="002E0EBE">
            <w:pPr>
              <w:jc w:val="center"/>
            </w:pPr>
            <w:r w:rsidRPr="002E0EBE">
              <w:t>Choix d’une zone où la mangrove a déjà poussée</w:t>
            </w:r>
            <w:r>
              <w:t>.</w:t>
            </w:r>
          </w:p>
        </w:tc>
        <w:tc>
          <w:tcPr>
            <w:tcW w:w="3413" w:type="dxa"/>
          </w:tcPr>
          <w:p w14:paraId="61EF20E7" w14:textId="77777777" w:rsidR="002E0EBE" w:rsidRDefault="002E0EBE" w:rsidP="002E0EBE">
            <w:pPr>
              <w:jc w:val="center"/>
            </w:pPr>
            <w:r w:rsidRPr="002E0EBE">
              <w:rPr>
                <w:noProof/>
              </w:rPr>
              <w:drawing>
                <wp:inline distT="0" distB="0" distL="0" distR="0" wp14:anchorId="1E099FF7" wp14:editId="724A91BB">
                  <wp:extent cx="2057400" cy="1628775"/>
                  <wp:effectExtent l="0" t="0" r="0" b="9525"/>
                  <wp:docPr id="27659"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9" name="Image 17"/>
                          <pic:cNvPicPr>
                            <a:picLocks noChangeAspect="1"/>
                          </pic:cNvPicPr>
                        </pic:nvPicPr>
                        <pic:blipFill>
                          <a:blip r:embed="rId1217">
                            <a:extLst>
                              <a:ext uri="{28A0092B-C50C-407E-A947-70E740481C1C}">
                                <a14:useLocalDpi xmlns:a14="http://schemas.microsoft.com/office/drawing/2010/main" val="0"/>
                              </a:ext>
                            </a:extLst>
                          </a:blip>
                          <a:srcRect/>
                          <a:stretch>
                            <a:fillRect/>
                          </a:stretch>
                        </pic:blipFill>
                        <pic:spPr bwMode="auto">
                          <a:xfrm>
                            <a:off x="0" y="0"/>
                            <a:ext cx="2057400" cy="162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B03D991" w14:textId="5B6D56BC" w:rsidR="002E0EBE" w:rsidRDefault="002E0EBE" w:rsidP="002E0EBE">
            <w:pPr>
              <w:jc w:val="center"/>
            </w:pPr>
            <w:r w:rsidRPr="002E0EBE">
              <w:t>Choix d’une zone immergée à marée haute</w:t>
            </w:r>
            <w:r>
              <w:t>.</w:t>
            </w:r>
          </w:p>
        </w:tc>
        <w:tc>
          <w:tcPr>
            <w:tcW w:w="4212" w:type="dxa"/>
          </w:tcPr>
          <w:p w14:paraId="2541D4CC" w14:textId="77777777" w:rsidR="002E0EBE" w:rsidRDefault="002E0EBE" w:rsidP="002E0EBE">
            <w:pPr>
              <w:jc w:val="center"/>
            </w:pPr>
            <w:r w:rsidRPr="002E0EBE">
              <w:rPr>
                <w:noProof/>
              </w:rPr>
              <w:drawing>
                <wp:inline distT="0" distB="0" distL="0" distR="0" wp14:anchorId="5D6734AA" wp14:editId="5B5C58DD">
                  <wp:extent cx="2562225" cy="1562100"/>
                  <wp:effectExtent l="0" t="0" r="9525" b="0"/>
                  <wp:docPr id="27660"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60" name="Image 18"/>
                          <pic:cNvPicPr>
                            <a:picLocks noChangeAspect="1"/>
                          </pic:cNvPicPr>
                        </pic:nvPicPr>
                        <pic:blipFill>
                          <a:blip r:embed="rId1218">
                            <a:extLst>
                              <a:ext uri="{28A0092B-C50C-407E-A947-70E740481C1C}">
                                <a14:useLocalDpi xmlns:a14="http://schemas.microsoft.com/office/drawing/2010/main" val="0"/>
                              </a:ext>
                            </a:extLst>
                          </a:blip>
                          <a:srcRect/>
                          <a:stretch>
                            <a:fillRect/>
                          </a:stretch>
                        </pic:blipFill>
                        <pic:spPr bwMode="auto">
                          <a:xfrm>
                            <a:off x="0" y="0"/>
                            <a:ext cx="2562225" cy="156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DBE3537" w14:textId="47C005D1" w:rsidR="002E0EBE" w:rsidRDefault="002E0EBE" w:rsidP="002E0EBE">
            <w:pPr>
              <w:jc w:val="center"/>
            </w:pPr>
            <w:r w:rsidRPr="002E0EBE">
              <w:t>Choix d’un sol vaseux</w:t>
            </w:r>
            <w:r>
              <w:t>.</w:t>
            </w:r>
          </w:p>
        </w:tc>
      </w:tr>
    </w:tbl>
    <w:p w14:paraId="43CADF69" w14:textId="77777777" w:rsidR="002E0EBE" w:rsidRPr="000F0082" w:rsidRDefault="002E0EBE" w:rsidP="002E0EBE">
      <w:pPr>
        <w:spacing w:after="0" w:line="240" w:lineRule="auto"/>
        <w:jc w:val="center"/>
      </w:pPr>
      <w:r w:rsidRPr="000F0082">
        <w:t>© Images / dessins Oceanium Dakar</w:t>
      </w:r>
    </w:p>
    <w:p w14:paraId="1397CB05" w14:textId="40A033F0" w:rsidR="00EF1A93" w:rsidRDefault="00EF1A93">
      <w:r>
        <w:br w:type="page"/>
      </w:r>
    </w:p>
    <w:p w14:paraId="5CF553D4" w14:textId="77777777" w:rsidR="002E0EBE" w:rsidRDefault="002E0EBE" w:rsidP="002E0EBE">
      <w:pPr>
        <w:spacing w:after="0" w:line="240" w:lineRule="auto"/>
      </w:pPr>
    </w:p>
    <w:p w14:paraId="16C6B464" w14:textId="2A958FDC" w:rsidR="002E0EBE" w:rsidRDefault="000464AE" w:rsidP="000464AE">
      <w:pPr>
        <w:pStyle w:val="Titre3"/>
      </w:pPr>
      <w:bookmarkStart w:id="140" w:name="_Toc139181431"/>
      <w:r w:rsidRPr="000464AE">
        <w:t>Etape 3 : Délimiter la zone de plantation</w:t>
      </w:r>
      <w:bookmarkEnd w:id="140"/>
    </w:p>
    <w:p w14:paraId="3862E1E8" w14:textId="46BCAB5C" w:rsidR="000F0082" w:rsidRDefault="000F0082" w:rsidP="002E0EBE">
      <w:pPr>
        <w:spacing w:after="0" w:line="240" w:lineRule="auto"/>
      </w:pPr>
    </w:p>
    <w:p w14:paraId="69C91B99" w14:textId="77777777" w:rsidR="00550622" w:rsidRPr="00550622" w:rsidRDefault="00550622" w:rsidP="0022016D">
      <w:pPr>
        <w:pStyle w:val="Paragraphedeliste"/>
        <w:numPr>
          <w:ilvl w:val="0"/>
          <w:numId w:val="25"/>
        </w:numPr>
        <w:spacing w:after="0" w:line="240" w:lineRule="auto"/>
        <w:jc w:val="both"/>
      </w:pPr>
      <w:r w:rsidRPr="00550622">
        <w:t xml:space="preserve">L’étape suivante consiste à délimiter la zone de reboisement. </w:t>
      </w:r>
    </w:p>
    <w:p w14:paraId="6334B0DE" w14:textId="77777777" w:rsidR="00550622" w:rsidRPr="00550622" w:rsidRDefault="00550622" w:rsidP="0022016D">
      <w:pPr>
        <w:pStyle w:val="Paragraphedeliste"/>
        <w:numPr>
          <w:ilvl w:val="0"/>
          <w:numId w:val="25"/>
        </w:numPr>
        <w:spacing w:after="0" w:line="240" w:lineRule="auto"/>
        <w:jc w:val="both"/>
      </w:pPr>
      <w:r w:rsidRPr="00550622">
        <w:t xml:space="preserve">Cette opération doit être faite </w:t>
      </w:r>
      <w:r w:rsidRPr="00550622">
        <w:rPr>
          <w:b/>
          <w:bCs/>
        </w:rPr>
        <w:t>en fin de saison sèche</w:t>
      </w:r>
      <w:r w:rsidRPr="00550622">
        <w:t>, quand le coefficient de marée est au plus bas (c’est a dire quand la lune n’apparait qu’à moitié dans le ciel).</w:t>
      </w:r>
    </w:p>
    <w:p w14:paraId="77723140" w14:textId="77777777" w:rsidR="00550622" w:rsidRPr="00550622" w:rsidRDefault="00550622" w:rsidP="0022016D">
      <w:pPr>
        <w:pStyle w:val="Paragraphedeliste"/>
        <w:numPr>
          <w:ilvl w:val="0"/>
          <w:numId w:val="25"/>
        </w:numPr>
        <w:spacing w:after="0" w:line="240" w:lineRule="auto"/>
        <w:jc w:val="both"/>
      </w:pPr>
      <w:r w:rsidRPr="00550622">
        <w:t>Sur la zone, attendez que la marée soit au plus haut et plantez des piquets sur cette limite.</w:t>
      </w:r>
    </w:p>
    <w:p w14:paraId="72D86712" w14:textId="77777777" w:rsidR="00550622" w:rsidRPr="00550622" w:rsidRDefault="00550622" w:rsidP="0022016D">
      <w:pPr>
        <w:pStyle w:val="Paragraphedeliste"/>
        <w:numPr>
          <w:ilvl w:val="0"/>
          <w:numId w:val="25"/>
        </w:numPr>
        <w:spacing w:after="0" w:line="240" w:lineRule="auto"/>
        <w:jc w:val="both"/>
      </w:pPr>
      <w:r w:rsidRPr="00550622">
        <w:t>Cela vous permettra d’être sûr que les jeunes plants que vous allez planter seront immergés à chaque marée haute, y compris pendant les périodes les plus dures de la saison sèche.</w:t>
      </w:r>
    </w:p>
    <w:p w14:paraId="72F7236F" w14:textId="77777777" w:rsidR="00550622" w:rsidRPr="00550622" w:rsidRDefault="00550622" w:rsidP="0022016D">
      <w:pPr>
        <w:pStyle w:val="Paragraphedeliste"/>
        <w:numPr>
          <w:ilvl w:val="0"/>
          <w:numId w:val="25"/>
        </w:numPr>
        <w:spacing w:after="0" w:line="240" w:lineRule="auto"/>
        <w:jc w:val="both"/>
      </w:pPr>
      <w:r w:rsidRPr="00550622">
        <w:rPr>
          <w:i/>
          <w:iCs/>
        </w:rPr>
        <w:t>Déterminer aussi la durée de l'inondation des marées et sa fréquence - en supposant qu’il y a deux marées hautes quotidiennes, au cours d'une année entière</w:t>
      </w:r>
      <w:r w:rsidRPr="00550622">
        <w:t>.</w:t>
      </w:r>
    </w:p>
    <w:p w14:paraId="4F06CA5A" w14:textId="1DD127C6" w:rsidR="000464AE" w:rsidRDefault="000464AE" w:rsidP="000464AE">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2885"/>
        <w:gridCol w:w="3005"/>
      </w:tblGrid>
      <w:tr w:rsidR="00550622" w14:paraId="212B790A" w14:textId="77777777" w:rsidTr="00CD4507">
        <w:tc>
          <w:tcPr>
            <w:tcW w:w="3472" w:type="dxa"/>
          </w:tcPr>
          <w:p w14:paraId="7B350805" w14:textId="558FC19E" w:rsidR="00550622" w:rsidRDefault="00550622" w:rsidP="00550622">
            <w:pPr>
              <w:jc w:val="center"/>
            </w:pPr>
            <w:r w:rsidRPr="00550622">
              <w:object w:dxaOrig="4350" w:dyaOrig="2550" w14:anchorId="0AA420E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in;height:129.75pt" o:ole="">
                  <v:imagedata r:id="rId1219" o:title=""/>
                </v:shape>
                <o:OLEObject Type="Embed" ProgID="PBrush" ShapeID="_x0000_i1025" DrawAspect="Content" ObjectID="_1749797423" r:id="rId1220"/>
              </w:object>
            </w:r>
          </w:p>
          <w:p w14:paraId="11C6FFA6" w14:textId="78444104" w:rsidR="00550622" w:rsidRDefault="00550622" w:rsidP="00550622">
            <w:pPr>
              <w:jc w:val="center"/>
            </w:pPr>
            <w:r w:rsidRPr="00550622">
              <w:t>Former à délimiter le niveau moyen de la mer</w:t>
            </w:r>
            <w:r>
              <w:t>.</w:t>
            </w:r>
          </w:p>
        </w:tc>
        <w:tc>
          <w:tcPr>
            <w:tcW w:w="3472" w:type="dxa"/>
          </w:tcPr>
          <w:p w14:paraId="1A4A40F9" w14:textId="1597F57C" w:rsidR="00550622" w:rsidRDefault="00550622" w:rsidP="00550622">
            <w:pPr>
              <w:jc w:val="center"/>
            </w:pPr>
            <w:r>
              <w:rPr>
                <w:noProof/>
              </w:rPr>
              <w:drawing>
                <wp:inline distT="0" distB="0" distL="0" distR="0" wp14:anchorId="782D5D1B" wp14:editId="50CD64FD">
                  <wp:extent cx="1503018" cy="1685925"/>
                  <wp:effectExtent l="0" t="0" r="2540" b="0"/>
                  <wp:docPr id="54273" name="Image 54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21">
                            <a:extLst>
                              <a:ext uri="{28A0092B-C50C-407E-A947-70E740481C1C}">
                                <a14:useLocalDpi xmlns:a14="http://schemas.microsoft.com/office/drawing/2010/main" val="0"/>
                              </a:ext>
                            </a:extLst>
                          </a:blip>
                          <a:srcRect/>
                          <a:stretch>
                            <a:fillRect/>
                          </a:stretch>
                        </pic:blipFill>
                        <pic:spPr bwMode="auto">
                          <a:xfrm>
                            <a:off x="0" y="0"/>
                            <a:ext cx="1508543" cy="1692123"/>
                          </a:xfrm>
                          <a:prstGeom prst="rect">
                            <a:avLst/>
                          </a:prstGeom>
                          <a:noFill/>
                          <a:ln>
                            <a:noFill/>
                          </a:ln>
                        </pic:spPr>
                      </pic:pic>
                    </a:graphicData>
                  </a:graphic>
                </wp:inline>
              </w:drawing>
            </w:r>
          </w:p>
        </w:tc>
        <w:tc>
          <w:tcPr>
            <w:tcW w:w="3472" w:type="dxa"/>
          </w:tcPr>
          <w:p w14:paraId="2DAB56BE" w14:textId="01D9694D" w:rsidR="00550622" w:rsidRDefault="00550622" w:rsidP="00550622">
            <w:pPr>
              <w:jc w:val="center"/>
            </w:pPr>
            <w:r>
              <w:rPr>
                <w:noProof/>
              </w:rPr>
              <w:drawing>
                <wp:inline distT="0" distB="0" distL="0" distR="0" wp14:anchorId="4D982F24" wp14:editId="005B1810">
                  <wp:extent cx="1619250" cy="1585339"/>
                  <wp:effectExtent l="0" t="0" r="0" b="0"/>
                  <wp:docPr id="54274" name="Image 54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22">
                            <a:extLst>
                              <a:ext uri="{28A0092B-C50C-407E-A947-70E740481C1C}">
                                <a14:useLocalDpi xmlns:a14="http://schemas.microsoft.com/office/drawing/2010/main" val="0"/>
                              </a:ext>
                            </a:extLst>
                          </a:blip>
                          <a:srcRect/>
                          <a:stretch>
                            <a:fillRect/>
                          </a:stretch>
                        </pic:blipFill>
                        <pic:spPr bwMode="auto">
                          <a:xfrm>
                            <a:off x="0" y="0"/>
                            <a:ext cx="1622661" cy="1588679"/>
                          </a:xfrm>
                          <a:prstGeom prst="rect">
                            <a:avLst/>
                          </a:prstGeom>
                          <a:noFill/>
                          <a:ln>
                            <a:noFill/>
                          </a:ln>
                        </pic:spPr>
                      </pic:pic>
                    </a:graphicData>
                  </a:graphic>
                </wp:inline>
              </w:drawing>
            </w:r>
          </w:p>
        </w:tc>
      </w:tr>
    </w:tbl>
    <w:p w14:paraId="7BEF8AED" w14:textId="2FB1A88D" w:rsidR="00550622" w:rsidRDefault="00550622" w:rsidP="00550622">
      <w:pPr>
        <w:spacing w:after="0" w:line="240" w:lineRule="auto"/>
        <w:jc w:val="cente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550622" w14:paraId="09E9DBC6" w14:textId="77777777" w:rsidTr="00CD4507">
        <w:tc>
          <w:tcPr>
            <w:tcW w:w="3472" w:type="dxa"/>
          </w:tcPr>
          <w:p w14:paraId="5B42C3A3" w14:textId="77777777" w:rsidR="00550622" w:rsidRDefault="00550622" w:rsidP="00C47B8B">
            <w:pPr>
              <w:jc w:val="center"/>
            </w:pPr>
            <w:r w:rsidRPr="00550622">
              <w:rPr>
                <w:noProof/>
              </w:rPr>
              <w:drawing>
                <wp:inline distT="0" distB="0" distL="0" distR="0" wp14:anchorId="56F390D2" wp14:editId="23B69756">
                  <wp:extent cx="1981200" cy="1641080"/>
                  <wp:effectExtent l="0" t="0" r="0" b="0"/>
                  <wp:docPr id="54275"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82" name="Image 6"/>
                          <pic:cNvPicPr>
                            <a:picLocks noChangeAspect="1"/>
                          </pic:cNvPicPr>
                        </pic:nvPicPr>
                        <pic:blipFill>
                          <a:blip r:embed="rId1223">
                            <a:extLst>
                              <a:ext uri="{28A0092B-C50C-407E-A947-70E740481C1C}">
                                <a14:useLocalDpi xmlns:a14="http://schemas.microsoft.com/office/drawing/2010/main" val="0"/>
                              </a:ext>
                            </a:extLst>
                          </a:blip>
                          <a:srcRect/>
                          <a:stretch>
                            <a:fillRect/>
                          </a:stretch>
                        </pic:blipFill>
                        <pic:spPr bwMode="auto">
                          <a:xfrm>
                            <a:off x="0" y="0"/>
                            <a:ext cx="1986621" cy="1645571"/>
                          </a:xfrm>
                          <a:prstGeom prst="rect">
                            <a:avLst/>
                          </a:prstGeom>
                          <a:noFill/>
                          <a:ln>
                            <a:noFill/>
                          </a:ln>
                        </pic:spPr>
                      </pic:pic>
                    </a:graphicData>
                  </a:graphic>
                </wp:inline>
              </w:drawing>
            </w:r>
          </w:p>
          <w:p w14:paraId="04C52392" w14:textId="4DB922F2" w:rsidR="00550622" w:rsidRPr="00550622" w:rsidRDefault="00550622" w:rsidP="00C47B8B">
            <w:pPr>
              <w:jc w:val="center"/>
            </w:pPr>
            <w:r>
              <w:t>La marée monte.</w:t>
            </w:r>
          </w:p>
        </w:tc>
        <w:tc>
          <w:tcPr>
            <w:tcW w:w="3472" w:type="dxa"/>
          </w:tcPr>
          <w:p w14:paraId="4DE319EE" w14:textId="77777777" w:rsidR="00550622" w:rsidRDefault="00550622" w:rsidP="00C47B8B">
            <w:pPr>
              <w:jc w:val="center"/>
            </w:pPr>
            <w:r w:rsidRPr="00550622">
              <w:rPr>
                <w:noProof/>
              </w:rPr>
              <w:drawing>
                <wp:inline distT="0" distB="0" distL="0" distR="0" wp14:anchorId="56EEE2F0" wp14:editId="28CF06B1">
                  <wp:extent cx="2047875" cy="1685925"/>
                  <wp:effectExtent l="0" t="0" r="9525" b="9525"/>
                  <wp:docPr id="54276"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83" name="Image 7"/>
                          <pic:cNvPicPr>
                            <a:picLocks noChangeAspect="1"/>
                          </pic:cNvPicPr>
                        </pic:nvPicPr>
                        <pic:blipFill>
                          <a:blip r:embed="rId1224">
                            <a:extLst>
                              <a:ext uri="{28A0092B-C50C-407E-A947-70E740481C1C}">
                                <a14:useLocalDpi xmlns:a14="http://schemas.microsoft.com/office/drawing/2010/main" val="0"/>
                              </a:ext>
                            </a:extLst>
                          </a:blip>
                          <a:srcRect/>
                          <a:stretch>
                            <a:fillRect/>
                          </a:stretch>
                        </pic:blipFill>
                        <pic:spPr bwMode="auto">
                          <a:xfrm>
                            <a:off x="0" y="0"/>
                            <a:ext cx="2053404" cy="1690477"/>
                          </a:xfrm>
                          <a:prstGeom prst="rect">
                            <a:avLst/>
                          </a:prstGeom>
                          <a:noFill/>
                          <a:ln>
                            <a:noFill/>
                          </a:ln>
                        </pic:spPr>
                      </pic:pic>
                    </a:graphicData>
                  </a:graphic>
                </wp:inline>
              </w:drawing>
            </w:r>
          </w:p>
          <w:p w14:paraId="19F2564F" w14:textId="0BA4D13B" w:rsidR="00550622" w:rsidRDefault="00550622" w:rsidP="00550622">
            <w:pPr>
              <w:jc w:val="center"/>
            </w:pPr>
            <w:r w:rsidRPr="00550622">
              <w:t>La marée est au plus haut</w:t>
            </w:r>
            <w:r>
              <w:t>.</w:t>
            </w:r>
          </w:p>
        </w:tc>
        <w:tc>
          <w:tcPr>
            <w:tcW w:w="3472" w:type="dxa"/>
          </w:tcPr>
          <w:p w14:paraId="5E3BD925" w14:textId="77777777" w:rsidR="00550622" w:rsidRDefault="00550622" w:rsidP="00C47B8B">
            <w:pPr>
              <w:jc w:val="center"/>
            </w:pPr>
            <w:r w:rsidRPr="00550622">
              <w:rPr>
                <w:noProof/>
              </w:rPr>
              <w:drawing>
                <wp:inline distT="0" distB="0" distL="0" distR="0" wp14:anchorId="4661851F" wp14:editId="25C1FC99">
                  <wp:extent cx="1924050" cy="1472317"/>
                  <wp:effectExtent l="0" t="0" r="0" b="0"/>
                  <wp:docPr id="54277"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84" name="Image 8"/>
                          <pic:cNvPicPr>
                            <a:picLocks noChangeAspect="1"/>
                          </pic:cNvPicPr>
                        </pic:nvPicPr>
                        <pic:blipFill>
                          <a:blip r:embed="rId1225">
                            <a:extLst>
                              <a:ext uri="{28A0092B-C50C-407E-A947-70E740481C1C}">
                                <a14:useLocalDpi xmlns:a14="http://schemas.microsoft.com/office/drawing/2010/main" val="0"/>
                              </a:ext>
                            </a:extLst>
                          </a:blip>
                          <a:srcRect/>
                          <a:stretch>
                            <a:fillRect/>
                          </a:stretch>
                        </pic:blipFill>
                        <pic:spPr bwMode="auto">
                          <a:xfrm>
                            <a:off x="0" y="0"/>
                            <a:ext cx="1929255" cy="1476300"/>
                          </a:xfrm>
                          <a:prstGeom prst="rect">
                            <a:avLst/>
                          </a:prstGeom>
                          <a:noFill/>
                          <a:ln>
                            <a:noFill/>
                          </a:ln>
                        </pic:spPr>
                      </pic:pic>
                    </a:graphicData>
                  </a:graphic>
                </wp:inline>
              </w:drawing>
            </w:r>
          </w:p>
          <w:p w14:paraId="00E5C602" w14:textId="4BCE0AFB" w:rsidR="007B1D0F" w:rsidRDefault="007B1D0F" w:rsidP="00C47B8B">
            <w:pPr>
              <w:jc w:val="center"/>
            </w:pPr>
            <w:r>
              <w:t xml:space="preserve">La marée </w:t>
            </w:r>
            <w:r w:rsidR="00CD4507">
              <w:t>re</w:t>
            </w:r>
            <w:r>
              <w:t>descend.</w:t>
            </w:r>
          </w:p>
        </w:tc>
      </w:tr>
    </w:tbl>
    <w:p w14:paraId="4D9BE5D7" w14:textId="6F91E23A" w:rsidR="00550622" w:rsidRDefault="00CD4507" w:rsidP="00CD4507">
      <w:pPr>
        <w:spacing w:after="0" w:line="240" w:lineRule="auto"/>
        <w:jc w:val="center"/>
      </w:pPr>
      <w:r w:rsidRPr="00CD4507">
        <w:t>© Images / dessins Oceanium Dakar</w:t>
      </w:r>
      <w:r>
        <w:t>.</w:t>
      </w:r>
    </w:p>
    <w:p w14:paraId="0D407315" w14:textId="4AA0BC96" w:rsidR="00550622" w:rsidRDefault="00550622" w:rsidP="00CD4507">
      <w:pPr>
        <w:spacing w:after="0" w:line="240" w:lineRule="auto"/>
      </w:pPr>
    </w:p>
    <w:p w14:paraId="136FA787" w14:textId="4B6E212A" w:rsidR="00CD4507" w:rsidRDefault="006B48A9" w:rsidP="006B48A9">
      <w:pPr>
        <w:pStyle w:val="Titre3"/>
      </w:pPr>
      <w:bookmarkStart w:id="141" w:name="_Toc139181432"/>
      <w:r w:rsidRPr="006B48A9">
        <w:t>Etape 4 : Récolter les propagules</w:t>
      </w:r>
      <w:bookmarkEnd w:id="141"/>
    </w:p>
    <w:p w14:paraId="24AAE61E" w14:textId="52D71F54" w:rsidR="00CD4507" w:rsidRDefault="00CD4507" w:rsidP="006B48A9">
      <w:pPr>
        <w:spacing w:after="0" w:line="240" w:lineRule="auto"/>
        <w:jc w:val="both"/>
      </w:pPr>
    </w:p>
    <w:p w14:paraId="136E2C20" w14:textId="75558CA5" w:rsidR="006B48A9" w:rsidRPr="006B48A9" w:rsidRDefault="006B48A9" w:rsidP="006B48A9">
      <w:pPr>
        <w:spacing w:after="0" w:line="240" w:lineRule="auto"/>
        <w:jc w:val="both"/>
      </w:pPr>
      <w:r w:rsidRPr="006B48A9">
        <w:t>A partir du mois de décembre [dans l’hémisphère Sud]</w:t>
      </w:r>
      <w:r>
        <w:t xml:space="preserve"> ou de juillet</w:t>
      </w:r>
      <w:r w:rsidRPr="006B48A9">
        <w:t xml:space="preserve"> [dans l’hémisphère </w:t>
      </w:r>
      <w:r>
        <w:t>Nod]</w:t>
      </w:r>
      <w:r w:rsidRPr="006B48A9">
        <w:t>, formez une délégation pour aller vérifier si les propagules sont assez mûres pour être cueillies. La récolte ne pourra commencer que si :</w:t>
      </w:r>
    </w:p>
    <w:p w14:paraId="049F85AB" w14:textId="77777777" w:rsidR="006B48A9" w:rsidRPr="006B48A9" w:rsidRDefault="006B48A9" w:rsidP="006B48A9">
      <w:pPr>
        <w:spacing w:after="0" w:line="240" w:lineRule="auto"/>
        <w:jc w:val="both"/>
      </w:pPr>
      <w:r w:rsidRPr="006B48A9">
        <w:t>- certaines plantules sont déjà tombées au sol,</w:t>
      </w:r>
    </w:p>
    <w:p w14:paraId="76D7B3E1" w14:textId="77777777" w:rsidR="006B48A9" w:rsidRPr="006B48A9" w:rsidRDefault="006B48A9" w:rsidP="006B48A9">
      <w:pPr>
        <w:spacing w:after="0" w:line="240" w:lineRule="auto"/>
        <w:jc w:val="both"/>
      </w:pPr>
      <w:r w:rsidRPr="006B48A9">
        <w:t>- les propagules sont de couleur vert foncé (vert clair = pas assez mûres),</w:t>
      </w:r>
    </w:p>
    <w:p w14:paraId="4C1CB8DF" w14:textId="77777777" w:rsidR="006B48A9" w:rsidRPr="006B48A9" w:rsidRDefault="006B48A9" w:rsidP="006B48A9">
      <w:pPr>
        <w:spacing w:after="0" w:line="240" w:lineRule="auto"/>
        <w:jc w:val="both"/>
      </w:pPr>
      <w:r w:rsidRPr="006B48A9">
        <w:t>- lors du décapsulage un petit bourgeon apparaît (si le bourgeon se casse, la propagule n’est pas bien mûre).</w:t>
      </w:r>
    </w:p>
    <w:p w14:paraId="04ED1FDA" w14:textId="69BEC421" w:rsidR="006B48A9" w:rsidRPr="006B48A9" w:rsidRDefault="006B48A9" w:rsidP="006B48A9">
      <w:pPr>
        <w:spacing w:after="0" w:line="240" w:lineRule="auto"/>
        <w:jc w:val="both"/>
      </w:pPr>
      <w:r w:rsidRPr="006B48A9">
        <w:t xml:space="preserve">Une fois les bonnes conditions réunies, formez des équipes pour la collecte. Les enfants et les plus souples peuvent se faufiler dans la mangrove pour extraire un maximum de plantules. </w:t>
      </w:r>
      <w:r w:rsidR="00C21447" w:rsidRPr="006B48A9">
        <w:t>Les</w:t>
      </w:r>
      <w:r w:rsidRPr="006B48A9">
        <w:t xml:space="preserve"> autres ramassent celles tombées au sol ou facilement accessibles. Il faut prendre soin de </w:t>
      </w:r>
      <w:r w:rsidRPr="006B48A9">
        <w:rPr>
          <w:b/>
          <w:bCs/>
        </w:rPr>
        <w:t xml:space="preserve">choisir les propagules les plus belles, les plus mûres et les moins abîmées et de les ranger soigneusement à horizontal dans des sacs </w:t>
      </w:r>
      <w:r w:rsidRPr="006B48A9">
        <w:t xml:space="preserve">(sacs de riz) pour ne pas les abîmer. Attention ! Une fois la récolte terminée, si le repiquage ne peut se faire le jour même, </w:t>
      </w:r>
      <w:r w:rsidRPr="006B48A9">
        <w:rPr>
          <w:b/>
          <w:bCs/>
        </w:rPr>
        <w:t>il faut stocker les sacs bien a l’ombre, dans l’eau de mer, sans oublier surtout de bien les refermer</w:t>
      </w:r>
      <w:r w:rsidRPr="006B48A9">
        <w:t>.</w:t>
      </w:r>
    </w:p>
    <w:p w14:paraId="21D9A9FE" w14:textId="77777777" w:rsidR="006B48A9" w:rsidRDefault="006B48A9" w:rsidP="006B48A9">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16"/>
        <w:gridCol w:w="3450"/>
        <w:gridCol w:w="3460"/>
      </w:tblGrid>
      <w:tr w:rsidR="006B48A9" w14:paraId="3E8D8FA6" w14:textId="77777777" w:rsidTr="000C4D3A">
        <w:tc>
          <w:tcPr>
            <w:tcW w:w="3472" w:type="dxa"/>
          </w:tcPr>
          <w:p w14:paraId="7F5BF791" w14:textId="77777777" w:rsidR="006B48A9" w:rsidRDefault="00C21447" w:rsidP="006B48A9">
            <w:pPr>
              <w:jc w:val="center"/>
            </w:pPr>
            <w:r w:rsidRPr="00C21447">
              <w:rPr>
                <w:noProof/>
              </w:rPr>
              <w:drawing>
                <wp:inline distT="0" distB="0" distL="0" distR="0" wp14:anchorId="697F2E93" wp14:editId="720B08F4">
                  <wp:extent cx="2019300" cy="1813190"/>
                  <wp:effectExtent l="0" t="0" r="0" b="0"/>
                  <wp:docPr id="54278"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06" name="Image 10"/>
                          <pic:cNvPicPr>
                            <a:picLocks noChangeAspect="1"/>
                          </pic:cNvPicPr>
                        </pic:nvPicPr>
                        <pic:blipFill>
                          <a:blip r:embed="rId1226">
                            <a:extLst>
                              <a:ext uri="{28A0092B-C50C-407E-A947-70E740481C1C}">
                                <a14:useLocalDpi xmlns:a14="http://schemas.microsoft.com/office/drawing/2010/main" val="0"/>
                              </a:ext>
                            </a:extLst>
                          </a:blip>
                          <a:srcRect/>
                          <a:stretch>
                            <a:fillRect/>
                          </a:stretch>
                        </pic:blipFill>
                        <pic:spPr bwMode="auto">
                          <a:xfrm>
                            <a:off x="0" y="0"/>
                            <a:ext cx="2034231" cy="1826597"/>
                          </a:xfrm>
                          <a:prstGeom prst="rect">
                            <a:avLst/>
                          </a:prstGeom>
                          <a:noFill/>
                          <a:ln>
                            <a:noFill/>
                          </a:ln>
                        </pic:spPr>
                      </pic:pic>
                    </a:graphicData>
                  </a:graphic>
                </wp:inline>
              </w:drawing>
            </w:r>
          </w:p>
          <w:p w14:paraId="09616994" w14:textId="4528BEC4" w:rsidR="00C21447" w:rsidRDefault="00C21447" w:rsidP="00C21447">
            <w:pPr>
              <w:jc w:val="center"/>
            </w:pPr>
            <w:r w:rsidRPr="00C21447">
              <w:t>Récolte des propagules</w:t>
            </w:r>
            <w:r>
              <w:t>.</w:t>
            </w:r>
          </w:p>
        </w:tc>
        <w:tc>
          <w:tcPr>
            <w:tcW w:w="3472" w:type="dxa"/>
          </w:tcPr>
          <w:p w14:paraId="2EF93169" w14:textId="77777777" w:rsidR="006B48A9" w:rsidRDefault="00C21447" w:rsidP="006B48A9">
            <w:pPr>
              <w:jc w:val="center"/>
            </w:pPr>
            <w:r w:rsidRPr="00C21447">
              <w:rPr>
                <w:noProof/>
              </w:rPr>
              <w:drawing>
                <wp:inline distT="0" distB="0" distL="0" distR="0" wp14:anchorId="14BABD58" wp14:editId="5AFE8BB2">
                  <wp:extent cx="1736725" cy="1828800"/>
                  <wp:effectExtent l="0" t="0" r="0" b="0"/>
                  <wp:docPr id="5428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07" name="Image 14"/>
                          <pic:cNvPicPr>
                            <a:picLocks noChangeAspect="1"/>
                          </pic:cNvPicPr>
                        </pic:nvPicPr>
                        <pic:blipFill>
                          <a:blip r:embed="rId1227">
                            <a:extLst>
                              <a:ext uri="{28A0092B-C50C-407E-A947-70E740481C1C}">
                                <a14:useLocalDpi xmlns:a14="http://schemas.microsoft.com/office/drawing/2010/main" val="0"/>
                              </a:ext>
                            </a:extLst>
                          </a:blip>
                          <a:srcRect/>
                          <a:stretch>
                            <a:fillRect/>
                          </a:stretch>
                        </pic:blipFill>
                        <pic:spPr bwMode="auto">
                          <a:xfrm>
                            <a:off x="0" y="0"/>
                            <a:ext cx="1736725" cy="182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62E3D9F" w14:textId="77777777" w:rsidR="00C21447" w:rsidRPr="00C21447" w:rsidRDefault="00C21447" w:rsidP="00C21447">
            <w:pPr>
              <w:jc w:val="center"/>
            </w:pPr>
            <w:r w:rsidRPr="00C21447">
              <w:t>Propagules avec ou sans bourgeons.</w:t>
            </w:r>
          </w:p>
          <w:p w14:paraId="791C0A49" w14:textId="3FAE7324" w:rsidR="00C21447" w:rsidRDefault="00C21447" w:rsidP="00C21447">
            <w:pPr>
              <w:jc w:val="center"/>
            </w:pPr>
            <w:r w:rsidRPr="00C21447">
              <w:t>Il faut qu’elle ait son bourgeon.</w:t>
            </w:r>
          </w:p>
        </w:tc>
        <w:tc>
          <w:tcPr>
            <w:tcW w:w="3472" w:type="dxa"/>
          </w:tcPr>
          <w:p w14:paraId="3419542C" w14:textId="77777777" w:rsidR="006B48A9" w:rsidRDefault="00C21447" w:rsidP="006B48A9">
            <w:pPr>
              <w:jc w:val="center"/>
            </w:pPr>
            <w:r w:rsidRPr="00C21447">
              <w:rPr>
                <w:noProof/>
              </w:rPr>
              <w:drawing>
                <wp:inline distT="0" distB="0" distL="0" distR="0" wp14:anchorId="18BC0DC6" wp14:editId="016931F6">
                  <wp:extent cx="1981200" cy="2066925"/>
                  <wp:effectExtent l="0" t="0" r="0" b="9525"/>
                  <wp:docPr id="5428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08" name="Image 15"/>
                          <pic:cNvPicPr>
                            <a:picLocks noChangeAspect="1"/>
                          </pic:cNvPicPr>
                        </pic:nvPicPr>
                        <pic:blipFill>
                          <a:blip r:embed="rId1228">
                            <a:extLst>
                              <a:ext uri="{28A0092B-C50C-407E-A947-70E740481C1C}">
                                <a14:useLocalDpi xmlns:a14="http://schemas.microsoft.com/office/drawing/2010/main" val="0"/>
                              </a:ext>
                            </a:extLst>
                          </a:blip>
                          <a:srcRect/>
                          <a:stretch>
                            <a:fillRect/>
                          </a:stretch>
                        </pic:blipFill>
                        <pic:spPr bwMode="auto">
                          <a:xfrm>
                            <a:off x="0" y="0"/>
                            <a:ext cx="1981200" cy="2066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3C38336" w14:textId="488026AB" w:rsidR="00C21447" w:rsidRDefault="00C21447" w:rsidP="00C21447">
            <w:pPr>
              <w:jc w:val="center"/>
            </w:pPr>
            <w:r w:rsidRPr="00C21447">
              <w:t>Rangement des propagules à l’horizontale dans le sac.</w:t>
            </w:r>
          </w:p>
        </w:tc>
      </w:tr>
      <w:tr w:rsidR="006B48A9" w14:paraId="61388CA4" w14:textId="77777777" w:rsidTr="000C4D3A">
        <w:tc>
          <w:tcPr>
            <w:tcW w:w="3472" w:type="dxa"/>
          </w:tcPr>
          <w:p w14:paraId="75710223" w14:textId="77777777" w:rsidR="006B48A9" w:rsidRDefault="00C21447" w:rsidP="006B48A9">
            <w:pPr>
              <w:jc w:val="center"/>
            </w:pPr>
            <w:r w:rsidRPr="00C21447">
              <w:rPr>
                <w:noProof/>
              </w:rPr>
              <w:drawing>
                <wp:inline distT="0" distB="0" distL="0" distR="0" wp14:anchorId="0C8072AC" wp14:editId="36BBDAE5">
                  <wp:extent cx="2085975" cy="2028825"/>
                  <wp:effectExtent l="0" t="0" r="9525" b="9525"/>
                  <wp:docPr id="54286"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12" name="Image 19"/>
                          <pic:cNvPicPr>
                            <a:picLocks noChangeAspect="1"/>
                          </pic:cNvPicPr>
                        </pic:nvPicPr>
                        <pic:blipFill>
                          <a:blip r:embed="rId1229">
                            <a:extLst>
                              <a:ext uri="{28A0092B-C50C-407E-A947-70E740481C1C}">
                                <a14:useLocalDpi xmlns:a14="http://schemas.microsoft.com/office/drawing/2010/main" val="0"/>
                              </a:ext>
                            </a:extLst>
                          </a:blip>
                          <a:srcRect/>
                          <a:stretch>
                            <a:fillRect/>
                          </a:stretch>
                        </pic:blipFill>
                        <pic:spPr bwMode="auto">
                          <a:xfrm>
                            <a:off x="0" y="0"/>
                            <a:ext cx="2085975" cy="2028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7CCB5C2" w14:textId="59A6E53F" w:rsidR="00C21447" w:rsidRDefault="00C21447" w:rsidP="00C21447">
            <w:pPr>
              <w:jc w:val="center"/>
            </w:pPr>
            <w:r w:rsidRPr="00C21447">
              <w:t>Bien fermer les sacs</w:t>
            </w:r>
            <w:r>
              <w:t>.</w:t>
            </w:r>
          </w:p>
        </w:tc>
        <w:tc>
          <w:tcPr>
            <w:tcW w:w="3472" w:type="dxa"/>
          </w:tcPr>
          <w:p w14:paraId="320C409F" w14:textId="77777777" w:rsidR="006B48A9" w:rsidRDefault="00C21447" w:rsidP="006B48A9">
            <w:pPr>
              <w:jc w:val="center"/>
            </w:pPr>
            <w:r w:rsidRPr="00C21447">
              <w:rPr>
                <w:noProof/>
              </w:rPr>
              <w:drawing>
                <wp:inline distT="0" distB="0" distL="0" distR="0" wp14:anchorId="75800BA7" wp14:editId="4C4C0BCA">
                  <wp:extent cx="1895475" cy="1762125"/>
                  <wp:effectExtent l="0" t="0" r="9525" b="9525"/>
                  <wp:docPr id="5428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10" name="Image 17"/>
                          <pic:cNvPicPr>
                            <a:picLocks noChangeAspect="1"/>
                          </pic:cNvPicPr>
                        </pic:nvPicPr>
                        <pic:blipFill>
                          <a:blip r:embed="rId1230">
                            <a:extLst>
                              <a:ext uri="{28A0092B-C50C-407E-A947-70E740481C1C}">
                                <a14:useLocalDpi xmlns:a14="http://schemas.microsoft.com/office/drawing/2010/main" val="0"/>
                              </a:ext>
                            </a:extLst>
                          </a:blip>
                          <a:srcRect/>
                          <a:stretch>
                            <a:fillRect/>
                          </a:stretch>
                        </pic:blipFill>
                        <pic:spPr bwMode="auto">
                          <a:xfrm>
                            <a:off x="0" y="0"/>
                            <a:ext cx="1895475" cy="1762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6365C73D" w14:textId="45FE091C" w:rsidR="00C21447" w:rsidRDefault="00C21447" w:rsidP="00C21447">
            <w:pPr>
              <w:jc w:val="center"/>
            </w:pPr>
            <w:r w:rsidRPr="00C21447">
              <w:t>Stockage des sacs dans l'eau de mer</w:t>
            </w:r>
            <w:r>
              <w:t>.</w:t>
            </w:r>
          </w:p>
        </w:tc>
        <w:tc>
          <w:tcPr>
            <w:tcW w:w="3472" w:type="dxa"/>
          </w:tcPr>
          <w:p w14:paraId="5299615A" w14:textId="77777777" w:rsidR="006B48A9" w:rsidRDefault="006B48A9" w:rsidP="006B48A9">
            <w:pPr>
              <w:jc w:val="center"/>
            </w:pPr>
          </w:p>
        </w:tc>
      </w:tr>
    </w:tbl>
    <w:p w14:paraId="6E9A3349" w14:textId="3DB03F67" w:rsidR="006B48A9" w:rsidRDefault="006B48A9" w:rsidP="006B48A9">
      <w:pPr>
        <w:spacing w:after="0" w:line="240" w:lineRule="auto"/>
        <w:jc w:val="center"/>
      </w:pPr>
    </w:p>
    <w:p w14:paraId="2D7D3028" w14:textId="6A25BF16" w:rsidR="00C21447" w:rsidRDefault="000C4D3A" w:rsidP="000C4D3A">
      <w:pPr>
        <w:pStyle w:val="Titre3"/>
      </w:pPr>
      <w:bookmarkStart w:id="142" w:name="_Toc139181433"/>
      <w:r w:rsidRPr="000C4D3A">
        <w:t>Etape 5 : Trier les propagules</w:t>
      </w:r>
      <w:bookmarkEnd w:id="142"/>
    </w:p>
    <w:p w14:paraId="4BE192AC" w14:textId="4520A767" w:rsidR="006B48A9" w:rsidRDefault="006B48A9" w:rsidP="006B48A9">
      <w:pPr>
        <w:spacing w:after="0" w:line="240" w:lineRule="auto"/>
        <w:jc w:val="both"/>
      </w:pPr>
    </w:p>
    <w:p w14:paraId="07674D31" w14:textId="77777777" w:rsidR="000C4D3A" w:rsidRPr="000C4D3A" w:rsidRDefault="000C4D3A" w:rsidP="000C4D3A">
      <w:pPr>
        <w:spacing w:after="0" w:line="240" w:lineRule="auto"/>
        <w:jc w:val="both"/>
      </w:pPr>
      <w:r w:rsidRPr="000C4D3A">
        <w:rPr>
          <w:b/>
          <w:bCs/>
        </w:rPr>
        <w:t>C’est l’heure du reboisement !</w:t>
      </w:r>
    </w:p>
    <w:p w14:paraId="2108F7EA" w14:textId="7CB14C1E" w:rsidR="000C4D3A" w:rsidRPr="000C4D3A" w:rsidRDefault="000C4D3A" w:rsidP="000C4D3A">
      <w:pPr>
        <w:spacing w:after="0" w:line="240" w:lineRule="auto"/>
        <w:jc w:val="both"/>
      </w:pPr>
      <w:r w:rsidRPr="000C4D3A">
        <w:t xml:space="preserve">Prenez le chemin de la zone pour rejoindre l’équipe sur place. Equipez-vous de </w:t>
      </w:r>
      <w:r w:rsidRPr="000C4D3A">
        <w:rPr>
          <w:b/>
          <w:bCs/>
        </w:rPr>
        <w:t>seaux</w:t>
      </w:r>
      <w:r w:rsidRPr="000C4D3A">
        <w:t xml:space="preserve">, de </w:t>
      </w:r>
      <w:r w:rsidRPr="000C4D3A">
        <w:rPr>
          <w:b/>
          <w:bCs/>
        </w:rPr>
        <w:t>calebasses</w:t>
      </w:r>
      <w:r w:rsidRPr="000C4D3A">
        <w:t xml:space="preserve"> ou de </w:t>
      </w:r>
      <w:r w:rsidRPr="000C4D3A">
        <w:rPr>
          <w:b/>
          <w:bCs/>
        </w:rPr>
        <w:t>bassines</w:t>
      </w:r>
      <w:r w:rsidRPr="000C4D3A">
        <w:t xml:space="preserve"> ; ils vous serviront à transporter les propagules. Une fois les sacs vidés, l’équipe des trieurs </w:t>
      </w:r>
      <w:r w:rsidRPr="000C4D3A">
        <w:rPr>
          <w:i/>
          <w:iCs/>
        </w:rPr>
        <w:t>sélectionne les meilleures plantules</w:t>
      </w:r>
      <w:r w:rsidRPr="000C4D3A">
        <w:t xml:space="preserve">, puis </w:t>
      </w:r>
      <w:r w:rsidRPr="000C4D3A">
        <w:rPr>
          <w:i/>
          <w:iCs/>
        </w:rPr>
        <w:t>les décapsule</w:t>
      </w:r>
      <w:r w:rsidRPr="000C4D3A">
        <w:t xml:space="preserve">, afin de mettre à jour le petit </w:t>
      </w:r>
      <w:r w:rsidRPr="000C4D3A">
        <w:rPr>
          <w:b/>
          <w:bCs/>
        </w:rPr>
        <w:t>bourgeon</w:t>
      </w:r>
      <w:r w:rsidRPr="000C4D3A">
        <w:t xml:space="preserve"> qui deviendra grand.</w:t>
      </w:r>
    </w:p>
    <w:p w14:paraId="50D8B65A" w14:textId="77777777" w:rsidR="00C7155E" w:rsidRDefault="00C7155E" w:rsidP="006B48A9">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154F8D" w14:paraId="0797ED47" w14:textId="77777777" w:rsidTr="00D6727F">
        <w:tc>
          <w:tcPr>
            <w:tcW w:w="5208" w:type="dxa"/>
          </w:tcPr>
          <w:p w14:paraId="2A603F0F" w14:textId="77777777" w:rsidR="00154F8D" w:rsidRDefault="00154F8D" w:rsidP="00C7155E">
            <w:pPr>
              <w:jc w:val="center"/>
            </w:pPr>
            <w:r w:rsidRPr="00154F8D">
              <w:rPr>
                <w:noProof/>
              </w:rPr>
              <w:drawing>
                <wp:inline distT="0" distB="0" distL="0" distR="0" wp14:anchorId="1506C3D3" wp14:editId="3F932336">
                  <wp:extent cx="3163888" cy="1439863"/>
                  <wp:effectExtent l="0" t="0" r="0" b="8255"/>
                  <wp:docPr id="54288"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1" name="Image 6"/>
                          <pic:cNvPicPr>
                            <a:picLocks noChangeAspect="1"/>
                          </pic:cNvPicPr>
                        </pic:nvPicPr>
                        <pic:blipFill>
                          <a:blip r:embed="rId1231">
                            <a:extLst>
                              <a:ext uri="{28A0092B-C50C-407E-A947-70E740481C1C}">
                                <a14:useLocalDpi xmlns:a14="http://schemas.microsoft.com/office/drawing/2010/main" val="0"/>
                              </a:ext>
                            </a:extLst>
                          </a:blip>
                          <a:srcRect/>
                          <a:stretch>
                            <a:fillRect/>
                          </a:stretch>
                        </pic:blipFill>
                        <pic:spPr bwMode="auto">
                          <a:xfrm>
                            <a:off x="0" y="0"/>
                            <a:ext cx="3163888" cy="14398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D6714D7" w14:textId="0BFEC2D5" w:rsidR="00154F8D" w:rsidRDefault="00154F8D" w:rsidP="00C7155E">
            <w:pPr>
              <w:jc w:val="center"/>
            </w:pPr>
            <w:r w:rsidRPr="00154F8D">
              <w:t>Apporter des récipients avec soi</w:t>
            </w:r>
            <w:r>
              <w:t>.</w:t>
            </w:r>
          </w:p>
        </w:tc>
        <w:tc>
          <w:tcPr>
            <w:tcW w:w="5208" w:type="dxa"/>
          </w:tcPr>
          <w:p w14:paraId="44902951" w14:textId="77777777" w:rsidR="00154F8D" w:rsidRDefault="00154F8D" w:rsidP="00C7155E">
            <w:pPr>
              <w:jc w:val="center"/>
            </w:pPr>
            <w:r w:rsidRPr="00154F8D">
              <w:rPr>
                <w:noProof/>
              </w:rPr>
              <w:drawing>
                <wp:inline distT="0" distB="0" distL="0" distR="0" wp14:anchorId="00D248C1" wp14:editId="1E3DC51E">
                  <wp:extent cx="2619375" cy="1514475"/>
                  <wp:effectExtent l="0" t="0" r="9525" b="9525"/>
                  <wp:docPr id="5428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4" name="Image 9"/>
                          <pic:cNvPicPr>
                            <a:picLocks noChangeAspect="1"/>
                          </pic:cNvPicPr>
                        </pic:nvPicPr>
                        <pic:blipFill>
                          <a:blip r:embed="rId1232">
                            <a:extLst>
                              <a:ext uri="{28A0092B-C50C-407E-A947-70E740481C1C}">
                                <a14:useLocalDpi xmlns:a14="http://schemas.microsoft.com/office/drawing/2010/main" val="0"/>
                              </a:ext>
                            </a:extLst>
                          </a:blip>
                          <a:srcRect/>
                          <a:stretch>
                            <a:fillRect/>
                          </a:stretch>
                        </pic:blipFill>
                        <pic:spPr bwMode="auto">
                          <a:xfrm>
                            <a:off x="0" y="0"/>
                            <a:ext cx="2619375" cy="151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6975B57" w14:textId="42A947ED" w:rsidR="00154F8D" w:rsidRDefault="00154F8D" w:rsidP="00C7155E">
            <w:pPr>
              <w:jc w:val="center"/>
            </w:pPr>
            <w:r w:rsidRPr="00154F8D">
              <w:t>L’équipe des trieur</w:t>
            </w:r>
            <w:r>
              <w:t>.</w:t>
            </w:r>
          </w:p>
        </w:tc>
      </w:tr>
      <w:tr w:rsidR="00154F8D" w14:paraId="79F269D5" w14:textId="77777777" w:rsidTr="00D6727F">
        <w:tc>
          <w:tcPr>
            <w:tcW w:w="5208" w:type="dxa"/>
          </w:tcPr>
          <w:p w14:paraId="06F65392" w14:textId="02B103C3" w:rsidR="00154F8D" w:rsidRDefault="00D6727F" w:rsidP="00C7155E">
            <w:pPr>
              <w:jc w:val="center"/>
            </w:pPr>
            <w:r>
              <w:rPr>
                <w:noProof/>
              </w:rPr>
              <w:lastRenderedPageBreak/>
              <w:drawing>
                <wp:inline distT="0" distB="0" distL="0" distR="0" wp14:anchorId="16FEFD8C" wp14:editId="60DB51FF">
                  <wp:extent cx="1551940" cy="1728296"/>
                  <wp:effectExtent l="0" t="0" r="0" b="5715"/>
                  <wp:docPr id="54290" name="Image 54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33">
                            <a:extLst>
                              <a:ext uri="{28A0092B-C50C-407E-A947-70E740481C1C}">
                                <a14:useLocalDpi xmlns:a14="http://schemas.microsoft.com/office/drawing/2010/main" val="0"/>
                              </a:ext>
                            </a:extLst>
                          </a:blip>
                          <a:srcRect/>
                          <a:stretch>
                            <a:fillRect/>
                          </a:stretch>
                        </pic:blipFill>
                        <pic:spPr bwMode="auto">
                          <a:xfrm>
                            <a:off x="0" y="0"/>
                            <a:ext cx="1557956" cy="1734996"/>
                          </a:xfrm>
                          <a:prstGeom prst="rect">
                            <a:avLst/>
                          </a:prstGeom>
                          <a:noFill/>
                          <a:ln>
                            <a:noFill/>
                          </a:ln>
                        </pic:spPr>
                      </pic:pic>
                    </a:graphicData>
                  </a:graphic>
                </wp:inline>
              </w:drawing>
            </w:r>
            <w:r>
              <w:t xml:space="preserve">  </w:t>
            </w:r>
            <w:r>
              <w:rPr>
                <w:noProof/>
              </w:rPr>
              <w:drawing>
                <wp:inline distT="0" distB="0" distL="0" distR="0" wp14:anchorId="492BADDF" wp14:editId="6B1C7AD0">
                  <wp:extent cx="1439545" cy="1783588"/>
                  <wp:effectExtent l="0" t="0" r="8255" b="7620"/>
                  <wp:docPr id="54291" name="Image 54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34">
                            <a:extLst>
                              <a:ext uri="{28A0092B-C50C-407E-A947-70E740481C1C}">
                                <a14:useLocalDpi xmlns:a14="http://schemas.microsoft.com/office/drawing/2010/main" val="0"/>
                              </a:ext>
                            </a:extLst>
                          </a:blip>
                          <a:srcRect/>
                          <a:stretch>
                            <a:fillRect/>
                          </a:stretch>
                        </pic:blipFill>
                        <pic:spPr bwMode="auto">
                          <a:xfrm>
                            <a:off x="0" y="0"/>
                            <a:ext cx="1445347" cy="1790776"/>
                          </a:xfrm>
                          <a:prstGeom prst="rect">
                            <a:avLst/>
                          </a:prstGeom>
                          <a:noFill/>
                          <a:ln>
                            <a:noFill/>
                          </a:ln>
                        </pic:spPr>
                      </pic:pic>
                    </a:graphicData>
                  </a:graphic>
                </wp:inline>
              </w:drawing>
            </w:r>
          </w:p>
          <w:p w14:paraId="6A767A02" w14:textId="074C8B22" w:rsidR="00D6727F" w:rsidRPr="00D6727F" w:rsidRDefault="00D6727F" w:rsidP="00D6727F">
            <w:pPr>
              <w:jc w:val="center"/>
            </w:pPr>
            <w:r w:rsidRPr="00D6727F">
              <w:t>Le trieur décapsule la propagule.</w:t>
            </w:r>
          </w:p>
        </w:tc>
        <w:tc>
          <w:tcPr>
            <w:tcW w:w="5208" w:type="dxa"/>
          </w:tcPr>
          <w:p w14:paraId="6C51955D" w14:textId="77777777" w:rsidR="00154F8D" w:rsidRDefault="00154F8D" w:rsidP="00C7155E">
            <w:pPr>
              <w:jc w:val="center"/>
            </w:pPr>
            <w:r w:rsidRPr="00154F8D">
              <w:rPr>
                <w:noProof/>
              </w:rPr>
              <w:drawing>
                <wp:inline distT="0" distB="0" distL="0" distR="0" wp14:anchorId="5563904A" wp14:editId="67A33A80">
                  <wp:extent cx="2952750" cy="2085975"/>
                  <wp:effectExtent l="0" t="0" r="0" b="9525"/>
                  <wp:docPr id="30732"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2" name="Image 7"/>
                          <pic:cNvPicPr>
                            <a:picLocks noChangeAspect="1"/>
                          </pic:cNvPicPr>
                        </pic:nvPicPr>
                        <pic:blipFill>
                          <a:blip r:embed="rId1235">
                            <a:extLst>
                              <a:ext uri="{28A0092B-C50C-407E-A947-70E740481C1C}">
                                <a14:useLocalDpi xmlns:a14="http://schemas.microsoft.com/office/drawing/2010/main" val="0"/>
                              </a:ext>
                            </a:extLst>
                          </a:blip>
                          <a:srcRect/>
                          <a:stretch>
                            <a:fillRect/>
                          </a:stretch>
                        </pic:blipFill>
                        <pic:spPr bwMode="auto">
                          <a:xfrm>
                            <a:off x="0" y="0"/>
                            <a:ext cx="2952750" cy="2085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E3387ED" w14:textId="3642A717" w:rsidR="00154F8D" w:rsidRDefault="00154F8D" w:rsidP="00154F8D">
            <w:pPr>
              <w:jc w:val="center"/>
            </w:pPr>
            <w:r w:rsidRPr="00154F8D">
              <w:t>Bons ou mauvais propagules.</w:t>
            </w:r>
          </w:p>
        </w:tc>
      </w:tr>
    </w:tbl>
    <w:p w14:paraId="10C2F04A" w14:textId="2D4113C5" w:rsidR="000C4D3A" w:rsidRDefault="000C4D3A" w:rsidP="00C7155E">
      <w:pPr>
        <w:spacing w:after="0" w:line="240" w:lineRule="auto"/>
        <w:jc w:val="center"/>
      </w:pPr>
    </w:p>
    <w:p w14:paraId="34A02669" w14:textId="7BBE1532" w:rsidR="00D6727F" w:rsidRDefault="00D6727F" w:rsidP="00D6727F">
      <w:pPr>
        <w:pStyle w:val="Titre3"/>
      </w:pPr>
      <w:bookmarkStart w:id="143" w:name="_Toc139181434"/>
      <w:r w:rsidRPr="00D6727F">
        <w:t>Etape 6 : Quadriller / marquer le terrain</w:t>
      </w:r>
      <w:bookmarkEnd w:id="143"/>
    </w:p>
    <w:p w14:paraId="6E26A2A9" w14:textId="464026C9" w:rsidR="000C4D3A" w:rsidRDefault="000C4D3A" w:rsidP="006B48A9">
      <w:pPr>
        <w:spacing w:after="0" w:line="240" w:lineRule="auto"/>
        <w:jc w:val="both"/>
      </w:pPr>
    </w:p>
    <w:p w14:paraId="12149C75" w14:textId="77777777" w:rsidR="00D6727F" w:rsidRPr="00D6727F" w:rsidRDefault="00D6727F" w:rsidP="00D6727F">
      <w:pPr>
        <w:spacing w:after="0" w:line="240" w:lineRule="auto"/>
        <w:jc w:val="both"/>
      </w:pPr>
      <w:r w:rsidRPr="00D6727F">
        <w:t>Les jeunes arbres auront besoin de place pour bien pousser. Il faut donc éviter de planter les propagules trop serrées. Il est recommandé de planter 5 000 plants à l’hectare (ce qui revient à planter 1 palétuviers tous les 1 mètre sur 2 mètres).</w:t>
      </w:r>
    </w:p>
    <w:p w14:paraId="3BC2E848" w14:textId="77777777" w:rsidR="00D6727F" w:rsidRPr="00D6727F" w:rsidRDefault="00D6727F" w:rsidP="00D6727F">
      <w:pPr>
        <w:spacing w:after="0" w:line="240" w:lineRule="auto"/>
        <w:jc w:val="both"/>
      </w:pPr>
      <w:r w:rsidRPr="00D6727F">
        <w:t>Chaque zone peut créer sa propre stratégie pour marquer les sols et planter. Mais voici quelques conseils pour le faire.</w:t>
      </w:r>
    </w:p>
    <w:p w14:paraId="3E2716B6" w14:textId="4F744486" w:rsidR="00D6727F" w:rsidRPr="00D6727F" w:rsidRDefault="00D6727F" w:rsidP="00D6727F">
      <w:pPr>
        <w:spacing w:after="0" w:line="240" w:lineRule="auto"/>
        <w:jc w:val="both"/>
      </w:pPr>
      <w:r w:rsidRPr="00D6727F">
        <w:t xml:space="preserve">La </w:t>
      </w:r>
      <w:r w:rsidRPr="00D6727F">
        <w:rPr>
          <w:b/>
          <w:bCs/>
        </w:rPr>
        <w:t>premier</w:t>
      </w:r>
      <w:r w:rsidRPr="00D6727F">
        <w:t xml:space="preserve"> (</w:t>
      </w:r>
      <w:r>
        <w:t>à</w:t>
      </w:r>
      <w:r w:rsidRPr="00D6727F">
        <w:t xml:space="preserve"> gauche) consiste à marquer le sol avant de planter. Munissez-vous d’une corde et nouez des morceaux de tissu tous les 2 mètres. Tendez la corde et avancer vers la zone à reboiser. Des traceurs suivent chacun leur repère de tissu et marquent le sol à l’aide d’un bâton. Cette première méthode est la plus précise. Elle vous permettra d’évaluer précisément le nombre d’arbres plantés.</w:t>
      </w:r>
    </w:p>
    <w:p w14:paraId="7C9F2B84" w14:textId="4EDFCEDE" w:rsidR="00D6727F" w:rsidRPr="00D6727F" w:rsidRDefault="00D6727F" w:rsidP="00D6727F">
      <w:pPr>
        <w:spacing w:after="0" w:line="240" w:lineRule="auto"/>
        <w:jc w:val="both"/>
      </w:pPr>
      <w:r w:rsidRPr="00D6727F">
        <w:t xml:space="preserve">La </w:t>
      </w:r>
      <w:r w:rsidRPr="00D6727F">
        <w:rPr>
          <w:b/>
          <w:bCs/>
        </w:rPr>
        <w:t>deuxième</w:t>
      </w:r>
      <w:r w:rsidRPr="00D6727F">
        <w:t xml:space="preserve"> (ci-contre) consiste à placer une équipe au bout du terrain qui guide les planteurs à avancer bien droit pour planter. Les guides sont séparés de 2 mètres. </w:t>
      </w:r>
      <w:r w:rsidRPr="00D6727F">
        <w:rPr>
          <w:b/>
          <w:bCs/>
        </w:rPr>
        <w:t xml:space="preserve">Important ! </w:t>
      </w:r>
      <w:r w:rsidRPr="00D6727F">
        <w:t>Travaillez en petits groupes de 10 personnes avec un chef d’équipe. Cela vous permettra d’être beaucoup plus efficace que si vous êtes trop nombreux.</w:t>
      </w:r>
    </w:p>
    <w:p w14:paraId="261CBE2B" w14:textId="7B0FEAE5" w:rsidR="00D6727F" w:rsidRDefault="00D6727F" w:rsidP="006B48A9">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83"/>
        <w:gridCol w:w="5243"/>
      </w:tblGrid>
      <w:tr w:rsidR="00D6727F" w14:paraId="56164721" w14:textId="77777777" w:rsidTr="0066340E">
        <w:tc>
          <w:tcPr>
            <w:tcW w:w="5208" w:type="dxa"/>
          </w:tcPr>
          <w:p w14:paraId="7670DD9D" w14:textId="77777777" w:rsidR="00D6727F" w:rsidRDefault="0066340E" w:rsidP="00D6727F">
            <w:pPr>
              <w:jc w:val="center"/>
            </w:pPr>
            <w:r w:rsidRPr="0066340E">
              <w:rPr>
                <w:noProof/>
              </w:rPr>
              <w:drawing>
                <wp:inline distT="0" distB="0" distL="0" distR="0" wp14:anchorId="3EB37902" wp14:editId="06361E31">
                  <wp:extent cx="3162300" cy="2190750"/>
                  <wp:effectExtent l="0" t="0" r="0" b="0"/>
                  <wp:docPr id="31758"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58" name="Image 15"/>
                          <pic:cNvPicPr>
                            <a:picLocks noChangeAspect="1"/>
                          </pic:cNvPicPr>
                        </pic:nvPicPr>
                        <pic:blipFill>
                          <a:blip r:embed="rId1236">
                            <a:extLst>
                              <a:ext uri="{28A0092B-C50C-407E-A947-70E740481C1C}">
                                <a14:useLocalDpi xmlns:a14="http://schemas.microsoft.com/office/drawing/2010/main" val="0"/>
                              </a:ext>
                            </a:extLst>
                          </a:blip>
                          <a:srcRect/>
                          <a:stretch>
                            <a:fillRect/>
                          </a:stretch>
                        </pic:blipFill>
                        <pic:spPr bwMode="auto">
                          <a:xfrm>
                            <a:off x="0" y="0"/>
                            <a:ext cx="3162300" cy="2190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416982A" w14:textId="40E53F25" w:rsidR="0066340E" w:rsidRDefault="0066340E" w:rsidP="0066340E">
            <w:pPr>
              <w:jc w:val="center"/>
            </w:pPr>
            <w:r w:rsidRPr="0066340E">
              <w:rPr>
                <w:b/>
                <w:bCs/>
              </w:rPr>
              <w:t xml:space="preserve">Méthode 1 : </w:t>
            </w:r>
            <w:r w:rsidRPr="0066340E">
              <w:t>tendre la corde</w:t>
            </w:r>
          </w:p>
        </w:tc>
        <w:tc>
          <w:tcPr>
            <w:tcW w:w="5208" w:type="dxa"/>
          </w:tcPr>
          <w:p w14:paraId="0E2F9BF1" w14:textId="77777777" w:rsidR="00D6727F" w:rsidRDefault="0066340E" w:rsidP="00D6727F">
            <w:pPr>
              <w:jc w:val="center"/>
            </w:pPr>
            <w:r w:rsidRPr="0066340E">
              <w:rPr>
                <w:noProof/>
              </w:rPr>
              <w:drawing>
                <wp:inline distT="0" distB="0" distL="0" distR="0" wp14:anchorId="02ADED94" wp14:editId="657FF212">
                  <wp:extent cx="3200400" cy="2200275"/>
                  <wp:effectExtent l="0" t="0" r="0" b="9525"/>
                  <wp:docPr id="31757"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57" name="Image 14"/>
                          <pic:cNvPicPr>
                            <a:picLocks noChangeAspect="1"/>
                          </pic:cNvPicPr>
                        </pic:nvPicPr>
                        <pic:blipFill>
                          <a:blip r:embed="rId1237">
                            <a:extLst>
                              <a:ext uri="{28A0092B-C50C-407E-A947-70E740481C1C}">
                                <a14:useLocalDpi xmlns:a14="http://schemas.microsoft.com/office/drawing/2010/main" val="0"/>
                              </a:ext>
                            </a:extLst>
                          </a:blip>
                          <a:srcRect/>
                          <a:stretch>
                            <a:fillRect/>
                          </a:stretch>
                        </pic:blipFill>
                        <pic:spPr bwMode="auto">
                          <a:xfrm>
                            <a:off x="0" y="0"/>
                            <a:ext cx="3200400" cy="2200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31D867E3" w14:textId="05D136D7" w:rsidR="0066340E" w:rsidRDefault="0066340E" w:rsidP="00D6727F">
            <w:pPr>
              <w:jc w:val="center"/>
            </w:pPr>
            <w:r w:rsidRPr="0066340E">
              <w:rPr>
                <w:b/>
                <w:bCs/>
              </w:rPr>
              <w:t xml:space="preserve">Méthode 1 </w:t>
            </w:r>
            <w:r w:rsidRPr="0066340E">
              <w:t>: avancer en ligne en traçant des</w:t>
            </w:r>
            <w:r w:rsidRPr="0066340E">
              <w:rPr>
                <w:b/>
                <w:bCs/>
              </w:rPr>
              <w:t xml:space="preserve"> </w:t>
            </w:r>
            <w:r w:rsidRPr="0066340E">
              <w:t>sillons</w:t>
            </w:r>
            <w:r>
              <w:t>.</w:t>
            </w:r>
          </w:p>
        </w:tc>
      </w:tr>
      <w:tr w:rsidR="00D6727F" w14:paraId="2186843F" w14:textId="77777777" w:rsidTr="0066340E">
        <w:tc>
          <w:tcPr>
            <w:tcW w:w="5208" w:type="dxa"/>
          </w:tcPr>
          <w:p w14:paraId="5ACA5071" w14:textId="77777777" w:rsidR="00D6727F" w:rsidRDefault="0066340E" w:rsidP="00D6727F">
            <w:pPr>
              <w:jc w:val="center"/>
            </w:pPr>
            <w:r w:rsidRPr="0066340E">
              <w:rPr>
                <w:noProof/>
              </w:rPr>
              <w:lastRenderedPageBreak/>
              <w:drawing>
                <wp:inline distT="0" distB="0" distL="0" distR="0" wp14:anchorId="4F967B76" wp14:editId="0A1E3A9C">
                  <wp:extent cx="3049166" cy="2190750"/>
                  <wp:effectExtent l="0" t="0" r="0" b="0"/>
                  <wp:docPr id="54292"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55" name="Image 10"/>
                          <pic:cNvPicPr>
                            <a:picLocks noChangeAspect="1"/>
                          </pic:cNvPicPr>
                        </pic:nvPicPr>
                        <pic:blipFill>
                          <a:blip r:embed="rId1238">
                            <a:extLst>
                              <a:ext uri="{28A0092B-C50C-407E-A947-70E740481C1C}">
                                <a14:useLocalDpi xmlns:a14="http://schemas.microsoft.com/office/drawing/2010/main" val="0"/>
                              </a:ext>
                            </a:extLst>
                          </a:blip>
                          <a:srcRect/>
                          <a:stretch>
                            <a:fillRect/>
                          </a:stretch>
                        </pic:blipFill>
                        <pic:spPr bwMode="auto">
                          <a:xfrm>
                            <a:off x="0" y="0"/>
                            <a:ext cx="3052160" cy="2192901"/>
                          </a:xfrm>
                          <a:prstGeom prst="rect">
                            <a:avLst/>
                          </a:prstGeom>
                          <a:noFill/>
                          <a:ln>
                            <a:noFill/>
                          </a:ln>
                        </pic:spPr>
                      </pic:pic>
                    </a:graphicData>
                  </a:graphic>
                </wp:inline>
              </w:drawing>
            </w:r>
          </w:p>
          <w:p w14:paraId="2FB3AAC2" w14:textId="637CA331" w:rsidR="0066340E" w:rsidRDefault="0066340E" w:rsidP="00D6727F">
            <w:pPr>
              <w:jc w:val="center"/>
            </w:pPr>
            <w:r w:rsidRPr="0066340E">
              <w:rPr>
                <w:b/>
                <w:bCs/>
              </w:rPr>
              <w:t xml:space="preserve">Méthode </w:t>
            </w:r>
            <w:r>
              <w:rPr>
                <w:b/>
                <w:bCs/>
              </w:rPr>
              <w:t>2</w:t>
            </w:r>
          </w:p>
        </w:tc>
        <w:tc>
          <w:tcPr>
            <w:tcW w:w="5208" w:type="dxa"/>
          </w:tcPr>
          <w:p w14:paraId="6A924331" w14:textId="77777777" w:rsidR="00D6727F" w:rsidRDefault="0066340E" w:rsidP="00D6727F">
            <w:pPr>
              <w:jc w:val="center"/>
            </w:pPr>
            <w:r w:rsidRPr="0066340E">
              <w:rPr>
                <w:noProof/>
              </w:rPr>
              <w:drawing>
                <wp:inline distT="0" distB="0" distL="0" distR="0" wp14:anchorId="3AC4E467" wp14:editId="4DE8B2EC">
                  <wp:extent cx="962292" cy="2457450"/>
                  <wp:effectExtent l="0" t="0" r="9525" b="0"/>
                  <wp:docPr id="5429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56" name="Image 13"/>
                          <pic:cNvPicPr>
                            <a:picLocks noChangeAspect="1"/>
                          </pic:cNvPicPr>
                        </pic:nvPicPr>
                        <pic:blipFill>
                          <a:blip r:embed="rId1239">
                            <a:extLst>
                              <a:ext uri="{28A0092B-C50C-407E-A947-70E740481C1C}">
                                <a14:useLocalDpi xmlns:a14="http://schemas.microsoft.com/office/drawing/2010/main" val="0"/>
                              </a:ext>
                            </a:extLst>
                          </a:blip>
                          <a:srcRect/>
                          <a:stretch>
                            <a:fillRect/>
                          </a:stretch>
                        </pic:blipFill>
                        <pic:spPr bwMode="auto">
                          <a:xfrm>
                            <a:off x="0" y="0"/>
                            <a:ext cx="968089" cy="2472253"/>
                          </a:xfrm>
                          <a:prstGeom prst="rect">
                            <a:avLst/>
                          </a:prstGeom>
                          <a:noFill/>
                          <a:ln>
                            <a:noFill/>
                          </a:ln>
                        </pic:spPr>
                      </pic:pic>
                    </a:graphicData>
                  </a:graphic>
                </wp:inline>
              </w:drawing>
            </w:r>
          </w:p>
          <w:p w14:paraId="1AAAB24A" w14:textId="32310F77" w:rsidR="0066340E" w:rsidRDefault="0066340E" w:rsidP="00D6727F">
            <w:pPr>
              <w:jc w:val="center"/>
            </w:pPr>
            <w:r>
              <w:t>Le traceur.</w:t>
            </w:r>
          </w:p>
        </w:tc>
      </w:tr>
    </w:tbl>
    <w:p w14:paraId="2CB341A3" w14:textId="73E9DA29" w:rsidR="00D6727F" w:rsidRDefault="00D6727F" w:rsidP="00D6727F">
      <w:pPr>
        <w:spacing w:after="0" w:line="240" w:lineRule="auto"/>
        <w:jc w:val="center"/>
      </w:pPr>
    </w:p>
    <w:p w14:paraId="6D634FD4" w14:textId="099922BB" w:rsidR="00D6727F" w:rsidRDefault="0066340E" w:rsidP="0066340E">
      <w:pPr>
        <w:pStyle w:val="Titre3"/>
      </w:pPr>
      <w:bookmarkStart w:id="144" w:name="_Toc139181435"/>
      <w:r w:rsidRPr="0066340E">
        <w:t>Etape 7 : Planter</w:t>
      </w:r>
      <w:bookmarkEnd w:id="144"/>
    </w:p>
    <w:p w14:paraId="3895F508" w14:textId="33866C81" w:rsidR="0066340E" w:rsidRDefault="0066340E" w:rsidP="0066340E">
      <w:pPr>
        <w:spacing w:after="0" w:line="240" w:lineRule="auto"/>
      </w:pPr>
    </w:p>
    <w:p w14:paraId="112060B0" w14:textId="77777777" w:rsidR="0066340E" w:rsidRPr="0066340E" w:rsidRDefault="0066340E" w:rsidP="0066340E">
      <w:pPr>
        <w:spacing w:after="0" w:line="240" w:lineRule="auto"/>
        <w:jc w:val="both"/>
      </w:pPr>
      <w:r w:rsidRPr="0066340E">
        <w:t>Il faut faire vite car la marée va bientôt remonter et les propagules doivent être mises en terre. Les planteurs avancent dans le poto-poto en suivant le tracé. Ils doivent planter une propagule à chaque deux pas. Attention ! Prenez bien soin de planter la plantule bien droite et de l’enfoncer d’1/3 dans la vase.</w:t>
      </w:r>
    </w:p>
    <w:p w14:paraId="2229F4FD" w14:textId="1E77B0D8" w:rsidR="0066340E" w:rsidRPr="0066340E" w:rsidRDefault="0066340E" w:rsidP="0066340E">
      <w:pPr>
        <w:spacing w:after="0" w:line="240" w:lineRule="auto"/>
        <w:jc w:val="both"/>
      </w:pPr>
      <w:r w:rsidRPr="0066340E">
        <w:rPr>
          <w:b/>
          <w:bCs/>
        </w:rPr>
        <w:t xml:space="preserve">! </w:t>
      </w:r>
      <w:r w:rsidRPr="0066340E">
        <w:t>Dans le cas où il vous est impossible de procéder à la méthode du marquage de la zone (page précédente), suivez la méthode suivante. Alignez-vous en écartant les bras de manière à vous toucher le bout des doigts, puis avancez bien en ligne. Chaque 2 pas, plantez une propagule ! Plus les jeunes plants auront de la place pour grandir, plus les arbres prendront de l’ampleur.</w:t>
      </w:r>
    </w:p>
    <w:p w14:paraId="46FD4F81" w14:textId="70C8217D" w:rsidR="0066340E" w:rsidRDefault="0066340E" w:rsidP="0066340E">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55"/>
        <w:gridCol w:w="3305"/>
        <w:gridCol w:w="3666"/>
      </w:tblGrid>
      <w:tr w:rsidR="0057316B" w14:paraId="37FD17C3" w14:textId="77777777" w:rsidTr="0057316B">
        <w:tc>
          <w:tcPr>
            <w:tcW w:w="3472" w:type="dxa"/>
          </w:tcPr>
          <w:p w14:paraId="1FA532AD" w14:textId="14A5EE5B" w:rsidR="0066340E" w:rsidRDefault="0066340E" w:rsidP="0066340E">
            <w:pPr>
              <w:jc w:val="center"/>
            </w:pPr>
            <w:r w:rsidRPr="0066340E">
              <w:rPr>
                <w:noProof/>
              </w:rPr>
              <w:drawing>
                <wp:inline distT="0" distB="0" distL="0" distR="0" wp14:anchorId="3CB5DBBF" wp14:editId="07D70F56">
                  <wp:extent cx="2044919" cy="1047750"/>
                  <wp:effectExtent l="0" t="0" r="0" b="0"/>
                  <wp:docPr id="32776"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6" name="Image 2"/>
                          <pic:cNvPicPr>
                            <a:picLocks noChangeAspect="1"/>
                          </pic:cNvPicPr>
                        </pic:nvPicPr>
                        <pic:blipFill>
                          <a:blip r:embed="rId1240">
                            <a:extLst>
                              <a:ext uri="{28A0092B-C50C-407E-A947-70E740481C1C}">
                                <a14:useLocalDpi xmlns:a14="http://schemas.microsoft.com/office/drawing/2010/main" val="0"/>
                              </a:ext>
                            </a:extLst>
                          </a:blip>
                          <a:srcRect/>
                          <a:stretch>
                            <a:fillRect/>
                          </a:stretch>
                        </pic:blipFill>
                        <pic:spPr bwMode="auto">
                          <a:xfrm>
                            <a:off x="0" y="0"/>
                            <a:ext cx="2063389" cy="1057213"/>
                          </a:xfrm>
                          <a:prstGeom prst="rect">
                            <a:avLst/>
                          </a:prstGeom>
                          <a:noFill/>
                          <a:ln>
                            <a:noFill/>
                          </a:ln>
                        </pic:spPr>
                      </pic:pic>
                    </a:graphicData>
                  </a:graphic>
                </wp:inline>
              </w:drawing>
            </w:r>
          </w:p>
        </w:tc>
        <w:tc>
          <w:tcPr>
            <w:tcW w:w="3472" w:type="dxa"/>
          </w:tcPr>
          <w:p w14:paraId="1F95CC93" w14:textId="07AA2CFF" w:rsidR="0066340E" w:rsidRDefault="0057316B" w:rsidP="0066340E">
            <w:pPr>
              <w:jc w:val="center"/>
            </w:pPr>
            <w:r w:rsidRPr="0057316B">
              <w:rPr>
                <w:noProof/>
              </w:rPr>
              <w:drawing>
                <wp:inline distT="0" distB="0" distL="0" distR="0" wp14:anchorId="268CF09B" wp14:editId="07F7261B">
                  <wp:extent cx="1774490" cy="1547215"/>
                  <wp:effectExtent l="0" t="0" r="0" b="0"/>
                  <wp:docPr id="32777"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7" name="Image 3"/>
                          <pic:cNvPicPr>
                            <a:picLocks noChangeAspect="1"/>
                          </pic:cNvPicPr>
                        </pic:nvPicPr>
                        <pic:blipFill>
                          <a:blip r:embed="rId1241">
                            <a:extLst>
                              <a:ext uri="{28A0092B-C50C-407E-A947-70E740481C1C}">
                                <a14:useLocalDpi xmlns:a14="http://schemas.microsoft.com/office/drawing/2010/main" val="0"/>
                              </a:ext>
                            </a:extLst>
                          </a:blip>
                          <a:srcRect/>
                          <a:stretch>
                            <a:fillRect/>
                          </a:stretch>
                        </pic:blipFill>
                        <pic:spPr bwMode="auto">
                          <a:xfrm>
                            <a:off x="0" y="0"/>
                            <a:ext cx="1774490" cy="1547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50D5DFF2" w14:textId="1CF5EA60" w:rsidR="0066340E" w:rsidRDefault="0057316B" w:rsidP="0066340E">
            <w:pPr>
              <w:jc w:val="center"/>
            </w:pPr>
            <w:r w:rsidRPr="0057316B">
              <w:rPr>
                <w:noProof/>
              </w:rPr>
              <w:drawing>
                <wp:inline distT="0" distB="0" distL="0" distR="0" wp14:anchorId="212D2F22" wp14:editId="5D75DF0D">
                  <wp:extent cx="2181225" cy="1628775"/>
                  <wp:effectExtent l="0" t="0" r="9525" b="9525"/>
                  <wp:docPr id="5429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8" name="Image 4"/>
                          <pic:cNvPicPr>
                            <a:picLocks noChangeAspect="1"/>
                          </pic:cNvPicPr>
                        </pic:nvPicPr>
                        <pic:blipFill>
                          <a:blip r:embed="rId1242">
                            <a:extLst>
                              <a:ext uri="{28A0092B-C50C-407E-A947-70E740481C1C}">
                                <a14:useLocalDpi xmlns:a14="http://schemas.microsoft.com/office/drawing/2010/main" val="0"/>
                              </a:ext>
                            </a:extLst>
                          </a:blip>
                          <a:srcRect/>
                          <a:stretch>
                            <a:fillRect/>
                          </a:stretch>
                        </pic:blipFill>
                        <pic:spPr bwMode="auto">
                          <a:xfrm>
                            <a:off x="0" y="0"/>
                            <a:ext cx="2181225" cy="162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57316B" w14:paraId="2364BEFD" w14:textId="77777777" w:rsidTr="0057316B">
        <w:tc>
          <w:tcPr>
            <w:tcW w:w="3472" w:type="dxa"/>
          </w:tcPr>
          <w:p w14:paraId="03856D4F" w14:textId="784DC15D" w:rsidR="0066340E" w:rsidRDefault="0057316B" w:rsidP="0066340E">
            <w:pPr>
              <w:jc w:val="center"/>
            </w:pPr>
            <w:r w:rsidRPr="0057316B">
              <w:rPr>
                <w:noProof/>
              </w:rPr>
              <w:drawing>
                <wp:inline distT="0" distB="0" distL="0" distR="0" wp14:anchorId="59FFFE13" wp14:editId="4CC31151">
                  <wp:extent cx="1990725" cy="1381125"/>
                  <wp:effectExtent l="0" t="0" r="9525" b="9525"/>
                  <wp:docPr id="5429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9" name="Image 5"/>
                          <pic:cNvPicPr>
                            <a:picLocks noChangeAspect="1"/>
                          </pic:cNvPicPr>
                        </pic:nvPicPr>
                        <pic:blipFill>
                          <a:blip r:embed="rId1243">
                            <a:extLst>
                              <a:ext uri="{28A0092B-C50C-407E-A947-70E740481C1C}">
                                <a14:useLocalDpi xmlns:a14="http://schemas.microsoft.com/office/drawing/2010/main" val="0"/>
                              </a:ext>
                            </a:extLst>
                          </a:blip>
                          <a:srcRect/>
                          <a:stretch>
                            <a:fillRect/>
                          </a:stretch>
                        </pic:blipFill>
                        <pic:spPr bwMode="auto">
                          <a:xfrm>
                            <a:off x="0" y="0"/>
                            <a:ext cx="1990725" cy="1381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66F25AB9" w14:textId="77777777" w:rsidR="0066340E" w:rsidRDefault="0057316B" w:rsidP="0066340E">
            <w:pPr>
              <w:jc w:val="center"/>
            </w:pPr>
            <w:r w:rsidRPr="0057316B">
              <w:rPr>
                <w:noProof/>
              </w:rPr>
              <w:drawing>
                <wp:inline distT="0" distB="0" distL="0" distR="0" wp14:anchorId="3749DC37" wp14:editId="79C6E7D3">
                  <wp:extent cx="1838325" cy="830211"/>
                  <wp:effectExtent l="0" t="0" r="0" b="8255"/>
                  <wp:docPr id="5429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6"/>
                          <pic:cNvPicPr>
                            <a:picLocks noChangeAspect="1"/>
                          </pic:cNvPicPr>
                        </pic:nvPicPr>
                        <pic:blipFill>
                          <a:blip r:embed="rId1244">
                            <a:extLst>
                              <a:ext uri="{28A0092B-C50C-407E-A947-70E740481C1C}">
                                <a14:useLocalDpi xmlns:a14="http://schemas.microsoft.com/office/drawing/2010/main" val="0"/>
                              </a:ext>
                            </a:extLst>
                          </a:blip>
                          <a:stretch>
                            <a:fillRect/>
                          </a:stretch>
                        </pic:blipFill>
                        <pic:spPr>
                          <a:xfrm>
                            <a:off x="0" y="0"/>
                            <a:ext cx="1851214" cy="836032"/>
                          </a:xfrm>
                          <a:prstGeom prst="rect">
                            <a:avLst/>
                          </a:prstGeom>
                        </pic:spPr>
                      </pic:pic>
                    </a:graphicData>
                  </a:graphic>
                </wp:inline>
              </w:drawing>
            </w:r>
          </w:p>
          <w:p w14:paraId="30BF1E88" w14:textId="3C341A82" w:rsidR="0057316B" w:rsidRDefault="0057316B" w:rsidP="0057316B">
            <w:pPr>
              <w:jc w:val="center"/>
            </w:pPr>
            <w:r w:rsidRPr="0057316B">
              <w:t>Exemple de la plantation d'une mangrove au Guyana</w:t>
            </w:r>
            <w:r>
              <w:t>.</w:t>
            </w:r>
          </w:p>
        </w:tc>
        <w:tc>
          <w:tcPr>
            <w:tcW w:w="3472" w:type="dxa"/>
          </w:tcPr>
          <w:p w14:paraId="511FC0EB" w14:textId="77777777" w:rsidR="0066340E" w:rsidRDefault="0057316B" w:rsidP="0066340E">
            <w:pPr>
              <w:jc w:val="center"/>
            </w:pPr>
            <w:r w:rsidRPr="0057316B">
              <w:rPr>
                <w:noProof/>
              </w:rPr>
              <w:drawing>
                <wp:inline distT="0" distB="0" distL="0" distR="0" wp14:anchorId="22DC7C63" wp14:editId="4869EF74">
                  <wp:extent cx="2000250" cy="1333500"/>
                  <wp:effectExtent l="0" t="0" r="0" b="0"/>
                  <wp:docPr id="54297"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pic:cNvPicPr>
                            <a:picLocks noChangeAspect="1"/>
                          </pic:cNvPicPr>
                        </pic:nvPicPr>
                        <pic:blipFill>
                          <a:blip r:embed="rId1245">
                            <a:extLst>
                              <a:ext uri="{28A0092B-C50C-407E-A947-70E740481C1C}">
                                <a14:useLocalDpi xmlns:a14="http://schemas.microsoft.com/office/drawing/2010/main" val="0"/>
                              </a:ext>
                            </a:extLst>
                          </a:blip>
                          <a:stretch>
                            <a:fillRect/>
                          </a:stretch>
                        </pic:blipFill>
                        <pic:spPr>
                          <a:xfrm>
                            <a:off x="0" y="0"/>
                            <a:ext cx="2002679" cy="1335119"/>
                          </a:xfrm>
                          <a:prstGeom prst="rect">
                            <a:avLst/>
                          </a:prstGeom>
                        </pic:spPr>
                      </pic:pic>
                    </a:graphicData>
                  </a:graphic>
                </wp:inline>
              </w:drawing>
            </w:r>
          </w:p>
          <w:p w14:paraId="2F030F0A" w14:textId="6A89C275" w:rsidR="0057316B" w:rsidRDefault="0057316B" w:rsidP="0057316B">
            <w:pPr>
              <w:jc w:val="center"/>
            </w:pPr>
            <w:r w:rsidRPr="0057316B">
              <w:t>Exemple de la plantation d'une mangrove au Sénégal</w:t>
            </w:r>
            <w:r>
              <w:t>.</w:t>
            </w:r>
          </w:p>
        </w:tc>
      </w:tr>
    </w:tbl>
    <w:p w14:paraId="48B99C24" w14:textId="2D96582D" w:rsidR="0066340E" w:rsidRDefault="0066340E" w:rsidP="0057316B">
      <w:pPr>
        <w:spacing w:after="0" w:line="240" w:lineRule="auto"/>
      </w:pPr>
    </w:p>
    <w:p w14:paraId="7BC17A4E" w14:textId="6C070493" w:rsidR="0057316B" w:rsidRDefault="009862C2" w:rsidP="009862C2">
      <w:pPr>
        <w:pStyle w:val="Titre3"/>
      </w:pPr>
      <w:bookmarkStart w:id="145" w:name="_Toc139181436"/>
      <w:r w:rsidRPr="009862C2">
        <w:t>Etape 8 : Prendre soin des jeunes plants</w:t>
      </w:r>
      <w:bookmarkEnd w:id="145"/>
    </w:p>
    <w:p w14:paraId="7AD00803" w14:textId="644761C1" w:rsidR="0066340E" w:rsidRDefault="0066340E" w:rsidP="0066340E">
      <w:pPr>
        <w:spacing w:after="0" w:line="240" w:lineRule="auto"/>
      </w:pPr>
    </w:p>
    <w:p w14:paraId="6D0E4AC8" w14:textId="77777777" w:rsidR="009862C2" w:rsidRPr="009862C2" w:rsidRDefault="009862C2" w:rsidP="009862C2">
      <w:pPr>
        <w:spacing w:after="0" w:line="240" w:lineRule="auto"/>
        <w:jc w:val="both"/>
      </w:pPr>
      <w:r w:rsidRPr="009862C2">
        <w:t>Quand la zone est reboisée, il est important de revenir régulièrement constater la croissance des jeunes palétuviers.</w:t>
      </w:r>
    </w:p>
    <w:p w14:paraId="5857BB2A" w14:textId="77777777" w:rsidR="009862C2" w:rsidRPr="009862C2" w:rsidRDefault="009862C2" w:rsidP="009862C2">
      <w:pPr>
        <w:spacing w:after="0" w:line="240" w:lineRule="auto"/>
        <w:jc w:val="both"/>
      </w:pPr>
      <w:r w:rsidRPr="009862C2">
        <w:lastRenderedPageBreak/>
        <w:t>Tous les 2, 3 mois, en équipe, faites le tour des plants et profitez-en pour nettoyer délicatement les jeunes pousses.</w:t>
      </w:r>
    </w:p>
    <w:p w14:paraId="217E07C0" w14:textId="27FD7533" w:rsidR="009862C2" w:rsidRDefault="009862C2" w:rsidP="009862C2">
      <w:pPr>
        <w:spacing w:after="0" w:line="240" w:lineRule="auto"/>
        <w:jc w:val="both"/>
      </w:pPr>
    </w:p>
    <w:p w14:paraId="4185F028" w14:textId="2B945BDA" w:rsidR="009862C2" w:rsidRDefault="009862C2" w:rsidP="009862C2">
      <w:pPr>
        <w:spacing w:after="0" w:line="240" w:lineRule="auto"/>
        <w:jc w:val="center"/>
      </w:pPr>
      <w:r w:rsidRPr="009862C2">
        <w:rPr>
          <w:noProof/>
        </w:rPr>
        <w:drawing>
          <wp:inline distT="0" distB="0" distL="0" distR="0" wp14:anchorId="4B4E02E0" wp14:editId="0AD13567">
            <wp:extent cx="5010150" cy="2276475"/>
            <wp:effectExtent l="0" t="0" r="0" b="9525"/>
            <wp:docPr id="54298" name="Image 6" descr="Une image contenant texte, ciel, ex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98" name="Image 6" descr="Une image contenant texte, ciel, extérieur&#10;&#10;Description générée automatiquement"/>
                    <pic:cNvPicPr>
                      <a:picLocks noChangeAspect="1"/>
                    </pic:cNvPicPr>
                  </pic:nvPicPr>
                  <pic:blipFill>
                    <a:blip r:embed="rId1246">
                      <a:extLst>
                        <a:ext uri="{28A0092B-C50C-407E-A947-70E740481C1C}">
                          <a14:useLocalDpi xmlns:a14="http://schemas.microsoft.com/office/drawing/2010/main" val="0"/>
                        </a:ext>
                      </a:extLst>
                    </a:blip>
                    <a:srcRect/>
                    <a:stretch>
                      <a:fillRect/>
                    </a:stretch>
                  </pic:blipFill>
                  <pic:spPr bwMode="auto">
                    <a:xfrm>
                      <a:off x="0" y="0"/>
                      <a:ext cx="5010150" cy="2276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5948532" w14:textId="1047830D" w:rsidR="009862C2" w:rsidRDefault="009862C2" w:rsidP="009862C2">
      <w:pPr>
        <w:spacing w:after="0" w:line="240" w:lineRule="auto"/>
        <w:jc w:val="center"/>
      </w:pPr>
      <w:r w:rsidRPr="009862C2">
        <w:t>© Images / dessins Oceanium Dakar</w:t>
      </w:r>
      <w:r>
        <w:t>.</w:t>
      </w:r>
    </w:p>
    <w:p w14:paraId="33997B75" w14:textId="227B419F" w:rsidR="009862C2" w:rsidRDefault="009862C2" w:rsidP="0066340E">
      <w:pPr>
        <w:spacing w:after="0" w:line="240" w:lineRule="auto"/>
      </w:pPr>
    </w:p>
    <w:p w14:paraId="6D913791" w14:textId="3E1A92FB" w:rsidR="009862C2" w:rsidRDefault="00266ECD" w:rsidP="00266ECD">
      <w:pPr>
        <w:pStyle w:val="Titre2"/>
      </w:pPr>
      <w:bookmarkStart w:id="146" w:name="_Toc139181437"/>
      <w:r w:rsidRPr="00266ECD">
        <w:t>Des projets de reboisement de mangroves dans le monde, sources d’inspiration</w:t>
      </w:r>
      <w:bookmarkEnd w:id="146"/>
    </w:p>
    <w:p w14:paraId="09B0C256" w14:textId="1C857B2E" w:rsidR="00266ECD" w:rsidRDefault="00266ECD" w:rsidP="0066340E">
      <w:pPr>
        <w:spacing w:after="0" w:line="240" w:lineRule="auto"/>
      </w:pPr>
    </w:p>
    <w:p w14:paraId="401AD9C3" w14:textId="77777777" w:rsidR="00266ECD" w:rsidRPr="00266ECD" w:rsidRDefault="00266ECD" w:rsidP="00266ECD">
      <w:pPr>
        <w:spacing w:after="0" w:line="240" w:lineRule="auto"/>
        <w:jc w:val="both"/>
      </w:pPr>
      <w:r w:rsidRPr="00266ECD">
        <w:t xml:space="preserve">Une coopérative de productrices constituée autour de la réserve de mangroves a été créée afin de promouvoir des moyens alternatifs de subsistance dans les communautés côtières, au Guyana (Amérique du Sud). La protection et la réhabilitation des mangroves génèrent des avantages considérables pour ces communautés locales grâce à la participation à la production de plants de palétuviers ainsi qu'à la vente de produits forestiers non ligneux,  de miel provenant de l'apiculture et d'autres produits de la mangrove. Le site internet du Projet de restauration des mangroves du Guyana a été créé, ainsi qu’un site Facebook. Plusieurs publications produites dans le contexte du projet sont disponibles sur ce site, notamment un manuel de culture du palétuvier en pépinière, un code de pratiques pour l'exploitation des mangroves et du matériel éducatif.  </w:t>
      </w:r>
    </w:p>
    <w:p w14:paraId="6120EF9F" w14:textId="26D77CA2" w:rsidR="00266ECD" w:rsidRPr="00266ECD" w:rsidRDefault="00266ECD" w:rsidP="00266ECD">
      <w:pPr>
        <w:spacing w:after="0" w:line="240" w:lineRule="auto"/>
        <w:jc w:val="both"/>
      </w:pPr>
      <w:r w:rsidRPr="00266ECD">
        <w:t>Les planteurs plantent jusqu'à 75 plants/jour</w:t>
      </w:r>
      <w:r>
        <w:rPr>
          <w:rStyle w:val="Appelnotedebasdep"/>
        </w:rPr>
        <w:footnoteReference w:id="97"/>
      </w:r>
      <w:r w:rsidRPr="00266ECD">
        <w:t xml:space="preserve">. Ils touchent US 50 cents par plant.  </w:t>
      </w:r>
    </w:p>
    <w:p w14:paraId="47D35EF0" w14:textId="5277F26A" w:rsidR="00266ECD" w:rsidRDefault="00266ECD" w:rsidP="00266ECD">
      <w:pPr>
        <w:spacing w:after="0" w:line="240" w:lineRule="auto"/>
        <w:jc w:val="both"/>
      </w:pPr>
      <w:r w:rsidRPr="00266ECD">
        <w:rPr>
          <w:b/>
          <w:bCs/>
        </w:rPr>
        <w:t>Des pépiniéristes cultivant les palétuviers sont aidés, dans la création de leur entreprise, par la communauté européenne</w:t>
      </w:r>
      <w:r>
        <w:rPr>
          <w:rStyle w:val="Appelnotedebasdep"/>
          <w:b/>
          <w:bCs/>
        </w:rPr>
        <w:footnoteReference w:id="98"/>
      </w:r>
      <w:r w:rsidRPr="00266ECD">
        <w:t>.</w:t>
      </w:r>
      <w:r>
        <w:t xml:space="preserve"> </w:t>
      </w:r>
      <w:r w:rsidRPr="00266ECD">
        <w:t xml:space="preserve">L’ONG Oceanium de Dakar aide aussi les </w:t>
      </w:r>
      <w:r w:rsidRPr="00266ECD">
        <w:rPr>
          <w:b/>
          <w:bCs/>
          <w:i/>
          <w:iCs/>
        </w:rPr>
        <w:t>autoentrepreneurs valorisant la mangrove</w:t>
      </w:r>
      <w:r>
        <w:rPr>
          <w:rStyle w:val="Appelnotedebasdep"/>
          <w:b/>
          <w:bCs/>
          <w:i/>
          <w:iCs/>
        </w:rPr>
        <w:footnoteReference w:id="99"/>
      </w:r>
      <w:r w:rsidRPr="00266ECD">
        <w:t>.</w:t>
      </w:r>
    </w:p>
    <w:p w14:paraId="17E85DF6" w14:textId="5E9B9B1B" w:rsidR="00266ECD" w:rsidRDefault="00266ECD" w:rsidP="0066340E">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6"/>
        <w:gridCol w:w="942"/>
        <w:gridCol w:w="1918"/>
        <w:gridCol w:w="3290"/>
      </w:tblGrid>
      <w:tr w:rsidR="00266ECD" w14:paraId="5DB3AD8A" w14:textId="77777777" w:rsidTr="00DC3762">
        <w:tc>
          <w:tcPr>
            <w:tcW w:w="5208" w:type="dxa"/>
            <w:gridSpan w:val="2"/>
          </w:tcPr>
          <w:p w14:paraId="3B9C9AFE" w14:textId="3FB796BC" w:rsidR="00266ECD" w:rsidRDefault="00266ECD" w:rsidP="00266ECD">
            <w:pPr>
              <w:jc w:val="center"/>
            </w:pPr>
            <w:r w:rsidRPr="00266ECD">
              <w:rPr>
                <w:noProof/>
              </w:rPr>
              <w:drawing>
                <wp:inline distT="0" distB="0" distL="0" distR="0" wp14:anchorId="011E7168" wp14:editId="33A9030D">
                  <wp:extent cx="3113396" cy="1714500"/>
                  <wp:effectExtent l="0" t="0" r="0" b="0"/>
                  <wp:docPr id="54299"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8"/>
                          <pic:cNvPicPr>
                            <a:picLocks noChangeAspect="1"/>
                          </pic:cNvPicPr>
                        </pic:nvPicPr>
                        <pic:blipFill>
                          <a:blip r:embed="rId1247">
                            <a:extLst>
                              <a:ext uri="{28A0092B-C50C-407E-A947-70E740481C1C}">
                                <a14:useLocalDpi xmlns:a14="http://schemas.microsoft.com/office/drawing/2010/main" val="0"/>
                              </a:ext>
                            </a:extLst>
                          </a:blip>
                          <a:stretch>
                            <a:fillRect/>
                          </a:stretch>
                        </pic:blipFill>
                        <pic:spPr>
                          <a:xfrm>
                            <a:off x="0" y="0"/>
                            <a:ext cx="3126295" cy="1721603"/>
                          </a:xfrm>
                          <a:prstGeom prst="rect">
                            <a:avLst/>
                          </a:prstGeom>
                        </pic:spPr>
                      </pic:pic>
                    </a:graphicData>
                  </a:graphic>
                </wp:inline>
              </w:drawing>
            </w:r>
          </w:p>
        </w:tc>
        <w:tc>
          <w:tcPr>
            <w:tcW w:w="5208" w:type="dxa"/>
            <w:gridSpan w:val="2"/>
          </w:tcPr>
          <w:p w14:paraId="0A95434C" w14:textId="77777777" w:rsidR="00266ECD" w:rsidRDefault="00266ECD" w:rsidP="00266ECD">
            <w:pPr>
              <w:jc w:val="center"/>
            </w:pPr>
            <w:r w:rsidRPr="00266ECD">
              <w:rPr>
                <w:noProof/>
              </w:rPr>
              <w:drawing>
                <wp:inline distT="0" distB="0" distL="0" distR="0" wp14:anchorId="5034B090" wp14:editId="106652C4">
                  <wp:extent cx="2571750" cy="1647825"/>
                  <wp:effectExtent l="0" t="0" r="0" b="9525"/>
                  <wp:docPr id="54300"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2"/>
                          <pic:cNvPicPr>
                            <a:picLocks noChangeAspect="1"/>
                          </pic:cNvPicPr>
                        </pic:nvPicPr>
                        <pic:blipFill>
                          <a:blip r:embed="rId1248">
                            <a:extLst>
                              <a:ext uri="{28A0092B-C50C-407E-A947-70E740481C1C}">
                                <a14:useLocalDpi xmlns:a14="http://schemas.microsoft.com/office/drawing/2010/main" val="0"/>
                              </a:ext>
                            </a:extLst>
                          </a:blip>
                          <a:stretch>
                            <a:fillRect/>
                          </a:stretch>
                        </pic:blipFill>
                        <pic:spPr>
                          <a:xfrm>
                            <a:off x="0" y="0"/>
                            <a:ext cx="2571750" cy="1647825"/>
                          </a:xfrm>
                          <a:prstGeom prst="rect">
                            <a:avLst/>
                          </a:prstGeom>
                        </pic:spPr>
                      </pic:pic>
                    </a:graphicData>
                  </a:graphic>
                </wp:inline>
              </w:drawing>
            </w:r>
          </w:p>
          <w:p w14:paraId="01F2E123" w14:textId="51A341A8" w:rsidR="00266ECD" w:rsidRDefault="00266ECD" w:rsidP="00266ECD">
            <w:pPr>
              <w:jc w:val="center"/>
            </w:pPr>
            <w:r w:rsidRPr="00266ECD">
              <w:t>Pépinière avec toit en palmes de cocotiers</w:t>
            </w:r>
            <w:r>
              <w:t>.</w:t>
            </w:r>
          </w:p>
        </w:tc>
      </w:tr>
      <w:tr w:rsidR="00266ECD" w14:paraId="3A20019C" w14:textId="77777777" w:rsidTr="00DC3762">
        <w:tc>
          <w:tcPr>
            <w:tcW w:w="4266" w:type="dxa"/>
          </w:tcPr>
          <w:p w14:paraId="409E39AD" w14:textId="31325117" w:rsidR="00266ECD" w:rsidRDefault="00266ECD" w:rsidP="00266ECD">
            <w:pPr>
              <w:jc w:val="center"/>
            </w:pPr>
            <w:r w:rsidRPr="00266ECD">
              <w:rPr>
                <w:noProof/>
              </w:rPr>
              <w:lastRenderedPageBreak/>
              <w:drawing>
                <wp:inline distT="0" distB="0" distL="0" distR="0" wp14:anchorId="725DA496" wp14:editId="0D800867">
                  <wp:extent cx="2571750" cy="1009650"/>
                  <wp:effectExtent l="0" t="0" r="0" b="0"/>
                  <wp:docPr id="54301"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7"/>
                          <pic:cNvPicPr>
                            <a:picLocks noChangeAspect="1"/>
                          </pic:cNvPicPr>
                        </pic:nvPicPr>
                        <pic:blipFill>
                          <a:blip r:embed="rId1249">
                            <a:extLst>
                              <a:ext uri="{28A0092B-C50C-407E-A947-70E740481C1C}">
                                <a14:useLocalDpi xmlns:a14="http://schemas.microsoft.com/office/drawing/2010/main" val="0"/>
                              </a:ext>
                            </a:extLst>
                          </a:blip>
                          <a:stretch>
                            <a:fillRect/>
                          </a:stretch>
                        </pic:blipFill>
                        <pic:spPr>
                          <a:xfrm>
                            <a:off x="0" y="0"/>
                            <a:ext cx="2571750" cy="1009650"/>
                          </a:xfrm>
                          <a:prstGeom prst="rect">
                            <a:avLst/>
                          </a:prstGeom>
                        </pic:spPr>
                      </pic:pic>
                    </a:graphicData>
                  </a:graphic>
                </wp:inline>
              </w:drawing>
            </w:r>
          </w:p>
        </w:tc>
        <w:tc>
          <w:tcPr>
            <w:tcW w:w="2860" w:type="dxa"/>
            <w:gridSpan w:val="2"/>
          </w:tcPr>
          <w:p w14:paraId="1117801C" w14:textId="0C08C83B" w:rsidR="00266ECD" w:rsidRDefault="00266ECD" w:rsidP="00266ECD">
            <w:pPr>
              <w:jc w:val="center"/>
            </w:pPr>
            <w:r w:rsidRPr="00266ECD">
              <w:rPr>
                <w:noProof/>
              </w:rPr>
              <w:drawing>
                <wp:inline distT="0" distB="0" distL="0" distR="0" wp14:anchorId="47F63AC7" wp14:editId="4C39B8BD">
                  <wp:extent cx="1381125" cy="962025"/>
                  <wp:effectExtent l="0" t="0" r="9525" b="9525"/>
                  <wp:docPr id="54302"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6"/>
                          <pic:cNvPicPr>
                            <a:picLocks noChangeAspect="1"/>
                          </pic:cNvPicPr>
                        </pic:nvPicPr>
                        <pic:blipFill>
                          <a:blip r:embed="rId1250">
                            <a:extLst>
                              <a:ext uri="{28A0092B-C50C-407E-A947-70E740481C1C}">
                                <a14:useLocalDpi xmlns:a14="http://schemas.microsoft.com/office/drawing/2010/main" val="0"/>
                              </a:ext>
                            </a:extLst>
                          </a:blip>
                          <a:stretch>
                            <a:fillRect/>
                          </a:stretch>
                        </pic:blipFill>
                        <pic:spPr>
                          <a:xfrm>
                            <a:off x="0" y="0"/>
                            <a:ext cx="1381125" cy="962025"/>
                          </a:xfrm>
                          <a:prstGeom prst="rect">
                            <a:avLst/>
                          </a:prstGeom>
                        </pic:spPr>
                      </pic:pic>
                    </a:graphicData>
                  </a:graphic>
                </wp:inline>
              </w:drawing>
            </w:r>
          </w:p>
        </w:tc>
        <w:tc>
          <w:tcPr>
            <w:tcW w:w="3290" w:type="dxa"/>
          </w:tcPr>
          <w:p w14:paraId="4D9A78FB" w14:textId="42928835" w:rsidR="00266ECD" w:rsidRDefault="00266ECD" w:rsidP="00266ECD">
            <w:pPr>
              <w:jc w:val="center"/>
            </w:pPr>
            <w:r w:rsidRPr="00266ECD">
              <w:rPr>
                <w:noProof/>
              </w:rPr>
              <w:drawing>
                <wp:inline distT="0" distB="0" distL="0" distR="0" wp14:anchorId="0A80435B" wp14:editId="75A4B553">
                  <wp:extent cx="1857375" cy="762000"/>
                  <wp:effectExtent l="0" t="0" r="9525" b="0"/>
                  <wp:docPr id="54303"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pic:cNvPicPr>
                            <a:picLocks noChangeAspect="1"/>
                          </pic:cNvPicPr>
                        </pic:nvPicPr>
                        <pic:blipFill>
                          <a:blip r:embed="rId1251">
                            <a:extLst>
                              <a:ext uri="{28A0092B-C50C-407E-A947-70E740481C1C}">
                                <a14:useLocalDpi xmlns:a14="http://schemas.microsoft.com/office/drawing/2010/main" val="0"/>
                              </a:ext>
                            </a:extLst>
                          </a:blip>
                          <a:stretch>
                            <a:fillRect/>
                          </a:stretch>
                        </pic:blipFill>
                        <pic:spPr>
                          <a:xfrm>
                            <a:off x="0" y="0"/>
                            <a:ext cx="1857375" cy="762000"/>
                          </a:xfrm>
                          <a:prstGeom prst="rect">
                            <a:avLst/>
                          </a:prstGeom>
                        </pic:spPr>
                      </pic:pic>
                    </a:graphicData>
                  </a:graphic>
                </wp:inline>
              </w:drawing>
            </w:r>
          </w:p>
        </w:tc>
      </w:tr>
    </w:tbl>
    <w:p w14:paraId="28DC32F1" w14:textId="1AB04A5A" w:rsidR="00266ECD" w:rsidRDefault="00DC3762" w:rsidP="00DC3762">
      <w:pPr>
        <w:spacing w:after="0" w:line="240" w:lineRule="auto"/>
        <w:jc w:val="center"/>
      </w:pPr>
      <w:r w:rsidRPr="00DC3762">
        <w:t>Utilisation d’une « luge » de fortune, permettant de transporter une dizaine de plants, avec laquelle le planteur glisse et se déplace dans la boue (du littoral vaseux).</w:t>
      </w:r>
    </w:p>
    <w:p w14:paraId="58280421" w14:textId="782120C7" w:rsidR="00266ECD" w:rsidRDefault="00266ECD" w:rsidP="0066340E">
      <w:pPr>
        <w:spacing w:after="0" w:line="240" w:lineRule="auto"/>
      </w:pPr>
    </w:p>
    <w:p w14:paraId="29F37A70" w14:textId="4B9FE51A" w:rsidR="00DC3762" w:rsidRDefault="00721DCE" w:rsidP="00721DCE">
      <w:pPr>
        <w:pStyle w:val="Titre2"/>
      </w:pPr>
      <w:bookmarkStart w:id="147" w:name="_Toc139181438"/>
      <w:r w:rsidRPr="00721DCE">
        <w:t>Technique de culture en pépinière</w:t>
      </w:r>
      <w:bookmarkEnd w:id="147"/>
    </w:p>
    <w:p w14:paraId="039D4D2F" w14:textId="02DCBDD4" w:rsidR="00721DCE" w:rsidRDefault="00721DCE" w:rsidP="0066340E">
      <w:pPr>
        <w:spacing w:after="0" w:line="240" w:lineRule="auto"/>
      </w:pPr>
    </w:p>
    <w:p w14:paraId="7CF2EA7E" w14:textId="77777777" w:rsidR="00BF6281" w:rsidRDefault="00BF6281" w:rsidP="00721DCE">
      <w:pPr>
        <w:spacing w:after="0" w:line="240" w:lineRule="auto"/>
        <w:jc w:val="both"/>
      </w:pPr>
      <w:r w:rsidRPr="00BF6281">
        <w:t xml:space="preserve">a) </w:t>
      </w:r>
      <w:r>
        <w:t>R</w:t>
      </w:r>
      <w:r w:rsidRPr="00BF6281">
        <w:t xml:space="preserve">écolte de la boue, </w:t>
      </w:r>
    </w:p>
    <w:p w14:paraId="3525081F" w14:textId="21D27C79" w:rsidR="00BF6281" w:rsidRDefault="00BF6281" w:rsidP="00721DCE">
      <w:pPr>
        <w:spacing w:after="0" w:line="240" w:lineRule="auto"/>
        <w:jc w:val="both"/>
      </w:pPr>
      <w:r w:rsidRPr="00BF6281">
        <w:t xml:space="preserve">b) </w:t>
      </w:r>
      <w:r>
        <w:t>M</w:t>
      </w:r>
      <w:r w:rsidRPr="00BF6281">
        <w:t xml:space="preserve">ise de la boue dans un sac (pour plants), </w:t>
      </w:r>
    </w:p>
    <w:p w14:paraId="121BC3CD" w14:textId="057E1A4C" w:rsidR="00BF6281" w:rsidRDefault="00BF6281" w:rsidP="00721DCE">
      <w:pPr>
        <w:spacing w:after="0" w:line="240" w:lineRule="auto"/>
        <w:jc w:val="both"/>
      </w:pPr>
      <w:r w:rsidRPr="00BF6281">
        <w:t xml:space="preserve">c) </w:t>
      </w:r>
      <w:r>
        <w:t>P</w:t>
      </w:r>
      <w:r w:rsidRPr="00BF6281">
        <w:t xml:space="preserve">lantation de la bouture ou graine dans la boue du sac, </w:t>
      </w:r>
    </w:p>
    <w:p w14:paraId="3D5DBA31" w14:textId="77777777" w:rsidR="00BF6281" w:rsidRDefault="00BF6281" w:rsidP="00721DCE">
      <w:pPr>
        <w:spacing w:after="0" w:line="240" w:lineRule="auto"/>
        <w:jc w:val="both"/>
      </w:pPr>
      <w:r w:rsidRPr="00BF6281">
        <w:t xml:space="preserve">d) </w:t>
      </w:r>
      <w:r>
        <w:t>C</w:t>
      </w:r>
      <w:r w:rsidRPr="00BF6281">
        <w:t xml:space="preserve">onservation du plant dans la pépinière, durant environ quatre mois, </w:t>
      </w:r>
    </w:p>
    <w:p w14:paraId="696B211D" w14:textId="15D7A77E" w:rsidR="00721DCE" w:rsidRDefault="00BF6281" w:rsidP="00721DCE">
      <w:pPr>
        <w:spacing w:after="0" w:line="240" w:lineRule="auto"/>
        <w:jc w:val="both"/>
      </w:pPr>
      <w:r w:rsidRPr="00BF6281">
        <w:t xml:space="preserve">e) </w:t>
      </w:r>
      <w:r>
        <w:t>A</w:t>
      </w:r>
      <w:r w:rsidRPr="00BF6281">
        <w:t>rros</w:t>
      </w:r>
      <w:r>
        <w:t>age</w:t>
      </w:r>
      <w:r w:rsidRPr="00BF6281">
        <w:t xml:space="preserve"> </w:t>
      </w:r>
      <w:r>
        <w:t>d</w:t>
      </w:r>
      <w:r w:rsidRPr="00BF6281">
        <w:t>es plants deux fois par jour</w:t>
      </w:r>
      <w:r>
        <w:t>,</w:t>
      </w:r>
      <w:r w:rsidRPr="00BF6281">
        <w:t xml:space="preserve"> </w:t>
      </w:r>
      <w:r>
        <w:t xml:space="preserve">en </w:t>
      </w:r>
      <w:r w:rsidRPr="00BF6281">
        <w:t>leur donn</w:t>
      </w:r>
      <w:r>
        <w:t>ant</w:t>
      </w:r>
      <w:r w:rsidRPr="00BF6281">
        <w:t xml:space="preserve"> beaucoup d'ombre (pas de soleil direct</w:t>
      </w:r>
      <w:r>
        <w:t>), grâce aux</w:t>
      </w:r>
      <w:r w:rsidRPr="00BF6281">
        <w:t xml:space="preserve"> ombrière</w:t>
      </w:r>
      <w:r>
        <w:t>s</w:t>
      </w:r>
      <w:r w:rsidRPr="00BF6281">
        <w:t xml:space="preserve"> au-dessus des plants.</w:t>
      </w:r>
    </w:p>
    <w:p w14:paraId="18555D13" w14:textId="0D4145CC" w:rsidR="00BF6281" w:rsidRDefault="00BF6281" w:rsidP="00721DCE">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1"/>
        <w:gridCol w:w="5045"/>
      </w:tblGrid>
      <w:tr w:rsidR="00BF6281" w14:paraId="35CAE2C2" w14:textId="77777777" w:rsidTr="00FB0B74">
        <w:tc>
          <w:tcPr>
            <w:tcW w:w="5208" w:type="dxa"/>
          </w:tcPr>
          <w:p w14:paraId="7BA51838" w14:textId="77777777" w:rsidR="00BF6281" w:rsidRDefault="00BF6281" w:rsidP="00BF6281">
            <w:pPr>
              <w:jc w:val="center"/>
            </w:pPr>
            <w:r w:rsidRPr="00BF6281">
              <w:rPr>
                <w:noProof/>
              </w:rPr>
              <w:drawing>
                <wp:inline distT="0" distB="0" distL="0" distR="0" wp14:anchorId="0C11B9D0" wp14:editId="17DCF94C">
                  <wp:extent cx="2276475" cy="1531152"/>
                  <wp:effectExtent l="0" t="0" r="0" b="0"/>
                  <wp:docPr id="47104"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7"/>
                          <pic:cNvPicPr>
                            <a:picLocks noChangeAspect="1"/>
                          </pic:cNvPicPr>
                        </pic:nvPicPr>
                        <pic:blipFill>
                          <a:blip r:embed="rId1252">
                            <a:extLst>
                              <a:ext uri="{28A0092B-C50C-407E-A947-70E740481C1C}">
                                <a14:useLocalDpi xmlns:a14="http://schemas.microsoft.com/office/drawing/2010/main" val="0"/>
                              </a:ext>
                            </a:extLst>
                          </a:blip>
                          <a:stretch>
                            <a:fillRect/>
                          </a:stretch>
                        </pic:blipFill>
                        <pic:spPr>
                          <a:xfrm>
                            <a:off x="0" y="0"/>
                            <a:ext cx="2282313" cy="1535078"/>
                          </a:xfrm>
                          <a:prstGeom prst="rect">
                            <a:avLst/>
                          </a:prstGeom>
                        </pic:spPr>
                      </pic:pic>
                    </a:graphicData>
                  </a:graphic>
                </wp:inline>
              </w:drawing>
            </w:r>
          </w:p>
          <w:p w14:paraId="03F298A9" w14:textId="033F94F9" w:rsidR="00BF6281" w:rsidRDefault="00BF6281" w:rsidP="00BF6281">
            <w:pPr>
              <w:jc w:val="center"/>
            </w:pPr>
            <w:r w:rsidRPr="00BF6281">
              <w:t>Mise des jeunes plants dans des sacs plastique pour pépinières</w:t>
            </w:r>
          </w:p>
        </w:tc>
        <w:tc>
          <w:tcPr>
            <w:tcW w:w="5208" w:type="dxa"/>
          </w:tcPr>
          <w:p w14:paraId="2CF98064" w14:textId="77777777" w:rsidR="00BF6281" w:rsidRDefault="00BF6281" w:rsidP="00BF6281">
            <w:pPr>
              <w:jc w:val="center"/>
            </w:pPr>
            <w:r w:rsidRPr="00BF6281">
              <w:rPr>
                <w:noProof/>
              </w:rPr>
              <w:drawing>
                <wp:inline distT="0" distB="0" distL="0" distR="0" wp14:anchorId="5C07B8B9" wp14:editId="44F82DDA">
                  <wp:extent cx="2866239" cy="1524000"/>
                  <wp:effectExtent l="0" t="0" r="0" b="0"/>
                  <wp:docPr id="47105"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8"/>
                          <pic:cNvPicPr>
                            <a:picLocks noChangeAspect="1"/>
                          </pic:cNvPicPr>
                        </pic:nvPicPr>
                        <pic:blipFill>
                          <a:blip r:embed="rId1253">
                            <a:extLst>
                              <a:ext uri="{28A0092B-C50C-407E-A947-70E740481C1C}">
                                <a14:useLocalDpi xmlns:a14="http://schemas.microsoft.com/office/drawing/2010/main" val="0"/>
                              </a:ext>
                            </a:extLst>
                          </a:blip>
                          <a:stretch>
                            <a:fillRect/>
                          </a:stretch>
                        </pic:blipFill>
                        <pic:spPr>
                          <a:xfrm>
                            <a:off x="0" y="0"/>
                            <a:ext cx="2866831" cy="1524315"/>
                          </a:xfrm>
                          <a:prstGeom prst="rect">
                            <a:avLst/>
                          </a:prstGeom>
                        </pic:spPr>
                      </pic:pic>
                    </a:graphicData>
                  </a:graphic>
                </wp:inline>
              </w:drawing>
            </w:r>
          </w:p>
          <w:p w14:paraId="0CD72C4B" w14:textId="5733A0A5" w:rsidR="00BF6281" w:rsidRDefault="00BF6281" w:rsidP="00BF6281">
            <w:pPr>
              <w:jc w:val="center"/>
            </w:pPr>
            <w:r w:rsidRPr="00BF6281">
              <w:t>Pépinières avec canaux d’irrigation d’eau de mer.</w:t>
            </w:r>
          </w:p>
        </w:tc>
      </w:tr>
      <w:tr w:rsidR="00FB0B74" w14:paraId="7B5D5D3E" w14:textId="77777777" w:rsidTr="00FB0B74">
        <w:tc>
          <w:tcPr>
            <w:tcW w:w="5208" w:type="dxa"/>
          </w:tcPr>
          <w:p w14:paraId="37BA530C" w14:textId="77777777" w:rsidR="00FB0B74" w:rsidRDefault="00FB0B74" w:rsidP="00BF6281">
            <w:pPr>
              <w:jc w:val="center"/>
            </w:pPr>
            <w:r w:rsidRPr="00FB0B74">
              <w:rPr>
                <w:noProof/>
              </w:rPr>
              <w:drawing>
                <wp:inline distT="0" distB="0" distL="0" distR="0" wp14:anchorId="62B716B3" wp14:editId="24EEC95D">
                  <wp:extent cx="2714625" cy="1743075"/>
                  <wp:effectExtent l="0" t="0" r="9525" b="9525"/>
                  <wp:docPr id="47116"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pic:cNvPicPr>
                            <a:picLocks noChangeAspect="1"/>
                          </pic:cNvPicPr>
                        </pic:nvPicPr>
                        <pic:blipFill>
                          <a:blip r:embed="rId1254">
                            <a:extLst>
                              <a:ext uri="{28A0092B-C50C-407E-A947-70E740481C1C}">
                                <a14:useLocalDpi xmlns:a14="http://schemas.microsoft.com/office/drawing/2010/main" val="0"/>
                              </a:ext>
                            </a:extLst>
                          </a:blip>
                          <a:stretch>
                            <a:fillRect/>
                          </a:stretch>
                        </pic:blipFill>
                        <pic:spPr>
                          <a:xfrm>
                            <a:off x="0" y="0"/>
                            <a:ext cx="2714625" cy="1743075"/>
                          </a:xfrm>
                          <a:prstGeom prst="rect">
                            <a:avLst/>
                          </a:prstGeom>
                        </pic:spPr>
                      </pic:pic>
                    </a:graphicData>
                  </a:graphic>
                </wp:inline>
              </w:drawing>
            </w:r>
          </w:p>
          <w:p w14:paraId="34AF927A" w14:textId="6DA4AD69" w:rsidR="00FB0B74" w:rsidRPr="00BF6281" w:rsidRDefault="00FB0B74" w:rsidP="00BF6281">
            <w:pPr>
              <w:jc w:val="center"/>
            </w:pPr>
            <w:r w:rsidRPr="00FB0B74">
              <w:t xml:space="preserve">Plantation de palétuviers </w:t>
            </w:r>
            <w:r w:rsidRPr="00FB0B74">
              <w:rPr>
                <w:i/>
                <w:iCs/>
              </w:rPr>
              <w:t>(Avicennia marina</w:t>
            </w:r>
            <w:r w:rsidRPr="00FB0B74">
              <w:t xml:space="preserve"> et </w:t>
            </w:r>
            <w:r w:rsidRPr="00FB0B74">
              <w:rPr>
                <w:i/>
                <w:iCs/>
              </w:rPr>
              <w:t>Avicennia officinalis</w:t>
            </w:r>
            <w:r w:rsidRPr="00FB0B74">
              <w:t>) (Inde)</w:t>
            </w:r>
            <w:r>
              <w:rPr>
                <w:rStyle w:val="Appelnotedebasdep"/>
              </w:rPr>
              <w:footnoteReference w:id="100"/>
            </w:r>
            <w:r w:rsidRPr="00FB0B74">
              <w:t>.</w:t>
            </w:r>
          </w:p>
        </w:tc>
        <w:tc>
          <w:tcPr>
            <w:tcW w:w="5208" w:type="dxa"/>
          </w:tcPr>
          <w:p w14:paraId="739839C5" w14:textId="77777777" w:rsidR="00FB0B74" w:rsidRDefault="00FB0B74" w:rsidP="00BF6281">
            <w:pPr>
              <w:jc w:val="center"/>
            </w:pPr>
            <w:r w:rsidRPr="00FB0B74">
              <w:rPr>
                <w:noProof/>
              </w:rPr>
              <w:drawing>
                <wp:inline distT="0" distB="0" distL="0" distR="0" wp14:anchorId="17800A0E" wp14:editId="260E6FC3">
                  <wp:extent cx="2571750" cy="1647825"/>
                  <wp:effectExtent l="0" t="0" r="0" b="9525"/>
                  <wp:docPr id="47117"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2"/>
                          <pic:cNvPicPr>
                            <a:picLocks noChangeAspect="1"/>
                          </pic:cNvPicPr>
                        </pic:nvPicPr>
                        <pic:blipFill>
                          <a:blip r:embed="rId1255">
                            <a:extLst>
                              <a:ext uri="{28A0092B-C50C-407E-A947-70E740481C1C}">
                                <a14:useLocalDpi xmlns:a14="http://schemas.microsoft.com/office/drawing/2010/main" val="0"/>
                              </a:ext>
                            </a:extLst>
                          </a:blip>
                          <a:stretch>
                            <a:fillRect/>
                          </a:stretch>
                        </pic:blipFill>
                        <pic:spPr>
                          <a:xfrm>
                            <a:off x="0" y="0"/>
                            <a:ext cx="2571750" cy="1647825"/>
                          </a:xfrm>
                          <a:prstGeom prst="rect">
                            <a:avLst/>
                          </a:prstGeom>
                        </pic:spPr>
                      </pic:pic>
                    </a:graphicData>
                  </a:graphic>
                </wp:inline>
              </w:drawing>
            </w:r>
          </w:p>
          <w:p w14:paraId="4E93136F" w14:textId="42D7C593" w:rsidR="00FB0B74" w:rsidRPr="00BF6281" w:rsidRDefault="00FB0B74" w:rsidP="00FB0B74">
            <w:pPr>
              <w:jc w:val="center"/>
            </w:pPr>
            <w:r w:rsidRPr="00FB0B74">
              <w:t>Créations des banquettes / lits / planches de la pépinière. Source : idem.</w:t>
            </w:r>
          </w:p>
        </w:tc>
      </w:tr>
      <w:tr w:rsidR="00FB0B74" w14:paraId="64B581D1" w14:textId="77777777" w:rsidTr="00FB0B74">
        <w:tc>
          <w:tcPr>
            <w:tcW w:w="5208" w:type="dxa"/>
          </w:tcPr>
          <w:p w14:paraId="4B5AA32B" w14:textId="77777777" w:rsidR="00FB0B74" w:rsidRDefault="00FB0B74" w:rsidP="00BF6281">
            <w:pPr>
              <w:jc w:val="center"/>
            </w:pPr>
            <w:r w:rsidRPr="00FB0B74">
              <w:rPr>
                <w:noProof/>
              </w:rPr>
              <w:lastRenderedPageBreak/>
              <w:drawing>
                <wp:inline distT="0" distB="0" distL="0" distR="0" wp14:anchorId="74AC6AD0" wp14:editId="158AB3CD">
                  <wp:extent cx="3148851" cy="1498974"/>
                  <wp:effectExtent l="0" t="0" r="0" b="6350"/>
                  <wp:docPr id="47118"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4"/>
                          <pic:cNvPicPr>
                            <a:picLocks noChangeAspect="1"/>
                          </pic:cNvPicPr>
                        </pic:nvPicPr>
                        <pic:blipFill>
                          <a:blip r:embed="rId1256">
                            <a:extLst>
                              <a:ext uri="{28A0092B-C50C-407E-A947-70E740481C1C}">
                                <a14:useLocalDpi xmlns:a14="http://schemas.microsoft.com/office/drawing/2010/main" val="0"/>
                              </a:ext>
                            </a:extLst>
                          </a:blip>
                          <a:stretch>
                            <a:fillRect/>
                          </a:stretch>
                        </pic:blipFill>
                        <pic:spPr>
                          <a:xfrm>
                            <a:off x="0" y="0"/>
                            <a:ext cx="3148851" cy="1498974"/>
                          </a:xfrm>
                          <a:prstGeom prst="rect">
                            <a:avLst/>
                          </a:prstGeom>
                        </pic:spPr>
                      </pic:pic>
                    </a:graphicData>
                  </a:graphic>
                </wp:inline>
              </w:drawing>
            </w:r>
          </w:p>
          <w:p w14:paraId="5CC4FFB3" w14:textId="30AF2648" w:rsidR="00FB0B74" w:rsidRPr="00FB0B74" w:rsidRDefault="00FB0B74" w:rsidP="00FB0B74">
            <w:pPr>
              <w:jc w:val="center"/>
            </w:pPr>
            <w:r w:rsidRPr="00FB0B74">
              <w:t>Préparation des lits de la pépinière</w:t>
            </w:r>
            <w:r>
              <w:t xml:space="preserve"> </w:t>
            </w:r>
            <w:r w:rsidRPr="00FB0B74">
              <w:t>(Source : idem).</w:t>
            </w:r>
          </w:p>
        </w:tc>
        <w:tc>
          <w:tcPr>
            <w:tcW w:w="5208" w:type="dxa"/>
          </w:tcPr>
          <w:p w14:paraId="553E7201" w14:textId="77777777" w:rsidR="00FB0B74" w:rsidRDefault="00FB0B74" w:rsidP="00BF6281">
            <w:pPr>
              <w:jc w:val="center"/>
            </w:pPr>
            <w:r w:rsidRPr="00FB0B74">
              <w:rPr>
                <w:noProof/>
              </w:rPr>
              <w:drawing>
                <wp:inline distT="0" distB="0" distL="0" distR="0" wp14:anchorId="7B6EFC56" wp14:editId="05E98FD9">
                  <wp:extent cx="2710612" cy="1736725"/>
                  <wp:effectExtent l="0" t="0" r="0" b="0"/>
                  <wp:docPr id="47119"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3"/>
                          <pic:cNvPicPr>
                            <a:picLocks noChangeAspect="1"/>
                          </pic:cNvPicPr>
                        </pic:nvPicPr>
                        <pic:blipFill>
                          <a:blip r:embed="rId1257"/>
                          <a:stretch>
                            <a:fillRect/>
                          </a:stretch>
                        </pic:blipFill>
                        <pic:spPr>
                          <a:xfrm>
                            <a:off x="0" y="0"/>
                            <a:ext cx="2714425" cy="1739168"/>
                          </a:xfrm>
                          <a:prstGeom prst="rect">
                            <a:avLst/>
                          </a:prstGeom>
                        </pic:spPr>
                      </pic:pic>
                    </a:graphicData>
                  </a:graphic>
                </wp:inline>
              </w:drawing>
            </w:r>
          </w:p>
          <w:p w14:paraId="0C925437" w14:textId="57A877B0" w:rsidR="00FB0B74" w:rsidRPr="00FB0B74" w:rsidRDefault="00FB0B74" w:rsidP="00BF6281">
            <w:pPr>
              <w:jc w:val="center"/>
            </w:pPr>
            <w:r w:rsidRPr="00FB0B74">
              <w:t>Préparation des lits de la pépinière</w:t>
            </w:r>
            <w:r>
              <w:t xml:space="preserve"> </w:t>
            </w:r>
            <w:r w:rsidRPr="00FB0B74">
              <w:t>(Source : idem).</w:t>
            </w:r>
          </w:p>
        </w:tc>
      </w:tr>
      <w:tr w:rsidR="00FB0B74" w14:paraId="6BC9EC31" w14:textId="77777777" w:rsidTr="00FB0B74">
        <w:tc>
          <w:tcPr>
            <w:tcW w:w="5208" w:type="dxa"/>
          </w:tcPr>
          <w:p w14:paraId="18CB207F" w14:textId="77777777" w:rsidR="00FB0B74" w:rsidRDefault="00FB0B74" w:rsidP="00BF6281">
            <w:pPr>
              <w:jc w:val="center"/>
            </w:pPr>
            <w:r w:rsidRPr="00FB0B74">
              <w:rPr>
                <w:noProof/>
              </w:rPr>
              <w:drawing>
                <wp:inline distT="0" distB="0" distL="0" distR="0" wp14:anchorId="2D97ADA1" wp14:editId="031131E4">
                  <wp:extent cx="3280220" cy="3048532"/>
                  <wp:effectExtent l="0" t="0" r="0" b="0"/>
                  <wp:docPr id="47120"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7"/>
                          <pic:cNvPicPr>
                            <a:picLocks noChangeAspect="1"/>
                          </pic:cNvPicPr>
                        </pic:nvPicPr>
                        <pic:blipFill>
                          <a:blip r:embed="rId1258">
                            <a:extLst>
                              <a:ext uri="{28A0092B-C50C-407E-A947-70E740481C1C}">
                                <a14:useLocalDpi xmlns:a14="http://schemas.microsoft.com/office/drawing/2010/main" val="0"/>
                              </a:ext>
                            </a:extLst>
                          </a:blip>
                          <a:stretch>
                            <a:fillRect/>
                          </a:stretch>
                        </pic:blipFill>
                        <pic:spPr>
                          <a:xfrm>
                            <a:off x="0" y="0"/>
                            <a:ext cx="3289600" cy="3057250"/>
                          </a:xfrm>
                          <a:prstGeom prst="rect">
                            <a:avLst/>
                          </a:prstGeom>
                        </pic:spPr>
                      </pic:pic>
                    </a:graphicData>
                  </a:graphic>
                </wp:inline>
              </w:drawing>
            </w:r>
          </w:p>
          <w:p w14:paraId="69F45330" w14:textId="13E0B88F" w:rsidR="00FB0B74" w:rsidRPr="00FB0B74" w:rsidRDefault="00FB0B74" w:rsidP="00FB0B74">
            <w:pPr>
              <w:jc w:val="both"/>
            </w:pPr>
            <w:r w:rsidRPr="00FB0B74">
              <w:rPr>
                <w:i/>
                <w:iCs/>
              </w:rPr>
              <w:t>Plan de la pépinière</w:t>
            </w:r>
            <w:r w:rsidRPr="00FB0B74">
              <w:t xml:space="preserve">. a) connexions à la crique (ou au ruisseau), b) lits / planches de la pépinière, c) canal d’irrigation et d) canal d’évacuation ou de drainage.  </w:t>
            </w:r>
          </w:p>
        </w:tc>
        <w:tc>
          <w:tcPr>
            <w:tcW w:w="5208" w:type="dxa"/>
          </w:tcPr>
          <w:p w14:paraId="5D283D70" w14:textId="77777777" w:rsidR="00FB0B74" w:rsidRPr="00FB0B74" w:rsidRDefault="00FB0B74" w:rsidP="00BF6281">
            <w:pPr>
              <w:jc w:val="center"/>
            </w:pPr>
          </w:p>
        </w:tc>
      </w:tr>
    </w:tbl>
    <w:p w14:paraId="1C1F5F5B" w14:textId="7A99DB08" w:rsidR="00BF6281" w:rsidRDefault="00BF6281" w:rsidP="00BF6281">
      <w:pPr>
        <w:spacing w:after="0" w:line="240" w:lineRule="auto"/>
        <w:jc w:val="cente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76"/>
        <w:gridCol w:w="3996"/>
        <w:gridCol w:w="2854"/>
      </w:tblGrid>
      <w:tr w:rsidR="00BF6281" w14:paraId="4FB09307" w14:textId="77777777" w:rsidTr="00BF6281">
        <w:tc>
          <w:tcPr>
            <w:tcW w:w="3472" w:type="dxa"/>
          </w:tcPr>
          <w:p w14:paraId="26DEB821" w14:textId="77777777" w:rsidR="00BF6281" w:rsidRDefault="00BF6281" w:rsidP="00BF6281">
            <w:pPr>
              <w:jc w:val="center"/>
            </w:pPr>
            <w:r w:rsidRPr="00BF6281">
              <w:rPr>
                <w:noProof/>
              </w:rPr>
              <w:drawing>
                <wp:inline distT="0" distB="0" distL="0" distR="0" wp14:anchorId="0B3E2765" wp14:editId="5B64FA0B">
                  <wp:extent cx="2125305" cy="1414145"/>
                  <wp:effectExtent l="0" t="0" r="8890" b="0"/>
                  <wp:docPr id="47112"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pic:cNvPicPr>
                            <a:picLocks noChangeAspect="1"/>
                          </pic:cNvPicPr>
                        </pic:nvPicPr>
                        <pic:blipFill>
                          <a:blip r:embed="rId1259">
                            <a:extLst>
                              <a:ext uri="{28A0092B-C50C-407E-A947-70E740481C1C}">
                                <a14:useLocalDpi xmlns:a14="http://schemas.microsoft.com/office/drawing/2010/main" val="0"/>
                              </a:ext>
                            </a:extLst>
                          </a:blip>
                          <a:stretch>
                            <a:fillRect/>
                          </a:stretch>
                        </pic:blipFill>
                        <pic:spPr>
                          <a:xfrm>
                            <a:off x="0" y="0"/>
                            <a:ext cx="2128892" cy="1416532"/>
                          </a:xfrm>
                          <a:prstGeom prst="rect">
                            <a:avLst/>
                          </a:prstGeom>
                        </pic:spPr>
                      </pic:pic>
                    </a:graphicData>
                  </a:graphic>
                </wp:inline>
              </w:drawing>
            </w:r>
          </w:p>
          <w:p w14:paraId="45CEC8B2" w14:textId="1A7232F7" w:rsidR="00BF6281" w:rsidRDefault="00BF6281" w:rsidP="00BF6281">
            <w:pPr>
              <w:jc w:val="center"/>
            </w:pPr>
            <w:r w:rsidRPr="00BF6281">
              <w:t xml:space="preserve">Pépinières de plants </w:t>
            </w:r>
            <w:r w:rsidRPr="00BF6281">
              <w:rPr>
                <w:i/>
                <w:iCs/>
              </w:rPr>
              <w:t xml:space="preserve">d'Avicennia germinans </w:t>
            </w:r>
            <w:r w:rsidRPr="00BF6281">
              <w:t>(au Guyana)</w:t>
            </w:r>
          </w:p>
        </w:tc>
        <w:tc>
          <w:tcPr>
            <w:tcW w:w="3472" w:type="dxa"/>
          </w:tcPr>
          <w:p w14:paraId="4D9043CD" w14:textId="2C9C9B97" w:rsidR="00BF6281" w:rsidRDefault="00BF6281" w:rsidP="00BF6281">
            <w:pPr>
              <w:jc w:val="center"/>
            </w:pPr>
            <w:r w:rsidRPr="00BF6281">
              <w:rPr>
                <w:noProof/>
              </w:rPr>
              <w:drawing>
                <wp:inline distT="0" distB="0" distL="0" distR="0" wp14:anchorId="0F09A91B" wp14:editId="7613A2F8">
                  <wp:extent cx="2400300" cy="1414318"/>
                  <wp:effectExtent l="0" t="0" r="0" b="0"/>
                  <wp:docPr id="47113"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6"/>
                          <pic:cNvPicPr>
                            <a:picLocks noChangeAspect="1"/>
                          </pic:cNvPicPr>
                        </pic:nvPicPr>
                        <pic:blipFill>
                          <a:blip r:embed="rId1260">
                            <a:extLst>
                              <a:ext uri="{28A0092B-C50C-407E-A947-70E740481C1C}">
                                <a14:useLocalDpi xmlns:a14="http://schemas.microsoft.com/office/drawing/2010/main" val="0"/>
                              </a:ext>
                            </a:extLst>
                          </a:blip>
                          <a:stretch>
                            <a:fillRect/>
                          </a:stretch>
                        </pic:blipFill>
                        <pic:spPr>
                          <a:xfrm>
                            <a:off x="0" y="0"/>
                            <a:ext cx="2408578" cy="1419196"/>
                          </a:xfrm>
                          <a:prstGeom prst="rect">
                            <a:avLst/>
                          </a:prstGeom>
                        </pic:spPr>
                      </pic:pic>
                    </a:graphicData>
                  </a:graphic>
                </wp:inline>
              </w:drawing>
            </w:r>
          </w:p>
          <w:p w14:paraId="28F61F85" w14:textId="5ADD2D53" w:rsidR="00BF6281" w:rsidRDefault="00BF6281" w:rsidP="00BF6281">
            <w:pPr>
              <w:jc w:val="center"/>
            </w:pPr>
            <w:r w:rsidRPr="00BF6281">
              <w:t xml:space="preserve">Pépinières de plants </w:t>
            </w:r>
            <w:r w:rsidRPr="00BF6281">
              <w:rPr>
                <w:i/>
                <w:iCs/>
              </w:rPr>
              <w:t xml:space="preserve">d'Avicennia germinans </w:t>
            </w:r>
            <w:r w:rsidRPr="00BF6281">
              <w:t>(au Guyana)</w:t>
            </w:r>
          </w:p>
        </w:tc>
        <w:tc>
          <w:tcPr>
            <w:tcW w:w="3472" w:type="dxa"/>
          </w:tcPr>
          <w:p w14:paraId="5A6F3F8E" w14:textId="77777777" w:rsidR="00BF6281" w:rsidRDefault="00BF6281" w:rsidP="00BF6281">
            <w:pPr>
              <w:jc w:val="center"/>
            </w:pPr>
            <w:r w:rsidRPr="00BF6281">
              <w:rPr>
                <w:noProof/>
              </w:rPr>
              <w:drawing>
                <wp:inline distT="0" distB="0" distL="0" distR="0" wp14:anchorId="531E42FB" wp14:editId="4AFC8361">
                  <wp:extent cx="1123950" cy="962025"/>
                  <wp:effectExtent l="0" t="0" r="0" b="9525"/>
                  <wp:docPr id="47114"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 23"/>
                          <pic:cNvPicPr>
                            <a:picLocks noChangeAspect="1"/>
                          </pic:cNvPicPr>
                        </pic:nvPicPr>
                        <pic:blipFill>
                          <a:blip r:embed="rId1261">
                            <a:extLst>
                              <a:ext uri="{28A0092B-C50C-407E-A947-70E740481C1C}">
                                <a14:useLocalDpi xmlns:a14="http://schemas.microsoft.com/office/drawing/2010/main" val="0"/>
                              </a:ext>
                            </a:extLst>
                          </a:blip>
                          <a:stretch>
                            <a:fillRect/>
                          </a:stretch>
                        </pic:blipFill>
                        <pic:spPr>
                          <a:xfrm>
                            <a:off x="0" y="0"/>
                            <a:ext cx="1123950" cy="962025"/>
                          </a:xfrm>
                          <a:prstGeom prst="rect">
                            <a:avLst/>
                          </a:prstGeom>
                        </pic:spPr>
                      </pic:pic>
                    </a:graphicData>
                  </a:graphic>
                </wp:inline>
              </w:drawing>
            </w:r>
          </w:p>
          <w:p w14:paraId="0523F667" w14:textId="33720C5C" w:rsidR="00BF6281" w:rsidRDefault="00BF6281" w:rsidP="00BF6281">
            <w:pPr>
              <w:jc w:val="center"/>
            </w:pPr>
            <w:r w:rsidRPr="00BF6281">
              <w:t>Sacs pour pépinières, remplis de la boue prélevée dans la mangrove.</w:t>
            </w:r>
          </w:p>
        </w:tc>
      </w:tr>
    </w:tbl>
    <w:p w14:paraId="7B74ABDA" w14:textId="77777777" w:rsidR="00BF6281" w:rsidRDefault="00BF6281" w:rsidP="00BF6281">
      <w:pPr>
        <w:spacing w:after="0" w:line="240" w:lineRule="auto"/>
        <w:jc w:val="center"/>
      </w:pPr>
    </w:p>
    <w:tbl>
      <w:tblPr>
        <w:tblW w:w="0" w:type="auto"/>
        <w:jc w:val="center"/>
        <w:tblCellMar>
          <w:left w:w="0" w:type="dxa"/>
          <w:right w:w="0" w:type="dxa"/>
        </w:tblCellMar>
        <w:tblLook w:val="0600" w:firstRow="0" w:lastRow="0" w:firstColumn="0" w:lastColumn="0" w:noHBand="1" w:noVBand="1"/>
      </w:tblPr>
      <w:tblGrid>
        <w:gridCol w:w="3847"/>
        <w:gridCol w:w="2744"/>
        <w:gridCol w:w="3747"/>
      </w:tblGrid>
      <w:tr w:rsidR="00FB0B74" w:rsidRPr="00FB0B74" w14:paraId="7EE0B5E9" w14:textId="77777777" w:rsidTr="00EF1A93">
        <w:trPr>
          <w:trHeight w:val="477"/>
          <w:tblHeader/>
          <w:jc w:val="center"/>
        </w:trPr>
        <w:tc>
          <w:tcPr>
            <w:tcW w:w="0" w:type="auto"/>
            <w:tcBorders>
              <w:top w:val="single" w:sz="8" w:space="0" w:color="000000"/>
              <w:left w:val="single" w:sz="8" w:space="0" w:color="000000"/>
              <w:bottom w:val="single" w:sz="8" w:space="0" w:color="000000"/>
              <w:right w:val="single" w:sz="8" w:space="0" w:color="000000"/>
            </w:tcBorders>
            <w:shd w:val="clear" w:color="auto" w:fill="BDD7EE"/>
            <w:tcMar>
              <w:top w:w="15" w:type="dxa"/>
              <w:left w:w="15" w:type="dxa"/>
              <w:bottom w:w="0" w:type="dxa"/>
              <w:right w:w="15" w:type="dxa"/>
            </w:tcMar>
            <w:vAlign w:val="center"/>
            <w:hideMark/>
          </w:tcPr>
          <w:p w14:paraId="356DEFE6" w14:textId="77777777" w:rsidR="00FB0B74" w:rsidRPr="00FB0B74" w:rsidRDefault="00FB0B74" w:rsidP="00FB0B74">
            <w:pPr>
              <w:kinsoku w:val="0"/>
              <w:overflowPunct w:val="0"/>
              <w:spacing w:after="0" w:line="215" w:lineRule="exact"/>
              <w:ind w:left="144"/>
              <w:textAlignment w:val="baseline"/>
              <w:rPr>
                <w:rFonts w:ascii="Arial" w:eastAsia="Times New Roman" w:hAnsi="Arial" w:cs="Arial"/>
                <w:lang w:eastAsia="fr-FR"/>
              </w:rPr>
            </w:pPr>
            <w:r w:rsidRPr="00FB0B74">
              <w:rPr>
                <w:rFonts w:ascii="Calibri" w:eastAsia="Times New Roman" w:hAnsi="Calibri" w:cs="Arial"/>
                <w:color w:val="000000"/>
                <w:spacing w:val="-4"/>
                <w:kern w:val="24"/>
                <w:lang w:eastAsia="fr-FR"/>
              </w:rPr>
              <w:t>Espèces de la mangrove</w:t>
            </w:r>
          </w:p>
        </w:tc>
        <w:tc>
          <w:tcPr>
            <w:tcW w:w="0" w:type="auto"/>
            <w:tcBorders>
              <w:top w:val="single" w:sz="8" w:space="0" w:color="000000"/>
              <w:left w:val="single" w:sz="8" w:space="0" w:color="000000"/>
              <w:bottom w:val="single" w:sz="8" w:space="0" w:color="000000"/>
              <w:right w:val="single" w:sz="8" w:space="0" w:color="000000"/>
            </w:tcBorders>
            <w:shd w:val="clear" w:color="auto" w:fill="BDD7EE"/>
            <w:tcMar>
              <w:top w:w="15" w:type="dxa"/>
              <w:left w:w="15" w:type="dxa"/>
              <w:bottom w:w="0" w:type="dxa"/>
              <w:right w:w="15" w:type="dxa"/>
            </w:tcMar>
            <w:vAlign w:val="center"/>
            <w:hideMark/>
          </w:tcPr>
          <w:p w14:paraId="55990B38" w14:textId="77777777" w:rsidR="00FB0B74" w:rsidRPr="00FB0B74" w:rsidRDefault="00FB0B74" w:rsidP="00FB0B74">
            <w:pPr>
              <w:kinsoku w:val="0"/>
              <w:overflowPunct w:val="0"/>
              <w:spacing w:after="0" w:line="208" w:lineRule="exact"/>
              <w:ind w:left="115" w:right="720"/>
              <w:textAlignment w:val="baseline"/>
              <w:rPr>
                <w:rFonts w:ascii="Arial" w:eastAsia="Times New Roman" w:hAnsi="Arial" w:cs="Arial"/>
                <w:lang w:eastAsia="fr-FR"/>
              </w:rPr>
            </w:pPr>
            <w:r w:rsidRPr="00FB0B74">
              <w:rPr>
                <w:rFonts w:ascii="Calibri" w:eastAsia="Times New Roman" w:hAnsi="Calibri" w:cs="Arial"/>
                <w:color w:val="000000"/>
                <w:spacing w:val="-6"/>
                <w:kern w:val="24"/>
                <w:lang w:eastAsia="fr-FR"/>
              </w:rPr>
              <w:t>Matériel de plantation</w:t>
            </w:r>
          </w:p>
        </w:tc>
        <w:tc>
          <w:tcPr>
            <w:tcW w:w="3747" w:type="dxa"/>
            <w:tcBorders>
              <w:top w:val="single" w:sz="8" w:space="0" w:color="000000"/>
              <w:left w:val="single" w:sz="8" w:space="0" w:color="000000"/>
              <w:bottom w:val="single" w:sz="8" w:space="0" w:color="000000"/>
              <w:right w:val="single" w:sz="8" w:space="0" w:color="000000"/>
            </w:tcBorders>
            <w:shd w:val="clear" w:color="auto" w:fill="BDD7EE"/>
            <w:tcMar>
              <w:top w:w="15" w:type="dxa"/>
              <w:left w:w="15" w:type="dxa"/>
              <w:bottom w:w="0" w:type="dxa"/>
              <w:right w:w="15" w:type="dxa"/>
            </w:tcMar>
            <w:vAlign w:val="center"/>
            <w:hideMark/>
          </w:tcPr>
          <w:p w14:paraId="6B5033D0" w14:textId="77777777" w:rsidR="00FB0B74" w:rsidRPr="00FB0B74" w:rsidRDefault="00FB0B74" w:rsidP="00FB0B74">
            <w:pPr>
              <w:kinsoku w:val="0"/>
              <w:overflowPunct w:val="0"/>
              <w:spacing w:after="0" w:line="215" w:lineRule="exact"/>
              <w:ind w:left="101"/>
              <w:textAlignment w:val="baseline"/>
              <w:rPr>
                <w:rFonts w:ascii="Arial" w:eastAsia="Times New Roman" w:hAnsi="Arial" w:cs="Arial"/>
                <w:lang w:eastAsia="fr-FR"/>
              </w:rPr>
            </w:pPr>
            <w:r w:rsidRPr="00FB0B74">
              <w:rPr>
                <w:rFonts w:ascii="Calibri" w:eastAsia="Times New Roman" w:hAnsi="Calibri" w:cs="Arial"/>
                <w:color w:val="000000"/>
                <w:spacing w:val="-5"/>
                <w:kern w:val="24"/>
                <w:lang w:eastAsia="fr-FR"/>
              </w:rPr>
              <w:t>Usage</w:t>
            </w:r>
          </w:p>
        </w:tc>
      </w:tr>
      <w:tr w:rsidR="00FB0B74" w:rsidRPr="00FB0B74" w14:paraId="40292C4E" w14:textId="77777777" w:rsidTr="00720591">
        <w:trPr>
          <w:trHeight w:val="244"/>
          <w:jc w:val="center"/>
        </w:trPr>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0DAF9586" w14:textId="77777777" w:rsidR="00FB0B74" w:rsidRPr="00FB0B74" w:rsidRDefault="00FB0B74" w:rsidP="00FB0B74">
            <w:pPr>
              <w:kinsoku w:val="0"/>
              <w:overflowPunct w:val="0"/>
              <w:spacing w:after="0" w:line="211" w:lineRule="exact"/>
              <w:ind w:left="144"/>
              <w:textAlignment w:val="baseline"/>
              <w:rPr>
                <w:rFonts w:ascii="Arial" w:eastAsia="Times New Roman" w:hAnsi="Arial" w:cs="Arial"/>
                <w:lang w:eastAsia="fr-FR"/>
              </w:rPr>
            </w:pPr>
            <w:r w:rsidRPr="00FB0B74">
              <w:rPr>
                <w:rFonts w:ascii="Calibri" w:eastAsia="Times New Roman" w:hAnsi="Calibri" w:cs="Arial"/>
                <w:i/>
                <w:iCs/>
                <w:color w:val="000000"/>
                <w:spacing w:val="-3"/>
                <w:kern w:val="24"/>
                <w:lang w:eastAsia="fr-FR"/>
              </w:rPr>
              <w:t xml:space="preserve">Avicennia marina </w:t>
            </w:r>
            <w:r w:rsidRPr="00FB0B74">
              <w:rPr>
                <w:rFonts w:ascii="Calibri" w:eastAsia="Times New Roman" w:hAnsi="Calibri" w:cs="Arial"/>
                <w:color w:val="000000"/>
                <w:spacing w:val="-3"/>
                <w:kern w:val="24"/>
                <w:lang w:eastAsia="fr-FR"/>
              </w:rPr>
              <w:t>(Forsk.) Vierh.</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2407DC1F" w14:textId="77777777" w:rsidR="00FB0B74" w:rsidRPr="00FB0B74" w:rsidRDefault="00FB0B74" w:rsidP="00FB0B74">
            <w:pPr>
              <w:kinsoku w:val="0"/>
              <w:overflowPunct w:val="0"/>
              <w:spacing w:after="0" w:line="211" w:lineRule="exact"/>
              <w:ind w:left="101"/>
              <w:textAlignment w:val="baseline"/>
              <w:rPr>
                <w:rFonts w:ascii="Arial" w:eastAsia="Times New Roman" w:hAnsi="Arial" w:cs="Arial"/>
                <w:lang w:eastAsia="fr-FR"/>
              </w:rPr>
            </w:pPr>
            <w:r w:rsidRPr="00FB0B74">
              <w:rPr>
                <w:rFonts w:ascii="Calibri" w:eastAsia="Times New Roman" w:hAnsi="Calibri" w:cs="Arial"/>
                <w:color w:val="000000"/>
                <w:spacing w:val="-4"/>
                <w:kern w:val="24"/>
                <w:lang w:eastAsia="fr-FR"/>
              </w:rPr>
              <w:t>Fruits</w:t>
            </w:r>
          </w:p>
        </w:tc>
        <w:tc>
          <w:tcPr>
            <w:tcW w:w="3747"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5C944BB4" w14:textId="796F5BB0" w:rsidR="00FB0B74" w:rsidRPr="00FB0B74" w:rsidRDefault="00FB0B74" w:rsidP="00FB0B74">
            <w:pPr>
              <w:kinsoku w:val="0"/>
              <w:overflowPunct w:val="0"/>
              <w:spacing w:after="0" w:line="208" w:lineRule="exact"/>
              <w:ind w:left="72"/>
              <w:textAlignment w:val="baseline"/>
              <w:rPr>
                <w:rFonts w:ascii="Arial" w:eastAsia="Times New Roman" w:hAnsi="Arial" w:cs="Arial"/>
                <w:lang w:eastAsia="fr-FR"/>
              </w:rPr>
            </w:pPr>
            <w:r w:rsidRPr="00FB0B74">
              <w:rPr>
                <w:rFonts w:ascii="Calibri" w:eastAsia="Times New Roman" w:hAnsi="Calibri" w:cs="Arial"/>
                <w:color w:val="000000"/>
                <w:kern w:val="24"/>
                <w:lang w:eastAsia="fr-FR"/>
              </w:rPr>
              <w:t>Plantation dans les zones dégradées</w:t>
            </w:r>
          </w:p>
        </w:tc>
      </w:tr>
      <w:tr w:rsidR="00FB0B74" w:rsidRPr="00FB0B74" w14:paraId="77B6B246" w14:textId="77777777" w:rsidTr="00720591">
        <w:trPr>
          <w:trHeight w:val="248"/>
          <w:jc w:val="center"/>
        </w:trPr>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0695861B" w14:textId="6B84A834" w:rsidR="00FB0B74" w:rsidRPr="00FB0B74" w:rsidRDefault="00FB0B74" w:rsidP="00FB0B74">
            <w:pPr>
              <w:kinsoku w:val="0"/>
              <w:overflowPunct w:val="0"/>
              <w:spacing w:after="0" w:line="211" w:lineRule="exact"/>
              <w:ind w:left="144"/>
              <w:textAlignment w:val="baseline"/>
              <w:rPr>
                <w:rFonts w:ascii="Arial" w:eastAsia="Times New Roman" w:hAnsi="Arial" w:cs="Arial"/>
                <w:lang w:eastAsia="fr-FR"/>
              </w:rPr>
            </w:pPr>
            <w:r w:rsidRPr="00FB0B74">
              <w:rPr>
                <w:rFonts w:ascii="Calibri" w:eastAsia="Times New Roman" w:hAnsi="Calibri" w:cs="Arial"/>
                <w:i/>
                <w:iCs/>
                <w:color w:val="000000"/>
                <w:spacing w:val="-3"/>
                <w:kern w:val="24"/>
                <w:lang w:eastAsia="fr-FR"/>
              </w:rPr>
              <w:t>Avicennia officinalis</w:t>
            </w:r>
            <w:r w:rsidRPr="00FB0B74">
              <w:rPr>
                <w:rFonts w:ascii="Calibri" w:eastAsia="Times New Roman" w:hAnsi="Calibri" w:cs="Arial"/>
                <w:color w:val="000000"/>
                <w:spacing w:val="-3"/>
                <w:kern w:val="24"/>
                <w:lang w:eastAsia="fr-FR"/>
              </w:rPr>
              <w:t xml:space="preserve"> L.</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31465E26" w14:textId="77777777" w:rsidR="00FB0B74" w:rsidRPr="00FB0B74" w:rsidRDefault="00FB0B74" w:rsidP="00FB0B74">
            <w:pPr>
              <w:kinsoku w:val="0"/>
              <w:overflowPunct w:val="0"/>
              <w:spacing w:after="0" w:line="211" w:lineRule="exact"/>
              <w:ind w:left="101"/>
              <w:textAlignment w:val="baseline"/>
              <w:rPr>
                <w:rFonts w:ascii="Arial" w:eastAsia="Times New Roman" w:hAnsi="Arial" w:cs="Arial"/>
                <w:lang w:eastAsia="fr-FR"/>
              </w:rPr>
            </w:pPr>
            <w:r w:rsidRPr="00FB0B74">
              <w:rPr>
                <w:rFonts w:ascii="Calibri" w:eastAsia="Times New Roman" w:hAnsi="Calibri" w:cs="Arial"/>
                <w:color w:val="000000"/>
                <w:spacing w:val="-4"/>
                <w:kern w:val="24"/>
                <w:lang w:eastAsia="fr-FR"/>
              </w:rPr>
              <w:t>Fruits</w:t>
            </w:r>
          </w:p>
        </w:tc>
        <w:tc>
          <w:tcPr>
            <w:tcW w:w="3747"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7396B550" w14:textId="45711C10" w:rsidR="00FB0B74" w:rsidRPr="00FB0B74" w:rsidRDefault="00FB0B74" w:rsidP="00FB0B74">
            <w:pPr>
              <w:kinsoku w:val="0"/>
              <w:overflowPunct w:val="0"/>
              <w:spacing w:after="0" w:line="211" w:lineRule="exact"/>
              <w:ind w:left="72"/>
              <w:textAlignment w:val="baseline"/>
              <w:rPr>
                <w:rFonts w:ascii="Arial" w:eastAsia="Times New Roman" w:hAnsi="Arial" w:cs="Arial"/>
                <w:lang w:eastAsia="fr-FR"/>
              </w:rPr>
            </w:pPr>
            <w:r w:rsidRPr="00FB0B74">
              <w:rPr>
                <w:rFonts w:ascii="Calibri" w:eastAsia="Times New Roman" w:hAnsi="Calibri" w:cs="Arial"/>
                <w:color w:val="000000"/>
                <w:kern w:val="24"/>
                <w:lang w:eastAsia="fr-FR"/>
              </w:rPr>
              <w:t>Plantation dans les zones dégradées</w:t>
            </w:r>
          </w:p>
        </w:tc>
      </w:tr>
      <w:tr w:rsidR="00FB0B74" w:rsidRPr="00FB0B74" w14:paraId="7A9F1F44" w14:textId="77777777" w:rsidTr="00720591">
        <w:trPr>
          <w:trHeight w:val="238"/>
          <w:jc w:val="center"/>
        </w:trPr>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36E21D25" w14:textId="77777777" w:rsidR="00FB0B74" w:rsidRPr="00FB0B74" w:rsidRDefault="00FB0B74" w:rsidP="00FB0B74">
            <w:pPr>
              <w:kinsoku w:val="0"/>
              <w:overflowPunct w:val="0"/>
              <w:spacing w:after="0" w:line="211" w:lineRule="exact"/>
              <w:ind w:left="144"/>
              <w:textAlignment w:val="baseline"/>
              <w:rPr>
                <w:rFonts w:ascii="Arial" w:eastAsia="Times New Roman" w:hAnsi="Arial" w:cs="Arial"/>
                <w:lang w:eastAsia="fr-FR"/>
              </w:rPr>
            </w:pPr>
            <w:r w:rsidRPr="00FB0B74">
              <w:rPr>
                <w:rFonts w:ascii="Calibri" w:eastAsia="Times New Roman" w:hAnsi="Calibri" w:cs="Arial"/>
                <w:i/>
                <w:iCs/>
                <w:color w:val="000000"/>
                <w:spacing w:val="-4"/>
                <w:kern w:val="24"/>
                <w:lang w:eastAsia="fr-FR"/>
              </w:rPr>
              <w:t xml:space="preserve">Excoecaria agallocha </w:t>
            </w:r>
            <w:r w:rsidRPr="00FB0B74">
              <w:rPr>
                <w:rFonts w:ascii="Calibri" w:eastAsia="Times New Roman" w:hAnsi="Calibri" w:cs="Arial"/>
                <w:color w:val="000000"/>
                <w:spacing w:val="-4"/>
                <w:kern w:val="24"/>
                <w:lang w:eastAsia="fr-FR"/>
              </w:rPr>
              <w:t>L.</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1B84D5B5" w14:textId="77777777" w:rsidR="00FB0B74" w:rsidRPr="00FB0B74" w:rsidRDefault="00FB0B74" w:rsidP="00FB0B74">
            <w:pPr>
              <w:kinsoku w:val="0"/>
              <w:overflowPunct w:val="0"/>
              <w:spacing w:after="0" w:line="211" w:lineRule="exact"/>
              <w:ind w:left="101"/>
              <w:textAlignment w:val="baseline"/>
              <w:rPr>
                <w:rFonts w:ascii="Arial" w:eastAsia="Times New Roman" w:hAnsi="Arial" w:cs="Arial"/>
                <w:lang w:eastAsia="fr-FR"/>
              </w:rPr>
            </w:pPr>
            <w:r w:rsidRPr="00FB0B74">
              <w:rPr>
                <w:rFonts w:ascii="Calibri" w:eastAsia="Times New Roman" w:hAnsi="Calibri" w:cs="Arial"/>
                <w:color w:val="000000"/>
                <w:spacing w:val="-3"/>
                <w:kern w:val="24"/>
                <w:lang w:eastAsia="fr-FR"/>
              </w:rPr>
              <w:t>Jeunes plants</w:t>
            </w:r>
          </w:p>
        </w:tc>
        <w:tc>
          <w:tcPr>
            <w:tcW w:w="3747"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52073C3F" w14:textId="1DB2E0C8" w:rsidR="00FB0B74" w:rsidRPr="00FB0B74" w:rsidRDefault="00FB0B74" w:rsidP="00FB0B74">
            <w:pPr>
              <w:kinsoku w:val="0"/>
              <w:overflowPunct w:val="0"/>
              <w:spacing w:after="0" w:line="211" w:lineRule="exact"/>
              <w:ind w:left="72"/>
              <w:textAlignment w:val="baseline"/>
              <w:rPr>
                <w:rFonts w:ascii="Arial" w:eastAsia="Times New Roman" w:hAnsi="Arial" w:cs="Arial"/>
                <w:lang w:eastAsia="fr-FR"/>
              </w:rPr>
            </w:pPr>
            <w:r w:rsidRPr="00FB0B74">
              <w:rPr>
                <w:rFonts w:ascii="Calibri" w:eastAsia="Times New Roman" w:hAnsi="Calibri" w:cs="Arial"/>
                <w:color w:val="000000"/>
                <w:kern w:val="24"/>
                <w:lang w:eastAsia="fr-FR"/>
              </w:rPr>
              <w:t>Plantation dans les zones dégradées</w:t>
            </w:r>
          </w:p>
        </w:tc>
      </w:tr>
      <w:tr w:rsidR="00FB0B74" w:rsidRPr="00FB0B74" w14:paraId="563A9A9D" w14:textId="77777777" w:rsidTr="00720591">
        <w:trPr>
          <w:trHeight w:val="260"/>
          <w:jc w:val="center"/>
        </w:trPr>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457F6080" w14:textId="77777777" w:rsidR="00FB0B74" w:rsidRPr="00FB0B74" w:rsidRDefault="00FB0B74" w:rsidP="00FB0B74">
            <w:pPr>
              <w:kinsoku w:val="0"/>
              <w:overflowPunct w:val="0"/>
              <w:spacing w:after="0" w:line="211" w:lineRule="exact"/>
              <w:ind w:left="144" w:right="547"/>
              <w:textAlignment w:val="baseline"/>
              <w:rPr>
                <w:rFonts w:ascii="Arial" w:eastAsia="Times New Roman" w:hAnsi="Arial" w:cs="Arial"/>
                <w:lang w:eastAsia="fr-FR"/>
              </w:rPr>
            </w:pPr>
            <w:r w:rsidRPr="00FB0B74">
              <w:rPr>
                <w:rFonts w:ascii="Calibri" w:eastAsia="Times New Roman" w:hAnsi="Calibri" w:cs="Arial"/>
                <w:i/>
                <w:iCs/>
                <w:color w:val="000000"/>
                <w:kern w:val="24"/>
                <w:lang w:eastAsia="fr-FR"/>
              </w:rPr>
              <w:t xml:space="preserve">Aegiceras comiculatum </w:t>
            </w:r>
            <w:r w:rsidRPr="00FB0B74">
              <w:rPr>
                <w:rFonts w:ascii="Calibri" w:eastAsia="Times New Roman" w:hAnsi="Calibri" w:cs="Arial"/>
                <w:color w:val="000000"/>
                <w:kern w:val="24"/>
                <w:lang w:eastAsia="fr-FR"/>
              </w:rPr>
              <w:t>(L.) Blanto</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42A5DE73" w14:textId="77777777" w:rsidR="00FB0B74" w:rsidRPr="00FB0B74" w:rsidRDefault="00FB0B74" w:rsidP="00FB0B74">
            <w:pPr>
              <w:kinsoku w:val="0"/>
              <w:overflowPunct w:val="0"/>
              <w:spacing w:after="0" w:line="211" w:lineRule="exact"/>
              <w:ind w:left="101"/>
              <w:textAlignment w:val="baseline"/>
              <w:rPr>
                <w:rFonts w:ascii="Arial" w:eastAsia="Times New Roman" w:hAnsi="Arial" w:cs="Arial"/>
                <w:lang w:eastAsia="fr-FR"/>
              </w:rPr>
            </w:pPr>
            <w:r w:rsidRPr="00FB0B74">
              <w:rPr>
                <w:rFonts w:ascii="Calibri" w:eastAsia="Times New Roman" w:hAnsi="Calibri" w:cs="Arial"/>
                <w:color w:val="000000"/>
                <w:spacing w:val="-4"/>
                <w:kern w:val="24"/>
                <w:lang w:eastAsia="fr-FR"/>
              </w:rPr>
              <w:t>Propagules</w:t>
            </w:r>
          </w:p>
        </w:tc>
        <w:tc>
          <w:tcPr>
            <w:tcW w:w="3747"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7053B458" w14:textId="54B1EF0F" w:rsidR="00FB0B74" w:rsidRPr="00FB0B74" w:rsidRDefault="00FB0B74" w:rsidP="00FB0B74">
            <w:pPr>
              <w:kinsoku w:val="0"/>
              <w:overflowPunct w:val="0"/>
              <w:spacing w:after="0" w:line="202" w:lineRule="exact"/>
              <w:ind w:left="72"/>
              <w:textAlignment w:val="baseline"/>
              <w:rPr>
                <w:rFonts w:ascii="Arial" w:eastAsia="Times New Roman" w:hAnsi="Arial" w:cs="Arial"/>
                <w:lang w:eastAsia="fr-FR"/>
              </w:rPr>
            </w:pPr>
            <w:r w:rsidRPr="00FB0B74">
              <w:rPr>
                <w:rFonts w:ascii="Calibri" w:eastAsia="Times New Roman" w:hAnsi="Calibri" w:cs="Arial"/>
                <w:color w:val="000000"/>
                <w:kern w:val="24"/>
                <w:lang w:eastAsia="fr-FR"/>
              </w:rPr>
              <w:t>Plantation dans les zones dégradées</w:t>
            </w:r>
          </w:p>
        </w:tc>
      </w:tr>
      <w:tr w:rsidR="00FB0B74" w:rsidRPr="00FB0B74" w14:paraId="1099A48F" w14:textId="77777777" w:rsidTr="00720591">
        <w:trPr>
          <w:trHeight w:val="238"/>
          <w:jc w:val="center"/>
        </w:trPr>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214A629C" w14:textId="77777777" w:rsidR="00FB0B74" w:rsidRPr="00FB0B74" w:rsidRDefault="00FB0B74" w:rsidP="00FB0B74">
            <w:pPr>
              <w:kinsoku w:val="0"/>
              <w:overflowPunct w:val="0"/>
              <w:spacing w:after="0" w:line="211" w:lineRule="exact"/>
              <w:ind w:left="144"/>
              <w:textAlignment w:val="baseline"/>
              <w:rPr>
                <w:rFonts w:ascii="Arial" w:eastAsia="Times New Roman" w:hAnsi="Arial" w:cs="Arial"/>
                <w:lang w:eastAsia="fr-FR"/>
              </w:rPr>
            </w:pPr>
            <w:r w:rsidRPr="00FB0B74">
              <w:rPr>
                <w:rFonts w:ascii="Calibri" w:eastAsia="Times New Roman" w:hAnsi="Calibri" w:cs="Arial"/>
                <w:i/>
                <w:iCs/>
                <w:color w:val="000000"/>
                <w:kern w:val="24"/>
                <w:lang w:eastAsia="fr-FR"/>
              </w:rPr>
              <w:lastRenderedPageBreak/>
              <w:t xml:space="preserve">Bruguiera gymnorrhiza </w:t>
            </w:r>
            <w:r w:rsidRPr="00FB0B74">
              <w:rPr>
                <w:rFonts w:ascii="Calibri" w:eastAsia="Times New Roman" w:hAnsi="Calibri" w:cs="Arial"/>
                <w:color w:val="000000"/>
                <w:kern w:val="24"/>
                <w:lang w:eastAsia="fr-FR"/>
              </w:rPr>
              <w:t>(L.) Savigny</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3DB5D1E4" w14:textId="77777777" w:rsidR="00FB0B74" w:rsidRPr="00FB0B74" w:rsidRDefault="00FB0B74" w:rsidP="00FB0B74">
            <w:pPr>
              <w:kinsoku w:val="0"/>
              <w:overflowPunct w:val="0"/>
              <w:spacing w:after="0" w:line="211" w:lineRule="exact"/>
              <w:ind w:left="101"/>
              <w:textAlignment w:val="baseline"/>
              <w:rPr>
                <w:rFonts w:ascii="Arial" w:eastAsia="Times New Roman" w:hAnsi="Arial" w:cs="Arial"/>
                <w:lang w:eastAsia="fr-FR"/>
              </w:rPr>
            </w:pPr>
            <w:r w:rsidRPr="00FB0B74">
              <w:rPr>
                <w:rFonts w:ascii="Calibri" w:eastAsia="Times New Roman" w:hAnsi="Calibri" w:cs="Arial"/>
                <w:color w:val="000000"/>
                <w:spacing w:val="-4"/>
                <w:kern w:val="24"/>
                <w:lang w:eastAsia="fr-FR"/>
              </w:rPr>
              <w:t>Propagules</w:t>
            </w:r>
          </w:p>
        </w:tc>
        <w:tc>
          <w:tcPr>
            <w:tcW w:w="3747"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0341DBCB" w14:textId="5D600E4F" w:rsidR="00FB0B74" w:rsidRPr="00FB0B74" w:rsidRDefault="00FB0B74" w:rsidP="00FB0B74">
            <w:pPr>
              <w:kinsoku w:val="0"/>
              <w:overflowPunct w:val="0"/>
              <w:spacing w:after="0" w:line="211" w:lineRule="exact"/>
              <w:ind w:left="72"/>
              <w:textAlignment w:val="baseline"/>
              <w:rPr>
                <w:rFonts w:ascii="Arial" w:eastAsia="Times New Roman" w:hAnsi="Arial" w:cs="Arial"/>
                <w:lang w:eastAsia="fr-FR"/>
              </w:rPr>
            </w:pPr>
            <w:r w:rsidRPr="00FB0B74">
              <w:rPr>
                <w:rFonts w:ascii="Calibri" w:eastAsia="Times New Roman" w:hAnsi="Calibri" w:cs="Arial"/>
                <w:color w:val="000000"/>
                <w:kern w:val="24"/>
                <w:lang w:eastAsia="fr-FR"/>
              </w:rPr>
              <w:t>Plantation pour la diversité génétique</w:t>
            </w:r>
          </w:p>
        </w:tc>
      </w:tr>
      <w:tr w:rsidR="00FB0B74" w:rsidRPr="00FB0B74" w14:paraId="25EBCFF0" w14:textId="77777777" w:rsidTr="00720591">
        <w:trPr>
          <w:trHeight w:val="254"/>
          <w:jc w:val="center"/>
        </w:trPr>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714AC310" w14:textId="77777777" w:rsidR="00FB0B74" w:rsidRPr="00FB0B74" w:rsidRDefault="00FB0B74" w:rsidP="00FB0B74">
            <w:pPr>
              <w:kinsoku w:val="0"/>
              <w:overflowPunct w:val="0"/>
              <w:spacing w:after="0" w:line="211" w:lineRule="exact"/>
              <w:ind w:left="144"/>
              <w:textAlignment w:val="baseline"/>
              <w:rPr>
                <w:rFonts w:ascii="Arial" w:eastAsia="Times New Roman" w:hAnsi="Arial" w:cs="Arial"/>
                <w:lang w:eastAsia="fr-FR"/>
              </w:rPr>
            </w:pPr>
            <w:r w:rsidRPr="00FB0B74">
              <w:rPr>
                <w:rFonts w:ascii="Calibri" w:eastAsia="Times New Roman" w:hAnsi="Calibri" w:cs="Arial"/>
                <w:i/>
                <w:iCs/>
                <w:color w:val="000000"/>
                <w:spacing w:val="-4"/>
                <w:kern w:val="24"/>
                <w:lang w:eastAsia="fr-FR"/>
              </w:rPr>
              <w:t xml:space="preserve">Rhizophora apiculata </w:t>
            </w:r>
            <w:r w:rsidRPr="00FB0B74">
              <w:rPr>
                <w:rFonts w:ascii="Calibri" w:eastAsia="Times New Roman" w:hAnsi="Calibri" w:cs="Arial"/>
                <w:color w:val="000000"/>
                <w:spacing w:val="-4"/>
                <w:kern w:val="24"/>
                <w:lang w:eastAsia="fr-FR"/>
              </w:rPr>
              <w:t>BI.</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5C2A27BC" w14:textId="77777777" w:rsidR="00FB0B74" w:rsidRPr="00FB0B74" w:rsidRDefault="00FB0B74" w:rsidP="00FB0B74">
            <w:pPr>
              <w:kinsoku w:val="0"/>
              <w:overflowPunct w:val="0"/>
              <w:spacing w:after="0" w:line="211" w:lineRule="exact"/>
              <w:ind w:left="101"/>
              <w:textAlignment w:val="baseline"/>
              <w:rPr>
                <w:rFonts w:ascii="Arial" w:eastAsia="Times New Roman" w:hAnsi="Arial" w:cs="Arial"/>
                <w:lang w:eastAsia="fr-FR"/>
              </w:rPr>
            </w:pPr>
            <w:r w:rsidRPr="00FB0B74">
              <w:rPr>
                <w:rFonts w:ascii="Calibri" w:eastAsia="Times New Roman" w:hAnsi="Calibri" w:cs="Arial"/>
                <w:color w:val="000000"/>
                <w:spacing w:val="-4"/>
                <w:kern w:val="24"/>
                <w:lang w:eastAsia="fr-FR"/>
              </w:rPr>
              <w:t>Propagules</w:t>
            </w:r>
          </w:p>
        </w:tc>
        <w:tc>
          <w:tcPr>
            <w:tcW w:w="3747"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584338ED" w14:textId="4CEB8BEC" w:rsidR="00FB0B74" w:rsidRPr="00FB0B74" w:rsidRDefault="00FB0B74" w:rsidP="00FB0B74">
            <w:pPr>
              <w:kinsoku w:val="0"/>
              <w:overflowPunct w:val="0"/>
              <w:spacing w:after="0" w:line="202" w:lineRule="exact"/>
              <w:ind w:left="72"/>
              <w:textAlignment w:val="baseline"/>
              <w:rPr>
                <w:rFonts w:ascii="Arial" w:eastAsia="Times New Roman" w:hAnsi="Arial" w:cs="Arial"/>
                <w:lang w:eastAsia="fr-FR"/>
              </w:rPr>
            </w:pPr>
            <w:r w:rsidRPr="00FB0B74">
              <w:rPr>
                <w:rFonts w:ascii="Calibri" w:eastAsia="Times New Roman" w:hAnsi="Calibri" w:cs="Arial"/>
                <w:color w:val="000000"/>
                <w:kern w:val="24"/>
                <w:lang w:eastAsia="fr-FR"/>
              </w:rPr>
              <w:t>Plantation pour la diversité génétique</w:t>
            </w:r>
          </w:p>
        </w:tc>
      </w:tr>
      <w:tr w:rsidR="00FB0B74" w:rsidRPr="00FB0B74" w14:paraId="1DFB54AE" w14:textId="77777777" w:rsidTr="00720591">
        <w:trPr>
          <w:trHeight w:val="244"/>
          <w:jc w:val="center"/>
        </w:trPr>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6294FCFB" w14:textId="0CCA403F" w:rsidR="00FB0B74" w:rsidRPr="00FB0B74" w:rsidRDefault="00FB0B74" w:rsidP="00FB0B74">
            <w:pPr>
              <w:kinsoku w:val="0"/>
              <w:overflowPunct w:val="0"/>
              <w:spacing w:after="0" w:line="211" w:lineRule="exact"/>
              <w:ind w:left="144"/>
              <w:textAlignment w:val="baseline"/>
              <w:rPr>
                <w:rFonts w:ascii="Arial" w:eastAsia="Times New Roman" w:hAnsi="Arial" w:cs="Arial"/>
                <w:lang w:eastAsia="fr-FR"/>
              </w:rPr>
            </w:pPr>
            <w:r w:rsidRPr="00FB0B74">
              <w:rPr>
                <w:rFonts w:ascii="Calibri" w:eastAsia="Times New Roman" w:hAnsi="Calibri" w:cs="Arial"/>
                <w:i/>
                <w:iCs/>
                <w:color w:val="000000"/>
                <w:spacing w:val="-4"/>
                <w:kern w:val="24"/>
                <w:lang w:eastAsia="fr-FR"/>
              </w:rPr>
              <w:t>Rhizophora</w:t>
            </w:r>
            <w:r w:rsidRPr="00FB0B74">
              <w:rPr>
                <w:rFonts w:ascii="Calibri" w:eastAsia="Times New Roman" w:hAnsi="Calibri" w:cs="Arial"/>
                <w:color w:val="000000"/>
                <w:spacing w:val="-4"/>
                <w:kern w:val="24"/>
                <w:lang w:eastAsia="fr-FR"/>
              </w:rPr>
              <w:t xml:space="preserve"> </w:t>
            </w:r>
            <w:r w:rsidRPr="00FB0B74">
              <w:rPr>
                <w:rFonts w:ascii="Calibri" w:eastAsia="Times New Roman" w:hAnsi="Calibri" w:cs="Arial"/>
                <w:i/>
                <w:iCs/>
                <w:color w:val="000000"/>
                <w:spacing w:val="-4"/>
                <w:kern w:val="24"/>
                <w:lang w:eastAsia="fr-FR"/>
              </w:rPr>
              <w:t>mucronata</w:t>
            </w:r>
            <w:r w:rsidRPr="00FB0B74">
              <w:rPr>
                <w:rFonts w:ascii="Calibri" w:eastAsia="Times New Roman" w:hAnsi="Calibri" w:cs="Arial"/>
                <w:color w:val="000000"/>
                <w:spacing w:val="-4"/>
                <w:kern w:val="24"/>
                <w:lang w:eastAsia="fr-FR"/>
              </w:rPr>
              <w:t xml:space="preserve"> Lamk.</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08BA1E60" w14:textId="77777777" w:rsidR="00FB0B74" w:rsidRPr="00FB0B74" w:rsidRDefault="00FB0B74" w:rsidP="00FB0B74">
            <w:pPr>
              <w:kinsoku w:val="0"/>
              <w:overflowPunct w:val="0"/>
              <w:spacing w:after="0" w:line="211" w:lineRule="exact"/>
              <w:ind w:left="101"/>
              <w:textAlignment w:val="baseline"/>
              <w:rPr>
                <w:rFonts w:ascii="Arial" w:eastAsia="Times New Roman" w:hAnsi="Arial" w:cs="Arial"/>
                <w:lang w:eastAsia="fr-FR"/>
              </w:rPr>
            </w:pPr>
            <w:r w:rsidRPr="00FB0B74">
              <w:rPr>
                <w:rFonts w:ascii="Calibri" w:eastAsia="Times New Roman" w:hAnsi="Calibri" w:cs="Arial"/>
                <w:color w:val="000000"/>
                <w:spacing w:val="-4"/>
                <w:kern w:val="24"/>
                <w:lang w:eastAsia="fr-FR"/>
              </w:rPr>
              <w:t>Propagules</w:t>
            </w:r>
          </w:p>
        </w:tc>
        <w:tc>
          <w:tcPr>
            <w:tcW w:w="3747"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672BFFA5" w14:textId="227A016C" w:rsidR="00FB0B74" w:rsidRPr="00FB0B74" w:rsidRDefault="00FB0B74" w:rsidP="00FB0B74">
            <w:pPr>
              <w:kinsoku w:val="0"/>
              <w:overflowPunct w:val="0"/>
              <w:spacing w:after="0" w:line="208" w:lineRule="exact"/>
              <w:ind w:left="72"/>
              <w:textAlignment w:val="baseline"/>
              <w:rPr>
                <w:rFonts w:ascii="Arial" w:eastAsia="Times New Roman" w:hAnsi="Arial" w:cs="Arial"/>
                <w:lang w:eastAsia="fr-FR"/>
              </w:rPr>
            </w:pPr>
            <w:r w:rsidRPr="00FB0B74">
              <w:rPr>
                <w:rFonts w:ascii="Calibri" w:eastAsia="Times New Roman" w:hAnsi="Calibri" w:cs="Arial"/>
                <w:color w:val="000000"/>
                <w:kern w:val="24"/>
                <w:lang w:eastAsia="fr-FR"/>
              </w:rPr>
              <w:t>Plantation pour la diversité génétique</w:t>
            </w:r>
          </w:p>
        </w:tc>
      </w:tr>
      <w:tr w:rsidR="00FB0B74" w:rsidRPr="00FB0B74" w14:paraId="7F262C48" w14:textId="77777777" w:rsidTr="00720591">
        <w:trPr>
          <w:trHeight w:val="262"/>
          <w:jc w:val="center"/>
        </w:trPr>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4DEC54BA" w14:textId="77777777" w:rsidR="00FB0B74" w:rsidRPr="00FB0B74" w:rsidRDefault="00FB0B74" w:rsidP="00FB0B74">
            <w:pPr>
              <w:kinsoku w:val="0"/>
              <w:overflowPunct w:val="0"/>
              <w:spacing w:after="0" w:line="211" w:lineRule="exact"/>
              <w:ind w:left="144"/>
              <w:textAlignment w:val="baseline"/>
              <w:rPr>
                <w:rFonts w:ascii="Arial" w:eastAsia="Times New Roman" w:hAnsi="Arial" w:cs="Arial"/>
                <w:lang w:eastAsia="fr-FR"/>
              </w:rPr>
            </w:pPr>
            <w:r w:rsidRPr="00FB0B74">
              <w:rPr>
                <w:rFonts w:ascii="Calibri" w:eastAsia="Times New Roman" w:hAnsi="Calibri" w:cs="Arial"/>
                <w:i/>
                <w:iCs/>
                <w:color w:val="000000"/>
                <w:spacing w:val="-4"/>
                <w:kern w:val="24"/>
                <w:lang w:eastAsia="fr-FR"/>
              </w:rPr>
              <w:t xml:space="preserve">Sonneratia apetala </w:t>
            </w:r>
            <w:r w:rsidRPr="00FB0B74">
              <w:rPr>
                <w:rFonts w:ascii="Calibri" w:eastAsia="Times New Roman" w:hAnsi="Calibri" w:cs="Arial"/>
                <w:color w:val="000000"/>
                <w:spacing w:val="-4"/>
                <w:kern w:val="24"/>
                <w:lang w:eastAsia="fr-FR"/>
              </w:rPr>
              <w:t>Buch.-Ham.</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7E7B4247" w14:textId="04D7BEED" w:rsidR="00FB0B74" w:rsidRPr="00FB0B74" w:rsidRDefault="00FB0B74" w:rsidP="00FB0B74">
            <w:pPr>
              <w:kinsoku w:val="0"/>
              <w:overflowPunct w:val="0"/>
              <w:spacing w:after="0" w:line="211" w:lineRule="exact"/>
              <w:ind w:left="101"/>
              <w:textAlignment w:val="baseline"/>
              <w:rPr>
                <w:rFonts w:ascii="Arial" w:eastAsia="Times New Roman" w:hAnsi="Arial" w:cs="Arial"/>
                <w:lang w:eastAsia="fr-FR"/>
              </w:rPr>
            </w:pPr>
            <w:r w:rsidRPr="00FB0B74">
              <w:rPr>
                <w:rFonts w:ascii="Calibri" w:eastAsia="Times New Roman" w:hAnsi="Calibri" w:cs="Arial"/>
                <w:color w:val="000000"/>
                <w:spacing w:val="-4"/>
                <w:kern w:val="24"/>
                <w:lang w:eastAsia="fr-FR"/>
              </w:rPr>
              <w:t>Graines</w:t>
            </w:r>
          </w:p>
        </w:tc>
        <w:tc>
          <w:tcPr>
            <w:tcW w:w="3747"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59AA8E69" w14:textId="25129440" w:rsidR="00FB0B74" w:rsidRPr="00FB0B74" w:rsidRDefault="00FB0B74" w:rsidP="00FB0B74">
            <w:pPr>
              <w:kinsoku w:val="0"/>
              <w:overflowPunct w:val="0"/>
              <w:spacing w:after="0" w:line="210" w:lineRule="exact"/>
              <w:ind w:left="72"/>
              <w:textAlignment w:val="baseline"/>
              <w:rPr>
                <w:rFonts w:ascii="Arial" w:eastAsia="Times New Roman" w:hAnsi="Arial" w:cs="Arial"/>
                <w:lang w:eastAsia="fr-FR"/>
              </w:rPr>
            </w:pPr>
            <w:r w:rsidRPr="00FB0B74">
              <w:rPr>
                <w:rFonts w:ascii="Calibri" w:eastAsia="Times New Roman" w:hAnsi="Calibri" w:cs="Arial"/>
                <w:color w:val="000000"/>
                <w:kern w:val="24"/>
                <w:lang w:eastAsia="fr-FR"/>
              </w:rPr>
              <w:t>Plantation pour la diversité génétique</w:t>
            </w:r>
          </w:p>
        </w:tc>
      </w:tr>
      <w:tr w:rsidR="00FB0B74" w:rsidRPr="00FB0B74" w14:paraId="5EC3AC8F" w14:textId="77777777" w:rsidTr="00720591">
        <w:trPr>
          <w:trHeight w:val="252"/>
          <w:jc w:val="center"/>
        </w:trPr>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767DB3B3" w14:textId="77777777" w:rsidR="00FB0B74" w:rsidRPr="00FB0B74" w:rsidRDefault="00FB0B74" w:rsidP="00FB0B74">
            <w:pPr>
              <w:kinsoku w:val="0"/>
              <w:overflowPunct w:val="0"/>
              <w:spacing w:after="0" w:line="219" w:lineRule="exact"/>
              <w:ind w:left="144"/>
              <w:textAlignment w:val="baseline"/>
              <w:rPr>
                <w:rFonts w:ascii="Arial" w:eastAsia="Times New Roman" w:hAnsi="Arial" w:cs="Arial"/>
                <w:lang w:eastAsia="fr-FR"/>
              </w:rPr>
            </w:pPr>
            <w:r w:rsidRPr="00FB0B74">
              <w:rPr>
                <w:rFonts w:ascii="Calibri" w:eastAsia="Times New Roman" w:hAnsi="Calibri" w:cs="Arial"/>
                <w:i/>
                <w:iCs/>
                <w:color w:val="000000"/>
                <w:kern w:val="24"/>
                <w:lang w:eastAsia="fr-FR"/>
              </w:rPr>
              <w:t xml:space="preserve">Xylocarpus moluccensis </w:t>
            </w:r>
            <w:r w:rsidRPr="00FB0B74">
              <w:rPr>
                <w:rFonts w:ascii="Calibri" w:eastAsia="Times New Roman" w:hAnsi="Calibri" w:cs="Arial"/>
                <w:color w:val="000000"/>
                <w:kern w:val="24"/>
                <w:lang w:eastAsia="fr-FR"/>
              </w:rPr>
              <w:t>(Lamk.) M.Roem.</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4F63C972" w14:textId="78F133CA" w:rsidR="00FB0B74" w:rsidRPr="00FB0B74" w:rsidRDefault="00FB0B74" w:rsidP="00FB0B74">
            <w:pPr>
              <w:kinsoku w:val="0"/>
              <w:overflowPunct w:val="0"/>
              <w:spacing w:after="0" w:line="211" w:lineRule="exact"/>
              <w:ind w:left="101"/>
              <w:textAlignment w:val="baseline"/>
              <w:rPr>
                <w:rFonts w:ascii="Arial" w:eastAsia="Times New Roman" w:hAnsi="Arial" w:cs="Arial"/>
                <w:lang w:eastAsia="fr-FR"/>
              </w:rPr>
            </w:pPr>
            <w:r w:rsidRPr="00FB0B74">
              <w:rPr>
                <w:rFonts w:ascii="Calibri" w:eastAsia="Times New Roman" w:hAnsi="Calibri" w:cs="Arial"/>
                <w:color w:val="000000"/>
                <w:spacing w:val="-4"/>
                <w:kern w:val="24"/>
                <w:lang w:eastAsia="fr-FR"/>
              </w:rPr>
              <w:t>Graines</w:t>
            </w:r>
          </w:p>
        </w:tc>
        <w:tc>
          <w:tcPr>
            <w:tcW w:w="3747"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4233F826" w14:textId="05B50695" w:rsidR="00FB0B74" w:rsidRPr="00FB0B74" w:rsidRDefault="00FB0B74" w:rsidP="00FB0B74">
            <w:pPr>
              <w:kinsoku w:val="0"/>
              <w:overflowPunct w:val="0"/>
              <w:spacing w:after="0" w:line="211" w:lineRule="exact"/>
              <w:ind w:left="72"/>
              <w:textAlignment w:val="baseline"/>
              <w:rPr>
                <w:rFonts w:ascii="Arial" w:eastAsia="Times New Roman" w:hAnsi="Arial" w:cs="Arial"/>
                <w:lang w:eastAsia="fr-FR"/>
              </w:rPr>
            </w:pPr>
            <w:r w:rsidRPr="00FB0B74">
              <w:rPr>
                <w:rFonts w:ascii="Calibri" w:eastAsia="Times New Roman" w:hAnsi="Calibri" w:cs="Arial"/>
                <w:color w:val="000000"/>
                <w:kern w:val="24"/>
                <w:lang w:eastAsia="fr-FR"/>
              </w:rPr>
              <w:t>Plantation pour la diversité génétique</w:t>
            </w:r>
          </w:p>
        </w:tc>
      </w:tr>
    </w:tbl>
    <w:p w14:paraId="32514725" w14:textId="420215CF" w:rsidR="00721DCE" w:rsidRDefault="00FB0B74" w:rsidP="00FB0B74">
      <w:pPr>
        <w:spacing w:after="0" w:line="240" w:lineRule="auto"/>
        <w:jc w:val="center"/>
      </w:pPr>
      <w:r w:rsidRPr="00FB0B74">
        <w:t>Détails sur les espèces de palétuviers et le matériel de plantation</w:t>
      </w:r>
      <w:r>
        <w:rPr>
          <w:rStyle w:val="Appelnotedebasdep"/>
        </w:rPr>
        <w:footnoteReference w:id="101"/>
      </w:r>
      <w:r>
        <w:t>.</w:t>
      </w:r>
    </w:p>
    <w:p w14:paraId="0B7B45A8" w14:textId="4D2D73F4" w:rsidR="00FB0B74" w:rsidRDefault="00FB0B74" w:rsidP="00FB0B74">
      <w:pPr>
        <w:spacing w:after="0" w:line="240" w:lineRule="auto"/>
        <w:jc w:val="both"/>
      </w:pPr>
    </w:p>
    <w:p w14:paraId="63C648DB" w14:textId="2C92FD73" w:rsidR="00FB0B74" w:rsidRDefault="00FB0B74" w:rsidP="00FB0B74">
      <w:pPr>
        <w:pStyle w:val="Titre3"/>
      </w:pPr>
      <w:bookmarkStart w:id="148" w:name="_Toc139181439"/>
      <w:r w:rsidRPr="00FB0B74">
        <w:t>Soins et entretiens dans une pépinière</w:t>
      </w:r>
      <w:bookmarkEnd w:id="148"/>
    </w:p>
    <w:p w14:paraId="368F4356" w14:textId="6AD7B74B" w:rsidR="00FB0B74" w:rsidRDefault="00FB0B74" w:rsidP="00FB0B74">
      <w:pPr>
        <w:spacing w:after="0" w:line="240" w:lineRule="auto"/>
        <w:jc w:val="both"/>
      </w:pPr>
    </w:p>
    <w:tbl>
      <w:tblPr>
        <w:tblW w:w="0" w:type="auto"/>
        <w:tblCellMar>
          <w:left w:w="0" w:type="dxa"/>
          <w:right w:w="0" w:type="dxa"/>
        </w:tblCellMar>
        <w:tblLook w:val="0600" w:firstRow="0" w:lastRow="0" w:firstColumn="0" w:lastColumn="0" w:noHBand="1" w:noVBand="1"/>
      </w:tblPr>
      <w:tblGrid>
        <w:gridCol w:w="2542"/>
        <w:gridCol w:w="2693"/>
        <w:gridCol w:w="1418"/>
        <w:gridCol w:w="1701"/>
        <w:gridCol w:w="2052"/>
      </w:tblGrid>
      <w:tr w:rsidR="00720591" w:rsidRPr="00FB0B74" w14:paraId="4A08459F" w14:textId="77777777" w:rsidTr="00720591">
        <w:trPr>
          <w:trHeight w:val="619"/>
        </w:trPr>
        <w:tc>
          <w:tcPr>
            <w:tcW w:w="2542" w:type="dxa"/>
            <w:tcBorders>
              <w:top w:val="single" w:sz="8" w:space="0" w:color="000000"/>
              <w:left w:val="single" w:sz="8" w:space="0" w:color="000000"/>
              <w:bottom w:val="single" w:sz="8" w:space="0" w:color="000000"/>
              <w:right w:val="single" w:sz="8" w:space="0" w:color="000000"/>
            </w:tcBorders>
            <w:shd w:val="clear" w:color="auto" w:fill="BDD7EE"/>
            <w:tcMar>
              <w:top w:w="15" w:type="dxa"/>
              <w:left w:w="15" w:type="dxa"/>
              <w:bottom w:w="0" w:type="dxa"/>
              <w:right w:w="15" w:type="dxa"/>
            </w:tcMar>
            <w:vAlign w:val="center"/>
            <w:hideMark/>
          </w:tcPr>
          <w:p w14:paraId="40BAEBE8" w14:textId="77777777" w:rsidR="00FB0B74" w:rsidRPr="00FB0B74" w:rsidRDefault="00FB0B74" w:rsidP="00720591">
            <w:pPr>
              <w:kinsoku w:val="0"/>
              <w:overflowPunct w:val="0"/>
              <w:spacing w:after="0" w:line="240" w:lineRule="auto"/>
              <w:ind w:left="72" w:right="576"/>
              <w:jc w:val="center"/>
              <w:textAlignment w:val="baseline"/>
              <w:rPr>
                <w:rFonts w:ascii="Arial" w:eastAsia="Times New Roman" w:hAnsi="Arial" w:cs="Arial"/>
                <w:lang w:eastAsia="fr-FR"/>
              </w:rPr>
            </w:pPr>
            <w:r w:rsidRPr="00FB0B74">
              <w:rPr>
                <w:rFonts w:ascii="Calibri" w:eastAsia="Times New Roman" w:hAnsi="Calibri" w:cs="Arial"/>
                <w:color w:val="000000"/>
                <w:kern w:val="24"/>
                <w:lang w:eastAsia="fr-FR"/>
              </w:rPr>
              <w:t>Les espèces végétales</w:t>
            </w:r>
          </w:p>
        </w:tc>
        <w:tc>
          <w:tcPr>
            <w:tcW w:w="2693" w:type="dxa"/>
            <w:tcBorders>
              <w:top w:val="single" w:sz="8" w:space="0" w:color="000000"/>
              <w:left w:val="single" w:sz="8" w:space="0" w:color="000000"/>
              <w:bottom w:val="single" w:sz="8" w:space="0" w:color="000000"/>
              <w:right w:val="single" w:sz="8" w:space="0" w:color="000000"/>
            </w:tcBorders>
            <w:shd w:val="clear" w:color="auto" w:fill="BDD7EE"/>
            <w:tcMar>
              <w:top w:w="15" w:type="dxa"/>
              <w:left w:w="15" w:type="dxa"/>
              <w:bottom w:w="0" w:type="dxa"/>
              <w:right w:w="15" w:type="dxa"/>
            </w:tcMar>
            <w:vAlign w:val="center"/>
            <w:hideMark/>
          </w:tcPr>
          <w:p w14:paraId="5DF901EA" w14:textId="77777777" w:rsidR="00FB0B74" w:rsidRPr="00FB0B74" w:rsidRDefault="00FB0B74" w:rsidP="00720591">
            <w:pPr>
              <w:kinsoku w:val="0"/>
              <w:overflowPunct w:val="0"/>
              <w:spacing w:after="0" w:line="240" w:lineRule="auto"/>
              <w:ind w:left="72"/>
              <w:jc w:val="center"/>
              <w:textAlignment w:val="baseline"/>
              <w:rPr>
                <w:rFonts w:ascii="Arial" w:eastAsia="Times New Roman" w:hAnsi="Arial" w:cs="Arial"/>
                <w:lang w:eastAsia="fr-FR"/>
              </w:rPr>
            </w:pPr>
            <w:r w:rsidRPr="00FB0B74">
              <w:rPr>
                <w:rFonts w:ascii="Calibri" w:eastAsia="Times New Roman" w:hAnsi="Calibri" w:cs="Arial"/>
                <w:color w:val="000000"/>
                <w:kern w:val="24"/>
                <w:lang w:eastAsia="fr-FR"/>
              </w:rPr>
              <w:t>Matériel d'ensemencement (pour les semis)</w:t>
            </w:r>
          </w:p>
        </w:tc>
        <w:tc>
          <w:tcPr>
            <w:tcW w:w="1418" w:type="dxa"/>
            <w:tcBorders>
              <w:top w:val="single" w:sz="8" w:space="0" w:color="000000"/>
              <w:left w:val="single" w:sz="8" w:space="0" w:color="000000"/>
              <w:bottom w:val="single" w:sz="8" w:space="0" w:color="000000"/>
              <w:right w:val="single" w:sz="8" w:space="0" w:color="000000"/>
            </w:tcBorders>
            <w:shd w:val="clear" w:color="auto" w:fill="BDD7EE"/>
            <w:tcMar>
              <w:top w:w="15" w:type="dxa"/>
              <w:left w:w="15" w:type="dxa"/>
              <w:bottom w:w="0" w:type="dxa"/>
              <w:right w:w="15" w:type="dxa"/>
            </w:tcMar>
            <w:vAlign w:val="center"/>
            <w:hideMark/>
          </w:tcPr>
          <w:p w14:paraId="34CB57A8" w14:textId="77777777" w:rsidR="00FB0B74" w:rsidRPr="00FB0B74" w:rsidRDefault="00FB0B74" w:rsidP="00720591">
            <w:pPr>
              <w:kinsoku w:val="0"/>
              <w:overflowPunct w:val="0"/>
              <w:spacing w:after="0" w:line="240" w:lineRule="auto"/>
              <w:jc w:val="center"/>
              <w:textAlignment w:val="baseline"/>
              <w:rPr>
                <w:rFonts w:ascii="Arial" w:eastAsia="Times New Roman" w:hAnsi="Arial" w:cs="Arial"/>
                <w:lang w:eastAsia="fr-FR"/>
              </w:rPr>
            </w:pPr>
            <w:r w:rsidRPr="00FB0B74">
              <w:rPr>
                <w:rFonts w:ascii="Calibri" w:eastAsia="Times New Roman" w:hAnsi="Calibri" w:cs="Arial"/>
                <w:color w:val="000000"/>
                <w:kern w:val="24"/>
                <w:lang w:eastAsia="fr-FR"/>
              </w:rPr>
              <w:t>Durée de germination</w:t>
            </w:r>
          </w:p>
        </w:tc>
        <w:tc>
          <w:tcPr>
            <w:tcW w:w="1701" w:type="dxa"/>
            <w:tcBorders>
              <w:top w:val="single" w:sz="8" w:space="0" w:color="000000"/>
              <w:left w:val="single" w:sz="8" w:space="0" w:color="000000"/>
              <w:bottom w:val="single" w:sz="8" w:space="0" w:color="000000"/>
              <w:right w:val="single" w:sz="8" w:space="0" w:color="000000"/>
            </w:tcBorders>
            <w:shd w:val="clear" w:color="auto" w:fill="BDD7EE"/>
            <w:tcMar>
              <w:top w:w="15" w:type="dxa"/>
              <w:left w:w="15" w:type="dxa"/>
              <w:bottom w:w="0" w:type="dxa"/>
              <w:right w:w="15" w:type="dxa"/>
            </w:tcMar>
            <w:vAlign w:val="center"/>
            <w:hideMark/>
          </w:tcPr>
          <w:p w14:paraId="77EEA637" w14:textId="77777777" w:rsidR="00FB0B74" w:rsidRPr="00FB0B74" w:rsidRDefault="00FB0B74" w:rsidP="00720591">
            <w:pPr>
              <w:kinsoku w:val="0"/>
              <w:overflowPunct w:val="0"/>
              <w:spacing w:after="0" w:line="240" w:lineRule="auto"/>
              <w:ind w:left="72"/>
              <w:jc w:val="center"/>
              <w:textAlignment w:val="baseline"/>
              <w:rPr>
                <w:rFonts w:ascii="Arial" w:eastAsia="Times New Roman" w:hAnsi="Arial" w:cs="Arial"/>
                <w:lang w:eastAsia="fr-FR"/>
              </w:rPr>
            </w:pPr>
            <w:r w:rsidRPr="00FB0B74">
              <w:rPr>
                <w:rFonts w:ascii="Calibri" w:eastAsia="Times New Roman" w:hAnsi="Calibri" w:cs="Arial"/>
                <w:color w:val="000000"/>
                <w:spacing w:val="-1"/>
                <w:kern w:val="24"/>
                <w:lang w:eastAsia="fr-FR"/>
              </w:rPr>
              <w:t xml:space="preserve">Pourcentage de </w:t>
            </w:r>
            <w:r w:rsidRPr="00FB0B74">
              <w:rPr>
                <w:rFonts w:ascii="Calibri" w:eastAsia="Times New Roman" w:hAnsi="Calibri" w:cs="Arial"/>
                <w:color w:val="000000"/>
                <w:kern w:val="24"/>
                <w:lang w:eastAsia="fr-FR"/>
              </w:rPr>
              <w:t>germinati</w:t>
            </w:r>
            <w:r w:rsidRPr="00FB0B74">
              <w:rPr>
                <w:rFonts w:ascii="Calibri" w:eastAsia="Times New Roman" w:hAnsi="Calibri" w:cs="Arial"/>
                <w:color w:val="000000"/>
                <w:kern w:val="24"/>
                <w:lang w:eastAsia="fr-FR"/>
              </w:rPr>
              <w:softHyphen/>
              <w:t>on</w:t>
            </w:r>
          </w:p>
        </w:tc>
        <w:tc>
          <w:tcPr>
            <w:tcW w:w="2052" w:type="dxa"/>
            <w:tcBorders>
              <w:top w:val="single" w:sz="8" w:space="0" w:color="000000"/>
              <w:left w:val="single" w:sz="8" w:space="0" w:color="000000"/>
              <w:bottom w:val="single" w:sz="8" w:space="0" w:color="000000"/>
              <w:right w:val="single" w:sz="8" w:space="0" w:color="000000"/>
            </w:tcBorders>
            <w:shd w:val="clear" w:color="auto" w:fill="BDD7EE"/>
            <w:tcMar>
              <w:top w:w="15" w:type="dxa"/>
              <w:left w:w="15" w:type="dxa"/>
              <w:bottom w:w="0" w:type="dxa"/>
              <w:right w:w="15" w:type="dxa"/>
            </w:tcMar>
            <w:vAlign w:val="center"/>
            <w:hideMark/>
          </w:tcPr>
          <w:p w14:paraId="196B722F" w14:textId="77777777" w:rsidR="00FB0B74" w:rsidRPr="00FB0B74" w:rsidRDefault="00FB0B74" w:rsidP="00720591">
            <w:pPr>
              <w:kinsoku w:val="0"/>
              <w:overflowPunct w:val="0"/>
              <w:spacing w:after="0" w:line="240" w:lineRule="auto"/>
              <w:ind w:left="72" w:right="144"/>
              <w:jc w:val="center"/>
              <w:textAlignment w:val="baseline"/>
              <w:rPr>
                <w:rFonts w:ascii="Arial" w:eastAsia="Times New Roman" w:hAnsi="Arial" w:cs="Arial"/>
                <w:lang w:eastAsia="fr-FR"/>
              </w:rPr>
            </w:pPr>
            <w:r w:rsidRPr="00FB0B74">
              <w:rPr>
                <w:rFonts w:ascii="Calibri" w:eastAsia="Times New Roman" w:hAnsi="Calibri" w:cs="Arial"/>
                <w:color w:val="000000"/>
                <w:kern w:val="24"/>
                <w:lang w:eastAsia="fr-FR"/>
              </w:rPr>
              <w:t>Hauteur moyenne après 8 mois (cm.)</w:t>
            </w:r>
          </w:p>
        </w:tc>
      </w:tr>
      <w:tr w:rsidR="00720591" w:rsidRPr="00FB0B74" w14:paraId="0045CA19" w14:textId="77777777" w:rsidTr="00720591">
        <w:trPr>
          <w:trHeight w:val="347"/>
        </w:trPr>
        <w:tc>
          <w:tcPr>
            <w:tcW w:w="2542"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3A63C8B7" w14:textId="77777777" w:rsidR="00FB0B74" w:rsidRPr="00FB0B74" w:rsidRDefault="00FB0B74" w:rsidP="00720591">
            <w:pPr>
              <w:kinsoku w:val="0"/>
              <w:overflowPunct w:val="0"/>
              <w:spacing w:after="0" w:line="240" w:lineRule="auto"/>
              <w:ind w:left="72"/>
              <w:textAlignment w:val="baseline"/>
              <w:rPr>
                <w:rFonts w:ascii="Arial" w:eastAsia="Times New Roman" w:hAnsi="Arial" w:cs="Arial"/>
                <w:lang w:eastAsia="fr-FR"/>
              </w:rPr>
            </w:pPr>
            <w:r w:rsidRPr="00FB0B74">
              <w:rPr>
                <w:rFonts w:ascii="Calibri" w:eastAsia="Times New Roman" w:hAnsi="Calibri" w:cs="Arial"/>
                <w:i/>
                <w:iCs/>
                <w:color w:val="000000"/>
                <w:kern w:val="24"/>
                <w:lang w:eastAsia="fr-FR"/>
              </w:rPr>
              <w:t>Avicennia officinalis</w:t>
            </w:r>
          </w:p>
        </w:tc>
        <w:tc>
          <w:tcPr>
            <w:tcW w:w="2693"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2117FA29" w14:textId="77777777" w:rsidR="00FB0B74" w:rsidRPr="00FB0B74" w:rsidRDefault="00FB0B74" w:rsidP="00720591">
            <w:pPr>
              <w:kinsoku w:val="0"/>
              <w:overflowPunct w:val="0"/>
              <w:spacing w:after="0" w:line="240" w:lineRule="auto"/>
              <w:ind w:left="72"/>
              <w:textAlignment w:val="baseline"/>
              <w:rPr>
                <w:rFonts w:ascii="Arial" w:eastAsia="Times New Roman" w:hAnsi="Arial" w:cs="Arial"/>
                <w:lang w:eastAsia="fr-FR"/>
              </w:rPr>
            </w:pPr>
            <w:r w:rsidRPr="00FB0B74">
              <w:rPr>
                <w:rFonts w:ascii="Calibri" w:eastAsia="Times New Roman" w:hAnsi="Calibri" w:cs="Arial"/>
                <w:color w:val="000000"/>
                <w:kern w:val="24"/>
                <w:lang w:eastAsia="fr-FR"/>
              </w:rPr>
              <w:t>Fruit</w:t>
            </w:r>
          </w:p>
        </w:tc>
        <w:tc>
          <w:tcPr>
            <w:tcW w:w="1418"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2FE4BD07" w14:textId="77777777" w:rsidR="00FB0B74" w:rsidRPr="00FB0B74" w:rsidRDefault="00FB0B74" w:rsidP="00720591">
            <w:pPr>
              <w:kinsoku w:val="0"/>
              <w:overflowPunct w:val="0"/>
              <w:spacing w:after="0" w:line="240" w:lineRule="auto"/>
              <w:ind w:left="72"/>
              <w:textAlignment w:val="baseline"/>
              <w:rPr>
                <w:rFonts w:ascii="Arial" w:eastAsia="Times New Roman" w:hAnsi="Arial" w:cs="Arial"/>
                <w:lang w:eastAsia="fr-FR"/>
              </w:rPr>
            </w:pPr>
            <w:r w:rsidRPr="00FB0B74">
              <w:rPr>
                <w:rFonts w:ascii="Calibri" w:eastAsia="Times New Roman" w:hAnsi="Calibri" w:cs="Arial"/>
                <w:color w:val="000000"/>
                <w:kern w:val="24"/>
                <w:lang w:eastAsia="fr-FR"/>
              </w:rPr>
              <w:t>6 jours</w:t>
            </w:r>
          </w:p>
        </w:tc>
        <w:tc>
          <w:tcPr>
            <w:tcW w:w="1701"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75348FFA" w14:textId="77777777" w:rsidR="00FB0B74" w:rsidRPr="00FB0B74" w:rsidRDefault="00FB0B74" w:rsidP="00720591">
            <w:pPr>
              <w:kinsoku w:val="0"/>
              <w:overflowPunct w:val="0"/>
              <w:spacing w:after="0" w:line="240" w:lineRule="auto"/>
              <w:ind w:left="72"/>
              <w:textAlignment w:val="baseline"/>
              <w:rPr>
                <w:rFonts w:ascii="Arial" w:eastAsia="Times New Roman" w:hAnsi="Arial" w:cs="Arial"/>
                <w:lang w:eastAsia="fr-FR"/>
              </w:rPr>
            </w:pPr>
            <w:r w:rsidRPr="00FB0B74">
              <w:rPr>
                <w:rFonts w:ascii="Calibri" w:eastAsia="Times New Roman" w:hAnsi="Calibri" w:cs="Arial"/>
                <w:color w:val="000000"/>
                <w:spacing w:val="1"/>
                <w:kern w:val="24"/>
                <w:lang w:eastAsia="fr-FR"/>
              </w:rPr>
              <w:t>95</w:t>
            </w:r>
          </w:p>
        </w:tc>
        <w:tc>
          <w:tcPr>
            <w:tcW w:w="2052"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7C84733C" w14:textId="77777777" w:rsidR="00FB0B74" w:rsidRPr="00FB0B74" w:rsidRDefault="00FB0B74" w:rsidP="00720591">
            <w:pPr>
              <w:kinsoku w:val="0"/>
              <w:overflowPunct w:val="0"/>
              <w:spacing w:after="0" w:line="240" w:lineRule="auto"/>
              <w:ind w:left="72"/>
              <w:textAlignment w:val="baseline"/>
              <w:rPr>
                <w:rFonts w:ascii="Arial" w:eastAsia="Times New Roman" w:hAnsi="Arial" w:cs="Arial"/>
                <w:lang w:eastAsia="fr-FR"/>
              </w:rPr>
            </w:pPr>
            <w:r w:rsidRPr="00FB0B74">
              <w:rPr>
                <w:rFonts w:ascii="Calibri" w:eastAsia="Times New Roman" w:hAnsi="Calibri" w:cs="Arial"/>
                <w:color w:val="000000"/>
                <w:spacing w:val="1"/>
                <w:kern w:val="24"/>
                <w:lang w:eastAsia="fr-FR"/>
              </w:rPr>
              <w:t>75</w:t>
            </w:r>
          </w:p>
        </w:tc>
      </w:tr>
      <w:tr w:rsidR="00720591" w:rsidRPr="00FB0B74" w14:paraId="29974003" w14:textId="77777777" w:rsidTr="00720591">
        <w:trPr>
          <w:trHeight w:val="294"/>
        </w:trPr>
        <w:tc>
          <w:tcPr>
            <w:tcW w:w="2542"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1066D9F5" w14:textId="77777777" w:rsidR="00FB0B74" w:rsidRPr="00FB0B74" w:rsidRDefault="00FB0B74" w:rsidP="00720591">
            <w:pPr>
              <w:kinsoku w:val="0"/>
              <w:overflowPunct w:val="0"/>
              <w:spacing w:after="0" w:line="240" w:lineRule="auto"/>
              <w:ind w:left="72"/>
              <w:textAlignment w:val="baseline"/>
              <w:rPr>
                <w:rFonts w:ascii="Arial" w:eastAsia="Times New Roman" w:hAnsi="Arial" w:cs="Arial"/>
                <w:lang w:eastAsia="fr-FR"/>
              </w:rPr>
            </w:pPr>
            <w:r w:rsidRPr="00FB0B74">
              <w:rPr>
                <w:rFonts w:ascii="Calibri" w:eastAsia="Times New Roman" w:hAnsi="Calibri" w:cs="Arial"/>
                <w:i/>
                <w:iCs/>
                <w:color w:val="000000"/>
                <w:kern w:val="24"/>
                <w:lang w:eastAsia="fr-FR"/>
              </w:rPr>
              <w:t>Avicennia marina</w:t>
            </w:r>
          </w:p>
        </w:tc>
        <w:tc>
          <w:tcPr>
            <w:tcW w:w="2693"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54C43A4F" w14:textId="5193648F" w:rsidR="00FB0B74" w:rsidRPr="00FB0B74" w:rsidRDefault="00FB0B74" w:rsidP="00720591">
            <w:pPr>
              <w:kinsoku w:val="0"/>
              <w:overflowPunct w:val="0"/>
              <w:spacing w:after="0" w:line="240" w:lineRule="auto"/>
              <w:ind w:left="72"/>
              <w:textAlignment w:val="baseline"/>
              <w:rPr>
                <w:rFonts w:ascii="Arial" w:eastAsia="Times New Roman" w:hAnsi="Arial" w:cs="Arial"/>
                <w:lang w:eastAsia="fr-FR"/>
              </w:rPr>
            </w:pPr>
            <w:r w:rsidRPr="00FB0B74">
              <w:rPr>
                <w:rFonts w:ascii="Calibri" w:eastAsia="Times New Roman" w:hAnsi="Calibri" w:cs="Arial"/>
                <w:color w:val="000000"/>
                <w:spacing w:val="-7"/>
                <w:kern w:val="24"/>
                <w:lang w:eastAsia="fr-FR"/>
              </w:rPr>
              <w:t>Fruit</w:t>
            </w:r>
          </w:p>
        </w:tc>
        <w:tc>
          <w:tcPr>
            <w:tcW w:w="1418"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06FDDAA6" w14:textId="77777777" w:rsidR="00FB0B74" w:rsidRPr="00FB0B74" w:rsidRDefault="00FB0B74" w:rsidP="00720591">
            <w:pPr>
              <w:kinsoku w:val="0"/>
              <w:overflowPunct w:val="0"/>
              <w:spacing w:after="0" w:line="240" w:lineRule="auto"/>
              <w:ind w:left="72"/>
              <w:textAlignment w:val="baseline"/>
              <w:rPr>
                <w:rFonts w:ascii="Arial" w:eastAsia="Times New Roman" w:hAnsi="Arial" w:cs="Arial"/>
                <w:lang w:eastAsia="fr-FR"/>
              </w:rPr>
            </w:pPr>
            <w:r w:rsidRPr="00FB0B74">
              <w:rPr>
                <w:rFonts w:ascii="Calibri" w:eastAsia="Times New Roman" w:hAnsi="Calibri" w:cs="Arial"/>
                <w:color w:val="000000"/>
                <w:spacing w:val="-5"/>
                <w:kern w:val="24"/>
                <w:lang w:eastAsia="fr-FR"/>
              </w:rPr>
              <w:t xml:space="preserve">6 </w:t>
            </w:r>
            <w:r w:rsidRPr="00FB0B74">
              <w:rPr>
                <w:rFonts w:ascii="Calibri" w:eastAsia="Times New Roman" w:hAnsi="Calibri" w:cs="Arial"/>
                <w:color w:val="000000"/>
                <w:kern w:val="24"/>
                <w:lang w:eastAsia="fr-FR"/>
              </w:rPr>
              <w:t>jours</w:t>
            </w:r>
          </w:p>
        </w:tc>
        <w:tc>
          <w:tcPr>
            <w:tcW w:w="1701"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53B9D836" w14:textId="77777777" w:rsidR="00FB0B74" w:rsidRPr="00FB0B74" w:rsidRDefault="00FB0B74" w:rsidP="00720591">
            <w:pPr>
              <w:kinsoku w:val="0"/>
              <w:overflowPunct w:val="0"/>
              <w:spacing w:after="0" w:line="240" w:lineRule="auto"/>
              <w:ind w:left="72"/>
              <w:textAlignment w:val="baseline"/>
              <w:rPr>
                <w:rFonts w:ascii="Arial" w:eastAsia="Times New Roman" w:hAnsi="Arial" w:cs="Arial"/>
                <w:lang w:eastAsia="fr-FR"/>
              </w:rPr>
            </w:pPr>
            <w:r w:rsidRPr="00FB0B74">
              <w:rPr>
                <w:rFonts w:ascii="Calibri" w:eastAsia="Times New Roman" w:hAnsi="Calibri" w:cs="Arial"/>
                <w:color w:val="000000"/>
                <w:spacing w:val="1"/>
                <w:kern w:val="24"/>
                <w:lang w:eastAsia="fr-FR"/>
              </w:rPr>
              <w:t>95</w:t>
            </w:r>
          </w:p>
        </w:tc>
        <w:tc>
          <w:tcPr>
            <w:tcW w:w="2052"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1BA87B84" w14:textId="77777777" w:rsidR="00FB0B74" w:rsidRPr="00FB0B74" w:rsidRDefault="00FB0B74" w:rsidP="00720591">
            <w:pPr>
              <w:kinsoku w:val="0"/>
              <w:overflowPunct w:val="0"/>
              <w:spacing w:after="0" w:line="240" w:lineRule="auto"/>
              <w:ind w:left="72"/>
              <w:textAlignment w:val="baseline"/>
              <w:rPr>
                <w:rFonts w:ascii="Arial" w:eastAsia="Times New Roman" w:hAnsi="Arial" w:cs="Arial"/>
                <w:lang w:eastAsia="fr-FR"/>
              </w:rPr>
            </w:pPr>
            <w:r w:rsidRPr="00FB0B74">
              <w:rPr>
                <w:rFonts w:ascii="Calibri" w:eastAsia="Times New Roman" w:hAnsi="Calibri" w:cs="Arial"/>
                <w:color w:val="000000"/>
                <w:spacing w:val="1"/>
                <w:kern w:val="24"/>
                <w:lang w:eastAsia="fr-FR"/>
              </w:rPr>
              <w:t>75</w:t>
            </w:r>
          </w:p>
        </w:tc>
      </w:tr>
      <w:tr w:rsidR="00720591" w:rsidRPr="00FB0B74" w14:paraId="388DB979" w14:textId="77777777" w:rsidTr="00720591">
        <w:trPr>
          <w:trHeight w:val="256"/>
        </w:trPr>
        <w:tc>
          <w:tcPr>
            <w:tcW w:w="2542"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2A7F6A63" w14:textId="77777777" w:rsidR="00FB0B74" w:rsidRPr="00FB0B74" w:rsidRDefault="00FB0B74" w:rsidP="00720591">
            <w:pPr>
              <w:kinsoku w:val="0"/>
              <w:overflowPunct w:val="0"/>
              <w:spacing w:after="0" w:line="240" w:lineRule="auto"/>
              <w:ind w:left="72"/>
              <w:textAlignment w:val="baseline"/>
              <w:rPr>
                <w:rFonts w:ascii="Arial" w:eastAsia="Times New Roman" w:hAnsi="Arial" w:cs="Arial"/>
                <w:lang w:eastAsia="fr-FR"/>
              </w:rPr>
            </w:pPr>
            <w:r w:rsidRPr="00FB0B74">
              <w:rPr>
                <w:rFonts w:ascii="Calibri" w:eastAsia="Times New Roman" w:hAnsi="Calibri" w:cs="Arial"/>
                <w:i/>
                <w:iCs/>
                <w:color w:val="000000"/>
                <w:kern w:val="24"/>
                <w:lang w:eastAsia="fr-FR"/>
              </w:rPr>
              <w:t>Excoecaria agallocha</w:t>
            </w:r>
          </w:p>
        </w:tc>
        <w:tc>
          <w:tcPr>
            <w:tcW w:w="2693"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752133C0" w14:textId="7D98850E" w:rsidR="00FB0B74" w:rsidRPr="00FB0B74" w:rsidRDefault="00720591" w:rsidP="00720591">
            <w:pPr>
              <w:kinsoku w:val="0"/>
              <w:overflowPunct w:val="0"/>
              <w:spacing w:after="0" w:line="240" w:lineRule="auto"/>
              <w:ind w:left="72"/>
              <w:textAlignment w:val="baseline"/>
              <w:rPr>
                <w:rFonts w:ascii="Arial" w:eastAsia="Times New Roman" w:hAnsi="Arial" w:cs="Arial"/>
                <w:lang w:eastAsia="fr-FR"/>
              </w:rPr>
            </w:pPr>
            <w:r w:rsidRPr="00FB0B74">
              <w:rPr>
                <w:rFonts w:ascii="Calibri" w:eastAsia="Times New Roman" w:hAnsi="Calibri" w:cs="Arial"/>
                <w:color w:val="000000"/>
                <w:kern w:val="24"/>
                <w:lang w:eastAsia="fr-FR"/>
              </w:rPr>
              <w:t>Jeunes</w:t>
            </w:r>
            <w:r w:rsidR="00FB0B74" w:rsidRPr="00FB0B74">
              <w:rPr>
                <w:rFonts w:ascii="Calibri" w:eastAsia="Times New Roman" w:hAnsi="Calibri" w:cs="Arial"/>
                <w:color w:val="000000"/>
                <w:kern w:val="24"/>
                <w:lang w:eastAsia="fr-FR"/>
              </w:rPr>
              <w:t xml:space="preserve"> plantules</w:t>
            </w:r>
          </w:p>
        </w:tc>
        <w:tc>
          <w:tcPr>
            <w:tcW w:w="1418"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15CB3A26" w14:textId="77777777" w:rsidR="00FB0B74" w:rsidRPr="00FB0B74" w:rsidRDefault="00FB0B74" w:rsidP="00720591">
            <w:pPr>
              <w:kinsoku w:val="0"/>
              <w:overflowPunct w:val="0"/>
              <w:spacing w:after="0" w:line="240" w:lineRule="auto"/>
              <w:ind w:left="72"/>
              <w:textAlignment w:val="baseline"/>
              <w:rPr>
                <w:rFonts w:ascii="Arial" w:eastAsia="Times New Roman" w:hAnsi="Arial" w:cs="Arial"/>
                <w:lang w:eastAsia="fr-FR"/>
              </w:rPr>
            </w:pPr>
            <w:r w:rsidRPr="00FB0B74">
              <w:rPr>
                <w:rFonts w:ascii="Calibri" w:eastAsia="Times New Roman" w:hAnsi="Calibri" w:cs="Arial"/>
                <w:color w:val="000000"/>
                <w:kern w:val="24"/>
                <w:lang w:eastAsia="fr-FR"/>
              </w:rPr>
              <w:t>-</w:t>
            </w:r>
          </w:p>
        </w:tc>
        <w:tc>
          <w:tcPr>
            <w:tcW w:w="1701"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30827EC6" w14:textId="77777777" w:rsidR="00FB0B74" w:rsidRPr="00FB0B74" w:rsidRDefault="00FB0B74" w:rsidP="00720591">
            <w:pPr>
              <w:kinsoku w:val="0"/>
              <w:overflowPunct w:val="0"/>
              <w:spacing w:after="0" w:line="240" w:lineRule="auto"/>
              <w:ind w:left="72"/>
              <w:textAlignment w:val="baseline"/>
              <w:rPr>
                <w:rFonts w:ascii="Arial" w:eastAsia="Times New Roman" w:hAnsi="Arial" w:cs="Arial"/>
                <w:lang w:eastAsia="fr-FR"/>
              </w:rPr>
            </w:pPr>
            <w:r w:rsidRPr="00FB0B74">
              <w:rPr>
                <w:rFonts w:ascii="Calibri" w:eastAsia="Times New Roman" w:hAnsi="Calibri" w:cs="Arial"/>
                <w:color w:val="000000"/>
                <w:spacing w:val="-1"/>
                <w:kern w:val="24"/>
                <w:lang w:eastAsia="fr-FR"/>
              </w:rPr>
              <w:t>60</w:t>
            </w:r>
          </w:p>
        </w:tc>
        <w:tc>
          <w:tcPr>
            <w:tcW w:w="2052"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194649E6" w14:textId="77777777" w:rsidR="00FB0B74" w:rsidRPr="00FB0B74" w:rsidRDefault="00FB0B74" w:rsidP="00720591">
            <w:pPr>
              <w:kinsoku w:val="0"/>
              <w:overflowPunct w:val="0"/>
              <w:spacing w:after="0" w:line="240" w:lineRule="auto"/>
              <w:ind w:left="72"/>
              <w:textAlignment w:val="baseline"/>
              <w:rPr>
                <w:rFonts w:ascii="Arial" w:eastAsia="Times New Roman" w:hAnsi="Arial" w:cs="Arial"/>
                <w:lang w:eastAsia="fr-FR"/>
              </w:rPr>
            </w:pPr>
            <w:r w:rsidRPr="00FB0B74">
              <w:rPr>
                <w:rFonts w:ascii="Calibri" w:eastAsia="Times New Roman" w:hAnsi="Calibri" w:cs="Arial"/>
                <w:color w:val="000000"/>
                <w:kern w:val="24"/>
                <w:lang w:eastAsia="fr-FR"/>
              </w:rPr>
              <w:t>60</w:t>
            </w:r>
          </w:p>
        </w:tc>
      </w:tr>
      <w:tr w:rsidR="00720591" w:rsidRPr="00FB0B74" w14:paraId="390E4C7D" w14:textId="77777777" w:rsidTr="00720591">
        <w:trPr>
          <w:trHeight w:val="251"/>
        </w:trPr>
        <w:tc>
          <w:tcPr>
            <w:tcW w:w="2542"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30112449" w14:textId="77777777" w:rsidR="00FB0B74" w:rsidRPr="00FB0B74" w:rsidRDefault="00FB0B74" w:rsidP="00720591">
            <w:pPr>
              <w:kinsoku w:val="0"/>
              <w:overflowPunct w:val="0"/>
              <w:spacing w:after="0" w:line="240" w:lineRule="auto"/>
              <w:ind w:left="72"/>
              <w:textAlignment w:val="baseline"/>
              <w:rPr>
                <w:rFonts w:ascii="Arial" w:eastAsia="Times New Roman" w:hAnsi="Arial" w:cs="Arial"/>
                <w:lang w:eastAsia="fr-FR"/>
              </w:rPr>
            </w:pPr>
            <w:r w:rsidRPr="00FB0B74">
              <w:rPr>
                <w:rFonts w:ascii="Calibri" w:eastAsia="Times New Roman" w:hAnsi="Calibri" w:cs="Arial"/>
                <w:i/>
                <w:iCs/>
                <w:color w:val="000000"/>
                <w:kern w:val="24"/>
                <w:lang w:eastAsia="fr-FR"/>
              </w:rPr>
              <w:t>Aegiceras corniculatum</w:t>
            </w:r>
          </w:p>
        </w:tc>
        <w:tc>
          <w:tcPr>
            <w:tcW w:w="2693"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1CA9C962" w14:textId="77777777" w:rsidR="00FB0B74" w:rsidRPr="00FB0B74" w:rsidRDefault="00FB0B74" w:rsidP="00720591">
            <w:pPr>
              <w:kinsoku w:val="0"/>
              <w:overflowPunct w:val="0"/>
              <w:spacing w:after="0" w:line="240" w:lineRule="auto"/>
              <w:ind w:left="72"/>
              <w:textAlignment w:val="baseline"/>
              <w:rPr>
                <w:rFonts w:ascii="Arial" w:eastAsia="Times New Roman" w:hAnsi="Arial" w:cs="Arial"/>
                <w:lang w:eastAsia="fr-FR"/>
              </w:rPr>
            </w:pPr>
            <w:r w:rsidRPr="00FB0B74">
              <w:rPr>
                <w:rFonts w:ascii="Calibri" w:eastAsia="Times New Roman" w:hAnsi="Calibri" w:cs="Arial"/>
                <w:color w:val="000000"/>
                <w:kern w:val="24"/>
                <w:lang w:eastAsia="fr-FR"/>
              </w:rPr>
              <w:t>Fruit</w:t>
            </w:r>
          </w:p>
        </w:tc>
        <w:tc>
          <w:tcPr>
            <w:tcW w:w="1418"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389F654E" w14:textId="77777777" w:rsidR="00FB0B74" w:rsidRPr="00FB0B74" w:rsidRDefault="00FB0B74" w:rsidP="00720591">
            <w:pPr>
              <w:kinsoku w:val="0"/>
              <w:overflowPunct w:val="0"/>
              <w:spacing w:after="0" w:line="240" w:lineRule="auto"/>
              <w:ind w:left="72"/>
              <w:textAlignment w:val="baseline"/>
              <w:rPr>
                <w:rFonts w:ascii="Arial" w:eastAsia="Times New Roman" w:hAnsi="Arial" w:cs="Arial"/>
                <w:lang w:eastAsia="fr-FR"/>
              </w:rPr>
            </w:pPr>
            <w:r w:rsidRPr="00FB0B74">
              <w:rPr>
                <w:rFonts w:ascii="Calibri" w:eastAsia="Times New Roman" w:hAnsi="Calibri" w:cs="Arial"/>
                <w:color w:val="000000"/>
                <w:spacing w:val="1"/>
                <w:kern w:val="24"/>
                <w:lang w:eastAsia="fr-FR"/>
              </w:rPr>
              <w:t xml:space="preserve">35 </w:t>
            </w:r>
            <w:r w:rsidRPr="00FB0B74">
              <w:rPr>
                <w:rFonts w:ascii="Calibri" w:eastAsia="Times New Roman" w:hAnsi="Calibri" w:cs="Arial"/>
                <w:color w:val="000000"/>
                <w:kern w:val="24"/>
                <w:lang w:eastAsia="fr-FR"/>
              </w:rPr>
              <w:t>jours</w:t>
            </w:r>
          </w:p>
        </w:tc>
        <w:tc>
          <w:tcPr>
            <w:tcW w:w="1701"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55FE3DB9" w14:textId="77777777" w:rsidR="00FB0B74" w:rsidRPr="00FB0B74" w:rsidRDefault="00FB0B74" w:rsidP="00720591">
            <w:pPr>
              <w:kinsoku w:val="0"/>
              <w:overflowPunct w:val="0"/>
              <w:spacing w:after="0" w:line="240" w:lineRule="auto"/>
              <w:ind w:left="72"/>
              <w:textAlignment w:val="baseline"/>
              <w:rPr>
                <w:rFonts w:ascii="Arial" w:eastAsia="Times New Roman" w:hAnsi="Arial" w:cs="Arial"/>
                <w:lang w:eastAsia="fr-FR"/>
              </w:rPr>
            </w:pPr>
            <w:r w:rsidRPr="00FB0B74">
              <w:rPr>
                <w:rFonts w:ascii="Calibri" w:eastAsia="Times New Roman" w:hAnsi="Calibri" w:cs="Arial"/>
                <w:color w:val="000000"/>
                <w:kern w:val="24"/>
                <w:lang w:eastAsia="fr-FR"/>
              </w:rPr>
              <w:t>80</w:t>
            </w:r>
          </w:p>
        </w:tc>
        <w:tc>
          <w:tcPr>
            <w:tcW w:w="2052"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1592BAA0" w14:textId="77777777" w:rsidR="00FB0B74" w:rsidRPr="00FB0B74" w:rsidRDefault="00FB0B74" w:rsidP="00720591">
            <w:pPr>
              <w:kinsoku w:val="0"/>
              <w:overflowPunct w:val="0"/>
              <w:spacing w:after="0" w:line="240" w:lineRule="auto"/>
              <w:ind w:left="72"/>
              <w:textAlignment w:val="baseline"/>
              <w:rPr>
                <w:rFonts w:ascii="Arial" w:eastAsia="Times New Roman" w:hAnsi="Arial" w:cs="Arial"/>
                <w:lang w:eastAsia="fr-FR"/>
              </w:rPr>
            </w:pPr>
            <w:r w:rsidRPr="00FB0B74">
              <w:rPr>
                <w:rFonts w:ascii="Calibri" w:eastAsia="Times New Roman" w:hAnsi="Calibri" w:cs="Arial"/>
                <w:color w:val="000000"/>
                <w:kern w:val="24"/>
                <w:lang w:eastAsia="fr-FR"/>
              </w:rPr>
              <w:t>70</w:t>
            </w:r>
          </w:p>
        </w:tc>
      </w:tr>
      <w:tr w:rsidR="00720591" w:rsidRPr="00FB0B74" w14:paraId="4A23C90E" w14:textId="77777777" w:rsidTr="00720591">
        <w:trPr>
          <w:trHeight w:val="222"/>
        </w:trPr>
        <w:tc>
          <w:tcPr>
            <w:tcW w:w="2542"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7499325F" w14:textId="77777777" w:rsidR="00FB0B74" w:rsidRPr="00FB0B74" w:rsidRDefault="00FB0B74" w:rsidP="00720591">
            <w:pPr>
              <w:kinsoku w:val="0"/>
              <w:overflowPunct w:val="0"/>
              <w:spacing w:after="0" w:line="240" w:lineRule="auto"/>
              <w:ind w:left="72"/>
              <w:textAlignment w:val="baseline"/>
              <w:rPr>
                <w:rFonts w:ascii="Arial" w:eastAsia="Times New Roman" w:hAnsi="Arial" w:cs="Arial"/>
                <w:lang w:eastAsia="fr-FR"/>
              </w:rPr>
            </w:pPr>
            <w:r w:rsidRPr="00FB0B74">
              <w:rPr>
                <w:rFonts w:ascii="Calibri" w:eastAsia="Times New Roman" w:hAnsi="Calibri" w:cs="Arial"/>
                <w:i/>
                <w:iCs/>
                <w:color w:val="000000"/>
                <w:kern w:val="24"/>
                <w:lang w:eastAsia="fr-FR"/>
              </w:rPr>
              <w:t>Sonneratia apetala</w:t>
            </w:r>
          </w:p>
        </w:tc>
        <w:tc>
          <w:tcPr>
            <w:tcW w:w="2693"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342E53FC" w14:textId="68AC58AC" w:rsidR="00FB0B74" w:rsidRPr="00FB0B74" w:rsidRDefault="00720591" w:rsidP="00720591">
            <w:pPr>
              <w:kinsoku w:val="0"/>
              <w:overflowPunct w:val="0"/>
              <w:spacing w:after="0" w:line="240" w:lineRule="auto"/>
              <w:ind w:left="72"/>
              <w:textAlignment w:val="baseline"/>
              <w:rPr>
                <w:rFonts w:ascii="Arial" w:eastAsia="Times New Roman" w:hAnsi="Arial" w:cs="Arial"/>
                <w:lang w:eastAsia="fr-FR"/>
              </w:rPr>
            </w:pPr>
            <w:r w:rsidRPr="00FB0B74">
              <w:rPr>
                <w:rFonts w:ascii="Calibri" w:eastAsia="Times New Roman" w:hAnsi="Calibri" w:cs="Arial"/>
                <w:color w:val="000000"/>
                <w:spacing w:val="1"/>
                <w:kern w:val="24"/>
                <w:lang w:eastAsia="fr-FR"/>
              </w:rPr>
              <w:t>Semences</w:t>
            </w:r>
          </w:p>
        </w:tc>
        <w:tc>
          <w:tcPr>
            <w:tcW w:w="1418"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7058AC8E" w14:textId="77777777" w:rsidR="00FB0B74" w:rsidRPr="00FB0B74" w:rsidRDefault="00FB0B74" w:rsidP="00720591">
            <w:pPr>
              <w:kinsoku w:val="0"/>
              <w:overflowPunct w:val="0"/>
              <w:spacing w:after="0" w:line="240" w:lineRule="auto"/>
              <w:ind w:left="72"/>
              <w:textAlignment w:val="baseline"/>
              <w:rPr>
                <w:rFonts w:ascii="Arial" w:eastAsia="Times New Roman" w:hAnsi="Arial" w:cs="Arial"/>
                <w:lang w:eastAsia="fr-FR"/>
              </w:rPr>
            </w:pPr>
            <w:r w:rsidRPr="00FB0B74">
              <w:rPr>
                <w:rFonts w:ascii="Calibri" w:eastAsia="Times New Roman" w:hAnsi="Calibri" w:cs="Arial"/>
                <w:color w:val="000000"/>
                <w:spacing w:val="1"/>
                <w:kern w:val="24"/>
                <w:lang w:eastAsia="fr-FR"/>
              </w:rPr>
              <w:t xml:space="preserve">30 </w:t>
            </w:r>
            <w:r w:rsidRPr="00FB0B74">
              <w:rPr>
                <w:rFonts w:ascii="Calibri" w:eastAsia="Times New Roman" w:hAnsi="Calibri" w:cs="Arial"/>
                <w:color w:val="000000"/>
                <w:kern w:val="24"/>
                <w:lang w:eastAsia="fr-FR"/>
              </w:rPr>
              <w:t>jours</w:t>
            </w:r>
          </w:p>
        </w:tc>
        <w:tc>
          <w:tcPr>
            <w:tcW w:w="1701"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14E0C4C4" w14:textId="77777777" w:rsidR="00FB0B74" w:rsidRPr="00FB0B74" w:rsidRDefault="00FB0B74" w:rsidP="00720591">
            <w:pPr>
              <w:kinsoku w:val="0"/>
              <w:overflowPunct w:val="0"/>
              <w:spacing w:after="0" w:line="240" w:lineRule="auto"/>
              <w:ind w:left="72"/>
              <w:textAlignment w:val="baseline"/>
              <w:rPr>
                <w:rFonts w:ascii="Arial" w:eastAsia="Times New Roman" w:hAnsi="Arial" w:cs="Arial"/>
                <w:lang w:eastAsia="fr-FR"/>
              </w:rPr>
            </w:pPr>
            <w:r w:rsidRPr="00FB0B74">
              <w:rPr>
                <w:rFonts w:ascii="Calibri" w:eastAsia="Times New Roman" w:hAnsi="Calibri" w:cs="Arial"/>
                <w:color w:val="000000"/>
                <w:spacing w:val="-1"/>
                <w:kern w:val="24"/>
                <w:lang w:eastAsia="fr-FR"/>
              </w:rPr>
              <w:t>20</w:t>
            </w:r>
          </w:p>
        </w:tc>
        <w:tc>
          <w:tcPr>
            <w:tcW w:w="2052"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0DE94C60" w14:textId="77777777" w:rsidR="00FB0B74" w:rsidRPr="00FB0B74" w:rsidRDefault="00FB0B74" w:rsidP="00720591">
            <w:pPr>
              <w:kinsoku w:val="0"/>
              <w:overflowPunct w:val="0"/>
              <w:spacing w:after="0" w:line="240" w:lineRule="auto"/>
              <w:ind w:left="72"/>
              <w:textAlignment w:val="baseline"/>
              <w:rPr>
                <w:rFonts w:ascii="Arial" w:eastAsia="Times New Roman" w:hAnsi="Arial" w:cs="Arial"/>
                <w:lang w:eastAsia="fr-FR"/>
              </w:rPr>
            </w:pPr>
            <w:r w:rsidRPr="00FB0B74">
              <w:rPr>
                <w:rFonts w:ascii="Calibri" w:eastAsia="Times New Roman" w:hAnsi="Calibri" w:cs="Arial"/>
                <w:color w:val="000000"/>
                <w:kern w:val="24"/>
                <w:lang w:eastAsia="fr-FR"/>
              </w:rPr>
              <w:t>80</w:t>
            </w:r>
          </w:p>
        </w:tc>
      </w:tr>
      <w:tr w:rsidR="00720591" w:rsidRPr="00FB0B74" w14:paraId="788A01D5" w14:textId="77777777" w:rsidTr="00720591">
        <w:trPr>
          <w:trHeight w:val="248"/>
        </w:trPr>
        <w:tc>
          <w:tcPr>
            <w:tcW w:w="2542"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59E4F12E" w14:textId="77777777" w:rsidR="00FB0B74" w:rsidRPr="00FB0B74" w:rsidRDefault="00FB0B74" w:rsidP="00720591">
            <w:pPr>
              <w:kinsoku w:val="0"/>
              <w:overflowPunct w:val="0"/>
              <w:spacing w:after="0" w:line="240" w:lineRule="auto"/>
              <w:ind w:left="72"/>
              <w:textAlignment w:val="baseline"/>
              <w:rPr>
                <w:rFonts w:ascii="Arial" w:eastAsia="Times New Roman" w:hAnsi="Arial" w:cs="Arial"/>
                <w:lang w:eastAsia="fr-FR"/>
              </w:rPr>
            </w:pPr>
            <w:r w:rsidRPr="00FB0B74">
              <w:rPr>
                <w:rFonts w:ascii="Calibri" w:eastAsia="Times New Roman" w:hAnsi="Calibri" w:cs="Arial"/>
                <w:i/>
                <w:iCs/>
                <w:color w:val="000000"/>
                <w:kern w:val="24"/>
                <w:lang w:eastAsia="fr-FR"/>
              </w:rPr>
              <w:t>Xylocarpus molluccensis</w:t>
            </w:r>
          </w:p>
        </w:tc>
        <w:tc>
          <w:tcPr>
            <w:tcW w:w="2693"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3F055C69" w14:textId="4CD64406" w:rsidR="00FB0B74" w:rsidRPr="00FB0B74" w:rsidRDefault="00720591" w:rsidP="00720591">
            <w:pPr>
              <w:kinsoku w:val="0"/>
              <w:overflowPunct w:val="0"/>
              <w:spacing w:after="0" w:line="240" w:lineRule="auto"/>
              <w:ind w:left="72"/>
              <w:textAlignment w:val="baseline"/>
              <w:rPr>
                <w:rFonts w:ascii="Arial" w:eastAsia="Times New Roman" w:hAnsi="Arial" w:cs="Arial"/>
                <w:lang w:eastAsia="fr-FR"/>
              </w:rPr>
            </w:pPr>
            <w:r w:rsidRPr="00FB0B74">
              <w:rPr>
                <w:rFonts w:ascii="Calibri" w:eastAsia="Times New Roman" w:hAnsi="Calibri" w:cs="Arial"/>
                <w:color w:val="000000"/>
                <w:spacing w:val="1"/>
                <w:kern w:val="24"/>
                <w:lang w:eastAsia="fr-FR"/>
              </w:rPr>
              <w:t>Semences</w:t>
            </w:r>
          </w:p>
        </w:tc>
        <w:tc>
          <w:tcPr>
            <w:tcW w:w="1418"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4BB6F4CC" w14:textId="77777777" w:rsidR="00FB0B74" w:rsidRPr="00FB0B74" w:rsidRDefault="00FB0B74" w:rsidP="00720591">
            <w:pPr>
              <w:kinsoku w:val="0"/>
              <w:overflowPunct w:val="0"/>
              <w:spacing w:after="0" w:line="240" w:lineRule="auto"/>
              <w:ind w:left="72"/>
              <w:textAlignment w:val="baseline"/>
              <w:rPr>
                <w:rFonts w:ascii="Arial" w:eastAsia="Times New Roman" w:hAnsi="Arial" w:cs="Arial"/>
                <w:lang w:eastAsia="fr-FR"/>
              </w:rPr>
            </w:pPr>
            <w:r w:rsidRPr="00FB0B74">
              <w:rPr>
                <w:rFonts w:ascii="Calibri" w:eastAsia="Times New Roman" w:hAnsi="Calibri" w:cs="Arial"/>
                <w:color w:val="000000"/>
                <w:spacing w:val="1"/>
                <w:kern w:val="24"/>
                <w:lang w:eastAsia="fr-FR"/>
              </w:rPr>
              <w:t xml:space="preserve">20 </w:t>
            </w:r>
            <w:r w:rsidRPr="00FB0B74">
              <w:rPr>
                <w:rFonts w:ascii="Calibri" w:eastAsia="Times New Roman" w:hAnsi="Calibri" w:cs="Arial"/>
                <w:color w:val="000000"/>
                <w:kern w:val="24"/>
                <w:lang w:eastAsia="fr-FR"/>
              </w:rPr>
              <w:t>jours</w:t>
            </w:r>
          </w:p>
        </w:tc>
        <w:tc>
          <w:tcPr>
            <w:tcW w:w="1701"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44DA08FB" w14:textId="77777777" w:rsidR="00FB0B74" w:rsidRPr="00FB0B74" w:rsidRDefault="00FB0B74" w:rsidP="00720591">
            <w:pPr>
              <w:kinsoku w:val="0"/>
              <w:overflowPunct w:val="0"/>
              <w:spacing w:after="0" w:line="240" w:lineRule="auto"/>
              <w:ind w:left="72"/>
              <w:textAlignment w:val="baseline"/>
              <w:rPr>
                <w:rFonts w:ascii="Arial" w:eastAsia="Times New Roman" w:hAnsi="Arial" w:cs="Arial"/>
                <w:lang w:eastAsia="fr-FR"/>
              </w:rPr>
            </w:pPr>
            <w:r w:rsidRPr="00FB0B74">
              <w:rPr>
                <w:rFonts w:ascii="Calibri" w:eastAsia="Times New Roman" w:hAnsi="Calibri" w:cs="Arial"/>
                <w:color w:val="000000"/>
                <w:kern w:val="24"/>
                <w:lang w:eastAsia="fr-FR"/>
              </w:rPr>
              <w:t>90</w:t>
            </w:r>
          </w:p>
        </w:tc>
        <w:tc>
          <w:tcPr>
            <w:tcW w:w="2052"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7B975AF9" w14:textId="77777777" w:rsidR="00FB0B74" w:rsidRPr="00FB0B74" w:rsidRDefault="00FB0B74" w:rsidP="00720591">
            <w:pPr>
              <w:kinsoku w:val="0"/>
              <w:overflowPunct w:val="0"/>
              <w:spacing w:after="0" w:line="240" w:lineRule="auto"/>
              <w:ind w:left="72"/>
              <w:textAlignment w:val="baseline"/>
              <w:rPr>
                <w:rFonts w:ascii="Arial" w:eastAsia="Times New Roman" w:hAnsi="Arial" w:cs="Arial"/>
                <w:lang w:eastAsia="fr-FR"/>
              </w:rPr>
            </w:pPr>
            <w:r w:rsidRPr="00FB0B74">
              <w:rPr>
                <w:rFonts w:ascii="Calibri" w:eastAsia="Times New Roman" w:hAnsi="Calibri" w:cs="Arial"/>
                <w:color w:val="000000"/>
                <w:kern w:val="24"/>
                <w:lang w:eastAsia="fr-FR"/>
              </w:rPr>
              <w:t>80</w:t>
            </w:r>
          </w:p>
        </w:tc>
      </w:tr>
      <w:tr w:rsidR="00720591" w:rsidRPr="00FB0B74" w14:paraId="5E03104A" w14:textId="77777777" w:rsidTr="00720591">
        <w:trPr>
          <w:trHeight w:val="366"/>
        </w:trPr>
        <w:tc>
          <w:tcPr>
            <w:tcW w:w="2542"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6175407D" w14:textId="77777777" w:rsidR="00FB0B74" w:rsidRPr="00FB0B74" w:rsidRDefault="00FB0B74" w:rsidP="00720591">
            <w:pPr>
              <w:kinsoku w:val="0"/>
              <w:overflowPunct w:val="0"/>
              <w:spacing w:after="0" w:line="240" w:lineRule="auto"/>
              <w:ind w:left="72"/>
              <w:textAlignment w:val="baseline"/>
              <w:rPr>
                <w:rFonts w:ascii="Arial" w:eastAsia="Times New Roman" w:hAnsi="Arial" w:cs="Arial"/>
                <w:lang w:eastAsia="fr-FR"/>
              </w:rPr>
            </w:pPr>
            <w:r w:rsidRPr="00FB0B74">
              <w:rPr>
                <w:rFonts w:ascii="Calibri" w:eastAsia="Times New Roman" w:hAnsi="Calibri" w:cs="Arial"/>
                <w:i/>
                <w:iCs/>
                <w:color w:val="000000"/>
                <w:kern w:val="24"/>
                <w:lang w:eastAsia="fr-FR"/>
              </w:rPr>
              <w:t>Bruguiera gymnorrhiza</w:t>
            </w:r>
          </w:p>
        </w:tc>
        <w:tc>
          <w:tcPr>
            <w:tcW w:w="2693"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6A37DBD7" w14:textId="77777777" w:rsidR="00FB0B74" w:rsidRPr="00FB0B74" w:rsidRDefault="00FB0B74" w:rsidP="00720591">
            <w:pPr>
              <w:kinsoku w:val="0"/>
              <w:overflowPunct w:val="0"/>
              <w:spacing w:after="0" w:line="240" w:lineRule="auto"/>
              <w:ind w:left="72"/>
              <w:textAlignment w:val="baseline"/>
              <w:rPr>
                <w:rFonts w:ascii="Arial" w:eastAsia="Times New Roman" w:hAnsi="Arial" w:cs="Arial"/>
                <w:lang w:eastAsia="fr-FR"/>
              </w:rPr>
            </w:pPr>
            <w:r w:rsidRPr="00FB0B74">
              <w:rPr>
                <w:rFonts w:ascii="Calibri" w:eastAsia="Times New Roman" w:hAnsi="Calibri" w:cs="Arial"/>
                <w:color w:val="000000"/>
                <w:spacing w:val="-4"/>
                <w:kern w:val="24"/>
                <w:lang w:eastAsia="fr-FR"/>
              </w:rPr>
              <w:t>Propagule</w:t>
            </w:r>
          </w:p>
        </w:tc>
        <w:tc>
          <w:tcPr>
            <w:tcW w:w="1418"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7BF9BE8A" w14:textId="77777777" w:rsidR="00FB0B74" w:rsidRPr="00FB0B74" w:rsidRDefault="00FB0B74" w:rsidP="00720591">
            <w:pPr>
              <w:kinsoku w:val="0"/>
              <w:overflowPunct w:val="0"/>
              <w:spacing w:after="0" w:line="240" w:lineRule="auto"/>
              <w:ind w:left="72"/>
              <w:textAlignment w:val="baseline"/>
              <w:rPr>
                <w:rFonts w:ascii="Arial" w:eastAsia="Times New Roman" w:hAnsi="Arial" w:cs="Arial"/>
                <w:lang w:eastAsia="fr-FR"/>
              </w:rPr>
            </w:pPr>
            <w:r w:rsidRPr="00FB0B74">
              <w:rPr>
                <w:rFonts w:ascii="Calibri" w:eastAsia="Times New Roman" w:hAnsi="Calibri" w:cs="Arial"/>
                <w:color w:val="000000"/>
                <w:spacing w:val="1"/>
                <w:kern w:val="24"/>
                <w:lang w:eastAsia="fr-FR"/>
              </w:rPr>
              <w:t xml:space="preserve">35 </w:t>
            </w:r>
            <w:r w:rsidRPr="00FB0B74">
              <w:rPr>
                <w:rFonts w:ascii="Calibri" w:eastAsia="Times New Roman" w:hAnsi="Calibri" w:cs="Arial"/>
                <w:color w:val="000000"/>
                <w:kern w:val="24"/>
                <w:lang w:eastAsia="fr-FR"/>
              </w:rPr>
              <w:t>jours</w:t>
            </w:r>
          </w:p>
        </w:tc>
        <w:tc>
          <w:tcPr>
            <w:tcW w:w="1701"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370FA281" w14:textId="77777777" w:rsidR="00FB0B74" w:rsidRPr="00FB0B74" w:rsidRDefault="00FB0B74" w:rsidP="00720591">
            <w:pPr>
              <w:kinsoku w:val="0"/>
              <w:overflowPunct w:val="0"/>
              <w:spacing w:after="0" w:line="240" w:lineRule="auto"/>
              <w:ind w:left="72"/>
              <w:textAlignment w:val="baseline"/>
              <w:rPr>
                <w:rFonts w:ascii="Arial" w:eastAsia="Times New Roman" w:hAnsi="Arial" w:cs="Arial"/>
                <w:lang w:eastAsia="fr-FR"/>
              </w:rPr>
            </w:pPr>
            <w:r w:rsidRPr="00FB0B74">
              <w:rPr>
                <w:rFonts w:ascii="Calibri" w:eastAsia="Times New Roman" w:hAnsi="Calibri" w:cs="Arial"/>
                <w:color w:val="000000"/>
                <w:spacing w:val="-2"/>
                <w:kern w:val="24"/>
                <w:lang w:eastAsia="fr-FR"/>
              </w:rPr>
              <w:t>100</w:t>
            </w:r>
          </w:p>
        </w:tc>
        <w:tc>
          <w:tcPr>
            <w:tcW w:w="2052"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6DD9F7C4" w14:textId="77777777" w:rsidR="00FB0B74" w:rsidRPr="00FB0B74" w:rsidRDefault="00FB0B74" w:rsidP="00720591">
            <w:pPr>
              <w:kinsoku w:val="0"/>
              <w:overflowPunct w:val="0"/>
              <w:spacing w:after="0" w:line="240" w:lineRule="auto"/>
              <w:ind w:left="72"/>
              <w:textAlignment w:val="baseline"/>
              <w:rPr>
                <w:rFonts w:ascii="Arial" w:eastAsia="Times New Roman" w:hAnsi="Arial" w:cs="Arial"/>
                <w:lang w:eastAsia="fr-FR"/>
              </w:rPr>
            </w:pPr>
            <w:r w:rsidRPr="00FB0B74">
              <w:rPr>
                <w:rFonts w:ascii="Calibri" w:eastAsia="Times New Roman" w:hAnsi="Calibri" w:cs="Arial"/>
                <w:color w:val="000000"/>
                <w:kern w:val="24"/>
                <w:lang w:eastAsia="fr-FR"/>
              </w:rPr>
              <w:t>60</w:t>
            </w:r>
          </w:p>
        </w:tc>
      </w:tr>
      <w:tr w:rsidR="00720591" w:rsidRPr="00FB0B74" w14:paraId="0FABC78E" w14:textId="77777777" w:rsidTr="00720591">
        <w:trPr>
          <w:trHeight w:val="251"/>
        </w:trPr>
        <w:tc>
          <w:tcPr>
            <w:tcW w:w="2542"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3694CAEA" w14:textId="77777777" w:rsidR="00FB0B74" w:rsidRPr="00FB0B74" w:rsidRDefault="00FB0B74" w:rsidP="00720591">
            <w:pPr>
              <w:kinsoku w:val="0"/>
              <w:overflowPunct w:val="0"/>
              <w:spacing w:after="0" w:line="240" w:lineRule="auto"/>
              <w:ind w:left="72"/>
              <w:textAlignment w:val="baseline"/>
              <w:rPr>
                <w:rFonts w:ascii="Arial" w:eastAsia="Times New Roman" w:hAnsi="Arial" w:cs="Arial"/>
                <w:lang w:eastAsia="fr-FR"/>
              </w:rPr>
            </w:pPr>
            <w:r w:rsidRPr="00FB0B74">
              <w:rPr>
                <w:rFonts w:ascii="Calibri" w:eastAsia="Times New Roman" w:hAnsi="Calibri" w:cs="Arial"/>
                <w:i/>
                <w:iCs/>
                <w:color w:val="000000"/>
                <w:kern w:val="24"/>
                <w:lang w:eastAsia="fr-FR"/>
              </w:rPr>
              <w:t>Rhizophora apiculata</w:t>
            </w:r>
          </w:p>
        </w:tc>
        <w:tc>
          <w:tcPr>
            <w:tcW w:w="2693"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0539394B" w14:textId="77777777" w:rsidR="00FB0B74" w:rsidRPr="00FB0B74" w:rsidRDefault="00FB0B74" w:rsidP="00720591">
            <w:pPr>
              <w:kinsoku w:val="0"/>
              <w:overflowPunct w:val="0"/>
              <w:spacing w:after="0" w:line="240" w:lineRule="auto"/>
              <w:ind w:left="72"/>
              <w:textAlignment w:val="baseline"/>
              <w:rPr>
                <w:rFonts w:ascii="Arial" w:eastAsia="Times New Roman" w:hAnsi="Arial" w:cs="Arial"/>
                <w:lang w:eastAsia="fr-FR"/>
              </w:rPr>
            </w:pPr>
            <w:r w:rsidRPr="00FB0B74">
              <w:rPr>
                <w:rFonts w:ascii="Calibri" w:eastAsia="Times New Roman" w:hAnsi="Calibri" w:cs="Arial"/>
                <w:color w:val="000000"/>
                <w:spacing w:val="-4"/>
                <w:kern w:val="24"/>
                <w:lang w:eastAsia="fr-FR"/>
              </w:rPr>
              <w:t>Propagule</w:t>
            </w:r>
          </w:p>
        </w:tc>
        <w:tc>
          <w:tcPr>
            <w:tcW w:w="1418"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7F57B441" w14:textId="77777777" w:rsidR="00FB0B74" w:rsidRPr="00FB0B74" w:rsidRDefault="00FB0B74" w:rsidP="00720591">
            <w:pPr>
              <w:kinsoku w:val="0"/>
              <w:overflowPunct w:val="0"/>
              <w:spacing w:after="0" w:line="240" w:lineRule="auto"/>
              <w:ind w:left="72"/>
              <w:textAlignment w:val="baseline"/>
              <w:rPr>
                <w:rFonts w:ascii="Arial" w:eastAsia="Times New Roman" w:hAnsi="Arial" w:cs="Arial"/>
                <w:lang w:eastAsia="fr-FR"/>
              </w:rPr>
            </w:pPr>
            <w:r w:rsidRPr="00FB0B74">
              <w:rPr>
                <w:rFonts w:ascii="Calibri" w:eastAsia="Times New Roman" w:hAnsi="Calibri" w:cs="Arial"/>
                <w:color w:val="000000"/>
                <w:spacing w:val="2"/>
                <w:kern w:val="24"/>
                <w:lang w:eastAsia="fr-FR"/>
              </w:rPr>
              <w:t xml:space="preserve">40 </w:t>
            </w:r>
            <w:r w:rsidRPr="00FB0B74">
              <w:rPr>
                <w:rFonts w:ascii="Calibri" w:eastAsia="Times New Roman" w:hAnsi="Calibri" w:cs="Arial"/>
                <w:color w:val="000000"/>
                <w:kern w:val="24"/>
                <w:lang w:eastAsia="fr-FR"/>
              </w:rPr>
              <w:t>jours</w:t>
            </w:r>
          </w:p>
        </w:tc>
        <w:tc>
          <w:tcPr>
            <w:tcW w:w="1701"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62AB22CA" w14:textId="77777777" w:rsidR="00FB0B74" w:rsidRPr="00FB0B74" w:rsidRDefault="00FB0B74" w:rsidP="00720591">
            <w:pPr>
              <w:kinsoku w:val="0"/>
              <w:overflowPunct w:val="0"/>
              <w:spacing w:after="0" w:line="240" w:lineRule="auto"/>
              <w:ind w:left="72"/>
              <w:textAlignment w:val="baseline"/>
              <w:rPr>
                <w:rFonts w:ascii="Arial" w:eastAsia="Times New Roman" w:hAnsi="Arial" w:cs="Arial"/>
                <w:lang w:eastAsia="fr-FR"/>
              </w:rPr>
            </w:pPr>
            <w:r w:rsidRPr="00FB0B74">
              <w:rPr>
                <w:rFonts w:ascii="Calibri" w:eastAsia="Times New Roman" w:hAnsi="Calibri" w:cs="Arial"/>
                <w:color w:val="000000"/>
                <w:spacing w:val="-2"/>
                <w:kern w:val="24"/>
                <w:lang w:eastAsia="fr-FR"/>
              </w:rPr>
              <w:t>100</w:t>
            </w:r>
          </w:p>
        </w:tc>
        <w:tc>
          <w:tcPr>
            <w:tcW w:w="2052"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5A627EEA" w14:textId="77777777" w:rsidR="00FB0B74" w:rsidRPr="00FB0B74" w:rsidRDefault="00FB0B74" w:rsidP="00720591">
            <w:pPr>
              <w:kinsoku w:val="0"/>
              <w:overflowPunct w:val="0"/>
              <w:spacing w:after="0" w:line="240" w:lineRule="auto"/>
              <w:ind w:left="72"/>
              <w:textAlignment w:val="baseline"/>
              <w:rPr>
                <w:rFonts w:ascii="Arial" w:eastAsia="Times New Roman" w:hAnsi="Arial" w:cs="Arial"/>
                <w:lang w:eastAsia="fr-FR"/>
              </w:rPr>
            </w:pPr>
            <w:r w:rsidRPr="00FB0B74">
              <w:rPr>
                <w:rFonts w:ascii="Calibri" w:eastAsia="Times New Roman" w:hAnsi="Calibri" w:cs="Arial"/>
                <w:color w:val="000000"/>
                <w:kern w:val="24"/>
                <w:lang w:eastAsia="fr-FR"/>
              </w:rPr>
              <w:t>70</w:t>
            </w:r>
          </w:p>
        </w:tc>
      </w:tr>
      <w:tr w:rsidR="00720591" w:rsidRPr="00FB0B74" w14:paraId="2D940C3D" w14:textId="77777777" w:rsidTr="00720591">
        <w:trPr>
          <w:trHeight w:val="251"/>
        </w:trPr>
        <w:tc>
          <w:tcPr>
            <w:tcW w:w="2542"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4C133F51" w14:textId="77777777" w:rsidR="00FB0B74" w:rsidRPr="00FB0B74" w:rsidRDefault="00FB0B74" w:rsidP="00720591">
            <w:pPr>
              <w:kinsoku w:val="0"/>
              <w:overflowPunct w:val="0"/>
              <w:spacing w:after="0" w:line="240" w:lineRule="auto"/>
              <w:ind w:left="72"/>
              <w:textAlignment w:val="baseline"/>
              <w:rPr>
                <w:rFonts w:ascii="Arial" w:eastAsia="Times New Roman" w:hAnsi="Arial" w:cs="Arial"/>
                <w:lang w:eastAsia="fr-FR"/>
              </w:rPr>
            </w:pPr>
            <w:r w:rsidRPr="00FB0B74">
              <w:rPr>
                <w:rFonts w:ascii="Calibri" w:eastAsia="Times New Roman" w:hAnsi="Calibri" w:cs="Arial"/>
                <w:i/>
                <w:iCs/>
                <w:color w:val="000000"/>
                <w:kern w:val="24"/>
                <w:lang w:eastAsia="fr-FR"/>
              </w:rPr>
              <w:t>Rhizophora mucronata</w:t>
            </w:r>
          </w:p>
        </w:tc>
        <w:tc>
          <w:tcPr>
            <w:tcW w:w="2693"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1970F120" w14:textId="77777777" w:rsidR="00FB0B74" w:rsidRPr="00FB0B74" w:rsidRDefault="00FB0B74" w:rsidP="00720591">
            <w:pPr>
              <w:kinsoku w:val="0"/>
              <w:overflowPunct w:val="0"/>
              <w:spacing w:after="0" w:line="240" w:lineRule="auto"/>
              <w:ind w:left="72"/>
              <w:textAlignment w:val="baseline"/>
              <w:rPr>
                <w:rFonts w:ascii="Arial" w:eastAsia="Times New Roman" w:hAnsi="Arial" w:cs="Arial"/>
                <w:lang w:eastAsia="fr-FR"/>
              </w:rPr>
            </w:pPr>
            <w:r w:rsidRPr="00FB0B74">
              <w:rPr>
                <w:rFonts w:ascii="Calibri" w:eastAsia="Times New Roman" w:hAnsi="Calibri" w:cs="Arial"/>
                <w:color w:val="000000"/>
                <w:spacing w:val="-4"/>
                <w:kern w:val="24"/>
                <w:lang w:eastAsia="fr-FR"/>
              </w:rPr>
              <w:t>Propagule</w:t>
            </w:r>
          </w:p>
        </w:tc>
        <w:tc>
          <w:tcPr>
            <w:tcW w:w="1418"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1CDF2547" w14:textId="77777777" w:rsidR="00FB0B74" w:rsidRPr="00FB0B74" w:rsidRDefault="00FB0B74" w:rsidP="00720591">
            <w:pPr>
              <w:kinsoku w:val="0"/>
              <w:overflowPunct w:val="0"/>
              <w:spacing w:after="0" w:line="240" w:lineRule="auto"/>
              <w:ind w:left="72"/>
              <w:textAlignment w:val="baseline"/>
              <w:rPr>
                <w:rFonts w:ascii="Arial" w:eastAsia="Times New Roman" w:hAnsi="Arial" w:cs="Arial"/>
                <w:lang w:eastAsia="fr-FR"/>
              </w:rPr>
            </w:pPr>
            <w:r w:rsidRPr="00FB0B74">
              <w:rPr>
                <w:rFonts w:ascii="Calibri" w:eastAsia="Times New Roman" w:hAnsi="Calibri" w:cs="Arial"/>
                <w:color w:val="000000"/>
                <w:spacing w:val="2"/>
                <w:kern w:val="24"/>
                <w:lang w:eastAsia="fr-FR"/>
              </w:rPr>
              <w:t xml:space="preserve">40 </w:t>
            </w:r>
            <w:r w:rsidRPr="00FB0B74">
              <w:rPr>
                <w:rFonts w:ascii="Calibri" w:eastAsia="Times New Roman" w:hAnsi="Calibri" w:cs="Arial"/>
                <w:color w:val="000000"/>
                <w:kern w:val="24"/>
                <w:lang w:eastAsia="fr-FR"/>
              </w:rPr>
              <w:t>jours</w:t>
            </w:r>
          </w:p>
        </w:tc>
        <w:tc>
          <w:tcPr>
            <w:tcW w:w="1701"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37A5E7AA" w14:textId="77777777" w:rsidR="00FB0B74" w:rsidRPr="00FB0B74" w:rsidRDefault="00FB0B74" w:rsidP="00720591">
            <w:pPr>
              <w:kinsoku w:val="0"/>
              <w:overflowPunct w:val="0"/>
              <w:spacing w:after="0" w:line="240" w:lineRule="auto"/>
              <w:ind w:left="72"/>
              <w:textAlignment w:val="baseline"/>
              <w:rPr>
                <w:rFonts w:ascii="Arial" w:eastAsia="Times New Roman" w:hAnsi="Arial" w:cs="Arial"/>
                <w:lang w:eastAsia="fr-FR"/>
              </w:rPr>
            </w:pPr>
            <w:r w:rsidRPr="00FB0B74">
              <w:rPr>
                <w:rFonts w:ascii="Calibri" w:eastAsia="Times New Roman" w:hAnsi="Calibri" w:cs="Arial"/>
                <w:color w:val="000000"/>
                <w:spacing w:val="-2"/>
                <w:kern w:val="24"/>
                <w:lang w:eastAsia="fr-FR"/>
              </w:rPr>
              <w:t>100</w:t>
            </w:r>
          </w:p>
        </w:tc>
        <w:tc>
          <w:tcPr>
            <w:tcW w:w="2052"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72B53A8C" w14:textId="77777777" w:rsidR="00FB0B74" w:rsidRPr="00FB0B74" w:rsidRDefault="00FB0B74" w:rsidP="00720591">
            <w:pPr>
              <w:kinsoku w:val="0"/>
              <w:overflowPunct w:val="0"/>
              <w:spacing w:after="0" w:line="240" w:lineRule="auto"/>
              <w:ind w:left="72"/>
              <w:textAlignment w:val="baseline"/>
              <w:rPr>
                <w:rFonts w:ascii="Arial" w:eastAsia="Times New Roman" w:hAnsi="Arial" w:cs="Arial"/>
                <w:lang w:eastAsia="fr-FR"/>
              </w:rPr>
            </w:pPr>
            <w:r w:rsidRPr="00FB0B74">
              <w:rPr>
                <w:rFonts w:ascii="Calibri" w:eastAsia="Times New Roman" w:hAnsi="Calibri" w:cs="Arial"/>
                <w:color w:val="000000"/>
                <w:kern w:val="24"/>
                <w:lang w:eastAsia="fr-FR"/>
              </w:rPr>
              <w:t>80</w:t>
            </w:r>
          </w:p>
        </w:tc>
      </w:tr>
    </w:tbl>
    <w:p w14:paraId="709FAD95" w14:textId="0DABE885" w:rsidR="00FB0B74" w:rsidRDefault="00720591" w:rsidP="00720591">
      <w:pPr>
        <w:spacing w:after="0" w:line="240" w:lineRule="auto"/>
        <w:jc w:val="center"/>
      </w:pPr>
      <w:r w:rsidRPr="00720591">
        <w:t>Détails d'espèces de palétuviers à suivre pour une meilleure survie</w:t>
      </w:r>
      <w:r>
        <w:t>.</w:t>
      </w:r>
    </w:p>
    <w:p w14:paraId="1703E6DF" w14:textId="1F508A65" w:rsidR="00720591" w:rsidRDefault="00720591" w:rsidP="00FA1F05">
      <w:pPr>
        <w:spacing w:after="0" w:line="240" w:lineRule="auto"/>
      </w:pPr>
    </w:p>
    <w:p w14:paraId="6FDA008E" w14:textId="5E615F73" w:rsidR="00FA1F05" w:rsidRDefault="00FA1F05" w:rsidP="00FA1F05">
      <w:pPr>
        <w:spacing w:after="0" w:line="240" w:lineRule="auto"/>
        <w:jc w:val="center"/>
      </w:pPr>
      <w:r>
        <w:rPr>
          <w:noProof/>
        </w:rPr>
        <w:lastRenderedPageBreak/>
        <w:drawing>
          <wp:inline distT="0" distB="0" distL="0" distR="0" wp14:anchorId="47F62EBD" wp14:editId="757F6929">
            <wp:extent cx="5505450" cy="6205384"/>
            <wp:effectExtent l="0" t="0" r="0" b="508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62">
                      <a:extLst>
                        <a:ext uri="{28A0092B-C50C-407E-A947-70E740481C1C}">
                          <a14:useLocalDpi xmlns:a14="http://schemas.microsoft.com/office/drawing/2010/main" val="0"/>
                        </a:ext>
                      </a:extLst>
                    </a:blip>
                    <a:srcRect/>
                    <a:stretch>
                      <a:fillRect/>
                    </a:stretch>
                  </pic:blipFill>
                  <pic:spPr bwMode="auto">
                    <a:xfrm>
                      <a:off x="0" y="0"/>
                      <a:ext cx="5506895" cy="6207013"/>
                    </a:xfrm>
                    <a:prstGeom prst="rect">
                      <a:avLst/>
                    </a:prstGeom>
                    <a:noFill/>
                    <a:ln>
                      <a:noFill/>
                    </a:ln>
                  </pic:spPr>
                </pic:pic>
              </a:graphicData>
            </a:graphic>
          </wp:inline>
        </w:drawing>
      </w:r>
    </w:p>
    <w:p w14:paraId="0B3B4308" w14:textId="7883A2A8" w:rsidR="00720591" w:rsidRDefault="00720591" w:rsidP="00FA1F05">
      <w:pPr>
        <w:spacing w:after="0" w:line="240" w:lineRule="auto"/>
        <w:jc w:val="center"/>
      </w:pPr>
      <w:r w:rsidRPr="00720591">
        <w:t>Actions pour la préparation de la pépinière</w:t>
      </w:r>
      <w:r>
        <w:t xml:space="preserve"> </w:t>
      </w:r>
      <w:r w:rsidRPr="00720591">
        <w:t>(les périodes indiquées sont adaptée à l’Inde)</w:t>
      </w:r>
      <w:r>
        <w:t>.</w:t>
      </w:r>
    </w:p>
    <w:p w14:paraId="643CDA86" w14:textId="54DB2D49" w:rsidR="00473390" w:rsidRDefault="00473390">
      <w:r>
        <w:br w:type="page"/>
      </w:r>
    </w:p>
    <w:p w14:paraId="7765302B" w14:textId="77777777" w:rsidR="00720591" w:rsidRDefault="00720591" w:rsidP="00FB0B74">
      <w:pPr>
        <w:spacing w:after="0" w:line="240" w:lineRule="auto"/>
        <w:jc w:val="both"/>
      </w:pPr>
    </w:p>
    <w:tbl>
      <w:tblPr>
        <w:tblW w:w="0" w:type="auto"/>
        <w:tblCellMar>
          <w:left w:w="0" w:type="dxa"/>
          <w:right w:w="0" w:type="dxa"/>
        </w:tblCellMar>
        <w:tblLook w:val="0600" w:firstRow="0" w:lastRow="0" w:firstColumn="0" w:lastColumn="0" w:noHBand="1" w:noVBand="1"/>
      </w:tblPr>
      <w:tblGrid>
        <w:gridCol w:w="2937"/>
        <w:gridCol w:w="2686"/>
        <w:gridCol w:w="1930"/>
        <w:gridCol w:w="2710"/>
      </w:tblGrid>
      <w:tr w:rsidR="007272C1" w:rsidRPr="007272C1" w14:paraId="05208A77" w14:textId="77777777" w:rsidTr="007272C1">
        <w:trPr>
          <w:trHeight w:val="454"/>
        </w:trPr>
        <w:tc>
          <w:tcPr>
            <w:tcW w:w="0" w:type="auto"/>
            <w:tcBorders>
              <w:top w:val="single" w:sz="8" w:space="0" w:color="000000"/>
              <w:left w:val="single" w:sz="8" w:space="0" w:color="000000"/>
              <w:bottom w:val="single" w:sz="8" w:space="0" w:color="000000"/>
              <w:right w:val="single" w:sz="8" w:space="0" w:color="000000"/>
            </w:tcBorders>
            <w:shd w:val="clear" w:color="auto" w:fill="BDD7EE"/>
            <w:tcMar>
              <w:top w:w="15" w:type="dxa"/>
              <w:left w:w="15" w:type="dxa"/>
              <w:bottom w:w="0" w:type="dxa"/>
              <w:right w:w="15" w:type="dxa"/>
            </w:tcMar>
            <w:vAlign w:val="center"/>
            <w:hideMark/>
          </w:tcPr>
          <w:p w14:paraId="6131D707" w14:textId="77777777" w:rsidR="007272C1" w:rsidRPr="007272C1" w:rsidRDefault="007272C1" w:rsidP="007272C1">
            <w:pPr>
              <w:kinsoku w:val="0"/>
              <w:overflowPunct w:val="0"/>
              <w:spacing w:after="0" w:line="240" w:lineRule="auto"/>
              <w:jc w:val="center"/>
              <w:textAlignment w:val="baseline"/>
              <w:rPr>
                <w:rFonts w:ascii="Arial" w:eastAsia="Times New Roman" w:hAnsi="Arial" w:cs="Arial"/>
                <w:lang w:eastAsia="fr-FR"/>
              </w:rPr>
            </w:pPr>
            <w:r w:rsidRPr="007272C1">
              <w:rPr>
                <w:rFonts w:ascii="Calibri" w:eastAsia="Times New Roman" w:hAnsi="Calibri" w:cs="Arial"/>
                <w:color w:val="000000"/>
                <w:kern w:val="24"/>
                <w:lang w:eastAsia="fr-FR"/>
              </w:rPr>
              <w:t>Nom du VLI et du Village</w:t>
            </w:r>
          </w:p>
        </w:tc>
        <w:tc>
          <w:tcPr>
            <w:tcW w:w="0" w:type="auto"/>
            <w:tcBorders>
              <w:top w:val="single" w:sz="8" w:space="0" w:color="000000"/>
              <w:left w:val="single" w:sz="8" w:space="0" w:color="000000"/>
              <w:bottom w:val="single" w:sz="8" w:space="0" w:color="000000"/>
              <w:right w:val="single" w:sz="8" w:space="0" w:color="000000"/>
            </w:tcBorders>
            <w:shd w:val="clear" w:color="auto" w:fill="BDD7EE"/>
            <w:tcMar>
              <w:top w:w="15" w:type="dxa"/>
              <w:left w:w="15" w:type="dxa"/>
              <w:bottom w:w="0" w:type="dxa"/>
              <w:right w:w="15" w:type="dxa"/>
            </w:tcMar>
            <w:vAlign w:val="center"/>
            <w:hideMark/>
          </w:tcPr>
          <w:p w14:paraId="50131024" w14:textId="77777777" w:rsidR="007272C1" w:rsidRPr="007272C1" w:rsidRDefault="007272C1" w:rsidP="007272C1">
            <w:pPr>
              <w:kinsoku w:val="0"/>
              <w:overflowPunct w:val="0"/>
              <w:spacing w:after="0" w:line="240" w:lineRule="auto"/>
              <w:jc w:val="center"/>
              <w:textAlignment w:val="baseline"/>
              <w:rPr>
                <w:rFonts w:ascii="Arial" w:eastAsia="Times New Roman" w:hAnsi="Arial" w:cs="Arial"/>
                <w:lang w:eastAsia="fr-FR"/>
              </w:rPr>
            </w:pPr>
            <w:r w:rsidRPr="007272C1">
              <w:rPr>
                <w:rFonts w:ascii="Calibri" w:eastAsia="Times New Roman" w:hAnsi="Calibri" w:cs="Arial"/>
                <w:color w:val="000000"/>
                <w:spacing w:val="-1"/>
                <w:kern w:val="24"/>
                <w:lang w:eastAsia="fr-FR"/>
              </w:rPr>
              <w:t>Espèces cultivée</w:t>
            </w:r>
          </w:p>
        </w:tc>
        <w:tc>
          <w:tcPr>
            <w:tcW w:w="0" w:type="auto"/>
            <w:tcBorders>
              <w:top w:val="single" w:sz="8" w:space="0" w:color="000000"/>
              <w:left w:val="single" w:sz="8" w:space="0" w:color="000000"/>
              <w:bottom w:val="single" w:sz="8" w:space="0" w:color="000000"/>
              <w:right w:val="single" w:sz="8" w:space="0" w:color="000000"/>
            </w:tcBorders>
            <w:shd w:val="clear" w:color="auto" w:fill="BDD7EE"/>
            <w:tcMar>
              <w:top w:w="15" w:type="dxa"/>
              <w:left w:w="15" w:type="dxa"/>
              <w:bottom w:w="0" w:type="dxa"/>
              <w:right w:w="15" w:type="dxa"/>
            </w:tcMar>
            <w:vAlign w:val="center"/>
            <w:hideMark/>
          </w:tcPr>
          <w:p w14:paraId="065F24CD" w14:textId="77777777" w:rsidR="007272C1" w:rsidRPr="007272C1" w:rsidRDefault="007272C1" w:rsidP="007272C1">
            <w:pPr>
              <w:kinsoku w:val="0"/>
              <w:overflowPunct w:val="0"/>
              <w:spacing w:after="0" w:line="240" w:lineRule="auto"/>
              <w:jc w:val="center"/>
              <w:textAlignment w:val="baseline"/>
              <w:rPr>
                <w:rFonts w:ascii="Arial" w:eastAsia="Times New Roman" w:hAnsi="Arial" w:cs="Arial"/>
                <w:lang w:eastAsia="fr-FR"/>
              </w:rPr>
            </w:pPr>
            <w:r w:rsidRPr="007272C1">
              <w:rPr>
                <w:rFonts w:ascii="Calibri" w:eastAsia="Times New Roman" w:hAnsi="Calibri" w:cs="Arial"/>
                <w:color w:val="000000"/>
                <w:kern w:val="24"/>
                <w:lang w:eastAsia="fr-FR"/>
              </w:rPr>
              <w:t>Nombre de plants (+)</w:t>
            </w:r>
          </w:p>
        </w:tc>
        <w:tc>
          <w:tcPr>
            <w:tcW w:w="0" w:type="auto"/>
            <w:tcBorders>
              <w:top w:val="single" w:sz="8" w:space="0" w:color="000000"/>
              <w:left w:val="single" w:sz="8" w:space="0" w:color="000000"/>
              <w:bottom w:val="single" w:sz="8" w:space="0" w:color="000000"/>
              <w:right w:val="single" w:sz="8" w:space="0" w:color="000000"/>
            </w:tcBorders>
            <w:shd w:val="clear" w:color="auto" w:fill="BDD7EE"/>
            <w:tcMar>
              <w:top w:w="15" w:type="dxa"/>
              <w:left w:w="15" w:type="dxa"/>
              <w:bottom w:w="0" w:type="dxa"/>
              <w:right w:w="15" w:type="dxa"/>
            </w:tcMar>
            <w:vAlign w:val="center"/>
            <w:hideMark/>
          </w:tcPr>
          <w:p w14:paraId="0B137949" w14:textId="77777777" w:rsidR="007272C1" w:rsidRPr="007272C1" w:rsidRDefault="007272C1" w:rsidP="007272C1">
            <w:pPr>
              <w:kinsoku w:val="0"/>
              <w:overflowPunct w:val="0"/>
              <w:spacing w:after="0" w:line="240" w:lineRule="auto"/>
              <w:jc w:val="center"/>
              <w:textAlignment w:val="baseline"/>
              <w:rPr>
                <w:rFonts w:ascii="Arial" w:eastAsia="Times New Roman" w:hAnsi="Arial" w:cs="Arial"/>
                <w:lang w:eastAsia="fr-FR"/>
              </w:rPr>
            </w:pPr>
            <w:r w:rsidRPr="007272C1">
              <w:rPr>
                <w:rFonts w:ascii="Calibri" w:eastAsia="Times New Roman" w:hAnsi="Calibri" w:cs="Arial"/>
                <w:color w:val="000000"/>
                <w:kern w:val="24"/>
                <w:lang w:eastAsia="fr-FR"/>
              </w:rPr>
              <w:t>Revenus pour la communauté</w:t>
            </w:r>
          </w:p>
        </w:tc>
      </w:tr>
      <w:tr w:rsidR="007272C1" w:rsidRPr="007272C1" w14:paraId="6BBDE90B" w14:textId="77777777" w:rsidTr="007272C1">
        <w:trPr>
          <w:trHeight w:val="363"/>
        </w:trPr>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4C6C9966" w14:textId="77777777" w:rsidR="007272C1" w:rsidRPr="007272C1" w:rsidRDefault="007272C1" w:rsidP="007272C1">
            <w:pPr>
              <w:kinsoku w:val="0"/>
              <w:overflowPunct w:val="0"/>
              <w:spacing w:after="0" w:line="240" w:lineRule="auto"/>
              <w:jc w:val="center"/>
              <w:textAlignment w:val="baseline"/>
              <w:rPr>
                <w:rFonts w:ascii="Arial" w:eastAsia="Times New Roman" w:hAnsi="Arial" w:cs="Arial"/>
                <w:lang w:eastAsia="fr-FR"/>
              </w:rPr>
            </w:pPr>
            <w:r w:rsidRPr="007272C1">
              <w:rPr>
                <w:rFonts w:ascii="Calibri" w:eastAsia="Times New Roman" w:hAnsi="Calibri" w:cs="Arial"/>
                <w:color w:val="000000"/>
                <w:kern w:val="24"/>
                <w:lang w:eastAsia="fr-FR"/>
              </w:rPr>
              <w:t>Sri Vigneswara EDC, Matlapalem</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7D45B14C" w14:textId="77777777" w:rsidR="007272C1" w:rsidRPr="007272C1" w:rsidRDefault="007272C1" w:rsidP="007272C1">
            <w:pPr>
              <w:kinsoku w:val="0"/>
              <w:overflowPunct w:val="0"/>
              <w:spacing w:after="0" w:line="240" w:lineRule="auto"/>
              <w:ind w:right="792"/>
              <w:jc w:val="center"/>
              <w:textAlignment w:val="baseline"/>
              <w:rPr>
                <w:rFonts w:ascii="Arial" w:eastAsia="Times New Roman" w:hAnsi="Arial" w:cs="Arial"/>
                <w:lang w:eastAsia="fr-FR"/>
              </w:rPr>
            </w:pPr>
            <w:r w:rsidRPr="007272C1">
              <w:rPr>
                <w:rFonts w:ascii="Calibri" w:eastAsia="Times New Roman" w:hAnsi="Calibri" w:cs="Arial"/>
                <w:i/>
                <w:iCs/>
                <w:color w:val="000000"/>
                <w:spacing w:val="-3"/>
                <w:kern w:val="24"/>
                <w:lang w:eastAsia="fr-FR"/>
              </w:rPr>
              <w:t>Excoecaria  agallocha</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75AFA93E" w14:textId="77777777" w:rsidR="007272C1" w:rsidRPr="007272C1" w:rsidRDefault="007272C1" w:rsidP="007272C1">
            <w:pPr>
              <w:tabs>
                <w:tab w:val="decimal" w:pos="504"/>
              </w:tabs>
              <w:kinsoku w:val="0"/>
              <w:overflowPunct w:val="0"/>
              <w:spacing w:after="0" w:line="240" w:lineRule="auto"/>
              <w:jc w:val="center"/>
              <w:textAlignment w:val="baseline"/>
              <w:rPr>
                <w:rFonts w:ascii="Arial" w:eastAsia="Times New Roman" w:hAnsi="Arial" w:cs="Arial"/>
                <w:lang w:eastAsia="fr-FR"/>
              </w:rPr>
            </w:pPr>
            <w:r w:rsidRPr="007272C1">
              <w:rPr>
                <w:rFonts w:ascii="Calibri" w:eastAsia="Times New Roman" w:hAnsi="Calibri" w:cs="Arial"/>
                <w:color w:val="000000"/>
                <w:spacing w:val="-4"/>
                <w:kern w:val="24"/>
                <w:lang w:eastAsia="fr-FR"/>
              </w:rPr>
              <w:t>12,000</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6EFC9A72" w14:textId="77777777" w:rsidR="007272C1" w:rsidRPr="007272C1" w:rsidRDefault="007272C1" w:rsidP="007272C1">
            <w:pPr>
              <w:kinsoku w:val="0"/>
              <w:overflowPunct w:val="0"/>
              <w:spacing w:after="0" w:line="240" w:lineRule="auto"/>
              <w:ind w:right="115"/>
              <w:jc w:val="center"/>
              <w:textAlignment w:val="baseline"/>
              <w:rPr>
                <w:rFonts w:ascii="Arial" w:eastAsia="Times New Roman" w:hAnsi="Arial" w:cs="Arial"/>
                <w:lang w:eastAsia="fr-FR"/>
              </w:rPr>
            </w:pPr>
            <w:r w:rsidRPr="007272C1">
              <w:rPr>
                <w:rFonts w:ascii="Calibri" w:eastAsia="Times New Roman" w:hAnsi="Calibri" w:cs="Arial"/>
                <w:color w:val="000000"/>
                <w:spacing w:val="-1"/>
                <w:kern w:val="24"/>
                <w:lang w:eastAsia="fr-FR"/>
              </w:rPr>
              <w:t>Rs. 12,000</w:t>
            </w:r>
          </w:p>
        </w:tc>
      </w:tr>
      <w:tr w:rsidR="007272C1" w:rsidRPr="007272C1" w14:paraId="0A7DF9EB" w14:textId="77777777" w:rsidTr="007272C1">
        <w:trPr>
          <w:trHeight w:val="281"/>
        </w:trPr>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6FA23EE8" w14:textId="77777777" w:rsidR="007272C1" w:rsidRPr="007272C1" w:rsidRDefault="007272C1" w:rsidP="007272C1">
            <w:pPr>
              <w:kinsoku w:val="0"/>
              <w:overflowPunct w:val="0"/>
              <w:spacing w:after="0" w:line="240" w:lineRule="auto"/>
              <w:jc w:val="center"/>
              <w:textAlignment w:val="baseline"/>
              <w:rPr>
                <w:rFonts w:ascii="Arial" w:eastAsia="Times New Roman" w:hAnsi="Arial" w:cs="Arial"/>
                <w:lang w:eastAsia="fr-FR"/>
              </w:rPr>
            </w:pPr>
            <w:r w:rsidRPr="007272C1">
              <w:rPr>
                <w:rFonts w:ascii="Calibri" w:eastAsia="Times New Roman" w:hAnsi="Calibri" w:cs="Arial"/>
                <w:color w:val="000000"/>
                <w:spacing w:val="-1"/>
                <w:kern w:val="24"/>
                <w:lang w:eastAsia="fr-FR"/>
              </w:rPr>
              <w:t>Dr. B.R. Ambedkar VSS,</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3E544A7C" w14:textId="77777777" w:rsidR="007272C1" w:rsidRPr="007272C1" w:rsidRDefault="007272C1" w:rsidP="007272C1">
            <w:pPr>
              <w:kinsoku w:val="0"/>
              <w:overflowPunct w:val="0"/>
              <w:spacing w:after="0" w:line="240" w:lineRule="auto"/>
              <w:jc w:val="center"/>
              <w:textAlignment w:val="baseline"/>
              <w:rPr>
                <w:rFonts w:ascii="Arial" w:eastAsia="Times New Roman" w:hAnsi="Arial" w:cs="Arial"/>
                <w:lang w:eastAsia="fr-FR"/>
              </w:rPr>
            </w:pPr>
            <w:r w:rsidRPr="007272C1">
              <w:rPr>
                <w:rFonts w:ascii="Calibri" w:eastAsia="Times New Roman" w:hAnsi="Calibri" w:cs="Arial"/>
                <w:i/>
                <w:iCs/>
                <w:color w:val="000000"/>
                <w:kern w:val="24"/>
                <w:lang w:eastAsia="fr-FR"/>
              </w:rPr>
              <w:t>Avicennia officinalis</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42BA48CB" w14:textId="77777777" w:rsidR="007272C1" w:rsidRPr="007272C1" w:rsidRDefault="007272C1" w:rsidP="007272C1">
            <w:pPr>
              <w:tabs>
                <w:tab w:val="decimal" w:pos="504"/>
              </w:tabs>
              <w:kinsoku w:val="0"/>
              <w:overflowPunct w:val="0"/>
              <w:spacing w:after="0" w:line="240" w:lineRule="auto"/>
              <w:jc w:val="center"/>
              <w:textAlignment w:val="baseline"/>
              <w:rPr>
                <w:rFonts w:ascii="Arial" w:eastAsia="Times New Roman" w:hAnsi="Arial" w:cs="Arial"/>
                <w:lang w:eastAsia="fr-FR"/>
              </w:rPr>
            </w:pPr>
            <w:r w:rsidRPr="007272C1">
              <w:rPr>
                <w:rFonts w:ascii="Calibri" w:eastAsia="Times New Roman" w:hAnsi="Calibri" w:cs="Arial"/>
                <w:color w:val="000000"/>
                <w:spacing w:val="-5"/>
                <w:kern w:val="24"/>
                <w:lang w:eastAsia="fr-FR"/>
              </w:rPr>
              <w:t>1,000</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7F87741A" w14:textId="77777777" w:rsidR="007272C1" w:rsidRPr="007272C1" w:rsidRDefault="007272C1" w:rsidP="007272C1">
            <w:pPr>
              <w:kinsoku w:val="0"/>
              <w:overflowPunct w:val="0"/>
              <w:spacing w:after="0" w:line="240" w:lineRule="auto"/>
              <w:ind w:right="115"/>
              <w:jc w:val="center"/>
              <w:textAlignment w:val="baseline"/>
              <w:rPr>
                <w:rFonts w:ascii="Arial" w:eastAsia="Times New Roman" w:hAnsi="Arial" w:cs="Arial"/>
                <w:lang w:eastAsia="fr-FR"/>
              </w:rPr>
            </w:pPr>
            <w:r w:rsidRPr="007272C1">
              <w:rPr>
                <w:rFonts w:ascii="Calibri" w:eastAsia="Times New Roman" w:hAnsi="Calibri" w:cs="Arial"/>
                <w:color w:val="000000"/>
                <w:spacing w:val="-2"/>
                <w:kern w:val="24"/>
                <w:lang w:eastAsia="fr-FR"/>
              </w:rPr>
              <w:t>Rs. 3,000</w:t>
            </w:r>
          </w:p>
        </w:tc>
      </w:tr>
      <w:tr w:rsidR="007272C1" w:rsidRPr="007272C1" w14:paraId="7AB2C0D9" w14:textId="77777777" w:rsidTr="007272C1">
        <w:trPr>
          <w:trHeight w:val="244"/>
        </w:trPr>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1DE95236" w14:textId="77777777" w:rsidR="007272C1" w:rsidRPr="007272C1" w:rsidRDefault="007272C1" w:rsidP="007272C1">
            <w:pPr>
              <w:kinsoku w:val="0"/>
              <w:overflowPunct w:val="0"/>
              <w:spacing w:after="0" w:line="240" w:lineRule="auto"/>
              <w:jc w:val="center"/>
              <w:textAlignment w:val="baseline"/>
              <w:rPr>
                <w:rFonts w:ascii="Arial" w:eastAsia="Times New Roman" w:hAnsi="Arial" w:cs="Arial"/>
                <w:lang w:eastAsia="fr-FR"/>
              </w:rPr>
            </w:pPr>
            <w:r w:rsidRPr="007272C1">
              <w:rPr>
                <w:rFonts w:ascii="Calibri" w:eastAsia="Times New Roman" w:hAnsi="Calibri" w:cs="Arial"/>
                <w:color w:val="000000"/>
                <w:spacing w:val="-1"/>
                <w:kern w:val="24"/>
                <w:lang w:eastAsia="fr-FR"/>
              </w:rPr>
              <w:t>Bhairavalanka</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1B03B10B" w14:textId="77777777" w:rsidR="007272C1" w:rsidRPr="007272C1" w:rsidRDefault="007272C1" w:rsidP="007272C1">
            <w:pPr>
              <w:kinsoku w:val="0"/>
              <w:overflowPunct w:val="0"/>
              <w:spacing w:after="0" w:line="240" w:lineRule="auto"/>
              <w:jc w:val="center"/>
              <w:textAlignment w:val="baseline"/>
              <w:rPr>
                <w:rFonts w:ascii="Arial" w:eastAsia="Times New Roman" w:hAnsi="Arial" w:cs="Arial"/>
                <w:lang w:eastAsia="fr-FR"/>
              </w:rPr>
            </w:pPr>
            <w:r w:rsidRPr="007272C1">
              <w:rPr>
                <w:rFonts w:ascii="Calibri" w:eastAsia="Times New Roman" w:hAnsi="Calibri" w:cs="Arial"/>
                <w:i/>
                <w:iCs/>
                <w:color w:val="000000"/>
                <w:kern w:val="24"/>
                <w:lang w:eastAsia="fr-FR"/>
              </w:rPr>
              <w:t>Avicennia marina</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77ABBB26" w14:textId="77777777" w:rsidR="007272C1" w:rsidRPr="007272C1" w:rsidRDefault="007272C1" w:rsidP="007272C1">
            <w:pPr>
              <w:tabs>
                <w:tab w:val="decimal" w:pos="504"/>
              </w:tabs>
              <w:kinsoku w:val="0"/>
              <w:overflowPunct w:val="0"/>
              <w:spacing w:after="0" w:line="240" w:lineRule="auto"/>
              <w:jc w:val="center"/>
              <w:textAlignment w:val="baseline"/>
              <w:rPr>
                <w:rFonts w:ascii="Arial" w:eastAsia="Times New Roman" w:hAnsi="Arial" w:cs="Arial"/>
                <w:lang w:eastAsia="fr-FR"/>
              </w:rPr>
            </w:pPr>
            <w:r w:rsidRPr="007272C1">
              <w:rPr>
                <w:rFonts w:ascii="Calibri" w:eastAsia="Times New Roman" w:hAnsi="Calibri" w:cs="Arial"/>
                <w:color w:val="000000"/>
                <w:spacing w:val="-2"/>
                <w:kern w:val="24"/>
                <w:lang w:eastAsia="fr-FR"/>
              </w:rPr>
              <w:t>2,000</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12379DF0" w14:textId="77777777" w:rsidR="007272C1" w:rsidRPr="007272C1" w:rsidRDefault="007272C1" w:rsidP="007272C1">
            <w:pPr>
              <w:kinsoku w:val="0"/>
              <w:overflowPunct w:val="0"/>
              <w:spacing w:after="0" w:line="240" w:lineRule="auto"/>
              <w:jc w:val="center"/>
              <w:textAlignment w:val="baseline"/>
              <w:rPr>
                <w:rFonts w:ascii="Arial" w:eastAsia="Times New Roman" w:hAnsi="Arial" w:cs="Arial"/>
                <w:lang w:eastAsia="fr-FR"/>
              </w:rPr>
            </w:pPr>
            <w:r w:rsidRPr="007272C1">
              <w:rPr>
                <w:rFonts w:ascii="Calibri" w:eastAsia="Times New Roman" w:hAnsi="Calibri" w:cs="Arial"/>
                <w:color w:val="000000"/>
                <w:kern w:val="24"/>
                <w:lang w:eastAsia="fr-FR"/>
              </w:rPr>
              <w:t> </w:t>
            </w:r>
          </w:p>
        </w:tc>
      </w:tr>
      <w:tr w:rsidR="007272C1" w:rsidRPr="007272C1" w14:paraId="452FC154" w14:textId="77777777" w:rsidTr="007272C1">
        <w:trPr>
          <w:trHeight w:val="234"/>
        </w:trPr>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369D3BAB" w14:textId="77777777" w:rsidR="007272C1" w:rsidRPr="007272C1" w:rsidRDefault="007272C1" w:rsidP="007272C1">
            <w:pPr>
              <w:kinsoku w:val="0"/>
              <w:overflowPunct w:val="0"/>
              <w:spacing w:after="0" w:line="240" w:lineRule="auto"/>
              <w:jc w:val="center"/>
              <w:textAlignment w:val="baseline"/>
              <w:rPr>
                <w:rFonts w:ascii="Arial" w:eastAsia="Times New Roman" w:hAnsi="Arial" w:cs="Arial"/>
                <w:lang w:eastAsia="fr-FR"/>
              </w:rPr>
            </w:pPr>
            <w:r w:rsidRPr="007272C1">
              <w:rPr>
                <w:rFonts w:ascii="Calibri" w:eastAsia="Times New Roman" w:hAnsi="Calibri" w:cs="Arial"/>
                <w:color w:val="000000"/>
                <w:spacing w:val="-1"/>
                <w:kern w:val="24"/>
                <w:lang w:eastAsia="fr-FR"/>
              </w:rPr>
              <w:t>Dheenadayaljee EDC,</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4906EC42" w14:textId="77777777" w:rsidR="007272C1" w:rsidRPr="007272C1" w:rsidRDefault="007272C1" w:rsidP="007272C1">
            <w:pPr>
              <w:kinsoku w:val="0"/>
              <w:overflowPunct w:val="0"/>
              <w:spacing w:after="0" w:line="240" w:lineRule="auto"/>
              <w:jc w:val="center"/>
              <w:textAlignment w:val="baseline"/>
              <w:rPr>
                <w:rFonts w:ascii="Arial" w:eastAsia="Times New Roman" w:hAnsi="Arial" w:cs="Arial"/>
                <w:lang w:eastAsia="fr-FR"/>
              </w:rPr>
            </w:pPr>
            <w:r w:rsidRPr="007272C1">
              <w:rPr>
                <w:rFonts w:ascii="Calibri" w:eastAsia="Times New Roman" w:hAnsi="Calibri" w:cs="Arial"/>
                <w:i/>
                <w:iCs/>
                <w:color w:val="000000"/>
                <w:kern w:val="24"/>
                <w:lang w:eastAsia="fr-FR"/>
              </w:rPr>
              <w:t>Avicennia officinalis</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29A2715A" w14:textId="77777777" w:rsidR="007272C1" w:rsidRPr="007272C1" w:rsidRDefault="007272C1" w:rsidP="007272C1">
            <w:pPr>
              <w:tabs>
                <w:tab w:val="decimal" w:pos="504"/>
              </w:tabs>
              <w:kinsoku w:val="0"/>
              <w:overflowPunct w:val="0"/>
              <w:spacing w:after="0" w:line="240" w:lineRule="auto"/>
              <w:jc w:val="center"/>
              <w:textAlignment w:val="baseline"/>
              <w:rPr>
                <w:rFonts w:ascii="Arial" w:eastAsia="Times New Roman" w:hAnsi="Arial" w:cs="Arial"/>
                <w:lang w:eastAsia="fr-FR"/>
              </w:rPr>
            </w:pPr>
            <w:r w:rsidRPr="007272C1">
              <w:rPr>
                <w:rFonts w:ascii="Calibri" w:eastAsia="Times New Roman" w:hAnsi="Calibri" w:cs="Arial"/>
                <w:color w:val="000000"/>
                <w:spacing w:val="-2"/>
                <w:kern w:val="24"/>
                <w:lang w:eastAsia="fr-FR"/>
              </w:rPr>
              <w:t>60,000</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57E34736" w14:textId="77777777" w:rsidR="007272C1" w:rsidRPr="007272C1" w:rsidRDefault="007272C1" w:rsidP="007272C1">
            <w:pPr>
              <w:kinsoku w:val="0"/>
              <w:overflowPunct w:val="0"/>
              <w:spacing w:after="0" w:line="240" w:lineRule="auto"/>
              <w:ind w:right="115"/>
              <w:jc w:val="center"/>
              <w:textAlignment w:val="baseline"/>
              <w:rPr>
                <w:rFonts w:ascii="Arial" w:eastAsia="Times New Roman" w:hAnsi="Arial" w:cs="Arial"/>
                <w:lang w:eastAsia="fr-FR"/>
              </w:rPr>
            </w:pPr>
            <w:r w:rsidRPr="007272C1">
              <w:rPr>
                <w:rFonts w:ascii="Calibri" w:eastAsia="Times New Roman" w:hAnsi="Calibri" w:cs="Arial"/>
                <w:color w:val="000000"/>
                <w:spacing w:val="-1"/>
                <w:kern w:val="24"/>
                <w:lang w:eastAsia="fr-FR"/>
              </w:rPr>
              <w:t>Rs. 2,00,000</w:t>
            </w:r>
          </w:p>
        </w:tc>
      </w:tr>
      <w:tr w:rsidR="007272C1" w:rsidRPr="007272C1" w14:paraId="2770563E" w14:textId="77777777" w:rsidTr="00473390">
        <w:trPr>
          <w:trHeight w:val="294"/>
        </w:trPr>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54187DC5" w14:textId="77777777" w:rsidR="007272C1" w:rsidRPr="007272C1" w:rsidRDefault="007272C1" w:rsidP="007272C1">
            <w:pPr>
              <w:kinsoku w:val="0"/>
              <w:overflowPunct w:val="0"/>
              <w:spacing w:after="0" w:line="240" w:lineRule="auto"/>
              <w:jc w:val="center"/>
              <w:textAlignment w:val="baseline"/>
              <w:rPr>
                <w:rFonts w:ascii="Arial" w:eastAsia="Times New Roman" w:hAnsi="Arial" w:cs="Arial"/>
                <w:lang w:eastAsia="fr-FR"/>
              </w:rPr>
            </w:pPr>
            <w:r w:rsidRPr="007272C1">
              <w:rPr>
                <w:rFonts w:ascii="Calibri" w:eastAsia="Times New Roman" w:hAnsi="Calibri" w:cs="Arial"/>
                <w:color w:val="000000"/>
                <w:spacing w:val="-1"/>
                <w:kern w:val="24"/>
                <w:lang w:eastAsia="fr-FR"/>
              </w:rPr>
              <w:t>Dheenadayalapuram</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4A9DC8A1" w14:textId="77777777" w:rsidR="007272C1" w:rsidRPr="007272C1" w:rsidRDefault="007272C1" w:rsidP="007272C1">
            <w:pPr>
              <w:kinsoku w:val="0"/>
              <w:overflowPunct w:val="0"/>
              <w:spacing w:after="0" w:line="240" w:lineRule="auto"/>
              <w:jc w:val="center"/>
              <w:textAlignment w:val="baseline"/>
              <w:rPr>
                <w:rFonts w:ascii="Arial" w:eastAsia="Times New Roman" w:hAnsi="Arial" w:cs="Arial"/>
                <w:lang w:eastAsia="fr-FR"/>
              </w:rPr>
            </w:pPr>
            <w:r w:rsidRPr="007272C1">
              <w:rPr>
                <w:rFonts w:ascii="Calibri" w:eastAsia="Times New Roman" w:hAnsi="Calibri" w:cs="Arial"/>
                <w:i/>
                <w:iCs/>
                <w:color w:val="000000"/>
                <w:kern w:val="24"/>
                <w:lang w:eastAsia="fr-FR"/>
              </w:rPr>
              <w:t>Avicennia marina</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2226AF11" w14:textId="77777777" w:rsidR="007272C1" w:rsidRPr="007272C1" w:rsidRDefault="007272C1" w:rsidP="007272C1">
            <w:pPr>
              <w:kinsoku w:val="0"/>
              <w:overflowPunct w:val="0"/>
              <w:spacing w:after="0" w:line="240" w:lineRule="auto"/>
              <w:ind w:right="101"/>
              <w:jc w:val="center"/>
              <w:textAlignment w:val="baseline"/>
              <w:rPr>
                <w:rFonts w:ascii="Arial" w:eastAsia="Times New Roman" w:hAnsi="Arial" w:cs="Arial"/>
                <w:lang w:eastAsia="fr-FR"/>
              </w:rPr>
            </w:pPr>
            <w:r w:rsidRPr="007272C1">
              <w:rPr>
                <w:rFonts w:ascii="Calibri" w:eastAsia="Times New Roman" w:hAnsi="Calibri" w:cs="Arial"/>
                <w:color w:val="000000"/>
                <w:spacing w:val="-3"/>
                <w:kern w:val="24"/>
                <w:lang w:eastAsia="fr-FR"/>
              </w:rPr>
              <w:t>1,40,000</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4116EC34" w14:textId="77777777" w:rsidR="007272C1" w:rsidRPr="007272C1" w:rsidRDefault="007272C1" w:rsidP="007272C1">
            <w:pPr>
              <w:kinsoku w:val="0"/>
              <w:overflowPunct w:val="0"/>
              <w:spacing w:after="0" w:line="240" w:lineRule="auto"/>
              <w:jc w:val="center"/>
              <w:textAlignment w:val="baseline"/>
              <w:rPr>
                <w:rFonts w:ascii="Arial" w:eastAsia="Times New Roman" w:hAnsi="Arial" w:cs="Arial"/>
                <w:lang w:eastAsia="fr-FR"/>
              </w:rPr>
            </w:pPr>
            <w:r w:rsidRPr="007272C1">
              <w:rPr>
                <w:rFonts w:ascii="Calibri" w:eastAsia="Times New Roman" w:hAnsi="Calibri" w:cs="Arial"/>
                <w:color w:val="000000"/>
                <w:kern w:val="24"/>
                <w:lang w:eastAsia="fr-FR"/>
              </w:rPr>
              <w:t> </w:t>
            </w:r>
          </w:p>
        </w:tc>
      </w:tr>
      <w:tr w:rsidR="007272C1" w:rsidRPr="007272C1" w14:paraId="66E8BCB4" w14:textId="77777777" w:rsidTr="00473390">
        <w:trPr>
          <w:trHeight w:val="114"/>
        </w:trPr>
        <w:tc>
          <w:tcPr>
            <w:tcW w:w="0" w:type="auto"/>
            <w:gridSpan w:val="2"/>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1BA949B7" w14:textId="77777777" w:rsidR="007272C1" w:rsidRPr="007272C1" w:rsidRDefault="007272C1" w:rsidP="007272C1">
            <w:pPr>
              <w:kinsoku w:val="0"/>
              <w:overflowPunct w:val="0"/>
              <w:spacing w:after="0" w:line="240" w:lineRule="auto"/>
              <w:jc w:val="center"/>
              <w:textAlignment w:val="baseline"/>
              <w:rPr>
                <w:rFonts w:ascii="Arial" w:eastAsia="Times New Roman" w:hAnsi="Arial" w:cs="Arial"/>
                <w:lang w:eastAsia="fr-FR"/>
              </w:rPr>
            </w:pPr>
            <w:r w:rsidRPr="007272C1">
              <w:rPr>
                <w:rFonts w:ascii="Calibri" w:eastAsia="Times New Roman" w:hAnsi="Calibri" w:cs="Arial"/>
                <w:color w:val="000000"/>
                <w:spacing w:val="-1"/>
                <w:kern w:val="24"/>
                <w:lang w:eastAsia="fr-FR"/>
              </w:rPr>
              <w:t>Total</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487DA601" w14:textId="77777777" w:rsidR="007272C1" w:rsidRPr="007272C1" w:rsidRDefault="007272C1" w:rsidP="007272C1">
            <w:pPr>
              <w:kinsoku w:val="0"/>
              <w:overflowPunct w:val="0"/>
              <w:spacing w:after="0" w:line="240" w:lineRule="auto"/>
              <w:ind w:right="101"/>
              <w:jc w:val="center"/>
              <w:textAlignment w:val="baseline"/>
              <w:rPr>
                <w:rFonts w:ascii="Arial" w:eastAsia="Times New Roman" w:hAnsi="Arial" w:cs="Arial"/>
                <w:lang w:eastAsia="fr-FR"/>
              </w:rPr>
            </w:pPr>
            <w:r w:rsidRPr="007272C1">
              <w:rPr>
                <w:rFonts w:ascii="Calibri" w:eastAsia="Times New Roman" w:hAnsi="Calibri" w:cs="Arial"/>
                <w:color w:val="000000"/>
                <w:spacing w:val="-1"/>
                <w:kern w:val="24"/>
                <w:lang w:eastAsia="fr-FR"/>
              </w:rPr>
              <w:t>2,15,000</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17565ADE" w14:textId="77777777" w:rsidR="007272C1" w:rsidRPr="007272C1" w:rsidRDefault="007272C1" w:rsidP="007272C1">
            <w:pPr>
              <w:kinsoku w:val="0"/>
              <w:overflowPunct w:val="0"/>
              <w:spacing w:after="0" w:line="240" w:lineRule="auto"/>
              <w:ind w:right="115"/>
              <w:jc w:val="center"/>
              <w:textAlignment w:val="baseline"/>
              <w:rPr>
                <w:rFonts w:ascii="Arial" w:eastAsia="Times New Roman" w:hAnsi="Arial" w:cs="Arial"/>
                <w:lang w:eastAsia="fr-FR"/>
              </w:rPr>
            </w:pPr>
            <w:r w:rsidRPr="007272C1">
              <w:rPr>
                <w:rFonts w:ascii="Calibri" w:eastAsia="Times New Roman" w:hAnsi="Calibri" w:cs="Arial"/>
                <w:color w:val="000000"/>
                <w:spacing w:val="-1"/>
                <w:kern w:val="24"/>
                <w:lang w:eastAsia="fr-FR"/>
              </w:rPr>
              <w:t>Rs. 2,15,000</w:t>
            </w:r>
          </w:p>
        </w:tc>
      </w:tr>
    </w:tbl>
    <w:p w14:paraId="612440A7" w14:textId="77777777" w:rsidR="00473390" w:rsidRPr="00473390" w:rsidRDefault="00473390" w:rsidP="00473390">
      <w:pPr>
        <w:spacing w:after="0" w:line="240" w:lineRule="auto"/>
        <w:jc w:val="both"/>
      </w:pPr>
      <w:r w:rsidRPr="00473390">
        <w:t xml:space="preserve">Détails sur les jeunes palétuviers cultivés par les </w:t>
      </w:r>
      <w:r w:rsidRPr="00473390">
        <w:rPr>
          <w:b/>
          <w:bCs/>
        </w:rPr>
        <w:t>VLIs</w:t>
      </w:r>
      <w:r w:rsidRPr="00473390">
        <w:t xml:space="preserve"> (°). (+) Sapling = jeune plant.</w:t>
      </w:r>
    </w:p>
    <w:p w14:paraId="46D13DBB" w14:textId="77777777" w:rsidR="00473390" w:rsidRPr="00473390" w:rsidRDefault="00473390" w:rsidP="00473390">
      <w:pPr>
        <w:spacing w:after="0" w:line="240" w:lineRule="auto"/>
        <w:jc w:val="both"/>
      </w:pPr>
      <w:r w:rsidRPr="00473390">
        <w:t xml:space="preserve">(°) </w:t>
      </w:r>
      <w:r w:rsidRPr="00473390">
        <w:rPr>
          <w:b/>
          <w:bCs/>
        </w:rPr>
        <w:t xml:space="preserve">VLI </w:t>
      </w:r>
      <w:r w:rsidRPr="00473390">
        <w:t xml:space="preserve">= Village level institution = Institution au niveau du village. </w:t>
      </w:r>
    </w:p>
    <w:p w14:paraId="0F99D912" w14:textId="1C2948E1" w:rsidR="007272C1" w:rsidRDefault="007272C1" w:rsidP="00FB0B74">
      <w:pPr>
        <w:spacing w:after="0" w:line="240" w:lineRule="auto"/>
        <w:jc w:val="both"/>
      </w:pPr>
    </w:p>
    <w:tbl>
      <w:tblPr>
        <w:tblW w:w="0" w:type="auto"/>
        <w:tblCellMar>
          <w:left w:w="0" w:type="dxa"/>
          <w:right w:w="0" w:type="dxa"/>
        </w:tblCellMar>
        <w:tblLook w:val="0600" w:firstRow="0" w:lastRow="0" w:firstColumn="0" w:lastColumn="0" w:noHBand="1" w:noVBand="1"/>
      </w:tblPr>
      <w:tblGrid>
        <w:gridCol w:w="4174"/>
        <w:gridCol w:w="730"/>
        <w:gridCol w:w="702"/>
        <w:gridCol w:w="1755"/>
        <w:gridCol w:w="1250"/>
        <w:gridCol w:w="969"/>
        <w:gridCol w:w="826"/>
      </w:tblGrid>
      <w:tr w:rsidR="00473390" w:rsidRPr="00473390" w14:paraId="60D594EE" w14:textId="77777777" w:rsidTr="00473390">
        <w:trPr>
          <w:trHeight w:val="367"/>
        </w:trPr>
        <w:tc>
          <w:tcPr>
            <w:tcW w:w="0" w:type="auto"/>
            <w:vMerge w:val="restart"/>
            <w:tcBorders>
              <w:top w:val="single" w:sz="8" w:space="0" w:color="000000"/>
              <w:left w:val="single" w:sz="8" w:space="0" w:color="000000"/>
              <w:bottom w:val="single" w:sz="8" w:space="0" w:color="000000"/>
              <w:right w:val="single" w:sz="8" w:space="0" w:color="000000"/>
            </w:tcBorders>
            <w:shd w:val="clear" w:color="auto" w:fill="BDD7EE"/>
            <w:tcMar>
              <w:top w:w="15" w:type="dxa"/>
              <w:left w:w="15" w:type="dxa"/>
              <w:bottom w:w="0" w:type="dxa"/>
              <w:right w:w="15" w:type="dxa"/>
            </w:tcMar>
            <w:hideMark/>
          </w:tcPr>
          <w:p w14:paraId="49FE72D9" w14:textId="77777777" w:rsidR="00473390" w:rsidRPr="00473390" w:rsidRDefault="00473390" w:rsidP="00473390">
            <w:pPr>
              <w:kinsoku w:val="0"/>
              <w:overflowPunct w:val="0"/>
              <w:spacing w:after="0" w:line="240" w:lineRule="auto"/>
              <w:jc w:val="center"/>
              <w:textAlignment w:val="baseline"/>
              <w:rPr>
                <w:rFonts w:ascii="Calibri" w:eastAsia="Times New Roman" w:hAnsi="Calibri" w:cs="Arial"/>
                <w:lang w:eastAsia="fr-FR"/>
              </w:rPr>
            </w:pPr>
            <w:r w:rsidRPr="00473390">
              <w:rPr>
                <w:rFonts w:ascii="Calibri" w:eastAsia="Times New Roman" w:hAnsi="Calibri" w:cs="Arial"/>
                <w:color w:val="000000"/>
                <w:spacing w:val="3"/>
                <w:kern w:val="24"/>
                <w:lang w:eastAsia="fr-FR"/>
              </w:rPr>
              <w:t>Tâches / Travaux</w:t>
            </w:r>
          </w:p>
        </w:tc>
        <w:tc>
          <w:tcPr>
            <w:tcW w:w="0" w:type="auto"/>
            <w:gridSpan w:val="2"/>
            <w:tcBorders>
              <w:top w:val="single" w:sz="8" w:space="0" w:color="000000"/>
              <w:left w:val="single" w:sz="8" w:space="0" w:color="000000"/>
              <w:bottom w:val="single" w:sz="8" w:space="0" w:color="000000"/>
              <w:right w:val="single" w:sz="8" w:space="0" w:color="000000"/>
            </w:tcBorders>
            <w:shd w:val="clear" w:color="auto" w:fill="BDD7EE"/>
            <w:tcMar>
              <w:top w:w="15" w:type="dxa"/>
              <w:left w:w="15" w:type="dxa"/>
              <w:bottom w:w="0" w:type="dxa"/>
              <w:right w:w="15" w:type="dxa"/>
            </w:tcMar>
            <w:vAlign w:val="center"/>
            <w:hideMark/>
          </w:tcPr>
          <w:p w14:paraId="4188D915" w14:textId="77777777" w:rsidR="00473390" w:rsidRPr="00473390" w:rsidRDefault="00473390" w:rsidP="00473390">
            <w:pPr>
              <w:kinsoku w:val="0"/>
              <w:overflowPunct w:val="0"/>
              <w:spacing w:after="0" w:line="240" w:lineRule="auto"/>
              <w:jc w:val="center"/>
              <w:textAlignment w:val="baseline"/>
              <w:rPr>
                <w:rFonts w:ascii="Calibri" w:eastAsia="Times New Roman" w:hAnsi="Calibri" w:cs="Arial"/>
                <w:lang w:eastAsia="fr-FR"/>
              </w:rPr>
            </w:pPr>
            <w:r w:rsidRPr="00473390">
              <w:rPr>
                <w:rFonts w:ascii="Calibri" w:eastAsia="Times New Roman" w:hAnsi="Calibri" w:cs="Arial"/>
                <w:color w:val="000000"/>
                <w:kern w:val="24"/>
                <w:lang w:eastAsia="fr-FR"/>
              </w:rPr>
              <w:t>Personnes</w:t>
            </w:r>
          </w:p>
        </w:tc>
        <w:tc>
          <w:tcPr>
            <w:tcW w:w="1755" w:type="dxa"/>
            <w:vMerge w:val="restart"/>
            <w:tcBorders>
              <w:top w:val="single" w:sz="8" w:space="0" w:color="000000"/>
              <w:left w:val="single" w:sz="8" w:space="0" w:color="000000"/>
              <w:bottom w:val="single" w:sz="8" w:space="0" w:color="000000"/>
              <w:right w:val="single" w:sz="8" w:space="0" w:color="000000"/>
            </w:tcBorders>
            <w:shd w:val="clear" w:color="auto" w:fill="BDD7EE"/>
            <w:tcMar>
              <w:top w:w="15" w:type="dxa"/>
              <w:left w:w="15" w:type="dxa"/>
              <w:bottom w:w="0" w:type="dxa"/>
              <w:right w:w="15" w:type="dxa"/>
            </w:tcMar>
            <w:hideMark/>
          </w:tcPr>
          <w:p w14:paraId="39FCC3D6" w14:textId="77777777" w:rsidR="00473390" w:rsidRPr="00473390" w:rsidRDefault="00473390" w:rsidP="00473390">
            <w:pPr>
              <w:kinsoku w:val="0"/>
              <w:overflowPunct w:val="0"/>
              <w:spacing w:after="0" w:line="240" w:lineRule="auto"/>
              <w:jc w:val="center"/>
              <w:textAlignment w:val="baseline"/>
              <w:rPr>
                <w:rFonts w:ascii="Calibri" w:eastAsia="Times New Roman" w:hAnsi="Calibri" w:cs="Arial"/>
                <w:lang w:eastAsia="fr-FR"/>
              </w:rPr>
            </w:pPr>
            <w:r w:rsidRPr="00473390">
              <w:rPr>
                <w:rFonts w:ascii="Calibri" w:eastAsia="Times New Roman" w:hAnsi="Calibri" w:cs="Arial"/>
                <w:color w:val="000000"/>
                <w:kern w:val="24"/>
                <w:lang w:eastAsia="fr-FR"/>
              </w:rPr>
              <w:t>Nb d’heures de travail</w:t>
            </w:r>
          </w:p>
        </w:tc>
        <w:tc>
          <w:tcPr>
            <w:tcW w:w="2219" w:type="dxa"/>
            <w:gridSpan w:val="2"/>
            <w:tcBorders>
              <w:top w:val="single" w:sz="8" w:space="0" w:color="000000"/>
              <w:left w:val="single" w:sz="8" w:space="0" w:color="000000"/>
              <w:bottom w:val="single" w:sz="8" w:space="0" w:color="000000"/>
              <w:right w:val="single" w:sz="8" w:space="0" w:color="000000"/>
            </w:tcBorders>
            <w:shd w:val="clear" w:color="auto" w:fill="BDD7EE"/>
            <w:tcMar>
              <w:top w:w="15" w:type="dxa"/>
              <w:left w:w="15" w:type="dxa"/>
              <w:bottom w:w="0" w:type="dxa"/>
              <w:right w:w="15" w:type="dxa"/>
            </w:tcMar>
            <w:vAlign w:val="center"/>
            <w:hideMark/>
          </w:tcPr>
          <w:p w14:paraId="30F1ADFA" w14:textId="77777777" w:rsidR="00473390" w:rsidRPr="00473390" w:rsidRDefault="00473390" w:rsidP="00473390">
            <w:pPr>
              <w:kinsoku w:val="0"/>
              <w:overflowPunct w:val="0"/>
              <w:spacing w:after="0" w:line="240" w:lineRule="auto"/>
              <w:jc w:val="center"/>
              <w:textAlignment w:val="baseline"/>
              <w:rPr>
                <w:rFonts w:ascii="Calibri" w:eastAsia="Times New Roman" w:hAnsi="Calibri" w:cs="Arial"/>
                <w:lang w:eastAsia="fr-FR"/>
              </w:rPr>
            </w:pPr>
            <w:r w:rsidRPr="00473390">
              <w:rPr>
                <w:rFonts w:ascii="Calibri" w:eastAsia="Times New Roman" w:hAnsi="Calibri" w:cs="Arial"/>
                <w:color w:val="000000"/>
                <w:spacing w:val="2"/>
                <w:kern w:val="24"/>
                <w:lang w:eastAsia="fr-FR"/>
              </w:rPr>
              <w:t>Salaires [En. : Wages]</w:t>
            </w:r>
          </w:p>
        </w:tc>
        <w:tc>
          <w:tcPr>
            <w:tcW w:w="0" w:type="auto"/>
            <w:vMerge w:val="restart"/>
            <w:tcBorders>
              <w:top w:val="single" w:sz="8" w:space="0" w:color="000000"/>
              <w:left w:val="single" w:sz="8" w:space="0" w:color="000000"/>
              <w:bottom w:val="single" w:sz="8" w:space="0" w:color="000000"/>
              <w:right w:val="single" w:sz="8" w:space="0" w:color="000000"/>
            </w:tcBorders>
            <w:shd w:val="clear" w:color="auto" w:fill="BDD7EE"/>
            <w:tcMar>
              <w:top w:w="15" w:type="dxa"/>
              <w:left w:w="15" w:type="dxa"/>
              <w:bottom w:w="0" w:type="dxa"/>
              <w:right w:w="15" w:type="dxa"/>
            </w:tcMar>
            <w:hideMark/>
          </w:tcPr>
          <w:p w14:paraId="42AC235E" w14:textId="77777777" w:rsidR="00473390" w:rsidRPr="00473390" w:rsidRDefault="00473390" w:rsidP="00473390">
            <w:pPr>
              <w:kinsoku w:val="0"/>
              <w:overflowPunct w:val="0"/>
              <w:spacing w:after="0" w:line="240" w:lineRule="auto"/>
              <w:jc w:val="center"/>
              <w:textAlignment w:val="baseline"/>
              <w:rPr>
                <w:rFonts w:ascii="Calibri" w:eastAsia="Times New Roman" w:hAnsi="Calibri" w:cs="Arial"/>
                <w:lang w:eastAsia="fr-FR"/>
              </w:rPr>
            </w:pPr>
            <w:r w:rsidRPr="00473390">
              <w:rPr>
                <w:rFonts w:ascii="Calibri" w:eastAsia="Times New Roman" w:hAnsi="Calibri" w:cs="Arial"/>
                <w:color w:val="000000"/>
                <w:spacing w:val="1"/>
                <w:kern w:val="24"/>
                <w:lang w:eastAsia="fr-FR"/>
              </w:rPr>
              <w:t>Montant</w:t>
            </w:r>
          </w:p>
        </w:tc>
      </w:tr>
      <w:tr w:rsidR="00473390" w:rsidRPr="00473390" w14:paraId="49183606" w14:textId="77777777" w:rsidTr="00473390">
        <w:trPr>
          <w:trHeight w:val="235"/>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CBF48BF" w14:textId="77777777" w:rsidR="00473390" w:rsidRPr="00473390" w:rsidRDefault="00473390" w:rsidP="00473390">
            <w:pPr>
              <w:spacing w:after="0" w:line="240" w:lineRule="auto"/>
              <w:rPr>
                <w:rFonts w:ascii="Calibri" w:eastAsia="Times New Roman" w:hAnsi="Calibri" w:cs="Arial"/>
                <w:lang w:eastAsia="fr-FR"/>
              </w:rPr>
            </w:pPr>
          </w:p>
        </w:tc>
        <w:tc>
          <w:tcPr>
            <w:tcW w:w="0" w:type="auto"/>
            <w:tcBorders>
              <w:top w:val="single" w:sz="8" w:space="0" w:color="000000"/>
              <w:left w:val="single" w:sz="8" w:space="0" w:color="000000"/>
              <w:bottom w:val="single" w:sz="8" w:space="0" w:color="000000"/>
              <w:right w:val="single" w:sz="8" w:space="0" w:color="000000"/>
            </w:tcBorders>
            <w:shd w:val="clear" w:color="auto" w:fill="BDD7EE"/>
            <w:tcMar>
              <w:top w:w="15" w:type="dxa"/>
              <w:left w:w="15" w:type="dxa"/>
              <w:bottom w:w="0" w:type="dxa"/>
              <w:right w:w="15" w:type="dxa"/>
            </w:tcMar>
            <w:vAlign w:val="center"/>
            <w:hideMark/>
          </w:tcPr>
          <w:p w14:paraId="5156C2DE" w14:textId="77777777" w:rsidR="00473390" w:rsidRPr="00473390" w:rsidRDefault="00473390" w:rsidP="00473390">
            <w:pPr>
              <w:kinsoku w:val="0"/>
              <w:overflowPunct w:val="0"/>
              <w:spacing w:after="0" w:line="240" w:lineRule="auto"/>
              <w:jc w:val="center"/>
              <w:textAlignment w:val="baseline"/>
              <w:rPr>
                <w:rFonts w:ascii="Calibri" w:eastAsia="Times New Roman" w:hAnsi="Calibri" w:cs="Arial"/>
                <w:lang w:eastAsia="fr-FR"/>
              </w:rPr>
            </w:pPr>
            <w:r w:rsidRPr="00473390">
              <w:rPr>
                <w:rFonts w:ascii="Calibri" w:eastAsia="Times New Roman" w:hAnsi="Calibri" w:cs="Arial"/>
                <w:color w:val="000000"/>
                <w:spacing w:val="-3"/>
                <w:kern w:val="24"/>
                <w:lang w:eastAsia="fr-FR"/>
              </w:rPr>
              <w:t>Homme</w:t>
            </w:r>
          </w:p>
        </w:tc>
        <w:tc>
          <w:tcPr>
            <w:tcW w:w="0" w:type="auto"/>
            <w:tcBorders>
              <w:top w:val="single" w:sz="8" w:space="0" w:color="000000"/>
              <w:left w:val="single" w:sz="8" w:space="0" w:color="000000"/>
              <w:bottom w:val="single" w:sz="8" w:space="0" w:color="000000"/>
              <w:right w:val="single" w:sz="8" w:space="0" w:color="000000"/>
            </w:tcBorders>
            <w:shd w:val="clear" w:color="auto" w:fill="BDD7EE"/>
            <w:tcMar>
              <w:top w:w="15" w:type="dxa"/>
              <w:left w:w="15" w:type="dxa"/>
              <w:bottom w:w="0" w:type="dxa"/>
              <w:right w:w="15" w:type="dxa"/>
            </w:tcMar>
            <w:vAlign w:val="center"/>
            <w:hideMark/>
          </w:tcPr>
          <w:p w14:paraId="087EA5AE" w14:textId="77777777" w:rsidR="00473390" w:rsidRPr="00473390" w:rsidRDefault="00473390" w:rsidP="00473390">
            <w:pPr>
              <w:kinsoku w:val="0"/>
              <w:overflowPunct w:val="0"/>
              <w:spacing w:after="0" w:line="240" w:lineRule="auto"/>
              <w:jc w:val="center"/>
              <w:textAlignment w:val="baseline"/>
              <w:rPr>
                <w:rFonts w:ascii="Calibri" w:eastAsia="Times New Roman" w:hAnsi="Calibri" w:cs="Arial"/>
                <w:lang w:eastAsia="fr-FR"/>
              </w:rPr>
            </w:pPr>
            <w:r w:rsidRPr="00473390">
              <w:rPr>
                <w:rFonts w:ascii="Calibri" w:eastAsia="Times New Roman" w:hAnsi="Calibri" w:cs="Arial"/>
                <w:color w:val="000000"/>
                <w:kern w:val="24"/>
                <w:lang w:eastAsia="fr-FR"/>
              </w:rPr>
              <w:t>Femme</w:t>
            </w:r>
          </w:p>
        </w:tc>
        <w:tc>
          <w:tcPr>
            <w:tcW w:w="1755" w:type="dxa"/>
            <w:vMerge/>
            <w:tcBorders>
              <w:top w:val="single" w:sz="8" w:space="0" w:color="000000"/>
              <w:left w:val="single" w:sz="8" w:space="0" w:color="000000"/>
              <w:bottom w:val="single" w:sz="8" w:space="0" w:color="000000"/>
              <w:right w:val="single" w:sz="8" w:space="0" w:color="000000"/>
            </w:tcBorders>
            <w:vAlign w:val="center"/>
            <w:hideMark/>
          </w:tcPr>
          <w:p w14:paraId="7DA6AE51" w14:textId="77777777" w:rsidR="00473390" w:rsidRPr="00473390" w:rsidRDefault="00473390" w:rsidP="00473390">
            <w:pPr>
              <w:spacing w:after="0" w:line="240" w:lineRule="auto"/>
              <w:rPr>
                <w:rFonts w:ascii="Calibri" w:eastAsia="Times New Roman" w:hAnsi="Calibri" w:cs="Arial"/>
                <w:lang w:eastAsia="fr-FR"/>
              </w:rPr>
            </w:pPr>
          </w:p>
        </w:tc>
        <w:tc>
          <w:tcPr>
            <w:tcW w:w="1250" w:type="dxa"/>
            <w:tcBorders>
              <w:top w:val="single" w:sz="8" w:space="0" w:color="000000"/>
              <w:left w:val="single" w:sz="8" w:space="0" w:color="000000"/>
              <w:bottom w:val="single" w:sz="8" w:space="0" w:color="000000"/>
              <w:right w:val="single" w:sz="8" w:space="0" w:color="000000"/>
            </w:tcBorders>
            <w:shd w:val="clear" w:color="auto" w:fill="BDD7EE"/>
            <w:tcMar>
              <w:top w:w="15" w:type="dxa"/>
              <w:left w:w="15" w:type="dxa"/>
              <w:bottom w:w="0" w:type="dxa"/>
              <w:right w:w="15" w:type="dxa"/>
            </w:tcMar>
            <w:vAlign w:val="center"/>
            <w:hideMark/>
          </w:tcPr>
          <w:p w14:paraId="7E7A5CC6" w14:textId="77777777" w:rsidR="00473390" w:rsidRPr="00473390" w:rsidRDefault="00473390" w:rsidP="00473390">
            <w:pPr>
              <w:kinsoku w:val="0"/>
              <w:overflowPunct w:val="0"/>
              <w:spacing w:after="0" w:line="240" w:lineRule="auto"/>
              <w:jc w:val="center"/>
              <w:textAlignment w:val="baseline"/>
              <w:rPr>
                <w:rFonts w:ascii="Calibri" w:eastAsia="Times New Roman" w:hAnsi="Calibri" w:cs="Arial"/>
                <w:lang w:eastAsia="fr-FR"/>
              </w:rPr>
            </w:pPr>
            <w:r w:rsidRPr="00473390">
              <w:rPr>
                <w:rFonts w:ascii="Calibri" w:eastAsia="Times New Roman" w:hAnsi="Calibri" w:cs="Arial"/>
                <w:color w:val="000000"/>
                <w:spacing w:val="-3"/>
                <w:kern w:val="24"/>
                <w:lang w:eastAsia="fr-FR"/>
              </w:rPr>
              <w:t>Homme</w:t>
            </w:r>
          </w:p>
        </w:tc>
        <w:tc>
          <w:tcPr>
            <w:tcW w:w="0" w:type="auto"/>
            <w:tcBorders>
              <w:top w:val="single" w:sz="8" w:space="0" w:color="000000"/>
              <w:left w:val="single" w:sz="8" w:space="0" w:color="000000"/>
              <w:bottom w:val="single" w:sz="8" w:space="0" w:color="000000"/>
              <w:right w:val="single" w:sz="8" w:space="0" w:color="000000"/>
            </w:tcBorders>
            <w:shd w:val="clear" w:color="auto" w:fill="BDD7EE"/>
            <w:tcMar>
              <w:top w:w="15" w:type="dxa"/>
              <w:left w:w="15" w:type="dxa"/>
              <w:bottom w:w="0" w:type="dxa"/>
              <w:right w:w="15" w:type="dxa"/>
            </w:tcMar>
            <w:vAlign w:val="center"/>
            <w:hideMark/>
          </w:tcPr>
          <w:p w14:paraId="374601CE" w14:textId="77777777" w:rsidR="00473390" w:rsidRPr="00473390" w:rsidRDefault="00473390" w:rsidP="00473390">
            <w:pPr>
              <w:kinsoku w:val="0"/>
              <w:overflowPunct w:val="0"/>
              <w:spacing w:after="0" w:line="240" w:lineRule="auto"/>
              <w:jc w:val="center"/>
              <w:textAlignment w:val="baseline"/>
              <w:rPr>
                <w:rFonts w:ascii="Calibri" w:eastAsia="Times New Roman" w:hAnsi="Calibri" w:cs="Arial"/>
                <w:lang w:eastAsia="fr-FR"/>
              </w:rPr>
            </w:pPr>
            <w:r w:rsidRPr="00473390">
              <w:rPr>
                <w:rFonts w:ascii="Calibri" w:eastAsia="Times New Roman" w:hAnsi="Calibri" w:cs="Arial"/>
                <w:color w:val="000000"/>
                <w:kern w:val="24"/>
                <w:lang w:eastAsia="fr-FR"/>
              </w:rPr>
              <w:t>Femme</w:t>
            </w: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3C008A4" w14:textId="77777777" w:rsidR="00473390" w:rsidRPr="00473390" w:rsidRDefault="00473390" w:rsidP="00473390">
            <w:pPr>
              <w:spacing w:after="0" w:line="240" w:lineRule="auto"/>
              <w:rPr>
                <w:rFonts w:ascii="Calibri" w:eastAsia="Times New Roman" w:hAnsi="Calibri" w:cs="Arial"/>
                <w:lang w:eastAsia="fr-FR"/>
              </w:rPr>
            </w:pPr>
          </w:p>
        </w:tc>
      </w:tr>
      <w:tr w:rsidR="00473390" w:rsidRPr="00473390" w14:paraId="3591A76E" w14:textId="77777777" w:rsidTr="00473390">
        <w:trPr>
          <w:trHeight w:val="384"/>
        </w:trPr>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40DD51BB" w14:textId="77777777" w:rsidR="00473390" w:rsidRPr="00473390" w:rsidRDefault="00473390" w:rsidP="00473390">
            <w:pPr>
              <w:kinsoku w:val="0"/>
              <w:overflowPunct w:val="0"/>
              <w:spacing w:after="0" w:line="240" w:lineRule="auto"/>
              <w:jc w:val="center"/>
              <w:textAlignment w:val="baseline"/>
              <w:rPr>
                <w:rFonts w:ascii="Calibri" w:eastAsia="Times New Roman" w:hAnsi="Calibri" w:cs="Arial"/>
                <w:lang w:eastAsia="fr-FR"/>
              </w:rPr>
            </w:pPr>
            <w:r w:rsidRPr="00473390">
              <w:rPr>
                <w:rFonts w:ascii="Calibri" w:eastAsia="Times New Roman" w:hAnsi="Calibri" w:cs="Arial"/>
                <w:color w:val="000000"/>
                <w:kern w:val="24"/>
                <w:lang w:eastAsia="fr-FR"/>
              </w:rPr>
              <w:t>Défrichement de la zone et débroussaillage</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05954CB4" w14:textId="77777777" w:rsidR="00473390" w:rsidRPr="00473390" w:rsidRDefault="00473390" w:rsidP="00473390">
            <w:pPr>
              <w:kinsoku w:val="0"/>
              <w:overflowPunct w:val="0"/>
              <w:spacing w:after="0" w:line="240" w:lineRule="auto"/>
              <w:ind w:right="86"/>
              <w:jc w:val="center"/>
              <w:textAlignment w:val="baseline"/>
              <w:rPr>
                <w:rFonts w:ascii="Calibri" w:eastAsia="Times New Roman" w:hAnsi="Calibri" w:cs="Arial"/>
                <w:lang w:eastAsia="fr-FR"/>
              </w:rPr>
            </w:pPr>
            <w:r w:rsidRPr="00473390">
              <w:rPr>
                <w:rFonts w:ascii="Calibri" w:eastAsia="Times New Roman" w:hAnsi="Calibri" w:cs="Arial"/>
                <w:color w:val="000000"/>
                <w:kern w:val="24"/>
                <w:lang w:eastAsia="fr-FR"/>
              </w:rPr>
              <w:t>7</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4BAC39BB" w14:textId="77777777" w:rsidR="00473390" w:rsidRPr="00473390" w:rsidRDefault="00473390" w:rsidP="00473390">
            <w:pPr>
              <w:kinsoku w:val="0"/>
              <w:overflowPunct w:val="0"/>
              <w:spacing w:after="0" w:line="240" w:lineRule="auto"/>
              <w:jc w:val="center"/>
              <w:textAlignment w:val="baseline"/>
              <w:rPr>
                <w:rFonts w:ascii="Calibri" w:eastAsia="Times New Roman" w:hAnsi="Calibri" w:cs="Arial"/>
                <w:lang w:eastAsia="fr-FR"/>
              </w:rPr>
            </w:pPr>
            <w:r w:rsidRPr="00473390">
              <w:rPr>
                <w:rFonts w:ascii="Calibri" w:eastAsia="Times New Roman" w:hAnsi="Calibri" w:cs="Arial"/>
                <w:color w:val="000000"/>
                <w:kern w:val="24"/>
                <w:lang w:eastAsia="fr-FR"/>
              </w:rPr>
              <w:t> </w:t>
            </w:r>
          </w:p>
        </w:tc>
        <w:tc>
          <w:tcPr>
            <w:tcW w:w="1755"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292F9872" w14:textId="77777777" w:rsidR="00473390" w:rsidRPr="00473390" w:rsidRDefault="00473390" w:rsidP="00473390">
            <w:pPr>
              <w:kinsoku w:val="0"/>
              <w:overflowPunct w:val="0"/>
              <w:spacing w:after="0" w:line="240" w:lineRule="auto"/>
              <w:ind w:right="86"/>
              <w:jc w:val="center"/>
              <w:textAlignment w:val="baseline"/>
              <w:rPr>
                <w:rFonts w:ascii="Calibri" w:eastAsia="Times New Roman" w:hAnsi="Calibri" w:cs="Arial"/>
                <w:lang w:eastAsia="fr-FR"/>
              </w:rPr>
            </w:pPr>
            <w:r w:rsidRPr="00473390">
              <w:rPr>
                <w:rFonts w:ascii="Calibri" w:eastAsia="Times New Roman" w:hAnsi="Calibri" w:cs="Arial"/>
                <w:color w:val="000000"/>
                <w:kern w:val="24"/>
                <w:lang w:eastAsia="fr-FR"/>
              </w:rPr>
              <w:t>6</w:t>
            </w:r>
          </w:p>
        </w:tc>
        <w:tc>
          <w:tcPr>
            <w:tcW w:w="125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21F81B44" w14:textId="77777777" w:rsidR="00473390" w:rsidRPr="00473390" w:rsidRDefault="00473390" w:rsidP="00473390">
            <w:pPr>
              <w:kinsoku w:val="0"/>
              <w:overflowPunct w:val="0"/>
              <w:spacing w:after="0" w:line="240" w:lineRule="auto"/>
              <w:ind w:right="86"/>
              <w:jc w:val="center"/>
              <w:textAlignment w:val="baseline"/>
              <w:rPr>
                <w:rFonts w:ascii="Calibri" w:eastAsia="Times New Roman" w:hAnsi="Calibri" w:cs="Arial"/>
                <w:lang w:eastAsia="fr-FR"/>
              </w:rPr>
            </w:pPr>
            <w:r w:rsidRPr="00473390">
              <w:rPr>
                <w:rFonts w:ascii="Calibri" w:eastAsia="Times New Roman" w:hAnsi="Calibri" w:cs="Arial"/>
                <w:color w:val="000000"/>
                <w:kern w:val="24"/>
                <w:lang w:eastAsia="fr-FR"/>
              </w:rPr>
              <w:t>60</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463ACEFA" w14:textId="77777777" w:rsidR="00473390" w:rsidRPr="00473390" w:rsidRDefault="00473390" w:rsidP="00473390">
            <w:pPr>
              <w:kinsoku w:val="0"/>
              <w:overflowPunct w:val="0"/>
              <w:spacing w:after="0" w:line="240" w:lineRule="auto"/>
              <w:jc w:val="center"/>
              <w:textAlignment w:val="baseline"/>
              <w:rPr>
                <w:rFonts w:ascii="Calibri" w:eastAsia="Times New Roman" w:hAnsi="Calibri" w:cs="Arial"/>
                <w:lang w:eastAsia="fr-FR"/>
              </w:rPr>
            </w:pPr>
            <w:r w:rsidRPr="00473390">
              <w:rPr>
                <w:rFonts w:ascii="Calibri" w:eastAsia="Times New Roman" w:hAnsi="Calibri" w:cs="Arial"/>
                <w:color w:val="000000"/>
                <w:kern w:val="24"/>
                <w:lang w:eastAsia="fr-FR"/>
              </w:rPr>
              <w:t> </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59232D67" w14:textId="77777777" w:rsidR="00473390" w:rsidRPr="00473390" w:rsidRDefault="00473390" w:rsidP="00473390">
            <w:pPr>
              <w:kinsoku w:val="0"/>
              <w:overflowPunct w:val="0"/>
              <w:spacing w:after="0" w:line="240" w:lineRule="auto"/>
              <w:ind w:right="86"/>
              <w:jc w:val="center"/>
              <w:textAlignment w:val="baseline"/>
              <w:rPr>
                <w:rFonts w:ascii="Calibri" w:eastAsia="Times New Roman" w:hAnsi="Calibri" w:cs="Arial"/>
                <w:lang w:eastAsia="fr-FR"/>
              </w:rPr>
            </w:pPr>
            <w:r w:rsidRPr="00473390">
              <w:rPr>
                <w:rFonts w:ascii="Calibri" w:eastAsia="Times New Roman" w:hAnsi="Calibri" w:cs="Arial"/>
                <w:color w:val="000000"/>
                <w:spacing w:val="1"/>
                <w:kern w:val="24"/>
                <w:lang w:eastAsia="fr-FR"/>
              </w:rPr>
              <w:t>420</w:t>
            </w:r>
          </w:p>
        </w:tc>
      </w:tr>
      <w:tr w:rsidR="00473390" w:rsidRPr="00473390" w14:paraId="7E292738" w14:textId="77777777" w:rsidTr="00473390">
        <w:trPr>
          <w:trHeight w:val="362"/>
        </w:trPr>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2FD0E6BA" w14:textId="77777777" w:rsidR="00473390" w:rsidRPr="00473390" w:rsidRDefault="00473390" w:rsidP="00473390">
            <w:pPr>
              <w:kinsoku w:val="0"/>
              <w:overflowPunct w:val="0"/>
              <w:spacing w:after="0" w:line="240" w:lineRule="auto"/>
              <w:jc w:val="center"/>
              <w:textAlignment w:val="baseline"/>
              <w:rPr>
                <w:rFonts w:ascii="Calibri" w:eastAsia="Times New Roman" w:hAnsi="Calibri" w:cs="Arial"/>
                <w:lang w:eastAsia="fr-FR"/>
              </w:rPr>
            </w:pPr>
            <w:r w:rsidRPr="00473390">
              <w:rPr>
                <w:rFonts w:ascii="Calibri" w:eastAsia="Times New Roman" w:hAnsi="Calibri" w:cs="Arial"/>
                <w:color w:val="000000"/>
                <w:kern w:val="24"/>
                <w:lang w:eastAsia="fr-FR"/>
              </w:rPr>
              <w:t>Préparation de la planche (culturale)</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7C303726" w14:textId="77777777" w:rsidR="00473390" w:rsidRPr="00473390" w:rsidRDefault="00473390" w:rsidP="00473390">
            <w:pPr>
              <w:kinsoku w:val="0"/>
              <w:overflowPunct w:val="0"/>
              <w:spacing w:after="0" w:line="240" w:lineRule="auto"/>
              <w:ind w:right="86"/>
              <w:jc w:val="center"/>
              <w:textAlignment w:val="baseline"/>
              <w:rPr>
                <w:rFonts w:ascii="Calibri" w:eastAsia="Times New Roman" w:hAnsi="Calibri" w:cs="Arial"/>
                <w:lang w:eastAsia="fr-FR"/>
              </w:rPr>
            </w:pPr>
            <w:r w:rsidRPr="00473390">
              <w:rPr>
                <w:rFonts w:ascii="Calibri" w:eastAsia="Times New Roman" w:hAnsi="Calibri" w:cs="Arial"/>
                <w:color w:val="000000"/>
                <w:kern w:val="24"/>
                <w:lang w:eastAsia="fr-FR"/>
              </w:rPr>
              <w:t>70</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60C094E1" w14:textId="77777777" w:rsidR="00473390" w:rsidRPr="00473390" w:rsidRDefault="00473390" w:rsidP="00473390">
            <w:pPr>
              <w:kinsoku w:val="0"/>
              <w:overflowPunct w:val="0"/>
              <w:spacing w:after="0" w:line="240" w:lineRule="auto"/>
              <w:jc w:val="center"/>
              <w:textAlignment w:val="baseline"/>
              <w:rPr>
                <w:rFonts w:ascii="Calibri" w:eastAsia="Times New Roman" w:hAnsi="Calibri" w:cs="Arial"/>
                <w:lang w:eastAsia="fr-FR"/>
              </w:rPr>
            </w:pPr>
            <w:r w:rsidRPr="00473390">
              <w:rPr>
                <w:rFonts w:ascii="Calibri" w:eastAsia="Times New Roman" w:hAnsi="Calibri" w:cs="Arial"/>
                <w:color w:val="000000"/>
                <w:kern w:val="24"/>
                <w:lang w:eastAsia="fr-FR"/>
              </w:rPr>
              <w:t> </w:t>
            </w:r>
          </w:p>
        </w:tc>
        <w:tc>
          <w:tcPr>
            <w:tcW w:w="1755"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571C611D" w14:textId="77777777" w:rsidR="00473390" w:rsidRPr="00473390" w:rsidRDefault="00473390" w:rsidP="00473390">
            <w:pPr>
              <w:kinsoku w:val="0"/>
              <w:overflowPunct w:val="0"/>
              <w:spacing w:after="0" w:line="240" w:lineRule="auto"/>
              <w:ind w:right="86"/>
              <w:jc w:val="center"/>
              <w:textAlignment w:val="baseline"/>
              <w:rPr>
                <w:rFonts w:ascii="Calibri" w:eastAsia="Times New Roman" w:hAnsi="Calibri" w:cs="Arial"/>
                <w:lang w:eastAsia="fr-FR"/>
              </w:rPr>
            </w:pPr>
            <w:r w:rsidRPr="00473390">
              <w:rPr>
                <w:rFonts w:ascii="Calibri" w:eastAsia="Times New Roman" w:hAnsi="Calibri" w:cs="Arial"/>
                <w:color w:val="000000"/>
                <w:kern w:val="24"/>
                <w:lang w:eastAsia="fr-FR"/>
              </w:rPr>
              <w:t>6</w:t>
            </w:r>
          </w:p>
        </w:tc>
        <w:tc>
          <w:tcPr>
            <w:tcW w:w="125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76C68C85" w14:textId="77777777" w:rsidR="00473390" w:rsidRPr="00473390" w:rsidRDefault="00473390" w:rsidP="00473390">
            <w:pPr>
              <w:kinsoku w:val="0"/>
              <w:overflowPunct w:val="0"/>
              <w:spacing w:after="0" w:line="240" w:lineRule="auto"/>
              <w:ind w:right="86"/>
              <w:jc w:val="center"/>
              <w:textAlignment w:val="baseline"/>
              <w:rPr>
                <w:rFonts w:ascii="Calibri" w:eastAsia="Times New Roman" w:hAnsi="Calibri" w:cs="Arial"/>
                <w:lang w:eastAsia="fr-FR"/>
              </w:rPr>
            </w:pPr>
            <w:r w:rsidRPr="00473390">
              <w:rPr>
                <w:rFonts w:ascii="Calibri" w:eastAsia="Times New Roman" w:hAnsi="Calibri" w:cs="Arial"/>
                <w:color w:val="000000"/>
                <w:kern w:val="24"/>
                <w:lang w:eastAsia="fr-FR"/>
              </w:rPr>
              <w:t>60</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3A09B53D" w14:textId="77777777" w:rsidR="00473390" w:rsidRPr="00473390" w:rsidRDefault="00473390" w:rsidP="00473390">
            <w:pPr>
              <w:kinsoku w:val="0"/>
              <w:overflowPunct w:val="0"/>
              <w:spacing w:after="0" w:line="240" w:lineRule="auto"/>
              <w:jc w:val="center"/>
              <w:textAlignment w:val="baseline"/>
              <w:rPr>
                <w:rFonts w:ascii="Calibri" w:eastAsia="Times New Roman" w:hAnsi="Calibri" w:cs="Arial"/>
                <w:lang w:eastAsia="fr-FR"/>
              </w:rPr>
            </w:pPr>
            <w:r w:rsidRPr="00473390">
              <w:rPr>
                <w:rFonts w:ascii="Calibri" w:eastAsia="Times New Roman" w:hAnsi="Calibri" w:cs="Arial"/>
                <w:color w:val="000000"/>
                <w:kern w:val="24"/>
                <w:lang w:eastAsia="fr-FR"/>
              </w:rPr>
              <w:t> </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217AC6CB" w14:textId="77777777" w:rsidR="00473390" w:rsidRPr="00473390" w:rsidRDefault="00473390" w:rsidP="00473390">
            <w:pPr>
              <w:kinsoku w:val="0"/>
              <w:overflowPunct w:val="0"/>
              <w:spacing w:after="0" w:line="240" w:lineRule="auto"/>
              <w:ind w:right="86"/>
              <w:jc w:val="center"/>
              <w:textAlignment w:val="baseline"/>
              <w:rPr>
                <w:rFonts w:ascii="Calibri" w:eastAsia="Times New Roman" w:hAnsi="Calibri" w:cs="Arial"/>
                <w:lang w:eastAsia="fr-FR"/>
              </w:rPr>
            </w:pPr>
            <w:r w:rsidRPr="00473390">
              <w:rPr>
                <w:rFonts w:ascii="Calibri" w:eastAsia="Times New Roman" w:hAnsi="Calibri" w:cs="Arial"/>
                <w:color w:val="000000"/>
                <w:spacing w:val="1"/>
                <w:kern w:val="24"/>
                <w:lang w:eastAsia="fr-FR"/>
              </w:rPr>
              <w:t>4200</w:t>
            </w:r>
          </w:p>
        </w:tc>
      </w:tr>
      <w:tr w:rsidR="00473390" w:rsidRPr="00473390" w14:paraId="69D56945" w14:textId="77777777" w:rsidTr="00473390">
        <w:trPr>
          <w:trHeight w:val="363"/>
        </w:trPr>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0BD28882" w14:textId="5E74A1B3" w:rsidR="00473390" w:rsidRPr="00473390" w:rsidRDefault="00473390" w:rsidP="00473390">
            <w:pPr>
              <w:kinsoku w:val="0"/>
              <w:overflowPunct w:val="0"/>
              <w:spacing w:after="0" w:line="240" w:lineRule="auto"/>
              <w:jc w:val="center"/>
              <w:textAlignment w:val="baseline"/>
              <w:rPr>
                <w:rFonts w:ascii="Calibri" w:eastAsia="Times New Roman" w:hAnsi="Calibri" w:cs="Arial"/>
                <w:lang w:eastAsia="fr-FR"/>
              </w:rPr>
            </w:pPr>
            <w:r w:rsidRPr="00473390">
              <w:rPr>
                <w:rFonts w:ascii="Calibri" w:eastAsia="Times New Roman" w:hAnsi="Calibri" w:cs="Arial"/>
                <w:color w:val="000000"/>
                <w:kern w:val="24"/>
                <w:lang w:eastAsia="fr-FR"/>
              </w:rPr>
              <w:t>Clôture / protection</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26CB8BC4" w14:textId="77777777" w:rsidR="00473390" w:rsidRPr="00473390" w:rsidRDefault="00473390" w:rsidP="00473390">
            <w:pPr>
              <w:kinsoku w:val="0"/>
              <w:overflowPunct w:val="0"/>
              <w:spacing w:after="0" w:line="240" w:lineRule="auto"/>
              <w:ind w:right="86"/>
              <w:jc w:val="center"/>
              <w:textAlignment w:val="baseline"/>
              <w:rPr>
                <w:rFonts w:ascii="Calibri" w:eastAsia="Times New Roman" w:hAnsi="Calibri" w:cs="Arial"/>
                <w:lang w:eastAsia="fr-FR"/>
              </w:rPr>
            </w:pPr>
            <w:r w:rsidRPr="00473390">
              <w:rPr>
                <w:rFonts w:ascii="Calibri" w:eastAsia="Times New Roman" w:hAnsi="Calibri" w:cs="Arial"/>
                <w:color w:val="000000"/>
                <w:spacing w:val="1"/>
                <w:kern w:val="24"/>
                <w:lang w:eastAsia="fr-FR"/>
              </w:rPr>
              <w:t>40</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69BD9BF1" w14:textId="77777777" w:rsidR="00473390" w:rsidRPr="00473390" w:rsidRDefault="00473390" w:rsidP="00473390">
            <w:pPr>
              <w:kinsoku w:val="0"/>
              <w:overflowPunct w:val="0"/>
              <w:spacing w:after="0" w:line="240" w:lineRule="auto"/>
              <w:jc w:val="center"/>
              <w:textAlignment w:val="baseline"/>
              <w:rPr>
                <w:rFonts w:ascii="Calibri" w:eastAsia="Times New Roman" w:hAnsi="Calibri" w:cs="Arial"/>
                <w:lang w:eastAsia="fr-FR"/>
              </w:rPr>
            </w:pPr>
            <w:r w:rsidRPr="00473390">
              <w:rPr>
                <w:rFonts w:ascii="Calibri" w:eastAsia="Times New Roman" w:hAnsi="Calibri" w:cs="Arial"/>
                <w:color w:val="000000"/>
                <w:kern w:val="24"/>
                <w:lang w:eastAsia="fr-FR"/>
              </w:rPr>
              <w:t> </w:t>
            </w:r>
          </w:p>
        </w:tc>
        <w:tc>
          <w:tcPr>
            <w:tcW w:w="1755"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2A14602B" w14:textId="77777777" w:rsidR="00473390" w:rsidRPr="00473390" w:rsidRDefault="00473390" w:rsidP="00473390">
            <w:pPr>
              <w:kinsoku w:val="0"/>
              <w:overflowPunct w:val="0"/>
              <w:spacing w:after="0" w:line="240" w:lineRule="auto"/>
              <w:ind w:right="86"/>
              <w:jc w:val="center"/>
              <w:textAlignment w:val="baseline"/>
              <w:rPr>
                <w:rFonts w:ascii="Calibri" w:eastAsia="Times New Roman" w:hAnsi="Calibri" w:cs="Arial"/>
                <w:lang w:eastAsia="fr-FR"/>
              </w:rPr>
            </w:pPr>
            <w:r w:rsidRPr="00473390">
              <w:rPr>
                <w:rFonts w:ascii="Calibri" w:eastAsia="Times New Roman" w:hAnsi="Calibri" w:cs="Arial"/>
                <w:color w:val="000000"/>
                <w:kern w:val="24"/>
                <w:lang w:eastAsia="fr-FR"/>
              </w:rPr>
              <w:t>6</w:t>
            </w:r>
          </w:p>
        </w:tc>
        <w:tc>
          <w:tcPr>
            <w:tcW w:w="125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6ABA0F82" w14:textId="77777777" w:rsidR="00473390" w:rsidRPr="00473390" w:rsidRDefault="00473390" w:rsidP="00473390">
            <w:pPr>
              <w:kinsoku w:val="0"/>
              <w:overflowPunct w:val="0"/>
              <w:spacing w:after="0" w:line="240" w:lineRule="auto"/>
              <w:ind w:right="86"/>
              <w:jc w:val="center"/>
              <w:textAlignment w:val="baseline"/>
              <w:rPr>
                <w:rFonts w:ascii="Calibri" w:eastAsia="Times New Roman" w:hAnsi="Calibri" w:cs="Arial"/>
                <w:lang w:eastAsia="fr-FR"/>
              </w:rPr>
            </w:pPr>
            <w:r w:rsidRPr="00473390">
              <w:rPr>
                <w:rFonts w:ascii="Calibri" w:eastAsia="Times New Roman" w:hAnsi="Calibri" w:cs="Arial"/>
                <w:color w:val="000000"/>
                <w:kern w:val="24"/>
                <w:lang w:eastAsia="fr-FR"/>
              </w:rPr>
              <w:t>60</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7EF1EFC6" w14:textId="77777777" w:rsidR="00473390" w:rsidRPr="00473390" w:rsidRDefault="00473390" w:rsidP="00473390">
            <w:pPr>
              <w:kinsoku w:val="0"/>
              <w:overflowPunct w:val="0"/>
              <w:spacing w:after="0" w:line="240" w:lineRule="auto"/>
              <w:jc w:val="center"/>
              <w:textAlignment w:val="baseline"/>
              <w:rPr>
                <w:rFonts w:ascii="Calibri" w:eastAsia="Times New Roman" w:hAnsi="Calibri" w:cs="Arial"/>
                <w:lang w:eastAsia="fr-FR"/>
              </w:rPr>
            </w:pPr>
            <w:r w:rsidRPr="00473390">
              <w:rPr>
                <w:rFonts w:ascii="Calibri" w:eastAsia="Times New Roman" w:hAnsi="Calibri" w:cs="Arial"/>
                <w:color w:val="000000"/>
                <w:kern w:val="24"/>
                <w:lang w:eastAsia="fr-FR"/>
              </w:rPr>
              <w:t> </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2288814F" w14:textId="77777777" w:rsidR="00473390" w:rsidRPr="00473390" w:rsidRDefault="00473390" w:rsidP="00473390">
            <w:pPr>
              <w:kinsoku w:val="0"/>
              <w:overflowPunct w:val="0"/>
              <w:spacing w:after="0" w:line="240" w:lineRule="auto"/>
              <w:ind w:right="86"/>
              <w:jc w:val="center"/>
              <w:textAlignment w:val="baseline"/>
              <w:rPr>
                <w:rFonts w:ascii="Calibri" w:eastAsia="Times New Roman" w:hAnsi="Calibri" w:cs="Arial"/>
                <w:lang w:eastAsia="fr-FR"/>
              </w:rPr>
            </w:pPr>
            <w:r w:rsidRPr="00473390">
              <w:rPr>
                <w:rFonts w:ascii="Calibri" w:eastAsia="Times New Roman" w:hAnsi="Calibri" w:cs="Arial"/>
                <w:color w:val="000000"/>
                <w:spacing w:val="1"/>
                <w:kern w:val="24"/>
                <w:lang w:eastAsia="fr-FR"/>
              </w:rPr>
              <w:t>2400</w:t>
            </w:r>
          </w:p>
        </w:tc>
      </w:tr>
      <w:tr w:rsidR="00473390" w:rsidRPr="00473390" w14:paraId="081CC211" w14:textId="77777777" w:rsidTr="00473390">
        <w:trPr>
          <w:trHeight w:val="367"/>
        </w:trPr>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3B347766" w14:textId="77777777" w:rsidR="00473390" w:rsidRPr="00473390" w:rsidRDefault="00473390" w:rsidP="00473390">
            <w:pPr>
              <w:kinsoku w:val="0"/>
              <w:overflowPunct w:val="0"/>
              <w:spacing w:after="0" w:line="240" w:lineRule="auto"/>
              <w:jc w:val="center"/>
              <w:textAlignment w:val="baseline"/>
              <w:rPr>
                <w:rFonts w:ascii="Calibri" w:eastAsia="Times New Roman" w:hAnsi="Calibri" w:cs="Arial"/>
                <w:lang w:eastAsia="fr-FR"/>
              </w:rPr>
            </w:pPr>
            <w:r w:rsidRPr="00473390">
              <w:rPr>
                <w:rFonts w:ascii="Calibri" w:eastAsia="Times New Roman" w:hAnsi="Calibri" w:cs="Arial"/>
                <w:color w:val="000000"/>
                <w:kern w:val="24"/>
                <w:lang w:eastAsia="fr-FR"/>
              </w:rPr>
              <w:t>Remplissage des sacs</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66D55D24" w14:textId="77777777" w:rsidR="00473390" w:rsidRPr="00473390" w:rsidRDefault="00473390" w:rsidP="00473390">
            <w:pPr>
              <w:kinsoku w:val="0"/>
              <w:overflowPunct w:val="0"/>
              <w:spacing w:after="0" w:line="240" w:lineRule="auto"/>
              <w:ind w:right="86"/>
              <w:jc w:val="center"/>
              <w:textAlignment w:val="baseline"/>
              <w:rPr>
                <w:rFonts w:ascii="Calibri" w:eastAsia="Times New Roman" w:hAnsi="Calibri" w:cs="Arial"/>
                <w:lang w:eastAsia="fr-FR"/>
              </w:rPr>
            </w:pPr>
            <w:r w:rsidRPr="00473390">
              <w:rPr>
                <w:rFonts w:ascii="Calibri" w:eastAsia="Times New Roman" w:hAnsi="Calibri" w:cs="Arial"/>
                <w:color w:val="000000"/>
                <w:spacing w:val="-1"/>
                <w:kern w:val="24"/>
                <w:lang w:eastAsia="fr-FR"/>
              </w:rPr>
              <w:t>28</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22632D29" w14:textId="77777777" w:rsidR="00473390" w:rsidRPr="00473390" w:rsidRDefault="00473390" w:rsidP="00473390">
            <w:pPr>
              <w:kinsoku w:val="0"/>
              <w:overflowPunct w:val="0"/>
              <w:spacing w:after="0" w:line="240" w:lineRule="auto"/>
              <w:ind w:right="86"/>
              <w:jc w:val="center"/>
              <w:textAlignment w:val="baseline"/>
              <w:rPr>
                <w:rFonts w:ascii="Calibri" w:eastAsia="Times New Roman" w:hAnsi="Calibri" w:cs="Arial"/>
                <w:lang w:eastAsia="fr-FR"/>
              </w:rPr>
            </w:pPr>
            <w:r w:rsidRPr="00473390">
              <w:rPr>
                <w:rFonts w:ascii="Calibri" w:eastAsia="Times New Roman" w:hAnsi="Calibri" w:cs="Arial"/>
                <w:color w:val="000000"/>
                <w:spacing w:val="-2"/>
                <w:kern w:val="24"/>
                <w:lang w:eastAsia="fr-FR"/>
              </w:rPr>
              <w:t>98</w:t>
            </w:r>
          </w:p>
        </w:tc>
        <w:tc>
          <w:tcPr>
            <w:tcW w:w="1755"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51C833C4" w14:textId="77777777" w:rsidR="00473390" w:rsidRPr="00473390" w:rsidRDefault="00473390" w:rsidP="00473390">
            <w:pPr>
              <w:kinsoku w:val="0"/>
              <w:overflowPunct w:val="0"/>
              <w:spacing w:after="0" w:line="240" w:lineRule="auto"/>
              <w:ind w:right="86"/>
              <w:jc w:val="center"/>
              <w:textAlignment w:val="baseline"/>
              <w:rPr>
                <w:rFonts w:ascii="Calibri" w:eastAsia="Times New Roman" w:hAnsi="Calibri" w:cs="Arial"/>
                <w:lang w:eastAsia="fr-FR"/>
              </w:rPr>
            </w:pPr>
            <w:r w:rsidRPr="00473390">
              <w:rPr>
                <w:rFonts w:ascii="Calibri" w:eastAsia="Times New Roman" w:hAnsi="Calibri" w:cs="Arial"/>
                <w:color w:val="000000"/>
                <w:kern w:val="24"/>
                <w:lang w:eastAsia="fr-FR"/>
              </w:rPr>
              <w:t>6</w:t>
            </w:r>
          </w:p>
        </w:tc>
        <w:tc>
          <w:tcPr>
            <w:tcW w:w="125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0876D70D" w14:textId="77777777" w:rsidR="00473390" w:rsidRPr="00473390" w:rsidRDefault="00473390" w:rsidP="00473390">
            <w:pPr>
              <w:kinsoku w:val="0"/>
              <w:overflowPunct w:val="0"/>
              <w:spacing w:after="0" w:line="240" w:lineRule="auto"/>
              <w:ind w:right="86"/>
              <w:jc w:val="center"/>
              <w:textAlignment w:val="baseline"/>
              <w:rPr>
                <w:rFonts w:ascii="Calibri" w:eastAsia="Times New Roman" w:hAnsi="Calibri" w:cs="Arial"/>
                <w:lang w:eastAsia="fr-FR"/>
              </w:rPr>
            </w:pPr>
            <w:r w:rsidRPr="00473390">
              <w:rPr>
                <w:rFonts w:ascii="Calibri" w:eastAsia="Times New Roman" w:hAnsi="Calibri" w:cs="Arial"/>
                <w:color w:val="000000"/>
                <w:kern w:val="24"/>
                <w:lang w:eastAsia="fr-FR"/>
              </w:rPr>
              <w:t>60</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5224AFF7" w14:textId="77777777" w:rsidR="00473390" w:rsidRPr="00473390" w:rsidRDefault="00473390" w:rsidP="00473390">
            <w:pPr>
              <w:kinsoku w:val="0"/>
              <w:overflowPunct w:val="0"/>
              <w:spacing w:after="0" w:line="240" w:lineRule="auto"/>
              <w:ind w:right="86"/>
              <w:jc w:val="center"/>
              <w:textAlignment w:val="baseline"/>
              <w:rPr>
                <w:rFonts w:ascii="Calibri" w:eastAsia="Times New Roman" w:hAnsi="Calibri" w:cs="Arial"/>
                <w:lang w:eastAsia="fr-FR"/>
              </w:rPr>
            </w:pPr>
            <w:r w:rsidRPr="00473390">
              <w:rPr>
                <w:rFonts w:ascii="Calibri" w:eastAsia="Times New Roman" w:hAnsi="Calibri" w:cs="Arial"/>
                <w:color w:val="000000"/>
                <w:spacing w:val="1"/>
                <w:kern w:val="24"/>
                <w:lang w:eastAsia="fr-FR"/>
              </w:rPr>
              <w:t>40</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647F70F1" w14:textId="77777777" w:rsidR="00473390" w:rsidRPr="00473390" w:rsidRDefault="00473390" w:rsidP="00473390">
            <w:pPr>
              <w:kinsoku w:val="0"/>
              <w:overflowPunct w:val="0"/>
              <w:spacing w:after="0" w:line="240" w:lineRule="auto"/>
              <w:ind w:right="86"/>
              <w:jc w:val="center"/>
              <w:textAlignment w:val="baseline"/>
              <w:rPr>
                <w:rFonts w:ascii="Calibri" w:eastAsia="Times New Roman" w:hAnsi="Calibri" w:cs="Arial"/>
                <w:lang w:eastAsia="fr-FR"/>
              </w:rPr>
            </w:pPr>
            <w:r w:rsidRPr="00473390">
              <w:rPr>
                <w:rFonts w:ascii="Calibri" w:eastAsia="Times New Roman" w:hAnsi="Calibri" w:cs="Arial"/>
                <w:color w:val="000000"/>
                <w:spacing w:val="1"/>
                <w:kern w:val="24"/>
                <w:lang w:eastAsia="fr-FR"/>
              </w:rPr>
              <w:t>5600</w:t>
            </w:r>
          </w:p>
        </w:tc>
      </w:tr>
      <w:tr w:rsidR="00473390" w:rsidRPr="00473390" w14:paraId="40CCCE20" w14:textId="77777777" w:rsidTr="00473390">
        <w:trPr>
          <w:trHeight w:val="368"/>
        </w:trPr>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524DCAF6" w14:textId="77777777" w:rsidR="00473390" w:rsidRPr="00473390" w:rsidRDefault="00473390" w:rsidP="00473390">
            <w:pPr>
              <w:kinsoku w:val="0"/>
              <w:overflowPunct w:val="0"/>
              <w:spacing w:after="0" w:line="240" w:lineRule="auto"/>
              <w:jc w:val="center"/>
              <w:textAlignment w:val="baseline"/>
              <w:rPr>
                <w:rFonts w:ascii="Calibri" w:eastAsia="Times New Roman" w:hAnsi="Calibri" w:cs="Arial"/>
                <w:lang w:eastAsia="fr-FR"/>
              </w:rPr>
            </w:pPr>
            <w:r w:rsidRPr="00473390">
              <w:rPr>
                <w:rFonts w:ascii="Calibri" w:eastAsia="Times New Roman" w:hAnsi="Calibri" w:cs="Arial"/>
                <w:color w:val="000000"/>
                <w:kern w:val="24"/>
                <w:lang w:eastAsia="fr-FR"/>
              </w:rPr>
              <w:t>Collecte de semences</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0D700F78" w14:textId="77777777" w:rsidR="00473390" w:rsidRPr="00473390" w:rsidRDefault="00473390" w:rsidP="00473390">
            <w:pPr>
              <w:kinsoku w:val="0"/>
              <w:overflowPunct w:val="0"/>
              <w:spacing w:after="0" w:line="240" w:lineRule="auto"/>
              <w:jc w:val="center"/>
              <w:textAlignment w:val="baseline"/>
              <w:rPr>
                <w:rFonts w:ascii="Calibri" w:eastAsia="Times New Roman" w:hAnsi="Calibri" w:cs="Arial"/>
                <w:lang w:eastAsia="fr-FR"/>
              </w:rPr>
            </w:pPr>
            <w:r w:rsidRPr="00473390">
              <w:rPr>
                <w:rFonts w:ascii="Calibri" w:eastAsia="Times New Roman" w:hAnsi="Calibri" w:cs="Arial"/>
                <w:color w:val="000000"/>
                <w:kern w:val="24"/>
                <w:lang w:eastAsia="fr-FR"/>
              </w:rPr>
              <w:t> </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1F0E28BE" w14:textId="77777777" w:rsidR="00473390" w:rsidRPr="00473390" w:rsidRDefault="00473390" w:rsidP="00473390">
            <w:pPr>
              <w:kinsoku w:val="0"/>
              <w:overflowPunct w:val="0"/>
              <w:spacing w:after="0" w:line="240" w:lineRule="auto"/>
              <w:ind w:right="86"/>
              <w:jc w:val="center"/>
              <w:textAlignment w:val="baseline"/>
              <w:rPr>
                <w:rFonts w:ascii="Calibri" w:eastAsia="Times New Roman" w:hAnsi="Calibri" w:cs="Arial"/>
                <w:lang w:eastAsia="fr-FR"/>
              </w:rPr>
            </w:pPr>
            <w:r w:rsidRPr="00473390">
              <w:rPr>
                <w:rFonts w:ascii="Calibri" w:eastAsia="Times New Roman" w:hAnsi="Calibri" w:cs="Arial"/>
                <w:color w:val="000000"/>
                <w:spacing w:val="1"/>
                <w:kern w:val="24"/>
                <w:lang w:eastAsia="fr-FR"/>
              </w:rPr>
              <w:t>42</w:t>
            </w:r>
          </w:p>
        </w:tc>
        <w:tc>
          <w:tcPr>
            <w:tcW w:w="1755"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7D3DB2B3" w14:textId="77777777" w:rsidR="00473390" w:rsidRPr="00473390" w:rsidRDefault="00473390" w:rsidP="00473390">
            <w:pPr>
              <w:kinsoku w:val="0"/>
              <w:overflowPunct w:val="0"/>
              <w:spacing w:after="0" w:line="240" w:lineRule="auto"/>
              <w:ind w:right="86"/>
              <w:jc w:val="center"/>
              <w:textAlignment w:val="baseline"/>
              <w:rPr>
                <w:rFonts w:ascii="Calibri" w:eastAsia="Times New Roman" w:hAnsi="Calibri" w:cs="Arial"/>
                <w:lang w:eastAsia="fr-FR"/>
              </w:rPr>
            </w:pPr>
            <w:r w:rsidRPr="00473390">
              <w:rPr>
                <w:rFonts w:ascii="Calibri" w:eastAsia="Times New Roman" w:hAnsi="Calibri" w:cs="Arial"/>
                <w:color w:val="000000"/>
                <w:kern w:val="24"/>
                <w:lang w:eastAsia="fr-FR"/>
              </w:rPr>
              <w:t>6</w:t>
            </w:r>
          </w:p>
        </w:tc>
        <w:tc>
          <w:tcPr>
            <w:tcW w:w="125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42FD6747" w14:textId="77777777" w:rsidR="00473390" w:rsidRPr="00473390" w:rsidRDefault="00473390" w:rsidP="00473390">
            <w:pPr>
              <w:kinsoku w:val="0"/>
              <w:overflowPunct w:val="0"/>
              <w:spacing w:after="0" w:line="240" w:lineRule="auto"/>
              <w:jc w:val="center"/>
              <w:textAlignment w:val="baseline"/>
              <w:rPr>
                <w:rFonts w:ascii="Calibri" w:eastAsia="Times New Roman" w:hAnsi="Calibri" w:cs="Arial"/>
                <w:lang w:eastAsia="fr-FR"/>
              </w:rPr>
            </w:pPr>
            <w:r w:rsidRPr="00473390">
              <w:rPr>
                <w:rFonts w:ascii="Calibri" w:eastAsia="Times New Roman" w:hAnsi="Calibri" w:cs="Arial"/>
                <w:color w:val="000000"/>
                <w:kern w:val="24"/>
                <w:lang w:eastAsia="fr-FR"/>
              </w:rPr>
              <w:t> </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0E6FD827" w14:textId="77777777" w:rsidR="00473390" w:rsidRPr="00473390" w:rsidRDefault="00473390" w:rsidP="00473390">
            <w:pPr>
              <w:kinsoku w:val="0"/>
              <w:overflowPunct w:val="0"/>
              <w:spacing w:after="0" w:line="240" w:lineRule="auto"/>
              <w:ind w:right="86"/>
              <w:jc w:val="center"/>
              <w:textAlignment w:val="baseline"/>
              <w:rPr>
                <w:rFonts w:ascii="Calibri" w:eastAsia="Times New Roman" w:hAnsi="Calibri" w:cs="Arial"/>
                <w:lang w:eastAsia="fr-FR"/>
              </w:rPr>
            </w:pPr>
            <w:r w:rsidRPr="00473390">
              <w:rPr>
                <w:rFonts w:ascii="Calibri" w:eastAsia="Times New Roman" w:hAnsi="Calibri" w:cs="Arial"/>
                <w:color w:val="000000"/>
                <w:spacing w:val="1"/>
                <w:kern w:val="24"/>
                <w:lang w:eastAsia="fr-FR"/>
              </w:rPr>
              <w:t>40</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73C3FCF9" w14:textId="77777777" w:rsidR="00473390" w:rsidRPr="00473390" w:rsidRDefault="00473390" w:rsidP="00473390">
            <w:pPr>
              <w:kinsoku w:val="0"/>
              <w:overflowPunct w:val="0"/>
              <w:spacing w:after="0" w:line="240" w:lineRule="auto"/>
              <w:ind w:right="86"/>
              <w:jc w:val="center"/>
              <w:textAlignment w:val="baseline"/>
              <w:rPr>
                <w:rFonts w:ascii="Calibri" w:eastAsia="Times New Roman" w:hAnsi="Calibri" w:cs="Arial"/>
                <w:lang w:eastAsia="fr-FR"/>
              </w:rPr>
            </w:pPr>
            <w:r w:rsidRPr="00473390">
              <w:rPr>
                <w:rFonts w:ascii="Calibri" w:eastAsia="Times New Roman" w:hAnsi="Calibri" w:cs="Arial"/>
                <w:color w:val="000000"/>
                <w:spacing w:val="-1"/>
                <w:kern w:val="24"/>
                <w:lang w:eastAsia="fr-FR"/>
              </w:rPr>
              <w:t>1680</w:t>
            </w:r>
          </w:p>
        </w:tc>
      </w:tr>
      <w:tr w:rsidR="00473390" w:rsidRPr="00473390" w14:paraId="0B7AAADB" w14:textId="77777777" w:rsidTr="00473390">
        <w:trPr>
          <w:trHeight w:val="362"/>
        </w:trPr>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0C0C6A3C" w14:textId="77777777" w:rsidR="00473390" w:rsidRPr="00473390" w:rsidRDefault="00473390" w:rsidP="00473390">
            <w:pPr>
              <w:kinsoku w:val="0"/>
              <w:overflowPunct w:val="0"/>
              <w:spacing w:after="0" w:line="240" w:lineRule="auto"/>
              <w:jc w:val="center"/>
              <w:textAlignment w:val="baseline"/>
              <w:rPr>
                <w:rFonts w:ascii="Calibri" w:eastAsia="Times New Roman" w:hAnsi="Calibri" w:cs="Arial"/>
                <w:lang w:eastAsia="fr-FR"/>
              </w:rPr>
            </w:pPr>
            <w:r w:rsidRPr="00473390">
              <w:rPr>
                <w:rFonts w:ascii="Calibri" w:eastAsia="Times New Roman" w:hAnsi="Calibri" w:cs="Arial"/>
                <w:color w:val="000000"/>
                <w:spacing w:val="1"/>
                <w:kern w:val="24"/>
                <w:lang w:eastAsia="fr-FR"/>
              </w:rPr>
              <w:t xml:space="preserve">Transfert des sacs vers les planches </w:t>
            </w:r>
            <w:r w:rsidRPr="00473390">
              <w:rPr>
                <w:rFonts w:ascii="Calibri" w:eastAsia="Times New Roman" w:hAnsi="Calibri" w:cs="Arial"/>
                <w:color w:val="000000"/>
                <w:kern w:val="24"/>
                <w:lang w:eastAsia="fr-FR"/>
              </w:rPr>
              <w:t>(culturale)</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535433A5" w14:textId="77777777" w:rsidR="00473390" w:rsidRPr="00473390" w:rsidRDefault="00473390" w:rsidP="00473390">
            <w:pPr>
              <w:kinsoku w:val="0"/>
              <w:overflowPunct w:val="0"/>
              <w:spacing w:after="0" w:line="240" w:lineRule="auto"/>
              <w:jc w:val="center"/>
              <w:textAlignment w:val="baseline"/>
              <w:rPr>
                <w:rFonts w:ascii="Calibri" w:eastAsia="Times New Roman" w:hAnsi="Calibri" w:cs="Arial"/>
                <w:lang w:eastAsia="fr-FR"/>
              </w:rPr>
            </w:pPr>
            <w:r w:rsidRPr="00473390">
              <w:rPr>
                <w:rFonts w:ascii="Calibri" w:eastAsia="Times New Roman" w:hAnsi="Calibri" w:cs="Arial"/>
                <w:color w:val="000000"/>
                <w:kern w:val="24"/>
                <w:lang w:eastAsia="fr-FR"/>
              </w:rPr>
              <w:t> </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604E3574" w14:textId="77777777" w:rsidR="00473390" w:rsidRPr="00473390" w:rsidRDefault="00473390" w:rsidP="00473390">
            <w:pPr>
              <w:kinsoku w:val="0"/>
              <w:overflowPunct w:val="0"/>
              <w:spacing w:after="0" w:line="240" w:lineRule="auto"/>
              <w:ind w:right="86"/>
              <w:jc w:val="center"/>
              <w:textAlignment w:val="baseline"/>
              <w:rPr>
                <w:rFonts w:ascii="Calibri" w:eastAsia="Times New Roman" w:hAnsi="Calibri" w:cs="Arial"/>
                <w:lang w:eastAsia="fr-FR"/>
              </w:rPr>
            </w:pPr>
            <w:r w:rsidRPr="00473390">
              <w:rPr>
                <w:rFonts w:ascii="Calibri" w:eastAsia="Times New Roman" w:hAnsi="Calibri" w:cs="Arial"/>
                <w:color w:val="000000"/>
                <w:spacing w:val="-4"/>
                <w:kern w:val="24"/>
                <w:lang w:eastAsia="fr-FR"/>
              </w:rPr>
              <w:t>16</w:t>
            </w:r>
          </w:p>
        </w:tc>
        <w:tc>
          <w:tcPr>
            <w:tcW w:w="1755"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33658E4A" w14:textId="77777777" w:rsidR="00473390" w:rsidRPr="00473390" w:rsidRDefault="00473390" w:rsidP="00473390">
            <w:pPr>
              <w:kinsoku w:val="0"/>
              <w:overflowPunct w:val="0"/>
              <w:spacing w:after="0" w:line="240" w:lineRule="auto"/>
              <w:ind w:right="86"/>
              <w:jc w:val="center"/>
              <w:textAlignment w:val="baseline"/>
              <w:rPr>
                <w:rFonts w:ascii="Calibri" w:eastAsia="Times New Roman" w:hAnsi="Calibri" w:cs="Arial"/>
                <w:lang w:eastAsia="fr-FR"/>
              </w:rPr>
            </w:pPr>
            <w:r w:rsidRPr="00473390">
              <w:rPr>
                <w:rFonts w:ascii="Calibri" w:eastAsia="Times New Roman" w:hAnsi="Calibri" w:cs="Arial"/>
                <w:color w:val="000000"/>
                <w:kern w:val="24"/>
                <w:lang w:eastAsia="fr-FR"/>
              </w:rPr>
              <w:t>6</w:t>
            </w:r>
          </w:p>
        </w:tc>
        <w:tc>
          <w:tcPr>
            <w:tcW w:w="125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5A107CFB" w14:textId="77777777" w:rsidR="00473390" w:rsidRPr="00473390" w:rsidRDefault="00473390" w:rsidP="00473390">
            <w:pPr>
              <w:kinsoku w:val="0"/>
              <w:overflowPunct w:val="0"/>
              <w:spacing w:after="0" w:line="240" w:lineRule="auto"/>
              <w:jc w:val="center"/>
              <w:textAlignment w:val="baseline"/>
              <w:rPr>
                <w:rFonts w:ascii="Calibri" w:eastAsia="Times New Roman" w:hAnsi="Calibri" w:cs="Arial"/>
                <w:lang w:eastAsia="fr-FR"/>
              </w:rPr>
            </w:pPr>
            <w:r w:rsidRPr="00473390">
              <w:rPr>
                <w:rFonts w:ascii="Calibri" w:eastAsia="Times New Roman" w:hAnsi="Calibri" w:cs="Arial"/>
                <w:color w:val="000000"/>
                <w:kern w:val="24"/>
                <w:lang w:eastAsia="fr-FR"/>
              </w:rPr>
              <w:t> </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459789B1" w14:textId="77777777" w:rsidR="00473390" w:rsidRPr="00473390" w:rsidRDefault="00473390" w:rsidP="00473390">
            <w:pPr>
              <w:kinsoku w:val="0"/>
              <w:overflowPunct w:val="0"/>
              <w:spacing w:after="0" w:line="240" w:lineRule="auto"/>
              <w:ind w:right="86"/>
              <w:jc w:val="center"/>
              <w:textAlignment w:val="baseline"/>
              <w:rPr>
                <w:rFonts w:ascii="Calibri" w:eastAsia="Times New Roman" w:hAnsi="Calibri" w:cs="Arial"/>
                <w:lang w:eastAsia="fr-FR"/>
              </w:rPr>
            </w:pPr>
            <w:r w:rsidRPr="00473390">
              <w:rPr>
                <w:rFonts w:ascii="Calibri" w:eastAsia="Times New Roman" w:hAnsi="Calibri" w:cs="Arial"/>
                <w:color w:val="000000"/>
                <w:spacing w:val="1"/>
                <w:kern w:val="24"/>
                <w:lang w:eastAsia="fr-FR"/>
              </w:rPr>
              <w:t>40</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618A2357" w14:textId="77777777" w:rsidR="00473390" w:rsidRPr="00473390" w:rsidRDefault="00473390" w:rsidP="00473390">
            <w:pPr>
              <w:kinsoku w:val="0"/>
              <w:overflowPunct w:val="0"/>
              <w:spacing w:after="0" w:line="240" w:lineRule="auto"/>
              <w:ind w:right="86"/>
              <w:jc w:val="center"/>
              <w:textAlignment w:val="baseline"/>
              <w:rPr>
                <w:rFonts w:ascii="Calibri" w:eastAsia="Times New Roman" w:hAnsi="Calibri" w:cs="Arial"/>
                <w:lang w:eastAsia="fr-FR"/>
              </w:rPr>
            </w:pPr>
            <w:r w:rsidRPr="00473390">
              <w:rPr>
                <w:rFonts w:ascii="Calibri" w:eastAsia="Times New Roman" w:hAnsi="Calibri" w:cs="Arial"/>
                <w:color w:val="000000"/>
                <w:kern w:val="24"/>
                <w:lang w:eastAsia="fr-FR"/>
              </w:rPr>
              <w:t>640</w:t>
            </w:r>
          </w:p>
        </w:tc>
      </w:tr>
      <w:tr w:rsidR="00473390" w:rsidRPr="00473390" w14:paraId="6F90ABD7" w14:textId="77777777" w:rsidTr="00473390">
        <w:trPr>
          <w:trHeight w:val="363"/>
        </w:trPr>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7BF95CC3" w14:textId="3B6C30FC" w:rsidR="00473390" w:rsidRPr="00473390" w:rsidRDefault="00473390" w:rsidP="00473390">
            <w:pPr>
              <w:kinsoku w:val="0"/>
              <w:overflowPunct w:val="0"/>
              <w:spacing w:after="0" w:line="240" w:lineRule="auto"/>
              <w:jc w:val="center"/>
              <w:textAlignment w:val="baseline"/>
              <w:rPr>
                <w:rFonts w:ascii="Calibri" w:eastAsia="Times New Roman" w:hAnsi="Calibri" w:cs="Arial"/>
                <w:lang w:eastAsia="fr-FR"/>
              </w:rPr>
            </w:pPr>
            <w:r w:rsidRPr="00473390">
              <w:rPr>
                <w:rFonts w:ascii="Calibri" w:eastAsia="Times New Roman" w:hAnsi="Calibri" w:cs="Arial"/>
                <w:color w:val="000000"/>
                <w:spacing w:val="1"/>
                <w:kern w:val="24"/>
                <w:lang w:eastAsia="fr-FR"/>
              </w:rPr>
              <w:t>Planter les graines dans des sacs</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28689070" w14:textId="77777777" w:rsidR="00473390" w:rsidRPr="00473390" w:rsidRDefault="00473390" w:rsidP="00473390">
            <w:pPr>
              <w:kinsoku w:val="0"/>
              <w:overflowPunct w:val="0"/>
              <w:spacing w:after="0" w:line="240" w:lineRule="auto"/>
              <w:jc w:val="center"/>
              <w:textAlignment w:val="baseline"/>
              <w:rPr>
                <w:rFonts w:ascii="Calibri" w:eastAsia="Times New Roman" w:hAnsi="Calibri" w:cs="Arial"/>
                <w:lang w:eastAsia="fr-FR"/>
              </w:rPr>
            </w:pPr>
            <w:r w:rsidRPr="00473390">
              <w:rPr>
                <w:rFonts w:ascii="Calibri" w:eastAsia="Times New Roman" w:hAnsi="Calibri" w:cs="Arial"/>
                <w:color w:val="000000"/>
                <w:kern w:val="24"/>
                <w:lang w:eastAsia="fr-FR"/>
              </w:rPr>
              <w:t> </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4E79EC3B" w14:textId="77777777" w:rsidR="00473390" w:rsidRPr="00473390" w:rsidRDefault="00473390" w:rsidP="00473390">
            <w:pPr>
              <w:kinsoku w:val="0"/>
              <w:overflowPunct w:val="0"/>
              <w:spacing w:after="0" w:line="240" w:lineRule="auto"/>
              <w:ind w:right="86"/>
              <w:jc w:val="center"/>
              <w:textAlignment w:val="baseline"/>
              <w:rPr>
                <w:rFonts w:ascii="Calibri" w:eastAsia="Times New Roman" w:hAnsi="Calibri" w:cs="Arial"/>
                <w:lang w:eastAsia="fr-FR"/>
              </w:rPr>
            </w:pPr>
            <w:r w:rsidRPr="00473390">
              <w:rPr>
                <w:rFonts w:ascii="Calibri" w:eastAsia="Times New Roman" w:hAnsi="Calibri" w:cs="Arial"/>
                <w:color w:val="000000"/>
                <w:spacing w:val="-3"/>
                <w:kern w:val="24"/>
                <w:lang w:eastAsia="fr-FR"/>
              </w:rPr>
              <w:t>108</w:t>
            </w:r>
          </w:p>
        </w:tc>
        <w:tc>
          <w:tcPr>
            <w:tcW w:w="1755"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36688194" w14:textId="77777777" w:rsidR="00473390" w:rsidRPr="00473390" w:rsidRDefault="00473390" w:rsidP="00473390">
            <w:pPr>
              <w:kinsoku w:val="0"/>
              <w:overflowPunct w:val="0"/>
              <w:spacing w:after="0" w:line="240" w:lineRule="auto"/>
              <w:ind w:right="86"/>
              <w:jc w:val="center"/>
              <w:textAlignment w:val="baseline"/>
              <w:rPr>
                <w:rFonts w:ascii="Calibri" w:eastAsia="Times New Roman" w:hAnsi="Calibri" w:cs="Arial"/>
                <w:lang w:eastAsia="fr-FR"/>
              </w:rPr>
            </w:pPr>
            <w:r w:rsidRPr="00473390">
              <w:rPr>
                <w:rFonts w:ascii="Calibri" w:eastAsia="Times New Roman" w:hAnsi="Calibri" w:cs="Arial"/>
                <w:color w:val="000000"/>
                <w:kern w:val="24"/>
                <w:lang w:eastAsia="fr-FR"/>
              </w:rPr>
              <w:t>6</w:t>
            </w:r>
          </w:p>
        </w:tc>
        <w:tc>
          <w:tcPr>
            <w:tcW w:w="125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623FE50D" w14:textId="77777777" w:rsidR="00473390" w:rsidRPr="00473390" w:rsidRDefault="00473390" w:rsidP="00473390">
            <w:pPr>
              <w:kinsoku w:val="0"/>
              <w:overflowPunct w:val="0"/>
              <w:spacing w:after="0" w:line="240" w:lineRule="auto"/>
              <w:jc w:val="center"/>
              <w:textAlignment w:val="baseline"/>
              <w:rPr>
                <w:rFonts w:ascii="Calibri" w:eastAsia="Times New Roman" w:hAnsi="Calibri" w:cs="Arial"/>
                <w:lang w:eastAsia="fr-FR"/>
              </w:rPr>
            </w:pPr>
            <w:r w:rsidRPr="00473390">
              <w:rPr>
                <w:rFonts w:ascii="Calibri" w:eastAsia="Times New Roman" w:hAnsi="Calibri" w:cs="Arial"/>
                <w:color w:val="000000"/>
                <w:kern w:val="24"/>
                <w:lang w:eastAsia="fr-FR"/>
              </w:rPr>
              <w:t> </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48431F34" w14:textId="77777777" w:rsidR="00473390" w:rsidRPr="00473390" w:rsidRDefault="00473390" w:rsidP="00473390">
            <w:pPr>
              <w:kinsoku w:val="0"/>
              <w:overflowPunct w:val="0"/>
              <w:spacing w:after="0" w:line="240" w:lineRule="auto"/>
              <w:ind w:right="86"/>
              <w:jc w:val="center"/>
              <w:textAlignment w:val="baseline"/>
              <w:rPr>
                <w:rFonts w:ascii="Calibri" w:eastAsia="Times New Roman" w:hAnsi="Calibri" w:cs="Arial"/>
                <w:lang w:eastAsia="fr-FR"/>
              </w:rPr>
            </w:pPr>
            <w:r w:rsidRPr="00473390">
              <w:rPr>
                <w:rFonts w:ascii="Calibri" w:eastAsia="Times New Roman" w:hAnsi="Calibri" w:cs="Arial"/>
                <w:color w:val="000000"/>
                <w:spacing w:val="1"/>
                <w:kern w:val="24"/>
                <w:lang w:eastAsia="fr-FR"/>
              </w:rPr>
              <w:t>40</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5210F4EB" w14:textId="77777777" w:rsidR="00473390" w:rsidRPr="00473390" w:rsidRDefault="00473390" w:rsidP="00473390">
            <w:pPr>
              <w:kinsoku w:val="0"/>
              <w:overflowPunct w:val="0"/>
              <w:spacing w:after="0" w:line="240" w:lineRule="auto"/>
              <w:ind w:right="86"/>
              <w:jc w:val="center"/>
              <w:textAlignment w:val="baseline"/>
              <w:rPr>
                <w:rFonts w:ascii="Calibri" w:eastAsia="Times New Roman" w:hAnsi="Calibri" w:cs="Arial"/>
                <w:lang w:eastAsia="fr-FR"/>
              </w:rPr>
            </w:pPr>
            <w:r w:rsidRPr="00473390">
              <w:rPr>
                <w:rFonts w:ascii="Calibri" w:eastAsia="Times New Roman" w:hAnsi="Calibri" w:cs="Arial"/>
                <w:color w:val="000000"/>
                <w:spacing w:val="1"/>
                <w:kern w:val="24"/>
                <w:lang w:eastAsia="fr-FR"/>
              </w:rPr>
              <w:t>4320</w:t>
            </w:r>
          </w:p>
        </w:tc>
      </w:tr>
      <w:tr w:rsidR="00473390" w:rsidRPr="00473390" w14:paraId="2D008A77" w14:textId="77777777" w:rsidTr="00473390">
        <w:trPr>
          <w:trHeight w:val="367"/>
        </w:trPr>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1C1D5A75" w14:textId="77777777" w:rsidR="00473390" w:rsidRPr="00473390" w:rsidRDefault="00473390" w:rsidP="00473390">
            <w:pPr>
              <w:kinsoku w:val="0"/>
              <w:overflowPunct w:val="0"/>
              <w:spacing w:after="0" w:line="240" w:lineRule="auto"/>
              <w:jc w:val="center"/>
              <w:textAlignment w:val="baseline"/>
              <w:rPr>
                <w:rFonts w:ascii="Calibri" w:eastAsia="Times New Roman" w:hAnsi="Calibri" w:cs="Arial"/>
                <w:lang w:eastAsia="fr-FR"/>
              </w:rPr>
            </w:pPr>
            <w:r w:rsidRPr="00473390">
              <w:rPr>
                <w:rFonts w:ascii="Calibri" w:eastAsia="Times New Roman" w:hAnsi="Calibri" w:cs="Arial"/>
                <w:color w:val="000000"/>
                <w:kern w:val="24"/>
                <w:lang w:eastAsia="fr-FR"/>
              </w:rPr>
              <w:t>Maintenance / Soins</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2D23FE04" w14:textId="77777777" w:rsidR="00473390" w:rsidRPr="00473390" w:rsidRDefault="00473390" w:rsidP="00473390">
            <w:pPr>
              <w:kinsoku w:val="0"/>
              <w:overflowPunct w:val="0"/>
              <w:spacing w:after="0" w:line="240" w:lineRule="auto"/>
              <w:jc w:val="center"/>
              <w:textAlignment w:val="baseline"/>
              <w:rPr>
                <w:rFonts w:ascii="Calibri" w:eastAsia="Times New Roman" w:hAnsi="Calibri" w:cs="Arial"/>
                <w:lang w:eastAsia="fr-FR"/>
              </w:rPr>
            </w:pPr>
            <w:r w:rsidRPr="00473390">
              <w:rPr>
                <w:rFonts w:ascii="Calibri" w:eastAsia="Times New Roman" w:hAnsi="Calibri" w:cs="Arial"/>
                <w:color w:val="000000"/>
                <w:kern w:val="24"/>
                <w:lang w:eastAsia="fr-FR"/>
              </w:rPr>
              <w:t> </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58D4AC2E" w14:textId="77777777" w:rsidR="00473390" w:rsidRPr="00473390" w:rsidRDefault="00473390" w:rsidP="00473390">
            <w:pPr>
              <w:kinsoku w:val="0"/>
              <w:overflowPunct w:val="0"/>
              <w:spacing w:after="0" w:line="240" w:lineRule="auto"/>
              <w:ind w:right="86"/>
              <w:jc w:val="center"/>
              <w:textAlignment w:val="baseline"/>
              <w:rPr>
                <w:rFonts w:ascii="Calibri" w:eastAsia="Times New Roman" w:hAnsi="Calibri" w:cs="Arial"/>
                <w:lang w:eastAsia="fr-FR"/>
              </w:rPr>
            </w:pPr>
            <w:r w:rsidRPr="00473390">
              <w:rPr>
                <w:rFonts w:ascii="Calibri" w:eastAsia="Times New Roman" w:hAnsi="Calibri" w:cs="Arial"/>
                <w:color w:val="000000"/>
                <w:kern w:val="24"/>
                <w:lang w:eastAsia="fr-FR"/>
              </w:rPr>
              <w:t>96</w:t>
            </w:r>
          </w:p>
        </w:tc>
        <w:tc>
          <w:tcPr>
            <w:tcW w:w="1755"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71DE3A8C" w14:textId="77777777" w:rsidR="00473390" w:rsidRPr="00473390" w:rsidRDefault="00473390" w:rsidP="00473390">
            <w:pPr>
              <w:kinsoku w:val="0"/>
              <w:overflowPunct w:val="0"/>
              <w:spacing w:after="0" w:line="240" w:lineRule="auto"/>
              <w:ind w:right="86"/>
              <w:jc w:val="center"/>
              <w:textAlignment w:val="baseline"/>
              <w:rPr>
                <w:rFonts w:ascii="Calibri" w:eastAsia="Times New Roman" w:hAnsi="Calibri" w:cs="Arial"/>
                <w:lang w:eastAsia="fr-FR"/>
              </w:rPr>
            </w:pPr>
            <w:r w:rsidRPr="00473390">
              <w:rPr>
                <w:rFonts w:ascii="Calibri" w:eastAsia="Times New Roman" w:hAnsi="Calibri" w:cs="Arial"/>
                <w:color w:val="000000"/>
                <w:kern w:val="24"/>
                <w:lang w:eastAsia="fr-FR"/>
              </w:rPr>
              <w:t>6</w:t>
            </w:r>
          </w:p>
        </w:tc>
        <w:tc>
          <w:tcPr>
            <w:tcW w:w="125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757904E4" w14:textId="77777777" w:rsidR="00473390" w:rsidRPr="00473390" w:rsidRDefault="00473390" w:rsidP="00473390">
            <w:pPr>
              <w:kinsoku w:val="0"/>
              <w:overflowPunct w:val="0"/>
              <w:spacing w:after="0" w:line="240" w:lineRule="auto"/>
              <w:jc w:val="center"/>
              <w:textAlignment w:val="baseline"/>
              <w:rPr>
                <w:rFonts w:ascii="Calibri" w:eastAsia="Times New Roman" w:hAnsi="Calibri" w:cs="Arial"/>
                <w:lang w:eastAsia="fr-FR"/>
              </w:rPr>
            </w:pPr>
            <w:r w:rsidRPr="00473390">
              <w:rPr>
                <w:rFonts w:ascii="Calibri" w:eastAsia="Times New Roman" w:hAnsi="Calibri" w:cs="Arial"/>
                <w:color w:val="000000"/>
                <w:kern w:val="24"/>
                <w:lang w:eastAsia="fr-FR"/>
              </w:rPr>
              <w:t> </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3EBD9EBB" w14:textId="77777777" w:rsidR="00473390" w:rsidRPr="00473390" w:rsidRDefault="00473390" w:rsidP="00473390">
            <w:pPr>
              <w:kinsoku w:val="0"/>
              <w:overflowPunct w:val="0"/>
              <w:spacing w:after="0" w:line="240" w:lineRule="auto"/>
              <w:ind w:right="86"/>
              <w:jc w:val="center"/>
              <w:textAlignment w:val="baseline"/>
              <w:rPr>
                <w:rFonts w:ascii="Calibri" w:eastAsia="Times New Roman" w:hAnsi="Calibri" w:cs="Arial"/>
                <w:lang w:eastAsia="fr-FR"/>
              </w:rPr>
            </w:pPr>
            <w:r w:rsidRPr="00473390">
              <w:rPr>
                <w:rFonts w:ascii="Calibri" w:eastAsia="Times New Roman" w:hAnsi="Calibri" w:cs="Arial"/>
                <w:color w:val="000000"/>
                <w:spacing w:val="1"/>
                <w:kern w:val="24"/>
                <w:lang w:eastAsia="fr-FR"/>
              </w:rPr>
              <w:t>40</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0B7F482D" w14:textId="77777777" w:rsidR="00473390" w:rsidRPr="00473390" w:rsidRDefault="00473390" w:rsidP="00473390">
            <w:pPr>
              <w:kinsoku w:val="0"/>
              <w:overflowPunct w:val="0"/>
              <w:spacing w:after="0" w:line="240" w:lineRule="auto"/>
              <w:ind w:right="86"/>
              <w:jc w:val="center"/>
              <w:textAlignment w:val="baseline"/>
              <w:rPr>
                <w:rFonts w:ascii="Calibri" w:eastAsia="Times New Roman" w:hAnsi="Calibri" w:cs="Arial"/>
                <w:lang w:eastAsia="fr-FR"/>
              </w:rPr>
            </w:pPr>
            <w:r w:rsidRPr="00473390">
              <w:rPr>
                <w:rFonts w:ascii="Calibri" w:eastAsia="Times New Roman" w:hAnsi="Calibri" w:cs="Arial"/>
                <w:color w:val="000000"/>
                <w:spacing w:val="1"/>
                <w:kern w:val="24"/>
                <w:lang w:eastAsia="fr-FR"/>
              </w:rPr>
              <w:t>3840</w:t>
            </w:r>
          </w:p>
        </w:tc>
      </w:tr>
      <w:tr w:rsidR="00473390" w:rsidRPr="00473390" w14:paraId="422C8592" w14:textId="77777777" w:rsidTr="00473390">
        <w:trPr>
          <w:trHeight w:val="372"/>
        </w:trPr>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08CCBFD7" w14:textId="77777777" w:rsidR="00473390" w:rsidRPr="00473390" w:rsidRDefault="00473390" w:rsidP="00473390">
            <w:pPr>
              <w:kinsoku w:val="0"/>
              <w:overflowPunct w:val="0"/>
              <w:spacing w:after="0" w:line="240" w:lineRule="auto"/>
              <w:jc w:val="center"/>
              <w:textAlignment w:val="baseline"/>
              <w:rPr>
                <w:rFonts w:ascii="Calibri" w:eastAsia="Times New Roman" w:hAnsi="Calibri" w:cs="Arial"/>
                <w:lang w:eastAsia="fr-FR"/>
              </w:rPr>
            </w:pPr>
            <w:r w:rsidRPr="00473390">
              <w:rPr>
                <w:rFonts w:ascii="Calibri" w:eastAsia="Times New Roman" w:hAnsi="Calibri" w:cs="Arial"/>
                <w:color w:val="000000"/>
                <w:spacing w:val="1"/>
                <w:kern w:val="24"/>
                <w:lang w:eastAsia="fr-FR"/>
              </w:rPr>
              <w:t>Total</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31E84EF5" w14:textId="77777777" w:rsidR="00473390" w:rsidRPr="00473390" w:rsidRDefault="00473390" w:rsidP="00473390">
            <w:pPr>
              <w:kinsoku w:val="0"/>
              <w:overflowPunct w:val="0"/>
              <w:spacing w:after="0" w:line="240" w:lineRule="auto"/>
              <w:ind w:right="86"/>
              <w:jc w:val="center"/>
              <w:textAlignment w:val="baseline"/>
              <w:rPr>
                <w:rFonts w:ascii="Calibri" w:eastAsia="Times New Roman" w:hAnsi="Calibri" w:cs="Arial"/>
                <w:lang w:eastAsia="fr-FR"/>
              </w:rPr>
            </w:pPr>
            <w:r w:rsidRPr="00473390">
              <w:rPr>
                <w:rFonts w:ascii="Calibri" w:eastAsia="Times New Roman" w:hAnsi="Calibri" w:cs="Arial"/>
                <w:color w:val="000000"/>
                <w:spacing w:val="-3"/>
                <w:kern w:val="24"/>
                <w:lang w:eastAsia="fr-FR"/>
              </w:rPr>
              <w:t>145</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3829DB28" w14:textId="77777777" w:rsidR="00473390" w:rsidRPr="00473390" w:rsidRDefault="00473390" w:rsidP="00473390">
            <w:pPr>
              <w:kinsoku w:val="0"/>
              <w:overflowPunct w:val="0"/>
              <w:spacing w:after="0" w:line="240" w:lineRule="auto"/>
              <w:ind w:right="86"/>
              <w:jc w:val="center"/>
              <w:textAlignment w:val="baseline"/>
              <w:rPr>
                <w:rFonts w:ascii="Calibri" w:eastAsia="Times New Roman" w:hAnsi="Calibri" w:cs="Arial"/>
                <w:lang w:eastAsia="fr-FR"/>
              </w:rPr>
            </w:pPr>
            <w:r w:rsidRPr="00473390">
              <w:rPr>
                <w:rFonts w:ascii="Calibri" w:eastAsia="Times New Roman" w:hAnsi="Calibri" w:cs="Arial"/>
                <w:color w:val="000000"/>
                <w:kern w:val="24"/>
                <w:lang w:eastAsia="fr-FR"/>
              </w:rPr>
              <w:t>360</w:t>
            </w:r>
          </w:p>
        </w:tc>
        <w:tc>
          <w:tcPr>
            <w:tcW w:w="1755"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38C95251" w14:textId="77777777" w:rsidR="00473390" w:rsidRPr="00473390" w:rsidRDefault="00473390" w:rsidP="00473390">
            <w:pPr>
              <w:kinsoku w:val="0"/>
              <w:overflowPunct w:val="0"/>
              <w:spacing w:after="0" w:line="240" w:lineRule="auto"/>
              <w:jc w:val="center"/>
              <w:textAlignment w:val="baseline"/>
              <w:rPr>
                <w:rFonts w:ascii="Calibri" w:eastAsia="Times New Roman" w:hAnsi="Calibri" w:cs="Arial"/>
                <w:lang w:eastAsia="fr-FR"/>
              </w:rPr>
            </w:pPr>
            <w:r w:rsidRPr="00473390">
              <w:rPr>
                <w:rFonts w:ascii="Calibri" w:eastAsia="Times New Roman" w:hAnsi="Calibri" w:cs="Arial"/>
                <w:color w:val="000000"/>
                <w:kern w:val="24"/>
                <w:lang w:eastAsia="fr-FR"/>
              </w:rPr>
              <w:t> </w:t>
            </w:r>
          </w:p>
        </w:tc>
        <w:tc>
          <w:tcPr>
            <w:tcW w:w="125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1E67BD87" w14:textId="77777777" w:rsidR="00473390" w:rsidRPr="00473390" w:rsidRDefault="00473390" w:rsidP="00473390">
            <w:pPr>
              <w:kinsoku w:val="0"/>
              <w:overflowPunct w:val="0"/>
              <w:spacing w:after="0" w:line="240" w:lineRule="auto"/>
              <w:jc w:val="center"/>
              <w:textAlignment w:val="baseline"/>
              <w:rPr>
                <w:rFonts w:ascii="Calibri" w:eastAsia="Times New Roman" w:hAnsi="Calibri" w:cs="Arial"/>
                <w:lang w:eastAsia="fr-FR"/>
              </w:rPr>
            </w:pPr>
            <w:r w:rsidRPr="00473390">
              <w:rPr>
                <w:rFonts w:ascii="Calibri" w:eastAsia="Times New Roman" w:hAnsi="Calibri" w:cs="Arial"/>
                <w:color w:val="000000"/>
                <w:kern w:val="24"/>
                <w:lang w:eastAsia="fr-FR"/>
              </w:rPr>
              <w:t> </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0CDE9E31" w14:textId="77777777" w:rsidR="00473390" w:rsidRPr="00473390" w:rsidRDefault="00473390" w:rsidP="00473390">
            <w:pPr>
              <w:kinsoku w:val="0"/>
              <w:overflowPunct w:val="0"/>
              <w:spacing w:after="0" w:line="240" w:lineRule="auto"/>
              <w:jc w:val="center"/>
              <w:textAlignment w:val="baseline"/>
              <w:rPr>
                <w:rFonts w:ascii="Calibri" w:eastAsia="Times New Roman" w:hAnsi="Calibri" w:cs="Arial"/>
                <w:lang w:eastAsia="fr-FR"/>
              </w:rPr>
            </w:pPr>
            <w:r w:rsidRPr="00473390">
              <w:rPr>
                <w:rFonts w:ascii="Calibri" w:eastAsia="Times New Roman" w:hAnsi="Calibri" w:cs="Arial"/>
                <w:color w:val="000000"/>
                <w:kern w:val="24"/>
                <w:lang w:eastAsia="fr-FR"/>
              </w:rPr>
              <w:t> </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53676F7A" w14:textId="77777777" w:rsidR="00473390" w:rsidRPr="00473390" w:rsidRDefault="00473390" w:rsidP="00473390">
            <w:pPr>
              <w:kinsoku w:val="0"/>
              <w:overflowPunct w:val="0"/>
              <w:spacing w:after="0" w:line="240" w:lineRule="auto"/>
              <w:ind w:right="86"/>
              <w:jc w:val="center"/>
              <w:textAlignment w:val="baseline"/>
              <w:rPr>
                <w:rFonts w:ascii="Calibri" w:eastAsia="Times New Roman" w:hAnsi="Calibri" w:cs="Arial"/>
                <w:lang w:eastAsia="fr-FR"/>
              </w:rPr>
            </w:pPr>
            <w:r w:rsidRPr="00473390">
              <w:rPr>
                <w:rFonts w:ascii="Calibri" w:eastAsia="Times New Roman" w:hAnsi="Calibri" w:cs="Arial"/>
                <w:color w:val="000000"/>
                <w:kern w:val="24"/>
                <w:lang w:eastAsia="fr-FR"/>
              </w:rPr>
              <w:t>23100</w:t>
            </w:r>
          </w:p>
        </w:tc>
      </w:tr>
    </w:tbl>
    <w:p w14:paraId="46599BF5" w14:textId="4F8400EB" w:rsidR="00473390" w:rsidRDefault="00473390" w:rsidP="00FA1F05">
      <w:pPr>
        <w:spacing w:after="0" w:line="240" w:lineRule="auto"/>
        <w:jc w:val="center"/>
      </w:pPr>
      <w:r w:rsidRPr="00473390">
        <w:t>Quantité de travail, dans la pépinière, pour cultiver 30.000 jeunes plants de palétuviers.</w:t>
      </w:r>
    </w:p>
    <w:p w14:paraId="16241EED" w14:textId="77777777" w:rsidR="00FA1F05" w:rsidRPr="00473390" w:rsidRDefault="00FA1F05" w:rsidP="00FA1F05">
      <w:pPr>
        <w:spacing w:after="0" w:line="240" w:lineRule="auto"/>
        <w:jc w:val="center"/>
      </w:pPr>
    </w:p>
    <w:p w14:paraId="71107E68" w14:textId="032F7ABB" w:rsidR="00FA1F05" w:rsidRDefault="00FA1F05" w:rsidP="004E6D72">
      <w:pPr>
        <w:spacing w:after="0" w:line="240" w:lineRule="auto"/>
        <w:jc w:val="center"/>
      </w:pPr>
      <w:r>
        <w:rPr>
          <w:noProof/>
        </w:rPr>
        <w:lastRenderedPageBreak/>
        <w:drawing>
          <wp:inline distT="0" distB="0" distL="0" distR="0" wp14:anchorId="286EFE72" wp14:editId="1118FE62">
            <wp:extent cx="6343650" cy="7092716"/>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63">
                      <a:extLst>
                        <a:ext uri="{28A0092B-C50C-407E-A947-70E740481C1C}">
                          <a14:useLocalDpi xmlns:a14="http://schemas.microsoft.com/office/drawing/2010/main" val="0"/>
                        </a:ext>
                      </a:extLst>
                    </a:blip>
                    <a:srcRect/>
                    <a:stretch>
                      <a:fillRect/>
                    </a:stretch>
                  </pic:blipFill>
                  <pic:spPr bwMode="auto">
                    <a:xfrm>
                      <a:off x="0" y="0"/>
                      <a:ext cx="6350163" cy="7099998"/>
                    </a:xfrm>
                    <a:prstGeom prst="rect">
                      <a:avLst/>
                    </a:prstGeom>
                    <a:noFill/>
                    <a:ln>
                      <a:noFill/>
                    </a:ln>
                  </pic:spPr>
                </pic:pic>
              </a:graphicData>
            </a:graphic>
          </wp:inline>
        </w:drawing>
      </w:r>
    </w:p>
    <w:p w14:paraId="71FEB921" w14:textId="17354122" w:rsidR="00D4418A" w:rsidRPr="00D4418A" w:rsidRDefault="00D4418A" w:rsidP="004E6D72">
      <w:pPr>
        <w:spacing w:after="0" w:line="240" w:lineRule="auto"/>
        <w:jc w:val="center"/>
      </w:pPr>
      <w:r>
        <w:t>P</w:t>
      </w:r>
      <w:r w:rsidRPr="00D4418A">
        <w:t>rocédure pour la préparation de la pépinière</w:t>
      </w:r>
    </w:p>
    <w:p w14:paraId="7FCEB444" w14:textId="652FA8C0" w:rsidR="00560884" w:rsidRDefault="00560884">
      <w:r>
        <w:br w:type="page"/>
      </w:r>
    </w:p>
    <w:tbl>
      <w:tblPr>
        <w:tblW w:w="0" w:type="auto"/>
        <w:tblCellMar>
          <w:left w:w="0" w:type="dxa"/>
          <w:right w:w="0" w:type="dxa"/>
        </w:tblCellMar>
        <w:tblLook w:val="0600" w:firstRow="0" w:lastRow="0" w:firstColumn="0" w:lastColumn="0" w:noHBand="1" w:noVBand="1"/>
      </w:tblPr>
      <w:tblGrid>
        <w:gridCol w:w="1237"/>
        <w:gridCol w:w="1010"/>
        <w:gridCol w:w="1619"/>
        <w:gridCol w:w="1016"/>
        <w:gridCol w:w="1353"/>
        <w:gridCol w:w="1876"/>
        <w:gridCol w:w="1300"/>
        <w:gridCol w:w="995"/>
      </w:tblGrid>
      <w:tr w:rsidR="00560884" w:rsidRPr="00560884" w14:paraId="690354E2" w14:textId="77777777" w:rsidTr="00560884">
        <w:trPr>
          <w:trHeight w:val="252"/>
        </w:trPr>
        <w:tc>
          <w:tcPr>
            <w:tcW w:w="0" w:type="auto"/>
            <w:tcBorders>
              <w:top w:val="single" w:sz="8" w:space="0" w:color="000000"/>
              <w:left w:val="single" w:sz="8" w:space="0" w:color="000000"/>
              <w:bottom w:val="single" w:sz="8" w:space="0" w:color="000000"/>
              <w:right w:val="single" w:sz="8" w:space="0" w:color="000000"/>
            </w:tcBorders>
            <w:shd w:val="clear" w:color="auto" w:fill="BDD7EE"/>
            <w:tcMar>
              <w:top w:w="15" w:type="dxa"/>
              <w:left w:w="15" w:type="dxa"/>
              <w:bottom w:w="0" w:type="dxa"/>
              <w:right w:w="15" w:type="dxa"/>
            </w:tcMar>
            <w:vAlign w:val="center"/>
            <w:hideMark/>
          </w:tcPr>
          <w:p w14:paraId="5A43C0D9" w14:textId="77777777" w:rsidR="00560884" w:rsidRPr="00560884" w:rsidRDefault="00560884" w:rsidP="00560884">
            <w:pPr>
              <w:kinsoku w:val="0"/>
              <w:overflowPunct w:val="0"/>
              <w:spacing w:after="0" w:line="240" w:lineRule="auto"/>
              <w:ind w:right="187"/>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spacing w:val="3"/>
                <w:kern w:val="24"/>
                <w:sz w:val="20"/>
                <w:szCs w:val="20"/>
                <w:lang w:eastAsia="fr-FR"/>
              </w:rPr>
              <w:lastRenderedPageBreak/>
              <w:t>Espèces</w:t>
            </w:r>
          </w:p>
        </w:tc>
        <w:tc>
          <w:tcPr>
            <w:tcW w:w="0" w:type="auto"/>
            <w:gridSpan w:val="4"/>
            <w:tcBorders>
              <w:top w:val="single" w:sz="8" w:space="0" w:color="000000"/>
              <w:left w:val="single" w:sz="8" w:space="0" w:color="000000"/>
              <w:bottom w:val="single" w:sz="8" w:space="0" w:color="000000"/>
              <w:right w:val="single" w:sz="8" w:space="0" w:color="000000"/>
            </w:tcBorders>
            <w:shd w:val="clear" w:color="auto" w:fill="BDD7EE"/>
            <w:tcMar>
              <w:top w:w="15" w:type="dxa"/>
              <w:left w:w="15" w:type="dxa"/>
              <w:bottom w:w="0" w:type="dxa"/>
              <w:right w:w="15" w:type="dxa"/>
            </w:tcMar>
            <w:vAlign w:val="center"/>
            <w:hideMark/>
          </w:tcPr>
          <w:p w14:paraId="744A306D"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spacing w:val="1"/>
                <w:kern w:val="24"/>
                <w:sz w:val="20"/>
                <w:szCs w:val="20"/>
                <w:lang w:eastAsia="fr-FR"/>
              </w:rPr>
              <w:t>Caractéristiques des semences</w:t>
            </w:r>
          </w:p>
        </w:tc>
        <w:tc>
          <w:tcPr>
            <w:tcW w:w="0" w:type="auto"/>
            <w:tcBorders>
              <w:top w:val="single" w:sz="8" w:space="0" w:color="000000"/>
              <w:left w:val="single" w:sz="8" w:space="0" w:color="000000"/>
              <w:bottom w:val="single" w:sz="8" w:space="0" w:color="000000"/>
              <w:right w:val="single" w:sz="8" w:space="0" w:color="000000"/>
            </w:tcBorders>
            <w:shd w:val="clear" w:color="auto" w:fill="BDD7EE"/>
            <w:tcMar>
              <w:top w:w="15" w:type="dxa"/>
              <w:left w:w="15" w:type="dxa"/>
              <w:bottom w:w="0" w:type="dxa"/>
              <w:right w:w="15" w:type="dxa"/>
            </w:tcMar>
            <w:vAlign w:val="center"/>
            <w:hideMark/>
          </w:tcPr>
          <w:p w14:paraId="5D30BF81"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spacing w:val="2"/>
                <w:kern w:val="24"/>
                <w:sz w:val="20"/>
                <w:szCs w:val="20"/>
                <w:lang w:eastAsia="fr-FR"/>
              </w:rPr>
              <w:t>Semis</w:t>
            </w:r>
          </w:p>
        </w:tc>
        <w:tc>
          <w:tcPr>
            <w:tcW w:w="0" w:type="auto"/>
            <w:gridSpan w:val="2"/>
            <w:tcBorders>
              <w:top w:val="single" w:sz="8" w:space="0" w:color="000000"/>
              <w:left w:val="single" w:sz="8" w:space="0" w:color="000000"/>
              <w:bottom w:val="single" w:sz="8" w:space="0" w:color="000000"/>
              <w:right w:val="single" w:sz="8" w:space="0" w:color="000000"/>
            </w:tcBorders>
            <w:shd w:val="clear" w:color="auto" w:fill="BDD7EE"/>
            <w:tcMar>
              <w:top w:w="15" w:type="dxa"/>
              <w:left w:w="15" w:type="dxa"/>
              <w:bottom w:w="0" w:type="dxa"/>
              <w:right w:w="15" w:type="dxa"/>
            </w:tcMar>
            <w:hideMark/>
          </w:tcPr>
          <w:p w14:paraId="322FA615"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spacing w:val="1"/>
                <w:kern w:val="24"/>
                <w:sz w:val="20"/>
                <w:szCs w:val="20"/>
                <w:lang w:eastAsia="fr-FR"/>
              </w:rPr>
              <w:t>Soins</w:t>
            </w:r>
          </w:p>
        </w:tc>
      </w:tr>
      <w:tr w:rsidR="00560884" w:rsidRPr="00560884" w14:paraId="722ECB9C" w14:textId="77777777" w:rsidTr="00560884">
        <w:trPr>
          <w:trHeight w:val="755"/>
        </w:trPr>
        <w:tc>
          <w:tcPr>
            <w:tcW w:w="0" w:type="auto"/>
            <w:tcBorders>
              <w:top w:val="single" w:sz="8" w:space="0" w:color="000000"/>
              <w:left w:val="single" w:sz="8" w:space="0" w:color="000000"/>
              <w:bottom w:val="single" w:sz="8" w:space="0" w:color="000000"/>
              <w:right w:val="single" w:sz="8" w:space="0" w:color="000000"/>
            </w:tcBorders>
            <w:shd w:val="clear" w:color="auto" w:fill="C5E0B4"/>
            <w:tcMar>
              <w:top w:w="15" w:type="dxa"/>
              <w:left w:w="15" w:type="dxa"/>
              <w:bottom w:w="0" w:type="dxa"/>
              <w:right w:w="15" w:type="dxa"/>
            </w:tcMar>
            <w:hideMark/>
          </w:tcPr>
          <w:p w14:paraId="3FDC5976"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kern w:val="24"/>
                <w:sz w:val="20"/>
                <w:szCs w:val="20"/>
                <w:lang w:eastAsia="fr-FR"/>
              </w:rPr>
              <w:t> </w:t>
            </w:r>
          </w:p>
        </w:tc>
        <w:tc>
          <w:tcPr>
            <w:tcW w:w="0" w:type="auto"/>
            <w:tcBorders>
              <w:top w:val="single" w:sz="8" w:space="0" w:color="000000"/>
              <w:left w:val="single" w:sz="8" w:space="0" w:color="000000"/>
              <w:bottom w:val="single" w:sz="8" w:space="0" w:color="000000"/>
              <w:right w:val="single" w:sz="8" w:space="0" w:color="000000"/>
            </w:tcBorders>
            <w:shd w:val="clear" w:color="auto" w:fill="C5E0B4"/>
            <w:tcMar>
              <w:top w:w="15" w:type="dxa"/>
              <w:left w:w="15" w:type="dxa"/>
              <w:bottom w:w="0" w:type="dxa"/>
              <w:right w:w="15" w:type="dxa"/>
            </w:tcMar>
            <w:vAlign w:val="center"/>
            <w:hideMark/>
          </w:tcPr>
          <w:p w14:paraId="0360EB46"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kern w:val="24"/>
                <w:sz w:val="20"/>
                <w:szCs w:val="20"/>
                <w:lang w:eastAsia="fr-FR"/>
              </w:rPr>
              <w:t>Collecte de semences</w:t>
            </w:r>
            <w:r w:rsidRPr="00560884">
              <w:rPr>
                <w:rFonts w:ascii="Calibri" w:eastAsia="Times New Roman" w:hAnsi="Calibri" w:cs="Arial"/>
                <w:color w:val="000000"/>
                <w:kern w:val="24"/>
                <w:sz w:val="20"/>
                <w:szCs w:val="20"/>
                <w:lang w:eastAsia="fr-FR"/>
              </w:rPr>
              <w:br/>
              <w:t>(mois) (°)</w:t>
            </w:r>
          </w:p>
        </w:tc>
        <w:tc>
          <w:tcPr>
            <w:tcW w:w="0" w:type="auto"/>
            <w:tcBorders>
              <w:top w:val="single" w:sz="8" w:space="0" w:color="000000"/>
              <w:left w:val="single" w:sz="8" w:space="0" w:color="000000"/>
              <w:bottom w:val="single" w:sz="8" w:space="0" w:color="000000"/>
              <w:right w:val="single" w:sz="8" w:space="0" w:color="000000"/>
            </w:tcBorders>
            <w:shd w:val="clear" w:color="auto" w:fill="C5E0B4"/>
            <w:tcMar>
              <w:top w:w="15" w:type="dxa"/>
              <w:left w:w="15" w:type="dxa"/>
              <w:bottom w:w="0" w:type="dxa"/>
              <w:right w:w="15" w:type="dxa"/>
            </w:tcMar>
            <w:vAlign w:val="center"/>
            <w:hideMark/>
          </w:tcPr>
          <w:p w14:paraId="382E8305"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kern w:val="24"/>
                <w:sz w:val="20"/>
                <w:szCs w:val="20"/>
                <w:lang w:eastAsia="fr-FR"/>
              </w:rPr>
              <w:t>Indicateurs de maturité</w:t>
            </w:r>
          </w:p>
        </w:tc>
        <w:tc>
          <w:tcPr>
            <w:tcW w:w="0" w:type="auto"/>
            <w:tcBorders>
              <w:top w:val="single" w:sz="8" w:space="0" w:color="000000"/>
              <w:left w:val="single" w:sz="8" w:space="0" w:color="000000"/>
              <w:bottom w:val="single" w:sz="8" w:space="0" w:color="000000"/>
              <w:right w:val="single" w:sz="8" w:space="0" w:color="000000"/>
            </w:tcBorders>
            <w:shd w:val="clear" w:color="auto" w:fill="C5E0B4"/>
            <w:tcMar>
              <w:top w:w="15" w:type="dxa"/>
              <w:left w:w="15" w:type="dxa"/>
              <w:bottom w:w="0" w:type="dxa"/>
              <w:right w:w="15" w:type="dxa"/>
            </w:tcMar>
            <w:hideMark/>
          </w:tcPr>
          <w:p w14:paraId="6B651F32"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kern w:val="24"/>
                <w:sz w:val="20"/>
                <w:szCs w:val="20"/>
                <w:lang w:eastAsia="fr-FR"/>
              </w:rPr>
              <w:t>Collecte de semences</w:t>
            </w:r>
            <w:r w:rsidRPr="00560884">
              <w:rPr>
                <w:rFonts w:ascii="Calibri" w:eastAsia="Times New Roman" w:hAnsi="Calibri" w:cs="Arial"/>
                <w:color w:val="000000"/>
                <w:kern w:val="24"/>
                <w:sz w:val="20"/>
                <w:szCs w:val="20"/>
                <w:lang w:eastAsia="fr-FR"/>
              </w:rPr>
              <w:br/>
              <w:t>(critères)</w:t>
            </w:r>
          </w:p>
        </w:tc>
        <w:tc>
          <w:tcPr>
            <w:tcW w:w="0" w:type="auto"/>
            <w:tcBorders>
              <w:top w:val="single" w:sz="8" w:space="0" w:color="000000"/>
              <w:left w:val="single" w:sz="8" w:space="0" w:color="000000"/>
              <w:bottom w:val="single" w:sz="8" w:space="0" w:color="000000"/>
              <w:right w:val="single" w:sz="8" w:space="0" w:color="000000"/>
            </w:tcBorders>
            <w:shd w:val="clear" w:color="auto" w:fill="C5E0B4"/>
            <w:tcMar>
              <w:top w:w="15" w:type="dxa"/>
              <w:left w:w="15" w:type="dxa"/>
              <w:bottom w:w="0" w:type="dxa"/>
              <w:right w:w="15" w:type="dxa"/>
            </w:tcMar>
            <w:hideMark/>
          </w:tcPr>
          <w:p w14:paraId="216AACD7" w14:textId="104B6A0F"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kern w:val="24"/>
                <w:sz w:val="20"/>
                <w:szCs w:val="20"/>
                <w:lang w:eastAsia="fr-FR"/>
              </w:rPr>
              <w:t>Stockage des semences (Nbre de jours max.)</w:t>
            </w:r>
          </w:p>
        </w:tc>
        <w:tc>
          <w:tcPr>
            <w:tcW w:w="0" w:type="auto"/>
            <w:tcBorders>
              <w:top w:val="single" w:sz="8" w:space="0" w:color="000000"/>
              <w:left w:val="single" w:sz="8" w:space="0" w:color="000000"/>
              <w:bottom w:val="single" w:sz="8" w:space="0" w:color="000000"/>
              <w:right w:val="single" w:sz="8" w:space="0" w:color="000000"/>
            </w:tcBorders>
            <w:shd w:val="clear" w:color="auto" w:fill="C5E0B4"/>
            <w:tcMar>
              <w:top w:w="15" w:type="dxa"/>
              <w:left w:w="15" w:type="dxa"/>
              <w:bottom w:w="0" w:type="dxa"/>
              <w:right w:w="15" w:type="dxa"/>
            </w:tcMar>
            <w:hideMark/>
          </w:tcPr>
          <w:p w14:paraId="14756855"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kern w:val="24"/>
                <w:sz w:val="20"/>
                <w:szCs w:val="20"/>
                <w:lang w:eastAsia="fr-FR"/>
              </w:rPr>
              <w:t> </w:t>
            </w:r>
          </w:p>
        </w:tc>
        <w:tc>
          <w:tcPr>
            <w:tcW w:w="0" w:type="auto"/>
            <w:tcBorders>
              <w:top w:val="single" w:sz="8" w:space="0" w:color="000000"/>
              <w:left w:val="single" w:sz="8" w:space="0" w:color="000000"/>
              <w:bottom w:val="single" w:sz="8" w:space="0" w:color="000000"/>
              <w:right w:val="single" w:sz="8" w:space="0" w:color="000000"/>
            </w:tcBorders>
            <w:shd w:val="clear" w:color="auto" w:fill="C5E0B4"/>
            <w:tcMar>
              <w:top w:w="15" w:type="dxa"/>
              <w:left w:w="15" w:type="dxa"/>
              <w:bottom w:w="0" w:type="dxa"/>
              <w:right w:w="15" w:type="dxa"/>
            </w:tcMar>
            <w:vAlign w:val="center"/>
            <w:hideMark/>
          </w:tcPr>
          <w:p w14:paraId="77304F81"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kern w:val="24"/>
                <w:sz w:val="20"/>
                <w:szCs w:val="20"/>
                <w:lang w:eastAsia="fr-FR"/>
              </w:rPr>
              <w:t>Arrosage</w:t>
            </w:r>
          </w:p>
        </w:tc>
        <w:tc>
          <w:tcPr>
            <w:tcW w:w="0" w:type="auto"/>
            <w:tcBorders>
              <w:top w:val="single" w:sz="8" w:space="0" w:color="000000"/>
              <w:left w:val="single" w:sz="8" w:space="0" w:color="000000"/>
              <w:bottom w:val="single" w:sz="8" w:space="0" w:color="000000"/>
              <w:right w:val="single" w:sz="8" w:space="0" w:color="000000"/>
            </w:tcBorders>
            <w:shd w:val="clear" w:color="auto" w:fill="C5E0B4"/>
            <w:tcMar>
              <w:top w:w="15" w:type="dxa"/>
              <w:left w:w="15" w:type="dxa"/>
              <w:bottom w:w="0" w:type="dxa"/>
              <w:right w:w="15" w:type="dxa"/>
            </w:tcMar>
            <w:vAlign w:val="center"/>
            <w:hideMark/>
          </w:tcPr>
          <w:p w14:paraId="136704C6"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spacing w:val="4"/>
                <w:kern w:val="24"/>
                <w:sz w:val="20"/>
                <w:szCs w:val="20"/>
                <w:lang w:eastAsia="fr-FR"/>
              </w:rPr>
              <w:t>Parasites</w:t>
            </w:r>
          </w:p>
        </w:tc>
      </w:tr>
      <w:tr w:rsidR="00560884" w:rsidRPr="00560884" w14:paraId="136E6E3C" w14:textId="77777777" w:rsidTr="00560884">
        <w:trPr>
          <w:trHeight w:val="727"/>
        </w:trPr>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08461BE8"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i/>
                <w:iCs/>
                <w:color w:val="000000"/>
                <w:kern w:val="24"/>
                <w:sz w:val="20"/>
                <w:szCs w:val="20"/>
                <w:lang w:eastAsia="fr-FR"/>
              </w:rPr>
              <w:t>Avicennia officines</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04A94D0E"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spacing w:val="-6"/>
                <w:kern w:val="24"/>
                <w:sz w:val="20"/>
                <w:szCs w:val="20"/>
                <w:lang w:eastAsia="fr-FR"/>
              </w:rPr>
              <w:t>Oct — Nov</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6DFDC748"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kern w:val="24"/>
                <w:sz w:val="20"/>
                <w:szCs w:val="20"/>
                <w:lang w:eastAsia="fr-FR"/>
              </w:rPr>
              <w:t>Peau du fruit jaunâtre</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3BD31403"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kern w:val="24"/>
                <w:sz w:val="20"/>
                <w:szCs w:val="20"/>
                <w:lang w:eastAsia="fr-FR"/>
              </w:rPr>
              <w:t>Poids des graines &gt; 5g</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2BB37E80"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kern w:val="24"/>
                <w:sz w:val="20"/>
                <w:szCs w:val="20"/>
                <w:lang w:eastAsia="fr-FR"/>
              </w:rPr>
              <w:t>7</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2008ABF3"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kern w:val="24"/>
                <w:sz w:val="20"/>
                <w:szCs w:val="20"/>
                <w:lang w:eastAsia="fr-FR"/>
              </w:rPr>
              <w:t>Au-dessus du sol</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07B94CA4"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kern w:val="24"/>
                <w:sz w:val="20"/>
                <w:szCs w:val="20"/>
                <w:lang w:eastAsia="fr-FR"/>
              </w:rPr>
              <w:t>Entièrement une fois par jour</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6ABDEE5E"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kern w:val="24"/>
                <w:sz w:val="20"/>
                <w:szCs w:val="20"/>
                <w:lang w:eastAsia="fr-FR"/>
              </w:rPr>
              <w:t>Crabes</w:t>
            </w:r>
            <w:r w:rsidRPr="00560884">
              <w:rPr>
                <w:rFonts w:ascii="Calibri" w:eastAsia="Times New Roman" w:hAnsi="Calibri" w:cs="Arial"/>
                <w:color w:val="000000"/>
                <w:kern w:val="24"/>
                <w:sz w:val="20"/>
                <w:szCs w:val="20"/>
                <w:lang w:eastAsia="fr-FR"/>
              </w:rPr>
              <w:br/>
              <w:t>chenilles</w:t>
            </w:r>
          </w:p>
        </w:tc>
      </w:tr>
      <w:tr w:rsidR="00560884" w:rsidRPr="00560884" w14:paraId="61028548" w14:textId="77777777" w:rsidTr="00560884">
        <w:trPr>
          <w:trHeight w:val="755"/>
        </w:trPr>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0E879E5C"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i/>
                <w:iCs/>
                <w:color w:val="000000"/>
                <w:kern w:val="24"/>
                <w:sz w:val="20"/>
                <w:szCs w:val="20"/>
                <w:lang w:eastAsia="fr-FR"/>
              </w:rPr>
              <w:t>Avbennia marina</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03D2E97F"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spacing w:val="2"/>
                <w:kern w:val="24"/>
                <w:sz w:val="20"/>
                <w:szCs w:val="20"/>
                <w:lang w:eastAsia="fr-FR"/>
              </w:rPr>
              <w:t>Oct—Nov</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4D5457D8"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kern w:val="24"/>
                <w:sz w:val="20"/>
                <w:szCs w:val="20"/>
                <w:lang w:eastAsia="fr-FR"/>
              </w:rPr>
              <w:t>Peau du fruit jaunâtre</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37BAE7D7"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kern w:val="24"/>
                <w:sz w:val="20"/>
                <w:szCs w:val="20"/>
                <w:lang w:eastAsia="fr-FR"/>
              </w:rPr>
              <w:t>Poids des graines &gt;</w:t>
            </w:r>
          </w:p>
          <w:p w14:paraId="185CEBF0"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spacing w:val="-7"/>
                <w:kern w:val="24"/>
                <w:sz w:val="20"/>
                <w:szCs w:val="20"/>
                <w:lang w:eastAsia="fr-FR"/>
              </w:rPr>
              <w:t>1.5g.</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3FD41EF1"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spacing w:val="-10"/>
                <w:kern w:val="24"/>
                <w:sz w:val="20"/>
                <w:szCs w:val="20"/>
                <w:lang w:eastAsia="fr-FR"/>
              </w:rPr>
              <w:t>10</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47B3EBB3"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kern w:val="24"/>
                <w:sz w:val="20"/>
                <w:szCs w:val="20"/>
                <w:lang w:eastAsia="fr-FR"/>
              </w:rPr>
              <w:t>Au-dessus du sol</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5C661E4C"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kern w:val="24"/>
                <w:sz w:val="20"/>
                <w:szCs w:val="20"/>
                <w:lang w:eastAsia="fr-FR"/>
              </w:rPr>
              <w:t>Entièrement une fois par jour</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54A53581"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kern w:val="24"/>
                <w:sz w:val="20"/>
                <w:szCs w:val="20"/>
                <w:lang w:eastAsia="fr-FR"/>
              </w:rPr>
              <w:t>Crabes</w:t>
            </w:r>
            <w:r w:rsidRPr="00560884">
              <w:rPr>
                <w:rFonts w:ascii="Calibri" w:eastAsia="Times New Roman" w:hAnsi="Calibri" w:cs="Arial"/>
                <w:color w:val="000000"/>
                <w:kern w:val="24"/>
                <w:sz w:val="20"/>
                <w:szCs w:val="20"/>
                <w:lang w:eastAsia="fr-FR"/>
              </w:rPr>
              <w:br/>
              <w:t>chenilles</w:t>
            </w:r>
          </w:p>
        </w:tc>
      </w:tr>
      <w:tr w:rsidR="00560884" w:rsidRPr="00560884" w14:paraId="043C68E5" w14:textId="77777777" w:rsidTr="00560884">
        <w:trPr>
          <w:trHeight w:val="727"/>
        </w:trPr>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38BFF8D1"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i/>
                <w:iCs/>
                <w:color w:val="000000"/>
                <w:kern w:val="24"/>
                <w:sz w:val="20"/>
                <w:szCs w:val="20"/>
                <w:lang w:eastAsia="fr-FR"/>
              </w:rPr>
              <w:t>Excoecaria agaliocha</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37B945B7"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spacing w:val="-6"/>
                <w:kern w:val="24"/>
                <w:sz w:val="20"/>
                <w:szCs w:val="20"/>
                <w:lang w:eastAsia="fr-FR"/>
              </w:rPr>
              <w:t>Sep — Oct</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59B44483" w14:textId="77777777" w:rsidR="00560884" w:rsidRPr="00560884" w:rsidRDefault="00560884" w:rsidP="00560884">
            <w:pPr>
              <w:kinsoku w:val="0"/>
              <w:overflowPunct w:val="0"/>
              <w:spacing w:after="0" w:line="240" w:lineRule="auto"/>
              <w:ind w:right="288"/>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spacing w:val="-6"/>
                <w:kern w:val="24"/>
                <w:sz w:val="20"/>
                <w:szCs w:val="20"/>
                <w:lang w:eastAsia="fr-FR"/>
              </w:rPr>
              <w:t>Fruits brun foncé</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73B536EB"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spacing w:val="-7"/>
                <w:kern w:val="24"/>
                <w:sz w:val="20"/>
                <w:szCs w:val="20"/>
                <w:lang w:eastAsia="fr-FR"/>
              </w:rPr>
              <w:t>&lt; 100 mg.</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0A08D3B4"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spacing w:val="-9"/>
                <w:kern w:val="24"/>
                <w:sz w:val="20"/>
                <w:szCs w:val="20"/>
                <w:lang w:eastAsia="fr-FR"/>
              </w:rPr>
              <w:t>10</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0FAE5D76"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kern w:val="24"/>
                <w:sz w:val="20"/>
                <w:szCs w:val="20"/>
                <w:lang w:eastAsia="fr-FR"/>
              </w:rPr>
              <w:t>Au-dessus du sol</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2F442CC5"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kern w:val="24"/>
                <w:sz w:val="20"/>
                <w:szCs w:val="20"/>
                <w:lang w:eastAsia="fr-FR"/>
              </w:rPr>
              <w:t>Entièrement une fois par jour</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65763E2E"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kern w:val="24"/>
                <w:sz w:val="20"/>
                <w:szCs w:val="20"/>
                <w:lang w:eastAsia="fr-FR"/>
              </w:rPr>
              <w:t>Crabes</w:t>
            </w:r>
            <w:r w:rsidRPr="00560884">
              <w:rPr>
                <w:rFonts w:ascii="Calibri" w:eastAsia="Times New Roman" w:hAnsi="Calibri" w:cs="Arial"/>
                <w:color w:val="000000"/>
                <w:kern w:val="24"/>
                <w:sz w:val="20"/>
                <w:szCs w:val="20"/>
                <w:lang w:eastAsia="fr-FR"/>
              </w:rPr>
              <w:br/>
              <w:t>chenilles</w:t>
            </w:r>
          </w:p>
        </w:tc>
      </w:tr>
      <w:tr w:rsidR="00560884" w:rsidRPr="00560884" w14:paraId="00DF2B02" w14:textId="77777777" w:rsidTr="00560884">
        <w:trPr>
          <w:trHeight w:val="755"/>
        </w:trPr>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1C90C82D"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i/>
                <w:iCs/>
                <w:color w:val="000000"/>
                <w:kern w:val="24"/>
                <w:sz w:val="20"/>
                <w:szCs w:val="20"/>
                <w:lang w:eastAsia="fr-FR"/>
              </w:rPr>
              <w:t>Aegiceras comiculatum</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795C158D"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spacing w:val="-5"/>
                <w:kern w:val="24"/>
                <w:sz w:val="20"/>
                <w:szCs w:val="20"/>
                <w:lang w:eastAsia="fr-FR"/>
              </w:rPr>
              <w:t>Aou — Oct</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5CB3ACB2" w14:textId="77777777" w:rsidR="00560884" w:rsidRPr="00560884" w:rsidRDefault="00560884" w:rsidP="00560884">
            <w:pPr>
              <w:kinsoku w:val="0"/>
              <w:overflowPunct w:val="0"/>
              <w:spacing w:after="0" w:line="240" w:lineRule="auto"/>
              <w:ind w:right="72"/>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spacing w:val="-2"/>
                <w:kern w:val="24"/>
                <w:sz w:val="20"/>
                <w:szCs w:val="20"/>
                <w:lang w:eastAsia="fr-FR"/>
              </w:rPr>
              <w:t>Epicarpe jaune</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73F506D9"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kern w:val="24"/>
                <w:sz w:val="20"/>
                <w:szCs w:val="20"/>
                <w:lang w:eastAsia="fr-FR"/>
              </w:rPr>
              <w:t>5 à 6 cm</w:t>
            </w:r>
            <w:r w:rsidRPr="00560884">
              <w:rPr>
                <w:rFonts w:ascii="Calibri" w:eastAsia="Times New Roman" w:hAnsi="Calibri" w:cs="Arial"/>
                <w:color w:val="000000"/>
                <w:kern w:val="24"/>
                <w:sz w:val="20"/>
                <w:szCs w:val="20"/>
                <w:lang w:eastAsia="fr-FR"/>
              </w:rPr>
              <w:br/>
              <w:t>de long</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1A149909"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spacing w:val="-9"/>
                <w:kern w:val="24"/>
                <w:sz w:val="20"/>
                <w:szCs w:val="20"/>
                <w:lang w:eastAsia="fr-FR"/>
              </w:rPr>
              <w:t>15</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233FBED2"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kern w:val="24"/>
                <w:sz w:val="20"/>
                <w:szCs w:val="20"/>
                <w:lang w:eastAsia="fr-FR"/>
              </w:rPr>
              <w:t>Pousse de la partie du calice de 1cm de profondeur / d'épaisseur</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5F883BE1"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kern w:val="24"/>
                <w:sz w:val="20"/>
                <w:szCs w:val="20"/>
                <w:lang w:eastAsia="fr-FR"/>
              </w:rPr>
              <w:t>Entièrement une fois par jour</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086E0C6B"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kern w:val="24"/>
                <w:sz w:val="20"/>
                <w:szCs w:val="20"/>
                <w:lang w:eastAsia="fr-FR"/>
              </w:rPr>
              <w:t>Crabes</w:t>
            </w:r>
            <w:r w:rsidRPr="00560884">
              <w:rPr>
                <w:rFonts w:ascii="Calibri" w:eastAsia="Times New Roman" w:hAnsi="Calibri" w:cs="Arial"/>
                <w:color w:val="000000"/>
                <w:kern w:val="24"/>
                <w:sz w:val="20"/>
                <w:szCs w:val="20"/>
                <w:lang w:eastAsia="fr-FR"/>
              </w:rPr>
              <w:br/>
              <w:t>chenilles</w:t>
            </w:r>
          </w:p>
        </w:tc>
      </w:tr>
      <w:tr w:rsidR="00560884" w:rsidRPr="00560884" w14:paraId="307AE4A5" w14:textId="77777777" w:rsidTr="00560884">
        <w:trPr>
          <w:trHeight w:val="1006"/>
        </w:trPr>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0C819FCE"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i/>
                <w:iCs/>
                <w:color w:val="000000"/>
                <w:kern w:val="24"/>
                <w:sz w:val="20"/>
                <w:szCs w:val="20"/>
                <w:lang w:eastAsia="fr-FR"/>
              </w:rPr>
              <w:t>Sonneratia apetab</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63DC5E87"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spacing w:val="-5"/>
                <w:kern w:val="24"/>
                <w:sz w:val="20"/>
                <w:szCs w:val="20"/>
                <w:lang w:eastAsia="fr-FR"/>
              </w:rPr>
              <w:t>Juil — Sep</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18234B55" w14:textId="6DAABE7F" w:rsidR="00560884" w:rsidRPr="00560884" w:rsidRDefault="00560884" w:rsidP="00560884">
            <w:pPr>
              <w:kinsoku w:val="0"/>
              <w:overflowPunct w:val="0"/>
              <w:spacing w:after="0" w:line="240" w:lineRule="auto"/>
              <w:ind w:right="72"/>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spacing w:val="-4"/>
                <w:kern w:val="24"/>
                <w:sz w:val="20"/>
                <w:szCs w:val="20"/>
                <w:lang w:eastAsia="fr-FR"/>
              </w:rPr>
              <w:t>Dans l'eau</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1D0DB56D"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kern w:val="24"/>
                <w:sz w:val="20"/>
                <w:szCs w:val="20"/>
                <w:lang w:eastAsia="fr-FR"/>
              </w:rPr>
              <w:t>Fruit</w:t>
            </w:r>
            <w:r w:rsidRPr="00560884">
              <w:rPr>
                <w:rFonts w:ascii="Calibri" w:eastAsia="Times New Roman" w:hAnsi="Calibri" w:cs="Arial"/>
                <w:color w:val="000000"/>
                <w:kern w:val="24"/>
                <w:sz w:val="20"/>
                <w:szCs w:val="20"/>
                <w:lang w:eastAsia="fr-FR"/>
              </w:rPr>
              <w:br/>
              <w:t>&gt;15mm.</w:t>
            </w:r>
          </w:p>
          <w:p w14:paraId="31F5DD42" w14:textId="2286EE40"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spacing w:val="-3"/>
                <w:kern w:val="24"/>
                <w:sz w:val="20"/>
                <w:szCs w:val="20"/>
                <w:lang w:eastAsia="fr-FR"/>
              </w:rPr>
              <w:t>Diamètre</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4035EB78"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kern w:val="24"/>
                <w:sz w:val="20"/>
                <w:szCs w:val="20"/>
                <w:lang w:eastAsia="fr-FR"/>
              </w:rPr>
              <w:t>5</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6F9720CD"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kern w:val="24"/>
                <w:sz w:val="20"/>
                <w:szCs w:val="20"/>
                <w:lang w:eastAsia="fr-FR"/>
              </w:rPr>
              <w:t>Pousse des radicelles des semences dans le sol</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13D239E2"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spacing w:val="-2"/>
                <w:kern w:val="24"/>
                <w:sz w:val="20"/>
                <w:szCs w:val="20"/>
                <w:lang w:eastAsia="fr-FR"/>
              </w:rPr>
              <w:t>Deux fois par jour</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03034BAD" w14:textId="38893CAC"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kern w:val="24"/>
                <w:sz w:val="20"/>
                <w:szCs w:val="20"/>
                <w:lang w:eastAsia="fr-FR"/>
              </w:rPr>
              <w:t>Rats. Crabes. Chenilles</w:t>
            </w:r>
          </w:p>
        </w:tc>
      </w:tr>
      <w:tr w:rsidR="00560884" w:rsidRPr="00560884" w14:paraId="2C165D7A" w14:textId="77777777" w:rsidTr="00560884">
        <w:trPr>
          <w:trHeight w:val="755"/>
        </w:trPr>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75A25BA4"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i/>
                <w:iCs/>
                <w:color w:val="000000"/>
                <w:kern w:val="24"/>
                <w:sz w:val="20"/>
                <w:szCs w:val="20"/>
                <w:lang w:eastAsia="fr-FR"/>
              </w:rPr>
              <w:t>Xybcarpus moluccensis</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70A2A147"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spacing w:val="-6"/>
                <w:kern w:val="24"/>
                <w:sz w:val="20"/>
                <w:szCs w:val="20"/>
                <w:lang w:eastAsia="fr-FR"/>
              </w:rPr>
              <w:t>Sep — Nov</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2A1226FE" w14:textId="77777777" w:rsidR="00560884" w:rsidRPr="00560884" w:rsidRDefault="00560884" w:rsidP="00560884">
            <w:pPr>
              <w:kinsoku w:val="0"/>
              <w:overflowPunct w:val="0"/>
              <w:spacing w:after="0" w:line="240" w:lineRule="auto"/>
              <w:ind w:right="115"/>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spacing w:val="-5"/>
                <w:kern w:val="24"/>
                <w:sz w:val="20"/>
                <w:szCs w:val="20"/>
                <w:lang w:eastAsia="fr-FR"/>
              </w:rPr>
              <w:t>Jaune à brun fruits</w:t>
            </w:r>
          </w:p>
          <w:p w14:paraId="156E9E0A" w14:textId="77777777" w:rsidR="00560884" w:rsidRPr="00560884" w:rsidRDefault="00560884" w:rsidP="00560884">
            <w:pPr>
              <w:kinsoku w:val="0"/>
              <w:overflowPunct w:val="0"/>
              <w:spacing w:after="0" w:line="240" w:lineRule="auto"/>
              <w:ind w:right="115"/>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spacing w:val="-5"/>
                <w:kern w:val="24"/>
                <w:sz w:val="20"/>
                <w:szCs w:val="20"/>
                <w:lang w:eastAsia="fr-FR"/>
              </w:rPr>
              <w:t>Flotte sur l'eau</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4FB1AF36"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kern w:val="24"/>
                <w:sz w:val="20"/>
                <w:szCs w:val="20"/>
                <w:lang w:eastAsia="fr-FR"/>
              </w:rPr>
              <w:t>Poids des graines &gt;</w:t>
            </w:r>
            <w:r w:rsidRPr="00560884">
              <w:rPr>
                <w:rFonts w:ascii="Calibri" w:eastAsia="Times New Roman" w:hAnsi="Calibri" w:cs="Arial"/>
                <w:color w:val="000000"/>
                <w:kern w:val="24"/>
                <w:sz w:val="20"/>
                <w:szCs w:val="20"/>
                <w:lang w:eastAsia="fr-FR"/>
              </w:rPr>
              <w:br/>
              <w:t>30g.</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6E9B92B1"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spacing w:val="-8"/>
                <w:kern w:val="24"/>
                <w:sz w:val="20"/>
                <w:szCs w:val="20"/>
                <w:lang w:eastAsia="fr-FR"/>
              </w:rPr>
              <w:t>10</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6157759A"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kern w:val="24"/>
                <w:sz w:val="20"/>
                <w:szCs w:val="20"/>
                <w:lang w:eastAsia="fr-FR"/>
              </w:rPr>
              <w:t>Au-dessus du sol</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734784F6"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kern w:val="24"/>
                <w:sz w:val="20"/>
                <w:szCs w:val="20"/>
                <w:lang w:eastAsia="fr-FR"/>
              </w:rPr>
              <w:t>Entièrement une fois par jour</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19C4C06A"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kern w:val="24"/>
                <w:sz w:val="20"/>
                <w:szCs w:val="20"/>
                <w:lang w:eastAsia="fr-FR"/>
              </w:rPr>
              <w:t>Crabes</w:t>
            </w:r>
          </w:p>
        </w:tc>
      </w:tr>
      <w:tr w:rsidR="00560884" w:rsidRPr="00560884" w14:paraId="3FD8906B" w14:textId="77777777" w:rsidTr="00560884">
        <w:trPr>
          <w:trHeight w:val="755"/>
        </w:trPr>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710CE949"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i/>
                <w:iCs/>
                <w:color w:val="000000"/>
                <w:kern w:val="24"/>
                <w:sz w:val="20"/>
                <w:szCs w:val="20"/>
                <w:lang w:eastAsia="fr-FR"/>
              </w:rPr>
              <w:t>Bniguiera gymnorrhiza</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175E78CD"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spacing w:val="-1"/>
                <w:kern w:val="24"/>
                <w:sz w:val="20"/>
                <w:szCs w:val="20"/>
                <w:lang w:eastAsia="fr-FR"/>
              </w:rPr>
              <w:t>Juil— Sep</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1E4D1DE0" w14:textId="77777777" w:rsidR="00560884" w:rsidRPr="00560884" w:rsidRDefault="00560884" w:rsidP="00560884">
            <w:pPr>
              <w:kinsoku w:val="0"/>
              <w:overflowPunct w:val="0"/>
              <w:spacing w:after="0" w:line="240" w:lineRule="auto"/>
              <w:ind w:right="72"/>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spacing w:val="-3"/>
                <w:kern w:val="24"/>
                <w:sz w:val="20"/>
                <w:szCs w:val="20"/>
                <w:lang w:eastAsia="fr-FR"/>
              </w:rPr>
              <w:t>Hypocotyles bruns rougeâtres ou rouges verdâtres</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0F7FE635"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kern w:val="24"/>
                <w:sz w:val="20"/>
                <w:szCs w:val="20"/>
                <w:lang w:eastAsia="fr-FR"/>
              </w:rPr>
              <w:t>&gt;10 cm.</w:t>
            </w:r>
            <w:r w:rsidRPr="00560884">
              <w:rPr>
                <w:rFonts w:ascii="Calibri" w:eastAsia="Times New Roman" w:hAnsi="Calibri" w:cs="Arial"/>
                <w:color w:val="000000"/>
                <w:kern w:val="24"/>
                <w:sz w:val="20"/>
                <w:szCs w:val="20"/>
                <w:lang w:eastAsia="fr-FR"/>
              </w:rPr>
              <w:br/>
              <w:t>De long</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38AF2BD6"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spacing w:val="-10"/>
                <w:kern w:val="24"/>
                <w:sz w:val="20"/>
                <w:szCs w:val="20"/>
                <w:lang w:eastAsia="fr-FR"/>
              </w:rPr>
              <w:t>10</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33318D81"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kern w:val="24"/>
                <w:sz w:val="20"/>
                <w:szCs w:val="20"/>
                <w:lang w:eastAsia="fr-FR"/>
              </w:rPr>
              <w:t>Pousse de</w:t>
            </w:r>
            <w:r w:rsidRPr="00560884">
              <w:rPr>
                <w:rFonts w:ascii="Calibri" w:eastAsia="Times New Roman" w:hAnsi="Calibri" w:cs="Arial"/>
                <w:color w:val="000000"/>
                <w:kern w:val="24"/>
                <w:sz w:val="20"/>
                <w:szCs w:val="20"/>
                <w:lang w:eastAsia="fr-FR"/>
              </w:rPr>
              <w:br/>
              <w:t>d’hypocotyte</w:t>
            </w:r>
            <w:r w:rsidRPr="00560884">
              <w:rPr>
                <w:rFonts w:ascii="Calibri" w:eastAsia="Times New Roman" w:hAnsi="Calibri" w:cs="Arial"/>
                <w:color w:val="000000"/>
                <w:kern w:val="24"/>
                <w:sz w:val="20"/>
                <w:szCs w:val="20"/>
                <w:lang w:eastAsia="fr-FR"/>
              </w:rPr>
              <w:br/>
              <w:t>5 — 8 cm</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0F0E62C3"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spacing w:val="-1"/>
                <w:kern w:val="24"/>
                <w:sz w:val="20"/>
                <w:szCs w:val="20"/>
                <w:lang w:eastAsia="fr-FR"/>
              </w:rPr>
              <w:t>À marée de morte-eau</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35EF7E99"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kern w:val="24"/>
                <w:sz w:val="20"/>
                <w:szCs w:val="20"/>
                <w:lang w:eastAsia="fr-FR"/>
              </w:rPr>
              <w:t>-</w:t>
            </w:r>
          </w:p>
        </w:tc>
      </w:tr>
    </w:tbl>
    <w:p w14:paraId="6451DB5D" w14:textId="64CC6CD5" w:rsidR="00560884" w:rsidRPr="00560884" w:rsidRDefault="00560884" w:rsidP="00560884">
      <w:pPr>
        <w:spacing w:after="0" w:line="240" w:lineRule="auto"/>
        <w:jc w:val="both"/>
      </w:pPr>
      <w:r w:rsidRPr="00560884">
        <w:t>Détails des semis et de l'entretien des espèces de palétuviers dans la pépinière</w:t>
      </w:r>
      <w:r>
        <w:t xml:space="preserve">. </w:t>
      </w:r>
      <w:r w:rsidRPr="00560884">
        <w:t>(°) En Inde.</w:t>
      </w:r>
    </w:p>
    <w:p w14:paraId="316ABBB4" w14:textId="77777777" w:rsidR="00FB0B74" w:rsidRPr="00D47421" w:rsidRDefault="00FB0B74" w:rsidP="00FB0B74">
      <w:pPr>
        <w:spacing w:after="0" w:line="240" w:lineRule="auto"/>
        <w:jc w:val="both"/>
      </w:pPr>
    </w:p>
    <w:p w14:paraId="24D94FCC" w14:textId="5E262415" w:rsidR="00D10C10" w:rsidRDefault="005F4C66" w:rsidP="005F4C66">
      <w:pPr>
        <w:pStyle w:val="Titre1"/>
      </w:pPr>
      <w:bookmarkStart w:id="149" w:name="_Toc139181440"/>
      <w:r w:rsidRPr="005F4C66">
        <w:t>Plantes halophyte</w:t>
      </w:r>
      <w:r>
        <w:t>s alimentaires</w:t>
      </w:r>
      <w:r w:rsidRPr="005F4C66">
        <w:t xml:space="preserve"> du bord d</w:t>
      </w:r>
      <w:r>
        <w:t>e mer</w:t>
      </w:r>
      <w:bookmarkEnd w:id="149"/>
    </w:p>
    <w:p w14:paraId="31DD092F" w14:textId="71842D69" w:rsidR="005F4C66" w:rsidRDefault="005F4C66" w:rsidP="00411F84">
      <w:pPr>
        <w:spacing w:after="0" w:line="240" w:lineRule="auto"/>
      </w:pPr>
    </w:p>
    <w:p w14:paraId="31B358CA" w14:textId="77777777" w:rsidR="002F1CD6" w:rsidRPr="002F1CD6" w:rsidRDefault="002F1CD6" w:rsidP="002F1CD6">
      <w:pPr>
        <w:pStyle w:val="Titre2"/>
        <w:jc w:val="both"/>
      </w:pPr>
      <w:bookmarkStart w:id="150" w:name="_Toc139181441"/>
      <w:r w:rsidRPr="002F1CD6">
        <w:t>Halophyte : définition</w:t>
      </w:r>
      <w:bookmarkEnd w:id="150"/>
    </w:p>
    <w:p w14:paraId="76CF1B7D" w14:textId="77777777" w:rsidR="002F1CD6" w:rsidRDefault="002F1CD6" w:rsidP="002F1CD6">
      <w:pPr>
        <w:spacing w:after="0" w:line="240" w:lineRule="auto"/>
        <w:jc w:val="both"/>
      </w:pPr>
    </w:p>
    <w:p w14:paraId="7BD19CB4" w14:textId="5F864B3C" w:rsidR="002F1CD6" w:rsidRPr="002F1CD6" w:rsidRDefault="002F1CD6" w:rsidP="002F1CD6">
      <w:pPr>
        <w:spacing w:after="0" w:line="240" w:lineRule="auto"/>
        <w:jc w:val="both"/>
      </w:pPr>
      <w:r w:rsidRPr="002F1CD6">
        <w:t>Une </w:t>
      </w:r>
      <w:r w:rsidRPr="002F1CD6">
        <w:rPr>
          <w:b/>
          <w:bCs/>
        </w:rPr>
        <w:t>halophyte</w:t>
      </w:r>
      <w:r w:rsidRPr="002F1CD6">
        <w:t> est une </w:t>
      </w:r>
      <w:hyperlink r:id="rId1264" w:history="1">
        <w:r w:rsidRPr="002F1CD6">
          <w:rPr>
            <w:rStyle w:val="Lienhypertexte"/>
          </w:rPr>
          <w:t>plante</w:t>
        </w:r>
      </w:hyperlink>
      <w:r w:rsidRPr="002F1CD6">
        <w:t> qui pousse dans les eaux de haute </w:t>
      </w:r>
      <w:hyperlink r:id="rId1265" w:history="1">
        <w:r w:rsidRPr="002F1CD6">
          <w:rPr>
            <w:rStyle w:val="Lienhypertexte"/>
          </w:rPr>
          <w:t>salinité</w:t>
        </w:r>
      </w:hyperlink>
      <w:r w:rsidRPr="002F1CD6">
        <w:t>, entrer en contact avec de l'eau salée à travers ses racines ou par brouillard salin, comme dans les semi-déserts salés, les mangroves, les marais et les marécages, et rivages. Relativement peu d'espèces de plantes halophytes sont - peut-être seulement 2% de toutes les espèces végétales.</w:t>
      </w:r>
    </w:p>
    <w:p w14:paraId="337597BB" w14:textId="7E199600" w:rsidR="002F1CD6" w:rsidRPr="002F1CD6" w:rsidRDefault="002F1CD6" w:rsidP="002F1CD6">
      <w:pPr>
        <w:spacing w:after="0" w:line="240" w:lineRule="auto"/>
        <w:jc w:val="both"/>
      </w:pPr>
      <w:r w:rsidRPr="002F1CD6">
        <w:t>La grande majorité des espèces végétales sont </w:t>
      </w:r>
      <w:r w:rsidRPr="002F1CD6">
        <w:rPr>
          <w:b/>
          <w:bCs/>
        </w:rPr>
        <w:t>glycophytes</w:t>
      </w:r>
      <w:r w:rsidRPr="002F1CD6">
        <w:t xml:space="preserve">, des plantes qui ne sont pas tolérantes au sel, et sont assez facilement endommagé par une forte salinité. Le </w:t>
      </w:r>
      <w:hyperlink r:id="rId1266" w:history="1">
        <w:r w:rsidRPr="002F1CD6">
          <w:rPr>
            <w:rStyle w:val="Lienhypertexte"/>
          </w:rPr>
          <w:t>haricot</w:t>
        </w:r>
      </w:hyperlink>
      <w:r w:rsidRPr="002F1CD6">
        <w:t> et le </w:t>
      </w:r>
      <w:hyperlink r:id="rId1267" w:history="1">
        <w:r w:rsidRPr="002F1CD6">
          <w:rPr>
            <w:rStyle w:val="Lienhypertexte"/>
          </w:rPr>
          <w:t>riz</w:t>
        </w:r>
      </w:hyperlink>
      <w:r w:rsidRPr="002F1CD6">
        <w:t> peuvent tolérer environ 1-3 g/l, et sont considérés comme glycophytes (comme la plupart des plantes cultivées). Des plantes telles que l'orge (</w:t>
      </w:r>
      <w:hyperlink r:id="rId1268" w:history="1">
        <w:r w:rsidRPr="002F1CD6">
          <w:rPr>
            <w:rStyle w:val="Lienhypertexte"/>
            <w:i/>
            <w:iCs/>
          </w:rPr>
          <w:t>Hordeum</w:t>
        </w:r>
      </w:hyperlink>
      <w:hyperlink r:id="rId1269" w:history="1">
        <w:r w:rsidRPr="002F1CD6">
          <w:rPr>
            <w:rStyle w:val="Lienhypertexte"/>
            <w:i/>
            <w:iCs/>
          </w:rPr>
          <w:t xml:space="preserve"> </w:t>
        </w:r>
      </w:hyperlink>
      <w:hyperlink r:id="rId1270" w:history="1">
        <w:r w:rsidRPr="002F1CD6">
          <w:rPr>
            <w:rStyle w:val="Lienhypertexte"/>
            <w:i/>
            <w:iCs/>
          </w:rPr>
          <w:t>vulgare</w:t>
        </w:r>
      </w:hyperlink>
      <w:r w:rsidRPr="002F1CD6">
        <w:t>) et le palmier dattier (</w:t>
      </w:r>
      <w:hyperlink r:id="rId1271" w:history="1">
        <w:r w:rsidRPr="002F1CD6">
          <w:rPr>
            <w:rStyle w:val="Lienhypertexte"/>
            <w:i/>
            <w:iCs/>
          </w:rPr>
          <w:t xml:space="preserve">Phoenix </w:t>
        </w:r>
      </w:hyperlink>
      <w:hyperlink r:id="rId1272" w:history="1">
        <w:r w:rsidRPr="002F1CD6">
          <w:rPr>
            <w:rStyle w:val="Lienhypertexte"/>
            <w:i/>
            <w:iCs/>
          </w:rPr>
          <w:t>dactylifera</w:t>
        </w:r>
      </w:hyperlink>
      <w:r w:rsidRPr="002F1CD6">
        <w:t>) peut tolérer environ 5 g/l, et peut être considéré comme halophytes marginales.</w:t>
      </w:r>
    </w:p>
    <w:p w14:paraId="414AC1F7" w14:textId="77777777" w:rsidR="002F1CD6" w:rsidRPr="002F1CD6" w:rsidRDefault="002F1CD6" w:rsidP="002F1CD6">
      <w:pPr>
        <w:spacing w:after="0" w:line="240" w:lineRule="auto"/>
        <w:jc w:val="both"/>
      </w:pPr>
      <w:r w:rsidRPr="002F1CD6">
        <w:t>L’adaptation aux milieux salins par halophytes peut prendre la forme de la tolérance au sel (voir </w:t>
      </w:r>
      <w:hyperlink r:id="rId1273" w:history="1">
        <w:r w:rsidRPr="002F1CD6">
          <w:rPr>
            <w:rStyle w:val="Lienhypertexte"/>
          </w:rPr>
          <w:t>halotolerance</w:t>
        </w:r>
      </w:hyperlink>
      <w:r w:rsidRPr="002F1CD6">
        <w:t xml:space="preserve">) ou d'évitement de sel. Les plantes qui évitent les effets de la forte teneur en sel, même s'ils vivent dans un milieu salin, peuvent être considérées comme </w:t>
      </w:r>
      <w:r w:rsidRPr="002F1CD6">
        <w:rPr>
          <w:i/>
          <w:iCs/>
        </w:rPr>
        <w:t xml:space="preserve">halophytes facultatives </w:t>
      </w:r>
      <w:r w:rsidRPr="002F1CD6">
        <w:t xml:space="preserve">plutôt que comme </w:t>
      </w:r>
      <w:r w:rsidRPr="002F1CD6">
        <w:rPr>
          <w:i/>
          <w:iCs/>
        </w:rPr>
        <w:t>halophytes «vrais» ou obligatoires</w:t>
      </w:r>
      <w:r w:rsidRPr="002F1CD6">
        <w:t>.</w:t>
      </w:r>
    </w:p>
    <w:p w14:paraId="6C00032F" w14:textId="77777777" w:rsidR="002F1CD6" w:rsidRPr="002F1CD6" w:rsidRDefault="002F1CD6" w:rsidP="002F1CD6">
      <w:pPr>
        <w:spacing w:after="0" w:line="240" w:lineRule="auto"/>
        <w:jc w:val="both"/>
      </w:pPr>
      <w:r w:rsidRPr="002F1CD6">
        <w:t xml:space="preserve">Par exemple, une plante, de courte durée, qui complète son cycle de vie pendant les périodes de reproduction (comme durant la saison des pluies) lorsque la concentration de sel est faible, le fera en évitant le sel plutôt que de le tolérer. Ou bien une espèce de plante peuvent maintenir une concentration «normale» interne de sel, en excrétant le sel en excès par ses feuilles, au moyen [par le biais] d'un </w:t>
      </w:r>
      <w:hyperlink r:id="rId1274" w:history="1">
        <w:r w:rsidRPr="002F1CD6">
          <w:rPr>
            <w:rStyle w:val="Lienhypertexte"/>
          </w:rPr>
          <w:t>hydathode</w:t>
        </w:r>
      </w:hyperlink>
      <w:r w:rsidRPr="002F1CD6">
        <w:t>, ou en concentrant les sels dans les feuilles qui meurent et tombent plus tard.</w:t>
      </w:r>
    </w:p>
    <w:p w14:paraId="578715D6" w14:textId="06C78706" w:rsidR="002F1CD6" w:rsidRPr="002F1CD6" w:rsidRDefault="002F1CD6" w:rsidP="002F1CD6">
      <w:pPr>
        <w:spacing w:after="0" w:line="240" w:lineRule="auto"/>
        <w:jc w:val="both"/>
      </w:pPr>
      <w:r w:rsidRPr="002F1CD6">
        <w:lastRenderedPageBreak/>
        <w:t>Certains halophytes sont à l'étude pour une utilisation en tant que précurseurs de biocarburants "</w:t>
      </w:r>
      <w:r w:rsidRPr="002F1CD6">
        <w:rPr>
          <w:i/>
          <w:iCs/>
        </w:rPr>
        <w:t>3ème génération</w:t>
      </w:r>
      <w:r w:rsidRPr="002F1CD6">
        <w:t>". Des halophytes tels que </w:t>
      </w:r>
      <w:hyperlink r:id="rId1275" w:history="1">
        <w:r w:rsidRPr="002F1CD6">
          <w:rPr>
            <w:rStyle w:val="Lienhypertexte"/>
            <w:i/>
            <w:iCs/>
          </w:rPr>
          <w:t>Salicornia</w:t>
        </w:r>
      </w:hyperlink>
      <w:hyperlink r:id="rId1276" w:history="1">
        <w:r w:rsidRPr="002F1CD6">
          <w:rPr>
            <w:rStyle w:val="Lienhypertexte"/>
            <w:i/>
            <w:iCs/>
          </w:rPr>
          <w:t xml:space="preserve"> </w:t>
        </w:r>
      </w:hyperlink>
      <w:hyperlink r:id="rId1277" w:history="1">
        <w:r w:rsidRPr="002F1CD6">
          <w:rPr>
            <w:rStyle w:val="Lienhypertexte"/>
            <w:i/>
            <w:iCs/>
          </w:rPr>
          <w:t>bigelovii</w:t>
        </w:r>
      </w:hyperlink>
      <w:r w:rsidRPr="002F1CD6">
        <w:t> peuvent être cultivées dans des environnements difficiles et, généralement, ne sont pas en concurrence avec les cultures vivrières pour les ressources, ce qui les rend sources prometteuses de </w:t>
      </w:r>
      <w:hyperlink r:id="rId1278" w:history="1">
        <w:r w:rsidRPr="002F1CD6">
          <w:rPr>
            <w:rStyle w:val="Lienhypertexte"/>
          </w:rPr>
          <w:t>biodiesel</w:t>
        </w:r>
      </w:hyperlink>
      <w:r w:rsidRPr="002F1CD6">
        <w:t> ou de </w:t>
      </w:r>
      <w:hyperlink r:id="rId1279" w:history="1">
        <w:r w:rsidRPr="002F1CD6">
          <w:rPr>
            <w:rStyle w:val="Lienhypertexte"/>
          </w:rPr>
          <w:t>bio-alcool</w:t>
        </w:r>
      </w:hyperlink>
      <w:r w:rsidRPr="002F1CD6">
        <w:t>.</w:t>
      </w:r>
    </w:p>
    <w:p w14:paraId="745DA501" w14:textId="77777777" w:rsidR="002F1CD6" w:rsidRPr="002F1CD6" w:rsidRDefault="002F1CD6" w:rsidP="002F1CD6">
      <w:pPr>
        <w:spacing w:after="0" w:line="240" w:lineRule="auto"/>
        <w:jc w:val="both"/>
      </w:pPr>
      <w:r w:rsidRPr="002F1CD6">
        <w:t>Le </w:t>
      </w:r>
      <w:r w:rsidRPr="002F1CD6">
        <w:rPr>
          <w:b/>
          <w:bCs/>
        </w:rPr>
        <w:t>panic érigé</w:t>
      </w:r>
      <w:r w:rsidRPr="002F1CD6">
        <w:t> (</w:t>
      </w:r>
      <w:r w:rsidRPr="002F1CD6">
        <w:rPr>
          <w:b/>
          <w:bCs/>
          <w:i/>
          <w:iCs/>
        </w:rPr>
        <w:t>Panicum virgatum</w:t>
      </w:r>
      <w:r w:rsidRPr="002F1CD6">
        <w:t>) est une espèce de </w:t>
      </w:r>
      <w:hyperlink r:id="rId1280" w:history="1">
        <w:r w:rsidRPr="002F1CD6">
          <w:rPr>
            <w:rStyle w:val="Lienhypertexte"/>
          </w:rPr>
          <w:t>céréale</w:t>
        </w:r>
      </w:hyperlink>
      <w:r w:rsidRPr="002F1CD6">
        <w:t> sauvage (</w:t>
      </w:r>
      <w:hyperlink r:id="rId1281" w:history="1">
        <w:r w:rsidRPr="002F1CD6">
          <w:rPr>
            <w:rStyle w:val="Lienhypertexte"/>
          </w:rPr>
          <w:t>famille</w:t>
        </w:r>
      </w:hyperlink>
      <w:r w:rsidRPr="002F1CD6">
        <w:t> des </w:t>
      </w:r>
      <w:hyperlink r:id="rId1282" w:history="1">
        <w:r w:rsidRPr="002F1CD6">
          <w:rPr>
            <w:rStyle w:val="Lienhypertexte"/>
            <w:i/>
            <w:iCs/>
          </w:rPr>
          <w:t>Poaceae</w:t>
        </w:r>
      </w:hyperlink>
      <w:r w:rsidRPr="002F1CD6">
        <w:t>) autrefois très répandue aux </w:t>
      </w:r>
      <w:hyperlink r:id="rId1283" w:history="1">
        <w:r w:rsidRPr="002F1CD6">
          <w:rPr>
            <w:rStyle w:val="Lienhypertexte"/>
          </w:rPr>
          <w:t>États-Unis</w:t>
        </w:r>
      </w:hyperlink>
      <w:r w:rsidRPr="002F1CD6">
        <w:t>, présente sur tout le territoire (sauf sur la frange </w:t>
      </w:r>
      <w:hyperlink r:id="rId1284" w:history="1">
        <w:r w:rsidRPr="002F1CD6">
          <w:rPr>
            <w:rStyle w:val="Lienhypertexte"/>
          </w:rPr>
          <w:t>littorale</w:t>
        </w:r>
      </w:hyperlink>
      <w:r w:rsidRPr="002F1CD6">
        <w:t> du </w:t>
      </w:r>
      <w:hyperlink r:id="rId1285" w:history="1">
        <w:r w:rsidRPr="002F1CD6">
          <w:rPr>
            <w:rStyle w:val="Lienhypertexte"/>
          </w:rPr>
          <w:t>Pacifique</w:t>
        </w:r>
      </w:hyperlink>
      <w:r w:rsidRPr="002F1CD6">
        <w:t>). Le Gouvernement des États-Unis la considère</w:t>
      </w:r>
      <w:hyperlink r:id="rId1286" w:history="1">
        <w:r w:rsidRPr="002F1CD6">
          <w:rPr>
            <w:rStyle w:val="Lienhypertexte"/>
            <w:vertAlign w:val="superscript"/>
          </w:rPr>
          <w:t>1</w:t>
        </w:r>
      </w:hyperlink>
      <w:r w:rsidRPr="002F1CD6">
        <w:t> depuis 2006 comme une source potentielle d'agrocarburant, plus respectueuse de l'environnement que d’autres, et qui pourraient réduire la dépendance des États-Unis à l'égard du </w:t>
      </w:r>
      <w:hyperlink r:id="rId1287" w:history="1">
        <w:r w:rsidRPr="002F1CD6">
          <w:rPr>
            <w:rStyle w:val="Lienhypertexte"/>
          </w:rPr>
          <w:t>pétrole</w:t>
        </w:r>
      </w:hyperlink>
      <w:r w:rsidRPr="002F1CD6">
        <w:t>.</w:t>
      </w:r>
    </w:p>
    <w:p w14:paraId="2EB90A96" w14:textId="77777777" w:rsidR="002F1CD6" w:rsidRDefault="002F1CD6" w:rsidP="002F1CD6">
      <w:pPr>
        <w:spacing w:after="0" w:line="240" w:lineRule="auto"/>
      </w:pPr>
      <w:r w:rsidRPr="002F1CD6">
        <w:t xml:space="preserve">Sources : a) Halophyte, </w:t>
      </w:r>
      <w:hyperlink r:id="rId1288" w:history="1">
        <w:r w:rsidRPr="002F1CD6">
          <w:rPr>
            <w:rStyle w:val="Lienhypertexte"/>
          </w:rPr>
          <w:t>http://en.wikipedia.org/wiki/Halophyte</w:t>
        </w:r>
      </w:hyperlink>
      <w:r w:rsidRPr="002F1CD6">
        <w:t xml:space="preserve">, </w:t>
      </w:r>
    </w:p>
    <w:p w14:paraId="479017A4" w14:textId="12C49988" w:rsidR="002F1CD6" w:rsidRPr="002F1CD6" w:rsidRDefault="002F1CD6" w:rsidP="002F1CD6">
      <w:pPr>
        <w:spacing w:after="0" w:line="240" w:lineRule="auto"/>
      </w:pPr>
      <w:r w:rsidRPr="002F1CD6">
        <w:t xml:space="preserve">b) </w:t>
      </w:r>
      <w:hyperlink r:id="rId1289" w:history="1">
        <w:r w:rsidRPr="002F1CD6">
          <w:rPr>
            <w:rStyle w:val="Lienhypertexte"/>
          </w:rPr>
          <w:t>http://www.universalis.fr/encyclopedie/halophytes/</w:t>
        </w:r>
      </w:hyperlink>
      <w:r w:rsidRPr="002F1CD6">
        <w:t xml:space="preserve"> (article payant</w:t>
      </w:r>
      <w:r>
        <w:t>, réservé aux abonnés</w:t>
      </w:r>
      <w:r w:rsidRPr="002F1CD6">
        <w:t xml:space="preserve">). </w:t>
      </w:r>
    </w:p>
    <w:p w14:paraId="40E9ED48" w14:textId="6940C430" w:rsidR="005F4C66" w:rsidRDefault="005F4C66" w:rsidP="00411F84">
      <w:pPr>
        <w:spacing w:after="0" w:line="240" w:lineRule="auto"/>
      </w:pPr>
    </w:p>
    <w:p w14:paraId="74B347E4" w14:textId="1CFD1587" w:rsidR="005F4C66" w:rsidRDefault="005F4C66" w:rsidP="00D87D3F">
      <w:pPr>
        <w:pStyle w:val="Titre2"/>
      </w:pPr>
      <w:bookmarkStart w:id="151" w:name="_Toc139181442"/>
      <w:r>
        <w:t>Salicornes (</w:t>
      </w:r>
      <w:r w:rsidRPr="005F4C66">
        <w:rPr>
          <w:i/>
          <w:iCs/>
        </w:rPr>
        <w:t>Salicornia sp</w:t>
      </w:r>
      <w:r>
        <w:t>.)</w:t>
      </w:r>
      <w:bookmarkEnd w:id="151"/>
    </w:p>
    <w:p w14:paraId="45AFC473" w14:textId="03103FBB" w:rsidR="005F4C66" w:rsidRDefault="005F4C66" w:rsidP="00411F84">
      <w:pPr>
        <w:spacing w:after="0" w:line="240" w:lineRule="auto"/>
      </w:pPr>
    </w:p>
    <w:p w14:paraId="746E9854" w14:textId="77777777" w:rsidR="005F4C66" w:rsidRDefault="005F4C66" w:rsidP="005F4C66">
      <w:pPr>
        <w:spacing w:after="0" w:line="240" w:lineRule="auto"/>
        <w:jc w:val="both"/>
        <w:rPr>
          <w:rFonts w:ascii="Calibri" w:hAnsi="Calibri" w:cs="Calibri"/>
          <w:color w:val="202122"/>
          <w:shd w:val="clear" w:color="auto" w:fill="FFFFFF"/>
        </w:rPr>
      </w:pPr>
      <w:r w:rsidRPr="005F4C66">
        <w:rPr>
          <w:rFonts w:ascii="Calibri" w:hAnsi="Calibri" w:cs="Calibri"/>
          <w:color w:val="202122"/>
          <w:shd w:val="clear" w:color="auto" w:fill="FFFFFF"/>
        </w:rPr>
        <w:t>Le </w:t>
      </w:r>
      <w:hyperlink r:id="rId1290" w:tooltip="Genre (biologie)" w:history="1">
        <w:r w:rsidRPr="005F4C66">
          <w:rPr>
            <w:rStyle w:val="Lienhypertexte"/>
            <w:rFonts w:ascii="Calibri" w:hAnsi="Calibri" w:cs="Calibri"/>
            <w:color w:val="0645AD"/>
            <w:shd w:val="clear" w:color="auto" w:fill="FFFFFF"/>
          </w:rPr>
          <w:t>genre</w:t>
        </w:r>
      </w:hyperlink>
      <w:r w:rsidRPr="005F4C66">
        <w:rPr>
          <w:rFonts w:ascii="Calibri" w:hAnsi="Calibri" w:cs="Calibri"/>
          <w:color w:val="202122"/>
          <w:shd w:val="clear" w:color="auto" w:fill="FFFFFF"/>
        </w:rPr>
        <w:t> </w:t>
      </w:r>
      <w:r w:rsidRPr="005F4C66">
        <w:rPr>
          <w:rFonts w:ascii="Calibri" w:hAnsi="Calibri" w:cs="Calibri"/>
          <w:b/>
          <w:bCs/>
          <w:i/>
          <w:iCs/>
          <w:color w:val="202122"/>
          <w:shd w:val="clear" w:color="auto" w:fill="FFFFFF"/>
        </w:rPr>
        <w:t>Salicornia</w:t>
      </w:r>
      <w:r w:rsidRPr="005F4C66">
        <w:rPr>
          <w:rFonts w:ascii="Calibri" w:hAnsi="Calibri" w:cs="Calibri"/>
          <w:color w:val="202122"/>
          <w:shd w:val="clear" w:color="auto" w:fill="FFFFFF"/>
        </w:rPr>
        <w:t>, les </w:t>
      </w:r>
      <w:r w:rsidRPr="005F4C66">
        <w:rPr>
          <w:rFonts w:ascii="Calibri" w:hAnsi="Calibri" w:cs="Calibri"/>
          <w:b/>
          <w:bCs/>
          <w:color w:val="202122"/>
          <w:shd w:val="clear" w:color="auto" w:fill="FFFFFF"/>
        </w:rPr>
        <w:t>salicornes</w:t>
      </w:r>
      <w:r w:rsidRPr="005F4C66">
        <w:rPr>
          <w:rFonts w:ascii="Calibri" w:hAnsi="Calibri" w:cs="Calibri"/>
          <w:color w:val="202122"/>
          <w:shd w:val="clear" w:color="auto" w:fill="FFFFFF"/>
        </w:rPr>
        <w:t>, regroupe une trentaine d'</w:t>
      </w:r>
      <w:hyperlink r:id="rId1291" w:tooltip="Espèce" w:history="1">
        <w:r w:rsidRPr="005F4C66">
          <w:rPr>
            <w:rStyle w:val="Lienhypertexte"/>
            <w:rFonts w:ascii="Calibri" w:hAnsi="Calibri" w:cs="Calibri"/>
            <w:color w:val="0645AD"/>
            <w:shd w:val="clear" w:color="auto" w:fill="FFFFFF"/>
          </w:rPr>
          <w:t>espèces</w:t>
        </w:r>
      </w:hyperlink>
      <w:r w:rsidRPr="005F4C66">
        <w:rPr>
          <w:rFonts w:ascii="Calibri" w:hAnsi="Calibri" w:cs="Calibri"/>
          <w:color w:val="202122"/>
          <w:shd w:val="clear" w:color="auto" w:fill="FFFFFF"/>
        </w:rPr>
        <w:t> de plantes </w:t>
      </w:r>
      <w:hyperlink r:id="rId1292" w:tooltip="Halophyte" w:history="1">
        <w:r w:rsidRPr="005F4C66">
          <w:rPr>
            <w:rStyle w:val="Lienhypertexte"/>
            <w:rFonts w:ascii="Calibri" w:hAnsi="Calibri" w:cs="Calibri"/>
            <w:color w:val="0645AD"/>
            <w:shd w:val="clear" w:color="auto" w:fill="FFFFFF"/>
          </w:rPr>
          <w:t>halophytes</w:t>
        </w:r>
      </w:hyperlink>
      <w:r w:rsidRPr="005F4C66">
        <w:rPr>
          <w:rFonts w:ascii="Calibri" w:hAnsi="Calibri" w:cs="Calibri"/>
          <w:color w:val="202122"/>
          <w:shd w:val="clear" w:color="auto" w:fill="FFFFFF"/>
        </w:rPr>
        <w:t> appartenant à la </w:t>
      </w:r>
      <w:hyperlink r:id="rId1293" w:tooltip="Famille (biologie)" w:history="1">
        <w:r w:rsidRPr="005F4C66">
          <w:rPr>
            <w:rStyle w:val="Lienhypertexte"/>
            <w:rFonts w:ascii="Calibri" w:hAnsi="Calibri" w:cs="Calibri"/>
            <w:color w:val="0645AD"/>
            <w:shd w:val="clear" w:color="auto" w:fill="FFFFFF"/>
          </w:rPr>
          <w:t>famille</w:t>
        </w:r>
      </w:hyperlink>
      <w:r w:rsidRPr="005F4C66">
        <w:rPr>
          <w:rFonts w:ascii="Calibri" w:hAnsi="Calibri" w:cs="Calibri"/>
          <w:color w:val="202122"/>
          <w:shd w:val="clear" w:color="auto" w:fill="FFFFFF"/>
        </w:rPr>
        <w:t> des </w:t>
      </w:r>
      <w:hyperlink r:id="rId1294" w:tooltip="Amaranthaceae" w:history="1">
        <w:r w:rsidRPr="005F4C66">
          <w:rPr>
            <w:rStyle w:val="Lienhypertexte"/>
            <w:rFonts w:ascii="Calibri" w:hAnsi="Calibri" w:cs="Calibri"/>
            <w:i/>
            <w:iCs/>
            <w:color w:val="0645AD"/>
            <w:shd w:val="clear" w:color="auto" w:fill="FFFFFF"/>
          </w:rPr>
          <w:t>Amaranthaceae</w:t>
        </w:r>
      </w:hyperlink>
      <w:r w:rsidRPr="005F4C66">
        <w:rPr>
          <w:rFonts w:ascii="Calibri" w:hAnsi="Calibri" w:cs="Calibri"/>
          <w:color w:val="202122"/>
          <w:shd w:val="clear" w:color="auto" w:fill="FFFFFF"/>
        </w:rPr>
        <w:t>, selon la </w:t>
      </w:r>
      <w:hyperlink r:id="rId1295" w:tooltip="Classification APG III" w:history="1">
        <w:r w:rsidRPr="005F4C66">
          <w:rPr>
            <w:rStyle w:val="Lienhypertexte"/>
            <w:rFonts w:ascii="Calibri" w:hAnsi="Calibri" w:cs="Calibri"/>
            <w:color w:val="0645AD"/>
            <w:shd w:val="clear" w:color="auto" w:fill="FFFFFF"/>
          </w:rPr>
          <w:t>classification phylogénétique APG III (2009)</w:t>
        </w:r>
      </w:hyperlink>
      <w:r w:rsidRPr="005F4C66">
        <w:rPr>
          <w:rFonts w:ascii="Calibri" w:hAnsi="Calibri" w:cs="Calibri"/>
          <w:color w:val="202122"/>
          <w:shd w:val="clear" w:color="auto" w:fill="FFFFFF"/>
        </w:rPr>
        <w:t>. Dans la </w:t>
      </w:r>
      <w:hyperlink r:id="rId1296" w:tooltip="Classification classique" w:history="1">
        <w:r w:rsidRPr="005F4C66">
          <w:rPr>
            <w:rStyle w:val="Lienhypertexte"/>
            <w:rFonts w:ascii="Calibri" w:hAnsi="Calibri" w:cs="Calibri"/>
            <w:color w:val="0645AD"/>
            <w:shd w:val="clear" w:color="auto" w:fill="FFFFFF"/>
          </w:rPr>
          <w:t>classification classique</w:t>
        </w:r>
      </w:hyperlink>
      <w:r w:rsidRPr="005F4C66">
        <w:rPr>
          <w:rFonts w:ascii="Calibri" w:hAnsi="Calibri" w:cs="Calibri"/>
          <w:color w:val="202122"/>
          <w:shd w:val="clear" w:color="auto" w:fill="FFFFFF"/>
        </w:rPr>
        <w:t>, elle faisait partie de celle des </w:t>
      </w:r>
      <w:hyperlink r:id="rId1297" w:tooltip="Chenopodiaceae" w:history="1">
        <w:r w:rsidRPr="005F4C66">
          <w:rPr>
            <w:rStyle w:val="Lienhypertexte"/>
            <w:rFonts w:ascii="Calibri" w:hAnsi="Calibri" w:cs="Calibri"/>
            <w:i/>
            <w:iCs/>
            <w:color w:val="0645AD"/>
            <w:shd w:val="clear" w:color="auto" w:fill="FFFFFF"/>
          </w:rPr>
          <w:t>Chenopodiaceae</w:t>
        </w:r>
      </w:hyperlink>
      <w:r w:rsidRPr="005F4C66">
        <w:rPr>
          <w:rFonts w:ascii="Calibri" w:hAnsi="Calibri" w:cs="Calibri"/>
          <w:color w:val="202122"/>
          <w:shd w:val="clear" w:color="auto" w:fill="FFFFFF"/>
        </w:rPr>
        <w:t>. Il est proche du genre </w:t>
      </w:r>
      <w:hyperlink r:id="rId1298" w:tooltip="Salsola" w:history="1">
        <w:r w:rsidRPr="005F4C66">
          <w:rPr>
            <w:rStyle w:val="Lienhypertexte"/>
            <w:rFonts w:ascii="Calibri" w:hAnsi="Calibri" w:cs="Calibri"/>
            <w:i/>
            <w:iCs/>
            <w:color w:val="0645AD"/>
            <w:shd w:val="clear" w:color="auto" w:fill="FFFFFF"/>
          </w:rPr>
          <w:t>Salsola</w:t>
        </w:r>
      </w:hyperlink>
      <w:r w:rsidRPr="005F4C66">
        <w:rPr>
          <w:rFonts w:ascii="Calibri" w:hAnsi="Calibri" w:cs="Calibri"/>
          <w:color w:val="202122"/>
          <w:shd w:val="clear" w:color="auto" w:fill="FFFFFF"/>
        </w:rPr>
        <w:t> (soude).</w:t>
      </w:r>
      <w:r>
        <w:rPr>
          <w:rFonts w:ascii="Calibri" w:hAnsi="Calibri" w:cs="Calibri"/>
          <w:color w:val="202122"/>
          <w:shd w:val="clear" w:color="auto" w:fill="FFFFFF"/>
        </w:rPr>
        <w:t xml:space="preserve"> </w:t>
      </w:r>
    </w:p>
    <w:p w14:paraId="08462EA2" w14:textId="28F915BB" w:rsidR="005F4C66" w:rsidRPr="005F4C66" w:rsidRDefault="005F4C66" w:rsidP="005F4C66">
      <w:pPr>
        <w:spacing w:after="0" w:line="240" w:lineRule="auto"/>
        <w:jc w:val="both"/>
        <w:rPr>
          <w:rFonts w:ascii="Calibri" w:hAnsi="Calibri" w:cs="Calibri"/>
        </w:rPr>
      </w:pPr>
      <w:r>
        <w:rPr>
          <w:rFonts w:ascii="Calibri" w:hAnsi="Calibri" w:cs="Calibri"/>
          <w:color w:val="202122"/>
          <w:shd w:val="clear" w:color="auto" w:fill="FFFFFF"/>
        </w:rPr>
        <w:t>Ces</w:t>
      </w:r>
      <w:r w:rsidRPr="005F4C66">
        <w:rPr>
          <w:rFonts w:ascii="Calibri" w:hAnsi="Calibri" w:cs="Calibri"/>
          <w:color w:val="202122"/>
          <w:shd w:val="clear" w:color="auto" w:fill="FFFFFF"/>
        </w:rPr>
        <w:t xml:space="preserve"> plantes annuelles, basses, charnues, croiss</w:t>
      </w:r>
      <w:r>
        <w:rPr>
          <w:rFonts w:ascii="Calibri" w:hAnsi="Calibri" w:cs="Calibri"/>
          <w:color w:val="202122"/>
          <w:shd w:val="clear" w:color="auto" w:fill="FFFFFF"/>
        </w:rPr>
        <w:t>a</w:t>
      </w:r>
      <w:r w:rsidRPr="005F4C66">
        <w:rPr>
          <w:rFonts w:ascii="Calibri" w:hAnsi="Calibri" w:cs="Calibri"/>
          <w:color w:val="202122"/>
          <w:shd w:val="clear" w:color="auto" w:fill="FFFFFF"/>
        </w:rPr>
        <w:t xml:space="preserve">nt sur des sols </w:t>
      </w:r>
      <w:r>
        <w:rPr>
          <w:rFonts w:ascii="Calibri" w:hAnsi="Calibri" w:cs="Calibri"/>
          <w:color w:val="202122"/>
          <w:shd w:val="clear" w:color="auto" w:fill="FFFFFF"/>
        </w:rPr>
        <w:t>salés,</w:t>
      </w:r>
      <w:r w:rsidRPr="005F4C66">
        <w:rPr>
          <w:rFonts w:ascii="Calibri" w:hAnsi="Calibri" w:cs="Calibri"/>
          <w:color w:val="202122"/>
          <w:shd w:val="clear" w:color="auto" w:fill="FFFFFF"/>
        </w:rPr>
        <w:t xml:space="preserve"> sont constituées de rameaux cylindriques sembl</w:t>
      </w:r>
      <w:r>
        <w:rPr>
          <w:rFonts w:ascii="Calibri" w:hAnsi="Calibri" w:cs="Calibri"/>
          <w:color w:val="202122"/>
          <w:shd w:val="clear" w:color="auto" w:fill="FFFFFF"/>
        </w:rPr>
        <w:t>a</w:t>
      </w:r>
      <w:r w:rsidRPr="005F4C66">
        <w:rPr>
          <w:rFonts w:ascii="Calibri" w:hAnsi="Calibri" w:cs="Calibri"/>
          <w:color w:val="202122"/>
          <w:shd w:val="clear" w:color="auto" w:fill="FFFFFF"/>
        </w:rPr>
        <w:t>nt articulés et terminés par un épi fertile. Les feuilles sont réduites à des gaines opposées deux à deux.</w:t>
      </w:r>
    </w:p>
    <w:p w14:paraId="404A3431" w14:textId="77777777" w:rsidR="005F4C66" w:rsidRDefault="005F4C66" w:rsidP="005F4C66">
      <w:pPr>
        <w:spacing w:after="0" w:line="240" w:lineRule="auto"/>
        <w:jc w:val="both"/>
      </w:pPr>
    </w:p>
    <w:p w14:paraId="4122CC22" w14:textId="3BDC2A0E" w:rsidR="005F4C66" w:rsidRPr="005F4C66" w:rsidRDefault="005F4C66" w:rsidP="005F4C66">
      <w:pPr>
        <w:spacing w:after="0" w:line="240" w:lineRule="auto"/>
        <w:jc w:val="both"/>
      </w:pPr>
      <w:r w:rsidRPr="005F4C66">
        <w:t xml:space="preserve">« </w:t>
      </w:r>
      <w:r w:rsidRPr="005F4C66">
        <w:rPr>
          <w:i/>
          <w:iCs/>
        </w:rPr>
        <w:t xml:space="preserve">La </w:t>
      </w:r>
      <w:r w:rsidRPr="005F4C66">
        <w:rPr>
          <w:b/>
          <w:bCs/>
          <w:i/>
          <w:iCs/>
        </w:rPr>
        <w:t>salicorne</w:t>
      </w:r>
      <w:r w:rsidRPr="005F4C66">
        <w:rPr>
          <w:i/>
          <w:iCs/>
        </w:rPr>
        <w:t xml:space="preserve"> peut être élevée au rang de symbole du développement durable. Non parce que demain le monde entier en consommera et que les </w:t>
      </w:r>
      <w:r w:rsidRPr="005F4C66">
        <w:rPr>
          <w:b/>
          <w:bCs/>
          <w:i/>
          <w:iCs/>
        </w:rPr>
        <w:t>zones salines reverdiront</w:t>
      </w:r>
      <w:r w:rsidRPr="005F4C66">
        <w:rPr>
          <w:i/>
          <w:iCs/>
        </w:rPr>
        <w:t xml:space="preserve">, apportant ainsi une source de revenus aux populations locales. Mais bien parce que </w:t>
      </w:r>
      <w:r w:rsidRPr="005F4C66">
        <w:rPr>
          <w:b/>
          <w:bCs/>
          <w:i/>
          <w:iCs/>
        </w:rPr>
        <w:t>Salicornia</w:t>
      </w:r>
      <w:r w:rsidRPr="005F4C66">
        <w:rPr>
          <w:i/>
          <w:iCs/>
        </w:rPr>
        <w:t xml:space="preserve"> représente une révolution radicale dans les modes d’irrigation </w:t>
      </w:r>
      <w:r w:rsidRPr="005F4C66">
        <w:t>» (Kauffmann, 2004).</w:t>
      </w:r>
    </w:p>
    <w:p w14:paraId="18BF5525" w14:textId="77777777" w:rsidR="005F4C66" w:rsidRDefault="005F4C66" w:rsidP="005F4C66">
      <w:pPr>
        <w:spacing w:after="0" w:line="240" w:lineRule="auto"/>
        <w:jc w:val="both"/>
      </w:pPr>
    </w:p>
    <w:p w14:paraId="461E2AFE" w14:textId="0777C4A3" w:rsidR="005F4C66" w:rsidRDefault="005F4C66" w:rsidP="005F4C66">
      <w:pPr>
        <w:spacing w:after="0" w:line="240" w:lineRule="auto"/>
        <w:jc w:val="both"/>
      </w:pPr>
      <w:r w:rsidRPr="005F4C66">
        <w:t xml:space="preserve">La culture de la </w:t>
      </w:r>
      <w:r w:rsidRPr="005F4C66">
        <w:rPr>
          <w:b/>
          <w:bCs/>
        </w:rPr>
        <w:t>salicorne</w:t>
      </w:r>
      <w:r w:rsidRPr="005F4C66">
        <w:t xml:space="preserve"> et son insertion dans un système productif intégré est une solution pour les pays pauvres, pour l’utilisation et la récupération des des terres margino-littorales (tannes, marais et vasières). La salicorne est une plante de la famille des </w:t>
      </w:r>
      <w:r w:rsidRPr="005F4C66">
        <w:rPr>
          <w:i/>
          <w:iCs/>
        </w:rPr>
        <w:t>Chénopodiacées</w:t>
      </w:r>
      <w:r w:rsidRPr="005F4C66">
        <w:t xml:space="preserve"> halophyte qui pousse spontanément sur les vases salées du littoral ou de cuvettes margino-littorales salées telles que sont les tannes, les dépressions inter dunaires maritimes, les cuvettes deltaïques intérieures et les zones inondables en saison des pluies et salée (la mer étant au même niveau). </w:t>
      </w:r>
    </w:p>
    <w:p w14:paraId="359553D8" w14:textId="1CC5BD70" w:rsidR="005F4C66" w:rsidRDefault="005F4C66" w:rsidP="005F4C66">
      <w:pPr>
        <w:spacing w:after="0" w:line="240" w:lineRule="auto"/>
        <w:jc w:val="both"/>
      </w:pPr>
      <w:r w:rsidRPr="005F4C66">
        <w:t xml:space="preserve">La culture de la salicorne peut être intégrée dans le cadre d’un projet de réaménagement de mangrove. Sa culture est facile : La salicorne doit être arrosée régulièrement. Son nom anglais est </w:t>
      </w:r>
      <w:r w:rsidRPr="005F4C66">
        <w:rPr>
          <w:i/>
          <w:iCs/>
        </w:rPr>
        <w:t>samphire</w:t>
      </w:r>
      <w:r w:rsidRPr="005F4C66">
        <w:t>.</w:t>
      </w:r>
    </w:p>
    <w:p w14:paraId="76DEB4C7" w14:textId="3DDC396E" w:rsidR="00E475D0" w:rsidRPr="005F4C66" w:rsidRDefault="005F4C66" w:rsidP="00E475D0">
      <w:pPr>
        <w:spacing w:after="0" w:line="240" w:lineRule="auto"/>
        <w:jc w:val="both"/>
      </w:pPr>
      <w:r w:rsidRPr="005F4C66">
        <w:t xml:space="preserve">La salicorne se consomme en accompagnement un peu comme des </w:t>
      </w:r>
      <w:r w:rsidRPr="005F4C66">
        <w:rPr>
          <w:i/>
          <w:iCs/>
        </w:rPr>
        <w:t>haricots verts</w:t>
      </w:r>
      <w:r w:rsidRPr="005F4C66">
        <w:t xml:space="preserve">. On peut en faire des </w:t>
      </w:r>
      <w:r w:rsidRPr="005F4C66">
        <w:rPr>
          <w:i/>
          <w:iCs/>
        </w:rPr>
        <w:t>conserves</w:t>
      </w:r>
      <w:r w:rsidRPr="005F4C66">
        <w:t xml:space="preserve">. </w:t>
      </w:r>
      <w:r w:rsidR="00E475D0" w:rsidRPr="005F4C66">
        <w:t>Source :</w:t>
      </w:r>
      <w:r w:rsidR="00E475D0">
        <w:t xml:space="preserve"> a)</w:t>
      </w:r>
      <w:r w:rsidR="00E475D0" w:rsidRPr="005F4C66">
        <w:t xml:space="preserve"> </w:t>
      </w:r>
      <w:hyperlink r:id="rId1299" w:history="1">
        <w:r w:rsidR="00E475D0" w:rsidRPr="005F4C66">
          <w:rPr>
            <w:rStyle w:val="Lienhypertexte"/>
          </w:rPr>
          <w:t>http://www.environnement.gouv.sn/projest%26programmes/projet-ecofermes</w:t>
        </w:r>
      </w:hyperlink>
    </w:p>
    <w:p w14:paraId="2442362A" w14:textId="0BE2CEA7" w:rsidR="005F4C66" w:rsidRPr="00E475D0" w:rsidRDefault="00E475D0" w:rsidP="005F4C66">
      <w:pPr>
        <w:spacing w:after="0" w:line="240" w:lineRule="auto"/>
        <w:rPr>
          <w:lang w:val="en-GB"/>
        </w:rPr>
      </w:pPr>
      <w:r w:rsidRPr="00E475D0">
        <w:rPr>
          <w:lang w:val="en-GB"/>
        </w:rPr>
        <w:t>b</w:t>
      </w:r>
      <w:r>
        <w:rPr>
          <w:lang w:val="en-GB"/>
        </w:rPr>
        <w:t>)</w:t>
      </w:r>
      <w:r w:rsidR="005F4C66" w:rsidRPr="005F4C66">
        <w:rPr>
          <w:lang w:val="en-GB"/>
        </w:rPr>
        <w:t xml:space="preserve"> </w:t>
      </w:r>
      <w:hyperlink r:id="rId1300" w:history="1">
        <w:r w:rsidR="005F4C66" w:rsidRPr="005F4C66">
          <w:rPr>
            <w:rStyle w:val="Lienhypertexte"/>
            <w:lang w:val="en-GB"/>
          </w:rPr>
          <w:t>http://www.unevieenafrique.com/fbbien-manger-a-dakar</w:t>
        </w:r>
      </w:hyperlink>
      <w:r w:rsidR="005F4C66" w:rsidRPr="005F4C66">
        <w:rPr>
          <w:lang w:val="en-GB"/>
        </w:rPr>
        <w:t xml:space="preserve">   </w:t>
      </w:r>
    </w:p>
    <w:p w14:paraId="5BFE6D8D" w14:textId="7FED7AF1" w:rsidR="00E475D0" w:rsidRPr="005F4C66" w:rsidRDefault="00E475D0" w:rsidP="005F4C66">
      <w:pPr>
        <w:spacing w:after="0" w:line="240" w:lineRule="auto"/>
        <w:rPr>
          <w:lang w:val="en-GB"/>
        </w:rPr>
      </w:pPr>
      <w:r>
        <w:rPr>
          <w:lang w:val="en-GB"/>
        </w:rPr>
        <w:t>c</w:t>
      </w:r>
      <w:r w:rsidRPr="00E475D0">
        <w:rPr>
          <w:lang w:val="en-GB"/>
        </w:rPr>
        <w:t>) https://fr.wikipedia.org/wiki/Salicorne</w:t>
      </w:r>
    </w:p>
    <w:p w14:paraId="21699525" w14:textId="77777777" w:rsidR="005F4C66" w:rsidRPr="00E475D0" w:rsidRDefault="005F4C66" w:rsidP="00411F84">
      <w:pPr>
        <w:spacing w:after="0" w:line="240" w:lineRule="auto"/>
        <w:rPr>
          <w:lang w:val="en-G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5F4C66" w14:paraId="214289FE" w14:textId="77777777" w:rsidTr="00C5501C">
        <w:tc>
          <w:tcPr>
            <w:tcW w:w="3472" w:type="dxa"/>
          </w:tcPr>
          <w:p w14:paraId="0B8F9365" w14:textId="77777777" w:rsidR="005F4C66" w:rsidRDefault="005F4C66" w:rsidP="005F4C66">
            <w:pPr>
              <w:jc w:val="center"/>
            </w:pPr>
            <w:r w:rsidRPr="005F4C66">
              <w:rPr>
                <w:noProof/>
              </w:rPr>
              <w:drawing>
                <wp:inline distT="0" distB="0" distL="0" distR="0" wp14:anchorId="02710B6C" wp14:editId="76353603">
                  <wp:extent cx="2020622" cy="1514475"/>
                  <wp:effectExtent l="0" t="0" r="0" b="0"/>
                  <wp:docPr id="70662" name="Image 6" descr="Salicornia bigelov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62" name="Image 6" descr="Salicornia bigelovii.jpg"/>
                          <pic:cNvPicPr>
                            <a:picLocks noChangeAspect="1"/>
                          </pic:cNvPicPr>
                        </pic:nvPicPr>
                        <pic:blipFill>
                          <a:blip r:embed="rId1301">
                            <a:extLst>
                              <a:ext uri="{28A0092B-C50C-407E-A947-70E740481C1C}">
                                <a14:useLocalDpi xmlns:a14="http://schemas.microsoft.com/office/drawing/2010/main" val="0"/>
                              </a:ext>
                            </a:extLst>
                          </a:blip>
                          <a:srcRect/>
                          <a:stretch>
                            <a:fillRect/>
                          </a:stretch>
                        </pic:blipFill>
                        <pic:spPr bwMode="auto">
                          <a:xfrm>
                            <a:off x="0" y="0"/>
                            <a:ext cx="2023514" cy="1516643"/>
                          </a:xfrm>
                          <a:prstGeom prst="rect">
                            <a:avLst/>
                          </a:prstGeom>
                          <a:noFill/>
                          <a:ln>
                            <a:noFill/>
                          </a:ln>
                        </pic:spPr>
                      </pic:pic>
                    </a:graphicData>
                  </a:graphic>
                </wp:inline>
              </w:drawing>
            </w:r>
          </w:p>
          <w:p w14:paraId="1F0F0346" w14:textId="1B47FF9A" w:rsidR="005F4C66" w:rsidRDefault="005F4C66" w:rsidP="005F4C66">
            <w:pPr>
              <w:jc w:val="center"/>
            </w:pPr>
            <w:r w:rsidRPr="005F4C66">
              <w:rPr>
                <w:i/>
                <w:iCs/>
              </w:rPr>
              <w:t>Salicornia bigelovii</w:t>
            </w:r>
          </w:p>
        </w:tc>
        <w:tc>
          <w:tcPr>
            <w:tcW w:w="3472" w:type="dxa"/>
          </w:tcPr>
          <w:p w14:paraId="7F31AA95" w14:textId="77777777" w:rsidR="005F4C66" w:rsidRDefault="005F4C66" w:rsidP="005F4C66">
            <w:pPr>
              <w:jc w:val="center"/>
            </w:pPr>
            <w:r w:rsidRPr="005F4C66">
              <w:rPr>
                <w:noProof/>
              </w:rPr>
              <w:drawing>
                <wp:inline distT="0" distB="0" distL="0" distR="0" wp14:anchorId="46DDED41" wp14:editId="7C9C7664">
                  <wp:extent cx="2019541" cy="1276350"/>
                  <wp:effectExtent l="0" t="0" r="0" b="0"/>
                  <wp:docPr id="70664" name="Image 8" descr="Salicornia brachia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64" name="Image 8" descr="Salicornia brachiata.jpg"/>
                          <pic:cNvPicPr>
                            <a:picLocks noChangeAspect="1"/>
                          </pic:cNvPicPr>
                        </pic:nvPicPr>
                        <pic:blipFill>
                          <a:blip r:embed="rId1302">
                            <a:extLst>
                              <a:ext uri="{28A0092B-C50C-407E-A947-70E740481C1C}">
                                <a14:useLocalDpi xmlns:a14="http://schemas.microsoft.com/office/drawing/2010/main" val="0"/>
                              </a:ext>
                            </a:extLst>
                          </a:blip>
                          <a:srcRect/>
                          <a:stretch>
                            <a:fillRect/>
                          </a:stretch>
                        </pic:blipFill>
                        <pic:spPr bwMode="auto">
                          <a:xfrm>
                            <a:off x="0" y="0"/>
                            <a:ext cx="2023333" cy="1278747"/>
                          </a:xfrm>
                          <a:prstGeom prst="rect">
                            <a:avLst/>
                          </a:prstGeom>
                          <a:noFill/>
                          <a:ln>
                            <a:noFill/>
                          </a:ln>
                        </pic:spPr>
                      </pic:pic>
                    </a:graphicData>
                  </a:graphic>
                </wp:inline>
              </w:drawing>
            </w:r>
          </w:p>
          <w:p w14:paraId="1DFD5445" w14:textId="559A79C2" w:rsidR="005F4C66" w:rsidRDefault="005F4C66" w:rsidP="005F4C66">
            <w:pPr>
              <w:jc w:val="center"/>
            </w:pPr>
            <w:r w:rsidRPr="005F4C66">
              <w:rPr>
                <w:i/>
                <w:iCs/>
              </w:rPr>
              <w:t>Salicornia brachiata</w:t>
            </w:r>
          </w:p>
        </w:tc>
        <w:tc>
          <w:tcPr>
            <w:tcW w:w="3472" w:type="dxa"/>
          </w:tcPr>
          <w:p w14:paraId="2A8DE594" w14:textId="77777777" w:rsidR="005F4C66" w:rsidRDefault="00C5501C" w:rsidP="005F4C66">
            <w:pPr>
              <w:jc w:val="center"/>
            </w:pPr>
            <w:r>
              <w:rPr>
                <w:noProof/>
              </w:rPr>
              <w:drawing>
                <wp:inline distT="0" distB="0" distL="0" distR="0" wp14:anchorId="4CC5448B" wp14:editId="3338F4D2">
                  <wp:extent cx="2038350" cy="2148959"/>
                  <wp:effectExtent l="0" t="0" r="0" b="3810"/>
                  <wp:docPr id="59398" name="Image 59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303">
                            <a:extLst>
                              <a:ext uri="{28A0092B-C50C-407E-A947-70E740481C1C}">
                                <a14:useLocalDpi xmlns:a14="http://schemas.microsoft.com/office/drawing/2010/main" val="0"/>
                              </a:ext>
                            </a:extLst>
                          </a:blip>
                          <a:srcRect/>
                          <a:stretch>
                            <a:fillRect/>
                          </a:stretch>
                        </pic:blipFill>
                        <pic:spPr bwMode="auto">
                          <a:xfrm>
                            <a:off x="0" y="0"/>
                            <a:ext cx="2049812" cy="2161043"/>
                          </a:xfrm>
                          <a:prstGeom prst="rect">
                            <a:avLst/>
                          </a:prstGeom>
                          <a:noFill/>
                          <a:ln>
                            <a:noFill/>
                          </a:ln>
                        </pic:spPr>
                      </pic:pic>
                    </a:graphicData>
                  </a:graphic>
                </wp:inline>
              </w:drawing>
            </w:r>
          </w:p>
          <w:p w14:paraId="1A96AB9E" w14:textId="00837B59" w:rsidR="00C5501C" w:rsidRPr="00C5501C" w:rsidRDefault="00000000" w:rsidP="005F4C66">
            <w:pPr>
              <w:jc w:val="center"/>
              <w:rPr>
                <w:rFonts w:ascii="Calibri" w:hAnsi="Calibri" w:cs="Calibri"/>
              </w:rPr>
            </w:pPr>
            <w:hyperlink r:id="rId1304" w:tooltip="Salicorne d'Europe" w:history="1">
              <w:r w:rsidR="00C5501C" w:rsidRPr="00C5501C">
                <w:rPr>
                  <w:rStyle w:val="Lienhypertexte"/>
                  <w:rFonts w:ascii="Calibri" w:hAnsi="Calibri" w:cs="Calibri"/>
                  <w:color w:val="0645AD"/>
                  <w:shd w:val="clear" w:color="auto" w:fill="F9F9F9"/>
                </w:rPr>
                <w:t>Salicorne d'Europe</w:t>
              </w:r>
            </w:hyperlink>
            <w:r w:rsidR="00C5501C" w:rsidRPr="00C5501C">
              <w:rPr>
                <w:rFonts w:ascii="Calibri" w:hAnsi="Calibri" w:cs="Calibri"/>
                <w:color w:val="202122"/>
                <w:shd w:val="clear" w:color="auto" w:fill="F9F9F9"/>
              </w:rPr>
              <w:t> (</w:t>
            </w:r>
            <w:r w:rsidR="00C5501C" w:rsidRPr="00C5501C">
              <w:rPr>
                <w:rFonts w:ascii="Calibri" w:hAnsi="Calibri" w:cs="Calibri"/>
                <w:i/>
                <w:iCs/>
                <w:color w:val="202122"/>
                <w:shd w:val="clear" w:color="auto" w:fill="F9F9F9"/>
              </w:rPr>
              <w:t>Salicornia europaea</w:t>
            </w:r>
            <w:r w:rsidR="00C5501C" w:rsidRPr="00C5501C">
              <w:rPr>
                <w:rFonts w:ascii="Calibri" w:hAnsi="Calibri" w:cs="Calibri"/>
                <w:color w:val="202122"/>
                <w:shd w:val="clear" w:color="auto" w:fill="F9F9F9"/>
              </w:rPr>
              <w:t>)</w:t>
            </w:r>
          </w:p>
        </w:tc>
      </w:tr>
    </w:tbl>
    <w:p w14:paraId="71BACFF4" w14:textId="26C8BE9A" w:rsidR="005F4C66" w:rsidRDefault="005F4C66" w:rsidP="00E475D0">
      <w:pPr>
        <w:spacing w:after="0" w:line="240" w:lineRule="auto"/>
      </w:pPr>
    </w:p>
    <w:p w14:paraId="65171E81" w14:textId="77777777" w:rsidR="00E475D0" w:rsidRPr="00E475D0" w:rsidRDefault="00E475D0" w:rsidP="00D87D3F">
      <w:pPr>
        <w:pStyle w:val="Titre2"/>
      </w:pPr>
      <w:bookmarkStart w:id="152" w:name="_Toc139181443"/>
      <w:r w:rsidRPr="00E475D0">
        <w:t>Salicornes de climats tropicaux</w:t>
      </w:r>
      <w:bookmarkEnd w:id="152"/>
    </w:p>
    <w:p w14:paraId="0EFD8DA8" w14:textId="77777777" w:rsidR="00E475D0" w:rsidRDefault="00E475D0" w:rsidP="00E475D0">
      <w:pPr>
        <w:spacing w:after="0" w:line="240" w:lineRule="auto"/>
      </w:pPr>
    </w:p>
    <w:p w14:paraId="42FA27CF" w14:textId="6F75A310" w:rsidR="00E475D0" w:rsidRPr="00E475D0" w:rsidRDefault="00E475D0" w:rsidP="00E475D0">
      <w:pPr>
        <w:spacing w:after="0" w:line="240" w:lineRule="auto"/>
        <w:jc w:val="both"/>
      </w:pPr>
      <w:r w:rsidRPr="00E475D0">
        <w:t>Il y a deux espèces de salicorne  (tropicales], qui sont cultivées commercialement dans différentes parties du monde. L'une d'elle est </w:t>
      </w:r>
      <w:r w:rsidRPr="00E475D0">
        <w:rPr>
          <w:i/>
          <w:iCs/>
        </w:rPr>
        <w:t>Salicornia bigelovii</w:t>
      </w:r>
      <w:r w:rsidRPr="00E475D0">
        <w:t>. Cette plante pousse dans les ceintures littorales tropicales, humides, ouvertes.</w:t>
      </w:r>
    </w:p>
    <w:p w14:paraId="11D60E16" w14:textId="6DB3EB46" w:rsidR="00E475D0" w:rsidRPr="00E475D0" w:rsidRDefault="00E475D0" w:rsidP="00E475D0">
      <w:pPr>
        <w:spacing w:after="0" w:line="240" w:lineRule="auto"/>
        <w:jc w:val="both"/>
      </w:pPr>
      <w:r w:rsidRPr="00E475D0">
        <w:t xml:space="preserve">Ses graines contiennent </w:t>
      </w:r>
      <w:r>
        <w:t>jusqu’à</w:t>
      </w:r>
      <w:r w:rsidRPr="00E475D0">
        <w:t xml:space="preserve"> 30 pour cent d'huile et 35 pour cent de protéines.</w:t>
      </w:r>
    </w:p>
    <w:p w14:paraId="5BE72C52" w14:textId="5492644A" w:rsidR="00E475D0" w:rsidRDefault="00E475D0" w:rsidP="00E475D0">
      <w:pPr>
        <w:spacing w:after="0" w:line="240" w:lineRule="auto"/>
        <w:jc w:val="both"/>
      </w:pPr>
      <w:r w:rsidRPr="00E475D0">
        <w:t>L'autre, </w:t>
      </w:r>
      <w:r w:rsidRPr="00E475D0">
        <w:rPr>
          <w:i/>
          <w:iCs/>
        </w:rPr>
        <w:t>Salicornia brachiata,</w:t>
      </w:r>
      <w:r w:rsidRPr="00E475D0">
        <w:t> est une plante herbacée annuelle dressée, distribuée principalement dans les marais salants de Tamil Nadu, Bengale et au Sri Lanka. </w:t>
      </w:r>
    </w:p>
    <w:p w14:paraId="4E9C26D2" w14:textId="09587542" w:rsidR="00E475D0" w:rsidRDefault="00E475D0" w:rsidP="00E475D0">
      <w:pPr>
        <w:spacing w:after="0" w:line="240" w:lineRule="auto"/>
        <w:jc w:val="both"/>
      </w:pPr>
      <w:r w:rsidRPr="00E475D0">
        <w:t>Elle a un rendement de semences de 100 kg par hectare, et la teneur en huile est de 20 pour cent. Les huiles de ces deux espèces peuvent aussi servir de biocarburant.</w:t>
      </w:r>
      <w:r w:rsidR="00B315F4">
        <w:t xml:space="preserve"> </w:t>
      </w:r>
      <w:r w:rsidR="00B315F4" w:rsidRPr="00B315F4">
        <w:t xml:space="preserve">Leur capacité à pousser sur des terres arides et à être alimentées en eau de mer leur évitant théoriquement d'être en concurrence avec la production alimentaire. L'université Khalifa d'Abou Dabi et Safran </w:t>
      </w:r>
      <w:r w:rsidR="00B315F4">
        <w:t xml:space="preserve">a </w:t>
      </w:r>
      <w:r w:rsidR="00B315F4" w:rsidRPr="00B315F4">
        <w:t>m</w:t>
      </w:r>
      <w:r w:rsidR="00B315F4">
        <w:t>ené</w:t>
      </w:r>
      <w:r w:rsidR="00B315F4" w:rsidRPr="00B315F4">
        <w:t xml:space="preserve"> une petite production expérimentale de carburant aéronautique et </w:t>
      </w:r>
      <w:r w:rsidR="00B315F4">
        <w:t>a</w:t>
      </w:r>
      <w:r w:rsidR="00B315F4" w:rsidRPr="00B315F4">
        <w:t xml:space="preserve"> alimenté un Boeing 787 pour un vol long-courrier expérimental en janvier 2019</w:t>
      </w:r>
    </w:p>
    <w:p w14:paraId="7888D2B9" w14:textId="14451B9D" w:rsidR="00E475D0" w:rsidRPr="00E475D0" w:rsidRDefault="00E475D0" w:rsidP="00E475D0">
      <w:pPr>
        <w:spacing w:after="0" w:line="240" w:lineRule="auto"/>
        <w:jc w:val="both"/>
      </w:pPr>
      <w:r w:rsidRPr="00E475D0">
        <w:t>Des champs expérimentaux de </w:t>
      </w:r>
      <w:r w:rsidRPr="00E475D0">
        <w:rPr>
          <w:i/>
          <w:iCs/>
        </w:rPr>
        <w:t>salicornes</w:t>
      </w:r>
      <w:r w:rsidRPr="00E475D0">
        <w:t> ont été plantés à Ras al-Zawr (Arabie Saoudite, </w:t>
      </w:r>
      <w:hyperlink r:id="rId1305" w:history="1">
        <w:r w:rsidRPr="00E475D0">
          <w:rPr>
            <w:rStyle w:val="Lienhypertexte"/>
          </w:rPr>
          <w:t>Erythrée</w:t>
        </w:r>
      </w:hyperlink>
      <w:r w:rsidRPr="00E475D0">
        <w:t> (Afrique) et </w:t>
      </w:r>
      <w:hyperlink r:id="rId1306" w:history="1">
        <w:r w:rsidRPr="00E475D0">
          <w:rPr>
            <w:rStyle w:val="Lienhypertexte"/>
          </w:rPr>
          <w:t>Sonora</w:t>
        </w:r>
      </w:hyperlink>
      <w:r w:rsidRPr="00E475D0">
        <w:t> (nord-ouest du Mexique), visant à la production de biodiesel. La société responsable des essais Sonora (</w:t>
      </w:r>
      <w:hyperlink r:id="rId1307" w:history="1">
        <w:r w:rsidRPr="00E475D0">
          <w:rPr>
            <w:rStyle w:val="Lienhypertexte"/>
          </w:rPr>
          <w:t xml:space="preserve">Global </w:t>
        </w:r>
      </w:hyperlink>
      <w:hyperlink r:id="rId1308" w:history="1">
        <w:r w:rsidRPr="00E475D0">
          <w:rPr>
            <w:rStyle w:val="Lienhypertexte"/>
          </w:rPr>
          <w:t>Seawater</w:t>
        </w:r>
      </w:hyperlink>
      <w:r w:rsidRPr="00E475D0">
        <w:t>) revendique entre 225 et 250 gallons de biodiesel BQ-9000, pouvant être produit par </w:t>
      </w:r>
      <w:hyperlink r:id="rId1309" w:history="1">
        <w:r w:rsidRPr="00E475D0">
          <w:rPr>
            <w:rStyle w:val="Lienhypertexte"/>
          </w:rPr>
          <w:t>hectare</w:t>
        </w:r>
      </w:hyperlink>
      <w:r w:rsidRPr="00E475D0">
        <w:t> (sur environ 2,5 hectares) de salicorne, et fait la promotion d’une ferme à salicornes, à créer sur 12,000- acres (49 km</w:t>
      </w:r>
      <w:r w:rsidRPr="00E475D0">
        <w:rPr>
          <w:vertAlign w:val="superscript"/>
        </w:rPr>
        <w:t>2</w:t>
      </w:r>
      <w:r w:rsidRPr="00E475D0">
        <w:t>), dans </w:t>
      </w:r>
      <w:hyperlink r:id="rId1310" w:history="1">
        <w:r w:rsidRPr="00E475D0">
          <w:rPr>
            <w:rStyle w:val="Lienhypertexte"/>
          </w:rPr>
          <w:t>Bahia de Kino</w:t>
        </w:r>
      </w:hyperlink>
      <w:r w:rsidRPr="00E475D0">
        <w:t>, un programme de 35 millions de dollar</w:t>
      </w:r>
      <w:r>
        <w:t>s</w:t>
      </w:r>
      <w:r w:rsidRPr="00E475D0">
        <w:t>. </w:t>
      </w:r>
      <w:hyperlink r:id="rId1311" w:history="1">
        <w:r w:rsidRPr="00E475D0">
          <w:rPr>
            <w:rStyle w:val="Lienhypertexte"/>
            <w:vertAlign w:val="superscript"/>
          </w:rPr>
          <w:t xml:space="preserve"> </w:t>
        </w:r>
      </w:hyperlink>
    </w:p>
    <w:p w14:paraId="3408F373" w14:textId="5573291B" w:rsidR="00E475D0" w:rsidRPr="00E475D0" w:rsidRDefault="00000000" w:rsidP="00E475D0">
      <w:pPr>
        <w:spacing w:after="0" w:line="240" w:lineRule="auto"/>
        <w:jc w:val="both"/>
      </w:pPr>
      <w:hyperlink r:id="rId1312" w:history="1">
        <w:r w:rsidR="00E475D0" w:rsidRPr="00E475D0">
          <w:rPr>
            <w:rStyle w:val="Lienhypertexte"/>
            <w:i/>
            <w:iCs/>
          </w:rPr>
          <w:t>Salicornia</w:t>
        </w:r>
      </w:hyperlink>
      <w:hyperlink r:id="rId1313" w:history="1">
        <w:r w:rsidR="00E475D0" w:rsidRPr="00E475D0">
          <w:rPr>
            <w:rStyle w:val="Lienhypertexte"/>
            <w:i/>
            <w:iCs/>
          </w:rPr>
          <w:t xml:space="preserve"> </w:t>
        </w:r>
      </w:hyperlink>
      <w:hyperlink r:id="rId1314" w:history="1">
        <w:r w:rsidR="00E475D0" w:rsidRPr="00E475D0">
          <w:rPr>
            <w:rStyle w:val="Lienhypertexte"/>
            <w:i/>
            <w:iCs/>
          </w:rPr>
          <w:t>bigelovii</w:t>
        </w:r>
      </w:hyperlink>
      <w:r w:rsidR="00E475D0" w:rsidRPr="00E475D0">
        <w:t> peut être cultivées à l'aide d'eau salée et de ses graines contiennent des taux élevés d'</w:t>
      </w:r>
      <w:hyperlink r:id="rId1315" w:history="1">
        <w:r w:rsidR="00E475D0" w:rsidRPr="00E475D0">
          <w:rPr>
            <w:rStyle w:val="Lienhypertexte"/>
          </w:rPr>
          <w:t>huile</w:t>
        </w:r>
      </w:hyperlink>
      <w:r w:rsidR="00E475D0" w:rsidRPr="00E475D0">
        <w:t xml:space="preserve"> insaturé (principalement, à 30%, </w:t>
      </w:r>
      <w:hyperlink r:id="rId1316" w:history="1">
        <w:r w:rsidR="00E475D0" w:rsidRPr="00E475D0">
          <w:rPr>
            <w:rStyle w:val="Lienhypertexte"/>
          </w:rPr>
          <w:t>de l'acide linoléique</w:t>
        </w:r>
      </w:hyperlink>
      <w:r w:rsidR="00E475D0" w:rsidRPr="00E475D0">
        <w:t>) et de protéines (35%). Elle peut être utilisée pour produire des aliments pour animaux et/ou en tant que biocarburant, sur les terres côtières où les cultures traditionnelles ne peuvent pas être cultivées. L’ajout  d’</w:t>
      </w:r>
      <w:hyperlink r:id="rId1317" w:history="1">
        <w:r w:rsidR="00E475D0" w:rsidRPr="00E475D0">
          <w:rPr>
            <w:rStyle w:val="Lienhypertexte"/>
          </w:rPr>
          <w:t>engrais</w:t>
        </w:r>
      </w:hyperlink>
      <w:r w:rsidR="00E475D0" w:rsidRPr="00E475D0">
        <w:t xml:space="preserve"> azoté à l'eau de mer semble augmenter le taux de croissance et la hauteur de la plant</w:t>
      </w:r>
      <w:r w:rsidR="00E475D0">
        <w:t>e</w:t>
      </w:r>
      <w:r w:rsidR="00E475D0" w:rsidRPr="00E475D0">
        <w:t> et donc, les effluents de l’</w:t>
      </w:r>
      <w:hyperlink r:id="rId1318" w:history="1">
        <w:r w:rsidR="00E475D0" w:rsidRPr="00E475D0">
          <w:rPr>
            <w:rStyle w:val="Lienhypertexte"/>
          </w:rPr>
          <w:t>aquaculture</w:t>
        </w:r>
      </w:hyperlink>
      <w:r w:rsidR="00E475D0" w:rsidRPr="00E475D0">
        <w:t xml:space="preserve"> marine (par exemple, l’</w:t>
      </w:r>
      <w:hyperlink r:id="rId1319" w:history="1">
        <w:r w:rsidR="00E475D0" w:rsidRPr="00E475D0">
          <w:rPr>
            <w:rStyle w:val="Lienhypertexte"/>
          </w:rPr>
          <w:t>élevage des crevettes</w:t>
        </w:r>
      </w:hyperlink>
      <w:r w:rsidR="00E475D0" w:rsidRPr="00E475D0">
        <w:t>) est une utilisation suggérée, à cet effet.</w:t>
      </w:r>
    </w:p>
    <w:p w14:paraId="56706083" w14:textId="77777777" w:rsidR="00E475D0" w:rsidRPr="00E475D0" w:rsidRDefault="00E475D0" w:rsidP="00E475D0">
      <w:pPr>
        <w:spacing w:after="0" w:line="240" w:lineRule="auto"/>
        <w:jc w:val="both"/>
        <w:rPr>
          <w:lang w:val="en-GB"/>
        </w:rPr>
      </w:pPr>
      <w:r w:rsidRPr="00E475D0">
        <w:rPr>
          <w:lang w:val="en-GB"/>
        </w:rPr>
        <w:t xml:space="preserve">Sources : a) </w:t>
      </w:r>
      <w:hyperlink r:id="rId1320" w:history="1">
        <w:r w:rsidRPr="00E475D0">
          <w:rPr>
            <w:rStyle w:val="Lienhypertexte"/>
            <w:lang w:val="en-GB"/>
          </w:rPr>
          <w:t>http://en.wikipedia.org/wiki/Salicornia</w:t>
        </w:r>
      </w:hyperlink>
      <w:r w:rsidRPr="00E475D0">
        <w:rPr>
          <w:lang w:val="en-GB"/>
        </w:rPr>
        <w:t xml:space="preserve">, b) </w:t>
      </w:r>
      <w:hyperlink r:id="rId1321" w:history="1">
        <w:r w:rsidRPr="00E475D0">
          <w:rPr>
            <w:rStyle w:val="Lienhypertexte"/>
            <w:lang w:val="en-GB"/>
          </w:rPr>
          <w:t>http://fr.wikipedia.org/wiki/Salicorne</w:t>
        </w:r>
      </w:hyperlink>
      <w:r w:rsidRPr="00E475D0">
        <w:rPr>
          <w:lang w:val="en-GB"/>
        </w:rPr>
        <w:t xml:space="preserve"> </w:t>
      </w:r>
    </w:p>
    <w:p w14:paraId="30336459" w14:textId="10C0360B" w:rsidR="00E475D0" w:rsidRPr="00E475D0" w:rsidRDefault="00E475D0" w:rsidP="00E475D0">
      <w:pPr>
        <w:spacing w:after="0" w:line="240" w:lineRule="auto"/>
        <w:jc w:val="both"/>
        <w:rPr>
          <w:lang w:val="en-GB"/>
        </w:rPr>
      </w:pPr>
      <w:r>
        <w:rPr>
          <w:lang w:val="en-GB"/>
        </w:rPr>
        <w:t xml:space="preserve">c) </w:t>
      </w:r>
      <w:r w:rsidRPr="00E475D0">
        <w:rPr>
          <w:lang w:val="en-GB"/>
        </w:rPr>
        <w:t>Glenn, Edward P.; Brown, J. Jed; O'Leary, James W. (August 1998). </w:t>
      </w:r>
      <w:hyperlink r:id="rId1322" w:history="1">
        <w:r w:rsidRPr="00E475D0">
          <w:rPr>
            <w:rStyle w:val="Lienhypertexte"/>
            <w:i/>
            <w:iCs/>
            <w:lang w:val="en-GB"/>
          </w:rPr>
          <w:t>"</w:t>
        </w:r>
      </w:hyperlink>
      <w:hyperlink r:id="rId1323" w:history="1">
        <w:r w:rsidRPr="00E475D0">
          <w:rPr>
            <w:rStyle w:val="Lienhypertexte"/>
            <w:i/>
            <w:iCs/>
            <w:lang w:val="en-GB"/>
          </w:rPr>
          <w:t>Irrigating</w:t>
        </w:r>
      </w:hyperlink>
      <w:hyperlink r:id="rId1324" w:history="1">
        <w:r w:rsidRPr="00E475D0">
          <w:rPr>
            <w:rStyle w:val="Lienhypertexte"/>
            <w:i/>
            <w:iCs/>
            <w:lang w:val="en-GB"/>
          </w:rPr>
          <w:t xml:space="preserve"> </w:t>
        </w:r>
      </w:hyperlink>
      <w:hyperlink r:id="rId1325" w:history="1">
        <w:r w:rsidRPr="00E475D0">
          <w:rPr>
            <w:rStyle w:val="Lienhypertexte"/>
            <w:i/>
            <w:iCs/>
            <w:lang w:val="en-GB"/>
          </w:rPr>
          <w:t>Crops</w:t>
        </w:r>
      </w:hyperlink>
      <w:hyperlink r:id="rId1326" w:history="1">
        <w:r w:rsidRPr="00E475D0">
          <w:rPr>
            <w:rStyle w:val="Lienhypertexte"/>
            <w:i/>
            <w:iCs/>
            <w:lang w:val="en-GB"/>
          </w:rPr>
          <w:t xml:space="preserve"> </w:t>
        </w:r>
      </w:hyperlink>
      <w:hyperlink r:id="rId1327" w:history="1">
        <w:r w:rsidRPr="00E475D0">
          <w:rPr>
            <w:rStyle w:val="Lienhypertexte"/>
            <w:i/>
            <w:iCs/>
            <w:lang w:val="en-GB"/>
          </w:rPr>
          <w:t>with</w:t>
        </w:r>
      </w:hyperlink>
      <w:hyperlink r:id="rId1328" w:history="1">
        <w:r w:rsidRPr="00E475D0">
          <w:rPr>
            <w:rStyle w:val="Lienhypertexte"/>
            <w:i/>
            <w:iCs/>
            <w:lang w:val="en-GB"/>
          </w:rPr>
          <w:t xml:space="preserve"> </w:t>
        </w:r>
      </w:hyperlink>
      <w:hyperlink r:id="rId1329" w:history="1">
        <w:r w:rsidRPr="00E475D0">
          <w:rPr>
            <w:rStyle w:val="Lienhypertexte"/>
            <w:i/>
            <w:iCs/>
            <w:lang w:val="en-GB"/>
          </w:rPr>
          <w:t>Seawater</w:t>
        </w:r>
      </w:hyperlink>
      <w:hyperlink r:id="rId1330" w:history="1">
        <w:r w:rsidRPr="00E475D0">
          <w:rPr>
            <w:rStyle w:val="Lienhypertexte"/>
            <w:i/>
            <w:iCs/>
            <w:lang w:val="en-GB"/>
          </w:rPr>
          <w:t>"</w:t>
        </w:r>
      </w:hyperlink>
      <w:r w:rsidRPr="00E475D0">
        <w:rPr>
          <w:lang w:val="en-GB"/>
        </w:rPr>
        <w:t> (PDF). </w:t>
      </w:r>
      <w:hyperlink r:id="rId1331" w:history="1">
        <w:r w:rsidRPr="00E475D0">
          <w:rPr>
            <w:rStyle w:val="Lienhypertexte"/>
            <w:i/>
            <w:iCs/>
            <w:lang w:val="en-GB"/>
          </w:rPr>
          <w:t>Scientific American</w:t>
        </w:r>
      </w:hyperlink>
      <w:r w:rsidRPr="00E475D0">
        <w:rPr>
          <w:lang w:val="en-GB"/>
        </w:rPr>
        <w:t> (USA: Scientific American, Inc.) (August 1998): 76–81. Retrieved 2008-11-17.</w:t>
      </w:r>
    </w:p>
    <w:p w14:paraId="29381DA8" w14:textId="77777777" w:rsidR="000C2499" w:rsidRDefault="00E475D0" w:rsidP="00E475D0">
      <w:pPr>
        <w:spacing w:after="0" w:line="240" w:lineRule="auto"/>
        <w:jc w:val="both"/>
        <w:rPr>
          <w:lang w:val="en-GB"/>
        </w:rPr>
      </w:pPr>
      <w:r>
        <w:rPr>
          <w:lang w:val="en-GB"/>
        </w:rPr>
        <w:t>d)</w:t>
      </w:r>
      <w:r w:rsidRPr="00E475D0">
        <w:rPr>
          <w:lang w:val="en-GB"/>
        </w:rPr>
        <w:t> Clark, Arthur (November–December 1994). </w:t>
      </w:r>
      <w:hyperlink r:id="rId1332" w:history="1">
        <w:r w:rsidRPr="00E475D0">
          <w:rPr>
            <w:rStyle w:val="Lienhypertexte"/>
            <w:i/>
            <w:iCs/>
            <w:lang w:val="en-GB"/>
          </w:rPr>
          <w:t>"</w:t>
        </w:r>
      </w:hyperlink>
      <w:hyperlink r:id="rId1333" w:history="1">
        <w:r w:rsidRPr="00E475D0">
          <w:rPr>
            <w:rStyle w:val="Lienhypertexte"/>
            <w:i/>
            <w:iCs/>
            <w:lang w:val="en-GB"/>
          </w:rPr>
          <w:t>Samphire</w:t>
        </w:r>
      </w:hyperlink>
      <w:hyperlink r:id="rId1334" w:history="1">
        <w:r w:rsidRPr="00E475D0">
          <w:rPr>
            <w:rStyle w:val="Lienhypertexte"/>
            <w:i/>
            <w:iCs/>
            <w:lang w:val="en-GB"/>
          </w:rPr>
          <w:t xml:space="preserve">: </w:t>
        </w:r>
      </w:hyperlink>
      <w:hyperlink r:id="rId1335" w:history="1">
        <w:r w:rsidRPr="00E475D0">
          <w:rPr>
            <w:rStyle w:val="Lienhypertexte"/>
            <w:i/>
            <w:iCs/>
            <w:lang w:val="en-GB"/>
          </w:rPr>
          <w:t>From</w:t>
        </w:r>
      </w:hyperlink>
      <w:hyperlink r:id="rId1336" w:history="1">
        <w:r w:rsidRPr="00E475D0">
          <w:rPr>
            <w:rStyle w:val="Lienhypertexte"/>
            <w:i/>
            <w:iCs/>
            <w:lang w:val="en-GB"/>
          </w:rPr>
          <w:t xml:space="preserve"> </w:t>
        </w:r>
      </w:hyperlink>
      <w:hyperlink r:id="rId1337" w:history="1">
        <w:r w:rsidRPr="00E475D0">
          <w:rPr>
            <w:rStyle w:val="Lienhypertexte"/>
            <w:i/>
            <w:iCs/>
            <w:lang w:val="en-GB"/>
          </w:rPr>
          <w:t>Sea</w:t>
        </w:r>
      </w:hyperlink>
      <w:hyperlink r:id="rId1338" w:history="1">
        <w:r w:rsidRPr="00E475D0">
          <w:rPr>
            <w:rStyle w:val="Lienhypertexte"/>
            <w:i/>
            <w:iCs/>
            <w:lang w:val="en-GB"/>
          </w:rPr>
          <w:t xml:space="preserve"> to </w:t>
        </w:r>
      </w:hyperlink>
      <w:hyperlink r:id="rId1339" w:history="1">
        <w:r w:rsidRPr="00E475D0">
          <w:rPr>
            <w:rStyle w:val="Lienhypertexte"/>
            <w:i/>
            <w:iCs/>
            <w:lang w:val="en-GB"/>
          </w:rPr>
          <w:t>Shining</w:t>
        </w:r>
      </w:hyperlink>
      <w:hyperlink r:id="rId1340" w:history="1">
        <w:r w:rsidRPr="00E475D0">
          <w:rPr>
            <w:rStyle w:val="Lienhypertexte"/>
            <w:i/>
            <w:iCs/>
            <w:lang w:val="en-GB"/>
          </w:rPr>
          <w:t xml:space="preserve"> </w:t>
        </w:r>
      </w:hyperlink>
      <w:hyperlink r:id="rId1341" w:history="1">
        <w:r w:rsidRPr="00E475D0">
          <w:rPr>
            <w:rStyle w:val="Lienhypertexte"/>
            <w:i/>
            <w:iCs/>
            <w:lang w:val="en-GB"/>
          </w:rPr>
          <w:t>Seed</w:t>
        </w:r>
      </w:hyperlink>
      <w:hyperlink r:id="rId1342" w:history="1">
        <w:r w:rsidRPr="00E475D0">
          <w:rPr>
            <w:rStyle w:val="Lienhypertexte"/>
            <w:i/>
            <w:iCs/>
            <w:lang w:val="en-GB"/>
          </w:rPr>
          <w:t>"</w:t>
        </w:r>
      </w:hyperlink>
      <w:r w:rsidRPr="00E475D0">
        <w:rPr>
          <w:lang w:val="en-GB"/>
        </w:rPr>
        <w:t>. </w:t>
      </w:r>
      <w:r w:rsidRPr="00E475D0">
        <w:rPr>
          <w:i/>
          <w:iCs/>
          <w:lang w:val="en-GB"/>
        </w:rPr>
        <w:t>Saudi Aramco World</w:t>
      </w:r>
      <w:r w:rsidRPr="00E475D0">
        <w:rPr>
          <w:lang w:val="en-GB"/>
        </w:rPr>
        <w:t>. </w:t>
      </w:r>
    </w:p>
    <w:p w14:paraId="3E9D6D3E" w14:textId="1F696443" w:rsidR="00E475D0" w:rsidRPr="00E475D0" w:rsidRDefault="00000000" w:rsidP="00E475D0">
      <w:pPr>
        <w:spacing w:after="0" w:line="240" w:lineRule="auto"/>
        <w:jc w:val="both"/>
        <w:rPr>
          <w:lang w:val="en-GB"/>
        </w:rPr>
      </w:pPr>
      <w:hyperlink r:id="rId1343" w:history="1">
        <w:r w:rsidR="00E475D0" w:rsidRPr="00E475D0">
          <w:rPr>
            <w:rStyle w:val="Lienhypertexte"/>
            <w:lang w:val="en-GB"/>
          </w:rPr>
          <w:t>Saudi</w:t>
        </w:r>
      </w:hyperlink>
      <w:hyperlink r:id="rId1344" w:history="1">
        <w:r w:rsidR="00E475D0" w:rsidRPr="00E475D0">
          <w:rPr>
            <w:rStyle w:val="Lienhypertexte"/>
            <w:lang w:val="en-GB"/>
          </w:rPr>
          <w:t xml:space="preserve"> </w:t>
        </w:r>
      </w:hyperlink>
      <w:hyperlink r:id="rId1345" w:history="1">
        <w:r w:rsidR="00E475D0" w:rsidRPr="00E475D0">
          <w:rPr>
            <w:rStyle w:val="Lienhypertexte"/>
            <w:lang w:val="en-GB"/>
          </w:rPr>
          <w:t>Aramco</w:t>
        </w:r>
      </w:hyperlink>
      <w:r w:rsidR="00E475D0" w:rsidRPr="00E475D0">
        <w:rPr>
          <w:lang w:val="en-GB"/>
        </w:rPr>
        <w:t>. Retrieved 2008-11-17.</w:t>
      </w:r>
    </w:p>
    <w:p w14:paraId="1CDF7FA5" w14:textId="77777777" w:rsidR="000C2499" w:rsidRDefault="00E475D0" w:rsidP="00E475D0">
      <w:pPr>
        <w:spacing w:after="0" w:line="240" w:lineRule="auto"/>
        <w:jc w:val="both"/>
        <w:rPr>
          <w:lang w:val="en-GB"/>
        </w:rPr>
      </w:pPr>
      <w:r w:rsidRPr="00F92907">
        <w:rPr>
          <w:lang w:val="en-GB"/>
        </w:rPr>
        <w:t>e) Alsaeedi, Abdullah H. (2003 (1424H)). </w:t>
      </w:r>
      <w:hyperlink r:id="rId1346" w:history="1">
        <w:r w:rsidRPr="00E475D0">
          <w:rPr>
            <w:rStyle w:val="Lienhypertexte"/>
            <w:i/>
            <w:iCs/>
            <w:lang w:val="en-GB"/>
          </w:rPr>
          <w:t xml:space="preserve">"Di Pattern of </w:t>
        </w:r>
      </w:hyperlink>
      <w:hyperlink r:id="rId1347" w:history="1">
        <w:r w:rsidRPr="00E475D0">
          <w:rPr>
            <w:rStyle w:val="Lienhypertexte"/>
            <w:i/>
            <w:iCs/>
            <w:lang w:val="en-GB"/>
          </w:rPr>
          <w:t>Salicornia</w:t>
        </w:r>
      </w:hyperlink>
      <w:hyperlink r:id="rId1348" w:history="1">
        <w:r w:rsidRPr="00E475D0">
          <w:rPr>
            <w:rStyle w:val="Lienhypertexte"/>
            <w:i/>
            <w:iCs/>
            <w:lang w:val="en-GB"/>
          </w:rPr>
          <w:t xml:space="preserve"> </w:t>
        </w:r>
      </w:hyperlink>
      <w:hyperlink r:id="rId1349" w:history="1">
        <w:r w:rsidRPr="00E475D0">
          <w:rPr>
            <w:rStyle w:val="Lienhypertexte"/>
            <w:i/>
            <w:iCs/>
            <w:lang w:val="en-GB"/>
          </w:rPr>
          <w:t>Vegetative</w:t>
        </w:r>
      </w:hyperlink>
      <w:hyperlink r:id="rId1350" w:history="1">
        <w:r w:rsidRPr="00E475D0">
          <w:rPr>
            <w:rStyle w:val="Lienhypertexte"/>
            <w:i/>
            <w:iCs/>
            <w:lang w:val="en-GB"/>
          </w:rPr>
          <w:t xml:space="preserve"> </w:t>
        </w:r>
      </w:hyperlink>
      <w:hyperlink r:id="rId1351" w:history="1">
        <w:r w:rsidRPr="00E475D0">
          <w:rPr>
            <w:rStyle w:val="Lienhypertexte"/>
            <w:i/>
            <w:iCs/>
            <w:lang w:val="en-GB"/>
          </w:rPr>
          <w:t>Growth</w:t>
        </w:r>
      </w:hyperlink>
      <w:hyperlink r:id="rId1352" w:history="1">
        <w:r w:rsidRPr="00E475D0">
          <w:rPr>
            <w:rStyle w:val="Lienhypertexte"/>
            <w:i/>
            <w:iCs/>
            <w:lang w:val="en-GB"/>
          </w:rPr>
          <w:t xml:space="preserve"> in Relation to </w:t>
        </w:r>
      </w:hyperlink>
      <w:hyperlink r:id="rId1353" w:history="1">
        <w:r w:rsidRPr="00E475D0">
          <w:rPr>
            <w:rStyle w:val="Lienhypertexte"/>
            <w:i/>
            <w:iCs/>
            <w:lang w:val="en-GB"/>
          </w:rPr>
          <w:t>Fertilization</w:t>
        </w:r>
      </w:hyperlink>
      <w:hyperlink r:id="rId1354" w:history="1">
        <w:r w:rsidRPr="00E475D0">
          <w:rPr>
            <w:rStyle w:val="Lienhypertexte"/>
            <w:i/>
            <w:iCs/>
            <w:lang w:val="en-GB"/>
          </w:rPr>
          <w:t>"</w:t>
        </w:r>
      </w:hyperlink>
      <w:r w:rsidRPr="00E475D0">
        <w:rPr>
          <w:lang w:val="en-GB"/>
        </w:rPr>
        <w:t> (PDF). </w:t>
      </w:r>
      <w:r w:rsidRPr="00E475D0">
        <w:rPr>
          <w:i/>
          <w:iCs/>
          <w:lang w:val="en-GB"/>
        </w:rPr>
        <w:t>Journal of King Faisal University</w:t>
      </w:r>
      <w:r w:rsidRPr="00E475D0">
        <w:rPr>
          <w:lang w:val="en-GB"/>
        </w:rPr>
        <w:t> (</w:t>
      </w:r>
      <w:hyperlink r:id="rId1355" w:history="1">
        <w:r w:rsidRPr="00E475D0">
          <w:rPr>
            <w:rStyle w:val="Lienhypertexte"/>
            <w:lang w:val="en-GB"/>
          </w:rPr>
          <w:t>Al-Hassa</w:t>
        </w:r>
      </w:hyperlink>
      <w:r w:rsidRPr="00E475D0">
        <w:rPr>
          <w:lang w:val="en-GB"/>
        </w:rPr>
        <w:t>: </w:t>
      </w:r>
      <w:hyperlink r:id="rId1356" w:history="1">
        <w:r w:rsidRPr="00E475D0">
          <w:rPr>
            <w:rStyle w:val="Lienhypertexte"/>
            <w:lang w:val="en-GB"/>
          </w:rPr>
          <w:t xml:space="preserve">King </w:t>
        </w:r>
      </w:hyperlink>
      <w:hyperlink r:id="rId1357" w:history="1">
        <w:r w:rsidRPr="00E475D0">
          <w:rPr>
            <w:rStyle w:val="Lienhypertexte"/>
            <w:lang w:val="en-GB"/>
          </w:rPr>
          <w:t>Faisal</w:t>
        </w:r>
      </w:hyperlink>
      <w:hyperlink r:id="rId1358" w:history="1">
        <w:r w:rsidRPr="00E475D0">
          <w:rPr>
            <w:rStyle w:val="Lienhypertexte"/>
            <w:lang w:val="en-GB"/>
          </w:rPr>
          <w:t xml:space="preserve"> </w:t>
        </w:r>
      </w:hyperlink>
      <w:hyperlink r:id="rId1359" w:history="1">
        <w:r w:rsidRPr="00E475D0">
          <w:rPr>
            <w:rStyle w:val="Lienhypertexte"/>
            <w:lang w:val="en-GB"/>
          </w:rPr>
          <w:t>University</w:t>
        </w:r>
      </w:hyperlink>
      <w:r w:rsidRPr="00E475D0">
        <w:rPr>
          <w:lang w:val="en-GB"/>
        </w:rPr>
        <w:t>) </w:t>
      </w:r>
      <w:r w:rsidRPr="00E475D0">
        <w:rPr>
          <w:b/>
          <w:bCs/>
          <w:lang w:val="en-GB"/>
        </w:rPr>
        <w:t>4</w:t>
      </w:r>
      <w:r w:rsidRPr="00E475D0">
        <w:rPr>
          <w:lang w:val="en-GB"/>
        </w:rPr>
        <w:t xml:space="preserve"> (1): 105–118. Retrieved </w:t>
      </w:r>
    </w:p>
    <w:p w14:paraId="72AE2FB7" w14:textId="1C70F73A" w:rsidR="000C2499" w:rsidRDefault="00E475D0" w:rsidP="00E475D0">
      <w:pPr>
        <w:spacing w:after="0" w:line="240" w:lineRule="auto"/>
        <w:jc w:val="both"/>
        <w:rPr>
          <w:i/>
          <w:iCs/>
          <w:lang w:val="en-GB"/>
        </w:rPr>
      </w:pPr>
      <w:r w:rsidRPr="00E475D0">
        <w:rPr>
          <w:lang w:val="en-GB"/>
        </w:rPr>
        <w:t>2008-11-17. "</w:t>
      </w:r>
      <w:r w:rsidR="00881E72" w:rsidRPr="00E475D0">
        <w:rPr>
          <w:i/>
          <w:iCs/>
          <w:lang w:val="en-GB"/>
        </w:rPr>
        <w:t>Adequate</w:t>
      </w:r>
      <w:r w:rsidRPr="00E475D0">
        <w:rPr>
          <w:i/>
          <w:iCs/>
          <w:lang w:val="en-GB"/>
        </w:rPr>
        <w:t xml:space="preserve"> fertilization increases significantly the relative growth rate especially during the ‘rapid’ </w:t>
      </w:r>
    </w:p>
    <w:p w14:paraId="3874C53B" w14:textId="45308D6C" w:rsidR="00E475D0" w:rsidRPr="00E475D0" w:rsidRDefault="00E475D0" w:rsidP="00E475D0">
      <w:pPr>
        <w:spacing w:after="0" w:line="240" w:lineRule="auto"/>
        <w:jc w:val="both"/>
        <w:rPr>
          <w:lang w:val="en-GB"/>
        </w:rPr>
      </w:pPr>
      <w:r w:rsidRPr="00E475D0">
        <w:rPr>
          <w:i/>
          <w:iCs/>
          <w:lang w:val="en-GB"/>
        </w:rPr>
        <w:t>phase of the vegetative stage</w:t>
      </w:r>
      <w:r w:rsidRPr="00E475D0">
        <w:rPr>
          <w:lang w:val="en-GB"/>
        </w:rPr>
        <w:t>"</w:t>
      </w:r>
      <w:r>
        <w:rPr>
          <w:lang w:val="en-GB"/>
        </w:rPr>
        <w:t>.</w:t>
      </w:r>
    </w:p>
    <w:p w14:paraId="72BF3CE0" w14:textId="1C93D77B" w:rsidR="00E475D0" w:rsidRPr="00E475D0" w:rsidRDefault="00E220A8" w:rsidP="00E475D0">
      <w:pPr>
        <w:spacing w:after="0" w:line="240" w:lineRule="auto"/>
        <w:jc w:val="both"/>
        <w:rPr>
          <w:lang w:val="en-GB"/>
        </w:rPr>
      </w:pPr>
      <w:r w:rsidRPr="00E220A8">
        <w:rPr>
          <w:lang w:val="en-GB"/>
        </w:rPr>
        <w:t>f)</w:t>
      </w:r>
      <w:r>
        <w:rPr>
          <w:lang w:val="en-GB"/>
        </w:rPr>
        <w:t xml:space="preserve"> </w:t>
      </w:r>
      <w:hyperlink r:id="rId1360" w:history="1">
        <w:r w:rsidR="00E475D0" w:rsidRPr="00E475D0">
          <w:rPr>
            <w:rStyle w:val="Lienhypertexte"/>
            <w:lang w:val="en-GB"/>
          </w:rPr>
          <w:t xml:space="preserve">"USIJI Uniform </w:t>
        </w:r>
      </w:hyperlink>
      <w:hyperlink r:id="rId1361" w:history="1">
        <w:r w:rsidR="00E475D0" w:rsidRPr="00E475D0">
          <w:rPr>
            <w:rStyle w:val="Lienhypertexte"/>
            <w:lang w:val="en-GB"/>
          </w:rPr>
          <w:t>Reporting</w:t>
        </w:r>
      </w:hyperlink>
      <w:hyperlink r:id="rId1362" w:history="1">
        <w:r w:rsidR="00E475D0" w:rsidRPr="00E475D0">
          <w:rPr>
            <w:rStyle w:val="Lienhypertexte"/>
            <w:lang w:val="en-GB"/>
          </w:rPr>
          <w:t xml:space="preserve"> Document"</w:t>
        </w:r>
      </w:hyperlink>
      <w:r w:rsidR="00E475D0" w:rsidRPr="00E475D0">
        <w:rPr>
          <w:lang w:val="en-GB"/>
        </w:rPr>
        <w:t> (PDF). United States Initiative on Joint Implementation (</w:t>
      </w:r>
      <w:hyperlink r:id="rId1363" w:history="1">
        <w:r w:rsidR="00E475D0" w:rsidRPr="00E475D0">
          <w:rPr>
            <w:rStyle w:val="Lienhypertexte"/>
            <w:lang w:val="en-GB"/>
          </w:rPr>
          <w:t>USIJI</w:t>
        </w:r>
      </w:hyperlink>
      <w:r w:rsidR="00E475D0" w:rsidRPr="00E475D0">
        <w:rPr>
          <w:lang w:val="en-GB"/>
        </w:rPr>
        <w:t>). c. 1997. Retrieved 2008-11-17. "</w:t>
      </w:r>
      <w:r w:rsidR="00E475D0" w:rsidRPr="00E475D0">
        <w:rPr>
          <w:i/>
          <w:iCs/>
          <w:lang w:val="en-GB"/>
        </w:rPr>
        <w:t>Project Salicornia: Halophyte Cultivation in Sonora</w:t>
      </w:r>
      <w:r w:rsidR="00E475D0" w:rsidRPr="00E475D0">
        <w:rPr>
          <w:lang w:val="en-GB"/>
        </w:rPr>
        <w:t>"</w:t>
      </w:r>
      <w:r>
        <w:rPr>
          <w:lang w:val="en-GB"/>
        </w:rPr>
        <w:t>.</w:t>
      </w:r>
    </w:p>
    <w:p w14:paraId="2D8F526A" w14:textId="0B8FA46D" w:rsidR="00E475D0" w:rsidRPr="00E475D0" w:rsidRDefault="00E220A8" w:rsidP="00E475D0">
      <w:pPr>
        <w:spacing w:after="0" w:line="240" w:lineRule="auto"/>
        <w:jc w:val="both"/>
        <w:rPr>
          <w:lang w:val="en-GB"/>
        </w:rPr>
      </w:pPr>
      <w:r>
        <w:rPr>
          <w:lang w:val="en-GB"/>
        </w:rPr>
        <w:t xml:space="preserve">g) </w:t>
      </w:r>
      <w:r w:rsidR="00E475D0" w:rsidRPr="00E475D0">
        <w:rPr>
          <w:lang w:val="en-GB"/>
        </w:rPr>
        <w:t>Ryan C. Christiansen (2008-07-31). </w:t>
      </w:r>
      <w:hyperlink r:id="rId1364" w:history="1">
        <w:r w:rsidR="00E475D0" w:rsidRPr="00E475D0">
          <w:rPr>
            <w:rStyle w:val="Lienhypertexte"/>
            <w:lang w:val="en-GB"/>
          </w:rPr>
          <w:t>"</w:t>
        </w:r>
      </w:hyperlink>
      <w:hyperlink r:id="rId1365" w:history="1">
        <w:r w:rsidR="00E475D0" w:rsidRPr="00E475D0">
          <w:rPr>
            <w:rStyle w:val="Lienhypertexte"/>
            <w:i/>
            <w:iCs/>
            <w:lang w:val="en-GB"/>
          </w:rPr>
          <w:t>Sea</w:t>
        </w:r>
      </w:hyperlink>
      <w:hyperlink r:id="rId1366" w:history="1">
        <w:r w:rsidR="00E475D0" w:rsidRPr="00E475D0">
          <w:rPr>
            <w:rStyle w:val="Lienhypertexte"/>
            <w:i/>
            <w:iCs/>
            <w:lang w:val="en-GB"/>
          </w:rPr>
          <w:t xml:space="preserve"> asparagus </w:t>
        </w:r>
      </w:hyperlink>
      <w:hyperlink r:id="rId1367" w:history="1">
        <w:r w:rsidR="00E475D0" w:rsidRPr="00E475D0">
          <w:rPr>
            <w:rStyle w:val="Lienhypertexte"/>
            <w:i/>
            <w:iCs/>
            <w:lang w:val="en-GB"/>
          </w:rPr>
          <w:t>can</w:t>
        </w:r>
      </w:hyperlink>
      <w:hyperlink r:id="rId1368" w:history="1">
        <w:r w:rsidR="00E475D0" w:rsidRPr="00E475D0">
          <w:rPr>
            <w:rStyle w:val="Lienhypertexte"/>
            <w:i/>
            <w:iCs/>
            <w:lang w:val="en-GB"/>
          </w:rPr>
          <w:t xml:space="preserve"> </w:t>
        </w:r>
      </w:hyperlink>
      <w:hyperlink r:id="rId1369" w:history="1">
        <w:r w:rsidR="00E475D0" w:rsidRPr="00E475D0">
          <w:rPr>
            <w:rStyle w:val="Lienhypertexte"/>
            <w:i/>
            <w:iCs/>
            <w:lang w:val="en-GB"/>
          </w:rPr>
          <w:t>be</w:t>
        </w:r>
      </w:hyperlink>
      <w:hyperlink r:id="rId1370" w:history="1">
        <w:r w:rsidR="00E475D0" w:rsidRPr="00E475D0">
          <w:rPr>
            <w:rStyle w:val="Lienhypertexte"/>
            <w:i/>
            <w:iCs/>
            <w:lang w:val="en-GB"/>
          </w:rPr>
          <w:t xml:space="preserve"> </w:t>
        </w:r>
      </w:hyperlink>
      <w:hyperlink r:id="rId1371" w:history="1">
        <w:r w:rsidR="00E475D0" w:rsidRPr="00E475D0">
          <w:rPr>
            <w:rStyle w:val="Lienhypertexte"/>
            <w:i/>
            <w:iCs/>
            <w:lang w:val="en-GB"/>
          </w:rPr>
          <w:t>oilseed</w:t>
        </w:r>
      </w:hyperlink>
      <w:hyperlink r:id="rId1372" w:history="1">
        <w:r w:rsidR="00E475D0" w:rsidRPr="00E475D0">
          <w:rPr>
            <w:rStyle w:val="Lienhypertexte"/>
            <w:i/>
            <w:iCs/>
            <w:lang w:val="en-GB"/>
          </w:rPr>
          <w:t xml:space="preserve"> </w:t>
        </w:r>
      </w:hyperlink>
      <w:hyperlink r:id="rId1373" w:history="1">
        <w:r w:rsidR="00E475D0" w:rsidRPr="00E475D0">
          <w:rPr>
            <w:rStyle w:val="Lienhypertexte"/>
            <w:i/>
            <w:iCs/>
            <w:lang w:val="en-GB"/>
          </w:rPr>
          <w:t>feedstock</w:t>
        </w:r>
      </w:hyperlink>
      <w:hyperlink r:id="rId1374" w:history="1">
        <w:r w:rsidR="00E475D0" w:rsidRPr="00E475D0">
          <w:rPr>
            <w:rStyle w:val="Lienhypertexte"/>
            <w:i/>
            <w:iCs/>
            <w:lang w:val="en-GB"/>
          </w:rPr>
          <w:t xml:space="preserve"> for biodiesel"</w:t>
        </w:r>
      </w:hyperlink>
      <w:r w:rsidR="00E475D0" w:rsidRPr="00E475D0">
        <w:rPr>
          <w:lang w:val="en-GB"/>
        </w:rPr>
        <w:t>. Biomass Magazine. Retrieved 2008-11-17.</w:t>
      </w:r>
    </w:p>
    <w:p w14:paraId="6E597BDB" w14:textId="490ADFBE" w:rsidR="00E475D0" w:rsidRPr="00E475D0" w:rsidRDefault="00E220A8" w:rsidP="00E475D0">
      <w:pPr>
        <w:spacing w:after="0" w:line="240" w:lineRule="auto"/>
        <w:jc w:val="both"/>
        <w:rPr>
          <w:lang w:val="en-GB"/>
        </w:rPr>
      </w:pPr>
      <w:r>
        <w:rPr>
          <w:lang w:val="en-GB"/>
        </w:rPr>
        <w:t xml:space="preserve">h) </w:t>
      </w:r>
      <w:r w:rsidR="00E475D0" w:rsidRPr="00E475D0">
        <w:rPr>
          <w:lang w:val="en-GB"/>
        </w:rPr>
        <w:t>Dickerson, Marla (2008-07-10). </w:t>
      </w:r>
      <w:hyperlink r:id="rId1375" w:history="1">
        <w:r w:rsidR="00E475D0" w:rsidRPr="00E475D0">
          <w:rPr>
            <w:rStyle w:val="Lienhypertexte"/>
            <w:lang w:val="en-GB"/>
          </w:rPr>
          <w:t>"</w:t>
        </w:r>
      </w:hyperlink>
      <w:hyperlink r:id="rId1376" w:history="1">
        <w:r w:rsidR="00E475D0" w:rsidRPr="00E475D0">
          <w:rPr>
            <w:rStyle w:val="Lienhypertexte"/>
            <w:i/>
            <w:iCs/>
            <w:lang w:val="en-GB"/>
          </w:rPr>
          <w:t>Letting</w:t>
        </w:r>
      </w:hyperlink>
      <w:hyperlink r:id="rId1377" w:history="1">
        <w:r w:rsidR="00E475D0" w:rsidRPr="00E475D0">
          <w:rPr>
            <w:rStyle w:val="Lienhypertexte"/>
            <w:i/>
            <w:iCs/>
            <w:lang w:val="en-GB"/>
          </w:rPr>
          <w:t xml:space="preserve"> the </w:t>
        </w:r>
      </w:hyperlink>
      <w:hyperlink r:id="rId1378" w:history="1">
        <w:r w:rsidR="00E475D0" w:rsidRPr="00E475D0">
          <w:rPr>
            <w:rStyle w:val="Lienhypertexte"/>
            <w:i/>
            <w:iCs/>
            <w:lang w:val="en-GB"/>
          </w:rPr>
          <w:t>sea</w:t>
        </w:r>
      </w:hyperlink>
      <w:hyperlink r:id="rId1379" w:history="1">
        <w:r w:rsidR="00E475D0" w:rsidRPr="00E475D0">
          <w:rPr>
            <w:rStyle w:val="Lienhypertexte"/>
            <w:i/>
            <w:iCs/>
            <w:lang w:val="en-GB"/>
          </w:rPr>
          <w:t xml:space="preserve"> </w:t>
        </w:r>
      </w:hyperlink>
      <w:hyperlink r:id="rId1380" w:history="1">
        <w:r w:rsidR="00E475D0" w:rsidRPr="00E475D0">
          <w:rPr>
            <w:rStyle w:val="Lienhypertexte"/>
            <w:i/>
            <w:iCs/>
            <w:lang w:val="en-GB"/>
          </w:rPr>
          <w:t>cultivate</w:t>
        </w:r>
      </w:hyperlink>
      <w:hyperlink r:id="rId1381" w:history="1">
        <w:r w:rsidR="00E475D0" w:rsidRPr="00E475D0">
          <w:rPr>
            <w:rStyle w:val="Lienhypertexte"/>
            <w:i/>
            <w:iCs/>
            <w:lang w:val="en-GB"/>
          </w:rPr>
          <w:t xml:space="preserve"> the land"</w:t>
        </w:r>
      </w:hyperlink>
      <w:r w:rsidR="00E475D0" w:rsidRPr="00E475D0">
        <w:rPr>
          <w:lang w:val="en-GB"/>
        </w:rPr>
        <w:t>. </w:t>
      </w:r>
      <w:hyperlink r:id="rId1382" w:history="1">
        <w:r w:rsidR="00E475D0" w:rsidRPr="00E475D0">
          <w:rPr>
            <w:rStyle w:val="Lienhypertexte"/>
            <w:i/>
            <w:iCs/>
            <w:lang w:val="en-GB"/>
          </w:rPr>
          <w:t>Los Angeles Times</w:t>
        </w:r>
      </w:hyperlink>
      <w:r w:rsidR="00E475D0" w:rsidRPr="00E475D0">
        <w:rPr>
          <w:lang w:val="en-GB"/>
        </w:rPr>
        <w:t>. </w:t>
      </w:r>
      <w:hyperlink r:id="rId1383" w:history="1">
        <w:r w:rsidR="00E475D0" w:rsidRPr="00E475D0">
          <w:rPr>
            <w:rStyle w:val="Lienhypertexte"/>
            <w:lang w:val="en-GB"/>
          </w:rPr>
          <w:t xml:space="preserve">Tribune </w:t>
        </w:r>
      </w:hyperlink>
      <w:hyperlink r:id="rId1384" w:history="1">
        <w:r w:rsidR="00E475D0" w:rsidRPr="00E475D0">
          <w:rPr>
            <w:rStyle w:val="Lienhypertexte"/>
            <w:lang w:val="en-GB"/>
          </w:rPr>
          <w:t>Company</w:t>
        </w:r>
      </w:hyperlink>
      <w:r w:rsidR="00E475D0" w:rsidRPr="00E475D0">
        <w:rPr>
          <w:lang w:val="en-GB"/>
        </w:rPr>
        <w:t>. Retrieved 17 November 2008.</w:t>
      </w:r>
    </w:p>
    <w:p w14:paraId="578A28BE" w14:textId="5EB68EDF" w:rsidR="00E475D0" w:rsidRPr="00E475D0" w:rsidRDefault="00E220A8" w:rsidP="00E475D0">
      <w:pPr>
        <w:spacing w:after="0" w:line="240" w:lineRule="auto"/>
        <w:rPr>
          <w:lang w:val="en-GB"/>
        </w:rPr>
      </w:pPr>
      <w:r>
        <w:rPr>
          <w:lang w:val="en-GB"/>
        </w:rPr>
        <w:t>i</w:t>
      </w:r>
      <w:r w:rsidR="00E475D0" w:rsidRPr="00E475D0">
        <w:rPr>
          <w:lang w:val="en-GB"/>
        </w:rPr>
        <w:t xml:space="preserve">) </w:t>
      </w:r>
      <w:r w:rsidR="00E475D0" w:rsidRPr="00E475D0">
        <w:rPr>
          <w:i/>
          <w:iCs/>
          <w:lang w:val="en-US"/>
        </w:rPr>
        <w:t>Salicornia, oil-yielding plant for coastal belts</w:t>
      </w:r>
      <w:r w:rsidR="00E475D0" w:rsidRPr="00E475D0">
        <w:rPr>
          <w:lang w:val="en-US"/>
        </w:rPr>
        <w:t xml:space="preserve">, The Hindu, </w:t>
      </w:r>
      <w:r w:rsidR="00E475D0" w:rsidRPr="00E475D0">
        <w:rPr>
          <w:lang w:val="en-GB"/>
        </w:rPr>
        <w:t>Friday, Sep 05, 2003</w:t>
      </w:r>
      <w:r w:rsidR="00E475D0" w:rsidRPr="00E475D0">
        <w:rPr>
          <w:lang w:val="en-US"/>
        </w:rPr>
        <w:t xml:space="preserve">, </w:t>
      </w:r>
      <w:hyperlink r:id="rId1385" w:history="1">
        <w:r w:rsidR="00E475D0" w:rsidRPr="00E475D0">
          <w:rPr>
            <w:rStyle w:val="Lienhypertexte"/>
            <w:lang w:val="en-US"/>
          </w:rPr>
          <w:t>http://www.thehindu.com/seta/2003/09/05/stories/2003090500300300.htm</w:t>
        </w:r>
      </w:hyperlink>
      <w:r w:rsidR="00E475D0" w:rsidRPr="00E475D0">
        <w:rPr>
          <w:lang w:val="en-US"/>
        </w:rPr>
        <w:t xml:space="preserve"> </w:t>
      </w:r>
    </w:p>
    <w:p w14:paraId="7E44D044" w14:textId="1197796A" w:rsidR="005F4C66" w:rsidRPr="00E220A8" w:rsidRDefault="00E475D0" w:rsidP="00B315F4">
      <w:pPr>
        <w:spacing w:after="0" w:line="240" w:lineRule="auto"/>
        <w:jc w:val="both"/>
      </w:pPr>
      <w:r w:rsidRPr="00E220A8">
        <w:rPr>
          <w:lang w:val="en-GB"/>
        </w:rPr>
        <w:t xml:space="preserve">b) </w:t>
      </w:r>
      <w:r w:rsidRPr="00E220A8">
        <w:rPr>
          <w:i/>
          <w:iCs/>
          <w:lang w:val="en-GB"/>
        </w:rPr>
        <w:t>Taste of waste</w:t>
      </w:r>
      <w:r w:rsidR="00E220A8" w:rsidRPr="00E220A8">
        <w:rPr>
          <w:i/>
          <w:iCs/>
          <w:lang w:val="en-GB"/>
        </w:rPr>
        <w:t>. How to make plants yield salt</w:t>
      </w:r>
      <w:r w:rsidR="00E220A8" w:rsidRPr="00E220A8">
        <w:rPr>
          <w:lang w:val="en-GB"/>
        </w:rPr>
        <w:t xml:space="preserve"> [</w:t>
      </w:r>
      <w:r w:rsidR="00E220A8" w:rsidRPr="00E35AF5">
        <w:rPr>
          <w:lang w:val="en-GB"/>
        </w:rPr>
        <w:t xml:space="preserve">Le goût des déchets. </w:t>
      </w:r>
      <w:r w:rsidR="00E220A8" w:rsidRPr="00B315F4">
        <w:t>Comment faire en sorte que les plantes produisent du sel</w:t>
      </w:r>
      <w:r w:rsidR="00E220A8">
        <w:t>]</w:t>
      </w:r>
      <w:r w:rsidRPr="00E220A8">
        <w:t xml:space="preserve">, </w:t>
      </w:r>
      <w:hyperlink r:id="rId1386" w:history="1">
        <w:r w:rsidRPr="00E220A8">
          <w:rPr>
            <w:rStyle w:val="Lienhypertexte"/>
          </w:rPr>
          <w:t>http://www.downtoearth.org.in/node/13119</w:t>
        </w:r>
      </w:hyperlink>
    </w:p>
    <w:p w14:paraId="2175EE12" w14:textId="443AE648" w:rsidR="005F4C66" w:rsidRPr="00E220A8" w:rsidRDefault="005F4C66" w:rsidP="00411F84">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B315F4" w14:paraId="46621BCC" w14:textId="77777777" w:rsidTr="009B55E4">
        <w:tc>
          <w:tcPr>
            <w:tcW w:w="5208" w:type="dxa"/>
          </w:tcPr>
          <w:p w14:paraId="09C64EF8" w14:textId="77777777" w:rsidR="00B315F4" w:rsidRDefault="00B315F4" w:rsidP="00B315F4">
            <w:pPr>
              <w:jc w:val="center"/>
            </w:pPr>
            <w:r w:rsidRPr="00B315F4">
              <w:rPr>
                <w:noProof/>
              </w:rPr>
              <w:lastRenderedPageBreak/>
              <w:drawing>
                <wp:inline distT="0" distB="0" distL="0" distR="0" wp14:anchorId="30625DE1" wp14:editId="48B83DCE">
                  <wp:extent cx="2847975" cy="1790700"/>
                  <wp:effectExtent l="0" t="0" r="9525" b="0"/>
                  <wp:docPr id="59404"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pic:cNvPicPr>
                            <a:picLocks noChangeAspect="1"/>
                          </pic:cNvPicPr>
                        </pic:nvPicPr>
                        <pic:blipFill>
                          <a:blip r:embed="rId1387">
                            <a:extLst>
                              <a:ext uri="{28A0092B-C50C-407E-A947-70E740481C1C}">
                                <a14:useLocalDpi xmlns:a14="http://schemas.microsoft.com/office/drawing/2010/main" val="0"/>
                              </a:ext>
                            </a:extLst>
                          </a:blip>
                          <a:stretch>
                            <a:fillRect/>
                          </a:stretch>
                        </pic:blipFill>
                        <pic:spPr>
                          <a:xfrm>
                            <a:off x="0" y="0"/>
                            <a:ext cx="2847975" cy="1790700"/>
                          </a:xfrm>
                          <a:prstGeom prst="rect">
                            <a:avLst/>
                          </a:prstGeom>
                        </pic:spPr>
                      </pic:pic>
                    </a:graphicData>
                  </a:graphic>
                </wp:inline>
              </w:drawing>
            </w:r>
          </w:p>
          <w:p w14:paraId="12E8FAE2" w14:textId="3AD41B92" w:rsidR="00B315F4" w:rsidRDefault="00B315F4" w:rsidP="00B315F4">
            <w:pPr>
              <w:jc w:val="center"/>
            </w:pPr>
            <w:r w:rsidRPr="00B315F4">
              <w:t xml:space="preserve">Salicorne en Afrique. Source :  </w:t>
            </w:r>
            <w:hyperlink r:id="rId1388" w:history="1">
              <w:r w:rsidRPr="00B315F4">
                <w:rPr>
                  <w:rStyle w:val="Lienhypertexte"/>
                </w:rPr>
                <w:t>https://twitter.com/SaltFarmTexel</w:t>
              </w:r>
            </w:hyperlink>
          </w:p>
        </w:tc>
        <w:tc>
          <w:tcPr>
            <w:tcW w:w="5208" w:type="dxa"/>
          </w:tcPr>
          <w:p w14:paraId="7FEBE51D" w14:textId="77777777" w:rsidR="00B315F4" w:rsidRDefault="00B315F4" w:rsidP="00B315F4">
            <w:pPr>
              <w:jc w:val="center"/>
            </w:pPr>
            <w:r w:rsidRPr="00B315F4">
              <w:rPr>
                <w:noProof/>
              </w:rPr>
              <w:drawing>
                <wp:inline distT="0" distB="0" distL="0" distR="0" wp14:anchorId="21883B30" wp14:editId="1908A6F4">
                  <wp:extent cx="2236341" cy="1586664"/>
                  <wp:effectExtent l="0" t="0" r="0" b="0"/>
                  <wp:docPr id="71684" name="Image 3" descr="salicorne indien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84" name="Image 3" descr="salicorne indienne.jpg"/>
                          <pic:cNvPicPr>
                            <a:picLocks noChangeAspect="1"/>
                          </pic:cNvPicPr>
                        </pic:nvPicPr>
                        <pic:blipFill>
                          <a:blip r:embed="rId1389">
                            <a:extLst>
                              <a:ext uri="{28A0092B-C50C-407E-A947-70E740481C1C}">
                                <a14:useLocalDpi xmlns:a14="http://schemas.microsoft.com/office/drawing/2010/main" val="0"/>
                              </a:ext>
                            </a:extLst>
                          </a:blip>
                          <a:srcRect/>
                          <a:stretch>
                            <a:fillRect/>
                          </a:stretch>
                        </pic:blipFill>
                        <pic:spPr bwMode="auto">
                          <a:xfrm>
                            <a:off x="0" y="0"/>
                            <a:ext cx="2240258" cy="1589443"/>
                          </a:xfrm>
                          <a:prstGeom prst="rect">
                            <a:avLst/>
                          </a:prstGeom>
                          <a:noFill/>
                          <a:ln>
                            <a:noFill/>
                          </a:ln>
                        </pic:spPr>
                      </pic:pic>
                    </a:graphicData>
                  </a:graphic>
                </wp:inline>
              </w:drawing>
            </w:r>
          </w:p>
          <w:p w14:paraId="0EED7304" w14:textId="7BF9AC90" w:rsidR="00B315F4" w:rsidRDefault="00232BBE" w:rsidP="00232BBE">
            <w:pPr>
              <w:jc w:val="both"/>
            </w:pPr>
            <w:r w:rsidRPr="00232BBE">
              <w:t>Des cultures très tolérantes au sel produisent de l'huile comestible de haute qualité et d'autres produits comestibles et non comestibles de valeur. Un gros plan sur un buisson succulent</w:t>
            </w:r>
            <w:r>
              <w:t>.</w:t>
            </w:r>
          </w:p>
        </w:tc>
      </w:tr>
    </w:tbl>
    <w:p w14:paraId="22A12569" w14:textId="774CA9BE" w:rsidR="005F4C66" w:rsidRDefault="005F4C66" w:rsidP="00B315F4">
      <w:pPr>
        <w:spacing w:after="0" w:line="240" w:lineRule="auto"/>
        <w:jc w:val="center"/>
      </w:pPr>
    </w:p>
    <w:p w14:paraId="5318DEC0" w14:textId="1BE3F2E6" w:rsidR="00232BBE" w:rsidRDefault="00260250" w:rsidP="00D87D3F">
      <w:pPr>
        <w:pStyle w:val="Titre2"/>
      </w:pPr>
      <w:bookmarkStart w:id="153" w:name="_Toc139181444"/>
      <w:r w:rsidRPr="00260250">
        <w:t>Salicorne naine (</w:t>
      </w:r>
      <w:r w:rsidRPr="00D87D3F">
        <w:rPr>
          <w:i/>
          <w:iCs/>
        </w:rPr>
        <w:t>Salicornia bigelovii</w:t>
      </w:r>
      <w:r w:rsidRPr="00260250">
        <w:t>)</w:t>
      </w:r>
      <w:bookmarkEnd w:id="153"/>
    </w:p>
    <w:p w14:paraId="12EA22BF" w14:textId="3B43ADE9" w:rsidR="00260250" w:rsidRDefault="00260250" w:rsidP="00260250">
      <w:pPr>
        <w:spacing w:after="0" w:line="240" w:lineRule="auto"/>
      </w:pPr>
    </w:p>
    <w:p w14:paraId="7D4895E1" w14:textId="77777777" w:rsidR="00557819" w:rsidRPr="00557819" w:rsidRDefault="00557819" w:rsidP="00557819">
      <w:pPr>
        <w:spacing w:after="0" w:line="240" w:lineRule="auto"/>
        <w:jc w:val="both"/>
      </w:pPr>
      <w:r w:rsidRPr="00557819">
        <w:t>Originaire des régions côtières de l'est et du sud des </w:t>
      </w:r>
      <w:hyperlink r:id="rId1390" w:history="1">
        <w:r w:rsidRPr="00557819">
          <w:rPr>
            <w:rStyle w:val="Lienhypertexte"/>
          </w:rPr>
          <w:t>États-Unis</w:t>
        </w:r>
      </w:hyperlink>
      <w:r w:rsidRPr="00557819">
        <w:t>, ainsi que le sud de la </w:t>
      </w:r>
      <w:hyperlink r:id="rId1391" w:history="1">
        <w:r w:rsidRPr="00557819">
          <w:rPr>
            <w:rStyle w:val="Lienhypertexte"/>
          </w:rPr>
          <w:t>Californie</w:t>
        </w:r>
      </w:hyperlink>
      <w:r w:rsidRPr="00557819">
        <w:t>, du Belize et du littoral du </w:t>
      </w:r>
      <w:hyperlink r:id="rId1392" w:history="1">
        <w:r w:rsidRPr="00557819">
          <w:rPr>
            <w:rStyle w:val="Lienhypertexte"/>
          </w:rPr>
          <w:t>Mexique</w:t>
        </w:r>
      </w:hyperlink>
      <w:r w:rsidRPr="00557819">
        <w:t> (à la fois les côtes est et ouest), c'est une plante à fleurs des </w:t>
      </w:r>
      <w:hyperlink r:id="rId1393" w:history="1">
        <w:r w:rsidRPr="00557819">
          <w:rPr>
            <w:rStyle w:val="Lienhypertexte"/>
          </w:rPr>
          <w:t>marais salants</w:t>
        </w:r>
      </w:hyperlink>
      <w:r w:rsidRPr="00557819">
        <w:t xml:space="preserve"> et mangroves (famille des </w:t>
      </w:r>
      <w:hyperlink r:id="rId1394" w:history="1">
        <w:r w:rsidRPr="00557819">
          <w:rPr>
            <w:rStyle w:val="Lienhypertexte"/>
            <w:i/>
            <w:iCs/>
          </w:rPr>
          <w:t>Amaranthaceae</w:t>
        </w:r>
      </w:hyperlink>
      <w:r w:rsidRPr="00557819">
        <w:t>).</w:t>
      </w:r>
    </w:p>
    <w:p w14:paraId="64AAE407" w14:textId="13E8150B" w:rsidR="00557819" w:rsidRPr="00557819" w:rsidRDefault="00557819" w:rsidP="00557819">
      <w:pPr>
        <w:spacing w:after="0" w:line="240" w:lineRule="auto"/>
        <w:jc w:val="both"/>
      </w:pPr>
      <w:r w:rsidRPr="00557819">
        <w:t>La plante contient jusqu’à 33% d’</w:t>
      </w:r>
      <w:hyperlink r:id="rId1395" w:history="1">
        <w:r w:rsidRPr="00557819">
          <w:rPr>
            <w:rStyle w:val="Lienhypertexte"/>
          </w:rPr>
          <w:t>huile de salicorne</w:t>
        </w:r>
      </w:hyperlink>
      <w:r w:rsidRPr="00557819">
        <w:t>. Elle peut être utilisée comme </w:t>
      </w:r>
      <w:hyperlink r:id="rId1396" w:history="1">
        <w:r w:rsidRPr="00557819">
          <w:rPr>
            <w:rStyle w:val="Lienhypertexte"/>
          </w:rPr>
          <w:t>huile de cuisson</w:t>
        </w:r>
      </w:hyperlink>
      <w:r w:rsidRPr="00557819">
        <w:t> et en remplacement d’huiles de plus grande valeur dans </w:t>
      </w:r>
      <w:hyperlink r:id="rId1397" w:history="1">
        <w:r w:rsidRPr="00557819">
          <w:rPr>
            <w:rStyle w:val="Lienhypertexte"/>
          </w:rPr>
          <w:t>l'alimentation des poulets</w:t>
        </w:r>
      </w:hyperlink>
      <w:r w:rsidRPr="00557819">
        <w:t>. La plante peut servir de fourrage aux animaux et pourrait être une source de </w:t>
      </w:r>
      <w:hyperlink r:id="rId1398" w:history="1">
        <w:r w:rsidRPr="00557819">
          <w:rPr>
            <w:rStyle w:val="Lienhypertexte"/>
          </w:rPr>
          <w:t>biocarburant</w:t>
        </w:r>
      </w:hyperlink>
      <w:r w:rsidRPr="00557819">
        <w:t xml:space="preserve">. </w:t>
      </w:r>
    </w:p>
    <w:p w14:paraId="0AFAD429" w14:textId="77777777" w:rsidR="00557819" w:rsidRPr="00557819" w:rsidRDefault="00557819" w:rsidP="00557819">
      <w:pPr>
        <w:spacing w:after="0" w:line="240" w:lineRule="auto"/>
        <w:jc w:val="both"/>
      </w:pPr>
      <w:r w:rsidRPr="00557819">
        <w:t>Elle peut aussi être arrosée / irriguée avec de l'eau de drainage hautement salée.</w:t>
      </w:r>
    </w:p>
    <w:p w14:paraId="53A9E6C9" w14:textId="0BB01129" w:rsidR="00557819" w:rsidRPr="00557819" w:rsidRDefault="00557819" w:rsidP="00557819">
      <w:pPr>
        <w:spacing w:after="0" w:line="240" w:lineRule="auto"/>
        <w:jc w:val="both"/>
      </w:pPr>
      <w:r w:rsidRPr="00557819">
        <w:t>Des champs de cette salicorne ont été cultivées dans les eaux de rejet de fermes </w:t>
      </w:r>
      <w:hyperlink r:id="rId1399" w:history="1">
        <w:r w:rsidRPr="00557819">
          <w:rPr>
            <w:rStyle w:val="Lienhypertexte"/>
          </w:rPr>
          <w:t>aquacoles</w:t>
        </w:r>
      </w:hyperlink>
      <w:r w:rsidRPr="00557819">
        <w:t> en </w:t>
      </w:r>
      <w:hyperlink r:id="rId1400" w:history="1">
        <w:r w:rsidRPr="00557819">
          <w:rPr>
            <w:rStyle w:val="Lienhypertexte"/>
          </w:rPr>
          <w:t>Erythrée</w:t>
        </w:r>
      </w:hyperlink>
      <w:r w:rsidRPr="00557819">
        <w:t> et sont récoltées pour l'alimentation animale.</w:t>
      </w:r>
    </w:p>
    <w:p w14:paraId="684A5CE7" w14:textId="77777777" w:rsidR="00557819" w:rsidRDefault="00557819" w:rsidP="00557819">
      <w:pPr>
        <w:spacing w:after="0" w:line="240" w:lineRule="auto"/>
        <w:jc w:val="both"/>
      </w:pPr>
      <w:r w:rsidRPr="00557819">
        <w:t xml:space="preserve">Sources : a) </w:t>
      </w:r>
      <w:hyperlink r:id="rId1401" w:history="1">
        <w:r w:rsidRPr="00557819">
          <w:rPr>
            <w:rStyle w:val="Lienhypertexte"/>
          </w:rPr>
          <w:t>http://en.wikipedia.org/wiki/Salicornia_bigelovii</w:t>
        </w:r>
      </w:hyperlink>
      <w:r w:rsidRPr="00557819">
        <w:t xml:space="preserve">, </w:t>
      </w:r>
    </w:p>
    <w:p w14:paraId="765466FF" w14:textId="77777777" w:rsidR="00557819" w:rsidRDefault="00557819" w:rsidP="00557819">
      <w:pPr>
        <w:spacing w:after="0" w:line="240" w:lineRule="auto"/>
        <w:jc w:val="both"/>
        <w:rPr>
          <w:lang w:val="en-GB"/>
        </w:rPr>
      </w:pPr>
      <w:r w:rsidRPr="00557819">
        <w:t xml:space="preserve">b) Bashan, Y., et al. </w:t>
      </w:r>
      <w:r w:rsidRPr="00557819">
        <w:rPr>
          <w:lang w:val="en-GB"/>
        </w:rPr>
        <w:t>(2000). </w:t>
      </w:r>
      <w:hyperlink r:id="rId1402" w:history="1">
        <w:r w:rsidRPr="00557819">
          <w:rPr>
            <w:rStyle w:val="Lienhypertexte"/>
            <w:lang w:val="en-GB"/>
          </w:rPr>
          <w:t>Growth</w:t>
        </w:r>
      </w:hyperlink>
      <w:hyperlink r:id="rId1403" w:history="1">
        <w:r w:rsidRPr="00557819">
          <w:rPr>
            <w:rStyle w:val="Lienhypertexte"/>
            <w:lang w:val="en-GB"/>
          </w:rPr>
          <w:t xml:space="preserve"> promotion of </w:t>
        </w:r>
      </w:hyperlink>
      <w:hyperlink r:id="rId1404" w:history="1">
        <w:r w:rsidRPr="00557819">
          <w:rPr>
            <w:rStyle w:val="Lienhypertexte"/>
            <w:lang w:val="en-GB"/>
          </w:rPr>
          <w:t>seawater</w:t>
        </w:r>
      </w:hyperlink>
      <w:hyperlink r:id="rId1405" w:history="1">
        <w:r w:rsidRPr="00557819">
          <w:rPr>
            <w:rStyle w:val="Lienhypertexte"/>
            <w:lang w:val="en-GB"/>
          </w:rPr>
          <w:t xml:space="preserve"> </w:t>
        </w:r>
      </w:hyperlink>
      <w:hyperlink r:id="rId1406" w:history="1">
        <w:r w:rsidRPr="00557819">
          <w:rPr>
            <w:rStyle w:val="Lienhypertexte"/>
            <w:lang w:val="en-GB"/>
          </w:rPr>
          <w:t>irrigated</w:t>
        </w:r>
      </w:hyperlink>
      <w:hyperlink r:id="rId1407" w:history="1">
        <w:r w:rsidRPr="00557819">
          <w:rPr>
            <w:rStyle w:val="Lienhypertexte"/>
            <w:lang w:val="en-GB"/>
          </w:rPr>
          <w:t xml:space="preserve"> </w:t>
        </w:r>
      </w:hyperlink>
      <w:hyperlink r:id="rId1408" w:history="1">
        <w:r w:rsidRPr="00557819">
          <w:rPr>
            <w:rStyle w:val="Lienhypertexte"/>
            <w:lang w:val="en-GB"/>
          </w:rPr>
          <w:t>oilseed</w:t>
        </w:r>
      </w:hyperlink>
      <w:hyperlink r:id="rId1409" w:history="1">
        <w:r w:rsidRPr="00557819">
          <w:rPr>
            <w:rStyle w:val="Lienhypertexte"/>
            <w:lang w:val="en-GB"/>
          </w:rPr>
          <w:t xml:space="preserve"> halophyte </w:t>
        </w:r>
      </w:hyperlink>
      <w:hyperlink r:id="rId1410" w:history="1">
        <w:r w:rsidRPr="00557819">
          <w:rPr>
            <w:rStyle w:val="Lienhypertexte"/>
            <w:i/>
            <w:iCs/>
            <w:lang w:val="en-GB"/>
          </w:rPr>
          <w:t>Salicornia</w:t>
        </w:r>
      </w:hyperlink>
      <w:hyperlink r:id="rId1411" w:history="1">
        <w:r w:rsidRPr="00557819">
          <w:rPr>
            <w:rStyle w:val="Lienhypertexte"/>
            <w:i/>
            <w:iCs/>
            <w:lang w:val="en-GB"/>
          </w:rPr>
          <w:t xml:space="preserve"> </w:t>
        </w:r>
      </w:hyperlink>
      <w:hyperlink r:id="rId1412" w:history="1">
        <w:r w:rsidRPr="00557819">
          <w:rPr>
            <w:rStyle w:val="Lienhypertexte"/>
            <w:i/>
            <w:iCs/>
            <w:lang w:val="en-GB"/>
          </w:rPr>
          <w:t>bigelovii</w:t>
        </w:r>
      </w:hyperlink>
      <w:hyperlink r:id="rId1413" w:history="1">
        <w:r w:rsidRPr="00557819">
          <w:rPr>
            <w:rStyle w:val="Lienhypertexte"/>
            <w:lang w:val="en-GB"/>
          </w:rPr>
          <w:t> </w:t>
        </w:r>
      </w:hyperlink>
      <w:hyperlink r:id="rId1414" w:history="1">
        <w:r w:rsidRPr="00557819">
          <w:rPr>
            <w:rStyle w:val="Lienhypertexte"/>
            <w:lang w:val="en-GB"/>
          </w:rPr>
          <w:t>inoculated</w:t>
        </w:r>
      </w:hyperlink>
      <w:hyperlink r:id="rId1415" w:history="1">
        <w:r w:rsidRPr="00557819">
          <w:rPr>
            <w:rStyle w:val="Lienhypertexte"/>
            <w:lang w:val="en-GB"/>
          </w:rPr>
          <w:t xml:space="preserve"> </w:t>
        </w:r>
      </w:hyperlink>
      <w:hyperlink r:id="rId1416" w:history="1">
        <w:r w:rsidRPr="00557819">
          <w:rPr>
            <w:rStyle w:val="Lienhypertexte"/>
            <w:lang w:val="en-GB"/>
          </w:rPr>
          <w:t>with</w:t>
        </w:r>
      </w:hyperlink>
      <w:hyperlink r:id="rId1417" w:history="1">
        <w:r w:rsidRPr="00557819">
          <w:rPr>
            <w:rStyle w:val="Lienhypertexte"/>
            <w:lang w:val="en-GB"/>
          </w:rPr>
          <w:t xml:space="preserve"> mangrove </w:t>
        </w:r>
      </w:hyperlink>
      <w:hyperlink r:id="rId1418" w:history="1">
        <w:r w:rsidRPr="00557819">
          <w:rPr>
            <w:rStyle w:val="Lienhypertexte"/>
            <w:lang w:val="en-GB"/>
          </w:rPr>
          <w:t>rhizosphere</w:t>
        </w:r>
      </w:hyperlink>
      <w:hyperlink r:id="rId1419" w:history="1">
        <w:r w:rsidRPr="00557819">
          <w:rPr>
            <w:rStyle w:val="Lienhypertexte"/>
            <w:lang w:val="en-GB"/>
          </w:rPr>
          <w:t xml:space="preserve"> </w:t>
        </w:r>
      </w:hyperlink>
      <w:hyperlink r:id="rId1420" w:history="1">
        <w:r w:rsidRPr="00557819">
          <w:rPr>
            <w:rStyle w:val="Lienhypertexte"/>
            <w:lang w:val="en-GB"/>
          </w:rPr>
          <w:t>bacteria</w:t>
        </w:r>
      </w:hyperlink>
      <w:hyperlink r:id="rId1421" w:history="1">
        <w:r w:rsidRPr="00557819">
          <w:rPr>
            <w:rStyle w:val="Lienhypertexte"/>
            <w:lang w:val="en-GB"/>
          </w:rPr>
          <w:t xml:space="preserve"> and </w:t>
        </w:r>
      </w:hyperlink>
      <w:hyperlink r:id="rId1422" w:history="1">
        <w:r w:rsidRPr="00557819">
          <w:rPr>
            <w:rStyle w:val="Lienhypertexte"/>
            <w:lang w:val="en-GB"/>
          </w:rPr>
          <w:t>halotolerant</w:t>
        </w:r>
      </w:hyperlink>
      <w:hyperlink r:id="rId1423" w:history="1">
        <w:r w:rsidRPr="00557819">
          <w:rPr>
            <w:rStyle w:val="Lienhypertexte"/>
            <w:lang w:val="en-GB"/>
          </w:rPr>
          <w:t> </w:t>
        </w:r>
      </w:hyperlink>
      <w:hyperlink r:id="rId1424" w:history="1">
        <w:r w:rsidRPr="00557819">
          <w:rPr>
            <w:rStyle w:val="Lienhypertexte"/>
            <w:i/>
            <w:iCs/>
            <w:lang w:val="en-GB"/>
          </w:rPr>
          <w:t>Azospirillum</w:t>
        </w:r>
      </w:hyperlink>
      <w:hyperlink r:id="rId1425" w:history="1">
        <w:r w:rsidRPr="00557819">
          <w:rPr>
            <w:rStyle w:val="Lienhypertexte"/>
            <w:lang w:val="en-GB"/>
          </w:rPr>
          <w:t> </w:t>
        </w:r>
      </w:hyperlink>
      <w:hyperlink r:id="rId1426" w:history="1">
        <w:r w:rsidRPr="00557819">
          <w:rPr>
            <w:rStyle w:val="Lienhypertexte"/>
            <w:lang w:val="en-GB"/>
          </w:rPr>
          <w:t>spp</w:t>
        </w:r>
      </w:hyperlink>
      <w:hyperlink r:id="rId1427" w:history="1">
        <w:r w:rsidRPr="00557819">
          <w:rPr>
            <w:rStyle w:val="Lienhypertexte"/>
            <w:lang w:val="en-GB"/>
          </w:rPr>
          <w:t>.</w:t>
        </w:r>
      </w:hyperlink>
      <w:r w:rsidRPr="00557819">
        <w:rPr>
          <w:lang w:val="en-GB"/>
        </w:rPr>
        <w:t> </w:t>
      </w:r>
      <w:r w:rsidRPr="00557819">
        <w:rPr>
          <w:i/>
          <w:iCs/>
          <w:lang w:val="en-GB"/>
        </w:rPr>
        <w:t>Biol Fertil Soils</w:t>
      </w:r>
      <w:r w:rsidRPr="00557819">
        <w:rPr>
          <w:lang w:val="en-GB"/>
        </w:rPr>
        <w:t> 32:265-72.,</w:t>
      </w:r>
    </w:p>
    <w:p w14:paraId="38078835" w14:textId="56516582" w:rsidR="00557819" w:rsidRPr="00557819" w:rsidRDefault="00557819" w:rsidP="00557819">
      <w:pPr>
        <w:spacing w:after="0" w:line="240" w:lineRule="auto"/>
        <w:jc w:val="both"/>
      </w:pPr>
      <w:r w:rsidRPr="006F2D8F">
        <w:rPr>
          <w:lang w:val="en-GB"/>
        </w:rPr>
        <w:t xml:space="preserve">c) Grattan, S. R., et al. </w:t>
      </w:r>
      <w:r w:rsidRPr="00557819">
        <w:rPr>
          <w:lang w:val="en-GB"/>
        </w:rPr>
        <w:t>(2008). </w:t>
      </w:r>
      <w:hyperlink r:id="rId1428" w:history="1">
        <w:r w:rsidRPr="00557819">
          <w:rPr>
            <w:rStyle w:val="Lienhypertexte"/>
            <w:lang w:val="en-GB"/>
          </w:rPr>
          <w:t>Feasibility</w:t>
        </w:r>
      </w:hyperlink>
      <w:hyperlink r:id="rId1429" w:history="1">
        <w:r w:rsidRPr="00557819">
          <w:rPr>
            <w:rStyle w:val="Lienhypertexte"/>
            <w:lang w:val="en-GB"/>
          </w:rPr>
          <w:t xml:space="preserve"> of </w:t>
        </w:r>
      </w:hyperlink>
      <w:hyperlink r:id="rId1430" w:history="1">
        <w:r w:rsidRPr="00557819">
          <w:rPr>
            <w:rStyle w:val="Lienhypertexte"/>
            <w:lang w:val="en-GB"/>
          </w:rPr>
          <w:t>irrigating</w:t>
        </w:r>
      </w:hyperlink>
      <w:hyperlink r:id="rId1431" w:history="1">
        <w:r w:rsidRPr="00557819">
          <w:rPr>
            <w:rStyle w:val="Lienhypertexte"/>
            <w:lang w:val="en-GB"/>
          </w:rPr>
          <w:t xml:space="preserve"> </w:t>
        </w:r>
      </w:hyperlink>
      <w:hyperlink r:id="rId1432" w:history="1">
        <w:r w:rsidRPr="00557819">
          <w:rPr>
            <w:rStyle w:val="Lienhypertexte"/>
            <w:lang w:val="en-GB"/>
          </w:rPr>
          <w:t>pickleweed</w:t>
        </w:r>
      </w:hyperlink>
      <w:hyperlink r:id="rId1433" w:history="1">
        <w:r w:rsidRPr="00557819">
          <w:rPr>
            <w:rStyle w:val="Lienhypertexte"/>
            <w:lang w:val="en-GB"/>
          </w:rPr>
          <w:t xml:space="preserve"> (</w:t>
        </w:r>
      </w:hyperlink>
      <w:hyperlink r:id="rId1434" w:history="1">
        <w:r w:rsidRPr="00557819">
          <w:rPr>
            <w:rStyle w:val="Lienhypertexte"/>
            <w:i/>
            <w:iCs/>
            <w:lang w:val="en-GB"/>
          </w:rPr>
          <w:t>Salicornia</w:t>
        </w:r>
      </w:hyperlink>
      <w:hyperlink r:id="rId1435" w:history="1">
        <w:r w:rsidRPr="00557819">
          <w:rPr>
            <w:rStyle w:val="Lienhypertexte"/>
            <w:i/>
            <w:iCs/>
            <w:lang w:val="en-GB"/>
          </w:rPr>
          <w:t xml:space="preserve"> </w:t>
        </w:r>
      </w:hyperlink>
      <w:hyperlink r:id="rId1436" w:history="1">
        <w:r w:rsidRPr="00557819">
          <w:rPr>
            <w:rStyle w:val="Lienhypertexte"/>
            <w:i/>
            <w:iCs/>
            <w:lang w:val="en-GB"/>
          </w:rPr>
          <w:t>bigelovii</w:t>
        </w:r>
      </w:hyperlink>
      <w:hyperlink r:id="rId1437" w:history="1">
        <w:r w:rsidRPr="00557819">
          <w:rPr>
            <w:rStyle w:val="Lienhypertexte"/>
            <w:lang w:val="en-GB"/>
          </w:rPr>
          <w:t xml:space="preserve"> Torr) </w:t>
        </w:r>
      </w:hyperlink>
      <w:hyperlink r:id="rId1438" w:history="1">
        <w:r w:rsidRPr="00557819">
          <w:rPr>
            <w:rStyle w:val="Lienhypertexte"/>
            <w:lang w:val="en-GB"/>
          </w:rPr>
          <w:t>with</w:t>
        </w:r>
      </w:hyperlink>
      <w:hyperlink r:id="rId1439" w:history="1">
        <w:r w:rsidRPr="00557819">
          <w:rPr>
            <w:rStyle w:val="Lienhypertexte"/>
            <w:lang w:val="en-GB"/>
          </w:rPr>
          <w:t xml:space="preserve"> hyper-saline drainage water.</w:t>
        </w:r>
      </w:hyperlink>
      <w:r w:rsidRPr="00557819">
        <w:rPr>
          <w:lang w:val="en-GB"/>
        </w:rPr>
        <w:t> </w:t>
      </w:r>
      <w:r w:rsidRPr="00557819">
        <w:rPr>
          <w:i/>
          <w:iCs/>
        </w:rPr>
        <w:t>J. Environ. Qual.</w:t>
      </w:r>
      <w:r w:rsidRPr="00557819">
        <w:t> 37 S-149.</w:t>
      </w:r>
    </w:p>
    <w:p w14:paraId="2E73AA26" w14:textId="77777777" w:rsidR="00260250" w:rsidRDefault="00260250" w:rsidP="00557819">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586B8C" w14:paraId="0398455D" w14:textId="77777777" w:rsidTr="00586B8C">
        <w:tc>
          <w:tcPr>
            <w:tcW w:w="5208" w:type="dxa"/>
          </w:tcPr>
          <w:p w14:paraId="4429DBD8" w14:textId="69FC3F0C" w:rsidR="00586B8C" w:rsidRDefault="00586B8C" w:rsidP="00B315F4">
            <w:pPr>
              <w:jc w:val="center"/>
            </w:pPr>
            <w:r w:rsidRPr="00586B8C">
              <w:rPr>
                <w:noProof/>
              </w:rPr>
              <w:drawing>
                <wp:inline distT="0" distB="0" distL="0" distR="0" wp14:anchorId="0D0B9A10" wp14:editId="1121FE1B">
                  <wp:extent cx="2520950" cy="1676400"/>
                  <wp:effectExtent l="0" t="0" r="0" b="0"/>
                  <wp:docPr id="73736" name="Picture 3" descr="C:\Users\LISAN\Pictures\plantes-halophytes-xerophiles\Salicornia bigelovi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36" name="Picture 3" descr="C:\Users\LISAN\Pictures\plantes-halophytes-xerophiles\Salicornia bigelovii2.jpg"/>
                          <pic:cNvPicPr>
                            <a:picLocks noChangeAspect="1" noChangeArrowheads="1"/>
                          </pic:cNvPicPr>
                        </pic:nvPicPr>
                        <pic:blipFill>
                          <a:blip r:embed="rId1440">
                            <a:extLst>
                              <a:ext uri="{28A0092B-C50C-407E-A947-70E740481C1C}">
                                <a14:useLocalDpi xmlns:a14="http://schemas.microsoft.com/office/drawing/2010/main" val="0"/>
                              </a:ext>
                            </a:extLst>
                          </a:blip>
                          <a:srcRect/>
                          <a:stretch>
                            <a:fillRect/>
                          </a:stretch>
                        </pic:blipFill>
                        <pic:spPr bwMode="auto">
                          <a:xfrm>
                            <a:off x="0" y="0"/>
                            <a:ext cx="2520950" cy="167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208" w:type="dxa"/>
          </w:tcPr>
          <w:p w14:paraId="14E3D613" w14:textId="5CA86B35" w:rsidR="00586B8C" w:rsidRDefault="00586B8C" w:rsidP="00B315F4">
            <w:pPr>
              <w:jc w:val="center"/>
            </w:pPr>
            <w:r w:rsidRPr="00586B8C">
              <w:rPr>
                <w:noProof/>
              </w:rPr>
              <w:drawing>
                <wp:inline distT="0" distB="0" distL="0" distR="0" wp14:anchorId="4425A765" wp14:editId="7393B10B">
                  <wp:extent cx="1200150" cy="1601788"/>
                  <wp:effectExtent l="0" t="0" r="0" b="0"/>
                  <wp:docPr id="73737" name="Picture 4" descr="C:\Users\LISAN\Pictures\plantes-halophytes-xerophiles\Salicornia bigelovii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37" name="Picture 4" descr="C:\Users\LISAN\Pictures\plantes-halophytes-xerophiles\Salicornia bigelovii3.jpg"/>
                          <pic:cNvPicPr>
                            <a:picLocks noChangeAspect="1" noChangeArrowheads="1"/>
                          </pic:cNvPicPr>
                        </pic:nvPicPr>
                        <pic:blipFill>
                          <a:blip r:embed="rId1441">
                            <a:extLst>
                              <a:ext uri="{28A0092B-C50C-407E-A947-70E740481C1C}">
                                <a14:useLocalDpi xmlns:a14="http://schemas.microsoft.com/office/drawing/2010/main" val="0"/>
                              </a:ext>
                            </a:extLst>
                          </a:blip>
                          <a:srcRect/>
                          <a:stretch>
                            <a:fillRect/>
                          </a:stretch>
                        </pic:blipFill>
                        <pic:spPr bwMode="auto">
                          <a:xfrm>
                            <a:off x="0" y="0"/>
                            <a:ext cx="1200150" cy="16017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586B8C" w14:paraId="5F3C79E8" w14:textId="77777777" w:rsidTr="00586B8C">
        <w:tc>
          <w:tcPr>
            <w:tcW w:w="5208" w:type="dxa"/>
          </w:tcPr>
          <w:p w14:paraId="0314CE45" w14:textId="77777777" w:rsidR="00586B8C" w:rsidRDefault="00586B8C" w:rsidP="00B315F4">
            <w:pPr>
              <w:jc w:val="center"/>
            </w:pPr>
          </w:p>
          <w:p w14:paraId="03CBBECD" w14:textId="08DF8C44" w:rsidR="00586B8C" w:rsidRDefault="00586B8C" w:rsidP="00B315F4">
            <w:pPr>
              <w:jc w:val="center"/>
            </w:pPr>
            <w:r w:rsidRPr="00586B8C">
              <w:rPr>
                <w:noProof/>
              </w:rPr>
              <w:lastRenderedPageBreak/>
              <w:drawing>
                <wp:inline distT="0" distB="0" distL="0" distR="0" wp14:anchorId="766A0513" wp14:editId="5C519499">
                  <wp:extent cx="2514600" cy="1638300"/>
                  <wp:effectExtent l="0" t="0" r="0" b="0"/>
                  <wp:docPr id="73735" name="Picture 2" descr="C:\Users\LISAN\Pictures\plantes-halophytes-xerophiles\Salicornia bigelovii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35" name="Picture 2" descr="C:\Users\LISAN\Pictures\plantes-halophytes-xerophiles\Salicornia bigelovii5.jpg"/>
                          <pic:cNvPicPr>
                            <a:picLocks noChangeAspect="1" noChangeArrowheads="1"/>
                          </pic:cNvPicPr>
                        </pic:nvPicPr>
                        <pic:blipFill>
                          <a:blip r:embed="rId1442">
                            <a:extLst>
                              <a:ext uri="{28A0092B-C50C-407E-A947-70E740481C1C}">
                                <a14:useLocalDpi xmlns:a14="http://schemas.microsoft.com/office/drawing/2010/main" val="0"/>
                              </a:ext>
                            </a:extLst>
                          </a:blip>
                          <a:srcRect/>
                          <a:stretch>
                            <a:fillRect/>
                          </a:stretch>
                        </pic:blipFill>
                        <pic:spPr bwMode="auto">
                          <a:xfrm>
                            <a:off x="0" y="0"/>
                            <a:ext cx="2514600" cy="1638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3A9A594" w14:textId="3013C3D4" w:rsidR="00586B8C" w:rsidRDefault="00586B8C" w:rsidP="00B315F4">
            <w:pPr>
              <w:jc w:val="center"/>
            </w:pPr>
            <w:r w:rsidRPr="00586B8C">
              <w:t xml:space="preserve">Production pilote de biodiesel, avec </w:t>
            </w:r>
            <w:r w:rsidRPr="00586B8C">
              <w:rPr>
                <w:i/>
                <w:iCs/>
              </w:rPr>
              <w:t>Salicornia bigelovii</w:t>
            </w:r>
            <w:r w:rsidRPr="00586B8C">
              <w:t>, au Mexique (Global Seawater Inc).</w:t>
            </w:r>
          </w:p>
        </w:tc>
        <w:tc>
          <w:tcPr>
            <w:tcW w:w="5208" w:type="dxa"/>
          </w:tcPr>
          <w:p w14:paraId="57092A70" w14:textId="77777777" w:rsidR="00586B8C" w:rsidRDefault="00586B8C" w:rsidP="00B315F4">
            <w:pPr>
              <w:jc w:val="center"/>
            </w:pPr>
          </w:p>
          <w:p w14:paraId="1E41D95D" w14:textId="5039DE12" w:rsidR="00586B8C" w:rsidRDefault="00586B8C" w:rsidP="00B315F4">
            <w:pPr>
              <w:jc w:val="center"/>
            </w:pPr>
            <w:r w:rsidRPr="00586B8C">
              <w:rPr>
                <w:noProof/>
              </w:rPr>
              <w:lastRenderedPageBreak/>
              <w:drawing>
                <wp:inline distT="0" distB="0" distL="0" distR="0" wp14:anchorId="1A933017" wp14:editId="1BA8A14C">
                  <wp:extent cx="2447925" cy="1866900"/>
                  <wp:effectExtent l="0" t="0" r="9525" b="0"/>
                  <wp:docPr id="73738" name="Picture 5" descr="C:\Users\LISAN\Pictures\plantes-halophytes-xerophiles\Salicornia bigelovii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38" name="Picture 5" descr="C:\Users\LISAN\Pictures\plantes-halophytes-xerophiles\Salicornia bigelovii4.jpg"/>
                          <pic:cNvPicPr>
                            <a:picLocks noChangeAspect="1" noChangeArrowheads="1"/>
                          </pic:cNvPicPr>
                        </pic:nvPicPr>
                        <pic:blipFill>
                          <a:blip r:embed="rId1443">
                            <a:extLst>
                              <a:ext uri="{28A0092B-C50C-407E-A947-70E740481C1C}">
                                <a14:useLocalDpi xmlns:a14="http://schemas.microsoft.com/office/drawing/2010/main" val="0"/>
                              </a:ext>
                            </a:extLst>
                          </a:blip>
                          <a:srcRect/>
                          <a:stretch>
                            <a:fillRect/>
                          </a:stretch>
                        </pic:blipFill>
                        <pic:spPr bwMode="auto">
                          <a:xfrm>
                            <a:off x="0" y="0"/>
                            <a:ext cx="2447925" cy="1866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6355D027" w14:textId="6E1F5B2E" w:rsidR="0015583F" w:rsidRDefault="0015583F" w:rsidP="00FA4BA8">
      <w:pPr>
        <w:spacing w:after="0" w:line="240" w:lineRule="auto"/>
      </w:pPr>
    </w:p>
    <w:p w14:paraId="416AC1FD" w14:textId="7D980C80" w:rsidR="0015583F" w:rsidRDefault="0015583F" w:rsidP="0015583F">
      <w:pPr>
        <w:pStyle w:val="Titre2"/>
      </w:pPr>
      <w:bookmarkStart w:id="154" w:name="_Toc139181445"/>
      <w:r>
        <w:t>Zostère marine, herbe de mer</w:t>
      </w:r>
      <w:r w:rsidR="00A75386">
        <w:t>,</w:t>
      </w:r>
      <w:r>
        <w:t xml:space="preserve"> varech marin</w:t>
      </w:r>
      <w:r w:rsidR="00A75386">
        <w:t xml:space="preserve"> ou riz de mer</w:t>
      </w:r>
      <w:r>
        <w:t xml:space="preserve"> (</w:t>
      </w:r>
      <w:r w:rsidRPr="0015583F">
        <w:rPr>
          <w:i/>
          <w:iCs/>
        </w:rPr>
        <w:t>Zostera marina</w:t>
      </w:r>
      <w:r>
        <w:t>)</w:t>
      </w:r>
      <w:bookmarkEnd w:id="154"/>
    </w:p>
    <w:p w14:paraId="37A0D36A" w14:textId="77777777" w:rsidR="0015583F" w:rsidRDefault="0015583F" w:rsidP="0015583F">
      <w:pPr>
        <w:spacing w:after="0" w:line="240" w:lineRule="auto"/>
      </w:pPr>
    </w:p>
    <w:p w14:paraId="7BBDF5AD" w14:textId="77777777" w:rsidR="0015583F" w:rsidRDefault="0015583F" w:rsidP="0015583F">
      <w:pPr>
        <w:spacing w:after="0" w:line="240" w:lineRule="auto"/>
        <w:jc w:val="both"/>
      </w:pPr>
      <w:r>
        <w:t xml:space="preserve">C'est une plante à fleur aquatique qui se rencontre sur les fonds marins sableux ou sablo-vaseux de l’hémisphère nord. </w:t>
      </w:r>
    </w:p>
    <w:p w14:paraId="70FCB3BE" w14:textId="4D248C0D" w:rsidR="0015583F" w:rsidRDefault="0015583F" w:rsidP="0015583F">
      <w:pPr>
        <w:spacing w:after="0" w:line="240" w:lineRule="auto"/>
        <w:jc w:val="both"/>
      </w:pPr>
      <w:r w:rsidRPr="0015583F">
        <w:t>La Zostère marine pousse dans les fonds sableux et/ou vaseux des littoraux abrités ou des estuaires. Elle vit dans les zones rarement exondées et peut se développer jusqu'à une profondeur de 11 mètres.</w:t>
      </w:r>
      <w:r>
        <w:t xml:space="preserve"> </w:t>
      </w:r>
      <w:r w:rsidRPr="0015583F">
        <w:t>En Europe, elle vit dans certaines zones de la mer Méditerranée, dans l'océan Atlantique, dans la Manche, en mer du Nord et en mer Baltique6. On la trouve dans les eaux froides ou tempérées de l'hémisphère nord, dans les zones et mers bordant l'Atlantique et le Pacifique.</w:t>
      </w:r>
    </w:p>
    <w:p w14:paraId="57D729ED" w14:textId="77777777" w:rsidR="00A75386" w:rsidRDefault="00A75386" w:rsidP="00A75386">
      <w:pPr>
        <w:spacing w:after="0" w:line="240" w:lineRule="auto"/>
        <w:jc w:val="both"/>
      </w:pPr>
      <w:r w:rsidRPr="00A75386">
        <w:rPr>
          <w:u w:val="single"/>
        </w:rPr>
        <w:t>Rôles écologiques</w:t>
      </w:r>
      <w:r>
        <w:t xml:space="preserve"> : La biodiversité dans les herbiers à Zostères marines peut être supérieure à 300 espèces. Les herbiers à Zostères marines ont un niveau de production primaire élevé, et donc un rôle dans l'oxygénation de l'eau. </w:t>
      </w:r>
    </w:p>
    <w:p w14:paraId="747044F5" w14:textId="77777777" w:rsidR="00A75386" w:rsidRDefault="00A75386" w:rsidP="00A75386">
      <w:pPr>
        <w:spacing w:after="0" w:line="240" w:lineRule="auto"/>
        <w:jc w:val="both"/>
      </w:pPr>
      <w:r>
        <w:t>Ces herbiers ont aussi un rôle dans la stabilisation des sédiments et un rôle tampon dans l'amortissement de la houle.</w:t>
      </w:r>
    </w:p>
    <w:p w14:paraId="12125F5F" w14:textId="77777777" w:rsidR="00A75386" w:rsidRDefault="00A75386" w:rsidP="00A75386">
      <w:pPr>
        <w:spacing w:after="0" w:line="240" w:lineRule="auto"/>
        <w:jc w:val="both"/>
      </w:pPr>
      <w:r w:rsidRPr="00A75386">
        <w:rPr>
          <w:u w:val="single"/>
        </w:rPr>
        <w:t>Maladies</w:t>
      </w:r>
      <w:r>
        <w:t xml:space="preserve"> : Dans les années 1920 — 1930, les herbiers de </w:t>
      </w:r>
      <w:r w:rsidRPr="00A75386">
        <w:rPr>
          <w:i/>
          <w:iCs/>
        </w:rPr>
        <w:t>Zostera marina</w:t>
      </w:r>
      <w:r>
        <w:t xml:space="preserve"> furent décimés dans tout l'Atlantique nord par une maladie nommée « wasting disease » (ce qui signifie « maladie du dépérissement »). Les symptômes de cette maladie étaient l'apparition de taches brunes sur les feuilles, qui s'étendaient jusqu'à ce que les feuilles meurent et se détachent de la plante.</w:t>
      </w:r>
    </w:p>
    <w:p w14:paraId="65E1766F" w14:textId="77777777" w:rsidR="00A75386" w:rsidRDefault="00A75386" w:rsidP="00A75386">
      <w:pPr>
        <w:spacing w:after="0" w:line="240" w:lineRule="auto"/>
        <w:jc w:val="both"/>
      </w:pPr>
      <w:r>
        <w:t xml:space="preserve">La cause de la maladie a été attribuée à un micro-organisme du sous-règne des Stramenopiles, </w:t>
      </w:r>
      <w:r w:rsidRPr="00A75386">
        <w:rPr>
          <w:b/>
          <w:bCs/>
        </w:rPr>
        <w:t>Labyrinthula zosterae</w:t>
      </w:r>
      <w:r>
        <w:t>.</w:t>
      </w:r>
    </w:p>
    <w:p w14:paraId="15895FA3" w14:textId="77777777" w:rsidR="00A75386" w:rsidRDefault="00A75386" w:rsidP="00A75386">
      <w:pPr>
        <w:spacing w:after="0" w:line="240" w:lineRule="auto"/>
        <w:jc w:val="both"/>
      </w:pPr>
      <w:r w:rsidRPr="00A75386">
        <w:rPr>
          <w:u w:val="single"/>
        </w:rPr>
        <w:t>Menaces sur l'espèce</w:t>
      </w:r>
      <w:r>
        <w:t xml:space="preserve"> : l'augmentation de la turbidité de l'eau, l'eutrophisation des eaux du littoral, l'arrachement dû aux ancres de bateaux de plaisance, les travaux portuaires ou toute autre activité impliquant l'extraction de sédiments, certaines méthodes de pêche ou l'extension des installations de conchylicultures (huîtres, moules...).</w:t>
      </w:r>
    </w:p>
    <w:p w14:paraId="2FDB4E71" w14:textId="4186F1F2" w:rsidR="0015583F" w:rsidRDefault="0015583F" w:rsidP="0015583F">
      <w:pPr>
        <w:spacing w:after="0" w:line="240" w:lineRule="auto"/>
        <w:jc w:val="both"/>
      </w:pPr>
      <w:r>
        <w:t>Cette plante, qui a failli disparaître de l’océan Atlantique dans les années 1930 et accuse actuellement une régression de population, fut une source de nourriture pour les Amérindiens et continue d’avoir, de nos jours, un rôle écologique important par son aptitude à former des herbiers marins.</w:t>
      </w:r>
    </w:p>
    <w:p w14:paraId="0F9F8DC3" w14:textId="77777777" w:rsidR="00F1661A" w:rsidRDefault="00A75386" w:rsidP="003377FF">
      <w:pPr>
        <w:spacing w:after="0" w:line="240" w:lineRule="auto"/>
        <w:jc w:val="both"/>
      </w:pPr>
      <w:r w:rsidRPr="00A75386">
        <w:rPr>
          <w:u w:val="single"/>
        </w:rPr>
        <w:t>Usages</w:t>
      </w:r>
      <w:r>
        <w:t xml:space="preserve"> : </w:t>
      </w:r>
      <w:r w:rsidR="003377FF">
        <w:t xml:space="preserve">La graine a un aspect dur et compact et une saveur aromatique, végétale et iodée. Ses caractéristiques à usage culinaire lui permettent d'être cuit, comme le riz ou les pâtes, pour le transformer en farine à transformer en pain ou en pâtes sèches. </w:t>
      </w:r>
    </w:p>
    <w:p w14:paraId="1B686839" w14:textId="36A268E9" w:rsidR="003377FF" w:rsidRDefault="00A75386" w:rsidP="003377FF">
      <w:pPr>
        <w:spacing w:after="0" w:line="240" w:lineRule="auto"/>
        <w:jc w:val="both"/>
      </w:pPr>
      <w:r>
        <w:t>Certains Amérindiens de l'île de Vancouver et de la côte de la Colombie-Britannique consommaient le rhizome cru (il est légèrement sucré et agréable à mâcher, selon l'ethnobotaniste François Couplan).</w:t>
      </w:r>
      <w:r w:rsidR="003377FF">
        <w:t xml:space="preserve"> </w:t>
      </w:r>
      <w:r>
        <w:t>Les Seri du nord-Ouest du Mexique consommaient aussi les graines de la zostère marine sous forme de pâte</w:t>
      </w:r>
      <w:r w:rsidR="007F7604">
        <w:t xml:space="preserve"> ou de bouillie</w:t>
      </w:r>
      <w:r>
        <w:t xml:space="preserve">. </w:t>
      </w:r>
    </w:p>
    <w:p w14:paraId="5D47C832" w14:textId="0686BD7C" w:rsidR="003377FF" w:rsidRDefault="003377FF" w:rsidP="003377FF">
      <w:pPr>
        <w:spacing w:after="0" w:line="240" w:lineRule="auto"/>
        <w:jc w:val="both"/>
      </w:pPr>
      <w:r w:rsidRPr="003377FF">
        <w:rPr>
          <w:u w:val="single"/>
        </w:rPr>
        <w:t>Culture</w:t>
      </w:r>
      <w:r w:rsidR="00F1661A">
        <w:rPr>
          <w:u w:val="single"/>
        </w:rPr>
        <w:t xml:space="preserve"> et recherches</w:t>
      </w:r>
      <w:r>
        <w:t xml:space="preserve"> : </w:t>
      </w:r>
      <w:r w:rsidR="00A75386">
        <w:t xml:space="preserve">Angel León, restaurateur (3 étoiles Michelin) près de Cadix en Espagne, utilise les grains dans de nombreuses recettes. </w:t>
      </w:r>
      <w:r w:rsidR="00A879EA" w:rsidRPr="00A879EA">
        <w:t>Avec le gouvernement régional et des chercheurs de l’Université de Cadix, il a lancé un projet de culture de la zostère maritime</w:t>
      </w:r>
      <w:r w:rsidR="00A879EA">
        <w:t>,</w:t>
      </w:r>
      <w:r w:rsidR="00A879EA" w:rsidRPr="00A879EA">
        <w:t xml:space="preserve"> sur un tiers des hectares de marais salants</w:t>
      </w:r>
      <w:r w:rsidR="00A879EA">
        <w:t xml:space="preserve">, </w:t>
      </w:r>
      <w:r w:rsidR="00A75386">
        <w:t>tant pour la nourriture que surtout son rôle important dans la préservation des écosystèmes littoraux.</w:t>
      </w:r>
      <w:r>
        <w:t xml:space="preserve"> L'équipe de recherche et développement </w:t>
      </w:r>
      <w:r w:rsidRPr="003377FF">
        <w:rPr>
          <w:i/>
          <w:iCs/>
        </w:rPr>
        <w:t>d'Aponiente</w:t>
      </w:r>
      <w:r>
        <w:t xml:space="preserve"> (le restaurant du chef), dirigée par le biologiste Juan Martín, a réussi, après trois ans de recherche, à cultiver du riz marin dans des conditions contrôlées, sur une superficie de près de 3000 mètres carrés, dans le parc naturel de la Bahía de Cádiz), obtenant ainsi des semences saines pour la consommation humaine.</w:t>
      </w:r>
    </w:p>
    <w:p w14:paraId="0B5D2317" w14:textId="77777777" w:rsidR="0015583F" w:rsidRDefault="0015583F" w:rsidP="0015583F">
      <w:pPr>
        <w:spacing w:after="0" w:line="240" w:lineRule="auto"/>
        <w:jc w:val="both"/>
      </w:pPr>
    </w:p>
    <w:p w14:paraId="43F9ECF2" w14:textId="21D07A6B" w:rsidR="0015583F" w:rsidRPr="001D5C03" w:rsidRDefault="0015583F" w:rsidP="0015583F">
      <w:pPr>
        <w:spacing w:after="0" w:line="240" w:lineRule="auto"/>
      </w:pPr>
      <w:r w:rsidRPr="001D5C03">
        <w:lastRenderedPageBreak/>
        <w:t>Source</w:t>
      </w:r>
      <w:r w:rsidR="00A75386" w:rsidRPr="001D5C03">
        <w:t>s</w:t>
      </w:r>
      <w:r w:rsidRPr="001D5C03">
        <w:t xml:space="preserve"> :</w:t>
      </w:r>
      <w:r w:rsidR="00A75386" w:rsidRPr="001D5C03">
        <w:t xml:space="preserve"> a)</w:t>
      </w:r>
      <w:r w:rsidRPr="001D5C03">
        <w:t xml:space="preserve"> </w:t>
      </w:r>
      <w:hyperlink r:id="rId1444" w:history="1">
        <w:r w:rsidR="00A75386" w:rsidRPr="001D5C03">
          <w:rPr>
            <w:rStyle w:val="Lienhypertexte"/>
          </w:rPr>
          <w:t>https://fr.wikipedia.org/wiki/Zost%C3%A8re_marine</w:t>
        </w:r>
      </w:hyperlink>
      <w:r w:rsidR="00A75386" w:rsidRPr="001D5C03">
        <w:t>, b)</w:t>
      </w:r>
      <w:r w:rsidR="000E06F9" w:rsidRPr="001D5C03">
        <w:t xml:space="preserve"> </w:t>
      </w:r>
      <w:r w:rsidR="000E06F9" w:rsidRPr="001D5C03">
        <w:rPr>
          <w:i/>
          <w:iCs/>
        </w:rPr>
        <w:t>Le chef Ángel León cultive un potager aquatique de zostères marines, Lukas Joseph</w:t>
      </w:r>
      <w:r w:rsidR="000E06F9" w:rsidRPr="001D5C03">
        <w:t xml:space="preserve">, 2021-07-08, </w:t>
      </w:r>
      <w:hyperlink r:id="rId1445" w:history="1">
        <w:r w:rsidR="000E06F9" w:rsidRPr="001D5C03">
          <w:rPr>
            <w:rStyle w:val="Lienhypertexte"/>
          </w:rPr>
          <w:t>https://www.spotmydive.com/fr/sante/le-chef-angel-leon-cultive-un-potager-aquatique-de-zosteres-marines</w:t>
        </w:r>
      </w:hyperlink>
      <w:r w:rsidR="000E06F9" w:rsidRPr="001D5C03">
        <w:t>, c)</w:t>
      </w:r>
      <w:r w:rsidR="00A75386" w:rsidRPr="001D5C03">
        <w:t xml:space="preserve"> « </w:t>
      </w:r>
      <w:r w:rsidR="00A75386" w:rsidRPr="001D5C03">
        <w:rPr>
          <w:i/>
          <w:iCs/>
        </w:rPr>
        <w:t>The rice of the sea: how a tiny grain could change the way humanity eats</w:t>
      </w:r>
      <w:r w:rsidR="00A75386" w:rsidRPr="001D5C03">
        <w:t xml:space="preserve"> », Ashifa Kassam, 09/02/2021, </w:t>
      </w:r>
      <w:hyperlink r:id="rId1446" w:history="1">
        <w:r w:rsidR="00A75386" w:rsidRPr="001D5C03">
          <w:rPr>
            <w:rStyle w:val="Lienhypertexte"/>
          </w:rPr>
          <w:t>https://www.theguardian.com/environment/2021/apr/09/sea-rice-eelgrass-marine-grain-chef-angel-leon-marsh-climate-crisis</w:t>
        </w:r>
      </w:hyperlink>
      <w:r w:rsidR="001D5C03" w:rsidRPr="001D5C03">
        <w:t xml:space="preserve">, d) </w:t>
      </w:r>
      <w:r w:rsidR="001D5C03" w:rsidRPr="001D5C03">
        <w:rPr>
          <w:i/>
          <w:iCs/>
        </w:rPr>
        <w:t>Ángel León: le chef qui cultive du riz dans la mer</w:t>
      </w:r>
      <w:r w:rsidR="001D5C03" w:rsidRPr="001D5C03">
        <w:t xml:space="preserve">, Federica Artina, 20/04/2021, </w:t>
      </w:r>
      <w:hyperlink r:id="rId1447" w:history="1">
        <w:r w:rsidR="001D5C03" w:rsidRPr="001D5C03">
          <w:rPr>
            <w:rStyle w:val="Lienhypertexte"/>
          </w:rPr>
          <w:t>https://www.finedininglovers.fr/article/angel-leon-le-chef-qui-cultive-du-riz-dans-la-mer</w:t>
        </w:r>
      </w:hyperlink>
      <w:r w:rsidR="001D5C03" w:rsidRPr="001D5C03">
        <w:t xml:space="preserve"> </w:t>
      </w:r>
      <w:r w:rsidR="00A75386" w:rsidRPr="001D5C03">
        <w:t xml:space="preserve"> </w:t>
      </w:r>
    </w:p>
    <w:p w14:paraId="06C0ADB2" w14:textId="2F79F8ED" w:rsidR="00A75386" w:rsidRPr="001D5C03" w:rsidRDefault="00A75386" w:rsidP="0015583F">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16"/>
        <w:gridCol w:w="3935"/>
        <w:gridCol w:w="2675"/>
      </w:tblGrid>
      <w:tr w:rsidR="001D5C03" w14:paraId="36A99D68" w14:textId="77777777" w:rsidTr="001D5C03">
        <w:tc>
          <w:tcPr>
            <w:tcW w:w="3472" w:type="dxa"/>
          </w:tcPr>
          <w:p w14:paraId="3C15E4E4" w14:textId="57893CB2" w:rsidR="001D5C03" w:rsidRDefault="001D5C03" w:rsidP="001D5C03">
            <w:pPr>
              <w:jc w:val="center"/>
              <w:rPr>
                <w:lang w:val="en-GB"/>
              </w:rPr>
            </w:pPr>
            <w:r>
              <w:rPr>
                <w:noProof/>
              </w:rPr>
              <w:drawing>
                <wp:inline distT="0" distB="0" distL="0" distR="0" wp14:anchorId="7F1CCF52" wp14:editId="629DB72E">
                  <wp:extent cx="2286000" cy="1714500"/>
                  <wp:effectExtent l="0" t="0" r="0"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48">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noFill/>
                          </a:ln>
                        </pic:spPr>
                      </pic:pic>
                    </a:graphicData>
                  </a:graphic>
                </wp:inline>
              </w:drawing>
            </w:r>
          </w:p>
        </w:tc>
        <w:tc>
          <w:tcPr>
            <w:tcW w:w="3472" w:type="dxa"/>
          </w:tcPr>
          <w:p w14:paraId="036B866E" w14:textId="77777777" w:rsidR="001D5C03" w:rsidRDefault="001D5C03" w:rsidP="001D5C03">
            <w:pPr>
              <w:jc w:val="center"/>
              <w:rPr>
                <w:lang w:val="en-GB"/>
              </w:rPr>
            </w:pPr>
            <w:r>
              <w:rPr>
                <w:noProof/>
              </w:rPr>
              <w:drawing>
                <wp:inline distT="0" distB="0" distL="0" distR="0" wp14:anchorId="14075B50" wp14:editId="5C751B9A">
                  <wp:extent cx="2357135" cy="1323975"/>
                  <wp:effectExtent l="0" t="0" r="508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49">
                            <a:extLst>
                              <a:ext uri="{28A0092B-C50C-407E-A947-70E740481C1C}">
                                <a14:useLocalDpi xmlns:a14="http://schemas.microsoft.com/office/drawing/2010/main" val="0"/>
                              </a:ext>
                            </a:extLst>
                          </a:blip>
                          <a:srcRect/>
                          <a:stretch>
                            <a:fillRect/>
                          </a:stretch>
                        </pic:blipFill>
                        <pic:spPr bwMode="auto">
                          <a:xfrm>
                            <a:off x="0" y="0"/>
                            <a:ext cx="2361955" cy="1326682"/>
                          </a:xfrm>
                          <a:prstGeom prst="rect">
                            <a:avLst/>
                          </a:prstGeom>
                          <a:noFill/>
                          <a:ln>
                            <a:noFill/>
                          </a:ln>
                        </pic:spPr>
                      </pic:pic>
                    </a:graphicData>
                  </a:graphic>
                </wp:inline>
              </w:drawing>
            </w:r>
          </w:p>
          <w:p w14:paraId="2EFAC33D" w14:textId="5D8516FD" w:rsidR="001D5C03" w:rsidRDefault="001D5C03" w:rsidP="001D5C03">
            <w:pPr>
              <w:jc w:val="center"/>
              <w:rPr>
                <w:lang w:val="en-GB"/>
              </w:rPr>
            </w:pPr>
            <w:r>
              <w:rPr>
                <w:lang w:val="en-GB"/>
              </w:rPr>
              <w:t>“Riz de mer”.</w:t>
            </w:r>
          </w:p>
        </w:tc>
        <w:tc>
          <w:tcPr>
            <w:tcW w:w="3472" w:type="dxa"/>
          </w:tcPr>
          <w:p w14:paraId="5943B84B" w14:textId="77777777" w:rsidR="001D5C03" w:rsidRDefault="001D5C03" w:rsidP="001D5C03">
            <w:pPr>
              <w:jc w:val="center"/>
              <w:rPr>
                <w:lang w:val="en-GB"/>
              </w:rPr>
            </w:pPr>
            <w:r>
              <w:rPr>
                <w:noProof/>
              </w:rPr>
              <w:drawing>
                <wp:inline distT="0" distB="0" distL="0" distR="0" wp14:anchorId="0D269741" wp14:editId="4BC3139A">
                  <wp:extent cx="1560264" cy="1257300"/>
                  <wp:effectExtent l="0" t="0" r="1905" b="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50">
                            <a:extLst>
                              <a:ext uri="{28A0092B-C50C-407E-A947-70E740481C1C}">
                                <a14:useLocalDpi xmlns:a14="http://schemas.microsoft.com/office/drawing/2010/main" val="0"/>
                              </a:ext>
                            </a:extLst>
                          </a:blip>
                          <a:srcRect/>
                          <a:stretch>
                            <a:fillRect/>
                          </a:stretch>
                        </pic:blipFill>
                        <pic:spPr bwMode="auto">
                          <a:xfrm>
                            <a:off x="0" y="0"/>
                            <a:ext cx="1566932" cy="1262673"/>
                          </a:xfrm>
                          <a:prstGeom prst="rect">
                            <a:avLst/>
                          </a:prstGeom>
                          <a:noFill/>
                          <a:ln>
                            <a:noFill/>
                          </a:ln>
                        </pic:spPr>
                      </pic:pic>
                    </a:graphicData>
                  </a:graphic>
                </wp:inline>
              </w:drawing>
            </w:r>
          </w:p>
          <w:p w14:paraId="6520CEC7" w14:textId="16020737" w:rsidR="001D5C03" w:rsidRDefault="001D5C03" w:rsidP="001D5C03">
            <w:pPr>
              <w:jc w:val="center"/>
              <w:rPr>
                <w:lang w:val="en-GB"/>
              </w:rPr>
            </w:pPr>
            <w:r>
              <w:rPr>
                <w:lang w:val="en-GB"/>
              </w:rPr>
              <w:t>“Riz de mer”.</w:t>
            </w:r>
          </w:p>
        </w:tc>
      </w:tr>
    </w:tbl>
    <w:p w14:paraId="45ABAB5E" w14:textId="77777777" w:rsidR="001D5C03" w:rsidRPr="00A75386" w:rsidRDefault="001D5C03" w:rsidP="0015583F">
      <w:pPr>
        <w:spacing w:after="0" w:line="240" w:lineRule="auto"/>
        <w:rPr>
          <w:lang w:val="en-GB"/>
        </w:rPr>
      </w:pPr>
    </w:p>
    <w:p w14:paraId="496EC3EE" w14:textId="1CBDD571" w:rsidR="00586B8C" w:rsidRDefault="00AF43B7" w:rsidP="00AF43B7">
      <w:pPr>
        <w:pStyle w:val="Titre1"/>
      </w:pPr>
      <w:bookmarkStart w:id="155" w:name="_Toc139181446"/>
      <w:r>
        <w:t>Plantes herbacées</w:t>
      </w:r>
      <w:r w:rsidR="001067B7">
        <w:t xml:space="preserve"> alimentaires</w:t>
      </w:r>
      <w:r>
        <w:t xml:space="preserve"> pouvant supporter une certaine dose de sel</w:t>
      </w:r>
      <w:bookmarkEnd w:id="155"/>
    </w:p>
    <w:p w14:paraId="7564E9AA" w14:textId="77777777" w:rsidR="00E35AF5" w:rsidRDefault="00E35AF5" w:rsidP="00AF43B7">
      <w:pPr>
        <w:spacing w:after="0" w:line="240" w:lineRule="auto"/>
      </w:pPr>
    </w:p>
    <w:p w14:paraId="67619579" w14:textId="2A382027" w:rsidR="00AF43B7" w:rsidRDefault="00E35AF5" w:rsidP="00D87D3F">
      <w:pPr>
        <w:pStyle w:val="Titre2"/>
      </w:pPr>
      <w:bookmarkStart w:id="156" w:name="_Toc139181447"/>
      <w:r w:rsidRPr="00E35AF5">
        <w:t>Asperge (</w:t>
      </w:r>
      <w:r w:rsidRPr="00D87D3F">
        <w:rPr>
          <w:i/>
          <w:iCs/>
        </w:rPr>
        <w:t>Asparagus officinalis</w:t>
      </w:r>
      <w:r w:rsidRPr="00E35AF5">
        <w:t>)</w:t>
      </w:r>
      <w:bookmarkEnd w:id="156"/>
    </w:p>
    <w:p w14:paraId="463651A2" w14:textId="3B6524F4" w:rsidR="00E35AF5" w:rsidRDefault="00E35AF5" w:rsidP="00AF43B7">
      <w:pPr>
        <w:spacing w:after="0" w:line="240" w:lineRule="auto"/>
      </w:pPr>
    </w:p>
    <w:p w14:paraId="131D646D" w14:textId="77777777" w:rsidR="00E35AF5" w:rsidRPr="00E35AF5" w:rsidRDefault="00000000" w:rsidP="00E35AF5">
      <w:pPr>
        <w:spacing w:after="0" w:line="240" w:lineRule="auto"/>
        <w:jc w:val="both"/>
      </w:pPr>
      <w:hyperlink r:id="rId1451" w:history="1">
        <w:r w:rsidR="00E35AF5" w:rsidRPr="00E35AF5">
          <w:rPr>
            <w:rStyle w:val="Lienhypertexte"/>
          </w:rPr>
          <w:t>Plante</w:t>
        </w:r>
      </w:hyperlink>
      <w:r w:rsidR="00E35AF5" w:rsidRPr="00E35AF5">
        <w:t> vivace aux nombreuses racines charnues rayonnant en étoile, au feuillage fin et ramifié, originaire de régions tempérées de l'</w:t>
      </w:r>
      <w:hyperlink r:id="rId1452" w:history="1">
        <w:r w:rsidR="00E35AF5" w:rsidRPr="00E35AF5">
          <w:rPr>
            <w:rStyle w:val="Lienhypertexte"/>
          </w:rPr>
          <w:t>Eurasie</w:t>
        </w:r>
      </w:hyperlink>
      <w:r w:rsidR="00E35AF5" w:rsidRPr="00E35AF5">
        <w:t>, Europe centrale, méridionale, Afrique du Nord, Asie centrale et occidentale (famille des </w:t>
      </w:r>
      <w:hyperlink r:id="rId1453" w:history="1">
        <w:r w:rsidR="00E35AF5" w:rsidRPr="00E35AF5">
          <w:rPr>
            <w:rStyle w:val="Lienhypertexte"/>
            <w:i/>
            <w:iCs/>
          </w:rPr>
          <w:t>Asparagaceae</w:t>
        </w:r>
      </w:hyperlink>
      <w:r w:rsidR="00E35AF5" w:rsidRPr="00E35AF5">
        <w:t xml:space="preserve">).  </w:t>
      </w:r>
    </w:p>
    <w:p w14:paraId="69A2719A" w14:textId="77777777" w:rsidR="00E35AF5" w:rsidRPr="00E35AF5" w:rsidRDefault="00E35AF5" w:rsidP="00E35AF5">
      <w:pPr>
        <w:spacing w:after="0" w:line="240" w:lineRule="auto"/>
        <w:jc w:val="both"/>
      </w:pPr>
      <w:r w:rsidRPr="00E35AF5">
        <w:t>Son nom désigne aussi ses pousses comestibles, qui proviennent de </w:t>
      </w:r>
      <w:hyperlink r:id="rId1454" w:history="1">
        <w:r w:rsidRPr="00E35AF5">
          <w:rPr>
            <w:rStyle w:val="Lienhypertexte"/>
          </w:rPr>
          <w:t>rhizomes</w:t>
        </w:r>
      </w:hyperlink>
      <w:r w:rsidRPr="00E35AF5">
        <w:t> d'où partent chaque année les bourgeons souterrains ou </w:t>
      </w:r>
      <w:hyperlink r:id="rId1455" w:history="1">
        <w:r w:rsidRPr="00E35AF5">
          <w:rPr>
            <w:rStyle w:val="Lienhypertexte"/>
          </w:rPr>
          <w:t>turions</w:t>
        </w:r>
      </w:hyperlink>
      <w:r w:rsidRPr="00E35AF5">
        <w:t xml:space="preserve"> qui donnent naissance à des tiges s'élevant entre 1 et 1,5 mètre. </w:t>
      </w:r>
    </w:p>
    <w:p w14:paraId="17ED1024" w14:textId="77777777" w:rsidR="00E35AF5" w:rsidRPr="00E35AF5" w:rsidRDefault="00E35AF5" w:rsidP="00E35AF5">
      <w:pPr>
        <w:spacing w:after="0" w:line="240" w:lineRule="auto"/>
        <w:jc w:val="both"/>
      </w:pPr>
      <w:r w:rsidRPr="00E35AF5">
        <w:rPr>
          <w:u w:val="single"/>
        </w:rPr>
        <w:t>Habitats</w:t>
      </w:r>
      <w:r w:rsidRPr="00E35AF5">
        <w:t xml:space="preserve"> : Lieux sablonneux, incultes. Elle pousse dans les terrains sablonneux à l'état sauvage. Souvent subspontanée.</w:t>
      </w:r>
    </w:p>
    <w:p w14:paraId="7C90FDD5" w14:textId="7AFEC10C" w:rsidR="00E35AF5" w:rsidRPr="00E35AF5" w:rsidRDefault="00E35AF5" w:rsidP="00E35AF5">
      <w:pPr>
        <w:spacing w:after="0" w:line="240" w:lineRule="auto"/>
        <w:jc w:val="both"/>
      </w:pPr>
      <w:r w:rsidRPr="00E35AF5">
        <w:t>À l'état sauvage, douze espèces en Europe : </w:t>
      </w:r>
      <w:r w:rsidRPr="00E35AF5">
        <w:rPr>
          <w:i/>
          <w:iCs/>
        </w:rPr>
        <w:t>Asparagus officinalis, </w:t>
      </w:r>
      <w:hyperlink r:id="rId1456" w:history="1">
        <w:r w:rsidRPr="00E35AF5">
          <w:rPr>
            <w:rStyle w:val="Lienhypertexte"/>
            <w:i/>
            <w:iCs/>
          </w:rPr>
          <w:t xml:space="preserve">Asparagus </w:t>
        </w:r>
      </w:hyperlink>
      <w:hyperlink r:id="rId1457" w:history="1">
        <w:r w:rsidRPr="00E35AF5">
          <w:rPr>
            <w:rStyle w:val="Lienhypertexte"/>
            <w:i/>
            <w:iCs/>
          </w:rPr>
          <w:t>acutifolius</w:t>
        </w:r>
      </w:hyperlink>
      <w:r w:rsidRPr="00E35AF5">
        <w:t> très commune dans le midi, </w:t>
      </w:r>
      <w:hyperlink r:id="rId1458" w:history="1">
        <w:r w:rsidRPr="00E35AF5">
          <w:rPr>
            <w:rStyle w:val="Lienhypertexte"/>
            <w:i/>
            <w:iCs/>
          </w:rPr>
          <w:t xml:space="preserve">Asparagus </w:t>
        </w:r>
      </w:hyperlink>
      <w:hyperlink r:id="rId1459" w:history="1">
        <w:r w:rsidRPr="00E35AF5">
          <w:rPr>
            <w:rStyle w:val="Lienhypertexte"/>
            <w:i/>
            <w:iCs/>
          </w:rPr>
          <w:t>maritimus</w:t>
        </w:r>
      </w:hyperlink>
      <w:r w:rsidRPr="00E35AF5">
        <w:t>, </w:t>
      </w:r>
      <w:hyperlink r:id="rId1460" w:history="1">
        <w:r w:rsidRPr="00E35AF5">
          <w:rPr>
            <w:rStyle w:val="Lienhypertexte"/>
            <w:i/>
            <w:iCs/>
          </w:rPr>
          <w:t xml:space="preserve">Asparagus </w:t>
        </w:r>
      </w:hyperlink>
      <w:hyperlink r:id="rId1461" w:history="1">
        <w:r w:rsidRPr="00E35AF5">
          <w:rPr>
            <w:rStyle w:val="Lienhypertexte"/>
            <w:i/>
            <w:iCs/>
          </w:rPr>
          <w:t>albus</w:t>
        </w:r>
      </w:hyperlink>
      <w:r w:rsidRPr="00E35AF5">
        <w:t> et </w:t>
      </w:r>
      <w:hyperlink r:id="rId1462" w:history="1">
        <w:r w:rsidRPr="00E35AF5">
          <w:rPr>
            <w:rStyle w:val="Lienhypertexte"/>
            <w:i/>
            <w:iCs/>
          </w:rPr>
          <w:t xml:space="preserve">Asparagus </w:t>
        </w:r>
      </w:hyperlink>
      <w:hyperlink r:id="rId1463" w:history="1">
        <w:r w:rsidRPr="00E35AF5">
          <w:rPr>
            <w:rStyle w:val="Lienhypertexte"/>
            <w:i/>
            <w:iCs/>
          </w:rPr>
          <w:t>tenuifolius</w:t>
        </w:r>
      </w:hyperlink>
      <w:r w:rsidRPr="00E35AF5">
        <w:t xml:space="preserve">. </w:t>
      </w:r>
      <w:r w:rsidRPr="00E35AF5">
        <w:rPr>
          <w:i/>
          <w:iCs/>
        </w:rPr>
        <w:t>Toutes sont comestibles</w:t>
      </w:r>
      <w:r w:rsidRPr="00E35AF5">
        <w:t xml:space="preserve"> mais l'asperge maritime</w:t>
      </w:r>
      <w:r w:rsidR="005C15CE">
        <w:t xml:space="preserve"> </w:t>
      </w:r>
      <w:r w:rsidR="005C15CE" w:rsidRPr="005C15CE">
        <w:t>(</w:t>
      </w:r>
      <w:r w:rsidR="005C15CE" w:rsidRPr="005C15CE">
        <w:rPr>
          <w:i/>
          <w:iCs/>
        </w:rPr>
        <w:t>Asparagus maritimus</w:t>
      </w:r>
      <w:r w:rsidR="005C15CE" w:rsidRPr="005C15CE">
        <w:t>)</w:t>
      </w:r>
      <w:r w:rsidRPr="00E35AF5">
        <w:t xml:space="preserve"> est très amère.</w:t>
      </w:r>
    </w:p>
    <w:p w14:paraId="6166BC87" w14:textId="77777777" w:rsidR="00E35AF5" w:rsidRPr="00E35AF5" w:rsidRDefault="00E35AF5" w:rsidP="00E35AF5">
      <w:pPr>
        <w:spacing w:after="0" w:line="240" w:lineRule="auto"/>
        <w:jc w:val="both"/>
      </w:pPr>
      <w:r w:rsidRPr="00E35AF5">
        <w:t>Sa durée est de l'ordre de 8 à 10 ans, du point de vue économique, sa culture est rentable. </w:t>
      </w:r>
    </w:p>
    <w:p w14:paraId="3D5B7377" w14:textId="77777777" w:rsidR="00E35AF5" w:rsidRPr="00E35AF5" w:rsidRDefault="00E35AF5" w:rsidP="00E35AF5">
      <w:pPr>
        <w:spacing w:after="0" w:line="240" w:lineRule="auto"/>
        <w:jc w:val="both"/>
      </w:pPr>
      <w:r w:rsidRPr="00E35AF5">
        <w:t>L'asperge est souvent originaire des habitats maritimes</w:t>
      </w:r>
      <w:r w:rsidRPr="00E35AF5">
        <w:rPr>
          <w:b/>
          <w:bCs/>
        </w:rPr>
        <w:t xml:space="preserve">, </w:t>
      </w:r>
      <w:r w:rsidRPr="00E35AF5">
        <w:rPr>
          <w:i/>
          <w:iCs/>
        </w:rPr>
        <w:t>il prospère dans des sols souvent trop salés</w:t>
      </w:r>
      <w:r w:rsidRPr="00E35AF5">
        <w:rPr>
          <w:b/>
          <w:bCs/>
        </w:rPr>
        <w:t xml:space="preserve"> </w:t>
      </w:r>
      <w:r w:rsidRPr="00E35AF5">
        <w:t>pour les autres plantes.</w:t>
      </w:r>
    </w:p>
    <w:p w14:paraId="78696FB3" w14:textId="77777777" w:rsidR="00E35AF5" w:rsidRPr="00E35AF5" w:rsidRDefault="00E35AF5" w:rsidP="00E35AF5">
      <w:pPr>
        <w:spacing w:after="0" w:line="240" w:lineRule="auto"/>
        <w:jc w:val="both"/>
      </w:pPr>
      <w:r w:rsidRPr="00E35AF5">
        <w:t xml:space="preserve">Sources : a) </w:t>
      </w:r>
      <w:hyperlink r:id="rId1464" w:history="1">
        <w:r w:rsidRPr="00E35AF5">
          <w:rPr>
            <w:rStyle w:val="Lienhypertexte"/>
          </w:rPr>
          <w:t>http://fr.wikipedia.org/wiki/Asperge</w:t>
        </w:r>
      </w:hyperlink>
      <w:r w:rsidRPr="00E35AF5">
        <w:t xml:space="preserve">, b) </w:t>
      </w:r>
      <w:hyperlink r:id="rId1465" w:history="1">
        <w:r w:rsidRPr="00E35AF5">
          <w:rPr>
            <w:rStyle w:val="Lienhypertexte"/>
          </w:rPr>
          <w:t>http://es.wikipedia.org/wiki/Asparagus_officinalis</w:t>
        </w:r>
      </w:hyperlink>
      <w:r w:rsidRPr="00E35AF5">
        <w:t xml:space="preserve">, </w:t>
      </w:r>
    </w:p>
    <w:p w14:paraId="7FEF0D33" w14:textId="77777777" w:rsidR="00E35AF5" w:rsidRPr="00E35AF5" w:rsidRDefault="00E35AF5" w:rsidP="00E35AF5">
      <w:pPr>
        <w:spacing w:after="0" w:line="240" w:lineRule="auto"/>
        <w:jc w:val="both"/>
      </w:pPr>
      <w:r w:rsidRPr="00E35AF5">
        <w:t xml:space="preserve">c) </w:t>
      </w:r>
      <w:hyperlink r:id="rId1466" w:history="1">
        <w:r w:rsidRPr="00E35AF5">
          <w:rPr>
            <w:rStyle w:val="Lienhypertexte"/>
          </w:rPr>
          <w:t>http://en.wikipedia.org/wiki/Asparagus</w:t>
        </w:r>
      </w:hyperlink>
      <w:r w:rsidRPr="00E35AF5">
        <w:t xml:space="preserve"> </w:t>
      </w:r>
    </w:p>
    <w:p w14:paraId="32478AC5" w14:textId="6B070B77" w:rsidR="00E35AF5" w:rsidRDefault="00E35AF5" w:rsidP="00E35AF5">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E35AF5" w14:paraId="22F34769" w14:textId="77777777" w:rsidTr="006F05B7">
        <w:tc>
          <w:tcPr>
            <w:tcW w:w="3472" w:type="dxa"/>
          </w:tcPr>
          <w:p w14:paraId="091C9B12" w14:textId="44517FF4" w:rsidR="00E35AF5" w:rsidRDefault="00AD078B" w:rsidP="00E35AF5">
            <w:pPr>
              <w:jc w:val="center"/>
            </w:pPr>
            <w:r w:rsidRPr="00AD078B">
              <w:rPr>
                <w:noProof/>
              </w:rPr>
              <w:drawing>
                <wp:inline distT="0" distB="0" distL="0" distR="0" wp14:anchorId="05A67ECC" wp14:editId="5F5B12B4">
                  <wp:extent cx="2016125" cy="1509713"/>
                  <wp:effectExtent l="0" t="0" r="3175" b="0"/>
                  <wp:docPr id="74764" name="Picture 11" descr="C:\Users\LISAN\Pictures\plantes-halophytes-xerophiles\asparagus officinali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64" name="Picture 11" descr="C:\Users\LISAN\Pictures\plantes-halophytes-xerophiles\asparagus officinalis2.jpg"/>
                          <pic:cNvPicPr>
                            <a:picLocks noChangeAspect="1" noChangeArrowheads="1"/>
                          </pic:cNvPicPr>
                        </pic:nvPicPr>
                        <pic:blipFill>
                          <a:blip r:embed="rId1467">
                            <a:extLst>
                              <a:ext uri="{28A0092B-C50C-407E-A947-70E740481C1C}">
                                <a14:useLocalDpi xmlns:a14="http://schemas.microsoft.com/office/drawing/2010/main" val="0"/>
                              </a:ext>
                            </a:extLst>
                          </a:blip>
                          <a:srcRect/>
                          <a:stretch>
                            <a:fillRect/>
                          </a:stretch>
                        </pic:blipFill>
                        <pic:spPr bwMode="auto">
                          <a:xfrm>
                            <a:off x="0" y="0"/>
                            <a:ext cx="2016125" cy="15097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0BD6A19B" w14:textId="77777777" w:rsidR="00E35AF5" w:rsidRDefault="00AD078B" w:rsidP="00E35AF5">
            <w:pPr>
              <w:jc w:val="center"/>
            </w:pPr>
            <w:r w:rsidRPr="00AD078B">
              <w:rPr>
                <w:noProof/>
              </w:rPr>
              <w:drawing>
                <wp:inline distT="0" distB="0" distL="0" distR="0" wp14:anchorId="4CCC48E2" wp14:editId="5414D440">
                  <wp:extent cx="1857375" cy="1393825"/>
                  <wp:effectExtent l="0" t="0" r="9525" b="0"/>
                  <wp:docPr id="74765" name="Picture 12" descr="C:\Users\LISAN\Pictures\plantes-halophytes-xerophiles\Asparagus_officinalis_fleu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65" name="Picture 12" descr="C:\Users\LISAN\Pictures\plantes-halophytes-xerophiles\Asparagus_officinalis_fleurs.JPG"/>
                          <pic:cNvPicPr>
                            <a:picLocks noChangeAspect="1" noChangeArrowheads="1"/>
                          </pic:cNvPicPr>
                        </pic:nvPicPr>
                        <pic:blipFill>
                          <a:blip r:embed="rId1468">
                            <a:extLst>
                              <a:ext uri="{28A0092B-C50C-407E-A947-70E740481C1C}">
                                <a14:useLocalDpi xmlns:a14="http://schemas.microsoft.com/office/drawing/2010/main" val="0"/>
                              </a:ext>
                            </a:extLst>
                          </a:blip>
                          <a:srcRect/>
                          <a:stretch>
                            <a:fillRect/>
                          </a:stretch>
                        </pic:blipFill>
                        <pic:spPr bwMode="auto">
                          <a:xfrm>
                            <a:off x="0" y="0"/>
                            <a:ext cx="1857375" cy="1393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975B77D" w14:textId="75F31378" w:rsidR="005C15CE" w:rsidRDefault="005C15CE" w:rsidP="00E35AF5">
            <w:pPr>
              <w:jc w:val="center"/>
            </w:pPr>
            <w:r>
              <w:t xml:space="preserve">Fleurs de </w:t>
            </w:r>
            <w:r w:rsidRPr="00E35AF5">
              <w:rPr>
                <w:i/>
                <w:iCs/>
              </w:rPr>
              <w:t>Asparagus officinalis</w:t>
            </w:r>
          </w:p>
        </w:tc>
        <w:tc>
          <w:tcPr>
            <w:tcW w:w="3472" w:type="dxa"/>
          </w:tcPr>
          <w:p w14:paraId="4DF6CD9D" w14:textId="77777777" w:rsidR="00E35AF5" w:rsidRDefault="00AD078B" w:rsidP="00E35AF5">
            <w:pPr>
              <w:jc w:val="center"/>
            </w:pPr>
            <w:r w:rsidRPr="00AD078B">
              <w:rPr>
                <w:noProof/>
              </w:rPr>
              <w:drawing>
                <wp:inline distT="0" distB="0" distL="0" distR="0" wp14:anchorId="4260E834" wp14:editId="1AB8EFE1">
                  <wp:extent cx="1871662" cy="1404937"/>
                  <wp:effectExtent l="0" t="0" r="0" b="5080"/>
                  <wp:docPr id="74763" name="Picture 10" descr="C:\Users\LISAN\Pictures\plantes-halophytes-xerophiles\Asparagus officinalis_frui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63" name="Picture 10" descr="C:\Users\LISAN\Pictures\plantes-halophytes-xerophiles\Asparagus officinalis_fruits.jpg"/>
                          <pic:cNvPicPr>
                            <a:picLocks noChangeAspect="1" noChangeArrowheads="1"/>
                          </pic:cNvPicPr>
                        </pic:nvPicPr>
                        <pic:blipFill>
                          <a:blip r:embed="rId1469">
                            <a:extLst>
                              <a:ext uri="{28A0092B-C50C-407E-A947-70E740481C1C}">
                                <a14:useLocalDpi xmlns:a14="http://schemas.microsoft.com/office/drawing/2010/main" val="0"/>
                              </a:ext>
                            </a:extLst>
                          </a:blip>
                          <a:srcRect/>
                          <a:stretch>
                            <a:fillRect/>
                          </a:stretch>
                        </pic:blipFill>
                        <pic:spPr bwMode="auto">
                          <a:xfrm>
                            <a:off x="0" y="0"/>
                            <a:ext cx="1871662" cy="14049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40D07DC" w14:textId="5127108C" w:rsidR="005C15CE" w:rsidRDefault="005C15CE" w:rsidP="00E35AF5">
            <w:pPr>
              <w:jc w:val="center"/>
            </w:pPr>
            <w:r>
              <w:t xml:space="preserve">Fruits de </w:t>
            </w:r>
            <w:r w:rsidRPr="00E35AF5">
              <w:rPr>
                <w:i/>
                <w:iCs/>
              </w:rPr>
              <w:t>Asparagus officinalis</w:t>
            </w:r>
          </w:p>
        </w:tc>
      </w:tr>
      <w:tr w:rsidR="00E35AF5" w14:paraId="7425BABB" w14:textId="77777777" w:rsidTr="006F05B7">
        <w:tc>
          <w:tcPr>
            <w:tcW w:w="3472" w:type="dxa"/>
          </w:tcPr>
          <w:p w14:paraId="7DAF72CE" w14:textId="77777777" w:rsidR="00E35AF5" w:rsidRDefault="00AD078B" w:rsidP="00E35AF5">
            <w:pPr>
              <w:jc w:val="center"/>
            </w:pPr>
            <w:r w:rsidRPr="00AD078B">
              <w:rPr>
                <w:noProof/>
              </w:rPr>
              <w:lastRenderedPageBreak/>
              <w:drawing>
                <wp:inline distT="0" distB="0" distL="0" distR="0" wp14:anchorId="254E7377" wp14:editId="4DB05D91">
                  <wp:extent cx="1663700" cy="1700212"/>
                  <wp:effectExtent l="0" t="0" r="0" b="0"/>
                  <wp:docPr id="74762" name="Picture 9" descr="C:\Users\LISAN\Pictures\plantes-halophytes-xerophiles\Asparagus officinalis_bot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62" name="Picture 9" descr="C:\Users\LISAN\Pictures\plantes-halophytes-xerophiles\Asparagus officinalis_bottes.jpg"/>
                          <pic:cNvPicPr>
                            <a:picLocks noChangeAspect="1" noChangeArrowheads="1"/>
                          </pic:cNvPicPr>
                        </pic:nvPicPr>
                        <pic:blipFill>
                          <a:blip r:embed="rId1470">
                            <a:extLst>
                              <a:ext uri="{28A0092B-C50C-407E-A947-70E740481C1C}">
                                <a14:useLocalDpi xmlns:a14="http://schemas.microsoft.com/office/drawing/2010/main" val="0"/>
                              </a:ext>
                            </a:extLst>
                          </a:blip>
                          <a:srcRect/>
                          <a:stretch>
                            <a:fillRect/>
                          </a:stretch>
                        </pic:blipFill>
                        <pic:spPr bwMode="auto">
                          <a:xfrm>
                            <a:off x="0" y="0"/>
                            <a:ext cx="1663700" cy="17002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6A073B5E" w14:textId="5AD7B82D" w:rsidR="005C15CE" w:rsidRDefault="005C15CE" w:rsidP="00E35AF5">
            <w:pPr>
              <w:jc w:val="center"/>
            </w:pPr>
            <w:r>
              <w:t>Conditionnement commercial.</w:t>
            </w:r>
          </w:p>
        </w:tc>
        <w:tc>
          <w:tcPr>
            <w:tcW w:w="3472" w:type="dxa"/>
          </w:tcPr>
          <w:p w14:paraId="68401DF4" w14:textId="47E64AE2" w:rsidR="00E35AF5" w:rsidRDefault="006F05B7" w:rsidP="00E35AF5">
            <w:pPr>
              <w:jc w:val="center"/>
            </w:pPr>
            <w:r>
              <w:rPr>
                <w:noProof/>
              </w:rPr>
              <w:drawing>
                <wp:inline distT="0" distB="0" distL="0" distR="0" wp14:anchorId="6439D349" wp14:editId="45BCA534">
                  <wp:extent cx="2021902" cy="1514475"/>
                  <wp:effectExtent l="0" t="0" r="0" b="0"/>
                  <wp:docPr id="195586" name="Image 195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71">
                            <a:extLst>
                              <a:ext uri="{28A0092B-C50C-407E-A947-70E740481C1C}">
                                <a14:useLocalDpi xmlns:a14="http://schemas.microsoft.com/office/drawing/2010/main" val="0"/>
                              </a:ext>
                            </a:extLst>
                          </a:blip>
                          <a:srcRect/>
                          <a:stretch>
                            <a:fillRect/>
                          </a:stretch>
                        </pic:blipFill>
                        <pic:spPr bwMode="auto">
                          <a:xfrm>
                            <a:off x="0" y="0"/>
                            <a:ext cx="2024663" cy="1516543"/>
                          </a:xfrm>
                          <a:prstGeom prst="rect">
                            <a:avLst/>
                          </a:prstGeom>
                          <a:noFill/>
                          <a:ln>
                            <a:noFill/>
                          </a:ln>
                        </pic:spPr>
                      </pic:pic>
                    </a:graphicData>
                  </a:graphic>
                </wp:inline>
              </w:drawing>
            </w:r>
          </w:p>
          <w:p w14:paraId="327D7624" w14:textId="08A08219" w:rsidR="005C15CE" w:rsidRDefault="005C15CE" w:rsidP="00E35AF5">
            <w:pPr>
              <w:jc w:val="center"/>
            </w:pPr>
            <w:r>
              <w:t>Asperge sauvage (</w:t>
            </w:r>
            <w:hyperlink r:id="rId1472" w:history="1">
              <w:r w:rsidRPr="00E35AF5">
                <w:rPr>
                  <w:rStyle w:val="Lienhypertexte"/>
                  <w:i/>
                  <w:iCs/>
                </w:rPr>
                <w:t xml:space="preserve">Asparagus </w:t>
              </w:r>
            </w:hyperlink>
            <w:hyperlink r:id="rId1473" w:history="1">
              <w:r w:rsidRPr="00E35AF5">
                <w:rPr>
                  <w:rStyle w:val="Lienhypertexte"/>
                  <w:i/>
                  <w:iCs/>
                </w:rPr>
                <w:t>acutifolius</w:t>
              </w:r>
            </w:hyperlink>
            <w:r>
              <w:t>)</w:t>
            </w:r>
            <w:r w:rsidRPr="00E35AF5">
              <w:t> </w:t>
            </w:r>
          </w:p>
        </w:tc>
        <w:tc>
          <w:tcPr>
            <w:tcW w:w="3472" w:type="dxa"/>
          </w:tcPr>
          <w:p w14:paraId="162CAAA0" w14:textId="3F033B01" w:rsidR="006F05B7" w:rsidRDefault="006F05B7" w:rsidP="00E35AF5">
            <w:pPr>
              <w:jc w:val="center"/>
            </w:pPr>
            <w:r>
              <w:rPr>
                <w:noProof/>
              </w:rPr>
              <w:drawing>
                <wp:inline distT="0" distB="0" distL="0" distR="0" wp14:anchorId="6D47BCED" wp14:editId="49FC50EA">
                  <wp:extent cx="1990045" cy="1114425"/>
                  <wp:effectExtent l="0" t="0" r="0" b="0"/>
                  <wp:docPr id="195587" name="Image 195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74">
                            <a:extLst>
                              <a:ext uri="{28A0092B-C50C-407E-A947-70E740481C1C}">
                                <a14:useLocalDpi xmlns:a14="http://schemas.microsoft.com/office/drawing/2010/main" val="0"/>
                              </a:ext>
                            </a:extLst>
                          </a:blip>
                          <a:srcRect/>
                          <a:stretch>
                            <a:fillRect/>
                          </a:stretch>
                        </pic:blipFill>
                        <pic:spPr bwMode="auto">
                          <a:xfrm>
                            <a:off x="0" y="0"/>
                            <a:ext cx="1994683" cy="1117022"/>
                          </a:xfrm>
                          <a:prstGeom prst="rect">
                            <a:avLst/>
                          </a:prstGeom>
                          <a:noFill/>
                          <a:ln>
                            <a:noFill/>
                          </a:ln>
                        </pic:spPr>
                      </pic:pic>
                    </a:graphicData>
                  </a:graphic>
                </wp:inline>
              </w:drawing>
            </w:r>
          </w:p>
          <w:p w14:paraId="122A19A0" w14:textId="37B78316" w:rsidR="00E35AF5" w:rsidRDefault="006F05B7" w:rsidP="00E35AF5">
            <w:pPr>
              <w:jc w:val="center"/>
            </w:pPr>
            <w:r>
              <w:t>Asperge sauvage en fleur (</w:t>
            </w:r>
            <w:hyperlink r:id="rId1475" w:history="1">
              <w:r w:rsidRPr="00E35AF5">
                <w:rPr>
                  <w:rStyle w:val="Lienhypertexte"/>
                  <w:i/>
                  <w:iCs/>
                </w:rPr>
                <w:t xml:space="preserve">Asparagus </w:t>
              </w:r>
            </w:hyperlink>
            <w:hyperlink r:id="rId1476" w:history="1">
              <w:r w:rsidRPr="00E35AF5">
                <w:rPr>
                  <w:rStyle w:val="Lienhypertexte"/>
                  <w:i/>
                  <w:iCs/>
                </w:rPr>
                <w:t>acutifolius</w:t>
              </w:r>
            </w:hyperlink>
            <w:r>
              <w:t>)</w:t>
            </w:r>
            <w:r w:rsidRPr="00E35AF5">
              <w:t> </w:t>
            </w:r>
          </w:p>
        </w:tc>
      </w:tr>
    </w:tbl>
    <w:p w14:paraId="084FCA19" w14:textId="5B87FF55" w:rsidR="00E35AF5" w:rsidRDefault="00E35AF5" w:rsidP="00E35AF5">
      <w:pPr>
        <w:spacing w:after="0" w:line="240" w:lineRule="auto"/>
        <w:jc w:val="cente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AD078B" w14:paraId="0EBD0060" w14:textId="77777777" w:rsidTr="006F05B7">
        <w:tc>
          <w:tcPr>
            <w:tcW w:w="5208" w:type="dxa"/>
          </w:tcPr>
          <w:p w14:paraId="4B1227A8" w14:textId="296E77FB" w:rsidR="00AD078B" w:rsidRDefault="00AD078B" w:rsidP="00E35AF5">
            <w:pPr>
              <w:jc w:val="center"/>
            </w:pPr>
            <w:r w:rsidRPr="00AD078B">
              <w:rPr>
                <w:noProof/>
              </w:rPr>
              <w:drawing>
                <wp:inline distT="0" distB="0" distL="0" distR="0" wp14:anchorId="0DFD9EC5" wp14:editId="365DC1E8">
                  <wp:extent cx="2524125" cy="3368906"/>
                  <wp:effectExtent l="0" t="0" r="0" b="3175"/>
                  <wp:docPr id="74761" name="Picture 8" descr="C:\Users\LISAN\Pictures\plantes-halophytes-xerophiles\asparagus officina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61" name="Picture 8" descr="C:\Users\LISAN\Pictures\plantes-halophytes-xerophiles\asparagus officinalis.jpg"/>
                          <pic:cNvPicPr>
                            <a:picLocks noChangeAspect="1" noChangeArrowheads="1"/>
                          </pic:cNvPicPr>
                        </pic:nvPicPr>
                        <pic:blipFill>
                          <a:blip r:embed="rId1477">
                            <a:extLst>
                              <a:ext uri="{28A0092B-C50C-407E-A947-70E740481C1C}">
                                <a14:useLocalDpi xmlns:a14="http://schemas.microsoft.com/office/drawing/2010/main" val="0"/>
                              </a:ext>
                            </a:extLst>
                          </a:blip>
                          <a:srcRect/>
                          <a:stretch>
                            <a:fillRect/>
                          </a:stretch>
                        </pic:blipFill>
                        <pic:spPr bwMode="auto">
                          <a:xfrm>
                            <a:off x="0" y="0"/>
                            <a:ext cx="2525795" cy="3371135"/>
                          </a:xfrm>
                          <a:prstGeom prst="rect">
                            <a:avLst/>
                          </a:prstGeom>
                          <a:noFill/>
                          <a:ln>
                            <a:noFill/>
                          </a:ln>
                        </pic:spPr>
                      </pic:pic>
                    </a:graphicData>
                  </a:graphic>
                </wp:inline>
              </w:drawing>
            </w:r>
          </w:p>
        </w:tc>
        <w:tc>
          <w:tcPr>
            <w:tcW w:w="5208" w:type="dxa"/>
          </w:tcPr>
          <w:p w14:paraId="12883745" w14:textId="5CA6C430" w:rsidR="00AD078B" w:rsidRDefault="00AD078B" w:rsidP="00E35AF5">
            <w:pPr>
              <w:jc w:val="center"/>
            </w:pPr>
            <w:r w:rsidRPr="00AD078B">
              <w:rPr>
                <w:noProof/>
              </w:rPr>
              <w:drawing>
                <wp:inline distT="0" distB="0" distL="0" distR="0" wp14:anchorId="04C16019" wp14:editId="09905FD3">
                  <wp:extent cx="2108200" cy="3357562"/>
                  <wp:effectExtent l="0" t="0" r="6350" b="0"/>
                  <wp:docPr id="74760" name="Picture 7" descr="C:\Users\LISAN\Pictures\plantes-halophytes-xerophiles\Asparagus_officinalis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60" name="Picture 7" descr="C:\Users\LISAN\Pictures\plantes-halophytes-xerophiles\Asparagus_officinalis0b.jpg"/>
                          <pic:cNvPicPr>
                            <a:picLocks noChangeAspect="1" noChangeArrowheads="1"/>
                          </pic:cNvPicPr>
                        </pic:nvPicPr>
                        <pic:blipFill>
                          <a:blip r:embed="rId1478">
                            <a:extLst>
                              <a:ext uri="{28A0092B-C50C-407E-A947-70E740481C1C}">
                                <a14:useLocalDpi xmlns:a14="http://schemas.microsoft.com/office/drawing/2010/main" val="0"/>
                              </a:ext>
                            </a:extLst>
                          </a:blip>
                          <a:srcRect/>
                          <a:stretch>
                            <a:fillRect/>
                          </a:stretch>
                        </pic:blipFill>
                        <pic:spPr bwMode="auto">
                          <a:xfrm>
                            <a:off x="0" y="0"/>
                            <a:ext cx="2108200" cy="33575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18248F9A" w14:textId="703668AE" w:rsidR="00F4727F" w:rsidRDefault="00F4727F" w:rsidP="00F4727F">
      <w:pPr>
        <w:spacing w:after="0" w:line="240" w:lineRule="auto"/>
        <w:jc w:val="center"/>
      </w:pPr>
      <w:r w:rsidRPr="00F4727F">
        <w:rPr>
          <w:noProof/>
        </w:rPr>
        <w:drawing>
          <wp:inline distT="0" distB="0" distL="0" distR="0" wp14:anchorId="49E93FD1" wp14:editId="14421164">
            <wp:extent cx="2619375" cy="1743075"/>
            <wp:effectExtent l="0" t="0" r="9525" b="9525"/>
            <wp:docPr id="99340"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4"/>
                    <pic:cNvPicPr>
                      <a:picLocks noChangeAspect="1"/>
                    </pic:cNvPicPr>
                  </pic:nvPicPr>
                  <pic:blipFill>
                    <a:blip r:embed="rId1479">
                      <a:extLst>
                        <a:ext uri="{28A0092B-C50C-407E-A947-70E740481C1C}">
                          <a14:useLocalDpi xmlns:a14="http://schemas.microsoft.com/office/drawing/2010/main" val="0"/>
                        </a:ext>
                      </a:extLst>
                    </a:blip>
                    <a:stretch>
                      <a:fillRect/>
                    </a:stretch>
                  </pic:blipFill>
                  <pic:spPr>
                    <a:xfrm>
                      <a:off x="0" y="0"/>
                      <a:ext cx="2619375" cy="1743075"/>
                    </a:xfrm>
                    <a:prstGeom prst="rect">
                      <a:avLst/>
                    </a:prstGeom>
                  </pic:spPr>
                </pic:pic>
              </a:graphicData>
            </a:graphic>
          </wp:inline>
        </w:drawing>
      </w:r>
    </w:p>
    <w:p w14:paraId="725AD3FE" w14:textId="46A69BBF" w:rsidR="00F4727F" w:rsidRPr="00F4727F" w:rsidRDefault="00F4727F" w:rsidP="00F4727F">
      <w:pPr>
        <w:spacing w:after="0" w:line="240" w:lineRule="auto"/>
        <w:jc w:val="center"/>
      </w:pPr>
      <w:r w:rsidRPr="00F4727F">
        <w:t>Plantation d'asperges bio à Fundo Fangelica près de Chincha (Pérou)</w:t>
      </w:r>
      <w:r>
        <w:rPr>
          <w:rStyle w:val="Appelnotedebasdep"/>
        </w:rPr>
        <w:footnoteReference w:id="102"/>
      </w:r>
      <w:r w:rsidRPr="00F4727F">
        <w:t>.</w:t>
      </w:r>
    </w:p>
    <w:p w14:paraId="6DE44540" w14:textId="6BEDECB3" w:rsidR="00F4727F" w:rsidRDefault="00F4727F">
      <w:r>
        <w:br w:type="page"/>
      </w:r>
    </w:p>
    <w:p w14:paraId="219E6D4A" w14:textId="77777777" w:rsidR="00F4727F" w:rsidRDefault="00F4727F" w:rsidP="00E07991">
      <w:pPr>
        <w:spacing w:after="0" w:line="240" w:lineRule="auto"/>
      </w:pPr>
    </w:p>
    <w:p w14:paraId="73476483" w14:textId="3B0F31C0" w:rsidR="00AF43B7" w:rsidRDefault="00E07991" w:rsidP="00D87D3F">
      <w:pPr>
        <w:pStyle w:val="Titre2"/>
      </w:pPr>
      <w:bookmarkStart w:id="157" w:name="_Toc139181448"/>
      <w:r w:rsidRPr="00E07991">
        <w:t>Betterave (</w:t>
      </w:r>
      <w:r w:rsidRPr="00D87D3F">
        <w:rPr>
          <w:i/>
          <w:iCs/>
        </w:rPr>
        <w:t>Beta vulgaris</w:t>
      </w:r>
      <w:r w:rsidRPr="00E07991">
        <w:t>)</w:t>
      </w:r>
      <w:bookmarkEnd w:id="157"/>
    </w:p>
    <w:p w14:paraId="50F46DCA" w14:textId="4C24AC75" w:rsidR="00E07991" w:rsidRDefault="00E07991" w:rsidP="00AF43B7">
      <w:pPr>
        <w:spacing w:after="0" w:line="240" w:lineRule="auto"/>
      </w:pPr>
    </w:p>
    <w:p w14:paraId="24FBD049" w14:textId="2994A5FF" w:rsidR="00F33788" w:rsidRPr="00F33788" w:rsidRDefault="00000000" w:rsidP="00F33788">
      <w:pPr>
        <w:spacing w:after="0" w:line="240" w:lineRule="auto"/>
        <w:jc w:val="both"/>
      </w:pPr>
      <w:hyperlink r:id="rId1480" w:history="1">
        <w:r w:rsidR="00F33788" w:rsidRPr="00F33788">
          <w:rPr>
            <w:rStyle w:val="Lienhypertexte"/>
          </w:rPr>
          <w:t>Plantes</w:t>
        </w:r>
      </w:hyperlink>
      <w:r w:rsidR="00F33788" w:rsidRPr="00F33788">
        <w:t> </w:t>
      </w:r>
      <w:hyperlink r:id="rId1481" w:history="1">
        <w:r w:rsidR="00F33788" w:rsidRPr="00F33788">
          <w:rPr>
            <w:rStyle w:val="Lienhypertexte"/>
          </w:rPr>
          <w:t>herbacée</w:t>
        </w:r>
      </w:hyperlink>
      <w:r w:rsidR="00F33788" w:rsidRPr="00F33788">
        <w:t> </w:t>
      </w:r>
      <w:hyperlink r:id="rId1482" w:history="1">
        <w:r w:rsidR="00F33788" w:rsidRPr="00F33788">
          <w:rPr>
            <w:rStyle w:val="Lienhypertexte"/>
          </w:rPr>
          <w:t>bisannuelle</w:t>
        </w:r>
      </w:hyperlink>
      <w:r w:rsidR="00F33788" w:rsidRPr="00F33788">
        <w:t> ou, plus rarement, </w:t>
      </w:r>
      <w:hyperlink r:id="rId1483" w:history="1">
        <w:r w:rsidR="00F33788" w:rsidRPr="00F33788">
          <w:rPr>
            <w:rStyle w:val="Lienhypertexte"/>
          </w:rPr>
          <w:t>vivace</w:t>
        </w:r>
      </w:hyperlink>
      <w:r w:rsidR="00F33788" w:rsidRPr="00F33788">
        <w:t>, aux tiges feuillues pouvant atteindre 1 à 2 mètres de haut, à </w:t>
      </w:r>
      <w:hyperlink r:id="rId1484" w:history="1">
        <w:r w:rsidR="00F33788" w:rsidRPr="00F33788">
          <w:rPr>
            <w:rStyle w:val="Lienhypertexte"/>
          </w:rPr>
          <w:t>racine pivotante</w:t>
        </w:r>
      </w:hyperlink>
      <w:r w:rsidR="00F33788" w:rsidRPr="00F33788">
        <w:t> épaisse, originaire de l'ancien monde, dont de nombreuses </w:t>
      </w:r>
      <w:hyperlink r:id="rId1485" w:history="1">
        <w:r w:rsidR="00F33788" w:rsidRPr="00F33788">
          <w:rPr>
            <w:rStyle w:val="Lienhypertexte"/>
          </w:rPr>
          <w:t>variétés</w:t>
        </w:r>
      </w:hyperlink>
      <w:r w:rsidR="00F33788" w:rsidRPr="00F33788">
        <w:t> sont cultivées</w:t>
      </w:r>
      <w:r w:rsidR="00857D95">
        <w:rPr>
          <w:rStyle w:val="Appelnotedebasdep"/>
        </w:rPr>
        <w:footnoteReference w:id="103"/>
      </w:r>
      <w:r w:rsidR="00F33788" w:rsidRPr="00F33788">
        <w:t xml:space="preserve"> (</w:t>
      </w:r>
      <w:hyperlink r:id="rId1486" w:history="1">
        <w:r w:rsidR="00F33788" w:rsidRPr="00F33788">
          <w:rPr>
            <w:rStyle w:val="Lienhypertexte"/>
          </w:rPr>
          <w:t>famille</w:t>
        </w:r>
      </w:hyperlink>
      <w:r w:rsidR="00F33788" w:rsidRPr="00F33788">
        <w:t> des </w:t>
      </w:r>
      <w:hyperlink r:id="rId1487" w:history="1">
        <w:r w:rsidR="00F33788" w:rsidRPr="00F33788">
          <w:rPr>
            <w:rStyle w:val="Lienhypertexte"/>
            <w:i/>
            <w:iCs/>
          </w:rPr>
          <w:t>Amaranthaceae</w:t>
        </w:r>
      </w:hyperlink>
      <w:r w:rsidR="00857D95">
        <w:rPr>
          <w:rStyle w:val="Appelnotedebasdep"/>
        </w:rPr>
        <w:footnoteReference w:id="104"/>
      </w:r>
      <w:r w:rsidR="00F33788" w:rsidRPr="00F33788">
        <w:t>).</w:t>
      </w:r>
      <w:r w:rsidR="00857D95">
        <w:t xml:space="preserve"> </w:t>
      </w:r>
      <w:r w:rsidR="00F33788" w:rsidRPr="00F33788">
        <w:t>On reconnait généralement trois </w:t>
      </w:r>
      <w:hyperlink r:id="rId1488" w:history="1">
        <w:r w:rsidR="00F33788" w:rsidRPr="00F33788">
          <w:rPr>
            <w:rStyle w:val="Lienhypertexte"/>
          </w:rPr>
          <w:t>sous-espèces</w:t>
        </w:r>
      </w:hyperlink>
      <w:r w:rsidR="00F33788" w:rsidRPr="00F33788">
        <w:t> :</w:t>
      </w:r>
    </w:p>
    <w:p w14:paraId="6B724AEC" w14:textId="46B0E228" w:rsidR="00F33788" w:rsidRPr="00F33788" w:rsidRDefault="00F33788" w:rsidP="00857D95">
      <w:pPr>
        <w:pStyle w:val="Paragraphedeliste"/>
        <w:numPr>
          <w:ilvl w:val="0"/>
          <w:numId w:val="8"/>
        </w:numPr>
        <w:spacing w:after="0" w:line="240" w:lineRule="auto"/>
        <w:ind w:left="426"/>
        <w:jc w:val="both"/>
      </w:pPr>
      <w:r w:rsidRPr="00857D95">
        <w:rPr>
          <w:i/>
          <w:iCs/>
        </w:rPr>
        <w:t>Beta vulgaris</w:t>
      </w:r>
      <w:r w:rsidRPr="00F33788">
        <w:t> subsp. </w:t>
      </w:r>
      <w:r w:rsidRPr="00857D95">
        <w:rPr>
          <w:i/>
          <w:iCs/>
        </w:rPr>
        <w:t>vulgaris</w:t>
      </w:r>
      <w:r w:rsidRPr="00F33788">
        <w:t> qui regroupe toutes les variétés cultivées (betteraves et blettes),</w:t>
      </w:r>
    </w:p>
    <w:p w14:paraId="1AB127BD" w14:textId="31C08380" w:rsidR="00F33788" w:rsidRPr="00F33788" w:rsidRDefault="00F33788" w:rsidP="00857D95">
      <w:pPr>
        <w:pStyle w:val="Paragraphedeliste"/>
        <w:numPr>
          <w:ilvl w:val="0"/>
          <w:numId w:val="8"/>
        </w:numPr>
        <w:spacing w:after="0" w:line="240" w:lineRule="auto"/>
        <w:ind w:left="426"/>
        <w:jc w:val="both"/>
      </w:pPr>
      <w:r w:rsidRPr="00857D95">
        <w:rPr>
          <w:i/>
          <w:iCs/>
        </w:rPr>
        <w:t>Beta vulgaris</w:t>
      </w:r>
      <w:r w:rsidRPr="00F33788">
        <w:t> subsp. </w:t>
      </w:r>
      <w:r w:rsidRPr="00857D95">
        <w:rPr>
          <w:i/>
          <w:iCs/>
        </w:rPr>
        <w:t>maritima</w:t>
      </w:r>
      <w:r w:rsidRPr="00F33788">
        <w:t>, la </w:t>
      </w:r>
      <w:hyperlink r:id="rId1489" w:history="1">
        <w:r w:rsidRPr="00F33788">
          <w:rPr>
            <w:rStyle w:val="Lienhypertexte"/>
          </w:rPr>
          <w:t>bette maritime</w:t>
        </w:r>
      </w:hyperlink>
      <w:r w:rsidRPr="00F33788">
        <w:t xml:space="preserve"> ou </w:t>
      </w:r>
      <w:hyperlink r:id="rId1490" w:history="1">
        <w:r w:rsidRPr="00F33788">
          <w:rPr>
            <w:rStyle w:val="Lienhypertexte"/>
          </w:rPr>
          <w:t>betterave maritime</w:t>
        </w:r>
      </w:hyperlink>
      <w:r w:rsidRPr="00F33788">
        <w:t>, considérée comme l'ancêtre sauvage des variétés cultivées, qui se rencontre sur les côtes atlantiques et méditerranéennes de l'</w:t>
      </w:r>
      <w:hyperlink r:id="rId1491" w:history="1">
        <w:r w:rsidRPr="00F33788">
          <w:rPr>
            <w:rStyle w:val="Lienhypertexte"/>
          </w:rPr>
          <w:t>Europe</w:t>
        </w:r>
      </w:hyperlink>
      <w:r w:rsidRPr="00F33788">
        <w:t>, ainsi qu'au </w:t>
      </w:r>
      <w:hyperlink r:id="rId1492" w:history="1">
        <w:r w:rsidRPr="00F33788">
          <w:rPr>
            <w:rStyle w:val="Lienhypertexte"/>
          </w:rPr>
          <w:t>Proche-Orient</w:t>
        </w:r>
      </w:hyperlink>
      <w:r w:rsidRPr="00F33788">
        <w:t> et en </w:t>
      </w:r>
      <w:hyperlink r:id="rId1493" w:history="1">
        <w:r w:rsidRPr="00F33788">
          <w:rPr>
            <w:rStyle w:val="Lienhypertexte"/>
          </w:rPr>
          <w:t>Inde</w:t>
        </w:r>
      </w:hyperlink>
      <w:r w:rsidRPr="00F33788">
        <w:t xml:space="preserve"> (spontanée sur les </w:t>
      </w:r>
      <w:hyperlink r:id="rId1494" w:history="1">
        <w:r w:rsidRPr="00F33788">
          <w:rPr>
            <w:rStyle w:val="Lienhypertexte"/>
          </w:rPr>
          <w:t>rivages maritimes</w:t>
        </w:r>
      </w:hyperlink>
      <w:r w:rsidRPr="00F33788">
        <w:t> en </w:t>
      </w:r>
      <w:hyperlink r:id="rId1495" w:history="1">
        <w:r w:rsidRPr="00F33788">
          <w:rPr>
            <w:rStyle w:val="Lienhypertexte"/>
          </w:rPr>
          <w:t>Europe</w:t>
        </w:r>
      </w:hyperlink>
      <w:r w:rsidRPr="00F33788">
        <w:t>)</w:t>
      </w:r>
      <w:r w:rsidR="00375ACE">
        <w:t xml:space="preserve"> (en danger d’extinction)</w:t>
      </w:r>
      <w:r w:rsidRPr="00F33788">
        <w:t>.</w:t>
      </w:r>
    </w:p>
    <w:p w14:paraId="54772148" w14:textId="0665D9E5" w:rsidR="00F33788" w:rsidRPr="00F33788" w:rsidRDefault="00F33788" w:rsidP="00F33788">
      <w:pPr>
        <w:spacing w:after="0" w:line="240" w:lineRule="auto"/>
        <w:jc w:val="both"/>
      </w:pPr>
      <w:r w:rsidRPr="00F33788">
        <w:rPr>
          <w:i/>
          <w:iCs/>
        </w:rPr>
        <w:t xml:space="preserve"> Beta vulgaris</w:t>
      </w:r>
      <w:r w:rsidRPr="00F33788">
        <w:t> subsp. </w:t>
      </w:r>
      <w:r w:rsidRPr="00F33788">
        <w:rPr>
          <w:i/>
          <w:iCs/>
        </w:rPr>
        <w:t>adanensis</w:t>
      </w:r>
      <w:r w:rsidRPr="00F33788">
        <w:t>, autre sous-espèce sauvage, présente de la </w:t>
      </w:r>
      <w:hyperlink r:id="rId1496" w:history="1">
        <w:r w:rsidRPr="00F33788">
          <w:rPr>
            <w:rStyle w:val="Lienhypertexte"/>
          </w:rPr>
          <w:t>Grèce</w:t>
        </w:r>
      </w:hyperlink>
      <w:r w:rsidRPr="00F33788">
        <w:t> à la </w:t>
      </w:r>
      <w:hyperlink r:id="rId1497" w:history="1">
        <w:r w:rsidRPr="00F33788">
          <w:rPr>
            <w:rStyle w:val="Lienhypertexte"/>
          </w:rPr>
          <w:t>Syrie</w:t>
        </w:r>
      </w:hyperlink>
      <w:r w:rsidRPr="00F33788">
        <w:t>.</w:t>
      </w:r>
    </w:p>
    <w:p w14:paraId="1F1DC9CC" w14:textId="1005D3A5" w:rsidR="00F33788" w:rsidRPr="00F33788" w:rsidRDefault="00F33788" w:rsidP="00F33788">
      <w:pPr>
        <w:spacing w:after="0" w:line="240" w:lineRule="auto"/>
        <w:jc w:val="both"/>
      </w:pPr>
      <w:r w:rsidRPr="00F33788">
        <w:t>La betterave maritime </w:t>
      </w:r>
      <w:r w:rsidRPr="00F33788">
        <w:rPr>
          <w:i/>
          <w:iCs/>
        </w:rPr>
        <w:t>(Beta vulgaris</w:t>
      </w:r>
      <w:r w:rsidRPr="00F33788">
        <w:t> ssp. </w:t>
      </w:r>
      <w:r w:rsidRPr="00F33788">
        <w:rPr>
          <w:i/>
          <w:iCs/>
        </w:rPr>
        <w:t xml:space="preserve">maritima) </w:t>
      </w:r>
      <w:r w:rsidRPr="00F33788">
        <w:t>et la betterave à sucre </w:t>
      </w:r>
      <w:r w:rsidRPr="00F33788">
        <w:rPr>
          <w:i/>
          <w:iCs/>
        </w:rPr>
        <w:t>(Beta vulgaris</w:t>
      </w:r>
      <w:r w:rsidRPr="00F33788">
        <w:t> ssp. </w:t>
      </w:r>
      <w:r w:rsidRPr="00F33788">
        <w:rPr>
          <w:i/>
          <w:iCs/>
        </w:rPr>
        <w:t xml:space="preserve">vulgaris) </w:t>
      </w:r>
      <w:r w:rsidRPr="00F33788">
        <w:t>ont un taux de survie de 100%, avec une croissance optimale, en condition de faible salinité (&lt; 25% d'eau de mer)</w:t>
      </w:r>
      <w:r w:rsidR="00857D95">
        <w:rPr>
          <w:rStyle w:val="Appelnotedebasdep"/>
        </w:rPr>
        <w:footnoteReference w:id="105"/>
      </w:r>
      <w:r w:rsidRPr="00F33788">
        <w:t>.</w:t>
      </w:r>
    </w:p>
    <w:p w14:paraId="54D35573" w14:textId="77777777" w:rsidR="00F33788" w:rsidRPr="00F33788" w:rsidRDefault="00F33788" w:rsidP="00F33788">
      <w:pPr>
        <w:spacing w:after="0" w:line="240" w:lineRule="auto"/>
        <w:jc w:val="both"/>
      </w:pPr>
      <w:r w:rsidRPr="00F33788">
        <w:t xml:space="preserve">Sources : a) </w:t>
      </w:r>
      <w:hyperlink r:id="rId1498" w:history="1">
        <w:r w:rsidRPr="00F33788">
          <w:rPr>
            <w:rStyle w:val="Lienhypertexte"/>
          </w:rPr>
          <w:t>http://fr.wikipedia.org/wiki/Beta_vulgaris</w:t>
        </w:r>
      </w:hyperlink>
      <w:r w:rsidRPr="00F33788">
        <w:t xml:space="preserve">, b) </w:t>
      </w:r>
      <w:hyperlink r:id="rId1499" w:history="1">
        <w:r w:rsidRPr="00F33788">
          <w:rPr>
            <w:rStyle w:val="Lienhypertexte"/>
          </w:rPr>
          <w:t>http://fr.wikipedia.org/wiki/Betterave</w:t>
        </w:r>
      </w:hyperlink>
      <w:r w:rsidRPr="00F33788">
        <w:t xml:space="preserve">, </w:t>
      </w:r>
    </w:p>
    <w:p w14:paraId="35F8E8AF" w14:textId="2FD77019" w:rsidR="00E07991" w:rsidRDefault="00F33788" w:rsidP="00857D95">
      <w:pPr>
        <w:spacing w:after="0" w:line="240" w:lineRule="auto"/>
        <w:jc w:val="both"/>
      </w:pPr>
      <w:r w:rsidRPr="00F33788">
        <w:t xml:space="preserve">c) </w:t>
      </w:r>
      <w:hyperlink r:id="rId1500" w:history="1">
        <w:r w:rsidRPr="00F33788">
          <w:rPr>
            <w:rStyle w:val="Lienhypertexte"/>
          </w:rPr>
          <w:t>http://en.wikipedia.org/wiki/Beta_vulgaris</w:t>
        </w:r>
      </w:hyperlink>
      <w:r w:rsidRPr="00F33788">
        <w:t xml:space="preserv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53"/>
        <w:gridCol w:w="3457"/>
        <w:gridCol w:w="3516"/>
      </w:tblGrid>
      <w:tr w:rsidR="00D96F61" w14:paraId="104B1FAF" w14:textId="77777777" w:rsidTr="00D96F61">
        <w:tc>
          <w:tcPr>
            <w:tcW w:w="3453" w:type="dxa"/>
          </w:tcPr>
          <w:p w14:paraId="12D71709" w14:textId="77777777" w:rsidR="00D96F61" w:rsidRDefault="00D96F61" w:rsidP="00C17F76">
            <w:pPr>
              <w:jc w:val="center"/>
            </w:pPr>
            <w:r w:rsidRPr="00BE6DF4">
              <w:rPr>
                <w:noProof/>
              </w:rPr>
              <w:drawing>
                <wp:inline distT="0" distB="0" distL="0" distR="0" wp14:anchorId="2D0B2DA7" wp14:editId="20E33889">
                  <wp:extent cx="1584325" cy="1058862"/>
                  <wp:effectExtent l="0" t="0" r="0" b="8255"/>
                  <wp:docPr id="75790" name="Picture 8" descr="C:\Users\LISAN\Pictures\plantes-halophytes-xerophiles\Beta vulgar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90" name="Picture 8" descr="C:\Users\LISAN\Pictures\plantes-halophytes-xerophiles\Beta vulgaris.jpg"/>
                          <pic:cNvPicPr>
                            <a:picLocks noChangeAspect="1" noChangeArrowheads="1"/>
                          </pic:cNvPicPr>
                        </pic:nvPicPr>
                        <pic:blipFill>
                          <a:blip r:embed="rId1501">
                            <a:extLst>
                              <a:ext uri="{28A0092B-C50C-407E-A947-70E740481C1C}">
                                <a14:useLocalDpi xmlns:a14="http://schemas.microsoft.com/office/drawing/2010/main" val="0"/>
                              </a:ext>
                            </a:extLst>
                          </a:blip>
                          <a:srcRect/>
                          <a:stretch>
                            <a:fillRect/>
                          </a:stretch>
                        </pic:blipFill>
                        <pic:spPr bwMode="auto">
                          <a:xfrm>
                            <a:off x="0" y="0"/>
                            <a:ext cx="1584325" cy="10588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57" w:type="dxa"/>
          </w:tcPr>
          <w:p w14:paraId="609B6725" w14:textId="77777777" w:rsidR="00D96F61" w:rsidRDefault="00D96F61" w:rsidP="00C17F76">
            <w:pPr>
              <w:jc w:val="center"/>
            </w:pPr>
            <w:r>
              <w:rPr>
                <w:noProof/>
              </w:rPr>
              <w:drawing>
                <wp:inline distT="0" distB="0" distL="0" distR="0" wp14:anchorId="47FCA394" wp14:editId="29A1A445">
                  <wp:extent cx="1566545" cy="1178257"/>
                  <wp:effectExtent l="0" t="0" r="0" b="3175"/>
                  <wp:docPr id="195606" name="Image 195606" descr="Une image contenant extérieur, herbe, plante, luxuria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06" name="Image 195606" descr="Une image contenant extérieur, herbe, plante, luxuriant&#10;&#10;Description générée automatiquement"/>
                          <pic:cNvPicPr>
                            <a:picLocks noChangeAspect="1" noChangeArrowheads="1"/>
                          </pic:cNvPicPr>
                        </pic:nvPicPr>
                        <pic:blipFill>
                          <a:blip r:embed="rId1502">
                            <a:extLst>
                              <a:ext uri="{28A0092B-C50C-407E-A947-70E740481C1C}">
                                <a14:useLocalDpi xmlns:a14="http://schemas.microsoft.com/office/drawing/2010/main" val="0"/>
                              </a:ext>
                            </a:extLst>
                          </a:blip>
                          <a:srcRect/>
                          <a:stretch>
                            <a:fillRect/>
                          </a:stretch>
                        </pic:blipFill>
                        <pic:spPr bwMode="auto">
                          <a:xfrm>
                            <a:off x="0" y="0"/>
                            <a:ext cx="1575543" cy="1185025"/>
                          </a:xfrm>
                          <a:prstGeom prst="rect">
                            <a:avLst/>
                          </a:prstGeom>
                          <a:noFill/>
                          <a:ln>
                            <a:noFill/>
                          </a:ln>
                        </pic:spPr>
                      </pic:pic>
                    </a:graphicData>
                  </a:graphic>
                </wp:inline>
              </w:drawing>
            </w:r>
          </w:p>
          <w:p w14:paraId="44D0DD18" w14:textId="77777777" w:rsidR="00D96F61" w:rsidRDefault="00D96F61" w:rsidP="00C17F76">
            <w:pPr>
              <w:jc w:val="center"/>
            </w:pPr>
            <w:r w:rsidRPr="00726FE1">
              <w:rPr>
                <w:i/>
                <w:iCs/>
              </w:rPr>
              <w:t>Beta vulgaris</w:t>
            </w:r>
            <w:r w:rsidRPr="00726FE1">
              <w:t xml:space="preserve"> subsp. </w:t>
            </w:r>
            <w:r w:rsidRPr="00726FE1">
              <w:rPr>
                <w:i/>
                <w:iCs/>
              </w:rPr>
              <w:t>maritima</w:t>
            </w:r>
          </w:p>
        </w:tc>
        <w:tc>
          <w:tcPr>
            <w:tcW w:w="3516" w:type="dxa"/>
          </w:tcPr>
          <w:p w14:paraId="1BBEB5B7" w14:textId="77777777" w:rsidR="00D96F61" w:rsidRDefault="00D96F61" w:rsidP="00C17F76">
            <w:pPr>
              <w:jc w:val="center"/>
            </w:pPr>
            <w:r w:rsidRPr="00BE6DF4">
              <w:rPr>
                <w:noProof/>
              </w:rPr>
              <w:drawing>
                <wp:inline distT="0" distB="0" distL="0" distR="0" wp14:anchorId="52D0D881" wp14:editId="310EA009">
                  <wp:extent cx="1796143" cy="1257300"/>
                  <wp:effectExtent l="0" t="0" r="0" b="0"/>
                  <wp:docPr id="75792" name="Picture 11" descr="C:\Users\LISAN\Pictures\plantes-halophytes-xerophiles\Betterave rouge précu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92" name="Picture 11" descr="C:\Users\LISAN\Pictures\plantes-halophytes-xerophiles\Betterave rouge précuite.jpg"/>
                          <pic:cNvPicPr>
                            <a:picLocks noChangeAspect="1" noChangeArrowheads="1"/>
                          </pic:cNvPicPr>
                        </pic:nvPicPr>
                        <pic:blipFill>
                          <a:blip r:embed="rId1503">
                            <a:extLst>
                              <a:ext uri="{28A0092B-C50C-407E-A947-70E740481C1C}">
                                <a14:useLocalDpi xmlns:a14="http://schemas.microsoft.com/office/drawing/2010/main" val="0"/>
                              </a:ext>
                            </a:extLst>
                          </a:blip>
                          <a:srcRect/>
                          <a:stretch>
                            <a:fillRect/>
                          </a:stretch>
                        </pic:blipFill>
                        <pic:spPr bwMode="auto">
                          <a:xfrm>
                            <a:off x="0" y="0"/>
                            <a:ext cx="1800366" cy="1260256"/>
                          </a:xfrm>
                          <a:prstGeom prst="rect">
                            <a:avLst/>
                          </a:prstGeom>
                          <a:noFill/>
                          <a:ln>
                            <a:noFill/>
                          </a:ln>
                        </pic:spPr>
                      </pic:pic>
                    </a:graphicData>
                  </a:graphic>
                </wp:inline>
              </w:drawing>
            </w:r>
          </w:p>
          <w:p w14:paraId="7E4DF8B4" w14:textId="77777777" w:rsidR="00D96F61" w:rsidRDefault="00D96F61" w:rsidP="00C17F76">
            <w:pPr>
              <w:jc w:val="center"/>
            </w:pPr>
            <w:r w:rsidRPr="00BE6DF4">
              <w:t>Betterave rouge précuite</w:t>
            </w:r>
            <w:r>
              <w:t>.</w:t>
            </w:r>
          </w:p>
        </w:tc>
      </w:tr>
      <w:tr w:rsidR="00DA33BF" w14:paraId="72F3A54A" w14:textId="77777777" w:rsidTr="00D96F61">
        <w:tc>
          <w:tcPr>
            <w:tcW w:w="6910" w:type="dxa"/>
            <w:gridSpan w:val="2"/>
          </w:tcPr>
          <w:p w14:paraId="3A46058F" w14:textId="77777777" w:rsidR="00DA33BF" w:rsidRDefault="00DA33BF" w:rsidP="00F33788">
            <w:pPr>
              <w:jc w:val="center"/>
            </w:pPr>
            <w:r w:rsidRPr="00DA33BF">
              <w:rPr>
                <w:noProof/>
              </w:rPr>
              <w:drawing>
                <wp:inline distT="0" distB="0" distL="0" distR="0" wp14:anchorId="738ACDA7" wp14:editId="1E6310B5">
                  <wp:extent cx="2952750" cy="2214563"/>
                  <wp:effectExtent l="0" t="0" r="0" b="0"/>
                  <wp:docPr id="75791" name="Picture 9" descr="C:\Users\LISAN\Pictures\plantes-halophytes-xerophiles\Beta_vulgaris_maritima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91" name="Picture 9" descr="C:\Users\LISAN\Pictures\plantes-halophytes-xerophiles\Beta_vulgaris_maritima_001.JPG"/>
                          <pic:cNvPicPr>
                            <a:picLocks noChangeAspect="1" noChangeArrowheads="1"/>
                          </pic:cNvPicPr>
                        </pic:nvPicPr>
                        <pic:blipFill>
                          <a:blip r:embed="rId1504">
                            <a:extLst>
                              <a:ext uri="{28A0092B-C50C-407E-A947-70E740481C1C}">
                                <a14:useLocalDpi xmlns:a14="http://schemas.microsoft.com/office/drawing/2010/main" val="0"/>
                              </a:ext>
                            </a:extLst>
                          </a:blip>
                          <a:srcRect/>
                          <a:stretch>
                            <a:fillRect/>
                          </a:stretch>
                        </pic:blipFill>
                        <pic:spPr bwMode="auto">
                          <a:xfrm>
                            <a:off x="0" y="0"/>
                            <a:ext cx="2954022" cy="2215517"/>
                          </a:xfrm>
                          <a:prstGeom prst="rect">
                            <a:avLst/>
                          </a:prstGeom>
                          <a:noFill/>
                          <a:ln>
                            <a:noFill/>
                          </a:ln>
                        </pic:spPr>
                      </pic:pic>
                    </a:graphicData>
                  </a:graphic>
                </wp:inline>
              </w:drawing>
            </w:r>
          </w:p>
          <w:p w14:paraId="59AF6A5D" w14:textId="10CA16EE" w:rsidR="00DA33BF" w:rsidRDefault="00DA33BF" w:rsidP="00F33788">
            <w:pPr>
              <w:jc w:val="center"/>
            </w:pPr>
            <w:r>
              <w:t>B</w:t>
            </w:r>
            <w:r w:rsidRPr="00DA33BF">
              <w:t>etterave maritime </w:t>
            </w:r>
            <w:r w:rsidRPr="00DA33BF">
              <w:rPr>
                <w:i/>
                <w:iCs/>
              </w:rPr>
              <w:t>(Beta vulgaris</w:t>
            </w:r>
            <w:r w:rsidR="00860EFC">
              <w:rPr>
                <w:i/>
                <w:iCs/>
              </w:rPr>
              <w:t xml:space="preserve"> </w:t>
            </w:r>
            <w:r w:rsidRPr="00DA33BF">
              <w:t>subsp. </w:t>
            </w:r>
            <w:r w:rsidRPr="00DA33BF">
              <w:rPr>
                <w:i/>
                <w:iCs/>
              </w:rPr>
              <w:t>maritima),</w:t>
            </w:r>
            <w:r w:rsidRPr="00DA33BF">
              <w:t> l'ancêtre sauvage des formes cultivées</w:t>
            </w:r>
            <w:r w:rsidR="00BE6DF4">
              <w:t>.</w:t>
            </w:r>
          </w:p>
        </w:tc>
        <w:tc>
          <w:tcPr>
            <w:tcW w:w="3516" w:type="dxa"/>
          </w:tcPr>
          <w:p w14:paraId="113C4B0D" w14:textId="77777777" w:rsidR="00DA33BF" w:rsidRDefault="00BE6DF4" w:rsidP="00F33788">
            <w:pPr>
              <w:jc w:val="center"/>
            </w:pPr>
            <w:r w:rsidRPr="00BE6DF4">
              <w:rPr>
                <w:noProof/>
              </w:rPr>
              <w:drawing>
                <wp:inline distT="0" distB="0" distL="0" distR="0" wp14:anchorId="4E726883" wp14:editId="16203771">
                  <wp:extent cx="1944688" cy="1166812"/>
                  <wp:effectExtent l="0" t="0" r="0" b="0"/>
                  <wp:docPr id="75796" name="Picture 15" descr="C:\Users\LISAN\Pictures\plantes-halophytes-xerophiles\betteraves de différentes couleu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96" name="Picture 15" descr="C:\Users\LISAN\Pictures\plantes-halophytes-xerophiles\betteraves de différentes couleurs.jpg"/>
                          <pic:cNvPicPr>
                            <a:picLocks noChangeAspect="1" noChangeArrowheads="1"/>
                          </pic:cNvPicPr>
                        </pic:nvPicPr>
                        <pic:blipFill>
                          <a:blip r:embed="rId1505">
                            <a:extLst>
                              <a:ext uri="{28A0092B-C50C-407E-A947-70E740481C1C}">
                                <a14:useLocalDpi xmlns:a14="http://schemas.microsoft.com/office/drawing/2010/main" val="0"/>
                              </a:ext>
                            </a:extLst>
                          </a:blip>
                          <a:srcRect/>
                          <a:stretch>
                            <a:fillRect/>
                          </a:stretch>
                        </pic:blipFill>
                        <pic:spPr bwMode="auto">
                          <a:xfrm>
                            <a:off x="0" y="0"/>
                            <a:ext cx="1944688" cy="11668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D5644CC" w14:textId="77777777" w:rsidR="00BE6DF4" w:rsidRDefault="00BE6DF4" w:rsidP="00F33788">
            <w:pPr>
              <w:jc w:val="center"/>
            </w:pPr>
            <w:r>
              <w:t>B</w:t>
            </w:r>
            <w:r w:rsidRPr="00BE6DF4">
              <w:t>etteraves de différentes couleurs</w:t>
            </w:r>
          </w:p>
          <w:p w14:paraId="5E7B3976" w14:textId="77777777" w:rsidR="00BE6DF4" w:rsidRDefault="00BE6DF4" w:rsidP="00F33788">
            <w:pPr>
              <w:jc w:val="center"/>
            </w:pPr>
          </w:p>
          <w:p w14:paraId="3681901E" w14:textId="18F99B8B" w:rsidR="00BE6DF4" w:rsidRDefault="00BE6DF4" w:rsidP="00F33788">
            <w:pPr>
              <w:jc w:val="center"/>
            </w:pPr>
            <w:r w:rsidRPr="00BE6DF4">
              <w:rPr>
                <w:noProof/>
              </w:rPr>
              <w:drawing>
                <wp:inline distT="0" distB="0" distL="0" distR="0" wp14:anchorId="737DEACE" wp14:editId="40A5D9B2">
                  <wp:extent cx="1008063" cy="874713"/>
                  <wp:effectExtent l="0" t="0" r="1905" b="1905"/>
                  <wp:docPr id="75793" name="Picture 12" descr="C:\Users\LISAN\Pictures\plantes-halophytes-xerophiles\Betterave rou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93" name="Picture 12" descr="C:\Users\LISAN\Pictures\plantes-halophytes-xerophiles\Betterave rouge.jpg"/>
                          <pic:cNvPicPr>
                            <a:picLocks noChangeAspect="1" noChangeArrowheads="1"/>
                          </pic:cNvPicPr>
                        </pic:nvPicPr>
                        <pic:blipFill>
                          <a:blip r:embed="rId1506">
                            <a:extLst>
                              <a:ext uri="{28A0092B-C50C-407E-A947-70E740481C1C}">
                                <a14:useLocalDpi xmlns:a14="http://schemas.microsoft.com/office/drawing/2010/main" val="0"/>
                              </a:ext>
                            </a:extLst>
                          </a:blip>
                          <a:srcRect/>
                          <a:stretch>
                            <a:fillRect/>
                          </a:stretch>
                        </pic:blipFill>
                        <pic:spPr bwMode="auto">
                          <a:xfrm>
                            <a:off x="0" y="0"/>
                            <a:ext cx="1008063" cy="8747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t xml:space="preserve"> </w:t>
            </w:r>
          </w:p>
          <w:p w14:paraId="4294EE2A" w14:textId="77777777" w:rsidR="00BE6DF4" w:rsidRDefault="00BE6DF4" w:rsidP="00F33788">
            <w:pPr>
              <w:jc w:val="center"/>
            </w:pPr>
            <w:r>
              <w:t>B</w:t>
            </w:r>
            <w:r w:rsidRPr="00BE6DF4">
              <w:t>etteraves</w:t>
            </w:r>
            <w:r>
              <w:t xml:space="preserve"> rouges</w:t>
            </w:r>
          </w:p>
          <w:p w14:paraId="3990615B" w14:textId="3927AFED" w:rsidR="00FE1171" w:rsidRDefault="00FE1171" w:rsidP="00F33788">
            <w:pPr>
              <w:jc w:val="center"/>
            </w:pPr>
          </w:p>
        </w:tc>
      </w:tr>
      <w:tr w:rsidR="00F33788" w14:paraId="1859ACE4" w14:textId="77777777" w:rsidTr="00D96F61">
        <w:tc>
          <w:tcPr>
            <w:tcW w:w="3453" w:type="dxa"/>
          </w:tcPr>
          <w:p w14:paraId="51AFA349" w14:textId="77777777" w:rsidR="00F33788" w:rsidRDefault="00BE6DF4" w:rsidP="00F33788">
            <w:pPr>
              <w:jc w:val="center"/>
            </w:pPr>
            <w:r w:rsidRPr="00BE6DF4">
              <w:rPr>
                <w:noProof/>
              </w:rPr>
              <w:lastRenderedPageBreak/>
              <w:drawing>
                <wp:inline distT="0" distB="0" distL="0" distR="0" wp14:anchorId="2B06C691" wp14:editId="0058DB68">
                  <wp:extent cx="1298575" cy="1725979"/>
                  <wp:effectExtent l="0" t="0" r="0" b="7620"/>
                  <wp:docPr id="75794" name="Picture 13" descr="C:\Users\LISAN\Pictures\plantes-halophytes-xerophiles\Betterave_pla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94" name="Picture 13" descr="C:\Users\LISAN\Pictures\plantes-halophytes-xerophiles\Betterave_plant.jpg"/>
                          <pic:cNvPicPr>
                            <a:picLocks noChangeAspect="1" noChangeArrowheads="1"/>
                          </pic:cNvPicPr>
                        </pic:nvPicPr>
                        <pic:blipFill>
                          <a:blip r:embed="rId1507">
                            <a:extLst>
                              <a:ext uri="{28A0092B-C50C-407E-A947-70E740481C1C}">
                                <a14:useLocalDpi xmlns:a14="http://schemas.microsoft.com/office/drawing/2010/main" val="0"/>
                              </a:ext>
                            </a:extLst>
                          </a:blip>
                          <a:srcRect/>
                          <a:stretch>
                            <a:fillRect/>
                          </a:stretch>
                        </pic:blipFill>
                        <pic:spPr bwMode="auto">
                          <a:xfrm>
                            <a:off x="0" y="0"/>
                            <a:ext cx="1299713" cy="1727492"/>
                          </a:xfrm>
                          <a:prstGeom prst="rect">
                            <a:avLst/>
                          </a:prstGeom>
                          <a:noFill/>
                          <a:ln>
                            <a:noFill/>
                          </a:ln>
                        </pic:spPr>
                      </pic:pic>
                    </a:graphicData>
                  </a:graphic>
                </wp:inline>
              </w:drawing>
            </w:r>
          </w:p>
          <w:p w14:paraId="081901CB" w14:textId="473A5B85" w:rsidR="00BE6DF4" w:rsidRDefault="00BE6DF4" w:rsidP="00BE6DF4">
            <w:pPr>
              <w:jc w:val="center"/>
            </w:pPr>
            <w:r w:rsidRPr="00BE6DF4">
              <w:t>Plant de la betterave (</w:t>
            </w:r>
            <w:r w:rsidRPr="00BE6DF4">
              <w:rPr>
                <w:i/>
                <w:iCs/>
              </w:rPr>
              <w:t>Beta vulgaris</w:t>
            </w:r>
            <w:r w:rsidRPr="00BE6DF4">
              <w:t>)</w:t>
            </w:r>
          </w:p>
        </w:tc>
        <w:tc>
          <w:tcPr>
            <w:tcW w:w="3457" w:type="dxa"/>
          </w:tcPr>
          <w:p w14:paraId="2724A2BE" w14:textId="77777777" w:rsidR="00F33788" w:rsidRDefault="00BE6DF4" w:rsidP="00F33788">
            <w:pPr>
              <w:jc w:val="center"/>
            </w:pPr>
            <w:r w:rsidRPr="00BE6DF4">
              <w:rPr>
                <w:noProof/>
              </w:rPr>
              <w:drawing>
                <wp:inline distT="0" distB="0" distL="0" distR="0" wp14:anchorId="3D15DC1F" wp14:editId="14EA07C0">
                  <wp:extent cx="1104900" cy="1658457"/>
                  <wp:effectExtent l="0" t="0" r="0" b="0"/>
                  <wp:docPr id="75795" name="Picture 14" descr="C:\Users\LISAN\Pictures\plantes-halophytes-xerophiles\Betteraves à suc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95" name="Picture 14" descr="C:\Users\LISAN\Pictures\plantes-halophytes-xerophiles\Betteraves à sucre.jpg"/>
                          <pic:cNvPicPr>
                            <a:picLocks noChangeAspect="1" noChangeArrowheads="1"/>
                          </pic:cNvPicPr>
                        </pic:nvPicPr>
                        <pic:blipFill>
                          <a:blip r:embed="rId1508">
                            <a:extLst>
                              <a:ext uri="{28A0092B-C50C-407E-A947-70E740481C1C}">
                                <a14:useLocalDpi xmlns:a14="http://schemas.microsoft.com/office/drawing/2010/main" val="0"/>
                              </a:ext>
                            </a:extLst>
                          </a:blip>
                          <a:srcRect/>
                          <a:stretch>
                            <a:fillRect/>
                          </a:stretch>
                        </pic:blipFill>
                        <pic:spPr bwMode="auto">
                          <a:xfrm>
                            <a:off x="0" y="0"/>
                            <a:ext cx="1114292" cy="1672555"/>
                          </a:xfrm>
                          <a:prstGeom prst="rect">
                            <a:avLst/>
                          </a:prstGeom>
                          <a:noFill/>
                          <a:ln>
                            <a:noFill/>
                          </a:ln>
                        </pic:spPr>
                      </pic:pic>
                    </a:graphicData>
                  </a:graphic>
                </wp:inline>
              </w:drawing>
            </w:r>
          </w:p>
          <w:p w14:paraId="4266909A" w14:textId="682E0365" w:rsidR="00BE6DF4" w:rsidRDefault="00BE6DF4" w:rsidP="00BE6DF4">
            <w:pPr>
              <w:jc w:val="center"/>
            </w:pPr>
            <w:r w:rsidRPr="00BE6DF4">
              <w:t>Betteraves à sucre</w:t>
            </w:r>
          </w:p>
        </w:tc>
        <w:tc>
          <w:tcPr>
            <w:tcW w:w="3516" w:type="dxa"/>
          </w:tcPr>
          <w:p w14:paraId="49C8633C" w14:textId="06568373" w:rsidR="00726FE1" w:rsidRDefault="00726FE1" w:rsidP="00BE6DF4">
            <w:pPr>
              <w:jc w:val="center"/>
            </w:pPr>
            <w:r>
              <w:rPr>
                <w:noProof/>
              </w:rPr>
              <w:drawing>
                <wp:inline distT="0" distB="0" distL="0" distR="0" wp14:anchorId="67192432" wp14:editId="45847A59">
                  <wp:extent cx="2095500" cy="1571625"/>
                  <wp:effectExtent l="0" t="0" r="0" b="9525"/>
                  <wp:docPr id="195593" name="Image 195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09">
                            <a:extLst>
                              <a:ext uri="{28A0092B-C50C-407E-A947-70E740481C1C}">
                                <a14:useLocalDpi xmlns:a14="http://schemas.microsoft.com/office/drawing/2010/main" val="0"/>
                              </a:ext>
                            </a:extLst>
                          </a:blip>
                          <a:srcRect/>
                          <a:stretch>
                            <a:fillRect/>
                          </a:stretch>
                        </pic:blipFill>
                        <pic:spPr bwMode="auto">
                          <a:xfrm>
                            <a:off x="0" y="0"/>
                            <a:ext cx="2095500" cy="1571625"/>
                          </a:xfrm>
                          <a:prstGeom prst="rect">
                            <a:avLst/>
                          </a:prstGeom>
                          <a:noFill/>
                          <a:ln>
                            <a:noFill/>
                          </a:ln>
                        </pic:spPr>
                      </pic:pic>
                    </a:graphicData>
                  </a:graphic>
                </wp:inline>
              </w:drawing>
            </w:r>
          </w:p>
          <w:p w14:paraId="73C64533" w14:textId="2136AE45" w:rsidR="00BE6DF4" w:rsidRDefault="00726FE1" w:rsidP="00BE6DF4">
            <w:pPr>
              <w:jc w:val="center"/>
            </w:pPr>
            <w:r w:rsidRPr="00726FE1">
              <w:t>Diverses variétés cultivées de Beta vulgaris.</w:t>
            </w:r>
          </w:p>
        </w:tc>
      </w:tr>
    </w:tbl>
    <w:p w14:paraId="13D5378E" w14:textId="75B1B48D" w:rsidR="00972BCD" w:rsidRDefault="00972BCD" w:rsidP="00726FE1">
      <w:pPr>
        <w:spacing w:after="0" w:line="240" w:lineRule="auto"/>
      </w:pPr>
    </w:p>
    <w:p w14:paraId="3D6883A1" w14:textId="3AD24496" w:rsidR="00B94D58" w:rsidRDefault="00B94D58" w:rsidP="00B94D58">
      <w:pPr>
        <w:pStyle w:val="Titre2"/>
      </w:pPr>
      <w:bookmarkStart w:id="158" w:name="_Toc139181449"/>
      <w:r w:rsidRPr="00B94D58">
        <w:t>Taro</w:t>
      </w:r>
      <w:r w:rsidR="00E4533C">
        <w:t xml:space="preserve"> ou oreille d’éléphant</w:t>
      </w:r>
      <w:r w:rsidRPr="00B94D58">
        <w:t xml:space="preserve"> (</w:t>
      </w:r>
      <w:r w:rsidRPr="00B94D58">
        <w:rPr>
          <w:i/>
          <w:iCs/>
        </w:rPr>
        <w:t>Colocasia esculenta</w:t>
      </w:r>
      <w:r w:rsidRPr="00B94D58">
        <w:t>)</w:t>
      </w:r>
      <w:bookmarkEnd w:id="158"/>
    </w:p>
    <w:p w14:paraId="4F0DFB16" w14:textId="66664D90" w:rsidR="00B94D58" w:rsidRDefault="00B94D58" w:rsidP="00726FE1">
      <w:pPr>
        <w:spacing w:after="0" w:line="240" w:lineRule="auto"/>
      </w:pPr>
    </w:p>
    <w:p w14:paraId="7DBA6D98" w14:textId="2AC849F5" w:rsidR="00B94D58" w:rsidRPr="000A66F7" w:rsidRDefault="000A66F7" w:rsidP="000A66F7">
      <w:pPr>
        <w:spacing w:after="0" w:line="240" w:lineRule="auto"/>
        <w:jc w:val="both"/>
        <w:rPr>
          <w:rFonts w:ascii="Calibri" w:hAnsi="Calibri" w:cs="Calibri"/>
        </w:rPr>
      </w:pPr>
      <w:r w:rsidRPr="000A66F7">
        <w:rPr>
          <w:rFonts w:ascii="Calibri" w:hAnsi="Calibri" w:cs="Calibri"/>
        </w:rPr>
        <w:t>C</w:t>
      </w:r>
      <w:r w:rsidRPr="000A66F7">
        <w:rPr>
          <w:rFonts w:ascii="Calibri" w:hAnsi="Calibri" w:cs="Calibri"/>
          <w:shd w:val="clear" w:color="auto" w:fill="FFFFFF"/>
        </w:rPr>
        <w:t>’est une </w:t>
      </w:r>
      <w:hyperlink r:id="rId1510" w:tooltip="Espèce" w:history="1">
        <w:r w:rsidRPr="000A66F7">
          <w:rPr>
            <w:rStyle w:val="Lienhypertexte"/>
            <w:rFonts w:ascii="Calibri" w:hAnsi="Calibri" w:cs="Calibri"/>
            <w:color w:val="0645AD"/>
            <w:shd w:val="clear" w:color="auto" w:fill="FFFFFF"/>
          </w:rPr>
          <w:t>espèce</w:t>
        </w:r>
      </w:hyperlink>
      <w:r w:rsidRPr="000A66F7">
        <w:rPr>
          <w:rFonts w:ascii="Calibri" w:hAnsi="Calibri" w:cs="Calibri"/>
          <w:color w:val="202122"/>
          <w:shd w:val="clear" w:color="auto" w:fill="FFFFFF"/>
        </w:rPr>
        <w:t> de </w:t>
      </w:r>
      <w:hyperlink r:id="rId1511" w:tooltip="Plante" w:history="1">
        <w:r w:rsidRPr="000A66F7">
          <w:rPr>
            <w:rStyle w:val="Lienhypertexte"/>
            <w:rFonts w:ascii="Calibri" w:hAnsi="Calibri" w:cs="Calibri"/>
            <w:color w:val="0645AD"/>
            <w:shd w:val="clear" w:color="auto" w:fill="FFFFFF"/>
          </w:rPr>
          <w:t>plantes</w:t>
        </w:r>
      </w:hyperlink>
      <w:r w:rsidRPr="000A66F7">
        <w:rPr>
          <w:rFonts w:ascii="Calibri" w:hAnsi="Calibri" w:cs="Calibri"/>
          <w:color w:val="202122"/>
          <w:shd w:val="clear" w:color="auto" w:fill="FFFFFF"/>
        </w:rPr>
        <w:t> </w:t>
      </w:r>
      <w:hyperlink r:id="rId1512" w:tooltip="Monocotylédone" w:history="1">
        <w:r w:rsidRPr="000A66F7">
          <w:rPr>
            <w:rStyle w:val="Lienhypertexte"/>
            <w:rFonts w:ascii="Calibri" w:hAnsi="Calibri" w:cs="Calibri"/>
            <w:color w:val="0645AD"/>
            <w:shd w:val="clear" w:color="auto" w:fill="FFFFFF"/>
          </w:rPr>
          <w:t>monocotylédones</w:t>
        </w:r>
      </w:hyperlink>
      <w:r w:rsidRPr="000A66F7">
        <w:rPr>
          <w:rFonts w:ascii="Calibri" w:hAnsi="Calibri" w:cs="Calibri"/>
          <w:color w:val="202122"/>
          <w:shd w:val="clear" w:color="auto" w:fill="FFFFFF"/>
        </w:rPr>
        <w:t> de la </w:t>
      </w:r>
      <w:hyperlink r:id="rId1513" w:tooltip="Famille (biologie)" w:history="1">
        <w:r w:rsidRPr="000A66F7">
          <w:rPr>
            <w:rStyle w:val="Lienhypertexte"/>
            <w:rFonts w:ascii="Calibri" w:hAnsi="Calibri" w:cs="Calibri"/>
            <w:color w:val="0645AD"/>
            <w:shd w:val="clear" w:color="auto" w:fill="FFFFFF"/>
          </w:rPr>
          <w:t>famille</w:t>
        </w:r>
      </w:hyperlink>
      <w:r w:rsidRPr="000A66F7">
        <w:rPr>
          <w:rFonts w:ascii="Calibri" w:hAnsi="Calibri" w:cs="Calibri"/>
          <w:color w:val="202122"/>
          <w:shd w:val="clear" w:color="auto" w:fill="FFFFFF"/>
        </w:rPr>
        <w:t> des </w:t>
      </w:r>
      <w:hyperlink r:id="rId1514" w:tooltip="Araceae" w:history="1">
        <w:r w:rsidRPr="000A66F7">
          <w:rPr>
            <w:rStyle w:val="Lienhypertexte"/>
            <w:rFonts w:ascii="Calibri" w:hAnsi="Calibri" w:cs="Calibri"/>
            <w:i/>
            <w:iCs/>
            <w:color w:val="0645AD"/>
            <w:shd w:val="clear" w:color="auto" w:fill="FFFFFF"/>
          </w:rPr>
          <w:t>Araceae</w:t>
        </w:r>
      </w:hyperlink>
      <w:r w:rsidRPr="000A66F7">
        <w:rPr>
          <w:rFonts w:ascii="Calibri" w:hAnsi="Calibri" w:cs="Calibri"/>
          <w:color w:val="202122"/>
          <w:shd w:val="clear" w:color="auto" w:fill="FFFFFF"/>
        </w:rPr>
        <w:t>, </w:t>
      </w:r>
      <w:hyperlink r:id="rId1515" w:tooltip="Sous-famille (biologie)" w:history="1">
        <w:r w:rsidRPr="000A66F7">
          <w:rPr>
            <w:rStyle w:val="Lienhypertexte"/>
            <w:rFonts w:ascii="Calibri" w:hAnsi="Calibri" w:cs="Calibri"/>
            <w:color w:val="0645AD"/>
            <w:shd w:val="clear" w:color="auto" w:fill="FFFFFF"/>
          </w:rPr>
          <w:t>sous-famille</w:t>
        </w:r>
      </w:hyperlink>
      <w:r w:rsidRPr="000A66F7">
        <w:rPr>
          <w:rFonts w:ascii="Calibri" w:hAnsi="Calibri" w:cs="Calibri"/>
          <w:color w:val="202122"/>
          <w:shd w:val="clear" w:color="auto" w:fill="FFFFFF"/>
        </w:rPr>
        <w:t> des </w:t>
      </w:r>
      <w:hyperlink r:id="rId1516" w:tooltip="Aroideae" w:history="1">
        <w:r w:rsidRPr="000A66F7">
          <w:rPr>
            <w:rStyle w:val="Lienhypertexte"/>
            <w:rFonts w:ascii="Calibri" w:hAnsi="Calibri" w:cs="Calibri"/>
            <w:i/>
            <w:iCs/>
            <w:color w:val="0645AD"/>
            <w:shd w:val="clear" w:color="auto" w:fill="FFFFFF"/>
          </w:rPr>
          <w:t>Aroideae</w:t>
        </w:r>
      </w:hyperlink>
      <w:r w:rsidRPr="000A66F7">
        <w:rPr>
          <w:rFonts w:ascii="Calibri" w:hAnsi="Calibri" w:cs="Calibri"/>
          <w:color w:val="202122"/>
          <w:shd w:val="clear" w:color="auto" w:fill="FFFFFF"/>
        </w:rPr>
        <w:t xml:space="preserve">, </w:t>
      </w:r>
      <w:r w:rsidRPr="000A66F7">
        <w:rPr>
          <w:rFonts w:ascii="Calibri" w:hAnsi="Calibri" w:cs="Calibri"/>
          <w:shd w:val="clear" w:color="auto" w:fill="FFFFFF"/>
        </w:rPr>
        <w:t>originaire du </w:t>
      </w:r>
      <w:hyperlink r:id="rId1517" w:tooltip="Sous-continent indien" w:history="1">
        <w:r w:rsidRPr="000A66F7">
          <w:rPr>
            <w:rStyle w:val="Lienhypertexte"/>
            <w:rFonts w:ascii="Calibri" w:hAnsi="Calibri" w:cs="Calibri"/>
            <w:color w:val="0645AD"/>
            <w:shd w:val="clear" w:color="auto" w:fill="FFFFFF"/>
          </w:rPr>
          <w:t>sous-continent indien</w:t>
        </w:r>
      </w:hyperlink>
      <w:r w:rsidRPr="000A66F7">
        <w:rPr>
          <w:rFonts w:ascii="Calibri" w:hAnsi="Calibri" w:cs="Calibri"/>
          <w:color w:val="202122"/>
          <w:shd w:val="clear" w:color="auto" w:fill="FFFFFF"/>
        </w:rPr>
        <w:t xml:space="preserve"> et </w:t>
      </w:r>
      <w:r w:rsidRPr="000A66F7">
        <w:rPr>
          <w:rFonts w:ascii="Calibri" w:hAnsi="Calibri" w:cs="Calibri"/>
          <w:shd w:val="clear" w:color="auto" w:fill="FFFFFF"/>
        </w:rPr>
        <w:t>d'</w:t>
      </w:r>
      <w:hyperlink r:id="rId1518" w:tooltip="Asie du Sud-Est" w:history="1">
        <w:r w:rsidRPr="000A66F7">
          <w:rPr>
            <w:rStyle w:val="Lienhypertexte"/>
            <w:rFonts w:ascii="Calibri" w:hAnsi="Calibri" w:cs="Calibri"/>
            <w:color w:val="2F5496" w:themeColor="accent1" w:themeShade="BF"/>
            <w:shd w:val="clear" w:color="auto" w:fill="FFFFFF"/>
          </w:rPr>
          <w:t>Asie du Sud-Est</w:t>
        </w:r>
      </w:hyperlink>
      <w:r w:rsidRPr="000A66F7">
        <w:rPr>
          <w:rFonts w:ascii="Calibri" w:hAnsi="Calibri" w:cs="Calibri"/>
          <w:shd w:val="clear" w:color="auto" w:fill="FFFFFF"/>
        </w:rPr>
        <w:t>. La plante est cultivée dans toutes les régions tropicales pour sa racine épaissie (un </w:t>
      </w:r>
      <w:hyperlink r:id="rId1519" w:tooltip="Corme (bulbe)" w:history="1">
        <w:r w:rsidRPr="000A66F7">
          <w:rPr>
            <w:rStyle w:val="Lienhypertexte"/>
            <w:rFonts w:ascii="Calibri" w:hAnsi="Calibri" w:cs="Calibri"/>
            <w:color w:val="auto"/>
            <w:shd w:val="clear" w:color="auto" w:fill="FFFFFF"/>
          </w:rPr>
          <w:t>corme</w:t>
        </w:r>
      </w:hyperlink>
      <w:r w:rsidRPr="000A66F7">
        <w:rPr>
          <w:rFonts w:ascii="Calibri" w:hAnsi="Calibri" w:cs="Calibri"/>
          <w:shd w:val="clear" w:color="auto" w:fill="FFFFFF"/>
        </w:rPr>
        <w:t xml:space="preserve"> souvent </w:t>
      </w:r>
      <w:r w:rsidRPr="000A66F7">
        <w:rPr>
          <w:rFonts w:ascii="Calibri" w:hAnsi="Calibri" w:cs="Calibri"/>
          <w:color w:val="202122"/>
          <w:shd w:val="clear" w:color="auto" w:fill="FFFFFF"/>
        </w:rPr>
        <w:t>appelé </w:t>
      </w:r>
      <w:hyperlink r:id="rId1520" w:tooltip="Tubercule" w:history="1">
        <w:r w:rsidRPr="000A66F7">
          <w:rPr>
            <w:rStyle w:val="Lienhypertexte"/>
            <w:rFonts w:ascii="Calibri" w:hAnsi="Calibri" w:cs="Calibri"/>
            <w:color w:val="0645AD"/>
            <w:shd w:val="clear" w:color="auto" w:fill="FFFFFF"/>
          </w:rPr>
          <w:t>tubercule</w:t>
        </w:r>
      </w:hyperlink>
      <w:r w:rsidRPr="000A66F7">
        <w:rPr>
          <w:rFonts w:ascii="Calibri" w:hAnsi="Calibri" w:cs="Calibri"/>
          <w:color w:val="202122"/>
          <w:shd w:val="clear" w:color="auto" w:fill="FFFFFF"/>
        </w:rPr>
        <w:t xml:space="preserve">) </w:t>
      </w:r>
      <w:r w:rsidRPr="000A66F7">
        <w:rPr>
          <w:rFonts w:ascii="Calibri" w:hAnsi="Calibri" w:cs="Calibri"/>
          <w:shd w:val="clear" w:color="auto" w:fill="FFFFFF"/>
        </w:rPr>
        <w:t>à la chair de couleur blanche à rose, de texture sèche et au goût proche de celui de la </w:t>
      </w:r>
      <w:hyperlink r:id="rId1521" w:tooltip="Patate douce" w:history="1">
        <w:r w:rsidRPr="000A66F7">
          <w:rPr>
            <w:rStyle w:val="Lienhypertexte"/>
            <w:rFonts w:ascii="Calibri" w:hAnsi="Calibri" w:cs="Calibri"/>
            <w:color w:val="auto"/>
            <w:shd w:val="clear" w:color="auto" w:fill="FFFFFF"/>
          </w:rPr>
          <w:t>patate douce</w:t>
        </w:r>
      </w:hyperlink>
      <w:r w:rsidRPr="000A66F7">
        <w:rPr>
          <w:rFonts w:ascii="Calibri" w:hAnsi="Calibri" w:cs="Calibri"/>
          <w:shd w:val="clear" w:color="auto" w:fill="FFFFFF"/>
        </w:rPr>
        <w:t>. Les feuilles se préparent comme des </w:t>
      </w:r>
      <w:hyperlink r:id="rId1522" w:tooltip="Épinard" w:history="1">
        <w:r w:rsidRPr="000A66F7">
          <w:rPr>
            <w:rStyle w:val="Lienhypertexte"/>
            <w:rFonts w:ascii="Calibri" w:hAnsi="Calibri" w:cs="Calibri"/>
            <w:color w:val="0645AD"/>
            <w:shd w:val="clear" w:color="auto" w:fill="FFFFFF"/>
          </w:rPr>
          <w:t>épinards</w:t>
        </w:r>
      </w:hyperlink>
      <w:r w:rsidRPr="000A66F7">
        <w:rPr>
          <w:rFonts w:ascii="Calibri" w:hAnsi="Calibri" w:cs="Calibri"/>
        </w:rPr>
        <w:t>.</w:t>
      </w:r>
    </w:p>
    <w:p w14:paraId="60CA0D00" w14:textId="4D008822" w:rsidR="000A66F7" w:rsidRPr="000A66F7" w:rsidRDefault="000A66F7" w:rsidP="000A66F7">
      <w:pPr>
        <w:spacing w:after="0" w:line="240" w:lineRule="auto"/>
        <w:jc w:val="both"/>
        <w:rPr>
          <w:rFonts w:ascii="Calibri" w:hAnsi="Calibri" w:cs="Calibri"/>
          <w:color w:val="000000" w:themeColor="text1"/>
        </w:rPr>
      </w:pPr>
      <w:r w:rsidRPr="000A66F7">
        <w:rPr>
          <w:rFonts w:ascii="Calibri" w:hAnsi="Calibri" w:cs="Calibri"/>
          <w:color w:val="000000" w:themeColor="text1"/>
          <w:shd w:val="clear" w:color="auto" w:fill="FFFFFF"/>
        </w:rPr>
        <w:t>Cette plante est généralement connue sous le </w:t>
      </w:r>
      <w:hyperlink r:id="rId1523" w:tooltip="Nom vernaculaire" w:history="1">
        <w:r w:rsidRPr="000A66F7">
          <w:rPr>
            <w:rStyle w:val="Lienhypertexte"/>
            <w:rFonts w:ascii="Calibri" w:hAnsi="Calibri" w:cs="Calibri"/>
            <w:color w:val="0645AD"/>
            <w:shd w:val="clear" w:color="auto" w:fill="FFFFFF"/>
          </w:rPr>
          <w:t>nom vernaculaire</w:t>
        </w:r>
      </w:hyperlink>
      <w:r w:rsidRPr="000A66F7">
        <w:rPr>
          <w:rFonts w:ascii="Calibri" w:hAnsi="Calibri" w:cs="Calibri"/>
          <w:color w:val="202122"/>
          <w:shd w:val="clear" w:color="auto" w:fill="FFFFFF"/>
        </w:rPr>
        <w:t> de « </w:t>
      </w:r>
      <w:hyperlink r:id="rId1524" w:tooltip="Taro (plante)" w:history="1">
        <w:r w:rsidRPr="000A66F7">
          <w:rPr>
            <w:rStyle w:val="Lienhypertexte"/>
            <w:rFonts w:ascii="Calibri" w:hAnsi="Calibri" w:cs="Calibri"/>
            <w:color w:val="0645AD"/>
            <w:shd w:val="clear" w:color="auto" w:fill="FFFFFF"/>
          </w:rPr>
          <w:t>taro</w:t>
        </w:r>
      </w:hyperlink>
      <w:r w:rsidRPr="000A66F7">
        <w:rPr>
          <w:rFonts w:ascii="Calibri" w:hAnsi="Calibri" w:cs="Calibri"/>
          <w:color w:val="202122"/>
          <w:shd w:val="clear" w:color="auto" w:fill="FFFFFF"/>
        </w:rPr>
        <w:t xml:space="preserve"> », </w:t>
      </w:r>
      <w:r w:rsidRPr="000A66F7">
        <w:rPr>
          <w:rFonts w:ascii="Calibri" w:hAnsi="Calibri" w:cs="Calibri"/>
          <w:color w:val="000000" w:themeColor="text1"/>
          <w:shd w:val="clear" w:color="auto" w:fill="FFFFFF"/>
        </w:rPr>
        <w:t>terme générique qui au sens strict désigne </w:t>
      </w:r>
      <w:r w:rsidRPr="000A66F7">
        <w:rPr>
          <w:rFonts w:ascii="Calibri" w:hAnsi="Calibri" w:cs="Calibri"/>
          <w:i/>
          <w:iCs/>
          <w:color w:val="000000" w:themeColor="text1"/>
          <w:shd w:val="clear" w:color="auto" w:fill="FFFFFF"/>
        </w:rPr>
        <w:t>Colocasia esculenta</w:t>
      </w:r>
      <w:r w:rsidRPr="000A66F7">
        <w:rPr>
          <w:rFonts w:ascii="Calibri" w:hAnsi="Calibri" w:cs="Calibri"/>
          <w:color w:val="000000" w:themeColor="text1"/>
          <w:shd w:val="clear" w:color="auto" w:fill="FFFFFF"/>
        </w:rPr>
        <w:t>, mais est parfois utilisé pour désigner diverses espèces d’</w:t>
      </w:r>
      <w:r w:rsidRPr="000A66F7">
        <w:rPr>
          <w:rFonts w:ascii="Calibri" w:hAnsi="Calibri" w:cs="Calibri"/>
          <w:i/>
          <w:iCs/>
          <w:color w:val="000000" w:themeColor="text1"/>
          <w:shd w:val="clear" w:color="auto" w:fill="FFFFFF"/>
        </w:rPr>
        <w:t>Araceae</w:t>
      </w:r>
      <w:r w:rsidRPr="000A66F7">
        <w:rPr>
          <w:rFonts w:ascii="Calibri" w:hAnsi="Calibri" w:cs="Calibri"/>
          <w:color w:val="000000" w:themeColor="text1"/>
          <w:shd w:val="clear" w:color="auto" w:fill="FFFFFF"/>
        </w:rPr>
        <w:t> à tubercules alimentaires, notamment dans les genres </w:t>
      </w:r>
      <w:r w:rsidRPr="000A66F7">
        <w:rPr>
          <w:rFonts w:ascii="Calibri" w:hAnsi="Calibri" w:cs="Calibri"/>
          <w:i/>
          <w:iCs/>
          <w:color w:val="000000" w:themeColor="text1"/>
          <w:shd w:val="clear" w:color="auto" w:fill="FFFFFF"/>
        </w:rPr>
        <w:t>Colocasia</w:t>
      </w:r>
      <w:r w:rsidRPr="000A66F7">
        <w:rPr>
          <w:rFonts w:ascii="Calibri" w:hAnsi="Calibri" w:cs="Calibri"/>
          <w:color w:val="000000" w:themeColor="text1"/>
          <w:shd w:val="clear" w:color="auto" w:fill="FFFFFF"/>
        </w:rPr>
        <w:t>, </w:t>
      </w:r>
      <w:r w:rsidRPr="000A66F7">
        <w:rPr>
          <w:rFonts w:ascii="Calibri" w:hAnsi="Calibri" w:cs="Calibri"/>
          <w:i/>
          <w:iCs/>
          <w:color w:val="000000" w:themeColor="text1"/>
          <w:shd w:val="clear" w:color="auto" w:fill="FFFFFF"/>
        </w:rPr>
        <w:t>Alocasia</w:t>
      </w:r>
      <w:r w:rsidRPr="000A66F7">
        <w:rPr>
          <w:rFonts w:ascii="Calibri" w:hAnsi="Calibri" w:cs="Calibri"/>
          <w:color w:val="000000" w:themeColor="text1"/>
          <w:shd w:val="clear" w:color="auto" w:fill="FFFFFF"/>
        </w:rPr>
        <w:t> et </w:t>
      </w:r>
      <w:r w:rsidRPr="000A66F7">
        <w:rPr>
          <w:rFonts w:ascii="Calibri" w:hAnsi="Calibri" w:cs="Calibri"/>
          <w:i/>
          <w:iCs/>
          <w:color w:val="000000" w:themeColor="text1"/>
          <w:shd w:val="clear" w:color="auto" w:fill="FFFFFF"/>
        </w:rPr>
        <w:t>Xanthosoma</w:t>
      </w:r>
      <w:r w:rsidRPr="000A66F7">
        <w:rPr>
          <w:rFonts w:ascii="Calibri" w:hAnsi="Calibri" w:cs="Calibri"/>
          <w:color w:val="000000" w:themeColor="text1"/>
          <w:shd w:val="clear" w:color="auto" w:fill="FFFFFF"/>
        </w:rPr>
        <w:t>. Le terme désigne aussi le corme (ou tubercule) lui-même</w:t>
      </w:r>
      <w:r w:rsidRPr="000A66F7">
        <w:rPr>
          <w:rFonts w:ascii="Calibri" w:hAnsi="Calibri" w:cs="Calibri"/>
          <w:color w:val="000000" w:themeColor="text1"/>
        </w:rPr>
        <w:t>.</w:t>
      </w:r>
    </w:p>
    <w:p w14:paraId="28734FDA" w14:textId="70CF4117" w:rsidR="000A66F7" w:rsidRPr="000A66F7" w:rsidRDefault="000A66F7" w:rsidP="000A66F7">
      <w:pPr>
        <w:spacing w:after="0" w:line="240" w:lineRule="auto"/>
        <w:jc w:val="both"/>
        <w:rPr>
          <w:rFonts w:ascii="Calibri" w:hAnsi="Calibri" w:cs="Calibri"/>
          <w:color w:val="000000" w:themeColor="text1"/>
          <w:shd w:val="clear" w:color="auto" w:fill="FFFFFF"/>
        </w:rPr>
      </w:pPr>
      <w:r w:rsidRPr="000A66F7">
        <w:rPr>
          <w:rFonts w:ascii="Calibri" w:hAnsi="Calibri" w:cs="Calibri"/>
          <w:color w:val="000000" w:themeColor="text1"/>
          <w:shd w:val="clear" w:color="auto" w:fill="FFFFFF"/>
        </w:rPr>
        <w:t xml:space="preserve">Le </w:t>
      </w:r>
      <w:r w:rsidRPr="000A66F7">
        <w:rPr>
          <w:rFonts w:ascii="Calibri" w:hAnsi="Calibri" w:cs="Calibri"/>
          <w:i/>
          <w:iCs/>
          <w:color w:val="000000" w:themeColor="text1"/>
          <w:shd w:val="clear" w:color="auto" w:fill="FFFFFF"/>
        </w:rPr>
        <w:t>Colocasia</w:t>
      </w:r>
      <w:r w:rsidRPr="000A66F7">
        <w:rPr>
          <w:rFonts w:ascii="Calibri" w:hAnsi="Calibri" w:cs="Calibri"/>
          <w:color w:val="000000" w:themeColor="text1"/>
          <w:shd w:val="clear" w:color="auto" w:fill="FFFFFF"/>
        </w:rPr>
        <w:t>, ou taro vrai, est une plante herbacée vivace par son </w:t>
      </w:r>
      <w:hyperlink r:id="rId1525" w:tooltip="Rhizome" w:history="1">
        <w:r w:rsidRPr="000A66F7">
          <w:rPr>
            <w:rStyle w:val="Lienhypertexte"/>
            <w:rFonts w:ascii="Calibri" w:hAnsi="Calibri" w:cs="Calibri"/>
            <w:color w:val="0645AD"/>
            <w:shd w:val="clear" w:color="auto" w:fill="FFFFFF"/>
          </w:rPr>
          <w:t>rhizome</w:t>
        </w:r>
      </w:hyperlink>
      <w:r w:rsidRPr="000A66F7">
        <w:rPr>
          <w:rFonts w:ascii="Calibri" w:hAnsi="Calibri" w:cs="Calibri"/>
          <w:color w:val="202122"/>
          <w:shd w:val="clear" w:color="auto" w:fill="FFFFFF"/>
        </w:rPr>
        <w:t> </w:t>
      </w:r>
      <w:r w:rsidRPr="000A66F7">
        <w:rPr>
          <w:rFonts w:ascii="Calibri" w:hAnsi="Calibri" w:cs="Calibri"/>
          <w:color w:val="000000" w:themeColor="text1"/>
          <w:shd w:val="clear" w:color="auto" w:fill="FFFFFF"/>
        </w:rPr>
        <w:t>tubéreux qui est de grosseur variable et forme un corme, </w:t>
      </w:r>
      <w:hyperlink r:id="rId1526" w:tooltip="Tubercule" w:history="1">
        <w:r w:rsidRPr="000A66F7">
          <w:rPr>
            <w:rStyle w:val="Lienhypertexte"/>
            <w:rFonts w:ascii="Calibri" w:hAnsi="Calibri" w:cs="Calibri"/>
            <w:color w:val="0645AD"/>
            <w:shd w:val="clear" w:color="auto" w:fill="FFFFFF"/>
          </w:rPr>
          <w:t>tubercule</w:t>
        </w:r>
      </w:hyperlink>
      <w:r w:rsidRPr="000A66F7">
        <w:rPr>
          <w:rFonts w:ascii="Calibri" w:hAnsi="Calibri" w:cs="Calibri"/>
          <w:color w:val="202122"/>
          <w:shd w:val="clear" w:color="auto" w:fill="FFFFFF"/>
        </w:rPr>
        <w:t> </w:t>
      </w:r>
      <w:r w:rsidRPr="000A66F7">
        <w:rPr>
          <w:rFonts w:ascii="Calibri" w:hAnsi="Calibri" w:cs="Calibri"/>
          <w:color w:val="000000" w:themeColor="text1"/>
          <w:shd w:val="clear" w:color="auto" w:fill="FFFFFF"/>
        </w:rPr>
        <w:t xml:space="preserve">d'aspect écailleux, à peau épaisse, résultant de l'épaississement souterrain de ce rhizome. </w:t>
      </w:r>
    </w:p>
    <w:p w14:paraId="5A00FB53" w14:textId="5610D1CB" w:rsidR="000A66F7" w:rsidRPr="000A66F7" w:rsidRDefault="000A66F7" w:rsidP="000A66F7">
      <w:pPr>
        <w:spacing w:after="0" w:line="240" w:lineRule="auto"/>
        <w:jc w:val="both"/>
        <w:rPr>
          <w:rFonts w:ascii="Calibri" w:hAnsi="Calibri" w:cs="Calibri"/>
          <w:color w:val="202122"/>
          <w:shd w:val="clear" w:color="auto" w:fill="FFFFFF"/>
        </w:rPr>
      </w:pPr>
      <w:r w:rsidRPr="000A66F7">
        <w:rPr>
          <w:rFonts w:ascii="Calibri" w:hAnsi="Calibri" w:cs="Calibri"/>
          <w:color w:val="000000" w:themeColor="text1"/>
          <w:u w:val="single"/>
          <w:shd w:val="clear" w:color="auto" w:fill="FFFFFF"/>
        </w:rPr>
        <w:t>Feuilles</w:t>
      </w:r>
      <w:r w:rsidRPr="000A66F7">
        <w:rPr>
          <w:rFonts w:ascii="Calibri" w:hAnsi="Calibri" w:cs="Calibri"/>
          <w:color w:val="000000" w:themeColor="text1"/>
          <w:shd w:val="clear" w:color="auto" w:fill="FFFFFF"/>
        </w:rPr>
        <w:t> : Les feuilles grandes et belles, vertes plus ou moins foncées, parfois violacées, sont peltées, à limbe cordiforme à la base, parfois un peu sagittées. Le limbe peut atteindre 70 cm de longueur sur 60 cm de largeur et présente un bon effet déperlant - </w:t>
      </w:r>
      <w:hyperlink r:id="rId1527" w:tooltip="Effet lotus" w:history="1">
        <w:r w:rsidRPr="000A66F7">
          <w:rPr>
            <w:rStyle w:val="Lienhypertexte"/>
            <w:rFonts w:ascii="Calibri" w:hAnsi="Calibri" w:cs="Calibri"/>
            <w:color w:val="0645AD"/>
            <w:shd w:val="clear" w:color="auto" w:fill="FFFFFF"/>
          </w:rPr>
          <w:t>effet lotus</w:t>
        </w:r>
      </w:hyperlink>
      <w:r w:rsidRPr="000A66F7">
        <w:rPr>
          <w:rFonts w:ascii="Calibri" w:hAnsi="Calibri" w:cs="Calibri"/>
          <w:color w:val="202122"/>
          <w:shd w:val="clear" w:color="auto" w:fill="FFFFFF"/>
        </w:rPr>
        <w:t>.</w:t>
      </w:r>
    </w:p>
    <w:p w14:paraId="5E4D30C9" w14:textId="0AD15523" w:rsidR="000A66F7" w:rsidRPr="000A66F7" w:rsidRDefault="000A66F7" w:rsidP="000A66F7">
      <w:pPr>
        <w:spacing w:after="0" w:line="240" w:lineRule="auto"/>
        <w:jc w:val="both"/>
        <w:rPr>
          <w:rFonts w:ascii="Calibri" w:hAnsi="Calibri" w:cs="Calibri"/>
          <w:color w:val="000000" w:themeColor="text1"/>
          <w:shd w:val="clear" w:color="auto" w:fill="FFFFFF"/>
        </w:rPr>
      </w:pPr>
      <w:r w:rsidRPr="000A66F7">
        <w:rPr>
          <w:rFonts w:ascii="Calibri" w:hAnsi="Calibri" w:cs="Calibri"/>
          <w:color w:val="000000" w:themeColor="text1"/>
          <w:u w:val="single"/>
          <w:shd w:val="clear" w:color="auto" w:fill="FFFFFF"/>
        </w:rPr>
        <w:t>Fleurs</w:t>
      </w:r>
      <w:r w:rsidRPr="000A66F7">
        <w:rPr>
          <w:rFonts w:ascii="Calibri" w:hAnsi="Calibri" w:cs="Calibri"/>
          <w:color w:val="000000" w:themeColor="text1"/>
          <w:shd w:val="clear" w:color="auto" w:fill="FFFFFF"/>
        </w:rPr>
        <w:t> : Les </w:t>
      </w:r>
      <w:hyperlink r:id="rId1528" w:tooltip="Inflorescence" w:history="1">
        <w:r w:rsidRPr="000A66F7">
          <w:rPr>
            <w:rStyle w:val="Lienhypertexte"/>
            <w:rFonts w:ascii="Calibri" w:hAnsi="Calibri" w:cs="Calibri"/>
            <w:color w:val="0645AD"/>
            <w:shd w:val="clear" w:color="auto" w:fill="FFFFFF"/>
          </w:rPr>
          <w:t>inflorescences</w:t>
        </w:r>
      </w:hyperlink>
      <w:r w:rsidRPr="000A66F7">
        <w:rPr>
          <w:rFonts w:ascii="Calibri" w:hAnsi="Calibri" w:cs="Calibri"/>
          <w:color w:val="202122"/>
          <w:shd w:val="clear" w:color="auto" w:fill="FFFFFF"/>
        </w:rPr>
        <w:t> </w:t>
      </w:r>
      <w:r w:rsidRPr="000A66F7">
        <w:rPr>
          <w:rFonts w:ascii="Calibri" w:hAnsi="Calibri" w:cs="Calibri"/>
          <w:color w:val="000000" w:themeColor="text1"/>
          <w:shd w:val="clear" w:color="auto" w:fill="FFFFFF"/>
        </w:rPr>
        <w:t>se présentent sous forme d'un </w:t>
      </w:r>
      <w:hyperlink r:id="rId1529" w:tooltip="Spadice" w:history="1">
        <w:r w:rsidRPr="000A66F7">
          <w:rPr>
            <w:rStyle w:val="Lienhypertexte"/>
            <w:rFonts w:ascii="Calibri" w:hAnsi="Calibri" w:cs="Calibri"/>
            <w:color w:val="0645AD"/>
            <w:shd w:val="clear" w:color="auto" w:fill="FFFFFF"/>
          </w:rPr>
          <w:t>spadice</w:t>
        </w:r>
      </w:hyperlink>
      <w:r w:rsidRPr="000A66F7">
        <w:rPr>
          <w:rFonts w:ascii="Calibri" w:hAnsi="Calibri" w:cs="Calibri"/>
          <w:color w:val="202122"/>
          <w:shd w:val="clear" w:color="auto" w:fill="FFFFFF"/>
        </w:rPr>
        <w:t> </w:t>
      </w:r>
      <w:r w:rsidRPr="000A66F7">
        <w:rPr>
          <w:rFonts w:ascii="Calibri" w:hAnsi="Calibri" w:cs="Calibri"/>
          <w:color w:val="000000" w:themeColor="text1"/>
          <w:shd w:val="clear" w:color="auto" w:fill="FFFFFF"/>
        </w:rPr>
        <w:t>cylindrique, terminé par un appendice acuminé et rose. Les fleurs femelles jaunes occupent la base du spadice et donneront les fruits, de petites baies uniloculaires. Les fleurs mâles garnissent la partie supérieure. Un</w:t>
      </w:r>
      <w:r w:rsidRPr="000A66F7">
        <w:rPr>
          <w:rFonts w:ascii="Calibri" w:hAnsi="Calibri" w:cs="Calibri"/>
          <w:color w:val="202122"/>
          <w:shd w:val="clear" w:color="auto" w:fill="FFFFFF"/>
        </w:rPr>
        <w:t>e </w:t>
      </w:r>
      <w:hyperlink r:id="rId1530" w:tooltip="Spathe" w:history="1">
        <w:r w:rsidRPr="000A66F7">
          <w:rPr>
            <w:rStyle w:val="Lienhypertexte"/>
            <w:rFonts w:ascii="Calibri" w:hAnsi="Calibri" w:cs="Calibri"/>
            <w:color w:val="0645AD"/>
            <w:shd w:val="clear" w:color="auto" w:fill="FFFFFF"/>
          </w:rPr>
          <w:t>spathe</w:t>
        </w:r>
      </w:hyperlink>
      <w:r w:rsidRPr="000A66F7">
        <w:rPr>
          <w:rFonts w:ascii="Calibri" w:hAnsi="Calibri" w:cs="Calibri"/>
          <w:color w:val="202122"/>
          <w:shd w:val="clear" w:color="auto" w:fill="FFFFFF"/>
        </w:rPr>
        <w:t> </w:t>
      </w:r>
      <w:r w:rsidRPr="000A66F7">
        <w:rPr>
          <w:rFonts w:ascii="Calibri" w:hAnsi="Calibri" w:cs="Calibri"/>
          <w:color w:val="000000" w:themeColor="text1"/>
          <w:shd w:val="clear" w:color="auto" w:fill="FFFFFF"/>
        </w:rPr>
        <w:t>longue et étroite, se recourbant légèrement au sommet, est enroulée en cornet autour du spadice. L'ensemble est une structure caractéristique des </w:t>
      </w:r>
      <w:hyperlink r:id="rId1531" w:tooltip="Aracées" w:history="1">
        <w:r w:rsidRPr="000A66F7">
          <w:rPr>
            <w:rStyle w:val="Lienhypertexte"/>
            <w:rFonts w:ascii="Calibri" w:hAnsi="Calibri" w:cs="Calibri"/>
            <w:color w:val="0645AD"/>
            <w:shd w:val="clear" w:color="auto" w:fill="FFFFFF"/>
          </w:rPr>
          <w:t>Aracées</w:t>
        </w:r>
      </w:hyperlink>
      <w:r w:rsidRPr="000A66F7">
        <w:rPr>
          <w:rFonts w:ascii="Calibri" w:hAnsi="Calibri" w:cs="Calibri"/>
          <w:color w:val="202122"/>
          <w:shd w:val="clear" w:color="auto" w:fill="FFFFFF"/>
        </w:rPr>
        <w:t xml:space="preserve">, </w:t>
      </w:r>
      <w:r w:rsidRPr="000A66F7">
        <w:rPr>
          <w:rFonts w:ascii="Calibri" w:hAnsi="Calibri" w:cs="Calibri"/>
          <w:color w:val="000000" w:themeColor="text1"/>
          <w:shd w:val="clear" w:color="auto" w:fill="FFFFFF"/>
        </w:rPr>
        <w:t>bien connue chez les Arums ornementaux.</w:t>
      </w:r>
    </w:p>
    <w:p w14:paraId="1BBBD4D7" w14:textId="748B9E4C" w:rsidR="000A66F7" w:rsidRDefault="000A66F7" w:rsidP="000A66F7">
      <w:pPr>
        <w:spacing w:after="0" w:line="240" w:lineRule="auto"/>
        <w:jc w:val="both"/>
        <w:rPr>
          <w:rFonts w:ascii="Calibri" w:hAnsi="Calibri" w:cs="Calibri"/>
        </w:rPr>
      </w:pPr>
      <w:r w:rsidRPr="000A66F7">
        <w:rPr>
          <w:rFonts w:ascii="Calibri" w:hAnsi="Calibri" w:cs="Calibri"/>
          <w:color w:val="000000" w:themeColor="text1"/>
          <w:u w:val="single"/>
          <w:shd w:val="clear" w:color="auto" w:fill="FFFFFF"/>
        </w:rPr>
        <w:t>Ere de répartition</w:t>
      </w:r>
      <w:r w:rsidRPr="000A66F7">
        <w:rPr>
          <w:rFonts w:ascii="Calibri" w:hAnsi="Calibri" w:cs="Calibri"/>
          <w:color w:val="000000" w:themeColor="text1"/>
          <w:shd w:val="clear" w:color="auto" w:fill="FFFFFF"/>
        </w:rPr>
        <w:t xml:space="preserve"> : </w:t>
      </w:r>
      <w:r w:rsidRPr="00AF3D3C">
        <w:rPr>
          <w:rFonts w:ascii="Calibri" w:hAnsi="Calibri" w:cs="Calibri"/>
          <w:color w:val="000000" w:themeColor="text1"/>
          <w:shd w:val="clear" w:color="auto" w:fill="FFFFFF"/>
        </w:rPr>
        <w:t xml:space="preserve">La plante </w:t>
      </w:r>
      <w:r w:rsidR="00AF3D3C" w:rsidRPr="00AF3D3C">
        <w:rPr>
          <w:rFonts w:ascii="Calibri" w:hAnsi="Calibri" w:cs="Calibri"/>
          <w:color w:val="000000" w:themeColor="text1"/>
          <w:shd w:val="clear" w:color="auto" w:fill="FFFFFF"/>
        </w:rPr>
        <w:t>se trouve</w:t>
      </w:r>
      <w:r w:rsidRPr="00AF3D3C">
        <w:rPr>
          <w:rFonts w:ascii="Calibri" w:hAnsi="Calibri" w:cs="Calibri"/>
          <w:color w:val="000000" w:themeColor="text1"/>
          <w:shd w:val="clear" w:color="auto" w:fill="FFFFFF"/>
        </w:rPr>
        <w:t xml:space="preserve"> dans toute </w:t>
      </w:r>
      <w:r w:rsidRPr="000A66F7">
        <w:rPr>
          <w:rFonts w:ascii="Calibri" w:hAnsi="Calibri" w:cs="Calibri"/>
          <w:color w:val="202122"/>
          <w:shd w:val="clear" w:color="auto" w:fill="FFFFFF"/>
        </w:rPr>
        <w:t>l'</w:t>
      </w:r>
      <w:hyperlink r:id="rId1532" w:tooltip="Océanie" w:history="1">
        <w:r w:rsidRPr="000A66F7">
          <w:rPr>
            <w:rStyle w:val="Lienhypertexte"/>
            <w:rFonts w:ascii="Calibri" w:hAnsi="Calibri" w:cs="Calibri"/>
            <w:color w:val="0645AD"/>
            <w:shd w:val="clear" w:color="auto" w:fill="FFFFFF"/>
          </w:rPr>
          <w:t>Océanie</w:t>
        </w:r>
      </w:hyperlink>
      <w:r w:rsidR="00AF3D3C">
        <w:rPr>
          <w:rFonts w:ascii="Calibri" w:hAnsi="Calibri" w:cs="Calibri"/>
        </w:rPr>
        <w:t>,</w:t>
      </w:r>
      <w:r w:rsidRPr="000A66F7">
        <w:rPr>
          <w:rFonts w:ascii="Calibri" w:hAnsi="Calibri" w:cs="Calibri"/>
          <w:color w:val="202122"/>
          <w:shd w:val="clear" w:color="auto" w:fill="FFFFFF"/>
        </w:rPr>
        <w:t xml:space="preserve">  </w:t>
      </w:r>
      <w:r w:rsidR="00AF3D3C" w:rsidRPr="00AF3D3C">
        <w:rPr>
          <w:rFonts w:ascii="Calibri" w:hAnsi="Calibri" w:cs="Calibri"/>
          <w:color w:val="000000" w:themeColor="text1"/>
          <w:shd w:val="clear" w:color="auto" w:fill="FFFFFF"/>
        </w:rPr>
        <w:t xml:space="preserve">en </w:t>
      </w:r>
      <w:hyperlink r:id="rId1533" w:tooltip="Amérique" w:history="1">
        <w:r w:rsidRPr="000A66F7">
          <w:rPr>
            <w:rStyle w:val="Lienhypertexte"/>
            <w:rFonts w:ascii="Calibri" w:hAnsi="Calibri" w:cs="Calibri"/>
            <w:color w:val="0645AD"/>
            <w:shd w:val="clear" w:color="auto" w:fill="FFFFFF"/>
          </w:rPr>
          <w:t>Amérique</w:t>
        </w:r>
      </w:hyperlink>
      <w:r w:rsidRPr="000A66F7">
        <w:rPr>
          <w:rFonts w:ascii="Calibri" w:hAnsi="Calibri" w:cs="Calibri"/>
          <w:color w:val="202122"/>
          <w:shd w:val="clear" w:color="auto" w:fill="FFFFFF"/>
        </w:rPr>
        <w:t> </w:t>
      </w:r>
      <w:r w:rsidRPr="00AF3D3C">
        <w:rPr>
          <w:rFonts w:ascii="Calibri" w:hAnsi="Calibri" w:cs="Calibri"/>
          <w:color w:val="000000" w:themeColor="text1"/>
          <w:shd w:val="clear" w:color="auto" w:fill="FFFFFF"/>
        </w:rPr>
        <w:t>tropicale, et en </w:t>
      </w:r>
      <w:hyperlink r:id="rId1534" w:tooltip="Afrique" w:history="1">
        <w:r w:rsidRPr="000A66F7">
          <w:rPr>
            <w:rStyle w:val="Lienhypertexte"/>
            <w:rFonts w:ascii="Calibri" w:hAnsi="Calibri" w:cs="Calibri"/>
            <w:color w:val="0645AD"/>
            <w:shd w:val="clear" w:color="auto" w:fill="FFFFFF"/>
          </w:rPr>
          <w:t>Afrique</w:t>
        </w:r>
      </w:hyperlink>
      <w:r w:rsidRPr="000A66F7">
        <w:rPr>
          <w:rFonts w:ascii="Calibri" w:hAnsi="Calibri" w:cs="Calibri"/>
        </w:rPr>
        <w:t xml:space="preserve">. </w:t>
      </w:r>
    </w:p>
    <w:p w14:paraId="7EADE6DF" w14:textId="51734F40" w:rsidR="00614C93" w:rsidRPr="00614C93" w:rsidRDefault="00614C93" w:rsidP="00614C93">
      <w:pPr>
        <w:spacing w:after="0" w:line="240" w:lineRule="auto"/>
        <w:jc w:val="both"/>
        <w:rPr>
          <w:rFonts w:ascii="Calibri" w:hAnsi="Calibri" w:cs="Calibri"/>
        </w:rPr>
      </w:pPr>
      <w:r w:rsidRPr="00614C93">
        <w:rPr>
          <w:rFonts w:ascii="Calibri" w:hAnsi="Calibri" w:cs="Calibri"/>
          <w:u w:val="single"/>
        </w:rPr>
        <w:t>Culture</w:t>
      </w:r>
      <w:r>
        <w:rPr>
          <w:rFonts w:ascii="Calibri" w:hAnsi="Calibri" w:cs="Calibri"/>
        </w:rPr>
        <w:t xml:space="preserve"> : </w:t>
      </w:r>
      <w:r w:rsidRPr="00614C93">
        <w:rPr>
          <w:rFonts w:ascii="Calibri" w:hAnsi="Calibri" w:cs="Calibri"/>
        </w:rPr>
        <w:t>Le taro ne tolère pas les changements brusques de température. La température optimale pour</w:t>
      </w:r>
      <w:r>
        <w:rPr>
          <w:rFonts w:ascii="Calibri" w:hAnsi="Calibri" w:cs="Calibri"/>
        </w:rPr>
        <w:t xml:space="preserve"> </w:t>
      </w:r>
      <w:r w:rsidRPr="00614C93">
        <w:rPr>
          <w:rFonts w:ascii="Calibri" w:hAnsi="Calibri" w:cs="Calibri"/>
        </w:rPr>
        <w:t>son développement serait de 21°C (ONWUEME, 1999). Son exigence pluviométrique est de</w:t>
      </w:r>
      <w:r>
        <w:rPr>
          <w:rFonts w:ascii="Calibri" w:hAnsi="Calibri" w:cs="Calibri"/>
        </w:rPr>
        <w:t xml:space="preserve"> </w:t>
      </w:r>
      <w:r w:rsidRPr="00614C93">
        <w:rPr>
          <w:rFonts w:ascii="Calibri" w:hAnsi="Calibri" w:cs="Calibri"/>
        </w:rPr>
        <w:t>l'ordre de 2000 mm d'eau par an bien repartie dans le temps. Il supporte une nappe phréatique</w:t>
      </w:r>
      <w:r>
        <w:rPr>
          <w:rFonts w:ascii="Calibri" w:hAnsi="Calibri" w:cs="Calibri"/>
        </w:rPr>
        <w:t xml:space="preserve"> </w:t>
      </w:r>
      <w:r w:rsidRPr="00614C93">
        <w:rPr>
          <w:rFonts w:ascii="Calibri" w:hAnsi="Calibri" w:cs="Calibri"/>
        </w:rPr>
        <w:t>élevée et peut être cultivé dans des tarodières irriguées comparables aux rizières (CABURET</w:t>
      </w:r>
      <w:r>
        <w:rPr>
          <w:rFonts w:ascii="Calibri" w:hAnsi="Calibri" w:cs="Calibri"/>
        </w:rPr>
        <w:t xml:space="preserve"> </w:t>
      </w:r>
      <w:r w:rsidRPr="00614C93">
        <w:rPr>
          <w:rFonts w:ascii="Calibri" w:hAnsi="Calibri" w:cs="Calibri"/>
        </w:rPr>
        <w:t>et al., 2007). Cependant, le taro peut se développer sur des sols peu arrosés. En fonction des</w:t>
      </w:r>
      <w:r>
        <w:rPr>
          <w:rFonts w:ascii="Calibri" w:hAnsi="Calibri" w:cs="Calibri"/>
        </w:rPr>
        <w:t xml:space="preserve"> </w:t>
      </w:r>
      <w:r w:rsidRPr="00614C93">
        <w:rPr>
          <w:rFonts w:ascii="Calibri" w:hAnsi="Calibri" w:cs="Calibri"/>
        </w:rPr>
        <w:t>besoins en eau, IVANCIC et LEBOT (2000) ont classé les cultivars du taro en trois groupes</w:t>
      </w:r>
      <w:r>
        <w:rPr>
          <w:rFonts w:ascii="Calibri" w:hAnsi="Calibri" w:cs="Calibri"/>
        </w:rPr>
        <w:t xml:space="preserve"> </w:t>
      </w:r>
      <w:r w:rsidRPr="00614C93">
        <w:rPr>
          <w:rFonts w:ascii="Calibri" w:hAnsi="Calibri" w:cs="Calibri"/>
        </w:rPr>
        <w:t>:</w:t>
      </w:r>
    </w:p>
    <w:p w14:paraId="707EEF79" w14:textId="77777777" w:rsidR="00614C93" w:rsidRPr="00614C93" w:rsidRDefault="00614C93" w:rsidP="00614C93">
      <w:pPr>
        <w:spacing w:after="0" w:line="240" w:lineRule="auto"/>
        <w:jc w:val="both"/>
        <w:rPr>
          <w:rFonts w:ascii="Calibri" w:hAnsi="Calibri" w:cs="Calibri"/>
        </w:rPr>
      </w:pPr>
      <w:r w:rsidRPr="00614C93">
        <w:rPr>
          <w:rFonts w:ascii="Calibri" w:hAnsi="Calibri" w:cs="Calibri"/>
        </w:rPr>
        <w:t>- les cultivars adaptés aux sols bien arrosés, irrigués, voire aux marécages;</w:t>
      </w:r>
    </w:p>
    <w:p w14:paraId="50B5D58A" w14:textId="77777777" w:rsidR="00614C93" w:rsidRPr="00614C93" w:rsidRDefault="00614C93" w:rsidP="00614C93">
      <w:pPr>
        <w:spacing w:after="0" w:line="240" w:lineRule="auto"/>
        <w:jc w:val="both"/>
        <w:rPr>
          <w:rFonts w:ascii="Calibri" w:hAnsi="Calibri" w:cs="Calibri"/>
        </w:rPr>
      </w:pPr>
      <w:r w:rsidRPr="00614C93">
        <w:rPr>
          <w:rFonts w:ascii="Calibri" w:hAnsi="Calibri" w:cs="Calibri"/>
        </w:rPr>
        <w:t>- les cultivars intermédiaires adaptés aux sols moyennement arrosés;</w:t>
      </w:r>
    </w:p>
    <w:p w14:paraId="2B44D042" w14:textId="6ACDEE37" w:rsidR="00614C93" w:rsidRPr="000A66F7" w:rsidRDefault="00614C93" w:rsidP="00614C93">
      <w:pPr>
        <w:spacing w:after="0" w:line="240" w:lineRule="auto"/>
        <w:jc w:val="both"/>
        <w:rPr>
          <w:rFonts w:ascii="Calibri" w:hAnsi="Calibri" w:cs="Calibri"/>
        </w:rPr>
      </w:pPr>
      <w:r w:rsidRPr="00614C93">
        <w:rPr>
          <w:rFonts w:ascii="Calibri" w:hAnsi="Calibri" w:cs="Calibri"/>
        </w:rPr>
        <w:t>- et les cultivars adaptés aux sols relativement peu arrosés.</w:t>
      </w:r>
    </w:p>
    <w:p w14:paraId="18572651" w14:textId="5270A58B" w:rsidR="000A66F7" w:rsidRDefault="000A66F7" w:rsidP="000A66F7">
      <w:pPr>
        <w:spacing w:after="0" w:line="240" w:lineRule="auto"/>
        <w:jc w:val="both"/>
        <w:rPr>
          <w:rFonts w:ascii="Calibri" w:hAnsi="Calibri" w:cs="Calibri"/>
          <w:color w:val="000000" w:themeColor="text1"/>
          <w:shd w:val="clear" w:color="auto" w:fill="FFFFFF"/>
        </w:rPr>
      </w:pPr>
      <w:r w:rsidRPr="000A66F7">
        <w:rPr>
          <w:rFonts w:ascii="Calibri" w:hAnsi="Calibri" w:cs="Calibri"/>
          <w:u w:val="single"/>
        </w:rPr>
        <w:t>Reproduction</w:t>
      </w:r>
      <w:r w:rsidRPr="000A66F7">
        <w:rPr>
          <w:rFonts w:ascii="Calibri" w:hAnsi="Calibri" w:cs="Calibri"/>
        </w:rPr>
        <w:t xml:space="preserve"> : </w:t>
      </w:r>
      <w:r w:rsidRPr="00AF3D3C">
        <w:rPr>
          <w:rFonts w:ascii="Calibri" w:hAnsi="Calibri" w:cs="Calibri"/>
          <w:color w:val="000000" w:themeColor="text1"/>
          <w:shd w:val="clear" w:color="auto" w:fill="FFFFFF"/>
        </w:rPr>
        <w:t xml:space="preserve">La multiplication se fait par bouture ou division du tubercule, en conservant un œil par fragment. La plantation se fait au début de la saison des pluies. On l'associe avec d'autres plantes telles que </w:t>
      </w:r>
      <w:r w:rsidRPr="000A66F7">
        <w:rPr>
          <w:rFonts w:ascii="Calibri" w:hAnsi="Calibri" w:cs="Calibri"/>
          <w:color w:val="202122"/>
          <w:shd w:val="clear" w:color="auto" w:fill="FFFFFF"/>
        </w:rPr>
        <w:t>l'</w:t>
      </w:r>
      <w:hyperlink r:id="rId1535" w:tooltip="Igname" w:history="1">
        <w:r w:rsidRPr="000A66F7">
          <w:rPr>
            <w:rStyle w:val="Lienhypertexte"/>
            <w:rFonts w:ascii="Calibri" w:hAnsi="Calibri" w:cs="Calibri"/>
            <w:color w:val="0645AD"/>
            <w:shd w:val="clear" w:color="auto" w:fill="FFFFFF"/>
          </w:rPr>
          <w:t>igname</w:t>
        </w:r>
      </w:hyperlink>
      <w:r w:rsidRPr="000A66F7">
        <w:rPr>
          <w:rFonts w:ascii="Calibri" w:hAnsi="Calibri" w:cs="Calibri"/>
          <w:color w:val="202122"/>
          <w:shd w:val="clear" w:color="auto" w:fill="FFFFFF"/>
        </w:rPr>
        <w:t> et l'</w:t>
      </w:r>
      <w:hyperlink r:id="rId1536" w:tooltip="Aubergine" w:history="1">
        <w:r w:rsidRPr="000A66F7">
          <w:rPr>
            <w:rStyle w:val="Lienhypertexte"/>
            <w:rFonts w:ascii="Calibri" w:hAnsi="Calibri" w:cs="Calibri"/>
            <w:color w:val="0645AD"/>
            <w:shd w:val="clear" w:color="auto" w:fill="FFFFFF"/>
          </w:rPr>
          <w:t>aubergine</w:t>
        </w:r>
      </w:hyperlink>
      <w:r w:rsidRPr="000A66F7">
        <w:rPr>
          <w:rFonts w:ascii="Calibri" w:hAnsi="Calibri" w:cs="Calibri"/>
          <w:color w:val="202122"/>
          <w:shd w:val="clear" w:color="auto" w:fill="FFFFFF"/>
        </w:rPr>
        <w:t xml:space="preserve">. </w:t>
      </w:r>
      <w:r w:rsidRPr="00AF3D3C">
        <w:rPr>
          <w:rFonts w:ascii="Calibri" w:hAnsi="Calibri" w:cs="Calibri"/>
          <w:color w:val="000000" w:themeColor="text1"/>
          <w:shd w:val="clear" w:color="auto" w:fill="FFFFFF"/>
        </w:rPr>
        <w:t>Son cycle végétatif s'étend de 8 à 18 mois. La plante exige un sol humide. La récolte des tubercules s'effectue dès que les feuilles les plus âgées dépérissent 6 à 7 mois après plantation. La production est très souvent vivrière, assez rarement commercialisée</w:t>
      </w:r>
      <w:r w:rsidRPr="000A66F7">
        <w:rPr>
          <w:rFonts w:ascii="Calibri" w:hAnsi="Calibri" w:cs="Calibri"/>
          <w:color w:val="202122"/>
          <w:shd w:val="clear" w:color="auto" w:fill="FFFFFF"/>
        </w:rPr>
        <w:t>. À </w:t>
      </w:r>
      <w:hyperlink r:id="rId1537" w:tooltip="Madagascar" w:history="1">
        <w:r w:rsidRPr="000A66F7">
          <w:rPr>
            <w:rStyle w:val="Lienhypertexte"/>
            <w:rFonts w:ascii="Calibri" w:hAnsi="Calibri" w:cs="Calibri"/>
            <w:color w:val="0645AD"/>
            <w:shd w:val="clear" w:color="auto" w:fill="FFFFFF"/>
          </w:rPr>
          <w:t>Madagascar</w:t>
        </w:r>
      </w:hyperlink>
      <w:r w:rsidRPr="000A66F7">
        <w:rPr>
          <w:rFonts w:ascii="Calibri" w:hAnsi="Calibri" w:cs="Calibri"/>
          <w:color w:val="202122"/>
          <w:shd w:val="clear" w:color="auto" w:fill="FFFFFF"/>
        </w:rPr>
        <w:t xml:space="preserve">, </w:t>
      </w:r>
      <w:r w:rsidRPr="00AF3D3C">
        <w:rPr>
          <w:rFonts w:ascii="Calibri" w:hAnsi="Calibri" w:cs="Calibri"/>
          <w:color w:val="000000" w:themeColor="text1"/>
          <w:shd w:val="clear" w:color="auto" w:fill="FFFFFF"/>
        </w:rPr>
        <w:t>les champs de taro (ou </w:t>
      </w:r>
      <w:hyperlink r:id="rId1538" w:tooltip="Tarodière (page inexistante)" w:history="1">
        <w:r w:rsidRPr="000A66F7">
          <w:rPr>
            <w:rStyle w:val="Lienhypertexte"/>
            <w:rFonts w:ascii="Calibri" w:hAnsi="Calibri" w:cs="Calibri"/>
            <w:color w:val="DD3333"/>
            <w:shd w:val="clear" w:color="auto" w:fill="FFFFFF"/>
          </w:rPr>
          <w:t>tarodières</w:t>
        </w:r>
      </w:hyperlink>
      <w:r w:rsidRPr="000A66F7">
        <w:rPr>
          <w:rFonts w:ascii="Calibri" w:hAnsi="Calibri" w:cs="Calibri"/>
          <w:color w:val="202122"/>
          <w:shd w:val="clear" w:color="auto" w:fill="FFFFFF"/>
        </w:rPr>
        <w:t xml:space="preserve">) </w:t>
      </w:r>
      <w:r w:rsidRPr="00AF3D3C">
        <w:rPr>
          <w:rFonts w:ascii="Calibri" w:hAnsi="Calibri" w:cs="Calibri"/>
          <w:color w:val="000000" w:themeColor="text1"/>
          <w:shd w:val="clear" w:color="auto" w:fill="FFFFFF"/>
        </w:rPr>
        <w:t>sont reconnaissables de loin aux trous circulaires pratiqués autour de chaque pied de taro pour favoriser le développement du tubercule.</w:t>
      </w:r>
    </w:p>
    <w:p w14:paraId="468B9E10" w14:textId="2930902A" w:rsidR="00AF3D3C" w:rsidRPr="00034A83" w:rsidRDefault="00AF3D3C" w:rsidP="000A66F7">
      <w:pPr>
        <w:spacing w:after="0" w:line="240" w:lineRule="auto"/>
        <w:jc w:val="both"/>
        <w:rPr>
          <w:rFonts w:ascii="Calibri" w:hAnsi="Calibri" w:cs="Calibri"/>
          <w:color w:val="000000" w:themeColor="text1"/>
          <w:shd w:val="clear" w:color="auto" w:fill="FFFFFF"/>
        </w:rPr>
      </w:pPr>
      <w:r w:rsidRPr="00AF3D3C">
        <w:rPr>
          <w:rFonts w:ascii="Calibri" w:hAnsi="Calibri" w:cs="Calibri"/>
          <w:color w:val="000000" w:themeColor="text1"/>
          <w:u w:val="single"/>
          <w:shd w:val="clear" w:color="auto" w:fill="FFFFFF"/>
        </w:rPr>
        <w:t>Alimentation</w:t>
      </w:r>
      <w:r>
        <w:rPr>
          <w:rFonts w:ascii="Calibri" w:hAnsi="Calibri" w:cs="Calibri"/>
          <w:color w:val="000000" w:themeColor="text1"/>
          <w:shd w:val="clear" w:color="auto" w:fill="FFFFFF"/>
        </w:rPr>
        <w:t xml:space="preserve"> : </w:t>
      </w:r>
      <w:r w:rsidRPr="00AF3D3C">
        <w:rPr>
          <w:rFonts w:ascii="Calibri" w:hAnsi="Calibri" w:cs="Calibri"/>
          <w:color w:val="000000" w:themeColor="text1"/>
          <w:shd w:val="clear" w:color="auto" w:fill="FFFFFF"/>
        </w:rPr>
        <w:t>Le Taro est essentiellement cultivé pour son tubercule, qui une fois déterré se conserve assez mal.</w:t>
      </w:r>
      <w:r>
        <w:rPr>
          <w:rFonts w:ascii="Calibri" w:hAnsi="Calibri" w:cs="Calibri"/>
          <w:color w:val="000000" w:themeColor="text1"/>
          <w:shd w:val="clear" w:color="auto" w:fill="FFFFFF"/>
        </w:rPr>
        <w:t xml:space="preserve"> </w:t>
      </w:r>
      <w:r w:rsidRPr="00AF3D3C">
        <w:rPr>
          <w:rFonts w:ascii="Calibri" w:hAnsi="Calibri" w:cs="Calibri"/>
          <w:color w:val="000000" w:themeColor="text1"/>
          <w:shd w:val="clear" w:color="auto" w:fill="FFFFFF"/>
        </w:rPr>
        <w:t>D'une manière générale, il est cuisiné comme les </w:t>
      </w:r>
      <w:hyperlink r:id="rId1539" w:tooltip="Pommes de terre" w:history="1">
        <w:r w:rsidRPr="00AF3D3C">
          <w:rPr>
            <w:rStyle w:val="Lienhypertexte"/>
            <w:rFonts w:ascii="Calibri" w:hAnsi="Calibri" w:cs="Calibri"/>
            <w:color w:val="0645AD"/>
            <w:shd w:val="clear" w:color="auto" w:fill="FFFFFF"/>
          </w:rPr>
          <w:t>pommes de terre</w:t>
        </w:r>
      </w:hyperlink>
      <w:r w:rsidRPr="00034A83">
        <w:rPr>
          <w:rFonts w:ascii="Calibri" w:hAnsi="Calibri" w:cs="Calibri"/>
          <w:color w:val="000000" w:themeColor="text1"/>
          <w:shd w:val="clear" w:color="auto" w:fill="FFFFFF"/>
        </w:rPr>
        <w:t>.</w:t>
      </w:r>
      <w:r w:rsidR="00034A83" w:rsidRPr="00034A83">
        <w:rPr>
          <w:rFonts w:ascii="Calibri" w:hAnsi="Calibri" w:cs="Calibri"/>
          <w:color w:val="000000" w:themeColor="text1"/>
          <w:shd w:val="clear" w:color="auto" w:fill="FFFFFF"/>
        </w:rPr>
        <w:t xml:space="preserve"> Les bulbes de la petite variété ronde sont pelés et bouillis, puis vendus </w:t>
      </w:r>
      <w:hyperlink r:id="rId1540" w:tooltip="Des surgelés" w:history="1">
        <w:r w:rsidR="00034A83" w:rsidRPr="00034A83">
          <w:rPr>
            <w:rStyle w:val="Lienhypertexte"/>
            <w:rFonts w:ascii="Calibri" w:hAnsi="Calibri" w:cs="Calibri"/>
            <w:color w:val="0645AD"/>
            <w:shd w:val="clear" w:color="auto" w:fill="FFFFFF"/>
          </w:rPr>
          <w:t>congelés</w:t>
        </w:r>
      </w:hyperlink>
      <w:r w:rsidR="00034A83" w:rsidRPr="00034A83">
        <w:rPr>
          <w:rFonts w:ascii="Calibri" w:hAnsi="Calibri" w:cs="Calibri"/>
          <w:color w:val="202122"/>
          <w:shd w:val="clear" w:color="auto" w:fill="FFFFFF"/>
        </w:rPr>
        <w:t xml:space="preserve">, </w:t>
      </w:r>
      <w:r w:rsidR="00034A83" w:rsidRPr="00034A83">
        <w:rPr>
          <w:rFonts w:ascii="Calibri" w:hAnsi="Calibri" w:cs="Calibri"/>
          <w:color w:val="000000" w:themeColor="text1"/>
          <w:shd w:val="clear" w:color="auto" w:fill="FFFFFF"/>
        </w:rPr>
        <w:t>ensachés dans leur propre liquide ou en </w:t>
      </w:r>
      <w:hyperlink r:id="rId1541" w:tooltip="Mise en conserve" w:history="1">
        <w:r w:rsidR="00034A83" w:rsidRPr="00034A83">
          <w:rPr>
            <w:rStyle w:val="Lienhypertexte"/>
            <w:rFonts w:ascii="Calibri" w:hAnsi="Calibri" w:cs="Calibri"/>
            <w:color w:val="0645AD"/>
            <w:shd w:val="clear" w:color="auto" w:fill="FFFFFF"/>
          </w:rPr>
          <w:t>conserve</w:t>
        </w:r>
      </w:hyperlink>
      <w:r w:rsidR="00034A83" w:rsidRPr="00034A83">
        <w:rPr>
          <w:rFonts w:ascii="Calibri" w:hAnsi="Calibri" w:cs="Calibri"/>
        </w:rPr>
        <w:t>.</w:t>
      </w:r>
    </w:p>
    <w:p w14:paraId="11704EDB" w14:textId="7CE5FC16" w:rsidR="00AF3D3C" w:rsidRDefault="00AF3D3C" w:rsidP="000A66F7">
      <w:pPr>
        <w:spacing w:after="0" w:line="240" w:lineRule="auto"/>
        <w:jc w:val="both"/>
        <w:rPr>
          <w:rFonts w:ascii="Calibri" w:hAnsi="Calibri" w:cs="Calibri"/>
          <w:color w:val="000000" w:themeColor="text1"/>
          <w:shd w:val="clear" w:color="auto" w:fill="FFFFFF"/>
        </w:rPr>
      </w:pPr>
      <w:r w:rsidRPr="005B72F3">
        <w:rPr>
          <w:rFonts w:ascii="Calibri" w:hAnsi="Calibri" w:cs="Calibri"/>
          <w:color w:val="000000" w:themeColor="text1"/>
          <w:u w:val="single"/>
          <w:shd w:val="clear" w:color="auto" w:fill="FFFFFF"/>
        </w:rPr>
        <w:lastRenderedPageBreak/>
        <w:t>Toxicité</w:t>
      </w:r>
      <w:r w:rsidRPr="005B72F3">
        <w:rPr>
          <w:rFonts w:ascii="Calibri" w:hAnsi="Calibri" w:cs="Calibri"/>
          <w:color w:val="000000" w:themeColor="text1"/>
          <w:shd w:val="clear" w:color="auto" w:fill="FFFFFF"/>
        </w:rPr>
        <w:t> : La plante est toxique, crue, en raison de la présence de cristaux d’oxalates</w:t>
      </w:r>
      <w:r w:rsidR="005B72F3" w:rsidRPr="005B72F3">
        <w:rPr>
          <w:rFonts w:ascii="Calibri" w:hAnsi="Calibri" w:cs="Calibri"/>
          <w:color w:val="000000" w:themeColor="text1"/>
          <w:shd w:val="clear" w:color="auto" w:fill="FFFFFF"/>
        </w:rPr>
        <w:t xml:space="preserve"> et d’</w:t>
      </w:r>
      <w:r w:rsidR="005B72F3" w:rsidRPr="005B72F3">
        <w:rPr>
          <w:rFonts w:ascii="Calibri" w:hAnsi="Calibri" w:cs="Calibri"/>
          <w:color w:val="202122"/>
          <w:shd w:val="clear" w:color="auto" w:fill="FFFFFF"/>
        </w:rPr>
        <w:t>un </w:t>
      </w:r>
      <w:hyperlink r:id="rId1542" w:tooltip="Alcaloïde" w:history="1">
        <w:r w:rsidR="005B72F3" w:rsidRPr="005B72F3">
          <w:rPr>
            <w:rStyle w:val="Lienhypertexte"/>
            <w:rFonts w:ascii="Calibri" w:hAnsi="Calibri" w:cs="Calibri"/>
            <w:color w:val="0645AD"/>
            <w:shd w:val="clear" w:color="auto" w:fill="FFFFFF"/>
          </w:rPr>
          <w:t>alcaloïde</w:t>
        </w:r>
      </w:hyperlink>
      <w:r w:rsidR="005B72F3" w:rsidRPr="005B72F3">
        <w:rPr>
          <w:rFonts w:ascii="Calibri" w:hAnsi="Calibri" w:cs="Calibri"/>
          <w:color w:val="202122"/>
          <w:shd w:val="clear" w:color="auto" w:fill="FFFFFF"/>
        </w:rPr>
        <w:t>, la </w:t>
      </w:r>
      <w:hyperlink r:id="rId1543" w:tooltip="Conine" w:history="1">
        <w:r w:rsidR="005B72F3" w:rsidRPr="005B72F3">
          <w:rPr>
            <w:rStyle w:val="Lienhypertexte"/>
            <w:rFonts w:ascii="Calibri" w:hAnsi="Calibri" w:cs="Calibri"/>
            <w:color w:val="0645AD"/>
            <w:shd w:val="clear" w:color="auto" w:fill="FFFFFF"/>
          </w:rPr>
          <w:t>conine</w:t>
        </w:r>
      </w:hyperlink>
      <w:r w:rsidRPr="005B72F3">
        <w:rPr>
          <w:rFonts w:ascii="Calibri" w:hAnsi="Calibri" w:cs="Calibri"/>
          <w:color w:val="000000" w:themeColor="text1"/>
          <w:shd w:val="clear" w:color="auto" w:fill="FFFFFF"/>
        </w:rPr>
        <w:t xml:space="preserve"> (comme dans tout le reste de la plante), mais qu’elles peut être rendue comestibles par une simple cuisson.</w:t>
      </w:r>
    </w:p>
    <w:p w14:paraId="1E04D619" w14:textId="392D2CB2" w:rsidR="002F6EB9" w:rsidRDefault="002F6EB9" w:rsidP="000A66F7">
      <w:pPr>
        <w:spacing w:after="0" w:line="240" w:lineRule="auto"/>
        <w:jc w:val="both"/>
        <w:rPr>
          <w:rFonts w:ascii="Calibri" w:hAnsi="Calibri" w:cs="Calibri"/>
          <w:color w:val="000000" w:themeColor="text1"/>
          <w:shd w:val="clear" w:color="auto" w:fill="FFFFFF"/>
        </w:rPr>
      </w:pPr>
      <w:r w:rsidRPr="00B6379D">
        <w:rPr>
          <w:rFonts w:ascii="Calibri" w:hAnsi="Calibri" w:cs="Calibri"/>
          <w:color w:val="000000" w:themeColor="text1"/>
          <w:u w:val="single"/>
          <w:shd w:val="clear" w:color="auto" w:fill="FFFFFF"/>
        </w:rPr>
        <w:t>Résistance au sel</w:t>
      </w:r>
      <w:r>
        <w:rPr>
          <w:rFonts w:ascii="Calibri" w:hAnsi="Calibri" w:cs="Calibri"/>
          <w:color w:val="000000" w:themeColor="text1"/>
          <w:shd w:val="clear" w:color="auto" w:fill="FFFFFF"/>
        </w:rPr>
        <w:t> : Certains cultivars</w:t>
      </w:r>
      <w:r w:rsidR="00B6379D">
        <w:rPr>
          <w:rFonts w:ascii="Calibri" w:hAnsi="Calibri" w:cs="Calibri"/>
          <w:color w:val="000000" w:themeColor="text1"/>
          <w:shd w:val="clear" w:color="auto" w:fill="FFFFFF"/>
        </w:rPr>
        <w:t xml:space="preserve"> (</w:t>
      </w:r>
      <w:r w:rsidR="004D4AED">
        <w:rPr>
          <w:rFonts w:ascii="Calibri" w:hAnsi="Calibri" w:cs="Calibri"/>
          <w:color w:val="000000" w:themeColor="text1"/>
          <w:shd w:val="clear" w:color="auto" w:fill="FFFFFF"/>
        </w:rPr>
        <w:t xml:space="preserve">exemple : </w:t>
      </w:r>
      <w:r w:rsidR="00B6379D" w:rsidRPr="00B6379D">
        <w:rPr>
          <w:rFonts w:ascii="Calibri" w:hAnsi="Calibri" w:cs="Calibri"/>
          <w:i/>
          <w:iCs/>
          <w:color w:val="000000" w:themeColor="text1"/>
          <w:shd w:val="clear" w:color="auto" w:fill="FFFFFF"/>
        </w:rPr>
        <w:t>Coloeasia esculenta</w:t>
      </w:r>
      <w:r w:rsidR="00B6379D" w:rsidRPr="00B6379D">
        <w:rPr>
          <w:rFonts w:ascii="Calibri" w:hAnsi="Calibri" w:cs="Calibri"/>
          <w:color w:val="000000" w:themeColor="text1"/>
          <w:shd w:val="clear" w:color="auto" w:fill="FFFFFF"/>
        </w:rPr>
        <w:t xml:space="preserve"> var </w:t>
      </w:r>
      <w:r w:rsidR="00B6379D" w:rsidRPr="00B6379D">
        <w:rPr>
          <w:rFonts w:ascii="Calibri" w:hAnsi="Calibri" w:cs="Calibri"/>
          <w:i/>
          <w:iCs/>
          <w:color w:val="000000" w:themeColor="text1"/>
          <w:shd w:val="clear" w:color="auto" w:fill="FFFFFF"/>
        </w:rPr>
        <w:t>antiquorum</w:t>
      </w:r>
      <w:r w:rsidR="00B6379D">
        <w:rPr>
          <w:rFonts w:ascii="Calibri" w:hAnsi="Calibri" w:cs="Calibri"/>
          <w:color w:val="000000" w:themeColor="text1"/>
          <w:shd w:val="clear" w:color="auto" w:fill="FFFFFF"/>
        </w:rPr>
        <w:t xml:space="preserve"> …)</w:t>
      </w:r>
      <w:r>
        <w:rPr>
          <w:rFonts w:ascii="Calibri" w:hAnsi="Calibri" w:cs="Calibri"/>
          <w:color w:val="000000" w:themeColor="text1"/>
          <w:shd w:val="clear" w:color="auto" w:fill="FFFFFF"/>
        </w:rPr>
        <w:t xml:space="preserve"> </w:t>
      </w:r>
      <w:r w:rsidR="00C22C4D" w:rsidRPr="00C22C4D">
        <w:rPr>
          <w:rFonts w:ascii="Calibri" w:hAnsi="Calibri" w:cs="Calibri"/>
          <w:color w:val="000000" w:themeColor="text1"/>
          <w:shd w:val="clear" w:color="auto" w:fill="FFFFFF"/>
        </w:rPr>
        <w:t>sont adaptés aux sols à haute salinité</w:t>
      </w:r>
      <w:r w:rsidR="00C22C4D">
        <w:rPr>
          <w:rFonts w:ascii="Calibri" w:hAnsi="Calibri" w:cs="Calibri"/>
          <w:color w:val="000000" w:themeColor="text1"/>
          <w:shd w:val="clear" w:color="auto" w:fill="FFFFFF"/>
        </w:rPr>
        <w:t xml:space="preserve"> </w:t>
      </w:r>
      <w:r w:rsidR="00C22C4D" w:rsidRPr="00C22C4D">
        <w:rPr>
          <w:rFonts w:ascii="Calibri" w:hAnsi="Calibri" w:cs="Calibri"/>
          <w:color w:val="000000" w:themeColor="text1"/>
          <w:shd w:val="clear" w:color="auto" w:fill="FFFFFF"/>
        </w:rPr>
        <w:t>(ONWUEME</w:t>
      </w:r>
      <w:r w:rsidR="00C22C4D">
        <w:rPr>
          <w:rFonts w:ascii="Calibri" w:hAnsi="Calibri" w:cs="Calibri"/>
          <w:color w:val="000000" w:themeColor="text1"/>
          <w:shd w:val="clear" w:color="auto" w:fill="FFFFFF"/>
        </w:rPr>
        <w:t>)</w:t>
      </w:r>
      <w:r w:rsidR="00B6379D">
        <w:rPr>
          <w:rStyle w:val="Appelnotedebasdep"/>
          <w:rFonts w:ascii="Calibri" w:hAnsi="Calibri" w:cs="Calibri"/>
          <w:color w:val="000000" w:themeColor="text1"/>
          <w:shd w:val="clear" w:color="auto" w:fill="FFFFFF"/>
        </w:rPr>
        <w:footnoteReference w:id="106"/>
      </w:r>
      <w:r w:rsidR="00B6379D">
        <w:rPr>
          <w:rFonts w:ascii="Calibri" w:hAnsi="Calibri" w:cs="Calibri"/>
          <w:color w:val="000000" w:themeColor="text1"/>
          <w:shd w:val="clear" w:color="auto" w:fill="FFFFFF"/>
        </w:rPr>
        <w:t>.</w:t>
      </w:r>
      <w:r w:rsidR="00C22C4D">
        <w:rPr>
          <w:rFonts w:ascii="Calibri" w:hAnsi="Calibri" w:cs="Calibri"/>
          <w:color w:val="000000" w:themeColor="text1"/>
          <w:shd w:val="clear" w:color="auto" w:fill="FFFFFF"/>
        </w:rPr>
        <w:t xml:space="preserve"> </w:t>
      </w:r>
      <w:r w:rsidR="00C22C4D" w:rsidRPr="00C22C4D">
        <w:rPr>
          <w:rFonts w:ascii="Calibri" w:hAnsi="Calibri" w:cs="Calibri"/>
          <w:color w:val="000000" w:themeColor="text1"/>
          <w:shd w:val="clear" w:color="auto" w:fill="FFFFFF"/>
        </w:rPr>
        <w:t>Sa capacité à pousser immergé et à supporter la salinité lui permettent d’être cultivé dans des endroits où peu d’autres espèces le pourraient.</w:t>
      </w:r>
    </w:p>
    <w:p w14:paraId="1DC80ADA" w14:textId="369E308E" w:rsidR="005B72F3" w:rsidRDefault="005B72F3" w:rsidP="000A66F7">
      <w:pPr>
        <w:spacing w:after="0" w:line="240" w:lineRule="auto"/>
        <w:jc w:val="both"/>
        <w:rPr>
          <w:rFonts w:ascii="Calibri" w:hAnsi="Calibri" w:cs="Calibri"/>
          <w:color w:val="000000" w:themeColor="text1"/>
          <w:shd w:val="clear" w:color="auto" w:fill="FFFFFF"/>
        </w:rPr>
      </w:pPr>
      <w:r w:rsidRPr="00B6379D">
        <w:rPr>
          <w:rFonts w:ascii="Calibri" w:hAnsi="Calibri" w:cs="Calibri"/>
          <w:color w:val="000000" w:themeColor="text1"/>
          <w:shd w:val="clear" w:color="auto" w:fill="FFFFFF"/>
        </w:rPr>
        <w:t xml:space="preserve">Sources : a) </w:t>
      </w:r>
      <w:hyperlink r:id="rId1544" w:history="1">
        <w:r w:rsidRPr="00224761">
          <w:rPr>
            <w:rStyle w:val="Lienhypertexte"/>
            <w:rFonts w:ascii="Calibri" w:hAnsi="Calibri" w:cs="Calibri"/>
            <w:shd w:val="clear" w:color="auto" w:fill="FFFFFF"/>
          </w:rPr>
          <w:t>https://fr.wikipedia.org/wiki/Colocasia_esculenta</w:t>
        </w:r>
      </w:hyperlink>
      <w:r>
        <w:rPr>
          <w:rFonts w:ascii="Calibri" w:hAnsi="Calibri" w:cs="Calibri"/>
          <w:color w:val="000000" w:themeColor="text1"/>
          <w:shd w:val="clear" w:color="auto" w:fill="FFFFFF"/>
        </w:rPr>
        <w:t xml:space="preserve">, b) </w:t>
      </w:r>
      <w:hyperlink r:id="rId1545" w:history="1">
        <w:r w:rsidRPr="00224761">
          <w:rPr>
            <w:rStyle w:val="Lienhypertexte"/>
            <w:rFonts w:ascii="Calibri" w:hAnsi="Calibri" w:cs="Calibri"/>
            <w:shd w:val="clear" w:color="auto" w:fill="FFFFFF"/>
          </w:rPr>
          <w:t>https://en.wikipedia.org/wiki/Taro</w:t>
        </w:r>
      </w:hyperlink>
    </w:p>
    <w:p w14:paraId="6DB97BC5" w14:textId="17B5CEB3" w:rsidR="00C22C4D" w:rsidRPr="00C22C4D" w:rsidRDefault="00C22C4D" w:rsidP="000A66F7">
      <w:pPr>
        <w:spacing w:after="0" w:line="240" w:lineRule="auto"/>
        <w:jc w:val="both"/>
        <w:rPr>
          <w:rFonts w:ascii="Calibri" w:hAnsi="Calibri" w:cs="Calibri"/>
          <w:color w:val="000000" w:themeColor="text1"/>
          <w:shd w:val="clear" w:color="auto" w:fill="FFFFFF"/>
        </w:rPr>
      </w:pPr>
      <w:r>
        <w:rPr>
          <w:rFonts w:ascii="Calibri" w:hAnsi="Calibri" w:cs="Calibri"/>
          <w:color w:val="000000" w:themeColor="text1"/>
          <w:shd w:val="clear" w:color="auto" w:fill="FFFFFF"/>
        </w:rPr>
        <w:t>c</w:t>
      </w:r>
      <w:r w:rsidRPr="00C22C4D">
        <w:rPr>
          <w:rFonts w:ascii="Calibri" w:hAnsi="Calibri" w:cs="Calibri"/>
          <w:color w:val="000000" w:themeColor="text1"/>
          <w:shd w:val="clear" w:color="auto" w:fill="FFFFFF"/>
        </w:rPr>
        <w:t xml:space="preserve">) </w:t>
      </w:r>
      <w:hyperlink r:id="rId1546" w:history="1">
        <w:r w:rsidRPr="00C22C4D">
          <w:rPr>
            <w:rStyle w:val="Lienhypertexte"/>
            <w:rFonts w:ascii="Calibri" w:hAnsi="Calibri" w:cs="Calibri"/>
            <w:shd w:val="clear" w:color="auto" w:fill="FFFFFF"/>
          </w:rPr>
          <w:t>https://www.prota4u.org/database/protav8.asp?fr=1&amp;g=pe&amp;p=Colocasia+esculenta+(L.)+Schott</w:t>
        </w:r>
      </w:hyperlink>
    </w:p>
    <w:p w14:paraId="753D1339" w14:textId="4FB437DF" w:rsidR="00C22C4D" w:rsidRDefault="00C22C4D" w:rsidP="000A66F7">
      <w:pPr>
        <w:spacing w:after="0" w:line="240" w:lineRule="auto"/>
        <w:jc w:val="both"/>
        <w:rPr>
          <w:rFonts w:ascii="Calibri" w:hAnsi="Calibri" w:cs="Calibri"/>
          <w:color w:val="000000" w:themeColor="text1"/>
          <w:shd w:val="clear" w:color="auto" w:fill="FFFFFF"/>
        </w:rPr>
      </w:pPr>
      <w:r w:rsidRPr="00C22C4D">
        <w:rPr>
          <w:rFonts w:ascii="Calibri" w:hAnsi="Calibri" w:cs="Calibri"/>
          <w:color w:val="000000" w:themeColor="text1"/>
          <w:shd w:val="clear" w:color="auto" w:fill="FFFFFF"/>
        </w:rPr>
        <w:t xml:space="preserve">d) </w:t>
      </w:r>
      <w:hyperlink r:id="rId1547" w:history="1">
        <w:r w:rsidRPr="00224761">
          <w:rPr>
            <w:rStyle w:val="Lienhypertexte"/>
            <w:rFonts w:ascii="Calibri" w:hAnsi="Calibri" w:cs="Calibri"/>
            <w:shd w:val="clear" w:color="auto" w:fill="FFFFFF"/>
          </w:rPr>
          <w:t>https://uses.plantnet-project.org/fr/Colocasia_esculenta_(PROTA)</w:t>
        </w:r>
      </w:hyperlink>
      <w:r>
        <w:rPr>
          <w:rFonts w:ascii="Calibri" w:hAnsi="Calibri" w:cs="Calibri"/>
          <w:color w:val="000000" w:themeColor="text1"/>
          <w:shd w:val="clear" w:color="auto" w:fill="FFFFFF"/>
        </w:rPr>
        <w:t xml:space="preserve"> </w:t>
      </w:r>
    </w:p>
    <w:p w14:paraId="2A05F33F" w14:textId="77777777" w:rsidR="00614C93" w:rsidRPr="00614C93" w:rsidRDefault="00614C93" w:rsidP="00614C93">
      <w:pPr>
        <w:spacing w:after="0" w:line="240" w:lineRule="auto"/>
        <w:jc w:val="both"/>
        <w:rPr>
          <w:rFonts w:ascii="Calibri" w:hAnsi="Calibri" w:cs="Calibri"/>
          <w:color w:val="000000" w:themeColor="text1"/>
          <w:shd w:val="clear" w:color="auto" w:fill="FFFFFF"/>
          <w:lang w:val="en-GB"/>
        </w:rPr>
      </w:pPr>
      <w:r w:rsidRPr="00614C93">
        <w:rPr>
          <w:rFonts w:ascii="Calibri" w:hAnsi="Calibri" w:cs="Calibri"/>
          <w:color w:val="000000" w:themeColor="text1"/>
          <w:shd w:val="clear" w:color="auto" w:fill="FFFFFF"/>
          <w:lang w:val="en-GB"/>
        </w:rPr>
        <w:t xml:space="preserve">e) ONWUEME 1. (1978). </w:t>
      </w:r>
      <w:r w:rsidRPr="00614C93">
        <w:rPr>
          <w:rFonts w:ascii="Calibri" w:hAnsi="Calibri" w:cs="Calibri"/>
          <w:i/>
          <w:iCs/>
          <w:color w:val="000000" w:themeColor="text1"/>
          <w:shd w:val="clear" w:color="auto" w:fill="FFFFFF"/>
          <w:lang w:val="en-GB"/>
        </w:rPr>
        <w:t>The tropical tuber crops, yams cassava, sweet potato and cocoyams</w:t>
      </w:r>
      <w:r w:rsidRPr="00614C93">
        <w:rPr>
          <w:rFonts w:ascii="Calibri" w:hAnsi="Calibri" w:cs="Calibri"/>
          <w:color w:val="000000" w:themeColor="text1"/>
          <w:shd w:val="clear" w:color="auto" w:fill="FFFFFF"/>
          <w:lang w:val="en-GB"/>
        </w:rPr>
        <w:t>. Chichester, John Wiley. United Kingdom, 92p.</w:t>
      </w:r>
    </w:p>
    <w:p w14:paraId="41517AB9" w14:textId="0D3DED94" w:rsidR="00614C93" w:rsidRPr="00614C93" w:rsidRDefault="00614C93" w:rsidP="00614C93">
      <w:pPr>
        <w:spacing w:after="0" w:line="240" w:lineRule="auto"/>
        <w:jc w:val="both"/>
        <w:rPr>
          <w:rFonts w:ascii="Calibri" w:hAnsi="Calibri" w:cs="Calibri"/>
          <w:color w:val="000000" w:themeColor="text1"/>
          <w:shd w:val="clear" w:color="auto" w:fill="FFFFFF"/>
        </w:rPr>
      </w:pPr>
      <w:r>
        <w:rPr>
          <w:rFonts w:ascii="Calibri" w:hAnsi="Calibri" w:cs="Calibri"/>
          <w:color w:val="000000" w:themeColor="text1"/>
          <w:shd w:val="clear" w:color="auto" w:fill="FFFFFF"/>
          <w:lang w:val="en-GB"/>
        </w:rPr>
        <w:t xml:space="preserve">f) </w:t>
      </w:r>
      <w:r w:rsidRPr="00614C93">
        <w:rPr>
          <w:rFonts w:ascii="Calibri" w:hAnsi="Calibri" w:cs="Calibri"/>
          <w:color w:val="000000" w:themeColor="text1"/>
          <w:shd w:val="clear" w:color="auto" w:fill="FFFFFF"/>
          <w:lang w:val="en-GB"/>
        </w:rPr>
        <w:t xml:space="preserve">ONWUEME 1. (1999). </w:t>
      </w:r>
      <w:r w:rsidRPr="00614C93">
        <w:rPr>
          <w:rFonts w:ascii="Calibri" w:hAnsi="Calibri" w:cs="Calibri"/>
          <w:i/>
          <w:iCs/>
          <w:color w:val="000000" w:themeColor="text1"/>
          <w:shd w:val="clear" w:color="auto" w:fill="FFFFFF"/>
          <w:lang w:val="en-GB"/>
        </w:rPr>
        <w:t>Taro cultivation in Asia and the Pacific</w:t>
      </w:r>
      <w:r w:rsidRPr="00614C93">
        <w:rPr>
          <w:rFonts w:ascii="Calibri" w:hAnsi="Calibri" w:cs="Calibri"/>
          <w:color w:val="000000" w:themeColor="text1"/>
          <w:shd w:val="clear" w:color="auto" w:fill="FFFFFF"/>
          <w:lang w:val="en-GB"/>
        </w:rPr>
        <w:t xml:space="preserve">. </w:t>
      </w:r>
      <w:r w:rsidRPr="00614C93">
        <w:rPr>
          <w:rFonts w:ascii="Calibri" w:hAnsi="Calibri" w:cs="Calibri"/>
          <w:color w:val="000000" w:themeColor="text1"/>
          <w:shd w:val="clear" w:color="auto" w:fill="FFFFFF"/>
        </w:rPr>
        <w:t>United Kingdom. 48p</w:t>
      </w:r>
    </w:p>
    <w:p w14:paraId="4FD035E2" w14:textId="23CCA20B" w:rsidR="00614C93" w:rsidRDefault="00614C93" w:rsidP="00614C93">
      <w:pPr>
        <w:spacing w:after="0" w:line="240" w:lineRule="auto"/>
        <w:jc w:val="both"/>
        <w:rPr>
          <w:rFonts w:ascii="Calibri" w:hAnsi="Calibri" w:cs="Calibri"/>
          <w:color w:val="000000" w:themeColor="text1"/>
          <w:shd w:val="clear" w:color="auto" w:fill="FFFFFF"/>
        </w:rPr>
      </w:pPr>
      <w:r>
        <w:rPr>
          <w:rFonts w:ascii="Calibri" w:hAnsi="Calibri" w:cs="Calibri"/>
          <w:color w:val="000000" w:themeColor="text1"/>
          <w:shd w:val="clear" w:color="auto" w:fill="FFFFFF"/>
        </w:rPr>
        <w:t xml:space="preserve">g) </w:t>
      </w:r>
      <w:r w:rsidRPr="00614C93">
        <w:rPr>
          <w:rFonts w:ascii="Calibri" w:hAnsi="Calibri" w:cs="Calibri"/>
          <w:i/>
          <w:iCs/>
          <w:color w:val="000000" w:themeColor="text1"/>
          <w:shd w:val="clear" w:color="auto" w:fill="FFFFFF"/>
        </w:rPr>
        <w:t>Caractérisation agromorphologique d'une collection de taro (Colocasia esculenta (L.) Schott) originaire des domaines soudanien et soudano-guinéen du Burkina Faso</w:t>
      </w:r>
      <w:r>
        <w:rPr>
          <w:rFonts w:ascii="Calibri" w:hAnsi="Calibri" w:cs="Calibri"/>
          <w:color w:val="000000" w:themeColor="text1"/>
          <w:shd w:val="clear" w:color="auto" w:fill="FFFFFF"/>
        </w:rPr>
        <w:t>,</w:t>
      </w:r>
      <w:r w:rsidRPr="00614C93">
        <w:rPr>
          <w:rFonts w:ascii="Calibri" w:hAnsi="Calibri" w:cs="Calibri"/>
          <w:color w:val="000000" w:themeColor="text1"/>
          <w:shd w:val="clear" w:color="auto" w:fill="FFFFFF"/>
        </w:rPr>
        <w:t xml:space="preserve"> BAMBARA Husunohi, Mohamed Judicaël, </w:t>
      </w:r>
      <w:hyperlink r:id="rId1548" w:history="1">
        <w:r w:rsidRPr="00224761">
          <w:rPr>
            <w:rStyle w:val="Lienhypertexte"/>
            <w:rFonts w:ascii="Calibri" w:hAnsi="Calibri" w:cs="Calibri"/>
            <w:shd w:val="clear" w:color="auto" w:fill="FFFFFF"/>
          </w:rPr>
          <w:t>http://www.beep.ird.fr/collect/upb/index/assoc/IDR-2009-BAM-CAR/IDR-2009-BAM-CAR.pdf</w:t>
        </w:r>
      </w:hyperlink>
      <w:r>
        <w:rPr>
          <w:rFonts w:ascii="Calibri" w:hAnsi="Calibri" w:cs="Calibri"/>
          <w:color w:val="000000" w:themeColor="text1"/>
          <w:shd w:val="clear" w:color="auto" w:fill="FFFFFF"/>
        </w:rPr>
        <w:t xml:space="preserve"> </w:t>
      </w:r>
    </w:p>
    <w:p w14:paraId="7C715124" w14:textId="29D3D534" w:rsidR="004D4AED" w:rsidRPr="00614C93" w:rsidRDefault="004D4AED" w:rsidP="00614C93">
      <w:pPr>
        <w:spacing w:after="0" w:line="240" w:lineRule="auto"/>
        <w:jc w:val="both"/>
        <w:rPr>
          <w:rFonts w:ascii="Calibri" w:hAnsi="Calibri" w:cs="Calibri"/>
          <w:color w:val="000000" w:themeColor="text1"/>
          <w:shd w:val="clear" w:color="auto" w:fill="FFFFFF"/>
        </w:rPr>
      </w:pPr>
      <w:r w:rsidRPr="004D4AED">
        <w:rPr>
          <w:rFonts w:ascii="Calibri" w:hAnsi="Calibri" w:cs="Calibri"/>
          <w:color w:val="000000" w:themeColor="text1"/>
          <w:shd w:val="clear" w:color="auto" w:fill="FFFFFF"/>
          <w:lang w:val="en-GB"/>
        </w:rPr>
        <w:t xml:space="preserve">h) </w:t>
      </w:r>
      <w:r w:rsidRPr="004D4AED">
        <w:rPr>
          <w:rFonts w:ascii="Calibri" w:hAnsi="Calibri" w:cs="Calibri"/>
          <w:i/>
          <w:iCs/>
          <w:color w:val="000000" w:themeColor="text1"/>
          <w:shd w:val="clear" w:color="auto" w:fill="FFFFFF"/>
          <w:lang w:val="en-GB"/>
        </w:rPr>
        <w:t xml:space="preserve">Effects of Salinity and Plant Growth Media on in Vitro Growth and Development of Taro (Colocasia Esculenta L.) </w:t>
      </w:r>
      <w:r w:rsidRPr="004D4AED">
        <w:rPr>
          <w:rFonts w:ascii="Calibri" w:hAnsi="Calibri" w:cs="Calibri"/>
          <w:i/>
          <w:iCs/>
          <w:color w:val="000000" w:themeColor="text1"/>
          <w:shd w:val="clear" w:color="auto" w:fill="FFFFFF"/>
        </w:rPr>
        <w:t>Varieties</w:t>
      </w:r>
      <w:r w:rsidRPr="004D4AED">
        <w:rPr>
          <w:rFonts w:ascii="Calibri" w:hAnsi="Calibri" w:cs="Calibri"/>
          <w:color w:val="000000" w:themeColor="text1"/>
          <w:shd w:val="clear" w:color="auto" w:fill="FFFFFF"/>
        </w:rPr>
        <w:t xml:space="preserve">, Varea Vaurasi &amp; Rashmi Kant, Acta Horticulturae et Regiotecturae, Volume 19 (2016) : Numéro 1 (Mai 2016), Page range: 17 - 20, </w:t>
      </w:r>
      <w:hyperlink r:id="rId1549" w:history="1">
        <w:r w:rsidRPr="00224761">
          <w:rPr>
            <w:rStyle w:val="Lienhypertexte"/>
            <w:rFonts w:ascii="Calibri" w:hAnsi="Calibri" w:cs="Calibri"/>
            <w:shd w:val="clear" w:color="auto" w:fill="FFFFFF"/>
          </w:rPr>
          <w:t>https://www.sciendo.com/article/10.1515/ahr-2016-0005</w:t>
        </w:r>
      </w:hyperlink>
      <w:r>
        <w:rPr>
          <w:rFonts w:ascii="Calibri" w:hAnsi="Calibri" w:cs="Calibri"/>
          <w:color w:val="000000" w:themeColor="text1"/>
          <w:shd w:val="clear" w:color="auto" w:fill="FFFFFF"/>
        </w:rPr>
        <w:t xml:space="preserve"> </w:t>
      </w:r>
    </w:p>
    <w:p w14:paraId="0FFE3694" w14:textId="588D7B42" w:rsidR="005B72F3" w:rsidRPr="00614C93" w:rsidRDefault="005B72F3" w:rsidP="000A66F7">
      <w:pPr>
        <w:spacing w:after="0" w:line="240" w:lineRule="auto"/>
        <w:jc w:val="both"/>
        <w:rPr>
          <w:rFonts w:ascii="Calibri" w:hAnsi="Calibri" w:cs="Calibri"/>
          <w:color w:val="000000" w:themeColor="text1"/>
          <w:shd w:val="clear" w:color="auto" w:fill="FFFFFF"/>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2949A3" w14:paraId="111948F3" w14:textId="77777777" w:rsidTr="00B6379D">
        <w:tc>
          <w:tcPr>
            <w:tcW w:w="3472" w:type="dxa"/>
          </w:tcPr>
          <w:p w14:paraId="403A5A32" w14:textId="77777777" w:rsidR="005B72F3" w:rsidRDefault="00034A83" w:rsidP="005B72F3">
            <w:pPr>
              <w:jc w:val="center"/>
              <w:rPr>
                <w:rFonts w:ascii="Calibri" w:hAnsi="Calibri" w:cs="Calibri"/>
                <w:color w:val="000000" w:themeColor="text1"/>
              </w:rPr>
            </w:pPr>
            <w:r>
              <w:rPr>
                <w:noProof/>
              </w:rPr>
              <w:drawing>
                <wp:inline distT="0" distB="0" distL="0" distR="0" wp14:anchorId="567DB298" wp14:editId="4DF9ECAF">
                  <wp:extent cx="1524000" cy="1076325"/>
                  <wp:effectExtent l="0" t="0" r="0" b="9525"/>
                  <wp:docPr id="91162" name="Image 91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50">
                            <a:extLst>
                              <a:ext uri="{28A0092B-C50C-407E-A947-70E740481C1C}">
                                <a14:useLocalDpi xmlns:a14="http://schemas.microsoft.com/office/drawing/2010/main" val="0"/>
                              </a:ext>
                            </a:extLst>
                          </a:blip>
                          <a:srcRect/>
                          <a:stretch>
                            <a:fillRect/>
                          </a:stretch>
                        </pic:blipFill>
                        <pic:spPr bwMode="auto">
                          <a:xfrm>
                            <a:off x="0" y="0"/>
                            <a:ext cx="1524000" cy="1076325"/>
                          </a:xfrm>
                          <a:prstGeom prst="rect">
                            <a:avLst/>
                          </a:prstGeom>
                          <a:noFill/>
                          <a:ln>
                            <a:noFill/>
                          </a:ln>
                        </pic:spPr>
                      </pic:pic>
                    </a:graphicData>
                  </a:graphic>
                </wp:inline>
              </w:drawing>
            </w:r>
          </w:p>
          <w:p w14:paraId="12ED8329" w14:textId="2782ECE2" w:rsidR="00034A83" w:rsidRDefault="00034A83" w:rsidP="005B72F3">
            <w:pPr>
              <w:jc w:val="center"/>
              <w:rPr>
                <w:rFonts w:ascii="Calibri" w:hAnsi="Calibri" w:cs="Calibri"/>
                <w:color w:val="000000" w:themeColor="text1"/>
              </w:rPr>
            </w:pPr>
            <w:r>
              <w:rPr>
                <w:rFonts w:ascii="Calibri" w:hAnsi="Calibri" w:cs="Calibri"/>
                <w:color w:val="000000" w:themeColor="text1"/>
              </w:rPr>
              <w:t>Feuilles</w:t>
            </w:r>
          </w:p>
        </w:tc>
        <w:tc>
          <w:tcPr>
            <w:tcW w:w="3472" w:type="dxa"/>
          </w:tcPr>
          <w:p w14:paraId="729B1D61" w14:textId="77777777" w:rsidR="005B72F3" w:rsidRDefault="00034A83" w:rsidP="005B72F3">
            <w:pPr>
              <w:jc w:val="center"/>
              <w:rPr>
                <w:rFonts w:ascii="Calibri" w:hAnsi="Calibri" w:cs="Calibri"/>
                <w:color w:val="000000" w:themeColor="text1"/>
              </w:rPr>
            </w:pPr>
            <w:r>
              <w:rPr>
                <w:noProof/>
              </w:rPr>
              <w:drawing>
                <wp:inline distT="0" distB="0" distL="0" distR="0" wp14:anchorId="424178B1" wp14:editId="069B9198">
                  <wp:extent cx="1962150" cy="1473287"/>
                  <wp:effectExtent l="0" t="0" r="0" b="0"/>
                  <wp:docPr id="91163" name="Image 9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51">
                            <a:extLst>
                              <a:ext uri="{28A0092B-C50C-407E-A947-70E740481C1C}">
                                <a14:useLocalDpi xmlns:a14="http://schemas.microsoft.com/office/drawing/2010/main" val="0"/>
                              </a:ext>
                            </a:extLst>
                          </a:blip>
                          <a:srcRect/>
                          <a:stretch>
                            <a:fillRect/>
                          </a:stretch>
                        </pic:blipFill>
                        <pic:spPr bwMode="auto">
                          <a:xfrm>
                            <a:off x="0" y="0"/>
                            <a:ext cx="1972268" cy="1480884"/>
                          </a:xfrm>
                          <a:prstGeom prst="rect">
                            <a:avLst/>
                          </a:prstGeom>
                          <a:noFill/>
                          <a:ln>
                            <a:noFill/>
                          </a:ln>
                        </pic:spPr>
                      </pic:pic>
                    </a:graphicData>
                  </a:graphic>
                </wp:inline>
              </w:drawing>
            </w:r>
          </w:p>
          <w:p w14:paraId="3CCD8866" w14:textId="24F71936" w:rsidR="00034A83" w:rsidRDefault="00034A83" w:rsidP="005B72F3">
            <w:pPr>
              <w:jc w:val="center"/>
              <w:rPr>
                <w:rFonts w:ascii="Calibri" w:hAnsi="Calibri" w:cs="Calibri"/>
                <w:color w:val="000000" w:themeColor="text1"/>
              </w:rPr>
            </w:pPr>
            <w:r>
              <w:rPr>
                <w:rFonts w:ascii="Calibri" w:hAnsi="Calibri" w:cs="Calibri"/>
                <w:color w:val="000000" w:themeColor="text1"/>
              </w:rPr>
              <w:t>Feuilles</w:t>
            </w:r>
          </w:p>
        </w:tc>
        <w:tc>
          <w:tcPr>
            <w:tcW w:w="3472" w:type="dxa"/>
          </w:tcPr>
          <w:p w14:paraId="79E9DAC7" w14:textId="77777777" w:rsidR="005B72F3" w:rsidRDefault="00034A83" w:rsidP="005B72F3">
            <w:pPr>
              <w:jc w:val="center"/>
              <w:rPr>
                <w:rFonts w:ascii="Calibri" w:hAnsi="Calibri" w:cs="Calibri"/>
                <w:color w:val="000000" w:themeColor="text1"/>
              </w:rPr>
            </w:pPr>
            <w:r>
              <w:rPr>
                <w:noProof/>
              </w:rPr>
              <w:drawing>
                <wp:inline distT="0" distB="0" distL="0" distR="0" wp14:anchorId="1EBE7F01" wp14:editId="7A82CFDB">
                  <wp:extent cx="1697421" cy="1295400"/>
                  <wp:effectExtent l="0" t="0" r="0" b="0"/>
                  <wp:docPr id="91164" name="Image 91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52">
                            <a:extLst>
                              <a:ext uri="{28A0092B-C50C-407E-A947-70E740481C1C}">
                                <a14:useLocalDpi xmlns:a14="http://schemas.microsoft.com/office/drawing/2010/main" val="0"/>
                              </a:ext>
                            </a:extLst>
                          </a:blip>
                          <a:srcRect/>
                          <a:stretch>
                            <a:fillRect/>
                          </a:stretch>
                        </pic:blipFill>
                        <pic:spPr bwMode="auto">
                          <a:xfrm>
                            <a:off x="0" y="0"/>
                            <a:ext cx="1707904" cy="1303400"/>
                          </a:xfrm>
                          <a:prstGeom prst="rect">
                            <a:avLst/>
                          </a:prstGeom>
                          <a:noFill/>
                          <a:ln>
                            <a:noFill/>
                          </a:ln>
                        </pic:spPr>
                      </pic:pic>
                    </a:graphicData>
                  </a:graphic>
                </wp:inline>
              </w:drawing>
            </w:r>
          </w:p>
          <w:p w14:paraId="33F675FD" w14:textId="46953D52" w:rsidR="00034A83" w:rsidRDefault="00034A83" w:rsidP="005B72F3">
            <w:pPr>
              <w:jc w:val="center"/>
              <w:rPr>
                <w:rFonts w:ascii="Calibri" w:hAnsi="Calibri" w:cs="Calibri"/>
                <w:color w:val="000000" w:themeColor="text1"/>
              </w:rPr>
            </w:pPr>
            <w:r>
              <w:rPr>
                <w:rFonts w:ascii="Calibri" w:hAnsi="Calibri" w:cs="Calibri"/>
                <w:color w:val="000000" w:themeColor="text1"/>
              </w:rPr>
              <w:t>Fleurs</w:t>
            </w:r>
          </w:p>
        </w:tc>
      </w:tr>
      <w:tr w:rsidR="002949A3" w14:paraId="2BCDCC1D" w14:textId="77777777" w:rsidTr="00B6379D">
        <w:tc>
          <w:tcPr>
            <w:tcW w:w="3472" w:type="dxa"/>
          </w:tcPr>
          <w:p w14:paraId="034D6F39" w14:textId="77777777" w:rsidR="005B72F3" w:rsidRDefault="00034A83" w:rsidP="005B72F3">
            <w:pPr>
              <w:jc w:val="center"/>
              <w:rPr>
                <w:rFonts w:ascii="Calibri" w:hAnsi="Calibri" w:cs="Calibri"/>
                <w:color w:val="000000" w:themeColor="text1"/>
              </w:rPr>
            </w:pPr>
            <w:r>
              <w:rPr>
                <w:noProof/>
              </w:rPr>
              <w:drawing>
                <wp:inline distT="0" distB="0" distL="0" distR="0" wp14:anchorId="2221D500" wp14:editId="5AF58760">
                  <wp:extent cx="1511300" cy="1133475"/>
                  <wp:effectExtent l="0" t="0" r="0" b="9525"/>
                  <wp:docPr id="91166" name="Image 9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53">
                            <a:extLst>
                              <a:ext uri="{28A0092B-C50C-407E-A947-70E740481C1C}">
                                <a14:useLocalDpi xmlns:a14="http://schemas.microsoft.com/office/drawing/2010/main" val="0"/>
                              </a:ext>
                            </a:extLst>
                          </a:blip>
                          <a:srcRect/>
                          <a:stretch>
                            <a:fillRect/>
                          </a:stretch>
                        </pic:blipFill>
                        <pic:spPr bwMode="auto">
                          <a:xfrm>
                            <a:off x="0" y="0"/>
                            <a:ext cx="1511300" cy="1133475"/>
                          </a:xfrm>
                          <a:prstGeom prst="rect">
                            <a:avLst/>
                          </a:prstGeom>
                          <a:noFill/>
                          <a:ln>
                            <a:noFill/>
                          </a:ln>
                        </pic:spPr>
                      </pic:pic>
                    </a:graphicData>
                  </a:graphic>
                </wp:inline>
              </w:drawing>
            </w:r>
          </w:p>
          <w:p w14:paraId="1210442F" w14:textId="016E9921" w:rsidR="00E4533C" w:rsidRDefault="00E4533C" w:rsidP="005B72F3">
            <w:pPr>
              <w:jc w:val="center"/>
              <w:rPr>
                <w:rFonts w:ascii="Calibri" w:hAnsi="Calibri" w:cs="Calibri"/>
                <w:color w:val="000000" w:themeColor="text1"/>
              </w:rPr>
            </w:pPr>
            <w:r>
              <w:rPr>
                <w:rFonts w:ascii="Calibri" w:hAnsi="Calibri" w:cs="Calibri"/>
                <w:color w:val="000000" w:themeColor="text1"/>
              </w:rPr>
              <w:t>Cormes</w:t>
            </w:r>
          </w:p>
        </w:tc>
        <w:tc>
          <w:tcPr>
            <w:tcW w:w="3472" w:type="dxa"/>
          </w:tcPr>
          <w:p w14:paraId="518BDE01" w14:textId="77777777" w:rsidR="005B72F3" w:rsidRDefault="00034A83" w:rsidP="005B72F3">
            <w:pPr>
              <w:jc w:val="center"/>
              <w:rPr>
                <w:rFonts w:ascii="Calibri" w:hAnsi="Calibri" w:cs="Calibri"/>
                <w:color w:val="000000" w:themeColor="text1"/>
              </w:rPr>
            </w:pPr>
            <w:r>
              <w:rPr>
                <w:noProof/>
              </w:rPr>
              <w:drawing>
                <wp:inline distT="0" distB="0" distL="0" distR="0" wp14:anchorId="60325644" wp14:editId="29AB7DFC">
                  <wp:extent cx="1780374" cy="1190625"/>
                  <wp:effectExtent l="0" t="0" r="0" b="0"/>
                  <wp:docPr id="91167" name="Image 91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54">
                            <a:extLst>
                              <a:ext uri="{28A0092B-C50C-407E-A947-70E740481C1C}">
                                <a14:useLocalDpi xmlns:a14="http://schemas.microsoft.com/office/drawing/2010/main" val="0"/>
                              </a:ext>
                            </a:extLst>
                          </a:blip>
                          <a:srcRect/>
                          <a:stretch>
                            <a:fillRect/>
                          </a:stretch>
                        </pic:blipFill>
                        <pic:spPr bwMode="auto">
                          <a:xfrm>
                            <a:off x="0" y="0"/>
                            <a:ext cx="1783004" cy="1192384"/>
                          </a:xfrm>
                          <a:prstGeom prst="rect">
                            <a:avLst/>
                          </a:prstGeom>
                          <a:noFill/>
                          <a:ln>
                            <a:noFill/>
                          </a:ln>
                        </pic:spPr>
                      </pic:pic>
                    </a:graphicData>
                  </a:graphic>
                </wp:inline>
              </w:drawing>
            </w:r>
          </w:p>
          <w:p w14:paraId="15147181" w14:textId="505F8A79" w:rsidR="00E4533C" w:rsidRDefault="00E4533C" w:rsidP="005B72F3">
            <w:pPr>
              <w:jc w:val="center"/>
              <w:rPr>
                <w:rFonts w:ascii="Calibri" w:hAnsi="Calibri" w:cs="Calibri"/>
                <w:color w:val="000000" w:themeColor="text1"/>
              </w:rPr>
            </w:pPr>
            <w:r w:rsidRPr="00E4533C">
              <w:rPr>
                <w:rFonts w:ascii="Calibri" w:hAnsi="Calibri" w:cs="Calibri"/>
                <w:color w:val="000000" w:themeColor="text1"/>
                <w:shd w:val="clear" w:color="auto" w:fill="FFFFFF"/>
              </w:rPr>
              <w:t>Taro sur le </w:t>
            </w:r>
            <w:hyperlink r:id="rId1555" w:tooltip="Marché (économie)" w:history="1">
              <w:r w:rsidRPr="00E4533C">
                <w:rPr>
                  <w:rStyle w:val="Lienhypertexte"/>
                  <w:rFonts w:ascii="Calibri" w:hAnsi="Calibri" w:cs="Calibri"/>
                  <w:color w:val="0645AD"/>
                  <w:shd w:val="clear" w:color="auto" w:fill="FFFFFF"/>
                </w:rPr>
                <w:t>marché</w:t>
              </w:r>
            </w:hyperlink>
            <w:r w:rsidRPr="00E4533C">
              <w:rPr>
                <w:rFonts w:ascii="Calibri" w:hAnsi="Calibri" w:cs="Calibri"/>
                <w:color w:val="202122"/>
                <w:shd w:val="clear" w:color="auto" w:fill="FFFFFF"/>
              </w:rPr>
              <w:t> de </w:t>
            </w:r>
            <w:hyperlink r:id="rId1556" w:tooltip="Port-Vila" w:history="1">
              <w:r w:rsidRPr="00E4533C">
                <w:rPr>
                  <w:rStyle w:val="Lienhypertexte"/>
                  <w:rFonts w:ascii="Calibri" w:hAnsi="Calibri" w:cs="Calibri"/>
                  <w:color w:val="0645AD"/>
                  <w:shd w:val="clear" w:color="auto" w:fill="FFFFFF"/>
                </w:rPr>
                <w:t>Port-Vila</w:t>
              </w:r>
            </w:hyperlink>
            <w:r w:rsidRPr="00E4533C">
              <w:rPr>
                <w:rFonts w:ascii="Calibri" w:hAnsi="Calibri" w:cs="Calibri"/>
                <w:color w:val="202122"/>
                <w:shd w:val="clear" w:color="auto" w:fill="FFFFFF"/>
              </w:rPr>
              <w:t> </w:t>
            </w:r>
            <w:r w:rsidRPr="00E4533C">
              <w:rPr>
                <w:rFonts w:ascii="Calibri" w:hAnsi="Calibri" w:cs="Calibri"/>
                <w:color w:val="000000" w:themeColor="text1"/>
                <w:shd w:val="clear" w:color="auto" w:fill="FFFFFF"/>
              </w:rPr>
              <w:t>au </w:t>
            </w:r>
            <w:hyperlink r:id="rId1557" w:tooltip="Vanuatu" w:history="1">
              <w:r w:rsidRPr="00E4533C">
                <w:rPr>
                  <w:rStyle w:val="Lienhypertexte"/>
                  <w:rFonts w:ascii="Calibri" w:hAnsi="Calibri" w:cs="Calibri"/>
                  <w:color w:val="0645AD"/>
                  <w:shd w:val="clear" w:color="auto" w:fill="FFFFFF"/>
                </w:rPr>
                <w:t>Vanuatu</w:t>
              </w:r>
            </w:hyperlink>
            <w:r>
              <w:rPr>
                <w:rFonts w:ascii="Arial" w:hAnsi="Arial" w:cs="Arial"/>
                <w:color w:val="202122"/>
                <w:sz w:val="20"/>
                <w:szCs w:val="20"/>
                <w:shd w:val="clear" w:color="auto" w:fill="FFFFFF"/>
              </w:rPr>
              <w:t>.</w:t>
            </w:r>
          </w:p>
        </w:tc>
        <w:tc>
          <w:tcPr>
            <w:tcW w:w="3472" w:type="dxa"/>
          </w:tcPr>
          <w:p w14:paraId="38746327" w14:textId="77777777" w:rsidR="005B72F3" w:rsidRDefault="00034A83" w:rsidP="005B72F3">
            <w:pPr>
              <w:jc w:val="center"/>
              <w:rPr>
                <w:rFonts w:ascii="Calibri" w:hAnsi="Calibri" w:cs="Calibri"/>
                <w:color w:val="000000" w:themeColor="text1"/>
              </w:rPr>
            </w:pPr>
            <w:r>
              <w:rPr>
                <w:noProof/>
              </w:rPr>
              <w:drawing>
                <wp:inline distT="0" distB="0" distL="0" distR="0" wp14:anchorId="4D99D896" wp14:editId="28FA2E92">
                  <wp:extent cx="1864779" cy="1400175"/>
                  <wp:effectExtent l="0" t="0" r="2540" b="0"/>
                  <wp:docPr id="38940" name="Image 38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58">
                            <a:extLst>
                              <a:ext uri="{28A0092B-C50C-407E-A947-70E740481C1C}">
                                <a14:useLocalDpi xmlns:a14="http://schemas.microsoft.com/office/drawing/2010/main" val="0"/>
                              </a:ext>
                            </a:extLst>
                          </a:blip>
                          <a:srcRect/>
                          <a:stretch>
                            <a:fillRect/>
                          </a:stretch>
                        </pic:blipFill>
                        <pic:spPr bwMode="auto">
                          <a:xfrm>
                            <a:off x="0" y="0"/>
                            <a:ext cx="1874170" cy="1407226"/>
                          </a:xfrm>
                          <a:prstGeom prst="rect">
                            <a:avLst/>
                          </a:prstGeom>
                          <a:noFill/>
                          <a:ln>
                            <a:noFill/>
                          </a:ln>
                        </pic:spPr>
                      </pic:pic>
                    </a:graphicData>
                  </a:graphic>
                </wp:inline>
              </w:drawing>
            </w:r>
          </w:p>
          <w:p w14:paraId="4C531EB4" w14:textId="203B65B1" w:rsidR="00E4533C" w:rsidRDefault="00E4533C" w:rsidP="005B72F3">
            <w:pPr>
              <w:jc w:val="center"/>
              <w:rPr>
                <w:rFonts w:ascii="Calibri" w:hAnsi="Calibri" w:cs="Calibri"/>
                <w:color w:val="000000" w:themeColor="text1"/>
              </w:rPr>
            </w:pPr>
            <w:r w:rsidRPr="00E4533C">
              <w:rPr>
                <w:rFonts w:ascii="Calibri" w:hAnsi="Calibri" w:cs="Calibri"/>
                <w:color w:val="000000" w:themeColor="text1"/>
              </w:rPr>
              <w:t>La partie comestible du taro</w:t>
            </w:r>
          </w:p>
        </w:tc>
      </w:tr>
      <w:tr w:rsidR="002949A3" w14:paraId="7C0345D9" w14:textId="77777777" w:rsidTr="00B6379D">
        <w:tc>
          <w:tcPr>
            <w:tcW w:w="3472" w:type="dxa"/>
          </w:tcPr>
          <w:p w14:paraId="43738D40" w14:textId="0AF5475B" w:rsidR="005B72F3" w:rsidRDefault="00034A83" w:rsidP="005B72F3">
            <w:pPr>
              <w:jc w:val="center"/>
              <w:rPr>
                <w:rFonts w:ascii="Calibri" w:hAnsi="Calibri" w:cs="Calibri"/>
                <w:color w:val="000000" w:themeColor="text1"/>
              </w:rPr>
            </w:pPr>
            <w:r>
              <w:rPr>
                <w:noProof/>
              </w:rPr>
              <w:drawing>
                <wp:inline distT="0" distB="0" distL="0" distR="0" wp14:anchorId="550856E1" wp14:editId="5106E3AC">
                  <wp:extent cx="1809750" cy="1238250"/>
                  <wp:effectExtent l="0" t="0" r="0" b="0"/>
                  <wp:docPr id="38943" name="Image 38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59">
                            <a:extLst>
                              <a:ext uri="{28A0092B-C50C-407E-A947-70E740481C1C}">
                                <a14:useLocalDpi xmlns:a14="http://schemas.microsoft.com/office/drawing/2010/main" val="0"/>
                              </a:ext>
                            </a:extLst>
                          </a:blip>
                          <a:srcRect/>
                          <a:stretch>
                            <a:fillRect/>
                          </a:stretch>
                        </pic:blipFill>
                        <pic:spPr bwMode="auto">
                          <a:xfrm>
                            <a:off x="0" y="0"/>
                            <a:ext cx="1817719" cy="1243702"/>
                          </a:xfrm>
                          <a:prstGeom prst="rect">
                            <a:avLst/>
                          </a:prstGeom>
                          <a:noFill/>
                          <a:ln>
                            <a:noFill/>
                          </a:ln>
                        </pic:spPr>
                      </pic:pic>
                    </a:graphicData>
                  </a:graphic>
                </wp:inline>
              </w:drawing>
            </w:r>
          </w:p>
          <w:p w14:paraId="7EBF22A8" w14:textId="2A378A72" w:rsidR="00E4533C" w:rsidRDefault="00E4533C" w:rsidP="005B72F3">
            <w:pPr>
              <w:jc w:val="center"/>
              <w:rPr>
                <w:rFonts w:ascii="Calibri" w:hAnsi="Calibri" w:cs="Calibri"/>
                <w:color w:val="000000" w:themeColor="text1"/>
              </w:rPr>
            </w:pPr>
            <w:r>
              <w:rPr>
                <w:rFonts w:ascii="Calibri" w:hAnsi="Calibri" w:cs="Calibri"/>
                <w:color w:val="000000" w:themeColor="text1"/>
              </w:rPr>
              <w:t>Cormes (section transversale).</w:t>
            </w:r>
          </w:p>
          <w:p w14:paraId="111C3D85" w14:textId="10590DD0" w:rsidR="00034A83" w:rsidRDefault="00034A83" w:rsidP="005B72F3">
            <w:pPr>
              <w:jc w:val="center"/>
              <w:rPr>
                <w:rFonts w:ascii="Calibri" w:hAnsi="Calibri" w:cs="Calibri"/>
                <w:color w:val="000000" w:themeColor="text1"/>
              </w:rPr>
            </w:pPr>
          </w:p>
        </w:tc>
        <w:tc>
          <w:tcPr>
            <w:tcW w:w="3472" w:type="dxa"/>
          </w:tcPr>
          <w:p w14:paraId="4C5B37BB" w14:textId="6A3560CC" w:rsidR="00034A83" w:rsidRDefault="00E4533C" w:rsidP="00034A83">
            <w:pPr>
              <w:jc w:val="center"/>
              <w:rPr>
                <w:rFonts w:ascii="Calibri" w:hAnsi="Calibri" w:cs="Calibri"/>
                <w:color w:val="000000" w:themeColor="text1"/>
              </w:rPr>
            </w:pPr>
            <w:r>
              <w:rPr>
                <w:noProof/>
              </w:rPr>
              <w:drawing>
                <wp:inline distT="0" distB="0" distL="0" distR="0" wp14:anchorId="3C2CF6F4" wp14:editId="327C6B83">
                  <wp:extent cx="1143000" cy="1524000"/>
                  <wp:effectExtent l="0" t="0" r="0" b="0"/>
                  <wp:docPr id="59411" name="Image 59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560">
                            <a:extLst>
                              <a:ext uri="{28A0092B-C50C-407E-A947-70E740481C1C}">
                                <a14:useLocalDpi xmlns:a14="http://schemas.microsoft.com/office/drawing/2010/main" val="0"/>
                              </a:ext>
                            </a:extLst>
                          </a:blip>
                          <a:srcRect/>
                          <a:stretch>
                            <a:fillRect/>
                          </a:stretch>
                        </pic:blipFill>
                        <pic:spPr bwMode="auto">
                          <a:xfrm>
                            <a:off x="0" y="0"/>
                            <a:ext cx="1143000" cy="1524000"/>
                          </a:xfrm>
                          <a:prstGeom prst="rect">
                            <a:avLst/>
                          </a:prstGeom>
                          <a:noFill/>
                          <a:ln>
                            <a:noFill/>
                          </a:ln>
                        </pic:spPr>
                      </pic:pic>
                    </a:graphicData>
                  </a:graphic>
                </wp:inline>
              </w:drawing>
            </w:r>
          </w:p>
          <w:p w14:paraId="0370C7A6" w14:textId="486CF4E5" w:rsidR="005B72F3" w:rsidRDefault="00E4533C" w:rsidP="00034A83">
            <w:pPr>
              <w:jc w:val="center"/>
              <w:rPr>
                <w:rFonts w:ascii="Calibri" w:hAnsi="Calibri" w:cs="Calibri"/>
                <w:color w:val="000000" w:themeColor="text1"/>
              </w:rPr>
            </w:pPr>
            <w:r w:rsidRPr="00E4533C">
              <w:rPr>
                <w:rFonts w:ascii="Arial" w:hAnsi="Arial" w:cs="Arial"/>
                <w:color w:val="000000" w:themeColor="text1"/>
                <w:sz w:val="20"/>
                <w:szCs w:val="20"/>
                <w:shd w:val="clear" w:color="auto" w:fill="FFFFFF"/>
              </w:rPr>
              <w:t>Culture du taro à Keanae, Maui, </w:t>
            </w:r>
            <w:hyperlink r:id="rId1561" w:tooltip="Hawaii" w:history="1">
              <w:r>
                <w:rPr>
                  <w:rStyle w:val="Lienhypertexte"/>
                  <w:rFonts w:ascii="Arial" w:hAnsi="Arial" w:cs="Arial"/>
                  <w:color w:val="0645AD"/>
                  <w:sz w:val="20"/>
                  <w:szCs w:val="20"/>
                  <w:shd w:val="clear" w:color="auto" w:fill="FFFFFF"/>
                </w:rPr>
                <w:t>Hawaii</w:t>
              </w:r>
            </w:hyperlink>
            <w:r>
              <w:rPr>
                <w:rFonts w:ascii="Arial" w:hAnsi="Arial" w:cs="Arial"/>
                <w:color w:val="202122"/>
                <w:sz w:val="20"/>
                <w:szCs w:val="20"/>
                <w:shd w:val="clear" w:color="auto" w:fill="FFFFFF"/>
              </w:rPr>
              <w:t>.</w:t>
            </w:r>
          </w:p>
        </w:tc>
        <w:tc>
          <w:tcPr>
            <w:tcW w:w="3472" w:type="dxa"/>
          </w:tcPr>
          <w:p w14:paraId="1184E623" w14:textId="13848A08" w:rsidR="005B72F3" w:rsidRDefault="00034A83" w:rsidP="005B72F3">
            <w:pPr>
              <w:jc w:val="center"/>
              <w:rPr>
                <w:rFonts w:ascii="Calibri" w:hAnsi="Calibri" w:cs="Calibri"/>
                <w:color w:val="000000" w:themeColor="text1"/>
              </w:rPr>
            </w:pPr>
            <w:r>
              <w:rPr>
                <w:noProof/>
              </w:rPr>
              <w:drawing>
                <wp:inline distT="0" distB="0" distL="0" distR="0" wp14:anchorId="4E99D18A" wp14:editId="6F737A45">
                  <wp:extent cx="1981200" cy="1485900"/>
                  <wp:effectExtent l="0" t="0" r="0" b="0"/>
                  <wp:docPr id="59405" name="Image 59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62">
                            <a:extLst>
                              <a:ext uri="{28A0092B-C50C-407E-A947-70E740481C1C}">
                                <a14:useLocalDpi xmlns:a14="http://schemas.microsoft.com/office/drawing/2010/main" val="0"/>
                              </a:ext>
                            </a:extLst>
                          </a:blip>
                          <a:srcRect/>
                          <a:stretch>
                            <a:fillRect/>
                          </a:stretch>
                        </pic:blipFill>
                        <pic:spPr bwMode="auto">
                          <a:xfrm>
                            <a:off x="0" y="0"/>
                            <a:ext cx="1981820" cy="1486365"/>
                          </a:xfrm>
                          <a:prstGeom prst="rect">
                            <a:avLst/>
                          </a:prstGeom>
                          <a:noFill/>
                          <a:ln>
                            <a:noFill/>
                          </a:ln>
                        </pic:spPr>
                      </pic:pic>
                    </a:graphicData>
                  </a:graphic>
                </wp:inline>
              </w:drawing>
            </w:r>
          </w:p>
          <w:p w14:paraId="18A7E4DA" w14:textId="0B346208" w:rsidR="00034A83" w:rsidRDefault="00034A83" w:rsidP="005B72F3">
            <w:pPr>
              <w:jc w:val="center"/>
              <w:rPr>
                <w:rFonts w:ascii="Calibri" w:hAnsi="Calibri" w:cs="Calibri"/>
                <w:color w:val="000000" w:themeColor="text1"/>
              </w:rPr>
            </w:pPr>
            <w:r w:rsidRPr="00034A83">
              <w:rPr>
                <w:rFonts w:ascii="Calibri" w:hAnsi="Calibri" w:cs="Calibri"/>
                <w:color w:val="000000" w:themeColor="text1"/>
              </w:rPr>
              <w:t>Stolons de taro sur un marché à Dhaka</w:t>
            </w:r>
            <w:r>
              <w:rPr>
                <w:rFonts w:ascii="Calibri" w:hAnsi="Calibri" w:cs="Calibri"/>
                <w:color w:val="000000" w:themeColor="text1"/>
              </w:rPr>
              <w:t xml:space="preserve"> (Bangladesh).</w:t>
            </w:r>
          </w:p>
        </w:tc>
      </w:tr>
      <w:tr w:rsidR="00034A83" w14:paraId="027D500D" w14:textId="77777777" w:rsidTr="00B6379D">
        <w:tc>
          <w:tcPr>
            <w:tcW w:w="3472" w:type="dxa"/>
          </w:tcPr>
          <w:p w14:paraId="10A71D29" w14:textId="77777777" w:rsidR="00034A83" w:rsidRDefault="002949A3" w:rsidP="005B72F3">
            <w:pPr>
              <w:jc w:val="center"/>
              <w:rPr>
                <w:noProof/>
              </w:rPr>
            </w:pPr>
            <w:r>
              <w:rPr>
                <w:noProof/>
              </w:rPr>
              <w:lastRenderedPageBreak/>
              <w:drawing>
                <wp:inline distT="0" distB="0" distL="0" distR="0" wp14:anchorId="0FB59F16" wp14:editId="299F31C7">
                  <wp:extent cx="1941419" cy="1800225"/>
                  <wp:effectExtent l="0" t="0" r="1905" b="0"/>
                  <wp:docPr id="59406" name="Image 59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63">
                            <a:extLst>
                              <a:ext uri="{28A0092B-C50C-407E-A947-70E740481C1C}">
                                <a14:useLocalDpi xmlns:a14="http://schemas.microsoft.com/office/drawing/2010/main" val="0"/>
                              </a:ext>
                            </a:extLst>
                          </a:blip>
                          <a:srcRect/>
                          <a:stretch>
                            <a:fillRect/>
                          </a:stretch>
                        </pic:blipFill>
                        <pic:spPr bwMode="auto">
                          <a:xfrm>
                            <a:off x="0" y="0"/>
                            <a:ext cx="1946282" cy="1804734"/>
                          </a:xfrm>
                          <a:prstGeom prst="rect">
                            <a:avLst/>
                          </a:prstGeom>
                          <a:noFill/>
                          <a:ln>
                            <a:noFill/>
                          </a:ln>
                        </pic:spPr>
                      </pic:pic>
                    </a:graphicData>
                  </a:graphic>
                </wp:inline>
              </w:drawing>
            </w:r>
          </w:p>
          <w:p w14:paraId="2A35222C" w14:textId="77777777" w:rsidR="002949A3" w:rsidRDefault="002949A3" w:rsidP="005B72F3">
            <w:pPr>
              <w:jc w:val="center"/>
              <w:rPr>
                <w:noProof/>
              </w:rPr>
            </w:pPr>
            <w:r w:rsidRPr="002949A3">
              <w:rPr>
                <w:noProof/>
              </w:rPr>
              <w:t>Saru bhaja ou chatpata saru (recette indienne)</w:t>
            </w:r>
            <w:r>
              <w:rPr>
                <w:rStyle w:val="Appelnotedebasdep"/>
                <w:noProof/>
              </w:rPr>
              <w:footnoteReference w:id="107"/>
            </w:r>
            <w:r>
              <w:rPr>
                <w:noProof/>
              </w:rPr>
              <w:t>.</w:t>
            </w:r>
          </w:p>
          <w:p w14:paraId="449EE359" w14:textId="77777777" w:rsidR="00E4533C" w:rsidRDefault="00E4533C" w:rsidP="005B72F3">
            <w:pPr>
              <w:jc w:val="center"/>
              <w:rPr>
                <w:noProof/>
              </w:rPr>
            </w:pPr>
            <w:r>
              <w:rPr>
                <w:noProof/>
              </w:rPr>
              <w:drawing>
                <wp:inline distT="0" distB="0" distL="0" distR="0" wp14:anchorId="6F6247F7" wp14:editId="286FB5FC">
                  <wp:extent cx="1000125" cy="942975"/>
                  <wp:effectExtent l="0" t="0" r="9525" b="9525"/>
                  <wp:docPr id="59410" name="Image 59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4"/>
                          <a:stretch>
                            <a:fillRect/>
                          </a:stretch>
                        </pic:blipFill>
                        <pic:spPr>
                          <a:xfrm>
                            <a:off x="0" y="0"/>
                            <a:ext cx="1000125" cy="942975"/>
                          </a:xfrm>
                          <a:prstGeom prst="rect">
                            <a:avLst/>
                          </a:prstGeom>
                        </pic:spPr>
                      </pic:pic>
                    </a:graphicData>
                  </a:graphic>
                </wp:inline>
              </w:drawing>
            </w:r>
          </w:p>
          <w:p w14:paraId="52F3A31A" w14:textId="3D3D78ED" w:rsidR="00E4533C" w:rsidRDefault="00E4533C" w:rsidP="005B72F3">
            <w:pPr>
              <w:jc w:val="center"/>
              <w:rPr>
                <w:noProof/>
              </w:rPr>
            </w:pPr>
            <w:r w:rsidRPr="00034A83">
              <w:rPr>
                <w:rFonts w:ascii="Calibri" w:hAnsi="Calibri" w:cs="Calibri"/>
                <w:color w:val="000000" w:themeColor="text1"/>
              </w:rPr>
              <w:t>Cormes de taro pelés</w:t>
            </w:r>
          </w:p>
        </w:tc>
        <w:tc>
          <w:tcPr>
            <w:tcW w:w="3472" w:type="dxa"/>
          </w:tcPr>
          <w:p w14:paraId="1CFABA48" w14:textId="77777777" w:rsidR="00034A83" w:rsidRDefault="002949A3" w:rsidP="00034A83">
            <w:pPr>
              <w:jc w:val="center"/>
              <w:rPr>
                <w:noProof/>
              </w:rPr>
            </w:pPr>
            <w:r>
              <w:rPr>
                <w:noProof/>
              </w:rPr>
              <w:drawing>
                <wp:inline distT="0" distB="0" distL="0" distR="0" wp14:anchorId="476EC74A" wp14:editId="2BBFB2B7">
                  <wp:extent cx="1876425" cy="2928360"/>
                  <wp:effectExtent l="0" t="0" r="0" b="5715"/>
                  <wp:docPr id="59407" name="Image 59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65">
                            <a:extLst>
                              <a:ext uri="{28A0092B-C50C-407E-A947-70E740481C1C}">
                                <a14:useLocalDpi xmlns:a14="http://schemas.microsoft.com/office/drawing/2010/main" val="0"/>
                              </a:ext>
                            </a:extLst>
                          </a:blip>
                          <a:srcRect/>
                          <a:stretch>
                            <a:fillRect/>
                          </a:stretch>
                        </pic:blipFill>
                        <pic:spPr bwMode="auto">
                          <a:xfrm>
                            <a:off x="0" y="0"/>
                            <a:ext cx="1878262" cy="2931226"/>
                          </a:xfrm>
                          <a:prstGeom prst="rect">
                            <a:avLst/>
                          </a:prstGeom>
                          <a:noFill/>
                          <a:ln>
                            <a:noFill/>
                          </a:ln>
                        </pic:spPr>
                      </pic:pic>
                    </a:graphicData>
                  </a:graphic>
                </wp:inline>
              </w:drawing>
            </w:r>
          </w:p>
          <w:p w14:paraId="67C4F037" w14:textId="736ED8F6" w:rsidR="002949A3" w:rsidRDefault="002949A3" w:rsidP="00034A83">
            <w:pPr>
              <w:jc w:val="center"/>
              <w:rPr>
                <w:noProof/>
              </w:rPr>
            </w:pPr>
            <w:r w:rsidRPr="002949A3">
              <w:rPr>
                <w:i/>
                <w:iCs/>
                <w:noProof/>
              </w:rPr>
              <w:t>C. esculenta</w:t>
            </w:r>
            <w:r w:rsidRPr="002949A3">
              <w:rPr>
                <w:noProof/>
              </w:rPr>
              <w:t xml:space="preserve"> d</w:t>
            </w:r>
            <w:r>
              <w:rPr>
                <w:noProof/>
              </w:rPr>
              <w:t>ans</w:t>
            </w:r>
            <w:r w:rsidRPr="002949A3">
              <w:rPr>
                <w:noProof/>
              </w:rPr>
              <w:t xml:space="preserve"> l'encyclopédie agricole japonaise Seikei Zusetsu</w:t>
            </w:r>
          </w:p>
        </w:tc>
        <w:tc>
          <w:tcPr>
            <w:tcW w:w="3472" w:type="dxa"/>
          </w:tcPr>
          <w:p w14:paraId="530EE678" w14:textId="18C9753E" w:rsidR="002949A3" w:rsidRDefault="002949A3" w:rsidP="005B72F3">
            <w:pPr>
              <w:jc w:val="center"/>
            </w:pPr>
            <w:r>
              <w:rPr>
                <w:noProof/>
              </w:rPr>
              <w:drawing>
                <wp:inline distT="0" distB="0" distL="0" distR="0" wp14:anchorId="5EC66074" wp14:editId="51CA3E88">
                  <wp:extent cx="1889207" cy="1257300"/>
                  <wp:effectExtent l="0" t="0" r="0" b="0"/>
                  <wp:docPr id="59408" name="Image 59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566">
                            <a:extLst>
                              <a:ext uri="{28A0092B-C50C-407E-A947-70E740481C1C}">
                                <a14:useLocalDpi xmlns:a14="http://schemas.microsoft.com/office/drawing/2010/main" val="0"/>
                              </a:ext>
                            </a:extLst>
                          </a:blip>
                          <a:srcRect/>
                          <a:stretch>
                            <a:fillRect/>
                          </a:stretch>
                        </pic:blipFill>
                        <pic:spPr bwMode="auto">
                          <a:xfrm>
                            <a:off x="0" y="0"/>
                            <a:ext cx="1891611" cy="1258900"/>
                          </a:xfrm>
                          <a:prstGeom prst="rect">
                            <a:avLst/>
                          </a:prstGeom>
                          <a:noFill/>
                          <a:ln>
                            <a:noFill/>
                          </a:ln>
                        </pic:spPr>
                      </pic:pic>
                    </a:graphicData>
                  </a:graphic>
                </wp:inline>
              </w:drawing>
            </w:r>
          </w:p>
          <w:p w14:paraId="4B3EAD04" w14:textId="77777777" w:rsidR="00034A83" w:rsidRDefault="00000000" w:rsidP="005B72F3">
            <w:pPr>
              <w:jc w:val="center"/>
              <w:rPr>
                <w:rFonts w:ascii="Calibri" w:hAnsi="Calibri" w:cs="Calibri"/>
                <w:noProof/>
                <w:color w:val="000000" w:themeColor="text1"/>
              </w:rPr>
            </w:pPr>
            <w:hyperlink r:id="rId1567" w:history="1">
              <w:r w:rsidR="002949A3" w:rsidRPr="002949A3">
                <w:rPr>
                  <w:rStyle w:val="Lienhypertexte"/>
                  <w:rFonts w:ascii="Calibri" w:hAnsi="Calibri" w:cs="Calibri"/>
                  <w:color w:val="0645AD"/>
                  <w:shd w:val="clear" w:color="auto" w:fill="F9F9F9"/>
                </w:rPr>
                <w:t>Cormes</w:t>
              </w:r>
            </w:hyperlink>
            <w:r w:rsidR="002949A3" w:rsidRPr="002949A3">
              <w:rPr>
                <w:rFonts w:ascii="Calibri" w:hAnsi="Calibri" w:cs="Calibri"/>
                <w:color w:val="202122"/>
                <w:shd w:val="clear" w:color="auto" w:fill="F9F9F9"/>
              </w:rPr>
              <w:t> </w:t>
            </w:r>
            <w:r w:rsidR="002949A3" w:rsidRPr="002949A3">
              <w:rPr>
                <w:rFonts w:ascii="Calibri" w:hAnsi="Calibri" w:cs="Calibri"/>
                <w:color w:val="000000" w:themeColor="text1"/>
                <w:shd w:val="clear" w:color="auto" w:fill="F9F9F9"/>
              </w:rPr>
              <w:t>de </w:t>
            </w:r>
            <w:r w:rsidR="002949A3" w:rsidRPr="002949A3">
              <w:rPr>
                <w:rFonts w:ascii="Calibri" w:hAnsi="Calibri" w:cs="Calibri"/>
                <w:i/>
                <w:iCs/>
                <w:color w:val="000000" w:themeColor="text1"/>
                <w:shd w:val="clear" w:color="auto" w:fill="F9F9F9"/>
              </w:rPr>
              <w:t>Colocasia esculenta</w:t>
            </w:r>
            <w:r w:rsidR="002949A3" w:rsidRPr="002949A3">
              <w:rPr>
                <w:rFonts w:ascii="Calibri" w:hAnsi="Calibri" w:cs="Calibri"/>
                <w:noProof/>
                <w:color w:val="000000" w:themeColor="text1"/>
              </w:rPr>
              <w:t>.</w:t>
            </w:r>
          </w:p>
          <w:p w14:paraId="59ED7713" w14:textId="77777777" w:rsidR="00E4533C" w:rsidRDefault="00E4533C" w:rsidP="005B72F3">
            <w:pPr>
              <w:jc w:val="center"/>
              <w:rPr>
                <w:rFonts w:ascii="Calibri" w:hAnsi="Calibri" w:cs="Calibri"/>
                <w:noProof/>
                <w:color w:val="000000" w:themeColor="text1"/>
              </w:rPr>
            </w:pPr>
          </w:p>
          <w:p w14:paraId="3EC5971E" w14:textId="77777777" w:rsidR="00E4533C" w:rsidRDefault="00E4533C" w:rsidP="005B72F3">
            <w:pPr>
              <w:jc w:val="center"/>
              <w:rPr>
                <w:rFonts w:ascii="Calibri" w:hAnsi="Calibri" w:cs="Calibri"/>
                <w:noProof/>
              </w:rPr>
            </w:pPr>
            <w:r>
              <w:rPr>
                <w:noProof/>
              </w:rPr>
              <w:drawing>
                <wp:inline distT="0" distB="0" distL="0" distR="0" wp14:anchorId="4297194F" wp14:editId="09649BE1">
                  <wp:extent cx="1713271" cy="1327785"/>
                  <wp:effectExtent l="0" t="0" r="1270" b="5715"/>
                  <wp:docPr id="59409" name="Image 59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568">
                            <a:extLst>
                              <a:ext uri="{28A0092B-C50C-407E-A947-70E740481C1C}">
                                <a14:useLocalDpi xmlns:a14="http://schemas.microsoft.com/office/drawing/2010/main" val="0"/>
                              </a:ext>
                            </a:extLst>
                          </a:blip>
                          <a:srcRect/>
                          <a:stretch>
                            <a:fillRect/>
                          </a:stretch>
                        </pic:blipFill>
                        <pic:spPr bwMode="auto">
                          <a:xfrm>
                            <a:off x="0" y="0"/>
                            <a:ext cx="1714264" cy="1328555"/>
                          </a:xfrm>
                          <a:prstGeom prst="rect">
                            <a:avLst/>
                          </a:prstGeom>
                          <a:noFill/>
                          <a:ln>
                            <a:noFill/>
                          </a:ln>
                        </pic:spPr>
                      </pic:pic>
                    </a:graphicData>
                  </a:graphic>
                </wp:inline>
              </w:drawing>
            </w:r>
          </w:p>
          <w:p w14:paraId="09404AAC" w14:textId="7B21C460" w:rsidR="00E4533C" w:rsidRPr="002949A3" w:rsidRDefault="00E4533C" w:rsidP="005B72F3">
            <w:pPr>
              <w:jc w:val="center"/>
              <w:rPr>
                <w:rFonts w:ascii="Calibri" w:hAnsi="Calibri" w:cs="Calibri"/>
                <w:noProof/>
              </w:rPr>
            </w:pPr>
            <w:r w:rsidRPr="00E4533C">
              <w:rPr>
                <w:rFonts w:ascii="Calibri" w:hAnsi="Calibri" w:cs="Calibri"/>
                <w:noProof/>
              </w:rPr>
              <w:t>Culture du taro à Madagascar.</w:t>
            </w:r>
          </w:p>
        </w:tc>
      </w:tr>
    </w:tbl>
    <w:p w14:paraId="46BE71E9" w14:textId="77777777" w:rsidR="005B72F3" w:rsidRPr="005B72F3" w:rsidRDefault="005B72F3" w:rsidP="005B72F3">
      <w:pPr>
        <w:spacing w:after="0" w:line="240" w:lineRule="auto"/>
        <w:jc w:val="center"/>
        <w:rPr>
          <w:rFonts w:ascii="Calibri" w:hAnsi="Calibri" w:cs="Calibri"/>
          <w:color w:val="000000" w:themeColor="text1"/>
        </w:rPr>
      </w:pPr>
    </w:p>
    <w:p w14:paraId="0E22BAF4" w14:textId="77777777" w:rsidR="00B94D58" w:rsidRDefault="00B94D58" w:rsidP="00726FE1">
      <w:pPr>
        <w:spacing w:after="0" w:line="240" w:lineRule="auto"/>
      </w:pPr>
    </w:p>
    <w:p w14:paraId="31CE0C0B" w14:textId="77777777" w:rsidR="00D87D3F" w:rsidRDefault="00D87D3F" w:rsidP="00D87D3F">
      <w:pPr>
        <w:pStyle w:val="Titre2"/>
      </w:pPr>
      <w:bookmarkStart w:id="159" w:name="_Toc139181450"/>
      <w:r w:rsidRPr="00972410">
        <w:t>Orge commune (</w:t>
      </w:r>
      <w:r w:rsidRPr="00972410">
        <w:rPr>
          <w:i/>
          <w:iCs/>
        </w:rPr>
        <w:t>Hordeum vulgare</w:t>
      </w:r>
      <w:r w:rsidRPr="00972410">
        <w:t>)</w:t>
      </w:r>
      <w:bookmarkEnd w:id="159"/>
    </w:p>
    <w:p w14:paraId="48B0E174" w14:textId="77777777" w:rsidR="00D87D3F" w:rsidRDefault="00D87D3F" w:rsidP="00D87D3F">
      <w:pPr>
        <w:spacing w:after="0" w:line="240" w:lineRule="auto"/>
      </w:pPr>
    </w:p>
    <w:p w14:paraId="44C608B7" w14:textId="77777777" w:rsidR="00D87D3F" w:rsidRPr="0027265C" w:rsidRDefault="00D87D3F" w:rsidP="00D87D3F">
      <w:pPr>
        <w:spacing w:after="0" w:line="240" w:lineRule="auto"/>
        <w:jc w:val="both"/>
      </w:pPr>
      <w:r w:rsidRPr="0027265C">
        <w:t>C’est une </w:t>
      </w:r>
      <w:hyperlink r:id="rId1569" w:history="1">
        <w:r w:rsidRPr="0027265C">
          <w:rPr>
            <w:rStyle w:val="Lienhypertexte"/>
          </w:rPr>
          <w:t>céréale</w:t>
        </w:r>
      </w:hyperlink>
      <w:r w:rsidRPr="0027265C">
        <w:t> à </w:t>
      </w:r>
      <w:hyperlink r:id="rId1570" w:history="1">
        <w:r w:rsidRPr="0027265C">
          <w:rPr>
            <w:rStyle w:val="Lienhypertexte"/>
          </w:rPr>
          <w:t>paille</w:t>
        </w:r>
      </w:hyperlink>
      <w:r w:rsidRPr="0027265C">
        <w:t>, </w:t>
      </w:r>
      <w:hyperlink r:id="rId1571" w:history="1">
        <w:r w:rsidRPr="0027265C">
          <w:rPr>
            <w:rStyle w:val="Lienhypertexte"/>
          </w:rPr>
          <w:t>plante herbacée</w:t>
        </w:r>
      </w:hyperlink>
      <w:r w:rsidRPr="0027265C">
        <w:t> annuelle (famille des </w:t>
      </w:r>
      <w:hyperlink r:id="rId1572" w:history="1">
        <w:r w:rsidRPr="0027265C">
          <w:rPr>
            <w:rStyle w:val="Lienhypertexte"/>
            <w:i/>
            <w:iCs/>
          </w:rPr>
          <w:t>poacées</w:t>
        </w:r>
      </w:hyperlink>
      <w:r w:rsidRPr="0027265C">
        <w:t>).  L'orge pousse aussi bien sous les tropiques qu’à</w:t>
      </w:r>
      <w:r>
        <w:t xml:space="preserve"> </w:t>
      </w:r>
      <w:r w:rsidRPr="0027265C">
        <w:t>4500 m d’altitude au Tibet.</w:t>
      </w:r>
    </w:p>
    <w:p w14:paraId="7C492BB2" w14:textId="77777777" w:rsidR="00D87D3F" w:rsidRPr="0027265C" w:rsidRDefault="00D87D3F" w:rsidP="00D87D3F">
      <w:pPr>
        <w:spacing w:after="0" w:line="240" w:lineRule="auto"/>
        <w:jc w:val="both"/>
      </w:pPr>
      <w:r w:rsidRPr="0027265C">
        <w:t>L’orge, </w:t>
      </w:r>
      <w:hyperlink r:id="rId1573" w:history="1">
        <w:r w:rsidRPr="0027265C">
          <w:rPr>
            <w:rStyle w:val="Lienhypertexte"/>
          </w:rPr>
          <w:t>céréale</w:t>
        </w:r>
      </w:hyperlink>
      <w:r w:rsidRPr="0027265C">
        <w:t> secondaire, est une importante ressource énergétique en alimentation animale (orge de mouture) mais pauvre en </w:t>
      </w:r>
      <w:hyperlink r:id="rId1574" w:history="1">
        <w:r w:rsidRPr="0027265C">
          <w:rPr>
            <w:rStyle w:val="Lienhypertexte"/>
          </w:rPr>
          <w:t>protéines</w:t>
        </w:r>
      </w:hyperlink>
      <w:r w:rsidRPr="0027265C">
        <w:t> et demande à être complétée. En alimentation humaine, son principal débouché est la </w:t>
      </w:r>
      <w:hyperlink r:id="rId1575" w:history="1">
        <w:r w:rsidRPr="0027265C">
          <w:rPr>
            <w:rStyle w:val="Lienhypertexte"/>
          </w:rPr>
          <w:t>brasserie</w:t>
        </w:r>
      </w:hyperlink>
      <w:r w:rsidRPr="0027265C">
        <w:t>. L’orge, après avoir subi l'opération de </w:t>
      </w:r>
      <w:hyperlink r:id="rId1576" w:history="1">
        <w:r w:rsidRPr="0027265C">
          <w:rPr>
            <w:rStyle w:val="Lienhypertexte"/>
          </w:rPr>
          <w:t>maltage</w:t>
        </w:r>
      </w:hyperlink>
      <w:r w:rsidRPr="0027265C">
        <w:t> donne le </w:t>
      </w:r>
      <w:hyperlink r:id="rId1577" w:history="1">
        <w:r w:rsidRPr="0027265C">
          <w:rPr>
            <w:rStyle w:val="Lienhypertexte"/>
          </w:rPr>
          <w:t>malt</w:t>
        </w:r>
      </w:hyperlink>
      <w:r w:rsidRPr="0027265C">
        <w:t>, dont le produit de fermentation est la </w:t>
      </w:r>
      <w:hyperlink r:id="rId1578" w:history="1">
        <w:r w:rsidRPr="0027265C">
          <w:rPr>
            <w:rStyle w:val="Lienhypertexte"/>
          </w:rPr>
          <w:t>bière</w:t>
        </w:r>
      </w:hyperlink>
      <w:r w:rsidRPr="0027265C">
        <w:t>.</w:t>
      </w:r>
      <w:r>
        <w:t xml:space="preserve"> </w:t>
      </w:r>
      <w:r w:rsidRPr="0027265C">
        <w:t>Le </w:t>
      </w:r>
      <w:hyperlink r:id="rId1579" w:history="1">
        <w:r w:rsidRPr="0027265C">
          <w:rPr>
            <w:rStyle w:val="Lienhypertexte"/>
          </w:rPr>
          <w:t>sirop d'orge malté</w:t>
        </w:r>
      </w:hyperlink>
      <w:r w:rsidRPr="0027265C">
        <w:t>, un concentré édulcorant, est produit à partir des grains d'orge malté.</w:t>
      </w:r>
    </w:p>
    <w:p w14:paraId="1E1E35FD" w14:textId="77777777" w:rsidR="00D87D3F" w:rsidRPr="0027265C" w:rsidRDefault="00000000" w:rsidP="00D87D3F">
      <w:pPr>
        <w:spacing w:after="0" w:line="240" w:lineRule="auto"/>
        <w:jc w:val="both"/>
      </w:pPr>
      <w:hyperlink r:id="rId1580" w:history="1">
        <w:r w:rsidR="00D87D3F" w:rsidRPr="0027265C">
          <w:rPr>
            <w:rStyle w:val="Lienhypertexte"/>
          </w:rPr>
          <w:t>Orge perlé</w:t>
        </w:r>
      </w:hyperlink>
      <w:r w:rsidR="00D87D3F" w:rsidRPr="0027265C">
        <w:t> - orge mondé  : sous forme de grains, on retrouve notamment l’orge mondé, dont la première enveloppe extérieure a été retirée, mais qui conserve le son et le germe. Quel que soit le plat auquel on le destine, l’orge se cuit dans une proportion de trois tasses d'eau pour une tasse d'orge.  L'orge perlé peut être utilisé en salades composées, avec des légumes, ou ajouté dans les potages. Les </w:t>
      </w:r>
      <w:hyperlink r:id="rId1581" w:history="1">
        <w:r w:rsidR="00D87D3F" w:rsidRPr="0027265C">
          <w:rPr>
            <w:rStyle w:val="Lienhypertexte"/>
          </w:rPr>
          <w:t>Tibétains</w:t>
        </w:r>
      </w:hyperlink>
      <w:r w:rsidR="00D87D3F" w:rsidRPr="0027265C">
        <w:t> ont fait de la farine d'orge grillée, appelée </w:t>
      </w:r>
      <w:hyperlink r:id="rId1582" w:history="1">
        <w:r w:rsidR="00D87D3F" w:rsidRPr="0027265C">
          <w:rPr>
            <w:rStyle w:val="Lienhypertexte"/>
          </w:rPr>
          <w:t>tsampa</w:t>
        </w:r>
      </w:hyperlink>
      <w:r w:rsidR="00D87D3F" w:rsidRPr="0027265C">
        <w:t>, leur aliment traditionnel de base. On en fait des biscuits, pains, farines, divers </w:t>
      </w:r>
      <w:hyperlink r:id="rId1583" w:history="1">
        <w:r w:rsidR="00D87D3F" w:rsidRPr="0027265C">
          <w:rPr>
            <w:rStyle w:val="Lienhypertexte"/>
          </w:rPr>
          <w:t>aliments diététiques</w:t>
        </w:r>
      </w:hyperlink>
      <w:r w:rsidR="00D87D3F" w:rsidRPr="0027265C">
        <w:t>. En </w:t>
      </w:r>
      <w:hyperlink r:id="rId1584" w:history="1">
        <w:r w:rsidR="00D87D3F" w:rsidRPr="0027265C">
          <w:rPr>
            <w:rStyle w:val="Lienhypertexte"/>
          </w:rPr>
          <w:t>Afrique du Nord</w:t>
        </w:r>
      </w:hyperlink>
      <w:r w:rsidR="00D87D3F" w:rsidRPr="0027265C">
        <w:t>, on fabrique de la </w:t>
      </w:r>
      <w:hyperlink r:id="rId1585" w:history="1">
        <w:r w:rsidR="00D87D3F" w:rsidRPr="0027265C">
          <w:rPr>
            <w:rStyle w:val="Lienhypertexte"/>
          </w:rPr>
          <w:t>semoule</w:t>
        </w:r>
      </w:hyperlink>
      <w:r w:rsidR="00D87D3F" w:rsidRPr="0027265C">
        <w:t> d'orge.</w:t>
      </w:r>
    </w:p>
    <w:p w14:paraId="0809FB29" w14:textId="77777777" w:rsidR="00D87D3F" w:rsidRPr="0027265C" w:rsidRDefault="00D87D3F" w:rsidP="00D87D3F">
      <w:pPr>
        <w:spacing w:after="0" w:line="240" w:lineRule="auto"/>
        <w:jc w:val="both"/>
      </w:pPr>
      <w:r w:rsidRPr="0027265C">
        <w:rPr>
          <w:u w:val="single"/>
        </w:rPr>
        <w:t>Maladies</w:t>
      </w:r>
      <w:r w:rsidRPr="0027265C">
        <w:t xml:space="preserve"> : La </w:t>
      </w:r>
      <w:r w:rsidRPr="0027265C">
        <w:rPr>
          <w:i/>
          <w:iCs/>
        </w:rPr>
        <w:t>jaunisse nanisante de l'orge</w:t>
      </w:r>
      <w:r w:rsidRPr="0027265C">
        <w:t> (JNO) est une maladie due à un </w:t>
      </w:r>
      <w:hyperlink r:id="rId1586" w:history="1">
        <w:r w:rsidRPr="0027265C">
          <w:rPr>
            <w:rStyle w:val="Lienhypertexte"/>
          </w:rPr>
          <w:t>virus</w:t>
        </w:r>
      </w:hyperlink>
      <w:r w:rsidRPr="0027265C">
        <w:t> transmis par les </w:t>
      </w:r>
      <w:hyperlink r:id="rId1587" w:history="1">
        <w:r w:rsidRPr="0027265C">
          <w:rPr>
            <w:rStyle w:val="Lienhypertexte"/>
          </w:rPr>
          <w:t>pucerons</w:t>
        </w:r>
      </w:hyperlink>
      <w:r w:rsidRPr="0027265C">
        <w:t> d'automne (</w:t>
      </w:r>
      <w:hyperlink r:id="rId1588" w:history="1">
        <w:r w:rsidRPr="0027265C">
          <w:rPr>
            <w:rStyle w:val="Lienhypertexte"/>
            <w:i/>
            <w:iCs/>
          </w:rPr>
          <w:t>Rhopalosiphum</w:t>
        </w:r>
      </w:hyperlink>
      <w:hyperlink r:id="rId1589" w:history="1">
        <w:r w:rsidRPr="0027265C">
          <w:rPr>
            <w:rStyle w:val="Lienhypertexte"/>
            <w:i/>
            <w:iCs/>
          </w:rPr>
          <w:t xml:space="preserve"> </w:t>
        </w:r>
      </w:hyperlink>
      <w:hyperlink r:id="rId1590" w:history="1">
        <w:r w:rsidRPr="0027265C">
          <w:rPr>
            <w:rStyle w:val="Lienhypertexte"/>
            <w:i/>
            <w:iCs/>
          </w:rPr>
          <w:t>padi</w:t>
        </w:r>
      </w:hyperlink>
      <w:r w:rsidRPr="0027265C">
        <w:t xml:space="preserve">). Les graines, d’un champ virosé, ne transmettent pas le virus. </w:t>
      </w:r>
    </w:p>
    <w:p w14:paraId="01F51BFB" w14:textId="77777777" w:rsidR="00D87D3F" w:rsidRDefault="00D87D3F" w:rsidP="00D87D3F">
      <w:pPr>
        <w:spacing w:after="0" w:line="240" w:lineRule="auto"/>
        <w:jc w:val="both"/>
      </w:pPr>
      <w:r w:rsidRPr="0027265C">
        <w:rPr>
          <w:u w:val="single"/>
        </w:rPr>
        <w:t>Variétés</w:t>
      </w:r>
      <w:r w:rsidRPr="0027265C">
        <w:t xml:space="preserve"> : </w:t>
      </w:r>
      <w:hyperlink r:id="rId1591" w:history="1">
        <w:r w:rsidRPr="0027265C">
          <w:rPr>
            <w:rStyle w:val="Lienhypertexte"/>
            <w:i/>
            <w:iCs/>
          </w:rPr>
          <w:t>Hordeum</w:t>
        </w:r>
      </w:hyperlink>
      <w:hyperlink r:id="rId1592" w:history="1">
        <w:r w:rsidRPr="0027265C">
          <w:rPr>
            <w:rStyle w:val="Lienhypertexte"/>
            <w:i/>
            <w:iCs/>
          </w:rPr>
          <w:t xml:space="preserve"> </w:t>
        </w:r>
      </w:hyperlink>
      <w:hyperlink r:id="rId1593" w:history="1">
        <w:r w:rsidRPr="0027265C">
          <w:rPr>
            <w:rStyle w:val="Lienhypertexte"/>
            <w:i/>
            <w:iCs/>
          </w:rPr>
          <w:t>vulgare</w:t>
        </w:r>
      </w:hyperlink>
      <w:hyperlink r:id="rId1594" w:history="1">
        <w:r w:rsidRPr="0027265C">
          <w:rPr>
            <w:rStyle w:val="Lienhypertexte"/>
          </w:rPr>
          <w:t> </w:t>
        </w:r>
      </w:hyperlink>
      <w:hyperlink r:id="rId1595" w:history="1">
        <w:r w:rsidRPr="0027265C">
          <w:rPr>
            <w:rStyle w:val="Lienhypertexte"/>
          </w:rPr>
          <w:t>subsp</w:t>
        </w:r>
      </w:hyperlink>
      <w:hyperlink r:id="rId1596" w:history="1">
        <w:r w:rsidRPr="0027265C">
          <w:rPr>
            <w:rStyle w:val="Lienhypertexte"/>
          </w:rPr>
          <w:t>. </w:t>
        </w:r>
      </w:hyperlink>
      <w:hyperlink r:id="rId1597" w:history="1">
        <w:r w:rsidRPr="0027265C">
          <w:rPr>
            <w:rStyle w:val="Lienhypertexte"/>
            <w:i/>
            <w:iCs/>
          </w:rPr>
          <w:t>hexastichum</w:t>
        </w:r>
      </w:hyperlink>
      <w:r w:rsidRPr="0027265C">
        <w:t> L., l'escourgeon (employée en alimentation animale, pour la bière, adaptée aux sols acides), sous-espèce de l'</w:t>
      </w:r>
      <w:hyperlink r:id="rId1598" w:history="1">
        <w:r w:rsidRPr="0027265C">
          <w:rPr>
            <w:rStyle w:val="Lienhypertexte"/>
          </w:rPr>
          <w:t>orge commune</w:t>
        </w:r>
      </w:hyperlink>
      <w:r w:rsidRPr="0027265C">
        <w:t xml:space="preserve">. </w:t>
      </w:r>
      <w:hyperlink r:id="rId1599" w:history="1">
        <w:r w:rsidRPr="0027265C">
          <w:rPr>
            <w:rStyle w:val="Lienhypertexte"/>
            <w:i/>
            <w:iCs/>
            <w:lang w:val="pt-BR"/>
          </w:rPr>
          <w:t>Hordeum vulgare trifurcatum</w:t>
        </w:r>
      </w:hyperlink>
      <w:r w:rsidRPr="0027265C">
        <w:rPr>
          <w:lang w:val="pt-BR"/>
        </w:rPr>
        <w:t>, ou orge du Tibet (</w:t>
      </w:r>
      <w:r w:rsidRPr="0027265C">
        <w:t>résistante aux gels, comme les escourgeons</w:t>
      </w:r>
      <w:r w:rsidRPr="0027265C">
        <w:rPr>
          <w:lang w:val="pt-BR"/>
        </w:rPr>
        <w:t>). L’orge sauvage (</w:t>
      </w:r>
      <w:r w:rsidRPr="0027265C">
        <w:rPr>
          <w:i/>
          <w:iCs/>
        </w:rPr>
        <w:t>Hordeum vulgare</w:t>
      </w:r>
      <w:r w:rsidRPr="0027265C">
        <w:t> subsp. </w:t>
      </w:r>
      <w:r w:rsidRPr="0027265C">
        <w:rPr>
          <w:i/>
          <w:iCs/>
        </w:rPr>
        <w:t>Spontaneum</w:t>
      </w:r>
      <w:r w:rsidRPr="0027265C">
        <w:t>) est abondante dans les prairies et les forêts à travers le </w:t>
      </w:r>
      <w:hyperlink r:id="rId1600" w:history="1">
        <w:r w:rsidRPr="0027265C">
          <w:rPr>
            <w:rStyle w:val="Lienhypertexte"/>
          </w:rPr>
          <w:t>Croissant fertile</w:t>
        </w:r>
      </w:hyperlink>
      <w:r w:rsidRPr="0027265C">
        <w:t> région de l'Asie occidentale et l'Afrique du nord, et est abondant dans les </w:t>
      </w:r>
      <w:hyperlink r:id="rId1601" w:history="1">
        <w:r w:rsidRPr="0027265C">
          <w:rPr>
            <w:rStyle w:val="Lienhypertexte"/>
          </w:rPr>
          <w:t>habitats perturbés</w:t>
        </w:r>
      </w:hyperlink>
      <w:r w:rsidRPr="0027265C">
        <w:t xml:space="preserve">, des routes et des vergers. </w:t>
      </w:r>
      <w:r w:rsidRPr="0027265C">
        <w:rPr>
          <w:i/>
          <w:iCs/>
        </w:rPr>
        <w:t>Elle résiste bien au sel et à des pH élevé</w:t>
      </w:r>
      <w:r w:rsidRPr="0027265C">
        <w:t xml:space="preserve"> (jusqu’à pH 8,5). Certaines </w:t>
      </w:r>
      <w:r w:rsidRPr="0027265C">
        <w:rPr>
          <w:i/>
          <w:iCs/>
        </w:rPr>
        <w:t xml:space="preserve">variétés d’orge </w:t>
      </w:r>
      <w:r w:rsidRPr="0027265C">
        <w:t xml:space="preserve">comme </w:t>
      </w:r>
      <w:r w:rsidRPr="0027265C">
        <w:rPr>
          <w:i/>
          <w:iCs/>
        </w:rPr>
        <w:t xml:space="preserve">celle de Gabès </w:t>
      </w:r>
      <w:r w:rsidRPr="0027265C">
        <w:t xml:space="preserve">se sont montrées tolérantes au sel (BUREAU et al., 1959). </w:t>
      </w:r>
    </w:p>
    <w:p w14:paraId="333F159F" w14:textId="77777777" w:rsidR="00D87D3F" w:rsidRPr="0027265C" w:rsidRDefault="00D87D3F" w:rsidP="00D87D3F">
      <w:pPr>
        <w:spacing w:after="0" w:line="240" w:lineRule="auto"/>
        <w:jc w:val="both"/>
      </w:pPr>
      <w:r w:rsidRPr="0027265C">
        <w:t xml:space="preserve">Sources : a) </w:t>
      </w:r>
      <w:hyperlink r:id="rId1602" w:history="1">
        <w:r w:rsidRPr="0027265C">
          <w:rPr>
            <w:rStyle w:val="Lienhypertexte"/>
          </w:rPr>
          <w:t>http://fr.wikipedia.org/wiki/Orge_commune</w:t>
        </w:r>
      </w:hyperlink>
      <w:r w:rsidRPr="0027265C">
        <w:t xml:space="preserve">, b) </w:t>
      </w:r>
      <w:hyperlink r:id="rId1603" w:history="1">
        <w:r w:rsidRPr="0027265C">
          <w:rPr>
            <w:rStyle w:val="Lienhypertexte"/>
          </w:rPr>
          <w:t>http://en.wikipedia.org/wiki/Barley</w:t>
        </w:r>
      </w:hyperlink>
      <w:r w:rsidRPr="0027265C">
        <w:t xml:space="preserve">, c) </w:t>
      </w:r>
      <w:r w:rsidRPr="0027265C">
        <w:rPr>
          <w:i/>
          <w:iCs/>
        </w:rPr>
        <w:t>L'utilisation des eaux salées au Sahara</w:t>
      </w:r>
      <w:r w:rsidRPr="0027265C">
        <w:t xml:space="preserve">, P. Simonneau, G. Aubert, Ann. agron., 1963, 14 (5), 859-872, page 866, </w:t>
      </w:r>
      <w:hyperlink r:id="rId1604" w:history="1">
        <w:r w:rsidRPr="0027265C">
          <w:rPr>
            <w:rStyle w:val="Lienhypertexte"/>
          </w:rPr>
          <w:t>http://horizon.documentation.ird.fr/exl-doc/pleins_textes/pleins_textes_5/b_fdi_08-09/11033.pdf</w:t>
        </w:r>
      </w:hyperlink>
      <w:r w:rsidRPr="0027265C">
        <w:t xml:space="preserve"> </w:t>
      </w:r>
    </w:p>
    <w:p w14:paraId="162D3967" w14:textId="77777777" w:rsidR="00D87D3F" w:rsidRDefault="00D87D3F" w:rsidP="00D87D3F">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D87D3F" w14:paraId="76D0A5D9" w14:textId="77777777" w:rsidTr="007E58C4">
        <w:tc>
          <w:tcPr>
            <w:tcW w:w="3472" w:type="dxa"/>
          </w:tcPr>
          <w:p w14:paraId="5FFFD738" w14:textId="77777777" w:rsidR="00D87D3F" w:rsidRDefault="00D87D3F" w:rsidP="007E58C4">
            <w:pPr>
              <w:jc w:val="center"/>
            </w:pPr>
            <w:r w:rsidRPr="009866CD">
              <w:rPr>
                <w:noProof/>
              </w:rPr>
              <w:lastRenderedPageBreak/>
              <w:drawing>
                <wp:inline distT="0" distB="0" distL="0" distR="0" wp14:anchorId="18AB15B6" wp14:editId="766C9A97">
                  <wp:extent cx="1841500" cy="1384300"/>
                  <wp:effectExtent l="0" t="0" r="6350" b="6350"/>
                  <wp:docPr id="79883" name="Image 10" descr="Hordeum_vulgare_subsp._vulgare_Escourge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83" name="Image 10" descr="Hordeum_vulgare_subsp._vulgare_Escourgeon.jpg"/>
                          <pic:cNvPicPr>
                            <a:picLocks noChangeAspect="1"/>
                          </pic:cNvPicPr>
                        </pic:nvPicPr>
                        <pic:blipFill>
                          <a:blip r:embed="rId1605">
                            <a:extLst>
                              <a:ext uri="{28A0092B-C50C-407E-A947-70E740481C1C}">
                                <a14:useLocalDpi xmlns:a14="http://schemas.microsoft.com/office/drawing/2010/main" val="0"/>
                              </a:ext>
                            </a:extLst>
                          </a:blip>
                          <a:srcRect/>
                          <a:stretch>
                            <a:fillRect/>
                          </a:stretch>
                        </pic:blipFill>
                        <pic:spPr bwMode="auto">
                          <a:xfrm>
                            <a:off x="0" y="0"/>
                            <a:ext cx="1841500" cy="1384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4F05F06" w14:textId="77777777" w:rsidR="00D87D3F" w:rsidRDefault="00D87D3F" w:rsidP="007E58C4">
            <w:pPr>
              <w:jc w:val="center"/>
            </w:pPr>
            <w:r w:rsidRPr="009866CD">
              <w:rPr>
                <w:i/>
                <w:iCs/>
              </w:rPr>
              <w:t>Hordeum vulgare</w:t>
            </w:r>
            <w:r w:rsidRPr="009866CD">
              <w:t> subsp. </w:t>
            </w:r>
            <w:r w:rsidRPr="009866CD">
              <w:rPr>
                <w:i/>
                <w:iCs/>
              </w:rPr>
              <w:t>Hexastichum</w:t>
            </w:r>
            <w:r w:rsidRPr="009866CD">
              <w:t xml:space="preserve"> </w:t>
            </w:r>
          </w:p>
          <w:p w14:paraId="7CD0E061" w14:textId="77777777" w:rsidR="00D87D3F" w:rsidRDefault="00D87D3F" w:rsidP="007E58C4">
            <w:pPr>
              <w:jc w:val="center"/>
            </w:pPr>
            <w:r w:rsidRPr="009866CD">
              <w:t>Epis d'escourgeon bien formés juste avant la maturation</w:t>
            </w:r>
            <w:r>
              <w:t>.</w:t>
            </w:r>
          </w:p>
          <w:p w14:paraId="447A67A9" w14:textId="2545AB7F" w:rsidR="00EF1A93" w:rsidRDefault="00EF1A93" w:rsidP="007E58C4">
            <w:pPr>
              <w:jc w:val="center"/>
            </w:pPr>
          </w:p>
        </w:tc>
        <w:tc>
          <w:tcPr>
            <w:tcW w:w="3472" w:type="dxa"/>
          </w:tcPr>
          <w:p w14:paraId="26E78940" w14:textId="77777777" w:rsidR="00D87D3F" w:rsidRDefault="00D87D3F" w:rsidP="007E58C4">
            <w:pPr>
              <w:jc w:val="center"/>
            </w:pPr>
            <w:r w:rsidRPr="009866CD">
              <w:rPr>
                <w:noProof/>
              </w:rPr>
              <w:drawing>
                <wp:inline distT="0" distB="0" distL="0" distR="0" wp14:anchorId="3F738AE4" wp14:editId="4EA4265E">
                  <wp:extent cx="1039813" cy="1509712"/>
                  <wp:effectExtent l="0" t="0" r="8255" b="0"/>
                  <wp:docPr id="79885" name="Image 13" descr="Orge_in_Sloven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85" name="Image 13" descr="Orge_in_Slovenia.jpg"/>
                          <pic:cNvPicPr>
                            <a:picLocks noChangeAspect="1"/>
                          </pic:cNvPicPr>
                        </pic:nvPicPr>
                        <pic:blipFill>
                          <a:blip r:embed="rId1606">
                            <a:extLst>
                              <a:ext uri="{28A0092B-C50C-407E-A947-70E740481C1C}">
                                <a14:useLocalDpi xmlns:a14="http://schemas.microsoft.com/office/drawing/2010/main" val="0"/>
                              </a:ext>
                            </a:extLst>
                          </a:blip>
                          <a:srcRect/>
                          <a:stretch>
                            <a:fillRect/>
                          </a:stretch>
                        </pic:blipFill>
                        <pic:spPr bwMode="auto">
                          <a:xfrm>
                            <a:off x="0" y="0"/>
                            <a:ext cx="1039813" cy="15097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1B892156" w14:textId="77777777" w:rsidR="00D87D3F" w:rsidRDefault="00D87D3F" w:rsidP="007E58C4">
            <w:pPr>
              <w:jc w:val="center"/>
            </w:pPr>
            <w:r w:rsidRPr="009866CD">
              <w:rPr>
                <w:noProof/>
              </w:rPr>
              <w:drawing>
                <wp:inline distT="0" distB="0" distL="0" distR="0" wp14:anchorId="0A60C050" wp14:editId="3CBE8093">
                  <wp:extent cx="1143000" cy="1524000"/>
                  <wp:effectExtent l="0" t="0" r="0" b="0"/>
                  <wp:docPr id="79880" name="Image 7" descr="Orge brassico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80" name="Image 7" descr="Orge brassicole.jpg"/>
                          <pic:cNvPicPr>
                            <a:picLocks noChangeAspect="1"/>
                          </pic:cNvPicPr>
                        </pic:nvPicPr>
                        <pic:blipFill>
                          <a:blip r:embed="rId1607">
                            <a:extLst>
                              <a:ext uri="{28A0092B-C50C-407E-A947-70E740481C1C}">
                                <a14:useLocalDpi xmlns:a14="http://schemas.microsoft.com/office/drawing/2010/main" val="0"/>
                              </a:ext>
                            </a:extLst>
                          </a:blip>
                          <a:srcRect/>
                          <a:stretch>
                            <a:fillRect/>
                          </a:stretch>
                        </pic:blipFill>
                        <pic:spPr bwMode="auto">
                          <a:xfrm>
                            <a:off x="0" y="0"/>
                            <a:ext cx="1143000" cy="152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D87D3F" w14:paraId="63178736" w14:textId="77777777" w:rsidTr="007E58C4">
        <w:tc>
          <w:tcPr>
            <w:tcW w:w="3472" w:type="dxa"/>
          </w:tcPr>
          <w:p w14:paraId="3D776C38" w14:textId="77777777" w:rsidR="00D87D3F" w:rsidRDefault="00D87D3F" w:rsidP="007E58C4">
            <w:pPr>
              <w:jc w:val="center"/>
            </w:pPr>
            <w:r w:rsidRPr="009866CD">
              <w:rPr>
                <w:noProof/>
              </w:rPr>
              <w:drawing>
                <wp:inline distT="0" distB="0" distL="0" distR="0" wp14:anchorId="73575420" wp14:editId="78434FD3">
                  <wp:extent cx="1104900" cy="1524000"/>
                  <wp:effectExtent l="0" t="0" r="0" b="0"/>
                  <wp:docPr id="79881" name="Image 8" descr="Orge Épis à maturité-Hordeum-barl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81" name="Image 8" descr="Orge Épis à maturité-Hordeum-barley.jpg"/>
                          <pic:cNvPicPr>
                            <a:picLocks noChangeAspect="1"/>
                          </pic:cNvPicPr>
                        </pic:nvPicPr>
                        <pic:blipFill>
                          <a:blip r:embed="rId1608">
                            <a:extLst>
                              <a:ext uri="{28A0092B-C50C-407E-A947-70E740481C1C}">
                                <a14:useLocalDpi xmlns:a14="http://schemas.microsoft.com/office/drawing/2010/main" val="0"/>
                              </a:ext>
                            </a:extLst>
                          </a:blip>
                          <a:srcRect/>
                          <a:stretch>
                            <a:fillRect/>
                          </a:stretch>
                        </pic:blipFill>
                        <pic:spPr bwMode="auto">
                          <a:xfrm>
                            <a:off x="0" y="0"/>
                            <a:ext cx="1104900" cy="152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t xml:space="preserve"> </w:t>
            </w:r>
          </w:p>
        </w:tc>
        <w:tc>
          <w:tcPr>
            <w:tcW w:w="3472" w:type="dxa"/>
          </w:tcPr>
          <w:p w14:paraId="297F79E2" w14:textId="77777777" w:rsidR="00D87D3F" w:rsidRDefault="00D87D3F" w:rsidP="007E58C4">
            <w:pPr>
              <w:jc w:val="center"/>
            </w:pPr>
            <w:r w:rsidRPr="009866CD">
              <w:rPr>
                <w:noProof/>
              </w:rPr>
              <w:drawing>
                <wp:inline distT="0" distB="0" distL="0" distR="0" wp14:anchorId="495A49C3" wp14:editId="27CC9E46">
                  <wp:extent cx="1320800" cy="990600"/>
                  <wp:effectExtent l="0" t="0" r="0" b="0"/>
                  <wp:docPr id="79882" name="Image 9" descr="Orge_Grain_Hordeum_vulga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82" name="Image 9" descr="Orge_Grain_Hordeum_vulgare.jpg"/>
                          <pic:cNvPicPr>
                            <a:picLocks noChangeAspect="1"/>
                          </pic:cNvPicPr>
                        </pic:nvPicPr>
                        <pic:blipFill>
                          <a:blip r:embed="rId1609">
                            <a:extLst>
                              <a:ext uri="{28A0092B-C50C-407E-A947-70E740481C1C}">
                                <a14:useLocalDpi xmlns:a14="http://schemas.microsoft.com/office/drawing/2010/main" val="0"/>
                              </a:ext>
                            </a:extLst>
                          </a:blip>
                          <a:srcRect/>
                          <a:stretch>
                            <a:fillRect/>
                          </a:stretch>
                        </pic:blipFill>
                        <pic:spPr bwMode="auto">
                          <a:xfrm>
                            <a:off x="0" y="0"/>
                            <a:ext cx="1320800" cy="990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1A73AF44" w14:textId="77777777" w:rsidR="00D87D3F" w:rsidRDefault="00D87D3F" w:rsidP="007E58C4">
            <w:pPr>
              <w:jc w:val="center"/>
            </w:pPr>
          </w:p>
        </w:tc>
      </w:tr>
    </w:tbl>
    <w:p w14:paraId="5336DF2A" w14:textId="77777777" w:rsidR="00972BCD" w:rsidRDefault="00972BCD" w:rsidP="00726FE1">
      <w:pPr>
        <w:spacing w:after="0" w:line="240" w:lineRule="auto"/>
      </w:pPr>
    </w:p>
    <w:p w14:paraId="28DFD7C8" w14:textId="77777777" w:rsidR="005517C0" w:rsidRDefault="005517C0" w:rsidP="005517C0">
      <w:pPr>
        <w:pStyle w:val="Titre2"/>
      </w:pPr>
      <w:bookmarkStart w:id="160" w:name="_Toc139181451"/>
      <w:r w:rsidRPr="00CA1A74">
        <w:t>Nipa</w:t>
      </w:r>
      <w:r w:rsidRPr="00CA1A74">
        <w:rPr>
          <w:b/>
          <w:bCs/>
        </w:rPr>
        <w:t xml:space="preserve"> </w:t>
      </w:r>
      <w:r w:rsidRPr="00CA1A74">
        <w:t>(</w:t>
      </w:r>
      <w:r w:rsidRPr="001D5C03">
        <w:rPr>
          <w:i/>
          <w:iCs/>
        </w:rPr>
        <w:t>Distichlis palmeri</w:t>
      </w:r>
      <w:r w:rsidRPr="00CA1A74">
        <w:t>)</w:t>
      </w:r>
      <w:bookmarkEnd w:id="160"/>
    </w:p>
    <w:p w14:paraId="2E65E2EF" w14:textId="77777777" w:rsidR="005517C0" w:rsidRDefault="005517C0" w:rsidP="005517C0">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1"/>
        <w:gridCol w:w="2211"/>
        <w:gridCol w:w="1097"/>
        <w:gridCol w:w="970"/>
        <w:gridCol w:w="1377"/>
      </w:tblGrid>
      <w:tr w:rsidR="005517C0" w:rsidRPr="000B6BE3" w14:paraId="4DF41E6A" w14:textId="77777777" w:rsidTr="007E58C4">
        <w:tc>
          <w:tcPr>
            <w:tcW w:w="4957" w:type="dxa"/>
          </w:tcPr>
          <w:p w14:paraId="15BFA50C" w14:textId="77777777" w:rsidR="005517C0" w:rsidRPr="000B6BE3" w:rsidRDefault="005517C0" w:rsidP="007E58C4">
            <w:pPr>
              <w:rPr>
                <w:rFonts w:cstheme="minorHAnsi"/>
                <w:bCs/>
              </w:rPr>
            </w:pPr>
            <w:r w:rsidRPr="000B6BE3">
              <w:rPr>
                <w:rFonts w:cstheme="minorHAnsi"/>
                <w:bCs/>
              </w:rPr>
              <w:t>(</w:t>
            </w:r>
            <w:hyperlink r:id="rId1610" w:history="1">
              <w:r w:rsidRPr="000B6BE3">
                <w:rPr>
                  <w:rFonts w:cstheme="minorHAnsi"/>
                </w:rPr>
                <w:t>F</w:t>
              </w:r>
              <w:r w:rsidRPr="000B6BE3">
                <w:rPr>
                  <w:rStyle w:val="Lienhypertexte"/>
                  <w:rFonts w:cstheme="minorHAnsi"/>
                  <w:color w:val="0B0080"/>
                  <w:shd w:val="clear" w:color="auto" w:fill="FFFFFF"/>
                </w:rPr>
                <w:t>amille</w:t>
              </w:r>
            </w:hyperlink>
            <w:r w:rsidRPr="000B6BE3">
              <w:rPr>
                <w:rFonts w:cstheme="minorHAnsi"/>
                <w:color w:val="222222"/>
                <w:shd w:val="clear" w:color="auto" w:fill="FFFFFF"/>
              </w:rPr>
              <w:t> </w:t>
            </w:r>
            <w:r w:rsidRPr="00FC05CB">
              <w:rPr>
                <w:rFonts w:cstheme="minorHAnsi"/>
                <w:color w:val="000000" w:themeColor="text1"/>
                <w:shd w:val="clear" w:color="auto" w:fill="FFFFFF"/>
              </w:rPr>
              <w:t>des</w:t>
            </w:r>
            <w:r>
              <w:rPr>
                <w:rFonts w:cstheme="minorHAnsi"/>
                <w:color w:val="000000" w:themeColor="text1"/>
                <w:shd w:val="clear" w:color="auto" w:fill="FFFFFF"/>
              </w:rPr>
              <w:t xml:space="preserve"> </w:t>
            </w:r>
            <w:hyperlink r:id="rId1611" w:history="1">
              <w:r w:rsidRPr="00CA1A74">
                <w:rPr>
                  <w:rStyle w:val="Lienhypertexte"/>
                  <w:i/>
                  <w:iCs/>
                </w:rPr>
                <w:t>Poaceae</w:t>
              </w:r>
            </w:hyperlink>
            <w:r w:rsidRPr="00FC05CB">
              <w:rPr>
                <w:rFonts w:cstheme="minorHAnsi"/>
                <w:bCs/>
                <w:color w:val="000000" w:themeColor="text1"/>
              </w:rPr>
              <w:t>).</w:t>
            </w:r>
          </w:p>
          <w:p w14:paraId="742B7601" w14:textId="77777777" w:rsidR="005517C0" w:rsidRPr="000B6BE3" w:rsidRDefault="005517C0" w:rsidP="007E58C4">
            <w:pPr>
              <w:rPr>
                <w:rFonts w:cstheme="minorHAnsi"/>
                <w:bCs/>
              </w:rPr>
            </w:pPr>
          </w:p>
          <w:p w14:paraId="425AEA7E" w14:textId="77777777" w:rsidR="005517C0" w:rsidRPr="000B6BE3" w:rsidRDefault="005517C0" w:rsidP="007E58C4">
            <w:pPr>
              <w:rPr>
                <w:rFonts w:cstheme="minorHAnsi"/>
              </w:rPr>
            </w:pPr>
          </w:p>
        </w:tc>
        <w:tc>
          <w:tcPr>
            <w:tcW w:w="2268" w:type="dxa"/>
          </w:tcPr>
          <w:p w14:paraId="34E2AD6E" w14:textId="77777777" w:rsidR="005517C0" w:rsidRPr="000B6BE3" w:rsidRDefault="005517C0" w:rsidP="007E58C4">
            <w:pPr>
              <w:rPr>
                <w:rFonts w:cstheme="minorHAnsi"/>
              </w:rPr>
            </w:pPr>
            <w:r w:rsidRPr="00FC05CB">
              <w:rPr>
                <w:rFonts w:cstheme="minorHAnsi"/>
                <w:noProof/>
              </w:rPr>
              <w:drawing>
                <wp:inline distT="0" distB="0" distL="0" distR="0" wp14:anchorId="0230235C" wp14:editId="0BC94150">
                  <wp:extent cx="514350" cy="733425"/>
                  <wp:effectExtent l="0" t="0" r="0" b="9525"/>
                  <wp:docPr id="81925" name="Image 11"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13" name="Image 11" descr="logo salinisation2_s.jpg"/>
                          <pic:cNvPicPr>
                            <a:picLocks noChangeAspect="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14350" cy="733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rPr>
              <w:t xml:space="preserve"> </w:t>
            </w:r>
            <w:r w:rsidRPr="00125C62">
              <w:rPr>
                <w:rFonts w:cstheme="minorHAnsi"/>
                <w:noProof/>
              </w:rPr>
              <w:drawing>
                <wp:inline distT="0" distB="0" distL="0" distR="0" wp14:anchorId="42DB5914" wp14:editId="73F53BE1">
                  <wp:extent cx="495300" cy="666750"/>
                  <wp:effectExtent l="0" t="0" r="0" b="0"/>
                  <wp:docPr id="81926" name="Image 11"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11" descr="logo aride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rPr>
              <w:t> ?</w:t>
            </w:r>
          </w:p>
        </w:tc>
        <w:tc>
          <w:tcPr>
            <w:tcW w:w="1134" w:type="dxa"/>
          </w:tcPr>
          <w:p w14:paraId="77241DA3" w14:textId="77777777" w:rsidR="005517C0" w:rsidRDefault="005517C0" w:rsidP="007E58C4">
            <w:pPr>
              <w:textAlignment w:val="baseline"/>
              <w:rPr>
                <w:rFonts w:eastAsia="+mn-ea" w:cstheme="minorHAnsi"/>
                <w:b/>
                <w:bCs/>
                <w:color w:val="008000"/>
                <w:kern w:val="24"/>
              </w:rPr>
            </w:pPr>
            <w:r w:rsidRPr="000B6BE3">
              <w:rPr>
                <w:rFonts w:eastAsia="+mn-ea" w:cstheme="minorHAnsi"/>
                <w:b/>
                <w:bCs/>
                <w:color w:val="008000"/>
                <w:kern w:val="24"/>
              </w:rPr>
              <w:t>↗</w:t>
            </w:r>
          </w:p>
          <w:p w14:paraId="3F91FDC3" w14:textId="77777777" w:rsidR="005517C0" w:rsidRDefault="005517C0" w:rsidP="007E58C4">
            <w:pPr>
              <w:textAlignment w:val="baseline"/>
              <w:rPr>
                <w:rFonts w:eastAsia="+mn-ea" w:cstheme="minorHAnsi"/>
                <w:b/>
                <w:bCs/>
                <w:color w:val="008000"/>
                <w:kern w:val="24"/>
              </w:rPr>
            </w:pPr>
          </w:p>
          <w:p w14:paraId="5EC0EBF1" w14:textId="77777777" w:rsidR="005517C0" w:rsidRPr="00B000E9" w:rsidRDefault="005517C0" w:rsidP="007E58C4">
            <w:pPr>
              <w:pStyle w:val="NormalWeb"/>
              <w:spacing w:before="0" w:beforeAutospacing="0" w:after="0" w:afterAutospacing="0"/>
              <w:textAlignment w:val="baseline"/>
              <w:rPr>
                <w:rFonts w:ascii="Calibri" w:hAnsi="Calibri" w:cs="Calibri"/>
                <w:sz w:val="36"/>
                <w:szCs w:val="36"/>
              </w:rPr>
            </w:pPr>
            <w:r w:rsidRPr="00B000E9">
              <w:rPr>
                <w:rFonts w:ascii="Calibri" w:eastAsia="+mn-ea" w:hAnsi="Calibri" w:cs="Calibri"/>
                <w:b/>
                <w:bCs/>
                <w:color w:val="008000"/>
                <w:kern w:val="24"/>
                <w:sz w:val="36"/>
                <w:szCs w:val="36"/>
              </w:rPr>
              <w:t>F $</w:t>
            </w:r>
          </w:p>
        </w:tc>
        <w:tc>
          <w:tcPr>
            <w:tcW w:w="992" w:type="dxa"/>
          </w:tcPr>
          <w:p w14:paraId="2A286F0B" w14:textId="77777777" w:rsidR="005517C0" w:rsidRDefault="005517C0" w:rsidP="007E58C4">
            <w:pPr>
              <w:pStyle w:val="NormalWeb"/>
              <w:spacing w:before="0" w:beforeAutospacing="0" w:after="0" w:afterAutospacing="0"/>
              <w:textAlignment w:val="baseline"/>
            </w:pPr>
            <w:r>
              <w:rPr>
                <w:rFonts w:ascii="Arial" w:eastAsia="+mn-ea" w:hAnsi="Arial" w:cs="Arial"/>
                <w:b/>
                <w:bCs/>
                <w:color w:val="008000"/>
                <w:kern w:val="24"/>
                <w:sz w:val="48"/>
                <w:szCs w:val="48"/>
              </w:rPr>
              <w:t>U</w:t>
            </w:r>
          </w:p>
          <w:p w14:paraId="6C38C173" w14:textId="77777777" w:rsidR="005517C0" w:rsidRPr="000B6BE3" w:rsidRDefault="005517C0" w:rsidP="007E58C4">
            <w:pPr>
              <w:rPr>
                <w:rFonts w:cstheme="minorHAnsi"/>
              </w:rPr>
            </w:pPr>
          </w:p>
        </w:tc>
        <w:tc>
          <w:tcPr>
            <w:tcW w:w="1439" w:type="dxa"/>
          </w:tcPr>
          <w:p w14:paraId="58624B6B" w14:textId="77777777" w:rsidR="005517C0" w:rsidRPr="000B6BE3" w:rsidRDefault="005517C0" w:rsidP="007E58C4">
            <w:pPr>
              <w:rPr>
                <w:rFonts w:cstheme="minorHAnsi"/>
              </w:rPr>
            </w:pPr>
          </w:p>
        </w:tc>
      </w:tr>
    </w:tbl>
    <w:p w14:paraId="293F9A7B" w14:textId="77777777" w:rsidR="005517C0" w:rsidRDefault="005517C0" w:rsidP="005517C0">
      <w:pPr>
        <w:spacing w:after="0" w:line="240" w:lineRule="auto"/>
        <w:jc w:val="both"/>
      </w:pPr>
    </w:p>
    <w:p w14:paraId="08162F96" w14:textId="77777777" w:rsidR="005517C0" w:rsidRPr="00CA1A74" w:rsidRDefault="005517C0" w:rsidP="005517C0">
      <w:pPr>
        <w:spacing w:after="0" w:line="240" w:lineRule="auto"/>
        <w:jc w:val="both"/>
      </w:pPr>
      <w:r w:rsidRPr="00CA1A74">
        <w:t>Ou herbe de Palmer, plantes halophyte, qui pousse dans le </w:t>
      </w:r>
      <w:hyperlink r:id="rId1612" w:history="1">
        <w:r w:rsidRPr="00CA1A74">
          <w:rPr>
            <w:rStyle w:val="Lienhypertexte"/>
          </w:rPr>
          <w:t>désert de Sonora</w:t>
        </w:r>
      </w:hyperlink>
      <w:r w:rsidRPr="00CA1A74">
        <w:t>, à l'Ouest </w:t>
      </w:r>
      <w:hyperlink r:id="rId1613" w:history="1">
        <w:r w:rsidRPr="00CA1A74">
          <w:rPr>
            <w:rStyle w:val="Lienhypertexte"/>
          </w:rPr>
          <w:t>du Mexique</w:t>
        </w:r>
      </w:hyperlink>
      <w:r w:rsidRPr="00CA1A74">
        <w:t>, et qui produit un </w:t>
      </w:r>
      <w:hyperlink r:id="rId1614" w:history="1">
        <w:r w:rsidRPr="00CA1A74">
          <w:rPr>
            <w:rStyle w:val="Lienhypertexte"/>
          </w:rPr>
          <w:t>grain</w:t>
        </w:r>
      </w:hyperlink>
      <w:r w:rsidRPr="00CA1A74">
        <w:t> ayant quelques similitudes avec </w:t>
      </w:r>
      <w:hyperlink r:id="rId1615" w:history="1">
        <w:r w:rsidRPr="00CA1A74">
          <w:rPr>
            <w:rStyle w:val="Lienhypertexte"/>
          </w:rPr>
          <w:t>le blé</w:t>
        </w:r>
      </w:hyperlink>
      <w:r w:rsidRPr="00CA1A74">
        <w:t>.</w:t>
      </w:r>
    </w:p>
    <w:p w14:paraId="562C4B3B" w14:textId="77777777" w:rsidR="005517C0" w:rsidRPr="00CA1A74" w:rsidRDefault="005517C0" w:rsidP="005517C0">
      <w:pPr>
        <w:spacing w:after="0" w:line="240" w:lineRule="auto"/>
        <w:jc w:val="both"/>
      </w:pPr>
      <w:r w:rsidRPr="00CA1A74">
        <w:t xml:space="preserve">Une recherche menée sur les plantes restantes (il était rare) a été couronnée de succès, et a été suivie par un programme de culture faisant passer l'augmentation de son rendement de 5 kg/ha à 2000 kg/ha. Le grain est également </w:t>
      </w:r>
      <w:r>
        <w:t>cultivé</w:t>
      </w:r>
      <w:r w:rsidRPr="00CA1A74">
        <w:t xml:space="preserve"> pour un usage commercial en </w:t>
      </w:r>
      <w:hyperlink r:id="rId1616" w:history="1">
        <w:r w:rsidRPr="00CA1A74">
          <w:rPr>
            <w:rStyle w:val="Lienhypertexte"/>
          </w:rPr>
          <w:t>Australie</w:t>
        </w:r>
      </w:hyperlink>
      <w:r w:rsidRPr="00CA1A74">
        <w:t>. </w:t>
      </w:r>
      <w:r w:rsidRPr="00CA1A74">
        <w:rPr>
          <w:i/>
          <w:iCs/>
        </w:rPr>
        <w:t>Il est résistant à la sécheresse et peut absorber l'eau de mer</w:t>
      </w:r>
      <w:r w:rsidRPr="00CA1A74">
        <w:t>. Comme un </w:t>
      </w:r>
      <w:hyperlink r:id="rId1617" w:history="1">
        <w:r w:rsidRPr="00CA1A74">
          <w:rPr>
            <w:rStyle w:val="Lienhypertexte"/>
          </w:rPr>
          <w:t>halophyte</w:t>
        </w:r>
      </w:hyperlink>
      <w:r w:rsidRPr="00CA1A74">
        <w:t>, le sel qu'il absorbe est excrété par des cellules spécialisées sur la surface de la feuille. Le rapport des Nations Unies pour l'environnement (2006) dit de la plante: "</w:t>
      </w:r>
      <w:r w:rsidRPr="00CA1A74">
        <w:rPr>
          <w:i/>
          <w:iCs/>
        </w:rPr>
        <w:t>Il est un bon candidat pour une principale culture vivrière</w:t>
      </w:r>
      <w:r w:rsidRPr="00CA1A74">
        <w:rPr>
          <w:b/>
          <w:bCs/>
          <w:i/>
          <w:iCs/>
        </w:rPr>
        <w:t xml:space="preserve"> </w:t>
      </w:r>
      <w:r w:rsidRPr="00CA1A74">
        <w:rPr>
          <w:i/>
          <w:iCs/>
        </w:rPr>
        <w:t>mondiale et pourrait devenir le plus grand cadeau de ce désert au monde</w:t>
      </w:r>
      <w:r w:rsidRPr="00CA1A74">
        <w:t>". Certaines variétés de </w:t>
      </w:r>
      <w:r w:rsidRPr="00CA1A74">
        <w:rPr>
          <w:i/>
          <w:iCs/>
        </w:rPr>
        <w:t>D.</w:t>
      </w:r>
      <w:r w:rsidRPr="00CA1A74">
        <w:t> </w:t>
      </w:r>
      <w:r w:rsidRPr="00CA1A74">
        <w:rPr>
          <w:i/>
          <w:iCs/>
        </w:rPr>
        <w:t>palmeri</w:t>
      </w:r>
      <w:r w:rsidRPr="00CA1A74">
        <w:t> ont fait l'objet de brevets aux États-Unis.</w:t>
      </w:r>
    </w:p>
    <w:p w14:paraId="7C4F0A0B" w14:textId="77777777" w:rsidR="005517C0" w:rsidRPr="00CA1A74" w:rsidRDefault="005517C0" w:rsidP="005517C0">
      <w:pPr>
        <w:spacing w:after="0" w:line="240" w:lineRule="auto"/>
        <w:jc w:val="both"/>
      </w:pPr>
      <w:r w:rsidRPr="00CA1A74">
        <w:rPr>
          <w:u w:val="single"/>
        </w:rPr>
        <w:t>Note</w:t>
      </w:r>
      <w:r w:rsidRPr="00CA1A74">
        <w:t xml:space="preserve"> : certains variétés d’halophytes proches, comme </w:t>
      </w:r>
      <w:r w:rsidRPr="00CA1A74">
        <w:rPr>
          <w:i/>
          <w:iCs/>
        </w:rPr>
        <w:t>Distichlis spicata</w:t>
      </w:r>
      <w:r w:rsidRPr="00CA1A74">
        <w:t>, seraient aussi à étudier.</w:t>
      </w:r>
    </w:p>
    <w:p w14:paraId="7F41529C" w14:textId="77777777" w:rsidR="005517C0" w:rsidRPr="00CA1A74" w:rsidRDefault="005517C0" w:rsidP="005517C0">
      <w:pPr>
        <w:spacing w:after="0" w:line="240" w:lineRule="auto"/>
        <w:jc w:val="both"/>
        <w:rPr>
          <w:lang w:val="en-GB"/>
        </w:rPr>
      </w:pPr>
      <w:r w:rsidRPr="00CA1A74">
        <w:t xml:space="preserve">Sources : c) </w:t>
      </w:r>
      <w:hyperlink r:id="rId1618" w:history="1">
        <w:r w:rsidRPr="00CA1A74">
          <w:rPr>
            <w:rStyle w:val="Lienhypertexte"/>
          </w:rPr>
          <w:t>http://en.wikipedia.org/wiki/Distichlis_palmeri</w:t>
        </w:r>
      </w:hyperlink>
      <w:r w:rsidRPr="00CA1A74">
        <w:t xml:space="preserve">, b) </w:t>
      </w:r>
      <w:r w:rsidRPr="00CA1A74">
        <w:rPr>
          <w:i/>
          <w:iCs/>
        </w:rPr>
        <w:t>Nipa: un tesoro Sonorense para el mundo</w:t>
      </w:r>
      <w:r w:rsidRPr="00CA1A74">
        <w:t xml:space="preserve">, Richard Stephen Felger, Drylands Institute, Tucson, Arizona [Institut des zones arides, Tucson, Arizona], </w:t>
      </w:r>
      <w:hyperlink r:id="rId1619" w:history="1">
        <w:r w:rsidRPr="00CA1A74">
          <w:rPr>
            <w:rStyle w:val="Lienhypertexte"/>
          </w:rPr>
          <w:t>http://boletin.apnsac.org/?p=36</w:t>
        </w:r>
      </w:hyperlink>
      <w:r w:rsidRPr="00CA1A74">
        <w:t xml:space="preserve">, c) Pearlstein, Felger et al… </w:t>
      </w:r>
      <w:r w:rsidRPr="00CA1A74">
        <w:rPr>
          <w:lang w:val="en-GB"/>
        </w:rPr>
        <w:t>“Nipa (</w:t>
      </w:r>
      <w:r w:rsidRPr="00CA1A74">
        <w:rPr>
          <w:i/>
          <w:iCs/>
          <w:lang w:val="en-GB"/>
        </w:rPr>
        <w:t>Distichlis palmeri</w:t>
      </w:r>
      <w:r w:rsidRPr="00CA1A74">
        <w:rPr>
          <w:lang w:val="en-GB"/>
        </w:rPr>
        <w:t xml:space="preserve">): A </w:t>
      </w:r>
      <w:r w:rsidRPr="00CA1A74">
        <w:rPr>
          <w:i/>
          <w:iCs/>
          <w:lang w:val="en-GB"/>
        </w:rPr>
        <w:t>perennial grain crop for saltwater irrigation</w:t>
      </w:r>
      <w:r w:rsidRPr="00CA1A74">
        <w:rPr>
          <w:lang w:val="en-GB"/>
        </w:rPr>
        <w:t xml:space="preserve">” Journal of Arid Environmental 82 (2012) 60-70, </w:t>
      </w:r>
    </w:p>
    <w:p w14:paraId="080B2C60" w14:textId="77777777" w:rsidR="005517C0" w:rsidRDefault="005517C0" w:rsidP="005517C0">
      <w:pPr>
        <w:spacing w:after="0" w:line="240" w:lineRule="auto"/>
        <w:jc w:val="both"/>
        <w:rPr>
          <w:lang w:val="en-G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5517C0" w14:paraId="3EC0BFEC" w14:textId="77777777" w:rsidTr="007E58C4">
        <w:tc>
          <w:tcPr>
            <w:tcW w:w="5208" w:type="dxa"/>
          </w:tcPr>
          <w:p w14:paraId="2FB22289" w14:textId="77777777" w:rsidR="005517C0" w:rsidRDefault="005517C0" w:rsidP="007E58C4">
            <w:pPr>
              <w:jc w:val="center"/>
              <w:rPr>
                <w:lang w:val="en-GB"/>
              </w:rPr>
            </w:pPr>
            <w:r w:rsidRPr="00CA1A74">
              <w:rPr>
                <w:noProof/>
              </w:rPr>
              <w:lastRenderedPageBreak/>
              <w:drawing>
                <wp:inline distT="0" distB="0" distL="0" distR="0" wp14:anchorId="22071FAD" wp14:editId="0656E9EC">
                  <wp:extent cx="3114675" cy="1466850"/>
                  <wp:effectExtent l="0" t="0" r="9525" b="0"/>
                  <wp:docPr id="90125" name="Picture 11" descr="C:\Users\LISAN\Pictures\plantes-halophytes-xerophiles\Distichlis palmeri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25" name="Picture 11" descr="C:\Users\LISAN\Pictures\plantes-halophytes-xerophiles\Distichlis palmeri0.jpg"/>
                          <pic:cNvPicPr>
                            <a:picLocks noChangeAspect="1" noChangeArrowheads="1"/>
                          </pic:cNvPicPr>
                        </pic:nvPicPr>
                        <pic:blipFill>
                          <a:blip r:embed="rId1620">
                            <a:extLst>
                              <a:ext uri="{28A0092B-C50C-407E-A947-70E740481C1C}">
                                <a14:useLocalDpi xmlns:a14="http://schemas.microsoft.com/office/drawing/2010/main" val="0"/>
                              </a:ext>
                            </a:extLst>
                          </a:blip>
                          <a:srcRect/>
                          <a:stretch>
                            <a:fillRect/>
                          </a:stretch>
                        </pic:blipFill>
                        <pic:spPr bwMode="auto">
                          <a:xfrm>
                            <a:off x="0" y="0"/>
                            <a:ext cx="3114675" cy="1466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208" w:type="dxa"/>
          </w:tcPr>
          <w:p w14:paraId="5FE3BC6E" w14:textId="77777777" w:rsidR="005517C0" w:rsidRDefault="005517C0" w:rsidP="007E58C4">
            <w:pPr>
              <w:jc w:val="center"/>
              <w:rPr>
                <w:lang w:val="en-GB"/>
              </w:rPr>
            </w:pPr>
            <w:r w:rsidRPr="00CA1A74">
              <w:rPr>
                <w:noProof/>
              </w:rPr>
              <w:drawing>
                <wp:inline distT="0" distB="0" distL="0" distR="0" wp14:anchorId="4F58AD71" wp14:editId="1802B66C">
                  <wp:extent cx="1847850" cy="2466975"/>
                  <wp:effectExtent l="0" t="0" r="0" b="9525"/>
                  <wp:docPr id="90126" name="Picture 12" descr="C:\Users\LISAN\Pictures\plantes-halophytes-xerophiles\Distichlis palmer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26" name="Picture 12" descr="C:\Users\LISAN\Pictures\plantes-halophytes-xerophiles\Distichlis palmeri2.jpg"/>
                          <pic:cNvPicPr>
                            <a:picLocks noChangeAspect="1" noChangeArrowheads="1"/>
                          </pic:cNvPicPr>
                        </pic:nvPicPr>
                        <pic:blipFill>
                          <a:blip r:embed="rId1621">
                            <a:extLst>
                              <a:ext uri="{28A0092B-C50C-407E-A947-70E740481C1C}">
                                <a14:useLocalDpi xmlns:a14="http://schemas.microsoft.com/office/drawing/2010/main" val="0"/>
                              </a:ext>
                            </a:extLst>
                          </a:blip>
                          <a:srcRect/>
                          <a:stretch>
                            <a:fillRect/>
                          </a:stretch>
                        </pic:blipFill>
                        <pic:spPr bwMode="auto">
                          <a:xfrm>
                            <a:off x="0" y="0"/>
                            <a:ext cx="1847850" cy="2466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lang w:val="en-GB"/>
              </w:rPr>
              <w:t xml:space="preserve">   </w:t>
            </w:r>
            <w:r w:rsidRPr="00CA1A74">
              <w:rPr>
                <w:noProof/>
              </w:rPr>
              <w:drawing>
                <wp:inline distT="0" distB="0" distL="0" distR="0" wp14:anchorId="3B1D1611" wp14:editId="65E452EE">
                  <wp:extent cx="876300" cy="2266950"/>
                  <wp:effectExtent l="0" t="0" r="0" b="0"/>
                  <wp:docPr id="90127" name="Picture 14" descr="C:\Users\LISAN\Pictures\plantes-halophytes-xerophiles\Distichlis palmeri4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27" name="Picture 14" descr="C:\Users\LISAN\Pictures\plantes-halophytes-xerophiles\Distichlis palmeri4_s.jpg"/>
                          <pic:cNvPicPr>
                            <a:picLocks noChangeAspect="1" noChangeArrowheads="1"/>
                          </pic:cNvPicPr>
                        </pic:nvPicPr>
                        <pic:blipFill>
                          <a:blip r:embed="rId1622">
                            <a:extLst>
                              <a:ext uri="{28A0092B-C50C-407E-A947-70E740481C1C}">
                                <a14:useLocalDpi xmlns:a14="http://schemas.microsoft.com/office/drawing/2010/main" val="0"/>
                              </a:ext>
                            </a:extLst>
                          </a:blip>
                          <a:srcRect/>
                          <a:stretch>
                            <a:fillRect/>
                          </a:stretch>
                        </pic:blipFill>
                        <pic:spPr bwMode="auto">
                          <a:xfrm>
                            <a:off x="0" y="0"/>
                            <a:ext cx="876300" cy="2266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038F9329" w14:textId="77777777" w:rsidR="005517C0" w:rsidRDefault="005517C0" w:rsidP="005517C0">
      <w:pPr>
        <w:spacing w:after="0" w:line="240" w:lineRule="auto"/>
        <w:jc w:val="both"/>
        <w:rPr>
          <w:lang w:val="en-GB"/>
        </w:rPr>
      </w:pPr>
    </w:p>
    <w:p w14:paraId="360D37E1" w14:textId="77777777" w:rsidR="005517C0" w:rsidRDefault="005517C0" w:rsidP="005517C0">
      <w:pPr>
        <w:spacing w:after="0" w:line="240" w:lineRule="auto"/>
        <w:jc w:val="both"/>
        <w:rPr>
          <w:lang w:val="en-G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5517C0" w14:paraId="236F5C2E" w14:textId="77777777" w:rsidTr="007E58C4">
        <w:tc>
          <w:tcPr>
            <w:tcW w:w="5208" w:type="dxa"/>
          </w:tcPr>
          <w:p w14:paraId="34257E1E" w14:textId="77777777" w:rsidR="005517C0" w:rsidRDefault="005517C0" w:rsidP="007E58C4">
            <w:pPr>
              <w:jc w:val="center"/>
              <w:rPr>
                <w:lang w:val="en-GB"/>
              </w:rPr>
            </w:pPr>
            <w:r w:rsidRPr="00CA1A74">
              <w:rPr>
                <w:noProof/>
              </w:rPr>
              <w:drawing>
                <wp:inline distT="0" distB="0" distL="0" distR="0" wp14:anchorId="034E5C9E" wp14:editId="7043B8F1">
                  <wp:extent cx="3114675" cy="1466850"/>
                  <wp:effectExtent l="0" t="0" r="9525" b="0"/>
                  <wp:docPr id="90128" name="Picture 10" descr="C:\Users\LISAN\Pictures\plantes-halophytes-xerophiles\Distichlis palmeri_ver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28" name="Picture 10" descr="C:\Users\LISAN\Pictures\plantes-halophytes-xerophiles\Distichlis palmeri_verte.jpg"/>
                          <pic:cNvPicPr>
                            <a:picLocks noChangeAspect="1" noChangeArrowheads="1"/>
                          </pic:cNvPicPr>
                        </pic:nvPicPr>
                        <pic:blipFill>
                          <a:blip r:embed="rId1623">
                            <a:extLst>
                              <a:ext uri="{28A0092B-C50C-407E-A947-70E740481C1C}">
                                <a14:useLocalDpi xmlns:a14="http://schemas.microsoft.com/office/drawing/2010/main" val="0"/>
                              </a:ext>
                            </a:extLst>
                          </a:blip>
                          <a:srcRect/>
                          <a:stretch>
                            <a:fillRect/>
                          </a:stretch>
                        </pic:blipFill>
                        <pic:spPr bwMode="auto">
                          <a:xfrm>
                            <a:off x="0" y="0"/>
                            <a:ext cx="3114675" cy="1466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208" w:type="dxa"/>
          </w:tcPr>
          <w:p w14:paraId="1D641466" w14:textId="77777777" w:rsidR="005517C0" w:rsidRDefault="005517C0" w:rsidP="007E58C4">
            <w:pPr>
              <w:jc w:val="center"/>
              <w:rPr>
                <w:lang w:val="en-GB"/>
              </w:rPr>
            </w:pPr>
            <w:r w:rsidRPr="00CA1A74">
              <w:rPr>
                <w:noProof/>
              </w:rPr>
              <w:drawing>
                <wp:inline distT="0" distB="0" distL="0" distR="0" wp14:anchorId="711AE172" wp14:editId="2F47D8E9">
                  <wp:extent cx="2808288" cy="1323975"/>
                  <wp:effectExtent l="0" t="0" r="0" b="0"/>
                  <wp:docPr id="90124" name="Picture 9" descr="C:\Users\LISAN\Pictures\plantes-halophytes-xerophiles\Distichlis palmeri_grai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24" name="Picture 9" descr="C:\Users\LISAN\Pictures\plantes-halophytes-xerophiles\Distichlis palmeri_grains.jpg"/>
                          <pic:cNvPicPr>
                            <a:picLocks noChangeAspect="1" noChangeArrowheads="1"/>
                          </pic:cNvPicPr>
                        </pic:nvPicPr>
                        <pic:blipFill>
                          <a:blip r:embed="rId1624">
                            <a:extLst>
                              <a:ext uri="{28A0092B-C50C-407E-A947-70E740481C1C}">
                                <a14:useLocalDpi xmlns:a14="http://schemas.microsoft.com/office/drawing/2010/main" val="0"/>
                              </a:ext>
                            </a:extLst>
                          </a:blip>
                          <a:srcRect/>
                          <a:stretch>
                            <a:fillRect/>
                          </a:stretch>
                        </pic:blipFill>
                        <pic:spPr bwMode="auto">
                          <a:xfrm>
                            <a:off x="0" y="0"/>
                            <a:ext cx="2808288" cy="1323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4EB8F6C6" w14:textId="77777777" w:rsidR="005517C0" w:rsidRDefault="005517C0" w:rsidP="00726FE1">
      <w:pPr>
        <w:spacing w:after="0" w:line="240" w:lineRule="auto"/>
      </w:pPr>
    </w:p>
    <w:p w14:paraId="4AC54C7D" w14:textId="77777777" w:rsidR="005517C0" w:rsidRDefault="005517C0" w:rsidP="005517C0">
      <w:pPr>
        <w:pStyle w:val="Titre2"/>
      </w:pPr>
      <w:bookmarkStart w:id="161" w:name="_Toc139181452"/>
      <w:r w:rsidRPr="004B348B">
        <w:t>Riz</w:t>
      </w:r>
      <w:r>
        <w:t xml:space="preserve"> résistant au sel</w:t>
      </w:r>
      <w:r w:rsidRPr="004B348B">
        <w:t xml:space="preserve"> (</w:t>
      </w:r>
      <w:r w:rsidRPr="004B348B">
        <w:rPr>
          <w:i/>
          <w:iCs/>
        </w:rPr>
        <w:t xml:space="preserve">Oryza sativa </w:t>
      </w:r>
      <w:r w:rsidRPr="004B348B">
        <w:t xml:space="preserve">x </w:t>
      </w:r>
      <w:r w:rsidRPr="004B348B">
        <w:rPr>
          <w:i/>
          <w:iCs/>
        </w:rPr>
        <w:t>Oryza coarctata</w:t>
      </w:r>
      <w:r>
        <w:rPr>
          <w:i/>
          <w:iCs/>
        </w:rPr>
        <w:t xml:space="preserve"> </w:t>
      </w:r>
      <w:r w:rsidRPr="004B348B">
        <w:rPr>
          <w:i/>
          <w:iCs/>
        </w:rPr>
        <w:t xml:space="preserve">_ </w:t>
      </w:r>
      <w:r w:rsidRPr="004B348B">
        <w:t>cultivar résistant au sel)</w:t>
      </w:r>
      <w:bookmarkEnd w:id="161"/>
    </w:p>
    <w:p w14:paraId="0E144722" w14:textId="77777777" w:rsidR="005517C0" w:rsidRDefault="005517C0" w:rsidP="005517C0">
      <w:pPr>
        <w:spacing w:after="0" w:line="240" w:lineRule="auto"/>
      </w:pPr>
    </w:p>
    <w:p w14:paraId="3AF99029" w14:textId="77777777" w:rsidR="005517C0" w:rsidRPr="004B348B" w:rsidRDefault="005517C0" w:rsidP="005517C0">
      <w:pPr>
        <w:spacing w:after="0" w:line="240" w:lineRule="auto"/>
        <w:jc w:val="both"/>
      </w:pPr>
      <w:r w:rsidRPr="004B348B">
        <w:t xml:space="preserve">Toutes les recherches actuelles sont basées sur la propriété de la tolérance au sel supérieure de </w:t>
      </w:r>
      <w:r w:rsidRPr="004B348B">
        <w:rPr>
          <w:i/>
          <w:iCs/>
        </w:rPr>
        <w:t>Oryza coarctata</w:t>
      </w:r>
      <w:r w:rsidRPr="004B348B">
        <w:t xml:space="preserve">, une espèce de riz sauvage trouvé au Bangladesh, mais aussi une espèce qui est très difficile à croiser avec des espèces cultivées </w:t>
      </w:r>
      <w:r w:rsidRPr="004B348B">
        <w:rPr>
          <w:i/>
          <w:iCs/>
        </w:rPr>
        <w:t>Oryza sativa</w:t>
      </w:r>
      <w:r w:rsidRPr="004B348B">
        <w:t>.</w:t>
      </w:r>
    </w:p>
    <w:p w14:paraId="131C4033" w14:textId="2C5F76D8" w:rsidR="005517C0" w:rsidRDefault="005517C0" w:rsidP="005517C0">
      <w:pPr>
        <w:spacing w:after="0" w:line="240" w:lineRule="auto"/>
        <w:jc w:val="both"/>
      </w:pPr>
      <w:r w:rsidRPr="004B348B">
        <w:t>Le nouveau riz, mis au point par l’International Research Rice Institute (IRRI) (Philippines) et par le Dr Kshirod Jena, sera comme le riz normal, mais avec la tolérance au sel des espèces de riz sauvage, qui est presque le double de celle des autres riz. En outre, la nouvelle variété de riz ne contient pas des niveaux élevés de sel. Ce nouveau riz peut expulser le sel qu'il a pris au sol, par ses glandes à sel, qu‘il a sur ses feuilles (Super-salt tolerant rice will help reclaim millions hectares rice area says IRRI). Variétés tolérantes mises au point par INRA Montpellier : Pokkali et IR4630.</w:t>
      </w:r>
    </w:p>
    <w:p w14:paraId="655F0094" w14:textId="79804460" w:rsidR="003F04A8" w:rsidRDefault="003F04A8" w:rsidP="005517C0">
      <w:pPr>
        <w:spacing w:after="0" w:line="240" w:lineRule="auto"/>
        <w:jc w:val="both"/>
      </w:pPr>
      <w:r w:rsidRPr="003F04A8">
        <w:t>ISRIZ10</w:t>
      </w:r>
      <w:r>
        <w:t xml:space="preserve"> est une v</w:t>
      </w:r>
      <w:r w:rsidRPr="003F04A8">
        <w:t>ariété de riz</w:t>
      </w:r>
      <w:r>
        <w:t>,</w:t>
      </w:r>
      <w:r w:rsidRPr="003F04A8">
        <w:t xml:space="preserve"> adaptée aux sols salés</w:t>
      </w:r>
      <w:r>
        <w:t>,</w:t>
      </w:r>
      <w:r w:rsidRPr="003F04A8">
        <w:t xml:space="preserve"> développée par Dr Oumar Ndao FAYE, chercheur à l'</w:t>
      </w:r>
      <w:r w:rsidR="00750929" w:rsidRPr="00750929">
        <w:t>Institut sénégalais de Recherche Agricole</w:t>
      </w:r>
      <w:r w:rsidR="00750929">
        <w:t xml:space="preserve"> (</w:t>
      </w:r>
      <w:r w:rsidRPr="003F04A8">
        <w:t>ISRA</w:t>
      </w:r>
      <w:r w:rsidR="00750929">
        <w:t>)</w:t>
      </w:r>
      <w:r>
        <w:t>, au Sénégal</w:t>
      </w:r>
      <w:r w:rsidRPr="003F04A8">
        <w:t>.</w:t>
      </w:r>
    </w:p>
    <w:p w14:paraId="3DD7AD0F" w14:textId="77777777" w:rsidR="005517C0" w:rsidRPr="004B348B" w:rsidRDefault="005517C0" w:rsidP="005517C0">
      <w:pPr>
        <w:spacing w:after="0" w:line="240" w:lineRule="auto"/>
        <w:jc w:val="both"/>
        <w:rPr>
          <w:i/>
          <w:iCs/>
        </w:rPr>
      </w:pPr>
      <w:r w:rsidRPr="0019274A">
        <w:rPr>
          <w:i/>
          <w:iCs/>
        </w:rPr>
        <w:t>Attention ! Pour l’instant, tout cela est au stade de la recherche expérimentale.</w:t>
      </w:r>
    </w:p>
    <w:p w14:paraId="1616EBB3" w14:textId="7A9B20E3" w:rsidR="005517C0" w:rsidRPr="004B348B" w:rsidRDefault="005517C0" w:rsidP="005517C0">
      <w:pPr>
        <w:spacing w:after="0" w:line="240" w:lineRule="auto"/>
        <w:jc w:val="both"/>
        <w:rPr>
          <w:lang w:val="en-GB"/>
        </w:rPr>
      </w:pPr>
      <w:r w:rsidRPr="004B348B">
        <w:rPr>
          <w:lang w:val="en-GB"/>
        </w:rPr>
        <w:t xml:space="preserve">Sources : a) Salt tolerance in the halophytic wild rice, </w:t>
      </w:r>
      <w:r w:rsidRPr="004B348B">
        <w:rPr>
          <w:i/>
          <w:iCs/>
          <w:lang w:val="en-GB"/>
        </w:rPr>
        <w:t xml:space="preserve">Porteresia coarctata </w:t>
      </w:r>
      <w:r w:rsidRPr="004B348B">
        <w:rPr>
          <w:lang w:val="en-GB"/>
        </w:rPr>
        <w:t xml:space="preserve">Tateoka, T. J. FLOWERS , S. A. FLOWERS, M. A. HAJIBAGHERI &amp; A. R. YEO, A'OT Phytot. </w:t>
      </w:r>
      <w:r w:rsidRPr="004B348B">
        <w:t xml:space="preserve">(1990), 114, 675-684, </w:t>
      </w:r>
      <w:hyperlink r:id="rId1625" w:history="1">
        <w:r w:rsidRPr="004B348B">
          <w:rPr>
            <w:rStyle w:val="Lienhypertexte"/>
          </w:rPr>
          <w:t>http://onlinelibrary.wiley.com/doi/10.1111/j.1469-8137.1990.tb00439.x/pdf</w:t>
        </w:r>
      </w:hyperlink>
      <w:r w:rsidRPr="004B348B">
        <w:t xml:space="preserve"> , b) Adaptation des plantes au stress salin : caractérisation de transporteurs de sodium et de potassium de la famille HKT chez le riz, Mehdi Jabnoune, Déc 2008, thèse Université Montpellier II/INRA, </w:t>
      </w:r>
      <w:hyperlink r:id="rId1626" w:history="1">
        <w:r w:rsidRPr="004B348B">
          <w:rPr>
            <w:rStyle w:val="Lienhypertexte"/>
          </w:rPr>
          <w:t>http://www.supagro.fr/theses/extranet/08-0043_JABNOUNE.pdf</w:t>
        </w:r>
      </w:hyperlink>
      <w:r w:rsidRPr="004B348B">
        <w:t xml:space="preserve"> , c) </w:t>
      </w:r>
      <w:r w:rsidRPr="004B348B">
        <w:rPr>
          <w:i/>
          <w:iCs/>
        </w:rPr>
        <w:t xml:space="preserve">Porteresia coarctata </w:t>
      </w:r>
      <w:r w:rsidRPr="004B348B">
        <w:t xml:space="preserve">(Roxb.) </w:t>
      </w:r>
      <w:r w:rsidRPr="004B348B">
        <w:rPr>
          <w:lang w:val="en-US"/>
        </w:rPr>
        <w:t xml:space="preserve">Tateoka, a wild rice: a potential model for studying salt-stress biology in rice, </w:t>
      </w:r>
      <w:hyperlink r:id="rId1627" w:history="1">
        <w:r w:rsidRPr="004B348B">
          <w:rPr>
            <w:rStyle w:val="Lienhypertexte"/>
            <w:lang w:val="en-GB"/>
          </w:rPr>
          <w:t>Sengupta</w:t>
        </w:r>
      </w:hyperlink>
      <w:hyperlink r:id="rId1628" w:history="1">
        <w:r w:rsidRPr="004B348B">
          <w:rPr>
            <w:rStyle w:val="Lienhypertexte"/>
            <w:lang w:val="en-GB"/>
          </w:rPr>
          <w:t xml:space="preserve"> S </w:t>
        </w:r>
      </w:hyperlink>
      <w:r w:rsidRPr="004B348B">
        <w:rPr>
          <w:lang w:val="en-GB"/>
        </w:rPr>
        <w:t>, </w:t>
      </w:r>
      <w:hyperlink r:id="rId1629" w:history="1">
        <w:r w:rsidRPr="004B348B">
          <w:rPr>
            <w:rStyle w:val="Lienhypertexte"/>
            <w:lang w:val="en-GB"/>
          </w:rPr>
          <w:t>Majumder</w:t>
        </w:r>
      </w:hyperlink>
      <w:hyperlink r:id="rId1630" w:history="1">
        <w:r w:rsidRPr="004B348B">
          <w:rPr>
            <w:rStyle w:val="Lienhypertexte"/>
            <w:lang w:val="en-GB"/>
          </w:rPr>
          <w:t xml:space="preserve"> AL</w:t>
        </w:r>
      </w:hyperlink>
      <w:r w:rsidRPr="004B348B">
        <w:rPr>
          <w:lang w:val="en-GB"/>
        </w:rPr>
        <w:t xml:space="preserve">, Plant Cell Environ. 2010 Apr;33(4):526-42, </w:t>
      </w:r>
      <w:hyperlink r:id="rId1631" w:history="1">
        <w:r w:rsidRPr="004B348B">
          <w:rPr>
            <w:rStyle w:val="Lienhypertexte"/>
            <w:lang w:val="en-GB"/>
          </w:rPr>
          <w:t>http://onlinelibrary.wiley.com/doi/10.1111/j.1365-3040.2009.02054.x/abstract</w:t>
        </w:r>
      </w:hyperlink>
      <w:r w:rsidRPr="004B348B">
        <w:rPr>
          <w:lang w:val="en-GB"/>
        </w:rPr>
        <w:t xml:space="preserve"> (article payant). d) </w:t>
      </w:r>
      <w:r w:rsidRPr="004B348B">
        <w:rPr>
          <w:lang w:val="en-US"/>
        </w:rPr>
        <w:t xml:space="preserve">Mechanism of salt tolerance in wild rice (Oryza coarctata Roxb), A.R. Bal , S.K. Dutt, Plant and Soil, 1986, Volume 92, Issue 3, pp 399-404, </w:t>
      </w:r>
      <w:hyperlink r:id="rId1632" w:history="1">
        <w:r w:rsidRPr="004B348B">
          <w:rPr>
            <w:rStyle w:val="Lienhypertexte"/>
            <w:lang w:val="en-US"/>
          </w:rPr>
          <w:t>http://link.springer.com/article/10.1007%2FBF02372487</w:t>
        </w:r>
      </w:hyperlink>
      <w:r w:rsidRPr="004B348B">
        <w:rPr>
          <w:lang w:val="en-US"/>
        </w:rPr>
        <w:t xml:space="preserve"> </w:t>
      </w:r>
      <w:r w:rsidRPr="004B348B">
        <w:rPr>
          <w:lang w:val="en-GB"/>
        </w:rPr>
        <w:t>(article payant). d)</w:t>
      </w:r>
      <w:r w:rsidR="00750929">
        <w:rPr>
          <w:lang w:val="en-GB"/>
        </w:rPr>
        <w:t xml:space="preserve"> </w:t>
      </w:r>
      <w:hyperlink r:id="rId1633" w:history="1">
        <w:r w:rsidR="00750929" w:rsidRPr="00367D60">
          <w:rPr>
            <w:rStyle w:val="Lienhypertexte"/>
            <w:lang w:val="en-GB"/>
          </w:rPr>
          <w:t>https://isra.sn/2021/09/07/isriz-10-un-chercheur-de-lisra-met-au-point-une-variete-de-riz-adaptee-a-tous-les-</w:t>
        </w:r>
        <w:r w:rsidR="00750929" w:rsidRPr="00367D60">
          <w:rPr>
            <w:rStyle w:val="Lienhypertexte"/>
            <w:lang w:val="en-GB"/>
          </w:rPr>
          <w:lastRenderedPageBreak/>
          <w:t>types-de-sols-sales-du-senegal/</w:t>
        </w:r>
      </w:hyperlink>
      <w:r w:rsidR="00750929">
        <w:rPr>
          <w:lang w:val="en-GB"/>
        </w:rPr>
        <w:t>, e)</w:t>
      </w:r>
      <w:r w:rsidRPr="004B348B">
        <w:rPr>
          <w:lang w:val="en-GB"/>
        </w:rPr>
        <w:t xml:space="preserve"> 26 avr 2015, </w:t>
      </w:r>
      <w:hyperlink r:id="rId1634" w:history="1">
        <w:r w:rsidRPr="004B348B">
          <w:rPr>
            <w:rStyle w:val="Lienhypertexte"/>
            <w:lang w:val="en-GB"/>
          </w:rPr>
          <w:t>http://www.oryza.com/content/super-salt-tolerant-rice-will-help-reclaim-millions-hectares-rice-area-says-irri</w:t>
        </w:r>
      </w:hyperlink>
      <w:r w:rsidRPr="004B348B">
        <w:rPr>
          <w:lang w:val="en-GB"/>
        </w:rPr>
        <w:t xml:space="preserve">   </w:t>
      </w:r>
    </w:p>
    <w:p w14:paraId="085CDDF0" w14:textId="77777777" w:rsidR="005517C0" w:rsidRDefault="005517C0" w:rsidP="005517C0">
      <w:pPr>
        <w:spacing w:after="0" w:line="240" w:lineRule="auto"/>
        <w:jc w:val="both"/>
        <w:rPr>
          <w:lang w:val="en-G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8"/>
        <w:gridCol w:w="437"/>
        <w:gridCol w:w="2273"/>
        <w:gridCol w:w="2818"/>
      </w:tblGrid>
      <w:tr w:rsidR="005517C0" w:rsidRPr="0019274A" w14:paraId="5D3F6A89" w14:textId="77777777" w:rsidTr="007E58C4">
        <w:tc>
          <w:tcPr>
            <w:tcW w:w="4958" w:type="dxa"/>
          </w:tcPr>
          <w:p w14:paraId="6DBB0498" w14:textId="77777777" w:rsidR="005517C0" w:rsidRDefault="005517C0" w:rsidP="007E58C4">
            <w:pPr>
              <w:jc w:val="center"/>
              <w:rPr>
                <w:lang w:val="en-GB"/>
              </w:rPr>
            </w:pPr>
            <w:r w:rsidRPr="0019274A">
              <w:rPr>
                <w:noProof/>
              </w:rPr>
              <w:drawing>
                <wp:inline distT="0" distB="0" distL="0" distR="0" wp14:anchorId="5A161262" wp14:editId="1BCC14B8">
                  <wp:extent cx="2117725" cy="1774825"/>
                  <wp:effectExtent l="0" t="0" r="0" b="0"/>
                  <wp:docPr id="88073" name="Picture 7" descr="C:\Users\LISAN\Pictures\plantes-halophytes-xerophiles\présentation à la maison de démonstration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73" name="Picture 7" descr="C:\Users\LISAN\Pictures\plantes-halophytes-xerophiles\présentation à la maison de démonstration_s.jpg"/>
                          <pic:cNvPicPr>
                            <a:picLocks noChangeAspect="1" noChangeArrowheads="1"/>
                          </pic:cNvPicPr>
                        </pic:nvPicPr>
                        <pic:blipFill>
                          <a:blip r:embed="rId1635">
                            <a:extLst>
                              <a:ext uri="{28A0092B-C50C-407E-A947-70E740481C1C}">
                                <a14:useLocalDpi xmlns:a14="http://schemas.microsoft.com/office/drawing/2010/main" val="0"/>
                              </a:ext>
                            </a:extLst>
                          </a:blip>
                          <a:srcRect/>
                          <a:stretch>
                            <a:fillRect/>
                          </a:stretch>
                        </pic:blipFill>
                        <pic:spPr bwMode="auto">
                          <a:xfrm>
                            <a:off x="0" y="0"/>
                            <a:ext cx="2117725" cy="1774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3AAC3534" w14:textId="77777777" w:rsidR="005517C0" w:rsidRPr="0019274A" w:rsidRDefault="005517C0" w:rsidP="007E58C4">
            <w:pPr>
              <w:jc w:val="center"/>
            </w:pPr>
            <w:r w:rsidRPr="0019274A">
              <w:t>Dr. Kshirod Jena (le 1er à droite) durant une présentation à l’abri de démonstration (Photo IRRI).</w:t>
            </w:r>
          </w:p>
        </w:tc>
        <w:tc>
          <w:tcPr>
            <w:tcW w:w="2526" w:type="dxa"/>
            <w:gridSpan w:val="2"/>
          </w:tcPr>
          <w:p w14:paraId="7B81DAA3" w14:textId="77777777" w:rsidR="005517C0" w:rsidRDefault="005517C0" w:rsidP="007E58C4">
            <w:pPr>
              <w:jc w:val="center"/>
            </w:pPr>
            <w:r w:rsidRPr="0019274A">
              <w:rPr>
                <w:noProof/>
              </w:rPr>
              <w:drawing>
                <wp:inline distT="0" distB="0" distL="0" distR="0" wp14:anchorId="7F438585" wp14:editId="5C6645BD">
                  <wp:extent cx="1463675" cy="1522413"/>
                  <wp:effectExtent l="0" t="0" r="3175" b="1905"/>
                  <wp:docPr id="88075" name="Image 11" descr="Oryza coarcta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75" name="Image 11" descr="Oryza coarctata.jpg"/>
                          <pic:cNvPicPr>
                            <a:picLocks noChangeAspect="1"/>
                          </pic:cNvPicPr>
                        </pic:nvPicPr>
                        <pic:blipFill>
                          <a:blip r:embed="rId1636">
                            <a:extLst>
                              <a:ext uri="{28A0092B-C50C-407E-A947-70E740481C1C}">
                                <a14:useLocalDpi xmlns:a14="http://schemas.microsoft.com/office/drawing/2010/main" val="0"/>
                              </a:ext>
                            </a:extLst>
                          </a:blip>
                          <a:srcRect/>
                          <a:stretch>
                            <a:fillRect/>
                          </a:stretch>
                        </pic:blipFill>
                        <pic:spPr bwMode="auto">
                          <a:xfrm>
                            <a:off x="0" y="0"/>
                            <a:ext cx="1463675" cy="15224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3FAD9BBF" w14:textId="77777777" w:rsidR="005517C0" w:rsidRPr="0019274A" w:rsidRDefault="005517C0" w:rsidP="007E58C4">
            <w:pPr>
              <w:jc w:val="center"/>
            </w:pPr>
            <w:r w:rsidRPr="0019274A">
              <w:rPr>
                <w:i/>
                <w:iCs/>
              </w:rPr>
              <w:t>Oryza coarctata</w:t>
            </w:r>
            <w:r>
              <w:rPr>
                <w:rStyle w:val="Appelnotedebasdep"/>
                <w:i/>
                <w:iCs/>
              </w:rPr>
              <w:footnoteReference w:id="108"/>
            </w:r>
            <w:r w:rsidRPr="0019274A">
              <w:rPr>
                <w:i/>
                <w:iCs/>
              </w:rPr>
              <w:t>.</w:t>
            </w:r>
          </w:p>
        </w:tc>
        <w:tc>
          <w:tcPr>
            <w:tcW w:w="2942" w:type="dxa"/>
          </w:tcPr>
          <w:p w14:paraId="023CC409" w14:textId="77777777" w:rsidR="005517C0" w:rsidRDefault="005517C0" w:rsidP="007E58C4">
            <w:pPr>
              <w:jc w:val="center"/>
            </w:pPr>
            <w:r w:rsidRPr="0019274A">
              <w:rPr>
                <w:noProof/>
              </w:rPr>
              <w:drawing>
                <wp:inline distT="0" distB="0" distL="0" distR="0" wp14:anchorId="5A8E3867" wp14:editId="1D16B1F8">
                  <wp:extent cx="1378832" cy="1914977"/>
                  <wp:effectExtent l="0" t="0" r="0" b="9525"/>
                  <wp:docPr id="88077" name="Image 14" descr="oryza_coarctata_planch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77" name="Image 14" descr="oryza_coarctata_planche.jpg"/>
                          <pic:cNvPicPr>
                            <a:picLocks noChangeAspect="1"/>
                          </pic:cNvPicPr>
                        </pic:nvPicPr>
                        <pic:blipFill>
                          <a:blip r:embed="rId1637">
                            <a:extLst>
                              <a:ext uri="{28A0092B-C50C-407E-A947-70E740481C1C}">
                                <a14:useLocalDpi xmlns:a14="http://schemas.microsoft.com/office/drawing/2010/main" val="0"/>
                              </a:ext>
                            </a:extLst>
                          </a:blip>
                          <a:srcRect/>
                          <a:stretch>
                            <a:fillRect/>
                          </a:stretch>
                        </pic:blipFill>
                        <pic:spPr bwMode="auto">
                          <a:xfrm>
                            <a:off x="0" y="0"/>
                            <a:ext cx="1382203" cy="1919659"/>
                          </a:xfrm>
                          <a:prstGeom prst="rect">
                            <a:avLst/>
                          </a:prstGeom>
                          <a:noFill/>
                          <a:ln>
                            <a:noFill/>
                          </a:ln>
                        </pic:spPr>
                      </pic:pic>
                    </a:graphicData>
                  </a:graphic>
                </wp:inline>
              </w:drawing>
            </w:r>
          </w:p>
          <w:p w14:paraId="028FC808" w14:textId="77777777" w:rsidR="005517C0" w:rsidRDefault="005517C0" w:rsidP="007E58C4">
            <w:pPr>
              <w:jc w:val="center"/>
              <w:rPr>
                <w:i/>
                <w:iCs/>
              </w:rPr>
            </w:pPr>
            <w:r w:rsidRPr="0019274A">
              <w:rPr>
                <w:i/>
                <w:iCs/>
              </w:rPr>
              <w:t>Oryza coarctata</w:t>
            </w:r>
            <w:r>
              <w:rPr>
                <w:rStyle w:val="Appelnotedebasdep"/>
                <w:i/>
                <w:iCs/>
              </w:rPr>
              <w:footnoteReference w:id="109"/>
            </w:r>
            <w:r>
              <w:rPr>
                <w:i/>
                <w:iCs/>
              </w:rPr>
              <w:t xml:space="preserve">. </w:t>
            </w:r>
          </w:p>
          <w:p w14:paraId="703931FB" w14:textId="2E6562E5" w:rsidR="004D4AED" w:rsidRPr="0019274A" w:rsidRDefault="004D4AED" w:rsidP="007E58C4">
            <w:pPr>
              <w:jc w:val="center"/>
            </w:pPr>
          </w:p>
        </w:tc>
      </w:tr>
      <w:tr w:rsidR="005517C0" w14:paraId="42A15FAD" w14:textId="77777777" w:rsidTr="007E58C4">
        <w:tc>
          <w:tcPr>
            <w:tcW w:w="5335" w:type="dxa"/>
            <w:gridSpan w:val="2"/>
          </w:tcPr>
          <w:p w14:paraId="68C37B7D" w14:textId="77777777" w:rsidR="004D4AED" w:rsidRDefault="004D4AED" w:rsidP="007E58C4">
            <w:pPr>
              <w:kinsoku w:val="0"/>
              <w:overflowPunct w:val="0"/>
              <w:jc w:val="both"/>
              <w:textAlignment w:val="baseline"/>
              <w:rPr>
                <w:rFonts w:ascii="Calibri" w:eastAsia="+mn-ea" w:hAnsi="Calibri" w:cs="Calibri"/>
                <w:kern w:val="24"/>
                <w:lang w:eastAsia="fr-FR"/>
              </w:rPr>
            </w:pPr>
          </w:p>
          <w:p w14:paraId="64E70061" w14:textId="1518856E" w:rsidR="005517C0" w:rsidRPr="00B655B6" w:rsidRDefault="005517C0" w:rsidP="007E58C4">
            <w:pPr>
              <w:kinsoku w:val="0"/>
              <w:overflowPunct w:val="0"/>
              <w:jc w:val="both"/>
              <w:textAlignment w:val="baseline"/>
              <w:rPr>
                <w:rFonts w:ascii="Calibri" w:eastAsia="+mn-ea" w:hAnsi="Calibri" w:cs="Calibri"/>
                <w:kern w:val="24"/>
                <w:lang w:eastAsia="fr-FR"/>
              </w:rPr>
            </w:pPr>
            <w:r w:rsidRPr="00B655B6">
              <w:rPr>
                <w:rFonts w:ascii="Calibri" w:eastAsia="+mn-ea" w:hAnsi="Calibri" w:cs="Calibri"/>
                <w:kern w:val="24"/>
                <w:lang w:eastAsia="fr-FR"/>
              </w:rPr>
              <w:t xml:space="preserve">Normalement, </w:t>
            </w:r>
            <w:r>
              <w:rPr>
                <w:rFonts w:ascii="Calibri" w:eastAsia="+mn-ea" w:hAnsi="Calibri" w:cs="Calibri"/>
                <w:kern w:val="24"/>
                <w:lang w:eastAsia="fr-FR"/>
              </w:rPr>
              <w:t>pratiquement toutes les variétés de riz ne supportent pas l’eau salée.</w:t>
            </w:r>
          </w:p>
          <w:p w14:paraId="0D0677B0" w14:textId="77777777" w:rsidR="005517C0" w:rsidRPr="00B655B6" w:rsidRDefault="005517C0" w:rsidP="007E58C4">
            <w:pPr>
              <w:kinsoku w:val="0"/>
              <w:overflowPunct w:val="0"/>
              <w:jc w:val="both"/>
              <w:textAlignment w:val="baseline"/>
              <w:rPr>
                <w:rFonts w:ascii="Calibri" w:eastAsia="+mn-ea" w:hAnsi="Calibri" w:cs="Calibri"/>
                <w:kern w:val="24"/>
                <w:lang w:eastAsia="fr-FR"/>
              </w:rPr>
            </w:pPr>
          </w:p>
          <w:p w14:paraId="4C2A445F" w14:textId="77777777" w:rsidR="005517C0" w:rsidRPr="00B655B6" w:rsidRDefault="005517C0" w:rsidP="007E58C4">
            <w:pPr>
              <w:kinsoku w:val="0"/>
              <w:overflowPunct w:val="0"/>
              <w:jc w:val="both"/>
              <w:textAlignment w:val="baseline"/>
              <w:rPr>
                <w:rFonts w:ascii="Calibri" w:eastAsia="Times New Roman" w:hAnsi="Calibri" w:cs="Calibri"/>
                <w:lang w:eastAsia="fr-FR"/>
              </w:rPr>
            </w:pPr>
            <w:r w:rsidRPr="00B655B6">
              <w:rPr>
                <w:rFonts w:ascii="Calibri" w:eastAsia="+mn-ea" w:hAnsi="Calibri" w:cs="Calibri"/>
                <w:kern w:val="24"/>
                <w:lang w:val="es-AR" w:eastAsia="fr-FR"/>
              </w:rPr>
              <w:t>Plantes de riz (</w:t>
            </w:r>
            <w:r w:rsidRPr="00B655B6">
              <w:rPr>
                <w:rFonts w:ascii="Calibri" w:eastAsia="+mn-ea" w:hAnsi="Calibri" w:cs="Calibri"/>
                <w:i/>
                <w:iCs/>
                <w:kern w:val="24"/>
                <w:lang w:val="es-AR" w:eastAsia="fr-FR"/>
              </w:rPr>
              <w:t xml:space="preserve">Oryza sativa), </w:t>
            </w:r>
            <w:r w:rsidRPr="00B655B6">
              <w:rPr>
                <w:rFonts w:ascii="Calibri" w:eastAsia="+mn-ea" w:hAnsi="Calibri" w:cs="Calibri"/>
                <w:kern w:val="24"/>
                <w:lang w:val="es-AR" w:eastAsia="fr-FR"/>
              </w:rPr>
              <w:t xml:space="preserve">cv. </w:t>
            </w:r>
            <w:r w:rsidRPr="00B655B6">
              <w:rPr>
                <w:rFonts w:ascii="Calibri" w:eastAsia="+mn-ea" w:hAnsi="Calibri" w:cs="Calibri"/>
                <w:kern w:val="24"/>
                <w:lang w:eastAsia="fr-FR"/>
              </w:rPr>
              <w:t xml:space="preserve">BRRI Dhan29, après 2 semaines de traitement à différentes concentrations de NaCl </w:t>
            </w:r>
            <w:r w:rsidRPr="00B655B6">
              <w:rPr>
                <w:rFonts w:ascii="Calibri" w:eastAsia="+mn-ea" w:hAnsi="Calibri" w:cs="Calibri"/>
                <w:kern w:val="24"/>
                <w:lang w:eastAsia="fr-FR"/>
              </w:rPr>
              <w:sym w:font="Wingdings" w:char="F0E0"/>
            </w:r>
            <w:r w:rsidRPr="00B655B6">
              <w:rPr>
                <w:rFonts w:ascii="Calibri" w:eastAsia="+mn-ea" w:hAnsi="Calibri" w:cs="Calibri"/>
                <w:kern w:val="24"/>
                <w:lang w:eastAsia="fr-FR"/>
              </w:rPr>
              <w:t xml:space="preserve">  </w:t>
            </w:r>
          </w:p>
          <w:p w14:paraId="0C8DDB83" w14:textId="77777777" w:rsidR="005517C0" w:rsidRPr="00D05476" w:rsidRDefault="005517C0" w:rsidP="007E58C4">
            <w:pPr>
              <w:kinsoku w:val="0"/>
              <w:overflowPunct w:val="0"/>
              <w:textAlignment w:val="baseline"/>
              <w:rPr>
                <w:rFonts w:ascii="Calibri" w:eastAsia="Times New Roman" w:hAnsi="Calibri" w:cs="Calibri"/>
                <w:color w:val="008000"/>
                <w:kern w:val="24"/>
                <w:lang w:eastAsia="fr-FR"/>
              </w:rPr>
            </w:pPr>
          </w:p>
          <w:p w14:paraId="392AF2C1" w14:textId="77777777" w:rsidR="005517C0" w:rsidRPr="00EE5437" w:rsidRDefault="005517C0" w:rsidP="007E58C4">
            <w:pPr>
              <w:kinsoku w:val="0"/>
              <w:overflowPunct w:val="0"/>
              <w:textAlignment w:val="baseline"/>
              <w:rPr>
                <w:rFonts w:ascii="Calibri" w:eastAsia="Times New Roman" w:hAnsi="Calibri" w:cs="Calibri"/>
                <w:lang w:val="en-GB" w:eastAsia="fr-FR"/>
              </w:rPr>
            </w:pPr>
            <w:r w:rsidRPr="001562F1">
              <w:rPr>
                <w:rFonts w:ascii="Calibri" w:eastAsia="Times New Roman" w:hAnsi="Calibri" w:cs="Calibri"/>
                <w:kern w:val="24"/>
                <w:lang w:val="en-GB" w:eastAsia="fr-FR"/>
              </w:rPr>
              <w:t>Source</w:t>
            </w:r>
            <w:r w:rsidRPr="00A948B1">
              <w:rPr>
                <w:rFonts w:ascii="Calibri" w:eastAsia="Times New Roman" w:hAnsi="Calibri" w:cs="Calibri"/>
                <w:kern w:val="24"/>
                <w:lang w:val="en-GB" w:eastAsia="fr-FR"/>
              </w:rPr>
              <w:t xml:space="preserve"> : </w:t>
            </w:r>
            <w:r w:rsidRPr="00A948B1">
              <w:rPr>
                <w:rFonts w:ascii="Calibri" w:eastAsia="Times New Roman" w:hAnsi="Calibri" w:cs="Calibri"/>
                <w:i/>
                <w:iCs/>
                <w:kern w:val="24"/>
                <w:lang w:val="en-GB" w:eastAsia="fr-FR"/>
              </w:rPr>
              <w:t>Salt Stress in Rice: Adaptive Mechanisms for Cytosolic Sodium Hom</w:t>
            </w:r>
            <w:r w:rsidRPr="00A948B1">
              <w:rPr>
                <w:rFonts w:ascii="Calibri" w:eastAsia="Times New Roman" w:hAnsi="Calibri" w:cs="Calibri"/>
                <w:kern w:val="24"/>
                <w:lang w:val="en-GB" w:eastAsia="fr-FR"/>
              </w:rPr>
              <w:t xml:space="preserve">eostasis . </w:t>
            </w:r>
            <w:r w:rsidRPr="00A948B1">
              <w:rPr>
                <w:rFonts w:ascii="Calibri" w:eastAsia="Times New Roman" w:hAnsi="Calibri" w:cs="Calibri"/>
                <w:kern w:val="24"/>
                <w:u w:val="single"/>
                <w:lang w:val="en-GB" w:eastAsia="fr-FR"/>
              </w:rPr>
              <w:t>Md. Abdul Kader.</w:t>
            </w:r>
            <w:r w:rsidRPr="00A948B1">
              <w:rPr>
                <w:rFonts w:ascii="Calibri" w:eastAsia="Times New Roman" w:hAnsi="Calibri" w:cs="Calibri"/>
                <w:kern w:val="24"/>
                <w:lang w:val="en-GB" w:eastAsia="fr-FR"/>
              </w:rPr>
              <w:t xml:space="preserve">  Doctoral thesis</w:t>
            </w:r>
            <w:r w:rsidRPr="00EE5437">
              <w:rPr>
                <w:rFonts w:ascii="Calibri" w:eastAsia="Times New Roman" w:hAnsi="Calibri" w:cs="Calibri"/>
                <w:color w:val="008000"/>
                <w:kern w:val="24"/>
                <w:lang w:val="en-GB" w:eastAsia="fr-FR"/>
              </w:rPr>
              <w:t xml:space="preserve">. </w:t>
            </w:r>
            <w:hyperlink r:id="rId1638" w:history="1">
              <w:r w:rsidRPr="00EE5437">
                <w:rPr>
                  <w:rFonts w:ascii="Calibri" w:eastAsia="Times New Roman" w:hAnsi="Calibri" w:cs="Calibri"/>
                  <w:color w:val="0000CC"/>
                  <w:kern w:val="24"/>
                  <w:u w:val="single"/>
                  <w:lang w:val="en-GB" w:eastAsia="fr-FR"/>
                </w:rPr>
                <w:t>http://pub.epsilon.slu.se/1095/1/Thesis_Abdul_Kader.pdf</w:t>
              </w:r>
            </w:hyperlink>
            <w:r w:rsidRPr="00EE5437">
              <w:rPr>
                <w:rFonts w:ascii="Calibri" w:eastAsia="Times New Roman" w:hAnsi="Calibri" w:cs="Calibri"/>
                <w:color w:val="008000"/>
                <w:kern w:val="24"/>
                <w:lang w:val="en-GB" w:eastAsia="fr-FR"/>
              </w:rPr>
              <w:t xml:space="preserve"> </w:t>
            </w:r>
          </w:p>
          <w:p w14:paraId="3FAF9880" w14:textId="77777777" w:rsidR="005517C0" w:rsidRPr="00EE5437" w:rsidRDefault="005517C0" w:rsidP="007E58C4">
            <w:pPr>
              <w:jc w:val="both"/>
              <w:rPr>
                <w:lang w:val="en-GB"/>
              </w:rPr>
            </w:pPr>
          </w:p>
        </w:tc>
        <w:tc>
          <w:tcPr>
            <w:tcW w:w="5091" w:type="dxa"/>
            <w:gridSpan w:val="2"/>
          </w:tcPr>
          <w:p w14:paraId="4E7A3DCA" w14:textId="77777777" w:rsidR="005517C0" w:rsidRDefault="005517C0" w:rsidP="007E58C4">
            <w:pPr>
              <w:jc w:val="center"/>
            </w:pPr>
            <w:r>
              <w:rPr>
                <w:noProof/>
              </w:rPr>
              <w:drawing>
                <wp:inline distT="0" distB="0" distL="0" distR="0" wp14:anchorId="0AB635D0" wp14:editId="0B3B2151">
                  <wp:extent cx="3143885" cy="2965448"/>
                  <wp:effectExtent l="0" t="0" r="0" b="6985"/>
                  <wp:docPr id="5" name="Image 5" descr="Une image contenant texte, plante, agave, herb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descr="Une image contenant texte, plante, agave, herbe&#10;&#10;Description générée automatiquement"/>
                          <pic:cNvPicPr/>
                        </pic:nvPicPr>
                        <pic:blipFill>
                          <a:blip r:embed="rId1639"/>
                          <a:stretch>
                            <a:fillRect/>
                          </a:stretch>
                        </pic:blipFill>
                        <pic:spPr>
                          <a:xfrm>
                            <a:off x="0" y="0"/>
                            <a:ext cx="3166854" cy="2987114"/>
                          </a:xfrm>
                          <a:prstGeom prst="rect">
                            <a:avLst/>
                          </a:prstGeom>
                        </pic:spPr>
                      </pic:pic>
                    </a:graphicData>
                  </a:graphic>
                </wp:inline>
              </w:drawing>
            </w:r>
          </w:p>
        </w:tc>
      </w:tr>
    </w:tbl>
    <w:p w14:paraId="43E03BE6" w14:textId="77777777" w:rsidR="005517C0" w:rsidRPr="0019274A" w:rsidRDefault="005517C0" w:rsidP="00EF1A93">
      <w:pPr>
        <w:spacing w:after="0" w:line="240" w:lineRule="auto"/>
      </w:pPr>
    </w:p>
    <w:p w14:paraId="0C66CE69" w14:textId="77777777" w:rsidR="005517C0" w:rsidRPr="0019274A" w:rsidRDefault="005517C0" w:rsidP="005517C0">
      <w:pPr>
        <w:pStyle w:val="Titre2"/>
      </w:pPr>
      <w:bookmarkStart w:id="162" w:name="_Toc139181453"/>
      <w:r w:rsidRPr="00AF22FA">
        <w:t>Blé dur</w:t>
      </w:r>
      <w:r>
        <w:t xml:space="preserve"> résistant au sel</w:t>
      </w:r>
      <w:r w:rsidRPr="00AF22FA">
        <w:t xml:space="preserve"> (</w:t>
      </w:r>
      <w:r w:rsidRPr="00AF22FA">
        <w:rPr>
          <w:i/>
          <w:iCs/>
          <w:lang w:val="pt-BR"/>
        </w:rPr>
        <w:t xml:space="preserve">Triticum turgidum L. subsp. Durum </w:t>
      </w:r>
      <w:r w:rsidRPr="00AF22FA">
        <w:rPr>
          <w:i/>
          <w:iCs/>
        </w:rPr>
        <w:t xml:space="preserve">_ </w:t>
      </w:r>
      <w:r w:rsidRPr="00AF22FA">
        <w:t>cultivar résistant au sel)</w:t>
      </w:r>
      <w:bookmarkEnd w:id="162"/>
    </w:p>
    <w:p w14:paraId="5F093C2E" w14:textId="77777777" w:rsidR="005517C0" w:rsidRDefault="005517C0" w:rsidP="005517C0">
      <w:pPr>
        <w:spacing w:after="0" w:line="240" w:lineRule="auto"/>
      </w:pPr>
    </w:p>
    <w:p w14:paraId="005686BC" w14:textId="77777777" w:rsidR="005517C0" w:rsidRPr="00AF22FA" w:rsidRDefault="005517C0" w:rsidP="005517C0">
      <w:pPr>
        <w:spacing w:after="0" w:line="240" w:lineRule="auto"/>
        <w:jc w:val="both"/>
      </w:pPr>
      <w:r w:rsidRPr="00AF22FA">
        <w:t>Une équipe de scientifiques australiens, de l’Université d'Adélaïde (de Waite Research Institute), a renforcé la tolérance au sel dans une variété de blé dur démontrant une amélioration du rendement des céréales de 25% sur des sols salés.</w:t>
      </w:r>
    </w:p>
    <w:p w14:paraId="127B7B7E" w14:textId="77777777" w:rsidR="005517C0" w:rsidRPr="00AF22FA" w:rsidRDefault="005517C0" w:rsidP="005517C0">
      <w:pPr>
        <w:spacing w:after="0" w:line="240" w:lineRule="auto"/>
        <w:jc w:val="both"/>
      </w:pPr>
      <w:r w:rsidRPr="00AF22FA">
        <w:t>En utilisant des techniques de reproduction des récoltes «non-OGM», les scientifiques du CSIRO Plant Industry ont introduit un gène tolérant au sel dans un blé dur commercial, avec des résultats spectaculaires présentés dans les tests sur le terrain.</w:t>
      </w:r>
    </w:p>
    <w:p w14:paraId="263D5629" w14:textId="77777777" w:rsidR="005517C0" w:rsidRPr="00AF22FA" w:rsidRDefault="005517C0" w:rsidP="005517C0">
      <w:pPr>
        <w:spacing w:after="0" w:line="240" w:lineRule="auto"/>
        <w:jc w:val="both"/>
      </w:pPr>
      <w:r w:rsidRPr="00AF22FA">
        <w:t>Les auteurs de cette étude ont réalisé que les parents sauvages de blé moderne restent une source importante de gènes pour une gamme de caractéristiques, y compris la tolérance à la salinité. Ils ont découvert le nouveau gène tolérant le sel dans une cousine ancestrale de blé moderne, </w:t>
      </w:r>
      <w:r w:rsidRPr="00AF22FA">
        <w:rPr>
          <w:i/>
          <w:iCs/>
        </w:rPr>
        <w:t>Triticum monococcum</w:t>
      </w:r>
      <w:r w:rsidRPr="00AF22FA">
        <w:t>. Le gène résistant au sel (connu sous le nom </w:t>
      </w:r>
      <w:r w:rsidRPr="00AF22FA">
        <w:rPr>
          <w:i/>
          <w:iCs/>
        </w:rPr>
        <w:t>TmHKT1; 5-A</w:t>
      </w:r>
      <w:r w:rsidRPr="00AF22FA">
        <w:t>) fonctionne en excluant sodium à partir des feuilles</w:t>
      </w:r>
      <w:r>
        <w:t>.</w:t>
      </w:r>
      <w:r w:rsidRPr="00AF22FA">
        <w:t xml:space="preserve"> </w:t>
      </w:r>
      <w:r>
        <w:t>« </w:t>
      </w:r>
      <w:r w:rsidRPr="00AF22FA">
        <w:rPr>
          <w:i/>
          <w:iCs/>
        </w:rPr>
        <w:t xml:space="preserve">Il produit une protéine qui élimine le </w:t>
      </w:r>
      <w:r w:rsidRPr="00AF22FA">
        <w:rPr>
          <w:i/>
          <w:iCs/>
        </w:rPr>
        <w:lastRenderedPageBreak/>
        <w:t>sodium dans les cellules qui tapissent le xylème, qui sont les «tuyaux» de plantes utilisent pour déplacer l'eau de leurs racines vers leurs feuilles</w:t>
      </w:r>
      <w:r>
        <w:t> »</w:t>
      </w:r>
      <w:r w:rsidRPr="00AF22FA">
        <w:t>, explique le Dr Gilliham.</w:t>
      </w:r>
    </w:p>
    <w:p w14:paraId="1A1F2C62" w14:textId="77777777" w:rsidR="005517C0" w:rsidRPr="00AF22FA" w:rsidRDefault="005517C0" w:rsidP="005517C0">
      <w:pPr>
        <w:spacing w:after="0" w:line="240" w:lineRule="auto"/>
        <w:jc w:val="both"/>
        <w:rPr>
          <w:lang w:val="en-GB"/>
        </w:rPr>
      </w:pPr>
      <w:r w:rsidRPr="00AF22FA">
        <w:rPr>
          <w:lang w:val="en-GB"/>
        </w:rPr>
        <w:t xml:space="preserve">Sources : a) </w:t>
      </w:r>
      <w:r w:rsidRPr="00AF22FA">
        <w:rPr>
          <w:i/>
          <w:iCs/>
          <w:lang w:val="en-GB"/>
        </w:rPr>
        <w:t>Wheat grain yield on saline soils is improved by an ancestral Na+ transporter gene</w:t>
      </w:r>
      <w:r w:rsidRPr="00AF22FA">
        <w:rPr>
          <w:lang w:val="en-GB"/>
        </w:rPr>
        <w:t xml:space="preserve">, </w:t>
      </w:r>
    </w:p>
    <w:p w14:paraId="38F66E37" w14:textId="77777777" w:rsidR="005517C0" w:rsidRPr="00AF22FA" w:rsidRDefault="005517C0" w:rsidP="005517C0">
      <w:pPr>
        <w:spacing w:after="0" w:line="240" w:lineRule="auto"/>
        <w:jc w:val="both"/>
        <w:rPr>
          <w:lang w:val="en-GB"/>
        </w:rPr>
      </w:pPr>
      <w:r w:rsidRPr="00AF22FA">
        <w:rPr>
          <w:lang w:val="en-GB"/>
        </w:rPr>
        <w:t>Rana Munns, Richard A James, Bo Xu, Asmini Athman, Simon J Conn, Charlotte Jordans, Caitlin S Byrt, Ray A Hare, Stephen D Tyerman, Mark Tester, Darren Plett &amp; Matthew Gilliham, Nature Biotechnology 30, 360–364 (2012), http://www.nature.com/nbt/journal/v30/n4/full/nbt.2120.html</w:t>
      </w:r>
    </w:p>
    <w:p w14:paraId="60EEF9D0" w14:textId="77777777" w:rsidR="005517C0" w:rsidRPr="00AF22FA" w:rsidRDefault="005517C0" w:rsidP="005517C0">
      <w:pPr>
        <w:spacing w:after="0" w:line="240" w:lineRule="auto"/>
        <w:jc w:val="both"/>
        <w:rPr>
          <w:lang w:val="en-GB"/>
        </w:rPr>
      </w:pPr>
      <w:r w:rsidRPr="00AF22FA">
        <w:rPr>
          <w:lang w:val="en-GB"/>
        </w:rPr>
        <w:t xml:space="preserve">b) </w:t>
      </w:r>
      <w:r w:rsidRPr="00AF22FA">
        <w:rPr>
          <w:i/>
          <w:iCs/>
          <w:lang w:val="en-US"/>
        </w:rPr>
        <w:t>World breakthrough on salt-tolerant wheat, University of Adelaide</w:t>
      </w:r>
      <w:r w:rsidRPr="00AF22FA">
        <w:rPr>
          <w:lang w:val="en-US"/>
        </w:rPr>
        <w:t xml:space="preserve">, March 11, 2012, </w:t>
      </w:r>
      <w:hyperlink r:id="rId1640" w:history="1">
        <w:r w:rsidRPr="00AF22FA">
          <w:rPr>
            <w:rStyle w:val="Lienhypertexte"/>
            <w:lang w:val="en-US"/>
          </w:rPr>
          <w:t>http://www.sciencedaily.com/releases/2012/03/120311150717.htm</w:t>
        </w:r>
      </w:hyperlink>
      <w:r w:rsidRPr="00AF22FA">
        <w:rPr>
          <w:lang w:val="en-US"/>
        </w:rPr>
        <w:t xml:space="preserve"> </w:t>
      </w:r>
    </w:p>
    <w:p w14:paraId="4AF2857E" w14:textId="77777777" w:rsidR="005517C0" w:rsidRPr="00AF22FA" w:rsidRDefault="005517C0" w:rsidP="005517C0">
      <w:pPr>
        <w:spacing w:after="0" w:line="240" w:lineRule="auto"/>
        <w:jc w:val="both"/>
        <w:rPr>
          <w:lang w:val="en-G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0"/>
        <w:gridCol w:w="6026"/>
      </w:tblGrid>
      <w:tr w:rsidR="005517C0" w:rsidRPr="00AF22FA" w14:paraId="5476C32A" w14:textId="77777777" w:rsidTr="007E58C4">
        <w:tc>
          <w:tcPr>
            <w:tcW w:w="4390" w:type="dxa"/>
          </w:tcPr>
          <w:p w14:paraId="4922EA90" w14:textId="2B4E62CD" w:rsidR="005517C0" w:rsidRPr="005517C0" w:rsidRDefault="005517C0" w:rsidP="005517C0">
            <w:pPr>
              <w:jc w:val="center"/>
              <w:rPr>
                <w:lang w:val="en-GB"/>
              </w:rPr>
            </w:pPr>
            <w:r w:rsidRPr="00AF22FA">
              <w:rPr>
                <w:noProof/>
              </w:rPr>
              <w:drawing>
                <wp:inline distT="0" distB="0" distL="0" distR="0" wp14:anchorId="7679CF1A" wp14:editId="3A0B1EDE">
                  <wp:extent cx="2555875" cy="1690688"/>
                  <wp:effectExtent l="0" t="0" r="0" b="5080"/>
                  <wp:docPr id="89096" name="Image 7" descr="ble-dur-Australi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6" name="Image 7" descr="ble-dur-Australie_s.jpg"/>
                          <pic:cNvPicPr>
                            <a:picLocks noChangeAspect="1"/>
                          </pic:cNvPicPr>
                        </pic:nvPicPr>
                        <pic:blipFill>
                          <a:blip r:embed="rId1641">
                            <a:extLst>
                              <a:ext uri="{28A0092B-C50C-407E-A947-70E740481C1C}">
                                <a14:useLocalDpi xmlns:a14="http://schemas.microsoft.com/office/drawing/2010/main" val="0"/>
                              </a:ext>
                            </a:extLst>
                          </a:blip>
                          <a:srcRect/>
                          <a:stretch>
                            <a:fillRect/>
                          </a:stretch>
                        </pic:blipFill>
                        <pic:spPr bwMode="auto">
                          <a:xfrm>
                            <a:off x="0" y="0"/>
                            <a:ext cx="2555875" cy="16906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6026" w:type="dxa"/>
          </w:tcPr>
          <w:p w14:paraId="5B8D759F" w14:textId="77777777" w:rsidR="005517C0" w:rsidRPr="00AF22FA" w:rsidRDefault="005517C0" w:rsidP="005517C0">
            <w:pPr>
              <w:jc w:val="both"/>
            </w:pPr>
            <w:r w:rsidRPr="00AF22FA">
              <w:t xml:space="preserve">Le blé </w:t>
            </w:r>
            <w:r w:rsidRPr="00AF22FA">
              <w:rPr>
                <w:i/>
                <w:iCs/>
              </w:rPr>
              <w:t>Ben Mabrouck</w:t>
            </w:r>
            <w:r w:rsidRPr="00AF22FA">
              <w:t>, dont la sélection n’est pas terminée, s’est montré très tolérant au sel (SIMONNEAU, 1962).</w:t>
            </w:r>
          </w:p>
          <w:p w14:paraId="5CE63066" w14:textId="72593E47" w:rsidR="005517C0" w:rsidRDefault="005517C0" w:rsidP="007E58C4">
            <w:r w:rsidRPr="00AF22FA">
              <w:t xml:space="preserve">Source : </w:t>
            </w:r>
            <w:r w:rsidRPr="00AF22FA">
              <w:rPr>
                <w:i/>
                <w:iCs/>
              </w:rPr>
              <w:t>L'utilisation des eaux salées au Sahara</w:t>
            </w:r>
            <w:r w:rsidRPr="00AF22FA">
              <w:t xml:space="preserve">, P. Simonneau, G. Aubert, Ann. agron., 1963, 14 (5), 859-872, page 866, </w:t>
            </w:r>
            <w:hyperlink r:id="rId1642" w:history="1">
              <w:r w:rsidRPr="00AF22FA">
                <w:rPr>
                  <w:rStyle w:val="Lienhypertexte"/>
                </w:rPr>
                <w:t>http://horizon.documentation.ird.fr/exl-doc/pleins_textes/pleins_textes_5/b_fdi_08-09/11033.pdf</w:t>
              </w:r>
            </w:hyperlink>
            <w:r w:rsidRPr="00AF22FA">
              <w:t xml:space="preserve"> </w:t>
            </w:r>
          </w:p>
          <w:p w14:paraId="64B72F9D" w14:textId="62AA83C2" w:rsidR="005517C0" w:rsidRDefault="005517C0" w:rsidP="007E58C4"/>
          <w:p w14:paraId="05DB9884" w14:textId="60F99067" w:rsidR="005517C0" w:rsidRPr="00AF22FA" w:rsidRDefault="005517C0" w:rsidP="004D4AED">
            <w:pPr>
              <w:jc w:val="both"/>
            </w:pPr>
            <w:r>
              <w:sym w:font="Wingdings" w:char="F0DF"/>
            </w:r>
            <w:r>
              <w:t xml:space="preserve"> </w:t>
            </w:r>
            <w:r w:rsidRPr="00AF22FA">
              <w:t>Blé dur tolérant au sel, poussant dans le nord de la Nouvelle-Galles du Sud dans le cadre d'un essai sur le terrain.</w:t>
            </w:r>
            <w:r>
              <w:t xml:space="preserve"> </w:t>
            </w:r>
            <w:r w:rsidRPr="00AF22FA">
              <w:rPr>
                <w:i/>
                <w:iCs/>
              </w:rPr>
              <w:t>Crédit: Photo par le CSIRO.</w:t>
            </w:r>
          </w:p>
        </w:tc>
      </w:tr>
    </w:tbl>
    <w:p w14:paraId="6B29F979" w14:textId="77777777" w:rsidR="005517C0" w:rsidRDefault="005517C0" w:rsidP="005517C0">
      <w:pPr>
        <w:spacing w:after="0" w:line="240" w:lineRule="auto"/>
      </w:pPr>
    </w:p>
    <w:p w14:paraId="1233FC03" w14:textId="77777777" w:rsidR="002D037E" w:rsidRDefault="002D037E" w:rsidP="002D037E">
      <w:pPr>
        <w:pStyle w:val="Titre2"/>
        <w:numPr>
          <w:ilvl w:val="1"/>
          <w:numId w:val="132"/>
        </w:numPr>
      </w:pPr>
      <w:bookmarkStart w:id="163" w:name="_Toc139181454"/>
      <w:r>
        <w:t>Blés développés par</w:t>
      </w:r>
      <w:r w:rsidRPr="00F15659">
        <w:t xml:space="preserve"> l’Institut sénégalais de recherche agricole</w:t>
      </w:r>
      <w:r>
        <w:t xml:space="preserve"> </w:t>
      </w:r>
      <w:r w:rsidRPr="00F15659">
        <w:t>(ISRA)</w:t>
      </w:r>
      <w:bookmarkEnd w:id="163"/>
    </w:p>
    <w:p w14:paraId="6F57C200" w14:textId="77777777" w:rsidR="002D037E" w:rsidRDefault="002D037E" w:rsidP="002D037E">
      <w:pPr>
        <w:spacing w:after="0" w:line="240" w:lineRule="auto"/>
      </w:pPr>
    </w:p>
    <w:p w14:paraId="14BA5BB6" w14:textId="77777777" w:rsidR="002D037E" w:rsidRDefault="002D037E" w:rsidP="002D037E">
      <w:pPr>
        <w:spacing w:after="0" w:line="240" w:lineRule="auto"/>
        <w:jc w:val="both"/>
      </w:pPr>
      <w:r w:rsidRPr="00F15659">
        <w:t>Des chercheurs agronomes sénégalais ont développé une culture expérimentale de blé local, adapté aux conditions climatiques du pays, pour tenter de réduire la dépendance à l'égard des importations</w:t>
      </w:r>
      <w:r>
        <w:t xml:space="preserve">, </w:t>
      </w:r>
      <w:r w:rsidRPr="00F15659">
        <w:t>car le Sénégal, comme beaucoup de ses voisins</w:t>
      </w:r>
      <w:r>
        <w:t>, friands de pain</w:t>
      </w:r>
      <w:r w:rsidRPr="00F15659">
        <w:t>, dépend entièrement de l'étranger, important 800.000 tonnes de céréales par an.</w:t>
      </w:r>
      <w:r>
        <w:t xml:space="preserve"> </w:t>
      </w:r>
      <w:r w:rsidRPr="00E819DA">
        <w:t>Pour moitié en provenance de Russie et pour un tiers de France</w:t>
      </w:r>
      <w:r>
        <w:rPr>
          <w:rStyle w:val="Appelnotedebasdep"/>
        </w:rPr>
        <w:footnoteReference w:id="110"/>
      </w:r>
      <w:r w:rsidRPr="00E819DA">
        <w:t>.</w:t>
      </w:r>
    </w:p>
    <w:p w14:paraId="4C5D0333" w14:textId="77777777" w:rsidR="002D037E" w:rsidRDefault="002D037E" w:rsidP="002D037E">
      <w:pPr>
        <w:spacing w:after="0" w:line="240" w:lineRule="auto"/>
        <w:jc w:val="both"/>
      </w:pPr>
      <w:r w:rsidRPr="00483E54">
        <w:t>Les difficultés d'approvisionnement, la hausse des cours des céréales et de l'inflation causées par la guerre en Ukraine ainsi que la crise alimentaire ont stimulé l'effort sénégalais d'autosuffisance, vieille aspiration nationale.</w:t>
      </w:r>
    </w:p>
    <w:p w14:paraId="27508A34" w14:textId="77777777" w:rsidR="002D037E" w:rsidRDefault="002D037E" w:rsidP="002D037E">
      <w:pPr>
        <w:spacing w:after="0" w:line="240" w:lineRule="auto"/>
        <w:jc w:val="both"/>
      </w:pPr>
      <w:r w:rsidRPr="00F15659">
        <w:t>Son climat tropical n'est en principe pas adapté à la culture du blé, mais des essais d'acclimatation sont en cours.</w:t>
      </w:r>
      <w:r>
        <w:t xml:space="preserve"> De plus, </w:t>
      </w:r>
      <w:r w:rsidRPr="00F15659">
        <w:t xml:space="preserve">le manque d'eau pour irriguer les cultures </w:t>
      </w:r>
      <w:r>
        <w:t>reste</w:t>
      </w:r>
      <w:r w:rsidRPr="00F15659">
        <w:t xml:space="preserve"> un défi de taille.</w:t>
      </w:r>
      <w:r>
        <w:t xml:space="preserve"> </w:t>
      </w:r>
      <w:r w:rsidRPr="00174980">
        <w:t>Par ailleurs, Amadou Gaye, le président de la Fédération nationale des boulangers du Sénégal, qui représente quelque 2.500 boulangeries dans le pays,</w:t>
      </w:r>
      <w:r>
        <w:t xml:space="preserve"> restant réservé ou sceptique,</w:t>
      </w:r>
      <w:r w:rsidRPr="00174980">
        <w:t xml:space="preserve"> a déclaré qu'il préférerait que des ressources soient consacrées à la production de céréales locales telles que le millet, le maïs ou le sorgho.</w:t>
      </w:r>
      <w:r>
        <w:t xml:space="preserve"> </w:t>
      </w:r>
      <w:r w:rsidRPr="001434EA">
        <w:t>Sur les 2.500 boulangeries au Sénégal, plus de 300 intègrent ces céréales locales dans la fabrication du pain. Les gens font la queue pour avoir le pain à base de mil</w:t>
      </w:r>
      <w:r>
        <w:rPr>
          <w:rStyle w:val="Appelnotedebasdep"/>
        </w:rPr>
        <w:footnoteReference w:id="111"/>
      </w:r>
      <w:r>
        <w:t>.</w:t>
      </w:r>
    </w:p>
    <w:p w14:paraId="57D2BC17" w14:textId="77777777" w:rsidR="002D037E" w:rsidRDefault="002D037E" w:rsidP="002D037E">
      <w:pPr>
        <w:spacing w:after="0" w:line="240" w:lineRule="auto"/>
        <w:jc w:val="both"/>
      </w:pPr>
      <w:r>
        <w:t>L’ISRA a testé t</w:t>
      </w:r>
      <w:r w:rsidRPr="00F15659">
        <w:t>rois variétés</w:t>
      </w:r>
      <w:r>
        <w:t xml:space="preserve"> de blé</w:t>
      </w:r>
      <w:r w:rsidRPr="00F15659">
        <w:t xml:space="preserve"> proviennent d'Égypte, une quatrième a été développée par l'Institut, qui a testé des centaines de variétés de blé.</w:t>
      </w:r>
      <w:r>
        <w:t xml:space="preserve"> Huit</w:t>
      </w:r>
      <w:r w:rsidRPr="00F33C1C">
        <w:t xml:space="preserve"> variétés sont arrivées à maturité au bout de trois mois, correspondant à la saison froide, au Sénégal.</w:t>
      </w:r>
    </w:p>
    <w:p w14:paraId="4A8697F8" w14:textId="77777777" w:rsidR="002D037E" w:rsidRPr="00F15659" w:rsidRDefault="002D037E" w:rsidP="002D037E">
      <w:pPr>
        <w:spacing w:after="0" w:line="240" w:lineRule="auto"/>
        <w:jc w:val="both"/>
      </w:pPr>
      <w:r w:rsidRPr="00B171F1">
        <w:t xml:space="preserve">Les variétés de blé tendre telles que </w:t>
      </w:r>
      <w:r w:rsidRPr="00B171F1">
        <w:rPr>
          <w:i/>
          <w:iCs/>
        </w:rPr>
        <w:t>Hamat, Alioune Pendao</w:t>
      </w:r>
      <w:r w:rsidRPr="00B171F1">
        <w:t xml:space="preserve"> et </w:t>
      </w:r>
      <w:r w:rsidRPr="00B171F1">
        <w:rPr>
          <w:i/>
          <w:iCs/>
        </w:rPr>
        <w:t>Dire 15</w:t>
      </w:r>
      <w:r w:rsidRPr="00B171F1">
        <w:t xml:space="preserve"> </w:t>
      </w:r>
      <w:r>
        <w:t xml:space="preserve">(&amp; </w:t>
      </w:r>
      <w:r w:rsidRPr="00AB33F2">
        <w:rPr>
          <w:i/>
          <w:iCs/>
        </w:rPr>
        <w:t>Bani Suef 5</w:t>
      </w:r>
      <w:r>
        <w:t xml:space="preserve">) </w:t>
      </w:r>
      <w:r w:rsidRPr="00B171F1">
        <w:t xml:space="preserve">sont d’origine égyptienne et malienne. Les variétés de blé dur, telles que </w:t>
      </w:r>
      <w:r w:rsidRPr="00B171F1">
        <w:rPr>
          <w:i/>
          <w:iCs/>
        </w:rPr>
        <w:t>Haby, Amina</w:t>
      </w:r>
      <w:r w:rsidRPr="00B171F1">
        <w:t xml:space="preserve"> et </w:t>
      </w:r>
      <w:r w:rsidRPr="00B171F1">
        <w:rPr>
          <w:i/>
          <w:iCs/>
        </w:rPr>
        <w:t>Dioufissa</w:t>
      </w:r>
      <w:r w:rsidRPr="00B171F1">
        <w:t xml:space="preserve"> sont issues de sélections du Centre international de recherche agricole dans les zones arides (ICARDA). Ces variétés ont été testées en milieux paysans, pour leur qualité meunière et boulangère, mais aussi leurs caractéristiques pour la DHS (distinction, homogénéité et stabilité</w:t>
      </w:r>
      <w:r>
        <w:t xml:space="preserve">), via un </w:t>
      </w:r>
      <w:r w:rsidRPr="00250EA8">
        <w:t>programme pilote du</w:t>
      </w:r>
      <w:r>
        <w:t xml:space="preserve"> </w:t>
      </w:r>
      <w:r w:rsidRPr="00250EA8">
        <w:t>ministère de l’Agriculture, de l’Equipement rural et de la Souveraineté alimentaire (MAERSA)</w:t>
      </w:r>
      <w:r w:rsidRPr="00B171F1">
        <w:t>.</w:t>
      </w:r>
    </w:p>
    <w:p w14:paraId="2880E83A" w14:textId="77777777" w:rsidR="002D037E" w:rsidRDefault="002D037E" w:rsidP="002D037E">
      <w:pPr>
        <w:spacing w:after="0" w:line="240" w:lineRule="auto"/>
        <w:jc w:val="both"/>
      </w:pPr>
      <w:r w:rsidRPr="00F33C1C">
        <w:t>Cinq parcelles de démonstration sont exploitées simultanément sur deux sites à Dakar et trois dans la Vallée du fleuve Sénégal</w:t>
      </w:r>
      <w:r>
        <w:t xml:space="preserve"> (les </w:t>
      </w:r>
      <w:r w:rsidRPr="005D661F">
        <w:t>champs d’expérimentation Ndiol, Guilado et Dagana</w:t>
      </w:r>
      <w:r>
        <w:t xml:space="preserve">), dont une </w:t>
      </w:r>
      <w:r w:rsidRPr="00F15659">
        <w:t>parcelle expérimentale à Sangalkam</w:t>
      </w:r>
      <w:r>
        <w:t xml:space="preserve"> (Bud Sénégal, </w:t>
      </w:r>
      <w:r w:rsidRPr="00911D3F">
        <w:t>dans les Niayes de Dakar</w:t>
      </w:r>
      <w:r>
        <w:t>)</w:t>
      </w:r>
      <w:r w:rsidRPr="00F15659">
        <w:t>, à 35 km de Dakar</w:t>
      </w:r>
      <w:r>
        <w:t>,</w:t>
      </w:r>
      <w:r w:rsidRPr="00F33C1C">
        <w:t xml:space="preserve"> avec ces trois variétés dites "tendres" destinées à la fabrication du pain, et une dite "dure" pour les pâtes</w:t>
      </w:r>
      <w:r>
        <w:t>, résistantes à de fortes chaleurs. Un bémol, elles doivent être irriguées par un système d’irrigation goutte à goutte, pour obtenir de bons rendements</w:t>
      </w:r>
      <w:r w:rsidRPr="00F33C1C">
        <w:t>.</w:t>
      </w:r>
      <w:r>
        <w:t xml:space="preserve"> </w:t>
      </w:r>
    </w:p>
    <w:p w14:paraId="7459B875" w14:textId="77777777" w:rsidR="002D037E" w:rsidRPr="00F15659" w:rsidRDefault="002D037E" w:rsidP="002D037E">
      <w:pPr>
        <w:spacing w:after="0" w:line="240" w:lineRule="auto"/>
        <w:jc w:val="both"/>
      </w:pPr>
      <w:r>
        <w:lastRenderedPageBreak/>
        <w:t>Ces variétés</w:t>
      </w:r>
      <w:r w:rsidRPr="00CA0C9D">
        <w:t xml:space="preserve"> ont été</w:t>
      </w:r>
      <w:r>
        <w:t xml:space="preserve"> aussi</w:t>
      </w:r>
      <w:r w:rsidRPr="00CA0C9D">
        <w:t xml:space="preserve"> testées dans deux stations expérimentales de la vallée à Fanaye au Sénégal et à Kaedi en Mauritanie</w:t>
      </w:r>
      <w:r>
        <w:t xml:space="preserve">. </w:t>
      </w:r>
      <w:r w:rsidRPr="00E94C74">
        <w:t>Les expériences auraient montré que le blé peut se développer dans tous les types de sol au Sénégal, sablonneux comme à Sangalkam comme argileux, dans le nord et la vallée du fleuve Sénégal.</w:t>
      </w:r>
    </w:p>
    <w:p w14:paraId="310653F8" w14:textId="77777777" w:rsidR="002D037E" w:rsidRDefault="002D037E" w:rsidP="002D037E">
      <w:pPr>
        <w:spacing w:after="0" w:line="240" w:lineRule="auto"/>
      </w:pPr>
    </w:p>
    <w:p w14:paraId="5AD0277C" w14:textId="77777777" w:rsidR="002D037E" w:rsidRDefault="002D037E" w:rsidP="002D037E">
      <w:pPr>
        <w:spacing w:after="0" w:line="240" w:lineRule="auto"/>
        <w:jc w:val="both"/>
      </w:pPr>
      <w:r w:rsidRPr="00864FAF">
        <w:t xml:space="preserve">Sources : a) Le Sénégal met au point une variété locale de blé, 09/04/2023, </w:t>
      </w:r>
      <w:hyperlink r:id="rId1643" w:history="1">
        <w:r w:rsidRPr="001A5E93">
          <w:rPr>
            <w:rStyle w:val="Lienhypertexte"/>
          </w:rPr>
          <w:t>https://lecourrier.vn/le-senegal-met-au-point-une-variete-locale-de-ble/1177915.html</w:t>
        </w:r>
      </w:hyperlink>
      <w:r>
        <w:t xml:space="preserve">, </w:t>
      </w:r>
      <w:r w:rsidRPr="005E4094">
        <w:t xml:space="preserve">b) À la recherche de sa souveraineté alimentaire, le Sénégal veut faire son blé, 08/04/2023, </w:t>
      </w:r>
      <w:hyperlink r:id="rId1644" w:history="1">
        <w:r w:rsidRPr="001A5E93">
          <w:rPr>
            <w:rStyle w:val="Lienhypertexte"/>
          </w:rPr>
          <w:t>https://www.ouest-france.fr/economie/agriculture/a-la-recherche-de-sa-souverainete-alimentaire-le-senegal-veut-faire-son-ble-b80feb62-d61f-11ed-95ca-1c645870fef0</w:t>
        </w:r>
      </w:hyperlink>
      <w:r>
        <w:t xml:space="preserve">, </w:t>
      </w:r>
      <w:r w:rsidRPr="00483E54">
        <w:t xml:space="preserve">c) Le Sénégal moissonne et montre que cultiver le blé est possible, AFP, 04.05.2023, </w:t>
      </w:r>
      <w:hyperlink r:id="rId1645" w:history="1">
        <w:r w:rsidRPr="001A5E93">
          <w:rPr>
            <w:rStyle w:val="Lienhypertexte"/>
          </w:rPr>
          <w:t>https://www.challenges.fr/economie/le-senegal-moissonne-et-montre-que-cultiver-le-ble-est-possible_854314</w:t>
        </w:r>
      </w:hyperlink>
      <w:r>
        <w:t xml:space="preserve">, </w:t>
      </w:r>
      <w:r w:rsidRPr="00E22DF2">
        <w:t xml:space="preserve">d) Le Sénégal produit 8 types de blé adaptés à la chaleur, 27/04/23, </w:t>
      </w:r>
      <w:hyperlink r:id="rId1646" w:history="1">
        <w:r w:rsidRPr="001A5E93">
          <w:rPr>
            <w:rStyle w:val="Lienhypertexte"/>
          </w:rPr>
          <w:t>https://www.scidev.net/afrique-sub-saharienne/news/le-senegal-produit-8-types-de-ble-adaptes-a-la-chaleur/</w:t>
        </w:r>
      </w:hyperlink>
      <w:r>
        <w:t xml:space="preserve">, </w:t>
      </w:r>
      <w:r w:rsidRPr="00816201">
        <w:t xml:space="preserve">e) Culture de blé au Sénégal : de gros progrès réalisés par les chercheurs sénégalais, 13/04/23, </w:t>
      </w:r>
      <w:hyperlink r:id="rId1647" w:history="1">
        <w:r w:rsidRPr="001A5E93">
          <w:rPr>
            <w:rStyle w:val="Lienhypertexte"/>
          </w:rPr>
          <w:t>https://www.espacedev.net/jeu-13042023/secteurs-productifs/culture-de-ble-au-senegal-de-gros-progres-realises-par-les</w:t>
        </w:r>
      </w:hyperlink>
      <w:r>
        <w:t xml:space="preserve">,  f) </w:t>
      </w:r>
      <w:r w:rsidRPr="00816201">
        <w:t xml:space="preserve">Culture du blé au Sénégal, un rêve devenu réalité ! </w:t>
      </w:r>
      <w:hyperlink r:id="rId1648" w:history="1">
        <w:r w:rsidRPr="001A5E93">
          <w:rPr>
            <w:rStyle w:val="Lienhypertexte"/>
          </w:rPr>
          <w:t>https://youtu.be/rStVPTYUIvM</w:t>
        </w:r>
      </w:hyperlink>
      <w:r>
        <w:t xml:space="preserve">, </w:t>
      </w:r>
      <w:r w:rsidRPr="001939D0">
        <w:t>g) Variétés de blé égyptien</w:t>
      </w:r>
      <w:r>
        <w:t xml:space="preserve"> (</w:t>
      </w:r>
      <w:r w:rsidRPr="001939D0">
        <w:t>Wheat Varieties</w:t>
      </w:r>
      <w:r>
        <w:t>)</w:t>
      </w:r>
      <w:r w:rsidRPr="001939D0">
        <w:t xml:space="preserve">, </w:t>
      </w:r>
      <w:hyperlink r:id="rId1649" w:history="1">
        <w:r w:rsidRPr="001A5E93">
          <w:rPr>
            <w:rStyle w:val="Lienhypertexte"/>
          </w:rPr>
          <w:t>http://wheatatlas.org/country/varieties/EGY/0</w:t>
        </w:r>
      </w:hyperlink>
    </w:p>
    <w:p w14:paraId="7E87AA71" w14:textId="77777777" w:rsidR="002D037E" w:rsidRDefault="002D037E" w:rsidP="002D037E">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51"/>
        <w:gridCol w:w="5151"/>
      </w:tblGrid>
      <w:tr w:rsidR="002D037E" w14:paraId="1209B1B8" w14:textId="77777777" w:rsidTr="002D037E">
        <w:tc>
          <w:tcPr>
            <w:tcW w:w="5151" w:type="dxa"/>
          </w:tcPr>
          <w:p w14:paraId="72EB2A9B" w14:textId="77777777" w:rsidR="002D037E" w:rsidRDefault="002D037E" w:rsidP="00E24F30">
            <w:pPr>
              <w:jc w:val="center"/>
            </w:pPr>
            <w:r>
              <w:rPr>
                <w:noProof/>
              </w:rPr>
              <w:drawing>
                <wp:inline distT="0" distB="0" distL="0" distR="0" wp14:anchorId="157F57F9" wp14:editId="515EAA05">
                  <wp:extent cx="3085688" cy="2049145"/>
                  <wp:effectExtent l="0" t="0" r="635" b="8255"/>
                  <wp:docPr id="1489818235" name="Image 3" descr="Une image contenant plein air, ciel, herbe, récol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818235" name="Image 3" descr="Une image contenant plein air, ciel, herbe, récolte&#10;&#10;Description générée automatiquement"/>
                          <pic:cNvPicPr>
                            <a:picLocks noChangeAspect="1" noChangeArrowheads="1"/>
                          </pic:cNvPicPr>
                        </pic:nvPicPr>
                        <pic:blipFill>
                          <a:blip r:embed="rId1650" cstate="print">
                            <a:extLst>
                              <a:ext uri="{28A0092B-C50C-407E-A947-70E740481C1C}">
                                <a14:useLocalDpi xmlns:a14="http://schemas.microsoft.com/office/drawing/2010/main" val="0"/>
                              </a:ext>
                            </a:extLst>
                          </a:blip>
                          <a:srcRect/>
                          <a:stretch>
                            <a:fillRect/>
                          </a:stretch>
                        </pic:blipFill>
                        <pic:spPr bwMode="auto">
                          <a:xfrm>
                            <a:off x="0" y="0"/>
                            <a:ext cx="3094247" cy="2054829"/>
                          </a:xfrm>
                          <a:prstGeom prst="rect">
                            <a:avLst/>
                          </a:prstGeom>
                          <a:noFill/>
                          <a:ln>
                            <a:noFill/>
                          </a:ln>
                        </pic:spPr>
                      </pic:pic>
                    </a:graphicData>
                  </a:graphic>
                </wp:inline>
              </w:drawing>
            </w:r>
          </w:p>
          <w:p w14:paraId="35A2AE8E" w14:textId="77777777" w:rsidR="005B6C01" w:rsidRDefault="005B6C01" w:rsidP="00E24F30">
            <w:pPr>
              <w:jc w:val="center"/>
            </w:pPr>
          </w:p>
        </w:tc>
        <w:tc>
          <w:tcPr>
            <w:tcW w:w="5151" w:type="dxa"/>
          </w:tcPr>
          <w:p w14:paraId="3D0F6104" w14:textId="77777777" w:rsidR="002D037E" w:rsidRDefault="002D037E" w:rsidP="00E24F30">
            <w:pPr>
              <w:jc w:val="center"/>
            </w:pPr>
            <w:r>
              <w:rPr>
                <w:noProof/>
              </w:rPr>
              <w:drawing>
                <wp:inline distT="0" distB="0" distL="0" distR="0" wp14:anchorId="37AD755B" wp14:editId="147C0159">
                  <wp:extent cx="3086100" cy="2049420"/>
                  <wp:effectExtent l="0" t="0" r="0" b="8255"/>
                  <wp:docPr id="974101108" name="Image 4" descr="Une image contenant plein air, herbe, agriculture,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101108" name="Image 4" descr="Une image contenant plein air, herbe, agriculture, plante&#10;&#10;Description générée automatiquement"/>
                          <pic:cNvPicPr>
                            <a:picLocks noChangeAspect="1" noChangeArrowheads="1"/>
                          </pic:cNvPicPr>
                        </pic:nvPicPr>
                        <pic:blipFill>
                          <a:blip r:embed="rId1651" cstate="print">
                            <a:extLst>
                              <a:ext uri="{28A0092B-C50C-407E-A947-70E740481C1C}">
                                <a14:useLocalDpi xmlns:a14="http://schemas.microsoft.com/office/drawing/2010/main" val="0"/>
                              </a:ext>
                            </a:extLst>
                          </a:blip>
                          <a:srcRect/>
                          <a:stretch>
                            <a:fillRect/>
                          </a:stretch>
                        </pic:blipFill>
                        <pic:spPr bwMode="auto">
                          <a:xfrm>
                            <a:off x="0" y="0"/>
                            <a:ext cx="3096299" cy="2056193"/>
                          </a:xfrm>
                          <a:prstGeom prst="rect">
                            <a:avLst/>
                          </a:prstGeom>
                          <a:noFill/>
                          <a:ln>
                            <a:noFill/>
                          </a:ln>
                        </pic:spPr>
                      </pic:pic>
                    </a:graphicData>
                  </a:graphic>
                </wp:inline>
              </w:drawing>
            </w:r>
          </w:p>
        </w:tc>
      </w:tr>
      <w:tr w:rsidR="002D037E" w14:paraId="529338EB" w14:textId="77777777" w:rsidTr="002D037E">
        <w:tc>
          <w:tcPr>
            <w:tcW w:w="5151" w:type="dxa"/>
          </w:tcPr>
          <w:p w14:paraId="18F39C77" w14:textId="77777777" w:rsidR="002D037E" w:rsidRDefault="002D037E" w:rsidP="00E24F30">
            <w:pPr>
              <w:jc w:val="center"/>
            </w:pPr>
            <w:r>
              <w:rPr>
                <w:noProof/>
              </w:rPr>
              <w:drawing>
                <wp:inline distT="0" distB="0" distL="0" distR="0" wp14:anchorId="744C6C46" wp14:editId="32E2BB6E">
                  <wp:extent cx="3086100" cy="2057400"/>
                  <wp:effectExtent l="0" t="0" r="0" b="0"/>
                  <wp:docPr id="90065877" name="Image 5" descr="Une image contenant plein air, ciel, arbre,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65877" name="Image 5" descr="Une image contenant plein air, ciel, arbre, plante&#10;&#10;Description générée automatiquement"/>
                          <pic:cNvPicPr>
                            <a:picLocks noChangeAspect="1" noChangeArrowheads="1"/>
                          </pic:cNvPicPr>
                        </pic:nvPicPr>
                        <pic:blipFill>
                          <a:blip r:embed="rId1652">
                            <a:extLst>
                              <a:ext uri="{28A0092B-C50C-407E-A947-70E740481C1C}">
                                <a14:useLocalDpi xmlns:a14="http://schemas.microsoft.com/office/drawing/2010/main" val="0"/>
                              </a:ext>
                            </a:extLst>
                          </a:blip>
                          <a:srcRect/>
                          <a:stretch>
                            <a:fillRect/>
                          </a:stretch>
                        </pic:blipFill>
                        <pic:spPr bwMode="auto">
                          <a:xfrm>
                            <a:off x="0" y="0"/>
                            <a:ext cx="3086100" cy="2057400"/>
                          </a:xfrm>
                          <a:prstGeom prst="rect">
                            <a:avLst/>
                          </a:prstGeom>
                          <a:noFill/>
                          <a:ln>
                            <a:noFill/>
                          </a:ln>
                        </pic:spPr>
                      </pic:pic>
                    </a:graphicData>
                  </a:graphic>
                </wp:inline>
              </w:drawing>
            </w:r>
          </w:p>
        </w:tc>
        <w:tc>
          <w:tcPr>
            <w:tcW w:w="5151" w:type="dxa"/>
          </w:tcPr>
          <w:p w14:paraId="54C632AF" w14:textId="77777777" w:rsidR="002D037E" w:rsidRDefault="002D037E" w:rsidP="00E24F30">
            <w:pPr>
              <w:jc w:val="center"/>
            </w:pPr>
            <w:r>
              <w:rPr>
                <w:noProof/>
              </w:rPr>
              <w:drawing>
                <wp:inline distT="0" distB="0" distL="0" distR="0" wp14:anchorId="3F3D4A7F" wp14:editId="2D5FB451">
                  <wp:extent cx="3086100" cy="2057400"/>
                  <wp:effectExtent l="0" t="0" r="0" b="0"/>
                  <wp:docPr id="798054656" name="Image 6" descr="Une image contenant plein air, herbe, plante, terra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054656" name="Image 6" descr="Une image contenant plein air, herbe, plante, terrain&#10;&#10;Description générée automatiquement"/>
                          <pic:cNvPicPr>
                            <a:picLocks noChangeAspect="1" noChangeArrowheads="1"/>
                          </pic:cNvPicPr>
                        </pic:nvPicPr>
                        <pic:blipFill>
                          <a:blip r:embed="rId1653">
                            <a:extLst>
                              <a:ext uri="{28A0092B-C50C-407E-A947-70E740481C1C}">
                                <a14:useLocalDpi xmlns:a14="http://schemas.microsoft.com/office/drawing/2010/main" val="0"/>
                              </a:ext>
                            </a:extLst>
                          </a:blip>
                          <a:srcRect/>
                          <a:stretch>
                            <a:fillRect/>
                          </a:stretch>
                        </pic:blipFill>
                        <pic:spPr bwMode="auto">
                          <a:xfrm>
                            <a:off x="0" y="0"/>
                            <a:ext cx="3086100" cy="2057400"/>
                          </a:xfrm>
                          <a:prstGeom prst="rect">
                            <a:avLst/>
                          </a:prstGeom>
                          <a:noFill/>
                          <a:ln>
                            <a:noFill/>
                          </a:ln>
                        </pic:spPr>
                      </pic:pic>
                    </a:graphicData>
                  </a:graphic>
                </wp:inline>
              </w:drawing>
            </w:r>
          </w:p>
        </w:tc>
      </w:tr>
      <w:tr w:rsidR="002D037E" w14:paraId="4B837294" w14:textId="77777777" w:rsidTr="002D037E">
        <w:tc>
          <w:tcPr>
            <w:tcW w:w="5151" w:type="dxa"/>
          </w:tcPr>
          <w:p w14:paraId="74FB64F0" w14:textId="77777777" w:rsidR="002D037E" w:rsidRDefault="002D037E" w:rsidP="00E24F30">
            <w:pPr>
              <w:jc w:val="center"/>
            </w:pPr>
            <w:r>
              <w:rPr>
                <w:noProof/>
              </w:rPr>
              <w:lastRenderedPageBreak/>
              <w:drawing>
                <wp:inline distT="0" distB="0" distL="0" distR="0" wp14:anchorId="4B955A85" wp14:editId="3BBE8B04">
                  <wp:extent cx="3048411" cy="1885950"/>
                  <wp:effectExtent l="0" t="0" r="0" b="0"/>
                  <wp:docPr id="396693835" name="Image 7" descr="Une image contenant texte, capture d’écran, Police, carte de visi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693835" name="Image 7" descr="Une image contenant texte, capture d’écran, Police, carte de visite&#10;&#10;Description générée automatiquement"/>
                          <pic:cNvPicPr>
                            <a:picLocks noChangeAspect="1" noChangeArrowheads="1"/>
                          </pic:cNvPicPr>
                        </pic:nvPicPr>
                        <pic:blipFill>
                          <a:blip r:embed="rId1654">
                            <a:extLst>
                              <a:ext uri="{28A0092B-C50C-407E-A947-70E740481C1C}">
                                <a14:useLocalDpi xmlns:a14="http://schemas.microsoft.com/office/drawing/2010/main" val="0"/>
                              </a:ext>
                            </a:extLst>
                          </a:blip>
                          <a:srcRect/>
                          <a:stretch>
                            <a:fillRect/>
                          </a:stretch>
                        </pic:blipFill>
                        <pic:spPr bwMode="auto">
                          <a:xfrm>
                            <a:off x="0" y="0"/>
                            <a:ext cx="3051340" cy="1887762"/>
                          </a:xfrm>
                          <a:prstGeom prst="rect">
                            <a:avLst/>
                          </a:prstGeom>
                          <a:noFill/>
                          <a:ln>
                            <a:noFill/>
                          </a:ln>
                        </pic:spPr>
                      </pic:pic>
                    </a:graphicData>
                  </a:graphic>
                </wp:inline>
              </w:drawing>
            </w:r>
          </w:p>
        </w:tc>
        <w:tc>
          <w:tcPr>
            <w:tcW w:w="5151" w:type="dxa"/>
          </w:tcPr>
          <w:p w14:paraId="6B5C35A9" w14:textId="77777777" w:rsidR="002D037E" w:rsidRDefault="002D037E" w:rsidP="00E24F30">
            <w:pPr>
              <w:jc w:val="center"/>
            </w:pPr>
            <w:r>
              <w:rPr>
                <w:noProof/>
              </w:rPr>
              <w:drawing>
                <wp:inline distT="0" distB="0" distL="0" distR="0" wp14:anchorId="17E7E51C" wp14:editId="364D0FAE">
                  <wp:extent cx="3048923" cy="1895475"/>
                  <wp:effectExtent l="0" t="0" r="0" b="0"/>
                  <wp:docPr id="643326834" name="Image 8" descr="Une image contenant texte, capture d’écran, carte de visite,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326834" name="Image 8" descr="Une image contenant texte, capture d’écran, carte de visite, conception&#10;&#10;Description générée automatiquement"/>
                          <pic:cNvPicPr>
                            <a:picLocks noChangeAspect="1" noChangeArrowheads="1"/>
                          </pic:cNvPicPr>
                        </pic:nvPicPr>
                        <pic:blipFill>
                          <a:blip r:embed="rId1655">
                            <a:extLst>
                              <a:ext uri="{28A0092B-C50C-407E-A947-70E740481C1C}">
                                <a14:useLocalDpi xmlns:a14="http://schemas.microsoft.com/office/drawing/2010/main" val="0"/>
                              </a:ext>
                            </a:extLst>
                          </a:blip>
                          <a:srcRect/>
                          <a:stretch>
                            <a:fillRect/>
                          </a:stretch>
                        </pic:blipFill>
                        <pic:spPr bwMode="auto">
                          <a:xfrm>
                            <a:off x="0" y="0"/>
                            <a:ext cx="3054184" cy="1898746"/>
                          </a:xfrm>
                          <a:prstGeom prst="rect">
                            <a:avLst/>
                          </a:prstGeom>
                          <a:noFill/>
                          <a:ln>
                            <a:noFill/>
                          </a:ln>
                        </pic:spPr>
                      </pic:pic>
                    </a:graphicData>
                  </a:graphic>
                </wp:inline>
              </w:drawing>
            </w:r>
          </w:p>
        </w:tc>
      </w:tr>
    </w:tbl>
    <w:p w14:paraId="0CCF7E0C" w14:textId="77777777" w:rsidR="002D037E" w:rsidRDefault="002D037E" w:rsidP="002D037E">
      <w:pPr>
        <w:spacing w:after="0" w:line="240" w:lineRule="auto"/>
        <w:jc w:val="center"/>
      </w:pPr>
    </w:p>
    <w:p w14:paraId="0F234384" w14:textId="77777777" w:rsidR="002D037E" w:rsidRDefault="002D037E" w:rsidP="002D037E">
      <w:pPr>
        <w:spacing w:after="0" w:line="240" w:lineRule="auto"/>
        <w:jc w:val="center"/>
      </w:pPr>
      <w:r>
        <w:rPr>
          <w:noProof/>
        </w:rPr>
        <w:drawing>
          <wp:inline distT="0" distB="0" distL="0" distR="0" wp14:anchorId="455F5C01" wp14:editId="76596B60">
            <wp:extent cx="5172075" cy="2291212"/>
            <wp:effectExtent l="0" t="0" r="0" b="0"/>
            <wp:docPr id="228721138" name="Image 1" descr="Une image contenant plein air, machine agricole, herbe, agricultu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721138" name="Image 1" descr="Une image contenant plein air, machine agricole, herbe, agriculture&#10;&#10;Description générée automatiquement"/>
                    <pic:cNvPicPr>
                      <a:picLocks noChangeAspect="1" noChangeArrowheads="1"/>
                    </pic:cNvPicPr>
                  </pic:nvPicPr>
                  <pic:blipFill>
                    <a:blip r:embed="rId1656">
                      <a:extLst>
                        <a:ext uri="{28A0092B-C50C-407E-A947-70E740481C1C}">
                          <a14:useLocalDpi xmlns:a14="http://schemas.microsoft.com/office/drawing/2010/main" val="0"/>
                        </a:ext>
                      </a:extLst>
                    </a:blip>
                    <a:srcRect/>
                    <a:stretch>
                      <a:fillRect/>
                    </a:stretch>
                  </pic:blipFill>
                  <pic:spPr bwMode="auto">
                    <a:xfrm>
                      <a:off x="0" y="0"/>
                      <a:ext cx="5175488" cy="2292724"/>
                    </a:xfrm>
                    <a:prstGeom prst="rect">
                      <a:avLst/>
                    </a:prstGeom>
                    <a:noFill/>
                    <a:ln>
                      <a:noFill/>
                    </a:ln>
                  </pic:spPr>
                </pic:pic>
              </a:graphicData>
            </a:graphic>
          </wp:inline>
        </w:drawing>
      </w:r>
    </w:p>
    <w:p w14:paraId="56E1D86C" w14:textId="77777777" w:rsidR="002D037E" w:rsidRDefault="002D037E" w:rsidP="002D037E">
      <w:pPr>
        <w:spacing w:after="0" w:line="240" w:lineRule="auto"/>
        <w:jc w:val="center"/>
      </w:pPr>
      <w:r w:rsidRPr="0084472F">
        <w:t>Un employé de l'Institut sénégalais de recherche agronomique mois</w:t>
      </w:r>
      <w:r>
        <w:t>s</w:t>
      </w:r>
      <w:r w:rsidRPr="0084472F">
        <w:t xml:space="preserve">onne une parcelle de blé à Sangalkam, près de Dakar, le 7 avril 2023 au Sénégal. AFP </w:t>
      </w:r>
      <w:r>
        <w:t>–</w:t>
      </w:r>
      <w:r w:rsidRPr="0084472F">
        <w:t xml:space="preserve"> SEYLLOU</w:t>
      </w:r>
      <w:r>
        <w:t>.</w:t>
      </w:r>
    </w:p>
    <w:p w14:paraId="74A9BE9E" w14:textId="77777777" w:rsidR="002D037E" w:rsidRDefault="002D037E" w:rsidP="002D037E">
      <w:pPr>
        <w:spacing w:after="0" w:line="240" w:lineRule="auto"/>
        <w:jc w:val="center"/>
      </w:pPr>
    </w:p>
    <w:p w14:paraId="31388D4A" w14:textId="77777777" w:rsidR="002D037E" w:rsidRDefault="002D037E" w:rsidP="002D037E">
      <w:pPr>
        <w:spacing w:after="0" w:line="240" w:lineRule="auto"/>
        <w:jc w:val="center"/>
      </w:pPr>
      <w:r>
        <w:rPr>
          <w:noProof/>
        </w:rPr>
        <w:drawing>
          <wp:inline distT="0" distB="0" distL="0" distR="0" wp14:anchorId="5F7939FC" wp14:editId="48B258FB">
            <wp:extent cx="6548120" cy="1785620"/>
            <wp:effectExtent l="0" t="0" r="5080" b="5080"/>
            <wp:docPr id="406923098" name="Image 2" descr="Une image contenant intérieur, balai&#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923098" name="Image 2" descr="Une image contenant intérieur, balai&#10;&#10;Description générée automatiquement"/>
                    <pic:cNvPicPr>
                      <a:picLocks noChangeAspect="1" noChangeArrowheads="1"/>
                    </pic:cNvPicPr>
                  </pic:nvPicPr>
                  <pic:blipFill>
                    <a:blip r:embed="rId1657">
                      <a:extLst>
                        <a:ext uri="{28A0092B-C50C-407E-A947-70E740481C1C}">
                          <a14:useLocalDpi xmlns:a14="http://schemas.microsoft.com/office/drawing/2010/main" val="0"/>
                        </a:ext>
                      </a:extLst>
                    </a:blip>
                    <a:srcRect/>
                    <a:stretch>
                      <a:fillRect/>
                    </a:stretch>
                  </pic:blipFill>
                  <pic:spPr bwMode="auto">
                    <a:xfrm>
                      <a:off x="0" y="0"/>
                      <a:ext cx="6548120" cy="1785620"/>
                    </a:xfrm>
                    <a:prstGeom prst="rect">
                      <a:avLst/>
                    </a:prstGeom>
                    <a:noFill/>
                    <a:ln>
                      <a:noFill/>
                    </a:ln>
                  </pic:spPr>
                </pic:pic>
              </a:graphicData>
            </a:graphic>
          </wp:inline>
        </w:drawing>
      </w:r>
    </w:p>
    <w:p w14:paraId="6191127E" w14:textId="77777777" w:rsidR="002D037E" w:rsidRPr="00F15659" w:rsidRDefault="002D037E" w:rsidP="002D037E">
      <w:pPr>
        <w:spacing w:after="0" w:line="240" w:lineRule="auto"/>
        <w:jc w:val="center"/>
      </w:pPr>
      <w:r>
        <w:t>Les différentes variétés de blé cultivées.</w:t>
      </w:r>
    </w:p>
    <w:p w14:paraId="479E4FBA" w14:textId="77777777" w:rsidR="002D037E" w:rsidRDefault="002D037E" w:rsidP="005517C0">
      <w:pPr>
        <w:spacing w:after="0" w:line="240" w:lineRule="auto"/>
      </w:pPr>
    </w:p>
    <w:p w14:paraId="44548148" w14:textId="77777777" w:rsidR="005517C0" w:rsidRDefault="005517C0" w:rsidP="005517C0">
      <w:pPr>
        <w:pStyle w:val="Titre2"/>
      </w:pPr>
      <w:bookmarkStart w:id="164" w:name="_Toc139181455"/>
      <w:r>
        <w:t>Pomme de terre, cultivar pour eau salée</w:t>
      </w:r>
      <w:bookmarkEnd w:id="164"/>
    </w:p>
    <w:p w14:paraId="78F07767" w14:textId="77777777" w:rsidR="005517C0" w:rsidRDefault="005517C0" w:rsidP="005517C0">
      <w:pPr>
        <w:spacing w:after="0" w:line="240" w:lineRule="auto"/>
      </w:pPr>
    </w:p>
    <w:p w14:paraId="3C2198DD" w14:textId="77777777" w:rsidR="005517C0" w:rsidRDefault="005517C0" w:rsidP="005517C0">
      <w:pPr>
        <w:spacing w:after="0" w:line="240" w:lineRule="auto"/>
        <w:jc w:val="both"/>
      </w:pPr>
      <w:r>
        <w:t xml:space="preserve">Nous n’en faisons que mention. Les pommes de terre poussant dans l’eau salée sont pour l’instant expérimentées, depuis 2006, à la ferme </w:t>
      </w:r>
      <w:r w:rsidRPr="00C724FE">
        <w:t>Salty Potato Farm</w:t>
      </w:r>
      <w:r>
        <w:t xml:space="preserve">, par </w:t>
      </w:r>
      <w:r w:rsidRPr="00C724FE">
        <w:t>Mark van Rijsselberghe</w:t>
      </w:r>
      <w:r>
        <w:t>, s</w:t>
      </w:r>
      <w:r w:rsidRPr="00C724FE">
        <w:t>ur la petite île de Texel</w:t>
      </w:r>
      <w:r>
        <w:t>, régulièrement inondée par la mer</w:t>
      </w:r>
      <w:r w:rsidRPr="00C724FE">
        <w:t>, au nord des Pays-Bas.</w:t>
      </w:r>
      <w:r>
        <w:t xml:space="preserve"> Le principal problème rencontré est que, p</w:t>
      </w:r>
      <w:r w:rsidRPr="00C724FE">
        <w:t xml:space="preserve">our l'instant, </w:t>
      </w:r>
      <w:r w:rsidRPr="00C724FE">
        <w:rPr>
          <w:i/>
          <w:iCs/>
        </w:rPr>
        <w:t>la culture en milieu salin demeure coûteuse : un kilo de pommes de terre cultivées au sel est cinq fois plus cher qu’un kilo classique. Autre problème, le rendement. 30 000 kilos sont produits sur un hectare en milieu salin contre 60 000 sur des terres habituelles</w:t>
      </w:r>
      <w:r w:rsidRPr="00C724FE">
        <w:t>.</w:t>
      </w:r>
      <w:r>
        <w:t xml:space="preserve"> </w:t>
      </w:r>
      <w:r w:rsidRPr="002A4448">
        <w:t>Malgré tout, l</w:t>
      </w:r>
      <w:r>
        <w:t>es</w:t>
      </w:r>
      <w:r w:rsidRPr="002A4448">
        <w:t xml:space="preserve"> variété</w:t>
      </w:r>
      <w:r>
        <w:t>s</w:t>
      </w:r>
      <w:r w:rsidRPr="002A4448">
        <w:t xml:space="preserve"> « </w:t>
      </w:r>
      <w:r w:rsidRPr="002A4448">
        <w:rPr>
          <w:i/>
          <w:iCs/>
        </w:rPr>
        <w:t>paramount</w:t>
      </w:r>
      <w:r w:rsidRPr="002A4448">
        <w:t xml:space="preserve"> »</w:t>
      </w:r>
      <w:r>
        <w:t xml:space="preserve"> et « </w:t>
      </w:r>
      <w:r w:rsidRPr="00972314">
        <w:rPr>
          <w:i/>
          <w:iCs/>
        </w:rPr>
        <w:t>Miss Mignonne</w:t>
      </w:r>
      <w:r>
        <w:t> »</w:t>
      </w:r>
      <w:r w:rsidRPr="002A4448">
        <w:t>, à haut rendement, serai</w:t>
      </w:r>
      <w:r>
        <w:t>en</w:t>
      </w:r>
      <w:r w:rsidRPr="002A4448">
        <w:t>t prometteuse</w:t>
      </w:r>
      <w:r>
        <w:t>s</w:t>
      </w:r>
      <w:r w:rsidRPr="002A4448">
        <w:t>.</w:t>
      </w:r>
    </w:p>
    <w:p w14:paraId="6FF2263B" w14:textId="77777777" w:rsidR="005517C0" w:rsidRDefault="005517C0" w:rsidP="005517C0">
      <w:pPr>
        <w:spacing w:after="0" w:line="240" w:lineRule="auto"/>
        <w:jc w:val="both"/>
      </w:pPr>
      <w:r w:rsidRPr="00505153">
        <w:lastRenderedPageBreak/>
        <w:t>En 2017, la combinaison de variétés tolérantes au sel, de pratiques agricoles adaptées et d'une utilisation conjointe de l'eau a</w:t>
      </w:r>
      <w:r>
        <w:t>urait</w:t>
      </w:r>
      <w:r w:rsidRPr="00505153">
        <w:t xml:space="preserve"> permis d'obtenir un rendement attendu acceptable de 20 tonnes de pommes de terre par hectare.</w:t>
      </w:r>
    </w:p>
    <w:p w14:paraId="37B19E5E" w14:textId="77777777" w:rsidR="005517C0" w:rsidRDefault="005517C0" w:rsidP="005517C0">
      <w:pPr>
        <w:spacing w:after="0" w:line="240" w:lineRule="auto"/>
      </w:pPr>
      <w:r>
        <w:t>Sources : a</w:t>
      </w:r>
      <w:r w:rsidRPr="00521178">
        <w:rPr>
          <w:i/>
          <w:iCs/>
        </w:rPr>
        <w:t>) La pomme de terre innove pour stopper la faim dans le monde !</w:t>
      </w:r>
      <w:r>
        <w:t xml:space="preserve"> 15/03/2016, </w:t>
      </w:r>
      <w:hyperlink r:id="rId1658" w:history="1">
        <w:r w:rsidRPr="006437AE">
          <w:rPr>
            <w:rStyle w:val="Lienhypertexte"/>
          </w:rPr>
          <w:t>http://mccain.begooddogood.fr/la-pommes-de-terre-arme-secrete-pour-eradiquer-la-faim-dans-le-monde/</w:t>
        </w:r>
      </w:hyperlink>
      <w:r>
        <w:t xml:space="preserve"> </w:t>
      </w:r>
    </w:p>
    <w:p w14:paraId="34155C95" w14:textId="77777777" w:rsidR="005517C0" w:rsidRDefault="005517C0" w:rsidP="005517C0">
      <w:pPr>
        <w:spacing w:after="0" w:line="240" w:lineRule="auto"/>
      </w:pPr>
      <w:r>
        <w:t>La salinisation des sols menace l’équilibre alimentaire de la planète. La solution vient des Pays-Bas : cultiver des pommes de terre dans de l’eau salée.</w:t>
      </w:r>
    </w:p>
    <w:p w14:paraId="328D9134" w14:textId="77777777" w:rsidR="005517C0" w:rsidRDefault="005517C0" w:rsidP="005517C0">
      <w:pPr>
        <w:spacing w:after="0" w:line="240" w:lineRule="auto"/>
        <w:rPr>
          <w:lang w:val="en-GB"/>
        </w:rPr>
      </w:pPr>
      <w:r w:rsidRPr="00F70E12">
        <w:rPr>
          <w:lang w:val="en-GB"/>
        </w:rPr>
        <w:t xml:space="preserve">b) </w:t>
      </w:r>
      <w:r w:rsidRPr="00F70E12">
        <w:rPr>
          <w:i/>
          <w:iCs/>
          <w:lang w:val="en-GB"/>
        </w:rPr>
        <w:t>Growing salt-tolerant potatoes in Pakistan</w:t>
      </w:r>
      <w:r w:rsidRPr="00F70E12">
        <w:rPr>
          <w:lang w:val="en-GB"/>
        </w:rPr>
        <w:t xml:space="preserve">, </w:t>
      </w:r>
      <w:hyperlink r:id="rId1659" w:history="1">
        <w:r w:rsidRPr="006437AE">
          <w:rPr>
            <w:rStyle w:val="Lienhypertexte"/>
            <w:lang w:val="en-GB"/>
          </w:rPr>
          <w:t>https://www.potatopro.com/news/2017/growing-salt-tolerant-potatoes-pakistan</w:t>
        </w:r>
      </w:hyperlink>
      <w:r>
        <w:rPr>
          <w:lang w:val="en-GB"/>
        </w:rPr>
        <w:t xml:space="preserve">, c) </w:t>
      </w:r>
      <w:r w:rsidRPr="006248F8">
        <w:rPr>
          <w:i/>
          <w:iCs/>
          <w:lang w:val="en-GB"/>
        </w:rPr>
        <w:t>Texel Salty Farm web site</w:t>
      </w:r>
      <w:r>
        <w:rPr>
          <w:lang w:val="en-GB"/>
        </w:rPr>
        <w:t xml:space="preserve"> , </w:t>
      </w:r>
      <w:hyperlink r:id="rId1660" w:history="1">
        <w:r w:rsidRPr="006437AE">
          <w:rPr>
            <w:rStyle w:val="Lienhypertexte"/>
            <w:lang w:val="en-GB"/>
          </w:rPr>
          <w:t>https://www.saltfarmtexel.com/</w:t>
        </w:r>
      </w:hyperlink>
      <w:r>
        <w:rPr>
          <w:lang w:val="en-GB"/>
        </w:rPr>
        <w:t xml:space="preserve">  </w:t>
      </w:r>
    </w:p>
    <w:p w14:paraId="7C083FE5" w14:textId="77777777" w:rsidR="005517C0" w:rsidRPr="00F70E12" w:rsidRDefault="005517C0" w:rsidP="005517C0">
      <w:pPr>
        <w:spacing w:after="0" w:line="240" w:lineRule="auto"/>
        <w:rPr>
          <w:lang w:val="en-GB"/>
        </w:rPr>
      </w:pPr>
      <w:r>
        <w:rPr>
          <w:lang w:val="en-GB"/>
        </w:rPr>
        <w:t xml:space="preserve">d) </w:t>
      </w:r>
      <w:r w:rsidRPr="00972314">
        <w:rPr>
          <w:i/>
          <w:iCs/>
          <w:lang w:val="en-GB"/>
        </w:rPr>
        <w:t>Dutch Farmer Invents Salt Resistant Potato Miss Mignonne</w:t>
      </w:r>
      <w:r w:rsidRPr="00972314">
        <w:rPr>
          <w:lang w:val="en-GB"/>
        </w:rPr>
        <w:t xml:space="preserve">, 03/12/2014, </w:t>
      </w:r>
      <w:hyperlink r:id="rId1661" w:history="1">
        <w:r w:rsidRPr="006437AE">
          <w:rPr>
            <w:rStyle w:val="Lienhypertexte"/>
            <w:lang w:val="en-GB"/>
          </w:rPr>
          <w:t>http://vanhijfte.com/dutch-team-is-pioneering-development-of-crops-fed-by-sea-water/</w:t>
        </w:r>
      </w:hyperlink>
      <w:r>
        <w:rPr>
          <w:lang w:val="en-GB"/>
        </w:rPr>
        <w:t xml:space="preserve"> </w:t>
      </w:r>
    </w:p>
    <w:p w14:paraId="63882362" w14:textId="77777777" w:rsidR="005517C0" w:rsidRPr="00F70E12" w:rsidRDefault="005517C0" w:rsidP="005517C0">
      <w:pPr>
        <w:spacing w:after="0" w:line="240" w:lineRule="auto"/>
        <w:rPr>
          <w:lang w:val="en-G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5517C0" w14:paraId="74742286" w14:textId="77777777" w:rsidTr="007E58C4">
        <w:tc>
          <w:tcPr>
            <w:tcW w:w="5208" w:type="dxa"/>
          </w:tcPr>
          <w:p w14:paraId="78C255B8" w14:textId="77777777" w:rsidR="005517C0" w:rsidRDefault="005517C0" w:rsidP="007E58C4">
            <w:pPr>
              <w:jc w:val="center"/>
            </w:pPr>
            <w:r>
              <w:rPr>
                <w:noProof/>
              </w:rPr>
              <w:drawing>
                <wp:inline distT="0" distB="0" distL="0" distR="0" wp14:anchorId="57ABFF64" wp14:editId="3D4F2A01">
                  <wp:extent cx="1995805" cy="1332683"/>
                  <wp:effectExtent l="0" t="0" r="4445" b="1270"/>
                  <wp:docPr id="93185" name="Image 93185" descr="Une image contenant personne, extérieur, ho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85" name="Image 93185" descr="Une image contenant personne, extérieur, homme&#10;&#10;Description générée automatiquement"/>
                          <pic:cNvPicPr>
                            <a:picLocks noChangeAspect="1" noChangeArrowheads="1"/>
                          </pic:cNvPicPr>
                        </pic:nvPicPr>
                        <pic:blipFill>
                          <a:blip r:embed="rId1662">
                            <a:extLst>
                              <a:ext uri="{28A0092B-C50C-407E-A947-70E740481C1C}">
                                <a14:useLocalDpi xmlns:a14="http://schemas.microsoft.com/office/drawing/2010/main" val="0"/>
                              </a:ext>
                            </a:extLst>
                          </a:blip>
                          <a:srcRect/>
                          <a:stretch>
                            <a:fillRect/>
                          </a:stretch>
                        </pic:blipFill>
                        <pic:spPr bwMode="auto">
                          <a:xfrm>
                            <a:off x="0" y="0"/>
                            <a:ext cx="1998361" cy="1334390"/>
                          </a:xfrm>
                          <a:prstGeom prst="rect">
                            <a:avLst/>
                          </a:prstGeom>
                          <a:noFill/>
                          <a:ln>
                            <a:noFill/>
                          </a:ln>
                        </pic:spPr>
                      </pic:pic>
                    </a:graphicData>
                  </a:graphic>
                </wp:inline>
              </w:drawing>
            </w:r>
          </w:p>
          <w:p w14:paraId="525F5BFE" w14:textId="77777777" w:rsidR="005517C0" w:rsidRPr="006248F8" w:rsidRDefault="005517C0" w:rsidP="007E58C4">
            <w:pPr>
              <w:jc w:val="center"/>
            </w:pPr>
            <w:r w:rsidRPr="006248F8">
              <w:t xml:space="preserve">Mark van Rijsselberghe </w:t>
            </w:r>
            <w:r>
              <w:t>avec</w:t>
            </w:r>
            <w:r w:rsidRPr="006248F8">
              <w:t xml:space="preserve"> sa</w:t>
            </w:r>
            <w:r>
              <w:t xml:space="preserve"> variété expérimentale de</w:t>
            </w:r>
            <w:r w:rsidRPr="006248F8">
              <w:t xml:space="preserve"> </w:t>
            </w:r>
            <w:r>
              <w:t xml:space="preserve">pomme de terre, </w:t>
            </w:r>
            <w:r w:rsidRPr="00972314">
              <w:rPr>
                <w:i/>
                <w:iCs/>
              </w:rPr>
              <w:t>Miss Mignonne</w:t>
            </w:r>
            <w:r>
              <w:rPr>
                <w:i/>
                <w:iCs/>
              </w:rPr>
              <w:t xml:space="preserve">, </w:t>
            </w:r>
            <w:r>
              <w:t>tolérante au sel.</w:t>
            </w:r>
          </w:p>
        </w:tc>
        <w:tc>
          <w:tcPr>
            <w:tcW w:w="5208" w:type="dxa"/>
          </w:tcPr>
          <w:p w14:paraId="2F590BB2" w14:textId="77777777" w:rsidR="005517C0" w:rsidRDefault="005517C0" w:rsidP="007E58C4">
            <w:pPr>
              <w:jc w:val="center"/>
            </w:pPr>
            <w:r>
              <w:rPr>
                <w:noProof/>
              </w:rPr>
              <w:drawing>
                <wp:inline distT="0" distB="0" distL="0" distR="0" wp14:anchorId="2AC33B74" wp14:editId="3A6F7944">
                  <wp:extent cx="2569845" cy="1443467"/>
                  <wp:effectExtent l="0" t="0" r="1905" b="4445"/>
                  <wp:docPr id="93186" name="Image 93186" descr="Une image contenant ciel, extérieur, terrain, salet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86" name="Image 93186" descr="Une image contenant ciel, extérieur, terrain, saleté&#10;&#10;Description générée automatiquement"/>
                          <pic:cNvPicPr>
                            <a:picLocks noChangeAspect="1" noChangeArrowheads="1"/>
                          </pic:cNvPicPr>
                        </pic:nvPicPr>
                        <pic:blipFill>
                          <a:blip r:embed="rId1663">
                            <a:extLst>
                              <a:ext uri="{28A0092B-C50C-407E-A947-70E740481C1C}">
                                <a14:useLocalDpi xmlns:a14="http://schemas.microsoft.com/office/drawing/2010/main" val="0"/>
                              </a:ext>
                            </a:extLst>
                          </a:blip>
                          <a:srcRect/>
                          <a:stretch>
                            <a:fillRect/>
                          </a:stretch>
                        </pic:blipFill>
                        <pic:spPr bwMode="auto">
                          <a:xfrm>
                            <a:off x="0" y="0"/>
                            <a:ext cx="2579508" cy="1448894"/>
                          </a:xfrm>
                          <a:prstGeom prst="rect">
                            <a:avLst/>
                          </a:prstGeom>
                          <a:noFill/>
                          <a:ln>
                            <a:noFill/>
                          </a:ln>
                        </pic:spPr>
                      </pic:pic>
                    </a:graphicData>
                  </a:graphic>
                </wp:inline>
              </w:drawing>
            </w:r>
          </w:p>
          <w:p w14:paraId="06227F23" w14:textId="77777777" w:rsidR="005517C0" w:rsidRDefault="005517C0" w:rsidP="007E58C4">
            <w:pPr>
              <w:jc w:val="center"/>
            </w:pPr>
            <w:r>
              <w:t xml:space="preserve">Pommes de terre de la </w:t>
            </w:r>
            <w:r w:rsidRPr="00C724FE">
              <w:rPr>
                <w:i/>
                <w:iCs/>
              </w:rPr>
              <w:t>Salty Potato Farm</w:t>
            </w:r>
            <w:r>
              <w:t>, expérimentées au Pakistan.</w:t>
            </w:r>
          </w:p>
        </w:tc>
      </w:tr>
    </w:tbl>
    <w:p w14:paraId="6A22FDE2" w14:textId="77777777" w:rsidR="005517C0" w:rsidRDefault="005517C0" w:rsidP="005517C0">
      <w:pPr>
        <w:spacing w:after="0" w:line="240" w:lineRule="auto"/>
        <w:jc w:val="center"/>
      </w:pPr>
      <w:r>
        <w:rPr>
          <w:noProof/>
        </w:rPr>
        <w:drawing>
          <wp:inline distT="0" distB="0" distL="0" distR="0" wp14:anchorId="2CFBEE87" wp14:editId="57FA8CFB">
            <wp:extent cx="2781300" cy="1819275"/>
            <wp:effectExtent l="0" t="0" r="0" b="9525"/>
            <wp:docPr id="93187" name="Image 93187" descr="Une image contenant herbe, ciel, extérieur, person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87" name="Image 93187" descr="Une image contenant herbe, ciel, extérieur, personne&#10;&#10;Description générée automatiquement"/>
                    <pic:cNvPicPr>
                      <a:picLocks noChangeAspect="1" noChangeArrowheads="1"/>
                    </pic:cNvPicPr>
                  </pic:nvPicPr>
                  <pic:blipFill>
                    <a:blip r:embed="rId1664">
                      <a:extLst>
                        <a:ext uri="{28A0092B-C50C-407E-A947-70E740481C1C}">
                          <a14:useLocalDpi xmlns:a14="http://schemas.microsoft.com/office/drawing/2010/main" val="0"/>
                        </a:ext>
                      </a:extLst>
                    </a:blip>
                    <a:srcRect/>
                    <a:stretch>
                      <a:fillRect/>
                    </a:stretch>
                  </pic:blipFill>
                  <pic:spPr bwMode="auto">
                    <a:xfrm>
                      <a:off x="0" y="0"/>
                      <a:ext cx="2781300" cy="1819275"/>
                    </a:xfrm>
                    <a:prstGeom prst="rect">
                      <a:avLst/>
                    </a:prstGeom>
                    <a:noFill/>
                    <a:ln>
                      <a:noFill/>
                    </a:ln>
                  </pic:spPr>
                </pic:pic>
              </a:graphicData>
            </a:graphic>
          </wp:inline>
        </w:drawing>
      </w:r>
    </w:p>
    <w:p w14:paraId="5B72B1A6" w14:textId="2F11239E" w:rsidR="005517C0" w:rsidRDefault="005517C0" w:rsidP="003E081E">
      <w:pPr>
        <w:spacing w:after="0" w:line="240" w:lineRule="auto"/>
        <w:jc w:val="center"/>
      </w:pPr>
      <w:r w:rsidRPr="00972314">
        <w:t>Des spécialistes de la pomme de terre de la Salt Farm Texel (Pays-Bas) testent des pommes de terre prometteuses, tolérantes au sel, au Pakistan, depuis 2014.</w:t>
      </w:r>
    </w:p>
    <w:p w14:paraId="5E86F4CC" w14:textId="77777777" w:rsidR="002E3E92" w:rsidRDefault="002E3E92" w:rsidP="003E081E">
      <w:pPr>
        <w:spacing w:after="0" w:line="240" w:lineRule="auto"/>
      </w:pPr>
    </w:p>
    <w:p w14:paraId="396BD1D8" w14:textId="77777777" w:rsidR="002E3E92" w:rsidRDefault="002E3E92" w:rsidP="002E3E92">
      <w:pPr>
        <w:pStyle w:val="Titre2"/>
      </w:pPr>
      <w:bookmarkStart w:id="165" w:name="_Toc139181456"/>
      <w:r>
        <w:t>M</w:t>
      </w:r>
      <w:r w:rsidRPr="00B000E9">
        <w:t>outarde d’Abyssinie</w:t>
      </w:r>
      <w:r w:rsidRPr="00B000E9">
        <w:rPr>
          <w:b/>
          <w:bCs/>
        </w:rPr>
        <w:t xml:space="preserve"> </w:t>
      </w:r>
      <w:r w:rsidRPr="00B000E9">
        <w:t>(</w:t>
      </w:r>
      <w:r w:rsidRPr="00B000E9">
        <w:rPr>
          <w:i/>
          <w:iCs/>
        </w:rPr>
        <w:t>Brassica carinata</w:t>
      </w:r>
      <w:r w:rsidRPr="00B000E9">
        <w:t>)</w:t>
      </w:r>
      <w:bookmarkEnd w:id="165"/>
    </w:p>
    <w:p w14:paraId="785E181E" w14:textId="77777777" w:rsidR="002E3E92" w:rsidRDefault="002E3E92" w:rsidP="002E3E92">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2"/>
        <w:gridCol w:w="2193"/>
        <w:gridCol w:w="1090"/>
        <w:gridCol w:w="966"/>
        <w:gridCol w:w="1365"/>
      </w:tblGrid>
      <w:tr w:rsidR="002E3E92" w:rsidRPr="000B6BE3" w14:paraId="317969F8" w14:textId="77777777" w:rsidTr="007E58C4">
        <w:tc>
          <w:tcPr>
            <w:tcW w:w="4957" w:type="dxa"/>
          </w:tcPr>
          <w:p w14:paraId="4CD03022" w14:textId="77777777" w:rsidR="002E3E92" w:rsidRPr="000B6BE3" w:rsidRDefault="002E3E92" w:rsidP="007E58C4">
            <w:pPr>
              <w:rPr>
                <w:rFonts w:cstheme="minorHAnsi"/>
                <w:bCs/>
              </w:rPr>
            </w:pPr>
            <w:r w:rsidRPr="000B6BE3">
              <w:rPr>
                <w:rFonts w:cstheme="minorHAnsi"/>
                <w:bCs/>
              </w:rPr>
              <w:t>(</w:t>
            </w:r>
            <w:hyperlink r:id="rId1665" w:history="1">
              <w:r w:rsidRPr="000B6BE3">
                <w:rPr>
                  <w:rFonts w:cstheme="minorHAnsi"/>
                </w:rPr>
                <w:t>F</w:t>
              </w:r>
              <w:r w:rsidRPr="000B6BE3">
                <w:rPr>
                  <w:rStyle w:val="Lienhypertexte"/>
                  <w:rFonts w:cstheme="minorHAnsi"/>
                  <w:color w:val="0B0080"/>
                  <w:shd w:val="clear" w:color="auto" w:fill="FFFFFF"/>
                </w:rPr>
                <w:t>amille</w:t>
              </w:r>
            </w:hyperlink>
            <w:r w:rsidRPr="000B6BE3">
              <w:rPr>
                <w:rFonts w:cstheme="minorHAnsi"/>
                <w:color w:val="222222"/>
                <w:shd w:val="clear" w:color="auto" w:fill="FFFFFF"/>
              </w:rPr>
              <w:t> </w:t>
            </w:r>
            <w:r w:rsidRPr="00FC05CB">
              <w:rPr>
                <w:rFonts w:cstheme="minorHAnsi"/>
                <w:color w:val="000000" w:themeColor="text1"/>
                <w:shd w:val="clear" w:color="auto" w:fill="FFFFFF"/>
              </w:rPr>
              <w:t>des </w:t>
            </w:r>
            <w:r>
              <w:rPr>
                <w:rFonts w:cstheme="minorHAnsi"/>
                <w:i/>
                <w:iCs/>
                <w:color w:val="000000" w:themeColor="text1"/>
                <w:shd w:val="clear" w:color="auto" w:fill="FFFFFF"/>
              </w:rPr>
              <w:t>Brassicacées</w:t>
            </w:r>
            <w:r w:rsidRPr="00FC05CB">
              <w:rPr>
                <w:rFonts w:cstheme="minorHAnsi"/>
                <w:bCs/>
                <w:color w:val="000000" w:themeColor="text1"/>
              </w:rPr>
              <w:t>).</w:t>
            </w:r>
          </w:p>
          <w:p w14:paraId="69D35E4B" w14:textId="77777777" w:rsidR="002E3E92" w:rsidRPr="000B6BE3" w:rsidRDefault="002E3E92" w:rsidP="007E58C4">
            <w:pPr>
              <w:rPr>
                <w:rFonts w:cstheme="minorHAnsi"/>
                <w:bCs/>
              </w:rPr>
            </w:pPr>
          </w:p>
          <w:p w14:paraId="6CD54A32" w14:textId="77777777" w:rsidR="002E3E92" w:rsidRPr="000B6BE3" w:rsidRDefault="002E3E92" w:rsidP="007E58C4">
            <w:pPr>
              <w:rPr>
                <w:rFonts w:cstheme="minorHAnsi"/>
              </w:rPr>
            </w:pPr>
          </w:p>
        </w:tc>
        <w:tc>
          <w:tcPr>
            <w:tcW w:w="2268" w:type="dxa"/>
          </w:tcPr>
          <w:p w14:paraId="4D8C5008" w14:textId="77777777" w:rsidR="002E3E92" w:rsidRPr="000B6BE3" w:rsidRDefault="002E3E92" w:rsidP="007E58C4">
            <w:pPr>
              <w:rPr>
                <w:rFonts w:cstheme="minorHAnsi"/>
              </w:rPr>
            </w:pPr>
            <w:r w:rsidRPr="00FC05CB">
              <w:rPr>
                <w:rFonts w:cstheme="minorHAnsi"/>
                <w:noProof/>
              </w:rPr>
              <w:drawing>
                <wp:inline distT="0" distB="0" distL="0" distR="0" wp14:anchorId="68E27C95" wp14:editId="53D25D42">
                  <wp:extent cx="514350" cy="733425"/>
                  <wp:effectExtent l="0" t="0" r="0" b="9525"/>
                  <wp:docPr id="81929" name="Image 11"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13" name="Image 11" descr="logo salinisation2_s.jpg"/>
                          <pic:cNvPicPr>
                            <a:picLocks noChangeAspect="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14350" cy="733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rPr>
              <w:t xml:space="preserve"> </w:t>
            </w:r>
            <w:r w:rsidRPr="00125C62">
              <w:rPr>
                <w:rFonts w:cstheme="minorHAnsi"/>
                <w:noProof/>
              </w:rPr>
              <w:drawing>
                <wp:inline distT="0" distB="0" distL="0" distR="0" wp14:anchorId="485093DA" wp14:editId="5644FB18">
                  <wp:extent cx="495300" cy="666750"/>
                  <wp:effectExtent l="0" t="0" r="0" b="0"/>
                  <wp:docPr id="81931" name="Image 11"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11" descr="logo aride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rPr>
              <w:t> </w:t>
            </w:r>
          </w:p>
        </w:tc>
        <w:tc>
          <w:tcPr>
            <w:tcW w:w="1134" w:type="dxa"/>
          </w:tcPr>
          <w:p w14:paraId="1AE72417" w14:textId="77777777" w:rsidR="002E3E92" w:rsidRDefault="002E3E92" w:rsidP="007E58C4">
            <w:pPr>
              <w:textAlignment w:val="baseline"/>
              <w:rPr>
                <w:rFonts w:eastAsia="+mn-ea" w:cstheme="minorHAnsi"/>
                <w:b/>
                <w:bCs/>
                <w:color w:val="008000"/>
                <w:kern w:val="24"/>
              </w:rPr>
            </w:pPr>
            <w:r w:rsidRPr="000B6BE3">
              <w:rPr>
                <w:rFonts w:eastAsia="+mn-ea" w:cstheme="minorHAnsi"/>
                <w:b/>
                <w:bCs/>
                <w:color w:val="008000"/>
                <w:kern w:val="24"/>
              </w:rPr>
              <w:t>↗</w:t>
            </w:r>
          </w:p>
          <w:p w14:paraId="30605063" w14:textId="77777777" w:rsidR="002E3E92" w:rsidRDefault="002E3E92" w:rsidP="007E58C4">
            <w:pPr>
              <w:textAlignment w:val="baseline"/>
              <w:rPr>
                <w:rFonts w:eastAsia="+mn-ea" w:cstheme="minorHAnsi"/>
                <w:b/>
                <w:bCs/>
                <w:color w:val="008000"/>
                <w:kern w:val="24"/>
              </w:rPr>
            </w:pPr>
          </w:p>
          <w:p w14:paraId="79F8AB1F" w14:textId="77777777" w:rsidR="002E3E92" w:rsidRPr="00B000E9" w:rsidRDefault="002E3E92" w:rsidP="007E58C4">
            <w:pPr>
              <w:textAlignment w:val="baseline"/>
              <w:rPr>
                <w:rFonts w:ascii="Times New Roman" w:eastAsia="Times New Roman" w:hAnsi="Times New Roman" w:cs="Times New Roman"/>
                <w:sz w:val="36"/>
                <w:szCs w:val="36"/>
                <w:lang w:eastAsia="fr-FR"/>
              </w:rPr>
            </w:pPr>
            <w:r w:rsidRPr="00B000E9">
              <w:rPr>
                <w:rFonts w:ascii="Arial" w:eastAsia="+mn-ea" w:hAnsi="Arial" w:cs="Arial"/>
                <w:b/>
                <w:bCs/>
                <w:color w:val="008000"/>
                <w:kern w:val="24"/>
                <w:sz w:val="36"/>
                <w:szCs w:val="36"/>
                <w:lang w:eastAsia="fr-FR"/>
              </w:rPr>
              <w:t>$</w:t>
            </w:r>
          </w:p>
        </w:tc>
        <w:tc>
          <w:tcPr>
            <w:tcW w:w="992" w:type="dxa"/>
          </w:tcPr>
          <w:p w14:paraId="53C9B733" w14:textId="77777777" w:rsidR="002E3E92" w:rsidRDefault="002E3E92" w:rsidP="007E58C4">
            <w:pPr>
              <w:pStyle w:val="NormalWeb"/>
              <w:spacing w:before="0" w:beforeAutospacing="0" w:after="0" w:afterAutospacing="0"/>
              <w:textAlignment w:val="baseline"/>
            </w:pPr>
            <w:r>
              <w:rPr>
                <w:rFonts w:ascii="Arial" w:eastAsia="+mn-ea" w:hAnsi="Arial" w:cs="Arial"/>
                <w:b/>
                <w:bCs/>
                <w:color w:val="008000"/>
                <w:kern w:val="24"/>
                <w:sz w:val="48"/>
                <w:szCs w:val="48"/>
              </w:rPr>
              <w:t>U</w:t>
            </w:r>
          </w:p>
          <w:p w14:paraId="7C8611F1" w14:textId="77777777" w:rsidR="002E3E92" w:rsidRPr="000B6BE3" w:rsidRDefault="002E3E92" w:rsidP="007E58C4">
            <w:pPr>
              <w:rPr>
                <w:rFonts w:cstheme="minorHAnsi"/>
              </w:rPr>
            </w:pPr>
          </w:p>
        </w:tc>
        <w:tc>
          <w:tcPr>
            <w:tcW w:w="1439" w:type="dxa"/>
          </w:tcPr>
          <w:p w14:paraId="3E6B3267" w14:textId="77777777" w:rsidR="002E3E92" w:rsidRPr="000B6BE3" w:rsidRDefault="002E3E92" w:rsidP="007E58C4">
            <w:pPr>
              <w:rPr>
                <w:rFonts w:cstheme="minorHAnsi"/>
              </w:rPr>
            </w:pPr>
          </w:p>
        </w:tc>
      </w:tr>
    </w:tbl>
    <w:p w14:paraId="19E30CB0" w14:textId="77777777" w:rsidR="002E3E92" w:rsidRDefault="002E3E92" w:rsidP="002E3E92">
      <w:pPr>
        <w:spacing w:after="0" w:line="240" w:lineRule="auto"/>
        <w:jc w:val="both"/>
      </w:pPr>
    </w:p>
    <w:p w14:paraId="366A7B41" w14:textId="77777777" w:rsidR="002E3E92" w:rsidRPr="00B000E9" w:rsidRDefault="002E3E92" w:rsidP="002E3E92">
      <w:pPr>
        <w:spacing w:after="0" w:line="240" w:lineRule="auto"/>
        <w:jc w:val="both"/>
      </w:pPr>
      <w:r w:rsidRPr="00B000E9">
        <w:t xml:space="preserve">La moutarde éthiopienne ou moutarde d'Abyssinie pourrait avoir une grande importance agricole, dans les plantes du genre </w:t>
      </w:r>
      <w:hyperlink r:id="rId1666" w:history="1">
        <w:r w:rsidRPr="00B000E9">
          <w:rPr>
            <w:rStyle w:val="Lienhypertexte"/>
            <w:i/>
            <w:iCs/>
          </w:rPr>
          <w:t>Brassica</w:t>
        </w:r>
      </w:hyperlink>
      <w:r w:rsidRPr="00B000E9">
        <w:t>.</w:t>
      </w:r>
    </w:p>
    <w:p w14:paraId="2E0732BF" w14:textId="77777777" w:rsidR="002E3E92" w:rsidRPr="00B000E9" w:rsidRDefault="002E3E92" w:rsidP="002E3E92">
      <w:pPr>
        <w:spacing w:after="0" w:line="240" w:lineRule="auto"/>
        <w:jc w:val="both"/>
      </w:pPr>
      <w:r w:rsidRPr="00B000E9">
        <w:t>Bien que </w:t>
      </w:r>
      <w:r w:rsidRPr="00B000E9">
        <w:rPr>
          <w:i/>
          <w:iCs/>
        </w:rPr>
        <w:t>B.</w:t>
      </w:r>
      <w:r w:rsidRPr="00B000E9">
        <w:t> </w:t>
      </w:r>
      <w:r w:rsidRPr="00B000E9">
        <w:rPr>
          <w:i/>
          <w:iCs/>
        </w:rPr>
        <w:t>carinata</w:t>
      </w:r>
      <w:r w:rsidRPr="00B000E9">
        <w:t> soit cultivé comme </w:t>
      </w:r>
      <w:hyperlink r:id="rId1667" w:history="1">
        <w:r w:rsidRPr="00B000E9">
          <w:rPr>
            <w:rStyle w:val="Lienhypertexte"/>
          </w:rPr>
          <w:t>oléagineux</w:t>
        </w:r>
      </w:hyperlink>
      <w:r w:rsidRPr="00B000E9">
        <w:t> en </w:t>
      </w:r>
      <w:hyperlink r:id="rId1668" w:history="1">
        <w:r w:rsidRPr="00B000E9">
          <w:rPr>
            <w:rStyle w:val="Lienhypertexte"/>
          </w:rPr>
          <w:t>Ethiopie</w:t>
        </w:r>
      </w:hyperlink>
      <w:r w:rsidRPr="00B000E9">
        <w:t> (Alemayehu et Becker, 2004), il contient, en général, des </w:t>
      </w:r>
      <w:hyperlink r:id="rId1669" w:history="1">
        <w:r w:rsidRPr="00B000E9">
          <w:rPr>
            <w:rStyle w:val="Lienhypertexte"/>
          </w:rPr>
          <w:t>glucosinolates</w:t>
        </w:r>
      </w:hyperlink>
      <w:r w:rsidRPr="00B000E9">
        <w:t> et de l’</w:t>
      </w:r>
      <w:hyperlink r:id="rId1670" w:history="1">
        <w:r w:rsidRPr="00B000E9">
          <w:rPr>
            <w:rStyle w:val="Lienhypertexte"/>
          </w:rPr>
          <w:t>acide érucique</w:t>
        </w:r>
      </w:hyperlink>
      <w:r w:rsidRPr="00B000E9">
        <w:t xml:space="preserve"> indésirables (Getinet et al., 1997), ce qui en fait un mauvais choix cultural comme culture oléagineuse, en comparaison à la étroitement liée </w:t>
      </w:r>
      <w:hyperlink r:id="rId1671" w:history="1">
        <w:r w:rsidRPr="00B000E9">
          <w:rPr>
            <w:rStyle w:val="Lienhypertexte"/>
            <w:i/>
            <w:iCs/>
          </w:rPr>
          <w:t>Brassica</w:t>
        </w:r>
      </w:hyperlink>
      <w:hyperlink r:id="rId1672" w:history="1">
        <w:r w:rsidRPr="00B000E9">
          <w:rPr>
            <w:rStyle w:val="Lienhypertexte"/>
            <w:i/>
            <w:iCs/>
          </w:rPr>
          <w:t xml:space="preserve"> </w:t>
        </w:r>
      </w:hyperlink>
      <w:hyperlink r:id="rId1673" w:history="1">
        <w:r w:rsidRPr="00B000E9">
          <w:rPr>
            <w:rStyle w:val="Lienhypertexte"/>
            <w:i/>
            <w:iCs/>
          </w:rPr>
          <w:t>napus</w:t>
        </w:r>
      </w:hyperlink>
      <w:r w:rsidRPr="00B000E9">
        <w:rPr>
          <w:i/>
          <w:iCs/>
        </w:rPr>
        <w:t xml:space="preserve"> </w:t>
      </w:r>
      <w:r w:rsidRPr="00B000E9">
        <w:t xml:space="preserve">(colza). </w:t>
      </w:r>
    </w:p>
    <w:p w14:paraId="6532A3D3" w14:textId="77777777" w:rsidR="002E3E92" w:rsidRDefault="002E3E92" w:rsidP="002E3E92">
      <w:pPr>
        <w:spacing w:after="0" w:line="240" w:lineRule="auto"/>
        <w:jc w:val="both"/>
      </w:pPr>
      <w:r w:rsidRPr="00B000E9">
        <w:t>La plante est aussi cultivé comme </w:t>
      </w:r>
      <w:hyperlink r:id="rId1674" w:history="1">
        <w:r w:rsidRPr="00B000E9">
          <w:rPr>
            <w:rStyle w:val="Lienhypertexte"/>
          </w:rPr>
          <w:t>légume-feuilles</w:t>
        </w:r>
      </w:hyperlink>
      <w:r w:rsidRPr="00B000E9">
        <w:t xml:space="preserve">, ayant une saveur douce. Certaines variétés, dont la </w:t>
      </w:r>
      <w:r w:rsidRPr="00B000E9">
        <w:rPr>
          <w:b/>
          <w:bCs/>
        </w:rPr>
        <w:t>Texsel,</w:t>
      </w:r>
      <w:r w:rsidRPr="00B000E9">
        <w:t xml:space="preserve"> sont particulièrement adapté aux climats tempérés. Les fleurs sont très attrayantes pour les abeilles qui collectent du </w:t>
      </w:r>
      <w:r w:rsidRPr="00B000E9">
        <w:lastRenderedPageBreak/>
        <w:t>pollen et de nectar. Cette plante fait également partie d'une recherche visant à développer du biocarburant pour les moteurs à réaction. Le 29 Octobre 2012, le premier vol d'un avion à réaction alimenté à 100 pour cent de biocarburant, fabriqué</w:t>
      </w:r>
      <w:r>
        <w:t xml:space="preserve"> </w:t>
      </w:r>
      <w:r w:rsidRPr="00B000E9">
        <w:t xml:space="preserve">à partir de </w:t>
      </w:r>
      <w:r w:rsidRPr="00B000E9">
        <w:rPr>
          <w:i/>
          <w:iCs/>
        </w:rPr>
        <w:t>Brassica carinata</w:t>
      </w:r>
      <w:r w:rsidRPr="00B000E9">
        <w:t xml:space="preserve">, a été réalisé. Il est sensible au sel </w:t>
      </w:r>
      <w:r>
        <w:t>mais</w:t>
      </w:r>
      <w:r w:rsidRPr="00B000E9">
        <w:t xml:space="preserve"> </w:t>
      </w:r>
      <w:r w:rsidRPr="00B000E9">
        <w:rPr>
          <w:i/>
          <w:iCs/>
        </w:rPr>
        <w:t>les graines peuvent germer dans les sols avec un niveau de salinité supérieure à la moyenne</w:t>
      </w:r>
      <w:r w:rsidRPr="00B000E9">
        <w:t>. Il peut être trouvé dans les régions montagneuses jusqu'à 2600 m avec un climat frais, mais aussi dans les plaines avec des conditions relativement chaudes et sèches. Il ne tolère pas l’engorgement (l’asphyxie racinaire).</w:t>
      </w:r>
    </w:p>
    <w:p w14:paraId="62C3B8B5" w14:textId="77777777" w:rsidR="002E3E92" w:rsidRDefault="002E3E92" w:rsidP="002E3E92">
      <w:pPr>
        <w:spacing w:after="0" w:line="240" w:lineRule="auto"/>
        <w:jc w:val="both"/>
      </w:pPr>
      <w:r w:rsidRPr="00B000E9">
        <w:rPr>
          <w:i/>
          <w:iCs/>
        </w:rPr>
        <w:t>La lignée de B. carinata à graines brunes est plus tolérante au sel</w:t>
      </w:r>
      <w:r w:rsidRPr="00B000E9">
        <w:rPr>
          <w:b/>
          <w:bCs/>
        </w:rPr>
        <w:t xml:space="preserve"> </w:t>
      </w:r>
      <w:r w:rsidRPr="00B000E9">
        <w:t xml:space="preserve">que la lignée à graines jaunes. </w:t>
      </w:r>
      <w:r w:rsidRPr="00B000E9">
        <w:rPr>
          <w:i/>
          <w:iCs/>
        </w:rPr>
        <w:t>L’étude récente ci-dessous montre l’utilité de cette plante pour la culture en sol salin</w:t>
      </w:r>
      <w:r w:rsidRPr="00B000E9">
        <w:t xml:space="preserve"> et le bio-raffinage.</w:t>
      </w:r>
    </w:p>
    <w:p w14:paraId="0991D68B" w14:textId="77777777" w:rsidR="002E3E92" w:rsidRDefault="002E3E92" w:rsidP="002E3E92">
      <w:pPr>
        <w:spacing w:after="0" w:line="240" w:lineRule="auto"/>
        <w:jc w:val="both"/>
        <w:rPr>
          <w:lang w:val="en-GB"/>
        </w:rPr>
      </w:pPr>
      <w:r w:rsidRPr="00B000E9">
        <w:rPr>
          <w:lang w:val="en-GB"/>
        </w:rPr>
        <w:t xml:space="preserve">Sources : a) </w:t>
      </w:r>
      <w:hyperlink r:id="rId1675" w:history="1">
        <w:r w:rsidRPr="00B000E9">
          <w:rPr>
            <w:rStyle w:val="Lienhypertexte"/>
            <w:lang w:val="en-GB"/>
          </w:rPr>
          <w:t>http://en.wikipedia.org/wiki/Brassica_carinata</w:t>
        </w:r>
      </w:hyperlink>
      <w:r w:rsidRPr="00B000E9">
        <w:rPr>
          <w:lang w:val="en-GB"/>
        </w:rPr>
        <w:t xml:space="preserve">, </w:t>
      </w:r>
    </w:p>
    <w:p w14:paraId="3AE03D5B" w14:textId="77777777" w:rsidR="002E3E92" w:rsidRPr="00B000E9" w:rsidRDefault="002E3E92" w:rsidP="002E3E92">
      <w:pPr>
        <w:spacing w:after="0" w:line="240" w:lineRule="auto"/>
        <w:jc w:val="both"/>
        <w:rPr>
          <w:lang w:val="en-GB"/>
        </w:rPr>
      </w:pPr>
      <w:r w:rsidRPr="00B000E9">
        <w:rPr>
          <w:lang w:val="en-GB"/>
        </w:rPr>
        <w:t xml:space="preserve">b) </w:t>
      </w:r>
      <w:hyperlink r:id="rId1676" w:history="1">
        <w:r w:rsidRPr="00B000E9">
          <w:rPr>
            <w:rStyle w:val="Lienhypertexte"/>
            <w:lang w:val="en-GB"/>
          </w:rPr>
          <w:t>http://database.prota.org/PROTAhtml/Brassica%20carinata_En.htm</w:t>
        </w:r>
      </w:hyperlink>
      <w:r w:rsidRPr="00B000E9">
        <w:rPr>
          <w:lang w:val="en-GB"/>
        </w:rPr>
        <w:t xml:space="preserve">, </w:t>
      </w:r>
    </w:p>
    <w:p w14:paraId="479EA200" w14:textId="77777777" w:rsidR="002E3E92" w:rsidRPr="00B000E9" w:rsidRDefault="002E3E92" w:rsidP="002E3E92">
      <w:pPr>
        <w:spacing w:after="0" w:line="240" w:lineRule="auto"/>
        <w:jc w:val="both"/>
        <w:rPr>
          <w:lang w:val="en-GB"/>
        </w:rPr>
      </w:pPr>
      <w:r w:rsidRPr="00B000E9">
        <w:rPr>
          <w:lang w:val="en-GB"/>
        </w:rPr>
        <w:t xml:space="preserve">c) </w:t>
      </w:r>
      <w:hyperlink r:id="rId1677" w:history="1">
        <w:r w:rsidRPr="00B000E9">
          <w:rPr>
            <w:rStyle w:val="Lienhypertexte"/>
            <w:lang w:val="en-GB"/>
          </w:rPr>
          <w:t>http://database.prota.org/PROTAhtml/Brassica%20carinata_Fr.htm</w:t>
        </w:r>
      </w:hyperlink>
      <w:r w:rsidRPr="00B000E9">
        <w:rPr>
          <w:lang w:val="en-GB"/>
        </w:rPr>
        <w:t xml:space="preserve">, d) </w:t>
      </w:r>
      <w:r w:rsidRPr="00B000E9">
        <w:rPr>
          <w:lang w:val="en-US"/>
        </w:rPr>
        <w:t>Differential metabolite profiles and salinity tolerance between two genetically related brown-seeded and yellow-seeded </w:t>
      </w:r>
      <w:r w:rsidRPr="00B000E9">
        <w:rPr>
          <w:i/>
          <w:iCs/>
          <w:lang w:val="en-US"/>
        </w:rPr>
        <w:t>Brassica carinata</w:t>
      </w:r>
      <w:r w:rsidRPr="00B000E9">
        <w:rPr>
          <w:lang w:val="en-US"/>
        </w:rPr>
        <w:t xml:space="preserve"> lines, </w:t>
      </w:r>
      <w:r w:rsidRPr="00B000E9">
        <w:rPr>
          <w:lang w:val="en-GB"/>
        </w:rPr>
        <w:t>Canam, T., Li, X., Holowachuk, J., Yu, M., Xia, J., Mandal, R., Krishnamurthy, R., Bouatra, S., Sinelnikov, I., Yu, B., Grenkow, L.F., Wishart, D.S., Steppuhn, H., </w:t>
      </w:r>
      <w:hyperlink r:id="rId1678" w:history="1">
        <w:r w:rsidRPr="00B000E9">
          <w:rPr>
            <w:rStyle w:val="Lienhypertexte"/>
            <w:lang w:val="en-GB"/>
          </w:rPr>
          <w:t>Falk, K.C.</w:t>
        </w:r>
      </w:hyperlink>
      <w:r w:rsidRPr="00B000E9">
        <w:rPr>
          <w:lang w:val="en-GB"/>
        </w:rPr>
        <w:t>, </w:t>
      </w:r>
      <w:hyperlink r:id="rId1679" w:history="1">
        <w:r w:rsidRPr="00B000E9">
          <w:rPr>
            <w:rStyle w:val="Lienhypertexte"/>
            <w:lang w:val="en-GB"/>
          </w:rPr>
          <w:t>Dumonceaux</w:t>
        </w:r>
      </w:hyperlink>
      <w:hyperlink r:id="rId1680" w:history="1">
        <w:r w:rsidRPr="00B000E9">
          <w:rPr>
            <w:rStyle w:val="Lienhypertexte"/>
            <w:lang w:val="en-GB"/>
          </w:rPr>
          <w:t>, T.J.</w:t>
        </w:r>
      </w:hyperlink>
      <w:r w:rsidRPr="00B000E9">
        <w:rPr>
          <w:lang w:val="en-GB"/>
        </w:rPr>
        <w:t>, et </w:t>
      </w:r>
      <w:hyperlink r:id="rId1681" w:history="1">
        <w:r w:rsidRPr="00B000E9">
          <w:rPr>
            <w:rStyle w:val="Lienhypertexte"/>
            <w:lang w:val="en-GB"/>
          </w:rPr>
          <w:t>Gruber, M.Y</w:t>
        </w:r>
      </w:hyperlink>
      <w:hyperlink r:id="rId1682" w:history="1">
        <w:r w:rsidRPr="00B000E9">
          <w:rPr>
            <w:rStyle w:val="Lienhypertexte"/>
            <w:lang w:val="en-GB"/>
          </w:rPr>
          <w:t>.</w:t>
        </w:r>
      </w:hyperlink>
      <w:r w:rsidRPr="00B000E9">
        <w:rPr>
          <w:lang w:val="en-GB"/>
        </w:rPr>
        <w:t xml:space="preserve">, </w:t>
      </w:r>
      <w:r w:rsidRPr="00B000E9">
        <w:rPr>
          <w:i/>
          <w:iCs/>
          <w:lang w:val="en-US"/>
        </w:rPr>
        <w:t>lant Science, 198</w:t>
      </w:r>
      <w:r w:rsidRPr="00B000E9">
        <w:rPr>
          <w:lang w:val="en-US"/>
        </w:rPr>
        <w:t>(January 2013), p. 17-26.</w:t>
      </w:r>
    </w:p>
    <w:p w14:paraId="2BB9C0F4" w14:textId="77777777" w:rsidR="002E3E92" w:rsidRDefault="002E3E92" w:rsidP="002E3E92">
      <w:pPr>
        <w:spacing w:after="0" w:line="240" w:lineRule="auto"/>
        <w:jc w:val="both"/>
        <w:rPr>
          <w:lang w:val="en-G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2E3E92" w14:paraId="54AD8A48" w14:textId="77777777" w:rsidTr="007E58C4">
        <w:tc>
          <w:tcPr>
            <w:tcW w:w="5208" w:type="dxa"/>
          </w:tcPr>
          <w:p w14:paraId="102C1A26" w14:textId="77777777" w:rsidR="002E3E92" w:rsidRDefault="002E3E92" w:rsidP="007E58C4">
            <w:pPr>
              <w:jc w:val="center"/>
              <w:rPr>
                <w:lang w:val="en-GB"/>
              </w:rPr>
            </w:pPr>
            <w:r w:rsidRPr="001F13C7">
              <w:rPr>
                <w:noProof/>
              </w:rPr>
              <w:drawing>
                <wp:inline distT="0" distB="0" distL="0" distR="0" wp14:anchorId="2F61ACF3" wp14:editId="5134A8F6">
                  <wp:extent cx="2590800" cy="1771650"/>
                  <wp:effectExtent l="0" t="0" r="0" b="0"/>
                  <wp:docPr id="94223" name="Picture 3" descr="C:\Users\LISAN\Pictures\plantes-halophytes-xerophiles\Brassica carinat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23" name="Picture 3" descr="C:\Users\LISAN\Pictures\plantes-halophytes-xerophiles\Brassica carinata2.jpg"/>
                          <pic:cNvPicPr>
                            <a:picLocks noChangeAspect="1" noChangeArrowheads="1"/>
                          </pic:cNvPicPr>
                        </pic:nvPicPr>
                        <pic:blipFill>
                          <a:blip r:embed="rId1683">
                            <a:extLst>
                              <a:ext uri="{28A0092B-C50C-407E-A947-70E740481C1C}">
                                <a14:useLocalDpi xmlns:a14="http://schemas.microsoft.com/office/drawing/2010/main" val="0"/>
                              </a:ext>
                            </a:extLst>
                          </a:blip>
                          <a:srcRect/>
                          <a:stretch>
                            <a:fillRect/>
                          </a:stretch>
                        </pic:blipFill>
                        <pic:spPr bwMode="auto">
                          <a:xfrm>
                            <a:off x="0" y="0"/>
                            <a:ext cx="2590800" cy="1771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208" w:type="dxa"/>
          </w:tcPr>
          <w:p w14:paraId="06F3DE8D" w14:textId="77777777" w:rsidR="002E3E92" w:rsidRDefault="002E3E92" w:rsidP="007E58C4">
            <w:pPr>
              <w:jc w:val="center"/>
              <w:rPr>
                <w:lang w:val="en-GB"/>
              </w:rPr>
            </w:pPr>
            <w:r w:rsidRPr="001F13C7">
              <w:rPr>
                <w:noProof/>
              </w:rPr>
              <w:drawing>
                <wp:inline distT="0" distB="0" distL="0" distR="0" wp14:anchorId="6C42D888" wp14:editId="5B79BA36">
                  <wp:extent cx="2025650" cy="1844675"/>
                  <wp:effectExtent l="0" t="0" r="0" b="3175"/>
                  <wp:docPr id="94222" name="Picture 2" descr="C:\Users\LISAN\Pictures\plantes-halophytes-xerophiles\Brassica carina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22" name="Picture 2" descr="C:\Users\LISAN\Pictures\plantes-halophytes-xerophiles\Brassica carinata.jpg"/>
                          <pic:cNvPicPr>
                            <a:picLocks noChangeAspect="1" noChangeArrowheads="1"/>
                          </pic:cNvPicPr>
                        </pic:nvPicPr>
                        <pic:blipFill>
                          <a:blip r:embed="rId1684">
                            <a:extLst>
                              <a:ext uri="{28A0092B-C50C-407E-A947-70E740481C1C}">
                                <a14:useLocalDpi xmlns:a14="http://schemas.microsoft.com/office/drawing/2010/main" val="0"/>
                              </a:ext>
                            </a:extLst>
                          </a:blip>
                          <a:srcRect/>
                          <a:stretch>
                            <a:fillRect/>
                          </a:stretch>
                        </pic:blipFill>
                        <pic:spPr bwMode="auto">
                          <a:xfrm>
                            <a:off x="0" y="0"/>
                            <a:ext cx="2025650" cy="1844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2E3E92" w14:paraId="38F6A346" w14:textId="77777777" w:rsidTr="007E58C4">
        <w:tc>
          <w:tcPr>
            <w:tcW w:w="5208" w:type="dxa"/>
          </w:tcPr>
          <w:p w14:paraId="209EDBCD" w14:textId="77777777" w:rsidR="002E3E92" w:rsidRDefault="002E3E92" w:rsidP="007E58C4">
            <w:pPr>
              <w:jc w:val="center"/>
              <w:rPr>
                <w:lang w:val="en-GB"/>
              </w:rPr>
            </w:pPr>
            <w:r w:rsidRPr="001F13C7">
              <w:rPr>
                <w:noProof/>
              </w:rPr>
              <w:drawing>
                <wp:inline distT="0" distB="0" distL="0" distR="0" wp14:anchorId="67E99D87" wp14:editId="084D442D">
                  <wp:extent cx="2106613" cy="1577975"/>
                  <wp:effectExtent l="0" t="0" r="8255" b="3175"/>
                  <wp:docPr id="94224" name="Picture 4" descr="C:\Users\LISAN\Pictures\plantes-halophytes-xerophiles\Brassica carinat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24" name="Picture 4" descr="C:\Users\LISAN\Pictures\plantes-halophytes-xerophiles\Brassica carinata3.jpg"/>
                          <pic:cNvPicPr>
                            <a:picLocks noChangeAspect="1" noChangeArrowheads="1"/>
                          </pic:cNvPicPr>
                        </pic:nvPicPr>
                        <pic:blipFill>
                          <a:blip r:embed="rId1685">
                            <a:extLst>
                              <a:ext uri="{28A0092B-C50C-407E-A947-70E740481C1C}">
                                <a14:useLocalDpi xmlns:a14="http://schemas.microsoft.com/office/drawing/2010/main" val="0"/>
                              </a:ext>
                            </a:extLst>
                          </a:blip>
                          <a:srcRect/>
                          <a:stretch>
                            <a:fillRect/>
                          </a:stretch>
                        </pic:blipFill>
                        <pic:spPr bwMode="auto">
                          <a:xfrm>
                            <a:off x="0" y="0"/>
                            <a:ext cx="2106613" cy="1577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208" w:type="dxa"/>
          </w:tcPr>
          <w:p w14:paraId="096313AE" w14:textId="77777777" w:rsidR="002E3E92" w:rsidRDefault="002E3E92" w:rsidP="007E58C4">
            <w:pPr>
              <w:jc w:val="center"/>
              <w:rPr>
                <w:lang w:val="en-GB"/>
              </w:rPr>
            </w:pPr>
            <w:r w:rsidRPr="001F13C7">
              <w:rPr>
                <w:noProof/>
              </w:rPr>
              <w:drawing>
                <wp:inline distT="0" distB="0" distL="0" distR="0" wp14:anchorId="173D16B1" wp14:editId="1D9C3B73">
                  <wp:extent cx="1533525" cy="1343025"/>
                  <wp:effectExtent l="0" t="0" r="9525" b="9525"/>
                  <wp:docPr id="94225" name="Picture 5" descr="C:\Users\LISAN\Pictures\plantes-halophytes-xerophiles\Brassica carinata5_b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25" name="Picture 5" descr="C:\Users\LISAN\Pictures\plantes-halophytes-xerophiles\Brassica carinata5_bis.jpg"/>
                          <pic:cNvPicPr>
                            <a:picLocks noChangeAspect="1" noChangeArrowheads="1"/>
                          </pic:cNvPicPr>
                        </pic:nvPicPr>
                        <pic:blipFill>
                          <a:blip r:embed="rId1686">
                            <a:extLst>
                              <a:ext uri="{28A0092B-C50C-407E-A947-70E740481C1C}">
                                <a14:useLocalDpi xmlns:a14="http://schemas.microsoft.com/office/drawing/2010/main" val="0"/>
                              </a:ext>
                            </a:extLst>
                          </a:blip>
                          <a:srcRect/>
                          <a:stretch>
                            <a:fillRect/>
                          </a:stretch>
                        </pic:blipFill>
                        <pic:spPr bwMode="auto">
                          <a:xfrm>
                            <a:off x="0" y="0"/>
                            <a:ext cx="1533525" cy="1343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11176D35" w14:textId="56749ED5" w:rsidR="005517C0" w:rsidRDefault="005517C0" w:rsidP="00726FE1">
      <w:pPr>
        <w:spacing w:after="0" w:line="240" w:lineRule="auto"/>
      </w:pPr>
    </w:p>
    <w:p w14:paraId="73E7AF40" w14:textId="77777777" w:rsidR="00FC1DF7" w:rsidRPr="00DB669E" w:rsidRDefault="00FC1DF7" w:rsidP="00FC1DF7">
      <w:pPr>
        <w:pStyle w:val="Titre2"/>
      </w:pPr>
      <w:bookmarkStart w:id="166" w:name="_Toc139181457"/>
      <w:r w:rsidRPr="00DB669E">
        <w:t>Ficoïde glaciale (</w:t>
      </w:r>
      <w:r w:rsidRPr="002E3E92">
        <w:rPr>
          <w:i/>
          <w:iCs/>
        </w:rPr>
        <w:t>Mesembryanthemum crystallinum</w:t>
      </w:r>
      <w:r w:rsidRPr="00DB669E">
        <w:t xml:space="preserve"> ou </w:t>
      </w:r>
      <w:r w:rsidRPr="002E3E92">
        <w:rPr>
          <w:i/>
          <w:iCs/>
        </w:rPr>
        <w:t>Cryophytum cristallinum</w:t>
      </w:r>
      <w:r w:rsidRPr="00DB669E">
        <w:t>)</w:t>
      </w:r>
      <w:bookmarkEnd w:id="166"/>
    </w:p>
    <w:p w14:paraId="1A3B25F6" w14:textId="77777777" w:rsidR="00FC1DF7" w:rsidRPr="00DB669E" w:rsidRDefault="00FC1DF7" w:rsidP="00FC1DF7">
      <w:pPr>
        <w:spacing w:after="0" w:line="240" w:lineRule="auto"/>
        <w:jc w:val="both"/>
      </w:pPr>
    </w:p>
    <w:p w14:paraId="6A2BFDA5" w14:textId="77777777" w:rsidR="00FC1DF7" w:rsidRPr="00DB669E" w:rsidRDefault="00FC1DF7" w:rsidP="00FC1DF7">
      <w:pPr>
        <w:spacing w:after="0" w:line="240" w:lineRule="auto"/>
        <w:jc w:val="both"/>
      </w:pPr>
      <w:r w:rsidRPr="00DB669E">
        <w:t>C’est une plante de la famille des </w:t>
      </w:r>
      <w:hyperlink r:id="rId1687" w:history="1">
        <w:r w:rsidRPr="00DB669E">
          <w:rPr>
            <w:rStyle w:val="Lienhypertexte"/>
            <w:i/>
            <w:iCs/>
          </w:rPr>
          <w:t>Aizoacées</w:t>
        </w:r>
      </w:hyperlink>
      <w:r w:rsidRPr="00DB669E">
        <w:t>, originaire du sud-est africain (zone de climat méditerranéen). Elle est cultivée pour l'ornement, ses feuilles semblant couvertes de cristaux de glace, et parfois pour la consommation. C'est une </w:t>
      </w:r>
      <w:hyperlink r:id="rId1688" w:history="1">
        <w:r w:rsidRPr="00DB669E">
          <w:rPr>
            <w:rStyle w:val="Lienhypertexte"/>
          </w:rPr>
          <w:t>espèce succulente</w:t>
        </w:r>
      </w:hyperlink>
      <w:r w:rsidRPr="00DB669E">
        <w:t xml:space="preserve"> au port rampant, dont la hauteur ne dépasse généralement pas 7 ou 8 cm, mais dont les tiges peuvent atteindre de 20 à 60 cm de long. Ces tiges, ramifiées et tombantes, sont couvertes de minuscules "perles" scintillantes, vitrifiées, contenant de grandes quantités d'eau. Les feuilles, de 2 à 10 cm de long, ont une surface fortement ondulée et sont en forme d'ovale ou de spatule. </w:t>
      </w:r>
      <w:r w:rsidRPr="00DB669E">
        <w:rPr>
          <w:i/>
          <w:iCs/>
        </w:rPr>
        <w:t>Les feuilles sont comestibles cuisinées à la manière des épinards ou crues en salade [et les tiges cuites].</w:t>
      </w:r>
      <w:r w:rsidRPr="00DB669E">
        <w:rPr>
          <w:b/>
          <w:bCs/>
        </w:rPr>
        <w:t xml:space="preserve"> </w:t>
      </w:r>
      <w:r w:rsidRPr="00DB669E">
        <w:t xml:space="preserve">Elles ont un goût iodé qui n'est pas sans rappeler la salicorne, voire certains fruits de mer. Elle peut être annuelle, bisannuelle ou vivace, mais son cycle de vie est généralement terminé en quelques mois, selon les conditions environnementales. </w:t>
      </w:r>
      <w:r w:rsidRPr="00DB669E">
        <w:rPr>
          <w:i/>
          <w:iCs/>
        </w:rPr>
        <w:t>M. crystallinum</w:t>
      </w:r>
      <w:r w:rsidRPr="00DB669E">
        <w:t xml:space="preserve"> se trouve sur une large gamme de types de sols, de sols sableux et bien drainés (y compris les dunes de sable), à limoneux et argileux. </w:t>
      </w:r>
      <w:r w:rsidRPr="00DB669E">
        <w:rPr>
          <w:i/>
          <w:iCs/>
        </w:rPr>
        <w:t>Elle pousse à l'état sauvage en terrain aride et caillouteux ou sablonneux. Elle peut tolérer des sols pauvres ou salins</w:t>
      </w:r>
      <w:r w:rsidRPr="00DB669E">
        <w:rPr>
          <w:b/>
          <w:bCs/>
        </w:rPr>
        <w:t xml:space="preserve">. </w:t>
      </w:r>
      <w:r w:rsidRPr="00DB669E">
        <w:t xml:space="preserve">Comme avec beaucoup d'espèces introduites, il pousse aussi dans les </w:t>
      </w:r>
      <w:r w:rsidRPr="00DB669E">
        <w:rPr>
          <w:i/>
          <w:iCs/>
        </w:rPr>
        <w:t>sites perturbés</w:t>
      </w:r>
      <w:r w:rsidRPr="00DB669E">
        <w:t xml:space="preserve">, tels que les routes, les décharges et les </w:t>
      </w:r>
      <w:r w:rsidRPr="00DB669E">
        <w:lastRenderedPageBreak/>
        <w:t>chantiers. Ses </w:t>
      </w:r>
      <w:hyperlink r:id="rId1689" w:history="1">
        <w:r w:rsidRPr="00DB669E">
          <w:rPr>
            <w:rStyle w:val="Lienhypertexte"/>
            <w:i/>
            <w:iCs/>
          </w:rPr>
          <w:t>feuilles sont comestibles</w:t>
        </w:r>
      </w:hyperlink>
      <w:r w:rsidRPr="00DB669E">
        <w:t>, comme avec certains autres membres de la famille des </w:t>
      </w:r>
      <w:hyperlink r:id="rId1690" w:history="1">
        <w:r w:rsidRPr="00DB669E">
          <w:rPr>
            <w:rStyle w:val="Lienhypertexte"/>
            <w:i/>
            <w:iCs/>
          </w:rPr>
          <w:t>Aizoaceae</w:t>
        </w:r>
      </w:hyperlink>
      <w:r w:rsidRPr="00DB669E">
        <w:t>. </w:t>
      </w:r>
      <w:r w:rsidRPr="00DB669E">
        <w:rPr>
          <w:i/>
          <w:iCs/>
        </w:rPr>
        <w:t>Ses graines peuvent également être consommées</w:t>
      </w:r>
      <w:r w:rsidRPr="00DB669E">
        <w:rPr>
          <w:b/>
          <w:bCs/>
        </w:rPr>
        <w:t>. </w:t>
      </w:r>
      <w:r w:rsidRPr="00DB669E">
        <w:t xml:space="preserve">Les feuilles broyées peuvent être utilisées comme substitut du savon et a des utilisations médicinales. La plante est dédaignée par le bétail et les limaces. En raison de ses </w:t>
      </w:r>
      <w:r w:rsidRPr="00DB669E">
        <w:rPr>
          <w:i/>
          <w:iCs/>
        </w:rPr>
        <w:t>capacités à accumuler le sel,</w:t>
      </w:r>
      <w:r w:rsidRPr="00DB669E">
        <w:rPr>
          <w:b/>
          <w:bCs/>
        </w:rPr>
        <w:t xml:space="preserve"> </w:t>
      </w:r>
      <w:r w:rsidRPr="00DB669E">
        <w:rPr>
          <w:i/>
          <w:iCs/>
        </w:rPr>
        <w:t>M. crystallinum</w:t>
      </w:r>
      <w:r w:rsidRPr="00DB669E">
        <w:t xml:space="preserve"> peut être utile pour la bioremédiation. Pour sa culture, elle nécessite une exposition ensoleillée, un sol riche en humus, bien drainé. </w:t>
      </w:r>
      <w:r w:rsidRPr="00DB669E">
        <w:rPr>
          <w:i/>
          <w:iCs/>
        </w:rPr>
        <w:t>Elle supporte parfaitement la sécheresse et la chaleur</w:t>
      </w:r>
      <w:r w:rsidRPr="00DB669E">
        <w:t xml:space="preserve">. </w:t>
      </w:r>
      <w:r w:rsidRPr="00DB669E">
        <w:rPr>
          <w:i/>
          <w:iCs/>
        </w:rPr>
        <w:t>Elle déteste le froid et l’humidité</w:t>
      </w:r>
      <w:r w:rsidRPr="00DB669E">
        <w:t xml:space="preserve">. Elle n’aucun ennemi connu. Elle a un petit goût frais entre mentholé et acidulé. </w:t>
      </w:r>
      <w:r w:rsidRPr="00DB669E">
        <w:rPr>
          <w:i/>
          <w:iCs/>
        </w:rPr>
        <w:t>Elle peut être un peu invasive</w:t>
      </w:r>
      <w:r w:rsidRPr="00DB669E">
        <w:t>.</w:t>
      </w:r>
    </w:p>
    <w:p w14:paraId="34AE9462" w14:textId="77777777" w:rsidR="00FC1DF7" w:rsidRDefault="00FC1DF7" w:rsidP="00FC1DF7">
      <w:pPr>
        <w:spacing w:after="0" w:line="240" w:lineRule="auto"/>
        <w:jc w:val="both"/>
      </w:pPr>
      <w:r w:rsidRPr="00DB669E">
        <w:t xml:space="preserve">Sources : a) </w:t>
      </w:r>
      <w:hyperlink r:id="rId1691" w:history="1">
        <w:r w:rsidRPr="00DB669E">
          <w:rPr>
            <w:rStyle w:val="Lienhypertexte"/>
          </w:rPr>
          <w:t>http://en.wikipedia.org/wiki/Mesembryanthemum_crystallinum</w:t>
        </w:r>
      </w:hyperlink>
      <w:r w:rsidRPr="00DB669E">
        <w:t xml:space="preserve">, </w:t>
      </w:r>
    </w:p>
    <w:p w14:paraId="287F4D98" w14:textId="77777777" w:rsidR="00FC1DF7" w:rsidRPr="00DB669E" w:rsidRDefault="00FC1DF7" w:rsidP="00FC1DF7">
      <w:pPr>
        <w:spacing w:after="0" w:line="240" w:lineRule="auto"/>
        <w:jc w:val="both"/>
        <w:rPr>
          <w:lang w:val="en-GB"/>
        </w:rPr>
      </w:pPr>
      <w:r w:rsidRPr="00DB669E">
        <w:rPr>
          <w:lang w:val="en-GB"/>
        </w:rPr>
        <w:t xml:space="preserve">b) </w:t>
      </w:r>
      <w:hyperlink r:id="rId1692" w:history="1">
        <w:r w:rsidRPr="00DB669E">
          <w:rPr>
            <w:rStyle w:val="Lienhypertexte"/>
            <w:lang w:val="en-GB"/>
          </w:rPr>
          <w:t>http://fr.wikipedia.org/wiki/Mesembryanthemum_crystallinum</w:t>
        </w:r>
      </w:hyperlink>
      <w:r w:rsidRPr="00DB669E">
        <w:rPr>
          <w:lang w:val="en-GB"/>
        </w:rPr>
        <w:t xml:space="preserve">  </w:t>
      </w:r>
    </w:p>
    <w:p w14:paraId="36D07977" w14:textId="77777777" w:rsidR="00FC1DF7" w:rsidRPr="00DB669E" w:rsidRDefault="00FC1DF7" w:rsidP="00FC1DF7">
      <w:pPr>
        <w:spacing w:after="0" w:line="240" w:lineRule="auto"/>
        <w:jc w:val="both"/>
        <w:rPr>
          <w:lang w:val="en-G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FC1DF7" w:rsidRPr="00BA0FBA" w14:paraId="2998BC86" w14:textId="77777777" w:rsidTr="007E58C4">
        <w:tc>
          <w:tcPr>
            <w:tcW w:w="3472" w:type="dxa"/>
          </w:tcPr>
          <w:p w14:paraId="76D09B60" w14:textId="77777777" w:rsidR="00FC1DF7" w:rsidRDefault="00FC1DF7" w:rsidP="007E58C4">
            <w:pPr>
              <w:jc w:val="center"/>
              <w:rPr>
                <w:lang w:val="en-GB"/>
              </w:rPr>
            </w:pPr>
            <w:r w:rsidRPr="00BA0FBA">
              <w:rPr>
                <w:noProof/>
              </w:rPr>
              <w:drawing>
                <wp:inline distT="0" distB="0" distL="0" distR="0" wp14:anchorId="282CEF38" wp14:editId="5EE1FBC0">
                  <wp:extent cx="1143000" cy="857250"/>
                  <wp:effectExtent l="0" t="0" r="0" b="0"/>
                  <wp:docPr id="2050" name="Image 398" descr="C:\Users\LISAN\Pictures\agro-forêts\Cryophytum crystallinu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Image 398" descr="C:\Users\LISAN\Pictures\agro-forêts\Cryophytum crystallinum1.jpg"/>
                          <pic:cNvPicPr>
                            <a:picLocks noChangeAspect="1" noChangeArrowheads="1"/>
                          </pic:cNvPicPr>
                        </pic:nvPicPr>
                        <pic:blipFill>
                          <a:blip r:embed="rId1693">
                            <a:extLst>
                              <a:ext uri="{28A0092B-C50C-407E-A947-70E740481C1C}">
                                <a14:useLocalDpi xmlns:a14="http://schemas.microsoft.com/office/drawing/2010/main" val="0"/>
                              </a:ext>
                            </a:extLst>
                          </a:blip>
                          <a:srcRect/>
                          <a:stretch>
                            <a:fillRect/>
                          </a:stretch>
                        </pic:blipFill>
                        <pic:spPr bwMode="auto">
                          <a:xfrm>
                            <a:off x="0" y="0"/>
                            <a:ext cx="1143000" cy="857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3BE5A737" w14:textId="77777777" w:rsidR="00FC1DF7" w:rsidRDefault="00FC1DF7" w:rsidP="007E58C4">
            <w:pPr>
              <w:jc w:val="center"/>
              <w:rPr>
                <w:lang w:val="en-GB"/>
              </w:rPr>
            </w:pPr>
            <w:r w:rsidRPr="00BA0FBA">
              <w:rPr>
                <w:noProof/>
              </w:rPr>
              <w:drawing>
                <wp:inline distT="0" distB="0" distL="0" distR="0" wp14:anchorId="1E83EEBC" wp14:editId="466A710C">
                  <wp:extent cx="1285875" cy="857250"/>
                  <wp:effectExtent l="0" t="0" r="9525" b="0"/>
                  <wp:docPr id="81937" name="Image 399" descr="C:\Users\LISAN\Pictures\agro-forêts\Cryophytum crystallinu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Image 399" descr="C:\Users\LISAN\Pictures\agro-forêts\Cryophytum crystallinum2.jpg"/>
                          <pic:cNvPicPr>
                            <a:picLocks noChangeAspect="1" noChangeArrowheads="1"/>
                          </pic:cNvPicPr>
                        </pic:nvPicPr>
                        <pic:blipFill>
                          <a:blip r:embed="rId1694">
                            <a:extLst>
                              <a:ext uri="{28A0092B-C50C-407E-A947-70E740481C1C}">
                                <a14:useLocalDpi xmlns:a14="http://schemas.microsoft.com/office/drawing/2010/main" val="0"/>
                              </a:ext>
                            </a:extLst>
                          </a:blip>
                          <a:srcRect/>
                          <a:stretch>
                            <a:fillRect/>
                          </a:stretch>
                        </pic:blipFill>
                        <pic:spPr bwMode="auto">
                          <a:xfrm>
                            <a:off x="0" y="0"/>
                            <a:ext cx="1285875" cy="857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44CADD6" w14:textId="77777777" w:rsidR="00FC1DF7" w:rsidRPr="00BA0FBA" w:rsidRDefault="00FC1DF7" w:rsidP="007E58C4">
            <w:pPr>
              <w:jc w:val="center"/>
            </w:pPr>
            <w:r w:rsidRPr="00BA0FBA">
              <w:t>Une jeune plante à Lanzarote</w:t>
            </w:r>
            <w:r>
              <w:t>.</w:t>
            </w:r>
          </w:p>
        </w:tc>
        <w:tc>
          <w:tcPr>
            <w:tcW w:w="3472" w:type="dxa"/>
          </w:tcPr>
          <w:p w14:paraId="3CB5E82C" w14:textId="77777777" w:rsidR="00FC1DF7" w:rsidRPr="00BA0FBA" w:rsidRDefault="00FC1DF7" w:rsidP="007E58C4">
            <w:pPr>
              <w:jc w:val="center"/>
            </w:pPr>
            <w:r w:rsidRPr="00BA0FBA">
              <w:rPr>
                <w:noProof/>
              </w:rPr>
              <w:drawing>
                <wp:inline distT="0" distB="0" distL="0" distR="0" wp14:anchorId="7C7FAF86" wp14:editId="497DA389">
                  <wp:extent cx="1514475" cy="1133475"/>
                  <wp:effectExtent l="0" t="0" r="9525" b="9525"/>
                  <wp:docPr id="2055" name="Picture 7" descr="D:\Users\blisan\Pictures\perso\plantes halophytes milieux salins\mesembryanthemum crystallinu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 name="Picture 7" descr="D:\Users\blisan\Pictures\perso\plantes halophytes milieux salins\mesembryanthemum crystallinum1.jpg"/>
                          <pic:cNvPicPr>
                            <a:picLocks noChangeAspect="1" noChangeArrowheads="1"/>
                          </pic:cNvPicPr>
                        </pic:nvPicPr>
                        <pic:blipFill>
                          <a:blip r:embed="rId1695">
                            <a:extLst>
                              <a:ext uri="{28A0092B-C50C-407E-A947-70E740481C1C}">
                                <a14:useLocalDpi xmlns:a14="http://schemas.microsoft.com/office/drawing/2010/main" val="0"/>
                              </a:ext>
                            </a:extLst>
                          </a:blip>
                          <a:srcRect/>
                          <a:stretch>
                            <a:fillRect/>
                          </a:stretch>
                        </pic:blipFill>
                        <pic:spPr bwMode="auto">
                          <a:xfrm>
                            <a:off x="0" y="0"/>
                            <a:ext cx="1514475" cy="11334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r>
      <w:tr w:rsidR="00FC1DF7" w:rsidRPr="00BA0FBA" w14:paraId="17025A0E" w14:textId="77777777" w:rsidTr="007E58C4">
        <w:tc>
          <w:tcPr>
            <w:tcW w:w="3472" w:type="dxa"/>
          </w:tcPr>
          <w:p w14:paraId="638520AB" w14:textId="77777777" w:rsidR="00FC1DF7" w:rsidRPr="00BA0FBA" w:rsidRDefault="00FC1DF7" w:rsidP="007E58C4">
            <w:pPr>
              <w:jc w:val="center"/>
            </w:pPr>
            <w:r w:rsidRPr="00BA0FBA">
              <w:rPr>
                <w:noProof/>
              </w:rPr>
              <w:drawing>
                <wp:inline distT="0" distB="0" distL="0" distR="0" wp14:anchorId="73F7A259" wp14:editId="7E1C1987">
                  <wp:extent cx="1543050" cy="1028700"/>
                  <wp:effectExtent l="0" t="0" r="0" b="0"/>
                  <wp:docPr id="81938" name="Picture 6" descr="D:\Users\blisan\Pictures\perso\plantes halophytes milieux salins\mesembryanthemum crystallinu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 name="Picture 6" descr="D:\Users\blisan\Pictures\perso\plantes halophytes milieux salins\mesembryanthemum crystallinum2.jpg"/>
                          <pic:cNvPicPr>
                            <a:picLocks noChangeAspect="1" noChangeArrowheads="1"/>
                          </pic:cNvPicPr>
                        </pic:nvPicPr>
                        <pic:blipFill>
                          <a:blip r:embed="rId1696">
                            <a:extLst>
                              <a:ext uri="{28A0092B-C50C-407E-A947-70E740481C1C}">
                                <a14:useLocalDpi xmlns:a14="http://schemas.microsoft.com/office/drawing/2010/main" val="0"/>
                              </a:ext>
                            </a:extLst>
                          </a:blip>
                          <a:srcRect/>
                          <a:stretch>
                            <a:fillRect/>
                          </a:stretch>
                        </pic:blipFill>
                        <pic:spPr bwMode="auto">
                          <a:xfrm>
                            <a:off x="0" y="0"/>
                            <a:ext cx="1543385" cy="1028923"/>
                          </a:xfrm>
                          <a:prstGeom prst="rect">
                            <a:avLst/>
                          </a:prstGeom>
                          <a:noFill/>
                        </pic:spPr>
                      </pic:pic>
                    </a:graphicData>
                  </a:graphic>
                </wp:inline>
              </w:drawing>
            </w:r>
          </w:p>
        </w:tc>
        <w:tc>
          <w:tcPr>
            <w:tcW w:w="3472" w:type="dxa"/>
          </w:tcPr>
          <w:p w14:paraId="05431E9C" w14:textId="77777777" w:rsidR="00FC1DF7" w:rsidRPr="00BA0FBA" w:rsidRDefault="00FC1DF7" w:rsidP="007E58C4">
            <w:pPr>
              <w:jc w:val="center"/>
            </w:pPr>
            <w:r w:rsidRPr="00BA0FBA">
              <w:rPr>
                <w:noProof/>
              </w:rPr>
              <w:drawing>
                <wp:inline distT="0" distB="0" distL="0" distR="0" wp14:anchorId="170C5126" wp14:editId="4E91D115">
                  <wp:extent cx="1364381" cy="1028700"/>
                  <wp:effectExtent l="0" t="0" r="7620" b="0"/>
                  <wp:docPr id="81939" name="Picture 5" descr="D:\Users\blisan\Pictures\perso\plantes halophytes milieux salins\mesembryanthemum crystallinum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 name="Picture 5" descr="D:\Users\blisan\Pictures\perso\plantes halophytes milieux salins\mesembryanthemum crystallinum3.jpg"/>
                          <pic:cNvPicPr>
                            <a:picLocks noChangeAspect="1" noChangeArrowheads="1"/>
                          </pic:cNvPicPr>
                        </pic:nvPicPr>
                        <pic:blipFill>
                          <a:blip r:embed="rId1697">
                            <a:extLst>
                              <a:ext uri="{28A0092B-C50C-407E-A947-70E740481C1C}">
                                <a14:useLocalDpi xmlns:a14="http://schemas.microsoft.com/office/drawing/2010/main" val="0"/>
                              </a:ext>
                            </a:extLst>
                          </a:blip>
                          <a:srcRect/>
                          <a:stretch>
                            <a:fillRect/>
                          </a:stretch>
                        </pic:blipFill>
                        <pic:spPr bwMode="auto">
                          <a:xfrm>
                            <a:off x="0" y="0"/>
                            <a:ext cx="1366924" cy="1030617"/>
                          </a:xfrm>
                          <a:prstGeom prst="rect">
                            <a:avLst/>
                          </a:prstGeom>
                          <a:noFill/>
                        </pic:spPr>
                      </pic:pic>
                    </a:graphicData>
                  </a:graphic>
                </wp:inline>
              </w:drawing>
            </w:r>
          </w:p>
        </w:tc>
        <w:tc>
          <w:tcPr>
            <w:tcW w:w="3472" w:type="dxa"/>
          </w:tcPr>
          <w:p w14:paraId="7AF9FC04" w14:textId="77777777" w:rsidR="00FC1DF7" w:rsidRDefault="00FC1DF7" w:rsidP="007E58C4">
            <w:pPr>
              <w:jc w:val="center"/>
            </w:pPr>
          </w:p>
          <w:p w14:paraId="6346323E" w14:textId="77777777" w:rsidR="00FC1DF7" w:rsidRPr="00BA0FBA" w:rsidRDefault="00FC1DF7" w:rsidP="007E58C4">
            <w:pPr>
              <w:jc w:val="center"/>
            </w:pPr>
            <w:r w:rsidRPr="00BA0FBA">
              <w:rPr>
                <w:noProof/>
              </w:rPr>
              <w:drawing>
                <wp:inline distT="0" distB="0" distL="0" distR="0" wp14:anchorId="4B0EE7E6" wp14:editId="15E33128">
                  <wp:extent cx="1143000" cy="857250"/>
                  <wp:effectExtent l="0" t="0" r="0" b="0"/>
                  <wp:docPr id="81940" name="Image 400" descr="C:\Users\LISAN\Pictures\agro-forêts\Cryophytum crystallinum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Image 400" descr="C:\Users\LISAN\Pictures\agro-forêts\Cryophytum crystallinum3.jpg"/>
                          <pic:cNvPicPr>
                            <a:picLocks noChangeAspect="1" noChangeArrowheads="1"/>
                          </pic:cNvPicPr>
                        </pic:nvPicPr>
                        <pic:blipFill>
                          <a:blip r:embed="rId1698">
                            <a:extLst>
                              <a:ext uri="{28A0092B-C50C-407E-A947-70E740481C1C}">
                                <a14:useLocalDpi xmlns:a14="http://schemas.microsoft.com/office/drawing/2010/main" val="0"/>
                              </a:ext>
                            </a:extLst>
                          </a:blip>
                          <a:srcRect/>
                          <a:stretch>
                            <a:fillRect/>
                          </a:stretch>
                        </pic:blipFill>
                        <pic:spPr bwMode="auto">
                          <a:xfrm>
                            <a:off x="0" y="0"/>
                            <a:ext cx="1143000" cy="857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5596050C" w14:textId="77777777" w:rsidR="00EF1A93" w:rsidRDefault="00EF1A93" w:rsidP="00FC1DF7">
      <w:pPr>
        <w:spacing w:after="0" w:line="240" w:lineRule="auto"/>
      </w:pPr>
    </w:p>
    <w:p w14:paraId="15CA43D7" w14:textId="4C04AF85" w:rsidR="00FC1DF7" w:rsidRDefault="00FC1DF7" w:rsidP="00FC1DF7">
      <w:pPr>
        <w:pStyle w:val="Titre2"/>
      </w:pPr>
      <w:bookmarkStart w:id="167" w:name="_Toc139181458"/>
      <w:r w:rsidRPr="00535AB3">
        <w:t>Cramb</w:t>
      </w:r>
      <w:r w:rsidR="00A465B3">
        <w:t>é</w:t>
      </w:r>
      <w:r w:rsidRPr="00535AB3">
        <w:t xml:space="preserve"> maritime</w:t>
      </w:r>
      <w:r w:rsidR="00A465B3">
        <w:t xml:space="preserve"> ou chou marin</w:t>
      </w:r>
      <w:r w:rsidRPr="00535AB3">
        <w:t xml:space="preserve"> </w:t>
      </w:r>
      <w:r w:rsidRPr="00535AB3">
        <w:rPr>
          <w:i/>
          <w:iCs/>
        </w:rPr>
        <w:t>(Crambe maritima</w:t>
      </w:r>
      <w:r w:rsidRPr="00535AB3">
        <w:t>)</w:t>
      </w:r>
      <w:bookmarkEnd w:id="167"/>
    </w:p>
    <w:p w14:paraId="0B994B0D" w14:textId="77777777" w:rsidR="00FC1DF7" w:rsidRDefault="00FC1DF7" w:rsidP="00FC1DF7">
      <w:pPr>
        <w:spacing w:after="0" w:line="240" w:lineRule="auto"/>
      </w:pPr>
    </w:p>
    <w:p w14:paraId="12E0F131" w14:textId="04F07FC7" w:rsidR="00FC1DF7" w:rsidRPr="00A465B3" w:rsidRDefault="00FC1DF7" w:rsidP="00FC1DF7">
      <w:pPr>
        <w:spacing w:after="0" w:line="240" w:lineRule="auto"/>
        <w:jc w:val="both"/>
        <w:rPr>
          <w:rFonts w:ascii="Calibri" w:hAnsi="Calibri" w:cs="Calibri"/>
          <w:color w:val="000000" w:themeColor="text1"/>
          <w:shd w:val="clear" w:color="auto" w:fill="FFFFFF"/>
        </w:rPr>
      </w:pPr>
      <w:r>
        <w:rPr>
          <w:rFonts w:ascii="Calibri" w:hAnsi="Calibri" w:cs="Calibri"/>
          <w:shd w:val="clear" w:color="auto" w:fill="FFFFFF"/>
        </w:rPr>
        <w:t xml:space="preserve">Pour mention : </w:t>
      </w:r>
      <w:r w:rsidRPr="00535AB3">
        <w:rPr>
          <w:rFonts w:ascii="Calibri" w:hAnsi="Calibri" w:cs="Calibri"/>
          <w:shd w:val="clear" w:color="auto" w:fill="FFFFFF"/>
        </w:rPr>
        <w:t>La </w:t>
      </w:r>
      <w:r w:rsidRPr="00535AB3">
        <w:rPr>
          <w:rFonts w:ascii="Calibri" w:hAnsi="Calibri" w:cs="Calibri"/>
          <w:i/>
          <w:iCs/>
          <w:shd w:val="clear" w:color="auto" w:fill="FFFFFF"/>
        </w:rPr>
        <w:t>Chourbe</w:t>
      </w:r>
      <w:r w:rsidRPr="00535AB3">
        <w:rPr>
          <w:rFonts w:ascii="Calibri" w:hAnsi="Calibri" w:cs="Calibri"/>
          <w:shd w:val="clear" w:color="auto" w:fill="FFFFFF"/>
        </w:rPr>
        <w:t>, encore appelé le </w:t>
      </w:r>
      <w:r w:rsidRPr="00535AB3">
        <w:rPr>
          <w:rFonts w:ascii="Calibri" w:hAnsi="Calibri" w:cs="Calibri"/>
          <w:i/>
          <w:iCs/>
          <w:shd w:val="clear" w:color="auto" w:fill="FFFFFF"/>
        </w:rPr>
        <w:t>crambé maritime</w:t>
      </w:r>
      <w:r w:rsidRPr="00535AB3">
        <w:rPr>
          <w:rFonts w:ascii="Calibri" w:hAnsi="Calibri" w:cs="Calibri"/>
          <w:shd w:val="clear" w:color="auto" w:fill="FFFFFF"/>
        </w:rPr>
        <w:t> ou </w:t>
      </w:r>
      <w:r w:rsidRPr="00535AB3">
        <w:rPr>
          <w:rFonts w:ascii="Calibri" w:hAnsi="Calibri" w:cs="Calibri"/>
          <w:i/>
          <w:iCs/>
          <w:shd w:val="clear" w:color="auto" w:fill="FFFFFF"/>
        </w:rPr>
        <w:t>chou marin</w:t>
      </w:r>
      <w:r w:rsidRPr="00535AB3">
        <w:rPr>
          <w:rFonts w:ascii="Calibri" w:hAnsi="Calibri" w:cs="Calibri"/>
          <w:shd w:val="clear" w:color="auto" w:fill="FFFFFF"/>
        </w:rPr>
        <w:t>, est l'un des deux représentants européens du </w:t>
      </w:r>
      <w:hyperlink r:id="rId1699" w:tooltip="Genre (biologie)" w:history="1">
        <w:r w:rsidRPr="00535AB3">
          <w:rPr>
            <w:rStyle w:val="Lienhypertexte"/>
            <w:rFonts w:ascii="Calibri" w:hAnsi="Calibri" w:cs="Calibri"/>
            <w:color w:val="0645AD"/>
            <w:shd w:val="clear" w:color="auto" w:fill="FFFFFF"/>
          </w:rPr>
          <w:t>genre</w:t>
        </w:r>
      </w:hyperlink>
      <w:r w:rsidRPr="00535AB3">
        <w:rPr>
          <w:rFonts w:ascii="Calibri" w:hAnsi="Calibri" w:cs="Calibri"/>
          <w:color w:val="202122"/>
          <w:shd w:val="clear" w:color="auto" w:fill="FFFFFF"/>
        </w:rPr>
        <w:t> </w:t>
      </w:r>
      <w:hyperlink r:id="rId1700" w:tooltip="Crambe (plante)" w:history="1">
        <w:r w:rsidRPr="00535AB3">
          <w:rPr>
            <w:rStyle w:val="Lienhypertexte"/>
            <w:rFonts w:ascii="Calibri" w:hAnsi="Calibri" w:cs="Calibri"/>
            <w:i/>
            <w:iCs/>
            <w:color w:val="0645AD"/>
            <w:shd w:val="clear" w:color="auto" w:fill="FFFFFF"/>
          </w:rPr>
          <w:t>Crambe</w:t>
        </w:r>
      </w:hyperlink>
      <w:r w:rsidRPr="00535AB3">
        <w:rPr>
          <w:rFonts w:ascii="Calibri" w:hAnsi="Calibri" w:cs="Calibri"/>
          <w:color w:val="202122"/>
          <w:shd w:val="clear" w:color="auto" w:fill="FFFFFF"/>
        </w:rPr>
        <w:t xml:space="preserve">, </w:t>
      </w:r>
      <w:r w:rsidRPr="00535AB3">
        <w:rPr>
          <w:rFonts w:ascii="Calibri" w:hAnsi="Calibri" w:cs="Calibri"/>
          <w:shd w:val="clear" w:color="auto" w:fill="FFFFFF"/>
        </w:rPr>
        <w:t>avec </w:t>
      </w:r>
      <w:r w:rsidRPr="00535AB3">
        <w:rPr>
          <w:rFonts w:ascii="Calibri" w:hAnsi="Calibri" w:cs="Calibri"/>
          <w:i/>
          <w:iCs/>
          <w:shd w:val="clear" w:color="auto" w:fill="FFFFFF"/>
        </w:rPr>
        <w:t>Crambe hispanica</w:t>
      </w:r>
      <w:r w:rsidRPr="00535AB3">
        <w:rPr>
          <w:rFonts w:ascii="Calibri" w:hAnsi="Calibri" w:cs="Calibri"/>
          <w:shd w:val="clear" w:color="auto" w:fill="FFFFFF"/>
        </w:rPr>
        <w:t>. C</w:t>
      </w:r>
      <w:r w:rsidR="00A465B3">
        <w:rPr>
          <w:rFonts w:ascii="Calibri" w:hAnsi="Calibri" w:cs="Calibri"/>
          <w:shd w:val="clear" w:color="auto" w:fill="FFFFFF"/>
        </w:rPr>
        <w:t>ette</w:t>
      </w:r>
      <w:r w:rsidRPr="00535AB3">
        <w:rPr>
          <w:rFonts w:ascii="Calibri" w:hAnsi="Calibri" w:cs="Calibri"/>
          <w:shd w:val="clear" w:color="auto" w:fill="FFFFFF"/>
        </w:rPr>
        <w:t xml:space="preserve"> plante </w:t>
      </w:r>
      <w:r w:rsidR="00A465B3">
        <w:rPr>
          <w:rFonts w:ascii="Calibri" w:hAnsi="Calibri" w:cs="Calibri"/>
          <w:shd w:val="clear" w:color="auto" w:fill="FFFFFF"/>
        </w:rPr>
        <w:t>de</w:t>
      </w:r>
      <w:r w:rsidRPr="00535AB3">
        <w:rPr>
          <w:rFonts w:ascii="Calibri" w:hAnsi="Calibri" w:cs="Calibri"/>
          <w:shd w:val="clear" w:color="auto" w:fill="FFFFFF"/>
        </w:rPr>
        <w:t xml:space="preserve"> la famille des </w:t>
      </w:r>
      <w:hyperlink r:id="rId1701" w:tooltip="Brassicaceae" w:history="1">
        <w:r w:rsidRPr="00535AB3">
          <w:rPr>
            <w:rStyle w:val="Lienhypertexte"/>
            <w:rFonts w:ascii="Calibri" w:hAnsi="Calibri" w:cs="Calibri"/>
            <w:i/>
            <w:iCs/>
            <w:color w:val="0645AD"/>
            <w:shd w:val="clear" w:color="auto" w:fill="FFFFFF"/>
          </w:rPr>
          <w:t>Brassicacées</w:t>
        </w:r>
      </w:hyperlink>
      <w:r w:rsidRPr="00535AB3">
        <w:rPr>
          <w:rFonts w:ascii="Calibri" w:hAnsi="Calibri" w:cs="Calibri"/>
          <w:color w:val="202122"/>
          <w:shd w:val="clear" w:color="auto" w:fill="FFFFFF"/>
        </w:rPr>
        <w:t xml:space="preserve"> (ou </w:t>
      </w:r>
      <w:r w:rsidRPr="00A465B3">
        <w:rPr>
          <w:rFonts w:ascii="Calibri" w:hAnsi="Calibri" w:cs="Calibri"/>
          <w:i/>
          <w:iCs/>
          <w:color w:val="000000" w:themeColor="text1"/>
          <w:shd w:val="clear" w:color="auto" w:fill="FFFFFF"/>
        </w:rPr>
        <w:t>Crucifères</w:t>
      </w:r>
      <w:r w:rsidRPr="00A465B3">
        <w:rPr>
          <w:rFonts w:ascii="Calibri" w:hAnsi="Calibri" w:cs="Calibri"/>
          <w:color w:val="000000" w:themeColor="text1"/>
          <w:shd w:val="clear" w:color="auto" w:fill="FFFFFF"/>
        </w:rPr>
        <w:t xml:space="preserve">), </w:t>
      </w:r>
      <w:r w:rsidRPr="00535AB3">
        <w:rPr>
          <w:rFonts w:ascii="Calibri" w:hAnsi="Calibri" w:cs="Calibri"/>
          <w:shd w:val="clear" w:color="auto" w:fill="FFFFFF"/>
        </w:rPr>
        <w:t>pouss</w:t>
      </w:r>
      <w:r w:rsidR="00A465B3">
        <w:rPr>
          <w:rFonts w:ascii="Calibri" w:hAnsi="Calibri" w:cs="Calibri"/>
          <w:shd w:val="clear" w:color="auto" w:fill="FFFFFF"/>
        </w:rPr>
        <w:t>e</w:t>
      </w:r>
      <w:r w:rsidRPr="00535AB3">
        <w:rPr>
          <w:rFonts w:ascii="Calibri" w:hAnsi="Calibri" w:cs="Calibri"/>
          <w:shd w:val="clear" w:color="auto" w:fill="FFFFFF"/>
        </w:rPr>
        <w:t xml:space="preserve"> sur le littoral de la </w:t>
      </w:r>
      <w:hyperlink r:id="rId1702" w:tooltip="Mer Baltique" w:history="1">
        <w:r w:rsidRPr="00535AB3">
          <w:rPr>
            <w:rStyle w:val="Lienhypertexte"/>
            <w:rFonts w:ascii="Calibri" w:hAnsi="Calibri" w:cs="Calibri"/>
            <w:color w:val="0645AD"/>
            <w:shd w:val="clear" w:color="auto" w:fill="FFFFFF"/>
          </w:rPr>
          <w:t>Baltique</w:t>
        </w:r>
      </w:hyperlink>
      <w:r w:rsidRPr="00535AB3">
        <w:rPr>
          <w:rFonts w:ascii="Calibri" w:hAnsi="Calibri" w:cs="Calibri"/>
          <w:color w:val="202122"/>
          <w:shd w:val="clear" w:color="auto" w:fill="FFFFFF"/>
        </w:rPr>
        <w:t>, de la </w:t>
      </w:r>
      <w:hyperlink r:id="rId1703" w:tooltip="Manche (mer)" w:history="1">
        <w:r w:rsidRPr="00535AB3">
          <w:rPr>
            <w:rStyle w:val="Lienhypertexte"/>
            <w:rFonts w:ascii="Calibri" w:hAnsi="Calibri" w:cs="Calibri"/>
            <w:color w:val="0645AD"/>
            <w:shd w:val="clear" w:color="auto" w:fill="FFFFFF"/>
          </w:rPr>
          <w:t>Manche</w:t>
        </w:r>
      </w:hyperlink>
      <w:r w:rsidRPr="00535AB3">
        <w:rPr>
          <w:rFonts w:ascii="Calibri" w:hAnsi="Calibri" w:cs="Calibri"/>
          <w:color w:val="202122"/>
          <w:shd w:val="clear" w:color="auto" w:fill="FFFFFF"/>
        </w:rPr>
        <w:t> et de l</w:t>
      </w:r>
      <w:r w:rsidR="00A465B3">
        <w:rPr>
          <w:rFonts w:ascii="Calibri" w:hAnsi="Calibri" w:cs="Calibri"/>
          <w:color w:val="202122"/>
          <w:shd w:val="clear" w:color="auto" w:fill="FFFFFF"/>
        </w:rPr>
        <w:t>’</w:t>
      </w:r>
      <w:hyperlink r:id="rId1704" w:tooltip="Atlantique" w:history="1">
        <w:r w:rsidRPr="00535AB3">
          <w:rPr>
            <w:rStyle w:val="Lienhypertexte"/>
            <w:rFonts w:ascii="Calibri" w:hAnsi="Calibri" w:cs="Calibri"/>
            <w:color w:val="0645AD"/>
            <w:shd w:val="clear" w:color="auto" w:fill="FFFFFF"/>
          </w:rPr>
          <w:t>Atlantique</w:t>
        </w:r>
      </w:hyperlink>
      <w:r w:rsidRPr="00535AB3">
        <w:rPr>
          <w:rFonts w:ascii="Calibri" w:hAnsi="Calibri" w:cs="Calibri"/>
          <w:color w:val="202122"/>
          <w:shd w:val="clear" w:color="auto" w:fill="FFFFFF"/>
        </w:rPr>
        <w:t> (</w:t>
      </w:r>
      <w:r w:rsidRPr="00535AB3">
        <w:rPr>
          <w:rFonts w:ascii="Calibri" w:hAnsi="Calibri" w:cs="Calibri"/>
          <w:shd w:val="clear" w:color="auto" w:fill="FFFFFF"/>
        </w:rPr>
        <w:t>sable, galets, falaises</w:t>
      </w:r>
      <w:r w:rsidRPr="00A465B3">
        <w:rPr>
          <w:rFonts w:ascii="Calibri" w:hAnsi="Calibri" w:cs="Calibri"/>
          <w:color w:val="000000" w:themeColor="text1"/>
          <w:shd w:val="clear" w:color="auto" w:fill="FFFFFF"/>
        </w:rPr>
        <w:t xml:space="preserve">). </w:t>
      </w:r>
      <w:r w:rsidR="00A465B3">
        <w:rPr>
          <w:rFonts w:ascii="Calibri" w:hAnsi="Calibri" w:cs="Calibri"/>
          <w:color w:val="000000" w:themeColor="text1"/>
          <w:shd w:val="clear" w:color="auto" w:fill="FFFFFF"/>
        </w:rPr>
        <w:t>Cette plante</w:t>
      </w:r>
      <w:r w:rsidRPr="00A465B3">
        <w:rPr>
          <w:rFonts w:ascii="Calibri" w:hAnsi="Calibri" w:cs="Calibri"/>
          <w:color w:val="000000" w:themeColor="text1"/>
          <w:shd w:val="clear" w:color="auto" w:fill="FFFFFF"/>
        </w:rPr>
        <w:t xml:space="preserve"> est cultivé</w:t>
      </w:r>
      <w:r w:rsidR="00A465B3">
        <w:rPr>
          <w:rFonts w:ascii="Calibri" w:hAnsi="Calibri" w:cs="Calibri"/>
          <w:color w:val="000000" w:themeColor="text1"/>
          <w:shd w:val="clear" w:color="auto" w:fill="FFFFFF"/>
        </w:rPr>
        <w:t>e</w:t>
      </w:r>
      <w:r w:rsidRPr="00A465B3">
        <w:rPr>
          <w:rFonts w:ascii="Calibri" w:hAnsi="Calibri" w:cs="Calibri"/>
          <w:color w:val="000000" w:themeColor="text1"/>
          <w:shd w:val="clear" w:color="auto" w:fill="FFFFFF"/>
        </w:rPr>
        <w:t xml:space="preserve"> pour l</w:t>
      </w:r>
      <w:r w:rsidR="00A465B3">
        <w:rPr>
          <w:rFonts w:ascii="Calibri" w:hAnsi="Calibri" w:cs="Calibri"/>
          <w:color w:val="000000" w:themeColor="text1"/>
          <w:shd w:val="clear" w:color="auto" w:fill="FFFFFF"/>
        </w:rPr>
        <w:t>’</w:t>
      </w:r>
      <w:r w:rsidRPr="00A465B3">
        <w:rPr>
          <w:rFonts w:ascii="Calibri" w:hAnsi="Calibri" w:cs="Calibri"/>
          <w:color w:val="000000" w:themeColor="text1"/>
          <w:shd w:val="clear" w:color="auto" w:fill="FFFFFF"/>
        </w:rPr>
        <w:t>ornement et la consommation. Surexploitée, l’espèce est devenue rare et est protégée.</w:t>
      </w:r>
      <w:r w:rsidR="00A465B3">
        <w:rPr>
          <w:rFonts w:ascii="Calibri" w:hAnsi="Calibri" w:cs="Calibri"/>
          <w:color w:val="000000" w:themeColor="text1"/>
          <w:shd w:val="clear" w:color="auto" w:fill="FFFFFF"/>
        </w:rPr>
        <w:t xml:space="preserve"> </w:t>
      </w:r>
    </w:p>
    <w:p w14:paraId="5A919281" w14:textId="77777777" w:rsidR="00FC1DF7" w:rsidRPr="00535AB3" w:rsidRDefault="00FC1DF7" w:rsidP="00FC1DF7">
      <w:pPr>
        <w:spacing w:after="0" w:line="240" w:lineRule="auto"/>
        <w:jc w:val="both"/>
        <w:rPr>
          <w:rFonts w:ascii="Calibri" w:hAnsi="Calibri" w:cs="Calibri"/>
          <w:shd w:val="clear" w:color="auto" w:fill="FFFFFF"/>
        </w:rPr>
      </w:pPr>
      <w:r w:rsidRPr="00A465B3">
        <w:rPr>
          <w:rFonts w:ascii="Calibri" w:hAnsi="Calibri" w:cs="Calibri"/>
          <w:color w:val="000000" w:themeColor="text1"/>
          <w:shd w:val="clear" w:color="auto" w:fill="FFFFFF"/>
        </w:rPr>
        <w:t xml:space="preserve">Plante vivace vert grisâtre, robuste, à tige épaisse, ligneuse à la base. Elle forme souvent des touffes importantes. </w:t>
      </w:r>
      <w:r w:rsidRPr="00535AB3">
        <w:rPr>
          <w:rFonts w:ascii="Calibri" w:hAnsi="Calibri" w:cs="Calibri"/>
          <w:color w:val="202122"/>
          <w:shd w:val="clear" w:color="auto" w:fill="FFFFFF"/>
        </w:rPr>
        <w:t>Grandes </w:t>
      </w:r>
      <w:hyperlink r:id="rId1705" w:tooltip="Feuille" w:history="1">
        <w:r w:rsidRPr="00535AB3">
          <w:rPr>
            <w:rStyle w:val="Lienhypertexte"/>
            <w:rFonts w:ascii="Calibri" w:hAnsi="Calibri" w:cs="Calibri"/>
            <w:color w:val="0645AD"/>
            <w:shd w:val="clear" w:color="auto" w:fill="FFFFFF"/>
          </w:rPr>
          <w:t>feuilles</w:t>
        </w:r>
      </w:hyperlink>
      <w:r w:rsidRPr="00535AB3">
        <w:rPr>
          <w:rFonts w:ascii="Calibri" w:hAnsi="Calibri" w:cs="Calibri"/>
          <w:color w:val="202122"/>
          <w:shd w:val="clear" w:color="auto" w:fill="FFFFFF"/>
        </w:rPr>
        <w:t> </w:t>
      </w:r>
      <w:r w:rsidRPr="00535AB3">
        <w:rPr>
          <w:rFonts w:ascii="Calibri" w:hAnsi="Calibri" w:cs="Calibri"/>
          <w:shd w:val="clear" w:color="auto" w:fill="FFFFFF"/>
        </w:rPr>
        <w:t>arrondies et charnues, pennatilobées, celles du sommet de la tige plus étroites que celles de la base</w:t>
      </w:r>
      <w:r w:rsidRPr="00535AB3">
        <w:rPr>
          <w:rFonts w:ascii="Calibri" w:hAnsi="Calibri" w:cs="Calibri"/>
          <w:color w:val="202122"/>
          <w:shd w:val="clear" w:color="auto" w:fill="FFFFFF"/>
        </w:rPr>
        <w:t>. </w:t>
      </w:r>
      <w:hyperlink r:id="rId1706" w:tooltip="Fleur" w:history="1">
        <w:r w:rsidRPr="00535AB3">
          <w:rPr>
            <w:rStyle w:val="Lienhypertexte"/>
            <w:rFonts w:ascii="Calibri" w:hAnsi="Calibri" w:cs="Calibri"/>
            <w:color w:val="0645AD"/>
            <w:shd w:val="clear" w:color="auto" w:fill="FFFFFF"/>
          </w:rPr>
          <w:t>Fleurs</w:t>
        </w:r>
      </w:hyperlink>
      <w:r w:rsidRPr="00535AB3">
        <w:rPr>
          <w:rFonts w:ascii="Calibri" w:hAnsi="Calibri" w:cs="Calibri"/>
          <w:color w:val="202122"/>
          <w:shd w:val="clear" w:color="auto" w:fill="FFFFFF"/>
        </w:rPr>
        <w:t> </w:t>
      </w:r>
      <w:r w:rsidRPr="00535AB3">
        <w:rPr>
          <w:rFonts w:ascii="Calibri" w:hAnsi="Calibri" w:cs="Calibri"/>
          <w:shd w:val="clear" w:color="auto" w:fill="FFFFFF"/>
        </w:rPr>
        <w:t>blanches e</w:t>
      </w:r>
      <w:r w:rsidRPr="00535AB3">
        <w:rPr>
          <w:rFonts w:ascii="Calibri" w:hAnsi="Calibri" w:cs="Calibri"/>
          <w:color w:val="202122"/>
          <w:shd w:val="clear" w:color="auto" w:fill="FFFFFF"/>
        </w:rPr>
        <w:t>n </w:t>
      </w:r>
      <w:hyperlink r:id="rId1707" w:tooltip="Grappe" w:history="1">
        <w:r w:rsidRPr="00535AB3">
          <w:rPr>
            <w:rStyle w:val="Lienhypertexte"/>
            <w:rFonts w:ascii="Calibri" w:hAnsi="Calibri" w:cs="Calibri"/>
            <w:color w:val="0645AD"/>
            <w:shd w:val="clear" w:color="auto" w:fill="FFFFFF"/>
          </w:rPr>
          <w:t>grappes</w:t>
        </w:r>
      </w:hyperlink>
      <w:r w:rsidRPr="00535AB3">
        <w:rPr>
          <w:rFonts w:ascii="Calibri" w:hAnsi="Calibri" w:cs="Calibri"/>
          <w:color w:val="202122"/>
          <w:shd w:val="clear" w:color="auto" w:fill="FFFFFF"/>
        </w:rPr>
        <w:t> </w:t>
      </w:r>
      <w:r w:rsidRPr="00535AB3">
        <w:rPr>
          <w:rFonts w:ascii="Calibri" w:hAnsi="Calibri" w:cs="Calibri"/>
          <w:shd w:val="clear" w:color="auto" w:fill="FFFFFF"/>
        </w:rPr>
        <w:t>serrées, avec, comme pour toutes les crucifères, quatre </w:t>
      </w:r>
      <w:hyperlink r:id="rId1708" w:tooltip="Sépale" w:history="1">
        <w:r w:rsidRPr="00535AB3">
          <w:rPr>
            <w:rStyle w:val="Lienhypertexte"/>
            <w:rFonts w:ascii="Calibri" w:hAnsi="Calibri" w:cs="Calibri"/>
            <w:color w:val="0645AD"/>
            <w:shd w:val="clear" w:color="auto" w:fill="FFFFFF"/>
          </w:rPr>
          <w:t>sépales</w:t>
        </w:r>
      </w:hyperlink>
      <w:r w:rsidRPr="00535AB3">
        <w:rPr>
          <w:rFonts w:ascii="Calibri" w:hAnsi="Calibri" w:cs="Calibri"/>
          <w:color w:val="202122"/>
          <w:shd w:val="clear" w:color="auto" w:fill="FFFFFF"/>
        </w:rPr>
        <w:t xml:space="preserve">, </w:t>
      </w:r>
      <w:r w:rsidRPr="00535AB3">
        <w:rPr>
          <w:rFonts w:ascii="Calibri" w:hAnsi="Calibri" w:cs="Calibri"/>
          <w:shd w:val="clear" w:color="auto" w:fill="FFFFFF"/>
        </w:rPr>
        <w:t>quatre </w:t>
      </w:r>
      <w:hyperlink r:id="rId1709" w:tooltip="Pétale" w:history="1">
        <w:r w:rsidRPr="00535AB3">
          <w:rPr>
            <w:rStyle w:val="Lienhypertexte"/>
            <w:rFonts w:ascii="Calibri" w:hAnsi="Calibri" w:cs="Calibri"/>
            <w:color w:val="0645AD"/>
            <w:shd w:val="clear" w:color="auto" w:fill="FFFFFF"/>
          </w:rPr>
          <w:t>pétales</w:t>
        </w:r>
      </w:hyperlink>
      <w:r w:rsidRPr="00535AB3">
        <w:rPr>
          <w:rFonts w:ascii="Calibri" w:hAnsi="Calibri" w:cs="Calibri"/>
          <w:color w:val="202122"/>
          <w:shd w:val="clear" w:color="auto" w:fill="FFFFFF"/>
        </w:rPr>
        <w:t> </w:t>
      </w:r>
      <w:r w:rsidRPr="00535AB3">
        <w:rPr>
          <w:rFonts w:ascii="Calibri" w:hAnsi="Calibri" w:cs="Calibri"/>
          <w:shd w:val="clear" w:color="auto" w:fill="FFFFFF"/>
        </w:rPr>
        <w:t>séparés et six </w:t>
      </w:r>
      <w:hyperlink r:id="rId1710" w:tooltip="Étamine" w:history="1">
        <w:r w:rsidRPr="00535AB3">
          <w:rPr>
            <w:rStyle w:val="Lienhypertexte"/>
            <w:rFonts w:ascii="Calibri" w:hAnsi="Calibri" w:cs="Calibri"/>
            <w:color w:val="0645AD"/>
            <w:shd w:val="clear" w:color="auto" w:fill="FFFFFF"/>
          </w:rPr>
          <w:t>étamines</w:t>
        </w:r>
      </w:hyperlink>
      <w:r w:rsidRPr="00535AB3">
        <w:rPr>
          <w:rFonts w:ascii="Calibri" w:hAnsi="Calibri" w:cs="Calibri"/>
          <w:color w:val="202122"/>
          <w:shd w:val="clear" w:color="auto" w:fill="FFFFFF"/>
        </w:rPr>
        <w:t xml:space="preserve">. </w:t>
      </w:r>
      <w:r w:rsidRPr="00535AB3">
        <w:rPr>
          <w:rFonts w:ascii="Calibri" w:hAnsi="Calibri" w:cs="Calibri"/>
          <w:shd w:val="clear" w:color="auto" w:fill="FFFFFF"/>
        </w:rPr>
        <w:t>Les </w:t>
      </w:r>
      <w:hyperlink r:id="rId1711" w:tooltip="Fruit (botanique)" w:history="1">
        <w:r w:rsidRPr="00535AB3">
          <w:rPr>
            <w:rStyle w:val="Lienhypertexte"/>
            <w:rFonts w:ascii="Calibri" w:hAnsi="Calibri" w:cs="Calibri"/>
            <w:color w:val="0645AD"/>
            <w:shd w:val="clear" w:color="auto" w:fill="FFFFFF"/>
          </w:rPr>
          <w:t>fruits</w:t>
        </w:r>
      </w:hyperlink>
      <w:r w:rsidRPr="00535AB3">
        <w:rPr>
          <w:rFonts w:ascii="Calibri" w:hAnsi="Calibri" w:cs="Calibri"/>
          <w:color w:val="202122"/>
          <w:shd w:val="clear" w:color="auto" w:fill="FFFFFF"/>
        </w:rPr>
        <w:t> </w:t>
      </w:r>
      <w:r w:rsidRPr="00535AB3">
        <w:rPr>
          <w:rFonts w:ascii="Calibri" w:hAnsi="Calibri" w:cs="Calibri"/>
          <w:shd w:val="clear" w:color="auto" w:fill="FFFFFF"/>
        </w:rPr>
        <w:t>sont des </w:t>
      </w:r>
      <w:hyperlink r:id="rId1712" w:tooltip="Silique" w:history="1">
        <w:r w:rsidRPr="00535AB3">
          <w:rPr>
            <w:rStyle w:val="Lienhypertexte"/>
            <w:rFonts w:ascii="Calibri" w:hAnsi="Calibri" w:cs="Calibri"/>
            <w:color w:val="0645AD"/>
            <w:shd w:val="clear" w:color="auto" w:fill="FFFFFF"/>
          </w:rPr>
          <w:t>siliques</w:t>
        </w:r>
      </w:hyperlink>
      <w:r w:rsidRPr="00535AB3">
        <w:rPr>
          <w:rFonts w:ascii="Calibri" w:hAnsi="Calibri" w:cs="Calibri"/>
          <w:color w:val="202122"/>
          <w:shd w:val="clear" w:color="auto" w:fill="FFFFFF"/>
        </w:rPr>
        <w:t> </w:t>
      </w:r>
      <w:r w:rsidRPr="00535AB3">
        <w:rPr>
          <w:rFonts w:ascii="Calibri" w:hAnsi="Calibri" w:cs="Calibri"/>
          <w:shd w:val="clear" w:color="auto" w:fill="FFFFFF"/>
        </w:rPr>
        <w:t>globuleuses de couleur jaunâtre.</w:t>
      </w:r>
    </w:p>
    <w:p w14:paraId="1DAE576D" w14:textId="68CED56A" w:rsidR="00FC1DF7" w:rsidRPr="00535AB3" w:rsidRDefault="00FC1DF7" w:rsidP="00FC1DF7">
      <w:pPr>
        <w:spacing w:after="0" w:line="240" w:lineRule="auto"/>
        <w:jc w:val="both"/>
        <w:rPr>
          <w:rFonts w:ascii="Calibri" w:hAnsi="Calibri" w:cs="Calibri"/>
          <w:shd w:val="clear" w:color="auto" w:fill="FFFFFF"/>
        </w:rPr>
      </w:pPr>
      <w:r w:rsidRPr="00535AB3">
        <w:rPr>
          <w:rFonts w:ascii="Calibri" w:hAnsi="Calibri" w:cs="Calibri"/>
          <w:i/>
          <w:iCs/>
          <w:shd w:val="clear" w:color="auto" w:fill="FFFFFF"/>
        </w:rPr>
        <w:t>Le crambé maritime est facile à cultiver</w:t>
      </w:r>
      <w:r w:rsidRPr="00535AB3">
        <w:rPr>
          <w:rFonts w:ascii="Calibri" w:hAnsi="Calibri" w:cs="Calibri"/>
          <w:shd w:val="clear" w:color="auto" w:fill="FFFFFF"/>
        </w:rPr>
        <w:t xml:space="preserve">. </w:t>
      </w:r>
      <w:r w:rsidRPr="00535AB3">
        <w:rPr>
          <w:rFonts w:ascii="Calibri" w:hAnsi="Calibri" w:cs="Calibri"/>
          <w:i/>
          <w:iCs/>
          <w:shd w:val="clear" w:color="auto" w:fill="FFFFFF"/>
        </w:rPr>
        <w:t>Poussant naturellement en bord de mer du nord de l</w:t>
      </w:r>
      <w:r w:rsidR="00A465B3">
        <w:rPr>
          <w:rFonts w:ascii="Calibri" w:hAnsi="Calibri" w:cs="Calibri"/>
          <w:i/>
          <w:iCs/>
          <w:shd w:val="clear" w:color="auto" w:fill="FFFFFF"/>
        </w:rPr>
        <w:t>’</w:t>
      </w:r>
      <w:r w:rsidRPr="00535AB3">
        <w:rPr>
          <w:rFonts w:ascii="Calibri" w:hAnsi="Calibri" w:cs="Calibri"/>
          <w:i/>
          <w:iCs/>
          <w:shd w:val="clear" w:color="auto" w:fill="FFFFFF"/>
        </w:rPr>
        <w:t>Europe</w:t>
      </w:r>
      <w:r w:rsidRPr="00535AB3">
        <w:rPr>
          <w:rFonts w:ascii="Calibri" w:hAnsi="Calibri" w:cs="Calibri"/>
          <w:shd w:val="clear" w:color="auto" w:fill="FFFFFF"/>
        </w:rPr>
        <w:t xml:space="preserve">, elle préfère les sols légers à Ph neutre ou alcalins et les positions plein-soleil, mais </w:t>
      </w:r>
      <w:r w:rsidRPr="00535AB3">
        <w:rPr>
          <w:rFonts w:ascii="Calibri" w:hAnsi="Calibri" w:cs="Calibri"/>
          <w:i/>
          <w:iCs/>
          <w:shd w:val="clear" w:color="auto" w:fill="FFFFFF"/>
        </w:rPr>
        <w:t>n</w:t>
      </w:r>
      <w:r w:rsidR="00A465B3">
        <w:rPr>
          <w:rFonts w:ascii="Calibri" w:hAnsi="Calibri" w:cs="Calibri"/>
          <w:i/>
          <w:iCs/>
          <w:shd w:val="clear" w:color="auto" w:fill="FFFFFF"/>
        </w:rPr>
        <w:t>’</w:t>
      </w:r>
      <w:r w:rsidRPr="00535AB3">
        <w:rPr>
          <w:rFonts w:ascii="Calibri" w:hAnsi="Calibri" w:cs="Calibri"/>
          <w:i/>
          <w:iCs/>
          <w:shd w:val="clear" w:color="auto" w:fill="FFFFFF"/>
        </w:rPr>
        <w:t>aime pas les climats trop chauds</w:t>
      </w:r>
      <w:r w:rsidRPr="00535AB3">
        <w:rPr>
          <w:rFonts w:ascii="Calibri" w:hAnsi="Calibri" w:cs="Calibri"/>
          <w:shd w:val="clear" w:color="auto" w:fill="FFFFFF"/>
        </w:rPr>
        <w:t>. Bien que préférant les sols riches, elle tolère parfaitement les sols pauvres mais toujours bien drainés car elle ne supporte pas l</w:t>
      </w:r>
      <w:r w:rsidR="00A465B3">
        <w:rPr>
          <w:rFonts w:ascii="Calibri" w:hAnsi="Calibri" w:cs="Calibri"/>
          <w:shd w:val="clear" w:color="auto" w:fill="FFFFFF"/>
        </w:rPr>
        <w:t>’</w:t>
      </w:r>
      <w:r w:rsidRPr="00535AB3">
        <w:rPr>
          <w:rFonts w:ascii="Calibri" w:hAnsi="Calibri" w:cs="Calibri"/>
          <w:shd w:val="clear" w:color="auto" w:fill="FFFFFF"/>
        </w:rPr>
        <w:t xml:space="preserve">humidité stagnante. </w:t>
      </w:r>
      <w:r w:rsidRPr="00535AB3">
        <w:rPr>
          <w:rFonts w:ascii="Calibri" w:hAnsi="Calibri" w:cs="Calibri"/>
          <w:i/>
          <w:iCs/>
          <w:shd w:val="clear" w:color="auto" w:fill="FFFFFF"/>
        </w:rPr>
        <w:t>Elle résiste au froid jusqu</w:t>
      </w:r>
      <w:r w:rsidR="00A465B3">
        <w:rPr>
          <w:rFonts w:ascii="Calibri" w:hAnsi="Calibri" w:cs="Calibri"/>
          <w:i/>
          <w:iCs/>
          <w:shd w:val="clear" w:color="auto" w:fill="FFFFFF"/>
        </w:rPr>
        <w:t>’</w:t>
      </w:r>
      <w:r w:rsidRPr="00535AB3">
        <w:rPr>
          <w:rFonts w:ascii="Calibri" w:hAnsi="Calibri" w:cs="Calibri"/>
          <w:i/>
          <w:iCs/>
          <w:shd w:val="clear" w:color="auto" w:fill="FFFFFF"/>
        </w:rPr>
        <w:t>à −20 °C. En bonnes conditions, elle peut produire jusqu</w:t>
      </w:r>
      <w:r w:rsidR="00A465B3">
        <w:rPr>
          <w:rFonts w:ascii="Calibri" w:hAnsi="Calibri" w:cs="Calibri"/>
          <w:i/>
          <w:iCs/>
          <w:shd w:val="clear" w:color="auto" w:fill="FFFFFF"/>
        </w:rPr>
        <w:t>’</w:t>
      </w:r>
      <w:r w:rsidRPr="00535AB3">
        <w:rPr>
          <w:rFonts w:ascii="Calibri" w:hAnsi="Calibri" w:cs="Calibri"/>
          <w:i/>
          <w:iCs/>
          <w:shd w:val="clear" w:color="auto" w:fill="FFFFFF"/>
        </w:rPr>
        <w:t>à trois récoltes par an et un même pied peut vivre plusieurs dizaines d</w:t>
      </w:r>
      <w:r w:rsidR="00A465B3">
        <w:rPr>
          <w:rFonts w:ascii="Calibri" w:hAnsi="Calibri" w:cs="Calibri"/>
          <w:i/>
          <w:iCs/>
          <w:shd w:val="clear" w:color="auto" w:fill="FFFFFF"/>
        </w:rPr>
        <w:t>’</w:t>
      </w:r>
      <w:r w:rsidRPr="00535AB3">
        <w:rPr>
          <w:rFonts w:ascii="Calibri" w:hAnsi="Calibri" w:cs="Calibri"/>
          <w:i/>
          <w:iCs/>
          <w:shd w:val="clear" w:color="auto" w:fill="FFFFFF"/>
        </w:rPr>
        <w:t>années</w:t>
      </w:r>
      <w:r w:rsidRPr="00535AB3">
        <w:rPr>
          <w:rFonts w:ascii="Calibri" w:hAnsi="Calibri" w:cs="Calibri"/>
          <w:shd w:val="clear" w:color="auto" w:fill="FFFFFF"/>
        </w:rPr>
        <w:t>.</w:t>
      </w:r>
      <w:r>
        <w:rPr>
          <w:rFonts w:ascii="Calibri" w:hAnsi="Calibri" w:cs="Calibri"/>
          <w:shd w:val="clear" w:color="auto" w:fill="FFFFFF"/>
        </w:rPr>
        <w:t xml:space="preserve"> </w:t>
      </w:r>
      <w:r w:rsidRPr="00535AB3">
        <w:rPr>
          <w:rFonts w:ascii="Calibri" w:hAnsi="Calibri" w:cs="Calibri"/>
          <w:shd w:val="clear" w:color="auto" w:fill="FFFFFF"/>
        </w:rPr>
        <w:t>Les fleurs sont très attractives pour les butineurs.</w:t>
      </w:r>
    </w:p>
    <w:p w14:paraId="445CAE0A" w14:textId="77777777" w:rsidR="00FC1DF7" w:rsidRPr="00535AB3" w:rsidRDefault="00FC1DF7" w:rsidP="00FC1DF7">
      <w:pPr>
        <w:spacing w:after="0" w:line="240" w:lineRule="auto"/>
        <w:jc w:val="both"/>
        <w:rPr>
          <w:rFonts w:ascii="Calibri" w:hAnsi="Calibri" w:cs="Calibri"/>
          <w:shd w:val="clear" w:color="auto" w:fill="FFFFFF"/>
        </w:rPr>
      </w:pPr>
      <w:r w:rsidRPr="00535AB3">
        <w:rPr>
          <w:rFonts w:ascii="Calibri" w:hAnsi="Calibri" w:cs="Calibri"/>
          <w:shd w:val="clear" w:color="auto" w:fill="FFFFFF"/>
        </w:rPr>
        <w:t>Le semis est effectué de préférence en place en mars-avril ou alors en godets transplantés lorsque la plante a quelques feuilles. Les graines lèvent à 15 °C</w:t>
      </w:r>
      <w:r>
        <w:rPr>
          <w:rFonts w:ascii="Calibri" w:hAnsi="Calibri" w:cs="Calibri"/>
          <w:shd w:val="clear" w:color="auto" w:fill="FFFFFF"/>
        </w:rPr>
        <w:t>,</w:t>
      </w:r>
      <w:r w:rsidRPr="00535AB3">
        <w:rPr>
          <w:rFonts w:ascii="Calibri" w:hAnsi="Calibri" w:cs="Calibri"/>
          <w:shd w:val="clear" w:color="auto" w:fill="FFFFFF"/>
        </w:rPr>
        <w:t xml:space="preserve"> en 3 semaines</w:t>
      </w:r>
      <w:r>
        <w:rPr>
          <w:rFonts w:ascii="Calibri" w:hAnsi="Calibri" w:cs="Calibri"/>
          <w:shd w:val="clear" w:color="auto" w:fill="FFFFFF"/>
        </w:rPr>
        <w:t>,</w:t>
      </w:r>
      <w:r w:rsidRPr="00535AB3">
        <w:rPr>
          <w:rFonts w:ascii="Calibri" w:hAnsi="Calibri" w:cs="Calibri"/>
          <w:shd w:val="clear" w:color="auto" w:fill="FFFFFF"/>
        </w:rPr>
        <w:t xml:space="preserve"> mais peuvent parfois mettre 2 mois. La première récolte peut avoir lieu 12 mois après.</w:t>
      </w:r>
      <w:r>
        <w:rPr>
          <w:rFonts w:ascii="Calibri" w:hAnsi="Calibri" w:cs="Calibri"/>
          <w:shd w:val="clear" w:color="auto" w:fill="FFFFFF"/>
        </w:rPr>
        <w:t xml:space="preserve"> </w:t>
      </w:r>
      <w:r w:rsidRPr="00535AB3">
        <w:rPr>
          <w:rFonts w:ascii="Calibri" w:hAnsi="Calibri" w:cs="Calibri"/>
          <w:shd w:val="clear" w:color="auto" w:fill="FFFFFF"/>
        </w:rPr>
        <w:t>La plante peut également être multipliée par division de souches ou par morceaux de racines.</w:t>
      </w:r>
    </w:p>
    <w:p w14:paraId="328D8D60" w14:textId="423E9313" w:rsidR="00FC1DF7" w:rsidRDefault="00A465B3" w:rsidP="00FC1DF7">
      <w:pPr>
        <w:spacing w:after="0" w:line="240" w:lineRule="auto"/>
        <w:jc w:val="both"/>
        <w:rPr>
          <w:rFonts w:ascii="Calibri" w:hAnsi="Calibri" w:cs="Calibri"/>
        </w:rPr>
      </w:pPr>
      <w:r w:rsidRPr="00A465B3">
        <w:rPr>
          <w:rFonts w:ascii="Calibri" w:hAnsi="Calibri" w:cs="Calibri"/>
          <w:i/>
          <w:iCs/>
          <w:color w:val="000000" w:themeColor="text1"/>
          <w:shd w:val="clear" w:color="auto" w:fill="FFFFFF"/>
        </w:rPr>
        <w:t>Toutes les parties de la plante sont comestibles</w:t>
      </w:r>
      <w:r>
        <w:rPr>
          <w:rFonts w:ascii="Calibri" w:hAnsi="Calibri" w:cs="Calibri"/>
          <w:color w:val="000000" w:themeColor="text1"/>
          <w:shd w:val="clear" w:color="auto" w:fill="FFFFFF"/>
        </w:rPr>
        <w:t>.</w:t>
      </w:r>
      <w:r w:rsidR="00FC1DF7" w:rsidRPr="00535AB3">
        <w:rPr>
          <w:rFonts w:ascii="Calibri" w:hAnsi="Calibri" w:cs="Calibri"/>
        </w:rPr>
        <w:t xml:space="preserve">Les feuilles et les boutons floraux avant éclosion sont consommées crus ou cuits comme le chou et le </w:t>
      </w:r>
      <w:hyperlink r:id="rId1713" w:history="1">
        <w:r w:rsidRPr="00A465B3">
          <w:rPr>
            <w:rStyle w:val="Lienhypertexte"/>
            <w:rFonts w:ascii="Calibri" w:hAnsi="Calibri" w:cs="Calibri"/>
            <w:shd w:val="clear" w:color="auto" w:fill="FFFFFF"/>
          </w:rPr>
          <w:t>brocoli</w:t>
        </w:r>
      </w:hyperlink>
      <w:r w:rsidR="00FC1DF7" w:rsidRPr="00535AB3">
        <w:rPr>
          <w:rFonts w:ascii="Calibri" w:hAnsi="Calibri" w:cs="Calibri"/>
        </w:rPr>
        <w:t>. Bien que très ressemblant, le gout diffère de celui du chou.</w:t>
      </w:r>
      <w:r w:rsidR="00FC1DF7">
        <w:rPr>
          <w:rFonts w:ascii="Calibri" w:hAnsi="Calibri" w:cs="Calibri"/>
        </w:rPr>
        <w:t xml:space="preserve"> </w:t>
      </w:r>
      <w:r w:rsidR="00FC1DF7" w:rsidRPr="00535AB3">
        <w:rPr>
          <w:rFonts w:ascii="Calibri" w:hAnsi="Calibri" w:cs="Calibri"/>
        </w:rPr>
        <w:t>Plus charnues que celles du chou, les feuilles tendent à être légèrement amères au moment de la floraison. Les racines peuvent être consommées cuites et sont riches en sucre et amidon.</w:t>
      </w:r>
    </w:p>
    <w:p w14:paraId="7B756A3F" w14:textId="414C6402" w:rsidR="00FC1DF7" w:rsidRPr="00535AB3" w:rsidRDefault="00FC1DF7" w:rsidP="00FC1DF7">
      <w:pPr>
        <w:spacing w:after="0" w:line="240" w:lineRule="auto"/>
        <w:jc w:val="both"/>
        <w:rPr>
          <w:rFonts w:ascii="Calibri" w:hAnsi="Calibri" w:cs="Calibri"/>
        </w:rPr>
      </w:pPr>
      <w:r>
        <w:rPr>
          <w:rFonts w:ascii="Calibri" w:hAnsi="Calibri" w:cs="Calibri"/>
        </w:rPr>
        <w:t>Source</w:t>
      </w:r>
      <w:r w:rsidR="00A465B3">
        <w:rPr>
          <w:rFonts w:ascii="Calibri" w:hAnsi="Calibri" w:cs="Calibri"/>
        </w:rPr>
        <w:t> </w:t>
      </w:r>
      <w:r>
        <w:rPr>
          <w:rFonts w:ascii="Calibri" w:hAnsi="Calibri" w:cs="Calibri"/>
        </w:rPr>
        <w:t xml:space="preserve">: </w:t>
      </w:r>
      <w:hyperlink r:id="rId1714" w:history="1">
        <w:r w:rsidRPr="006437AE">
          <w:rPr>
            <w:rStyle w:val="Lienhypertexte"/>
            <w:rFonts w:ascii="Calibri" w:hAnsi="Calibri" w:cs="Calibri"/>
          </w:rPr>
          <w:t>https</w:t>
        </w:r>
        <w:r w:rsidR="00A465B3">
          <w:rPr>
            <w:rStyle w:val="Lienhypertexte"/>
            <w:rFonts w:ascii="Calibri" w:hAnsi="Calibri" w:cs="Calibri"/>
          </w:rPr>
          <w:t> </w:t>
        </w:r>
        <w:r w:rsidRPr="006437AE">
          <w:rPr>
            <w:rStyle w:val="Lienhypertexte"/>
            <w:rFonts w:ascii="Calibri" w:hAnsi="Calibri" w:cs="Calibri"/>
          </w:rPr>
          <w:t>://fr.wikipedia.org/wiki/Crambe_maritime</w:t>
        </w:r>
      </w:hyperlink>
      <w:r>
        <w:rPr>
          <w:rFonts w:ascii="Calibri" w:hAnsi="Calibri" w:cs="Calibri"/>
        </w:rPr>
        <w:t xml:space="preserve"> </w:t>
      </w:r>
    </w:p>
    <w:p w14:paraId="6279F2F0" w14:textId="77777777" w:rsidR="00FC1DF7" w:rsidRDefault="00FC1DF7" w:rsidP="00FC1DF7">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FC1DF7" w14:paraId="2F6A9D9A" w14:textId="77777777" w:rsidTr="007E58C4">
        <w:tc>
          <w:tcPr>
            <w:tcW w:w="3472" w:type="dxa"/>
          </w:tcPr>
          <w:p w14:paraId="7B69CB5C" w14:textId="77777777" w:rsidR="00FC1DF7" w:rsidRDefault="00FC1DF7" w:rsidP="007E58C4">
            <w:pPr>
              <w:jc w:val="center"/>
            </w:pPr>
            <w:r>
              <w:rPr>
                <w:noProof/>
              </w:rPr>
              <w:lastRenderedPageBreak/>
              <w:drawing>
                <wp:inline distT="0" distB="0" distL="0" distR="0" wp14:anchorId="47E193C3" wp14:editId="33EE7D94">
                  <wp:extent cx="1905000" cy="1432821"/>
                  <wp:effectExtent l="0" t="0" r="0" b="0"/>
                  <wp:docPr id="93188" name="Image 93188" descr="Une image contenant extérieur, plante, légume, jard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88" name="Image 93188" descr="Une image contenant extérieur, plante, légume, jardin&#10;&#10;Description générée automatiquement"/>
                          <pic:cNvPicPr>
                            <a:picLocks noChangeAspect="1" noChangeArrowheads="1"/>
                          </pic:cNvPicPr>
                        </pic:nvPicPr>
                        <pic:blipFill>
                          <a:blip r:embed="rId1715">
                            <a:extLst>
                              <a:ext uri="{28A0092B-C50C-407E-A947-70E740481C1C}">
                                <a14:useLocalDpi xmlns:a14="http://schemas.microsoft.com/office/drawing/2010/main" val="0"/>
                              </a:ext>
                            </a:extLst>
                          </a:blip>
                          <a:srcRect/>
                          <a:stretch>
                            <a:fillRect/>
                          </a:stretch>
                        </pic:blipFill>
                        <pic:spPr bwMode="auto">
                          <a:xfrm>
                            <a:off x="0" y="0"/>
                            <a:ext cx="1911455" cy="1437676"/>
                          </a:xfrm>
                          <a:prstGeom prst="rect">
                            <a:avLst/>
                          </a:prstGeom>
                          <a:noFill/>
                          <a:ln>
                            <a:noFill/>
                          </a:ln>
                        </pic:spPr>
                      </pic:pic>
                    </a:graphicData>
                  </a:graphic>
                </wp:inline>
              </w:drawing>
            </w:r>
          </w:p>
          <w:p w14:paraId="24AB7106" w14:textId="77777777" w:rsidR="00FC1DF7" w:rsidRPr="009D163B" w:rsidRDefault="00FC1DF7" w:rsidP="007E58C4">
            <w:pPr>
              <w:jc w:val="center"/>
              <w:rPr>
                <w:rFonts w:ascii="Calibri" w:hAnsi="Calibri" w:cs="Calibri"/>
              </w:rPr>
            </w:pPr>
            <w:r w:rsidRPr="009D163B">
              <w:rPr>
                <w:rFonts w:ascii="Calibri" w:hAnsi="Calibri" w:cs="Calibri"/>
                <w:i/>
                <w:iCs/>
                <w:color w:val="202122"/>
                <w:shd w:val="clear" w:color="auto" w:fill="F8F9FA"/>
              </w:rPr>
              <w:t>Crambe Maritima</w:t>
            </w:r>
            <w:r w:rsidRPr="009D163B">
              <w:rPr>
                <w:rFonts w:ascii="Calibri" w:hAnsi="Calibri" w:cs="Calibri"/>
                <w:color w:val="202122"/>
                <w:shd w:val="clear" w:color="auto" w:fill="F8F9FA"/>
              </w:rPr>
              <w:t>, ici photographié en </w:t>
            </w:r>
            <w:hyperlink r:id="rId1716" w:tooltip="Estonie" w:history="1">
              <w:r w:rsidRPr="009D163B">
                <w:rPr>
                  <w:rStyle w:val="Lienhypertexte"/>
                  <w:rFonts w:ascii="Calibri" w:hAnsi="Calibri" w:cs="Calibri"/>
                  <w:color w:val="0645AD"/>
                  <w:shd w:val="clear" w:color="auto" w:fill="F8F9FA"/>
                </w:rPr>
                <w:t>Estonie</w:t>
              </w:r>
            </w:hyperlink>
            <w:r w:rsidRPr="009D163B">
              <w:rPr>
                <w:rFonts w:ascii="Calibri" w:hAnsi="Calibri" w:cs="Calibri"/>
              </w:rPr>
              <w:t>.</w:t>
            </w:r>
          </w:p>
        </w:tc>
        <w:tc>
          <w:tcPr>
            <w:tcW w:w="3472" w:type="dxa"/>
          </w:tcPr>
          <w:p w14:paraId="601BBC88" w14:textId="77777777" w:rsidR="00FC1DF7" w:rsidRDefault="00FC1DF7" w:rsidP="007E58C4">
            <w:pPr>
              <w:jc w:val="center"/>
            </w:pPr>
            <w:r>
              <w:rPr>
                <w:noProof/>
              </w:rPr>
              <w:drawing>
                <wp:inline distT="0" distB="0" distL="0" distR="0" wp14:anchorId="5F545328" wp14:editId="41070ECE">
                  <wp:extent cx="1945120" cy="1095375"/>
                  <wp:effectExtent l="0" t="0" r="0" b="0"/>
                  <wp:docPr id="93189" name="Image 93189" descr="Une image contenant extérieur, roche, légu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89" name="Image 93189" descr="Une image contenant extérieur, roche, légume&#10;&#10;Description générée automatiquement"/>
                          <pic:cNvPicPr>
                            <a:picLocks noChangeAspect="1" noChangeArrowheads="1"/>
                          </pic:cNvPicPr>
                        </pic:nvPicPr>
                        <pic:blipFill>
                          <a:blip r:embed="rId1717">
                            <a:extLst>
                              <a:ext uri="{28A0092B-C50C-407E-A947-70E740481C1C}">
                                <a14:useLocalDpi xmlns:a14="http://schemas.microsoft.com/office/drawing/2010/main" val="0"/>
                              </a:ext>
                            </a:extLst>
                          </a:blip>
                          <a:srcRect/>
                          <a:stretch>
                            <a:fillRect/>
                          </a:stretch>
                        </pic:blipFill>
                        <pic:spPr bwMode="auto">
                          <a:xfrm>
                            <a:off x="0" y="0"/>
                            <a:ext cx="1949041" cy="1097583"/>
                          </a:xfrm>
                          <a:prstGeom prst="rect">
                            <a:avLst/>
                          </a:prstGeom>
                          <a:noFill/>
                          <a:ln>
                            <a:noFill/>
                          </a:ln>
                        </pic:spPr>
                      </pic:pic>
                    </a:graphicData>
                  </a:graphic>
                </wp:inline>
              </w:drawing>
            </w:r>
          </w:p>
          <w:p w14:paraId="231CA6F1" w14:textId="77777777" w:rsidR="00FC1DF7" w:rsidRDefault="00FC1DF7" w:rsidP="007E58C4">
            <w:pPr>
              <w:jc w:val="center"/>
            </w:pPr>
            <w:r w:rsidRPr="009D163B">
              <w:t>Vue sur son feuillage.</w:t>
            </w:r>
          </w:p>
        </w:tc>
        <w:tc>
          <w:tcPr>
            <w:tcW w:w="3472" w:type="dxa"/>
          </w:tcPr>
          <w:p w14:paraId="1D3D36DB" w14:textId="77777777" w:rsidR="00FC1DF7" w:rsidRDefault="00FC1DF7" w:rsidP="007E58C4">
            <w:pPr>
              <w:jc w:val="center"/>
            </w:pPr>
            <w:r>
              <w:rPr>
                <w:noProof/>
              </w:rPr>
              <w:drawing>
                <wp:inline distT="0" distB="0" distL="0" distR="0" wp14:anchorId="46CFD68B" wp14:editId="2E6666F1">
                  <wp:extent cx="1774415" cy="1571625"/>
                  <wp:effectExtent l="0" t="0" r="0" b="0"/>
                  <wp:docPr id="93190" name="Image 93190" descr="Une image contenant fleur, plante, blanc&#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90" name="Image 93190" descr="Une image contenant fleur, plante, blanc&#10;&#10;Description générée automatiquement"/>
                          <pic:cNvPicPr>
                            <a:picLocks noChangeAspect="1" noChangeArrowheads="1"/>
                          </pic:cNvPicPr>
                        </pic:nvPicPr>
                        <pic:blipFill>
                          <a:blip r:embed="rId1718">
                            <a:extLst>
                              <a:ext uri="{28A0092B-C50C-407E-A947-70E740481C1C}">
                                <a14:useLocalDpi xmlns:a14="http://schemas.microsoft.com/office/drawing/2010/main" val="0"/>
                              </a:ext>
                            </a:extLst>
                          </a:blip>
                          <a:srcRect/>
                          <a:stretch>
                            <a:fillRect/>
                          </a:stretch>
                        </pic:blipFill>
                        <pic:spPr bwMode="auto">
                          <a:xfrm>
                            <a:off x="0" y="0"/>
                            <a:ext cx="1787243" cy="1582987"/>
                          </a:xfrm>
                          <a:prstGeom prst="rect">
                            <a:avLst/>
                          </a:prstGeom>
                          <a:noFill/>
                          <a:ln>
                            <a:noFill/>
                          </a:ln>
                        </pic:spPr>
                      </pic:pic>
                    </a:graphicData>
                  </a:graphic>
                </wp:inline>
              </w:drawing>
            </w:r>
          </w:p>
          <w:p w14:paraId="506E3817" w14:textId="77777777" w:rsidR="00FC1DF7" w:rsidRDefault="00FC1DF7" w:rsidP="007E58C4">
            <w:pPr>
              <w:jc w:val="center"/>
            </w:pPr>
            <w:r w:rsidRPr="009D163B">
              <w:rPr>
                <w:i/>
                <w:iCs/>
              </w:rPr>
              <w:t>Crambe maritima</w:t>
            </w:r>
            <w:r w:rsidRPr="009D163B">
              <w:t xml:space="preserve"> à Saaremaa, Estonia.</w:t>
            </w:r>
          </w:p>
        </w:tc>
      </w:tr>
    </w:tbl>
    <w:p w14:paraId="67E3B23E" w14:textId="62270494" w:rsidR="00A465B3" w:rsidRDefault="00A465B3" w:rsidP="00A465B3">
      <w:pPr>
        <w:spacing w:after="0" w:line="240" w:lineRule="auto"/>
        <w:jc w:val="cente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A465B3" w14:paraId="2EAD8AD4" w14:textId="77777777" w:rsidTr="00A465B3">
        <w:tc>
          <w:tcPr>
            <w:tcW w:w="5208" w:type="dxa"/>
          </w:tcPr>
          <w:p w14:paraId="2A033BDD" w14:textId="53BE28B6" w:rsidR="00A465B3" w:rsidRDefault="00A465B3" w:rsidP="00A465B3">
            <w:pPr>
              <w:jc w:val="center"/>
            </w:pPr>
            <w:r w:rsidRPr="00A465B3">
              <w:rPr>
                <w:noProof/>
              </w:rPr>
              <w:drawing>
                <wp:inline distT="0" distB="0" distL="0" distR="0" wp14:anchorId="412CB345" wp14:editId="6AE64025">
                  <wp:extent cx="1937888" cy="1757237"/>
                  <wp:effectExtent l="0" t="0" r="5715" b="0"/>
                  <wp:docPr id="15565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0"/>
                          <pic:cNvPicPr>
                            <a:picLocks noChangeAspect="1"/>
                          </pic:cNvPicPr>
                        </pic:nvPicPr>
                        <pic:blipFill>
                          <a:blip r:embed="rId1719">
                            <a:extLst>
                              <a:ext uri="{28A0092B-C50C-407E-A947-70E740481C1C}">
                                <a14:useLocalDpi xmlns:a14="http://schemas.microsoft.com/office/drawing/2010/main" val="0"/>
                              </a:ext>
                            </a:extLst>
                          </a:blip>
                          <a:stretch>
                            <a:fillRect/>
                          </a:stretch>
                        </pic:blipFill>
                        <pic:spPr>
                          <a:xfrm>
                            <a:off x="0" y="0"/>
                            <a:ext cx="1937888" cy="1757237"/>
                          </a:xfrm>
                          <a:prstGeom prst="rect">
                            <a:avLst/>
                          </a:prstGeom>
                        </pic:spPr>
                      </pic:pic>
                    </a:graphicData>
                  </a:graphic>
                </wp:inline>
              </w:drawing>
            </w:r>
          </w:p>
        </w:tc>
        <w:tc>
          <w:tcPr>
            <w:tcW w:w="5208" w:type="dxa"/>
          </w:tcPr>
          <w:p w14:paraId="591C531E" w14:textId="3DEE3321" w:rsidR="00A465B3" w:rsidRDefault="00A465B3" w:rsidP="00A465B3">
            <w:pPr>
              <w:jc w:val="center"/>
            </w:pPr>
            <w:r w:rsidRPr="00A465B3">
              <w:rPr>
                <w:noProof/>
              </w:rPr>
              <w:drawing>
                <wp:inline distT="0" distB="0" distL="0" distR="0" wp14:anchorId="762C4004" wp14:editId="1AA0E127">
                  <wp:extent cx="2209601" cy="1655068"/>
                  <wp:effectExtent l="0" t="0" r="635" b="2540"/>
                  <wp:docPr id="15565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1"/>
                          <pic:cNvPicPr>
                            <a:picLocks noChangeAspect="1"/>
                          </pic:cNvPicPr>
                        </pic:nvPicPr>
                        <pic:blipFill>
                          <a:blip r:embed="rId1720">
                            <a:extLst>
                              <a:ext uri="{28A0092B-C50C-407E-A947-70E740481C1C}">
                                <a14:useLocalDpi xmlns:a14="http://schemas.microsoft.com/office/drawing/2010/main" val="0"/>
                              </a:ext>
                            </a:extLst>
                          </a:blip>
                          <a:stretch>
                            <a:fillRect/>
                          </a:stretch>
                        </pic:blipFill>
                        <pic:spPr>
                          <a:xfrm>
                            <a:off x="0" y="0"/>
                            <a:ext cx="2209601" cy="1655068"/>
                          </a:xfrm>
                          <a:prstGeom prst="rect">
                            <a:avLst/>
                          </a:prstGeom>
                        </pic:spPr>
                      </pic:pic>
                    </a:graphicData>
                  </a:graphic>
                </wp:inline>
              </w:drawing>
            </w:r>
          </w:p>
        </w:tc>
      </w:tr>
    </w:tbl>
    <w:p w14:paraId="4314BEF8" w14:textId="77777777" w:rsidR="00A465B3" w:rsidRDefault="00A465B3" w:rsidP="00A465B3">
      <w:pPr>
        <w:spacing w:after="0" w:line="240" w:lineRule="auto"/>
      </w:pPr>
    </w:p>
    <w:p w14:paraId="51C341D9" w14:textId="7B9200F9" w:rsidR="00A465B3" w:rsidRDefault="00A465B3" w:rsidP="00A465B3">
      <w:pPr>
        <w:pStyle w:val="Titre2"/>
      </w:pPr>
      <w:bookmarkStart w:id="168" w:name="_Toc139181459"/>
      <w:r w:rsidRPr="00A465B3">
        <w:t xml:space="preserve">Criste marine </w:t>
      </w:r>
      <w:r w:rsidRPr="00A465B3">
        <w:rPr>
          <w:i/>
          <w:iCs/>
        </w:rPr>
        <w:t>(Crithmum maritimum</w:t>
      </w:r>
      <w:r w:rsidRPr="00A465B3">
        <w:t>)</w:t>
      </w:r>
      <w:bookmarkEnd w:id="168"/>
    </w:p>
    <w:p w14:paraId="01F54D38" w14:textId="7E3287D3" w:rsidR="00A465B3" w:rsidRDefault="00A465B3" w:rsidP="00A465B3">
      <w:pPr>
        <w:spacing w:after="0" w:line="240" w:lineRule="auto"/>
        <w:jc w:val="both"/>
      </w:pPr>
    </w:p>
    <w:p w14:paraId="1B77C419" w14:textId="34D46A49" w:rsidR="00A465B3" w:rsidRDefault="00A465B3" w:rsidP="00A465B3">
      <w:pPr>
        <w:spacing w:after="0" w:line="240" w:lineRule="auto"/>
        <w:jc w:val="both"/>
      </w:pPr>
      <w:r>
        <w:t xml:space="preserve">Pour mention : Cette plante </w:t>
      </w:r>
      <w:r w:rsidRPr="00A465B3">
        <w:t>est utilisée comme condiment, le plus souvent préparée au vinaigre blanc comme les </w:t>
      </w:r>
      <w:hyperlink r:id="rId1721" w:history="1">
        <w:r w:rsidRPr="00A465B3">
          <w:rPr>
            <w:rStyle w:val="Lienhypertexte"/>
          </w:rPr>
          <w:t>cornichons</w:t>
        </w:r>
      </w:hyperlink>
      <w:r w:rsidRPr="00A465B3">
        <w:t xml:space="preserve">. Ses feuilles aromatiques à saveur légèrement piquante et salée peuvent être consommées fraîches ou en salades ou cuites, comme les épinards. Outre sa résistance au sel, la Criste de mer est </w:t>
      </w:r>
      <w:r>
        <w:t>aussi</w:t>
      </w:r>
      <w:r w:rsidRPr="00A465B3">
        <w:t xml:space="preserve"> très résistante à la sécheresse. </w:t>
      </w:r>
    </w:p>
    <w:p w14:paraId="7391B7F0" w14:textId="0C04492C" w:rsidR="00A465B3" w:rsidRDefault="00A465B3" w:rsidP="00A465B3">
      <w:pPr>
        <w:spacing w:after="0" w:line="240" w:lineRule="auto"/>
        <w:jc w:val="both"/>
      </w:pPr>
      <w:r w:rsidRPr="00A465B3">
        <w:t xml:space="preserve">Sources : a) </w:t>
      </w:r>
      <w:hyperlink r:id="rId1722" w:history="1">
        <w:r w:rsidRPr="00A465B3">
          <w:rPr>
            <w:rStyle w:val="Lienhypertexte"/>
          </w:rPr>
          <w:t>https://fr.wikipedia.org/wiki/Criste_marine</w:t>
        </w:r>
      </w:hyperlink>
      <w:r w:rsidRPr="00A465B3">
        <w:t xml:space="preserve">, b) </w:t>
      </w:r>
      <w:hyperlink r:id="rId1723" w:history="1">
        <w:r w:rsidRPr="00A465B3">
          <w:rPr>
            <w:rStyle w:val="Lienhypertexte"/>
          </w:rPr>
          <w:t>http://nature.jardin.free.fr/vivace/ft_crithmum_mar.html</w:t>
        </w:r>
      </w:hyperlink>
      <w:r w:rsidRPr="00A465B3">
        <w:t xml:space="preserve">  </w:t>
      </w:r>
    </w:p>
    <w:p w14:paraId="1B284342" w14:textId="72A8FF88" w:rsidR="00A465B3" w:rsidRDefault="00A465B3" w:rsidP="00A465B3">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A465B3" w14:paraId="7F7D569B" w14:textId="77777777" w:rsidTr="00A465B3">
        <w:tc>
          <w:tcPr>
            <w:tcW w:w="5208" w:type="dxa"/>
          </w:tcPr>
          <w:p w14:paraId="11031B80" w14:textId="78A31D40" w:rsidR="00A465B3" w:rsidRDefault="00A465B3" w:rsidP="00A465B3">
            <w:pPr>
              <w:jc w:val="center"/>
            </w:pPr>
            <w:r w:rsidRPr="00A465B3">
              <w:rPr>
                <w:noProof/>
              </w:rPr>
              <w:drawing>
                <wp:inline distT="0" distB="0" distL="0" distR="0" wp14:anchorId="24A614B1" wp14:editId="12748845">
                  <wp:extent cx="2466975" cy="1847850"/>
                  <wp:effectExtent l="0" t="0" r="9525" b="0"/>
                  <wp:docPr id="155652"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8"/>
                          <pic:cNvPicPr>
                            <a:picLocks noChangeAspect="1"/>
                          </pic:cNvPicPr>
                        </pic:nvPicPr>
                        <pic:blipFill>
                          <a:blip r:embed="rId1724">
                            <a:extLst>
                              <a:ext uri="{28A0092B-C50C-407E-A947-70E740481C1C}">
                                <a14:useLocalDpi xmlns:a14="http://schemas.microsoft.com/office/drawing/2010/main" val="0"/>
                              </a:ext>
                            </a:extLst>
                          </a:blip>
                          <a:stretch>
                            <a:fillRect/>
                          </a:stretch>
                        </pic:blipFill>
                        <pic:spPr>
                          <a:xfrm>
                            <a:off x="0" y="0"/>
                            <a:ext cx="2466975" cy="1847850"/>
                          </a:xfrm>
                          <a:prstGeom prst="rect">
                            <a:avLst/>
                          </a:prstGeom>
                        </pic:spPr>
                      </pic:pic>
                    </a:graphicData>
                  </a:graphic>
                </wp:inline>
              </w:drawing>
            </w:r>
          </w:p>
        </w:tc>
        <w:tc>
          <w:tcPr>
            <w:tcW w:w="5208" w:type="dxa"/>
          </w:tcPr>
          <w:p w14:paraId="3F42C49B" w14:textId="1CD80E33" w:rsidR="00A465B3" w:rsidRDefault="00A465B3" w:rsidP="00A465B3">
            <w:pPr>
              <w:jc w:val="center"/>
            </w:pPr>
            <w:r w:rsidRPr="00A465B3">
              <w:rPr>
                <w:noProof/>
              </w:rPr>
              <w:drawing>
                <wp:inline distT="0" distB="0" distL="0" distR="0" wp14:anchorId="27A57C51" wp14:editId="129EF556">
                  <wp:extent cx="2476500" cy="1847850"/>
                  <wp:effectExtent l="0" t="0" r="0" b="0"/>
                  <wp:docPr id="155653"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7"/>
                          <pic:cNvPicPr>
                            <a:picLocks noChangeAspect="1"/>
                          </pic:cNvPicPr>
                        </pic:nvPicPr>
                        <pic:blipFill>
                          <a:blip r:embed="rId1725">
                            <a:extLst>
                              <a:ext uri="{28A0092B-C50C-407E-A947-70E740481C1C}">
                                <a14:useLocalDpi xmlns:a14="http://schemas.microsoft.com/office/drawing/2010/main" val="0"/>
                              </a:ext>
                            </a:extLst>
                          </a:blip>
                          <a:stretch>
                            <a:fillRect/>
                          </a:stretch>
                        </pic:blipFill>
                        <pic:spPr>
                          <a:xfrm>
                            <a:off x="0" y="0"/>
                            <a:ext cx="2476500" cy="1847850"/>
                          </a:xfrm>
                          <a:prstGeom prst="rect">
                            <a:avLst/>
                          </a:prstGeom>
                        </pic:spPr>
                      </pic:pic>
                    </a:graphicData>
                  </a:graphic>
                </wp:inline>
              </w:drawing>
            </w:r>
          </w:p>
        </w:tc>
      </w:tr>
    </w:tbl>
    <w:p w14:paraId="2DEFC360" w14:textId="77777777" w:rsidR="00A465B3" w:rsidRDefault="00A465B3" w:rsidP="00A465B3">
      <w:pPr>
        <w:spacing w:after="0" w:line="240" w:lineRule="auto"/>
        <w:jc w:val="both"/>
      </w:pPr>
    </w:p>
    <w:p w14:paraId="4AB56870" w14:textId="77777777" w:rsidR="00272035" w:rsidRDefault="00272035" w:rsidP="00045B22">
      <w:pPr>
        <w:pStyle w:val="Titre2"/>
      </w:pPr>
      <w:bookmarkStart w:id="169" w:name="_Toc139181460"/>
      <w:r>
        <w:t>Elaboration de plantes alimentaires OGM résistantes au sel</w:t>
      </w:r>
      <w:bookmarkEnd w:id="169"/>
    </w:p>
    <w:p w14:paraId="2C747F22" w14:textId="77777777" w:rsidR="00272035" w:rsidRDefault="00272035" w:rsidP="00272035">
      <w:pPr>
        <w:spacing w:after="0" w:line="240" w:lineRule="auto"/>
      </w:pPr>
    </w:p>
    <w:p w14:paraId="0C3E0B27" w14:textId="77777777" w:rsidR="00272035" w:rsidRDefault="00272035" w:rsidP="00272035">
      <w:pPr>
        <w:spacing w:after="0" w:line="240" w:lineRule="auto"/>
        <w:jc w:val="both"/>
      </w:pPr>
      <w:r>
        <w:t xml:space="preserve">Pour mention : </w:t>
      </w:r>
      <w:r w:rsidRPr="00A9505E">
        <w:t xml:space="preserve">Les chercheurs tentent d'améliorer la résistance à la salinité pour les plantes cultivées à des fins alimentaires. Ils travaillent actuellement sur quelques plantes qui serve de modèle comme la tomate. En principe, tomate et eau salée ne font pas bon ménage. Des chercheurs ont donc pensé à introduire un gène qui permette à la </w:t>
      </w:r>
      <w:r w:rsidRPr="00A9505E">
        <w:lastRenderedPageBreak/>
        <w:t>tomate de pousser dans des sols contenant du sel. En l'occurrence, ce gène provient d’</w:t>
      </w:r>
      <w:r w:rsidRPr="00A9505E">
        <w:rPr>
          <w:i/>
          <w:iCs/>
        </w:rPr>
        <w:t>Arabidopsis</w:t>
      </w:r>
      <w:r>
        <w:rPr>
          <w:rStyle w:val="Appelnotedebasdep"/>
          <w:i/>
          <w:iCs/>
        </w:rPr>
        <w:footnoteReference w:id="112"/>
      </w:r>
      <w:r w:rsidRPr="00A9505E">
        <w:t>, plante proche de la moutarde sauvage qui pousse dans nos jardins. Mais il est également présent dans la plupart des plantes halophytes, comme la salicorne ou encore les graminées des marais salants. Une fois le gène introduit dans la tomate, l’excédent de sel est concentré dans les feuilles et non dans le fruit. Ce changement laisse la tomate parfaitement comestible. De nombreuses recherches se tournent maintenant vers le transfert de ces mécanismes de résistance au sel chez le riz et le blé notamment.</w:t>
      </w:r>
    </w:p>
    <w:p w14:paraId="433E9BCD" w14:textId="77777777" w:rsidR="00272035" w:rsidRDefault="00272035" w:rsidP="00272035">
      <w:pPr>
        <w:spacing w:after="0" w:line="240" w:lineRule="auto"/>
        <w:jc w:val="both"/>
      </w:pPr>
      <w:r>
        <w:t xml:space="preserve">Source : </w:t>
      </w:r>
      <w:r w:rsidRPr="00F70E12">
        <w:rPr>
          <w:i/>
          <w:iCs/>
        </w:rPr>
        <w:t>Des plantes qui supportent un régime salé</w:t>
      </w:r>
      <w:r w:rsidRPr="00F70E12">
        <w:t xml:space="preserve">, </w:t>
      </w:r>
      <w:hyperlink r:id="rId1726" w:history="1">
        <w:r w:rsidRPr="006437AE">
          <w:rPr>
            <w:rStyle w:val="Lienhypertexte"/>
          </w:rPr>
          <w:t>https://www.semencemag.fr/plantes-sols-sel.html</w:t>
        </w:r>
      </w:hyperlink>
      <w:r>
        <w:t xml:space="preserve"> </w:t>
      </w:r>
    </w:p>
    <w:p w14:paraId="4DCCF3E5" w14:textId="032F15D0" w:rsidR="00A465B3" w:rsidRDefault="00A465B3">
      <w:r>
        <w:br w:type="page"/>
      </w:r>
    </w:p>
    <w:p w14:paraId="406474E0" w14:textId="77777777" w:rsidR="00272035" w:rsidRDefault="00272035" w:rsidP="00726FE1">
      <w:pPr>
        <w:spacing w:after="0" w:line="240" w:lineRule="auto"/>
      </w:pPr>
    </w:p>
    <w:p w14:paraId="6A80A410" w14:textId="67F94610" w:rsidR="009D247D" w:rsidRDefault="009D247D" w:rsidP="009D247D">
      <w:pPr>
        <w:pStyle w:val="Titre1"/>
      </w:pPr>
      <w:bookmarkStart w:id="170" w:name="_Toc139181461"/>
      <w:r>
        <w:t>Plantes</w:t>
      </w:r>
      <w:r w:rsidR="008B3C7B">
        <w:t xml:space="preserve"> alimentaires</w:t>
      </w:r>
      <w:r w:rsidR="00744237">
        <w:t>,</w:t>
      </w:r>
      <w:r>
        <w:t xml:space="preserve"> pouvant résister à la sécheresse</w:t>
      </w:r>
      <w:r w:rsidR="00AC37C0">
        <w:t xml:space="preserve"> mais pas au stress salin</w:t>
      </w:r>
      <w:bookmarkEnd w:id="170"/>
    </w:p>
    <w:p w14:paraId="4E6770C8" w14:textId="3470E574" w:rsidR="009D247D" w:rsidRDefault="009D247D" w:rsidP="00726FE1">
      <w:pPr>
        <w:spacing w:after="0" w:line="240" w:lineRule="auto"/>
      </w:pPr>
    </w:p>
    <w:p w14:paraId="6A1F57B3" w14:textId="41EA9392" w:rsidR="00AC37C0" w:rsidRDefault="00AC37C0" w:rsidP="00726FE1">
      <w:pPr>
        <w:spacing w:after="0" w:line="240" w:lineRule="auto"/>
      </w:pPr>
      <w:r>
        <w:t xml:space="preserve">Et pour d’autres usages. </w:t>
      </w:r>
      <w:r w:rsidR="00640199">
        <w:t>Elles p</w:t>
      </w:r>
      <w:r>
        <w:t>ermett</w:t>
      </w:r>
      <w:r w:rsidR="00640199">
        <w:t>e</w:t>
      </w:r>
      <w:r>
        <w:t>nt d’économiser l’eau.</w:t>
      </w:r>
    </w:p>
    <w:p w14:paraId="0D6B54E7" w14:textId="67E3F5A6" w:rsidR="00AC37C0" w:rsidRDefault="00AC37C0" w:rsidP="00726FE1">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AC37C0" w14:paraId="1286B1BF" w14:textId="77777777" w:rsidTr="00640199">
        <w:tc>
          <w:tcPr>
            <w:tcW w:w="3472" w:type="dxa"/>
          </w:tcPr>
          <w:p w14:paraId="7DE08509" w14:textId="77777777" w:rsidR="00AC37C0" w:rsidRDefault="0083098B" w:rsidP="00AC37C0">
            <w:pPr>
              <w:jc w:val="center"/>
            </w:pPr>
            <w:r w:rsidRPr="0083098B">
              <w:rPr>
                <w:noProof/>
              </w:rPr>
              <w:drawing>
                <wp:inline distT="0" distB="0" distL="0" distR="0" wp14:anchorId="69DC714E" wp14:editId="48F3B239">
                  <wp:extent cx="1640739" cy="1226859"/>
                  <wp:effectExtent l="0" t="0" r="0" b="0"/>
                  <wp:docPr id="115715"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6"/>
                          <pic:cNvPicPr>
                            <a:picLocks noChangeAspect="1"/>
                          </pic:cNvPicPr>
                        </pic:nvPicPr>
                        <pic:blipFill>
                          <a:blip r:embed="rId1727">
                            <a:extLst>
                              <a:ext uri="{28A0092B-C50C-407E-A947-70E740481C1C}">
                                <a14:useLocalDpi xmlns:a14="http://schemas.microsoft.com/office/drawing/2010/main" val="0"/>
                              </a:ext>
                            </a:extLst>
                          </a:blip>
                          <a:stretch>
                            <a:fillRect/>
                          </a:stretch>
                        </pic:blipFill>
                        <pic:spPr>
                          <a:xfrm>
                            <a:off x="0" y="0"/>
                            <a:ext cx="1640739" cy="1226859"/>
                          </a:xfrm>
                          <a:prstGeom prst="rect">
                            <a:avLst/>
                          </a:prstGeom>
                        </pic:spPr>
                      </pic:pic>
                    </a:graphicData>
                  </a:graphic>
                </wp:inline>
              </w:drawing>
            </w:r>
          </w:p>
          <w:p w14:paraId="0553C33C" w14:textId="21DBAD6B" w:rsidR="0083098B" w:rsidRDefault="0083098B" w:rsidP="0083098B">
            <w:pPr>
              <w:jc w:val="center"/>
            </w:pPr>
            <w:r w:rsidRPr="0083098B">
              <w:t>Tournesol (</w:t>
            </w:r>
            <w:r w:rsidRPr="0083098B">
              <w:rPr>
                <w:i/>
                <w:iCs/>
              </w:rPr>
              <w:t>Helianthus annuus</w:t>
            </w:r>
            <w:r w:rsidRPr="0083098B">
              <w:t>)</w:t>
            </w:r>
          </w:p>
        </w:tc>
        <w:tc>
          <w:tcPr>
            <w:tcW w:w="3472" w:type="dxa"/>
          </w:tcPr>
          <w:p w14:paraId="7183E6DB" w14:textId="77777777" w:rsidR="00AC37C0" w:rsidRDefault="0083098B" w:rsidP="00AC37C0">
            <w:pPr>
              <w:jc w:val="center"/>
            </w:pPr>
            <w:r w:rsidRPr="0083098B">
              <w:rPr>
                <w:noProof/>
              </w:rPr>
              <w:drawing>
                <wp:inline distT="0" distB="0" distL="0" distR="0" wp14:anchorId="130416C0" wp14:editId="1EE97A73">
                  <wp:extent cx="1515882" cy="1142927"/>
                  <wp:effectExtent l="0" t="0" r="8255" b="635"/>
                  <wp:docPr id="115718"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7"/>
                          <pic:cNvPicPr>
                            <a:picLocks noChangeAspect="1"/>
                          </pic:cNvPicPr>
                        </pic:nvPicPr>
                        <pic:blipFill>
                          <a:blip r:embed="rId1728">
                            <a:extLst>
                              <a:ext uri="{28A0092B-C50C-407E-A947-70E740481C1C}">
                                <a14:useLocalDpi xmlns:a14="http://schemas.microsoft.com/office/drawing/2010/main" val="0"/>
                              </a:ext>
                            </a:extLst>
                          </a:blip>
                          <a:stretch>
                            <a:fillRect/>
                          </a:stretch>
                        </pic:blipFill>
                        <pic:spPr>
                          <a:xfrm>
                            <a:off x="0" y="0"/>
                            <a:ext cx="1515882" cy="1142927"/>
                          </a:xfrm>
                          <a:prstGeom prst="rect">
                            <a:avLst/>
                          </a:prstGeom>
                        </pic:spPr>
                      </pic:pic>
                    </a:graphicData>
                  </a:graphic>
                </wp:inline>
              </w:drawing>
            </w:r>
          </w:p>
          <w:p w14:paraId="79758F3D" w14:textId="34AF3F6C" w:rsidR="0083098B" w:rsidRDefault="0083098B" w:rsidP="0083098B">
            <w:pPr>
              <w:jc w:val="center"/>
            </w:pPr>
            <w:r w:rsidRPr="0083098B">
              <w:t>Sorgho commun (</w:t>
            </w:r>
            <w:r w:rsidRPr="0083098B">
              <w:rPr>
                <w:i/>
                <w:iCs/>
              </w:rPr>
              <w:t>Sorghum bicolor</w:t>
            </w:r>
            <w:r w:rsidRPr="0083098B">
              <w:t>)</w:t>
            </w:r>
          </w:p>
        </w:tc>
        <w:tc>
          <w:tcPr>
            <w:tcW w:w="3472" w:type="dxa"/>
          </w:tcPr>
          <w:p w14:paraId="2A4D462C" w14:textId="77777777" w:rsidR="00AC37C0" w:rsidRDefault="0083098B" w:rsidP="00AC37C0">
            <w:pPr>
              <w:jc w:val="center"/>
            </w:pPr>
            <w:r w:rsidRPr="0083098B">
              <w:rPr>
                <w:noProof/>
              </w:rPr>
              <w:drawing>
                <wp:inline distT="0" distB="0" distL="0" distR="0" wp14:anchorId="567CA11C" wp14:editId="063D91EE">
                  <wp:extent cx="1047750" cy="904875"/>
                  <wp:effectExtent l="0" t="0" r="0" b="9525"/>
                  <wp:docPr id="115722"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 30"/>
                          <pic:cNvPicPr>
                            <a:picLocks noChangeAspect="1"/>
                          </pic:cNvPicPr>
                        </pic:nvPicPr>
                        <pic:blipFill>
                          <a:blip r:embed="rId1729">
                            <a:extLst>
                              <a:ext uri="{28A0092B-C50C-407E-A947-70E740481C1C}">
                                <a14:useLocalDpi xmlns:a14="http://schemas.microsoft.com/office/drawing/2010/main" val="0"/>
                              </a:ext>
                            </a:extLst>
                          </a:blip>
                          <a:stretch>
                            <a:fillRect/>
                          </a:stretch>
                        </pic:blipFill>
                        <pic:spPr>
                          <a:xfrm>
                            <a:off x="0" y="0"/>
                            <a:ext cx="1047750" cy="904875"/>
                          </a:xfrm>
                          <a:prstGeom prst="rect">
                            <a:avLst/>
                          </a:prstGeom>
                        </pic:spPr>
                      </pic:pic>
                    </a:graphicData>
                  </a:graphic>
                </wp:inline>
              </w:drawing>
            </w:r>
            <w:r w:rsidRPr="0083098B">
              <w:rPr>
                <w:noProof/>
              </w:rPr>
              <w:drawing>
                <wp:inline distT="0" distB="0" distL="0" distR="0" wp14:anchorId="4206669F" wp14:editId="0A9BCB30">
                  <wp:extent cx="1292891" cy="971897"/>
                  <wp:effectExtent l="0" t="0" r="2540" b="0"/>
                  <wp:docPr id="115723"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 31"/>
                          <pic:cNvPicPr>
                            <a:picLocks noChangeAspect="1"/>
                          </pic:cNvPicPr>
                        </pic:nvPicPr>
                        <pic:blipFill>
                          <a:blip r:embed="rId1730" cstate="print">
                            <a:extLst>
                              <a:ext uri="{28A0092B-C50C-407E-A947-70E740481C1C}">
                                <a14:useLocalDpi xmlns:a14="http://schemas.microsoft.com/office/drawing/2010/main" val="0"/>
                              </a:ext>
                            </a:extLst>
                          </a:blip>
                          <a:stretch>
                            <a:fillRect/>
                          </a:stretch>
                        </pic:blipFill>
                        <pic:spPr>
                          <a:xfrm>
                            <a:off x="0" y="0"/>
                            <a:ext cx="1292891" cy="971897"/>
                          </a:xfrm>
                          <a:prstGeom prst="rect">
                            <a:avLst/>
                          </a:prstGeom>
                        </pic:spPr>
                      </pic:pic>
                    </a:graphicData>
                  </a:graphic>
                </wp:inline>
              </w:drawing>
            </w:r>
          </w:p>
          <w:p w14:paraId="4DFB083D" w14:textId="77777777" w:rsidR="0083098B" w:rsidRDefault="0083098B" w:rsidP="00AC37C0">
            <w:pPr>
              <w:jc w:val="center"/>
            </w:pPr>
            <w:r w:rsidRPr="0083098B">
              <w:t>Arachide (</w:t>
            </w:r>
            <w:r w:rsidRPr="0083098B">
              <w:rPr>
                <w:i/>
                <w:iCs/>
                <w:lang w:val="la-Latn"/>
              </w:rPr>
              <w:t>Arachis hypogaea</w:t>
            </w:r>
            <w:r>
              <w:t>)</w:t>
            </w:r>
          </w:p>
          <w:p w14:paraId="2E050B13" w14:textId="2067ECFA" w:rsidR="00640199" w:rsidRPr="0083098B" w:rsidRDefault="00640199" w:rsidP="00AC37C0">
            <w:pPr>
              <w:jc w:val="center"/>
            </w:pPr>
          </w:p>
        </w:tc>
      </w:tr>
      <w:tr w:rsidR="00AC37C0" w14:paraId="588EDCD0" w14:textId="77777777" w:rsidTr="00640199">
        <w:tc>
          <w:tcPr>
            <w:tcW w:w="3472" w:type="dxa"/>
          </w:tcPr>
          <w:p w14:paraId="642003BF" w14:textId="77777777" w:rsidR="00AC37C0" w:rsidRDefault="0083098B" w:rsidP="00AC37C0">
            <w:pPr>
              <w:jc w:val="center"/>
            </w:pPr>
            <w:r w:rsidRPr="0083098B">
              <w:rPr>
                <w:noProof/>
              </w:rPr>
              <w:drawing>
                <wp:inline distT="0" distB="0" distL="0" distR="0" wp14:anchorId="61F210E5" wp14:editId="69D2F1DE">
                  <wp:extent cx="1847211" cy="1151255"/>
                  <wp:effectExtent l="0" t="0" r="1270" b="0"/>
                  <wp:docPr id="115724"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19"/>
                          <pic:cNvPicPr>
                            <a:picLocks noChangeAspect="1"/>
                          </pic:cNvPicPr>
                        </pic:nvPicPr>
                        <pic:blipFill>
                          <a:blip r:embed="rId1731">
                            <a:extLst>
                              <a:ext uri="{28A0092B-C50C-407E-A947-70E740481C1C}">
                                <a14:useLocalDpi xmlns:a14="http://schemas.microsoft.com/office/drawing/2010/main" val="0"/>
                              </a:ext>
                            </a:extLst>
                          </a:blip>
                          <a:stretch>
                            <a:fillRect/>
                          </a:stretch>
                        </pic:blipFill>
                        <pic:spPr>
                          <a:xfrm>
                            <a:off x="0" y="0"/>
                            <a:ext cx="1849706" cy="1152810"/>
                          </a:xfrm>
                          <a:prstGeom prst="rect">
                            <a:avLst/>
                          </a:prstGeom>
                        </pic:spPr>
                      </pic:pic>
                    </a:graphicData>
                  </a:graphic>
                </wp:inline>
              </w:drawing>
            </w:r>
          </w:p>
          <w:p w14:paraId="545D97B2" w14:textId="6BB254F6" w:rsidR="0083098B" w:rsidRDefault="0083098B" w:rsidP="0083098B">
            <w:pPr>
              <w:jc w:val="center"/>
            </w:pPr>
            <w:r w:rsidRPr="0083098B">
              <w:t>Lentille</w:t>
            </w:r>
            <w:r w:rsidRPr="0083098B">
              <w:rPr>
                <w:i/>
                <w:iCs/>
              </w:rPr>
              <w:t xml:space="preserve"> </w:t>
            </w:r>
            <w:r w:rsidRPr="0083098B">
              <w:t xml:space="preserve">cultivée ou comestible </w:t>
            </w:r>
            <w:r w:rsidRPr="0083098B">
              <w:rPr>
                <w:i/>
                <w:iCs/>
              </w:rPr>
              <w:t>(appelé dal en Inde) (Lens culinaris</w:t>
            </w:r>
            <w:r w:rsidRPr="0083098B">
              <w:t>)</w:t>
            </w:r>
          </w:p>
        </w:tc>
        <w:tc>
          <w:tcPr>
            <w:tcW w:w="3472" w:type="dxa"/>
          </w:tcPr>
          <w:p w14:paraId="6E90AB93" w14:textId="77777777" w:rsidR="00AC37C0" w:rsidRDefault="0083098B" w:rsidP="00AC37C0">
            <w:pPr>
              <w:jc w:val="center"/>
            </w:pPr>
            <w:r w:rsidRPr="0083098B">
              <w:rPr>
                <w:noProof/>
              </w:rPr>
              <w:drawing>
                <wp:inline distT="0" distB="0" distL="0" distR="0" wp14:anchorId="0CD039A4" wp14:editId="59F3FC0C">
                  <wp:extent cx="1774877" cy="1181100"/>
                  <wp:effectExtent l="0" t="0" r="0" b="0"/>
                  <wp:docPr id="115725"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 20"/>
                          <pic:cNvPicPr>
                            <a:picLocks noChangeAspect="1"/>
                          </pic:cNvPicPr>
                        </pic:nvPicPr>
                        <pic:blipFill>
                          <a:blip r:embed="rId1732">
                            <a:extLst>
                              <a:ext uri="{28A0092B-C50C-407E-A947-70E740481C1C}">
                                <a14:useLocalDpi xmlns:a14="http://schemas.microsoft.com/office/drawing/2010/main" val="0"/>
                              </a:ext>
                            </a:extLst>
                          </a:blip>
                          <a:stretch>
                            <a:fillRect/>
                          </a:stretch>
                        </pic:blipFill>
                        <pic:spPr>
                          <a:xfrm>
                            <a:off x="0" y="0"/>
                            <a:ext cx="1777218" cy="1182658"/>
                          </a:xfrm>
                          <a:prstGeom prst="rect">
                            <a:avLst/>
                          </a:prstGeom>
                        </pic:spPr>
                      </pic:pic>
                    </a:graphicData>
                  </a:graphic>
                </wp:inline>
              </w:drawing>
            </w:r>
          </w:p>
          <w:p w14:paraId="2591610E" w14:textId="3F1318AB" w:rsidR="0083098B" w:rsidRDefault="0083098B" w:rsidP="00AC37C0">
            <w:pPr>
              <w:jc w:val="center"/>
            </w:pPr>
            <w:r w:rsidRPr="0083098B">
              <w:t>Lentille</w:t>
            </w:r>
            <w:r w:rsidRPr="0083098B">
              <w:rPr>
                <w:i/>
                <w:iCs/>
              </w:rPr>
              <w:t xml:space="preserve"> </w:t>
            </w:r>
            <w:r w:rsidRPr="0083098B">
              <w:t xml:space="preserve">cultivée ou comestible </w:t>
            </w:r>
            <w:r w:rsidRPr="0083098B">
              <w:rPr>
                <w:i/>
                <w:iCs/>
              </w:rPr>
              <w:t>(appelé dal en Inde) (Lens culinaris</w:t>
            </w:r>
            <w:r w:rsidRPr="0083098B">
              <w:t>)</w:t>
            </w:r>
          </w:p>
        </w:tc>
        <w:tc>
          <w:tcPr>
            <w:tcW w:w="3472" w:type="dxa"/>
          </w:tcPr>
          <w:p w14:paraId="1540952A" w14:textId="77777777" w:rsidR="00AC37C0" w:rsidRDefault="0083098B" w:rsidP="00AC37C0">
            <w:pPr>
              <w:jc w:val="center"/>
            </w:pPr>
            <w:r w:rsidRPr="0083098B">
              <w:rPr>
                <w:noProof/>
              </w:rPr>
              <w:drawing>
                <wp:inline distT="0" distB="0" distL="0" distR="0" wp14:anchorId="0A1C8A6F" wp14:editId="03F78BBC">
                  <wp:extent cx="1597583" cy="1977207"/>
                  <wp:effectExtent l="0" t="0" r="3175" b="4445"/>
                  <wp:docPr id="115726"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8"/>
                          <pic:cNvPicPr>
                            <a:picLocks noChangeAspect="1"/>
                          </pic:cNvPicPr>
                        </pic:nvPicPr>
                        <pic:blipFill>
                          <a:blip r:embed="rId1733">
                            <a:extLst>
                              <a:ext uri="{28A0092B-C50C-407E-A947-70E740481C1C}">
                                <a14:useLocalDpi xmlns:a14="http://schemas.microsoft.com/office/drawing/2010/main" val="0"/>
                              </a:ext>
                            </a:extLst>
                          </a:blip>
                          <a:stretch>
                            <a:fillRect/>
                          </a:stretch>
                        </pic:blipFill>
                        <pic:spPr>
                          <a:xfrm>
                            <a:off x="0" y="0"/>
                            <a:ext cx="1597583" cy="1977207"/>
                          </a:xfrm>
                          <a:prstGeom prst="rect">
                            <a:avLst/>
                          </a:prstGeom>
                        </pic:spPr>
                      </pic:pic>
                    </a:graphicData>
                  </a:graphic>
                </wp:inline>
              </w:drawing>
            </w:r>
          </w:p>
          <w:p w14:paraId="5545244F" w14:textId="5B55255F" w:rsidR="0083098B" w:rsidRDefault="0083098B" w:rsidP="00AC37C0">
            <w:pPr>
              <w:jc w:val="center"/>
            </w:pPr>
            <w:r w:rsidRPr="0083098B">
              <w:t>Diverses variétés de lentilles</w:t>
            </w:r>
            <w:r>
              <w:t>.</w:t>
            </w:r>
          </w:p>
        </w:tc>
      </w:tr>
      <w:tr w:rsidR="0083098B" w14:paraId="3F7320B1" w14:textId="77777777" w:rsidTr="00640199">
        <w:tc>
          <w:tcPr>
            <w:tcW w:w="3472" w:type="dxa"/>
          </w:tcPr>
          <w:p w14:paraId="02FBFD68" w14:textId="77777777" w:rsidR="0083098B" w:rsidRDefault="0083098B" w:rsidP="00AC37C0">
            <w:pPr>
              <w:jc w:val="center"/>
            </w:pPr>
            <w:r w:rsidRPr="0083098B">
              <w:rPr>
                <w:noProof/>
              </w:rPr>
              <w:drawing>
                <wp:inline distT="0" distB="0" distL="0" distR="0" wp14:anchorId="69F8E946" wp14:editId="0D1A142D">
                  <wp:extent cx="1633527" cy="1227063"/>
                  <wp:effectExtent l="0" t="0" r="5080" b="0"/>
                  <wp:docPr id="115727"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 24"/>
                          <pic:cNvPicPr>
                            <a:picLocks noChangeAspect="1"/>
                          </pic:cNvPicPr>
                        </pic:nvPicPr>
                        <pic:blipFill>
                          <a:blip r:embed="rId1734">
                            <a:extLst>
                              <a:ext uri="{28A0092B-C50C-407E-A947-70E740481C1C}">
                                <a14:useLocalDpi xmlns:a14="http://schemas.microsoft.com/office/drawing/2010/main" val="0"/>
                              </a:ext>
                            </a:extLst>
                          </a:blip>
                          <a:stretch>
                            <a:fillRect/>
                          </a:stretch>
                        </pic:blipFill>
                        <pic:spPr>
                          <a:xfrm>
                            <a:off x="0" y="0"/>
                            <a:ext cx="1633527" cy="1227063"/>
                          </a:xfrm>
                          <a:prstGeom prst="rect">
                            <a:avLst/>
                          </a:prstGeom>
                        </pic:spPr>
                      </pic:pic>
                    </a:graphicData>
                  </a:graphic>
                </wp:inline>
              </w:drawing>
            </w:r>
          </w:p>
          <w:p w14:paraId="66DB62B5" w14:textId="14C44BE8" w:rsidR="0083098B" w:rsidRPr="0083098B" w:rsidRDefault="0083098B" w:rsidP="0083098B">
            <w:pPr>
              <w:jc w:val="center"/>
            </w:pPr>
            <w:r w:rsidRPr="0083098B">
              <w:t xml:space="preserve">Mil ou millet (nom ambigüe) </w:t>
            </w:r>
          </w:p>
          <w:p w14:paraId="06F000E7" w14:textId="77777777" w:rsidR="0083098B" w:rsidRDefault="0083098B" w:rsidP="0083098B">
            <w:pPr>
              <w:jc w:val="center"/>
            </w:pPr>
            <w:r w:rsidRPr="0083098B">
              <w:t>Millet commun (</w:t>
            </w:r>
            <w:r w:rsidRPr="0083098B">
              <w:rPr>
                <w:i/>
                <w:iCs/>
              </w:rPr>
              <w:t>Panicum miliaceum</w:t>
            </w:r>
            <w:r w:rsidRPr="0083098B">
              <w:t>)</w:t>
            </w:r>
            <w:r w:rsidR="003A4691">
              <w:t>.</w:t>
            </w:r>
          </w:p>
          <w:p w14:paraId="1C59479F" w14:textId="16AD06F1" w:rsidR="00640199" w:rsidRPr="0083098B" w:rsidRDefault="00640199" w:rsidP="0083098B">
            <w:pPr>
              <w:jc w:val="center"/>
            </w:pPr>
          </w:p>
        </w:tc>
        <w:tc>
          <w:tcPr>
            <w:tcW w:w="3472" w:type="dxa"/>
          </w:tcPr>
          <w:p w14:paraId="29C0FAD0" w14:textId="5AF14A73" w:rsidR="0083098B" w:rsidRDefault="0083098B" w:rsidP="00AC37C0">
            <w:pPr>
              <w:jc w:val="center"/>
            </w:pPr>
            <w:r w:rsidRPr="0083098B">
              <w:rPr>
                <w:noProof/>
              </w:rPr>
              <w:drawing>
                <wp:inline distT="0" distB="0" distL="0" distR="0" wp14:anchorId="0923840B" wp14:editId="328D5797">
                  <wp:extent cx="1676400" cy="1257300"/>
                  <wp:effectExtent l="0" t="0" r="0" b="0"/>
                  <wp:docPr id="115728"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 22"/>
                          <pic:cNvPicPr>
                            <a:picLocks noChangeAspect="1"/>
                          </pic:cNvPicPr>
                        </pic:nvPicPr>
                        <pic:blipFill>
                          <a:blip r:embed="rId1735">
                            <a:extLst>
                              <a:ext uri="{28A0092B-C50C-407E-A947-70E740481C1C}">
                                <a14:useLocalDpi xmlns:a14="http://schemas.microsoft.com/office/drawing/2010/main" val="0"/>
                              </a:ext>
                            </a:extLst>
                          </a:blip>
                          <a:stretch>
                            <a:fillRect/>
                          </a:stretch>
                        </pic:blipFill>
                        <pic:spPr>
                          <a:xfrm>
                            <a:off x="0" y="0"/>
                            <a:ext cx="1676400" cy="1257300"/>
                          </a:xfrm>
                          <a:prstGeom prst="rect">
                            <a:avLst/>
                          </a:prstGeom>
                        </pic:spPr>
                      </pic:pic>
                    </a:graphicData>
                  </a:graphic>
                </wp:inline>
              </w:drawing>
            </w:r>
          </w:p>
          <w:p w14:paraId="75C200D4" w14:textId="28BA61D8" w:rsidR="0083098B" w:rsidRDefault="0083098B" w:rsidP="00AC37C0">
            <w:pPr>
              <w:jc w:val="center"/>
            </w:pPr>
            <w:r w:rsidRPr="0083098B">
              <w:t>Millet commun (</w:t>
            </w:r>
            <w:r w:rsidRPr="0083098B">
              <w:rPr>
                <w:i/>
                <w:iCs/>
              </w:rPr>
              <w:t>Panicum miliaceum</w:t>
            </w:r>
            <w:r w:rsidRPr="0083098B">
              <w:t>)</w:t>
            </w:r>
            <w:r w:rsidR="003A4691">
              <w:t>.</w:t>
            </w:r>
          </w:p>
          <w:p w14:paraId="281D6FC3" w14:textId="7E65FDA7" w:rsidR="0083098B" w:rsidRPr="0083098B" w:rsidRDefault="0083098B" w:rsidP="00AC37C0">
            <w:pPr>
              <w:jc w:val="center"/>
            </w:pPr>
          </w:p>
        </w:tc>
        <w:tc>
          <w:tcPr>
            <w:tcW w:w="3472" w:type="dxa"/>
          </w:tcPr>
          <w:p w14:paraId="35E174BA" w14:textId="197F485F" w:rsidR="0083098B" w:rsidRDefault="0083098B" w:rsidP="00AC37C0">
            <w:pPr>
              <w:jc w:val="center"/>
            </w:pPr>
            <w:r w:rsidRPr="0083098B">
              <w:rPr>
                <w:noProof/>
              </w:rPr>
              <w:drawing>
                <wp:inline distT="0" distB="0" distL="0" distR="0" wp14:anchorId="3E95DB4F" wp14:editId="46ECB127">
                  <wp:extent cx="885825" cy="1328738"/>
                  <wp:effectExtent l="0" t="0" r="0" b="5080"/>
                  <wp:docPr id="115729"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 23"/>
                          <pic:cNvPicPr>
                            <a:picLocks noChangeAspect="1"/>
                          </pic:cNvPicPr>
                        </pic:nvPicPr>
                        <pic:blipFill>
                          <a:blip r:embed="rId1736">
                            <a:extLst>
                              <a:ext uri="{28A0092B-C50C-407E-A947-70E740481C1C}">
                                <a14:useLocalDpi xmlns:a14="http://schemas.microsoft.com/office/drawing/2010/main" val="0"/>
                              </a:ext>
                            </a:extLst>
                          </a:blip>
                          <a:stretch>
                            <a:fillRect/>
                          </a:stretch>
                        </pic:blipFill>
                        <pic:spPr>
                          <a:xfrm>
                            <a:off x="0" y="0"/>
                            <a:ext cx="886037" cy="1329056"/>
                          </a:xfrm>
                          <a:prstGeom prst="rect">
                            <a:avLst/>
                          </a:prstGeom>
                        </pic:spPr>
                      </pic:pic>
                    </a:graphicData>
                  </a:graphic>
                </wp:inline>
              </w:drawing>
            </w:r>
          </w:p>
          <w:p w14:paraId="0C554CE2" w14:textId="2D4BE499" w:rsidR="0083098B" w:rsidRPr="0083098B" w:rsidRDefault="003A4691" w:rsidP="003A4691">
            <w:pPr>
              <w:jc w:val="center"/>
            </w:pPr>
            <w:r>
              <w:rPr>
                <w:rFonts w:ascii="Calibri" w:hAnsi="Calibri" w:cs="Calibri"/>
                <w:color w:val="202122"/>
              </w:rPr>
              <w:t>Mil à chandelle, millet perle ou mil (</w:t>
            </w:r>
            <w:r w:rsidRPr="00253168">
              <w:rPr>
                <w:rFonts w:ascii="Calibri" w:hAnsi="Calibri" w:cs="Calibri"/>
                <w:i/>
                <w:iCs/>
                <w:color w:val="202122"/>
              </w:rPr>
              <w:t>Pennisetum glaucum</w:t>
            </w:r>
            <w:r>
              <w:rPr>
                <w:rFonts w:ascii="Calibri" w:hAnsi="Calibri" w:cs="Calibri"/>
                <w:color w:val="202122"/>
              </w:rPr>
              <w:t>).</w:t>
            </w:r>
          </w:p>
        </w:tc>
      </w:tr>
      <w:tr w:rsidR="003A4691" w14:paraId="5EBE08D9" w14:textId="77777777" w:rsidTr="00640199">
        <w:tc>
          <w:tcPr>
            <w:tcW w:w="3472" w:type="dxa"/>
          </w:tcPr>
          <w:p w14:paraId="5F73910C" w14:textId="3277E8B3" w:rsidR="003A4691" w:rsidRDefault="00640199" w:rsidP="00AC37C0">
            <w:pPr>
              <w:jc w:val="center"/>
            </w:pPr>
            <w:r w:rsidRPr="00640199">
              <w:rPr>
                <w:noProof/>
              </w:rPr>
              <w:drawing>
                <wp:inline distT="0" distB="0" distL="0" distR="0" wp14:anchorId="0AB81DC8" wp14:editId="545B4AB6">
                  <wp:extent cx="1459087" cy="1159974"/>
                  <wp:effectExtent l="0" t="0" r="8255" b="2540"/>
                  <wp:docPr id="115730"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 26"/>
                          <pic:cNvPicPr>
                            <a:picLocks noChangeAspect="1"/>
                          </pic:cNvPicPr>
                        </pic:nvPicPr>
                        <pic:blipFill>
                          <a:blip r:embed="rId1737">
                            <a:extLst>
                              <a:ext uri="{28A0092B-C50C-407E-A947-70E740481C1C}">
                                <a14:useLocalDpi xmlns:a14="http://schemas.microsoft.com/office/drawing/2010/main" val="0"/>
                              </a:ext>
                            </a:extLst>
                          </a:blip>
                          <a:stretch>
                            <a:fillRect/>
                          </a:stretch>
                        </pic:blipFill>
                        <pic:spPr>
                          <a:xfrm>
                            <a:off x="0" y="0"/>
                            <a:ext cx="1459087" cy="1159974"/>
                          </a:xfrm>
                          <a:prstGeom prst="rect">
                            <a:avLst/>
                          </a:prstGeom>
                        </pic:spPr>
                      </pic:pic>
                    </a:graphicData>
                  </a:graphic>
                </wp:inline>
              </w:drawing>
            </w:r>
          </w:p>
          <w:p w14:paraId="3D26DB04" w14:textId="77777777" w:rsidR="00640199" w:rsidRDefault="00640199" w:rsidP="00AC37C0">
            <w:pPr>
              <w:jc w:val="center"/>
            </w:pPr>
          </w:p>
          <w:p w14:paraId="40D48BC5" w14:textId="77777777" w:rsidR="00640199" w:rsidRDefault="00640199" w:rsidP="00AC37C0">
            <w:pPr>
              <w:jc w:val="center"/>
            </w:pPr>
            <w:r w:rsidRPr="00640199">
              <w:rPr>
                <w:noProof/>
              </w:rPr>
              <w:drawing>
                <wp:inline distT="0" distB="0" distL="0" distR="0" wp14:anchorId="33C757C5" wp14:editId="017EE6B4">
                  <wp:extent cx="1200150" cy="904875"/>
                  <wp:effectExtent l="0" t="0" r="0" b="9525"/>
                  <wp:docPr id="115731"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 25"/>
                          <pic:cNvPicPr>
                            <a:picLocks noChangeAspect="1"/>
                          </pic:cNvPicPr>
                        </pic:nvPicPr>
                        <pic:blipFill>
                          <a:blip r:embed="rId1738">
                            <a:extLst>
                              <a:ext uri="{28A0092B-C50C-407E-A947-70E740481C1C}">
                                <a14:useLocalDpi xmlns:a14="http://schemas.microsoft.com/office/drawing/2010/main" val="0"/>
                              </a:ext>
                            </a:extLst>
                          </a:blip>
                          <a:stretch>
                            <a:fillRect/>
                          </a:stretch>
                        </pic:blipFill>
                        <pic:spPr>
                          <a:xfrm>
                            <a:off x="0" y="0"/>
                            <a:ext cx="1200150" cy="904875"/>
                          </a:xfrm>
                          <a:prstGeom prst="rect">
                            <a:avLst/>
                          </a:prstGeom>
                        </pic:spPr>
                      </pic:pic>
                    </a:graphicData>
                  </a:graphic>
                </wp:inline>
              </w:drawing>
            </w:r>
          </w:p>
          <w:p w14:paraId="10551C32" w14:textId="77777777" w:rsidR="00640199" w:rsidRPr="00640199" w:rsidRDefault="00640199" w:rsidP="00640199">
            <w:pPr>
              <w:jc w:val="center"/>
              <w:rPr>
                <w:lang w:val="es-AR"/>
              </w:rPr>
            </w:pPr>
            <w:r w:rsidRPr="00640199">
              <w:rPr>
                <w:lang w:val="es-AR"/>
              </w:rPr>
              <w:t xml:space="preserve">Fonio (nom ambigüe) </w:t>
            </w:r>
            <w:r w:rsidRPr="00640199">
              <w:rPr>
                <w:i/>
                <w:iCs/>
                <w:lang w:val="es-AR"/>
              </w:rPr>
              <w:t>(Digitaria sp</w:t>
            </w:r>
            <w:r w:rsidRPr="00640199">
              <w:rPr>
                <w:lang w:val="es-AR"/>
              </w:rPr>
              <w:t>.)</w:t>
            </w:r>
          </w:p>
          <w:p w14:paraId="4E3D3EA0" w14:textId="6FA5995D" w:rsidR="00640199" w:rsidRPr="0083098B" w:rsidRDefault="00640199" w:rsidP="00640199">
            <w:pPr>
              <w:jc w:val="center"/>
            </w:pPr>
            <w:r w:rsidRPr="00640199">
              <w:t>Fonio blanc (</w:t>
            </w:r>
            <w:r w:rsidRPr="00640199">
              <w:rPr>
                <w:i/>
                <w:iCs/>
              </w:rPr>
              <w:t>Digitaria exilis</w:t>
            </w:r>
            <w:r w:rsidRPr="00640199">
              <w:t>)</w:t>
            </w:r>
          </w:p>
        </w:tc>
        <w:tc>
          <w:tcPr>
            <w:tcW w:w="3472" w:type="dxa"/>
          </w:tcPr>
          <w:p w14:paraId="257C4F9F" w14:textId="5D8CE2C6" w:rsidR="003A4691" w:rsidRDefault="00640199" w:rsidP="00AC37C0">
            <w:pPr>
              <w:jc w:val="center"/>
            </w:pPr>
            <w:r w:rsidRPr="00640199">
              <w:rPr>
                <w:noProof/>
              </w:rPr>
              <w:lastRenderedPageBreak/>
              <w:drawing>
                <wp:inline distT="0" distB="0" distL="0" distR="0" wp14:anchorId="31B9CC4A" wp14:editId="3FDEFB0A">
                  <wp:extent cx="930666" cy="930666"/>
                  <wp:effectExtent l="0" t="0" r="3175" b="3175"/>
                  <wp:docPr id="115732"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 27"/>
                          <pic:cNvPicPr>
                            <a:picLocks noChangeAspect="1"/>
                          </pic:cNvPicPr>
                        </pic:nvPicPr>
                        <pic:blipFill>
                          <a:blip r:embed="rId1739">
                            <a:extLst>
                              <a:ext uri="{28A0092B-C50C-407E-A947-70E740481C1C}">
                                <a14:useLocalDpi xmlns:a14="http://schemas.microsoft.com/office/drawing/2010/main" val="0"/>
                              </a:ext>
                            </a:extLst>
                          </a:blip>
                          <a:stretch>
                            <a:fillRect/>
                          </a:stretch>
                        </pic:blipFill>
                        <pic:spPr>
                          <a:xfrm>
                            <a:off x="0" y="0"/>
                            <a:ext cx="930666" cy="930666"/>
                          </a:xfrm>
                          <a:prstGeom prst="rect">
                            <a:avLst/>
                          </a:prstGeom>
                        </pic:spPr>
                      </pic:pic>
                    </a:graphicData>
                  </a:graphic>
                </wp:inline>
              </w:drawing>
            </w:r>
          </w:p>
          <w:p w14:paraId="00E4BB6C" w14:textId="77777777" w:rsidR="00640199" w:rsidRDefault="00640199" w:rsidP="00AC37C0">
            <w:pPr>
              <w:jc w:val="center"/>
            </w:pPr>
          </w:p>
          <w:p w14:paraId="749CAF92" w14:textId="77777777" w:rsidR="00640199" w:rsidRDefault="00640199" w:rsidP="00AC37C0">
            <w:pPr>
              <w:jc w:val="center"/>
            </w:pPr>
            <w:r w:rsidRPr="00640199">
              <w:rPr>
                <w:noProof/>
              </w:rPr>
              <w:lastRenderedPageBreak/>
              <w:drawing>
                <wp:inline distT="0" distB="0" distL="0" distR="0" wp14:anchorId="6DE7D006" wp14:editId="71245629">
                  <wp:extent cx="1123950" cy="828675"/>
                  <wp:effectExtent l="0" t="0" r="0" b="9525"/>
                  <wp:docPr id="115733"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 28"/>
                          <pic:cNvPicPr>
                            <a:picLocks noChangeAspect="1"/>
                          </pic:cNvPicPr>
                        </pic:nvPicPr>
                        <pic:blipFill>
                          <a:blip r:embed="rId1740">
                            <a:extLst>
                              <a:ext uri="{28A0092B-C50C-407E-A947-70E740481C1C}">
                                <a14:useLocalDpi xmlns:a14="http://schemas.microsoft.com/office/drawing/2010/main" val="0"/>
                              </a:ext>
                            </a:extLst>
                          </a:blip>
                          <a:stretch>
                            <a:fillRect/>
                          </a:stretch>
                        </pic:blipFill>
                        <pic:spPr>
                          <a:xfrm>
                            <a:off x="0" y="0"/>
                            <a:ext cx="1123950" cy="828675"/>
                          </a:xfrm>
                          <a:prstGeom prst="rect">
                            <a:avLst/>
                          </a:prstGeom>
                        </pic:spPr>
                      </pic:pic>
                    </a:graphicData>
                  </a:graphic>
                </wp:inline>
              </w:drawing>
            </w:r>
          </w:p>
          <w:p w14:paraId="0E68DE2C" w14:textId="77777777" w:rsidR="00640199" w:rsidRPr="00640199" w:rsidRDefault="00640199" w:rsidP="00640199">
            <w:pPr>
              <w:jc w:val="center"/>
            </w:pPr>
            <w:r w:rsidRPr="00640199">
              <w:t xml:space="preserve">Lin cultivé </w:t>
            </w:r>
          </w:p>
          <w:p w14:paraId="28193D8A" w14:textId="77777777" w:rsidR="00640199" w:rsidRDefault="00640199" w:rsidP="00640199">
            <w:pPr>
              <w:jc w:val="center"/>
            </w:pPr>
            <w:r w:rsidRPr="00640199">
              <w:t>(</w:t>
            </w:r>
            <w:r w:rsidRPr="00640199">
              <w:rPr>
                <w:i/>
                <w:iCs/>
              </w:rPr>
              <w:t>Linum usitatissimum</w:t>
            </w:r>
            <w:r w:rsidRPr="00640199">
              <w:t>)</w:t>
            </w:r>
          </w:p>
          <w:p w14:paraId="1E987013" w14:textId="5595A226" w:rsidR="00877307" w:rsidRPr="0083098B" w:rsidRDefault="00877307" w:rsidP="00640199">
            <w:pPr>
              <w:jc w:val="center"/>
            </w:pPr>
            <w:r>
              <w:t>(Climat froid. Pour mention).</w:t>
            </w:r>
          </w:p>
        </w:tc>
        <w:tc>
          <w:tcPr>
            <w:tcW w:w="3472" w:type="dxa"/>
          </w:tcPr>
          <w:p w14:paraId="385A1B3F" w14:textId="77777777" w:rsidR="003A4691" w:rsidRDefault="00640199" w:rsidP="00AC37C0">
            <w:pPr>
              <w:jc w:val="center"/>
              <w:rPr>
                <w:noProof/>
              </w:rPr>
            </w:pPr>
            <w:r w:rsidRPr="00640199">
              <w:rPr>
                <w:noProof/>
              </w:rPr>
              <w:lastRenderedPageBreak/>
              <w:drawing>
                <wp:inline distT="0" distB="0" distL="0" distR="0" wp14:anchorId="62D49A80" wp14:editId="11380BBA">
                  <wp:extent cx="846604" cy="1280231"/>
                  <wp:effectExtent l="0" t="0" r="0" b="0"/>
                  <wp:docPr id="115734"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 35"/>
                          <pic:cNvPicPr>
                            <a:picLocks noChangeAspect="1"/>
                          </pic:cNvPicPr>
                        </pic:nvPicPr>
                        <pic:blipFill>
                          <a:blip r:embed="rId1741">
                            <a:extLst>
                              <a:ext uri="{28A0092B-C50C-407E-A947-70E740481C1C}">
                                <a14:useLocalDpi xmlns:a14="http://schemas.microsoft.com/office/drawing/2010/main" val="0"/>
                              </a:ext>
                            </a:extLst>
                          </a:blip>
                          <a:stretch>
                            <a:fillRect/>
                          </a:stretch>
                        </pic:blipFill>
                        <pic:spPr>
                          <a:xfrm>
                            <a:off x="0" y="0"/>
                            <a:ext cx="846604" cy="1280231"/>
                          </a:xfrm>
                          <a:prstGeom prst="rect">
                            <a:avLst/>
                          </a:prstGeom>
                        </pic:spPr>
                      </pic:pic>
                    </a:graphicData>
                  </a:graphic>
                </wp:inline>
              </w:drawing>
            </w:r>
            <w:r w:rsidRPr="00640199">
              <w:rPr>
                <w:noProof/>
              </w:rPr>
              <w:t xml:space="preserve"> </w:t>
            </w:r>
            <w:r w:rsidRPr="00640199">
              <w:rPr>
                <w:noProof/>
              </w:rPr>
              <w:drawing>
                <wp:inline distT="0" distB="0" distL="0" distR="0" wp14:anchorId="74CAAB1C" wp14:editId="1E1335A7">
                  <wp:extent cx="642774" cy="570007"/>
                  <wp:effectExtent l="0" t="0" r="5080" b="1905"/>
                  <wp:docPr id="115735"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 34"/>
                          <pic:cNvPicPr>
                            <a:picLocks noChangeAspect="1"/>
                          </pic:cNvPicPr>
                        </pic:nvPicPr>
                        <pic:blipFill>
                          <a:blip r:embed="rId1742">
                            <a:extLst>
                              <a:ext uri="{28A0092B-C50C-407E-A947-70E740481C1C}">
                                <a14:useLocalDpi xmlns:a14="http://schemas.microsoft.com/office/drawing/2010/main" val="0"/>
                              </a:ext>
                            </a:extLst>
                          </a:blip>
                          <a:stretch>
                            <a:fillRect/>
                          </a:stretch>
                        </pic:blipFill>
                        <pic:spPr>
                          <a:xfrm>
                            <a:off x="0" y="0"/>
                            <a:ext cx="642774" cy="570007"/>
                          </a:xfrm>
                          <a:prstGeom prst="rect">
                            <a:avLst/>
                          </a:prstGeom>
                        </pic:spPr>
                      </pic:pic>
                    </a:graphicData>
                  </a:graphic>
                </wp:inline>
              </w:drawing>
            </w:r>
          </w:p>
          <w:p w14:paraId="727BB007" w14:textId="77777777" w:rsidR="00640199" w:rsidRPr="00640199" w:rsidRDefault="00640199" w:rsidP="00640199">
            <w:pPr>
              <w:jc w:val="center"/>
            </w:pPr>
            <w:r w:rsidRPr="00640199">
              <w:lastRenderedPageBreak/>
              <w:t xml:space="preserve">Cameline (lin bâtard) </w:t>
            </w:r>
          </w:p>
          <w:p w14:paraId="4B5CCB9F" w14:textId="77777777" w:rsidR="00640199" w:rsidRDefault="00640199" w:rsidP="00640199">
            <w:pPr>
              <w:jc w:val="center"/>
            </w:pPr>
            <w:r w:rsidRPr="00640199">
              <w:t>(</w:t>
            </w:r>
            <w:hyperlink r:id="rId1743" w:history="1">
              <w:r w:rsidRPr="00640199">
                <w:rPr>
                  <w:rStyle w:val="Lienhypertexte"/>
                  <w:i/>
                  <w:iCs/>
                </w:rPr>
                <w:t>Camelina</w:t>
              </w:r>
            </w:hyperlink>
            <w:hyperlink r:id="rId1744" w:history="1">
              <w:r w:rsidRPr="00640199">
                <w:rPr>
                  <w:rStyle w:val="Lienhypertexte"/>
                  <w:i/>
                  <w:iCs/>
                </w:rPr>
                <w:t xml:space="preserve"> </w:t>
              </w:r>
            </w:hyperlink>
            <w:hyperlink r:id="rId1745" w:history="1">
              <w:r w:rsidRPr="00640199">
                <w:rPr>
                  <w:rStyle w:val="Lienhypertexte"/>
                  <w:i/>
                  <w:iCs/>
                </w:rPr>
                <w:t>sativa</w:t>
              </w:r>
            </w:hyperlink>
            <w:r w:rsidRPr="00640199">
              <w:t>)</w:t>
            </w:r>
            <w:r>
              <w:t xml:space="preserve">. </w:t>
            </w:r>
            <w:r w:rsidRPr="00640199">
              <w:t>La cameline est adaptée aux zones de climat semi-aride froid (steppes et prairies)</w:t>
            </w:r>
            <w:r>
              <w:t>.</w:t>
            </w:r>
          </w:p>
          <w:p w14:paraId="59103B41" w14:textId="41FC651C" w:rsidR="00877307" w:rsidRPr="0083098B" w:rsidRDefault="00877307" w:rsidP="00640199">
            <w:pPr>
              <w:jc w:val="center"/>
            </w:pPr>
            <w:r>
              <w:t>(Climat froid. Pour mention).</w:t>
            </w:r>
          </w:p>
        </w:tc>
      </w:tr>
    </w:tbl>
    <w:p w14:paraId="25A54BA3" w14:textId="77777777" w:rsidR="00640199" w:rsidRDefault="00640199" w:rsidP="00726FE1">
      <w:pPr>
        <w:spacing w:after="0" w:line="240" w:lineRule="auto"/>
      </w:pPr>
    </w:p>
    <w:p w14:paraId="5B5786C1" w14:textId="77777777" w:rsidR="009D247D" w:rsidRDefault="009D247D" w:rsidP="009D247D">
      <w:pPr>
        <w:pStyle w:val="Titre2"/>
      </w:pPr>
      <w:bookmarkStart w:id="171" w:name="_Toc139181462"/>
      <w:r w:rsidRPr="00C50F6D">
        <w:t>Tournesol (</w:t>
      </w:r>
      <w:r w:rsidRPr="00FC1DF7">
        <w:rPr>
          <w:i/>
          <w:iCs/>
        </w:rPr>
        <w:t>Helianthus annuus</w:t>
      </w:r>
      <w:r w:rsidRPr="00C50F6D">
        <w:t>)</w:t>
      </w:r>
      <w:bookmarkEnd w:id="171"/>
    </w:p>
    <w:p w14:paraId="47D9712E" w14:textId="77777777" w:rsidR="009D247D" w:rsidRDefault="009D247D" w:rsidP="009D247D">
      <w:pPr>
        <w:spacing w:after="0" w:line="240" w:lineRule="auto"/>
      </w:pPr>
    </w:p>
    <w:p w14:paraId="7BD7CE18" w14:textId="77777777" w:rsidR="009D247D" w:rsidRPr="005E1C72" w:rsidRDefault="009D247D" w:rsidP="009D247D">
      <w:pPr>
        <w:spacing w:after="0" w:line="240" w:lineRule="auto"/>
        <w:jc w:val="both"/>
      </w:pPr>
      <w:r w:rsidRPr="005E1C72">
        <w:t>Cette grande </w:t>
      </w:r>
      <w:hyperlink r:id="rId1746" w:history="1">
        <w:r w:rsidRPr="005E1C72">
          <w:rPr>
            <w:rStyle w:val="Lienhypertexte"/>
          </w:rPr>
          <w:t>plante</w:t>
        </w:r>
      </w:hyperlink>
      <w:r w:rsidRPr="005E1C72">
        <w:t> annuelle (famille des </w:t>
      </w:r>
      <w:hyperlink r:id="rId1747" w:history="1">
        <w:r w:rsidRPr="005E1C72">
          <w:rPr>
            <w:rStyle w:val="Lienhypertexte"/>
            <w:i/>
            <w:iCs/>
          </w:rPr>
          <w:t>Astéracées</w:t>
        </w:r>
      </w:hyperlink>
      <w:r>
        <w:t xml:space="preserve"> </w:t>
      </w:r>
      <w:r w:rsidRPr="005E1C72">
        <w:t>(anciennement des</w:t>
      </w:r>
      <w:r>
        <w:rPr>
          <w:i/>
          <w:iCs/>
        </w:rPr>
        <w:t xml:space="preserve"> </w:t>
      </w:r>
      <w:r w:rsidRPr="005E1C72">
        <w:rPr>
          <w:i/>
          <w:iCs/>
        </w:rPr>
        <w:t>Composées</w:t>
      </w:r>
      <w:r w:rsidRPr="005E1C72">
        <w:t>)) est très cultivée pour ses </w:t>
      </w:r>
      <w:hyperlink r:id="rId1748" w:history="1">
        <w:r w:rsidRPr="005E1C72">
          <w:rPr>
            <w:rStyle w:val="Lienhypertexte"/>
          </w:rPr>
          <w:t>graines</w:t>
        </w:r>
      </w:hyperlink>
      <w:r w:rsidRPr="005E1C72">
        <w:t> riches en </w:t>
      </w:r>
      <w:hyperlink r:id="rId1749" w:history="1">
        <w:r w:rsidRPr="005E1C72">
          <w:rPr>
            <w:rStyle w:val="Lienhypertexte"/>
          </w:rPr>
          <w:t>huile</w:t>
        </w:r>
      </w:hyperlink>
      <w:r w:rsidRPr="005E1C72">
        <w:t> (environ 40 % de leur composition) alimentaire de bonne qualité. Le tournesol est, avec le </w:t>
      </w:r>
      <w:hyperlink r:id="rId1750" w:history="1">
        <w:r w:rsidRPr="005E1C72">
          <w:rPr>
            <w:rStyle w:val="Lienhypertexte"/>
          </w:rPr>
          <w:t>colza</w:t>
        </w:r>
      </w:hyperlink>
      <w:r w:rsidRPr="005E1C72">
        <w:t> et l'</w:t>
      </w:r>
      <w:hyperlink r:id="rId1751" w:history="1">
        <w:r w:rsidRPr="005E1C72">
          <w:rPr>
            <w:rStyle w:val="Lienhypertexte"/>
          </w:rPr>
          <w:t>olivier</w:t>
        </w:r>
      </w:hyperlink>
      <w:r w:rsidRPr="005E1C72">
        <w:t>, l'une des trois sources principales d'</w:t>
      </w:r>
      <w:hyperlink r:id="rId1752" w:history="1">
        <w:r w:rsidRPr="005E1C72">
          <w:rPr>
            <w:rStyle w:val="Lienhypertexte"/>
          </w:rPr>
          <w:t>huile alimentaire</w:t>
        </w:r>
      </w:hyperlink>
      <w:r w:rsidRPr="005E1C72">
        <w:t> en Europe.</w:t>
      </w:r>
    </w:p>
    <w:p w14:paraId="210A6D80" w14:textId="77777777" w:rsidR="009D247D" w:rsidRPr="005E1C72" w:rsidRDefault="009D247D" w:rsidP="009D247D">
      <w:pPr>
        <w:spacing w:after="0" w:line="240" w:lineRule="auto"/>
        <w:jc w:val="both"/>
      </w:pPr>
      <w:r w:rsidRPr="005E1C72">
        <w:t>Grâce à la sélection, la teneur des graines en huile atteint 40 % d'huile.</w:t>
      </w:r>
    </w:p>
    <w:p w14:paraId="281787DD" w14:textId="77777777" w:rsidR="009D247D" w:rsidRPr="005E1C72" w:rsidRDefault="009D247D" w:rsidP="009D247D">
      <w:pPr>
        <w:spacing w:after="0" w:line="240" w:lineRule="auto"/>
        <w:jc w:val="both"/>
      </w:pPr>
      <w:r w:rsidRPr="005E1C72">
        <w:t>Ses </w:t>
      </w:r>
      <w:hyperlink r:id="rId1753" w:history="1">
        <w:r w:rsidRPr="005E1C72">
          <w:rPr>
            <w:rStyle w:val="Lienhypertexte"/>
          </w:rPr>
          <w:t>fleurs</w:t>
        </w:r>
      </w:hyperlink>
      <w:r w:rsidRPr="005E1C72">
        <w:t> sont groupées en </w:t>
      </w:r>
      <w:hyperlink r:id="rId1754" w:history="1">
        <w:r w:rsidRPr="005E1C72">
          <w:rPr>
            <w:rStyle w:val="Lienhypertexte"/>
          </w:rPr>
          <w:t>capitules</w:t>
        </w:r>
      </w:hyperlink>
      <w:r w:rsidRPr="005E1C72">
        <w:t> de grandes dimensions. Le genre </w:t>
      </w:r>
      <w:r w:rsidRPr="005E1C72">
        <w:rPr>
          <w:i/>
          <w:iCs/>
        </w:rPr>
        <w:t>Helianthus</w:t>
      </w:r>
      <w:r w:rsidRPr="005E1C72">
        <w:t> comprend une cinquantaine d'espèces, toutes originaires d'Amérique du Nord, dont le </w:t>
      </w:r>
      <w:hyperlink r:id="rId1755" w:history="1">
        <w:r w:rsidRPr="005E1C72">
          <w:rPr>
            <w:rStyle w:val="Lienhypertexte"/>
          </w:rPr>
          <w:t>topinambour</w:t>
        </w:r>
      </w:hyperlink>
      <w:r w:rsidRPr="005E1C72">
        <w:t> (</w:t>
      </w:r>
      <w:r w:rsidRPr="005E1C72">
        <w:rPr>
          <w:i/>
          <w:iCs/>
        </w:rPr>
        <w:t>Helianthus tuberosus</w:t>
      </w:r>
      <w:r w:rsidRPr="005E1C72">
        <w:t> L.). La culture du tournesol est aujourd'hui largement répandue sur tous les continents. Le tournesol est une </w:t>
      </w:r>
      <w:hyperlink r:id="rId1756" w:history="1">
        <w:r w:rsidRPr="005E1C72">
          <w:rPr>
            <w:rStyle w:val="Lienhypertexte"/>
          </w:rPr>
          <w:t>plante dépolluante</w:t>
        </w:r>
      </w:hyperlink>
      <w:r w:rsidRPr="005E1C72">
        <w:t xml:space="preserve"> des métaux lourds.</w:t>
      </w:r>
      <w:r>
        <w:t xml:space="preserve"> </w:t>
      </w:r>
      <w:r w:rsidRPr="005E1C72">
        <w:t xml:space="preserve">La racine principale est pivotante. Elle peut atteindre jusqu'à 4 m de hauteur. Peu gourmande en eau, sa racine pivot lui permet de capter l'eau en profondeur. </w:t>
      </w:r>
      <w:r w:rsidRPr="005E1C72">
        <w:rPr>
          <w:i/>
          <w:iCs/>
        </w:rPr>
        <w:t>Elle résiste à la sècheresse</w:t>
      </w:r>
      <w:r w:rsidRPr="005E1C72">
        <w:t>.</w:t>
      </w:r>
    </w:p>
    <w:p w14:paraId="29C40440" w14:textId="77777777" w:rsidR="009D247D" w:rsidRPr="005E1C72" w:rsidRDefault="009D247D" w:rsidP="009D247D">
      <w:pPr>
        <w:spacing w:after="0" w:line="240" w:lineRule="auto"/>
        <w:jc w:val="both"/>
      </w:pPr>
      <w:r w:rsidRPr="005E1C72">
        <w:t>C'est une plante plus sensible à la qualité du sol (profondeur, structure) qu'à l'ajout d'</w:t>
      </w:r>
      <w:hyperlink r:id="rId1757" w:history="1">
        <w:r w:rsidRPr="005E1C72">
          <w:rPr>
            <w:rStyle w:val="Lienhypertexte"/>
          </w:rPr>
          <w:t>engrais</w:t>
        </w:r>
      </w:hyperlink>
      <w:r w:rsidRPr="005E1C72">
        <w:t>.</w:t>
      </w:r>
    </w:p>
    <w:p w14:paraId="5FE3D25B" w14:textId="77777777" w:rsidR="009D247D" w:rsidRPr="005E1C72" w:rsidRDefault="009D247D" w:rsidP="009D247D">
      <w:pPr>
        <w:spacing w:after="0" w:line="240" w:lineRule="auto"/>
        <w:jc w:val="both"/>
      </w:pPr>
      <w:r w:rsidRPr="005E1C72">
        <w:t>Ces besoins en </w:t>
      </w:r>
      <w:hyperlink r:id="rId1758" w:history="1">
        <w:r w:rsidRPr="005E1C72">
          <w:rPr>
            <w:rStyle w:val="Lienhypertexte"/>
          </w:rPr>
          <w:t>azote</w:t>
        </w:r>
      </w:hyperlink>
      <w:r w:rsidRPr="005E1C72">
        <w:t> sont faibles (80 unités/ha contre 180 pour du </w:t>
      </w:r>
      <w:hyperlink r:id="rId1759" w:history="1">
        <w:r w:rsidRPr="005E1C72">
          <w:rPr>
            <w:rStyle w:val="Lienhypertexte"/>
          </w:rPr>
          <w:t>maïs</w:t>
        </w:r>
      </w:hyperlink>
      <w:r w:rsidRPr="005E1C72">
        <w:t>), mais il faut prévoir une bonne </w:t>
      </w:r>
      <w:hyperlink r:id="rId1760" w:history="1">
        <w:r w:rsidRPr="005E1C72">
          <w:rPr>
            <w:rStyle w:val="Lienhypertexte"/>
          </w:rPr>
          <w:t>fumure</w:t>
        </w:r>
      </w:hyperlink>
      <w:r w:rsidRPr="005E1C72">
        <w:t> de fond (80 unités de </w:t>
      </w:r>
      <w:hyperlink r:id="rId1761" w:history="1">
        <w:r w:rsidRPr="005E1C72">
          <w:rPr>
            <w:rStyle w:val="Lienhypertexte"/>
          </w:rPr>
          <w:t>phosphore</w:t>
        </w:r>
      </w:hyperlink>
      <w:r w:rsidRPr="005E1C72">
        <w:t> et de</w:t>
      </w:r>
      <w:hyperlink r:id="rId1762" w:history="1">
        <w:r w:rsidRPr="005E1C72">
          <w:rPr>
            <w:rStyle w:val="Lienhypertexte"/>
          </w:rPr>
          <w:t>potassium</w:t>
        </w:r>
      </w:hyperlink>
      <w:r w:rsidRPr="005E1C72">
        <w:t>) et du </w:t>
      </w:r>
      <w:hyperlink r:id="rId1763" w:history="1">
        <w:r w:rsidRPr="005E1C72">
          <w:rPr>
            <w:rStyle w:val="Lienhypertexte"/>
          </w:rPr>
          <w:t>bore</w:t>
        </w:r>
      </w:hyperlink>
      <w:r w:rsidRPr="005E1C72">
        <w:t>. Elle est peu sensible aux insectes (sauf en début de cycle) et les variétés commerciales ont des résistances importantes aux attaques fongiques, de fait elle n'a quasiment pas besoin d'être traitée.</w:t>
      </w:r>
      <w:r>
        <w:t xml:space="preserve"> Elle</w:t>
      </w:r>
      <w:r w:rsidRPr="005E1C72">
        <w:t xml:space="preserve"> est sensible à certains variants du </w:t>
      </w:r>
      <w:hyperlink r:id="rId1764" w:history="1">
        <w:r w:rsidRPr="005E1C72">
          <w:rPr>
            <w:rStyle w:val="Lienhypertexte"/>
          </w:rPr>
          <w:t>mildiou</w:t>
        </w:r>
      </w:hyperlink>
      <w:r w:rsidRPr="005E1C72">
        <w:t>, favorisé par les </w:t>
      </w:r>
      <w:hyperlink r:id="rId1765" w:history="1">
        <w:r w:rsidRPr="005E1C72">
          <w:rPr>
            <w:rStyle w:val="Lienhypertexte"/>
          </w:rPr>
          <w:t>monocultures</w:t>
        </w:r>
      </w:hyperlink>
      <w:r w:rsidRPr="005E1C72">
        <w:t> intensives.</w:t>
      </w:r>
    </w:p>
    <w:p w14:paraId="4209D55C" w14:textId="154C64C2" w:rsidR="009D247D" w:rsidRPr="005E1C72" w:rsidRDefault="009D247D" w:rsidP="009D247D">
      <w:pPr>
        <w:spacing w:after="0" w:line="240" w:lineRule="auto"/>
        <w:jc w:val="both"/>
      </w:pPr>
      <w:r w:rsidRPr="005E1C72">
        <w:t>L'</w:t>
      </w:r>
      <w:hyperlink r:id="rId1766" w:history="1">
        <w:r w:rsidRPr="005E1C72">
          <w:rPr>
            <w:rStyle w:val="Lienhypertexte"/>
          </w:rPr>
          <w:t>huile de tournesol</w:t>
        </w:r>
      </w:hyperlink>
      <w:r w:rsidRPr="005E1C72">
        <w:t> est appréciée pour son équilibre en acides gras. La plante entière récoltée avant maturité est utilisée comme </w:t>
      </w:r>
      <w:hyperlink r:id="rId1767" w:history="1">
        <w:r w:rsidRPr="005E1C72">
          <w:rPr>
            <w:rStyle w:val="Lienhypertexte"/>
          </w:rPr>
          <w:t>fourrage</w:t>
        </w:r>
      </w:hyperlink>
      <w:r w:rsidRPr="005E1C72">
        <w:t>. De plus, les résidus de trituration, appelés tourteaux, sont riches en </w:t>
      </w:r>
      <w:hyperlink r:id="rId1768" w:history="1">
        <w:r w:rsidRPr="005E1C72">
          <w:rPr>
            <w:rStyle w:val="Lienhypertexte"/>
          </w:rPr>
          <w:t>protéines</w:t>
        </w:r>
      </w:hyperlink>
      <w:r w:rsidRPr="005E1C72">
        <w:t>, dont un </w:t>
      </w:r>
      <w:hyperlink r:id="rId1769" w:history="1">
        <w:r w:rsidRPr="005E1C72">
          <w:rPr>
            <w:rStyle w:val="Lienhypertexte"/>
          </w:rPr>
          <w:t>acide aminé</w:t>
        </w:r>
      </w:hyperlink>
      <w:r w:rsidRPr="005E1C72">
        <w:t> très recherché dans l'alimentation du </w:t>
      </w:r>
      <w:hyperlink r:id="rId1770" w:history="1">
        <w:r w:rsidRPr="005E1C72">
          <w:rPr>
            <w:rStyle w:val="Lienhypertexte"/>
          </w:rPr>
          <w:t>bétail</w:t>
        </w:r>
      </w:hyperlink>
      <w:r w:rsidRPr="005E1C72">
        <w:t>, la </w:t>
      </w:r>
      <w:hyperlink r:id="rId1771" w:history="1">
        <w:r w:rsidRPr="005E1C72">
          <w:rPr>
            <w:rStyle w:val="Lienhypertexte"/>
          </w:rPr>
          <w:t>méthionine</w:t>
        </w:r>
      </w:hyperlink>
      <w:r w:rsidRPr="005E1C72">
        <w:t>. Les graines entières sont appréciées pour nourrir les </w:t>
      </w:r>
      <w:hyperlink r:id="rId1772" w:history="1">
        <w:r w:rsidRPr="005E1C72">
          <w:rPr>
            <w:rStyle w:val="Lienhypertexte"/>
          </w:rPr>
          <w:t>perroquets</w:t>
        </w:r>
      </w:hyperlink>
      <w:r w:rsidRPr="005E1C72">
        <w:t> et autres </w:t>
      </w:r>
      <w:hyperlink r:id="rId1773" w:history="1">
        <w:r w:rsidRPr="005E1C72">
          <w:rPr>
            <w:rStyle w:val="Lienhypertexte"/>
          </w:rPr>
          <w:t>oiseaux</w:t>
        </w:r>
      </w:hyperlink>
      <w:r w:rsidRPr="005E1C72">
        <w:t> de volière.</w:t>
      </w:r>
      <w:r w:rsidR="00486F92">
        <w:t xml:space="preserve"> </w:t>
      </w:r>
      <w:r w:rsidRPr="005E1C72">
        <w:t>C'est aussi une plante </w:t>
      </w:r>
      <w:hyperlink r:id="rId1774" w:history="1">
        <w:r w:rsidRPr="005E1C72">
          <w:rPr>
            <w:rStyle w:val="Lienhypertexte"/>
          </w:rPr>
          <w:t>mellifère</w:t>
        </w:r>
      </w:hyperlink>
      <w:r w:rsidRPr="005E1C72">
        <w:t>, mais elle a l'inconvénient de fleurir tard en saison.</w:t>
      </w:r>
    </w:p>
    <w:p w14:paraId="0E4AFE45" w14:textId="77777777" w:rsidR="009D247D" w:rsidRPr="005E1C72" w:rsidRDefault="009D247D" w:rsidP="009D247D">
      <w:pPr>
        <w:spacing w:after="0" w:line="240" w:lineRule="auto"/>
        <w:jc w:val="both"/>
      </w:pPr>
      <w:r w:rsidRPr="005E1C72">
        <w:t xml:space="preserve">Sources : a) </w:t>
      </w:r>
      <w:hyperlink r:id="rId1775" w:history="1">
        <w:r w:rsidRPr="005E1C72">
          <w:rPr>
            <w:rStyle w:val="Lienhypertexte"/>
          </w:rPr>
          <w:t>http://fr.wikipedia.org/wiki/Tournesol</w:t>
        </w:r>
      </w:hyperlink>
      <w:r w:rsidRPr="005E1C72">
        <w:t xml:space="preserve">, b) </w:t>
      </w:r>
      <w:hyperlink r:id="rId1776" w:history="1">
        <w:r w:rsidRPr="005E1C72">
          <w:rPr>
            <w:rStyle w:val="Lienhypertexte"/>
          </w:rPr>
          <w:t>http://simple.wikipedia.org/wiki/Sunflower</w:t>
        </w:r>
      </w:hyperlink>
      <w:r w:rsidRPr="005E1C72">
        <w:t xml:space="preserve">, </w:t>
      </w:r>
    </w:p>
    <w:p w14:paraId="6E095A5B" w14:textId="77777777" w:rsidR="009D247D" w:rsidRDefault="009D247D" w:rsidP="009D247D">
      <w:pPr>
        <w:spacing w:after="0" w:line="240" w:lineRule="auto"/>
        <w:jc w:val="both"/>
      </w:pPr>
      <w:r w:rsidRPr="005E1C72">
        <w:t xml:space="preserve">c) </w:t>
      </w:r>
      <w:hyperlink r:id="rId1777" w:history="1">
        <w:r w:rsidRPr="005E1C72">
          <w:rPr>
            <w:rStyle w:val="Lienhypertexte"/>
          </w:rPr>
          <w:t>http://simple.wikipedia.org/wiki/Sunflower</w:t>
        </w:r>
      </w:hyperlink>
      <w:r w:rsidRPr="005E1C72">
        <w:t xml:space="preserve"> </w:t>
      </w:r>
    </w:p>
    <w:p w14:paraId="77DC4539" w14:textId="77777777" w:rsidR="009D247D" w:rsidRDefault="009D247D" w:rsidP="009D247D">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76"/>
        <w:gridCol w:w="1752"/>
        <w:gridCol w:w="2092"/>
        <w:gridCol w:w="3306"/>
      </w:tblGrid>
      <w:tr w:rsidR="009D247D" w14:paraId="1DEF51A1" w14:textId="77777777" w:rsidTr="007E58C4">
        <w:tc>
          <w:tcPr>
            <w:tcW w:w="2604" w:type="dxa"/>
          </w:tcPr>
          <w:p w14:paraId="585898C3" w14:textId="77777777" w:rsidR="009D247D" w:rsidRDefault="009D247D" w:rsidP="007E58C4">
            <w:pPr>
              <w:jc w:val="center"/>
            </w:pPr>
            <w:r w:rsidRPr="00972BCD">
              <w:rPr>
                <w:noProof/>
              </w:rPr>
              <w:drawing>
                <wp:inline distT="0" distB="0" distL="0" distR="0" wp14:anchorId="011B4504" wp14:editId="0E334E6C">
                  <wp:extent cx="1933575" cy="1524000"/>
                  <wp:effectExtent l="0" t="0" r="9525" b="0"/>
                  <wp:docPr id="80905" name="Picture 8" descr="C:\Users\LISAN\Pictures\plantes-halophytes-xerophiles\tournes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05" name="Picture 8" descr="C:\Users\LISAN\Pictures\plantes-halophytes-xerophiles\tournesol.jpg"/>
                          <pic:cNvPicPr>
                            <a:picLocks noChangeAspect="1" noChangeArrowheads="1"/>
                          </pic:cNvPicPr>
                        </pic:nvPicPr>
                        <pic:blipFill>
                          <a:blip r:embed="rId1778">
                            <a:extLst>
                              <a:ext uri="{28A0092B-C50C-407E-A947-70E740481C1C}">
                                <a14:useLocalDpi xmlns:a14="http://schemas.microsoft.com/office/drawing/2010/main" val="0"/>
                              </a:ext>
                            </a:extLst>
                          </a:blip>
                          <a:srcRect/>
                          <a:stretch>
                            <a:fillRect/>
                          </a:stretch>
                        </pic:blipFill>
                        <pic:spPr bwMode="auto">
                          <a:xfrm>
                            <a:off x="0" y="0"/>
                            <a:ext cx="1933575" cy="152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2604" w:type="dxa"/>
          </w:tcPr>
          <w:p w14:paraId="59E950D2" w14:textId="77777777" w:rsidR="009D247D" w:rsidRDefault="009D247D" w:rsidP="007E58C4">
            <w:pPr>
              <w:jc w:val="center"/>
            </w:pPr>
            <w:r w:rsidRPr="00972BCD">
              <w:rPr>
                <w:noProof/>
              </w:rPr>
              <w:drawing>
                <wp:inline distT="0" distB="0" distL="0" distR="0" wp14:anchorId="61543FE7" wp14:editId="78246EDF">
                  <wp:extent cx="673100" cy="1498600"/>
                  <wp:effectExtent l="0" t="0" r="0" b="6350"/>
                  <wp:docPr id="80907" name="Picture 11" descr="C:\Users\LISAN\Pictures\plantes-halophytes-xerophiles\Sunflower_DSC01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07" name="Picture 11" descr="C:\Users\LISAN\Pictures\plantes-halophytes-xerophiles\Sunflower_DSC01056.jpg"/>
                          <pic:cNvPicPr>
                            <a:picLocks noChangeAspect="1" noChangeArrowheads="1"/>
                          </pic:cNvPicPr>
                        </pic:nvPicPr>
                        <pic:blipFill>
                          <a:blip r:embed="rId1779">
                            <a:extLst>
                              <a:ext uri="{28A0092B-C50C-407E-A947-70E740481C1C}">
                                <a14:useLocalDpi xmlns:a14="http://schemas.microsoft.com/office/drawing/2010/main" val="0"/>
                              </a:ext>
                            </a:extLst>
                          </a:blip>
                          <a:srcRect/>
                          <a:stretch>
                            <a:fillRect/>
                          </a:stretch>
                        </pic:blipFill>
                        <pic:spPr bwMode="auto">
                          <a:xfrm>
                            <a:off x="0" y="0"/>
                            <a:ext cx="673100" cy="149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2604" w:type="dxa"/>
          </w:tcPr>
          <w:p w14:paraId="66CE7C47" w14:textId="77777777" w:rsidR="009D247D" w:rsidRDefault="009D247D" w:rsidP="007E58C4">
            <w:pPr>
              <w:jc w:val="center"/>
            </w:pPr>
            <w:r w:rsidRPr="00972BCD">
              <w:rPr>
                <w:noProof/>
              </w:rPr>
              <w:drawing>
                <wp:inline distT="0" distB="0" distL="0" distR="0" wp14:anchorId="28BE6364" wp14:editId="2AF7A8E7">
                  <wp:extent cx="1008063" cy="1008063"/>
                  <wp:effectExtent l="0" t="0" r="1905" b="1905"/>
                  <wp:docPr id="80904" name="Picture 7" descr="C:\Users\LISAN\Pictures\plantes-halophytes-xerophiles\tournesol_gra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04" name="Picture 7" descr="C:\Users\LISAN\Pictures\plantes-halophytes-xerophiles\tournesol_graine.jpg"/>
                          <pic:cNvPicPr>
                            <a:picLocks noChangeAspect="1" noChangeArrowheads="1"/>
                          </pic:cNvPicPr>
                        </pic:nvPicPr>
                        <pic:blipFill>
                          <a:blip r:embed="rId1780">
                            <a:extLst>
                              <a:ext uri="{28A0092B-C50C-407E-A947-70E740481C1C}">
                                <a14:useLocalDpi xmlns:a14="http://schemas.microsoft.com/office/drawing/2010/main" val="0"/>
                              </a:ext>
                            </a:extLst>
                          </a:blip>
                          <a:srcRect/>
                          <a:stretch>
                            <a:fillRect/>
                          </a:stretch>
                        </pic:blipFill>
                        <pic:spPr bwMode="auto">
                          <a:xfrm>
                            <a:off x="0" y="0"/>
                            <a:ext cx="1008063" cy="10080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2604" w:type="dxa"/>
          </w:tcPr>
          <w:p w14:paraId="1A829087" w14:textId="77777777" w:rsidR="009D247D" w:rsidRDefault="009D247D" w:rsidP="007E58C4">
            <w:pPr>
              <w:jc w:val="center"/>
            </w:pPr>
            <w:r w:rsidRPr="00972BCD">
              <w:rPr>
                <w:noProof/>
              </w:rPr>
              <w:drawing>
                <wp:inline distT="0" distB="0" distL="0" distR="0" wp14:anchorId="7A177AE2" wp14:editId="71D22F8D">
                  <wp:extent cx="1957387" cy="1217613"/>
                  <wp:effectExtent l="0" t="0" r="5080" b="1905"/>
                  <wp:docPr id="80906" name="Picture 10" descr="C:\Users\LISAN\Pictures\plantes-halophytes-xerophiles\Heliantus annuus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06" name="Picture 10" descr="C:\Users\LISAN\Pictures\plantes-halophytes-xerophiles\Heliantus annuus_s.jpg"/>
                          <pic:cNvPicPr>
                            <a:picLocks noChangeAspect="1" noChangeArrowheads="1"/>
                          </pic:cNvPicPr>
                        </pic:nvPicPr>
                        <pic:blipFill>
                          <a:blip r:embed="rId1781">
                            <a:extLst>
                              <a:ext uri="{28A0092B-C50C-407E-A947-70E740481C1C}">
                                <a14:useLocalDpi xmlns:a14="http://schemas.microsoft.com/office/drawing/2010/main" val="0"/>
                              </a:ext>
                            </a:extLst>
                          </a:blip>
                          <a:srcRect/>
                          <a:stretch>
                            <a:fillRect/>
                          </a:stretch>
                        </pic:blipFill>
                        <pic:spPr bwMode="auto">
                          <a:xfrm>
                            <a:off x="0" y="0"/>
                            <a:ext cx="1957387" cy="12176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3A334129" w14:textId="3A906D03" w:rsidR="009D247D" w:rsidRDefault="009D247D" w:rsidP="00726FE1">
      <w:pPr>
        <w:spacing w:after="0" w:line="240" w:lineRule="auto"/>
      </w:pPr>
    </w:p>
    <w:p w14:paraId="51B2DD16" w14:textId="041F8689" w:rsidR="00084E5E" w:rsidRDefault="00084E5E" w:rsidP="00084E5E">
      <w:pPr>
        <w:pStyle w:val="Titre2"/>
      </w:pPr>
      <w:bookmarkStart w:id="172" w:name="_Toc139181463"/>
      <w:r>
        <w:t>Millet, Mil</w:t>
      </w:r>
      <w:r w:rsidR="00B16175">
        <w:t>, Fonio</w:t>
      </w:r>
      <w:bookmarkEnd w:id="172"/>
    </w:p>
    <w:p w14:paraId="7BC5BD50" w14:textId="1478F6BE" w:rsidR="00084E5E" w:rsidRDefault="00084E5E" w:rsidP="00726FE1">
      <w:pPr>
        <w:spacing w:after="0" w:line="240" w:lineRule="auto"/>
      </w:pPr>
    </w:p>
    <w:p w14:paraId="3ACA4896" w14:textId="64C4DF44" w:rsidR="00B16175" w:rsidRPr="00B16175" w:rsidRDefault="00B16175" w:rsidP="00B16175">
      <w:pPr>
        <w:pStyle w:val="NormalWeb"/>
        <w:shd w:val="clear" w:color="auto" w:fill="FFFFFF"/>
        <w:spacing w:before="0" w:beforeAutospacing="0" w:after="0" w:afterAutospacing="0"/>
        <w:jc w:val="both"/>
        <w:rPr>
          <w:rFonts w:ascii="Calibri" w:hAnsi="Calibri" w:cs="Calibri"/>
          <w:color w:val="202122"/>
          <w:sz w:val="22"/>
          <w:szCs w:val="22"/>
        </w:rPr>
      </w:pPr>
      <w:r w:rsidRPr="00B16175">
        <w:rPr>
          <w:rFonts w:ascii="Calibri" w:hAnsi="Calibri" w:cs="Calibri"/>
          <w:i/>
          <w:iCs/>
          <w:color w:val="202122"/>
          <w:sz w:val="22"/>
          <w:szCs w:val="22"/>
        </w:rPr>
        <w:t>Millet</w:t>
      </w:r>
      <w:r w:rsidRPr="00B16175">
        <w:rPr>
          <w:rFonts w:ascii="Calibri" w:hAnsi="Calibri" w:cs="Calibri"/>
          <w:color w:val="202122"/>
          <w:sz w:val="22"/>
          <w:szCs w:val="22"/>
        </w:rPr>
        <w:t> est un terme générique qui désigne en </w:t>
      </w:r>
      <w:hyperlink r:id="rId1782" w:tooltip="Français" w:history="1">
        <w:r w:rsidRPr="00B16175">
          <w:rPr>
            <w:rStyle w:val="Lienhypertexte"/>
            <w:rFonts w:ascii="Calibri" w:hAnsi="Calibri" w:cs="Calibri"/>
            <w:color w:val="0645AD"/>
            <w:sz w:val="22"/>
            <w:szCs w:val="22"/>
            <w:u w:val="none"/>
          </w:rPr>
          <w:t>français</w:t>
        </w:r>
      </w:hyperlink>
      <w:r w:rsidRPr="00B16175">
        <w:rPr>
          <w:rFonts w:ascii="Calibri" w:hAnsi="Calibri" w:cs="Calibri"/>
          <w:color w:val="202122"/>
          <w:sz w:val="22"/>
          <w:szCs w:val="22"/>
        </w:rPr>
        <w:t> plusieurs </w:t>
      </w:r>
      <w:hyperlink r:id="rId1783" w:tooltip="Espèce" w:history="1">
        <w:r w:rsidRPr="00B16175">
          <w:rPr>
            <w:rStyle w:val="Lienhypertexte"/>
            <w:rFonts w:ascii="Calibri" w:hAnsi="Calibri" w:cs="Calibri"/>
            <w:color w:val="0645AD"/>
            <w:sz w:val="22"/>
            <w:szCs w:val="22"/>
            <w:u w:val="none"/>
          </w:rPr>
          <w:t>espèces</w:t>
        </w:r>
      </w:hyperlink>
      <w:r w:rsidRPr="00B16175">
        <w:rPr>
          <w:rFonts w:ascii="Calibri" w:hAnsi="Calibri" w:cs="Calibri"/>
          <w:color w:val="202122"/>
          <w:sz w:val="22"/>
          <w:szCs w:val="22"/>
        </w:rPr>
        <w:t> de </w:t>
      </w:r>
      <w:hyperlink r:id="rId1784" w:tooltip="Plante" w:history="1">
        <w:r w:rsidRPr="00B16175">
          <w:rPr>
            <w:rStyle w:val="Lienhypertexte"/>
            <w:rFonts w:ascii="Calibri" w:hAnsi="Calibri" w:cs="Calibri"/>
            <w:color w:val="0645AD"/>
            <w:sz w:val="22"/>
            <w:szCs w:val="22"/>
            <w:u w:val="none"/>
          </w:rPr>
          <w:t>plantes</w:t>
        </w:r>
      </w:hyperlink>
      <w:r w:rsidRPr="00B16175">
        <w:rPr>
          <w:rFonts w:ascii="Calibri" w:hAnsi="Calibri" w:cs="Calibri"/>
          <w:color w:val="202122"/>
          <w:sz w:val="22"/>
          <w:szCs w:val="22"/>
        </w:rPr>
        <w:t> de la </w:t>
      </w:r>
      <w:hyperlink r:id="rId1785" w:tooltip="Famille (biologie)" w:history="1">
        <w:r w:rsidRPr="00B16175">
          <w:rPr>
            <w:rStyle w:val="Lienhypertexte"/>
            <w:rFonts w:ascii="Calibri" w:hAnsi="Calibri" w:cs="Calibri"/>
            <w:color w:val="0645AD"/>
            <w:sz w:val="22"/>
            <w:szCs w:val="22"/>
            <w:u w:val="none"/>
          </w:rPr>
          <w:t>famille</w:t>
        </w:r>
      </w:hyperlink>
      <w:r w:rsidRPr="00B16175">
        <w:rPr>
          <w:rFonts w:ascii="Calibri" w:hAnsi="Calibri" w:cs="Calibri"/>
          <w:color w:val="202122"/>
          <w:sz w:val="22"/>
          <w:szCs w:val="22"/>
        </w:rPr>
        <w:t> des </w:t>
      </w:r>
      <w:hyperlink r:id="rId1786" w:tooltip="Poacées" w:history="1">
        <w:r w:rsidRPr="00B16175">
          <w:rPr>
            <w:rStyle w:val="Lienhypertexte"/>
            <w:rFonts w:ascii="Calibri" w:hAnsi="Calibri" w:cs="Calibri"/>
            <w:color w:val="0645AD"/>
            <w:sz w:val="22"/>
            <w:szCs w:val="22"/>
            <w:u w:val="none"/>
          </w:rPr>
          <w:t>Poacées</w:t>
        </w:r>
      </w:hyperlink>
      <w:r w:rsidRPr="00B16175">
        <w:rPr>
          <w:rFonts w:ascii="Calibri" w:hAnsi="Calibri" w:cs="Calibri"/>
          <w:color w:val="202122"/>
          <w:sz w:val="22"/>
          <w:szCs w:val="22"/>
        </w:rPr>
        <w:t> (graminées). Ce sont des </w:t>
      </w:r>
      <w:hyperlink r:id="rId1787" w:tooltip="Céréale" w:history="1">
        <w:r w:rsidRPr="00B16175">
          <w:rPr>
            <w:rStyle w:val="Lienhypertexte"/>
            <w:rFonts w:ascii="Calibri" w:hAnsi="Calibri" w:cs="Calibri"/>
            <w:color w:val="0645AD"/>
            <w:sz w:val="22"/>
            <w:szCs w:val="22"/>
            <w:u w:val="none"/>
          </w:rPr>
          <w:t>céréales</w:t>
        </w:r>
      </w:hyperlink>
      <w:r w:rsidRPr="00B16175">
        <w:rPr>
          <w:rFonts w:ascii="Calibri" w:hAnsi="Calibri" w:cs="Calibri"/>
          <w:color w:val="202122"/>
          <w:sz w:val="22"/>
          <w:szCs w:val="22"/>
        </w:rPr>
        <w:t> vivrières, à très petites </w:t>
      </w:r>
      <w:hyperlink r:id="rId1788" w:tooltip="Graine" w:history="1">
        <w:r w:rsidRPr="00B16175">
          <w:rPr>
            <w:rStyle w:val="Lienhypertexte"/>
            <w:rFonts w:ascii="Calibri" w:hAnsi="Calibri" w:cs="Calibri"/>
            <w:color w:val="0645AD"/>
            <w:sz w:val="22"/>
            <w:szCs w:val="22"/>
            <w:u w:val="none"/>
          </w:rPr>
          <w:t>graines</w:t>
        </w:r>
      </w:hyperlink>
      <w:r w:rsidRPr="00B16175">
        <w:rPr>
          <w:rFonts w:ascii="Calibri" w:hAnsi="Calibri" w:cs="Calibri"/>
          <w:color w:val="202122"/>
          <w:sz w:val="22"/>
          <w:szCs w:val="22"/>
        </w:rPr>
        <w:t>, cultivées principalement dans les </w:t>
      </w:r>
      <w:hyperlink r:id="rId1789" w:tooltip="Zone sèche" w:history="1">
        <w:r w:rsidRPr="00B16175">
          <w:rPr>
            <w:rStyle w:val="Lienhypertexte"/>
            <w:rFonts w:ascii="Calibri" w:hAnsi="Calibri" w:cs="Calibri"/>
            <w:color w:val="0645AD"/>
            <w:sz w:val="22"/>
            <w:szCs w:val="22"/>
            <w:u w:val="none"/>
          </w:rPr>
          <w:t>zones sèches</w:t>
        </w:r>
      </w:hyperlink>
      <w:r w:rsidRPr="00B16175">
        <w:rPr>
          <w:rFonts w:ascii="Calibri" w:hAnsi="Calibri" w:cs="Calibri"/>
          <w:color w:val="202122"/>
          <w:sz w:val="22"/>
          <w:szCs w:val="22"/>
        </w:rPr>
        <w:t>, notamment en </w:t>
      </w:r>
      <w:hyperlink r:id="rId1790" w:tooltip="Afrique" w:history="1">
        <w:r w:rsidRPr="00B16175">
          <w:rPr>
            <w:rStyle w:val="Lienhypertexte"/>
            <w:rFonts w:ascii="Calibri" w:hAnsi="Calibri" w:cs="Calibri"/>
            <w:color w:val="0645AD"/>
            <w:sz w:val="22"/>
            <w:szCs w:val="22"/>
            <w:u w:val="none"/>
          </w:rPr>
          <w:t>Afrique</w:t>
        </w:r>
      </w:hyperlink>
      <w:r w:rsidRPr="00B16175">
        <w:rPr>
          <w:rFonts w:ascii="Calibri" w:hAnsi="Calibri" w:cs="Calibri"/>
          <w:color w:val="202122"/>
          <w:sz w:val="22"/>
          <w:szCs w:val="22"/>
        </w:rPr>
        <w:t> et en </w:t>
      </w:r>
      <w:hyperlink r:id="rId1791" w:tooltip="Asie" w:history="1">
        <w:r w:rsidRPr="00B16175">
          <w:rPr>
            <w:rStyle w:val="Lienhypertexte"/>
            <w:rFonts w:ascii="Calibri" w:hAnsi="Calibri" w:cs="Calibri"/>
            <w:color w:val="0645AD"/>
            <w:sz w:val="22"/>
            <w:szCs w:val="22"/>
            <w:u w:val="none"/>
          </w:rPr>
          <w:t>Asie</w:t>
        </w:r>
      </w:hyperlink>
      <w:r w:rsidRPr="00B16175">
        <w:rPr>
          <w:rFonts w:ascii="Calibri" w:hAnsi="Calibri" w:cs="Calibri"/>
          <w:color w:val="202122"/>
          <w:sz w:val="22"/>
          <w:szCs w:val="22"/>
        </w:rPr>
        <w:t>. Elles sont souvent appelées aussi </w:t>
      </w:r>
      <w:hyperlink r:id="rId1792" w:tooltip="Mil (céréale)" w:history="1">
        <w:r w:rsidRPr="00B16175">
          <w:rPr>
            <w:rStyle w:val="Lienhypertexte"/>
            <w:rFonts w:ascii="Calibri" w:hAnsi="Calibri" w:cs="Calibri"/>
            <w:color w:val="0645AD"/>
            <w:sz w:val="22"/>
            <w:szCs w:val="22"/>
            <w:u w:val="none"/>
          </w:rPr>
          <w:t>mil</w:t>
        </w:r>
      </w:hyperlink>
      <w:r w:rsidRPr="00B16175">
        <w:rPr>
          <w:rFonts w:ascii="Calibri" w:hAnsi="Calibri" w:cs="Calibri"/>
          <w:color w:val="202122"/>
          <w:sz w:val="22"/>
          <w:szCs w:val="22"/>
        </w:rPr>
        <w:t>. Millet sans autre précision désigne souvent le </w:t>
      </w:r>
      <w:hyperlink r:id="rId1793" w:tooltip="Millet commun" w:history="1">
        <w:r w:rsidRPr="00B16175">
          <w:rPr>
            <w:rStyle w:val="Lienhypertexte"/>
            <w:rFonts w:ascii="Calibri" w:hAnsi="Calibri" w:cs="Calibri"/>
            <w:color w:val="0645AD"/>
            <w:sz w:val="22"/>
            <w:szCs w:val="22"/>
            <w:u w:val="none"/>
          </w:rPr>
          <w:t>millet commun</w:t>
        </w:r>
      </w:hyperlink>
      <w:r w:rsidRPr="00B16175">
        <w:rPr>
          <w:rFonts w:ascii="Calibri" w:hAnsi="Calibri" w:cs="Calibri"/>
          <w:color w:val="202122"/>
          <w:sz w:val="22"/>
          <w:szCs w:val="22"/>
        </w:rPr>
        <w:t>, mais le millet le plus cultivé est le « </w:t>
      </w:r>
      <w:hyperlink r:id="rId1794" w:tooltip="Millet perle" w:history="1">
        <w:r w:rsidRPr="00B16175">
          <w:rPr>
            <w:rStyle w:val="Lienhypertexte"/>
            <w:rFonts w:ascii="Calibri" w:hAnsi="Calibri" w:cs="Calibri"/>
            <w:color w:val="0645AD"/>
            <w:sz w:val="22"/>
            <w:szCs w:val="22"/>
            <w:u w:val="none"/>
          </w:rPr>
          <w:t>millet perle</w:t>
        </w:r>
      </w:hyperlink>
      <w:r w:rsidRPr="00B16175">
        <w:rPr>
          <w:rFonts w:ascii="Calibri" w:hAnsi="Calibri" w:cs="Calibri"/>
          <w:color w:val="202122"/>
          <w:sz w:val="22"/>
          <w:szCs w:val="22"/>
        </w:rPr>
        <w:t> ».</w:t>
      </w:r>
      <w:r>
        <w:rPr>
          <w:rFonts w:ascii="Calibri" w:hAnsi="Calibri" w:cs="Calibri"/>
          <w:color w:val="202122"/>
          <w:sz w:val="22"/>
          <w:szCs w:val="22"/>
        </w:rPr>
        <w:t xml:space="preserve"> </w:t>
      </w:r>
      <w:r w:rsidRPr="00B16175">
        <w:rPr>
          <w:rFonts w:ascii="Calibri" w:hAnsi="Calibri" w:cs="Calibri"/>
          <w:color w:val="202122"/>
          <w:sz w:val="22"/>
          <w:szCs w:val="22"/>
        </w:rPr>
        <w:t xml:space="preserve">Moins exigeantes et </w:t>
      </w:r>
      <w:r w:rsidRPr="00B16175">
        <w:rPr>
          <w:rFonts w:ascii="Calibri" w:hAnsi="Calibri" w:cs="Calibri"/>
          <w:color w:val="202122"/>
          <w:sz w:val="22"/>
          <w:szCs w:val="22"/>
        </w:rPr>
        <w:lastRenderedPageBreak/>
        <w:t>plus rustiques que le </w:t>
      </w:r>
      <w:hyperlink r:id="rId1795" w:tooltip="Sorgho commun" w:history="1">
        <w:r w:rsidRPr="00B16175">
          <w:rPr>
            <w:rStyle w:val="Lienhypertexte"/>
            <w:rFonts w:ascii="Calibri" w:hAnsi="Calibri" w:cs="Calibri"/>
            <w:color w:val="0645AD"/>
            <w:sz w:val="22"/>
            <w:szCs w:val="22"/>
            <w:u w:val="none"/>
          </w:rPr>
          <w:t>sorgho commun</w:t>
        </w:r>
      </w:hyperlink>
      <w:r w:rsidRPr="00B16175">
        <w:rPr>
          <w:rFonts w:ascii="Calibri" w:hAnsi="Calibri" w:cs="Calibri"/>
          <w:color w:val="202122"/>
          <w:sz w:val="22"/>
          <w:szCs w:val="22"/>
        </w:rPr>
        <w:t>, ces espèces sont bien adaptées aux zones tempérées ou tropicales sèches où la saison des pluies est brève.</w:t>
      </w:r>
    </w:p>
    <w:p w14:paraId="7F9E8CF8" w14:textId="621E49B1" w:rsidR="00B16175" w:rsidRDefault="00B16175" w:rsidP="00B16175">
      <w:pPr>
        <w:spacing w:after="0" w:line="240" w:lineRule="auto"/>
        <w:jc w:val="both"/>
      </w:pPr>
    </w:p>
    <w:p w14:paraId="3EFDEB96" w14:textId="13CAEB5A" w:rsidR="00B16175" w:rsidRDefault="00B16175" w:rsidP="00B16175">
      <w:pPr>
        <w:pStyle w:val="Titre3"/>
      </w:pPr>
      <w:bookmarkStart w:id="173" w:name="_Toc139181464"/>
      <w:r w:rsidRPr="00B16175">
        <w:t>Éleusine ou « ragi » (</w:t>
      </w:r>
      <w:r w:rsidRPr="00B16175">
        <w:rPr>
          <w:i/>
          <w:iCs/>
        </w:rPr>
        <w:t>Eleusine coracana</w:t>
      </w:r>
      <w:r w:rsidRPr="00B16175">
        <w:t>)</w:t>
      </w:r>
      <w:bookmarkEnd w:id="173"/>
    </w:p>
    <w:p w14:paraId="055636FA" w14:textId="5787C107" w:rsidR="00B16175" w:rsidRDefault="00B16175" w:rsidP="00B16175">
      <w:pPr>
        <w:spacing w:after="0" w:line="240" w:lineRule="auto"/>
        <w:jc w:val="both"/>
      </w:pPr>
    </w:p>
    <w:p w14:paraId="0E0509D4" w14:textId="7F087431" w:rsidR="00B16175" w:rsidRDefault="0067663C" w:rsidP="0067663C">
      <w:pPr>
        <w:pStyle w:val="NormalWeb"/>
        <w:shd w:val="clear" w:color="auto" w:fill="FFFFFF"/>
        <w:spacing w:before="0" w:beforeAutospacing="0" w:after="0" w:afterAutospacing="0"/>
        <w:jc w:val="both"/>
        <w:rPr>
          <w:rFonts w:ascii="Calibri" w:hAnsi="Calibri" w:cs="Calibri"/>
          <w:sz w:val="22"/>
          <w:szCs w:val="22"/>
        </w:rPr>
      </w:pPr>
      <w:r w:rsidRPr="0067663C">
        <w:rPr>
          <w:rFonts w:ascii="Calibri" w:hAnsi="Calibri" w:cs="Calibri"/>
          <w:color w:val="202122"/>
          <w:sz w:val="22"/>
          <w:szCs w:val="22"/>
        </w:rPr>
        <w:t>Cette plante produit plusieurs </w:t>
      </w:r>
      <w:hyperlink r:id="rId1796" w:tooltip="Épi de céréale" w:history="1">
        <w:r w:rsidRPr="0067663C">
          <w:rPr>
            <w:rStyle w:val="Lienhypertexte"/>
            <w:rFonts w:ascii="Calibri" w:hAnsi="Calibri" w:cs="Calibri"/>
            <w:color w:val="0645AD"/>
            <w:sz w:val="22"/>
            <w:szCs w:val="22"/>
            <w:u w:val="none"/>
          </w:rPr>
          <w:t>épis</w:t>
        </w:r>
      </w:hyperlink>
      <w:r w:rsidRPr="0067663C">
        <w:rPr>
          <w:rFonts w:ascii="Calibri" w:hAnsi="Calibri" w:cs="Calibri"/>
          <w:color w:val="202122"/>
          <w:sz w:val="22"/>
          <w:szCs w:val="22"/>
        </w:rPr>
        <w:t> au sommet de la </w:t>
      </w:r>
      <w:hyperlink r:id="rId1797" w:tooltip="Tige" w:history="1">
        <w:r w:rsidRPr="0067663C">
          <w:rPr>
            <w:rStyle w:val="Lienhypertexte"/>
            <w:rFonts w:ascii="Calibri" w:hAnsi="Calibri" w:cs="Calibri"/>
            <w:color w:val="0645AD"/>
            <w:sz w:val="22"/>
            <w:szCs w:val="22"/>
            <w:u w:val="none"/>
          </w:rPr>
          <w:t>tige</w:t>
        </w:r>
      </w:hyperlink>
      <w:r w:rsidRPr="0067663C">
        <w:rPr>
          <w:rFonts w:ascii="Calibri" w:hAnsi="Calibri" w:cs="Calibri"/>
          <w:color w:val="202122"/>
          <w:sz w:val="22"/>
          <w:szCs w:val="22"/>
        </w:rPr>
        <w:t>. Ses </w:t>
      </w:r>
      <w:hyperlink r:id="rId1798" w:tooltip="Graine" w:history="1">
        <w:r w:rsidRPr="0067663C">
          <w:rPr>
            <w:rStyle w:val="Lienhypertexte"/>
            <w:rFonts w:ascii="Calibri" w:hAnsi="Calibri" w:cs="Calibri"/>
            <w:color w:val="0645AD"/>
            <w:sz w:val="22"/>
            <w:szCs w:val="22"/>
            <w:u w:val="none"/>
          </w:rPr>
          <w:t>graines</w:t>
        </w:r>
      </w:hyperlink>
      <w:r w:rsidRPr="0067663C">
        <w:rPr>
          <w:rFonts w:ascii="Calibri" w:hAnsi="Calibri" w:cs="Calibri"/>
          <w:color w:val="202122"/>
          <w:sz w:val="22"/>
          <w:szCs w:val="22"/>
        </w:rPr>
        <w:t> sont très petites (1-2 mm de diamètre). Ses besoins en eau sont légèrement supérieurs à ceux des autres espèces de </w:t>
      </w:r>
      <w:hyperlink r:id="rId1799" w:tooltip="Mil (céréale)" w:history="1">
        <w:r w:rsidRPr="0067663C">
          <w:rPr>
            <w:rStyle w:val="Lienhypertexte"/>
            <w:rFonts w:ascii="Calibri" w:hAnsi="Calibri" w:cs="Calibri"/>
            <w:color w:val="0645AD"/>
            <w:sz w:val="22"/>
            <w:szCs w:val="22"/>
            <w:u w:val="none"/>
          </w:rPr>
          <w:t>mil</w:t>
        </w:r>
      </w:hyperlink>
      <w:r w:rsidRPr="0067663C">
        <w:rPr>
          <w:rFonts w:ascii="Calibri" w:hAnsi="Calibri" w:cs="Calibri"/>
          <w:color w:val="202122"/>
          <w:sz w:val="22"/>
          <w:szCs w:val="22"/>
        </w:rPr>
        <w:t>.</w:t>
      </w:r>
      <w:r>
        <w:rPr>
          <w:rFonts w:ascii="Calibri" w:hAnsi="Calibri" w:cs="Calibri"/>
          <w:color w:val="202122"/>
          <w:sz w:val="22"/>
          <w:szCs w:val="22"/>
        </w:rPr>
        <w:t xml:space="preserve"> </w:t>
      </w:r>
      <w:r w:rsidRPr="0067663C">
        <w:rPr>
          <w:rFonts w:ascii="Calibri" w:hAnsi="Calibri" w:cs="Calibri"/>
          <w:color w:val="202122"/>
          <w:sz w:val="22"/>
          <w:szCs w:val="22"/>
        </w:rPr>
        <w:t>L'</w:t>
      </w:r>
      <w:hyperlink r:id="rId1800" w:tooltip="Éleusine" w:history="1">
        <w:r w:rsidRPr="0067663C">
          <w:rPr>
            <w:rStyle w:val="Lienhypertexte"/>
            <w:rFonts w:ascii="Calibri" w:hAnsi="Calibri" w:cs="Calibri"/>
            <w:color w:val="0645AD"/>
            <w:sz w:val="22"/>
            <w:szCs w:val="22"/>
            <w:u w:val="none"/>
          </w:rPr>
          <w:t>éleusine</w:t>
        </w:r>
      </w:hyperlink>
      <w:r w:rsidRPr="0067663C">
        <w:rPr>
          <w:rFonts w:ascii="Calibri" w:hAnsi="Calibri" w:cs="Calibri"/>
          <w:color w:val="202122"/>
          <w:sz w:val="22"/>
          <w:szCs w:val="22"/>
        </w:rPr>
        <w:t>, appelée « ragi » en Inde, est une </w:t>
      </w:r>
      <w:hyperlink r:id="rId1801" w:tooltip="Culture" w:history="1">
        <w:r w:rsidRPr="0067663C">
          <w:rPr>
            <w:rStyle w:val="Lienhypertexte"/>
            <w:rFonts w:ascii="Calibri" w:hAnsi="Calibri" w:cs="Calibri"/>
            <w:color w:val="0645AD"/>
            <w:sz w:val="22"/>
            <w:szCs w:val="22"/>
            <w:u w:val="none"/>
          </w:rPr>
          <w:t>culture</w:t>
        </w:r>
      </w:hyperlink>
      <w:r w:rsidRPr="0067663C">
        <w:rPr>
          <w:rFonts w:ascii="Calibri" w:hAnsi="Calibri" w:cs="Calibri"/>
          <w:color w:val="202122"/>
          <w:sz w:val="22"/>
          <w:szCs w:val="22"/>
        </w:rPr>
        <w:t> vivrière importante en </w:t>
      </w:r>
      <w:hyperlink r:id="rId1802" w:tooltip="Afrique" w:history="1">
        <w:r w:rsidRPr="0067663C">
          <w:rPr>
            <w:rStyle w:val="Lienhypertexte"/>
            <w:rFonts w:ascii="Calibri" w:hAnsi="Calibri" w:cs="Calibri"/>
            <w:color w:val="0645AD"/>
            <w:sz w:val="22"/>
            <w:szCs w:val="22"/>
            <w:u w:val="none"/>
          </w:rPr>
          <w:t>Afrique</w:t>
        </w:r>
      </w:hyperlink>
      <w:r w:rsidRPr="0067663C">
        <w:rPr>
          <w:rFonts w:ascii="Calibri" w:hAnsi="Calibri" w:cs="Calibri"/>
          <w:color w:val="202122"/>
          <w:sz w:val="22"/>
          <w:szCs w:val="22"/>
        </w:rPr>
        <w:t> orientale et en </w:t>
      </w:r>
      <w:hyperlink r:id="rId1803" w:tooltip="Asie" w:history="1">
        <w:r w:rsidRPr="0067663C">
          <w:rPr>
            <w:rStyle w:val="Lienhypertexte"/>
            <w:rFonts w:ascii="Calibri" w:hAnsi="Calibri" w:cs="Calibri"/>
            <w:color w:val="0645AD"/>
            <w:sz w:val="22"/>
            <w:szCs w:val="22"/>
            <w:u w:val="none"/>
          </w:rPr>
          <w:t>Asie</w:t>
        </w:r>
      </w:hyperlink>
      <w:r w:rsidRPr="0067663C">
        <w:rPr>
          <w:rFonts w:ascii="Calibri" w:hAnsi="Calibri" w:cs="Calibri"/>
          <w:color w:val="202122"/>
          <w:sz w:val="22"/>
          <w:szCs w:val="22"/>
        </w:rPr>
        <w:t> (</w:t>
      </w:r>
      <w:hyperlink r:id="rId1804" w:tooltip="Inde" w:history="1">
        <w:r w:rsidRPr="0067663C">
          <w:rPr>
            <w:rStyle w:val="Lienhypertexte"/>
            <w:rFonts w:ascii="Calibri" w:hAnsi="Calibri" w:cs="Calibri"/>
            <w:color w:val="0645AD"/>
            <w:sz w:val="22"/>
            <w:szCs w:val="22"/>
            <w:u w:val="none"/>
          </w:rPr>
          <w:t>Inde</w:t>
        </w:r>
      </w:hyperlink>
      <w:r w:rsidRPr="0067663C">
        <w:rPr>
          <w:rFonts w:ascii="Calibri" w:hAnsi="Calibri" w:cs="Calibri"/>
          <w:color w:val="202122"/>
          <w:sz w:val="22"/>
          <w:szCs w:val="22"/>
        </w:rPr>
        <w:t>, </w:t>
      </w:r>
      <w:hyperlink r:id="rId1805" w:tooltip="Népal" w:history="1">
        <w:r w:rsidRPr="0067663C">
          <w:rPr>
            <w:rStyle w:val="Lienhypertexte"/>
            <w:rFonts w:ascii="Calibri" w:hAnsi="Calibri" w:cs="Calibri"/>
            <w:color w:val="0645AD"/>
            <w:sz w:val="22"/>
            <w:szCs w:val="22"/>
            <w:u w:val="none"/>
          </w:rPr>
          <w:t>Népal</w:t>
        </w:r>
      </w:hyperlink>
      <w:r w:rsidRPr="0067663C">
        <w:rPr>
          <w:rFonts w:ascii="Calibri" w:hAnsi="Calibri" w:cs="Calibri"/>
          <w:color w:val="202122"/>
          <w:sz w:val="22"/>
          <w:szCs w:val="22"/>
        </w:rPr>
        <w:t>), où elle se cultive jusqu'à 2 000 m au-dessus du niveau de la mer</w:t>
      </w:r>
      <w:r w:rsidRPr="0067663C">
        <w:rPr>
          <w:rFonts w:ascii="Calibri" w:hAnsi="Calibri" w:cs="Calibri"/>
          <w:sz w:val="22"/>
          <w:szCs w:val="22"/>
        </w:rPr>
        <w:t>.</w:t>
      </w:r>
      <w:r>
        <w:rPr>
          <w:rFonts w:ascii="Calibri" w:hAnsi="Calibri" w:cs="Calibri"/>
          <w:sz w:val="22"/>
          <w:szCs w:val="22"/>
        </w:rPr>
        <w:t xml:space="preserve"> Source : </w:t>
      </w:r>
      <w:r w:rsidRPr="0067663C">
        <w:rPr>
          <w:rFonts w:ascii="Calibri" w:hAnsi="Calibri" w:cs="Calibri"/>
          <w:i/>
          <w:iCs/>
          <w:sz w:val="22"/>
          <w:szCs w:val="22"/>
        </w:rPr>
        <w:t>Eleusine</w:t>
      </w:r>
      <w:r>
        <w:rPr>
          <w:rFonts w:ascii="Calibri" w:hAnsi="Calibri" w:cs="Calibri"/>
          <w:sz w:val="22"/>
          <w:szCs w:val="22"/>
        </w:rPr>
        <w:t xml:space="preserve">, </w:t>
      </w:r>
      <w:hyperlink r:id="rId1806" w:history="1">
        <w:r w:rsidRPr="00224761">
          <w:rPr>
            <w:rStyle w:val="Lienhypertexte"/>
            <w:rFonts w:ascii="Calibri" w:hAnsi="Calibri" w:cs="Calibri"/>
            <w:sz w:val="22"/>
            <w:szCs w:val="22"/>
          </w:rPr>
          <w:t>https://fr.wikipedia.org/wiki/%C3%89leusine</w:t>
        </w:r>
      </w:hyperlink>
      <w:r>
        <w:rPr>
          <w:rFonts w:ascii="Calibri" w:hAnsi="Calibri" w:cs="Calibri"/>
          <w:sz w:val="22"/>
          <w:szCs w:val="22"/>
        </w:rPr>
        <w:t xml:space="preserve"> </w:t>
      </w:r>
    </w:p>
    <w:p w14:paraId="025E683A" w14:textId="7AD12640" w:rsidR="006E770D" w:rsidRDefault="006E770D" w:rsidP="0067663C">
      <w:pPr>
        <w:pStyle w:val="NormalWeb"/>
        <w:shd w:val="clear" w:color="auto" w:fill="FFFFFF"/>
        <w:spacing w:before="0" w:beforeAutospacing="0" w:after="0" w:afterAutospacing="0"/>
        <w:jc w:val="both"/>
        <w:rPr>
          <w:rFonts w:ascii="Calibri" w:hAnsi="Calibri" w:cs="Calibri"/>
          <w:sz w:val="22"/>
          <w:szCs w:val="2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6E770D" w14:paraId="7D99BB19" w14:textId="77777777" w:rsidTr="001C0943">
        <w:tc>
          <w:tcPr>
            <w:tcW w:w="3472" w:type="dxa"/>
          </w:tcPr>
          <w:p w14:paraId="0C51BB1E" w14:textId="77777777" w:rsidR="006E770D" w:rsidRDefault="0047651B" w:rsidP="006E770D">
            <w:pPr>
              <w:pStyle w:val="NormalWeb"/>
              <w:spacing w:before="0" w:beforeAutospacing="0" w:after="0" w:afterAutospacing="0"/>
              <w:jc w:val="center"/>
              <w:rPr>
                <w:rFonts w:ascii="Calibri" w:hAnsi="Calibri" w:cs="Calibri"/>
                <w:color w:val="202122"/>
                <w:sz w:val="22"/>
                <w:szCs w:val="22"/>
              </w:rPr>
            </w:pPr>
            <w:r>
              <w:rPr>
                <w:noProof/>
              </w:rPr>
              <w:drawing>
                <wp:inline distT="0" distB="0" distL="0" distR="0" wp14:anchorId="393C8FB8" wp14:editId="335230DC">
                  <wp:extent cx="1638300" cy="1233129"/>
                  <wp:effectExtent l="0" t="0" r="0" b="5715"/>
                  <wp:docPr id="7195" name="Image 7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807">
                            <a:extLst>
                              <a:ext uri="{28A0092B-C50C-407E-A947-70E740481C1C}">
                                <a14:useLocalDpi xmlns:a14="http://schemas.microsoft.com/office/drawing/2010/main" val="0"/>
                              </a:ext>
                            </a:extLst>
                          </a:blip>
                          <a:srcRect/>
                          <a:stretch>
                            <a:fillRect/>
                          </a:stretch>
                        </pic:blipFill>
                        <pic:spPr bwMode="auto">
                          <a:xfrm>
                            <a:off x="0" y="0"/>
                            <a:ext cx="1647036" cy="1239704"/>
                          </a:xfrm>
                          <a:prstGeom prst="rect">
                            <a:avLst/>
                          </a:prstGeom>
                          <a:noFill/>
                          <a:ln>
                            <a:noFill/>
                          </a:ln>
                        </pic:spPr>
                      </pic:pic>
                    </a:graphicData>
                  </a:graphic>
                </wp:inline>
              </w:drawing>
            </w:r>
          </w:p>
          <w:p w14:paraId="4FE961F2" w14:textId="47AC5DFC" w:rsidR="001C0943" w:rsidRDefault="0047651B" w:rsidP="00806B13">
            <w:pPr>
              <w:pStyle w:val="NormalWeb"/>
              <w:spacing w:before="0" w:beforeAutospacing="0" w:after="0" w:afterAutospacing="0"/>
              <w:jc w:val="center"/>
              <w:rPr>
                <w:rFonts w:ascii="Calibri" w:hAnsi="Calibri" w:cs="Calibri"/>
                <w:color w:val="202122"/>
                <w:sz w:val="22"/>
                <w:szCs w:val="22"/>
              </w:rPr>
            </w:pPr>
            <w:r>
              <w:rPr>
                <w:rFonts w:ascii="Calibri" w:hAnsi="Calibri" w:cs="Calibri"/>
                <w:color w:val="202122"/>
                <w:sz w:val="22"/>
                <w:szCs w:val="22"/>
              </w:rPr>
              <w:t>Epis d’éleusine</w:t>
            </w:r>
          </w:p>
        </w:tc>
        <w:tc>
          <w:tcPr>
            <w:tcW w:w="3472" w:type="dxa"/>
          </w:tcPr>
          <w:p w14:paraId="36471688" w14:textId="1C9FFB36" w:rsidR="00806B13" w:rsidRDefault="00806B13" w:rsidP="00806B13">
            <w:pPr>
              <w:pStyle w:val="NormalWeb"/>
              <w:spacing w:before="0" w:beforeAutospacing="0" w:after="0" w:afterAutospacing="0"/>
              <w:jc w:val="center"/>
              <w:rPr>
                <w:rFonts w:ascii="Calibri" w:hAnsi="Calibri" w:cs="Calibri"/>
                <w:color w:val="202122"/>
                <w:sz w:val="22"/>
                <w:szCs w:val="22"/>
              </w:rPr>
            </w:pPr>
            <w:r>
              <w:rPr>
                <w:noProof/>
              </w:rPr>
              <w:drawing>
                <wp:inline distT="0" distB="0" distL="0" distR="0" wp14:anchorId="5860CC14" wp14:editId="403D601A">
                  <wp:extent cx="1866900" cy="1400175"/>
                  <wp:effectExtent l="0" t="0" r="0" b="9525"/>
                  <wp:docPr id="79893" name="Image 79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808">
                            <a:extLst>
                              <a:ext uri="{28A0092B-C50C-407E-A947-70E740481C1C}">
                                <a14:useLocalDpi xmlns:a14="http://schemas.microsoft.com/office/drawing/2010/main" val="0"/>
                              </a:ext>
                            </a:extLst>
                          </a:blip>
                          <a:srcRect/>
                          <a:stretch>
                            <a:fillRect/>
                          </a:stretch>
                        </pic:blipFill>
                        <pic:spPr bwMode="auto">
                          <a:xfrm>
                            <a:off x="0" y="0"/>
                            <a:ext cx="1866900" cy="1400175"/>
                          </a:xfrm>
                          <a:prstGeom prst="rect">
                            <a:avLst/>
                          </a:prstGeom>
                          <a:noFill/>
                          <a:ln>
                            <a:noFill/>
                          </a:ln>
                        </pic:spPr>
                      </pic:pic>
                    </a:graphicData>
                  </a:graphic>
                </wp:inline>
              </w:drawing>
            </w:r>
          </w:p>
          <w:p w14:paraId="475F6073" w14:textId="4831B705" w:rsidR="001C0943" w:rsidRDefault="00806B13" w:rsidP="00806B13">
            <w:pPr>
              <w:pStyle w:val="NormalWeb"/>
              <w:spacing w:before="0" w:beforeAutospacing="0" w:after="0" w:afterAutospacing="0"/>
              <w:jc w:val="center"/>
              <w:rPr>
                <w:rFonts w:ascii="Calibri" w:hAnsi="Calibri" w:cs="Calibri"/>
                <w:color w:val="202122"/>
                <w:sz w:val="22"/>
                <w:szCs w:val="22"/>
              </w:rPr>
            </w:pPr>
            <w:r>
              <w:rPr>
                <w:rFonts w:ascii="Calibri" w:hAnsi="Calibri" w:cs="Calibri"/>
                <w:color w:val="202122"/>
                <w:sz w:val="22"/>
                <w:szCs w:val="22"/>
              </w:rPr>
              <w:t>Graines d’</w:t>
            </w:r>
            <w:r w:rsidRPr="00806B13">
              <w:rPr>
                <w:rFonts w:ascii="Calibri" w:hAnsi="Calibri" w:cs="Calibri"/>
                <w:i/>
                <w:iCs/>
                <w:color w:val="202122"/>
                <w:sz w:val="22"/>
                <w:szCs w:val="22"/>
              </w:rPr>
              <w:t>Eleusine coracana</w:t>
            </w:r>
          </w:p>
        </w:tc>
        <w:tc>
          <w:tcPr>
            <w:tcW w:w="3472" w:type="dxa"/>
          </w:tcPr>
          <w:p w14:paraId="796E8528" w14:textId="08CDB569" w:rsidR="001C0943" w:rsidRDefault="00806B13" w:rsidP="006E770D">
            <w:pPr>
              <w:pStyle w:val="NormalWeb"/>
              <w:spacing w:before="0" w:beforeAutospacing="0" w:after="0" w:afterAutospacing="0"/>
              <w:jc w:val="center"/>
              <w:rPr>
                <w:rFonts w:ascii="Calibri" w:hAnsi="Calibri" w:cs="Calibri"/>
                <w:color w:val="202122"/>
                <w:sz w:val="22"/>
                <w:szCs w:val="22"/>
              </w:rPr>
            </w:pPr>
            <w:r>
              <w:rPr>
                <w:noProof/>
              </w:rPr>
              <w:drawing>
                <wp:inline distT="0" distB="0" distL="0" distR="0" wp14:anchorId="14ED6746" wp14:editId="0EEDC522">
                  <wp:extent cx="1676400" cy="1676400"/>
                  <wp:effectExtent l="0" t="0" r="0" b="0"/>
                  <wp:docPr id="79894" name="Image 79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809">
                            <a:extLst>
                              <a:ext uri="{28A0092B-C50C-407E-A947-70E740481C1C}">
                                <a14:useLocalDpi xmlns:a14="http://schemas.microsoft.com/office/drawing/2010/main" val="0"/>
                              </a:ext>
                            </a:extLst>
                          </a:blip>
                          <a:srcRect/>
                          <a:stretch>
                            <a:fillRect/>
                          </a:stretch>
                        </pic:blipFill>
                        <pic:spPr bwMode="auto">
                          <a:xfrm>
                            <a:off x="0" y="0"/>
                            <a:ext cx="1676400" cy="1676400"/>
                          </a:xfrm>
                          <a:prstGeom prst="rect">
                            <a:avLst/>
                          </a:prstGeom>
                          <a:noFill/>
                          <a:ln>
                            <a:noFill/>
                          </a:ln>
                        </pic:spPr>
                      </pic:pic>
                    </a:graphicData>
                  </a:graphic>
                </wp:inline>
              </w:drawing>
            </w:r>
          </w:p>
          <w:p w14:paraId="3103E5F5" w14:textId="6DEB8EC5" w:rsidR="00806B13" w:rsidRPr="00806B13" w:rsidRDefault="00806B13" w:rsidP="006E770D">
            <w:pPr>
              <w:pStyle w:val="NormalWeb"/>
              <w:spacing w:before="0" w:beforeAutospacing="0" w:after="0" w:afterAutospacing="0"/>
              <w:jc w:val="center"/>
              <w:rPr>
                <w:rFonts w:ascii="Calibri" w:hAnsi="Calibri" w:cs="Calibri"/>
                <w:i/>
                <w:iCs/>
                <w:color w:val="202122"/>
                <w:sz w:val="22"/>
                <w:szCs w:val="22"/>
              </w:rPr>
            </w:pPr>
            <w:r w:rsidRPr="00806B13">
              <w:rPr>
                <w:rFonts w:ascii="Calibri" w:hAnsi="Calibri" w:cs="Calibri"/>
                <w:i/>
                <w:iCs/>
                <w:color w:val="202122"/>
                <w:sz w:val="22"/>
                <w:szCs w:val="22"/>
              </w:rPr>
              <w:t>Eleusine coracana</w:t>
            </w:r>
          </w:p>
        </w:tc>
      </w:tr>
    </w:tbl>
    <w:p w14:paraId="5644134B" w14:textId="34D921EB" w:rsidR="00084E5E" w:rsidRDefault="00084E5E" w:rsidP="00726FE1">
      <w:pPr>
        <w:spacing w:after="0" w:line="240" w:lineRule="auto"/>
      </w:pPr>
    </w:p>
    <w:p w14:paraId="08F71170" w14:textId="6782CFB9" w:rsidR="0067663C" w:rsidRDefault="0067663C" w:rsidP="0067663C">
      <w:pPr>
        <w:pStyle w:val="Titre3"/>
      </w:pPr>
      <w:bookmarkStart w:id="174" w:name="_Toc139181465"/>
      <w:r w:rsidRPr="0067663C">
        <w:t>Fonio ou « mil africain »</w:t>
      </w:r>
      <w:bookmarkEnd w:id="174"/>
    </w:p>
    <w:p w14:paraId="2067E1D9" w14:textId="1E69B510" w:rsidR="0067663C" w:rsidRDefault="0067663C" w:rsidP="00726FE1">
      <w:pPr>
        <w:spacing w:after="0" w:line="240" w:lineRule="auto"/>
      </w:pPr>
    </w:p>
    <w:p w14:paraId="7A91F51D" w14:textId="0C785900" w:rsidR="0067663C" w:rsidRPr="0067663C" w:rsidRDefault="0067663C" w:rsidP="0067663C">
      <w:pPr>
        <w:pStyle w:val="NormalWeb"/>
        <w:shd w:val="clear" w:color="auto" w:fill="FFFFFF"/>
        <w:spacing w:before="0" w:beforeAutospacing="0" w:after="0" w:afterAutospacing="0"/>
        <w:jc w:val="both"/>
        <w:rPr>
          <w:rFonts w:ascii="Calibri" w:hAnsi="Calibri" w:cs="Calibri"/>
          <w:color w:val="202122"/>
          <w:sz w:val="22"/>
          <w:szCs w:val="22"/>
        </w:rPr>
      </w:pPr>
      <w:r w:rsidRPr="0067663C">
        <w:rPr>
          <w:rFonts w:ascii="Calibri" w:hAnsi="Calibri" w:cs="Calibri"/>
          <w:color w:val="202122"/>
          <w:sz w:val="22"/>
          <w:szCs w:val="22"/>
        </w:rPr>
        <w:t>Ce terme regroupe plusieurs espèces de </w:t>
      </w:r>
      <w:hyperlink r:id="rId1810" w:tooltip="Céréale" w:history="1">
        <w:r w:rsidRPr="0067663C">
          <w:rPr>
            <w:rStyle w:val="Lienhypertexte"/>
            <w:rFonts w:ascii="Calibri" w:hAnsi="Calibri" w:cs="Calibri"/>
            <w:color w:val="0645AD"/>
            <w:sz w:val="22"/>
            <w:szCs w:val="22"/>
            <w:u w:val="none"/>
          </w:rPr>
          <w:t>céréales</w:t>
        </w:r>
      </w:hyperlink>
      <w:r w:rsidRPr="0067663C">
        <w:rPr>
          <w:rFonts w:ascii="Calibri" w:hAnsi="Calibri" w:cs="Calibri"/>
          <w:color w:val="202122"/>
          <w:sz w:val="22"/>
          <w:szCs w:val="22"/>
        </w:rPr>
        <w:t> mineures cultivées en </w:t>
      </w:r>
      <w:hyperlink r:id="rId1811" w:tooltip="Afrique" w:history="1">
        <w:r w:rsidRPr="0067663C">
          <w:rPr>
            <w:rStyle w:val="Lienhypertexte"/>
            <w:rFonts w:ascii="Calibri" w:hAnsi="Calibri" w:cs="Calibri"/>
            <w:color w:val="0645AD"/>
            <w:sz w:val="22"/>
            <w:szCs w:val="22"/>
            <w:u w:val="none"/>
          </w:rPr>
          <w:t>Afrique</w:t>
        </w:r>
      </w:hyperlink>
      <w:r w:rsidRPr="0067663C">
        <w:rPr>
          <w:rFonts w:ascii="Calibri" w:hAnsi="Calibri" w:cs="Calibri"/>
          <w:color w:val="202122"/>
          <w:sz w:val="22"/>
          <w:szCs w:val="22"/>
        </w:rPr>
        <w:t> de l'Ouest dans les régions sèches </w:t>
      </w:r>
      <w:hyperlink r:id="rId1812" w:tooltip="Sahel africain" w:history="1">
        <w:r w:rsidRPr="0067663C">
          <w:rPr>
            <w:rStyle w:val="Lienhypertexte"/>
            <w:rFonts w:ascii="Calibri" w:hAnsi="Calibri" w:cs="Calibri"/>
            <w:color w:val="0645AD"/>
            <w:sz w:val="22"/>
            <w:szCs w:val="22"/>
            <w:u w:val="none"/>
          </w:rPr>
          <w:t>sub-sahéliennes</w:t>
        </w:r>
      </w:hyperlink>
      <w:r>
        <w:rPr>
          <w:rFonts w:ascii="Calibri" w:hAnsi="Calibri" w:cs="Calibri"/>
          <w:color w:val="202122"/>
          <w:sz w:val="22"/>
          <w:szCs w:val="22"/>
        </w:rPr>
        <w:t> </w:t>
      </w:r>
      <w:r w:rsidR="00BE0799">
        <w:rPr>
          <w:rFonts w:ascii="Calibri" w:hAnsi="Calibri" w:cs="Calibri"/>
          <w:color w:val="202122"/>
          <w:sz w:val="22"/>
          <w:szCs w:val="22"/>
        </w:rPr>
        <w:t>(voir ci-</w:t>
      </w:r>
      <w:r w:rsidR="002E0262">
        <w:rPr>
          <w:rFonts w:ascii="Calibri" w:hAnsi="Calibri" w:cs="Calibri"/>
          <w:color w:val="202122"/>
          <w:sz w:val="22"/>
          <w:szCs w:val="22"/>
        </w:rPr>
        <w:t>après</w:t>
      </w:r>
      <w:r w:rsidR="00BE0799">
        <w:rPr>
          <w:rFonts w:ascii="Calibri" w:hAnsi="Calibri" w:cs="Calibri"/>
          <w:color w:val="202122"/>
          <w:sz w:val="22"/>
          <w:szCs w:val="22"/>
        </w:rPr>
        <w:t xml:space="preserve">) </w:t>
      </w:r>
      <w:r>
        <w:rPr>
          <w:rFonts w:ascii="Calibri" w:hAnsi="Calibri" w:cs="Calibri"/>
          <w:color w:val="202122"/>
          <w:sz w:val="22"/>
          <w:szCs w:val="22"/>
        </w:rPr>
        <w:t>:</w:t>
      </w:r>
    </w:p>
    <w:p w14:paraId="468D16BE" w14:textId="3D1E9E62" w:rsidR="0067663C" w:rsidRPr="0067663C" w:rsidRDefault="0067663C" w:rsidP="0022016D">
      <w:pPr>
        <w:numPr>
          <w:ilvl w:val="0"/>
          <w:numId w:val="10"/>
        </w:numPr>
        <w:shd w:val="clear" w:color="auto" w:fill="FFFFFF"/>
        <w:tabs>
          <w:tab w:val="clear" w:pos="720"/>
          <w:tab w:val="num" w:pos="426"/>
        </w:tabs>
        <w:spacing w:after="0" w:line="240" w:lineRule="auto"/>
        <w:ind w:left="426"/>
        <w:jc w:val="both"/>
        <w:rPr>
          <w:rFonts w:ascii="Calibri" w:hAnsi="Calibri" w:cs="Calibri"/>
          <w:color w:val="202122"/>
        </w:rPr>
      </w:pPr>
      <w:r w:rsidRPr="0067663C">
        <w:rPr>
          <w:rFonts w:ascii="Calibri" w:hAnsi="Calibri" w:cs="Calibri"/>
          <w:color w:val="202122"/>
        </w:rPr>
        <w:t>« </w:t>
      </w:r>
      <w:hyperlink r:id="rId1813" w:tooltip="Digitaria exilis" w:history="1">
        <w:r w:rsidRPr="0067663C">
          <w:rPr>
            <w:rStyle w:val="Lienhypertexte"/>
            <w:rFonts w:ascii="Calibri" w:hAnsi="Calibri" w:cs="Calibri"/>
            <w:color w:val="0645AD"/>
            <w:u w:val="none"/>
          </w:rPr>
          <w:t>Fonio blanc</w:t>
        </w:r>
      </w:hyperlink>
      <w:r>
        <w:rPr>
          <w:rStyle w:val="Appelnotedebasdep"/>
          <w:rFonts w:ascii="Calibri" w:hAnsi="Calibri" w:cs="Calibri"/>
          <w:color w:val="202122"/>
        </w:rPr>
        <w:footnoteReference w:id="113"/>
      </w:r>
      <w:r w:rsidRPr="0067663C">
        <w:rPr>
          <w:rFonts w:ascii="Calibri" w:hAnsi="Calibri" w:cs="Calibri"/>
          <w:color w:val="202122"/>
        </w:rPr>
        <w:t> » (</w:t>
      </w:r>
      <w:r w:rsidRPr="0067663C">
        <w:rPr>
          <w:rFonts w:ascii="Calibri" w:hAnsi="Calibri" w:cs="Calibri"/>
          <w:i/>
          <w:iCs/>
          <w:color w:val="202122"/>
        </w:rPr>
        <w:t>Digitaria exilis</w:t>
      </w:r>
      <w:r w:rsidRPr="0067663C">
        <w:rPr>
          <w:rFonts w:ascii="Calibri" w:hAnsi="Calibri" w:cs="Calibri"/>
          <w:color w:val="202122"/>
        </w:rPr>
        <w:t>), culture très importante en </w:t>
      </w:r>
      <w:hyperlink r:id="rId1814" w:tooltip="Afrique" w:history="1">
        <w:r w:rsidRPr="0067663C">
          <w:rPr>
            <w:rStyle w:val="Lienhypertexte"/>
            <w:rFonts w:ascii="Calibri" w:hAnsi="Calibri" w:cs="Calibri"/>
            <w:color w:val="0645AD"/>
            <w:u w:val="none"/>
          </w:rPr>
          <w:t>Afrique</w:t>
        </w:r>
      </w:hyperlink>
      <w:r w:rsidRPr="0067663C">
        <w:rPr>
          <w:rFonts w:ascii="Calibri" w:hAnsi="Calibri" w:cs="Calibri"/>
          <w:color w:val="202122"/>
        </w:rPr>
        <w:t> de l'Ouest : </w:t>
      </w:r>
      <w:hyperlink r:id="rId1815" w:tooltip="Mali" w:history="1">
        <w:r w:rsidRPr="0067663C">
          <w:rPr>
            <w:rStyle w:val="Lienhypertexte"/>
            <w:rFonts w:ascii="Calibri" w:hAnsi="Calibri" w:cs="Calibri"/>
            <w:color w:val="0645AD"/>
            <w:u w:val="none"/>
          </w:rPr>
          <w:t>Mali</w:t>
        </w:r>
      </w:hyperlink>
      <w:r w:rsidRPr="0067663C">
        <w:rPr>
          <w:rFonts w:ascii="Calibri" w:hAnsi="Calibri" w:cs="Calibri"/>
          <w:color w:val="202122"/>
        </w:rPr>
        <w:t>, </w:t>
      </w:r>
      <w:hyperlink r:id="rId1816" w:tooltip="Nigeria" w:history="1">
        <w:r w:rsidRPr="0067663C">
          <w:rPr>
            <w:rStyle w:val="Lienhypertexte"/>
            <w:rFonts w:ascii="Calibri" w:hAnsi="Calibri" w:cs="Calibri"/>
            <w:color w:val="0645AD"/>
            <w:u w:val="none"/>
          </w:rPr>
          <w:t>Nigeria</w:t>
        </w:r>
      </w:hyperlink>
      <w:r w:rsidRPr="0067663C">
        <w:rPr>
          <w:rFonts w:ascii="Calibri" w:hAnsi="Calibri" w:cs="Calibri"/>
          <w:color w:val="202122"/>
        </w:rPr>
        <w:t>, </w:t>
      </w:r>
      <w:hyperlink r:id="rId1817" w:tooltip="Niger" w:history="1">
        <w:r w:rsidRPr="0067663C">
          <w:rPr>
            <w:rStyle w:val="Lienhypertexte"/>
            <w:rFonts w:ascii="Calibri" w:hAnsi="Calibri" w:cs="Calibri"/>
            <w:color w:val="0645AD"/>
            <w:u w:val="none"/>
          </w:rPr>
          <w:t>Niger</w:t>
        </w:r>
      </w:hyperlink>
      <w:r w:rsidRPr="0067663C">
        <w:rPr>
          <w:rFonts w:ascii="Calibri" w:hAnsi="Calibri" w:cs="Calibri"/>
          <w:color w:val="202122"/>
        </w:rPr>
        <w:t>, </w:t>
      </w:r>
      <w:hyperlink r:id="rId1818" w:tooltip="Burkina Faso" w:history="1">
        <w:r w:rsidRPr="0067663C">
          <w:rPr>
            <w:rStyle w:val="Lienhypertexte"/>
            <w:rFonts w:ascii="Calibri" w:hAnsi="Calibri" w:cs="Calibri"/>
            <w:color w:val="0645AD"/>
            <w:u w:val="none"/>
          </w:rPr>
          <w:t>Burkina Faso</w:t>
        </w:r>
      </w:hyperlink>
      <w:r w:rsidRPr="0067663C">
        <w:rPr>
          <w:rFonts w:ascii="Calibri" w:hAnsi="Calibri" w:cs="Calibri"/>
          <w:color w:val="202122"/>
        </w:rPr>
        <w:t>, </w:t>
      </w:r>
      <w:hyperlink r:id="rId1819" w:tooltip="Sénégal" w:history="1">
        <w:r w:rsidRPr="0067663C">
          <w:rPr>
            <w:rStyle w:val="Lienhypertexte"/>
            <w:rFonts w:ascii="Calibri" w:hAnsi="Calibri" w:cs="Calibri"/>
            <w:color w:val="0645AD"/>
            <w:u w:val="none"/>
          </w:rPr>
          <w:t>Sénégal</w:t>
        </w:r>
      </w:hyperlink>
      <w:r w:rsidRPr="0067663C">
        <w:rPr>
          <w:rFonts w:ascii="Calibri" w:hAnsi="Calibri" w:cs="Calibri"/>
          <w:color w:val="202122"/>
        </w:rPr>
        <w:t> et </w:t>
      </w:r>
      <w:hyperlink r:id="rId1820" w:tooltip="Guinée" w:history="1">
        <w:r w:rsidRPr="0067663C">
          <w:rPr>
            <w:rStyle w:val="Lienhypertexte"/>
            <w:rFonts w:ascii="Calibri" w:hAnsi="Calibri" w:cs="Calibri"/>
            <w:color w:val="0645AD"/>
            <w:u w:val="none"/>
          </w:rPr>
          <w:t>Guinée</w:t>
        </w:r>
      </w:hyperlink>
      <w:r w:rsidRPr="0067663C">
        <w:rPr>
          <w:rFonts w:ascii="Calibri" w:hAnsi="Calibri" w:cs="Calibri"/>
          <w:color w:val="202122"/>
        </w:rPr>
        <w:t>.</w:t>
      </w:r>
    </w:p>
    <w:p w14:paraId="4029A396" w14:textId="77777777" w:rsidR="002B306F" w:rsidRDefault="0067663C" w:rsidP="0022016D">
      <w:pPr>
        <w:numPr>
          <w:ilvl w:val="0"/>
          <w:numId w:val="10"/>
        </w:numPr>
        <w:shd w:val="clear" w:color="auto" w:fill="FFFFFF"/>
        <w:tabs>
          <w:tab w:val="clear" w:pos="720"/>
          <w:tab w:val="num" w:pos="426"/>
        </w:tabs>
        <w:spacing w:after="0" w:line="240" w:lineRule="auto"/>
        <w:ind w:left="426"/>
        <w:jc w:val="both"/>
        <w:rPr>
          <w:rFonts w:ascii="Calibri" w:hAnsi="Calibri" w:cs="Calibri"/>
          <w:color w:val="202122"/>
        </w:rPr>
      </w:pPr>
      <w:r w:rsidRPr="0067663C">
        <w:rPr>
          <w:rFonts w:ascii="Calibri" w:hAnsi="Calibri" w:cs="Calibri"/>
          <w:color w:val="202122"/>
        </w:rPr>
        <w:t>« </w:t>
      </w:r>
      <w:hyperlink r:id="rId1821" w:tooltip="Fonio noir" w:history="1">
        <w:r w:rsidRPr="0067663C">
          <w:rPr>
            <w:rStyle w:val="Lienhypertexte"/>
            <w:rFonts w:ascii="Calibri" w:hAnsi="Calibri" w:cs="Calibri"/>
            <w:color w:val="0645AD"/>
            <w:u w:val="none"/>
          </w:rPr>
          <w:t>Fonio noir</w:t>
        </w:r>
      </w:hyperlink>
      <w:r>
        <w:rPr>
          <w:rStyle w:val="Appelnotedebasdep"/>
          <w:rFonts w:ascii="Calibri" w:hAnsi="Calibri" w:cs="Calibri"/>
          <w:color w:val="202122"/>
        </w:rPr>
        <w:footnoteReference w:id="114"/>
      </w:r>
      <w:r w:rsidRPr="0067663C">
        <w:rPr>
          <w:rFonts w:ascii="Calibri" w:hAnsi="Calibri" w:cs="Calibri"/>
          <w:color w:val="202122"/>
        </w:rPr>
        <w:t> » (</w:t>
      </w:r>
      <w:r w:rsidRPr="0067663C">
        <w:rPr>
          <w:rFonts w:ascii="Calibri" w:hAnsi="Calibri" w:cs="Calibri"/>
          <w:i/>
          <w:iCs/>
          <w:color w:val="202122"/>
        </w:rPr>
        <w:t>Digitaria iburua</w:t>
      </w:r>
      <w:r w:rsidRPr="0067663C">
        <w:rPr>
          <w:rFonts w:ascii="Calibri" w:hAnsi="Calibri" w:cs="Calibri"/>
          <w:color w:val="202122"/>
        </w:rPr>
        <w:t>), présent au </w:t>
      </w:r>
      <w:hyperlink r:id="rId1822" w:tooltip="Nigeria" w:history="1">
        <w:r w:rsidRPr="0067663C">
          <w:rPr>
            <w:rStyle w:val="Lienhypertexte"/>
            <w:rFonts w:ascii="Calibri" w:hAnsi="Calibri" w:cs="Calibri"/>
            <w:color w:val="0645AD"/>
            <w:u w:val="none"/>
          </w:rPr>
          <w:t>Nigeria</w:t>
        </w:r>
      </w:hyperlink>
      <w:r w:rsidRPr="0067663C">
        <w:rPr>
          <w:rFonts w:ascii="Calibri" w:hAnsi="Calibri" w:cs="Calibri"/>
          <w:color w:val="202122"/>
        </w:rPr>
        <w:t>, au </w:t>
      </w:r>
      <w:hyperlink r:id="rId1823" w:tooltip="Togo" w:history="1">
        <w:r w:rsidRPr="0067663C">
          <w:rPr>
            <w:rStyle w:val="Lienhypertexte"/>
            <w:rFonts w:ascii="Calibri" w:hAnsi="Calibri" w:cs="Calibri"/>
            <w:color w:val="0645AD"/>
            <w:u w:val="none"/>
          </w:rPr>
          <w:t>Togo</w:t>
        </w:r>
      </w:hyperlink>
      <w:r w:rsidRPr="0067663C">
        <w:rPr>
          <w:rFonts w:ascii="Calibri" w:hAnsi="Calibri" w:cs="Calibri"/>
          <w:color w:val="202122"/>
        </w:rPr>
        <w:t> et au </w:t>
      </w:r>
      <w:hyperlink r:id="rId1824" w:tooltip="Bénin" w:history="1">
        <w:r w:rsidRPr="0067663C">
          <w:rPr>
            <w:rStyle w:val="Lienhypertexte"/>
            <w:rFonts w:ascii="Calibri" w:hAnsi="Calibri" w:cs="Calibri"/>
            <w:color w:val="0645AD"/>
            <w:u w:val="none"/>
          </w:rPr>
          <w:t>Bénin</w:t>
        </w:r>
      </w:hyperlink>
      <w:r w:rsidRPr="0067663C">
        <w:rPr>
          <w:rFonts w:ascii="Calibri" w:hAnsi="Calibri" w:cs="Calibri"/>
          <w:color w:val="202122"/>
        </w:rPr>
        <w:t>.</w:t>
      </w:r>
    </w:p>
    <w:p w14:paraId="7F68C3F0" w14:textId="7FFB15F6" w:rsidR="002B306F" w:rsidRDefault="0067663C" w:rsidP="0022016D">
      <w:pPr>
        <w:numPr>
          <w:ilvl w:val="0"/>
          <w:numId w:val="10"/>
        </w:numPr>
        <w:shd w:val="clear" w:color="auto" w:fill="FFFFFF"/>
        <w:tabs>
          <w:tab w:val="clear" w:pos="720"/>
          <w:tab w:val="num" w:pos="426"/>
        </w:tabs>
        <w:spacing w:after="0" w:line="240" w:lineRule="auto"/>
        <w:ind w:left="426"/>
        <w:jc w:val="both"/>
        <w:rPr>
          <w:rFonts w:ascii="Calibri" w:hAnsi="Calibri" w:cs="Calibri"/>
          <w:color w:val="202122"/>
        </w:rPr>
      </w:pPr>
      <w:r w:rsidRPr="002B306F">
        <w:rPr>
          <w:rFonts w:ascii="Calibri" w:hAnsi="Calibri" w:cs="Calibri"/>
          <w:color w:val="202122"/>
        </w:rPr>
        <w:t>« </w:t>
      </w:r>
      <w:hyperlink r:id="rId1825" w:tooltip="Brachiaria deflexa" w:history="1">
        <w:r w:rsidRPr="002B306F">
          <w:rPr>
            <w:rStyle w:val="Lienhypertexte"/>
            <w:rFonts w:ascii="Calibri" w:hAnsi="Calibri" w:cs="Calibri"/>
            <w:color w:val="0645AD"/>
            <w:u w:val="none"/>
          </w:rPr>
          <w:t>Fonio à grosses graines</w:t>
        </w:r>
      </w:hyperlink>
      <w:r w:rsidRPr="002B306F">
        <w:rPr>
          <w:rFonts w:ascii="Calibri" w:hAnsi="Calibri" w:cs="Calibri"/>
          <w:color w:val="202122"/>
        </w:rPr>
        <w:t> » (</w:t>
      </w:r>
      <w:r w:rsidRPr="002B306F">
        <w:rPr>
          <w:rFonts w:ascii="Calibri" w:hAnsi="Calibri" w:cs="Calibri"/>
          <w:i/>
          <w:iCs/>
          <w:color w:val="202122"/>
        </w:rPr>
        <w:t>Brachiaria deflexa</w:t>
      </w:r>
      <w:r w:rsidR="00405996" w:rsidRPr="002B306F">
        <w:rPr>
          <w:rFonts w:ascii="Calibri" w:hAnsi="Calibri" w:cs="Calibri"/>
          <w:color w:val="202122"/>
        </w:rPr>
        <w:t xml:space="preserve"> ou </w:t>
      </w:r>
      <w:r w:rsidR="00405996" w:rsidRPr="002B306F">
        <w:rPr>
          <w:rFonts w:ascii="Calibri" w:hAnsi="Calibri" w:cs="Calibri"/>
          <w:i/>
          <w:iCs/>
          <w:color w:val="202122"/>
        </w:rPr>
        <w:t>Urochloa deflexa</w:t>
      </w:r>
      <w:r w:rsidRPr="002B306F">
        <w:rPr>
          <w:rFonts w:ascii="Calibri" w:hAnsi="Calibri" w:cs="Calibri"/>
          <w:color w:val="202122"/>
        </w:rPr>
        <w:t>), culture pratiquée seulement dans le massif du </w:t>
      </w:r>
      <w:hyperlink r:id="rId1826" w:tooltip="Fouta-Djalon" w:history="1">
        <w:r w:rsidRPr="002B306F">
          <w:rPr>
            <w:rStyle w:val="Lienhypertexte"/>
            <w:rFonts w:ascii="Calibri" w:hAnsi="Calibri" w:cs="Calibri"/>
            <w:color w:val="0645AD"/>
            <w:u w:val="none"/>
          </w:rPr>
          <w:t>Fouta-Djalon</w:t>
        </w:r>
      </w:hyperlink>
      <w:r w:rsidRPr="002B306F">
        <w:rPr>
          <w:rFonts w:ascii="Calibri" w:hAnsi="Calibri" w:cs="Calibri"/>
          <w:color w:val="202122"/>
        </w:rPr>
        <w:t> en </w:t>
      </w:r>
      <w:hyperlink r:id="rId1827" w:tooltip="Guinée" w:history="1">
        <w:r w:rsidRPr="002B306F">
          <w:rPr>
            <w:rStyle w:val="Lienhypertexte"/>
            <w:rFonts w:ascii="Calibri" w:hAnsi="Calibri" w:cs="Calibri"/>
            <w:color w:val="0645AD"/>
            <w:u w:val="none"/>
          </w:rPr>
          <w:t>Guinée</w:t>
        </w:r>
      </w:hyperlink>
      <w:r w:rsidRPr="002B306F">
        <w:rPr>
          <w:rFonts w:ascii="Calibri" w:hAnsi="Calibri" w:cs="Calibri"/>
          <w:color w:val="202122"/>
        </w:rPr>
        <w:t> et en </w:t>
      </w:r>
      <w:hyperlink r:id="rId1828" w:tooltip="Sierra Leone" w:history="1">
        <w:r w:rsidRPr="002B306F">
          <w:rPr>
            <w:rStyle w:val="Lienhypertexte"/>
            <w:rFonts w:ascii="Calibri" w:hAnsi="Calibri" w:cs="Calibri"/>
            <w:color w:val="0645AD"/>
            <w:u w:val="none"/>
          </w:rPr>
          <w:t>Sierra Leone</w:t>
        </w:r>
      </w:hyperlink>
      <w:r w:rsidRPr="002B306F">
        <w:rPr>
          <w:rFonts w:ascii="Calibri" w:hAnsi="Calibri" w:cs="Calibri"/>
          <w:color w:val="202122"/>
        </w:rPr>
        <w:t>.</w:t>
      </w:r>
    </w:p>
    <w:p w14:paraId="5E866AB6" w14:textId="77777777" w:rsidR="003E081E" w:rsidRPr="002B306F" w:rsidRDefault="003E081E" w:rsidP="003E081E">
      <w:pPr>
        <w:shd w:val="clear" w:color="auto" w:fill="FFFFFF"/>
        <w:spacing w:after="0" w:line="240" w:lineRule="auto"/>
        <w:ind w:left="66"/>
        <w:jc w:val="both"/>
        <w:rPr>
          <w:rFonts w:ascii="Calibri" w:hAnsi="Calibri" w:cs="Calibri"/>
          <w:color w:val="20212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1C0943" w:rsidRPr="001C0943" w14:paraId="4A70F973" w14:textId="77777777" w:rsidTr="001C0943">
        <w:tc>
          <w:tcPr>
            <w:tcW w:w="3472" w:type="dxa"/>
          </w:tcPr>
          <w:p w14:paraId="24E804A0" w14:textId="77777777" w:rsidR="00405996" w:rsidRDefault="001C0943" w:rsidP="007E58C4">
            <w:pPr>
              <w:pStyle w:val="NormalWeb"/>
              <w:spacing w:before="0" w:beforeAutospacing="0" w:after="0" w:afterAutospacing="0"/>
              <w:jc w:val="center"/>
              <w:rPr>
                <w:rFonts w:ascii="Calibri" w:hAnsi="Calibri" w:cs="Calibri"/>
                <w:color w:val="202122"/>
                <w:sz w:val="22"/>
                <w:szCs w:val="22"/>
              </w:rPr>
            </w:pPr>
            <w:r>
              <w:rPr>
                <w:noProof/>
              </w:rPr>
              <w:drawing>
                <wp:inline distT="0" distB="0" distL="0" distR="0" wp14:anchorId="75605DC5" wp14:editId="6F600579">
                  <wp:extent cx="1952625" cy="1468253"/>
                  <wp:effectExtent l="0" t="0" r="0" b="0"/>
                  <wp:docPr id="79872" name="Image 79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829">
                            <a:extLst>
                              <a:ext uri="{28A0092B-C50C-407E-A947-70E740481C1C}">
                                <a14:useLocalDpi xmlns:a14="http://schemas.microsoft.com/office/drawing/2010/main" val="0"/>
                              </a:ext>
                            </a:extLst>
                          </a:blip>
                          <a:srcRect/>
                          <a:stretch>
                            <a:fillRect/>
                          </a:stretch>
                        </pic:blipFill>
                        <pic:spPr bwMode="auto">
                          <a:xfrm>
                            <a:off x="0" y="0"/>
                            <a:ext cx="1965418" cy="1477873"/>
                          </a:xfrm>
                          <a:prstGeom prst="rect">
                            <a:avLst/>
                          </a:prstGeom>
                          <a:noFill/>
                          <a:ln>
                            <a:noFill/>
                          </a:ln>
                        </pic:spPr>
                      </pic:pic>
                    </a:graphicData>
                  </a:graphic>
                </wp:inline>
              </w:drawing>
            </w:r>
          </w:p>
          <w:p w14:paraId="7EA3C2C8" w14:textId="185ED5DE" w:rsidR="001C0943" w:rsidRDefault="001C0943" w:rsidP="007E58C4">
            <w:pPr>
              <w:pStyle w:val="NormalWeb"/>
              <w:spacing w:before="0" w:beforeAutospacing="0" w:after="0" w:afterAutospacing="0"/>
              <w:jc w:val="center"/>
              <w:rPr>
                <w:rFonts w:ascii="Calibri" w:hAnsi="Calibri" w:cs="Calibri"/>
                <w:color w:val="202122"/>
                <w:sz w:val="22"/>
                <w:szCs w:val="22"/>
              </w:rPr>
            </w:pPr>
            <w:r w:rsidRPr="001C0943">
              <w:rPr>
                <w:rFonts w:ascii="Calibri" w:hAnsi="Calibri" w:cs="Calibri"/>
                <w:i/>
                <w:iCs/>
                <w:sz w:val="22"/>
                <w:szCs w:val="22"/>
              </w:rPr>
              <w:t>Digitaria exilis</w:t>
            </w:r>
            <w:r w:rsidRPr="001C0943">
              <w:rPr>
                <w:rFonts w:ascii="Calibri" w:hAnsi="Calibri" w:cs="Calibri"/>
                <w:sz w:val="22"/>
                <w:szCs w:val="22"/>
              </w:rPr>
              <w:t xml:space="preserve"> – Fonio blanc moissonné et entassé au champ (Mali)</w:t>
            </w:r>
          </w:p>
        </w:tc>
        <w:tc>
          <w:tcPr>
            <w:tcW w:w="3472" w:type="dxa"/>
          </w:tcPr>
          <w:p w14:paraId="77CB5F2C" w14:textId="77777777" w:rsidR="00405996" w:rsidRDefault="001C0943" w:rsidP="007E58C4">
            <w:pPr>
              <w:pStyle w:val="NormalWeb"/>
              <w:spacing w:before="0" w:beforeAutospacing="0" w:after="0" w:afterAutospacing="0"/>
              <w:jc w:val="center"/>
              <w:rPr>
                <w:rFonts w:ascii="Calibri" w:hAnsi="Calibri" w:cs="Calibri"/>
                <w:color w:val="202122"/>
                <w:sz w:val="22"/>
                <w:szCs w:val="22"/>
              </w:rPr>
            </w:pPr>
            <w:r>
              <w:rPr>
                <w:noProof/>
              </w:rPr>
              <w:drawing>
                <wp:inline distT="0" distB="0" distL="0" distR="0" wp14:anchorId="15BA02F6" wp14:editId="36F93DE9">
                  <wp:extent cx="1276350" cy="1914525"/>
                  <wp:effectExtent l="0" t="0" r="0" b="9525"/>
                  <wp:docPr id="79873" name="Image 79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830">
                            <a:extLst>
                              <a:ext uri="{28A0092B-C50C-407E-A947-70E740481C1C}">
                                <a14:useLocalDpi xmlns:a14="http://schemas.microsoft.com/office/drawing/2010/main" val="0"/>
                              </a:ext>
                            </a:extLst>
                          </a:blip>
                          <a:srcRect/>
                          <a:stretch>
                            <a:fillRect/>
                          </a:stretch>
                        </pic:blipFill>
                        <pic:spPr bwMode="auto">
                          <a:xfrm>
                            <a:off x="0" y="0"/>
                            <a:ext cx="1277563" cy="1916345"/>
                          </a:xfrm>
                          <a:prstGeom prst="rect">
                            <a:avLst/>
                          </a:prstGeom>
                          <a:noFill/>
                          <a:ln>
                            <a:noFill/>
                          </a:ln>
                        </pic:spPr>
                      </pic:pic>
                    </a:graphicData>
                  </a:graphic>
                </wp:inline>
              </w:drawing>
            </w:r>
          </w:p>
          <w:p w14:paraId="6B74745B" w14:textId="67E1735E" w:rsidR="001C0943" w:rsidRDefault="001C0943" w:rsidP="007E58C4">
            <w:pPr>
              <w:pStyle w:val="NormalWeb"/>
              <w:spacing w:before="0" w:beforeAutospacing="0" w:after="0" w:afterAutospacing="0"/>
              <w:jc w:val="center"/>
              <w:rPr>
                <w:rFonts w:ascii="Calibri" w:hAnsi="Calibri" w:cs="Calibri"/>
                <w:color w:val="202122"/>
                <w:sz w:val="22"/>
                <w:szCs w:val="22"/>
              </w:rPr>
            </w:pPr>
            <w:r w:rsidRPr="001C0943">
              <w:rPr>
                <w:rFonts w:ascii="Calibri" w:hAnsi="Calibri" w:cs="Calibri"/>
                <w:i/>
                <w:iCs/>
                <w:sz w:val="22"/>
                <w:szCs w:val="22"/>
              </w:rPr>
              <w:t>Digitaria iburua</w:t>
            </w:r>
            <w:r w:rsidRPr="001C0943">
              <w:rPr>
                <w:rFonts w:ascii="Calibri" w:hAnsi="Calibri" w:cs="Calibri"/>
                <w:sz w:val="22"/>
                <w:szCs w:val="22"/>
              </w:rPr>
              <w:t xml:space="preserve"> - Fonio noir </w:t>
            </w:r>
            <w:r w:rsidR="00D6293B">
              <w:rPr>
                <w:rFonts w:ascii="Calibri" w:hAnsi="Calibri" w:cs="Calibri"/>
                <w:sz w:val="22"/>
                <w:szCs w:val="22"/>
              </w:rPr>
              <w:t>(</w:t>
            </w:r>
            <w:r w:rsidRPr="001C0943">
              <w:rPr>
                <w:rFonts w:ascii="Calibri" w:hAnsi="Calibri" w:cs="Calibri"/>
                <w:sz w:val="22"/>
                <w:szCs w:val="22"/>
              </w:rPr>
              <w:t>Jardin botanique de la Charme</w:t>
            </w:r>
            <w:r w:rsidR="00D6293B">
              <w:rPr>
                <w:rFonts w:ascii="Calibri" w:hAnsi="Calibri" w:cs="Calibri"/>
                <w:sz w:val="22"/>
                <w:szCs w:val="22"/>
              </w:rPr>
              <w:t>).</w:t>
            </w:r>
          </w:p>
        </w:tc>
        <w:tc>
          <w:tcPr>
            <w:tcW w:w="3472" w:type="dxa"/>
          </w:tcPr>
          <w:p w14:paraId="6A6B2CC0" w14:textId="77777777" w:rsidR="00405996" w:rsidRDefault="001C0943" w:rsidP="007E58C4">
            <w:pPr>
              <w:pStyle w:val="NormalWeb"/>
              <w:spacing w:before="0" w:beforeAutospacing="0" w:after="0" w:afterAutospacing="0"/>
              <w:jc w:val="center"/>
              <w:rPr>
                <w:rFonts w:ascii="Calibri" w:hAnsi="Calibri" w:cs="Calibri"/>
                <w:color w:val="202122"/>
                <w:sz w:val="22"/>
                <w:szCs w:val="22"/>
              </w:rPr>
            </w:pPr>
            <w:r>
              <w:rPr>
                <w:noProof/>
              </w:rPr>
              <w:drawing>
                <wp:inline distT="0" distB="0" distL="0" distR="0" wp14:anchorId="1587C331" wp14:editId="5F6A323B">
                  <wp:extent cx="1274029" cy="1914525"/>
                  <wp:effectExtent l="0" t="0" r="2540" b="0"/>
                  <wp:docPr id="7198" name="Image 7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831">
                            <a:extLst>
                              <a:ext uri="{28A0092B-C50C-407E-A947-70E740481C1C}">
                                <a14:useLocalDpi xmlns:a14="http://schemas.microsoft.com/office/drawing/2010/main" val="0"/>
                              </a:ext>
                            </a:extLst>
                          </a:blip>
                          <a:srcRect/>
                          <a:stretch>
                            <a:fillRect/>
                          </a:stretch>
                        </pic:blipFill>
                        <pic:spPr bwMode="auto">
                          <a:xfrm>
                            <a:off x="0" y="0"/>
                            <a:ext cx="1275513" cy="1916755"/>
                          </a:xfrm>
                          <a:prstGeom prst="rect">
                            <a:avLst/>
                          </a:prstGeom>
                          <a:noFill/>
                          <a:ln>
                            <a:noFill/>
                          </a:ln>
                        </pic:spPr>
                      </pic:pic>
                    </a:graphicData>
                  </a:graphic>
                </wp:inline>
              </w:drawing>
            </w:r>
          </w:p>
          <w:p w14:paraId="6DA0BC9E" w14:textId="785FF7A1" w:rsidR="001C0943" w:rsidRPr="001C0943" w:rsidRDefault="001C0943" w:rsidP="007E58C4">
            <w:pPr>
              <w:pStyle w:val="NormalWeb"/>
              <w:spacing w:before="0" w:beforeAutospacing="0" w:after="0" w:afterAutospacing="0"/>
              <w:jc w:val="center"/>
              <w:rPr>
                <w:rFonts w:ascii="Calibri" w:hAnsi="Calibri" w:cs="Calibri"/>
                <w:color w:val="202122"/>
                <w:sz w:val="22"/>
                <w:szCs w:val="22"/>
              </w:rPr>
            </w:pPr>
            <w:r w:rsidRPr="001C0943">
              <w:rPr>
                <w:rFonts w:ascii="Calibri" w:hAnsi="Calibri" w:cs="Calibri"/>
                <w:i/>
                <w:iCs/>
                <w:sz w:val="22"/>
                <w:szCs w:val="22"/>
              </w:rPr>
              <w:t>Brachiaria deflexa</w:t>
            </w:r>
            <w:r w:rsidRPr="001C0943">
              <w:rPr>
                <w:rFonts w:ascii="Calibri" w:hAnsi="Calibri" w:cs="Calibri"/>
                <w:sz w:val="22"/>
                <w:szCs w:val="22"/>
              </w:rPr>
              <w:t xml:space="preserve"> – </w:t>
            </w:r>
            <w:r>
              <w:rPr>
                <w:rFonts w:ascii="Calibri" w:hAnsi="Calibri" w:cs="Calibri"/>
                <w:sz w:val="22"/>
                <w:szCs w:val="22"/>
              </w:rPr>
              <w:t>F</w:t>
            </w:r>
            <w:r w:rsidRPr="001C0943">
              <w:rPr>
                <w:rFonts w:ascii="Calibri" w:hAnsi="Calibri" w:cs="Calibri"/>
                <w:sz w:val="22"/>
                <w:szCs w:val="22"/>
              </w:rPr>
              <w:t>onio à grosse graine.</w:t>
            </w:r>
          </w:p>
        </w:tc>
      </w:tr>
    </w:tbl>
    <w:p w14:paraId="5853F064" w14:textId="702906F9" w:rsidR="0067663C" w:rsidRPr="001C0943" w:rsidRDefault="0067663C" w:rsidP="00726FE1">
      <w:pPr>
        <w:spacing w:after="0" w:line="240" w:lineRule="auto"/>
      </w:pPr>
    </w:p>
    <w:p w14:paraId="70FD7E5B" w14:textId="35EE124A" w:rsidR="0067663C" w:rsidRDefault="0067663C" w:rsidP="0067663C">
      <w:pPr>
        <w:pStyle w:val="Titre3"/>
      </w:pPr>
      <w:bookmarkStart w:id="175" w:name="_Toc139181466"/>
      <w:r w:rsidRPr="0067663C">
        <w:lastRenderedPageBreak/>
        <w:t>Millet commun, millet blanc ou millet à grappes (</w:t>
      </w:r>
      <w:r w:rsidRPr="0067663C">
        <w:rPr>
          <w:i/>
          <w:iCs/>
        </w:rPr>
        <w:t>Panicum miliaceum</w:t>
      </w:r>
      <w:r w:rsidRPr="0067663C">
        <w:t>)</w:t>
      </w:r>
      <w:bookmarkEnd w:id="175"/>
    </w:p>
    <w:p w14:paraId="09406F69" w14:textId="07FED069" w:rsidR="0067663C" w:rsidRDefault="0067663C" w:rsidP="00726FE1">
      <w:pPr>
        <w:spacing w:after="0" w:line="240" w:lineRule="auto"/>
      </w:pPr>
    </w:p>
    <w:p w14:paraId="558E07A3" w14:textId="407B6E26" w:rsidR="0067663C" w:rsidRDefault="00690085" w:rsidP="00690085">
      <w:pPr>
        <w:spacing w:after="0" w:line="240" w:lineRule="auto"/>
        <w:jc w:val="both"/>
      </w:pPr>
      <w:r>
        <w:t xml:space="preserve">Plante de 1,3 m environ, à inflorescences en panicules lâches, ramifiées et tombantes. Cette céréale est cultivée dans des régions tempérées, en Russie, en Ukraine, au Kazakhstan, aux États-Unis, en Argentine et en Australie. Diverses variétés, avec des grains de couleur blanche, jaune, brune et même noire, étaient cultivées en France jusqu'à l'époque contemporaine. La plupart ont disparu des cultures, mais certaines se sont maintenues, à l'état d'adventices, notamment dans les champs de maïs. Source : Millet commun, </w:t>
      </w:r>
      <w:hyperlink r:id="rId1832" w:history="1">
        <w:r w:rsidRPr="00224761">
          <w:rPr>
            <w:rStyle w:val="Lienhypertexte"/>
          </w:rPr>
          <w:t>https://fr.wikipedia.org/wiki/Millet_commun</w:t>
        </w:r>
      </w:hyperlink>
    </w:p>
    <w:p w14:paraId="2B1F162C" w14:textId="77777777" w:rsidR="00405996" w:rsidRDefault="00405996" w:rsidP="00405996">
      <w:pPr>
        <w:pStyle w:val="NormalWeb"/>
        <w:shd w:val="clear" w:color="auto" w:fill="FFFFFF"/>
        <w:spacing w:before="0" w:beforeAutospacing="0" w:after="0" w:afterAutospacing="0"/>
        <w:jc w:val="both"/>
        <w:rPr>
          <w:rFonts w:ascii="Calibri" w:hAnsi="Calibri" w:cs="Calibri"/>
          <w:sz w:val="22"/>
          <w:szCs w:val="2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412DFB" w14:paraId="4FA03CFD" w14:textId="77777777" w:rsidTr="00412DFB">
        <w:tc>
          <w:tcPr>
            <w:tcW w:w="3472" w:type="dxa"/>
          </w:tcPr>
          <w:p w14:paraId="4234FFC8" w14:textId="77777777" w:rsidR="00405996" w:rsidRDefault="00902EED" w:rsidP="007E58C4">
            <w:pPr>
              <w:pStyle w:val="NormalWeb"/>
              <w:spacing w:before="0" w:beforeAutospacing="0" w:after="0" w:afterAutospacing="0"/>
              <w:jc w:val="center"/>
              <w:rPr>
                <w:rFonts w:ascii="Calibri" w:hAnsi="Calibri" w:cs="Calibri"/>
                <w:color w:val="202122"/>
                <w:sz w:val="22"/>
                <w:szCs w:val="22"/>
              </w:rPr>
            </w:pPr>
            <w:r>
              <w:rPr>
                <w:noProof/>
              </w:rPr>
              <w:drawing>
                <wp:inline distT="0" distB="0" distL="0" distR="0" wp14:anchorId="78D4DA6C" wp14:editId="04E7DE04">
                  <wp:extent cx="1819275" cy="1207337"/>
                  <wp:effectExtent l="0" t="0" r="0" b="0"/>
                  <wp:docPr id="79874" name="Image 79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833">
                            <a:extLst>
                              <a:ext uri="{28A0092B-C50C-407E-A947-70E740481C1C}">
                                <a14:useLocalDpi xmlns:a14="http://schemas.microsoft.com/office/drawing/2010/main" val="0"/>
                              </a:ext>
                            </a:extLst>
                          </a:blip>
                          <a:srcRect/>
                          <a:stretch>
                            <a:fillRect/>
                          </a:stretch>
                        </pic:blipFill>
                        <pic:spPr bwMode="auto">
                          <a:xfrm>
                            <a:off x="0" y="0"/>
                            <a:ext cx="1819695" cy="1207616"/>
                          </a:xfrm>
                          <a:prstGeom prst="rect">
                            <a:avLst/>
                          </a:prstGeom>
                          <a:noFill/>
                          <a:ln>
                            <a:noFill/>
                          </a:ln>
                        </pic:spPr>
                      </pic:pic>
                    </a:graphicData>
                  </a:graphic>
                </wp:inline>
              </w:drawing>
            </w:r>
          </w:p>
          <w:p w14:paraId="062F3542" w14:textId="77777777" w:rsidR="00902EED" w:rsidRDefault="00902EED" w:rsidP="007E58C4">
            <w:pPr>
              <w:pStyle w:val="NormalWeb"/>
              <w:spacing w:before="0" w:beforeAutospacing="0" w:after="0" w:afterAutospacing="0"/>
              <w:jc w:val="center"/>
              <w:rPr>
                <w:rFonts w:ascii="Calibri" w:hAnsi="Calibri" w:cs="Calibri"/>
                <w:color w:val="202122"/>
                <w:sz w:val="22"/>
                <w:szCs w:val="22"/>
              </w:rPr>
            </w:pPr>
            <w:r>
              <w:rPr>
                <w:rFonts w:ascii="Calibri" w:hAnsi="Calibri" w:cs="Calibri"/>
                <w:color w:val="202122"/>
                <w:sz w:val="22"/>
                <w:szCs w:val="22"/>
              </w:rPr>
              <w:t>Millet commun arrivé</w:t>
            </w:r>
            <w:r w:rsidRPr="00902EED">
              <w:rPr>
                <w:rFonts w:ascii="Calibri" w:hAnsi="Calibri" w:cs="Calibri"/>
                <w:color w:val="202122"/>
                <w:sz w:val="22"/>
                <w:szCs w:val="22"/>
              </w:rPr>
              <w:t xml:space="preserve"> à maturité.</w:t>
            </w:r>
          </w:p>
          <w:p w14:paraId="23B4C48C" w14:textId="77777777" w:rsidR="00412DFB" w:rsidRDefault="00412DFB" w:rsidP="00412DFB">
            <w:pPr>
              <w:pStyle w:val="NormalWeb"/>
              <w:spacing w:before="0" w:beforeAutospacing="0" w:after="0" w:afterAutospacing="0"/>
              <w:jc w:val="center"/>
              <w:rPr>
                <w:rFonts w:ascii="Calibri" w:hAnsi="Calibri" w:cs="Calibri"/>
                <w:color w:val="202122"/>
                <w:sz w:val="22"/>
                <w:szCs w:val="22"/>
              </w:rPr>
            </w:pPr>
            <w:r>
              <w:rPr>
                <w:noProof/>
              </w:rPr>
              <w:drawing>
                <wp:inline distT="0" distB="0" distL="0" distR="0" wp14:anchorId="31725BE8" wp14:editId="0B3C8E54">
                  <wp:extent cx="1141192" cy="961862"/>
                  <wp:effectExtent l="0" t="0" r="1905" b="0"/>
                  <wp:docPr id="79876" name="Image 79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834">
                            <a:extLst>
                              <a:ext uri="{28A0092B-C50C-407E-A947-70E740481C1C}">
                                <a14:useLocalDpi xmlns:a14="http://schemas.microsoft.com/office/drawing/2010/main" val="0"/>
                              </a:ext>
                            </a:extLst>
                          </a:blip>
                          <a:srcRect/>
                          <a:stretch>
                            <a:fillRect/>
                          </a:stretch>
                        </pic:blipFill>
                        <pic:spPr bwMode="auto">
                          <a:xfrm>
                            <a:off x="0" y="0"/>
                            <a:ext cx="1146604" cy="966423"/>
                          </a:xfrm>
                          <a:prstGeom prst="rect">
                            <a:avLst/>
                          </a:prstGeom>
                          <a:noFill/>
                          <a:ln>
                            <a:noFill/>
                          </a:ln>
                        </pic:spPr>
                      </pic:pic>
                    </a:graphicData>
                  </a:graphic>
                </wp:inline>
              </w:drawing>
            </w:r>
          </w:p>
          <w:p w14:paraId="62A25BF7" w14:textId="4558B76F" w:rsidR="00412DFB" w:rsidRDefault="00412DFB" w:rsidP="00412DFB">
            <w:pPr>
              <w:pStyle w:val="NormalWeb"/>
              <w:spacing w:before="0" w:beforeAutospacing="0" w:after="0" w:afterAutospacing="0"/>
              <w:jc w:val="center"/>
              <w:rPr>
                <w:rFonts w:ascii="Calibri" w:hAnsi="Calibri" w:cs="Calibri"/>
                <w:color w:val="202122"/>
                <w:sz w:val="22"/>
                <w:szCs w:val="22"/>
              </w:rPr>
            </w:pPr>
            <w:r>
              <w:rPr>
                <w:rFonts w:ascii="Calibri" w:hAnsi="Calibri" w:cs="Calibri"/>
                <w:color w:val="202122"/>
                <w:sz w:val="22"/>
                <w:szCs w:val="22"/>
              </w:rPr>
              <w:t>Millet séché.</w:t>
            </w:r>
          </w:p>
        </w:tc>
        <w:tc>
          <w:tcPr>
            <w:tcW w:w="3472" w:type="dxa"/>
          </w:tcPr>
          <w:p w14:paraId="18FD5F3D" w14:textId="77777777" w:rsidR="00405996" w:rsidRDefault="007843D4" w:rsidP="007E58C4">
            <w:pPr>
              <w:pStyle w:val="NormalWeb"/>
              <w:spacing w:before="0" w:beforeAutospacing="0" w:after="0" w:afterAutospacing="0"/>
              <w:jc w:val="center"/>
              <w:rPr>
                <w:rFonts w:ascii="Calibri" w:hAnsi="Calibri" w:cs="Calibri"/>
                <w:color w:val="202122"/>
                <w:sz w:val="22"/>
                <w:szCs w:val="22"/>
              </w:rPr>
            </w:pPr>
            <w:r>
              <w:rPr>
                <w:noProof/>
              </w:rPr>
              <w:drawing>
                <wp:inline distT="0" distB="0" distL="0" distR="0" wp14:anchorId="4EDDCB4F" wp14:editId="0A84DDB5">
                  <wp:extent cx="1255916" cy="1676400"/>
                  <wp:effectExtent l="0" t="0" r="1905" b="0"/>
                  <wp:docPr id="79875" name="Image 79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835">
                            <a:extLst>
                              <a:ext uri="{28A0092B-C50C-407E-A947-70E740481C1C}">
                                <a14:useLocalDpi xmlns:a14="http://schemas.microsoft.com/office/drawing/2010/main" val="0"/>
                              </a:ext>
                            </a:extLst>
                          </a:blip>
                          <a:srcRect/>
                          <a:stretch>
                            <a:fillRect/>
                          </a:stretch>
                        </pic:blipFill>
                        <pic:spPr bwMode="auto">
                          <a:xfrm>
                            <a:off x="0" y="0"/>
                            <a:ext cx="1259009" cy="1680529"/>
                          </a:xfrm>
                          <a:prstGeom prst="rect">
                            <a:avLst/>
                          </a:prstGeom>
                          <a:noFill/>
                          <a:ln>
                            <a:noFill/>
                          </a:ln>
                        </pic:spPr>
                      </pic:pic>
                    </a:graphicData>
                  </a:graphic>
                </wp:inline>
              </w:drawing>
            </w:r>
          </w:p>
          <w:p w14:paraId="09AF0599" w14:textId="4B35EC49" w:rsidR="007843D4" w:rsidRDefault="007843D4" w:rsidP="007E58C4">
            <w:pPr>
              <w:pStyle w:val="NormalWeb"/>
              <w:spacing w:before="0" w:beforeAutospacing="0" w:after="0" w:afterAutospacing="0"/>
              <w:jc w:val="center"/>
              <w:rPr>
                <w:rFonts w:ascii="Calibri" w:hAnsi="Calibri" w:cs="Calibri"/>
                <w:color w:val="202122"/>
                <w:sz w:val="22"/>
                <w:szCs w:val="22"/>
              </w:rPr>
            </w:pPr>
            <w:r w:rsidRPr="007843D4">
              <w:rPr>
                <w:rFonts w:ascii="Calibri" w:hAnsi="Calibri" w:cs="Calibri"/>
                <w:color w:val="202122"/>
                <w:sz w:val="22"/>
                <w:szCs w:val="22"/>
              </w:rPr>
              <w:t>Port général de la plante</w:t>
            </w:r>
            <w:r>
              <w:rPr>
                <w:rFonts w:ascii="Calibri" w:hAnsi="Calibri" w:cs="Calibri"/>
                <w:color w:val="202122"/>
                <w:sz w:val="22"/>
                <w:szCs w:val="22"/>
              </w:rPr>
              <w:t>.</w:t>
            </w:r>
          </w:p>
        </w:tc>
        <w:tc>
          <w:tcPr>
            <w:tcW w:w="3472" w:type="dxa"/>
          </w:tcPr>
          <w:p w14:paraId="771CE86E" w14:textId="77777777" w:rsidR="00412DFB" w:rsidRDefault="00412DFB" w:rsidP="007E58C4">
            <w:pPr>
              <w:pStyle w:val="NormalWeb"/>
              <w:spacing w:before="0" w:beforeAutospacing="0" w:after="0" w:afterAutospacing="0"/>
              <w:jc w:val="center"/>
              <w:rPr>
                <w:rFonts w:ascii="Calibri" w:hAnsi="Calibri" w:cs="Calibri"/>
                <w:color w:val="202122"/>
                <w:sz w:val="22"/>
                <w:szCs w:val="22"/>
              </w:rPr>
            </w:pPr>
            <w:r>
              <w:rPr>
                <w:noProof/>
              </w:rPr>
              <w:drawing>
                <wp:inline distT="0" distB="0" distL="0" distR="0" wp14:anchorId="0B827EBB" wp14:editId="281B6E2D">
                  <wp:extent cx="1963427" cy="1476375"/>
                  <wp:effectExtent l="0" t="0" r="0" b="0"/>
                  <wp:docPr id="79877" name="Image 79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836">
                            <a:extLst>
                              <a:ext uri="{28A0092B-C50C-407E-A947-70E740481C1C}">
                                <a14:useLocalDpi xmlns:a14="http://schemas.microsoft.com/office/drawing/2010/main" val="0"/>
                              </a:ext>
                            </a:extLst>
                          </a:blip>
                          <a:srcRect/>
                          <a:stretch>
                            <a:fillRect/>
                          </a:stretch>
                        </pic:blipFill>
                        <pic:spPr bwMode="auto">
                          <a:xfrm>
                            <a:off x="0" y="0"/>
                            <a:ext cx="1965177" cy="1477691"/>
                          </a:xfrm>
                          <a:prstGeom prst="rect">
                            <a:avLst/>
                          </a:prstGeom>
                          <a:noFill/>
                          <a:ln>
                            <a:noFill/>
                          </a:ln>
                        </pic:spPr>
                      </pic:pic>
                    </a:graphicData>
                  </a:graphic>
                </wp:inline>
              </w:drawing>
            </w:r>
          </w:p>
          <w:p w14:paraId="1A768385" w14:textId="54C28442" w:rsidR="00412DFB" w:rsidRDefault="00412DFB" w:rsidP="007E58C4">
            <w:pPr>
              <w:pStyle w:val="NormalWeb"/>
              <w:spacing w:before="0" w:beforeAutospacing="0" w:after="0" w:afterAutospacing="0"/>
              <w:jc w:val="center"/>
              <w:rPr>
                <w:rFonts w:ascii="Calibri" w:hAnsi="Calibri" w:cs="Calibri"/>
                <w:color w:val="202122"/>
                <w:sz w:val="22"/>
                <w:szCs w:val="22"/>
              </w:rPr>
            </w:pPr>
            <w:r>
              <w:rPr>
                <w:rFonts w:ascii="Calibri" w:hAnsi="Calibri" w:cs="Calibri"/>
                <w:color w:val="202122"/>
                <w:sz w:val="22"/>
                <w:szCs w:val="22"/>
              </w:rPr>
              <w:t xml:space="preserve">Panicule </w:t>
            </w:r>
            <w:r w:rsidRPr="00902EED">
              <w:rPr>
                <w:rFonts w:ascii="Calibri" w:hAnsi="Calibri" w:cs="Calibri"/>
                <w:color w:val="202122"/>
                <w:sz w:val="22"/>
                <w:szCs w:val="22"/>
              </w:rPr>
              <w:t>à maturité.</w:t>
            </w:r>
          </w:p>
        </w:tc>
      </w:tr>
    </w:tbl>
    <w:p w14:paraId="291BA1AF" w14:textId="524F7CC5" w:rsidR="00690085" w:rsidRDefault="00690085" w:rsidP="003E081E">
      <w:pPr>
        <w:spacing w:after="0" w:line="240" w:lineRule="auto"/>
      </w:pPr>
    </w:p>
    <w:p w14:paraId="0552C0BA" w14:textId="30EE85E5" w:rsidR="00690085" w:rsidRDefault="00690085" w:rsidP="00690085">
      <w:pPr>
        <w:pStyle w:val="Titre3"/>
      </w:pPr>
      <w:bookmarkStart w:id="176" w:name="_Toc139181467"/>
      <w:r w:rsidRPr="00690085">
        <w:t>Millet des oiseaux,</w:t>
      </w:r>
      <w:r w:rsidR="00793D8D">
        <w:t xml:space="preserve"> </w:t>
      </w:r>
      <w:r w:rsidR="00793D8D" w:rsidRPr="00793D8D">
        <w:t>sétaire d'</w:t>
      </w:r>
      <w:r w:rsidR="00793D8D">
        <w:t>Italie, panis,</w:t>
      </w:r>
      <w:r w:rsidRPr="00690085">
        <w:t xml:space="preserve"> petit mil» ou miliade (</w:t>
      </w:r>
      <w:r w:rsidRPr="00690085">
        <w:rPr>
          <w:i/>
          <w:iCs/>
        </w:rPr>
        <w:t>Setaria italica</w:t>
      </w:r>
      <w:r w:rsidRPr="00690085">
        <w:t>)</w:t>
      </w:r>
      <w:bookmarkEnd w:id="176"/>
    </w:p>
    <w:p w14:paraId="1FD58AC8" w14:textId="5E39EF40" w:rsidR="00690085" w:rsidRDefault="00690085" w:rsidP="00690085">
      <w:pPr>
        <w:spacing w:after="0" w:line="240" w:lineRule="auto"/>
        <w:jc w:val="both"/>
      </w:pPr>
    </w:p>
    <w:p w14:paraId="6F9C46DC" w14:textId="08524BB1" w:rsidR="00690085" w:rsidRDefault="00690085" w:rsidP="00690085">
      <w:pPr>
        <w:spacing w:after="0" w:line="240" w:lineRule="auto"/>
        <w:jc w:val="both"/>
      </w:pPr>
      <w:r>
        <w:t xml:space="preserve">Plante de 1 à 1,5 m environ, à inflorescences longues, cylindriques, assez compactes, autrefois semée dans les prairies temporaires. Remis au gout du jour dans toute l'Europe grâce aux nouvelles normes visant à favoriser la biodiversité aux abords des champs. Le premier pays producteur est la Chine. Espèce cultivée également en Inde, en Indonésie, en Corée, dans le Sud de l'Europe et en Afrique orientale. Source : </w:t>
      </w:r>
      <w:hyperlink r:id="rId1837" w:history="1">
        <w:r w:rsidRPr="00224761">
          <w:rPr>
            <w:rStyle w:val="Lienhypertexte"/>
          </w:rPr>
          <w:t>https://fr.wikipedia.org/wiki/Millet_des_oiseaux</w:t>
        </w:r>
      </w:hyperlink>
    </w:p>
    <w:p w14:paraId="51508E2D" w14:textId="77777777" w:rsidR="00405996" w:rsidRDefault="00405996" w:rsidP="00405996">
      <w:pPr>
        <w:pStyle w:val="NormalWeb"/>
        <w:shd w:val="clear" w:color="auto" w:fill="FFFFFF"/>
        <w:spacing w:before="0" w:beforeAutospacing="0" w:after="0" w:afterAutospacing="0"/>
        <w:jc w:val="both"/>
        <w:rPr>
          <w:rFonts w:ascii="Calibri" w:hAnsi="Calibri" w:cs="Calibri"/>
          <w:sz w:val="22"/>
          <w:szCs w:val="2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BE0799" w14:paraId="39BE3FB3" w14:textId="77777777" w:rsidTr="004367F8">
        <w:tc>
          <w:tcPr>
            <w:tcW w:w="3472" w:type="dxa"/>
          </w:tcPr>
          <w:p w14:paraId="1A6B2D24" w14:textId="2FFF508D" w:rsidR="00405996" w:rsidRDefault="00BE0799" w:rsidP="007E58C4">
            <w:pPr>
              <w:pStyle w:val="NormalWeb"/>
              <w:spacing w:before="0" w:beforeAutospacing="0" w:after="0" w:afterAutospacing="0"/>
              <w:jc w:val="center"/>
              <w:rPr>
                <w:rFonts w:ascii="Calibri" w:hAnsi="Calibri" w:cs="Calibri"/>
                <w:color w:val="202122"/>
                <w:sz w:val="22"/>
                <w:szCs w:val="22"/>
              </w:rPr>
            </w:pPr>
            <w:r>
              <w:rPr>
                <w:noProof/>
              </w:rPr>
              <w:drawing>
                <wp:inline distT="0" distB="0" distL="0" distR="0" wp14:anchorId="5887008B" wp14:editId="764F4812">
                  <wp:extent cx="1895475" cy="1425280"/>
                  <wp:effectExtent l="0" t="0" r="0" b="3810"/>
                  <wp:docPr id="79878" name="Image 79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838">
                            <a:extLst>
                              <a:ext uri="{28A0092B-C50C-407E-A947-70E740481C1C}">
                                <a14:useLocalDpi xmlns:a14="http://schemas.microsoft.com/office/drawing/2010/main" val="0"/>
                              </a:ext>
                            </a:extLst>
                          </a:blip>
                          <a:srcRect/>
                          <a:stretch>
                            <a:fillRect/>
                          </a:stretch>
                        </pic:blipFill>
                        <pic:spPr bwMode="auto">
                          <a:xfrm>
                            <a:off x="0" y="0"/>
                            <a:ext cx="1905303" cy="1432670"/>
                          </a:xfrm>
                          <a:prstGeom prst="rect">
                            <a:avLst/>
                          </a:prstGeom>
                          <a:noFill/>
                          <a:ln>
                            <a:noFill/>
                          </a:ln>
                        </pic:spPr>
                      </pic:pic>
                    </a:graphicData>
                  </a:graphic>
                </wp:inline>
              </w:drawing>
            </w:r>
          </w:p>
        </w:tc>
        <w:tc>
          <w:tcPr>
            <w:tcW w:w="3472" w:type="dxa"/>
          </w:tcPr>
          <w:p w14:paraId="1CAF7AEC" w14:textId="33ED105D" w:rsidR="00405996" w:rsidRDefault="004367F8" w:rsidP="007E58C4">
            <w:pPr>
              <w:pStyle w:val="NormalWeb"/>
              <w:spacing w:before="0" w:beforeAutospacing="0" w:after="0" w:afterAutospacing="0"/>
              <w:jc w:val="center"/>
              <w:rPr>
                <w:rFonts w:ascii="Calibri" w:hAnsi="Calibri" w:cs="Calibri"/>
                <w:color w:val="202122"/>
                <w:sz w:val="22"/>
                <w:szCs w:val="22"/>
              </w:rPr>
            </w:pPr>
            <w:r>
              <w:rPr>
                <w:noProof/>
              </w:rPr>
              <w:drawing>
                <wp:inline distT="0" distB="0" distL="0" distR="0" wp14:anchorId="5116A9B9" wp14:editId="3A042836">
                  <wp:extent cx="1793008" cy="1343025"/>
                  <wp:effectExtent l="0" t="0" r="0" b="0"/>
                  <wp:docPr id="79884" name="Image 79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839">
                            <a:extLst>
                              <a:ext uri="{28A0092B-C50C-407E-A947-70E740481C1C}">
                                <a14:useLocalDpi xmlns:a14="http://schemas.microsoft.com/office/drawing/2010/main" val="0"/>
                              </a:ext>
                            </a:extLst>
                          </a:blip>
                          <a:srcRect/>
                          <a:stretch>
                            <a:fillRect/>
                          </a:stretch>
                        </pic:blipFill>
                        <pic:spPr bwMode="auto">
                          <a:xfrm>
                            <a:off x="0" y="0"/>
                            <a:ext cx="1800941" cy="1348967"/>
                          </a:xfrm>
                          <a:prstGeom prst="rect">
                            <a:avLst/>
                          </a:prstGeom>
                          <a:noFill/>
                          <a:ln>
                            <a:noFill/>
                          </a:ln>
                        </pic:spPr>
                      </pic:pic>
                    </a:graphicData>
                  </a:graphic>
                </wp:inline>
              </w:drawing>
            </w:r>
          </w:p>
        </w:tc>
        <w:tc>
          <w:tcPr>
            <w:tcW w:w="3472" w:type="dxa"/>
          </w:tcPr>
          <w:p w14:paraId="130B7618" w14:textId="74856992" w:rsidR="00405996" w:rsidRDefault="004367F8" w:rsidP="007E58C4">
            <w:pPr>
              <w:pStyle w:val="NormalWeb"/>
              <w:spacing w:before="0" w:beforeAutospacing="0" w:after="0" w:afterAutospacing="0"/>
              <w:jc w:val="center"/>
              <w:rPr>
                <w:rFonts w:ascii="Calibri" w:hAnsi="Calibri" w:cs="Calibri"/>
                <w:color w:val="202122"/>
                <w:sz w:val="22"/>
                <w:szCs w:val="22"/>
              </w:rPr>
            </w:pPr>
            <w:r>
              <w:rPr>
                <w:noProof/>
              </w:rPr>
              <w:drawing>
                <wp:inline distT="0" distB="0" distL="0" distR="0" wp14:anchorId="361EFABE" wp14:editId="68997FED">
                  <wp:extent cx="1910621" cy="1266825"/>
                  <wp:effectExtent l="0" t="0" r="0" b="0"/>
                  <wp:docPr id="79886" name="Image 79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840">
                            <a:extLst>
                              <a:ext uri="{28A0092B-C50C-407E-A947-70E740481C1C}">
                                <a14:useLocalDpi xmlns:a14="http://schemas.microsoft.com/office/drawing/2010/main" val="0"/>
                              </a:ext>
                            </a:extLst>
                          </a:blip>
                          <a:srcRect/>
                          <a:stretch>
                            <a:fillRect/>
                          </a:stretch>
                        </pic:blipFill>
                        <pic:spPr bwMode="auto">
                          <a:xfrm>
                            <a:off x="0" y="0"/>
                            <a:ext cx="1916413" cy="1270665"/>
                          </a:xfrm>
                          <a:prstGeom prst="rect">
                            <a:avLst/>
                          </a:prstGeom>
                          <a:noFill/>
                          <a:ln>
                            <a:noFill/>
                          </a:ln>
                        </pic:spPr>
                      </pic:pic>
                    </a:graphicData>
                  </a:graphic>
                </wp:inline>
              </w:drawing>
            </w:r>
          </w:p>
        </w:tc>
      </w:tr>
    </w:tbl>
    <w:p w14:paraId="0CEA766C" w14:textId="5543131F" w:rsidR="00690085" w:rsidRDefault="00690085" w:rsidP="00690085">
      <w:pPr>
        <w:spacing w:after="0" w:line="240" w:lineRule="auto"/>
        <w:jc w:val="both"/>
      </w:pPr>
    </w:p>
    <w:p w14:paraId="11F2D3F8" w14:textId="643A354D" w:rsidR="00690085" w:rsidRDefault="00690085" w:rsidP="00690085">
      <w:pPr>
        <w:pStyle w:val="Titre3"/>
      </w:pPr>
      <w:bookmarkStart w:id="177" w:name="_Toc139181468"/>
      <w:r>
        <w:t>Millet indien ou Éleusine des Indes (</w:t>
      </w:r>
      <w:r w:rsidRPr="00690085">
        <w:rPr>
          <w:i/>
          <w:iCs/>
        </w:rPr>
        <w:t>Panicum sumatrense</w:t>
      </w:r>
      <w:r w:rsidR="00D241B1">
        <w:t xml:space="preserve"> ou</w:t>
      </w:r>
      <w:r w:rsidR="00D241B1">
        <w:rPr>
          <w:i/>
          <w:iCs/>
        </w:rPr>
        <w:t xml:space="preserve"> </w:t>
      </w:r>
      <w:r w:rsidR="00D241B1" w:rsidRPr="00D241B1">
        <w:rPr>
          <w:i/>
          <w:iCs/>
        </w:rPr>
        <w:t>Eleusine indica</w:t>
      </w:r>
      <w:r>
        <w:t>)</w:t>
      </w:r>
      <w:bookmarkEnd w:id="177"/>
    </w:p>
    <w:p w14:paraId="2BBA8313" w14:textId="77777777" w:rsidR="00690085" w:rsidRDefault="00690085" w:rsidP="00690085">
      <w:pPr>
        <w:spacing w:after="0" w:line="240" w:lineRule="auto"/>
        <w:jc w:val="both"/>
      </w:pPr>
    </w:p>
    <w:p w14:paraId="09415FE3" w14:textId="5318E527" w:rsidR="00690085" w:rsidRDefault="00690085" w:rsidP="00690085">
      <w:pPr>
        <w:spacing w:after="0" w:line="240" w:lineRule="auto"/>
        <w:jc w:val="both"/>
      </w:pPr>
      <w:r>
        <w:t xml:space="preserve">Culture répandue en Inde, au Népal, au Pakistan, au Sri Lanka, dans l'est de l'Indonésie et l'ouest de la Birmanie. Source : </w:t>
      </w:r>
      <w:hyperlink r:id="rId1841" w:history="1">
        <w:r w:rsidRPr="00224761">
          <w:rPr>
            <w:rStyle w:val="Lienhypertexte"/>
          </w:rPr>
          <w:t>https://fr.wikipedia.org/wiki/%C3%89leusine_des_Indes</w:t>
        </w:r>
      </w:hyperlink>
    </w:p>
    <w:p w14:paraId="529E8CB8" w14:textId="77777777" w:rsidR="00405996" w:rsidRDefault="00405996" w:rsidP="00405996">
      <w:pPr>
        <w:pStyle w:val="NormalWeb"/>
        <w:shd w:val="clear" w:color="auto" w:fill="FFFFFF"/>
        <w:spacing w:before="0" w:beforeAutospacing="0" w:after="0" w:afterAutospacing="0"/>
        <w:jc w:val="both"/>
        <w:rPr>
          <w:rFonts w:ascii="Calibri" w:hAnsi="Calibri" w:cs="Calibri"/>
          <w:sz w:val="22"/>
          <w:szCs w:val="2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405996" w14:paraId="0406BF72" w14:textId="77777777" w:rsidTr="00806B13">
        <w:tc>
          <w:tcPr>
            <w:tcW w:w="3472" w:type="dxa"/>
          </w:tcPr>
          <w:p w14:paraId="1753C5E8" w14:textId="77777777" w:rsidR="00405996" w:rsidRDefault="00806B13" w:rsidP="007E58C4">
            <w:pPr>
              <w:pStyle w:val="NormalWeb"/>
              <w:spacing w:before="0" w:beforeAutospacing="0" w:after="0" w:afterAutospacing="0"/>
              <w:jc w:val="center"/>
              <w:rPr>
                <w:rFonts w:ascii="Calibri" w:hAnsi="Calibri" w:cs="Calibri"/>
                <w:color w:val="202122"/>
                <w:sz w:val="22"/>
                <w:szCs w:val="22"/>
              </w:rPr>
            </w:pPr>
            <w:r>
              <w:rPr>
                <w:noProof/>
              </w:rPr>
              <w:lastRenderedPageBreak/>
              <w:drawing>
                <wp:inline distT="0" distB="0" distL="0" distR="0" wp14:anchorId="50F05D21" wp14:editId="21BE553B">
                  <wp:extent cx="1758153" cy="1562100"/>
                  <wp:effectExtent l="0" t="0" r="0" b="0"/>
                  <wp:docPr id="79892" name="Image 79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842">
                            <a:extLst>
                              <a:ext uri="{28A0092B-C50C-407E-A947-70E740481C1C}">
                                <a14:useLocalDpi xmlns:a14="http://schemas.microsoft.com/office/drawing/2010/main" val="0"/>
                              </a:ext>
                            </a:extLst>
                          </a:blip>
                          <a:srcRect/>
                          <a:stretch>
                            <a:fillRect/>
                          </a:stretch>
                        </pic:blipFill>
                        <pic:spPr bwMode="auto">
                          <a:xfrm>
                            <a:off x="0" y="0"/>
                            <a:ext cx="1762809" cy="1566237"/>
                          </a:xfrm>
                          <a:prstGeom prst="rect">
                            <a:avLst/>
                          </a:prstGeom>
                          <a:noFill/>
                          <a:ln>
                            <a:noFill/>
                          </a:ln>
                        </pic:spPr>
                      </pic:pic>
                    </a:graphicData>
                  </a:graphic>
                </wp:inline>
              </w:drawing>
            </w:r>
          </w:p>
          <w:p w14:paraId="27894EC1" w14:textId="7B76ED23" w:rsidR="00806B13" w:rsidRDefault="00806B13" w:rsidP="007E58C4">
            <w:pPr>
              <w:pStyle w:val="NormalWeb"/>
              <w:spacing w:before="0" w:beforeAutospacing="0" w:after="0" w:afterAutospacing="0"/>
              <w:jc w:val="center"/>
              <w:rPr>
                <w:rFonts w:ascii="Calibri" w:hAnsi="Calibri" w:cs="Calibri"/>
                <w:color w:val="202122"/>
                <w:sz w:val="22"/>
                <w:szCs w:val="22"/>
              </w:rPr>
            </w:pPr>
            <w:r>
              <w:rPr>
                <w:rFonts w:ascii="Calibri" w:hAnsi="Calibri" w:cs="Calibri"/>
                <w:color w:val="202122"/>
                <w:sz w:val="22"/>
                <w:szCs w:val="22"/>
              </w:rPr>
              <w:t xml:space="preserve">Inflorescence </w:t>
            </w:r>
            <w:r w:rsidRPr="00806B13">
              <w:rPr>
                <w:rFonts w:ascii="Calibri" w:hAnsi="Calibri" w:cs="Calibri"/>
                <w:i/>
                <w:iCs/>
                <w:color w:val="202122"/>
                <w:sz w:val="22"/>
                <w:szCs w:val="22"/>
              </w:rPr>
              <w:t>(Eleusine indica</w:t>
            </w:r>
            <w:r>
              <w:rPr>
                <w:rFonts w:ascii="Calibri" w:hAnsi="Calibri" w:cs="Calibri"/>
                <w:color w:val="202122"/>
                <w:sz w:val="22"/>
                <w:szCs w:val="22"/>
              </w:rPr>
              <w:t>).</w:t>
            </w:r>
          </w:p>
        </w:tc>
        <w:tc>
          <w:tcPr>
            <w:tcW w:w="3472" w:type="dxa"/>
          </w:tcPr>
          <w:p w14:paraId="7A616317" w14:textId="77777777" w:rsidR="00806B13" w:rsidRDefault="00806B13" w:rsidP="00806B13">
            <w:pPr>
              <w:pStyle w:val="NormalWeb"/>
              <w:spacing w:before="0" w:beforeAutospacing="0" w:after="0" w:afterAutospacing="0"/>
              <w:jc w:val="center"/>
              <w:rPr>
                <w:rFonts w:ascii="Calibri" w:hAnsi="Calibri" w:cs="Calibri"/>
                <w:color w:val="202122"/>
                <w:sz w:val="22"/>
                <w:szCs w:val="22"/>
              </w:rPr>
            </w:pPr>
            <w:r>
              <w:rPr>
                <w:noProof/>
              </w:rPr>
              <w:drawing>
                <wp:inline distT="0" distB="0" distL="0" distR="0" wp14:anchorId="392B34FE" wp14:editId="499CC2CC">
                  <wp:extent cx="914400" cy="2257425"/>
                  <wp:effectExtent l="0" t="0" r="0" b="9525"/>
                  <wp:docPr id="7199" name="Image 7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843">
                            <a:extLst>
                              <a:ext uri="{28A0092B-C50C-407E-A947-70E740481C1C}">
                                <a14:useLocalDpi xmlns:a14="http://schemas.microsoft.com/office/drawing/2010/main" val="0"/>
                              </a:ext>
                            </a:extLst>
                          </a:blip>
                          <a:srcRect/>
                          <a:stretch>
                            <a:fillRect/>
                          </a:stretch>
                        </pic:blipFill>
                        <pic:spPr bwMode="auto">
                          <a:xfrm>
                            <a:off x="0" y="0"/>
                            <a:ext cx="914400" cy="2257425"/>
                          </a:xfrm>
                          <a:prstGeom prst="rect">
                            <a:avLst/>
                          </a:prstGeom>
                          <a:noFill/>
                          <a:ln>
                            <a:noFill/>
                          </a:ln>
                        </pic:spPr>
                      </pic:pic>
                    </a:graphicData>
                  </a:graphic>
                </wp:inline>
              </w:drawing>
            </w:r>
          </w:p>
          <w:p w14:paraId="599F08C5" w14:textId="6B489AFA" w:rsidR="00405996" w:rsidRDefault="00806B13" w:rsidP="00806B13">
            <w:pPr>
              <w:pStyle w:val="NormalWeb"/>
              <w:spacing w:before="0" w:beforeAutospacing="0" w:after="0" w:afterAutospacing="0"/>
              <w:jc w:val="center"/>
              <w:rPr>
                <w:rFonts w:ascii="Calibri" w:hAnsi="Calibri" w:cs="Calibri"/>
                <w:color w:val="202122"/>
                <w:sz w:val="22"/>
                <w:szCs w:val="22"/>
              </w:rPr>
            </w:pPr>
            <w:r w:rsidRPr="001C0943">
              <w:rPr>
                <w:rFonts w:ascii="Calibri" w:hAnsi="Calibri" w:cs="Calibri"/>
                <w:color w:val="202122"/>
                <w:sz w:val="22"/>
                <w:szCs w:val="22"/>
              </w:rPr>
              <w:t>Tige feuillée et fleurie</w:t>
            </w:r>
            <w:r>
              <w:rPr>
                <w:rFonts w:ascii="Calibri" w:hAnsi="Calibri" w:cs="Calibri"/>
                <w:color w:val="202122"/>
                <w:sz w:val="22"/>
                <w:szCs w:val="22"/>
              </w:rPr>
              <w:t xml:space="preserve"> </w:t>
            </w:r>
            <w:r w:rsidRPr="00806B13">
              <w:rPr>
                <w:rFonts w:ascii="Calibri" w:hAnsi="Calibri" w:cs="Calibri"/>
                <w:i/>
                <w:iCs/>
                <w:color w:val="202122"/>
                <w:sz w:val="22"/>
                <w:szCs w:val="22"/>
              </w:rPr>
              <w:t>(Eleusine indica</w:t>
            </w:r>
            <w:r>
              <w:rPr>
                <w:rFonts w:ascii="Calibri" w:hAnsi="Calibri" w:cs="Calibri"/>
                <w:color w:val="202122"/>
                <w:sz w:val="22"/>
                <w:szCs w:val="22"/>
              </w:rPr>
              <w:t>).</w:t>
            </w:r>
          </w:p>
        </w:tc>
        <w:tc>
          <w:tcPr>
            <w:tcW w:w="3472" w:type="dxa"/>
          </w:tcPr>
          <w:p w14:paraId="3EBC9D00" w14:textId="7183E469" w:rsidR="00253168" w:rsidRDefault="00253168" w:rsidP="007E58C4">
            <w:pPr>
              <w:pStyle w:val="NormalWeb"/>
              <w:spacing w:before="0" w:beforeAutospacing="0" w:after="0" w:afterAutospacing="0"/>
              <w:jc w:val="center"/>
              <w:rPr>
                <w:rFonts w:ascii="Calibri" w:hAnsi="Calibri" w:cs="Calibri"/>
                <w:color w:val="202122"/>
                <w:sz w:val="22"/>
                <w:szCs w:val="22"/>
              </w:rPr>
            </w:pPr>
            <w:r>
              <w:rPr>
                <w:noProof/>
              </w:rPr>
              <w:drawing>
                <wp:inline distT="0" distB="0" distL="0" distR="0" wp14:anchorId="12C15E94" wp14:editId="21A7325D">
                  <wp:extent cx="1504950" cy="1504950"/>
                  <wp:effectExtent l="0" t="0" r="0" b="0"/>
                  <wp:docPr id="79891" name="Image 79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844">
                            <a:extLst>
                              <a:ext uri="{28A0092B-C50C-407E-A947-70E740481C1C}">
                                <a14:useLocalDpi xmlns:a14="http://schemas.microsoft.com/office/drawing/2010/main" val="0"/>
                              </a:ext>
                            </a:extLst>
                          </a:blip>
                          <a:srcRect/>
                          <a:stretch>
                            <a:fillRect/>
                          </a:stretch>
                        </pic:blipFill>
                        <pic:spPr bwMode="auto">
                          <a:xfrm>
                            <a:off x="0" y="0"/>
                            <a:ext cx="1504950" cy="1504950"/>
                          </a:xfrm>
                          <a:prstGeom prst="rect">
                            <a:avLst/>
                          </a:prstGeom>
                          <a:noFill/>
                          <a:ln>
                            <a:noFill/>
                          </a:ln>
                        </pic:spPr>
                      </pic:pic>
                    </a:graphicData>
                  </a:graphic>
                </wp:inline>
              </w:drawing>
            </w:r>
          </w:p>
          <w:p w14:paraId="4520526B" w14:textId="6FEB7B7E" w:rsidR="00405996" w:rsidRDefault="00253168" w:rsidP="007E58C4">
            <w:pPr>
              <w:pStyle w:val="NormalWeb"/>
              <w:spacing w:before="0" w:beforeAutospacing="0" w:after="0" w:afterAutospacing="0"/>
              <w:jc w:val="center"/>
              <w:rPr>
                <w:rFonts w:ascii="Calibri" w:hAnsi="Calibri" w:cs="Calibri"/>
                <w:color w:val="202122"/>
                <w:sz w:val="22"/>
                <w:szCs w:val="22"/>
              </w:rPr>
            </w:pPr>
            <w:r>
              <w:rPr>
                <w:rFonts w:ascii="Calibri" w:hAnsi="Calibri" w:cs="Calibri"/>
                <w:color w:val="202122"/>
                <w:sz w:val="22"/>
                <w:szCs w:val="22"/>
              </w:rPr>
              <w:t>Graine de millet des oiseaux (</w:t>
            </w:r>
            <w:r w:rsidRPr="00253168">
              <w:rPr>
                <w:rFonts w:ascii="Calibri" w:hAnsi="Calibri" w:cs="Calibri"/>
                <w:i/>
                <w:iCs/>
                <w:color w:val="202122"/>
                <w:sz w:val="22"/>
                <w:szCs w:val="22"/>
              </w:rPr>
              <w:t>Serata italica</w:t>
            </w:r>
            <w:r>
              <w:rPr>
                <w:rFonts w:ascii="Calibri" w:hAnsi="Calibri" w:cs="Calibri"/>
                <w:color w:val="202122"/>
                <w:sz w:val="22"/>
                <w:szCs w:val="22"/>
              </w:rPr>
              <w:t>).</w:t>
            </w:r>
          </w:p>
        </w:tc>
      </w:tr>
    </w:tbl>
    <w:p w14:paraId="42C39E66" w14:textId="7D1BD91D" w:rsidR="00690085" w:rsidRDefault="00690085" w:rsidP="00690085">
      <w:pPr>
        <w:spacing w:after="0" w:line="240" w:lineRule="auto"/>
        <w:jc w:val="both"/>
      </w:pPr>
    </w:p>
    <w:p w14:paraId="5C42202C" w14:textId="77777777" w:rsidR="00690085" w:rsidRDefault="00690085" w:rsidP="00690085">
      <w:pPr>
        <w:pStyle w:val="Titre3"/>
      </w:pPr>
      <w:bookmarkStart w:id="178" w:name="_Toc139181469"/>
      <w:r>
        <w:t>Millet japonais (</w:t>
      </w:r>
      <w:r w:rsidRPr="00690085">
        <w:rPr>
          <w:i/>
          <w:iCs/>
        </w:rPr>
        <w:t>Echinochloa esculenta</w:t>
      </w:r>
      <w:r>
        <w:t xml:space="preserve"> et </w:t>
      </w:r>
      <w:r w:rsidRPr="00690085">
        <w:rPr>
          <w:i/>
          <w:iCs/>
        </w:rPr>
        <w:t>Echinochloa frumentacea</w:t>
      </w:r>
      <w:r>
        <w:t>)</w:t>
      </w:r>
      <w:bookmarkEnd w:id="178"/>
    </w:p>
    <w:p w14:paraId="6FD91C76" w14:textId="4DD38ACF" w:rsidR="00690085" w:rsidRDefault="00690085" w:rsidP="00690085">
      <w:pPr>
        <w:spacing w:after="0" w:line="240" w:lineRule="auto"/>
        <w:jc w:val="both"/>
      </w:pPr>
    </w:p>
    <w:p w14:paraId="478115CB" w14:textId="7EEDACCA" w:rsidR="00712547" w:rsidRDefault="00712547" w:rsidP="00690085">
      <w:pPr>
        <w:spacing w:after="0" w:line="240" w:lineRule="auto"/>
        <w:jc w:val="both"/>
      </w:pPr>
      <w:r>
        <w:t>Deux espèces de « millets japonais » sont cultivées en Asie :</w:t>
      </w:r>
    </w:p>
    <w:p w14:paraId="5A105D5D" w14:textId="0F0F0D77" w:rsidR="0047651B" w:rsidRDefault="0047651B" w:rsidP="00690085">
      <w:pPr>
        <w:spacing w:after="0" w:line="240" w:lineRule="auto"/>
        <w:jc w:val="both"/>
      </w:pPr>
      <w:r w:rsidRPr="0047651B">
        <w:rPr>
          <w:i/>
          <w:iCs/>
        </w:rPr>
        <w:t>Echinochloa esculenta</w:t>
      </w:r>
      <w:r w:rsidRPr="0047651B">
        <w:t>, le millet du Japon, est une plante herbacée, pouvant atteindre 1,5 m de haut, est cultivée notamment au Japon comme céréale pour l'alimentation humaine ou comme plante fourragère pour l'alimentation animale. Elle peut aussi se comporter comme une mauvaise herbe, en particulier dans les rizières.</w:t>
      </w:r>
    </w:p>
    <w:p w14:paraId="4F84587C" w14:textId="053FB295" w:rsidR="0047651B" w:rsidRDefault="0047651B" w:rsidP="0047651B">
      <w:pPr>
        <w:spacing w:after="0" w:line="240" w:lineRule="auto"/>
        <w:jc w:val="both"/>
      </w:pPr>
      <w:r w:rsidRPr="0047651B">
        <w:rPr>
          <w:i/>
          <w:iCs/>
        </w:rPr>
        <w:t>Echinochloa frumentacea</w:t>
      </w:r>
      <w:r>
        <w:t>, panic d'eau, pied-de-coq cultivé ou millet japonais, plante herbacée annuelle d'une hauteur de 50 cm à 1 m, est cultivée comme céréale secondaire dans les pays chauds (Inde, Asie du Sud-Est, etc.). Elle préfère les sols humides et les expositions ensoleillées. De croissance rapide, elle peut donner une récolte en six semaines dans les régions les plus chaudes.</w:t>
      </w:r>
    </w:p>
    <w:p w14:paraId="58D9FE72" w14:textId="68B5E6AE" w:rsidR="00712547" w:rsidRDefault="00690085" w:rsidP="00690085">
      <w:pPr>
        <w:spacing w:after="0" w:line="240" w:lineRule="auto"/>
        <w:jc w:val="both"/>
      </w:pPr>
      <w:r>
        <w:t>C</w:t>
      </w:r>
      <w:r w:rsidR="00712547">
        <w:t>’est une c</w:t>
      </w:r>
      <w:r>
        <w:t xml:space="preserve">ulture importante dans les régions subtropicales de l'Inde. </w:t>
      </w:r>
    </w:p>
    <w:p w14:paraId="143B0062" w14:textId="7F0AB54B" w:rsidR="00690085" w:rsidRDefault="00690085" w:rsidP="00690085">
      <w:pPr>
        <w:spacing w:after="0" w:line="240" w:lineRule="auto"/>
        <w:jc w:val="both"/>
      </w:pPr>
      <w:r>
        <w:t xml:space="preserve">Sources : a) </w:t>
      </w:r>
      <w:hyperlink r:id="rId1845" w:history="1">
        <w:r w:rsidRPr="00224761">
          <w:rPr>
            <w:rStyle w:val="Lienhypertexte"/>
          </w:rPr>
          <w:t>https://fr.wikipedia.org/wiki/Echinochloa_esculenta</w:t>
        </w:r>
      </w:hyperlink>
      <w:r>
        <w:t xml:space="preserve">, </w:t>
      </w:r>
    </w:p>
    <w:p w14:paraId="30652679" w14:textId="5DD01ED0" w:rsidR="00690085" w:rsidRDefault="00690085" w:rsidP="00690085">
      <w:pPr>
        <w:spacing w:after="0" w:line="240" w:lineRule="auto"/>
        <w:jc w:val="both"/>
      </w:pPr>
      <w:r>
        <w:t xml:space="preserve">b) </w:t>
      </w:r>
      <w:hyperlink r:id="rId1846" w:history="1">
        <w:r w:rsidRPr="00224761">
          <w:rPr>
            <w:rStyle w:val="Lienhypertexte"/>
          </w:rPr>
          <w:t>https://fr.wikipedia.org/wiki/Echinochloa_frumentacea</w:t>
        </w:r>
      </w:hyperlink>
    </w:p>
    <w:p w14:paraId="11EB3376" w14:textId="77777777" w:rsidR="00405996" w:rsidRDefault="00405996" w:rsidP="00405996">
      <w:pPr>
        <w:pStyle w:val="NormalWeb"/>
        <w:shd w:val="clear" w:color="auto" w:fill="FFFFFF"/>
        <w:spacing w:before="0" w:beforeAutospacing="0" w:after="0" w:afterAutospacing="0"/>
        <w:jc w:val="both"/>
        <w:rPr>
          <w:rFonts w:ascii="Calibri" w:hAnsi="Calibri" w:cs="Calibri"/>
          <w:sz w:val="22"/>
          <w:szCs w:val="2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16"/>
        <w:gridCol w:w="3453"/>
        <w:gridCol w:w="3457"/>
      </w:tblGrid>
      <w:tr w:rsidR="00712547" w14:paraId="4BF0D81B" w14:textId="77777777" w:rsidTr="00712547">
        <w:tc>
          <w:tcPr>
            <w:tcW w:w="3472" w:type="dxa"/>
          </w:tcPr>
          <w:p w14:paraId="5FC29A9F" w14:textId="77777777" w:rsidR="00405996" w:rsidRDefault="00806B13" w:rsidP="007E58C4">
            <w:pPr>
              <w:pStyle w:val="NormalWeb"/>
              <w:spacing w:before="0" w:beforeAutospacing="0" w:after="0" w:afterAutospacing="0"/>
              <w:jc w:val="center"/>
              <w:rPr>
                <w:rFonts w:ascii="Calibri" w:hAnsi="Calibri" w:cs="Calibri"/>
                <w:color w:val="202122"/>
                <w:sz w:val="22"/>
                <w:szCs w:val="22"/>
              </w:rPr>
            </w:pPr>
            <w:r>
              <w:rPr>
                <w:noProof/>
              </w:rPr>
              <w:drawing>
                <wp:inline distT="0" distB="0" distL="0" distR="0" wp14:anchorId="1895EAE5" wp14:editId="0A7B26AB">
                  <wp:extent cx="2095500" cy="1123950"/>
                  <wp:effectExtent l="0" t="0" r="0" b="0"/>
                  <wp:docPr id="79895" name="Image 79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847">
                            <a:extLst>
                              <a:ext uri="{28A0092B-C50C-407E-A947-70E740481C1C}">
                                <a14:useLocalDpi xmlns:a14="http://schemas.microsoft.com/office/drawing/2010/main" val="0"/>
                              </a:ext>
                            </a:extLst>
                          </a:blip>
                          <a:srcRect/>
                          <a:stretch>
                            <a:fillRect/>
                          </a:stretch>
                        </pic:blipFill>
                        <pic:spPr bwMode="auto">
                          <a:xfrm>
                            <a:off x="0" y="0"/>
                            <a:ext cx="2095500" cy="1123950"/>
                          </a:xfrm>
                          <a:prstGeom prst="rect">
                            <a:avLst/>
                          </a:prstGeom>
                          <a:noFill/>
                          <a:ln>
                            <a:noFill/>
                          </a:ln>
                        </pic:spPr>
                      </pic:pic>
                    </a:graphicData>
                  </a:graphic>
                </wp:inline>
              </w:drawing>
            </w:r>
          </w:p>
          <w:p w14:paraId="0721EE71" w14:textId="638479FA" w:rsidR="00806B13" w:rsidRDefault="00806B13" w:rsidP="007E58C4">
            <w:pPr>
              <w:pStyle w:val="NormalWeb"/>
              <w:spacing w:before="0" w:beforeAutospacing="0" w:after="0" w:afterAutospacing="0"/>
              <w:jc w:val="center"/>
              <w:rPr>
                <w:rFonts w:ascii="Calibri" w:hAnsi="Calibri" w:cs="Calibri"/>
                <w:color w:val="202122"/>
                <w:sz w:val="22"/>
                <w:szCs w:val="22"/>
              </w:rPr>
            </w:pPr>
            <w:r>
              <w:rPr>
                <w:rFonts w:ascii="Calibri" w:hAnsi="Calibri" w:cs="Calibri"/>
                <w:color w:val="202122"/>
                <w:sz w:val="22"/>
                <w:szCs w:val="22"/>
              </w:rPr>
              <w:t>Tête de millet japonais.</w:t>
            </w:r>
          </w:p>
        </w:tc>
        <w:tc>
          <w:tcPr>
            <w:tcW w:w="3472" w:type="dxa"/>
          </w:tcPr>
          <w:p w14:paraId="744C0047" w14:textId="77777777" w:rsidR="00405996" w:rsidRDefault="00806B13" w:rsidP="007E58C4">
            <w:pPr>
              <w:pStyle w:val="NormalWeb"/>
              <w:spacing w:before="0" w:beforeAutospacing="0" w:after="0" w:afterAutospacing="0"/>
              <w:jc w:val="center"/>
              <w:rPr>
                <w:rFonts w:ascii="Calibri" w:hAnsi="Calibri" w:cs="Calibri"/>
                <w:color w:val="202122"/>
                <w:sz w:val="22"/>
                <w:szCs w:val="22"/>
              </w:rPr>
            </w:pPr>
            <w:r>
              <w:rPr>
                <w:noProof/>
              </w:rPr>
              <w:drawing>
                <wp:inline distT="0" distB="0" distL="0" distR="0" wp14:anchorId="2D26D677" wp14:editId="63A2B109">
                  <wp:extent cx="1477151" cy="1971675"/>
                  <wp:effectExtent l="0" t="0" r="8890" b="0"/>
                  <wp:docPr id="79896" name="Image 79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848">
                            <a:extLst>
                              <a:ext uri="{28A0092B-C50C-407E-A947-70E740481C1C}">
                                <a14:useLocalDpi xmlns:a14="http://schemas.microsoft.com/office/drawing/2010/main" val="0"/>
                              </a:ext>
                            </a:extLst>
                          </a:blip>
                          <a:srcRect/>
                          <a:stretch>
                            <a:fillRect/>
                          </a:stretch>
                        </pic:blipFill>
                        <pic:spPr bwMode="auto">
                          <a:xfrm>
                            <a:off x="0" y="0"/>
                            <a:ext cx="1478503" cy="1973480"/>
                          </a:xfrm>
                          <a:prstGeom prst="rect">
                            <a:avLst/>
                          </a:prstGeom>
                          <a:noFill/>
                          <a:ln>
                            <a:noFill/>
                          </a:ln>
                        </pic:spPr>
                      </pic:pic>
                    </a:graphicData>
                  </a:graphic>
                </wp:inline>
              </w:drawing>
            </w:r>
          </w:p>
          <w:p w14:paraId="42147122" w14:textId="77777777" w:rsidR="00806B13" w:rsidRDefault="00806B13" w:rsidP="007E58C4">
            <w:pPr>
              <w:pStyle w:val="NormalWeb"/>
              <w:spacing w:before="0" w:beforeAutospacing="0" w:after="0" w:afterAutospacing="0"/>
              <w:jc w:val="center"/>
              <w:rPr>
                <w:rFonts w:ascii="Calibri" w:hAnsi="Calibri" w:cs="Calibri"/>
                <w:sz w:val="22"/>
                <w:szCs w:val="22"/>
              </w:rPr>
            </w:pPr>
            <w:r w:rsidRPr="00806B13">
              <w:rPr>
                <w:rFonts w:ascii="Calibri" w:hAnsi="Calibri" w:cs="Calibri"/>
                <w:i/>
                <w:iCs/>
                <w:sz w:val="22"/>
                <w:szCs w:val="22"/>
              </w:rPr>
              <w:t>Echinochloa esculenta</w:t>
            </w:r>
          </w:p>
          <w:p w14:paraId="2CA02CAA" w14:textId="77777777" w:rsidR="0034556F" w:rsidRDefault="0034556F" w:rsidP="007E58C4">
            <w:pPr>
              <w:pStyle w:val="NormalWeb"/>
              <w:spacing w:before="0" w:beforeAutospacing="0" w:after="0" w:afterAutospacing="0"/>
              <w:jc w:val="center"/>
              <w:rPr>
                <w:rFonts w:ascii="Calibri" w:hAnsi="Calibri" w:cs="Calibri"/>
                <w:color w:val="202122"/>
                <w:sz w:val="22"/>
                <w:szCs w:val="22"/>
              </w:rPr>
            </w:pPr>
          </w:p>
          <w:p w14:paraId="3BC51DD9" w14:textId="39773104" w:rsidR="0034556F" w:rsidRPr="0034556F" w:rsidRDefault="0034556F" w:rsidP="007E58C4">
            <w:pPr>
              <w:pStyle w:val="NormalWeb"/>
              <w:spacing w:before="0" w:beforeAutospacing="0" w:after="0" w:afterAutospacing="0"/>
              <w:jc w:val="center"/>
              <w:rPr>
                <w:rFonts w:ascii="Calibri" w:hAnsi="Calibri" w:cs="Calibri"/>
                <w:color w:val="202122"/>
                <w:sz w:val="22"/>
                <w:szCs w:val="22"/>
              </w:rPr>
            </w:pPr>
            <w:r w:rsidRPr="0034556F">
              <w:rPr>
                <w:rFonts w:ascii="Calibri" w:hAnsi="Calibri" w:cs="Calibri"/>
                <w:sz w:val="22"/>
                <w:szCs w:val="22"/>
              </w:rPr>
              <w:t>Inflorescence à maturité.</w:t>
            </w:r>
          </w:p>
        </w:tc>
        <w:tc>
          <w:tcPr>
            <w:tcW w:w="3472" w:type="dxa"/>
          </w:tcPr>
          <w:p w14:paraId="3AF2B040" w14:textId="77777777" w:rsidR="00405996" w:rsidRDefault="00712547" w:rsidP="007E58C4">
            <w:pPr>
              <w:pStyle w:val="NormalWeb"/>
              <w:spacing w:before="0" w:beforeAutospacing="0" w:after="0" w:afterAutospacing="0"/>
              <w:jc w:val="center"/>
              <w:rPr>
                <w:rFonts w:ascii="Calibri" w:hAnsi="Calibri" w:cs="Calibri"/>
                <w:color w:val="202122"/>
                <w:sz w:val="22"/>
                <w:szCs w:val="22"/>
              </w:rPr>
            </w:pPr>
            <w:r>
              <w:rPr>
                <w:noProof/>
              </w:rPr>
              <w:drawing>
                <wp:inline distT="0" distB="0" distL="0" distR="0" wp14:anchorId="3CB1307E" wp14:editId="27161D4A">
                  <wp:extent cx="1602865" cy="2409825"/>
                  <wp:effectExtent l="0" t="0" r="0" b="0"/>
                  <wp:docPr id="79897" name="Image 79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849">
                            <a:extLst>
                              <a:ext uri="{28A0092B-C50C-407E-A947-70E740481C1C}">
                                <a14:useLocalDpi xmlns:a14="http://schemas.microsoft.com/office/drawing/2010/main" val="0"/>
                              </a:ext>
                            </a:extLst>
                          </a:blip>
                          <a:srcRect/>
                          <a:stretch>
                            <a:fillRect/>
                          </a:stretch>
                        </pic:blipFill>
                        <pic:spPr bwMode="auto">
                          <a:xfrm>
                            <a:off x="0" y="0"/>
                            <a:ext cx="1609624" cy="2419986"/>
                          </a:xfrm>
                          <a:prstGeom prst="rect">
                            <a:avLst/>
                          </a:prstGeom>
                          <a:noFill/>
                          <a:ln>
                            <a:noFill/>
                          </a:ln>
                        </pic:spPr>
                      </pic:pic>
                    </a:graphicData>
                  </a:graphic>
                </wp:inline>
              </w:drawing>
            </w:r>
          </w:p>
          <w:p w14:paraId="1416DB89" w14:textId="0B605CD2" w:rsidR="00712547" w:rsidRPr="00712547" w:rsidRDefault="00712547" w:rsidP="007E58C4">
            <w:pPr>
              <w:pStyle w:val="NormalWeb"/>
              <w:spacing w:before="0" w:beforeAutospacing="0" w:after="0" w:afterAutospacing="0"/>
              <w:jc w:val="center"/>
              <w:rPr>
                <w:rFonts w:ascii="Calibri" w:hAnsi="Calibri" w:cs="Calibri"/>
                <w:color w:val="202122"/>
                <w:sz w:val="22"/>
                <w:szCs w:val="22"/>
              </w:rPr>
            </w:pPr>
            <w:r w:rsidRPr="00712547">
              <w:rPr>
                <w:rFonts w:ascii="Calibri" w:hAnsi="Calibri" w:cs="Calibri"/>
                <w:i/>
                <w:iCs/>
                <w:sz w:val="22"/>
                <w:szCs w:val="22"/>
              </w:rPr>
              <w:t>Echinochloa frumentacea</w:t>
            </w:r>
          </w:p>
        </w:tc>
      </w:tr>
    </w:tbl>
    <w:p w14:paraId="5FD2174D" w14:textId="68FF8E25" w:rsidR="003E081E" w:rsidRDefault="003E081E" w:rsidP="00690085">
      <w:pPr>
        <w:spacing w:after="0" w:line="240" w:lineRule="auto"/>
        <w:jc w:val="both"/>
      </w:pPr>
    </w:p>
    <w:p w14:paraId="2EFD1AD4" w14:textId="77777777" w:rsidR="003E081E" w:rsidRDefault="003E081E">
      <w:r>
        <w:br w:type="page"/>
      </w:r>
    </w:p>
    <w:p w14:paraId="2E50B369" w14:textId="77777777" w:rsidR="00690085" w:rsidRDefault="00690085" w:rsidP="00690085">
      <w:pPr>
        <w:spacing w:after="0" w:line="240" w:lineRule="auto"/>
        <w:jc w:val="both"/>
      </w:pPr>
    </w:p>
    <w:p w14:paraId="12EB5DD8" w14:textId="77777777" w:rsidR="00690085" w:rsidRDefault="00690085" w:rsidP="00690085">
      <w:pPr>
        <w:pStyle w:val="Titre3"/>
      </w:pPr>
      <w:bookmarkStart w:id="179" w:name="_Toc139181470"/>
      <w:r>
        <w:t>Millet perle, mil à chandelle, mil pénicillaire, petit mil ou mil (</w:t>
      </w:r>
      <w:r w:rsidRPr="00690085">
        <w:rPr>
          <w:i/>
          <w:iCs/>
        </w:rPr>
        <w:t>Pennisetum glaucum</w:t>
      </w:r>
      <w:r>
        <w:t>)</w:t>
      </w:r>
      <w:bookmarkEnd w:id="179"/>
    </w:p>
    <w:p w14:paraId="6A7BD612" w14:textId="77777777" w:rsidR="00690085" w:rsidRDefault="00690085" w:rsidP="00690085">
      <w:pPr>
        <w:spacing w:after="0" w:line="240" w:lineRule="auto"/>
        <w:jc w:val="both"/>
      </w:pPr>
    </w:p>
    <w:p w14:paraId="76653BFC" w14:textId="7DFB3974" w:rsidR="00690085" w:rsidRDefault="00690085" w:rsidP="00690085">
      <w:pPr>
        <w:spacing w:after="0" w:line="240" w:lineRule="auto"/>
        <w:jc w:val="both"/>
      </w:pPr>
      <w:r>
        <w:t>C'est la plus cultivée de toutes les espèces de mil, il représente la moitié de la production mondiale de mil ; parmi celles-ci, c'est celle qui a le potentiel de rendement le plus élevé en conditions de sécheresse. Il croît sur des sols sableux et pauvres, là où on ne pourrait pas cultiver le maïs, le sorgho ni même l'éleusine. Les graines se forment sur un faux épi compact de 10 à 150 cm de long (chandelle). Culture traditionnelle en Afrique, surtout au Sahel, en Asie (Inde, Pakistan). Introduit récemment comme culture céréalière aux États-Unis, où il est utilisé comme fourrage d'été.</w:t>
      </w:r>
    </w:p>
    <w:p w14:paraId="627EDD36" w14:textId="72363B02" w:rsidR="00690085" w:rsidRDefault="00690085" w:rsidP="00690085">
      <w:pPr>
        <w:spacing w:after="0" w:line="240" w:lineRule="auto"/>
        <w:jc w:val="both"/>
      </w:pPr>
      <w:r>
        <w:t>Source</w:t>
      </w:r>
      <w:r w:rsidR="00497409">
        <w:t>s</w:t>
      </w:r>
      <w:r>
        <w:t xml:space="preserve"> :</w:t>
      </w:r>
      <w:r w:rsidR="00497409">
        <w:t xml:space="preserve"> a)</w:t>
      </w:r>
      <w:r>
        <w:t xml:space="preserve"> </w:t>
      </w:r>
      <w:hyperlink r:id="rId1850" w:history="1">
        <w:r w:rsidRPr="00224761">
          <w:rPr>
            <w:rStyle w:val="Lienhypertexte"/>
          </w:rPr>
          <w:t>https://fr.wikipedia.org/wiki/Millet_Perle</w:t>
        </w:r>
      </w:hyperlink>
      <w:r w:rsidR="00497409">
        <w:t xml:space="preserve">, b) </w:t>
      </w:r>
      <w:hyperlink r:id="rId1851" w:history="1">
        <w:r w:rsidR="00497409" w:rsidRPr="00224761">
          <w:rPr>
            <w:rStyle w:val="Lienhypertexte"/>
          </w:rPr>
          <w:t>https://fr.wikipedia.org/wiki/Mil_%C3%A0_chandelle</w:t>
        </w:r>
      </w:hyperlink>
      <w:r w:rsidR="00497409">
        <w:t xml:space="preserve"> </w:t>
      </w:r>
    </w:p>
    <w:p w14:paraId="719F6CA1" w14:textId="77777777" w:rsidR="00405996" w:rsidRDefault="00405996" w:rsidP="00405996">
      <w:pPr>
        <w:pStyle w:val="NormalWeb"/>
        <w:shd w:val="clear" w:color="auto" w:fill="FFFFFF"/>
        <w:spacing w:before="0" w:beforeAutospacing="0" w:after="0" w:afterAutospacing="0"/>
        <w:jc w:val="both"/>
        <w:rPr>
          <w:rFonts w:ascii="Calibri" w:hAnsi="Calibri" w:cs="Calibri"/>
          <w:sz w:val="22"/>
          <w:szCs w:val="2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16"/>
        <w:gridCol w:w="2716"/>
        <w:gridCol w:w="4184"/>
      </w:tblGrid>
      <w:tr w:rsidR="00253168" w14:paraId="2412A2F4" w14:textId="77777777" w:rsidTr="00253168">
        <w:tc>
          <w:tcPr>
            <w:tcW w:w="3516" w:type="dxa"/>
          </w:tcPr>
          <w:p w14:paraId="6C1F9D7D" w14:textId="77777777" w:rsidR="00405996" w:rsidRDefault="00253168" w:rsidP="007E58C4">
            <w:pPr>
              <w:pStyle w:val="NormalWeb"/>
              <w:spacing w:before="0" w:beforeAutospacing="0" w:after="0" w:afterAutospacing="0"/>
              <w:jc w:val="center"/>
              <w:rPr>
                <w:rFonts w:ascii="Calibri" w:hAnsi="Calibri" w:cs="Calibri"/>
                <w:color w:val="202122"/>
                <w:sz w:val="22"/>
                <w:szCs w:val="22"/>
              </w:rPr>
            </w:pPr>
            <w:r>
              <w:rPr>
                <w:noProof/>
              </w:rPr>
              <w:drawing>
                <wp:inline distT="0" distB="0" distL="0" distR="0" wp14:anchorId="43DB7EFF" wp14:editId="46E172ED">
                  <wp:extent cx="2095500" cy="1400175"/>
                  <wp:effectExtent l="0" t="0" r="0" b="9525"/>
                  <wp:docPr id="79888" name="Image 79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852">
                            <a:extLst>
                              <a:ext uri="{28A0092B-C50C-407E-A947-70E740481C1C}">
                                <a14:useLocalDpi xmlns:a14="http://schemas.microsoft.com/office/drawing/2010/main" val="0"/>
                              </a:ext>
                            </a:extLst>
                          </a:blip>
                          <a:srcRect/>
                          <a:stretch>
                            <a:fillRect/>
                          </a:stretch>
                        </pic:blipFill>
                        <pic:spPr bwMode="auto">
                          <a:xfrm>
                            <a:off x="0" y="0"/>
                            <a:ext cx="2095500" cy="1400175"/>
                          </a:xfrm>
                          <a:prstGeom prst="rect">
                            <a:avLst/>
                          </a:prstGeom>
                          <a:noFill/>
                          <a:ln>
                            <a:noFill/>
                          </a:ln>
                        </pic:spPr>
                      </pic:pic>
                    </a:graphicData>
                  </a:graphic>
                </wp:inline>
              </w:drawing>
            </w:r>
          </w:p>
          <w:p w14:paraId="0C17611D" w14:textId="24D786D2" w:rsidR="00253168" w:rsidRDefault="00253168" w:rsidP="007E58C4">
            <w:pPr>
              <w:pStyle w:val="NormalWeb"/>
              <w:spacing w:before="0" w:beforeAutospacing="0" w:after="0" w:afterAutospacing="0"/>
              <w:jc w:val="center"/>
              <w:rPr>
                <w:rFonts w:ascii="Calibri" w:hAnsi="Calibri" w:cs="Calibri"/>
                <w:color w:val="202122"/>
                <w:sz w:val="22"/>
                <w:szCs w:val="22"/>
              </w:rPr>
            </w:pPr>
            <w:r>
              <w:rPr>
                <w:rFonts w:ascii="Calibri" w:hAnsi="Calibri" w:cs="Calibri"/>
                <w:color w:val="202122"/>
                <w:sz w:val="22"/>
                <w:szCs w:val="22"/>
              </w:rPr>
              <w:t>Millet perle (</w:t>
            </w:r>
            <w:r w:rsidRPr="00253168">
              <w:rPr>
                <w:rFonts w:ascii="Calibri" w:hAnsi="Calibri" w:cs="Calibri"/>
                <w:i/>
                <w:iCs/>
                <w:color w:val="202122"/>
                <w:sz w:val="22"/>
                <w:szCs w:val="22"/>
              </w:rPr>
              <w:t>Pennisetum glaucum</w:t>
            </w:r>
            <w:r>
              <w:rPr>
                <w:rFonts w:ascii="Calibri" w:hAnsi="Calibri" w:cs="Calibri"/>
                <w:color w:val="202122"/>
                <w:sz w:val="22"/>
                <w:szCs w:val="22"/>
              </w:rPr>
              <w:t>)</w:t>
            </w:r>
          </w:p>
        </w:tc>
        <w:tc>
          <w:tcPr>
            <w:tcW w:w="2716" w:type="dxa"/>
          </w:tcPr>
          <w:p w14:paraId="77F55C7D" w14:textId="26C08D05" w:rsidR="00405996" w:rsidRDefault="00253168" w:rsidP="007E58C4">
            <w:pPr>
              <w:pStyle w:val="NormalWeb"/>
              <w:spacing w:before="0" w:beforeAutospacing="0" w:after="0" w:afterAutospacing="0"/>
              <w:jc w:val="center"/>
              <w:rPr>
                <w:rFonts w:ascii="Calibri" w:hAnsi="Calibri" w:cs="Calibri"/>
                <w:color w:val="202122"/>
                <w:sz w:val="22"/>
                <w:szCs w:val="22"/>
              </w:rPr>
            </w:pPr>
            <w:r>
              <w:rPr>
                <w:noProof/>
              </w:rPr>
              <w:drawing>
                <wp:inline distT="0" distB="0" distL="0" distR="0" wp14:anchorId="70D2988F" wp14:editId="2015A212">
                  <wp:extent cx="1188048" cy="1895475"/>
                  <wp:effectExtent l="0" t="0" r="0" b="0"/>
                  <wp:docPr id="79889" name="Image 79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853">
                            <a:extLst>
                              <a:ext uri="{28A0092B-C50C-407E-A947-70E740481C1C}">
                                <a14:useLocalDpi xmlns:a14="http://schemas.microsoft.com/office/drawing/2010/main" val="0"/>
                              </a:ext>
                            </a:extLst>
                          </a:blip>
                          <a:srcRect/>
                          <a:stretch>
                            <a:fillRect/>
                          </a:stretch>
                        </pic:blipFill>
                        <pic:spPr bwMode="auto">
                          <a:xfrm>
                            <a:off x="0" y="0"/>
                            <a:ext cx="1198901" cy="1912791"/>
                          </a:xfrm>
                          <a:prstGeom prst="rect">
                            <a:avLst/>
                          </a:prstGeom>
                          <a:noFill/>
                          <a:ln>
                            <a:noFill/>
                          </a:ln>
                        </pic:spPr>
                      </pic:pic>
                    </a:graphicData>
                  </a:graphic>
                </wp:inline>
              </w:drawing>
            </w:r>
          </w:p>
        </w:tc>
        <w:tc>
          <w:tcPr>
            <w:tcW w:w="4184" w:type="dxa"/>
          </w:tcPr>
          <w:p w14:paraId="48B5FDC2" w14:textId="77777777" w:rsidR="00405996" w:rsidRDefault="00253168" w:rsidP="007E58C4">
            <w:pPr>
              <w:pStyle w:val="NormalWeb"/>
              <w:spacing w:before="0" w:beforeAutospacing="0" w:after="0" w:afterAutospacing="0"/>
              <w:jc w:val="center"/>
              <w:rPr>
                <w:rFonts w:ascii="Calibri" w:hAnsi="Calibri" w:cs="Calibri"/>
                <w:color w:val="202122"/>
                <w:sz w:val="22"/>
                <w:szCs w:val="22"/>
              </w:rPr>
            </w:pPr>
            <w:r>
              <w:rPr>
                <w:noProof/>
              </w:rPr>
              <w:drawing>
                <wp:inline distT="0" distB="0" distL="0" distR="0" wp14:anchorId="58EE777A" wp14:editId="18279E56">
                  <wp:extent cx="2268087" cy="1704975"/>
                  <wp:effectExtent l="0" t="0" r="0" b="0"/>
                  <wp:docPr id="79890" name="Image 79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854">
                            <a:extLst>
                              <a:ext uri="{28A0092B-C50C-407E-A947-70E740481C1C}">
                                <a14:useLocalDpi xmlns:a14="http://schemas.microsoft.com/office/drawing/2010/main" val="0"/>
                              </a:ext>
                            </a:extLst>
                          </a:blip>
                          <a:srcRect/>
                          <a:stretch>
                            <a:fillRect/>
                          </a:stretch>
                        </pic:blipFill>
                        <pic:spPr bwMode="auto">
                          <a:xfrm>
                            <a:off x="0" y="0"/>
                            <a:ext cx="2275297" cy="1710395"/>
                          </a:xfrm>
                          <a:prstGeom prst="rect">
                            <a:avLst/>
                          </a:prstGeom>
                          <a:noFill/>
                          <a:ln>
                            <a:noFill/>
                          </a:ln>
                        </pic:spPr>
                      </pic:pic>
                    </a:graphicData>
                  </a:graphic>
                </wp:inline>
              </w:drawing>
            </w:r>
          </w:p>
          <w:p w14:paraId="1AEA2824" w14:textId="41EAA176" w:rsidR="00253168" w:rsidRDefault="00253168" w:rsidP="007E58C4">
            <w:pPr>
              <w:pStyle w:val="NormalWeb"/>
              <w:spacing w:before="0" w:beforeAutospacing="0" w:after="0" w:afterAutospacing="0"/>
              <w:jc w:val="center"/>
              <w:rPr>
                <w:rFonts w:ascii="Calibri" w:hAnsi="Calibri" w:cs="Calibri"/>
                <w:color w:val="202122"/>
                <w:sz w:val="22"/>
                <w:szCs w:val="22"/>
              </w:rPr>
            </w:pPr>
            <w:r>
              <w:rPr>
                <w:rFonts w:ascii="Calibri" w:hAnsi="Calibri" w:cs="Calibri"/>
                <w:color w:val="202122"/>
                <w:sz w:val="22"/>
                <w:szCs w:val="22"/>
              </w:rPr>
              <w:t>Mil à chandelle ou mil (</w:t>
            </w:r>
            <w:r w:rsidRPr="00253168">
              <w:rPr>
                <w:rFonts w:ascii="Calibri" w:hAnsi="Calibri" w:cs="Calibri"/>
                <w:i/>
                <w:iCs/>
                <w:color w:val="202122"/>
                <w:sz w:val="22"/>
                <w:szCs w:val="22"/>
              </w:rPr>
              <w:t>Pennisetum glaucum</w:t>
            </w:r>
            <w:r>
              <w:rPr>
                <w:rFonts w:ascii="Calibri" w:hAnsi="Calibri" w:cs="Calibri"/>
                <w:color w:val="202122"/>
                <w:sz w:val="22"/>
                <w:szCs w:val="22"/>
              </w:rPr>
              <w:t>)</w:t>
            </w:r>
          </w:p>
        </w:tc>
      </w:tr>
    </w:tbl>
    <w:p w14:paraId="641544EB" w14:textId="2B712BC5" w:rsidR="00690085" w:rsidRDefault="00690085" w:rsidP="00690085">
      <w:pPr>
        <w:spacing w:after="0" w:line="240" w:lineRule="auto"/>
        <w:jc w:val="both"/>
      </w:pPr>
    </w:p>
    <w:p w14:paraId="61CC92F2" w14:textId="77777777" w:rsidR="00690085" w:rsidRDefault="00690085" w:rsidP="00690085">
      <w:pPr>
        <w:pStyle w:val="Titre3"/>
      </w:pPr>
      <w:bookmarkStart w:id="180" w:name="_Toc139181471"/>
      <w:r>
        <w:t>Teff (</w:t>
      </w:r>
      <w:r w:rsidRPr="00690085">
        <w:rPr>
          <w:i/>
          <w:iCs/>
        </w:rPr>
        <w:t>Eragrostis tef</w:t>
      </w:r>
      <w:r>
        <w:t>)</w:t>
      </w:r>
      <w:bookmarkEnd w:id="180"/>
    </w:p>
    <w:p w14:paraId="002E4A13" w14:textId="77777777" w:rsidR="00690085" w:rsidRDefault="00690085" w:rsidP="00690085">
      <w:pPr>
        <w:spacing w:after="0" w:line="240" w:lineRule="auto"/>
        <w:jc w:val="both"/>
      </w:pPr>
    </w:p>
    <w:p w14:paraId="2FA8F005" w14:textId="4BF31BA0" w:rsidR="00690085" w:rsidRDefault="00690085" w:rsidP="00690085">
      <w:pPr>
        <w:spacing w:after="0" w:line="240" w:lineRule="auto"/>
        <w:jc w:val="both"/>
      </w:pPr>
      <w:r>
        <w:t xml:space="preserve">Céréale à graines très petites, cultivée dans les régions montagneuses de l'Éthiopie, où sa production dépasse celle de la plupart des autres céréales. Tolère les sols lourds, mal drainés. Source : </w:t>
      </w:r>
      <w:hyperlink r:id="rId1855" w:history="1">
        <w:r w:rsidRPr="00224761">
          <w:rPr>
            <w:rStyle w:val="Lienhypertexte"/>
          </w:rPr>
          <w:t>https://fr.wikipedia.org/wiki/Teff</w:t>
        </w:r>
      </w:hyperlink>
    </w:p>
    <w:p w14:paraId="7A02351E" w14:textId="77777777" w:rsidR="00405996" w:rsidRDefault="00405996" w:rsidP="00405996">
      <w:pPr>
        <w:pStyle w:val="NormalWeb"/>
        <w:shd w:val="clear" w:color="auto" w:fill="FFFFFF"/>
        <w:spacing w:before="0" w:beforeAutospacing="0" w:after="0" w:afterAutospacing="0"/>
        <w:jc w:val="both"/>
        <w:rPr>
          <w:rFonts w:ascii="Calibri" w:hAnsi="Calibri" w:cs="Calibri"/>
          <w:sz w:val="22"/>
          <w:szCs w:val="2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405996" w14:paraId="1A15A75D" w14:textId="77777777" w:rsidTr="008404CF">
        <w:tc>
          <w:tcPr>
            <w:tcW w:w="3472" w:type="dxa"/>
          </w:tcPr>
          <w:p w14:paraId="41BCAEDE" w14:textId="7C9C7B53" w:rsidR="00405996" w:rsidRDefault="008404CF" w:rsidP="007E58C4">
            <w:pPr>
              <w:pStyle w:val="NormalWeb"/>
              <w:spacing w:before="0" w:beforeAutospacing="0" w:after="0" w:afterAutospacing="0"/>
              <w:jc w:val="center"/>
              <w:rPr>
                <w:rFonts w:ascii="Calibri" w:hAnsi="Calibri" w:cs="Calibri"/>
                <w:color w:val="202122"/>
                <w:sz w:val="22"/>
                <w:szCs w:val="22"/>
              </w:rPr>
            </w:pPr>
            <w:r>
              <w:rPr>
                <w:noProof/>
              </w:rPr>
              <w:drawing>
                <wp:inline distT="0" distB="0" distL="0" distR="0" wp14:anchorId="7B7ADAE8" wp14:editId="0194F08C">
                  <wp:extent cx="1304384" cy="981075"/>
                  <wp:effectExtent l="0" t="0" r="0" b="0"/>
                  <wp:docPr id="79898" name="Image 79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856">
                            <a:extLst>
                              <a:ext uri="{28A0092B-C50C-407E-A947-70E740481C1C}">
                                <a14:useLocalDpi xmlns:a14="http://schemas.microsoft.com/office/drawing/2010/main" val="0"/>
                              </a:ext>
                            </a:extLst>
                          </a:blip>
                          <a:srcRect/>
                          <a:stretch>
                            <a:fillRect/>
                          </a:stretch>
                        </pic:blipFill>
                        <pic:spPr bwMode="auto">
                          <a:xfrm>
                            <a:off x="0" y="0"/>
                            <a:ext cx="1306415" cy="982603"/>
                          </a:xfrm>
                          <a:prstGeom prst="rect">
                            <a:avLst/>
                          </a:prstGeom>
                          <a:noFill/>
                          <a:ln>
                            <a:noFill/>
                          </a:ln>
                        </pic:spPr>
                      </pic:pic>
                    </a:graphicData>
                  </a:graphic>
                </wp:inline>
              </w:drawing>
            </w:r>
          </w:p>
        </w:tc>
        <w:tc>
          <w:tcPr>
            <w:tcW w:w="3472" w:type="dxa"/>
          </w:tcPr>
          <w:p w14:paraId="03C3FD61" w14:textId="77777777" w:rsidR="00405996" w:rsidRDefault="008404CF" w:rsidP="007E58C4">
            <w:pPr>
              <w:pStyle w:val="NormalWeb"/>
              <w:spacing w:before="0" w:beforeAutospacing="0" w:after="0" w:afterAutospacing="0"/>
              <w:jc w:val="center"/>
              <w:rPr>
                <w:rFonts w:ascii="Calibri" w:hAnsi="Calibri" w:cs="Calibri"/>
                <w:color w:val="202122"/>
                <w:sz w:val="22"/>
                <w:szCs w:val="22"/>
              </w:rPr>
            </w:pPr>
            <w:r>
              <w:rPr>
                <w:noProof/>
              </w:rPr>
              <w:drawing>
                <wp:inline distT="0" distB="0" distL="0" distR="0" wp14:anchorId="25684BA2" wp14:editId="4F0BEC37">
                  <wp:extent cx="1238250" cy="844261"/>
                  <wp:effectExtent l="0" t="0" r="0" b="0"/>
                  <wp:docPr id="79899" name="Image 79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857">
                            <a:extLst>
                              <a:ext uri="{28A0092B-C50C-407E-A947-70E740481C1C}">
                                <a14:useLocalDpi xmlns:a14="http://schemas.microsoft.com/office/drawing/2010/main" val="0"/>
                              </a:ext>
                            </a:extLst>
                          </a:blip>
                          <a:srcRect/>
                          <a:stretch>
                            <a:fillRect/>
                          </a:stretch>
                        </pic:blipFill>
                        <pic:spPr bwMode="auto">
                          <a:xfrm>
                            <a:off x="0" y="0"/>
                            <a:ext cx="1242342" cy="847051"/>
                          </a:xfrm>
                          <a:prstGeom prst="rect">
                            <a:avLst/>
                          </a:prstGeom>
                          <a:noFill/>
                          <a:ln>
                            <a:noFill/>
                          </a:ln>
                        </pic:spPr>
                      </pic:pic>
                    </a:graphicData>
                  </a:graphic>
                </wp:inline>
              </w:drawing>
            </w:r>
          </w:p>
          <w:p w14:paraId="7E8D54EF" w14:textId="4DAE2F66" w:rsidR="008404CF" w:rsidRDefault="008404CF" w:rsidP="007E58C4">
            <w:pPr>
              <w:pStyle w:val="NormalWeb"/>
              <w:spacing w:before="0" w:beforeAutospacing="0" w:after="0" w:afterAutospacing="0"/>
              <w:jc w:val="center"/>
              <w:rPr>
                <w:rFonts w:ascii="Calibri" w:hAnsi="Calibri" w:cs="Calibri"/>
                <w:color w:val="202122"/>
                <w:sz w:val="22"/>
                <w:szCs w:val="22"/>
              </w:rPr>
            </w:pPr>
            <w:r w:rsidRPr="008404CF">
              <w:rPr>
                <w:rFonts w:ascii="Calibri" w:hAnsi="Calibri" w:cs="Calibri"/>
                <w:color w:val="202122"/>
                <w:sz w:val="22"/>
                <w:szCs w:val="22"/>
              </w:rPr>
              <w:t>Champ de teff en Éthiopie</w:t>
            </w:r>
            <w:r>
              <w:rPr>
                <w:rFonts w:ascii="Calibri" w:hAnsi="Calibri" w:cs="Calibri"/>
                <w:color w:val="202122"/>
                <w:sz w:val="22"/>
                <w:szCs w:val="22"/>
              </w:rPr>
              <w:t>.</w:t>
            </w:r>
          </w:p>
        </w:tc>
        <w:tc>
          <w:tcPr>
            <w:tcW w:w="3472" w:type="dxa"/>
          </w:tcPr>
          <w:p w14:paraId="0F00504F" w14:textId="77777777" w:rsidR="00405996" w:rsidRDefault="00405996" w:rsidP="007E58C4">
            <w:pPr>
              <w:pStyle w:val="NormalWeb"/>
              <w:spacing w:before="0" w:beforeAutospacing="0" w:after="0" w:afterAutospacing="0"/>
              <w:jc w:val="center"/>
              <w:rPr>
                <w:rFonts w:ascii="Calibri" w:hAnsi="Calibri" w:cs="Calibri"/>
                <w:color w:val="202122"/>
                <w:sz w:val="22"/>
                <w:szCs w:val="22"/>
              </w:rPr>
            </w:pPr>
          </w:p>
        </w:tc>
      </w:tr>
    </w:tbl>
    <w:p w14:paraId="567EB608" w14:textId="000F59FE" w:rsidR="00690085" w:rsidRDefault="00690085" w:rsidP="00690085">
      <w:pPr>
        <w:spacing w:after="0" w:line="240" w:lineRule="auto"/>
        <w:jc w:val="both"/>
      </w:pPr>
    </w:p>
    <w:p w14:paraId="30229C83" w14:textId="77777777" w:rsidR="006E770D" w:rsidRDefault="006E770D" w:rsidP="006E770D">
      <w:pPr>
        <w:pStyle w:val="Titre3"/>
      </w:pPr>
      <w:bookmarkStart w:id="181" w:name="_Toc139181472"/>
      <w:r>
        <w:t>Coix ou larme de Job (</w:t>
      </w:r>
      <w:r w:rsidRPr="006E770D">
        <w:rPr>
          <w:i/>
          <w:iCs/>
        </w:rPr>
        <w:t>Coix lachryma-jobi</w:t>
      </w:r>
      <w:r>
        <w:t>)</w:t>
      </w:r>
      <w:bookmarkEnd w:id="181"/>
    </w:p>
    <w:p w14:paraId="3ADB0FFA" w14:textId="77777777" w:rsidR="006E770D" w:rsidRDefault="006E770D" w:rsidP="006E770D">
      <w:pPr>
        <w:spacing w:after="0" w:line="240" w:lineRule="auto"/>
        <w:jc w:val="both"/>
      </w:pPr>
    </w:p>
    <w:p w14:paraId="0100C11E" w14:textId="77777777" w:rsidR="006E770D" w:rsidRDefault="006E770D" w:rsidP="006E770D">
      <w:pPr>
        <w:spacing w:after="0" w:line="240" w:lineRule="auto"/>
        <w:jc w:val="both"/>
      </w:pPr>
      <w:r>
        <w:t>C'est une céréale très secondaire, surtout cultivée dans le sud-est asiatique.</w:t>
      </w:r>
    </w:p>
    <w:p w14:paraId="67FC1EBE" w14:textId="0DE6EAA3" w:rsidR="006E770D" w:rsidRDefault="006E770D" w:rsidP="006E770D">
      <w:pPr>
        <w:spacing w:after="0" w:line="240" w:lineRule="auto"/>
        <w:jc w:val="both"/>
      </w:pPr>
      <w:r>
        <w:t xml:space="preserve">Source : </w:t>
      </w:r>
      <w:hyperlink r:id="rId1858" w:history="1">
        <w:r w:rsidRPr="00224761">
          <w:rPr>
            <w:rStyle w:val="Lienhypertexte"/>
          </w:rPr>
          <w:t>https://fr.wikipedia.org/wiki/Coix</w:t>
        </w:r>
      </w:hyperlink>
    </w:p>
    <w:p w14:paraId="4BC26B42" w14:textId="77777777" w:rsidR="00405996" w:rsidRDefault="00405996" w:rsidP="00405996">
      <w:pPr>
        <w:pStyle w:val="NormalWeb"/>
        <w:shd w:val="clear" w:color="auto" w:fill="FFFFFF"/>
        <w:spacing w:before="0" w:beforeAutospacing="0" w:after="0" w:afterAutospacing="0"/>
        <w:jc w:val="both"/>
        <w:rPr>
          <w:rFonts w:ascii="Calibri" w:hAnsi="Calibri" w:cs="Calibri"/>
          <w:sz w:val="22"/>
          <w:szCs w:val="2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34556F" w14:paraId="5E78BC32" w14:textId="77777777" w:rsidTr="0034556F">
        <w:tc>
          <w:tcPr>
            <w:tcW w:w="3472" w:type="dxa"/>
          </w:tcPr>
          <w:p w14:paraId="43DE7207" w14:textId="77777777" w:rsidR="00405996" w:rsidRDefault="0034556F" w:rsidP="007E58C4">
            <w:pPr>
              <w:pStyle w:val="NormalWeb"/>
              <w:spacing w:before="0" w:beforeAutospacing="0" w:after="0" w:afterAutospacing="0"/>
              <w:jc w:val="center"/>
              <w:rPr>
                <w:rFonts w:ascii="Calibri" w:hAnsi="Calibri" w:cs="Calibri"/>
                <w:color w:val="202122"/>
                <w:sz w:val="22"/>
                <w:szCs w:val="22"/>
              </w:rPr>
            </w:pPr>
            <w:r>
              <w:rPr>
                <w:noProof/>
              </w:rPr>
              <w:drawing>
                <wp:inline distT="0" distB="0" distL="0" distR="0" wp14:anchorId="510C435C" wp14:editId="0462619C">
                  <wp:extent cx="1818640" cy="1363980"/>
                  <wp:effectExtent l="0" t="0" r="0" b="7620"/>
                  <wp:docPr id="79900" name="Image 79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859">
                            <a:extLst>
                              <a:ext uri="{28A0092B-C50C-407E-A947-70E740481C1C}">
                                <a14:useLocalDpi xmlns:a14="http://schemas.microsoft.com/office/drawing/2010/main" val="0"/>
                              </a:ext>
                            </a:extLst>
                          </a:blip>
                          <a:srcRect/>
                          <a:stretch>
                            <a:fillRect/>
                          </a:stretch>
                        </pic:blipFill>
                        <pic:spPr bwMode="auto">
                          <a:xfrm>
                            <a:off x="0" y="0"/>
                            <a:ext cx="1827739" cy="1370804"/>
                          </a:xfrm>
                          <a:prstGeom prst="rect">
                            <a:avLst/>
                          </a:prstGeom>
                          <a:noFill/>
                          <a:ln>
                            <a:noFill/>
                          </a:ln>
                        </pic:spPr>
                      </pic:pic>
                    </a:graphicData>
                  </a:graphic>
                </wp:inline>
              </w:drawing>
            </w:r>
          </w:p>
          <w:p w14:paraId="7C999FF6" w14:textId="557DD31A" w:rsidR="0034556F" w:rsidRDefault="0034556F" w:rsidP="007E58C4">
            <w:pPr>
              <w:pStyle w:val="NormalWeb"/>
              <w:spacing w:before="0" w:beforeAutospacing="0" w:after="0" w:afterAutospacing="0"/>
              <w:jc w:val="center"/>
              <w:rPr>
                <w:rFonts w:ascii="Calibri" w:hAnsi="Calibri" w:cs="Calibri"/>
                <w:color w:val="202122"/>
                <w:sz w:val="22"/>
                <w:szCs w:val="22"/>
              </w:rPr>
            </w:pPr>
            <w:r w:rsidRPr="0034556F">
              <w:rPr>
                <w:rFonts w:ascii="Calibri" w:hAnsi="Calibri" w:cs="Calibri"/>
                <w:color w:val="202122"/>
                <w:sz w:val="22"/>
                <w:szCs w:val="22"/>
              </w:rPr>
              <w:t>Inflorescence (</w:t>
            </w:r>
            <w:r w:rsidRPr="0034556F">
              <w:rPr>
                <w:rFonts w:ascii="Calibri" w:hAnsi="Calibri" w:cs="Calibri"/>
                <w:i/>
                <w:iCs/>
                <w:color w:val="202122"/>
                <w:sz w:val="22"/>
                <w:szCs w:val="22"/>
              </w:rPr>
              <w:t>Coix lachryma-jobi</w:t>
            </w:r>
            <w:r w:rsidRPr="0034556F">
              <w:rPr>
                <w:rFonts w:ascii="Calibri" w:hAnsi="Calibri" w:cs="Calibri"/>
                <w:color w:val="202122"/>
                <w:sz w:val="22"/>
                <w:szCs w:val="22"/>
              </w:rPr>
              <w:t>)</w:t>
            </w:r>
          </w:p>
        </w:tc>
        <w:tc>
          <w:tcPr>
            <w:tcW w:w="3472" w:type="dxa"/>
          </w:tcPr>
          <w:p w14:paraId="09C48EFE" w14:textId="77777777" w:rsidR="00405996" w:rsidRDefault="0034556F" w:rsidP="007E58C4">
            <w:pPr>
              <w:pStyle w:val="NormalWeb"/>
              <w:spacing w:before="0" w:beforeAutospacing="0" w:after="0" w:afterAutospacing="0"/>
              <w:jc w:val="center"/>
              <w:rPr>
                <w:rFonts w:ascii="Calibri" w:hAnsi="Calibri" w:cs="Calibri"/>
                <w:color w:val="202122"/>
                <w:sz w:val="22"/>
                <w:szCs w:val="22"/>
              </w:rPr>
            </w:pPr>
            <w:r>
              <w:rPr>
                <w:noProof/>
              </w:rPr>
              <w:drawing>
                <wp:inline distT="0" distB="0" distL="0" distR="0" wp14:anchorId="43127959" wp14:editId="73C22CA1">
                  <wp:extent cx="1495425" cy="1495425"/>
                  <wp:effectExtent l="0" t="0" r="9525" b="9525"/>
                  <wp:docPr id="79901" name="Image 79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860">
                            <a:extLst>
                              <a:ext uri="{28A0092B-C50C-407E-A947-70E740481C1C}">
                                <a14:useLocalDpi xmlns:a14="http://schemas.microsoft.com/office/drawing/2010/main" val="0"/>
                              </a:ext>
                            </a:extLst>
                          </a:blip>
                          <a:srcRect/>
                          <a:stretch>
                            <a:fillRect/>
                          </a:stretch>
                        </pic:blipFill>
                        <pic:spPr bwMode="auto">
                          <a:xfrm>
                            <a:off x="0" y="0"/>
                            <a:ext cx="1495425" cy="1495425"/>
                          </a:xfrm>
                          <a:prstGeom prst="rect">
                            <a:avLst/>
                          </a:prstGeom>
                          <a:noFill/>
                          <a:ln>
                            <a:noFill/>
                          </a:ln>
                        </pic:spPr>
                      </pic:pic>
                    </a:graphicData>
                  </a:graphic>
                </wp:inline>
              </w:drawing>
            </w:r>
          </w:p>
          <w:p w14:paraId="2C9A8A2B" w14:textId="76E9AC9F" w:rsidR="0034556F" w:rsidRDefault="0034556F" w:rsidP="007E58C4">
            <w:pPr>
              <w:pStyle w:val="NormalWeb"/>
              <w:spacing w:before="0" w:beforeAutospacing="0" w:after="0" w:afterAutospacing="0"/>
              <w:jc w:val="center"/>
              <w:rPr>
                <w:rFonts w:ascii="Calibri" w:hAnsi="Calibri" w:cs="Calibri"/>
                <w:color w:val="202122"/>
                <w:sz w:val="22"/>
                <w:szCs w:val="22"/>
              </w:rPr>
            </w:pPr>
            <w:r>
              <w:rPr>
                <w:rFonts w:ascii="Calibri" w:hAnsi="Calibri" w:cs="Calibri"/>
                <w:color w:val="202122"/>
                <w:sz w:val="22"/>
                <w:szCs w:val="22"/>
              </w:rPr>
              <w:t>Port de la plante.</w:t>
            </w:r>
            <w:r w:rsidR="004E7788">
              <w:rPr>
                <w:rFonts w:ascii="Calibri" w:hAnsi="Calibri" w:cs="Calibri"/>
                <w:color w:val="202122"/>
                <w:sz w:val="22"/>
                <w:szCs w:val="22"/>
              </w:rPr>
              <w:t xml:space="preserve"> Feuillage.</w:t>
            </w:r>
          </w:p>
        </w:tc>
        <w:tc>
          <w:tcPr>
            <w:tcW w:w="3472" w:type="dxa"/>
          </w:tcPr>
          <w:p w14:paraId="08A2666F" w14:textId="77777777" w:rsidR="00405996" w:rsidRDefault="0034556F" w:rsidP="007E58C4">
            <w:pPr>
              <w:pStyle w:val="NormalWeb"/>
              <w:spacing w:before="0" w:beforeAutospacing="0" w:after="0" w:afterAutospacing="0"/>
              <w:jc w:val="center"/>
              <w:rPr>
                <w:rFonts w:ascii="Calibri" w:hAnsi="Calibri" w:cs="Calibri"/>
                <w:color w:val="202122"/>
                <w:sz w:val="22"/>
                <w:szCs w:val="22"/>
              </w:rPr>
            </w:pPr>
            <w:r>
              <w:rPr>
                <w:noProof/>
              </w:rPr>
              <w:drawing>
                <wp:inline distT="0" distB="0" distL="0" distR="0" wp14:anchorId="774A8E40" wp14:editId="5AACC74C">
                  <wp:extent cx="1955800" cy="1466850"/>
                  <wp:effectExtent l="0" t="0" r="6350" b="0"/>
                  <wp:docPr id="79902" name="Image 79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861">
                            <a:extLst>
                              <a:ext uri="{28A0092B-C50C-407E-A947-70E740481C1C}">
                                <a14:useLocalDpi xmlns:a14="http://schemas.microsoft.com/office/drawing/2010/main" val="0"/>
                              </a:ext>
                            </a:extLst>
                          </a:blip>
                          <a:srcRect/>
                          <a:stretch>
                            <a:fillRect/>
                          </a:stretch>
                        </pic:blipFill>
                        <pic:spPr bwMode="auto">
                          <a:xfrm>
                            <a:off x="0" y="0"/>
                            <a:ext cx="1955800" cy="1466850"/>
                          </a:xfrm>
                          <a:prstGeom prst="rect">
                            <a:avLst/>
                          </a:prstGeom>
                          <a:noFill/>
                          <a:ln>
                            <a:noFill/>
                          </a:ln>
                        </pic:spPr>
                      </pic:pic>
                    </a:graphicData>
                  </a:graphic>
                </wp:inline>
              </w:drawing>
            </w:r>
          </w:p>
          <w:p w14:paraId="3FB35961" w14:textId="29DD9D4B" w:rsidR="0034556F" w:rsidRDefault="0034556F" w:rsidP="007E58C4">
            <w:pPr>
              <w:pStyle w:val="NormalWeb"/>
              <w:spacing w:before="0" w:beforeAutospacing="0" w:after="0" w:afterAutospacing="0"/>
              <w:jc w:val="center"/>
              <w:rPr>
                <w:rFonts w:ascii="Calibri" w:hAnsi="Calibri" w:cs="Calibri"/>
                <w:color w:val="202122"/>
                <w:sz w:val="22"/>
                <w:szCs w:val="22"/>
              </w:rPr>
            </w:pPr>
            <w:r>
              <w:rPr>
                <w:rFonts w:ascii="Calibri" w:hAnsi="Calibri" w:cs="Calibri"/>
                <w:color w:val="202122"/>
                <w:sz w:val="22"/>
                <w:szCs w:val="22"/>
              </w:rPr>
              <w:t>Graines</w:t>
            </w:r>
          </w:p>
        </w:tc>
      </w:tr>
    </w:tbl>
    <w:p w14:paraId="43E9A602" w14:textId="759262F4" w:rsidR="006E770D" w:rsidRDefault="006E770D" w:rsidP="006E770D">
      <w:pPr>
        <w:spacing w:after="0" w:line="240" w:lineRule="auto"/>
        <w:jc w:val="both"/>
      </w:pPr>
    </w:p>
    <w:p w14:paraId="24B73948" w14:textId="77777777" w:rsidR="006E770D" w:rsidRDefault="006E770D" w:rsidP="006E770D">
      <w:pPr>
        <w:pStyle w:val="Titre3"/>
      </w:pPr>
      <w:bookmarkStart w:id="182" w:name="_Toc139181473"/>
      <w:r>
        <w:t>Herbe à épée (</w:t>
      </w:r>
      <w:r w:rsidRPr="006E770D">
        <w:rPr>
          <w:i/>
          <w:iCs/>
        </w:rPr>
        <w:t>Paspalum scrobiculatum</w:t>
      </w:r>
      <w:r>
        <w:t>)</w:t>
      </w:r>
      <w:bookmarkEnd w:id="182"/>
    </w:p>
    <w:p w14:paraId="241D50AE" w14:textId="77777777" w:rsidR="006E770D" w:rsidRDefault="006E770D" w:rsidP="006E770D">
      <w:pPr>
        <w:spacing w:after="0" w:line="240" w:lineRule="auto"/>
        <w:jc w:val="both"/>
      </w:pPr>
    </w:p>
    <w:p w14:paraId="585D6A13" w14:textId="77777777" w:rsidR="006E770D" w:rsidRDefault="006E770D" w:rsidP="006E770D">
      <w:pPr>
        <w:spacing w:after="0" w:line="240" w:lineRule="auto"/>
        <w:jc w:val="both"/>
      </w:pPr>
      <w:r>
        <w:t xml:space="preserve">C'est une céréale spontanée en Afrique occidentale et en Inde, abondante le long des chemins, dans les fossés et les dépressions. En Inde, cette espèce a été domestiquée il y a environ 3000 ans. </w:t>
      </w:r>
    </w:p>
    <w:p w14:paraId="0BEB2EBE" w14:textId="67B746BC" w:rsidR="006E770D" w:rsidRDefault="006E770D" w:rsidP="006E770D">
      <w:pPr>
        <w:spacing w:after="0" w:line="240" w:lineRule="auto"/>
        <w:jc w:val="both"/>
      </w:pPr>
      <w:r>
        <w:t xml:space="preserve">Source : </w:t>
      </w:r>
      <w:hyperlink r:id="rId1862" w:history="1">
        <w:r w:rsidRPr="00224761">
          <w:rPr>
            <w:rStyle w:val="Lienhypertexte"/>
          </w:rPr>
          <w:t>https://fr.wikipedia.org/wiki/Herbe_%C3%A0_%C3%A9p%C3%A9e</w:t>
        </w:r>
      </w:hyperlink>
      <w:r>
        <w:t xml:space="preserve"> </w:t>
      </w:r>
    </w:p>
    <w:p w14:paraId="58D8C1D3" w14:textId="77777777" w:rsidR="00405996" w:rsidRDefault="00405996" w:rsidP="00405996">
      <w:pPr>
        <w:pStyle w:val="NormalWeb"/>
        <w:shd w:val="clear" w:color="auto" w:fill="FFFFFF"/>
        <w:spacing w:before="0" w:beforeAutospacing="0" w:after="0" w:afterAutospacing="0"/>
        <w:jc w:val="both"/>
        <w:rPr>
          <w:rFonts w:ascii="Calibri" w:hAnsi="Calibri" w:cs="Calibri"/>
          <w:sz w:val="22"/>
          <w:szCs w:val="2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405996" w14:paraId="39DD6F60" w14:textId="77777777" w:rsidTr="00D6293B">
        <w:tc>
          <w:tcPr>
            <w:tcW w:w="3472" w:type="dxa"/>
          </w:tcPr>
          <w:p w14:paraId="1D90E7CB" w14:textId="77777777" w:rsidR="00405996" w:rsidRDefault="00D6293B" w:rsidP="007E58C4">
            <w:pPr>
              <w:pStyle w:val="NormalWeb"/>
              <w:spacing w:before="0" w:beforeAutospacing="0" w:after="0" w:afterAutospacing="0"/>
              <w:jc w:val="center"/>
              <w:rPr>
                <w:rFonts w:ascii="Calibri" w:hAnsi="Calibri" w:cs="Calibri"/>
                <w:color w:val="202122"/>
                <w:sz w:val="22"/>
                <w:szCs w:val="22"/>
              </w:rPr>
            </w:pPr>
            <w:r>
              <w:rPr>
                <w:noProof/>
              </w:rPr>
              <w:drawing>
                <wp:inline distT="0" distB="0" distL="0" distR="0" wp14:anchorId="3A560C28" wp14:editId="51763964">
                  <wp:extent cx="1866900" cy="1403394"/>
                  <wp:effectExtent l="0" t="0" r="0" b="6350"/>
                  <wp:docPr id="79903" name="Image 79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863">
                            <a:extLst>
                              <a:ext uri="{28A0092B-C50C-407E-A947-70E740481C1C}">
                                <a14:useLocalDpi xmlns:a14="http://schemas.microsoft.com/office/drawing/2010/main" val="0"/>
                              </a:ext>
                            </a:extLst>
                          </a:blip>
                          <a:srcRect/>
                          <a:stretch>
                            <a:fillRect/>
                          </a:stretch>
                        </pic:blipFill>
                        <pic:spPr bwMode="auto">
                          <a:xfrm>
                            <a:off x="0" y="0"/>
                            <a:ext cx="1871835" cy="1407104"/>
                          </a:xfrm>
                          <a:prstGeom prst="rect">
                            <a:avLst/>
                          </a:prstGeom>
                          <a:noFill/>
                          <a:ln>
                            <a:noFill/>
                          </a:ln>
                        </pic:spPr>
                      </pic:pic>
                    </a:graphicData>
                  </a:graphic>
                </wp:inline>
              </w:drawing>
            </w:r>
          </w:p>
          <w:p w14:paraId="0E909891" w14:textId="2C566742" w:rsidR="00D6293B" w:rsidRDefault="00D6293B" w:rsidP="007E58C4">
            <w:pPr>
              <w:pStyle w:val="NormalWeb"/>
              <w:spacing w:before="0" w:beforeAutospacing="0" w:after="0" w:afterAutospacing="0"/>
              <w:jc w:val="center"/>
              <w:rPr>
                <w:rFonts w:ascii="Calibri" w:hAnsi="Calibri" w:cs="Calibri"/>
                <w:color w:val="202122"/>
                <w:sz w:val="22"/>
                <w:szCs w:val="22"/>
              </w:rPr>
            </w:pPr>
            <w:r w:rsidRPr="00D6293B">
              <w:rPr>
                <w:rFonts w:ascii="Calibri" w:hAnsi="Calibri" w:cs="Calibri"/>
                <w:color w:val="202122"/>
                <w:sz w:val="22"/>
                <w:szCs w:val="22"/>
              </w:rPr>
              <w:t>Herbe à épée (</w:t>
            </w:r>
            <w:r w:rsidRPr="00D6293B">
              <w:rPr>
                <w:rFonts w:ascii="Calibri" w:hAnsi="Calibri" w:cs="Calibri"/>
                <w:i/>
                <w:iCs/>
                <w:color w:val="202122"/>
                <w:sz w:val="22"/>
                <w:szCs w:val="22"/>
              </w:rPr>
              <w:t>Paspalum scrobiculatum</w:t>
            </w:r>
            <w:r w:rsidRPr="00D6293B">
              <w:rPr>
                <w:rFonts w:ascii="Calibri" w:hAnsi="Calibri" w:cs="Calibri"/>
                <w:color w:val="202122"/>
                <w:sz w:val="22"/>
                <w:szCs w:val="22"/>
              </w:rPr>
              <w:t>)</w:t>
            </w:r>
            <w:r>
              <w:rPr>
                <w:rFonts w:ascii="Calibri" w:hAnsi="Calibri" w:cs="Calibri"/>
                <w:color w:val="202122"/>
                <w:sz w:val="22"/>
                <w:szCs w:val="22"/>
              </w:rPr>
              <w:t>. Port de la plante.</w:t>
            </w:r>
          </w:p>
        </w:tc>
        <w:tc>
          <w:tcPr>
            <w:tcW w:w="3472" w:type="dxa"/>
          </w:tcPr>
          <w:p w14:paraId="0F4EE159" w14:textId="06D5A09B" w:rsidR="00405996" w:rsidRDefault="00D6293B" w:rsidP="007E58C4">
            <w:pPr>
              <w:pStyle w:val="NormalWeb"/>
              <w:spacing w:before="0" w:beforeAutospacing="0" w:after="0" w:afterAutospacing="0"/>
              <w:jc w:val="center"/>
              <w:rPr>
                <w:rFonts w:ascii="Calibri" w:hAnsi="Calibri" w:cs="Calibri"/>
                <w:color w:val="202122"/>
                <w:sz w:val="22"/>
                <w:szCs w:val="22"/>
              </w:rPr>
            </w:pPr>
            <w:r>
              <w:rPr>
                <w:noProof/>
              </w:rPr>
              <w:drawing>
                <wp:inline distT="0" distB="0" distL="0" distR="0" wp14:anchorId="0B5140AD" wp14:editId="7E2ACF16">
                  <wp:extent cx="1673165" cy="1266825"/>
                  <wp:effectExtent l="0" t="0" r="3810" b="0"/>
                  <wp:docPr id="48128" name="Image 48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864">
                            <a:extLst>
                              <a:ext uri="{28A0092B-C50C-407E-A947-70E740481C1C}">
                                <a14:useLocalDpi xmlns:a14="http://schemas.microsoft.com/office/drawing/2010/main" val="0"/>
                              </a:ext>
                            </a:extLst>
                          </a:blip>
                          <a:srcRect/>
                          <a:stretch>
                            <a:fillRect/>
                          </a:stretch>
                        </pic:blipFill>
                        <pic:spPr bwMode="auto">
                          <a:xfrm>
                            <a:off x="0" y="0"/>
                            <a:ext cx="1685103" cy="1275864"/>
                          </a:xfrm>
                          <a:prstGeom prst="rect">
                            <a:avLst/>
                          </a:prstGeom>
                          <a:noFill/>
                          <a:ln>
                            <a:noFill/>
                          </a:ln>
                        </pic:spPr>
                      </pic:pic>
                    </a:graphicData>
                  </a:graphic>
                </wp:inline>
              </w:drawing>
            </w:r>
          </w:p>
          <w:p w14:paraId="5C39AF24" w14:textId="6F2E39F3" w:rsidR="00D6293B" w:rsidRDefault="00D6293B" w:rsidP="007E58C4">
            <w:pPr>
              <w:pStyle w:val="NormalWeb"/>
              <w:spacing w:before="0" w:beforeAutospacing="0" w:after="0" w:afterAutospacing="0"/>
              <w:jc w:val="center"/>
              <w:rPr>
                <w:rFonts w:ascii="Calibri" w:hAnsi="Calibri" w:cs="Calibri"/>
                <w:color w:val="202122"/>
                <w:sz w:val="22"/>
                <w:szCs w:val="22"/>
              </w:rPr>
            </w:pPr>
            <w:r w:rsidRPr="00D6293B">
              <w:rPr>
                <w:rFonts w:ascii="Calibri" w:hAnsi="Calibri" w:cs="Calibri"/>
                <w:color w:val="202122"/>
                <w:sz w:val="22"/>
                <w:szCs w:val="22"/>
              </w:rPr>
              <w:t xml:space="preserve">Graines de </w:t>
            </w:r>
            <w:r w:rsidRPr="00D6293B">
              <w:rPr>
                <w:rFonts w:ascii="Calibri" w:hAnsi="Calibri" w:cs="Calibri"/>
                <w:i/>
                <w:iCs/>
                <w:color w:val="202122"/>
                <w:sz w:val="22"/>
                <w:szCs w:val="22"/>
              </w:rPr>
              <w:t>Paspalum scrobiculatum</w:t>
            </w:r>
          </w:p>
        </w:tc>
        <w:tc>
          <w:tcPr>
            <w:tcW w:w="3472" w:type="dxa"/>
          </w:tcPr>
          <w:p w14:paraId="2C00E852" w14:textId="77777777" w:rsidR="00405996" w:rsidRDefault="00405996" w:rsidP="007E58C4">
            <w:pPr>
              <w:pStyle w:val="NormalWeb"/>
              <w:spacing w:before="0" w:beforeAutospacing="0" w:after="0" w:afterAutospacing="0"/>
              <w:jc w:val="center"/>
              <w:rPr>
                <w:rFonts w:ascii="Calibri" w:hAnsi="Calibri" w:cs="Calibri"/>
                <w:color w:val="202122"/>
                <w:sz w:val="22"/>
                <w:szCs w:val="22"/>
              </w:rPr>
            </w:pPr>
          </w:p>
        </w:tc>
      </w:tr>
    </w:tbl>
    <w:p w14:paraId="301B5642" w14:textId="77777777" w:rsidR="00690085" w:rsidRDefault="00690085" w:rsidP="00690085">
      <w:pPr>
        <w:spacing w:after="0" w:line="240" w:lineRule="auto"/>
        <w:jc w:val="both"/>
      </w:pPr>
    </w:p>
    <w:p w14:paraId="40CCD51A" w14:textId="6AA526C8" w:rsidR="006E770D" w:rsidRDefault="006E770D" w:rsidP="006E770D">
      <w:pPr>
        <w:spacing w:after="0" w:line="240" w:lineRule="auto"/>
        <w:jc w:val="both"/>
      </w:pPr>
      <w:r w:rsidRPr="006E770D">
        <w:rPr>
          <w:u w:val="single"/>
        </w:rPr>
        <w:t>Intérêt alimentaire</w:t>
      </w:r>
      <w:r>
        <w:t xml:space="preserve"> : Le millet est un aliment énergétique, nutritif, recommandé pour les enfants et les personnes âgées ou en convalescence. La teneur en protéines des différents mils, et leur qualité, se compare à celle du blé ou du maïs. Une des principales espèces de millet, l'éleusine a une teneur relativement élevée en</w:t>
      </w:r>
      <w:r>
        <w:rPr>
          <w:rFonts w:ascii="Arial" w:hAnsi="Arial" w:cs="Arial"/>
          <w:color w:val="202122"/>
          <w:sz w:val="21"/>
          <w:szCs w:val="21"/>
          <w:shd w:val="clear" w:color="auto" w:fill="FFFFFF"/>
        </w:rPr>
        <w:t> </w:t>
      </w:r>
      <w:hyperlink r:id="rId1865" w:tooltip="Méthionine" w:history="1">
        <w:r w:rsidRPr="006E770D">
          <w:rPr>
            <w:rStyle w:val="Lienhypertexte"/>
            <w:rFonts w:ascii="Calibri" w:hAnsi="Calibri" w:cs="Calibri"/>
            <w:color w:val="0645AD"/>
            <w:shd w:val="clear" w:color="auto" w:fill="FFFFFF"/>
          </w:rPr>
          <w:t>méthionine</w:t>
        </w:r>
      </w:hyperlink>
      <w:r>
        <w:t>, acide aminé qui fait souvent défaut dans les céréales tropicales. Il est consommé surtout sous forme de bouillies et de galettes. La farine de mil devient rapidement rance et ne peut pas être conservée longtemps. Traditionnellement, le grain est pilé dans un mortier. De plus en plus, on mécanise cette préparation : le grain est alors passé dans une décortiqueuse et un moulin à farine, ce qui évite un travail laborieux et améliore la qualité de la farine.</w:t>
      </w:r>
    </w:p>
    <w:p w14:paraId="33855DBC" w14:textId="02D5E244" w:rsidR="0067663C" w:rsidRDefault="006E770D" w:rsidP="006E770D">
      <w:pPr>
        <w:spacing w:after="0" w:line="240" w:lineRule="auto"/>
        <w:jc w:val="both"/>
      </w:pPr>
      <w:r>
        <w:t xml:space="preserve">Source : </w:t>
      </w:r>
      <w:r w:rsidRPr="006E770D">
        <w:rPr>
          <w:i/>
          <w:iCs/>
        </w:rPr>
        <w:t>Millet (graminée),</w:t>
      </w:r>
      <w:r>
        <w:t xml:space="preserve"> </w:t>
      </w:r>
      <w:hyperlink r:id="rId1866" w:history="1">
        <w:r w:rsidRPr="00224761">
          <w:rPr>
            <w:rStyle w:val="Lienhypertexte"/>
          </w:rPr>
          <w:t>https://fr.wikipedia.org/wiki/Millet_(gramin%C3%A9e)</w:t>
        </w:r>
      </w:hyperlink>
      <w:r>
        <w:t xml:space="preserve"> </w:t>
      </w:r>
    </w:p>
    <w:p w14:paraId="3892476F" w14:textId="77777777" w:rsidR="00084E5E" w:rsidRDefault="00084E5E" w:rsidP="00726FE1">
      <w:pPr>
        <w:spacing w:after="0" w:line="240" w:lineRule="auto"/>
      </w:pPr>
    </w:p>
    <w:p w14:paraId="5156B898" w14:textId="3B7D37C6" w:rsidR="009D247D" w:rsidRDefault="00BC6A97" w:rsidP="00BC6A97">
      <w:pPr>
        <w:pStyle w:val="Titre2"/>
      </w:pPr>
      <w:bookmarkStart w:id="183" w:name="_Toc139181474"/>
      <w:r w:rsidRPr="00BC6A97">
        <w:t>Sorgo</w:t>
      </w:r>
      <w:r w:rsidR="00011C64">
        <w:t xml:space="preserve"> (sorgho)</w:t>
      </w:r>
      <w:r w:rsidRPr="00BC6A97">
        <w:t xml:space="preserve"> commun, Millet à balai</w:t>
      </w:r>
      <w:r w:rsidR="005C1004">
        <w:t>, « gros mil »</w:t>
      </w:r>
      <w:r w:rsidRPr="00BC6A97">
        <w:t xml:space="preserve"> ou Sorgho bicolore (</w:t>
      </w:r>
      <w:r w:rsidRPr="00BC6A97">
        <w:rPr>
          <w:i/>
          <w:iCs/>
        </w:rPr>
        <w:t>Sorghum bicolor</w:t>
      </w:r>
      <w:r w:rsidRPr="00BC6A97">
        <w:t>)</w:t>
      </w:r>
      <w:bookmarkEnd w:id="183"/>
    </w:p>
    <w:p w14:paraId="4E3D75CD" w14:textId="26DD19FB" w:rsidR="00BC6A97" w:rsidRDefault="00BC6A97" w:rsidP="00726FE1">
      <w:pPr>
        <w:spacing w:after="0" w:line="240" w:lineRule="auto"/>
      </w:pPr>
    </w:p>
    <w:p w14:paraId="2D48B557" w14:textId="4F13C599" w:rsidR="00011C64" w:rsidRDefault="00011C64" w:rsidP="00011C64">
      <w:pPr>
        <w:pStyle w:val="NormalWeb"/>
        <w:shd w:val="clear" w:color="auto" w:fill="FFFFFF"/>
        <w:spacing w:before="0" w:beforeAutospacing="0" w:after="0" w:afterAutospacing="0"/>
        <w:jc w:val="both"/>
        <w:rPr>
          <w:rFonts w:ascii="Calibri" w:hAnsi="Calibri" w:cs="Calibri"/>
          <w:color w:val="202122"/>
          <w:sz w:val="22"/>
          <w:szCs w:val="22"/>
          <w:shd w:val="clear" w:color="auto" w:fill="FFFFFF"/>
        </w:rPr>
      </w:pPr>
      <w:r w:rsidRPr="005427A9">
        <w:rPr>
          <w:rFonts w:ascii="Calibri" w:hAnsi="Calibri" w:cs="Calibri"/>
          <w:sz w:val="22"/>
          <w:szCs w:val="22"/>
        </w:rPr>
        <w:t>C'est une </w:t>
      </w:r>
      <w:hyperlink r:id="rId1867" w:tooltip="Plante herbacée" w:history="1">
        <w:r w:rsidRPr="00011C64">
          <w:rPr>
            <w:rStyle w:val="Lienhypertexte"/>
            <w:rFonts w:ascii="Calibri" w:hAnsi="Calibri" w:cs="Calibri"/>
            <w:color w:val="0645AD"/>
            <w:sz w:val="22"/>
            <w:szCs w:val="22"/>
            <w:u w:val="none"/>
          </w:rPr>
          <w:t>plante herbacée</w:t>
        </w:r>
      </w:hyperlink>
      <w:r w:rsidRPr="00011C64">
        <w:rPr>
          <w:rFonts w:ascii="Calibri" w:hAnsi="Calibri" w:cs="Calibri"/>
          <w:color w:val="202122"/>
          <w:sz w:val="22"/>
          <w:szCs w:val="22"/>
        </w:rPr>
        <w:t> </w:t>
      </w:r>
      <w:hyperlink r:id="rId1868" w:tooltip="Plante annuelle" w:history="1">
        <w:r w:rsidRPr="00011C64">
          <w:rPr>
            <w:rStyle w:val="Lienhypertexte"/>
            <w:rFonts w:ascii="Calibri" w:hAnsi="Calibri" w:cs="Calibri"/>
            <w:color w:val="0645AD"/>
            <w:sz w:val="22"/>
            <w:szCs w:val="22"/>
            <w:u w:val="none"/>
          </w:rPr>
          <w:t>annuelle</w:t>
        </w:r>
      </w:hyperlink>
      <w:r>
        <w:rPr>
          <w:rFonts w:ascii="Calibri" w:hAnsi="Calibri" w:cs="Calibri"/>
          <w:color w:val="202122"/>
          <w:sz w:val="22"/>
          <w:szCs w:val="22"/>
        </w:rPr>
        <w:t xml:space="preserve"> (</w:t>
      </w:r>
      <w:r w:rsidRPr="005427A9">
        <w:rPr>
          <w:rFonts w:ascii="Calibri" w:hAnsi="Calibri" w:cs="Calibri"/>
          <w:sz w:val="22"/>
          <w:szCs w:val="22"/>
        </w:rPr>
        <w:t>ou vivace à courte durée de vie, traitée comme une annuelle), qui peut atteindre 3 mètres de haut. Elle est cultivée soit pour ses </w:t>
      </w:r>
      <w:hyperlink r:id="rId1869" w:tooltip="Graine" w:history="1">
        <w:r w:rsidRPr="00011C64">
          <w:rPr>
            <w:rStyle w:val="Lienhypertexte"/>
            <w:rFonts w:ascii="Calibri" w:hAnsi="Calibri" w:cs="Calibri"/>
            <w:color w:val="0645AD"/>
            <w:sz w:val="22"/>
            <w:szCs w:val="22"/>
            <w:u w:val="none"/>
          </w:rPr>
          <w:t>graines</w:t>
        </w:r>
      </w:hyperlink>
      <w:r w:rsidRPr="00011C64">
        <w:rPr>
          <w:rFonts w:ascii="Calibri" w:hAnsi="Calibri" w:cs="Calibri"/>
          <w:color w:val="202122"/>
          <w:sz w:val="22"/>
          <w:szCs w:val="22"/>
        </w:rPr>
        <w:t xml:space="preserve">, </w:t>
      </w:r>
      <w:r w:rsidRPr="005427A9">
        <w:rPr>
          <w:rFonts w:ascii="Calibri" w:hAnsi="Calibri" w:cs="Calibri"/>
          <w:sz w:val="22"/>
          <w:szCs w:val="22"/>
        </w:rPr>
        <w:t>le sorgo grain, soit comme </w:t>
      </w:r>
      <w:hyperlink r:id="rId1870" w:tooltip="Fourrage" w:history="1">
        <w:r w:rsidRPr="00011C64">
          <w:rPr>
            <w:rStyle w:val="Lienhypertexte"/>
            <w:rFonts w:ascii="Calibri" w:hAnsi="Calibri" w:cs="Calibri"/>
            <w:color w:val="0645AD"/>
            <w:sz w:val="22"/>
            <w:szCs w:val="22"/>
            <w:u w:val="none"/>
          </w:rPr>
          <w:t>fourrage</w:t>
        </w:r>
      </w:hyperlink>
      <w:r w:rsidRPr="00011C64">
        <w:rPr>
          <w:rFonts w:ascii="Calibri" w:hAnsi="Calibri" w:cs="Calibri"/>
          <w:color w:val="202122"/>
          <w:sz w:val="22"/>
          <w:szCs w:val="22"/>
        </w:rPr>
        <w:t>, le </w:t>
      </w:r>
      <w:hyperlink r:id="rId1871" w:tooltip="Sorgho fourrager" w:history="1">
        <w:r w:rsidRPr="00011C64">
          <w:rPr>
            <w:rStyle w:val="Lienhypertexte"/>
            <w:rFonts w:ascii="Calibri" w:hAnsi="Calibri" w:cs="Calibri"/>
            <w:color w:val="0645AD"/>
            <w:sz w:val="22"/>
            <w:szCs w:val="22"/>
            <w:u w:val="none"/>
          </w:rPr>
          <w:t>sorgho fourrager</w:t>
        </w:r>
      </w:hyperlink>
      <w:r w:rsidRPr="00172F03">
        <w:rPr>
          <w:rFonts w:ascii="Calibri" w:hAnsi="Calibri" w:cs="Calibri"/>
          <w:color w:val="202122"/>
          <w:sz w:val="22"/>
          <w:szCs w:val="22"/>
        </w:rPr>
        <w:t>.</w:t>
      </w:r>
      <w:r w:rsidR="00172F03" w:rsidRPr="00172F03">
        <w:rPr>
          <w:rFonts w:ascii="Calibri" w:hAnsi="Calibri" w:cs="Calibri"/>
          <w:color w:val="202122"/>
          <w:sz w:val="22"/>
          <w:szCs w:val="22"/>
        </w:rPr>
        <w:t xml:space="preserve"> </w:t>
      </w:r>
      <w:r w:rsidR="00172F03" w:rsidRPr="00172F03">
        <w:rPr>
          <w:rFonts w:ascii="Calibri" w:hAnsi="Calibri" w:cs="Calibri"/>
          <w:color w:val="202122"/>
          <w:sz w:val="22"/>
          <w:szCs w:val="22"/>
          <w:shd w:val="clear" w:color="auto" w:fill="FFFFFF"/>
        </w:rPr>
        <w:t>C'est une </w:t>
      </w:r>
      <w:hyperlink r:id="rId1872" w:tooltip="Plante" w:history="1">
        <w:r w:rsidR="00172F03" w:rsidRPr="00172F03">
          <w:rPr>
            <w:rStyle w:val="Lienhypertexte"/>
            <w:rFonts w:ascii="Calibri" w:hAnsi="Calibri" w:cs="Calibri"/>
            <w:color w:val="0645AD"/>
            <w:sz w:val="22"/>
            <w:szCs w:val="22"/>
            <w:shd w:val="clear" w:color="auto" w:fill="FFFFFF"/>
          </w:rPr>
          <w:t>plante</w:t>
        </w:r>
      </w:hyperlink>
      <w:r w:rsidR="00172F03" w:rsidRPr="00172F03">
        <w:rPr>
          <w:rFonts w:ascii="Calibri" w:hAnsi="Calibri" w:cs="Calibri"/>
          <w:color w:val="202122"/>
          <w:sz w:val="22"/>
          <w:szCs w:val="22"/>
          <w:shd w:val="clear" w:color="auto" w:fill="FFFFFF"/>
        </w:rPr>
        <w:t> </w:t>
      </w:r>
      <w:r w:rsidR="00172F03" w:rsidRPr="005427A9">
        <w:rPr>
          <w:rFonts w:ascii="Calibri" w:hAnsi="Calibri" w:cs="Calibri"/>
          <w:sz w:val="22"/>
          <w:szCs w:val="22"/>
          <w:shd w:val="clear" w:color="auto" w:fill="FFFFFF"/>
        </w:rPr>
        <w:t>qui ressemble au </w:t>
      </w:r>
      <w:hyperlink r:id="rId1873" w:tooltip="Maïs" w:history="1">
        <w:r w:rsidR="00172F03" w:rsidRPr="00172F03">
          <w:rPr>
            <w:rStyle w:val="Lienhypertexte"/>
            <w:rFonts w:ascii="Calibri" w:hAnsi="Calibri" w:cs="Calibri"/>
            <w:color w:val="0645AD"/>
            <w:sz w:val="22"/>
            <w:szCs w:val="22"/>
            <w:shd w:val="clear" w:color="auto" w:fill="FFFFFF"/>
          </w:rPr>
          <w:t>maïs</w:t>
        </w:r>
      </w:hyperlink>
      <w:r w:rsidR="00172F03" w:rsidRPr="00172F03">
        <w:rPr>
          <w:rFonts w:ascii="Calibri" w:hAnsi="Calibri" w:cs="Calibri"/>
          <w:color w:val="202122"/>
          <w:sz w:val="22"/>
          <w:szCs w:val="22"/>
          <w:shd w:val="clear" w:color="auto" w:fill="FFFFFF"/>
        </w:rPr>
        <w:t> </w:t>
      </w:r>
      <w:r w:rsidR="00172F03" w:rsidRPr="005427A9">
        <w:rPr>
          <w:rFonts w:ascii="Calibri" w:hAnsi="Calibri" w:cs="Calibri"/>
          <w:sz w:val="22"/>
          <w:szCs w:val="22"/>
          <w:shd w:val="clear" w:color="auto" w:fill="FFFFFF"/>
        </w:rPr>
        <w:t>et à la </w:t>
      </w:r>
      <w:hyperlink r:id="rId1874" w:tooltip="Canne à sucre" w:history="1">
        <w:r w:rsidR="00172F03" w:rsidRPr="00172F03">
          <w:rPr>
            <w:rStyle w:val="Lienhypertexte"/>
            <w:rFonts w:ascii="Calibri" w:hAnsi="Calibri" w:cs="Calibri"/>
            <w:color w:val="0645AD"/>
            <w:sz w:val="22"/>
            <w:szCs w:val="22"/>
            <w:shd w:val="clear" w:color="auto" w:fill="FFFFFF"/>
          </w:rPr>
          <w:t>canne à sucre</w:t>
        </w:r>
      </w:hyperlink>
      <w:r w:rsidR="00172F03" w:rsidRPr="00172F03">
        <w:rPr>
          <w:rFonts w:ascii="Calibri" w:hAnsi="Calibri" w:cs="Calibri"/>
          <w:color w:val="202122"/>
          <w:sz w:val="22"/>
          <w:szCs w:val="22"/>
          <w:shd w:val="clear" w:color="auto" w:fill="FFFFFF"/>
        </w:rPr>
        <w:t>.</w:t>
      </w:r>
    </w:p>
    <w:p w14:paraId="4490605D" w14:textId="77777777" w:rsidR="00D6293B" w:rsidRPr="00172F03" w:rsidRDefault="00D6293B" w:rsidP="00011C64">
      <w:pPr>
        <w:pStyle w:val="NormalWeb"/>
        <w:shd w:val="clear" w:color="auto" w:fill="FFFFFF"/>
        <w:spacing w:before="0" w:beforeAutospacing="0" w:after="0" w:afterAutospacing="0"/>
        <w:jc w:val="both"/>
        <w:rPr>
          <w:rFonts w:ascii="Calibri" w:hAnsi="Calibri" w:cs="Calibri"/>
          <w:color w:val="202122"/>
          <w:sz w:val="22"/>
          <w:szCs w:val="22"/>
        </w:rPr>
      </w:pPr>
    </w:p>
    <w:p w14:paraId="0B3A8A3A" w14:textId="73A39D4F" w:rsidR="00BC6A97" w:rsidRDefault="00011C64" w:rsidP="00011C64">
      <w:pPr>
        <w:pStyle w:val="NormalWeb"/>
        <w:shd w:val="clear" w:color="auto" w:fill="FFFFFF"/>
        <w:spacing w:before="0" w:beforeAutospacing="0" w:after="0" w:afterAutospacing="0"/>
        <w:jc w:val="both"/>
        <w:rPr>
          <w:rFonts w:ascii="Calibri" w:hAnsi="Calibri" w:cs="Calibri"/>
          <w:sz w:val="22"/>
          <w:szCs w:val="22"/>
        </w:rPr>
      </w:pPr>
      <w:r w:rsidRPr="005427A9">
        <w:rPr>
          <w:rFonts w:ascii="Calibri" w:hAnsi="Calibri" w:cs="Calibri"/>
          <w:sz w:val="22"/>
          <w:szCs w:val="22"/>
        </w:rPr>
        <w:t>Le sorgo est la cinquième </w:t>
      </w:r>
      <w:hyperlink r:id="rId1875" w:tooltip="Céréale" w:history="1">
        <w:r w:rsidRPr="00011C64">
          <w:rPr>
            <w:rStyle w:val="Lienhypertexte"/>
            <w:rFonts w:ascii="Calibri" w:hAnsi="Calibri" w:cs="Calibri"/>
            <w:color w:val="0645AD"/>
            <w:sz w:val="22"/>
            <w:szCs w:val="22"/>
            <w:u w:val="none"/>
          </w:rPr>
          <w:t>céréale</w:t>
        </w:r>
      </w:hyperlink>
      <w:r w:rsidRPr="00011C64">
        <w:rPr>
          <w:rFonts w:ascii="Calibri" w:hAnsi="Calibri" w:cs="Calibri"/>
          <w:color w:val="202122"/>
          <w:sz w:val="22"/>
          <w:szCs w:val="22"/>
        </w:rPr>
        <w:t> </w:t>
      </w:r>
      <w:r w:rsidRPr="005427A9">
        <w:rPr>
          <w:rFonts w:ascii="Calibri" w:hAnsi="Calibri" w:cs="Calibri"/>
          <w:sz w:val="22"/>
          <w:szCs w:val="22"/>
        </w:rPr>
        <w:t>mondiale par le volume de production, après le </w:t>
      </w:r>
      <w:hyperlink r:id="rId1876" w:tooltip="Maïs" w:history="1">
        <w:r w:rsidRPr="00011C64">
          <w:rPr>
            <w:rStyle w:val="Lienhypertexte"/>
            <w:rFonts w:ascii="Calibri" w:hAnsi="Calibri" w:cs="Calibri"/>
            <w:color w:val="0645AD"/>
            <w:sz w:val="22"/>
            <w:szCs w:val="22"/>
            <w:u w:val="none"/>
          </w:rPr>
          <w:t>maïs</w:t>
        </w:r>
      </w:hyperlink>
      <w:r w:rsidRPr="00011C64">
        <w:rPr>
          <w:rFonts w:ascii="Calibri" w:hAnsi="Calibri" w:cs="Calibri"/>
          <w:color w:val="202122"/>
          <w:sz w:val="22"/>
          <w:szCs w:val="22"/>
        </w:rPr>
        <w:t>, le </w:t>
      </w:r>
      <w:hyperlink r:id="rId1877" w:tooltip="Riz" w:history="1">
        <w:r w:rsidRPr="00011C64">
          <w:rPr>
            <w:rStyle w:val="Lienhypertexte"/>
            <w:rFonts w:ascii="Calibri" w:hAnsi="Calibri" w:cs="Calibri"/>
            <w:color w:val="0645AD"/>
            <w:sz w:val="22"/>
            <w:szCs w:val="22"/>
            <w:u w:val="none"/>
          </w:rPr>
          <w:t>riz</w:t>
        </w:r>
      </w:hyperlink>
      <w:r w:rsidRPr="00011C64">
        <w:rPr>
          <w:rFonts w:ascii="Calibri" w:hAnsi="Calibri" w:cs="Calibri"/>
          <w:color w:val="202122"/>
          <w:sz w:val="22"/>
          <w:szCs w:val="22"/>
        </w:rPr>
        <w:t>, le </w:t>
      </w:r>
      <w:hyperlink r:id="rId1878" w:tooltip="Blé" w:history="1">
        <w:r w:rsidRPr="00011C64">
          <w:rPr>
            <w:rStyle w:val="Lienhypertexte"/>
            <w:rFonts w:ascii="Calibri" w:hAnsi="Calibri" w:cs="Calibri"/>
            <w:color w:val="0645AD"/>
            <w:sz w:val="22"/>
            <w:szCs w:val="22"/>
            <w:u w:val="none"/>
          </w:rPr>
          <w:t>blé</w:t>
        </w:r>
      </w:hyperlink>
      <w:r w:rsidRPr="00011C64">
        <w:rPr>
          <w:rFonts w:ascii="Calibri" w:hAnsi="Calibri" w:cs="Calibri"/>
          <w:color w:val="202122"/>
          <w:sz w:val="22"/>
          <w:szCs w:val="22"/>
        </w:rPr>
        <w:t> et l'</w:t>
      </w:r>
      <w:hyperlink r:id="rId1879" w:tooltip="Orge commune" w:history="1">
        <w:r w:rsidRPr="00011C64">
          <w:rPr>
            <w:rStyle w:val="Lienhypertexte"/>
            <w:rFonts w:ascii="Calibri" w:hAnsi="Calibri" w:cs="Calibri"/>
            <w:color w:val="0645AD"/>
            <w:sz w:val="22"/>
            <w:szCs w:val="22"/>
            <w:u w:val="none"/>
          </w:rPr>
          <w:t>orge</w:t>
        </w:r>
      </w:hyperlink>
      <w:r w:rsidRPr="00011C64">
        <w:rPr>
          <w:rFonts w:ascii="Calibri" w:hAnsi="Calibri" w:cs="Calibri"/>
          <w:color w:val="202122"/>
          <w:sz w:val="22"/>
          <w:szCs w:val="22"/>
        </w:rPr>
        <w:t xml:space="preserve">. </w:t>
      </w:r>
      <w:r w:rsidRPr="005427A9">
        <w:rPr>
          <w:rFonts w:ascii="Calibri" w:hAnsi="Calibri" w:cs="Calibri"/>
          <w:sz w:val="22"/>
          <w:szCs w:val="22"/>
        </w:rPr>
        <w:t>C'est la principale céréale pour de nombreuses populations à faible revenu vivant dans les régions tropicales semi-arides d'Afrique et d'Asie. Cette plante est aussi la sixième source de calories alimentaires pour la population mondiale, après le riz, le blé, le sucre (de </w:t>
      </w:r>
      <w:hyperlink r:id="rId1880" w:tooltip="Betterave sucrière" w:history="1">
        <w:r w:rsidRPr="00011C64">
          <w:rPr>
            <w:rStyle w:val="Lienhypertexte"/>
            <w:rFonts w:ascii="Calibri" w:hAnsi="Calibri" w:cs="Calibri"/>
            <w:color w:val="0645AD"/>
            <w:sz w:val="22"/>
            <w:szCs w:val="22"/>
            <w:u w:val="none"/>
          </w:rPr>
          <w:t>betterave</w:t>
        </w:r>
      </w:hyperlink>
      <w:r w:rsidRPr="00011C64">
        <w:rPr>
          <w:rFonts w:ascii="Calibri" w:hAnsi="Calibri" w:cs="Calibri"/>
          <w:color w:val="202122"/>
          <w:sz w:val="22"/>
          <w:szCs w:val="22"/>
        </w:rPr>
        <w:t> et de </w:t>
      </w:r>
      <w:hyperlink r:id="rId1881" w:tooltip="Canne à sucre" w:history="1">
        <w:r w:rsidRPr="00011C64">
          <w:rPr>
            <w:rStyle w:val="Lienhypertexte"/>
            <w:rFonts w:ascii="Calibri" w:hAnsi="Calibri" w:cs="Calibri"/>
            <w:color w:val="0645AD"/>
            <w:sz w:val="22"/>
            <w:szCs w:val="22"/>
            <w:u w:val="none"/>
          </w:rPr>
          <w:t>canne</w:t>
        </w:r>
      </w:hyperlink>
      <w:r w:rsidRPr="00011C64">
        <w:rPr>
          <w:rFonts w:ascii="Calibri" w:hAnsi="Calibri" w:cs="Calibri"/>
          <w:color w:val="202122"/>
          <w:sz w:val="22"/>
          <w:szCs w:val="22"/>
        </w:rPr>
        <w:t xml:space="preserve">), </w:t>
      </w:r>
      <w:r w:rsidRPr="005427A9">
        <w:rPr>
          <w:rFonts w:ascii="Calibri" w:hAnsi="Calibri" w:cs="Calibri"/>
          <w:sz w:val="22"/>
          <w:szCs w:val="22"/>
        </w:rPr>
        <w:t xml:space="preserve">le maïs et la pomme de terre. Elle est également largement utilisée </w:t>
      </w:r>
      <w:r w:rsidRPr="00011C64">
        <w:rPr>
          <w:rFonts w:ascii="Calibri" w:hAnsi="Calibri" w:cs="Calibri"/>
          <w:color w:val="202122"/>
          <w:sz w:val="22"/>
          <w:szCs w:val="22"/>
        </w:rPr>
        <w:t>en </w:t>
      </w:r>
      <w:hyperlink r:id="rId1882" w:tooltip="Alimentation animale" w:history="1">
        <w:r w:rsidRPr="00011C64">
          <w:rPr>
            <w:rStyle w:val="Lienhypertexte"/>
            <w:rFonts w:ascii="Calibri" w:hAnsi="Calibri" w:cs="Calibri"/>
            <w:color w:val="0645AD"/>
            <w:sz w:val="22"/>
            <w:szCs w:val="22"/>
            <w:u w:val="none"/>
          </w:rPr>
          <w:t>alimentation animale</w:t>
        </w:r>
      </w:hyperlink>
      <w:r w:rsidRPr="00011C64">
        <w:rPr>
          <w:rFonts w:ascii="Calibri" w:hAnsi="Calibri" w:cs="Calibri"/>
          <w:color w:val="202122"/>
          <w:sz w:val="22"/>
          <w:szCs w:val="22"/>
        </w:rPr>
        <w:t> </w:t>
      </w:r>
      <w:r w:rsidRPr="005427A9">
        <w:rPr>
          <w:rFonts w:ascii="Calibri" w:hAnsi="Calibri" w:cs="Calibri"/>
          <w:sz w:val="22"/>
          <w:szCs w:val="22"/>
        </w:rPr>
        <w:t>sous forme de fourrage vert, de paille sèche ou de concentré de céréales.</w:t>
      </w:r>
    </w:p>
    <w:p w14:paraId="66D6D569" w14:textId="77777777" w:rsidR="003B354C" w:rsidRPr="005427A9" w:rsidRDefault="003B354C" w:rsidP="00011C64">
      <w:pPr>
        <w:pStyle w:val="NormalWeb"/>
        <w:shd w:val="clear" w:color="auto" w:fill="FFFFFF"/>
        <w:spacing w:before="0" w:beforeAutospacing="0" w:after="0" w:afterAutospacing="0"/>
        <w:jc w:val="both"/>
        <w:rPr>
          <w:rFonts w:ascii="Calibri" w:hAnsi="Calibri" w:cs="Calibri"/>
          <w:sz w:val="22"/>
          <w:szCs w:val="22"/>
        </w:rPr>
      </w:pPr>
    </w:p>
    <w:p w14:paraId="058D93E9" w14:textId="6E1E2226" w:rsidR="003B354C" w:rsidRDefault="00172F03" w:rsidP="00172F03">
      <w:pPr>
        <w:spacing w:after="0" w:line="240" w:lineRule="auto"/>
        <w:jc w:val="both"/>
        <w:rPr>
          <w:rFonts w:ascii="Calibri" w:hAnsi="Calibri" w:cs="Calibri"/>
        </w:rPr>
      </w:pPr>
      <w:r w:rsidRPr="005427A9">
        <w:rPr>
          <w:rFonts w:ascii="Calibri" w:hAnsi="Calibri" w:cs="Calibri"/>
          <w:shd w:val="clear" w:color="auto" w:fill="FFFFFF"/>
        </w:rPr>
        <w:t>Le sorgho commun a un </w:t>
      </w:r>
      <w:hyperlink r:id="rId1883" w:tooltip="Racine (botanique)" w:history="1">
        <w:r w:rsidRPr="00172F03">
          <w:rPr>
            <w:rStyle w:val="Lienhypertexte"/>
            <w:rFonts w:ascii="Calibri" w:hAnsi="Calibri" w:cs="Calibri"/>
            <w:color w:val="0645AD"/>
            <w:shd w:val="clear" w:color="auto" w:fill="FFFFFF"/>
          </w:rPr>
          <w:t>système racinaire</w:t>
        </w:r>
      </w:hyperlink>
      <w:r w:rsidRPr="00172F03">
        <w:rPr>
          <w:rFonts w:ascii="Calibri" w:hAnsi="Calibri" w:cs="Calibri"/>
          <w:color w:val="202122"/>
          <w:shd w:val="clear" w:color="auto" w:fill="FFFFFF"/>
        </w:rPr>
        <w:t> </w:t>
      </w:r>
      <w:r w:rsidRPr="005427A9">
        <w:rPr>
          <w:rFonts w:ascii="Calibri" w:hAnsi="Calibri" w:cs="Calibri"/>
          <w:shd w:val="clear" w:color="auto" w:fill="FFFFFF"/>
        </w:rPr>
        <w:t>fibreux, caractéristique des graminées, qui peut atteindre une profondeur de 1,5 à 2,4 </w:t>
      </w:r>
      <w:r w:rsidRPr="005427A9">
        <w:rPr>
          <w:rFonts w:ascii="Calibri" w:hAnsi="Calibri" w:cs="Calibri"/>
        </w:rPr>
        <w:t>m</w:t>
      </w:r>
      <w:r w:rsidRPr="005427A9">
        <w:rPr>
          <w:rFonts w:ascii="Calibri" w:hAnsi="Calibri" w:cs="Calibri"/>
          <w:shd w:val="clear" w:color="auto" w:fill="FFFFFF"/>
        </w:rPr>
        <w:t xml:space="preserve">. </w:t>
      </w:r>
      <w:r w:rsidRPr="005427A9">
        <w:rPr>
          <w:rFonts w:ascii="Calibri" w:hAnsi="Calibri" w:cs="Calibri"/>
          <w:i/>
          <w:iCs/>
          <w:shd w:val="clear" w:color="auto" w:fill="FFFFFF"/>
        </w:rPr>
        <w:t>Ce système racinaire est très étendu et a la capacité de devenir dormant dans les périodes de stress hydrique, ce qui contribue à la </w:t>
      </w:r>
      <w:hyperlink r:id="rId1884" w:tooltip="Résistance à la sécheresse (page inexistante)" w:history="1">
        <w:r w:rsidRPr="005427A9">
          <w:rPr>
            <w:rStyle w:val="Lienhypertexte"/>
            <w:rFonts w:ascii="Calibri" w:hAnsi="Calibri" w:cs="Calibri"/>
            <w:i/>
            <w:iCs/>
            <w:color w:val="DD3333"/>
            <w:shd w:val="clear" w:color="auto" w:fill="FFFFFF"/>
          </w:rPr>
          <w:t>résistance à la sécheresse</w:t>
        </w:r>
      </w:hyperlink>
      <w:r w:rsidRPr="005427A9">
        <w:rPr>
          <w:rFonts w:ascii="Calibri" w:hAnsi="Calibri" w:cs="Calibri"/>
          <w:i/>
          <w:iCs/>
          <w:color w:val="202122"/>
          <w:shd w:val="clear" w:color="auto" w:fill="FFFFFF"/>
        </w:rPr>
        <w:t> </w:t>
      </w:r>
      <w:r w:rsidRPr="005427A9">
        <w:rPr>
          <w:rFonts w:ascii="Calibri" w:hAnsi="Calibri" w:cs="Calibri"/>
          <w:i/>
          <w:iCs/>
          <w:shd w:val="clear" w:color="auto" w:fill="FFFFFF"/>
        </w:rPr>
        <w:t>de la plante et en fait une culture adaptable dans les systèmes agricoles marginaux des </w:t>
      </w:r>
      <w:hyperlink r:id="rId1885" w:history="1">
        <w:r w:rsidRPr="005427A9">
          <w:rPr>
            <w:rStyle w:val="Lienhypertexte"/>
            <w:rFonts w:ascii="Calibri" w:hAnsi="Calibri" w:cs="Calibri"/>
            <w:i/>
            <w:iCs/>
            <w:color w:val="0645AD"/>
            <w:shd w:val="clear" w:color="auto" w:fill="FFFFFF"/>
          </w:rPr>
          <w:t>zones arides</w:t>
        </w:r>
      </w:hyperlink>
      <w:r w:rsidRPr="00172F03">
        <w:rPr>
          <w:rFonts w:ascii="Calibri" w:hAnsi="Calibri" w:cs="Calibri"/>
        </w:rPr>
        <w:t>.</w:t>
      </w:r>
    </w:p>
    <w:p w14:paraId="79B1DB6B" w14:textId="3124DC24" w:rsidR="003B354C" w:rsidRPr="003B354C" w:rsidRDefault="005456B2" w:rsidP="00172F03">
      <w:pPr>
        <w:spacing w:after="0" w:line="240" w:lineRule="auto"/>
        <w:jc w:val="both"/>
        <w:rPr>
          <w:rFonts w:ascii="Calibri" w:hAnsi="Calibri" w:cs="Calibri"/>
          <w:color w:val="202122"/>
          <w:shd w:val="clear" w:color="auto" w:fill="FFFFFF"/>
        </w:rPr>
      </w:pPr>
      <w:r w:rsidRPr="005427A9">
        <w:rPr>
          <w:rFonts w:ascii="Calibri" w:hAnsi="Calibri" w:cs="Calibri"/>
          <w:shd w:val="clear" w:color="auto" w:fill="FFFFFF"/>
        </w:rPr>
        <w:t>Les </w:t>
      </w:r>
      <w:hyperlink r:id="rId1886" w:tooltip="Feuille" w:history="1">
        <w:r w:rsidRPr="005456B2">
          <w:rPr>
            <w:rStyle w:val="Lienhypertexte"/>
            <w:rFonts w:ascii="Calibri" w:hAnsi="Calibri" w:cs="Calibri"/>
            <w:color w:val="0645AD"/>
            <w:shd w:val="clear" w:color="auto" w:fill="FFFFFF"/>
          </w:rPr>
          <w:t>feuilles</w:t>
        </w:r>
      </w:hyperlink>
      <w:r w:rsidRPr="005456B2">
        <w:rPr>
          <w:rFonts w:ascii="Calibri" w:hAnsi="Calibri" w:cs="Calibri"/>
          <w:color w:val="202122"/>
          <w:shd w:val="clear" w:color="auto" w:fill="FFFFFF"/>
        </w:rPr>
        <w:t xml:space="preserve">, </w:t>
      </w:r>
      <w:r w:rsidRPr="005427A9">
        <w:rPr>
          <w:rFonts w:ascii="Calibri" w:hAnsi="Calibri" w:cs="Calibri"/>
          <w:shd w:val="clear" w:color="auto" w:fill="FFFFFF"/>
        </w:rPr>
        <w:t>qui ressemblent à celle du maïs, ont un </w:t>
      </w:r>
      <w:hyperlink r:id="rId1887" w:tooltip="Limbe foliaire" w:history="1">
        <w:r w:rsidRPr="005456B2">
          <w:rPr>
            <w:rStyle w:val="Lienhypertexte"/>
            <w:rFonts w:ascii="Calibri" w:hAnsi="Calibri" w:cs="Calibri"/>
            <w:color w:val="0645AD"/>
            <w:shd w:val="clear" w:color="auto" w:fill="FFFFFF"/>
          </w:rPr>
          <w:t>limbe</w:t>
        </w:r>
      </w:hyperlink>
      <w:r w:rsidRPr="005456B2">
        <w:rPr>
          <w:rFonts w:ascii="Calibri" w:hAnsi="Calibri" w:cs="Calibri"/>
          <w:color w:val="202122"/>
          <w:shd w:val="clear" w:color="auto" w:fill="FFFFFF"/>
        </w:rPr>
        <w:t> </w:t>
      </w:r>
      <w:r w:rsidRPr="005427A9">
        <w:rPr>
          <w:rFonts w:ascii="Calibri" w:hAnsi="Calibri" w:cs="Calibri"/>
          <w:shd w:val="clear" w:color="auto" w:fill="FFFFFF"/>
        </w:rPr>
        <w:t>plat, linéaire à lancéolé, largement arrondi à la base, de 30 à 100 </w:t>
      </w:r>
      <w:r w:rsidRPr="005427A9">
        <w:rPr>
          <w:rFonts w:ascii="Calibri" w:hAnsi="Calibri" w:cs="Calibri"/>
        </w:rPr>
        <w:t>cm</w:t>
      </w:r>
      <w:r w:rsidRPr="005427A9">
        <w:rPr>
          <w:rFonts w:ascii="Calibri" w:hAnsi="Calibri" w:cs="Calibri"/>
          <w:shd w:val="clear" w:color="auto" w:fill="FFFFFF"/>
        </w:rPr>
        <w:t> de long sur 5 à 10 </w:t>
      </w:r>
      <w:r w:rsidRPr="005427A9">
        <w:rPr>
          <w:rFonts w:ascii="Calibri" w:hAnsi="Calibri" w:cs="Calibri"/>
        </w:rPr>
        <w:t>mm</w:t>
      </w:r>
      <w:r w:rsidRPr="005427A9">
        <w:rPr>
          <w:rFonts w:ascii="Calibri" w:hAnsi="Calibri" w:cs="Calibri"/>
          <w:shd w:val="clear" w:color="auto" w:fill="FFFFFF"/>
        </w:rPr>
        <w:t> de large</w:t>
      </w:r>
      <w:r w:rsidRPr="005427A9">
        <w:rPr>
          <w:rFonts w:ascii="Calibri" w:hAnsi="Calibri" w:cs="Calibri"/>
        </w:rPr>
        <w:t xml:space="preserve">. </w:t>
      </w:r>
      <w:r w:rsidRPr="005427A9">
        <w:rPr>
          <w:rFonts w:ascii="Calibri" w:hAnsi="Calibri" w:cs="Calibri"/>
          <w:shd w:val="clear" w:color="auto" w:fill="FFFFFF"/>
        </w:rPr>
        <w:t>Dans des conditions très sèches, les feuilles s'enroulent vers le haut et vers l'intérieur, réduisant ainsi la </w:t>
      </w:r>
      <w:hyperlink r:id="rId1888" w:tooltip="Transpiration végétale" w:history="1">
        <w:r w:rsidRPr="005456B2">
          <w:rPr>
            <w:rStyle w:val="Lienhypertexte"/>
            <w:rFonts w:ascii="Calibri" w:hAnsi="Calibri" w:cs="Calibri"/>
            <w:color w:val="0645AD"/>
            <w:shd w:val="clear" w:color="auto" w:fill="FFFFFF"/>
          </w:rPr>
          <w:t>transpiration</w:t>
        </w:r>
      </w:hyperlink>
      <w:r w:rsidRPr="005456B2">
        <w:rPr>
          <w:rFonts w:ascii="Calibri" w:hAnsi="Calibri" w:cs="Calibri"/>
          <w:color w:val="202122"/>
          <w:shd w:val="clear" w:color="auto" w:fill="FFFFFF"/>
        </w:rPr>
        <w:t> </w:t>
      </w:r>
      <w:r w:rsidRPr="005456B2">
        <w:rPr>
          <w:rFonts w:ascii="Calibri" w:hAnsi="Calibri" w:cs="Calibri"/>
          <w:shd w:val="clear" w:color="auto" w:fill="FFFFFF"/>
        </w:rPr>
        <w:t>et la perte d'humidité en diminuant la surface exposée. Elles présentent en surface des dépôts de </w:t>
      </w:r>
      <w:hyperlink r:id="rId1889" w:tooltip="Dioxyde de silicium" w:history="1">
        <w:r w:rsidRPr="005456B2">
          <w:rPr>
            <w:rStyle w:val="Lienhypertexte"/>
            <w:rFonts w:ascii="Calibri" w:hAnsi="Calibri" w:cs="Calibri"/>
            <w:color w:val="0645AD"/>
            <w:shd w:val="clear" w:color="auto" w:fill="FFFFFF"/>
          </w:rPr>
          <w:t>silice</w:t>
        </w:r>
      </w:hyperlink>
      <w:r w:rsidRPr="005456B2">
        <w:rPr>
          <w:rFonts w:ascii="Calibri" w:hAnsi="Calibri" w:cs="Calibri"/>
          <w:color w:val="202122"/>
          <w:shd w:val="clear" w:color="auto" w:fill="FFFFFF"/>
        </w:rPr>
        <w:t> </w:t>
      </w:r>
      <w:r w:rsidRPr="005456B2">
        <w:rPr>
          <w:rFonts w:ascii="Calibri" w:hAnsi="Calibri" w:cs="Calibri"/>
          <w:shd w:val="clear" w:color="auto" w:fill="FFFFFF"/>
        </w:rPr>
        <w:t xml:space="preserve">de forme irrégulière qui agissent comme une barrière physique atténuant le stress hydrique en diminuant la transpiration et contrariant la pénétration physique dans les tissus végétaux de ravageurs </w:t>
      </w:r>
      <w:r w:rsidRPr="005456B2">
        <w:rPr>
          <w:rFonts w:ascii="Calibri" w:hAnsi="Calibri" w:cs="Calibri"/>
          <w:shd w:val="clear" w:color="auto" w:fill="FFFFFF"/>
        </w:rPr>
        <w:lastRenderedPageBreak/>
        <w:t>tels que la mouche du sorgho</w:t>
      </w:r>
      <w:r w:rsidRPr="005456B2">
        <w:rPr>
          <w:rFonts w:ascii="Calibri" w:hAnsi="Calibri" w:cs="Calibri"/>
          <w:color w:val="202122"/>
          <w:shd w:val="clear" w:color="auto" w:fill="FFFFFF"/>
        </w:rPr>
        <w:t xml:space="preserve"> (</w:t>
      </w:r>
      <w:hyperlink r:id="rId1890" w:tooltip="Atherigona soccata" w:history="1">
        <w:r w:rsidRPr="005456B2">
          <w:rPr>
            <w:rStyle w:val="Lienhypertexte"/>
            <w:rFonts w:ascii="Calibri" w:hAnsi="Calibri" w:cs="Calibri"/>
            <w:i/>
            <w:iCs/>
            <w:color w:val="0645AD"/>
            <w:shd w:val="clear" w:color="auto" w:fill="FFFFFF"/>
          </w:rPr>
          <w:t>Atherigona soccata</w:t>
        </w:r>
      </w:hyperlink>
      <w:r w:rsidRPr="005456B2">
        <w:rPr>
          <w:rFonts w:ascii="Calibri" w:hAnsi="Calibri" w:cs="Calibri"/>
          <w:color w:val="202122"/>
          <w:shd w:val="clear" w:color="auto" w:fill="FFFFFF"/>
        </w:rPr>
        <w:t>).</w:t>
      </w:r>
      <w:r w:rsidR="003B354C">
        <w:rPr>
          <w:rFonts w:ascii="Calibri" w:hAnsi="Calibri" w:cs="Calibri"/>
          <w:color w:val="202122"/>
          <w:shd w:val="clear" w:color="auto" w:fill="FFFFFF"/>
        </w:rPr>
        <w:t xml:space="preserve"> </w:t>
      </w:r>
      <w:r w:rsidRPr="005456B2">
        <w:rPr>
          <w:rFonts w:ascii="Calibri" w:hAnsi="Calibri" w:cs="Calibri"/>
          <w:shd w:val="clear" w:color="auto" w:fill="FFFFFF"/>
        </w:rPr>
        <w:t>L'inflorescence est une </w:t>
      </w:r>
      <w:hyperlink r:id="rId1891" w:tooltip="Panicule" w:history="1">
        <w:r w:rsidRPr="005456B2">
          <w:rPr>
            <w:rStyle w:val="Lienhypertexte"/>
            <w:rFonts w:ascii="Calibri" w:hAnsi="Calibri" w:cs="Calibri"/>
            <w:color w:val="0645AD"/>
            <w:shd w:val="clear" w:color="auto" w:fill="FFFFFF"/>
          </w:rPr>
          <w:t>panicule</w:t>
        </w:r>
      </w:hyperlink>
      <w:r w:rsidRPr="005456B2">
        <w:rPr>
          <w:rFonts w:ascii="Calibri" w:hAnsi="Calibri" w:cs="Calibri"/>
        </w:rPr>
        <w:t xml:space="preserve"> terminale</w:t>
      </w:r>
      <w:r w:rsidRPr="005456B2">
        <w:rPr>
          <w:rFonts w:ascii="Calibri" w:hAnsi="Calibri" w:cs="Calibri"/>
          <w:shd w:val="clear" w:color="auto" w:fill="FFFFFF"/>
        </w:rPr>
        <w:t> ouverte ou contractée, lancéolée, ovale ou globuleuse, non verticillée, de 4 à 50 </w:t>
      </w:r>
      <w:r w:rsidRPr="005456B2">
        <w:rPr>
          <w:rFonts w:ascii="Calibri" w:hAnsi="Calibri" w:cs="Calibri"/>
        </w:rPr>
        <w:t>cm</w:t>
      </w:r>
      <w:r w:rsidRPr="005456B2">
        <w:rPr>
          <w:rFonts w:ascii="Calibri" w:hAnsi="Calibri" w:cs="Calibri"/>
          <w:shd w:val="clear" w:color="auto" w:fill="FFFFFF"/>
        </w:rPr>
        <w:t> de long sur 2 à 20 </w:t>
      </w:r>
      <w:r w:rsidRPr="005456B2">
        <w:rPr>
          <w:rFonts w:ascii="Calibri" w:hAnsi="Calibri" w:cs="Calibri"/>
        </w:rPr>
        <w:t>cm</w:t>
      </w:r>
      <w:r w:rsidRPr="005456B2">
        <w:rPr>
          <w:rFonts w:ascii="Calibri" w:hAnsi="Calibri" w:cs="Calibri"/>
          <w:shd w:val="clear" w:color="auto" w:fill="FFFFFF"/>
        </w:rPr>
        <w:t> de large.</w:t>
      </w:r>
    </w:p>
    <w:p w14:paraId="7EE06396" w14:textId="23700233" w:rsidR="005456B2" w:rsidRDefault="005456B2" w:rsidP="00172F03">
      <w:pPr>
        <w:spacing w:after="0" w:line="240" w:lineRule="auto"/>
        <w:jc w:val="both"/>
        <w:rPr>
          <w:rFonts w:ascii="Calibri" w:hAnsi="Calibri" w:cs="Calibri"/>
          <w:shd w:val="clear" w:color="auto" w:fill="FFFFFF"/>
        </w:rPr>
      </w:pPr>
      <w:r w:rsidRPr="005456B2">
        <w:rPr>
          <w:rFonts w:ascii="Calibri" w:hAnsi="Calibri" w:cs="Calibri"/>
          <w:shd w:val="clear" w:color="auto" w:fill="FFFFFF"/>
        </w:rPr>
        <w:t>De nos jours, il est cultivé, et parfois subspontané, dans tous les continents. C'est une plante de climat chaud, mais comme pour le maïs, la sélection a permis de créer des variétés cultivables en pays tempérés. En </w:t>
      </w:r>
      <w:hyperlink r:id="rId1892" w:tooltip="Europe" w:history="1">
        <w:r w:rsidRPr="005427A9">
          <w:rPr>
            <w:rStyle w:val="Lienhypertexte"/>
            <w:rFonts w:ascii="Calibri" w:hAnsi="Calibri" w:cs="Calibri"/>
            <w:color w:val="2F5496" w:themeColor="accent1" w:themeShade="BF"/>
            <w:shd w:val="clear" w:color="auto" w:fill="FFFFFF"/>
          </w:rPr>
          <w:t>Europe</w:t>
        </w:r>
      </w:hyperlink>
      <w:r w:rsidRPr="005456B2">
        <w:rPr>
          <w:rFonts w:ascii="Calibri" w:hAnsi="Calibri" w:cs="Calibri"/>
          <w:shd w:val="clear" w:color="auto" w:fill="FFFFFF"/>
        </w:rPr>
        <w:t>, sa culture reste cependant cantonnée aux pays méditerranéens. En </w:t>
      </w:r>
      <w:hyperlink r:id="rId1893" w:tooltip="France" w:history="1">
        <w:r w:rsidRPr="005456B2">
          <w:rPr>
            <w:rStyle w:val="Lienhypertexte"/>
            <w:rFonts w:ascii="Calibri" w:hAnsi="Calibri" w:cs="Calibri"/>
            <w:color w:val="0645AD"/>
            <w:shd w:val="clear" w:color="auto" w:fill="FFFFFF"/>
          </w:rPr>
          <w:t>France</w:t>
        </w:r>
      </w:hyperlink>
      <w:r w:rsidRPr="005456B2">
        <w:rPr>
          <w:rFonts w:ascii="Calibri" w:hAnsi="Calibri" w:cs="Calibri"/>
          <w:color w:val="202122"/>
          <w:shd w:val="clear" w:color="auto" w:fill="FFFFFF"/>
        </w:rPr>
        <w:t> </w:t>
      </w:r>
      <w:r w:rsidRPr="005456B2">
        <w:rPr>
          <w:rFonts w:ascii="Calibri" w:hAnsi="Calibri" w:cs="Calibri"/>
          <w:shd w:val="clear" w:color="auto" w:fill="FFFFFF"/>
        </w:rPr>
        <w:t>il est cultivé sur plus de 60 000 </w:t>
      </w:r>
      <w:r w:rsidRPr="005456B2">
        <w:rPr>
          <w:rFonts w:ascii="Calibri" w:hAnsi="Calibri" w:cs="Calibri"/>
        </w:rPr>
        <w:t>ha</w:t>
      </w:r>
      <w:r w:rsidRPr="005456B2">
        <w:rPr>
          <w:rFonts w:ascii="Calibri" w:hAnsi="Calibri" w:cs="Calibri"/>
          <w:shd w:val="clear" w:color="auto" w:fill="FFFFFF"/>
        </w:rPr>
        <w:t>, principalement dans le sud-ouest en alternative au maïs car il est moins exigeant en eau.</w:t>
      </w:r>
    </w:p>
    <w:p w14:paraId="1B112CFB" w14:textId="77777777" w:rsidR="003B354C" w:rsidRPr="005456B2" w:rsidRDefault="003B354C" w:rsidP="00172F03">
      <w:pPr>
        <w:spacing w:after="0" w:line="240" w:lineRule="auto"/>
        <w:jc w:val="both"/>
        <w:rPr>
          <w:rFonts w:ascii="Calibri" w:hAnsi="Calibri" w:cs="Calibri"/>
          <w:shd w:val="clear" w:color="auto" w:fill="FFFFFF"/>
        </w:rPr>
      </w:pPr>
    </w:p>
    <w:p w14:paraId="0D002D95" w14:textId="0ED1A021" w:rsidR="005456B2" w:rsidRPr="005456B2" w:rsidRDefault="005456B2" w:rsidP="00172F03">
      <w:pPr>
        <w:spacing w:after="0" w:line="240" w:lineRule="auto"/>
        <w:jc w:val="both"/>
        <w:rPr>
          <w:rFonts w:ascii="Calibri" w:hAnsi="Calibri" w:cs="Calibri"/>
          <w:color w:val="202122"/>
          <w:shd w:val="clear" w:color="auto" w:fill="FFFFFF"/>
        </w:rPr>
      </w:pPr>
      <w:r w:rsidRPr="00CD7B95">
        <w:rPr>
          <w:rFonts w:ascii="Calibri" w:hAnsi="Calibri" w:cs="Calibri"/>
          <w:color w:val="000000" w:themeColor="text1"/>
          <w:u w:val="single"/>
          <w:shd w:val="clear" w:color="auto" w:fill="FFFFFF"/>
        </w:rPr>
        <w:t>Utilisations</w:t>
      </w:r>
      <w:r w:rsidRPr="00CD7B95">
        <w:rPr>
          <w:rFonts w:ascii="Calibri" w:hAnsi="Calibri" w:cs="Calibri"/>
          <w:color w:val="000000" w:themeColor="text1"/>
          <w:shd w:val="clear" w:color="auto" w:fill="FFFFFF"/>
        </w:rPr>
        <w:t xml:space="preserve"> : </w:t>
      </w:r>
      <w:r w:rsidRPr="00CD7B95">
        <w:rPr>
          <w:rFonts w:ascii="Calibri" w:hAnsi="Calibri" w:cs="Calibri"/>
          <w:color w:val="000000" w:themeColor="text1"/>
          <w:u w:val="single"/>
          <w:shd w:val="clear" w:color="auto" w:fill="FFFFFF"/>
        </w:rPr>
        <w:t>Alimentation humaine</w:t>
      </w:r>
      <w:r w:rsidRPr="00CD7B95">
        <w:rPr>
          <w:rFonts w:ascii="Calibri" w:hAnsi="Calibri" w:cs="Calibri"/>
          <w:color w:val="000000" w:themeColor="text1"/>
          <w:shd w:val="clear" w:color="auto" w:fill="FFFFFF"/>
        </w:rPr>
        <w:t> : le sorgo à grain est une </w:t>
      </w:r>
      <w:hyperlink r:id="rId1894" w:tooltip="Culture vivrière" w:history="1">
        <w:r w:rsidRPr="005456B2">
          <w:rPr>
            <w:rStyle w:val="Lienhypertexte"/>
            <w:rFonts w:ascii="Calibri" w:hAnsi="Calibri" w:cs="Calibri"/>
            <w:color w:val="0645AD"/>
            <w:shd w:val="clear" w:color="auto" w:fill="FFFFFF"/>
          </w:rPr>
          <w:t>culture vivrière</w:t>
        </w:r>
      </w:hyperlink>
      <w:r w:rsidRPr="005456B2">
        <w:rPr>
          <w:rFonts w:ascii="Calibri" w:hAnsi="Calibri" w:cs="Calibri"/>
          <w:color w:val="202122"/>
          <w:shd w:val="clear" w:color="auto" w:fill="FFFFFF"/>
        </w:rPr>
        <w:t> </w:t>
      </w:r>
      <w:r w:rsidRPr="00CD7B95">
        <w:rPr>
          <w:rFonts w:ascii="Calibri" w:hAnsi="Calibri" w:cs="Calibri"/>
          <w:color w:val="000000" w:themeColor="text1"/>
          <w:shd w:val="clear" w:color="auto" w:fill="FFFFFF"/>
        </w:rPr>
        <w:t>dans de nombreux pays d'Afrique et d'Asie. Le sorgo peut se consommer en grain à l'instar du </w:t>
      </w:r>
      <w:hyperlink r:id="rId1895" w:tooltip="Riz" w:history="1">
        <w:r w:rsidRPr="005456B2">
          <w:rPr>
            <w:rStyle w:val="Lienhypertexte"/>
            <w:rFonts w:ascii="Calibri" w:hAnsi="Calibri" w:cs="Calibri"/>
            <w:color w:val="0645AD"/>
            <w:shd w:val="clear" w:color="auto" w:fill="FFFFFF"/>
          </w:rPr>
          <w:t>riz</w:t>
        </w:r>
      </w:hyperlink>
      <w:r w:rsidRPr="005456B2">
        <w:rPr>
          <w:rFonts w:ascii="Calibri" w:hAnsi="Calibri" w:cs="Calibri"/>
          <w:color w:val="202122"/>
          <w:shd w:val="clear" w:color="auto" w:fill="FFFFFF"/>
        </w:rPr>
        <w:t xml:space="preserve">, </w:t>
      </w:r>
      <w:r w:rsidRPr="00CD7B95">
        <w:rPr>
          <w:rFonts w:ascii="Calibri" w:hAnsi="Calibri" w:cs="Calibri"/>
          <w:color w:val="000000" w:themeColor="text1"/>
          <w:shd w:val="clear" w:color="auto" w:fill="FFFFFF"/>
        </w:rPr>
        <w:t>ou être réduit en farine.</w:t>
      </w:r>
    </w:p>
    <w:p w14:paraId="1AF8C6E4" w14:textId="79B1054A" w:rsidR="005456B2" w:rsidRPr="00CD7B95" w:rsidRDefault="005456B2" w:rsidP="00172F03">
      <w:pPr>
        <w:spacing w:after="0" w:line="240" w:lineRule="auto"/>
        <w:jc w:val="both"/>
        <w:rPr>
          <w:rFonts w:ascii="Calibri" w:hAnsi="Calibri" w:cs="Calibri"/>
          <w:color w:val="000000" w:themeColor="text1"/>
          <w:shd w:val="clear" w:color="auto" w:fill="FFFFFF"/>
        </w:rPr>
      </w:pPr>
      <w:r w:rsidRPr="005456B2">
        <w:rPr>
          <w:rFonts w:ascii="Calibri" w:hAnsi="Calibri" w:cs="Calibri"/>
          <w:color w:val="202122"/>
          <w:shd w:val="clear" w:color="auto" w:fill="FFFFFF"/>
        </w:rPr>
        <w:t>Les </w:t>
      </w:r>
      <w:hyperlink r:id="rId1896" w:tooltip="Sorgo fourrager" w:history="1">
        <w:r w:rsidRPr="005456B2">
          <w:rPr>
            <w:rStyle w:val="Lienhypertexte"/>
            <w:rFonts w:ascii="Calibri" w:hAnsi="Calibri" w:cs="Calibri"/>
            <w:color w:val="0645AD"/>
            <w:shd w:val="clear" w:color="auto" w:fill="FFFFFF"/>
          </w:rPr>
          <w:t>sorghos fourragers</w:t>
        </w:r>
      </w:hyperlink>
      <w:r w:rsidRPr="005456B2">
        <w:rPr>
          <w:rFonts w:ascii="Calibri" w:hAnsi="Calibri" w:cs="Calibri"/>
          <w:color w:val="202122"/>
          <w:shd w:val="clear" w:color="auto" w:fill="FFFFFF"/>
        </w:rPr>
        <w:t> </w:t>
      </w:r>
      <w:r w:rsidRPr="00CD7B95">
        <w:rPr>
          <w:rFonts w:ascii="Calibri" w:hAnsi="Calibri" w:cs="Calibri"/>
          <w:color w:val="000000" w:themeColor="text1"/>
          <w:shd w:val="clear" w:color="auto" w:fill="FFFFFF"/>
        </w:rPr>
        <w:t>sont utilisés en alimentation animale en grain, ou comme fourrage en </w:t>
      </w:r>
      <w:hyperlink r:id="rId1897" w:tooltip="Ensilage" w:history="1">
        <w:r w:rsidRPr="00CD7B95">
          <w:rPr>
            <w:rStyle w:val="Lienhypertexte"/>
            <w:rFonts w:ascii="Calibri" w:hAnsi="Calibri" w:cs="Calibri"/>
            <w:color w:val="000000" w:themeColor="text1"/>
            <w:shd w:val="clear" w:color="auto" w:fill="FFFFFF"/>
          </w:rPr>
          <w:t>ensilage</w:t>
        </w:r>
      </w:hyperlink>
      <w:r w:rsidRPr="00CD7B95">
        <w:rPr>
          <w:rFonts w:ascii="Calibri" w:hAnsi="Calibri" w:cs="Calibri"/>
          <w:color w:val="000000" w:themeColor="text1"/>
          <w:shd w:val="clear" w:color="auto" w:fill="FFFFFF"/>
        </w:rPr>
        <w:t> ou à la </w:t>
      </w:r>
      <w:hyperlink r:id="rId1898" w:tooltip="Pâturage (alimentation)" w:history="1">
        <w:r w:rsidRPr="00CD7B95">
          <w:rPr>
            <w:rStyle w:val="Lienhypertexte"/>
            <w:rFonts w:ascii="Calibri" w:hAnsi="Calibri" w:cs="Calibri"/>
            <w:color w:val="000000" w:themeColor="text1"/>
            <w:shd w:val="clear" w:color="auto" w:fill="FFFFFF"/>
          </w:rPr>
          <w:t>pâture</w:t>
        </w:r>
      </w:hyperlink>
      <w:r w:rsidRPr="00CD7B95">
        <w:rPr>
          <w:rFonts w:ascii="Calibri" w:hAnsi="Calibri" w:cs="Calibri"/>
          <w:color w:val="000000" w:themeColor="text1"/>
          <w:shd w:val="clear" w:color="auto" w:fill="FFFFFF"/>
        </w:rPr>
        <w:t> principalement dans les pays occidentaux et en Afrique du Nord.</w:t>
      </w:r>
    </w:p>
    <w:p w14:paraId="1724E3BE" w14:textId="54C6FDA5" w:rsidR="005456B2" w:rsidRPr="00CD7B95" w:rsidRDefault="005456B2" w:rsidP="00172F03">
      <w:pPr>
        <w:spacing w:after="0" w:line="240" w:lineRule="auto"/>
        <w:jc w:val="both"/>
        <w:rPr>
          <w:rFonts w:ascii="Calibri" w:hAnsi="Calibri" w:cs="Calibri"/>
          <w:color w:val="000000" w:themeColor="text1"/>
          <w:shd w:val="clear" w:color="auto" w:fill="FFFFFF"/>
        </w:rPr>
      </w:pPr>
      <w:r w:rsidRPr="00CD7B95">
        <w:rPr>
          <w:rFonts w:ascii="Calibri" w:hAnsi="Calibri" w:cs="Calibri"/>
          <w:color w:val="000000" w:themeColor="text1"/>
          <w:shd w:val="clear" w:color="auto" w:fill="FFFFFF"/>
        </w:rPr>
        <w:t>Production de sucre et sirop : des tiges du sorgo bicolore est extraite une mélasse ou un </w:t>
      </w:r>
      <w:hyperlink r:id="rId1899" w:tooltip="Sirop" w:history="1">
        <w:r w:rsidRPr="005456B2">
          <w:rPr>
            <w:rStyle w:val="Lienhypertexte"/>
            <w:rFonts w:ascii="Calibri" w:hAnsi="Calibri" w:cs="Calibri"/>
            <w:color w:val="0645AD"/>
            <w:shd w:val="clear" w:color="auto" w:fill="FFFFFF"/>
          </w:rPr>
          <w:t>sirop</w:t>
        </w:r>
      </w:hyperlink>
      <w:r w:rsidRPr="005456B2">
        <w:rPr>
          <w:rFonts w:ascii="Calibri" w:hAnsi="Calibri" w:cs="Calibri"/>
          <w:color w:val="202122"/>
          <w:shd w:val="clear" w:color="auto" w:fill="FFFFFF"/>
        </w:rPr>
        <w:t> sucré (</w:t>
      </w:r>
      <w:hyperlink r:id="rId1900" w:tooltip="Sirop de sorgo" w:history="1">
        <w:r w:rsidRPr="005456B2">
          <w:rPr>
            <w:rStyle w:val="Lienhypertexte"/>
            <w:rFonts w:ascii="Calibri" w:hAnsi="Calibri" w:cs="Calibri"/>
            <w:color w:val="0645AD"/>
            <w:shd w:val="clear" w:color="auto" w:fill="FFFFFF"/>
          </w:rPr>
          <w:t>sirop de sorgo</w:t>
        </w:r>
      </w:hyperlink>
      <w:r w:rsidRPr="005456B2">
        <w:rPr>
          <w:rFonts w:ascii="Calibri" w:hAnsi="Calibri" w:cs="Calibri"/>
          <w:color w:val="202122"/>
          <w:shd w:val="clear" w:color="auto" w:fill="FFFFFF"/>
        </w:rPr>
        <w:t xml:space="preserve">). </w:t>
      </w:r>
      <w:r w:rsidRPr="00CD7B95">
        <w:rPr>
          <w:rFonts w:ascii="Calibri" w:hAnsi="Calibri" w:cs="Calibri"/>
          <w:color w:val="000000" w:themeColor="text1"/>
          <w:shd w:val="clear" w:color="auto" w:fill="FFFFFF"/>
        </w:rPr>
        <w:t>Les tiges de sorgo bicolore se mâchent tout comme la canne à sucre.</w:t>
      </w:r>
    </w:p>
    <w:p w14:paraId="70FD7C2E" w14:textId="039CEDD3" w:rsidR="005456B2" w:rsidRPr="005456B2" w:rsidRDefault="005456B2" w:rsidP="00172F03">
      <w:pPr>
        <w:spacing w:after="0" w:line="240" w:lineRule="auto"/>
        <w:jc w:val="both"/>
        <w:rPr>
          <w:rFonts w:ascii="Calibri" w:hAnsi="Calibri" w:cs="Calibri"/>
          <w:color w:val="202122"/>
          <w:shd w:val="clear" w:color="auto" w:fill="FFFFFF"/>
        </w:rPr>
      </w:pPr>
      <w:r w:rsidRPr="00CD7B95">
        <w:rPr>
          <w:rFonts w:ascii="Calibri" w:hAnsi="Calibri" w:cs="Calibri"/>
          <w:color w:val="000000" w:themeColor="text1"/>
          <w:u w:val="single"/>
          <w:shd w:val="clear" w:color="auto" w:fill="FFFFFF"/>
        </w:rPr>
        <w:t>Alcool</w:t>
      </w:r>
      <w:r w:rsidRPr="00CD7B95">
        <w:rPr>
          <w:rFonts w:ascii="Calibri" w:hAnsi="Calibri" w:cs="Calibri"/>
          <w:color w:val="000000" w:themeColor="text1"/>
          <w:shd w:val="clear" w:color="auto" w:fill="FFFFFF"/>
        </w:rPr>
        <w:t>, notamment au </w:t>
      </w:r>
      <w:hyperlink r:id="rId1901" w:tooltip="Burkina Faso" w:history="1">
        <w:r w:rsidRPr="005456B2">
          <w:rPr>
            <w:rStyle w:val="Lienhypertexte"/>
            <w:rFonts w:ascii="Calibri" w:hAnsi="Calibri" w:cs="Calibri"/>
            <w:color w:val="0645AD"/>
            <w:shd w:val="clear" w:color="auto" w:fill="FFFFFF"/>
          </w:rPr>
          <w:t>Burkina Faso</w:t>
        </w:r>
      </w:hyperlink>
      <w:r w:rsidRPr="005456B2">
        <w:rPr>
          <w:rFonts w:ascii="Calibri" w:hAnsi="Calibri" w:cs="Calibri"/>
          <w:color w:val="202122"/>
          <w:shd w:val="clear" w:color="auto" w:fill="FFFFFF"/>
        </w:rPr>
        <w:t xml:space="preserve">, </w:t>
      </w:r>
      <w:r w:rsidRPr="00CD7B95">
        <w:rPr>
          <w:rFonts w:ascii="Calibri" w:hAnsi="Calibri" w:cs="Calibri"/>
          <w:color w:val="000000" w:themeColor="text1"/>
          <w:shd w:val="clear" w:color="auto" w:fill="FFFFFF"/>
        </w:rPr>
        <w:t>mais aussi et surtout en Chine avec le </w:t>
      </w:r>
      <w:hyperlink r:id="rId1902" w:tooltip="Maotai" w:history="1">
        <w:r w:rsidRPr="005456B2">
          <w:rPr>
            <w:rStyle w:val="Lienhypertexte"/>
            <w:rFonts w:ascii="Calibri" w:hAnsi="Calibri" w:cs="Calibri"/>
            <w:i/>
            <w:iCs/>
            <w:color w:val="0645AD"/>
            <w:shd w:val="clear" w:color="auto" w:fill="FFFFFF"/>
          </w:rPr>
          <w:t>maotai</w:t>
        </w:r>
      </w:hyperlink>
      <w:r w:rsidRPr="005456B2">
        <w:rPr>
          <w:rFonts w:ascii="Calibri" w:hAnsi="Calibri" w:cs="Calibri"/>
          <w:color w:val="202122"/>
          <w:shd w:val="clear" w:color="auto" w:fill="FFFFFF"/>
        </w:rPr>
        <w:t xml:space="preserve">, </w:t>
      </w:r>
      <w:r w:rsidRPr="00CD7B95">
        <w:rPr>
          <w:rFonts w:ascii="Calibri" w:hAnsi="Calibri" w:cs="Calibri"/>
          <w:color w:val="000000" w:themeColor="text1"/>
          <w:shd w:val="clear" w:color="auto" w:fill="FFFFFF"/>
        </w:rPr>
        <w:t xml:space="preserve">alcool de sorgo, considéré </w:t>
      </w:r>
      <w:r w:rsidRPr="005456B2">
        <w:rPr>
          <w:rFonts w:ascii="Calibri" w:hAnsi="Calibri" w:cs="Calibri"/>
          <w:color w:val="202122"/>
          <w:shd w:val="clear" w:color="auto" w:fill="FFFFFF"/>
        </w:rPr>
        <w:t>en </w:t>
      </w:r>
      <w:hyperlink r:id="rId1903" w:tooltip="Monde chinois" w:history="1">
        <w:r w:rsidRPr="005456B2">
          <w:rPr>
            <w:rStyle w:val="Lienhypertexte"/>
            <w:rFonts w:ascii="Calibri" w:hAnsi="Calibri" w:cs="Calibri"/>
            <w:color w:val="0645AD"/>
            <w:shd w:val="clear" w:color="auto" w:fill="FFFFFF"/>
          </w:rPr>
          <w:t>Chine</w:t>
        </w:r>
      </w:hyperlink>
      <w:r w:rsidRPr="005456B2">
        <w:rPr>
          <w:rFonts w:ascii="Calibri" w:hAnsi="Calibri" w:cs="Calibri"/>
          <w:color w:val="202122"/>
          <w:shd w:val="clear" w:color="auto" w:fill="FFFFFF"/>
        </w:rPr>
        <w:t xml:space="preserve">, </w:t>
      </w:r>
      <w:r w:rsidRPr="00CD7B95">
        <w:rPr>
          <w:rFonts w:ascii="Calibri" w:hAnsi="Calibri" w:cs="Calibri"/>
          <w:color w:val="000000" w:themeColor="text1"/>
          <w:shd w:val="clear" w:color="auto" w:fill="FFFFFF"/>
        </w:rPr>
        <w:t>comme le meilleur alcool.</w:t>
      </w:r>
    </w:p>
    <w:p w14:paraId="365C674F" w14:textId="05FD8CEB" w:rsidR="005456B2" w:rsidRPr="007532BB" w:rsidRDefault="00000000" w:rsidP="00172F03">
      <w:pPr>
        <w:spacing w:after="0" w:line="240" w:lineRule="auto"/>
        <w:jc w:val="both"/>
        <w:rPr>
          <w:rFonts w:ascii="Calibri" w:hAnsi="Calibri" w:cs="Calibri"/>
          <w:color w:val="000000" w:themeColor="text1"/>
          <w:shd w:val="clear" w:color="auto" w:fill="FFFFFF"/>
        </w:rPr>
      </w:pPr>
      <w:hyperlink r:id="rId1904" w:tooltip="Agrocarburant" w:history="1">
        <w:r w:rsidR="005456B2" w:rsidRPr="005456B2">
          <w:rPr>
            <w:rStyle w:val="Lienhypertexte"/>
            <w:rFonts w:ascii="Calibri" w:hAnsi="Calibri" w:cs="Calibri"/>
            <w:color w:val="0645AD"/>
            <w:shd w:val="clear" w:color="auto" w:fill="FFFFFF"/>
          </w:rPr>
          <w:t>Agrocarburant</w:t>
        </w:r>
      </w:hyperlink>
      <w:r w:rsidR="005456B2" w:rsidRPr="005456B2">
        <w:rPr>
          <w:rFonts w:ascii="Calibri" w:hAnsi="Calibri" w:cs="Calibri"/>
          <w:color w:val="202122"/>
          <w:shd w:val="clear" w:color="auto" w:fill="FFFFFF"/>
        </w:rPr>
        <w:t xml:space="preserve"> : </w:t>
      </w:r>
      <w:r w:rsidR="005456B2" w:rsidRPr="007532BB">
        <w:rPr>
          <w:rFonts w:ascii="Calibri" w:hAnsi="Calibri" w:cs="Calibri"/>
          <w:color w:val="000000" w:themeColor="text1"/>
          <w:shd w:val="clear" w:color="auto" w:fill="FFFFFF"/>
        </w:rPr>
        <w:t>le sorgo à sucre pourrait être une solution pour produire un agrocarburant tel que le </w:t>
      </w:r>
      <w:hyperlink r:id="rId1905" w:tooltip="Bioéthanol" w:history="1">
        <w:r w:rsidR="005456B2" w:rsidRPr="005456B2">
          <w:rPr>
            <w:rStyle w:val="Lienhypertexte"/>
            <w:rFonts w:ascii="Calibri" w:hAnsi="Calibri" w:cs="Calibri"/>
            <w:color w:val="0645AD"/>
            <w:shd w:val="clear" w:color="auto" w:fill="FFFFFF"/>
          </w:rPr>
          <w:t>bioéthanol</w:t>
        </w:r>
      </w:hyperlink>
      <w:r w:rsidR="005456B2" w:rsidRPr="005456B2">
        <w:rPr>
          <w:rFonts w:ascii="Calibri" w:hAnsi="Calibri" w:cs="Calibri"/>
          <w:color w:val="202122"/>
          <w:shd w:val="clear" w:color="auto" w:fill="FFFFFF"/>
        </w:rPr>
        <w:t xml:space="preserve">, </w:t>
      </w:r>
      <w:r w:rsidR="005456B2" w:rsidRPr="007532BB">
        <w:rPr>
          <w:rFonts w:ascii="Calibri" w:hAnsi="Calibri" w:cs="Calibri"/>
          <w:color w:val="000000" w:themeColor="text1"/>
          <w:shd w:val="clear" w:color="auto" w:fill="FFFFFF"/>
        </w:rPr>
        <w:t>avec le risque quasi-certain cependant de mettre en péril les cultures vivrières locales. L'accaparement de surfaces potentiellement destinées à l'alimentation va devenir un problème crucial.</w:t>
      </w:r>
    </w:p>
    <w:p w14:paraId="4658BF90" w14:textId="6F3E59AA" w:rsidR="005456B2" w:rsidRDefault="005456B2" w:rsidP="005456B2">
      <w:pPr>
        <w:shd w:val="clear" w:color="auto" w:fill="FFFFFF"/>
        <w:spacing w:after="0" w:line="240" w:lineRule="auto"/>
        <w:jc w:val="both"/>
        <w:rPr>
          <w:rFonts w:ascii="Calibri" w:hAnsi="Calibri" w:cs="Calibri"/>
        </w:rPr>
      </w:pPr>
      <w:r w:rsidRPr="007532BB">
        <w:rPr>
          <w:rFonts w:ascii="Calibri" w:hAnsi="Calibri" w:cs="Calibri"/>
          <w:color w:val="000000" w:themeColor="text1"/>
        </w:rPr>
        <w:t>Le sorgo fibre permet grâce à la </w:t>
      </w:r>
      <w:hyperlink r:id="rId1906" w:tooltip="Méthanisation" w:history="1">
        <w:r w:rsidRPr="005456B2">
          <w:rPr>
            <w:rStyle w:val="Lienhypertexte"/>
            <w:rFonts w:ascii="Calibri" w:hAnsi="Calibri" w:cs="Calibri"/>
            <w:color w:val="0645AD"/>
          </w:rPr>
          <w:t>méthanisation</w:t>
        </w:r>
      </w:hyperlink>
      <w:r w:rsidRPr="005456B2">
        <w:rPr>
          <w:rFonts w:ascii="Calibri" w:hAnsi="Calibri" w:cs="Calibri"/>
          <w:color w:val="202122"/>
        </w:rPr>
        <w:t> </w:t>
      </w:r>
      <w:r w:rsidRPr="007532BB">
        <w:rPr>
          <w:rFonts w:ascii="Calibri" w:hAnsi="Calibri" w:cs="Calibri"/>
          <w:color w:val="000000" w:themeColor="text1"/>
        </w:rPr>
        <w:t>de sa </w:t>
      </w:r>
      <w:hyperlink r:id="rId1907" w:tooltip="Biomasse (écologie)" w:history="1">
        <w:r w:rsidRPr="005456B2">
          <w:rPr>
            <w:rStyle w:val="Lienhypertexte"/>
            <w:rFonts w:ascii="Calibri" w:hAnsi="Calibri" w:cs="Calibri"/>
            <w:color w:val="0645AD"/>
          </w:rPr>
          <w:t>biomasse</w:t>
        </w:r>
      </w:hyperlink>
      <w:r w:rsidRPr="005456B2">
        <w:rPr>
          <w:rFonts w:ascii="Calibri" w:hAnsi="Calibri" w:cs="Calibri"/>
          <w:color w:val="202122"/>
        </w:rPr>
        <w:t> </w:t>
      </w:r>
      <w:r w:rsidRPr="007532BB">
        <w:rPr>
          <w:rFonts w:ascii="Calibri" w:hAnsi="Calibri" w:cs="Calibri"/>
          <w:color w:val="000000" w:themeColor="text1"/>
        </w:rPr>
        <w:t>la fabrication de </w:t>
      </w:r>
      <w:hyperlink r:id="rId1908" w:tooltip="Biomatériaux" w:history="1">
        <w:r w:rsidRPr="005456B2">
          <w:rPr>
            <w:rStyle w:val="Lienhypertexte"/>
            <w:rFonts w:ascii="Calibri" w:hAnsi="Calibri" w:cs="Calibri"/>
            <w:color w:val="0645AD"/>
          </w:rPr>
          <w:t>biomatériaux</w:t>
        </w:r>
      </w:hyperlink>
      <w:r w:rsidRPr="005456B2">
        <w:rPr>
          <w:rFonts w:ascii="Calibri" w:hAnsi="Calibri" w:cs="Calibri"/>
          <w:color w:val="202122"/>
        </w:rPr>
        <w:t> </w:t>
      </w:r>
      <w:r w:rsidRPr="005427A9">
        <w:rPr>
          <w:rFonts w:ascii="Calibri" w:hAnsi="Calibri" w:cs="Calibri"/>
        </w:rPr>
        <w:t>destinés à la fabrication de films plastiques ou de balais biodégradables.</w:t>
      </w:r>
    </w:p>
    <w:p w14:paraId="4602B64F" w14:textId="18F2587F" w:rsidR="005427A9" w:rsidRDefault="005427A9" w:rsidP="005456B2">
      <w:pPr>
        <w:shd w:val="clear" w:color="auto" w:fill="FFFFFF"/>
        <w:spacing w:after="0" w:line="240" w:lineRule="auto"/>
        <w:jc w:val="both"/>
        <w:rPr>
          <w:rFonts w:ascii="Calibri" w:hAnsi="Calibri" w:cs="Calibri"/>
        </w:rPr>
      </w:pPr>
      <w:r w:rsidRPr="005427A9">
        <w:rPr>
          <w:rFonts w:ascii="Calibri" w:hAnsi="Calibri" w:cs="Calibri"/>
          <w:u w:val="single"/>
        </w:rPr>
        <w:t>Toxicité</w:t>
      </w:r>
      <w:r>
        <w:rPr>
          <w:rFonts w:ascii="Calibri" w:hAnsi="Calibri" w:cs="Calibri"/>
        </w:rPr>
        <w:t xml:space="preserve"> : </w:t>
      </w:r>
      <w:r w:rsidRPr="005427A9">
        <w:rPr>
          <w:rFonts w:ascii="Calibri" w:hAnsi="Calibri" w:cs="Calibri"/>
          <w:u w:val="single"/>
        </w:rPr>
        <w:t>Intoxication par le cyanure d'hydrogène</w:t>
      </w:r>
      <w:r>
        <w:rPr>
          <w:rFonts w:ascii="Calibri" w:hAnsi="Calibri" w:cs="Calibri"/>
        </w:rPr>
        <w:t xml:space="preserve"> : </w:t>
      </w:r>
      <w:r w:rsidRPr="005427A9">
        <w:rPr>
          <w:rFonts w:ascii="Calibri" w:hAnsi="Calibri" w:cs="Calibri"/>
        </w:rPr>
        <w:t xml:space="preserve">Le sorgho commun contient de la dhurrine, glucoside toxique qui produit à parts égales de l'acide cyanhydrique (HCN) et du p-hydroxylbenzaldéhyde lorsqu'elle est hydrolysée sous l'action d'enzymes présents dans les cellules. Cela se produit lorsque les tissus végétaux sont perturbés (broyage, mastication, etc.). La teneur en dhurrine diminue au fur et à mesure de la croissance et surtout après la floraison, elle dépend aussi des conditions environnementales. Les sorghos à grains et les sorghos sucriers ont des teneurs en dhurrine plus élevées que les sorghos fourragers. </w:t>
      </w:r>
      <w:r w:rsidRPr="005427A9">
        <w:rPr>
          <w:rFonts w:ascii="Calibri" w:hAnsi="Calibri" w:cs="Calibri"/>
          <w:shd w:val="clear" w:color="auto" w:fill="FFFFFF"/>
        </w:rPr>
        <w:t>Le risque d'intoxication par le cyanure concerne les animaux en particulier en cas d'ingestion de plants jeunes ou de repousses, en particulier s'il s'agit de plantes stressées ou endommagées. Il est faible lorsque les animaux consomment des plants au stade de la floraison ou de la mise à graines, ou sous forme d</w:t>
      </w:r>
      <w:r w:rsidRPr="005427A9">
        <w:rPr>
          <w:rFonts w:ascii="Calibri" w:hAnsi="Calibri" w:cs="Calibri"/>
          <w:color w:val="202122"/>
          <w:shd w:val="clear" w:color="auto" w:fill="FFFFFF"/>
        </w:rPr>
        <w:t>'</w:t>
      </w:r>
      <w:hyperlink r:id="rId1909" w:tooltip="Ensilage" w:history="1">
        <w:r w:rsidRPr="005427A9">
          <w:rPr>
            <w:rStyle w:val="Lienhypertexte"/>
            <w:rFonts w:ascii="Calibri" w:hAnsi="Calibri" w:cs="Calibri"/>
            <w:color w:val="0645AD"/>
            <w:shd w:val="clear" w:color="auto" w:fill="FFFFFF"/>
          </w:rPr>
          <w:t>ensilage</w:t>
        </w:r>
      </w:hyperlink>
      <w:r w:rsidRPr="005427A9">
        <w:rPr>
          <w:rFonts w:ascii="Calibri" w:hAnsi="Calibri" w:cs="Calibri"/>
        </w:rPr>
        <w:t>.</w:t>
      </w:r>
    </w:p>
    <w:p w14:paraId="2439C0BA" w14:textId="6D517BE1" w:rsidR="005427A9" w:rsidRDefault="005427A9" w:rsidP="005456B2">
      <w:pPr>
        <w:shd w:val="clear" w:color="auto" w:fill="FFFFFF"/>
        <w:spacing w:after="0" w:line="240" w:lineRule="auto"/>
        <w:jc w:val="both"/>
        <w:rPr>
          <w:rFonts w:ascii="Calibri" w:hAnsi="Calibri" w:cs="Calibri"/>
        </w:rPr>
      </w:pPr>
      <w:r w:rsidRPr="005427A9">
        <w:rPr>
          <w:rFonts w:ascii="Calibri" w:hAnsi="Calibri" w:cs="Calibri"/>
          <w:u w:val="single"/>
        </w:rPr>
        <w:t>Intoxication par les nitrates</w:t>
      </w:r>
      <w:r w:rsidRPr="005427A9">
        <w:rPr>
          <w:rFonts w:ascii="Calibri" w:hAnsi="Calibri" w:cs="Calibri"/>
        </w:rPr>
        <w:t xml:space="preserve"> : </w:t>
      </w:r>
      <w:r w:rsidRPr="005427A9">
        <w:rPr>
          <w:rFonts w:ascii="Calibri" w:hAnsi="Calibri" w:cs="Calibri"/>
          <w:shd w:val="clear" w:color="auto" w:fill="FFFFFF"/>
        </w:rPr>
        <w:t xml:space="preserve">A l'instar d'autres espèces de graminées, telles que le mil </w:t>
      </w:r>
      <w:r w:rsidRPr="005427A9">
        <w:rPr>
          <w:rFonts w:ascii="Calibri" w:hAnsi="Calibri" w:cs="Calibri"/>
          <w:color w:val="202122"/>
          <w:shd w:val="clear" w:color="auto" w:fill="FFFFFF"/>
        </w:rPr>
        <w:t>(</w:t>
      </w:r>
      <w:hyperlink r:id="rId1910" w:tooltip="Mil à chandelle" w:history="1">
        <w:r w:rsidRPr="005427A9">
          <w:rPr>
            <w:rStyle w:val="Lienhypertexte"/>
            <w:rFonts w:ascii="Calibri" w:hAnsi="Calibri" w:cs="Calibri"/>
            <w:i/>
            <w:iCs/>
            <w:color w:val="0645AD"/>
            <w:shd w:val="clear" w:color="auto" w:fill="FFFFFF"/>
          </w:rPr>
          <w:t>Pennisetum glaucum</w:t>
        </w:r>
      </w:hyperlink>
      <w:r w:rsidRPr="005427A9">
        <w:rPr>
          <w:rFonts w:ascii="Calibri" w:hAnsi="Calibri" w:cs="Calibri"/>
          <w:color w:val="202122"/>
          <w:shd w:val="clear" w:color="auto" w:fill="FFFFFF"/>
        </w:rPr>
        <w:t xml:space="preserve">) et </w:t>
      </w:r>
      <w:r w:rsidRPr="005427A9">
        <w:rPr>
          <w:rFonts w:ascii="Calibri" w:hAnsi="Calibri" w:cs="Calibri"/>
          <w:shd w:val="clear" w:color="auto" w:fill="FFFFFF"/>
        </w:rPr>
        <w:t>le </w:t>
      </w:r>
      <w:r w:rsidRPr="005427A9">
        <w:rPr>
          <w:rFonts w:ascii="Calibri" w:hAnsi="Calibri" w:cs="Calibri"/>
          <w:i/>
          <w:iCs/>
          <w:shd w:val="clear" w:color="auto" w:fill="FFFFFF"/>
        </w:rPr>
        <w:t>Sudan Grass</w:t>
      </w:r>
      <w:r w:rsidRPr="005427A9">
        <w:rPr>
          <w:rFonts w:ascii="Calibri" w:hAnsi="Calibri" w:cs="Calibri"/>
          <w:shd w:val="clear" w:color="auto" w:fill="FFFFFF"/>
        </w:rPr>
        <w:t> (herbe du Soudan</w:t>
      </w:r>
      <w:r w:rsidRPr="005427A9">
        <w:rPr>
          <w:rFonts w:ascii="Calibri" w:hAnsi="Calibri" w:cs="Calibri"/>
          <w:color w:val="202122"/>
          <w:shd w:val="clear" w:color="auto" w:fill="FFFFFF"/>
        </w:rPr>
        <w:t>, </w:t>
      </w:r>
      <w:hyperlink r:id="rId1911" w:tooltip="Sorghum ×drummondii" w:history="1">
        <w:r w:rsidRPr="005427A9">
          <w:rPr>
            <w:rStyle w:val="Lienhypertexte"/>
            <w:rFonts w:ascii="Calibri" w:hAnsi="Calibri" w:cs="Calibri"/>
            <w:i/>
            <w:iCs/>
            <w:color w:val="0645AD"/>
            <w:shd w:val="clear" w:color="auto" w:fill="FFFFFF"/>
          </w:rPr>
          <w:t>Sorghum ×drummondii</w:t>
        </w:r>
      </w:hyperlink>
      <w:r w:rsidRPr="005427A9">
        <w:rPr>
          <w:rFonts w:ascii="Calibri" w:hAnsi="Calibri" w:cs="Calibri"/>
          <w:color w:val="202122"/>
          <w:shd w:val="clear" w:color="auto" w:fill="FFFFFF"/>
        </w:rPr>
        <w:t xml:space="preserve">), </w:t>
      </w:r>
      <w:r w:rsidRPr="005427A9">
        <w:rPr>
          <w:rFonts w:ascii="Calibri" w:hAnsi="Calibri" w:cs="Calibri"/>
          <w:shd w:val="clear" w:color="auto" w:fill="FFFFFF"/>
        </w:rPr>
        <w:t>le sorgho à grains ou le sorgho fourrager peuvent dans certaines circonstances accumuler des </w:t>
      </w:r>
      <w:hyperlink r:id="rId1912" w:tooltip="Nitrate" w:history="1">
        <w:r w:rsidRPr="005427A9">
          <w:rPr>
            <w:rStyle w:val="Lienhypertexte"/>
            <w:rFonts w:ascii="Calibri" w:hAnsi="Calibri" w:cs="Calibri"/>
            <w:color w:val="0645AD"/>
            <w:shd w:val="clear" w:color="auto" w:fill="FFFFFF"/>
          </w:rPr>
          <w:t>nitrates</w:t>
        </w:r>
      </w:hyperlink>
      <w:r w:rsidRPr="005427A9">
        <w:rPr>
          <w:rFonts w:ascii="Calibri" w:hAnsi="Calibri" w:cs="Calibri"/>
          <w:color w:val="202122"/>
          <w:shd w:val="clear" w:color="auto" w:fill="FFFFFF"/>
        </w:rPr>
        <w:t xml:space="preserve">, </w:t>
      </w:r>
      <w:r w:rsidRPr="005427A9">
        <w:rPr>
          <w:rFonts w:ascii="Calibri" w:hAnsi="Calibri" w:cs="Calibri"/>
          <w:shd w:val="clear" w:color="auto" w:fill="FFFFFF"/>
        </w:rPr>
        <w:t>potentiellement toxiques pour les ruminants. Les nitrates sont convertis dans le </w:t>
      </w:r>
      <w:hyperlink r:id="rId1913" w:tooltip="Panse" w:history="1">
        <w:r w:rsidRPr="005427A9">
          <w:rPr>
            <w:rStyle w:val="Lienhypertexte"/>
            <w:rFonts w:ascii="Calibri" w:hAnsi="Calibri" w:cs="Calibri"/>
            <w:color w:val="0645AD"/>
            <w:shd w:val="clear" w:color="auto" w:fill="FFFFFF"/>
          </w:rPr>
          <w:t>rumen</w:t>
        </w:r>
      </w:hyperlink>
      <w:r w:rsidRPr="005427A9">
        <w:rPr>
          <w:rFonts w:ascii="Calibri" w:hAnsi="Calibri" w:cs="Calibri"/>
          <w:color w:val="202122"/>
          <w:shd w:val="clear" w:color="auto" w:fill="FFFFFF"/>
        </w:rPr>
        <w:t> en </w:t>
      </w:r>
      <w:hyperlink r:id="rId1914" w:tooltip="Nitrite" w:history="1">
        <w:r w:rsidRPr="005427A9">
          <w:rPr>
            <w:rStyle w:val="Lienhypertexte"/>
            <w:rFonts w:ascii="Calibri" w:hAnsi="Calibri" w:cs="Calibri"/>
            <w:color w:val="0645AD"/>
            <w:shd w:val="clear" w:color="auto" w:fill="FFFFFF"/>
          </w:rPr>
          <w:t>nitrites</w:t>
        </w:r>
      </w:hyperlink>
      <w:r w:rsidRPr="005427A9">
        <w:rPr>
          <w:rFonts w:ascii="Calibri" w:hAnsi="Calibri" w:cs="Calibri"/>
          <w:color w:val="202122"/>
          <w:shd w:val="clear" w:color="auto" w:fill="FFFFFF"/>
        </w:rPr>
        <w:t xml:space="preserve">. </w:t>
      </w:r>
      <w:r w:rsidRPr="005427A9">
        <w:rPr>
          <w:rFonts w:ascii="Calibri" w:hAnsi="Calibri" w:cs="Calibri"/>
          <w:shd w:val="clear" w:color="auto" w:fill="FFFFFF"/>
        </w:rPr>
        <w:t xml:space="preserve">Ceux-ci absorbés dans le sang réagissent avec l'hémoglobine pour former </w:t>
      </w:r>
      <w:r w:rsidRPr="005427A9">
        <w:rPr>
          <w:rFonts w:ascii="Calibri" w:hAnsi="Calibri" w:cs="Calibri"/>
          <w:color w:val="202122"/>
          <w:shd w:val="clear" w:color="auto" w:fill="FFFFFF"/>
        </w:rPr>
        <w:t>la </w:t>
      </w:r>
      <w:hyperlink r:id="rId1915" w:tooltip="Méthémoglobine" w:history="1">
        <w:r w:rsidRPr="005427A9">
          <w:rPr>
            <w:rStyle w:val="Lienhypertexte"/>
            <w:rFonts w:ascii="Calibri" w:hAnsi="Calibri" w:cs="Calibri"/>
            <w:color w:val="0645AD"/>
            <w:shd w:val="clear" w:color="auto" w:fill="FFFFFF"/>
          </w:rPr>
          <w:t>méthémoglobine</w:t>
        </w:r>
      </w:hyperlink>
      <w:r w:rsidRPr="005427A9">
        <w:rPr>
          <w:rFonts w:ascii="Calibri" w:hAnsi="Calibri" w:cs="Calibri"/>
          <w:color w:val="202122"/>
          <w:shd w:val="clear" w:color="auto" w:fill="FFFFFF"/>
        </w:rPr>
        <w:t xml:space="preserve">, </w:t>
      </w:r>
      <w:r w:rsidRPr="005427A9">
        <w:rPr>
          <w:rFonts w:ascii="Calibri" w:hAnsi="Calibri" w:cs="Calibri"/>
          <w:shd w:val="clear" w:color="auto" w:fill="FFFFFF"/>
        </w:rPr>
        <w:t xml:space="preserve">ce qui bloque le transport de l'oxygène. L'accumulation des nitrates dans les plantes se produit lorsque leur teneur dans le sol est élevée et que les conditions environnementales </w:t>
      </w:r>
      <w:r w:rsidRPr="005427A9">
        <w:rPr>
          <w:rFonts w:ascii="Calibri" w:hAnsi="Calibri" w:cs="Calibri"/>
          <w:color w:val="202122"/>
          <w:shd w:val="clear" w:color="auto" w:fill="FFFFFF"/>
        </w:rPr>
        <w:t>(</w:t>
      </w:r>
      <w:hyperlink r:id="rId1916" w:tooltip="Sécheresse" w:history="1">
        <w:r w:rsidRPr="005427A9">
          <w:rPr>
            <w:rStyle w:val="Lienhypertexte"/>
            <w:rFonts w:ascii="Calibri" w:hAnsi="Calibri" w:cs="Calibri"/>
            <w:color w:val="0645AD"/>
            <w:shd w:val="clear" w:color="auto" w:fill="FFFFFF"/>
          </w:rPr>
          <w:t>sécheresse</w:t>
        </w:r>
      </w:hyperlink>
      <w:r w:rsidRPr="005427A9">
        <w:rPr>
          <w:rFonts w:ascii="Calibri" w:hAnsi="Calibri" w:cs="Calibri"/>
          <w:color w:val="202122"/>
          <w:shd w:val="clear" w:color="auto" w:fill="FFFFFF"/>
        </w:rPr>
        <w:t>, temps froid, application d'</w:t>
      </w:r>
      <w:hyperlink r:id="rId1917" w:tooltip="Herbicide" w:history="1">
        <w:r w:rsidRPr="005427A9">
          <w:rPr>
            <w:rStyle w:val="Lienhypertexte"/>
            <w:rFonts w:ascii="Calibri" w:hAnsi="Calibri" w:cs="Calibri"/>
            <w:color w:val="0645AD"/>
            <w:shd w:val="clear" w:color="auto" w:fill="FFFFFF"/>
          </w:rPr>
          <w:t>herbicides</w:t>
        </w:r>
      </w:hyperlink>
      <w:r w:rsidRPr="005427A9">
        <w:rPr>
          <w:rFonts w:ascii="Calibri" w:hAnsi="Calibri" w:cs="Calibri"/>
          <w:color w:val="202122"/>
          <w:shd w:val="clear" w:color="auto" w:fill="FFFFFF"/>
        </w:rPr>
        <w:t xml:space="preserve">, etc.) </w:t>
      </w:r>
      <w:r w:rsidRPr="005427A9">
        <w:rPr>
          <w:rFonts w:ascii="Calibri" w:hAnsi="Calibri" w:cs="Calibri"/>
          <w:shd w:val="clear" w:color="auto" w:fill="FFFFFF"/>
        </w:rPr>
        <w:t>freinent leur conversion en protéines. On considère que les plantes contenant plus de 1,5 % de </w:t>
      </w:r>
      <w:hyperlink r:id="rId1918" w:tooltip="Nitrate de potassium" w:history="1">
        <w:r w:rsidRPr="005427A9">
          <w:rPr>
            <w:rStyle w:val="Lienhypertexte"/>
            <w:rFonts w:ascii="Calibri" w:hAnsi="Calibri" w:cs="Calibri"/>
            <w:color w:val="0645AD"/>
            <w:shd w:val="clear" w:color="auto" w:fill="FFFFFF"/>
          </w:rPr>
          <w:t>nitrate de potassium</w:t>
        </w:r>
      </w:hyperlink>
      <w:r w:rsidRPr="005427A9">
        <w:rPr>
          <w:rFonts w:ascii="Calibri" w:hAnsi="Calibri" w:cs="Calibri"/>
          <w:color w:val="202122"/>
          <w:shd w:val="clear" w:color="auto" w:fill="FFFFFF"/>
        </w:rPr>
        <w:t> (</w:t>
      </w:r>
      <w:r w:rsidRPr="005427A9">
        <w:rPr>
          <w:rFonts w:ascii="Calibri" w:hAnsi="Calibri" w:cs="Calibri"/>
          <w:shd w:val="clear" w:color="auto" w:fill="FFFFFF"/>
        </w:rPr>
        <w:t>KNO3) par rapport à la matière sèche sont potentiellement dangereuses pour du bétail affamé</w:t>
      </w:r>
      <w:r>
        <w:rPr>
          <w:rFonts w:ascii="Calibri" w:hAnsi="Calibri" w:cs="Calibri"/>
        </w:rPr>
        <w:t>.</w:t>
      </w:r>
    </w:p>
    <w:p w14:paraId="6A0A6165" w14:textId="3464DA99" w:rsidR="005427A9" w:rsidRDefault="005427A9" w:rsidP="005456B2">
      <w:pPr>
        <w:shd w:val="clear" w:color="auto" w:fill="FFFFFF"/>
        <w:spacing w:after="0" w:line="240" w:lineRule="auto"/>
        <w:jc w:val="both"/>
        <w:rPr>
          <w:rFonts w:ascii="Calibri" w:hAnsi="Calibri" w:cs="Calibri"/>
        </w:rPr>
      </w:pPr>
      <w:r w:rsidRPr="005427A9">
        <w:rPr>
          <w:rFonts w:ascii="Calibri" w:hAnsi="Calibri" w:cs="Calibri"/>
          <w:u w:val="single"/>
        </w:rPr>
        <w:t>Culture</w:t>
      </w:r>
      <w:r w:rsidRPr="005427A9">
        <w:rPr>
          <w:rFonts w:ascii="Calibri" w:hAnsi="Calibri" w:cs="Calibri"/>
        </w:rPr>
        <w:t xml:space="preserve"> : </w:t>
      </w:r>
      <w:r w:rsidRPr="005427A9">
        <w:rPr>
          <w:rFonts w:ascii="Calibri" w:hAnsi="Calibri" w:cs="Calibri"/>
          <w:shd w:val="clear" w:color="auto" w:fill="FFFFFF"/>
        </w:rPr>
        <w:t>Le semis se fait vers mai-juin : les graines de sorgho se sèment à environ 3−4 </w:t>
      </w:r>
      <w:r w:rsidRPr="005427A9">
        <w:rPr>
          <w:rFonts w:ascii="Calibri" w:hAnsi="Calibri" w:cs="Calibri"/>
        </w:rPr>
        <w:t>cm</w:t>
      </w:r>
      <w:r w:rsidRPr="005427A9">
        <w:rPr>
          <w:rFonts w:ascii="Calibri" w:hAnsi="Calibri" w:cs="Calibri"/>
          <w:shd w:val="clear" w:color="auto" w:fill="FFFFFF"/>
        </w:rPr>
        <w:t> de profondeur en espaçant les pieds de 40 </w:t>
      </w:r>
      <w:r w:rsidRPr="005427A9">
        <w:rPr>
          <w:rFonts w:ascii="Calibri" w:hAnsi="Calibri" w:cs="Calibri"/>
        </w:rPr>
        <w:t>cm</w:t>
      </w:r>
      <w:r w:rsidRPr="005427A9">
        <w:rPr>
          <w:rFonts w:ascii="Calibri" w:hAnsi="Calibri" w:cs="Calibri"/>
          <w:shd w:val="clear" w:color="auto" w:fill="FFFFFF"/>
        </w:rPr>
        <w:t> et les rangs de 60 </w:t>
      </w:r>
      <w:r w:rsidRPr="005427A9">
        <w:rPr>
          <w:rFonts w:ascii="Calibri" w:hAnsi="Calibri" w:cs="Calibri"/>
        </w:rPr>
        <w:t>cm</w:t>
      </w:r>
      <w:r w:rsidRPr="005427A9">
        <w:rPr>
          <w:rFonts w:ascii="Calibri" w:hAnsi="Calibri" w:cs="Calibri"/>
          <w:shd w:val="clear" w:color="auto" w:fill="FFFFFF"/>
        </w:rPr>
        <w:t>, l'objectif de peuplement étant de 150 000 à 180 000 plantes par hectare</w:t>
      </w:r>
      <w:r w:rsidRPr="005427A9">
        <w:rPr>
          <w:rFonts w:ascii="Calibri" w:hAnsi="Calibri" w:cs="Calibri"/>
        </w:rPr>
        <w:t xml:space="preserve">. </w:t>
      </w:r>
      <w:r w:rsidRPr="005427A9">
        <w:rPr>
          <w:rFonts w:ascii="Calibri" w:hAnsi="Calibri" w:cs="Calibri"/>
          <w:shd w:val="clear" w:color="auto" w:fill="FFFFFF"/>
        </w:rPr>
        <w:t>Les graines se récoltent à l'automne lorsqu'elles sont dures, idéalement avant les gelées. Il faut ensuite les faire sécher et les décortiquer pour enlever le son. En France, son </w:t>
      </w:r>
      <w:hyperlink r:id="rId1919" w:tooltip="Rendement agricole" w:history="1">
        <w:r w:rsidRPr="005427A9">
          <w:rPr>
            <w:rStyle w:val="Lienhypertexte"/>
            <w:rFonts w:ascii="Calibri" w:hAnsi="Calibri" w:cs="Calibri"/>
            <w:color w:val="0645AD"/>
            <w:shd w:val="clear" w:color="auto" w:fill="FFFFFF"/>
          </w:rPr>
          <w:t>rendement</w:t>
        </w:r>
      </w:hyperlink>
      <w:r w:rsidRPr="005427A9">
        <w:rPr>
          <w:rFonts w:ascii="Calibri" w:hAnsi="Calibri" w:cs="Calibri"/>
          <w:color w:val="202122"/>
          <w:shd w:val="clear" w:color="auto" w:fill="FFFFFF"/>
        </w:rPr>
        <w:t> </w:t>
      </w:r>
      <w:r w:rsidRPr="005427A9">
        <w:rPr>
          <w:rFonts w:ascii="Calibri" w:hAnsi="Calibri" w:cs="Calibri"/>
          <w:shd w:val="clear" w:color="auto" w:fill="FFFFFF"/>
        </w:rPr>
        <w:t>moyen est de 53 </w:t>
      </w:r>
      <w:r w:rsidRPr="005427A9">
        <w:rPr>
          <w:rFonts w:ascii="Calibri" w:hAnsi="Calibri" w:cs="Calibri"/>
        </w:rPr>
        <w:t>quintaux/hectare.</w:t>
      </w:r>
    </w:p>
    <w:p w14:paraId="1C22ED96" w14:textId="089F3435" w:rsidR="005427A9" w:rsidRPr="005427A9" w:rsidRDefault="005427A9" w:rsidP="005456B2">
      <w:pPr>
        <w:shd w:val="clear" w:color="auto" w:fill="FFFFFF"/>
        <w:spacing w:after="0" w:line="240" w:lineRule="auto"/>
        <w:jc w:val="both"/>
        <w:rPr>
          <w:rFonts w:ascii="Calibri" w:hAnsi="Calibri" w:cs="Calibri"/>
        </w:rPr>
      </w:pPr>
      <w:r w:rsidRPr="005427A9">
        <w:rPr>
          <w:rFonts w:ascii="Calibri" w:hAnsi="Calibri" w:cs="Calibri"/>
          <w:u w:val="single"/>
        </w:rPr>
        <w:t>Nutrition</w:t>
      </w:r>
      <w:r w:rsidRPr="005427A9">
        <w:rPr>
          <w:rFonts w:ascii="Calibri" w:hAnsi="Calibri" w:cs="Calibri"/>
        </w:rPr>
        <w:t xml:space="preserve"> : </w:t>
      </w:r>
      <w:r w:rsidRPr="005427A9">
        <w:rPr>
          <w:rFonts w:ascii="Calibri" w:hAnsi="Calibri" w:cs="Calibri"/>
          <w:shd w:val="clear" w:color="auto" w:fill="FFFFFF"/>
        </w:rPr>
        <w:t>Le millet et le sorgo ne contiennent pas de gluten. On peut maintenant trouver les farines et les grains certifiés sans gluten de ces céréales dans des endroits spécialisés pour les allergies alimentaires. Il existe également de la bière certifiée sans gluten.</w:t>
      </w:r>
    </w:p>
    <w:p w14:paraId="347164F4" w14:textId="3DA5A865" w:rsidR="005456B2" w:rsidRDefault="00DA3F6B" w:rsidP="00172F03">
      <w:pPr>
        <w:spacing w:after="0" w:line="240" w:lineRule="auto"/>
        <w:jc w:val="both"/>
        <w:rPr>
          <w:rFonts w:ascii="Calibri" w:hAnsi="Calibri" w:cs="Calibri"/>
        </w:rPr>
      </w:pPr>
      <w:r w:rsidRPr="00DA3F6B">
        <w:rPr>
          <w:rFonts w:ascii="Calibri" w:hAnsi="Calibri" w:cs="Calibri"/>
          <w:u w:val="single"/>
        </w:rPr>
        <w:t>Variétés cultivées</w:t>
      </w:r>
      <w:r w:rsidRPr="00DA3F6B">
        <w:rPr>
          <w:rFonts w:ascii="Calibri" w:hAnsi="Calibri" w:cs="Calibri"/>
        </w:rPr>
        <w:t xml:space="preserve"> : </w:t>
      </w:r>
      <w:r w:rsidRPr="00DA3F6B">
        <w:rPr>
          <w:rFonts w:ascii="Calibri" w:hAnsi="Calibri" w:cs="Calibri"/>
          <w:shd w:val="clear" w:color="auto" w:fill="FFFFFF"/>
        </w:rPr>
        <w:t>Il existe plus de 128 variétés de sorgho grain inscrites dans le Catalogue européen des espèces et variétés. Environ 145 variétés de sorgho grain sont inscrites au Catalogue officiel français</w:t>
      </w:r>
      <w:r w:rsidRPr="00DA3F6B">
        <w:rPr>
          <w:rFonts w:ascii="Calibri" w:hAnsi="Calibri" w:cs="Calibri"/>
        </w:rPr>
        <w:t>.</w:t>
      </w:r>
    </w:p>
    <w:p w14:paraId="173A0402" w14:textId="6A324124" w:rsidR="00DA3F6B" w:rsidRDefault="00DA3F6B" w:rsidP="00172F03">
      <w:pPr>
        <w:spacing w:after="0" w:line="240" w:lineRule="auto"/>
        <w:jc w:val="both"/>
        <w:rPr>
          <w:rFonts w:ascii="Calibri" w:hAnsi="Calibri" w:cs="Calibri"/>
        </w:rPr>
      </w:pPr>
      <w:r>
        <w:rPr>
          <w:rFonts w:ascii="Calibri" w:hAnsi="Calibri" w:cs="Calibri"/>
        </w:rPr>
        <w:t xml:space="preserve">Sources : a) </w:t>
      </w:r>
      <w:hyperlink r:id="rId1920" w:history="1">
        <w:r w:rsidRPr="00224761">
          <w:rPr>
            <w:rStyle w:val="Lienhypertexte"/>
            <w:rFonts w:ascii="Calibri" w:hAnsi="Calibri" w:cs="Calibri"/>
          </w:rPr>
          <w:t>https://fr.wikipedia.org/wiki/Sorgo_commun</w:t>
        </w:r>
      </w:hyperlink>
    </w:p>
    <w:p w14:paraId="3B8036D1" w14:textId="119D0965" w:rsidR="00DA3F6B" w:rsidRDefault="00DA3F6B" w:rsidP="00172F03">
      <w:pPr>
        <w:spacing w:after="0" w:line="240" w:lineRule="auto"/>
        <w:jc w:val="both"/>
        <w:rPr>
          <w:rFonts w:ascii="Calibri" w:hAnsi="Calibri" w:cs="Calibri"/>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4A7E7F" w:rsidRPr="004A7E7F" w14:paraId="792BD057" w14:textId="77777777" w:rsidTr="004A7E7F">
        <w:tc>
          <w:tcPr>
            <w:tcW w:w="3472" w:type="dxa"/>
          </w:tcPr>
          <w:p w14:paraId="4B247F0B" w14:textId="77777777" w:rsidR="004A7E7F" w:rsidRPr="004A7E7F" w:rsidRDefault="004A7E7F" w:rsidP="004A7E7F">
            <w:pPr>
              <w:jc w:val="center"/>
              <w:rPr>
                <w:rFonts w:ascii="Calibri" w:hAnsi="Calibri" w:cs="Calibri"/>
              </w:rPr>
            </w:pPr>
            <w:r w:rsidRPr="004A7E7F">
              <w:rPr>
                <w:rFonts w:ascii="Calibri" w:hAnsi="Calibri" w:cs="Calibri"/>
                <w:noProof/>
              </w:rPr>
              <w:lastRenderedPageBreak/>
              <w:drawing>
                <wp:inline distT="0" distB="0" distL="0" distR="0" wp14:anchorId="19C2202A" wp14:editId="7B29AAE6">
                  <wp:extent cx="1838325" cy="2466975"/>
                  <wp:effectExtent l="0" t="0" r="9525" b="9525"/>
                  <wp:docPr id="91156" name="Image 91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21">
                            <a:extLst>
                              <a:ext uri="{28A0092B-C50C-407E-A947-70E740481C1C}">
                                <a14:useLocalDpi xmlns:a14="http://schemas.microsoft.com/office/drawing/2010/main" val="0"/>
                              </a:ext>
                            </a:extLst>
                          </a:blip>
                          <a:srcRect/>
                          <a:stretch>
                            <a:fillRect/>
                          </a:stretch>
                        </pic:blipFill>
                        <pic:spPr bwMode="auto">
                          <a:xfrm>
                            <a:off x="0" y="0"/>
                            <a:ext cx="1838325" cy="2466975"/>
                          </a:xfrm>
                          <a:prstGeom prst="rect">
                            <a:avLst/>
                          </a:prstGeom>
                          <a:noFill/>
                          <a:ln>
                            <a:noFill/>
                          </a:ln>
                        </pic:spPr>
                      </pic:pic>
                    </a:graphicData>
                  </a:graphic>
                </wp:inline>
              </w:drawing>
            </w:r>
          </w:p>
          <w:p w14:paraId="20470B11" w14:textId="77777777" w:rsidR="004A7E7F" w:rsidRDefault="004A7E7F" w:rsidP="004A7E7F">
            <w:pPr>
              <w:jc w:val="center"/>
              <w:rPr>
                <w:rFonts w:ascii="Calibri" w:hAnsi="Calibri" w:cs="Calibri"/>
                <w:shd w:val="clear" w:color="auto" w:fill="F9F9F9"/>
              </w:rPr>
            </w:pPr>
            <w:r w:rsidRPr="004A7E7F">
              <w:rPr>
                <w:rFonts w:ascii="Calibri" w:hAnsi="Calibri" w:cs="Calibri"/>
                <w:shd w:val="clear" w:color="auto" w:fill="F9F9F9"/>
              </w:rPr>
              <w:t xml:space="preserve">Sorgo commun </w:t>
            </w:r>
            <w:r w:rsidRPr="004A7E7F">
              <w:rPr>
                <w:rFonts w:ascii="Calibri" w:hAnsi="Calibri" w:cs="Calibri"/>
                <w:color w:val="202122"/>
                <w:shd w:val="clear" w:color="auto" w:fill="F9F9F9"/>
              </w:rPr>
              <w:t>(</w:t>
            </w:r>
            <w:hyperlink r:id="rId1922" w:tooltip="Panicule" w:history="1">
              <w:r w:rsidRPr="004A7E7F">
                <w:rPr>
                  <w:rStyle w:val="Lienhypertexte"/>
                  <w:rFonts w:ascii="Calibri" w:hAnsi="Calibri" w:cs="Calibri"/>
                  <w:color w:val="0645AD"/>
                  <w:shd w:val="clear" w:color="auto" w:fill="F9F9F9"/>
                </w:rPr>
                <w:t>panicule</w:t>
              </w:r>
            </w:hyperlink>
            <w:r w:rsidRPr="004A7E7F">
              <w:rPr>
                <w:rFonts w:ascii="Calibri" w:hAnsi="Calibri" w:cs="Calibri"/>
                <w:color w:val="202122"/>
                <w:shd w:val="clear" w:color="auto" w:fill="F9F9F9"/>
              </w:rPr>
              <w:t> </w:t>
            </w:r>
            <w:r w:rsidRPr="004A7E7F">
              <w:rPr>
                <w:rFonts w:ascii="Calibri" w:hAnsi="Calibri" w:cs="Calibri"/>
                <w:shd w:val="clear" w:color="auto" w:fill="F9F9F9"/>
              </w:rPr>
              <w:t>au stade maturation).</w:t>
            </w:r>
          </w:p>
          <w:p w14:paraId="307D187B" w14:textId="174DD73D" w:rsidR="004A7E7F" w:rsidRPr="004A7E7F" w:rsidRDefault="004A7E7F" w:rsidP="004A7E7F">
            <w:pPr>
              <w:jc w:val="center"/>
              <w:rPr>
                <w:rFonts w:ascii="Calibri" w:hAnsi="Calibri" w:cs="Calibri"/>
              </w:rPr>
            </w:pPr>
          </w:p>
        </w:tc>
        <w:tc>
          <w:tcPr>
            <w:tcW w:w="3472" w:type="dxa"/>
          </w:tcPr>
          <w:p w14:paraId="275B41A1" w14:textId="77777777" w:rsidR="004A7E7F" w:rsidRPr="004A7E7F" w:rsidRDefault="004A7E7F" w:rsidP="004A7E7F">
            <w:pPr>
              <w:jc w:val="center"/>
              <w:rPr>
                <w:rFonts w:ascii="Calibri" w:hAnsi="Calibri" w:cs="Calibri"/>
              </w:rPr>
            </w:pPr>
            <w:r w:rsidRPr="004A7E7F">
              <w:rPr>
                <w:rFonts w:ascii="Calibri" w:hAnsi="Calibri" w:cs="Calibri"/>
                <w:noProof/>
              </w:rPr>
              <w:drawing>
                <wp:inline distT="0" distB="0" distL="0" distR="0" wp14:anchorId="41BFD08B" wp14:editId="4F29AB7F">
                  <wp:extent cx="1643063" cy="2190750"/>
                  <wp:effectExtent l="0" t="0" r="0" b="0"/>
                  <wp:docPr id="91157" name="Image 91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23">
                            <a:extLst>
                              <a:ext uri="{28A0092B-C50C-407E-A947-70E740481C1C}">
                                <a14:useLocalDpi xmlns:a14="http://schemas.microsoft.com/office/drawing/2010/main" val="0"/>
                              </a:ext>
                            </a:extLst>
                          </a:blip>
                          <a:srcRect/>
                          <a:stretch>
                            <a:fillRect/>
                          </a:stretch>
                        </pic:blipFill>
                        <pic:spPr bwMode="auto">
                          <a:xfrm>
                            <a:off x="0" y="0"/>
                            <a:ext cx="1647324" cy="2196431"/>
                          </a:xfrm>
                          <a:prstGeom prst="rect">
                            <a:avLst/>
                          </a:prstGeom>
                          <a:noFill/>
                          <a:ln>
                            <a:noFill/>
                          </a:ln>
                        </pic:spPr>
                      </pic:pic>
                    </a:graphicData>
                  </a:graphic>
                </wp:inline>
              </w:drawing>
            </w:r>
          </w:p>
          <w:p w14:paraId="4A20F402" w14:textId="1AC1B3B0" w:rsidR="004A7E7F" w:rsidRPr="004A7E7F" w:rsidRDefault="004A7E7F" w:rsidP="004A7E7F">
            <w:pPr>
              <w:jc w:val="center"/>
              <w:rPr>
                <w:rFonts w:ascii="Calibri" w:hAnsi="Calibri" w:cs="Calibri"/>
              </w:rPr>
            </w:pPr>
            <w:r w:rsidRPr="004A7E7F">
              <w:rPr>
                <w:rFonts w:ascii="Calibri" w:hAnsi="Calibri" w:cs="Calibri"/>
                <w:shd w:val="clear" w:color="auto" w:fill="FFFFFF"/>
              </w:rPr>
              <w:t>Tige feuillée.</w:t>
            </w:r>
          </w:p>
        </w:tc>
        <w:tc>
          <w:tcPr>
            <w:tcW w:w="3472" w:type="dxa"/>
          </w:tcPr>
          <w:p w14:paraId="386DE97D" w14:textId="77777777" w:rsidR="004A7E7F" w:rsidRPr="004A7E7F" w:rsidRDefault="004A7E7F" w:rsidP="004A7E7F">
            <w:pPr>
              <w:jc w:val="center"/>
              <w:rPr>
                <w:rFonts w:ascii="Calibri" w:hAnsi="Calibri" w:cs="Calibri"/>
              </w:rPr>
            </w:pPr>
            <w:r w:rsidRPr="004A7E7F">
              <w:rPr>
                <w:rFonts w:ascii="Calibri" w:hAnsi="Calibri" w:cs="Calibri"/>
                <w:noProof/>
              </w:rPr>
              <w:drawing>
                <wp:inline distT="0" distB="0" distL="0" distR="0" wp14:anchorId="2AB9695A" wp14:editId="1381F8FA">
                  <wp:extent cx="1460500" cy="2190750"/>
                  <wp:effectExtent l="0" t="0" r="6350" b="0"/>
                  <wp:docPr id="91158" name="Image 91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24">
                            <a:extLst>
                              <a:ext uri="{28A0092B-C50C-407E-A947-70E740481C1C}">
                                <a14:useLocalDpi xmlns:a14="http://schemas.microsoft.com/office/drawing/2010/main" val="0"/>
                              </a:ext>
                            </a:extLst>
                          </a:blip>
                          <a:srcRect/>
                          <a:stretch>
                            <a:fillRect/>
                          </a:stretch>
                        </pic:blipFill>
                        <pic:spPr bwMode="auto">
                          <a:xfrm>
                            <a:off x="0" y="0"/>
                            <a:ext cx="1460728" cy="2191092"/>
                          </a:xfrm>
                          <a:prstGeom prst="rect">
                            <a:avLst/>
                          </a:prstGeom>
                          <a:noFill/>
                          <a:ln>
                            <a:noFill/>
                          </a:ln>
                        </pic:spPr>
                      </pic:pic>
                    </a:graphicData>
                  </a:graphic>
                </wp:inline>
              </w:drawing>
            </w:r>
          </w:p>
          <w:p w14:paraId="6D3DDBF2" w14:textId="07BDFB3C" w:rsidR="004A7E7F" w:rsidRPr="004A7E7F" w:rsidRDefault="004A7E7F" w:rsidP="004A7E7F">
            <w:pPr>
              <w:jc w:val="center"/>
              <w:rPr>
                <w:rFonts w:ascii="Calibri" w:hAnsi="Calibri" w:cs="Calibri"/>
              </w:rPr>
            </w:pPr>
            <w:r w:rsidRPr="004A7E7F">
              <w:rPr>
                <w:rFonts w:ascii="Calibri" w:hAnsi="Calibri" w:cs="Calibri"/>
              </w:rPr>
              <w:t>Panicule.</w:t>
            </w:r>
          </w:p>
        </w:tc>
      </w:tr>
      <w:tr w:rsidR="004A7E7F" w:rsidRPr="004A7E7F" w14:paraId="716CA5FB" w14:textId="77777777" w:rsidTr="004A7E7F">
        <w:tc>
          <w:tcPr>
            <w:tcW w:w="3472" w:type="dxa"/>
          </w:tcPr>
          <w:p w14:paraId="439587AC" w14:textId="77777777" w:rsidR="004A7E7F" w:rsidRPr="004A7E7F" w:rsidRDefault="004A7E7F" w:rsidP="004A7E7F">
            <w:pPr>
              <w:jc w:val="center"/>
              <w:rPr>
                <w:rFonts w:ascii="Calibri" w:hAnsi="Calibri" w:cs="Calibri"/>
              </w:rPr>
            </w:pPr>
            <w:r w:rsidRPr="004A7E7F">
              <w:rPr>
                <w:rFonts w:ascii="Calibri" w:hAnsi="Calibri" w:cs="Calibri"/>
                <w:noProof/>
              </w:rPr>
              <w:drawing>
                <wp:inline distT="0" distB="0" distL="0" distR="0" wp14:anchorId="4372C745" wp14:editId="1431E9BF">
                  <wp:extent cx="1857375" cy="1238250"/>
                  <wp:effectExtent l="0" t="0" r="9525" b="0"/>
                  <wp:docPr id="91159" name="Image 91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25">
                            <a:extLst>
                              <a:ext uri="{28A0092B-C50C-407E-A947-70E740481C1C}">
                                <a14:useLocalDpi xmlns:a14="http://schemas.microsoft.com/office/drawing/2010/main" val="0"/>
                              </a:ext>
                            </a:extLst>
                          </a:blip>
                          <a:srcRect/>
                          <a:stretch>
                            <a:fillRect/>
                          </a:stretch>
                        </pic:blipFill>
                        <pic:spPr bwMode="auto">
                          <a:xfrm>
                            <a:off x="0" y="0"/>
                            <a:ext cx="1857375" cy="1238250"/>
                          </a:xfrm>
                          <a:prstGeom prst="rect">
                            <a:avLst/>
                          </a:prstGeom>
                          <a:noFill/>
                          <a:ln>
                            <a:noFill/>
                          </a:ln>
                        </pic:spPr>
                      </pic:pic>
                    </a:graphicData>
                  </a:graphic>
                </wp:inline>
              </w:drawing>
            </w:r>
          </w:p>
          <w:p w14:paraId="20E49C82" w14:textId="653E0C8E" w:rsidR="004A7E7F" w:rsidRPr="004A7E7F" w:rsidRDefault="004A7E7F" w:rsidP="004A7E7F">
            <w:pPr>
              <w:jc w:val="center"/>
              <w:rPr>
                <w:rFonts w:ascii="Calibri" w:hAnsi="Calibri" w:cs="Calibri"/>
              </w:rPr>
            </w:pPr>
            <w:r w:rsidRPr="004A7E7F">
              <w:rPr>
                <w:rFonts w:ascii="Calibri" w:hAnsi="Calibri" w:cs="Calibri"/>
                <w:shd w:val="clear" w:color="auto" w:fill="F8F9FA"/>
              </w:rPr>
              <w:t>Sorgo dans la zone d'irrigation de la rivière Adaja (Ávila).</w:t>
            </w:r>
          </w:p>
        </w:tc>
        <w:tc>
          <w:tcPr>
            <w:tcW w:w="3472" w:type="dxa"/>
          </w:tcPr>
          <w:p w14:paraId="01553F79" w14:textId="77777777" w:rsidR="004A7E7F" w:rsidRPr="004A7E7F" w:rsidRDefault="004A7E7F" w:rsidP="004A7E7F">
            <w:pPr>
              <w:jc w:val="center"/>
              <w:rPr>
                <w:rFonts w:ascii="Calibri" w:hAnsi="Calibri" w:cs="Calibri"/>
              </w:rPr>
            </w:pPr>
            <w:r w:rsidRPr="004A7E7F">
              <w:rPr>
                <w:rFonts w:ascii="Calibri" w:hAnsi="Calibri" w:cs="Calibri"/>
                <w:noProof/>
              </w:rPr>
              <w:drawing>
                <wp:inline distT="0" distB="0" distL="0" distR="0" wp14:anchorId="2404F53E" wp14:editId="38D8694C">
                  <wp:extent cx="1905000" cy="1428750"/>
                  <wp:effectExtent l="0" t="0" r="0" b="0"/>
                  <wp:docPr id="91160" name="Image 91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26">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inline>
              </w:drawing>
            </w:r>
          </w:p>
          <w:p w14:paraId="7D54E749" w14:textId="4CA95D90" w:rsidR="004A7E7F" w:rsidRPr="004A7E7F" w:rsidRDefault="004A7E7F" w:rsidP="004A7E7F">
            <w:pPr>
              <w:jc w:val="center"/>
              <w:rPr>
                <w:rFonts w:ascii="Calibri" w:hAnsi="Calibri" w:cs="Calibri"/>
              </w:rPr>
            </w:pPr>
            <w:r w:rsidRPr="004A7E7F">
              <w:rPr>
                <w:rFonts w:ascii="Calibri" w:hAnsi="Calibri" w:cs="Calibri"/>
                <w:shd w:val="clear" w:color="auto" w:fill="FFFFFF"/>
              </w:rPr>
              <w:t>Graines de sorgo rouge et de sorgo blanc.</w:t>
            </w:r>
          </w:p>
        </w:tc>
        <w:tc>
          <w:tcPr>
            <w:tcW w:w="3472" w:type="dxa"/>
          </w:tcPr>
          <w:p w14:paraId="32F33E36" w14:textId="1A5C6666" w:rsidR="004A7E7F" w:rsidRDefault="004A7E7F" w:rsidP="004A7E7F">
            <w:pPr>
              <w:jc w:val="center"/>
              <w:rPr>
                <w:rFonts w:ascii="Calibri" w:hAnsi="Calibri" w:cs="Calibri"/>
              </w:rPr>
            </w:pPr>
            <w:r>
              <w:rPr>
                <w:rFonts w:ascii="Calibri" w:hAnsi="Calibri" w:cs="Calibri"/>
              </w:rPr>
              <w:t xml:space="preserve"> </w:t>
            </w:r>
            <w:r>
              <w:rPr>
                <w:noProof/>
              </w:rPr>
              <w:drawing>
                <wp:inline distT="0" distB="0" distL="0" distR="0" wp14:anchorId="7338E0B1" wp14:editId="3E2E86E4">
                  <wp:extent cx="1143000" cy="1714500"/>
                  <wp:effectExtent l="0" t="0" r="0" b="0"/>
                  <wp:docPr id="91161" name="Image 91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27">
                            <a:extLst>
                              <a:ext uri="{28A0092B-C50C-407E-A947-70E740481C1C}">
                                <a14:useLocalDpi xmlns:a14="http://schemas.microsoft.com/office/drawing/2010/main" val="0"/>
                              </a:ext>
                            </a:extLst>
                          </a:blip>
                          <a:srcRect/>
                          <a:stretch>
                            <a:fillRect/>
                          </a:stretch>
                        </pic:blipFill>
                        <pic:spPr bwMode="auto">
                          <a:xfrm>
                            <a:off x="0" y="0"/>
                            <a:ext cx="1143000" cy="1714500"/>
                          </a:xfrm>
                          <a:prstGeom prst="rect">
                            <a:avLst/>
                          </a:prstGeom>
                          <a:noFill/>
                          <a:ln>
                            <a:noFill/>
                          </a:ln>
                        </pic:spPr>
                      </pic:pic>
                    </a:graphicData>
                  </a:graphic>
                </wp:inline>
              </w:drawing>
            </w:r>
          </w:p>
          <w:p w14:paraId="3D39E756" w14:textId="2700DC85" w:rsidR="004A7E7F" w:rsidRPr="004A7E7F" w:rsidRDefault="004A7E7F" w:rsidP="004A7E7F">
            <w:pPr>
              <w:jc w:val="center"/>
              <w:rPr>
                <w:rFonts w:ascii="Calibri" w:hAnsi="Calibri" w:cs="Calibri"/>
              </w:rPr>
            </w:pPr>
            <w:r w:rsidRPr="004A7E7F">
              <w:rPr>
                <w:rFonts w:ascii="Calibri" w:hAnsi="Calibri" w:cs="Calibri"/>
              </w:rPr>
              <w:t>Sorgho AL Precioso</w:t>
            </w:r>
            <w:r>
              <w:rPr>
                <w:rFonts w:ascii="Calibri" w:hAnsi="Calibri" w:cs="Calibri"/>
              </w:rPr>
              <w:t>.</w:t>
            </w:r>
          </w:p>
        </w:tc>
      </w:tr>
    </w:tbl>
    <w:p w14:paraId="39FC18BD" w14:textId="6B15FE61" w:rsidR="004A7E7F" w:rsidRDefault="005A7D1D" w:rsidP="005A7D1D">
      <w:pPr>
        <w:pStyle w:val="Titre2"/>
      </w:pPr>
      <w:bookmarkStart w:id="184" w:name="_Toc139181475"/>
      <w:r w:rsidRPr="005A7D1D">
        <w:t>Lentille cultivée (</w:t>
      </w:r>
      <w:r w:rsidRPr="005A7D1D">
        <w:rPr>
          <w:i/>
          <w:iCs/>
        </w:rPr>
        <w:t xml:space="preserve">Lens culinaris </w:t>
      </w:r>
      <w:r w:rsidR="005A0038">
        <w:rPr>
          <w:i/>
          <w:iCs/>
        </w:rPr>
        <w:t>(</w:t>
      </w:r>
      <w:r w:rsidRPr="005A7D1D">
        <w:t>ou</w:t>
      </w:r>
      <w:r w:rsidRPr="005A7D1D">
        <w:rPr>
          <w:i/>
          <w:iCs/>
        </w:rPr>
        <w:t xml:space="preserve"> Lens esculenta</w:t>
      </w:r>
      <w:r w:rsidR="005A0038">
        <w:rPr>
          <w:i/>
          <w:iCs/>
        </w:rPr>
        <w:t>)</w:t>
      </w:r>
      <w:r w:rsidRPr="005A7D1D">
        <w:t>)</w:t>
      </w:r>
      <w:bookmarkEnd w:id="184"/>
    </w:p>
    <w:p w14:paraId="21652595" w14:textId="005F4BF0" w:rsidR="005A7D1D" w:rsidRDefault="005A7D1D" w:rsidP="005A7D1D">
      <w:pPr>
        <w:spacing w:after="0" w:line="240" w:lineRule="auto"/>
        <w:jc w:val="both"/>
        <w:rPr>
          <w:rFonts w:ascii="Calibri" w:hAnsi="Calibri" w:cs="Calibri"/>
        </w:rPr>
      </w:pPr>
    </w:p>
    <w:p w14:paraId="3EE70D10" w14:textId="1478CA41" w:rsidR="002638E3" w:rsidRDefault="00D65543" w:rsidP="00D65543">
      <w:pPr>
        <w:spacing w:after="0" w:line="240" w:lineRule="auto"/>
        <w:jc w:val="both"/>
        <w:rPr>
          <w:rFonts w:ascii="Calibri" w:hAnsi="Calibri" w:cs="Calibri"/>
          <w:color w:val="000000" w:themeColor="text1"/>
          <w:shd w:val="clear" w:color="auto" w:fill="FFFFFF"/>
        </w:rPr>
      </w:pPr>
      <w:r w:rsidRPr="00D65543">
        <w:rPr>
          <w:rFonts w:ascii="Calibri" w:hAnsi="Calibri" w:cs="Calibri"/>
          <w:color w:val="000000" w:themeColor="text1"/>
          <w:shd w:val="clear" w:color="auto" w:fill="FFFFFF"/>
        </w:rPr>
        <w:t>Cette </w:t>
      </w:r>
      <w:hyperlink r:id="rId1928" w:tooltip="Plante annuelle" w:history="1">
        <w:r w:rsidRPr="00D65543">
          <w:rPr>
            <w:rStyle w:val="Lienhypertexte"/>
            <w:rFonts w:ascii="Calibri" w:hAnsi="Calibri" w:cs="Calibri"/>
            <w:color w:val="0645AD"/>
            <w:shd w:val="clear" w:color="auto" w:fill="FFFFFF"/>
          </w:rPr>
          <w:t>plante annuelle</w:t>
        </w:r>
      </w:hyperlink>
      <w:r w:rsidR="00756C53">
        <w:rPr>
          <w:rFonts w:ascii="Calibri" w:hAnsi="Calibri" w:cs="Calibri"/>
        </w:rPr>
        <w:t>, herbacée,</w:t>
      </w:r>
      <w:r w:rsidR="002638E3">
        <w:rPr>
          <w:rFonts w:ascii="Calibri" w:hAnsi="Calibri" w:cs="Calibri"/>
        </w:rPr>
        <w:t xml:space="preserve"> </w:t>
      </w:r>
      <w:r w:rsidR="002638E3" w:rsidRPr="002638E3">
        <w:rPr>
          <w:rFonts w:ascii="Calibri" w:hAnsi="Calibri" w:cs="Calibri"/>
          <w:color w:val="000000" w:themeColor="text1"/>
          <w:shd w:val="clear" w:color="auto" w:fill="FFFFFF"/>
        </w:rPr>
        <w:t>de 20 à 72 cm de haut</w:t>
      </w:r>
      <w:r w:rsidR="002638E3">
        <w:rPr>
          <w:rFonts w:ascii="Calibri" w:hAnsi="Calibri" w:cs="Calibri"/>
          <w:color w:val="000000" w:themeColor="text1"/>
          <w:shd w:val="clear" w:color="auto" w:fill="FFFFFF"/>
        </w:rPr>
        <w:t>,</w:t>
      </w:r>
      <w:r w:rsidRPr="00D65543">
        <w:rPr>
          <w:rFonts w:ascii="Calibri" w:hAnsi="Calibri" w:cs="Calibri"/>
          <w:color w:val="202122"/>
          <w:shd w:val="clear" w:color="auto" w:fill="FFFFFF"/>
        </w:rPr>
        <w:t> </w:t>
      </w:r>
      <w:r w:rsidRPr="00D65543">
        <w:rPr>
          <w:rFonts w:ascii="Calibri" w:hAnsi="Calibri" w:cs="Calibri"/>
          <w:color w:val="000000" w:themeColor="text1"/>
          <w:shd w:val="clear" w:color="auto" w:fill="FFFFFF"/>
        </w:rPr>
        <w:t>est largement cultivée pour ses graines</w:t>
      </w:r>
      <w:r w:rsidRPr="00D65543">
        <w:rPr>
          <w:rFonts w:ascii="Calibri" w:hAnsi="Calibri" w:cs="Calibri"/>
          <w:color w:val="202122"/>
          <w:shd w:val="clear" w:color="auto" w:fill="FFFFFF"/>
        </w:rPr>
        <w:t xml:space="preserve">, </w:t>
      </w:r>
      <w:r w:rsidRPr="00D65543">
        <w:rPr>
          <w:rFonts w:ascii="Calibri" w:hAnsi="Calibri" w:cs="Calibri"/>
          <w:color w:val="000000" w:themeColor="text1"/>
          <w:shd w:val="clear" w:color="auto" w:fill="FFFFFF"/>
        </w:rPr>
        <w:t>comestibles, riches en </w:t>
      </w:r>
      <w:hyperlink r:id="rId1929" w:tooltip="Protéine" w:history="1">
        <w:r w:rsidRPr="00D65543">
          <w:rPr>
            <w:rStyle w:val="Lienhypertexte"/>
            <w:rFonts w:ascii="Calibri" w:hAnsi="Calibri" w:cs="Calibri"/>
            <w:color w:val="0645AD"/>
            <w:shd w:val="clear" w:color="auto" w:fill="FFFFFF"/>
          </w:rPr>
          <w:t>protéines</w:t>
        </w:r>
      </w:hyperlink>
      <w:r w:rsidRPr="00D65543">
        <w:rPr>
          <w:rFonts w:ascii="Calibri" w:hAnsi="Calibri" w:cs="Calibri"/>
        </w:rPr>
        <w:t xml:space="preserve">. </w:t>
      </w:r>
      <w:r w:rsidR="002638E3" w:rsidRPr="002638E3">
        <w:rPr>
          <w:rFonts w:ascii="Calibri" w:hAnsi="Calibri" w:cs="Calibri"/>
          <w:color w:val="000000" w:themeColor="text1"/>
          <w:shd w:val="clear" w:color="auto" w:fill="FFFFFF"/>
        </w:rPr>
        <w:t>Les tiges sont dressées et très rameuses</w:t>
      </w:r>
      <w:r w:rsidRPr="00D65543">
        <w:rPr>
          <w:rFonts w:ascii="Calibri" w:hAnsi="Calibri" w:cs="Calibri"/>
          <w:color w:val="000000" w:themeColor="text1"/>
          <w:shd w:val="clear" w:color="auto" w:fill="FFFFFF"/>
        </w:rPr>
        <w:t>.</w:t>
      </w:r>
      <w:r w:rsidR="00756C53">
        <w:rPr>
          <w:rFonts w:ascii="Calibri" w:hAnsi="Calibri" w:cs="Calibri"/>
          <w:color w:val="000000" w:themeColor="text1"/>
          <w:shd w:val="clear" w:color="auto" w:fill="FFFFFF"/>
        </w:rPr>
        <w:t xml:space="preserve"> </w:t>
      </w:r>
      <w:r w:rsidR="002638E3" w:rsidRPr="002638E3">
        <w:rPr>
          <w:rFonts w:ascii="Calibri" w:hAnsi="Calibri" w:cs="Calibri"/>
          <w:color w:val="000000" w:themeColor="text1"/>
          <w:shd w:val="clear" w:color="auto" w:fill="FFFFFF"/>
        </w:rPr>
        <w:t>Ses feuilles, alternes, composées pennées, comptent de 10 à 14 folioles opposées, oblongues, et sont terminées par une vrille généralement simple ou bifide. Les fleurs, à la corolle papilionacée, sont de couleur blanche ou bleu pâle et groupées par petites grappes de deux à quatre. La floraison estivale intervient entre mai et juillet.</w:t>
      </w:r>
      <w:r w:rsidR="002638E3">
        <w:rPr>
          <w:rFonts w:ascii="Calibri" w:hAnsi="Calibri" w:cs="Calibri"/>
          <w:color w:val="000000" w:themeColor="text1"/>
          <w:shd w:val="clear" w:color="auto" w:fill="FFFFFF"/>
        </w:rPr>
        <w:t xml:space="preserve"> </w:t>
      </w:r>
      <w:r w:rsidR="002638E3" w:rsidRPr="002638E3">
        <w:rPr>
          <w:rFonts w:ascii="Calibri" w:hAnsi="Calibri" w:cs="Calibri"/>
          <w:color w:val="000000" w:themeColor="text1"/>
          <w:shd w:val="clear" w:color="auto" w:fill="FFFFFF"/>
        </w:rPr>
        <w:t>Les fruits sont des </w:t>
      </w:r>
      <w:hyperlink r:id="rId1930" w:tooltip="Gousse" w:history="1">
        <w:r w:rsidR="002638E3" w:rsidRPr="002638E3">
          <w:rPr>
            <w:rStyle w:val="Lienhypertexte"/>
            <w:rFonts w:ascii="Calibri" w:hAnsi="Calibri" w:cs="Calibri"/>
            <w:color w:val="0645AD"/>
            <w:shd w:val="clear" w:color="auto" w:fill="FFFFFF"/>
          </w:rPr>
          <w:t>gousses</w:t>
        </w:r>
      </w:hyperlink>
      <w:r w:rsidR="002638E3" w:rsidRPr="002638E3">
        <w:rPr>
          <w:rFonts w:ascii="Calibri" w:hAnsi="Calibri" w:cs="Calibri"/>
          <w:color w:val="202122"/>
          <w:shd w:val="clear" w:color="auto" w:fill="FFFFFF"/>
        </w:rPr>
        <w:t> </w:t>
      </w:r>
      <w:r w:rsidR="002638E3" w:rsidRPr="002638E3">
        <w:rPr>
          <w:rFonts w:ascii="Calibri" w:hAnsi="Calibri" w:cs="Calibri"/>
          <w:color w:val="000000" w:themeColor="text1"/>
          <w:shd w:val="clear" w:color="auto" w:fill="FFFFFF"/>
        </w:rPr>
        <w:t>aplaties, courtes, contenant deux graines rondes, aplaties</w:t>
      </w:r>
      <w:r w:rsidR="002638E3">
        <w:rPr>
          <w:rFonts w:ascii="Calibri" w:hAnsi="Calibri" w:cs="Calibri"/>
          <w:color w:val="000000" w:themeColor="text1"/>
          <w:shd w:val="clear" w:color="auto" w:fill="FFFFFF"/>
        </w:rPr>
        <w:t>,</w:t>
      </w:r>
      <w:r w:rsidR="002638E3" w:rsidRPr="002638E3">
        <w:rPr>
          <w:rFonts w:ascii="Calibri" w:hAnsi="Calibri" w:cs="Calibri"/>
          <w:color w:val="000000" w:themeColor="text1"/>
          <w:shd w:val="clear" w:color="auto" w:fill="FFFFFF"/>
        </w:rPr>
        <w:t xml:space="preserve"> en forme caractéristique de disque faiblement bombé (</w:t>
      </w:r>
      <w:r w:rsidR="002638E3">
        <w:rPr>
          <w:rFonts w:ascii="Calibri" w:hAnsi="Calibri" w:cs="Calibri"/>
          <w:color w:val="000000" w:themeColor="text1"/>
          <w:shd w:val="clear" w:color="auto" w:fill="FFFFFF"/>
        </w:rPr>
        <w:t>ou</w:t>
      </w:r>
      <w:r w:rsidR="002638E3" w:rsidRPr="002638E3">
        <w:rPr>
          <w:rFonts w:ascii="Calibri" w:hAnsi="Calibri" w:cs="Calibri"/>
          <w:color w:val="000000" w:themeColor="text1"/>
          <w:shd w:val="clear" w:color="auto" w:fill="FFFFFF"/>
        </w:rPr>
        <w:t xml:space="preserve"> de </w:t>
      </w:r>
      <w:hyperlink r:id="rId1931" w:tooltip="Lentille (géométrie)" w:history="1">
        <w:r w:rsidR="002638E3" w:rsidRPr="002638E3">
          <w:rPr>
            <w:rStyle w:val="Lienhypertexte"/>
            <w:rFonts w:ascii="Calibri" w:hAnsi="Calibri" w:cs="Calibri"/>
            <w:color w:val="0645AD"/>
            <w:shd w:val="clear" w:color="auto" w:fill="FFFFFF"/>
          </w:rPr>
          <w:t>lentille</w:t>
        </w:r>
      </w:hyperlink>
      <w:r w:rsidR="002638E3" w:rsidRPr="002638E3">
        <w:rPr>
          <w:rFonts w:ascii="Calibri" w:hAnsi="Calibri" w:cs="Calibri"/>
          <w:color w:val="000000" w:themeColor="text1"/>
          <w:shd w:val="clear" w:color="auto" w:fill="FFFFFF"/>
        </w:rPr>
        <w:t>).</w:t>
      </w:r>
    </w:p>
    <w:p w14:paraId="3DAB4FC1" w14:textId="14EC0E23" w:rsidR="00D65543" w:rsidRPr="00D65543" w:rsidRDefault="00D65543" w:rsidP="00D65543">
      <w:pPr>
        <w:spacing w:after="0" w:line="240" w:lineRule="auto"/>
        <w:jc w:val="both"/>
        <w:rPr>
          <w:rFonts w:ascii="Calibri" w:hAnsi="Calibri" w:cs="Calibri"/>
          <w:color w:val="000000" w:themeColor="text1"/>
          <w:shd w:val="clear" w:color="auto" w:fill="FFFFFF"/>
        </w:rPr>
      </w:pPr>
      <w:r w:rsidRPr="00D65543">
        <w:rPr>
          <w:rFonts w:ascii="Calibri" w:hAnsi="Calibri" w:cs="Calibri"/>
          <w:color w:val="000000" w:themeColor="text1"/>
          <w:shd w:val="clear" w:color="auto" w:fill="FFFFFF"/>
        </w:rPr>
        <w:t>En tant que culture vivrière, la majorité de la production mondiale provient du Canada et de l'Inde, produisant ensemble 58 % du total mondial.</w:t>
      </w:r>
    </w:p>
    <w:p w14:paraId="16BD7342" w14:textId="0966F126" w:rsidR="002638E3" w:rsidRDefault="002638E3" w:rsidP="002638E3">
      <w:pPr>
        <w:pStyle w:val="NormalWeb"/>
        <w:shd w:val="clear" w:color="auto" w:fill="FFFFFF"/>
        <w:spacing w:before="0" w:beforeAutospacing="0" w:after="0" w:afterAutospacing="0"/>
        <w:rPr>
          <w:rFonts w:ascii="Calibri" w:hAnsi="Calibri" w:cs="Calibri"/>
          <w:color w:val="000000" w:themeColor="text1"/>
          <w:sz w:val="22"/>
          <w:szCs w:val="22"/>
        </w:rPr>
      </w:pPr>
      <w:r w:rsidRPr="002638E3">
        <w:rPr>
          <w:rFonts w:ascii="Calibri" w:hAnsi="Calibri" w:cs="Calibri"/>
          <w:color w:val="000000" w:themeColor="text1"/>
          <w:sz w:val="22"/>
          <w:szCs w:val="22"/>
          <w:u w:val="single"/>
        </w:rPr>
        <w:t>Sous-espèces</w:t>
      </w:r>
      <w:r w:rsidRPr="002638E3">
        <w:rPr>
          <w:rFonts w:ascii="Calibri" w:hAnsi="Calibri" w:cs="Calibri"/>
          <w:color w:val="000000" w:themeColor="text1"/>
          <w:sz w:val="22"/>
          <w:szCs w:val="22"/>
        </w:rPr>
        <w:t> : L'espèce comprend quatre sous-espèces principales :</w:t>
      </w:r>
    </w:p>
    <w:p w14:paraId="4D3DF6A0" w14:textId="77777777" w:rsidR="002638E3" w:rsidRPr="002638E3" w:rsidRDefault="002638E3" w:rsidP="002638E3">
      <w:pPr>
        <w:pStyle w:val="NormalWeb"/>
        <w:shd w:val="clear" w:color="auto" w:fill="FFFFFF"/>
        <w:spacing w:before="0" w:beforeAutospacing="0" w:after="0" w:afterAutospacing="0"/>
        <w:rPr>
          <w:rFonts w:ascii="Calibri" w:hAnsi="Calibri" w:cs="Calibri"/>
          <w:color w:val="000000" w:themeColor="text1"/>
          <w:sz w:val="22"/>
          <w:szCs w:val="22"/>
        </w:rPr>
      </w:pPr>
    </w:p>
    <w:p w14:paraId="7CFB6305" w14:textId="77777777" w:rsidR="002638E3" w:rsidRPr="002638E3" w:rsidRDefault="002638E3" w:rsidP="0022016D">
      <w:pPr>
        <w:numPr>
          <w:ilvl w:val="0"/>
          <w:numId w:val="37"/>
        </w:numPr>
        <w:shd w:val="clear" w:color="auto" w:fill="FFFFFF"/>
        <w:tabs>
          <w:tab w:val="clear" w:pos="720"/>
          <w:tab w:val="num" w:pos="426"/>
        </w:tabs>
        <w:spacing w:after="0" w:line="240" w:lineRule="auto"/>
        <w:ind w:left="426"/>
        <w:rPr>
          <w:rFonts w:ascii="Calibri" w:eastAsia="Times New Roman" w:hAnsi="Calibri" w:cs="Calibri"/>
          <w:color w:val="000000" w:themeColor="text1"/>
          <w:lang w:eastAsia="fr-FR"/>
        </w:rPr>
      </w:pPr>
      <w:r w:rsidRPr="002638E3">
        <w:rPr>
          <w:rFonts w:ascii="Calibri" w:eastAsia="Times New Roman" w:hAnsi="Calibri" w:cs="Calibri"/>
          <w:i/>
          <w:iCs/>
          <w:color w:val="000000" w:themeColor="text1"/>
          <w:lang w:eastAsia="fr-FR"/>
        </w:rPr>
        <w:t>Lens culinaris</w:t>
      </w:r>
      <w:r w:rsidRPr="002638E3">
        <w:rPr>
          <w:rFonts w:ascii="Calibri" w:eastAsia="Times New Roman" w:hAnsi="Calibri" w:cs="Calibri"/>
          <w:color w:val="000000" w:themeColor="text1"/>
          <w:lang w:eastAsia="fr-FR"/>
        </w:rPr>
        <w:t> subsp. </w:t>
      </w:r>
      <w:r w:rsidRPr="002638E3">
        <w:rPr>
          <w:rFonts w:ascii="Calibri" w:eastAsia="Times New Roman" w:hAnsi="Calibri" w:cs="Calibri"/>
          <w:i/>
          <w:iCs/>
          <w:color w:val="000000" w:themeColor="text1"/>
          <w:lang w:eastAsia="fr-FR"/>
        </w:rPr>
        <w:t>culinaris</w:t>
      </w:r>
      <w:r w:rsidRPr="002638E3">
        <w:rPr>
          <w:rFonts w:ascii="Calibri" w:eastAsia="Times New Roman" w:hAnsi="Calibri" w:cs="Calibri"/>
          <w:color w:val="000000" w:themeColor="text1"/>
          <w:lang w:eastAsia="fr-FR"/>
        </w:rPr>
        <w:t> (la lentille cultivée), classée parfois comme espèce distincte (</w:t>
      </w:r>
      <w:r w:rsidRPr="002638E3">
        <w:rPr>
          <w:rFonts w:ascii="Calibri" w:eastAsia="Times New Roman" w:hAnsi="Calibri" w:cs="Calibri"/>
          <w:i/>
          <w:iCs/>
          <w:color w:val="000000" w:themeColor="text1"/>
          <w:lang w:eastAsia="fr-FR"/>
        </w:rPr>
        <w:t>Lens esculenta</w:t>
      </w:r>
      <w:r w:rsidRPr="002638E3">
        <w:rPr>
          <w:rFonts w:ascii="Calibri" w:eastAsia="Times New Roman" w:hAnsi="Calibri" w:cs="Calibri"/>
          <w:color w:val="000000" w:themeColor="text1"/>
          <w:lang w:eastAsia="fr-FR"/>
        </w:rPr>
        <w:t> Moench) ;</w:t>
      </w:r>
    </w:p>
    <w:p w14:paraId="5312B1EC" w14:textId="77777777" w:rsidR="002638E3" w:rsidRPr="002638E3" w:rsidRDefault="002638E3" w:rsidP="0022016D">
      <w:pPr>
        <w:numPr>
          <w:ilvl w:val="0"/>
          <w:numId w:val="37"/>
        </w:numPr>
        <w:shd w:val="clear" w:color="auto" w:fill="FFFFFF"/>
        <w:tabs>
          <w:tab w:val="clear" w:pos="720"/>
          <w:tab w:val="num" w:pos="426"/>
        </w:tabs>
        <w:spacing w:after="0" w:line="240" w:lineRule="auto"/>
        <w:ind w:left="426"/>
        <w:rPr>
          <w:rFonts w:ascii="Calibri" w:eastAsia="Times New Roman" w:hAnsi="Calibri" w:cs="Calibri"/>
          <w:color w:val="000000" w:themeColor="text1"/>
          <w:lang w:eastAsia="fr-FR"/>
        </w:rPr>
      </w:pPr>
      <w:r w:rsidRPr="002638E3">
        <w:rPr>
          <w:rFonts w:ascii="Calibri" w:eastAsia="Times New Roman" w:hAnsi="Calibri" w:cs="Calibri"/>
          <w:i/>
          <w:iCs/>
          <w:color w:val="000000" w:themeColor="text1"/>
          <w:lang w:eastAsia="fr-FR"/>
        </w:rPr>
        <w:t>Lens culinaris</w:t>
      </w:r>
      <w:r w:rsidRPr="002638E3">
        <w:rPr>
          <w:rFonts w:ascii="Calibri" w:eastAsia="Times New Roman" w:hAnsi="Calibri" w:cs="Calibri"/>
          <w:color w:val="000000" w:themeColor="text1"/>
          <w:lang w:eastAsia="fr-FR"/>
        </w:rPr>
        <w:t> subsp. </w:t>
      </w:r>
      <w:r w:rsidRPr="002638E3">
        <w:rPr>
          <w:rFonts w:ascii="Calibri" w:eastAsia="Times New Roman" w:hAnsi="Calibri" w:cs="Calibri"/>
          <w:i/>
          <w:iCs/>
          <w:color w:val="000000" w:themeColor="text1"/>
          <w:lang w:eastAsia="fr-FR"/>
        </w:rPr>
        <w:t>odemensis</w:t>
      </w:r>
      <w:r w:rsidRPr="002638E3">
        <w:rPr>
          <w:rFonts w:ascii="Calibri" w:eastAsia="Times New Roman" w:hAnsi="Calibri" w:cs="Calibri"/>
          <w:color w:val="000000" w:themeColor="text1"/>
          <w:lang w:eastAsia="fr-FR"/>
        </w:rPr>
        <w:t> ;</w:t>
      </w:r>
    </w:p>
    <w:p w14:paraId="0F40955C" w14:textId="77777777" w:rsidR="002638E3" w:rsidRPr="002638E3" w:rsidRDefault="002638E3" w:rsidP="0022016D">
      <w:pPr>
        <w:numPr>
          <w:ilvl w:val="0"/>
          <w:numId w:val="37"/>
        </w:numPr>
        <w:shd w:val="clear" w:color="auto" w:fill="FFFFFF"/>
        <w:tabs>
          <w:tab w:val="clear" w:pos="720"/>
          <w:tab w:val="num" w:pos="426"/>
        </w:tabs>
        <w:spacing w:after="0" w:line="240" w:lineRule="auto"/>
        <w:ind w:left="426"/>
        <w:rPr>
          <w:rFonts w:ascii="Calibri" w:eastAsia="Times New Roman" w:hAnsi="Calibri" w:cs="Calibri"/>
          <w:color w:val="000000" w:themeColor="text1"/>
          <w:lang w:eastAsia="fr-FR"/>
        </w:rPr>
      </w:pPr>
      <w:r w:rsidRPr="002638E3">
        <w:rPr>
          <w:rFonts w:ascii="Calibri" w:eastAsia="Times New Roman" w:hAnsi="Calibri" w:cs="Calibri"/>
          <w:i/>
          <w:iCs/>
          <w:color w:val="000000" w:themeColor="text1"/>
          <w:lang w:eastAsia="fr-FR"/>
        </w:rPr>
        <w:t>Lens culinaris</w:t>
      </w:r>
      <w:r w:rsidRPr="002638E3">
        <w:rPr>
          <w:rFonts w:ascii="Calibri" w:eastAsia="Times New Roman" w:hAnsi="Calibri" w:cs="Calibri"/>
          <w:color w:val="000000" w:themeColor="text1"/>
          <w:lang w:eastAsia="fr-FR"/>
        </w:rPr>
        <w:t> subsp. </w:t>
      </w:r>
      <w:r w:rsidRPr="002638E3">
        <w:rPr>
          <w:rFonts w:ascii="Calibri" w:eastAsia="Times New Roman" w:hAnsi="Calibri" w:cs="Calibri"/>
          <w:i/>
          <w:iCs/>
          <w:color w:val="000000" w:themeColor="text1"/>
          <w:lang w:eastAsia="fr-FR"/>
        </w:rPr>
        <w:t>orientalis</w:t>
      </w:r>
      <w:r w:rsidRPr="002638E3">
        <w:rPr>
          <w:rFonts w:ascii="Calibri" w:eastAsia="Times New Roman" w:hAnsi="Calibri" w:cs="Calibri"/>
          <w:color w:val="000000" w:themeColor="text1"/>
          <w:lang w:eastAsia="fr-FR"/>
        </w:rPr>
        <w:t> ;</w:t>
      </w:r>
    </w:p>
    <w:p w14:paraId="3BAEB01B" w14:textId="77777777" w:rsidR="002638E3" w:rsidRPr="002638E3" w:rsidRDefault="002638E3" w:rsidP="0022016D">
      <w:pPr>
        <w:numPr>
          <w:ilvl w:val="0"/>
          <w:numId w:val="37"/>
        </w:numPr>
        <w:shd w:val="clear" w:color="auto" w:fill="FFFFFF"/>
        <w:tabs>
          <w:tab w:val="clear" w:pos="720"/>
          <w:tab w:val="num" w:pos="426"/>
        </w:tabs>
        <w:spacing w:after="0" w:line="240" w:lineRule="auto"/>
        <w:ind w:left="426"/>
        <w:rPr>
          <w:rFonts w:ascii="Calibri" w:eastAsia="Times New Roman" w:hAnsi="Calibri" w:cs="Calibri"/>
          <w:color w:val="000000" w:themeColor="text1"/>
          <w:lang w:eastAsia="fr-FR"/>
        </w:rPr>
      </w:pPr>
      <w:r w:rsidRPr="002638E3">
        <w:rPr>
          <w:rFonts w:ascii="Calibri" w:eastAsia="Times New Roman" w:hAnsi="Calibri" w:cs="Calibri"/>
          <w:i/>
          <w:iCs/>
          <w:color w:val="000000" w:themeColor="text1"/>
          <w:lang w:eastAsia="fr-FR"/>
        </w:rPr>
        <w:t>Lens culinaris</w:t>
      </w:r>
      <w:r w:rsidRPr="002638E3">
        <w:rPr>
          <w:rFonts w:ascii="Calibri" w:eastAsia="Times New Roman" w:hAnsi="Calibri" w:cs="Calibri"/>
          <w:color w:val="000000" w:themeColor="text1"/>
          <w:lang w:eastAsia="fr-FR"/>
        </w:rPr>
        <w:t> subsp. </w:t>
      </w:r>
      <w:r w:rsidRPr="002638E3">
        <w:rPr>
          <w:rFonts w:ascii="Calibri" w:eastAsia="Times New Roman" w:hAnsi="Calibri" w:cs="Calibri"/>
          <w:i/>
          <w:iCs/>
          <w:color w:val="000000" w:themeColor="text1"/>
          <w:lang w:eastAsia="fr-FR"/>
        </w:rPr>
        <w:t>tomentosus</w:t>
      </w:r>
      <w:r w:rsidRPr="002638E3">
        <w:rPr>
          <w:rFonts w:ascii="Calibri" w:eastAsia="Times New Roman" w:hAnsi="Calibri" w:cs="Calibri"/>
          <w:color w:val="000000" w:themeColor="text1"/>
          <w:lang w:eastAsia="fr-FR"/>
        </w:rPr>
        <w:t>.</w:t>
      </w:r>
    </w:p>
    <w:p w14:paraId="38D3B192" w14:textId="29DFDB25" w:rsidR="00D65543" w:rsidRDefault="00D65543" w:rsidP="005A7D1D">
      <w:pPr>
        <w:spacing w:after="0" w:line="240" w:lineRule="auto"/>
        <w:jc w:val="both"/>
        <w:rPr>
          <w:rFonts w:ascii="Calibri" w:hAnsi="Calibri" w:cs="Calibri"/>
        </w:rPr>
      </w:pPr>
    </w:p>
    <w:p w14:paraId="0BE6E154" w14:textId="54BF248E" w:rsidR="00046564" w:rsidRDefault="00046564" w:rsidP="005A7D1D">
      <w:pPr>
        <w:spacing w:after="0" w:line="240" w:lineRule="auto"/>
        <w:jc w:val="both"/>
        <w:rPr>
          <w:rFonts w:ascii="Calibri" w:hAnsi="Calibri" w:cs="Calibri"/>
        </w:rPr>
      </w:pPr>
      <w:r w:rsidRPr="00046564">
        <w:rPr>
          <w:rFonts w:ascii="Calibri" w:hAnsi="Calibri" w:cs="Calibri"/>
          <w:u w:val="single"/>
        </w:rPr>
        <w:t>Exigences du sol</w:t>
      </w:r>
      <w:r w:rsidRPr="00046564">
        <w:rPr>
          <w:rFonts w:ascii="Calibri" w:hAnsi="Calibri" w:cs="Calibri"/>
        </w:rPr>
        <w:t xml:space="preserve"> : </w:t>
      </w:r>
      <w:r w:rsidRPr="00046564">
        <w:rPr>
          <w:rFonts w:ascii="Calibri" w:hAnsi="Calibri" w:cs="Calibri"/>
          <w:color w:val="000000" w:themeColor="text1"/>
          <w:shd w:val="clear" w:color="auto" w:fill="FFFFFF"/>
        </w:rPr>
        <w:t>Les lentilles peuvent pousser sur différents types de sols, du sable au limon argileux, poussant mieux dans les sols de limons sableux profonds avec une fertilité modérée. Un </w:t>
      </w:r>
      <w:hyperlink r:id="rId1932" w:tooltip="PH" w:history="1">
        <w:r w:rsidRPr="00046564">
          <w:rPr>
            <w:rStyle w:val="Lienhypertexte"/>
            <w:rFonts w:ascii="Calibri" w:hAnsi="Calibri" w:cs="Calibri"/>
            <w:color w:val="0645AD"/>
            <w:shd w:val="clear" w:color="auto" w:fill="FFFFFF"/>
          </w:rPr>
          <w:t>pH</w:t>
        </w:r>
      </w:hyperlink>
      <w:r w:rsidRPr="00046564">
        <w:rPr>
          <w:rFonts w:ascii="Calibri" w:hAnsi="Calibri" w:cs="Calibri"/>
          <w:color w:val="202122"/>
          <w:shd w:val="clear" w:color="auto" w:fill="FFFFFF"/>
        </w:rPr>
        <w:t> </w:t>
      </w:r>
      <w:r w:rsidRPr="00046564">
        <w:rPr>
          <w:rFonts w:ascii="Calibri" w:hAnsi="Calibri" w:cs="Calibri"/>
          <w:color w:val="000000" w:themeColor="text1"/>
          <w:shd w:val="clear" w:color="auto" w:fill="FFFFFF"/>
        </w:rPr>
        <w:t>du sol autour de 7 serait l’idéal. Les lentilles ne tolèrent pas les inondations, les sols gorgés d’eau ou </w:t>
      </w:r>
      <w:hyperlink r:id="rId1933" w:tooltip="Engorgement (agriculture)" w:history="1">
        <w:r w:rsidRPr="00046564">
          <w:rPr>
            <w:rStyle w:val="Lienhypertexte"/>
            <w:rFonts w:ascii="Calibri" w:hAnsi="Calibri" w:cs="Calibri"/>
            <w:color w:val="0645AD"/>
            <w:shd w:val="clear" w:color="auto" w:fill="FFFFFF"/>
          </w:rPr>
          <w:t>détrempées</w:t>
        </w:r>
      </w:hyperlink>
      <w:r w:rsidRPr="00046564">
        <w:rPr>
          <w:rFonts w:ascii="Calibri" w:hAnsi="Calibri" w:cs="Calibri"/>
        </w:rPr>
        <w:t>.</w:t>
      </w:r>
    </w:p>
    <w:p w14:paraId="43EA3833" w14:textId="48428EBB" w:rsidR="00046564" w:rsidRDefault="00046564" w:rsidP="005A7D1D">
      <w:pPr>
        <w:spacing w:after="0" w:line="240" w:lineRule="auto"/>
        <w:jc w:val="both"/>
        <w:rPr>
          <w:rFonts w:ascii="Calibri" w:hAnsi="Calibri" w:cs="Calibri"/>
          <w:color w:val="000000" w:themeColor="text1"/>
          <w:shd w:val="clear" w:color="auto" w:fill="FFFFFF"/>
        </w:rPr>
      </w:pPr>
      <w:r w:rsidRPr="006C3A2E">
        <w:rPr>
          <w:rFonts w:ascii="Calibri" w:hAnsi="Calibri" w:cs="Calibri"/>
          <w:u w:val="single"/>
        </w:rPr>
        <w:lastRenderedPageBreak/>
        <w:t>Exigences climatiques</w:t>
      </w:r>
      <w:r w:rsidRPr="006C3A2E">
        <w:rPr>
          <w:rFonts w:ascii="Calibri" w:hAnsi="Calibri" w:cs="Calibri"/>
        </w:rPr>
        <w:t xml:space="preserve"> : </w:t>
      </w:r>
      <w:r w:rsidR="006C3A2E" w:rsidRPr="006C3A2E">
        <w:rPr>
          <w:rFonts w:ascii="Calibri" w:hAnsi="Calibri" w:cs="Calibri"/>
          <w:color w:val="000000" w:themeColor="text1"/>
          <w:shd w:val="clear" w:color="auto" w:fill="FFFFFF"/>
        </w:rPr>
        <w:t>Les conditions dans lesquelles les lentilles sont cultivées diffèrent selon les régions de culture. Dans les </w:t>
      </w:r>
      <w:hyperlink r:id="rId1934" w:tooltip="Climat tempéré" w:history="1">
        <w:r w:rsidR="006C3A2E" w:rsidRPr="006C3A2E">
          <w:rPr>
            <w:rStyle w:val="Lienhypertexte"/>
            <w:rFonts w:ascii="Calibri" w:hAnsi="Calibri" w:cs="Calibri"/>
            <w:color w:val="0645AD"/>
            <w:shd w:val="clear" w:color="auto" w:fill="FFFFFF"/>
          </w:rPr>
          <w:t>climats tempérés</w:t>
        </w:r>
      </w:hyperlink>
      <w:r w:rsidR="006C3A2E">
        <w:rPr>
          <w:rFonts w:ascii="Calibri" w:hAnsi="Calibri" w:cs="Calibri"/>
          <w:color w:val="202122"/>
          <w:shd w:val="clear" w:color="auto" w:fill="FFFFFF"/>
        </w:rPr>
        <w:t xml:space="preserve">, </w:t>
      </w:r>
      <w:r w:rsidR="006C3A2E" w:rsidRPr="006C3A2E">
        <w:rPr>
          <w:rFonts w:ascii="Calibri" w:hAnsi="Calibri" w:cs="Calibri"/>
          <w:color w:val="000000" w:themeColor="text1"/>
          <w:shd w:val="clear" w:color="auto" w:fill="FFFFFF"/>
        </w:rPr>
        <w:t>les lentilles sont plantées en hiver et au printemps à basse température et la croissance végétative se produit plus tard au printemps et en été. Les précipitations pendant cette période ne sont pas limitées. Dans les </w:t>
      </w:r>
      <w:hyperlink r:id="rId1935" w:tooltip="Subtropicales" w:history="1">
        <w:r w:rsidR="006C3A2E" w:rsidRPr="006C3A2E">
          <w:rPr>
            <w:rStyle w:val="Lienhypertexte"/>
            <w:rFonts w:ascii="Calibri" w:hAnsi="Calibri" w:cs="Calibri"/>
            <w:color w:val="0645AD"/>
            <w:shd w:val="clear" w:color="auto" w:fill="FFFFFF"/>
          </w:rPr>
          <w:t>régions subtropicales</w:t>
        </w:r>
      </w:hyperlink>
      <w:r w:rsidR="006C3A2E" w:rsidRPr="006C3A2E">
        <w:rPr>
          <w:rFonts w:ascii="Calibri" w:hAnsi="Calibri" w:cs="Calibri"/>
          <w:color w:val="202122"/>
          <w:shd w:val="clear" w:color="auto" w:fill="FFFFFF"/>
        </w:rPr>
        <w:t xml:space="preserve">, </w:t>
      </w:r>
      <w:r w:rsidR="006C3A2E" w:rsidRPr="006C3A2E">
        <w:rPr>
          <w:rFonts w:ascii="Calibri" w:hAnsi="Calibri" w:cs="Calibri"/>
          <w:color w:val="000000" w:themeColor="text1"/>
          <w:shd w:val="clear" w:color="auto" w:fill="FFFFFF"/>
        </w:rPr>
        <w:t>les lentilles sont plantées à des températures relativement élevées à la fin de la saison des pluies, et la croissance végétative se produit sur l'humidité résiduelle du sol pendant la saison estivale. Les précipitations pendant cette période sont limitées. En </w:t>
      </w:r>
      <w:hyperlink r:id="rId1936" w:tooltip="Asie occidentale" w:history="1">
        <w:r w:rsidR="006C3A2E" w:rsidRPr="006C3A2E">
          <w:rPr>
            <w:rStyle w:val="Lienhypertexte"/>
            <w:rFonts w:ascii="Calibri" w:hAnsi="Calibri" w:cs="Calibri"/>
            <w:color w:val="0645AD"/>
            <w:shd w:val="clear" w:color="auto" w:fill="FFFFFF"/>
          </w:rPr>
          <w:t>Asie de l'Ouest</w:t>
        </w:r>
      </w:hyperlink>
      <w:r w:rsidR="006C3A2E" w:rsidRPr="006C3A2E">
        <w:rPr>
          <w:rFonts w:ascii="Calibri" w:hAnsi="Calibri" w:cs="Calibri"/>
          <w:color w:val="202122"/>
          <w:shd w:val="clear" w:color="auto" w:fill="FFFFFF"/>
        </w:rPr>
        <w:t> </w:t>
      </w:r>
      <w:r w:rsidR="006C3A2E" w:rsidRPr="006C3A2E">
        <w:rPr>
          <w:rFonts w:ascii="Calibri" w:hAnsi="Calibri" w:cs="Calibri"/>
          <w:color w:val="000000" w:themeColor="text1"/>
          <w:shd w:val="clear" w:color="auto" w:fill="FFFFFF"/>
        </w:rPr>
        <w:t>et </w:t>
      </w:r>
      <w:hyperlink r:id="rId1937" w:tooltip="Afrique du Nord" w:history="1">
        <w:r w:rsidR="006C3A2E" w:rsidRPr="006C3A2E">
          <w:rPr>
            <w:rStyle w:val="Lienhypertexte"/>
            <w:rFonts w:ascii="Calibri" w:hAnsi="Calibri" w:cs="Calibri"/>
            <w:color w:val="0645AD"/>
            <w:shd w:val="clear" w:color="auto" w:fill="FFFFFF"/>
          </w:rPr>
          <w:t>en Afrique du Nord</w:t>
        </w:r>
      </w:hyperlink>
      <w:r w:rsidR="006C3A2E" w:rsidRPr="006C3A2E">
        <w:rPr>
          <w:rFonts w:ascii="Calibri" w:hAnsi="Calibri" w:cs="Calibri"/>
          <w:color w:val="202122"/>
          <w:shd w:val="clear" w:color="auto" w:fill="FFFFFF"/>
        </w:rPr>
        <w:t xml:space="preserve">, </w:t>
      </w:r>
      <w:r w:rsidR="006C3A2E" w:rsidRPr="006C3A2E">
        <w:rPr>
          <w:rFonts w:ascii="Calibri" w:hAnsi="Calibri" w:cs="Calibri"/>
          <w:color w:val="000000" w:themeColor="text1"/>
          <w:shd w:val="clear" w:color="auto" w:fill="FFFFFF"/>
        </w:rPr>
        <w:t>certaines lentilles sont plantées comme culture d'hiver avant les chutes de neige. La croissance des plantes se produit pendant la fonte des neiges. Dans une telle culture, les rendements en graines sont souvent beaucoup plus élevés.</w:t>
      </w:r>
    </w:p>
    <w:p w14:paraId="3C6A715A" w14:textId="62F8E276" w:rsidR="006C3A2E" w:rsidRDefault="006C3A2E" w:rsidP="005A7D1D">
      <w:pPr>
        <w:spacing w:after="0" w:line="240" w:lineRule="auto"/>
        <w:jc w:val="both"/>
        <w:rPr>
          <w:rFonts w:ascii="Calibri" w:hAnsi="Calibri" w:cs="Calibri"/>
          <w:color w:val="000000" w:themeColor="text1"/>
        </w:rPr>
      </w:pPr>
      <w:r w:rsidRPr="006C3A2E">
        <w:rPr>
          <w:rFonts w:ascii="Calibri" w:hAnsi="Calibri" w:cs="Calibri"/>
          <w:color w:val="000000" w:themeColor="text1"/>
          <w:u w:val="single"/>
        </w:rPr>
        <w:t>Besoins du lit de semence et des semis</w:t>
      </w:r>
      <w:r w:rsidRPr="006C3A2E">
        <w:rPr>
          <w:rFonts w:ascii="Calibri" w:hAnsi="Calibri" w:cs="Calibri"/>
          <w:color w:val="000000" w:themeColor="text1"/>
        </w:rPr>
        <w:t xml:space="preserve"> :</w:t>
      </w:r>
      <w:r>
        <w:rPr>
          <w:rFonts w:ascii="Calibri" w:hAnsi="Calibri" w:cs="Calibri"/>
          <w:color w:val="000000" w:themeColor="text1"/>
        </w:rPr>
        <w:t xml:space="preserve"> </w:t>
      </w:r>
      <w:r w:rsidRPr="006C3A2E">
        <w:rPr>
          <w:rFonts w:ascii="Calibri" w:hAnsi="Calibri" w:cs="Calibri"/>
          <w:color w:val="000000" w:themeColor="text1"/>
          <w:shd w:val="clear" w:color="auto" w:fill="FFFFFF"/>
        </w:rPr>
        <w:t>La lentille a besoin d'un </w:t>
      </w:r>
      <w:hyperlink r:id="rId1938" w:tooltip="Lit de semence" w:history="1">
        <w:r w:rsidRPr="006C3A2E">
          <w:rPr>
            <w:rStyle w:val="Lienhypertexte"/>
            <w:rFonts w:ascii="Calibri" w:hAnsi="Calibri" w:cs="Calibri"/>
            <w:color w:val="0645AD"/>
            <w:shd w:val="clear" w:color="auto" w:fill="FFFFFF"/>
          </w:rPr>
          <w:t>lit</w:t>
        </w:r>
      </w:hyperlink>
      <w:r w:rsidRPr="006C3A2E">
        <w:rPr>
          <w:rFonts w:ascii="Calibri" w:hAnsi="Calibri" w:cs="Calibri"/>
          <w:color w:val="202122"/>
          <w:shd w:val="clear" w:color="auto" w:fill="FFFFFF"/>
        </w:rPr>
        <w:t> </w:t>
      </w:r>
      <w:r w:rsidRPr="006C3A2E">
        <w:rPr>
          <w:rFonts w:ascii="Calibri" w:hAnsi="Calibri" w:cs="Calibri"/>
          <w:color w:val="000000" w:themeColor="text1"/>
          <w:shd w:val="clear" w:color="auto" w:fill="FFFFFF"/>
        </w:rPr>
        <w:t>de </w:t>
      </w:r>
      <w:hyperlink r:id="rId1939" w:tooltip="Lit de semence" w:history="1">
        <w:r w:rsidRPr="006C3A2E">
          <w:rPr>
            <w:rStyle w:val="Lienhypertexte"/>
            <w:rFonts w:ascii="Calibri" w:hAnsi="Calibri" w:cs="Calibri"/>
            <w:color w:val="0645AD"/>
            <w:shd w:val="clear" w:color="auto" w:fill="FFFFFF"/>
          </w:rPr>
          <w:t>semence</w:t>
        </w:r>
      </w:hyperlink>
      <w:r w:rsidRPr="006C3A2E">
        <w:rPr>
          <w:rFonts w:ascii="Calibri" w:hAnsi="Calibri" w:cs="Calibri"/>
          <w:color w:val="202122"/>
          <w:shd w:val="clear" w:color="auto" w:fill="FFFFFF"/>
        </w:rPr>
        <w:t> </w:t>
      </w:r>
      <w:r w:rsidRPr="006C3A2E">
        <w:rPr>
          <w:rFonts w:ascii="Calibri" w:hAnsi="Calibri" w:cs="Calibri"/>
          <w:color w:val="000000" w:themeColor="text1"/>
          <w:shd w:val="clear" w:color="auto" w:fill="FFFFFF"/>
        </w:rPr>
        <w:t>ferme et lisse avec la plupart des </w:t>
      </w:r>
      <w:hyperlink r:id="rId1940" w:tooltip="Résidus de récolte" w:history="1">
        <w:r w:rsidRPr="006C3A2E">
          <w:rPr>
            <w:rStyle w:val="Lienhypertexte"/>
            <w:rFonts w:ascii="Calibri" w:hAnsi="Calibri" w:cs="Calibri"/>
            <w:color w:val="0645AD"/>
            <w:shd w:val="clear" w:color="auto" w:fill="FFFFFF"/>
          </w:rPr>
          <w:t>résidus de récolte</w:t>
        </w:r>
      </w:hyperlink>
      <w:r w:rsidRPr="006C3A2E">
        <w:rPr>
          <w:rFonts w:ascii="Calibri" w:hAnsi="Calibri" w:cs="Calibri"/>
          <w:color w:val="202122"/>
          <w:shd w:val="clear" w:color="auto" w:fill="FFFFFF"/>
        </w:rPr>
        <w:t> </w:t>
      </w:r>
      <w:r w:rsidRPr="006C3A2E">
        <w:rPr>
          <w:rFonts w:ascii="Calibri" w:hAnsi="Calibri" w:cs="Calibri"/>
          <w:color w:val="000000" w:themeColor="text1"/>
          <w:shd w:val="clear" w:color="auto" w:fill="FFFFFF"/>
        </w:rPr>
        <w:t>précédents incorporés. Pour le placement des graines et pour la récolte ultérieure, il est important que la surface ne soit pas inégale avec de grosses mottes, des pierres ou des résidus de culture saillants. Il est également important que le sol soit friable et exempt de mauvaises herbes</w:t>
      </w:r>
      <w:r>
        <w:rPr>
          <w:rFonts w:ascii="Calibri" w:hAnsi="Calibri" w:cs="Calibri"/>
          <w:color w:val="000000" w:themeColor="text1"/>
          <w:shd w:val="clear" w:color="auto" w:fill="FFFFFF"/>
        </w:rPr>
        <w:t>,</w:t>
      </w:r>
      <w:r w:rsidRPr="006C3A2E">
        <w:rPr>
          <w:rFonts w:ascii="Calibri" w:hAnsi="Calibri" w:cs="Calibri"/>
          <w:color w:val="000000" w:themeColor="text1"/>
          <w:shd w:val="clear" w:color="auto" w:fill="FFFFFF"/>
        </w:rPr>
        <w:t xml:space="preserve"> afin que l'ensemencement puisse être fait à une profondeur uniforme</w:t>
      </w:r>
      <w:r w:rsidRPr="006C3A2E">
        <w:rPr>
          <w:rFonts w:ascii="Calibri" w:hAnsi="Calibri" w:cs="Calibri"/>
          <w:color w:val="000000" w:themeColor="text1"/>
        </w:rPr>
        <w:t>.</w:t>
      </w:r>
    </w:p>
    <w:p w14:paraId="0114A1E3" w14:textId="28949FC9" w:rsidR="006C3A2E" w:rsidRDefault="006C3A2E" w:rsidP="005A7D1D">
      <w:pPr>
        <w:spacing w:after="0" w:line="240" w:lineRule="auto"/>
        <w:jc w:val="both"/>
        <w:rPr>
          <w:rFonts w:ascii="Calibri" w:hAnsi="Calibri" w:cs="Calibri"/>
          <w:color w:val="000000" w:themeColor="text1"/>
        </w:rPr>
      </w:pPr>
      <w:r w:rsidRPr="006C3A2E">
        <w:rPr>
          <w:rFonts w:ascii="Calibri" w:hAnsi="Calibri" w:cs="Calibri"/>
          <w:color w:val="000000" w:themeColor="text1"/>
          <w:shd w:val="clear" w:color="auto" w:fill="FFFFFF"/>
        </w:rPr>
        <w:t>Les densités de plantes pour les lentilles varient entre les </w:t>
      </w:r>
      <w:hyperlink r:id="rId1941" w:tooltip="Génotype" w:history="1">
        <w:r w:rsidRPr="006C3A2E">
          <w:rPr>
            <w:rStyle w:val="Lienhypertexte"/>
            <w:rFonts w:ascii="Calibri" w:hAnsi="Calibri" w:cs="Calibri"/>
            <w:color w:val="0645AD"/>
            <w:shd w:val="clear" w:color="auto" w:fill="FFFFFF"/>
          </w:rPr>
          <w:t>génotypes</w:t>
        </w:r>
      </w:hyperlink>
      <w:r w:rsidRPr="006C3A2E">
        <w:rPr>
          <w:rFonts w:ascii="Calibri" w:hAnsi="Calibri" w:cs="Calibri"/>
          <w:color w:val="202122"/>
          <w:shd w:val="clear" w:color="auto" w:fill="FFFFFF"/>
        </w:rPr>
        <w:t xml:space="preserve">, </w:t>
      </w:r>
      <w:r w:rsidRPr="006C3A2E">
        <w:rPr>
          <w:rFonts w:ascii="Calibri" w:hAnsi="Calibri" w:cs="Calibri"/>
          <w:color w:val="000000" w:themeColor="text1"/>
          <w:shd w:val="clear" w:color="auto" w:fill="FFFFFF"/>
        </w:rPr>
        <w:t>la taille des graines, le temps de plantation et les conditions de croissance et également d'une région à l'autre. En Asie du Sud, un taux de semis de 30 à 40 kilogrammes par hectare (27 à 36 livres par acre) est recommandé. Dans les pays d'Asie occidentale, un taux de semis plus élevé est recommandé et conduit également à un rendement plus élevé. Les graines doivent être semées sur 3 à 4 centimètres (</w:t>
      </w:r>
      <w:r w:rsidR="00E5708F" w:rsidRPr="00E5708F">
        <w:rPr>
          <w:rStyle w:val="frac"/>
          <w:rFonts w:ascii="Arial" w:hAnsi="Arial" w:cs="Arial"/>
          <w:color w:val="000000" w:themeColor="text1"/>
          <w:sz w:val="21"/>
          <w:szCs w:val="21"/>
          <w:shd w:val="clear" w:color="auto" w:fill="FFFFFF"/>
        </w:rPr>
        <w:t>1</w:t>
      </w:r>
      <w:r w:rsidR="00E5708F" w:rsidRPr="00E5708F">
        <w:rPr>
          <w:rStyle w:val="sr-only"/>
          <w:rFonts w:ascii="Arial" w:hAnsi="Arial" w:cs="Arial"/>
          <w:color w:val="000000" w:themeColor="text1"/>
          <w:sz w:val="21"/>
          <w:szCs w:val="21"/>
          <w:bdr w:val="none" w:sz="0" w:space="0" w:color="auto" w:frame="1"/>
          <w:shd w:val="clear" w:color="auto" w:fill="FFFFFF"/>
        </w:rPr>
        <w:t>+</w:t>
      </w:r>
      <w:r w:rsidR="00E5708F" w:rsidRPr="00E5708F">
        <w:rPr>
          <w:rStyle w:val="num"/>
          <w:rFonts w:ascii="Arial" w:hAnsi="Arial" w:cs="Arial"/>
          <w:color w:val="000000" w:themeColor="text1"/>
          <w:sz w:val="17"/>
          <w:szCs w:val="17"/>
          <w:shd w:val="clear" w:color="auto" w:fill="FFFFFF"/>
          <w:vertAlign w:val="superscript"/>
        </w:rPr>
        <w:t>1</w:t>
      </w:r>
      <w:r w:rsidR="00E5708F" w:rsidRPr="00E5708F">
        <w:rPr>
          <w:rStyle w:val="frac"/>
          <w:rFonts w:ascii="Arial" w:hAnsi="Arial" w:cs="Arial"/>
          <w:color w:val="000000" w:themeColor="text1"/>
          <w:sz w:val="21"/>
          <w:szCs w:val="21"/>
          <w:shd w:val="clear" w:color="auto" w:fill="FFFFFF"/>
        </w:rPr>
        <w:t>⁄</w:t>
      </w:r>
      <w:r w:rsidR="00E5708F" w:rsidRPr="00E5708F">
        <w:rPr>
          <w:rStyle w:val="den"/>
          <w:rFonts w:ascii="Arial" w:hAnsi="Arial" w:cs="Arial"/>
          <w:color w:val="000000" w:themeColor="text1"/>
          <w:sz w:val="17"/>
          <w:szCs w:val="17"/>
          <w:shd w:val="clear" w:color="auto" w:fill="FFFFFF"/>
          <w:vertAlign w:val="subscript"/>
        </w:rPr>
        <w:t>4</w:t>
      </w:r>
      <w:r w:rsidR="00E5708F" w:rsidRPr="00E5708F">
        <w:rPr>
          <w:rFonts w:ascii="Arial" w:hAnsi="Arial" w:cs="Arial"/>
          <w:color w:val="000000" w:themeColor="text1"/>
          <w:sz w:val="21"/>
          <w:szCs w:val="21"/>
          <w:shd w:val="clear" w:color="auto" w:fill="FFFFFF"/>
        </w:rPr>
        <w:t> to </w:t>
      </w:r>
      <w:r w:rsidR="00E5708F" w:rsidRPr="00E5708F">
        <w:rPr>
          <w:rStyle w:val="frac"/>
          <w:rFonts w:ascii="Arial" w:hAnsi="Arial" w:cs="Arial"/>
          <w:color w:val="000000" w:themeColor="text1"/>
          <w:sz w:val="21"/>
          <w:szCs w:val="21"/>
          <w:shd w:val="clear" w:color="auto" w:fill="FFFFFF"/>
        </w:rPr>
        <w:t>1</w:t>
      </w:r>
      <w:r w:rsidR="00E5708F" w:rsidRPr="00E5708F">
        <w:rPr>
          <w:rStyle w:val="sr-only"/>
          <w:rFonts w:ascii="Arial" w:hAnsi="Arial" w:cs="Arial"/>
          <w:color w:val="000000" w:themeColor="text1"/>
          <w:sz w:val="21"/>
          <w:szCs w:val="21"/>
          <w:bdr w:val="none" w:sz="0" w:space="0" w:color="auto" w:frame="1"/>
          <w:shd w:val="clear" w:color="auto" w:fill="FFFFFF"/>
        </w:rPr>
        <w:t>+</w:t>
      </w:r>
      <w:r w:rsidR="00E5708F" w:rsidRPr="00E5708F">
        <w:rPr>
          <w:rStyle w:val="num"/>
          <w:rFonts w:ascii="Arial" w:hAnsi="Arial" w:cs="Arial"/>
          <w:color w:val="000000" w:themeColor="text1"/>
          <w:sz w:val="17"/>
          <w:szCs w:val="17"/>
          <w:shd w:val="clear" w:color="auto" w:fill="FFFFFF"/>
          <w:vertAlign w:val="superscript"/>
        </w:rPr>
        <w:t>1</w:t>
      </w:r>
      <w:r w:rsidR="00E5708F" w:rsidRPr="00E5708F">
        <w:rPr>
          <w:rStyle w:val="frac"/>
          <w:rFonts w:ascii="Arial" w:hAnsi="Arial" w:cs="Arial"/>
          <w:color w:val="000000" w:themeColor="text1"/>
          <w:sz w:val="21"/>
          <w:szCs w:val="21"/>
          <w:shd w:val="clear" w:color="auto" w:fill="FFFFFF"/>
        </w:rPr>
        <w:t>⁄</w:t>
      </w:r>
      <w:r w:rsidR="00E5708F" w:rsidRPr="00E5708F">
        <w:rPr>
          <w:rStyle w:val="den"/>
          <w:rFonts w:ascii="Arial" w:hAnsi="Arial" w:cs="Arial"/>
          <w:color w:val="000000" w:themeColor="text1"/>
          <w:sz w:val="17"/>
          <w:szCs w:val="17"/>
          <w:shd w:val="clear" w:color="auto" w:fill="FFFFFF"/>
          <w:vertAlign w:val="subscript"/>
        </w:rPr>
        <w:t>2</w:t>
      </w:r>
      <w:r w:rsidR="00E5708F" w:rsidRPr="00E5708F">
        <w:rPr>
          <w:rFonts w:ascii="Arial" w:hAnsi="Arial" w:cs="Arial"/>
          <w:color w:val="000000" w:themeColor="text1"/>
          <w:sz w:val="21"/>
          <w:szCs w:val="21"/>
          <w:shd w:val="clear" w:color="auto" w:fill="FFFFFF"/>
        </w:rPr>
        <w:t> </w:t>
      </w:r>
      <w:r w:rsidRPr="00E5708F">
        <w:rPr>
          <w:rFonts w:ascii="Calibri" w:hAnsi="Calibri" w:cs="Calibri"/>
          <w:color w:val="000000" w:themeColor="text1"/>
          <w:shd w:val="clear" w:color="auto" w:fill="FFFFFF"/>
        </w:rPr>
        <w:t>po</w:t>
      </w:r>
      <w:r w:rsidR="00E5708F" w:rsidRPr="00E5708F">
        <w:rPr>
          <w:rFonts w:ascii="Calibri" w:hAnsi="Calibri" w:cs="Calibri"/>
          <w:color w:val="000000" w:themeColor="text1"/>
          <w:shd w:val="clear" w:color="auto" w:fill="FFFFFF"/>
        </w:rPr>
        <w:t>uces</w:t>
      </w:r>
      <w:r w:rsidRPr="006C3A2E">
        <w:rPr>
          <w:rFonts w:ascii="Calibri" w:hAnsi="Calibri" w:cs="Calibri"/>
          <w:color w:val="000000" w:themeColor="text1"/>
          <w:shd w:val="clear" w:color="auto" w:fill="FFFFFF"/>
        </w:rPr>
        <w:t xml:space="preserve">) de profondeur. Dans les pays mécanisés, les lentilles sont plantées à l'aide </w:t>
      </w:r>
      <w:r w:rsidRPr="006C3A2E">
        <w:rPr>
          <w:rFonts w:ascii="Calibri" w:hAnsi="Calibri" w:cs="Calibri"/>
          <w:color w:val="202122"/>
          <w:shd w:val="clear" w:color="auto" w:fill="FFFFFF"/>
        </w:rPr>
        <w:t>d</w:t>
      </w:r>
      <w:r>
        <w:rPr>
          <w:rFonts w:ascii="Calibri" w:hAnsi="Calibri" w:cs="Calibri"/>
          <w:color w:val="202122"/>
          <w:shd w:val="clear" w:color="auto" w:fill="FFFFFF"/>
        </w:rPr>
        <w:t xml:space="preserve">e </w:t>
      </w:r>
      <w:hyperlink r:id="rId1942" w:tooltip="Semoir" w:history="1">
        <w:r w:rsidRPr="006C3A2E">
          <w:rPr>
            <w:rStyle w:val="Lienhypertexte"/>
            <w:rFonts w:ascii="Calibri" w:hAnsi="Calibri" w:cs="Calibri"/>
            <w:color w:val="0645AD"/>
            <w:shd w:val="clear" w:color="auto" w:fill="FFFFFF"/>
          </w:rPr>
          <w:t>semoirs à grain</w:t>
        </w:r>
        <w:r>
          <w:rPr>
            <w:rStyle w:val="Lienhypertexte"/>
            <w:rFonts w:ascii="Calibri" w:hAnsi="Calibri" w:cs="Calibri"/>
            <w:color w:val="0645AD"/>
            <w:shd w:val="clear" w:color="auto" w:fill="FFFFFF"/>
          </w:rPr>
          <w:t>e</w:t>
        </w:r>
        <w:r w:rsidRPr="006C3A2E">
          <w:rPr>
            <w:rStyle w:val="Lienhypertexte"/>
            <w:rFonts w:ascii="Calibri" w:hAnsi="Calibri" w:cs="Calibri"/>
            <w:color w:val="0645AD"/>
            <w:shd w:val="clear" w:color="auto" w:fill="FFFFFF"/>
          </w:rPr>
          <w:t>s</w:t>
        </w:r>
      </w:hyperlink>
      <w:r w:rsidRPr="006C3A2E">
        <w:rPr>
          <w:rFonts w:ascii="Calibri" w:hAnsi="Calibri" w:cs="Calibri"/>
          <w:color w:val="202122"/>
          <w:shd w:val="clear" w:color="auto" w:fill="FFFFFF"/>
        </w:rPr>
        <w:t xml:space="preserve">, </w:t>
      </w:r>
      <w:r w:rsidRPr="006C3A2E">
        <w:rPr>
          <w:rFonts w:ascii="Calibri" w:hAnsi="Calibri" w:cs="Calibri"/>
          <w:color w:val="000000" w:themeColor="text1"/>
          <w:shd w:val="clear" w:color="auto" w:fill="FFFFFF"/>
        </w:rPr>
        <w:t>mais dans nombreuses autres régions, elles continuent à</w:t>
      </w:r>
      <w:r w:rsidRPr="006C3A2E">
        <w:rPr>
          <w:rFonts w:ascii="Arial" w:hAnsi="Arial" w:cs="Arial"/>
          <w:color w:val="000000" w:themeColor="text1"/>
          <w:sz w:val="21"/>
          <w:szCs w:val="21"/>
          <w:shd w:val="clear" w:color="auto" w:fill="FFFFFF"/>
        </w:rPr>
        <w:t xml:space="preserve"> être semées à la main</w:t>
      </w:r>
      <w:r w:rsidRPr="006C3A2E">
        <w:rPr>
          <w:rFonts w:ascii="Calibri" w:hAnsi="Calibri" w:cs="Calibri"/>
          <w:color w:val="000000" w:themeColor="text1"/>
        </w:rPr>
        <w:t>.</w:t>
      </w:r>
    </w:p>
    <w:p w14:paraId="477D9B0E" w14:textId="0C4A0350" w:rsidR="006C3A2E" w:rsidRDefault="006C3A2E" w:rsidP="005A7D1D">
      <w:pPr>
        <w:spacing w:after="0" w:line="240" w:lineRule="auto"/>
        <w:jc w:val="both"/>
        <w:rPr>
          <w:rFonts w:ascii="Calibri" w:hAnsi="Calibri" w:cs="Calibri"/>
          <w:color w:val="000000" w:themeColor="text1"/>
        </w:rPr>
      </w:pPr>
      <w:r w:rsidRPr="006C3A2E">
        <w:rPr>
          <w:rFonts w:ascii="Calibri" w:hAnsi="Calibri" w:cs="Calibri"/>
          <w:color w:val="000000" w:themeColor="text1"/>
          <w:u w:val="single"/>
        </w:rPr>
        <w:t>Gestion de la culture, fertilisation</w:t>
      </w:r>
      <w:r w:rsidRPr="006C3A2E">
        <w:rPr>
          <w:rFonts w:ascii="Calibri" w:hAnsi="Calibri" w:cs="Calibri"/>
          <w:color w:val="000000" w:themeColor="text1"/>
        </w:rPr>
        <w:t xml:space="preserve"> :</w:t>
      </w:r>
      <w:r>
        <w:rPr>
          <w:rFonts w:ascii="Calibri" w:hAnsi="Calibri" w:cs="Calibri"/>
          <w:color w:val="000000" w:themeColor="text1"/>
        </w:rPr>
        <w:t xml:space="preserve"> </w:t>
      </w:r>
      <w:r w:rsidRPr="00C1635E">
        <w:rPr>
          <w:rFonts w:ascii="Calibri" w:hAnsi="Calibri" w:cs="Calibri"/>
          <w:color w:val="000000" w:themeColor="text1"/>
          <w:shd w:val="clear" w:color="auto" w:fill="FFFFFF"/>
        </w:rPr>
        <w:t>Dans les </w:t>
      </w:r>
      <w:hyperlink r:id="rId1943" w:tooltip="Cultures intercalaires" w:history="1">
        <w:r w:rsidRPr="006C3A2E">
          <w:rPr>
            <w:rStyle w:val="Lienhypertexte"/>
            <w:rFonts w:ascii="Calibri" w:hAnsi="Calibri" w:cs="Calibri"/>
            <w:color w:val="0645AD"/>
            <w:shd w:val="clear" w:color="auto" w:fill="FFFFFF"/>
          </w:rPr>
          <w:t>systèmes de culture intercalaire</w:t>
        </w:r>
      </w:hyperlink>
      <w:r w:rsidRPr="006C3A2E">
        <w:rPr>
          <w:rFonts w:ascii="Calibri" w:hAnsi="Calibri" w:cs="Calibri"/>
          <w:color w:val="202122"/>
          <w:shd w:val="clear" w:color="auto" w:fill="FFFFFF"/>
        </w:rPr>
        <w:t xml:space="preserve"> – </w:t>
      </w:r>
      <w:r w:rsidRPr="006C3A2E">
        <w:rPr>
          <w:rFonts w:ascii="Calibri" w:hAnsi="Calibri" w:cs="Calibri"/>
          <w:color w:val="000000" w:themeColor="text1"/>
          <w:shd w:val="clear" w:color="auto" w:fill="FFFFFF"/>
        </w:rPr>
        <w:t>une pratique couramment utilisée dans la culture des lentilles – des </w:t>
      </w:r>
      <w:hyperlink r:id="rId1944" w:tooltip="Herbicide" w:history="1">
        <w:r w:rsidRPr="006C3A2E">
          <w:rPr>
            <w:rStyle w:val="Lienhypertexte"/>
            <w:rFonts w:ascii="Calibri" w:hAnsi="Calibri" w:cs="Calibri"/>
            <w:color w:val="0645AD"/>
            <w:shd w:val="clear" w:color="auto" w:fill="FFFFFF"/>
          </w:rPr>
          <w:t>herbicides</w:t>
        </w:r>
      </w:hyperlink>
      <w:r w:rsidRPr="006C3A2E">
        <w:rPr>
          <w:rFonts w:ascii="Calibri" w:hAnsi="Calibri" w:cs="Calibri"/>
          <w:color w:val="202122"/>
          <w:shd w:val="clear" w:color="auto" w:fill="FFFFFF"/>
        </w:rPr>
        <w:t> </w:t>
      </w:r>
      <w:r w:rsidRPr="006C3A2E">
        <w:rPr>
          <w:rFonts w:ascii="Calibri" w:hAnsi="Calibri" w:cs="Calibri"/>
          <w:color w:val="000000" w:themeColor="text1"/>
          <w:shd w:val="clear" w:color="auto" w:fill="FFFFFF"/>
        </w:rPr>
        <w:t>peuvent être nécessaires pour assurer la santé des cultures. Comme beaucoup d'autres cultures de </w:t>
      </w:r>
      <w:hyperlink r:id="rId1945" w:tooltip="Légumineuse" w:history="1">
        <w:r w:rsidRPr="006C3A2E">
          <w:rPr>
            <w:rStyle w:val="Lienhypertexte"/>
            <w:rFonts w:ascii="Calibri" w:hAnsi="Calibri" w:cs="Calibri"/>
            <w:color w:val="0645AD"/>
            <w:shd w:val="clear" w:color="auto" w:fill="FFFFFF"/>
          </w:rPr>
          <w:t>légumineuses</w:t>
        </w:r>
      </w:hyperlink>
      <w:r w:rsidRPr="006C3A2E">
        <w:rPr>
          <w:rFonts w:ascii="Calibri" w:hAnsi="Calibri" w:cs="Calibri"/>
          <w:color w:val="202122"/>
          <w:shd w:val="clear" w:color="auto" w:fill="FFFFFF"/>
        </w:rPr>
        <w:t xml:space="preserve">, </w:t>
      </w:r>
      <w:r w:rsidRPr="006C3A2E">
        <w:rPr>
          <w:rFonts w:ascii="Calibri" w:hAnsi="Calibri" w:cs="Calibri"/>
          <w:color w:val="000000" w:themeColor="text1"/>
          <w:shd w:val="clear" w:color="auto" w:fill="FFFFFF"/>
        </w:rPr>
        <w:t>les lentilles peuvent </w:t>
      </w:r>
      <w:hyperlink r:id="rId1946" w:tooltip="Fixation de l'azote" w:history="1">
        <w:r w:rsidRPr="006C3A2E">
          <w:rPr>
            <w:rStyle w:val="Lienhypertexte"/>
            <w:rFonts w:ascii="Calibri" w:hAnsi="Calibri" w:cs="Calibri"/>
            <w:color w:val="000000" w:themeColor="text1"/>
            <w:shd w:val="clear" w:color="auto" w:fill="FFFFFF"/>
          </w:rPr>
          <w:t>fixer l'azote atmosphérique</w:t>
        </w:r>
      </w:hyperlink>
      <w:r w:rsidRPr="006C3A2E">
        <w:rPr>
          <w:rFonts w:ascii="Calibri" w:hAnsi="Calibri" w:cs="Calibri"/>
          <w:color w:val="000000" w:themeColor="text1"/>
          <w:shd w:val="clear" w:color="auto" w:fill="FFFFFF"/>
        </w:rPr>
        <w:t> dans le sol avec des </w:t>
      </w:r>
      <w:hyperlink r:id="rId1947" w:tooltip="Rhizobium" w:history="1">
        <w:r w:rsidRPr="006C3A2E">
          <w:rPr>
            <w:rStyle w:val="Lienhypertexte"/>
            <w:rFonts w:ascii="Calibri" w:hAnsi="Calibri" w:cs="Calibri"/>
            <w:color w:val="000000" w:themeColor="text1"/>
            <w:shd w:val="clear" w:color="auto" w:fill="FFFFFF"/>
          </w:rPr>
          <w:t>rhizobiums</w:t>
        </w:r>
      </w:hyperlink>
      <w:r w:rsidRPr="006C3A2E">
        <w:rPr>
          <w:rFonts w:ascii="Calibri" w:hAnsi="Calibri" w:cs="Calibri"/>
          <w:color w:val="000000" w:themeColor="text1"/>
          <w:shd w:val="clear" w:color="auto" w:fill="FFFFFF"/>
        </w:rPr>
        <w:t> spécifiques</w:t>
      </w:r>
      <w:r w:rsidRPr="006C3A2E">
        <w:rPr>
          <w:rFonts w:ascii="Calibri" w:hAnsi="Calibri" w:cs="Calibri"/>
          <w:color w:val="202122"/>
          <w:shd w:val="clear" w:color="auto" w:fill="FFFFFF"/>
        </w:rPr>
        <w:t>. lentilles poussent bien dans des conditions de faible </w:t>
      </w:r>
      <w:hyperlink r:id="rId1948" w:tooltip="Engrais" w:history="1">
        <w:r w:rsidRPr="006C3A2E">
          <w:rPr>
            <w:rStyle w:val="Lienhypertexte"/>
            <w:rFonts w:ascii="Calibri" w:hAnsi="Calibri" w:cs="Calibri"/>
            <w:color w:val="0645AD"/>
            <w:shd w:val="clear" w:color="auto" w:fill="FFFFFF"/>
          </w:rPr>
          <w:t>apport</w:t>
        </w:r>
      </w:hyperlink>
      <w:r w:rsidRPr="006C3A2E">
        <w:rPr>
          <w:rFonts w:ascii="Calibri" w:hAnsi="Calibri" w:cs="Calibri"/>
          <w:color w:val="202122"/>
          <w:shd w:val="clear" w:color="auto" w:fill="FFFFFF"/>
        </w:rPr>
        <w:t> d' </w:t>
      </w:r>
      <w:hyperlink r:id="rId1949" w:tooltip="Engrais" w:history="1">
        <w:r w:rsidRPr="006C3A2E">
          <w:rPr>
            <w:rStyle w:val="Lienhypertexte"/>
            <w:rFonts w:ascii="Calibri" w:hAnsi="Calibri" w:cs="Calibri"/>
            <w:color w:val="0645AD"/>
            <w:shd w:val="clear" w:color="auto" w:fill="FFFFFF"/>
          </w:rPr>
          <w:t>engrais</w:t>
        </w:r>
      </w:hyperlink>
      <w:r w:rsidRPr="006C3A2E">
        <w:rPr>
          <w:rFonts w:ascii="Calibri" w:hAnsi="Calibri" w:cs="Calibri"/>
          <w:color w:val="202122"/>
          <w:shd w:val="clear" w:color="auto" w:fill="FFFFFF"/>
        </w:rPr>
        <w:t xml:space="preserve">, </w:t>
      </w:r>
      <w:r w:rsidRPr="006C3A2E">
        <w:rPr>
          <w:rFonts w:ascii="Calibri" w:hAnsi="Calibri" w:cs="Calibri"/>
          <w:color w:val="000000" w:themeColor="text1"/>
          <w:shd w:val="clear" w:color="auto" w:fill="FFFFFF"/>
        </w:rPr>
        <w:t xml:space="preserve">bien que </w:t>
      </w:r>
      <w:r w:rsidRPr="006C3A2E">
        <w:rPr>
          <w:rFonts w:ascii="Calibri" w:hAnsi="Calibri" w:cs="Calibri"/>
          <w:color w:val="202122"/>
          <w:shd w:val="clear" w:color="auto" w:fill="FFFFFF"/>
        </w:rPr>
        <w:t>le </w:t>
      </w:r>
      <w:hyperlink r:id="rId1950" w:tooltip="Phosphore" w:history="1">
        <w:r w:rsidRPr="006C3A2E">
          <w:rPr>
            <w:rStyle w:val="Lienhypertexte"/>
            <w:rFonts w:ascii="Calibri" w:hAnsi="Calibri" w:cs="Calibri"/>
            <w:color w:val="0645AD"/>
            <w:shd w:val="clear" w:color="auto" w:fill="FFFFFF"/>
          </w:rPr>
          <w:t>phosphore</w:t>
        </w:r>
      </w:hyperlink>
      <w:r w:rsidRPr="006C3A2E">
        <w:rPr>
          <w:rFonts w:ascii="Calibri" w:hAnsi="Calibri" w:cs="Calibri"/>
          <w:color w:val="202122"/>
          <w:shd w:val="clear" w:color="auto" w:fill="FFFFFF"/>
        </w:rPr>
        <w:t>, l'</w:t>
      </w:r>
      <w:hyperlink r:id="rId1951" w:tooltip="Azote" w:history="1">
        <w:r w:rsidRPr="006C3A2E">
          <w:rPr>
            <w:rStyle w:val="Lienhypertexte"/>
            <w:rFonts w:ascii="Calibri" w:hAnsi="Calibri" w:cs="Calibri"/>
            <w:color w:val="0645AD"/>
            <w:shd w:val="clear" w:color="auto" w:fill="FFFFFF"/>
          </w:rPr>
          <w:t>azote</w:t>
        </w:r>
      </w:hyperlink>
      <w:r w:rsidRPr="006C3A2E">
        <w:rPr>
          <w:rFonts w:ascii="Calibri" w:hAnsi="Calibri" w:cs="Calibri"/>
          <w:color w:val="202122"/>
          <w:shd w:val="clear" w:color="auto" w:fill="FFFFFF"/>
        </w:rPr>
        <w:t>, le </w:t>
      </w:r>
      <w:hyperlink r:id="rId1952" w:tooltip="Potassium" w:history="1">
        <w:r w:rsidRPr="006C3A2E">
          <w:rPr>
            <w:rStyle w:val="Lienhypertexte"/>
            <w:rFonts w:ascii="Calibri" w:hAnsi="Calibri" w:cs="Calibri"/>
            <w:color w:val="0645AD"/>
            <w:shd w:val="clear" w:color="auto" w:fill="FFFFFF"/>
          </w:rPr>
          <w:t>potassium</w:t>
        </w:r>
      </w:hyperlink>
      <w:r w:rsidRPr="006C3A2E">
        <w:rPr>
          <w:rFonts w:ascii="Calibri" w:hAnsi="Calibri" w:cs="Calibri"/>
          <w:color w:val="202122"/>
          <w:shd w:val="clear" w:color="auto" w:fill="FFFFFF"/>
        </w:rPr>
        <w:t> et le </w:t>
      </w:r>
      <w:hyperlink r:id="rId1953" w:tooltip="Soufre" w:history="1">
        <w:r w:rsidRPr="006C3A2E">
          <w:rPr>
            <w:rStyle w:val="Lienhypertexte"/>
            <w:rFonts w:ascii="Calibri" w:hAnsi="Calibri" w:cs="Calibri"/>
            <w:color w:val="0645AD"/>
            <w:shd w:val="clear" w:color="auto" w:fill="FFFFFF"/>
          </w:rPr>
          <w:t>soufre</w:t>
        </w:r>
      </w:hyperlink>
      <w:r w:rsidRPr="006C3A2E">
        <w:rPr>
          <w:rFonts w:ascii="Calibri" w:hAnsi="Calibri" w:cs="Calibri"/>
          <w:color w:val="202122"/>
          <w:shd w:val="clear" w:color="auto" w:fill="FFFFFF"/>
        </w:rPr>
        <w:t> </w:t>
      </w:r>
      <w:r w:rsidRPr="006C3A2E">
        <w:rPr>
          <w:rFonts w:ascii="Calibri" w:hAnsi="Calibri" w:cs="Calibri"/>
          <w:color w:val="000000" w:themeColor="text1"/>
          <w:shd w:val="clear" w:color="auto" w:fill="FFFFFF"/>
        </w:rPr>
        <w:t>puissent être utilisés pour </w:t>
      </w:r>
      <w:hyperlink r:id="rId1954" w:tooltip="Nutritif" w:history="1">
        <w:r w:rsidRPr="006C3A2E">
          <w:rPr>
            <w:rStyle w:val="Lienhypertexte"/>
            <w:rFonts w:ascii="Calibri" w:hAnsi="Calibri" w:cs="Calibri"/>
            <w:color w:val="0645AD"/>
            <w:shd w:val="clear" w:color="auto" w:fill="FFFFFF"/>
          </w:rPr>
          <w:t>les</w:t>
        </w:r>
      </w:hyperlink>
      <w:r w:rsidRPr="006C3A2E">
        <w:rPr>
          <w:rFonts w:ascii="Calibri" w:hAnsi="Calibri" w:cs="Calibri"/>
          <w:color w:val="202122"/>
          <w:shd w:val="clear" w:color="auto" w:fill="FFFFFF"/>
        </w:rPr>
        <w:t> </w:t>
      </w:r>
      <w:r w:rsidRPr="006C3A2E">
        <w:rPr>
          <w:rFonts w:ascii="Calibri" w:hAnsi="Calibri" w:cs="Calibri"/>
          <w:color w:val="000000" w:themeColor="text1"/>
          <w:shd w:val="clear" w:color="auto" w:fill="FFFFFF"/>
        </w:rPr>
        <w:t>sols pauvres en </w:t>
      </w:r>
      <w:hyperlink r:id="rId1955" w:tooltip="Nutritif" w:history="1">
        <w:r w:rsidRPr="006C3A2E">
          <w:rPr>
            <w:rStyle w:val="Lienhypertexte"/>
            <w:rFonts w:ascii="Calibri" w:hAnsi="Calibri" w:cs="Calibri"/>
            <w:color w:val="0645AD"/>
            <w:shd w:val="clear" w:color="auto" w:fill="FFFFFF"/>
          </w:rPr>
          <w:t>nutriments</w:t>
        </w:r>
      </w:hyperlink>
      <w:r>
        <w:rPr>
          <w:rFonts w:ascii="Calibri" w:hAnsi="Calibri" w:cs="Calibri"/>
          <w:color w:val="000000" w:themeColor="text1"/>
        </w:rPr>
        <w:t>.</w:t>
      </w:r>
    </w:p>
    <w:p w14:paraId="0E6DB8A2" w14:textId="2D6CF0CD" w:rsidR="006C3A2E" w:rsidRPr="006C3A2E" w:rsidRDefault="006C3A2E" w:rsidP="005A7D1D">
      <w:pPr>
        <w:spacing w:after="0" w:line="240" w:lineRule="auto"/>
        <w:jc w:val="both"/>
        <w:rPr>
          <w:rFonts w:ascii="Calibri" w:hAnsi="Calibri" w:cs="Calibri"/>
          <w:color w:val="000000" w:themeColor="text1"/>
        </w:rPr>
      </w:pPr>
      <w:r w:rsidRPr="006C3A2E">
        <w:rPr>
          <w:rFonts w:ascii="Calibri" w:hAnsi="Calibri" w:cs="Calibri"/>
          <w:color w:val="000000" w:themeColor="text1"/>
          <w:u w:val="single"/>
        </w:rPr>
        <w:t>Maladies</w:t>
      </w:r>
      <w:r>
        <w:rPr>
          <w:rFonts w:ascii="Calibri" w:hAnsi="Calibri" w:cs="Calibri"/>
          <w:color w:val="000000" w:themeColor="text1"/>
        </w:rPr>
        <w:t xml:space="preserve"> : </w:t>
      </w:r>
      <w:r w:rsidR="001E326A">
        <w:rPr>
          <w:rFonts w:ascii="Calibri" w:hAnsi="Calibri" w:cs="Calibri"/>
          <w:color w:val="000000" w:themeColor="text1"/>
        </w:rPr>
        <w:t>Une des principales maladie est la rouille (</w:t>
      </w:r>
      <w:hyperlink r:id="rId1956" w:tooltip="Uromyces fabae" w:history="1">
        <w:r w:rsidR="001E326A" w:rsidRPr="001E326A">
          <w:rPr>
            <w:rStyle w:val="Lienhypertexte"/>
            <w:rFonts w:ascii="Calibri" w:hAnsi="Calibri" w:cs="Calibri"/>
            <w:i/>
            <w:iCs/>
            <w:color w:val="0645AD"/>
            <w:shd w:val="clear" w:color="auto" w:fill="F8F9FA"/>
          </w:rPr>
          <w:t xml:space="preserve">Uromyces </w:t>
        </w:r>
        <w:r w:rsidR="00EE0116">
          <w:rPr>
            <w:rStyle w:val="Lienhypertexte"/>
            <w:rFonts w:ascii="Calibri" w:hAnsi="Calibri" w:cs="Calibri"/>
            <w:i/>
            <w:iCs/>
            <w:color w:val="0645AD"/>
            <w:shd w:val="clear" w:color="auto" w:fill="F8F9FA"/>
          </w:rPr>
          <w:t>vicia-</w:t>
        </w:r>
        <w:r w:rsidR="001E326A" w:rsidRPr="001E326A">
          <w:rPr>
            <w:rStyle w:val="Lienhypertexte"/>
            <w:rFonts w:ascii="Calibri" w:hAnsi="Calibri" w:cs="Calibri"/>
            <w:i/>
            <w:iCs/>
            <w:color w:val="0645AD"/>
            <w:shd w:val="clear" w:color="auto" w:fill="F8F9FA"/>
          </w:rPr>
          <w:t>fabae</w:t>
        </w:r>
      </w:hyperlink>
      <w:r w:rsidR="001E326A">
        <w:rPr>
          <w:rFonts w:ascii="Calibri" w:hAnsi="Calibri" w:cs="Calibri"/>
          <w:color w:val="000000" w:themeColor="text1"/>
        </w:rPr>
        <w:t>).</w:t>
      </w:r>
      <w:r w:rsidR="00EE0116">
        <w:rPr>
          <w:rFonts w:ascii="Calibri" w:hAnsi="Calibri" w:cs="Calibri"/>
          <w:color w:val="000000" w:themeColor="text1"/>
        </w:rPr>
        <w:t xml:space="preserve"> Mais il </w:t>
      </w:r>
      <w:r w:rsidR="00EE0116" w:rsidRPr="00EE0116">
        <w:rPr>
          <w:rFonts w:ascii="Calibri" w:hAnsi="Calibri" w:cs="Calibri"/>
          <w:color w:val="000000" w:themeColor="text1"/>
        </w:rPr>
        <w:t>existe des variétés résistante à la rouille</w:t>
      </w:r>
      <w:r w:rsidR="00EE0116">
        <w:rPr>
          <w:rStyle w:val="Appelnotedebasdep"/>
          <w:rFonts w:ascii="Calibri" w:hAnsi="Calibri" w:cs="Calibri"/>
          <w:color w:val="000000" w:themeColor="text1"/>
        </w:rPr>
        <w:footnoteReference w:id="115"/>
      </w:r>
      <w:r w:rsidR="00EE0116" w:rsidRPr="00EE0116">
        <w:rPr>
          <w:rFonts w:ascii="Calibri" w:hAnsi="Calibri" w:cs="Calibri"/>
          <w:color w:val="000000" w:themeColor="text1"/>
        </w:rPr>
        <w:t>.</w:t>
      </w:r>
    </w:p>
    <w:p w14:paraId="60B00387" w14:textId="77777777" w:rsidR="00046564" w:rsidRDefault="00046564" w:rsidP="005A7D1D">
      <w:pPr>
        <w:spacing w:after="0" w:line="240" w:lineRule="auto"/>
        <w:jc w:val="both"/>
        <w:rPr>
          <w:rFonts w:ascii="Calibri" w:hAnsi="Calibri" w:cs="Calibri"/>
        </w:rPr>
      </w:pPr>
    </w:p>
    <w:p w14:paraId="4D4D3FE4" w14:textId="7869C167" w:rsidR="00B3647E" w:rsidRPr="004A328D" w:rsidRDefault="00B3647E" w:rsidP="005A7D1D">
      <w:pPr>
        <w:spacing w:after="0" w:line="240" w:lineRule="auto"/>
        <w:jc w:val="both"/>
        <w:rPr>
          <w:rFonts w:ascii="Calibri" w:hAnsi="Calibri" w:cs="Calibri"/>
        </w:rPr>
      </w:pPr>
      <w:r w:rsidRPr="00B3647E">
        <w:rPr>
          <w:rFonts w:ascii="Calibri" w:hAnsi="Calibri" w:cs="Calibri"/>
          <w:u w:val="single"/>
        </w:rPr>
        <w:t>Usage</w:t>
      </w:r>
      <w:r>
        <w:rPr>
          <w:rFonts w:ascii="Calibri" w:hAnsi="Calibri" w:cs="Calibri"/>
          <w:u w:val="single"/>
        </w:rPr>
        <w:t>s</w:t>
      </w:r>
      <w:r>
        <w:rPr>
          <w:rFonts w:ascii="Calibri" w:hAnsi="Calibri" w:cs="Calibri"/>
        </w:rPr>
        <w:t xml:space="preserve"> : </w:t>
      </w:r>
      <w:r w:rsidR="004A328D" w:rsidRPr="004A328D">
        <w:rPr>
          <w:rFonts w:ascii="Calibri" w:hAnsi="Calibri" w:cs="Calibri"/>
        </w:rPr>
        <w:t>Les lentilles peuvent être consommées trempées, germées, frites, cuites au four ou bouillies – la méthode de préparation la plus courante.</w:t>
      </w:r>
      <w:r w:rsidR="004A328D">
        <w:rPr>
          <w:rFonts w:ascii="Calibri" w:hAnsi="Calibri" w:cs="Calibri"/>
        </w:rPr>
        <w:t xml:space="preserve"> </w:t>
      </w:r>
      <w:r w:rsidR="004A328D" w:rsidRPr="004A328D">
        <w:rPr>
          <w:rFonts w:ascii="Calibri" w:hAnsi="Calibri" w:cs="Calibri"/>
        </w:rPr>
        <w:t>Les plats de lentilles sont les plus répandus dans toutes les régions méditerranéennes, l'Asie du Sud et l'Asie de l'Ouest.</w:t>
      </w:r>
      <w:r w:rsidR="004A328D">
        <w:rPr>
          <w:rFonts w:ascii="Calibri" w:hAnsi="Calibri" w:cs="Calibri"/>
        </w:rPr>
        <w:t xml:space="preserve"> </w:t>
      </w:r>
      <w:r w:rsidRPr="00B3647E">
        <w:rPr>
          <w:rFonts w:ascii="Calibri" w:hAnsi="Calibri" w:cs="Calibri"/>
          <w:color w:val="000000" w:themeColor="text1"/>
          <w:shd w:val="clear" w:color="auto" w:fill="FFFFFF"/>
        </w:rPr>
        <w:t>Dans les </w:t>
      </w:r>
      <w:hyperlink r:id="rId1957" w:tooltip="Cuisines du sous-continent indien" w:history="1">
        <w:r w:rsidRPr="00B3647E">
          <w:rPr>
            <w:rStyle w:val="Lienhypertexte"/>
            <w:rFonts w:ascii="Calibri" w:hAnsi="Calibri" w:cs="Calibri"/>
            <w:color w:val="0645AD"/>
            <w:shd w:val="clear" w:color="auto" w:fill="FFFFFF"/>
          </w:rPr>
          <w:t>cuisines du sous-continent indien</w:t>
        </w:r>
      </w:hyperlink>
      <w:r w:rsidRPr="00B3647E">
        <w:rPr>
          <w:rFonts w:ascii="Calibri" w:hAnsi="Calibri" w:cs="Calibri"/>
          <w:color w:val="202122"/>
          <w:shd w:val="clear" w:color="auto" w:fill="FFFFFF"/>
        </w:rPr>
        <w:t xml:space="preserve">, </w:t>
      </w:r>
      <w:r w:rsidRPr="00B3647E">
        <w:rPr>
          <w:rFonts w:ascii="Calibri" w:hAnsi="Calibri" w:cs="Calibri"/>
          <w:color w:val="000000" w:themeColor="text1"/>
          <w:shd w:val="clear" w:color="auto" w:fill="FFFFFF"/>
        </w:rPr>
        <w:t>où les lentilles sont un</w:t>
      </w:r>
      <w:r w:rsidRPr="00B3647E">
        <w:rPr>
          <w:rFonts w:ascii="Calibri" w:hAnsi="Calibri" w:cs="Calibri"/>
          <w:color w:val="202122"/>
          <w:shd w:val="clear" w:color="auto" w:fill="FFFFFF"/>
        </w:rPr>
        <w:t> </w:t>
      </w:r>
      <w:hyperlink r:id="rId1958" w:tooltip="Aliments de base" w:history="1">
        <w:r w:rsidRPr="00B3647E">
          <w:rPr>
            <w:rStyle w:val="Lienhypertexte"/>
            <w:rFonts w:ascii="Calibri" w:hAnsi="Calibri" w:cs="Calibri"/>
            <w:color w:val="0645AD"/>
            <w:shd w:val="clear" w:color="auto" w:fill="FFFFFF"/>
          </w:rPr>
          <w:t>aliment de base</w:t>
        </w:r>
      </w:hyperlink>
      <w:r w:rsidRPr="00B3647E">
        <w:rPr>
          <w:rFonts w:ascii="Calibri" w:hAnsi="Calibri" w:cs="Calibri"/>
          <w:color w:val="202122"/>
          <w:shd w:val="clear" w:color="auto" w:fill="FFFFFF"/>
        </w:rPr>
        <w:t xml:space="preserve">, </w:t>
      </w:r>
      <w:r w:rsidRPr="00B3647E">
        <w:rPr>
          <w:rFonts w:ascii="Calibri" w:hAnsi="Calibri" w:cs="Calibri"/>
          <w:color w:val="000000" w:themeColor="text1"/>
          <w:shd w:val="clear" w:color="auto" w:fill="FFFFFF"/>
        </w:rPr>
        <w:t>les lentilles fendues (souvent avec leurs coques enlevées) connues sous le nom de </w:t>
      </w:r>
      <w:hyperlink r:id="rId1959" w:tooltip="Dal" w:history="1">
        <w:r w:rsidRPr="00B3647E">
          <w:rPr>
            <w:rStyle w:val="Lienhypertexte"/>
            <w:rFonts w:ascii="Calibri" w:hAnsi="Calibri" w:cs="Calibri"/>
            <w:color w:val="0645AD"/>
            <w:shd w:val="clear" w:color="auto" w:fill="FFFFFF"/>
          </w:rPr>
          <w:t>daal</w:t>
        </w:r>
      </w:hyperlink>
      <w:r w:rsidRPr="00B3647E">
        <w:rPr>
          <w:rFonts w:ascii="Calibri" w:hAnsi="Calibri" w:cs="Calibri"/>
          <w:color w:val="202122"/>
          <w:shd w:val="clear" w:color="auto" w:fill="FFFFFF"/>
        </w:rPr>
        <w:t> </w:t>
      </w:r>
      <w:r w:rsidRPr="00B3647E">
        <w:rPr>
          <w:rFonts w:ascii="Calibri" w:hAnsi="Calibri" w:cs="Calibri"/>
          <w:color w:val="000000" w:themeColor="text1"/>
          <w:shd w:val="clear" w:color="auto" w:fill="FFFFFF"/>
        </w:rPr>
        <w:t>sont souvent cuites dans un </w:t>
      </w:r>
      <w:hyperlink r:id="rId1960" w:tooltip="Curry" w:history="1">
        <w:r w:rsidRPr="00B3647E">
          <w:rPr>
            <w:rStyle w:val="Lienhypertexte"/>
            <w:rFonts w:ascii="Calibri" w:hAnsi="Calibri" w:cs="Calibri"/>
            <w:color w:val="0645AD"/>
            <w:shd w:val="clear" w:color="auto" w:fill="FFFFFF"/>
          </w:rPr>
          <w:t>curry</w:t>
        </w:r>
      </w:hyperlink>
      <w:r w:rsidRPr="00B3647E">
        <w:rPr>
          <w:rFonts w:ascii="Calibri" w:hAnsi="Calibri" w:cs="Calibri"/>
          <w:color w:val="202122"/>
          <w:shd w:val="clear" w:color="auto" w:fill="FFFFFF"/>
        </w:rPr>
        <w:t> </w:t>
      </w:r>
      <w:r w:rsidRPr="00B3647E">
        <w:rPr>
          <w:rFonts w:ascii="Calibri" w:hAnsi="Calibri" w:cs="Calibri"/>
          <w:color w:val="000000" w:themeColor="text1"/>
          <w:shd w:val="clear" w:color="auto" w:fill="FFFFFF"/>
        </w:rPr>
        <w:t>/sauce épais qui est généralement consommé avec du </w:t>
      </w:r>
      <w:hyperlink r:id="rId1961" w:tooltip="Riz" w:history="1">
        <w:r w:rsidRPr="00B3647E">
          <w:rPr>
            <w:rStyle w:val="Lienhypertexte"/>
            <w:rFonts w:ascii="Calibri" w:hAnsi="Calibri" w:cs="Calibri"/>
            <w:color w:val="0645AD"/>
            <w:shd w:val="clear" w:color="auto" w:fill="FFFFFF"/>
          </w:rPr>
          <w:t>riz</w:t>
        </w:r>
      </w:hyperlink>
      <w:r w:rsidRPr="00B3647E">
        <w:rPr>
          <w:rFonts w:ascii="Calibri" w:hAnsi="Calibri" w:cs="Calibri"/>
          <w:color w:val="202122"/>
          <w:shd w:val="clear" w:color="auto" w:fill="FFFFFF"/>
        </w:rPr>
        <w:t> </w:t>
      </w:r>
      <w:r w:rsidRPr="00B3647E">
        <w:rPr>
          <w:rFonts w:ascii="Calibri" w:hAnsi="Calibri" w:cs="Calibri"/>
          <w:color w:val="000000" w:themeColor="text1"/>
          <w:shd w:val="clear" w:color="auto" w:fill="FFFFFF"/>
        </w:rPr>
        <w:t>ou des </w:t>
      </w:r>
      <w:hyperlink r:id="rId1962" w:tooltip="rôti" w:history="1">
        <w:r w:rsidRPr="00B3647E">
          <w:rPr>
            <w:rStyle w:val="Lienhypertexte"/>
            <w:rFonts w:ascii="Calibri" w:hAnsi="Calibri" w:cs="Calibri"/>
            <w:i/>
            <w:iCs/>
            <w:color w:val="0645AD"/>
            <w:shd w:val="clear" w:color="auto" w:fill="FFFFFF"/>
          </w:rPr>
          <w:t>rotis</w:t>
        </w:r>
      </w:hyperlink>
      <w:r w:rsidRPr="00B3647E">
        <w:rPr>
          <w:rFonts w:ascii="Calibri" w:hAnsi="Calibri" w:cs="Calibri"/>
          <w:color w:val="202122"/>
          <w:shd w:val="clear" w:color="auto" w:fill="FFFFFF"/>
        </w:rPr>
        <w:t>.</w:t>
      </w:r>
    </w:p>
    <w:p w14:paraId="262CE6F4" w14:textId="29331A58" w:rsidR="00B3647E" w:rsidRPr="00B3647E" w:rsidRDefault="00B3647E" w:rsidP="005A7D1D">
      <w:pPr>
        <w:spacing w:after="0" w:line="240" w:lineRule="auto"/>
        <w:jc w:val="both"/>
        <w:rPr>
          <w:rFonts w:ascii="Calibri" w:hAnsi="Calibri" w:cs="Calibri"/>
        </w:rPr>
      </w:pPr>
      <w:r>
        <w:rPr>
          <w:rFonts w:ascii="Calibri" w:hAnsi="Calibri" w:cs="Calibri"/>
        </w:rPr>
        <w:t xml:space="preserve">Sources : a) </w:t>
      </w:r>
      <w:hyperlink r:id="rId1963" w:history="1">
        <w:r w:rsidRPr="00AE2D14">
          <w:rPr>
            <w:rStyle w:val="Lienhypertexte"/>
            <w:rFonts w:ascii="Calibri" w:hAnsi="Calibri" w:cs="Calibri"/>
          </w:rPr>
          <w:t>https://fr.wikipedia.org/wiki/Lentille_cultiv%C3%A9e</w:t>
        </w:r>
      </w:hyperlink>
      <w:r>
        <w:rPr>
          <w:rFonts w:ascii="Calibri" w:hAnsi="Calibri" w:cs="Calibri"/>
        </w:rPr>
        <w:t xml:space="preserve">, b) </w:t>
      </w:r>
      <w:hyperlink r:id="rId1964" w:history="1">
        <w:r w:rsidRPr="00AE2D14">
          <w:rPr>
            <w:rStyle w:val="Lienhypertexte"/>
            <w:rFonts w:ascii="Calibri" w:hAnsi="Calibri" w:cs="Calibri"/>
          </w:rPr>
          <w:t>https://en.wikipedia.org/wiki/Lentil</w:t>
        </w:r>
      </w:hyperlink>
      <w:r>
        <w:rPr>
          <w:rFonts w:ascii="Calibri" w:hAnsi="Calibri" w:cs="Calibri"/>
        </w:rPr>
        <w:t xml:space="preserve"> </w:t>
      </w:r>
    </w:p>
    <w:p w14:paraId="159C2CC6" w14:textId="5ECB4B5C" w:rsidR="002638E3" w:rsidRDefault="002638E3" w:rsidP="005A7D1D">
      <w:pPr>
        <w:spacing w:after="0" w:line="240" w:lineRule="auto"/>
        <w:jc w:val="both"/>
        <w:rPr>
          <w:rFonts w:ascii="Calibri" w:hAnsi="Calibri" w:cs="Calibri"/>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2B306F" w14:paraId="37DA3A85" w14:textId="77777777" w:rsidTr="002B306F">
        <w:tc>
          <w:tcPr>
            <w:tcW w:w="5208" w:type="dxa"/>
          </w:tcPr>
          <w:p w14:paraId="6E7961AA" w14:textId="77777777" w:rsidR="002B306F" w:rsidRDefault="002B306F" w:rsidP="002B306F">
            <w:pPr>
              <w:jc w:val="center"/>
              <w:rPr>
                <w:rFonts w:ascii="Calibri" w:hAnsi="Calibri" w:cs="Calibri"/>
              </w:rPr>
            </w:pPr>
            <w:r>
              <w:rPr>
                <w:noProof/>
              </w:rPr>
              <w:lastRenderedPageBreak/>
              <w:drawing>
                <wp:inline distT="0" distB="0" distL="0" distR="0" wp14:anchorId="6C84E72F" wp14:editId="3C8352AC">
                  <wp:extent cx="2095500" cy="1200150"/>
                  <wp:effectExtent l="0" t="0" r="0" b="0"/>
                  <wp:docPr id="115739" name="Image 115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65">
                            <a:extLst>
                              <a:ext uri="{28A0092B-C50C-407E-A947-70E740481C1C}">
                                <a14:useLocalDpi xmlns:a14="http://schemas.microsoft.com/office/drawing/2010/main" val="0"/>
                              </a:ext>
                            </a:extLst>
                          </a:blip>
                          <a:srcRect/>
                          <a:stretch>
                            <a:fillRect/>
                          </a:stretch>
                        </pic:blipFill>
                        <pic:spPr bwMode="auto">
                          <a:xfrm>
                            <a:off x="0" y="0"/>
                            <a:ext cx="2095500" cy="1200150"/>
                          </a:xfrm>
                          <a:prstGeom prst="rect">
                            <a:avLst/>
                          </a:prstGeom>
                          <a:noFill/>
                          <a:ln>
                            <a:noFill/>
                          </a:ln>
                        </pic:spPr>
                      </pic:pic>
                    </a:graphicData>
                  </a:graphic>
                </wp:inline>
              </w:drawing>
            </w:r>
          </w:p>
          <w:p w14:paraId="74DB23FE" w14:textId="5BDEAA4A" w:rsidR="002B306F" w:rsidRDefault="002B306F" w:rsidP="002B306F">
            <w:pPr>
              <w:jc w:val="center"/>
              <w:rPr>
                <w:rFonts w:ascii="Calibri" w:hAnsi="Calibri" w:cs="Calibri"/>
              </w:rPr>
            </w:pPr>
            <w:r w:rsidRPr="002B306F">
              <w:rPr>
                <w:rFonts w:ascii="Calibri" w:hAnsi="Calibri" w:cs="Calibri"/>
              </w:rPr>
              <w:t>Lentilles du Puy (à gauche), vertes et rouges (à droite)</w:t>
            </w:r>
            <w:r>
              <w:rPr>
                <w:rFonts w:ascii="Calibri" w:hAnsi="Calibri" w:cs="Calibri"/>
              </w:rPr>
              <w:t>.</w:t>
            </w:r>
          </w:p>
        </w:tc>
        <w:tc>
          <w:tcPr>
            <w:tcW w:w="5208" w:type="dxa"/>
          </w:tcPr>
          <w:p w14:paraId="2B3F877E" w14:textId="77777777" w:rsidR="002B306F" w:rsidRDefault="002B306F" w:rsidP="002B306F">
            <w:pPr>
              <w:jc w:val="center"/>
              <w:rPr>
                <w:rFonts w:ascii="Calibri" w:hAnsi="Calibri" w:cs="Calibri"/>
              </w:rPr>
            </w:pPr>
            <w:r>
              <w:rPr>
                <w:noProof/>
              </w:rPr>
              <w:drawing>
                <wp:inline distT="0" distB="0" distL="0" distR="0" wp14:anchorId="48145BCB" wp14:editId="4A5F23F9">
                  <wp:extent cx="1466850" cy="1813560"/>
                  <wp:effectExtent l="0" t="0" r="0" b="0"/>
                  <wp:docPr id="108558" name="Image 108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66">
                            <a:extLst>
                              <a:ext uri="{28A0092B-C50C-407E-A947-70E740481C1C}">
                                <a14:useLocalDpi xmlns:a14="http://schemas.microsoft.com/office/drawing/2010/main" val="0"/>
                              </a:ext>
                            </a:extLst>
                          </a:blip>
                          <a:srcRect/>
                          <a:stretch>
                            <a:fillRect/>
                          </a:stretch>
                        </pic:blipFill>
                        <pic:spPr bwMode="auto">
                          <a:xfrm>
                            <a:off x="0" y="0"/>
                            <a:ext cx="1469513" cy="1816852"/>
                          </a:xfrm>
                          <a:prstGeom prst="rect">
                            <a:avLst/>
                          </a:prstGeom>
                          <a:noFill/>
                          <a:ln>
                            <a:noFill/>
                          </a:ln>
                        </pic:spPr>
                      </pic:pic>
                    </a:graphicData>
                  </a:graphic>
                </wp:inline>
              </w:drawing>
            </w:r>
          </w:p>
          <w:p w14:paraId="1D9AEF65" w14:textId="77777777" w:rsidR="002B306F" w:rsidRDefault="002B306F" w:rsidP="002B306F">
            <w:pPr>
              <w:jc w:val="center"/>
              <w:rPr>
                <w:rFonts w:ascii="Calibri" w:hAnsi="Calibri" w:cs="Calibri"/>
              </w:rPr>
            </w:pPr>
            <w:r>
              <w:rPr>
                <w:rFonts w:ascii="Calibri" w:hAnsi="Calibri" w:cs="Calibri"/>
              </w:rPr>
              <w:t>Différents types de lentilles.</w:t>
            </w:r>
          </w:p>
          <w:p w14:paraId="1600CD8C" w14:textId="4AD30CB2" w:rsidR="002B306F" w:rsidRDefault="002B306F" w:rsidP="002B306F">
            <w:pPr>
              <w:jc w:val="center"/>
              <w:rPr>
                <w:rFonts w:ascii="Calibri" w:hAnsi="Calibri" w:cs="Calibri"/>
              </w:rPr>
            </w:pPr>
          </w:p>
        </w:tc>
      </w:tr>
      <w:tr w:rsidR="002B306F" w14:paraId="1C5D6431" w14:textId="77777777" w:rsidTr="002B306F">
        <w:tc>
          <w:tcPr>
            <w:tcW w:w="5208" w:type="dxa"/>
          </w:tcPr>
          <w:p w14:paraId="6C70E6DA" w14:textId="77777777" w:rsidR="002B306F" w:rsidRDefault="002B306F" w:rsidP="002B306F">
            <w:pPr>
              <w:jc w:val="center"/>
              <w:rPr>
                <w:rFonts w:ascii="Calibri" w:hAnsi="Calibri" w:cs="Calibri"/>
              </w:rPr>
            </w:pPr>
            <w:r>
              <w:rPr>
                <w:noProof/>
              </w:rPr>
              <w:drawing>
                <wp:inline distT="0" distB="0" distL="0" distR="0" wp14:anchorId="308FA60C" wp14:editId="7A1F58AD">
                  <wp:extent cx="2238375" cy="1680691"/>
                  <wp:effectExtent l="0" t="0" r="0" b="0"/>
                  <wp:docPr id="108561" name="Image 108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67">
                            <a:extLst>
                              <a:ext uri="{28A0092B-C50C-407E-A947-70E740481C1C}">
                                <a14:useLocalDpi xmlns:a14="http://schemas.microsoft.com/office/drawing/2010/main" val="0"/>
                              </a:ext>
                            </a:extLst>
                          </a:blip>
                          <a:srcRect/>
                          <a:stretch>
                            <a:fillRect/>
                          </a:stretch>
                        </pic:blipFill>
                        <pic:spPr bwMode="auto">
                          <a:xfrm>
                            <a:off x="0" y="0"/>
                            <a:ext cx="2241360" cy="1682933"/>
                          </a:xfrm>
                          <a:prstGeom prst="rect">
                            <a:avLst/>
                          </a:prstGeom>
                          <a:noFill/>
                          <a:ln>
                            <a:noFill/>
                          </a:ln>
                        </pic:spPr>
                      </pic:pic>
                    </a:graphicData>
                  </a:graphic>
                </wp:inline>
              </w:drawing>
            </w:r>
          </w:p>
          <w:p w14:paraId="4A03BECE" w14:textId="4D801973" w:rsidR="002B306F" w:rsidRDefault="002B306F" w:rsidP="002B306F">
            <w:pPr>
              <w:jc w:val="center"/>
              <w:rPr>
                <w:rFonts w:ascii="Calibri" w:hAnsi="Calibri" w:cs="Calibri"/>
              </w:rPr>
            </w:pPr>
            <w:r w:rsidRPr="002B306F">
              <w:rPr>
                <w:rFonts w:ascii="Calibri" w:hAnsi="Calibri" w:cs="Calibri"/>
              </w:rPr>
              <w:t>Plantes de lentilles, avant la floraison</w:t>
            </w:r>
            <w:r>
              <w:rPr>
                <w:rFonts w:ascii="Calibri" w:hAnsi="Calibri" w:cs="Calibri"/>
              </w:rPr>
              <w:t>.</w:t>
            </w:r>
          </w:p>
        </w:tc>
        <w:tc>
          <w:tcPr>
            <w:tcW w:w="5208" w:type="dxa"/>
          </w:tcPr>
          <w:p w14:paraId="3143DEE9" w14:textId="77777777" w:rsidR="002B306F" w:rsidRDefault="002B306F" w:rsidP="002B306F">
            <w:pPr>
              <w:jc w:val="center"/>
              <w:rPr>
                <w:rFonts w:ascii="Calibri" w:hAnsi="Calibri" w:cs="Calibri"/>
              </w:rPr>
            </w:pPr>
            <w:r>
              <w:rPr>
                <w:noProof/>
              </w:rPr>
              <w:drawing>
                <wp:inline distT="0" distB="0" distL="0" distR="0" wp14:anchorId="390C77B2" wp14:editId="2E58AC4D">
                  <wp:extent cx="2428875" cy="1714500"/>
                  <wp:effectExtent l="0" t="0" r="9525" b="0"/>
                  <wp:docPr id="108560" name="Image 108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8"/>
                          <a:stretch>
                            <a:fillRect/>
                          </a:stretch>
                        </pic:blipFill>
                        <pic:spPr>
                          <a:xfrm>
                            <a:off x="0" y="0"/>
                            <a:ext cx="2428875" cy="1714500"/>
                          </a:xfrm>
                          <a:prstGeom prst="rect">
                            <a:avLst/>
                          </a:prstGeom>
                        </pic:spPr>
                      </pic:pic>
                    </a:graphicData>
                  </a:graphic>
                </wp:inline>
              </w:drawing>
            </w:r>
          </w:p>
          <w:p w14:paraId="0CBBD169" w14:textId="6D4845C4" w:rsidR="002B306F" w:rsidRDefault="002B306F" w:rsidP="002B306F">
            <w:pPr>
              <w:jc w:val="center"/>
              <w:rPr>
                <w:rFonts w:ascii="Calibri" w:hAnsi="Calibri" w:cs="Calibri"/>
              </w:rPr>
            </w:pPr>
            <w:r w:rsidRPr="002B306F">
              <w:rPr>
                <w:rFonts w:ascii="Calibri" w:hAnsi="Calibri" w:cs="Calibri"/>
              </w:rPr>
              <w:t>Lentille « beluga ».</w:t>
            </w:r>
          </w:p>
        </w:tc>
      </w:tr>
    </w:tbl>
    <w:p w14:paraId="4A9DB449" w14:textId="77777777" w:rsidR="002B306F" w:rsidRDefault="002B306F" w:rsidP="002B306F">
      <w:pPr>
        <w:spacing w:after="0" w:line="240" w:lineRule="auto"/>
        <w:jc w:val="center"/>
        <w:rPr>
          <w:rFonts w:ascii="Calibri" w:hAnsi="Calibri" w:cs="Calibri"/>
        </w:rPr>
      </w:pPr>
    </w:p>
    <w:p w14:paraId="3816E0B0" w14:textId="2AD50E98" w:rsidR="002B306F" w:rsidRDefault="002B306F" w:rsidP="002B306F">
      <w:pPr>
        <w:spacing w:after="0" w:line="240" w:lineRule="auto"/>
        <w:jc w:val="center"/>
        <w:rPr>
          <w:rFonts w:ascii="Calibri" w:hAnsi="Calibri" w:cs="Calibri"/>
        </w:rPr>
      </w:pPr>
      <w:r>
        <w:rPr>
          <w:noProof/>
        </w:rPr>
        <w:drawing>
          <wp:inline distT="0" distB="0" distL="0" distR="0" wp14:anchorId="06052240" wp14:editId="2F62D7F8">
            <wp:extent cx="2384887" cy="1790700"/>
            <wp:effectExtent l="0" t="0" r="0" b="0"/>
            <wp:docPr id="108562" name="Image 108562" descr="Une image contenant frai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62" name="Image 108562" descr="Une image contenant frais&#10;&#10;Description générée automatiquement"/>
                    <pic:cNvPicPr>
                      <a:picLocks noChangeAspect="1" noChangeArrowheads="1"/>
                    </pic:cNvPicPr>
                  </pic:nvPicPr>
                  <pic:blipFill>
                    <a:blip r:embed="rId1969">
                      <a:extLst>
                        <a:ext uri="{28A0092B-C50C-407E-A947-70E740481C1C}">
                          <a14:useLocalDpi xmlns:a14="http://schemas.microsoft.com/office/drawing/2010/main" val="0"/>
                        </a:ext>
                      </a:extLst>
                    </a:blip>
                    <a:srcRect/>
                    <a:stretch>
                      <a:fillRect/>
                    </a:stretch>
                  </pic:blipFill>
                  <pic:spPr bwMode="auto">
                    <a:xfrm>
                      <a:off x="0" y="0"/>
                      <a:ext cx="2386889" cy="1792203"/>
                    </a:xfrm>
                    <a:prstGeom prst="rect">
                      <a:avLst/>
                    </a:prstGeom>
                    <a:noFill/>
                    <a:ln>
                      <a:noFill/>
                    </a:ln>
                  </pic:spPr>
                </pic:pic>
              </a:graphicData>
            </a:graphic>
          </wp:inline>
        </w:drawing>
      </w:r>
    </w:p>
    <w:p w14:paraId="7FF27F2E" w14:textId="3CCE4943" w:rsidR="002B306F" w:rsidRDefault="002B306F" w:rsidP="002B306F">
      <w:pPr>
        <w:spacing w:after="0" w:line="240" w:lineRule="auto"/>
        <w:jc w:val="center"/>
        <w:rPr>
          <w:rFonts w:ascii="Calibri" w:hAnsi="Calibri" w:cs="Calibri"/>
          <w:color w:val="202122"/>
          <w:shd w:val="clear" w:color="auto" w:fill="F8F9FA"/>
        </w:rPr>
      </w:pPr>
      <w:r w:rsidRPr="002B306F">
        <w:rPr>
          <w:rFonts w:ascii="Calibri" w:hAnsi="Calibri" w:cs="Calibri"/>
          <w:color w:val="202122"/>
          <w:shd w:val="clear" w:color="auto" w:fill="F8F9FA"/>
        </w:rPr>
        <w:t>Salade de lentilles agrémentée d'</w:t>
      </w:r>
      <w:hyperlink r:id="rId1970" w:tooltip="Échalote" w:history="1">
        <w:r w:rsidRPr="002B306F">
          <w:rPr>
            <w:rStyle w:val="Lienhypertexte"/>
            <w:rFonts w:ascii="Calibri" w:hAnsi="Calibri" w:cs="Calibri"/>
            <w:color w:val="0645AD"/>
            <w:shd w:val="clear" w:color="auto" w:fill="F8F9FA"/>
          </w:rPr>
          <w:t>échalote</w:t>
        </w:r>
      </w:hyperlink>
      <w:r w:rsidRPr="002B306F">
        <w:rPr>
          <w:rFonts w:ascii="Calibri" w:hAnsi="Calibri" w:cs="Calibri"/>
          <w:color w:val="202122"/>
          <w:shd w:val="clear" w:color="auto" w:fill="F8F9FA"/>
        </w:rPr>
        <w:t>.</w:t>
      </w:r>
    </w:p>
    <w:p w14:paraId="50DD5AF1" w14:textId="487B50BA" w:rsidR="009879CB" w:rsidRDefault="009879CB" w:rsidP="002B306F">
      <w:pPr>
        <w:spacing w:after="0" w:line="240" w:lineRule="auto"/>
        <w:jc w:val="center"/>
        <w:rPr>
          <w:rFonts w:ascii="Calibri" w:hAnsi="Calibri" w:cs="Calibri"/>
          <w:color w:val="202122"/>
          <w:shd w:val="clear" w:color="auto" w:fill="F8F9FA"/>
        </w:rPr>
      </w:pPr>
    </w:p>
    <w:p w14:paraId="3DD4CD62" w14:textId="16EC2DED" w:rsidR="00662E66" w:rsidRDefault="00662E66" w:rsidP="00662E66">
      <w:pPr>
        <w:pStyle w:val="Titre2"/>
        <w:rPr>
          <w:shd w:val="clear" w:color="auto" w:fill="F8F9FA"/>
        </w:rPr>
      </w:pPr>
      <w:bookmarkStart w:id="185" w:name="_Toc139181476"/>
      <w:r w:rsidRPr="00662E66">
        <w:rPr>
          <w:shd w:val="clear" w:color="auto" w:fill="F8F9FA"/>
        </w:rPr>
        <w:t>Niébé (</w:t>
      </w:r>
      <w:r w:rsidRPr="00662E66">
        <w:rPr>
          <w:i/>
          <w:iCs/>
          <w:shd w:val="clear" w:color="auto" w:fill="F8F9FA"/>
        </w:rPr>
        <w:t>Vigna unguiculata</w:t>
      </w:r>
      <w:r w:rsidRPr="00662E66">
        <w:rPr>
          <w:shd w:val="clear" w:color="auto" w:fill="F8F9FA"/>
        </w:rPr>
        <w:t>)</w:t>
      </w:r>
      <w:bookmarkEnd w:id="185"/>
    </w:p>
    <w:p w14:paraId="510292FA" w14:textId="6ACD6140" w:rsidR="00662E66" w:rsidRDefault="00662E66" w:rsidP="00662E66">
      <w:pPr>
        <w:spacing w:after="0" w:line="240" w:lineRule="auto"/>
        <w:jc w:val="both"/>
        <w:rPr>
          <w:rFonts w:ascii="Calibri" w:hAnsi="Calibri" w:cs="Calibri"/>
          <w:color w:val="202122"/>
          <w:shd w:val="clear" w:color="auto" w:fill="F8F9FA"/>
        </w:rPr>
      </w:pPr>
    </w:p>
    <w:p w14:paraId="6418CBAF" w14:textId="3D0C5557" w:rsidR="00662E66" w:rsidRPr="00372002" w:rsidRDefault="00732DF3" w:rsidP="00662E66">
      <w:pPr>
        <w:spacing w:after="0" w:line="240" w:lineRule="auto"/>
        <w:jc w:val="both"/>
        <w:rPr>
          <w:rFonts w:ascii="Calibri" w:hAnsi="Calibri" w:cs="Arial"/>
          <w:color w:val="000000" w:themeColor="text1"/>
          <w:shd w:val="clear" w:color="auto" w:fill="FFFFFF"/>
        </w:rPr>
      </w:pPr>
      <w:r w:rsidRPr="00732DF3">
        <w:rPr>
          <w:rFonts w:ascii="Calibri" w:hAnsi="Calibri" w:cs="Calibri"/>
          <w:color w:val="000000" w:themeColor="text1"/>
          <w:shd w:val="clear" w:color="auto" w:fill="F8F9FA"/>
        </w:rPr>
        <w:t>C</w:t>
      </w:r>
      <w:r w:rsidRPr="00732DF3">
        <w:rPr>
          <w:rFonts w:ascii="Calibri" w:hAnsi="Calibri" w:cs="Arial"/>
          <w:color w:val="000000" w:themeColor="text1"/>
          <w:shd w:val="clear" w:color="auto" w:fill="FFFFFF"/>
        </w:rPr>
        <w:t>’est une </w:t>
      </w:r>
      <w:hyperlink r:id="rId1971" w:tooltip="Espèce" w:history="1">
        <w:r w:rsidRPr="00732DF3">
          <w:rPr>
            <w:rStyle w:val="Lienhypertexte"/>
            <w:rFonts w:ascii="Calibri" w:hAnsi="Calibri" w:cs="Arial"/>
            <w:color w:val="0645AD"/>
            <w:shd w:val="clear" w:color="auto" w:fill="FFFFFF"/>
          </w:rPr>
          <w:t>espèce</w:t>
        </w:r>
      </w:hyperlink>
      <w:r w:rsidRPr="00732DF3">
        <w:rPr>
          <w:rFonts w:ascii="Calibri" w:hAnsi="Calibri" w:cs="Arial"/>
          <w:color w:val="202122"/>
          <w:shd w:val="clear" w:color="auto" w:fill="FFFFFF"/>
        </w:rPr>
        <w:t> de </w:t>
      </w:r>
      <w:hyperlink r:id="rId1972" w:tooltip="Plante" w:history="1">
        <w:r w:rsidRPr="00732DF3">
          <w:rPr>
            <w:rStyle w:val="Lienhypertexte"/>
            <w:rFonts w:ascii="Calibri" w:hAnsi="Calibri" w:cs="Arial"/>
            <w:color w:val="0645AD"/>
            <w:shd w:val="clear" w:color="auto" w:fill="FFFFFF"/>
          </w:rPr>
          <w:t>plantes</w:t>
        </w:r>
      </w:hyperlink>
      <w:r w:rsidRPr="00732DF3">
        <w:rPr>
          <w:rFonts w:ascii="Calibri" w:hAnsi="Calibri" w:cs="Arial"/>
          <w:color w:val="202122"/>
          <w:shd w:val="clear" w:color="auto" w:fill="FFFFFF"/>
        </w:rPr>
        <w:t> </w:t>
      </w:r>
      <w:r w:rsidRPr="00732DF3">
        <w:rPr>
          <w:rFonts w:ascii="Calibri" w:hAnsi="Calibri" w:cs="Arial"/>
          <w:color w:val="000000" w:themeColor="text1"/>
          <w:shd w:val="clear" w:color="auto" w:fill="FFFFFF"/>
        </w:rPr>
        <w:t>de la </w:t>
      </w:r>
      <w:hyperlink r:id="rId1973" w:tooltip="Famille (biologie)" w:history="1">
        <w:r w:rsidRPr="00732DF3">
          <w:rPr>
            <w:rStyle w:val="Lienhypertexte"/>
            <w:rFonts w:ascii="Calibri" w:hAnsi="Calibri" w:cs="Arial"/>
            <w:color w:val="0645AD"/>
            <w:shd w:val="clear" w:color="auto" w:fill="FFFFFF"/>
          </w:rPr>
          <w:t>famille</w:t>
        </w:r>
      </w:hyperlink>
      <w:r w:rsidRPr="00732DF3">
        <w:rPr>
          <w:rFonts w:ascii="Calibri" w:hAnsi="Calibri" w:cs="Arial"/>
          <w:color w:val="202122"/>
          <w:shd w:val="clear" w:color="auto" w:fill="FFFFFF"/>
        </w:rPr>
        <w:t> </w:t>
      </w:r>
      <w:r w:rsidRPr="00732DF3">
        <w:rPr>
          <w:rFonts w:ascii="Calibri" w:hAnsi="Calibri" w:cs="Arial"/>
          <w:color w:val="000000" w:themeColor="text1"/>
          <w:shd w:val="clear" w:color="auto" w:fill="FFFFFF"/>
        </w:rPr>
        <w:t>des </w:t>
      </w:r>
      <w:hyperlink r:id="rId1974" w:tooltip="Fabaceae" w:history="1">
        <w:r w:rsidRPr="00732DF3">
          <w:rPr>
            <w:rStyle w:val="Lienhypertexte"/>
            <w:rFonts w:ascii="Calibri" w:hAnsi="Calibri" w:cs="Arial"/>
            <w:i/>
            <w:iCs/>
            <w:color w:val="0645AD"/>
            <w:shd w:val="clear" w:color="auto" w:fill="FFFFFF"/>
          </w:rPr>
          <w:t>Fabaceae</w:t>
        </w:r>
      </w:hyperlink>
      <w:r w:rsidRPr="00732DF3">
        <w:rPr>
          <w:rFonts w:ascii="Calibri" w:hAnsi="Calibri" w:cs="Arial"/>
          <w:color w:val="202122"/>
          <w:shd w:val="clear" w:color="auto" w:fill="FFFFFF"/>
        </w:rPr>
        <w:t> et du </w:t>
      </w:r>
      <w:hyperlink r:id="rId1975" w:tooltip="Genre (biologie)" w:history="1">
        <w:r w:rsidRPr="00732DF3">
          <w:rPr>
            <w:rStyle w:val="Lienhypertexte"/>
            <w:rFonts w:ascii="Calibri" w:hAnsi="Calibri" w:cs="Arial"/>
            <w:color w:val="0645AD"/>
            <w:shd w:val="clear" w:color="auto" w:fill="FFFFFF"/>
          </w:rPr>
          <w:t>genre</w:t>
        </w:r>
      </w:hyperlink>
      <w:r w:rsidRPr="00732DF3">
        <w:rPr>
          <w:rFonts w:ascii="Calibri" w:hAnsi="Calibri" w:cs="Arial"/>
          <w:color w:val="202122"/>
          <w:shd w:val="clear" w:color="auto" w:fill="FFFFFF"/>
        </w:rPr>
        <w:t> </w:t>
      </w:r>
      <w:hyperlink r:id="rId1976" w:tooltip="Vigna" w:history="1">
        <w:r w:rsidRPr="00732DF3">
          <w:rPr>
            <w:rStyle w:val="Lienhypertexte"/>
            <w:rFonts w:ascii="Calibri" w:hAnsi="Calibri" w:cs="Arial"/>
            <w:i/>
            <w:iCs/>
            <w:color w:val="0645AD"/>
            <w:shd w:val="clear" w:color="auto" w:fill="FFFFFF"/>
          </w:rPr>
          <w:t>Vigna</w:t>
        </w:r>
      </w:hyperlink>
      <w:r w:rsidRPr="00732DF3">
        <w:rPr>
          <w:rFonts w:ascii="Calibri" w:hAnsi="Calibri" w:cs="Arial"/>
          <w:color w:val="202122"/>
          <w:shd w:val="clear" w:color="auto" w:fill="FFFFFF"/>
        </w:rPr>
        <w:t> </w:t>
      </w:r>
      <w:r w:rsidRPr="00732DF3">
        <w:rPr>
          <w:rFonts w:ascii="Calibri" w:hAnsi="Calibri" w:cs="Arial"/>
          <w:color w:val="000000" w:themeColor="text1"/>
          <w:shd w:val="clear" w:color="auto" w:fill="FFFFFF"/>
        </w:rPr>
        <w:t>originaire d'Afrique tropicale, dont plusieurs sous-espèces sont cultivées comme plantes alimentaires pour leurs </w:t>
      </w:r>
      <w:hyperlink r:id="rId1977" w:tooltip="Graine" w:history="1">
        <w:r w:rsidRPr="00732DF3">
          <w:rPr>
            <w:rStyle w:val="Lienhypertexte"/>
            <w:rFonts w:ascii="Calibri" w:hAnsi="Calibri" w:cs="Arial"/>
            <w:color w:val="0645AD"/>
            <w:shd w:val="clear" w:color="auto" w:fill="FFFFFF"/>
          </w:rPr>
          <w:t>graines</w:t>
        </w:r>
      </w:hyperlink>
      <w:r w:rsidRPr="00732DF3">
        <w:rPr>
          <w:rFonts w:ascii="Calibri" w:hAnsi="Calibri" w:cs="Arial"/>
          <w:color w:val="202122"/>
          <w:shd w:val="clear" w:color="auto" w:fill="FFFFFF"/>
        </w:rPr>
        <w:t xml:space="preserve">, </w:t>
      </w:r>
      <w:r w:rsidRPr="00732DF3">
        <w:rPr>
          <w:rFonts w:ascii="Calibri" w:hAnsi="Calibri" w:cs="Arial"/>
          <w:color w:val="000000" w:themeColor="text1"/>
          <w:shd w:val="clear" w:color="auto" w:fill="FFFFFF"/>
        </w:rPr>
        <w:t>proches des </w:t>
      </w:r>
      <w:hyperlink r:id="rId1978" w:tooltip="Haricot" w:history="1">
        <w:r w:rsidRPr="00732DF3">
          <w:rPr>
            <w:rStyle w:val="Lienhypertexte"/>
            <w:rFonts w:ascii="Calibri" w:hAnsi="Calibri" w:cs="Arial"/>
            <w:color w:val="0645AD"/>
            <w:shd w:val="clear" w:color="auto" w:fill="FFFFFF"/>
          </w:rPr>
          <w:t>haricots</w:t>
        </w:r>
      </w:hyperlink>
      <w:r w:rsidRPr="00732DF3">
        <w:rPr>
          <w:rFonts w:ascii="Calibri" w:hAnsi="Calibri" w:cs="Arial"/>
          <w:color w:val="202122"/>
          <w:shd w:val="clear" w:color="auto" w:fill="FFFFFF"/>
        </w:rPr>
        <w:t xml:space="preserve">, </w:t>
      </w:r>
      <w:r w:rsidRPr="00732DF3">
        <w:rPr>
          <w:rFonts w:ascii="Calibri" w:hAnsi="Calibri" w:cs="Arial"/>
          <w:color w:val="000000" w:themeColor="text1"/>
          <w:shd w:val="clear" w:color="auto" w:fill="FFFFFF"/>
        </w:rPr>
        <w:t>ou pour leur</w:t>
      </w:r>
      <w:r w:rsidRPr="00732DF3">
        <w:rPr>
          <w:rFonts w:ascii="Calibri" w:hAnsi="Calibri" w:cs="Arial"/>
          <w:color w:val="202122"/>
          <w:shd w:val="clear" w:color="auto" w:fill="FFFFFF"/>
        </w:rPr>
        <w:t> </w:t>
      </w:r>
      <w:hyperlink r:id="rId1979" w:tooltip="Gousse" w:history="1">
        <w:r w:rsidRPr="00732DF3">
          <w:rPr>
            <w:rStyle w:val="Lienhypertexte"/>
            <w:rFonts w:ascii="Calibri" w:hAnsi="Calibri" w:cs="Arial"/>
            <w:color w:val="0645AD"/>
            <w:shd w:val="clear" w:color="auto" w:fill="FFFFFF"/>
          </w:rPr>
          <w:t>gousses</w:t>
        </w:r>
      </w:hyperlink>
      <w:r w:rsidRPr="00732DF3">
        <w:rPr>
          <w:rFonts w:ascii="Calibri" w:hAnsi="Calibri" w:cs="Arial"/>
          <w:color w:val="202122"/>
          <w:shd w:val="clear" w:color="auto" w:fill="FFFFFF"/>
        </w:rPr>
        <w:t xml:space="preserve">. </w:t>
      </w:r>
      <w:r w:rsidRPr="00732DF3">
        <w:rPr>
          <w:rFonts w:ascii="Calibri" w:hAnsi="Calibri" w:cs="Arial"/>
          <w:color w:val="000000" w:themeColor="text1"/>
          <w:shd w:val="clear" w:color="auto" w:fill="FFFFFF"/>
        </w:rPr>
        <w:t>C'est la principale </w:t>
      </w:r>
      <w:hyperlink r:id="rId1980" w:tooltip="Légumineuse" w:history="1">
        <w:r w:rsidRPr="00732DF3">
          <w:rPr>
            <w:rStyle w:val="Lienhypertexte"/>
            <w:rFonts w:ascii="Calibri" w:hAnsi="Calibri" w:cs="Arial"/>
            <w:color w:val="0645AD"/>
            <w:shd w:val="clear" w:color="auto" w:fill="FFFFFF"/>
          </w:rPr>
          <w:t>légumineuse</w:t>
        </w:r>
      </w:hyperlink>
      <w:r w:rsidRPr="00732DF3">
        <w:rPr>
          <w:rFonts w:ascii="Calibri" w:hAnsi="Calibri" w:cs="Arial"/>
          <w:color w:val="202122"/>
          <w:shd w:val="clear" w:color="auto" w:fill="FFFFFF"/>
        </w:rPr>
        <w:t> </w:t>
      </w:r>
      <w:r w:rsidRPr="00732DF3">
        <w:rPr>
          <w:rFonts w:ascii="Calibri" w:hAnsi="Calibri" w:cs="Arial"/>
          <w:color w:val="000000" w:themeColor="text1"/>
          <w:shd w:val="clear" w:color="auto" w:fill="FFFFFF"/>
        </w:rPr>
        <w:t xml:space="preserve">alimentaire d'Afrique tropicale, fournissant une source économique de protéines de grande qualité. Le niébé est produit principalement dans les </w:t>
      </w:r>
      <w:r w:rsidRPr="00732DF3">
        <w:rPr>
          <w:rFonts w:ascii="Calibri" w:hAnsi="Calibri" w:cs="Arial"/>
          <w:i/>
          <w:iCs/>
          <w:color w:val="000000" w:themeColor="text1"/>
          <w:shd w:val="clear" w:color="auto" w:fill="FFFFFF"/>
        </w:rPr>
        <w:t>régions intérieures arides de l’Afrique de l’Ouest en raison de sa tolérance à la sécheresse et de la pression moins forte des insectes dans ces zones</w:t>
      </w:r>
      <w:r w:rsidRPr="00732DF3">
        <w:rPr>
          <w:rFonts w:ascii="Calibri" w:hAnsi="Calibri" w:cs="Arial"/>
          <w:color w:val="000000" w:themeColor="text1"/>
          <w:shd w:val="clear" w:color="auto" w:fill="FFFFFF"/>
        </w:rPr>
        <w:t>, et le commerce bien développé le mène au Sud, vers les principaux marchés côtiers.</w:t>
      </w:r>
      <w:r w:rsidR="00372002">
        <w:rPr>
          <w:rFonts w:ascii="Calibri" w:hAnsi="Calibri" w:cs="Arial"/>
          <w:color w:val="000000" w:themeColor="text1"/>
          <w:shd w:val="clear" w:color="auto" w:fill="FFFFFF"/>
        </w:rPr>
        <w:t xml:space="preserve"> </w:t>
      </w:r>
      <w:r w:rsidR="00372002" w:rsidRPr="00372002">
        <w:rPr>
          <w:rFonts w:ascii="Calibri" w:hAnsi="Calibri" w:cs="Arial"/>
          <w:color w:val="000000" w:themeColor="text1"/>
          <w:shd w:val="clear" w:color="auto" w:fill="FFFFFF"/>
        </w:rPr>
        <w:t xml:space="preserve">C’est </w:t>
      </w:r>
      <w:r w:rsidR="00372002" w:rsidRPr="00372002">
        <w:rPr>
          <w:rFonts w:ascii="Calibri" w:hAnsi="Calibri" w:cs="Calibri"/>
          <w:color w:val="000000" w:themeColor="text1"/>
          <w:shd w:val="clear" w:color="auto" w:fill="FFFFFF"/>
        </w:rPr>
        <w:t>une culture précieuse pour les agriculteurs pauvres en ressources et bien adaptée à la</w:t>
      </w:r>
      <w:r w:rsidR="00372002" w:rsidRPr="00372002">
        <w:rPr>
          <w:rFonts w:ascii="Calibri" w:hAnsi="Calibri" w:cs="Calibri"/>
          <w:color w:val="202122"/>
          <w:shd w:val="clear" w:color="auto" w:fill="FFFFFF"/>
        </w:rPr>
        <w:t> </w:t>
      </w:r>
      <w:hyperlink r:id="rId1981" w:tooltip="Intercropping" w:history="1">
        <w:r w:rsidR="00372002" w:rsidRPr="00372002">
          <w:rPr>
            <w:rStyle w:val="Lienhypertexte"/>
            <w:rFonts w:ascii="Calibri" w:hAnsi="Calibri" w:cs="Calibri"/>
            <w:color w:val="0645AD"/>
            <w:shd w:val="clear" w:color="auto" w:fill="FFFFFF"/>
          </w:rPr>
          <w:t>culture intercalaire</w:t>
        </w:r>
      </w:hyperlink>
      <w:r w:rsidR="00372002" w:rsidRPr="00372002">
        <w:rPr>
          <w:rFonts w:ascii="Calibri" w:hAnsi="Calibri" w:cs="Calibri"/>
          <w:color w:val="202122"/>
          <w:shd w:val="clear" w:color="auto" w:fill="FFFFFF"/>
        </w:rPr>
        <w:t> </w:t>
      </w:r>
      <w:r w:rsidR="00372002" w:rsidRPr="00372002">
        <w:rPr>
          <w:rFonts w:ascii="Calibri" w:hAnsi="Calibri" w:cs="Calibri"/>
          <w:color w:val="000000" w:themeColor="text1"/>
          <w:shd w:val="clear" w:color="auto" w:fill="FFFFFF"/>
        </w:rPr>
        <w:t>avec d'autres cultures.</w:t>
      </w:r>
      <w:r w:rsidR="00372002" w:rsidRPr="00372002">
        <w:rPr>
          <w:rFonts w:ascii="Arial" w:hAnsi="Arial" w:cs="Arial"/>
          <w:color w:val="000000" w:themeColor="text1"/>
          <w:sz w:val="21"/>
          <w:szCs w:val="21"/>
          <w:shd w:val="clear" w:color="auto" w:fill="FFFFFF"/>
        </w:rPr>
        <w:t> </w:t>
      </w:r>
    </w:p>
    <w:p w14:paraId="242D4526" w14:textId="3595A740" w:rsidR="001406AF" w:rsidRPr="001406AF" w:rsidRDefault="001406AF" w:rsidP="001406AF">
      <w:pPr>
        <w:pStyle w:val="NormalWeb"/>
        <w:shd w:val="clear" w:color="auto" w:fill="FFFFFF"/>
        <w:spacing w:before="0" w:beforeAutospacing="0" w:after="0" w:afterAutospacing="0"/>
        <w:jc w:val="both"/>
        <w:rPr>
          <w:rFonts w:ascii="Calibri" w:hAnsi="Calibri" w:cs="Arial"/>
          <w:color w:val="000000" w:themeColor="text1"/>
          <w:sz w:val="22"/>
          <w:szCs w:val="22"/>
        </w:rPr>
      </w:pPr>
      <w:r w:rsidRPr="001406AF">
        <w:rPr>
          <w:rFonts w:ascii="Calibri" w:hAnsi="Calibri" w:cs="Calibri"/>
          <w:color w:val="000000" w:themeColor="text1"/>
          <w:sz w:val="22"/>
          <w:szCs w:val="22"/>
          <w:u w:val="single"/>
          <w:shd w:val="clear" w:color="auto" w:fill="F8F9FA"/>
        </w:rPr>
        <w:t>Économie</w:t>
      </w:r>
      <w:r w:rsidRPr="001406AF">
        <w:rPr>
          <w:rFonts w:ascii="Calibri" w:hAnsi="Calibri" w:cs="Calibri"/>
          <w:color w:val="000000" w:themeColor="text1"/>
          <w:sz w:val="22"/>
          <w:szCs w:val="22"/>
          <w:shd w:val="clear" w:color="auto" w:fill="F8F9FA"/>
        </w:rPr>
        <w:t xml:space="preserve"> : </w:t>
      </w:r>
      <w:r w:rsidRPr="001406AF">
        <w:rPr>
          <w:rFonts w:ascii="Calibri" w:hAnsi="Calibri" w:cs="Arial"/>
          <w:color w:val="000000" w:themeColor="text1"/>
          <w:sz w:val="22"/>
          <w:szCs w:val="22"/>
        </w:rPr>
        <w:t>La production mondiale de niébé est estimée à 3,7 millions de tonnes annuelles dans la décennie 1990-1999, sur une surface de 8,7 millions d'hectares. Elle est située pour l'essentiel en Afrique (87 % des surfaces cultivées), puis loin derrière en Amérique (10 % des surfaces) et le reste en Europe et Asie.</w:t>
      </w:r>
    </w:p>
    <w:p w14:paraId="403AE665" w14:textId="28895AE7" w:rsidR="00732DF3" w:rsidRDefault="001406AF" w:rsidP="001406AF">
      <w:pPr>
        <w:pStyle w:val="NormalWeb"/>
        <w:shd w:val="clear" w:color="auto" w:fill="FFFFFF"/>
        <w:spacing w:before="0" w:beforeAutospacing="0" w:after="0" w:afterAutospacing="0"/>
        <w:jc w:val="both"/>
        <w:rPr>
          <w:rFonts w:ascii="Calibri" w:hAnsi="Calibri" w:cs="Calibri"/>
          <w:color w:val="000000" w:themeColor="text1"/>
          <w:sz w:val="22"/>
          <w:szCs w:val="22"/>
          <w:shd w:val="clear" w:color="auto" w:fill="F8F9FA"/>
        </w:rPr>
      </w:pPr>
      <w:r w:rsidRPr="001406AF">
        <w:rPr>
          <w:rFonts w:ascii="Calibri" w:hAnsi="Calibri" w:cs="Arial"/>
          <w:color w:val="000000" w:themeColor="text1"/>
          <w:sz w:val="22"/>
          <w:szCs w:val="22"/>
        </w:rPr>
        <w:lastRenderedPageBreak/>
        <w:t>Le </w:t>
      </w:r>
      <w:hyperlink r:id="rId1982" w:tooltip="Nigeria" w:history="1">
        <w:r w:rsidRPr="001406AF">
          <w:rPr>
            <w:rStyle w:val="Lienhypertexte"/>
            <w:rFonts w:ascii="Calibri" w:hAnsi="Calibri" w:cs="Arial"/>
            <w:color w:val="0645AD"/>
            <w:sz w:val="22"/>
            <w:szCs w:val="22"/>
            <w:u w:val="none"/>
          </w:rPr>
          <w:t>Nigeria</w:t>
        </w:r>
      </w:hyperlink>
      <w:r w:rsidRPr="001406AF">
        <w:rPr>
          <w:rFonts w:ascii="Calibri" w:hAnsi="Calibri" w:cs="Arial"/>
          <w:color w:val="202122"/>
          <w:sz w:val="22"/>
          <w:szCs w:val="22"/>
        </w:rPr>
        <w:t> </w:t>
      </w:r>
      <w:r w:rsidRPr="001406AF">
        <w:rPr>
          <w:rFonts w:ascii="Calibri" w:hAnsi="Calibri" w:cs="Arial"/>
          <w:color w:val="000000" w:themeColor="text1"/>
          <w:sz w:val="22"/>
          <w:szCs w:val="22"/>
        </w:rPr>
        <w:t>étant le premier producteur mondial de niébé (45 % du total) mais également le plus grand importateur. Il est suivi par le Brésil (avec 17 %). Le </w:t>
      </w:r>
      <w:hyperlink r:id="rId1983" w:tooltip="Niger" w:history="1">
        <w:r w:rsidRPr="001406AF">
          <w:rPr>
            <w:rStyle w:val="Lienhypertexte"/>
            <w:rFonts w:ascii="Calibri" w:hAnsi="Calibri" w:cs="Arial"/>
            <w:color w:val="0645AD"/>
            <w:sz w:val="22"/>
            <w:szCs w:val="22"/>
            <w:u w:val="none"/>
          </w:rPr>
          <w:t>Niger</w:t>
        </w:r>
      </w:hyperlink>
      <w:r w:rsidRPr="001406AF">
        <w:rPr>
          <w:rFonts w:ascii="Calibri" w:hAnsi="Calibri" w:cs="Arial"/>
          <w:color w:val="202122"/>
          <w:sz w:val="22"/>
          <w:szCs w:val="22"/>
        </w:rPr>
        <w:t> </w:t>
      </w:r>
      <w:r w:rsidRPr="001406AF">
        <w:rPr>
          <w:rFonts w:ascii="Calibri" w:hAnsi="Calibri" w:cs="Arial"/>
          <w:color w:val="000000" w:themeColor="text1"/>
          <w:sz w:val="22"/>
          <w:szCs w:val="22"/>
        </w:rPr>
        <w:t>compte pour 8 %. Les autres producteurs de </w:t>
      </w:r>
      <w:hyperlink r:id="rId1984" w:history="1">
        <w:r w:rsidRPr="001406AF">
          <w:rPr>
            <w:rStyle w:val="Lienhypertexte"/>
            <w:rFonts w:ascii="Calibri" w:hAnsi="Calibri" w:cs="Arial"/>
            <w:color w:val="0645AD"/>
            <w:sz w:val="22"/>
            <w:szCs w:val="22"/>
          </w:rPr>
          <w:t>Communauté économique des États de l'Afrique de l'Ouest</w:t>
        </w:r>
      </w:hyperlink>
      <w:r w:rsidRPr="001406AF">
        <w:rPr>
          <w:rFonts w:ascii="Calibri" w:hAnsi="Calibri" w:cs="Arial"/>
          <w:color w:val="202122"/>
          <w:sz w:val="22"/>
          <w:szCs w:val="22"/>
        </w:rPr>
        <w:t> </w:t>
      </w:r>
      <w:r w:rsidRPr="001406AF">
        <w:rPr>
          <w:rFonts w:ascii="Calibri" w:hAnsi="Calibri" w:cs="Arial"/>
          <w:color w:val="000000" w:themeColor="text1"/>
          <w:sz w:val="22"/>
          <w:szCs w:val="22"/>
        </w:rPr>
        <w:t>sont, par ordre d’importance, le </w:t>
      </w:r>
      <w:hyperlink r:id="rId1985" w:tooltip="Burkina Faso" w:history="1">
        <w:r w:rsidRPr="001406AF">
          <w:rPr>
            <w:rStyle w:val="Lienhypertexte"/>
            <w:rFonts w:ascii="Calibri" w:hAnsi="Calibri" w:cs="Arial"/>
            <w:color w:val="0645AD"/>
            <w:sz w:val="22"/>
            <w:szCs w:val="22"/>
            <w:u w:val="none"/>
          </w:rPr>
          <w:t>Burkina Faso</w:t>
        </w:r>
      </w:hyperlink>
      <w:r w:rsidRPr="001406AF">
        <w:rPr>
          <w:rFonts w:ascii="Calibri" w:hAnsi="Calibri" w:cs="Arial"/>
          <w:color w:val="202122"/>
          <w:sz w:val="22"/>
          <w:szCs w:val="22"/>
        </w:rPr>
        <w:t>, le </w:t>
      </w:r>
      <w:hyperlink r:id="rId1986" w:tooltip="Mali" w:history="1">
        <w:r w:rsidRPr="001406AF">
          <w:rPr>
            <w:rStyle w:val="Lienhypertexte"/>
            <w:rFonts w:ascii="Calibri" w:hAnsi="Calibri" w:cs="Arial"/>
            <w:color w:val="0645AD"/>
            <w:sz w:val="22"/>
            <w:szCs w:val="22"/>
            <w:u w:val="none"/>
          </w:rPr>
          <w:t>Mali</w:t>
        </w:r>
      </w:hyperlink>
      <w:r w:rsidRPr="001406AF">
        <w:rPr>
          <w:rFonts w:ascii="Calibri" w:hAnsi="Calibri" w:cs="Arial"/>
          <w:color w:val="202122"/>
          <w:sz w:val="22"/>
          <w:szCs w:val="22"/>
        </w:rPr>
        <w:t>, le </w:t>
      </w:r>
      <w:hyperlink r:id="rId1987" w:tooltip="Bénin" w:history="1">
        <w:r w:rsidRPr="001406AF">
          <w:rPr>
            <w:rStyle w:val="Lienhypertexte"/>
            <w:rFonts w:ascii="Calibri" w:hAnsi="Calibri" w:cs="Arial"/>
            <w:color w:val="0645AD"/>
            <w:sz w:val="22"/>
            <w:szCs w:val="22"/>
            <w:u w:val="none"/>
          </w:rPr>
          <w:t>Bénin</w:t>
        </w:r>
      </w:hyperlink>
      <w:r w:rsidRPr="001406AF">
        <w:rPr>
          <w:rFonts w:ascii="Calibri" w:hAnsi="Calibri" w:cs="Arial"/>
          <w:color w:val="202122"/>
          <w:sz w:val="22"/>
          <w:szCs w:val="22"/>
        </w:rPr>
        <w:t>, le </w:t>
      </w:r>
      <w:hyperlink r:id="rId1988" w:tooltip="Ghana" w:history="1">
        <w:r w:rsidRPr="001406AF">
          <w:rPr>
            <w:rStyle w:val="Lienhypertexte"/>
            <w:rFonts w:ascii="Calibri" w:hAnsi="Calibri" w:cs="Arial"/>
            <w:color w:val="0645AD"/>
            <w:sz w:val="22"/>
            <w:szCs w:val="22"/>
            <w:u w:val="none"/>
          </w:rPr>
          <w:t>Ghana</w:t>
        </w:r>
      </w:hyperlink>
      <w:r w:rsidRPr="001406AF">
        <w:rPr>
          <w:rFonts w:ascii="Calibri" w:hAnsi="Calibri" w:cs="Arial"/>
          <w:color w:val="202122"/>
          <w:sz w:val="22"/>
          <w:szCs w:val="22"/>
        </w:rPr>
        <w:t>, le </w:t>
      </w:r>
      <w:hyperlink r:id="rId1989" w:tooltip="Togo" w:history="1">
        <w:r w:rsidRPr="001406AF">
          <w:rPr>
            <w:rStyle w:val="Lienhypertexte"/>
            <w:rFonts w:ascii="Calibri" w:hAnsi="Calibri" w:cs="Arial"/>
            <w:color w:val="0645AD"/>
            <w:sz w:val="22"/>
            <w:szCs w:val="22"/>
            <w:u w:val="none"/>
          </w:rPr>
          <w:t>Togo</w:t>
        </w:r>
      </w:hyperlink>
      <w:r w:rsidRPr="001406AF">
        <w:rPr>
          <w:rFonts w:ascii="Calibri" w:hAnsi="Calibri" w:cs="Arial"/>
          <w:color w:val="202122"/>
          <w:sz w:val="22"/>
          <w:szCs w:val="22"/>
        </w:rPr>
        <w:t>, le </w:t>
      </w:r>
      <w:hyperlink r:id="rId1990" w:tooltip="Sénégal" w:history="1">
        <w:r w:rsidRPr="001406AF">
          <w:rPr>
            <w:rStyle w:val="Lienhypertexte"/>
            <w:rFonts w:ascii="Calibri" w:hAnsi="Calibri" w:cs="Arial"/>
            <w:color w:val="0645AD"/>
            <w:sz w:val="22"/>
            <w:szCs w:val="22"/>
            <w:u w:val="none"/>
          </w:rPr>
          <w:t>Sénégal</w:t>
        </w:r>
      </w:hyperlink>
      <w:r w:rsidRPr="001406AF">
        <w:rPr>
          <w:rFonts w:ascii="Calibri" w:hAnsi="Calibri" w:cs="Arial"/>
          <w:color w:val="202122"/>
          <w:sz w:val="22"/>
          <w:szCs w:val="22"/>
        </w:rPr>
        <w:t> et la </w:t>
      </w:r>
      <w:hyperlink r:id="rId1991" w:tooltip="Côte d’Ivoire" w:history="1">
        <w:r w:rsidRPr="001406AF">
          <w:rPr>
            <w:rStyle w:val="Lienhypertexte"/>
            <w:rFonts w:ascii="Calibri" w:hAnsi="Calibri" w:cs="Arial"/>
            <w:color w:val="0645AD"/>
            <w:sz w:val="22"/>
            <w:szCs w:val="22"/>
            <w:u w:val="none"/>
          </w:rPr>
          <w:t>Côte d’Ivoire</w:t>
        </w:r>
      </w:hyperlink>
      <w:r w:rsidRPr="001406AF">
        <w:rPr>
          <w:rFonts w:ascii="Calibri" w:hAnsi="Calibri" w:cs="Calibri"/>
          <w:color w:val="000000" w:themeColor="text1"/>
          <w:sz w:val="22"/>
          <w:szCs w:val="22"/>
          <w:shd w:val="clear" w:color="auto" w:fill="F8F9FA"/>
        </w:rPr>
        <w:t>.</w:t>
      </w:r>
    </w:p>
    <w:p w14:paraId="38711860" w14:textId="0401467A" w:rsidR="006F7A50" w:rsidRDefault="006F7A50" w:rsidP="001406AF">
      <w:pPr>
        <w:pStyle w:val="NormalWeb"/>
        <w:shd w:val="clear" w:color="auto" w:fill="FFFFFF"/>
        <w:spacing w:before="0" w:beforeAutospacing="0" w:after="0" w:afterAutospacing="0"/>
        <w:jc w:val="both"/>
        <w:rPr>
          <w:rFonts w:ascii="Calibri" w:hAnsi="Calibri" w:cs="Calibri"/>
          <w:color w:val="000000" w:themeColor="text1"/>
          <w:sz w:val="22"/>
          <w:szCs w:val="22"/>
          <w:shd w:val="clear" w:color="auto" w:fill="F8F9FA"/>
        </w:rPr>
      </w:pPr>
      <w:r w:rsidRPr="006F7A50">
        <w:rPr>
          <w:rFonts w:ascii="Calibri" w:hAnsi="Calibri" w:cs="Calibri"/>
          <w:color w:val="000000" w:themeColor="text1"/>
          <w:sz w:val="22"/>
          <w:szCs w:val="22"/>
          <w:u w:val="single"/>
          <w:shd w:val="clear" w:color="auto" w:fill="F8F9FA"/>
        </w:rPr>
        <w:t>Ecologie</w:t>
      </w:r>
      <w:r w:rsidRPr="006F7A50">
        <w:rPr>
          <w:rFonts w:ascii="Calibri" w:hAnsi="Calibri" w:cs="Calibri"/>
          <w:color w:val="000000" w:themeColor="text1"/>
          <w:sz w:val="22"/>
          <w:szCs w:val="22"/>
          <w:shd w:val="clear" w:color="auto" w:fill="F8F9FA"/>
        </w:rPr>
        <w:t xml:space="preserve"> : Les types sauvages de </w:t>
      </w:r>
      <w:r w:rsidRPr="006F7A50">
        <w:rPr>
          <w:rFonts w:ascii="Calibri" w:hAnsi="Calibri" w:cs="Calibri"/>
          <w:i/>
          <w:iCs/>
          <w:color w:val="000000" w:themeColor="text1"/>
          <w:sz w:val="22"/>
          <w:szCs w:val="22"/>
          <w:shd w:val="clear" w:color="auto" w:fill="F8F9FA"/>
        </w:rPr>
        <w:t>Vigna unguiculata</w:t>
      </w:r>
      <w:r w:rsidRPr="006F7A50">
        <w:rPr>
          <w:rFonts w:ascii="Calibri" w:hAnsi="Calibri" w:cs="Calibri"/>
          <w:color w:val="000000" w:themeColor="text1"/>
          <w:sz w:val="22"/>
          <w:szCs w:val="22"/>
          <w:shd w:val="clear" w:color="auto" w:fill="F8F9FA"/>
        </w:rPr>
        <w:t xml:space="preserve"> poussent parmi la végétation de savane, souvent dans des milieux perturbés, ou bien comme adventice, jusqu’à 1500 m d’altitude ; mais on peut en trouver dans les savanes herbeuses soumises à des brûlis réguliers, dans des endroits sablonneux proches des côtes, dans des étendues boisées, des lisières des forêts ou dans les zones marécageuses, parfois jusqu’à 2500 m d’altitude.</w:t>
      </w:r>
    </w:p>
    <w:p w14:paraId="3B06AA23" w14:textId="59DB2806" w:rsidR="00372002" w:rsidRDefault="00372002" w:rsidP="001406AF">
      <w:pPr>
        <w:pStyle w:val="NormalWeb"/>
        <w:shd w:val="clear" w:color="auto" w:fill="FFFFFF"/>
        <w:spacing w:before="0" w:beforeAutospacing="0" w:after="0" w:afterAutospacing="0"/>
        <w:jc w:val="both"/>
        <w:rPr>
          <w:rFonts w:ascii="Calibri" w:hAnsi="Calibri" w:cs="Calibri"/>
          <w:sz w:val="22"/>
          <w:szCs w:val="22"/>
        </w:rPr>
      </w:pPr>
      <w:r w:rsidRPr="00372002">
        <w:rPr>
          <w:rFonts w:ascii="Calibri" w:hAnsi="Calibri" w:cs="Calibri"/>
          <w:color w:val="000000" w:themeColor="text1"/>
          <w:sz w:val="22"/>
          <w:szCs w:val="22"/>
          <w:u w:val="single"/>
          <w:shd w:val="clear" w:color="auto" w:fill="F8F9FA"/>
        </w:rPr>
        <w:t>Culture</w:t>
      </w:r>
      <w:r w:rsidRPr="00372002">
        <w:rPr>
          <w:rFonts w:ascii="Calibri" w:hAnsi="Calibri" w:cs="Calibri"/>
          <w:color w:val="000000" w:themeColor="text1"/>
          <w:sz w:val="22"/>
          <w:szCs w:val="22"/>
          <w:shd w:val="clear" w:color="auto" w:fill="F8F9FA"/>
        </w:rPr>
        <w:t xml:space="preserve"> : </w:t>
      </w:r>
      <w:r w:rsidRPr="00372002">
        <w:rPr>
          <w:rFonts w:ascii="Calibri" w:hAnsi="Calibri" w:cs="Calibri"/>
          <w:color w:val="000000" w:themeColor="text1"/>
          <w:sz w:val="22"/>
          <w:szCs w:val="22"/>
          <w:shd w:val="clear" w:color="auto" w:fill="FFFFFF"/>
        </w:rPr>
        <w:t>Le niébé prospère dans des conditions sèches médiocres, poussant bien dans des sols contenant jusqu'à 85 % de sable. Cela en fait une culture particulièrement importante dans les régions arides et semi-désertiques où peu d'autres cultures pousseront. En plus d'être une importante source de nourriture pour les humains dans les régions pauvres et arides, la culture peut également être utilisée comme aliment pour le bétail. Le niébé peut être utilisé efficacement dans les </w:t>
      </w:r>
      <w:hyperlink r:id="rId1992" w:tooltip="Intercalaire" w:history="1">
        <w:r w:rsidRPr="00372002">
          <w:rPr>
            <w:rStyle w:val="Lienhypertexte"/>
            <w:rFonts w:ascii="Calibri" w:hAnsi="Calibri" w:cs="Calibri"/>
            <w:color w:val="0645AD"/>
            <w:sz w:val="22"/>
            <w:szCs w:val="22"/>
            <w:shd w:val="clear" w:color="auto" w:fill="FFFFFF"/>
          </w:rPr>
          <w:t>culture intercalaire</w:t>
        </w:r>
      </w:hyperlink>
      <w:r>
        <w:rPr>
          <w:rFonts w:ascii="Calibri" w:hAnsi="Calibri" w:cs="Calibri"/>
          <w:sz w:val="22"/>
          <w:szCs w:val="22"/>
        </w:rPr>
        <w:t>,</w:t>
      </w:r>
      <w:r w:rsidRPr="00372002">
        <w:rPr>
          <w:rFonts w:ascii="Calibri" w:hAnsi="Calibri" w:cs="Calibri"/>
          <w:color w:val="202122"/>
          <w:sz w:val="22"/>
          <w:szCs w:val="22"/>
          <w:shd w:val="clear" w:color="auto" w:fill="FFFFFF"/>
        </w:rPr>
        <w:t> </w:t>
      </w:r>
      <w:r w:rsidRPr="00372002">
        <w:rPr>
          <w:rFonts w:ascii="Calibri" w:hAnsi="Calibri" w:cs="Calibri"/>
          <w:color w:val="000000" w:themeColor="text1"/>
          <w:sz w:val="22"/>
          <w:szCs w:val="22"/>
          <w:shd w:val="clear" w:color="auto" w:fill="FFFFFF"/>
        </w:rPr>
        <w:t>avec le </w:t>
      </w:r>
      <w:hyperlink r:id="rId1993" w:tooltip="Sorgho" w:history="1">
        <w:r w:rsidRPr="00372002">
          <w:rPr>
            <w:rStyle w:val="Lienhypertexte"/>
            <w:rFonts w:ascii="Calibri" w:hAnsi="Calibri" w:cs="Calibri"/>
            <w:color w:val="0645AD"/>
            <w:sz w:val="22"/>
            <w:szCs w:val="22"/>
            <w:shd w:val="clear" w:color="auto" w:fill="FFFFFF"/>
          </w:rPr>
          <w:t>sorgho</w:t>
        </w:r>
      </w:hyperlink>
      <w:r w:rsidRPr="00372002">
        <w:rPr>
          <w:rFonts w:ascii="Calibri" w:hAnsi="Calibri" w:cs="Calibri"/>
          <w:color w:val="202122"/>
          <w:sz w:val="22"/>
          <w:szCs w:val="22"/>
          <w:shd w:val="clear" w:color="auto" w:fill="FFFFFF"/>
        </w:rPr>
        <w:t xml:space="preserve">, </w:t>
      </w:r>
      <w:r w:rsidRPr="00372002">
        <w:rPr>
          <w:rFonts w:ascii="Calibri" w:hAnsi="Calibri" w:cs="Calibri"/>
          <w:color w:val="000000" w:themeColor="text1"/>
          <w:sz w:val="22"/>
          <w:szCs w:val="22"/>
          <w:shd w:val="clear" w:color="auto" w:fill="FFFFFF"/>
        </w:rPr>
        <w:t>le </w:t>
      </w:r>
      <w:hyperlink r:id="rId1994" w:tooltip="Millet" w:history="1">
        <w:r w:rsidRPr="00372002">
          <w:rPr>
            <w:rStyle w:val="Lienhypertexte"/>
            <w:rFonts w:ascii="Calibri" w:hAnsi="Calibri" w:cs="Calibri"/>
            <w:color w:val="0645AD"/>
            <w:sz w:val="22"/>
            <w:szCs w:val="22"/>
            <w:shd w:val="clear" w:color="auto" w:fill="FFFFFF"/>
          </w:rPr>
          <w:t>mil</w:t>
        </w:r>
      </w:hyperlink>
      <w:r w:rsidRPr="00372002">
        <w:rPr>
          <w:rFonts w:ascii="Calibri" w:hAnsi="Calibri" w:cs="Calibri"/>
          <w:color w:val="202122"/>
          <w:sz w:val="22"/>
          <w:szCs w:val="22"/>
          <w:shd w:val="clear" w:color="auto" w:fill="FFFFFF"/>
        </w:rPr>
        <w:t xml:space="preserve">, </w:t>
      </w:r>
      <w:r w:rsidRPr="00372002">
        <w:rPr>
          <w:rFonts w:ascii="Calibri" w:hAnsi="Calibri" w:cs="Calibri"/>
          <w:color w:val="000000" w:themeColor="text1"/>
          <w:sz w:val="22"/>
          <w:szCs w:val="22"/>
          <w:shd w:val="clear" w:color="auto" w:fill="FFFFFF"/>
        </w:rPr>
        <w:t>le </w:t>
      </w:r>
      <w:hyperlink r:id="rId1995" w:tooltip="Maïs" w:history="1">
        <w:r w:rsidRPr="00372002">
          <w:rPr>
            <w:rStyle w:val="Lienhypertexte"/>
            <w:rFonts w:ascii="Calibri" w:hAnsi="Calibri" w:cs="Calibri"/>
            <w:color w:val="0645AD"/>
            <w:sz w:val="22"/>
            <w:szCs w:val="22"/>
            <w:shd w:val="clear" w:color="auto" w:fill="FFFFFF"/>
          </w:rPr>
          <w:t>maïs</w:t>
        </w:r>
      </w:hyperlink>
      <w:r w:rsidRPr="00372002">
        <w:rPr>
          <w:rFonts w:ascii="Calibri" w:hAnsi="Calibri" w:cs="Calibri"/>
          <w:color w:val="202122"/>
          <w:sz w:val="22"/>
          <w:szCs w:val="22"/>
          <w:shd w:val="clear" w:color="auto" w:fill="FFFFFF"/>
        </w:rPr>
        <w:t>, le </w:t>
      </w:r>
      <w:hyperlink r:id="rId1996" w:tooltip="Manioc" w:history="1">
        <w:r w:rsidRPr="00372002">
          <w:rPr>
            <w:rStyle w:val="Lienhypertexte"/>
            <w:rFonts w:ascii="Calibri" w:hAnsi="Calibri" w:cs="Calibri"/>
            <w:color w:val="0645AD"/>
            <w:sz w:val="22"/>
            <w:szCs w:val="22"/>
            <w:shd w:val="clear" w:color="auto" w:fill="FFFFFF"/>
          </w:rPr>
          <w:t>manioc</w:t>
        </w:r>
      </w:hyperlink>
      <w:r w:rsidRPr="00372002">
        <w:rPr>
          <w:rFonts w:ascii="Calibri" w:hAnsi="Calibri" w:cs="Calibri"/>
          <w:color w:val="202122"/>
          <w:sz w:val="22"/>
          <w:szCs w:val="22"/>
          <w:shd w:val="clear" w:color="auto" w:fill="FFFFFF"/>
        </w:rPr>
        <w:t> </w:t>
      </w:r>
      <w:r w:rsidRPr="00372002">
        <w:rPr>
          <w:rFonts w:ascii="Calibri" w:hAnsi="Calibri" w:cs="Calibri"/>
          <w:color w:val="000000" w:themeColor="text1"/>
          <w:sz w:val="22"/>
          <w:szCs w:val="22"/>
          <w:shd w:val="clear" w:color="auto" w:fill="FFFFFF"/>
        </w:rPr>
        <w:t>ou le </w:t>
      </w:r>
      <w:hyperlink r:id="rId1997" w:history="1">
        <w:r w:rsidRPr="00372002">
          <w:rPr>
            <w:rStyle w:val="Lienhypertexte"/>
            <w:rFonts w:ascii="Calibri" w:hAnsi="Calibri" w:cs="Calibri"/>
            <w:color w:val="0645AD"/>
            <w:sz w:val="22"/>
            <w:szCs w:val="22"/>
            <w:shd w:val="clear" w:color="auto" w:fill="FFFFFF"/>
          </w:rPr>
          <w:t>coton</w:t>
        </w:r>
      </w:hyperlink>
      <w:r w:rsidRPr="00372002">
        <w:rPr>
          <w:rFonts w:ascii="Calibri" w:hAnsi="Calibri" w:cs="Calibri"/>
          <w:sz w:val="22"/>
          <w:szCs w:val="22"/>
        </w:rPr>
        <w:t>.</w:t>
      </w:r>
    </w:p>
    <w:p w14:paraId="479B4D0A" w14:textId="4C7EEE20" w:rsidR="00372002" w:rsidRDefault="00372002" w:rsidP="001406AF">
      <w:pPr>
        <w:pStyle w:val="NormalWeb"/>
        <w:shd w:val="clear" w:color="auto" w:fill="FFFFFF"/>
        <w:spacing w:before="0" w:beforeAutospacing="0" w:after="0" w:afterAutospacing="0"/>
        <w:jc w:val="both"/>
        <w:rPr>
          <w:rFonts w:ascii="Calibri" w:hAnsi="Calibri" w:cs="Calibri"/>
          <w:color w:val="000000" w:themeColor="text1"/>
          <w:sz w:val="22"/>
          <w:szCs w:val="22"/>
          <w:shd w:val="clear" w:color="auto" w:fill="F8F9FA"/>
        </w:rPr>
      </w:pPr>
      <w:r w:rsidRPr="00372002">
        <w:rPr>
          <w:rFonts w:ascii="Calibri" w:hAnsi="Calibri" w:cs="Calibri"/>
          <w:color w:val="000000" w:themeColor="text1"/>
          <w:sz w:val="22"/>
          <w:szCs w:val="22"/>
          <w:shd w:val="clear" w:color="auto" w:fill="F8F9FA"/>
        </w:rPr>
        <w:t>La température optimale pour la croissance du niébé est de 30 °C (86 °F), ce qui le rend disponible uniquement comme culture d'été pour la plupart des pays du monde. Il pousse mieux dans les régions où les précipitations annuelles se situent entre 400 et 700 mm (16 et 28 pouces). Les sols idéaux sont sablonneux et il a une meilleure tolérance aux sols infertiles et acides que la plupart des autres cultures. Généralement, 133 000 graines sont plantées par hectare (54 000/acre) pour les variétés dressées et 60 000 par hectare (24 000/acre) pour les variétés grimpantes et rampantes. Les graines peuvent être récoltées après environ 100 jours ou la plante entière utilisée comme fourrage après environ 120 jours. Les feuilles peuvent être cueillies à partir de 4 semaines après la plantation.</w:t>
      </w:r>
    </w:p>
    <w:p w14:paraId="3C822A27" w14:textId="51A245C7" w:rsidR="002D31D1" w:rsidRDefault="002D31D1" w:rsidP="001406AF">
      <w:pPr>
        <w:pStyle w:val="NormalWeb"/>
        <w:shd w:val="clear" w:color="auto" w:fill="FFFFFF"/>
        <w:spacing w:before="0" w:beforeAutospacing="0" w:after="0" w:afterAutospacing="0"/>
        <w:jc w:val="both"/>
        <w:rPr>
          <w:rFonts w:ascii="Calibri" w:hAnsi="Calibri" w:cs="Calibri"/>
          <w:color w:val="000000" w:themeColor="text1"/>
          <w:sz w:val="22"/>
          <w:szCs w:val="22"/>
          <w:shd w:val="clear" w:color="auto" w:fill="FFFFFF"/>
        </w:rPr>
      </w:pPr>
      <w:r w:rsidRPr="002D31D1">
        <w:rPr>
          <w:rFonts w:ascii="Calibri" w:hAnsi="Calibri" w:cs="Calibri"/>
          <w:color w:val="000000" w:themeColor="text1"/>
          <w:sz w:val="22"/>
          <w:szCs w:val="22"/>
          <w:shd w:val="clear" w:color="auto" w:fill="F8F9FA"/>
        </w:rPr>
        <w:t>Le moment de la plantation est crucial, car la plante doit mûrir pendant les pluies saisonnières.</w:t>
      </w:r>
      <w:r>
        <w:rPr>
          <w:rFonts w:ascii="Calibri" w:hAnsi="Calibri" w:cs="Calibri"/>
          <w:color w:val="000000" w:themeColor="text1"/>
          <w:sz w:val="22"/>
          <w:szCs w:val="22"/>
          <w:shd w:val="clear" w:color="auto" w:fill="F8F9FA"/>
        </w:rPr>
        <w:t xml:space="preserve"> </w:t>
      </w:r>
      <w:r w:rsidRPr="002D31D1">
        <w:rPr>
          <w:rFonts w:ascii="Calibri" w:hAnsi="Calibri" w:cs="Calibri"/>
          <w:color w:val="000000" w:themeColor="text1"/>
          <w:sz w:val="22"/>
          <w:szCs w:val="22"/>
          <w:shd w:val="clear" w:color="auto" w:fill="FFFFFF"/>
        </w:rPr>
        <w:t>La culture est principalement intercalée avec le </w:t>
      </w:r>
      <w:hyperlink r:id="rId1998" w:tooltip="millet perlé" w:history="1">
        <w:r w:rsidRPr="002D31D1">
          <w:rPr>
            <w:rStyle w:val="Lienhypertexte"/>
            <w:rFonts w:ascii="Calibri" w:hAnsi="Calibri" w:cs="Calibri"/>
            <w:color w:val="0645AD"/>
            <w:sz w:val="22"/>
            <w:szCs w:val="22"/>
            <w:shd w:val="clear" w:color="auto" w:fill="FFFFFF"/>
          </w:rPr>
          <w:t>mil chandelle</w:t>
        </w:r>
      </w:hyperlink>
      <w:r w:rsidRPr="002D31D1">
        <w:rPr>
          <w:rFonts w:ascii="Calibri" w:hAnsi="Calibri" w:cs="Calibri"/>
          <w:color w:val="202122"/>
          <w:sz w:val="22"/>
          <w:szCs w:val="22"/>
          <w:shd w:val="clear" w:color="auto" w:fill="FFFFFF"/>
        </w:rPr>
        <w:t> </w:t>
      </w:r>
      <w:r w:rsidRPr="002D31D1">
        <w:rPr>
          <w:rFonts w:ascii="Calibri" w:hAnsi="Calibri" w:cs="Calibri"/>
          <w:color w:val="000000" w:themeColor="text1"/>
          <w:sz w:val="22"/>
          <w:szCs w:val="22"/>
          <w:shd w:val="clear" w:color="auto" w:fill="FFFFFF"/>
        </w:rPr>
        <w:t>et les plantes sélectionnées fournissent à la fois de la nourriture et du fourrage, au lieu des variétés plus spécialisées.</w:t>
      </w:r>
    </w:p>
    <w:p w14:paraId="4DB9A173" w14:textId="1042AFF7" w:rsidR="00EC5B9E" w:rsidRPr="001A26A0" w:rsidRDefault="00EC5B9E" w:rsidP="00EC5B9E">
      <w:pPr>
        <w:pStyle w:val="NormalWeb"/>
        <w:shd w:val="clear" w:color="auto" w:fill="FFFFFF"/>
        <w:spacing w:before="0" w:beforeAutospacing="0" w:after="0" w:afterAutospacing="0"/>
        <w:jc w:val="both"/>
        <w:rPr>
          <w:rFonts w:ascii="Calibri" w:hAnsi="Calibri" w:cs="Calibri"/>
          <w:color w:val="000000" w:themeColor="text1"/>
          <w:sz w:val="22"/>
          <w:szCs w:val="22"/>
          <w:shd w:val="clear" w:color="auto" w:fill="FFFFFF"/>
        </w:rPr>
      </w:pPr>
      <w:r w:rsidRPr="002C2226">
        <w:rPr>
          <w:rFonts w:ascii="Calibri" w:hAnsi="Calibri" w:cs="Calibri"/>
          <w:color w:val="000000" w:themeColor="text1"/>
          <w:sz w:val="22"/>
          <w:szCs w:val="22"/>
          <w:u w:val="single"/>
          <w:shd w:val="clear" w:color="auto" w:fill="F8F9FA"/>
        </w:rPr>
        <w:t>Ravageurs et maladies</w:t>
      </w:r>
      <w:r w:rsidRPr="002C2226">
        <w:rPr>
          <w:rFonts w:ascii="Calibri" w:hAnsi="Calibri" w:cs="Calibri"/>
          <w:color w:val="000000" w:themeColor="text1"/>
          <w:sz w:val="22"/>
          <w:szCs w:val="22"/>
          <w:shd w:val="clear" w:color="auto" w:fill="F8F9FA"/>
        </w:rPr>
        <w:t xml:space="preserve"> : </w:t>
      </w:r>
      <w:r w:rsidRPr="002C2226">
        <w:rPr>
          <w:rFonts w:ascii="Calibri" w:hAnsi="Calibri" w:cs="Calibri"/>
          <w:color w:val="000000" w:themeColor="text1"/>
          <w:sz w:val="22"/>
          <w:szCs w:val="22"/>
          <w:shd w:val="clear" w:color="auto" w:fill="FFFFFF"/>
        </w:rPr>
        <w:t>Les insectes sont un facteur majeur dans les faibles rendements des cultures africaines de niébé, et ils affectent chaque composant tissulaire et stade de développement de la plante. En cas de mauvaises infestations, la pression des insectes est responsable de plus de 90 % de perte de rendement</w:t>
      </w:r>
      <w:r>
        <w:rPr>
          <w:rFonts w:ascii="Calibri" w:hAnsi="Calibri" w:cs="Calibri"/>
          <w:color w:val="000000" w:themeColor="text1"/>
          <w:sz w:val="22"/>
          <w:szCs w:val="22"/>
          <w:shd w:val="clear" w:color="auto" w:fill="FFFFFF"/>
        </w:rPr>
        <w:t>.</w:t>
      </w:r>
      <w:r w:rsidRPr="002C2226">
        <w:rPr>
          <w:rFonts w:ascii="Calibri" w:hAnsi="Calibri" w:cs="Calibri"/>
          <w:color w:val="000000" w:themeColor="text1"/>
          <w:sz w:val="22"/>
          <w:szCs w:val="22"/>
          <w:shd w:val="clear" w:color="auto" w:fill="FFFFFF"/>
        </w:rPr>
        <w:t> Le foreur des gousses des légumineuses</w:t>
      </w:r>
      <w:r w:rsidRPr="002C2226">
        <w:rPr>
          <w:rFonts w:ascii="Calibri" w:hAnsi="Calibri" w:cs="Calibri"/>
          <w:color w:val="202122"/>
          <w:sz w:val="22"/>
          <w:szCs w:val="22"/>
          <w:shd w:val="clear" w:color="auto" w:fill="FFFFFF"/>
        </w:rPr>
        <w:t>, </w:t>
      </w:r>
      <w:hyperlink r:id="rId1999" w:tooltip="Maruca vitrata" w:history="1">
        <w:r w:rsidRPr="002C2226">
          <w:rPr>
            <w:rStyle w:val="Lienhypertexte"/>
            <w:rFonts w:ascii="Calibri" w:hAnsi="Calibri" w:cs="Calibri"/>
            <w:i/>
            <w:iCs/>
            <w:color w:val="0645AD"/>
            <w:sz w:val="22"/>
            <w:szCs w:val="22"/>
            <w:shd w:val="clear" w:color="auto" w:fill="FFFFFF"/>
          </w:rPr>
          <w:t>Maruca vitrata</w:t>
        </w:r>
      </w:hyperlink>
      <w:r w:rsidRPr="002C2226">
        <w:rPr>
          <w:rFonts w:ascii="Calibri" w:hAnsi="Calibri" w:cs="Calibri"/>
          <w:i/>
          <w:iCs/>
          <w:color w:val="202122"/>
          <w:sz w:val="22"/>
          <w:szCs w:val="22"/>
          <w:shd w:val="clear" w:color="auto" w:fill="FFFFFF"/>
        </w:rPr>
        <w:t>,</w:t>
      </w:r>
      <w:r w:rsidRPr="002C2226">
        <w:rPr>
          <w:rFonts w:ascii="Calibri" w:hAnsi="Calibri" w:cs="Calibri"/>
          <w:color w:val="202122"/>
          <w:sz w:val="22"/>
          <w:szCs w:val="22"/>
          <w:shd w:val="clear" w:color="auto" w:fill="FFFFFF"/>
        </w:rPr>
        <w:t> </w:t>
      </w:r>
      <w:r w:rsidRPr="002C2226">
        <w:rPr>
          <w:rFonts w:ascii="Calibri" w:hAnsi="Calibri" w:cs="Calibri"/>
          <w:color w:val="000000" w:themeColor="text1"/>
          <w:sz w:val="22"/>
          <w:szCs w:val="22"/>
          <w:shd w:val="clear" w:color="auto" w:fill="FFFFFF"/>
        </w:rPr>
        <w:t>est le principal ravageur pré-récolte du niébé. D'autres ravageurs importants comprennent les </w:t>
      </w:r>
      <w:hyperlink r:id="rId2000" w:tooltip="Hémiptères" w:history="1">
        <w:r w:rsidRPr="002C2226">
          <w:rPr>
            <w:rStyle w:val="Lienhypertexte"/>
            <w:rFonts w:ascii="Calibri" w:hAnsi="Calibri" w:cs="Calibri"/>
            <w:color w:val="0645AD"/>
            <w:sz w:val="22"/>
            <w:szCs w:val="22"/>
            <w:shd w:val="clear" w:color="auto" w:fill="FFFFFF"/>
          </w:rPr>
          <w:t>punaises suceuses de gousses</w:t>
        </w:r>
      </w:hyperlink>
      <w:r w:rsidRPr="002C2226">
        <w:rPr>
          <w:rFonts w:ascii="Calibri" w:hAnsi="Calibri" w:cs="Calibri"/>
          <w:color w:val="202122"/>
          <w:sz w:val="22"/>
          <w:szCs w:val="22"/>
          <w:shd w:val="clear" w:color="auto" w:fill="FFFFFF"/>
        </w:rPr>
        <w:t>, les </w:t>
      </w:r>
      <w:hyperlink r:id="rId2001" w:tooltip="Thrips" w:history="1">
        <w:r w:rsidRPr="002C2226">
          <w:rPr>
            <w:rStyle w:val="Lienhypertexte"/>
            <w:rFonts w:ascii="Calibri" w:hAnsi="Calibri" w:cs="Calibri"/>
            <w:color w:val="0645AD"/>
            <w:sz w:val="22"/>
            <w:szCs w:val="22"/>
            <w:shd w:val="clear" w:color="auto" w:fill="FFFFFF"/>
          </w:rPr>
          <w:t>thrips</w:t>
        </w:r>
      </w:hyperlink>
      <w:r w:rsidRPr="002C2226">
        <w:rPr>
          <w:rFonts w:ascii="Calibri" w:hAnsi="Calibri" w:cs="Calibri"/>
          <w:color w:val="202122"/>
          <w:sz w:val="22"/>
          <w:szCs w:val="22"/>
          <w:shd w:val="clear" w:color="auto" w:fill="FFFFFF"/>
        </w:rPr>
        <w:t> </w:t>
      </w:r>
      <w:r w:rsidRPr="002C2226">
        <w:rPr>
          <w:rFonts w:ascii="Calibri" w:hAnsi="Calibri" w:cs="Calibri"/>
          <w:color w:val="000000" w:themeColor="text1"/>
          <w:sz w:val="22"/>
          <w:szCs w:val="22"/>
          <w:shd w:val="clear" w:color="auto" w:fill="FFFFFF"/>
        </w:rPr>
        <w:t>et le charançon du niébé post-récolte</w:t>
      </w:r>
      <w:r w:rsidRPr="002C2226">
        <w:rPr>
          <w:rFonts w:ascii="Calibri" w:hAnsi="Calibri" w:cs="Calibri"/>
          <w:color w:val="202122"/>
          <w:sz w:val="22"/>
          <w:szCs w:val="22"/>
          <w:shd w:val="clear" w:color="auto" w:fill="FFFFFF"/>
        </w:rPr>
        <w:t>, </w:t>
      </w:r>
      <w:hyperlink r:id="rId2002" w:tooltip="Callosobruchus maculatus" w:history="1">
        <w:r w:rsidRPr="002C2226">
          <w:rPr>
            <w:rStyle w:val="Lienhypertexte"/>
            <w:rFonts w:ascii="Calibri" w:hAnsi="Calibri" w:cs="Calibri"/>
            <w:i/>
            <w:iCs/>
            <w:color w:val="0645AD"/>
            <w:sz w:val="22"/>
            <w:szCs w:val="22"/>
            <w:shd w:val="clear" w:color="auto" w:fill="FFFFFF"/>
          </w:rPr>
          <w:t>Callosobruchus maculatus</w:t>
        </w:r>
      </w:hyperlink>
      <w:r>
        <w:rPr>
          <w:rFonts w:ascii="Calibri" w:hAnsi="Calibri" w:cs="Calibri"/>
          <w:color w:val="000000" w:themeColor="text1"/>
          <w:sz w:val="22"/>
          <w:szCs w:val="22"/>
          <w:shd w:val="clear" w:color="auto" w:fill="F8F9FA"/>
        </w:rPr>
        <w:t xml:space="preserve">, </w:t>
      </w:r>
      <w:hyperlink r:id="rId2003" w:history="1">
        <w:r w:rsidRPr="00EC5B9E">
          <w:rPr>
            <w:rStyle w:val="Lienhypertexte"/>
            <w:rFonts w:ascii="Calibri" w:hAnsi="Calibri" w:cs="Calibri"/>
            <w:i/>
            <w:iCs/>
            <w:color w:val="0645AD"/>
            <w:sz w:val="22"/>
            <w:szCs w:val="22"/>
            <w:shd w:val="clear" w:color="auto" w:fill="FFFFFF"/>
          </w:rPr>
          <w:t>Aphis craccivora</w:t>
        </w:r>
      </w:hyperlink>
      <w:r w:rsidRPr="00EC5B9E">
        <w:rPr>
          <w:rFonts w:ascii="Calibri" w:hAnsi="Calibri" w:cs="Calibri"/>
          <w:color w:val="202122"/>
          <w:sz w:val="22"/>
          <w:szCs w:val="22"/>
          <w:shd w:val="clear" w:color="auto" w:fill="FFFFFF"/>
        </w:rPr>
        <w:t> </w:t>
      </w:r>
      <w:r w:rsidRPr="00EC5B9E">
        <w:rPr>
          <w:rFonts w:ascii="Calibri" w:hAnsi="Calibri" w:cs="Calibri"/>
          <w:color w:val="000000" w:themeColor="text1"/>
          <w:sz w:val="22"/>
          <w:szCs w:val="22"/>
          <w:shd w:val="clear" w:color="auto" w:fill="FFFFFF"/>
        </w:rPr>
        <w:t>(puceron du niébé), un ravageur du niébé en </w:t>
      </w:r>
      <w:hyperlink r:id="rId2004" w:tooltip="Inde" w:history="1">
        <w:r w:rsidRPr="00EC5B9E">
          <w:rPr>
            <w:rStyle w:val="Lienhypertexte"/>
            <w:rFonts w:ascii="Calibri" w:hAnsi="Calibri" w:cs="Calibri"/>
            <w:color w:val="0645AD"/>
            <w:sz w:val="22"/>
            <w:szCs w:val="22"/>
            <w:shd w:val="clear" w:color="auto" w:fill="FFFFFF"/>
          </w:rPr>
          <w:t>Inde</w:t>
        </w:r>
      </w:hyperlink>
      <w:r w:rsidRPr="00EC5B9E">
        <w:rPr>
          <w:rFonts w:ascii="Calibri" w:hAnsi="Calibri" w:cs="Calibri"/>
          <w:color w:val="202122"/>
          <w:sz w:val="22"/>
          <w:szCs w:val="22"/>
          <w:shd w:val="clear" w:color="auto" w:fill="FFFFFF"/>
        </w:rPr>
        <w:t xml:space="preserve">, </w:t>
      </w:r>
      <w:r w:rsidRPr="00EC5B9E">
        <w:rPr>
          <w:rFonts w:ascii="Calibri" w:hAnsi="Calibri" w:cs="Calibri"/>
          <w:color w:val="000000" w:themeColor="text1"/>
          <w:sz w:val="22"/>
          <w:szCs w:val="22"/>
          <w:shd w:val="clear" w:color="auto" w:fill="FFFFFF"/>
        </w:rPr>
        <w:t>aux </w:t>
      </w:r>
      <w:hyperlink r:id="rId2005" w:tooltip="Philippines" w:history="1">
        <w:r w:rsidRPr="00EC5B9E">
          <w:rPr>
            <w:rStyle w:val="Lienhypertexte"/>
            <w:rFonts w:ascii="Calibri" w:hAnsi="Calibri" w:cs="Calibri"/>
            <w:color w:val="0645AD"/>
            <w:sz w:val="22"/>
            <w:szCs w:val="22"/>
            <w:shd w:val="clear" w:color="auto" w:fill="FFFFFF"/>
          </w:rPr>
          <w:t>Philippines</w:t>
        </w:r>
      </w:hyperlink>
      <w:r w:rsidRPr="00EC5B9E">
        <w:rPr>
          <w:rFonts w:ascii="Calibri" w:hAnsi="Calibri" w:cs="Calibri"/>
          <w:color w:val="202122"/>
          <w:sz w:val="22"/>
          <w:szCs w:val="22"/>
          <w:shd w:val="clear" w:color="auto" w:fill="FFFFFF"/>
        </w:rPr>
        <w:t xml:space="preserve">, </w:t>
      </w:r>
      <w:r w:rsidRPr="00EC5B9E">
        <w:rPr>
          <w:rFonts w:ascii="Calibri" w:hAnsi="Calibri" w:cs="Calibri"/>
          <w:color w:val="000000" w:themeColor="text1"/>
          <w:sz w:val="22"/>
          <w:szCs w:val="22"/>
          <w:shd w:val="clear" w:color="auto" w:fill="FFFFFF"/>
        </w:rPr>
        <w:t>en </w:t>
      </w:r>
      <w:hyperlink r:id="rId2006" w:tooltip="Thaïlande" w:history="1">
        <w:r w:rsidRPr="00EC5B9E">
          <w:rPr>
            <w:rStyle w:val="Lienhypertexte"/>
            <w:rFonts w:ascii="Calibri" w:hAnsi="Calibri" w:cs="Calibri"/>
            <w:color w:val="0645AD"/>
            <w:sz w:val="22"/>
            <w:szCs w:val="22"/>
            <w:shd w:val="clear" w:color="auto" w:fill="FFFFFF"/>
          </w:rPr>
          <w:t>Thaïlande</w:t>
        </w:r>
      </w:hyperlink>
      <w:r w:rsidRPr="00EC5B9E">
        <w:rPr>
          <w:rFonts w:ascii="Calibri" w:hAnsi="Calibri" w:cs="Calibri"/>
          <w:color w:val="202122"/>
          <w:sz w:val="22"/>
          <w:szCs w:val="22"/>
          <w:shd w:val="clear" w:color="auto" w:fill="FFFFFF"/>
        </w:rPr>
        <w:t xml:space="preserve">, </w:t>
      </w:r>
      <w:r w:rsidRPr="00EC5B9E">
        <w:rPr>
          <w:rFonts w:ascii="Calibri" w:hAnsi="Calibri" w:cs="Calibri"/>
          <w:color w:val="000000" w:themeColor="text1"/>
          <w:sz w:val="22"/>
          <w:szCs w:val="22"/>
          <w:shd w:val="clear" w:color="auto" w:fill="FFFFFF"/>
        </w:rPr>
        <w:t>dans le </w:t>
      </w:r>
      <w:hyperlink r:id="rId2007" w:tooltip="Sud des États-Unis" w:history="1">
        <w:r w:rsidRPr="00EC5B9E">
          <w:rPr>
            <w:rStyle w:val="Lienhypertexte"/>
            <w:rFonts w:ascii="Calibri" w:hAnsi="Calibri" w:cs="Calibri"/>
            <w:color w:val="0645AD"/>
            <w:sz w:val="22"/>
            <w:szCs w:val="22"/>
            <w:shd w:val="clear" w:color="auto" w:fill="FFFFFF"/>
          </w:rPr>
          <w:t>sud des États-Unis</w:t>
        </w:r>
      </w:hyperlink>
      <w:r w:rsidRPr="00EC5B9E">
        <w:rPr>
          <w:rFonts w:ascii="Calibri" w:hAnsi="Calibri" w:cs="Calibri"/>
          <w:color w:val="202122"/>
          <w:sz w:val="22"/>
          <w:szCs w:val="22"/>
          <w:shd w:val="clear" w:color="auto" w:fill="FFFFFF"/>
        </w:rPr>
        <w:t xml:space="preserve">, </w:t>
      </w:r>
      <w:r w:rsidRPr="00EC5B9E">
        <w:rPr>
          <w:rFonts w:ascii="Calibri" w:hAnsi="Calibri" w:cs="Calibri"/>
          <w:color w:val="000000" w:themeColor="text1"/>
          <w:sz w:val="22"/>
          <w:szCs w:val="22"/>
          <w:shd w:val="clear" w:color="auto" w:fill="FFFFFF"/>
        </w:rPr>
        <w:t>en </w:t>
      </w:r>
      <w:hyperlink r:id="rId2008" w:tooltip="Afrique tropicale" w:history="1">
        <w:r w:rsidRPr="00EC5B9E">
          <w:rPr>
            <w:rStyle w:val="Lienhypertexte"/>
            <w:rFonts w:ascii="Calibri" w:hAnsi="Calibri" w:cs="Calibri"/>
            <w:color w:val="0645AD"/>
            <w:sz w:val="22"/>
            <w:szCs w:val="22"/>
            <w:shd w:val="clear" w:color="auto" w:fill="FFFFFF"/>
          </w:rPr>
          <w:t>Afrique tropicale</w:t>
        </w:r>
      </w:hyperlink>
      <w:r w:rsidRPr="00EC5B9E">
        <w:rPr>
          <w:rFonts w:ascii="Calibri" w:hAnsi="Calibri" w:cs="Calibri"/>
          <w:color w:val="202122"/>
          <w:sz w:val="22"/>
          <w:szCs w:val="22"/>
          <w:shd w:val="clear" w:color="auto" w:fill="FFFFFF"/>
        </w:rPr>
        <w:t> </w:t>
      </w:r>
      <w:r w:rsidRPr="00EC5B9E">
        <w:rPr>
          <w:rFonts w:ascii="Calibri" w:hAnsi="Calibri" w:cs="Calibri"/>
          <w:color w:val="000000" w:themeColor="text1"/>
          <w:sz w:val="22"/>
          <w:szCs w:val="22"/>
          <w:shd w:val="clear" w:color="auto" w:fill="FFFFFF"/>
        </w:rPr>
        <w:t>et en </w:t>
      </w:r>
      <w:hyperlink r:id="rId2009" w:tooltip="l'Amérique latine" w:history="1">
        <w:r w:rsidRPr="00EC5B9E">
          <w:rPr>
            <w:rStyle w:val="Lienhypertexte"/>
            <w:rFonts w:ascii="Calibri" w:hAnsi="Calibri" w:cs="Calibri"/>
            <w:color w:val="0645AD"/>
            <w:sz w:val="22"/>
            <w:szCs w:val="22"/>
            <w:shd w:val="clear" w:color="auto" w:fill="FFFFFF"/>
          </w:rPr>
          <w:t>Amérique latine</w:t>
        </w:r>
      </w:hyperlink>
      <w:r w:rsidRPr="00EC5B9E">
        <w:rPr>
          <w:rFonts w:ascii="Calibri" w:hAnsi="Calibri" w:cs="Calibri"/>
          <w:color w:val="202122"/>
          <w:sz w:val="22"/>
          <w:szCs w:val="22"/>
          <w:shd w:val="clear" w:color="auto" w:fill="FFFFFF"/>
        </w:rPr>
        <w:t xml:space="preserve">, </w:t>
      </w:r>
      <w:hyperlink r:id="rId2010" w:history="1">
        <w:r w:rsidRPr="00EC5B9E">
          <w:rPr>
            <w:rStyle w:val="Lienhypertexte"/>
            <w:rFonts w:ascii="Calibri" w:hAnsi="Calibri" w:cs="Calibri"/>
            <w:i/>
            <w:iCs/>
            <w:color w:val="0645AD"/>
            <w:sz w:val="22"/>
            <w:szCs w:val="22"/>
            <w:shd w:val="clear" w:color="auto" w:fill="FFFFFF"/>
          </w:rPr>
          <w:t>Helicoverpa armigera</w:t>
        </w:r>
      </w:hyperlink>
      <w:r w:rsidRPr="00EC5B9E">
        <w:rPr>
          <w:rFonts w:ascii="Calibri" w:hAnsi="Calibri" w:cs="Calibri"/>
          <w:color w:val="202122"/>
          <w:sz w:val="22"/>
          <w:szCs w:val="22"/>
          <w:shd w:val="clear" w:color="auto" w:fill="FFFFFF"/>
        </w:rPr>
        <w:t> </w:t>
      </w:r>
      <w:r w:rsidRPr="00EC5B9E">
        <w:rPr>
          <w:rFonts w:ascii="Calibri" w:hAnsi="Calibri" w:cs="Calibri"/>
          <w:color w:val="000000" w:themeColor="text1"/>
          <w:sz w:val="22"/>
          <w:szCs w:val="22"/>
          <w:shd w:val="clear" w:color="auto" w:fill="FFFFFF"/>
        </w:rPr>
        <w:t>(ver africain de la capsule), qui s’attaque au coton, au niébé, etc.</w:t>
      </w:r>
      <w:r w:rsidR="001A26A0">
        <w:rPr>
          <w:rFonts w:ascii="Calibri" w:hAnsi="Calibri" w:cs="Calibri"/>
          <w:color w:val="000000" w:themeColor="text1"/>
          <w:sz w:val="22"/>
          <w:szCs w:val="22"/>
          <w:shd w:val="clear" w:color="auto" w:fill="FFFFFF"/>
        </w:rPr>
        <w:t xml:space="preserve"> </w:t>
      </w:r>
      <w:r w:rsidR="001A26A0" w:rsidRPr="001A26A0">
        <w:rPr>
          <w:rFonts w:ascii="Calibri" w:hAnsi="Calibri" w:cs="Calibri"/>
          <w:color w:val="000000" w:themeColor="text1"/>
          <w:sz w:val="22"/>
          <w:szCs w:val="22"/>
          <w:shd w:val="clear" w:color="auto" w:fill="FFFFFF"/>
        </w:rPr>
        <w:t xml:space="preserve">Les infestations graves de </w:t>
      </w:r>
      <w:r w:rsidR="001A26A0" w:rsidRPr="001A26A0">
        <w:rPr>
          <w:rFonts w:ascii="Calibri" w:hAnsi="Calibri" w:cs="Calibri"/>
          <w:i/>
          <w:iCs/>
          <w:color w:val="000000" w:themeColor="text1"/>
          <w:sz w:val="22"/>
          <w:szCs w:val="22"/>
          <w:shd w:val="clear" w:color="auto" w:fill="FFFFFF"/>
        </w:rPr>
        <w:t>C. maculatus</w:t>
      </w:r>
      <w:r w:rsidR="001A26A0" w:rsidRPr="001A26A0">
        <w:rPr>
          <w:rFonts w:ascii="Calibri" w:hAnsi="Calibri" w:cs="Calibri"/>
          <w:color w:val="000000" w:themeColor="text1"/>
          <w:sz w:val="22"/>
          <w:szCs w:val="22"/>
          <w:shd w:val="clear" w:color="auto" w:fill="FFFFFF"/>
        </w:rPr>
        <w:t xml:space="preserve"> peuvent affecter 100 % des pois stockés et causer jusqu'à 60 % de pertes en quelques mois.</w:t>
      </w:r>
      <w:r w:rsidR="001A26A0">
        <w:rPr>
          <w:rFonts w:ascii="Calibri" w:hAnsi="Calibri" w:cs="Calibri"/>
          <w:color w:val="000000" w:themeColor="text1"/>
          <w:sz w:val="22"/>
          <w:szCs w:val="22"/>
          <w:shd w:val="clear" w:color="auto" w:fill="FFFFFF"/>
        </w:rPr>
        <w:t xml:space="preserve"> </w:t>
      </w:r>
      <w:r w:rsidR="001A26A0" w:rsidRPr="001A26A0">
        <w:rPr>
          <w:rFonts w:ascii="Calibri" w:hAnsi="Calibri" w:cs="Calibri"/>
          <w:color w:val="000000" w:themeColor="text1"/>
          <w:sz w:val="22"/>
          <w:szCs w:val="22"/>
          <w:shd w:val="clear" w:color="auto" w:fill="FFFFFF"/>
        </w:rPr>
        <w:t>Le niébé est sensible aux </w:t>
      </w:r>
      <w:hyperlink r:id="rId2011" w:tooltip="Nématode" w:history="1">
        <w:r w:rsidR="001A26A0" w:rsidRPr="001A26A0">
          <w:rPr>
            <w:rStyle w:val="Lienhypertexte"/>
            <w:rFonts w:ascii="Calibri" w:hAnsi="Calibri" w:cs="Calibri"/>
            <w:color w:val="0645AD"/>
            <w:sz w:val="22"/>
            <w:szCs w:val="22"/>
            <w:shd w:val="clear" w:color="auto" w:fill="FFFFFF"/>
          </w:rPr>
          <w:t>nématodes</w:t>
        </w:r>
      </w:hyperlink>
      <w:r w:rsidR="001A26A0" w:rsidRPr="001A26A0">
        <w:rPr>
          <w:rFonts w:ascii="Calibri" w:hAnsi="Calibri" w:cs="Calibri"/>
          <w:color w:val="202122"/>
          <w:sz w:val="22"/>
          <w:szCs w:val="22"/>
          <w:shd w:val="clear" w:color="auto" w:fill="FFFFFF"/>
        </w:rPr>
        <w:t xml:space="preserve">, </w:t>
      </w:r>
      <w:r w:rsidR="001A26A0" w:rsidRPr="001A26A0">
        <w:rPr>
          <w:rFonts w:ascii="Calibri" w:hAnsi="Calibri" w:cs="Calibri"/>
          <w:color w:val="000000" w:themeColor="text1"/>
          <w:sz w:val="22"/>
          <w:szCs w:val="22"/>
          <w:shd w:val="clear" w:color="auto" w:fill="FFFFFF"/>
        </w:rPr>
        <w:t xml:space="preserve">aux maladies fongiques </w:t>
      </w:r>
      <w:r w:rsidR="001A26A0" w:rsidRPr="001A26A0">
        <w:rPr>
          <w:rFonts w:ascii="Calibri" w:hAnsi="Calibri" w:cs="Calibri"/>
          <w:color w:val="202122"/>
          <w:sz w:val="22"/>
          <w:szCs w:val="22"/>
          <w:shd w:val="clear" w:color="auto" w:fill="FFFFFF"/>
        </w:rPr>
        <w:t>(</w:t>
      </w:r>
      <w:hyperlink r:id="rId2012" w:tooltip="Fléau" w:history="1">
        <w:r w:rsidR="001A26A0" w:rsidRPr="001A26A0">
          <w:rPr>
            <w:rStyle w:val="Lienhypertexte"/>
            <w:rFonts w:ascii="Calibri" w:hAnsi="Calibri" w:cs="Calibri"/>
            <w:color w:val="0645AD"/>
            <w:sz w:val="22"/>
            <w:szCs w:val="22"/>
            <w:shd w:val="clear" w:color="auto" w:fill="FFFFFF"/>
          </w:rPr>
          <w:t>brûlures</w:t>
        </w:r>
      </w:hyperlink>
      <w:r w:rsidR="001A26A0" w:rsidRPr="001A26A0">
        <w:rPr>
          <w:rFonts w:ascii="Calibri" w:hAnsi="Calibri" w:cs="Calibri"/>
          <w:color w:val="202122"/>
          <w:sz w:val="22"/>
          <w:szCs w:val="22"/>
          <w:shd w:val="clear" w:color="auto" w:fill="FFFFFF"/>
        </w:rPr>
        <w:t xml:space="preserve">, </w:t>
      </w:r>
      <w:r w:rsidR="001A26A0" w:rsidRPr="001A26A0">
        <w:rPr>
          <w:rFonts w:ascii="Calibri" w:hAnsi="Calibri" w:cs="Calibri"/>
          <w:color w:val="000000" w:themeColor="text1"/>
          <w:sz w:val="22"/>
          <w:szCs w:val="22"/>
          <w:shd w:val="clear" w:color="auto" w:fill="FFFFFF"/>
        </w:rPr>
        <w:t>pourriture des racines, flétrissement, </w:t>
      </w:r>
      <w:hyperlink r:id="rId2013" w:tooltip="Oïdium" w:history="1">
        <w:r w:rsidR="001A26A0" w:rsidRPr="001A26A0">
          <w:rPr>
            <w:rStyle w:val="Lienhypertexte"/>
            <w:rFonts w:ascii="Calibri" w:hAnsi="Calibri" w:cs="Calibri"/>
            <w:color w:val="0645AD"/>
            <w:sz w:val="22"/>
            <w:szCs w:val="22"/>
            <w:shd w:val="clear" w:color="auto" w:fill="FFFFFF"/>
          </w:rPr>
          <w:t>oïdium</w:t>
        </w:r>
      </w:hyperlink>
      <w:r w:rsidR="001A26A0" w:rsidRPr="001A26A0">
        <w:rPr>
          <w:rFonts w:ascii="Calibri" w:hAnsi="Calibri" w:cs="Calibri"/>
          <w:color w:val="202122"/>
          <w:sz w:val="22"/>
          <w:szCs w:val="22"/>
          <w:shd w:val="clear" w:color="auto" w:fill="FFFFFF"/>
        </w:rPr>
        <w:t xml:space="preserve">, </w:t>
      </w:r>
      <w:r w:rsidR="001A26A0" w:rsidRPr="001A26A0">
        <w:rPr>
          <w:rFonts w:ascii="Calibri" w:hAnsi="Calibri" w:cs="Calibri"/>
          <w:color w:val="000000" w:themeColor="text1"/>
          <w:sz w:val="22"/>
          <w:szCs w:val="22"/>
          <w:shd w:val="clear" w:color="auto" w:fill="FFFFFF"/>
        </w:rPr>
        <w:t xml:space="preserve">nœud racinaire, </w:t>
      </w:r>
      <w:hyperlink r:id="rId2014" w:tooltip="Rouille (champignon)" w:history="1">
        <w:r w:rsidR="001A26A0" w:rsidRPr="001A26A0">
          <w:rPr>
            <w:rStyle w:val="Lienhypertexte"/>
            <w:rFonts w:ascii="Calibri" w:hAnsi="Calibri" w:cs="Calibri"/>
            <w:color w:val="0645AD"/>
            <w:sz w:val="22"/>
            <w:szCs w:val="22"/>
            <w:shd w:val="clear" w:color="auto" w:fill="FFFFFF"/>
          </w:rPr>
          <w:t>rouille</w:t>
        </w:r>
      </w:hyperlink>
      <w:r w:rsidR="001A26A0" w:rsidRPr="001A26A0">
        <w:rPr>
          <w:rFonts w:ascii="Calibri" w:hAnsi="Calibri" w:cs="Calibri"/>
          <w:color w:val="202122"/>
          <w:sz w:val="22"/>
          <w:szCs w:val="22"/>
          <w:shd w:val="clear" w:color="auto" w:fill="FFFFFF"/>
        </w:rPr>
        <w:t> </w:t>
      </w:r>
      <w:r w:rsidR="001A26A0" w:rsidRPr="001A26A0">
        <w:rPr>
          <w:rFonts w:ascii="Calibri" w:hAnsi="Calibri" w:cs="Calibri"/>
          <w:color w:val="000000" w:themeColor="text1"/>
          <w:sz w:val="22"/>
          <w:szCs w:val="22"/>
          <w:shd w:val="clear" w:color="auto" w:fill="FFFFFF"/>
        </w:rPr>
        <w:t>et </w:t>
      </w:r>
      <w:hyperlink r:id="rId2015" w:tooltip="Tache des feuilles" w:history="1">
        <w:r w:rsidR="001A26A0" w:rsidRPr="001A26A0">
          <w:rPr>
            <w:rStyle w:val="Lienhypertexte"/>
            <w:rFonts w:ascii="Calibri" w:hAnsi="Calibri" w:cs="Calibri"/>
            <w:color w:val="0645AD"/>
            <w:sz w:val="22"/>
            <w:szCs w:val="22"/>
            <w:shd w:val="clear" w:color="auto" w:fill="FFFFFF"/>
          </w:rPr>
          <w:t>tache foliaire</w:t>
        </w:r>
      </w:hyperlink>
      <w:r w:rsidR="001A26A0" w:rsidRPr="001A26A0">
        <w:rPr>
          <w:rFonts w:ascii="Calibri" w:hAnsi="Calibri" w:cs="Calibri"/>
          <w:color w:val="202122"/>
          <w:sz w:val="22"/>
          <w:szCs w:val="22"/>
          <w:shd w:val="clear" w:color="auto" w:fill="FFFFFF"/>
        </w:rPr>
        <w:t xml:space="preserve">), </w:t>
      </w:r>
      <w:r w:rsidR="001A26A0" w:rsidRPr="001A26A0">
        <w:rPr>
          <w:rFonts w:ascii="Calibri" w:hAnsi="Calibri" w:cs="Calibri"/>
          <w:color w:val="000000" w:themeColor="text1"/>
          <w:sz w:val="22"/>
          <w:szCs w:val="22"/>
          <w:shd w:val="clear" w:color="auto" w:fill="FFFFFF"/>
        </w:rPr>
        <w:t>bactériennes et virales, ce qui peut entraîner une perte substantielle de rendement.</w:t>
      </w:r>
    </w:p>
    <w:p w14:paraId="474679D3" w14:textId="1D57508D" w:rsidR="00EC5B9E" w:rsidRDefault="00EC5B9E" w:rsidP="00EC5B9E">
      <w:pPr>
        <w:pStyle w:val="NormalWeb"/>
        <w:shd w:val="clear" w:color="auto" w:fill="FFFFFF"/>
        <w:spacing w:before="0" w:beforeAutospacing="0" w:after="0" w:afterAutospacing="0"/>
        <w:jc w:val="both"/>
        <w:rPr>
          <w:rFonts w:ascii="Calibri" w:hAnsi="Calibri" w:cs="Calibri"/>
          <w:color w:val="000000" w:themeColor="text1"/>
          <w:sz w:val="22"/>
          <w:szCs w:val="22"/>
          <w:shd w:val="clear" w:color="auto" w:fill="FFFFFF"/>
        </w:rPr>
      </w:pPr>
      <w:r w:rsidRPr="001A26A0">
        <w:rPr>
          <w:rFonts w:ascii="Calibri" w:hAnsi="Calibri" w:cs="Calibri"/>
          <w:i/>
          <w:iCs/>
          <w:color w:val="000000" w:themeColor="text1"/>
          <w:sz w:val="22"/>
          <w:szCs w:val="22"/>
          <w:shd w:val="clear" w:color="auto" w:fill="FFFFFF"/>
        </w:rPr>
        <w:t>Moyens de lutte</w:t>
      </w:r>
      <w:r w:rsidRPr="001A26A0">
        <w:rPr>
          <w:rFonts w:ascii="Calibri" w:hAnsi="Calibri" w:cs="Calibri"/>
          <w:color w:val="000000" w:themeColor="text1"/>
          <w:sz w:val="22"/>
          <w:szCs w:val="22"/>
          <w:shd w:val="clear" w:color="auto" w:fill="FFFFFF"/>
        </w:rPr>
        <w:t xml:space="preserve"> : </w:t>
      </w:r>
      <w:hyperlink r:id="rId2016" w:history="1">
        <w:r w:rsidRPr="001A26A0">
          <w:rPr>
            <w:rStyle w:val="Lienhypertexte"/>
            <w:rFonts w:ascii="Calibri" w:hAnsi="Calibri" w:cs="Calibri"/>
            <w:color w:val="0645AD"/>
            <w:sz w:val="22"/>
            <w:szCs w:val="22"/>
            <w:shd w:val="clear" w:color="auto" w:fill="FFFFFF"/>
          </w:rPr>
          <w:t>Le contrôle biologique</w:t>
        </w:r>
      </w:hyperlink>
      <w:r w:rsidRPr="001A26A0">
        <w:rPr>
          <w:rFonts w:ascii="Calibri" w:hAnsi="Calibri" w:cs="Calibri"/>
          <w:color w:val="202122"/>
          <w:sz w:val="22"/>
          <w:szCs w:val="22"/>
          <w:shd w:val="clear" w:color="auto" w:fill="FFFFFF"/>
        </w:rPr>
        <w:t> </w:t>
      </w:r>
      <w:r w:rsidRPr="001A26A0">
        <w:rPr>
          <w:rFonts w:ascii="Calibri" w:hAnsi="Calibri" w:cs="Calibri"/>
          <w:color w:val="000000" w:themeColor="text1"/>
          <w:sz w:val="22"/>
          <w:szCs w:val="22"/>
          <w:shd w:val="clear" w:color="auto" w:fill="FFFFFF"/>
        </w:rPr>
        <w:t>a eu un succès limité, donc la plupart des méthodes préventives reposent sur l'utilisation de</w:t>
      </w:r>
      <w:r w:rsidRPr="001A26A0">
        <w:rPr>
          <w:rFonts w:ascii="Calibri" w:hAnsi="Calibri" w:cs="Calibri"/>
          <w:color w:val="202122"/>
          <w:sz w:val="22"/>
          <w:szCs w:val="22"/>
          <w:shd w:val="clear" w:color="auto" w:fill="FFFFFF"/>
        </w:rPr>
        <w:t> </w:t>
      </w:r>
      <w:hyperlink r:id="rId2017" w:tooltip="Agrochimique" w:history="1">
        <w:r w:rsidRPr="001A26A0">
          <w:rPr>
            <w:rStyle w:val="Lienhypertexte"/>
            <w:rFonts w:ascii="Calibri" w:hAnsi="Calibri" w:cs="Calibri"/>
            <w:color w:val="0645AD"/>
            <w:sz w:val="22"/>
            <w:szCs w:val="22"/>
            <w:shd w:val="clear" w:color="auto" w:fill="FFFFFF"/>
          </w:rPr>
          <w:t>produits agrochimiques</w:t>
        </w:r>
      </w:hyperlink>
      <w:r w:rsidRPr="001A26A0">
        <w:rPr>
          <w:rFonts w:ascii="Calibri" w:hAnsi="Calibri" w:cs="Calibri"/>
          <w:color w:val="202122"/>
          <w:sz w:val="22"/>
          <w:szCs w:val="22"/>
          <w:shd w:val="clear" w:color="auto" w:fill="FFFFFF"/>
        </w:rPr>
        <w:t xml:space="preserve"> (phytosanitaires). </w:t>
      </w:r>
      <w:r w:rsidRPr="001A26A0">
        <w:rPr>
          <w:rFonts w:ascii="Calibri" w:hAnsi="Calibri" w:cs="Calibri"/>
          <w:color w:val="000000" w:themeColor="text1"/>
          <w:sz w:val="22"/>
          <w:szCs w:val="22"/>
          <w:shd w:val="clear" w:color="auto" w:fill="FFFFFF"/>
        </w:rPr>
        <w:t>Des niébés </w:t>
      </w:r>
      <w:hyperlink r:id="rId2018" w:tooltip="Cultures génétiquement modifiées" w:history="1">
        <w:r w:rsidRPr="001A26A0">
          <w:rPr>
            <w:rStyle w:val="Lienhypertexte"/>
            <w:rFonts w:ascii="Calibri" w:hAnsi="Calibri" w:cs="Calibri"/>
            <w:color w:val="0645AD"/>
            <w:sz w:val="22"/>
            <w:szCs w:val="22"/>
            <w:shd w:val="clear" w:color="auto" w:fill="FFFFFF"/>
          </w:rPr>
          <w:t>génétiquement modifiés</w:t>
        </w:r>
      </w:hyperlink>
      <w:r w:rsidRPr="001A26A0">
        <w:rPr>
          <w:rFonts w:ascii="Calibri" w:hAnsi="Calibri" w:cs="Calibri"/>
          <w:color w:val="202122"/>
          <w:sz w:val="22"/>
          <w:szCs w:val="22"/>
          <w:shd w:val="clear" w:color="auto" w:fill="FFFFFF"/>
        </w:rPr>
        <w:t> </w:t>
      </w:r>
      <w:r w:rsidRPr="001A26A0">
        <w:rPr>
          <w:rFonts w:ascii="Calibri" w:hAnsi="Calibri" w:cs="Calibri"/>
          <w:color w:val="000000" w:themeColor="text1"/>
          <w:sz w:val="22"/>
          <w:szCs w:val="22"/>
          <w:shd w:val="clear" w:color="auto" w:fill="FFFFFF"/>
        </w:rPr>
        <w:t>sont en cours de développement pour exprimer la</w:t>
      </w:r>
      <w:r w:rsidRPr="001A26A0">
        <w:rPr>
          <w:rFonts w:ascii="Calibri" w:hAnsi="Calibri" w:cs="Calibri"/>
          <w:color w:val="202122"/>
          <w:sz w:val="22"/>
          <w:szCs w:val="22"/>
          <w:shd w:val="clear" w:color="auto" w:fill="FFFFFF"/>
        </w:rPr>
        <w:t> </w:t>
      </w:r>
      <w:hyperlink r:id="rId2019" w:tooltip="Cry toxine" w:history="1">
        <w:r w:rsidRPr="001A26A0">
          <w:rPr>
            <w:rStyle w:val="Lienhypertexte"/>
            <w:rFonts w:ascii="Calibri" w:hAnsi="Calibri" w:cs="Calibri"/>
            <w:color w:val="0645AD"/>
            <w:sz w:val="22"/>
            <w:szCs w:val="22"/>
            <w:shd w:val="clear" w:color="auto" w:fill="FFFFFF"/>
          </w:rPr>
          <w:t>protéine cry</w:t>
        </w:r>
      </w:hyperlink>
      <w:r w:rsidRPr="001A26A0">
        <w:rPr>
          <w:rFonts w:ascii="Calibri" w:hAnsi="Calibri" w:cs="Calibri"/>
          <w:color w:val="202122"/>
          <w:sz w:val="22"/>
          <w:szCs w:val="22"/>
          <w:shd w:val="clear" w:color="auto" w:fill="FFFFFF"/>
        </w:rPr>
        <w:t> de </w:t>
      </w:r>
      <w:hyperlink r:id="rId2020" w:tooltip="Bacillus thuringiensis" w:history="1">
        <w:r w:rsidRPr="001A26A0">
          <w:rPr>
            <w:rStyle w:val="Lienhypertexte"/>
            <w:rFonts w:ascii="Calibri" w:hAnsi="Calibri" w:cs="Calibri"/>
            <w:i/>
            <w:iCs/>
            <w:color w:val="0645AD"/>
            <w:sz w:val="22"/>
            <w:szCs w:val="22"/>
            <w:shd w:val="clear" w:color="auto" w:fill="FFFFFF"/>
          </w:rPr>
          <w:t>Bacillus thuringiensis</w:t>
        </w:r>
      </w:hyperlink>
      <w:r w:rsidRPr="001A26A0">
        <w:rPr>
          <w:rFonts w:ascii="Calibri" w:hAnsi="Calibri" w:cs="Calibri"/>
          <w:color w:val="202122"/>
          <w:sz w:val="22"/>
          <w:szCs w:val="22"/>
          <w:shd w:val="clear" w:color="auto" w:fill="FFFFFF"/>
        </w:rPr>
        <w:t xml:space="preserve"> , </w:t>
      </w:r>
      <w:r w:rsidRPr="001A26A0">
        <w:rPr>
          <w:rFonts w:ascii="Calibri" w:hAnsi="Calibri" w:cs="Calibri"/>
          <w:i/>
          <w:iCs/>
          <w:color w:val="202122"/>
          <w:sz w:val="22"/>
          <w:szCs w:val="22"/>
          <w:shd w:val="clear" w:color="auto" w:fill="FFFFFF"/>
        </w:rPr>
        <w:t>qui est toxique pour</w:t>
      </w:r>
      <w:r w:rsidR="001A26A0" w:rsidRPr="001A26A0">
        <w:rPr>
          <w:rFonts w:ascii="Calibri" w:hAnsi="Calibri" w:cs="Calibri"/>
          <w:i/>
          <w:iCs/>
          <w:color w:val="202122"/>
          <w:sz w:val="22"/>
          <w:szCs w:val="22"/>
          <w:shd w:val="clear" w:color="auto" w:fill="FFFFFF"/>
        </w:rPr>
        <w:t xml:space="preserve"> les </w:t>
      </w:r>
      <w:r w:rsidRPr="001A26A0">
        <w:rPr>
          <w:rFonts w:ascii="Calibri" w:hAnsi="Calibri" w:cs="Calibri"/>
          <w:i/>
          <w:iCs/>
          <w:color w:val="202122"/>
          <w:sz w:val="22"/>
          <w:szCs w:val="22"/>
          <w:shd w:val="clear" w:color="auto" w:fill="FFFFFF"/>
        </w:rPr>
        <w:t>espèces de</w:t>
      </w:r>
      <w:r w:rsidRPr="001A26A0">
        <w:rPr>
          <w:rFonts w:ascii="Calibri" w:hAnsi="Calibri" w:cs="Calibri"/>
          <w:color w:val="202122"/>
          <w:sz w:val="22"/>
          <w:szCs w:val="22"/>
          <w:shd w:val="clear" w:color="auto" w:fill="FFFFFF"/>
        </w:rPr>
        <w:t> </w:t>
      </w:r>
      <w:hyperlink r:id="rId2021" w:tooltip="Lépidoptères" w:history="1">
        <w:r w:rsidRPr="001A26A0">
          <w:rPr>
            <w:rStyle w:val="Lienhypertexte"/>
            <w:rFonts w:ascii="Calibri" w:hAnsi="Calibri" w:cs="Calibri"/>
            <w:color w:val="0645AD"/>
            <w:sz w:val="22"/>
            <w:szCs w:val="22"/>
            <w:shd w:val="clear" w:color="auto" w:fill="FFFFFF"/>
          </w:rPr>
          <w:t>lépidoptères</w:t>
        </w:r>
      </w:hyperlink>
      <w:r w:rsidRPr="001A26A0">
        <w:rPr>
          <w:rFonts w:ascii="Calibri" w:hAnsi="Calibri" w:cs="Calibri"/>
          <w:color w:val="202122"/>
          <w:sz w:val="22"/>
          <w:szCs w:val="22"/>
          <w:shd w:val="clear" w:color="auto" w:fill="FFFFFF"/>
        </w:rPr>
        <w:t> </w:t>
      </w:r>
      <w:r w:rsidRPr="001A26A0">
        <w:rPr>
          <w:rFonts w:ascii="Calibri" w:hAnsi="Calibri" w:cs="Calibri"/>
          <w:color w:val="000000" w:themeColor="text1"/>
          <w:sz w:val="22"/>
          <w:szCs w:val="22"/>
          <w:shd w:val="clear" w:color="auto" w:fill="FFFFFF"/>
        </w:rPr>
        <w:t xml:space="preserve">dont le </w:t>
      </w:r>
      <w:r w:rsidR="001A26A0" w:rsidRPr="001A26A0">
        <w:rPr>
          <w:rFonts w:ascii="Calibri" w:hAnsi="Calibri" w:cs="Calibri"/>
          <w:i/>
          <w:iCs/>
          <w:color w:val="000000" w:themeColor="text1"/>
          <w:sz w:val="22"/>
          <w:szCs w:val="22"/>
          <w:shd w:val="clear" w:color="auto" w:fill="FFFFFF"/>
        </w:rPr>
        <w:t>M</w:t>
      </w:r>
      <w:r w:rsidRPr="001A26A0">
        <w:rPr>
          <w:rFonts w:ascii="Calibri" w:hAnsi="Calibri" w:cs="Calibri"/>
          <w:i/>
          <w:iCs/>
          <w:color w:val="000000" w:themeColor="text1"/>
          <w:sz w:val="22"/>
          <w:szCs w:val="22"/>
          <w:shd w:val="clear" w:color="auto" w:fill="FFFFFF"/>
        </w:rPr>
        <w:t>aruca</w:t>
      </w:r>
      <w:r w:rsidRPr="001A26A0">
        <w:rPr>
          <w:rFonts w:ascii="Calibri" w:hAnsi="Calibri" w:cs="Calibri"/>
          <w:color w:val="000000" w:themeColor="text1"/>
          <w:sz w:val="22"/>
          <w:szCs w:val="22"/>
          <w:shd w:val="clear" w:color="auto" w:fill="FFFFFF"/>
        </w:rPr>
        <w:t xml:space="preserve">. </w:t>
      </w:r>
    </w:p>
    <w:p w14:paraId="39BA0298" w14:textId="7614805A" w:rsidR="001A26A0" w:rsidRPr="00B4520A" w:rsidRDefault="001A26A0" w:rsidP="00EC5B9E">
      <w:pPr>
        <w:pStyle w:val="NormalWeb"/>
        <w:shd w:val="clear" w:color="auto" w:fill="FFFFFF"/>
        <w:spacing w:before="0" w:beforeAutospacing="0" w:after="0" w:afterAutospacing="0"/>
        <w:jc w:val="both"/>
        <w:rPr>
          <w:rFonts w:ascii="Calibri" w:hAnsi="Calibri" w:cs="Calibri"/>
          <w:color w:val="000000" w:themeColor="text1"/>
          <w:sz w:val="22"/>
          <w:szCs w:val="22"/>
          <w:shd w:val="clear" w:color="auto" w:fill="F8F9FA"/>
        </w:rPr>
      </w:pPr>
      <w:r w:rsidRPr="001A26A0">
        <w:rPr>
          <w:rFonts w:ascii="Calibri" w:hAnsi="Calibri" w:cs="Calibri"/>
          <w:color w:val="000000" w:themeColor="text1"/>
          <w:sz w:val="22"/>
          <w:szCs w:val="22"/>
          <w:shd w:val="clear" w:color="auto" w:fill="F8F9FA"/>
        </w:rPr>
        <w:t>La sécheresse abaisse le taux de croissance et le développement, réduisant finalement le rendement, bien que le niébé soit considéré comme plus tolérant à la sécheresse que la plupart des autres culture.</w:t>
      </w:r>
      <w:r>
        <w:rPr>
          <w:rFonts w:ascii="Calibri" w:hAnsi="Calibri" w:cs="Calibri"/>
          <w:color w:val="000000" w:themeColor="text1"/>
          <w:sz w:val="22"/>
          <w:szCs w:val="22"/>
          <w:shd w:val="clear" w:color="auto" w:fill="F8F9FA"/>
        </w:rPr>
        <w:t xml:space="preserve"> </w:t>
      </w:r>
      <w:r w:rsidRPr="001A26A0">
        <w:rPr>
          <w:rFonts w:ascii="Calibri" w:hAnsi="Calibri" w:cs="Calibri"/>
          <w:color w:val="000000" w:themeColor="text1"/>
          <w:sz w:val="22"/>
          <w:szCs w:val="22"/>
          <w:shd w:val="clear" w:color="auto" w:fill="F8F9FA"/>
        </w:rPr>
        <w:t>L’</w:t>
      </w:r>
      <w:hyperlink r:id="rId2022" w:tooltip="Institut international d'agriculture tropicale" w:history="1">
        <w:r w:rsidRPr="001A26A0">
          <w:rPr>
            <w:rStyle w:val="Lienhypertexte"/>
            <w:rFonts w:ascii="Calibri" w:hAnsi="Calibri" w:cs="Calibri"/>
            <w:color w:val="0645AD"/>
            <w:sz w:val="22"/>
            <w:szCs w:val="22"/>
            <w:shd w:val="clear" w:color="auto" w:fill="FFFFFF"/>
          </w:rPr>
          <w:t>Institut international d'agriculture tropicale</w:t>
        </w:r>
      </w:hyperlink>
      <w:r>
        <w:rPr>
          <w:rFonts w:ascii="Calibri" w:hAnsi="Calibri" w:cs="Calibri"/>
          <w:sz w:val="22"/>
          <w:szCs w:val="22"/>
        </w:rPr>
        <w:t xml:space="preserve"> </w:t>
      </w:r>
      <w:r w:rsidRPr="001A26A0">
        <w:rPr>
          <w:rFonts w:ascii="Calibri" w:hAnsi="Calibri" w:cs="Calibri"/>
          <w:color w:val="000000" w:themeColor="text1"/>
          <w:sz w:val="22"/>
          <w:szCs w:val="22"/>
          <w:shd w:val="clear" w:color="auto" w:fill="FFFFFF"/>
        </w:rPr>
        <w:t>(IITA), le Nigeria et l'Institut de l'Environnement et de Recherches Agricoles travaillent sur des espèces sauvages apparentées au niébé pour exploiter la diversité génétique et la transférer dans des cultivars afin de les rendre plus tolérants à différents stress et adaptatifs au changement climatique.</w:t>
      </w:r>
      <w:r w:rsidR="00B4520A">
        <w:rPr>
          <w:rFonts w:ascii="Calibri" w:hAnsi="Calibri" w:cs="Calibri"/>
          <w:color w:val="000000" w:themeColor="text1"/>
          <w:sz w:val="22"/>
          <w:szCs w:val="22"/>
          <w:shd w:val="clear" w:color="auto" w:fill="FFFFFF"/>
        </w:rPr>
        <w:t xml:space="preserve"> </w:t>
      </w:r>
      <w:r w:rsidR="00B4520A" w:rsidRPr="00B4520A">
        <w:rPr>
          <w:rFonts w:ascii="Calibri" w:hAnsi="Calibri" w:cs="Calibri"/>
          <w:color w:val="000000" w:themeColor="text1"/>
          <w:sz w:val="22"/>
          <w:szCs w:val="22"/>
          <w:shd w:val="clear" w:color="auto" w:fill="FFFFFF"/>
        </w:rPr>
        <w:t>Le Programme de productivité agricole en Afrique de l’Ouest (PPAAO) de la</w:t>
      </w:r>
      <w:r w:rsidR="00B4520A" w:rsidRPr="00B4520A">
        <w:rPr>
          <w:rFonts w:ascii="Calibri" w:hAnsi="Calibri" w:cs="Calibri"/>
          <w:color w:val="202122"/>
          <w:sz w:val="22"/>
          <w:szCs w:val="22"/>
          <w:shd w:val="clear" w:color="auto" w:fill="FFFFFF"/>
        </w:rPr>
        <w:t> </w:t>
      </w:r>
      <w:hyperlink r:id="rId2023" w:tooltip="Banque mondiale" w:history="1">
        <w:r w:rsidR="00B4520A" w:rsidRPr="00B4520A">
          <w:rPr>
            <w:rStyle w:val="Lienhypertexte"/>
            <w:rFonts w:ascii="Calibri" w:hAnsi="Calibri" w:cs="Calibri"/>
            <w:color w:val="0645AD"/>
            <w:sz w:val="22"/>
            <w:szCs w:val="22"/>
            <w:shd w:val="clear" w:color="auto" w:fill="FFFFFF"/>
          </w:rPr>
          <w:t>Banque mondiale</w:t>
        </w:r>
      </w:hyperlink>
      <w:r w:rsidR="00B4520A" w:rsidRPr="00B4520A">
        <w:rPr>
          <w:rFonts w:ascii="Calibri" w:hAnsi="Calibri" w:cs="Calibri"/>
          <w:color w:val="202122"/>
          <w:sz w:val="22"/>
          <w:szCs w:val="22"/>
          <w:shd w:val="clear" w:color="auto" w:fill="FFFFFF"/>
        </w:rPr>
        <w:t xml:space="preserve"> a </w:t>
      </w:r>
      <w:r w:rsidR="00B4520A" w:rsidRPr="00B4520A">
        <w:rPr>
          <w:rFonts w:ascii="Calibri" w:hAnsi="Calibri" w:cs="Calibri"/>
          <w:color w:val="000000" w:themeColor="text1"/>
          <w:sz w:val="22"/>
          <w:szCs w:val="22"/>
          <w:shd w:val="clear" w:color="auto" w:fill="FFFFFF"/>
        </w:rPr>
        <w:t>soutenu la recherche agricole au service d’une agriculture climato-intelligente, contribuant à la mise au point de 14 nouvelles variétés de </w:t>
      </w:r>
      <w:hyperlink r:id="rId2024" w:tooltip="Millet (graminée)" w:history="1">
        <w:r w:rsidR="00B4520A" w:rsidRPr="00B4520A">
          <w:rPr>
            <w:rStyle w:val="Lienhypertexte"/>
            <w:rFonts w:ascii="Calibri" w:hAnsi="Calibri" w:cs="Calibri"/>
            <w:color w:val="0645AD"/>
            <w:sz w:val="22"/>
            <w:szCs w:val="22"/>
            <w:shd w:val="clear" w:color="auto" w:fill="FFFFFF"/>
          </w:rPr>
          <w:t>millet</w:t>
        </w:r>
      </w:hyperlink>
      <w:r w:rsidR="00B4520A" w:rsidRPr="00B4520A">
        <w:rPr>
          <w:rFonts w:ascii="Calibri" w:hAnsi="Calibri" w:cs="Calibri"/>
          <w:color w:val="202122"/>
          <w:sz w:val="22"/>
          <w:szCs w:val="22"/>
          <w:shd w:val="clear" w:color="auto" w:fill="FFFFFF"/>
        </w:rPr>
        <w:t xml:space="preserve">, </w:t>
      </w:r>
      <w:r w:rsidR="00B4520A" w:rsidRPr="00B4520A">
        <w:rPr>
          <w:rFonts w:ascii="Calibri" w:hAnsi="Calibri" w:cs="Calibri"/>
          <w:color w:val="000000" w:themeColor="text1"/>
          <w:sz w:val="22"/>
          <w:szCs w:val="22"/>
          <w:shd w:val="clear" w:color="auto" w:fill="FFFFFF"/>
        </w:rPr>
        <w:t>de</w:t>
      </w:r>
      <w:r w:rsidR="00B4520A" w:rsidRPr="00B4520A">
        <w:rPr>
          <w:rFonts w:ascii="Calibri" w:hAnsi="Calibri" w:cs="Calibri"/>
          <w:color w:val="202122"/>
          <w:sz w:val="22"/>
          <w:szCs w:val="22"/>
          <w:shd w:val="clear" w:color="auto" w:fill="FFFFFF"/>
        </w:rPr>
        <w:t> </w:t>
      </w:r>
      <w:hyperlink r:id="rId2025" w:tooltip="Sorgo commun" w:history="1">
        <w:r w:rsidR="00B4520A" w:rsidRPr="00B4520A">
          <w:rPr>
            <w:rStyle w:val="Lienhypertexte"/>
            <w:rFonts w:ascii="Calibri" w:hAnsi="Calibri" w:cs="Calibri"/>
            <w:color w:val="0645AD"/>
            <w:sz w:val="22"/>
            <w:szCs w:val="22"/>
            <w:shd w:val="clear" w:color="auto" w:fill="FFFFFF"/>
          </w:rPr>
          <w:t>sorgho</w:t>
        </w:r>
      </w:hyperlink>
      <w:r w:rsidR="00B4520A" w:rsidRPr="00B4520A">
        <w:rPr>
          <w:rFonts w:ascii="Calibri" w:hAnsi="Calibri" w:cs="Calibri"/>
          <w:color w:val="202122"/>
          <w:sz w:val="22"/>
          <w:szCs w:val="22"/>
          <w:shd w:val="clear" w:color="auto" w:fill="FFFFFF"/>
        </w:rPr>
        <w:t> </w:t>
      </w:r>
      <w:r w:rsidR="00B4520A" w:rsidRPr="00B4520A">
        <w:rPr>
          <w:rFonts w:ascii="Calibri" w:hAnsi="Calibri" w:cs="Calibri"/>
          <w:color w:val="000000" w:themeColor="text1"/>
          <w:sz w:val="22"/>
          <w:szCs w:val="22"/>
          <w:shd w:val="clear" w:color="auto" w:fill="FFFFFF"/>
        </w:rPr>
        <w:t>et de niébé à haut rendement, à maturation précoce et résistantes à la sécheresse.</w:t>
      </w:r>
    </w:p>
    <w:p w14:paraId="595BC107" w14:textId="32B469E8" w:rsidR="002D31D1" w:rsidRPr="001A26A0" w:rsidRDefault="00EC5B9E" w:rsidP="001406AF">
      <w:pPr>
        <w:pStyle w:val="NormalWeb"/>
        <w:shd w:val="clear" w:color="auto" w:fill="FFFFFF"/>
        <w:spacing w:before="0" w:beforeAutospacing="0" w:after="0" w:afterAutospacing="0"/>
        <w:jc w:val="both"/>
        <w:rPr>
          <w:rFonts w:ascii="Calibri" w:hAnsi="Calibri" w:cs="Calibri"/>
          <w:color w:val="000000" w:themeColor="text1"/>
          <w:sz w:val="22"/>
          <w:szCs w:val="22"/>
          <w:shd w:val="clear" w:color="auto" w:fill="F8F9FA"/>
        </w:rPr>
      </w:pPr>
      <w:r>
        <w:rPr>
          <w:rFonts w:ascii="Calibri" w:hAnsi="Calibri" w:cs="Calibri"/>
          <w:color w:val="000000" w:themeColor="text1"/>
          <w:sz w:val="22"/>
          <w:szCs w:val="22"/>
          <w:u w:val="single"/>
          <w:shd w:val="clear" w:color="auto" w:fill="F8F9FA"/>
        </w:rPr>
        <w:t xml:space="preserve">Conservation des semences / </w:t>
      </w:r>
      <w:r w:rsidR="002D31D1" w:rsidRPr="002D31D1">
        <w:rPr>
          <w:rFonts w:ascii="Calibri" w:hAnsi="Calibri" w:cs="Calibri"/>
          <w:color w:val="000000" w:themeColor="text1"/>
          <w:sz w:val="22"/>
          <w:szCs w:val="22"/>
          <w:u w:val="single"/>
          <w:shd w:val="clear" w:color="auto" w:fill="F8F9FA"/>
        </w:rPr>
        <w:t>Stockage des graines</w:t>
      </w:r>
      <w:r w:rsidR="002D31D1" w:rsidRPr="002D31D1">
        <w:rPr>
          <w:rFonts w:ascii="Calibri" w:hAnsi="Calibri" w:cs="Calibri"/>
          <w:color w:val="000000" w:themeColor="text1"/>
          <w:sz w:val="22"/>
          <w:szCs w:val="22"/>
          <w:shd w:val="clear" w:color="auto" w:fill="F8F9FA"/>
        </w:rPr>
        <w:t xml:space="preserve"> : </w:t>
      </w:r>
      <w:r w:rsidRPr="00EC5B9E">
        <w:rPr>
          <w:rFonts w:ascii="Calibri" w:hAnsi="Calibri" w:cs="Calibri"/>
          <w:color w:val="000000" w:themeColor="text1"/>
          <w:sz w:val="22"/>
          <w:szCs w:val="22"/>
          <w:shd w:val="clear" w:color="auto" w:fill="FFFFFF"/>
        </w:rPr>
        <w:t>Il est important de bien faire sécher les graines au soleil avant de les stocker à l'abri de </w:t>
      </w:r>
      <w:hyperlink r:id="rId2026" w:tooltip="Prédateur" w:history="1">
        <w:r w:rsidRPr="00EC5B9E">
          <w:rPr>
            <w:rStyle w:val="Lienhypertexte"/>
            <w:rFonts w:ascii="Calibri" w:hAnsi="Calibri" w:cs="Calibri"/>
            <w:color w:val="0645AD"/>
            <w:sz w:val="22"/>
            <w:szCs w:val="22"/>
            <w:shd w:val="clear" w:color="auto" w:fill="FFFFFF"/>
          </w:rPr>
          <w:t>prédateurs</w:t>
        </w:r>
      </w:hyperlink>
      <w:r w:rsidRPr="00EC5B9E">
        <w:rPr>
          <w:rFonts w:ascii="Calibri" w:hAnsi="Calibri" w:cs="Calibri"/>
          <w:color w:val="202122"/>
          <w:sz w:val="22"/>
          <w:szCs w:val="22"/>
          <w:shd w:val="clear" w:color="auto" w:fill="FFFFFF"/>
        </w:rPr>
        <w:t> </w:t>
      </w:r>
      <w:r w:rsidRPr="00EC5B9E">
        <w:rPr>
          <w:rFonts w:ascii="Calibri" w:hAnsi="Calibri" w:cs="Calibri"/>
          <w:color w:val="000000" w:themeColor="text1"/>
          <w:sz w:val="22"/>
          <w:szCs w:val="22"/>
          <w:shd w:val="clear" w:color="auto" w:fill="FFFFFF"/>
        </w:rPr>
        <w:t>comme la </w:t>
      </w:r>
      <w:hyperlink r:id="rId2027" w:tooltip="Bruche du niébé" w:history="1">
        <w:r w:rsidRPr="00EC5B9E">
          <w:rPr>
            <w:rStyle w:val="Lienhypertexte"/>
            <w:rFonts w:ascii="Calibri" w:hAnsi="Calibri" w:cs="Calibri"/>
            <w:color w:val="0645AD"/>
            <w:sz w:val="22"/>
            <w:szCs w:val="22"/>
            <w:shd w:val="clear" w:color="auto" w:fill="FFFFFF"/>
          </w:rPr>
          <w:t>bruche du niébé</w:t>
        </w:r>
      </w:hyperlink>
      <w:r w:rsidRPr="00EC5B9E">
        <w:rPr>
          <w:rFonts w:ascii="Calibri" w:hAnsi="Calibri" w:cs="Calibri"/>
          <w:color w:val="202122"/>
          <w:sz w:val="22"/>
          <w:szCs w:val="22"/>
          <w:shd w:val="clear" w:color="auto" w:fill="FFFFFF"/>
        </w:rPr>
        <w:t> (</w:t>
      </w:r>
      <w:hyperlink r:id="rId2028" w:tooltip="Callosobruchus" w:history="1">
        <w:r w:rsidRPr="00EC5B9E">
          <w:rPr>
            <w:rStyle w:val="Lienhypertexte"/>
            <w:rFonts w:ascii="Calibri" w:hAnsi="Calibri" w:cs="Calibri"/>
            <w:i/>
            <w:iCs/>
            <w:color w:val="0645AD"/>
            <w:sz w:val="22"/>
            <w:szCs w:val="22"/>
            <w:shd w:val="clear" w:color="auto" w:fill="FFFFFF"/>
          </w:rPr>
          <w:t>Callosobruchus</w:t>
        </w:r>
      </w:hyperlink>
      <w:r w:rsidRPr="00EC5B9E">
        <w:rPr>
          <w:rFonts w:ascii="Calibri" w:hAnsi="Calibri" w:cs="Calibri"/>
          <w:color w:val="202122"/>
          <w:sz w:val="22"/>
          <w:szCs w:val="22"/>
          <w:shd w:val="clear" w:color="auto" w:fill="FFFFFF"/>
        </w:rPr>
        <w:t>).</w:t>
      </w:r>
      <w:r w:rsidR="001A26A0">
        <w:rPr>
          <w:rFonts w:ascii="Calibri" w:hAnsi="Calibri" w:cs="Calibri"/>
          <w:color w:val="000000" w:themeColor="text1"/>
          <w:sz w:val="22"/>
          <w:szCs w:val="22"/>
          <w:shd w:val="clear" w:color="auto" w:fill="F8F9FA"/>
        </w:rPr>
        <w:t xml:space="preserve"> Le stockage des graines</w:t>
      </w:r>
      <w:r w:rsidR="002D31D1" w:rsidRPr="002D31D1">
        <w:rPr>
          <w:rFonts w:ascii="Calibri" w:hAnsi="Calibri" w:cs="Calibri"/>
          <w:color w:val="000000" w:themeColor="text1"/>
          <w:sz w:val="22"/>
          <w:szCs w:val="22"/>
          <w:shd w:val="clear" w:color="auto" w:fill="F8F9FA"/>
        </w:rPr>
        <w:t xml:space="preserve"> </w:t>
      </w:r>
      <w:r w:rsidR="002D31D1" w:rsidRPr="002D31D1">
        <w:rPr>
          <w:rFonts w:ascii="Calibri" w:hAnsi="Calibri" w:cs="Calibri"/>
          <w:color w:val="000000" w:themeColor="text1"/>
          <w:sz w:val="22"/>
          <w:szCs w:val="22"/>
          <w:shd w:val="clear" w:color="auto" w:fill="FFFFFF"/>
        </w:rPr>
        <w:t xml:space="preserve">peut être problématique en Afrique en raison d'une infestation potentielle par des ravageurs post-récolte. Les méthodes traditionnelles de protection des céréales stockées comprennent l'utilisation des propriétés insecticides </w:t>
      </w:r>
      <w:r w:rsidR="002D31D1" w:rsidRPr="002D31D1">
        <w:rPr>
          <w:rFonts w:ascii="Calibri" w:hAnsi="Calibri" w:cs="Calibri"/>
          <w:color w:val="000000" w:themeColor="text1"/>
          <w:sz w:val="22"/>
          <w:szCs w:val="22"/>
          <w:shd w:val="clear" w:color="auto" w:fill="FFFFFF"/>
        </w:rPr>
        <w:lastRenderedPageBreak/>
        <w:t>des extraits de </w:t>
      </w:r>
      <w:hyperlink r:id="rId2029" w:tooltip="Neem" w:history="1">
        <w:r w:rsidR="002D31D1" w:rsidRPr="002D31D1">
          <w:rPr>
            <w:rStyle w:val="Lienhypertexte"/>
            <w:rFonts w:ascii="Calibri" w:hAnsi="Calibri" w:cs="Calibri"/>
            <w:color w:val="0645AD"/>
            <w:sz w:val="22"/>
            <w:szCs w:val="22"/>
            <w:shd w:val="clear" w:color="auto" w:fill="FFFFFF"/>
          </w:rPr>
          <w:t>Neem</w:t>
        </w:r>
      </w:hyperlink>
      <w:r w:rsidR="002D31D1" w:rsidRPr="002D31D1">
        <w:rPr>
          <w:rFonts w:ascii="Calibri" w:hAnsi="Calibri" w:cs="Calibri"/>
          <w:color w:val="202122"/>
          <w:sz w:val="22"/>
          <w:szCs w:val="22"/>
          <w:shd w:val="clear" w:color="auto" w:fill="FFFFFF"/>
        </w:rPr>
        <w:t xml:space="preserve">, </w:t>
      </w:r>
      <w:r w:rsidR="002D31D1" w:rsidRPr="002D31D1">
        <w:rPr>
          <w:rFonts w:ascii="Calibri" w:hAnsi="Calibri" w:cs="Calibri"/>
          <w:color w:val="000000" w:themeColor="text1"/>
          <w:sz w:val="22"/>
          <w:szCs w:val="22"/>
          <w:shd w:val="clear" w:color="auto" w:fill="FFFFFF"/>
        </w:rPr>
        <w:t xml:space="preserve">le mélange des céréales avec de la cendre ou du sable, l'utilisation d'huiles végétales, la combinaison de cendres et d'huile dans une solution savonneuse ou le traitement des cosses de niébé avec de la fumée ou de la chaleur. Les méthodes plus modernes incluent le stockage dans des conteneurs hermétiques, en utilisant une irradiation gamma, ou en chauffant ou en congelant les graines. Des températures de 60 °C (140 °F) tuent les larves de charançon, ce qui a conduit à une récente poussée pour développer des formes bon marché de chauffage solaire pouvant être utilisées pour traiter le grain stocké. L'un des développements les plus récents est l'utilisation d'un système de double ensachage bon marché et réutilisable (appelé </w:t>
      </w:r>
      <w:hyperlink r:id="rId2030" w:tooltip="Sacs de stockage de récolte améliorés Purdue" w:history="1">
        <w:r w:rsidR="002D31D1" w:rsidRPr="002D31D1">
          <w:rPr>
            <w:rStyle w:val="Lienhypertexte"/>
            <w:rFonts w:ascii="Calibri" w:hAnsi="Calibri" w:cs="Calibri"/>
            <w:color w:val="0645AD"/>
            <w:sz w:val="22"/>
            <w:szCs w:val="22"/>
            <w:shd w:val="clear" w:color="auto" w:fill="FFFFFF"/>
          </w:rPr>
          <w:t>PICs</w:t>
        </w:r>
      </w:hyperlink>
      <w:r w:rsidR="002D31D1" w:rsidRPr="002D31D1">
        <w:rPr>
          <w:rFonts w:ascii="Calibri" w:hAnsi="Calibri" w:cs="Calibri"/>
          <w:color w:val="202122"/>
          <w:sz w:val="22"/>
          <w:szCs w:val="22"/>
          <w:shd w:val="clear" w:color="auto" w:fill="FFFFFF"/>
        </w:rPr>
        <w:t xml:space="preserve">) </w:t>
      </w:r>
      <w:r w:rsidR="002D31D1" w:rsidRPr="002D31D1">
        <w:rPr>
          <w:rFonts w:ascii="Calibri" w:hAnsi="Calibri" w:cs="Calibri"/>
          <w:color w:val="000000" w:themeColor="text1"/>
          <w:sz w:val="22"/>
          <w:szCs w:val="22"/>
          <w:shd w:val="clear" w:color="auto" w:fill="FFFFFF"/>
        </w:rPr>
        <w:t>qui asphyxie les charançons du niébé.</w:t>
      </w:r>
      <w:r w:rsidR="002D31D1" w:rsidRPr="002D31D1">
        <w:rPr>
          <w:rFonts w:ascii="Arial" w:hAnsi="Arial" w:cs="Arial"/>
          <w:color w:val="000000" w:themeColor="text1"/>
          <w:sz w:val="21"/>
          <w:szCs w:val="21"/>
          <w:shd w:val="clear" w:color="auto" w:fill="FFFFFF"/>
        </w:rPr>
        <w:t> </w:t>
      </w:r>
    </w:p>
    <w:p w14:paraId="32A72EDD" w14:textId="77777777" w:rsidR="00AE1B49" w:rsidRDefault="00372002" w:rsidP="00AE1B49">
      <w:pPr>
        <w:pStyle w:val="NormalWeb"/>
        <w:shd w:val="clear" w:color="auto" w:fill="FFFFFF"/>
        <w:spacing w:before="0" w:beforeAutospacing="0" w:after="0" w:afterAutospacing="0"/>
        <w:jc w:val="both"/>
        <w:rPr>
          <w:rFonts w:ascii="Calibri" w:hAnsi="Calibri" w:cs="Calibri"/>
          <w:color w:val="000000" w:themeColor="text1"/>
          <w:sz w:val="22"/>
          <w:szCs w:val="22"/>
          <w:shd w:val="clear" w:color="auto" w:fill="FFFFFF"/>
        </w:rPr>
      </w:pPr>
      <w:r w:rsidRPr="002D31D1">
        <w:rPr>
          <w:rFonts w:ascii="Calibri" w:hAnsi="Calibri" w:cs="Arial"/>
          <w:color w:val="000000" w:themeColor="text1"/>
          <w:sz w:val="22"/>
          <w:szCs w:val="22"/>
          <w:u w:val="single"/>
        </w:rPr>
        <w:t>Taxonomie</w:t>
      </w:r>
      <w:r w:rsidRPr="002D31D1">
        <w:rPr>
          <w:rFonts w:ascii="Calibri" w:hAnsi="Calibri" w:cs="Arial"/>
          <w:color w:val="000000" w:themeColor="text1"/>
          <w:sz w:val="22"/>
          <w:szCs w:val="22"/>
        </w:rPr>
        <w:t xml:space="preserve"> :</w:t>
      </w:r>
      <w:r w:rsidR="00431A49">
        <w:rPr>
          <w:rFonts w:ascii="Calibri" w:hAnsi="Calibri" w:cs="Arial"/>
          <w:color w:val="000000" w:themeColor="text1"/>
          <w:sz w:val="22"/>
          <w:szCs w:val="22"/>
        </w:rPr>
        <w:t xml:space="preserve"> </w:t>
      </w:r>
      <w:r w:rsidR="00AE1B49" w:rsidRPr="00431A49">
        <w:rPr>
          <w:rFonts w:ascii="Calibri" w:hAnsi="Calibri" w:cs="Calibri"/>
          <w:i/>
          <w:iCs/>
          <w:color w:val="000000" w:themeColor="text1"/>
          <w:sz w:val="22"/>
          <w:szCs w:val="22"/>
          <w:shd w:val="clear" w:color="auto" w:fill="FFFFFF"/>
        </w:rPr>
        <w:t>Sous-espèces</w:t>
      </w:r>
      <w:r w:rsidR="00AE1B49">
        <w:rPr>
          <w:rFonts w:ascii="Calibri" w:hAnsi="Calibri" w:cs="Calibri"/>
          <w:color w:val="000000" w:themeColor="text1"/>
          <w:sz w:val="22"/>
          <w:szCs w:val="22"/>
          <w:shd w:val="clear" w:color="auto" w:fill="FFFFFF"/>
        </w:rPr>
        <w:t> : S</w:t>
      </w:r>
      <w:r w:rsidR="00AE1B49" w:rsidRPr="008677E9">
        <w:rPr>
          <w:rFonts w:ascii="Calibri" w:hAnsi="Calibri" w:cs="Calibri"/>
          <w:color w:val="000000" w:themeColor="text1"/>
          <w:sz w:val="22"/>
          <w:szCs w:val="22"/>
          <w:shd w:val="clear" w:color="auto" w:fill="FFFFFF"/>
        </w:rPr>
        <w:t>elon Bernard Verdcourt, les sous-espèces</w:t>
      </w:r>
      <w:r w:rsidR="00AE1B49">
        <w:rPr>
          <w:rFonts w:ascii="Calibri" w:hAnsi="Calibri" w:cs="Calibri"/>
          <w:color w:val="000000" w:themeColor="text1"/>
          <w:sz w:val="22"/>
          <w:szCs w:val="22"/>
          <w:shd w:val="clear" w:color="auto" w:fill="FFFFFF"/>
        </w:rPr>
        <w:t>, distinguées par lui,</w:t>
      </w:r>
      <w:r w:rsidR="00AE1B49" w:rsidRPr="008677E9">
        <w:rPr>
          <w:rFonts w:ascii="Calibri" w:hAnsi="Calibri" w:cs="Calibri"/>
          <w:color w:val="000000" w:themeColor="text1"/>
          <w:sz w:val="22"/>
          <w:szCs w:val="22"/>
          <w:shd w:val="clear" w:color="auto" w:fill="FFFFFF"/>
        </w:rPr>
        <w:t xml:space="preserve"> sont :</w:t>
      </w:r>
    </w:p>
    <w:p w14:paraId="52BD9C11" w14:textId="1450AC2E" w:rsidR="00AE1B49" w:rsidRDefault="00AE1B49" w:rsidP="00AE1B49">
      <w:pPr>
        <w:pStyle w:val="NormalWeb"/>
        <w:shd w:val="clear" w:color="auto" w:fill="FFFFFF"/>
        <w:spacing w:before="0" w:beforeAutospacing="0" w:after="0" w:afterAutospacing="0"/>
        <w:jc w:val="both"/>
        <w:rPr>
          <w:rFonts w:ascii="Calibri" w:hAnsi="Calibri" w:cs="Calibri"/>
          <w:color w:val="000000" w:themeColor="text1"/>
          <w:sz w:val="22"/>
          <w:szCs w:val="22"/>
        </w:rPr>
      </w:pPr>
      <w:r w:rsidRPr="008677E9">
        <w:rPr>
          <w:rFonts w:ascii="Calibri" w:hAnsi="Calibri" w:cs="Calibri"/>
          <w:color w:val="000000" w:themeColor="text1"/>
          <w:sz w:val="22"/>
          <w:szCs w:val="22"/>
        </w:rPr>
        <w:t xml:space="preserve">1. </w:t>
      </w:r>
      <w:r>
        <w:rPr>
          <w:rFonts w:ascii="Calibri" w:hAnsi="Calibri" w:cs="Calibri"/>
          <w:color w:val="000000" w:themeColor="text1"/>
          <w:sz w:val="22"/>
          <w:szCs w:val="22"/>
        </w:rPr>
        <w:t>P</w:t>
      </w:r>
      <w:r w:rsidRPr="008677E9">
        <w:rPr>
          <w:rFonts w:ascii="Calibri" w:hAnsi="Calibri" w:cs="Calibri"/>
          <w:color w:val="000000" w:themeColor="text1"/>
          <w:sz w:val="22"/>
          <w:szCs w:val="22"/>
        </w:rPr>
        <w:t xml:space="preserve">lante volubile, de 2−4 m, à gousses de 30−80 cm pendantes, renflées à l'état jeune, graines de 8−12 mm ............ subsp. </w:t>
      </w:r>
      <w:r w:rsidRPr="008677E9">
        <w:rPr>
          <w:rFonts w:ascii="Calibri" w:hAnsi="Calibri" w:cs="Calibri"/>
          <w:i/>
          <w:iCs/>
          <w:color w:val="000000" w:themeColor="text1"/>
          <w:sz w:val="22"/>
          <w:szCs w:val="22"/>
        </w:rPr>
        <w:t>sesquipedalis</w:t>
      </w:r>
      <w:r w:rsidRPr="008677E9">
        <w:rPr>
          <w:rFonts w:ascii="Calibri" w:hAnsi="Calibri" w:cs="Calibri"/>
          <w:color w:val="000000" w:themeColor="text1"/>
          <w:sz w:val="22"/>
          <w:szCs w:val="22"/>
        </w:rPr>
        <w:t>.</w:t>
      </w:r>
    </w:p>
    <w:p w14:paraId="3BB46918" w14:textId="77777777" w:rsidR="00AE1B49" w:rsidRPr="008677E9" w:rsidRDefault="00AE1B49" w:rsidP="00AE1B49">
      <w:pPr>
        <w:pStyle w:val="NormalWeb"/>
        <w:shd w:val="clear" w:color="auto" w:fill="FFFFFF"/>
        <w:spacing w:before="0" w:beforeAutospacing="0" w:after="0" w:afterAutospacing="0"/>
        <w:jc w:val="both"/>
        <w:rPr>
          <w:rFonts w:ascii="Calibri" w:hAnsi="Calibri" w:cs="Calibri"/>
          <w:color w:val="000000" w:themeColor="text1"/>
          <w:sz w:val="22"/>
          <w:szCs w:val="22"/>
        </w:rPr>
      </w:pPr>
      <w:r w:rsidRPr="008677E9">
        <w:rPr>
          <w:rFonts w:ascii="Calibri" w:hAnsi="Calibri" w:cs="Calibri"/>
          <w:color w:val="000000" w:themeColor="text1"/>
          <w:sz w:val="22"/>
          <w:szCs w:val="22"/>
        </w:rPr>
        <w:t xml:space="preserve">2. </w:t>
      </w:r>
      <w:r>
        <w:rPr>
          <w:rFonts w:ascii="Calibri" w:hAnsi="Calibri" w:cs="Calibri"/>
          <w:color w:val="000000" w:themeColor="text1"/>
          <w:sz w:val="22"/>
          <w:szCs w:val="22"/>
        </w:rPr>
        <w:t>P</w:t>
      </w:r>
      <w:r w:rsidRPr="008677E9">
        <w:rPr>
          <w:rFonts w:ascii="Calibri" w:hAnsi="Calibri" w:cs="Calibri"/>
          <w:color w:val="000000" w:themeColor="text1"/>
          <w:sz w:val="22"/>
          <w:szCs w:val="22"/>
        </w:rPr>
        <w:t>lantes érigées</w:t>
      </w:r>
      <w:r>
        <w:rPr>
          <w:rFonts w:ascii="Calibri" w:hAnsi="Calibri" w:cs="Calibri"/>
          <w:color w:val="000000" w:themeColor="text1"/>
          <w:sz w:val="22"/>
          <w:szCs w:val="22"/>
        </w:rPr>
        <w:t>/</w:t>
      </w:r>
      <w:r w:rsidRPr="008677E9">
        <w:rPr>
          <w:rFonts w:ascii="Calibri" w:hAnsi="Calibri" w:cs="Calibri"/>
          <w:color w:val="000000" w:themeColor="text1"/>
          <w:sz w:val="22"/>
          <w:szCs w:val="22"/>
        </w:rPr>
        <w:t xml:space="preserve">rampantes, de 15−80 cm, à gousses de 7,5−30 cm non renflées à l'état jeune, graines de 6−9 mm : </w:t>
      </w:r>
    </w:p>
    <w:p w14:paraId="13308DEF" w14:textId="77777777" w:rsidR="00AE1B49" w:rsidRPr="008677E9" w:rsidRDefault="00AE1B49" w:rsidP="00AE1B49">
      <w:pPr>
        <w:pStyle w:val="NormalWeb"/>
        <w:shd w:val="clear" w:color="auto" w:fill="FFFFFF"/>
        <w:spacing w:before="0" w:beforeAutospacing="0" w:after="0" w:afterAutospacing="0"/>
        <w:jc w:val="both"/>
        <w:rPr>
          <w:rFonts w:ascii="Calibri" w:hAnsi="Calibri" w:cs="Calibri"/>
          <w:color w:val="000000" w:themeColor="text1"/>
          <w:sz w:val="22"/>
          <w:szCs w:val="22"/>
        </w:rPr>
      </w:pPr>
      <w:r>
        <w:rPr>
          <w:rFonts w:ascii="Calibri" w:hAnsi="Calibri" w:cs="Calibri"/>
          <w:color w:val="000000" w:themeColor="text1"/>
          <w:sz w:val="22"/>
          <w:szCs w:val="22"/>
        </w:rPr>
        <w:t xml:space="preserve">   </w:t>
      </w:r>
      <w:r w:rsidRPr="008677E9">
        <w:rPr>
          <w:rFonts w:ascii="Calibri" w:hAnsi="Calibri" w:cs="Calibri"/>
          <w:color w:val="000000" w:themeColor="text1"/>
          <w:sz w:val="22"/>
          <w:szCs w:val="22"/>
        </w:rPr>
        <w:t xml:space="preserve">2.1. </w:t>
      </w:r>
      <w:r>
        <w:rPr>
          <w:rFonts w:ascii="Calibri" w:hAnsi="Calibri" w:cs="Calibri"/>
          <w:color w:val="000000" w:themeColor="text1"/>
          <w:sz w:val="22"/>
          <w:szCs w:val="22"/>
        </w:rPr>
        <w:t>G</w:t>
      </w:r>
      <w:r w:rsidRPr="008677E9">
        <w:rPr>
          <w:rFonts w:ascii="Calibri" w:hAnsi="Calibri" w:cs="Calibri"/>
          <w:color w:val="000000" w:themeColor="text1"/>
          <w:sz w:val="22"/>
          <w:szCs w:val="22"/>
        </w:rPr>
        <w:t xml:space="preserve">ousses de 20−30 cm, pendantes .........................subsp. </w:t>
      </w:r>
      <w:r w:rsidRPr="008677E9">
        <w:rPr>
          <w:rFonts w:ascii="Calibri" w:hAnsi="Calibri" w:cs="Calibri"/>
          <w:i/>
          <w:iCs/>
          <w:color w:val="000000" w:themeColor="text1"/>
          <w:sz w:val="22"/>
          <w:szCs w:val="22"/>
        </w:rPr>
        <w:t>unguiculata</w:t>
      </w:r>
      <w:r w:rsidRPr="008677E9">
        <w:rPr>
          <w:rFonts w:ascii="Calibri" w:hAnsi="Calibri" w:cs="Calibri"/>
          <w:color w:val="000000" w:themeColor="text1"/>
          <w:sz w:val="22"/>
          <w:szCs w:val="22"/>
        </w:rPr>
        <w:t>.</w:t>
      </w:r>
    </w:p>
    <w:p w14:paraId="48C1BB47" w14:textId="582FF60F" w:rsidR="00AE1B49" w:rsidRDefault="00AE1B49" w:rsidP="00AE1B49">
      <w:pPr>
        <w:pStyle w:val="NormalWeb"/>
        <w:shd w:val="clear" w:color="auto" w:fill="FFFFFF"/>
        <w:spacing w:before="0" w:beforeAutospacing="0" w:after="0" w:afterAutospacing="0"/>
        <w:jc w:val="both"/>
        <w:rPr>
          <w:rFonts w:ascii="Calibri" w:hAnsi="Calibri" w:cs="Calibri"/>
          <w:color w:val="000000" w:themeColor="text1"/>
          <w:sz w:val="22"/>
          <w:szCs w:val="22"/>
        </w:rPr>
      </w:pPr>
      <w:r>
        <w:rPr>
          <w:rFonts w:ascii="Calibri" w:hAnsi="Calibri" w:cs="Calibri"/>
          <w:color w:val="000000" w:themeColor="text1"/>
          <w:sz w:val="22"/>
          <w:szCs w:val="22"/>
        </w:rPr>
        <w:t xml:space="preserve">   </w:t>
      </w:r>
      <w:r w:rsidRPr="008677E9">
        <w:rPr>
          <w:rFonts w:ascii="Calibri" w:hAnsi="Calibri" w:cs="Calibri"/>
          <w:color w:val="000000" w:themeColor="text1"/>
          <w:sz w:val="22"/>
          <w:szCs w:val="22"/>
        </w:rPr>
        <w:t xml:space="preserve">2.2. </w:t>
      </w:r>
      <w:r>
        <w:rPr>
          <w:rFonts w:ascii="Calibri" w:hAnsi="Calibri" w:cs="Calibri"/>
          <w:color w:val="000000" w:themeColor="text1"/>
          <w:sz w:val="22"/>
          <w:szCs w:val="22"/>
        </w:rPr>
        <w:t>G</w:t>
      </w:r>
      <w:r w:rsidRPr="008677E9">
        <w:rPr>
          <w:rFonts w:ascii="Calibri" w:hAnsi="Calibri" w:cs="Calibri"/>
          <w:color w:val="000000" w:themeColor="text1"/>
          <w:sz w:val="22"/>
          <w:szCs w:val="22"/>
        </w:rPr>
        <w:t xml:space="preserve">ousses de 7,5−13 cm, érigées ou étalées .............subsp. </w:t>
      </w:r>
      <w:hyperlink r:id="rId2031" w:tooltip="Vigna unguiculata subsp. cylindrica" w:history="1">
        <w:r w:rsidR="002E5714" w:rsidRPr="002E5714">
          <w:rPr>
            <w:rStyle w:val="Lienhypertexte"/>
            <w:rFonts w:ascii="Calibri" w:hAnsi="Calibri" w:cs="Calibri"/>
            <w:i/>
            <w:iCs/>
            <w:color w:val="0645AD"/>
            <w:sz w:val="22"/>
            <w:szCs w:val="22"/>
            <w:shd w:val="clear" w:color="auto" w:fill="FFFFFF"/>
          </w:rPr>
          <w:t>cylindrica</w:t>
        </w:r>
      </w:hyperlink>
      <w:r w:rsidR="002E5714">
        <w:rPr>
          <w:rFonts w:ascii="Calibri" w:hAnsi="Calibri" w:cs="Calibri"/>
          <w:sz w:val="22"/>
          <w:szCs w:val="22"/>
        </w:rPr>
        <w:t xml:space="preserve"> </w:t>
      </w:r>
      <w:r w:rsidR="002E5714" w:rsidRPr="002E5714">
        <w:rPr>
          <w:rFonts w:ascii="Calibri" w:hAnsi="Calibri" w:cs="Calibri"/>
          <w:color w:val="000000" w:themeColor="text1"/>
          <w:sz w:val="22"/>
          <w:szCs w:val="22"/>
        </w:rPr>
        <w:t>(la dolique mongette</w:t>
      </w:r>
      <w:r w:rsidR="00CC3C8C">
        <w:rPr>
          <w:rFonts w:ascii="Calibri" w:hAnsi="Calibri" w:cs="Calibri"/>
          <w:color w:val="000000" w:themeColor="text1"/>
          <w:sz w:val="22"/>
          <w:szCs w:val="22"/>
        </w:rPr>
        <w:t xml:space="preserve"> ou cornille</w:t>
      </w:r>
      <w:r w:rsidR="002E5714" w:rsidRPr="002E5714">
        <w:rPr>
          <w:rFonts w:ascii="Calibri" w:hAnsi="Calibri" w:cs="Calibri"/>
          <w:color w:val="000000" w:themeColor="text1"/>
          <w:sz w:val="22"/>
          <w:szCs w:val="22"/>
        </w:rPr>
        <w:t>)</w:t>
      </w:r>
      <w:r w:rsidRPr="008677E9">
        <w:rPr>
          <w:rFonts w:ascii="Calibri" w:hAnsi="Calibri" w:cs="Calibri"/>
          <w:color w:val="000000" w:themeColor="text1"/>
          <w:sz w:val="22"/>
          <w:szCs w:val="22"/>
        </w:rPr>
        <w:t>.</w:t>
      </w:r>
    </w:p>
    <w:p w14:paraId="37878415" w14:textId="74142015" w:rsidR="002E5714" w:rsidRPr="008677E9" w:rsidRDefault="002E5714" w:rsidP="00AE1B49">
      <w:pPr>
        <w:pStyle w:val="NormalWeb"/>
        <w:shd w:val="clear" w:color="auto" w:fill="FFFFFF"/>
        <w:spacing w:before="0" w:beforeAutospacing="0" w:after="0" w:afterAutospacing="0"/>
        <w:jc w:val="both"/>
        <w:rPr>
          <w:rFonts w:ascii="Calibri" w:hAnsi="Calibri" w:cs="Calibri"/>
          <w:color w:val="000000" w:themeColor="text1"/>
          <w:sz w:val="22"/>
          <w:szCs w:val="22"/>
        </w:rPr>
      </w:pPr>
      <w:r>
        <w:rPr>
          <w:rFonts w:ascii="Calibri" w:hAnsi="Calibri" w:cs="Calibri"/>
          <w:color w:val="000000" w:themeColor="text1"/>
          <w:sz w:val="22"/>
          <w:szCs w:val="22"/>
        </w:rPr>
        <w:t>Il existe aussi d’autres</w:t>
      </w:r>
      <w:r w:rsidRPr="002E5714">
        <w:rPr>
          <w:rFonts w:ascii="Calibri" w:hAnsi="Calibri" w:cs="Calibri"/>
          <w:color w:val="000000" w:themeColor="text1"/>
          <w:sz w:val="22"/>
          <w:szCs w:val="22"/>
        </w:rPr>
        <w:t xml:space="preserve"> sous-espèces : </w:t>
      </w:r>
      <w:r w:rsidRPr="002E5714">
        <w:rPr>
          <w:rFonts w:ascii="Calibri" w:hAnsi="Calibri" w:cs="Calibri"/>
          <w:i/>
          <w:iCs/>
          <w:color w:val="000000" w:themeColor="text1"/>
          <w:sz w:val="22"/>
          <w:szCs w:val="22"/>
        </w:rPr>
        <w:t>baoulensis, burundiensis,</w:t>
      </w:r>
      <w:r w:rsidRPr="002E5714">
        <w:rPr>
          <w:rFonts w:ascii="Calibri" w:hAnsi="Calibri" w:cs="Calibri"/>
          <w:color w:val="000000" w:themeColor="text1"/>
          <w:sz w:val="22"/>
          <w:szCs w:val="22"/>
        </w:rPr>
        <w:t xml:space="preserve"> </w:t>
      </w:r>
      <w:r w:rsidRPr="002E5714">
        <w:rPr>
          <w:rFonts w:ascii="Calibri" w:hAnsi="Calibri" w:cs="Calibri"/>
          <w:i/>
          <w:iCs/>
          <w:color w:val="000000" w:themeColor="text1"/>
          <w:sz w:val="22"/>
          <w:szCs w:val="22"/>
        </w:rPr>
        <w:t>dekindtiana, letouzeyi, mensensis, pubescens, stenophylla, tenuis</w:t>
      </w:r>
      <w:r>
        <w:rPr>
          <w:rFonts w:ascii="Calibri" w:hAnsi="Calibri" w:cs="Calibri"/>
          <w:color w:val="000000" w:themeColor="text1"/>
          <w:sz w:val="22"/>
          <w:szCs w:val="22"/>
        </w:rPr>
        <w:t>.</w:t>
      </w:r>
    </w:p>
    <w:p w14:paraId="2B062B7D" w14:textId="7AA8DD51" w:rsidR="008677E9" w:rsidRDefault="00431A49" w:rsidP="001406AF">
      <w:pPr>
        <w:pStyle w:val="NormalWeb"/>
        <w:shd w:val="clear" w:color="auto" w:fill="FFFFFF"/>
        <w:spacing w:before="0" w:beforeAutospacing="0" w:after="0" w:afterAutospacing="0"/>
        <w:jc w:val="both"/>
        <w:rPr>
          <w:rFonts w:ascii="Calibri" w:hAnsi="Calibri" w:cs="Calibri"/>
          <w:color w:val="000000" w:themeColor="text1"/>
          <w:sz w:val="22"/>
          <w:szCs w:val="22"/>
          <w:shd w:val="clear" w:color="auto" w:fill="FFFFFF"/>
        </w:rPr>
      </w:pPr>
      <w:r w:rsidRPr="00431A49">
        <w:rPr>
          <w:rFonts w:ascii="Calibri" w:hAnsi="Calibri" w:cs="Arial"/>
          <w:i/>
          <w:iCs/>
          <w:color w:val="000000" w:themeColor="text1"/>
          <w:sz w:val="22"/>
          <w:szCs w:val="22"/>
        </w:rPr>
        <w:t>Cultivars</w:t>
      </w:r>
      <w:r>
        <w:rPr>
          <w:rFonts w:ascii="Calibri" w:hAnsi="Calibri" w:cs="Arial"/>
          <w:color w:val="000000" w:themeColor="text1"/>
          <w:sz w:val="22"/>
          <w:szCs w:val="22"/>
        </w:rPr>
        <w:t xml:space="preserve"> : </w:t>
      </w:r>
      <w:r w:rsidRPr="00431A49">
        <w:rPr>
          <w:rFonts w:ascii="Calibri" w:hAnsi="Calibri" w:cs="Calibri"/>
          <w:color w:val="000000" w:themeColor="text1"/>
          <w:sz w:val="22"/>
          <w:szCs w:val="22"/>
          <w:shd w:val="clear" w:color="auto" w:fill="FFFFFF"/>
        </w:rPr>
        <w:t>Il existe en Afrique, un certain nombre de cultivars liés à une remarquable diversité dans les usages : suivant le cas, on consommera les feuilles, les gousses vertes, les graines vertes ou sèches, et le feuillage ira éventuellement alimenter le bétail.</w:t>
      </w:r>
      <w:r w:rsidR="002E5714">
        <w:rPr>
          <w:rFonts w:ascii="Calibri" w:hAnsi="Calibri" w:cs="Calibri"/>
          <w:color w:val="000000" w:themeColor="text1"/>
          <w:sz w:val="22"/>
          <w:szCs w:val="22"/>
          <w:shd w:val="clear" w:color="auto" w:fill="FFFFFF"/>
        </w:rPr>
        <w:t xml:space="preserve"> </w:t>
      </w:r>
      <w:r w:rsidR="00AE1B49">
        <w:rPr>
          <w:rFonts w:ascii="Calibri" w:hAnsi="Calibri" w:cs="Calibri"/>
          <w:color w:val="000000" w:themeColor="text1"/>
          <w:sz w:val="22"/>
          <w:szCs w:val="22"/>
          <w:shd w:val="clear" w:color="auto" w:fill="FFFFFF"/>
        </w:rPr>
        <w:t>A</w:t>
      </w:r>
      <w:r w:rsidR="00DC30E9" w:rsidRPr="00DC30E9">
        <w:rPr>
          <w:rFonts w:ascii="Calibri" w:hAnsi="Calibri" w:cs="Calibri"/>
          <w:color w:val="000000" w:themeColor="text1"/>
          <w:sz w:val="22"/>
          <w:szCs w:val="22"/>
          <w:shd w:val="clear" w:color="auto" w:fill="FFFFFF"/>
        </w:rPr>
        <w:t>u sein de</w:t>
      </w:r>
      <w:r w:rsidR="00AE1B49">
        <w:rPr>
          <w:rFonts w:ascii="Calibri" w:hAnsi="Calibri" w:cs="Calibri"/>
          <w:color w:val="000000" w:themeColor="text1"/>
          <w:sz w:val="22"/>
          <w:szCs w:val="22"/>
          <w:shd w:val="clear" w:color="auto" w:fill="FFFFFF"/>
        </w:rPr>
        <w:t xml:space="preserve"> l’espèce</w:t>
      </w:r>
      <w:r w:rsidR="00DC30E9" w:rsidRPr="00DC30E9">
        <w:rPr>
          <w:rFonts w:ascii="Calibri" w:hAnsi="Calibri" w:cs="Calibri"/>
          <w:color w:val="000000" w:themeColor="text1"/>
          <w:sz w:val="22"/>
          <w:szCs w:val="22"/>
          <w:shd w:val="clear" w:color="auto" w:fill="FFFFFF"/>
        </w:rPr>
        <w:t xml:space="preserve"> </w:t>
      </w:r>
      <w:r w:rsidR="00DC30E9" w:rsidRPr="00DC30E9">
        <w:rPr>
          <w:rFonts w:ascii="Calibri" w:hAnsi="Calibri" w:cs="Calibri"/>
          <w:i/>
          <w:iCs/>
          <w:color w:val="000000" w:themeColor="text1"/>
          <w:sz w:val="22"/>
          <w:szCs w:val="22"/>
          <w:shd w:val="clear" w:color="auto" w:fill="FFFFFF"/>
        </w:rPr>
        <w:t>Vigna unguiculata</w:t>
      </w:r>
      <w:r w:rsidR="00DC30E9" w:rsidRPr="00DC30E9">
        <w:rPr>
          <w:rFonts w:ascii="Calibri" w:hAnsi="Calibri" w:cs="Calibri"/>
          <w:color w:val="000000" w:themeColor="text1"/>
          <w:sz w:val="22"/>
          <w:szCs w:val="22"/>
          <w:shd w:val="clear" w:color="auto" w:fill="FFFFFF"/>
        </w:rPr>
        <w:t xml:space="preserve"> cultivé, on admet généralement 5 groupes de </w:t>
      </w:r>
      <w:hyperlink r:id="rId2032" w:tooltip="Cultivar" w:history="1">
        <w:r w:rsidR="00AE1B49" w:rsidRPr="00372002">
          <w:rPr>
            <w:rStyle w:val="Lienhypertexte"/>
            <w:rFonts w:ascii="Calibri" w:hAnsi="Calibri" w:cs="Calibri"/>
            <w:color w:val="0645AD"/>
            <w:sz w:val="22"/>
            <w:szCs w:val="22"/>
            <w:shd w:val="clear" w:color="auto" w:fill="FFFFFF"/>
          </w:rPr>
          <w:t>cultivars</w:t>
        </w:r>
      </w:hyperlink>
      <w:r w:rsidR="00AE1B49" w:rsidRPr="00372002">
        <w:rPr>
          <w:rFonts w:ascii="Calibri" w:hAnsi="Calibri" w:cs="Calibri"/>
          <w:color w:val="202122"/>
          <w:sz w:val="22"/>
          <w:szCs w:val="22"/>
          <w:shd w:val="clear" w:color="auto" w:fill="FFFFFF"/>
        </w:rPr>
        <w:t> </w:t>
      </w:r>
      <w:r w:rsidR="00AE1B49">
        <w:rPr>
          <w:rFonts w:ascii="Calibri" w:hAnsi="Calibri" w:cs="Calibri"/>
          <w:color w:val="202122"/>
          <w:sz w:val="22"/>
          <w:szCs w:val="22"/>
          <w:shd w:val="clear" w:color="auto" w:fill="FFFFFF"/>
        </w:rPr>
        <w:t>_</w:t>
      </w:r>
      <w:r w:rsidR="00AE1B49" w:rsidRPr="00372002">
        <w:rPr>
          <w:rFonts w:ascii="Calibri" w:hAnsi="Calibri" w:cs="Calibri"/>
          <w:color w:val="202122"/>
          <w:sz w:val="22"/>
          <w:szCs w:val="22"/>
          <w:shd w:val="clear" w:color="auto" w:fill="FFFFFF"/>
        </w:rPr>
        <w:t> </w:t>
      </w:r>
      <w:r w:rsidR="00AE1B49" w:rsidRPr="00372002">
        <w:rPr>
          <w:rFonts w:ascii="Calibri" w:hAnsi="Calibri" w:cs="Calibri"/>
          <w:i/>
          <w:iCs/>
          <w:color w:val="000000" w:themeColor="text1"/>
          <w:sz w:val="22"/>
          <w:szCs w:val="22"/>
          <w:shd w:val="clear" w:color="auto" w:fill="FFFFFF"/>
        </w:rPr>
        <w:t>unguiculata</w:t>
      </w:r>
      <w:r w:rsidR="00AE1B49" w:rsidRPr="00372002">
        <w:rPr>
          <w:rFonts w:ascii="Calibri" w:hAnsi="Calibri" w:cs="Calibri"/>
          <w:color w:val="000000" w:themeColor="text1"/>
          <w:sz w:val="22"/>
          <w:szCs w:val="22"/>
          <w:shd w:val="clear" w:color="auto" w:fill="FFFFFF"/>
        </w:rPr>
        <w:t>, </w:t>
      </w:r>
      <w:r w:rsidR="00AE1B49" w:rsidRPr="00372002">
        <w:rPr>
          <w:rFonts w:ascii="Calibri" w:hAnsi="Calibri" w:cs="Calibri"/>
          <w:i/>
          <w:iCs/>
          <w:color w:val="000000" w:themeColor="text1"/>
          <w:sz w:val="22"/>
          <w:szCs w:val="22"/>
          <w:shd w:val="clear" w:color="auto" w:fill="FFFFFF"/>
        </w:rPr>
        <w:t>biflora</w:t>
      </w:r>
      <w:r w:rsidR="00AE1B49" w:rsidRPr="00372002">
        <w:rPr>
          <w:rFonts w:ascii="Calibri" w:hAnsi="Calibri" w:cs="Calibri"/>
          <w:color w:val="000000" w:themeColor="text1"/>
          <w:sz w:val="22"/>
          <w:szCs w:val="22"/>
          <w:shd w:val="clear" w:color="auto" w:fill="FFFFFF"/>
        </w:rPr>
        <w:t>, </w:t>
      </w:r>
      <w:r w:rsidR="00AE1B49" w:rsidRPr="00372002">
        <w:rPr>
          <w:rFonts w:ascii="Calibri" w:hAnsi="Calibri" w:cs="Calibri"/>
          <w:i/>
          <w:iCs/>
          <w:color w:val="000000" w:themeColor="text1"/>
          <w:sz w:val="22"/>
          <w:szCs w:val="22"/>
          <w:shd w:val="clear" w:color="auto" w:fill="FFFFFF"/>
        </w:rPr>
        <w:t>sesquipedalis</w:t>
      </w:r>
      <w:r w:rsidR="00AE1B49">
        <w:rPr>
          <w:rFonts w:ascii="Calibri" w:hAnsi="Calibri" w:cs="Calibri"/>
          <w:i/>
          <w:iCs/>
          <w:color w:val="000000" w:themeColor="text1"/>
          <w:sz w:val="22"/>
          <w:szCs w:val="22"/>
          <w:shd w:val="clear" w:color="auto" w:fill="FFFFFF"/>
        </w:rPr>
        <w:t xml:space="preserve">, </w:t>
      </w:r>
      <w:r w:rsidR="00AE1B49" w:rsidRPr="00AE1B49">
        <w:rPr>
          <w:rFonts w:ascii="Calibri" w:hAnsi="Calibri" w:cs="Calibri"/>
          <w:i/>
          <w:iCs/>
          <w:color w:val="000000" w:themeColor="text1"/>
          <w:sz w:val="22"/>
          <w:szCs w:val="22"/>
          <w:shd w:val="clear" w:color="auto" w:fill="FFFFFF"/>
        </w:rPr>
        <w:t>Melanophthalmus</w:t>
      </w:r>
      <w:r w:rsidR="00AE1B49">
        <w:rPr>
          <w:rFonts w:ascii="Calibri" w:hAnsi="Calibri" w:cs="Calibri"/>
          <w:color w:val="000000" w:themeColor="text1"/>
          <w:sz w:val="22"/>
          <w:szCs w:val="22"/>
          <w:shd w:val="clear" w:color="auto" w:fill="FFFFFF"/>
        </w:rPr>
        <w:t xml:space="preserve"> </w:t>
      </w:r>
      <w:r w:rsidR="00AE1B49" w:rsidRPr="00372002">
        <w:rPr>
          <w:rFonts w:ascii="Calibri" w:hAnsi="Calibri" w:cs="Calibri"/>
          <w:color w:val="000000" w:themeColor="text1"/>
          <w:sz w:val="22"/>
          <w:szCs w:val="22"/>
          <w:shd w:val="clear" w:color="auto" w:fill="FFFFFF"/>
        </w:rPr>
        <w:t>et </w:t>
      </w:r>
      <w:r w:rsidR="00AE1B49" w:rsidRPr="00372002">
        <w:rPr>
          <w:rFonts w:ascii="Calibri" w:hAnsi="Calibri" w:cs="Calibri"/>
          <w:i/>
          <w:iCs/>
          <w:color w:val="000000" w:themeColor="text1"/>
          <w:sz w:val="22"/>
          <w:szCs w:val="22"/>
          <w:shd w:val="clear" w:color="auto" w:fill="FFFFFF"/>
        </w:rPr>
        <w:t>textilis</w:t>
      </w:r>
      <w:r w:rsidR="00AE1B49">
        <w:rPr>
          <w:rFonts w:ascii="Calibri" w:hAnsi="Calibri" w:cs="Calibri"/>
          <w:color w:val="000000" w:themeColor="text1"/>
          <w:sz w:val="22"/>
          <w:szCs w:val="22"/>
          <w:shd w:val="clear" w:color="auto" w:fill="FFFFFF"/>
        </w:rPr>
        <w:t xml:space="preserve"> _</w:t>
      </w:r>
      <w:r w:rsidR="00DC30E9" w:rsidRPr="00DC30E9">
        <w:rPr>
          <w:rFonts w:ascii="Calibri" w:hAnsi="Calibri" w:cs="Calibri"/>
          <w:color w:val="000000" w:themeColor="text1"/>
          <w:sz w:val="22"/>
          <w:szCs w:val="22"/>
          <w:shd w:val="clear" w:color="auto" w:fill="FFFFFF"/>
        </w:rPr>
        <w:t>, qui se recoupent et qui peuvent par ailleurs facilement se croiser</w:t>
      </w:r>
      <w:r w:rsidR="00DC30E9">
        <w:rPr>
          <w:rFonts w:ascii="Calibri" w:hAnsi="Calibri" w:cs="Calibri"/>
          <w:color w:val="000000" w:themeColor="text1"/>
          <w:sz w:val="22"/>
          <w:szCs w:val="22"/>
          <w:shd w:val="clear" w:color="auto" w:fill="FFFFFF"/>
        </w:rPr>
        <w:t> :</w:t>
      </w:r>
    </w:p>
    <w:p w14:paraId="3918F218" w14:textId="7C9AF1F0" w:rsidR="00DC30E9" w:rsidRDefault="00AE1B49" w:rsidP="001406AF">
      <w:pPr>
        <w:pStyle w:val="NormalWeb"/>
        <w:shd w:val="clear" w:color="auto" w:fill="FFFFFF"/>
        <w:spacing w:before="0" w:beforeAutospacing="0" w:after="0" w:afterAutospacing="0"/>
        <w:jc w:val="both"/>
        <w:rPr>
          <w:rFonts w:ascii="Calibri" w:hAnsi="Calibri" w:cs="Calibri"/>
          <w:color w:val="000000" w:themeColor="text1"/>
          <w:sz w:val="22"/>
          <w:szCs w:val="22"/>
          <w:shd w:val="clear" w:color="auto" w:fill="FFFFFF"/>
        </w:rPr>
      </w:pPr>
      <w:r>
        <w:rPr>
          <w:rFonts w:ascii="Calibri" w:hAnsi="Calibri" w:cs="Calibri"/>
          <w:color w:val="000000" w:themeColor="text1"/>
          <w:sz w:val="22"/>
          <w:szCs w:val="22"/>
          <w:shd w:val="clear" w:color="auto" w:fill="FFFFFF"/>
        </w:rPr>
        <w:sym w:font="Wingdings" w:char="F06C"/>
      </w:r>
      <w:r>
        <w:rPr>
          <w:rFonts w:ascii="Calibri" w:hAnsi="Calibri" w:cs="Calibri"/>
          <w:color w:val="000000" w:themeColor="text1"/>
          <w:sz w:val="22"/>
          <w:szCs w:val="22"/>
          <w:shd w:val="clear" w:color="auto" w:fill="FFFFFF"/>
        </w:rPr>
        <w:t xml:space="preserve"> </w:t>
      </w:r>
      <w:r w:rsidR="00DC30E9" w:rsidRPr="00DC30E9">
        <w:rPr>
          <w:rFonts w:ascii="Calibri" w:hAnsi="Calibri" w:cs="Calibri"/>
          <w:color w:val="000000" w:themeColor="text1"/>
          <w:sz w:val="22"/>
          <w:szCs w:val="22"/>
          <w:shd w:val="clear" w:color="auto" w:fill="FFFFFF"/>
        </w:rPr>
        <w:t>Le Groupe </w:t>
      </w:r>
      <w:r w:rsidR="00DC30E9" w:rsidRPr="00DC30E9">
        <w:rPr>
          <w:rFonts w:ascii="Calibri" w:hAnsi="Calibri" w:cs="Calibri"/>
          <w:i/>
          <w:iCs/>
          <w:color w:val="000000" w:themeColor="text1"/>
          <w:sz w:val="22"/>
          <w:szCs w:val="22"/>
          <w:shd w:val="clear" w:color="auto" w:fill="FFFFFF"/>
        </w:rPr>
        <w:t>Unguiculata</w:t>
      </w:r>
      <w:r w:rsidR="00DC30E9" w:rsidRPr="00DC30E9">
        <w:rPr>
          <w:rFonts w:ascii="Calibri" w:hAnsi="Calibri" w:cs="Calibri"/>
          <w:color w:val="000000" w:themeColor="text1"/>
          <w:sz w:val="22"/>
          <w:szCs w:val="22"/>
          <w:shd w:val="clear" w:color="auto" w:fill="FFFFFF"/>
        </w:rPr>
        <w:t> </w:t>
      </w:r>
      <w:r w:rsidR="00DC30E9" w:rsidRPr="00DC30E9">
        <w:rPr>
          <w:rFonts w:ascii="Calibri" w:hAnsi="Calibri" w:cs="Calibri"/>
          <w:color w:val="202122"/>
          <w:sz w:val="22"/>
          <w:szCs w:val="22"/>
          <w:shd w:val="clear" w:color="auto" w:fill="FFFFFF"/>
        </w:rPr>
        <w:t>(</w:t>
      </w:r>
      <w:hyperlink r:id="rId2033" w:tooltip="Vigna unguiculata unguiculata" w:history="1">
        <w:r w:rsidR="00DC30E9" w:rsidRPr="00DC30E9">
          <w:rPr>
            <w:rStyle w:val="Lienhypertexte"/>
            <w:rFonts w:ascii="Calibri" w:hAnsi="Calibri" w:cs="Calibri"/>
            <w:i/>
            <w:iCs/>
            <w:color w:val="0645AD"/>
            <w:sz w:val="22"/>
            <w:szCs w:val="22"/>
            <w:shd w:val="clear" w:color="auto" w:fill="FFFFFF"/>
          </w:rPr>
          <w:t>Vigna unguiculata subsp. unguiculata</w:t>
        </w:r>
      </w:hyperlink>
      <w:r w:rsidR="00DC30E9" w:rsidRPr="00DC30E9">
        <w:rPr>
          <w:rFonts w:ascii="Calibri" w:hAnsi="Calibri" w:cs="Calibri"/>
          <w:color w:val="202122"/>
          <w:sz w:val="22"/>
          <w:szCs w:val="22"/>
          <w:shd w:val="clear" w:color="auto" w:fill="FFFFFF"/>
        </w:rPr>
        <w:t xml:space="preserve">, </w:t>
      </w:r>
      <w:r w:rsidR="00DC30E9" w:rsidRPr="00DC30E9">
        <w:rPr>
          <w:rFonts w:ascii="Calibri" w:hAnsi="Calibri" w:cs="Calibri"/>
          <w:color w:val="000000" w:themeColor="text1"/>
          <w:sz w:val="22"/>
          <w:szCs w:val="22"/>
          <w:shd w:val="clear" w:color="auto" w:fill="FFFFFF"/>
        </w:rPr>
        <w:t>niébé commun</w:t>
      </w:r>
      <w:r w:rsidR="00DC30E9" w:rsidRPr="00DC30E9">
        <w:rPr>
          <w:rFonts w:ascii="Calibri" w:hAnsi="Calibri" w:cs="Calibri"/>
          <w:color w:val="202122"/>
          <w:sz w:val="22"/>
          <w:szCs w:val="22"/>
          <w:shd w:val="clear" w:color="auto" w:fill="FFFFFF"/>
        </w:rPr>
        <w:t xml:space="preserve">, </w:t>
      </w:r>
      <w:r w:rsidR="00DC30E9" w:rsidRPr="00DC30E9">
        <w:rPr>
          <w:rFonts w:ascii="Calibri" w:hAnsi="Calibri" w:cs="Calibri"/>
          <w:color w:val="000000" w:themeColor="text1"/>
          <w:sz w:val="22"/>
          <w:szCs w:val="22"/>
          <w:shd w:val="clear" w:color="auto" w:fill="FFFFFF"/>
        </w:rPr>
        <w:t>pois à vache) : types de légume sec et de légume frais, cultivés pour leurs grains secs ou immatures, leurs jeunes gousses ou leurs feuilles. Plante au port prostré à érigé, atteignant 80 cm de haut, floraison tardive, gousses de 10–30 cm de long, pendantes, dures et fermes, non renflées à l’état jeune, contenant de nombreuses graines non espacées, de 6−10 </w:t>
      </w:r>
      <w:r w:rsidR="00DC30E9" w:rsidRPr="00DC30E9">
        <w:rPr>
          <w:rFonts w:ascii="Calibri" w:hAnsi="Calibri" w:cs="Calibri"/>
          <w:color w:val="000000" w:themeColor="text1"/>
          <w:sz w:val="22"/>
          <w:szCs w:val="22"/>
        </w:rPr>
        <w:t>mm</w:t>
      </w:r>
      <w:r w:rsidR="00DC30E9" w:rsidRPr="00DC30E9">
        <w:rPr>
          <w:rFonts w:ascii="Calibri" w:hAnsi="Calibri" w:cs="Calibri"/>
          <w:color w:val="000000" w:themeColor="text1"/>
          <w:sz w:val="22"/>
          <w:szCs w:val="22"/>
          <w:shd w:val="clear" w:color="auto" w:fill="FFFFFF"/>
        </w:rPr>
        <w:t>, à tégument épais; la plupart des cultivars africains appartiennent à ce groupe.</w:t>
      </w:r>
      <w:r w:rsidR="002E5714">
        <w:rPr>
          <w:rFonts w:ascii="Calibri" w:hAnsi="Calibri" w:cs="Calibri"/>
          <w:color w:val="000000" w:themeColor="text1"/>
          <w:sz w:val="22"/>
          <w:szCs w:val="22"/>
          <w:shd w:val="clear" w:color="auto" w:fill="FFFFFF"/>
        </w:rPr>
        <w:t xml:space="preserve"> </w:t>
      </w:r>
      <w:r w:rsidR="002E5714" w:rsidRPr="002E5714">
        <w:rPr>
          <w:rFonts w:ascii="Calibri" w:hAnsi="Calibri" w:cs="Calibri"/>
          <w:color w:val="000000" w:themeColor="text1"/>
          <w:sz w:val="22"/>
          <w:szCs w:val="22"/>
          <w:shd w:val="clear" w:color="auto" w:fill="FFFFFF"/>
        </w:rPr>
        <w:t xml:space="preserve">En Afrique, il existe un grand nombre de variétés locales et de cultivars améliorés au sein du Groupe </w:t>
      </w:r>
      <w:r w:rsidR="002E5714" w:rsidRPr="002E5714">
        <w:rPr>
          <w:rFonts w:ascii="Calibri" w:hAnsi="Calibri" w:cs="Calibri"/>
          <w:i/>
          <w:iCs/>
          <w:color w:val="000000" w:themeColor="text1"/>
          <w:sz w:val="22"/>
          <w:szCs w:val="22"/>
          <w:shd w:val="clear" w:color="auto" w:fill="FFFFFF"/>
        </w:rPr>
        <w:t>Unguiculata</w:t>
      </w:r>
      <w:r w:rsidR="002E5714" w:rsidRPr="002E5714">
        <w:rPr>
          <w:rFonts w:ascii="Calibri" w:hAnsi="Calibri" w:cs="Calibri"/>
          <w:color w:val="000000" w:themeColor="text1"/>
          <w:sz w:val="22"/>
          <w:szCs w:val="22"/>
          <w:shd w:val="clear" w:color="auto" w:fill="FFFFFF"/>
        </w:rPr>
        <w:t>. Des types spéciaux à port érigé ou à tiges prostrées à longues pousses tendres sont cultivés comme légume-feuilles et parfois aussi pour leurs grains immatures ou leurs jeunes gousses. L’utilisation des types à double fin (graines et feuilles) devient très courante dans certains pays, parce que les feuilles sont le principal légume au début de la saison des pluies.</w:t>
      </w:r>
    </w:p>
    <w:p w14:paraId="27C4D2B5" w14:textId="74D3CE36" w:rsidR="00DC30E9" w:rsidRPr="009A47CC" w:rsidRDefault="00AE1B49" w:rsidP="001406AF">
      <w:pPr>
        <w:pStyle w:val="NormalWeb"/>
        <w:shd w:val="clear" w:color="auto" w:fill="FFFFFF"/>
        <w:spacing w:before="0" w:beforeAutospacing="0" w:after="0" w:afterAutospacing="0"/>
        <w:jc w:val="both"/>
        <w:rPr>
          <w:rFonts w:ascii="Calibri" w:hAnsi="Calibri" w:cs="Calibri"/>
          <w:color w:val="000000" w:themeColor="text1"/>
          <w:sz w:val="22"/>
          <w:szCs w:val="22"/>
          <w:shd w:val="clear" w:color="auto" w:fill="FFFFFF"/>
        </w:rPr>
      </w:pPr>
      <w:r>
        <w:rPr>
          <w:rFonts w:ascii="Calibri" w:hAnsi="Calibri" w:cs="Calibri"/>
          <w:color w:val="000000" w:themeColor="text1"/>
          <w:sz w:val="22"/>
          <w:szCs w:val="22"/>
          <w:shd w:val="clear" w:color="auto" w:fill="FFFFFF"/>
        </w:rPr>
        <w:sym w:font="Wingdings" w:char="F06C"/>
      </w:r>
      <w:r>
        <w:rPr>
          <w:rFonts w:ascii="Calibri" w:hAnsi="Calibri" w:cs="Calibri"/>
          <w:color w:val="000000" w:themeColor="text1"/>
          <w:sz w:val="22"/>
          <w:szCs w:val="22"/>
          <w:shd w:val="clear" w:color="auto" w:fill="FFFFFF"/>
        </w:rPr>
        <w:t xml:space="preserve"> </w:t>
      </w:r>
      <w:r w:rsidR="009A47CC" w:rsidRPr="00AE1B49">
        <w:rPr>
          <w:rFonts w:ascii="Calibri" w:hAnsi="Calibri" w:cs="Calibri"/>
          <w:color w:val="000000" w:themeColor="text1"/>
          <w:sz w:val="22"/>
          <w:szCs w:val="22"/>
          <w:shd w:val="clear" w:color="auto" w:fill="FFFFFF"/>
        </w:rPr>
        <w:t>Le Groupe </w:t>
      </w:r>
      <w:r w:rsidR="009A47CC" w:rsidRPr="00AE1B49">
        <w:rPr>
          <w:rFonts w:ascii="Calibri" w:hAnsi="Calibri" w:cs="Calibri"/>
          <w:i/>
          <w:iCs/>
          <w:color w:val="000000" w:themeColor="text1"/>
          <w:sz w:val="22"/>
          <w:szCs w:val="22"/>
          <w:shd w:val="clear" w:color="auto" w:fill="FFFFFF"/>
        </w:rPr>
        <w:t>Sesquipedalis</w:t>
      </w:r>
      <w:r w:rsidR="009A47CC" w:rsidRPr="00AE1B49">
        <w:rPr>
          <w:rFonts w:ascii="Calibri" w:hAnsi="Calibri" w:cs="Calibri"/>
          <w:color w:val="000000" w:themeColor="text1"/>
          <w:sz w:val="22"/>
          <w:szCs w:val="22"/>
          <w:shd w:val="clear" w:color="auto" w:fill="FFFFFF"/>
        </w:rPr>
        <w:t> </w:t>
      </w:r>
      <w:r w:rsidR="009A47CC" w:rsidRPr="009A47CC">
        <w:rPr>
          <w:rFonts w:ascii="Calibri" w:hAnsi="Calibri" w:cs="Calibri"/>
          <w:color w:val="202122"/>
          <w:sz w:val="22"/>
          <w:szCs w:val="22"/>
          <w:shd w:val="clear" w:color="auto" w:fill="FFFFFF"/>
        </w:rPr>
        <w:t>(</w:t>
      </w:r>
      <w:hyperlink r:id="rId2034" w:tooltip="Vigna unguiculata subsp. sesquipedalis" w:history="1">
        <w:r w:rsidR="009A47CC" w:rsidRPr="009A47CC">
          <w:rPr>
            <w:rStyle w:val="Lienhypertexte"/>
            <w:rFonts w:ascii="Calibri" w:hAnsi="Calibri" w:cs="Calibri"/>
            <w:i/>
            <w:iCs/>
            <w:color w:val="0645AD"/>
            <w:sz w:val="22"/>
            <w:szCs w:val="22"/>
            <w:shd w:val="clear" w:color="auto" w:fill="FFFFFF"/>
          </w:rPr>
          <w:t>Vigna unguiculata subsp. sesquipedalis</w:t>
        </w:r>
      </w:hyperlink>
      <w:r w:rsidR="009A47CC" w:rsidRPr="009A47CC">
        <w:rPr>
          <w:rFonts w:ascii="Calibri" w:hAnsi="Calibri" w:cs="Calibri"/>
          <w:color w:val="000000" w:themeColor="text1"/>
          <w:sz w:val="22"/>
          <w:szCs w:val="22"/>
          <w:shd w:val="clear" w:color="auto" w:fill="FFFFFF"/>
        </w:rPr>
        <w:t xml:space="preserve">, </w:t>
      </w:r>
      <w:hyperlink r:id="rId2035" w:tooltip="Cornille" w:history="1">
        <w:r w:rsidR="00AC59D9" w:rsidRPr="00DC30E9">
          <w:rPr>
            <w:rStyle w:val="Lienhypertexte"/>
            <w:rFonts w:ascii="Calibri" w:hAnsi="Calibri" w:cs="Calibri"/>
            <w:color w:val="0645AD"/>
            <w:sz w:val="22"/>
            <w:szCs w:val="22"/>
            <w:shd w:val="clear" w:color="auto" w:fill="FFFFFF"/>
          </w:rPr>
          <w:t>cornille</w:t>
        </w:r>
      </w:hyperlink>
      <w:r w:rsidR="00AC59D9">
        <w:rPr>
          <w:rFonts w:ascii="Calibri" w:hAnsi="Calibri" w:cs="Calibri"/>
          <w:sz w:val="22"/>
          <w:szCs w:val="22"/>
        </w:rPr>
        <w:t>,</w:t>
      </w:r>
      <w:r w:rsidR="009A47CC" w:rsidRPr="009A47CC">
        <w:rPr>
          <w:rFonts w:ascii="Calibri" w:hAnsi="Calibri" w:cs="Calibri"/>
          <w:color w:val="000000" w:themeColor="text1"/>
          <w:sz w:val="22"/>
          <w:szCs w:val="22"/>
          <w:shd w:val="clear" w:color="auto" w:fill="FFFFFF"/>
        </w:rPr>
        <w:t xml:space="preserve"> haricot kilomètre ou </w:t>
      </w:r>
      <w:hyperlink r:id="rId2036" w:tooltip="Dolique asperge" w:history="1">
        <w:r w:rsidR="009A47CC" w:rsidRPr="009A47CC">
          <w:rPr>
            <w:rStyle w:val="Lienhypertexte"/>
            <w:rFonts w:ascii="Calibri" w:hAnsi="Calibri" w:cs="Calibri"/>
            <w:color w:val="0645AD"/>
            <w:sz w:val="22"/>
            <w:szCs w:val="22"/>
            <w:shd w:val="clear" w:color="auto" w:fill="FFFFFF"/>
          </w:rPr>
          <w:t>dolique asperge</w:t>
        </w:r>
      </w:hyperlink>
      <w:r w:rsidR="009A47CC" w:rsidRPr="009A47CC">
        <w:rPr>
          <w:rFonts w:ascii="Calibri" w:hAnsi="Calibri" w:cs="Calibri"/>
          <w:color w:val="202122"/>
          <w:sz w:val="22"/>
          <w:szCs w:val="22"/>
          <w:shd w:val="clear" w:color="auto" w:fill="FFFFFF"/>
        </w:rPr>
        <w:t xml:space="preserve">, </w:t>
      </w:r>
      <w:r w:rsidR="009A47CC" w:rsidRPr="009A47CC">
        <w:rPr>
          <w:rFonts w:ascii="Calibri" w:hAnsi="Calibri" w:cs="Calibri"/>
          <w:color w:val="000000" w:themeColor="text1"/>
          <w:sz w:val="22"/>
          <w:szCs w:val="22"/>
          <w:shd w:val="clear" w:color="auto" w:fill="FFFFFF"/>
        </w:rPr>
        <w:t>synonymes : </w:t>
      </w:r>
      <w:r w:rsidR="009A47CC" w:rsidRPr="009A47CC">
        <w:rPr>
          <w:rFonts w:ascii="Calibri" w:hAnsi="Calibri" w:cs="Calibri"/>
          <w:i/>
          <w:iCs/>
          <w:color w:val="000000" w:themeColor="text1"/>
          <w:sz w:val="22"/>
          <w:szCs w:val="22"/>
          <w:shd w:val="clear" w:color="auto" w:fill="FFFFFF"/>
        </w:rPr>
        <w:t>Dolichos sesquipedalis</w:t>
      </w:r>
      <w:r w:rsidR="009A47CC" w:rsidRPr="009A47CC">
        <w:rPr>
          <w:rFonts w:ascii="Calibri" w:hAnsi="Calibri" w:cs="Calibri"/>
          <w:color w:val="000000" w:themeColor="text1"/>
          <w:sz w:val="22"/>
          <w:szCs w:val="22"/>
          <w:shd w:val="clear" w:color="auto" w:fill="FFFFFF"/>
        </w:rPr>
        <w:t>, </w:t>
      </w:r>
      <w:r w:rsidR="009A47CC" w:rsidRPr="009A47CC">
        <w:rPr>
          <w:rFonts w:ascii="Calibri" w:hAnsi="Calibri" w:cs="Calibri"/>
          <w:i/>
          <w:iCs/>
          <w:color w:val="000000" w:themeColor="text1"/>
          <w:sz w:val="22"/>
          <w:szCs w:val="22"/>
          <w:shd w:val="clear" w:color="auto" w:fill="FFFFFF"/>
        </w:rPr>
        <w:t>Vigna sesquipedalis</w:t>
      </w:r>
      <w:r w:rsidR="009A47CC" w:rsidRPr="009A47CC">
        <w:rPr>
          <w:rFonts w:ascii="Calibri" w:hAnsi="Calibri" w:cs="Calibri"/>
          <w:color w:val="000000" w:themeColor="text1"/>
          <w:sz w:val="22"/>
          <w:szCs w:val="22"/>
          <w:shd w:val="clear" w:color="auto" w:fill="FFFFFF"/>
        </w:rPr>
        <w:t>) : cultivé pour ses jeunes gousses ; plante grimpante, tige atteignant 4 m de long, gousses de 30–120 cm de long, pendantes, renflées à l’état jeune, contenant de nombreuses graines espacées, souvent noires ou brunes ; important légume en Asie du Sud-Est, mais d’importance secondaire en Afrique tropicale, où seuls des cultivars introduits d’Asie sont cultivé.</w:t>
      </w:r>
      <w:r w:rsidR="002E5714">
        <w:rPr>
          <w:rFonts w:ascii="Calibri" w:hAnsi="Calibri" w:cs="Calibri"/>
          <w:color w:val="000000" w:themeColor="text1"/>
          <w:sz w:val="22"/>
          <w:szCs w:val="22"/>
          <w:shd w:val="clear" w:color="auto" w:fill="FFFFFF"/>
        </w:rPr>
        <w:t xml:space="preserve"> </w:t>
      </w:r>
      <w:r w:rsidR="002E5714" w:rsidRPr="002E5714">
        <w:rPr>
          <w:rFonts w:ascii="Calibri" w:hAnsi="Calibri" w:cs="Calibri"/>
          <w:color w:val="000000" w:themeColor="text1"/>
          <w:sz w:val="22"/>
          <w:szCs w:val="22"/>
          <w:shd w:val="clear" w:color="auto" w:fill="FFFFFF"/>
        </w:rPr>
        <w:t>Différents cultivars de haricot-kilomètre sont proposés par les firmes semencières asiatiques, qui offrent tout un éventail de caractéristiques de la plante.</w:t>
      </w:r>
    </w:p>
    <w:p w14:paraId="3E79C3ED" w14:textId="1D28BE36" w:rsidR="009A47CC" w:rsidRDefault="00AE1B49" w:rsidP="001406AF">
      <w:pPr>
        <w:pStyle w:val="NormalWeb"/>
        <w:shd w:val="clear" w:color="auto" w:fill="FFFFFF"/>
        <w:spacing w:before="0" w:beforeAutospacing="0" w:after="0" w:afterAutospacing="0"/>
        <w:jc w:val="both"/>
        <w:rPr>
          <w:rFonts w:ascii="Calibri" w:hAnsi="Calibri" w:cs="Calibri"/>
          <w:color w:val="000000" w:themeColor="text1"/>
          <w:sz w:val="22"/>
          <w:szCs w:val="22"/>
          <w:shd w:val="clear" w:color="auto" w:fill="FFFFFF"/>
        </w:rPr>
      </w:pPr>
      <w:r>
        <w:rPr>
          <w:rFonts w:ascii="Calibri" w:hAnsi="Calibri" w:cs="Calibri"/>
          <w:color w:val="000000" w:themeColor="text1"/>
          <w:sz w:val="22"/>
          <w:szCs w:val="22"/>
          <w:shd w:val="clear" w:color="auto" w:fill="FFFFFF"/>
        </w:rPr>
        <w:sym w:font="Wingdings" w:char="F06C"/>
      </w:r>
      <w:r>
        <w:rPr>
          <w:rFonts w:ascii="Calibri" w:hAnsi="Calibri" w:cs="Calibri"/>
          <w:color w:val="000000" w:themeColor="text1"/>
          <w:sz w:val="22"/>
          <w:szCs w:val="22"/>
          <w:shd w:val="clear" w:color="auto" w:fill="FFFFFF"/>
        </w:rPr>
        <w:t xml:space="preserve"> </w:t>
      </w:r>
      <w:r w:rsidRPr="00AE1B49">
        <w:rPr>
          <w:rFonts w:ascii="Calibri" w:hAnsi="Calibri" w:cs="Calibri"/>
          <w:color w:val="000000" w:themeColor="text1"/>
          <w:sz w:val="22"/>
          <w:szCs w:val="22"/>
          <w:shd w:val="clear" w:color="auto" w:fill="FFFFFF"/>
        </w:rPr>
        <w:t xml:space="preserve">Le Groupe </w:t>
      </w:r>
      <w:r w:rsidRPr="00AE1B49">
        <w:rPr>
          <w:rFonts w:ascii="Calibri" w:hAnsi="Calibri" w:cs="Calibri"/>
          <w:i/>
          <w:iCs/>
          <w:color w:val="000000" w:themeColor="text1"/>
          <w:sz w:val="22"/>
          <w:szCs w:val="22"/>
          <w:shd w:val="clear" w:color="auto" w:fill="FFFFFF"/>
        </w:rPr>
        <w:t>Biflora</w:t>
      </w:r>
      <w:r w:rsidRPr="00AE1B49">
        <w:rPr>
          <w:rFonts w:ascii="Calibri" w:hAnsi="Calibri" w:cs="Calibri"/>
          <w:color w:val="000000" w:themeColor="text1"/>
          <w:sz w:val="22"/>
          <w:szCs w:val="22"/>
          <w:shd w:val="clear" w:color="auto" w:fill="FFFFFF"/>
        </w:rPr>
        <w:t xml:space="preserve"> (catjang)</w:t>
      </w:r>
      <w:r w:rsidR="00AC59D9">
        <w:rPr>
          <w:rFonts w:ascii="Calibri" w:hAnsi="Calibri" w:cs="Calibri"/>
          <w:color w:val="000000" w:themeColor="text1"/>
          <w:sz w:val="22"/>
          <w:szCs w:val="22"/>
          <w:shd w:val="clear" w:color="auto" w:fill="FFFFFF"/>
        </w:rPr>
        <w:t xml:space="preserve"> (</w:t>
      </w:r>
      <w:r w:rsidR="00AC59D9" w:rsidRPr="00AC59D9">
        <w:rPr>
          <w:rFonts w:ascii="Calibri" w:hAnsi="Calibri" w:cs="Calibri"/>
          <w:color w:val="000000" w:themeColor="text1"/>
          <w:sz w:val="22"/>
          <w:szCs w:val="22"/>
          <w:shd w:val="clear" w:color="auto" w:fill="FFFFFF"/>
        </w:rPr>
        <w:t>niébé proprement dit, cornille ou dolique mongette</w:t>
      </w:r>
      <w:r w:rsidR="00AC59D9">
        <w:rPr>
          <w:rFonts w:ascii="Calibri" w:hAnsi="Calibri" w:cs="Calibri"/>
          <w:color w:val="000000" w:themeColor="text1"/>
          <w:sz w:val="22"/>
          <w:szCs w:val="22"/>
          <w:shd w:val="clear" w:color="auto" w:fill="FFFFFF"/>
        </w:rPr>
        <w:t>)</w:t>
      </w:r>
      <w:r w:rsidRPr="00AE1B49">
        <w:rPr>
          <w:rFonts w:ascii="Calibri" w:hAnsi="Calibri" w:cs="Calibri"/>
          <w:color w:val="000000" w:themeColor="text1"/>
          <w:sz w:val="22"/>
          <w:szCs w:val="22"/>
          <w:shd w:val="clear" w:color="auto" w:fill="FFFFFF"/>
        </w:rPr>
        <w:t xml:space="preserve"> : cultivé pour ses graines sèches, ses gousses vertes et tendres et pour le fourrage ; port prostré à érigé, atteignant 80 cm de haut, floraison précoce, gousses de 7,5–12 cm de long, dressées ou ascendantes, dures et fermes, non renflées à l’état jeune, à graines de 3−6 mm, peu nombreuses et non espacées ; important en Inde et en Asie du Sud-Est, et également dans certaines parties d’Afrique (par ex. en Éthiopie).</w:t>
      </w:r>
    </w:p>
    <w:p w14:paraId="54C54CA7" w14:textId="6327E9E9" w:rsidR="00AE1B49" w:rsidRDefault="00AE1B49" w:rsidP="001406AF">
      <w:pPr>
        <w:pStyle w:val="NormalWeb"/>
        <w:shd w:val="clear" w:color="auto" w:fill="FFFFFF"/>
        <w:spacing w:before="0" w:beforeAutospacing="0" w:after="0" w:afterAutospacing="0"/>
        <w:jc w:val="both"/>
        <w:rPr>
          <w:rFonts w:ascii="Calibri" w:hAnsi="Calibri" w:cs="Calibri"/>
          <w:color w:val="000000" w:themeColor="text1"/>
          <w:sz w:val="22"/>
          <w:szCs w:val="22"/>
          <w:shd w:val="clear" w:color="auto" w:fill="FFFFFF"/>
        </w:rPr>
      </w:pPr>
      <w:r>
        <w:rPr>
          <w:rFonts w:ascii="Calibri" w:hAnsi="Calibri" w:cs="Calibri"/>
          <w:color w:val="000000" w:themeColor="text1"/>
          <w:sz w:val="22"/>
          <w:szCs w:val="22"/>
          <w:shd w:val="clear" w:color="auto" w:fill="FFFFFF"/>
        </w:rPr>
        <w:sym w:font="Wingdings" w:char="F06C"/>
      </w:r>
      <w:r>
        <w:rPr>
          <w:rFonts w:ascii="Calibri" w:hAnsi="Calibri" w:cs="Calibri"/>
          <w:color w:val="000000" w:themeColor="text1"/>
          <w:sz w:val="22"/>
          <w:szCs w:val="22"/>
          <w:shd w:val="clear" w:color="auto" w:fill="FFFFFF"/>
        </w:rPr>
        <w:t xml:space="preserve"> </w:t>
      </w:r>
      <w:r w:rsidRPr="00AE1B49">
        <w:rPr>
          <w:rFonts w:ascii="Calibri" w:hAnsi="Calibri" w:cs="Calibri"/>
          <w:color w:val="000000" w:themeColor="text1"/>
          <w:sz w:val="22"/>
          <w:szCs w:val="22"/>
          <w:shd w:val="clear" w:color="auto" w:fill="FFFFFF"/>
        </w:rPr>
        <w:t xml:space="preserve">Le Groupe </w:t>
      </w:r>
      <w:r w:rsidRPr="00AE1B49">
        <w:rPr>
          <w:rFonts w:ascii="Calibri" w:hAnsi="Calibri" w:cs="Calibri"/>
          <w:i/>
          <w:iCs/>
          <w:color w:val="000000" w:themeColor="text1"/>
          <w:sz w:val="22"/>
          <w:szCs w:val="22"/>
          <w:shd w:val="clear" w:color="auto" w:fill="FFFFFF"/>
        </w:rPr>
        <w:t>Melanophthalmus</w:t>
      </w:r>
      <w:r w:rsidRPr="00AE1B49">
        <w:rPr>
          <w:rFonts w:ascii="Calibri" w:hAnsi="Calibri" w:cs="Calibri"/>
          <w:color w:val="000000" w:themeColor="text1"/>
          <w:sz w:val="22"/>
          <w:szCs w:val="22"/>
          <w:shd w:val="clear" w:color="auto" w:fill="FFFFFF"/>
        </w:rPr>
        <w:t xml:space="preserve"> : originaire d’Afrique de l’Ouest ; plante photosensible pouvant fleurir précocement à partir des premiers nœuds sous conditions inductives, gousses de 10−30 cm contenant relativement peu de graines, tégument fin, souvent ridé, partiellement blanc. Suivant les cultivars, les graines peuvent être séparées ou serrées les unes contre les autres dans la gousse, d'où le nom de </w:t>
      </w:r>
      <w:r w:rsidRPr="00AE1B49">
        <w:rPr>
          <w:rFonts w:ascii="Calibri" w:hAnsi="Calibri" w:cs="Calibri"/>
          <w:i/>
          <w:iCs/>
          <w:color w:val="000000" w:themeColor="text1"/>
          <w:sz w:val="22"/>
          <w:szCs w:val="22"/>
          <w:shd w:val="clear" w:color="auto" w:fill="FFFFFF"/>
        </w:rPr>
        <w:t>crowder pea</w:t>
      </w:r>
      <w:r w:rsidRPr="00AE1B49">
        <w:rPr>
          <w:rFonts w:ascii="Calibri" w:hAnsi="Calibri" w:cs="Calibri"/>
          <w:color w:val="000000" w:themeColor="text1"/>
          <w:sz w:val="22"/>
          <w:szCs w:val="22"/>
          <w:shd w:val="clear" w:color="auto" w:fill="FFFFFF"/>
        </w:rPr>
        <w:t xml:space="preserve"> aux États-Unis pour ces derniers.</w:t>
      </w:r>
    </w:p>
    <w:p w14:paraId="0AAFCD5A" w14:textId="3FFB59EF" w:rsidR="00AE1B49" w:rsidRDefault="00AE1B49" w:rsidP="00AE1B49">
      <w:pPr>
        <w:shd w:val="clear" w:color="auto" w:fill="FFFFFF"/>
        <w:spacing w:after="0" w:line="240" w:lineRule="auto"/>
        <w:jc w:val="both"/>
        <w:rPr>
          <w:rFonts w:ascii="Calibri" w:hAnsi="Calibri" w:cs="Calibri"/>
          <w:color w:val="000000" w:themeColor="text1"/>
        </w:rPr>
      </w:pPr>
      <w:r>
        <w:rPr>
          <w:rFonts w:ascii="Calibri" w:hAnsi="Calibri" w:cs="Calibri"/>
          <w:color w:val="000000" w:themeColor="text1"/>
          <w:shd w:val="clear" w:color="auto" w:fill="FFFFFF"/>
        </w:rPr>
        <w:sym w:font="Wingdings" w:char="F06C"/>
      </w:r>
      <w:r>
        <w:rPr>
          <w:rFonts w:ascii="Calibri" w:hAnsi="Calibri" w:cs="Calibri"/>
          <w:color w:val="000000" w:themeColor="text1"/>
          <w:shd w:val="clear" w:color="auto" w:fill="FFFFFF"/>
        </w:rPr>
        <w:t xml:space="preserve"> </w:t>
      </w:r>
      <w:r w:rsidRPr="00AE1B49">
        <w:rPr>
          <w:rFonts w:ascii="Calibri" w:hAnsi="Calibri" w:cs="Calibri"/>
          <w:color w:val="000000" w:themeColor="text1"/>
        </w:rPr>
        <w:t>Le Groupe </w:t>
      </w:r>
      <w:r w:rsidRPr="00AE1B49">
        <w:rPr>
          <w:rFonts w:ascii="Calibri" w:hAnsi="Calibri" w:cs="Calibri"/>
          <w:i/>
          <w:iCs/>
          <w:color w:val="000000" w:themeColor="text1"/>
        </w:rPr>
        <w:t>Textilis</w:t>
      </w:r>
      <w:r w:rsidRPr="00AE1B49">
        <w:rPr>
          <w:rFonts w:ascii="Calibri" w:hAnsi="Calibri" w:cs="Calibri"/>
          <w:color w:val="000000" w:themeColor="text1"/>
        </w:rPr>
        <w:t> : petit groupe cultivé seulement au Nigeria pour ses fibres extraites des longs pédoncules qui atteignent 60 cm voire un mètre de long ; au début du XXe siècle, ce groupe était réparti du delta intérieur du </w:t>
      </w:r>
      <w:hyperlink r:id="rId2037" w:tooltip="Niger (fleuve)" w:history="1">
        <w:r w:rsidRPr="00AE1B49">
          <w:rPr>
            <w:rStyle w:val="Lienhypertexte"/>
            <w:rFonts w:ascii="Calibri" w:hAnsi="Calibri" w:cs="Calibri"/>
            <w:color w:val="0645AD"/>
          </w:rPr>
          <w:t>fleuve Niger</w:t>
        </w:r>
      </w:hyperlink>
      <w:r w:rsidRPr="00AE1B49">
        <w:rPr>
          <w:rFonts w:ascii="Calibri" w:hAnsi="Calibri" w:cs="Calibri"/>
          <w:color w:val="202122"/>
        </w:rPr>
        <w:t> </w:t>
      </w:r>
      <w:r w:rsidRPr="00AE1B49">
        <w:rPr>
          <w:rFonts w:ascii="Calibri" w:hAnsi="Calibri" w:cs="Calibri"/>
          <w:color w:val="000000" w:themeColor="text1"/>
        </w:rPr>
        <w:t>jusqu’au bassin du </w:t>
      </w:r>
      <w:hyperlink r:id="rId2038" w:tooltip="Lac Tchad" w:history="1">
        <w:r w:rsidRPr="00AE1B49">
          <w:rPr>
            <w:rStyle w:val="Lienhypertexte"/>
            <w:rFonts w:ascii="Calibri" w:hAnsi="Calibri" w:cs="Calibri"/>
            <w:color w:val="0645AD"/>
          </w:rPr>
          <w:t>lac Tchad</w:t>
        </w:r>
      </w:hyperlink>
      <w:r w:rsidRPr="00AE1B49">
        <w:rPr>
          <w:rFonts w:ascii="Calibri" w:hAnsi="Calibri" w:cs="Calibri"/>
          <w:color w:val="202122"/>
        </w:rPr>
        <w:t xml:space="preserve">, </w:t>
      </w:r>
      <w:r w:rsidRPr="00AE1B49">
        <w:rPr>
          <w:rFonts w:ascii="Calibri" w:hAnsi="Calibri" w:cs="Calibri"/>
          <w:color w:val="000000" w:themeColor="text1"/>
        </w:rPr>
        <w:t>mais il disparaît progressivement.</w:t>
      </w:r>
    </w:p>
    <w:p w14:paraId="28B5FF4A" w14:textId="721878E7" w:rsidR="003B62F6" w:rsidRPr="00AE1B49" w:rsidRDefault="003B62F6" w:rsidP="00AE1B49">
      <w:pPr>
        <w:shd w:val="clear" w:color="auto" w:fill="FFFFFF"/>
        <w:spacing w:after="0" w:line="240" w:lineRule="auto"/>
        <w:jc w:val="both"/>
        <w:rPr>
          <w:rFonts w:ascii="Calibri" w:hAnsi="Calibri" w:cs="Calibri"/>
          <w:color w:val="000000" w:themeColor="text1"/>
        </w:rPr>
      </w:pPr>
      <w:r w:rsidRPr="003B62F6">
        <w:rPr>
          <w:rFonts w:ascii="Calibri" w:hAnsi="Calibri" w:cs="Calibri"/>
          <w:color w:val="000000" w:themeColor="text1"/>
        </w:rPr>
        <w:t>Au Nigeria, on fait pousser des cultivars spéciaux pour leur fibre, extraite des pédoncules ; la fibre solide est particulièrement adaptée aux équipements de pêche et elle produit un papier de bonne qualité.</w:t>
      </w:r>
    </w:p>
    <w:p w14:paraId="21842186" w14:textId="5737DC50" w:rsidR="00662E66" w:rsidRDefault="001406AF" w:rsidP="00662E66">
      <w:pPr>
        <w:spacing w:after="0" w:line="240" w:lineRule="auto"/>
        <w:rPr>
          <w:color w:val="000000" w:themeColor="text1"/>
        </w:rPr>
      </w:pPr>
      <w:r>
        <w:rPr>
          <w:rFonts w:ascii="Calibri" w:hAnsi="Calibri" w:cs="Calibri"/>
          <w:color w:val="000000" w:themeColor="text1"/>
          <w:shd w:val="clear" w:color="auto" w:fill="F8F9FA"/>
        </w:rPr>
        <w:t xml:space="preserve">Sources : a) </w:t>
      </w:r>
      <w:hyperlink r:id="rId2039" w:history="1">
        <w:r w:rsidR="00D36C5B" w:rsidRPr="00EF49E5">
          <w:rPr>
            <w:rStyle w:val="Lienhypertexte"/>
            <w:rFonts w:ascii="Calibri" w:hAnsi="Calibri" w:cs="Calibri"/>
            <w:shd w:val="clear" w:color="auto" w:fill="F8F9FA"/>
          </w:rPr>
          <w:t>https://fr.wikipedia.org/wiki/Vigna_unguiculata</w:t>
        </w:r>
      </w:hyperlink>
      <w:r w:rsidR="00D36C5B" w:rsidRPr="007F457F">
        <w:rPr>
          <w:color w:val="000000" w:themeColor="text1"/>
        </w:rPr>
        <w:t xml:space="preserve">, b) </w:t>
      </w:r>
      <w:hyperlink r:id="rId2040" w:history="1">
        <w:r w:rsidR="007F457F" w:rsidRPr="00EF49E5">
          <w:rPr>
            <w:rStyle w:val="Lienhypertexte"/>
          </w:rPr>
          <w:t>https://en.wikipedia.org/wiki/Cowpea</w:t>
        </w:r>
      </w:hyperlink>
      <w:r w:rsidR="007F457F">
        <w:rPr>
          <w:color w:val="000000" w:themeColor="text1"/>
        </w:rPr>
        <w:t xml:space="preserve">, </w:t>
      </w:r>
    </w:p>
    <w:p w14:paraId="150BCC7F" w14:textId="21F1BFDC" w:rsidR="00982B78" w:rsidRPr="00D36C5B" w:rsidRDefault="00982B78" w:rsidP="00662E66">
      <w:pPr>
        <w:spacing w:after="0" w:line="240" w:lineRule="auto"/>
      </w:pPr>
      <w:r>
        <w:rPr>
          <w:color w:val="000000" w:themeColor="text1"/>
        </w:rPr>
        <w:lastRenderedPageBreak/>
        <w:t xml:space="preserve">c) </w:t>
      </w:r>
      <w:hyperlink r:id="rId2041" w:history="1">
        <w:r w:rsidRPr="00EF49E5">
          <w:rPr>
            <w:rStyle w:val="Lienhypertexte"/>
          </w:rPr>
          <w:t>https://uses.plantnet-project.org/fr/Vigna_unguiculata_(PROTA)</w:t>
        </w:r>
      </w:hyperlink>
      <w:r>
        <w:rPr>
          <w:color w:val="000000" w:themeColor="text1"/>
        </w:rPr>
        <w:t xml:space="preserve">, d) </w:t>
      </w:r>
      <w:hyperlink r:id="rId2042" w:history="1">
        <w:r w:rsidRPr="00EF49E5">
          <w:rPr>
            <w:rStyle w:val="Lienhypertexte"/>
          </w:rPr>
          <w:t>https://fr.wikipedia.org/wiki/Cornille</w:t>
        </w:r>
      </w:hyperlink>
      <w:r>
        <w:rPr>
          <w:color w:val="000000" w:themeColor="text1"/>
        </w:rPr>
        <w:t xml:space="preserve"> </w:t>
      </w:r>
    </w:p>
    <w:p w14:paraId="7B5CCEEB" w14:textId="4E4FB21C" w:rsidR="001406AF" w:rsidRDefault="001406AF" w:rsidP="00662E66">
      <w:pPr>
        <w:spacing w:after="0" w:line="240" w:lineRule="auto"/>
        <w:rPr>
          <w:rFonts w:ascii="Calibri" w:hAnsi="Calibri" w:cs="Calibri"/>
          <w:color w:val="000000" w:themeColor="text1"/>
          <w:shd w:val="clear" w:color="auto" w:fill="F8F9FA"/>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3C7FF1" w14:paraId="7270D33B" w14:textId="77777777" w:rsidTr="003C7FF1">
        <w:tc>
          <w:tcPr>
            <w:tcW w:w="3472" w:type="dxa"/>
          </w:tcPr>
          <w:p w14:paraId="18D0B179" w14:textId="77777777" w:rsidR="001A26A0" w:rsidRDefault="009D7BF9" w:rsidP="001A26A0">
            <w:pPr>
              <w:jc w:val="center"/>
              <w:rPr>
                <w:rFonts w:ascii="Calibri" w:hAnsi="Calibri" w:cs="Calibri"/>
                <w:color w:val="000000" w:themeColor="text1"/>
                <w:shd w:val="clear" w:color="auto" w:fill="F8F9FA"/>
              </w:rPr>
            </w:pPr>
            <w:r>
              <w:rPr>
                <w:noProof/>
              </w:rPr>
              <w:drawing>
                <wp:inline distT="0" distB="0" distL="0" distR="0" wp14:anchorId="429F9BBA" wp14:editId="4991AD61">
                  <wp:extent cx="2045437" cy="2724150"/>
                  <wp:effectExtent l="0" t="0" r="0" b="0"/>
                  <wp:docPr id="101393" name="Image 101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043">
                            <a:extLst>
                              <a:ext uri="{28A0092B-C50C-407E-A947-70E740481C1C}">
                                <a14:useLocalDpi xmlns:a14="http://schemas.microsoft.com/office/drawing/2010/main" val="0"/>
                              </a:ext>
                            </a:extLst>
                          </a:blip>
                          <a:srcRect/>
                          <a:stretch>
                            <a:fillRect/>
                          </a:stretch>
                        </pic:blipFill>
                        <pic:spPr bwMode="auto">
                          <a:xfrm>
                            <a:off x="0" y="0"/>
                            <a:ext cx="2050812" cy="2731309"/>
                          </a:xfrm>
                          <a:prstGeom prst="rect">
                            <a:avLst/>
                          </a:prstGeom>
                          <a:noFill/>
                          <a:ln>
                            <a:noFill/>
                          </a:ln>
                        </pic:spPr>
                      </pic:pic>
                    </a:graphicData>
                  </a:graphic>
                </wp:inline>
              </w:drawing>
            </w:r>
          </w:p>
          <w:p w14:paraId="5B4B6A67" w14:textId="4B490C6A" w:rsidR="009D7BF9" w:rsidRDefault="009D7BF9" w:rsidP="001A26A0">
            <w:pPr>
              <w:jc w:val="center"/>
              <w:rPr>
                <w:rFonts w:ascii="Calibri" w:hAnsi="Calibri" w:cs="Calibri"/>
                <w:color w:val="000000" w:themeColor="text1"/>
                <w:shd w:val="clear" w:color="auto" w:fill="F8F9FA"/>
              </w:rPr>
            </w:pPr>
            <w:r w:rsidRPr="009D7BF9">
              <w:rPr>
                <w:rFonts w:ascii="Calibri" w:hAnsi="Calibri" w:cs="Calibri"/>
                <w:color w:val="000000" w:themeColor="text1"/>
                <w:shd w:val="clear" w:color="auto" w:fill="F8F9FA"/>
              </w:rPr>
              <w:t>Un plant de niébé avec quelques gousses prêtes à être récoltées</w:t>
            </w:r>
            <w:r>
              <w:rPr>
                <w:rFonts w:ascii="Calibri" w:hAnsi="Calibri" w:cs="Calibri"/>
                <w:color w:val="000000" w:themeColor="text1"/>
                <w:shd w:val="clear" w:color="auto" w:fill="F8F9FA"/>
              </w:rPr>
              <w:t>.</w:t>
            </w:r>
          </w:p>
        </w:tc>
        <w:tc>
          <w:tcPr>
            <w:tcW w:w="3472" w:type="dxa"/>
          </w:tcPr>
          <w:p w14:paraId="49E79B46" w14:textId="77777777" w:rsidR="001A26A0" w:rsidRDefault="00D7373A" w:rsidP="001A26A0">
            <w:pPr>
              <w:jc w:val="center"/>
              <w:rPr>
                <w:rFonts w:ascii="Calibri" w:hAnsi="Calibri" w:cs="Calibri"/>
                <w:color w:val="000000" w:themeColor="text1"/>
                <w:shd w:val="clear" w:color="auto" w:fill="F8F9FA"/>
              </w:rPr>
            </w:pPr>
            <w:r>
              <w:rPr>
                <w:noProof/>
              </w:rPr>
              <w:drawing>
                <wp:inline distT="0" distB="0" distL="0" distR="0" wp14:anchorId="5F2EAF6A" wp14:editId="0C230FC2">
                  <wp:extent cx="1752600" cy="1314450"/>
                  <wp:effectExtent l="0" t="0" r="0" b="0"/>
                  <wp:docPr id="101394" name="Image 101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044">
                            <a:extLst>
                              <a:ext uri="{28A0092B-C50C-407E-A947-70E740481C1C}">
                                <a14:useLocalDpi xmlns:a14="http://schemas.microsoft.com/office/drawing/2010/main" val="0"/>
                              </a:ext>
                            </a:extLst>
                          </a:blip>
                          <a:srcRect/>
                          <a:stretch>
                            <a:fillRect/>
                          </a:stretch>
                        </pic:blipFill>
                        <pic:spPr bwMode="auto">
                          <a:xfrm>
                            <a:off x="0" y="0"/>
                            <a:ext cx="1752600" cy="1314450"/>
                          </a:xfrm>
                          <a:prstGeom prst="rect">
                            <a:avLst/>
                          </a:prstGeom>
                          <a:noFill/>
                          <a:ln>
                            <a:noFill/>
                          </a:ln>
                        </pic:spPr>
                      </pic:pic>
                    </a:graphicData>
                  </a:graphic>
                </wp:inline>
              </w:drawing>
            </w:r>
          </w:p>
          <w:p w14:paraId="6DAB2C83" w14:textId="77777777" w:rsidR="00D7373A" w:rsidRDefault="00567562" w:rsidP="001A26A0">
            <w:pPr>
              <w:jc w:val="center"/>
              <w:rPr>
                <w:rFonts w:ascii="Calibri" w:hAnsi="Calibri" w:cs="Calibri"/>
                <w:color w:val="000000" w:themeColor="text1"/>
                <w:shd w:val="clear" w:color="auto" w:fill="F8F9FA"/>
              </w:rPr>
            </w:pPr>
            <w:r w:rsidRPr="00567562">
              <w:rPr>
                <w:rFonts w:ascii="Calibri" w:hAnsi="Calibri" w:cs="Calibri"/>
                <w:color w:val="000000" w:themeColor="text1"/>
                <w:shd w:val="clear" w:color="auto" w:fill="F8F9FA"/>
              </w:rPr>
              <w:t>La foliole terminale est symétrique; les latérales sont dissymétriques.</w:t>
            </w:r>
          </w:p>
          <w:p w14:paraId="5339FD0E" w14:textId="77777777" w:rsidR="00567562" w:rsidRDefault="00567562" w:rsidP="001A26A0">
            <w:pPr>
              <w:jc w:val="center"/>
              <w:rPr>
                <w:rFonts w:ascii="Calibri" w:hAnsi="Calibri" w:cs="Calibri"/>
                <w:color w:val="000000" w:themeColor="text1"/>
                <w:shd w:val="clear" w:color="auto" w:fill="F8F9FA"/>
              </w:rPr>
            </w:pPr>
            <w:r>
              <w:rPr>
                <w:noProof/>
              </w:rPr>
              <w:drawing>
                <wp:inline distT="0" distB="0" distL="0" distR="0" wp14:anchorId="62B1F200" wp14:editId="196455DF">
                  <wp:extent cx="1714500" cy="1285875"/>
                  <wp:effectExtent l="0" t="0" r="0" b="9525"/>
                  <wp:docPr id="101395" name="Image 101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045">
                            <a:extLst>
                              <a:ext uri="{28A0092B-C50C-407E-A947-70E740481C1C}">
                                <a14:useLocalDpi xmlns:a14="http://schemas.microsoft.com/office/drawing/2010/main" val="0"/>
                              </a:ext>
                            </a:extLst>
                          </a:blip>
                          <a:srcRect/>
                          <a:stretch>
                            <a:fillRect/>
                          </a:stretch>
                        </pic:blipFill>
                        <pic:spPr bwMode="auto">
                          <a:xfrm>
                            <a:off x="0" y="0"/>
                            <a:ext cx="1714500" cy="1285875"/>
                          </a:xfrm>
                          <a:prstGeom prst="rect">
                            <a:avLst/>
                          </a:prstGeom>
                          <a:noFill/>
                          <a:ln>
                            <a:noFill/>
                          </a:ln>
                        </pic:spPr>
                      </pic:pic>
                    </a:graphicData>
                  </a:graphic>
                </wp:inline>
              </w:drawing>
            </w:r>
          </w:p>
          <w:p w14:paraId="538B2E19" w14:textId="77777777" w:rsidR="00567562" w:rsidRDefault="00567562" w:rsidP="001A26A0">
            <w:pPr>
              <w:jc w:val="center"/>
              <w:rPr>
                <w:rFonts w:ascii="Calibri" w:hAnsi="Calibri" w:cs="Calibri"/>
                <w:color w:val="000000" w:themeColor="text1"/>
                <w:shd w:val="clear" w:color="auto" w:fill="F8F9FA"/>
              </w:rPr>
            </w:pPr>
            <w:r>
              <w:rPr>
                <w:rFonts w:ascii="Calibri" w:hAnsi="Calibri" w:cs="Calibri"/>
                <w:color w:val="000000" w:themeColor="text1"/>
                <w:shd w:val="clear" w:color="auto" w:fill="F8F9FA"/>
              </w:rPr>
              <w:t>Les gousses sont cylindriques.</w:t>
            </w:r>
          </w:p>
          <w:p w14:paraId="773DDECF" w14:textId="4A26F4D3" w:rsidR="003C7FF1" w:rsidRDefault="003C7FF1" w:rsidP="001A26A0">
            <w:pPr>
              <w:jc w:val="center"/>
              <w:rPr>
                <w:rFonts w:ascii="Calibri" w:hAnsi="Calibri" w:cs="Calibri"/>
                <w:color w:val="000000" w:themeColor="text1"/>
                <w:shd w:val="clear" w:color="auto" w:fill="F8F9FA"/>
              </w:rPr>
            </w:pPr>
          </w:p>
        </w:tc>
        <w:tc>
          <w:tcPr>
            <w:tcW w:w="3472" w:type="dxa"/>
          </w:tcPr>
          <w:p w14:paraId="7C4FE7D7" w14:textId="77777777" w:rsidR="001A26A0" w:rsidRDefault="001B75FC" w:rsidP="001A26A0">
            <w:pPr>
              <w:jc w:val="center"/>
              <w:rPr>
                <w:rFonts w:ascii="Calibri" w:hAnsi="Calibri" w:cs="Calibri"/>
                <w:color w:val="000000" w:themeColor="text1"/>
                <w:shd w:val="clear" w:color="auto" w:fill="F8F9FA"/>
              </w:rPr>
            </w:pPr>
            <w:r>
              <w:rPr>
                <w:noProof/>
              </w:rPr>
              <w:drawing>
                <wp:inline distT="0" distB="0" distL="0" distR="0" wp14:anchorId="1BD2B8CA" wp14:editId="2C92A950">
                  <wp:extent cx="1864778" cy="1400175"/>
                  <wp:effectExtent l="0" t="0" r="2540" b="0"/>
                  <wp:docPr id="101396" name="Image 101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046">
                            <a:extLst>
                              <a:ext uri="{28A0092B-C50C-407E-A947-70E740481C1C}">
                                <a14:useLocalDpi xmlns:a14="http://schemas.microsoft.com/office/drawing/2010/main" val="0"/>
                              </a:ext>
                            </a:extLst>
                          </a:blip>
                          <a:srcRect/>
                          <a:stretch>
                            <a:fillRect/>
                          </a:stretch>
                        </pic:blipFill>
                        <pic:spPr bwMode="auto">
                          <a:xfrm>
                            <a:off x="0" y="0"/>
                            <a:ext cx="1873732" cy="1406898"/>
                          </a:xfrm>
                          <a:prstGeom prst="rect">
                            <a:avLst/>
                          </a:prstGeom>
                          <a:noFill/>
                          <a:ln>
                            <a:noFill/>
                          </a:ln>
                        </pic:spPr>
                      </pic:pic>
                    </a:graphicData>
                  </a:graphic>
                </wp:inline>
              </w:drawing>
            </w:r>
          </w:p>
          <w:p w14:paraId="2395EE95" w14:textId="77777777" w:rsidR="001B75FC" w:rsidRDefault="001B75FC" w:rsidP="001A26A0">
            <w:pPr>
              <w:jc w:val="center"/>
              <w:rPr>
                <w:rFonts w:ascii="Calibri" w:hAnsi="Calibri" w:cs="Calibri"/>
                <w:color w:val="000000" w:themeColor="text1"/>
                <w:shd w:val="clear" w:color="auto" w:fill="F8F9FA"/>
              </w:rPr>
            </w:pPr>
          </w:p>
          <w:p w14:paraId="2D3F70DB" w14:textId="77777777" w:rsidR="001B75FC" w:rsidRDefault="001B75FC" w:rsidP="001A26A0">
            <w:pPr>
              <w:jc w:val="center"/>
              <w:rPr>
                <w:rFonts w:ascii="Calibri" w:hAnsi="Calibri" w:cs="Calibri"/>
                <w:color w:val="000000" w:themeColor="text1"/>
                <w:shd w:val="clear" w:color="auto" w:fill="F8F9FA"/>
              </w:rPr>
            </w:pPr>
            <w:r>
              <w:rPr>
                <w:noProof/>
              </w:rPr>
              <w:drawing>
                <wp:inline distT="0" distB="0" distL="0" distR="0" wp14:anchorId="3C5894A0" wp14:editId="0676C296">
                  <wp:extent cx="1852093" cy="1390650"/>
                  <wp:effectExtent l="0" t="0" r="0" b="0"/>
                  <wp:docPr id="101397" name="Image 101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047">
                            <a:extLst>
                              <a:ext uri="{28A0092B-C50C-407E-A947-70E740481C1C}">
                                <a14:useLocalDpi xmlns:a14="http://schemas.microsoft.com/office/drawing/2010/main" val="0"/>
                              </a:ext>
                            </a:extLst>
                          </a:blip>
                          <a:srcRect/>
                          <a:stretch>
                            <a:fillRect/>
                          </a:stretch>
                        </pic:blipFill>
                        <pic:spPr bwMode="auto">
                          <a:xfrm>
                            <a:off x="0" y="0"/>
                            <a:ext cx="1854786" cy="1392672"/>
                          </a:xfrm>
                          <a:prstGeom prst="rect">
                            <a:avLst/>
                          </a:prstGeom>
                          <a:noFill/>
                          <a:ln>
                            <a:noFill/>
                          </a:ln>
                        </pic:spPr>
                      </pic:pic>
                    </a:graphicData>
                  </a:graphic>
                </wp:inline>
              </w:drawing>
            </w:r>
          </w:p>
          <w:p w14:paraId="1B99B2E6" w14:textId="7F777A2C" w:rsidR="001B75FC" w:rsidRDefault="001B75FC" w:rsidP="001A26A0">
            <w:pPr>
              <w:jc w:val="center"/>
              <w:rPr>
                <w:rFonts w:ascii="Calibri" w:hAnsi="Calibri" w:cs="Calibri"/>
                <w:color w:val="000000" w:themeColor="text1"/>
                <w:shd w:val="clear" w:color="auto" w:fill="F8F9FA"/>
              </w:rPr>
            </w:pPr>
            <w:r>
              <w:rPr>
                <w:rFonts w:ascii="Calibri" w:hAnsi="Calibri" w:cs="Calibri"/>
                <w:color w:val="000000" w:themeColor="text1"/>
                <w:shd w:val="clear" w:color="auto" w:fill="F8F9FA"/>
              </w:rPr>
              <w:t>Gousses de diverses variétés.</w:t>
            </w:r>
          </w:p>
        </w:tc>
      </w:tr>
      <w:tr w:rsidR="003C7FF1" w14:paraId="16A3F507" w14:textId="77777777" w:rsidTr="003C7FF1">
        <w:tc>
          <w:tcPr>
            <w:tcW w:w="3472" w:type="dxa"/>
          </w:tcPr>
          <w:p w14:paraId="79252EED" w14:textId="77777777" w:rsidR="001A26A0" w:rsidRDefault="001B75FC" w:rsidP="001A26A0">
            <w:pPr>
              <w:jc w:val="center"/>
              <w:rPr>
                <w:rFonts w:ascii="Calibri" w:hAnsi="Calibri" w:cs="Calibri"/>
                <w:color w:val="000000" w:themeColor="text1"/>
                <w:shd w:val="clear" w:color="auto" w:fill="F8F9FA"/>
              </w:rPr>
            </w:pPr>
            <w:r>
              <w:rPr>
                <w:noProof/>
              </w:rPr>
              <w:drawing>
                <wp:inline distT="0" distB="0" distL="0" distR="0" wp14:anchorId="1D3E02B5" wp14:editId="1C508537">
                  <wp:extent cx="1773115" cy="1152525"/>
                  <wp:effectExtent l="0" t="0" r="0" b="0"/>
                  <wp:docPr id="101398" name="Image 101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048">
                            <a:extLst>
                              <a:ext uri="{28A0092B-C50C-407E-A947-70E740481C1C}">
                                <a14:useLocalDpi xmlns:a14="http://schemas.microsoft.com/office/drawing/2010/main" val="0"/>
                              </a:ext>
                            </a:extLst>
                          </a:blip>
                          <a:srcRect/>
                          <a:stretch>
                            <a:fillRect/>
                          </a:stretch>
                        </pic:blipFill>
                        <pic:spPr bwMode="auto">
                          <a:xfrm>
                            <a:off x="0" y="0"/>
                            <a:ext cx="1776514" cy="1154735"/>
                          </a:xfrm>
                          <a:prstGeom prst="rect">
                            <a:avLst/>
                          </a:prstGeom>
                          <a:noFill/>
                          <a:ln>
                            <a:noFill/>
                          </a:ln>
                        </pic:spPr>
                      </pic:pic>
                    </a:graphicData>
                  </a:graphic>
                </wp:inline>
              </w:drawing>
            </w:r>
          </w:p>
          <w:p w14:paraId="6D6468AE" w14:textId="74CA1D39" w:rsidR="001B75FC" w:rsidRDefault="001B75FC" w:rsidP="001A26A0">
            <w:pPr>
              <w:jc w:val="center"/>
              <w:rPr>
                <w:rFonts w:ascii="Calibri" w:hAnsi="Calibri" w:cs="Calibri"/>
                <w:color w:val="000000" w:themeColor="text1"/>
                <w:shd w:val="clear" w:color="auto" w:fill="F8F9FA"/>
              </w:rPr>
            </w:pPr>
            <w:r>
              <w:rPr>
                <w:rFonts w:ascii="Calibri" w:hAnsi="Calibri" w:cs="Calibri"/>
                <w:color w:val="000000" w:themeColor="text1"/>
                <w:shd w:val="clear" w:color="auto" w:fill="F8F9FA"/>
              </w:rPr>
              <w:t>Fleurs</w:t>
            </w:r>
          </w:p>
        </w:tc>
        <w:tc>
          <w:tcPr>
            <w:tcW w:w="3472" w:type="dxa"/>
          </w:tcPr>
          <w:p w14:paraId="2BC3233F" w14:textId="77777777" w:rsidR="001A26A0" w:rsidRDefault="001B75FC" w:rsidP="001A26A0">
            <w:pPr>
              <w:jc w:val="center"/>
              <w:rPr>
                <w:rFonts w:ascii="Calibri" w:hAnsi="Calibri" w:cs="Calibri"/>
                <w:color w:val="000000" w:themeColor="text1"/>
                <w:shd w:val="clear" w:color="auto" w:fill="F8F9FA"/>
              </w:rPr>
            </w:pPr>
            <w:r>
              <w:rPr>
                <w:noProof/>
              </w:rPr>
              <w:drawing>
                <wp:inline distT="0" distB="0" distL="0" distR="0" wp14:anchorId="59052E6E" wp14:editId="36E2F6E7">
                  <wp:extent cx="1714500" cy="1352550"/>
                  <wp:effectExtent l="0" t="0" r="0" b="0"/>
                  <wp:docPr id="101399" name="Image 101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049">
                            <a:extLst>
                              <a:ext uri="{28A0092B-C50C-407E-A947-70E740481C1C}">
                                <a14:useLocalDpi xmlns:a14="http://schemas.microsoft.com/office/drawing/2010/main" val="0"/>
                              </a:ext>
                            </a:extLst>
                          </a:blip>
                          <a:srcRect/>
                          <a:stretch>
                            <a:fillRect/>
                          </a:stretch>
                        </pic:blipFill>
                        <pic:spPr bwMode="auto">
                          <a:xfrm>
                            <a:off x="0" y="0"/>
                            <a:ext cx="1714500" cy="1352550"/>
                          </a:xfrm>
                          <a:prstGeom prst="rect">
                            <a:avLst/>
                          </a:prstGeom>
                          <a:noFill/>
                          <a:ln>
                            <a:noFill/>
                          </a:ln>
                        </pic:spPr>
                      </pic:pic>
                    </a:graphicData>
                  </a:graphic>
                </wp:inline>
              </w:drawing>
            </w:r>
          </w:p>
          <w:p w14:paraId="4010CAEE" w14:textId="5D554267" w:rsidR="003C7FF1" w:rsidRDefault="001B75FC" w:rsidP="00B4520A">
            <w:pPr>
              <w:jc w:val="center"/>
              <w:rPr>
                <w:rFonts w:ascii="Calibri" w:hAnsi="Calibri" w:cs="Calibri"/>
                <w:color w:val="000000" w:themeColor="text1"/>
                <w:shd w:val="clear" w:color="auto" w:fill="F8F9FA"/>
              </w:rPr>
            </w:pPr>
            <w:r w:rsidRPr="001B75FC">
              <w:rPr>
                <w:rFonts w:ascii="Calibri" w:hAnsi="Calibri" w:cs="Calibri"/>
                <w:color w:val="000000" w:themeColor="text1"/>
                <w:shd w:val="clear" w:color="auto" w:fill="F8F9FA"/>
              </w:rPr>
              <w:t>Stipule lancéolée de 1 cm, muni d'un éperon</w:t>
            </w:r>
            <w:r>
              <w:rPr>
                <w:rFonts w:ascii="Calibri" w:hAnsi="Calibri" w:cs="Calibri"/>
                <w:color w:val="000000" w:themeColor="text1"/>
                <w:shd w:val="clear" w:color="auto" w:fill="F8F9FA"/>
              </w:rPr>
              <w:t>.</w:t>
            </w:r>
          </w:p>
        </w:tc>
        <w:tc>
          <w:tcPr>
            <w:tcW w:w="3472" w:type="dxa"/>
          </w:tcPr>
          <w:p w14:paraId="337605F7" w14:textId="77777777" w:rsidR="001A26A0" w:rsidRDefault="001B75FC" w:rsidP="001A26A0">
            <w:pPr>
              <w:jc w:val="center"/>
              <w:rPr>
                <w:rFonts w:ascii="Calibri" w:hAnsi="Calibri" w:cs="Calibri"/>
                <w:color w:val="000000" w:themeColor="text1"/>
                <w:shd w:val="clear" w:color="auto" w:fill="F8F9FA"/>
              </w:rPr>
            </w:pPr>
            <w:r>
              <w:rPr>
                <w:noProof/>
              </w:rPr>
              <w:drawing>
                <wp:inline distT="0" distB="0" distL="0" distR="0" wp14:anchorId="4A17A292" wp14:editId="6257C7EF">
                  <wp:extent cx="1728788" cy="1152525"/>
                  <wp:effectExtent l="0" t="0" r="5080" b="0"/>
                  <wp:docPr id="101400" name="Image 101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050">
                            <a:extLst>
                              <a:ext uri="{28A0092B-C50C-407E-A947-70E740481C1C}">
                                <a14:useLocalDpi xmlns:a14="http://schemas.microsoft.com/office/drawing/2010/main" val="0"/>
                              </a:ext>
                            </a:extLst>
                          </a:blip>
                          <a:srcRect/>
                          <a:stretch>
                            <a:fillRect/>
                          </a:stretch>
                        </pic:blipFill>
                        <pic:spPr bwMode="auto">
                          <a:xfrm>
                            <a:off x="0" y="0"/>
                            <a:ext cx="1732072" cy="1154714"/>
                          </a:xfrm>
                          <a:prstGeom prst="rect">
                            <a:avLst/>
                          </a:prstGeom>
                          <a:noFill/>
                          <a:ln>
                            <a:noFill/>
                          </a:ln>
                        </pic:spPr>
                      </pic:pic>
                    </a:graphicData>
                  </a:graphic>
                </wp:inline>
              </w:drawing>
            </w:r>
          </w:p>
          <w:p w14:paraId="5F45DFB4" w14:textId="34E8963B" w:rsidR="001B75FC" w:rsidRDefault="001B75FC" w:rsidP="001A26A0">
            <w:pPr>
              <w:jc w:val="center"/>
              <w:rPr>
                <w:rFonts w:ascii="Calibri" w:hAnsi="Calibri" w:cs="Calibri"/>
                <w:color w:val="000000" w:themeColor="text1"/>
                <w:shd w:val="clear" w:color="auto" w:fill="F8F9FA"/>
              </w:rPr>
            </w:pPr>
            <w:r w:rsidRPr="001B75FC">
              <w:rPr>
                <w:rFonts w:ascii="Calibri" w:hAnsi="Calibri" w:cs="Calibri"/>
                <w:color w:val="000000" w:themeColor="text1"/>
                <w:shd w:val="clear" w:color="auto" w:fill="F8F9FA"/>
              </w:rPr>
              <w:t>Le Niébé, le haricot à l'</w:t>
            </w:r>
            <w:r>
              <w:rPr>
                <w:rFonts w:ascii="Calibri" w:hAnsi="Calibri" w:cs="Calibri"/>
                <w:color w:val="000000" w:themeColor="text1"/>
                <w:shd w:val="clear" w:color="auto" w:fill="F8F9FA"/>
              </w:rPr>
              <w:t>œil</w:t>
            </w:r>
            <w:r w:rsidRPr="001B75FC">
              <w:rPr>
                <w:rFonts w:ascii="Calibri" w:hAnsi="Calibri" w:cs="Calibri"/>
                <w:color w:val="000000" w:themeColor="text1"/>
                <w:shd w:val="clear" w:color="auto" w:fill="F8F9FA"/>
              </w:rPr>
              <w:t xml:space="preserve"> noir.</w:t>
            </w:r>
          </w:p>
        </w:tc>
      </w:tr>
      <w:tr w:rsidR="003C7FF1" w14:paraId="1861B687" w14:textId="77777777" w:rsidTr="003C7FF1">
        <w:tc>
          <w:tcPr>
            <w:tcW w:w="3472" w:type="dxa"/>
          </w:tcPr>
          <w:p w14:paraId="1E42988B" w14:textId="77777777" w:rsidR="001A26A0" w:rsidRDefault="009C4BAF" w:rsidP="001A26A0">
            <w:pPr>
              <w:jc w:val="center"/>
              <w:rPr>
                <w:rFonts w:ascii="Calibri" w:hAnsi="Calibri" w:cs="Calibri"/>
                <w:color w:val="000000" w:themeColor="text1"/>
                <w:shd w:val="clear" w:color="auto" w:fill="F8F9FA"/>
              </w:rPr>
            </w:pPr>
            <w:r>
              <w:rPr>
                <w:noProof/>
              </w:rPr>
              <w:drawing>
                <wp:inline distT="0" distB="0" distL="0" distR="0" wp14:anchorId="2B4B2C39" wp14:editId="1004D583">
                  <wp:extent cx="1666875" cy="1310705"/>
                  <wp:effectExtent l="0" t="0" r="0" b="3810"/>
                  <wp:docPr id="101401" name="Image 101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051">
                            <a:extLst>
                              <a:ext uri="{28A0092B-C50C-407E-A947-70E740481C1C}">
                                <a14:useLocalDpi xmlns:a14="http://schemas.microsoft.com/office/drawing/2010/main" val="0"/>
                              </a:ext>
                            </a:extLst>
                          </a:blip>
                          <a:srcRect/>
                          <a:stretch>
                            <a:fillRect/>
                          </a:stretch>
                        </pic:blipFill>
                        <pic:spPr bwMode="auto">
                          <a:xfrm>
                            <a:off x="0" y="0"/>
                            <a:ext cx="1676196" cy="1318034"/>
                          </a:xfrm>
                          <a:prstGeom prst="rect">
                            <a:avLst/>
                          </a:prstGeom>
                          <a:noFill/>
                          <a:ln>
                            <a:noFill/>
                          </a:ln>
                        </pic:spPr>
                      </pic:pic>
                    </a:graphicData>
                  </a:graphic>
                </wp:inline>
              </w:drawing>
            </w:r>
          </w:p>
          <w:p w14:paraId="2AFBD1F4" w14:textId="1E4C01B1" w:rsidR="009C4BAF" w:rsidRDefault="009C4BAF" w:rsidP="001A26A0">
            <w:pPr>
              <w:jc w:val="center"/>
              <w:rPr>
                <w:rFonts w:ascii="Calibri" w:hAnsi="Calibri" w:cs="Calibri"/>
                <w:color w:val="000000" w:themeColor="text1"/>
                <w:shd w:val="clear" w:color="auto" w:fill="F8F9FA"/>
              </w:rPr>
            </w:pPr>
            <w:r w:rsidRPr="009C4BAF">
              <w:rPr>
                <w:rFonts w:ascii="Calibri" w:hAnsi="Calibri" w:cs="Calibri"/>
                <w:color w:val="000000" w:themeColor="text1"/>
                <w:shd w:val="clear" w:color="auto" w:fill="F8F9FA"/>
              </w:rPr>
              <w:t>Niébé cultivés (les plus gros) et niébé sauvages.</w:t>
            </w:r>
          </w:p>
        </w:tc>
        <w:tc>
          <w:tcPr>
            <w:tcW w:w="3472" w:type="dxa"/>
          </w:tcPr>
          <w:p w14:paraId="2259248F" w14:textId="77777777" w:rsidR="00B4520A" w:rsidRDefault="00B4520A" w:rsidP="001A26A0">
            <w:pPr>
              <w:jc w:val="center"/>
              <w:rPr>
                <w:rFonts w:ascii="Calibri" w:hAnsi="Calibri" w:cs="Calibri"/>
                <w:color w:val="000000" w:themeColor="text1"/>
                <w:shd w:val="clear" w:color="auto" w:fill="F8F9FA"/>
              </w:rPr>
            </w:pPr>
          </w:p>
          <w:p w14:paraId="74FFFF92" w14:textId="2AE15A7D" w:rsidR="001A26A0" w:rsidRDefault="009C4BAF" w:rsidP="001A26A0">
            <w:pPr>
              <w:jc w:val="center"/>
              <w:rPr>
                <w:rFonts w:ascii="Calibri" w:hAnsi="Calibri" w:cs="Calibri"/>
                <w:color w:val="000000" w:themeColor="text1"/>
                <w:shd w:val="clear" w:color="auto" w:fill="F8F9FA"/>
              </w:rPr>
            </w:pPr>
            <w:r>
              <w:rPr>
                <w:noProof/>
              </w:rPr>
              <w:drawing>
                <wp:inline distT="0" distB="0" distL="0" distR="0" wp14:anchorId="28537187" wp14:editId="4FADC3EB">
                  <wp:extent cx="1892300" cy="1419225"/>
                  <wp:effectExtent l="0" t="0" r="0" b="9525"/>
                  <wp:docPr id="101402" name="Image 101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052">
                            <a:extLst>
                              <a:ext uri="{28A0092B-C50C-407E-A947-70E740481C1C}">
                                <a14:useLocalDpi xmlns:a14="http://schemas.microsoft.com/office/drawing/2010/main" val="0"/>
                              </a:ext>
                            </a:extLst>
                          </a:blip>
                          <a:srcRect/>
                          <a:stretch>
                            <a:fillRect/>
                          </a:stretch>
                        </pic:blipFill>
                        <pic:spPr bwMode="auto">
                          <a:xfrm>
                            <a:off x="0" y="0"/>
                            <a:ext cx="1892300" cy="1419225"/>
                          </a:xfrm>
                          <a:prstGeom prst="rect">
                            <a:avLst/>
                          </a:prstGeom>
                          <a:noFill/>
                          <a:ln>
                            <a:noFill/>
                          </a:ln>
                        </pic:spPr>
                      </pic:pic>
                    </a:graphicData>
                  </a:graphic>
                </wp:inline>
              </w:drawing>
            </w:r>
          </w:p>
          <w:p w14:paraId="19B25143" w14:textId="6200C40C" w:rsidR="009C4BAF" w:rsidRDefault="009C4BAF" w:rsidP="001A26A0">
            <w:pPr>
              <w:jc w:val="center"/>
              <w:rPr>
                <w:rFonts w:ascii="Calibri" w:hAnsi="Calibri" w:cs="Calibri"/>
                <w:color w:val="000000" w:themeColor="text1"/>
                <w:shd w:val="clear" w:color="auto" w:fill="F8F9FA"/>
              </w:rPr>
            </w:pPr>
            <w:r>
              <w:rPr>
                <w:rFonts w:ascii="Calibri" w:hAnsi="Calibri" w:cs="Calibri"/>
                <w:color w:val="000000" w:themeColor="text1"/>
                <w:shd w:val="clear" w:color="auto" w:fill="F8F9FA"/>
              </w:rPr>
              <w:t>Graine (variété rouge).</w:t>
            </w:r>
          </w:p>
        </w:tc>
        <w:tc>
          <w:tcPr>
            <w:tcW w:w="3472" w:type="dxa"/>
          </w:tcPr>
          <w:p w14:paraId="1722E506" w14:textId="77777777" w:rsidR="001A26A0" w:rsidRDefault="002F1E2D" w:rsidP="001A26A0">
            <w:pPr>
              <w:jc w:val="center"/>
              <w:rPr>
                <w:rFonts w:ascii="Calibri" w:hAnsi="Calibri" w:cs="Calibri"/>
                <w:color w:val="000000" w:themeColor="text1"/>
                <w:shd w:val="clear" w:color="auto" w:fill="F8F9FA"/>
              </w:rPr>
            </w:pPr>
            <w:r>
              <w:rPr>
                <w:noProof/>
              </w:rPr>
              <w:drawing>
                <wp:inline distT="0" distB="0" distL="0" distR="0" wp14:anchorId="5E56D936" wp14:editId="005250B5">
                  <wp:extent cx="1892300" cy="1419225"/>
                  <wp:effectExtent l="0" t="0" r="0" b="9525"/>
                  <wp:docPr id="101403" name="Image 101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053">
                            <a:extLst>
                              <a:ext uri="{28A0092B-C50C-407E-A947-70E740481C1C}">
                                <a14:useLocalDpi xmlns:a14="http://schemas.microsoft.com/office/drawing/2010/main" val="0"/>
                              </a:ext>
                            </a:extLst>
                          </a:blip>
                          <a:srcRect/>
                          <a:stretch>
                            <a:fillRect/>
                          </a:stretch>
                        </pic:blipFill>
                        <pic:spPr bwMode="auto">
                          <a:xfrm>
                            <a:off x="0" y="0"/>
                            <a:ext cx="1892300" cy="1419225"/>
                          </a:xfrm>
                          <a:prstGeom prst="rect">
                            <a:avLst/>
                          </a:prstGeom>
                          <a:noFill/>
                          <a:ln>
                            <a:noFill/>
                          </a:ln>
                        </pic:spPr>
                      </pic:pic>
                    </a:graphicData>
                  </a:graphic>
                </wp:inline>
              </w:drawing>
            </w:r>
          </w:p>
          <w:p w14:paraId="5FC9985B" w14:textId="77777777" w:rsidR="002F1E2D" w:rsidRDefault="00000000" w:rsidP="001A26A0">
            <w:pPr>
              <w:jc w:val="center"/>
              <w:rPr>
                <w:rFonts w:ascii="Calibri" w:hAnsi="Calibri" w:cs="Calibri"/>
              </w:rPr>
            </w:pPr>
            <w:hyperlink r:id="rId2054" w:history="1">
              <w:r w:rsidR="002F1E2D" w:rsidRPr="002F1E2D">
                <w:rPr>
                  <w:rStyle w:val="Lienhypertexte"/>
                  <w:rFonts w:ascii="Calibri" w:hAnsi="Calibri" w:cs="Calibri"/>
                  <w:color w:val="0645AD"/>
                  <w:shd w:val="clear" w:color="auto" w:fill="F8F9FA"/>
                </w:rPr>
                <w:t>Le pois rouge des îles de la mer est</w:t>
              </w:r>
            </w:hyperlink>
            <w:r w:rsidR="002F1E2D" w:rsidRPr="002F1E2D">
              <w:rPr>
                <w:rFonts w:ascii="Calibri" w:hAnsi="Calibri" w:cs="Calibri"/>
                <w:color w:val="202122"/>
                <w:shd w:val="clear" w:color="auto" w:fill="F8F9FA"/>
              </w:rPr>
              <w:t> un cultivar de niébé cultivé par le </w:t>
            </w:r>
            <w:hyperlink r:id="rId2055" w:tooltip="Gens de Gullah" w:history="1">
              <w:r w:rsidR="002F1E2D" w:rsidRPr="002F1E2D">
                <w:rPr>
                  <w:rStyle w:val="Lienhypertexte"/>
                  <w:rFonts w:ascii="Calibri" w:hAnsi="Calibri" w:cs="Calibri"/>
                  <w:color w:val="0645AD"/>
                  <w:shd w:val="clear" w:color="auto" w:fill="F8F9FA"/>
                </w:rPr>
                <w:t>peuple Gullah</w:t>
              </w:r>
            </w:hyperlink>
            <w:r w:rsidR="00532B2B">
              <w:rPr>
                <w:rFonts w:ascii="Calibri" w:hAnsi="Calibri" w:cs="Calibri"/>
              </w:rPr>
              <w:t xml:space="preserve"> (sud des USA).</w:t>
            </w:r>
          </w:p>
          <w:p w14:paraId="68E44616" w14:textId="3FF97350" w:rsidR="006F7A50" w:rsidRPr="002F1E2D" w:rsidRDefault="006F7A50" w:rsidP="001A26A0">
            <w:pPr>
              <w:jc w:val="center"/>
              <w:rPr>
                <w:rFonts w:ascii="Calibri" w:hAnsi="Calibri" w:cs="Calibri"/>
                <w:color w:val="000000" w:themeColor="text1"/>
                <w:shd w:val="clear" w:color="auto" w:fill="F8F9FA"/>
              </w:rPr>
            </w:pPr>
          </w:p>
        </w:tc>
      </w:tr>
      <w:tr w:rsidR="00532B2B" w14:paraId="35050ED1" w14:textId="77777777" w:rsidTr="003C7FF1">
        <w:tc>
          <w:tcPr>
            <w:tcW w:w="3472" w:type="dxa"/>
          </w:tcPr>
          <w:p w14:paraId="66FAA3CE" w14:textId="77777777" w:rsidR="00532B2B" w:rsidRDefault="003C7FF1" w:rsidP="001A26A0">
            <w:pPr>
              <w:jc w:val="center"/>
              <w:rPr>
                <w:noProof/>
              </w:rPr>
            </w:pPr>
            <w:r>
              <w:rPr>
                <w:noProof/>
              </w:rPr>
              <w:lastRenderedPageBreak/>
              <w:drawing>
                <wp:inline distT="0" distB="0" distL="0" distR="0" wp14:anchorId="0CECD468" wp14:editId="4F5CEE46">
                  <wp:extent cx="1876425" cy="1407319"/>
                  <wp:effectExtent l="0" t="0" r="0" b="2540"/>
                  <wp:docPr id="101404" name="Image 101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056">
                            <a:extLst>
                              <a:ext uri="{28A0092B-C50C-407E-A947-70E740481C1C}">
                                <a14:useLocalDpi xmlns:a14="http://schemas.microsoft.com/office/drawing/2010/main" val="0"/>
                              </a:ext>
                            </a:extLst>
                          </a:blip>
                          <a:srcRect/>
                          <a:stretch>
                            <a:fillRect/>
                          </a:stretch>
                        </pic:blipFill>
                        <pic:spPr bwMode="auto">
                          <a:xfrm>
                            <a:off x="0" y="0"/>
                            <a:ext cx="1878903" cy="1409177"/>
                          </a:xfrm>
                          <a:prstGeom prst="rect">
                            <a:avLst/>
                          </a:prstGeom>
                          <a:noFill/>
                          <a:ln>
                            <a:noFill/>
                          </a:ln>
                        </pic:spPr>
                      </pic:pic>
                    </a:graphicData>
                  </a:graphic>
                </wp:inline>
              </w:drawing>
            </w:r>
          </w:p>
          <w:p w14:paraId="08C1FB2F" w14:textId="30F79722" w:rsidR="003C7FF1" w:rsidRDefault="003C7FF1" w:rsidP="001A26A0">
            <w:pPr>
              <w:jc w:val="center"/>
              <w:rPr>
                <w:noProof/>
              </w:rPr>
            </w:pPr>
            <w:r w:rsidRPr="003C7FF1">
              <w:rPr>
                <w:rFonts w:ascii="Calibri" w:hAnsi="Calibri" w:cs="Calibri"/>
                <w:color w:val="000000" w:themeColor="text1"/>
                <w:shd w:val="clear" w:color="auto" w:fill="F8F9FA"/>
              </w:rPr>
              <w:t>Cuisson des graines au </w:t>
            </w:r>
            <w:hyperlink r:id="rId2057" w:tooltip="Ghana" w:history="1">
              <w:r w:rsidRPr="003C7FF1">
                <w:rPr>
                  <w:rStyle w:val="Lienhypertexte"/>
                  <w:rFonts w:ascii="Calibri" w:hAnsi="Calibri" w:cs="Calibri"/>
                  <w:color w:val="0645AD"/>
                  <w:shd w:val="clear" w:color="auto" w:fill="F8F9FA"/>
                </w:rPr>
                <w:t>Ghana</w:t>
              </w:r>
            </w:hyperlink>
            <w:r>
              <w:rPr>
                <w:noProof/>
              </w:rPr>
              <w:t>.</w:t>
            </w:r>
          </w:p>
        </w:tc>
        <w:tc>
          <w:tcPr>
            <w:tcW w:w="3472" w:type="dxa"/>
          </w:tcPr>
          <w:p w14:paraId="2526BA77" w14:textId="77777777" w:rsidR="00532B2B" w:rsidRDefault="003C7FF1" w:rsidP="001A26A0">
            <w:pPr>
              <w:jc w:val="center"/>
              <w:rPr>
                <w:noProof/>
              </w:rPr>
            </w:pPr>
            <w:r>
              <w:rPr>
                <w:noProof/>
              </w:rPr>
              <w:drawing>
                <wp:inline distT="0" distB="0" distL="0" distR="0" wp14:anchorId="2C61AA7A" wp14:editId="243B2E3B">
                  <wp:extent cx="2045631" cy="1333500"/>
                  <wp:effectExtent l="0" t="0" r="0" b="0"/>
                  <wp:docPr id="101405" name="Image 101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058">
                            <a:extLst>
                              <a:ext uri="{28A0092B-C50C-407E-A947-70E740481C1C}">
                                <a14:useLocalDpi xmlns:a14="http://schemas.microsoft.com/office/drawing/2010/main" val="0"/>
                              </a:ext>
                            </a:extLst>
                          </a:blip>
                          <a:srcRect/>
                          <a:stretch>
                            <a:fillRect/>
                          </a:stretch>
                        </pic:blipFill>
                        <pic:spPr bwMode="auto">
                          <a:xfrm>
                            <a:off x="0" y="0"/>
                            <a:ext cx="2051101" cy="1337066"/>
                          </a:xfrm>
                          <a:prstGeom prst="rect">
                            <a:avLst/>
                          </a:prstGeom>
                          <a:noFill/>
                          <a:ln>
                            <a:noFill/>
                          </a:ln>
                        </pic:spPr>
                      </pic:pic>
                    </a:graphicData>
                  </a:graphic>
                </wp:inline>
              </w:drawing>
            </w:r>
          </w:p>
          <w:p w14:paraId="14CDEE14" w14:textId="00CDC09F" w:rsidR="003C7FF1" w:rsidRPr="003C7FF1" w:rsidRDefault="003C7FF1" w:rsidP="001A26A0">
            <w:pPr>
              <w:jc w:val="center"/>
              <w:rPr>
                <w:rFonts w:ascii="Calibri" w:hAnsi="Calibri" w:cs="Calibri"/>
                <w:noProof/>
              </w:rPr>
            </w:pPr>
            <w:r w:rsidRPr="003C7FF1">
              <w:rPr>
                <w:rFonts w:ascii="Calibri" w:hAnsi="Calibri" w:cs="Calibri"/>
                <w:color w:val="000000" w:themeColor="text1"/>
                <w:shd w:val="clear" w:color="auto" w:fill="F8F9FA"/>
              </w:rPr>
              <w:t xml:space="preserve">Le charançon du niébé </w:t>
            </w:r>
            <w:r w:rsidRPr="003C7FF1">
              <w:rPr>
                <w:rFonts w:ascii="Calibri" w:hAnsi="Calibri" w:cs="Calibri"/>
                <w:color w:val="202122"/>
                <w:shd w:val="clear" w:color="auto" w:fill="F8F9FA"/>
              </w:rPr>
              <w:t>(</w:t>
            </w:r>
            <w:hyperlink r:id="rId2059" w:tooltip="Callosobruchus maculatus" w:history="1">
              <w:r w:rsidRPr="003C7FF1">
                <w:rPr>
                  <w:rStyle w:val="Lienhypertexte"/>
                  <w:rFonts w:ascii="Calibri" w:hAnsi="Calibri" w:cs="Calibri"/>
                  <w:i/>
                  <w:iCs/>
                  <w:color w:val="0645AD"/>
                  <w:shd w:val="clear" w:color="auto" w:fill="F8F9FA"/>
                </w:rPr>
                <w:t>Callosobruchus maculatus</w:t>
              </w:r>
            </w:hyperlink>
            <w:r w:rsidRPr="003C7FF1">
              <w:rPr>
                <w:rFonts w:ascii="Calibri" w:hAnsi="Calibri" w:cs="Calibri"/>
                <w:color w:val="000000" w:themeColor="text1"/>
                <w:shd w:val="clear" w:color="auto" w:fill="F8F9FA"/>
              </w:rPr>
              <w:t>) infeste les graines de niébé stockées, entraînant des pertes post-récolte importantes.</w:t>
            </w:r>
          </w:p>
        </w:tc>
        <w:tc>
          <w:tcPr>
            <w:tcW w:w="3472" w:type="dxa"/>
          </w:tcPr>
          <w:p w14:paraId="507C3524" w14:textId="77777777" w:rsidR="00532B2B" w:rsidRDefault="003C7FF1" w:rsidP="001A26A0">
            <w:pPr>
              <w:jc w:val="center"/>
              <w:rPr>
                <w:noProof/>
              </w:rPr>
            </w:pPr>
            <w:r>
              <w:rPr>
                <w:noProof/>
              </w:rPr>
              <w:drawing>
                <wp:inline distT="0" distB="0" distL="0" distR="0" wp14:anchorId="0D8D2BE1" wp14:editId="1AB6A27D">
                  <wp:extent cx="1908013" cy="1276350"/>
                  <wp:effectExtent l="0" t="0" r="0" b="0"/>
                  <wp:docPr id="101406" name="Image 101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060">
                            <a:extLst>
                              <a:ext uri="{28A0092B-C50C-407E-A947-70E740481C1C}">
                                <a14:useLocalDpi xmlns:a14="http://schemas.microsoft.com/office/drawing/2010/main" val="0"/>
                              </a:ext>
                            </a:extLst>
                          </a:blip>
                          <a:srcRect/>
                          <a:stretch>
                            <a:fillRect/>
                          </a:stretch>
                        </pic:blipFill>
                        <pic:spPr bwMode="auto">
                          <a:xfrm>
                            <a:off x="0" y="0"/>
                            <a:ext cx="1912582" cy="1279406"/>
                          </a:xfrm>
                          <a:prstGeom prst="rect">
                            <a:avLst/>
                          </a:prstGeom>
                          <a:noFill/>
                          <a:ln>
                            <a:noFill/>
                          </a:ln>
                        </pic:spPr>
                      </pic:pic>
                    </a:graphicData>
                  </a:graphic>
                </wp:inline>
              </w:drawing>
            </w:r>
          </w:p>
          <w:p w14:paraId="3B332AFD" w14:textId="3AA71363" w:rsidR="003C7FF1" w:rsidRPr="003C7FF1" w:rsidRDefault="003C7FF1" w:rsidP="001A26A0">
            <w:pPr>
              <w:jc w:val="center"/>
              <w:rPr>
                <w:rFonts w:ascii="Calibri" w:hAnsi="Calibri" w:cs="Calibri"/>
              </w:rPr>
            </w:pPr>
            <w:r w:rsidRPr="003C7FF1">
              <w:rPr>
                <w:rFonts w:ascii="Calibri" w:hAnsi="Calibri" w:cs="Calibri"/>
                <w:color w:val="000000" w:themeColor="text1"/>
                <w:shd w:val="clear" w:color="auto" w:fill="F8F9FA"/>
              </w:rPr>
              <w:t>La larve de </w:t>
            </w:r>
            <w:hyperlink r:id="rId2061" w:tooltip="Maruca vitrata" w:history="1">
              <w:r w:rsidRPr="003C7FF1">
                <w:rPr>
                  <w:rStyle w:val="Lienhypertexte"/>
                  <w:rFonts w:ascii="Calibri" w:hAnsi="Calibri" w:cs="Calibri"/>
                  <w:i/>
                  <w:iCs/>
                  <w:color w:val="0645AD"/>
                  <w:shd w:val="clear" w:color="auto" w:fill="F8F9FA"/>
                </w:rPr>
                <w:t>Maruca vitrata</w:t>
              </w:r>
            </w:hyperlink>
            <w:r w:rsidRPr="003C7FF1">
              <w:rPr>
                <w:rFonts w:ascii="Calibri" w:hAnsi="Calibri" w:cs="Calibri"/>
                <w:color w:val="202122"/>
                <w:shd w:val="clear" w:color="auto" w:fill="F8F9FA"/>
              </w:rPr>
              <w:t xml:space="preserve">, </w:t>
            </w:r>
            <w:r w:rsidRPr="003C7FF1">
              <w:rPr>
                <w:rFonts w:ascii="Calibri" w:hAnsi="Calibri" w:cs="Calibri"/>
                <w:color w:val="000000" w:themeColor="text1"/>
                <w:shd w:val="clear" w:color="auto" w:fill="F8F9FA"/>
              </w:rPr>
              <w:t>communément appelée maruca foreur des graines, est l'un des ravageurs le plus nuisible du niébé.</w:t>
            </w:r>
          </w:p>
        </w:tc>
      </w:tr>
    </w:tbl>
    <w:p w14:paraId="378ABDB7" w14:textId="77777777" w:rsidR="001406AF" w:rsidRPr="001406AF" w:rsidRDefault="001406AF" w:rsidP="00662E66">
      <w:pPr>
        <w:spacing w:after="0" w:line="240" w:lineRule="auto"/>
        <w:rPr>
          <w:rFonts w:ascii="Calibri" w:hAnsi="Calibri" w:cs="Calibri"/>
          <w:color w:val="000000" w:themeColor="text1"/>
          <w:shd w:val="clear" w:color="auto" w:fill="F8F9FA"/>
        </w:rPr>
      </w:pPr>
    </w:p>
    <w:p w14:paraId="516280C4" w14:textId="3CB619BA" w:rsidR="009879CB" w:rsidRDefault="00C43147" w:rsidP="00C43147">
      <w:pPr>
        <w:pStyle w:val="Titre2"/>
      </w:pPr>
      <w:bookmarkStart w:id="186" w:name="_Toc139181477"/>
      <w:r w:rsidRPr="00C43147">
        <w:t>Arachide (</w:t>
      </w:r>
      <w:r w:rsidRPr="00C43147">
        <w:rPr>
          <w:i/>
          <w:iCs/>
        </w:rPr>
        <w:t>Arachis hypogaea</w:t>
      </w:r>
      <w:r w:rsidRPr="00C43147">
        <w:t>)</w:t>
      </w:r>
      <w:bookmarkEnd w:id="186"/>
    </w:p>
    <w:p w14:paraId="17638366" w14:textId="53E722AA" w:rsidR="00C43147" w:rsidRDefault="00C43147" w:rsidP="009879CB">
      <w:pPr>
        <w:spacing w:after="0" w:line="240" w:lineRule="auto"/>
        <w:rPr>
          <w:rFonts w:ascii="Calibri" w:hAnsi="Calibri" w:cs="Calibri"/>
        </w:rPr>
      </w:pPr>
    </w:p>
    <w:p w14:paraId="6529AF05" w14:textId="61D59DC4" w:rsidR="000D5930" w:rsidRDefault="000D5930" w:rsidP="000D5930">
      <w:pPr>
        <w:spacing w:after="0" w:line="240" w:lineRule="auto"/>
        <w:jc w:val="both"/>
        <w:rPr>
          <w:rFonts w:ascii="Calibri" w:hAnsi="Calibri" w:cs="Calibri"/>
          <w:color w:val="202122"/>
          <w:shd w:val="clear" w:color="auto" w:fill="FFFFFF"/>
        </w:rPr>
      </w:pPr>
      <w:r w:rsidRPr="000D5930">
        <w:rPr>
          <w:rFonts w:ascii="Calibri" w:hAnsi="Calibri" w:cs="Calibri"/>
          <w:color w:val="202122"/>
          <w:shd w:val="clear" w:color="auto" w:fill="FFFFFF"/>
        </w:rPr>
        <w:t>L’arachide, dont le fruit s'appelle </w:t>
      </w:r>
      <w:r w:rsidRPr="000D5930">
        <w:rPr>
          <w:rFonts w:ascii="Calibri" w:hAnsi="Calibri" w:cs="Calibri"/>
          <w:i/>
          <w:iCs/>
          <w:color w:val="202122"/>
          <w:shd w:val="clear" w:color="auto" w:fill="FFFFFF"/>
        </w:rPr>
        <w:t>cacahuète</w:t>
      </w:r>
      <w:r w:rsidRPr="000D5930">
        <w:rPr>
          <w:rFonts w:ascii="Calibri" w:hAnsi="Calibri" w:cs="Calibri"/>
          <w:color w:val="202122"/>
          <w:shd w:val="clear" w:color="auto" w:fill="FFFFFF"/>
        </w:rPr>
        <w:t> ou </w:t>
      </w:r>
      <w:r w:rsidRPr="000D5930">
        <w:rPr>
          <w:rFonts w:ascii="Calibri" w:hAnsi="Calibri" w:cs="Calibri"/>
          <w:i/>
          <w:iCs/>
          <w:color w:val="202122"/>
          <w:shd w:val="clear" w:color="auto" w:fill="FFFFFF"/>
        </w:rPr>
        <w:t>cacahouète</w:t>
      </w:r>
      <w:r w:rsidRPr="000D5930">
        <w:rPr>
          <w:rFonts w:ascii="Calibri" w:hAnsi="Calibri" w:cs="Calibri"/>
          <w:color w:val="202122"/>
          <w:shd w:val="clear" w:color="auto" w:fill="FFFFFF"/>
        </w:rPr>
        <w:t xml:space="preserve">, </w:t>
      </w:r>
      <w:r w:rsidRPr="000D5930">
        <w:rPr>
          <w:rFonts w:ascii="Calibri" w:hAnsi="Calibri" w:cs="Calibri"/>
          <w:i/>
          <w:iCs/>
          <w:color w:val="202122"/>
          <w:shd w:val="clear" w:color="auto" w:fill="FFFFFF"/>
        </w:rPr>
        <w:t>pois de terre</w:t>
      </w:r>
      <w:r w:rsidRPr="000D5930">
        <w:rPr>
          <w:rFonts w:ascii="Calibri" w:hAnsi="Calibri" w:cs="Calibri"/>
          <w:color w:val="202122"/>
          <w:shd w:val="clear" w:color="auto" w:fill="FFFFFF"/>
        </w:rPr>
        <w:t>, </w:t>
      </w:r>
      <w:r w:rsidRPr="000D5930">
        <w:rPr>
          <w:rFonts w:ascii="Calibri" w:hAnsi="Calibri" w:cs="Calibri"/>
          <w:i/>
          <w:iCs/>
          <w:color w:val="202122"/>
          <w:shd w:val="clear" w:color="auto" w:fill="FFFFFF"/>
        </w:rPr>
        <w:t>pistache de terre</w:t>
      </w:r>
      <w:r w:rsidRPr="000D5930">
        <w:rPr>
          <w:rFonts w:ascii="Calibri" w:hAnsi="Calibri" w:cs="Calibri"/>
          <w:color w:val="202122"/>
          <w:shd w:val="clear" w:color="auto" w:fill="FFFFFF"/>
        </w:rPr>
        <w:t> et </w:t>
      </w:r>
      <w:r w:rsidRPr="000D5930">
        <w:rPr>
          <w:rFonts w:ascii="Calibri" w:hAnsi="Calibri" w:cs="Calibri"/>
          <w:i/>
          <w:iCs/>
          <w:color w:val="202122"/>
          <w:shd w:val="clear" w:color="auto" w:fill="FFFFFF"/>
        </w:rPr>
        <w:t>pinotte</w:t>
      </w:r>
      <w:r w:rsidRPr="000D5930">
        <w:rPr>
          <w:rFonts w:ascii="Calibri" w:hAnsi="Calibri" w:cs="Calibri"/>
          <w:color w:val="202122"/>
          <w:shd w:val="clear" w:color="auto" w:fill="FFFFFF"/>
        </w:rPr>
        <w:t>, au Canada, est une </w:t>
      </w:r>
      <w:hyperlink r:id="rId2062" w:tooltip="Plante" w:history="1">
        <w:r w:rsidRPr="000D5930">
          <w:rPr>
            <w:rStyle w:val="Lienhypertexte"/>
            <w:rFonts w:ascii="Calibri" w:hAnsi="Calibri" w:cs="Calibri"/>
            <w:color w:val="0645AD"/>
            <w:shd w:val="clear" w:color="auto" w:fill="FFFFFF"/>
          </w:rPr>
          <w:t>plante</w:t>
        </w:r>
      </w:hyperlink>
      <w:r w:rsidRPr="000D5930">
        <w:rPr>
          <w:rFonts w:ascii="Calibri" w:hAnsi="Calibri" w:cs="Calibri"/>
          <w:color w:val="202122"/>
          <w:shd w:val="clear" w:color="auto" w:fill="FFFFFF"/>
        </w:rPr>
        <w:t> de la </w:t>
      </w:r>
      <w:hyperlink r:id="rId2063" w:tooltip="Famille (biologie)" w:history="1">
        <w:r w:rsidRPr="000D5930">
          <w:rPr>
            <w:rStyle w:val="Lienhypertexte"/>
            <w:rFonts w:ascii="Calibri" w:hAnsi="Calibri" w:cs="Calibri"/>
            <w:color w:val="0645AD"/>
            <w:shd w:val="clear" w:color="auto" w:fill="FFFFFF"/>
          </w:rPr>
          <w:t>famille</w:t>
        </w:r>
      </w:hyperlink>
      <w:r w:rsidRPr="000D5930">
        <w:rPr>
          <w:rFonts w:ascii="Calibri" w:hAnsi="Calibri" w:cs="Calibri"/>
          <w:color w:val="202122"/>
          <w:shd w:val="clear" w:color="auto" w:fill="FFFFFF"/>
        </w:rPr>
        <w:t> </w:t>
      </w:r>
      <w:r w:rsidRPr="00700E06">
        <w:rPr>
          <w:rFonts w:ascii="Calibri" w:hAnsi="Calibri" w:cs="Calibri"/>
          <w:shd w:val="clear" w:color="auto" w:fill="FFFFFF"/>
        </w:rPr>
        <w:t xml:space="preserve">des légumineuses </w:t>
      </w:r>
      <w:r w:rsidRPr="000D5930">
        <w:rPr>
          <w:rFonts w:ascii="Calibri" w:hAnsi="Calibri" w:cs="Calibri"/>
          <w:color w:val="202122"/>
          <w:shd w:val="clear" w:color="auto" w:fill="FFFFFF"/>
        </w:rPr>
        <w:t>(</w:t>
      </w:r>
      <w:hyperlink r:id="rId2064" w:tooltip="Fabaceae" w:history="1">
        <w:r w:rsidRPr="000D5930">
          <w:rPr>
            <w:rStyle w:val="Lienhypertexte"/>
            <w:rFonts w:ascii="Calibri" w:hAnsi="Calibri" w:cs="Calibri"/>
            <w:i/>
            <w:iCs/>
            <w:color w:val="0645AD"/>
            <w:shd w:val="clear" w:color="auto" w:fill="FFFFFF"/>
          </w:rPr>
          <w:t>Fabaceae</w:t>
        </w:r>
      </w:hyperlink>
      <w:r w:rsidRPr="000D5930">
        <w:rPr>
          <w:rFonts w:ascii="Calibri" w:hAnsi="Calibri" w:cs="Calibri"/>
          <w:color w:val="202122"/>
          <w:shd w:val="clear" w:color="auto" w:fill="FFFFFF"/>
        </w:rPr>
        <w:t xml:space="preserve">) </w:t>
      </w:r>
      <w:r w:rsidRPr="00700E06">
        <w:rPr>
          <w:rFonts w:ascii="Calibri" w:hAnsi="Calibri" w:cs="Calibri"/>
          <w:shd w:val="clear" w:color="auto" w:fill="FFFFFF"/>
        </w:rPr>
        <w:t>originaire du nord-ouest de l'Argentine et du sud-est de la Bolivie et cultivée dans les régions tropicales, sub-tropicales et tempérées pour ses </w:t>
      </w:r>
      <w:hyperlink r:id="rId2065" w:tooltip="Graine" w:history="1">
        <w:r w:rsidRPr="000D5930">
          <w:rPr>
            <w:rStyle w:val="Lienhypertexte"/>
            <w:rFonts w:ascii="Calibri" w:hAnsi="Calibri" w:cs="Calibri"/>
            <w:color w:val="0645AD"/>
            <w:shd w:val="clear" w:color="auto" w:fill="FFFFFF"/>
          </w:rPr>
          <w:t>graines</w:t>
        </w:r>
      </w:hyperlink>
      <w:r w:rsidRPr="000D5930">
        <w:rPr>
          <w:rFonts w:ascii="Calibri" w:hAnsi="Calibri" w:cs="Calibri"/>
          <w:color w:val="202122"/>
          <w:shd w:val="clear" w:color="auto" w:fill="FFFFFF"/>
        </w:rPr>
        <w:t> </w:t>
      </w:r>
      <w:hyperlink r:id="rId2066" w:tooltip="Oléagineux" w:history="1">
        <w:r w:rsidRPr="000D5930">
          <w:rPr>
            <w:rStyle w:val="Lienhypertexte"/>
            <w:rFonts w:ascii="Calibri" w:hAnsi="Calibri" w:cs="Calibri"/>
            <w:color w:val="0645AD"/>
            <w:shd w:val="clear" w:color="auto" w:fill="FFFFFF"/>
          </w:rPr>
          <w:t>oléagineuses</w:t>
        </w:r>
      </w:hyperlink>
      <w:r w:rsidRPr="000D5930">
        <w:rPr>
          <w:rFonts w:ascii="Calibri" w:hAnsi="Calibri" w:cs="Calibri"/>
          <w:color w:val="202122"/>
          <w:shd w:val="clear" w:color="auto" w:fill="FFFFFF"/>
        </w:rPr>
        <w:t xml:space="preserve">. </w:t>
      </w:r>
      <w:r w:rsidRPr="00700E06">
        <w:rPr>
          <w:rFonts w:ascii="Calibri" w:hAnsi="Calibri" w:cs="Calibri"/>
          <w:shd w:val="clear" w:color="auto" w:fill="FFFFFF"/>
        </w:rPr>
        <w:t>Elle présente la particularité d’enterrer ses </w:t>
      </w:r>
      <w:hyperlink r:id="rId2067" w:tooltip="Fruit (botanique)" w:history="1">
        <w:r w:rsidRPr="000D5930">
          <w:rPr>
            <w:rStyle w:val="Lienhypertexte"/>
            <w:rFonts w:ascii="Calibri" w:hAnsi="Calibri" w:cs="Calibri"/>
            <w:color w:val="0645AD"/>
            <w:shd w:val="clear" w:color="auto" w:fill="FFFFFF"/>
          </w:rPr>
          <w:t>fruits</w:t>
        </w:r>
      </w:hyperlink>
      <w:r w:rsidRPr="000D5930">
        <w:rPr>
          <w:rFonts w:ascii="Calibri" w:hAnsi="Calibri" w:cs="Calibri"/>
          <w:color w:val="202122"/>
          <w:shd w:val="clear" w:color="auto" w:fill="FFFFFF"/>
        </w:rPr>
        <w:t> </w:t>
      </w:r>
      <w:r w:rsidRPr="00700E06">
        <w:rPr>
          <w:rFonts w:ascii="Calibri" w:hAnsi="Calibri" w:cs="Calibri"/>
          <w:shd w:val="clear" w:color="auto" w:fill="FFFFFF"/>
        </w:rPr>
        <w:t>après la </w:t>
      </w:r>
      <w:hyperlink r:id="rId2068" w:tooltip="Fécondation" w:history="1">
        <w:r w:rsidRPr="000D5930">
          <w:rPr>
            <w:rStyle w:val="Lienhypertexte"/>
            <w:rFonts w:ascii="Calibri" w:hAnsi="Calibri" w:cs="Calibri"/>
            <w:color w:val="0645AD"/>
            <w:shd w:val="clear" w:color="auto" w:fill="FFFFFF"/>
          </w:rPr>
          <w:t>fécondation</w:t>
        </w:r>
      </w:hyperlink>
      <w:r w:rsidRPr="000D5930">
        <w:rPr>
          <w:rFonts w:ascii="Calibri" w:hAnsi="Calibri" w:cs="Calibri"/>
          <w:color w:val="202122"/>
          <w:shd w:val="clear" w:color="auto" w:fill="FFFFFF"/>
        </w:rPr>
        <w:t>.</w:t>
      </w:r>
    </w:p>
    <w:p w14:paraId="42DBB619" w14:textId="77777777" w:rsidR="00700410" w:rsidRDefault="00CD0F64" w:rsidP="00CD0F64">
      <w:pPr>
        <w:spacing w:after="0" w:line="240" w:lineRule="auto"/>
        <w:jc w:val="both"/>
        <w:rPr>
          <w:rFonts w:ascii="Calibri" w:hAnsi="Calibri" w:cs="Calibri"/>
        </w:rPr>
      </w:pPr>
      <w:r w:rsidRPr="00CD0F64">
        <w:rPr>
          <w:rFonts w:ascii="Calibri" w:hAnsi="Calibri" w:cs="Calibri"/>
        </w:rPr>
        <w:t>Il en existe 3 principaux types : Virginia (</w:t>
      </w:r>
      <w:r w:rsidRPr="00CD0F64">
        <w:rPr>
          <w:rFonts w:ascii="Calibri" w:hAnsi="Calibri" w:cs="Calibri"/>
          <w:i/>
          <w:iCs/>
        </w:rPr>
        <w:t>Arachis hypogae hypogae</w:t>
      </w:r>
      <w:r w:rsidRPr="00CD0F64">
        <w:rPr>
          <w:rFonts w:ascii="Calibri" w:hAnsi="Calibri" w:cs="Calibri"/>
        </w:rPr>
        <w:t xml:space="preserve">), aux graines les plus grosses, Spanish </w:t>
      </w:r>
    </w:p>
    <w:p w14:paraId="267C036D" w14:textId="4244DA35" w:rsidR="00CD0F64" w:rsidRPr="00CD0F64" w:rsidRDefault="00CD0F64" w:rsidP="00CD0F64">
      <w:pPr>
        <w:spacing w:after="0" w:line="240" w:lineRule="auto"/>
        <w:jc w:val="both"/>
        <w:rPr>
          <w:rFonts w:ascii="Calibri" w:hAnsi="Calibri" w:cs="Calibri"/>
        </w:rPr>
      </w:pPr>
      <w:r w:rsidRPr="00CD0F64">
        <w:rPr>
          <w:rFonts w:ascii="Calibri" w:hAnsi="Calibri" w:cs="Calibri"/>
        </w:rPr>
        <w:t>(</w:t>
      </w:r>
      <w:r w:rsidRPr="00CD0F64">
        <w:rPr>
          <w:rFonts w:ascii="Calibri" w:hAnsi="Calibri" w:cs="Calibri"/>
          <w:i/>
          <w:iCs/>
        </w:rPr>
        <w:t>Arachis fastigiata vulgaris</w:t>
      </w:r>
      <w:r w:rsidRPr="00CD0F64">
        <w:rPr>
          <w:rFonts w:ascii="Calibri" w:hAnsi="Calibri" w:cs="Calibri"/>
        </w:rPr>
        <w:t>) et Valencia (</w:t>
      </w:r>
      <w:r w:rsidRPr="00CD0F64">
        <w:rPr>
          <w:rFonts w:ascii="Calibri" w:hAnsi="Calibri" w:cs="Calibri"/>
          <w:i/>
          <w:iCs/>
        </w:rPr>
        <w:t>Arachis fastigiata fastigiata</w:t>
      </w:r>
      <w:r w:rsidRPr="00CD0F64">
        <w:rPr>
          <w:rFonts w:ascii="Calibri" w:hAnsi="Calibri" w:cs="Calibri"/>
        </w:rPr>
        <w:t xml:space="preserve">), ainsi que des hybrides telles que </w:t>
      </w:r>
      <w:r w:rsidR="00700410">
        <w:rPr>
          <w:rFonts w:ascii="Calibri" w:hAnsi="Calibri" w:cs="Calibri"/>
        </w:rPr>
        <w:t xml:space="preserve">le </w:t>
      </w:r>
      <w:r w:rsidRPr="00CD0F64">
        <w:rPr>
          <w:rFonts w:ascii="Calibri" w:hAnsi="Calibri" w:cs="Calibri"/>
        </w:rPr>
        <w:t xml:space="preserve">« </w:t>
      </w:r>
      <w:r w:rsidRPr="00CD0F64">
        <w:rPr>
          <w:rFonts w:ascii="Calibri" w:hAnsi="Calibri" w:cs="Calibri"/>
          <w:i/>
          <w:iCs/>
        </w:rPr>
        <w:t>Runner</w:t>
      </w:r>
      <w:r w:rsidRPr="00CD0F64">
        <w:rPr>
          <w:rFonts w:ascii="Calibri" w:hAnsi="Calibri" w:cs="Calibri"/>
        </w:rPr>
        <w:t xml:space="preserve"> », hybride de Virginia et de Spanish</w:t>
      </w:r>
      <w:r>
        <w:rPr>
          <w:rStyle w:val="Appelnotedebasdep"/>
          <w:rFonts w:ascii="Calibri" w:hAnsi="Calibri" w:cs="Calibri"/>
        </w:rPr>
        <w:footnoteReference w:id="116"/>
      </w:r>
      <w:r w:rsidRPr="00CD0F64">
        <w:rPr>
          <w:rFonts w:ascii="Calibri" w:hAnsi="Calibri" w:cs="Calibri"/>
        </w:rPr>
        <w:t>.</w:t>
      </w:r>
    </w:p>
    <w:p w14:paraId="3A18AAED" w14:textId="6C8E9153" w:rsidR="000D5930" w:rsidRPr="00760FBD" w:rsidRDefault="00760FBD" w:rsidP="000D5930">
      <w:pPr>
        <w:spacing w:after="0" w:line="240" w:lineRule="auto"/>
        <w:jc w:val="both"/>
        <w:rPr>
          <w:rFonts w:ascii="Calibri" w:hAnsi="Calibri" w:cs="Calibri"/>
          <w:color w:val="202122"/>
          <w:shd w:val="clear" w:color="auto" w:fill="FFFFFF"/>
        </w:rPr>
      </w:pPr>
      <w:r w:rsidRPr="00700E06">
        <w:rPr>
          <w:rFonts w:ascii="Calibri" w:hAnsi="Calibri" w:cs="Calibri"/>
          <w:color w:val="202122"/>
          <w:u w:val="single"/>
          <w:shd w:val="clear" w:color="auto" w:fill="FFFFFF"/>
        </w:rPr>
        <w:t>Source d’azote</w:t>
      </w:r>
      <w:r w:rsidRPr="00760FBD">
        <w:rPr>
          <w:rFonts w:ascii="Calibri" w:hAnsi="Calibri" w:cs="Calibri"/>
          <w:color w:val="202122"/>
          <w:shd w:val="clear" w:color="auto" w:fill="FFFFFF"/>
        </w:rPr>
        <w:t xml:space="preserve"> : </w:t>
      </w:r>
      <w:r w:rsidR="000D5930" w:rsidRPr="00CD0F64">
        <w:rPr>
          <w:rFonts w:ascii="Calibri" w:hAnsi="Calibri" w:cs="Calibri"/>
          <w:shd w:val="clear" w:color="auto" w:fill="FFFFFF"/>
        </w:rPr>
        <w:t>Comme la plupart des autres légumineuses, les arachides abritent </w:t>
      </w:r>
      <w:hyperlink r:id="rId2069" w:tooltip="Symbiotique" w:history="1">
        <w:r w:rsidR="000D5930" w:rsidRPr="00760FBD">
          <w:rPr>
            <w:rStyle w:val="Lienhypertexte"/>
            <w:rFonts w:ascii="Calibri" w:hAnsi="Calibri" w:cs="Calibri"/>
            <w:color w:val="0645AD"/>
            <w:shd w:val="clear" w:color="auto" w:fill="FFFFFF"/>
          </w:rPr>
          <w:t>des</w:t>
        </w:r>
      </w:hyperlink>
      <w:r w:rsidR="000D5930" w:rsidRPr="00760FBD">
        <w:rPr>
          <w:rFonts w:ascii="Calibri" w:hAnsi="Calibri" w:cs="Calibri"/>
          <w:color w:val="202122"/>
          <w:shd w:val="clear" w:color="auto" w:fill="FFFFFF"/>
        </w:rPr>
        <w:t> </w:t>
      </w:r>
      <w:r w:rsidR="000D5930" w:rsidRPr="00700E06">
        <w:rPr>
          <w:rFonts w:ascii="Calibri" w:hAnsi="Calibri" w:cs="Calibri"/>
          <w:shd w:val="clear" w:color="auto" w:fill="FFFFFF"/>
        </w:rPr>
        <w:t>bactéries</w:t>
      </w:r>
      <w:r w:rsidRPr="00700E06">
        <w:rPr>
          <w:rFonts w:ascii="Calibri" w:hAnsi="Calibri" w:cs="Calibri"/>
          <w:shd w:val="clear" w:color="auto" w:fill="FFFFFF"/>
        </w:rPr>
        <w:t xml:space="preserve"> </w:t>
      </w:r>
      <w:r w:rsidRPr="00760FBD">
        <w:rPr>
          <w:rFonts w:ascii="Calibri" w:hAnsi="Calibri" w:cs="Calibri"/>
          <w:color w:val="202122"/>
          <w:shd w:val="clear" w:color="auto" w:fill="FFFFFF"/>
        </w:rPr>
        <w:t>(</w:t>
      </w:r>
      <w:hyperlink r:id="rId2070" w:tooltip="Rhizobium" w:history="1">
        <w:r w:rsidRPr="00760FBD">
          <w:rPr>
            <w:rStyle w:val="Lienhypertexte"/>
            <w:rFonts w:ascii="Calibri" w:hAnsi="Calibri" w:cs="Calibri"/>
            <w:color w:val="0645AD"/>
            <w:shd w:val="clear" w:color="auto" w:fill="FFFFFF"/>
          </w:rPr>
          <w:t>Rhizobium</w:t>
        </w:r>
      </w:hyperlink>
      <w:r w:rsidRPr="00760FBD">
        <w:rPr>
          <w:rFonts w:ascii="Calibri" w:hAnsi="Calibri" w:cs="Calibri"/>
          <w:color w:val="202122"/>
          <w:shd w:val="clear" w:color="auto" w:fill="FFFFFF"/>
        </w:rPr>
        <w:t>)</w:t>
      </w:r>
      <w:r w:rsidR="000D5930" w:rsidRPr="00760FBD">
        <w:rPr>
          <w:rFonts w:ascii="Calibri" w:hAnsi="Calibri" w:cs="Calibri"/>
          <w:color w:val="202122"/>
          <w:shd w:val="clear" w:color="auto" w:fill="FFFFFF"/>
        </w:rPr>
        <w:t> </w:t>
      </w:r>
      <w:hyperlink r:id="rId2071" w:tooltip="Symbiotic" w:history="1">
        <w:r w:rsidR="000D5930" w:rsidRPr="00760FBD">
          <w:rPr>
            <w:rStyle w:val="Lienhypertexte"/>
            <w:rFonts w:ascii="Calibri" w:hAnsi="Calibri" w:cs="Calibri"/>
            <w:color w:val="0645AD"/>
            <w:shd w:val="clear" w:color="auto" w:fill="FFFFFF"/>
          </w:rPr>
          <w:t>symbiotiques </w:t>
        </w:r>
      </w:hyperlink>
      <w:hyperlink r:id="rId2072" w:tooltip="Fixation de l'azote" w:history="1">
        <w:r w:rsidR="000D5930" w:rsidRPr="00760FBD">
          <w:rPr>
            <w:rStyle w:val="Lienhypertexte"/>
            <w:rFonts w:ascii="Calibri" w:hAnsi="Calibri" w:cs="Calibri"/>
            <w:color w:val="0645AD"/>
            <w:shd w:val="clear" w:color="auto" w:fill="FFFFFF"/>
          </w:rPr>
          <w:t>fixatrices d'azote</w:t>
        </w:r>
      </w:hyperlink>
      <w:r w:rsidR="000D5930" w:rsidRPr="00760FBD">
        <w:rPr>
          <w:rFonts w:ascii="Calibri" w:hAnsi="Calibri" w:cs="Calibri"/>
          <w:color w:val="202122"/>
          <w:shd w:val="clear" w:color="auto" w:fill="FFFFFF"/>
        </w:rPr>
        <w:t> dans les </w:t>
      </w:r>
      <w:hyperlink r:id="rId2073" w:tooltip="Nodule de racine" w:history="1">
        <w:r w:rsidR="000D5930" w:rsidRPr="00760FBD">
          <w:rPr>
            <w:rStyle w:val="Lienhypertexte"/>
            <w:rFonts w:ascii="Calibri" w:hAnsi="Calibri" w:cs="Calibri"/>
            <w:color w:val="0645AD"/>
            <w:shd w:val="clear" w:color="auto" w:fill="FFFFFF"/>
          </w:rPr>
          <w:t>nodules racinaires</w:t>
        </w:r>
      </w:hyperlink>
      <w:r w:rsidR="000D5930" w:rsidRPr="00760FBD">
        <w:rPr>
          <w:rFonts w:ascii="Calibri" w:hAnsi="Calibri" w:cs="Calibri"/>
          <w:color w:val="202122"/>
          <w:shd w:val="clear" w:color="auto" w:fill="FFFFFF"/>
        </w:rPr>
        <w:t xml:space="preserve">. </w:t>
      </w:r>
      <w:r w:rsidR="000D5930" w:rsidRPr="00700E06">
        <w:rPr>
          <w:rFonts w:ascii="Calibri" w:hAnsi="Calibri" w:cs="Calibri"/>
          <w:shd w:val="clear" w:color="auto" w:fill="FFFFFF"/>
        </w:rPr>
        <w:t xml:space="preserve">La capacité de fixer l'azote signifie que les arachides nécessitent moins </w:t>
      </w:r>
      <w:r w:rsidR="000D5930" w:rsidRPr="00760FBD">
        <w:rPr>
          <w:rFonts w:ascii="Calibri" w:hAnsi="Calibri" w:cs="Calibri"/>
          <w:color w:val="202122"/>
          <w:shd w:val="clear" w:color="auto" w:fill="FFFFFF"/>
        </w:rPr>
        <w:t>d'</w:t>
      </w:r>
      <w:hyperlink r:id="rId2074" w:tooltip="Engrais" w:history="1">
        <w:r w:rsidR="000D5930" w:rsidRPr="00760FBD">
          <w:rPr>
            <w:rStyle w:val="Lienhypertexte"/>
            <w:rFonts w:ascii="Calibri" w:hAnsi="Calibri" w:cs="Calibri"/>
            <w:color w:val="0645AD"/>
            <w:shd w:val="clear" w:color="auto" w:fill="FFFFFF"/>
          </w:rPr>
          <w:t>engrais</w:t>
        </w:r>
      </w:hyperlink>
      <w:r w:rsidR="000D5930" w:rsidRPr="00760FBD">
        <w:rPr>
          <w:rFonts w:ascii="Calibri" w:hAnsi="Calibri" w:cs="Calibri"/>
          <w:color w:val="202122"/>
          <w:shd w:val="clear" w:color="auto" w:fill="FFFFFF"/>
        </w:rPr>
        <w:t> </w:t>
      </w:r>
      <w:r w:rsidR="000D5930" w:rsidRPr="00700E06">
        <w:rPr>
          <w:rFonts w:ascii="Calibri" w:hAnsi="Calibri" w:cs="Calibri"/>
          <w:shd w:val="clear" w:color="auto" w:fill="FFFFFF"/>
        </w:rPr>
        <w:t>contenant de l'azote et améliorent </w:t>
      </w:r>
      <w:hyperlink r:id="rId2075" w:tooltip="La fertilité des sols" w:history="1">
        <w:r w:rsidR="000D5930" w:rsidRPr="00760FBD">
          <w:rPr>
            <w:rStyle w:val="Lienhypertexte"/>
            <w:rFonts w:ascii="Calibri" w:hAnsi="Calibri" w:cs="Calibri"/>
            <w:color w:val="0645AD"/>
            <w:shd w:val="clear" w:color="auto" w:fill="FFFFFF"/>
          </w:rPr>
          <w:t>la fertilité du sol</w:t>
        </w:r>
      </w:hyperlink>
      <w:r w:rsidR="000D5930" w:rsidRPr="00760FBD">
        <w:rPr>
          <w:rFonts w:ascii="Calibri" w:hAnsi="Calibri" w:cs="Calibri"/>
          <w:color w:val="202122"/>
          <w:shd w:val="clear" w:color="auto" w:fill="FFFFFF"/>
        </w:rPr>
        <w:t xml:space="preserve">, </w:t>
      </w:r>
      <w:r w:rsidR="000D5930" w:rsidRPr="00700E06">
        <w:rPr>
          <w:rFonts w:ascii="Calibri" w:hAnsi="Calibri" w:cs="Calibri"/>
          <w:shd w:val="clear" w:color="auto" w:fill="FFFFFF"/>
        </w:rPr>
        <w:t>ce qui les rend précieuses dans </w:t>
      </w:r>
      <w:hyperlink r:id="rId2076" w:tooltip="Rotation des cultures" w:history="1">
        <w:r w:rsidR="000D5930" w:rsidRPr="00760FBD">
          <w:rPr>
            <w:rStyle w:val="Lienhypertexte"/>
            <w:rFonts w:ascii="Calibri" w:hAnsi="Calibri" w:cs="Calibri"/>
            <w:color w:val="0645AD"/>
            <w:shd w:val="clear" w:color="auto" w:fill="FFFFFF"/>
          </w:rPr>
          <w:t>l</w:t>
        </w:r>
        <w:r w:rsidR="000D5930" w:rsidRPr="00760FBD">
          <w:rPr>
            <w:rStyle w:val="Lienhypertexte"/>
            <w:rFonts w:ascii="Calibri" w:hAnsi="Calibri" w:cs="Calibri"/>
            <w:i/>
            <w:iCs/>
            <w:color w:val="0645AD"/>
            <w:shd w:val="clear" w:color="auto" w:fill="FFFFFF"/>
          </w:rPr>
          <w:t>es rotations de cultures</w:t>
        </w:r>
      </w:hyperlink>
      <w:r w:rsidR="000D5930" w:rsidRPr="00760FBD">
        <w:rPr>
          <w:rFonts w:ascii="Calibri" w:hAnsi="Calibri" w:cs="Calibri"/>
          <w:color w:val="202122"/>
          <w:shd w:val="clear" w:color="auto" w:fill="FFFFFF"/>
        </w:rPr>
        <w:t xml:space="preserve">. </w:t>
      </w:r>
      <w:r w:rsidR="000D5930" w:rsidRPr="00700E06">
        <w:rPr>
          <w:rFonts w:ascii="Calibri" w:hAnsi="Calibri" w:cs="Calibri"/>
          <w:shd w:val="clear" w:color="auto" w:fill="FFFFFF"/>
        </w:rPr>
        <w:t>Les arachides peuvent satisfaire la totalité ou presque de leurs besoins en </w:t>
      </w:r>
      <w:hyperlink r:id="rId2077" w:tooltip="Azote" w:history="1">
        <w:r w:rsidR="000D5930" w:rsidRPr="00CD0F64">
          <w:rPr>
            <w:rStyle w:val="Lienhypertexte"/>
            <w:rFonts w:ascii="Calibri" w:hAnsi="Calibri" w:cs="Calibri"/>
            <w:color w:val="2F5496" w:themeColor="accent1" w:themeShade="BF"/>
            <w:shd w:val="clear" w:color="auto" w:fill="FFFFFF"/>
          </w:rPr>
          <w:t>azote</w:t>
        </w:r>
      </w:hyperlink>
      <w:r w:rsidR="000D5930" w:rsidRPr="00700E06">
        <w:rPr>
          <w:rFonts w:ascii="Calibri" w:hAnsi="Calibri" w:cs="Calibri"/>
          <w:shd w:val="clear" w:color="auto" w:fill="FFFFFF"/>
        </w:rPr>
        <w:t>. Il faut inoculer ce rhizobium sur un sol qui en est dépourvu, à raison de 9 </w:t>
      </w:r>
      <w:r w:rsidR="000D5930" w:rsidRPr="00700E06">
        <w:rPr>
          <w:rFonts w:ascii="Calibri" w:hAnsi="Calibri" w:cs="Calibri"/>
        </w:rPr>
        <w:t>kg/ha</w:t>
      </w:r>
      <w:r w:rsidR="000D5930" w:rsidRPr="00700E06">
        <w:rPr>
          <w:rFonts w:ascii="Calibri" w:hAnsi="Calibri" w:cs="Calibri"/>
          <w:shd w:val="clear" w:color="auto" w:fill="FFFFFF"/>
        </w:rPr>
        <w:t> pour obtenir une bonne nodulation (l'inoculant doit être épandu directement sur la semence dans la raie de semis).</w:t>
      </w:r>
      <w:r w:rsidRPr="00700E06">
        <w:rPr>
          <w:rFonts w:ascii="Calibri" w:hAnsi="Calibri" w:cs="Calibri"/>
          <w:shd w:val="clear" w:color="auto" w:fill="FFFFFF"/>
        </w:rPr>
        <w:t xml:space="preserve"> Les petits exploitants africains plantent souvent les cacahuètes avec une ou deux autres cultures, telles que le </w:t>
      </w:r>
      <w:hyperlink r:id="rId2078" w:tooltip="Sorgho commun" w:history="1">
        <w:r w:rsidRPr="00760FBD">
          <w:rPr>
            <w:rStyle w:val="Lienhypertexte"/>
            <w:rFonts w:ascii="Calibri" w:hAnsi="Calibri" w:cs="Calibri"/>
            <w:color w:val="0645AD"/>
            <w:shd w:val="clear" w:color="auto" w:fill="FFFFFF"/>
          </w:rPr>
          <w:t>sorgho</w:t>
        </w:r>
      </w:hyperlink>
      <w:r w:rsidRPr="00760FBD">
        <w:rPr>
          <w:rFonts w:ascii="Calibri" w:hAnsi="Calibri" w:cs="Calibri"/>
          <w:color w:val="202122"/>
          <w:shd w:val="clear" w:color="auto" w:fill="FFFFFF"/>
        </w:rPr>
        <w:t>, le </w:t>
      </w:r>
      <w:hyperlink r:id="rId2079" w:tooltip="Millet (graminée)" w:history="1">
        <w:r w:rsidRPr="00760FBD">
          <w:rPr>
            <w:rStyle w:val="Lienhypertexte"/>
            <w:rFonts w:ascii="Calibri" w:hAnsi="Calibri" w:cs="Calibri"/>
            <w:color w:val="0645AD"/>
            <w:shd w:val="clear" w:color="auto" w:fill="FFFFFF"/>
          </w:rPr>
          <w:t>millet</w:t>
        </w:r>
      </w:hyperlink>
      <w:r w:rsidRPr="00760FBD">
        <w:rPr>
          <w:rFonts w:ascii="Calibri" w:hAnsi="Calibri" w:cs="Calibri"/>
          <w:color w:val="202122"/>
          <w:shd w:val="clear" w:color="auto" w:fill="FFFFFF"/>
        </w:rPr>
        <w:t> </w:t>
      </w:r>
      <w:r w:rsidRPr="00700E06">
        <w:rPr>
          <w:rFonts w:ascii="Calibri" w:hAnsi="Calibri" w:cs="Calibri"/>
          <w:shd w:val="clear" w:color="auto" w:fill="FFFFFF"/>
        </w:rPr>
        <w:t>ou les </w:t>
      </w:r>
      <w:hyperlink r:id="rId2080" w:tooltip="Pois" w:history="1">
        <w:r w:rsidRPr="00760FBD">
          <w:rPr>
            <w:rStyle w:val="Lienhypertexte"/>
            <w:rFonts w:ascii="Calibri" w:hAnsi="Calibri" w:cs="Calibri"/>
            <w:color w:val="0645AD"/>
            <w:shd w:val="clear" w:color="auto" w:fill="FFFFFF"/>
          </w:rPr>
          <w:t>pois</w:t>
        </w:r>
      </w:hyperlink>
      <w:r w:rsidRPr="00760FBD">
        <w:rPr>
          <w:rFonts w:ascii="Calibri" w:hAnsi="Calibri" w:cs="Calibri"/>
          <w:color w:val="202122"/>
          <w:shd w:val="clear" w:color="auto" w:fill="FFFFFF"/>
        </w:rPr>
        <w:t> </w:t>
      </w:r>
      <w:r w:rsidRPr="00700E06">
        <w:rPr>
          <w:rFonts w:ascii="Calibri" w:hAnsi="Calibri" w:cs="Calibri"/>
          <w:shd w:val="clear" w:color="auto" w:fill="FFFFFF"/>
        </w:rPr>
        <w:t>sauvages</w:t>
      </w:r>
      <w:r w:rsidRPr="00760FBD">
        <w:rPr>
          <w:rFonts w:ascii="Calibri" w:hAnsi="Calibri" w:cs="Calibri"/>
          <w:color w:val="202122"/>
          <w:shd w:val="clear" w:color="auto" w:fill="FFFFFF"/>
        </w:rPr>
        <w:t>. </w:t>
      </w:r>
    </w:p>
    <w:p w14:paraId="5A371804" w14:textId="62313541" w:rsidR="00700E06" w:rsidRPr="00EB654D" w:rsidRDefault="00700E06" w:rsidP="000D5930">
      <w:pPr>
        <w:spacing w:after="0" w:line="240" w:lineRule="auto"/>
        <w:jc w:val="both"/>
        <w:rPr>
          <w:rFonts w:ascii="Calibri" w:hAnsi="Calibri" w:cs="Calibri"/>
          <w:color w:val="000000" w:themeColor="text1"/>
          <w:shd w:val="clear" w:color="auto" w:fill="FFFFFF"/>
        </w:rPr>
      </w:pPr>
      <w:r w:rsidRPr="00700E06">
        <w:rPr>
          <w:rFonts w:ascii="Calibri" w:hAnsi="Calibri" w:cs="Calibri"/>
          <w:u w:val="single"/>
        </w:rPr>
        <w:t>Culture</w:t>
      </w:r>
      <w:r w:rsidRPr="00700E06">
        <w:rPr>
          <w:rFonts w:ascii="Calibri" w:hAnsi="Calibri" w:cs="Calibri"/>
        </w:rPr>
        <w:t xml:space="preserve"> : </w:t>
      </w:r>
      <w:r w:rsidRPr="00700E06">
        <w:rPr>
          <w:rFonts w:ascii="Calibri" w:hAnsi="Calibri" w:cs="Calibri"/>
          <w:shd w:val="clear" w:color="auto" w:fill="FFFFFF"/>
        </w:rPr>
        <w:t>Les cultures se font en buttes (surélevées) séparées d'un mètre environ ; ce qui permet d'améliorer le drainage et facilite l'arrachage. Dans les régions de </w:t>
      </w:r>
      <w:hyperlink r:id="rId2081" w:tooltip="Savane" w:history="1">
        <w:r w:rsidRPr="00700E06">
          <w:rPr>
            <w:rStyle w:val="Lienhypertexte"/>
            <w:rFonts w:ascii="Calibri" w:hAnsi="Calibri" w:cs="Calibri"/>
            <w:color w:val="0645AD"/>
            <w:shd w:val="clear" w:color="auto" w:fill="FFFFFF"/>
          </w:rPr>
          <w:t>savane</w:t>
        </w:r>
      </w:hyperlink>
      <w:r w:rsidRPr="00700E06">
        <w:rPr>
          <w:rFonts w:ascii="Calibri" w:hAnsi="Calibri" w:cs="Calibri"/>
          <w:color w:val="202122"/>
          <w:shd w:val="clear" w:color="auto" w:fill="FFFFFF"/>
        </w:rPr>
        <w:t> </w:t>
      </w:r>
      <w:r w:rsidRPr="00CD0F64">
        <w:rPr>
          <w:rFonts w:ascii="Calibri" w:hAnsi="Calibri" w:cs="Calibri"/>
          <w:color w:val="000000" w:themeColor="text1"/>
          <w:shd w:val="clear" w:color="auto" w:fill="FFFFFF"/>
        </w:rPr>
        <w:t>au nord de l'Afrique occidentale, plus sèches, elles sont généralement plantées en juin et récoltées en septembre ou octobre. Les cacahuètes ne poussent que dans des sols bien drainés</w:t>
      </w:r>
      <w:r w:rsidR="00CD0F64" w:rsidRPr="00CD0F64">
        <w:rPr>
          <w:rFonts w:ascii="Calibri" w:hAnsi="Calibri" w:cs="Calibri"/>
          <w:color w:val="000000" w:themeColor="text1"/>
          <w:shd w:val="clear" w:color="auto" w:fill="FFFFFF"/>
        </w:rPr>
        <w:t>, plutôt sableux</w:t>
      </w:r>
      <w:r w:rsidR="00CD0F64">
        <w:rPr>
          <w:rStyle w:val="Appelnotedebasdep"/>
          <w:rFonts w:ascii="Calibri" w:hAnsi="Calibri" w:cs="Calibri"/>
          <w:color w:val="000000" w:themeColor="text1"/>
          <w:shd w:val="clear" w:color="auto" w:fill="FFFFFF"/>
        </w:rPr>
        <w:footnoteReference w:id="117"/>
      </w:r>
      <w:r w:rsidRPr="00CD0F64">
        <w:rPr>
          <w:rFonts w:ascii="Calibri" w:hAnsi="Calibri" w:cs="Calibri"/>
          <w:color w:val="000000" w:themeColor="text1"/>
          <w:shd w:val="clear" w:color="auto" w:fill="FFFFFF"/>
        </w:rPr>
        <w:t xml:space="preserve"> et pas trop argileux pour éviter les pertes au moment de la récolte (arrachage). Le </w:t>
      </w:r>
      <w:hyperlink r:id="rId2082" w:tooltip="Potentiel hydrogène" w:history="1">
        <w:r w:rsidRPr="00700E06">
          <w:rPr>
            <w:rStyle w:val="Lienhypertexte"/>
            <w:rFonts w:ascii="Calibri" w:hAnsi="Calibri" w:cs="Calibri"/>
            <w:color w:val="0645AD"/>
            <w:shd w:val="clear" w:color="auto" w:fill="FFFFFF"/>
          </w:rPr>
          <w:t>pH</w:t>
        </w:r>
      </w:hyperlink>
      <w:r w:rsidRPr="00700E06">
        <w:rPr>
          <w:rFonts w:ascii="Calibri" w:hAnsi="Calibri" w:cs="Calibri"/>
          <w:color w:val="202122"/>
          <w:shd w:val="clear" w:color="auto" w:fill="FFFFFF"/>
        </w:rPr>
        <w:t> </w:t>
      </w:r>
      <w:r w:rsidRPr="00700E06">
        <w:rPr>
          <w:rFonts w:ascii="Calibri" w:hAnsi="Calibri" w:cs="Calibri"/>
          <w:shd w:val="clear" w:color="auto" w:fill="FFFFFF"/>
        </w:rPr>
        <w:t>idéal est de 5,8. La récolte doit se faire dès la maturité (lorsque la pellicule qui recouvre la graine se détache facilement).</w:t>
      </w:r>
      <w:r w:rsidR="00EB654D">
        <w:rPr>
          <w:rFonts w:ascii="Calibri" w:hAnsi="Calibri" w:cs="Calibri"/>
          <w:shd w:val="clear" w:color="auto" w:fill="FFFFFF"/>
        </w:rPr>
        <w:t xml:space="preserve"> </w:t>
      </w:r>
      <w:r w:rsidR="00EB654D" w:rsidRPr="00EB654D">
        <w:rPr>
          <w:rFonts w:ascii="Calibri" w:hAnsi="Calibri" w:cs="Arial"/>
          <w:color w:val="000000" w:themeColor="text1"/>
          <w:shd w:val="clear" w:color="auto" w:fill="FFFFFF"/>
        </w:rPr>
        <w:t xml:space="preserve">Pour protéger le sol contre l'érosion par le vent et par l'eau, on y installe normalement une culture couvre-sol d'hiver </w:t>
      </w:r>
      <w:r w:rsidR="00EB654D" w:rsidRPr="00EB654D">
        <w:rPr>
          <w:rFonts w:ascii="Calibri" w:hAnsi="Calibri" w:cs="Arial"/>
          <w:color w:val="202122"/>
          <w:shd w:val="clear" w:color="auto" w:fill="FFFFFF"/>
        </w:rPr>
        <w:t>(</w:t>
      </w:r>
      <w:hyperlink r:id="rId2083" w:tooltip="CIPAN" w:history="1">
        <w:r w:rsidR="00EB654D" w:rsidRPr="00EB654D">
          <w:rPr>
            <w:rStyle w:val="Lienhypertexte"/>
            <w:rFonts w:ascii="Calibri" w:hAnsi="Calibri" w:cs="Arial"/>
            <w:color w:val="0645AD"/>
            <w:shd w:val="clear" w:color="auto" w:fill="FFFFFF"/>
          </w:rPr>
          <w:t>CIPAN</w:t>
        </w:r>
      </w:hyperlink>
      <w:r w:rsidR="00EB654D" w:rsidRPr="00EB654D">
        <w:rPr>
          <w:rFonts w:ascii="Calibri" w:hAnsi="Calibri" w:cs="Arial"/>
          <w:color w:val="202122"/>
          <w:shd w:val="clear" w:color="auto" w:fill="FFFFFF"/>
        </w:rPr>
        <w:t xml:space="preserve">) </w:t>
      </w:r>
      <w:r w:rsidR="00EB654D" w:rsidRPr="00EB654D">
        <w:rPr>
          <w:rFonts w:ascii="Calibri" w:hAnsi="Calibri" w:cs="Arial"/>
          <w:color w:val="000000" w:themeColor="text1"/>
          <w:shd w:val="clear" w:color="auto" w:fill="FFFFFF"/>
        </w:rPr>
        <w:t>qui sera ensuite enfouie vers la fin avril, afin de lui laisser le temps de bien se décomposer avant les semailles de l'arachide.</w:t>
      </w:r>
    </w:p>
    <w:p w14:paraId="34720CD3" w14:textId="51410429" w:rsidR="00CD0F64" w:rsidRDefault="00700E06" w:rsidP="000D5930">
      <w:pPr>
        <w:spacing w:after="0" w:line="240" w:lineRule="auto"/>
        <w:jc w:val="both"/>
        <w:rPr>
          <w:rFonts w:ascii="Calibri" w:hAnsi="Calibri" w:cs="Calibri"/>
          <w:shd w:val="clear" w:color="auto" w:fill="FFFFFF"/>
        </w:rPr>
      </w:pPr>
      <w:r w:rsidRPr="00CD0F64">
        <w:rPr>
          <w:rFonts w:ascii="Calibri" w:hAnsi="Calibri" w:cs="Calibri"/>
          <w:u w:val="single"/>
          <w:shd w:val="clear" w:color="auto" w:fill="FFFFFF"/>
        </w:rPr>
        <w:t>Maladies</w:t>
      </w:r>
      <w:r w:rsidRPr="00700E06">
        <w:rPr>
          <w:rFonts w:ascii="Calibri" w:hAnsi="Calibri" w:cs="Calibri"/>
          <w:shd w:val="clear" w:color="auto" w:fill="FFFFFF"/>
        </w:rPr>
        <w:t xml:space="preserve"> : </w:t>
      </w:r>
      <w:r w:rsidRPr="00CD0F64">
        <w:rPr>
          <w:rFonts w:ascii="Calibri" w:hAnsi="Calibri" w:cs="Calibri"/>
          <w:shd w:val="clear" w:color="auto" w:fill="FFFFFF"/>
        </w:rPr>
        <w:t>Un point important est d’éviter le développement de </w:t>
      </w:r>
      <w:hyperlink r:id="rId2084" w:tooltip="Moisissure" w:history="1">
        <w:r w:rsidRPr="00700E06">
          <w:rPr>
            <w:rStyle w:val="Lienhypertexte"/>
            <w:rFonts w:ascii="Calibri" w:hAnsi="Calibri" w:cs="Calibri"/>
            <w:color w:val="0645AD"/>
            <w:shd w:val="clear" w:color="auto" w:fill="FFFFFF"/>
          </w:rPr>
          <w:t>moisissures</w:t>
        </w:r>
      </w:hyperlink>
      <w:r w:rsidRPr="00700E06">
        <w:rPr>
          <w:rStyle w:val="Appelnotedebasdep"/>
          <w:rFonts w:ascii="Calibri" w:hAnsi="Calibri" w:cs="Calibri"/>
        </w:rPr>
        <w:footnoteReference w:id="118"/>
      </w:r>
      <w:r w:rsidRPr="00700E06">
        <w:rPr>
          <w:rFonts w:ascii="Calibri" w:hAnsi="Calibri" w:cs="Calibri"/>
          <w:color w:val="202122"/>
          <w:shd w:val="clear" w:color="auto" w:fill="FFFFFF"/>
        </w:rPr>
        <w:t> </w:t>
      </w:r>
      <w:r w:rsidRPr="00CD0F64">
        <w:rPr>
          <w:rFonts w:ascii="Calibri" w:hAnsi="Calibri" w:cs="Calibri"/>
          <w:shd w:val="clear" w:color="auto" w:fill="FFFFFF"/>
        </w:rPr>
        <w:t>qui peuvent produire des </w:t>
      </w:r>
      <w:hyperlink r:id="rId2085" w:tooltip="Aflatoxine" w:history="1">
        <w:r w:rsidRPr="00700E06">
          <w:rPr>
            <w:rStyle w:val="Lienhypertexte"/>
            <w:rFonts w:ascii="Calibri" w:hAnsi="Calibri" w:cs="Calibri"/>
            <w:color w:val="0645AD"/>
            <w:shd w:val="clear" w:color="auto" w:fill="FFFFFF"/>
          </w:rPr>
          <w:t>aflatoxines</w:t>
        </w:r>
      </w:hyperlink>
      <w:r w:rsidRPr="00700E06">
        <w:rPr>
          <w:rFonts w:ascii="Calibri" w:hAnsi="Calibri" w:cs="Calibri"/>
          <w:color w:val="202122"/>
          <w:shd w:val="clear" w:color="auto" w:fill="FFFFFF"/>
        </w:rPr>
        <w:t xml:space="preserve">, </w:t>
      </w:r>
      <w:r w:rsidRPr="00CD0F64">
        <w:rPr>
          <w:rFonts w:ascii="Calibri" w:hAnsi="Calibri" w:cs="Calibri"/>
          <w:shd w:val="clear" w:color="auto" w:fill="FFFFFF"/>
        </w:rPr>
        <w:t>dangereuses pour le bétail</w:t>
      </w:r>
      <w:r w:rsidR="00CD0F64">
        <w:rPr>
          <w:rFonts w:ascii="Calibri" w:hAnsi="Calibri" w:cs="Calibri"/>
          <w:shd w:val="clear" w:color="auto" w:fill="FFFFFF"/>
        </w:rPr>
        <w:t>,</w:t>
      </w:r>
      <w:r w:rsidRPr="00CD0F64">
        <w:rPr>
          <w:rFonts w:ascii="Calibri" w:hAnsi="Calibri" w:cs="Calibri"/>
          <w:shd w:val="clear" w:color="auto" w:fill="FFFFFF"/>
        </w:rPr>
        <w:t xml:space="preserve"> qui consommerait les </w:t>
      </w:r>
      <w:hyperlink r:id="rId2086" w:tooltip="Tourteaux" w:history="1">
        <w:r w:rsidRPr="00700E06">
          <w:rPr>
            <w:rStyle w:val="Lienhypertexte"/>
            <w:rFonts w:ascii="Calibri" w:hAnsi="Calibri" w:cs="Calibri"/>
            <w:color w:val="0645AD"/>
            <w:shd w:val="clear" w:color="auto" w:fill="FFFFFF"/>
          </w:rPr>
          <w:t>tourteaux</w:t>
        </w:r>
      </w:hyperlink>
      <w:r w:rsidRPr="00700E06">
        <w:rPr>
          <w:rFonts w:ascii="Calibri" w:hAnsi="Calibri" w:cs="Calibri"/>
          <w:color w:val="202122"/>
          <w:shd w:val="clear" w:color="auto" w:fill="FFFFFF"/>
        </w:rPr>
        <w:t> </w:t>
      </w:r>
      <w:r w:rsidRPr="00CD0F64">
        <w:rPr>
          <w:rFonts w:ascii="Calibri" w:hAnsi="Calibri" w:cs="Calibri"/>
          <w:shd w:val="clear" w:color="auto" w:fill="FFFFFF"/>
        </w:rPr>
        <w:t>contaminés, et pour l’homme. Moisissures pouvant être évitées avec a) des variétés/cultivars résistants à ce champignon</w:t>
      </w:r>
      <w:r w:rsidR="00EB654D">
        <w:rPr>
          <w:rStyle w:val="Appelnotedebasdep"/>
          <w:rFonts w:ascii="Calibri" w:hAnsi="Calibri" w:cs="Calibri"/>
          <w:shd w:val="clear" w:color="auto" w:fill="FFFFFF"/>
        </w:rPr>
        <w:footnoteReference w:id="119"/>
      </w:r>
      <w:r w:rsidRPr="00CD0F64">
        <w:rPr>
          <w:rFonts w:ascii="Calibri" w:hAnsi="Calibri" w:cs="Calibri"/>
          <w:shd w:val="clear" w:color="auto" w:fill="FFFFFF"/>
        </w:rPr>
        <w:t xml:space="preserve">, b) des conditions de stockage avec un faible taux d’humidité dans les graines et </w:t>
      </w:r>
      <w:r w:rsidR="00CD0F64" w:rsidRPr="00CD0F64">
        <w:rPr>
          <w:rFonts w:ascii="Calibri" w:hAnsi="Calibri" w:cs="Calibri"/>
          <w:shd w:val="clear" w:color="auto" w:fill="FFFFFF"/>
        </w:rPr>
        <w:t>l’air extérieur.</w:t>
      </w:r>
      <w:r w:rsidR="00CD0F64">
        <w:rPr>
          <w:rFonts w:ascii="Calibri" w:hAnsi="Calibri" w:cs="Calibri"/>
          <w:shd w:val="clear" w:color="auto" w:fill="FFFFFF"/>
        </w:rPr>
        <w:t xml:space="preserve"> </w:t>
      </w:r>
      <w:r w:rsidR="00CD0F64" w:rsidRPr="00CD0F64">
        <w:rPr>
          <w:rFonts w:ascii="Calibri" w:hAnsi="Calibri" w:cs="Calibri"/>
          <w:shd w:val="clear" w:color="auto" w:fill="FFFFFF"/>
        </w:rPr>
        <w:t>À signaler, une maladie virale, la « </w:t>
      </w:r>
      <w:hyperlink r:id="rId2087" w:tooltip="Virus de la rosette de l'arachide" w:history="1">
        <w:r w:rsidR="00CD0F64" w:rsidRPr="00CD0F64">
          <w:rPr>
            <w:rStyle w:val="Lienhypertexte"/>
            <w:rFonts w:ascii="Calibri" w:hAnsi="Calibri" w:cs="Calibri"/>
            <w:color w:val="0645AD"/>
            <w:shd w:val="clear" w:color="auto" w:fill="FFFFFF"/>
          </w:rPr>
          <w:t>rosette de l'Arachide</w:t>
        </w:r>
      </w:hyperlink>
      <w:r w:rsidR="00CD0F64" w:rsidRPr="00CD0F64">
        <w:rPr>
          <w:rFonts w:ascii="Calibri" w:hAnsi="Calibri" w:cs="Calibri"/>
          <w:color w:val="202122"/>
          <w:shd w:val="clear" w:color="auto" w:fill="FFFFFF"/>
        </w:rPr>
        <w:t> </w:t>
      </w:r>
      <w:r w:rsidR="00CD0F64" w:rsidRPr="00CD0F64">
        <w:rPr>
          <w:rFonts w:ascii="Calibri" w:hAnsi="Calibri" w:cs="Calibri"/>
          <w:shd w:val="clear" w:color="auto" w:fill="FFFFFF"/>
        </w:rPr>
        <w:t>», transmise par un </w:t>
      </w:r>
      <w:hyperlink r:id="rId2088" w:tooltip="Puceron" w:history="1">
        <w:r w:rsidR="00CD0F64" w:rsidRPr="00CD0F64">
          <w:rPr>
            <w:rStyle w:val="Lienhypertexte"/>
            <w:rFonts w:ascii="Calibri" w:hAnsi="Calibri" w:cs="Calibri"/>
            <w:color w:val="0645AD"/>
            <w:shd w:val="clear" w:color="auto" w:fill="FFFFFF"/>
          </w:rPr>
          <w:t>puceron</w:t>
        </w:r>
      </w:hyperlink>
      <w:r w:rsidR="00CD0F64" w:rsidRPr="00CD0F64">
        <w:rPr>
          <w:rFonts w:ascii="Calibri" w:hAnsi="Calibri" w:cs="Calibri"/>
          <w:color w:val="202122"/>
          <w:shd w:val="clear" w:color="auto" w:fill="FFFFFF"/>
        </w:rPr>
        <w:t xml:space="preserve">. </w:t>
      </w:r>
      <w:r w:rsidR="00CD0F64" w:rsidRPr="00CD0F64">
        <w:rPr>
          <w:rFonts w:ascii="Calibri" w:hAnsi="Calibri" w:cs="Calibri"/>
          <w:shd w:val="clear" w:color="auto" w:fill="FFFFFF"/>
        </w:rPr>
        <w:t xml:space="preserve">Cette maladie provoque le rabougrissement des pieds et fait baisser sensiblement le rendement surtout </w:t>
      </w:r>
      <w:r w:rsidR="00CD0F64" w:rsidRPr="00CD0F64">
        <w:rPr>
          <w:rFonts w:ascii="Calibri" w:hAnsi="Calibri" w:cs="Calibri"/>
          <w:shd w:val="clear" w:color="auto" w:fill="FFFFFF"/>
        </w:rPr>
        <w:lastRenderedPageBreak/>
        <w:t>si elle apparaît tôt (moins de 40 jours après le semis).</w:t>
      </w:r>
      <w:r w:rsidR="00CD0F64">
        <w:rPr>
          <w:rFonts w:ascii="Calibri" w:hAnsi="Calibri" w:cs="Calibri"/>
          <w:shd w:val="clear" w:color="auto" w:fill="FFFFFF"/>
        </w:rPr>
        <w:t xml:space="preserve"> </w:t>
      </w:r>
      <w:r w:rsidR="00CD0F64" w:rsidRPr="00CD0F64">
        <w:rPr>
          <w:rFonts w:ascii="Calibri" w:hAnsi="Calibri" w:cs="Calibri"/>
          <w:shd w:val="clear" w:color="auto" w:fill="FFFFFF"/>
        </w:rPr>
        <w:t>Deux autres maladies fongiques, la </w:t>
      </w:r>
      <w:hyperlink r:id="rId2089" w:tooltip="Cercosporiose" w:history="1">
        <w:r w:rsidR="00CD0F64" w:rsidRPr="00CD0F64">
          <w:rPr>
            <w:rStyle w:val="Lienhypertexte"/>
            <w:rFonts w:ascii="Calibri" w:hAnsi="Calibri" w:cs="Calibri"/>
            <w:color w:val="0645AD"/>
            <w:shd w:val="clear" w:color="auto" w:fill="FFFFFF"/>
          </w:rPr>
          <w:t>cercosporiose</w:t>
        </w:r>
      </w:hyperlink>
      <w:r w:rsidR="00CD0F64" w:rsidRPr="00CD0F64">
        <w:rPr>
          <w:rFonts w:ascii="Calibri" w:hAnsi="Calibri" w:cs="Calibri"/>
          <w:color w:val="202122"/>
          <w:shd w:val="clear" w:color="auto" w:fill="FFFFFF"/>
        </w:rPr>
        <w:t> (</w:t>
      </w:r>
      <w:r w:rsidR="00CD0F64" w:rsidRPr="00CD0F64">
        <w:rPr>
          <w:rFonts w:ascii="Calibri" w:hAnsi="Calibri" w:cs="Calibri"/>
          <w:shd w:val="clear" w:color="auto" w:fill="FFFFFF"/>
        </w:rPr>
        <w:t>tavelure des feuilles) et la </w:t>
      </w:r>
      <w:hyperlink r:id="rId2090" w:tooltip="Puccinia arachidis" w:history="1">
        <w:r w:rsidR="00CD0F64" w:rsidRPr="00CD0F64">
          <w:rPr>
            <w:rStyle w:val="Lienhypertexte"/>
            <w:rFonts w:ascii="Calibri" w:hAnsi="Calibri" w:cs="Calibri"/>
            <w:color w:val="0645AD"/>
            <w:shd w:val="clear" w:color="auto" w:fill="FFFFFF"/>
          </w:rPr>
          <w:t>rouille</w:t>
        </w:r>
      </w:hyperlink>
      <w:r w:rsidR="00CD0F64" w:rsidRPr="00CD0F64">
        <w:rPr>
          <w:rFonts w:ascii="Calibri" w:hAnsi="Calibri" w:cs="Calibri"/>
          <w:color w:val="202122"/>
          <w:shd w:val="clear" w:color="auto" w:fill="FFFFFF"/>
        </w:rPr>
        <w:t> </w:t>
      </w:r>
      <w:r w:rsidR="00CD0F64" w:rsidRPr="00CD0F64">
        <w:rPr>
          <w:rFonts w:ascii="Calibri" w:hAnsi="Calibri" w:cs="Calibri"/>
          <w:shd w:val="clear" w:color="auto" w:fill="FFFFFF"/>
        </w:rPr>
        <w:t>(spores sur la face inférieure des feuilles), sont présentes sur l'arachide surtout en climat humide, où elles provoquent une chute des feuilles entraînant une baisse des rendements en gousses.</w:t>
      </w:r>
    </w:p>
    <w:p w14:paraId="7B0F6A39" w14:textId="77777777" w:rsidR="00071EEC" w:rsidRPr="00071EEC" w:rsidRDefault="00EB654D" w:rsidP="00071EEC">
      <w:pPr>
        <w:spacing w:after="0" w:line="240" w:lineRule="auto"/>
        <w:jc w:val="both"/>
        <w:rPr>
          <w:rFonts w:ascii="Calibri" w:hAnsi="Calibri" w:cs="Calibri"/>
          <w:shd w:val="clear" w:color="auto" w:fill="FFFFFF"/>
        </w:rPr>
      </w:pPr>
      <w:r w:rsidRPr="00EB654D">
        <w:rPr>
          <w:rFonts w:ascii="Calibri" w:hAnsi="Calibri" w:cs="Calibri"/>
          <w:u w:val="single"/>
          <w:shd w:val="clear" w:color="auto" w:fill="FFFFFF"/>
        </w:rPr>
        <w:t>Toxicité / allergie</w:t>
      </w:r>
      <w:r>
        <w:rPr>
          <w:rFonts w:ascii="Calibri" w:hAnsi="Calibri" w:cs="Calibri"/>
          <w:shd w:val="clear" w:color="auto" w:fill="FFFFFF"/>
        </w:rPr>
        <w:t xml:space="preserve"> : </w:t>
      </w:r>
      <w:r w:rsidR="00071EEC" w:rsidRPr="00071EEC">
        <w:rPr>
          <w:rFonts w:ascii="Calibri" w:hAnsi="Calibri" w:cs="Calibri"/>
          <w:shd w:val="clear" w:color="auto" w:fill="FFFFFF"/>
        </w:rPr>
        <w:t>Certaines personnes (0,6 % de la population des États-Unis) éprouvent des réactions allergiques à l'exposition aux arachides; les symptômes sont particulièrement graves pour cette noix et peuvent aller du larmoiement au choc anaphylactique, qui est généralement mortelle si elle n'est pas traitée.  La lecture des ingrédients et des avertissements sur les emballages des produits est nécessaire pour éviter cet allergène. Éviter la contamination croisée avec les arachides et les produits à base d'arachides (ainsi que d'autres allergènes graves comme les crustacés) est une pratique promue et courante dont les chefs et les restaurants du monde entier prennent conscience.</w:t>
      </w:r>
    </w:p>
    <w:p w14:paraId="46496FD0" w14:textId="7F9CED66" w:rsidR="00EB654D" w:rsidRDefault="00071EEC" w:rsidP="00071EEC">
      <w:pPr>
        <w:spacing w:after="0" w:line="240" w:lineRule="auto"/>
        <w:jc w:val="both"/>
        <w:rPr>
          <w:rFonts w:ascii="Calibri" w:hAnsi="Calibri" w:cs="Calibri"/>
          <w:shd w:val="clear" w:color="auto" w:fill="FFFFFF"/>
        </w:rPr>
      </w:pPr>
      <w:r w:rsidRPr="00071EEC">
        <w:rPr>
          <w:rFonts w:ascii="Calibri" w:hAnsi="Calibri" w:cs="Calibri"/>
          <w:shd w:val="clear" w:color="auto" w:fill="FFFFFF"/>
        </w:rPr>
        <w:t>L'huile d'arachide raffinée ne provoquera pas de réactions allergiques chez la plupart des personnes allergiques aux arachides, contrairement</w:t>
      </w:r>
      <w:r>
        <w:rPr>
          <w:rFonts w:ascii="Calibri" w:hAnsi="Calibri" w:cs="Calibri"/>
          <w:shd w:val="clear" w:color="auto" w:fill="FFFFFF"/>
        </w:rPr>
        <w:t xml:space="preserve"> aux</w:t>
      </w:r>
      <w:r w:rsidRPr="00071EEC">
        <w:rPr>
          <w:rFonts w:ascii="Calibri" w:hAnsi="Calibri" w:cs="Calibri"/>
          <w:shd w:val="clear" w:color="auto" w:fill="FFFFFF"/>
        </w:rPr>
        <w:t xml:space="preserve"> huiles d'arachide brutes (non raffinées) contenant </w:t>
      </w:r>
      <w:r>
        <w:rPr>
          <w:rFonts w:ascii="Calibri" w:hAnsi="Calibri" w:cs="Calibri"/>
          <w:shd w:val="clear" w:color="auto" w:fill="FFFFFF"/>
        </w:rPr>
        <w:t>l</w:t>
      </w:r>
      <w:r w:rsidRPr="00071EEC">
        <w:rPr>
          <w:rFonts w:ascii="Calibri" w:hAnsi="Calibri" w:cs="Calibri"/>
          <w:shd w:val="clear" w:color="auto" w:fill="FFFFFF"/>
        </w:rPr>
        <w:t>es protéines provoquant les réactions allergiques.</w:t>
      </w:r>
    </w:p>
    <w:p w14:paraId="424C5778" w14:textId="77777777" w:rsidR="008A2096" w:rsidRDefault="008A2096" w:rsidP="00071EEC">
      <w:pPr>
        <w:spacing w:after="0" w:line="240" w:lineRule="auto"/>
        <w:jc w:val="both"/>
        <w:rPr>
          <w:rFonts w:ascii="Calibri" w:hAnsi="Calibri" w:cs="Calibri"/>
          <w:shd w:val="clear" w:color="auto" w:fill="FFFFFF"/>
        </w:rPr>
      </w:pPr>
    </w:p>
    <w:p w14:paraId="177998E4" w14:textId="5B32B273" w:rsidR="00CD0F64" w:rsidRDefault="00CD0F64" w:rsidP="00CD0F64">
      <w:pPr>
        <w:pStyle w:val="NormalWeb"/>
        <w:shd w:val="clear" w:color="auto" w:fill="FFFFFF"/>
        <w:spacing w:before="0" w:beforeAutospacing="0" w:after="0" w:afterAutospacing="0"/>
        <w:jc w:val="both"/>
        <w:rPr>
          <w:rFonts w:ascii="Calibri" w:hAnsi="Calibri" w:cs="Calibri"/>
          <w:color w:val="000000" w:themeColor="text1"/>
          <w:sz w:val="22"/>
          <w:szCs w:val="22"/>
        </w:rPr>
      </w:pPr>
      <w:r w:rsidRPr="00EB654D">
        <w:rPr>
          <w:rFonts w:ascii="Calibri" w:hAnsi="Calibri" w:cs="Calibri"/>
          <w:color w:val="000000" w:themeColor="text1"/>
          <w:sz w:val="22"/>
          <w:szCs w:val="22"/>
          <w:u w:val="single"/>
          <w:shd w:val="clear" w:color="auto" w:fill="FFFFFF"/>
        </w:rPr>
        <w:t>Variétés</w:t>
      </w:r>
      <w:r w:rsidRPr="00EB654D">
        <w:rPr>
          <w:rFonts w:ascii="Calibri" w:hAnsi="Calibri" w:cs="Calibri"/>
          <w:color w:val="000000" w:themeColor="text1"/>
          <w:sz w:val="22"/>
          <w:szCs w:val="22"/>
          <w:shd w:val="clear" w:color="auto" w:fill="FFFFFF"/>
        </w:rPr>
        <w:t xml:space="preserve"> : </w:t>
      </w:r>
      <w:r w:rsidRPr="00EB654D">
        <w:rPr>
          <w:rFonts w:ascii="Calibri" w:hAnsi="Calibri" w:cs="Calibri"/>
          <w:color w:val="000000" w:themeColor="text1"/>
          <w:sz w:val="22"/>
          <w:szCs w:val="22"/>
        </w:rPr>
        <w:t>Les variétés cultivées sont très nombreuses et regroupées en deux grands types</w:t>
      </w:r>
      <w:r w:rsidR="00071EEC">
        <w:rPr>
          <w:rFonts w:ascii="Calibri" w:hAnsi="Calibri" w:cs="Calibri"/>
          <w:color w:val="000000" w:themeColor="text1"/>
          <w:sz w:val="22"/>
          <w:szCs w:val="22"/>
        </w:rPr>
        <w:t xml:space="preserve"> (voir ci-dessous</w:t>
      </w:r>
      <w:r w:rsidRPr="00EB654D">
        <w:rPr>
          <w:rFonts w:ascii="Calibri" w:hAnsi="Calibri" w:cs="Calibri"/>
          <w:color w:val="000000" w:themeColor="text1"/>
          <w:sz w:val="22"/>
          <w:szCs w:val="22"/>
        </w:rPr>
        <w:t> :</w:t>
      </w:r>
    </w:p>
    <w:p w14:paraId="6D14DC54" w14:textId="77777777" w:rsidR="00EB654D" w:rsidRPr="00EB654D" w:rsidRDefault="00EB654D" w:rsidP="00CD0F64">
      <w:pPr>
        <w:pStyle w:val="NormalWeb"/>
        <w:shd w:val="clear" w:color="auto" w:fill="FFFFFF"/>
        <w:spacing w:before="0" w:beforeAutospacing="0" w:after="0" w:afterAutospacing="0"/>
        <w:jc w:val="both"/>
        <w:rPr>
          <w:rFonts w:ascii="Calibri" w:hAnsi="Calibri" w:cs="Calibri"/>
          <w:color w:val="000000" w:themeColor="text1"/>
          <w:sz w:val="22"/>
          <w:szCs w:val="22"/>
        </w:rPr>
      </w:pPr>
    </w:p>
    <w:p w14:paraId="2EEB1242" w14:textId="77777777" w:rsidR="00CD0F64" w:rsidRPr="00CD0F64" w:rsidRDefault="00CD0F64" w:rsidP="0022016D">
      <w:pPr>
        <w:numPr>
          <w:ilvl w:val="0"/>
          <w:numId w:val="43"/>
        </w:numPr>
        <w:shd w:val="clear" w:color="auto" w:fill="FFFFFF"/>
        <w:tabs>
          <w:tab w:val="clear" w:pos="720"/>
          <w:tab w:val="num" w:pos="426"/>
        </w:tabs>
        <w:spacing w:after="0" w:line="240" w:lineRule="auto"/>
        <w:ind w:left="426"/>
        <w:jc w:val="both"/>
        <w:rPr>
          <w:rFonts w:ascii="Calibri" w:hAnsi="Calibri" w:cs="Calibri"/>
          <w:color w:val="000000" w:themeColor="text1"/>
        </w:rPr>
      </w:pPr>
      <w:r w:rsidRPr="00CD0F64">
        <w:rPr>
          <w:rFonts w:ascii="Calibri" w:hAnsi="Calibri" w:cs="Calibri"/>
          <w:color w:val="000000" w:themeColor="text1"/>
        </w:rPr>
        <w:t>Virginia, à port rampant et à cycle végétatif long (120 à 140 jours) ; les graines ne germent pas prématurément ; cette variété est plus résistante à la </w:t>
      </w:r>
      <w:hyperlink r:id="rId2091" w:tooltip="Tavelure (botanique)" w:history="1">
        <w:r w:rsidRPr="00CD0F64">
          <w:rPr>
            <w:rStyle w:val="Lienhypertexte"/>
            <w:rFonts w:ascii="Calibri" w:hAnsi="Calibri" w:cs="Calibri"/>
            <w:color w:val="0645AD"/>
            <w:u w:val="none"/>
          </w:rPr>
          <w:t>tavelure</w:t>
        </w:r>
      </w:hyperlink>
      <w:r w:rsidRPr="00CD0F64">
        <w:rPr>
          <w:rFonts w:ascii="Calibri" w:hAnsi="Calibri" w:cs="Calibri"/>
          <w:color w:val="202122"/>
        </w:rPr>
        <w:t> </w:t>
      </w:r>
      <w:r w:rsidRPr="00CD0F64">
        <w:rPr>
          <w:rFonts w:ascii="Calibri" w:hAnsi="Calibri" w:cs="Calibri"/>
          <w:color w:val="000000" w:themeColor="text1"/>
        </w:rPr>
        <w:t>des feuilles ;</w:t>
      </w:r>
    </w:p>
    <w:p w14:paraId="0B2846FF" w14:textId="77777777" w:rsidR="00CD0F64" w:rsidRPr="00CD0F64" w:rsidRDefault="00CD0F64" w:rsidP="0022016D">
      <w:pPr>
        <w:numPr>
          <w:ilvl w:val="0"/>
          <w:numId w:val="43"/>
        </w:numPr>
        <w:shd w:val="clear" w:color="auto" w:fill="FFFFFF"/>
        <w:tabs>
          <w:tab w:val="clear" w:pos="720"/>
          <w:tab w:val="num" w:pos="426"/>
        </w:tabs>
        <w:spacing w:after="0" w:line="240" w:lineRule="auto"/>
        <w:ind w:left="426"/>
        <w:jc w:val="both"/>
        <w:rPr>
          <w:rFonts w:ascii="Calibri" w:hAnsi="Calibri" w:cs="Calibri"/>
          <w:color w:val="000000" w:themeColor="text1"/>
        </w:rPr>
      </w:pPr>
      <w:r w:rsidRPr="00CD0F64">
        <w:rPr>
          <w:rFonts w:ascii="Calibri" w:hAnsi="Calibri" w:cs="Calibri"/>
          <w:color w:val="000000" w:themeColor="text1"/>
        </w:rPr>
        <w:t>Spanish et Valencia, à port érigé et à cycle végétatif court (90 à 110 jours) ; le rendement est plus élevé, mais la germination rapide après maturité peut poser problème.</w:t>
      </w:r>
    </w:p>
    <w:p w14:paraId="6F56A0A8" w14:textId="77777777" w:rsidR="00EB654D" w:rsidRDefault="00EB654D" w:rsidP="00CD0F64">
      <w:pPr>
        <w:pStyle w:val="NormalWeb"/>
        <w:shd w:val="clear" w:color="auto" w:fill="FFFFFF"/>
        <w:spacing w:before="0" w:beforeAutospacing="0" w:after="0" w:afterAutospacing="0"/>
        <w:jc w:val="both"/>
        <w:rPr>
          <w:rFonts w:ascii="Calibri" w:hAnsi="Calibri" w:cs="Calibri"/>
          <w:color w:val="000000" w:themeColor="text1"/>
          <w:sz w:val="22"/>
          <w:szCs w:val="22"/>
        </w:rPr>
      </w:pPr>
    </w:p>
    <w:p w14:paraId="3DCF9A1C" w14:textId="58AF2619" w:rsidR="006F7A50" w:rsidRDefault="00CD0F64" w:rsidP="006F7A50">
      <w:pPr>
        <w:pStyle w:val="NormalWeb"/>
        <w:shd w:val="clear" w:color="auto" w:fill="FFFFFF"/>
        <w:spacing w:before="0" w:beforeAutospacing="0" w:after="0" w:afterAutospacing="0"/>
        <w:jc w:val="both"/>
        <w:rPr>
          <w:rFonts w:ascii="Calibri" w:hAnsi="Calibri" w:cs="Calibri"/>
          <w:color w:val="000000" w:themeColor="text1"/>
          <w:sz w:val="22"/>
          <w:szCs w:val="22"/>
        </w:rPr>
      </w:pPr>
      <w:r w:rsidRPr="00CD0F64">
        <w:rPr>
          <w:rFonts w:ascii="Calibri" w:hAnsi="Calibri" w:cs="Calibri"/>
          <w:color w:val="000000" w:themeColor="text1"/>
          <w:sz w:val="22"/>
          <w:szCs w:val="22"/>
        </w:rPr>
        <w:t>Le cycle de culture dure de 90 à 150 jours. La floraison intervient environ un mois après le semis.</w:t>
      </w:r>
    </w:p>
    <w:p w14:paraId="52557010" w14:textId="77777777" w:rsidR="00143F01" w:rsidRDefault="00143F01" w:rsidP="006F7A50">
      <w:pPr>
        <w:pStyle w:val="NormalWeb"/>
        <w:shd w:val="clear" w:color="auto" w:fill="FFFFFF"/>
        <w:spacing w:before="0" w:beforeAutospacing="0" w:after="0" w:afterAutospacing="0"/>
        <w:jc w:val="both"/>
        <w:rPr>
          <w:rFonts w:ascii="Calibri" w:hAnsi="Calibri" w:cs="Calibri"/>
          <w:color w:val="000000" w:themeColor="text1"/>
          <w:sz w:val="22"/>
          <w:szCs w:val="22"/>
        </w:rPr>
      </w:pPr>
    </w:p>
    <w:p w14:paraId="20E6258F" w14:textId="56B37656" w:rsidR="00CD0F64" w:rsidRDefault="00CD0F64" w:rsidP="006F7A50">
      <w:pPr>
        <w:pStyle w:val="NormalWeb"/>
        <w:shd w:val="clear" w:color="auto" w:fill="FFFFFF"/>
        <w:spacing w:before="0" w:beforeAutospacing="0" w:after="0" w:afterAutospacing="0"/>
        <w:jc w:val="both"/>
        <w:rPr>
          <w:rFonts w:ascii="Calibri" w:hAnsi="Calibri" w:cs="Calibri"/>
          <w:shd w:val="clear" w:color="auto" w:fill="FFFFFF"/>
        </w:rPr>
      </w:pPr>
      <w:r w:rsidRPr="00CD0F64">
        <w:rPr>
          <w:rFonts w:ascii="Calibri" w:hAnsi="Calibri" w:cs="Calibri"/>
          <w:u w:val="single"/>
          <w:shd w:val="clear" w:color="auto" w:fill="FFFFFF"/>
        </w:rPr>
        <w:t>Cultivars résistants à la sécheresse</w:t>
      </w:r>
      <w:r>
        <w:rPr>
          <w:rFonts w:ascii="Calibri" w:hAnsi="Calibri" w:cs="Calibri"/>
          <w:shd w:val="clear" w:color="auto" w:fill="FFFFFF"/>
        </w:rPr>
        <w:t xml:space="preserve"> : 1) </w:t>
      </w:r>
      <w:r w:rsidRPr="00CD0F64">
        <w:rPr>
          <w:rFonts w:ascii="Calibri" w:hAnsi="Calibri" w:cs="Calibri"/>
          <w:shd w:val="clear" w:color="auto" w:fill="FFFFFF"/>
        </w:rPr>
        <w:t>types de Baol et Spanish</w:t>
      </w:r>
      <w:r>
        <w:rPr>
          <w:rStyle w:val="Appelnotedebasdep"/>
          <w:rFonts w:ascii="Calibri" w:hAnsi="Calibri" w:cs="Calibri"/>
          <w:shd w:val="clear" w:color="auto" w:fill="FFFFFF"/>
        </w:rPr>
        <w:footnoteReference w:id="120"/>
      </w:r>
      <w:r>
        <w:rPr>
          <w:rFonts w:ascii="Calibri" w:hAnsi="Calibri" w:cs="Calibri"/>
          <w:shd w:val="clear" w:color="auto" w:fill="FFFFFF"/>
        </w:rPr>
        <w:t>,</w:t>
      </w:r>
      <w:r w:rsidR="00BA42AF">
        <w:rPr>
          <w:rFonts w:ascii="Calibri" w:hAnsi="Calibri" w:cs="Calibri"/>
          <w:shd w:val="clear" w:color="auto" w:fill="FFFFFF"/>
        </w:rPr>
        <w:t xml:space="preserve"> 2) </w:t>
      </w:r>
      <w:r w:rsidR="00BA42AF" w:rsidRPr="00BA42AF">
        <w:rPr>
          <w:rFonts w:ascii="Calibri" w:hAnsi="Calibri" w:cs="Calibri"/>
          <w:shd w:val="clear" w:color="auto" w:fill="FFFFFF"/>
        </w:rPr>
        <w:t>accession ICG 8431</w:t>
      </w:r>
      <w:r w:rsidR="00BA42AF">
        <w:rPr>
          <w:rFonts w:ascii="Calibri" w:hAnsi="Calibri" w:cs="Calibri"/>
          <w:shd w:val="clear" w:color="auto" w:fill="FFFFFF"/>
        </w:rPr>
        <w:t xml:space="preserve"> [</w:t>
      </w:r>
      <w:r w:rsidR="00BA42AF" w:rsidRPr="00BA42AF">
        <w:rPr>
          <w:rFonts w:ascii="Calibri" w:hAnsi="Calibri" w:cs="Calibri"/>
          <w:i/>
          <w:iCs/>
          <w:shd w:val="clear" w:color="auto" w:fill="FFFFFF"/>
        </w:rPr>
        <w:t>fastigiata vulgaris Spanish</w:t>
      </w:r>
      <w:r w:rsidR="00BA42AF" w:rsidRPr="00BA42AF">
        <w:rPr>
          <w:rFonts w:ascii="Calibri" w:hAnsi="Calibri" w:cs="Calibri"/>
          <w:shd w:val="clear" w:color="auto" w:fill="FFFFFF"/>
        </w:rPr>
        <w:t xml:space="preserve"> (VUL). Source : 2MWI, Donneur : IAC</w:t>
      </w:r>
      <w:r w:rsidR="00BA42AF">
        <w:rPr>
          <w:rFonts w:ascii="Calibri" w:hAnsi="Calibri" w:cs="Calibri"/>
          <w:shd w:val="clear" w:color="auto" w:fill="FFFFFF"/>
        </w:rPr>
        <w:t>]</w:t>
      </w:r>
      <w:r w:rsidR="00EB654D">
        <w:rPr>
          <w:rStyle w:val="Appelnotedebasdep"/>
          <w:rFonts w:ascii="Calibri" w:hAnsi="Calibri" w:cs="Calibri"/>
          <w:shd w:val="clear" w:color="auto" w:fill="FFFFFF"/>
        </w:rPr>
        <w:footnoteReference w:id="121"/>
      </w:r>
      <w:r w:rsidR="00EB654D">
        <w:rPr>
          <w:rFonts w:ascii="Calibri" w:hAnsi="Calibri" w:cs="Calibri"/>
          <w:shd w:val="clear" w:color="auto" w:fill="FFFFFF"/>
        </w:rPr>
        <w:t xml:space="preserve">, 2) </w:t>
      </w:r>
      <w:r w:rsidR="00EB654D" w:rsidRPr="00EB654D">
        <w:rPr>
          <w:rFonts w:ascii="Calibri" w:hAnsi="Calibri" w:cs="Calibri"/>
          <w:shd w:val="clear" w:color="auto" w:fill="FFFFFF"/>
        </w:rPr>
        <w:t xml:space="preserve">taxon </w:t>
      </w:r>
      <w:r w:rsidR="00EB654D" w:rsidRPr="00EB654D">
        <w:rPr>
          <w:rFonts w:ascii="Calibri" w:hAnsi="Calibri" w:cs="Calibri"/>
          <w:i/>
          <w:iCs/>
          <w:shd w:val="clear" w:color="auto" w:fill="FFFFFF"/>
        </w:rPr>
        <w:t>Fastigiata</w:t>
      </w:r>
      <w:r w:rsidR="00EB654D" w:rsidRPr="00EB654D">
        <w:rPr>
          <w:rFonts w:ascii="Calibri" w:hAnsi="Calibri" w:cs="Calibri"/>
          <w:shd w:val="clear" w:color="auto" w:fill="FFFFFF"/>
        </w:rPr>
        <w:t xml:space="preserve"> </w:t>
      </w:r>
      <w:r w:rsidR="00EB654D">
        <w:rPr>
          <w:rFonts w:ascii="Calibri" w:hAnsi="Calibri" w:cs="Calibri"/>
          <w:shd w:val="clear" w:color="auto" w:fill="FFFFFF"/>
        </w:rPr>
        <w:t xml:space="preserve">et </w:t>
      </w:r>
      <w:r w:rsidR="00EB654D" w:rsidRPr="00EB654D">
        <w:rPr>
          <w:rFonts w:ascii="Calibri" w:hAnsi="Calibri" w:cs="Calibri"/>
          <w:shd w:val="clear" w:color="auto" w:fill="FFFFFF"/>
        </w:rPr>
        <w:t>accessions ICG 8352 et ICG 9991</w:t>
      </w:r>
      <w:r w:rsidR="00EB654D">
        <w:rPr>
          <w:rStyle w:val="Appelnotedebasdep"/>
          <w:rFonts w:ascii="Calibri" w:hAnsi="Calibri" w:cs="Calibri"/>
          <w:shd w:val="clear" w:color="auto" w:fill="FFFFFF"/>
        </w:rPr>
        <w:footnoteReference w:id="122"/>
      </w:r>
      <w:r w:rsidR="00BE2963">
        <w:rPr>
          <w:rFonts w:ascii="Calibri" w:hAnsi="Calibri" w:cs="Calibri"/>
          <w:shd w:val="clear" w:color="auto" w:fill="FFFFFF"/>
        </w:rPr>
        <w:t xml:space="preserve">, 3) </w:t>
      </w:r>
      <w:r w:rsidR="00BE2963" w:rsidRPr="00BE2963">
        <w:rPr>
          <w:rFonts w:ascii="Calibri" w:hAnsi="Calibri" w:cs="Calibri"/>
          <w:shd w:val="clear" w:color="auto" w:fill="FFFFFF"/>
        </w:rPr>
        <w:t>03/40/1/3/2, 06/32/1/1/1, 017/55/1/1/2, 018/16/1/1/1,017/69/1/1/2, et 018/16/1/1/1</w:t>
      </w:r>
      <w:r w:rsidR="00240CEB">
        <w:rPr>
          <w:rStyle w:val="Appelnotedebasdep"/>
          <w:rFonts w:ascii="Calibri" w:hAnsi="Calibri" w:cs="Calibri"/>
          <w:shd w:val="clear" w:color="auto" w:fill="FFFFFF"/>
        </w:rPr>
        <w:footnoteReference w:id="123"/>
      </w:r>
      <w:r w:rsidR="00240CEB">
        <w:rPr>
          <w:rFonts w:ascii="Calibri" w:hAnsi="Calibri" w:cs="Calibri"/>
          <w:shd w:val="clear" w:color="auto" w:fill="FFFFFF"/>
        </w:rPr>
        <w:t xml:space="preserve">, 4) </w:t>
      </w:r>
      <w:r w:rsidR="00240CEB" w:rsidRPr="00240CEB">
        <w:rPr>
          <w:rFonts w:ascii="Calibri" w:hAnsi="Calibri" w:cs="Calibri"/>
          <w:shd w:val="clear" w:color="auto" w:fill="FFFFFF"/>
        </w:rPr>
        <w:t>47-16</w:t>
      </w:r>
      <w:r w:rsidR="00240CEB">
        <w:rPr>
          <w:rStyle w:val="Appelnotedebasdep"/>
          <w:rFonts w:ascii="Calibri" w:hAnsi="Calibri" w:cs="Calibri"/>
          <w:shd w:val="clear" w:color="auto" w:fill="FFFFFF"/>
        </w:rPr>
        <w:footnoteReference w:id="124"/>
      </w:r>
      <w:r w:rsidR="00240CEB">
        <w:rPr>
          <w:rFonts w:ascii="Calibri" w:hAnsi="Calibri" w:cs="Calibri"/>
          <w:shd w:val="clear" w:color="auto" w:fill="FFFFFF"/>
        </w:rPr>
        <w:t>.</w:t>
      </w:r>
    </w:p>
    <w:p w14:paraId="13062B46" w14:textId="2ACA61D8" w:rsidR="00EB654D" w:rsidRPr="0073482C" w:rsidRDefault="00EB654D" w:rsidP="000D5930">
      <w:pPr>
        <w:spacing w:after="0" w:line="240" w:lineRule="auto"/>
        <w:jc w:val="both"/>
        <w:rPr>
          <w:rFonts w:ascii="Calibri" w:hAnsi="Calibri" w:cs="Calibri"/>
          <w:color w:val="000000" w:themeColor="text1"/>
          <w:shd w:val="clear" w:color="auto" w:fill="FFFFFF"/>
        </w:rPr>
      </w:pPr>
      <w:r w:rsidRPr="0073482C">
        <w:rPr>
          <w:rFonts w:ascii="Calibri" w:hAnsi="Calibri" w:cs="Calibri"/>
          <w:color w:val="000000" w:themeColor="text1"/>
          <w:u w:val="single"/>
          <w:shd w:val="clear" w:color="auto" w:fill="FFFFFF"/>
        </w:rPr>
        <w:t>Usages</w:t>
      </w:r>
      <w:r w:rsidRPr="0073482C">
        <w:rPr>
          <w:rFonts w:ascii="Calibri" w:hAnsi="Calibri" w:cs="Calibri"/>
          <w:color w:val="000000" w:themeColor="text1"/>
          <w:shd w:val="clear" w:color="auto" w:fill="FFFFFF"/>
        </w:rPr>
        <w:t> : La graine, communément appelée cacahuète (de l’aztèque « cacahouate ») est consommée après torréfaction. On obtient de l’huile par pression à froid ou à chaud, à partir de laquelle on fabrique du beurre, de la margarine. Les tourteaux sont surtout destinés à l’alimentation du bétail. Les graines les plus grosses, décortiquées puis triées à la main, constituent l’arachide de bouche. Les petites graines ou les brisures sont utilisées en confiserie (biscuits, enrobage dans du chocolat, etc.)</w:t>
      </w:r>
      <w:r w:rsidRPr="0073482C">
        <w:rPr>
          <w:rStyle w:val="Appelnotedebasdep"/>
          <w:rFonts w:ascii="Calibri" w:hAnsi="Calibri" w:cs="Calibri"/>
          <w:color w:val="000000" w:themeColor="text1"/>
          <w:shd w:val="clear" w:color="auto" w:fill="FFFFFF"/>
        </w:rPr>
        <w:footnoteReference w:id="125"/>
      </w:r>
      <w:r w:rsidRPr="0073482C">
        <w:rPr>
          <w:rFonts w:ascii="Calibri" w:hAnsi="Calibri" w:cs="Calibri"/>
          <w:color w:val="000000" w:themeColor="text1"/>
          <w:shd w:val="clear" w:color="auto" w:fill="FFFFFF"/>
        </w:rPr>
        <w:t>.</w:t>
      </w:r>
      <w:r w:rsidR="00071EEC">
        <w:rPr>
          <w:rFonts w:ascii="Calibri" w:hAnsi="Calibri" w:cs="Calibri"/>
          <w:color w:val="000000" w:themeColor="text1"/>
          <w:shd w:val="clear" w:color="auto" w:fill="FFFFFF"/>
        </w:rPr>
        <w:t xml:space="preserve"> Il existe énormément de plats à base d’arachide, dans le monde.</w:t>
      </w:r>
    </w:p>
    <w:p w14:paraId="429EC412" w14:textId="23BF686C" w:rsidR="00240CEB" w:rsidRPr="00240CEB" w:rsidRDefault="00240CEB" w:rsidP="00240CEB">
      <w:pPr>
        <w:pStyle w:val="NormalWeb"/>
        <w:shd w:val="clear" w:color="auto" w:fill="FFFFFF"/>
        <w:spacing w:before="0" w:beforeAutospacing="0" w:after="0" w:afterAutospacing="0"/>
        <w:jc w:val="both"/>
        <w:rPr>
          <w:rFonts w:ascii="Calibri" w:hAnsi="Calibri" w:cs="Arial"/>
          <w:color w:val="202122"/>
          <w:sz w:val="22"/>
          <w:szCs w:val="22"/>
        </w:rPr>
      </w:pPr>
      <w:r w:rsidRPr="00240CEB">
        <w:rPr>
          <w:rFonts w:ascii="Calibri" w:hAnsi="Calibri" w:cs="Calibri"/>
          <w:sz w:val="22"/>
          <w:szCs w:val="22"/>
          <w:u w:val="single"/>
        </w:rPr>
        <w:t>Lutte contre la malnutrition</w:t>
      </w:r>
      <w:r w:rsidRPr="00240CEB">
        <w:rPr>
          <w:rFonts w:ascii="Calibri" w:hAnsi="Calibri" w:cs="Calibri"/>
          <w:sz w:val="22"/>
          <w:szCs w:val="22"/>
        </w:rPr>
        <w:t xml:space="preserve"> : </w:t>
      </w:r>
      <w:r w:rsidRPr="00240CEB">
        <w:rPr>
          <w:rFonts w:ascii="Calibri" w:hAnsi="Calibri" w:cs="Arial"/>
          <w:color w:val="000000" w:themeColor="text1"/>
          <w:sz w:val="22"/>
          <w:szCs w:val="22"/>
        </w:rPr>
        <w:t>Les cacahuètes sont utilisées pour lutter contre la </w:t>
      </w:r>
      <w:hyperlink r:id="rId2092" w:tooltip="Malnutrition" w:history="1">
        <w:r w:rsidRPr="00240CEB">
          <w:rPr>
            <w:rStyle w:val="Lienhypertexte"/>
            <w:rFonts w:ascii="Calibri" w:hAnsi="Calibri" w:cs="Arial"/>
            <w:color w:val="0645AD"/>
            <w:sz w:val="22"/>
            <w:szCs w:val="22"/>
            <w:u w:val="none"/>
          </w:rPr>
          <w:t>malnutrition</w:t>
        </w:r>
      </w:hyperlink>
      <w:r w:rsidRPr="00240CEB">
        <w:rPr>
          <w:rFonts w:ascii="Calibri" w:hAnsi="Calibri" w:cs="Arial"/>
          <w:color w:val="202122"/>
          <w:sz w:val="22"/>
          <w:szCs w:val="22"/>
        </w:rPr>
        <w:t>. </w:t>
      </w:r>
      <w:hyperlink r:id="rId2093" w:tooltip="Noix dodue" w:history="1">
        <w:r w:rsidRPr="00240CEB">
          <w:rPr>
            <w:rStyle w:val="Lienhypertexte"/>
            <w:rFonts w:ascii="Calibri" w:hAnsi="Calibri" w:cs="Arial"/>
            <w:color w:val="0645AD"/>
            <w:sz w:val="22"/>
            <w:szCs w:val="22"/>
            <w:u w:val="none"/>
          </w:rPr>
          <w:t>Plumpy Nut</w:t>
        </w:r>
      </w:hyperlink>
      <w:r w:rsidRPr="00240CEB">
        <w:rPr>
          <w:rFonts w:ascii="Calibri" w:hAnsi="Calibri" w:cs="Arial"/>
          <w:color w:val="202122"/>
          <w:sz w:val="22"/>
          <w:szCs w:val="22"/>
        </w:rPr>
        <w:t xml:space="preserve">, MANA </w:t>
      </w:r>
      <w:r w:rsidRPr="00240CEB">
        <w:rPr>
          <w:rFonts w:ascii="Calibri" w:hAnsi="Calibri" w:cs="Arial"/>
          <w:color w:val="000000" w:themeColor="text1"/>
          <w:sz w:val="22"/>
          <w:szCs w:val="22"/>
        </w:rPr>
        <w:t xml:space="preserve">Nutrition, et Medika Mamba sont des pâtes à base d'arachides riches en protéines, en énergie et en nutriments, développées pour être utilisées comme aliment thérapeutique pour aider </w:t>
      </w:r>
      <w:r w:rsidRPr="00240CEB">
        <w:rPr>
          <w:rFonts w:ascii="Calibri" w:hAnsi="Calibri" w:cs="Arial"/>
          <w:color w:val="202122"/>
          <w:sz w:val="22"/>
          <w:szCs w:val="22"/>
        </w:rPr>
        <w:t>à </w:t>
      </w:r>
      <w:hyperlink r:id="rId2094" w:tooltip="Soulagement de la famine" w:history="1">
        <w:r w:rsidRPr="00240CEB">
          <w:rPr>
            <w:rStyle w:val="Lienhypertexte"/>
            <w:rFonts w:ascii="Calibri" w:hAnsi="Calibri" w:cs="Arial"/>
            <w:color w:val="0645AD"/>
            <w:sz w:val="22"/>
            <w:szCs w:val="22"/>
            <w:u w:val="none"/>
          </w:rPr>
          <w:t>soulager la famine</w:t>
        </w:r>
      </w:hyperlink>
      <w:r w:rsidRPr="00240CEB">
        <w:rPr>
          <w:rFonts w:ascii="Calibri" w:hAnsi="Calibri" w:cs="Arial"/>
          <w:color w:val="202122"/>
          <w:sz w:val="22"/>
          <w:szCs w:val="22"/>
        </w:rPr>
        <w:t>. L'</w:t>
      </w:r>
      <w:hyperlink r:id="rId2095" w:tooltip="Organisation mondiale de la santé" w:history="1">
        <w:r w:rsidRPr="00240CEB">
          <w:rPr>
            <w:rStyle w:val="Lienhypertexte"/>
            <w:rFonts w:ascii="Calibri" w:hAnsi="Calibri" w:cs="Arial"/>
            <w:color w:val="0645AD"/>
            <w:sz w:val="22"/>
            <w:szCs w:val="22"/>
            <w:u w:val="none"/>
          </w:rPr>
          <w:t>Organisation mondiale de la santé</w:t>
        </w:r>
      </w:hyperlink>
      <w:r w:rsidRPr="00240CEB">
        <w:rPr>
          <w:rFonts w:ascii="Calibri" w:hAnsi="Calibri" w:cs="Arial"/>
          <w:color w:val="202122"/>
          <w:sz w:val="22"/>
          <w:szCs w:val="22"/>
        </w:rPr>
        <w:t>, l'</w:t>
      </w:r>
      <w:hyperlink r:id="rId2096" w:tooltip="UNICEF" w:history="1">
        <w:r w:rsidRPr="00240CEB">
          <w:rPr>
            <w:rStyle w:val="Lienhypertexte"/>
            <w:rFonts w:ascii="Calibri" w:hAnsi="Calibri" w:cs="Arial"/>
            <w:color w:val="0645AD"/>
            <w:sz w:val="22"/>
            <w:szCs w:val="22"/>
            <w:u w:val="none"/>
          </w:rPr>
          <w:t>UNICEF</w:t>
        </w:r>
      </w:hyperlink>
      <w:r w:rsidRPr="00240CEB">
        <w:rPr>
          <w:rFonts w:ascii="Calibri" w:hAnsi="Calibri" w:cs="Arial"/>
          <w:color w:val="202122"/>
          <w:sz w:val="22"/>
          <w:szCs w:val="22"/>
        </w:rPr>
        <w:t> , Project Peanut Butter et </w:t>
      </w:r>
      <w:hyperlink r:id="rId2097" w:tooltip="Médecins sans frontières" w:history="1">
        <w:r w:rsidRPr="00240CEB">
          <w:rPr>
            <w:rStyle w:val="Lienhypertexte"/>
            <w:rFonts w:ascii="Calibri" w:hAnsi="Calibri" w:cs="Arial"/>
            <w:color w:val="0645AD"/>
            <w:sz w:val="22"/>
            <w:szCs w:val="22"/>
            <w:u w:val="none"/>
          </w:rPr>
          <w:t>Médecins sans frontières</w:t>
        </w:r>
      </w:hyperlink>
      <w:r w:rsidRPr="00240CEB">
        <w:rPr>
          <w:rFonts w:ascii="Calibri" w:hAnsi="Calibri" w:cs="Arial"/>
          <w:color w:val="202122"/>
          <w:sz w:val="22"/>
          <w:szCs w:val="22"/>
        </w:rPr>
        <w:t> </w:t>
      </w:r>
      <w:r w:rsidRPr="00240CEB">
        <w:rPr>
          <w:rFonts w:ascii="Calibri" w:hAnsi="Calibri" w:cs="Arial"/>
          <w:color w:val="000000" w:themeColor="text1"/>
          <w:sz w:val="22"/>
          <w:szCs w:val="22"/>
        </w:rPr>
        <w:t>ont utilisé ces produits pour aider à sauver des enfants malnutris dans </w:t>
      </w:r>
      <w:hyperlink r:id="rId2098" w:tooltip="Pays en voie de développement" w:history="1">
        <w:r w:rsidRPr="00240CEB">
          <w:rPr>
            <w:rStyle w:val="Lienhypertexte"/>
            <w:rFonts w:ascii="Calibri" w:hAnsi="Calibri" w:cs="Arial"/>
            <w:color w:val="0645AD"/>
            <w:sz w:val="22"/>
            <w:szCs w:val="22"/>
            <w:u w:val="none"/>
          </w:rPr>
          <w:t>les pays</w:t>
        </w:r>
      </w:hyperlink>
      <w:r w:rsidRPr="00240CEB">
        <w:rPr>
          <w:rFonts w:ascii="Calibri" w:hAnsi="Calibri" w:cs="Arial"/>
          <w:color w:val="202122"/>
          <w:sz w:val="22"/>
          <w:szCs w:val="22"/>
        </w:rPr>
        <w:t> en </w:t>
      </w:r>
      <w:hyperlink r:id="rId2099" w:tooltip="Pays en voie de développement" w:history="1">
        <w:r w:rsidRPr="00240CEB">
          <w:rPr>
            <w:rStyle w:val="Lienhypertexte"/>
            <w:rFonts w:ascii="Calibri" w:hAnsi="Calibri" w:cs="Arial"/>
            <w:color w:val="0645AD"/>
            <w:sz w:val="22"/>
            <w:szCs w:val="22"/>
            <w:u w:val="none"/>
          </w:rPr>
          <w:t>développement</w:t>
        </w:r>
      </w:hyperlink>
      <w:r w:rsidRPr="00240CEB">
        <w:rPr>
          <w:rFonts w:ascii="Calibri" w:hAnsi="Calibri" w:cs="Arial"/>
          <w:color w:val="202122"/>
          <w:sz w:val="22"/>
          <w:szCs w:val="22"/>
        </w:rPr>
        <w:t> .</w:t>
      </w:r>
    </w:p>
    <w:p w14:paraId="5FD4B536" w14:textId="4202A0DF" w:rsidR="00240CEB" w:rsidRPr="00240CEB" w:rsidRDefault="00240CEB" w:rsidP="00240CEB">
      <w:pPr>
        <w:pStyle w:val="NormalWeb"/>
        <w:shd w:val="clear" w:color="auto" w:fill="FFFFFF"/>
        <w:spacing w:before="0" w:beforeAutospacing="0" w:after="0" w:afterAutospacing="0"/>
        <w:jc w:val="both"/>
        <w:rPr>
          <w:rFonts w:ascii="Calibri" w:hAnsi="Calibri" w:cs="Arial"/>
          <w:color w:val="202122"/>
          <w:sz w:val="22"/>
          <w:szCs w:val="22"/>
        </w:rPr>
      </w:pPr>
      <w:r w:rsidRPr="00240CEB">
        <w:rPr>
          <w:rFonts w:ascii="Calibri" w:hAnsi="Calibri" w:cs="Arial"/>
          <w:color w:val="000000" w:themeColor="text1"/>
          <w:sz w:val="22"/>
          <w:szCs w:val="22"/>
        </w:rPr>
        <w:lastRenderedPageBreak/>
        <w:t>Les arachides peuvent être utilisés comme les autres légumineuses et les céréales pour faire un lait sans </w:t>
      </w:r>
      <w:hyperlink r:id="rId2100" w:tooltip="Lactose" w:history="1">
        <w:r w:rsidRPr="00240CEB">
          <w:rPr>
            <w:rStyle w:val="Lienhypertexte"/>
            <w:rFonts w:ascii="Calibri" w:hAnsi="Calibri" w:cs="Arial"/>
            <w:color w:val="0645AD"/>
            <w:sz w:val="22"/>
            <w:szCs w:val="22"/>
            <w:u w:val="none"/>
          </w:rPr>
          <w:t>lactose</w:t>
        </w:r>
      </w:hyperlink>
      <w:r>
        <w:rPr>
          <w:rFonts w:ascii="Calibri" w:hAnsi="Calibri" w:cs="Arial"/>
          <w:color w:val="202122"/>
          <w:sz w:val="22"/>
          <w:szCs w:val="22"/>
        </w:rPr>
        <w:t>,</w:t>
      </w:r>
      <w:r w:rsidRPr="00240CEB">
        <w:rPr>
          <w:rFonts w:ascii="Calibri" w:hAnsi="Calibri" w:cs="Arial"/>
          <w:color w:val="202122"/>
          <w:sz w:val="22"/>
          <w:szCs w:val="22"/>
        </w:rPr>
        <w:t xml:space="preserve"> </w:t>
      </w:r>
      <w:r w:rsidRPr="00240CEB">
        <w:rPr>
          <w:rFonts w:ascii="Calibri" w:hAnsi="Calibri" w:cs="Arial"/>
          <w:color w:val="000000" w:themeColor="text1"/>
          <w:sz w:val="22"/>
          <w:szCs w:val="22"/>
        </w:rPr>
        <w:t>comme boisson, le </w:t>
      </w:r>
      <w:hyperlink r:id="rId2101" w:tooltip="Lait d'arachide" w:history="1">
        <w:r w:rsidRPr="00240CEB">
          <w:rPr>
            <w:rStyle w:val="Lienhypertexte"/>
            <w:rFonts w:ascii="Calibri" w:hAnsi="Calibri" w:cs="Arial"/>
            <w:color w:val="0645AD"/>
            <w:sz w:val="22"/>
            <w:szCs w:val="22"/>
            <w:u w:val="none"/>
          </w:rPr>
          <w:t>lait d'arachide</w:t>
        </w:r>
      </w:hyperlink>
      <w:r w:rsidRPr="00240CEB">
        <w:rPr>
          <w:rFonts w:ascii="Calibri" w:hAnsi="Calibri" w:cs="Arial"/>
          <w:color w:val="202122"/>
          <w:sz w:val="22"/>
          <w:szCs w:val="22"/>
        </w:rPr>
        <w:t xml:space="preserve">, </w:t>
      </w:r>
      <w:r w:rsidRPr="00240CEB">
        <w:rPr>
          <w:rFonts w:ascii="Calibri" w:hAnsi="Calibri" w:cs="Arial"/>
          <w:color w:val="000000" w:themeColor="text1"/>
          <w:sz w:val="22"/>
          <w:szCs w:val="22"/>
        </w:rPr>
        <w:t>qui est promu en Afrique comme moyen de réduire la malnutrition chez les enfants.</w:t>
      </w:r>
    </w:p>
    <w:p w14:paraId="616C81C0" w14:textId="3E6DEFBE" w:rsidR="00645CCE" w:rsidRPr="002B306F" w:rsidRDefault="00645CCE" w:rsidP="009879CB">
      <w:pPr>
        <w:spacing w:after="0" w:line="240" w:lineRule="auto"/>
        <w:rPr>
          <w:rFonts w:ascii="Calibri" w:hAnsi="Calibri" w:cs="Calibri"/>
        </w:rPr>
      </w:pPr>
      <w:r>
        <w:rPr>
          <w:rFonts w:ascii="Calibri" w:hAnsi="Calibri" w:cs="Calibri"/>
        </w:rPr>
        <w:t xml:space="preserve">Sources : a) </w:t>
      </w:r>
      <w:hyperlink r:id="rId2102" w:history="1">
        <w:r w:rsidRPr="00EF49E5">
          <w:rPr>
            <w:rStyle w:val="Lienhypertexte"/>
            <w:rFonts w:ascii="Calibri" w:hAnsi="Calibri" w:cs="Calibri"/>
          </w:rPr>
          <w:t>https://fr.wikipedia.org/wiki/Arachide</w:t>
        </w:r>
      </w:hyperlink>
      <w:r>
        <w:rPr>
          <w:rFonts w:ascii="Calibri" w:hAnsi="Calibri" w:cs="Calibri"/>
        </w:rPr>
        <w:t xml:space="preserve">, b) </w:t>
      </w:r>
      <w:hyperlink r:id="rId2103" w:history="1">
        <w:r w:rsidRPr="00EF49E5">
          <w:rPr>
            <w:rStyle w:val="Lienhypertexte"/>
            <w:rFonts w:ascii="Calibri" w:hAnsi="Calibri" w:cs="Calibri"/>
          </w:rPr>
          <w:t>https://en.wikipedia.org/wiki/Peanut</w:t>
        </w:r>
      </w:hyperlink>
      <w:r>
        <w:rPr>
          <w:rFonts w:ascii="Calibri" w:hAnsi="Calibri" w:cs="Calibri"/>
        </w:rPr>
        <w:t xml:space="preserve"> </w:t>
      </w:r>
    </w:p>
    <w:p w14:paraId="2C742385" w14:textId="3118577D" w:rsidR="005A7D1D" w:rsidRDefault="005A7D1D" w:rsidP="004A7E7F">
      <w:pPr>
        <w:spacing w:after="0" w:line="240" w:lineRule="auto"/>
        <w:rPr>
          <w:rFonts w:ascii="Calibri" w:hAnsi="Calibri" w:cs="Calibri"/>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41"/>
        <w:gridCol w:w="2836"/>
        <w:gridCol w:w="2395"/>
        <w:gridCol w:w="2044"/>
      </w:tblGrid>
      <w:tr w:rsidR="0035282F" w14:paraId="25DD32B6" w14:textId="77777777" w:rsidTr="00213AED">
        <w:tc>
          <w:tcPr>
            <w:tcW w:w="3141" w:type="dxa"/>
          </w:tcPr>
          <w:p w14:paraId="06A5873E" w14:textId="77777777" w:rsidR="00071EEC" w:rsidRDefault="008A2096" w:rsidP="00071EEC">
            <w:pPr>
              <w:jc w:val="center"/>
              <w:rPr>
                <w:rFonts w:ascii="Calibri" w:hAnsi="Calibri" w:cs="Calibri"/>
              </w:rPr>
            </w:pPr>
            <w:r>
              <w:rPr>
                <w:noProof/>
              </w:rPr>
              <w:drawing>
                <wp:inline distT="0" distB="0" distL="0" distR="0" wp14:anchorId="49C252DD" wp14:editId="42380ADE">
                  <wp:extent cx="1333500" cy="1009649"/>
                  <wp:effectExtent l="0" t="0" r="0" b="635"/>
                  <wp:docPr id="108566" name="Image 108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04">
                            <a:extLst>
                              <a:ext uri="{28A0092B-C50C-407E-A947-70E740481C1C}">
                                <a14:useLocalDpi xmlns:a14="http://schemas.microsoft.com/office/drawing/2010/main" val="0"/>
                              </a:ext>
                            </a:extLst>
                          </a:blip>
                          <a:srcRect/>
                          <a:stretch>
                            <a:fillRect/>
                          </a:stretch>
                        </pic:blipFill>
                        <pic:spPr bwMode="auto">
                          <a:xfrm>
                            <a:off x="0" y="0"/>
                            <a:ext cx="1342670" cy="1016592"/>
                          </a:xfrm>
                          <a:prstGeom prst="rect">
                            <a:avLst/>
                          </a:prstGeom>
                          <a:noFill/>
                          <a:ln>
                            <a:noFill/>
                          </a:ln>
                        </pic:spPr>
                      </pic:pic>
                    </a:graphicData>
                  </a:graphic>
                </wp:inline>
              </w:drawing>
            </w:r>
          </w:p>
          <w:p w14:paraId="448815A0" w14:textId="3DABB7D5" w:rsidR="008A2096" w:rsidRPr="00644D4D" w:rsidRDefault="00644D4D" w:rsidP="00071EEC">
            <w:pPr>
              <w:jc w:val="center"/>
              <w:rPr>
                <w:rFonts w:ascii="Calibri" w:hAnsi="Calibri" w:cs="Calibri"/>
              </w:rPr>
            </w:pPr>
            <w:r w:rsidRPr="00644D4D">
              <w:rPr>
                <w:rFonts w:ascii="Calibri" w:hAnsi="Calibri" w:cs="Arial"/>
                <w:color w:val="202122"/>
                <w:shd w:val="clear" w:color="auto" w:fill="F8F9FA"/>
              </w:rPr>
              <w:t>Culture de l'arachide à la </w:t>
            </w:r>
            <w:hyperlink r:id="rId2105" w:tooltip="Direction de la Recherche Arachidière" w:history="1">
              <w:r w:rsidRPr="00644D4D">
                <w:rPr>
                  <w:rStyle w:val="Lienhypertexte"/>
                  <w:rFonts w:ascii="Calibri" w:hAnsi="Calibri" w:cs="Arial"/>
                  <w:color w:val="0645AD"/>
                  <w:shd w:val="clear" w:color="auto" w:fill="F8F9FA"/>
                </w:rPr>
                <w:t>Direction de la recherche sur l'arachide</w:t>
              </w:r>
            </w:hyperlink>
            <w:r w:rsidRPr="00644D4D">
              <w:rPr>
                <w:rFonts w:ascii="Calibri" w:hAnsi="Calibri" w:cs="Arial"/>
                <w:color w:val="202122"/>
                <w:shd w:val="clear" w:color="auto" w:fill="F8F9FA"/>
              </w:rPr>
              <w:t>, région de </w:t>
            </w:r>
            <w:hyperlink r:id="rId2106" w:tooltip="Junagadh" w:history="1">
              <w:r w:rsidRPr="00644D4D">
                <w:rPr>
                  <w:rStyle w:val="Lienhypertexte"/>
                  <w:rFonts w:ascii="Calibri" w:hAnsi="Calibri" w:cs="Arial"/>
                  <w:color w:val="0645AD"/>
                  <w:shd w:val="clear" w:color="auto" w:fill="F8F9FA"/>
                </w:rPr>
                <w:t>Junagadh</w:t>
              </w:r>
            </w:hyperlink>
            <w:r w:rsidRPr="00644D4D">
              <w:rPr>
                <w:rFonts w:ascii="Calibri" w:hAnsi="Calibri" w:cs="Arial"/>
                <w:color w:val="202122"/>
                <w:shd w:val="clear" w:color="auto" w:fill="F8F9FA"/>
              </w:rPr>
              <w:t> en </w:t>
            </w:r>
            <w:hyperlink r:id="rId2107" w:tooltip="India" w:history="1">
              <w:r w:rsidRPr="00644D4D">
                <w:rPr>
                  <w:rStyle w:val="Lienhypertexte"/>
                  <w:rFonts w:ascii="Calibri" w:hAnsi="Calibri" w:cs="Arial"/>
                  <w:color w:val="0645AD"/>
                  <w:shd w:val="clear" w:color="auto" w:fill="F8F9FA"/>
                </w:rPr>
                <w:t>Inde</w:t>
              </w:r>
            </w:hyperlink>
            <w:r w:rsidRPr="00644D4D">
              <w:rPr>
                <w:rFonts w:ascii="Calibri" w:hAnsi="Calibri" w:cs="Arial"/>
                <w:color w:val="202122"/>
                <w:shd w:val="clear" w:color="auto" w:fill="F8F9FA"/>
              </w:rPr>
              <w:t> occidentale</w:t>
            </w:r>
          </w:p>
        </w:tc>
        <w:tc>
          <w:tcPr>
            <w:tcW w:w="2836" w:type="dxa"/>
          </w:tcPr>
          <w:p w14:paraId="5A2B5CAC" w14:textId="77777777" w:rsidR="00644D4D" w:rsidRDefault="00D90EAF" w:rsidP="00071EEC">
            <w:pPr>
              <w:jc w:val="center"/>
              <w:rPr>
                <w:rFonts w:ascii="Calibri" w:hAnsi="Calibri" w:cs="Calibri"/>
              </w:rPr>
            </w:pPr>
            <w:r>
              <w:rPr>
                <w:noProof/>
              </w:rPr>
              <w:drawing>
                <wp:inline distT="0" distB="0" distL="0" distR="0" wp14:anchorId="3F78CE68" wp14:editId="2645AA7A">
                  <wp:extent cx="1663700" cy="1247775"/>
                  <wp:effectExtent l="0" t="0" r="0" b="9525"/>
                  <wp:docPr id="108569" name="Image 108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08">
                            <a:extLst>
                              <a:ext uri="{28A0092B-C50C-407E-A947-70E740481C1C}">
                                <a14:useLocalDpi xmlns:a14="http://schemas.microsoft.com/office/drawing/2010/main" val="0"/>
                              </a:ext>
                            </a:extLst>
                          </a:blip>
                          <a:srcRect/>
                          <a:stretch>
                            <a:fillRect/>
                          </a:stretch>
                        </pic:blipFill>
                        <pic:spPr bwMode="auto">
                          <a:xfrm>
                            <a:off x="0" y="0"/>
                            <a:ext cx="1663700" cy="1247775"/>
                          </a:xfrm>
                          <a:prstGeom prst="rect">
                            <a:avLst/>
                          </a:prstGeom>
                          <a:noFill/>
                          <a:ln>
                            <a:noFill/>
                          </a:ln>
                        </pic:spPr>
                      </pic:pic>
                    </a:graphicData>
                  </a:graphic>
                </wp:inline>
              </w:drawing>
            </w:r>
          </w:p>
          <w:p w14:paraId="33B2774A" w14:textId="143A2F45" w:rsidR="00D90EAF" w:rsidRDefault="00D90EAF" w:rsidP="00071EEC">
            <w:pPr>
              <w:jc w:val="center"/>
              <w:rPr>
                <w:rFonts w:ascii="Calibri" w:hAnsi="Calibri" w:cs="Calibri"/>
              </w:rPr>
            </w:pPr>
            <w:r w:rsidRPr="00D90EAF">
              <w:rPr>
                <w:rFonts w:ascii="Calibri" w:hAnsi="Calibri" w:cs="Calibri"/>
              </w:rPr>
              <w:t>Développement de gousses d'arachide</w:t>
            </w:r>
            <w:r>
              <w:rPr>
                <w:rFonts w:ascii="Calibri" w:hAnsi="Calibri" w:cs="Calibri"/>
              </w:rPr>
              <w:t>.</w:t>
            </w:r>
          </w:p>
        </w:tc>
        <w:tc>
          <w:tcPr>
            <w:tcW w:w="2395" w:type="dxa"/>
          </w:tcPr>
          <w:p w14:paraId="34FD1B74" w14:textId="33019741" w:rsidR="008A2096" w:rsidRDefault="00644D4D" w:rsidP="00071EEC">
            <w:pPr>
              <w:jc w:val="center"/>
              <w:rPr>
                <w:rFonts w:ascii="Calibri" w:hAnsi="Calibri" w:cs="Calibri"/>
              </w:rPr>
            </w:pPr>
            <w:r>
              <w:rPr>
                <w:noProof/>
              </w:rPr>
              <w:drawing>
                <wp:inline distT="0" distB="0" distL="0" distR="0" wp14:anchorId="3EB5D2C7" wp14:editId="72DFE438">
                  <wp:extent cx="1357677" cy="894080"/>
                  <wp:effectExtent l="0" t="0" r="0" b="1270"/>
                  <wp:docPr id="108567" name="Image 108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09">
                            <a:extLst>
                              <a:ext uri="{28A0092B-C50C-407E-A947-70E740481C1C}">
                                <a14:useLocalDpi xmlns:a14="http://schemas.microsoft.com/office/drawing/2010/main" val="0"/>
                              </a:ext>
                            </a:extLst>
                          </a:blip>
                          <a:srcRect/>
                          <a:stretch>
                            <a:fillRect/>
                          </a:stretch>
                        </pic:blipFill>
                        <pic:spPr bwMode="auto">
                          <a:xfrm>
                            <a:off x="0" y="0"/>
                            <a:ext cx="1362212" cy="897067"/>
                          </a:xfrm>
                          <a:prstGeom prst="rect">
                            <a:avLst/>
                          </a:prstGeom>
                          <a:noFill/>
                          <a:ln>
                            <a:noFill/>
                          </a:ln>
                        </pic:spPr>
                      </pic:pic>
                    </a:graphicData>
                  </a:graphic>
                </wp:inline>
              </w:drawing>
            </w:r>
          </w:p>
          <w:p w14:paraId="60971564" w14:textId="2CA1B087" w:rsidR="00071EEC" w:rsidRDefault="008A2096" w:rsidP="00071EEC">
            <w:pPr>
              <w:jc w:val="center"/>
              <w:rPr>
                <w:rFonts w:ascii="Calibri" w:hAnsi="Calibri" w:cs="Calibri"/>
              </w:rPr>
            </w:pPr>
            <w:r w:rsidRPr="008A2096">
              <w:rPr>
                <w:rFonts w:ascii="Calibri" w:hAnsi="Calibri" w:cs="Calibri"/>
              </w:rPr>
              <w:t>Fleur d'arachide</w:t>
            </w:r>
            <w:r w:rsidR="0035282F">
              <w:rPr>
                <w:rFonts w:ascii="Calibri" w:hAnsi="Calibri" w:cs="Calibri"/>
              </w:rPr>
              <w:t>.</w:t>
            </w:r>
          </w:p>
        </w:tc>
        <w:tc>
          <w:tcPr>
            <w:tcW w:w="2044" w:type="dxa"/>
          </w:tcPr>
          <w:p w14:paraId="701789A1" w14:textId="77777777" w:rsidR="00D90EAF" w:rsidRDefault="00D90EAF" w:rsidP="00D90EAF">
            <w:pPr>
              <w:jc w:val="center"/>
              <w:rPr>
                <w:rFonts w:ascii="Calibri" w:hAnsi="Calibri" w:cs="Calibri"/>
              </w:rPr>
            </w:pPr>
            <w:r>
              <w:rPr>
                <w:noProof/>
              </w:rPr>
              <w:drawing>
                <wp:inline distT="0" distB="0" distL="0" distR="0" wp14:anchorId="0F82DCFC" wp14:editId="2A64736F">
                  <wp:extent cx="1127899" cy="1399620"/>
                  <wp:effectExtent l="0" t="0" r="0" b="0"/>
                  <wp:docPr id="108568" name="Image 108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10">
                            <a:extLst>
                              <a:ext uri="{28A0092B-C50C-407E-A947-70E740481C1C}">
                                <a14:useLocalDpi xmlns:a14="http://schemas.microsoft.com/office/drawing/2010/main" val="0"/>
                              </a:ext>
                            </a:extLst>
                          </a:blip>
                          <a:srcRect/>
                          <a:stretch>
                            <a:fillRect/>
                          </a:stretch>
                        </pic:blipFill>
                        <pic:spPr bwMode="auto">
                          <a:xfrm>
                            <a:off x="0" y="0"/>
                            <a:ext cx="1130832" cy="1403260"/>
                          </a:xfrm>
                          <a:prstGeom prst="rect">
                            <a:avLst/>
                          </a:prstGeom>
                          <a:noFill/>
                          <a:ln>
                            <a:noFill/>
                          </a:ln>
                        </pic:spPr>
                      </pic:pic>
                    </a:graphicData>
                  </a:graphic>
                </wp:inline>
              </w:drawing>
            </w:r>
          </w:p>
          <w:p w14:paraId="1F1C906C" w14:textId="51FDF718" w:rsidR="00071EEC" w:rsidRDefault="00D90EAF" w:rsidP="00D90EAF">
            <w:pPr>
              <w:jc w:val="center"/>
              <w:rPr>
                <w:rFonts w:ascii="Calibri" w:hAnsi="Calibri" w:cs="Calibri"/>
              </w:rPr>
            </w:pPr>
            <w:r>
              <w:rPr>
                <w:rFonts w:ascii="Calibri" w:hAnsi="Calibri" w:cs="Calibri"/>
              </w:rPr>
              <w:t xml:space="preserve">Récolte de </w:t>
            </w:r>
            <w:r w:rsidRPr="00644D4D">
              <w:rPr>
                <w:rFonts w:ascii="Calibri" w:hAnsi="Calibri" w:cs="Calibri"/>
              </w:rPr>
              <w:t>cacahuètes</w:t>
            </w:r>
            <w:r w:rsidR="0035282F">
              <w:rPr>
                <w:rFonts w:ascii="Calibri" w:hAnsi="Calibri" w:cs="Calibri"/>
              </w:rPr>
              <w:t>.</w:t>
            </w:r>
          </w:p>
        </w:tc>
      </w:tr>
      <w:tr w:rsidR="0035282F" w14:paraId="0A158F80" w14:textId="77777777" w:rsidTr="00213AED">
        <w:tc>
          <w:tcPr>
            <w:tcW w:w="3141" w:type="dxa"/>
          </w:tcPr>
          <w:p w14:paraId="588D006A" w14:textId="77777777" w:rsidR="00071EEC" w:rsidRDefault="00D90EAF" w:rsidP="00071EEC">
            <w:pPr>
              <w:jc w:val="center"/>
              <w:rPr>
                <w:rFonts w:ascii="Calibri" w:hAnsi="Calibri" w:cs="Calibri"/>
              </w:rPr>
            </w:pPr>
            <w:r>
              <w:rPr>
                <w:noProof/>
              </w:rPr>
              <w:drawing>
                <wp:inline distT="0" distB="0" distL="0" distR="0" wp14:anchorId="685528BB" wp14:editId="6FB05C7C">
                  <wp:extent cx="1746250" cy="2095500"/>
                  <wp:effectExtent l="0" t="0" r="6350" b="0"/>
                  <wp:docPr id="108570" name="Image 108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11">
                            <a:extLst>
                              <a:ext uri="{28A0092B-C50C-407E-A947-70E740481C1C}">
                                <a14:useLocalDpi xmlns:a14="http://schemas.microsoft.com/office/drawing/2010/main" val="0"/>
                              </a:ext>
                            </a:extLst>
                          </a:blip>
                          <a:srcRect/>
                          <a:stretch>
                            <a:fillRect/>
                          </a:stretch>
                        </pic:blipFill>
                        <pic:spPr bwMode="auto">
                          <a:xfrm>
                            <a:off x="0" y="0"/>
                            <a:ext cx="1748137" cy="2097764"/>
                          </a:xfrm>
                          <a:prstGeom prst="rect">
                            <a:avLst/>
                          </a:prstGeom>
                          <a:noFill/>
                          <a:ln>
                            <a:noFill/>
                          </a:ln>
                        </pic:spPr>
                      </pic:pic>
                    </a:graphicData>
                  </a:graphic>
                </wp:inline>
              </w:drawing>
            </w:r>
          </w:p>
          <w:p w14:paraId="31EF41CA" w14:textId="066FD38C" w:rsidR="00D90EAF" w:rsidRDefault="00D90EAF" w:rsidP="00D90EAF">
            <w:pPr>
              <w:jc w:val="both"/>
              <w:rPr>
                <w:rFonts w:ascii="Calibri" w:hAnsi="Calibri" w:cs="Calibri"/>
              </w:rPr>
            </w:pPr>
            <w:r w:rsidRPr="00D90EAF">
              <w:rPr>
                <w:rFonts w:ascii="Calibri" w:hAnsi="Calibri" w:cs="Calibri"/>
              </w:rPr>
              <w:t>Deux ovaires d'arachide après la chute des fleurs. L'ovaire fécondé est plus épais et plus clair que la tige, et terminé par un bout pointu de couleur violette, qui permet de creuser la terre lors de sa croissance.</w:t>
            </w:r>
          </w:p>
        </w:tc>
        <w:tc>
          <w:tcPr>
            <w:tcW w:w="2836" w:type="dxa"/>
          </w:tcPr>
          <w:p w14:paraId="590D491A" w14:textId="77777777" w:rsidR="00071EEC" w:rsidRDefault="00D90EAF" w:rsidP="00071EEC">
            <w:pPr>
              <w:jc w:val="center"/>
              <w:rPr>
                <w:rFonts w:ascii="Calibri" w:hAnsi="Calibri" w:cs="Calibri"/>
              </w:rPr>
            </w:pPr>
            <w:r>
              <w:rPr>
                <w:noProof/>
              </w:rPr>
              <w:drawing>
                <wp:inline distT="0" distB="0" distL="0" distR="0" wp14:anchorId="6A44F7A1" wp14:editId="4C2B80CC">
                  <wp:extent cx="1597684" cy="1209675"/>
                  <wp:effectExtent l="0" t="0" r="2540" b="0"/>
                  <wp:docPr id="108571" name="Image 108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12">
                            <a:extLst>
                              <a:ext uri="{28A0092B-C50C-407E-A947-70E740481C1C}">
                                <a14:useLocalDpi xmlns:a14="http://schemas.microsoft.com/office/drawing/2010/main" val="0"/>
                              </a:ext>
                            </a:extLst>
                          </a:blip>
                          <a:srcRect/>
                          <a:stretch>
                            <a:fillRect/>
                          </a:stretch>
                        </pic:blipFill>
                        <pic:spPr bwMode="auto">
                          <a:xfrm>
                            <a:off x="0" y="0"/>
                            <a:ext cx="1600737" cy="1211987"/>
                          </a:xfrm>
                          <a:prstGeom prst="rect">
                            <a:avLst/>
                          </a:prstGeom>
                          <a:noFill/>
                          <a:ln>
                            <a:noFill/>
                          </a:ln>
                        </pic:spPr>
                      </pic:pic>
                    </a:graphicData>
                  </a:graphic>
                </wp:inline>
              </w:drawing>
            </w:r>
          </w:p>
          <w:p w14:paraId="7F66B3E6" w14:textId="77777777" w:rsidR="00D90EAF" w:rsidRDefault="00D90EAF" w:rsidP="00071EEC">
            <w:pPr>
              <w:jc w:val="center"/>
              <w:rPr>
                <w:rFonts w:ascii="Calibri" w:hAnsi="Calibri" w:cs="Calibri"/>
              </w:rPr>
            </w:pPr>
            <w:r w:rsidRPr="00D90EAF">
              <w:rPr>
                <w:rFonts w:ascii="Calibri" w:hAnsi="Calibri" w:cs="Calibri"/>
              </w:rPr>
              <w:t>Gousses déterrées pour examen.</w:t>
            </w:r>
          </w:p>
          <w:p w14:paraId="0A7B44EE" w14:textId="77777777" w:rsidR="00096E9A" w:rsidRDefault="00096E9A" w:rsidP="00071EEC">
            <w:pPr>
              <w:jc w:val="center"/>
              <w:rPr>
                <w:rFonts w:ascii="Calibri" w:hAnsi="Calibri" w:cs="Calibri"/>
              </w:rPr>
            </w:pPr>
            <w:r>
              <w:rPr>
                <w:noProof/>
              </w:rPr>
              <w:drawing>
                <wp:inline distT="0" distB="0" distL="0" distR="0" wp14:anchorId="1B4B98C4" wp14:editId="261140EE">
                  <wp:extent cx="1471613" cy="981075"/>
                  <wp:effectExtent l="0" t="0" r="0" b="0"/>
                  <wp:docPr id="108572" name="Image 108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13">
                            <a:extLst>
                              <a:ext uri="{28A0092B-C50C-407E-A947-70E740481C1C}">
                                <a14:useLocalDpi xmlns:a14="http://schemas.microsoft.com/office/drawing/2010/main" val="0"/>
                              </a:ext>
                            </a:extLst>
                          </a:blip>
                          <a:srcRect/>
                          <a:stretch>
                            <a:fillRect/>
                          </a:stretch>
                        </pic:blipFill>
                        <pic:spPr bwMode="auto">
                          <a:xfrm>
                            <a:off x="0" y="0"/>
                            <a:ext cx="1473487" cy="982325"/>
                          </a:xfrm>
                          <a:prstGeom prst="rect">
                            <a:avLst/>
                          </a:prstGeom>
                          <a:noFill/>
                          <a:ln>
                            <a:noFill/>
                          </a:ln>
                        </pic:spPr>
                      </pic:pic>
                    </a:graphicData>
                  </a:graphic>
                </wp:inline>
              </w:drawing>
            </w:r>
          </w:p>
          <w:p w14:paraId="42BBBBC6" w14:textId="5AF5C451" w:rsidR="00096E9A" w:rsidRDefault="00096E9A" w:rsidP="00071EEC">
            <w:pPr>
              <w:jc w:val="center"/>
              <w:rPr>
                <w:rFonts w:ascii="Calibri" w:hAnsi="Calibri" w:cs="Calibri"/>
              </w:rPr>
            </w:pPr>
            <w:r w:rsidRPr="00096E9A">
              <w:rPr>
                <w:rFonts w:ascii="Calibri" w:hAnsi="Calibri" w:cs="Calibri"/>
              </w:rPr>
              <w:t>Récolte des cacahuètes à la main.</w:t>
            </w:r>
          </w:p>
        </w:tc>
        <w:tc>
          <w:tcPr>
            <w:tcW w:w="2395" w:type="dxa"/>
          </w:tcPr>
          <w:p w14:paraId="1CD7B776" w14:textId="77777777" w:rsidR="00071EEC" w:rsidRDefault="00096E9A" w:rsidP="00071EEC">
            <w:pPr>
              <w:jc w:val="center"/>
              <w:rPr>
                <w:rFonts w:ascii="Calibri" w:hAnsi="Calibri" w:cs="Calibri"/>
              </w:rPr>
            </w:pPr>
            <w:r>
              <w:rPr>
                <w:noProof/>
              </w:rPr>
              <w:drawing>
                <wp:inline distT="0" distB="0" distL="0" distR="0" wp14:anchorId="1E07DC75" wp14:editId="32281149">
                  <wp:extent cx="1303774" cy="1266825"/>
                  <wp:effectExtent l="0" t="0" r="0" b="0"/>
                  <wp:docPr id="108573" name="Image 108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14">
                            <a:extLst>
                              <a:ext uri="{28A0092B-C50C-407E-A947-70E740481C1C}">
                                <a14:useLocalDpi xmlns:a14="http://schemas.microsoft.com/office/drawing/2010/main" val="0"/>
                              </a:ext>
                            </a:extLst>
                          </a:blip>
                          <a:srcRect/>
                          <a:stretch>
                            <a:fillRect/>
                          </a:stretch>
                        </pic:blipFill>
                        <pic:spPr bwMode="auto">
                          <a:xfrm>
                            <a:off x="0" y="0"/>
                            <a:ext cx="1307928" cy="1270862"/>
                          </a:xfrm>
                          <a:prstGeom prst="rect">
                            <a:avLst/>
                          </a:prstGeom>
                          <a:noFill/>
                          <a:ln>
                            <a:noFill/>
                          </a:ln>
                        </pic:spPr>
                      </pic:pic>
                    </a:graphicData>
                  </a:graphic>
                </wp:inline>
              </w:drawing>
            </w:r>
          </w:p>
          <w:p w14:paraId="06FE2841" w14:textId="77777777" w:rsidR="00096E9A" w:rsidRDefault="00096E9A" w:rsidP="00071EEC">
            <w:pPr>
              <w:jc w:val="center"/>
              <w:rPr>
                <w:rFonts w:ascii="Calibri" w:hAnsi="Calibri" w:cs="Calibri"/>
              </w:rPr>
            </w:pPr>
            <w:r w:rsidRPr="00096E9A">
              <w:rPr>
                <w:rFonts w:ascii="Calibri" w:hAnsi="Calibri" w:cs="Calibri"/>
              </w:rPr>
              <w:t>Récolteuse d'arachides à chenilles.</w:t>
            </w:r>
          </w:p>
          <w:p w14:paraId="48707905" w14:textId="77777777" w:rsidR="00096E9A" w:rsidRDefault="00096E9A" w:rsidP="00071EEC">
            <w:pPr>
              <w:jc w:val="center"/>
              <w:rPr>
                <w:rFonts w:ascii="Calibri" w:hAnsi="Calibri" w:cs="Calibri"/>
              </w:rPr>
            </w:pPr>
            <w:r>
              <w:rPr>
                <w:noProof/>
              </w:rPr>
              <w:drawing>
                <wp:inline distT="0" distB="0" distL="0" distR="0" wp14:anchorId="7B4A7310" wp14:editId="745CEDEC">
                  <wp:extent cx="1365356" cy="619053"/>
                  <wp:effectExtent l="0" t="0" r="6350" b="0"/>
                  <wp:docPr id="108574" name="Image 108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115" cstate="print">
                            <a:extLst>
                              <a:ext uri="{28A0092B-C50C-407E-A947-70E740481C1C}">
                                <a14:useLocalDpi xmlns:a14="http://schemas.microsoft.com/office/drawing/2010/main" val="0"/>
                              </a:ext>
                            </a:extLst>
                          </a:blip>
                          <a:srcRect/>
                          <a:stretch>
                            <a:fillRect/>
                          </a:stretch>
                        </pic:blipFill>
                        <pic:spPr bwMode="auto">
                          <a:xfrm>
                            <a:off x="0" y="0"/>
                            <a:ext cx="1381798" cy="626508"/>
                          </a:xfrm>
                          <a:prstGeom prst="rect">
                            <a:avLst/>
                          </a:prstGeom>
                          <a:noFill/>
                          <a:ln>
                            <a:noFill/>
                          </a:ln>
                        </pic:spPr>
                      </pic:pic>
                    </a:graphicData>
                  </a:graphic>
                </wp:inline>
              </w:drawing>
            </w:r>
          </w:p>
          <w:p w14:paraId="22816B6D" w14:textId="77777777" w:rsidR="00096E9A" w:rsidRDefault="00096E9A" w:rsidP="00071EEC">
            <w:pPr>
              <w:jc w:val="center"/>
              <w:rPr>
                <w:rFonts w:ascii="Calibri" w:hAnsi="Calibri" w:cs="Calibri"/>
              </w:rPr>
            </w:pPr>
            <w:r>
              <w:rPr>
                <w:rFonts w:ascii="Calibri" w:hAnsi="Calibri" w:cs="Calibri"/>
              </w:rPr>
              <w:t>Détail de la texture.</w:t>
            </w:r>
          </w:p>
          <w:p w14:paraId="371F6928" w14:textId="59674FB9" w:rsidR="00096E9A" w:rsidRDefault="00096E9A" w:rsidP="00071EEC">
            <w:pPr>
              <w:jc w:val="center"/>
              <w:rPr>
                <w:rFonts w:ascii="Calibri" w:hAnsi="Calibri" w:cs="Calibri"/>
              </w:rPr>
            </w:pPr>
            <w:r>
              <w:rPr>
                <w:noProof/>
              </w:rPr>
              <w:drawing>
                <wp:inline distT="0" distB="0" distL="0" distR="0" wp14:anchorId="27576D0B" wp14:editId="5F666F34">
                  <wp:extent cx="1343025" cy="891879"/>
                  <wp:effectExtent l="0" t="0" r="0" b="3810"/>
                  <wp:docPr id="47121" name="Image 47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116">
                            <a:extLst>
                              <a:ext uri="{28A0092B-C50C-407E-A947-70E740481C1C}">
                                <a14:useLocalDpi xmlns:a14="http://schemas.microsoft.com/office/drawing/2010/main" val="0"/>
                              </a:ext>
                            </a:extLst>
                          </a:blip>
                          <a:srcRect/>
                          <a:stretch>
                            <a:fillRect/>
                          </a:stretch>
                        </pic:blipFill>
                        <pic:spPr bwMode="auto">
                          <a:xfrm>
                            <a:off x="0" y="0"/>
                            <a:ext cx="1356643" cy="900922"/>
                          </a:xfrm>
                          <a:prstGeom prst="rect">
                            <a:avLst/>
                          </a:prstGeom>
                          <a:noFill/>
                          <a:ln>
                            <a:noFill/>
                          </a:ln>
                        </pic:spPr>
                      </pic:pic>
                    </a:graphicData>
                  </a:graphic>
                </wp:inline>
              </w:drawing>
            </w:r>
          </w:p>
        </w:tc>
        <w:tc>
          <w:tcPr>
            <w:tcW w:w="2044" w:type="dxa"/>
          </w:tcPr>
          <w:p w14:paraId="5B78A087" w14:textId="77C4F541" w:rsidR="00071EEC" w:rsidRDefault="00096E9A" w:rsidP="00071EEC">
            <w:pPr>
              <w:jc w:val="center"/>
              <w:rPr>
                <w:rFonts w:ascii="Calibri" w:hAnsi="Calibri" w:cs="Calibri"/>
              </w:rPr>
            </w:pPr>
            <w:r>
              <w:rPr>
                <w:noProof/>
              </w:rPr>
              <w:drawing>
                <wp:inline distT="0" distB="0" distL="0" distR="0" wp14:anchorId="680D0A2B" wp14:editId="75BA5C55">
                  <wp:extent cx="1103644" cy="828675"/>
                  <wp:effectExtent l="0" t="0" r="1270" b="0"/>
                  <wp:docPr id="108575" name="Image 108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17">
                            <a:extLst>
                              <a:ext uri="{28A0092B-C50C-407E-A947-70E740481C1C}">
                                <a14:useLocalDpi xmlns:a14="http://schemas.microsoft.com/office/drawing/2010/main" val="0"/>
                              </a:ext>
                            </a:extLst>
                          </a:blip>
                          <a:srcRect/>
                          <a:stretch>
                            <a:fillRect/>
                          </a:stretch>
                        </pic:blipFill>
                        <pic:spPr bwMode="auto">
                          <a:xfrm flipH="1">
                            <a:off x="0" y="0"/>
                            <a:ext cx="1107965" cy="831919"/>
                          </a:xfrm>
                          <a:prstGeom prst="rect">
                            <a:avLst/>
                          </a:prstGeom>
                          <a:noFill/>
                          <a:ln>
                            <a:noFill/>
                          </a:ln>
                        </pic:spPr>
                      </pic:pic>
                    </a:graphicData>
                  </a:graphic>
                </wp:inline>
              </w:drawing>
            </w:r>
          </w:p>
          <w:p w14:paraId="5A01B6DF" w14:textId="021E5479" w:rsidR="00096E9A" w:rsidRDefault="0035282F" w:rsidP="00071EEC">
            <w:pPr>
              <w:jc w:val="center"/>
              <w:rPr>
                <w:rFonts w:ascii="Calibri" w:hAnsi="Calibri" w:cs="Calibri"/>
              </w:rPr>
            </w:pPr>
            <w:r w:rsidRPr="00644D4D">
              <w:rPr>
                <w:rFonts w:ascii="Calibri" w:hAnsi="Calibri" w:cs="Calibri"/>
              </w:rPr>
              <w:t>Cacahuètes</w:t>
            </w:r>
            <w:r>
              <w:rPr>
                <w:rFonts w:ascii="Calibri" w:hAnsi="Calibri" w:cs="Calibri"/>
              </w:rPr>
              <w:t xml:space="preserve"> bouillies.</w:t>
            </w:r>
          </w:p>
          <w:p w14:paraId="609B50BD" w14:textId="77777777" w:rsidR="0035282F" w:rsidRDefault="0035282F" w:rsidP="00071EEC">
            <w:pPr>
              <w:jc w:val="center"/>
              <w:rPr>
                <w:rFonts w:ascii="Calibri" w:hAnsi="Calibri" w:cs="Calibri"/>
              </w:rPr>
            </w:pPr>
          </w:p>
          <w:p w14:paraId="2704082C" w14:textId="76038988" w:rsidR="0035282F" w:rsidRDefault="0035282F" w:rsidP="00071EEC">
            <w:pPr>
              <w:jc w:val="center"/>
              <w:rPr>
                <w:rFonts w:ascii="Calibri" w:hAnsi="Calibri" w:cs="Calibri"/>
              </w:rPr>
            </w:pPr>
            <w:r>
              <w:rPr>
                <w:noProof/>
              </w:rPr>
              <w:drawing>
                <wp:inline distT="0" distB="0" distL="0" distR="0" wp14:anchorId="0F7F117B" wp14:editId="3EF2C28C">
                  <wp:extent cx="1137285" cy="1028700"/>
                  <wp:effectExtent l="0" t="0" r="5715" b="0"/>
                  <wp:docPr id="101379" name="Image 101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118">
                            <a:extLst>
                              <a:ext uri="{28A0092B-C50C-407E-A947-70E740481C1C}">
                                <a14:useLocalDpi xmlns:a14="http://schemas.microsoft.com/office/drawing/2010/main" val="0"/>
                              </a:ext>
                            </a:extLst>
                          </a:blip>
                          <a:srcRect/>
                          <a:stretch>
                            <a:fillRect/>
                          </a:stretch>
                        </pic:blipFill>
                        <pic:spPr bwMode="auto">
                          <a:xfrm>
                            <a:off x="0" y="0"/>
                            <a:ext cx="1143190" cy="1034041"/>
                          </a:xfrm>
                          <a:prstGeom prst="rect">
                            <a:avLst/>
                          </a:prstGeom>
                          <a:noFill/>
                          <a:ln>
                            <a:noFill/>
                          </a:ln>
                        </pic:spPr>
                      </pic:pic>
                    </a:graphicData>
                  </a:graphic>
                </wp:inline>
              </w:drawing>
            </w:r>
          </w:p>
          <w:p w14:paraId="4B11EF49" w14:textId="4DBDD3B6" w:rsidR="00096E9A" w:rsidRDefault="0035282F" w:rsidP="0035282F">
            <w:pPr>
              <w:jc w:val="center"/>
              <w:rPr>
                <w:rFonts w:ascii="Calibri" w:hAnsi="Calibri" w:cs="Calibri"/>
              </w:rPr>
            </w:pPr>
            <w:r w:rsidRPr="0035282F">
              <w:rPr>
                <w:rFonts w:ascii="Calibri" w:hAnsi="Calibri" w:cs="Arial"/>
                <w:color w:val="202122"/>
                <w:shd w:val="clear" w:color="auto" w:fill="FFFFFF"/>
              </w:rPr>
              <w:t>Un bol de </w:t>
            </w:r>
            <w:hyperlink r:id="rId2119" w:tooltip="Sev mamra" w:history="1">
              <w:r w:rsidRPr="0035282F">
                <w:rPr>
                  <w:rStyle w:val="Lienhypertexte"/>
                  <w:rFonts w:ascii="Calibri" w:hAnsi="Calibri" w:cs="Arial"/>
                  <w:color w:val="0645AD"/>
                  <w:shd w:val="clear" w:color="auto" w:fill="FFFFFF"/>
                </w:rPr>
                <w:t>sev mamra</w:t>
              </w:r>
            </w:hyperlink>
            <w:r w:rsidRPr="0035282F">
              <w:rPr>
                <w:rFonts w:ascii="Calibri" w:hAnsi="Calibri" w:cs="Arial"/>
                <w:color w:val="202122"/>
                <w:shd w:val="clear" w:color="auto" w:fill="FFFFFF"/>
              </w:rPr>
              <w:t>, composé de riz soufflé, de cacahuètes et de nouilles assaisonnées frites.</w:t>
            </w:r>
          </w:p>
        </w:tc>
      </w:tr>
    </w:tbl>
    <w:p w14:paraId="0DE11CD9" w14:textId="1EDD497B" w:rsidR="00071EEC" w:rsidRDefault="00071EEC" w:rsidP="00071EEC">
      <w:pPr>
        <w:spacing w:after="0" w:line="240" w:lineRule="auto"/>
        <w:jc w:val="center"/>
        <w:rPr>
          <w:rFonts w:ascii="Calibri" w:hAnsi="Calibri" w:cs="Calibri"/>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35282F" w14:paraId="1F017544" w14:textId="77777777" w:rsidTr="00213AED">
        <w:tc>
          <w:tcPr>
            <w:tcW w:w="5208" w:type="dxa"/>
          </w:tcPr>
          <w:p w14:paraId="32A03879" w14:textId="77777777" w:rsidR="0035282F" w:rsidRDefault="0035282F" w:rsidP="00071EEC">
            <w:pPr>
              <w:jc w:val="center"/>
              <w:rPr>
                <w:rFonts w:ascii="Calibri" w:hAnsi="Calibri" w:cs="Calibri"/>
              </w:rPr>
            </w:pPr>
            <w:r>
              <w:rPr>
                <w:noProof/>
              </w:rPr>
              <w:drawing>
                <wp:inline distT="0" distB="0" distL="0" distR="0" wp14:anchorId="0F4C612E" wp14:editId="0038CEBF">
                  <wp:extent cx="3143250" cy="2095500"/>
                  <wp:effectExtent l="0" t="0" r="0" b="0"/>
                  <wp:docPr id="101376" name="Image 101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120">
                            <a:extLst>
                              <a:ext uri="{28A0092B-C50C-407E-A947-70E740481C1C}">
                                <a14:useLocalDpi xmlns:a14="http://schemas.microsoft.com/office/drawing/2010/main" val="0"/>
                              </a:ext>
                            </a:extLst>
                          </a:blip>
                          <a:srcRect/>
                          <a:stretch>
                            <a:fillRect/>
                          </a:stretch>
                        </pic:blipFill>
                        <pic:spPr bwMode="auto">
                          <a:xfrm>
                            <a:off x="0" y="0"/>
                            <a:ext cx="3143250" cy="2095500"/>
                          </a:xfrm>
                          <a:prstGeom prst="rect">
                            <a:avLst/>
                          </a:prstGeom>
                          <a:noFill/>
                          <a:ln>
                            <a:noFill/>
                          </a:ln>
                        </pic:spPr>
                      </pic:pic>
                    </a:graphicData>
                  </a:graphic>
                </wp:inline>
              </w:drawing>
            </w:r>
          </w:p>
          <w:p w14:paraId="6274478C" w14:textId="23603EB5" w:rsidR="0035282F" w:rsidRDefault="0035282F" w:rsidP="00071EEC">
            <w:pPr>
              <w:jc w:val="center"/>
              <w:rPr>
                <w:rFonts w:ascii="Calibri" w:hAnsi="Calibri" w:cs="Calibri"/>
              </w:rPr>
            </w:pPr>
            <w:r w:rsidRPr="0035282F">
              <w:rPr>
                <w:rFonts w:ascii="Calibri" w:hAnsi="Calibri" w:cs="Calibri"/>
              </w:rPr>
              <w:t>Dépistage/contrôle de la qualité des arachides</w:t>
            </w:r>
            <w:r>
              <w:rPr>
                <w:rFonts w:ascii="Calibri" w:hAnsi="Calibri" w:cs="Calibri"/>
              </w:rPr>
              <w:t>.</w:t>
            </w:r>
          </w:p>
        </w:tc>
        <w:tc>
          <w:tcPr>
            <w:tcW w:w="5208" w:type="dxa"/>
          </w:tcPr>
          <w:p w14:paraId="1EC2482B" w14:textId="77777777" w:rsidR="0035282F" w:rsidRDefault="0035282F" w:rsidP="00071EEC">
            <w:pPr>
              <w:jc w:val="center"/>
              <w:rPr>
                <w:rFonts w:ascii="Calibri" w:hAnsi="Calibri" w:cs="Calibri"/>
              </w:rPr>
            </w:pPr>
            <w:r>
              <w:rPr>
                <w:noProof/>
              </w:rPr>
              <w:drawing>
                <wp:inline distT="0" distB="0" distL="0" distR="0" wp14:anchorId="1F59DF50" wp14:editId="5804813C">
                  <wp:extent cx="2790825" cy="2095500"/>
                  <wp:effectExtent l="0" t="0" r="9525" b="0"/>
                  <wp:docPr id="101380" name="Image 101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121">
                            <a:extLst>
                              <a:ext uri="{28A0092B-C50C-407E-A947-70E740481C1C}">
                                <a14:useLocalDpi xmlns:a14="http://schemas.microsoft.com/office/drawing/2010/main" val="0"/>
                              </a:ext>
                            </a:extLst>
                          </a:blip>
                          <a:srcRect/>
                          <a:stretch>
                            <a:fillRect/>
                          </a:stretch>
                        </pic:blipFill>
                        <pic:spPr bwMode="auto">
                          <a:xfrm>
                            <a:off x="0" y="0"/>
                            <a:ext cx="2790825" cy="2095500"/>
                          </a:xfrm>
                          <a:prstGeom prst="rect">
                            <a:avLst/>
                          </a:prstGeom>
                          <a:noFill/>
                          <a:ln>
                            <a:noFill/>
                          </a:ln>
                        </pic:spPr>
                      </pic:pic>
                    </a:graphicData>
                  </a:graphic>
                </wp:inline>
              </w:drawing>
            </w:r>
          </w:p>
          <w:p w14:paraId="21E9BCEC" w14:textId="0DDD106E" w:rsidR="0035282F" w:rsidRDefault="0035282F" w:rsidP="00071EEC">
            <w:pPr>
              <w:jc w:val="center"/>
              <w:rPr>
                <w:rFonts w:ascii="Calibri" w:hAnsi="Calibri" w:cs="Calibri"/>
              </w:rPr>
            </w:pPr>
            <w:r w:rsidRPr="0035282F">
              <w:rPr>
                <w:rFonts w:ascii="Calibri" w:hAnsi="Calibri" w:cs="Calibri"/>
              </w:rPr>
              <w:t>Cacahuètes grillées comme collation</w:t>
            </w:r>
            <w:r>
              <w:rPr>
                <w:rFonts w:ascii="Calibri" w:hAnsi="Calibri" w:cs="Calibri"/>
              </w:rPr>
              <w:t>.</w:t>
            </w:r>
          </w:p>
        </w:tc>
      </w:tr>
    </w:tbl>
    <w:p w14:paraId="41E224C1" w14:textId="77777777" w:rsidR="0035282F" w:rsidRDefault="0035282F" w:rsidP="0035282F">
      <w:pPr>
        <w:spacing w:after="0" w:line="240" w:lineRule="auto"/>
        <w:rPr>
          <w:rFonts w:ascii="Calibri" w:hAnsi="Calibri" w:cs="Calibri"/>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35282F" w14:paraId="527D7A9B" w14:textId="77777777" w:rsidTr="00877307">
        <w:tc>
          <w:tcPr>
            <w:tcW w:w="3472" w:type="dxa"/>
          </w:tcPr>
          <w:p w14:paraId="5344F24C" w14:textId="77777777" w:rsidR="0035282F" w:rsidRDefault="0035282F" w:rsidP="0035282F">
            <w:pPr>
              <w:jc w:val="center"/>
              <w:rPr>
                <w:rFonts w:ascii="Calibri" w:hAnsi="Calibri" w:cs="Calibri"/>
              </w:rPr>
            </w:pPr>
            <w:r>
              <w:rPr>
                <w:rFonts w:ascii="Calibri" w:hAnsi="Calibri" w:cs="Calibri"/>
              </w:rPr>
              <w:lastRenderedPageBreak/>
              <w:t xml:space="preserve"> </w:t>
            </w:r>
            <w:r>
              <w:rPr>
                <w:noProof/>
              </w:rPr>
              <w:drawing>
                <wp:inline distT="0" distB="0" distL="0" distR="0" wp14:anchorId="25347EED" wp14:editId="32AA417A">
                  <wp:extent cx="2038891" cy="1533525"/>
                  <wp:effectExtent l="0" t="0" r="0" b="0"/>
                  <wp:docPr id="101377" name="Image 101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122">
                            <a:extLst>
                              <a:ext uri="{28A0092B-C50C-407E-A947-70E740481C1C}">
                                <a14:useLocalDpi xmlns:a14="http://schemas.microsoft.com/office/drawing/2010/main" val="0"/>
                              </a:ext>
                            </a:extLst>
                          </a:blip>
                          <a:srcRect/>
                          <a:stretch>
                            <a:fillRect/>
                          </a:stretch>
                        </pic:blipFill>
                        <pic:spPr bwMode="auto">
                          <a:xfrm>
                            <a:off x="0" y="0"/>
                            <a:ext cx="2047650" cy="1540113"/>
                          </a:xfrm>
                          <a:prstGeom prst="rect">
                            <a:avLst/>
                          </a:prstGeom>
                          <a:noFill/>
                          <a:ln>
                            <a:noFill/>
                          </a:ln>
                        </pic:spPr>
                      </pic:pic>
                    </a:graphicData>
                  </a:graphic>
                </wp:inline>
              </w:drawing>
            </w:r>
          </w:p>
          <w:p w14:paraId="7D217003" w14:textId="3E526D50" w:rsidR="0035282F" w:rsidRDefault="0035282F" w:rsidP="0035282F">
            <w:pPr>
              <w:jc w:val="center"/>
              <w:rPr>
                <w:rFonts w:ascii="Calibri" w:hAnsi="Calibri" w:cs="Calibri"/>
              </w:rPr>
            </w:pPr>
            <w:r w:rsidRPr="0035282F">
              <w:rPr>
                <w:rFonts w:ascii="Calibri" w:hAnsi="Calibri" w:cs="Calibri"/>
              </w:rPr>
              <w:t>Huile d'arachide</w:t>
            </w:r>
            <w:r>
              <w:rPr>
                <w:rFonts w:ascii="Calibri" w:hAnsi="Calibri" w:cs="Calibri"/>
              </w:rPr>
              <w:t>.</w:t>
            </w:r>
          </w:p>
        </w:tc>
        <w:tc>
          <w:tcPr>
            <w:tcW w:w="3472" w:type="dxa"/>
          </w:tcPr>
          <w:p w14:paraId="1DD2BE15" w14:textId="77777777" w:rsidR="0035282F" w:rsidRDefault="0035282F" w:rsidP="00071EEC">
            <w:pPr>
              <w:jc w:val="center"/>
              <w:rPr>
                <w:rFonts w:ascii="Calibri" w:hAnsi="Calibri" w:cs="Calibri"/>
              </w:rPr>
            </w:pPr>
            <w:r>
              <w:rPr>
                <w:noProof/>
              </w:rPr>
              <w:drawing>
                <wp:inline distT="0" distB="0" distL="0" distR="0" wp14:anchorId="0AEEF482" wp14:editId="7FAD3B0C">
                  <wp:extent cx="2013471" cy="1504950"/>
                  <wp:effectExtent l="0" t="0" r="6350" b="0"/>
                  <wp:docPr id="101378" name="Image 101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123">
                            <a:extLst>
                              <a:ext uri="{28A0092B-C50C-407E-A947-70E740481C1C}">
                                <a14:useLocalDpi xmlns:a14="http://schemas.microsoft.com/office/drawing/2010/main" val="0"/>
                              </a:ext>
                            </a:extLst>
                          </a:blip>
                          <a:srcRect/>
                          <a:stretch>
                            <a:fillRect/>
                          </a:stretch>
                        </pic:blipFill>
                        <pic:spPr bwMode="auto">
                          <a:xfrm>
                            <a:off x="0" y="0"/>
                            <a:ext cx="2019776" cy="1509662"/>
                          </a:xfrm>
                          <a:prstGeom prst="rect">
                            <a:avLst/>
                          </a:prstGeom>
                          <a:noFill/>
                          <a:ln>
                            <a:noFill/>
                          </a:ln>
                        </pic:spPr>
                      </pic:pic>
                    </a:graphicData>
                  </a:graphic>
                </wp:inline>
              </w:drawing>
            </w:r>
          </w:p>
          <w:p w14:paraId="06D33055" w14:textId="0BE32071" w:rsidR="0035282F" w:rsidRPr="0035282F" w:rsidRDefault="0035282F" w:rsidP="00071EEC">
            <w:pPr>
              <w:jc w:val="center"/>
            </w:pPr>
            <w:r>
              <w:rPr>
                <w:rFonts w:ascii="Calibri" w:hAnsi="Calibri" w:cs="Calibri"/>
              </w:rPr>
              <w:t xml:space="preserve">Beurre de </w:t>
            </w:r>
            <w:r w:rsidRPr="00644D4D">
              <w:rPr>
                <w:rFonts w:ascii="Calibri" w:hAnsi="Calibri" w:cs="Calibri"/>
              </w:rPr>
              <w:t>cacahuètes</w:t>
            </w:r>
            <w:r>
              <w:t>.</w:t>
            </w:r>
          </w:p>
        </w:tc>
        <w:tc>
          <w:tcPr>
            <w:tcW w:w="3472" w:type="dxa"/>
          </w:tcPr>
          <w:p w14:paraId="7B8225F3" w14:textId="77777777" w:rsidR="0035282F" w:rsidRDefault="00213AED" w:rsidP="00071EEC">
            <w:pPr>
              <w:jc w:val="center"/>
              <w:rPr>
                <w:rFonts w:ascii="Calibri" w:hAnsi="Calibri" w:cs="Calibri"/>
              </w:rPr>
            </w:pPr>
            <w:r>
              <w:rPr>
                <w:noProof/>
              </w:rPr>
              <w:drawing>
                <wp:inline distT="0" distB="0" distL="0" distR="0" wp14:anchorId="6DD79801" wp14:editId="46A5271D">
                  <wp:extent cx="1943100" cy="1457325"/>
                  <wp:effectExtent l="0" t="0" r="0" b="9525"/>
                  <wp:docPr id="101381" name="Image 101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124">
                            <a:extLst>
                              <a:ext uri="{28A0092B-C50C-407E-A947-70E740481C1C}">
                                <a14:useLocalDpi xmlns:a14="http://schemas.microsoft.com/office/drawing/2010/main" val="0"/>
                              </a:ext>
                            </a:extLst>
                          </a:blip>
                          <a:srcRect/>
                          <a:stretch>
                            <a:fillRect/>
                          </a:stretch>
                        </pic:blipFill>
                        <pic:spPr bwMode="auto">
                          <a:xfrm>
                            <a:off x="0" y="0"/>
                            <a:ext cx="1943100" cy="1457325"/>
                          </a:xfrm>
                          <a:prstGeom prst="rect">
                            <a:avLst/>
                          </a:prstGeom>
                          <a:noFill/>
                          <a:ln>
                            <a:noFill/>
                          </a:ln>
                        </pic:spPr>
                      </pic:pic>
                    </a:graphicData>
                  </a:graphic>
                </wp:inline>
              </w:drawing>
            </w:r>
          </w:p>
          <w:p w14:paraId="6EF1EF7D" w14:textId="22925FDA" w:rsidR="00213AED" w:rsidRPr="00213AED" w:rsidRDefault="00000000" w:rsidP="00071EEC">
            <w:pPr>
              <w:jc w:val="center"/>
              <w:rPr>
                <w:rFonts w:ascii="Calibri" w:hAnsi="Calibri" w:cs="Calibri"/>
              </w:rPr>
            </w:pPr>
            <w:hyperlink r:id="rId2125" w:tooltip="Chikki" w:history="1">
              <w:r w:rsidR="00213AED" w:rsidRPr="00213AED">
                <w:rPr>
                  <w:rStyle w:val="Lienhypertexte"/>
                  <w:rFonts w:ascii="Calibri" w:hAnsi="Calibri" w:cs="Arial"/>
                  <w:color w:val="0645AD"/>
                  <w:shd w:val="clear" w:color="auto" w:fill="FFFFFF"/>
                </w:rPr>
                <w:t>Bonbon</w:t>
              </w:r>
            </w:hyperlink>
            <w:r w:rsidR="00213AED" w:rsidRPr="00213AED">
              <w:rPr>
                <w:rFonts w:ascii="Calibri" w:hAnsi="Calibri" w:cs="Arial"/>
                <w:color w:val="202122"/>
                <w:shd w:val="clear" w:color="auto" w:fill="FFFFFF"/>
              </w:rPr>
              <w:t> aux arachides connu sous le nom de </w:t>
            </w:r>
            <w:hyperlink r:id="rId2126" w:tooltip="Chikki" w:history="1">
              <w:r w:rsidR="00213AED" w:rsidRPr="00213AED">
                <w:rPr>
                  <w:rStyle w:val="Lienhypertexte"/>
                  <w:rFonts w:ascii="Calibri" w:hAnsi="Calibri" w:cs="Arial"/>
                  <w:color w:val="0645AD"/>
                  <w:shd w:val="clear" w:color="auto" w:fill="FFFFFF"/>
                </w:rPr>
                <w:t>chikki</w:t>
              </w:r>
            </w:hyperlink>
            <w:r w:rsidR="00213AED" w:rsidRPr="00213AED">
              <w:rPr>
                <w:rFonts w:ascii="Calibri" w:hAnsi="Calibri" w:cs="Arial"/>
                <w:color w:val="202122"/>
                <w:shd w:val="clear" w:color="auto" w:fill="FFFFFF"/>
              </w:rPr>
              <w:t> à base d'arachides et de </w:t>
            </w:r>
            <w:r w:rsidR="00213AED" w:rsidRPr="00213AED">
              <w:rPr>
                <w:rFonts w:ascii="Calibri" w:hAnsi="Calibri"/>
              </w:rPr>
              <w:t>sucre de canne.</w:t>
            </w:r>
          </w:p>
        </w:tc>
      </w:tr>
      <w:tr w:rsidR="0035282F" w14:paraId="6D964859" w14:textId="77777777" w:rsidTr="00877307">
        <w:tc>
          <w:tcPr>
            <w:tcW w:w="3472" w:type="dxa"/>
          </w:tcPr>
          <w:p w14:paraId="1F34E73A" w14:textId="77777777" w:rsidR="0035282F" w:rsidRDefault="00877307" w:rsidP="00071EEC">
            <w:pPr>
              <w:jc w:val="center"/>
              <w:rPr>
                <w:rFonts w:ascii="Calibri" w:hAnsi="Calibri" w:cs="Calibri"/>
              </w:rPr>
            </w:pPr>
            <w:r>
              <w:rPr>
                <w:noProof/>
              </w:rPr>
              <w:drawing>
                <wp:inline distT="0" distB="0" distL="0" distR="0" wp14:anchorId="0F2281B7" wp14:editId="1DEBCFA8">
                  <wp:extent cx="1924050" cy="1084465"/>
                  <wp:effectExtent l="0" t="0" r="0" b="1905"/>
                  <wp:docPr id="101386" name="Image 101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127">
                            <a:extLst>
                              <a:ext uri="{28A0092B-C50C-407E-A947-70E740481C1C}">
                                <a14:useLocalDpi xmlns:a14="http://schemas.microsoft.com/office/drawing/2010/main" val="0"/>
                              </a:ext>
                            </a:extLst>
                          </a:blip>
                          <a:srcRect/>
                          <a:stretch>
                            <a:fillRect/>
                          </a:stretch>
                        </pic:blipFill>
                        <pic:spPr bwMode="auto">
                          <a:xfrm>
                            <a:off x="0" y="0"/>
                            <a:ext cx="1925777" cy="1085438"/>
                          </a:xfrm>
                          <a:prstGeom prst="rect">
                            <a:avLst/>
                          </a:prstGeom>
                          <a:noFill/>
                          <a:ln>
                            <a:noFill/>
                          </a:ln>
                        </pic:spPr>
                      </pic:pic>
                    </a:graphicData>
                  </a:graphic>
                </wp:inline>
              </w:drawing>
            </w:r>
          </w:p>
          <w:p w14:paraId="32D5713D" w14:textId="3CDFCC3C" w:rsidR="00877307" w:rsidRPr="00877307" w:rsidRDefault="00877307" w:rsidP="00071EEC">
            <w:pPr>
              <w:jc w:val="center"/>
              <w:rPr>
                <w:rFonts w:ascii="Calibri" w:hAnsi="Calibri" w:cs="Calibri"/>
              </w:rPr>
            </w:pPr>
            <w:r w:rsidRPr="00877307">
              <w:rPr>
                <w:rFonts w:ascii="Calibri" w:hAnsi="Calibri" w:cs="Arial"/>
                <w:color w:val="202122"/>
                <w:shd w:val="clear" w:color="auto" w:fill="F8F9FA"/>
              </w:rPr>
              <w:t>La </w:t>
            </w:r>
            <w:hyperlink r:id="rId2128" w:tooltip="Colle pistache" w:history="1">
              <w:r w:rsidRPr="00877307">
                <w:rPr>
                  <w:rStyle w:val="Lienhypertexte"/>
                  <w:rFonts w:ascii="Calibri" w:hAnsi="Calibri" w:cs="Arial"/>
                  <w:color w:val="0645AD"/>
                  <w:shd w:val="clear" w:color="auto" w:fill="F8F9FA"/>
                </w:rPr>
                <w:t>colle pistache</w:t>
              </w:r>
            </w:hyperlink>
            <w:r w:rsidRPr="00877307">
              <w:rPr>
                <w:rFonts w:ascii="Calibri" w:hAnsi="Calibri" w:cs="Arial"/>
                <w:color w:val="202122"/>
                <w:shd w:val="clear" w:color="auto" w:fill="F8F9FA"/>
              </w:rPr>
              <w:t>, friandise créole ou nougat d'arachide.</w:t>
            </w:r>
          </w:p>
        </w:tc>
        <w:tc>
          <w:tcPr>
            <w:tcW w:w="3472" w:type="dxa"/>
          </w:tcPr>
          <w:p w14:paraId="17CAFD20" w14:textId="77777777" w:rsidR="0035282F" w:rsidRDefault="00877307" w:rsidP="00071EEC">
            <w:pPr>
              <w:jc w:val="center"/>
              <w:rPr>
                <w:rFonts w:ascii="Calibri" w:hAnsi="Calibri" w:cs="Calibri"/>
              </w:rPr>
            </w:pPr>
            <w:r>
              <w:rPr>
                <w:noProof/>
              </w:rPr>
              <w:drawing>
                <wp:inline distT="0" distB="0" distL="0" distR="0" wp14:anchorId="6A288773" wp14:editId="2B858C68">
                  <wp:extent cx="1962150" cy="1934771"/>
                  <wp:effectExtent l="0" t="0" r="0" b="8890"/>
                  <wp:docPr id="101384" name="Image 101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9"/>
                          <a:stretch>
                            <a:fillRect/>
                          </a:stretch>
                        </pic:blipFill>
                        <pic:spPr>
                          <a:xfrm>
                            <a:off x="0" y="0"/>
                            <a:ext cx="1969003" cy="1941528"/>
                          </a:xfrm>
                          <a:prstGeom prst="rect">
                            <a:avLst/>
                          </a:prstGeom>
                        </pic:spPr>
                      </pic:pic>
                    </a:graphicData>
                  </a:graphic>
                </wp:inline>
              </w:drawing>
            </w:r>
          </w:p>
          <w:p w14:paraId="4165FE56" w14:textId="6077688A" w:rsidR="00877307" w:rsidRDefault="00877307" w:rsidP="00877307">
            <w:pPr>
              <w:jc w:val="center"/>
              <w:rPr>
                <w:rFonts w:ascii="Calibri" w:hAnsi="Calibri" w:cs="Calibri"/>
              </w:rPr>
            </w:pPr>
            <w:r w:rsidRPr="00877307">
              <w:rPr>
                <w:rFonts w:ascii="Calibri" w:hAnsi="Calibri" w:cs="Calibri"/>
              </w:rPr>
              <w:t>Avertissement « Attention - cacahuète et poussière de cacahuète omniprésentes ».</w:t>
            </w:r>
          </w:p>
        </w:tc>
        <w:tc>
          <w:tcPr>
            <w:tcW w:w="3472" w:type="dxa"/>
          </w:tcPr>
          <w:p w14:paraId="01D306B4" w14:textId="77777777" w:rsidR="0035282F" w:rsidRDefault="00877307" w:rsidP="00071EEC">
            <w:pPr>
              <w:jc w:val="center"/>
              <w:rPr>
                <w:rFonts w:ascii="Calibri" w:hAnsi="Calibri" w:cs="Calibri"/>
              </w:rPr>
            </w:pPr>
            <w:r>
              <w:rPr>
                <w:noProof/>
              </w:rPr>
              <w:drawing>
                <wp:inline distT="0" distB="0" distL="0" distR="0" wp14:anchorId="04694128" wp14:editId="59846401">
                  <wp:extent cx="1946329" cy="1304925"/>
                  <wp:effectExtent l="0" t="0" r="0" b="0"/>
                  <wp:docPr id="101385" name="Image 101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130">
                            <a:extLst>
                              <a:ext uri="{28A0092B-C50C-407E-A947-70E740481C1C}">
                                <a14:useLocalDpi xmlns:a14="http://schemas.microsoft.com/office/drawing/2010/main" val="0"/>
                              </a:ext>
                            </a:extLst>
                          </a:blip>
                          <a:srcRect/>
                          <a:stretch>
                            <a:fillRect/>
                          </a:stretch>
                        </pic:blipFill>
                        <pic:spPr bwMode="auto">
                          <a:xfrm>
                            <a:off x="0" y="0"/>
                            <a:ext cx="1953380" cy="1309653"/>
                          </a:xfrm>
                          <a:prstGeom prst="rect">
                            <a:avLst/>
                          </a:prstGeom>
                          <a:noFill/>
                          <a:ln>
                            <a:noFill/>
                          </a:ln>
                        </pic:spPr>
                      </pic:pic>
                    </a:graphicData>
                  </a:graphic>
                </wp:inline>
              </w:drawing>
            </w:r>
          </w:p>
          <w:p w14:paraId="00DB0688" w14:textId="302F51F4" w:rsidR="00877307" w:rsidRDefault="00877307" w:rsidP="00071EEC">
            <w:pPr>
              <w:jc w:val="center"/>
              <w:rPr>
                <w:rFonts w:ascii="Calibri" w:hAnsi="Calibri" w:cs="Calibri"/>
              </w:rPr>
            </w:pPr>
            <w:r w:rsidRPr="00877307">
              <w:rPr>
                <w:rFonts w:ascii="Calibri" w:hAnsi="Calibri" w:cs="Calibri"/>
              </w:rPr>
              <w:t>Les graines ovoïdes sont enveloppées dans un tégument sec rose à rouge.</w:t>
            </w:r>
          </w:p>
        </w:tc>
      </w:tr>
    </w:tbl>
    <w:p w14:paraId="49D703C8" w14:textId="77777777" w:rsidR="002B1519" w:rsidRDefault="002B1519" w:rsidP="002B1519">
      <w:pPr>
        <w:spacing w:after="0" w:line="240" w:lineRule="auto"/>
        <w:jc w:val="both"/>
        <w:rPr>
          <w:rFonts w:ascii="Calibri" w:hAnsi="Calibri" w:cs="Calibri"/>
        </w:rPr>
      </w:pPr>
    </w:p>
    <w:p w14:paraId="49A96389" w14:textId="2E2FEE48" w:rsidR="00224D3F" w:rsidRDefault="00224D3F" w:rsidP="00224D3F">
      <w:pPr>
        <w:pStyle w:val="Titre2"/>
      </w:pPr>
      <w:bookmarkStart w:id="187" w:name="_Toc139181478"/>
      <w:r w:rsidRPr="00224D3F">
        <w:t>Gesse commune, Pois carré, Lentille d'Espagne (</w:t>
      </w:r>
      <w:r w:rsidRPr="00224D3F">
        <w:rPr>
          <w:i/>
          <w:iCs/>
        </w:rPr>
        <w:t>Lathyrus sativus</w:t>
      </w:r>
      <w:r w:rsidRPr="00224D3F">
        <w:t>)</w:t>
      </w:r>
      <w:bookmarkEnd w:id="187"/>
    </w:p>
    <w:p w14:paraId="286EBEC2" w14:textId="7FD50DA2" w:rsidR="00852043" w:rsidRDefault="00852043" w:rsidP="00224D3F">
      <w:pPr>
        <w:spacing w:after="0" w:line="240" w:lineRule="auto"/>
        <w:jc w:val="both"/>
        <w:rPr>
          <w:rFonts w:ascii="Calibri" w:hAnsi="Calibri" w:cs="Calibri"/>
        </w:rPr>
      </w:pPr>
    </w:p>
    <w:p w14:paraId="54463BF2" w14:textId="1A425ABE" w:rsidR="00D7670E" w:rsidRPr="00876C77" w:rsidRDefault="00BD1B4F" w:rsidP="002E2EEC">
      <w:pPr>
        <w:pStyle w:val="NormalWeb"/>
        <w:shd w:val="clear" w:color="auto" w:fill="FFFFFF"/>
        <w:spacing w:before="0" w:beforeAutospacing="0" w:after="0" w:afterAutospacing="0"/>
        <w:jc w:val="both"/>
        <w:rPr>
          <w:rFonts w:ascii="Calibri" w:hAnsi="Calibri" w:cs="Arial"/>
          <w:color w:val="000000" w:themeColor="text1"/>
          <w:sz w:val="22"/>
          <w:szCs w:val="22"/>
        </w:rPr>
      </w:pPr>
      <w:r w:rsidRPr="00876C77">
        <w:rPr>
          <w:rFonts w:ascii="Calibri" w:hAnsi="Calibri" w:cs="Calibri"/>
          <w:color w:val="000000" w:themeColor="text1"/>
          <w:sz w:val="22"/>
          <w:szCs w:val="22"/>
        </w:rPr>
        <w:t xml:space="preserve">(Pour mention). </w:t>
      </w:r>
      <w:r w:rsidR="002E2EEC" w:rsidRPr="00876C77">
        <w:rPr>
          <w:rFonts w:ascii="Calibri" w:hAnsi="Calibri" w:cs="Calibri"/>
          <w:color w:val="000000" w:themeColor="text1"/>
          <w:sz w:val="22"/>
          <w:szCs w:val="22"/>
        </w:rPr>
        <w:t>C’</w:t>
      </w:r>
      <w:r w:rsidR="002E2EEC" w:rsidRPr="00876C77">
        <w:rPr>
          <w:rFonts w:ascii="Calibri" w:hAnsi="Calibri" w:cs="Arial"/>
          <w:color w:val="000000" w:themeColor="text1"/>
          <w:sz w:val="22"/>
          <w:szCs w:val="22"/>
        </w:rPr>
        <w:t>est une </w:t>
      </w:r>
      <w:hyperlink r:id="rId2131" w:tooltip="Plante annuelle" w:history="1">
        <w:r w:rsidR="002E2EEC" w:rsidRPr="00876C77">
          <w:rPr>
            <w:rStyle w:val="Lienhypertexte"/>
            <w:rFonts w:ascii="Calibri" w:hAnsi="Calibri" w:cs="Arial"/>
            <w:color w:val="0645AD"/>
            <w:sz w:val="22"/>
            <w:szCs w:val="22"/>
            <w:u w:val="none"/>
          </w:rPr>
          <w:t>plante annuelle</w:t>
        </w:r>
      </w:hyperlink>
      <w:r w:rsidR="002E2EEC" w:rsidRPr="00876C77">
        <w:rPr>
          <w:rFonts w:ascii="Calibri" w:hAnsi="Calibri" w:cs="Arial"/>
          <w:color w:val="202122"/>
          <w:sz w:val="22"/>
          <w:szCs w:val="22"/>
        </w:rPr>
        <w:t xml:space="preserve">, </w:t>
      </w:r>
      <w:r w:rsidR="002E2EEC" w:rsidRPr="00876C77">
        <w:rPr>
          <w:rFonts w:ascii="Calibri" w:hAnsi="Calibri" w:cs="Arial"/>
          <w:color w:val="000000" w:themeColor="text1"/>
          <w:sz w:val="22"/>
          <w:szCs w:val="22"/>
        </w:rPr>
        <w:t>de 30-60 cm de hauteur avec une forte racine, spontanée dans le bassin méditerranéen, connue pour ses graines également appelées </w:t>
      </w:r>
      <w:r w:rsidR="002E2EEC" w:rsidRPr="00876C77">
        <w:rPr>
          <w:rFonts w:ascii="Calibri" w:hAnsi="Calibri" w:cs="Arial"/>
          <w:i/>
          <w:iCs/>
          <w:color w:val="000000" w:themeColor="text1"/>
          <w:sz w:val="22"/>
          <w:szCs w:val="22"/>
        </w:rPr>
        <w:t>Gesse</w:t>
      </w:r>
      <w:r w:rsidR="002E2EEC" w:rsidRPr="00876C77">
        <w:rPr>
          <w:rFonts w:ascii="Calibri" w:hAnsi="Calibri" w:cs="Arial"/>
          <w:color w:val="000000" w:themeColor="text1"/>
          <w:sz w:val="22"/>
          <w:szCs w:val="22"/>
        </w:rPr>
        <w:t>. Ses graines sont des légumes secs consommés depuis le début du </w:t>
      </w:r>
      <w:hyperlink r:id="rId2132" w:tooltip="Néolithique" w:history="1">
        <w:r w:rsidR="002E2EEC" w:rsidRPr="00876C77">
          <w:rPr>
            <w:rStyle w:val="Lienhypertexte"/>
            <w:rFonts w:ascii="Calibri" w:hAnsi="Calibri" w:cs="Arial"/>
            <w:color w:val="0645AD"/>
            <w:sz w:val="22"/>
            <w:szCs w:val="22"/>
            <w:u w:val="none"/>
          </w:rPr>
          <w:t>néolithique</w:t>
        </w:r>
      </w:hyperlink>
      <w:r w:rsidR="002E2EEC" w:rsidRPr="00876C77">
        <w:rPr>
          <w:rFonts w:ascii="Calibri" w:hAnsi="Calibri" w:cs="Arial"/>
          <w:color w:val="202122"/>
          <w:sz w:val="22"/>
          <w:szCs w:val="22"/>
        </w:rPr>
        <w:t> </w:t>
      </w:r>
      <w:r w:rsidR="002E2EEC" w:rsidRPr="00876C77">
        <w:rPr>
          <w:rFonts w:ascii="Calibri" w:hAnsi="Calibri" w:cs="Arial"/>
          <w:color w:val="000000" w:themeColor="text1"/>
          <w:sz w:val="22"/>
          <w:szCs w:val="22"/>
        </w:rPr>
        <w:t xml:space="preserve">en Europe du Sud, en Inde du nord et dans la corne de l'Afrique. </w:t>
      </w:r>
      <w:r w:rsidRPr="00876C77">
        <w:rPr>
          <w:rFonts w:ascii="Calibri" w:hAnsi="Calibri" w:cs="Arial"/>
          <w:color w:val="000000" w:themeColor="text1"/>
          <w:sz w:val="22"/>
          <w:szCs w:val="22"/>
        </w:rPr>
        <w:t xml:space="preserve">Elle est </w:t>
      </w:r>
      <w:r w:rsidRPr="00876C77">
        <w:rPr>
          <w:rFonts w:ascii="Calibri" w:hAnsi="Calibri" w:cs="Arial"/>
          <w:color w:val="000000" w:themeColor="text1"/>
          <w:sz w:val="22"/>
          <w:szCs w:val="22"/>
          <w:shd w:val="clear" w:color="auto" w:fill="FFFFFF"/>
        </w:rPr>
        <w:t>couramment cultivée pour la consommation humaine et l’alimentation d</w:t>
      </w:r>
      <w:r w:rsidR="00876C77" w:rsidRPr="00876C77">
        <w:rPr>
          <w:rFonts w:ascii="Calibri" w:hAnsi="Calibri" w:cs="Arial"/>
          <w:color w:val="000000" w:themeColor="text1"/>
          <w:sz w:val="22"/>
          <w:szCs w:val="22"/>
          <w:shd w:val="clear" w:color="auto" w:fill="FFFFFF"/>
        </w:rPr>
        <w:t xml:space="preserve">u </w:t>
      </w:r>
      <w:hyperlink r:id="rId2133" w:tooltip="Bétail" w:history="1">
        <w:r w:rsidRPr="00876C77">
          <w:rPr>
            <w:rStyle w:val="Lienhypertexte"/>
            <w:rFonts w:ascii="Calibri" w:hAnsi="Calibri" w:cs="Arial"/>
            <w:color w:val="0645AD"/>
            <w:sz w:val="22"/>
            <w:szCs w:val="22"/>
            <w:shd w:val="clear" w:color="auto" w:fill="FFFFFF"/>
          </w:rPr>
          <w:t>bétail</w:t>
        </w:r>
      </w:hyperlink>
      <w:r w:rsidRPr="00876C77">
        <w:rPr>
          <w:rFonts w:ascii="Calibri" w:hAnsi="Calibri" w:cs="Arial"/>
          <w:color w:val="202122"/>
          <w:sz w:val="22"/>
          <w:szCs w:val="22"/>
          <w:shd w:val="clear" w:color="auto" w:fill="FFFFFF"/>
        </w:rPr>
        <w:t> </w:t>
      </w:r>
      <w:r w:rsidRPr="00876C77">
        <w:rPr>
          <w:rFonts w:ascii="Calibri" w:hAnsi="Calibri" w:cs="Arial"/>
          <w:color w:val="000000" w:themeColor="text1"/>
          <w:sz w:val="22"/>
          <w:szCs w:val="22"/>
          <w:shd w:val="clear" w:color="auto" w:fill="FFFFFF"/>
        </w:rPr>
        <w:t xml:space="preserve">en </w:t>
      </w:r>
      <w:hyperlink r:id="rId2134" w:tooltip="Asie" w:history="1">
        <w:r w:rsidRPr="00876C77">
          <w:rPr>
            <w:rStyle w:val="Lienhypertexte"/>
            <w:rFonts w:ascii="Calibri" w:hAnsi="Calibri" w:cs="Arial"/>
            <w:color w:val="0645AD"/>
            <w:sz w:val="22"/>
            <w:szCs w:val="22"/>
            <w:shd w:val="clear" w:color="auto" w:fill="FFFFFF"/>
          </w:rPr>
          <w:t>Asie</w:t>
        </w:r>
      </w:hyperlink>
      <w:r w:rsidRPr="00876C77">
        <w:rPr>
          <w:rFonts w:ascii="Calibri" w:hAnsi="Calibri" w:cs="Arial"/>
          <w:color w:val="202122"/>
          <w:sz w:val="22"/>
          <w:szCs w:val="22"/>
          <w:shd w:val="clear" w:color="auto" w:fill="FFFFFF"/>
        </w:rPr>
        <w:t> </w:t>
      </w:r>
      <w:r w:rsidRPr="00876C77">
        <w:rPr>
          <w:rFonts w:ascii="Calibri" w:hAnsi="Calibri" w:cs="Arial"/>
          <w:color w:val="000000" w:themeColor="text1"/>
          <w:sz w:val="22"/>
          <w:szCs w:val="22"/>
          <w:shd w:val="clear" w:color="auto" w:fill="FFFFFF"/>
        </w:rPr>
        <w:t xml:space="preserve">et en </w:t>
      </w:r>
      <w:hyperlink r:id="rId2135" w:tooltip="Afrique de l'Est" w:history="1">
        <w:r w:rsidRPr="00876C77">
          <w:rPr>
            <w:rStyle w:val="Lienhypertexte"/>
            <w:rFonts w:ascii="Calibri" w:hAnsi="Calibri" w:cs="Arial"/>
            <w:color w:val="0645AD"/>
            <w:sz w:val="22"/>
            <w:szCs w:val="22"/>
            <w:shd w:val="clear" w:color="auto" w:fill="FFFFFF"/>
          </w:rPr>
          <w:t>Afrique de l'Est</w:t>
        </w:r>
      </w:hyperlink>
      <w:r w:rsidRPr="00876C77">
        <w:rPr>
          <w:rFonts w:ascii="Calibri" w:hAnsi="Calibri" w:cs="Arial"/>
          <w:color w:val="202122"/>
          <w:sz w:val="22"/>
          <w:szCs w:val="22"/>
          <w:shd w:val="clear" w:color="auto" w:fill="FFFFFF"/>
        </w:rPr>
        <w:t>. C'est une culture particulièrement importante dans les zones sujettes à la</w:t>
      </w:r>
      <w:hyperlink r:id="rId2136" w:tooltip="Sécheresse" w:history="1">
        <w:r w:rsidRPr="00876C77">
          <w:rPr>
            <w:rStyle w:val="Lienhypertexte"/>
            <w:rFonts w:ascii="Calibri" w:hAnsi="Calibri" w:cs="Arial"/>
            <w:color w:val="0645AD"/>
            <w:sz w:val="22"/>
            <w:szCs w:val="22"/>
            <w:shd w:val="clear" w:color="auto" w:fill="FFFFFF"/>
          </w:rPr>
          <w:t> sécheresse</w:t>
        </w:r>
      </w:hyperlink>
      <w:r w:rsidRPr="00876C77">
        <w:rPr>
          <w:rFonts w:ascii="Calibri" w:hAnsi="Calibri" w:cs="Arial"/>
          <w:color w:val="202122"/>
          <w:sz w:val="22"/>
          <w:szCs w:val="22"/>
          <w:shd w:val="clear" w:color="auto" w:fill="FFFFFF"/>
        </w:rPr>
        <w:t> et à la</w:t>
      </w:r>
      <w:hyperlink r:id="rId2137" w:tooltip="Famine" w:history="1">
        <w:r w:rsidRPr="00876C77">
          <w:rPr>
            <w:rStyle w:val="Lienhypertexte"/>
            <w:rFonts w:ascii="Calibri" w:hAnsi="Calibri" w:cs="Arial"/>
            <w:color w:val="0645AD"/>
            <w:sz w:val="22"/>
            <w:szCs w:val="22"/>
            <w:shd w:val="clear" w:color="auto" w:fill="FFFFFF"/>
          </w:rPr>
          <w:t> famine</w:t>
        </w:r>
      </w:hyperlink>
      <w:r w:rsidRPr="00876C77">
        <w:rPr>
          <w:rFonts w:ascii="Calibri" w:hAnsi="Calibri" w:cs="Arial"/>
          <w:color w:val="202122"/>
          <w:sz w:val="22"/>
          <w:szCs w:val="22"/>
          <w:shd w:val="clear" w:color="auto" w:fill="FFFFFF"/>
        </w:rPr>
        <w:t xml:space="preserve">, </w:t>
      </w:r>
      <w:r w:rsidRPr="00876C77">
        <w:rPr>
          <w:rFonts w:ascii="Calibri" w:hAnsi="Calibri" w:cs="Arial"/>
          <w:color w:val="000000" w:themeColor="text1"/>
          <w:sz w:val="22"/>
          <w:szCs w:val="22"/>
          <w:shd w:val="clear" w:color="auto" w:fill="FFFFFF"/>
        </w:rPr>
        <w:t>et est considérée comme une « </w:t>
      </w:r>
      <w:r w:rsidRPr="00876C77">
        <w:rPr>
          <w:rFonts w:ascii="Calibri" w:hAnsi="Calibri" w:cs="Arial"/>
          <w:i/>
          <w:iCs/>
          <w:color w:val="000000" w:themeColor="text1"/>
          <w:sz w:val="22"/>
          <w:szCs w:val="22"/>
          <w:shd w:val="clear" w:color="auto" w:fill="FFFFFF"/>
        </w:rPr>
        <w:t>culture d'assurance</w:t>
      </w:r>
      <w:r w:rsidRPr="00876C77">
        <w:rPr>
          <w:rFonts w:ascii="Calibri" w:hAnsi="Calibri" w:cs="Arial"/>
          <w:color w:val="000000" w:themeColor="text1"/>
          <w:sz w:val="22"/>
          <w:szCs w:val="22"/>
          <w:shd w:val="clear" w:color="auto" w:fill="FFFFFF"/>
        </w:rPr>
        <w:t> » car elle produit des rendements fiables lorsque toutes les autres cultures échouent. </w:t>
      </w:r>
      <w:r w:rsidR="00876C77" w:rsidRPr="00876C77">
        <w:rPr>
          <w:rFonts w:ascii="Calibri" w:hAnsi="Calibri" w:cs="Arial"/>
          <w:color w:val="000000" w:themeColor="text1"/>
          <w:sz w:val="22"/>
          <w:szCs w:val="22"/>
        </w:rPr>
        <w:t xml:space="preserve"> </w:t>
      </w:r>
      <w:r w:rsidR="00D7670E" w:rsidRPr="00D7670E">
        <w:rPr>
          <w:rFonts w:ascii="Calibri" w:hAnsi="Calibri" w:cs="Arial"/>
          <w:color w:val="000000" w:themeColor="text1"/>
          <w:sz w:val="22"/>
          <w:szCs w:val="22"/>
        </w:rPr>
        <w:t>De nos jours, la gesse est largement cultivée sur de vastes régions en Asie (en particulier le Bangladesh, l'Inde, le Népal, le Pakistan et le Proche-Orient), en Europe méridionale et en Afrique du Nord, et dans une moindre mesure en Amérique, en Australie et en Afrique du Sud. En Afrique tropicale, elle est surtout cultivée en Ethiopie</w:t>
      </w:r>
      <w:r w:rsidR="00D7670E">
        <w:rPr>
          <w:rFonts w:ascii="Calibri" w:hAnsi="Calibri" w:cs="Arial"/>
          <w:color w:val="000000" w:themeColor="text1"/>
          <w:sz w:val="22"/>
          <w:szCs w:val="22"/>
        </w:rPr>
        <w:t xml:space="preserve"> </w:t>
      </w:r>
      <w:r w:rsidR="00D7670E" w:rsidRPr="00876C77">
        <w:rPr>
          <w:rFonts w:ascii="Calibri" w:hAnsi="Calibri" w:cs="Arial"/>
          <w:color w:val="000000" w:themeColor="text1"/>
          <w:sz w:val="22"/>
          <w:szCs w:val="22"/>
        </w:rPr>
        <w:t>(</w:t>
      </w:r>
      <w:r w:rsidR="00D7670E" w:rsidRPr="00876C77">
        <w:rPr>
          <w:rFonts w:ascii="Calibri" w:hAnsi="Calibri" w:cs="Arial"/>
          <w:i/>
          <w:iCs/>
          <w:color w:val="000000" w:themeColor="text1"/>
          <w:sz w:val="22"/>
          <w:szCs w:val="22"/>
        </w:rPr>
        <w:t>guaya</w:t>
      </w:r>
      <w:r w:rsidR="00D7670E" w:rsidRPr="00876C77">
        <w:rPr>
          <w:rFonts w:ascii="Calibri" w:hAnsi="Calibri" w:cs="Arial"/>
          <w:color w:val="000000" w:themeColor="text1"/>
          <w:sz w:val="22"/>
          <w:szCs w:val="22"/>
        </w:rPr>
        <w:t>)</w:t>
      </w:r>
      <w:r w:rsidR="00D7670E" w:rsidRPr="00D7670E">
        <w:rPr>
          <w:rFonts w:ascii="Calibri" w:hAnsi="Calibri" w:cs="Arial"/>
          <w:color w:val="000000" w:themeColor="text1"/>
          <w:sz w:val="22"/>
          <w:szCs w:val="22"/>
        </w:rPr>
        <w:t>, mais également au Soudan, en Erythrée, au Kenya, en Tanzanie, en Angola et à l'île Maurice.</w:t>
      </w:r>
      <w:r w:rsidR="00D7670E">
        <w:rPr>
          <w:rFonts w:ascii="Calibri" w:hAnsi="Calibri" w:cs="Arial"/>
          <w:color w:val="000000" w:themeColor="text1"/>
          <w:sz w:val="22"/>
          <w:szCs w:val="22"/>
        </w:rPr>
        <w:t xml:space="preserve"> </w:t>
      </w:r>
      <w:r w:rsidR="00D7670E" w:rsidRPr="00876C77">
        <w:rPr>
          <w:rFonts w:ascii="Calibri" w:hAnsi="Calibri" w:cs="Arial"/>
          <w:color w:val="000000" w:themeColor="text1"/>
          <w:sz w:val="22"/>
          <w:szCs w:val="22"/>
        </w:rPr>
        <w:t>On estime à 1 million d'hectares la surface ensemencée en gesse actuellement.</w:t>
      </w:r>
    </w:p>
    <w:p w14:paraId="2B78E9A7" w14:textId="41EA8823" w:rsidR="00224D3F" w:rsidRDefault="007C3D32" w:rsidP="00224D3F">
      <w:pPr>
        <w:spacing w:after="0" w:line="240" w:lineRule="auto"/>
        <w:jc w:val="both"/>
        <w:rPr>
          <w:rFonts w:ascii="Calibri" w:hAnsi="Calibri" w:cs="Calibri"/>
        </w:rPr>
      </w:pPr>
      <w:r w:rsidRPr="007C3D32">
        <w:rPr>
          <w:rFonts w:ascii="Calibri" w:hAnsi="Calibri" w:cs="Calibri"/>
          <w:u w:val="single"/>
        </w:rPr>
        <w:t>Description</w:t>
      </w:r>
      <w:r w:rsidRPr="007C3D32">
        <w:rPr>
          <w:rFonts w:ascii="Calibri" w:hAnsi="Calibri" w:cs="Calibri"/>
        </w:rPr>
        <w:t xml:space="preserve"> : Elle produit des gousses de 30-35 mm conten</w:t>
      </w:r>
      <w:r>
        <w:rPr>
          <w:rFonts w:ascii="Calibri" w:hAnsi="Calibri" w:cs="Calibri"/>
        </w:rPr>
        <w:t>a</w:t>
      </w:r>
      <w:r w:rsidRPr="007C3D32">
        <w:rPr>
          <w:rFonts w:ascii="Calibri" w:hAnsi="Calibri" w:cs="Calibri"/>
        </w:rPr>
        <w:t>nt des graines appelées également gesse. Leurs tiges sont couchées ou grimpantes, et mesurent 15 à 60, rarement 100 cm de long. Elles sont fortement ramifiées, s'étalant de 0,5 à 1,5 m de large. Les pétioles sont largement ailés (1 à 2,5 mm). Les folioles mesurent de 2,5 à 15 cm de long, de 3 à 7 mm de large, et sont au moins 3 fois plus longs que larges. Leur forme est linéaire-lancéolée à elliptique, ils ont 5 à 7 nervures longitudinales minces distinctes. Les stipules mesurent de 10 à 20 mm de long et de 2 à 5 mm de large.</w:t>
      </w:r>
    </w:p>
    <w:p w14:paraId="6FCF9C90" w14:textId="3A9C3FEB" w:rsidR="009F211A" w:rsidRDefault="00BD1B4F" w:rsidP="00224D3F">
      <w:pPr>
        <w:spacing w:after="0" w:line="240" w:lineRule="auto"/>
        <w:jc w:val="both"/>
        <w:rPr>
          <w:rFonts w:ascii="Calibri" w:hAnsi="Calibri" w:cs="Calibri"/>
        </w:rPr>
      </w:pPr>
      <w:r w:rsidRPr="00BD1B4F">
        <w:rPr>
          <w:rFonts w:ascii="Calibri" w:hAnsi="Calibri" w:cs="Calibri"/>
          <w:u w:val="single"/>
        </w:rPr>
        <w:t>Culture</w:t>
      </w:r>
      <w:r>
        <w:rPr>
          <w:rFonts w:ascii="Calibri" w:hAnsi="Calibri" w:cs="Calibri"/>
        </w:rPr>
        <w:t> : Elle</w:t>
      </w:r>
      <w:r w:rsidRPr="00BD1B4F">
        <w:rPr>
          <w:rFonts w:ascii="Calibri" w:hAnsi="Calibri" w:cs="Calibri"/>
        </w:rPr>
        <w:t xml:space="preserve"> pousse mieux à des températures moyennes situées entre 10 et 25 °C avec une pluviométrie moyenne de 400-650 mm par an. Comme d'autres légumineuses, </w:t>
      </w:r>
      <w:r>
        <w:rPr>
          <w:rFonts w:ascii="Calibri" w:hAnsi="Calibri" w:cs="Calibri"/>
        </w:rPr>
        <w:t>elle</w:t>
      </w:r>
      <w:r w:rsidRPr="00BD1B4F">
        <w:rPr>
          <w:rFonts w:ascii="Calibri" w:hAnsi="Calibri" w:cs="Calibri"/>
        </w:rPr>
        <w:t xml:space="preserve"> améliore la teneur en azote du sol. Sa culture peut survivre à la sécheresse ou à des inondations, mais elle pousse mieux dans les sols humides. </w:t>
      </w:r>
      <w:r>
        <w:rPr>
          <w:rFonts w:ascii="Calibri" w:hAnsi="Calibri" w:cs="Calibri"/>
        </w:rPr>
        <w:t>Elle</w:t>
      </w:r>
      <w:r w:rsidRPr="00BD1B4F">
        <w:rPr>
          <w:rFonts w:ascii="Calibri" w:hAnsi="Calibri" w:cs="Calibri"/>
        </w:rPr>
        <w:t xml:space="preserve"> tolère une gamme de types de sols</w:t>
      </w:r>
      <w:r w:rsidR="009F211A">
        <w:rPr>
          <w:rFonts w:ascii="Calibri" w:hAnsi="Calibri" w:cs="Calibri"/>
        </w:rPr>
        <w:t xml:space="preserve"> pauvres,</w:t>
      </w:r>
      <w:r w:rsidRPr="00BD1B4F">
        <w:rPr>
          <w:rFonts w:ascii="Calibri" w:hAnsi="Calibri" w:cs="Calibri"/>
        </w:rPr>
        <w:t xml:space="preserve"> acides, neutres</w:t>
      </w:r>
      <w:r w:rsidR="00B20D0C">
        <w:rPr>
          <w:rFonts w:ascii="Calibri" w:hAnsi="Calibri" w:cs="Calibri"/>
        </w:rPr>
        <w:t>, lourds</w:t>
      </w:r>
      <w:r w:rsidRPr="00BD1B4F">
        <w:rPr>
          <w:rFonts w:ascii="Calibri" w:hAnsi="Calibri" w:cs="Calibri"/>
        </w:rPr>
        <w:t xml:space="preserve"> ou alcalins</w:t>
      </w:r>
      <w:r w:rsidR="00B20D0C">
        <w:rPr>
          <w:rFonts w:ascii="Calibri" w:hAnsi="Calibri" w:cs="Calibri"/>
        </w:rPr>
        <w:t>,</w:t>
      </w:r>
      <w:r w:rsidRPr="00BD1B4F">
        <w:rPr>
          <w:rFonts w:ascii="Calibri" w:hAnsi="Calibri" w:cs="Calibri"/>
        </w:rPr>
        <w:t xml:space="preserve"> allant du sable limoneux à l'argile compacte</w:t>
      </w:r>
      <w:r w:rsidR="009F211A">
        <w:rPr>
          <w:rFonts w:ascii="Calibri" w:hAnsi="Calibri" w:cs="Calibri"/>
        </w:rPr>
        <w:t xml:space="preserve"> </w:t>
      </w:r>
      <w:r w:rsidR="00B20D0C" w:rsidRPr="006F56BA">
        <w:rPr>
          <w:rFonts w:ascii="Calibri" w:hAnsi="Calibri" w:cs="Calibri"/>
          <w:i/>
          <w:iCs/>
        </w:rPr>
        <w:t>. Elle tolère l'asphyxie racinaire et une salinité modérée</w:t>
      </w:r>
      <w:r w:rsidRPr="00BD1B4F">
        <w:rPr>
          <w:rFonts w:ascii="Calibri" w:hAnsi="Calibri" w:cs="Calibri"/>
        </w:rPr>
        <w:t>. Elle ne tolère pas l'ombre.</w:t>
      </w:r>
      <w:r w:rsidR="00B20D0C">
        <w:rPr>
          <w:rFonts w:ascii="Calibri" w:hAnsi="Calibri" w:cs="Calibri"/>
        </w:rPr>
        <w:t xml:space="preserve"> </w:t>
      </w:r>
      <w:r w:rsidR="009F211A" w:rsidRPr="009F211A">
        <w:rPr>
          <w:rFonts w:ascii="Calibri" w:hAnsi="Calibri" w:cs="Calibri"/>
        </w:rPr>
        <w:t xml:space="preserve">Elle pousse bien dans les régions subtropicales comme </w:t>
      </w:r>
      <w:r w:rsidR="009F211A" w:rsidRPr="009F211A">
        <w:rPr>
          <w:rFonts w:ascii="Calibri" w:hAnsi="Calibri" w:cs="Calibri"/>
        </w:rPr>
        <w:lastRenderedPageBreak/>
        <w:t>culture d'hiver</w:t>
      </w:r>
      <w:r w:rsidR="00B20D0C">
        <w:rPr>
          <w:rFonts w:ascii="Calibri" w:hAnsi="Calibri" w:cs="Calibri"/>
        </w:rPr>
        <w:t xml:space="preserve">. </w:t>
      </w:r>
      <w:r w:rsidR="009F211A" w:rsidRPr="009F211A">
        <w:rPr>
          <w:rFonts w:ascii="Calibri" w:hAnsi="Calibri" w:cs="Calibri"/>
        </w:rPr>
        <w:t>En Ethiopie, la gesse est souvent cultivée en saison sèche sur l'humidité résiduelle dans les sols noirs argileux lourds, à 1700–2700 m d'altitude. En Inde, c'est une culture de saison froide, jusqu'à 1200 m d'altitude.</w:t>
      </w:r>
      <w:r w:rsidR="006F56BA">
        <w:rPr>
          <w:rFonts w:ascii="Calibri" w:hAnsi="Calibri" w:cs="Calibri"/>
        </w:rPr>
        <w:t xml:space="preserve"> </w:t>
      </w:r>
      <w:r w:rsidR="006F56BA" w:rsidRPr="006F56BA">
        <w:rPr>
          <w:rFonts w:ascii="Calibri" w:hAnsi="Calibri" w:cs="Calibri"/>
        </w:rPr>
        <w:t>Souvent, la gesse ne reçoit pratiquement aucun soin après avoir été semée, bien que pour des rendements optimaux, il vaut mieux enlever le gros des mauvaises herbes.</w:t>
      </w:r>
    </w:p>
    <w:p w14:paraId="65B94D75" w14:textId="7B44EFB0" w:rsidR="006F56BA" w:rsidRDefault="006F56BA" w:rsidP="006F56BA">
      <w:pPr>
        <w:spacing w:after="0" w:line="240" w:lineRule="auto"/>
        <w:jc w:val="both"/>
        <w:rPr>
          <w:rFonts w:ascii="Calibri" w:hAnsi="Calibri" w:cs="Calibri"/>
        </w:rPr>
      </w:pPr>
      <w:r w:rsidRPr="006F56BA">
        <w:rPr>
          <w:rFonts w:ascii="Calibri" w:hAnsi="Calibri" w:cs="Calibri"/>
        </w:rPr>
        <w:t>La gesse se cultive soit en culture pure, soit en association, par ex. avec de l'orge, du lin ou des pois chiches. Dans de nombreux pays, la gesse est produite dans des systèmes de riziculture, avant ou en alternance avec le riz. En Inde, la gesse est souvent cultivée comme culture de relais : elle se sème à la volée dans une culture de riz sur pied, 2 semaines environ avant la récolte du riz, et on la fait pousser sur l'humidité résiduelle.</w:t>
      </w:r>
      <w:r>
        <w:rPr>
          <w:rFonts w:ascii="Calibri" w:hAnsi="Calibri" w:cs="Calibri"/>
        </w:rPr>
        <w:t xml:space="preserve"> </w:t>
      </w:r>
      <w:r w:rsidRPr="006F56BA">
        <w:rPr>
          <w:rFonts w:ascii="Calibri" w:hAnsi="Calibri" w:cs="Calibri"/>
        </w:rPr>
        <w:t>En Ethiopie, la gesse se cultive en rotation l'orge ou parfois un légume sec, tel que pois ou pois chiche, semé en avril et après en juillet.</w:t>
      </w:r>
    </w:p>
    <w:p w14:paraId="4FCAF641" w14:textId="1EAC225C" w:rsidR="006F56BA" w:rsidRDefault="006F56BA" w:rsidP="00224D3F">
      <w:pPr>
        <w:spacing w:after="0" w:line="240" w:lineRule="auto"/>
        <w:jc w:val="both"/>
        <w:rPr>
          <w:rFonts w:ascii="Calibri" w:hAnsi="Calibri" w:cs="Calibri"/>
        </w:rPr>
      </w:pPr>
      <w:r w:rsidRPr="006F56BA">
        <w:rPr>
          <w:rFonts w:ascii="Calibri" w:hAnsi="Calibri" w:cs="Calibri"/>
          <w:u w:val="single"/>
        </w:rPr>
        <w:t>Multiplication et plantation</w:t>
      </w:r>
      <w:r w:rsidRPr="006F56BA">
        <w:rPr>
          <w:rFonts w:ascii="Calibri" w:hAnsi="Calibri" w:cs="Calibri"/>
        </w:rPr>
        <w:t xml:space="preserve"> : La gesse se multiplie par graines. Le poids de 1000 graines est de 30–300 g. En Ethiopie, le lit de semis n'a pas besoin d'être fin.  On sème les graines à la volée ou en sillons après les avoir éventuellement fait tremper dans l'eau pendant une nuit. Des densités de 200 000–250 000 plantes/ha sont courantes. En Ethiopie, la gesse est généralement semée en septembre–novembre et recueillie en janvier–avril.</w:t>
      </w:r>
    </w:p>
    <w:p w14:paraId="4CAEDACB" w14:textId="4ADC63CA" w:rsidR="006F56BA" w:rsidRPr="006F56BA" w:rsidRDefault="006F56BA" w:rsidP="00224D3F">
      <w:pPr>
        <w:spacing w:after="0" w:line="240" w:lineRule="auto"/>
        <w:jc w:val="both"/>
      </w:pPr>
      <w:r w:rsidRPr="006F56BA">
        <w:rPr>
          <w:rFonts w:ascii="Calibri" w:hAnsi="Calibri" w:cs="Calibri"/>
          <w:u w:val="single"/>
        </w:rPr>
        <w:t>Rendements</w:t>
      </w:r>
      <w:r>
        <w:rPr>
          <w:rFonts w:ascii="Calibri" w:hAnsi="Calibri" w:cs="Calibri"/>
        </w:rPr>
        <w:t xml:space="preserve"> : </w:t>
      </w:r>
      <w:r w:rsidRPr="006F56BA">
        <w:rPr>
          <w:rFonts w:ascii="Calibri" w:hAnsi="Calibri" w:cs="Calibri"/>
        </w:rPr>
        <w:tab/>
        <w:t>Le rendement moyen en graines de gesse est de 350–700 kg/ha ; en Ethiopie, il avoisine les 700 kg/ha. Lors d'essais menés récemment dans différents pays,</w:t>
      </w:r>
      <w:r>
        <w:rPr>
          <w:rFonts w:ascii="Calibri" w:hAnsi="Calibri" w:cs="Calibri"/>
        </w:rPr>
        <w:t xml:space="preserve"> on a obtenu</w:t>
      </w:r>
      <w:r w:rsidRPr="006F56BA">
        <w:rPr>
          <w:rFonts w:ascii="Calibri" w:hAnsi="Calibri" w:cs="Calibri"/>
        </w:rPr>
        <w:t xml:space="preserve"> </w:t>
      </w:r>
      <w:r>
        <w:rPr>
          <w:rFonts w:ascii="Calibri" w:hAnsi="Calibri" w:cs="Calibri"/>
        </w:rPr>
        <w:t xml:space="preserve">des </w:t>
      </w:r>
      <w:r w:rsidRPr="006F56BA">
        <w:rPr>
          <w:rFonts w:ascii="Calibri" w:hAnsi="Calibri" w:cs="Calibri"/>
        </w:rPr>
        <w:t>niveaux de rendements de 1500 à 3000 kg/ha.</w:t>
      </w:r>
    </w:p>
    <w:p w14:paraId="51477A15" w14:textId="6170AAB0" w:rsidR="00BD1B4F" w:rsidRDefault="00BD1B4F" w:rsidP="00224D3F">
      <w:pPr>
        <w:spacing w:after="0" w:line="240" w:lineRule="auto"/>
        <w:jc w:val="both"/>
        <w:rPr>
          <w:rFonts w:ascii="Calibri" w:hAnsi="Calibri" w:cs="Arial"/>
          <w:color w:val="000000" w:themeColor="text1"/>
          <w:shd w:val="clear" w:color="auto" w:fill="FFFFFF"/>
        </w:rPr>
      </w:pPr>
      <w:r w:rsidRPr="00BD1B4F">
        <w:rPr>
          <w:rFonts w:ascii="Calibri" w:hAnsi="Calibri" w:cs="Calibri"/>
          <w:b/>
          <w:bCs/>
          <w:u w:val="single"/>
        </w:rPr>
        <w:t>Toxicité</w:t>
      </w:r>
      <w:r>
        <w:rPr>
          <w:rFonts w:ascii="Calibri" w:hAnsi="Calibri" w:cs="Calibri"/>
        </w:rPr>
        <w:t xml:space="preserve"> : </w:t>
      </w:r>
      <w:r w:rsidRPr="00BD1B4F">
        <w:rPr>
          <w:rFonts w:ascii="Calibri" w:hAnsi="Calibri" w:cs="Arial"/>
          <w:color w:val="000000" w:themeColor="text1"/>
          <w:shd w:val="clear" w:color="auto" w:fill="FFFFFF"/>
        </w:rPr>
        <w:t xml:space="preserve">La gesse contient un neurotoxique, le </w:t>
      </w:r>
      <w:r w:rsidRPr="00D7670E">
        <w:rPr>
          <w:rFonts w:ascii="Calibri" w:hAnsi="Calibri" w:cs="Arial"/>
          <w:b/>
          <w:bCs/>
          <w:color w:val="000000" w:themeColor="text1"/>
          <w:shd w:val="clear" w:color="auto" w:fill="FFFFFF"/>
        </w:rPr>
        <w:t>βODAP</w:t>
      </w:r>
      <w:r w:rsidRPr="00BD1B4F">
        <w:rPr>
          <w:rFonts w:ascii="Calibri" w:hAnsi="Calibri" w:cs="Arial"/>
          <w:color w:val="000000" w:themeColor="text1"/>
          <w:shd w:val="clear" w:color="auto" w:fill="FFFFFF"/>
        </w:rPr>
        <w:t>, acide aminé β-N-oxalyle-L-alpha β-diaminopropionique qui provoque une paralysie douloureuse et irréversible des jambes accompagnée de tremblements, d'incontinence, le </w:t>
      </w:r>
      <w:hyperlink r:id="rId2138" w:tooltip="Lathyrisme" w:history="1">
        <w:r w:rsidRPr="00BD1B4F">
          <w:rPr>
            <w:rStyle w:val="Lienhypertexte"/>
            <w:rFonts w:ascii="Calibri" w:hAnsi="Calibri" w:cs="Arial"/>
            <w:color w:val="0645AD"/>
            <w:shd w:val="clear" w:color="auto" w:fill="FFFFFF"/>
          </w:rPr>
          <w:t>lathyrisme</w:t>
        </w:r>
      </w:hyperlink>
      <w:r w:rsidRPr="00BD1B4F">
        <w:rPr>
          <w:rFonts w:ascii="Calibri" w:hAnsi="Calibri" w:cs="Arial"/>
          <w:color w:val="202122"/>
          <w:shd w:val="clear" w:color="auto" w:fill="FFFFFF"/>
        </w:rPr>
        <w:t xml:space="preserve">, </w:t>
      </w:r>
      <w:r w:rsidRPr="00BD1B4F">
        <w:rPr>
          <w:rFonts w:ascii="Calibri" w:hAnsi="Calibri" w:cs="Arial"/>
          <w:color w:val="000000" w:themeColor="text1"/>
          <w:shd w:val="clear" w:color="auto" w:fill="FFFFFF"/>
        </w:rPr>
        <w:t>évoquant la </w:t>
      </w:r>
      <w:hyperlink r:id="rId2139" w:tooltip="Sclérose en plaques" w:history="1">
        <w:r w:rsidRPr="00BD1B4F">
          <w:rPr>
            <w:rStyle w:val="Lienhypertexte"/>
            <w:rFonts w:ascii="Calibri" w:hAnsi="Calibri" w:cs="Arial"/>
            <w:color w:val="0645AD"/>
            <w:shd w:val="clear" w:color="auto" w:fill="FFFFFF"/>
          </w:rPr>
          <w:t>sclérose en plaques</w:t>
        </w:r>
      </w:hyperlink>
      <w:r w:rsidRPr="00BD1B4F">
        <w:rPr>
          <w:rFonts w:ascii="Calibri" w:hAnsi="Calibri" w:cs="Arial"/>
          <w:color w:val="202122"/>
          <w:shd w:val="clear" w:color="auto" w:fill="FFFFFF"/>
        </w:rPr>
        <w:t xml:space="preserve">, </w:t>
      </w:r>
      <w:r w:rsidRPr="00BD1B4F">
        <w:rPr>
          <w:rFonts w:ascii="Calibri" w:hAnsi="Calibri" w:cs="Arial"/>
          <w:color w:val="000000" w:themeColor="text1"/>
          <w:shd w:val="clear" w:color="auto" w:fill="FFFFFF"/>
        </w:rPr>
        <w:t>en cas de forte consommation (plus de 30 % de l'alimentation).</w:t>
      </w:r>
    </w:p>
    <w:p w14:paraId="0761A3E6" w14:textId="43620866" w:rsidR="00BD1B4F" w:rsidRPr="00BD1B4F" w:rsidRDefault="00BD1B4F" w:rsidP="00BD1B4F">
      <w:pPr>
        <w:pStyle w:val="NormalWeb"/>
        <w:shd w:val="clear" w:color="auto" w:fill="FFFFFF"/>
        <w:spacing w:before="0" w:beforeAutospacing="0" w:after="0" w:afterAutospacing="0"/>
        <w:jc w:val="both"/>
        <w:rPr>
          <w:rFonts w:ascii="Calibri" w:hAnsi="Calibri" w:cs="Arial"/>
          <w:color w:val="202122"/>
          <w:sz w:val="22"/>
          <w:szCs w:val="22"/>
        </w:rPr>
      </w:pPr>
      <w:r w:rsidRPr="00BD1B4F">
        <w:rPr>
          <w:rFonts w:ascii="Calibri" w:hAnsi="Calibri" w:cs="Arial"/>
          <w:color w:val="000000" w:themeColor="text1"/>
          <w:sz w:val="22"/>
          <w:szCs w:val="22"/>
        </w:rPr>
        <w:t xml:space="preserve">Depuis les années 2000, diverses recherches sont conduites pour améliorer la gesse et en réduire le niveau de βODAP, et </w:t>
      </w:r>
      <w:r w:rsidRPr="00D7670E">
        <w:rPr>
          <w:rFonts w:ascii="Calibri" w:hAnsi="Calibri" w:cs="Arial"/>
          <w:i/>
          <w:iCs/>
          <w:color w:val="000000" w:themeColor="text1"/>
          <w:sz w:val="22"/>
          <w:szCs w:val="22"/>
        </w:rPr>
        <w:t>pour comprendre le mécanisme d'adaptation à la sécheresse de la gesse</w:t>
      </w:r>
      <w:r w:rsidRPr="00BD1B4F">
        <w:rPr>
          <w:rFonts w:ascii="Calibri" w:hAnsi="Calibri" w:cs="Arial"/>
          <w:color w:val="000000" w:themeColor="text1"/>
          <w:sz w:val="22"/>
          <w:szCs w:val="22"/>
        </w:rPr>
        <w:t>. Une publication parue dans Russian Journal of Genetics 48, numéro 2 (2012) laisse penser que des mutants homogènes sont sur le point d'être sélectionnés, les ressources du génie génétique devraient permettre d'aboutir rapidement, les facteurs affectant le contenu en β-ODAP ont été décrits en 2011 par des universitaires chinois</w:t>
      </w:r>
      <w:r>
        <w:rPr>
          <w:rStyle w:val="Appelnotedebasdep"/>
          <w:rFonts w:ascii="Calibri" w:hAnsi="Calibri" w:cs="Arial"/>
          <w:color w:val="000000" w:themeColor="text1"/>
          <w:sz w:val="22"/>
          <w:szCs w:val="22"/>
        </w:rPr>
        <w:footnoteReference w:id="126"/>
      </w:r>
      <w:r w:rsidRPr="00BD1B4F">
        <w:rPr>
          <w:rFonts w:ascii="Calibri" w:hAnsi="Calibri" w:cs="Arial"/>
          <w:color w:val="000000" w:themeColor="text1"/>
          <w:sz w:val="22"/>
          <w:szCs w:val="22"/>
        </w:rPr>
        <w:t>, le principal est le </w:t>
      </w:r>
      <w:hyperlink r:id="rId2140" w:tooltip="Stress hydrique (biologie)" w:history="1">
        <w:r w:rsidRPr="00BD1B4F">
          <w:rPr>
            <w:rStyle w:val="Lienhypertexte"/>
            <w:rFonts w:ascii="Calibri" w:hAnsi="Calibri" w:cs="Arial"/>
            <w:color w:val="0645AD"/>
            <w:sz w:val="22"/>
            <w:szCs w:val="22"/>
            <w:u w:val="none"/>
          </w:rPr>
          <w:t>stress hydrique</w:t>
        </w:r>
      </w:hyperlink>
      <w:r w:rsidR="00D7670E">
        <w:rPr>
          <w:rStyle w:val="Appelnotedebasdep"/>
          <w:rFonts w:ascii="Calibri" w:hAnsi="Calibri" w:cs="Arial"/>
          <w:color w:val="202122"/>
          <w:sz w:val="22"/>
          <w:szCs w:val="22"/>
        </w:rPr>
        <w:footnoteReference w:id="127"/>
      </w:r>
      <w:r w:rsidRPr="00BD1B4F">
        <w:rPr>
          <w:rFonts w:ascii="Calibri" w:hAnsi="Calibri" w:cs="Arial"/>
          <w:color w:val="202122"/>
          <w:sz w:val="22"/>
          <w:szCs w:val="22"/>
        </w:rPr>
        <w:t>.</w:t>
      </w:r>
    </w:p>
    <w:p w14:paraId="47D956B7" w14:textId="28F5CD4C" w:rsidR="00BD1B4F" w:rsidRPr="00BD1B4F" w:rsidRDefault="00D7670E" w:rsidP="00BD1B4F">
      <w:pPr>
        <w:pStyle w:val="NormalWeb"/>
        <w:shd w:val="clear" w:color="auto" w:fill="FFFFFF"/>
        <w:spacing w:before="0" w:beforeAutospacing="0" w:after="0" w:afterAutospacing="0"/>
        <w:jc w:val="both"/>
        <w:rPr>
          <w:rFonts w:ascii="Calibri" w:hAnsi="Calibri" w:cs="Arial"/>
          <w:color w:val="000000" w:themeColor="text1"/>
          <w:sz w:val="22"/>
          <w:szCs w:val="22"/>
        </w:rPr>
      </w:pPr>
      <w:r>
        <w:rPr>
          <w:rFonts w:ascii="Calibri" w:hAnsi="Calibri" w:cs="Arial"/>
          <w:color w:val="000000" w:themeColor="text1"/>
          <w:sz w:val="22"/>
          <w:szCs w:val="22"/>
        </w:rPr>
        <w:t>L</w:t>
      </w:r>
      <w:r w:rsidR="00BD1B4F" w:rsidRPr="00BD1B4F">
        <w:rPr>
          <w:rFonts w:ascii="Calibri" w:hAnsi="Calibri" w:cs="Arial"/>
          <w:color w:val="000000" w:themeColor="text1"/>
          <w:sz w:val="22"/>
          <w:szCs w:val="22"/>
        </w:rPr>
        <w:t xml:space="preserve">a gesse cultivée est maintenant considérée comme une </w:t>
      </w:r>
      <w:r w:rsidR="00BD1B4F" w:rsidRPr="00BD1B4F">
        <w:rPr>
          <w:rFonts w:ascii="Calibri" w:hAnsi="Calibri" w:cs="Arial"/>
          <w:i/>
          <w:iCs/>
          <w:color w:val="000000" w:themeColor="text1"/>
          <w:sz w:val="22"/>
          <w:szCs w:val="22"/>
        </w:rPr>
        <w:t>plante d'avenir, elle peut être produite dans des conditions climatiques moins exigeantes que les céréales</w:t>
      </w:r>
      <w:r w:rsidR="00BD1B4F" w:rsidRPr="00BD1B4F">
        <w:rPr>
          <w:rFonts w:ascii="Calibri" w:hAnsi="Calibri" w:cs="Arial"/>
          <w:color w:val="000000" w:themeColor="text1"/>
          <w:sz w:val="22"/>
          <w:szCs w:val="22"/>
        </w:rPr>
        <w:t>. Des essais sont réalisés pour incorporer la farine de gesse dans le pain.</w:t>
      </w:r>
    </w:p>
    <w:p w14:paraId="52A4E647" w14:textId="78D1B373" w:rsidR="00BD1B4F" w:rsidRDefault="00BD1B4F" w:rsidP="00224D3F">
      <w:pPr>
        <w:spacing w:after="0" w:line="240" w:lineRule="auto"/>
        <w:jc w:val="both"/>
        <w:rPr>
          <w:rFonts w:ascii="Calibri" w:hAnsi="Calibri" w:cs="Calibri"/>
        </w:rPr>
      </w:pPr>
      <w:r>
        <w:rPr>
          <w:rFonts w:ascii="Calibri" w:hAnsi="Calibri" w:cs="Calibri"/>
        </w:rPr>
        <w:t xml:space="preserve">Sources : a) </w:t>
      </w:r>
      <w:hyperlink r:id="rId2141" w:history="1">
        <w:r w:rsidRPr="00EF49E5">
          <w:rPr>
            <w:rStyle w:val="Lienhypertexte"/>
            <w:rFonts w:ascii="Calibri" w:hAnsi="Calibri" w:cs="Calibri"/>
          </w:rPr>
          <w:t>https://fr.wikipedia.org/wiki/Lathyrus_sativus</w:t>
        </w:r>
      </w:hyperlink>
      <w:r>
        <w:rPr>
          <w:rFonts w:ascii="Calibri" w:hAnsi="Calibri" w:cs="Calibri"/>
        </w:rPr>
        <w:t xml:space="preserve">, b) </w:t>
      </w:r>
      <w:hyperlink r:id="rId2142" w:history="1">
        <w:r w:rsidRPr="00EF49E5">
          <w:rPr>
            <w:rStyle w:val="Lienhypertexte"/>
            <w:rFonts w:ascii="Calibri" w:hAnsi="Calibri" w:cs="Calibri"/>
          </w:rPr>
          <w:t>https://en.wikipedia.org/wiki/Lathyrus_sativus</w:t>
        </w:r>
      </w:hyperlink>
      <w:r>
        <w:rPr>
          <w:rFonts w:ascii="Calibri" w:hAnsi="Calibri" w:cs="Calibri"/>
        </w:rPr>
        <w:t xml:space="preserve">, </w:t>
      </w:r>
    </w:p>
    <w:p w14:paraId="1FDE30A0" w14:textId="604C4C57" w:rsidR="00D7670E" w:rsidRDefault="00D7670E" w:rsidP="00224D3F">
      <w:pPr>
        <w:spacing w:after="0" w:line="240" w:lineRule="auto"/>
        <w:jc w:val="both"/>
        <w:rPr>
          <w:rFonts w:ascii="Calibri" w:hAnsi="Calibri" w:cs="Calibri"/>
        </w:rPr>
      </w:pPr>
      <w:r>
        <w:rPr>
          <w:rFonts w:ascii="Calibri" w:hAnsi="Calibri" w:cs="Calibri"/>
        </w:rPr>
        <w:t xml:space="preserve">c) </w:t>
      </w:r>
      <w:hyperlink r:id="rId2143" w:history="1">
        <w:r w:rsidRPr="00EF49E5">
          <w:rPr>
            <w:rStyle w:val="Lienhypertexte"/>
            <w:rFonts w:ascii="Calibri" w:hAnsi="Calibri" w:cs="Calibri"/>
          </w:rPr>
          <w:t>https://www.prota4u.org/database/protav8.asp?fr=1&amp;g=pe&amp;p=Lathyrus+sativus+L</w:t>
        </w:r>
      </w:hyperlink>
      <w:r w:rsidRPr="00D7670E">
        <w:rPr>
          <w:rFonts w:ascii="Calibri" w:hAnsi="Calibri" w:cs="Calibri"/>
        </w:rPr>
        <w:t>.</w:t>
      </w:r>
      <w:r>
        <w:rPr>
          <w:rFonts w:ascii="Calibri" w:hAnsi="Calibri" w:cs="Calibri"/>
        </w:rPr>
        <w:t xml:space="preserve"> </w:t>
      </w:r>
    </w:p>
    <w:p w14:paraId="73645850" w14:textId="252B2D98" w:rsidR="00852043" w:rsidRDefault="00852043" w:rsidP="004A7E7F">
      <w:pPr>
        <w:spacing w:after="0" w:line="240" w:lineRule="auto"/>
        <w:rPr>
          <w:rFonts w:ascii="Calibri" w:hAnsi="Calibri" w:cs="Calibri"/>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042D7F" w14:paraId="0EAC081F" w14:textId="77777777" w:rsidTr="007E264E">
        <w:tc>
          <w:tcPr>
            <w:tcW w:w="3472" w:type="dxa"/>
          </w:tcPr>
          <w:p w14:paraId="224FB7AD" w14:textId="77777777" w:rsidR="00042D7F" w:rsidRDefault="00042D7F" w:rsidP="00042D7F">
            <w:pPr>
              <w:jc w:val="center"/>
              <w:rPr>
                <w:rFonts w:ascii="Calibri" w:hAnsi="Calibri" w:cs="Calibri"/>
              </w:rPr>
            </w:pPr>
            <w:r>
              <w:rPr>
                <w:noProof/>
              </w:rPr>
              <w:drawing>
                <wp:inline distT="0" distB="0" distL="0" distR="0" wp14:anchorId="73DE69B1" wp14:editId="6FD554D3">
                  <wp:extent cx="1762125" cy="2351504"/>
                  <wp:effectExtent l="0" t="0" r="0" b="0"/>
                  <wp:docPr id="101387" name="Image 101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144">
                            <a:extLst>
                              <a:ext uri="{28A0092B-C50C-407E-A947-70E740481C1C}">
                                <a14:useLocalDpi xmlns:a14="http://schemas.microsoft.com/office/drawing/2010/main" val="0"/>
                              </a:ext>
                            </a:extLst>
                          </a:blip>
                          <a:srcRect/>
                          <a:stretch>
                            <a:fillRect/>
                          </a:stretch>
                        </pic:blipFill>
                        <pic:spPr bwMode="auto">
                          <a:xfrm>
                            <a:off x="0" y="0"/>
                            <a:ext cx="1775381" cy="2369194"/>
                          </a:xfrm>
                          <a:prstGeom prst="rect">
                            <a:avLst/>
                          </a:prstGeom>
                          <a:noFill/>
                          <a:ln>
                            <a:noFill/>
                          </a:ln>
                        </pic:spPr>
                      </pic:pic>
                    </a:graphicData>
                  </a:graphic>
                </wp:inline>
              </w:drawing>
            </w:r>
          </w:p>
          <w:p w14:paraId="22FD39F2" w14:textId="67C81948" w:rsidR="007E264E" w:rsidRDefault="00042D7F" w:rsidP="00E70A1D">
            <w:pPr>
              <w:jc w:val="center"/>
              <w:rPr>
                <w:rFonts w:ascii="Calibri" w:hAnsi="Calibri" w:cs="Calibri"/>
              </w:rPr>
            </w:pPr>
            <w:r>
              <w:rPr>
                <w:rFonts w:ascii="Calibri" w:hAnsi="Calibri" w:cs="Calibri"/>
              </w:rPr>
              <w:t>Fleurs</w:t>
            </w:r>
          </w:p>
        </w:tc>
        <w:tc>
          <w:tcPr>
            <w:tcW w:w="3472" w:type="dxa"/>
          </w:tcPr>
          <w:p w14:paraId="2AD05F1E" w14:textId="77777777" w:rsidR="00042D7F" w:rsidRDefault="007E264E" w:rsidP="00042D7F">
            <w:pPr>
              <w:jc w:val="center"/>
              <w:rPr>
                <w:rFonts w:ascii="Calibri" w:hAnsi="Calibri" w:cs="Calibri"/>
              </w:rPr>
            </w:pPr>
            <w:r>
              <w:rPr>
                <w:noProof/>
              </w:rPr>
              <w:drawing>
                <wp:inline distT="0" distB="0" distL="0" distR="0" wp14:anchorId="353D713C" wp14:editId="228D27C4">
                  <wp:extent cx="1752600" cy="2340236"/>
                  <wp:effectExtent l="0" t="0" r="0" b="3175"/>
                  <wp:docPr id="101388" name="Image 101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145">
                            <a:extLst>
                              <a:ext uri="{28A0092B-C50C-407E-A947-70E740481C1C}">
                                <a14:useLocalDpi xmlns:a14="http://schemas.microsoft.com/office/drawing/2010/main" val="0"/>
                              </a:ext>
                            </a:extLst>
                          </a:blip>
                          <a:srcRect/>
                          <a:stretch>
                            <a:fillRect/>
                          </a:stretch>
                        </pic:blipFill>
                        <pic:spPr bwMode="auto">
                          <a:xfrm>
                            <a:off x="0" y="0"/>
                            <a:ext cx="1753879" cy="2341943"/>
                          </a:xfrm>
                          <a:prstGeom prst="rect">
                            <a:avLst/>
                          </a:prstGeom>
                          <a:noFill/>
                          <a:ln>
                            <a:noFill/>
                          </a:ln>
                        </pic:spPr>
                      </pic:pic>
                    </a:graphicData>
                  </a:graphic>
                </wp:inline>
              </w:drawing>
            </w:r>
          </w:p>
          <w:p w14:paraId="67A4C1D1" w14:textId="4738F6D8" w:rsidR="007E264E" w:rsidRDefault="007E264E" w:rsidP="00042D7F">
            <w:pPr>
              <w:jc w:val="center"/>
              <w:rPr>
                <w:rFonts w:ascii="Calibri" w:hAnsi="Calibri" w:cs="Calibri"/>
              </w:rPr>
            </w:pPr>
            <w:r>
              <w:rPr>
                <w:rFonts w:ascii="Calibri" w:hAnsi="Calibri" w:cs="Calibri"/>
              </w:rPr>
              <w:t>Gousses</w:t>
            </w:r>
          </w:p>
        </w:tc>
        <w:tc>
          <w:tcPr>
            <w:tcW w:w="3472" w:type="dxa"/>
          </w:tcPr>
          <w:p w14:paraId="629E9457" w14:textId="624F8773" w:rsidR="00042D7F" w:rsidRDefault="007E264E" w:rsidP="00042D7F">
            <w:pPr>
              <w:jc w:val="center"/>
              <w:rPr>
                <w:rFonts w:ascii="Calibri" w:hAnsi="Calibri" w:cs="Calibri"/>
              </w:rPr>
            </w:pPr>
            <w:r>
              <w:rPr>
                <w:noProof/>
              </w:rPr>
              <w:drawing>
                <wp:inline distT="0" distB="0" distL="0" distR="0" wp14:anchorId="420BADA6" wp14:editId="27FFAC97">
                  <wp:extent cx="1801249" cy="1543050"/>
                  <wp:effectExtent l="0" t="0" r="8890" b="0"/>
                  <wp:docPr id="101389" name="Image 10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146">
                            <a:extLst>
                              <a:ext uri="{28A0092B-C50C-407E-A947-70E740481C1C}">
                                <a14:useLocalDpi xmlns:a14="http://schemas.microsoft.com/office/drawing/2010/main" val="0"/>
                              </a:ext>
                            </a:extLst>
                          </a:blip>
                          <a:srcRect/>
                          <a:stretch>
                            <a:fillRect/>
                          </a:stretch>
                        </pic:blipFill>
                        <pic:spPr bwMode="auto">
                          <a:xfrm>
                            <a:off x="0" y="0"/>
                            <a:ext cx="1813228" cy="1553312"/>
                          </a:xfrm>
                          <a:prstGeom prst="rect">
                            <a:avLst/>
                          </a:prstGeom>
                          <a:noFill/>
                          <a:ln>
                            <a:noFill/>
                          </a:ln>
                        </pic:spPr>
                      </pic:pic>
                    </a:graphicData>
                  </a:graphic>
                </wp:inline>
              </w:drawing>
            </w:r>
          </w:p>
          <w:p w14:paraId="200C4077" w14:textId="77777777" w:rsidR="007E264E" w:rsidRDefault="007E264E" w:rsidP="00042D7F">
            <w:pPr>
              <w:jc w:val="center"/>
              <w:rPr>
                <w:rFonts w:ascii="Calibri" w:hAnsi="Calibri" w:cs="Calibri"/>
              </w:rPr>
            </w:pPr>
          </w:p>
          <w:p w14:paraId="665BE3B7" w14:textId="77777777" w:rsidR="007E264E" w:rsidRDefault="007E264E" w:rsidP="00042D7F">
            <w:pPr>
              <w:jc w:val="center"/>
              <w:rPr>
                <w:rFonts w:ascii="Calibri" w:hAnsi="Calibri" w:cs="Calibri"/>
              </w:rPr>
            </w:pPr>
            <w:r>
              <w:rPr>
                <w:noProof/>
              </w:rPr>
              <w:drawing>
                <wp:inline distT="0" distB="0" distL="0" distR="0" wp14:anchorId="35B9B0AC" wp14:editId="0C04FB4C">
                  <wp:extent cx="996043" cy="581025"/>
                  <wp:effectExtent l="0" t="0" r="0" b="0"/>
                  <wp:docPr id="101390" name="Image 101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147">
                            <a:extLst>
                              <a:ext uri="{28A0092B-C50C-407E-A947-70E740481C1C}">
                                <a14:useLocalDpi xmlns:a14="http://schemas.microsoft.com/office/drawing/2010/main" val="0"/>
                              </a:ext>
                            </a:extLst>
                          </a:blip>
                          <a:srcRect/>
                          <a:stretch>
                            <a:fillRect/>
                          </a:stretch>
                        </pic:blipFill>
                        <pic:spPr bwMode="auto">
                          <a:xfrm>
                            <a:off x="0" y="0"/>
                            <a:ext cx="1000088" cy="583385"/>
                          </a:xfrm>
                          <a:prstGeom prst="rect">
                            <a:avLst/>
                          </a:prstGeom>
                          <a:noFill/>
                          <a:ln>
                            <a:noFill/>
                          </a:ln>
                        </pic:spPr>
                      </pic:pic>
                    </a:graphicData>
                  </a:graphic>
                </wp:inline>
              </w:drawing>
            </w:r>
          </w:p>
          <w:p w14:paraId="36AC6503" w14:textId="2B07B4FB" w:rsidR="007E264E" w:rsidRDefault="007E264E" w:rsidP="00042D7F">
            <w:pPr>
              <w:jc w:val="center"/>
              <w:rPr>
                <w:rFonts w:ascii="Calibri" w:hAnsi="Calibri" w:cs="Calibri"/>
              </w:rPr>
            </w:pPr>
            <w:r>
              <w:rPr>
                <w:rFonts w:ascii="Calibri" w:hAnsi="Calibri" w:cs="Calibri"/>
              </w:rPr>
              <w:t>Graines</w:t>
            </w:r>
          </w:p>
        </w:tc>
      </w:tr>
      <w:tr w:rsidR="00042D7F" w14:paraId="1D5D28D8" w14:textId="77777777" w:rsidTr="007E264E">
        <w:tc>
          <w:tcPr>
            <w:tcW w:w="3472" w:type="dxa"/>
          </w:tcPr>
          <w:p w14:paraId="39E4BECF" w14:textId="77777777" w:rsidR="00042D7F" w:rsidRDefault="007E264E" w:rsidP="00042D7F">
            <w:pPr>
              <w:jc w:val="center"/>
              <w:rPr>
                <w:rFonts w:ascii="Calibri" w:hAnsi="Calibri" w:cs="Calibri"/>
              </w:rPr>
            </w:pPr>
            <w:r>
              <w:rPr>
                <w:noProof/>
              </w:rPr>
              <w:lastRenderedPageBreak/>
              <w:drawing>
                <wp:inline distT="0" distB="0" distL="0" distR="0" wp14:anchorId="49D59A50" wp14:editId="56E3792A">
                  <wp:extent cx="1104900" cy="552450"/>
                  <wp:effectExtent l="0" t="0" r="0" b="0"/>
                  <wp:docPr id="101391" name="Image 101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148">
                            <a:extLst>
                              <a:ext uri="{28A0092B-C50C-407E-A947-70E740481C1C}">
                                <a14:useLocalDpi xmlns:a14="http://schemas.microsoft.com/office/drawing/2010/main" val="0"/>
                              </a:ext>
                            </a:extLst>
                          </a:blip>
                          <a:srcRect/>
                          <a:stretch>
                            <a:fillRect/>
                          </a:stretch>
                        </pic:blipFill>
                        <pic:spPr bwMode="auto">
                          <a:xfrm>
                            <a:off x="0" y="0"/>
                            <a:ext cx="1112513" cy="556257"/>
                          </a:xfrm>
                          <a:prstGeom prst="rect">
                            <a:avLst/>
                          </a:prstGeom>
                          <a:noFill/>
                          <a:ln>
                            <a:noFill/>
                          </a:ln>
                        </pic:spPr>
                      </pic:pic>
                    </a:graphicData>
                  </a:graphic>
                </wp:inline>
              </w:drawing>
            </w:r>
          </w:p>
          <w:p w14:paraId="581EAA0E" w14:textId="2E0E9337" w:rsidR="007E264E" w:rsidRDefault="007E264E" w:rsidP="00042D7F">
            <w:pPr>
              <w:jc w:val="center"/>
              <w:rPr>
                <w:rFonts w:ascii="Calibri" w:hAnsi="Calibri" w:cs="Calibri"/>
              </w:rPr>
            </w:pPr>
            <w:r>
              <w:rPr>
                <w:rFonts w:ascii="Calibri" w:hAnsi="Calibri" w:cs="Calibri"/>
              </w:rPr>
              <w:t>Champ de gesse à maturité.</w:t>
            </w:r>
          </w:p>
        </w:tc>
        <w:tc>
          <w:tcPr>
            <w:tcW w:w="3472" w:type="dxa"/>
          </w:tcPr>
          <w:p w14:paraId="2A45D792" w14:textId="77777777" w:rsidR="00042D7F" w:rsidRDefault="007E264E" w:rsidP="00042D7F">
            <w:pPr>
              <w:jc w:val="center"/>
              <w:rPr>
                <w:rFonts w:ascii="Calibri" w:hAnsi="Calibri" w:cs="Calibri"/>
              </w:rPr>
            </w:pPr>
            <w:r>
              <w:rPr>
                <w:noProof/>
              </w:rPr>
              <w:drawing>
                <wp:inline distT="0" distB="0" distL="0" distR="0" wp14:anchorId="4A3BB70C" wp14:editId="666A167A">
                  <wp:extent cx="1194619" cy="771525"/>
                  <wp:effectExtent l="0" t="0" r="5715" b="0"/>
                  <wp:docPr id="101392" name="Image 101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149">
                            <a:extLst>
                              <a:ext uri="{28A0092B-C50C-407E-A947-70E740481C1C}">
                                <a14:useLocalDpi xmlns:a14="http://schemas.microsoft.com/office/drawing/2010/main" val="0"/>
                              </a:ext>
                            </a:extLst>
                          </a:blip>
                          <a:srcRect/>
                          <a:stretch>
                            <a:fillRect/>
                          </a:stretch>
                        </pic:blipFill>
                        <pic:spPr bwMode="auto">
                          <a:xfrm>
                            <a:off x="0" y="0"/>
                            <a:ext cx="1196854" cy="772969"/>
                          </a:xfrm>
                          <a:prstGeom prst="rect">
                            <a:avLst/>
                          </a:prstGeom>
                          <a:noFill/>
                          <a:ln>
                            <a:noFill/>
                          </a:ln>
                        </pic:spPr>
                      </pic:pic>
                    </a:graphicData>
                  </a:graphic>
                </wp:inline>
              </w:drawing>
            </w:r>
          </w:p>
          <w:p w14:paraId="2B6EC782" w14:textId="400904F8" w:rsidR="007E264E" w:rsidRDefault="007E264E" w:rsidP="00042D7F">
            <w:pPr>
              <w:jc w:val="center"/>
              <w:rPr>
                <w:rFonts w:ascii="Calibri" w:hAnsi="Calibri" w:cs="Calibri"/>
              </w:rPr>
            </w:pPr>
            <w:r>
              <w:rPr>
                <w:rFonts w:ascii="Calibri" w:hAnsi="Calibri" w:cs="Calibri"/>
              </w:rPr>
              <w:t>Fleurs</w:t>
            </w:r>
          </w:p>
        </w:tc>
        <w:tc>
          <w:tcPr>
            <w:tcW w:w="3472" w:type="dxa"/>
          </w:tcPr>
          <w:p w14:paraId="53E899B2" w14:textId="77777777" w:rsidR="00042D7F" w:rsidRDefault="00042D7F" w:rsidP="00042D7F">
            <w:pPr>
              <w:jc w:val="center"/>
              <w:rPr>
                <w:rFonts w:ascii="Calibri" w:hAnsi="Calibri" w:cs="Calibri"/>
              </w:rPr>
            </w:pPr>
          </w:p>
        </w:tc>
      </w:tr>
    </w:tbl>
    <w:p w14:paraId="027ED878" w14:textId="77777777" w:rsidR="00E70A1D" w:rsidRDefault="00E70A1D" w:rsidP="00145ABB">
      <w:pPr>
        <w:pStyle w:val="Titre2"/>
      </w:pPr>
      <w:bookmarkStart w:id="188" w:name="_Toc139181479"/>
      <w:r w:rsidRPr="003153A6">
        <w:t>Quinoa (</w:t>
      </w:r>
      <w:r w:rsidRPr="00145ABB">
        <w:rPr>
          <w:i/>
          <w:iCs/>
        </w:rPr>
        <w:t>Chenopodium quinoa</w:t>
      </w:r>
      <w:r w:rsidRPr="003153A6">
        <w:t>)</w:t>
      </w:r>
      <w:bookmarkEnd w:id="188"/>
    </w:p>
    <w:p w14:paraId="574329FE" w14:textId="77777777" w:rsidR="00E70A1D" w:rsidRDefault="00E70A1D" w:rsidP="00E70A1D">
      <w:pPr>
        <w:spacing w:after="0" w:line="240" w:lineRule="auto"/>
        <w:jc w:val="both"/>
      </w:pPr>
    </w:p>
    <w:p w14:paraId="46AECA2B" w14:textId="77777777" w:rsidR="00E70A1D" w:rsidRPr="00062945" w:rsidRDefault="00E70A1D" w:rsidP="00E70A1D">
      <w:pPr>
        <w:spacing w:after="0" w:line="240" w:lineRule="auto"/>
        <w:jc w:val="both"/>
        <w:rPr>
          <w:rFonts w:ascii="Calibri" w:hAnsi="Calibri" w:cs="Calibri"/>
          <w:color w:val="202122"/>
          <w:shd w:val="clear" w:color="auto" w:fill="FFFFFF"/>
        </w:rPr>
      </w:pPr>
      <w:r w:rsidRPr="00062945">
        <w:rPr>
          <w:rFonts w:ascii="Calibri" w:hAnsi="Calibri" w:cs="Calibri"/>
          <w:color w:val="202122"/>
          <w:shd w:val="clear" w:color="auto" w:fill="FFFFFF"/>
        </w:rPr>
        <w:t>C’est une </w:t>
      </w:r>
      <w:hyperlink r:id="rId2150" w:tooltip="Espèce" w:history="1">
        <w:r w:rsidRPr="00062945">
          <w:rPr>
            <w:rStyle w:val="Lienhypertexte"/>
            <w:rFonts w:ascii="Calibri" w:hAnsi="Calibri" w:cs="Calibri"/>
            <w:color w:val="0645AD"/>
            <w:shd w:val="clear" w:color="auto" w:fill="FFFFFF"/>
          </w:rPr>
          <w:t>espèce</w:t>
        </w:r>
      </w:hyperlink>
      <w:r w:rsidRPr="00062945">
        <w:rPr>
          <w:rFonts w:ascii="Calibri" w:hAnsi="Calibri" w:cs="Calibri"/>
          <w:color w:val="202122"/>
          <w:shd w:val="clear" w:color="auto" w:fill="FFFFFF"/>
        </w:rPr>
        <w:t> de </w:t>
      </w:r>
      <w:hyperlink r:id="rId2151" w:tooltip="Plante herbacée" w:history="1">
        <w:r w:rsidRPr="00062945">
          <w:rPr>
            <w:rStyle w:val="Lienhypertexte"/>
            <w:rFonts w:ascii="Calibri" w:hAnsi="Calibri" w:cs="Calibri"/>
            <w:color w:val="0645AD"/>
            <w:shd w:val="clear" w:color="auto" w:fill="FFFFFF"/>
          </w:rPr>
          <w:t>plantes herbacées</w:t>
        </w:r>
      </w:hyperlink>
      <w:r w:rsidRPr="00062945">
        <w:rPr>
          <w:rFonts w:ascii="Calibri" w:hAnsi="Calibri" w:cs="Calibri"/>
          <w:color w:val="202122"/>
          <w:shd w:val="clear" w:color="auto" w:fill="FFFFFF"/>
        </w:rPr>
        <w:t> annuelles, de 1 à 2 m de haut, de la </w:t>
      </w:r>
      <w:hyperlink r:id="rId2152" w:tooltip="Famille (biologie)" w:history="1">
        <w:r w:rsidRPr="00062945">
          <w:rPr>
            <w:rStyle w:val="Lienhypertexte"/>
            <w:rFonts w:ascii="Calibri" w:hAnsi="Calibri" w:cs="Calibri"/>
            <w:color w:val="0645AD"/>
            <w:shd w:val="clear" w:color="auto" w:fill="FFFFFF"/>
          </w:rPr>
          <w:t>famille</w:t>
        </w:r>
      </w:hyperlink>
      <w:r w:rsidRPr="00062945">
        <w:rPr>
          <w:rFonts w:ascii="Calibri" w:hAnsi="Calibri" w:cs="Calibri"/>
          <w:color w:val="202122"/>
          <w:shd w:val="clear" w:color="auto" w:fill="FFFFFF"/>
        </w:rPr>
        <w:t> des </w:t>
      </w:r>
      <w:hyperlink r:id="rId2153" w:tooltip="Amaranthaceae" w:history="1">
        <w:r w:rsidRPr="00062945">
          <w:rPr>
            <w:rStyle w:val="Lienhypertexte"/>
            <w:rFonts w:ascii="Calibri" w:hAnsi="Calibri" w:cs="Calibri"/>
            <w:i/>
            <w:iCs/>
            <w:color w:val="0645AD"/>
            <w:shd w:val="clear" w:color="auto" w:fill="FFFFFF"/>
          </w:rPr>
          <w:t>Amaranthaceae</w:t>
        </w:r>
      </w:hyperlink>
      <w:r w:rsidRPr="00062945">
        <w:rPr>
          <w:rFonts w:ascii="Calibri" w:hAnsi="Calibri" w:cs="Calibri"/>
          <w:color w:val="202122"/>
          <w:shd w:val="clear" w:color="auto" w:fill="FFFFFF"/>
        </w:rPr>
        <w:t> (selon la classification phylogénétique) ou de celle des </w:t>
      </w:r>
      <w:hyperlink r:id="rId2154" w:tooltip="Chenopodiaceae" w:history="1">
        <w:r w:rsidRPr="00062945">
          <w:rPr>
            <w:rStyle w:val="Lienhypertexte"/>
            <w:rFonts w:ascii="Calibri" w:hAnsi="Calibri" w:cs="Calibri"/>
            <w:i/>
            <w:iCs/>
            <w:color w:val="0645AD"/>
            <w:shd w:val="clear" w:color="auto" w:fill="FFFFFF"/>
          </w:rPr>
          <w:t>Chenopodiaceae</w:t>
        </w:r>
      </w:hyperlink>
      <w:r w:rsidRPr="00062945">
        <w:rPr>
          <w:rFonts w:ascii="Calibri" w:hAnsi="Calibri" w:cs="Calibri"/>
          <w:color w:val="202122"/>
          <w:shd w:val="clear" w:color="auto" w:fill="FFFFFF"/>
        </w:rPr>
        <w:t> (dans la </w:t>
      </w:r>
      <w:hyperlink r:id="rId2155" w:tooltip="Classification de Cronquist" w:history="1">
        <w:r w:rsidRPr="00062945">
          <w:rPr>
            <w:rStyle w:val="Lienhypertexte"/>
            <w:rFonts w:ascii="Calibri" w:hAnsi="Calibri" w:cs="Calibri"/>
            <w:color w:val="0645AD"/>
            <w:shd w:val="clear" w:color="auto" w:fill="FFFFFF"/>
          </w:rPr>
          <w:t>classification de Cronquist</w:t>
        </w:r>
      </w:hyperlink>
      <w:r w:rsidRPr="00062945">
        <w:rPr>
          <w:rFonts w:ascii="Calibri" w:hAnsi="Calibri" w:cs="Calibri"/>
          <w:color w:val="202122"/>
          <w:shd w:val="clear" w:color="auto" w:fill="FFFFFF"/>
        </w:rPr>
        <w:t>). C'est une </w:t>
      </w:r>
      <w:hyperlink r:id="rId2156" w:tooltip="Pseudo-céréale" w:history="1">
        <w:r w:rsidRPr="00062945">
          <w:rPr>
            <w:rStyle w:val="Lienhypertexte"/>
            <w:rFonts w:ascii="Calibri" w:hAnsi="Calibri" w:cs="Calibri"/>
            <w:color w:val="0645AD"/>
            <w:shd w:val="clear" w:color="auto" w:fill="FFFFFF"/>
          </w:rPr>
          <w:t>pseudocéréale</w:t>
        </w:r>
      </w:hyperlink>
      <w:r w:rsidRPr="00062945">
        <w:rPr>
          <w:rFonts w:ascii="Calibri" w:hAnsi="Calibri" w:cs="Calibri"/>
          <w:color w:val="202122"/>
          <w:shd w:val="clear" w:color="auto" w:fill="FFFFFF"/>
        </w:rPr>
        <w:t>,</w:t>
      </w:r>
      <w:r>
        <w:rPr>
          <w:rFonts w:ascii="Calibri" w:hAnsi="Calibri" w:cs="Calibri"/>
          <w:color w:val="202122"/>
          <w:shd w:val="clear" w:color="auto" w:fill="FFFFFF"/>
        </w:rPr>
        <w:t xml:space="preserve"> botaniquement apparentée à l’amarante,</w:t>
      </w:r>
      <w:r w:rsidRPr="00062945">
        <w:rPr>
          <w:rFonts w:ascii="Calibri" w:hAnsi="Calibri" w:cs="Calibri"/>
          <w:color w:val="202122"/>
          <w:shd w:val="clear" w:color="auto" w:fill="FFFFFF"/>
        </w:rPr>
        <w:t xml:space="preserve"> plutôt qu'une véritable céréale</w:t>
      </w:r>
      <w:r>
        <w:rPr>
          <w:rFonts w:ascii="Calibri" w:hAnsi="Calibri" w:cs="Calibri"/>
          <w:color w:val="202122"/>
          <w:shd w:val="clear" w:color="auto" w:fill="FFFFFF"/>
        </w:rPr>
        <w:t xml:space="preserve">, n’étant pas </w:t>
      </w:r>
      <w:r w:rsidRPr="00062945">
        <w:rPr>
          <w:rFonts w:ascii="Calibri" w:hAnsi="Calibri" w:cs="Calibri"/>
          <w:color w:val="202122"/>
          <w:shd w:val="clear" w:color="auto" w:fill="FFFFFF"/>
        </w:rPr>
        <w:t>une </w:t>
      </w:r>
      <w:hyperlink r:id="rId2157" w:tooltip="Poaceae" w:history="1">
        <w:r w:rsidRPr="00062945">
          <w:rPr>
            <w:rStyle w:val="Lienhypertexte"/>
            <w:rFonts w:ascii="Calibri" w:hAnsi="Calibri" w:cs="Calibri"/>
            <w:color w:val="0645AD"/>
            <w:shd w:val="clear" w:color="auto" w:fill="FFFFFF"/>
          </w:rPr>
          <w:t>graminée</w:t>
        </w:r>
      </w:hyperlink>
      <w:r w:rsidRPr="00062945">
        <w:rPr>
          <w:rFonts w:ascii="Calibri" w:hAnsi="Calibri" w:cs="Calibri"/>
          <w:color w:val="202122"/>
          <w:shd w:val="clear" w:color="auto" w:fill="FFFFFF"/>
        </w:rPr>
        <w:t>.</w:t>
      </w:r>
    </w:p>
    <w:p w14:paraId="3A8EBCBF" w14:textId="77777777" w:rsidR="00E70A1D" w:rsidRDefault="00E70A1D" w:rsidP="00E70A1D">
      <w:pPr>
        <w:spacing w:after="0" w:line="240" w:lineRule="auto"/>
        <w:jc w:val="both"/>
        <w:rPr>
          <w:rFonts w:ascii="Calibri" w:hAnsi="Calibri" w:cs="Calibri"/>
          <w:color w:val="202122"/>
          <w:shd w:val="clear" w:color="auto" w:fill="FFFFFF"/>
        </w:rPr>
      </w:pPr>
      <w:r w:rsidRPr="00184186">
        <w:rPr>
          <w:rFonts w:ascii="Calibri" w:hAnsi="Calibri" w:cs="Calibri"/>
          <w:color w:val="000000" w:themeColor="text1"/>
          <w:shd w:val="clear" w:color="auto" w:fill="FFFFFF"/>
        </w:rPr>
        <w:t xml:space="preserve">Cette plante traditionnelle est cultivée depuis plus de 5 000 ans, sur les hauts plateaux andins </w:t>
      </w:r>
      <w:r w:rsidRPr="00062945">
        <w:rPr>
          <w:rFonts w:ascii="Calibri" w:hAnsi="Calibri" w:cs="Calibri"/>
          <w:color w:val="202122"/>
          <w:shd w:val="clear" w:color="auto" w:fill="FFFFFF"/>
        </w:rPr>
        <w:t>d'</w:t>
      </w:r>
      <w:hyperlink r:id="rId2158" w:tooltip="Amérique du Sud" w:history="1">
        <w:r w:rsidRPr="00062945">
          <w:rPr>
            <w:rStyle w:val="Lienhypertexte"/>
            <w:rFonts w:ascii="Calibri" w:hAnsi="Calibri" w:cs="Calibri"/>
            <w:color w:val="0645AD"/>
            <w:shd w:val="clear" w:color="auto" w:fill="FFFFFF"/>
          </w:rPr>
          <w:t>Amérique du Sud</w:t>
        </w:r>
      </w:hyperlink>
      <w:r>
        <w:rPr>
          <w:rFonts w:ascii="Calibri" w:hAnsi="Calibri" w:cs="Calibri"/>
        </w:rPr>
        <w:t>, pour alimenter le bétail et pour la consommation humaine</w:t>
      </w:r>
      <w:r w:rsidRPr="00062945">
        <w:rPr>
          <w:rFonts w:ascii="Calibri" w:hAnsi="Calibri" w:cs="Calibri"/>
          <w:color w:val="202122"/>
          <w:shd w:val="clear" w:color="auto" w:fill="FFFFFF"/>
        </w:rPr>
        <w:t xml:space="preserve">. </w:t>
      </w:r>
      <w:r w:rsidRPr="00184186">
        <w:rPr>
          <w:rFonts w:ascii="Calibri" w:hAnsi="Calibri" w:cs="Calibri"/>
          <w:color w:val="000000" w:themeColor="text1"/>
          <w:shd w:val="clear" w:color="auto" w:fill="FFFFFF"/>
        </w:rPr>
        <w:t>La teneur en </w:t>
      </w:r>
      <w:hyperlink r:id="rId2159" w:tooltip="Saponine" w:history="1">
        <w:r w:rsidRPr="00062945">
          <w:rPr>
            <w:rStyle w:val="Lienhypertexte"/>
            <w:rFonts w:ascii="Calibri" w:hAnsi="Calibri" w:cs="Calibri"/>
            <w:color w:val="0645AD"/>
            <w:shd w:val="clear" w:color="auto" w:fill="FFFFFF"/>
          </w:rPr>
          <w:t>saponine</w:t>
        </w:r>
      </w:hyperlink>
      <w:r w:rsidRPr="00062945">
        <w:rPr>
          <w:rFonts w:ascii="Calibri" w:hAnsi="Calibri" w:cs="Calibri"/>
          <w:color w:val="202122"/>
          <w:shd w:val="clear" w:color="auto" w:fill="FFFFFF"/>
        </w:rPr>
        <w:t> </w:t>
      </w:r>
      <w:r w:rsidRPr="00184186">
        <w:rPr>
          <w:rFonts w:ascii="Calibri" w:hAnsi="Calibri" w:cs="Calibri"/>
          <w:color w:val="000000" w:themeColor="text1"/>
          <w:shd w:val="clear" w:color="auto" w:fill="FFFFFF"/>
        </w:rPr>
        <w:t xml:space="preserve">de l'enveloppe de ses graines les </w:t>
      </w:r>
      <w:r w:rsidRPr="009F7DE7">
        <w:rPr>
          <w:rFonts w:ascii="Calibri" w:hAnsi="Calibri" w:cs="Calibri"/>
          <w:color w:val="000000" w:themeColor="text1"/>
          <w:shd w:val="clear" w:color="auto" w:fill="FFFFFF"/>
        </w:rPr>
        <w:t>rende amères. Sa </w:t>
      </w:r>
      <w:hyperlink r:id="rId2160" w:tooltip="Farine" w:history="1">
        <w:r w:rsidRPr="00062945">
          <w:rPr>
            <w:rStyle w:val="Lienhypertexte"/>
            <w:rFonts w:ascii="Calibri" w:hAnsi="Calibri" w:cs="Calibri"/>
            <w:color w:val="0645AD"/>
            <w:shd w:val="clear" w:color="auto" w:fill="FFFFFF"/>
          </w:rPr>
          <w:t>farine</w:t>
        </w:r>
      </w:hyperlink>
      <w:r w:rsidRPr="00062945">
        <w:rPr>
          <w:rFonts w:ascii="Calibri" w:hAnsi="Calibri" w:cs="Calibri"/>
          <w:color w:val="202122"/>
          <w:shd w:val="clear" w:color="auto" w:fill="FFFFFF"/>
        </w:rPr>
        <w:t> </w:t>
      </w:r>
      <w:r w:rsidRPr="00184186">
        <w:rPr>
          <w:rFonts w:ascii="Calibri" w:hAnsi="Calibri" w:cs="Calibri"/>
          <w:color w:val="000000" w:themeColor="text1"/>
          <w:shd w:val="clear" w:color="auto" w:fill="FFFFFF"/>
        </w:rPr>
        <w:t>qui en est tirée n'est pas </w:t>
      </w:r>
      <w:hyperlink r:id="rId2161" w:tooltip="Farine panifiable" w:history="1">
        <w:r w:rsidRPr="00062945">
          <w:rPr>
            <w:rStyle w:val="Lienhypertexte"/>
            <w:rFonts w:ascii="Calibri" w:hAnsi="Calibri" w:cs="Calibri"/>
            <w:color w:val="0645AD"/>
            <w:shd w:val="clear" w:color="auto" w:fill="FFFFFF"/>
          </w:rPr>
          <w:t>panifiable</w:t>
        </w:r>
      </w:hyperlink>
      <w:r w:rsidRPr="00062945">
        <w:rPr>
          <w:rFonts w:ascii="Calibri" w:hAnsi="Calibri" w:cs="Calibri"/>
          <w:color w:val="202122"/>
          <w:shd w:val="clear" w:color="auto" w:fill="FFFFFF"/>
        </w:rPr>
        <w:t> en raison de l'absence de </w:t>
      </w:r>
      <w:hyperlink r:id="rId2162" w:tooltip="Gluten" w:history="1">
        <w:r w:rsidRPr="00062945">
          <w:rPr>
            <w:rStyle w:val="Lienhypertexte"/>
            <w:rFonts w:ascii="Calibri" w:hAnsi="Calibri" w:cs="Calibri"/>
            <w:color w:val="0645AD"/>
            <w:shd w:val="clear" w:color="auto" w:fill="FFFFFF"/>
          </w:rPr>
          <w:t>gluten</w:t>
        </w:r>
      </w:hyperlink>
      <w:r w:rsidRPr="00062945">
        <w:rPr>
          <w:rFonts w:ascii="Calibri" w:hAnsi="Calibri" w:cs="Calibri"/>
          <w:color w:val="202122"/>
          <w:shd w:val="clear" w:color="auto" w:fill="FFFFFF"/>
        </w:rPr>
        <w:t>.</w:t>
      </w:r>
    </w:p>
    <w:p w14:paraId="10EBBF29" w14:textId="77777777" w:rsidR="00E70A1D" w:rsidRPr="00062945" w:rsidRDefault="00E70A1D" w:rsidP="00E70A1D">
      <w:pPr>
        <w:spacing w:after="0" w:line="240" w:lineRule="auto"/>
        <w:jc w:val="both"/>
        <w:rPr>
          <w:rFonts w:ascii="Calibri" w:hAnsi="Calibri" w:cs="Calibri"/>
        </w:rPr>
      </w:pPr>
      <w:r w:rsidRPr="00184186">
        <w:rPr>
          <w:rFonts w:ascii="Calibri" w:hAnsi="Calibri" w:cs="Calibri"/>
        </w:rPr>
        <w:t>Sa culture s'est répandue dans plus de 70 pays, dont le Kenya, l'Inde, les États-Unis et plusieurs pays européens.</w:t>
      </w:r>
    </w:p>
    <w:p w14:paraId="3F113E38" w14:textId="77777777" w:rsidR="00E70A1D" w:rsidRDefault="00E70A1D" w:rsidP="00E70A1D">
      <w:pPr>
        <w:spacing w:after="0" w:line="240" w:lineRule="auto"/>
        <w:jc w:val="both"/>
        <w:rPr>
          <w:rFonts w:ascii="Calibri" w:hAnsi="Calibri" w:cs="Calibri"/>
          <w:color w:val="000000" w:themeColor="text1"/>
          <w:shd w:val="clear" w:color="auto" w:fill="FFFFFF"/>
        </w:rPr>
      </w:pPr>
      <w:r w:rsidRPr="00425B8D">
        <w:rPr>
          <w:rFonts w:ascii="Calibri" w:hAnsi="Calibri" w:cs="Calibri"/>
          <w:color w:val="000000" w:themeColor="text1"/>
          <w:u w:val="single"/>
        </w:rPr>
        <w:t>Description</w:t>
      </w:r>
      <w:r w:rsidRPr="00425B8D">
        <w:rPr>
          <w:rFonts w:ascii="Calibri" w:hAnsi="Calibri" w:cs="Calibri"/>
          <w:color w:val="000000" w:themeColor="text1"/>
        </w:rPr>
        <w:t> :</w:t>
      </w:r>
      <w:r>
        <w:rPr>
          <w:rFonts w:ascii="Calibri" w:hAnsi="Calibri" w:cs="Calibri"/>
          <w:color w:val="000000" w:themeColor="text1"/>
        </w:rPr>
        <w:t xml:space="preserve"> </w:t>
      </w:r>
      <w:r w:rsidRPr="00A95832">
        <w:rPr>
          <w:rFonts w:ascii="Calibri" w:hAnsi="Calibri" w:cs="Calibri"/>
          <w:color w:val="000000" w:themeColor="text1"/>
        </w:rPr>
        <w:t xml:space="preserve">Les </w:t>
      </w:r>
      <w:r w:rsidRPr="00A95832">
        <w:rPr>
          <w:rFonts w:ascii="Calibri" w:hAnsi="Calibri" w:cs="Calibri"/>
          <w:color w:val="000000" w:themeColor="text1"/>
          <w:shd w:val="clear" w:color="auto" w:fill="FFFFFF"/>
        </w:rPr>
        <w:t>feuilles sont larges, lobées, généralement poudreuses, poilues, normalement disposées en </w:t>
      </w:r>
      <w:hyperlink r:id="rId2163" w:tooltip="Feuille alternative" w:history="1">
        <w:r w:rsidRPr="00A95832">
          <w:rPr>
            <w:rStyle w:val="Lienhypertexte"/>
            <w:rFonts w:ascii="Calibri" w:hAnsi="Calibri" w:cs="Calibri"/>
            <w:color w:val="0645AD"/>
            <w:shd w:val="clear" w:color="auto" w:fill="FFFFFF"/>
          </w:rPr>
          <w:t>alternance</w:t>
        </w:r>
      </w:hyperlink>
      <w:r w:rsidRPr="00A95832">
        <w:rPr>
          <w:rFonts w:ascii="Calibri" w:hAnsi="Calibri" w:cs="Calibri"/>
          <w:color w:val="000000" w:themeColor="text1"/>
        </w:rPr>
        <w:t>.</w:t>
      </w:r>
      <w:r w:rsidRPr="00425B8D">
        <w:rPr>
          <w:rFonts w:ascii="Calibri" w:hAnsi="Calibri" w:cs="Calibri"/>
          <w:color w:val="000000" w:themeColor="text1"/>
        </w:rPr>
        <w:t xml:space="preserve"> L</w:t>
      </w:r>
      <w:r w:rsidRPr="00425B8D">
        <w:rPr>
          <w:rFonts w:ascii="Calibri" w:hAnsi="Calibri" w:cs="Calibri"/>
          <w:color w:val="000000" w:themeColor="text1"/>
          <w:shd w:val="clear" w:color="auto" w:fill="FFFFFF"/>
        </w:rPr>
        <w:t>es feuilles du bas sont grandes jusqu’à 15 </w:t>
      </w:r>
      <w:r w:rsidRPr="00425B8D">
        <w:rPr>
          <w:rFonts w:ascii="Calibri" w:hAnsi="Calibri" w:cs="Calibri"/>
          <w:color w:val="000000" w:themeColor="text1"/>
        </w:rPr>
        <w:t>cm</w:t>
      </w:r>
      <w:r w:rsidRPr="00425B8D">
        <w:rPr>
          <w:rFonts w:ascii="Calibri" w:hAnsi="Calibri" w:cs="Calibri"/>
          <w:color w:val="000000" w:themeColor="text1"/>
          <w:shd w:val="clear" w:color="auto" w:fill="FFFFFF"/>
        </w:rPr>
        <w:t> sur 12 </w:t>
      </w:r>
      <w:r w:rsidRPr="00425B8D">
        <w:rPr>
          <w:rFonts w:ascii="Calibri" w:hAnsi="Calibri" w:cs="Calibri"/>
          <w:color w:val="000000" w:themeColor="text1"/>
        </w:rPr>
        <w:t>cm</w:t>
      </w:r>
      <w:r w:rsidRPr="00425B8D">
        <w:rPr>
          <w:rFonts w:ascii="Calibri" w:hAnsi="Calibri" w:cs="Calibri"/>
          <w:color w:val="000000" w:themeColor="text1"/>
          <w:shd w:val="clear" w:color="auto" w:fill="FFFFFF"/>
        </w:rPr>
        <w:t>, et de forme </w:t>
      </w:r>
      <w:hyperlink r:id="rId2164" w:anchor="Diff%C3%A9rentes_formes" w:tooltip="Forme foliaire" w:history="1">
        <w:r w:rsidRPr="00425B8D">
          <w:rPr>
            <w:rStyle w:val="Lienhypertexte"/>
            <w:rFonts w:ascii="Calibri" w:hAnsi="Calibri" w:cs="Calibri"/>
            <w:color w:val="0645AD"/>
            <w:shd w:val="clear" w:color="auto" w:fill="FFFFFF"/>
          </w:rPr>
          <w:t>rhomboïdale</w:t>
        </w:r>
      </w:hyperlink>
      <w:r w:rsidRPr="00425B8D">
        <w:rPr>
          <w:rFonts w:ascii="Calibri" w:hAnsi="Calibri" w:cs="Calibri"/>
          <w:color w:val="202122"/>
          <w:shd w:val="clear" w:color="auto" w:fill="FFFFFF"/>
        </w:rPr>
        <w:t> </w:t>
      </w:r>
      <w:r w:rsidRPr="00425B8D">
        <w:rPr>
          <w:rFonts w:ascii="Calibri" w:hAnsi="Calibri" w:cs="Calibri"/>
          <w:color w:val="000000" w:themeColor="text1"/>
          <w:shd w:val="clear" w:color="auto" w:fill="FFFFFF"/>
        </w:rPr>
        <w:t>ou triangulaire, celles du haut sont petites, d’environ 10 </w:t>
      </w:r>
      <w:r w:rsidRPr="00425B8D">
        <w:rPr>
          <w:rFonts w:ascii="Calibri" w:hAnsi="Calibri" w:cs="Calibri"/>
          <w:color w:val="000000" w:themeColor="text1"/>
        </w:rPr>
        <w:t>mm</w:t>
      </w:r>
      <w:r w:rsidRPr="00425B8D">
        <w:rPr>
          <w:rFonts w:ascii="Calibri" w:hAnsi="Calibri" w:cs="Calibri"/>
          <w:color w:val="000000" w:themeColor="text1"/>
          <w:shd w:val="clear" w:color="auto" w:fill="FFFFFF"/>
        </w:rPr>
        <w:t> sur 2 </w:t>
      </w:r>
      <w:r w:rsidRPr="00425B8D">
        <w:rPr>
          <w:rFonts w:ascii="Calibri" w:hAnsi="Calibri" w:cs="Calibri"/>
          <w:color w:val="000000" w:themeColor="text1"/>
        </w:rPr>
        <w:t>mm</w:t>
      </w:r>
      <w:r w:rsidRPr="00425B8D">
        <w:rPr>
          <w:rFonts w:ascii="Calibri" w:hAnsi="Calibri" w:cs="Calibri"/>
          <w:color w:val="202122"/>
          <w:shd w:val="clear" w:color="auto" w:fill="FFFFFF"/>
        </w:rPr>
        <w:t>, </w:t>
      </w:r>
      <w:hyperlink r:id="rId2165" w:anchor="Diff%C3%A9rentes_formes" w:tooltip="Forme foliaire" w:history="1">
        <w:r w:rsidRPr="00425B8D">
          <w:rPr>
            <w:rStyle w:val="Lienhypertexte"/>
            <w:rFonts w:ascii="Calibri" w:hAnsi="Calibri" w:cs="Calibri"/>
            <w:color w:val="0645AD"/>
            <w:shd w:val="clear" w:color="auto" w:fill="FFFFFF"/>
          </w:rPr>
          <w:t>lancéolées</w:t>
        </w:r>
      </w:hyperlink>
      <w:r w:rsidRPr="00425B8D">
        <w:rPr>
          <w:rFonts w:ascii="Calibri" w:hAnsi="Calibri" w:cs="Calibri"/>
          <w:color w:val="202122"/>
          <w:shd w:val="clear" w:color="auto" w:fill="FFFFFF"/>
        </w:rPr>
        <w:t> </w:t>
      </w:r>
      <w:r w:rsidRPr="00425B8D">
        <w:rPr>
          <w:rFonts w:ascii="Calibri" w:hAnsi="Calibri" w:cs="Calibri"/>
          <w:color w:val="000000" w:themeColor="text1"/>
          <w:shd w:val="clear" w:color="auto" w:fill="FFFFFF"/>
        </w:rPr>
        <w:t>ou triangulaires.</w:t>
      </w:r>
      <w:r w:rsidRPr="00425B8D">
        <w:rPr>
          <w:rFonts w:ascii="Calibri" w:hAnsi="Calibri" w:cs="Calibri"/>
          <w:color w:val="000000" w:themeColor="text1"/>
        </w:rPr>
        <w:t xml:space="preserve"> </w:t>
      </w:r>
      <w:r w:rsidRPr="00425B8D">
        <w:rPr>
          <w:rFonts w:ascii="Calibri" w:hAnsi="Calibri" w:cs="Calibri"/>
          <w:color w:val="000000" w:themeColor="text1"/>
          <w:shd w:val="clear" w:color="auto" w:fill="FFFFFF"/>
        </w:rPr>
        <w:t xml:space="preserve">La couleur des feuilles varie, en fonction des variétés, en général vertes, lorsqu’elles sont jeunes, puis virant au jaune, rouge ou violet. L’inflorescence </w:t>
      </w:r>
      <w:r w:rsidRPr="00386D00">
        <w:rPr>
          <w:rFonts w:ascii="Calibri" w:hAnsi="Calibri" w:cs="Calibri"/>
          <w:color w:val="000000" w:themeColor="text1"/>
          <w:shd w:val="clear" w:color="auto" w:fill="FFFFFF"/>
        </w:rPr>
        <w:t>est une panicule, une grappe de gra</w:t>
      </w:r>
      <w:r>
        <w:rPr>
          <w:rFonts w:ascii="Calibri" w:hAnsi="Calibri" w:cs="Calibri"/>
          <w:color w:val="000000" w:themeColor="text1"/>
          <w:shd w:val="clear" w:color="auto" w:fill="FFFFFF"/>
        </w:rPr>
        <w:t>pp</w:t>
      </w:r>
      <w:r w:rsidRPr="00386D00">
        <w:rPr>
          <w:rFonts w:ascii="Calibri" w:hAnsi="Calibri" w:cs="Calibri"/>
          <w:color w:val="000000" w:themeColor="text1"/>
          <w:shd w:val="clear" w:color="auto" w:fill="FFFFFF"/>
        </w:rPr>
        <w:t>es, d'une longueur de 30 à 80 cm. La fleur peut être </w:t>
      </w:r>
      <w:hyperlink r:id="rId2166" w:tooltip="Hermaphrodisme" w:history="1">
        <w:r w:rsidRPr="002A27B0">
          <w:rPr>
            <w:rStyle w:val="Lienhypertexte"/>
            <w:rFonts w:ascii="Calibri" w:hAnsi="Calibri" w:cs="Calibri"/>
            <w:color w:val="2F5496" w:themeColor="accent1" w:themeShade="BF"/>
            <w:shd w:val="clear" w:color="auto" w:fill="FFFFFF"/>
          </w:rPr>
          <w:t>hermaphrodite</w:t>
        </w:r>
      </w:hyperlink>
      <w:r w:rsidRPr="00386D00">
        <w:rPr>
          <w:rFonts w:ascii="Calibri" w:hAnsi="Calibri" w:cs="Calibri"/>
          <w:color w:val="000000" w:themeColor="text1"/>
          <w:shd w:val="clear" w:color="auto" w:fill="FFFFFF"/>
        </w:rPr>
        <w:t> ou unisexuée femelle. La pollinisation se fait par autofécondation, bien que des pollinisations croisées peuvent se survenir.</w:t>
      </w:r>
      <w:r>
        <w:rPr>
          <w:rFonts w:ascii="Calibri" w:hAnsi="Calibri" w:cs="Calibri"/>
          <w:color w:val="000000" w:themeColor="text1"/>
          <w:shd w:val="clear" w:color="auto" w:fill="FFFFFF"/>
        </w:rPr>
        <w:t xml:space="preserve"> </w:t>
      </w:r>
      <w:r w:rsidRPr="009F7DE7">
        <w:rPr>
          <w:rFonts w:ascii="Calibri" w:hAnsi="Calibri" w:cs="Calibri"/>
          <w:color w:val="000000" w:themeColor="text1"/>
          <w:shd w:val="clear" w:color="auto" w:fill="FFFFFF"/>
        </w:rPr>
        <w:t>Le fruit est un</w:t>
      </w:r>
      <w:r>
        <w:rPr>
          <w:rFonts w:ascii="Arial" w:hAnsi="Arial" w:cs="Arial"/>
          <w:color w:val="202122"/>
          <w:sz w:val="21"/>
          <w:szCs w:val="21"/>
          <w:shd w:val="clear" w:color="auto" w:fill="FFFFFF"/>
        </w:rPr>
        <w:t> </w:t>
      </w:r>
      <w:hyperlink r:id="rId2167" w:tooltip="Akène" w:history="1">
        <w:r w:rsidRPr="009F7DE7">
          <w:rPr>
            <w:rStyle w:val="Lienhypertexte"/>
            <w:rFonts w:ascii="Calibri" w:hAnsi="Calibri" w:cs="Calibri"/>
            <w:color w:val="0645AD"/>
            <w:shd w:val="clear" w:color="auto" w:fill="FFFFFF"/>
          </w:rPr>
          <w:t>akène</w:t>
        </w:r>
      </w:hyperlink>
      <w:r w:rsidRPr="009F7DE7">
        <w:rPr>
          <w:rFonts w:ascii="Calibri" w:hAnsi="Calibri" w:cs="Calibri"/>
          <w:color w:val="000000" w:themeColor="text1"/>
          <w:shd w:val="clear" w:color="auto" w:fill="FFFFFF"/>
        </w:rPr>
        <w:t>, comportant trois couches : périgone (</w:t>
      </w:r>
      <w:r>
        <w:rPr>
          <w:rFonts w:ascii="Calibri" w:hAnsi="Calibri" w:cs="Calibri"/>
          <w:color w:val="000000" w:themeColor="text1"/>
          <w:shd w:val="clear" w:color="auto" w:fill="FFFFFF"/>
        </w:rPr>
        <w:t xml:space="preserve">un </w:t>
      </w:r>
      <w:r w:rsidRPr="009F7DE7">
        <w:rPr>
          <w:rFonts w:ascii="Calibri" w:hAnsi="Calibri" w:cs="Calibri"/>
          <w:color w:val="000000" w:themeColor="text1"/>
          <w:shd w:val="clear" w:color="auto" w:fill="FFFFFF"/>
        </w:rPr>
        <w:t xml:space="preserve">tépale de fleur), </w:t>
      </w:r>
      <w:hyperlink r:id="rId2168" w:tooltip="Péricarpe" w:history="1">
        <w:r w:rsidRPr="009F7DE7">
          <w:rPr>
            <w:rStyle w:val="Lienhypertexte"/>
            <w:rFonts w:ascii="Calibri" w:hAnsi="Calibri" w:cs="Calibri"/>
            <w:color w:val="0645AD"/>
            <w:shd w:val="clear" w:color="auto" w:fill="FFFFFF"/>
          </w:rPr>
          <w:t>péricarpe</w:t>
        </w:r>
      </w:hyperlink>
      <w:r w:rsidRPr="009F7DE7">
        <w:rPr>
          <w:rFonts w:ascii="Calibri" w:hAnsi="Calibri" w:cs="Calibri"/>
          <w:color w:val="000000" w:themeColor="text1"/>
          <w:shd w:val="clear" w:color="auto" w:fill="FFFFFF"/>
        </w:rPr>
        <w:t xml:space="preserve"> (</w:t>
      </w:r>
      <w:r w:rsidRPr="009F7DE7">
        <w:rPr>
          <w:rFonts w:ascii="Calibri" w:hAnsi="Calibri" w:cs="Calibri"/>
          <w:color w:val="202122"/>
          <w:shd w:val="clear" w:color="auto" w:fill="FFFFFF"/>
        </w:rPr>
        <w:t>l'</w:t>
      </w:r>
      <w:hyperlink r:id="rId2169" w:tooltip="Organe" w:history="1">
        <w:r w:rsidRPr="009F7DE7">
          <w:rPr>
            <w:rStyle w:val="Lienhypertexte"/>
            <w:rFonts w:ascii="Calibri" w:hAnsi="Calibri" w:cs="Calibri"/>
            <w:color w:val="0645AD"/>
            <w:shd w:val="clear" w:color="auto" w:fill="FFFFFF"/>
          </w:rPr>
          <w:t>organe</w:t>
        </w:r>
      </w:hyperlink>
      <w:r w:rsidRPr="009F7DE7">
        <w:rPr>
          <w:rFonts w:ascii="Calibri" w:hAnsi="Calibri" w:cs="Calibri"/>
          <w:color w:val="202122"/>
          <w:shd w:val="clear" w:color="auto" w:fill="FFFFFF"/>
        </w:rPr>
        <w:t> </w:t>
      </w:r>
      <w:hyperlink r:id="rId2170" w:tooltip="Végétal" w:history="1">
        <w:r w:rsidRPr="009F7DE7">
          <w:rPr>
            <w:rStyle w:val="Lienhypertexte"/>
            <w:rFonts w:ascii="Calibri" w:hAnsi="Calibri" w:cs="Calibri"/>
            <w:color w:val="0645AD"/>
            <w:shd w:val="clear" w:color="auto" w:fill="FFFFFF"/>
          </w:rPr>
          <w:t>végétal</w:t>
        </w:r>
      </w:hyperlink>
      <w:r w:rsidRPr="009F7DE7">
        <w:rPr>
          <w:rFonts w:ascii="Calibri" w:hAnsi="Calibri" w:cs="Calibri"/>
          <w:color w:val="202122"/>
          <w:shd w:val="clear" w:color="auto" w:fill="FFFFFF"/>
        </w:rPr>
        <w:t> </w:t>
      </w:r>
      <w:r w:rsidRPr="009F7DE7">
        <w:rPr>
          <w:rFonts w:ascii="Calibri" w:hAnsi="Calibri" w:cs="Calibri"/>
          <w:color w:val="000000" w:themeColor="text1"/>
          <w:shd w:val="clear" w:color="auto" w:fill="FFFFFF"/>
        </w:rPr>
        <w:t>contenant une ou plusieurs </w:t>
      </w:r>
      <w:hyperlink r:id="rId2171" w:tooltip="Graine" w:history="1">
        <w:r w:rsidRPr="009F7DE7">
          <w:rPr>
            <w:rStyle w:val="Lienhypertexte"/>
            <w:rFonts w:ascii="Calibri" w:hAnsi="Calibri" w:cs="Calibri"/>
            <w:color w:val="0645AD"/>
            <w:shd w:val="clear" w:color="auto" w:fill="FFFFFF"/>
          </w:rPr>
          <w:t>graines</w:t>
        </w:r>
      </w:hyperlink>
      <w:r w:rsidRPr="009F7DE7">
        <w:rPr>
          <w:rFonts w:ascii="Calibri" w:hAnsi="Calibri" w:cs="Calibri"/>
          <w:color w:val="000000" w:themeColor="text1"/>
          <w:shd w:val="clear" w:color="auto" w:fill="FFFFFF"/>
        </w:rPr>
        <w:t>) et épisperme (</w:t>
      </w:r>
      <w:r>
        <w:rPr>
          <w:rFonts w:ascii="Calibri" w:hAnsi="Calibri" w:cs="Calibri"/>
          <w:color w:val="000000" w:themeColor="text1"/>
          <w:shd w:val="clear" w:color="auto" w:fill="FFFFFF"/>
        </w:rPr>
        <w:t xml:space="preserve">le </w:t>
      </w:r>
      <w:r w:rsidRPr="009F7DE7">
        <w:rPr>
          <w:rFonts w:ascii="Calibri" w:hAnsi="Calibri" w:cs="Calibri"/>
          <w:color w:val="000000" w:themeColor="text1"/>
          <w:shd w:val="clear" w:color="auto" w:fill="FFFFFF"/>
        </w:rPr>
        <w:t>tégument qui recouvre la graine).</w:t>
      </w:r>
    </w:p>
    <w:p w14:paraId="138CB846" w14:textId="77777777" w:rsidR="00E70A1D" w:rsidRDefault="00E70A1D" w:rsidP="00E70A1D">
      <w:pPr>
        <w:spacing w:after="0" w:line="240" w:lineRule="auto"/>
        <w:jc w:val="both"/>
        <w:rPr>
          <w:rFonts w:ascii="Calibri" w:hAnsi="Calibri" w:cs="Calibri"/>
          <w:color w:val="000000" w:themeColor="text1"/>
          <w:shd w:val="clear" w:color="auto" w:fill="FFFFFF"/>
        </w:rPr>
      </w:pPr>
      <w:r w:rsidRPr="00E54B8F">
        <w:rPr>
          <w:rFonts w:ascii="Calibri" w:hAnsi="Calibri" w:cs="Calibri"/>
          <w:color w:val="000000" w:themeColor="text1"/>
          <w:shd w:val="clear" w:color="auto" w:fill="FFFFFF"/>
        </w:rPr>
        <w:t>Le périgone, vert, rouge ou pourpre, se détache en général facilement à maturation, par lavage ou par frottement à l’état sec. Le péricarpe du fruit, lui aussi de couleur variable (translucide, blanc sale, jaune, rose, rouge etc.), adhère à la graine et est éliminé par décorticage abrasif avant la consommation. L’épisperme entoure la graine en formant une membrane très mince. L’embryon, constitué de deux </w:t>
      </w:r>
      <w:hyperlink r:id="rId2172" w:tooltip="Cotylédon" w:history="1">
        <w:r w:rsidRPr="00E54B8F">
          <w:rPr>
            <w:rStyle w:val="Lienhypertexte"/>
            <w:rFonts w:ascii="Calibri" w:hAnsi="Calibri" w:cs="Calibri"/>
            <w:color w:val="0645AD"/>
            <w:shd w:val="clear" w:color="auto" w:fill="FFFFFF"/>
          </w:rPr>
          <w:t>cotylédons</w:t>
        </w:r>
      </w:hyperlink>
      <w:r>
        <w:rPr>
          <w:rStyle w:val="Appelnotedebasdep"/>
          <w:rFonts w:ascii="Calibri" w:hAnsi="Calibri" w:cs="Calibri"/>
        </w:rPr>
        <w:footnoteReference w:id="128"/>
      </w:r>
      <w:r w:rsidRPr="00E54B8F">
        <w:rPr>
          <w:rFonts w:ascii="Calibri" w:hAnsi="Calibri" w:cs="Calibri"/>
          <w:color w:val="202122"/>
          <w:shd w:val="clear" w:color="auto" w:fill="FFFFFF"/>
        </w:rPr>
        <w:t> </w:t>
      </w:r>
      <w:r w:rsidRPr="00E54B8F">
        <w:rPr>
          <w:rFonts w:ascii="Calibri" w:hAnsi="Calibri" w:cs="Calibri"/>
          <w:color w:val="000000" w:themeColor="text1"/>
          <w:shd w:val="clear" w:color="auto" w:fill="FFFFFF"/>
        </w:rPr>
        <w:t>et de la</w:t>
      </w:r>
      <w:r w:rsidRPr="00E54B8F">
        <w:rPr>
          <w:rFonts w:ascii="Calibri" w:hAnsi="Calibri" w:cs="Calibri"/>
          <w:color w:val="202122"/>
          <w:shd w:val="clear" w:color="auto" w:fill="FFFFFF"/>
        </w:rPr>
        <w:t> </w:t>
      </w:r>
      <w:hyperlink r:id="rId2173" w:tooltip="Radicule" w:history="1">
        <w:r w:rsidRPr="00E54B8F">
          <w:rPr>
            <w:rStyle w:val="Lienhypertexte"/>
            <w:rFonts w:ascii="Calibri" w:hAnsi="Calibri" w:cs="Calibri"/>
            <w:color w:val="0645AD"/>
            <w:shd w:val="clear" w:color="auto" w:fill="FFFFFF"/>
          </w:rPr>
          <w:t>radicule</w:t>
        </w:r>
      </w:hyperlink>
      <w:r>
        <w:rPr>
          <w:rFonts w:ascii="Calibri" w:hAnsi="Calibri" w:cs="Calibri"/>
          <w:color w:val="000000" w:themeColor="text1"/>
        </w:rPr>
        <w:t xml:space="preserve"> (forme embryonnaire de la racine)</w:t>
      </w:r>
      <w:r w:rsidRPr="00E54B8F">
        <w:rPr>
          <w:rFonts w:ascii="Calibri" w:hAnsi="Calibri" w:cs="Calibri"/>
          <w:color w:val="202122"/>
          <w:shd w:val="clear" w:color="auto" w:fill="FFFFFF"/>
        </w:rPr>
        <w:t xml:space="preserve">, </w:t>
      </w:r>
      <w:r w:rsidRPr="00E54B8F">
        <w:rPr>
          <w:rFonts w:ascii="Calibri" w:hAnsi="Calibri" w:cs="Calibri"/>
          <w:color w:val="000000" w:themeColor="text1"/>
          <w:shd w:val="clear" w:color="auto" w:fill="FFFFFF"/>
        </w:rPr>
        <w:t>est à la périphérie de la </w:t>
      </w:r>
      <w:hyperlink r:id="rId2174" w:tooltip="Graine" w:history="1">
        <w:r w:rsidRPr="00E54B8F">
          <w:rPr>
            <w:rStyle w:val="Lienhypertexte"/>
            <w:rFonts w:ascii="Calibri" w:hAnsi="Calibri" w:cs="Calibri"/>
            <w:color w:val="0645AD"/>
            <w:shd w:val="clear" w:color="auto" w:fill="FFFFFF"/>
          </w:rPr>
          <w:t>graine</w:t>
        </w:r>
      </w:hyperlink>
      <w:r w:rsidRPr="00E54B8F">
        <w:rPr>
          <w:rFonts w:ascii="Calibri" w:hAnsi="Calibri" w:cs="Calibri"/>
        </w:rPr>
        <w:t>.</w:t>
      </w:r>
      <w:r>
        <w:rPr>
          <w:rFonts w:ascii="Calibri" w:hAnsi="Calibri" w:cs="Calibri"/>
          <w:color w:val="000000" w:themeColor="text1"/>
          <w:shd w:val="clear" w:color="auto" w:fill="FFFFFF"/>
        </w:rPr>
        <w:t xml:space="preserve"> </w:t>
      </w:r>
      <w:r w:rsidRPr="00413784">
        <w:rPr>
          <w:rFonts w:ascii="Calibri" w:hAnsi="Calibri" w:cs="Calibri"/>
          <w:color w:val="000000" w:themeColor="text1"/>
          <w:shd w:val="clear" w:color="auto" w:fill="FFFFFF"/>
        </w:rPr>
        <w:t>Les graines</w:t>
      </w:r>
      <w:r>
        <w:rPr>
          <w:rFonts w:ascii="Calibri" w:hAnsi="Calibri" w:cs="Calibri"/>
          <w:color w:val="000000" w:themeColor="text1"/>
          <w:shd w:val="clear" w:color="auto" w:fill="FFFFFF"/>
        </w:rPr>
        <w:t>, très petites,</w:t>
      </w:r>
      <w:r w:rsidRPr="00413784">
        <w:rPr>
          <w:rFonts w:ascii="Calibri" w:hAnsi="Calibri" w:cs="Calibri"/>
          <w:color w:val="000000" w:themeColor="text1"/>
          <w:shd w:val="clear" w:color="auto" w:fill="FFFFFF"/>
        </w:rPr>
        <w:t xml:space="preserve"> mesurent environ 2 mm (1 ⁄ 16</w:t>
      </w:r>
      <w:r>
        <w:rPr>
          <w:rFonts w:ascii="Calibri" w:hAnsi="Calibri" w:cs="Calibri"/>
          <w:color w:val="000000" w:themeColor="text1"/>
          <w:shd w:val="clear" w:color="auto" w:fill="FFFFFF"/>
        </w:rPr>
        <w:t>° de</w:t>
      </w:r>
      <w:r w:rsidRPr="00413784">
        <w:rPr>
          <w:rFonts w:ascii="Calibri" w:hAnsi="Calibri" w:cs="Calibri"/>
          <w:color w:val="000000" w:themeColor="text1"/>
          <w:shd w:val="clear" w:color="auto" w:fill="FFFFFF"/>
        </w:rPr>
        <w:t xml:space="preserve"> po</w:t>
      </w:r>
      <w:r>
        <w:rPr>
          <w:rFonts w:ascii="Calibri" w:hAnsi="Calibri" w:cs="Calibri"/>
          <w:color w:val="000000" w:themeColor="text1"/>
          <w:shd w:val="clear" w:color="auto" w:fill="FFFFFF"/>
        </w:rPr>
        <w:t>uce</w:t>
      </w:r>
      <w:r w:rsidRPr="00413784">
        <w:rPr>
          <w:rFonts w:ascii="Calibri" w:hAnsi="Calibri" w:cs="Calibri"/>
          <w:color w:val="000000" w:themeColor="text1"/>
          <w:shd w:val="clear" w:color="auto" w:fill="FFFFFF"/>
        </w:rPr>
        <w:t>)</w:t>
      </w:r>
      <w:r>
        <w:rPr>
          <w:rFonts w:ascii="Calibri" w:hAnsi="Calibri" w:cs="Calibri"/>
          <w:color w:val="000000" w:themeColor="text1"/>
          <w:shd w:val="clear" w:color="auto" w:fill="FFFFFF"/>
        </w:rPr>
        <w:t>,</w:t>
      </w:r>
      <w:r w:rsidRPr="00413784">
        <w:rPr>
          <w:rFonts w:ascii="Calibri" w:hAnsi="Calibri" w:cs="Calibri"/>
          <w:color w:val="000000" w:themeColor="text1"/>
          <w:shd w:val="clear" w:color="auto" w:fill="FFFFFF"/>
        </w:rPr>
        <w:t xml:space="preserve"> de diamètre</w:t>
      </w:r>
      <w:r>
        <w:rPr>
          <w:rFonts w:ascii="Calibri" w:hAnsi="Calibri" w:cs="Calibri"/>
          <w:color w:val="000000" w:themeColor="text1"/>
          <w:shd w:val="clear" w:color="auto" w:fill="FFFFFF"/>
        </w:rPr>
        <w:t>,</w:t>
      </w:r>
      <w:r w:rsidRPr="00413784">
        <w:rPr>
          <w:rFonts w:ascii="Calibri" w:hAnsi="Calibri" w:cs="Calibri"/>
          <w:color w:val="000000" w:themeColor="text1"/>
          <w:shd w:val="clear" w:color="auto" w:fill="FFFFFF"/>
        </w:rPr>
        <w:t xml:space="preserve"> et sont de différentes couleurs </w:t>
      </w:r>
      <w:r>
        <w:rPr>
          <w:rFonts w:ascii="Calibri" w:hAnsi="Calibri" w:cs="Calibri"/>
          <w:color w:val="000000" w:themeColor="text1"/>
          <w:shd w:val="clear" w:color="auto" w:fill="FFFFFF"/>
        </w:rPr>
        <w:t>_</w:t>
      </w:r>
      <w:r w:rsidRPr="00413784">
        <w:rPr>
          <w:rFonts w:ascii="Calibri" w:hAnsi="Calibri" w:cs="Calibri"/>
          <w:color w:val="000000" w:themeColor="text1"/>
          <w:shd w:val="clear" w:color="auto" w:fill="FFFFFF"/>
        </w:rPr>
        <w:t xml:space="preserve"> du blanc au rouge ou au noir, selon le cultivar.</w:t>
      </w:r>
    </w:p>
    <w:p w14:paraId="18860550" w14:textId="77777777" w:rsidR="00E70A1D" w:rsidRDefault="00E70A1D" w:rsidP="00E70A1D">
      <w:pPr>
        <w:spacing w:after="0" w:line="240" w:lineRule="auto"/>
        <w:jc w:val="both"/>
        <w:rPr>
          <w:rFonts w:ascii="Calibri" w:hAnsi="Calibri" w:cs="Calibri"/>
          <w:color w:val="000000" w:themeColor="text1"/>
          <w:shd w:val="clear" w:color="auto" w:fill="FFFFFF"/>
        </w:rPr>
      </w:pPr>
      <w:r w:rsidRPr="00C47E1E">
        <w:rPr>
          <w:rFonts w:ascii="Calibri" w:hAnsi="Calibri" w:cs="Calibri"/>
          <w:color w:val="000000" w:themeColor="text1"/>
          <w:u w:val="single"/>
        </w:rPr>
        <w:t>Culture</w:t>
      </w:r>
      <w:r w:rsidRPr="00C47E1E">
        <w:rPr>
          <w:rFonts w:ascii="Calibri" w:hAnsi="Calibri" w:cs="Calibri"/>
          <w:color w:val="000000" w:themeColor="text1"/>
        </w:rPr>
        <w:t xml:space="preserve"> : </w:t>
      </w:r>
      <w:r w:rsidRPr="00C47E1E">
        <w:rPr>
          <w:rFonts w:ascii="Calibri" w:hAnsi="Calibri" w:cs="Calibri"/>
          <w:color w:val="000000" w:themeColor="text1"/>
          <w:u w:val="single"/>
        </w:rPr>
        <w:t>Exigences climatiques</w:t>
      </w:r>
      <w:r w:rsidRPr="00C47E1E">
        <w:rPr>
          <w:rFonts w:ascii="Calibri" w:hAnsi="Calibri" w:cs="Calibri"/>
          <w:color w:val="000000" w:themeColor="text1"/>
        </w:rPr>
        <w:t xml:space="preserve"> : </w:t>
      </w:r>
      <w:r w:rsidRPr="00C47E1E">
        <w:rPr>
          <w:rFonts w:ascii="Calibri" w:hAnsi="Calibri" w:cs="Calibri"/>
          <w:color w:val="000000" w:themeColor="text1"/>
          <w:shd w:val="clear" w:color="auto" w:fill="FFFFFF"/>
        </w:rPr>
        <w:t>La croissance de la plante est très variable, en raison du nombre de différentes sous-espèces, variétés et variétés </w:t>
      </w:r>
      <w:hyperlink r:id="rId2175" w:tooltip="Landrace" w:history="1">
        <w:r w:rsidRPr="00C47E1E">
          <w:rPr>
            <w:rStyle w:val="Lienhypertexte"/>
            <w:rFonts w:ascii="Calibri" w:hAnsi="Calibri" w:cs="Calibri"/>
            <w:color w:val="0645AD"/>
            <w:shd w:val="clear" w:color="auto" w:fill="FFFFFF"/>
          </w:rPr>
          <w:t>locales</w:t>
        </w:r>
      </w:hyperlink>
      <w:r w:rsidRPr="00C47E1E">
        <w:rPr>
          <w:rFonts w:ascii="Calibri" w:hAnsi="Calibri" w:cs="Calibri"/>
        </w:rPr>
        <w:t xml:space="preserve"> </w:t>
      </w:r>
      <w:r w:rsidRPr="00C47E1E">
        <w:rPr>
          <w:rFonts w:ascii="Calibri" w:hAnsi="Calibri" w:cs="Calibri"/>
          <w:color w:val="000000" w:themeColor="text1"/>
          <w:shd w:val="clear" w:color="auto" w:fill="FFFFFF"/>
        </w:rPr>
        <w:t>(plantes</w:t>
      </w:r>
      <w:r>
        <w:rPr>
          <w:rFonts w:ascii="Calibri" w:hAnsi="Calibri" w:cs="Calibri"/>
          <w:color w:val="000000" w:themeColor="text1"/>
          <w:shd w:val="clear" w:color="auto" w:fill="FFFFFF"/>
        </w:rPr>
        <w:t xml:space="preserve"> sauvages</w:t>
      </w:r>
      <w:r w:rsidRPr="00C47E1E">
        <w:rPr>
          <w:rFonts w:ascii="Calibri" w:hAnsi="Calibri" w:cs="Calibri"/>
          <w:color w:val="000000" w:themeColor="text1"/>
          <w:shd w:val="clear" w:color="auto" w:fill="FFFFFF"/>
        </w:rPr>
        <w:t xml:space="preserve"> ou espèces cultivées, adaptées au milieu dont ils sont originaires). Cependant, elle est généralement peu exigeante et résistante à l'altitude; elle est cultivée dans les régions côtières, jusqu'à plus de 4 000 m (13 000 pi) dans les Andes, près de l'équateur, la plupart des cultivars étant cultivés entre 2 500 m (8 200 pi) et 4 000 m (13 000 pi). Selon la variété, les conditions de croissance optimales sont dans les climats frais, avec des températures variant entre -4 °C (25 °F), pendant la nuit, à près de 35 °C (95 °F), pendant la journée. Certains cultivars peuvent supporter des températures plus basses sans dommage. Les gelées légères n'affectent normalement pas les plantes à aucun stade de développement, sauf pendant la floraison. Les gelées estivales pendant la floraison, fréquentes dans les Andes, entraînent la stérilisation du pollen. Les besoins en précipitations sont très variables entre les différents cultivars et la </w:t>
      </w:r>
      <w:hyperlink r:id="rId2176" w:tooltip="Saison de croissance" w:history="1">
        <w:r w:rsidRPr="00C47E1E">
          <w:rPr>
            <w:rStyle w:val="Lienhypertexte"/>
            <w:rFonts w:ascii="Calibri" w:hAnsi="Calibri" w:cs="Calibri"/>
            <w:color w:val="0645AD"/>
            <w:shd w:val="clear" w:color="auto" w:fill="FFFFFF"/>
          </w:rPr>
          <w:t>saison de croissance</w:t>
        </w:r>
      </w:hyperlink>
      <w:r w:rsidRPr="00C47E1E">
        <w:rPr>
          <w:rFonts w:ascii="Calibri" w:hAnsi="Calibri" w:cs="Calibri"/>
          <w:color w:val="202122"/>
          <w:shd w:val="clear" w:color="auto" w:fill="FFFFFF"/>
        </w:rPr>
        <w:t>. </w:t>
      </w:r>
      <w:r w:rsidRPr="00C47E1E">
        <w:rPr>
          <w:rFonts w:ascii="Calibri" w:hAnsi="Calibri" w:cs="Calibri"/>
          <w:color w:val="000000" w:themeColor="text1"/>
          <w:shd w:val="clear" w:color="auto" w:fill="FFFFFF"/>
        </w:rPr>
        <w:t>La croissance est optimale avec des précipitations bien réparties, au début de la croissance, puis une absence de pluie pendant la maturation des graines et la récolte.</w:t>
      </w:r>
    </w:p>
    <w:p w14:paraId="68868429" w14:textId="77777777" w:rsidR="00E70A1D" w:rsidRDefault="00E70A1D" w:rsidP="00E70A1D">
      <w:pPr>
        <w:spacing w:after="0" w:line="240" w:lineRule="auto"/>
        <w:jc w:val="both"/>
        <w:rPr>
          <w:rFonts w:ascii="Calibri" w:hAnsi="Calibri" w:cs="Calibri"/>
          <w:color w:val="000000" w:themeColor="text1"/>
          <w:shd w:val="clear" w:color="auto" w:fill="FFFFFF"/>
        </w:rPr>
      </w:pPr>
      <w:r w:rsidRPr="00E878C0">
        <w:rPr>
          <w:rFonts w:ascii="Calibri" w:hAnsi="Calibri" w:cs="Calibri"/>
          <w:color w:val="000000" w:themeColor="text1"/>
          <w:u w:val="single"/>
          <w:shd w:val="clear" w:color="auto" w:fill="FFFFFF"/>
        </w:rPr>
        <w:t>Récolte</w:t>
      </w:r>
      <w:r w:rsidRPr="00E878C0">
        <w:rPr>
          <w:rFonts w:ascii="Calibri" w:hAnsi="Calibri" w:cs="Calibri"/>
          <w:color w:val="000000" w:themeColor="text1"/>
          <w:shd w:val="clear" w:color="auto" w:fill="FFFFFF"/>
        </w:rPr>
        <w:t> : Traditionnellement, le grain de quinoa est récolté à la main, et rarement à la machine, car l'extrême variabilité de la période de maturité</w:t>
      </w:r>
      <w:r>
        <w:rPr>
          <w:rFonts w:ascii="Calibri" w:hAnsi="Calibri" w:cs="Calibri"/>
          <w:color w:val="000000" w:themeColor="text1"/>
          <w:shd w:val="clear" w:color="auto" w:fill="FFFFFF"/>
        </w:rPr>
        <w:t>,</w:t>
      </w:r>
      <w:r w:rsidRPr="00E878C0">
        <w:rPr>
          <w:rFonts w:ascii="Calibri" w:hAnsi="Calibri" w:cs="Calibri"/>
          <w:color w:val="000000" w:themeColor="text1"/>
          <w:shd w:val="clear" w:color="auto" w:fill="FFFFFF"/>
        </w:rPr>
        <w:t xml:space="preserve"> de la plupart des cultivars de quinoa</w:t>
      </w:r>
      <w:r>
        <w:rPr>
          <w:rFonts w:ascii="Calibri" w:hAnsi="Calibri" w:cs="Calibri"/>
          <w:color w:val="000000" w:themeColor="text1"/>
          <w:shd w:val="clear" w:color="auto" w:fill="FFFFFF"/>
        </w:rPr>
        <w:t>,</w:t>
      </w:r>
      <w:r w:rsidRPr="00E878C0">
        <w:rPr>
          <w:rFonts w:ascii="Calibri" w:hAnsi="Calibri" w:cs="Calibri"/>
          <w:color w:val="000000" w:themeColor="text1"/>
          <w:shd w:val="clear" w:color="auto" w:fill="FFFFFF"/>
        </w:rPr>
        <w:t xml:space="preserve"> complique la mécanisation. La récolte doit être chronométrée</w:t>
      </w:r>
      <w:r>
        <w:rPr>
          <w:rFonts w:ascii="Calibri" w:hAnsi="Calibri" w:cs="Calibri"/>
          <w:color w:val="000000" w:themeColor="text1"/>
          <w:shd w:val="clear" w:color="auto" w:fill="FFFFFF"/>
        </w:rPr>
        <w:t>,</w:t>
      </w:r>
      <w:r w:rsidRPr="00E878C0">
        <w:rPr>
          <w:rFonts w:ascii="Calibri" w:hAnsi="Calibri" w:cs="Calibri"/>
          <w:color w:val="000000" w:themeColor="text1"/>
          <w:shd w:val="clear" w:color="auto" w:fill="FFFFFF"/>
        </w:rPr>
        <w:t xml:space="preserve"> avec précision</w:t>
      </w:r>
      <w:r>
        <w:rPr>
          <w:rFonts w:ascii="Calibri" w:hAnsi="Calibri" w:cs="Calibri"/>
          <w:color w:val="000000" w:themeColor="text1"/>
          <w:shd w:val="clear" w:color="auto" w:fill="FFFFFF"/>
        </w:rPr>
        <w:t>,</w:t>
      </w:r>
      <w:r w:rsidRPr="00E878C0">
        <w:rPr>
          <w:rFonts w:ascii="Calibri" w:hAnsi="Calibri" w:cs="Calibri"/>
          <w:color w:val="000000" w:themeColor="text1"/>
          <w:shd w:val="clear" w:color="auto" w:fill="FFFFFF"/>
        </w:rPr>
        <w:t xml:space="preserve"> pour éviter les pertes élevées de graines</w:t>
      </w:r>
      <w:r>
        <w:rPr>
          <w:rFonts w:ascii="Calibri" w:hAnsi="Calibri" w:cs="Calibri"/>
          <w:color w:val="000000" w:themeColor="text1"/>
          <w:shd w:val="clear" w:color="auto" w:fill="FFFFFF"/>
        </w:rPr>
        <w:t>,</w:t>
      </w:r>
      <w:r w:rsidRPr="00E878C0">
        <w:rPr>
          <w:rFonts w:ascii="Calibri" w:hAnsi="Calibri" w:cs="Calibri"/>
          <w:color w:val="000000" w:themeColor="text1"/>
          <w:shd w:val="clear" w:color="auto" w:fill="FFFFFF"/>
        </w:rPr>
        <w:t xml:space="preserve"> dues à l'éclatement, et</w:t>
      </w:r>
      <w:r>
        <w:rPr>
          <w:rFonts w:ascii="Calibri" w:hAnsi="Calibri" w:cs="Calibri"/>
          <w:color w:val="000000" w:themeColor="text1"/>
          <w:shd w:val="clear" w:color="auto" w:fill="FFFFFF"/>
        </w:rPr>
        <w:t xml:space="preserve"> que</w:t>
      </w:r>
      <w:r w:rsidRPr="00E878C0">
        <w:rPr>
          <w:rFonts w:ascii="Calibri" w:hAnsi="Calibri" w:cs="Calibri"/>
          <w:color w:val="000000" w:themeColor="text1"/>
          <w:shd w:val="clear" w:color="auto" w:fill="FFFFFF"/>
        </w:rPr>
        <w:t xml:space="preserve"> différentes panicules sur la même plante mûrissent à des moments différents. Le </w:t>
      </w:r>
      <w:hyperlink r:id="rId2177" w:tooltip="Le rendement des cultures" w:history="1">
        <w:r w:rsidRPr="00E878C0">
          <w:rPr>
            <w:rStyle w:val="Lienhypertexte"/>
            <w:rFonts w:ascii="Calibri" w:hAnsi="Calibri" w:cs="Calibri"/>
            <w:color w:val="0645AD"/>
            <w:shd w:val="clear" w:color="auto" w:fill="FFFFFF"/>
          </w:rPr>
          <w:t>rendement des cultures</w:t>
        </w:r>
      </w:hyperlink>
      <w:r w:rsidRPr="00E878C0">
        <w:rPr>
          <w:rFonts w:ascii="Calibri" w:hAnsi="Calibri" w:cs="Calibri"/>
          <w:color w:val="202122"/>
          <w:shd w:val="clear" w:color="auto" w:fill="FFFFFF"/>
        </w:rPr>
        <w:t> </w:t>
      </w:r>
      <w:r w:rsidRPr="00E878C0">
        <w:rPr>
          <w:rFonts w:ascii="Calibri" w:hAnsi="Calibri" w:cs="Calibri"/>
          <w:color w:val="000000" w:themeColor="text1"/>
          <w:shd w:val="clear" w:color="auto" w:fill="FFFFFF"/>
        </w:rPr>
        <w:t>dans la région andine (souvent autour de 3 t/ha jusqu'à 5 t/ha) est comparable aux rendements du blé. Aux États-Unis, les variétés ont été sélectionnées pour l'uniformité de la maturité et sont récoltées mécaniquement à l'aide de moissonneuses-batteuses conventionnelles à petits grains.</w:t>
      </w:r>
    </w:p>
    <w:p w14:paraId="0B88F848" w14:textId="77777777" w:rsidR="00E70A1D" w:rsidRPr="00E878C0" w:rsidRDefault="00E70A1D" w:rsidP="00E70A1D">
      <w:pPr>
        <w:spacing w:after="0" w:line="240" w:lineRule="auto"/>
        <w:jc w:val="both"/>
        <w:rPr>
          <w:rFonts w:ascii="Calibri" w:hAnsi="Calibri" w:cs="Calibri"/>
          <w:color w:val="000000" w:themeColor="text1"/>
        </w:rPr>
      </w:pPr>
      <w:r w:rsidRPr="00E878C0">
        <w:rPr>
          <w:rFonts w:ascii="Calibri" w:hAnsi="Calibri" w:cs="Calibri"/>
          <w:color w:val="000000" w:themeColor="text1"/>
          <w:u w:val="single"/>
        </w:rPr>
        <w:lastRenderedPageBreak/>
        <w:t>Traitement des graines</w:t>
      </w:r>
      <w:r>
        <w:rPr>
          <w:rFonts w:ascii="Calibri" w:hAnsi="Calibri" w:cs="Calibri"/>
          <w:color w:val="000000" w:themeColor="text1"/>
        </w:rPr>
        <w:t xml:space="preserve"> : </w:t>
      </w:r>
      <w:r w:rsidRPr="00E878C0">
        <w:rPr>
          <w:rFonts w:ascii="Calibri" w:hAnsi="Calibri" w:cs="Calibri"/>
          <w:color w:val="000000" w:themeColor="text1"/>
          <w:shd w:val="clear" w:color="auto" w:fill="FFFFFF"/>
        </w:rPr>
        <w:t>Les plantes sont laissées au repos, jusqu'à ce que les tiges et les graines soient sèches et que le grain ait atteint une teneur en humidité inférieure à 10 %. La manipulation implique le </w:t>
      </w:r>
      <w:hyperlink r:id="rId2178" w:tooltip="Battage" w:history="1">
        <w:r w:rsidRPr="00E878C0">
          <w:rPr>
            <w:rStyle w:val="Lienhypertexte"/>
            <w:rFonts w:ascii="Calibri" w:hAnsi="Calibri" w:cs="Calibri"/>
            <w:color w:val="0645AD"/>
            <w:shd w:val="clear" w:color="auto" w:fill="FFFFFF"/>
          </w:rPr>
          <w:t>battage</w:t>
        </w:r>
      </w:hyperlink>
      <w:r>
        <w:rPr>
          <w:rFonts w:ascii="Calibri" w:hAnsi="Calibri" w:cs="Calibri"/>
        </w:rPr>
        <w:t xml:space="preserve">, </w:t>
      </w:r>
      <w:r w:rsidRPr="00E878C0">
        <w:rPr>
          <w:rFonts w:ascii="Calibri" w:hAnsi="Calibri" w:cs="Calibri"/>
          <w:color w:val="000000" w:themeColor="text1"/>
        </w:rPr>
        <w:t>pour séparer</w:t>
      </w:r>
      <w:r w:rsidRPr="00E878C0">
        <w:rPr>
          <w:rFonts w:ascii="Calibri" w:hAnsi="Calibri" w:cs="Calibri"/>
          <w:color w:val="000000" w:themeColor="text1"/>
          <w:shd w:val="clear" w:color="auto" w:fill="FFFFFF"/>
        </w:rPr>
        <w:t> les têtes de graines (panicules) de la </w:t>
      </w:r>
      <w:hyperlink r:id="rId2179" w:tooltip="Balle" w:history="1">
        <w:r w:rsidRPr="00E878C0">
          <w:rPr>
            <w:rStyle w:val="Lienhypertexte"/>
            <w:rFonts w:ascii="Calibri" w:hAnsi="Calibri" w:cs="Calibri"/>
            <w:color w:val="0645AD"/>
            <w:shd w:val="clear" w:color="auto" w:fill="FFFFFF"/>
          </w:rPr>
          <w:t>paille</w:t>
        </w:r>
      </w:hyperlink>
      <w:r>
        <w:rPr>
          <w:rFonts w:ascii="Calibri" w:hAnsi="Calibri" w:cs="Calibri"/>
        </w:rPr>
        <w:t>,</w:t>
      </w:r>
      <w:r w:rsidRPr="00E878C0">
        <w:rPr>
          <w:rFonts w:ascii="Calibri" w:hAnsi="Calibri" w:cs="Calibri"/>
          <w:color w:val="202122"/>
          <w:shd w:val="clear" w:color="auto" w:fill="FFFFFF"/>
        </w:rPr>
        <w:t> </w:t>
      </w:r>
      <w:r w:rsidRPr="00E878C0">
        <w:rPr>
          <w:rFonts w:ascii="Calibri" w:hAnsi="Calibri" w:cs="Calibri"/>
          <w:color w:val="000000" w:themeColor="text1"/>
          <w:shd w:val="clear" w:color="auto" w:fill="FFFFFF"/>
        </w:rPr>
        <w:t>et le </w:t>
      </w:r>
      <w:hyperlink r:id="rId2180" w:tooltip="Vanner" w:history="1">
        <w:r w:rsidRPr="00E878C0">
          <w:rPr>
            <w:rStyle w:val="Lienhypertexte"/>
            <w:rFonts w:ascii="Calibri" w:hAnsi="Calibri" w:cs="Calibri"/>
            <w:color w:val="0645AD"/>
            <w:shd w:val="clear" w:color="auto" w:fill="FFFFFF"/>
          </w:rPr>
          <w:t>vannage</w:t>
        </w:r>
      </w:hyperlink>
      <w:r w:rsidRPr="00E878C0">
        <w:rPr>
          <w:rFonts w:ascii="Calibri" w:hAnsi="Calibri" w:cs="Calibri"/>
          <w:color w:val="202122"/>
          <w:shd w:val="clear" w:color="auto" w:fill="FFFFFF"/>
        </w:rPr>
        <w:t> </w:t>
      </w:r>
      <w:r w:rsidRPr="00E878C0">
        <w:rPr>
          <w:rFonts w:ascii="Calibri" w:hAnsi="Calibri" w:cs="Calibri"/>
          <w:color w:val="000000" w:themeColor="text1"/>
          <w:shd w:val="clear" w:color="auto" w:fill="FFFFFF"/>
        </w:rPr>
        <w:t>de la graine pour enlever son </w:t>
      </w:r>
      <w:hyperlink r:id="rId2181" w:tooltip="Décortiquer" w:history="1">
        <w:r w:rsidRPr="00E878C0">
          <w:rPr>
            <w:rStyle w:val="Lienhypertexte"/>
            <w:rFonts w:ascii="Calibri" w:hAnsi="Calibri" w:cs="Calibri"/>
            <w:color w:val="0645AD"/>
            <w:shd w:val="clear" w:color="auto" w:fill="FFFFFF"/>
          </w:rPr>
          <w:t>enveloppe</w:t>
        </w:r>
      </w:hyperlink>
      <w:r w:rsidRPr="00E878C0">
        <w:rPr>
          <w:rFonts w:ascii="Calibri" w:hAnsi="Calibri" w:cs="Calibri"/>
          <w:color w:val="202122"/>
          <w:shd w:val="clear" w:color="auto" w:fill="FFFFFF"/>
        </w:rPr>
        <w:t>. </w:t>
      </w:r>
      <w:r w:rsidRPr="00E878C0">
        <w:rPr>
          <w:rFonts w:ascii="Calibri" w:hAnsi="Calibri" w:cs="Calibri"/>
          <w:color w:val="000000" w:themeColor="text1"/>
          <w:shd w:val="clear" w:color="auto" w:fill="FFFFFF"/>
        </w:rPr>
        <w:t>Avant le stockage, les graines doivent être séchées afin d'éviter la</w:t>
      </w:r>
      <w:r w:rsidRPr="00E878C0">
        <w:rPr>
          <w:rFonts w:ascii="Calibri" w:hAnsi="Calibri" w:cs="Calibri"/>
          <w:color w:val="202122"/>
          <w:shd w:val="clear" w:color="auto" w:fill="FFFFFF"/>
        </w:rPr>
        <w:t> </w:t>
      </w:r>
      <w:hyperlink r:id="rId2182" w:tooltip="Germination" w:history="1">
        <w:r w:rsidRPr="00E878C0">
          <w:rPr>
            <w:rStyle w:val="Lienhypertexte"/>
            <w:rFonts w:ascii="Calibri" w:hAnsi="Calibri" w:cs="Calibri"/>
            <w:color w:val="0645AD"/>
            <w:shd w:val="clear" w:color="auto" w:fill="FFFFFF"/>
          </w:rPr>
          <w:t>germination</w:t>
        </w:r>
      </w:hyperlink>
      <w:r w:rsidRPr="00E878C0">
        <w:rPr>
          <w:rFonts w:ascii="Calibri" w:hAnsi="Calibri" w:cs="Calibri"/>
          <w:color w:val="202122"/>
          <w:shd w:val="clear" w:color="auto" w:fill="FFFFFF"/>
        </w:rPr>
        <w:t xml:space="preserve">. </w:t>
      </w:r>
      <w:r w:rsidRPr="00E878C0">
        <w:rPr>
          <w:rFonts w:ascii="Calibri" w:hAnsi="Calibri" w:cs="Calibri"/>
          <w:color w:val="000000" w:themeColor="text1"/>
          <w:shd w:val="clear" w:color="auto" w:fill="FFFFFF"/>
        </w:rPr>
        <w:t>Les graines sèches peuvent être stockées crues jusqu'à ce qu'elles soient lavées ou traitées mécaniquement pour éliminer le </w:t>
      </w:r>
      <w:hyperlink r:id="rId2183" w:tooltip="Péricarpe" w:history="1">
        <w:r w:rsidRPr="00E878C0">
          <w:rPr>
            <w:rStyle w:val="Lienhypertexte"/>
            <w:rFonts w:ascii="Calibri" w:hAnsi="Calibri" w:cs="Calibri"/>
            <w:color w:val="0645AD"/>
            <w:shd w:val="clear" w:color="auto" w:fill="FFFFFF"/>
          </w:rPr>
          <w:t>péricarpe</w:t>
        </w:r>
      </w:hyperlink>
      <w:r>
        <w:rPr>
          <w:rFonts w:ascii="Calibri" w:hAnsi="Calibri" w:cs="Calibri"/>
        </w:rPr>
        <w:t xml:space="preserve"> (l’enveloppe)</w:t>
      </w:r>
      <w:r w:rsidRPr="00E878C0">
        <w:rPr>
          <w:rFonts w:ascii="Calibri" w:hAnsi="Calibri" w:cs="Calibri"/>
          <w:color w:val="202122"/>
          <w:shd w:val="clear" w:color="auto" w:fill="FFFFFF"/>
        </w:rPr>
        <w:t> </w:t>
      </w:r>
      <w:r w:rsidRPr="00E878C0">
        <w:rPr>
          <w:rFonts w:ascii="Calibri" w:hAnsi="Calibri" w:cs="Calibri"/>
          <w:color w:val="000000" w:themeColor="text1"/>
          <w:shd w:val="clear" w:color="auto" w:fill="FFFFFF"/>
        </w:rPr>
        <w:t>afin d'éliminer la couche amère contenant des saponines. Les graines doivent être à nouveau séchées avant d'être stockées et vendues en magasin.</w:t>
      </w:r>
    </w:p>
    <w:p w14:paraId="20A99E67" w14:textId="77777777" w:rsidR="00E70A1D" w:rsidRPr="00E878C0" w:rsidRDefault="00E70A1D" w:rsidP="00E70A1D">
      <w:pPr>
        <w:spacing w:after="0" w:line="240" w:lineRule="auto"/>
        <w:jc w:val="both"/>
        <w:rPr>
          <w:rFonts w:ascii="Calibri" w:hAnsi="Calibri" w:cs="Calibri"/>
          <w:color w:val="000000" w:themeColor="text1"/>
          <w:shd w:val="clear" w:color="auto" w:fill="FFFFFF"/>
        </w:rPr>
      </w:pPr>
      <w:r w:rsidRPr="00E878C0">
        <w:rPr>
          <w:rFonts w:ascii="Calibri" w:hAnsi="Calibri" w:cs="Calibri"/>
          <w:color w:val="000000" w:themeColor="text1"/>
          <w:u w:val="single"/>
          <w:shd w:val="clear" w:color="auto" w:fill="FFFFFF"/>
        </w:rPr>
        <w:t>Types de sol</w:t>
      </w:r>
      <w:r w:rsidRPr="00E878C0">
        <w:rPr>
          <w:rFonts w:ascii="Calibri" w:hAnsi="Calibri" w:cs="Calibri"/>
          <w:color w:val="000000" w:themeColor="text1"/>
          <w:shd w:val="clear" w:color="auto" w:fill="FFFFFF"/>
        </w:rPr>
        <w:t> : Le quinoa a attiré l'attention pour son adaptabilité à des environnements contrastés, tels que les sols salins, les sols pauvres en nutriments et les agroécosystèmes marginaux stressés par la sécheresse. Les rendements sont maximisés lorsque 170-200 kg/ha (150-180 lb/acre) d' azote sont disponibles. L'ajout de phosphore n'améliore pas le rendement.</w:t>
      </w:r>
    </w:p>
    <w:p w14:paraId="262E8A65" w14:textId="77777777" w:rsidR="00E70A1D" w:rsidRPr="00C47E1E" w:rsidRDefault="00E70A1D" w:rsidP="00E70A1D">
      <w:pPr>
        <w:spacing w:after="0" w:line="240" w:lineRule="auto"/>
        <w:jc w:val="both"/>
        <w:rPr>
          <w:rFonts w:ascii="Calibri" w:hAnsi="Calibri" w:cs="Calibri"/>
          <w:color w:val="000000" w:themeColor="text1"/>
          <w:shd w:val="clear" w:color="auto" w:fill="FFFFFF"/>
        </w:rPr>
      </w:pPr>
      <w:r w:rsidRPr="00C47E1E">
        <w:rPr>
          <w:rFonts w:ascii="Calibri" w:hAnsi="Calibri" w:cs="Calibri"/>
          <w:color w:val="000000" w:themeColor="text1"/>
          <w:u w:val="single"/>
          <w:shd w:val="clear" w:color="auto" w:fill="FFFFFF"/>
        </w:rPr>
        <w:t>Ravageurs</w:t>
      </w:r>
      <w:r w:rsidRPr="00C47E1E">
        <w:rPr>
          <w:rFonts w:ascii="Calibri" w:hAnsi="Calibri" w:cs="Calibri"/>
          <w:color w:val="000000" w:themeColor="text1"/>
          <w:shd w:val="clear" w:color="auto" w:fill="FFFFFF"/>
        </w:rPr>
        <w:t> : Dans l'est de l'Amérique du Nord, il est sensible à une </w:t>
      </w:r>
      <w:hyperlink r:id="rId2184" w:tooltip="Mineuse des feuilles" w:history="1">
        <w:r w:rsidRPr="00C47E1E">
          <w:rPr>
            <w:rStyle w:val="Lienhypertexte"/>
            <w:rFonts w:ascii="Calibri" w:hAnsi="Calibri" w:cs="Calibri"/>
            <w:color w:val="0645AD"/>
            <w:shd w:val="clear" w:color="auto" w:fill="FFFFFF"/>
          </w:rPr>
          <w:t>mineuse des feuilles</w:t>
        </w:r>
      </w:hyperlink>
      <w:r w:rsidRPr="00C47E1E">
        <w:rPr>
          <w:rFonts w:ascii="Calibri" w:hAnsi="Calibri" w:cs="Calibri"/>
          <w:color w:val="202122"/>
          <w:shd w:val="clear" w:color="auto" w:fill="FFFFFF"/>
        </w:rPr>
        <w:t> </w:t>
      </w:r>
      <w:r w:rsidRPr="00C47E1E">
        <w:rPr>
          <w:rFonts w:ascii="Calibri" w:hAnsi="Calibri" w:cs="Calibri"/>
          <w:color w:val="000000" w:themeColor="text1"/>
          <w:shd w:val="clear" w:color="auto" w:fill="FFFFFF"/>
        </w:rPr>
        <w:t>qui peut réduire</w:t>
      </w:r>
      <w:r>
        <w:rPr>
          <w:rFonts w:ascii="Calibri" w:hAnsi="Calibri" w:cs="Calibri"/>
          <w:color w:val="000000" w:themeColor="text1"/>
          <w:shd w:val="clear" w:color="auto" w:fill="FFFFFF"/>
        </w:rPr>
        <w:t xml:space="preserve"> fortement</w:t>
      </w:r>
      <w:r w:rsidRPr="00C47E1E">
        <w:rPr>
          <w:rFonts w:ascii="Calibri" w:hAnsi="Calibri" w:cs="Calibri"/>
          <w:color w:val="000000" w:themeColor="text1"/>
          <w:shd w:val="clear" w:color="auto" w:fill="FFFFFF"/>
        </w:rPr>
        <w:t xml:space="preserve"> le rendement de la culture. L</w:t>
      </w:r>
      <w:r>
        <w:rPr>
          <w:rFonts w:ascii="Calibri" w:hAnsi="Calibri" w:cs="Calibri"/>
          <w:color w:val="000000" w:themeColor="text1"/>
          <w:shd w:val="clear" w:color="auto" w:fill="FFFFFF"/>
        </w:rPr>
        <w:t>a</w:t>
      </w:r>
      <w:r w:rsidRPr="00C47E1E">
        <w:rPr>
          <w:rFonts w:ascii="Calibri" w:hAnsi="Calibri" w:cs="Calibri"/>
          <w:color w:val="000000" w:themeColor="text1"/>
          <w:shd w:val="clear" w:color="auto" w:fill="FFFFFF"/>
        </w:rPr>
        <w:t xml:space="preserve"> mineu</w:t>
      </w:r>
      <w:r>
        <w:rPr>
          <w:rFonts w:ascii="Calibri" w:hAnsi="Calibri" w:cs="Calibri"/>
          <w:color w:val="000000" w:themeColor="text1"/>
          <w:shd w:val="clear" w:color="auto" w:fill="FFFFFF"/>
        </w:rPr>
        <w:t>se</w:t>
      </w:r>
      <w:r w:rsidRPr="00C47E1E">
        <w:rPr>
          <w:rFonts w:ascii="Calibri" w:hAnsi="Calibri" w:cs="Calibri"/>
          <w:color w:val="000000" w:themeColor="text1"/>
          <w:shd w:val="clear" w:color="auto" w:fill="FFFFFF"/>
        </w:rPr>
        <w:t xml:space="preserve"> affecte également le quinoa et le parent proche</w:t>
      </w:r>
      <w:r w:rsidRPr="00C47E1E">
        <w:rPr>
          <w:rFonts w:ascii="Calibri" w:hAnsi="Calibri" w:cs="Calibri"/>
          <w:color w:val="202122"/>
          <w:shd w:val="clear" w:color="auto" w:fill="FFFFFF"/>
        </w:rPr>
        <w:t> </w:t>
      </w:r>
      <w:hyperlink r:id="rId2185" w:tooltip="Chénopode album" w:history="1">
        <w:r w:rsidRPr="00C47E1E">
          <w:rPr>
            <w:rStyle w:val="Lienhypertexte"/>
            <w:rFonts w:ascii="Calibri" w:hAnsi="Calibri" w:cs="Calibri"/>
            <w:i/>
            <w:iCs/>
            <w:color w:val="0645AD"/>
            <w:shd w:val="clear" w:color="auto" w:fill="FFFFFF"/>
          </w:rPr>
          <w:t>Chenopodium album</w:t>
        </w:r>
      </w:hyperlink>
      <w:r w:rsidRPr="00C47E1E">
        <w:rPr>
          <w:rFonts w:ascii="Calibri" w:hAnsi="Calibri" w:cs="Calibri"/>
          <w:color w:val="202122"/>
          <w:shd w:val="clear" w:color="auto" w:fill="FFFFFF"/>
        </w:rPr>
        <w:t xml:space="preserve">, </w:t>
      </w:r>
      <w:r w:rsidRPr="00C47E1E">
        <w:rPr>
          <w:rFonts w:ascii="Calibri" w:hAnsi="Calibri" w:cs="Calibri"/>
          <w:color w:val="000000" w:themeColor="text1"/>
          <w:shd w:val="clear" w:color="auto" w:fill="FFFFFF"/>
        </w:rPr>
        <w:t>mais </w:t>
      </w:r>
      <w:r w:rsidRPr="00C47E1E">
        <w:rPr>
          <w:rFonts w:ascii="Calibri" w:hAnsi="Calibri" w:cs="Calibri"/>
          <w:i/>
          <w:iCs/>
          <w:color w:val="000000" w:themeColor="text1"/>
          <w:shd w:val="clear" w:color="auto" w:fill="FFFFFF"/>
        </w:rPr>
        <w:t>C. album</w:t>
      </w:r>
      <w:r w:rsidRPr="00C47E1E">
        <w:rPr>
          <w:rFonts w:ascii="Calibri" w:hAnsi="Calibri" w:cs="Calibri"/>
          <w:color w:val="000000" w:themeColor="text1"/>
          <w:shd w:val="clear" w:color="auto" w:fill="FFFFFF"/>
        </w:rPr>
        <w:t> est beaucoup plus résistant.</w:t>
      </w:r>
    </w:p>
    <w:p w14:paraId="62800846" w14:textId="77777777" w:rsidR="00E70A1D" w:rsidRPr="00C47E1E" w:rsidRDefault="00E70A1D" w:rsidP="00E70A1D">
      <w:pPr>
        <w:spacing w:after="0" w:line="240" w:lineRule="auto"/>
        <w:jc w:val="both"/>
        <w:rPr>
          <w:rFonts w:ascii="Calibri" w:hAnsi="Calibri" w:cs="Calibri"/>
          <w:color w:val="000000" w:themeColor="text1"/>
        </w:rPr>
      </w:pPr>
      <w:r w:rsidRPr="00C47E1E">
        <w:rPr>
          <w:rFonts w:ascii="Calibri" w:hAnsi="Calibri" w:cs="Calibri"/>
          <w:color w:val="000000" w:themeColor="text1"/>
          <w:u w:val="single"/>
        </w:rPr>
        <w:t>Semis</w:t>
      </w:r>
      <w:r w:rsidRPr="00C47E1E">
        <w:rPr>
          <w:rFonts w:ascii="Calibri" w:hAnsi="Calibri" w:cs="Calibri"/>
          <w:color w:val="000000" w:themeColor="text1"/>
        </w:rPr>
        <w:t xml:space="preserve"> : Les plants de quinoa poussent mieux dans des sols sablonneux et bien drainés avec une faible teneur en éléments nutritifs, une salinité modérée et un pH du sol de 6 à 8,5. Le lit de semence doit être bien préparé et drainé pour éviter les sols gorgées d’eau.</w:t>
      </w:r>
    </w:p>
    <w:p w14:paraId="64CA5F7C" w14:textId="77777777" w:rsidR="00E70A1D" w:rsidRDefault="00E70A1D" w:rsidP="00E70A1D">
      <w:pPr>
        <w:spacing w:after="0" w:line="240" w:lineRule="auto"/>
        <w:jc w:val="both"/>
        <w:rPr>
          <w:rFonts w:ascii="Calibri" w:hAnsi="Calibri" w:cs="Calibri"/>
        </w:rPr>
      </w:pPr>
      <w:r w:rsidRPr="00413784">
        <w:rPr>
          <w:rFonts w:ascii="Calibri" w:hAnsi="Calibri" w:cs="Calibri"/>
          <w:u w:val="single"/>
        </w:rPr>
        <w:t>Résistance au sel</w:t>
      </w:r>
      <w:r>
        <w:rPr>
          <w:rFonts w:ascii="Calibri" w:hAnsi="Calibri" w:cs="Calibri"/>
        </w:rPr>
        <w:t xml:space="preserve"> : </w:t>
      </w:r>
      <w:r w:rsidRPr="00413784">
        <w:rPr>
          <w:rFonts w:ascii="Calibri" w:hAnsi="Calibri" w:cs="Calibri"/>
        </w:rPr>
        <w:t>Des études ont suggéré que la réduction de la densité des stomates (des feuilles)</w:t>
      </w:r>
      <w:r>
        <w:rPr>
          <w:rStyle w:val="Appelnotedebasdep"/>
          <w:rFonts w:ascii="Calibri" w:hAnsi="Calibri" w:cs="Calibri"/>
        </w:rPr>
        <w:footnoteReference w:id="129"/>
      </w:r>
      <w:r w:rsidRPr="00413784">
        <w:rPr>
          <w:rFonts w:ascii="Calibri" w:hAnsi="Calibri" w:cs="Calibri"/>
        </w:rPr>
        <w:t xml:space="preserve"> en réaction aux niveaux de salinité représente un instrument de défense essentiel pour optimiser l'efficacité de l'utilisation de l'eau dans les conditions données auxquelles elle peut être exposée.</w:t>
      </w:r>
    </w:p>
    <w:p w14:paraId="42BE1421" w14:textId="77777777" w:rsidR="00E70A1D" w:rsidRPr="00F66C65" w:rsidRDefault="00E70A1D" w:rsidP="00E70A1D">
      <w:pPr>
        <w:spacing w:after="0" w:line="240" w:lineRule="auto"/>
        <w:jc w:val="both"/>
        <w:rPr>
          <w:rFonts w:ascii="Calibri" w:hAnsi="Calibri" w:cs="Calibri"/>
          <w:color w:val="000000" w:themeColor="text1"/>
        </w:rPr>
      </w:pPr>
      <w:r w:rsidRPr="00F66C65">
        <w:rPr>
          <w:rFonts w:ascii="Calibri" w:hAnsi="Calibri" w:cs="Calibri"/>
          <w:u w:val="single"/>
        </w:rPr>
        <w:t>Recherches génétiques</w:t>
      </w:r>
      <w:r>
        <w:rPr>
          <w:rFonts w:ascii="Calibri" w:hAnsi="Calibri" w:cs="Calibri"/>
        </w:rPr>
        <w:t xml:space="preserve"> : </w:t>
      </w:r>
      <w:r w:rsidRPr="00F66C65">
        <w:rPr>
          <w:rFonts w:ascii="Calibri" w:hAnsi="Calibri" w:cs="Calibri"/>
          <w:color w:val="000000" w:themeColor="text1"/>
          <w:shd w:val="clear" w:color="auto" w:fill="FFFFFF"/>
        </w:rPr>
        <w:t>Grâce à la reproduction sélective traditionnelle et, potentiellement, au </w:t>
      </w:r>
      <w:hyperlink r:id="rId2186" w:tooltip="Ingénierie génétique" w:history="1">
        <w:r w:rsidRPr="00F66C65">
          <w:rPr>
            <w:rStyle w:val="Lienhypertexte"/>
            <w:rFonts w:ascii="Calibri" w:hAnsi="Calibri" w:cs="Calibri"/>
            <w:color w:val="0645AD"/>
            <w:shd w:val="clear" w:color="auto" w:fill="FFFFFF"/>
          </w:rPr>
          <w:t>génie génétique</w:t>
        </w:r>
      </w:hyperlink>
      <w:r w:rsidRPr="00F66C65">
        <w:rPr>
          <w:rFonts w:ascii="Calibri" w:hAnsi="Calibri" w:cs="Calibri"/>
          <w:color w:val="202122"/>
          <w:shd w:val="clear" w:color="auto" w:fill="FFFFFF"/>
        </w:rPr>
        <w:t xml:space="preserve">, </w:t>
      </w:r>
      <w:r w:rsidRPr="00F66C65">
        <w:rPr>
          <w:rFonts w:ascii="Calibri" w:hAnsi="Calibri" w:cs="Calibri"/>
          <w:color w:val="000000" w:themeColor="text1"/>
          <w:shd w:val="clear" w:color="auto" w:fill="FFFFFF"/>
        </w:rPr>
        <w:t>la plante est modifiée pour avoir un </w:t>
      </w:r>
      <w:hyperlink r:id="rId2187" w:tooltip="Le rendement des cultures" w:history="1">
        <w:r w:rsidRPr="00F66C65">
          <w:rPr>
            <w:rStyle w:val="Lienhypertexte"/>
            <w:rFonts w:ascii="Calibri" w:hAnsi="Calibri" w:cs="Calibri"/>
            <w:color w:val="0645AD"/>
            <w:shd w:val="clear" w:color="auto" w:fill="FFFFFF"/>
          </w:rPr>
          <w:t>rendement</w:t>
        </w:r>
      </w:hyperlink>
      <w:r w:rsidRPr="00F66C65">
        <w:rPr>
          <w:rFonts w:ascii="Calibri" w:hAnsi="Calibri" w:cs="Calibri"/>
          <w:color w:val="202122"/>
          <w:shd w:val="clear" w:color="auto" w:fill="FFFFFF"/>
        </w:rPr>
        <w:t> </w:t>
      </w:r>
      <w:r w:rsidRPr="00F66C65">
        <w:rPr>
          <w:rFonts w:ascii="Calibri" w:hAnsi="Calibri" w:cs="Calibri"/>
          <w:color w:val="000000" w:themeColor="text1"/>
          <w:shd w:val="clear" w:color="auto" w:fill="FFFFFF"/>
        </w:rPr>
        <w:t>plus </w:t>
      </w:r>
      <w:hyperlink r:id="rId2188" w:tooltip="Le rendement des cultures" w:history="1">
        <w:r w:rsidRPr="00F66C65">
          <w:rPr>
            <w:rStyle w:val="Lienhypertexte"/>
            <w:rFonts w:ascii="Calibri" w:hAnsi="Calibri" w:cs="Calibri"/>
            <w:color w:val="0645AD"/>
            <w:shd w:val="clear" w:color="auto" w:fill="FFFFFF"/>
          </w:rPr>
          <w:t>élevé</w:t>
        </w:r>
      </w:hyperlink>
      <w:r w:rsidRPr="00F66C65">
        <w:rPr>
          <w:rFonts w:ascii="Calibri" w:hAnsi="Calibri" w:cs="Calibri"/>
          <w:color w:val="202122"/>
          <w:shd w:val="clear" w:color="auto" w:fill="FFFFFF"/>
        </w:rPr>
        <w:t xml:space="preserve">, </w:t>
      </w:r>
      <w:r w:rsidRPr="00F66C65">
        <w:rPr>
          <w:rFonts w:ascii="Calibri" w:hAnsi="Calibri" w:cs="Calibri"/>
          <w:color w:val="000000" w:themeColor="text1"/>
          <w:shd w:val="clear" w:color="auto" w:fill="FFFFFF"/>
        </w:rPr>
        <w:t>une meilleure tolérance à la chaleur</w:t>
      </w:r>
      <w:r>
        <w:rPr>
          <w:rFonts w:ascii="Calibri" w:hAnsi="Calibri" w:cs="Calibri"/>
          <w:color w:val="000000" w:themeColor="text1"/>
          <w:shd w:val="clear" w:color="auto" w:fill="FFFFFF"/>
        </w:rPr>
        <w:t>,</w:t>
      </w:r>
      <w:r w:rsidRPr="00F66C65">
        <w:rPr>
          <w:rFonts w:ascii="Calibri" w:hAnsi="Calibri" w:cs="Calibri"/>
          <w:color w:val="000000" w:themeColor="text1"/>
          <w:shd w:val="clear" w:color="auto" w:fill="FFFFFF"/>
        </w:rPr>
        <w:t xml:space="preserve"> au </w:t>
      </w:r>
      <w:hyperlink r:id="rId2189" w:tooltip="Stress biotique" w:history="1">
        <w:r w:rsidRPr="00F66C65">
          <w:rPr>
            <w:rStyle w:val="Lienhypertexte"/>
            <w:rFonts w:ascii="Calibri" w:hAnsi="Calibri" w:cs="Calibri"/>
            <w:color w:val="0645AD"/>
            <w:shd w:val="clear" w:color="auto" w:fill="FFFFFF"/>
          </w:rPr>
          <w:t>stress biotique</w:t>
        </w:r>
      </w:hyperlink>
      <w:r w:rsidRPr="00F66C65">
        <w:rPr>
          <w:rFonts w:ascii="Calibri" w:hAnsi="Calibri" w:cs="Calibri"/>
          <w:color w:val="202122"/>
          <w:shd w:val="clear" w:color="auto" w:fill="FFFFFF"/>
        </w:rPr>
        <w:t> </w:t>
      </w:r>
      <w:r w:rsidRPr="00F66C65">
        <w:rPr>
          <w:rFonts w:ascii="Calibri" w:hAnsi="Calibri" w:cs="Calibri"/>
          <w:color w:val="000000" w:themeColor="text1"/>
          <w:shd w:val="clear" w:color="auto" w:fill="FFFFFF"/>
        </w:rPr>
        <w:t>et une plus grande douceur</w:t>
      </w:r>
      <w:r>
        <w:rPr>
          <w:rFonts w:ascii="Calibri" w:hAnsi="Calibri" w:cs="Calibri"/>
          <w:color w:val="000000" w:themeColor="text1"/>
          <w:shd w:val="clear" w:color="auto" w:fill="FFFFFF"/>
        </w:rPr>
        <w:t>,</w:t>
      </w:r>
      <w:r w:rsidRPr="00F66C65">
        <w:rPr>
          <w:rFonts w:ascii="Calibri" w:hAnsi="Calibri" w:cs="Calibri"/>
          <w:color w:val="000000" w:themeColor="text1"/>
          <w:shd w:val="clear" w:color="auto" w:fill="FFFFFF"/>
        </w:rPr>
        <w:t xml:space="preserve"> grâce à l'inhibition de la saponine</w:t>
      </w:r>
      <w:r w:rsidRPr="00F66C65">
        <w:rPr>
          <w:rFonts w:ascii="Calibri" w:hAnsi="Calibri" w:cs="Calibri"/>
          <w:color w:val="000000" w:themeColor="text1"/>
        </w:rPr>
        <w:t>.</w:t>
      </w:r>
    </w:p>
    <w:p w14:paraId="1117080A" w14:textId="77777777" w:rsidR="00E70A1D" w:rsidRPr="00273668" w:rsidRDefault="00E70A1D" w:rsidP="00E70A1D">
      <w:pPr>
        <w:spacing w:after="0" w:line="240" w:lineRule="auto"/>
        <w:jc w:val="both"/>
        <w:rPr>
          <w:rFonts w:ascii="Calibri" w:hAnsi="Calibri" w:cs="Calibri"/>
          <w:color w:val="000000" w:themeColor="text1"/>
          <w:shd w:val="clear" w:color="auto" w:fill="FFFFFF"/>
        </w:rPr>
      </w:pPr>
      <w:r w:rsidRPr="00273668">
        <w:rPr>
          <w:rFonts w:ascii="Calibri" w:hAnsi="Calibri" w:cs="Calibri"/>
          <w:u w:val="single"/>
        </w:rPr>
        <w:t>Saponines et acide oxalique</w:t>
      </w:r>
      <w:r w:rsidRPr="00273668">
        <w:rPr>
          <w:rFonts w:ascii="Calibri" w:hAnsi="Calibri" w:cs="Calibri"/>
        </w:rPr>
        <w:t xml:space="preserve"> </w:t>
      </w:r>
      <w:r w:rsidRPr="00273668">
        <w:rPr>
          <w:rFonts w:ascii="Calibri" w:hAnsi="Calibri" w:cs="Calibri"/>
          <w:color w:val="000000" w:themeColor="text1"/>
        </w:rPr>
        <w:t xml:space="preserve">: </w:t>
      </w:r>
      <w:r w:rsidRPr="00273668">
        <w:rPr>
          <w:rFonts w:ascii="Calibri" w:hAnsi="Calibri" w:cs="Calibri"/>
          <w:color w:val="000000" w:themeColor="text1"/>
          <w:shd w:val="clear" w:color="auto" w:fill="FFFFFF"/>
        </w:rPr>
        <w:t>Dans leur état naturel, les graines ont un enrobage, contenant des </w:t>
      </w:r>
      <w:hyperlink r:id="rId2190" w:tooltip="Saponine" w:history="1">
        <w:r w:rsidRPr="00273668">
          <w:rPr>
            <w:rStyle w:val="Lienhypertexte"/>
            <w:rFonts w:ascii="Calibri" w:hAnsi="Calibri" w:cs="Calibri"/>
            <w:color w:val="0645AD"/>
            <w:shd w:val="clear" w:color="auto" w:fill="FFFFFF"/>
          </w:rPr>
          <w:t>saponines</w:t>
        </w:r>
      </w:hyperlink>
      <w:r w:rsidRPr="00273668">
        <w:rPr>
          <w:rFonts w:ascii="Calibri" w:hAnsi="Calibri" w:cs="Calibri"/>
          <w:color w:val="202122"/>
          <w:shd w:val="clear" w:color="auto" w:fill="FFFFFF"/>
        </w:rPr>
        <w:t> </w:t>
      </w:r>
      <w:r w:rsidRPr="00273668">
        <w:rPr>
          <w:rFonts w:ascii="Calibri" w:hAnsi="Calibri" w:cs="Calibri"/>
          <w:color w:val="000000" w:themeColor="text1"/>
          <w:shd w:val="clear" w:color="auto" w:fill="FFFFFF"/>
        </w:rPr>
        <w:t>au goût amer, ce qui les rend </w:t>
      </w:r>
      <w:hyperlink r:id="rId2191" w:tooltip="Désagréable" w:history="1">
        <w:r w:rsidRPr="00273668">
          <w:rPr>
            <w:rStyle w:val="Lienhypertexte"/>
            <w:rFonts w:ascii="Calibri" w:hAnsi="Calibri" w:cs="Calibri"/>
            <w:color w:val="0645AD"/>
            <w:shd w:val="clear" w:color="auto" w:fill="FFFFFF"/>
          </w:rPr>
          <w:t>désagréables</w:t>
        </w:r>
      </w:hyperlink>
      <w:r w:rsidRPr="00273668">
        <w:rPr>
          <w:rFonts w:ascii="Calibri" w:hAnsi="Calibri" w:cs="Calibri"/>
          <w:color w:val="202122"/>
          <w:shd w:val="clear" w:color="auto" w:fill="FFFFFF"/>
        </w:rPr>
        <w:t> au </w:t>
      </w:r>
      <w:hyperlink r:id="rId2192" w:tooltip="Désagréable" w:history="1">
        <w:r w:rsidRPr="00273668">
          <w:rPr>
            <w:rStyle w:val="Lienhypertexte"/>
            <w:rFonts w:ascii="Calibri" w:hAnsi="Calibri" w:cs="Calibri"/>
            <w:color w:val="0645AD"/>
            <w:shd w:val="clear" w:color="auto" w:fill="FFFFFF"/>
          </w:rPr>
          <w:t>goût</w:t>
        </w:r>
      </w:hyperlink>
      <w:r w:rsidRPr="00273668">
        <w:rPr>
          <w:rFonts w:ascii="Calibri" w:hAnsi="Calibri" w:cs="Calibri"/>
          <w:color w:val="202122"/>
          <w:shd w:val="clear" w:color="auto" w:fill="FFFFFF"/>
        </w:rPr>
        <w:t>. </w:t>
      </w:r>
      <w:r w:rsidRPr="00273668">
        <w:rPr>
          <w:rFonts w:ascii="Calibri" w:hAnsi="Calibri" w:cs="Calibri"/>
          <w:color w:val="000000" w:themeColor="text1"/>
          <w:shd w:val="clear" w:color="auto" w:fill="FFFFFF"/>
        </w:rPr>
        <w:t>La plupart du grain vendu commercialement a été traité pour enlever ce revêtement. Cette amertume a des effets bénéfiques pendant la culture, car elle dissuade les oiseaux et, par conséquent, la plante nécessite une protection minimale.</w:t>
      </w:r>
    </w:p>
    <w:p w14:paraId="3B9C1723" w14:textId="77777777" w:rsidR="00E70A1D" w:rsidRDefault="00E70A1D" w:rsidP="00E70A1D">
      <w:pPr>
        <w:spacing w:after="0" w:line="240" w:lineRule="auto"/>
        <w:jc w:val="both"/>
        <w:rPr>
          <w:rFonts w:ascii="Calibri" w:hAnsi="Calibri" w:cs="Calibri"/>
          <w:color w:val="202122"/>
          <w:shd w:val="clear" w:color="auto" w:fill="FFFFFF"/>
        </w:rPr>
      </w:pPr>
      <w:r w:rsidRPr="00273668">
        <w:rPr>
          <w:rFonts w:ascii="Calibri" w:hAnsi="Calibri" w:cs="Calibri"/>
          <w:color w:val="000000" w:themeColor="text1"/>
          <w:shd w:val="clear" w:color="auto" w:fill="FFFFFF"/>
        </w:rPr>
        <w:t>Bien que l'abaissement de la teneur en saponine, par le biais d'une </w:t>
      </w:r>
      <w:hyperlink r:id="rId2193" w:tooltip="Élevage sélectif" w:history="1">
        <w:r w:rsidRPr="00273668">
          <w:rPr>
            <w:rStyle w:val="Lienhypertexte"/>
            <w:rFonts w:ascii="Calibri" w:hAnsi="Calibri" w:cs="Calibri"/>
            <w:color w:val="0645AD"/>
            <w:shd w:val="clear" w:color="auto" w:fill="FFFFFF"/>
          </w:rPr>
          <w:t>reproduction sélective</w:t>
        </w:r>
      </w:hyperlink>
      <w:r w:rsidRPr="00273668">
        <w:rPr>
          <w:rFonts w:ascii="Calibri" w:hAnsi="Calibri" w:cs="Calibri"/>
          <w:color w:val="202122"/>
          <w:shd w:val="clear" w:color="auto" w:fill="FFFFFF"/>
        </w:rPr>
        <w:t> </w:t>
      </w:r>
      <w:r w:rsidRPr="00273668">
        <w:rPr>
          <w:rFonts w:ascii="Calibri" w:hAnsi="Calibri" w:cs="Calibri"/>
          <w:color w:val="000000" w:themeColor="text1"/>
          <w:shd w:val="clear" w:color="auto" w:fill="FFFFFF"/>
        </w:rPr>
        <w:t>pour produire des variétés plus sucrées et plus agréables au goût, soit compliquée par une pollinisation</w:t>
      </w:r>
      <w:r w:rsidRPr="00273668">
        <w:rPr>
          <w:rFonts w:ascii="Calibri" w:hAnsi="Calibri" w:cs="Calibri"/>
          <w:color w:val="202122"/>
          <w:shd w:val="clear" w:color="auto" w:fill="FFFFFF"/>
        </w:rPr>
        <w:t> </w:t>
      </w:r>
      <w:hyperlink r:id="rId2194" w:tooltip="Pollinisation croisée" w:history="1">
        <w:r w:rsidRPr="00273668">
          <w:rPr>
            <w:rStyle w:val="Lienhypertexte"/>
            <w:rFonts w:ascii="Calibri" w:hAnsi="Calibri" w:cs="Calibri"/>
            <w:color w:val="0645AD"/>
            <w:shd w:val="clear" w:color="auto" w:fill="FFFFFF"/>
          </w:rPr>
          <w:t>croisée</w:t>
        </w:r>
      </w:hyperlink>
      <w:r w:rsidRPr="00273668">
        <w:rPr>
          <w:rFonts w:ascii="Calibri" w:hAnsi="Calibri" w:cs="Calibri"/>
          <w:color w:val="202122"/>
          <w:shd w:val="clear" w:color="auto" w:fill="FFFFFF"/>
        </w:rPr>
        <w:t> </w:t>
      </w:r>
      <w:r w:rsidRPr="00273668">
        <w:rPr>
          <w:rFonts w:ascii="Calibri" w:hAnsi="Calibri" w:cs="Calibri"/>
          <w:color w:val="000000" w:themeColor="text1"/>
          <w:shd w:val="clear" w:color="auto" w:fill="FFFFFF"/>
        </w:rPr>
        <w:t xml:space="preserve">≈ 10 %, c'est un objectif majeur du </w:t>
      </w:r>
      <w:hyperlink r:id="rId2195" w:tooltip="Programme d'élevage" w:history="1">
        <w:r w:rsidRPr="00273668">
          <w:rPr>
            <w:rStyle w:val="Lienhypertexte"/>
            <w:rFonts w:ascii="Calibri" w:hAnsi="Calibri" w:cs="Calibri"/>
            <w:color w:val="0645AD"/>
            <w:shd w:val="clear" w:color="auto" w:fill="FFFFFF"/>
          </w:rPr>
          <w:t>programmes de sélection</w:t>
        </w:r>
      </w:hyperlink>
      <w:r w:rsidRPr="00273668">
        <w:rPr>
          <w:rFonts w:ascii="Calibri" w:hAnsi="Calibri" w:cs="Calibri"/>
          <w:color w:val="202122"/>
          <w:shd w:val="clear" w:color="auto" w:fill="FFFFFF"/>
        </w:rPr>
        <w:t> </w:t>
      </w:r>
      <w:r w:rsidRPr="00AF3826">
        <w:rPr>
          <w:rFonts w:ascii="Calibri" w:hAnsi="Calibri" w:cs="Calibri"/>
          <w:color w:val="000000" w:themeColor="text1"/>
          <w:shd w:val="clear" w:color="auto" w:fill="FFFFFF"/>
        </w:rPr>
        <w:t>des quinoas, qui peuvent inclure le </w:t>
      </w:r>
      <w:hyperlink r:id="rId2196" w:tooltip="Ingénierie génétique" w:history="1">
        <w:r w:rsidRPr="00273668">
          <w:rPr>
            <w:rStyle w:val="Lienhypertexte"/>
            <w:rFonts w:ascii="Calibri" w:hAnsi="Calibri" w:cs="Calibri"/>
            <w:color w:val="0645AD"/>
            <w:shd w:val="clear" w:color="auto" w:fill="FFFFFF"/>
          </w:rPr>
          <w:t>génie génétique</w:t>
        </w:r>
      </w:hyperlink>
      <w:r w:rsidRPr="00273668">
        <w:rPr>
          <w:rFonts w:ascii="Calibri" w:hAnsi="Calibri" w:cs="Calibri"/>
          <w:color w:val="202122"/>
          <w:shd w:val="clear" w:color="auto" w:fill="FFFFFF"/>
        </w:rPr>
        <w:t>.</w:t>
      </w:r>
    </w:p>
    <w:p w14:paraId="6E3079B2" w14:textId="77777777" w:rsidR="00E70A1D" w:rsidRPr="00273668" w:rsidRDefault="00E70A1D" w:rsidP="00E70A1D">
      <w:pPr>
        <w:spacing w:after="0" w:line="240" w:lineRule="auto"/>
        <w:jc w:val="both"/>
        <w:rPr>
          <w:rFonts w:ascii="Calibri" w:hAnsi="Calibri" w:cs="Calibri"/>
        </w:rPr>
      </w:pPr>
      <w:r w:rsidRPr="00273668">
        <w:rPr>
          <w:rFonts w:ascii="Calibri" w:hAnsi="Calibri" w:cs="Calibri"/>
          <w:color w:val="000000" w:themeColor="text1"/>
          <w:shd w:val="clear" w:color="auto" w:fill="FFFFFF"/>
        </w:rPr>
        <w:t xml:space="preserve">En Amérique du Sud, ces saponines ont de nombreuses utilisations, notamment comme détergent pour les vêtements et le lavage, et comme antiseptique, </w:t>
      </w:r>
      <w:r>
        <w:rPr>
          <w:rFonts w:ascii="Calibri" w:hAnsi="Calibri" w:cs="Calibri"/>
          <w:color w:val="000000" w:themeColor="text1"/>
          <w:shd w:val="clear" w:color="auto" w:fill="FFFFFF"/>
        </w:rPr>
        <w:t>en</w:t>
      </w:r>
      <w:r w:rsidRPr="00273668">
        <w:rPr>
          <w:rFonts w:ascii="Calibri" w:hAnsi="Calibri" w:cs="Calibri"/>
          <w:color w:val="000000" w:themeColor="text1"/>
          <w:shd w:val="clear" w:color="auto" w:fill="FFFFFF"/>
        </w:rPr>
        <w:t> </w:t>
      </w:r>
      <w:hyperlink r:id="rId2197" w:tooltip="Médecine populaire" w:history="1">
        <w:r w:rsidRPr="00273668">
          <w:rPr>
            <w:rStyle w:val="Lienhypertexte"/>
            <w:rFonts w:ascii="Calibri" w:hAnsi="Calibri" w:cs="Calibri"/>
            <w:color w:val="0645AD"/>
            <w:shd w:val="clear" w:color="auto" w:fill="FFFFFF"/>
          </w:rPr>
          <w:t>médecine populaire</w:t>
        </w:r>
      </w:hyperlink>
      <w:r w:rsidRPr="00273668">
        <w:rPr>
          <w:rFonts w:ascii="Calibri" w:hAnsi="Calibri" w:cs="Calibri"/>
        </w:rPr>
        <w:t>,</w:t>
      </w:r>
      <w:r w:rsidRPr="00273668">
        <w:rPr>
          <w:rFonts w:ascii="Calibri" w:hAnsi="Calibri" w:cs="Calibri"/>
          <w:color w:val="202122"/>
          <w:shd w:val="clear" w:color="auto" w:fill="FFFFFF"/>
        </w:rPr>
        <w:t> </w:t>
      </w:r>
      <w:r w:rsidRPr="00273668">
        <w:rPr>
          <w:rFonts w:ascii="Calibri" w:hAnsi="Calibri" w:cs="Calibri"/>
          <w:color w:val="000000" w:themeColor="text1"/>
          <w:shd w:val="clear" w:color="auto" w:fill="FFFFFF"/>
        </w:rPr>
        <w:t>pour les lésions cutanées.</w:t>
      </w:r>
    </w:p>
    <w:p w14:paraId="54B995A7" w14:textId="77777777" w:rsidR="00E70A1D" w:rsidRPr="00273668" w:rsidRDefault="00E70A1D" w:rsidP="00E70A1D">
      <w:pPr>
        <w:spacing w:after="0" w:line="240" w:lineRule="auto"/>
        <w:jc w:val="both"/>
        <w:rPr>
          <w:rFonts w:ascii="Calibri" w:hAnsi="Calibri" w:cs="Calibri"/>
        </w:rPr>
      </w:pPr>
      <w:r w:rsidRPr="00273668">
        <w:rPr>
          <w:rFonts w:ascii="Calibri" w:hAnsi="Calibri" w:cs="Calibri"/>
          <w:color w:val="000000" w:themeColor="text1"/>
          <w:shd w:val="clear" w:color="auto" w:fill="FFFFFF"/>
        </w:rPr>
        <w:t>De plus, les feuilles et les tiges de toutes les espèces du genre</w:t>
      </w:r>
      <w:r w:rsidRPr="00273668">
        <w:rPr>
          <w:rFonts w:ascii="Calibri" w:hAnsi="Calibri" w:cs="Calibri"/>
          <w:color w:val="202122"/>
          <w:shd w:val="clear" w:color="auto" w:fill="FFFFFF"/>
        </w:rPr>
        <w:t> </w:t>
      </w:r>
      <w:hyperlink r:id="rId2198" w:tooltip="Chénopode" w:history="1">
        <w:r w:rsidRPr="00273668">
          <w:rPr>
            <w:rStyle w:val="Lienhypertexte"/>
            <w:rFonts w:ascii="Calibri" w:hAnsi="Calibri" w:cs="Calibri"/>
            <w:i/>
            <w:iCs/>
            <w:color w:val="0645AD"/>
            <w:shd w:val="clear" w:color="auto" w:fill="FFFFFF"/>
          </w:rPr>
          <w:t>Chenopodium</w:t>
        </w:r>
      </w:hyperlink>
      <w:r w:rsidRPr="00273668">
        <w:rPr>
          <w:rFonts w:ascii="Calibri" w:hAnsi="Calibri" w:cs="Calibri"/>
          <w:color w:val="202122"/>
          <w:shd w:val="clear" w:color="auto" w:fill="FFFFFF"/>
        </w:rPr>
        <w:t> </w:t>
      </w:r>
      <w:r w:rsidRPr="00273668">
        <w:rPr>
          <w:rFonts w:ascii="Calibri" w:hAnsi="Calibri" w:cs="Calibri"/>
          <w:color w:val="000000" w:themeColor="text1"/>
          <w:shd w:val="clear" w:color="auto" w:fill="FFFFFF"/>
        </w:rPr>
        <w:t>et des genres apparentés de la famille des </w:t>
      </w:r>
      <w:hyperlink r:id="rId2199" w:tooltip="Amaranthacées" w:history="1">
        <w:r w:rsidRPr="00273668">
          <w:rPr>
            <w:rStyle w:val="Lienhypertexte"/>
            <w:rFonts w:ascii="Calibri" w:hAnsi="Calibri" w:cs="Calibri"/>
            <w:i/>
            <w:iCs/>
            <w:color w:val="0645AD"/>
            <w:shd w:val="clear" w:color="auto" w:fill="FFFFFF"/>
          </w:rPr>
          <w:t>Amaranthaceae</w:t>
        </w:r>
      </w:hyperlink>
      <w:r w:rsidRPr="00273668">
        <w:rPr>
          <w:rFonts w:ascii="Calibri" w:hAnsi="Calibri" w:cs="Calibri"/>
          <w:color w:val="202122"/>
          <w:shd w:val="clear" w:color="auto" w:fill="FFFFFF"/>
        </w:rPr>
        <w:t> </w:t>
      </w:r>
      <w:r w:rsidRPr="00273668">
        <w:rPr>
          <w:rFonts w:ascii="Calibri" w:hAnsi="Calibri" w:cs="Calibri"/>
          <w:color w:val="000000" w:themeColor="text1"/>
          <w:shd w:val="clear" w:color="auto" w:fill="FFFFFF"/>
        </w:rPr>
        <w:t xml:space="preserve">contiennent des niveaux élevés </w:t>
      </w:r>
      <w:r w:rsidRPr="00273668">
        <w:rPr>
          <w:rFonts w:ascii="Calibri" w:hAnsi="Calibri" w:cs="Calibri"/>
          <w:color w:val="202122"/>
          <w:shd w:val="clear" w:color="auto" w:fill="FFFFFF"/>
        </w:rPr>
        <w:t>d'</w:t>
      </w:r>
      <w:hyperlink r:id="rId2200" w:history="1">
        <w:r w:rsidRPr="00273668">
          <w:rPr>
            <w:rStyle w:val="Lienhypertexte"/>
            <w:rFonts w:ascii="Calibri" w:hAnsi="Calibri" w:cs="Calibri"/>
            <w:color w:val="0645AD"/>
            <w:shd w:val="clear" w:color="auto" w:fill="FFFFFF"/>
          </w:rPr>
          <w:t>acide oxalique</w:t>
        </w:r>
      </w:hyperlink>
      <w:r w:rsidRPr="00273668">
        <w:rPr>
          <w:rFonts w:ascii="Calibri" w:hAnsi="Calibri" w:cs="Calibri"/>
        </w:rPr>
        <w:t>.</w:t>
      </w:r>
      <w:r>
        <w:rPr>
          <w:rFonts w:ascii="Calibri" w:hAnsi="Calibri" w:cs="Calibri"/>
        </w:rPr>
        <w:t xml:space="preserve"> </w:t>
      </w:r>
      <w:r w:rsidRPr="00273668">
        <w:rPr>
          <w:rFonts w:ascii="Calibri" w:hAnsi="Calibri" w:cs="Calibri"/>
        </w:rPr>
        <w:t>Les risques associés au quinoa sont minimes, à condition que ces parties soient correctement préparées et que les feuilles ne soient pas consommées en excès.</w:t>
      </w:r>
    </w:p>
    <w:p w14:paraId="6EAF0866" w14:textId="77777777" w:rsidR="00E70A1D" w:rsidRPr="005A3EC7" w:rsidRDefault="00E70A1D" w:rsidP="00E70A1D">
      <w:pPr>
        <w:spacing w:after="0" w:line="240" w:lineRule="auto"/>
        <w:jc w:val="both"/>
        <w:rPr>
          <w:rFonts w:ascii="Calibri" w:hAnsi="Calibri" w:cs="Calibri"/>
          <w:color w:val="000000" w:themeColor="text1"/>
        </w:rPr>
      </w:pPr>
      <w:r w:rsidRPr="005A3EC7">
        <w:rPr>
          <w:rFonts w:ascii="Calibri" w:hAnsi="Calibri" w:cs="Calibri"/>
          <w:u w:val="single"/>
        </w:rPr>
        <w:t>Plante clé</w:t>
      </w:r>
      <w:r w:rsidRPr="005A3EC7">
        <w:rPr>
          <w:rFonts w:ascii="Calibri" w:hAnsi="Calibri" w:cs="Calibri"/>
        </w:rPr>
        <w:t xml:space="preserve"> : </w:t>
      </w:r>
      <w:r w:rsidRPr="005A3EC7">
        <w:rPr>
          <w:rFonts w:ascii="Calibri" w:hAnsi="Calibri" w:cs="Calibri"/>
          <w:color w:val="000000" w:themeColor="text1"/>
        </w:rPr>
        <w:t xml:space="preserve">Selon l’ONU, en 2013, </w:t>
      </w:r>
      <w:r w:rsidRPr="005A3EC7">
        <w:rPr>
          <w:rFonts w:ascii="Calibri" w:hAnsi="Calibri" w:cs="Calibri"/>
          <w:color w:val="000000" w:themeColor="text1"/>
          <w:shd w:val="clear" w:color="auto" w:fill="FFFFFF"/>
        </w:rPr>
        <w:t>le quinoa pourrait jouer dans la </w:t>
      </w:r>
      <w:hyperlink r:id="rId2201" w:tooltip="La sécurité alimentaire" w:history="1">
        <w:r w:rsidRPr="005A3EC7">
          <w:rPr>
            <w:rStyle w:val="Lienhypertexte"/>
            <w:rFonts w:ascii="Calibri" w:hAnsi="Calibri" w:cs="Calibri"/>
            <w:color w:val="0645AD"/>
            <w:shd w:val="clear" w:color="auto" w:fill="FFFFFF"/>
          </w:rPr>
          <w:t>sécurité alimentaire</w:t>
        </w:r>
      </w:hyperlink>
      <w:r w:rsidRPr="005A3EC7">
        <w:rPr>
          <w:rFonts w:ascii="Calibri" w:hAnsi="Calibri" w:cs="Calibri"/>
          <w:color w:val="202122"/>
          <w:shd w:val="clear" w:color="auto" w:fill="FFFFFF"/>
        </w:rPr>
        <w:t>, la </w:t>
      </w:r>
      <w:hyperlink r:id="rId2202" w:tooltip="Nutrition" w:history="1">
        <w:r w:rsidRPr="005A3EC7">
          <w:rPr>
            <w:rStyle w:val="Lienhypertexte"/>
            <w:rFonts w:ascii="Calibri" w:hAnsi="Calibri" w:cs="Calibri"/>
            <w:color w:val="0645AD"/>
            <w:shd w:val="clear" w:color="auto" w:fill="FFFFFF"/>
          </w:rPr>
          <w:t>nutrition</w:t>
        </w:r>
      </w:hyperlink>
      <w:r w:rsidRPr="005A3EC7">
        <w:rPr>
          <w:rFonts w:ascii="Calibri" w:hAnsi="Calibri" w:cs="Calibri"/>
          <w:color w:val="202122"/>
          <w:shd w:val="clear" w:color="auto" w:fill="FFFFFF"/>
        </w:rPr>
        <w:t> </w:t>
      </w:r>
      <w:r w:rsidRPr="005A3EC7">
        <w:rPr>
          <w:rFonts w:ascii="Calibri" w:hAnsi="Calibri" w:cs="Calibri"/>
          <w:color w:val="000000" w:themeColor="text1"/>
          <w:shd w:val="clear" w:color="auto" w:fill="FFFFFF"/>
        </w:rPr>
        <w:t>et l'éradication de la </w:t>
      </w:r>
      <w:hyperlink r:id="rId2203" w:tooltip="La pauvreté" w:history="1">
        <w:r w:rsidRPr="005A3EC7">
          <w:rPr>
            <w:rStyle w:val="Lienhypertexte"/>
            <w:rFonts w:ascii="Calibri" w:hAnsi="Calibri" w:cs="Calibri"/>
            <w:color w:val="0645AD"/>
            <w:shd w:val="clear" w:color="auto" w:fill="FFFFFF"/>
          </w:rPr>
          <w:t>pauvreté</w:t>
        </w:r>
      </w:hyperlink>
      <w:r w:rsidRPr="005A3EC7">
        <w:rPr>
          <w:rFonts w:ascii="Calibri" w:hAnsi="Calibri" w:cs="Calibri"/>
        </w:rPr>
        <w:t>,</w:t>
      </w:r>
      <w:r w:rsidRPr="005A3EC7">
        <w:rPr>
          <w:rFonts w:ascii="Calibri" w:hAnsi="Calibri" w:cs="Calibri"/>
          <w:color w:val="202122"/>
          <w:shd w:val="clear" w:color="auto" w:fill="FFFFFF"/>
        </w:rPr>
        <w:t> </w:t>
      </w:r>
      <w:r w:rsidRPr="005A3EC7">
        <w:rPr>
          <w:rFonts w:ascii="Calibri" w:hAnsi="Calibri" w:cs="Calibri"/>
          <w:color w:val="000000" w:themeColor="text1"/>
          <w:shd w:val="clear" w:color="auto" w:fill="FFFFFF"/>
        </w:rPr>
        <w:t>allant dans le sens de la réalisation des </w:t>
      </w:r>
      <w:hyperlink r:id="rId2204" w:tooltip="Objectifs de développement du millénaire" w:history="1">
        <w:r w:rsidRPr="005A3EC7">
          <w:rPr>
            <w:rStyle w:val="Lienhypertexte"/>
            <w:rFonts w:ascii="Calibri" w:hAnsi="Calibri" w:cs="Calibri"/>
            <w:color w:val="0645AD"/>
            <w:shd w:val="clear" w:color="auto" w:fill="FFFFFF"/>
          </w:rPr>
          <w:t>objectifs du Millénaire pour le développement</w:t>
        </w:r>
      </w:hyperlink>
      <w:r w:rsidRPr="005A3EC7">
        <w:rPr>
          <w:rFonts w:ascii="Calibri" w:hAnsi="Calibri" w:cs="Calibri"/>
          <w:color w:val="202122"/>
          <w:shd w:val="clear" w:color="auto" w:fill="FFFFFF"/>
        </w:rPr>
        <w:t>. </w:t>
      </w:r>
      <w:r w:rsidRPr="005A3EC7">
        <w:rPr>
          <w:rFonts w:ascii="Calibri" w:hAnsi="Calibri" w:cs="Calibri"/>
          <w:color w:val="000000" w:themeColor="text1"/>
          <w:shd w:val="clear" w:color="auto" w:fill="FFFFFF"/>
        </w:rPr>
        <w:t>Mais certains commentateurs universitaires ont souligné que la production de quinoa pouvait avoir des inconvénients écologiques et sociaux dans ses régions d'origine, et que ces problèmes devaient être d’abord résolus.</w:t>
      </w:r>
    </w:p>
    <w:p w14:paraId="4BE21E00" w14:textId="77777777" w:rsidR="00E70A1D" w:rsidRDefault="00E70A1D" w:rsidP="00E70A1D">
      <w:pPr>
        <w:spacing w:after="0" w:line="240" w:lineRule="auto"/>
        <w:jc w:val="both"/>
      </w:pPr>
      <w:r>
        <w:t xml:space="preserve">Sources : a) </w:t>
      </w:r>
      <w:hyperlink r:id="rId2205" w:history="1">
        <w:r w:rsidRPr="00473EAA">
          <w:rPr>
            <w:rStyle w:val="Lienhypertexte"/>
          </w:rPr>
          <w:t>https://fr.wikipedia.org/wiki/Quinoa</w:t>
        </w:r>
      </w:hyperlink>
      <w:r>
        <w:t xml:space="preserve">, b) </w:t>
      </w:r>
      <w:hyperlink r:id="rId2206" w:history="1">
        <w:r w:rsidRPr="00473EAA">
          <w:rPr>
            <w:rStyle w:val="Lienhypertexte"/>
          </w:rPr>
          <w:t>https://en.wikipedia.org/wiki/Quinoa</w:t>
        </w:r>
      </w:hyperlink>
      <w:r>
        <w:t xml:space="preserve"> </w:t>
      </w:r>
    </w:p>
    <w:p w14:paraId="3CA5C409" w14:textId="77777777" w:rsidR="00E70A1D" w:rsidRDefault="00E70A1D" w:rsidP="00E70A1D">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16"/>
        <w:gridCol w:w="3394"/>
        <w:gridCol w:w="3516"/>
      </w:tblGrid>
      <w:tr w:rsidR="00E70A1D" w14:paraId="2F215CC3" w14:textId="77777777" w:rsidTr="00525A4A">
        <w:tc>
          <w:tcPr>
            <w:tcW w:w="3434" w:type="dxa"/>
          </w:tcPr>
          <w:p w14:paraId="3E5E6589" w14:textId="77777777" w:rsidR="00E70A1D" w:rsidRDefault="00E70A1D" w:rsidP="00525A4A">
            <w:pPr>
              <w:jc w:val="center"/>
            </w:pPr>
            <w:r>
              <w:rPr>
                <w:noProof/>
              </w:rPr>
              <w:lastRenderedPageBreak/>
              <w:drawing>
                <wp:inline distT="0" distB="0" distL="0" distR="0" wp14:anchorId="768D645C" wp14:editId="295023B2">
                  <wp:extent cx="1285875" cy="1714500"/>
                  <wp:effectExtent l="0" t="0" r="9525" b="0"/>
                  <wp:docPr id="146439" name="Image 146439" descr="Une image contenant extérieur, vert, plante, légu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39" name="Image 146439" descr="Une image contenant extérieur, vert, plante, légume&#10;&#10;Description générée automatiquement"/>
                          <pic:cNvPicPr>
                            <a:picLocks noChangeAspect="1" noChangeArrowheads="1"/>
                          </pic:cNvPicPr>
                        </pic:nvPicPr>
                        <pic:blipFill>
                          <a:blip r:embed="rId2207">
                            <a:extLst>
                              <a:ext uri="{28A0092B-C50C-407E-A947-70E740481C1C}">
                                <a14:useLocalDpi xmlns:a14="http://schemas.microsoft.com/office/drawing/2010/main" val="0"/>
                              </a:ext>
                            </a:extLst>
                          </a:blip>
                          <a:srcRect/>
                          <a:stretch>
                            <a:fillRect/>
                          </a:stretch>
                        </pic:blipFill>
                        <pic:spPr bwMode="auto">
                          <a:xfrm>
                            <a:off x="0" y="0"/>
                            <a:ext cx="1287086" cy="1716115"/>
                          </a:xfrm>
                          <a:prstGeom prst="rect">
                            <a:avLst/>
                          </a:prstGeom>
                          <a:noFill/>
                          <a:ln>
                            <a:noFill/>
                          </a:ln>
                        </pic:spPr>
                      </pic:pic>
                    </a:graphicData>
                  </a:graphic>
                </wp:inline>
              </w:drawing>
            </w:r>
          </w:p>
          <w:p w14:paraId="466A118F" w14:textId="77777777" w:rsidR="00E70A1D" w:rsidRDefault="00E70A1D" w:rsidP="00525A4A">
            <w:pPr>
              <w:jc w:val="center"/>
            </w:pPr>
            <w:r w:rsidRPr="005035ED">
              <w:t>Quinoa, feuilles triangulaires, lobées</w:t>
            </w:r>
          </w:p>
        </w:tc>
        <w:tc>
          <w:tcPr>
            <w:tcW w:w="3434" w:type="dxa"/>
          </w:tcPr>
          <w:p w14:paraId="6E307E27" w14:textId="77777777" w:rsidR="00E70A1D" w:rsidRDefault="00E70A1D" w:rsidP="00525A4A">
            <w:pPr>
              <w:jc w:val="center"/>
            </w:pPr>
            <w:r>
              <w:rPr>
                <w:noProof/>
              </w:rPr>
              <w:drawing>
                <wp:inline distT="0" distB="0" distL="0" distR="0" wp14:anchorId="02762A53" wp14:editId="0A4270A5">
                  <wp:extent cx="1190625" cy="1780374"/>
                  <wp:effectExtent l="0" t="0" r="0" b="0"/>
                  <wp:docPr id="146440" name="Image 146440" descr="Une image contenant brocoli, plante, légume, ar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40" name="Image 146440" descr="Une image contenant brocoli, plante, légume, arbre&#10;&#10;Description générée automatiquement"/>
                          <pic:cNvPicPr>
                            <a:picLocks noChangeAspect="1" noChangeArrowheads="1"/>
                          </pic:cNvPicPr>
                        </pic:nvPicPr>
                        <pic:blipFill>
                          <a:blip r:embed="rId2208">
                            <a:extLst>
                              <a:ext uri="{28A0092B-C50C-407E-A947-70E740481C1C}">
                                <a14:useLocalDpi xmlns:a14="http://schemas.microsoft.com/office/drawing/2010/main" val="0"/>
                              </a:ext>
                            </a:extLst>
                          </a:blip>
                          <a:srcRect/>
                          <a:stretch>
                            <a:fillRect/>
                          </a:stretch>
                        </pic:blipFill>
                        <pic:spPr bwMode="auto">
                          <a:xfrm>
                            <a:off x="0" y="0"/>
                            <a:ext cx="1191141" cy="1781146"/>
                          </a:xfrm>
                          <a:prstGeom prst="rect">
                            <a:avLst/>
                          </a:prstGeom>
                          <a:noFill/>
                          <a:ln>
                            <a:noFill/>
                          </a:ln>
                        </pic:spPr>
                      </pic:pic>
                    </a:graphicData>
                  </a:graphic>
                </wp:inline>
              </w:drawing>
            </w:r>
          </w:p>
          <w:p w14:paraId="55648AE3" w14:textId="77777777" w:rsidR="00E70A1D" w:rsidRDefault="00E70A1D" w:rsidP="00525A4A">
            <w:pPr>
              <w:jc w:val="center"/>
            </w:pPr>
            <w:r w:rsidRPr="00142087">
              <w:t>Plant de quinoa avant la floraison.</w:t>
            </w:r>
          </w:p>
        </w:tc>
        <w:tc>
          <w:tcPr>
            <w:tcW w:w="3434" w:type="dxa"/>
          </w:tcPr>
          <w:p w14:paraId="0D3115E3" w14:textId="77777777" w:rsidR="00E70A1D" w:rsidRDefault="00E70A1D" w:rsidP="00525A4A">
            <w:pPr>
              <w:jc w:val="center"/>
            </w:pPr>
            <w:r>
              <w:rPr>
                <w:noProof/>
              </w:rPr>
              <w:drawing>
                <wp:inline distT="0" distB="0" distL="0" distR="0" wp14:anchorId="31E83027" wp14:editId="338C1A35">
                  <wp:extent cx="2095500" cy="1571625"/>
                  <wp:effectExtent l="0" t="0" r="0" b="9525"/>
                  <wp:docPr id="146441" name="Image 146441" descr="Une image contenant plante, légu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41" name="Image 146441" descr="Une image contenant plante, légume&#10;&#10;Description générée automatiquement"/>
                          <pic:cNvPicPr>
                            <a:picLocks noChangeAspect="1" noChangeArrowheads="1"/>
                          </pic:cNvPicPr>
                        </pic:nvPicPr>
                        <pic:blipFill>
                          <a:blip r:embed="rId2209">
                            <a:extLst>
                              <a:ext uri="{28A0092B-C50C-407E-A947-70E740481C1C}">
                                <a14:useLocalDpi xmlns:a14="http://schemas.microsoft.com/office/drawing/2010/main" val="0"/>
                              </a:ext>
                            </a:extLst>
                          </a:blip>
                          <a:srcRect/>
                          <a:stretch>
                            <a:fillRect/>
                          </a:stretch>
                        </pic:blipFill>
                        <pic:spPr bwMode="auto">
                          <a:xfrm>
                            <a:off x="0" y="0"/>
                            <a:ext cx="2095500" cy="1571625"/>
                          </a:xfrm>
                          <a:prstGeom prst="rect">
                            <a:avLst/>
                          </a:prstGeom>
                          <a:noFill/>
                          <a:ln>
                            <a:noFill/>
                          </a:ln>
                        </pic:spPr>
                      </pic:pic>
                    </a:graphicData>
                  </a:graphic>
                </wp:inline>
              </w:drawing>
            </w:r>
          </w:p>
        </w:tc>
      </w:tr>
      <w:tr w:rsidR="00E70A1D" w14:paraId="0B0A9B76" w14:textId="77777777" w:rsidTr="00525A4A">
        <w:tc>
          <w:tcPr>
            <w:tcW w:w="3434" w:type="dxa"/>
          </w:tcPr>
          <w:p w14:paraId="2DF080A1" w14:textId="77777777" w:rsidR="00E70A1D" w:rsidRDefault="00E70A1D" w:rsidP="00525A4A">
            <w:pPr>
              <w:jc w:val="center"/>
            </w:pPr>
            <w:r>
              <w:rPr>
                <w:noProof/>
              </w:rPr>
              <w:drawing>
                <wp:inline distT="0" distB="0" distL="0" distR="0" wp14:anchorId="20D629E0" wp14:editId="53114490">
                  <wp:extent cx="1852336" cy="2466975"/>
                  <wp:effectExtent l="0" t="0" r="0" b="0"/>
                  <wp:docPr id="146442" name="Image 146442" descr="Une image contenant extérieur, plante, cactus, luxuria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42" name="Image 146442" descr="Une image contenant extérieur, plante, cactus, luxuriant&#10;&#10;Description générée automatiquement"/>
                          <pic:cNvPicPr>
                            <a:picLocks noChangeAspect="1" noChangeArrowheads="1"/>
                          </pic:cNvPicPr>
                        </pic:nvPicPr>
                        <pic:blipFill>
                          <a:blip r:embed="rId2210">
                            <a:extLst>
                              <a:ext uri="{28A0092B-C50C-407E-A947-70E740481C1C}">
                                <a14:useLocalDpi xmlns:a14="http://schemas.microsoft.com/office/drawing/2010/main" val="0"/>
                              </a:ext>
                            </a:extLst>
                          </a:blip>
                          <a:srcRect/>
                          <a:stretch>
                            <a:fillRect/>
                          </a:stretch>
                        </pic:blipFill>
                        <pic:spPr bwMode="auto">
                          <a:xfrm>
                            <a:off x="0" y="0"/>
                            <a:ext cx="1854172" cy="2469420"/>
                          </a:xfrm>
                          <a:prstGeom prst="rect">
                            <a:avLst/>
                          </a:prstGeom>
                          <a:noFill/>
                          <a:ln>
                            <a:noFill/>
                          </a:ln>
                        </pic:spPr>
                      </pic:pic>
                    </a:graphicData>
                  </a:graphic>
                </wp:inline>
              </w:drawing>
            </w:r>
          </w:p>
          <w:p w14:paraId="105AD4A5" w14:textId="77777777" w:rsidR="00E70A1D" w:rsidRDefault="00E70A1D" w:rsidP="00525A4A">
            <w:pPr>
              <w:jc w:val="center"/>
              <w:rPr>
                <w:lang w:val="es-AR"/>
              </w:rPr>
            </w:pPr>
            <w:r>
              <w:rPr>
                <w:rFonts w:ascii="Calibri" w:hAnsi="Calibri" w:cs="Calibri"/>
                <w:color w:val="000000" w:themeColor="text1"/>
                <w:shd w:val="clear" w:color="auto" w:fill="F8F9FA"/>
                <w:lang w:val="es-AR"/>
              </w:rPr>
              <w:t xml:space="preserve">Champ de </w:t>
            </w:r>
            <w:r w:rsidRPr="002C1EC8">
              <w:rPr>
                <w:rFonts w:ascii="Calibri" w:hAnsi="Calibri" w:cs="Calibri"/>
                <w:i/>
                <w:iCs/>
                <w:color w:val="000000" w:themeColor="text1"/>
                <w:shd w:val="clear" w:color="auto" w:fill="F8F9FA"/>
                <w:lang w:val="es-AR"/>
              </w:rPr>
              <w:t>Quinoa</w:t>
            </w:r>
            <w:r w:rsidRPr="002C1EC8">
              <w:rPr>
                <w:rFonts w:ascii="Calibri" w:hAnsi="Calibri" w:cs="Calibri"/>
                <w:color w:val="000000" w:themeColor="text1"/>
                <w:shd w:val="clear" w:color="auto" w:fill="F8F9FA"/>
                <w:lang w:val="es-AR"/>
              </w:rPr>
              <w:t> près de Cachilaya</w:t>
            </w:r>
            <w:r w:rsidRPr="002C1EC8">
              <w:rPr>
                <w:rFonts w:ascii="Calibri" w:hAnsi="Calibri" w:cs="Calibri"/>
                <w:color w:val="202122"/>
                <w:shd w:val="clear" w:color="auto" w:fill="F8F9FA"/>
                <w:lang w:val="es-AR"/>
              </w:rPr>
              <w:t>, </w:t>
            </w:r>
            <w:hyperlink r:id="rId2211" w:tooltip="Lac Titicaca" w:history="1">
              <w:r w:rsidRPr="002C1EC8">
                <w:rPr>
                  <w:rStyle w:val="Lienhypertexte"/>
                  <w:rFonts w:ascii="Calibri" w:hAnsi="Calibri" w:cs="Calibri"/>
                  <w:color w:val="0645AD"/>
                  <w:shd w:val="clear" w:color="auto" w:fill="F8F9FA"/>
                  <w:lang w:val="es-AR"/>
                </w:rPr>
                <w:t>Lac Titicaca</w:t>
              </w:r>
            </w:hyperlink>
            <w:r w:rsidRPr="002C1EC8">
              <w:rPr>
                <w:rFonts w:ascii="Calibri" w:hAnsi="Calibri" w:cs="Calibri"/>
                <w:color w:val="202122"/>
                <w:shd w:val="clear" w:color="auto" w:fill="F8F9FA"/>
                <w:lang w:val="es-AR"/>
              </w:rPr>
              <w:t>, </w:t>
            </w:r>
            <w:hyperlink r:id="rId2212" w:tooltip="Bolivie" w:history="1">
              <w:r w:rsidRPr="002C1EC8">
                <w:rPr>
                  <w:rStyle w:val="Lienhypertexte"/>
                  <w:rFonts w:ascii="Calibri" w:hAnsi="Calibri" w:cs="Calibri"/>
                  <w:color w:val="0645AD"/>
                  <w:shd w:val="clear" w:color="auto" w:fill="F8F9FA"/>
                  <w:lang w:val="es-AR"/>
                </w:rPr>
                <w:t>Bolivie</w:t>
              </w:r>
            </w:hyperlink>
            <w:r w:rsidRPr="002C1EC8">
              <w:rPr>
                <w:lang w:val="es-AR"/>
              </w:rPr>
              <w:t>.</w:t>
            </w:r>
          </w:p>
          <w:p w14:paraId="7E836784" w14:textId="18F52A0C" w:rsidR="003E081E" w:rsidRPr="002C1EC8" w:rsidRDefault="003E081E" w:rsidP="00525A4A">
            <w:pPr>
              <w:jc w:val="center"/>
              <w:rPr>
                <w:lang w:val="es-AR"/>
              </w:rPr>
            </w:pPr>
          </w:p>
        </w:tc>
        <w:tc>
          <w:tcPr>
            <w:tcW w:w="3434" w:type="dxa"/>
          </w:tcPr>
          <w:p w14:paraId="12273AA7" w14:textId="77777777" w:rsidR="00E70A1D" w:rsidRDefault="00E70A1D" w:rsidP="00525A4A">
            <w:pPr>
              <w:jc w:val="center"/>
            </w:pPr>
            <w:r>
              <w:rPr>
                <w:noProof/>
              </w:rPr>
              <w:drawing>
                <wp:inline distT="0" distB="0" distL="0" distR="0" wp14:anchorId="588023C3" wp14:editId="46E8D119">
                  <wp:extent cx="1452129" cy="2352675"/>
                  <wp:effectExtent l="0" t="0" r="0" b="0"/>
                  <wp:docPr id="146443" name="Image 146443" descr="Une image contenant arbre, herbe, plante, ex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43" name="Image 146443" descr="Une image contenant arbre, herbe, plante, extérieur&#10;&#10;Description générée automatiquement"/>
                          <pic:cNvPicPr>
                            <a:picLocks noChangeAspect="1" noChangeArrowheads="1"/>
                          </pic:cNvPicPr>
                        </pic:nvPicPr>
                        <pic:blipFill>
                          <a:blip r:embed="rId2213">
                            <a:extLst>
                              <a:ext uri="{28A0092B-C50C-407E-A947-70E740481C1C}">
                                <a14:useLocalDpi xmlns:a14="http://schemas.microsoft.com/office/drawing/2010/main" val="0"/>
                              </a:ext>
                            </a:extLst>
                          </a:blip>
                          <a:srcRect/>
                          <a:stretch>
                            <a:fillRect/>
                          </a:stretch>
                        </pic:blipFill>
                        <pic:spPr bwMode="auto">
                          <a:xfrm flipH="1">
                            <a:off x="0" y="0"/>
                            <a:ext cx="1462976" cy="2370249"/>
                          </a:xfrm>
                          <a:prstGeom prst="rect">
                            <a:avLst/>
                          </a:prstGeom>
                          <a:noFill/>
                          <a:ln>
                            <a:noFill/>
                          </a:ln>
                        </pic:spPr>
                      </pic:pic>
                    </a:graphicData>
                  </a:graphic>
                </wp:inline>
              </w:drawing>
            </w:r>
          </w:p>
          <w:p w14:paraId="0601CA59" w14:textId="77777777" w:rsidR="00E70A1D" w:rsidRDefault="00E70A1D" w:rsidP="00525A4A">
            <w:pPr>
              <w:jc w:val="center"/>
            </w:pPr>
            <w:r w:rsidRPr="004018F1">
              <w:t>Un plant de quinoa en graines</w:t>
            </w:r>
            <w:r>
              <w:t>.</w:t>
            </w:r>
          </w:p>
        </w:tc>
        <w:tc>
          <w:tcPr>
            <w:tcW w:w="3434" w:type="dxa"/>
          </w:tcPr>
          <w:p w14:paraId="0DBC7C38" w14:textId="77777777" w:rsidR="00E70A1D" w:rsidRDefault="00E70A1D" w:rsidP="00525A4A">
            <w:pPr>
              <w:jc w:val="center"/>
            </w:pPr>
            <w:r>
              <w:rPr>
                <w:noProof/>
              </w:rPr>
              <w:drawing>
                <wp:inline distT="0" distB="0" distL="0" distR="0" wp14:anchorId="6CAA7D14" wp14:editId="638D4FAA">
                  <wp:extent cx="1628775" cy="2171700"/>
                  <wp:effectExtent l="0" t="0" r="9525" b="0"/>
                  <wp:docPr id="146444" name="Image 146444" descr="Une image contenant herbe, extérieur, montagne, natu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44" name="Image 146444" descr="Une image contenant herbe, extérieur, montagne, nature&#10;&#10;Description générée automatiquement"/>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1629237" cy="2172316"/>
                          </a:xfrm>
                          <a:prstGeom prst="rect">
                            <a:avLst/>
                          </a:prstGeom>
                          <a:noFill/>
                          <a:ln>
                            <a:noFill/>
                          </a:ln>
                        </pic:spPr>
                      </pic:pic>
                    </a:graphicData>
                  </a:graphic>
                </wp:inline>
              </w:drawing>
            </w:r>
          </w:p>
          <w:p w14:paraId="12F6398D" w14:textId="77777777" w:rsidR="00E70A1D" w:rsidRPr="00D936BE" w:rsidRDefault="00E70A1D" w:rsidP="00525A4A">
            <w:pPr>
              <w:jc w:val="center"/>
              <w:rPr>
                <w:rFonts w:ascii="Calibri" w:hAnsi="Calibri" w:cs="Calibri"/>
              </w:rPr>
            </w:pPr>
            <w:r w:rsidRPr="00D936BE">
              <w:rPr>
                <w:rFonts w:ascii="Calibri" w:hAnsi="Calibri" w:cs="Calibri"/>
                <w:color w:val="000000" w:themeColor="text1"/>
                <w:shd w:val="clear" w:color="auto" w:fill="F8F9FA"/>
              </w:rPr>
              <w:t>Champ de quinoa à </w:t>
            </w:r>
            <w:hyperlink r:id="rId2215" w:tooltip="Cusco" w:history="1">
              <w:r w:rsidRPr="00D936BE">
                <w:rPr>
                  <w:rStyle w:val="Lienhypertexte"/>
                  <w:rFonts w:ascii="Calibri" w:hAnsi="Calibri" w:cs="Calibri"/>
                  <w:color w:val="0645AD"/>
                  <w:shd w:val="clear" w:color="auto" w:fill="F8F9FA"/>
                </w:rPr>
                <w:t>Cusco</w:t>
              </w:r>
            </w:hyperlink>
            <w:r w:rsidRPr="00D936BE">
              <w:rPr>
                <w:rFonts w:ascii="Calibri" w:hAnsi="Calibri" w:cs="Calibri"/>
                <w:color w:val="202122"/>
                <w:shd w:val="clear" w:color="auto" w:fill="F8F9FA"/>
              </w:rPr>
              <w:t> </w:t>
            </w:r>
            <w:r w:rsidRPr="00D936BE">
              <w:rPr>
                <w:rFonts w:ascii="Calibri" w:hAnsi="Calibri" w:cs="Calibri"/>
                <w:color w:val="000000" w:themeColor="text1"/>
                <w:shd w:val="clear" w:color="auto" w:fill="F8F9FA"/>
              </w:rPr>
              <w:t>(Pérou).</w:t>
            </w:r>
          </w:p>
        </w:tc>
      </w:tr>
      <w:tr w:rsidR="00E70A1D" w14:paraId="5E162428" w14:textId="77777777" w:rsidTr="00525A4A">
        <w:tc>
          <w:tcPr>
            <w:tcW w:w="3434" w:type="dxa"/>
          </w:tcPr>
          <w:p w14:paraId="30FAAB0D" w14:textId="77777777" w:rsidR="00E70A1D" w:rsidRDefault="00E70A1D" w:rsidP="00525A4A">
            <w:pPr>
              <w:jc w:val="center"/>
            </w:pPr>
            <w:r>
              <w:rPr>
                <w:noProof/>
              </w:rPr>
              <w:drawing>
                <wp:inline distT="0" distB="0" distL="0" distR="0" wp14:anchorId="3F362013" wp14:editId="1A794149">
                  <wp:extent cx="2095500" cy="1571625"/>
                  <wp:effectExtent l="0" t="0" r="0" b="9525"/>
                  <wp:docPr id="146445" name="Image 146445" descr="Une image contenant herbe, extérieur, montagne, 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45" name="Image 146445" descr="Une image contenant herbe, extérieur, montagne, ciel&#10;&#10;Description générée automatiquement"/>
                          <pic:cNvPicPr>
                            <a:picLocks noChangeAspect="1" noChangeArrowheads="1"/>
                          </pic:cNvPicPr>
                        </pic:nvPicPr>
                        <pic:blipFill>
                          <a:blip r:embed="rId2216">
                            <a:extLst>
                              <a:ext uri="{28A0092B-C50C-407E-A947-70E740481C1C}">
                                <a14:useLocalDpi xmlns:a14="http://schemas.microsoft.com/office/drawing/2010/main" val="0"/>
                              </a:ext>
                            </a:extLst>
                          </a:blip>
                          <a:srcRect/>
                          <a:stretch>
                            <a:fillRect/>
                          </a:stretch>
                        </pic:blipFill>
                        <pic:spPr bwMode="auto">
                          <a:xfrm>
                            <a:off x="0" y="0"/>
                            <a:ext cx="2095500" cy="1571625"/>
                          </a:xfrm>
                          <a:prstGeom prst="rect">
                            <a:avLst/>
                          </a:prstGeom>
                          <a:noFill/>
                          <a:ln>
                            <a:noFill/>
                          </a:ln>
                        </pic:spPr>
                      </pic:pic>
                    </a:graphicData>
                  </a:graphic>
                </wp:inline>
              </w:drawing>
            </w:r>
          </w:p>
          <w:p w14:paraId="1B80D982" w14:textId="77777777" w:rsidR="00E70A1D" w:rsidRPr="00A0324C" w:rsidRDefault="00000000" w:rsidP="00525A4A">
            <w:pPr>
              <w:jc w:val="center"/>
              <w:rPr>
                <w:rFonts w:ascii="Calibri" w:hAnsi="Calibri" w:cs="Calibri"/>
              </w:rPr>
            </w:pPr>
            <w:hyperlink r:id="rId2217" w:history="1">
              <w:r w:rsidR="00E70A1D" w:rsidRPr="00A0324C">
                <w:rPr>
                  <w:rStyle w:val="Lienhypertexte"/>
                  <w:rFonts w:ascii="Calibri" w:hAnsi="Calibri" w:cs="Calibri"/>
                  <w:color w:val="0645AD"/>
                  <w:shd w:val="clear" w:color="auto" w:fill="F8F9FA"/>
                </w:rPr>
                <w:t>Champ-école</w:t>
              </w:r>
            </w:hyperlink>
            <w:r w:rsidR="00E70A1D" w:rsidRPr="00A0324C">
              <w:rPr>
                <w:rFonts w:ascii="Calibri" w:hAnsi="Calibri" w:cs="Calibri"/>
                <w:color w:val="202122"/>
                <w:shd w:val="clear" w:color="auto" w:fill="F8F9FA"/>
              </w:rPr>
              <w:t> </w:t>
            </w:r>
            <w:r w:rsidR="00E70A1D" w:rsidRPr="00A0324C">
              <w:rPr>
                <w:rFonts w:ascii="Calibri" w:hAnsi="Calibri" w:cs="Calibri"/>
                <w:color w:val="000000" w:themeColor="text1"/>
                <w:shd w:val="clear" w:color="auto" w:fill="F8F9FA"/>
              </w:rPr>
              <w:t>d'agriculteurs sur l'agriculture et la production de quinoa, près de </w:t>
            </w:r>
            <w:hyperlink r:id="rId2218" w:tooltip="Puno" w:history="1">
              <w:r w:rsidR="00E70A1D" w:rsidRPr="00A0324C">
                <w:rPr>
                  <w:rStyle w:val="Lienhypertexte"/>
                  <w:rFonts w:ascii="Calibri" w:hAnsi="Calibri" w:cs="Calibri"/>
                  <w:color w:val="0645AD"/>
                  <w:shd w:val="clear" w:color="auto" w:fill="F8F9FA"/>
                </w:rPr>
                <w:t>Puno</w:t>
              </w:r>
            </w:hyperlink>
            <w:r w:rsidR="00E70A1D" w:rsidRPr="00A0324C">
              <w:rPr>
                <w:rFonts w:ascii="Calibri" w:hAnsi="Calibri" w:cs="Calibri"/>
                <w:color w:val="202122"/>
                <w:shd w:val="clear" w:color="auto" w:fill="F8F9FA"/>
              </w:rPr>
              <w:t xml:space="preserve">, </w:t>
            </w:r>
            <w:r w:rsidR="00E70A1D" w:rsidRPr="00A0324C">
              <w:rPr>
                <w:rFonts w:ascii="Calibri" w:hAnsi="Calibri" w:cs="Calibri"/>
                <w:color w:val="000000" w:themeColor="text1"/>
                <w:shd w:val="clear" w:color="auto" w:fill="F8F9FA"/>
              </w:rPr>
              <w:t>Pérou.</w:t>
            </w:r>
          </w:p>
        </w:tc>
        <w:tc>
          <w:tcPr>
            <w:tcW w:w="3434" w:type="dxa"/>
          </w:tcPr>
          <w:p w14:paraId="39250427" w14:textId="77777777" w:rsidR="00E70A1D" w:rsidRDefault="00E70A1D" w:rsidP="00525A4A">
            <w:pPr>
              <w:jc w:val="center"/>
            </w:pPr>
            <w:r>
              <w:rPr>
                <w:noProof/>
              </w:rPr>
              <w:drawing>
                <wp:inline distT="0" distB="0" distL="0" distR="0" wp14:anchorId="38CA52D4" wp14:editId="44D86987">
                  <wp:extent cx="1828800" cy="1371600"/>
                  <wp:effectExtent l="0" t="0" r="0" b="0"/>
                  <wp:docPr id="146446" name="Image 146446" descr="Une image contenant arbre, extérieur, plante, fl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46" name="Image 146446" descr="Une image contenant arbre, extérieur, plante, fleur&#10;&#10;Description générée automatiquement"/>
                          <pic:cNvPicPr>
                            <a:picLocks noChangeAspect="1" noChangeArrowheads="1"/>
                          </pic:cNvPicPr>
                        </pic:nvPicPr>
                        <pic:blipFill>
                          <a:blip r:embed="rId2219">
                            <a:extLst>
                              <a:ext uri="{28A0092B-C50C-407E-A947-70E740481C1C}">
                                <a14:useLocalDpi xmlns:a14="http://schemas.microsoft.com/office/drawing/2010/main" val="0"/>
                              </a:ext>
                            </a:extLst>
                          </a:blip>
                          <a:srcRect/>
                          <a:stretch>
                            <a:fillRect/>
                          </a:stretch>
                        </pic:blipFill>
                        <pic:spPr bwMode="auto">
                          <a:xfrm>
                            <a:off x="0" y="0"/>
                            <a:ext cx="1828800" cy="1371600"/>
                          </a:xfrm>
                          <a:prstGeom prst="rect">
                            <a:avLst/>
                          </a:prstGeom>
                          <a:noFill/>
                          <a:ln>
                            <a:noFill/>
                          </a:ln>
                        </pic:spPr>
                      </pic:pic>
                    </a:graphicData>
                  </a:graphic>
                </wp:inline>
              </w:drawing>
            </w:r>
          </w:p>
          <w:p w14:paraId="5C1D2149" w14:textId="77777777" w:rsidR="00E70A1D" w:rsidRDefault="00E70A1D" w:rsidP="00525A4A">
            <w:pPr>
              <w:jc w:val="center"/>
            </w:pPr>
            <w:r w:rsidRPr="00393B99">
              <w:t>Inflorescence</w:t>
            </w:r>
            <w:r>
              <w:t>.</w:t>
            </w:r>
          </w:p>
        </w:tc>
        <w:tc>
          <w:tcPr>
            <w:tcW w:w="3434" w:type="dxa"/>
          </w:tcPr>
          <w:p w14:paraId="6492D48B" w14:textId="77777777" w:rsidR="00E70A1D" w:rsidRDefault="00E70A1D" w:rsidP="00525A4A">
            <w:pPr>
              <w:jc w:val="center"/>
            </w:pPr>
            <w:r>
              <w:rPr>
                <w:noProof/>
              </w:rPr>
              <w:drawing>
                <wp:inline distT="0" distB="0" distL="0" distR="0" wp14:anchorId="3D554A11" wp14:editId="0C0748D8">
                  <wp:extent cx="1838614" cy="1238250"/>
                  <wp:effectExtent l="0" t="0" r="9525" b="0"/>
                  <wp:docPr id="146447" name="Image 146447" descr="Une image contenant ciel, extérieur, terrain, herb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47" name="Image 146447" descr="Une image contenant ciel, extérieur, terrain, herbe&#10;&#10;Description générée automatiquement"/>
                          <pic:cNvPicPr>
                            <a:picLocks noChangeAspect="1" noChangeArrowheads="1"/>
                          </pic:cNvPicPr>
                        </pic:nvPicPr>
                        <pic:blipFill>
                          <a:blip r:embed="rId2220">
                            <a:extLst>
                              <a:ext uri="{28A0092B-C50C-407E-A947-70E740481C1C}">
                                <a14:useLocalDpi xmlns:a14="http://schemas.microsoft.com/office/drawing/2010/main" val="0"/>
                              </a:ext>
                            </a:extLst>
                          </a:blip>
                          <a:srcRect/>
                          <a:stretch>
                            <a:fillRect/>
                          </a:stretch>
                        </pic:blipFill>
                        <pic:spPr bwMode="auto">
                          <a:xfrm>
                            <a:off x="0" y="0"/>
                            <a:ext cx="1847637" cy="1244327"/>
                          </a:xfrm>
                          <a:prstGeom prst="rect">
                            <a:avLst/>
                          </a:prstGeom>
                          <a:noFill/>
                          <a:ln>
                            <a:noFill/>
                          </a:ln>
                        </pic:spPr>
                      </pic:pic>
                    </a:graphicData>
                  </a:graphic>
                </wp:inline>
              </w:drawing>
            </w:r>
          </w:p>
          <w:p w14:paraId="6FF0CF54" w14:textId="77777777" w:rsidR="00E70A1D" w:rsidRDefault="00E70A1D" w:rsidP="00525A4A">
            <w:pPr>
              <w:jc w:val="both"/>
            </w:pPr>
            <w:r w:rsidRPr="00D936BE">
              <w:t>Labourage d’un champ en préparation d’un semis de quinoa. Cette pratique peut conduire à une dégradation du sol, comme le montre la maigre performance de la culture à gauche (Chacala, Uyuni)</w:t>
            </w:r>
            <w:r>
              <w:t>.</w:t>
            </w:r>
          </w:p>
          <w:p w14:paraId="044ECCDE" w14:textId="77777777" w:rsidR="00E70A1D" w:rsidRDefault="00E70A1D" w:rsidP="00525A4A">
            <w:pPr>
              <w:jc w:val="both"/>
            </w:pPr>
          </w:p>
        </w:tc>
      </w:tr>
      <w:tr w:rsidR="00E70A1D" w14:paraId="77B09C49" w14:textId="77777777" w:rsidTr="00525A4A">
        <w:tc>
          <w:tcPr>
            <w:tcW w:w="3434" w:type="dxa"/>
          </w:tcPr>
          <w:p w14:paraId="127605A0" w14:textId="77777777" w:rsidR="00E70A1D" w:rsidRDefault="00E70A1D" w:rsidP="00525A4A">
            <w:pPr>
              <w:jc w:val="center"/>
            </w:pPr>
            <w:r>
              <w:rPr>
                <w:noProof/>
              </w:rPr>
              <w:drawing>
                <wp:inline distT="0" distB="0" distL="0" distR="0" wp14:anchorId="0E8231B5" wp14:editId="4D59F85A">
                  <wp:extent cx="1495425" cy="1005258"/>
                  <wp:effectExtent l="0" t="0" r="0" b="4445"/>
                  <wp:docPr id="146448" name="Image 146448" descr="Une image contenant texte, herbe, extérieur,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48" name="Image 146448" descr="Une image contenant texte, herbe, extérieur, plante&#10;&#10;Description générée automatiquement"/>
                          <pic:cNvPicPr>
                            <a:picLocks noChangeAspect="1" noChangeArrowheads="1"/>
                          </pic:cNvPicPr>
                        </pic:nvPicPr>
                        <pic:blipFill>
                          <a:blip r:embed="rId2221">
                            <a:extLst>
                              <a:ext uri="{28A0092B-C50C-407E-A947-70E740481C1C}">
                                <a14:useLocalDpi xmlns:a14="http://schemas.microsoft.com/office/drawing/2010/main" val="0"/>
                              </a:ext>
                            </a:extLst>
                          </a:blip>
                          <a:srcRect/>
                          <a:stretch>
                            <a:fillRect/>
                          </a:stretch>
                        </pic:blipFill>
                        <pic:spPr bwMode="auto">
                          <a:xfrm>
                            <a:off x="0" y="0"/>
                            <a:ext cx="1496193" cy="1005774"/>
                          </a:xfrm>
                          <a:prstGeom prst="rect">
                            <a:avLst/>
                          </a:prstGeom>
                          <a:noFill/>
                          <a:ln>
                            <a:noFill/>
                          </a:ln>
                        </pic:spPr>
                      </pic:pic>
                    </a:graphicData>
                  </a:graphic>
                </wp:inline>
              </w:drawing>
            </w:r>
          </w:p>
          <w:p w14:paraId="54C27E9A" w14:textId="77777777" w:rsidR="00E70A1D" w:rsidRDefault="00E70A1D" w:rsidP="00525A4A">
            <w:pPr>
              <w:jc w:val="center"/>
            </w:pPr>
            <w:r w:rsidRPr="00D936BE">
              <w:t>Récolte en Équateur</w:t>
            </w:r>
          </w:p>
        </w:tc>
        <w:tc>
          <w:tcPr>
            <w:tcW w:w="3434" w:type="dxa"/>
          </w:tcPr>
          <w:p w14:paraId="447FAB9E" w14:textId="630754DA" w:rsidR="00E70A1D" w:rsidRDefault="003E081E" w:rsidP="00525A4A">
            <w:pPr>
              <w:jc w:val="center"/>
            </w:pPr>
            <w:r>
              <w:rPr>
                <w:noProof/>
              </w:rPr>
              <w:drawing>
                <wp:inline distT="0" distB="0" distL="0" distR="0" wp14:anchorId="2B4F2D9A" wp14:editId="7430AFFD">
                  <wp:extent cx="1181100" cy="789956"/>
                  <wp:effectExtent l="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2"/>
                          <a:stretch>
                            <a:fillRect/>
                          </a:stretch>
                        </pic:blipFill>
                        <pic:spPr>
                          <a:xfrm>
                            <a:off x="0" y="0"/>
                            <a:ext cx="1181486" cy="790214"/>
                          </a:xfrm>
                          <a:prstGeom prst="rect">
                            <a:avLst/>
                          </a:prstGeom>
                        </pic:spPr>
                      </pic:pic>
                    </a:graphicData>
                  </a:graphic>
                </wp:inline>
              </w:drawing>
            </w:r>
          </w:p>
          <w:p w14:paraId="70E7A5C9" w14:textId="77777777" w:rsidR="00E70A1D" w:rsidRDefault="00E70A1D" w:rsidP="00525A4A">
            <w:pPr>
              <w:jc w:val="center"/>
            </w:pPr>
            <w:r w:rsidRPr="00D936BE">
              <w:t>Gerbes de quinoa mises à sécher, près du lac Titicaca</w:t>
            </w:r>
            <w:r>
              <w:t>.</w:t>
            </w:r>
          </w:p>
          <w:p w14:paraId="01D0049D" w14:textId="77777777" w:rsidR="00E70A1D" w:rsidRDefault="00E70A1D" w:rsidP="00525A4A">
            <w:pPr>
              <w:jc w:val="center"/>
            </w:pPr>
          </w:p>
        </w:tc>
        <w:tc>
          <w:tcPr>
            <w:tcW w:w="3434" w:type="dxa"/>
          </w:tcPr>
          <w:p w14:paraId="244DA06D" w14:textId="77777777" w:rsidR="00E70A1D" w:rsidRDefault="00E70A1D" w:rsidP="00525A4A">
            <w:pPr>
              <w:jc w:val="center"/>
            </w:pPr>
            <w:r>
              <w:rPr>
                <w:noProof/>
              </w:rPr>
              <w:drawing>
                <wp:inline distT="0" distB="0" distL="0" distR="0" wp14:anchorId="6C1970D3" wp14:editId="270A5214">
                  <wp:extent cx="1333500" cy="1000125"/>
                  <wp:effectExtent l="0" t="0" r="0" b="9525"/>
                  <wp:docPr id="146450" name="Image 146450" descr="Une image contenant ex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50" name="Image 146450" descr="Une image contenant extérieur&#10;&#10;Description générée automatiquement"/>
                          <pic:cNvPicPr>
                            <a:picLocks noChangeAspect="1" noChangeArrowheads="1"/>
                          </pic:cNvPicPr>
                        </pic:nvPicPr>
                        <pic:blipFill>
                          <a:blip r:embed="rId2223">
                            <a:extLst>
                              <a:ext uri="{28A0092B-C50C-407E-A947-70E740481C1C}">
                                <a14:useLocalDpi xmlns:a14="http://schemas.microsoft.com/office/drawing/2010/main" val="0"/>
                              </a:ext>
                            </a:extLst>
                          </a:blip>
                          <a:srcRect/>
                          <a:stretch>
                            <a:fillRect/>
                          </a:stretch>
                        </pic:blipFill>
                        <pic:spPr bwMode="auto">
                          <a:xfrm>
                            <a:off x="0" y="0"/>
                            <a:ext cx="1335437" cy="1001578"/>
                          </a:xfrm>
                          <a:prstGeom prst="rect">
                            <a:avLst/>
                          </a:prstGeom>
                          <a:noFill/>
                          <a:ln>
                            <a:noFill/>
                          </a:ln>
                        </pic:spPr>
                      </pic:pic>
                    </a:graphicData>
                  </a:graphic>
                </wp:inline>
              </w:drawing>
            </w:r>
          </w:p>
          <w:p w14:paraId="51104194" w14:textId="77777777" w:rsidR="00E70A1D" w:rsidRDefault="00E70A1D" w:rsidP="00525A4A">
            <w:pPr>
              <w:jc w:val="center"/>
            </w:pPr>
            <w:r w:rsidRPr="00BF6952">
              <w:t>Battage du quinoa au Pérou</w:t>
            </w:r>
            <w:r>
              <w:t>.</w:t>
            </w:r>
          </w:p>
        </w:tc>
      </w:tr>
      <w:tr w:rsidR="00E70A1D" w14:paraId="0B53CB91" w14:textId="77777777" w:rsidTr="00525A4A">
        <w:tc>
          <w:tcPr>
            <w:tcW w:w="3434" w:type="dxa"/>
          </w:tcPr>
          <w:p w14:paraId="4D688E56" w14:textId="77777777" w:rsidR="00E70A1D" w:rsidRDefault="00E70A1D" w:rsidP="00525A4A">
            <w:pPr>
              <w:jc w:val="center"/>
            </w:pPr>
            <w:r>
              <w:rPr>
                <w:noProof/>
              </w:rPr>
              <w:lastRenderedPageBreak/>
              <w:drawing>
                <wp:inline distT="0" distB="0" distL="0" distR="0" wp14:anchorId="51FB93D2" wp14:editId="3B62AEDD">
                  <wp:extent cx="1581150" cy="1064856"/>
                  <wp:effectExtent l="0" t="0" r="0" b="2540"/>
                  <wp:docPr id="146451" name="Image 146451" descr="Une image contenant personne, légu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51" name="Image 146451" descr="Une image contenant personne, légume&#10;&#10;Description générée automatiquement"/>
                          <pic:cNvPicPr>
                            <a:picLocks noChangeAspect="1" noChangeArrowheads="1"/>
                          </pic:cNvPicPr>
                        </pic:nvPicPr>
                        <pic:blipFill>
                          <a:blip r:embed="rId2224">
                            <a:extLst>
                              <a:ext uri="{28A0092B-C50C-407E-A947-70E740481C1C}">
                                <a14:useLocalDpi xmlns:a14="http://schemas.microsoft.com/office/drawing/2010/main" val="0"/>
                              </a:ext>
                            </a:extLst>
                          </a:blip>
                          <a:srcRect/>
                          <a:stretch>
                            <a:fillRect/>
                          </a:stretch>
                        </pic:blipFill>
                        <pic:spPr bwMode="auto">
                          <a:xfrm>
                            <a:off x="0" y="0"/>
                            <a:ext cx="1599828" cy="1077435"/>
                          </a:xfrm>
                          <a:prstGeom prst="rect">
                            <a:avLst/>
                          </a:prstGeom>
                          <a:noFill/>
                          <a:ln>
                            <a:noFill/>
                          </a:ln>
                        </pic:spPr>
                      </pic:pic>
                    </a:graphicData>
                  </a:graphic>
                </wp:inline>
              </w:drawing>
            </w:r>
          </w:p>
          <w:p w14:paraId="3F294FC9" w14:textId="77777777" w:rsidR="00E70A1D" w:rsidRPr="00D936BE" w:rsidRDefault="00E70A1D" w:rsidP="00525A4A">
            <w:pPr>
              <w:jc w:val="center"/>
              <w:rPr>
                <w:lang w:val="es-AR"/>
              </w:rPr>
            </w:pPr>
            <w:r w:rsidRPr="00D936BE">
              <w:rPr>
                <w:lang w:val="es-AR"/>
              </w:rPr>
              <w:t>Vente de quinoa real, Altiplano sud</w:t>
            </w:r>
            <w:r>
              <w:rPr>
                <w:lang w:val="es-AR"/>
              </w:rPr>
              <w:t>.</w:t>
            </w:r>
          </w:p>
        </w:tc>
        <w:tc>
          <w:tcPr>
            <w:tcW w:w="3434" w:type="dxa"/>
          </w:tcPr>
          <w:p w14:paraId="2EE6A3FE" w14:textId="77777777" w:rsidR="00E70A1D" w:rsidRDefault="00E70A1D" w:rsidP="00525A4A">
            <w:pPr>
              <w:jc w:val="center"/>
            </w:pPr>
            <w:r>
              <w:rPr>
                <w:noProof/>
              </w:rPr>
              <w:drawing>
                <wp:inline distT="0" distB="0" distL="0" distR="0" wp14:anchorId="53DB2A60" wp14:editId="19F599C4">
                  <wp:extent cx="1133475" cy="1512589"/>
                  <wp:effectExtent l="0" t="0" r="0" b="0"/>
                  <wp:docPr id="146452" name="Image 146452" descr="Une image contenant terrain, personne, plusieur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52" name="Image 146452" descr="Une image contenant terrain, personne, plusieurs&#10;&#10;Description générée automatiquement"/>
                          <pic:cNvPicPr>
                            <a:picLocks noChangeAspect="1" noChangeArrowheads="1"/>
                          </pic:cNvPicPr>
                        </pic:nvPicPr>
                        <pic:blipFill>
                          <a:blip r:embed="rId2225">
                            <a:extLst>
                              <a:ext uri="{28A0092B-C50C-407E-A947-70E740481C1C}">
                                <a14:useLocalDpi xmlns:a14="http://schemas.microsoft.com/office/drawing/2010/main" val="0"/>
                              </a:ext>
                            </a:extLst>
                          </a:blip>
                          <a:srcRect/>
                          <a:stretch>
                            <a:fillRect/>
                          </a:stretch>
                        </pic:blipFill>
                        <pic:spPr bwMode="auto">
                          <a:xfrm>
                            <a:off x="0" y="0"/>
                            <a:ext cx="1138621" cy="1519456"/>
                          </a:xfrm>
                          <a:prstGeom prst="rect">
                            <a:avLst/>
                          </a:prstGeom>
                          <a:noFill/>
                          <a:ln>
                            <a:noFill/>
                          </a:ln>
                        </pic:spPr>
                      </pic:pic>
                    </a:graphicData>
                  </a:graphic>
                </wp:inline>
              </w:drawing>
            </w:r>
          </w:p>
          <w:p w14:paraId="45BBCA3F" w14:textId="77777777" w:rsidR="00E70A1D" w:rsidRDefault="00E70A1D" w:rsidP="00525A4A">
            <w:pPr>
              <w:jc w:val="center"/>
            </w:pPr>
            <w:r w:rsidRPr="00A0324C">
              <w:t>Vendeuse de quinoa au marché de Calca, Pérou</w:t>
            </w:r>
            <w:r>
              <w:t>.</w:t>
            </w:r>
          </w:p>
          <w:p w14:paraId="612E162C" w14:textId="0ADC6FDB" w:rsidR="003E081E" w:rsidRDefault="003E081E" w:rsidP="00525A4A">
            <w:pPr>
              <w:jc w:val="center"/>
            </w:pPr>
          </w:p>
        </w:tc>
        <w:tc>
          <w:tcPr>
            <w:tcW w:w="3434" w:type="dxa"/>
          </w:tcPr>
          <w:p w14:paraId="40157A17" w14:textId="77777777" w:rsidR="00E70A1D" w:rsidRDefault="00E70A1D" w:rsidP="00525A4A">
            <w:pPr>
              <w:jc w:val="center"/>
            </w:pPr>
            <w:r>
              <w:rPr>
                <w:noProof/>
              </w:rPr>
              <w:drawing>
                <wp:inline distT="0" distB="0" distL="0" distR="0" wp14:anchorId="7E18B576" wp14:editId="14F67817">
                  <wp:extent cx="1509324" cy="1009650"/>
                  <wp:effectExtent l="0" t="0" r="0" b="0"/>
                  <wp:docPr id="146453" name="Image 146453" descr="Une image contenant alimentation, assiette, fruit, graine de sésa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53" name="Image 146453" descr="Une image contenant alimentation, assiette, fruit, graine de sésame&#10;&#10;Description générée automatiquement"/>
                          <pic:cNvPicPr>
                            <a:picLocks noChangeAspect="1" noChangeArrowheads="1"/>
                          </pic:cNvPicPr>
                        </pic:nvPicPr>
                        <pic:blipFill>
                          <a:blip r:embed="rId2226">
                            <a:extLst>
                              <a:ext uri="{28A0092B-C50C-407E-A947-70E740481C1C}">
                                <a14:useLocalDpi xmlns:a14="http://schemas.microsoft.com/office/drawing/2010/main" val="0"/>
                              </a:ext>
                            </a:extLst>
                          </a:blip>
                          <a:srcRect/>
                          <a:stretch>
                            <a:fillRect/>
                          </a:stretch>
                        </pic:blipFill>
                        <pic:spPr bwMode="auto">
                          <a:xfrm>
                            <a:off x="0" y="0"/>
                            <a:ext cx="1515251" cy="1013615"/>
                          </a:xfrm>
                          <a:prstGeom prst="rect">
                            <a:avLst/>
                          </a:prstGeom>
                          <a:noFill/>
                          <a:ln>
                            <a:noFill/>
                          </a:ln>
                        </pic:spPr>
                      </pic:pic>
                    </a:graphicData>
                  </a:graphic>
                </wp:inline>
              </w:drawing>
            </w:r>
          </w:p>
          <w:p w14:paraId="12F9919C" w14:textId="77777777" w:rsidR="00E70A1D" w:rsidRDefault="00E70A1D" w:rsidP="00525A4A">
            <w:pPr>
              <w:jc w:val="center"/>
            </w:pPr>
            <w:r w:rsidRPr="002C1EC8">
              <w:t>Quinoa rouge, cuit</w:t>
            </w:r>
            <w:r>
              <w:t>.</w:t>
            </w:r>
          </w:p>
        </w:tc>
      </w:tr>
      <w:tr w:rsidR="00E70A1D" w14:paraId="0AEF83B5" w14:textId="77777777" w:rsidTr="00525A4A">
        <w:tc>
          <w:tcPr>
            <w:tcW w:w="3434" w:type="dxa"/>
          </w:tcPr>
          <w:p w14:paraId="28B52E81" w14:textId="77777777" w:rsidR="00E70A1D" w:rsidRDefault="00E70A1D" w:rsidP="00525A4A">
            <w:pPr>
              <w:jc w:val="center"/>
            </w:pPr>
            <w:r>
              <w:rPr>
                <w:noProof/>
              </w:rPr>
              <w:drawing>
                <wp:inline distT="0" distB="0" distL="0" distR="0" wp14:anchorId="4E69C686" wp14:editId="4AF1D70C">
                  <wp:extent cx="1143000" cy="857250"/>
                  <wp:effectExtent l="0" t="0" r="0" b="0"/>
                  <wp:docPr id="146454" name="Image 146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27">
                            <a:extLst>
                              <a:ext uri="{28A0092B-C50C-407E-A947-70E740481C1C}">
                                <a14:useLocalDpi xmlns:a14="http://schemas.microsoft.com/office/drawing/2010/main" val="0"/>
                              </a:ext>
                            </a:extLst>
                          </a:blip>
                          <a:srcRect/>
                          <a:stretch>
                            <a:fillRect/>
                          </a:stretch>
                        </pic:blipFill>
                        <pic:spPr bwMode="auto">
                          <a:xfrm>
                            <a:off x="0" y="0"/>
                            <a:ext cx="1143000" cy="857250"/>
                          </a:xfrm>
                          <a:prstGeom prst="rect">
                            <a:avLst/>
                          </a:prstGeom>
                          <a:noFill/>
                          <a:ln>
                            <a:noFill/>
                          </a:ln>
                        </pic:spPr>
                      </pic:pic>
                    </a:graphicData>
                  </a:graphic>
                </wp:inline>
              </w:drawing>
            </w:r>
          </w:p>
          <w:p w14:paraId="49C5C083" w14:textId="77777777" w:rsidR="00E70A1D" w:rsidRDefault="00E70A1D" w:rsidP="00525A4A">
            <w:pPr>
              <w:jc w:val="center"/>
            </w:pPr>
            <w:r w:rsidRPr="00BF6952">
              <w:t>Graines de quinoa</w:t>
            </w:r>
          </w:p>
        </w:tc>
        <w:tc>
          <w:tcPr>
            <w:tcW w:w="3434" w:type="dxa"/>
          </w:tcPr>
          <w:p w14:paraId="42773D87" w14:textId="77777777" w:rsidR="00E70A1D" w:rsidRDefault="00E70A1D" w:rsidP="00525A4A">
            <w:pPr>
              <w:jc w:val="center"/>
            </w:pPr>
            <w:r>
              <w:rPr>
                <w:noProof/>
              </w:rPr>
              <w:drawing>
                <wp:inline distT="0" distB="0" distL="0" distR="0" wp14:anchorId="3AD3D56E" wp14:editId="6BAFB047">
                  <wp:extent cx="1676400" cy="1257300"/>
                  <wp:effectExtent l="0" t="0" r="0" b="0"/>
                  <wp:docPr id="146455" name="Image 146455" descr="Une image contenant légume, plusieur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55" name="Image 146455" descr="Une image contenant légume, plusieurs&#10;&#10;Description générée automatiquement"/>
                          <pic:cNvPicPr>
                            <a:picLocks noChangeAspect="1" noChangeArrowheads="1"/>
                          </pic:cNvPicPr>
                        </pic:nvPicPr>
                        <pic:blipFill>
                          <a:blip r:embed="rId2228">
                            <a:extLst>
                              <a:ext uri="{28A0092B-C50C-407E-A947-70E740481C1C}">
                                <a14:useLocalDpi xmlns:a14="http://schemas.microsoft.com/office/drawing/2010/main" val="0"/>
                              </a:ext>
                            </a:extLst>
                          </a:blip>
                          <a:srcRect/>
                          <a:stretch>
                            <a:fillRect/>
                          </a:stretch>
                        </pic:blipFill>
                        <pic:spPr bwMode="auto">
                          <a:xfrm>
                            <a:off x="0" y="0"/>
                            <a:ext cx="1676400" cy="1257300"/>
                          </a:xfrm>
                          <a:prstGeom prst="rect">
                            <a:avLst/>
                          </a:prstGeom>
                          <a:noFill/>
                          <a:ln>
                            <a:noFill/>
                          </a:ln>
                        </pic:spPr>
                      </pic:pic>
                    </a:graphicData>
                  </a:graphic>
                </wp:inline>
              </w:drawing>
            </w:r>
          </w:p>
          <w:p w14:paraId="73803902" w14:textId="77777777" w:rsidR="00E70A1D" w:rsidRDefault="00E70A1D" w:rsidP="00525A4A">
            <w:pPr>
              <w:jc w:val="center"/>
            </w:pPr>
            <w:r>
              <w:t>Graine de quinoa.</w:t>
            </w:r>
          </w:p>
        </w:tc>
        <w:tc>
          <w:tcPr>
            <w:tcW w:w="3434" w:type="dxa"/>
          </w:tcPr>
          <w:p w14:paraId="1918012F" w14:textId="77777777" w:rsidR="00E70A1D" w:rsidRDefault="00E70A1D" w:rsidP="00525A4A">
            <w:pPr>
              <w:jc w:val="center"/>
            </w:pPr>
            <w:r>
              <w:rPr>
                <w:noProof/>
              </w:rPr>
              <w:drawing>
                <wp:inline distT="0" distB="0" distL="0" distR="0" wp14:anchorId="4E0A9365" wp14:editId="06C5706C">
                  <wp:extent cx="1524000" cy="1485900"/>
                  <wp:effectExtent l="0" t="0" r="0" b="0"/>
                  <wp:docPr id="146456" name="Image 146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229">
                            <a:extLst>
                              <a:ext uri="{28A0092B-C50C-407E-A947-70E740481C1C}">
                                <a14:useLocalDpi xmlns:a14="http://schemas.microsoft.com/office/drawing/2010/main" val="0"/>
                              </a:ext>
                            </a:extLst>
                          </a:blip>
                          <a:srcRect/>
                          <a:stretch>
                            <a:fillRect/>
                          </a:stretch>
                        </pic:blipFill>
                        <pic:spPr bwMode="auto">
                          <a:xfrm>
                            <a:off x="0" y="0"/>
                            <a:ext cx="1524000" cy="1485900"/>
                          </a:xfrm>
                          <a:prstGeom prst="rect">
                            <a:avLst/>
                          </a:prstGeom>
                          <a:noFill/>
                          <a:ln>
                            <a:noFill/>
                          </a:ln>
                        </pic:spPr>
                      </pic:pic>
                    </a:graphicData>
                  </a:graphic>
                </wp:inline>
              </w:drawing>
            </w:r>
          </w:p>
          <w:p w14:paraId="48F21A80" w14:textId="77777777" w:rsidR="00E70A1D" w:rsidRDefault="00E70A1D" w:rsidP="00525A4A">
            <w:pPr>
              <w:jc w:val="center"/>
            </w:pPr>
            <w:r>
              <w:t>Enveloppe de la graine de quinoa noir</w:t>
            </w:r>
          </w:p>
        </w:tc>
      </w:tr>
      <w:tr w:rsidR="00E70A1D" w14:paraId="677D7F14" w14:textId="77777777" w:rsidTr="00525A4A">
        <w:tc>
          <w:tcPr>
            <w:tcW w:w="3434" w:type="dxa"/>
          </w:tcPr>
          <w:p w14:paraId="219C7D1D" w14:textId="77777777" w:rsidR="00E70A1D" w:rsidRDefault="00E70A1D" w:rsidP="00525A4A">
            <w:pPr>
              <w:jc w:val="center"/>
              <w:rPr>
                <w:noProof/>
              </w:rPr>
            </w:pPr>
            <w:r>
              <w:rPr>
                <w:noProof/>
              </w:rPr>
              <w:drawing>
                <wp:inline distT="0" distB="0" distL="0" distR="0" wp14:anchorId="5F7693D5" wp14:editId="63123FD9">
                  <wp:extent cx="1037389" cy="923925"/>
                  <wp:effectExtent l="0" t="0" r="0" b="0"/>
                  <wp:docPr id="146457" name="Image 146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230">
                            <a:extLst>
                              <a:ext uri="{28A0092B-C50C-407E-A947-70E740481C1C}">
                                <a14:useLocalDpi xmlns:a14="http://schemas.microsoft.com/office/drawing/2010/main" val="0"/>
                              </a:ext>
                            </a:extLst>
                          </a:blip>
                          <a:srcRect/>
                          <a:stretch>
                            <a:fillRect/>
                          </a:stretch>
                        </pic:blipFill>
                        <pic:spPr bwMode="auto">
                          <a:xfrm>
                            <a:off x="0" y="0"/>
                            <a:ext cx="1041887" cy="927931"/>
                          </a:xfrm>
                          <a:prstGeom prst="rect">
                            <a:avLst/>
                          </a:prstGeom>
                          <a:noFill/>
                          <a:ln>
                            <a:noFill/>
                          </a:ln>
                        </pic:spPr>
                      </pic:pic>
                    </a:graphicData>
                  </a:graphic>
                </wp:inline>
              </w:drawing>
            </w:r>
          </w:p>
          <w:p w14:paraId="0B788A85" w14:textId="77777777" w:rsidR="00E70A1D" w:rsidRDefault="00E70A1D" w:rsidP="00525A4A">
            <w:pPr>
              <w:jc w:val="center"/>
              <w:rPr>
                <w:noProof/>
              </w:rPr>
            </w:pPr>
            <w:r w:rsidRPr="00BF6952">
              <w:rPr>
                <w:noProof/>
              </w:rPr>
              <w:t>Fleur de quinoa</w:t>
            </w:r>
          </w:p>
        </w:tc>
        <w:tc>
          <w:tcPr>
            <w:tcW w:w="3434" w:type="dxa"/>
          </w:tcPr>
          <w:p w14:paraId="2A66C0A6" w14:textId="77777777" w:rsidR="00E70A1D" w:rsidRDefault="00E70A1D" w:rsidP="00525A4A">
            <w:pPr>
              <w:jc w:val="center"/>
              <w:rPr>
                <w:noProof/>
              </w:rPr>
            </w:pPr>
            <w:r>
              <w:rPr>
                <w:noProof/>
              </w:rPr>
              <w:drawing>
                <wp:inline distT="0" distB="0" distL="0" distR="0" wp14:anchorId="4E285022" wp14:editId="7B96FC31">
                  <wp:extent cx="1462603" cy="1304925"/>
                  <wp:effectExtent l="0" t="0" r="4445" b="0"/>
                  <wp:docPr id="146458" name="Image 146458" descr="Une image contenant plusieurs, légu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58" name="Image 146458" descr="Une image contenant plusieurs, légume&#10;&#10;Description générée automatiquement"/>
                          <pic:cNvPicPr>
                            <a:picLocks noChangeAspect="1" noChangeArrowheads="1"/>
                          </pic:cNvPicPr>
                        </pic:nvPicPr>
                        <pic:blipFill>
                          <a:blip r:embed="rId2231">
                            <a:extLst>
                              <a:ext uri="{28A0092B-C50C-407E-A947-70E740481C1C}">
                                <a14:useLocalDpi xmlns:a14="http://schemas.microsoft.com/office/drawing/2010/main" val="0"/>
                              </a:ext>
                            </a:extLst>
                          </a:blip>
                          <a:srcRect/>
                          <a:stretch>
                            <a:fillRect/>
                          </a:stretch>
                        </pic:blipFill>
                        <pic:spPr bwMode="auto">
                          <a:xfrm>
                            <a:off x="0" y="0"/>
                            <a:ext cx="1466861" cy="1308724"/>
                          </a:xfrm>
                          <a:prstGeom prst="rect">
                            <a:avLst/>
                          </a:prstGeom>
                          <a:noFill/>
                          <a:ln>
                            <a:noFill/>
                          </a:ln>
                        </pic:spPr>
                      </pic:pic>
                    </a:graphicData>
                  </a:graphic>
                </wp:inline>
              </w:drawing>
            </w:r>
          </w:p>
          <w:p w14:paraId="42F959DA" w14:textId="77777777" w:rsidR="00E70A1D" w:rsidRDefault="00E70A1D" w:rsidP="00525A4A">
            <w:pPr>
              <w:jc w:val="center"/>
              <w:rPr>
                <w:noProof/>
              </w:rPr>
            </w:pPr>
            <w:r>
              <w:rPr>
                <w:noProof/>
              </w:rPr>
              <w:t>Intérieur d’une fleur de quinoa.</w:t>
            </w:r>
          </w:p>
        </w:tc>
        <w:tc>
          <w:tcPr>
            <w:tcW w:w="3434" w:type="dxa"/>
          </w:tcPr>
          <w:p w14:paraId="3CA08127" w14:textId="77777777" w:rsidR="003E081E" w:rsidRDefault="003E081E" w:rsidP="00525A4A">
            <w:pPr>
              <w:jc w:val="center"/>
              <w:rPr>
                <w:noProof/>
              </w:rPr>
            </w:pPr>
          </w:p>
          <w:p w14:paraId="72F8C6DA" w14:textId="1030D678" w:rsidR="00E70A1D" w:rsidRDefault="00E70A1D" w:rsidP="00525A4A">
            <w:pPr>
              <w:jc w:val="center"/>
              <w:rPr>
                <w:noProof/>
              </w:rPr>
            </w:pPr>
            <w:r>
              <w:rPr>
                <w:noProof/>
              </w:rPr>
              <w:drawing>
                <wp:inline distT="0" distB="0" distL="0" distR="0" wp14:anchorId="6A55EDD1" wp14:editId="7D915B3D">
                  <wp:extent cx="1143000" cy="762000"/>
                  <wp:effectExtent l="0" t="0" r="0" b="0"/>
                  <wp:docPr id="146459" name="Image 146459" descr="Une image contenant périphér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59" name="Image 146459" descr="Une image contenant périphérique&#10;&#10;Description générée automatiquement"/>
                          <pic:cNvPicPr>
                            <a:picLocks noChangeAspect="1" noChangeArrowheads="1"/>
                          </pic:cNvPicPr>
                        </pic:nvPicPr>
                        <pic:blipFill>
                          <a:blip r:embed="rId2232">
                            <a:extLst>
                              <a:ext uri="{28A0092B-C50C-407E-A947-70E740481C1C}">
                                <a14:useLocalDpi xmlns:a14="http://schemas.microsoft.com/office/drawing/2010/main" val="0"/>
                              </a:ext>
                            </a:extLst>
                          </a:blip>
                          <a:srcRect/>
                          <a:stretch>
                            <a:fillRect/>
                          </a:stretch>
                        </pic:blipFill>
                        <pic:spPr bwMode="auto">
                          <a:xfrm>
                            <a:off x="0" y="0"/>
                            <a:ext cx="1143000" cy="762000"/>
                          </a:xfrm>
                          <a:prstGeom prst="rect">
                            <a:avLst/>
                          </a:prstGeom>
                          <a:noFill/>
                          <a:ln>
                            <a:noFill/>
                          </a:ln>
                        </pic:spPr>
                      </pic:pic>
                    </a:graphicData>
                  </a:graphic>
                </wp:inline>
              </w:drawing>
            </w:r>
          </w:p>
          <w:p w14:paraId="4CF17E0C" w14:textId="77777777" w:rsidR="00E70A1D" w:rsidRPr="00BF6952" w:rsidRDefault="00E70A1D" w:rsidP="00525A4A">
            <w:pPr>
              <w:jc w:val="center"/>
            </w:pPr>
            <w:r w:rsidRPr="00BF6952">
              <w:rPr>
                <w:noProof/>
              </w:rPr>
              <w:t>Taille du quinoa en millimètres</w:t>
            </w:r>
          </w:p>
        </w:tc>
      </w:tr>
    </w:tbl>
    <w:p w14:paraId="6E4EE51A" w14:textId="77777777" w:rsidR="00E70A1D" w:rsidRDefault="00E70A1D" w:rsidP="004A7E7F">
      <w:pPr>
        <w:spacing w:after="0" w:line="240" w:lineRule="auto"/>
        <w:rPr>
          <w:rFonts w:ascii="Calibri" w:hAnsi="Calibri" w:cs="Calibri"/>
        </w:rPr>
      </w:pPr>
    </w:p>
    <w:p w14:paraId="54DFA9D3" w14:textId="3465C82F" w:rsidR="00744237" w:rsidRPr="00744237" w:rsidRDefault="00D618E6" w:rsidP="00744237">
      <w:pPr>
        <w:pStyle w:val="Titre2"/>
        <w:rPr>
          <w:i/>
          <w:iCs/>
        </w:rPr>
      </w:pPr>
      <w:bookmarkStart w:id="189" w:name="_Toc139181480"/>
      <w:r>
        <w:t>A</w:t>
      </w:r>
      <w:r w:rsidRPr="00D618E6">
        <w:t xml:space="preserve">loès commun </w:t>
      </w:r>
      <w:r>
        <w:t>(</w:t>
      </w:r>
      <w:r w:rsidR="00744237" w:rsidRPr="00744237">
        <w:rPr>
          <w:i/>
          <w:iCs/>
        </w:rPr>
        <w:t>Aloe vera</w:t>
      </w:r>
      <w:r>
        <w:t>)</w:t>
      </w:r>
      <w:bookmarkEnd w:id="189"/>
    </w:p>
    <w:p w14:paraId="7049A77E" w14:textId="55251484" w:rsidR="00744237" w:rsidRDefault="00744237" w:rsidP="00744237">
      <w:pPr>
        <w:spacing w:after="0" w:line="240" w:lineRule="auto"/>
        <w:jc w:val="both"/>
        <w:rPr>
          <w:rFonts w:ascii="Calibri" w:hAnsi="Calibri" w:cs="Calibri"/>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5"/>
        <w:gridCol w:w="2313"/>
        <w:gridCol w:w="1544"/>
        <w:gridCol w:w="415"/>
        <w:gridCol w:w="1379"/>
      </w:tblGrid>
      <w:tr w:rsidR="00D618E6" w:rsidRPr="000B6BE3" w14:paraId="1CA2D9DF" w14:textId="77777777" w:rsidTr="007E58C4">
        <w:tc>
          <w:tcPr>
            <w:tcW w:w="4775" w:type="dxa"/>
          </w:tcPr>
          <w:p w14:paraId="7708492B" w14:textId="371A7C01" w:rsidR="00D618E6" w:rsidRPr="00DE2C3A" w:rsidRDefault="00D618E6" w:rsidP="007E58C4">
            <w:pPr>
              <w:jc w:val="both"/>
              <w:rPr>
                <w:rFonts w:ascii="Calibri" w:hAnsi="Calibri" w:cs="Calibri"/>
                <w:bCs/>
              </w:rPr>
            </w:pPr>
            <w:r>
              <w:rPr>
                <w:rFonts w:ascii="Calibri" w:hAnsi="Calibri" w:cs="Calibri"/>
                <w:bCs/>
              </w:rPr>
              <w:t>(</w:t>
            </w:r>
            <w:r w:rsidRPr="00DE2C3A">
              <w:rPr>
                <w:rFonts w:ascii="Calibri" w:hAnsi="Calibri" w:cs="Calibri"/>
                <w:bCs/>
              </w:rPr>
              <w:t>Famille des</w:t>
            </w:r>
            <w:r>
              <w:rPr>
                <w:rFonts w:ascii="Calibri" w:hAnsi="Calibri" w:cs="Calibri"/>
              </w:rPr>
              <w:t xml:space="preserve"> </w:t>
            </w:r>
            <w:hyperlink r:id="rId2233" w:history="1">
              <w:r w:rsidRPr="00D618E6">
                <w:rPr>
                  <w:rStyle w:val="Lienhypertexte"/>
                  <w:rFonts w:ascii="Calibri" w:hAnsi="Calibri" w:cs="Calibri"/>
                  <w:i/>
                  <w:iCs/>
                  <w:color w:val="0645AD"/>
                  <w:shd w:val="clear" w:color="auto" w:fill="F9F9F9"/>
                </w:rPr>
                <w:t>Aloeaceae</w:t>
              </w:r>
            </w:hyperlink>
            <w:r>
              <w:rPr>
                <w:rFonts w:ascii="Calibri" w:hAnsi="Calibri" w:cs="Calibri"/>
                <w:bCs/>
              </w:rPr>
              <w:t xml:space="preserve">, genre </w:t>
            </w:r>
            <w:hyperlink r:id="rId2234" w:tooltip="Aloès" w:history="1">
              <w:r w:rsidRPr="00D618E6">
                <w:rPr>
                  <w:rStyle w:val="Lienhypertexte"/>
                  <w:rFonts w:ascii="Calibri" w:hAnsi="Calibri" w:cs="Calibri"/>
                  <w:i/>
                  <w:iCs/>
                  <w:color w:val="0645AD"/>
                  <w:shd w:val="clear" w:color="auto" w:fill="FFFFFF"/>
                </w:rPr>
                <w:t>Aloe</w:t>
              </w:r>
            </w:hyperlink>
            <w:r>
              <w:rPr>
                <w:rFonts w:ascii="Calibri" w:hAnsi="Calibri" w:cs="Calibri"/>
                <w:bCs/>
              </w:rPr>
              <w:t>)</w:t>
            </w:r>
            <w:r w:rsidRPr="00DE2C3A">
              <w:rPr>
                <w:rFonts w:ascii="Calibri" w:hAnsi="Calibri" w:cs="Calibri"/>
                <w:bCs/>
              </w:rPr>
              <w:t>.</w:t>
            </w:r>
          </w:p>
          <w:p w14:paraId="13EBF8C6" w14:textId="77777777" w:rsidR="00D618E6" w:rsidRPr="008F191E" w:rsidRDefault="00D618E6" w:rsidP="007E58C4">
            <w:pPr>
              <w:rPr>
                <w:rFonts w:ascii="Calibri" w:hAnsi="Calibri" w:cs="Calibri"/>
                <w:bCs/>
              </w:rPr>
            </w:pPr>
          </w:p>
          <w:p w14:paraId="5EB38B09" w14:textId="77777777" w:rsidR="00D618E6" w:rsidRPr="000B6BE3" w:rsidRDefault="00D618E6" w:rsidP="007E58C4">
            <w:pPr>
              <w:rPr>
                <w:rFonts w:cstheme="minorHAnsi"/>
              </w:rPr>
            </w:pPr>
          </w:p>
        </w:tc>
        <w:tc>
          <w:tcPr>
            <w:tcW w:w="2313" w:type="dxa"/>
          </w:tcPr>
          <w:p w14:paraId="28E9C092" w14:textId="2810B7A1" w:rsidR="00D618E6" w:rsidRPr="000B6BE3" w:rsidRDefault="00D618E6" w:rsidP="007E58C4">
            <w:pPr>
              <w:rPr>
                <w:rFonts w:cstheme="minorHAnsi"/>
              </w:rPr>
            </w:pPr>
            <w:r w:rsidRPr="000B6BE3">
              <w:rPr>
                <w:rFonts w:cstheme="minorHAnsi"/>
                <w:noProof/>
              </w:rPr>
              <w:t xml:space="preserve">  </w:t>
            </w:r>
            <w:r>
              <w:rPr>
                <w:rFonts w:cstheme="minorHAnsi"/>
                <w:noProof/>
              </w:rPr>
              <w:t xml:space="preserve">     </w:t>
            </w:r>
            <w:r w:rsidRPr="005C50C9">
              <w:rPr>
                <w:rFonts w:cstheme="minorHAnsi"/>
                <w:noProof/>
              </w:rPr>
              <w:drawing>
                <wp:inline distT="0" distB="0" distL="0" distR="0" wp14:anchorId="2E8D0ADE" wp14:editId="73E6ABBB">
                  <wp:extent cx="495300" cy="666750"/>
                  <wp:effectExtent l="0" t="0" r="0" b="0"/>
                  <wp:docPr id="91150" name="Image 15"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8" name="Image 15" descr="logo aride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p>
        </w:tc>
        <w:tc>
          <w:tcPr>
            <w:tcW w:w="1544" w:type="dxa"/>
          </w:tcPr>
          <w:p w14:paraId="2A8D74E3" w14:textId="2E45AE55" w:rsidR="00D618E6" w:rsidRPr="002E01BB" w:rsidRDefault="00D618E6" w:rsidP="007E58C4">
            <w:pPr>
              <w:rPr>
                <w:rFonts w:eastAsia="+mn-ea" w:cstheme="minorHAnsi"/>
                <w:b/>
                <w:bCs/>
                <w:color w:val="008000"/>
                <w:kern w:val="24"/>
                <w:sz w:val="56"/>
                <w:szCs w:val="56"/>
              </w:rPr>
            </w:pPr>
            <w:r w:rsidRPr="00D1445E">
              <w:rPr>
                <w:rFonts w:eastAsia="+mn-ea" w:cstheme="minorHAnsi"/>
                <w:b/>
                <w:bCs/>
                <w:color w:val="008000"/>
                <w:kern w:val="24"/>
                <w:sz w:val="56"/>
                <w:szCs w:val="56"/>
              </w:rPr>
              <w:t>U</w:t>
            </w:r>
            <w:r>
              <w:rPr>
                <w:rFonts w:eastAsia="+mn-ea" w:cstheme="minorHAnsi"/>
                <w:b/>
                <w:bCs/>
                <w:color w:val="008000"/>
                <w:kern w:val="24"/>
                <w:sz w:val="56"/>
                <w:szCs w:val="56"/>
              </w:rPr>
              <w:t xml:space="preserve"> $$</w:t>
            </w:r>
          </w:p>
          <w:p w14:paraId="0FC9E5C2" w14:textId="77777777" w:rsidR="00D618E6" w:rsidRPr="000B6BE3" w:rsidRDefault="00D618E6" w:rsidP="007E58C4">
            <w:pPr>
              <w:textAlignment w:val="baseline"/>
              <w:rPr>
                <w:rFonts w:cstheme="minorHAnsi"/>
              </w:rPr>
            </w:pPr>
          </w:p>
        </w:tc>
        <w:tc>
          <w:tcPr>
            <w:tcW w:w="415" w:type="dxa"/>
          </w:tcPr>
          <w:p w14:paraId="4F800D48" w14:textId="77777777" w:rsidR="00D618E6" w:rsidRPr="000B6BE3" w:rsidRDefault="00D618E6" w:rsidP="007E58C4">
            <w:pPr>
              <w:rPr>
                <w:rFonts w:cstheme="minorHAnsi"/>
              </w:rPr>
            </w:pPr>
          </w:p>
        </w:tc>
        <w:tc>
          <w:tcPr>
            <w:tcW w:w="1379" w:type="dxa"/>
          </w:tcPr>
          <w:p w14:paraId="7E8A59C5" w14:textId="61720B21" w:rsidR="00D618E6" w:rsidRPr="000B6BE3" w:rsidRDefault="00D618E6" w:rsidP="007E58C4">
            <w:pPr>
              <w:rPr>
                <w:rFonts w:cstheme="minorHAnsi"/>
              </w:rPr>
            </w:pPr>
            <w:r w:rsidRPr="000B6BE3">
              <w:rPr>
                <w:rFonts w:cstheme="minorHAnsi"/>
                <w:noProof/>
              </w:rPr>
              <w:drawing>
                <wp:inline distT="0" distB="0" distL="0" distR="0" wp14:anchorId="6F21D970" wp14:editId="009F7F79">
                  <wp:extent cx="285750" cy="358775"/>
                  <wp:effectExtent l="0" t="0" r="0" b="3175"/>
                  <wp:docPr id="91152" name="Picture 2" descr="toxic-2ss">
                    <a:extLst xmlns:a="http://schemas.openxmlformats.org/drawingml/2006/main">
                      <a:ext uri="{FF2B5EF4-FFF2-40B4-BE49-F238E27FC236}">
                        <a16:creationId xmlns:a16="http://schemas.microsoft.com/office/drawing/2014/main" id="{3F9ECD99-6B86-423E-B502-4DCB47E28FA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22" name="Picture 2" descr="toxic-2ss">
                            <a:extLst>
                              <a:ext uri="{FF2B5EF4-FFF2-40B4-BE49-F238E27FC236}">
                                <a16:creationId xmlns:a16="http://schemas.microsoft.com/office/drawing/2014/main" id="{3F9ECD99-6B86-423E-B502-4DCB47E28FA9}"/>
                              </a:ext>
                            </a:extLst>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85750"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0A90FB60" w14:textId="77777777" w:rsidR="00D618E6" w:rsidRDefault="00D618E6" w:rsidP="00744237">
      <w:pPr>
        <w:spacing w:after="0" w:line="240" w:lineRule="auto"/>
        <w:jc w:val="both"/>
        <w:rPr>
          <w:rFonts w:ascii="Calibri" w:hAnsi="Calibri" w:cs="Calibri"/>
        </w:rPr>
      </w:pPr>
    </w:p>
    <w:p w14:paraId="42BEDDCB" w14:textId="3B561C90" w:rsidR="005832C4" w:rsidRPr="005832C4" w:rsidRDefault="00D618E6" w:rsidP="00744237">
      <w:pPr>
        <w:spacing w:after="0" w:line="240" w:lineRule="auto"/>
        <w:jc w:val="both"/>
        <w:rPr>
          <w:rFonts w:ascii="Calibri" w:hAnsi="Calibri" w:cs="Calibri"/>
          <w:shd w:val="clear" w:color="auto" w:fill="FFFFFF"/>
        </w:rPr>
      </w:pPr>
      <w:r w:rsidRPr="00D618E6">
        <w:rPr>
          <w:rFonts w:ascii="Calibri" w:hAnsi="Calibri" w:cs="Calibri"/>
        </w:rPr>
        <w:t xml:space="preserve">C’est </w:t>
      </w:r>
      <w:r w:rsidRPr="00D618E6">
        <w:rPr>
          <w:rFonts w:ascii="Calibri" w:hAnsi="Calibri" w:cs="Calibri"/>
          <w:shd w:val="clear" w:color="auto" w:fill="FFFFFF"/>
        </w:rPr>
        <w:t>une </w:t>
      </w:r>
      <w:hyperlink r:id="rId2235" w:tooltip="Espèce" w:history="1">
        <w:r w:rsidRPr="00D618E6">
          <w:rPr>
            <w:rStyle w:val="Lienhypertexte"/>
            <w:rFonts w:ascii="Calibri" w:hAnsi="Calibri" w:cs="Calibri"/>
            <w:color w:val="0645AD"/>
            <w:shd w:val="clear" w:color="auto" w:fill="FFFFFF"/>
          </w:rPr>
          <w:t>espèce</w:t>
        </w:r>
      </w:hyperlink>
      <w:r w:rsidRPr="00D618E6">
        <w:rPr>
          <w:rFonts w:ascii="Calibri" w:hAnsi="Calibri" w:cs="Calibri"/>
          <w:color w:val="202122"/>
          <w:shd w:val="clear" w:color="auto" w:fill="FFFFFF"/>
        </w:rPr>
        <w:t> d'</w:t>
      </w:r>
      <w:hyperlink r:id="rId2236" w:tooltip="Aloès" w:history="1">
        <w:r w:rsidRPr="00D618E6">
          <w:rPr>
            <w:rStyle w:val="Lienhypertexte"/>
            <w:rFonts w:ascii="Calibri" w:hAnsi="Calibri" w:cs="Calibri"/>
            <w:color w:val="0645AD"/>
            <w:shd w:val="clear" w:color="auto" w:fill="FFFFFF"/>
          </w:rPr>
          <w:t>aloès</w:t>
        </w:r>
      </w:hyperlink>
      <w:r w:rsidRPr="00D618E6">
        <w:rPr>
          <w:rFonts w:ascii="Calibri" w:hAnsi="Calibri" w:cs="Calibri"/>
          <w:color w:val="202122"/>
          <w:shd w:val="clear" w:color="auto" w:fill="FFFFFF"/>
        </w:rPr>
        <w:t xml:space="preserve">, </w:t>
      </w:r>
      <w:r w:rsidRPr="00D618E6">
        <w:rPr>
          <w:rFonts w:ascii="Calibri" w:hAnsi="Calibri" w:cs="Calibri"/>
          <w:shd w:val="clear" w:color="auto" w:fill="FFFFFF"/>
        </w:rPr>
        <w:t>cultivée de longue date en région méditerranéenne, Afrique du Nord, aux îles Canaries et au Cap-Vert. Utilisé depuis l'Antiquité, l’</w:t>
      </w:r>
      <w:r w:rsidRPr="00D618E6">
        <w:rPr>
          <w:rFonts w:ascii="Calibri" w:hAnsi="Calibri" w:cs="Calibri"/>
          <w:i/>
          <w:iCs/>
          <w:shd w:val="clear" w:color="auto" w:fill="FFFFFF"/>
        </w:rPr>
        <w:t>Aloe vera</w:t>
      </w:r>
      <w:r w:rsidRPr="00D618E6">
        <w:rPr>
          <w:rFonts w:ascii="Calibri" w:hAnsi="Calibri" w:cs="Calibri"/>
          <w:shd w:val="clear" w:color="auto" w:fill="FFFFFF"/>
        </w:rPr>
        <w:t> a été adopté dans les médecines traditionnelles de nombreuses régions chaudes du monde, d'Europe, du Moyen-Orient et d'Afrique du Nord d'abord, puis d'Inde, de Chine et d'Asie essentiellement après le </w:t>
      </w:r>
      <w:r w:rsidRPr="00D618E6">
        <w:rPr>
          <w:rStyle w:val="romain"/>
          <w:rFonts w:ascii="Calibri" w:hAnsi="Calibri" w:cs="Calibri"/>
          <w:smallCaps/>
        </w:rPr>
        <w:t>x</w:t>
      </w:r>
      <w:r w:rsidRPr="00D618E6">
        <w:rPr>
          <w:rFonts w:ascii="Calibri" w:hAnsi="Calibri" w:cs="Calibri"/>
          <w:vertAlign w:val="superscript"/>
        </w:rPr>
        <w:t>e</w:t>
      </w:r>
      <w:r w:rsidRPr="00D618E6">
        <w:rPr>
          <w:rFonts w:ascii="Calibri" w:hAnsi="Calibri" w:cs="Calibri"/>
          <w:shd w:val="clear" w:color="auto" w:fill="FFFFFF"/>
        </w:rPr>
        <w:t> siècle et d'Amérique après le </w:t>
      </w:r>
      <w:r w:rsidRPr="00D618E6">
        <w:rPr>
          <w:rStyle w:val="romain"/>
          <w:rFonts w:ascii="Calibri" w:hAnsi="Calibri" w:cs="Calibri"/>
          <w:smallCaps/>
        </w:rPr>
        <w:t>xvii</w:t>
      </w:r>
      <w:r w:rsidRPr="00D618E6">
        <w:rPr>
          <w:rFonts w:ascii="Calibri" w:hAnsi="Calibri" w:cs="Calibri"/>
          <w:vertAlign w:val="superscript"/>
        </w:rPr>
        <w:t>e</w:t>
      </w:r>
      <w:r w:rsidRPr="00D618E6">
        <w:rPr>
          <w:rFonts w:ascii="Calibri" w:hAnsi="Calibri" w:cs="Calibri"/>
          <w:shd w:val="clear" w:color="auto" w:fill="FFFFFF"/>
        </w:rPr>
        <w:t xml:space="preserve"> siècle. </w:t>
      </w:r>
      <w:r w:rsidR="005832C4" w:rsidRPr="005832C4">
        <w:rPr>
          <w:rFonts w:ascii="Calibri" w:hAnsi="Calibri" w:cs="Calibri"/>
          <w:shd w:val="clear" w:color="auto" w:fill="FFFFFF"/>
        </w:rPr>
        <w:t>Cette plante </w:t>
      </w:r>
      <w:hyperlink r:id="rId2237" w:history="1">
        <w:r w:rsidR="005832C4" w:rsidRPr="005832C4">
          <w:rPr>
            <w:rStyle w:val="Lienhypertexte"/>
            <w:rFonts w:ascii="Calibri" w:hAnsi="Calibri" w:cs="Calibri"/>
            <w:color w:val="0645AD"/>
            <w:shd w:val="clear" w:color="auto" w:fill="FFFFFF"/>
          </w:rPr>
          <w:t>xérophile</w:t>
        </w:r>
      </w:hyperlink>
      <w:r w:rsidR="005832C4" w:rsidRPr="005832C4">
        <w:rPr>
          <w:rFonts w:ascii="Calibri" w:hAnsi="Calibri" w:cs="Calibri"/>
        </w:rPr>
        <w:t xml:space="preserve">, </w:t>
      </w:r>
      <w:r w:rsidR="005832C4" w:rsidRPr="005832C4">
        <w:rPr>
          <w:rFonts w:ascii="Calibri" w:hAnsi="Calibri" w:cs="Calibri"/>
          <w:shd w:val="clear" w:color="auto" w:fill="FFFFFF"/>
        </w:rPr>
        <w:t>croissant en région sèche sur des sols arides,</w:t>
      </w:r>
      <w:r w:rsidR="005832C4" w:rsidRPr="005832C4">
        <w:rPr>
          <w:rFonts w:ascii="Calibri" w:hAnsi="Calibri" w:cs="Calibri"/>
        </w:rPr>
        <w:t xml:space="preserve"> </w:t>
      </w:r>
      <w:r w:rsidR="005832C4" w:rsidRPr="005832C4">
        <w:rPr>
          <w:rFonts w:ascii="Calibri" w:hAnsi="Calibri" w:cs="Calibri"/>
          <w:shd w:val="clear" w:color="auto" w:fill="FFFFFF"/>
        </w:rPr>
        <w:t>s'est naturalisée dans de nombreuses régions tropicales, subtropicales et tempérées chaudes.</w:t>
      </w:r>
    </w:p>
    <w:p w14:paraId="63F7EC08" w14:textId="0435A2FE" w:rsidR="00D618E6" w:rsidRPr="00D618E6" w:rsidRDefault="005832C4" w:rsidP="00744237">
      <w:pPr>
        <w:spacing w:after="0" w:line="240" w:lineRule="auto"/>
        <w:jc w:val="both"/>
        <w:rPr>
          <w:rFonts w:ascii="Calibri" w:hAnsi="Calibri" w:cs="Calibri"/>
          <w:shd w:val="clear" w:color="auto" w:fill="FFFFFF"/>
        </w:rPr>
      </w:pPr>
      <w:r w:rsidRPr="005832C4">
        <w:rPr>
          <w:rFonts w:ascii="Calibri" w:hAnsi="Calibri" w:cs="Calibri"/>
          <w:u w:val="single"/>
          <w:shd w:val="clear" w:color="auto" w:fill="FFFFFF"/>
        </w:rPr>
        <w:t>Description</w:t>
      </w:r>
      <w:r>
        <w:rPr>
          <w:rFonts w:ascii="Calibri" w:hAnsi="Calibri" w:cs="Calibri"/>
          <w:shd w:val="clear" w:color="auto" w:fill="FFFFFF"/>
        </w:rPr>
        <w:t xml:space="preserve"> : </w:t>
      </w:r>
      <w:r w:rsidR="00D618E6" w:rsidRPr="00D618E6">
        <w:rPr>
          <w:rFonts w:ascii="Calibri" w:hAnsi="Calibri" w:cs="Calibri"/>
          <w:shd w:val="clear" w:color="auto" w:fill="FFFFFF"/>
        </w:rPr>
        <w:t>L’</w:t>
      </w:r>
      <w:r w:rsidR="00D618E6" w:rsidRPr="00D618E6">
        <w:rPr>
          <w:rFonts w:ascii="Calibri" w:hAnsi="Calibri" w:cs="Calibri"/>
          <w:i/>
          <w:iCs/>
          <w:shd w:val="clear" w:color="auto" w:fill="FFFFFF"/>
        </w:rPr>
        <w:t>Aloe vera</w:t>
      </w:r>
      <w:r w:rsidR="00D618E6" w:rsidRPr="00D618E6">
        <w:rPr>
          <w:rFonts w:ascii="Calibri" w:hAnsi="Calibri" w:cs="Calibri"/>
          <w:shd w:val="clear" w:color="auto" w:fill="FFFFFF"/>
        </w:rPr>
        <w:t> est une </w:t>
      </w:r>
      <w:hyperlink r:id="rId2238" w:tooltip="Plante succulente" w:history="1">
        <w:r w:rsidR="00D618E6" w:rsidRPr="00D618E6">
          <w:rPr>
            <w:rStyle w:val="Lienhypertexte"/>
            <w:rFonts w:ascii="Calibri" w:hAnsi="Calibri" w:cs="Calibri"/>
            <w:color w:val="0645AD"/>
            <w:shd w:val="clear" w:color="auto" w:fill="FFFFFF"/>
          </w:rPr>
          <w:t>plante succulente</w:t>
        </w:r>
      </w:hyperlink>
      <w:r w:rsidR="00D618E6" w:rsidRPr="00D618E6">
        <w:rPr>
          <w:rFonts w:ascii="Calibri" w:hAnsi="Calibri" w:cs="Calibri"/>
          <w:color w:val="202122"/>
          <w:shd w:val="clear" w:color="auto" w:fill="FFFFFF"/>
        </w:rPr>
        <w:t xml:space="preserve">, </w:t>
      </w:r>
      <w:r w:rsidR="00D618E6" w:rsidRPr="00D618E6">
        <w:rPr>
          <w:rFonts w:ascii="Calibri" w:hAnsi="Calibri" w:cs="Calibri"/>
          <w:shd w:val="clear" w:color="auto" w:fill="FFFFFF"/>
        </w:rPr>
        <w:t>aux feuilles persistantes, aux racines peu profondes, poussant en touffes et même en colonies, en raison de son aptitude à produire des </w:t>
      </w:r>
      <w:hyperlink r:id="rId2239" w:tooltip="Drageon" w:history="1">
        <w:r w:rsidR="00D618E6" w:rsidRPr="00D618E6">
          <w:rPr>
            <w:rStyle w:val="Lienhypertexte"/>
            <w:rFonts w:ascii="Calibri" w:hAnsi="Calibri" w:cs="Calibri"/>
            <w:color w:val="0645AD"/>
            <w:shd w:val="clear" w:color="auto" w:fill="FFFFFF"/>
          </w:rPr>
          <w:t>drageons</w:t>
        </w:r>
      </w:hyperlink>
      <w:r w:rsidR="00D618E6" w:rsidRPr="00D618E6">
        <w:rPr>
          <w:rFonts w:ascii="Calibri" w:hAnsi="Calibri" w:cs="Calibri"/>
          <w:color w:val="202122"/>
          <w:shd w:val="clear" w:color="auto" w:fill="FFFFFF"/>
        </w:rPr>
        <w:t xml:space="preserve">. </w:t>
      </w:r>
      <w:r w:rsidR="00D618E6" w:rsidRPr="00D618E6">
        <w:rPr>
          <w:rFonts w:ascii="Calibri" w:hAnsi="Calibri" w:cs="Calibri"/>
          <w:shd w:val="clear" w:color="auto" w:fill="FFFFFF"/>
        </w:rPr>
        <w:t>La tige à base ligneuse, est courte (au plus 50 </w:t>
      </w:r>
      <w:r w:rsidR="00D618E6" w:rsidRPr="00D618E6">
        <w:rPr>
          <w:rFonts w:ascii="Calibri" w:hAnsi="Calibri" w:cs="Calibri"/>
        </w:rPr>
        <w:t>cm</w:t>
      </w:r>
      <w:r w:rsidR="00D618E6" w:rsidRPr="00D618E6">
        <w:rPr>
          <w:rFonts w:ascii="Calibri" w:hAnsi="Calibri" w:cs="Calibri"/>
          <w:shd w:val="clear" w:color="auto" w:fill="FFFFFF"/>
        </w:rPr>
        <w:t> de haut) et porte à l'extrémité des feuilles alternes, enchâssées les unes dans les autres, </w:t>
      </w:r>
      <w:hyperlink r:id="rId2240" w:anchor="Disposition_sur_la_tige" w:tooltip="Feuillage" w:history="1">
        <w:r w:rsidR="00D618E6" w:rsidRPr="00D618E6">
          <w:rPr>
            <w:rStyle w:val="Lienhypertexte"/>
            <w:rFonts w:ascii="Calibri" w:hAnsi="Calibri" w:cs="Calibri"/>
            <w:color w:val="0645AD"/>
            <w:shd w:val="clear" w:color="auto" w:fill="FFFFFF"/>
          </w:rPr>
          <w:t>distiques</w:t>
        </w:r>
      </w:hyperlink>
      <w:r w:rsidR="00D618E6" w:rsidRPr="00D618E6">
        <w:rPr>
          <w:rFonts w:ascii="Calibri" w:hAnsi="Calibri" w:cs="Calibri"/>
          <w:color w:val="202122"/>
          <w:shd w:val="clear" w:color="auto" w:fill="FFFFFF"/>
        </w:rPr>
        <w:t> (</w:t>
      </w:r>
      <w:r w:rsidR="00D618E6" w:rsidRPr="00D618E6">
        <w:rPr>
          <w:rFonts w:ascii="Calibri" w:hAnsi="Calibri" w:cs="Calibri"/>
          <w:shd w:val="clear" w:color="auto" w:fill="FFFFFF"/>
        </w:rPr>
        <w:t>particulièrement pour les jeunes plants) puis en vieillissant en rosette.</w:t>
      </w:r>
    </w:p>
    <w:p w14:paraId="6C7F8AE7" w14:textId="06BD4DA3" w:rsidR="00D618E6" w:rsidRPr="00D618E6" w:rsidRDefault="00D618E6" w:rsidP="00744237">
      <w:pPr>
        <w:spacing w:after="0" w:line="240" w:lineRule="auto"/>
        <w:jc w:val="both"/>
        <w:rPr>
          <w:rFonts w:ascii="Calibri" w:hAnsi="Calibri" w:cs="Calibri"/>
        </w:rPr>
      </w:pPr>
      <w:r w:rsidRPr="00D618E6">
        <w:rPr>
          <w:rFonts w:ascii="Calibri" w:hAnsi="Calibri" w:cs="Calibri"/>
          <w:shd w:val="clear" w:color="auto" w:fill="FFFFFF"/>
        </w:rPr>
        <w:lastRenderedPageBreak/>
        <w:t>La feuille succulente et </w:t>
      </w:r>
      <w:hyperlink r:id="rId2241" w:tooltip="Sessilité (botanique)" w:history="1">
        <w:r w:rsidRPr="00D618E6">
          <w:rPr>
            <w:rStyle w:val="Lienhypertexte"/>
            <w:rFonts w:ascii="Calibri" w:hAnsi="Calibri" w:cs="Calibri"/>
            <w:color w:val="0645AD"/>
            <w:shd w:val="clear" w:color="auto" w:fill="FFFFFF"/>
          </w:rPr>
          <w:t>sessile</w:t>
        </w:r>
      </w:hyperlink>
      <w:r w:rsidRPr="00D618E6">
        <w:rPr>
          <w:rFonts w:ascii="Calibri" w:hAnsi="Calibri" w:cs="Calibri"/>
          <w:color w:val="202122"/>
          <w:shd w:val="clear" w:color="auto" w:fill="FFFFFF"/>
        </w:rPr>
        <w:t> </w:t>
      </w:r>
      <w:r w:rsidRPr="00D618E6">
        <w:rPr>
          <w:rFonts w:ascii="Calibri" w:hAnsi="Calibri" w:cs="Calibri"/>
          <w:shd w:val="clear" w:color="auto" w:fill="FFFFFF"/>
        </w:rPr>
        <w:t>est érigée, vert pâle à glauque (parfois tachetée de blanc), de forme </w:t>
      </w:r>
      <w:hyperlink r:id="rId2242" w:tooltip="Forme foliaire" w:history="1">
        <w:r w:rsidRPr="00D618E6">
          <w:rPr>
            <w:rStyle w:val="Lienhypertexte"/>
            <w:rFonts w:ascii="Calibri" w:hAnsi="Calibri" w:cs="Calibri"/>
            <w:color w:val="0645AD"/>
            <w:shd w:val="clear" w:color="auto" w:fill="FFFFFF"/>
          </w:rPr>
          <w:t>linéaire-lancéolée</w:t>
        </w:r>
      </w:hyperlink>
      <w:r w:rsidRPr="00D618E6">
        <w:rPr>
          <w:rFonts w:ascii="Calibri" w:hAnsi="Calibri" w:cs="Calibri"/>
          <w:color w:val="202122"/>
          <w:shd w:val="clear" w:color="auto" w:fill="FFFFFF"/>
        </w:rPr>
        <w:t xml:space="preserve">, </w:t>
      </w:r>
      <w:r w:rsidRPr="00D618E6">
        <w:rPr>
          <w:rFonts w:ascii="Calibri" w:hAnsi="Calibri" w:cs="Calibri"/>
          <w:shd w:val="clear" w:color="auto" w:fill="FFFFFF"/>
        </w:rPr>
        <w:t>se rétrécissant régulièrement de la base à l'apex, relativement longue (jusqu'à 10 × 80 </w:t>
      </w:r>
      <w:r w:rsidRPr="00D618E6">
        <w:rPr>
          <w:rFonts w:ascii="Calibri" w:hAnsi="Calibri" w:cs="Calibri"/>
        </w:rPr>
        <w:t>cm</w:t>
      </w:r>
      <w:r w:rsidRPr="00D618E6">
        <w:rPr>
          <w:rFonts w:ascii="Calibri" w:hAnsi="Calibri" w:cs="Calibri"/>
          <w:shd w:val="clear" w:color="auto" w:fill="FFFFFF"/>
        </w:rPr>
        <w:t>, mais plus courte en Asie</w:t>
      </w:r>
      <w:r w:rsidRPr="00D618E6">
        <w:rPr>
          <w:rFonts w:ascii="Calibri" w:hAnsi="Calibri" w:cs="Calibri"/>
        </w:rPr>
        <w:t xml:space="preserve">). </w:t>
      </w:r>
      <w:r w:rsidRPr="00D618E6">
        <w:rPr>
          <w:rFonts w:ascii="Calibri" w:hAnsi="Calibri" w:cs="Calibri"/>
          <w:color w:val="202122"/>
          <w:shd w:val="clear" w:color="auto" w:fill="FFFFFF"/>
        </w:rPr>
        <w:t>L'</w:t>
      </w:r>
      <w:hyperlink r:id="rId2243" w:tooltip="Inflorescence" w:history="1">
        <w:r w:rsidRPr="00D618E6">
          <w:rPr>
            <w:rStyle w:val="Lienhypertexte"/>
            <w:rFonts w:ascii="Calibri" w:hAnsi="Calibri" w:cs="Calibri"/>
            <w:color w:val="0645AD"/>
            <w:shd w:val="clear" w:color="auto" w:fill="FFFFFF"/>
          </w:rPr>
          <w:t>inflorescence</w:t>
        </w:r>
      </w:hyperlink>
      <w:r w:rsidRPr="00D618E6">
        <w:rPr>
          <w:rFonts w:ascii="Calibri" w:hAnsi="Calibri" w:cs="Calibri"/>
          <w:color w:val="202122"/>
          <w:shd w:val="clear" w:color="auto" w:fill="FFFFFF"/>
        </w:rPr>
        <w:t> </w:t>
      </w:r>
      <w:r w:rsidRPr="00D618E6">
        <w:rPr>
          <w:rFonts w:ascii="Calibri" w:hAnsi="Calibri" w:cs="Calibri"/>
          <w:shd w:val="clear" w:color="auto" w:fill="FFFFFF"/>
        </w:rPr>
        <w:t>terminale est une </w:t>
      </w:r>
      <w:hyperlink r:id="rId2244" w:tooltip="Grappe" w:history="1">
        <w:r w:rsidRPr="00D618E6">
          <w:rPr>
            <w:rStyle w:val="Lienhypertexte"/>
            <w:rFonts w:ascii="Calibri" w:hAnsi="Calibri" w:cs="Calibri"/>
            <w:color w:val="0645AD"/>
            <w:shd w:val="clear" w:color="auto" w:fill="FFFFFF"/>
          </w:rPr>
          <w:t>grappe</w:t>
        </w:r>
      </w:hyperlink>
      <w:r w:rsidRPr="00D618E6">
        <w:rPr>
          <w:rFonts w:ascii="Calibri" w:hAnsi="Calibri" w:cs="Calibri"/>
          <w:color w:val="202122"/>
          <w:shd w:val="clear" w:color="auto" w:fill="FFFFFF"/>
        </w:rPr>
        <w:t> </w:t>
      </w:r>
      <w:r w:rsidRPr="00D618E6">
        <w:rPr>
          <w:rFonts w:ascii="Calibri" w:hAnsi="Calibri" w:cs="Calibri"/>
          <w:shd w:val="clear" w:color="auto" w:fill="FFFFFF"/>
        </w:rPr>
        <w:t>cylindrique, érigée, en général non ramifiée, de 100–150 </w:t>
      </w:r>
      <w:r w:rsidRPr="00D618E6">
        <w:rPr>
          <w:rFonts w:ascii="Calibri" w:hAnsi="Calibri" w:cs="Calibri"/>
        </w:rPr>
        <w:t>cm</w:t>
      </w:r>
      <w:r w:rsidRPr="00D618E6">
        <w:rPr>
          <w:rFonts w:ascii="Calibri" w:hAnsi="Calibri" w:cs="Calibri"/>
          <w:shd w:val="clear" w:color="auto" w:fill="FFFFFF"/>
        </w:rPr>
        <w:t> de haut</w:t>
      </w:r>
      <w:r w:rsidRPr="00D618E6">
        <w:rPr>
          <w:rFonts w:ascii="Calibri" w:hAnsi="Calibri" w:cs="Calibri"/>
        </w:rPr>
        <w:t>.</w:t>
      </w:r>
    </w:p>
    <w:p w14:paraId="5874F2C6" w14:textId="2E578600" w:rsidR="00744237" w:rsidRDefault="005832C4" w:rsidP="00744237">
      <w:pPr>
        <w:spacing w:after="0" w:line="240" w:lineRule="auto"/>
        <w:jc w:val="both"/>
        <w:rPr>
          <w:rFonts w:ascii="Calibri" w:hAnsi="Calibri" w:cs="Calibri"/>
          <w:shd w:val="clear" w:color="auto" w:fill="FFFFFF"/>
        </w:rPr>
      </w:pPr>
      <w:r w:rsidRPr="005832C4">
        <w:rPr>
          <w:rFonts w:ascii="Calibri" w:hAnsi="Calibri" w:cs="Calibri"/>
          <w:u w:val="single"/>
        </w:rPr>
        <w:t>Utilisation</w:t>
      </w:r>
      <w:r>
        <w:rPr>
          <w:rFonts w:ascii="Calibri" w:hAnsi="Calibri" w:cs="Calibri"/>
          <w:u w:val="single"/>
        </w:rPr>
        <w:t>s</w:t>
      </w:r>
      <w:r>
        <w:rPr>
          <w:rFonts w:ascii="Calibri" w:hAnsi="Calibri" w:cs="Calibri"/>
        </w:rPr>
        <w:t xml:space="preserve"> : </w:t>
      </w:r>
      <w:r w:rsidRPr="005832C4">
        <w:rPr>
          <w:rFonts w:ascii="Calibri" w:hAnsi="Calibri" w:cs="Calibri"/>
          <w:i/>
          <w:iCs/>
        </w:rPr>
        <w:t>Aloe vera</w:t>
      </w:r>
      <w:r w:rsidRPr="005832C4">
        <w:rPr>
          <w:rFonts w:ascii="Calibri" w:hAnsi="Calibri" w:cs="Calibri"/>
        </w:rPr>
        <w:t xml:space="preserve"> est largement cultivé comme plante ornementale et plante médicinale.</w:t>
      </w:r>
      <w:r>
        <w:rPr>
          <w:rFonts w:ascii="Calibri" w:hAnsi="Calibri" w:cs="Calibri"/>
        </w:rPr>
        <w:t xml:space="preserve"> </w:t>
      </w:r>
      <w:r w:rsidRPr="00D618E6">
        <w:rPr>
          <w:rFonts w:ascii="Calibri" w:hAnsi="Calibri" w:cs="Calibri"/>
          <w:shd w:val="clear" w:color="auto" w:fill="FFFFFF"/>
        </w:rPr>
        <w:t>Actuellement, le gel d'aloès entre principalement dans la composition de cosmétiques ou de boissons.</w:t>
      </w:r>
    </w:p>
    <w:p w14:paraId="41B3EB52" w14:textId="15592330" w:rsidR="005832C4" w:rsidRDefault="005832C4" w:rsidP="00744237">
      <w:pPr>
        <w:spacing w:after="0" w:line="240" w:lineRule="auto"/>
        <w:jc w:val="both"/>
        <w:rPr>
          <w:rFonts w:ascii="Calibri" w:hAnsi="Calibri" w:cs="Calibri"/>
          <w:shd w:val="clear" w:color="auto" w:fill="FFFFFF"/>
        </w:rPr>
      </w:pPr>
      <w:r w:rsidRPr="005832C4">
        <w:rPr>
          <w:rFonts w:ascii="Calibri" w:hAnsi="Calibri" w:cs="Calibri"/>
          <w:u w:val="single"/>
        </w:rPr>
        <w:t>Utilisation</w:t>
      </w:r>
      <w:r w:rsidRPr="005832C4">
        <w:rPr>
          <w:u w:val="single"/>
        </w:rPr>
        <w:t xml:space="preserve"> culinaire</w:t>
      </w:r>
      <w:r>
        <w:rPr>
          <w:rFonts w:ascii="Calibri" w:hAnsi="Calibri" w:cs="Calibri"/>
          <w:shd w:val="clear" w:color="auto" w:fill="FFFFFF"/>
        </w:rPr>
        <w:t xml:space="preserve"> : </w:t>
      </w:r>
      <w:r w:rsidRPr="005832C4">
        <w:rPr>
          <w:rFonts w:ascii="Calibri" w:hAnsi="Calibri" w:cs="Calibri"/>
          <w:shd w:val="clear" w:color="auto" w:fill="FFFFFF"/>
        </w:rPr>
        <w:t>Sa pulpe est comestible et être utilisée entre autres dans les yaourts, les desserts et les boissons.</w:t>
      </w:r>
    </w:p>
    <w:p w14:paraId="1638863B" w14:textId="2CDBA84E" w:rsidR="00F2658E" w:rsidRDefault="00F2658E" w:rsidP="00744237">
      <w:pPr>
        <w:spacing w:after="0" w:line="240" w:lineRule="auto"/>
        <w:jc w:val="both"/>
        <w:rPr>
          <w:rFonts w:ascii="Calibri" w:hAnsi="Calibri" w:cs="Calibri"/>
        </w:rPr>
      </w:pPr>
      <w:r w:rsidRPr="00F2658E">
        <w:rPr>
          <w:rFonts w:ascii="Calibri" w:hAnsi="Calibri" w:cs="Calibri"/>
          <w:u w:val="single"/>
          <w:shd w:val="clear" w:color="auto" w:fill="FFFFFF"/>
        </w:rPr>
        <w:t>Usages médicinaux</w:t>
      </w:r>
      <w:r>
        <w:rPr>
          <w:rFonts w:ascii="Calibri" w:hAnsi="Calibri" w:cs="Calibri"/>
          <w:u w:val="single"/>
          <w:shd w:val="clear" w:color="auto" w:fill="FFFFFF"/>
        </w:rPr>
        <w:t>, dermatologiques</w:t>
      </w:r>
      <w:r w:rsidRPr="00F2658E">
        <w:rPr>
          <w:rFonts w:ascii="Calibri" w:hAnsi="Calibri" w:cs="Calibri"/>
          <w:u w:val="single"/>
          <w:shd w:val="clear" w:color="auto" w:fill="FFFFFF"/>
        </w:rPr>
        <w:t xml:space="preserve"> et cosmétiques</w:t>
      </w:r>
      <w:r w:rsidRPr="00F2658E">
        <w:rPr>
          <w:rFonts w:ascii="Calibri" w:hAnsi="Calibri" w:cs="Calibri"/>
          <w:shd w:val="clear" w:color="auto" w:fill="FFFFFF"/>
        </w:rPr>
        <w:t xml:space="preserve"> : Il est cultivé pour l'action calmante du suc de ses feuilles</w:t>
      </w:r>
      <w:r w:rsidR="001D00B4">
        <w:rPr>
          <w:rFonts w:ascii="Calibri" w:hAnsi="Calibri" w:cs="Calibri"/>
          <w:shd w:val="clear" w:color="auto" w:fill="FFFFFF"/>
        </w:rPr>
        <w:t xml:space="preserve"> </w:t>
      </w:r>
      <w:r w:rsidRPr="00F2658E">
        <w:rPr>
          <w:rFonts w:ascii="Calibri" w:hAnsi="Calibri" w:cs="Calibri"/>
          <w:shd w:val="clear" w:color="auto" w:fill="FFFFFF"/>
        </w:rPr>
        <w:t xml:space="preserve">coupées appliqué sur les brûlures. </w:t>
      </w:r>
      <w:hyperlink r:id="rId2245" w:tooltip="Cicatrisation" w:history="1">
        <w:r w:rsidRPr="00F2658E">
          <w:rPr>
            <w:rStyle w:val="Lienhypertexte"/>
            <w:rFonts w:ascii="Calibri" w:hAnsi="Calibri" w:cs="Calibri"/>
            <w:color w:val="0645AD"/>
            <w:shd w:val="clear" w:color="auto" w:fill="FFFFFF"/>
          </w:rPr>
          <w:t>Cicatrisation</w:t>
        </w:r>
      </w:hyperlink>
      <w:r w:rsidRPr="00F2658E">
        <w:rPr>
          <w:rFonts w:ascii="Calibri" w:hAnsi="Calibri" w:cs="Calibri"/>
          <w:color w:val="202122"/>
          <w:shd w:val="clear" w:color="auto" w:fill="FFFFFF"/>
        </w:rPr>
        <w:t xml:space="preserve"> : </w:t>
      </w:r>
      <w:r w:rsidRPr="00F2658E">
        <w:rPr>
          <w:rFonts w:ascii="Calibri" w:hAnsi="Calibri" w:cs="Calibri"/>
          <w:shd w:val="clear" w:color="auto" w:fill="FFFFFF"/>
        </w:rPr>
        <w:t>plusieurs études ont montré que le gel frais obtenu à partir de la partie centrale de la feuille diminue le processus inflammatoire et accélère la </w:t>
      </w:r>
      <w:hyperlink r:id="rId2246" w:tooltip="Cicatrisation" w:history="1">
        <w:r w:rsidRPr="00F2658E">
          <w:rPr>
            <w:rStyle w:val="Lienhypertexte"/>
            <w:rFonts w:ascii="Calibri" w:hAnsi="Calibri" w:cs="Calibri"/>
            <w:color w:val="0645AD"/>
            <w:shd w:val="clear" w:color="auto" w:fill="FFFFFF"/>
          </w:rPr>
          <w:t>cicatrisation</w:t>
        </w:r>
      </w:hyperlink>
      <w:r w:rsidRPr="00F2658E">
        <w:rPr>
          <w:rFonts w:ascii="Calibri" w:hAnsi="Calibri" w:cs="Calibri"/>
        </w:rPr>
        <w:t>.</w:t>
      </w:r>
    </w:p>
    <w:p w14:paraId="5DFD37D0" w14:textId="54B3AB63" w:rsidR="0007791E" w:rsidRPr="0007791E" w:rsidRDefault="0007791E" w:rsidP="00744237">
      <w:pPr>
        <w:spacing w:after="0" w:line="240" w:lineRule="auto"/>
        <w:jc w:val="both"/>
        <w:rPr>
          <w:rFonts w:ascii="Calibri" w:hAnsi="Calibri" w:cs="Calibri"/>
          <w:shd w:val="clear" w:color="auto" w:fill="FFFFFF"/>
        </w:rPr>
      </w:pPr>
      <w:r w:rsidRPr="0007791E">
        <w:rPr>
          <w:rFonts w:ascii="Calibri" w:hAnsi="Calibri" w:cs="Calibri"/>
          <w:shd w:val="clear" w:color="auto" w:fill="FFFFFF"/>
        </w:rPr>
        <w:t xml:space="preserve">Le suc d'aloès, par les propriétés laxative de </w:t>
      </w:r>
      <w:hyperlink r:id="rId2247" w:history="1">
        <w:r w:rsidRPr="0007791E">
          <w:rPr>
            <w:rStyle w:val="Lienhypertexte"/>
            <w:rFonts w:ascii="Calibri" w:hAnsi="Calibri" w:cs="Calibri"/>
            <w:color w:val="0645AD"/>
            <w:shd w:val="clear" w:color="auto" w:fill="FFFFFF"/>
          </w:rPr>
          <w:t>aloïne</w:t>
        </w:r>
      </w:hyperlink>
      <w:r w:rsidRPr="0007791E">
        <w:rPr>
          <w:rFonts w:ascii="Calibri" w:hAnsi="Calibri" w:cs="Calibri"/>
          <w:shd w:val="clear" w:color="auto" w:fill="FFFFFF"/>
        </w:rPr>
        <w:t>, est indiqué pour le traitement symptomatique de la constipation.</w:t>
      </w:r>
    </w:p>
    <w:p w14:paraId="17A7AC66" w14:textId="441B69E1" w:rsidR="005832C4" w:rsidRDefault="00F2658E" w:rsidP="00744237">
      <w:pPr>
        <w:spacing w:after="0" w:line="240" w:lineRule="auto"/>
        <w:jc w:val="both"/>
        <w:rPr>
          <w:rFonts w:ascii="Calibri" w:hAnsi="Calibri" w:cs="Calibri"/>
          <w:shd w:val="clear" w:color="auto" w:fill="FFFFFF"/>
        </w:rPr>
      </w:pPr>
      <w:r w:rsidRPr="00F2658E">
        <w:rPr>
          <w:rFonts w:ascii="Calibri" w:hAnsi="Calibri" w:cs="Calibri"/>
          <w:shd w:val="clear" w:color="auto" w:fill="FFFFFF"/>
        </w:rPr>
        <w:t>Il entre dans la composition de nombreux cosmétiques et produits d'hygiène ou pharmaceutiques.</w:t>
      </w:r>
    </w:p>
    <w:p w14:paraId="6AB9A557" w14:textId="772C2A31" w:rsidR="0007791E" w:rsidRDefault="0007791E" w:rsidP="00744237">
      <w:pPr>
        <w:spacing w:after="0" w:line="240" w:lineRule="auto"/>
        <w:jc w:val="both"/>
        <w:rPr>
          <w:rFonts w:ascii="Arial" w:hAnsi="Arial" w:cs="Arial"/>
          <w:sz w:val="21"/>
          <w:szCs w:val="21"/>
          <w:shd w:val="clear" w:color="auto" w:fill="FFFFFF"/>
        </w:rPr>
      </w:pPr>
      <w:r w:rsidRPr="0007791E">
        <w:rPr>
          <w:rFonts w:ascii="Calibri" w:hAnsi="Calibri" w:cs="Calibri"/>
          <w:u w:val="single"/>
          <w:shd w:val="clear" w:color="auto" w:fill="FFFFFF"/>
        </w:rPr>
        <w:t>Toxicité</w:t>
      </w:r>
      <w:r>
        <w:rPr>
          <w:rFonts w:ascii="Calibri" w:hAnsi="Calibri" w:cs="Calibri"/>
          <w:shd w:val="clear" w:color="auto" w:fill="FFFFFF"/>
        </w:rPr>
        <w:t xml:space="preserve"> : </w:t>
      </w:r>
      <w:r w:rsidRPr="0007791E">
        <w:rPr>
          <w:rFonts w:ascii="Calibri" w:hAnsi="Calibri" w:cs="Calibri"/>
          <w:shd w:val="clear" w:color="auto" w:fill="FFFFFF"/>
        </w:rPr>
        <w:t xml:space="preserve">La présence de </w:t>
      </w:r>
      <w:r w:rsidRPr="0007791E">
        <w:rPr>
          <w:rFonts w:ascii="Calibri" w:hAnsi="Calibri" w:cs="Calibri"/>
          <w:i/>
          <w:iCs/>
          <w:shd w:val="clear" w:color="auto" w:fill="FFFFFF"/>
        </w:rPr>
        <w:t>dérivés hydroxyanthracéniques</w:t>
      </w:r>
      <w:r w:rsidRPr="0007791E">
        <w:rPr>
          <w:rFonts w:ascii="Calibri" w:hAnsi="Calibri" w:cs="Calibri"/>
          <w:shd w:val="clear" w:color="auto" w:fill="FFFFFF"/>
        </w:rPr>
        <w:t>, potentiellement cancérigènes et la dangerosité du latex de la plante ont été soulignés par l’Agence européenne de sécurité des aliments (AESA)</w:t>
      </w:r>
      <w:r>
        <w:rPr>
          <w:rStyle w:val="Appelnotedebasdep"/>
          <w:rFonts w:ascii="Calibri" w:hAnsi="Calibri" w:cs="Calibri"/>
          <w:shd w:val="clear" w:color="auto" w:fill="FFFFFF"/>
        </w:rPr>
        <w:footnoteReference w:id="130"/>
      </w:r>
      <w:r w:rsidRPr="0007791E">
        <w:rPr>
          <w:rFonts w:ascii="Calibri" w:hAnsi="Calibri" w:cs="Calibri"/>
          <w:shd w:val="clear" w:color="auto" w:fill="FFFFFF"/>
        </w:rPr>
        <w:t>.</w:t>
      </w:r>
      <w:r>
        <w:rPr>
          <w:rFonts w:ascii="Calibri" w:hAnsi="Calibri" w:cs="Calibri"/>
          <w:shd w:val="clear" w:color="auto" w:fill="FFFFFF"/>
        </w:rPr>
        <w:t xml:space="preserve"> </w:t>
      </w:r>
      <w:r w:rsidRPr="0007791E">
        <w:rPr>
          <w:rFonts w:ascii="Calibri" w:hAnsi="Calibri" w:cs="Calibri"/>
          <w:shd w:val="clear" w:color="auto" w:fill="FFFFFF"/>
        </w:rPr>
        <w:t>Le </w:t>
      </w:r>
      <w:hyperlink r:id="rId2248" w:tooltip="Centre international de recherche sur le cancer" w:history="1">
        <w:r w:rsidRPr="0007791E">
          <w:rPr>
            <w:rStyle w:val="Lienhypertexte"/>
            <w:rFonts w:ascii="Calibri" w:hAnsi="Calibri" w:cs="Calibri"/>
            <w:color w:val="0645AD"/>
            <w:shd w:val="clear" w:color="auto" w:fill="FFFFFF"/>
          </w:rPr>
          <w:t>Centre international de recherche sur le cancer</w:t>
        </w:r>
      </w:hyperlink>
      <w:r w:rsidRPr="0007791E">
        <w:rPr>
          <w:rFonts w:ascii="Calibri" w:hAnsi="Calibri" w:cs="Calibri"/>
          <w:color w:val="202122"/>
          <w:shd w:val="clear" w:color="auto" w:fill="FFFFFF"/>
        </w:rPr>
        <w:t> </w:t>
      </w:r>
      <w:r w:rsidRPr="0007791E">
        <w:rPr>
          <w:rFonts w:ascii="Calibri" w:hAnsi="Calibri" w:cs="Calibri"/>
          <w:shd w:val="clear" w:color="auto" w:fill="FFFFFF"/>
        </w:rPr>
        <w:t xml:space="preserve">(CIRC) de </w:t>
      </w:r>
      <w:r w:rsidRPr="0007791E">
        <w:rPr>
          <w:rFonts w:ascii="Calibri" w:hAnsi="Calibri" w:cs="Calibri"/>
          <w:color w:val="202122"/>
          <w:shd w:val="clear" w:color="auto" w:fill="FFFFFF"/>
        </w:rPr>
        <w:t>l'</w:t>
      </w:r>
      <w:hyperlink r:id="rId2249" w:tooltip="Organisation mondiale de la santé" w:history="1">
        <w:r w:rsidRPr="0007791E">
          <w:rPr>
            <w:rStyle w:val="Lienhypertexte"/>
            <w:rFonts w:ascii="Calibri" w:hAnsi="Calibri" w:cs="Calibri"/>
            <w:color w:val="0645AD"/>
            <w:shd w:val="clear" w:color="auto" w:fill="FFFFFF"/>
          </w:rPr>
          <w:t>OMS</w:t>
        </w:r>
      </w:hyperlink>
      <w:r w:rsidRPr="0007791E">
        <w:rPr>
          <w:rFonts w:ascii="Calibri" w:hAnsi="Calibri" w:cs="Calibri"/>
          <w:color w:val="202122"/>
          <w:shd w:val="clear" w:color="auto" w:fill="FFFFFF"/>
        </w:rPr>
        <w:t> </w:t>
      </w:r>
      <w:r w:rsidRPr="0007791E">
        <w:rPr>
          <w:rFonts w:ascii="Calibri" w:hAnsi="Calibri" w:cs="Calibri"/>
          <w:shd w:val="clear" w:color="auto" w:fill="FFFFFF"/>
        </w:rPr>
        <w:t>classe l'</w:t>
      </w:r>
      <w:r w:rsidRPr="0007791E">
        <w:rPr>
          <w:rFonts w:ascii="Calibri" w:hAnsi="Calibri" w:cs="Calibri"/>
          <w:i/>
          <w:iCs/>
          <w:shd w:val="clear" w:color="auto" w:fill="FFFFFF"/>
        </w:rPr>
        <w:t>Aloe Vera</w:t>
      </w:r>
      <w:r w:rsidRPr="0007791E">
        <w:rPr>
          <w:rFonts w:ascii="Calibri" w:hAnsi="Calibri" w:cs="Calibri"/>
          <w:shd w:val="clear" w:color="auto" w:fill="FFFFFF"/>
        </w:rPr>
        <w:t> parmi les substances possiblement </w:t>
      </w:r>
      <w:hyperlink r:id="rId2250" w:tooltip="Cancérigène" w:history="1">
        <w:r w:rsidRPr="0007791E">
          <w:rPr>
            <w:rStyle w:val="Lienhypertexte"/>
            <w:rFonts w:ascii="Calibri" w:hAnsi="Calibri" w:cs="Calibri"/>
            <w:color w:val="0645AD"/>
            <w:shd w:val="clear" w:color="auto" w:fill="FFFFFF"/>
          </w:rPr>
          <w:t>cancérigènes</w:t>
        </w:r>
      </w:hyperlink>
      <w:r w:rsidRPr="0007791E">
        <w:rPr>
          <w:rFonts w:ascii="Calibri" w:hAnsi="Calibri" w:cs="Calibri"/>
          <w:color w:val="202122"/>
          <w:shd w:val="clear" w:color="auto" w:fill="FFFFFF"/>
        </w:rPr>
        <w:t xml:space="preserve">, </w:t>
      </w:r>
      <w:r w:rsidRPr="0007791E">
        <w:rPr>
          <w:rFonts w:ascii="Calibri" w:hAnsi="Calibri" w:cs="Calibri"/>
          <w:shd w:val="clear" w:color="auto" w:fill="FFFFFF"/>
        </w:rPr>
        <w:t>dans la catégorie 2B, quand elle est consommée sous forme d'extrait de feuilles entières.</w:t>
      </w:r>
      <w:r>
        <w:rPr>
          <w:rFonts w:ascii="Calibri" w:hAnsi="Calibri" w:cs="Calibri"/>
          <w:shd w:val="clear" w:color="auto" w:fill="FFFFFF"/>
        </w:rPr>
        <w:t xml:space="preserve"> </w:t>
      </w:r>
      <w:r>
        <w:rPr>
          <w:rFonts w:ascii="Arial" w:hAnsi="Arial" w:cs="Arial"/>
          <w:color w:val="202122"/>
          <w:sz w:val="21"/>
          <w:szCs w:val="21"/>
          <w:shd w:val="clear" w:color="auto" w:fill="FFFFFF"/>
        </w:rPr>
        <w:t> </w:t>
      </w:r>
      <w:r w:rsidRPr="0007791E">
        <w:rPr>
          <w:rFonts w:ascii="Calibri" w:hAnsi="Calibri" w:cs="Calibri"/>
          <w:shd w:val="clear" w:color="auto" w:fill="FFFFFF"/>
        </w:rPr>
        <w:t>La consommation excessive de la feuille complète d’</w:t>
      </w:r>
      <w:r w:rsidRPr="0007791E">
        <w:rPr>
          <w:rFonts w:ascii="Calibri" w:hAnsi="Calibri" w:cs="Calibri"/>
          <w:i/>
          <w:iCs/>
          <w:shd w:val="clear" w:color="auto" w:fill="FFFFFF"/>
        </w:rPr>
        <w:t>Aloe</w:t>
      </w:r>
      <w:r w:rsidRPr="0007791E">
        <w:rPr>
          <w:rFonts w:ascii="Calibri" w:hAnsi="Calibri" w:cs="Calibri"/>
          <w:shd w:val="clear" w:color="auto" w:fill="FFFFFF"/>
        </w:rPr>
        <w:t> peut causer des symptômes de toxicité dus à</w:t>
      </w:r>
      <w:r w:rsidRPr="0007791E">
        <w:rPr>
          <w:rFonts w:ascii="Calibri" w:hAnsi="Calibri" w:cs="Calibri"/>
          <w:color w:val="202122"/>
          <w:shd w:val="clear" w:color="auto" w:fill="FFFFFF"/>
        </w:rPr>
        <w:t xml:space="preserve"> l'</w:t>
      </w:r>
      <w:hyperlink r:id="rId2251" w:tooltip="Aloïne" w:history="1">
        <w:r w:rsidRPr="0007791E">
          <w:rPr>
            <w:rStyle w:val="Lienhypertexte"/>
            <w:rFonts w:ascii="Calibri" w:hAnsi="Calibri" w:cs="Calibri"/>
            <w:color w:val="0645AD"/>
            <w:shd w:val="clear" w:color="auto" w:fill="FFFFFF"/>
          </w:rPr>
          <w:t>aloïne</w:t>
        </w:r>
      </w:hyperlink>
      <w:r>
        <w:rPr>
          <w:rFonts w:ascii="Calibri" w:hAnsi="Calibri" w:cs="Calibri"/>
          <w:shd w:val="clear" w:color="auto" w:fill="FFFFFF"/>
        </w:rPr>
        <w:t xml:space="preserve">. </w:t>
      </w:r>
      <w:r w:rsidRPr="0007791E">
        <w:rPr>
          <w:rFonts w:ascii="Calibri" w:hAnsi="Calibri" w:cs="Calibri"/>
          <w:shd w:val="clear" w:color="auto" w:fill="FFFFFF"/>
        </w:rPr>
        <w:t>Il faut s'assurer que l’</w:t>
      </w:r>
      <w:r w:rsidRPr="0007791E">
        <w:rPr>
          <w:rFonts w:ascii="Calibri" w:hAnsi="Calibri" w:cs="Calibri"/>
          <w:i/>
          <w:iCs/>
          <w:shd w:val="clear" w:color="auto" w:fill="FFFFFF"/>
        </w:rPr>
        <w:t>Aloe vera</w:t>
      </w:r>
      <w:r w:rsidRPr="0007791E">
        <w:rPr>
          <w:rFonts w:ascii="Calibri" w:hAnsi="Calibri" w:cs="Calibri"/>
          <w:shd w:val="clear" w:color="auto" w:fill="FFFFFF"/>
        </w:rPr>
        <w:t xml:space="preserve"> consommé ne soit que la pulpe (sous forme de jus ou de gel), avec une proportion très minime </w:t>
      </w:r>
      <w:r w:rsidRPr="0007791E">
        <w:rPr>
          <w:rFonts w:ascii="Calibri" w:hAnsi="Calibri" w:cs="Calibri"/>
          <w:color w:val="202122"/>
          <w:shd w:val="clear" w:color="auto" w:fill="FFFFFF"/>
        </w:rPr>
        <w:t>d'</w:t>
      </w:r>
      <w:hyperlink r:id="rId2252" w:tooltip="Aloïne" w:history="1">
        <w:r w:rsidRPr="0007791E">
          <w:rPr>
            <w:rStyle w:val="Lienhypertexte"/>
            <w:rFonts w:ascii="Calibri" w:hAnsi="Calibri" w:cs="Calibri"/>
            <w:color w:val="0645AD"/>
            <w:shd w:val="clear" w:color="auto" w:fill="FFFFFF"/>
          </w:rPr>
          <w:t>aloïne</w:t>
        </w:r>
      </w:hyperlink>
      <w:r w:rsidRPr="0007791E">
        <w:rPr>
          <w:rFonts w:ascii="Calibri" w:hAnsi="Calibri" w:cs="Calibri"/>
          <w:color w:val="202122"/>
          <w:shd w:val="clear" w:color="auto" w:fill="FFFFFF"/>
        </w:rPr>
        <w:t xml:space="preserve">. </w:t>
      </w:r>
      <w:r w:rsidRPr="0007791E">
        <w:rPr>
          <w:rFonts w:ascii="Calibri" w:hAnsi="Calibri" w:cs="Calibri"/>
          <w:shd w:val="clear" w:color="auto" w:fill="FFFFFF"/>
        </w:rPr>
        <w:t>Seul le gel </w:t>
      </w:r>
      <w:hyperlink r:id="rId2253" w:tooltip="Mucilagineux" w:history="1">
        <w:r w:rsidRPr="0007791E">
          <w:rPr>
            <w:rStyle w:val="Lienhypertexte"/>
            <w:rFonts w:ascii="Calibri" w:hAnsi="Calibri" w:cs="Calibri"/>
            <w:color w:val="0645AD"/>
            <w:shd w:val="clear" w:color="auto" w:fill="FFFFFF"/>
          </w:rPr>
          <w:t>mucilagineux</w:t>
        </w:r>
      </w:hyperlink>
      <w:r w:rsidRPr="0007791E">
        <w:rPr>
          <w:rFonts w:ascii="Calibri" w:hAnsi="Calibri" w:cs="Calibri"/>
          <w:shd w:val="clear" w:color="auto" w:fill="FFFFFF"/>
        </w:rPr>
        <w:t> (issu du cœur de la feuille) est véritablement bon à être consommé</w:t>
      </w:r>
      <w:r w:rsidRPr="0007791E">
        <w:rPr>
          <w:rFonts w:ascii="Arial" w:hAnsi="Arial" w:cs="Arial"/>
          <w:sz w:val="21"/>
          <w:szCs w:val="21"/>
          <w:shd w:val="clear" w:color="auto" w:fill="FFFFFF"/>
        </w:rPr>
        <w:t>.</w:t>
      </w:r>
    </w:p>
    <w:p w14:paraId="745B96EE" w14:textId="7C9D666E" w:rsidR="00E1639D" w:rsidRDefault="00084E5E" w:rsidP="00744237">
      <w:pPr>
        <w:spacing w:after="0" w:line="240" w:lineRule="auto"/>
        <w:jc w:val="both"/>
        <w:rPr>
          <w:rFonts w:ascii="Calibri" w:hAnsi="Calibri" w:cs="Calibri"/>
          <w:shd w:val="clear" w:color="auto" w:fill="FFFFFF"/>
        </w:rPr>
      </w:pPr>
      <w:r w:rsidRPr="00084E5E">
        <w:rPr>
          <w:rFonts w:ascii="Calibri" w:hAnsi="Calibri" w:cs="Calibri"/>
          <w:u w:val="single"/>
          <w:shd w:val="clear" w:color="auto" w:fill="FFFFFF"/>
        </w:rPr>
        <w:t>Culture</w:t>
      </w:r>
      <w:r w:rsidRPr="00084E5E">
        <w:rPr>
          <w:rFonts w:ascii="Calibri" w:hAnsi="Calibri" w:cs="Calibri"/>
          <w:shd w:val="clear" w:color="auto" w:fill="FFFFFF"/>
        </w:rPr>
        <w:t xml:space="preserve"> : </w:t>
      </w:r>
      <w:r w:rsidRPr="002E198E">
        <w:rPr>
          <w:rFonts w:ascii="Calibri" w:hAnsi="Calibri" w:cs="Calibri"/>
          <w:shd w:val="clear" w:color="auto" w:fill="FFFFFF"/>
        </w:rPr>
        <w:t>Peu exigeante en eau, elle est facilement cultivable.</w:t>
      </w:r>
      <w:r w:rsidR="008D25B5" w:rsidRPr="002E198E">
        <w:rPr>
          <w:rFonts w:ascii="Calibri" w:hAnsi="Calibri" w:cs="Calibri"/>
          <w:shd w:val="clear" w:color="auto" w:fill="FFFFFF"/>
        </w:rPr>
        <w:t xml:space="preserve"> L'espèce a besoin d'un terreau sablonneux bien drainé et de conditions lumineuses et ensoleillées.</w:t>
      </w:r>
      <w:r w:rsidR="002E198E">
        <w:rPr>
          <w:rFonts w:ascii="Calibri" w:hAnsi="Calibri" w:cs="Calibri"/>
          <w:shd w:val="clear" w:color="auto" w:fill="FFFFFF"/>
        </w:rPr>
        <w:t xml:space="preserve"> Il lui faut une température supérieure à 17°C. Elle supporte </w:t>
      </w:r>
      <w:r w:rsidR="00A52725">
        <w:rPr>
          <w:rFonts w:ascii="Calibri" w:hAnsi="Calibri" w:cs="Calibri"/>
          <w:shd w:val="clear" w:color="auto" w:fill="FFFFFF"/>
        </w:rPr>
        <w:t>mal</w:t>
      </w:r>
      <w:r w:rsidR="002E198E">
        <w:rPr>
          <w:rFonts w:ascii="Calibri" w:hAnsi="Calibri" w:cs="Calibri"/>
          <w:shd w:val="clear" w:color="auto" w:fill="FFFFFF"/>
        </w:rPr>
        <w:t xml:space="preserve"> le gel.</w:t>
      </w:r>
    </w:p>
    <w:p w14:paraId="412C2B87" w14:textId="77777777" w:rsidR="00A52725" w:rsidRDefault="00A52725" w:rsidP="00A52725">
      <w:pPr>
        <w:spacing w:after="0" w:line="240" w:lineRule="auto"/>
        <w:jc w:val="both"/>
        <w:rPr>
          <w:rFonts w:ascii="Calibri" w:hAnsi="Calibri" w:cs="Calibri"/>
          <w:shd w:val="clear" w:color="auto" w:fill="FFFFFF"/>
        </w:rPr>
      </w:pPr>
      <w:r w:rsidRPr="00A52725">
        <w:rPr>
          <w:rFonts w:ascii="Calibri" w:hAnsi="Calibri" w:cs="Calibri"/>
          <w:u w:val="single"/>
          <w:shd w:val="clear" w:color="auto" w:fill="FFFFFF"/>
        </w:rPr>
        <w:t>Soins</w:t>
      </w:r>
      <w:r>
        <w:rPr>
          <w:rFonts w:ascii="Calibri" w:hAnsi="Calibri" w:cs="Calibri"/>
          <w:shd w:val="clear" w:color="auto" w:fill="FFFFFF"/>
        </w:rPr>
        <w:t xml:space="preserve"> : </w:t>
      </w:r>
      <w:r w:rsidRPr="00A52725">
        <w:rPr>
          <w:rFonts w:ascii="Calibri" w:hAnsi="Calibri" w:cs="Calibri"/>
          <w:shd w:val="clear" w:color="auto" w:fill="FFFFFF"/>
        </w:rPr>
        <w:t xml:space="preserve">Durant sa croissance, il faut l'arroser parcimonieusement tous les 10 à 15 jours. </w:t>
      </w:r>
    </w:p>
    <w:p w14:paraId="630D7732" w14:textId="58C60EA1" w:rsidR="00A52725" w:rsidRPr="00A52725" w:rsidRDefault="00A52725" w:rsidP="00A52725">
      <w:pPr>
        <w:spacing w:after="0" w:line="240" w:lineRule="auto"/>
        <w:jc w:val="both"/>
        <w:rPr>
          <w:rFonts w:ascii="Calibri" w:hAnsi="Calibri" w:cs="Calibri"/>
          <w:shd w:val="clear" w:color="auto" w:fill="FFFFFF"/>
        </w:rPr>
      </w:pPr>
      <w:r w:rsidRPr="00A52725">
        <w:rPr>
          <w:rFonts w:ascii="Calibri" w:hAnsi="Calibri" w:cs="Calibri"/>
          <w:u w:val="single"/>
          <w:shd w:val="clear" w:color="auto" w:fill="FFFFFF"/>
        </w:rPr>
        <w:t>Maladie</w:t>
      </w:r>
      <w:r w:rsidRPr="00A52725">
        <w:rPr>
          <w:rFonts w:ascii="Calibri" w:hAnsi="Calibri" w:cs="Calibri"/>
          <w:shd w:val="clear" w:color="auto" w:fill="FFFFFF"/>
        </w:rPr>
        <w:t xml:space="preserve"> : Les cochenilles (amas farineux ou caparaçonnés) apparaissent parfois sur les feuilles. </w:t>
      </w:r>
    </w:p>
    <w:p w14:paraId="67752C23" w14:textId="16A2A9EF" w:rsidR="00A52725" w:rsidRPr="002E198E" w:rsidRDefault="00A52725" w:rsidP="00A52725">
      <w:pPr>
        <w:spacing w:after="0" w:line="240" w:lineRule="auto"/>
        <w:jc w:val="both"/>
        <w:rPr>
          <w:rFonts w:ascii="Calibri" w:hAnsi="Calibri" w:cs="Calibri"/>
          <w:shd w:val="clear" w:color="auto" w:fill="FFFFFF"/>
        </w:rPr>
      </w:pPr>
      <w:r w:rsidRPr="00A52725">
        <w:rPr>
          <w:rFonts w:ascii="Calibri" w:hAnsi="Calibri" w:cs="Calibri"/>
          <w:u w:val="single"/>
          <w:shd w:val="clear" w:color="auto" w:fill="FFFFFF"/>
        </w:rPr>
        <w:t>Multiplication</w:t>
      </w:r>
      <w:r w:rsidRPr="00A52725">
        <w:rPr>
          <w:rFonts w:ascii="Calibri" w:hAnsi="Calibri" w:cs="Calibri"/>
          <w:shd w:val="clear" w:color="auto" w:fill="FFFFFF"/>
        </w:rPr>
        <w:t xml:space="preserve"> : Bouturer les feuilles ou de jeunes rosettes latérales en les laissant sécher auparavant plusieurs jours. Placer dans un mélange très sableux (sable grossier) et placer à la lumière.  </w:t>
      </w:r>
    </w:p>
    <w:p w14:paraId="667FEC75" w14:textId="2FF0E99A" w:rsidR="008802DC" w:rsidRPr="0007791E" w:rsidRDefault="008802DC" w:rsidP="00744237">
      <w:pPr>
        <w:spacing w:after="0" w:line="240" w:lineRule="auto"/>
        <w:jc w:val="both"/>
        <w:rPr>
          <w:rFonts w:ascii="Calibri" w:hAnsi="Calibri" w:cs="Calibri"/>
          <w:shd w:val="clear" w:color="auto" w:fill="FFFFFF"/>
        </w:rPr>
      </w:pPr>
      <w:r w:rsidRPr="008802DC">
        <w:rPr>
          <w:rFonts w:ascii="Calibri" w:hAnsi="Calibri" w:cs="Calibri"/>
          <w:u w:val="single"/>
          <w:shd w:val="clear" w:color="auto" w:fill="FFFFFF"/>
        </w:rPr>
        <w:t>Aspects économiques</w:t>
      </w:r>
      <w:r w:rsidRPr="008802DC">
        <w:rPr>
          <w:rFonts w:ascii="Calibri" w:hAnsi="Calibri" w:cs="Calibri"/>
          <w:shd w:val="clear" w:color="auto" w:fill="FFFFFF"/>
        </w:rPr>
        <w:t xml:space="preserve"> : Selon le producteur US Farms, qui cultive plus de 250 000 plants d’A. vera au Canada, le marché américain des produits à l’</w:t>
      </w:r>
      <w:r w:rsidRPr="008802DC">
        <w:rPr>
          <w:rFonts w:ascii="Calibri" w:hAnsi="Calibri" w:cs="Calibri"/>
          <w:i/>
          <w:iCs/>
          <w:shd w:val="clear" w:color="auto" w:fill="FFFFFF"/>
        </w:rPr>
        <w:t xml:space="preserve">A. vera </w:t>
      </w:r>
      <w:r w:rsidRPr="008802DC">
        <w:rPr>
          <w:rFonts w:ascii="Calibri" w:hAnsi="Calibri" w:cs="Calibri"/>
          <w:shd w:val="clear" w:color="auto" w:fill="FFFFFF"/>
        </w:rPr>
        <w:t>représenterait 34 milliards de dollars, en 2008</w:t>
      </w:r>
      <w:r>
        <w:rPr>
          <w:rStyle w:val="Appelnotedebasdep"/>
          <w:rFonts w:ascii="Calibri" w:hAnsi="Calibri" w:cs="Calibri"/>
          <w:shd w:val="clear" w:color="auto" w:fill="FFFFFF"/>
        </w:rPr>
        <w:footnoteReference w:id="131"/>
      </w:r>
      <w:r w:rsidRPr="008802DC">
        <w:rPr>
          <w:rFonts w:ascii="Calibri" w:hAnsi="Calibri" w:cs="Calibri"/>
          <w:shd w:val="clear" w:color="auto" w:fill="FFFFFF"/>
        </w:rPr>
        <w:t>. Les principaux pays producteurs de gel sont le Mexique, la République dominicaine et le Venezuela. L'Asie (Chine, Thaïlande) et l'Australie fabriquent l'essentiel du reste des produits commercialisés dans le monde.</w:t>
      </w:r>
    </w:p>
    <w:p w14:paraId="1D663DA2" w14:textId="4DE941B4" w:rsidR="00893391" w:rsidRDefault="00893391" w:rsidP="00744237">
      <w:pPr>
        <w:spacing w:after="0" w:line="240" w:lineRule="auto"/>
        <w:jc w:val="both"/>
        <w:rPr>
          <w:rFonts w:ascii="Calibri" w:hAnsi="Calibri" w:cs="Calibri"/>
        </w:rPr>
      </w:pPr>
      <w:r>
        <w:rPr>
          <w:rFonts w:ascii="Calibri" w:hAnsi="Calibri" w:cs="Calibri"/>
        </w:rPr>
        <w:t xml:space="preserve">Sources : a) </w:t>
      </w:r>
      <w:hyperlink r:id="rId2254" w:history="1">
        <w:r w:rsidRPr="00224761">
          <w:rPr>
            <w:rStyle w:val="Lienhypertexte"/>
            <w:rFonts w:ascii="Calibri" w:hAnsi="Calibri" w:cs="Calibri"/>
          </w:rPr>
          <w:t>https://fr.wikipedia.org/wiki/Aloe_vera</w:t>
        </w:r>
      </w:hyperlink>
      <w:r>
        <w:rPr>
          <w:rFonts w:ascii="Calibri" w:hAnsi="Calibri" w:cs="Calibri"/>
        </w:rPr>
        <w:t xml:space="preserve">, </w:t>
      </w:r>
      <w:r w:rsidR="008802DC">
        <w:rPr>
          <w:rFonts w:ascii="Calibri" w:hAnsi="Calibri" w:cs="Calibri"/>
        </w:rPr>
        <w:t xml:space="preserve">b) </w:t>
      </w:r>
      <w:hyperlink r:id="rId2255" w:history="1">
        <w:r w:rsidR="008802DC" w:rsidRPr="00224761">
          <w:rPr>
            <w:rStyle w:val="Lienhypertexte"/>
            <w:rFonts w:ascii="Calibri" w:hAnsi="Calibri" w:cs="Calibri"/>
          </w:rPr>
          <w:t>https://en.wikipedia.org/wiki/Aloe_vera</w:t>
        </w:r>
      </w:hyperlink>
      <w:r w:rsidR="008802DC">
        <w:rPr>
          <w:rFonts w:ascii="Calibri" w:hAnsi="Calibri" w:cs="Calibri"/>
        </w:rPr>
        <w:t xml:space="preserve">, </w:t>
      </w:r>
    </w:p>
    <w:p w14:paraId="20FD3A95" w14:textId="1228A79E" w:rsidR="00893391" w:rsidRDefault="008802DC" w:rsidP="00744237">
      <w:pPr>
        <w:spacing w:after="0" w:line="240" w:lineRule="auto"/>
        <w:jc w:val="both"/>
        <w:rPr>
          <w:rFonts w:ascii="Calibri" w:hAnsi="Calibri" w:cs="Calibri"/>
        </w:rPr>
      </w:pPr>
      <w:r>
        <w:rPr>
          <w:rFonts w:ascii="Calibri" w:hAnsi="Calibri" w:cs="Calibri"/>
        </w:rPr>
        <w:t>c</w:t>
      </w:r>
      <w:r w:rsidR="00893391">
        <w:rPr>
          <w:rFonts w:ascii="Calibri" w:hAnsi="Calibri" w:cs="Calibri"/>
        </w:rPr>
        <w:t xml:space="preserve">) </w:t>
      </w:r>
      <w:r w:rsidR="00893391" w:rsidRPr="00893391">
        <w:rPr>
          <w:rFonts w:ascii="Calibri" w:hAnsi="Calibri" w:cs="Calibri"/>
          <w:i/>
          <w:iCs/>
        </w:rPr>
        <w:t>Ethiopie : De l’aloe vera pour l’autonomie des femmes</w:t>
      </w:r>
      <w:r w:rsidR="00893391">
        <w:rPr>
          <w:rFonts w:ascii="Calibri" w:hAnsi="Calibri" w:cs="Calibri"/>
          <w:i/>
          <w:iCs/>
        </w:rPr>
        <w:t xml:space="preserve"> [le trésor des femmes éleveuses]</w:t>
      </w:r>
      <w:r w:rsidR="00893391" w:rsidRPr="00893391">
        <w:rPr>
          <w:rFonts w:ascii="Calibri" w:hAnsi="Calibri" w:cs="Calibri"/>
        </w:rPr>
        <w:t xml:space="preserve">, 12/08/2021, </w:t>
      </w:r>
      <w:hyperlink r:id="rId2256" w:history="1">
        <w:r w:rsidR="00893391" w:rsidRPr="00224761">
          <w:rPr>
            <w:rStyle w:val="Lienhypertexte"/>
            <w:rFonts w:ascii="Calibri" w:hAnsi="Calibri" w:cs="Calibri"/>
          </w:rPr>
          <w:t>https://sossahel.org/ethiopie-de-laloe-vera-pour-lautonomie-des-femmes/</w:t>
        </w:r>
      </w:hyperlink>
      <w:r w:rsidR="00893391">
        <w:rPr>
          <w:rFonts w:ascii="Calibri" w:hAnsi="Calibri" w:cs="Calibri"/>
        </w:rPr>
        <w:t xml:space="preserve"> </w:t>
      </w:r>
    </w:p>
    <w:p w14:paraId="318B0B53" w14:textId="3CFDB4FC" w:rsidR="00D618E6" w:rsidRDefault="008802DC" w:rsidP="00744237">
      <w:pPr>
        <w:spacing w:after="0" w:line="240" w:lineRule="auto"/>
        <w:jc w:val="both"/>
        <w:rPr>
          <w:rFonts w:ascii="Calibri" w:hAnsi="Calibri" w:cs="Calibri"/>
        </w:rPr>
      </w:pPr>
      <w:r>
        <w:rPr>
          <w:rFonts w:ascii="Calibri" w:hAnsi="Calibri" w:cs="Calibri"/>
        </w:rPr>
        <w:t>d</w:t>
      </w:r>
      <w:r w:rsidR="00893391">
        <w:rPr>
          <w:rFonts w:ascii="Calibri" w:hAnsi="Calibri" w:cs="Calibri"/>
        </w:rPr>
        <w:t xml:space="preserve">) </w:t>
      </w:r>
      <w:r w:rsidR="00D618E6" w:rsidRPr="00D618E6">
        <w:rPr>
          <w:rFonts w:ascii="Calibri" w:hAnsi="Calibri" w:cs="Calibri"/>
          <w:i/>
          <w:iCs/>
        </w:rPr>
        <w:t>Fiche de culture : l'aloès commun (Aloe vera),</w:t>
      </w:r>
      <w:r w:rsidR="00D618E6" w:rsidRPr="00D618E6">
        <w:rPr>
          <w:rFonts w:ascii="Calibri" w:hAnsi="Calibri" w:cs="Calibri"/>
        </w:rPr>
        <w:t xml:space="preserve"> </w:t>
      </w:r>
      <w:hyperlink r:id="rId2257" w:history="1">
        <w:r w:rsidR="00D618E6" w:rsidRPr="00224761">
          <w:rPr>
            <w:rStyle w:val="Lienhypertexte"/>
            <w:rFonts w:ascii="Calibri" w:hAnsi="Calibri" w:cs="Calibri"/>
          </w:rPr>
          <w:t>https://www.rustica.fr/plantes-vertes/aloes-commun-aloe-vera,5114.html</w:t>
        </w:r>
      </w:hyperlink>
      <w:r w:rsidR="00D618E6">
        <w:rPr>
          <w:rFonts w:ascii="Calibri" w:hAnsi="Calibri" w:cs="Calibri"/>
        </w:rPr>
        <w:t xml:space="preserve"> </w:t>
      </w:r>
    </w:p>
    <w:p w14:paraId="24380ED3" w14:textId="53AF4179" w:rsidR="00744237" w:rsidRDefault="008802DC" w:rsidP="00744237">
      <w:pPr>
        <w:spacing w:after="0" w:line="240" w:lineRule="auto"/>
        <w:jc w:val="both"/>
        <w:rPr>
          <w:rFonts w:ascii="Calibri" w:hAnsi="Calibri" w:cs="Calibri"/>
        </w:rPr>
      </w:pPr>
      <w:r>
        <w:rPr>
          <w:rFonts w:ascii="Calibri" w:hAnsi="Calibri" w:cs="Calibri"/>
        </w:rPr>
        <w:t>e</w:t>
      </w:r>
      <w:r w:rsidR="00D618E6">
        <w:rPr>
          <w:rFonts w:ascii="Calibri" w:hAnsi="Calibri" w:cs="Calibri"/>
        </w:rPr>
        <w:t xml:space="preserve">) </w:t>
      </w:r>
      <w:r w:rsidR="00893391" w:rsidRPr="00893391">
        <w:rPr>
          <w:rFonts w:ascii="Calibri" w:hAnsi="Calibri" w:cs="Calibri"/>
          <w:i/>
          <w:iCs/>
        </w:rPr>
        <w:t>Risques liés à la consommation de feuilles fraîches d’Aloe vera</w:t>
      </w:r>
      <w:r w:rsidR="00893391">
        <w:rPr>
          <w:rFonts w:ascii="Calibri" w:hAnsi="Calibri" w:cs="Calibri"/>
        </w:rPr>
        <w:t>,</w:t>
      </w:r>
      <w:r w:rsidR="00893391" w:rsidRPr="00893391">
        <w:rPr>
          <w:rFonts w:ascii="Calibri" w:hAnsi="Calibri" w:cs="Calibri"/>
        </w:rPr>
        <w:t xml:space="preserve"> Ministère des Solidarités et de la Santé, </w:t>
      </w:r>
      <w:hyperlink r:id="rId2258" w:history="1">
        <w:r w:rsidR="00893391" w:rsidRPr="00224761">
          <w:rPr>
            <w:rStyle w:val="Lienhypertexte"/>
            <w:rFonts w:ascii="Calibri" w:hAnsi="Calibri" w:cs="Calibri"/>
          </w:rPr>
          <w:t>https://solidarites-sante.gouv.fr/actualites/presse/communiques-de-presse/article/risques-lies-a-la-consommation-de-feuilles-fraiches-d-aloe-vera</w:t>
        </w:r>
      </w:hyperlink>
      <w:r w:rsidR="00893391">
        <w:rPr>
          <w:rFonts w:ascii="Calibri" w:hAnsi="Calibri" w:cs="Calibri"/>
        </w:rPr>
        <w:t xml:space="preserv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1736"/>
        <w:gridCol w:w="1736"/>
        <w:gridCol w:w="3472"/>
      </w:tblGrid>
      <w:tr w:rsidR="00445AB4" w14:paraId="5D6DD8E1" w14:textId="77777777" w:rsidTr="00445AB4">
        <w:tc>
          <w:tcPr>
            <w:tcW w:w="5208" w:type="dxa"/>
            <w:gridSpan w:val="2"/>
          </w:tcPr>
          <w:p w14:paraId="281FBAEF" w14:textId="77777777" w:rsidR="00365872" w:rsidRDefault="00365872" w:rsidP="00A52725">
            <w:pPr>
              <w:jc w:val="center"/>
              <w:rPr>
                <w:rFonts w:ascii="Calibri" w:hAnsi="Calibri" w:cs="Calibri"/>
              </w:rPr>
            </w:pPr>
          </w:p>
          <w:p w14:paraId="02FF0546" w14:textId="056FABD5" w:rsidR="00445AB4" w:rsidRDefault="00445AB4" w:rsidP="00A52725">
            <w:pPr>
              <w:jc w:val="center"/>
              <w:rPr>
                <w:rFonts w:ascii="Calibri" w:hAnsi="Calibri" w:cs="Calibri"/>
              </w:rPr>
            </w:pPr>
            <w:r>
              <w:rPr>
                <w:noProof/>
              </w:rPr>
              <w:drawing>
                <wp:inline distT="0" distB="0" distL="0" distR="0" wp14:anchorId="08C58D11" wp14:editId="356CD743">
                  <wp:extent cx="3114675" cy="1714500"/>
                  <wp:effectExtent l="0" t="0" r="9525" b="0"/>
                  <wp:docPr id="91155" name="Image 91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59">
                            <a:extLst>
                              <a:ext uri="{28A0092B-C50C-407E-A947-70E740481C1C}">
                                <a14:useLocalDpi xmlns:a14="http://schemas.microsoft.com/office/drawing/2010/main" val="0"/>
                              </a:ext>
                            </a:extLst>
                          </a:blip>
                          <a:srcRect/>
                          <a:stretch>
                            <a:fillRect/>
                          </a:stretch>
                        </pic:blipFill>
                        <pic:spPr bwMode="auto">
                          <a:xfrm>
                            <a:off x="0" y="0"/>
                            <a:ext cx="3114675" cy="1714500"/>
                          </a:xfrm>
                          <a:prstGeom prst="rect">
                            <a:avLst/>
                          </a:prstGeom>
                          <a:noFill/>
                          <a:ln>
                            <a:noFill/>
                          </a:ln>
                        </pic:spPr>
                      </pic:pic>
                    </a:graphicData>
                  </a:graphic>
                </wp:inline>
              </w:drawing>
            </w:r>
          </w:p>
          <w:p w14:paraId="229EAB5F" w14:textId="21278373" w:rsidR="00445AB4" w:rsidRDefault="00445AB4" w:rsidP="00A52725">
            <w:pPr>
              <w:jc w:val="center"/>
              <w:rPr>
                <w:rFonts w:ascii="Calibri" w:hAnsi="Calibri" w:cs="Calibri"/>
              </w:rPr>
            </w:pPr>
            <w:r w:rsidRPr="00445AB4">
              <w:rPr>
                <w:rFonts w:ascii="Calibri" w:hAnsi="Calibri" w:cs="Calibri"/>
              </w:rPr>
              <w:t>Schéma de la feuille : 1 cuticule, 2 parenchyme chloroplastique, 3 tissu interne, 4 faisceaux vasculaires</w:t>
            </w:r>
          </w:p>
        </w:tc>
        <w:tc>
          <w:tcPr>
            <w:tcW w:w="5208" w:type="dxa"/>
            <w:gridSpan w:val="2"/>
          </w:tcPr>
          <w:p w14:paraId="5DD0279C" w14:textId="77777777" w:rsidR="00445AB4" w:rsidRDefault="00445AB4" w:rsidP="00A52725">
            <w:pPr>
              <w:jc w:val="center"/>
              <w:rPr>
                <w:rFonts w:ascii="Calibri" w:hAnsi="Calibri" w:cs="Calibri"/>
              </w:rPr>
            </w:pPr>
            <w:r>
              <w:rPr>
                <w:noProof/>
              </w:rPr>
              <w:drawing>
                <wp:inline distT="0" distB="0" distL="0" distR="0" wp14:anchorId="1973ACD8" wp14:editId="3EEE324A">
                  <wp:extent cx="2933700" cy="2200275"/>
                  <wp:effectExtent l="0" t="0" r="0" b="9525"/>
                  <wp:docPr id="59412" name="Image 59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60">
                            <a:extLst>
                              <a:ext uri="{28A0092B-C50C-407E-A947-70E740481C1C}">
                                <a14:useLocalDpi xmlns:a14="http://schemas.microsoft.com/office/drawing/2010/main" val="0"/>
                              </a:ext>
                            </a:extLst>
                          </a:blip>
                          <a:srcRect/>
                          <a:stretch>
                            <a:fillRect/>
                          </a:stretch>
                        </pic:blipFill>
                        <pic:spPr bwMode="auto">
                          <a:xfrm>
                            <a:off x="0" y="0"/>
                            <a:ext cx="2933700" cy="2200275"/>
                          </a:xfrm>
                          <a:prstGeom prst="rect">
                            <a:avLst/>
                          </a:prstGeom>
                          <a:noFill/>
                          <a:ln>
                            <a:noFill/>
                          </a:ln>
                        </pic:spPr>
                      </pic:pic>
                    </a:graphicData>
                  </a:graphic>
                </wp:inline>
              </w:drawing>
            </w:r>
          </w:p>
          <w:p w14:paraId="475A5941" w14:textId="77777777" w:rsidR="00445AB4" w:rsidRDefault="00445AB4" w:rsidP="00A52725">
            <w:pPr>
              <w:jc w:val="center"/>
              <w:rPr>
                <w:rFonts w:ascii="Calibri" w:hAnsi="Calibri" w:cs="Calibri"/>
              </w:rPr>
            </w:pPr>
            <w:r>
              <w:rPr>
                <w:rFonts w:ascii="Calibri" w:hAnsi="Calibri" w:cs="Calibri"/>
              </w:rPr>
              <w:t>Culture villageoise d’Aloe vera (Ethiopie) (SOS Sahel).</w:t>
            </w:r>
          </w:p>
          <w:p w14:paraId="3C211D4D" w14:textId="1510FA2D" w:rsidR="003B354C" w:rsidRDefault="003B354C" w:rsidP="00A52725">
            <w:pPr>
              <w:jc w:val="center"/>
              <w:rPr>
                <w:rFonts w:ascii="Calibri" w:hAnsi="Calibri" w:cs="Calibri"/>
              </w:rPr>
            </w:pPr>
          </w:p>
        </w:tc>
      </w:tr>
      <w:tr w:rsidR="00445AB4" w14:paraId="5E3A7DC9" w14:textId="77777777" w:rsidTr="00445AB4">
        <w:tc>
          <w:tcPr>
            <w:tcW w:w="3472" w:type="dxa"/>
          </w:tcPr>
          <w:p w14:paraId="7FCDF18D" w14:textId="402C752C" w:rsidR="00445AB4" w:rsidRDefault="00445AB4" w:rsidP="00A52725">
            <w:pPr>
              <w:jc w:val="center"/>
              <w:rPr>
                <w:rFonts w:ascii="Calibri" w:hAnsi="Calibri" w:cs="Calibri"/>
              </w:rPr>
            </w:pPr>
            <w:r>
              <w:rPr>
                <w:noProof/>
              </w:rPr>
              <w:drawing>
                <wp:inline distT="0" distB="0" distL="0" distR="0" wp14:anchorId="24276A50" wp14:editId="41436A71">
                  <wp:extent cx="1714500" cy="1285875"/>
                  <wp:effectExtent l="0" t="0" r="0" b="9525"/>
                  <wp:docPr id="7189" name="Image 7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61">
                            <a:extLst>
                              <a:ext uri="{28A0092B-C50C-407E-A947-70E740481C1C}">
                                <a14:useLocalDpi xmlns:a14="http://schemas.microsoft.com/office/drawing/2010/main" val="0"/>
                              </a:ext>
                            </a:extLst>
                          </a:blip>
                          <a:srcRect/>
                          <a:stretch>
                            <a:fillRect/>
                          </a:stretch>
                        </pic:blipFill>
                        <pic:spPr bwMode="auto">
                          <a:xfrm>
                            <a:off x="0" y="0"/>
                            <a:ext cx="1717176" cy="1287882"/>
                          </a:xfrm>
                          <a:prstGeom prst="rect">
                            <a:avLst/>
                          </a:prstGeom>
                          <a:noFill/>
                          <a:ln>
                            <a:noFill/>
                          </a:ln>
                        </pic:spPr>
                      </pic:pic>
                    </a:graphicData>
                  </a:graphic>
                </wp:inline>
              </w:drawing>
            </w:r>
          </w:p>
          <w:p w14:paraId="4B52A3BD" w14:textId="34B634CA" w:rsidR="00445AB4" w:rsidRDefault="00445AB4" w:rsidP="00A52725">
            <w:pPr>
              <w:jc w:val="center"/>
              <w:rPr>
                <w:rFonts w:ascii="Calibri" w:hAnsi="Calibri" w:cs="Calibri"/>
              </w:rPr>
            </w:pPr>
            <w:r w:rsidRPr="00445AB4">
              <w:rPr>
                <w:rFonts w:ascii="Calibri" w:hAnsi="Calibri" w:cs="Calibri"/>
              </w:rPr>
              <w:t>Plante avec incrustation de la fleur</w:t>
            </w:r>
          </w:p>
        </w:tc>
        <w:tc>
          <w:tcPr>
            <w:tcW w:w="3472" w:type="dxa"/>
            <w:gridSpan w:val="2"/>
          </w:tcPr>
          <w:p w14:paraId="63FD889B" w14:textId="77777777" w:rsidR="00445AB4" w:rsidRDefault="00445AB4" w:rsidP="00A52725">
            <w:pPr>
              <w:jc w:val="center"/>
              <w:rPr>
                <w:rFonts w:ascii="Calibri" w:hAnsi="Calibri" w:cs="Calibri"/>
              </w:rPr>
            </w:pPr>
            <w:r>
              <w:rPr>
                <w:noProof/>
              </w:rPr>
              <w:drawing>
                <wp:inline distT="0" distB="0" distL="0" distR="0" wp14:anchorId="65F09F0C" wp14:editId="649A790E">
                  <wp:extent cx="1457325" cy="1049474"/>
                  <wp:effectExtent l="0" t="0" r="0" b="0"/>
                  <wp:docPr id="7190" name="Image 7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62">
                            <a:extLst>
                              <a:ext uri="{28A0092B-C50C-407E-A947-70E740481C1C}">
                                <a14:useLocalDpi xmlns:a14="http://schemas.microsoft.com/office/drawing/2010/main" val="0"/>
                              </a:ext>
                            </a:extLst>
                          </a:blip>
                          <a:srcRect/>
                          <a:stretch>
                            <a:fillRect/>
                          </a:stretch>
                        </pic:blipFill>
                        <pic:spPr bwMode="auto">
                          <a:xfrm>
                            <a:off x="0" y="0"/>
                            <a:ext cx="1471092" cy="1059388"/>
                          </a:xfrm>
                          <a:prstGeom prst="rect">
                            <a:avLst/>
                          </a:prstGeom>
                          <a:noFill/>
                          <a:ln>
                            <a:noFill/>
                          </a:ln>
                        </pic:spPr>
                      </pic:pic>
                    </a:graphicData>
                  </a:graphic>
                </wp:inline>
              </w:drawing>
            </w:r>
          </w:p>
          <w:p w14:paraId="1931916E" w14:textId="77777777" w:rsidR="00445AB4" w:rsidRDefault="00445AB4" w:rsidP="00A52725">
            <w:pPr>
              <w:jc w:val="center"/>
              <w:rPr>
                <w:rFonts w:ascii="Calibri" w:hAnsi="Calibri" w:cs="Calibri"/>
                <w:i/>
                <w:iCs/>
              </w:rPr>
            </w:pPr>
            <w:r w:rsidRPr="00445AB4">
              <w:rPr>
                <w:rFonts w:ascii="Calibri" w:hAnsi="Calibri" w:cs="Calibri"/>
              </w:rPr>
              <w:t xml:space="preserve">Formes tachetées, également appelées </w:t>
            </w:r>
            <w:r w:rsidRPr="00445AB4">
              <w:rPr>
                <w:rFonts w:ascii="Calibri" w:hAnsi="Calibri" w:cs="Calibri"/>
                <w:i/>
                <w:iCs/>
              </w:rPr>
              <w:t>Aloe vera</w:t>
            </w:r>
            <w:r w:rsidRPr="00445AB4">
              <w:rPr>
                <w:rFonts w:ascii="Calibri" w:hAnsi="Calibri" w:cs="Calibri"/>
              </w:rPr>
              <w:t xml:space="preserve"> var. </w:t>
            </w:r>
            <w:r w:rsidRPr="00445AB4">
              <w:rPr>
                <w:rFonts w:ascii="Calibri" w:hAnsi="Calibri" w:cs="Calibri"/>
                <w:i/>
                <w:iCs/>
              </w:rPr>
              <w:t>chinensis</w:t>
            </w:r>
            <w:r w:rsidR="003B354C">
              <w:rPr>
                <w:rFonts w:ascii="Calibri" w:hAnsi="Calibri" w:cs="Calibri"/>
                <w:i/>
                <w:iCs/>
              </w:rPr>
              <w:t>.</w:t>
            </w:r>
          </w:p>
          <w:p w14:paraId="3C60703D" w14:textId="657A202F" w:rsidR="003B354C" w:rsidRDefault="003B354C" w:rsidP="00A52725">
            <w:pPr>
              <w:jc w:val="center"/>
              <w:rPr>
                <w:rFonts w:ascii="Calibri" w:hAnsi="Calibri" w:cs="Calibri"/>
              </w:rPr>
            </w:pPr>
          </w:p>
        </w:tc>
        <w:tc>
          <w:tcPr>
            <w:tcW w:w="3472" w:type="dxa"/>
          </w:tcPr>
          <w:p w14:paraId="0600B12D" w14:textId="77777777" w:rsidR="00445AB4" w:rsidRDefault="00445AB4" w:rsidP="00A52725">
            <w:pPr>
              <w:jc w:val="center"/>
              <w:rPr>
                <w:rFonts w:ascii="Calibri" w:hAnsi="Calibri" w:cs="Calibri"/>
              </w:rPr>
            </w:pPr>
            <w:r>
              <w:rPr>
                <w:noProof/>
              </w:rPr>
              <w:drawing>
                <wp:inline distT="0" distB="0" distL="0" distR="0" wp14:anchorId="340F42E2" wp14:editId="618A1F59">
                  <wp:extent cx="1715770" cy="1215900"/>
                  <wp:effectExtent l="0" t="0" r="0" b="3810"/>
                  <wp:docPr id="7191" name="Image 7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63">
                            <a:extLst>
                              <a:ext uri="{28A0092B-C50C-407E-A947-70E740481C1C}">
                                <a14:useLocalDpi xmlns:a14="http://schemas.microsoft.com/office/drawing/2010/main" val="0"/>
                              </a:ext>
                            </a:extLst>
                          </a:blip>
                          <a:srcRect/>
                          <a:stretch>
                            <a:fillRect/>
                          </a:stretch>
                        </pic:blipFill>
                        <pic:spPr bwMode="auto">
                          <a:xfrm>
                            <a:off x="0" y="0"/>
                            <a:ext cx="1718612" cy="1217914"/>
                          </a:xfrm>
                          <a:prstGeom prst="rect">
                            <a:avLst/>
                          </a:prstGeom>
                          <a:noFill/>
                          <a:ln>
                            <a:noFill/>
                          </a:ln>
                        </pic:spPr>
                      </pic:pic>
                    </a:graphicData>
                  </a:graphic>
                </wp:inline>
              </w:drawing>
            </w:r>
          </w:p>
          <w:p w14:paraId="5ABEA12F" w14:textId="62F406EC" w:rsidR="00445AB4" w:rsidRDefault="00445AB4" w:rsidP="00A52725">
            <w:pPr>
              <w:jc w:val="center"/>
              <w:rPr>
                <w:rFonts w:ascii="Calibri" w:hAnsi="Calibri" w:cs="Calibri"/>
              </w:rPr>
            </w:pPr>
            <w:r>
              <w:rPr>
                <w:rFonts w:ascii="Calibri" w:hAnsi="Calibri" w:cs="Calibri"/>
              </w:rPr>
              <w:t>Fleur</w:t>
            </w:r>
          </w:p>
        </w:tc>
      </w:tr>
      <w:tr w:rsidR="00445AB4" w14:paraId="4F5C5A01" w14:textId="77777777" w:rsidTr="00445AB4">
        <w:tc>
          <w:tcPr>
            <w:tcW w:w="3472" w:type="dxa"/>
          </w:tcPr>
          <w:p w14:paraId="78B63D40" w14:textId="77777777" w:rsidR="00445AB4" w:rsidRDefault="00445AB4" w:rsidP="00A52725">
            <w:pPr>
              <w:jc w:val="center"/>
              <w:rPr>
                <w:rFonts w:ascii="Calibri" w:hAnsi="Calibri" w:cs="Calibri"/>
              </w:rPr>
            </w:pPr>
            <w:r>
              <w:rPr>
                <w:noProof/>
              </w:rPr>
              <w:drawing>
                <wp:inline distT="0" distB="0" distL="0" distR="0" wp14:anchorId="0CC0E803" wp14:editId="36657CBF">
                  <wp:extent cx="1645285" cy="1092809"/>
                  <wp:effectExtent l="0" t="0" r="0" b="0"/>
                  <wp:docPr id="7192" name="Image 7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264">
                            <a:extLst>
                              <a:ext uri="{28A0092B-C50C-407E-A947-70E740481C1C}">
                                <a14:useLocalDpi xmlns:a14="http://schemas.microsoft.com/office/drawing/2010/main" val="0"/>
                              </a:ext>
                            </a:extLst>
                          </a:blip>
                          <a:srcRect/>
                          <a:stretch>
                            <a:fillRect/>
                          </a:stretch>
                        </pic:blipFill>
                        <pic:spPr bwMode="auto">
                          <a:xfrm>
                            <a:off x="0" y="0"/>
                            <a:ext cx="1657630" cy="1101009"/>
                          </a:xfrm>
                          <a:prstGeom prst="rect">
                            <a:avLst/>
                          </a:prstGeom>
                          <a:noFill/>
                          <a:ln>
                            <a:noFill/>
                          </a:ln>
                        </pic:spPr>
                      </pic:pic>
                    </a:graphicData>
                  </a:graphic>
                </wp:inline>
              </w:drawing>
            </w:r>
          </w:p>
          <w:p w14:paraId="04F86F93" w14:textId="48E515F4" w:rsidR="00445AB4" w:rsidRPr="00445AB4" w:rsidRDefault="00445AB4" w:rsidP="00A52725">
            <w:pPr>
              <w:jc w:val="center"/>
              <w:rPr>
                <w:rFonts w:ascii="Calibri" w:hAnsi="Calibri" w:cs="Calibri"/>
              </w:rPr>
            </w:pPr>
            <w:r w:rsidRPr="00445AB4">
              <w:rPr>
                <w:rFonts w:ascii="Calibri" w:hAnsi="Calibri" w:cs="Calibri"/>
                <w:color w:val="202122"/>
                <w:shd w:val="clear" w:color="auto" w:fill="FFFFFF"/>
              </w:rPr>
              <w:t>Feuille et gel intérieur.</w:t>
            </w:r>
          </w:p>
        </w:tc>
        <w:tc>
          <w:tcPr>
            <w:tcW w:w="3472" w:type="dxa"/>
            <w:gridSpan w:val="2"/>
          </w:tcPr>
          <w:p w14:paraId="7555DB39" w14:textId="77777777" w:rsidR="00445AB4" w:rsidRDefault="00445AB4" w:rsidP="00A52725">
            <w:pPr>
              <w:jc w:val="center"/>
              <w:rPr>
                <w:rFonts w:ascii="Calibri" w:hAnsi="Calibri" w:cs="Calibri"/>
              </w:rPr>
            </w:pPr>
            <w:r>
              <w:rPr>
                <w:noProof/>
              </w:rPr>
              <w:drawing>
                <wp:inline distT="0" distB="0" distL="0" distR="0" wp14:anchorId="0599BAFC" wp14:editId="09F3DC85">
                  <wp:extent cx="1603375" cy="1202531"/>
                  <wp:effectExtent l="0" t="0" r="0" b="0"/>
                  <wp:docPr id="7193" name="Image 7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265">
                            <a:extLst>
                              <a:ext uri="{28A0092B-C50C-407E-A947-70E740481C1C}">
                                <a14:useLocalDpi xmlns:a14="http://schemas.microsoft.com/office/drawing/2010/main" val="0"/>
                              </a:ext>
                            </a:extLst>
                          </a:blip>
                          <a:srcRect/>
                          <a:stretch>
                            <a:fillRect/>
                          </a:stretch>
                        </pic:blipFill>
                        <pic:spPr bwMode="auto">
                          <a:xfrm>
                            <a:off x="0" y="0"/>
                            <a:ext cx="1605615" cy="1204211"/>
                          </a:xfrm>
                          <a:prstGeom prst="rect">
                            <a:avLst/>
                          </a:prstGeom>
                          <a:noFill/>
                          <a:ln>
                            <a:noFill/>
                          </a:ln>
                        </pic:spPr>
                      </pic:pic>
                    </a:graphicData>
                  </a:graphic>
                </wp:inline>
              </w:drawing>
            </w:r>
          </w:p>
          <w:p w14:paraId="49DD0EED" w14:textId="7406DBB5" w:rsidR="00445AB4" w:rsidRDefault="00445AB4" w:rsidP="00A52725">
            <w:pPr>
              <w:jc w:val="center"/>
              <w:rPr>
                <w:rFonts w:ascii="Calibri" w:hAnsi="Calibri" w:cs="Calibri"/>
              </w:rPr>
            </w:pPr>
            <w:r>
              <w:rPr>
                <w:rFonts w:ascii="Calibri" w:hAnsi="Calibri" w:cs="Calibri"/>
              </w:rPr>
              <w:t>Jus réalisé à partir du gel.</w:t>
            </w:r>
          </w:p>
        </w:tc>
        <w:tc>
          <w:tcPr>
            <w:tcW w:w="3472" w:type="dxa"/>
          </w:tcPr>
          <w:p w14:paraId="1F8E2D8E" w14:textId="77777777" w:rsidR="00445AB4" w:rsidRDefault="00445AB4" w:rsidP="00A52725">
            <w:pPr>
              <w:jc w:val="center"/>
              <w:rPr>
                <w:rFonts w:ascii="Calibri" w:hAnsi="Calibri" w:cs="Calibri"/>
              </w:rPr>
            </w:pPr>
            <w:r>
              <w:rPr>
                <w:noProof/>
              </w:rPr>
              <w:drawing>
                <wp:inline distT="0" distB="0" distL="0" distR="0" wp14:anchorId="7E185300" wp14:editId="54DE0BDE">
                  <wp:extent cx="1600200" cy="1200150"/>
                  <wp:effectExtent l="0" t="0" r="0" b="0"/>
                  <wp:docPr id="7194" name="Image 7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266">
                            <a:extLst>
                              <a:ext uri="{28A0092B-C50C-407E-A947-70E740481C1C}">
                                <a14:useLocalDpi xmlns:a14="http://schemas.microsoft.com/office/drawing/2010/main" val="0"/>
                              </a:ext>
                            </a:extLst>
                          </a:blip>
                          <a:srcRect/>
                          <a:stretch>
                            <a:fillRect/>
                          </a:stretch>
                        </pic:blipFill>
                        <pic:spPr bwMode="auto">
                          <a:xfrm>
                            <a:off x="0" y="0"/>
                            <a:ext cx="1600200" cy="1200150"/>
                          </a:xfrm>
                          <a:prstGeom prst="rect">
                            <a:avLst/>
                          </a:prstGeom>
                          <a:noFill/>
                          <a:ln>
                            <a:noFill/>
                          </a:ln>
                        </pic:spPr>
                      </pic:pic>
                    </a:graphicData>
                  </a:graphic>
                </wp:inline>
              </w:drawing>
            </w:r>
          </w:p>
          <w:p w14:paraId="4092809A" w14:textId="0A18E3B3" w:rsidR="00445AB4" w:rsidRDefault="00445AB4" w:rsidP="00A52725">
            <w:pPr>
              <w:jc w:val="center"/>
              <w:rPr>
                <w:rFonts w:ascii="Calibri" w:hAnsi="Calibri" w:cs="Calibri"/>
              </w:rPr>
            </w:pPr>
            <w:r>
              <w:rPr>
                <w:rFonts w:ascii="Calibri" w:hAnsi="Calibri" w:cs="Calibri"/>
              </w:rPr>
              <w:t>Feuille coupée.</w:t>
            </w:r>
          </w:p>
        </w:tc>
      </w:tr>
    </w:tbl>
    <w:p w14:paraId="1B21E5B0" w14:textId="77777777" w:rsidR="00445AB4" w:rsidRPr="00DA3F6B" w:rsidRDefault="00445AB4" w:rsidP="00564BA8">
      <w:pPr>
        <w:spacing w:after="0" w:line="240" w:lineRule="auto"/>
        <w:rPr>
          <w:rFonts w:ascii="Calibri" w:hAnsi="Calibri" w:cs="Calibri"/>
        </w:rPr>
      </w:pPr>
    </w:p>
    <w:p w14:paraId="046289E7" w14:textId="48F6D0C9" w:rsidR="00D87D3F" w:rsidRDefault="00D87D3F" w:rsidP="00D87D3F">
      <w:pPr>
        <w:pStyle w:val="Titre1"/>
      </w:pPr>
      <w:bookmarkStart w:id="190" w:name="_Toc139181481"/>
      <w:r>
        <w:t>Plantes fourragères pouvant supporter une certaine dose de sel</w:t>
      </w:r>
      <w:bookmarkEnd w:id="190"/>
    </w:p>
    <w:p w14:paraId="68B273EA" w14:textId="77777777" w:rsidR="00D87D3F" w:rsidRDefault="00D87D3F" w:rsidP="00726FE1">
      <w:pPr>
        <w:spacing w:after="0" w:line="240" w:lineRule="auto"/>
      </w:pPr>
    </w:p>
    <w:p w14:paraId="23F31E3C" w14:textId="6FCF19BF" w:rsidR="0099123D" w:rsidRDefault="0099123D" w:rsidP="00D87D3F">
      <w:pPr>
        <w:pStyle w:val="Titre2"/>
      </w:pPr>
      <w:bookmarkStart w:id="191" w:name="_Toc139181482"/>
      <w:r w:rsidRPr="0099123D">
        <w:t>Mélilot blanc (</w:t>
      </w:r>
      <w:r w:rsidRPr="00D87D3F">
        <w:rPr>
          <w:i/>
          <w:iCs/>
        </w:rPr>
        <w:t>Melilotus albus</w:t>
      </w:r>
      <w:r w:rsidR="00FC05CB">
        <w:t xml:space="preserve"> ou </w:t>
      </w:r>
      <w:r w:rsidR="00FC05CB" w:rsidRPr="00D87D3F">
        <w:rPr>
          <w:i/>
          <w:iCs/>
        </w:rPr>
        <w:t>Melilotus alba</w:t>
      </w:r>
      <w:r w:rsidRPr="0099123D">
        <w:t>)</w:t>
      </w:r>
      <w:bookmarkEnd w:id="191"/>
    </w:p>
    <w:p w14:paraId="393983EF" w14:textId="0CCE5A46" w:rsidR="00D96F61" w:rsidRDefault="00D96F61" w:rsidP="00726FE1">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0"/>
        <w:gridCol w:w="2184"/>
        <w:gridCol w:w="1097"/>
        <w:gridCol w:w="970"/>
        <w:gridCol w:w="1405"/>
      </w:tblGrid>
      <w:tr w:rsidR="00BD6E4E" w:rsidRPr="000B6BE3" w14:paraId="1CF9ECDB" w14:textId="77777777" w:rsidTr="00FC05CB">
        <w:tc>
          <w:tcPr>
            <w:tcW w:w="4957" w:type="dxa"/>
          </w:tcPr>
          <w:p w14:paraId="4D0ED792" w14:textId="4C6C0904" w:rsidR="00BD6E4E" w:rsidRPr="000B6BE3" w:rsidRDefault="00BD6E4E" w:rsidP="00C17F76">
            <w:pPr>
              <w:rPr>
                <w:rFonts w:cstheme="minorHAnsi"/>
                <w:bCs/>
              </w:rPr>
            </w:pPr>
            <w:r w:rsidRPr="000B6BE3">
              <w:rPr>
                <w:rFonts w:cstheme="minorHAnsi"/>
                <w:bCs/>
              </w:rPr>
              <w:t>(</w:t>
            </w:r>
            <w:hyperlink r:id="rId2267" w:history="1">
              <w:r w:rsidRPr="000B6BE3">
                <w:rPr>
                  <w:rFonts w:cstheme="minorHAnsi"/>
                </w:rPr>
                <w:t>F</w:t>
              </w:r>
              <w:r w:rsidRPr="000B6BE3">
                <w:rPr>
                  <w:rStyle w:val="Lienhypertexte"/>
                  <w:rFonts w:cstheme="minorHAnsi"/>
                  <w:color w:val="0B0080"/>
                  <w:shd w:val="clear" w:color="auto" w:fill="FFFFFF"/>
                </w:rPr>
                <w:t>amille</w:t>
              </w:r>
            </w:hyperlink>
            <w:r w:rsidRPr="000B6BE3">
              <w:rPr>
                <w:rFonts w:cstheme="minorHAnsi"/>
                <w:color w:val="222222"/>
                <w:shd w:val="clear" w:color="auto" w:fill="FFFFFF"/>
              </w:rPr>
              <w:t> </w:t>
            </w:r>
            <w:r w:rsidRPr="00FC05CB">
              <w:rPr>
                <w:rFonts w:cstheme="minorHAnsi"/>
                <w:color w:val="000000" w:themeColor="text1"/>
                <w:shd w:val="clear" w:color="auto" w:fill="FFFFFF"/>
              </w:rPr>
              <w:t>des </w:t>
            </w:r>
            <w:hyperlink r:id="rId2268" w:tooltip="Fabaceae" w:history="1">
              <w:r w:rsidRPr="000B6BE3">
                <w:rPr>
                  <w:rStyle w:val="Lienhypertexte"/>
                  <w:rFonts w:cstheme="minorHAnsi"/>
                  <w:i/>
                  <w:iCs/>
                  <w:color w:val="0B0080"/>
                  <w:shd w:val="clear" w:color="auto" w:fill="FFFFFF"/>
                </w:rPr>
                <w:t>Fabaceae</w:t>
              </w:r>
            </w:hyperlink>
            <w:r w:rsidR="00FC05CB">
              <w:rPr>
                <w:rFonts w:cstheme="minorHAnsi"/>
                <w:bCs/>
              </w:rPr>
              <w:t xml:space="preserve"> </w:t>
            </w:r>
            <w:r w:rsidR="00FC05CB" w:rsidRPr="00FC05CB">
              <w:rPr>
                <w:rFonts w:cstheme="minorHAnsi"/>
                <w:bCs/>
                <w:color w:val="000000" w:themeColor="text1"/>
              </w:rPr>
              <w:t xml:space="preserve">ou </w:t>
            </w:r>
            <w:hyperlink r:id="rId2269" w:history="1">
              <w:r w:rsidR="00FC05CB" w:rsidRPr="0099123D">
                <w:rPr>
                  <w:rStyle w:val="Lienhypertexte"/>
                  <w:i/>
                  <w:iCs/>
                </w:rPr>
                <w:t>Fabacées</w:t>
              </w:r>
            </w:hyperlink>
            <w:r w:rsidR="00FC05CB" w:rsidRPr="00FC05CB">
              <w:rPr>
                <w:rFonts w:cstheme="minorHAnsi"/>
                <w:bCs/>
                <w:color w:val="000000" w:themeColor="text1"/>
              </w:rPr>
              <w:t>).</w:t>
            </w:r>
          </w:p>
          <w:p w14:paraId="4D70CEE9" w14:textId="77777777" w:rsidR="00BD6E4E" w:rsidRPr="000B6BE3" w:rsidRDefault="00BD6E4E" w:rsidP="00C17F76">
            <w:pPr>
              <w:rPr>
                <w:rFonts w:cstheme="minorHAnsi"/>
                <w:bCs/>
              </w:rPr>
            </w:pPr>
          </w:p>
          <w:p w14:paraId="7BBE966F" w14:textId="6B77D06F" w:rsidR="00BD6E4E" w:rsidRPr="000B6BE3" w:rsidRDefault="00BD6E4E" w:rsidP="00C17F76">
            <w:pPr>
              <w:rPr>
                <w:rFonts w:cstheme="minorHAnsi"/>
              </w:rPr>
            </w:pPr>
          </w:p>
        </w:tc>
        <w:tc>
          <w:tcPr>
            <w:tcW w:w="2268" w:type="dxa"/>
          </w:tcPr>
          <w:p w14:paraId="599E1FB3" w14:textId="2F9E43A9" w:rsidR="00BD6E4E" w:rsidRPr="000B6BE3" w:rsidRDefault="00FC05CB" w:rsidP="00C17F76">
            <w:pPr>
              <w:rPr>
                <w:rFonts w:cstheme="minorHAnsi"/>
              </w:rPr>
            </w:pPr>
            <w:r w:rsidRPr="00FC05CB">
              <w:rPr>
                <w:rFonts w:cstheme="minorHAnsi"/>
                <w:noProof/>
              </w:rPr>
              <w:drawing>
                <wp:inline distT="0" distB="0" distL="0" distR="0" wp14:anchorId="659671A6" wp14:editId="5792E38A">
                  <wp:extent cx="514350" cy="733425"/>
                  <wp:effectExtent l="0" t="0" r="0" b="9525"/>
                  <wp:docPr id="76813" name="Image 11"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13" name="Image 11" descr="logo salinisation2_s.jpg"/>
                          <pic:cNvPicPr>
                            <a:picLocks noChangeAspect="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14350" cy="733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134" w:type="dxa"/>
          </w:tcPr>
          <w:p w14:paraId="4C407C64" w14:textId="77777777" w:rsidR="00BD6E4E" w:rsidRDefault="00BD6E4E" w:rsidP="00C17F76">
            <w:pPr>
              <w:textAlignment w:val="baseline"/>
              <w:rPr>
                <w:rFonts w:eastAsia="+mn-ea" w:cstheme="minorHAnsi"/>
                <w:b/>
                <w:bCs/>
                <w:color w:val="008000"/>
                <w:kern w:val="24"/>
              </w:rPr>
            </w:pPr>
            <w:r w:rsidRPr="000B6BE3">
              <w:rPr>
                <w:rFonts w:eastAsia="+mn-ea" w:cstheme="minorHAnsi"/>
                <w:b/>
                <w:bCs/>
                <w:color w:val="008000"/>
                <w:kern w:val="24"/>
              </w:rPr>
              <w:t>↗↗</w:t>
            </w:r>
          </w:p>
          <w:p w14:paraId="1651EF8B" w14:textId="77777777" w:rsidR="00A0500C" w:rsidRDefault="00A0500C" w:rsidP="00C17F76">
            <w:pPr>
              <w:textAlignment w:val="baseline"/>
              <w:rPr>
                <w:rFonts w:eastAsia="+mn-ea" w:cstheme="minorHAnsi"/>
                <w:b/>
                <w:bCs/>
                <w:color w:val="008000"/>
                <w:kern w:val="24"/>
              </w:rPr>
            </w:pPr>
          </w:p>
          <w:p w14:paraId="22330E24" w14:textId="605F5487" w:rsidR="00A0500C" w:rsidRPr="00A0500C" w:rsidRDefault="00A0500C" w:rsidP="00C17F76">
            <w:pPr>
              <w:textAlignment w:val="baseline"/>
              <w:rPr>
                <w:rFonts w:cstheme="minorHAnsi"/>
                <w:sz w:val="40"/>
                <w:szCs w:val="40"/>
              </w:rPr>
            </w:pPr>
            <w:r w:rsidRPr="00A0500C">
              <w:rPr>
                <w:rFonts w:eastAsia="+mn-ea" w:cstheme="minorHAnsi"/>
                <w:b/>
                <w:bCs/>
                <w:color w:val="008000"/>
                <w:kern w:val="24"/>
                <w:sz w:val="40"/>
                <w:szCs w:val="40"/>
              </w:rPr>
              <w:t>F</w:t>
            </w:r>
          </w:p>
        </w:tc>
        <w:tc>
          <w:tcPr>
            <w:tcW w:w="992" w:type="dxa"/>
          </w:tcPr>
          <w:p w14:paraId="1BB23513" w14:textId="77777777" w:rsidR="00BD6E4E" w:rsidRPr="000B6BE3" w:rsidRDefault="00BD6E4E" w:rsidP="00C17F76">
            <w:pPr>
              <w:rPr>
                <w:rFonts w:cstheme="minorHAnsi"/>
              </w:rPr>
            </w:pPr>
            <w:r w:rsidRPr="000B6BE3">
              <w:rPr>
                <w:rFonts w:cstheme="minorHAnsi"/>
                <w:noProof/>
              </w:rPr>
              <w:drawing>
                <wp:inline distT="0" distB="0" distL="0" distR="0" wp14:anchorId="380FDD60" wp14:editId="53AC6C9D">
                  <wp:extent cx="285750" cy="358775"/>
                  <wp:effectExtent l="0" t="0" r="0" b="3175"/>
                  <wp:docPr id="70657" name="Picture 2" descr="toxic-2ss">
                    <a:extLst xmlns:a="http://schemas.openxmlformats.org/drawingml/2006/main">
                      <a:ext uri="{FF2B5EF4-FFF2-40B4-BE49-F238E27FC236}">
                        <a16:creationId xmlns:a16="http://schemas.microsoft.com/office/drawing/2014/main" id="{3F9ECD99-6B86-423E-B502-4DCB47E28FA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22" name="Picture 2" descr="toxic-2ss">
                            <a:extLst>
                              <a:ext uri="{FF2B5EF4-FFF2-40B4-BE49-F238E27FC236}">
                                <a16:creationId xmlns:a16="http://schemas.microsoft.com/office/drawing/2014/main" id="{3F9ECD99-6B86-423E-B502-4DCB47E28FA9}"/>
                              </a:ext>
                            </a:extLst>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85750"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439" w:type="dxa"/>
          </w:tcPr>
          <w:p w14:paraId="1EAAE402" w14:textId="77777777" w:rsidR="00BD6E4E" w:rsidRPr="000B6BE3" w:rsidRDefault="00BD6E4E" w:rsidP="00C17F76">
            <w:pPr>
              <w:rPr>
                <w:rFonts w:cstheme="minorHAnsi"/>
              </w:rPr>
            </w:pPr>
            <w:r w:rsidRPr="000B6BE3">
              <w:rPr>
                <w:rFonts w:cstheme="minorHAnsi"/>
                <w:noProof/>
              </w:rPr>
              <w:drawing>
                <wp:inline distT="0" distB="0" distL="0" distR="0" wp14:anchorId="18CF9A7B" wp14:editId="6F66132F">
                  <wp:extent cx="457200" cy="457200"/>
                  <wp:effectExtent l="0" t="0" r="0" b="0"/>
                  <wp:docPr id="70658" name="Picture 16" descr="C:\Users\LISAN\Pictures\Plantes fourragères\logo invasive plants5_s.jpg">
                    <a:extLst xmlns:a="http://schemas.openxmlformats.org/drawingml/2006/main">
                      <a:ext uri="{FF2B5EF4-FFF2-40B4-BE49-F238E27FC236}">
                        <a16:creationId xmlns:a16="http://schemas.microsoft.com/office/drawing/2014/main" id="{592A1F5B-7F14-4F22-A792-576418DA3E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7" name="Picture 16" descr="C:\Users\LISAN\Pictures\Plantes fourragères\logo invasive plants5_s.jpg">
                            <a:extLst>
                              <a:ext uri="{FF2B5EF4-FFF2-40B4-BE49-F238E27FC236}">
                                <a16:creationId xmlns:a16="http://schemas.microsoft.com/office/drawing/2014/main" id="{592A1F5B-7F14-4F22-A792-576418DA3E6F}"/>
                              </a:ext>
                            </a:extLst>
                          </pic:cNvPr>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68EC51E6" w14:textId="77777777" w:rsidR="00BD6E4E" w:rsidRDefault="00BD6E4E" w:rsidP="00726FE1">
      <w:pPr>
        <w:spacing w:after="0" w:line="240" w:lineRule="auto"/>
      </w:pPr>
    </w:p>
    <w:p w14:paraId="15271D83" w14:textId="165A6357" w:rsidR="0099123D" w:rsidRPr="0099123D" w:rsidRDefault="00000000" w:rsidP="0099123D">
      <w:pPr>
        <w:spacing w:after="0" w:line="240" w:lineRule="auto"/>
        <w:jc w:val="both"/>
      </w:pPr>
      <w:hyperlink r:id="rId2270" w:history="1">
        <w:r w:rsidR="0099123D" w:rsidRPr="0099123D">
          <w:rPr>
            <w:rStyle w:val="Lienhypertexte"/>
          </w:rPr>
          <w:t>Plante herbacée</w:t>
        </w:r>
      </w:hyperlink>
      <w:r w:rsidR="0099123D" w:rsidRPr="0099123D">
        <w:t> assez haute aux fleurs blanches</w:t>
      </w:r>
      <w:r w:rsidR="00FC05CB">
        <w:t xml:space="preserve">, </w:t>
      </w:r>
      <w:r w:rsidR="0099123D" w:rsidRPr="0099123D">
        <w:t>originaire d'Europe et d'Asie. C'est une excellente </w:t>
      </w:r>
      <w:hyperlink r:id="rId2271" w:history="1">
        <w:r w:rsidR="0099123D" w:rsidRPr="0099123D">
          <w:rPr>
            <w:rStyle w:val="Lienhypertexte"/>
          </w:rPr>
          <w:t>plante mellifère</w:t>
        </w:r>
      </w:hyperlink>
      <w:r w:rsidR="0099123D" w:rsidRPr="0099123D">
        <w:t>, atteignant 2 m de hauteur.</w:t>
      </w:r>
    </w:p>
    <w:p w14:paraId="18A3EEED" w14:textId="77777777" w:rsidR="0099123D" w:rsidRPr="0099123D" w:rsidRDefault="0099123D" w:rsidP="0099123D">
      <w:pPr>
        <w:spacing w:after="0" w:line="240" w:lineRule="auto"/>
        <w:jc w:val="both"/>
      </w:pPr>
      <w:r w:rsidRPr="0099123D">
        <w:t>Il a été utilisé en phytothérapie. Il contient du </w:t>
      </w:r>
      <w:hyperlink r:id="rId2272" w:history="1">
        <w:r w:rsidRPr="0099123D">
          <w:rPr>
            <w:rStyle w:val="Lienhypertexte"/>
          </w:rPr>
          <w:t>dicoumarol</w:t>
        </w:r>
      </w:hyperlink>
      <w:r w:rsidRPr="0099123D">
        <w:t>, un </w:t>
      </w:r>
      <w:hyperlink r:id="rId2273" w:history="1">
        <w:r w:rsidRPr="0099123D">
          <w:rPr>
            <w:rStyle w:val="Lienhypertexte"/>
          </w:rPr>
          <w:t>anticoagulant</w:t>
        </w:r>
      </w:hyperlink>
      <w:r w:rsidRPr="0099123D">
        <w:t>. Il a également une forte teneur en sucre.</w:t>
      </w:r>
    </w:p>
    <w:p w14:paraId="6411C6BF" w14:textId="24A1BA61" w:rsidR="0099123D" w:rsidRPr="0099123D" w:rsidRDefault="0099123D" w:rsidP="0099123D">
      <w:pPr>
        <w:spacing w:after="0" w:line="240" w:lineRule="auto"/>
        <w:jc w:val="both"/>
      </w:pPr>
      <w:r w:rsidRPr="0099123D">
        <w:t xml:space="preserve">Il a été introduit en Amérique du Nord au 17e siècle, comme plante </w:t>
      </w:r>
      <w:hyperlink r:id="rId2274" w:history="1">
        <w:r w:rsidRPr="0099123D">
          <w:rPr>
            <w:rStyle w:val="Lienhypertexte"/>
          </w:rPr>
          <w:t>fourragère</w:t>
        </w:r>
      </w:hyperlink>
      <w:r w:rsidRPr="0099123D">
        <w:t xml:space="preserve"> pour les </w:t>
      </w:r>
      <w:hyperlink r:id="rId2275" w:history="1">
        <w:r w:rsidRPr="0099123D">
          <w:rPr>
            <w:rStyle w:val="Lienhypertexte"/>
          </w:rPr>
          <w:t>bovins</w:t>
        </w:r>
      </w:hyperlink>
      <w:r w:rsidRPr="0099123D">
        <w:t xml:space="preserve"> et est maintenant répandu à travers le Canada et les États-Unis, </w:t>
      </w:r>
      <w:r w:rsidRPr="0099123D">
        <w:rPr>
          <w:i/>
          <w:iCs/>
        </w:rPr>
        <w:t>où il est devenu </w:t>
      </w:r>
      <w:hyperlink r:id="rId2276" w:history="1">
        <w:r w:rsidRPr="0099123D">
          <w:rPr>
            <w:rStyle w:val="Lienhypertexte"/>
            <w:i/>
            <w:iCs/>
          </w:rPr>
          <w:t>envahissant</w:t>
        </w:r>
      </w:hyperlink>
      <w:r w:rsidRPr="0099123D">
        <w:rPr>
          <w:i/>
          <w:iCs/>
        </w:rPr>
        <w:t xml:space="preserve">, en particulier dans les zones </w:t>
      </w:r>
      <w:hyperlink r:id="rId2277" w:history="1">
        <w:r w:rsidRPr="0099123D">
          <w:rPr>
            <w:rStyle w:val="Lienhypertexte"/>
            <w:i/>
            <w:iCs/>
          </w:rPr>
          <w:t>riveraines</w:t>
        </w:r>
      </w:hyperlink>
      <w:r w:rsidRPr="0099123D">
        <w:rPr>
          <w:i/>
          <w:iCs/>
        </w:rPr>
        <w:t xml:space="preserve">, et </w:t>
      </w:r>
      <w:r w:rsidRPr="0099123D">
        <w:rPr>
          <w:i/>
          <w:iCs/>
        </w:rPr>
        <w:lastRenderedPageBreak/>
        <w:t>peut supplanter les espèces de plantes indigènes. Aux USA, les mélilots font partie d'une communauté d'espèces exotiques envahissantes</w:t>
      </w:r>
      <w:r w:rsidR="00FC05CB">
        <w:t>.</w:t>
      </w:r>
    </w:p>
    <w:p w14:paraId="190286A0" w14:textId="77777777" w:rsidR="0099123D" w:rsidRPr="0099123D" w:rsidRDefault="0099123D" w:rsidP="0099123D">
      <w:pPr>
        <w:spacing w:after="0" w:line="240" w:lineRule="auto"/>
        <w:jc w:val="both"/>
      </w:pPr>
      <w:r w:rsidRPr="0099123D">
        <w:t>Il est favorisé pour la production de miel et pour sa </w:t>
      </w:r>
      <w:hyperlink r:id="rId2278" w:history="1">
        <w:r w:rsidRPr="0099123D">
          <w:rPr>
            <w:rStyle w:val="Lienhypertexte"/>
          </w:rPr>
          <w:t>capacité à fixer l'azote</w:t>
        </w:r>
      </w:hyperlink>
      <w:r w:rsidRPr="0099123D">
        <w:t> dans la préparation des sols agricoles.</w:t>
      </w:r>
    </w:p>
    <w:p w14:paraId="10F3578F" w14:textId="77777777" w:rsidR="0099123D" w:rsidRPr="0099123D" w:rsidRDefault="0099123D" w:rsidP="0099123D">
      <w:pPr>
        <w:spacing w:after="0" w:line="240" w:lineRule="auto"/>
        <w:jc w:val="both"/>
      </w:pPr>
      <w:r w:rsidRPr="0099123D">
        <w:t>Il produit des quantités abondantes de graines qui flottent facilement et se dispersent dans l'eau.</w:t>
      </w:r>
    </w:p>
    <w:p w14:paraId="6272BB99" w14:textId="77777777" w:rsidR="0099123D" w:rsidRPr="0099123D" w:rsidRDefault="0099123D" w:rsidP="0099123D">
      <w:pPr>
        <w:spacing w:after="0" w:line="240" w:lineRule="auto"/>
        <w:jc w:val="both"/>
      </w:pPr>
      <w:r w:rsidRPr="0099123D">
        <w:t xml:space="preserve">Un cultivar </w:t>
      </w:r>
      <w:r w:rsidRPr="0099123D">
        <w:rPr>
          <w:lang w:val="fi-FI"/>
        </w:rPr>
        <w:t>mélilot annuel </w:t>
      </w:r>
      <w:r w:rsidRPr="0099123D">
        <w:rPr>
          <w:i/>
          <w:iCs/>
          <w:lang w:val="fi-FI"/>
        </w:rPr>
        <w:t>(Melilotus albus</w:t>
      </w:r>
      <w:r w:rsidRPr="0099123D">
        <w:rPr>
          <w:lang w:val="fi-FI"/>
        </w:rPr>
        <w:t xml:space="preserve"> Medik.) nommé "Jota" a été mis au point en Australie. </w:t>
      </w:r>
      <w:r w:rsidRPr="0099123D">
        <w:t xml:space="preserve">Il est destiné aux sols neutres à alcalins où il peut être utilisé comme un légume d'accompagnement pour le blé ou comme </w:t>
      </w:r>
      <w:r w:rsidRPr="0099123D">
        <w:rPr>
          <w:i/>
          <w:iCs/>
        </w:rPr>
        <w:t>fourrage</w:t>
      </w:r>
      <w:r w:rsidRPr="0099123D">
        <w:t xml:space="preserve"> pour les moutons. </w:t>
      </w:r>
      <w:r w:rsidRPr="0099123D">
        <w:rPr>
          <w:i/>
          <w:iCs/>
        </w:rPr>
        <w:t>La zone cible doit être des sols salins</w:t>
      </w:r>
      <w:r w:rsidRPr="0099123D">
        <w:t xml:space="preserve"> qui reçoivent plus de 500 mm de précipitations annuelles et ont un pH de 6 ou plus.</w:t>
      </w:r>
    </w:p>
    <w:p w14:paraId="6693D4B1" w14:textId="2F9D3D42" w:rsidR="0099123D" w:rsidRPr="0099123D" w:rsidRDefault="0099123D" w:rsidP="0099123D">
      <w:pPr>
        <w:spacing w:after="0" w:line="240" w:lineRule="auto"/>
        <w:jc w:val="both"/>
      </w:pPr>
      <w:r w:rsidRPr="0099123D">
        <w:rPr>
          <w:i/>
          <w:iCs/>
        </w:rPr>
        <w:t>M.</w:t>
      </w:r>
      <w:r w:rsidRPr="0099123D">
        <w:t> </w:t>
      </w:r>
      <w:r w:rsidRPr="0099123D">
        <w:rPr>
          <w:i/>
          <w:iCs/>
        </w:rPr>
        <w:t>officinalis</w:t>
      </w:r>
      <w:r w:rsidRPr="0099123D">
        <w:t xml:space="preserve"> est apparemment </w:t>
      </w:r>
      <w:r w:rsidRPr="0099123D">
        <w:rPr>
          <w:i/>
          <w:iCs/>
        </w:rPr>
        <w:t>plus tolérant au sel</w:t>
      </w:r>
      <w:r w:rsidRPr="0099123D">
        <w:rPr>
          <w:b/>
          <w:bCs/>
        </w:rPr>
        <w:t xml:space="preserve"> </w:t>
      </w:r>
      <w:r w:rsidRPr="0099123D">
        <w:t>que </w:t>
      </w:r>
      <w:r w:rsidRPr="0099123D">
        <w:rPr>
          <w:i/>
          <w:iCs/>
        </w:rPr>
        <w:t>M.</w:t>
      </w:r>
      <w:r w:rsidRPr="0099123D">
        <w:t> </w:t>
      </w:r>
      <w:r w:rsidRPr="0099123D">
        <w:rPr>
          <w:i/>
          <w:iCs/>
        </w:rPr>
        <w:t>alba</w:t>
      </w:r>
      <w:r w:rsidRPr="0099123D">
        <w:t>, bien qu</w:t>
      </w:r>
      <w:r w:rsidR="00BA562B">
        <w:t>e les deux</w:t>
      </w:r>
      <w:r w:rsidRPr="0099123D">
        <w:t xml:space="preserve"> peuvent pousser sur des sols très alcalins.</w:t>
      </w:r>
    </w:p>
    <w:p w14:paraId="50536AA8" w14:textId="77777777" w:rsidR="0099123D" w:rsidRPr="0099123D" w:rsidRDefault="0099123D" w:rsidP="0099123D">
      <w:pPr>
        <w:spacing w:after="0" w:line="240" w:lineRule="auto"/>
        <w:rPr>
          <w:lang w:val="en-GB"/>
        </w:rPr>
      </w:pPr>
      <w:r w:rsidRPr="0099123D">
        <w:rPr>
          <w:lang w:val="en-GB"/>
        </w:rPr>
        <w:t xml:space="preserve">Sources : a) </w:t>
      </w:r>
      <w:hyperlink r:id="rId2279" w:history="1">
        <w:r w:rsidRPr="0099123D">
          <w:rPr>
            <w:rStyle w:val="Lienhypertexte"/>
            <w:lang w:val="en-GB"/>
          </w:rPr>
          <w:t>http://fr.wikipedia.org/wiki/M%C3%A9lilot_blanc</w:t>
        </w:r>
      </w:hyperlink>
      <w:r w:rsidRPr="0099123D">
        <w:rPr>
          <w:lang w:val="en-GB"/>
        </w:rPr>
        <w:t xml:space="preserve">, b) </w:t>
      </w:r>
      <w:hyperlink r:id="rId2280" w:history="1">
        <w:r w:rsidRPr="0099123D">
          <w:rPr>
            <w:rStyle w:val="Lienhypertexte"/>
            <w:lang w:val="en-GB"/>
          </w:rPr>
          <w:t>http://en.wikipedia.org/wiki/Melilotus_albus</w:t>
        </w:r>
      </w:hyperlink>
    </w:p>
    <w:p w14:paraId="2B2F9F80" w14:textId="77777777" w:rsidR="0099123D" w:rsidRPr="0099123D" w:rsidRDefault="0099123D" w:rsidP="0099123D">
      <w:pPr>
        <w:spacing w:after="0" w:line="240" w:lineRule="auto"/>
        <w:rPr>
          <w:lang w:val="en-GB"/>
        </w:rPr>
      </w:pPr>
      <w:r w:rsidRPr="0099123D">
        <w:rPr>
          <w:lang w:val="en-GB"/>
        </w:rPr>
        <w:t xml:space="preserve">c) </w:t>
      </w:r>
      <w:r w:rsidRPr="0099123D">
        <w:rPr>
          <w:lang w:val="en-US"/>
        </w:rPr>
        <w:t>“</w:t>
      </w:r>
      <w:r w:rsidRPr="0099123D">
        <w:rPr>
          <w:i/>
          <w:iCs/>
          <w:lang w:val="en-US"/>
        </w:rPr>
        <w:t>Jota” annual sweet clover</w:t>
      </w:r>
      <w:r w:rsidRPr="0099123D">
        <w:rPr>
          <w:lang w:val="en-US"/>
        </w:rPr>
        <w:t xml:space="preserve"> (</w:t>
      </w:r>
      <w:r w:rsidRPr="0099123D">
        <w:rPr>
          <w:i/>
          <w:iCs/>
          <w:lang w:val="en-US"/>
        </w:rPr>
        <w:t>Melilotus albus</w:t>
      </w:r>
      <w:r w:rsidRPr="0099123D">
        <w:rPr>
          <w:lang w:val="en-US"/>
        </w:rPr>
        <w:t xml:space="preserve"> Medik.): </w:t>
      </w:r>
      <w:r w:rsidRPr="0099123D">
        <w:rPr>
          <w:i/>
          <w:iCs/>
          <w:lang w:val="en-US"/>
        </w:rPr>
        <w:t>a new salt tolerant legume for the high rainfall zone of southern Australia</w:t>
      </w:r>
      <w:r w:rsidRPr="0099123D">
        <w:rPr>
          <w:lang w:val="en-US"/>
        </w:rPr>
        <w:t xml:space="preserve">, Pedro Evans &amp; AN Thompson, 2006, </w:t>
      </w:r>
      <w:hyperlink r:id="rId2281" w:history="1">
        <w:r w:rsidRPr="0099123D">
          <w:rPr>
            <w:rStyle w:val="Lienhypertexte"/>
            <w:lang w:val="en-US"/>
          </w:rPr>
          <w:t>http://www.regional.org.au/au/asa/2006/poster/soil/4423_evansp.htm</w:t>
        </w:r>
      </w:hyperlink>
      <w:r w:rsidRPr="0099123D">
        <w:rPr>
          <w:lang w:val="en-US"/>
        </w:rPr>
        <w:t>,</w:t>
      </w:r>
    </w:p>
    <w:p w14:paraId="5D06BDA0" w14:textId="77777777" w:rsidR="0099123D" w:rsidRPr="0099123D" w:rsidRDefault="0099123D" w:rsidP="0099123D">
      <w:pPr>
        <w:spacing w:after="0" w:line="240" w:lineRule="auto"/>
        <w:rPr>
          <w:lang w:val="en-GB"/>
        </w:rPr>
      </w:pPr>
      <w:r w:rsidRPr="0099123D">
        <w:rPr>
          <w:lang w:val="en-US"/>
        </w:rPr>
        <w:t xml:space="preserve">d) </w:t>
      </w:r>
      <w:hyperlink r:id="rId2282" w:history="1">
        <w:r w:rsidRPr="0099123D">
          <w:rPr>
            <w:rStyle w:val="Lienhypertexte"/>
            <w:lang w:val="en-US"/>
          </w:rPr>
          <w:t>http://wiki.bugwood.org/Melilotus_officinalis</w:t>
        </w:r>
      </w:hyperlink>
      <w:r w:rsidRPr="0099123D">
        <w:rPr>
          <w:lang w:val="en-US"/>
        </w:rPr>
        <w:t xml:space="preserve">  </w:t>
      </w:r>
    </w:p>
    <w:p w14:paraId="34D7303F" w14:textId="0C13AE8E" w:rsidR="0099123D" w:rsidRDefault="0099123D" w:rsidP="00726FE1">
      <w:pPr>
        <w:spacing w:after="0" w:line="240" w:lineRule="auto"/>
        <w:rPr>
          <w:lang w:val="en-G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38"/>
        <w:gridCol w:w="2742"/>
        <w:gridCol w:w="4446"/>
      </w:tblGrid>
      <w:tr w:rsidR="00BA562B" w14:paraId="73EA282E" w14:textId="77777777" w:rsidTr="001F3581">
        <w:tc>
          <w:tcPr>
            <w:tcW w:w="3472" w:type="dxa"/>
          </w:tcPr>
          <w:p w14:paraId="3B903205" w14:textId="13A915A1" w:rsidR="00BA562B" w:rsidRDefault="00BA562B" w:rsidP="00BA562B">
            <w:pPr>
              <w:jc w:val="center"/>
              <w:rPr>
                <w:lang w:val="en-GB"/>
              </w:rPr>
            </w:pPr>
            <w:r w:rsidRPr="00BA562B">
              <w:rPr>
                <w:noProof/>
              </w:rPr>
              <w:drawing>
                <wp:inline distT="0" distB="0" distL="0" distR="0" wp14:anchorId="58AF7CC1" wp14:editId="5F51EBF3">
                  <wp:extent cx="1911350" cy="2322513"/>
                  <wp:effectExtent l="0" t="0" r="0" b="1905"/>
                  <wp:docPr id="76808" name="Picture 7" descr="C:\Users\LISAN\Pictures\plantes-halophytes-xerophiles\Melilotus alb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08" name="Picture 7" descr="C:\Users\LISAN\Pictures\plantes-halophytes-xerophiles\Melilotus albus.jpg"/>
                          <pic:cNvPicPr>
                            <a:picLocks noChangeAspect="1" noChangeArrowheads="1"/>
                          </pic:cNvPicPr>
                        </pic:nvPicPr>
                        <pic:blipFill>
                          <a:blip r:embed="rId2283">
                            <a:extLst>
                              <a:ext uri="{28A0092B-C50C-407E-A947-70E740481C1C}">
                                <a14:useLocalDpi xmlns:a14="http://schemas.microsoft.com/office/drawing/2010/main" val="0"/>
                              </a:ext>
                            </a:extLst>
                          </a:blip>
                          <a:srcRect/>
                          <a:stretch>
                            <a:fillRect/>
                          </a:stretch>
                        </pic:blipFill>
                        <pic:spPr bwMode="auto">
                          <a:xfrm>
                            <a:off x="0" y="0"/>
                            <a:ext cx="1911350" cy="23225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25DBB86B" w14:textId="6AD4B051" w:rsidR="00BA562B" w:rsidRDefault="00BA562B" w:rsidP="00BA562B">
            <w:pPr>
              <w:jc w:val="center"/>
              <w:rPr>
                <w:lang w:val="en-GB"/>
              </w:rPr>
            </w:pPr>
            <w:r w:rsidRPr="00BA562B">
              <w:rPr>
                <w:noProof/>
              </w:rPr>
              <w:drawing>
                <wp:inline distT="0" distB="0" distL="0" distR="0" wp14:anchorId="7C7CFCB2" wp14:editId="6BEBAAD3">
                  <wp:extent cx="1578636" cy="2209800"/>
                  <wp:effectExtent l="0" t="0" r="2540" b="0"/>
                  <wp:docPr id="76809" name="Picture 9" descr="C:\Users\LISAN\Pictures\plantes-halophytes-xerophiles\Melilotus_alba_bgiu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09" name="Picture 9" descr="C:\Users\LISAN\Pictures\plantes-halophytes-xerophiles\Melilotus_alba_bgiu_s.jpg"/>
                          <pic:cNvPicPr>
                            <a:picLocks noChangeAspect="1" noChangeArrowheads="1"/>
                          </pic:cNvPicPr>
                        </pic:nvPicPr>
                        <pic:blipFill>
                          <a:blip r:embed="rId2284">
                            <a:extLst>
                              <a:ext uri="{28A0092B-C50C-407E-A947-70E740481C1C}">
                                <a14:useLocalDpi xmlns:a14="http://schemas.microsoft.com/office/drawing/2010/main" val="0"/>
                              </a:ext>
                            </a:extLst>
                          </a:blip>
                          <a:srcRect/>
                          <a:stretch>
                            <a:fillRect/>
                          </a:stretch>
                        </pic:blipFill>
                        <pic:spPr bwMode="auto">
                          <a:xfrm>
                            <a:off x="0" y="0"/>
                            <a:ext cx="1583041" cy="2215966"/>
                          </a:xfrm>
                          <a:prstGeom prst="rect">
                            <a:avLst/>
                          </a:prstGeom>
                          <a:noFill/>
                          <a:ln>
                            <a:noFill/>
                          </a:ln>
                        </pic:spPr>
                      </pic:pic>
                    </a:graphicData>
                  </a:graphic>
                </wp:inline>
              </w:drawing>
            </w:r>
          </w:p>
        </w:tc>
        <w:tc>
          <w:tcPr>
            <w:tcW w:w="3472" w:type="dxa"/>
          </w:tcPr>
          <w:p w14:paraId="2A1F2270" w14:textId="77777777" w:rsidR="00BA562B" w:rsidRDefault="001F3581" w:rsidP="00BA562B">
            <w:pPr>
              <w:jc w:val="center"/>
              <w:rPr>
                <w:lang w:val="en-GB"/>
              </w:rPr>
            </w:pPr>
            <w:r>
              <w:rPr>
                <w:noProof/>
              </w:rPr>
              <w:drawing>
                <wp:inline distT="0" distB="0" distL="0" distR="0" wp14:anchorId="4C1141FD" wp14:editId="5DC1A7CE">
                  <wp:extent cx="2678906" cy="2143125"/>
                  <wp:effectExtent l="0" t="0" r="7620" b="0"/>
                  <wp:docPr id="70659" name="Image 70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85">
                            <a:extLst>
                              <a:ext uri="{28A0092B-C50C-407E-A947-70E740481C1C}">
                                <a14:useLocalDpi xmlns:a14="http://schemas.microsoft.com/office/drawing/2010/main" val="0"/>
                              </a:ext>
                            </a:extLst>
                          </a:blip>
                          <a:srcRect/>
                          <a:stretch>
                            <a:fillRect/>
                          </a:stretch>
                        </pic:blipFill>
                        <pic:spPr bwMode="auto">
                          <a:xfrm>
                            <a:off x="0" y="0"/>
                            <a:ext cx="2679697" cy="2143758"/>
                          </a:xfrm>
                          <a:prstGeom prst="rect">
                            <a:avLst/>
                          </a:prstGeom>
                          <a:noFill/>
                          <a:ln>
                            <a:noFill/>
                          </a:ln>
                        </pic:spPr>
                      </pic:pic>
                    </a:graphicData>
                  </a:graphic>
                </wp:inline>
              </w:drawing>
            </w:r>
          </w:p>
          <w:p w14:paraId="793EA919" w14:textId="498B98B0" w:rsidR="001F3581" w:rsidRDefault="001F3581" w:rsidP="00BA562B">
            <w:pPr>
              <w:jc w:val="center"/>
              <w:rPr>
                <w:lang w:val="en-GB"/>
              </w:rPr>
            </w:pPr>
            <w:r w:rsidRPr="001F3581">
              <w:rPr>
                <w:lang w:val="en-GB"/>
              </w:rPr>
              <w:t>Mélilot blanc, aspect général.</w:t>
            </w:r>
          </w:p>
        </w:tc>
      </w:tr>
    </w:tbl>
    <w:p w14:paraId="1948D944" w14:textId="77777777" w:rsidR="0099123D" w:rsidRDefault="0099123D" w:rsidP="00576232">
      <w:pPr>
        <w:spacing w:after="0" w:line="240" w:lineRule="auto"/>
        <w:rPr>
          <w:lang w:val="en-GB"/>
        </w:rPr>
      </w:pPr>
    </w:p>
    <w:p w14:paraId="0EA5B9C0" w14:textId="6FA0F45E" w:rsidR="001F3581" w:rsidRDefault="00A0500C" w:rsidP="00D87D3F">
      <w:pPr>
        <w:pStyle w:val="Titre2"/>
        <w:rPr>
          <w:lang w:val="en-GB"/>
        </w:rPr>
      </w:pPr>
      <w:bookmarkStart w:id="192" w:name="_Toc139181483"/>
      <w:r w:rsidRPr="00A0500C">
        <w:rPr>
          <w:lang w:val="en-GB"/>
        </w:rPr>
        <w:t>Mélilot jaune (</w:t>
      </w:r>
      <w:r w:rsidRPr="00D87D3F">
        <w:rPr>
          <w:i/>
          <w:iCs/>
          <w:lang w:val="en-GB"/>
        </w:rPr>
        <w:t>Melilotus indicus</w:t>
      </w:r>
      <w:r w:rsidRPr="00A0500C">
        <w:rPr>
          <w:lang w:val="en-GB"/>
        </w:rPr>
        <w:t>)</w:t>
      </w:r>
      <w:bookmarkEnd w:id="192"/>
    </w:p>
    <w:p w14:paraId="40BEDDD3" w14:textId="604A5DEF" w:rsidR="00A0500C" w:rsidRDefault="00A0500C" w:rsidP="001F3581">
      <w:pPr>
        <w:spacing w:after="0" w:line="240" w:lineRule="auto"/>
        <w:rPr>
          <w:lang w:val="en-G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6"/>
        <w:gridCol w:w="2187"/>
        <w:gridCol w:w="1086"/>
        <w:gridCol w:w="971"/>
        <w:gridCol w:w="1406"/>
      </w:tblGrid>
      <w:tr w:rsidR="00A0500C" w:rsidRPr="000B6BE3" w14:paraId="4C22B773" w14:textId="77777777" w:rsidTr="00C17F76">
        <w:tc>
          <w:tcPr>
            <w:tcW w:w="4957" w:type="dxa"/>
          </w:tcPr>
          <w:p w14:paraId="0B91E857" w14:textId="77777777" w:rsidR="00A0500C" w:rsidRPr="000B6BE3" w:rsidRDefault="00A0500C" w:rsidP="00C17F76">
            <w:pPr>
              <w:rPr>
                <w:rFonts w:cstheme="minorHAnsi"/>
                <w:bCs/>
              </w:rPr>
            </w:pPr>
            <w:r w:rsidRPr="000B6BE3">
              <w:rPr>
                <w:rFonts w:cstheme="minorHAnsi"/>
                <w:bCs/>
              </w:rPr>
              <w:t>(</w:t>
            </w:r>
            <w:hyperlink r:id="rId2286" w:history="1">
              <w:r w:rsidRPr="000B6BE3">
                <w:rPr>
                  <w:rFonts w:cstheme="minorHAnsi"/>
                </w:rPr>
                <w:t>F</w:t>
              </w:r>
              <w:r w:rsidRPr="000B6BE3">
                <w:rPr>
                  <w:rStyle w:val="Lienhypertexte"/>
                  <w:rFonts w:cstheme="minorHAnsi"/>
                  <w:color w:val="0B0080"/>
                  <w:shd w:val="clear" w:color="auto" w:fill="FFFFFF"/>
                </w:rPr>
                <w:t>amille</w:t>
              </w:r>
            </w:hyperlink>
            <w:r w:rsidRPr="000B6BE3">
              <w:rPr>
                <w:rFonts w:cstheme="minorHAnsi"/>
                <w:color w:val="222222"/>
                <w:shd w:val="clear" w:color="auto" w:fill="FFFFFF"/>
              </w:rPr>
              <w:t> </w:t>
            </w:r>
            <w:r w:rsidRPr="00FC05CB">
              <w:rPr>
                <w:rFonts w:cstheme="minorHAnsi"/>
                <w:color w:val="000000" w:themeColor="text1"/>
                <w:shd w:val="clear" w:color="auto" w:fill="FFFFFF"/>
              </w:rPr>
              <w:t>des </w:t>
            </w:r>
            <w:hyperlink r:id="rId2287" w:tooltip="Fabaceae" w:history="1">
              <w:r w:rsidRPr="000B6BE3">
                <w:rPr>
                  <w:rStyle w:val="Lienhypertexte"/>
                  <w:rFonts w:cstheme="minorHAnsi"/>
                  <w:i/>
                  <w:iCs/>
                  <w:color w:val="0B0080"/>
                  <w:shd w:val="clear" w:color="auto" w:fill="FFFFFF"/>
                </w:rPr>
                <w:t>Fabaceae</w:t>
              </w:r>
            </w:hyperlink>
            <w:r>
              <w:rPr>
                <w:rFonts w:cstheme="minorHAnsi"/>
                <w:bCs/>
              </w:rPr>
              <w:t xml:space="preserve"> </w:t>
            </w:r>
            <w:r w:rsidRPr="00FC05CB">
              <w:rPr>
                <w:rFonts w:cstheme="minorHAnsi"/>
                <w:bCs/>
                <w:color w:val="000000" w:themeColor="text1"/>
              </w:rPr>
              <w:t xml:space="preserve">ou </w:t>
            </w:r>
            <w:hyperlink r:id="rId2288" w:history="1">
              <w:r w:rsidRPr="0099123D">
                <w:rPr>
                  <w:rStyle w:val="Lienhypertexte"/>
                  <w:i/>
                  <w:iCs/>
                </w:rPr>
                <w:t>Fabacées</w:t>
              </w:r>
            </w:hyperlink>
            <w:r w:rsidRPr="00FC05CB">
              <w:rPr>
                <w:rFonts w:cstheme="minorHAnsi"/>
                <w:bCs/>
                <w:color w:val="000000" w:themeColor="text1"/>
              </w:rPr>
              <w:t>).</w:t>
            </w:r>
          </w:p>
          <w:p w14:paraId="778B0707" w14:textId="77777777" w:rsidR="00A0500C" w:rsidRPr="000B6BE3" w:rsidRDefault="00A0500C" w:rsidP="00C17F76">
            <w:pPr>
              <w:rPr>
                <w:rFonts w:cstheme="minorHAnsi"/>
                <w:bCs/>
              </w:rPr>
            </w:pPr>
          </w:p>
          <w:p w14:paraId="2B999BEF" w14:textId="77777777" w:rsidR="00A0500C" w:rsidRPr="000B6BE3" w:rsidRDefault="00A0500C" w:rsidP="00C17F76">
            <w:pPr>
              <w:rPr>
                <w:rFonts w:cstheme="minorHAnsi"/>
              </w:rPr>
            </w:pPr>
          </w:p>
        </w:tc>
        <w:tc>
          <w:tcPr>
            <w:tcW w:w="2268" w:type="dxa"/>
          </w:tcPr>
          <w:p w14:paraId="3EFFE8E1" w14:textId="77777777" w:rsidR="00A0500C" w:rsidRPr="000B6BE3" w:rsidRDefault="00A0500C" w:rsidP="00C17F76">
            <w:pPr>
              <w:rPr>
                <w:rFonts w:cstheme="minorHAnsi"/>
              </w:rPr>
            </w:pPr>
            <w:r w:rsidRPr="00FC05CB">
              <w:rPr>
                <w:rFonts w:cstheme="minorHAnsi"/>
                <w:noProof/>
              </w:rPr>
              <w:drawing>
                <wp:inline distT="0" distB="0" distL="0" distR="0" wp14:anchorId="6AE4A6F1" wp14:editId="60E56888">
                  <wp:extent cx="514350" cy="733425"/>
                  <wp:effectExtent l="0" t="0" r="0" b="9525"/>
                  <wp:docPr id="70660" name="Image 11"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13" name="Image 11" descr="logo salinisation2_s.jpg"/>
                          <pic:cNvPicPr>
                            <a:picLocks noChangeAspect="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14350" cy="733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134" w:type="dxa"/>
          </w:tcPr>
          <w:p w14:paraId="7A95DD65" w14:textId="1BEFAD5E" w:rsidR="00A0500C" w:rsidRDefault="00A0500C" w:rsidP="00C17F76">
            <w:pPr>
              <w:textAlignment w:val="baseline"/>
              <w:rPr>
                <w:rFonts w:eastAsia="+mn-ea" w:cstheme="minorHAnsi"/>
                <w:b/>
                <w:bCs/>
                <w:color w:val="008000"/>
                <w:kern w:val="24"/>
              </w:rPr>
            </w:pPr>
            <w:r w:rsidRPr="000B6BE3">
              <w:rPr>
                <w:rFonts w:eastAsia="+mn-ea" w:cstheme="minorHAnsi"/>
                <w:b/>
                <w:bCs/>
                <w:color w:val="008000"/>
                <w:kern w:val="24"/>
              </w:rPr>
              <w:t>↗</w:t>
            </w:r>
          </w:p>
          <w:p w14:paraId="625B6DD7" w14:textId="77777777" w:rsidR="00A0500C" w:rsidRDefault="00A0500C" w:rsidP="00C17F76">
            <w:pPr>
              <w:textAlignment w:val="baseline"/>
              <w:rPr>
                <w:rFonts w:eastAsia="+mn-ea" w:cstheme="minorHAnsi"/>
                <w:b/>
                <w:bCs/>
                <w:color w:val="008000"/>
                <w:kern w:val="24"/>
              </w:rPr>
            </w:pPr>
          </w:p>
          <w:p w14:paraId="6891BE93" w14:textId="77777777" w:rsidR="00A0500C" w:rsidRPr="00A0500C" w:rsidRDefault="00A0500C" w:rsidP="00C17F76">
            <w:pPr>
              <w:textAlignment w:val="baseline"/>
              <w:rPr>
                <w:rFonts w:cstheme="minorHAnsi"/>
                <w:sz w:val="40"/>
                <w:szCs w:val="40"/>
              </w:rPr>
            </w:pPr>
            <w:r w:rsidRPr="00A0500C">
              <w:rPr>
                <w:rFonts w:eastAsia="+mn-ea" w:cstheme="minorHAnsi"/>
                <w:b/>
                <w:bCs/>
                <w:color w:val="008000"/>
                <w:kern w:val="24"/>
                <w:sz w:val="40"/>
                <w:szCs w:val="40"/>
              </w:rPr>
              <w:t>F</w:t>
            </w:r>
          </w:p>
        </w:tc>
        <w:tc>
          <w:tcPr>
            <w:tcW w:w="992" w:type="dxa"/>
          </w:tcPr>
          <w:p w14:paraId="3A48F5B4" w14:textId="77777777" w:rsidR="00A0500C" w:rsidRPr="000B6BE3" w:rsidRDefault="00A0500C" w:rsidP="00C17F76">
            <w:pPr>
              <w:rPr>
                <w:rFonts w:cstheme="minorHAnsi"/>
              </w:rPr>
            </w:pPr>
            <w:r w:rsidRPr="000B6BE3">
              <w:rPr>
                <w:rFonts w:cstheme="minorHAnsi"/>
                <w:noProof/>
              </w:rPr>
              <w:drawing>
                <wp:inline distT="0" distB="0" distL="0" distR="0" wp14:anchorId="5BE80258" wp14:editId="6EAEDB1C">
                  <wp:extent cx="285750" cy="358775"/>
                  <wp:effectExtent l="0" t="0" r="0" b="3175"/>
                  <wp:docPr id="70661" name="Picture 2" descr="toxic-2ss">
                    <a:extLst xmlns:a="http://schemas.openxmlformats.org/drawingml/2006/main">
                      <a:ext uri="{FF2B5EF4-FFF2-40B4-BE49-F238E27FC236}">
                        <a16:creationId xmlns:a16="http://schemas.microsoft.com/office/drawing/2014/main" id="{3F9ECD99-6B86-423E-B502-4DCB47E28FA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22" name="Picture 2" descr="toxic-2ss">
                            <a:extLst>
                              <a:ext uri="{FF2B5EF4-FFF2-40B4-BE49-F238E27FC236}">
                                <a16:creationId xmlns:a16="http://schemas.microsoft.com/office/drawing/2014/main" id="{3F9ECD99-6B86-423E-B502-4DCB47E28FA9}"/>
                              </a:ext>
                            </a:extLst>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85750"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439" w:type="dxa"/>
          </w:tcPr>
          <w:p w14:paraId="1C06CE3D" w14:textId="77777777" w:rsidR="00A0500C" w:rsidRPr="000B6BE3" w:rsidRDefault="00A0500C" w:rsidP="00C17F76">
            <w:pPr>
              <w:rPr>
                <w:rFonts w:cstheme="minorHAnsi"/>
              </w:rPr>
            </w:pPr>
            <w:r w:rsidRPr="000B6BE3">
              <w:rPr>
                <w:rFonts w:cstheme="minorHAnsi"/>
                <w:noProof/>
              </w:rPr>
              <w:drawing>
                <wp:inline distT="0" distB="0" distL="0" distR="0" wp14:anchorId="4518A5A7" wp14:editId="5D97C179">
                  <wp:extent cx="457200" cy="457200"/>
                  <wp:effectExtent l="0" t="0" r="0" b="0"/>
                  <wp:docPr id="70663" name="Picture 16" descr="C:\Users\LISAN\Pictures\Plantes fourragères\logo invasive plants5_s.jpg">
                    <a:extLst xmlns:a="http://schemas.openxmlformats.org/drawingml/2006/main">
                      <a:ext uri="{FF2B5EF4-FFF2-40B4-BE49-F238E27FC236}">
                        <a16:creationId xmlns:a16="http://schemas.microsoft.com/office/drawing/2014/main" id="{592A1F5B-7F14-4F22-A792-576418DA3E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7" name="Picture 16" descr="C:\Users\LISAN\Pictures\Plantes fourragères\logo invasive plants5_s.jpg">
                            <a:extLst>
                              <a:ext uri="{FF2B5EF4-FFF2-40B4-BE49-F238E27FC236}">
                                <a16:creationId xmlns:a16="http://schemas.microsoft.com/office/drawing/2014/main" id="{592A1F5B-7F14-4F22-A792-576418DA3E6F}"/>
                              </a:ext>
                            </a:extLst>
                          </pic:cNvPr>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200272EB" w14:textId="163BBC72" w:rsidR="00A0500C" w:rsidRDefault="00A0500C" w:rsidP="00A0500C">
      <w:pPr>
        <w:spacing w:after="0" w:line="240" w:lineRule="auto"/>
        <w:jc w:val="both"/>
        <w:rPr>
          <w:lang w:val="en-GB"/>
        </w:rPr>
      </w:pPr>
    </w:p>
    <w:p w14:paraId="093A0FC9" w14:textId="355D9EDE" w:rsidR="00A0500C" w:rsidRPr="00A0500C" w:rsidRDefault="00000000" w:rsidP="00A0500C">
      <w:pPr>
        <w:spacing w:after="0" w:line="240" w:lineRule="auto"/>
        <w:jc w:val="both"/>
      </w:pPr>
      <w:hyperlink r:id="rId2289" w:history="1">
        <w:r w:rsidR="00A0500C" w:rsidRPr="00A0500C">
          <w:rPr>
            <w:rStyle w:val="Lienhypertexte"/>
          </w:rPr>
          <w:t>Plante herbacée</w:t>
        </w:r>
      </w:hyperlink>
      <w:r w:rsidR="00A0500C" w:rsidRPr="00A0500C">
        <w:t xml:space="preserve"> assez haute aux fleurs jaunes, originaire d'Europe et d'Asie. </w:t>
      </w:r>
    </w:p>
    <w:p w14:paraId="137C3696" w14:textId="34F0ED87" w:rsidR="00A0500C" w:rsidRPr="00A0500C" w:rsidRDefault="00A0500C" w:rsidP="00A0500C">
      <w:pPr>
        <w:spacing w:after="0" w:line="240" w:lineRule="auto"/>
        <w:jc w:val="both"/>
      </w:pPr>
      <w:r w:rsidRPr="00A0500C">
        <w:t>Le mélilot jaune est une plante annuelle ou bisannuelle de 10 à 50 centimètres de hauteur (rarement un mètre), avec des fleurs jaune</w:t>
      </w:r>
      <w:r>
        <w:t>s</w:t>
      </w:r>
      <w:r w:rsidRPr="00A0500C">
        <w:t>. On le trouve dans les jardins, les bords de routes, les champs, les lieux incultes, les lieux perturbés, les marais salants côtiers, les zones humides d'eau douce, les habitats riverains et les champs cultivés.</w:t>
      </w:r>
    </w:p>
    <w:p w14:paraId="1F46E48C" w14:textId="1FFDE36B" w:rsidR="00A0500C" w:rsidRPr="00A0500C" w:rsidRDefault="00A0500C" w:rsidP="00A0500C">
      <w:pPr>
        <w:spacing w:after="0" w:line="240" w:lineRule="auto"/>
        <w:jc w:val="both"/>
      </w:pPr>
      <w:r w:rsidRPr="00A0500C">
        <w:t>Il a une aire de répartition naturelle large, allant de </w:t>
      </w:r>
      <w:hyperlink r:id="rId2290" w:history="1">
        <w:r w:rsidRPr="00A0500C">
          <w:rPr>
            <w:rStyle w:val="Lienhypertexte"/>
          </w:rPr>
          <w:t>la Macaronésie</w:t>
        </w:r>
      </w:hyperlink>
      <w:r w:rsidRPr="00A0500C">
        <w:t> et le nord de </w:t>
      </w:r>
      <w:hyperlink r:id="rId2291" w:history="1">
        <w:r w:rsidRPr="00A0500C">
          <w:rPr>
            <w:rStyle w:val="Lienhypertexte"/>
          </w:rPr>
          <w:t>l'Afrique</w:t>
        </w:r>
      </w:hyperlink>
      <w:r w:rsidRPr="00A0500C">
        <w:t> , à travers l'Europe, et en Asie tempérée et tropicale. Elle est naturalisée dans la plupart du reste du monde, y compris le </w:t>
      </w:r>
      <w:hyperlink r:id="rId2292" w:history="1">
        <w:r w:rsidRPr="00A0500C">
          <w:rPr>
            <w:rStyle w:val="Lienhypertexte"/>
          </w:rPr>
          <w:t>Royaume-Uni</w:t>
        </w:r>
      </w:hyperlink>
      <w:r w:rsidRPr="00A0500C">
        <w:t>, le </w:t>
      </w:r>
      <w:hyperlink r:id="rId2293" w:history="1">
        <w:r w:rsidRPr="00A0500C">
          <w:rPr>
            <w:rStyle w:val="Lienhypertexte"/>
          </w:rPr>
          <w:t>Etats-Unis</w:t>
        </w:r>
      </w:hyperlink>
      <w:r w:rsidRPr="00A0500C">
        <w:t>, </w:t>
      </w:r>
      <w:hyperlink r:id="rId2294" w:history="1">
        <w:r w:rsidRPr="00A0500C">
          <w:rPr>
            <w:rStyle w:val="Lienhypertexte"/>
          </w:rPr>
          <w:t>Amérique du Sud</w:t>
        </w:r>
      </w:hyperlink>
      <w:r w:rsidRPr="00A0500C">
        <w:t>, </w:t>
      </w:r>
      <w:hyperlink r:id="rId2295" w:history="1">
        <w:r w:rsidRPr="00A0500C">
          <w:rPr>
            <w:rStyle w:val="Lienhypertexte"/>
          </w:rPr>
          <w:t>l'Australie</w:t>
        </w:r>
      </w:hyperlink>
      <w:r w:rsidRPr="00A0500C">
        <w:t> et </w:t>
      </w:r>
      <w:hyperlink r:id="rId2296" w:history="1">
        <w:r w:rsidRPr="00A0500C">
          <w:rPr>
            <w:rStyle w:val="Lienhypertexte"/>
          </w:rPr>
          <w:t>la Nouvelle-Zélande</w:t>
        </w:r>
      </w:hyperlink>
      <w:r w:rsidRPr="00A0500C">
        <w:t>.</w:t>
      </w:r>
    </w:p>
    <w:p w14:paraId="7DBA9058" w14:textId="29BD0BFC" w:rsidR="00A0500C" w:rsidRPr="00A0500C" w:rsidRDefault="00A0500C" w:rsidP="00A0500C">
      <w:pPr>
        <w:spacing w:after="0" w:line="240" w:lineRule="auto"/>
        <w:jc w:val="both"/>
      </w:pPr>
      <w:r w:rsidRPr="00A0500C">
        <w:t>Il est utilisé comme une source de nectar pour les abeilles, comme fourrage, et comme amendement de sol. Il est également utilisé dans la médecine traditionnelle. Il est toxique pour certains mammifères (chiens …). Les feuilles séchées peuvent être toxiques, bien que les feuilles fraîches soient tout à fait sûr</w:t>
      </w:r>
      <w:r>
        <w:t>es</w:t>
      </w:r>
      <w:r w:rsidRPr="00A0500C">
        <w:t xml:space="preserve">. Cela est dû à la présence de coumarine. </w:t>
      </w:r>
    </w:p>
    <w:p w14:paraId="794076BA" w14:textId="40BDAC8E" w:rsidR="00A0500C" w:rsidRPr="00A0500C" w:rsidRDefault="00A0500C" w:rsidP="00A0500C">
      <w:pPr>
        <w:spacing w:after="0" w:line="240" w:lineRule="auto"/>
        <w:jc w:val="both"/>
      </w:pPr>
      <w:r w:rsidRPr="00A0500C">
        <w:t>En tant qu’adventice, il a un potentiel contaminant dans les cultures de semence</w:t>
      </w:r>
      <w:r>
        <w:t>s</w:t>
      </w:r>
      <w:r w:rsidRPr="00A0500C">
        <w:t>.</w:t>
      </w:r>
    </w:p>
    <w:p w14:paraId="3917BA07" w14:textId="6AC876C5" w:rsidR="00A0500C" w:rsidRPr="00A0500C" w:rsidRDefault="00A0500C" w:rsidP="00A0500C">
      <w:pPr>
        <w:spacing w:after="0" w:line="240" w:lineRule="auto"/>
        <w:jc w:val="both"/>
      </w:pPr>
      <w:r w:rsidRPr="00A0500C">
        <w:rPr>
          <w:i/>
          <w:iCs/>
        </w:rPr>
        <w:lastRenderedPageBreak/>
        <w:t>Melilotus indicus</w:t>
      </w:r>
      <w:r w:rsidRPr="00A0500C">
        <w:t xml:space="preserve"> (L.) All., ou mélilot jaune, qui se reproduit comme une mauvaise herbe dans les différents habitats en </w:t>
      </w:r>
      <w:r w:rsidR="00EA7C76">
        <w:t>Égypte</w:t>
      </w:r>
      <w:r w:rsidRPr="00A0500C">
        <w:t xml:space="preserve">, </w:t>
      </w:r>
      <w:r w:rsidRPr="00843E56">
        <w:rPr>
          <w:i/>
          <w:iCs/>
        </w:rPr>
        <w:t>pousse dans les zones modérément salin</w:t>
      </w:r>
      <w:r w:rsidR="00843E56">
        <w:rPr>
          <w:i/>
          <w:iCs/>
        </w:rPr>
        <w:t>e</w:t>
      </w:r>
      <w:r w:rsidRPr="00843E56">
        <w:rPr>
          <w:i/>
          <w:iCs/>
        </w:rPr>
        <w:t>s</w:t>
      </w:r>
      <w:r w:rsidRPr="00A0500C">
        <w:t>, où les légumineuses fourragères traditionnelles ne peuvent pas être cultivées.</w:t>
      </w:r>
    </w:p>
    <w:p w14:paraId="5E486D24" w14:textId="71D538C4" w:rsidR="00A0500C" w:rsidRPr="00A0500C" w:rsidRDefault="00A0500C" w:rsidP="00A0500C">
      <w:pPr>
        <w:spacing w:after="0" w:line="240" w:lineRule="auto"/>
        <w:jc w:val="both"/>
      </w:pPr>
      <w:r w:rsidRPr="00A0500C">
        <w:t xml:space="preserve">Des cultivars à faible teneur en </w:t>
      </w:r>
      <w:r w:rsidRPr="001A2288">
        <w:rPr>
          <w:i/>
          <w:iCs/>
        </w:rPr>
        <w:t>coumarine</w:t>
      </w:r>
      <w:r w:rsidRPr="00A0500C">
        <w:t xml:space="preserve"> ont été développés et sont souvent cultivées comme plante fourragère.</w:t>
      </w:r>
    </w:p>
    <w:p w14:paraId="3691BD11" w14:textId="77777777" w:rsidR="00A0500C" w:rsidRDefault="00A0500C" w:rsidP="00A0500C">
      <w:pPr>
        <w:spacing w:after="0" w:line="240" w:lineRule="auto"/>
      </w:pPr>
      <w:r w:rsidRPr="00A0500C">
        <w:t xml:space="preserve">Sources : a) </w:t>
      </w:r>
      <w:hyperlink r:id="rId2297" w:history="1">
        <w:r w:rsidRPr="00A0500C">
          <w:rPr>
            <w:rStyle w:val="Lienhypertexte"/>
          </w:rPr>
          <w:t>http://en.wikipedia.org/wiki/Melilotus_indicus</w:t>
        </w:r>
      </w:hyperlink>
      <w:r w:rsidRPr="00A0500C">
        <w:t xml:space="preserve">, </w:t>
      </w:r>
    </w:p>
    <w:p w14:paraId="1B8FECAD" w14:textId="4C1401B1" w:rsidR="00A0500C" w:rsidRPr="0089104E" w:rsidRDefault="00A0500C" w:rsidP="00A0500C">
      <w:pPr>
        <w:spacing w:after="0" w:line="240" w:lineRule="auto"/>
      </w:pPr>
      <w:r w:rsidRPr="0089104E">
        <w:t xml:space="preserve">b) </w:t>
      </w:r>
      <w:hyperlink r:id="rId2298" w:history="1">
        <w:r w:rsidRPr="0089104E">
          <w:rPr>
            <w:rStyle w:val="Lienhypertexte"/>
          </w:rPr>
          <w:t>https://www.kau.edu.sa/Files/857/Researches/58292_28460.pdf</w:t>
        </w:r>
      </w:hyperlink>
      <w:r w:rsidRPr="0089104E">
        <w:t xml:space="preserve"> </w:t>
      </w:r>
    </w:p>
    <w:p w14:paraId="7B776037" w14:textId="77777777" w:rsidR="00A0500C" w:rsidRPr="00A0500C" w:rsidRDefault="00A0500C" w:rsidP="00A0500C">
      <w:pPr>
        <w:spacing w:after="0" w:line="240" w:lineRule="auto"/>
      </w:pPr>
      <w:r w:rsidRPr="00A0500C">
        <w:t xml:space="preserve">c) </w:t>
      </w:r>
      <w:hyperlink r:id="rId2299" w:history="1">
        <w:r w:rsidRPr="00A0500C">
          <w:rPr>
            <w:rStyle w:val="Lienhypertexte"/>
          </w:rPr>
          <w:t>http://www.pfaf.org/user/Plant.aspx?LatinName=Melilotus+indicus</w:t>
        </w:r>
      </w:hyperlink>
      <w:r w:rsidRPr="00A0500C">
        <w:t xml:space="preserve"> </w:t>
      </w:r>
    </w:p>
    <w:p w14:paraId="2DB3271A" w14:textId="77777777" w:rsidR="00A0500C" w:rsidRPr="00A0500C" w:rsidRDefault="00A0500C" w:rsidP="00A0500C">
      <w:pPr>
        <w:spacing w:after="0" w:line="240" w:lineRule="auto"/>
      </w:pPr>
      <w:r w:rsidRPr="00A0500C">
        <w:t xml:space="preserve">d) </w:t>
      </w:r>
      <w:hyperlink r:id="rId2300" w:history="1">
        <w:r w:rsidRPr="00A0500C">
          <w:rPr>
            <w:rStyle w:val="Lienhypertexte"/>
          </w:rPr>
          <w:t>http://www.feedipedia.org/node/273</w:t>
        </w:r>
      </w:hyperlink>
      <w:r w:rsidRPr="00A0500C">
        <w:t xml:space="preserve"> </w:t>
      </w:r>
    </w:p>
    <w:p w14:paraId="0CB92BE5" w14:textId="77777777" w:rsidR="00A0500C" w:rsidRPr="00A0500C" w:rsidRDefault="00A0500C" w:rsidP="00A0500C">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43"/>
        <w:gridCol w:w="2575"/>
        <w:gridCol w:w="2708"/>
      </w:tblGrid>
      <w:tr w:rsidR="0066520F" w14:paraId="59CFD5DF" w14:textId="77777777" w:rsidTr="0066520F">
        <w:tc>
          <w:tcPr>
            <w:tcW w:w="5208" w:type="dxa"/>
          </w:tcPr>
          <w:p w14:paraId="11D8808E" w14:textId="2912D3DF" w:rsidR="0066520F" w:rsidRDefault="0066520F" w:rsidP="00A0500C">
            <w:pPr>
              <w:jc w:val="center"/>
            </w:pPr>
            <w:r w:rsidRPr="00A0500C">
              <w:rPr>
                <w:noProof/>
              </w:rPr>
              <w:drawing>
                <wp:inline distT="0" distB="0" distL="0" distR="0" wp14:anchorId="5256D78B" wp14:editId="6897DEEA">
                  <wp:extent cx="3140075" cy="2351088"/>
                  <wp:effectExtent l="0" t="0" r="3175" b="0"/>
                  <wp:docPr id="77835" name="Picture 5" descr="C:\Users\LISAN\Pictures\plantes-halophytes-xerophiles\Melilotus indicu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35" name="Picture 5" descr="C:\Users\LISAN\Pictures\plantes-halophytes-xerophiles\Melilotus indicus3.jpg"/>
                          <pic:cNvPicPr>
                            <a:picLocks noChangeAspect="1" noChangeArrowheads="1"/>
                          </pic:cNvPicPr>
                        </pic:nvPicPr>
                        <pic:blipFill>
                          <a:blip r:embed="rId2301">
                            <a:extLst>
                              <a:ext uri="{28A0092B-C50C-407E-A947-70E740481C1C}">
                                <a14:useLocalDpi xmlns:a14="http://schemas.microsoft.com/office/drawing/2010/main" val="0"/>
                              </a:ext>
                            </a:extLst>
                          </a:blip>
                          <a:srcRect/>
                          <a:stretch>
                            <a:fillRect/>
                          </a:stretch>
                        </pic:blipFill>
                        <pic:spPr bwMode="auto">
                          <a:xfrm>
                            <a:off x="0" y="0"/>
                            <a:ext cx="3140075" cy="23510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2604" w:type="dxa"/>
          </w:tcPr>
          <w:p w14:paraId="0C09EB58" w14:textId="576BD760" w:rsidR="0066520F" w:rsidRDefault="0066520F" w:rsidP="00A0500C">
            <w:pPr>
              <w:jc w:val="center"/>
            </w:pPr>
            <w:r w:rsidRPr="0066520F">
              <w:rPr>
                <w:noProof/>
              </w:rPr>
              <w:drawing>
                <wp:inline distT="0" distB="0" distL="0" distR="0" wp14:anchorId="5F326BF1" wp14:editId="3B9B539A">
                  <wp:extent cx="1501206" cy="1619250"/>
                  <wp:effectExtent l="0" t="0" r="3810" b="0"/>
                  <wp:docPr id="77832" name="Picture 2" descr="C:\Users\LISAN\Pictures\plantes-halophytes-xerophiles\Melilotus indicu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32" name="Picture 2" descr="C:\Users\LISAN\Pictures\plantes-halophytes-xerophiles\Melilotus indicus4.jpg"/>
                          <pic:cNvPicPr>
                            <a:picLocks noChangeAspect="1" noChangeArrowheads="1"/>
                          </pic:cNvPicPr>
                        </pic:nvPicPr>
                        <pic:blipFill>
                          <a:blip r:embed="rId2302">
                            <a:extLst>
                              <a:ext uri="{28A0092B-C50C-407E-A947-70E740481C1C}">
                                <a14:useLocalDpi xmlns:a14="http://schemas.microsoft.com/office/drawing/2010/main" val="0"/>
                              </a:ext>
                            </a:extLst>
                          </a:blip>
                          <a:srcRect/>
                          <a:stretch>
                            <a:fillRect/>
                          </a:stretch>
                        </pic:blipFill>
                        <pic:spPr bwMode="auto">
                          <a:xfrm>
                            <a:off x="0" y="0"/>
                            <a:ext cx="1506060" cy="1624486"/>
                          </a:xfrm>
                          <a:prstGeom prst="rect">
                            <a:avLst/>
                          </a:prstGeom>
                          <a:noFill/>
                          <a:ln>
                            <a:noFill/>
                          </a:ln>
                        </pic:spPr>
                      </pic:pic>
                    </a:graphicData>
                  </a:graphic>
                </wp:inline>
              </w:drawing>
            </w:r>
          </w:p>
        </w:tc>
        <w:tc>
          <w:tcPr>
            <w:tcW w:w="2604" w:type="dxa"/>
          </w:tcPr>
          <w:p w14:paraId="78EA9E9E" w14:textId="77777777" w:rsidR="0066520F" w:rsidRDefault="0066520F" w:rsidP="00A0500C">
            <w:pPr>
              <w:jc w:val="center"/>
            </w:pPr>
            <w:r w:rsidRPr="0066520F">
              <w:rPr>
                <w:noProof/>
              </w:rPr>
              <w:drawing>
                <wp:inline distT="0" distB="0" distL="0" distR="0" wp14:anchorId="1CB4B70E" wp14:editId="6CDCF536">
                  <wp:extent cx="1590470" cy="1190625"/>
                  <wp:effectExtent l="0" t="0" r="0" b="0"/>
                  <wp:docPr id="77833" name="Picture 3" descr="C:\Users\LISAN\Pictures\plantes-halophytes-xerophiles\Melilotus indic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33" name="Picture 3" descr="C:\Users\LISAN\Pictures\plantes-halophytes-xerophiles\Melilotus indicus.jpg"/>
                          <pic:cNvPicPr>
                            <a:picLocks noChangeAspect="1" noChangeArrowheads="1"/>
                          </pic:cNvPicPr>
                        </pic:nvPicPr>
                        <pic:blipFill>
                          <a:blip r:embed="rId2303">
                            <a:extLst>
                              <a:ext uri="{28A0092B-C50C-407E-A947-70E740481C1C}">
                                <a14:useLocalDpi xmlns:a14="http://schemas.microsoft.com/office/drawing/2010/main" val="0"/>
                              </a:ext>
                            </a:extLst>
                          </a:blip>
                          <a:srcRect/>
                          <a:stretch>
                            <a:fillRect/>
                          </a:stretch>
                        </pic:blipFill>
                        <pic:spPr bwMode="auto">
                          <a:xfrm>
                            <a:off x="0" y="0"/>
                            <a:ext cx="1597770" cy="1196090"/>
                          </a:xfrm>
                          <a:prstGeom prst="rect">
                            <a:avLst/>
                          </a:prstGeom>
                          <a:noFill/>
                          <a:ln>
                            <a:noFill/>
                          </a:ln>
                        </pic:spPr>
                      </pic:pic>
                    </a:graphicData>
                  </a:graphic>
                </wp:inline>
              </w:drawing>
            </w:r>
          </w:p>
          <w:p w14:paraId="6EDBF0E7" w14:textId="77777777" w:rsidR="0066520F" w:rsidRDefault="0066520F" w:rsidP="00A0500C">
            <w:pPr>
              <w:jc w:val="center"/>
            </w:pPr>
          </w:p>
          <w:p w14:paraId="39C87225" w14:textId="4BBFE39F" w:rsidR="0066520F" w:rsidRDefault="0066520F" w:rsidP="00A0500C">
            <w:pPr>
              <w:jc w:val="center"/>
            </w:pPr>
            <w:r w:rsidRPr="0066520F">
              <w:rPr>
                <w:noProof/>
              </w:rPr>
              <w:drawing>
                <wp:inline distT="0" distB="0" distL="0" distR="0" wp14:anchorId="1B8C17DE" wp14:editId="27EDE867">
                  <wp:extent cx="1573467" cy="1181100"/>
                  <wp:effectExtent l="0" t="0" r="8255" b="0"/>
                  <wp:docPr id="77834" name="Picture 4" descr="C:\Users\LISAN\Pictures\plantes-halophytes-xerophiles\Melilotus indicu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34" name="Picture 4" descr="C:\Users\LISAN\Pictures\plantes-halophytes-xerophiles\Melilotus indicus2.jpg"/>
                          <pic:cNvPicPr>
                            <a:picLocks noChangeAspect="1" noChangeArrowheads="1"/>
                          </pic:cNvPicPr>
                        </pic:nvPicPr>
                        <pic:blipFill>
                          <a:blip r:embed="rId2304">
                            <a:extLst>
                              <a:ext uri="{28A0092B-C50C-407E-A947-70E740481C1C}">
                                <a14:useLocalDpi xmlns:a14="http://schemas.microsoft.com/office/drawing/2010/main" val="0"/>
                              </a:ext>
                            </a:extLst>
                          </a:blip>
                          <a:srcRect/>
                          <a:stretch>
                            <a:fillRect/>
                          </a:stretch>
                        </pic:blipFill>
                        <pic:spPr bwMode="auto">
                          <a:xfrm>
                            <a:off x="0" y="0"/>
                            <a:ext cx="1584297" cy="1189229"/>
                          </a:xfrm>
                          <a:prstGeom prst="rect">
                            <a:avLst/>
                          </a:prstGeom>
                          <a:noFill/>
                          <a:ln>
                            <a:noFill/>
                          </a:ln>
                        </pic:spPr>
                      </pic:pic>
                    </a:graphicData>
                  </a:graphic>
                </wp:inline>
              </w:drawing>
            </w:r>
          </w:p>
        </w:tc>
      </w:tr>
    </w:tbl>
    <w:p w14:paraId="67A9CB35" w14:textId="25DF1518" w:rsidR="0066520F" w:rsidRDefault="0066520F" w:rsidP="0066520F">
      <w:pPr>
        <w:spacing w:after="0" w:line="240" w:lineRule="auto"/>
      </w:pPr>
    </w:p>
    <w:p w14:paraId="7A38FFC6" w14:textId="7EE022CD" w:rsidR="00136EC1" w:rsidRPr="00136EC1" w:rsidRDefault="00136EC1" w:rsidP="00D87D3F">
      <w:pPr>
        <w:pStyle w:val="Titre2"/>
      </w:pPr>
      <w:bookmarkStart w:id="193" w:name="_Toc139181484"/>
      <w:r w:rsidRPr="00136EC1">
        <w:t>Luzerne cultivée</w:t>
      </w:r>
      <w:r w:rsidR="0030620F">
        <w:t xml:space="preserve"> </w:t>
      </w:r>
      <w:r w:rsidR="0030620F" w:rsidRPr="00136EC1">
        <w:t>résistant</w:t>
      </w:r>
      <w:r w:rsidR="0030620F">
        <w:t>e</w:t>
      </w:r>
      <w:r w:rsidR="0030620F" w:rsidRPr="00136EC1">
        <w:t xml:space="preserve"> au sel</w:t>
      </w:r>
      <w:r w:rsidRPr="00136EC1">
        <w:t xml:space="preserve"> (</w:t>
      </w:r>
      <w:r w:rsidRPr="0030620F">
        <w:rPr>
          <w:i/>
          <w:iCs/>
        </w:rPr>
        <w:t>Medicago</w:t>
      </w:r>
      <w:r w:rsidRPr="00136EC1">
        <w:t xml:space="preserve"> </w:t>
      </w:r>
      <w:hyperlink r:id="rId2305" w:history="1">
        <w:r w:rsidRPr="00136EC1">
          <w:rPr>
            <w:rStyle w:val="Lienhypertexte"/>
            <w:i/>
            <w:iCs/>
          </w:rPr>
          <w:t>sativa</w:t>
        </w:r>
      </w:hyperlink>
      <w:r w:rsidRPr="00136EC1">
        <w:t xml:space="preserve"> var </w:t>
      </w:r>
      <w:r w:rsidRPr="0030620F">
        <w:rPr>
          <w:i/>
          <w:iCs/>
        </w:rPr>
        <w:t>Tafilalet</w:t>
      </w:r>
      <w:r w:rsidRPr="00136EC1">
        <w:t xml:space="preserve"> et autres cultivars)</w:t>
      </w:r>
      <w:bookmarkEnd w:id="193"/>
    </w:p>
    <w:p w14:paraId="1A29482B" w14:textId="77777777" w:rsidR="00136EC1" w:rsidRDefault="00136EC1" w:rsidP="0066520F">
      <w:pPr>
        <w:spacing w:after="0" w:line="240" w:lineRule="auto"/>
      </w:pPr>
    </w:p>
    <w:p w14:paraId="4CC2A64F" w14:textId="7927427C" w:rsidR="00136EC1" w:rsidRPr="00136EC1" w:rsidRDefault="00136EC1" w:rsidP="00136EC1">
      <w:pPr>
        <w:spacing w:after="0" w:line="240" w:lineRule="auto"/>
        <w:jc w:val="both"/>
      </w:pPr>
      <w:r w:rsidRPr="00136EC1">
        <w:t>La </w:t>
      </w:r>
      <w:r w:rsidRPr="00136EC1">
        <w:rPr>
          <w:b/>
          <w:bCs/>
        </w:rPr>
        <w:t>luzerne cultivée</w:t>
      </w:r>
      <w:r w:rsidRPr="00136EC1">
        <w:t> ou </w:t>
      </w:r>
      <w:r w:rsidRPr="00136EC1">
        <w:rPr>
          <w:b/>
          <w:bCs/>
        </w:rPr>
        <w:t>alfalfa</w:t>
      </w:r>
      <w:r w:rsidRPr="00136EC1">
        <w:t> ou </w:t>
      </w:r>
      <w:r w:rsidRPr="00136EC1">
        <w:rPr>
          <w:b/>
          <w:bCs/>
        </w:rPr>
        <w:t>alfa-alfa</w:t>
      </w:r>
      <w:r w:rsidRPr="00136EC1">
        <w:t>, aussi appelée « grand </w:t>
      </w:r>
      <w:hyperlink r:id="rId2306" w:history="1">
        <w:r w:rsidRPr="00136EC1">
          <w:rPr>
            <w:rStyle w:val="Lienhypertexte"/>
          </w:rPr>
          <w:t>trèfle</w:t>
        </w:r>
      </w:hyperlink>
      <w:r w:rsidRPr="00136EC1">
        <w:t> » ou « foin de Bourgogne », est une </w:t>
      </w:r>
      <w:hyperlink r:id="rId2307" w:history="1">
        <w:r w:rsidRPr="00136EC1">
          <w:rPr>
            <w:rStyle w:val="Lienhypertexte"/>
          </w:rPr>
          <w:t>plante herbacée</w:t>
        </w:r>
      </w:hyperlink>
      <w:r w:rsidRPr="00136EC1">
        <w:t> </w:t>
      </w:r>
      <w:hyperlink r:id="rId2308" w:history="1">
        <w:r w:rsidRPr="00136EC1">
          <w:rPr>
            <w:rStyle w:val="Lienhypertexte"/>
          </w:rPr>
          <w:t>fourragère</w:t>
        </w:r>
      </w:hyperlink>
      <w:r w:rsidRPr="00136EC1">
        <w:t> de la </w:t>
      </w:r>
      <w:hyperlink r:id="rId2309" w:history="1">
        <w:r w:rsidRPr="00136EC1">
          <w:rPr>
            <w:rStyle w:val="Lienhypertexte"/>
          </w:rPr>
          <w:t>famille</w:t>
        </w:r>
      </w:hyperlink>
      <w:r w:rsidRPr="00136EC1">
        <w:t> des </w:t>
      </w:r>
      <w:hyperlink r:id="rId2310" w:history="1">
        <w:r w:rsidRPr="00136EC1">
          <w:rPr>
            <w:rStyle w:val="Lienhypertexte"/>
          </w:rPr>
          <w:t>fabacées</w:t>
        </w:r>
      </w:hyperlink>
      <w:r w:rsidRPr="00136EC1">
        <w:t>, riche en vitamines et en sels minéraux et utilisée en </w:t>
      </w:r>
      <w:hyperlink r:id="rId2311" w:history="1">
        <w:r w:rsidRPr="00136EC1">
          <w:rPr>
            <w:rStyle w:val="Lienhypertexte"/>
          </w:rPr>
          <w:t>diététique</w:t>
        </w:r>
      </w:hyperlink>
      <w:r w:rsidRPr="00136EC1">
        <w:t>.</w:t>
      </w:r>
    </w:p>
    <w:p w14:paraId="627311A5" w14:textId="77777777" w:rsidR="00136EC1" w:rsidRPr="00136EC1" w:rsidRDefault="00136EC1" w:rsidP="00136EC1">
      <w:pPr>
        <w:spacing w:after="0" w:line="240" w:lineRule="auto"/>
        <w:jc w:val="both"/>
      </w:pPr>
      <w:r w:rsidRPr="00136EC1">
        <w:t>Cette </w:t>
      </w:r>
      <w:hyperlink r:id="rId2312" w:history="1">
        <w:r w:rsidRPr="00136EC1">
          <w:rPr>
            <w:rStyle w:val="Lienhypertexte"/>
          </w:rPr>
          <w:t>vivace</w:t>
        </w:r>
      </w:hyperlink>
      <w:r w:rsidRPr="00136EC1">
        <w:t> par ses tiges souterraines ramifiées, de 30 à 80 cm de hauteur, originaire de l'ouest de l'Asie (</w:t>
      </w:r>
      <w:hyperlink r:id="rId2313" w:history="1">
        <w:r w:rsidRPr="00136EC1">
          <w:rPr>
            <w:rStyle w:val="Lienhypertexte"/>
          </w:rPr>
          <w:t>Afghanistan</w:t>
        </w:r>
      </w:hyperlink>
      <w:r w:rsidRPr="00136EC1">
        <w:t>, </w:t>
      </w:r>
      <w:hyperlink r:id="rId2314" w:history="1">
        <w:r w:rsidRPr="00136EC1">
          <w:rPr>
            <w:rStyle w:val="Lienhypertexte"/>
          </w:rPr>
          <w:t>Iran</w:t>
        </w:r>
      </w:hyperlink>
      <w:r w:rsidRPr="00136EC1">
        <w:t>, </w:t>
      </w:r>
      <w:hyperlink r:id="rId2315" w:history="1">
        <w:r w:rsidRPr="00136EC1">
          <w:rPr>
            <w:rStyle w:val="Lienhypertexte"/>
          </w:rPr>
          <w:t>Turquie</w:t>
        </w:r>
      </w:hyperlink>
      <w:r w:rsidRPr="00136EC1">
        <w:t>), est très cultivée pour sa richesse en </w:t>
      </w:r>
      <w:hyperlink r:id="rId2316" w:history="1">
        <w:r w:rsidRPr="00136EC1">
          <w:rPr>
            <w:rStyle w:val="Lienhypertexte"/>
          </w:rPr>
          <w:t>protéines</w:t>
        </w:r>
      </w:hyperlink>
      <w:r w:rsidRPr="00136EC1">
        <w:t xml:space="preserve"> (pour un taux compris habituellement entre 15 et 25%) et ses qualités d'amélioration des </w:t>
      </w:r>
      <w:hyperlink r:id="rId2317" w:history="1">
        <w:r w:rsidRPr="00136EC1">
          <w:rPr>
            <w:rStyle w:val="Lienhypertexte"/>
          </w:rPr>
          <w:t>sols</w:t>
        </w:r>
      </w:hyperlink>
      <w:r w:rsidRPr="00136EC1">
        <w:t>. Abondamment répandue dans les contrées tempérées, tant à l'état sauvage que cultivée, la luzerne est très utilisée pour l'alimentation du bétail car elle est une véritable source industrielle de protéines et de </w:t>
      </w:r>
      <w:hyperlink r:id="rId2318" w:history="1">
        <w:r w:rsidRPr="00136EC1">
          <w:rPr>
            <w:rStyle w:val="Lienhypertexte"/>
          </w:rPr>
          <w:t>carotène</w:t>
        </w:r>
      </w:hyperlink>
      <w:r w:rsidRPr="00136EC1">
        <w:t>. Elle préfère les climats de type méditerranéen, mais se présente à l'état subspontané, dans tous les continents, dans les régions tempérées, jusqu'à 2 000 m d'altitude environ. La luzerne nécessite un </w:t>
      </w:r>
      <w:hyperlink r:id="rId2319" w:history="1">
        <w:r w:rsidRPr="00136EC1">
          <w:rPr>
            <w:rStyle w:val="Lienhypertexte"/>
          </w:rPr>
          <w:t>sol</w:t>
        </w:r>
      </w:hyperlink>
      <w:r w:rsidRPr="00136EC1">
        <w:t> sain, au </w:t>
      </w:r>
      <w:hyperlink r:id="rId2320" w:history="1">
        <w:r w:rsidRPr="00136EC1">
          <w:rPr>
            <w:rStyle w:val="Lienhypertexte"/>
          </w:rPr>
          <w:t>pH</w:t>
        </w:r>
      </w:hyperlink>
      <w:r w:rsidRPr="00136EC1">
        <w:t> neutre.</w:t>
      </w:r>
    </w:p>
    <w:p w14:paraId="7378C4D3" w14:textId="77777777" w:rsidR="00136EC1" w:rsidRPr="00136EC1" w:rsidRDefault="00136EC1" w:rsidP="00136EC1">
      <w:pPr>
        <w:spacing w:after="0" w:line="240" w:lineRule="auto"/>
        <w:jc w:val="both"/>
      </w:pPr>
      <w:r w:rsidRPr="00136EC1">
        <w:t>L'inoculation des semences avec une </w:t>
      </w:r>
      <w:hyperlink r:id="rId2321" w:history="1">
        <w:r w:rsidRPr="00136EC1">
          <w:rPr>
            <w:rStyle w:val="Lienhypertexte"/>
          </w:rPr>
          <w:t>bactérie</w:t>
        </w:r>
      </w:hyperlink>
      <w:r w:rsidRPr="00136EC1">
        <w:t> du type </w:t>
      </w:r>
      <w:hyperlink r:id="rId2322" w:history="1">
        <w:r w:rsidRPr="00136EC1">
          <w:rPr>
            <w:rStyle w:val="Lienhypertexte"/>
            <w:i/>
            <w:iCs/>
          </w:rPr>
          <w:t>Rhizobium</w:t>
        </w:r>
      </w:hyperlink>
      <w:r w:rsidRPr="00136EC1">
        <w:t> (par exemple </w:t>
      </w:r>
      <w:r w:rsidRPr="00136EC1">
        <w:rPr>
          <w:i/>
          <w:iCs/>
        </w:rPr>
        <w:t>Rhizobium meliloti</w:t>
      </w:r>
      <w:r w:rsidRPr="00136EC1">
        <w:t>) est recommandée.</w:t>
      </w:r>
    </w:p>
    <w:p w14:paraId="7B23C357" w14:textId="77777777" w:rsidR="00136EC1" w:rsidRPr="00136EC1" w:rsidRDefault="00136EC1" w:rsidP="00136EC1">
      <w:pPr>
        <w:spacing w:after="0" w:line="240" w:lineRule="auto"/>
        <w:jc w:val="both"/>
      </w:pPr>
      <w:r w:rsidRPr="00136EC1">
        <w:t>La luzerne a des pathogènes ou des prédateurs naturels (autochtones ou importés) peu actifs chez la luzerne sauvage, mais qui en contexte de culture intensive peuvent poser problème : Fonte de semis, </w:t>
      </w:r>
      <w:r w:rsidRPr="00136EC1">
        <w:rPr>
          <w:i/>
          <w:iCs/>
        </w:rPr>
        <w:t>Pythium</w:t>
      </w:r>
      <w:r w:rsidRPr="00136EC1">
        <w:t xml:space="preserve"> ; </w:t>
      </w:r>
      <w:hyperlink r:id="rId2323" w:history="1">
        <w:r w:rsidRPr="00136EC1">
          <w:rPr>
            <w:rStyle w:val="Lienhypertexte"/>
          </w:rPr>
          <w:t>Verticilliose</w:t>
        </w:r>
      </w:hyperlink>
      <w:r w:rsidRPr="00136EC1">
        <w:t>, jaunisse et nanisme, </w:t>
      </w:r>
      <w:r w:rsidRPr="00136EC1">
        <w:rPr>
          <w:i/>
          <w:iCs/>
        </w:rPr>
        <w:t>Verticillium albo-atrum</w:t>
      </w:r>
      <w:r w:rsidRPr="00136EC1">
        <w:t> ; Dessèchement de plantes isolées, </w:t>
      </w:r>
      <w:r w:rsidRPr="00136EC1">
        <w:rPr>
          <w:i/>
          <w:iCs/>
        </w:rPr>
        <w:t>Sclerotinia trifoliorum</w:t>
      </w:r>
      <w:r w:rsidRPr="00136EC1">
        <w:t xml:space="preserve"> ; </w:t>
      </w:r>
      <w:hyperlink r:id="rId2324" w:history="1">
        <w:r w:rsidRPr="00136EC1">
          <w:rPr>
            <w:rStyle w:val="Lienhypertexte"/>
          </w:rPr>
          <w:t>Anthracnose de la luzerne</w:t>
        </w:r>
      </w:hyperlink>
      <w:r w:rsidRPr="00136EC1">
        <w:t>, </w:t>
      </w:r>
      <w:r w:rsidRPr="00136EC1">
        <w:rPr>
          <w:i/>
          <w:iCs/>
        </w:rPr>
        <w:t>Colletotrichum trifolii</w:t>
      </w:r>
      <w:r w:rsidRPr="00136EC1">
        <w:t xml:space="preserve"> ; </w:t>
      </w:r>
      <w:hyperlink r:id="rId2325" w:history="1">
        <w:r w:rsidRPr="00136EC1">
          <w:rPr>
            <w:rStyle w:val="Lienhypertexte"/>
          </w:rPr>
          <w:t>Ascochytose</w:t>
        </w:r>
      </w:hyperlink>
      <w:r w:rsidRPr="00136EC1">
        <w:t>, </w:t>
      </w:r>
      <w:r w:rsidRPr="00136EC1">
        <w:rPr>
          <w:i/>
          <w:iCs/>
        </w:rPr>
        <w:t>Ascochyta pinodella</w:t>
      </w:r>
      <w:r w:rsidRPr="00136EC1">
        <w:t>, taches brunes sur tiges et feuilles. etc.</w:t>
      </w:r>
    </w:p>
    <w:p w14:paraId="2609E801" w14:textId="722E76D2" w:rsidR="00136EC1" w:rsidRPr="00136EC1" w:rsidRDefault="00136EC1" w:rsidP="00136EC1">
      <w:pPr>
        <w:spacing w:after="0" w:line="240" w:lineRule="auto"/>
        <w:jc w:val="both"/>
      </w:pPr>
      <w:r w:rsidRPr="00136EC1">
        <w:t xml:space="preserve">Des cultivars de luzerne _ Luzerne </w:t>
      </w:r>
      <w:r w:rsidRPr="00136EC1">
        <w:rPr>
          <w:b/>
          <w:bCs/>
        </w:rPr>
        <w:t>CkSltn 15-2,</w:t>
      </w:r>
      <w:r w:rsidRPr="00136EC1">
        <w:t xml:space="preserve"> </w:t>
      </w:r>
      <w:r w:rsidRPr="00136EC1">
        <w:rPr>
          <w:b/>
          <w:bCs/>
        </w:rPr>
        <w:t>11-1 BC79, DK166</w:t>
      </w:r>
      <w:r w:rsidRPr="00136EC1">
        <w:t xml:space="preserve"> _ résistent mieux au sel, jusqu’à 4,0 dS m-1 (+).</w:t>
      </w:r>
    </w:p>
    <w:p w14:paraId="0F3D4DB7" w14:textId="77777777" w:rsidR="00136EC1" w:rsidRDefault="00136EC1" w:rsidP="00136EC1">
      <w:pPr>
        <w:spacing w:after="0" w:line="240" w:lineRule="auto"/>
        <w:rPr>
          <w:lang w:val="en-GB"/>
        </w:rPr>
      </w:pPr>
      <w:r w:rsidRPr="00136EC1">
        <w:rPr>
          <w:lang w:val="en-GB"/>
        </w:rPr>
        <w:t xml:space="preserve">Sources : a) </w:t>
      </w:r>
      <w:hyperlink r:id="rId2326" w:history="1">
        <w:r w:rsidRPr="00136EC1">
          <w:rPr>
            <w:rStyle w:val="Lienhypertexte"/>
            <w:lang w:val="en-GB"/>
          </w:rPr>
          <w:t>http://fr.wikipedia.org/wiki/Luzerne_cultiv%C3%A9e</w:t>
        </w:r>
      </w:hyperlink>
      <w:r w:rsidRPr="00136EC1">
        <w:rPr>
          <w:lang w:val="en-GB"/>
        </w:rPr>
        <w:t xml:space="preserve">, </w:t>
      </w:r>
    </w:p>
    <w:p w14:paraId="65162A87" w14:textId="7B914627" w:rsidR="00136EC1" w:rsidRPr="00136EC1" w:rsidRDefault="00136EC1" w:rsidP="00136EC1">
      <w:pPr>
        <w:spacing w:after="0" w:line="240" w:lineRule="auto"/>
        <w:rPr>
          <w:lang w:val="en-GB"/>
        </w:rPr>
      </w:pPr>
      <w:r w:rsidRPr="00136EC1">
        <w:rPr>
          <w:lang w:val="en-GB"/>
        </w:rPr>
        <w:t xml:space="preserve">b) </w:t>
      </w:r>
      <w:r w:rsidRPr="00136EC1">
        <w:rPr>
          <w:lang w:val="en-US"/>
        </w:rPr>
        <w:t xml:space="preserve">Agronomic, physiological, and molecular characterization of salt tolerant alfalfa, </w:t>
      </w:r>
      <w:r w:rsidRPr="00136EC1">
        <w:rPr>
          <w:lang w:val="nb-NO"/>
        </w:rPr>
        <w:t xml:space="preserve">W Mott, MD Peel, M. Anower et Y. Wu, </w:t>
      </w:r>
      <w:hyperlink r:id="rId2327" w:history="1">
        <w:r w:rsidRPr="00136EC1">
          <w:rPr>
            <w:rStyle w:val="Lienhypertexte"/>
            <w:lang w:val="nb-NO"/>
          </w:rPr>
          <w:t>http://www.naaic.org/Meetings/National/2012meeting/T6-Mott.pdf</w:t>
        </w:r>
      </w:hyperlink>
      <w:r w:rsidRPr="00136EC1">
        <w:rPr>
          <w:lang w:val="nb-NO"/>
        </w:rPr>
        <w:t xml:space="preserve"> (+)</w:t>
      </w:r>
    </w:p>
    <w:p w14:paraId="7581D4FF" w14:textId="2A1C5328" w:rsidR="00136EC1" w:rsidRPr="00136EC1" w:rsidRDefault="00136EC1" w:rsidP="00136EC1">
      <w:pPr>
        <w:spacing w:after="0" w:line="240" w:lineRule="auto"/>
        <w:rPr>
          <w:lang w:val="en-GB"/>
        </w:rPr>
      </w:pPr>
      <w:r w:rsidRPr="00136EC1">
        <w:rPr>
          <w:lang w:val="nb-NO"/>
        </w:rPr>
        <w:t xml:space="preserve">c) </w:t>
      </w:r>
      <w:r w:rsidRPr="00136EC1">
        <w:rPr>
          <w:lang w:val="en-US"/>
        </w:rPr>
        <w:t xml:space="preserve">Effects of salinity and drought stress on germination, biomass and growth in three varieties of Medicago sativa L., Castroluna, A.; Ruiz, O. M.; Quiroga, A. M. y Pedranzani, H. E., </w:t>
      </w:r>
      <w:hyperlink r:id="rId2328" w:history="1">
        <w:r w:rsidRPr="00136EC1">
          <w:rPr>
            <w:rStyle w:val="Lienhypertexte"/>
            <w:lang w:val="en-US"/>
          </w:rPr>
          <w:t>http://www.ucol.mx/revaia/portal/pdf/2014/enero/4.pdf</w:t>
        </w:r>
      </w:hyperlink>
      <w:r w:rsidRPr="00136EC1">
        <w:rPr>
          <w:lang w:val="en-US"/>
        </w:rPr>
        <w:t xml:space="preserve"> </w:t>
      </w:r>
    </w:p>
    <w:p w14:paraId="7CB991B9" w14:textId="77777777" w:rsidR="0030620F" w:rsidRPr="0089104E" w:rsidRDefault="0030620F" w:rsidP="00136EC1">
      <w:pPr>
        <w:spacing w:after="0" w:line="240" w:lineRule="auto"/>
        <w:jc w:val="both"/>
        <w:rPr>
          <w:lang w:val="en-G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30620F" w14:paraId="5FD68B45" w14:textId="77777777" w:rsidTr="008C6E1B">
        <w:tc>
          <w:tcPr>
            <w:tcW w:w="3472" w:type="dxa"/>
          </w:tcPr>
          <w:p w14:paraId="50996CC9" w14:textId="77777777" w:rsidR="0030620F" w:rsidRDefault="0030620F" w:rsidP="0030620F">
            <w:pPr>
              <w:jc w:val="center"/>
            </w:pPr>
            <w:r w:rsidRPr="0030620F">
              <w:rPr>
                <w:noProof/>
              </w:rPr>
              <w:lastRenderedPageBreak/>
              <w:drawing>
                <wp:inline distT="0" distB="0" distL="0" distR="0" wp14:anchorId="243DB3D0" wp14:editId="6E27EFB4">
                  <wp:extent cx="1117600" cy="1498600"/>
                  <wp:effectExtent l="0" t="0" r="6350" b="6350"/>
                  <wp:docPr id="78856" name="Picture 7" descr="C:\Users\LISAN\Pictures\plantes-halophytes-xerophiles\Medicago sativa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56" name="Picture 7" descr="C:\Users\LISAN\Pictures\plantes-halophytes-xerophiles\Medicago sativa_s.jpg"/>
                          <pic:cNvPicPr>
                            <a:picLocks noChangeAspect="1" noChangeArrowheads="1"/>
                          </pic:cNvPicPr>
                        </pic:nvPicPr>
                        <pic:blipFill>
                          <a:blip r:embed="rId2329">
                            <a:extLst>
                              <a:ext uri="{28A0092B-C50C-407E-A947-70E740481C1C}">
                                <a14:useLocalDpi xmlns:a14="http://schemas.microsoft.com/office/drawing/2010/main" val="0"/>
                              </a:ext>
                            </a:extLst>
                          </a:blip>
                          <a:srcRect/>
                          <a:stretch>
                            <a:fillRect/>
                          </a:stretch>
                        </pic:blipFill>
                        <pic:spPr bwMode="auto">
                          <a:xfrm>
                            <a:off x="0" y="0"/>
                            <a:ext cx="1117600" cy="149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BFF46A0" w14:textId="48D54895" w:rsidR="0030620F" w:rsidRDefault="0030620F" w:rsidP="0030620F">
            <w:pPr>
              <w:jc w:val="center"/>
            </w:pPr>
            <w:r w:rsidRPr="0030620F">
              <w:rPr>
                <w:i/>
                <w:iCs/>
              </w:rPr>
              <w:t>M. sativa sativa</w:t>
            </w:r>
            <w:r w:rsidRPr="0030620F">
              <w:t>: fruit en hélice senestre</w:t>
            </w:r>
            <w:r>
              <w:t>.</w:t>
            </w:r>
          </w:p>
        </w:tc>
        <w:tc>
          <w:tcPr>
            <w:tcW w:w="3472" w:type="dxa"/>
          </w:tcPr>
          <w:p w14:paraId="4205F878" w14:textId="77777777" w:rsidR="0030620F" w:rsidRDefault="0030620F" w:rsidP="0030620F">
            <w:pPr>
              <w:jc w:val="center"/>
            </w:pPr>
            <w:r w:rsidRPr="0030620F">
              <w:rPr>
                <w:noProof/>
              </w:rPr>
              <w:drawing>
                <wp:inline distT="0" distB="0" distL="0" distR="0" wp14:anchorId="2A20459D" wp14:editId="1620C9E6">
                  <wp:extent cx="1104900" cy="1666289"/>
                  <wp:effectExtent l="0" t="0" r="0" b="0"/>
                  <wp:docPr id="78858" name="Picture 9" descr="C:\Users\LISAN\Pictures\plantes-halophytes-xerophiles\Medicago_sativa_-_harilik_lutsern_Keilas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58" name="Picture 9" descr="C:\Users\LISAN\Pictures\plantes-halophytes-xerophiles\Medicago_sativa_-_harilik_lutsern_Keilas_s.jpg"/>
                          <pic:cNvPicPr>
                            <a:picLocks noChangeAspect="1" noChangeArrowheads="1"/>
                          </pic:cNvPicPr>
                        </pic:nvPicPr>
                        <pic:blipFill>
                          <a:blip r:embed="rId2330">
                            <a:extLst>
                              <a:ext uri="{28A0092B-C50C-407E-A947-70E740481C1C}">
                                <a14:useLocalDpi xmlns:a14="http://schemas.microsoft.com/office/drawing/2010/main" val="0"/>
                              </a:ext>
                            </a:extLst>
                          </a:blip>
                          <a:srcRect/>
                          <a:stretch>
                            <a:fillRect/>
                          </a:stretch>
                        </pic:blipFill>
                        <pic:spPr bwMode="auto">
                          <a:xfrm>
                            <a:off x="0" y="0"/>
                            <a:ext cx="1110168" cy="1674234"/>
                          </a:xfrm>
                          <a:prstGeom prst="rect">
                            <a:avLst/>
                          </a:prstGeom>
                          <a:noFill/>
                          <a:ln>
                            <a:noFill/>
                          </a:ln>
                        </pic:spPr>
                      </pic:pic>
                    </a:graphicData>
                  </a:graphic>
                </wp:inline>
              </w:drawing>
            </w:r>
          </w:p>
          <w:p w14:paraId="3C41B093" w14:textId="77777777" w:rsidR="0030620F" w:rsidRDefault="0030620F" w:rsidP="0030620F">
            <w:pPr>
              <w:jc w:val="center"/>
            </w:pPr>
            <w:r>
              <w:t>Fleurs</w:t>
            </w:r>
            <w:r w:rsidR="008C6E1B">
              <w:t xml:space="preserve"> violettes</w:t>
            </w:r>
            <w:r w:rsidR="00FA4BA8">
              <w:t>.</w:t>
            </w:r>
          </w:p>
          <w:p w14:paraId="2B45396C" w14:textId="004A44E5" w:rsidR="00FA4BA8" w:rsidRDefault="00FA4BA8" w:rsidP="0030620F">
            <w:pPr>
              <w:jc w:val="center"/>
            </w:pPr>
          </w:p>
        </w:tc>
        <w:tc>
          <w:tcPr>
            <w:tcW w:w="3472" w:type="dxa"/>
          </w:tcPr>
          <w:p w14:paraId="1DF43C88" w14:textId="77777777" w:rsidR="0030620F" w:rsidRDefault="008C6E1B" w:rsidP="0030620F">
            <w:pPr>
              <w:jc w:val="center"/>
            </w:pPr>
            <w:r w:rsidRPr="0030620F">
              <w:rPr>
                <w:noProof/>
              </w:rPr>
              <w:drawing>
                <wp:inline distT="0" distB="0" distL="0" distR="0" wp14:anchorId="66D8F183" wp14:editId="2BB60D90">
                  <wp:extent cx="1965325" cy="1276350"/>
                  <wp:effectExtent l="0" t="0" r="0" b="0"/>
                  <wp:docPr id="78859" name="Picture 10" descr="C:\Users\LISAN\Pictures\plantes-halophytes-xerophiles\Medicago_sativa_0679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59" name="Picture 10" descr="C:\Users\LISAN\Pictures\plantes-halophytes-xerophiles\Medicago_sativa_0679_s.jpg"/>
                          <pic:cNvPicPr>
                            <a:picLocks noChangeAspect="1" noChangeArrowheads="1"/>
                          </pic:cNvPicPr>
                        </pic:nvPicPr>
                        <pic:blipFill>
                          <a:blip r:embed="rId2331">
                            <a:extLst>
                              <a:ext uri="{28A0092B-C50C-407E-A947-70E740481C1C}">
                                <a14:useLocalDpi xmlns:a14="http://schemas.microsoft.com/office/drawing/2010/main" val="0"/>
                              </a:ext>
                            </a:extLst>
                          </a:blip>
                          <a:srcRect/>
                          <a:stretch>
                            <a:fillRect/>
                          </a:stretch>
                        </pic:blipFill>
                        <pic:spPr bwMode="auto">
                          <a:xfrm>
                            <a:off x="0" y="0"/>
                            <a:ext cx="1965325" cy="1276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9B8C126" w14:textId="63BB4881" w:rsidR="008C6E1B" w:rsidRDefault="008C6E1B" w:rsidP="0030620F">
            <w:pPr>
              <w:jc w:val="center"/>
            </w:pPr>
            <w:r>
              <w:t>Champ de Luzerne.</w:t>
            </w:r>
          </w:p>
        </w:tc>
      </w:tr>
      <w:tr w:rsidR="008C6E1B" w14:paraId="4F8CAB3B" w14:textId="77777777" w:rsidTr="008C6E1B">
        <w:tc>
          <w:tcPr>
            <w:tcW w:w="3472" w:type="dxa"/>
          </w:tcPr>
          <w:p w14:paraId="5F03F625" w14:textId="47824A9A" w:rsidR="008C6E1B" w:rsidRPr="0030620F" w:rsidRDefault="008C6E1B" w:rsidP="0030620F">
            <w:pPr>
              <w:jc w:val="center"/>
            </w:pPr>
            <w:r>
              <w:rPr>
                <w:noProof/>
              </w:rPr>
              <w:drawing>
                <wp:inline distT="0" distB="0" distL="0" distR="0" wp14:anchorId="03C87ADB" wp14:editId="6336C722">
                  <wp:extent cx="1847850" cy="2466975"/>
                  <wp:effectExtent l="0" t="0" r="0" b="9525"/>
                  <wp:docPr id="70666" name="Image 70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32">
                            <a:extLst>
                              <a:ext uri="{28A0092B-C50C-407E-A947-70E740481C1C}">
                                <a14:useLocalDpi xmlns:a14="http://schemas.microsoft.com/office/drawing/2010/main" val="0"/>
                              </a:ext>
                            </a:extLst>
                          </a:blip>
                          <a:srcRect/>
                          <a:stretch>
                            <a:fillRect/>
                          </a:stretch>
                        </pic:blipFill>
                        <pic:spPr bwMode="auto">
                          <a:xfrm>
                            <a:off x="0" y="0"/>
                            <a:ext cx="1847850" cy="2466975"/>
                          </a:xfrm>
                          <a:prstGeom prst="rect">
                            <a:avLst/>
                          </a:prstGeom>
                          <a:noFill/>
                          <a:ln>
                            <a:noFill/>
                          </a:ln>
                        </pic:spPr>
                      </pic:pic>
                    </a:graphicData>
                  </a:graphic>
                </wp:inline>
              </w:drawing>
            </w:r>
          </w:p>
        </w:tc>
        <w:tc>
          <w:tcPr>
            <w:tcW w:w="3472" w:type="dxa"/>
          </w:tcPr>
          <w:p w14:paraId="548608A8" w14:textId="77777777" w:rsidR="008C6E1B" w:rsidRDefault="008C6E1B" w:rsidP="0030620F">
            <w:pPr>
              <w:jc w:val="center"/>
            </w:pPr>
            <w:r>
              <w:rPr>
                <w:noProof/>
              </w:rPr>
              <w:drawing>
                <wp:inline distT="0" distB="0" distL="0" distR="0" wp14:anchorId="4008433C" wp14:editId="4FC0C303">
                  <wp:extent cx="1905000" cy="1426911"/>
                  <wp:effectExtent l="0" t="0" r="0" b="1905"/>
                  <wp:docPr id="70667" name="Image 70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33">
                            <a:extLst>
                              <a:ext uri="{28A0092B-C50C-407E-A947-70E740481C1C}">
                                <a14:useLocalDpi xmlns:a14="http://schemas.microsoft.com/office/drawing/2010/main" val="0"/>
                              </a:ext>
                            </a:extLst>
                          </a:blip>
                          <a:srcRect/>
                          <a:stretch>
                            <a:fillRect/>
                          </a:stretch>
                        </pic:blipFill>
                        <pic:spPr bwMode="auto">
                          <a:xfrm>
                            <a:off x="0" y="0"/>
                            <a:ext cx="1906829" cy="1428281"/>
                          </a:xfrm>
                          <a:prstGeom prst="rect">
                            <a:avLst/>
                          </a:prstGeom>
                          <a:noFill/>
                          <a:ln>
                            <a:noFill/>
                          </a:ln>
                        </pic:spPr>
                      </pic:pic>
                    </a:graphicData>
                  </a:graphic>
                </wp:inline>
              </w:drawing>
            </w:r>
          </w:p>
          <w:p w14:paraId="3606DCC2" w14:textId="3D4E5A2E" w:rsidR="008C6E1B" w:rsidRPr="0030620F" w:rsidRDefault="008C6E1B" w:rsidP="0030620F">
            <w:pPr>
              <w:jc w:val="center"/>
            </w:pPr>
            <w:r>
              <w:t>Fleurs blanches</w:t>
            </w:r>
            <w:r w:rsidR="00BE520F">
              <w:t xml:space="preserve"> et jaunes.</w:t>
            </w:r>
          </w:p>
        </w:tc>
        <w:tc>
          <w:tcPr>
            <w:tcW w:w="3472" w:type="dxa"/>
          </w:tcPr>
          <w:p w14:paraId="004F7A17" w14:textId="77777777" w:rsidR="008C6E1B" w:rsidRDefault="008C6E1B" w:rsidP="0030620F">
            <w:pPr>
              <w:jc w:val="center"/>
            </w:pPr>
            <w:r>
              <w:rPr>
                <w:noProof/>
              </w:rPr>
              <w:drawing>
                <wp:inline distT="0" distB="0" distL="0" distR="0" wp14:anchorId="25C65069" wp14:editId="6DA81DBF">
                  <wp:extent cx="1867173" cy="1619250"/>
                  <wp:effectExtent l="0" t="0" r="0" b="0"/>
                  <wp:docPr id="70668" name="Image 70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34">
                            <a:extLst>
                              <a:ext uri="{28A0092B-C50C-407E-A947-70E740481C1C}">
                                <a14:useLocalDpi xmlns:a14="http://schemas.microsoft.com/office/drawing/2010/main" val="0"/>
                              </a:ext>
                            </a:extLst>
                          </a:blip>
                          <a:srcRect/>
                          <a:stretch>
                            <a:fillRect/>
                          </a:stretch>
                        </pic:blipFill>
                        <pic:spPr bwMode="auto">
                          <a:xfrm>
                            <a:off x="0" y="0"/>
                            <a:ext cx="1870846" cy="1622435"/>
                          </a:xfrm>
                          <a:prstGeom prst="rect">
                            <a:avLst/>
                          </a:prstGeom>
                          <a:noFill/>
                          <a:ln>
                            <a:noFill/>
                          </a:ln>
                        </pic:spPr>
                      </pic:pic>
                    </a:graphicData>
                  </a:graphic>
                </wp:inline>
              </w:drawing>
            </w:r>
          </w:p>
          <w:p w14:paraId="404FC6DC" w14:textId="0327DE92" w:rsidR="008C6E1B" w:rsidRPr="0030620F" w:rsidRDefault="008C6E1B" w:rsidP="0030620F">
            <w:pPr>
              <w:jc w:val="center"/>
            </w:pPr>
            <w:r>
              <w:t>Champ de Luzerne (</w:t>
            </w:r>
            <w:r w:rsidRPr="008C6E1B">
              <w:rPr>
                <w:i/>
                <w:iCs/>
              </w:rPr>
              <w:t>Medicago sativa</w:t>
            </w:r>
            <w:r>
              <w:t>).</w:t>
            </w:r>
          </w:p>
        </w:tc>
      </w:tr>
    </w:tbl>
    <w:p w14:paraId="58D0C641" w14:textId="77777777" w:rsidR="0027265C" w:rsidRDefault="0027265C" w:rsidP="00D87D3F">
      <w:pPr>
        <w:spacing w:after="0" w:line="240" w:lineRule="auto"/>
      </w:pPr>
    </w:p>
    <w:p w14:paraId="7ED3CF4A" w14:textId="514BD997" w:rsidR="009B12A2" w:rsidRDefault="009B12A2" w:rsidP="00D87D3F">
      <w:pPr>
        <w:pStyle w:val="Titre2"/>
      </w:pPr>
      <w:bookmarkStart w:id="194" w:name="_Toc139181485"/>
      <w:r>
        <w:t>Vétiver (</w:t>
      </w:r>
      <w:r w:rsidRPr="00D87D3F">
        <w:rPr>
          <w:i/>
          <w:iCs/>
        </w:rPr>
        <w:t>Chrysopogon sp.)</w:t>
      </w:r>
      <w:bookmarkEnd w:id="194"/>
    </w:p>
    <w:p w14:paraId="6B274211" w14:textId="37762357" w:rsidR="009B12A2" w:rsidRDefault="009B12A2" w:rsidP="009B12A2">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1"/>
        <w:gridCol w:w="2268"/>
        <w:gridCol w:w="1674"/>
        <w:gridCol w:w="969"/>
        <w:gridCol w:w="1404"/>
      </w:tblGrid>
      <w:tr w:rsidR="009006D1" w:rsidRPr="000B6BE3" w14:paraId="7B2AF9EF" w14:textId="77777777" w:rsidTr="009006D1">
        <w:tc>
          <w:tcPr>
            <w:tcW w:w="4111" w:type="dxa"/>
          </w:tcPr>
          <w:p w14:paraId="28C7BC01" w14:textId="4949C298" w:rsidR="009006D1" w:rsidRPr="000B6BE3" w:rsidRDefault="009006D1" w:rsidP="00C17F76">
            <w:pPr>
              <w:rPr>
                <w:rFonts w:cstheme="minorHAnsi"/>
                <w:bCs/>
              </w:rPr>
            </w:pPr>
            <w:r w:rsidRPr="000B6BE3">
              <w:rPr>
                <w:rFonts w:cstheme="minorHAnsi"/>
                <w:bCs/>
              </w:rPr>
              <w:t>(</w:t>
            </w:r>
            <w:hyperlink r:id="rId2335" w:history="1">
              <w:r w:rsidRPr="000B6BE3">
                <w:rPr>
                  <w:rFonts w:cstheme="minorHAnsi"/>
                </w:rPr>
                <w:t>F</w:t>
              </w:r>
              <w:r w:rsidRPr="000B6BE3">
                <w:rPr>
                  <w:rStyle w:val="Lienhypertexte"/>
                  <w:rFonts w:cstheme="minorHAnsi"/>
                  <w:color w:val="0B0080"/>
                  <w:shd w:val="clear" w:color="auto" w:fill="FFFFFF"/>
                </w:rPr>
                <w:t>amille</w:t>
              </w:r>
            </w:hyperlink>
            <w:r w:rsidRPr="000B6BE3">
              <w:rPr>
                <w:rFonts w:cstheme="minorHAnsi"/>
                <w:color w:val="222222"/>
                <w:shd w:val="clear" w:color="auto" w:fill="FFFFFF"/>
              </w:rPr>
              <w:t> </w:t>
            </w:r>
            <w:r w:rsidRPr="00FC05CB">
              <w:rPr>
                <w:rFonts w:cstheme="minorHAnsi"/>
                <w:color w:val="000000" w:themeColor="text1"/>
                <w:shd w:val="clear" w:color="auto" w:fill="FFFFFF"/>
              </w:rPr>
              <w:t>des </w:t>
            </w:r>
            <w:hyperlink r:id="rId2336" w:tooltip="Poaceae" w:history="1">
              <w:r w:rsidR="00924D76" w:rsidRPr="00924D76">
                <w:rPr>
                  <w:rStyle w:val="Lienhypertexte"/>
                  <w:rFonts w:ascii="Calibri" w:hAnsi="Calibri" w:cs="Calibri"/>
                  <w:i/>
                  <w:iCs/>
                  <w:color w:val="0645AD"/>
                  <w:shd w:val="clear" w:color="auto" w:fill="FFFFFF"/>
                </w:rPr>
                <w:t>Poaceae</w:t>
              </w:r>
            </w:hyperlink>
            <w:r w:rsidR="00924D76" w:rsidRPr="00924D76">
              <w:rPr>
                <w:rFonts w:ascii="Calibri" w:hAnsi="Calibri" w:cs="Calibri"/>
                <w:color w:val="202122"/>
                <w:shd w:val="clear" w:color="auto" w:fill="FFFFFF"/>
              </w:rPr>
              <w:t> (Graminées)</w:t>
            </w:r>
            <w:r w:rsidRPr="00FC05CB">
              <w:rPr>
                <w:rFonts w:cstheme="minorHAnsi"/>
                <w:bCs/>
                <w:color w:val="000000" w:themeColor="text1"/>
              </w:rPr>
              <w:t>).</w:t>
            </w:r>
          </w:p>
          <w:p w14:paraId="11844BE8" w14:textId="77777777" w:rsidR="009006D1" w:rsidRPr="000B6BE3" w:rsidRDefault="009006D1" w:rsidP="00C17F76">
            <w:pPr>
              <w:rPr>
                <w:rFonts w:cstheme="minorHAnsi"/>
                <w:bCs/>
              </w:rPr>
            </w:pPr>
          </w:p>
          <w:p w14:paraId="1B60B915" w14:textId="77777777" w:rsidR="009006D1" w:rsidRPr="000B6BE3" w:rsidRDefault="009006D1" w:rsidP="00C17F76">
            <w:pPr>
              <w:rPr>
                <w:rFonts w:cstheme="minorHAnsi"/>
              </w:rPr>
            </w:pPr>
          </w:p>
        </w:tc>
        <w:tc>
          <w:tcPr>
            <w:tcW w:w="2268" w:type="dxa"/>
          </w:tcPr>
          <w:p w14:paraId="68A91E23" w14:textId="687A4A72" w:rsidR="009006D1" w:rsidRPr="000B6BE3" w:rsidRDefault="009006D1" w:rsidP="00C17F76">
            <w:pPr>
              <w:rPr>
                <w:rFonts w:cstheme="minorHAnsi"/>
              </w:rPr>
            </w:pPr>
            <w:r w:rsidRPr="00FC05CB">
              <w:rPr>
                <w:rFonts w:cstheme="minorHAnsi"/>
                <w:noProof/>
              </w:rPr>
              <w:drawing>
                <wp:inline distT="0" distB="0" distL="0" distR="0" wp14:anchorId="3AC3382A" wp14:editId="6E4E844A">
                  <wp:extent cx="514350" cy="733425"/>
                  <wp:effectExtent l="0" t="0" r="0" b="9525"/>
                  <wp:docPr id="70669" name="Image 11"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13" name="Image 11" descr="logo salinisation2_s.jpg"/>
                          <pic:cNvPicPr>
                            <a:picLocks noChangeAspect="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14350" cy="733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rPr>
              <w:t xml:space="preserve"> </w:t>
            </w:r>
            <w:r w:rsidRPr="009006D1">
              <w:rPr>
                <w:rFonts w:cstheme="minorHAnsi"/>
                <w:noProof/>
              </w:rPr>
              <w:drawing>
                <wp:inline distT="0" distB="0" distL="0" distR="0" wp14:anchorId="3686E675" wp14:editId="7043F7AF">
                  <wp:extent cx="411162" cy="552450"/>
                  <wp:effectExtent l="0" t="0" r="8255" b="0"/>
                  <wp:docPr id="81930" name="Image 9"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30" name="Image 9" descr="logo aride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11162" cy="552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674" w:type="dxa"/>
          </w:tcPr>
          <w:p w14:paraId="1A8BA586" w14:textId="535197E1" w:rsidR="009006D1" w:rsidRPr="009006D1" w:rsidRDefault="009006D1" w:rsidP="00C17F76">
            <w:pPr>
              <w:textAlignment w:val="baseline"/>
              <w:rPr>
                <w:rFonts w:eastAsia="+mn-ea" w:cstheme="minorHAnsi"/>
                <w:b/>
                <w:bCs/>
                <w:color w:val="008000"/>
                <w:kern w:val="24"/>
                <w:sz w:val="48"/>
                <w:szCs w:val="48"/>
              </w:rPr>
            </w:pPr>
            <w:r w:rsidRPr="009006D1">
              <w:rPr>
                <w:rFonts w:eastAsia="+mn-ea" w:cstheme="minorHAnsi"/>
                <w:b/>
                <w:bCs/>
                <w:color w:val="008000"/>
                <w:kern w:val="24"/>
                <w:sz w:val="48"/>
                <w:szCs w:val="48"/>
              </w:rPr>
              <w:t>$$</w:t>
            </w:r>
            <w:r>
              <w:rPr>
                <w:rFonts w:eastAsia="+mn-ea" w:cstheme="minorHAnsi"/>
                <w:b/>
                <w:bCs/>
                <w:color w:val="008000"/>
                <w:kern w:val="24"/>
                <w:sz w:val="48"/>
                <w:szCs w:val="48"/>
              </w:rPr>
              <w:t xml:space="preserve"> </w:t>
            </w:r>
            <w:r w:rsidRPr="009006D1">
              <w:rPr>
                <w:rFonts w:eastAsia="+mn-ea" w:cstheme="minorHAnsi"/>
                <w:b/>
                <w:bCs/>
                <w:color w:val="008000"/>
                <w:kern w:val="24"/>
                <w:sz w:val="52"/>
                <w:szCs w:val="52"/>
              </w:rPr>
              <w:t>U</w:t>
            </w:r>
          </w:p>
        </w:tc>
        <w:tc>
          <w:tcPr>
            <w:tcW w:w="969" w:type="dxa"/>
          </w:tcPr>
          <w:p w14:paraId="7A59B8B4" w14:textId="7C3C7FC1" w:rsidR="009006D1" w:rsidRPr="000B6BE3" w:rsidRDefault="009006D1" w:rsidP="00C17F76">
            <w:pPr>
              <w:rPr>
                <w:rFonts w:cstheme="minorHAnsi"/>
              </w:rPr>
            </w:pPr>
          </w:p>
        </w:tc>
        <w:tc>
          <w:tcPr>
            <w:tcW w:w="1404" w:type="dxa"/>
          </w:tcPr>
          <w:p w14:paraId="173CB1C6" w14:textId="77777777" w:rsidR="009006D1" w:rsidRPr="009006D1" w:rsidRDefault="009006D1" w:rsidP="009006D1">
            <w:pPr>
              <w:textAlignment w:val="baseline"/>
              <w:rPr>
                <w:rFonts w:eastAsia="+mn-ea" w:cstheme="minorHAnsi"/>
                <w:b/>
                <w:bCs/>
                <w:color w:val="008000"/>
                <w:kern w:val="24"/>
                <w:sz w:val="52"/>
                <w:szCs w:val="52"/>
              </w:rPr>
            </w:pPr>
            <w:r w:rsidRPr="009006D1">
              <w:rPr>
                <w:rFonts w:eastAsia="+mn-ea" w:cstheme="minorHAnsi"/>
                <w:b/>
                <w:bCs/>
                <w:color w:val="008000"/>
                <w:kern w:val="24"/>
                <w:sz w:val="52"/>
                <w:szCs w:val="52"/>
              </w:rPr>
              <w:t>↗</w:t>
            </w:r>
          </w:p>
          <w:p w14:paraId="5F0FC5FA" w14:textId="37FE1A55" w:rsidR="009006D1" w:rsidRPr="000B6BE3" w:rsidRDefault="009006D1" w:rsidP="00C17F76">
            <w:pPr>
              <w:rPr>
                <w:rFonts w:cstheme="minorHAnsi"/>
              </w:rPr>
            </w:pPr>
          </w:p>
        </w:tc>
      </w:tr>
    </w:tbl>
    <w:p w14:paraId="4A368637" w14:textId="77777777" w:rsidR="009006D1" w:rsidRDefault="009006D1" w:rsidP="009B12A2">
      <w:pPr>
        <w:spacing w:after="0" w:line="240" w:lineRule="auto"/>
      </w:pPr>
    </w:p>
    <w:p w14:paraId="45824098" w14:textId="77777777" w:rsidR="009B12A2" w:rsidRPr="009B12A2" w:rsidRDefault="009B12A2" w:rsidP="009B12A2">
      <w:pPr>
        <w:spacing w:after="0" w:line="240" w:lineRule="auto"/>
        <w:jc w:val="both"/>
      </w:pPr>
      <w:r w:rsidRPr="009B12A2">
        <w:t>Vétiver désigne plusieurs espèces du genre </w:t>
      </w:r>
      <w:hyperlink r:id="rId2337" w:history="1">
        <w:r w:rsidRPr="009B12A2">
          <w:rPr>
            <w:rStyle w:val="Lienhypertexte"/>
            <w:i/>
            <w:iCs/>
          </w:rPr>
          <w:t>Chrysopogon</w:t>
        </w:r>
      </w:hyperlink>
      <w:r w:rsidRPr="009B12A2">
        <w:t>. La plante se présente sous forme de grandes touffes vertes, dont la </w:t>
      </w:r>
      <w:hyperlink r:id="rId2338" w:history="1">
        <w:r w:rsidRPr="009B12A2">
          <w:rPr>
            <w:rStyle w:val="Lienhypertexte"/>
          </w:rPr>
          <w:t>racine</w:t>
        </w:r>
      </w:hyperlink>
      <w:r w:rsidRPr="009B12A2">
        <w:t xml:space="preserve">, se développant verticalement, peut atteindre des profondeurs allant jusqu'à trois mètres.  </w:t>
      </w:r>
    </w:p>
    <w:p w14:paraId="30F4E39C" w14:textId="77777777" w:rsidR="009B12A2" w:rsidRPr="009B12A2" w:rsidRDefault="009B12A2" w:rsidP="009B12A2">
      <w:pPr>
        <w:spacing w:after="0" w:line="240" w:lineRule="auto"/>
        <w:jc w:val="both"/>
      </w:pPr>
      <w:r w:rsidRPr="009B12A2">
        <w:t>La </w:t>
      </w:r>
      <w:hyperlink r:id="rId2339" w:history="1">
        <w:r w:rsidRPr="009B12A2">
          <w:rPr>
            <w:rStyle w:val="Lienhypertexte"/>
          </w:rPr>
          <w:t>racine</w:t>
        </w:r>
      </w:hyperlink>
      <w:r w:rsidRPr="009B12A2">
        <w:t> de vétiver distillée fournit une essence résineuse très épaisse utilisée en </w:t>
      </w:r>
      <w:hyperlink r:id="rId2340" w:history="1">
        <w:r w:rsidRPr="009B12A2">
          <w:rPr>
            <w:rStyle w:val="Lienhypertexte"/>
          </w:rPr>
          <w:t>parfumerie</w:t>
        </w:r>
      </w:hyperlink>
      <w:r w:rsidRPr="009B12A2">
        <w:t>.</w:t>
      </w:r>
    </w:p>
    <w:p w14:paraId="3DCCA0BA" w14:textId="77777777" w:rsidR="009B12A2" w:rsidRPr="009B12A2" w:rsidRDefault="009B12A2" w:rsidP="009B12A2">
      <w:pPr>
        <w:spacing w:after="0" w:line="240" w:lineRule="auto"/>
        <w:jc w:val="both"/>
      </w:pPr>
      <w:r w:rsidRPr="009B12A2">
        <w:t>Les </w:t>
      </w:r>
      <w:hyperlink r:id="rId2341" w:history="1">
        <w:r w:rsidRPr="009B12A2">
          <w:rPr>
            <w:rStyle w:val="Lienhypertexte"/>
          </w:rPr>
          <w:t>haies</w:t>
        </w:r>
      </w:hyperlink>
      <w:r w:rsidRPr="009B12A2">
        <w:t> de vétiver permettent également aux sols de conserver leur humidité, stabilisent les digues, réhabilitent les terrains vagues et peuvent même empêcher la </w:t>
      </w:r>
      <w:hyperlink r:id="rId2342" w:history="1">
        <w:r w:rsidRPr="009B12A2">
          <w:rPr>
            <w:rStyle w:val="Lienhypertexte"/>
          </w:rPr>
          <w:t>pollution</w:t>
        </w:r>
      </w:hyperlink>
      <w:r w:rsidRPr="009B12A2">
        <w:t> des ressources naturelles. Très peu cher, résistant à la plupart des maladies, le vétiver peut être planté y compris dans les terrains peu humides, contrairement à ce que l'on croyait auparavant.</w:t>
      </w:r>
    </w:p>
    <w:p w14:paraId="6E3EDD3A" w14:textId="77777777" w:rsidR="009B12A2" w:rsidRPr="009B12A2" w:rsidRDefault="009B12A2" w:rsidP="009B12A2">
      <w:pPr>
        <w:spacing w:after="0" w:line="240" w:lineRule="auto"/>
        <w:jc w:val="both"/>
      </w:pPr>
      <w:r w:rsidRPr="009B12A2">
        <w:t>Le vétiver permet aussi d'obtenir à peu de frais du </w:t>
      </w:r>
      <w:hyperlink r:id="rId2343" w:history="1">
        <w:r w:rsidRPr="009B12A2">
          <w:rPr>
            <w:rStyle w:val="Lienhypertexte"/>
          </w:rPr>
          <w:t>chaume</w:t>
        </w:r>
      </w:hyperlink>
      <w:r w:rsidRPr="009B12A2">
        <w:t> et de la </w:t>
      </w:r>
      <w:hyperlink r:id="rId2344" w:history="1">
        <w:r w:rsidRPr="009B12A2">
          <w:rPr>
            <w:rStyle w:val="Lienhypertexte"/>
          </w:rPr>
          <w:t>paille</w:t>
        </w:r>
      </w:hyperlink>
      <w:r w:rsidRPr="009B12A2">
        <w:t xml:space="preserve">, et </w:t>
      </w:r>
      <w:r w:rsidRPr="009B12A2">
        <w:rPr>
          <w:i/>
          <w:iCs/>
        </w:rPr>
        <w:t>peut aussi servir d'aliment pour le bétail.</w:t>
      </w:r>
    </w:p>
    <w:p w14:paraId="7CB9FC38" w14:textId="77777777" w:rsidR="009B12A2" w:rsidRPr="009B12A2" w:rsidRDefault="009B12A2" w:rsidP="009B12A2">
      <w:pPr>
        <w:spacing w:after="0" w:line="240" w:lineRule="auto"/>
        <w:jc w:val="both"/>
      </w:pPr>
      <w:r w:rsidRPr="009B12A2">
        <w:t>Elle sert de plante médicinale dans le traitement de certaines affections de peau et les fagots, de ses racines, d’insecticide.</w:t>
      </w:r>
    </w:p>
    <w:p w14:paraId="060DDDD1" w14:textId="77777777" w:rsidR="009B12A2" w:rsidRPr="009B12A2" w:rsidRDefault="009B12A2" w:rsidP="009B12A2">
      <w:pPr>
        <w:spacing w:after="0" w:line="240" w:lineRule="auto"/>
        <w:jc w:val="both"/>
      </w:pPr>
      <w:r w:rsidRPr="009B12A2">
        <w:t xml:space="preserve">Son système racinaire massif et bien structuré atteint une profondeur de 2 à 3mètres au cours de la première année. Ce réseau racinaire massif et épais fixe les sols et les compacte de la manière la plus solide. </w:t>
      </w:r>
      <w:r w:rsidRPr="009B12A2">
        <w:rPr>
          <w:b/>
          <w:bCs/>
        </w:rPr>
        <w:t xml:space="preserve">Ce réseau de racines très profondes confère également au Vétiver une grande tolérance à la sécheresse </w:t>
      </w:r>
      <w:r w:rsidRPr="009B12A2">
        <w:t xml:space="preserve">comme cela a été prouvé lors de la pire sécheresse survenue dans la province du Queensland, en Australie, au début des années 90 : la plante n’a pas </w:t>
      </w:r>
      <w:r w:rsidRPr="009B12A2">
        <w:lastRenderedPageBreak/>
        <w:t>seulement survécu mais elle a continué de pousser. En outre, le Vétiver dispose de caractéristiques enviables telles que :</w:t>
      </w:r>
    </w:p>
    <w:p w14:paraId="5D035CF0" w14:textId="77777777" w:rsidR="009B12A2" w:rsidRPr="009B12A2" w:rsidRDefault="009B12A2" w:rsidP="009B12A2">
      <w:pPr>
        <w:spacing w:after="0" w:line="240" w:lineRule="auto"/>
        <w:jc w:val="both"/>
      </w:pPr>
      <w:r w:rsidRPr="009B12A2">
        <w:t xml:space="preserve"> Une tige rigide et droite, pouvant résister à des niveaux d’eaux courantes (de 0,60 à 0,80 m).</w:t>
      </w:r>
    </w:p>
    <w:p w14:paraId="65113E00" w14:textId="77777777" w:rsidR="009B12A2" w:rsidRPr="009B12A2" w:rsidRDefault="009B12A2" w:rsidP="009B12A2">
      <w:pPr>
        <w:spacing w:after="0" w:line="240" w:lineRule="auto"/>
        <w:jc w:val="both"/>
      </w:pPr>
      <w:r w:rsidRPr="009B12A2">
        <w:t xml:space="preserve"> Constituer des haies très denses; lorsque les plants sont rapprochés, réduisant ainsi la vitesse des eaux de ruissellement et constituant des filtres très efficaces.</w:t>
      </w:r>
    </w:p>
    <w:p w14:paraId="61846588" w14:textId="77777777" w:rsidR="009B12A2" w:rsidRPr="009B12A2" w:rsidRDefault="009B12A2" w:rsidP="009B12A2">
      <w:pPr>
        <w:spacing w:after="0" w:line="240" w:lineRule="auto"/>
        <w:jc w:val="both"/>
      </w:pPr>
      <w:r w:rsidRPr="009B12A2">
        <w:t xml:space="preserve"> De nouvelles pousses émergent de la base, résistant ainsi aux piétinements et à la pression du broutage.</w:t>
      </w:r>
    </w:p>
    <w:p w14:paraId="2F3802F3" w14:textId="77777777" w:rsidR="009B12A2" w:rsidRPr="009B12A2" w:rsidRDefault="009B12A2" w:rsidP="009B12A2">
      <w:pPr>
        <w:spacing w:after="0" w:line="240" w:lineRule="auto"/>
        <w:jc w:val="both"/>
      </w:pPr>
      <w:r w:rsidRPr="009B12A2">
        <w:t xml:space="preserve"> De nouvelles racines se développent à partir de modules contenus dans les terres arables piégées. Le Vétiver continue de pousser sur les nouveaux niveaux du sol, formant éventuellement des terrasses, si la terre arable piégée n’est pas enlevée.</w:t>
      </w:r>
    </w:p>
    <w:p w14:paraId="12D5F760" w14:textId="77777777" w:rsidR="009B12A2" w:rsidRPr="009B12A2" w:rsidRDefault="009B12A2" w:rsidP="009B12A2">
      <w:pPr>
        <w:spacing w:after="0" w:line="240" w:lineRule="auto"/>
        <w:jc w:val="both"/>
      </w:pPr>
      <w:r w:rsidRPr="009B12A2">
        <w:t xml:space="preserve"> Une tolérance à des variations climatiques extrêmes, des périodes prolongées de sécheresse, d’inondation, de submersion et des températures extrêmes allant de –10°c à 48°c (en Australie) et même plus élevées en Chine, en Inde et en Afrique.</w:t>
      </w:r>
    </w:p>
    <w:p w14:paraId="357FE236" w14:textId="77777777" w:rsidR="009B12A2" w:rsidRPr="009B12A2" w:rsidRDefault="009B12A2" w:rsidP="009B12A2">
      <w:pPr>
        <w:spacing w:after="0" w:line="240" w:lineRule="auto"/>
        <w:jc w:val="both"/>
      </w:pPr>
      <w:r w:rsidRPr="009B12A2">
        <w:t xml:space="preserve"> Une capacité à repousser très rapidement après avoir été affecté par la sécheresse, le gel, la </w:t>
      </w:r>
      <w:r w:rsidRPr="009B12A2">
        <w:rPr>
          <w:b/>
          <w:bCs/>
        </w:rPr>
        <w:t>salinité</w:t>
      </w:r>
      <w:r w:rsidRPr="009B12A2">
        <w:t xml:space="preserve"> et autres conditions défavorables des sols et ce, dès que cessent ces effets défavorables. C’est une plante pionnière pour les terres à problèmes.</w:t>
      </w:r>
    </w:p>
    <w:p w14:paraId="0615FE46" w14:textId="77777777" w:rsidR="009B12A2" w:rsidRPr="009B12A2" w:rsidRDefault="009B12A2" w:rsidP="009B12A2">
      <w:pPr>
        <w:spacing w:after="0" w:line="240" w:lineRule="auto"/>
        <w:jc w:val="both"/>
      </w:pPr>
      <w:r w:rsidRPr="009B12A2">
        <w:t xml:space="preserve"> Une gamme étalée de pH du sol (de 3.0 à 10.5).</w:t>
      </w:r>
    </w:p>
    <w:p w14:paraId="14C86FF1" w14:textId="77777777" w:rsidR="009B12A2" w:rsidRPr="009B12A2" w:rsidRDefault="009B12A2" w:rsidP="009B12A2">
      <w:pPr>
        <w:spacing w:after="0" w:line="240" w:lineRule="auto"/>
        <w:jc w:val="both"/>
      </w:pPr>
      <w:r w:rsidRPr="009B12A2">
        <w:rPr>
          <w:b/>
          <w:bCs/>
        </w:rPr>
        <w:t xml:space="preserve"> Un niveau de tolérance élevé à la salinité des sols et à leur teneur en sodium </w:t>
      </w:r>
      <w:r w:rsidRPr="009B12A2">
        <w:t>et acide sulfurique.</w:t>
      </w:r>
    </w:p>
    <w:p w14:paraId="687B1FFA" w14:textId="77777777" w:rsidR="009B12A2" w:rsidRPr="009B12A2" w:rsidRDefault="009B12A2" w:rsidP="009B12A2">
      <w:pPr>
        <w:spacing w:after="0" w:line="240" w:lineRule="auto"/>
        <w:jc w:val="both"/>
      </w:pPr>
      <w:r w:rsidRPr="009B12A2">
        <w:rPr>
          <w:b/>
          <w:bCs/>
        </w:rPr>
        <w:t>Par contre, il ne supporte pas l’ombre et le manque de lumière. L’ombrage réduit sa croissance.</w:t>
      </w:r>
    </w:p>
    <w:p w14:paraId="5686B933" w14:textId="77777777" w:rsidR="009B12A2" w:rsidRPr="009B12A2" w:rsidRDefault="009B12A2" w:rsidP="009B12A2">
      <w:pPr>
        <w:spacing w:after="0" w:line="240" w:lineRule="auto"/>
        <w:jc w:val="both"/>
      </w:pPr>
      <w:r w:rsidRPr="009B12A2">
        <w:t xml:space="preserve">Sources : a) </w:t>
      </w:r>
      <w:hyperlink r:id="rId2345" w:history="1">
        <w:r w:rsidRPr="009B12A2">
          <w:rPr>
            <w:rStyle w:val="Lienhypertexte"/>
          </w:rPr>
          <w:t>http://fr.wikipedia.org/wiki/V%C3%A9tiver</w:t>
        </w:r>
      </w:hyperlink>
      <w:r w:rsidRPr="009B12A2">
        <w:t xml:space="preserve">, a) Protection des infrastructures par le vétiver, Paul Truong, Traduction par DynaEntreprises (Dakar), </w:t>
      </w:r>
      <w:hyperlink r:id="rId2346" w:history="1">
        <w:r w:rsidRPr="009B12A2">
          <w:rPr>
            <w:rStyle w:val="Lienhypertexte"/>
          </w:rPr>
          <w:t>http://www.vetiver.com/TVN_infra_fr.pdf</w:t>
        </w:r>
      </w:hyperlink>
      <w:r w:rsidRPr="009B12A2">
        <w:t xml:space="preserve">, b) manuel technique application du système vétiver, </w:t>
      </w:r>
      <w:hyperlink r:id="rId2347" w:history="1">
        <w:r w:rsidRPr="009B12A2">
          <w:rPr>
            <w:rStyle w:val="Lienhypertexte"/>
          </w:rPr>
          <w:t>http://www.vetiver.org/TVN_French%20manual%20v1opt.pdf</w:t>
        </w:r>
      </w:hyperlink>
      <w:r w:rsidRPr="009B12A2">
        <w:t xml:space="preserve"> </w:t>
      </w:r>
    </w:p>
    <w:p w14:paraId="46E16DDA" w14:textId="65E753AA" w:rsidR="009B12A2" w:rsidRDefault="009B12A2" w:rsidP="009B12A2">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9006D1" w14:paraId="4744770A" w14:textId="77777777" w:rsidTr="009006D1">
        <w:tc>
          <w:tcPr>
            <w:tcW w:w="5208" w:type="dxa"/>
          </w:tcPr>
          <w:p w14:paraId="2E76A9C4" w14:textId="77777777" w:rsidR="009006D1" w:rsidRDefault="009006D1" w:rsidP="009B12A2">
            <w:pPr>
              <w:jc w:val="center"/>
            </w:pPr>
            <w:r w:rsidRPr="009006D1">
              <w:rPr>
                <w:noProof/>
              </w:rPr>
              <w:drawing>
                <wp:inline distT="0" distB="0" distL="0" distR="0" wp14:anchorId="6BC83088" wp14:editId="79FABE59">
                  <wp:extent cx="2800350" cy="4371975"/>
                  <wp:effectExtent l="0" t="0" r="0" b="9525"/>
                  <wp:docPr id="82955" name="Image 11" descr="vetiver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55" name="Image 11" descr="vetiver2_s.jpg"/>
                          <pic:cNvPicPr>
                            <a:picLocks noChangeAspect="1"/>
                          </pic:cNvPicPr>
                        </pic:nvPicPr>
                        <pic:blipFill>
                          <a:blip r:embed="rId2348">
                            <a:extLst>
                              <a:ext uri="{28A0092B-C50C-407E-A947-70E740481C1C}">
                                <a14:useLocalDpi xmlns:a14="http://schemas.microsoft.com/office/drawing/2010/main" val="0"/>
                              </a:ext>
                            </a:extLst>
                          </a:blip>
                          <a:srcRect/>
                          <a:stretch>
                            <a:fillRect/>
                          </a:stretch>
                        </pic:blipFill>
                        <pic:spPr bwMode="auto">
                          <a:xfrm>
                            <a:off x="0" y="0"/>
                            <a:ext cx="2800350" cy="4371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684FB0AD" w14:textId="6E9FD3C6" w:rsidR="009006D1" w:rsidRDefault="009006D1" w:rsidP="009B12A2">
            <w:pPr>
              <w:jc w:val="center"/>
            </w:pPr>
            <w:r w:rsidRPr="009006D1">
              <w:t>Racines denses et profondes (2 mètres) d'un vétiver de 13 mois</w:t>
            </w:r>
            <w:r>
              <w:t>.</w:t>
            </w:r>
          </w:p>
        </w:tc>
        <w:tc>
          <w:tcPr>
            <w:tcW w:w="5208" w:type="dxa"/>
          </w:tcPr>
          <w:p w14:paraId="17DBB8AE" w14:textId="77777777" w:rsidR="009006D1" w:rsidRDefault="009006D1" w:rsidP="009B12A2">
            <w:pPr>
              <w:jc w:val="center"/>
            </w:pPr>
            <w:r w:rsidRPr="009006D1">
              <w:rPr>
                <w:noProof/>
              </w:rPr>
              <w:drawing>
                <wp:inline distT="0" distB="0" distL="0" distR="0" wp14:anchorId="1B4EAE33" wp14:editId="347DADA0">
                  <wp:extent cx="2533650" cy="3400425"/>
                  <wp:effectExtent l="0" t="0" r="0" b="9525"/>
                  <wp:docPr id="82954" name="Image 10" descr="Vetiver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54" name="Image 10" descr="Vetiver_s.jpg"/>
                          <pic:cNvPicPr>
                            <a:picLocks noChangeAspect="1"/>
                          </pic:cNvPicPr>
                        </pic:nvPicPr>
                        <pic:blipFill>
                          <a:blip r:embed="rId2349">
                            <a:extLst>
                              <a:ext uri="{28A0092B-C50C-407E-A947-70E740481C1C}">
                                <a14:useLocalDpi xmlns:a14="http://schemas.microsoft.com/office/drawing/2010/main" val="0"/>
                              </a:ext>
                            </a:extLst>
                          </a:blip>
                          <a:srcRect/>
                          <a:stretch>
                            <a:fillRect/>
                          </a:stretch>
                        </pic:blipFill>
                        <pic:spPr bwMode="auto">
                          <a:xfrm>
                            <a:off x="0" y="0"/>
                            <a:ext cx="2533650" cy="3400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16F2A74" w14:textId="77777777" w:rsidR="009006D1" w:rsidRPr="009006D1" w:rsidRDefault="009006D1" w:rsidP="009006D1">
            <w:pPr>
              <w:jc w:val="center"/>
            </w:pPr>
            <w:r w:rsidRPr="009006D1">
              <w:t>Racines d’un an : 3,3 m</w:t>
            </w:r>
          </w:p>
          <w:p w14:paraId="5439C4EC" w14:textId="41453A55" w:rsidR="009006D1" w:rsidRDefault="009006D1" w:rsidP="009B12A2">
            <w:pPr>
              <w:jc w:val="center"/>
            </w:pPr>
          </w:p>
        </w:tc>
      </w:tr>
      <w:tr w:rsidR="009006D1" w14:paraId="35531C7F" w14:textId="77777777" w:rsidTr="009006D1">
        <w:tc>
          <w:tcPr>
            <w:tcW w:w="5208" w:type="dxa"/>
          </w:tcPr>
          <w:p w14:paraId="70B0B46D" w14:textId="77777777" w:rsidR="009006D1" w:rsidRDefault="009006D1" w:rsidP="009B12A2">
            <w:pPr>
              <w:jc w:val="center"/>
            </w:pPr>
            <w:r w:rsidRPr="009006D1">
              <w:rPr>
                <w:noProof/>
              </w:rPr>
              <w:lastRenderedPageBreak/>
              <w:drawing>
                <wp:inline distT="0" distB="0" distL="0" distR="0" wp14:anchorId="64093C16" wp14:editId="51531652">
                  <wp:extent cx="2581275" cy="2752725"/>
                  <wp:effectExtent l="0" t="0" r="9525" b="9525"/>
                  <wp:docPr id="82957" name="Image 13" descr="vetiver3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57" name="Image 13" descr="vetiver3_s.jpg"/>
                          <pic:cNvPicPr>
                            <a:picLocks noChangeAspect="1"/>
                          </pic:cNvPicPr>
                        </pic:nvPicPr>
                        <pic:blipFill>
                          <a:blip r:embed="rId2350">
                            <a:extLst>
                              <a:ext uri="{28A0092B-C50C-407E-A947-70E740481C1C}">
                                <a14:useLocalDpi xmlns:a14="http://schemas.microsoft.com/office/drawing/2010/main" val="0"/>
                              </a:ext>
                            </a:extLst>
                          </a:blip>
                          <a:srcRect/>
                          <a:stretch>
                            <a:fillRect/>
                          </a:stretch>
                        </pic:blipFill>
                        <pic:spPr bwMode="auto">
                          <a:xfrm>
                            <a:off x="0" y="0"/>
                            <a:ext cx="2581275" cy="2752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897844A" w14:textId="508D4AC0" w:rsidR="009006D1" w:rsidRDefault="009006D1" w:rsidP="009006D1">
            <w:pPr>
              <w:jc w:val="center"/>
            </w:pPr>
            <w:r w:rsidRPr="009006D1">
              <w:t>Coupe verticale sur un remblai montrant une croissance racinaire de 3,6m pour un vétiver de 8 mois.</w:t>
            </w:r>
          </w:p>
        </w:tc>
        <w:tc>
          <w:tcPr>
            <w:tcW w:w="5208" w:type="dxa"/>
          </w:tcPr>
          <w:p w14:paraId="5D2DB654" w14:textId="77777777" w:rsidR="009006D1" w:rsidRDefault="009006D1" w:rsidP="009B12A2">
            <w:pPr>
              <w:jc w:val="center"/>
            </w:pPr>
            <w:r w:rsidRPr="009006D1">
              <w:rPr>
                <w:noProof/>
              </w:rPr>
              <w:drawing>
                <wp:inline distT="0" distB="0" distL="0" distR="0" wp14:anchorId="5E82D278" wp14:editId="5BD11E88">
                  <wp:extent cx="2466975" cy="1847850"/>
                  <wp:effectExtent l="0" t="0" r="9525" b="0"/>
                  <wp:docPr id="82959" name="Image 15" descr="Vetiver_Seneg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59" name="Image 15" descr="Vetiver_Senegal.jpg"/>
                          <pic:cNvPicPr>
                            <a:picLocks noChangeAspect="1"/>
                          </pic:cNvPicPr>
                        </pic:nvPicPr>
                        <pic:blipFill>
                          <a:blip r:embed="rId2351">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3B76C9E7" w14:textId="77777777" w:rsidR="009006D1" w:rsidRDefault="009006D1" w:rsidP="009B12A2">
            <w:pPr>
              <w:jc w:val="center"/>
            </w:pPr>
            <w:r w:rsidRPr="009006D1">
              <w:rPr>
                <w:noProof/>
              </w:rPr>
              <w:drawing>
                <wp:inline distT="0" distB="0" distL="0" distR="0" wp14:anchorId="71CA2CDC" wp14:editId="7427F878">
                  <wp:extent cx="1905000" cy="1428750"/>
                  <wp:effectExtent l="0" t="0" r="0" b="0"/>
                  <wp:docPr id="82961" name="Image 17" descr="Vetiver_Senega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61" name="Image 17" descr="Vetiver_Senegal2.jpg"/>
                          <pic:cNvPicPr>
                            <a:picLocks noChangeAspect="1"/>
                          </pic:cNvPicPr>
                        </pic:nvPicPr>
                        <pic:blipFill>
                          <a:blip r:embed="rId2352">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7BAD390" w14:textId="234D97A4" w:rsidR="009006D1" w:rsidRDefault="009006D1" w:rsidP="009B12A2">
            <w:pPr>
              <w:jc w:val="center"/>
            </w:pPr>
            <w:r w:rsidRPr="009006D1">
              <w:t>Projet de haies de vétivers anti-érosion, au Sénégal</w:t>
            </w:r>
            <w:r>
              <w:rPr>
                <w:rStyle w:val="Appelnotedebasdep"/>
              </w:rPr>
              <w:footnoteReference w:id="132"/>
            </w:r>
            <w:r w:rsidRPr="009006D1">
              <w:t xml:space="preserve">. </w:t>
            </w:r>
          </w:p>
        </w:tc>
      </w:tr>
    </w:tbl>
    <w:p w14:paraId="76818A7B" w14:textId="2F1E3163" w:rsidR="009B12A2" w:rsidRDefault="009B12A2" w:rsidP="00147C6F">
      <w:pPr>
        <w:spacing w:after="0" w:line="240" w:lineRule="auto"/>
      </w:pPr>
    </w:p>
    <w:p w14:paraId="66EAC9F5" w14:textId="542E0490" w:rsidR="0089104E" w:rsidRDefault="0089104E" w:rsidP="0089104E">
      <w:pPr>
        <w:spacing w:after="0" w:line="240" w:lineRule="auto"/>
      </w:pPr>
      <w:r w:rsidRPr="0089104E">
        <w:rPr>
          <w:i/>
          <w:iCs/>
        </w:rPr>
        <w:t>Pour lutter contre l’érosion, mieux vaut utiliser le vétiver que le figuier de barbarie</w:t>
      </w:r>
      <w:r>
        <w:t> :</w:t>
      </w:r>
    </w:p>
    <w:p w14:paraId="58529BFC" w14:textId="77777777" w:rsidR="0089104E" w:rsidRDefault="0089104E" w:rsidP="0089104E">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71"/>
        <w:gridCol w:w="4255"/>
      </w:tblGrid>
      <w:tr w:rsidR="0089104E" w14:paraId="17B60611" w14:textId="77777777" w:rsidTr="00520A81">
        <w:tc>
          <w:tcPr>
            <w:tcW w:w="5208" w:type="dxa"/>
          </w:tcPr>
          <w:p w14:paraId="74370688" w14:textId="77777777" w:rsidR="0089104E" w:rsidRDefault="0089104E" w:rsidP="00520A81">
            <w:pPr>
              <w:jc w:val="center"/>
            </w:pPr>
            <w:r w:rsidRPr="0089104E">
              <w:rPr>
                <w:noProof/>
              </w:rPr>
              <w:drawing>
                <wp:inline distT="0" distB="0" distL="0" distR="0" wp14:anchorId="0B7774F9" wp14:editId="00CF216B">
                  <wp:extent cx="3781425" cy="2114550"/>
                  <wp:effectExtent l="0" t="0" r="9525" b="0"/>
                  <wp:docPr id="83982" name="Picture 2" descr="C:\Users\LISAN\Pictures\plantes-halophytes-xerophiles\cactus planté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82" name="Picture 2" descr="C:\Users\LISAN\Pictures\plantes-halophytes-xerophiles\cactus plantés1.jpg"/>
                          <pic:cNvPicPr>
                            <a:picLocks noChangeAspect="1" noChangeArrowheads="1"/>
                          </pic:cNvPicPr>
                        </pic:nvPicPr>
                        <pic:blipFill>
                          <a:blip r:embed="rId2353">
                            <a:extLst>
                              <a:ext uri="{28A0092B-C50C-407E-A947-70E740481C1C}">
                                <a14:useLocalDpi xmlns:a14="http://schemas.microsoft.com/office/drawing/2010/main" val="0"/>
                              </a:ext>
                            </a:extLst>
                          </a:blip>
                          <a:srcRect/>
                          <a:stretch>
                            <a:fillRect/>
                          </a:stretch>
                        </pic:blipFill>
                        <pic:spPr bwMode="auto">
                          <a:xfrm>
                            <a:off x="0" y="0"/>
                            <a:ext cx="3781425" cy="2114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E029680" w14:textId="77777777" w:rsidR="0089104E" w:rsidRDefault="0089104E" w:rsidP="00520A81">
            <w:pPr>
              <w:jc w:val="both"/>
            </w:pPr>
            <w:r w:rsidRPr="0089104E">
              <w:t>↑ Cette photo, montrant des cactus [des figuiers de barbarie, semble-t-il] plantés dans le cadre d’un projet de la FAO en Tunisie, a été prise en 1970 pour illustrer les mesures de lutte contre l’érosion. Actuellement, la FAO conduit un programme destiné à restaurer 12 000 hectares de terres dégradées, à l’aide de techniques similaires</w:t>
            </w:r>
            <w:r>
              <w:rPr>
                <w:rStyle w:val="Appelnotedebasdep"/>
              </w:rPr>
              <w:footnoteReference w:id="133"/>
            </w:r>
            <w:r w:rsidRPr="0089104E">
              <w:t xml:space="preserve">. </w:t>
            </w:r>
          </w:p>
        </w:tc>
        <w:tc>
          <w:tcPr>
            <w:tcW w:w="5208" w:type="dxa"/>
          </w:tcPr>
          <w:p w14:paraId="44549985" w14:textId="77777777" w:rsidR="0089104E" w:rsidRDefault="0089104E" w:rsidP="00520A81">
            <w:pPr>
              <w:jc w:val="center"/>
            </w:pPr>
            <w:r w:rsidRPr="0089104E">
              <w:rPr>
                <w:noProof/>
              </w:rPr>
              <w:drawing>
                <wp:inline distT="0" distB="0" distL="0" distR="0" wp14:anchorId="2541B8C0" wp14:editId="65595E0A">
                  <wp:extent cx="2571750" cy="1409700"/>
                  <wp:effectExtent l="0" t="0" r="0" b="0"/>
                  <wp:docPr id="83984" name="Picture 4" descr="C:\Users\LISAN\Pictures\plantes-halophytes-xerophiles\Cactus planté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84" name="Picture 4" descr="C:\Users\LISAN\Pictures\plantes-halophytes-xerophiles\Cactus plantés2.jpg"/>
                          <pic:cNvPicPr>
                            <a:picLocks noChangeAspect="1" noChangeArrowheads="1"/>
                          </pic:cNvPicPr>
                        </pic:nvPicPr>
                        <pic:blipFill>
                          <a:blip r:embed="rId2354">
                            <a:extLst>
                              <a:ext uri="{28A0092B-C50C-407E-A947-70E740481C1C}">
                                <a14:useLocalDpi xmlns:a14="http://schemas.microsoft.com/office/drawing/2010/main" val="0"/>
                              </a:ext>
                            </a:extLst>
                          </a:blip>
                          <a:srcRect/>
                          <a:stretch>
                            <a:fillRect/>
                          </a:stretch>
                        </pic:blipFill>
                        <pic:spPr bwMode="auto">
                          <a:xfrm>
                            <a:off x="0" y="0"/>
                            <a:ext cx="2571750" cy="140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C92683E" w14:textId="77777777" w:rsidR="0089104E" w:rsidRDefault="0089104E" w:rsidP="00520A81">
            <w:pPr>
              <w:jc w:val="center"/>
            </w:pPr>
            <w:r w:rsidRPr="0089104E">
              <w:rPr>
                <w:noProof/>
              </w:rPr>
              <w:drawing>
                <wp:inline distT="0" distB="0" distL="0" distR="0" wp14:anchorId="30798521" wp14:editId="40F51CE7">
                  <wp:extent cx="1476375" cy="1514475"/>
                  <wp:effectExtent l="0" t="0" r="9525" b="9525"/>
                  <wp:docPr id="83983" name="Picture 3" descr="C:\Users\LISAN\Pictures\plantes-halophytes-xerophiles\Cactus planté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83" name="Picture 3" descr="C:\Users\LISAN\Pictures\plantes-halophytes-xerophiles\Cactus plantés3.jpg"/>
                          <pic:cNvPicPr>
                            <a:picLocks noChangeAspect="1" noChangeArrowheads="1"/>
                          </pic:cNvPicPr>
                        </pic:nvPicPr>
                        <pic:blipFill>
                          <a:blip r:embed="rId2355">
                            <a:extLst>
                              <a:ext uri="{28A0092B-C50C-407E-A947-70E740481C1C}">
                                <a14:useLocalDpi xmlns:a14="http://schemas.microsoft.com/office/drawing/2010/main" val="0"/>
                              </a:ext>
                            </a:extLst>
                          </a:blip>
                          <a:srcRect/>
                          <a:stretch>
                            <a:fillRect/>
                          </a:stretch>
                        </pic:blipFill>
                        <pic:spPr bwMode="auto">
                          <a:xfrm>
                            <a:off x="0" y="0"/>
                            <a:ext cx="1476375" cy="151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3D137140" w14:textId="77777777" w:rsidR="0089104E" w:rsidRDefault="0089104E" w:rsidP="0089104E">
      <w:pPr>
        <w:spacing w:after="0" w:line="240" w:lineRule="auto"/>
        <w:jc w:val="cente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18"/>
        <w:gridCol w:w="6808"/>
      </w:tblGrid>
      <w:tr w:rsidR="0089104E" w14:paraId="2E8DA81F" w14:textId="77777777" w:rsidTr="00520A81">
        <w:tc>
          <w:tcPr>
            <w:tcW w:w="2689" w:type="dxa"/>
          </w:tcPr>
          <w:p w14:paraId="2DEC6B22" w14:textId="77777777" w:rsidR="0089104E" w:rsidRDefault="0089104E" w:rsidP="00520A81">
            <w:pPr>
              <w:jc w:val="center"/>
            </w:pPr>
            <w:r w:rsidRPr="0089104E">
              <w:rPr>
                <w:noProof/>
              </w:rPr>
              <w:lastRenderedPageBreak/>
              <w:drawing>
                <wp:inline distT="0" distB="0" distL="0" distR="0" wp14:anchorId="1662A290" wp14:editId="61031D37">
                  <wp:extent cx="2160588" cy="1609725"/>
                  <wp:effectExtent l="0" t="0" r="0" b="0"/>
                  <wp:docPr id="83985" name="Picture 4" descr="C:\Users\LISAN\Documents\DVD-DevDurable\eau\eau-Potabilisation-GestionDeLEau-Irrigation\irrigation-stockage-eau\images\Stone bun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85" name="Picture 4" descr="C:\Users\LISAN\Documents\DVD-DevDurable\eau\eau-Potabilisation-GestionDeLEau-Irrigation\irrigation-stockage-eau\images\Stone bunds.jpg"/>
                          <pic:cNvPicPr>
                            <a:picLocks noChangeAspect="1" noChangeArrowheads="1"/>
                          </pic:cNvPicPr>
                        </pic:nvPicPr>
                        <pic:blipFill>
                          <a:blip r:embed="rId2356">
                            <a:extLst>
                              <a:ext uri="{28A0092B-C50C-407E-A947-70E740481C1C}">
                                <a14:useLocalDpi xmlns:a14="http://schemas.microsoft.com/office/drawing/2010/main" val="0"/>
                              </a:ext>
                            </a:extLst>
                          </a:blip>
                          <a:srcRect/>
                          <a:stretch>
                            <a:fillRect/>
                          </a:stretch>
                        </pic:blipFill>
                        <pic:spPr bwMode="auto">
                          <a:xfrm>
                            <a:off x="0" y="0"/>
                            <a:ext cx="2160588" cy="1609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7727" w:type="dxa"/>
          </w:tcPr>
          <w:p w14:paraId="61D6CABF" w14:textId="77777777" w:rsidR="0089104E" w:rsidRPr="0089104E" w:rsidRDefault="0089104E" w:rsidP="00520A81">
            <w:pPr>
              <w:jc w:val="both"/>
            </w:pPr>
            <w:r w:rsidRPr="0089104E">
              <w:rPr>
                <w:u w:val="single"/>
              </w:rPr>
              <w:t>Observation</w:t>
            </w:r>
            <w:r w:rsidRPr="0089104E">
              <w:t xml:space="preserve"> :</w:t>
            </w:r>
          </w:p>
          <w:p w14:paraId="082CE199" w14:textId="77777777" w:rsidR="0089104E" w:rsidRDefault="0089104E" w:rsidP="00520A81">
            <w:pPr>
              <w:jc w:val="both"/>
            </w:pPr>
            <w:r w:rsidRPr="0089104E">
              <w:t>Or à cause du caractère invasif des figuiers de barbarie, il aurait mieux valu planter du « vétiver noir » (</w:t>
            </w:r>
            <w:hyperlink r:id="rId2357" w:history="1">
              <w:r w:rsidRPr="0089104E">
                <w:rPr>
                  <w:rStyle w:val="Lienhypertexte"/>
                  <w:i/>
                  <w:iCs/>
                </w:rPr>
                <w:t>Chrysopogon</w:t>
              </w:r>
            </w:hyperlink>
            <w:hyperlink r:id="rId2358" w:history="1">
              <w:r w:rsidRPr="0089104E">
                <w:rPr>
                  <w:rStyle w:val="Lienhypertexte"/>
                  <w:i/>
                  <w:iCs/>
                </w:rPr>
                <w:t xml:space="preserve"> </w:t>
              </w:r>
            </w:hyperlink>
            <w:hyperlink r:id="rId2359" w:history="1">
              <w:r w:rsidRPr="0089104E">
                <w:rPr>
                  <w:rStyle w:val="Lienhypertexte"/>
                  <w:i/>
                  <w:iCs/>
                </w:rPr>
                <w:t>nigritanus</w:t>
              </w:r>
            </w:hyperlink>
            <w:r w:rsidRPr="0089104E">
              <w:t>) (voir pages suivantes sur cette espèce de vétiver, résistant à la sécheresse). A moins que la zones de plantation soit très aride et sèche, avec des périodes de sécheresse longues de 6 à 10 mois et des précipitations de 100 mm-300 mm.</w:t>
            </w:r>
          </w:p>
          <w:p w14:paraId="3CD766C0" w14:textId="77777777" w:rsidR="0089104E" w:rsidRDefault="0089104E" w:rsidP="00520A81">
            <w:pPr>
              <w:jc w:val="both"/>
            </w:pPr>
          </w:p>
        </w:tc>
      </w:tr>
    </w:tbl>
    <w:p w14:paraId="34597503" w14:textId="77777777" w:rsidR="0089104E" w:rsidRDefault="0089104E" w:rsidP="00147C6F">
      <w:pPr>
        <w:spacing w:after="0" w:line="240" w:lineRule="auto"/>
      </w:pPr>
    </w:p>
    <w:p w14:paraId="5BD2791F" w14:textId="4DF8CB36" w:rsidR="009006D1" w:rsidRDefault="00F10F08" w:rsidP="00D87D3F">
      <w:pPr>
        <w:pStyle w:val="Titre2"/>
      </w:pPr>
      <w:bookmarkStart w:id="195" w:name="_Toc139181486"/>
      <w:r w:rsidRPr="00F10F08">
        <w:t>Vétiver (</w:t>
      </w:r>
      <w:hyperlink r:id="rId2360" w:history="1">
        <w:r w:rsidRPr="00F10F08">
          <w:rPr>
            <w:rStyle w:val="Lienhypertexte"/>
            <w:i/>
            <w:iCs/>
          </w:rPr>
          <w:t>Chrysopogon</w:t>
        </w:r>
      </w:hyperlink>
      <w:hyperlink r:id="rId2361" w:history="1">
        <w:r w:rsidRPr="00F10F08">
          <w:rPr>
            <w:rStyle w:val="Lienhypertexte"/>
            <w:i/>
            <w:iCs/>
          </w:rPr>
          <w:t xml:space="preserve"> </w:t>
        </w:r>
      </w:hyperlink>
      <w:hyperlink r:id="rId2362" w:history="1">
        <w:r w:rsidRPr="00F10F08">
          <w:rPr>
            <w:rStyle w:val="Lienhypertexte"/>
            <w:i/>
            <w:iCs/>
          </w:rPr>
          <w:t>zizanioides</w:t>
        </w:r>
      </w:hyperlink>
      <w:r w:rsidRPr="00F10F08">
        <w:t>)</w:t>
      </w:r>
      <w:bookmarkEnd w:id="195"/>
    </w:p>
    <w:p w14:paraId="5C98AD62" w14:textId="68406F7A" w:rsidR="00F10F08" w:rsidRDefault="00F10F08" w:rsidP="009006D1">
      <w:pPr>
        <w:spacing w:after="0" w:line="240" w:lineRule="auto"/>
      </w:pPr>
    </w:p>
    <w:p w14:paraId="4DD58A7A" w14:textId="77777777" w:rsidR="00F10F08" w:rsidRPr="00F10F08" w:rsidRDefault="00F10F08" w:rsidP="00F10F08">
      <w:pPr>
        <w:spacing w:after="0" w:line="240" w:lineRule="auto"/>
        <w:jc w:val="both"/>
      </w:pPr>
      <w:r w:rsidRPr="00F10F08">
        <w:t>Elle mesure de 1 à 2,5 mètres de haut. Elle est originaire d'</w:t>
      </w:r>
      <w:hyperlink r:id="rId2363" w:history="1">
        <w:r w:rsidRPr="00F10F08">
          <w:rPr>
            <w:rStyle w:val="Lienhypertexte"/>
          </w:rPr>
          <w:t>Asie</w:t>
        </w:r>
      </w:hyperlink>
      <w:r w:rsidRPr="00F10F08">
        <w:t>. Elle est naturalisée dans d'autres régions (sub-)tropicales, notamment aux </w:t>
      </w:r>
      <w:hyperlink r:id="rId2364" w:history="1">
        <w:r w:rsidRPr="00F10F08">
          <w:rPr>
            <w:rStyle w:val="Lienhypertexte"/>
          </w:rPr>
          <w:t>États-Unis</w:t>
        </w:r>
      </w:hyperlink>
      <w:r w:rsidRPr="00F10F08">
        <w:t>. Elle est notamment cultivée en Inde et dans l'île de la Réunion.</w:t>
      </w:r>
    </w:p>
    <w:p w14:paraId="142E3F97" w14:textId="77777777" w:rsidR="00F10F08" w:rsidRPr="00F10F08" w:rsidRDefault="00F10F08" w:rsidP="00F10F08">
      <w:pPr>
        <w:spacing w:after="0" w:line="240" w:lineRule="auto"/>
        <w:jc w:val="both"/>
      </w:pPr>
      <w:r w:rsidRPr="00F10F08">
        <w:t>Cette espèce est utilisée pour lutter contre l'érosion du sol et n'est en aucun cas invasive. On extrait de la racine de cette plante par </w:t>
      </w:r>
      <w:hyperlink r:id="rId2365" w:history="1">
        <w:r w:rsidRPr="00F10F08">
          <w:rPr>
            <w:rStyle w:val="Lienhypertexte"/>
          </w:rPr>
          <w:t>distillation</w:t>
        </w:r>
      </w:hyperlink>
      <w:r w:rsidRPr="00F10F08">
        <w:t> à la vapeur une </w:t>
      </w:r>
      <w:hyperlink r:id="rId2366" w:history="1">
        <w:r w:rsidRPr="00F10F08">
          <w:rPr>
            <w:rStyle w:val="Lienhypertexte"/>
          </w:rPr>
          <w:t>huile essentielle</w:t>
        </w:r>
      </w:hyperlink>
      <w:r w:rsidRPr="00F10F08">
        <w:t> aromatique à l'odeur forte et tenace utilisée en parfumerie ou savonnerie. Elle est d'ailleurs parfois qualifiée de « faux-patchouli ». Elle sert de note de fond aux parfums ou à préserver les vêtements de laine ou de fourrure des attaques des insectes. Cette espèce est la principale espèce de </w:t>
      </w:r>
      <w:hyperlink r:id="rId2367" w:history="1">
        <w:r w:rsidRPr="00F10F08">
          <w:rPr>
            <w:rStyle w:val="Lienhypertexte"/>
          </w:rPr>
          <w:t>vétivers</w:t>
        </w:r>
      </w:hyperlink>
      <w:r w:rsidRPr="00F10F08">
        <w:t>.</w:t>
      </w:r>
    </w:p>
    <w:p w14:paraId="252694C5" w14:textId="77777777" w:rsidR="00F10F08" w:rsidRDefault="00F10F08" w:rsidP="00F10F08">
      <w:pPr>
        <w:spacing w:after="0" w:line="240" w:lineRule="auto"/>
      </w:pPr>
      <w:r w:rsidRPr="00F10F08">
        <w:t xml:space="preserve">Sources : a) </w:t>
      </w:r>
      <w:hyperlink r:id="rId2368" w:history="1">
        <w:r w:rsidRPr="00F10F08">
          <w:rPr>
            <w:rStyle w:val="Lienhypertexte"/>
          </w:rPr>
          <w:t>http://fr.wikipedia.org/wiki/Chrysopogon_zizanioides</w:t>
        </w:r>
      </w:hyperlink>
      <w:r w:rsidRPr="00F10F08">
        <w:t xml:space="preserve">, </w:t>
      </w:r>
    </w:p>
    <w:p w14:paraId="4D4A5274" w14:textId="0331B62D" w:rsidR="00F10F08" w:rsidRPr="00F10F08" w:rsidRDefault="00F10F08" w:rsidP="00F10F08">
      <w:pPr>
        <w:spacing w:after="0" w:line="240" w:lineRule="auto"/>
        <w:rPr>
          <w:lang w:val="en-GB"/>
        </w:rPr>
      </w:pPr>
      <w:r w:rsidRPr="00F10F08">
        <w:rPr>
          <w:lang w:val="en-GB"/>
        </w:rPr>
        <w:t xml:space="preserve">b) </w:t>
      </w:r>
      <w:hyperlink r:id="rId2369" w:history="1">
        <w:r w:rsidRPr="00F10F08">
          <w:rPr>
            <w:rStyle w:val="Lienhypertexte"/>
            <w:lang w:val="en-GB"/>
          </w:rPr>
          <w:t>http://en.wikipedia.org/wiki/Chrysopogon_zizanioides</w:t>
        </w:r>
      </w:hyperlink>
      <w:r w:rsidRPr="00F10F08">
        <w:rPr>
          <w:lang w:val="en-GB"/>
        </w:rPr>
        <w:t xml:space="preserve">, </w:t>
      </w:r>
    </w:p>
    <w:p w14:paraId="0B018439" w14:textId="7C530866" w:rsidR="00F10F08" w:rsidRDefault="00F10F08" w:rsidP="00F10F08">
      <w:pPr>
        <w:spacing w:after="0" w:line="240" w:lineRule="auto"/>
      </w:pPr>
      <w:r w:rsidRPr="00F10F08">
        <w:t>c) Le vétiver (</w:t>
      </w:r>
      <w:r w:rsidRPr="00F10F08">
        <w:rPr>
          <w:i/>
          <w:iCs/>
        </w:rPr>
        <w:t>Chrysopogon zizanioides</w:t>
      </w:r>
      <w:r w:rsidRPr="00F10F08">
        <w:t xml:space="preserve">) une méthode de conservation des sols, </w:t>
      </w:r>
      <w:hyperlink r:id="rId2370" w:history="1">
        <w:r w:rsidRPr="00F10F08">
          <w:rPr>
            <w:rStyle w:val="Lienhypertexte"/>
          </w:rPr>
          <w:t>http</w:t>
        </w:r>
        <w:r>
          <w:rPr>
            <w:rStyle w:val="Lienhypertexte"/>
          </w:rPr>
          <w:t> </w:t>
        </w:r>
        <w:r w:rsidRPr="00F10F08">
          <w:rPr>
            <w:rStyle w:val="Lienhypertexte"/>
          </w:rPr>
          <w:t>://www.vetiver.com/TVN_GreenFrench.pdf</w:t>
        </w:r>
      </w:hyperlink>
    </w:p>
    <w:p w14:paraId="5958F316" w14:textId="26C3B3FE" w:rsidR="00F10F08" w:rsidRDefault="00F10F08" w:rsidP="009006D1">
      <w:pPr>
        <w:spacing w:after="0" w:line="240" w:lineRule="auto"/>
      </w:pPr>
    </w:p>
    <w:p w14:paraId="3CDCF1B6" w14:textId="14C3D279" w:rsidR="00F10F08" w:rsidRDefault="00F10F08" w:rsidP="00F10F08">
      <w:pPr>
        <w:spacing w:after="0" w:line="240" w:lineRule="auto"/>
        <w:jc w:val="center"/>
      </w:pPr>
      <w:r w:rsidRPr="00F10F08">
        <w:rPr>
          <w:noProof/>
        </w:rPr>
        <w:drawing>
          <wp:inline distT="0" distB="0" distL="0" distR="0" wp14:anchorId="40E617B8" wp14:editId="5628C2BD">
            <wp:extent cx="2762250" cy="2076450"/>
            <wp:effectExtent l="0" t="0" r="0" b="0"/>
            <wp:docPr id="85004" name="Image 11" descr="Vetiveria_zizanioides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04" name="Image 11" descr="Vetiveria_zizanioides0.jpg"/>
                    <pic:cNvPicPr>
                      <a:picLocks noChangeAspect="1"/>
                    </pic:cNvPicPr>
                  </pic:nvPicPr>
                  <pic:blipFill>
                    <a:blip r:embed="rId2371">
                      <a:extLst>
                        <a:ext uri="{28A0092B-C50C-407E-A947-70E740481C1C}">
                          <a14:useLocalDpi xmlns:a14="http://schemas.microsoft.com/office/drawing/2010/main" val="0"/>
                        </a:ext>
                      </a:extLst>
                    </a:blip>
                    <a:srcRect/>
                    <a:stretch>
                      <a:fillRect/>
                    </a:stretch>
                  </pic:blipFill>
                  <pic:spPr bwMode="auto">
                    <a:xfrm>
                      <a:off x="0" y="0"/>
                      <a:ext cx="2762250" cy="2076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A7980DF" w14:textId="77777777" w:rsidR="00D87D3F" w:rsidRDefault="00D87D3F" w:rsidP="00D87D3F">
      <w:pPr>
        <w:spacing w:after="0" w:line="240" w:lineRule="auto"/>
      </w:pPr>
    </w:p>
    <w:p w14:paraId="376E1C23" w14:textId="7D608254" w:rsidR="00F10F08" w:rsidRDefault="00147C6F" w:rsidP="00D87D3F">
      <w:pPr>
        <w:pStyle w:val="Titre2"/>
      </w:pPr>
      <w:bookmarkStart w:id="196" w:name="_Toc139181487"/>
      <w:r w:rsidRPr="00147C6F">
        <w:t>Vétiver (</w:t>
      </w:r>
      <w:hyperlink r:id="rId2372" w:history="1">
        <w:r w:rsidRPr="00147C6F">
          <w:rPr>
            <w:rStyle w:val="Lienhypertexte"/>
            <w:i/>
            <w:iCs/>
          </w:rPr>
          <w:t>Chrysopogon</w:t>
        </w:r>
      </w:hyperlink>
      <w:hyperlink r:id="rId2373" w:history="1">
        <w:r w:rsidRPr="00147C6F">
          <w:rPr>
            <w:rStyle w:val="Lienhypertexte"/>
            <w:i/>
            <w:iCs/>
          </w:rPr>
          <w:t xml:space="preserve"> </w:t>
        </w:r>
      </w:hyperlink>
      <w:hyperlink r:id="rId2374" w:history="1">
        <w:r w:rsidRPr="00147C6F">
          <w:rPr>
            <w:rStyle w:val="Lienhypertexte"/>
            <w:i/>
            <w:iCs/>
          </w:rPr>
          <w:t>nigritanus</w:t>
        </w:r>
      </w:hyperlink>
      <w:r w:rsidRPr="00147C6F">
        <w:t>)</w:t>
      </w:r>
      <w:bookmarkEnd w:id="196"/>
    </w:p>
    <w:p w14:paraId="2A324AD3" w14:textId="565C7DD4" w:rsidR="00147C6F" w:rsidRDefault="00147C6F" w:rsidP="00F10F08">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1"/>
        <w:gridCol w:w="2268"/>
        <w:gridCol w:w="1674"/>
        <w:gridCol w:w="969"/>
        <w:gridCol w:w="1404"/>
      </w:tblGrid>
      <w:tr w:rsidR="00924D76" w:rsidRPr="000B6BE3" w14:paraId="59BF3386" w14:textId="77777777" w:rsidTr="00C17F76">
        <w:tc>
          <w:tcPr>
            <w:tcW w:w="4111" w:type="dxa"/>
          </w:tcPr>
          <w:p w14:paraId="749B8445" w14:textId="77777777" w:rsidR="00924D76" w:rsidRPr="000B6BE3" w:rsidRDefault="00924D76" w:rsidP="00C17F76">
            <w:pPr>
              <w:rPr>
                <w:rFonts w:cstheme="minorHAnsi"/>
                <w:bCs/>
              </w:rPr>
            </w:pPr>
            <w:r w:rsidRPr="000B6BE3">
              <w:rPr>
                <w:rFonts w:cstheme="minorHAnsi"/>
                <w:bCs/>
              </w:rPr>
              <w:t>(</w:t>
            </w:r>
            <w:hyperlink r:id="rId2375" w:history="1">
              <w:r w:rsidRPr="000B6BE3">
                <w:rPr>
                  <w:rFonts w:cstheme="minorHAnsi"/>
                </w:rPr>
                <w:t>F</w:t>
              </w:r>
              <w:r w:rsidRPr="000B6BE3">
                <w:rPr>
                  <w:rStyle w:val="Lienhypertexte"/>
                  <w:rFonts w:cstheme="minorHAnsi"/>
                  <w:color w:val="0B0080"/>
                  <w:shd w:val="clear" w:color="auto" w:fill="FFFFFF"/>
                </w:rPr>
                <w:t>amille</w:t>
              </w:r>
            </w:hyperlink>
            <w:r w:rsidRPr="000B6BE3">
              <w:rPr>
                <w:rFonts w:cstheme="minorHAnsi"/>
                <w:color w:val="222222"/>
                <w:shd w:val="clear" w:color="auto" w:fill="FFFFFF"/>
              </w:rPr>
              <w:t> </w:t>
            </w:r>
            <w:r w:rsidRPr="00FC05CB">
              <w:rPr>
                <w:rFonts w:cstheme="minorHAnsi"/>
                <w:color w:val="000000" w:themeColor="text1"/>
                <w:shd w:val="clear" w:color="auto" w:fill="FFFFFF"/>
              </w:rPr>
              <w:t>des </w:t>
            </w:r>
            <w:hyperlink r:id="rId2376" w:tooltip="Poaceae" w:history="1">
              <w:r w:rsidRPr="00924D76">
                <w:rPr>
                  <w:rStyle w:val="Lienhypertexte"/>
                  <w:rFonts w:ascii="Calibri" w:hAnsi="Calibri" w:cs="Calibri"/>
                  <w:i/>
                  <w:iCs/>
                  <w:color w:val="0645AD"/>
                  <w:shd w:val="clear" w:color="auto" w:fill="FFFFFF"/>
                </w:rPr>
                <w:t>Poaceae</w:t>
              </w:r>
            </w:hyperlink>
            <w:r w:rsidRPr="00924D76">
              <w:rPr>
                <w:rFonts w:ascii="Calibri" w:hAnsi="Calibri" w:cs="Calibri"/>
                <w:color w:val="202122"/>
                <w:shd w:val="clear" w:color="auto" w:fill="FFFFFF"/>
              </w:rPr>
              <w:t> (Graminées)</w:t>
            </w:r>
            <w:r w:rsidRPr="00FC05CB">
              <w:rPr>
                <w:rFonts w:cstheme="minorHAnsi"/>
                <w:bCs/>
                <w:color w:val="000000" w:themeColor="text1"/>
              </w:rPr>
              <w:t>).</w:t>
            </w:r>
          </w:p>
          <w:p w14:paraId="0D2E4068" w14:textId="77777777" w:rsidR="00924D76" w:rsidRPr="000B6BE3" w:rsidRDefault="00924D76" w:rsidP="00C17F76">
            <w:pPr>
              <w:rPr>
                <w:rFonts w:cstheme="minorHAnsi"/>
                <w:bCs/>
              </w:rPr>
            </w:pPr>
          </w:p>
          <w:p w14:paraId="42699AA4" w14:textId="77777777" w:rsidR="00924D76" w:rsidRPr="000B6BE3" w:rsidRDefault="00924D76" w:rsidP="00C17F76">
            <w:pPr>
              <w:rPr>
                <w:rFonts w:cstheme="minorHAnsi"/>
              </w:rPr>
            </w:pPr>
          </w:p>
        </w:tc>
        <w:tc>
          <w:tcPr>
            <w:tcW w:w="2268" w:type="dxa"/>
          </w:tcPr>
          <w:p w14:paraId="685E5CA5" w14:textId="77777777" w:rsidR="00924D76" w:rsidRPr="000B6BE3" w:rsidRDefault="00924D76" w:rsidP="00C17F76">
            <w:pPr>
              <w:rPr>
                <w:rFonts w:cstheme="minorHAnsi"/>
              </w:rPr>
            </w:pPr>
            <w:r w:rsidRPr="00FC05CB">
              <w:rPr>
                <w:rFonts w:cstheme="minorHAnsi"/>
                <w:noProof/>
              </w:rPr>
              <w:drawing>
                <wp:inline distT="0" distB="0" distL="0" distR="0" wp14:anchorId="172883FC" wp14:editId="085C0808">
                  <wp:extent cx="514350" cy="733425"/>
                  <wp:effectExtent l="0" t="0" r="0" b="9525"/>
                  <wp:docPr id="70672" name="Image 11"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13" name="Image 11" descr="logo salinisation2_s.jpg"/>
                          <pic:cNvPicPr>
                            <a:picLocks noChangeAspect="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14350" cy="733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rPr>
              <w:t xml:space="preserve"> </w:t>
            </w:r>
            <w:r w:rsidRPr="009006D1">
              <w:rPr>
                <w:rFonts w:cstheme="minorHAnsi"/>
                <w:noProof/>
              </w:rPr>
              <w:drawing>
                <wp:inline distT="0" distB="0" distL="0" distR="0" wp14:anchorId="4DACD832" wp14:editId="7AEEE654">
                  <wp:extent cx="411162" cy="552450"/>
                  <wp:effectExtent l="0" t="0" r="8255" b="0"/>
                  <wp:docPr id="70673" name="Image 9"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30" name="Image 9" descr="logo aride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11162" cy="552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674" w:type="dxa"/>
          </w:tcPr>
          <w:p w14:paraId="07150255" w14:textId="77777777" w:rsidR="00924D76" w:rsidRPr="009006D1" w:rsidRDefault="00924D76" w:rsidP="00C17F76">
            <w:pPr>
              <w:textAlignment w:val="baseline"/>
              <w:rPr>
                <w:rFonts w:eastAsia="+mn-ea" w:cstheme="minorHAnsi"/>
                <w:b/>
                <w:bCs/>
                <w:color w:val="008000"/>
                <w:kern w:val="24"/>
                <w:sz w:val="48"/>
                <w:szCs w:val="48"/>
              </w:rPr>
            </w:pPr>
            <w:r w:rsidRPr="009006D1">
              <w:rPr>
                <w:rFonts w:eastAsia="+mn-ea" w:cstheme="minorHAnsi"/>
                <w:b/>
                <w:bCs/>
                <w:color w:val="008000"/>
                <w:kern w:val="24"/>
                <w:sz w:val="48"/>
                <w:szCs w:val="48"/>
              </w:rPr>
              <w:t>$$</w:t>
            </w:r>
            <w:r>
              <w:rPr>
                <w:rFonts w:eastAsia="+mn-ea" w:cstheme="minorHAnsi"/>
                <w:b/>
                <w:bCs/>
                <w:color w:val="008000"/>
                <w:kern w:val="24"/>
                <w:sz w:val="48"/>
                <w:szCs w:val="48"/>
              </w:rPr>
              <w:t xml:space="preserve"> </w:t>
            </w:r>
            <w:r w:rsidRPr="009006D1">
              <w:rPr>
                <w:rFonts w:eastAsia="+mn-ea" w:cstheme="minorHAnsi"/>
                <w:b/>
                <w:bCs/>
                <w:color w:val="008000"/>
                <w:kern w:val="24"/>
                <w:sz w:val="52"/>
                <w:szCs w:val="52"/>
              </w:rPr>
              <w:t>U</w:t>
            </w:r>
          </w:p>
        </w:tc>
        <w:tc>
          <w:tcPr>
            <w:tcW w:w="969" w:type="dxa"/>
          </w:tcPr>
          <w:p w14:paraId="4C0728EE" w14:textId="77777777" w:rsidR="00924D76" w:rsidRPr="000B6BE3" w:rsidRDefault="00924D76" w:rsidP="00C17F76">
            <w:pPr>
              <w:rPr>
                <w:rFonts w:cstheme="minorHAnsi"/>
              </w:rPr>
            </w:pPr>
          </w:p>
        </w:tc>
        <w:tc>
          <w:tcPr>
            <w:tcW w:w="1404" w:type="dxa"/>
          </w:tcPr>
          <w:p w14:paraId="49BA1930" w14:textId="77777777" w:rsidR="00924D76" w:rsidRPr="009006D1" w:rsidRDefault="00924D76" w:rsidP="00C17F76">
            <w:pPr>
              <w:textAlignment w:val="baseline"/>
              <w:rPr>
                <w:rFonts w:eastAsia="+mn-ea" w:cstheme="minorHAnsi"/>
                <w:b/>
                <w:bCs/>
                <w:color w:val="008000"/>
                <w:kern w:val="24"/>
                <w:sz w:val="52"/>
                <w:szCs w:val="52"/>
              </w:rPr>
            </w:pPr>
            <w:r w:rsidRPr="009006D1">
              <w:rPr>
                <w:rFonts w:eastAsia="+mn-ea" w:cstheme="minorHAnsi"/>
                <w:b/>
                <w:bCs/>
                <w:color w:val="008000"/>
                <w:kern w:val="24"/>
                <w:sz w:val="52"/>
                <w:szCs w:val="52"/>
              </w:rPr>
              <w:t>↗</w:t>
            </w:r>
          </w:p>
          <w:p w14:paraId="03652168" w14:textId="77777777" w:rsidR="00924D76" w:rsidRPr="000B6BE3" w:rsidRDefault="00924D76" w:rsidP="00C17F76">
            <w:pPr>
              <w:rPr>
                <w:rFonts w:cstheme="minorHAnsi"/>
              </w:rPr>
            </w:pPr>
          </w:p>
        </w:tc>
      </w:tr>
    </w:tbl>
    <w:p w14:paraId="35540DA0" w14:textId="77777777" w:rsidR="00924D76" w:rsidRDefault="00924D76" w:rsidP="00F10F08">
      <w:pPr>
        <w:spacing w:after="0" w:line="240" w:lineRule="auto"/>
      </w:pPr>
    </w:p>
    <w:p w14:paraId="309CBE06" w14:textId="564CA23B" w:rsidR="00147C6F" w:rsidRPr="00147C6F" w:rsidRDefault="00147C6F" w:rsidP="00147C6F">
      <w:pPr>
        <w:spacing w:after="0" w:line="240" w:lineRule="auto"/>
        <w:jc w:val="both"/>
      </w:pPr>
      <w:r w:rsidRPr="00147C6F">
        <w:t xml:space="preserve">Le </w:t>
      </w:r>
      <w:r w:rsidRPr="00147C6F">
        <w:rPr>
          <w:b/>
          <w:bCs/>
        </w:rPr>
        <w:t>vetiver noir,</w:t>
      </w:r>
      <w:r w:rsidRPr="00147C6F">
        <w:t> est une espèce d’</w:t>
      </w:r>
      <w:hyperlink r:id="rId2377" w:history="1">
        <w:r w:rsidRPr="00147C6F">
          <w:rPr>
            <w:rStyle w:val="Lienhypertexte"/>
          </w:rPr>
          <w:t>herbe</w:t>
        </w:r>
      </w:hyperlink>
      <w:r w:rsidRPr="00147C6F">
        <w:t xml:space="preserve"> vivace (de la famille </w:t>
      </w:r>
      <w:hyperlink r:id="rId2378" w:history="1">
        <w:r w:rsidRPr="00147C6F">
          <w:rPr>
            <w:rStyle w:val="Lienhypertexte"/>
          </w:rPr>
          <w:t>Poaceae</w:t>
        </w:r>
      </w:hyperlink>
      <w:r>
        <w:t>)</w:t>
      </w:r>
      <w:r w:rsidRPr="00147C6F">
        <w:t>. Plus précisément, </w:t>
      </w:r>
      <w:r w:rsidRPr="00147C6F">
        <w:rPr>
          <w:i/>
          <w:iCs/>
        </w:rPr>
        <w:t>Vetiveria nigritana</w:t>
      </w:r>
      <w:r w:rsidRPr="00147C6F">
        <w:t> est un type d’herbe très dense et de grande taille, profondément enracinée dans le sol et est généralement utilisé pour protéger les cultures et empêcher l</w:t>
      </w:r>
      <w:hyperlink r:id="rId2379" w:history="1">
        <w:r w:rsidRPr="00147C6F">
          <w:rPr>
            <w:rStyle w:val="Lienhypertexte"/>
          </w:rPr>
          <w:t>’érosion des sols</w:t>
        </w:r>
      </w:hyperlink>
      <w:r w:rsidRPr="00147C6F">
        <w:t> </w:t>
      </w:r>
      <w:hyperlink r:id="rId2380" w:history="1">
        <w:r w:rsidRPr="00147C6F">
          <w:rPr>
            <w:rStyle w:val="Lienhypertexte"/>
            <w:vertAlign w:val="superscript"/>
          </w:rPr>
          <w:t>[1]</w:t>
        </w:r>
      </w:hyperlink>
      <w:r w:rsidRPr="00147C6F">
        <w:t>. </w:t>
      </w:r>
      <w:r w:rsidRPr="00147C6F">
        <w:rPr>
          <w:i/>
          <w:iCs/>
        </w:rPr>
        <w:t>Vetiveria nigritana</w:t>
      </w:r>
      <w:r w:rsidRPr="00147C6F">
        <w:t xml:space="preserve"> est également une espèce indigène à l'Afrique et est le plus souvent observée au </w:t>
      </w:r>
      <w:hyperlink r:id="rId2381" w:history="1">
        <w:r w:rsidRPr="00147C6F">
          <w:rPr>
            <w:rStyle w:val="Lienhypertexte"/>
          </w:rPr>
          <w:t>Nigeria</w:t>
        </w:r>
      </w:hyperlink>
      <w:r w:rsidRPr="00147C6F">
        <w:t> , </w:t>
      </w:r>
      <w:hyperlink r:id="rId2382" w:history="1">
        <w:r w:rsidRPr="00147C6F">
          <w:rPr>
            <w:rStyle w:val="Lienhypertexte"/>
          </w:rPr>
          <w:t>Afrique du Nord</w:t>
        </w:r>
      </w:hyperlink>
      <w:r w:rsidRPr="00147C6F">
        <w:t> , </w:t>
      </w:r>
      <w:hyperlink r:id="rId2383" w:history="1">
        <w:r w:rsidRPr="00147C6F">
          <w:rPr>
            <w:rStyle w:val="Lienhypertexte"/>
          </w:rPr>
          <w:t>Afrique de l'Est</w:t>
        </w:r>
      </w:hyperlink>
      <w:r w:rsidRPr="00147C6F">
        <w:t> et les régions tropicales de l</w:t>
      </w:r>
      <w:hyperlink r:id="rId2384" w:history="1">
        <w:r w:rsidRPr="00147C6F">
          <w:rPr>
            <w:rStyle w:val="Lienhypertexte"/>
          </w:rPr>
          <w:t>’Afrique du Sud</w:t>
        </w:r>
      </w:hyperlink>
      <w:r w:rsidRPr="00147C6F">
        <w:t>. </w:t>
      </w:r>
    </w:p>
    <w:p w14:paraId="0832C0A1" w14:textId="0D54B2B6" w:rsidR="00147C6F" w:rsidRPr="00147C6F" w:rsidRDefault="00147C6F" w:rsidP="00147C6F">
      <w:pPr>
        <w:spacing w:after="0" w:line="240" w:lineRule="auto"/>
        <w:jc w:val="both"/>
      </w:pPr>
      <w:r w:rsidRPr="00147C6F">
        <w:lastRenderedPageBreak/>
        <w:t>En outre, la plante, comme d'autres </w:t>
      </w:r>
      <w:hyperlink r:id="rId2385" w:history="1">
        <w:r w:rsidRPr="00147C6F">
          <w:rPr>
            <w:rStyle w:val="Lienhypertexte"/>
          </w:rPr>
          <w:t>vétivers</w:t>
        </w:r>
      </w:hyperlink>
      <w:r w:rsidRPr="00147C6F">
        <w:t xml:space="preserve">, a été utilisé dans ces régions en raison de son </w:t>
      </w:r>
      <w:r w:rsidRPr="00147C6F">
        <w:rPr>
          <w:b/>
          <w:bCs/>
        </w:rPr>
        <w:t>extrême </w:t>
      </w:r>
      <w:hyperlink r:id="rId2386" w:history="1">
        <w:r w:rsidRPr="00147C6F">
          <w:rPr>
            <w:rStyle w:val="Lienhypertexte"/>
            <w:b/>
            <w:bCs/>
          </w:rPr>
          <w:t>tolérance à la sécheresse</w:t>
        </w:r>
      </w:hyperlink>
      <w:r w:rsidRPr="00147C6F">
        <w:t>, sa capacité à croître dans le sol infertile et le fait qu'il peut vivre sous la submersion complète. En fait, </w:t>
      </w:r>
      <w:r w:rsidRPr="00147C6F">
        <w:rPr>
          <w:i/>
          <w:iCs/>
        </w:rPr>
        <w:t>Vetiveria nigritana</w:t>
      </w:r>
      <w:r w:rsidRPr="00147C6F">
        <w:t> peut prospérer dans un très large éventail de conditions environnementales et climatiques.</w:t>
      </w:r>
    </w:p>
    <w:p w14:paraId="5D5755DC" w14:textId="77777777" w:rsidR="00147C6F" w:rsidRDefault="00147C6F" w:rsidP="00147C6F">
      <w:pPr>
        <w:spacing w:after="0" w:line="240" w:lineRule="auto"/>
        <w:jc w:val="both"/>
      </w:pPr>
      <w:r w:rsidRPr="00147C6F">
        <w:rPr>
          <w:i/>
          <w:iCs/>
        </w:rPr>
        <w:t>Vetiveria nigritana</w:t>
      </w:r>
      <w:r w:rsidRPr="00147C6F">
        <w:t> est une plante très bénéfique dans </w:t>
      </w:r>
      <w:hyperlink r:id="rId2387" w:history="1">
        <w:r w:rsidRPr="00147C6F">
          <w:rPr>
            <w:rStyle w:val="Lienhypertexte"/>
          </w:rPr>
          <w:t>l'agriculture de subsistance</w:t>
        </w:r>
      </w:hyperlink>
      <w:r w:rsidRPr="00147C6F">
        <w:t>, en particulier en Afrique, en raison de sa capacité à préserver les sols et à réduire le ruissellement de l'eau, finalement en corrélation avec des rendements plus élevés. En outre, la plante est également bénéfique dans la protection des récoltes stockées et les plantes, parce que la plante peut être utilisé comme un répulsif ou un moyen de détruire les larves de parasites avant qu'ils aient la capacité d'influer sur le stock d'un agriculteur. </w:t>
      </w:r>
      <w:r w:rsidRPr="00147C6F">
        <w:rPr>
          <w:i/>
          <w:iCs/>
        </w:rPr>
        <w:t>Vetiveria nigritana</w:t>
      </w:r>
      <w:r w:rsidRPr="00147C6F">
        <w:t xml:space="preserve"> a également diverses applications médicales rentables pour les agriculteurs de subsistance et peut être utilisé comme </w:t>
      </w:r>
      <w:r w:rsidRPr="00147C6F">
        <w:rPr>
          <w:i/>
          <w:iCs/>
        </w:rPr>
        <w:t>alimentation pour maintenir l</w:t>
      </w:r>
      <w:hyperlink r:id="rId2388" w:history="1">
        <w:r w:rsidRPr="00147C6F">
          <w:rPr>
            <w:rStyle w:val="Lienhypertexte"/>
            <w:i/>
            <w:iCs/>
          </w:rPr>
          <w:t>’élevage</w:t>
        </w:r>
      </w:hyperlink>
      <w:r w:rsidRPr="00147C6F">
        <w:t xml:space="preserve"> en l'absence d'autres aliments les plus courants. </w:t>
      </w:r>
    </w:p>
    <w:p w14:paraId="1E1488CD" w14:textId="54F886C7" w:rsidR="00147C6F" w:rsidRPr="00147C6F" w:rsidRDefault="00147C6F" w:rsidP="00147C6F">
      <w:pPr>
        <w:spacing w:after="0" w:line="240" w:lineRule="auto"/>
        <w:jc w:val="both"/>
      </w:pPr>
      <w:r w:rsidRPr="00147C6F">
        <w:t xml:space="preserve">Source : a) </w:t>
      </w:r>
      <w:hyperlink r:id="rId2389" w:history="1">
        <w:r w:rsidRPr="00147C6F">
          <w:rPr>
            <w:rStyle w:val="Lienhypertexte"/>
          </w:rPr>
          <w:t>http://en.wikipedia.org/wiki/Chrysopogon_nigritanus</w:t>
        </w:r>
      </w:hyperlink>
      <w:r w:rsidRPr="00147C6F">
        <w:t xml:space="preserve"> </w:t>
      </w:r>
    </w:p>
    <w:p w14:paraId="54DEA454" w14:textId="3A07217F" w:rsidR="00F10F08" w:rsidRDefault="00F10F08" w:rsidP="00147C6F">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94"/>
        <w:gridCol w:w="2339"/>
        <w:gridCol w:w="4193"/>
      </w:tblGrid>
      <w:tr w:rsidR="00924D76" w14:paraId="37ACE669" w14:textId="77777777" w:rsidTr="009B16D6">
        <w:tc>
          <w:tcPr>
            <w:tcW w:w="3472" w:type="dxa"/>
          </w:tcPr>
          <w:p w14:paraId="093BCCAE" w14:textId="46986AB3" w:rsidR="00924D76" w:rsidRDefault="009B16D6" w:rsidP="00924D76">
            <w:pPr>
              <w:jc w:val="center"/>
            </w:pPr>
            <w:r w:rsidRPr="009B16D6">
              <w:rPr>
                <w:noProof/>
              </w:rPr>
              <w:drawing>
                <wp:inline distT="0" distB="0" distL="0" distR="0" wp14:anchorId="60423C21" wp14:editId="29A169B6">
                  <wp:extent cx="2343150" cy="1768210"/>
                  <wp:effectExtent l="0" t="0" r="0" b="3810"/>
                  <wp:docPr id="86030" name="Image 13" descr="Chrysopogon nigritana_Mali.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30" name="Image 13" descr="Chrysopogon nigritana_Mali.jpeg"/>
                          <pic:cNvPicPr>
                            <a:picLocks noChangeAspect="1"/>
                          </pic:cNvPicPr>
                        </pic:nvPicPr>
                        <pic:blipFill>
                          <a:blip r:embed="rId2390">
                            <a:extLst>
                              <a:ext uri="{28A0092B-C50C-407E-A947-70E740481C1C}">
                                <a14:useLocalDpi xmlns:a14="http://schemas.microsoft.com/office/drawing/2010/main" val="0"/>
                              </a:ext>
                            </a:extLst>
                          </a:blip>
                          <a:srcRect/>
                          <a:stretch>
                            <a:fillRect/>
                          </a:stretch>
                        </pic:blipFill>
                        <pic:spPr bwMode="auto">
                          <a:xfrm>
                            <a:off x="0" y="0"/>
                            <a:ext cx="2346965" cy="1771089"/>
                          </a:xfrm>
                          <a:prstGeom prst="rect">
                            <a:avLst/>
                          </a:prstGeom>
                          <a:noFill/>
                          <a:ln>
                            <a:noFill/>
                          </a:ln>
                        </pic:spPr>
                      </pic:pic>
                    </a:graphicData>
                  </a:graphic>
                </wp:inline>
              </w:drawing>
            </w:r>
          </w:p>
        </w:tc>
        <w:tc>
          <w:tcPr>
            <w:tcW w:w="3472" w:type="dxa"/>
          </w:tcPr>
          <w:p w14:paraId="5627ECBA" w14:textId="6DFC98A6" w:rsidR="00924D76" w:rsidRDefault="009B16D6" w:rsidP="00924D76">
            <w:pPr>
              <w:jc w:val="center"/>
            </w:pPr>
            <w:r w:rsidRPr="009B16D6">
              <w:rPr>
                <w:noProof/>
              </w:rPr>
              <w:drawing>
                <wp:inline distT="0" distB="0" distL="0" distR="0" wp14:anchorId="0E790747" wp14:editId="5418E2B8">
                  <wp:extent cx="1343025" cy="1793875"/>
                  <wp:effectExtent l="0" t="0" r="9525" b="0"/>
                  <wp:docPr id="86029" name="Picture 12" descr="C:\Users\LISAN\Pictures\plantes-halophytes-xerophiles\Chrysopogon nigritanu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29" name="Picture 12" descr="C:\Users\LISAN\Pictures\plantes-halophytes-xerophiles\Chrysopogon nigritanus1.jpg"/>
                          <pic:cNvPicPr>
                            <a:picLocks noChangeAspect="1" noChangeArrowheads="1"/>
                          </pic:cNvPicPr>
                        </pic:nvPicPr>
                        <pic:blipFill>
                          <a:blip r:embed="rId2391">
                            <a:extLst>
                              <a:ext uri="{28A0092B-C50C-407E-A947-70E740481C1C}">
                                <a14:useLocalDpi xmlns:a14="http://schemas.microsoft.com/office/drawing/2010/main" val="0"/>
                              </a:ext>
                            </a:extLst>
                          </a:blip>
                          <a:srcRect/>
                          <a:stretch>
                            <a:fillRect/>
                          </a:stretch>
                        </pic:blipFill>
                        <pic:spPr bwMode="auto">
                          <a:xfrm>
                            <a:off x="0" y="0"/>
                            <a:ext cx="1343025" cy="1793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54B17A47" w14:textId="3C65C1E4" w:rsidR="00924D76" w:rsidRDefault="009B16D6" w:rsidP="00924D76">
            <w:pPr>
              <w:jc w:val="center"/>
            </w:pPr>
            <w:r w:rsidRPr="009B16D6">
              <w:rPr>
                <w:noProof/>
              </w:rPr>
              <w:drawing>
                <wp:inline distT="0" distB="0" distL="0" distR="0" wp14:anchorId="26CC2B7C" wp14:editId="12C7028A">
                  <wp:extent cx="2533650" cy="1649607"/>
                  <wp:effectExtent l="0" t="0" r="0" b="8255"/>
                  <wp:docPr id="86028" name="Picture 11" descr="C:\Users\LISAN\Pictures\plantes-halophytes-xerophiles\Chrysopogon nigritanu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28" name="Picture 11" descr="C:\Users\LISAN\Pictures\plantes-halophytes-xerophiles\Chrysopogon nigritanus2.jpg"/>
                          <pic:cNvPicPr>
                            <a:picLocks noChangeAspect="1" noChangeArrowheads="1"/>
                          </pic:cNvPicPr>
                        </pic:nvPicPr>
                        <pic:blipFill>
                          <a:blip r:embed="rId2392">
                            <a:extLst>
                              <a:ext uri="{28A0092B-C50C-407E-A947-70E740481C1C}">
                                <a14:useLocalDpi xmlns:a14="http://schemas.microsoft.com/office/drawing/2010/main" val="0"/>
                              </a:ext>
                            </a:extLst>
                          </a:blip>
                          <a:srcRect/>
                          <a:stretch>
                            <a:fillRect/>
                          </a:stretch>
                        </pic:blipFill>
                        <pic:spPr bwMode="auto">
                          <a:xfrm>
                            <a:off x="0" y="0"/>
                            <a:ext cx="2536412" cy="1651406"/>
                          </a:xfrm>
                          <a:prstGeom prst="rect">
                            <a:avLst/>
                          </a:prstGeom>
                          <a:noFill/>
                          <a:ln>
                            <a:noFill/>
                          </a:ln>
                        </pic:spPr>
                      </pic:pic>
                    </a:graphicData>
                  </a:graphic>
                </wp:inline>
              </w:drawing>
            </w:r>
          </w:p>
        </w:tc>
      </w:tr>
    </w:tbl>
    <w:p w14:paraId="3E9CDE14" w14:textId="77777777" w:rsidR="00924D76" w:rsidRDefault="00924D76" w:rsidP="00924D76">
      <w:pPr>
        <w:spacing w:after="0" w:line="240" w:lineRule="auto"/>
        <w:jc w:val="center"/>
      </w:pPr>
    </w:p>
    <w:p w14:paraId="6A276B12" w14:textId="18984C4B" w:rsidR="00147C6F" w:rsidRDefault="00FA0AAF" w:rsidP="00D87D3F">
      <w:pPr>
        <w:pStyle w:val="Titre2"/>
      </w:pPr>
      <w:bookmarkStart w:id="197" w:name="_Toc139181488"/>
      <w:r w:rsidRPr="00FA0AAF">
        <w:t>Vétiver (</w:t>
      </w:r>
      <w:hyperlink r:id="rId2393" w:history="1">
        <w:r w:rsidRPr="00FA0AAF">
          <w:rPr>
            <w:rStyle w:val="Lienhypertexte"/>
            <w:i/>
            <w:iCs/>
          </w:rPr>
          <w:t>Chrysopogon</w:t>
        </w:r>
      </w:hyperlink>
      <w:hyperlink r:id="rId2394" w:history="1">
        <w:r w:rsidRPr="00FA0AAF">
          <w:rPr>
            <w:rStyle w:val="Lienhypertexte"/>
            <w:i/>
            <w:iCs/>
          </w:rPr>
          <w:t xml:space="preserve"> </w:t>
        </w:r>
      </w:hyperlink>
      <w:hyperlink r:id="rId2395" w:history="1">
        <w:r w:rsidRPr="00FA0AAF">
          <w:rPr>
            <w:rStyle w:val="Lienhypertexte"/>
            <w:i/>
            <w:iCs/>
          </w:rPr>
          <w:t>nemoralis</w:t>
        </w:r>
      </w:hyperlink>
      <w:r w:rsidRPr="00FA0AAF">
        <w:t>)</w:t>
      </w:r>
      <w:bookmarkEnd w:id="197"/>
    </w:p>
    <w:p w14:paraId="59A96814" w14:textId="1E291D35" w:rsidR="00FA0AAF" w:rsidRDefault="00FA0AAF" w:rsidP="00147C6F">
      <w:pPr>
        <w:spacing w:after="0" w:line="240" w:lineRule="auto"/>
        <w:jc w:val="both"/>
      </w:pPr>
    </w:p>
    <w:p w14:paraId="14BC8D02" w14:textId="77777777" w:rsidR="007B3ED7" w:rsidRPr="007B3ED7" w:rsidRDefault="007B3ED7" w:rsidP="007B3ED7">
      <w:pPr>
        <w:spacing w:after="0" w:line="240" w:lineRule="auto"/>
        <w:jc w:val="both"/>
      </w:pPr>
      <w:r w:rsidRPr="007B3ED7">
        <w:t>Cette espèce de vétiver indigène est très répandue dans les montagnes de la Thaïlande, du Laos et du Vietnam et le plus probable au Cambodge et au Myanmar ainsi. Il est largement utilisé en Thaïlande pour faire de la chaume. Cette espèce n'est pas stérile, les principales différences entre </w:t>
      </w:r>
      <w:r w:rsidRPr="007B3ED7">
        <w:rPr>
          <w:i/>
          <w:iCs/>
        </w:rPr>
        <w:t>C.nemoralis</w:t>
      </w:r>
      <w:r w:rsidRPr="007B3ED7">
        <w:t> et </w:t>
      </w:r>
      <w:r w:rsidRPr="007B3ED7">
        <w:rPr>
          <w:i/>
          <w:iCs/>
        </w:rPr>
        <w:t>C. zizanioides</w:t>
      </w:r>
      <w:r w:rsidRPr="007B3ED7">
        <w:t xml:space="preserve">, sont que cette dernière est beaucoup plus grande et plus dense et possède des tiges raides. </w:t>
      </w:r>
      <w:r w:rsidRPr="007B3ED7">
        <w:rPr>
          <w:i/>
          <w:iCs/>
        </w:rPr>
        <w:t xml:space="preserve">C. zizanioides </w:t>
      </w:r>
      <w:r w:rsidRPr="007B3ED7">
        <w:t>a un système racinaire beaucoup plus épais et plus profond et ses feuilles sont plus larges et a une superficie vert clair le long du milieu des côtes, comme indiqué sur les photos.</w:t>
      </w:r>
    </w:p>
    <w:p w14:paraId="207A52E8" w14:textId="77777777" w:rsidR="007B3ED7" w:rsidRPr="007B3ED7" w:rsidRDefault="007B3ED7" w:rsidP="007B3ED7">
      <w:pPr>
        <w:spacing w:after="0" w:line="240" w:lineRule="auto"/>
        <w:jc w:val="both"/>
      </w:pPr>
      <w:r w:rsidRPr="007B3ED7">
        <w:t xml:space="preserve">Source : a) </w:t>
      </w:r>
      <w:hyperlink r:id="rId2396" w:history="1">
        <w:r w:rsidRPr="007B3ED7">
          <w:rPr>
            <w:rStyle w:val="Lienhypertexte"/>
          </w:rPr>
          <w:t>http://www.vetiver.org/TVN-Handbook%20series/TVN-series1-1-vetiver%20plant.htm</w:t>
        </w:r>
      </w:hyperlink>
      <w:r w:rsidRPr="007B3ED7">
        <w:t xml:space="preserve"> </w:t>
      </w:r>
    </w:p>
    <w:p w14:paraId="6215E403" w14:textId="3B487502" w:rsidR="007B3ED7" w:rsidRDefault="007B3ED7" w:rsidP="004B348B">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706"/>
        <w:gridCol w:w="2766"/>
      </w:tblGrid>
      <w:tr w:rsidR="004B348B" w14:paraId="20F87F7C" w14:textId="77777777" w:rsidTr="004B348B">
        <w:tc>
          <w:tcPr>
            <w:tcW w:w="7650" w:type="dxa"/>
            <w:gridSpan w:val="3"/>
          </w:tcPr>
          <w:p w14:paraId="62AFDDA8" w14:textId="77777777" w:rsidR="004B348B" w:rsidRDefault="004B348B" w:rsidP="004B348B">
            <w:pPr>
              <w:jc w:val="center"/>
            </w:pPr>
            <w:r w:rsidRPr="007B3ED7">
              <w:rPr>
                <w:noProof/>
              </w:rPr>
              <w:drawing>
                <wp:inline distT="0" distB="0" distL="0" distR="0" wp14:anchorId="55F70374" wp14:editId="004C5C93">
                  <wp:extent cx="4032250" cy="919162"/>
                  <wp:effectExtent l="0" t="0" r="6350" b="0"/>
                  <wp:docPr id="87056" name="Picture 13" descr="C:\Users\LISAN\Pictures\plantes-halophytes-xerophiles\vetiver_diff.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56" name="Picture 13" descr="C:\Users\LISAN\Pictures\plantes-halophytes-xerophiles\vetiver_diff.jpeg"/>
                          <pic:cNvPicPr>
                            <a:picLocks noChangeAspect="1" noChangeArrowheads="1"/>
                          </pic:cNvPicPr>
                        </pic:nvPicPr>
                        <pic:blipFill>
                          <a:blip r:embed="rId2397">
                            <a:extLst>
                              <a:ext uri="{28A0092B-C50C-407E-A947-70E740481C1C}">
                                <a14:useLocalDpi xmlns:a14="http://schemas.microsoft.com/office/drawing/2010/main" val="0"/>
                              </a:ext>
                            </a:extLst>
                          </a:blip>
                          <a:srcRect/>
                          <a:stretch>
                            <a:fillRect/>
                          </a:stretch>
                        </pic:blipFill>
                        <pic:spPr bwMode="auto">
                          <a:xfrm>
                            <a:off x="0" y="0"/>
                            <a:ext cx="4032250" cy="9191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61B8E64" w14:textId="494B0697" w:rsidR="004B348B" w:rsidRDefault="004B348B" w:rsidP="004B348B">
            <w:pPr>
              <w:jc w:val="center"/>
            </w:pPr>
            <w:r w:rsidRPr="007B3ED7">
              <w:t xml:space="preserve">Différence entre les </w:t>
            </w:r>
            <w:r w:rsidRPr="007B3ED7">
              <w:rPr>
                <w:i/>
                <w:iCs/>
              </w:rPr>
              <w:t>racines de</w:t>
            </w:r>
            <w:r w:rsidRPr="007B3ED7">
              <w:t> </w:t>
            </w:r>
            <w:r w:rsidRPr="007B3ED7">
              <w:rPr>
                <w:i/>
                <w:iCs/>
              </w:rPr>
              <w:t>C</w:t>
            </w:r>
            <w:r>
              <w:rPr>
                <w:i/>
                <w:iCs/>
              </w:rPr>
              <w:t>.</w:t>
            </w:r>
            <w:r w:rsidRPr="007B3ED7">
              <w:rPr>
                <w:i/>
                <w:iCs/>
              </w:rPr>
              <w:t> zizanioides</w:t>
            </w:r>
            <w:r w:rsidRPr="007B3ED7">
              <w:t> (supérieure) et </w:t>
            </w:r>
            <w:r w:rsidRPr="007B3ED7">
              <w:rPr>
                <w:i/>
                <w:iCs/>
              </w:rPr>
              <w:t>C. nemoralis</w:t>
            </w:r>
            <w:r w:rsidRPr="007B3ED7">
              <w:t> (en bas).</w:t>
            </w:r>
          </w:p>
        </w:tc>
        <w:tc>
          <w:tcPr>
            <w:tcW w:w="2766" w:type="dxa"/>
          </w:tcPr>
          <w:p w14:paraId="0126062B" w14:textId="77777777" w:rsidR="004B348B" w:rsidRDefault="004B348B" w:rsidP="007B3ED7">
            <w:pPr>
              <w:jc w:val="center"/>
            </w:pPr>
            <w:r w:rsidRPr="004B348B">
              <w:rPr>
                <w:noProof/>
              </w:rPr>
              <w:drawing>
                <wp:inline distT="0" distB="0" distL="0" distR="0" wp14:anchorId="5AF27628" wp14:editId="22ABCBF4">
                  <wp:extent cx="935038" cy="1247775"/>
                  <wp:effectExtent l="0" t="0" r="0" b="0"/>
                  <wp:docPr id="87060" name="Picture 15" descr="C:\Users\LISAN\Pictures\plantes-halophytes-xerophiles\Chrysopogon nemoralis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60" name="Picture 15" descr="C:\Users\LISAN\Pictures\plantes-halophytes-xerophiles\Chrysopogon nemoralis_s.jpg"/>
                          <pic:cNvPicPr>
                            <a:picLocks noChangeAspect="1" noChangeArrowheads="1"/>
                          </pic:cNvPicPr>
                        </pic:nvPicPr>
                        <pic:blipFill>
                          <a:blip r:embed="rId2398">
                            <a:extLst>
                              <a:ext uri="{28A0092B-C50C-407E-A947-70E740481C1C}">
                                <a14:useLocalDpi xmlns:a14="http://schemas.microsoft.com/office/drawing/2010/main" val="0"/>
                              </a:ext>
                            </a:extLst>
                          </a:blip>
                          <a:srcRect/>
                          <a:stretch>
                            <a:fillRect/>
                          </a:stretch>
                        </pic:blipFill>
                        <pic:spPr bwMode="auto">
                          <a:xfrm>
                            <a:off x="0" y="0"/>
                            <a:ext cx="935038" cy="1247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A32912F" w14:textId="07707ADC" w:rsidR="0019274A" w:rsidRDefault="0019274A" w:rsidP="007B3ED7">
            <w:pPr>
              <w:jc w:val="center"/>
            </w:pPr>
          </w:p>
        </w:tc>
      </w:tr>
      <w:tr w:rsidR="007B3ED7" w14:paraId="13DE9434" w14:textId="77777777" w:rsidTr="004B348B">
        <w:tc>
          <w:tcPr>
            <w:tcW w:w="3472" w:type="dxa"/>
          </w:tcPr>
          <w:p w14:paraId="1464F89F" w14:textId="77777777" w:rsidR="007B3ED7" w:rsidRDefault="004B348B" w:rsidP="007B3ED7">
            <w:pPr>
              <w:jc w:val="center"/>
            </w:pPr>
            <w:r w:rsidRPr="004B348B">
              <w:rPr>
                <w:noProof/>
              </w:rPr>
              <w:lastRenderedPageBreak/>
              <w:drawing>
                <wp:inline distT="0" distB="0" distL="0" distR="0" wp14:anchorId="53E4F2CC" wp14:editId="11436430">
                  <wp:extent cx="2044700" cy="1533525"/>
                  <wp:effectExtent l="0" t="0" r="0" b="9525"/>
                  <wp:docPr id="87057" name="Picture 14" descr="C:\Users\LISAN\Pictures\plantes-halophytes-xerophiles\Chrysopogon nemoralis_Vietn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57" name="Picture 14" descr="C:\Users\LISAN\Pictures\plantes-halophytes-xerophiles\Chrysopogon nemoralis_Vietnam.jpeg"/>
                          <pic:cNvPicPr>
                            <a:picLocks noChangeAspect="1" noChangeArrowheads="1"/>
                          </pic:cNvPicPr>
                        </pic:nvPicPr>
                        <pic:blipFill>
                          <a:blip r:embed="rId2399">
                            <a:extLst>
                              <a:ext uri="{28A0092B-C50C-407E-A947-70E740481C1C}">
                                <a14:useLocalDpi xmlns:a14="http://schemas.microsoft.com/office/drawing/2010/main" val="0"/>
                              </a:ext>
                            </a:extLst>
                          </a:blip>
                          <a:srcRect/>
                          <a:stretch>
                            <a:fillRect/>
                          </a:stretch>
                        </pic:blipFill>
                        <pic:spPr bwMode="auto">
                          <a:xfrm>
                            <a:off x="0" y="0"/>
                            <a:ext cx="2044700" cy="1533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8A50FD7" w14:textId="65610BFA" w:rsidR="004B348B" w:rsidRDefault="004B348B" w:rsidP="004B348B">
            <w:pPr>
              <w:jc w:val="center"/>
            </w:pPr>
            <w:r w:rsidRPr="004B348B">
              <w:rPr>
                <w:i/>
                <w:iCs/>
              </w:rPr>
              <w:t xml:space="preserve">C. nemoralis </w:t>
            </w:r>
            <w:r w:rsidRPr="004B348B">
              <w:t>à Quang Ngai (Vietnam)</w:t>
            </w:r>
            <w:r>
              <w:t>.</w:t>
            </w:r>
          </w:p>
        </w:tc>
        <w:tc>
          <w:tcPr>
            <w:tcW w:w="3472" w:type="dxa"/>
          </w:tcPr>
          <w:p w14:paraId="64A70EB7" w14:textId="77777777" w:rsidR="007B3ED7" w:rsidRDefault="004B348B" w:rsidP="007B3ED7">
            <w:pPr>
              <w:jc w:val="center"/>
            </w:pPr>
            <w:r w:rsidRPr="004B348B">
              <w:rPr>
                <w:noProof/>
              </w:rPr>
              <w:drawing>
                <wp:inline distT="0" distB="0" distL="0" distR="0" wp14:anchorId="085F0009" wp14:editId="318FE488">
                  <wp:extent cx="2043784" cy="1533525"/>
                  <wp:effectExtent l="0" t="0" r="0" b="0"/>
                  <wp:docPr id="87054" name="Picture 11" descr="C:\Users\LISAN\Pictures\plantes-halophytes-xerophiles\vetiver_diff2_op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54" name="Picture 11" descr="C:\Users\LISAN\Pictures\plantes-halophytes-xerophiles\vetiver_diff2_opt.jpeg"/>
                          <pic:cNvPicPr>
                            <a:picLocks noChangeAspect="1" noChangeArrowheads="1"/>
                          </pic:cNvPicPr>
                        </pic:nvPicPr>
                        <pic:blipFill>
                          <a:blip r:embed="rId2400">
                            <a:extLst>
                              <a:ext uri="{28A0092B-C50C-407E-A947-70E740481C1C}">
                                <a14:useLocalDpi xmlns:a14="http://schemas.microsoft.com/office/drawing/2010/main" val="0"/>
                              </a:ext>
                            </a:extLst>
                          </a:blip>
                          <a:srcRect/>
                          <a:stretch>
                            <a:fillRect/>
                          </a:stretch>
                        </pic:blipFill>
                        <pic:spPr bwMode="auto">
                          <a:xfrm>
                            <a:off x="0" y="0"/>
                            <a:ext cx="2053243" cy="1540622"/>
                          </a:xfrm>
                          <a:prstGeom prst="rect">
                            <a:avLst/>
                          </a:prstGeom>
                          <a:noFill/>
                          <a:ln>
                            <a:noFill/>
                          </a:ln>
                        </pic:spPr>
                      </pic:pic>
                    </a:graphicData>
                  </a:graphic>
                </wp:inline>
              </w:drawing>
            </w:r>
          </w:p>
          <w:p w14:paraId="4F5D8DA3" w14:textId="2CB0EA96" w:rsidR="004B348B" w:rsidRDefault="004B348B" w:rsidP="007B3ED7">
            <w:pPr>
              <w:jc w:val="center"/>
            </w:pPr>
            <w:r>
              <w:t>Feuilles de vétiver, graines.</w:t>
            </w:r>
          </w:p>
        </w:tc>
        <w:tc>
          <w:tcPr>
            <w:tcW w:w="3472" w:type="dxa"/>
            <w:gridSpan w:val="2"/>
          </w:tcPr>
          <w:p w14:paraId="6FB9DC31" w14:textId="77777777" w:rsidR="007B3ED7" w:rsidRDefault="004B348B" w:rsidP="007B3ED7">
            <w:pPr>
              <w:jc w:val="center"/>
            </w:pPr>
            <w:r w:rsidRPr="004B348B">
              <w:rPr>
                <w:noProof/>
              </w:rPr>
              <w:drawing>
                <wp:inline distT="0" distB="0" distL="0" distR="0" wp14:anchorId="4FF314F6" wp14:editId="6630AE18">
                  <wp:extent cx="2044700" cy="1533525"/>
                  <wp:effectExtent l="0" t="0" r="0" b="9525"/>
                  <wp:docPr id="87055" name="Picture 12" descr="C:\Users\LISAN\Pictures\plantes-halophytes-xerophiles\vertiver_diff3_op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55" name="Picture 12" descr="C:\Users\LISAN\Pictures\plantes-halophytes-xerophiles\vertiver_diff3_opt.jpeg"/>
                          <pic:cNvPicPr>
                            <a:picLocks noChangeAspect="1" noChangeArrowheads="1"/>
                          </pic:cNvPicPr>
                        </pic:nvPicPr>
                        <pic:blipFill>
                          <a:blip r:embed="rId2401">
                            <a:extLst>
                              <a:ext uri="{28A0092B-C50C-407E-A947-70E740481C1C}">
                                <a14:useLocalDpi xmlns:a14="http://schemas.microsoft.com/office/drawing/2010/main" val="0"/>
                              </a:ext>
                            </a:extLst>
                          </a:blip>
                          <a:srcRect/>
                          <a:stretch>
                            <a:fillRect/>
                          </a:stretch>
                        </pic:blipFill>
                        <pic:spPr bwMode="auto">
                          <a:xfrm>
                            <a:off x="0" y="0"/>
                            <a:ext cx="2044700" cy="1533525"/>
                          </a:xfrm>
                          <a:prstGeom prst="rect">
                            <a:avLst/>
                          </a:prstGeom>
                          <a:noFill/>
                          <a:ln>
                            <a:noFill/>
                          </a:ln>
                        </pic:spPr>
                      </pic:pic>
                    </a:graphicData>
                  </a:graphic>
                </wp:inline>
              </w:drawing>
            </w:r>
          </w:p>
          <w:p w14:paraId="530F7A95" w14:textId="2F571835" w:rsidR="004B348B" w:rsidRPr="004B348B" w:rsidRDefault="004B348B" w:rsidP="007B3ED7">
            <w:pPr>
              <w:jc w:val="center"/>
            </w:pPr>
            <w:r>
              <w:t xml:space="preserve">Feuilles de vétiver : </w:t>
            </w:r>
            <w:r w:rsidRPr="004B348B">
              <w:rPr>
                <w:i/>
                <w:iCs/>
              </w:rPr>
              <w:t>C nemoralis</w:t>
            </w:r>
            <w:r>
              <w:t xml:space="preserve"> (en haut), </w:t>
            </w:r>
            <w:r w:rsidRPr="007B3ED7">
              <w:rPr>
                <w:i/>
                <w:iCs/>
              </w:rPr>
              <w:t>C</w:t>
            </w:r>
            <w:r>
              <w:rPr>
                <w:i/>
                <w:iCs/>
              </w:rPr>
              <w:t>.</w:t>
            </w:r>
            <w:r w:rsidRPr="007B3ED7">
              <w:rPr>
                <w:i/>
                <w:iCs/>
              </w:rPr>
              <w:t> zizanioides</w:t>
            </w:r>
            <w:r w:rsidRPr="007B3ED7">
              <w:t> </w:t>
            </w:r>
            <w:r>
              <w:t>(en bas)</w:t>
            </w:r>
          </w:p>
        </w:tc>
      </w:tr>
    </w:tbl>
    <w:p w14:paraId="0F43225A" w14:textId="4E6394B4" w:rsidR="00125C62" w:rsidRPr="001562F1" w:rsidRDefault="00125C62" w:rsidP="00125C62">
      <w:pPr>
        <w:spacing w:after="0" w:line="240" w:lineRule="auto"/>
        <w:jc w:val="both"/>
      </w:pPr>
    </w:p>
    <w:p w14:paraId="5D4C986D" w14:textId="2D57E072" w:rsidR="00CA1A74" w:rsidRPr="0089135F" w:rsidRDefault="0089135F" w:rsidP="002E3E92">
      <w:pPr>
        <w:pStyle w:val="Titre2"/>
      </w:pPr>
      <w:bookmarkStart w:id="198" w:name="_Toc139181489"/>
      <w:r w:rsidRPr="0089135F">
        <w:t>Panic érigé</w:t>
      </w:r>
      <w:r w:rsidRPr="0089135F">
        <w:rPr>
          <w:b/>
          <w:bCs/>
        </w:rPr>
        <w:t xml:space="preserve"> </w:t>
      </w:r>
      <w:r w:rsidRPr="0089135F">
        <w:t>(</w:t>
      </w:r>
      <w:r w:rsidRPr="002E3E92">
        <w:rPr>
          <w:i/>
          <w:iCs/>
          <w:lang w:val="la-Latn"/>
        </w:rPr>
        <w:t>Panicum virgatum</w:t>
      </w:r>
      <w:r>
        <w:t>)</w:t>
      </w:r>
      <w:bookmarkEnd w:id="198"/>
    </w:p>
    <w:p w14:paraId="03097774" w14:textId="1F4A4B0F" w:rsidR="00CA1A74" w:rsidRDefault="00CA1A74" w:rsidP="00125C62">
      <w:pPr>
        <w:spacing w:after="0" w:line="240" w:lineRule="auto"/>
        <w:jc w:val="both"/>
        <w:rPr>
          <w:lang w:val="en-G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9"/>
        <w:gridCol w:w="2192"/>
        <w:gridCol w:w="1104"/>
        <w:gridCol w:w="666"/>
        <w:gridCol w:w="1735"/>
      </w:tblGrid>
      <w:tr w:rsidR="0089135F" w:rsidRPr="000B6BE3" w14:paraId="030EF611" w14:textId="77777777" w:rsidTr="0089135F">
        <w:tc>
          <w:tcPr>
            <w:tcW w:w="4731" w:type="dxa"/>
          </w:tcPr>
          <w:p w14:paraId="12BB6CC5" w14:textId="77777777" w:rsidR="0089135F" w:rsidRPr="000B6BE3" w:rsidRDefault="0089135F" w:rsidP="00520A81">
            <w:pPr>
              <w:rPr>
                <w:rFonts w:cstheme="minorHAnsi"/>
                <w:bCs/>
              </w:rPr>
            </w:pPr>
            <w:r w:rsidRPr="000B6BE3">
              <w:rPr>
                <w:rFonts w:cstheme="minorHAnsi"/>
                <w:bCs/>
              </w:rPr>
              <w:t>(</w:t>
            </w:r>
            <w:hyperlink r:id="rId2402" w:history="1">
              <w:r w:rsidRPr="000B6BE3">
                <w:rPr>
                  <w:rFonts w:cstheme="minorHAnsi"/>
                </w:rPr>
                <w:t>F</w:t>
              </w:r>
              <w:r w:rsidRPr="000B6BE3">
                <w:rPr>
                  <w:rStyle w:val="Lienhypertexte"/>
                  <w:rFonts w:cstheme="minorHAnsi"/>
                  <w:color w:val="0B0080"/>
                  <w:shd w:val="clear" w:color="auto" w:fill="FFFFFF"/>
                </w:rPr>
                <w:t>amille</w:t>
              </w:r>
            </w:hyperlink>
            <w:r w:rsidRPr="000B6BE3">
              <w:rPr>
                <w:rFonts w:cstheme="minorHAnsi"/>
                <w:color w:val="222222"/>
                <w:shd w:val="clear" w:color="auto" w:fill="FFFFFF"/>
              </w:rPr>
              <w:t> </w:t>
            </w:r>
            <w:r w:rsidRPr="00FC05CB">
              <w:rPr>
                <w:rFonts w:cstheme="minorHAnsi"/>
                <w:color w:val="000000" w:themeColor="text1"/>
                <w:shd w:val="clear" w:color="auto" w:fill="FFFFFF"/>
              </w:rPr>
              <w:t>des</w:t>
            </w:r>
            <w:r>
              <w:rPr>
                <w:rFonts w:cstheme="minorHAnsi"/>
                <w:color w:val="000000" w:themeColor="text1"/>
                <w:shd w:val="clear" w:color="auto" w:fill="FFFFFF"/>
              </w:rPr>
              <w:t xml:space="preserve"> </w:t>
            </w:r>
            <w:hyperlink r:id="rId2403" w:history="1">
              <w:r w:rsidRPr="00CA1A74">
                <w:rPr>
                  <w:rStyle w:val="Lienhypertexte"/>
                  <w:i/>
                  <w:iCs/>
                </w:rPr>
                <w:t>Poaceae</w:t>
              </w:r>
            </w:hyperlink>
            <w:r w:rsidRPr="00FC05CB">
              <w:rPr>
                <w:rFonts w:cstheme="minorHAnsi"/>
                <w:bCs/>
                <w:color w:val="000000" w:themeColor="text1"/>
              </w:rPr>
              <w:t>).</w:t>
            </w:r>
          </w:p>
          <w:p w14:paraId="3B48780A" w14:textId="77777777" w:rsidR="0089135F" w:rsidRPr="000B6BE3" w:rsidRDefault="0089135F" w:rsidP="00520A81">
            <w:pPr>
              <w:rPr>
                <w:rFonts w:cstheme="minorHAnsi"/>
                <w:bCs/>
              </w:rPr>
            </w:pPr>
          </w:p>
          <w:p w14:paraId="6631F37E" w14:textId="77777777" w:rsidR="0089135F" w:rsidRPr="000B6BE3" w:rsidRDefault="0089135F" w:rsidP="00520A81">
            <w:pPr>
              <w:rPr>
                <w:rFonts w:cstheme="minorHAnsi"/>
              </w:rPr>
            </w:pPr>
          </w:p>
        </w:tc>
        <w:tc>
          <w:tcPr>
            <w:tcW w:w="2193" w:type="dxa"/>
          </w:tcPr>
          <w:p w14:paraId="25571D24" w14:textId="2809CB94" w:rsidR="0089135F" w:rsidRPr="000B6BE3" w:rsidRDefault="0089135F" w:rsidP="00520A81">
            <w:pPr>
              <w:rPr>
                <w:rFonts w:cstheme="minorHAnsi"/>
              </w:rPr>
            </w:pPr>
            <w:r w:rsidRPr="00FC05CB">
              <w:rPr>
                <w:rFonts w:cstheme="minorHAnsi"/>
                <w:noProof/>
              </w:rPr>
              <w:drawing>
                <wp:inline distT="0" distB="0" distL="0" distR="0" wp14:anchorId="7002A597" wp14:editId="309793A3">
                  <wp:extent cx="514350" cy="733425"/>
                  <wp:effectExtent l="0" t="0" r="0" b="9525"/>
                  <wp:docPr id="81927" name="Image 11"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13" name="Image 11" descr="logo salinisation2_s.jpg"/>
                          <pic:cNvPicPr>
                            <a:picLocks noChangeAspect="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14350" cy="733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rPr>
              <w:t xml:space="preserve"> </w:t>
            </w:r>
            <w:r w:rsidRPr="00125C62">
              <w:rPr>
                <w:rFonts w:cstheme="minorHAnsi"/>
                <w:noProof/>
              </w:rPr>
              <w:drawing>
                <wp:inline distT="0" distB="0" distL="0" distR="0" wp14:anchorId="42078F7C" wp14:editId="37185586">
                  <wp:extent cx="495300" cy="666750"/>
                  <wp:effectExtent l="0" t="0" r="0" b="0"/>
                  <wp:docPr id="81928" name="Image 11"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11" descr="logo aride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rPr>
              <w:t> </w:t>
            </w:r>
          </w:p>
        </w:tc>
        <w:tc>
          <w:tcPr>
            <w:tcW w:w="1104" w:type="dxa"/>
          </w:tcPr>
          <w:p w14:paraId="1A05A4EE" w14:textId="77777777" w:rsidR="0089135F" w:rsidRDefault="0089135F" w:rsidP="00520A81">
            <w:pPr>
              <w:textAlignment w:val="baseline"/>
              <w:rPr>
                <w:rFonts w:eastAsia="+mn-ea" w:cstheme="minorHAnsi"/>
                <w:b/>
                <w:bCs/>
                <w:color w:val="008000"/>
                <w:kern w:val="24"/>
              </w:rPr>
            </w:pPr>
            <w:r w:rsidRPr="000B6BE3">
              <w:rPr>
                <w:rFonts w:eastAsia="+mn-ea" w:cstheme="minorHAnsi"/>
                <w:b/>
                <w:bCs/>
                <w:color w:val="008000"/>
                <w:kern w:val="24"/>
              </w:rPr>
              <w:t>↗</w:t>
            </w:r>
          </w:p>
          <w:p w14:paraId="6594F070" w14:textId="77777777" w:rsidR="0089135F" w:rsidRDefault="0089135F" w:rsidP="00520A81">
            <w:pPr>
              <w:textAlignment w:val="baseline"/>
              <w:rPr>
                <w:rFonts w:eastAsia="+mn-ea" w:cstheme="minorHAnsi"/>
                <w:b/>
                <w:bCs/>
                <w:color w:val="008000"/>
                <w:kern w:val="24"/>
              </w:rPr>
            </w:pPr>
          </w:p>
          <w:p w14:paraId="1DD8D873" w14:textId="7C38BF24" w:rsidR="0089135F" w:rsidRPr="00A0500C" w:rsidRDefault="0089135F" w:rsidP="00520A81">
            <w:pPr>
              <w:textAlignment w:val="baseline"/>
              <w:rPr>
                <w:rFonts w:cstheme="minorHAnsi"/>
                <w:sz w:val="40"/>
                <w:szCs w:val="40"/>
              </w:rPr>
            </w:pPr>
            <w:r>
              <w:rPr>
                <w:rFonts w:eastAsia="+mn-ea" w:cstheme="minorHAnsi"/>
                <w:b/>
                <w:bCs/>
                <w:color w:val="008000"/>
                <w:kern w:val="24"/>
                <w:sz w:val="40"/>
                <w:szCs w:val="40"/>
              </w:rPr>
              <w:t>(</w:t>
            </w:r>
            <w:r w:rsidRPr="00A0500C">
              <w:rPr>
                <w:rFonts w:eastAsia="+mn-ea" w:cstheme="minorHAnsi"/>
                <w:b/>
                <w:bCs/>
                <w:color w:val="008000"/>
                <w:kern w:val="24"/>
                <w:sz w:val="40"/>
                <w:szCs w:val="40"/>
              </w:rPr>
              <w:t>F</w:t>
            </w:r>
            <w:r>
              <w:rPr>
                <w:rFonts w:eastAsia="+mn-ea" w:cstheme="minorHAnsi"/>
                <w:b/>
                <w:bCs/>
                <w:color w:val="008000"/>
                <w:kern w:val="24"/>
                <w:sz w:val="40"/>
                <w:szCs w:val="40"/>
              </w:rPr>
              <w:t>)</w:t>
            </w:r>
          </w:p>
        </w:tc>
        <w:tc>
          <w:tcPr>
            <w:tcW w:w="663" w:type="dxa"/>
          </w:tcPr>
          <w:p w14:paraId="22F46C80" w14:textId="7C959219" w:rsidR="0089135F" w:rsidRDefault="0089135F" w:rsidP="00520A81">
            <w:pPr>
              <w:pStyle w:val="NormalWeb"/>
              <w:spacing w:before="0" w:beforeAutospacing="0" w:after="0" w:afterAutospacing="0"/>
              <w:textAlignment w:val="baseline"/>
            </w:pPr>
            <w:r w:rsidRPr="0089135F">
              <w:rPr>
                <w:noProof/>
              </w:rPr>
              <w:drawing>
                <wp:inline distT="0" distB="0" distL="0" distR="0" wp14:anchorId="3143657A" wp14:editId="0198BE55">
                  <wp:extent cx="285750" cy="358775"/>
                  <wp:effectExtent l="0" t="0" r="0" b="3175"/>
                  <wp:docPr id="91153" name="Picture 2" descr="toxic-2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53" name="Picture 2" descr="toxic-2ss"/>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85750"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t xml:space="preserve"> </w:t>
            </w:r>
          </w:p>
          <w:p w14:paraId="15F3313C" w14:textId="77777777" w:rsidR="0089135F" w:rsidRPr="000B6BE3" w:rsidRDefault="0089135F" w:rsidP="00520A81">
            <w:pPr>
              <w:rPr>
                <w:rFonts w:cstheme="minorHAnsi"/>
              </w:rPr>
            </w:pPr>
          </w:p>
        </w:tc>
        <w:tc>
          <w:tcPr>
            <w:tcW w:w="1735" w:type="dxa"/>
          </w:tcPr>
          <w:p w14:paraId="2DB49042" w14:textId="1112BB33" w:rsidR="0089135F" w:rsidRPr="000B6BE3" w:rsidRDefault="0089135F" w:rsidP="00520A81">
            <w:pPr>
              <w:rPr>
                <w:rFonts w:cstheme="minorHAnsi"/>
              </w:rPr>
            </w:pPr>
            <w:r w:rsidRPr="0089135F">
              <w:rPr>
                <w:noProof/>
              </w:rPr>
              <w:drawing>
                <wp:inline distT="0" distB="0" distL="0" distR="0" wp14:anchorId="16A45F95" wp14:editId="3AF3989E">
                  <wp:extent cx="647700" cy="423862"/>
                  <wp:effectExtent l="0" t="0" r="0" b="0"/>
                  <wp:docPr id="91154" name="Image 11" descr="logo cheval3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54" name="Image 11" descr="logo cheval3_s.jpg"/>
                          <pic:cNvPicPr>
                            <a:picLocks noChangeAspect="1"/>
                          </pic:cNvPicPr>
                        </pic:nvPicPr>
                        <pic:blipFill>
                          <a:blip r:embed="rId2404">
                            <a:extLst>
                              <a:ext uri="{28A0092B-C50C-407E-A947-70E740481C1C}">
                                <a14:useLocalDpi xmlns:a14="http://schemas.microsoft.com/office/drawing/2010/main" val="0"/>
                              </a:ext>
                            </a:extLst>
                          </a:blip>
                          <a:srcRect/>
                          <a:stretch>
                            <a:fillRect/>
                          </a:stretch>
                        </pic:blipFill>
                        <pic:spPr bwMode="auto">
                          <a:xfrm>
                            <a:off x="0" y="0"/>
                            <a:ext cx="647700" cy="4238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002E4988" w14:textId="4DBB86BC" w:rsidR="0089135F" w:rsidRDefault="0089135F" w:rsidP="00125C62">
      <w:pPr>
        <w:spacing w:after="0" w:line="240" w:lineRule="auto"/>
        <w:jc w:val="both"/>
        <w:rPr>
          <w:lang w:val="en-GB"/>
        </w:rPr>
      </w:pPr>
    </w:p>
    <w:p w14:paraId="0B39A580" w14:textId="77777777" w:rsidR="0089135F" w:rsidRPr="0089135F" w:rsidRDefault="0089135F" w:rsidP="0089135F">
      <w:pPr>
        <w:spacing w:after="0" w:line="240" w:lineRule="auto"/>
        <w:jc w:val="both"/>
      </w:pPr>
      <w:r w:rsidRPr="0089135F">
        <w:t>C’est une </w:t>
      </w:r>
      <w:hyperlink r:id="rId2405" w:history="1">
        <w:r w:rsidRPr="0089135F">
          <w:rPr>
            <w:rStyle w:val="Lienhypertexte"/>
          </w:rPr>
          <w:t>céréale</w:t>
        </w:r>
      </w:hyperlink>
      <w:r w:rsidRPr="0089135F">
        <w:t xml:space="preserve"> sauvage, une </w:t>
      </w:r>
      <w:hyperlink r:id="rId2406" w:history="1">
        <w:r w:rsidRPr="0089135F">
          <w:rPr>
            <w:rStyle w:val="Lienhypertexte"/>
          </w:rPr>
          <w:t>plante vivace</w:t>
        </w:r>
      </w:hyperlink>
      <w:r w:rsidRPr="0089135F">
        <w:t> </w:t>
      </w:r>
      <w:hyperlink r:id="rId2407" w:history="1">
        <w:r w:rsidRPr="0089135F">
          <w:rPr>
            <w:rStyle w:val="Lienhypertexte"/>
          </w:rPr>
          <w:t>rhizomateuse</w:t>
        </w:r>
      </w:hyperlink>
      <w:r w:rsidRPr="0089135F">
        <w:t>, autrefois très répandue aux </w:t>
      </w:r>
      <w:hyperlink r:id="rId2408" w:history="1">
        <w:r w:rsidRPr="0089135F">
          <w:rPr>
            <w:rStyle w:val="Lienhypertexte"/>
          </w:rPr>
          <w:t>États-Unis</w:t>
        </w:r>
      </w:hyperlink>
      <w:r w:rsidRPr="0089135F">
        <w:t>, présente sur tout le territoire (sauf sur la frange </w:t>
      </w:r>
      <w:hyperlink r:id="rId2409" w:history="1">
        <w:r w:rsidRPr="0089135F">
          <w:rPr>
            <w:rStyle w:val="Lienhypertexte"/>
          </w:rPr>
          <w:t>littorale</w:t>
        </w:r>
      </w:hyperlink>
      <w:r w:rsidRPr="0089135F">
        <w:t> du </w:t>
      </w:r>
      <w:hyperlink r:id="rId2410" w:history="1">
        <w:r w:rsidRPr="0089135F">
          <w:rPr>
            <w:rStyle w:val="Lienhypertexte"/>
          </w:rPr>
          <w:t>Pacifique</w:t>
        </w:r>
      </w:hyperlink>
      <w:r w:rsidRPr="0089135F">
        <w:t>) (</w:t>
      </w:r>
      <w:hyperlink r:id="rId2411" w:history="1">
        <w:r w:rsidRPr="0089135F">
          <w:rPr>
            <w:rStyle w:val="Lienhypertexte"/>
          </w:rPr>
          <w:t>famille</w:t>
        </w:r>
      </w:hyperlink>
      <w:r w:rsidRPr="0089135F">
        <w:t> des </w:t>
      </w:r>
      <w:hyperlink r:id="rId2412" w:history="1">
        <w:r w:rsidRPr="0089135F">
          <w:rPr>
            <w:rStyle w:val="Lienhypertexte"/>
            <w:i/>
            <w:iCs/>
          </w:rPr>
          <w:t>Poaceae</w:t>
        </w:r>
      </w:hyperlink>
      <w:r w:rsidRPr="0089135F">
        <w:t xml:space="preserve">). Herbacée consommée par les </w:t>
      </w:r>
      <w:hyperlink r:id="rId2413" w:history="1">
        <w:r w:rsidRPr="0089135F">
          <w:rPr>
            <w:rStyle w:val="Lienhypertexte"/>
          </w:rPr>
          <w:t xml:space="preserve">bisons </w:t>
        </w:r>
      </w:hyperlink>
      <w:hyperlink r:id="rId2414" w:history="1">
        <w:r w:rsidRPr="0089135F">
          <w:rPr>
            <w:rStyle w:val="Lienhypertexte"/>
          </w:rPr>
          <w:t>nord-américains</w:t>
        </w:r>
      </w:hyperlink>
      <w:r w:rsidRPr="0089135F">
        <w:t>. </w:t>
      </w:r>
    </w:p>
    <w:p w14:paraId="3D8EE136" w14:textId="77777777" w:rsidR="0089135F" w:rsidRPr="0089135F" w:rsidRDefault="0089135F" w:rsidP="0089135F">
      <w:pPr>
        <w:spacing w:after="0" w:line="240" w:lineRule="auto"/>
        <w:jc w:val="both"/>
      </w:pPr>
      <w:r w:rsidRPr="0089135F">
        <w:t>Elle est très rustique, adaptée à de nombreux sols (sableux, graviers …) et climats (</w:t>
      </w:r>
      <w:hyperlink r:id="rId2415" w:history="1">
        <w:r w:rsidRPr="0089135F">
          <w:rPr>
            <w:rStyle w:val="Lienhypertexte"/>
          </w:rPr>
          <w:t>ubiquiste</w:t>
        </w:r>
      </w:hyperlink>
      <w:r w:rsidRPr="0089135F">
        <w:t xml:space="preserve">), </w:t>
      </w:r>
    </w:p>
    <w:p w14:paraId="2D62B9EC" w14:textId="3BE9F6EE" w:rsidR="0089135F" w:rsidRPr="0089135F" w:rsidRDefault="0089135F" w:rsidP="0089135F">
      <w:pPr>
        <w:spacing w:after="0" w:line="240" w:lineRule="auto"/>
        <w:jc w:val="both"/>
      </w:pPr>
      <w:r w:rsidRPr="0089135F">
        <w:t>Le Gouvernement des États-Unis la considère depuis 2006 comme une source potentielle d'agrocarburant, plus respectueuse de l'environnement que d’autres, et qui pourraient réduire la dépendance des États-Unis à l'égard du </w:t>
      </w:r>
      <w:hyperlink r:id="rId2416" w:history="1">
        <w:r w:rsidRPr="0089135F">
          <w:rPr>
            <w:rStyle w:val="Lienhypertexte"/>
          </w:rPr>
          <w:t>pétrole</w:t>
        </w:r>
      </w:hyperlink>
      <w:r w:rsidRPr="0089135F">
        <w:t xml:space="preserve">. Parce que très efficace pour produire de grandes quantité de cellulose, cette </w:t>
      </w:r>
      <w:r w:rsidRPr="0089135F">
        <w:rPr>
          <w:i/>
          <w:iCs/>
        </w:rPr>
        <w:t>poacée</w:t>
      </w:r>
      <w:r w:rsidRPr="0089135F">
        <w:t xml:space="preserve"> pourrait constituer une source alternative de pâte à papier ou selon plusieurs études récentes publiée en 2008 une source intéressante d'</w:t>
      </w:r>
      <w:hyperlink r:id="rId2417" w:history="1">
        <w:r w:rsidRPr="0089135F">
          <w:rPr>
            <w:rStyle w:val="Lienhypertexte"/>
          </w:rPr>
          <w:t>agrocarburants</w:t>
        </w:r>
      </w:hyperlink>
      <w:r w:rsidRPr="0089135F">
        <w:t>; grâce à un bilan écologique et énergétiqu</w:t>
      </w:r>
      <w:r>
        <w:t>e</w:t>
      </w:r>
      <w:r w:rsidRPr="0089135F">
        <w:t> bien meilleur que celui du maïs selon Hen Vogel et ses associés (il produit 540% d'énergie par rapport à l'énergie fournie pour le produire), en tant que source d'</w:t>
      </w:r>
      <w:hyperlink r:id="rId2418" w:history="1">
        <w:r w:rsidRPr="0089135F">
          <w:rPr>
            <w:rStyle w:val="Lienhypertexte"/>
          </w:rPr>
          <w:t>éthanol cellulosique</w:t>
        </w:r>
      </w:hyperlink>
      <w:r w:rsidRPr="0089135F">
        <w:t>.  Elle offre un abris et favorise le développement du gibier.</w:t>
      </w:r>
    </w:p>
    <w:p w14:paraId="3F835C64" w14:textId="19B2D02C" w:rsidR="0089135F" w:rsidRPr="0089135F" w:rsidRDefault="0089135F" w:rsidP="0089135F">
      <w:pPr>
        <w:spacing w:after="0" w:line="240" w:lineRule="auto"/>
        <w:jc w:val="both"/>
      </w:pPr>
      <w:r w:rsidRPr="0089135F">
        <w:t>Son système racinaire très développé, sa hauteur et sa croissance tardive lui permettent de bien protéger les sols contre l'</w:t>
      </w:r>
      <w:hyperlink r:id="rId2419" w:history="1">
        <w:r w:rsidRPr="0089135F">
          <w:rPr>
            <w:rStyle w:val="Lienhypertexte"/>
          </w:rPr>
          <w:t>érosion</w:t>
        </w:r>
      </w:hyperlink>
      <w:r w:rsidRPr="0089135F">
        <w:t> par le vent et l'eau tout en conservant un bon ensoleillement pour d'autres espèces plus printanières.</w:t>
      </w:r>
    </w:p>
    <w:p w14:paraId="2D7C3103" w14:textId="77777777" w:rsidR="0089135F" w:rsidRPr="0089135F" w:rsidRDefault="0089135F" w:rsidP="0089135F">
      <w:pPr>
        <w:spacing w:after="0" w:line="240" w:lineRule="auto"/>
        <w:jc w:val="both"/>
      </w:pPr>
      <w:r w:rsidRPr="0089135F">
        <w:rPr>
          <w:u w:val="single"/>
        </w:rPr>
        <w:t>Habitats</w:t>
      </w:r>
      <w:r w:rsidRPr="0089135F">
        <w:t xml:space="preserve"> : prairies sauvage, le long des chemins ruraux et </w:t>
      </w:r>
      <w:hyperlink r:id="rId2420" w:history="1">
        <w:r w:rsidRPr="0089135F">
          <w:rPr>
            <w:rStyle w:val="Lienhypertexte"/>
          </w:rPr>
          <w:t>pâturages</w:t>
        </w:r>
      </w:hyperlink>
      <w:r w:rsidRPr="0089135F">
        <w:t>. Ses touffes atteignent 1.8 à 2.2 m de haut.</w:t>
      </w:r>
    </w:p>
    <w:p w14:paraId="1070FAE9" w14:textId="77777777" w:rsidR="0089135F" w:rsidRPr="0089135F" w:rsidRDefault="0089135F" w:rsidP="0089135F">
      <w:pPr>
        <w:spacing w:after="0" w:line="240" w:lineRule="auto"/>
        <w:jc w:val="both"/>
      </w:pPr>
      <w:r w:rsidRPr="0089135F">
        <w:t xml:space="preserve">Elle résiste à la </w:t>
      </w:r>
      <w:hyperlink r:id="rId2421" w:history="1">
        <w:r w:rsidRPr="0089135F">
          <w:rPr>
            <w:rStyle w:val="Lienhypertexte"/>
          </w:rPr>
          <w:t>sécheresse</w:t>
        </w:r>
      </w:hyperlink>
      <w:r w:rsidRPr="0089135F">
        <w:t xml:space="preserve"> et aux hautes températures. </w:t>
      </w:r>
      <w:r w:rsidRPr="0089135F">
        <w:rPr>
          <w:u w:val="single"/>
        </w:rPr>
        <w:t>Multiplication</w:t>
      </w:r>
      <w:r w:rsidRPr="0089135F">
        <w:t xml:space="preserve"> : graines (elle s’auto-ensemence).</w:t>
      </w:r>
    </w:p>
    <w:p w14:paraId="67796001" w14:textId="0A08B8C8" w:rsidR="0089135F" w:rsidRDefault="0089135F" w:rsidP="0089135F">
      <w:pPr>
        <w:spacing w:after="0" w:line="240" w:lineRule="auto"/>
        <w:jc w:val="both"/>
        <w:rPr>
          <w:i/>
          <w:iCs/>
        </w:rPr>
      </w:pPr>
      <w:r w:rsidRPr="0089135F">
        <w:t>Cette plante est considérée comme un </w:t>
      </w:r>
      <w:hyperlink r:id="rId2422" w:history="1">
        <w:r w:rsidRPr="0089135F">
          <w:rPr>
            <w:rStyle w:val="Lienhypertexte"/>
          </w:rPr>
          <w:t>puits de carbone</w:t>
        </w:r>
      </w:hyperlink>
      <w:r w:rsidRPr="0089135F">
        <w:t xml:space="preserve"> et réputée capable de "pomper" une partie des métaux lourds du sol.</w:t>
      </w:r>
      <w:r>
        <w:t xml:space="preserve"> </w:t>
      </w:r>
      <w:r w:rsidRPr="0089135F">
        <w:rPr>
          <w:i/>
          <w:iCs/>
        </w:rPr>
        <w:t>Certaines variétés de cette plante sont résistantes au sel (mais pas toutes).</w:t>
      </w:r>
    </w:p>
    <w:p w14:paraId="68DED19B" w14:textId="2FCA9E8C" w:rsidR="00CE5228" w:rsidRPr="00CE5228" w:rsidRDefault="00CE5228" w:rsidP="00CE5228">
      <w:pPr>
        <w:spacing w:after="0" w:line="240" w:lineRule="auto"/>
        <w:jc w:val="both"/>
        <w:rPr>
          <w:i/>
          <w:iCs/>
        </w:rPr>
      </w:pPr>
      <w:r w:rsidRPr="00CE5228">
        <w:rPr>
          <w:i/>
          <w:iCs/>
        </w:rPr>
        <w:t>Tolérance au sel modérée (tous les cultivars), limite supérieur des pH 7,5</w:t>
      </w:r>
      <w:r>
        <w:rPr>
          <w:rStyle w:val="Appelnotedebasdep"/>
          <w:i/>
          <w:iCs/>
        </w:rPr>
        <w:footnoteReference w:id="134"/>
      </w:r>
      <w:r w:rsidRPr="00CE5228">
        <w:rPr>
          <w:i/>
          <w:iCs/>
        </w:rPr>
        <w:t xml:space="preserve">. </w:t>
      </w:r>
    </w:p>
    <w:p w14:paraId="3664F94E" w14:textId="2CF454FC" w:rsidR="0089135F" w:rsidRDefault="0089135F" w:rsidP="0089135F">
      <w:pPr>
        <w:spacing w:after="0" w:line="240" w:lineRule="auto"/>
        <w:jc w:val="both"/>
      </w:pPr>
      <w:r w:rsidRPr="0089135F">
        <w:t>Le panic érigé est une adventice parfois utilisée comme </w:t>
      </w:r>
      <w:hyperlink r:id="rId2423" w:history="1">
        <w:r w:rsidRPr="0089135F">
          <w:rPr>
            <w:rStyle w:val="Lienhypertexte"/>
          </w:rPr>
          <w:t>plantes fourragères</w:t>
        </w:r>
      </w:hyperlink>
      <w:r w:rsidRPr="0089135F">
        <w:t> de moyenne qualité ou comme </w:t>
      </w:r>
      <w:hyperlink r:id="rId2424" w:history="1">
        <w:r w:rsidRPr="0089135F">
          <w:rPr>
            <w:rStyle w:val="Lienhypertexte"/>
          </w:rPr>
          <w:t>plante ornementale</w:t>
        </w:r>
      </w:hyperlink>
      <w:r w:rsidRPr="0089135F">
        <w:t>.</w:t>
      </w:r>
    </w:p>
    <w:p w14:paraId="346CFF85" w14:textId="77777777" w:rsidR="00FA4BA8" w:rsidRPr="0089135F" w:rsidRDefault="00FA4BA8" w:rsidP="0089135F">
      <w:pPr>
        <w:spacing w:after="0" w:line="240" w:lineRule="auto"/>
        <w:jc w:val="both"/>
      </w:pPr>
    </w:p>
    <w:p w14:paraId="5ABCF13D" w14:textId="087275E2" w:rsidR="0089135F" w:rsidRPr="0089135F" w:rsidRDefault="0089135F" w:rsidP="0089135F">
      <w:pPr>
        <w:spacing w:after="0" w:line="240" w:lineRule="auto"/>
        <w:jc w:val="both"/>
        <w:rPr>
          <w:b/>
          <w:bCs/>
          <w:i/>
          <w:iCs/>
        </w:rPr>
      </w:pPr>
      <w:r w:rsidRPr="0089135F">
        <w:rPr>
          <w:b/>
          <w:bCs/>
        </w:rPr>
        <w:t xml:space="preserve">Elle peut provoquer </w:t>
      </w:r>
      <w:hyperlink r:id="rId2425" w:history="1">
        <w:r w:rsidRPr="0089135F">
          <w:rPr>
            <w:rStyle w:val="Lienhypertexte"/>
            <w:b/>
            <w:bCs/>
          </w:rPr>
          <w:t>photosensibilité</w:t>
        </w:r>
      </w:hyperlink>
      <w:r w:rsidRPr="0089135F">
        <w:rPr>
          <w:b/>
          <w:bCs/>
        </w:rPr>
        <w:t> et des dommages au foie, chez les chevaux, les moutons et les chèvres</w:t>
      </w:r>
      <w:r w:rsidRPr="0089135F">
        <w:rPr>
          <w:b/>
          <w:bCs/>
          <w:i/>
          <w:iCs/>
        </w:rPr>
        <w:t>.</w:t>
      </w:r>
    </w:p>
    <w:p w14:paraId="00B54069" w14:textId="77777777" w:rsidR="000734F6" w:rsidRPr="000734F6" w:rsidRDefault="0089135F" w:rsidP="0089135F">
      <w:pPr>
        <w:spacing w:after="0" w:line="240" w:lineRule="auto"/>
        <w:jc w:val="both"/>
        <w:rPr>
          <w:i/>
          <w:iCs/>
          <w:lang w:val="en-GB"/>
        </w:rPr>
      </w:pPr>
      <w:r w:rsidRPr="0089135F">
        <w:rPr>
          <w:i/>
          <w:iCs/>
          <w:lang w:val="en-GB"/>
        </w:rPr>
        <w:t xml:space="preserve">Sources : a) </w:t>
      </w:r>
      <w:hyperlink r:id="rId2426" w:history="1">
        <w:r w:rsidRPr="0089135F">
          <w:rPr>
            <w:rStyle w:val="Lienhypertexte"/>
            <w:i/>
            <w:iCs/>
            <w:lang w:val="en-GB"/>
          </w:rPr>
          <w:t>http://fr.wikipedia.org/wiki/Panicum_virgatum</w:t>
        </w:r>
      </w:hyperlink>
      <w:r w:rsidRPr="0089135F">
        <w:rPr>
          <w:i/>
          <w:iCs/>
          <w:lang w:val="en-GB"/>
        </w:rPr>
        <w:t xml:space="preserve">, b) </w:t>
      </w:r>
      <w:hyperlink r:id="rId2427" w:history="1">
        <w:r w:rsidRPr="0089135F">
          <w:rPr>
            <w:rStyle w:val="Lienhypertexte"/>
            <w:i/>
            <w:iCs/>
            <w:lang w:val="en-GB"/>
          </w:rPr>
          <w:t>http://en.wikipedia.org/wiki/Panicum_virgatum</w:t>
        </w:r>
      </w:hyperlink>
      <w:r w:rsidRPr="0089135F">
        <w:rPr>
          <w:i/>
          <w:iCs/>
          <w:lang w:val="en-GB"/>
        </w:rPr>
        <w:t xml:space="preserve">, </w:t>
      </w:r>
    </w:p>
    <w:p w14:paraId="1D7F8B14" w14:textId="0B316325" w:rsidR="0089135F" w:rsidRPr="0089135F" w:rsidRDefault="0089135F" w:rsidP="0089135F">
      <w:pPr>
        <w:spacing w:after="0" w:line="240" w:lineRule="auto"/>
        <w:jc w:val="both"/>
        <w:rPr>
          <w:lang w:val="en-GB"/>
        </w:rPr>
      </w:pPr>
      <w:r w:rsidRPr="0089135F">
        <w:rPr>
          <w:i/>
          <w:iCs/>
          <w:lang w:val="en-GB"/>
        </w:rPr>
        <w:t xml:space="preserve">c) </w:t>
      </w:r>
      <w:r w:rsidRPr="0089135F">
        <w:rPr>
          <w:i/>
          <w:iCs/>
          <w:lang w:val="en-US"/>
        </w:rPr>
        <w:t>Evaluation</w:t>
      </w:r>
      <w:r w:rsidRPr="0089135F">
        <w:rPr>
          <w:lang w:val="en-US"/>
        </w:rPr>
        <w:t xml:space="preserve"> </w:t>
      </w:r>
      <w:r w:rsidRPr="0089135F">
        <w:rPr>
          <w:i/>
          <w:iCs/>
          <w:lang w:val="en-US"/>
        </w:rPr>
        <w:t>of Salinity Tolerance and Genetic Diversity of Thirty-Three Switchgrass</w:t>
      </w:r>
      <w:r w:rsidRPr="0089135F">
        <w:rPr>
          <w:lang w:val="en-US"/>
        </w:rPr>
        <w:t xml:space="preserve"> </w:t>
      </w:r>
      <w:r w:rsidRPr="0089135F">
        <w:rPr>
          <w:i/>
          <w:iCs/>
          <w:lang w:val="en-US"/>
        </w:rPr>
        <w:t>(Panicum virgatum</w:t>
      </w:r>
      <w:r w:rsidRPr="0089135F">
        <w:rPr>
          <w:lang w:val="en-US"/>
        </w:rPr>
        <w:t xml:space="preserve">) Populations, </w:t>
      </w:r>
      <w:hyperlink r:id="rId2428" w:history="1">
        <w:r w:rsidRPr="0089135F">
          <w:rPr>
            <w:rStyle w:val="Lienhypertexte"/>
            <w:lang w:val="en-GB"/>
          </w:rPr>
          <w:t>BioEnergy</w:t>
        </w:r>
      </w:hyperlink>
      <w:hyperlink r:id="rId2429" w:history="1">
        <w:r w:rsidRPr="0089135F">
          <w:rPr>
            <w:rStyle w:val="Lienhypertexte"/>
            <w:lang w:val="en-GB"/>
          </w:rPr>
          <w:t xml:space="preserve"> </w:t>
        </w:r>
      </w:hyperlink>
      <w:hyperlink r:id="rId2430" w:history="1">
        <w:r w:rsidRPr="0089135F">
          <w:rPr>
            <w:rStyle w:val="Lienhypertexte"/>
            <w:lang w:val="en-GB"/>
          </w:rPr>
          <w:t>Research</w:t>
        </w:r>
      </w:hyperlink>
      <w:r w:rsidRPr="0089135F">
        <w:rPr>
          <w:lang w:val="en-US"/>
        </w:rPr>
        <w:t>, May 2014.</w:t>
      </w:r>
      <w:r w:rsidRPr="0089135F">
        <w:rPr>
          <w:lang w:val="en-GB"/>
        </w:rPr>
        <w:t xml:space="preserve"> d) </w:t>
      </w:r>
      <w:r w:rsidRPr="0089135F">
        <w:rPr>
          <w:lang w:val="en-US"/>
        </w:rPr>
        <w:t xml:space="preserve">Relative Salt Tolerance of Switchgrass (Panicum Virgatum), </w:t>
      </w:r>
      <w:hyperlink r:id="rId2431" w:history="1">
        <w:r w:rsidRPr="0089135F">
          <w:rPr>
            <w:rStyle w:val="Lienhypertexte"/>
            <w:lang w:val="en-US"/>
          </w:rPr>
          <w:t>www.etaflorence.it/proceedings/?detail=6773</w:t>
        </w:r>
      </w:hyperlink>
      <w:r w:rsidRPr="0089135F">
        <w:rPr>
          <w:lang w:val="en-US"/>
        </w:rPr>
        <w:t xml:space="preserve"> </w:t>
      </w:r>
    </w:p>
    <w:p w14:paraId="2E2CC31F" w14:textId="77777777" w:rsidR="0089135F" w:rsidRDefault="0089135F" w:rsidP="00125C62">
      <w:pPr>
        <w:spacing w:after="0" w:line="240" w:lineRule="auto"/>
        <w:jc w:val="both"/>
        <w:rPr>
          <w:lang w:val="en-G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24"/>
        <w:gridCol w:w="2933"/>
        <w:gridCol w:w="3769"/>
      </w:tblGrid>
      <w:tr w:rsidR="0089135F" w14:paraId="177E77EE" w14:textId="77777777" w:rsidTr="0089135F">
        <w:tc>
          <w:tcPr>
            <w:tcW w:w="3741" w:type="dxa"/>
          </w:tcPr>
          <w:p w14:paraId="4E99C678" w14:textId="373CD5A7" w:rsidR="0089135F" w:rsidRDefault="0089135F" w:rsidP="0089135F">
            <w:pPr>
              <w:jc w:val="center"/>
              <w:rPr>
                <w:lang w:val="en-GB"/>
              </w:rPr>
            </w:pPr>
            <w:r w:rsidRPr="0089135F">
              <w:rPr>
                <w:noProof/>
              </w:rPr>
              <w:lastRenderedPageBreak/>
              <w:drawing>
                <wp:inline distT="0" distB="0" distL="0" distR="0" wp14:anchorId="33DD35BF" wp14:editId="48639E34">
                  <wp:extent cx="2238375" cy="1487488"/>
                  <wp:effectExtent l="0" t="0" r="0" b="0"/>
                  <wp:docPr id="91146" name="Picture 7" descr="C:\Users\LISAN\Pictures\plantes-halophytes-xerophiles\Panicum virgatu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46" name="Picture 7" descr="C:\Users\LISAN\Pictures\plantes-halophytes-xerophiles\Panicum virgatum2.jpg"/>
                          <pic:cNvPicPr>
                            <a:picLocks noChangeAspect="1" noChangeArrowheads="1"/>
                          </pic:cNvPicPr>
                        </pic:nvPicPr>
                        <pic:blipFill>
                          <a:blip r:embed="rId2432">
                            <a:extLst>
                              <a:ext uri="{28A0092B-C50C-407E-A947-70E740481C1C}">
                                <a14:useLocalDpi xmlns:a14="http://schemas.microsoft.com/office/drawing/2010/main" val="0"/>
                              </a:ext>
                            </a:extLst>
                          </a:blip>
                          <a:srcRect/>
                          <a:stretch>
                            <a:fillRect/>
                          </a:stretch>
                        </pic:blipFill>
                        <pic:spPr bwMode="auto">
                          <a:xfrm>
                            <a:off x="0" y="0"/>
                            <a:ext cx="2238375" cy="14874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2917" w:type="dxa"/>
          </w:tcPr>
          <w:p w14:paraId="7C5FC0CF" w14:textId="6A1B2DF7" w:rsidR="0089135F" w:rsidRDefault="0089135F" w:rsidP="0089135F">
            <w:pPr>
              <w:jc w:val="center"/>
              <w:rPr>
                <w:lang w:val="en-GB"/>
              </w:rPr>
            </w:pPr>
            <w:r w:rsidRPr="0089135F">
              <w:rPr>
                <w:noProof/>
              </w:rPr>
              <w:drawing>
                <wp:inline distT="0" distB="0" distL="0" distR="0" wp14:anchorId="2FBF58F7" wp14:editId="5AC4B559">
                  <wp:extent cx="1728788" cy="1527175"/>
                  <wp:effectExtent l="0" t="0" r="5080" b="0"/>
                  <wp:docPr id="91145" name="Picture 6" descr="C:\Users\LISAN\Pictures\plantes-halophytes-xerophiles\Panicum virgatum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45" name="Picture 6" descr="C:\Users\LISAN\Pictures\plantes-halophytes-xerophiles\Panicum virgatum3.jpg"/>
                          <pic:cNvPicPr>
                            <a:picLocks noChangeAspect="1" noChangeArrowheads="1"/>
                          </pic:cNvPicPr>
                        </pic:nvPicPr>
                        <pic:blipFill>
                          <a:blip r:embed="rId2433">
                            <a:extLst>
                              <a:ext uri="{28A0092B-C50C-407E-A947-70E740481C1C}">
                                <a14:useLocalDpi xmlns:a14="http://schemas.microsoft.com/office/drawing/2010/main" val="0"/>
                              </a:ext>
                            </a:extLst>
                          </a:blip>
                          <a:srcRect/>
                          <a:stretch>
                            <a:fillRect/>
                          </a:stretch>
                        </pic:blipFill>
                        <pic:spPr bwMode="auto">
                          <a:xfrm>
                            <a:off x="0" y="0"/>
                            <a:ext cx="1728788" cy="152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758" w:type="dxa"/>
          </w:tcPr>
          <w:p w14:paraId="0074AF87" w14:textId="18ECA95E" w:rsidR="0089135F" w:rsidRDefault="0089135F" w:rsidP="0089135F">
            <w:pPr>
              <w:jc w:val="center"/>
              <w:rPr>
                <w:lang w:val="en-GB"/>
              </w:rPr>
            </w:pPr>
            <w:r w:rsidRPr="0089135F">
              <w:rPr>
                <w:noProof/>
              </w:rPr>
              <w:drawing>
                <wp:inline distT="0" distB="0" distL="0" distR="0" wp14:anchorId="4A2A3598" wp14:editId="5056D5C5">
                  <wp:extent cx="2266950" cy="1509712"/>
                  <wp:effectExtent l="0" t="0" r="0" b="0"/>
                  <wp:docPr id="91144" name="Picture 2" descr="C:\Users\LISAN\Pictures\plantes-halophytes-xerophiles\Panicum_virgatum_grai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44" name="Picture 2" descr="C:\Users\LISAN\Pictures\plantes-halophytes-xerophiles\Panicum_virgatum_graines.jpg"/>
                          <pic:cNvPicPr>
                            <a:picLocks noChangeAspect="1" noChangeArrowheads="1"/>
                          </pic:cNvPicPr>
                        </pic:nvPicPr>
                        <pic:blipFill>
                          <a:blip r:embed="rId2434">
                            <a:extLst>
                              <a:ext uri="{28A0092B-C50C-407E-A947-70E740481C1C}">
                                <a14:useLocalDpi xmlns:a14="http://schemas.microsoft.com/office/drawing/2010/main" val="0"/>
                              </a:ext>
                            </a:extLst>
                          </a:blip>
                          <a:srcRect/>
                          <a:stretch>
                            <a:fillRect/>
                          </a:stretch>
                        </pic:blipFill>
                        <pic:spPr bwMode="auto">
                          <a:xfrm>
                            <a:off x="0" y="0"/>
                            <a:ext cx="2266950" cy="15097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266D0485" w14:textId="1145653C" w:rsidR="0089135F" w:rsidRDefault="0089135F" w:rsidP="00CE5228">
      <w:pPr>
        <w:spacing w:after="0" w:line="240" w:lineRule="auto"/>
        <w:jc w:val="center"/>
        <w:rPr>
          <w:lang w:val="en-G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06"/>
        <w:gridCol w:w="2920"/>
      </w:tblGrid>
      <w:tr w:rsidR="00CE5228" w:rsidRPr="00CE5228" w14:paraId="1F80D95C" w14:textId="77777777" w:rsidTr="00CE5228">
        <w:tc>
          <w:tcPr>
            <w:tcW w:w="6374" w:type="dxa"/>
          </w:tcPr>
          <w:p w14:paraId="7DB39F8B" w14:textId="77777777" w:rsidR="00CE5228" w:rsidRDefault="00CE5228" w:rsidP="00CE5228">
            <w:pPr>
              <w:jc w:val="center"/>
              <w:rPr>
                <w:lang w:val="en-GB"/>
              </w:rPr>
            </w:pPr>
            <w:r w:rsidRPr="00CE5228">
              <w:rPr>
                <w:noProof/>
              </w:rPr>
              <w:drawing>
                <wp:inline distT="0" distB="0" distL="0" distR="0" wp14:anchorId="171838F3" wp14:editId="174D815F">
                  <wp:extent cx="4624387" cy="1108075"/>
                  <wp:effectExtent l="0" t="0" r="5080" b="0"/>
                  <wp:docPr id="92169" name="Picture 4" descr="C:\Users\LISAN\Pictures\plantes-halophytes-xerophiles\Panicum virgatum_roo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69" name="Picture 4" descr="C:\Users\LISAN\Pictures\plantes-halophytes-xerophiles\Panicum virgatum_roots.jpg"/>
                          <pic:cNvPicPr>
                            <a:picLocks noChangeAspect="1" noChangeArrowheads="1"/>
                          </pic:cNvPicPr>
                        </pic:nvPicPr>
                        <pic:blipFill>
                          <a:blip r:embed="rId2435">
                            <a:extLst>
                              <a:ext uri="{28A0092B-C50C-407E-A947-70E740481C1C}">
                                <a14:useLocalDpi xmlns:a14="http://schemas.microsoft.com/office/drawing/2010/main" val="0"/>
                              </a:ext>
                            </a:extLst>
                          </a:blip>
                          <a:srcRect/>
                          <a:stretch>
                            <a:fillRect/>
                          </a:stretch>
                        </pic:blipFill>
                        <pic:spPr bwMode="auto">
                          <a:xfrm>
                            <a:off x="0" y="0"/>
                            <a:ext cx="4624387" cy="1108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828D806" w14:textId="24E17DDA" w:rsidR="00CE5228" w:rsidRDefault="00CE5228" w:rsidP="00CE5228">
            <w:pPr>
              <w:jc w:val="center"/>
            </w:pPr>
            <w:r w:rsidRPr="00CE5228">
              <w:t>Système racinaire de panic cultivé au </w:t>
            </w:r>
            <w:hyperlink r:id="rId2436" w:history="1">
              <w:r w:rsidRPr="00CE5228">
                <w:rPr>
                  <w:rStyle w:val="Lienhypertexte"/>
                </w:rPr>
                <w:t>Land Institute</w:t>
              </w:r>
            </w:hyperlink>
            <w:r w:rsidRPr="00CE5228">
              <w:t>.</w:t>
            </w:r>
          </w:p>
          <w:p w14:paraId="1227D1D2" w14:textId="4A155780" w:rsidR="00CE5228" w:rsidRPr="00CE5228" w:rsidRDefault="00CE5228" w:rsidP="00CE5228">
            <w:pPr>
              <w:jc w:val="both"/>
            </w:pPr>
            <w:r w:rsidRPr="00CE5228">
              <w:t>Le système racinaire très dense de </w:t>
            </w:r>
            <w:r w:rsidRPr="00CE5228">
              <w:rPr>
                <w:i/>
                <w:iCs/>
              </w:rPr>
              <w:t>P. virgatum</w:t>
            </w:r>
            <w:r w:rsidRPr="00CE5228">
              <w:t xml:space="preserve"> contribue à fixer le sol et </w:t>
            </w:r>
            <w:r>
              <w:t>à</w:t>
            </w:r>
            <w:r w:rsidRPr="00CE5228">
              <w:t xml:space="preserve"> y améliorer les interactions sol-racines-microbes ainsi que la circulation verticale de l'eau et son épuration. Cette plante a pour cela été expérimentalement réintroduite, avec succès</w:t>
            </w:r>
            <w:r w:rsidRPr="00CE5228">
              <w:rPr>
                <w:vertAlign w:val="superscript"/>
              </w:rPr>
              <w:t xml:space="preserve"> </w:t>
            </w:r>
            <w:r w:rsidRPr="00CE5228">
              <w:t>dans certaines </w:t>
            </w:r>
            <w:hyperlink r:id="rId2437" w:history="1">
              <w:r w:rsidRPr="00CE5228">
                <w:rPr>
                  <w:rStyle w:val="Lienhypertexte"/>
                </w:rPr>
                <w:t>zones-tampon</w:t>
              </w:r>
            </w:hyperlink>
            <w:r w:rsidRPr="00CE5228">
              <w:t xml:space="preserve"> à vocation d'épuration des eaux et des sols en milieu agricole aux États-Unis. </w:t>
            </w:r>
          </w:p>
        </w:tc>
        <w:tc>
          <w:tcPr>
            <w:tcW w:w="4042" w:type="dxa"/>
          </w:tcPr>
          <w:p w14:paraId="2B5D7504" w14:textId="77777777" w:rsidR="00CE5228" w:rsidRDefault="00CE5228" w:rsidP="00CE5228">
            <w:pPr>
              <w:jc w:val="center"/>
              <w:rPr>
                <w:lang w:val="en-GB"/>
              </w:rPr>
            </w:pPr>
            <w:r w:rsidRPr="00CE5228">
              <w:rPr>
                <w:noProof/>
              </w:rPr>
              <w:drawing>
                <wp:inline distT="0" distB="0" distL="0" distR="0" wp14:anchorId="70DE4EE9" wp14:editId="34B3BE9C">
                  <wp:extent cx="1610360" cy="2012950"/>
                  <wp:effectExtent l="0" t="0" r="8890" b="6350"/>
                  <wp:docPr id="92167" name="Picture 5" descr="C:\Users\LISAN\Pictures\plantes-halophytes-xerophiles\Panicum_virgat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67" name="Picture 5" descr="C:\Users\LISAN\Pictures\plantes-halophytes-xerophiles\Panicum_virgatum.jpg"/>
                          <pic:cNvPicPr>
                            <a:picLocks noChangeAspect="1" noChangeArrowheads="1"/>
                          </pic:cNvPicPr>
                        </pic:nvPicPr>
                        <pic:blipFill>
                          <a:blip r:embed="rId2438">
                            <a:extLst>
                              <a:ext uri="{28A0092B-C50C-407E-A947-70E740481C1C}">
                                <a14:useLocalDpi xmlns:a14="http://schemas.microsoft.com/office/drawing/2010/main" val="0"/>
                              </a:ext>
                            </a:extLst>
                          </a:blip>
                          <a:srcRect/>
                          <a:stretch>
                            <a:fillRect/>
                          </a:stretch>
                        </pic:blipFill>
                        <pic:spPr bwMode="auto">
                          <a:xfrm>
                            <a:off x="0" y="0"/>
                            <a:ext cx="1610360" cy="2012950"/>
                          </a:xfrm>
                          <a:prstGeom prst="rect">
                            <a:avLst/>
                          </a:prstGeom>
                          <a:noFill/>
                          <a:ln>
                            <a:noFill/>
                          </a:ln>
                        </pic:spPr>
                      </pic:pic>
                    </a:graphicData>
                  </a:graphic>
                </wp:inline>
              </w:drawing>
            </w:r>
          </w:p>
          <w:p w14:paraId="1CA921C2" w14:textId="0354F5B6" w:rsidR="00CE5228" w:rsidRPr="00CE5228" w:rsidRDefault="00CE5228" w:rsidP="00CE5228">
            <w:pPr>
              <w:jc w:val="center"/>
            </w:pPr>
            <w:r w:rsidRPr="00CE5228">
              <w:rPr>
                <w:i/>
                <w:iCs/>
              </w:rPr>
              <w:t>Panicum virgatum</w:t>
            </w:r>
            <w:r w:rsidRPr="00CE5228">
              <w:t> peut atteindre une taille importante</w:t>
            </w:r>
            <w:r>
              <w:t>.</w:t>
            </w:r>
          </w:p>
        </w:tc>
      </w:tr>
    </w:tbl>
    <w:p w14:paraId="69E2A5BF" w14:textId="36FD8E31" w:rsidR="0089135F" w:rsidRPr="00CE5228" w:rsidRDefault="0089135F" w:rsidP="0089135F">
      <w:pPr>
        <w:spacing w:after="0" w:line="240" w:lineRule="auto"/>
      </w:pPr>
    </w:p>
    <w:p w14:paraId="3844C6AB" w14:textId="5575CA54" w:rsidR="0089135F" w:rsidRPr="00B000E9" w:rsidRDefault="00B000E9" w:rsidP="002E3E92">
      <w:pPr>
        <w:pStyle w:val="Titre2"/>
      </w:pPr>
      <w:bookmarkStart w:id="199" w:name="_Toc139181490"/>
      <w:r w:rsidRPr="00B000E9">
        <w:t>Panic amer</w:t>
      </w:r>
      <w:r w:rsidRPr="00B000E9">
        <w:rPr>
          <w:b/>
          <w:bCs/>
        </w:rPr>
        <w:t xml:space="preserve"> </w:t>
      </w:r>
      <w:r w:rsidRPr="00B000E9">
        <w:t>(</w:t>
      </w:r>
      <w:r w:rsidRPr="002E3E92">
        <w:rPr>
          <w:i/>
          <w:iCs/>
          <w:lang w:val="la-Latn"/>
        </w:rPr>
        <w:t xml:space="preserve">Panicum </w:t>
      </w:r>
      <w:r w:rsidRPr="002E3E92">
        <w:rPr>
          <w:i/>
          <w:iCs/>
        </w:rPr>
        <w:t>amarum</w:t>
      </w:r>
      <w:r>
        <w:t>)</w:t>
      </w:r>
      <w:bookmarkEnd w:id="199"/>
    </w:p>
    <w:p w14:paraId="7E4F448A" w14:textId="4F97BBC0" w:rsidR="00B000E9" w:rsidRDefault="00B000E9" w:rsidP="0089135F">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31"/>
        <w:gridCol w:w="2193"/>
        <w:gridCol w:w="1104"/>
        <w:gridCol w:w="663"/>
        <w:gridCol w:w="1735"/>
      </w:tblGrid>
      <w:tr w:rsidR="00B000E9" w:rsidRPr="000B6BE3" w14:paraId="449CE8A6" w14:textId="77777777" w:rsidTr="00520A81">
        <w:tc>
          <w:tcPr>
            <w:tcW w:w="4731" w:type="dxa"/>
          </w:tcPr>
          <w:p w14:paraId="2DFED4AF" w14:textId="77777777" w:rsidR="00B000E9" w:rsidRPr="000B6BE3" w:rsidRDefault="00B000E9" w:rsidP="00520A81">
            <w:pPr>
              <w:rPr>
                <w:rFonts w:cstheme="minorHAnsi"/>
                <w:bCs/>
              </w:rPr>
            </w:pPr>
            <w:r w:rsidRPr="000B6BE3">
              <w:rPr>
                <w:rFonts w:cstheme="minorHAnsi"/>
                <w:bCs/>
              </w:rPr>
              <w:t>(</w:t>
            </w:r>
            <w:hyperlink r:id="rId2439" w:history="1">
              <w:r w:rsidRPr="000B6BE3">
                <w:rPr>
                  <w:rFonts w:cstheme="minorHAnsi"/>
                </w:rPr>
                <w:t>F</w:t>
              </w:r>
              <w:r w:rsidRPr="000B6BE3">
                <w:rPr>
                  <w:rStyle w:val="Lienhypertexte"/>
                  <w:rFonts w:cstheme="minorHAnsi"/>
                  <w:color w:val="0B0080"/>
                  <w:shd w:val="clear" w:color="auto" w:fill="FFFFFF"/>
                </w:rPr>
                <w:t>amille</w:t>
              </w:r>
            </w:hyperlink>
            <w:r w:rsidRPr="000B6BE3">
              <w:rPr>
                <w:rFonts w:cstheme="minorHAnsi"/>
                <w:color w:val="222222"/>
                <w:shd w:val="clear" w:color="auto" w:fill="FFFFFF"/>
              </w:rPr>
              <w:t> </w:t>
            </w:r>
            <w:r w:rsidRPr="00FC05CB">
              <w:rPr>
                <w:rFonts w:cstheme="minorHAnsi"/>
                <w:color w:val="000000" w:themeColor="text1"/>
                <w:shd w:val="clear" w:color="auto" w:fill="FFFFFF"/>
              </w:rPr>
              <w:t>des</w:t>
            </w:r>
            <w:r>
              <w:rPr>
                <w:rFonts w:cstheme="minorHAnsi"/>
                <w:color w:val="000000" w:themeColor="text1"/>
                <w:shd w:val="clear" w:color="auto" w:fill="FFFFFF"/>
              </w:rPr>
              <w:t xml:space="preserve"> </w:t>
            </w:r>
            <w:hyperlink r:id="rId2440" w:history="1">
              <w:r w:rsidRPr="00CA1A74">
                <w:rPr>
                  <w:rStyle w:val="Lienhypertexte"/>
                  <w:i/>
                  <w:iCs/>
                </w:rPr>
                <w:t>Poaceae</w:t>
              </w:r>
            </w:hyperlink>
            <w:r w:rsidRPr="00FC05CB">
              <w:rPr>
                <w:rFonts w:cstheme="minorHAnsi"/>
                <w:bCs/>
                <w:color w:val="000000" w:themeColor="text1"/>
              </w:rPr>
              <w:t>).</w:t>
            </w:r>
          </w:p>
          <w:p w14:paraId="24321AB6" w14:textId="77777777" w:rsidR="00B000E9" w:rsidRPr="000B6BE3" w:rsidRDefault="00B000E9" w:rsidP="00520A81">
            <w:pPr>
              <w:rPr>
                <w:rFonts w:cstheme="minorHAnsi"/>
                <w:bCs/>
              </w:rPr>
            </w:pPr>
          </w:p>
          <w:p w14:paraId="3137897E" w14:textId="77777777" w:rsidR="00B000E9" w:rsidRPr="000B6BE3" w:rsidRDefault="00B000E9" w:rsidP="00520A81">
            <w:pPr>
              <w:rPr>
                <w:rFonts w:cstheme="minorHAnsi"/>
              </w:rPr>
            </w:pPr>
          </w:p>
        </w:tc>
        <w:tc>
          <w:tcPr>
            <w:tcW w:w="2193" w:type="dxa"/>
          </w:tcPr>
          <w:p w14:paraId="3AA2644A" w14:textId="77777777" w:rsidR="00B000E9" w:rsidRPr="000B6BE3" w:rsidRDefault="00B000E9" w:rsidP="00520A81">
            <w:pPr>
              <w:rPr>
                <w:rFonts w:cstheme="minorHAnsi"/>
              </w:rPr>
            </w:pPr>
            <w:r w:rsidRPr="00FC05CB">
              <w:rPr>
                <w:rFonts w:cstheme="minorHAnsi"/>
                <w:noProof/>
              </w:rPr>
              <w:drawing>
                <wp:inline distT="0" distB="0" distL="0" distR="0" wp14:anchorId="5295FD46" wp14:editId="5F223F85">
                  <wp:extent cx="514350" cy="733425"/>
                  <wp:effectExtent l="0" t="0" r="0" b="9525"/>
                  <wp:docPr id="81932" name="Image 11"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13" name="Image 11" descr="logo salinisation2_s.jpg"/>
                          <pic:cNvPicPr>
                            <a:picLocks noChangeAspect="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14350" cy="733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rPr>
              <w:t xml:space="preserve"> </w:t>
            </w:r>
            <w:r w:rsidRPr="00125C62">
              <w:rPr>
                <w:rFonts w:cstheme="minorHAnsi"/>
                <w:noProof/>
              </w:rPr>
              <w:drawing>
                <wp:inline distT="0" distB="0" distL="0" distR="0" wp14:anchorId="3FEBAA08" wp14:editId="4EE6D124">
                  <wp:extent cx="495300" cy="666750"/>
                  <wp:effectExtent l="0" t="0" r="0" b="0"/>
                  <wp:docPr id="81933" name="Image 11"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11" descr="logo aride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rPr>
              <w:t> </w:t>
            </w:r>
          </w:p>
        </w:tc>
        <w:tc>
          <w:tcPr>
            <w:tcW w:w="1104" w:type="dxa"/>
          </w:tcPr>
          <w:p w14:paraId="02EE4999" w14:textId="77777777" w:rsidR="00B000E9" w:rsidRDefault="00B000E9" w:rsidP="00520A81">
            <w:pPr>
              <w:textAlignment w:val="baseline"/>
              <w:rPr>
                <w:rFonts w:eastAsia="+mn-ea" w:cstheme="minorHAnsi"/>
                <w:b/>
                <w:bCs/>
                <w:color w:val="008000"/>
                <w:kern w:val="24"/>
              </w:rPr>
            </w:pPr>
            <w:r w:rsidRPr="000B6BE3">
              <w:rPr>
                <w:rFonts w:eastAsia="+mn-ea" w:cstheme="minorHAnsi"/>
                <w:b/>
                <w:bCs/>
                <w:color w:val="008000"/>
                <w:kern w:val="24"/>
              </w:rPr>
              <w:t>↗</w:t>
            </w:r>
          </w:p>
          <w:p w14:paraId="0A8A167A" w14:textId="77777777" w:rsidR="00B000E9" w:rsidRDefault="00B000E9" w:rsidP="00520A81">
            <w:pPr>
              <w:textAlignment w:val="baseline"/>
              <w:rPr>
                <w:rFonts w:eastAsia="+mn-ea" w:cstheme="minorHAnsi"/>
                <w:b/>
                <w:bCs/>
                <w:color w:val="008000"/>
                <w:kern w:val="24"/>
              </w:rPr>
            </w:pPr>
          </w:p>
          <w:p w14:paraId="6E8CFA05" w14:textId="4F5F67AF" w:rsidR="00B000E9" w:rsidRPr="00B000E9" w:rsidRDefault="00B000E9" w:rsidP="00520A81">
            <w:pPr>
              <w:textAlignment w:val="baseline"/>
              <w:rPr>
                <w:rFonts w:cstheme="minorHAnsi"/>
                <w:b/>
                <w:bCs/>
                <w:color w:val="008000"/>
                <w:sz w:val="40"/>
                <w:szCs w:val="40"/>
              </w:rPr>
            </w:pPr>
            <w:r w:rsidRPr="00B000E9">
              <w:rPr>
                <w:rFonts w:cstheme="minorHAnsi"/>
                <w:b/>
                <w:bCs/>
                <w:color w:val="008000"/>
                <w:sz w:val="40"/>
                <w:szCs w:val="40"/>
              </w:rPr>
              <w:t>U</w:t>
            </w:r>
          </w:p>
        </w:tc>
        <w:tc>
          <w:tcPr>
            <w:tcW w:w="663" w:type="dxa"/>
          </w:tcPr>
          <w:p w14:paraId="31608F63" w14:textId="7A77FCE8" w:rsidR="00B000E9" w:rsidRDefault="00B000E9" w:rsidP="00520A81">
            <w:pPr>
              <w:pStyle w:val="NormalWeb"/>
              <w:spacing w:before="0" w:beforeAutospacing="0" w:after="0" w:afterAutospacing="0"/>
              <w:textAlignment w:val="baseline"/>
            </w:pPr>
            <w:r>
              <w:t xml:space="preserve"> </w:t>
            </w:r>
          </w:p>
          <w:p w14:paraId="6069A427" w14:textId="77777777" w:rsidR="00B000E9" w:rsidRPr="000B6BE3" w:rsidRDefault="00B000E9" w:rsidP="00520A81">
            <w:pPr>
              <w:rPr>
                <w:rFonts w:cstheme="minorHAnsi"/>
              </w:rPr>
            </w:pPr>
          </w:p>
        </w:tc>
        <w:tc>
          <w:tcPr>
            <w:tcW w:w="1735" w:type="dxa"/>
          </w:tcPr>
          <w:p w14:paraId="4FCB482E" w14:textId="682E4DB6" w:rsidR="00B000E9" w:rsidRPr="000B6BE3" w:rsidRDefault="00B000E9" w:rsidP="00520A81">
            <w:pPr>
              <w:rPr>
                <w:rFonts w:cstheme="minorHAnsi"/>
              </w:rPr>
            </w:pPr>
          </w:p>
        </w:tc>
      </w:tr>
    </w:tbl>
    <w:p w14:paraId="0B0A878D" w14:textId="77777777" w:rsidR="00B000E9" w:rsidRPr="00CE5228" w:rsidRDefault="00B000E9" w:rsidP="0089135F">
      <w:pPr>
        <w:spacing w:after="0" w:line="240" w:lineRule="auto"/>
        <w:jc w:val="both"/>
      </w:pPr>
    </w:p>
    <w:p w14:paraId="7B3321F0" w14:textId="32B55ED0" w:rsidR="00B000E9" w:rsidRPr="00B000E9" w:rsidRDefault="00B000E9" w:rsidP="00B000E9">
      <w:pPr>
        <w:spacing w:after="0" w:line="240" w:lineRule="auto"/>
        <w:jc w:val="both"/>
      </w:pPr>
      <w:r w:rsidRPr="00B000E9">
        <w:t xml:space="preserve">Originaire d'Amérique du Nord (régions côtières le long de la côte Est et la côte du Golfe des Etats-Unis et dans le nord-est du Mexique, </w:t>
      </w:r>
      <w:hyperlink r:id="rId2441" w:history="1">
        <w:r w:rsidRPr="00B000E9">
          <w:rPr>
            <w:rStyle w:val="Lienhypertexte"/>
          </w:rPr>
          <w:t>Bahamas</w:t>
        </w:r>
      </w:hyperlink>
      <w:r w:rsidRPr="00B000E9">
        <w:t> et à </w:t>
      </w:r>
      <w:hyperlink r:id="rId2442" w:history="1">
        <w:r w:rsidRPr="00B000E9">
          <w:rPr>
            <w:rStyle w:val="Lienhypertexte"/>
          </w:rPr>
          <w:t>Cuba</w:t>
        </w:r>
      </w:hyperlink>
      <w:r w:rsidRPr="00B000E9">
        <w:t xml:space="preserve">), cette plante vivace  à </w:t>
      </w:r>
      <w:hyperlink r:id="rId2443" w:history="1">
        <w:r w:rsidRPr="00B000E9">
          <w:rPr>
            <w:rStyle w:val="Lienhypertexte"/>
          </w:rPr>
          <w:t>rhizome</w:t>
        </w:r>
      </w:hyperlink>
      <w:r w:rsidRPr="00B000E9">
        <w:t>, a des tiges jusqu'à 2,5 mètres de haut et est couramment utilisé pour </w:t>
      </w:r>
      <w:hyperlink r:id="rId2444" w:history="1">
        <w:r w:rsidRPr="00B000E9">
          <w:rPr>
            <w:rStyle w:val="Lienhypertexte"/>
          </w:rPr>
          <w:t>dune</w:t>
        </w:r>
      </w:hyperlink>
      <w:r w:rsidRPr="00B000E9">
        <w:t> projets de stabilisation. Elle est utilisé pour prévenir </w:t>
      </w:r>
      <w:hyperlink r:id="rId2445" w:history="1">
        <w:r w:rsidRPr="00B000E9">
          <w:rPr>
            <w:rStyle w:val="Lienhypertexte"/>
          </w:rPr>
          <w:t>l'érosion</w:t>
        </w:r>
      </w:hyperlink>
      <w:r w:rsidRPr="00B000E9">
        <w:t>.</w:t>
      </w:r>
    </w:p>
    <w:p w14:paraId="73A9E09B" w14:textId="77777777" w:rsidR="00B000E9" w:rsidRPr="00B000E9" w:rsidRDefault="00B000E9" w:rsidP="00B000E9">
      <w:pPr>
        <w:spacing w:after="0" w:line="240" w:lineRule="auto"/>
        <w:jc w:val="both"/>
      </w:pPr>
      <w:r w:rsidRPr="00B000E9">
        <w:t>Les racines poussent à six pieds de profondeur. </w:t>
      </w:r>
    </w:p>
    <w:p w14:paraId="571A9437" w14:textId="77777777" w:rsidR="00B000E9" w:rsidRPr="00B000E9" w:rsidRDefault="00B000E9" w:rsidP="00B000E9">
      <w:pPr>
        <w:spacing w:after="0" w:line="240" w:lineRule="auto"/>
        <w:jc w:val="both"/>
      </w:pPr>
      <w:r w:rsidRPr="00B000E9">
        <w:t xml:space="preserve">La variété </w:t>
      </w:r>
      <w:hyperlink r:id="rId2446" w:history="1">
        <w:r w:rsidRPr="00B000E9">
          <w:rPr>
            <w:rStyle w:val="Lienhypertexte"/>
            <w:i/>
            <w:iCs/>
          </w:rPr>
          <w:t xml:space="preserve">Panicum </w:t>
        </w:r>
      </w:hyperlink>
      <w:hyperlink r:id="rId2447" w:history="1">
        <w:r w:rsidRPr="00B000E9">
          <w:rPr>
            <w:rStyle w:val="Lienhypertexte"/>
            <w:i/>
            <w:iCs/>
          </w:rPr>
          <w:t>amarum</w:t>
        </w:r>
      </w:hyperlink>
      <w:hyperlink r:id="rId2448" w:history="1">
        <w:r w:rsidRPr="00B000E9">
          <w:rPr>
            <w:rStyle w:val="Lienhypertexte"/>
          </w:rPr>
          <w:t> 'Dewey Blue‘</w:t>
        </w:r>
      </w:hyperlink>
      <w:r w:rsidRPr="00B000E9">
        <w:t xml:space="preserve"> est </w:t>
      </w:r>
      <w:r w:rsidRPr="00B000E9">
        <w:rPr>
          <w:i/>
          <w:iCs/>
        </w:rPr>
        <w:t>tolérante à la sécheresse et au sel</w:t>
      </w:r>
      <w:r w:rsidRPr="00B000E9">
        <w:rPr>
          <w:b/>
          <w:bCs/>
        </w:rPr>
        <w:t>.</w:t>
      </w:r>
    </w:p>
    <w:p w14:paraId="31B4F034" w14:textId="77777777" w:rsidR="00B000E9" w:rsidRPr="00B000E9" w:rsidRDefault="00B000E9" w:rsidP="00B000E9">
      <w:pPr>
        <w:spacing w:after="0" w:line="240" w:lineRule="auto"/>
        <w:jc w:val="both"/>
      </w:pPr>
      <w:r w:rsidRPr="00B000E9">
        <w:t xml:space="preserve">Sources : a) </w:t>
      </w:r>
      <w:hyperlink r:id="rId2449" w:history="1">
        <w:r w:rsidRPr="00B000E9">
          <w:rPr>
            <w:rStyle w:val="Lienhypertexte"/>
          </w:rPr>
          <w:t>http://en.wikipedia.org/wiki/Panicum_amarum</w:t>
        </w:r>
      </w:hyperlink>
      <w:r w:rsidRPr="00B000E9">
        <w:t xml:space="preserve">, b) </w:t>
      </w:r>
      <w:hyperlink r:id="rId2450" w:history="1">
        <w:r w:rsidRPr="00B000E9">
          <w:rPr>
            <w:rStyle w:val="Lienhypertexte"/>
          </w:rPr>
          <w:t>http://www.bluestem.ca/panicum.htm</w:t>
        </w:r>
      </w:hyperlink>
      <w:r w:rsidRPr="00B000E9">
        <w:t xml:space="preserve"> </w:t>
      </w:r>
    </w:p>
    <w:p w14:paraId="7251F89D" w14:textId="22DFDBB9" w:rsidR="0089135F" w:rsidRDefault="0089135F" w:rsidP="00125C62">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B000E9" w14:paraId="6BD975B4" w14:textId="77777777" w:rsidTr="00B000E9">
        <w:tc>
          <w:tcPr>
            <w:tcW w:w="5208" w:type="dxa"/>
          </w:tcPr>
          <w:p w14:paraId="2CD19FDF" w14:textId="252C6058" w:rsidR="00B000E9" w:rsidRDefault="00B000E9" w:rsidP="00B000E9">
            <w:pPr>
              <w:jc w:val="center"/>
            </w:pPr>
            <w:r w:rsidRPr="00B000E9">
              <w:rPr>
                <w:noProof/>
              </w:rPr>
              <w:drawing>
                <wp:inline distT="0" distB="0" distL="0" distR="0" wp14:anchorId="3278D7C0" wp14:editId="038AAC24">
                  <wp:extent cx="2336800" cy="1529542"/>
                  <wp:effectExtent l="0" t="0" r="6350" b="0"/>
                  <wp:docPr id="93192" name="Picture 2" descr="C:\Users\LISAN\Pictures\plantes-halophytes-xerophiles\Panicum_amarum_NRC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92" name="Picture 2" descr="C:\Users\LISAN\Pictures\plantes-halophytes-xerophiles\Panicum_amarum_NRCS-1.jpg"/>
                          <pic:cNvPicPr>
                            <a:picLocks noChangeAspect="1" noChangeArrowheads="1"/>
                          </pic:cNvPicPr>
                        </pic:nvPicPr>
                        <pic:blipFill>
                          <a:blip r:embed="rId2451">
                            <a:extLst>
                              <a:ext uri="{28A0092B-C50C-407E-A947-70E740481C1C}">
                                <a14:useLocalDpi xmlns:a14="http://schemas.microsoft.com/office/drawing/2010/main" val="0"/>
                              </a:ext>
                            </a:extLst>
                          </a:blip>
                          <a:srcRect/>
                          <a:stretch>
                            <a:fillRect/>
                          </a:stretch>
                        </pic:blipFill>
                        <pic:spPr bwMode="auto">
                          <a:xfrm>
                            <a:off x="0" y="0"/>
                            <a:ext cx="2338715" cy="1530795"/>
                          </a:xfrm>
                          <a:prstGeom prst="rect">
                            <a:avLst/>
                          </a:prstGeom>
                          <a:noFill/>
                          <a:ln>
                            <a:noFill/>
                          </a:ln>
                        </pic:spPr>
                      </pic:pic>
                    </a:graphicData>
                  </a:graphic>
                </wp:inline>
              </w:drawing>
            </w:r>
          </w:p>
        </w:tc>
        <w:tc>
          <w:tcPr>
            <w:tcW w:w="5208" w:type="dxa"/>
          </w:tcPr>
          <w:p w14:paraId="00EEFFD6" w14:textId="51C6F4DA" w:rsidR="00B000E9" w:rsidRDefault="00B000E9" w:rsidP="00B000E9">
            <w:pPr>
              <w:jc w:val="center"/>
            </w:pPr>
            <w:r w:rsidRPr="00B000E9">
              <w:rPr>
                <w:noProof/>
              </w:rPr>
              <w:drawing>
                <wp:inline distT="0" distB="0" distL="0" distR="0" wp14:anchorId="58AC2403" wp14:editId="03AEF673">
                  <wp:extent cx="1066800" cy="1482540"/>
                  <wp:effectExtent l="0" t="0" r="0" b="3810"/>
                  <wp:docPr id="93193" name="Picture 3" descr="C:\Users\LISAN\Pictures\plantes-halophytes-xerophiles\panicum-amaru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93" name="Picture 3" descr="C:\Users\LISAN\Pictures\plantes-halophytes-xerophiles\panicum-amarum2.jpg"/>
                          <pic:cNvPicPr>
                            <a:picLocks noChangeAspect="1" noChangeArrowheads="1"/>
                          </pic:cNvPicPr>
                        </pic:nvPicPr>
                        <pic:blipFill>
                          <a:blip r:embed="rId2452">
                            <a:extLst>
                              <a:ext uri="{28A0092B-C50C-407E-A947-70E740481C1C}">
                                <a14:useLocalDpi xmlns:a14="http://schemas.microsoft.com/office/drawing/2010/main" val="0"/>
                              </a:ext>
                            </a:extLst>
                          </a:blip>
                          <a:srcRect/>
                          <a:stretch>
                            <a:fillRect/>
                          </a:stretch>
                        </pic:blipFill>
                        <pic:spPr bwMode="auto">
                          <a:xfrm>
                            <a:off x="0" y="0"/>
                            <a:ext cx="1068826" cy="1485356"/>
                          </a:xfrm>
                          <a:prstGeom prst="rect">
                            <a:avLst/>
                          </a:prstGeom>
                          <a:noFill/>
                          <a:ln>
                            <a:noFill/>
                          </a:ln>
                        </pic:spPr>
                      </pic:pic>
                    </a:graphicData>
                  </a:graphic>
                </wp:inline>
              </w:drawing>
            </w:r>
          </w:p>
        </w:tc>
      </w:tr>
    </w:tbl>
    <w:p w14:paraId="23F8D6F0" w14:textId="02A32705" w:rsidR="001F13C7" w:rsidRDefault="001F13C7" w:rsidP="001A2288">
      <w:pPr>
        <w:spacing w:after="0" w:line="240" w:lineRule="auto"/>
        <w:rPr>
          <w:lang w:val="en-GB"/>
        </w:rPr>
      </w:pPr>
    </w:p>
    <w:p w14:paraId="481C93BA" w14:textId="0E2BC169" w:rsidR="001F13C7" w:rsidRDefault="001F13C7" w:rsidP="002E3E92">
      <w:pPr>
        <w:pStyle w:val="Titre2"/>
        <w:rPr>
          <w:lang w:val="en-GB"/>
        </w:rPr>
      </w:pPr>
      <w:bookmarkStart w:id="200" w:name="_Toc139181491"/>
      <w:r w:rsidRPr="001F13C7">
        <w:lastRenderedPageBreak/>
        <w:t>Canne de Provence (</w:t>
      </w:r>
      <w:r w:rsidRPr="001F13C7">
        <w:rPr>
          <w:i/>
          <w:iCs/>
          <w:lang w:val="la-Latn"/>
        </w:rPr>
        <w:t>Arundo donax</w:t>
      </w:r>
      <w:r w:rsidRPr="001F13C7">
        <w:t>)</w:t>
      </w:r>
      <w:bookmarkEnd w:id="200"/>
    </w:p>
    <w:p w14:paraId="6956F92E" w14:textId="48A236C6" w:rsidR="001F13C7" w:rsidRDefault="001F13C7" w:rsidP="001F13C7">
      <w:pPr>
        <w:spacing w:after="0" w:line="240" w:lineRule="auto"/>
        <w:jc w:val="both"/>
        <w:rPr>
          <w:lang w:val="en-GB"/>
        </w:rPr>
      </w:pPr>
    </w:p>
    <w:p w14:paraId="091062EE" w14:textId="205008A9" w:rsidR="00AF2328" w:rsidRPr="00AF2328" w:rsidRDefault="00AF2328" w:rsidP="00AF2328">
      <w:pPr>
        <w:spacing w:after="0" w:line="240" w:lineRule="auto"/>
        <w:jc w:val="both"/>
      </w:pPr>
      <w:r>
        <w:t>C’</w:t>
      </w:r>
      <w:r w:rsidRPr="00AF2328">
        <w:t xml:space="preserve">est une espèce de </w:t>
      </w:r>
      <w:hyperlink r:id="rId2453" w:history="1">
        <w:r w:rsidRPr="00AF2328">
          <w:rPr>
            <w:rStyle w:val="Lienhypertexte"/>
          </w:rPr>
          <w:t>plante herbacée</w:t>
        </w:r>
      </w:hyperlink>
      <w:r w:rsidRPr="00AF2328">
        <w:t xml:space="preserve"> de la </w:t>
      </w:r>
      <w:hyperlink r:id="rId2454" w:history="1">
        <w:r w:rsidRPr="00AF2328">
          <w:rPr>
            <w:rStyle w:val="Lienhypertexte"/>
          </w:rPr>
          <w:t>famille</w:t>
        </w:r>
      </w:hyperlink>
      <w:r w:rsidRPr="00AF2328">
        <w:t xml:space="preserve"> des </w:t>
      </w:r>
      <w:hyperlink r:id="rId2455" w:history="1">
        <w:r w:rsidRPr="00AF2328">
          <w:rPr>
            <w:rStyle w:val="Lienhypertexte"/>
            <w:i/>
            <w:iCs/>
          </w:rPr>
          <w:t>Poaceae</w:t>
        </w:r>
      </w:hyperlink>
      <w:r w:rsidRPr="00AF2328">
        <w:t xml:space="preserve">, graminée à </w:t>
      </w:r>
      <w:hyperlink r:id="rId2456" w:history="1">
        <w:r w:rsidRPr="00AF2328">
          <w:rPr>
            <w:rStyle w:val="Lienhypertexte"/>
          </w:rPr>
          <w:t>rhizome</w:t>
        </w:r>
      </w:hyperlink>
      <w:r w:rsidRPr="00AF2328">
        <w:t xml:space="preserve"> caractéristique des lieux humides des régions méditerranéennes. Elle a de grandes feuilles effilées, retombantes, glauques, et des panicules terminales d'épillets de couleur vert pâle à violacé. Elle ressemble à un </w:t>
      </w:r>
      <w:hyperlink r:id="rId2457" w:history="1">
        <w:r w:rsidRPr="00AF2328">
          <w:rPr>
            <w:rStyle w:val="Lienhypertexte"/>
          </w:rPr>
          <w:t>roseau</w:t>
        </w:r>
      </w:hyperlink>
      <w:r w:rsidRPr="00AF2328">
        <w:t xml:space="preserve"> ou à un </w:t>
      </w:r>
      <w:hyperlink r:id="rId2458" w:history="1">
        <w:r w:rsidRPr="00AF2328">
          <w:rPr>
            <w:rStyle w:val="Lienhypertexte"/>
          </w:rPr>
          <w:t>bambou</w:t>
        </w:r>
      </w:hyperlink>
      <w:r w:rsidRPr="00AF2328">
        <w:t>, avec ses tiges creuses de 2 à 3 cm de diamètre, notamment avant l'apparition des épillets. Sa hauteur varie de 1 m à 8 m selon les variétés et les conditions de culture . Avec l'hiver elle prend un aspect desséché.</w:t>
      </w:r>
    </w:p>
    <w:p w14:paraId="54AFFD8E" w14:textId="0AA47006" w:rsidR="00AF2328" w:rsidRDefault="00AF2328" w:rsidP="00AF2328">
      <w:pPr>
        <w:spacing w:after="0" w:line="240" w:lineRule="auto"/>
        <w:jc w:val="both"/>
        <w:rPr>
          <w:b/>
          <w:bCs/>
        </w:rPr>
      </w:pPr>
      <w:r w:rsidRPr="00AF2328">
        <w:t xml:space="preserve">Même si elle supporte très bien la sécheresse une fois installée, la canne de Provence se cultive idéalement sur terrains humides et bien drainés. Elle peut avoir tendance à devenir invasive si les conditions sont adaptées. Elle se multiplie par prélèvement de rhizomes au printemps ou par </w:t>
      </w:r>
      <w:hyperlink r:id="rId2459" w:history="1">
        <w:r w:rsidRPr="00AF2328">
          <w:rPr>
            <w:rStyle w:val="Lienhypertexte"/>
          </w:rPr>
          <w:t>bouturage</w:t>
        </w:r>
      </w:hyperlink>
      <w:r w:rsidRPr="00AF2328">
        <w:t xml:space="preserve"> dans l'eau. rundo donax est assez rustique une fois installée (jusqu'à -10 °C pour les chaumes et -15°C pour les rhizomes) et est peu sensible aux parasites ou maladies. Elle se plaît en situation abritée et bien ensoleillée, avec un sol humide et plutôt sablonneux, mais bien drainé l'hiver. </w:t>
      </w:r>
      <w:r w:rsidRPr="00AF2328">
        <w:rPr>
          <w:i/>
          <w:iCs/>
        </w:rPr>
        <w:t>Elle supporte la salinité des sols</w:t>
      </w:r>
      <w:r w:rsidRPr="00AF2328">
        <w:rPr>
          <w:b/>
          <w:bCs/>
        </w:rPr>
        <w:t>.</w:t>
      </w:r>
    </w:p>
    <w:p w14:paraId="616A54F8" w14:textId="77777777" w:rsidR="00FA4BA8" w:rsidRPr="00AF2328" w:rsidRDefault="00FA4BA8" w:rsidP="00AF2328">
      <w:pPr>
        <w:spacing w:after="0" w:line="240" w:lineRule="auto"/>
        <w:jc w:val="both"/>
      </w:pPr>
    </w:p>
    <w:p w14:paraId="7E9F1A28" w14:textId="77777777" w:rsidR="00AF2328" w:rsidRPr="00AF2328" w:rsidRDefault="00AF2328" w:rsidP="00AF2328">
      <w:pPr>
        <w:spacing w:after="0" w:line="240" w:lineRule="auto"/>
        <w:jc w:val="both"/>
      </w:pPr>
      <w:r w:rsidRPr="00AF2328">
        <w:t xml:space="preserve">Sur le plan industriel, la canne de Provence est l'une des cultures les plus prometteuses pour la production de </w:t>
      </w:r>
      <w:hyperlink r:id="rId2460" w:history="1">
        <w:r w:rsidRPr="00AF2328">
          <w:rPr>
            <w:rStyle w:val="Lienhypertexte"/>
          </w:rPr>
          <w:t>bioénergie</w:t>
        </w:r>
      </w:hyperlink>
      <w:r w:rsidRPr="00AF2328">
        <w:t xml:space="preserve"> sous climat méditerranéen où elle est déjà adaptée à l'environnement, donne des </w:t>
      </w:r>
      <w:hyperlink r:id="rId2461" w:history="1">
        <w:r w:rsidRPr="00AF2328">
          <w:rPr>
            <w:rStyle w:val="Lienhypertexte"/>
          </w:rPr>
          <w:t>rendements</w:t>
        </w:r>
      </w:hyperlink>
      <w:r w:rsidRPr="00AF2328">
        <w:t xml:space="preserve"> importants et durables, et résiste à des périodes de </w:t>
      </w:r>
      <w:hyperlink r:id="rId2462" w:history="1">
        <w:r w:rsidRPr="00AF2328">
          <w:rPr>
            <w:rStyle w:val="Lienhypertexte"/>
          </w:rPr>
          <w:t>sécheresse</w:t>
        </w:r>
      </w:hyperlink>
      <w:r w:rsidRPr="00AF2328">
        <w:t xml:space="preserve">. Plusieurs études sur le terrain ont mis en évidence ses faibles besoins en </w:t>
      </w:r>
      <w:hyperlink r:id="rId2463" w:history="1">
        <w:r w:rsidRPr="00AF2328">
          <w:rPr>
            <w:rStyle w:val="Lienhypertexte"/>
          </w:rPr>
          <w:t>travail du sol</w:t>
        </w:r>
      </w:hyperlink>
      <w:r w:rsidRPr="00AF2328">
        <w:t xml:space="preserve">, </w:t>
      </w:r>
      <w:hyperlink r:id="rId2464" w:history="1">
        <w:r w:rsidRPr="00AF2328">
          <w:rPr>
            <w:rStyle w:val="Lienhypertexte"/>
          </w:rPr>
          <w:t>engrais</w:t>
        </w:r>
      </w:hyperlink>
      <w:r w:rsidRPr="00AF2328">
        <w:t xml:space="preserve"> et </w:t>
      </w:r>
      <w:hyperlink r:id="rId2465" w:history="1">
        <w:r w:rsidRPr="00AF2328">
          <w:rPr>
            <w:rStyle w:val="Lienhypertexte"/>
          </w:rPr>
          <w:t>pesticides</w:t>
        </w:r>
      </w:hyperlink>
      <w:r w:rsidRPr="00AF2328">
        <w:t xml:space="preserve">. Elle a l'avantage de ne pas rivaliser avec les cultures alimentaires car ses faibles besoins lui permettent de pousser là ou aucune culture alimentaire ne serait envisageable. En outre, Arundo donax offre une protection contre l'érosion des sols, l'un des processus les plus importants de dégradation des terres dans le bassin Méditerranéen. A. donax a un potentiel impressionnant pour plusieurs processus de conversion en matières premières bioénergétiques. Ce roseau peut aussi alimenter l'industrie de la </w:t>
      </w:r>
      <w:hyperlink r:id="rId2466" w:history="1">
        <w:r w:rsidRPr="00AF2328">
          <w:rPr>
            <w:rStyle w:val="Lienhypertexte"/>
          </w:rPr>
          <w:t>pâte à papier</w:t>
        </w:r>
      </w:hyperlink>
      <w:r w:rsidRPr="00AF2328">
        <w:t xml:space="preserve">. Sa chaume était utilisée pour couvrir toitures, ses tiges comme tuteurs, cannes à pêche, pour la fabrication de toutes les anches de tous les instruments à vent (à anche), pour le palissage, le treillages à faire des paniers et des claies ou panneaux utilisées comme panneaux décoratifs et pare-soleil. Jeune, il peut servir de fourrage, de faible appétence. </w:t>
      </w:r>
    </w:p>
    <w:p w14:paraId="0A1C4D20" w14:textId="77777777" w:rsidR="00AF2328" w:rsidRDefault="00AF2328" w:rsidP="00AF2328">
      <w:pPr>
        <w:spacing w:after="0" w:line="240" w:lineRule="auto"/>
        <w:jc w:val="both"/>
      </w:pPr>
      <w:r w:rsidRPr="00AF2328">
        <w:t xml:space="preserve">Sources : a) </w:t>
      </w:r>
      <w:hyperlink r:id="rId2467" w:history="1">
        <w:r w:rsidRPr="00AF2328">
          <w:rPr>
            <w:rStyle w:val="Lienhypertexte"/>
          </w:rPr>
          <w:t>http://nature.jardin.free.fr/vivace/mc_arundo_donax.htm</w:t>
        </w:r>
      </w:hyperlink>
      <w:r w:rsidRPr="00AF2328">
        <w:t xml:space="preserve">, </w:t>
      </w:r>
    </w:p>
    <w:p w14:paraId="38BB6E1D" w14:textId="3968F218" w:rsidR="00AF2328" w:rsidRPr="00AF2328" w:rsidRDefault="00AF2328" w:rsidP="00AF2328">
      <w:pPr>
        <w:spacing w:after="0" w:line="240" w:lineRule="auto"/>
        <w:jc w:val="both"/>
        <w:rPr>
          <w:lang w:val="en-GB"/>
        </w:rPr>
      </w:pPr>
      <w:r w:rsidRPr="00AF2328">
        <w:rPr>
          <w:lang w:val="en-GB"/>
        </w:rPr>
        <w:t xml:space="preserve">b) </w:t>
      </w:r>
      <w:hyperlink r:id="rId2468" w:history="1">
        <w:r w:rsidRPr="00AF2328">
          <w:rPr>
            <w:rStyle w:val="Lienhypertexte"/>
            <w:lang w:val="en-GB"/>
          </w:rPr>
          <w:t>http://fr.wikipedia.org/wiki/Arundo_donax</w:t>
        </w:r>
      </w:hyperlink>
      <w:r w:rsidRPr="00AF2328">
        <w:rPr>
          <w:lang w:val="en-GB"/>
        </w:rPr>
        <w:t xml:space="preserve"> </w:t>
      </w:r>
    </w:p>
    <w:p w14:paraId="097C1280" w14:textId="077F38B4" w:rsidR="00AF2328" w:rsidRPr="00AF2328" w:rsidRDefault="00AF2328" w:rsidP="00AF2328">
      <w:pPr>
        <w:spacing w:after="0" w:line="240" w:lineRule="auto"/>
        <w:jc w:val="both"/>
        <w:rPr>
          <w:lang w:val="en-GB"/>
        </w:rPr>
      </w:pPr>
      <w:r w:rsidRPr="00AF2328">
        <w:rPr>
          <w:lang w:val="en-GB"/>
        </w:rPr>
        <w:t xml:space="preserve">c) </w:t>
      </w:r>
      <w:hyperlink r:id="rId2469" w:history="1">
        <w:r w:rsidRPr="00AF2328">
          <w:rPr>
            <w:rStyle w:val="Lienhypertexte"/>
            <w:lang w:val="en-GB"/>
          </w:rPr>
          <w:t>http ://www.feedipedia.org/node/502</w:t>
        </w:r>
      </w:hyperlink>
      <w:r w:rsidRPr="00AF2328">
        <w:rPr>
          <w:lang w:val="en-GB"/>
        </w:rPr>
        <w:t xml:space="preserve"> </w:t>
      </w:r>
    </w:p>
    <w:p w14:paraId="121C1456" w14:textId="7D770320" w:rsidR="001F13C7" w:rsidRPr="00AF2328" w:rsidRDefault="001F13C7" w:rsidP="001F13C7">
      <w:pPr>
        <w:spacing w:after="0" w:line="240" w:lineRule="auto"/>
        <w:jc w:val="both"/>
        <w:rPr>
          <w:lang w:val="en-G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AF2328" w14:paraId="5BC70C25" w14:textId="77777777" w:rsidTr="00AF2328">
        <w:tc>
          <w:tcPr>
            <w:tcW w:w="5208" w:type="dxa"/>
          </w:tcPr>
          <w:p w14:paraId="6455FAE9" w14:textId="6B151AF1" w:rsidR="00AF2328" w:rsidRDefault="00AF2328" w:rsidP="00AF2328">
            <w:pPr>
              <w:jc w:val="center"/>
              <w:rPr>
                <w:lang w:val="en-GB"/>
              </w:rPr>
            </w:pPr>
            <w:r w:rsidRPr="00AF2328">
              <w:rPr>
                <w:noProof/>
              </w:rPr>
              <w:drawing>
                <wp:inline distT="0" distB="0" distL="0" distR="0" wp14:anchorId="23B78E7B" wp14:editId="53E1D322">
                  <wp:extent cx="2857500" cy="1600200"/>
                  <wp:effectExtent l="0" t="0" r="0" b="0"/>
                  <wp:docPr id="3077" name="Picture 5" descr="D:\Users\blisan\Pictures\perso\plantes halophytes milieux salins\Arundo donax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7" name="Picture 5" descr="D:\Users\blisan\Pictures\perso\plantes halophytes milieux salins\Arundo donax2.jpg"/>
                          <pic:cNvPicPr>
                            <a:picLocks noChangeAspect="1" noChangeArrowheads="1"/>
                          </pic:cNvPicPr>
                        </pic:nvPicPr>
                        <pic:blipFill>
                          <a:blip r:embed="rId2470">
                            <a:extLst>
                              <a:ext uri="{28A0092B-C50C-407E-A947-70E740481C1C}">
                                <a14:useLocalDpi xmlns:a14="http://schemas.microsoft.com/office/drawing/2010/main" val="0"/>
                              </a:ext>
                            </a:extLst>
                          </a:blip>
                          <a:srcRect/>
                          <a:stretch>
                            <a:fillRect/>
                          </a:stretch>
                        </pic:blipFill>
                        <pic:spPr bwMode="auto">
                          <a:xfrm>
                            <a:off x="0" y="0"/>
                            <a:ext cx="2857500" cy="16002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5208" w:type="dxa"/>
          </w:tcPr>
          <w:p w14:paraId="5187A4B8" w14:textId="01F2324F" w:rsidR="00AF2328" w:rsidRDefault="00AF2328" w:rsidP="00AF2328">
            <w:pPr>
              <w:jc w:val="center"/>
              <w:rPr>
                <w:lang w:val="en-GB"/>
              </w:rPr>
            </w:pPr>
            <w:r w:rsidRPr="00AF2328">
              <w:rPr>
                <w:noProof/>
              </w:rPr>
              <w:drawing>
                <wp:inline distT="0" distB="0" distL="0" distR="0" wp14:anchorId="4380AEB5" wp14:editId="3ABB1D77">
                  <wp:extent cx="1957525" cy="1728192"/>
                  <wp:effectExtent l="0" t="0" r="5080" b="5715"/>
                  <wp:docPr id="3074" name="Picture 2" descr="D:\Users\blisan\Pictures\perso\plantes halophytes milieux salins\Arundo donax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D:\Users\blisan\Pictures\perso\plantes halophytes milieux salins\Arundo donax5.jpg"/>
                          <pic:cNvPicPr>
                            <a:picLocks noChangeAspect="1" noChangeArrowheads="1"/>
                          </pic:cNvPicPr>
                        </pic:nvPicPr>
                        <pic:blipFill>
                          <a:blip r:embed="rId2471">
                            <a:extLst>
                              <a:ext uri="{28A0092B-C50C-407E-A947-70E740481C1C}">
                                <a14:useLocalDpi xmlns:a14="http://schemas.microsoft.com/office/drawing/2010/main" val="0"/>
                              </a:ext>
                            </a:extLst>
                          </a:blip>
                          <a:srcRect/>
                          <a:stretch>
                            <a:fillRect/>
                          </a:stretch>
                        </pic:blipFill>
                        <pic:spPr bwMode="auto">
                          <a:xfrm>
                            <a:off x="0" y="0"/>
                            <a:ext cx="1957525" cy="1728192"/>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r>
    </w:tbl>
    <w:p w14:paraId="59BFDEDB" w14:textId="7AC78642" w:rsidR="00AF2328" w:rsidRPr="00AF2328" w:rsidRDefault="00AF2328" w:rsidP="00AF2328">
      <w:pPr>
        <w:spacing w:after="0" w:line="240" w:lineRule="auto"/>
        <w:jc w:val="center"/>
        <w:rPr>
          <w:lang w:val="en-G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AF2328" w14:paraId="0FBB82E4" w14:textId="77777777" w:rsidTr="00AF2328">
        <w:tc>
          <w:tcPr>
            <w:tcW w:w="3472" w:type="dxa"/>
          </w:tcPr>
          <w:p w14:paraId="40E55F65" w14:textId="4FF893FF" w:rsidR="00AF2328" w:rsidRDefault="00AF2328" w:rsidP="00AF2328">
            <w:pPr>
              <w:jc w:val="center"/>
              <w:rPr>
                <w:lang w:val="en-GB"/>
              </w:rPr>
            </w:pPr>
            <w:r w:rsidRPr="00AF2328">
              <w:rPr>
                <w:noProof/>
              </w:rPr>
              <w:drawing>
                <wp:inline distT="0" distB="0" distL="0" distR="0" wp14:anchorId="0E527EF9" wp14:editId="0DDDC810">
                  <wp:extent cx="1323975" cy="1771650"/>
                  <wp:effectExtent l="0" t="0" r="9525" b="0"/>
                  <wp:docPr id="81936" name="Picture 6" descr="D:\Users\blisan\Pictures\perso\plantes halophytes milieux salins\Arundo donax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8" name="Picture 6" descr="D:\Users\blisan\Pictures\perso\plantes halophytes milieux salins\Arundo donax1.jpg"/>
                          <pic:cNvPicPr>
                            <a:picLocks noChangeAspect="1" noChangeArrowheads="1"/>
                          </pic:cNvPicPr>
                        </pic:nvPicPr>
                        <pic:blipFill>
                          <a:blip r:embed="rId2472">
                            <a:extLst>
                              <a:ext uri="{28A0092B-C50C-407E-A947-70E740481C1C}">
                                <a14:useLocalDpi xmlns:a14="http://schemas.microsoft.com/office/drawing/2010/main" val="0"/>
                              </a:ext>
                            </a:extLst>
                          </a:blip>
                          <a:srcRect/>
                          <a:stretch>
                            <a:fillRect/>
                          </a:stretch>
                        </pic:blipFill>
                        <pic:spPr bwMode="auto">
                          <a:xfrm>
                            <a:off x="0" y="0"/>
                            <a:ext cx="1323975" cy="177165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3472" w:type="dxa"/>
          </w:tcPr>
          <w:p w14:paraId="3A897B43" w14:textId="75A4BADA" w:rsidR="00AF2328" w:rsidRDefault="00AF2328" w:rsidP="00AF2328">
            <w:pPr>
              <w:jc w:val="center"/>
              <w:rPr>
                <w:lang w:val="en-GB"/>
              </w:rPr>
            </w:pPr>
            <w:r w:rsidRPr="00AF2328">
              <w:rPr>
                <w:noProof/>
              </w:rPr>
              <w:drawing>
                <wp:inline distT="0" distB="0" distL="0" distR="0" wp14:anchorId="4BA1360E" wp14:editId="02A3907B">
                  <wp:extent cx="1000125" cy="1771650"/>
                  <wp:effectExtent l="0" t="0" r="9525" b="0"/>
                  <wp:docPr id="3075" name="Picture 3" descr="D:\Users\blisan\Pictures\perso\plantes halophytes milieux salins\Arundo donax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descr="D:\Users\blisan\Pictures\perso\plantes halophytes milieux salins\Arundo donax4.jpg"/>
                          <pic:cNvPicPr>
                            <a:picLocks noChangeAspect="1" noChangeArrowheads="1"/>
                          </pic:cNvPicPr>
                        </pic:nvPicPr>
                        <pic:blipFill>
                          <a:blip r:embed="rId2473">
                            <a:extLst>
                              <a:ext uri="{28A0092B-C50C-407E-A947-70E740481C1C}">
                                <a14:useLocalDpi xmlns:a14="http://schemas.microsoft.com/office/drawing/2010/main" val="0"/>
                              </a:ext>
                            </a:extLst>
                          </a:blip>
                          <a:srcRect/>
                          <a:stretch>
                            <a:fillRect/>
                          </a:stretch>
                        </pic:blipFill>
                        <pic:spPr bwMode="auto">
                          <a:xfrm>
                            <a:off x="0" y="0"/>
                            <a:ext cx="1000125" cy="177165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3472" w:type="dxa"/>
          </w:tcPr>
          <w:p w14:paraId="474A7D73" w14:textId="097F05AB" w:rsidR="00AF2328" w:rsidRDefault="00AF2328" w:rsidP="00AF2328">
            <w:pPr>
              <w:jc w:val="center"/>
              <w:rPr>
                <w:lang w:val="en-GB"/>
              </w:rPr>
            </w:pPr>
            <w:r w:rsidRPr="00AF2328">
              <w:rPr>
                <w:noProof/>
              </w:rPr>
              <w:drawing>
                <wp:inline distT="0" distB="0" distL="0" distR="0" wp14:anchorId="69091FCD" wp14:editId="1E15DB88">
                  <wp:extent cx="1337030" cy="1785004"/>
                  <wp:effectExtent l="0" t="0" r="0" b="5715"/>
                  <wp:docPr id="3076" name="Picture 4" descr="D:\Users\blisan\Pictures\perso\plantes halophytes milieux salins\Arundo donax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Picture 4" descr="D:\Users\blisan\Pictures\perso\plantes halophytes milieux salins\Arundo donax3.jpg"/>
                          <pic:cNvPicPr>
                            <a:picLocks noChangeAspect="1" noChangeArrowheads="1"/>
                          </pic:cNvPicPr>
                        </pic:nvPicPr>
                        <pic:blipFill>
                          <a:blip r:embed="rId2474">
                            <a:extLst>
                              <a:ext uri="{28A0092B-C50C-407E-A947-70E740481C1C}">
                                <a14:useLocalDpi xmlns:a14="http://schemas.microsoft.com/office/drawing/2010/main" val="0"/>
                              </a:ext>
                            </a:extLst>
                          </a:blip>
                          <a:srcRect/>
                          <a:stretch>
                            <a:fillRect/>
                          </a:stretch>
                        </pic:blipFill>
                        <pic:spPr bwMode="auto">
                          <a:xfrm>
                            <a:off x="0" y="0"/>
                            <a:ext cx="1337030" cy="1785004"/>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r>
    </w:tbl>
    <w:p w14:paraId="537696AC" w14:textId="77777777" w:rsidR="00AF2328" w:rsidRPr="00AF2328" w:rsidRDefault="00AF2328" w:rsidP="00AF2328">
      <w:pPr>
        <w:spacing w:after="0" w:line="240" w:lineRule="auto"/>
        <w:jc w:val="center"/>
        <w:rPr>
          <w:lang w:val="en-GB"/>
        </w:rPr>
      </w:pPr>
    </w:p>
    <w:p w14:paraId="106C6E7E" w14:textId="1AC67DF1" w:rsidR="00535AB3" w:rsidRDefault="00BB3224" w:rsidP="00BB3224">
      <w:pPr>
        <w:pStyle w:val="Titre1"/>
      </w:pPr>
      <w:bookmarkStart w:id="201" w:name="_Toc139181492"/>
      <w:r>
        <w:t>Plantes fourragères et pour d’autres usages, pour zones arides</w:t>
      </w:r>
      <w:bookmarkEnd w:id="201"/>
    </w:p>
    <w:p w14:paraId="5B7F7A21" w14:textId="4BDA59B9" w:rsidR="00535AB3" w:rsidRDefault="00535AB3" w:rsidP="00BA7CE6">
      <w:pPr>
        <w:spacing w:after="0" w:line="240" w:lineRule="auto"/>
      </w:pPr>
    </w:p>
    <w:p w14:paraId="12B0D983" w14:textId="31BB5EE9" w:rsidR="00BB3224" w:rsidRPr="00BB3224" w:rsidRDefault="00BB3224" w:rsidP="00BB3224">
      <w:pPr>
        <w:pStyle w:val="Titre2"/>
      </w:pPr>
      <w:bookmarkStart w:id="202" w:name="_Toc139181493"/>
      <w:r w:rsidRPr="00BB3224">
        <w:t>Alfa (</w:t>
      </w:r>
      <w:r w:rsidRPr="00BB3224">
        <w:rPr>
          <w:i/>
          <w:iCs/>
        </w:rPr>
        <w:t>Stipa tenacissima</w:t>
      </w:r>
      <w:r w:rsidRPr="00BB3224">
        <w:t>)</w:t>
      </w:r>
      <w:bookmarkEnd w:id="202"/>
    </w:p>
    <w:p w14:paraId="69A35B81" w14:textId="7C34E443" w:rsidR="00BB3224" w:rsidRDefault="00BB3224" w:rsidP="00BA7CE6">
      <w:pPr>
        <w:spacing w:after="0" w:line="240" w:lineRule="auto"/>
      </w:pPr>
    </w:p>
    <w:p w14:paraId="6E9255DB" w14:textId="77777777" w:rsidR="007432EF" w:rsidRDefault="00BB3224" w:rsidP="00BB3224">
      <w:pPr>
        <w:spacing w:after="0" w:line="240" w:lineRule="auto"/>
        <w:jc w:val="both"/>
        <w:rPr>
          <w:rFonts w:ascii="Calibri" w:hAnsi="Calibri" w:cs="Arial"/>
          <w:i/>
          <w:iCs/>
          <w:color w:val="202122"/>
          <w:shd w:val="clear" w:color="auto" w:fill="FFFFFF"/>
        </w:rPr>
      </w:pPr>
      <w:r w:rsidRPr="00012DFC">
        <w:rPr>
          <w:rFonts w:ascii="Calibri" w:hAnsi="Calibri" w:cs="Arial"/>
          <w:color w:val="202122"/>
          <w:shd w:val="clear" w:color="auto" w:fill="FFFFFF"/>
        </w:rPr>
        <w:t>L'alfa est une </w:t>
      </w:r>
      <w:hyperlink r:id="rId2475" w:tooltip="Espèce" w:history="1">
        <w:r w:rsidRPr="00012DFC">
          <w:rPr>
            <w:rStyle w:val="Lienhypertexte"/>
            <w:rFonts w:ascii="Calibri" w:hAnsi="Calibri" w:cs="Arial"/>
            <w:color w:val="0645AD"/>
            <w:shd w:val="clear" w:color="auto" w:fill="FFFFFF"/>
          </w:rPr>
          <w:t>espèce</w:t>
        </w:r>
      </w:hyperlink>
      <w:r w:rsidRPr="00012DFC">
        <w:rPr>
          <w:rFonts w:ascii="Calibri" w:hAnsi="Calibri" w:cs="Arial"/>
          <w:color w:val="202122"/>
          <w:shd w:val="clear" w:color="auto" w:fill="FFFFFF"/>
        </w:rPr>
        <w:t> de </w:t>
      </w:r>
      <w:hyperlink r:id="rId2476" w:tooltip="Plante" w:history="1">
        <w:r w:rsidRPr="00012DFC">
          <w:rPr>
            <w:rStyle w:val="Lienhypertexte"/>
            <w:rFonts w:ascii="Calibri" w:hAnsi="Calibri" w:cs="Arial"/>
            <w:color w:val="0645AD"/>
            <w:shd w:val="clear" w:color="auto" w:fill="FFFFFF"/>
          </w:rPr>
          <w:t>plantes</w:t>
        </w:r>
      </w:hyperlink>
      <w:r w:rsidRPr="00012DFC">
        <w:rPr>
          <w:rFonts w:ascii="Calibri" w:hAnsi="Calibri" w:cs="Arial"/>
          <w:color w:val="202122"/>
          <w:shd w:val="clear" w:color="auto" w:fill="FFFFFF"/>
        </w:rPr>
        <w:t> </w:t>
      </w:r>
      <w:hyperlink r:id="rId2477" w:tooltip="Monocotylédone" w:history="1">
        <w:r w:rsidRPr="00012DFC">
          <w:rPr>
            <w:rStyle w:val="Lienhypertexte"/>
            <w:rFonts w:ascii="Calibri" w:hAnsi="Calibri" w:cs="Arial"/>
            <w:color w:val="0645AD"/>
            <w:shd w:val="clear" w:color="auto" w:fill="FFFFFF"/>
          </w:rPr>
          <w:t>monocotylédones</w:t>
        </w:r>
      </w:hyperlink>
      <w:r w:rsidRPr="00012DFC">
        <w:rPr>
          <w:rFonts w:ascii="Calibri" w:hAnsi="Calibri" w:cs="Arial"/>
          <w:color w:val="202122"/>
          <w:shd w:val="clear" w:color="auto" w:fill="FFFFFF"/>
        </w:rPr>
        <w:t> de la </w:t>
      </w:r>
      <w:hyperlink r:id="rId2478" w:tooltip="Famille (biologie)" w:history="1">
        <w:r w:rsidRPr="00012DFC">
          <w:rPr>
            <w:rStyle w:val="Lienhypertexte"/>
            <w:rFonts w:ascii="Calibri" w:hAnsi="Calibri" w:cs="Arial"/>
            <w:color w:val="0645AD"/>
            <w:shd w:val="clear" w:color="auto" w:fill="FFFFFF"/>
          </w:rPr>
          <w:t>famille</w:t>
        </w:r>
      </w:hyperlink>
      <w:r w:rsidRPr="00012DFC">
        <w:rPr>
          <w:rFonts w:ascii="Calibri" w:hAnsi="Calibri" w:cs="Arial"/>
          <w:color w:val="202122"/>
          <w:shd w:val="clear" w:color="auto" w:fill="FFFFFF"/>
        </w:rPr>
        <w:t> des </w:t>
      </w:r>
      <w:hyperlink r:id="rId2479" w:tooltip="Poaceae" w:history="1">
        <w:r w:rsidRPr="00012DFC">
          <w:rPr>
            <w:rStyle w:val="Lienhypertexte"/>
            <w:rFonts w:ascii="Calibri" w:hAnsi="Calibri" w:cs="Arial"/>
            <w:i/>
            <w:iCs/>
            <w:color w:val="0645AD"/>
            <w:shd w:val="clear" w:color="auto" w:fill="FFFFFF"/>
          </w:rPr>
          <w:t>Poaceae</w:t>
        </w:r>
      </w:hyperlink>
      <w:r w:rsidRPr="00012DFC">
        <w:rPr>
          <w:rFonts w:ascii="Calibri" w:hAnsi="Calibri" w:cs="Arial"/>
          <w:color w:val="202122"/>
          <w:shd w:val="clear" w:color="auto" w:fill="FFFFFF"/>
        </w:rPr>
        <w:t>, originaire de l'ouest du </w:t>
      </w:r>
      <w:hyperlink r:id="rId2480" w:tooltip="Bassin méditerranéen" w:history="1">
        <w:r w:rsidRPr="00012DFC">
          <w:rPr>
            <w:rStyle w:val="Lienhypertexte"/>
            <w:rFonts w:ascii="Calibri" w:hAnsi="Calibri" w:cs="Arial"/>
            <w:color w:val="0645AD"/>
            <w:shd w:val="clear" w:color="auto" w:fill="FFFFFF"/>
          </w:rPr>
          <w:t>bassin méditerranéen</w:t>
        </w:r>
      </w:hyperlink>
      <w:r w:rsidRPr="00012DFC">
        <w:rPr>
          <w:rFonts w:ascii="Calibri" w:hAnsi="Calibri" w:cs="Arial"/>
          <w:color w:val="202122"/>
          <w:shd w:val="clear" w:color="auto" w:fill="FFFFFF"/>
        </w:rPr>
        <w:t>. C'est une </w:t>
      </w:r>
      <w:hyperlink r:id="rId2481" w:tooltip="Plante herbacée" w:history="1">
        <w:r w:rsidRPr="00012DFC">
          <w:rPr>
            <w:rStyle w:val="Lienhypertexte"/>
            <w:rFonts w:ascii="Calibri" w:hAnsi="Calibri" w:cs="Arial"/>
            <w:color w:val="0645AD"/>
            <w:shd w:val="clear" w:color="auto" w:fill="FFFFFF"/>
          </w:rPr>
          <w:t>plante herbacée</w:t>
        </w:r>
      </w:hyperlink>
      <w:r w:rsidRPr="00012DFC">
        <w:rPr>
          <w:rFonts w:ascii="Calibri" w:hAnsi="Calibri" w:cs="Arial"/>
          <w:color w:val="202122"/>
          <w:shd w:val="clear" w:color="auto" w:fill="FFFFFF"/>
        </w:rPr>
        <w:t> </w:t>
      </w:r>
      <w:hyperlink r:id="rId2482" w:tooltip="Plante vivace" w:history="1">
        <w:r w:rsidRPr="00012DFC">
          <w:rPr>
            <w:rStyle w:val="Lienhypertexte"/>
            <w:rFonts w:ascii="Calibri" w:hAnsi="Calibri" w:cs="Arial"/>
            <w:color w:val="0645AD"/>
            <w:shd w:val="clear" w:color="auto" w:fill="FFFFFF"/>
          </w:rPr>
          <w:t>vivace</w:t>
        </w:r>
      </w:hyperlink>
      <w:r w:rsidRPr="00012DFC">
        <w:rPr>
          <w:rFonts w:ascii="Calibri" w:hAnsi="Calibri" w:cs="Arial"/>
          <w:color w:val="202122"/>
          <w:shd w:val="clear" w:color="auto" w:fill="FFFFFF"/>
        </w:rPr>
        <w:t xml:space="preserve"> qui pousse dans des régions arides et </w:t>
      </w:r>
      <w:r w:rsidRPr="00012DFC">
        <w:rPr>
          <w:rFonts w:ascii="Calibri" w:hAnsi="Calibri" w:cs="Arial"/>
          <w:i/>
          <w:iCs/>
          <w:color w:val="202122"/>
          <w:shd w:val="clear" w:color="auto" w:fill="FFFFFF"/>
        </w:rPr>
        <w:t xml:space="preserve">qui sert notamment </w:t>
      </w:r>
    </w:p>
    <w:p w14:paraId="1425D375" w14:textId="0A2C6A70" w:rsidR="00BB3224" w:rsidRPr="00894569" w:rsidRDefault="007432EF" w:rsidP="00BB3224">
      <w:pPr>
        <w:spacing w:after="0" w:line="240" w:lineRule="auto"/>
        <w:jc w:val="both"/>
        <w:rPr>
          <w:rFonts w:ascii="Calibri" w:hAnsi="Calibri" w:cs="Arial"/>
          <w:color w:val="000000" w:themeColor="text1"/>
          <w:shd w:val="clear" w:color="auto" w:fill="FFFFFF"/>
        </w:rPr>
      </w:pPr>
      <w:r>
        <w:rPr>
          <w:rFonts w:ascii="Calibri" w:hAnsi="Calibri" w:cs="Arial"/>
          <w:i/>
          <w:iCs/>
          <w:color w:val="202122"/>
          <w:shd w:val="clear" w:color="auto" w:fill="FFFFFF"/>
        </w:rPr>
        <w:t xml:space="preserve">  </w:t>
      </w:r>
      <w:r w:rsidR="00BB3224" w:rsidRPr="00012DFC">
        <w:rPr>
          <w:rFonts w:ascii="Calibri" w:hAnsi="Calibri" w:cs="Arial"/>
          <w:i/>
          <w:iCs/>
          <w:color w:val="202122"/>
          <w:shd w:val="clear" w:color="auto" w:fill="FFFFFF"/>
        </w:rPr>
        <w:t>à fabriquer des papiers d'impression de qualité</w:t>
      </w:r>
      <w:r w:rsidR="00BB3224" w:rsidRPr="00012DFC">
        <w:rPr>
          <w:rFonts w:ascii="Calibri" w:hAnsi="Calibri" w:cs="Arial"/>
          <w:color w:val="202122"/>
          <w:shd w:val="clear" w:color="auto" w:fill="FFFFFF"/>
        </w:rPr>
        <w:t>. Par extension, le terme « alfa » ou « alfamousse » désigne aussi le </w:t>
      </w:r>
      <w:hyperlink r:id="rId2483" w:tooltip="Papier" w:history="1">
        <w:r w:rsidR="00BB3224" w:rsidRPr="00012DFC">
          <w:rPr>
            <w:rStyle w:val="Lienhypertexte"/>
            <w:rFonts w:ascii="Calibri" w:hAnsi="Calibri" w:cs="Arial"/>
            <w:color w:val="0645AD"/>
            <w:shd w:val="clear" w:color="auto" w:fill="FFFFFF"/>
          </w:rPr>
          <w:t>papier</w:t>
        </w:r>
      </w:hyperlink>
      <w:r w:rsidR="00BB3224" w:rsidRPr="00012DFC">
        <w:rPr>
          <w:rFonts w:ascii="Calibri" w:hAnsi="Calibri" w:cs="Arial"/>
          <w:color w:val="202122"/>
          <w:shd w:val="clear" w:color="auto" w:fill="FFFFFF"/>
        </w:rPr>
        <w:t> </w:t>
      </w:r>
      <w:r w:rsidR="00BB3224" w:rsidRPr="00894569">
        <w:rPr>
          <w:rFonts w:ascii="Calibri" w:hAnsi="Calibri" w:cs="Arial"/>
          <w:color w:val="000000" w:themeColor="text1"/>
          <w:shd w:val="clear" w:color="auto" w:fill="FFFFFF"/>
        </w:rPr>
        <w:t>fabriqué à partir de cette plante.</w:t>
      </w:r>
      <w:r w:rsidR="00894569" w:rsidRPr="00894569">
        <w:rPr>
          <w:rFonts w:ascii="Calibri" w:hAnsi="Calibri" w:cs="Arial"/>
          <w:color w:val="000000" w:themeColor="text1"/>
          <w:shd w:val="clear" w:color="auto" w:fill="FFFFFF"/>
        </w:rPr>
        <w:t xml:space="preserve"> L’alfa pousse dans des sols secs, rocheux et basiques.</w:t>
      </w:r>
    </w:p>
    <w:p w14:paraId="28C5963B" w14:textId="64072437" w:rsidR="00BB3224" w:rsidRPr="00012DFC" w:rsidRDefault="00BB3224" w:rsidP="00BB3224">
      <w:pPr>
        <w:spacing w:after="0" w:line="240" w:lineRule="auto"/>
        <w:jc w:val="both"/>
        <w:rPr>
          <w:rFonts w:ascii="Calibri" w:hAnsi="Calibri" w:cs="Arial"/>
          <w:color w:val="202122"/>
          <w:shd w:val="clear" w:color="auto" w:fill="FFFFFF"/>
        </w:rPr>
      </w:pPr>
      <w:r w:rsidRPr="00012DFC">
        <w:rPr>
          <w:rFonts w:ascii="Calibri" w:hAnsi="Calibri" w:cs="Arial"/>
          <w:color w:val="202122"/>
          <w:shd w:val="clear" w:color="auto" w:fill="FFFFFF"/>
        </w:rPr>
        <w:t>C’est une plante cespiteuse (poussant en touffes) aux tiges dressées de 60 à 150 (voire 200) cm de long.  Le </w:t>
      </w:r>
      <w:hyperlink r:id="rId2484" w:tooltip="Limbe foliaire" w:history="1">
        <w:r w:rsidRPr="00012DFC">
          <w:rPr>
            <w:rStyle w:val="Lienhypertexte"/>
            <w:rFonts w:ascii="Calibri" w:hAnsi="Calibri" w:cs="Arial"/>
            <w:color w:val="0645AD"/>
            <w:shd w:val="clear" w:color="auto" w:fill="FFFFFF"/>
          </w:rPr>
          <w:t>limbe foliaire</w:t>
        </w:r>
      </w:hyperlink>
      <w:r w:rsidRPr="00012DFC">
        <w:rPr>
          <w:rFonts w:ascii="Calibri" w:hAnsi="Calibri"/>
        </w:rPr>
        <w:t xml:space="preserve"> (la feuille)</w:t>
      </w:r>
      <w:r w:rsidRPr="00012DFC">
        <w:rPr>
          <w:rFonts w:ascii="Calibri" w:hAnsi="Calibri" w:cs="Arial"/>
          <w:color w:val="202122"/>
          <w:shd w:val="clear" w:color="auto" w:fill="FFFFFF"/>
        </w:rPr>
        <w:t>, de 30 à 120 cm de long sur 1 à 3 mm de large, est enroulé sur lui-même, pubescent et se termine en pointe dure. L'inflorescence est une </w:t>
      </w:r>
      <w:hyperlink r:id="rId2485" w:tooltip="Panicule" w:history="1">
        <w:r w:rsidRPr="00012DFC">
          <w:rPr>
            <w:rStyle w:val="Lienhypertexte"/>
            <w:rFonts w:ascii="Calibri" w:hAnsi="Calibri" w:cs="Arial"/>
            <w:color w:val="0645AD"/>
            <w:shd w:val="clear" w:color="auto" w:fill="FFFFFF"/>
          </w:rPr>
          <w:t>panicule</w:t>
        </w:r>
      </w:hyperlink>
      <w:r w:rsidRPr="00012DFC">
        <w:rPr>
          <w:rFonts w:ascii="Calibri" w:hAnsi="Calibri" w:cs="Arial"/>
          <w:color w:val="202122"/>
          <w:shd w:val="clear" w:color="auto" w:fill="FFFFFF"/>
        </w:rPr>
        <w:t> contractée de 25 à 35 cm de long.</w:t>
      </w:r>
    </w:p>
    <w:p w14:paraId="010545E6" w14:textId="502B63CC" w:rsidR="00BB3224" w:rsidRPr="00012DFC" w:rsidRDefault="00BB3224" w:rsidP="00BB3224">
      <w:pPr>
        <w:spacing w:after="0" w:line="240" w:lineRule="auto"/>
        <w:jc w:val="both"/>
        <w:rPr>
          <w:rFonts w:ascii="Calibri" w:hAnsi="Calibri" w:cs="Arial"/>
          <w:color w:val="202122"/>
          <w:shd w:val="clear" w:color="auto" w:fill="FFFFFF"/>
        </w:rPr>
      </w:pPr>
      <w:r w:rsidRPr="00012DFC">
        <w:rPr>
          <w:rFonts w:ascii="Calibri" w:hAnsi="Calibri" w:cs="Arial"/>
          <w:color w:val="000000" w:themeColor="text1"/>
          <w:shd w:val="clear" w:color="auto" w:fill="FFFFFF"/>
        </w:rPr>
        <w:t>L'alfa pousse en touffes d'environ un mètre de haut, formant de vastes « nappes » dans les régions d'aridité moyenne. La plante couvre notamment de vastes zones des hauts plateaux </w:t>
      </w:r>
      <w:hyperlink r:id="rId2486" w:tooltip="Algérie" w:history="1">
        <w:r w:rsidRPr="00012DFC">
          <w:rPr>
            <w:rStyle w:val="Lienhypertexte"/>
            <w:rFonts w:ascii="Calibri" w:hAnsi="Calibri" w:cs="Arial"/>
            <w:color w:val="0645AD"/>
            <w:shd w:val="clear" w:color="auto" w:fill="FFFFFF"/>
          </w:rPr>
          <w:t>algériens</w:t>
        </w:r>
      </w:hyperlink>
      <w:r w:rsidRPr="00012DFC">
        <w:rPr>
          <w:rFonts w:ascii="Calibri" w:hAnsi="Calibri" w:cs="Arial"/>
          <w:color w:val="202122"/>
          <w:shd w:val="clear" w:color="auto" w:fill="FFFFFF"/>
        </w:rPr>
        <w:t>. Son </w:t>
      </w:r>
      <w:hyperlink r:id="rId2487" w:tooltip="Aire de répartition" w:history="1">
        <w:r w:rsidRPr="00012DFC">
          <w:rPr>
            <w:rStyle w:val="Lienhypertexte"/>
            <w:rFonts w:ascii="Calibri" w:hAnsi="Calibri" w:cs="Arial"/>
            <w:color w:val="0645AD"/>
            <w:shd w:val="clear" w:color="auto" w:fill="FFFFFF"/>
          </w:rPr>
          <w:t>aire de répartition</w:t>
        </w:r>
      </w:hyperlink>
      <w:r w:rsidRPr="00012DFC">
        <w:rPr>
          <w:rFonts w:ascii="Calibri" w:hAnsi="Calibri" w:cs="Arial"/>
          <w:color w:val="202122"/>
          <w:shd w:val="clear" w:color="auto" w:fill="FFFFFF"/>
        </w:rPr>
        <w:t> s'étend en </w:t>
      </w:r>
      <w:hyperlink r:id="rId2488" w:tooltip="Afrique du Nord" w:history="1">
        <w:r w:rsidRPr="00012DFC">
          <w:rPr>
            <w:rStyle w:val="Lienhypertexte"/>
            <w:rFonts w:ascii="Calibri" w:hAnsi="Calibri" w:cs="Arial"/>
            <w:color w:val="0645AD"/>
            <w:shd w:val="clear" w:color="auto" w:fill="FFFFFF"/>
          </w:rPr>
          <w:t>Afrique du Nord</w:t>
        </w:r>
      </w:hyperlink>
      <w:r w:rsidRPr="00012DFC">
        <w:rPr>
          <w:rFonts w:ascii="Calibri" w:hAnsi="Calibri" w:cs="Arial"/>
          <w:color w:val="202122"/>
          <w:shd w:val="clear" w:color="auto" w:fill="FFFFFF"/>
        </w:rPr>
        <w:t>, du </w:t>
      </w:r>
      <w:hyperlink r:id="rId2489" w:tooltip="Maroc" w:history="1">
        <w:r w:rsidRPr="00012DFC">
          <w:rPr>
            <w:rStyle w:val="Lienhypertexte"/>
            <w:rFonts w:ascii="Calibri" w:hAnsi="Calibri" w:cs="Arial"/>
            <w:color w:val="0645AD"/>
            <w:shd w:val="clear" w:color="auto" w:fill="FFFFFF"/>
          </w:rPr>
          <w:t>Maroc</w:t>
        </w:r>
      </w:hyperlink>
      <w:r w:rsidRPr="00012DFC">
        <w:rPr>
          <w:rFonts w:ascii="Calibri" w:hAnsi="Calibri" w:cs="Arial"/>
          <w:color w:val="202122"/>
          <w:shd w:val="clear" w:color="auto" w:fill="FFFFFF"/>
        </w:rPr>
        <w:t> à la </w:t>
      </w:r>
      <w:hyperlink r:id="rId2490" w:tooltip="Libye" w:history="1">
        <w:r w:rsidRPr="00012DFC">
          <w:rPr>
            <w:rStyle w:val="Lienhypertexte"/>
            <w:rFonts w:ascii="Calibri" w:hAnsi="Calibri" w:cs="Arial"/>
            <w:color w:val="0645AD"/>
            <w:shd w:val="clear" w:color="auto" w:fill="FFFFFF"/>
          </w:rPr>
          <w:t>Libye</w:t>
        </w:r>
      </w:hyperlink>
      <w:r w:rsidRPr="00012DFC">
        <w:rPr>
          <w:rFonts w:ascii="Calibri" w:hAnsi="Calibri" w:cs="Arial"/>
          <w:color w:val="202122"/>
          <w:shd w:val="clear" w:color="auto" w:fill="FFFFFF"/>
        </w:rPr>
        <w:t>, et en </w:t>
      </w:r>
      <w:hyperlink r:id="rId2491" w:tooltip="Europe du Sud" w:history="1">
        <w:r w:rsidRPr="00012DFC">
          <w:rPr>
            <w:rStyle w:val="Lienhypertexte"/>
            <w:rFonts w:ascii="Calibri" w:hAnsi="Calibri" w:cs="Arial"/>
            <w:color w:val="0645AD"/>
            <w:shd w:val="clear" w:color="auto" w:fill="FFFFFF"/>
          </w:rPr>
          <w:t>Europe du Sud</w:t>
        </w:r>
      </w:hyperlink>
      <w:r w:rsidRPr="00012DFC">
        <w:rPr>
          <w:rFonts w:ascii="Calibri" w:hAnsi="Calibri" w:cs="Arial"/>
          <w:color w:val="202122"/>
          <w:shd w:val="clear" w:color="auto" w:fill="FFFFFF"/>
        </w:rPr>
        <w:t> (</w:t>
      </w:r>
      <w:hyperlink r:id="rId2492" w:tooltip="Espagne" w:history="1">
        <w:r w:rsidRPr="00012DFC">
          <w:rPr>
            <w:rStyle w:val="Lienhypertexte"/>
            <w:rFonts w:ascii="Calibri" w:hAnsi="Calibri" w:cs="Arial"/>
            <w:color w:val="0645AD"/>
            <w:shd w:val="clear" w:color="auto" w:fill="FFFFFF"/>
          </w:rPr>
          <w:t>Espagne</w:t>
        </w:r>
      </w:hyperlink>
      <w:r w:rsidR="00D948A1">
        <w:rPr>
          <w:rFonts w:ascii="Calibri" w:hAnsi="Calibri"/>
        </w:rPr>
        <w:t xml:space="preserve"> </w:t>
      </w:r>
      <w:r w:rsidR="00D948A1" w:rsidRPr="00D948A1">
        <w:rPr>
          <w:rFonts w:ascii="Calibri" w:hAnsi="Calibri"/>
        </w:rPr>
        <w:t>(dont les Baléares)</w:t>
      </w:r>
      <w:r w:rsidRPr="00012DFC">
        <w:rPr>
          <w:rFonts w:ascii="Calibri" w:hAnsi="Calibri" w:cs="Arial"/>
          <w:color w:val="202122"/>
          <w:shd w:val="clear" w:color="auto" w:fill="FFFFFF"/>
        </w:rPr>
        <w:t>, </w:t>
      </w:r>
      <w:hyperlink r:id="rId2493" w:tooltip="Italie" w:history="1">
        <w:r w:rsidRPr="00012DFC">
          <w:rPr>
            <w:rStyle w:val="Lienhypertexte"/>
            <w:rFonts w:ascii="Calibri" w:hAnsi="Calibri" w:cs="Arial"/>
            <w:color w:val="0645AD"/>
            <w:shd w:val="clear" w:color="auto" w:fill="FFFFFF"/>
          </w:rPr>
          <w:t>Italie</w:t>
        </w:r>
      </w:hyperlink>
      <w:r w:rsidR="00894569">
        <w:rPr>
          <w:rFonts w:ascii="Calibri" w:hAnsi="Calibri"/>
        </w:rPr>
        <w:t>,</w:t>
      </w:r>
      <w:r w:rsidR="00D948A1">
        <w:rPr>
          <w:rFonts w:ascii="Calibri" w:hAnsi="Calibri"/>
        </w:rPr>
        <w:t xml:space="preserve"> Portugal,</w:t>
      </w:r>
      <w:r w:rsidR="00894569">
        <w:rPr>
          <w:rFonts w:ascii="Calibri" w:hAnsi="Calibri"/>
        </w:rPr>
        <w:t xml:space="preserve"> </w:t>
      </w:r>
      <w:r w:rsidR="00D948A1">
        <w:rPr>
          <w:rFonts w:ascii="Calibri" w:hAnsi="Calibri"/>
        </w:rPr>
        <w:t>France (dont l</w:t>
      </w:r>
      <w:r w:rsidR="00894569">
        <w:rPr>
          <w:rFonts w:ascii="Calibri" w:hAnsi="Calibri"/>
        </w:rPr>
        <w:t>Corse</w:t>
      </w:r>
      <w:r w:rsidR="00D948A1">
        <w:rPr>
          <w:rFonts w:ascii="Calibri" w:hAnsi="Calibri"/>
        </w:rPr>
        <w:t>)</w:t>
      </w:r>
      <w:r w:rsidRPr="00012DFC">
        <w:rPr>
          <w:rFonts w:ascii="Calibri" w:hAnsi="Calibri" w:cs="Arial"/>
          <w:color w:val="202122"/>
          <w:shd w:val="clear" w:color="auto" w:fill="FFFFFF"/>
        </w:rPr>
        <w:t xml:space="preserve">), </w:t>
      </w:r>
      <w:r w:rsidRPr="00D948A1">
        <w:rPr>
          <w:rFonts w:ascii="Calibri" w:hAnsi="Calibri" w:cs="Arial"/>
          <w:color w:val="000000" w:themeColor="text1"/>
          <w:shd w:val="clear" w:color="auto" w:fill="FFFFFF"/>
        </w:rPr>
        <w:t xml:space="preserve">ainsi que dans les îles </w:t>
      </w:r>
      <w:r w:rsidRPr="00012DFC">
        <w:rPr>
          <w:rFonts w:ascii="Calibri" w:hAnsi="Calibri" w:cs="Arial"/>
          <w:color w:val="202122"/>
          <w:shd w:val="clear" w:color="auto" w:fill="FFFFFF"/>
        </w:rPr>
        <w:t>de </w:t>
      </w:r>
      <w:hyperlink r:id="rId2494" w:tooltip="Macaronésie" w:history="1">
        <w:r w:rsidRPr="00012DFC">
          <w:rPr>
            <w:rStyle w:val="Lienhypertexte"/>
            <w:rFonts w:ascii="Calibri" w:hAnsi="Calibri" w:cs="Arial"/>
            <w:color w:val="0645AD"/>
            <w:shd w:val="clear" w:color="auto" w:fill="FFFFFF"/>
          </w:rPr>
          <w:t>Macaronésie</w:t>
        </w:r>
      </w:hyperlink>
      <w:r w:rsidRPr="00012DFC">
        <w:rPr>
          <w:rFonts w:ascii="Calibri" w:hAnsi="Calibri" w:cs="Arial"/>
          <w:color w:val="202122"/>
          <w:shd w:val="clear" w:color="auto" w:fill="FFFFFF"/>
        </w:rPr>
        <w:t xml:space="preserve"> (</w:t>
      </w:r>
      <w:hyperlink r:id="rId2495" w:tooltip="Archipel" w:history="1">
        <w:r w:rsidR="00012DFC" w:rsidRPr="00012DFC">
          <w:rPr>
            <w:rStyle w:val="Lienhypertexte"/>
            <w:rFonts w:ascii="Calibri" w:hAnsi="Calibri" w:cs="Arial"/>
            <w:color w:val="0645AD"/>
            <w:shd w:val="clear" w:color="auto" w:fill="FFFFFF"/>
          </w:rPr>
          <w:t>archipels</w:t>
        </w:r>
      </w:hyperlink>
      <w:r w:rsidR="00012DFC" w:rsidRPr="00012DFC">
        <w:rPr>
          <w:rFonts w:ascii="Calibri" w:hAnsi="Calibri" w:cs="Arial"/>
          <w:color w:val="202122"/>
          <w:shd w:val="clear" w:color="auto" w:fill="FFFFFF"/>
        </w:rPr>
        <w:t> des </w:t>
      </w:r>
      <w:hyperlink r:id="rId2496" w:tooltip="Açores" w:history="1">
        <w:r w:rsidR="00012DFC" w:rsidRPr="00012DFC">
          <w:rPr>
            <w:rStyle w:val="Lienhypertexte"/>
            <w:rFonts w:ascii="Calibri" w:hAnsi="Calibri" w:cs="Arial"/>
            <w:color w:val="0645AD"/>
            <w:shd w:val="clear" w:color="auto" w:fill="FFFFFF"/>
          </w:rPr>
          <w:t>Açores</w:t>
        </w:r>
      </w:hyperlink>
      <w:r w:rsidR="00012DFC" w:rsidRPr="00012DFC">
        <w:rPr>
          <w:rFonts w:ascii="Calibri" w:hAnsi="Calibri" w:cs="Arial"/>
          <w:color w:val="202122"/>
          <w:shd w:val="clear" w:color="auto" w:fill="FFFFFF"/>
        </w:rPr>
        <w:t> et de </w:t>
      </w:r>
      <w:hyperlink r:id="rId2497" w:tooltip="Madère" w:history="1">
        <w:r w:rsidR="00012DFC" w:rsidRPr="00012DFC">
          <w:rPr>
            <w:rStyle w:val="Lienhypertexte"/>
            <w:rFonts w:ascii="Calibri" w:hAnsi="Calibri" w:cs="Arial"/>
            <w:color w:val="0645AD"/>
            <w:shd w:val="clear" w:color="auto" w:fill="FFFFFF"/>
          </w:rPr>
          <w:t>Madère</w:t>
        </w:r>
      </w:hyperlink>
      <w:r w:rsidR="00012DFC" w:rsidRPr="00012DFC">
        <w:rPr>
          <w:rFonts w:ascii="Calibri" w:hAnsi="Calibri" w:cs="Arial"/>
          <w:color w:val="202122"/>
          <w:shd w:val="clear" w:color="auto" w:fill="FFFFFF"/>
        </w:rPr>
        <w:t>, des </w:t>
      </w:r>
      <w:hyperlink r:id="rId2498" w:tooltip="Îles Canaries" w:history="1">
        <w:r w:rsidR="00012DFC" w:rsidRPr="00012DFC">
          <w:rPr>
            <w:rStyle w:val="Lienhypertexte"/>
            <w:rFonts w:ascii="Calibri" w:hAnsi="Calibri" w:cs="Arial"/>
            <w:color w:val="0645AD"/>
            <w:shd w:val="clear" w:color="auto" w:fill="FFFFFF"/>
          </w:rPr>
          <w:t>îles Canaries</w:t>
        </w:r>
      </w:hyperlink>
      <w:r w:rsidR="00012DFC" w:rsidRPr="00012DFC">
        <w:rPr>
          <w:rFonts w:ascii="Calibri" w:hAnsi="Calibri" w:cs="Arial"/>
          <w:color w:val="202122"/>
          <w:shd w:val="clear" w:color="auto" w:fill="FFFFFF"/>
        </w:rPr>
        <w:t>, des </w:t>
      </w:r>
      <w:hyperlink r:id="rId2499" w:history="1">
        <w:r w:rsidR="00012DFC" w:rsidRPr="00012DFC">
          <w:rPr>
            <w:rStyle w:val="Lienhypertexte"/>
            <w:rFonts w:ascii="Calibri" w:hAnsi="Calibri" w:cs="Arial"/>
            <w:color w:val="0645AD"/>
            <w:shd w:val="clear" w:color="auto" w:fill="FFFFFF"/>
          </w:rPr>
          <w:t>îles du Cap-Vert</w:t>
        </w:r>
      </w:hyperlink>
      <w:r w:rsidRPr="00012DFC">
        <w:rPr>
          <w:rFonts w:ascii="Calibri" w:hAnsi="Calibri" w:cs="Arial"/>
          <w:color w:val="202122"/>
          <w:shd w:val="clear" w:color="auto" w:fill="FFFFFF"/>
        </w:rPr>
        <w:t>).</w:t>
      </w:r>
    </w:p>
    <w:p w14:paraId="79F7094A" w14:textId="3941CD8F" w:rsidR="00012DFC" w:rsidRPr="00012DFC" w:rsidRDefault="00012DFC" w:rsidP="00012DFC">
      <w:pPr>
        <w:pStyle w:val="NormalWeb"/>
        <w:shd w:val="clear" w:color="auto" w:fill="FFFFFF"/>
        <w:spacing w:before="0" w:beforeAutospacing="0" w:after="0" w:afterAutospacing="0"/>
        <w:jc w:val="both"/>
        <w:rPr>
          <w:rFonts w:ascii="Calibri" w:hAnsi="Calibri" w:cs="Arial"/>
          <w:color w:val="202122"/>
          <w:sz w:val="22"/>
          <w:szCs w:val="22"/>
        </w:rPr>
      </w:pPr>
      <w:r w:rsidRPr="00012DFC">
        <w:rPr>
          <w:rFonts w:ascii="Calibri" w:hAnsi="Calibri"/>
          <w:sz w:val="22"/>
          <w:szCs w:val="22"/>
          <w:u w:val="single"/>
        </w:rPr>
        <w:t>Utilisations</w:t>
      </w:r>
      <w:r w:rsidRPr="00012DFC">
        <w:rPr>
          <w:rFonts w:ascii="Calibri" w:hAnsi="Calibri"/>
          <w:sz w:val="22"/>
          <w:szCs w:val="22"/>
        </w:rPr>
        <w:t xml:space="preserve"> : </w:t>
      </w:r>
      <w:r w:rsidRPr="00012DFC">
        <w:rPr>
          <w:rFonts w:ascii="Calibri" w:hAnsi="Calibri" w:cs="Arial"/>
          <w:color w:val="202122"/>
          <w:sz w:val="22"/>
          <w:szCs w:val="22"/>
        </w:rPr>
        <w:t>Les graines germées d'alfa peuvent être consommées par l'homm</w:t>
      </w:r>
      <w:r>
        <w:rPr>
          <w:rFonts w:ascii="Calibri" w:hAnsi="Calibri" w:cs="Arial"/>
          <w:color w:val="202122"/>
          <w:sz w:val="22"/>
          <w:szCs w:val="22"/>
        </w:rPr>
        <w:t>e</w:t>
      </w:r>
      <w:r w:rsidRPr="00012DFC">
        <w:rPr>
          <w:rFonts w:ascii="Calibri" w:hAnsi="Calibri" w:cs="Arial"/>
          <w:color w:val="202122"/>
          <w:sz w:val="22"/>
          <w:szCs w:val="22"/>
        </w:rPr>
        <w:t>.</w:t>
      </w:r>
      <w:r>
        <w:rPr>
          <w:rFonts w:ascii="Calibri" w:hAnsi="Calibri" w:cs="Arial"/>
          <w:color w:val="202122"/>
          <w:sz w:val="22"/>
          <w:szCs w:val="22"/>
        </w:rPr>
        <w:t xml:space="preserve"> </w:t>
      </w:r>
      <w:r w:rsidRPr="00012DFC">
        <w:rPr>
          <w:rFonts w:ascii="Calibri" w:hAnsi="Calibri" w:cs="Arial"/>
          <w:color w:val="000000" w:themeColor="text1"/>
          <w:sz w:val="22"/>
          <w:szCs w:val="22"/>
        </w:rPr>
        <w:t>Les plus jeunes feuilles d'alfa peuvent être pâturées par les chevaux, les </w:t>
      </w:r>
      <w:hyperlink r:id="rId2500" w:tooltip="Dromadaire" w:history="1">
        <w:r w:rsidRPr="00012DFC">
          <w:rPr>
            <w:rStyle w:val="Lienhypertexte"/>
            <w:rFonts w:ascii="Calibri" w:hAnsi="Calibri" w:cs="Arial"/>
            <w:color w:val="0645AD"/>
            <w:sz w:val="22"/>
            <w:szCs w:val="22"/>
            <w:u w:val="none"/>
          </w:rPr>
          <w:t>dromadaires</w:t>
        </w:r>
      </w:hyperlink>
      <w:r w:rsidRPr="00012DFC">
        <w:rPr>
          <w:rFonts w:ascii="Calibri" w:hAnsi="Calibri" w:cs="Arial"/>
          <w:color w:val="202122"/>
          <w:sz w:val="22"/>
          <w:szCs w:val="22"/>
        </w:rPr>
        <w:t>, mais la plante est trop riche en </w:t>
      </w:r>
      <w:hyperlink r:id="rId2501" w:tooltip="Lignine" w:history="1">
        <w:r w:rsidRPr="00012DFC">
          <w:rPr>
            <w:rStyle w:val="Lienhypertexte"/>
            <w:rFonts w:ascii="Calibri" w:hAnsi="Calibri" w:cs="Arial"/>
            <w:color w:val="0645AD"/>
            <w:sz w:val="22"/>
            <w:szCs w:val="22"/>
            <w:u w:val="none"/>
          </w:rPr>
          <w:t>lignine</w:t>
        </w:r>
      </w:hyperlink>
      <w:r w:rsidRPr="00012DFC">
        <w:rPr>
          <w:rFonts w:ascii="Calibri" w:hAnsi="Calibri" w:cs="Arial"/>
          <w:color w:val="202122"/>
          <w:sz w:val="22"/>
          <w:szCs w:val="22"/>
        </w:rPr>
        <w:t> pour constituer un </w:t>
      </w:r>
      <w:hyperlink r:id="rId2502" w:tooltip="Fourrage" w:history="1">
        <w:r w:rsidRPr="00012DFC">
          <w:rPr>
            <w:rStyle w:val="Lienhypertexte"/>
            <w:rFonts w:ascii="Calibri" w:hAnsi="Calibri" w:cs="Arial"/>
            <w:color w:val="0645AD"/>
            <w:sz w:val="22"/>
            <w:szCs w:val="22"/>
            <w:u w:val="none"/>
          </w:rPr>
          <w:t>fourrage</w:t>
        </w:r>
      </w:hyperlink>
      <w:r w:rsidRPr="00012DFC">
        <w:rPr>
          <w:rFonts w:ascii="Calibri" w:hAnsi="Calibri" w:cs="Arial"/>
          <w:color w:val="202122"/>
          <w:sz w:val="22"/>
          <w:szCs w:val="22"/>
        </w:rPr>
        <w:t> pour les autres herbivores.</w:t>
      </w:r>
      <w:r>
        <w:rPr>
          <w:rFonts w:ascii="Calibri" w:hAnsi="Calibri" w:cs="Arial"/>
          <w:color w:val="202122"/>
          <w:sz w:val="22"/>
          <w:szCs w:val="22"/>
        </w:rPr>
        <w:t xml:space="preserve"> </w:t>
      </w:r>
      <w:r w:rsidRPr="00012DFC">
        <w:rPr>
          <w:rFonts w:ascii="Calibri" w:hAnsi="Calibri" w:cs="Arial"/>
          <w:color w:val="202122"/>
          <w:sz w:val="22"/>
          <w:szCs w:val="22"/>
        </w:rPr>
        <w:t>Cette plante présente également un intérêt écologique pour lutter contre l'</w:t>
      </w:r>
      <w:hyperlink r:id="rId2503" w:tooltip="Érosion" w:history="1">
        <w:r w:rsidRPr="00012DFC">
          <w:rPr>
            <w:rStyle w:val="Lienhypertexte"/>
            <w:rFonts w:ascii="Calibri" w:hAnsi="Calibri" w:cs="Arial"/>
            <w:color w:val="0645AD"/>
            <w:sz w:val="22"/>
            <w:szCs w:val="22"/>
            <w:u w:val="none"/>
          </w:rPr>
          <w:t>érosion</w:t>
        </w:r>
      </w:hyperlink>
      <w:r w:rsidRPr="00012DFC">
        <w:rPr>
          <w:rFonts w:ascii="Calibri" w:hAnsi="Calibri" w:cs="Arial"/>
          <w:color w:val="202122"/>
          <w:sz w:val="22"/>
          <w:szCs w:val="22"/>
        </w:rPr>
        <w:t> dans les régions de steppes </w:t>
      </w:r>
      <w:hyperlink r:id="rId2504" w:tooltip="Aride" w:history="1">
        <w:r w:rsidRPr="00012DFC">
          <w:rPr>
            <w:rStyle w:val="Lienhypertexte"/>
            <w:rFonts w:ascii="Calibri" w:hAnsi="Calibri" w:cs="Arial"/>
            <w:color w:val="0645AD"/>
            <w:sz w:val="22"/>
            <w:szCs w:val="22"/>
            <w:u w:val="none"/>
          </w:rPr>
          <w:t>arides</w:t>
        </w:r>
      </w:hyperlink>
      <w:r w:rsidRPr="00012DFC">
        <w:rPr>
          <w:rFonts w:ascii="Calibri" w:hAnsi="Calibri" w:cs="Arial"/>
          <w:color w:val="202122"/>
          <w:sz w:val="22"/>
          <w:szCs w:val="22"/>
        </w:rPr>
        <w:t>.</w:t>
      </w:r>
      <w:r w:rsidR="008C1E69">
        <w:rPr>
          <w:rFonts w:ascii="Calibri" w:hAnsi="Calibri" w:cs="Arial"/>
          <w:color w:val="202122"/>
          <w:sz w:val="22"/>
          <w:szCs w:val="22"/>
        </w:rPr>
        <w:t xml:space="preserve"> L’alfa</w:t>
      </w:r>
      <w:r w:rsidR="008C1E69" w:rsidRPr="008C1E69">
        <w:rPr>
          <w:rFonts w:ascii="Calibri" w:hAnsi="Calibri" w:cs="Arial"/>
          <w:color w:val="202122"/>
          <w:sz w:val="22"/>
          <w:szCs w:val="22"/>
        </w:rPr>
        <w:t xml:space="preserve"> a été géré par des hommes pendant des siècles</w:t>
      </w:r>
      <w:r w:rsidR="008C1E69">
        <w:rPr>
          <w:rFonts w:ascii="Calibri" w:hAnsi="Calibri" w:cs="Arial"/>
          <w:color w:val="202122"/>
          <w:sz w:val="22"/>
          <w:szCs w:val="22"/>
        </w:rPr>
        <w:t>.</w:t>
      </w:r>
    </w:p>
    <w:p w14:paraId="739D44B1" w14:textId="4CF40BF8" w:rsidR="00BB3224" w:rsidRPr="009D3CED" w:rsidRDefault="00012DFC" w:rsidP="009D3CED">
      <w:pPr>
        <w:pStyle w:val="NormalWeb"/>
        <w:shd w:val="clear" w:color="auto" w:fill="FFFFFF"/>
        <w:spacing w:before="0" w:beforeAutospacing="0" w:after="0" w:afterAutospacing="0"/>
        <w:jc w:val="both"/>
        <w:rPr>
          <w:rFonts w:ascii="Calibri" w:hAnsi="Calibri" w:cs="Arial"/>
          <w:color w:val="202122"/>
          <w:sz w:val="22"/>
          <w:szCs w:val="22"/>
        </w:rPr>
      </w:pPr>
      <w:r w:rsidRPr="009D3CED">
        <w:rPr>
          <w:rFonts w:ascii="Calibri" w:hAnsi="Calibri" w:cs="Arial"/>
          <w:color w:val="202122"/>
          <w:sz w:val="22"/>
          <w:szCs w:val="22"/>
        </w:rPr>
        <w:t>L'alfa est une plante utilisée pour ses </w:t>
      </w:r>
      <w:hyperlink r:id="rId2505" w:tooltip="Fibre" w:history="1">
        <w:r w:rsidRPr="009D3CED">
          <w:rPr>
            <w:rStyle w:val="Lienhypertexte"/>
            <w:rFonts w:ascii="Calibri" w:hAnsi="Calibri" w:cs="Arial"/>
            <w:color w:val="0645AD"/>
            <w:sz w:val="22"/>
            <w:szCs w:val="22"/>
            <w:u w:val="none"/>
          </w:rPr>
          <w:t>fibres</w:t>
        </w:r>
      </w:hyperlink>
      <w:r w:rsidRPr="009D3CED">
        <w:rPr>
          <w:rFonts w:ascii="Calibri" w:hAnsi="Calibri" w:cs="Arial"/>
          <w:color w:val="202122"/>
          <w:sz w:val="22"/>
          <w:szCs w:val="22"/>
        </w:rPr>
        <w:t xml:space="preserve">. </w:t>
      </w:r>
      <w:r w:rsidRPr="009D3CED">
        <w:rPr>
          <w:rFonts w:ascii="Calibri" w:hAnsi="Calibri" w:cs="Arial"/>
          <w:i/>
          <w:iCs/>
          <w:color w:val="202122"/>
          <w:sz w:val="22"/>
          <w:szCs w:val="22"/>
        </w:rPr>
        <w:t>On en tire une </w:t>
      </w:r>
      <w:hyperlink r:id="rId2506" w:tooltip="Pâte à papier" w:history="1">
        <w:r w:rsidRPr="009D3CED">
          <w:rPr>
            <w:rStyle w:val="Lienhypertexte"/>
            <w:rFonts w:ascii="Calibri" w:hAnsi="Calibri" w:cs="Arial"/>
            <w:i/>
            <w:iCs/>
            <w:color w:val="0645AD"/>
            <w:sz w:val="22"/>
            <w:szCs w:val="22"/>
            <w:u w:val="none"/>
          </w:rPr>
          <w:t>pâte à papier</w:t>
        </w:r>
      </w:hyperlink>
      <w:r w:rsidRPr="009D3CED">
        <w:rPr>
          <w:rFonts w:ascii="Calibri" w:hAnsi="Calibri" w:cs="Arial"/>
          <w:i/>
          <w:iCs/>
          <w:color w:val="202122"/>
          <w:sz w:val="22"/>
          <w:szCs w:val="22"/>
        </w:rPr>
        <w:t> recherchée</w:t>
      </w:r>
      <w:r w:rsidRPr="009D3CED">
        <w:rPr>
          <w:rFonts w:ascii="Calibri" w:hAnsi="Calibri" w:cs="Arial"/>
          <w:color w:val="202122"/>
          <w:sz w:val="22"/>
          <w:szCs w:val="22"/>
        </w:rPr>
        <w:t>. Les fibres tirées de ses feuilles peuvent, une fois filées, s'employer pour la fabrication de cordages, filets</w:t>
      </w:r>
      <w:r w:rsidR="009D3CED" w:rsidRPr="009D3CED">
        <w:rPr>
          <w:rFonts w:ascii="Calibri" w:hAnsi="Calibri" w:cs="Arial"/>
          <w:color w:val="202122"/>
          <w:sz w:val="22"/>
          <w:szCs w:val="22"/>
        </w:rPr>
        <w:t>, espadrilles</w:t>
      </w:r>
      <w:r w:rsidRPr="009D3CED">
        <w:rPr>
          <w:rFonts w:ascii="Calibri" w:hAnsi="Calibri" w:cs="Arial"/>
          <w:color w:val="202122"/>
          <w:sz w:val="22"/>
          <w:szCs w:val="22"/>
        </w:rPr>
        <w:t>. Au printemps, la feuille est tressée pour confectionner divers objets de </w:t>
      </w:r>
      <w:hyperlink r:id="rId2507" w:tooltip="Sparterie" w:history="1">
        <w:r w:rsidRPr="009D3CED">
          <w:rPr>
            <w:rStyle w:val="Lienhypertexte"/>
            <w:rFonts w:ascii="Calibri" w:hAnsi="Calibri" w:cs="Arial"/>
            <w:color w:val="0645AD"/>
            <w:sz w:val="22"/>
            <w:szCs w:val="22"/>
            <w:u w:val="none"/>
          </w:rPr>
          <w:t>sparterie</w:t>
        </w:r>
      </w:hyperlink>
      <w:r w:rsidRPr="009D3CED">
        <w:rPr>
          <w:rFonts w:ascii="Calibri" w:hAnsi="Calibri" w:cs="Arial"/>
          <w:color w:val="202122"/>
          <w:sz w:val="22"/>
          <w:szCs w:val="22"/>
        </w:rPr>
        <w:t> : </w:t>
      </w:r>
      <w:hyperlink r:id="rId2508" w:tooltip="Panier" w:history="1">
        <w:r w:rsidRPr="009D3CED">
          <w:rPr>
            <w:rStyle w:val="Lienhypertexte"/>
            <w:rFonts w:ascii="Calibri" w:hAnsi="Calibri" w:cs="Arial"/>
            <w:color w:val="0645AD"/>
            <w:sz w:val="22"/>
            <w:szCs w:val="22"/>
            <w:u w:val="none"/>
          </w:rPr>
          <w:t>paniers</w:t>
        </w:r>
      </w:hyperlink>
      <w:r w:rsidRPr="009D3CED">
        <w:rPr>
          <w:rFonts w:ascii="Calibri" w:hAnsi="Calibri" w:cs="Arial"/>
          <w:color w:val="202122"/>
          <w:sz w:val="22"/>
          <w:szCs w:val="22"/>
        </w:rPr>
        <w:t>, nattes, couffins, </w:t>
      </w:r>
      <w:hyperlink r:id="rId2509" w:tooltip="Passoire" w:history="1">
        <w:r w:rsidRPr="009D3CED">
          <w:rPr>
            <w:rStyle w:val="Lienhypertexte"/>
            <w:rFonts w:ascii="Calibri" w:hAnsi="Calibri" w:cs="Arial"/>
            <w:color w:val="0645AD"/>
            <w:sz w:val="22"/>
            <w:szCs w:val="22"/>
            <w:u w:val="none"/>
          </w:rPr>
          <w:t>passoires</w:t>
        </w:r>
      </w:hyperlink>
      <w:r w:rsidRPr="009D3CED">
        <w:rPr>
          <w:rFonts w:ascii="Calibri" w:hAnsi="Calibri" w:cs="Arial"/>
          <w:color w:val="202122"/>
          <w:sz w:val="22"/>
          <w:szCs w:val="22"/>
        </w:rPr>
        <w:t xml:space="preserve">... Il existe aussi une fabrication de tapis traditionnels en Alpha (Algérie) qui méritent d'être valorisés dans le cadre d'une revitalisation des territoires ruraux. </w:t>
      </w:r>
      <w:r w:rsidRPr="009D3CED">
        <w:rPr>
          <w:rFonts w:ascii="Calibri" w:hAnsi="Calibri"/>
          <w:sz w:val="22"/>
          <w:szCs w:val="22"/>
        </w:rPr>
        <w:t>Source :</w:t>
      </w:r>
      <w:r w:rsidR="008C1E69" w:rsidRPr="009D3CED">
        <w:rPr>
          <w:rFonts w:ascii="Calibri" w:hAnsi="Calibri"/>
          <w:sz w:val="22"/>
          <w:szCs w:val="22"/>
        </w:rPr>
        <w:t xml:space="preserve"> a)</w:t>
      </w:r>
      <w:r w:rsidRPr="009D3CED">
        <w:rPr>
          <w:rFonts w:ascii="Calibri" w:hAnsi="Calibri"/>
          <w:sz w:val="22"/>
          <w:szCs w:val="22"/>
        </w:rPr>
        <w:t xml:space="preserve"> </w:t>
      </w:r>
      <w:hyperlink r:id="rId2510" w:history="1">
        <w:r w:rsidRPr="009D3CED">
          <w:rPr>
            <w:rStyle w:val="Lienhypertexte"/>
            <w:rFonts w:ascii="Calibri" w:hAnsi="Calibri"/>
            <w:sz w:val="22"/>
            <w:szCs w:val="22"/>
          </w:rPr>
          <w:t>https://fr.wikipedia.org/wiki/Alfa</w:t>
        </w:r>
      </w:hyperlink>
      <w:r w:rsidR="008C1E69" w:rsidRPr="009D3CED">
        <w:rPr>
          <w:rFonts w:ascii="Calibri" w:hAnsi="Calibri"/>
          <w:sz w:val="22"/>
          <w:szCs w:val="22"/>
        </w:rPr>
        <w:t xml:space="preserve">, b) </w:t>
      </w:r>
      <w:hyperlink r:id="rId2511" w:history="1">
        <w:r w:rsidR="008C1E69" w:rsidRPr="009D3CED">
          <w:rPr>
            <w:rStyle w:val="Lienhypertexte"/>
            <w:rFonts w:ascii="Calibri" w:hAnsi="Calibri"/>
            <w:sz w:val="22"/>
            <w:szCs w:val="22"/>
          </w:rPr>
          <w:t>https://en.wikipedia.org/wiki/Stipa_tenacissima</w:t>
        </w:r>
      </w:hyperlink>
      <w:r w:rsidR="008C1E69" w:rsidRPr="009D3CED">
        <w:rPr>
          <w:rFonts w:ascii="Calibri" w:hAnsi="Calibri"/>
          <w:sz w:val="22"/>
          <w:szCs w:val="22"/>
        </w:rPr>
        <w:t xml:space="preserve"> </w:t>
      </w:r>
      <w:r w:rsidRPr="009D3CED">
        <w:rPr>
          <w:rFonts w:ascii="Calibri" w:hAnsi="Calibri"/>
          <w:sz w:val="22"/>
          <w:szCs w:val="22"/>
        </w:rPr>
        <w:t xml:space="preserve"> </w:t>
      </w:r>
    </w:p>
    <w:p w14:paraId="6B8DFD1F" w14:textId="413479EF" w:rsidR="00AC085A" w:rsidRDefault="00AC085A" w:rsidP="00BB3224">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AC085A" w14:paraId="76EE54F3" w14:textId="77777777" w:rsidTr="00AC085A">
        <w:tc>
          <w:tcPr>
            <w:tcW w:w="5208" w:type="dxa"/>
          </w:tcPr>
          <w:p w14:paraId="0FFFA459" w14:textId="24F1D1F5" w:rsidR="00AC085A" w:rsidRDefault="00AC085A" w:rsidP="00AC085A">
            <w:pPr>
              <w:jc w:val="center"/>
            </w:pPr>
            <w:r>
              <w:rPr>
                <w:noProof/>
              </w:rPr>
              <w:drawing>
                <wp:inline distT="0" distB="0" distL="0" distR="0" wp14:anchorId="5162F05A" wp14:editId="4C22E8BD">
                  <wp:extent cx="2286000" cy="1718930"/>
                  <wp:effectExtent l="0" t="0" r="0" b="0"/>
                  <wp:docPr id="7186" name="Image 7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2512">
                            <a:extLst>
                              <a:ext uri="{28A0092B-C50C-407E-A947-70E740481C1C}">
                                <a14:useLocalDpi xmlns:a14="http://schemas.microsoft.com/office/drawing/2010/main" val="0"/>
                              </a:ext>
                            </a:extLst>
                          </a:blip>
                          <a:srcRect/>
                          <a:stretch>
                            <a:fillRect/>
                          </a:stretch>
                        </pic:blipFill>
                        <pic:spPr bwMode="auto">
                          <a:xfrm>
                            <a:off x="0" y="0"/>
                            <a:ext cx="2292529" cy="1723840"/>
                          </a:xfrm>
                          <a:prstGeom prst="rect">
                            <a:avLst/>
                          </a:prstGeom>
                          <a:noFill/>
                          <a:ln>
                            <a:noFill/>
                          </a:ln>
                        </pic:spPr>
                      </pic:pic>
                    </a:graphicData>
                  </a:graphic>
                </wp:inline>
              </w:drawing>
            </w:r>
          </w:p>
        </w:tc>
        <w:tc>
          <w:tcPr>
            <w:tcW w:w="5208" w:type="dxa"/>
          </w:tcPr>
          <w:p w14:paraId="38253D01" w14:textId="77777777" w:rsidR="00AC085A" w:rsidRDefault="00AC085A" w:rsidP="00AC085A">
            <w:pPr>
              <w:jc w:val="center"/>
            </w:pPr>
            <w:r>
              <w:rPr>
                <w:noProof/>
              </w:rPr>
              <w:drawing>
                <wp:inline distT="0" distB="0" distL="0" distR="0" wp14:anchorId="51021B1E" wp14:editId="11458C94">
                  <wp:extent cx="2133600" cy="1600200"/>
                  <wp:effectExtent l="0" t="0" r="0" b="0"/>
                  <wp:docPr id="7187" name="Image 7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513">
                            <a:extLst>
                              <a:ext uri="{28A0092B-C50C-407E-A947-70E740481C1C}">
                                <a14:useLocalDpi xmlns:a14="http://schemas.microsoft.com/office/drawing/2010/main" val="0"/>
                              </a:ext>
                            </a:extLst>
                          </a:blip>
                          <a:srcRect/>
                          <a:stretch>
                            <a:fillRect/>
                          </a:stretch>
                        </pic:blipFill>
                        <pic:spPr bwMode="auto">
                          <a:xfrm>
                            <a:off x="0" y="0"/>
                            <a:ext cx="2133600" cy="1600200"/>
                          </a:xfrm>
                          <a:prstGeom prst="rect">
                            <a:avLst/>
                          </a:prstGeom>
                          <a:noFill/>
                          <a:ln>
                            <a:noFill/>
                          </a:ln>
                        </pic:spPr>
                      </pic:pic>
                    </a:graphicData>
                  </a:graphic>
                </wp:inline>
              </w:drawing>
            </w:r>
          </w:p>
          <w:p w14:paraId="5D509198" w14:textId="4B908041" w:rsidR="00AC085A" w:rsidRPr="00AC085A" w:rsidRDefault="00AC085A" w:rsidP="00AC085A">
            <w:pPr>
              <w:jc w:val="center"/>
              <w:rPr>
                <w:rFonts w:ascii="Calibri" w:hAnsi="Calibri"/>
              </w:rPr>
            </w:pPr>
            <w:r w:rsidRPr="00AC085A">
              <w:rPr>
                <w:rFonts w:ascii="Calibri" w:hAnsi="Calibri" w:cs="Arial"/>
                <w:color w:val="202122"/>
                <w:shd w:val="clear" w:color="auto" w:fill="F8F9FA"/>
              </w:rPr>
              <w:t>Peuplement d'alfa sur le littoral espagnol à Marina de Cope (</w:t>
            </w:r>
            <w:hyperlink r:id="rId2514" w:tooltip="Région de Murcie" w:history="1">
              <w:r w:rsidRPr="00AC085A">
                <w:rPr>
                  <w:rStyle w:val="Lienhypertexte"/>
                  <w:rFonts w:ascii="Calibri" w:hAnsi="Calibri" w:cs="Arial"/>
                  <w:color w:val="0645AD"/>
                  <w:shd w:val="clear" w:color="auto" w:fill="F8F9FA"/>
                </w:rPr>
                <w:t>Murcie</w:t>
              </w:r>
            </w:hyperlink>
            <w:r w:rsidRPr="00AC085A">
              <w:rPr>
                <w:rFonts w:ascii="Calibri" w:hAnsi="Calibri" w:cs="Arial"/>
                <w:color w:val="202122"/>
                <w:shd w:val="clear" w:color="auto" w:fill="F8F9FA"/>
              </w:rPr>
              <w:t>).</w:t>
            </w:r>
          </w:p>
        </w:tc>
      </w:tr>
      <w:tr w:rsidR="00AC085A" w14:paraId="0FA00C4B" w14:textId="77777777" w:rsidTr="00AC085A">
        <w:tc>
          <w:tcPr>
            <w:tcW w:w="5208" w:type="dxa"/>
          </w:tcPr>
          <w:p w14:paraId="62097CE4" w14:textId="77777777" w:rsidR="00AC085A" w:rsidRDefault="00AC085A" w:rsidP="00AC085A">
            <w:pPr>
              <w:jc w:val="center"/>
            </w:pPr>
            <w:r>
              <w:rPr>
                <w:noProof/>
              </w:rPr>
              <w:drawing>
                <wp:inline distT="0" distB="0" distL="0" distR="0" wp14:anchorId="4B1A4153" wp14:editId="5D22DF97">
                  <wp:extent cx="2438400" cy="1631148"/>
                  <wp:effectExtent l="0" t="0" r="0" b="7620"/>
                  <wp:docPr id="7188" name="Image 7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2515">
                            <a:extLst>
                              <a:ext uri="{28A0092B-C50C-407E-A947-70E740481C1C}">
                                <a14:useLocalDpi xmlns:a14="http://schemas.microsoft.com/office/drawing/2010/main" val="0"/>
                              </a:ext>
                            </a:extLst>
                          </a:blip>
                          <a:srcRect/>
                          <a:stretch>
                            <a:fillRect/>
                          </a:stretch>
                        </pic:blipFill>
                        <pic:spPr bwMode="auto">
                          <a:xfrm>
                            <a:off x="0" y="0"/>
                            <a:ext cx="2444027" cy="1634912"/>
                          </a:xfrm>
                          <a:prstGeom prst="rect">
                            <a:avLst/>
                          </a:prstGeom>
                          <a:noFill/>
                          <a:ln>
                            <a:noFill/>
                          </a:ln>
                        </pic:spPr>
                      </pic:pic>
                    </a:graphicData>
                  </a:graphic>
                </wp:inline>
              </w:drawing>
            </w:r>
          </w:p>
          <w:p w14:paraId="303DDB39" w14:textId="153EDE65" w:rsidR="00AC085A" w:rsidRDefault="00AC085A" w:rsidP="00AC085A">
            <w:pPr>
              <w:jc w:val="center"/>
            </w:pPr>
            <w:r>
              <w:t>Graines</w:t>
            </w:r>
          </w:p>
        </w:tc>
        <w:tc>
          <w:tcPr>
            <w:tcW w:w="5208" w:type="dxa"/>
          </w:tcPr>
          <w:p w14:paraId="500FF7BE" w14:textId="77777777" w:rsidR="00AC085A" w:rsidRDefault="00AC085A" w:rsidP="00AC085A">
            <w:pPr>
              <w:jc w:val="center"/>
            </w:pPr>
          </w:p>
        </w:tc>
      </w:tr>
    </w:tbl>
    <w:p w14:paraId="5E7EB638" w14:textId="4368514B" w:rsidR="00AC085A" w:rsidRDefault="00AC085A" w:rsidP="00D948A1">
      <w:pPr>
        <w:spacing w:after="0" w:line="240" w:lineRule="auto"/>
      </w:pPr>
    </w:p>
    <w:p w14:paraId="661008A4" w14:textId="53190A34" w:rsidR="00BA0FBA" w:rsidRDefault="00A3016A" w:rsidP="00A3016A">
      <w:pPr>
        <w:pStyle w:val="Titre1"/>
      </w:pPr>
      <w:bookmarkStart w:id="203" w:name="_Toc139181494"/>
      <w:r>
        <w:lastRenderedPageBreak/>
        <w:t>Plantes</w:t>
      </w:r>
      <w:r w:rsidR="005031FA">
        <w:t xml:space="preserve"> herbacées</w:t>
      </w:r>
      <w:r>
        <w:t xml:space="preserve"> de survie et de famine de climats secs et régions arides</w:t>
      </w:r>
      <w:bookmarkEnd w:id="203"/>
    </w:p>
    <w:p w14:paraId="757BCFFF" w14:textId="5105FEDF" w:rsidR="00A3016A" w:rsidRDefault="00A3016A" w:rsidP="00BA0FBA">
      <w:pPr>
        <w:spacing w:after="0" w:line="240" w:lineRule="auto"/>
      </w:pPr>
    </w:p>
    <w:p w14:paraId="6E0F860E" w14:textId="29BD05DE" w:rsidR="00A3016A" w:rsidRPr="00396FFF" w:rsidRDefault="006822B4" w:rsidP="002E3E92">
      <w:pPr>
        <w:pStyle w:val="Titre2"/>
        <w:rPr>
          <w:i/>
          <w:iCs/>
        </w:rPr>
      </w:pPr>
      <w:bookmarkStart w:id="204" w:name="_Toc139181495"/>
      <w:r w:rsidRPr="006822B4">
        <w:t>"Bec-de-</w:t>
      </w:r>
      <w:r w:rsidR="005173EC">
        <w:t>héron</w:t>
      </w:r>
      <w:r w:rsidRPr="006822B4">
        <w:t xml:space="preserve"> velu" </w:t>
      </w:r>
      <w:r>
        <w:t>(</w:t>
      </w:r>
      <w:r w:rsidR="00396FFF" w:rsidRPr="00396FFF">
        <w:rPr>
          <w:i/>
          <w:iCs/>
        </w:rPr>
        <w:t>Erodium crassifolium</w:t>
      </w:r>
      <w:r>
        <w:t>)</w:t>
      </w:r>
      <w:bookmarkEnd w:id="204"/>
    </w:p>
    <w:p w14:paraId="3941C38F" w14:textId="2111BC0B" w:rsidR="00A3016A" w:rsidRDefault="00A3016A" w:rsidP="00BA0FBA">
      <w:pPr>
        <w:spacing w:after="0" w:line="240" w:lineRule="auto"/>
      </w:pPr>
    </w:p>
    <w:p w14:paraId="4067A9E5" w14:textId="7F8E6FEF" w:rsidR="001640D6" w:rsidRDefault="001640D6" w:rsidP="002F055B">
      <w:pPr>
        <w:spacing w:after="0" w:line="240" w:lineRule="auto"/>
        <w:jc w:val="both"/>
      </w:pPr>
      <w:r>
        <w:t>Cette plante</w:t>
      </w:r>
      <w:r w:rsidR="004C532E">
        <w:t xml:space="preserve">, de la famille des </w:t>
      </w:r>
      <w:r w:rsidR="006822B4" w:rsidRPr="006822B4">
        <w:rPr>
          <w:i/>
          <w:iCs/>
        </w:rPr>
        <w:t>Géraniacées</w:t>
      </w:r>
      <w:r w:rsidR="004C532E">
        <w:t>,</w:t>
      </w:r>
      <w:r>
        <w:t xml:space="preserve"> </w:t>
      </w:r>
      <w:r w:rsidRPr="001640D6">
        <w:t>produit des tubercules comestibles</w:t>
      </w:r>
      <w:r w:rsidR="004C532E">
        <w:t>, légèrement sucré</w:t>
      </w:r>
      <w:r w:rsidR="006822B4">
        <w:t>s</w:t>
      </w:r>
      <w:r w:rsidR="004C532E">
        <w:t>,</w:t>
      </w:r>
      <w:r w:rsidRPr="001640D6">
        <w:t xml:space="preserve"> dans le désert. </w:t>
      </w:r>
      <w:r>
        <w:t xml:space="preserve">Son </w:t>
      </w:r>
      <w:r w:rsidRPr="001640D6">
        <w:t>aire de répartition naturelle s'étend de l'Afrique du Nord à Israël.</w:t>
      </w:r>
      <w:r w:rsidR="00011A56">
        <w:t xml:space="preserve"> Elle n’est pas une succulente.</w:t>
      </w:r>
    </w:p>
    <w:p w14:paraId="35969985" w14:textId="77777777" w:rsidR="002F055B" w:rsidRDefault="002F055B" w:rsidP="002F055B">
      <w:pPr>
        <w:spacing w:after="0" w:line="240" w:lineRule="auto"/>
        <w:jc w:val="both"/>
      </w:pPr>
      <w:r>
        <w:t>Dans les déserts d'Arabie et du Sahara, on peut trouver cette très belle plante dont les fleurs s'ouvrent tôt le matin.</w:t>
      </w:r>
    </w:p>
    <w:p w14:paraId="3D5A33A4" w14:textId="0ACC6EC7" w:rsidR="002F055B" w:rsidRDefault="002F055B" w:rsidP="002F055B">
      <w:pPr>
        <w:spacing w:after="0" w:line="240" w:lineRule="auto"/>
        <w:jc w:val="both"/>
      </w:pPr>
      <w:r w:rsidRPr="002F055B">
        <w:rPr>
          <w:i/>
          <w:iCs/>
        </w:rPr>
        <w:t>Erodium crassifolium</w:t>
      </w:r>
      <w:r>
        <w:t xml:space="preserve">, </w:t>
      </w:r>
      <w:r w:rsidR="006822B4">
        <w:t>« </w:t>
      </w:r>
      <w:r>
        <w:t>décore</w:t>
      </w:r>
      <w:r w:rsidR="006822B4">
        <w:t> »</w:t>
      </w:r>
      <w:r>
        <w:t xml:space="preserve"> les pentes nues des collines pendant quelques heures mais laissera tomber ses pétales avant midi. La floraison a lieu entre janvier et avril, avec un pic de mi-février à mars.</w:t>
      </w:r>
    </w:p>
    <w:p w14:paraId="487C02A7" w14:textId="6143257F" w:rsidR="002F055B" w:rsidRDefault="002F055B" w:rsidP="002F055B">
      <w:pPr>
        <w:spacing w:after="0" w:line="240" w:lineRule="auto"/>
        <w:jc w:val="both"/>
      </w:pPr>
      <w:r>
        <w:t xml:space="preserve">C'est une plante vivace, qui produit de </w:t>
      </w:r>
      <w:r w:rsidRPr="002F055B">
        <w:rPr>
          <w:i/>
          <w:iCs/>
        </w:rPr>
        <w:t>petits tubercules racinaires</w:t>
      </w:r>
      <w:r>
        <w:t>, sur ses racines fibreuses. Cette structure lui permet de croître et de fleurir les années avec suffisamment de pluie, tout en restant sous terre les années sèches.</w:t>
      </w:r>
    </w:p>
    <w:p w14:paraId="02612038" w14:textId="0552D111" w:rsidR="002F055B" w:rsidRDefault="002F055B" w:rsidP="002F055B">
      <w:pPr>
        <w:spacing w:after="0" w:line="240" w:lineRule="auto"/>
        <w:jc w:val="both"/>
      </w:pPr>
      <w:r>
        <w:t>Les feuilles sont peu nombreuses, souvent poilues et charnues. Les populations les plus au nord ont des feuilles glabres. Les fleurs varient en couleur du rose au violet avec une tache noire frappante au centre, la taille de cette tache variant selon les plantes. Cette tache contraste nettement avec le pollen très orangé.</w:t>
      </w:r>
    </w:p>
    <w:p w14:paraId="631DBF29" w14:textId="77777777" w:rsidR="002F055B" w:rsidRDefault="002F055B" w:rsidP="002F055B">
      <w:pPr>
        <w:spacing w:after="0" w:line="240" w:lineRule="auto"/>
        <w:jc w:val="both"/>
      </w:pPr>
      <w:r>
        <w:t>Les graines portent une arête en forme de plume qui les aide à se disperser par le vent et à la fin de la saison des pluies, on les trouve presque n'importe où sur le sol, entre les rochers et les pierres.</w:t>
      </w:r>
    </w:p>
    <w:p w14:paraId="6B483B58" w14:textId="6D1CB86E" w:rsidR="002F055B" w:rsidRDefault="002F055B" w:rsidP="002F055B">
      <w:pPr>
        <w:spacing w:after="0" w:line="240" w:lineRule="auto"/>
        <w:jc w:val="both"/>
      </w:pPr>
      <w:r>
        <w:t>En Israël, c'est une plante commune dans toute la partie sud et aride du pays. L'espèce se trouve généralement sur les pentes pierreuses, les</w:t>
      </w:r>
      <w:r w:rsidR="00B73DA0">
        <w:t xml:space="preserve"> bords de plans d’eau (lacs …)</w:t>
      </w:r>
      <w:r>
        <w:t xml:space="preserve"> et les plaines.</w:t>
      </w:r>
    </w:p>
    <w:p w14:paraId="2D694EDB" w14:textId="7A98B1EF" w:rsidR="00396FFF" w:rsidRPr="00BA0FBA" w:rsidRDefault="005173EC" w:rsidP="00BA0FBA">
      <w:pPr>
        <w:spacing w:after="0" w:line="240" w:lineRule="auto"/>
      </w:pPr>
      <w:r>
        <w:t>L</w:t>
      </w:r>
      <w:r w:rsidRPr="005173EC">
        <w:t>es carpelles de ces plantes ressemblent à la tête et au bec d'un héron</w:t>
      </w:r>
      <w:r>
        <w:t>, d’où le nom de la plante</w:t>
      </w:r>
      <w:r w:rsidRPr="005173EC">
        <w:t>.</w:t>
      </w:r>
    </w:p>
    <w:p w14:paraId="78E97C80" w14:textId="763FA988" w:rsidR="00DB669E" w:rsidRPr="002F055B" w:rsidRDefault="001640D6" w:rsidP="00DB669E">
      <w:pPr>
        <w:spacing w:after="0" w:line="240" w:lineRule="auto"/>
        <w:jc w:val="both"/>
        <w:rPr>
          <w:lang w:val="en-GB"/>
        </w:rPr>
      </w:pPr>
      <w:r w:rsidRPr="002F055B">
        <w:rPr>
          <w:lang w:val="en-GB"/>
        </w:rPr>
        <w:t>Sources : a)</w:t>
      </w:r>
      <w:r w:rsidR="002F055B" w:rsidRPr="002F055B">
        <w:rPr>
          <w:lang w:val="en-GB"/>
        </w:rPr>
        <w:t xml:space="preserve"> </w:t>
      </w:r>
      <w:r w:rsidR="002F055B" w:rsidRPr="002F055B">
        <w:rPr>
          <w:i/>
          <w:iCs/>
          <w:lang w:val="en-GB"/>
        </w:rPr>
        <w:t>Erodium crassifolium, a Unique Desert Species</w:t>
      </w:r>
      <w:r w:rsidR="002F055B">
        <w:rPr>
          <w:lang w:val="en-GB"/>
        </w:rPr>
        <w:t>,</w:t>
      </w:r>
      <w:r w:rsidR="002F055B" w:rsidRPr="002F055B">
        <w:rPr>
          <w:lang w:val="en-GB"/>
        </w:rPr>
        <w:t xml:space="preserve"> Dr.</w:t>
      </w:r>
      <w:r w:rsidR="00B73DA0">
        <w:rPr>
          <w:lang w:val="en-GB"/>
        </w:rPr>
        <w:t xml:space="preserve"> </w:t>
      </w:r>
      <w:r w:rsidR="002F055B" w:rsidRPr="002F055B">
        <w:rPr>
          <w:lang w:val="en-GB"/>
        </w:rPr>
        <w:t>Ori Fragman-Sapir, Head Scientist, Jerusalem Botanical Garden, Israel</w:t>
      </w:r>
      <w:r w:rsidR="002F055B">
        <w:rPr>
          <w:lang w:val="en-GB"/>
        </w:rPr>
        <w:t>,</w:t>
      </w:r>
      <w:r w:rsidRPr="002F055B">
        <w:rPr>
          <w:lang w:val="en-GB"/>
        </w:rPr>
        <w:t xml:space="preserve"> </w:t>
      </w:r>
      <w:hyperlink r:id="rId2516" w:history="1">
        <w:r w:rsidRPr="002F055B">
          <w:rPr>
            <w:rStyle w:val="Lienhypertexte"/>
            <w:lang w:val="en-GB"/>
          </w:rPr>
          <w:t>https://www.botanic.co.il/wp-content/uploads/2017/12/Erodium_crassifolium_2009.pdf</w:t>
        </w:r>
      </w:hyperlink>
      <w:r w:rsidRPr="002F055B">
        <w:rPr>
          <w:lang w:val="en-GB"/>
        </w:rPr>
        <w:t xml:space="preserve"> </w:t>
      </w:r>
    </w:p>
    <w:p w14:paraId="38FD054C" w14:textId="0C4C697A" w:rsidR="001640D6" w:rsidRDefault="001640D6" w:rsidP="00134CDE">
      <w:pPr>
        <w:spacing w:after="0" w:line="240" w:lineRule="auto"/>
        <w:jc w:val="both"/>
        <w:rPr>
          <w:lang w:val="en-GB"/>
        </w:rPr>
      </w:pPr>
      <w:r w:rsidRPr="00134CDE">
        <w:rPr>
          <w:lang w:val="en-GB"/>
        </w:rPr>
        <w:t xml:space="preserve">b) </w:t>
      </w:r>
      <w:r w:rsidR="00134CDE" w:rsidRPr="00134CDE">
        <w:rPr>
          <w:i/>
          <w:iCs/>
          <w:lang w:val="en-GB"/>
        </w:rPr>
        <w:t>Assessment of the Nutritional and Medicinal Potential of Tubers from Hairy Stork’s-Bill (Erodium crassifolium L’Hér), a Wild Plant Species Inhabiting Arid Southeast Mediterranean Regions</w:t>
      </w:r>
      <w:r w:rsidR="00134CDE">
        <w:rPr>
          <w:lang w:val="en-GB"/>
        </w:rPr>
        <w:t>,</w:t>
      </w:r>
      <w:r w:rsidR="00134CDE" w:rsidRPr="00134CDE">
        <w:rPr>
          <w:lang w:val="en-GB"/>
        </w:rPr>
        <w:t xml:space="preserve"> Shabtai Cohen, Hinanit Koltai, Gopinath Selvaraj, Moran Mazuz, Moran Segoli, Amnon Bustan and Ofer Guy, 20 August 2020, Plant Biodiversity and Genetic Resources, Volume 9, Issue 9, </w:t>
      </w:r>
      <w:hyperlink r:id="rId2517" w:history="1">
        <w:r w:rsidR="00134CDE" w:rsidRPr="006437AE">
          <w:rPr>
            <w:rStyle w:val="Lienhypertexte"/>
            <w:lang w:val="en-GB"/>
          </w:rPr>
          <w:t>https://www.mdpi.com/2223-7747/9/9/1069/htm</w:t>
        </w:r>
      </w:hyperlink>
      <w:r w:rsidR="00134CDE">
        <w:rPr>
          <w:lang w:val="en-GB"/>
        </w:rPr>
        <w:t xml:space="preserve"> </w:t>
      </w:r>
    </w:p>
    <w:p w14:paraId="6A772F8E" w14:textId="1589F71E" w:rsidR="00B73DA0" w:rsidRPr="00134CDE" w:rsidRDefault="00B73DA0" w:rsidP="00134CDE">
      <w:pPr>
        <w:spacing w:after="0" w:line="240" w:lineRule="auto"/>
        <w:jc w:val="both"/>
        <w:rPr>
          <w:lang w:val="en-GB"/>
        </w:rPr>
      </w:pPr>
      <w:r>
        <w:rPr>
          <w:lang w:val="en-GB"/>
        </w:rPr>
        <w:t xml:space="preserve">c) </w:t>
      </w:r>
      <w:hyperlink r:id="rId2518" w:history="1">
        <w:r w:rsidRPr="006437AE">
          <w:rPr>
            <w:rStyle w:val="Lienhypertexte"/>
            <w:lang w:val="en-GB"/>
          </w:rPr>
          <w:t>https://flora.org.il/en/plants/EROCRA/</w:t>
        </w:r>
      </w:hyperlink>
      <w:r w:rsidR="00011A56">
        <w:rPr>
          <w:lang w:val="en-GB"/>
        </w:rPr>
        <w:t xml:space="preserve">, d) </w:t>
      </w:r>
      <w:hyperlink r:id="rId2519" w:history="1">
        <w:r w:rsidR="00011A56" w:rsidRPr="006437AE">
          <w:rPr>
            <w:rStyle w:val="Lienhypertexte"/>
            <w:lang w:val="en-GB"/>
          </w:rPr>
          <w:t>http://www.flowersinisrael.com/Erodiumcrassifolium_page.htm</w:t>
        </w:r>
      </w:hyperlink>
      <w:r w:rsidR="00011A56">
        <w:rPr>
          <w:lang w:val="en-GB"/>
        </w:rPr>
        <w:t xml:space="preserve"> </w:t>
      </w:r>
      <w:r>
        <w:rPr>
          <w:lang w:val="en-GB"/>
        </w:rPr>
        <w:t xml:space="preserve"> </w:t>
      </w:r>
    </w:p>
    <w:p w14:paraId="711465DF" w14:textId="7EAF00BD" w:rsidR="001640D6" w:rsidRDefault="001640D6" w:rsidP="00DB669E">
      <w:pPr>
        <w:spacing w:after="0" w:line="240" w:lineRule="auto"/>
        <w:jc w:val="both"/>
        <w:rPr>
          <w:lang w:val="en-G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B73DA0" w:rsidRPr="009D39A2" w14:paraId="0374277B" w14:textId="77777777" w:rsidTr="00011A56">
        <w:tc>
          <w:tcPr>
            <w:tcW w:w="3472" w:type="dxa"/>
          </w:tcPr>
          <w:p w14:paraId="6500562B" w14:textId="77777777" w:rsidR="00134CDE" w:rsidRDefault="00B73DA0" w:rsidP="00134CDE">
            <w:pPr>
              <w:jc w:val="center"/>
              <w:rPr>
                <w:lang w:val="en-GB"/>
              </w:rPr>
            </w:pPr>
            <w:r>
              <w:rPr>
                <w:noProof/>
              </w:rPr>
              <w:drawing>
                <wp:inline distT="0" distB="0" distL="0" distR="0" wp14:anchorId="59523856" wp14:editId="6FDED437">
                  <wp:extent cx="1932110" cy="1457325"/>
                  <wp:effectExtent l="0" t="0" r="0" b="0"/>
                  <wp:docPr id="81941" name="Image 81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20">
                            <a:extLst>
                              <a:ext uri="{28A0092B-C50C-407E-A947-70E740481C1C}">
                                <a14:useLocalDpi xmlns:a14="http://schemas.microsoft.com/office/drawing/2010/main" val="0"/>
                              </a:ext>
                            </a:extLst>
                          </a:blip>
                          <a:srcRect/>
                          <a:stretch>
                            <a:fillRect/>
                          </a:stretch>
                        </pic:blipFill>
                        <pic:spPr bwMode="auto">
                          <a:xfrm>
                            <a:off x="0" y="0"/>
                            <a:ext cx="1941358" cy="1464301"/>
                          </a:xfrm>
                          <a:prstGeom prst="rect">
                            <a:avLst/>
                          </a:prstGeom>
                          <a:noFill/>
                          <a:ln>
                            <a:noFill/>
                          </a:ln>
                        </pic:spPr>
                      </pic:pic>
                    </a:graphicData>
                  </a:graphic>
                </wp:inline>
              </w:drawing>
            </w:r>
          </w:p>
          <w:p w14:paraId="2B8EB747" w14:textId="33218A87" w:rsidR="00AF3DEE" w:rsidRDefault="00AF3DEE" w:rsidP="00AF3DEE">
            <w:pPr>
              <w:jc w:val="both"/>
              <w:rPr>
                <w:lang w:val="en-GB"/>
              </w:rPr>
            </w:pPr>
            <w:r w:rsidRPr="00AF3DEE">
              <w:rPr>
                <w:lang w:val="en-GB"/>
              </w:rPr>
              <w:t xml:space="preserve">Desert Stork’s bill — </w:t>
            </w:r>
            <w:r w:rsidRPr="00AF3DEE">
              <w:rPr>
                <w:i/>
                <w:iCs/>
                <w:lang w:val="en-GB"/>
              </w:rPr>
              <w:t>Erodium crassifolium</w:t>
            </w:r>
            <w:r w:rsidRPr="00AF3DEE">
              <w:rPr>
                <w:lang w:val="en-GB"/>
              </w:rPr>
              <w:t>. (Eitan Ferman, CC BY-SA 3.0, Wikimedia Commons)</w:t>
            </w:r>
          </w:p>
        </w:tc>
        <w:tc>
          <w:tcPr>
            <w:tcW w:w="3472" w:type="dxa"/>
          </w:tcPr>
          <w:p w14:paraId="7DB13E23" w14:textId="77777777" w:rsidR="00134CDE" w:rsidRDefault="00B73DA0" w:rsidP="00134CDE">
            <w:pPr>
              <w:jc w:val="center"/>
              <w:rPr>
                <w:lang w:val="en-GB"/>
              </w:rPr>
            </w:pPr>
            <w:r>
              <w:rPr>
                <w:noProof/>
              </w:rPr>
              <w:drawing>
                <wp:inline distT="0" distB="0" distL="0" distR="0" wp14:anchorId="2378F620" wp14:editId="604A7942">
                  <wp:extent cx="2000250" cy="1353781"/>
                  <wp:effectExtent l="0" t="0" r="0" b="0"/>
                  <wp:docPr id="81942" name="Image 81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21">
                            <a:extLst>
                              <a:ext uri="{28A0092B-C50C-407E-A947-70E740481C1C}">
                                <a14:useLocalDpi xmlns:a14="http://schemas.microsoft.com/office/drawing/2010/main" val="0"/>
                              </a:ext>
                            </a:extLst>
                          </a:blip>
                          <a:srcRect/>
                          <a:stretch>
                            <a:fillRect/>
                          </a:stretch>
                        </pic:blipFill>
                        <pic:spPr bwMode="auto">
                          <a:xfrm>
                            <a:off x="0" y="0"/>
                            <a:ext cx="2010235" cy="1360539"/>
                          </a:xfrm>
                          <a:prstGeom prst="rect">
                            <a:avLst/>
                          </a:prstGeom>
                          <a:noFill/>
                          <a:ln>
                            <a:noFill/>
                          </a:ln>
                        </pic:spPr>
                      </pic:pic>
                    </a:graphicData>
                  </a:graphic>
                </wp:inline>
              </w:drawing>
            </w:r>
          </w:p>
          <w:p w14:paraId="60E79CAA" w14:textId="77777777" w:rsidR="00B73DA0" w:rsidRDefault="00B73DA0" w:rsidP="00134CDE">
            <w:pPr>
              <w:jc w:val="center"/>
            </w:pPr>
            <w:r w:rsidRPr="00B73DA0">
              <w:t xml:space="preserve">Gros plan sur les </w:t>
            </w:r>
            <w:r>
              <w:t xml:space="preserve">fleurs. </w:t>
            </w:r>
          </w:p>
          <w:p w14:paraId="59C08B2D" w14:textId="77777777" w:rsidR="00B73DA0" w:rsidRPr="002B7DCD" w:rsidRDefault="00B73DA0" w:rsidP="00134CDE">
            <w:pPr>
              <w:jc w:val="center"/>
            </w:pPr>
            <w:r>
              <w:t xml:space="preserve">© </w:t>
            </w:r>
            <w:r w:rsidRPr="002B7DCD">
              <w:t>Dr. Ori Fragman-Sapir</w:t>
            </w:r>
          </w:p>
          <w:p w14:paraId="7787C602" w14:textId="77777777" w:rsidR="00B73DA0" w:rsidRDefault="00B73DA0" w:rsidP="00B73DA0">
            <w:pPr>
              <w:jc w:val="both"/>
            </w:pPr>
          </w:p>
          <w:p w14:paraId="1D19DAE3" w14:textId="75F2BBFE" w:rsidR="00B73DA0" w:rsidRPr="00B73DA0" w:rsidRDefault="00B73DA0" w:rsidP="00B73DA0">
            <w:pPr>
              <w:jc w:val="both"/>
            </w:pPr>
            <w:r w:rsidRPr="00B73DA0">
              <w:t>Lieu</w:t>
            </w:r>
            <w:r w:rsidR="004C532E">
              <w:t xml:space="preserve"> de la prise de vue</w:t>
            </w:r>
            <w:r w:rsidRPr="00B73DA0">
              <w:t xml:space="preserve"> : </w:t>
            </w:r>
            <w:r>
              <w:t>partie centrale du désert du Néguev dans le sud d'Israël, à une altitude de 600 m sur le mont Retamim.</w:t>
            </w:r>
          </w:p>
        </w:tc>
        <w:tc>
          <w:tcPr>
            <w:tcW w:w="3472" w:type="dxa"/>
          </w:tcPr>
          <w:p w14:paraId="1F3BC298" w14:textId="77777777" w:rsidR="00134CDE" w:rsidRDefault="00B73DA0" w:rsidP="00134CDE">
            <w:pPr>
              <w:jc w:val="center"/>
              <w:rPr>
                <w:lang w:val="en-GB"/>
              </w:rPr>
            </w:pPr>
            <w:r>
              <w:rPr>
                <w:noProof/>
              </w:rPr>
              <w:drawing>
                <wp:inline distT="0" distB="0" distL="0" distR="0" wp14:anchorId="43759C6E" wp14:editId="2DA95770">
                  <wp:extent cx="1972933" cy="2962275"/>
                  <wp:effectExtent l="0" t="0" r="8890" b="0"/>
                  <wp:docPr id="81943" name="Image 81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22">
                            <a:extLst>
                              <a:ext uri="{28A0092B-C50C-407E-A947-70E740481C1C}">
                                <a14:useLocalDpi xmlns:a14="http://schemas.microsoft.com/office/drawing/2010/main" val="0"/>
                              </a:ext>
                            </a:extLst>
                          </a:blip>
                          <a:srcRect/>
                          <a:stretch>
                            <a:fillRect/>
                          </a:stretch>
                        </pic:blipFill>
                        <pic:spPr bwMode="auto">
                          <a:xfrm>
                            <a:off x="0" y="0"/>
                            <a:ext cx="1994746" cy="2995027"/>
                          </a:xfrm>
                          <a:prstGeom prst="rect">
                            <a:avLst/>
                          </a:prstGeom>
                          <a:noFill/>
                          <a:ln>
                            <a:noFill/>
                          </a:ln>
                        </pic:spPr>
                      </pic:pic>
                    </a:graphicData>
                  </a:graphic>
                </wp:inline>
              </w:drawing>
            </w:r>
          </w:p>
          <w:p w14:paraId="03EF03DF" w14:textId="7A46E1F4" w:rsidR="00B73DA0" w:rsidRPr="002B7DCD" w:rsidRDefault="00B73DA0" w:rsidP="00134CDE">
            <w:pPr>
              <w:jc w:val="center"/>
              <w:rPr>
                <w:lang w:val="es-AR"/>
              </w:rPr>
            </w:pPr>
            <w:r w:rsidRPr="002B7DCD">
              <w:rPr>
                <w:lang w:val="es-AR"/>
              </w:rPr>
              <w:t>Les tubercules. © Flora of Israel.</w:t>
            </w:r>
          </w:p>
        </w:tc>
      </w:tr>
    </w:tbl>
    <w:p w14:paraId="1ABC4228" w14:textId="1AB8E6DE" w:rsidR="00134CDE" w:rsidRPr="002B7DCD" w:rsidRDefault="00134CDE" w:rsidP="00134CDE">
      <w:pPr>
        <w:spacing w:after="0" w:line="240" w:lineRule="auto"/>
        <w:jc w:val="center"/>
        <w:rPr>
          <w:lang w:val="es-AR"/>
        </w:rPr>
      </w:pPr>
    </w:p>
    <w:p w14:paraId="427D9B1B" w14:textId="1CE85542" w:rsidR="00B73DA0" w:rsidRDefault="006822B4" w:rsidP="00134CDE">
      <w:pPr>
        <w:spacing w:after="0" w:line="240" w:lineRule="auto"/>
        <w:jc w:val="center"/>
        <w:rPr>
          <w:lang w:val="en-GB"/>
        </w:rPr>
      </w:pPr>
      <w:r>
        <w:rPr>
          <w:noProof/>
        </w:rPr>
        <w:lastRenderedPageBreak/>
        <w:drawing>
          <wp:inline distT="0" distB="0" distL="0" distR="0" wp14:anchorId="5F872531" wp14:editId="2B0A4763">
            <wp:extent cx="4349750" cy="4144070"/>
            <wp:effectExtent l="0" t="0" r="0" b="8890"/>
            <wp:docPr id="81944" name="Image 81944" descr="Une image contenant plante, fl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4" name="Image 81944" descr="Une image contenant plante, fleur&#10;&#10;Description générée automatiquement"/>
                    <pic:cNvPicPr>
                      <a:picLocks noChangeAspect="1" noChangeArrowheads="1"/>
                    </pic:cNvPicPr>
                  </pic:nvPicPr>
                  <pic:blipFill>
                    <a:blip r:embed="rId2523" cstate="print">
                      <a:extLst>
                        <a:ext uri="{28A0092B-C50C-407E-A947-70E740481C1C}">
                          <a14:useLocalDpi xmlns:a14="http://schemas.microsoft.com/office/drawing/2010/main" val="0"/>
                        </a:ext>
                      </a:extLst>
                    </a:blip>
                    <a:srcRect/>
                    <a:stretch>
                      <a:fillRect/>
                    </a:stretch>
                  </pic:blipFill>
                  <pic:spPr bwMode="auto">
                    <a:xfrm>
                      <a:off x="0" y="0"/>
                      <a:ext cx="4351507" cy="4145744"/>
                    </a:xfrm>
                    <a:prstGeom prst="rect">
                      <a:avLst/>
                    </a:prstGeom>
                    <a:noFill/>
                    <a:ln>
                      <a:noFill/>
                    </a:ln>
                  </pic:spPr>
                </pic:pic>
              </a:graphicData>
            </a:graphic>
          </wp:inline>
        </w:drawing>
      </w:r>
    </w:p>
    <w:p w14:paraId="181B7A67" w14:textId="4648C141" w:rsidR="006822B4" w:rsidRPr="006822B4" w:rsidRDefault="006822B4" w:rsidP="00134CDE">
      <w:pPr>
        <w:spacing w:after="0" w:line="240" w:lineRule="auto"/>
        <w:jc w:val="center"/>
      </w:pPr>
      <w:r w:rsidRPr="006822B4">
        <w:t xml:space="preserve">Figure 1. </w:t>
      </w:r>
      <w:r w:rsidRPr="002B7DCD">
        <w:t>"Bec-de-</w:t>
      </w:r>
      <w:r w:rsidR="005173EC" w:rsidRPr="002B7DCD">
        <w:t>héron</w:t>
      </w:r>
      <w:r w:rsidRPr="002B7DCD">
        <w:t xml:space="preserve"> velu" [Hairy stork’s-bill] (</w:t>
      </w:r>
      <w:r w:rsidRPr="002B7DCD">
        <w:rPr>
          <w:i/>
          <w:iCs/>
        </w:rPr>
        <w:t>E. crassifolium</w:t>
      </w:r>
      <w:r w:rsidRPr="002B7DCD">
        <w:t xml:space="preserve">). </w:t>
      </w:r>
      <w:r w:rsidRPr="006822B4">
        <w:t>(A) Buisson à fleurs et gousses; (B) fleur; (C) graines avec des arêtes velues ressemblant à des plumes; (D) tubercules racinaires, reliés à la région de transition racine-pousse (RSTR), l'organe de la plante vivace.</w:t>
      </w:r>
    </w:p>
    <w:p w14:paraId="733CD6A5" w14:textId="00037E24" w:rsidR="006822B4" w:rsidRDefault="006822B4" w:rsidP="006822B4">
      <w:pPr>
        <w:spacing w:after="0" w:line="240" w:lineRule="auto"/>
      </w:pPr>
    </w:p>
    <w:p w14:paraId="210AEAD8" w14:textId="48DCA261" w:rsidR="006822B4" w:rsidRDefault="00AF3DEE" w:rsidP="002E3E92">
      <w:pPr>
        <w:pStyle w:val="Titre2"/>
      </w:pPr>
      <w:bookmarkStart w:id="205" w:name="_Toc139181496"/>
      <w:r w:rsidRPr="00AF3DEE">
        <w:t>Nara</w:t>
      </w:r>
      <w:r w:rsidR="00173230">
        <w:t>, !nara</w:t>
      </w:r>
      <w:r w:rsidRPr="00AF3DEE">
        <w:t xml:space="preserve"> ou melon du désert (</w:t>
      </w:r>
      <w:r w:rsidRPr="00AF3DEE">
        <w:rPr>
          <w:i/>
          <w:iCs/>
        </w:rPr>
        <w:t>Acanthosicyos horridus</w:t>
      </w:r>
      <w:r w:rsidRPr="00AF3DEE">
        <w:t>)</w:t>
      </w:r>
      <w:bookmarkEnd w:id="205"/>
    </w:p>
    <w:p w14:paraId="3D14B144" w14:textId="2F4A7C35" w:rsidR="00AF3DEE" w:rsidRDefault="00BB757B" w:rsidP="00BB757B">
      <w:pPr>
        <w:spacing w:after="0" w:line="240" w:lineRule="auto"/>
        <w:jc w:val="center"/>
      </w:pPr>
      <w:r w:rsidRPr="00853ED0">
        <w:rPr>
          <w:noProof/>
        </w:rPr>
        <w:drawing>
          <wp:inline distT="0" distB="0" distL="0" distR="0" wp14:anchorId="578BC94E" wp14:editId="28B69D30">
            <wp:extent cx="400050" cy="352425"/>
            <wp:effectExtent l="0" t="0" r="0" b="9525"/>
            <wp:docPr id="104478" name="Image 21">
              <a:extLst xmlns:a="http://schemas.openxmlformats.org/drawingml/2006/main">
                <a:ext uri="{FF2B5EF4-FFF2-40B4-BE49-F238E27FC236}">
                  <a16:creationId xmlns:a16="http://schemas.microsoft.com/office/drawing/2014/main" id="{F52353B3-AA67-41AB-ACE3-C9465695F4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3" name="Image 21">
                      <a:extLst>
                        <a:ext uri="{FF2B5EF4-FFF2-40B4-BE49-F238E27FC236}">
                          <a16:creationId xmlns:a16="http://schemas.microsoft.com/office/drawing/2014/main" id="{F52353B3-AA67-41AB-ACE3-C9465695F4BE}"/>
                        </a:ext>
                      </a:extLst>
                    </pic:cNvPr>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E5D7B62" w14:textId="534E3D73" w:rsidR="003432E1" w:rsidRPr="004276CB" w:rsidRDefault="003432E1" w:rsidP="003432E1">
      <w:pPr>
        <w:spacing w:after="0" w:line="240" w:lineRule="auto"/>
        <w:jc w:val="both"/>
        <w:rPr>
          <w:rFonts w:ascii="Calibri" w:hAnsi="Calibri" w:cs="Calibri"/>
          <w:shd w:val="clear" w:color="auto" w:fill="FFFFFF"/>
        </w:rPr>
      </w:pPr>
      <w:r w:rsidRPr="003432E1">
        <w:rPr>
          <w:rFonts w:ascii="Calibri" w:hAnsi="Calibri" w:cs="Calibri"/>
        </w:rPr>
        <w:t xml:space="preserve">Le </w:t>
      </w:r>
      <w:r w:rsidRPr="003432E1">
        <w:rPr>
          <w:rFonts w:ascii="Calibri" w:hAnsi="Calibri" w:cs="Calibri"/>
          <w:i/>
          <w:iCs/>
        </w:rPr>
        <w:t>nara</w:t>
      </w:r>
      <w:r w:rsidRPr="003432E1">
        <w:rPr>
          <w:rFonts w:ascii="Calibri" w:hAnsi="Calibri" w:cs="Calibri"/>
        </w:rPr>
        <w:t xml:space="preserve"> est </w:t>
      </w:r>
      <w:r w:rsidRPr="003432E1">
        <w:rPr>
          <w:rFonts w:ascii="Calibri" w:hAnsi="Calibri" w:cs="Calibri"/>
          <w:shd w:val="clear" w:color="auto" w:fill="FFFFFF"/>
        </w:rPr>
        <w:t>une espèce de </w:t>
      </w:r>
      <w:hyperlink r:id="rId2524" w:tooltip="Melon (plante)" w:history="1">
        <w:r w:rsidRPr="003432E1">
          <w:rPr>
            <w:rStyle w:val="Lienhypertexte"/>
            <w:rFonts w:ascii="Calibri" w:hAnsi="Calibri" w:cs="Calibri"/>
            <w:color w:val="0645AD"/>
            <w:shd w:val="clear" w:color="auto" w:fill="FFFFFF"/>
          </w:rPr>
          <w:t>melon</w:t>
        </w:r>
      </w:hyperlink>
      <w:r w:rsidRPr="003432E1">
        <w:rPr>
          <w:rFonts w:ascii="Calibri" w:hAnsi="Calibri" w:cs="Calibri"/>
          <w:color w:val="202122"/>
          <w:shd w:val="clear" w:color="auto" w:fill="FFFFFF"/>
        </w:rPr>
        <w:t> </w:t>
      </w:r>
      <w:r w:rsidRPr="003432E1">
        <w:rPr>
          <w:rFonts w:ascii="Calibri" w:hAnsi="Calibri" w:cs="Calibri"/>
          <w:shd w:val="clear" w:color="auto" w:fill="FFFFFF"/>
        </w:rPr>
        <w:t>sauvage</w:t>
      </w:r>
      <w:r w:rsidR="004276CB">
        <w:rPr>
          <w:rFonts w:ascii="Calibri" w:hAnsi="Calibri" w:cs="Calibri"/>
          <w:shd w:val="clear" w:color="auto" w:fill="FFFFFF"/>
        </w:rPr>
        <w:t xml:space="preserve"> (famille des </w:t>
      </w:r>
      <w:r w:rsidR="004276CB" w:rsidRPr="004276CB">
        <w:rPr>
          <w:rFonts w:ascii="Calibri" w:hAnsi="Calibri" w:cs="Calibri"/>
          <w:u w:val="single"/>
          <w:shd w:val="clear" w:color="auto" w:fill="FFFFFF"/>
        </w:rPr>
        <w:t>Cucurbitacées</w:t>
      </w:r>
      <w:r w:rsidR="004276CB">
        <w:rPr>
          <w:rFonts w:ascii="Calibri" w:hAnsi="Calibri" w:cs="Calibri"/>
          <w:shd w:val="clear" w:color="auto" w:fill="FFFFFF"/>
        </w:rPr>
        <w:t>)</w:t>
      </w:r>
      <w:r w:rsidRPr="003432E1">
        <w:rPr>
          <w:rFonts w:ascii="Calibri" w:hAnsi="Calibri" w:cs="Calibri"/>
          <w:shd w:val="clear" w:color="auto" w:fill="FFFFFF"/>
        </w:rPr>
        <w:t xml:space="preserve"> qui pousse dans des régions désertiques de </w:t>
      </w:r>
      <w:hyperlink r:id="rId2525" w:tooltip="Namibie" w:history="1">
        <w:r w:rsidRPr="003432E1">
          <w:rPr>
            <w:rStyle w:val="Lienhypertexte"/>
            <w:rFonts w:ascii="Calibri" w:hAnsi="Calibri" w:cs="Calibri"/>
            <w:color w:val="0645AD"/>
            <w:shd w:val="clear" w:color="auto" w:fill="FFFFFF"/>
          </w:rPr>
          <w:t>Namibie</w:t>
        </w:r>
      </w:hyperlink>
      <w:r w:rsidR="00EC404D">
        <w:rPr>
          <w:rFonts w:ascii="Calibri" w:hAnsi="Calibri" w:cs="Calibri"/>
          <w:color w:val="202122"/>
          <w:shd w:val="clear" w:color="auto" w:fill="FFFFFF"/>
        </w:rPr>
        <w:t xml:space="preserve">. </w:t>
      </w:r>
      <w:r w:rsidR="00EC404D" w:rsidRPr="00EC404D">
        <w:rPr>
          <w:rFonts w:ascii="Calibri" w:hAnsi="Calibri" w:cs="Calibri"/>
          <w:shd w:val="clear" w:color="auto" w:fill="FFFFFF"/>
        </w:rPr>
        <w:t>L’aire de répartition du nara est limitée à la partie côtière du désert du Namib où il pousse exclusivement dans les dunes de sable</w:t>
      </w:r>
      <w:r w:rsidR="00173230">
        <w:rPr>
          <w:rFonts w:ascii="Calibri" w:hAnsi="Calibri" w:cs="Calibri"/>
          <w:shd w:val="clear" w:color="auto" w:fill="FFFFFF"/>
        </w:rPr>
        <w:t>,</w:t>
      </w:r>
      <w:r w:rsidR="00EC404D" w:rsidRPr="00EC404D">
        <w:rPr>
          <w:rFonts w:ascii="Calibri" w:hAnsi="Calibri" w:cs="Calibri"/>
          <w:shd w:val="clear" w:color="auto" w:fill="FFFFFF"/>
        </w:rPr>
        <w:t xml:space="preserve"> des lits de rivières asséchés la plupart du temps, où de l’eau est disponible sous la surface</w:t>
      </w:r>
      <w:r w:rsidRPr="003432E1">
        <w:rPr>
          <w:rFonts w:ascii="Calibri" w:hAnsi="Calibri" w:cs="Calibri"/>
          <w:shd w:val="clear" w:color="auto" w:fill="FFFFFF"/>
        </w:rPr>
        <w:t>.</w:t>
      </w:r>
      <w:r w:rsidR="004276CB">
        <w:rPr>
          <w:rFonts w:ascii="Calibri" w:hAnsi="Calibri" w:cs="Calibri"/>
          <w:shd w:val="clear" w:color="auto" w:fill="FFFFFF"/>
        </w:rPr>
        <w:t xml:space="preserve"> </w:t>
      </w:r>
      <w:r w:rsidRPr="004276CB">
        <w:rPr>
          <w:rFonts w:ascii="Calibri" w:hAnsi="Calibri" w:cs="Calibri"/>
          <w:shd w:val="clear" w:color="auto" w:fill="FFFFFF"/>
        </w:rPr>
        <w:t>La plante se présente sous forme de buisson</w:t>
      </w:r>
      <w:r w:rsidR="004276CB" w:rsidRPr="004276CB">
        <w:rPr>
          <w:rFonts w:ascii="Calibri" w:hAnsi="Calibri" w:cs="Calibri"/>
          <w:shd w:val="clear" w:color="auto" w:fill="FFFFFF"/>
        </w:rPr>
        <w:t xml:space="preserve"> </w:t>
      </w:r>
      <w:r w:rsidR="004276CB" w:rsidRPr="00BB757B">
        <w:rPr>
          <w:rFonts w:ascii="Calibri" w:hAnsi="Calibri" w:cs="Calibri"/>
          <w:i/>
          <w:iCs/>
          <w:shd w:val="clear" w:color="auto" w:fill="FFFFFF"/>
        </w:rPr>
        <w:t>épine</w:t>
      </w:r>
      <w:r w:rsidR="004276CB" w:rsidRPr="004276CB">
        <w:rPr>
          <w:rFonts w:ascii="Calibri" w:hAnsi="Calibri" w:cs="Calibri"/>
          <w:shd w:val="clear" w:color="auto" w:fill="FFFFFF"/>
        </w:rPr>
        <w:t>ux</w:t>
      </w:r>
      <w:r w:rsidRPr="004276CB">
        <w:rPr>
          <w:rFonts w:ascii="Calibri" w:hAnsi="Calibri" w:cs="Calibri"/>
          <w:shd w:val="clear" w:color="auto" w:fill="FFFFFF"/>
        </w:rPr>
        <w:t xml:space="preserve"> plus ou moins dense. Seules les jeunes tiges présentent des feuilles, les plus âgées en sont dépourvues. Un pied de nara peut vivre 100 ans et couvrir jusqu'à 1 500 </w:t>
      </w:r>
      <w:r w:rsidRPr="004276CB">
        <w:rPr>
          <w:rFonts w:ascii="Calibri" w:hAnsi="Calibri" w:cs="Calibri"/>
        </w:rPr>
        <w:t>m</w:t>
      </w:r>
      <w:r w:rsidRPr="004276CB">
        <w:rPr>
          <w:rFonts w:ascii="Calibri" w:hAnsi="Calibri" w:cs="Calibri"/>
          <w:vertAlign w:val="superscript"/>
        </w:rPr>
        <w:t>2</w:t>
      </w:r>
      <w:r w:rsidRPr="004276CB">
        <w:rPr>
          <w:rFonts w:ascii="Calibri" w:hAnsi="Calibri" w:cs="Calibri"/>
          <w:shd w:val="clear" w:color="auto" w:fill="FFFFFF"/>
        </w:rPr>
        <w:t>. Sa</w:t>
      </w:r>
      <w:r w:rsidR="00EC404D">
        <w:rPr>
          <w:rFonts w:ascii="Calibri" w:hAnsi="Calibri" w:cs="Calibri"/>
          <w:shd w:val="clear" w:color="auto" w:fill="FFFFFF"/>
        </w:rPr>
        <w:t xml:space="preserve"> longue</w:t>
      </w:r>
      <w:r w:rsidRPr="004276CB">
        <w:rPr>
          <w:rFonts w:ascii="Calibri" w:hAnsi="Calibri" w:cs="Calibri"/>
          <w:shd w:val="clear" w:color="auto" w:fill="FFFFFF"/>
        </w:rPr>
        <w:t xml:space="preserve"> racine pivotante va chercher l'eau dans la </w:t>
      </w:r>
      <w:hyperlink r:id="rId2526" w:tooltip="Nappe phréatique" w:history="1">
        <w:r w:rsidRPr="003432E1">
          <w:rPr>
            <w:rStyle w:val="Lienhypertexte"/>
            <w:rFonts w:ascii="Calibri" w:hAnsi="Calibri" w:cs="Calibri"/>
            <w:color w:val="0645AD"/>
            <w:shd w:val="clear" w:color="auto" w:fill="FFFFFF"/>
          </w:rPr>
          <w:t>nappe phréatique</w:t>
        </w:r>
      </w:hyperlink>
      <w:r w:rsidRPr="003432E1">
        <w:rPr>
          <w:rFonts w:ascii="Calibri" w:hAnsi="Calibri" w:cs="Calibri"/>
          <w:color w:val="202122"/>
          <w:shd w:val="clear" w:color="auto" w:fill="FFFFFF"/>
        </w:rPr>
        <w:t xml:space="preserve">. </w:t>
      </w:r>
      <w:r w:rsidRPr="004276CB">
        <w:rPr>
          <w:rFonts w:ascii="Calibri" w:hAnsi="Calibri" w:cs="Calibri"/>
          <w:shd w:val="clear" w:color="auto" w:fill="FFFFFF"/>
        </w:rPr>
        <w:t xml:space="preserve">Si le nara est recouvert par du sable apporté par les vents, il est capable de se dégager et de poursuivre sa croissance. </w:t>
      </w:r>
      <w:r w:rsidR="004276CB">
        <w:rPr>
          <w:rFonts w:ascii="Calibri" w:hAnsi="Calibri" w:cs="Calibri"/>
          <w:i/>
          <w:iCs/>
          <w:shd w:val="clear" w:color="auto" w:fill="FFFFFF"/>
        </w:rPr>
        <w:t>Ce melon</w:t>
      </w:r>
      <w:r w:rsidRPr="004276CB">
        <w:rPr>
          <w:rFonts w:ascii="Calibri" w:hAnsi="Calibri" w:cs="Calibri"/>
          <w:i/>
          <w:iCs/>
          <w:shd w:val="clear" w:color="auto" w:fill="FFFFFF"/>
        </w:rPr>
        <w:t xml:space="preserve"> comestible</w:t>
      </w:r>
      <w:r w:rsidR="004276CB">
        <w:rPr>
          <w:rFonts w:ascii="Calibri" w:hAnsi="Calibri" w:cs="Calibri"/>
          <w:i/>
          <w:iCs/>
          <w:shd w:val="clear" w:color="auto" w:fill="FFFFFF"/>
        </w:rPr>
        <w:t>, à l’écorce coriace et épineuse,</w:t>
      </w:r>
      <w:r w:rsidRPr="004276CB">
        <w:rPr>
          <w:rFonts w:ascii="Calibri" w:hAnsi="Calibri" w:cs="Calibri"/>
          <w:i/>
          <w:iCs/>
          <w:shd w:val="clear" w:color="auto" w:fill="FFFFFF"/>
        </w:rPr>
        <w:t xml:space="preserve"> pèse environ 900 </w:t>
      </w:r>
      <w:r w:rsidRPr="004276CB">
        <w:rPr>
          <w:rFonts w:ascii="Calibri" w:hAnsi="Calibri" w:cs="Calibri"/>
          <w:i/>
          <w:iCs/>
        </w:rPr>
        <w:t>g</w:t>
      </w:r>
      <w:r w:rsidRPr="004276CB">
        <w:rPr>
          <w:rFonts w:ascii="Calibri" w:hAnsi="Calibri" w:cs="Calibri"/>
        </w:rPr>
        <w:t xml:space="preserve">. </w:t>
      </w:r>
      <w:r w:rsidR="004276CB">
        <w:rPr>
          <w:rFonts w:ascii="Calibri" w:hAnsi="Calibri" w:cs="Calibri"/>
        </w:rPr>
        <w:t xml:space="preserve">A maturité, il a un goût acidulé délicieux. </w:t>
      </w:r>
    </w:p>
    <w:p w14:paraId="41819C1E" w14:textId="7DE0459F" w:rsidR="003432E1" w:rsidRDefault="003432E1" w:rsidP="003432E1">
      <w:pPr>
        <w:spacing w:after="0" w:line="240" w:lineRule="auto"/>
        <w:jc w:val="both"/>
        <w:rPr>
          <w:rFonts w:ascii="Calibri" w:hAnsi="Calibri" w:cs="Calibri"/>
          <w:shd w:val="clear" w:color="auto" w:fill="FFFFFF"/>
        </w:rPr>
      </w:pPr>
      <w:r w:rsidRPr="004276CB">
        <w:rPr>
          <w:rFonts w:ascii="Calibri" w:hAnsi="Calibri" w:cs="Calibri"/>
          <w:shd w:val="clear" w:color="auto" w:fill="FFFFFF"/>
        </w:rPr>
        <w:t>Les fruits du nara sont récoltés par les populations locales et notamment les Topnaar, de février à avril et août à septembre. Chez les Topnaars, chaque famille de la basse vallée du Kuiseb à proximité de </w:t>
      </w:r>
      <w:hyperlink r:id="rId2527" w:tooltip="Walvis Bay" w:history="1">
        <w:r w:rsidRPr="003432E1">
          <w:rPr>
            <w:rStyle w:val="Lienhypertexte"/>
            <w:rFonts w:ascii="Calibri" w:hAnsi="Calibri" w:cs="Calibri"/>
            <w:color w:val="0645AD"/>
            <w:shd w:val="clear" w:color="auto" w:fill="FFFFFF"/>
          </w:rPr>
          <w:t>Walvis Bay</w:t>
        </w:r>
      </w:hyperlink>
      <w:r w:rsidRPr="003432E1">
        <w:rPr>
          <w:rFonts w:ascii="Calibri" w:hAnsi="Calibri" w:cs="Calibri"/>
          <w:color w:val="202122"/>
          <w:shd w:val="clear" w:color="auto" w:fill="FFFFFF"/>
        </w:rPr>
        <w:t> </w:t>
      </w:r>
      <w:r w:rsidRPr="004276CB">
        <w:rPr>
          <w:rFonts w:ascii="Calibri" w:hAnsi="Calibri" w:cs="Calibri"/>
          <w:shd w:val="clear" w:color="auto" w:fill="FFFFFF"/>
        </w:rPr>
        <w:t>possède un certain nombre de sujets qui sont considérés comme propriété privée, ce qui n'est pas le cas de la terre où ils poussent. Une famille n'a le droit de récolter que les plantes qui lui appartiennent. Les besoins écologiques très particuliers de la plante ne permettent pas de la cultiver, mais des recherches en ce sens sont en cours en </w:t>
      </w:r>
      <w:hyperlink r:id="rId2528" w:tooltip="Namibie" w:history="1">
        <w:r w:rsidRPr="003432E1">
          <w:rPr>
            <w:rStyle w:val="Lienhypertexte"/>
            <w:rFonts w:ascii="Calibri" w:hAnsi="Calibri" w:cs="Calibri"/>
            <w:color w:val="0645AD"/>
            <w:shd w:val="clear" w:color="auto" w:fill="FFFFFF"/>
          </w:rPr>
          <w:t>Namibie</w:t>
        </w:r>
      </w:hyperlink>
      <w:r w:rsidRPr="003432E1">
        <w:rPr>
          <w:rFonts w:ascii="Calibri" w:hAnsi="Calibri" w:cs="Calibri"/>
          <w:color w:val="202122"/>
          <w:shd w:val="clear" w:color="auto" w:fill="FFFFFF"/>
        </w:rPr>
        <w:t xml:space="preserve">. </w:t>
      </w:r>
      <w:r w:rsidRPr="004276CB">
        <w:rPr>
          <w:rFonts w:ascii="Calibri" w:hAnsi="Calibri" w:cs="Calibri"/>
          <w:shd w:val="clear" w:color="auto" w:fill="FFFFFF"/>
        </w:rPr>
        <w:t>Des scientifiques collaborent avec les Topnaars pour développer de façon durable les populations existantes de nara. Certaines populations tirent une sorte de </w:t>
      </w:r>
      <w:hyperlink r:id="rId2529" w:tooltip="Bière" w:history="1">
        <w:r w:rsidRPr="003432E1">
          <w:rPr>
            <w:rStyle w:val="Lienhypertexte"/>
            <w:rFonts w:ascii="Calibri" w:hAnsi="Calibri" w:cs="Calibri"/>
            <w:color w:val="0645AD"/>
            <w:shd w:val="clear" w:color="auto" w:fill="FFFFFF"/>
          </w:rPr>
          <w:t>bière</w:t>
        </w:r>
      </w:hyperlink>
      <w:r w:rsidRPr="003432E1">
        <w:rPr>
          <w:rFonts w:ascii="Calibri" w:hAnsi="Calibri" w:cs="Calibri"/>
          <w:color w:val="202122"/>
          <w:shd w:val="clear" w:color="auto" w:fill="FFFFFF"/>
        </w:rPr>
        <w:t> </w:t>
      </w:r>
      <w:r w:rsidRPr="004276CB">
        <w:rPr>
          <w:rFonts w:ascii="Calibri" w:hAnsi="Calibri" w:cs="Calibri"/>
          <w:shd w:val="clear" w:color="auto" w:fill="FFFFFF"/>
        </w:rPr>
        <w:t>à partir du fruit. D'autres utilisent les racines pour élaborer des médicaments. Les nombreuses graines du fruit peuvent être consommées sèches (un peu comme des noix). On peut aussi en tirer de l'huile. Les fruits du nara sont récoltés par les populations locales et notamment les Topnaar, de février à avril et août à septembre. Les fruits sont également consommés par les </w:t>
      </w:r>
      <w:hyperlink r:id="rId2530" w:tooltip="Hyène" w:history="1">
        <w:r w:rsidRPr="003432E1">
          <w:rPr>
            <w:rStyle w:val="Lienhypertexte"/>
            <w:rFonts w:ascii="Calibri" w:hAnsi="Calibri" w:cs="Calibri"/>
            <w:color w:val="0645AD"/>
            <w:shd w:val="clear" w:color="auto" w:fill="FFFFFF"/>
          </w:rPr>
          <w:t>hyènes</w:t>
        </w:r>
      </w:hyperlink>
      <w:r w:rsidRPr="003432E1">
        <w:rPr>
          <w:rFonts w:ascii="Calibri" w:hAnsi="Calibri" w:cs="Calibri"/>
          <w:color w:val="202122"/>
          <w:shd w:val="clear" w:color="auto" w:fill="FFFFFF"/>
        </w:rPr>
        <w:t> </w:t>
      </w:r>
      <w:r w:rsidRPr="004276CB">
        <w:rPr>
          <w:rFonts w:ascii="Calibri" w:hAnsi="Calibri" w:cs="Calibri"/>
          <w:shd w:val="clear" w:color="auto" w:fill="FFFFFF"/>
        </w:rPr>
        <w:t>et les </w:t>
      </w:r>
      <w:hyperlink r:id="rId2531" w:tooltip="Chacal" w:history="1">
        <w:r w:rsidRPr="003432E1">
          <w:rPr>
            <w:rStyle w:val="Lienhypertexte"/>
            <w:rFonts w:ascii="Calibri" w:hAnsi="Calibri" w:cs="Calibri"/>
            <w:color w:val="0645AD"/>
            <w:shd w:val="clear" w:color="auto" w:fill="FFFFFF"/>
          </w:rPr>
          <w:t>chacals</w:t>
        </w:r>
      </w:hyperlink>
      <w:r w:rsidRPr="003432E1">
        <w:rPr>
          <w:rFonts w:ascii="Calibri" w:hAnsi="Calibri" w:cs="Calibri"/>
        </w:rPr>
        <w:t>.</w:t>
      </w:r>
      <w:r w:rsidRPr="003432E1">
        <w:rPr>
          <w:rFonts w:ascii="Calibri" w:hAnsi="Calibri" w:cs="Calibri"/>
          <w:color w:val="202122"/>
          <w:shd w:val="clear" w:color="auto" w:fill="FFFFFF"/>
        </w:rPr>
        <w:t xml:space="preserve"> </w:t>
      </w:r>
      <w:r w:rsidRPr="004276CB">
        <w:rPr>
          <w:rFonts w:ascii="Calibri" w:hAnsi="Calibri" w:cs="Calibri"/>
          <w:shd w:val="clear" w:color="auto" w:fill="FFFFFF"/>
        </w:rPr>
        <w:t>Un insecte de genre </w:t>
      </w:r>
      <w:hyperlink r:id="rId2532" w:tooltip="Cicadidae" w:history="1">
        <w:r w:rsidRPr="003432E1">
          <w:rPr>
            <w:rStyle w:val="Lienhypertexte"/>
            <w:rFonts w:ascii="Calibri" w:hAnsi="Calibri" w:cs="Calibri"/>
            <w:color w:val="0645AD"/>
            <w:shd w:val="clear" w:color="auto" w:fill="FFFFFF"/>
          </w:rPr>
          <w:t>cigale</w:t>
        </w:r>
      </w:hyperlink>
      <w:r w:rsidRPr="003432E1">
        <w:rPr>
          <w:rFonts w:ascii="Calibri" w:hAnsi="Calibri" w:cs="Calibri"/>
          <w:color w:val="202122"/>
          <w:shd w:val="clear" w:color="auto" w:fill="FFFFFF"/>
        </w:rPr>
        <w:t>, </w:t>
      </w:r>
      <w:hyperlink r:id="rId2533" w:tooltip="Diadematus acanthoproctus (page inexistante)" w:history="1">
        <w:r w:rsidRPr="003432E1">
          <w:rPr>
            <w:rStyle w:val="Lienhypertexte"/>
            <w:rFonts w:ascii="Calibri" w:hAnsi="Calibri" w:cs="Calibri"/>
            <w:i/>
            <w:iCs/>
            <w:color w:val="DD3333"/>
            <w:shd w:val="clear" w:color="auto" w:fill="FFFFFF"/>
          </w:rPr>
          <w:t>Diadematus acanthoproctus</w:t>
        </w:r>
      </w:hyperlink>
      <w:r w:rsidRPr="003432E1">
        <w:rPr>
          <w:rFonts w:ascii="Calibri" w:hAnsi="Calibri" w:cs="Calibri"/>
          <w:color w:val="202122"/>
          <w:shd w:val="clear" w:color="auto" w:fill="FFFFFF"/>
        </w:rPr>
        <w:t> </w:t>
      </w:r>
      <w:r w:rsidRPr="004276CB">
        <w:rPr>
          <w:rFonts w:ascii="Calibri" w:hAnsi="Calibri" w:cs="Calibri"/>
          <w:shd w:val="clear" w:color="auto" w:fill="FFFFFF"/>
        </w:rPr>
        <w:t>se nourrit de la plante, en se déplaçant la nuit entre les différents buissons.</w:t>
      </w:r>
    </w:p>
    <w:p w14:paraId="1FDBEF62" w14:textId="778BD89D" w:rsidR="004276CB" w:rsidRPr="003432E1" w:rsidRDefault="004276CB" w:rsidP="003432E1">
      <w:pPr>
        <w:spacing w:after="0" w:line="240" w:lineRule="auto"/>
        <w:jc w:val="both"/>
        <w:rPr>
          <w:rFonts w:ascii="Calibri" w:hAnsi="Calibri" w:cs="Calibri"/>
        </w:rPr>
      </w:pPr>
      <w:r>
        <w:rPr>
          <w:rFonts w:ascii="Calibri" w:hAnsi="Calibri" w:cs="Calibri"/>
          <w:shd w:val="clear" w:color="auto" w:fill="FFFFFF"/>
        </w:rPr>
        <w:lastRenderedPageBreak/>
        <w:t xml:space="preserve">Le melon </w:t>
      </w:r>
      <w:r w:rsidRPr="004276CB">
        <w:rPr>
          <w:rFonts w:ascii="Calibri" w:hAnsi="Calibri" w:cs="Calibri"/>
          <w:i/>
          <w:iCs/>
          <w:shd w:val="clear" w:color="auto" w:fill="FFFFFF"/>
        </w:rPr>
        <w:t>nara</w:t>
      </w:r>
      <w:r>
        <w:rPr>
          <w:rFonts w:ascii="Calibri" w:hAnsi="Calibri" w:cs="Calibri"/>
          <w:shd w:val="clear" w:color="auto" w:fill="FFFFFF"/>
        </w:rPr>
        <w:t xml:space="preserve"> peut aider à fixer les dunes.</w:t>
      </w:r>
      <w:r w:rsidR="00EC404D">
        <w:rPr>
          <w:rFonts w:ascii="Calibri" w:hAnsi="Calibri" w:cs="Calibri"/>
          <w:shd w:val="clear" w:color="auto" w:fill="FFFFFF"/>
        </w:rPr>
        <w:t xml:space="preserve"> </w:t>
      </w:r>
      <w:r w:rsidR="005E5D28">
        <w:rPr>
          <w:rFonts w:ascii="Calibri" w:hAnsi="Calibri" w:cs="Calibri"/>
          <w:shd w:val="clear" w:color="auto" w:fill="FFFFFF"/>
        </w:rPr>
        <w:t>Il</w:t>
      </w:r>
      <w:r w:rsidR="00EC404D">
        <w:rPr>
          <w:rFonts w:ascii="Calibri" w:hAnsi="Calibri" w:cs="Calibri"/>
          <w:shd w:val="clear" w:color="auto" w:fill="FFFFFF"/>
        </w:rPr>
        <w:t xml:space="preserve"> est souvent orthographié </w:t>
      </w:r>
      <w:r w:rsidR="00EC404D" w:rsidRPr="00EC404D">
        <w:rPr>
          <w:rFonts w:ascii="Calibri" w:hAnsi="Calibri" w:cs="Calibri"/>
          <w:i/>
          <w:iCs/>
          <w:shd w:val="clear" w:color="auto" w:fill="FFFFFF"/>
        </w:rPr>
        <w:t>!nara</w:t>
      </w:r>
      <w:r w:rsidR="00EC404D">
        <w:rPr>
          <w:rFonts w:ascii="Calibri" w:hAnsi="Calibri" w:cs="Calibri"/>
          <w:shd w:val="clear" w:color="auto" w:fill="FFFFFF"/>
        </w:rPr>
        <w:t>, à cause de la langue à clic locale</w:t>
      </w:r>
      <w:r w:rsidR="00EC404D">
        <w:rPr>
          <w:rStyle w:val="Appelnotedebasdep"/>
          <w:rFonts w:ascii="Calibri" w:hAnsi="Calibri" w:cs="Calibri"/>
          <w:shd w:val="clear" w:color="auto" w:fill="FFFFFF"/>
        </w:rPr>
        <w:footnoteReference w:id="135"/>
      </w:r>
      <w:r w:rsidR="00EC404D">
        <w:rPr>
          <w:rFonts w:ascii="Calibri" w:hAnsi="Calibri" w:cs="Calibri"/>
          <w:shd w:val="clear" w:color="auto" w:fill="FFFFFF"/>
        </w:rPr>
        <w:t>.</w:t>
      </w:r>
    </w:p>
    <w:p w14:paraId="458DBC04" w14:textId="76C85324" w:rsidR="00AF3DEE" w:rsidRDefault="003432E1" w:rsidP="006822B4">
      <w:pPr>
        <w:spacing w:after="0" w:line="240" w:lineRule="auto"/>
      </w:pPr>
      <w:r>
        <w:t xml:space="preserve">Sources : a) </w:t>
      </w:r>
      <w:hyperlink r:id="rId2534" w:history="1">
        <w:r w:rsidRPr="006437AE">
          <w:rPr>
            <w:rStyle w:val="Lienhypertexte"/>
          </w:rPr>
          <w:t>https://fr.wikipedia.org/wiki/Acanthosicyos_horridus</w:t>
        </w:r>
      </w:hyperlink>
      <w:r>
        <w:t xml:space="preserve">, </w:t>
      </w:r>
    </w:p>
    <w:p w14:paraId="7E2A95B8" w14:textId="7E659190" w:rsidR="00475130" w:rsidRPr="002B7DCD" w:rsidRDefault="00475130" w:rsidP="006822B4">
      <w:pPr>
        <w:spacing w:after="0" w:line="240" w:lineRule="auto"/>
      </w:pPr>
      <w:r w:rsidRPr="002B7DCD">
        <w:t xml:space="preserve">b) </w:t>
      </w:r>
      <w:hyperlink r:id="rId2535" w:history="1">
        <w:r w:rsidRPr="002B7DCD">
          <w:rPr>
            <w:rStyle w:val="Lienhypertexte"/>
          </w:rPr>
          <w:t>https://uses.plantnet-project.org/fr/Acanthosicyos_horridus</w:t>
        </w:r>
      </w:hyperlink>
      <w:r w:rsidRPr="002B7DCD">
        <w:t>,</w:t>
      </w:r>
    </w:p>
    <w:p w14:paraId="5AE2CA74" w14:textId="267BC98E" w:rsidR="00475130" w:rsidRPr="002B7DCD" w:rsidRDefault="00475130" w:rsidP="006822B4">
      <w:pPr>
        <w:spacing w:after="0" w:line="240" w:lineRule="auto"/>
      </w:pPr>
      <w:r w:rsidRPr="002B7DCD">
        <w:t xml:space="preserve">c) </w:t>
      </w:r>
      <w:hyperlink r:id="rId2536" w:history="1">
        <w:r w:rsidR="00BF3572" w:rsidRPr="002B7DCD">
          <w:rPr>
            <w:rStyle w:val="Lienhypertexte"/>
          </w:rPr>
          <w:t>https://www.prota4u.org/database/protav8.asp?fr=1&amp;g=pe&amp;p=Acanthosicyos+horridus+Welw.+ex+Hook.f</w:t>
        </w:r>
      </w:hyperlink>
      <w:r w:rsidR="00BF3572" w:rsidRPr="002B7DCD">
        <w:t xml:space="preserve">. </w:t>
      </w:r>
    </w:p>
    <w:p w14:paraId="75F000CF" w14:textId="492F05F8" w:rsidR="00CA58BF" w:rsidRPr="002B7DCD" w:rsidRDefault="00CA58BF" w:rsidP="00CA58BF">
      <w:pPr>
        <w:spacing w:after="0" w:line="240" w:lineRule="auto"/>
        <w:jc w:val="both"/>
      </w:pPr>
      <w:r w:rsidRPr="002B7DCD">
        <w:t xml:space="preserve">d) Strategies of </w:t>
      </w:r>
      <w:r w:rsidRPr="002B7DCD">
        <w:rPr>
          <w:i/>
          <w:iCs/>
        </w:rPr>
        <w:t>Acanthosicyos horridus</w:t>
      </w:r>
      <w:r w:rsidRPr="002B7DCD">
        <w:t xml:space="preserve"> (!nara) to exploit alternative atmospheric moisture sources in the hyper-arid Namib Desert [</w:t>
      </w:r>
      <w:r w:rsidRPr="002B7DCD">
        <w:rPr>
          <w:i/>
          <w:iCs/>
        </w:rPr>
        <w:t>Stratégies d'Acanthosicyos horridus</w:t>
      </w:r>
      <w:r w:rsidRPr="002B7DCD">
        <w:t xml:space="preserve"> (!nara) </w:t>
      </w:r>
      <w:r w:rsidRPr="00CA58BF">
        <w:t>pour exploiter d'autres sources d'humidité atmosphérique dans le désert hyper-aride du Namib</w:t>
      </w:r>
      <w:r w:rsidRPr="002B7DCD">
        <w:t xml:space="preserve">], M. Gerber, S. Piketh, E. Marais,  South African Journal of Botany, Volume 109, March 2017, Pages 335-336, </w:t>
      </w:r>
      <w:hyperlink r:id="rId2537" w:history="1">
        <w:r w:rsidRPr="002B7DCD">
          <w:rPr>
            <w:rStyle w:val="Lienhypertexte"/>
          </w:rPr>
          <w:t>https://www.sciencedirect.com/science/article/pii/S0254629917301618?via%3Dihub</w:t>
        </w:r>
      </w:hyperlink>
      <w:r w:rsidRPr="002B7DCD">
        <w:t xml:space="preserve"> </w:t>
      </w:r>
    </w:p>
    <w:p w14:paraId="16FCB423" w14:textId="2F1F0C30" w:rsidR="00475130" w:rsidRPr="002B7DCD" w:rsidRDefault="00475130" w:rsidP="006822B4">
      <w:pPr>
        <w:spacing w:after="0" w:line="240" w:lineRule="auto"/>
      </w:pPr>
    </w:p>
    <w:tbl>
      <w:tblPr>
        <w:tblStyle w:val="Grilledutableau"/>
        <w:tblW w:w="0" w:type="auto"/>
        <w:tblLook w:val="04A0" w:firstRow="1" w:lastRow="0" w:firstColumn="1" w:lastColumn="0" w:noHBand="0" w:noVBand="1"/>
      </w:tblPr>
      <w:tblGrid>
        <w:gridCol w:w="4416"/>
        <w:gridCol w:w="792"/>
        <w:gridCol w:w="2054"/>
        <w:gridCol w:w="3154"/>
        <w:gridCol w:w="10"/>
      </w:tblGrid>
      <w:tr w:rsidR="00EC404D" w14:paraId="773FCAED" w14:textId="77777777" w:rsidTr="009D282F">
        <w:tc>
          <w:tcPr>
            <w:tcW w:w="4416" w:type="dxa"/>
            <w:tcBorders>
              <w:top w:val="nil"/>
              <w:left w:val="nil"/>
              <w:bottom w:val="nil"/>
              <w:right w:val="nil"/>
            </w:tcBorders>
          </w:tcPr>
          <w:p w14:paraId="15A9F845" w14:textId="1C7D41BE" w:rsidR="00EC404D" w:rsidRDefault="00EC404D" w:rsidP="00EC404D">
            <w:pPr>
              <w:jc w:val="center"/>
              <w:rPr>
                <w:lang w:val="en-GB"/>
              </w:rPr>
            </w:pPr>
            <w:r>
              <w:rPr>
                <w:noProof/>
              </w:rPr>
              <w:drawing>
                <wp:inline distT="0" distB="0" distL="0" distR="0" wp14:anchorId="54C516B0" wp14:editId="5164A0E5">
                  <wp:extent cx="2619375" cy="1743075"/>
                  <wp:effectExtent l="0" t="0" r="9525" b="9525"/>
                  <wp:docPr id="81947" name="Image 81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38">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pic:spPr>
                      </pic:pic>
                    </a:graphicData>
                  </a:graphic>
                </wp:inline>
              </w:drawing>
            </w:r>
          </w:p>
        </w:tc>
        <w:tc>
          <w:tcPr>
            <w:tcW w:w="2846" w:type="dxa"/>
            <w:gridSpan w:val="2"/>
            <w:tcBorders>
              <w:top w:val="nil"/>
              <w:left w:val="nil"/>
              <w:bottom w:val="nil"/>
              <w:right w:val="nil"/>
            </w:tcBorders>
          </w:tcPr>
          <w:p w14:paraId="34A63B45" w14:textId="55E6FCF3" w:rsidR="00EC404D" w:rsidRDefault="00EC404D" w:rsidP="00EC404D">
            <w:pPr>
              <w:jc w:val="center"/>
              <w:rPr>
                <w:lang w:val="en-GB"/>
              </w:rPr>
            </w:pPr>
            <w:r>
              <w:rPr>
                <w:noProof/>
              </w:rPr>
              <w:drawing>
                <wp:inline distT="0" distB="0" distL="0" distR="0" wp14:anchorId="266AE02E" wp14:editId="5115B766">
                  <wp:extent cx="1495425" cy="1495425"/>
                  <wp:effectExtent l="0" t="0" r="9525" b="9525"/>
                  <wp:docPr id="81946" name="Image 81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39">
                            <a:extLst>
                              <a:ext uri="{28A0092B-C50C-407E-A947-70E740481C1C}">
                                <a14:useLocalDpi xmlns:a14="http://schemas.microsoft.com/office/drawing/2010/main" val="0"/>
                              </a:ext>
                            </a:extLst>
                          </a:blip>
                          <a:srcRect/>
                          <a:stretch>
                            <a:fillRect/>
                          </a:stretch>
                        </pic:blipFill>
                        <pic:spPr bwMode="auto">
                          <a:xfrm>
                            <a:off x="0" y="0"/>
                            <a:ext cx="1495425" cy="1495425"/>
                          </a:xfrm>
                          <a:prstGeom prst="rect">
                            <a:avLst/>
                          </a:prstGeom>
                          <a:noFill/>
                          <a:ln>
                            <a:noFill/>
                          </a:ln>
                        </pic:spPr>
                      </pic:pic>
                    </a:graphicData>
                  </a:graphic>
                </wp:inline>
              </w:drawing>
            </w:r>
          </w:p>
        </w:tc>
        <w:tc>
          <w:tcPr>
            <w:tcW w:w="3164" w:type="dxa"/>
            <w:gridSpan w:val="2"/>
            <w:tcBorders>
              <w:top w:val="nil"/>
              <w:left w:val="nil"/>
              <w:bottom w:val="nil"/>
              <w:right w:val="nil"/>
            </w:tcBorders>
          </w:tcPr>
          <w:p w14:paraId="4EA93AAC" w14:textId="77777777" w:rsidR="00EC404D" w:rsidRDefault="00EC404D" w:rsidP="00EC404D">
            <w:pPr>
              <w:jc w:val="center"/>
              <w:rPr>
                <w:lang w:val="en-GB"/>
              </w:rPr>
            </w:pPr>
            <w:r>
              <w:rPr>
                <w:noProof/>
              </w:rPr>
              <w:drawing>
                <wp:inline distT="0" distB="0" distL="0" distR="0" wp14:anchorId="0573A330" wp14:editId="3AE3CD6C">
                  <wp:extent cx="1445342" cy="1400175"/>
                  <wp:effectExtent l="0" t="0" r="2540" b="0"/>
                  <wp:docPr id="81945" name="Image 81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40">
                            <a:extLst>
                              <a:ext uri="{28A0092B-C50C-407E-A947-70E740481C1C}">
                                <a14:useLocalDpi xmlns:a14="http://schemas.microsoft.com/office/drawing/2010/main" val="0"/>
                              </a:ext>
                            </a:extLst>
                          </a:blip>
                          <a:srcRect/>
                          <a:stretch>
                            <a:fillRect/>
                          </a:stretch>
                        </pic:blipFill>
                        <pic:spPr bwMode="auto">
                          <a:xfrm>
                            <a:off x="0" y="0"/>
                            <a:ext cx="1449286" cy="1403996"/>
                          </a:xfrm>
                          <a:prstGeom prst="rect">
                            <a:avLst/>
                          </a:prstGeom>
                          <a:noFill/>
                          <a:ln>
                            <a:noFill/>
                          </a:ln>
                        </pic:spPr>
                      </pic:pic>
                    </a:graphicData>
                  </a:graphic>
                </wp:inline>
              </w:drawing>
            </w:r>
          </w:p>
          <w:p w14:paraId="683C957D" w14:textId="26510A96" w:rsidR="00CA58BF" w:rsidRDefault="00CA58BF" w:rsidP="00EC404D">
            <w:pPr>
              <w:jc w:val="center"/>
              <w:rPr>
                <w:lang w:val="en-GB"/>
              </w:rPr>
            </w:pPr>
            <w:r>
              <w:rPr>
                <w:lang w:val="en-GB"/>
              </w:rPr>
              <w:t>Fruit épineux.</w:t>
            </w:r>
          </w:p>
        </w:tc>
      </w:tr>
      <w:tr w:rsidR="00EC404D" w:rsidRPr="00CA58BF" w14:paraId="07A0DE93" w14:textId="77777777" w:rsidTr="009D282F">
        <w:tc>
          <w:tcPr>
            <w:tcW w:w="4416" w:type="dxa"/>
            <w:tcBorders>
              <w:top w:val="nil"/>
              <w:left w:val="nil"/>
              <w:bottom w:val="nil"/>
              <w:right w:val="nil"/>
            </w:tcBorders>
          </w:tcPr>
          <w:p w14:paraId="2AB714A4" w14:textId="77777777" w:rsidR="009D282F" w:rsidRDefault="009D282F" w:rsidP="00EC404D">
            <w:pPr>
              <w:jc w:val="center"/>
              <w:rPr>
                <w:lang w:val="en-GB"/>
              </w:rPr>
            </w:pPr>
          </w:p>
          <w:p w14:paraId="6558E33A" w14:textId="6B049AE4" w:rsidR="00EC404D" w:rsidRDefault="00EC404D" w:rsidP="00EC404D">
            <w:pPr>
              <w:jc w:val="center"/>
              <w:rPr>
                <w:lang w:val="en-GB"/>
              </w:rPr>
            </w:pPr>
            <w:r>
              <w:rPr>
                <w:noProof/>
              </w:rPr>
              <w:drawing>
                <wp:inline distT="0" distB="0" distL="0" distR="0" wp14:anchorId="3AE67679" wp14:editId="75B5602A">
                  <wp:extent cx="2657475" cy="1724025"/>
                  <wp:effectExtent l="0" t="0" r="9525" b="9525"/>
                  <wp:docPr id="81948" name="Image 81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41">
                            <a:extLst>
                              <a:ext uri="{28A0092B-C50C-407E-A947-70E740481C1C}">
                                <a14:useLocalDpi xmlns:a14="http://schemas.microsoft.com/office/drawing/2010/main" val="0"/>
                              </a:ext>
                            </a:extLst>
                          </a:blip>
                          <a:srcRect/>
                          <a:stretch>
                            <a:fillRect/>
                          </a:stretch>
                        </pic:blipFill>
                        <pic:spPr bwMode="auto">
                          <a:xfrm>
                            <a:off x="0" y="0"/>
                            <a:ext cx="2657475" cy="1724025"/>
                          </a:xfrm>
                          <a:prstGeom prst="rect">
                            <a:avLst/>
                          </a:prstGeom>
                          <a:noFill/>
                          <a:ln>
                            <a:noFill/>
                          </a:ln>
                        </pic:spPr>
                      </pic:pic>
                    </a:graphicData>
                  </a:graphic>
                </wp:inline>
              </w:drawing>
            </w:r>
          </w:p>
        </w:tc>
        <w:tc>
          <w:tcPr>
            <w:tcW w:w="2846" w:type="dxa"/>
            <w:gridSpan w:val="2"/>
            <w:tcBorders>
              <w:top w:val="nil"/>
              <w:left w:val="nil"/>
              <w:bottom w:val="nil"/>
              <w:right w:val="nil"/>
            </w:tcBorders>
          </w:tcPr>
          <w:p w14:paraId="5733A59E" w14:textId="35C784C8" w:rsidR="00CA58BF" w:rsidRDefault="00CA58BF" w:rsidP="00EC404D">
            <w:pPr>
              <w:jc w:val="center"/>
            </w:pPr>
            <w:r>
              <w:rPr>
                <w:noProof/>
              </w:rPr>
              <w:drawing>
                <wp:inline distT="0" distB="0" distL="0" distR="0" wp14:anchorId="6597FC9B" wp14:editId="7244002C">
                  <wp:extent cx="1304925" cy="1828800"/>
                  <wp:effectExtent l="0" t="0" r="9525" b="0"/>
                  <wp:docPr id="81949" name="Image 81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42">
                            <a:extLst>
                              <a:ext uri="{28A0092B-C50C-407E-A947-70E740481C1C}">
                                <a14:useLocalDpi xmlns:a14="http://schemas.microsoft.com/office/drawing/2010/main" val="0"/>
                              </a:ext>
                            </a:extLst>
                          </a:blip>
                          <a:srcRect/>
                          <a:stretch>
                            <a:fillRect/>
                          </a:stretch>
                        </pic:blipFill>
                        <pic:spPr bwMode="auto">
                          <a:xfrm>
                            <a:off x="0" y="0"/>
                            <a:ext cx="1304925" cy="1828800"/>
                          </a:xfrm>
                          <a:prstGeom prst="rect">
                            <a:avLst/>
                          </a:prstGeom>
                          <a:noFill/>
                          <a:ln>
                            <a:noFill/>
                          </a:ln>
                        </pic:spPr>
                      </pic:pic>
                    </a:graphicData>
                  </a:graphic>
                </wp:inline>
              </w:drawing>
            </w:r>
          </w:p>
          <w:p w14:paraId="5F4CBCC3" w14:textId="77777777" w:rsidR="00EC404D" w:rsidRDefault="00CA58BF" w:rsidP="00EC404D">
            <w:pPr>
              <w:jc w:val="center"/>
            </w:pPr>
            <w:r>
              <w:t>F</w:t>
            </w:r>
            <w:r w:rsidRPr="00CA58BF">
              <w:t>ruits en développement sur une plante femelle</w:t>
            </w:r>
            <w:r>
              <w:t>.</w:t>
            </w:r>
          </w:p>
          <w:p w14:paraId="1E120F19" w14:textId="5F2D135D" w:rsidR="009D282F" w:rsidRPr="00CA58BF" w:rsidRDefault="009D282F" w:rsidP="00EC404D">
            <w:pPr>
              <w:jc w:val="center"/>
            </w:pPr>
          </w:p>
        </w:tc>
        <w:tc>
          <w:tcPr>
            <w:tcW w:w="3164" w:type="dxa"/>
            <w:gridSpan w:val="2"/>
            <w:tcBorders>
              <w:top w:val="nil"/>
              <w:left w:val="nil"/>
              <w:bottom w:val="nil"/>
              <w:right w:val="nil"/>
            </w:tcBorders>
          </w:tcPr>
          <w:p w14:paraId="3A5C4382" w14:textId="77777777" w:rsidR="00EC404D" w:rsidRDefault="00CA58BF" w:rsidP="00EC404D">
            <w:pPr>
              <w:jc w:val="center"/>
            </w:pPr>
            <w:r>
              <w:rPr>
                <w:noProof/>
              </w:rPr>
              <w:drawing>
                <wp:inline distT="0" distB="0" distL="0" distR="0" wp14:anchorId="3FC8F951" wp14:editId="348472ED">
                  <wp:extent cx="1785938" cy="1190625"/>
                  <wp:effectExtent l="0" t="0" r="5080" b="0"/>
                  <wp:docPr id="81950" name="Image 81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43" cstate="print">
                            <a:extLst>
                              <a:ext uri="{28A0092B-C50C-407E-A947-70E740481C1C}">
                                <a14:useLocalDpi xmlns:a14="http://schemas.microsoft.com/office/drawing/2010/main" val="0"/>
                              </a:ext>
                            </a:extLst>
                          </a:blip>
                          <a:srcRect/>
                          <a:stretch>
                            <a:fillRect/>
                          </a:stretch>
                        </pic:blipFill>
                        <pic:spPr bwMode="auto">
                          <a:xfrm>
                            <a:off x="0" y="0"/>
                            <a:ext cx="1789178" cy="1192785"/>
                          </a:xfrm>
                          <a:prstGeom prst="rect">
                            <a:avLst/>
                          </a:prstGeom>
                          <a:noFill/>
                          <a:ln>
                            <a:noFill/>
                          </a:ln>
                        </pic:spPr>
                      </pic:pic>
                    </a:graphicData>
                  </a:graphic>
                </wp:inline>
              </w:drawing>
            </w:r>
          </w:p>
          <w:p w14:paraId="35DA028E" w14:textId="5D969CFD" w:rsidR="00CA58BF" w:rsidRPr="00CA58BF" w:rsidRDefault="00CA58BF" w:rsidP="00EC404D">
            <w:pPr>
              <w:jc w:val="center"/>
            </w:pPr>
            <w:r>
              <w:t>F</w:t>
            </w:r>
            <w:r w:rsidRPr="00CA58BF">
              <w:t>leur mâle, épines et tige</w:t>
            </w:r>
            <w:r>
              <w:t>. © P</w:t>
            </w:r>
            <w:r w:rsidRPr="00CA58BF">
              <w:t>lantnet</w:t>
            </w:r>
            <w:r>
              <w:t xml:space="preserve"> </w:t>
            </w:r>
            <w:r w:rsidRPr="00CA58BF">
              <w:t>project</w:t>
            </w:r>
            <w:r>
              <w:t>.</w:t>
            </w:r>
          </w:p>
        </w:tc>
      </w:tr>
      <w:tr w:rsidR="004276CB" w:rsidRPr="00CA58BF" w14:paraId="58043A8D" w14:textId="77777777" w:rsidTr="00CA58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0" w:type="dxa"/>
        </w:trPr>
        <w:tc>
          <w:tcPr>
            <w:tcW w:w="5208" w:type="dxa"/>
            <w:gridSpan w:val="2"/>
          </w:tcPr>
          <w:p w14:paraId="3592E0CC" w14:textId="77777777" w:rsidR="004276CB" w:rsidRDefault="00CA58BF" w:rsidP="004276CB">
            <w:pPr>
              <w:jc w:val="center"/>
            </w:pPr>
            <w:r>
              <w:rPr>
                <w:noProof/>
              </w:rPr>
              <w:drawing>
                <wp:inline distT="0" distB="0" distL="0" distR="0" wp14:anchorId="21E29053" wp14:editId="41817C26">
                  <wp:extent cx="1924050" cy="1361967"/>
                  <wp:effectExtent l="0" t="0" r="0" b="0"/>
                  <wp:docPr id="93184" name="Image 93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544">
                            <a:extLst>
                              <a:ext uri="{28A0092B-C50C-407E-A947-70E740481C1C}">
                                <a14:useLocalDpi xmlns:a14="http://schemas.microsoft.com/office/drawing/2010/main" val="0"/>
                              </a:ext>
                            </a:extLst>
                          </a:blip>
                          <a:srcRect/>
                          <a:stretch>
                            <a:fillRect/>
                          </a:stretch>
                        </pic:blipFill>
                        <pic:spPr bwMode="auto">
                          <a:xfrm>
                            <a:off x="0" y="0"/>
                            <a:ext cx="1953807" cy="1383031"/>
                          </a:xfrm>
                          <a:prstGeom prst="rect">
                            <a:avLst/>
                          </a:prstGeom>
                          <a:noFill/>
                          <a:ln>
                            <a:noFill/>
                          </a:ln>
                        </pic:spPr>
                      </pic:pic>
                    </a:graphicData>
                  </a:graphic>
                </wp:inline>
              </w:drawing>
            </w:r>
          </w:p>
          <w:p w14:paraId="55B535C3" w14:textId="714123BA" w:rsidR="00E52359" w:rsidRPr="00CA58BF" w:rsidRDefault="00E52359" w:rsidP="00E52359">
            <w:pPr>
              <w:jc w:val="both"/>
            </w:pPr>
            <w:r w:rsidRPr="00E52359">
              <w:t>Les fruits mûrs d'</w:t>
            </w:r>
            <w:r w:rsidRPr="00E52359">
              <w:rPr>
                <w:i/>
                <w:iCs/>
              </w:rPr>
              <w:t xml:space="preserve">A. horridus </w:t>
            </w:r>
            <w:r w:rsidRPr="00E52359">
              <w:t>sont récoltés par la communauté locale de Topnaar pour la consommation</w:t>
            </w:r>
            <w:r w:rsidR="009D282F">
              <w:t xml:space="preserve"> </w:t>
            </w:r>
            <w:r w:rsidR="009D282F" w:rsidRPr="00E52359">
              <w:t>ou les graines sont vendues et constituent une source de revenus (crédit : Reyk Borner)</w:t>
            </w:r>
            <w:r w:rsidR="009D282F">
              <w:rPr>
                <w:rStyle w:val="Appelnotedebasdep"/>
              </w:rPr>
              <w:footnoteReference w:id="136"/>
            </w:r>
            <w:r w:rsidRPr="00E52359">
              <w:t>.</w:t>
            </w:r>
          </w:p>
        </w:tc>
        <w:tc>
          <w:tcPr>
            <w:tcW w:w="5208" w:type="dxa"/>
            <w:gridSpan w:val="2"/>
          </w:tcPr>
          <w:p w14:paraId="23DC5DB9" w14:textId="384CD04E" w:rsidR="004276CB" w:rsidRPr="00CA58BF" w:rsidRDefault="00CA58BF" w:rsidP="004276CB">
            <w:pPr>
              <w:jc w:val="center"/>
            </w:pPr>
            <w:r>
              <w:rPr>
                <w:noProof/>
              </w:rPr>
              <w:drawing>
                <wp:inline distT="0" distB="0" distL="0" distR="0" wp14:anchorId="396461A7" wp14:editId="718C1CC5">
                  <wp:extent cx="2810317" cy="2105025"/>
                  <wp:effectExtent l="0" t="0" r="9525" b="0"/>
                  <wp:docPr id="81951" name="Image 81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45">
                            <a:extLst>
                              <a:ext uri="{28A0092B-C50C-407E-A947-70E740481C1C}">
                                <a14:useLocalDpi xmlns:a14="http://schemas.microsoft.com/office/drawing/2010/main" val="0"/>
                              </a:ext>
                            </a:extLst>
                          </a:blip>
                          <a:srcRect/>
                          <a:stretch>
                            <a:fillRect/>
                          </a:stretch>
                        </pic:blipFill>
                        <pic:spPr bwMode="auto">
                          <a:xfrm>
                            <a:off x="0" y="0"/>
                            <a:ext cx="2819127" cy="2111624"/>
                          </a:xfrm>
                          <a:prstGeom prst="rect">
                            <a:avLst/>
                          </a:prstGeom>
                          <a:noFill/>
                          <a:ln>
                            <a:noFill/>
                          </a:ln>
                        </pic:spPr>
                      </pic:pic>
                    </a:graphicData>
                  </a:graphic>
                </wp:inline>
              </w:drawing>
            </w:r>
          </w:p>
        </w:tc>
      </w:tr>
    </w:tbl>
    <w:p w14:paraId="00F96CCC" w14:textId="7E50F99B" w:rsidR="004276CB" w:rsidRDefault="004276CB" w:rsidP="003F55CA">
      <w:pPr>
        <w:spacing w:after="0" w:line="240" w:lineRule="auto"/>
      </w:pPr>
    </w:p>
    <w:p w14:paraId="5F6DFD6D" w14:textId="77777777" w:rsidR="003F55CA" w:rsidRDefault="003F55CA" w:rsidP="002E3E92">
      <w:pPr>
        <w:pStyle w:val="Titre2"/>
      </w:pPr>
      <w:bookmarkStart w:id="206" w:name="_Toc139181497"/>
      <w:r w:rsidRPr="00125C62">
        <w:lastRenderedPageBreak/>
        <w:t>Lentille bâtarde</w:t>
      </w:r>
      <w:r w:rsidRPr="00125C62">
        <w:rPr>
          <w:lang w:val="it-IT"/>
        </w:rPr>
        <w:t xml:space="preserve">, </w:t>
      </w:r>
      <w:r w:rsidRPr="00125C62">
        <w:t>vesce amère ou ers</w:t>
      </w:r>
      <w:r w:rsidRPr="00125C62">
        <w:rPr>
          <w:b/>
          <w:bCs/>
        </w:rPr>
        <w:t xml:space="preserve"> </w:t>
      </w:r>
      <w:r w:rsidRPr="00125C62">
        <w:rPr>
          <w:lang w:val="it-IT"/>
        </w:rPr>
        <w:t>(</w:t>
      </w:r>
      <w:r w:rsidRPr="00125C62">
        <w:rPr>
          <w:i/>
          <w:iCs/>
          <w:lang w:val="it-IT"/>
        </w:rPr>
        <w:t>Vicia ervilia</w:t>
      </w:r>
      <w:r w:rsidRPr="00125C62">
        <w:rPr>
          <w:lang w:val="it-IT"/>
        </w:rPr>
        <w:t>)</w:t>
      </w:r>
      <w:bookmarkEnd w:id="206"/>
    </w:p>
    <w:p w14:paraId="19A0336A" w14:textId="77777777" w:rsidR="003F55CA" w:rsidRDefault="003F55CA" w:rsidP="003F55CA">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7"/>
        <w:gridCol w:w="2203"/>
        <w:gridCol w:w="1091"/>
        <w:gridCol w:w="967"/>
        <w:gridCol w:w="1368"/>
      </w:tblGrid>
      <w:tr w:rsidR="003F55CA" w:rsidRPr="000B6BE3" w14:paraId="4473A5C8" w14:textId="77777777" w:rsidTr="00520A81">
        <w:tc>
          <w:tcPr>
            <w:tcW w:w="4957" w:type="dxa"/>
          </w:tcPr>
          <w:p w14:paraId="31E123CE" w14:textId="77777777" w:rsidR="003F55CA" w:rsidRPr="000B6BE3" w:rsidRDefault="003F55CA" w:rsidP="00520A81">
            <w:pPr>
              <w:rPr>
                <w:rFonts w:cstheme="minorHAnsi"/>
                <w:bCs/>
              </w:rPr>
            </w:pPr>
            <w:r w:rsidRPr="000B6BE3">
              <w:rPr>
                <w:rFonts w:cstheme="minorHAnsi"/>
                <w:bCs/>
              </w:rPr>
              <w:t>(</w:t>
            </w:r>
            <w:hyperlink r:id="rId2546" w:history="1">
              <w:r w:rsidRPr="000B6BE3">
                <w:rPr>
                  <w:rFonts w:cstheme="minorHAnsi"/>
                </w:rPr>
                <w:t>F</w:t>
              </w:r>
              <w:r w:rsidRPr="000B6BE3">
                <w:rPr>
                  <w:rStyle w:val="Lienhypertexte"/>
                  <w:rFonts w:cstheme="minorHAnsi"/>
                  <w:color w:val="0B0080"/>
                  <w:shd w:val="clear" w:color="auto" w:fill="FFFFFF"/>
                </w:rPr>
                <w:t>amille</w:t>
              </w:r>
            </w:hyperlink>
            <w:r w:rsidRPr="000B6BE3">
              <w:rPr>
                <w:rFonts w:cstheme="minorHAnsi"/>
                <w:color w:val="222222"/>
                <w:shd w:val="clear" w:color="auto" w:fill="FFFFFF"/>
              </w:rPr>
              <w:t> </w:t>
            </w:r>
            <w:r w:rsidRPr="00FC05CB">
              <w:rPr>
                <w:rFonts w:cstheme="minorHAnsi"/>
                <w:color w:val="000000" w:themeColor="text1"/>
                <w:shd w:val="clear" w:color="auto" w:fill="FFFFFF"/>
              </w:rPr>
              <w:t>des </w:t>
            </w:r>
            <w:hyperlink r:id="rId2547" w:tooltip="Fabaceae" w:history="1">
              <w:r w:rsidRPr="000B6BE3">
                <w:rPr>
                  <w:rStyle w:val="Lienhypertexte"/>
                  <w:rFonts w:cstheme="minorHAnsi"/>
                  <w:i/>
                  <w:iCs/>
                  <w:color w:val="0B0080"/>
                  <w:shd w:val="clear" w:color="auto" w:fill="FFFFFF"/>
                </w:rPr>
                <w:t>Fabaceae</w:t>
              </w:r>
            </w:hyperlink>
            <w:r>
              <w:rPr>
                <w:rFonts w:cstheme="minorHAnsi"/>
                <w:bCs/>
              </w:rPr>
              <w:t xml:space="preserve"> </w:t>
            </w:r>
            <w:r w:rsidRPr="00FC05CB">
              <w:rPr>
                <w:rFonts w:cstheme="minorHAnsi"/>
                <w:bCs/>
                <w:color w:val="000000" w:themeColor="text1"/>
              </w:rPr>
              <w:t xml:space="preserve">ou </w:t>
            </w:r>
            <w:hyperlink r:id="rId2548" w:history="1">
              <w:r w:rsidRPr="0099123D">
                <w:rPr>
                  <w:rStyle w:val="Lienhypertexte"/>
                  <w:i/>
                  <w:iCs/>
                </w:rPr>
                <w:t>Fabacées</w:t>
              </w:r>
            </w:hyperlink>
            <w:r w:rsidRPr="00FC05CB">
              <w:rPr>
                <w:rFonts w:cstheme="minorHAnsi"/>
                <w:bCs/>
                <w:color w:val="000000" w:themeColor="text1"/>
              </w:rPr>
              <w:t>).</w:t>
            </w:r>
          </w:p>
          <w:p w14:paraId="25275574" w14:textId="77777777" w:rsidR="003F55CA" w:rsidRPr="000B6BE3" w:rsidRDefault="003F55CA" w:rsidP="00520A81">
            <w:pPr>
              <w:rPr>
                <w:rFonts w:cstheme="minorHAnsi"/>
                <w:bCs/>
              </w:rPr>
            </w:pPr>
          </w:p>
          <w:p w14:paraId="7105FEC8" w14:textId="77777777" w:rsidR="003F55CA" w:rsidRPr="000B6BE3" w:rsidRDefault="003F55CA" w:rsidP="00520A81">
            <w:pPr>
              <w:rPr>
                <w:rFonts w:cstheme="minorHAnsi"/>
              </w:rPr>
            </w:pPr>
          </w:p>
        </w:tc>
        <w:tc>
          <w:tcPr>
            <w:tcW w:w="2268" w:type="dxa"/>
          </w:tcPr>
          <w:p w14:paraId="0E0C2EFA" w14:textId="77777777" w:rsidR="003F55CA" w:rsidRPr="000B6BE3" w:rsidRDefault="003F55CA" w:rsidP="00520A81">
            <w:pPr>
              <w:rPr>
                <w:rFonts w:cstheme="minorHAnsi"/>
              </w:rPr>
            </w:pPr>
            <w:r w:rsidRPr="00FC05CB">
              <w:rPr>
                <w:rFonts w:cstheme="minorHAnsi"/>
                <w:noProof/>
              </w:rPr>
              <w:drawing>
                <wp:inline distT="0" distB="0" distL="0" distR="0" wp14:anchorId="439E559F" wp14:editId="2C479F50">
                  <wp:extent cx="514350" cy="733425"/>
                  <wp:effectExtent l="0" t="0" r="0" b="9525"/>
                  <wp:docPr id="81921" name="Image 11"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13" name="Image 11" descr="logo salinisation2_s.jpg"/>
                          <pic:cNvPicPr>
                            <a:picLocks noChangeAspect="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14350" cy="733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rPr>
              <w:t xml:space="preserve"> </w:t>
            </w:r>
            <w:r w:rsidRPr="00125C62">
              <w:rPr>
                <w:rFonts w:cstheme="minorHAnsi"/>
                <w:noProof/>
              </w:rPr>
              <w:drawing>
                <wp:inline distT="0" distB="0" distL="0" distR="0" wp14:anchorId="52B77EC7" wp14:editId="64877367">
                  <wp:extent cx="495300" cy="666750"/>
                  <wp:effectExtent l="0" t="0" r="0" b="0"/>
                  <wp:docPr id="81924" name="Image 11"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11" descr="logo aride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rPr>
              <w:t> ?</w:t>
            </w:r>
          </w:p>
        </w:tc>
        <w:tc>
          <w:tcPr>
            <w:tcW w:w="1134" w:type="dxa"/>
          </w:tcPr>
          <w:p w14:paraId="0472EB17" w14:textId="77777777" w:rsidR="003F55CA" w:rsidRDefault="003F55CA" w:rsidP="00520A81">
            <w:pPr>
              <w:textAlignment w:val="baseline"/>
              <w:rPr>
                <w:rFonts w:eastAsia="+mn-ea" w:cstheme="minorHAnsi"/>
                <w:b/>
                <w:bCs/>
                <w:color w:val="008000"/>
                <w:kern w:val="24"/>
              </w:rPr>
            </w:pPr>
            <w:r w:rsidRPr="000B6BE3">
              <w:rPr>
                <w:rFonts w:eastAsia="+mn-ea" w:cstheme="minorHAnsi"/>
                <w:b/>
                <w:bCs/>
                <w:color w:val="008000"/>
                <w:kern w:val="24"/>
              </w:rPr>
              <w:t>↗</w:t>
            </w:r>
          </w:p>
          <w:p w14:paraId="47B182A8" w14:textId="77777777" w:rsidR="003F55CA" w:rsidRDefault="003F55CA" w:rsidP="00520A81">
            <w:pPr>
              <w:textAlignment w:val="baseline"/>
              <w:rPr>
                <w:rFonts w:eastAsia="+mn-ea" w:cstheme="minorHAnsi"/>
                <w:b/>
                <w:bCs/>
                <w:color w:val="008000"/>
                <w:kern w:val="24"/>
              </w:rPr>
            </w:pPr>
          </w:p>
          <w:p w14:paraId="7FEE54CC" w14:textId="77777777" w:rsidR="003F55CA" w:rsidRPr="00A0500C" w:rsidRDefault="003F55CA" w:rsidP="00520A81">
            <w:pPr>
              <w:textAlignment w:val="baseline"/>
              <w:rPr>
                <w:rFonts w:cstheme="minorHAnsi"/>
                <w:sz w:val="40"/>
                <w:szCs w:val="40"/>
              </w:rPr>
            </w:pPr>
            <w:r w:rsidRPr="00A0500C">
              <w:rPr>
                <w:rFonts w:eastAsia="+mn-ea" w:cstheme="minorHAnsi"/>
                <w:b/>
                <w:bCs/>
                <w:color w:val="008000"/>
                <w:kern w:val="24"/>
                <w:sz w:val="40"/>
                <w:szCs w:val="40"/>
              </w:rPr>
              <w:t>F</w:t>
            </w:r>
          </w:p>
        </w:tc>
        <w:tc>
          <w:tcPr>
            <w:tcW w:w="992" w:type="dxa"/>
          </w:tcPr>
          <w:p w14:paraId="75381A48" w14:textId="77777777" w:rsidR="003F55CA" w:rsidRDefault="003F55CA" w:rsidP="00520A81">
            <w:pPr>
              <w:pStyle w:val="NormalWeb"/>
              <w:spacing w:before="0" w:beforeAutospacing="0" w:after="0" w:afterAutospacing="0"/>
              <w:textAlignment w:val="baseline"/>
            </w:pPr>
            <w:r>
              <w:rPr>
                <w:rFonts w:ascii="Arial" w:eastAsia="+mn-ea" w:hAnsi="Arial" w:cs="Arial"/>
                <w:b/>
                <w:bCs/>
                <w:color w:val="008000"/>
                <w:kern w:val="24"/>
                <w:sz w:val="48"/>
                <w:szCs w:val="48"/>
              </w:rPr>
              <w:t>U</w:t>
            </w:r>
          </w:p>
          <w:p w14:paraId="045525E2" w14:textId="77777777" w:rsidR="003F55CA" w:rsidRPr="000B6BE3" w:rsidRDefault="003F55CA" w:rsidP="00520A81">
            <w:pPr>
              <w:rPr>
                <w:rFonts w:cstheme="minorHAnsi"/>
              </w:rPr>
            </w:pPr>
          </w:p>
        </w:tc>
        <w:tc>
          <w:tcPr>
            <w:tcW w:w="1439" w:type="dxa"/>
          </w:tcPr>
          <w:p w14:paraId="519B0DF7" w14:textId="77777777" w:rsidR="003F55CA" w:rsidRPr="000B6BE3" w:rsidRDefault="003F55CA" w:rsidP="00520A81">
            <w:pPr>
              <w:rPr>
                <w:rFonts w:cstheme="minorHAnsi"/>
              </w:rPr>
            </w:pPr>
          </w:p>
        </w:tc>
      </w:tr>
    </w:tbl>
    <w:p w14:paraId="23ABB676" w14:textId="77777777" w:rsidR="003F55CA" w:rsidRDefault="003F55CA" w:rsidP="003F55CA">
      <w:pPr>
        <w:spacing w:after="0" w:line="240" w:lineRule="auto"/>
      </w:pPr>
    </w:p>
    <w:p w14:paraId="0D838751" w14:textId="77777777" w:rsidR="003F55CA" w:rsidRPr="00125C62" w:rsidRDefault="003F55CA" w:rsidP="003F55CA">
      <w:pPr>
        <w:spacing w:after="0" w:line="240" w:lineRule="auto"/>
        <w:jc w:val="both"/>
      </w:pPr>
      <w:r w:rsidRPr="00125C62">
        <w:t>L’</w:t>
      </w:r>
      <w:r w:rsidRPr="002E3E92">
        <w:rPr>
          <w:i/>
          <w:iCs/>
        </w:rPr>
        <w:t>ers</w:t>
      </w:r>
      <w:r w:rsidRPr="00125C62">
        <w:t xml:space="preserve"> ou </w:t>
      </w:r>
      <w:r w:rsidRPr="002E3E92">
        <w:rPr>
          <w:i/>
          <w:iCs/>
        </w:rPr>
        <w:t>vesce amère,</w:t>
      </w:r>
      <w:r w:rsidRPr="00125C62">
        <w:t xml:space="preserve"> est une </w:t>
      </w:r>
      <w:hyperlink r:id="rId2549" w:history="1">
        <w:r w:rsidRPr="00125C62">
          <w:rPr>
            <w:rStyle w:val="Lienhypertexte"/>
          </w:rPr>
          <w:t>légumineuse à graines</w:t>
        </w:r>
      </w:hyperlink>
      <w:r w:rsidRPr="00125C62">
        <w:t xml:space="preserve"> et plante fourragère,  anciennement cultivée, de la région </w:t>
      </w:r>
      <w:hyperlink r:id="rId2550" w:history="1">
        <w:r w:rsidRPr="00125C62">
          <w:rPr>
            <w:rStyle w:val="Lienhypertexte"/>
          </w:rPr>
          <w:t>méditerranéenne</w:t>
        </w:r>
      </w:hyperlink>
      <w:r w:rsidRPr="00125C62">
        <w:t xml:space="preserve">. Noms : </w:t>
      </w:r>
      <w:r w:rsidRPr="00125C62">
        <w:rPr>
          <w:i/>
          <w:iCs/>
        </w:rPr>
        <w:t xml:space="preserve">bitter vetch </w:t>
      </w:r>
      <w:r w:rsidRPr="00125C62">
        <w:t xml:space="preserve">(Anglais), </w:t>
      </w:r>
      <w:r w:rsidRPr="00125C62">
        <w:rPr>
          <w:i/>
          <w:iCs/>
        </w:rPr>
        <w:t>gavdaneh</w:t>
      </w:r>
      <w:r w:rsidRPr="00125C62">
        <w:t xml:space="preserve"> (persan), </w:t>
      </w:r>
      <w:r w:rsidRPr="00125C62">
        <w:rPr>
          <w:i/>
          <w:iCs/>
        </w:rPr>
        <w:t>kersannah</w:t>
      </w:r>
      <w:r w:rsidRPr="00125C62">
        <w:t xml:space="preserve"> (arabe), </w:t>
      </w:r>
      <w:r w:rsidRPr="00125C62">
        <w:rPr>
          <w:i/>
          <w:iCs/>
        </w:rPr>
        <w:t>yero</w:t>
      </w:r>
      <w:r w:rsidRPr="00125C62">
        <w:t xml:space="preserve"> (espagnol), </w:t>
      </w:r>
      <w:r w:rsidRPr="00125C62">
        <w:rPr>
          <w:i/>
          <w:iCs/>
        </w:rPr>
        <w:t>rovi</w:t>
      </w:r>
      <w:r w:rsidRPr="00125C62">
        <w:t xml:space="preserve"> (grec), et </w:t>
      </w:r>
      <w:r w:rsidRPr="00125C62">
        <w:rPr>
          <w:i/>
          <w:iCs/>
        </w:rPr>
        <w:t>Burçak</w:t>
      </w:r>
      <w:r w:rsidRPr="00125C62">
        <w:t xml:space="preserve"> (turc). Elle continue à être cultivée, à cause de sa valeur nutritive pour les ruminants, au </w:t>
      </w:r>
      <w:hyperlink r:id="rId2551" w:history="1">
        <w:r w:rsidRPr="00125C62">
          <w:rPr>
            <w:rStyle w:val="Lienhypertexte"/>
          </w:rPr>
          <w:t>Maroc</w:t>
        </w:r>
      </w:hyperlink>
      <w:r w:rsidRPr="00125C62">
        <w:t xml:space="preserve">, en </w:t>
      </w:r>
      <w:hyperlink r:id="rId2552" w:history="1">
        <w:r w:rsidRPr="00125C62">
          <w:rPr>
            <w:rStyle w:val="Lienhypertexte"/>
          </w:rPr>
          <w:t>Espagne</w:t>
        </w:r>
      </w:hyperlink>
      <w:r w:rsidRPr="00125C62">
        <w:t xml:space="preserve"> et en </w:t>
      </w:r>
      <w:hyperlink r:id="rId2553" w:history="1">
        <w:r w:rsidRPr="00125C62">
          <w:rPr>
            <w:rStyle w:val="Lienhypertexte"/>
          </w:rPr>
          <w:t>Turquie</w:t>
        </w:r>
      </w:hyperlink>
      <w:r w:rsidRPr="00125C62">
        <w:t xml:space="preserve">. </w:t>
      </w:r>
      <w:r w:rsidRPr="002E3E92">
        <w:rPr>
          <w:i/>
          <w:iCs/>
        </w:rPr>
        <w:t>La plante est facile à cultiver et à stocker et peut être cultivée sur des sols alcalins très peu profonds ou salins</w:t>
      </w:r>
      <w:r w:rsidRPr="00125C62">
        <w:t xml:space="preserve"> (jusqu’à 12 grammes de sel /litre d’eau). </w:t>
      </w:r>
    </w:p>
    <w:p w14:paraId="09EAD59E" w14:textId="77777777" w:rsidR="003F55CA" w:rsidRPr="00125C62" w:rsidRDefault="003F55CA" w:rsidP="003F55CA">
      <w:pPr>
        <w:spacing w:after="0" w:line="240" w:lineRule="auto"/>
        <w:jc w:val="both"/>
      </w:pPr>
      <w:r w:rsidRPr="00125C62">
        <w:t xml:space="preserve">Le grain fendu ressemble à une </w:t>
      </w:r>
      <w:hyperlink r:id="rId2554" w:history="1">
        <w:r w:rsidRPr="00125C62">
          <w:rPr>
            <w:rStyle w:val="Lienhypertexte"/>
          </w:rPr>
          <w:t>lentille</w:t>
        </w:r>
      </w:hyperlink>
      <w:r w:rsidRPr="00125C62">
        <w:t xml:space="preserve"> rouge. Pour la consommation humaine l'amertume des graines doit être enlevé par lessivage avec plusieurs changements d'eau bouillante. En raison de cette amertume, il est peu probable que quelqu'un puisse accidentellement confondre cette vesce avec les lentilles rouges. Selon Zohary et Hopf, seuls les humains des classes économiques les plus pauvres consomment cette culture, ou en temps de </w:t>
      </w:r>
      <w:hyperlink r:id="rId2555" w:history="1">
        <w:r w:rsidRPr="00125C62">
          <w:rPr>
            <w:rStyle w:val="Lienhypertexte"/>
          </w:rPr>
          <w:t>famine</w:t>
        </w:r>
      </w:hyperlink>
      <w:r w:rsidRPr="00125C62">
        <w:t xml:space="preserve">. </w:t>
      </w:r>
    </w:p>
    <w:p w14:paraId="1111C1CD" w14:textId="77777777" w:rsidR="003F55CA" w:rsidRPr="00125C62" w:rsidRDefault="003F55CA" w:rsidP="003F55CA">
      <w:pPr>
        <w:spacing w:after="0" w:line="240" w:lineRule="auto"/>
        <w:jc w:val="both"/>
      </w:pPr>
      <w:r w:rsidRPr="00125C62">
        <w:t>Ses grains constitue un excellent aliment concentré pour ovins et les bovins. Il a été tenu en haute estime par les agriculteurs dans le Vieux Monde, depuis le début de l'agriculture, pour améliorer la valeur nutritionnelle des aliments en vrac.</w:t>
      </w:r>
    </w:p>
    <w:p w14:paraId="7144A02C" w14:textId="77777777" w:rsidR="003F55CA" w:rsidRPr="00125C62" w:rsidRDefault="00000000" w:rsidP="003F55CA">
      <w:pPr>
        <w:spacing w:after="0" w:line="240" w:lineRule="auto"/>
        <w:jc w:val="both"/>
      </w:pPr>
      <w:hyperlink r:id="rId2556" w:history="1">
        <w:r w:rsidR="003F55CA" w:rsidRPr="00125C62">
          <w:rPr>
            <w:rStyle w:val="Lienhypertexte"/>
          </w:rPr>
          <w:t>Pline l'Ancien</w:t>
        </w:r>
      </w:hyperlink>
      <w:r w:rsidR="003F55CA" w:rsidRPr="00125C62">
        <w:t xml:space="preserve"> stipule que la vesce amère </w:t>
      </w:r>
      <w:r w:rsidR="003F55CA" w:rsidRPr="00125C62">
        <w:rPr>
          <w:i/>
          <w:iCs/>
        </w:rPr>
        <w:t>(Ervum)</w:t>
      </w:r>
      <w:r w:rsidR="003F55CA" w:rsidRPr="00125C62">
        <w:t xml:space="preserve"> a une valeur médicinale, comme </w:t>
      </w:r>
      <w:hyperlink r:id="rId2557" w:history="1">
        <w:r w:rsidR="003F55CA" w:rsidRPr="00125C62">
          <w:rPr>
            <w:rStyle w:val="Lienhypertexte"/>
          </w:rPr>
          <w:t>la vesce</w:t>
        </w:r>
      </w:hyperlink>
      <w:r w:rsidR="003F55CA" w:rsidRPr="00125C62">
        <w:t xml:space="preserve"> </w:t>
      </w:r>
      <w:r w:rsidR="003F55CA" w:rsidRPr="00125C62">
        <w:rPr>
          <w:i/>
          <w:iCs/>
        </w:rPr>
        <w:t>(Vicia),</w:t>
      </w:r>
      <w:r w:rsidR="003F55CA" w:rsidRPr="00125C62">
        <w:t xml:space="preserve"> citant les lettres d’</w:t>
      </w:r>
      <w:hyperlink r:id="rId2558" w:history="1">
        <w:r w:rsidR="003F55CA" w:rsidRPr="00125C62">
          <w:rPr>
            <w:rStyle w:val="Lienhypertexte"/>
          </w:rPr>
          <w:t>Auguste</w:t>
        </w:r>
      </w:hyperlink>
      <w:r w:rsidR="003F55CA" w:rsidRPr="00125C62">
        <w:t xml:space="preserve">, où l' </w:t>
      </w:r>
      <w:hyperlink r:id="rId2559" w:history="1">
        <w:r w:rsidR="003F55CA" w:rsidRPr="00125C62">
          <w:rPr>
            <w:rStyle w:val="Lienhypertexte"/>
          </w:rPr>
          <w:t>empereur</w:t>
        </w:r>
      </w:hyperlink>
      <w:r w:rsidR="003F55CA" w:rsidRPr="00125C62">
        <w:t xml:space="preserve"> a écrit qu'il a retrouvé sa santé grâce à un régime à base de vesce amère (</w:t>
      </w:r>
      <w:hyperlink r:id="rId2560" w:history="1">
        <w:r w:rsidR="003F55CA" w:rsidRPr="00125C62">
          <w:rPr>
            <w:rStyle w:val="Lienhypertexte"/>
          </w:rPr>
          <w:t>NH</w:t>
        </w:r>
      </w:hyperlink>
      <w:r w:rsidR="003F55CA" w:rsidRPr="00125C62">
        <w:t xml:space="preserve"> 18.38).</w:t>
      </w:r>
    </w:p>
    <w:p w14:paraId="70C1BBDB" w14:textId="77777777" w:rsidR="003F55CA" w:rsidRPr="00125C62" w:rsidRDefault="003F55CA" w:rsidP="003F55CA">
      <w:pPr>
        <w:spacing w:after="0" w:line="240" w:lineRule="auto"/>
        <w:jc w:val="both"/>
      </w:pPr>
      <w:r w:rsidRPr="00125C62">
        <w:t xml:space="preserve">Sources : a) </w:t>
      </w:r>
      <w:hyperlink r:id="rId2561" w:history="1">
        <w:r w:rsidRPr="00125C62">
          <w:rPr>
            <w:rStyle w:val="Lienhypertexte"/>
          </w:rPr>
          <w:t>http://en.wikipedia.org/wiki/Vicia_ervilia</w:t>
        </w:r>
      </w:hyperlink>
      <w:r w:rsidRPr="00125C62">
        <w:t xml:space="preserve"> </w:t>
      </w:r>
    </w:p>
    <w:p w14:paraId="5350B4C6" w14:textId="77777777" w:rsidR="003F55CA" w:rsidRDefault="003F55CA" w:rsidP="003F55CA">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6"/>
        <w:gridCol w:w="3263"/>
        <w:gridCol w:w="3047"/>
      </w:tblGrid>
      <w:tr w:rsidR="003F55CA" w14:paraId="4375D810" w14:textId="77777777" w:rsidTr="00520A81">
        <w:tc>
          <w:tcPr>
            <w:tcW w:w="3472" w:type="dxa"/>
          </w:tcPr>
          <w:p w14:paraId="5A33DF47" w14:textId="77777777" w:rsidR="003F55CA" w:rsidRDefault="003F55CA" w:rsidP="00520A81">
            <w:pPr>
              <w:jc w:val="center"/>
            </w:pPr>
            <w:r w:rsidRPr="00125C62">
              <w:rPr>
                <w:noProof/>
              </w:rPr>
              <w:drawing>
                <wp:inline distT="0" distB="0" distL="0" distR="0" wp14:anchorId="3B6331D3" wp14:editId="677B4BB5">
                  <wp:extent cx="2466975" cy="1847850"/>
                  <wp:effectExtent l="0" t="0" r="9525" b="0"/>
                  <wp:docPr id="81920" name="Picture 2" descr="D:\Users\blisan\Pictures\perso\plantes halophytes milieux salins\Lentille bâtard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2" descr="D:\Users\blisan\Pictures\perso\plantes halophytes milieux salins\Lentille bâtarde2.jpg"/>
                          <pic:cNvPicPr>
                            <a:picLocks noChangeAspect="1" noChangeArrowheads="1"/>
                          </pic:cNvPicPr>
                        </pic:nvPicPr>
                        <pic:blipFill>
                          <a:blip r:embed="rId2562">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3472" w:type="dxa"/>
          </w:tcPr>
          <w:p w14:paraId="13098E59" w14:textId="77777777" w:rsidR="003F55CA" w:rsidRDefault="003F55CA" w:rsidP="00520A81">
            <w:pPr>
              <w:jc w:val="center"/>
            </w:pPr>
            <w:r w:rsidRPr="00125C62">
              <w:rPr>
                <w:noProof/>
              </w:rPr>
              <w:drawing>
                <wp:inline distT="0" distB="0" distL="0" distR="0" wp14:anchorId="001459B7" wp14:editId="27C277BB">
                  <wp:extent cx="1790700" cy="2390677"/>
                  <wp:effectExtent l="0" t="0" r="0" b="0"/>
                  <wp:docPr id="2053" name="Picture 5" descr="D:\Users\blisan\Pictures\perso\plantes halophytes milieux salins\Ervum ervilia feuil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 name="Picture 5" descr="D:\Users\blisan\Pictures\perso\plantes halophytes milieux salins\Ervum ervilia feuilles.jpg"/>
                          <pic:cNvPicPr>
                            <a:picLocks noChangeAspect="1" noChangeArrowheads="1"/>
                          </pic:cNvPicPr>
                        </pic:nvPicPr>
                        <pic:blipFill>
                          <a:blip r:embed="rId2563">
                            <a:extLst>
                              <a:ext uri="{28A0092B-C50C-407E-A947-70E740481C1C}">
                                <a14:useLocalDpi xmlns:a14="http://schemas.microsoft.com/office/drawing/2010/main" val="0"/>
                              </a:ext>
                            </a:extLst>
                          </a:blip>
                          <a:srcRect/>
                          <a:stretch>
                            <a:fillRect/>
                          </a:stretch>
                        </pic:blipFill>
                        <pic:spPr bwMode="auto">
                          <a:xfrm>
                            <a:off x="0" y="0"/>
                            <a:ext cx="1790700" cy="2390677"/>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3472" w:type="dxa"/>
          </w:tcPr>
          <w:p w14:paraId="70A6A0DB" w14:textId="77777777" w:rsidR="003F55CA" w:rsidRDefault="003F55CA" w:rsidP="00520A81">
            <w:pPr>
              <w:jc w:val="center"/>
            </w:pPr>
            <w:r w:rsidRPr="00125C62">
              <w:rPr>
                <w:noProof/>
              </w:rPr>
              <w:drawing>
                <wp:inline distT="0" distB="0" distL="0" distR="0" wp14:anchorId="6A7807E4" wp14:editId="19D39DD5">
                  <wp:extent cx="1496235" cy="2247900"/>
                  <wp:effectExtent l="0" t="0" r="8890" b="0"/>
                  <wp:docPr id="2056" name="Picture 8" descr="D:\Users\blisan\Pictures\perso\plantes halophytes milieux salins\Vicia_ervilia_Sturm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 name="Picture 8" descr="D:\Users\blisan\Pictures\perso\plantes halophytes milieux salins\Vicia_ervilia_Sturm7.jpg"/>
                          <pic:cNvPicPr>
                            <a:picLocks noChangeAspect="1" noChangeArrowheads="1"/>
                          </pic:cNvPicPr>
                        </pic:nvPicPr>
                        <pic:blipFill>
                          <a:blip r:embed="rId2564">
                            <a:extLst>
                              <a:ext uri="{28A0092B-C50C-407E-A947-70E740481C1C}">
                                <a14:useLocalDpi xmlns:a14="http://schemas.microsoft.com/office/drawing/2010/main" val="0"/>
                              </a:ext>
                            </a:extLst>
                          </a:blip>
                          <a:srcRect/>
                          <a:stretch>
                            <a:fillRect/>
                          </a:stretch>
                        </pic:blipFill>
                        <pic:spPr bwMode="auto">
                          <a:xfrm>
                            <a:off x="0" y="0"/>
                            <a:ext cx="1499500" cy="2252806"/>
                          </a:xfrm>
                          <a:prstGeom prst="rect">
                            <a:avLst/>
                          </a:prstGeom>
                          <a:noFill/>
                        </pic:spPr>
                      </pic:pic>
                    </a:graphicData>
                  </a:graphic>
                </wp:inline>
              </w:drawing>
            </w:r>
          </w:p>
        </w:tc>
      </w:tr>
      <w:tr w:rsidR="003F55CA" w14:paraId="28439455" w14:textId="77777777" w:rsidTr="00520A81">
        <w:tc>
          <w:tcPr>
            <w:tcW w:w="3472" w:type="dxa"/>
          </w:tcPr>
          <w:p w14:paraId="1AEEA3DF" w14:textId="77777777" w:rsidR="003F55CA" w:rsidRDefault="003F55CA" w:rsidP="00520A81">
            <w:pPr>
              <w:jc w:val="center"/>
            </w:pPr>
            <w:r w:rsidRPr="00125C62">
              <w:rPr>
                <w:noProof/>
              </w:rPr>
              <w:drawing>
                <wp:inline distT="0" distB="0" distL="0" distR="0" wp14:anchorId="665AAC59" wp14:editId="3F92C679">
                  <wp:extent cx="2466975" cy="1847850"/>
                  <wp:effectExtent l="0" t="0" r="9525" b="0"/>
                  <wp:docPr id="2051" name="Picture 3" descr="D:\Users\blisan\Pictures\perso\plantes halophytes milieux salins\Lentille bâtard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descr="D:\Users\blisan\Pictures\perso\plantes halophytes milieux salins\Lentille bâtarde1.jpg"/>
                          <pic:cNvPicPr>
                            <a:picLocks noChangeAspect="1" noChangeArrowheads="1"/>
                          </pic:cNvPicPr>
                        </pic:nvPicPr>
                        <pic:blipFill>
                          <a:blip r:embed="rId2565">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3472" w:type="dxa"/>
          </w:tcPr>
          <w:p w14:paraId="5011757B" w14:textId="77777777" w:rsidR="003F55CA" w:rsidRDefault="003F55CA" w:rsidP="00520A81">
            <w:pPr>
              <w:jc w:val="center"/>
            </w:pPr>
            <w:r w:rsidRPr="00125C62">
              <w:rPr>
                <w:noProof/>
              </w:rPr>
              <w:drawing>
                <wp:inline distT="0" distB="0" distL="0" distR="0" wp14:anchorId="7CD4D842" wp14:editId="0C79670C">
                  <wp:extent cx="990600" cy="1781175"/>
                  <wp:effectExtent l="0" t="0" r="0" b="9525"/>
                  <wp:docPr id="2052" name="Picture 4" descr="D:\Users\blisan\Pictures\perso\plantes halophytes milieux salins\Ervum ervili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descr="D:\Users\blisan\Pictures\perso\plantes halophytes milieux salins\Ervum ervilia3.jpg"/>
                          <pic:cNvPicPr>
                            <a:picLocks noChangeAspect="1" noChangeArrowheads="1"/>
                          </pic:cNvPicPr>
                        </pic:nvPicPr>
                        <pic:blipFill>
                          <a:blip r:embed="rId2566">
                            <a:extLst>
                              <a:ext uri="{28A0092B-C50C-407E-A947-70E740481C1C}">
                                <a14:useLocalDpi xmlns:a14="http://schemas.microsoft.com/office/drawing/2010/main" val="0"/>
                              </a:ext>
                            </a:extLst>
                          </a:blip>
                          <a:srcRect/>
                          <a:stretch>
                            <a:fillRect/>
                          </a:stretch>
                        </pic:blipFill>
                        <pic:spPr bwMode="auto">
                          <a:xfrm>
                            <a:off x="0" y="0"/>
                            <a:ext cx="990600" cy="17811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3472" w:type="dxa"/>
          </w:tcPr>
          <w:p w14:paraId="48D4D6DC" w14:textId="77777777" w:rsidR="003F55CA" w:rsidRDefault="003F55CA" w:rsidP="00520A81">
            <w:pPr>
              <w:jc w:val="center"/>
            </w:pPr>
            <w:r w:rsidRPr="00125C62">
              <w:rPr>
                <w:noProof/>
              </w:rPr>
              <w:drawing>
                <wp:inline distT="0" distB="0" distL="0" distR="0" wp14:anchorId="2872EFA2" wp14:editId="5C5FDD23">
                  <wp:extent cx="1429079" cy="950987"/>
                  <wp:effectExtent l="0" t="0" r="0" b="1905"/>
                  <wp:docPr id="2054" name="Picture 6" descr="D:\Users\blisan\Pictures\perso\plantes halophytes milieux salins\Ervum ervilia grain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 name="Picture 6" descr="D:\Users\blisan\Pictures\perso\plantes halophytes milieux salins\Ervum ervilia graines2.jpg"/>
                          <pic:cNvPicPr>
                            <a:picLocks noChangeAspect="1" noChangeArrowheads="1"/>
                          </pic:cNvPicPr>
                        </pic:nvPicPr>
                        <pic:blipFill>
                          <a:blip r:embed="rId2567">
                            <a:extLst>
                              <a:ext uri="{28A0092B-C50C-407E-A947-70E740481C1C}">
                                <a14:useLocalDpi xmlns:a14="http://schemas.microsoft.com/office/drawing/2010/main" val="0"/>
                              </a:ext>
                            </a:extLst>
                          </a:blip>
                          <a:srcRect/>
                          <a:stretch>
                            <a:fillRect/>
                          </a:stretch>
                        </pic:blipFill>
                        <pic:spPr bwMode="auto">
                          <a:xfrm>
                            <a:off x="0" y="0"/>
                            <a:ext cx="1429079" cy="950987"/>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r>
    </w:tbl>
    <w:p w14:paraId="4B634798" w14:textId="77777777" w:rsidR="006E38F8" w:rsidRDefault="006E38F8" w:rsidP="006E38F8">
      <w:pPr>
        <w:spacing w:after="0" w:line="240" w:lineRule="auto"/>
      </w:pPr>
    </w:p>
    <w:p w14:paraId="219588DC" w14:textId="2088D17E" w:rsidR="006E38F8" w:rsidRDefault="006E38F8" w:rsidP="006E38F8">
      <w:pPr>
        <w:pStyle w:val="Titre1"/>
      </w:pPr>
      <w:bookmarkStart w:id="207" w:name="_Toc139181498"/>
      <w:r w:rsidRPr="006E38F8">
        <w:lastRenderedPageBreak/>
        <w:t>Algoculture</w:t>
      </w:r>
      <w:r w:rsidR="00DA7993">
        <w:t xml:space="preserve"> / culture des algues</w:t>
      </w:r>
      <w:bookmarkEnd w:id="207"/>
    </w:p>
    <w:p w14:paraId="00DBDF97" w14:textId="7FB36C01" w:rsidR="006E38F8" w:rsidRDefault="006E38F8" w:rsidP="006E38F8">
      <w:pPr>
        <w:spacing w:after="0" w:line="240" w:lineRule="auto"/>
      </w:pPr>
    </w:p>
    <w:p w14:paraId="21436ACF" w14:textId="11C3CED6" w:rsidR="006E1FE5" w:rsidRDefault="006E1FE5" w:rsidP="006E1FE5">
      <w:pPr>
        <w:pStyle w:val="Titre2"/>
      </w:pPr>
      <w:bookmarkStart w:id="208" w:name="_Toc139181499"/>
      <w:r>
        <w:t>Définition</w:t>
      </w:r>
      <w:bookmarkEnd w:id="208"/>
    </w:p>
    <w:p w14:paraId="74F55D90" w14:textId="77777777" w:rsidR="006E1FE5" w:rsidRDefault="006E1FE5" w:rsidP="006E38F8">
      <w:pPr>
        <w:spacing w:after="0" w:line="240" w:lineRule="auto"/>
      </w:pPr>
    </w:p>
    <w:p w14:paraId="68CCFD26" w14:textId="77777777" w:rsidR="006E38F8" w:rsidRPr="006E38F8" w:rsidRDefault="006E38F8" w:rsidP="006E38F8">
      <w:pPr>
        <w:pStyle w:val="NormalWeb"/>
        <w:shd w:val="clear" w:color="auto" w:fill="FFFFFF"/>
        <w:spacing w:before="0" w:beforeAutospacing="0" w:after="0" w:afterAutospacing="0"/>
        <w:jc w:val="both"/>
        <w:rPr>
          <w:rFonts w:ascii="Calibri" w:hAnsi="Calibri" w:cs="Calibri"/>
          <w:sz w:val="22"/>
          <w:szCs w:val="22"/>
        </w:rPr>
      </w:pPr>
      <w:r w:rsidRPr="006E38F8">
        <w:rPr>
          <w:rFonts w:ascii="Calibri" w:hAnsi="Calibri" w:cs="Calibri"/>
          <w:sz w:val="22"/>
          <w:szCs w:val="22"/>
        </w:rPr>
        <w:t>L’</w:t>
      </w:r>
      <w:r w:rsidRPr="006E38F8">
        <w:rPr>
          <w:rFonts w:ascii="Calibri" w:hAnsi="Calibri" w:cs="Calibri"/>
          <w:b/>
          <w:bCs/>
          <w:sz w:val="22"/>
          <w:szCs w:val="22"/>
        </w:rPr>
        <w:t>algoculture</w:t>
      </w:r>
      <w:r w:rsidRPr="006E38F8">
        <w:rPr>
          <w:rFonts w:ascii="Calibri" w:hAnsi="Calibri" w:cs="Calibri"/>
          <w:sz w:val="22"/>
          <w:szCs w:val="22"/>
        </w:rPr>
        <w:t> ou </w:t>
      </w:r>
      <w:r w:rsidRPr="006E38F8">
        <w:rPr>
          <w:rFonts w:ascii="Calibri" w:hAnsi="Calibri" w:cs="Calibri"/>
          <w:b/>
          <w:bCs/>
          <w:sz w:val="22"/>
          <w:szCs w:val="22"/>
        </w:rPr>
        <w:t>phycoculture</w:t>
      </w:r>
      <w:r w:rsidRPr="006E38F8">
        <w:rPr>
          <w:rFonts w:ascii="Calibri" w:hAnsi="Calibri" w:cs="Calibri"/>
          <w:sz w:val="22"/>
          <w:szCs w:val="22"/>
        </w:rPr>
        <w:t> désigne la culture en masse des </w:t>
      </w:r>
      <w:hyperlink r:id="rId2568" w:tooltip="Algues" w:history="1">
        <w:r w:rsidRPr="006E38F8">
          <w:rPr>
            <w:rStyle w:val="Lienhypertexte"/>
            <w:rFonts w:ascii="Calibri" w:hAnsi="Calibri" w:cs="Calibri"/>
            <w:color w:val="0645AD"/>
            <w:sz w:val="22"/>
            <w:szCs w:val="22"/>
            <w:u w:val="none"/>
          </w:rPr>
          <w:t>algues</w:t>
        </w:r>
      </w:hyperlink>
      <w:r w:rsidRPr="006E38F8">
        <w:rPr>
          <w:rFonts w:ascii="Calibri" w:hAnsi="Calibri" w:cs="Calibri"/>
          <w:color w:val="202122"/>
          <w:sz w:val="22"/>
          <w:szCs w:val="22"/>
        </w:rPr>
        <w:t> </w:t>
      </w:r>
      <w:r w:rsidRPr="006E38F8">
        <w:rPr>
          <w:rFonts w:ascii="Calibri" w:hAnsi="Calibri" w:cs="Calibri"/>
          <w:sz w:val="22"/>
          <w:szCs w:val="22"/>
        </w:rPr>
        <w:t>dans un but industriel et commercial. Ce domaine concerne aussi bien les</w:t>
      </w:r>
      <w:r w:rsidRPr="006E38F8">
        <w:rPr>
          <w:rFonts w:ascii="Calibri" w:hAnsi="Calibri" w:cs="Calibri"/>
          <w:color w:val="202122"/>
          <w:sz w:val="22"/>
          <w:szCs w:val="22"/>
        </w:rPr>
        <w:t> </w:t>
      </w:r>
      <w:hyperlink r:id="rId2569" w:tooltip="Microalgue" w:history="1">
        <w:r w:rsidRPr="006E38F8">
          <w:rPr>
            <w:rStyle w:val="Lienhypertexte"/>
            <w:rFonts w:ascii="Calibri" w:hAnsi="Calibri" w:cs="Calibri"/>
            <w:color w:val="0645AD"/>
            <w:sz w:val="22"/>
            <w:szCs w:val="22"/>
            <w:u w:val="none"/>
          </w:rPr>
          <w:t>micro-algues</w:t>
        </w:r>
      </w:hyperlink>
      <w:r w:rsidRPr="006E38F8">
        <w:rPr>
          <w:rFonts w:ascii="Calibri" w:hAnsi="Calibri" w:cs="Calibri"/>
          <w:color w:val="202122"/>
          <w:sz w:val="22"/>
          <w:szCs w:val="22"/>
        </w:rPr>
        <w:t> </w:t>
      </w:r>
      <w:r w:rsidRPr="006E38F8">
        <w:rPr>
          <w:rFonts w:ascii="Calibri" w:hAnsi="Calibri" w:cs="Calibri"/>
          <w:sz w:val="22"/>
          <w:szCs w:val="22"/>
        </w:rPr>
        <w:t>(également appelées phytoplancton, microphytes, algues planctoniques) que les </w:t>
      </w:r>
      <w:hyperlink r:id="rId2570" w:tooltip="Macroalgue" w:history="1">
        <w:r w:rsidRPr="006E38F8">
          <w:rPr>
            <w:rStyle w:val="Lienhypertexte"/>
            <w:rFonts w:ascii="Calibri" w:hAnsi="Calibri" w:cs="Calibri"/>
            <w:color w:val="0645AD"/>
            <w:sz w:val="22"/>
            <w:szCs w:val="22"/>
            <w:u w:val="none"/>
          </w:rPr>
          <w:t>macro-algues</w:t>
        </w:r>
      </w:hyperlink>
      <w:r w:rsidRPr="006E38F8">
        <w:rPr>
          <w:rFonts w:ascii="Calibri" w:hAnsi="Calibri" w:cs="Calibri"/>
          <w:color w:val="202122"/>
          <w:sz w:val="22"/>
          <w:szCs w:val="22"/>
        </w:rPr>
        <w:t> (</w:t>
      </w:r>
      <w:r w:rsidRPr="006E38F8">
        <w:rPr>
          <w:rFonts w:ascii="Calibri" w:hAnsi="Calibri" w:cs="Calibri"/>
          <w:sz w:val="22"/>
          <w:szCs w:val="22"/>
        </w:rPr>
        <w:t>que l’on désigne aussi par le terme </w:t>
      </w:r>
      <w:hyperlink r:id="rId2571" w:tooltip="Goémon" w:history="1">
        <w:r w:rsidRPr="006E38F8">
          <w:rPr>
            <w:rStyle w:val="Lienhypertexte"/>
            <w:rFonts w:ascii="Calibri" w:hAnsi="Calibri" w:cs="Calibri"/>
            <w:color w:val="0645AD"/>
            <w:sz w:val="22"/>
            <w:szCs w:val="22"/>
            <w:u w:val="none"/>
          </w:rPr>
          <w:t>goémon</w:t>
        </w:r>
      </w:hyperlink>
      <w:r w:rsidRPr="006E38F8">
        <w:rPr>
          <w:rFonts w:ascii="Calibri" w:hAnsi="Calibri" w:cs="Calibri"/>
          <w:color w:val="202122"/>
          <w:sz w:val="22"/>
          <w:szCs w:val="22"/>
        </w:rPr>
        <w:t> </w:t>
      </w:r>
      <w:r w:rsidRPr="006E38F8">
        <w:rPr>
          <w:rFonts w:ascii="Calibri" w:hAnsi="Calibri" w:cs="Calibri"/>
          <w:sz w:val="22"/>
          <w:szCs w:val="22"/>
        </w:rPr>
        <w:t>en français).</w:t>
      </w:r>
    </w:p>
    <w:p w14:paraId="1B189098" w14:textId="1FE29A19" w:rsidR="006E38F8" w:rsidRDefault="006E38F8" w:rsidP="006E38F8">
      <w:pPr>
        <w:pStyle w:val="NormalWeb"/>
        <w:shd w:val="clear" w:color="auto" w:fill="FFFFFF"/>
        <w:spacing w:before="0" w:beforeAutospacing="0" w:after="0" w:afterAutospacing="0"/>
        <w:jc w:val="both"/>
        <w:rPr>
          <w:rFonts w:ascii="Calibri" w:hAnsi="Calibri" w:cs="Calibri"/>
          <w:color w:val="202122"/>
          <w:sz w:val="22"/>
          <w:szCs w:val="22"/>
        </w:rPr>
      </w:pPr>
      <w:r w:rsidRPr="006E38F8">
        <w:rPr>
          <w:rFonts w:ascii="Calibri" w:hAnsi="Calibri" w:cs="Calibri"/>
          <w:sz w:val="22"/>
          <w:szCs w:val="22"/>
        </w:rPr>
        <w:t>Le but de cette activité aquacole est de produire aussi bien des aliments (pour la consommation humaine ou animale), des compléments alimentaires, des produits vétérinaires et pharmaceutiques, des </w:t>
      </w:r>
      <w:hyperlink r:id="rId2572" w:tooltip="Cosmétiques" w:history="1">
        <w:r w:rsidRPr="006E38F8">
          <w:rPr>
            <w:rStyle w:val="Lienhypertexte"/>
            <w:rFonts w:ascii="Calibri" w:hAnsi="Calibri" w:cs="Calibri"/>
            <w:color w:val="0645AD"/>
            <w:sz w:val="22"/>
            <w:szCs w:val="22"/>
            <w:u w:val="none"/>
          </w:rPr>
          <w:t>cosmétiques</w:t>
        </w:r>
      </w:hyperlink>
      <w:r w:rsidRPr="006E38F8">
        <w:rPr>
          <w:rFonts w:ascii="Calibri" w:hAnsi="Calibri" w:cs="Calibri"/>
          <w:color w:val="202122"/>
          <w:sz w:val="22"/>
          <w:szCs w:val="22"/>
        </w:rPr>
        <w:t xml:space="preserve">, </w:t>
      </w:r>
      <w:r w:rsidRPr="006E38F8">
        <w:rPr>
          <w:rFonts w:ascii="Calibri" w:hAnsi="Calibri" w:cs="Calibri"/>
          <w:sz w:val="22"/>
          <w:szCs w:val="22"/>
        </w:rPr>
        <w:t>des matières bioplastiques, des </w:t>
      </w:r>
      <w:hyperlink r:id="rId2573" w:tooltip="Engrais" w:history="1">
        <w:r w:rsidRPr="006E38F8">
          <w:rPr>
            <w:rStyle w:val="Lienhypertexte"/>
            <w:rFonts w:ascii="Calibri" w:hAnsi="Calibri" w:cs="Calibri"/>
            <w:color w:val="0645AD"/>
            <w:sz w:val="22"/>
            <w:szCs w:val="22"/>
            <w:u w:val="none"/>
          </w:rPr>
          <w:t>fertilisants</w:t>
        </w:r>
      </w:hyperlink>
      <w:r w:rsidRPr="006E38F8">
        <w:rPr>
          <w:rFonts w:ascii="Calibri" w:hAnsi="Calibri" w:cs="Calibri"/>
          <w:color w:val="202122"/>
          <w:sz w:val="22"/>
          <w:szCs w:val="22"/>
        </w:rPr>
        <w:t> </w:t>
      </w:r>
      <w:r w:rsidRPr="006E38F8">
        <w:rPr>
          <w:rFonts w:ascii="Calibri" w:hAnsi="Calibri" w:cs="Calibri"/>
          <w:sz w:val="22"/>
          <w:szCs w:val="22"/>
        </w:rPr>
        <w:t xml:space="preserve">ou encore des sources d’énergies renouvelables </w:t>
      </w:r>
      <w:r w:rsidRPr="006E38F8">
        <w:rPr>
          <w:rFonts w:ascii="Calibri" w:hAnsi="Calibri" w:cs="Calibri"/>
          <w:color w:val="202122"/>
          <w:sz w:val="22"/>
          <w:szCs w:val="22"/>
        </w:rPr>
        <w:t>(</w:t>
      </w:r>
      <w:hyperlink r:id="rId2574" w:tooltip="Algocarburant" w:history="1">
        <w:r w:rsidRPr="006E38F8">
          <w:rPr>
            <w:rStyle w:val="Lienhypertexte"/>
            <w:rFonts w:ascii="Calibri" w:hAnsi="Calibri" w:cs="Calibri"/>
            <w:color w:val="0645AD"/>
            <w:sz w:val="22"/>
            <w:szCs w:val="22"/>
            <w:u w:val="none"/>
          </w:rPr>
          <w:t>algocarburant</w:t>
        </w:r>
      </w:hyperlink>
      <w:r w:rsidRPr="006E38F8">
        <w:rPr>
          <w:rFonts w:ascii="Calibri" w:hAnsi="Calibri" w:cs="Calibri"/>
          <w:color w:val="202122"/>
          <w:sz w:val="22"/>
          <w:szCs w:val="22"/>
        </w:rPr>
        <w:t>, </w:t>
      </w:r>
      <w:hyperlink r:id="rId2575" w:tooltip="Biogaz" w:history="1">
        <w:r w:rsidRPr="006E38F8">
          <w:rPr>
            <w:rStyle w:val="Lienhypertexte"/>
            <w:rFonts w:ascii="Calibri" w:hAnsi="Calibri" w:cs="Calibri"/>
            <w:color w:val="0645AD"/>
            <w:sz w:val="22"/>
            <w:szCs w:val="22"/>
            <w:u w:val="none"/>
          </w:rPr>
          <w:t>biogaz</w:t>
        </w:r>
      </w:hyperlink>
      <w:r w:rsidRPr="006E38F8">
        <w:rPr>
          <w:rFonts w:ascii="Calibri" w:hAnsi="Calibri" w:cs="Calibri"/>
          <w:color w:val="202122"/>
          <w:sz w:val="22"/>
          <w:szCs w:val="22"/>
        </w:rPr>
        <w:t xml:space="preserve">) </w:t>
      </w:r>
      <w:r w:rsidRPr="006E38F8">
        <w:rPr>
          <w:rFonts w:ascii="Calibri" w:hAnsi="Calibri" w:cs="Calibri"/>
          <w:sz w:val="22"/>
          <w:szCs w:val="22"/>
        </w:rPr>
        <w:t>ou en</w:t>
      </w:r>
      <w:r w:rsidRPr="006E38F8">
        <w:rPr>
          <w:rFonts w:ascii="Calibri" w:hAnsi="Calibri" w:cs="Calibri"/>
          <w:color w:val="202122"/>
          <w:sz w:val="22"/>
          <w:szCs w:val="22"/>
        </w:rPr>
        <w:t> </w:t>
      </w:r>
      <w:hyperlink r:id="rId2576" w:history="1">
        <w:r w:rsidRPr="006E38F8">
          <w:rPr>
            <w:rStyle w:val="Lienhypertexte"/>
            <w:rFonts w:ascii="Calibri" w:hAnsi="Calibri" w:cs="Calibri"/>
            <w:color w:val="0645AD"/>
            <w:sz w:val="22"/>
            <w:szCs w:val="22"/>
          </w:rPr>
          <w:t>phytoremédiation</w:t>
        </w:r>
      </w:hyperlink>
      <w:r w:rsidRPr="006E38F8">
        <w:rPr>
          <w:rFonts w:ascii="Calibri" w:hAnsi="Calibri" w:cs="Calibri"/>
          <w:color w:val="202122"/>
          <w:sz w:val="22"/>
          <w:szCs w:val="22"/>
        </w:rPr>
        <w:t xml:space="preserve">. </w:t>
      </w:r>
      <w:r w:rsidRPr="006E38F8">
        <w:rPr>
          <w:rFonts w:ascii="Calibri" w:hAnsi="Calibri" w:cs="Calibri"/>
          <w:sz w:val="22"/>
          <w:szCs w:val="22"/>
        </w:rPr>
        <w:t>Des usages plus récents portent sur les </w:t>
      </w:r>
      <w:hyperlink r:id="rId2577" w:tooltip="Nanobiotechnologie" w:history="1">
        <w:r w:rsidRPr="006E38F8">
          <w:rPr>
            <w:rStyle w:val="Lienhypertexte"/>
            <w:rFonts w:ascii="Calibri" w:hAnsi="Calibri" w:cs="Calibri"/>
            <w:color w:val="0645AD"/>
            <w:sz w:val="22"/>
            <w:szCs w:val="22"/>
            <w:u w:val="none"/>
          </w:rPr>
          <w:t>nanobiotechnologies</w:t>
        </w:r>
      </w:hyperlink>
      <w:r w:rsidRPr="006E38F8">
        <w:rPr>
          <w:rFonts w:ascii="Calibri" w:hAnsi="Calibri" w:cs="Calibri"/>
          <w:color w:val="202122"/>
          <w:sz w:val="22"/>
          <w:szCs w:val="22"/>
        </w:rPr>
        <w:t> ou bien le génie génétique.</w:t>
      </w:r>
    </w:p>
    <w:p w14:paraId="175E8381" w14:textId="4AC04898" w:rsidR="006E1FE5" w:rsidRDefault="006E1FE5" w:rsidP="006E38F8">
      <w:pPr>
        <w:pStyle w:val="NormalWeb"/>
        <w:shd w:val="clear" w:color="auto" w:fill="FFFFFF"/>
        <w:spacing w:before="0" w:beforeAutospacing="0" w:after="0" w:afterAutospacing="0"/>
        <w:jc w:val="both"/>
        <w:rPr>
          <w:rFonts w:ascii="Calibri" w:hAnsi="Calibri" w:cs="Calibri"/>
          <w:sz w:val="22"/>
          <w:szCs w:val="22"/>
        </w:rPr>
      </w:pPr>
    </w:p>
    <w:p w14:paraId="1D0BBCFD" w14:textId="3C08CA0D" w:rsidR="007F3F0D" w:rsidRDefault="007F3F0D" w:rsidP="007F3F0D">
      <w:pPr>
        <w:pStyle w:val="NormalWeb"/>
        <w:shd w:val="clear" w:color="auto" w:fill="FFFFFF"/>
        <w:spacing w:before="0" w:beforeAutospacing="0" w:after="0" w:afterAutospacing="0"/>
        <w:jc w:val="both"/>
        <w:rPr>
          <w:rFonts w:ascii="Calibri" w:hAnsi="Calibri" w:cs="Calibri"/>
          <w:sz w:val="22"/>
          <w:szCs w:val="22"/>
        </w:rPr>
      </w:pPr>
      <w:r w:rsidRPr="007F3F0D">
        <w:rPr>
          <w:rFonts w:ascii="Calibri" w:hAnsi="Calibri" w:cs="Calibri"/>
          <w:sz w:val="22"/>
          <w:szCs w:val="22"/>
        </w:rPr>
        <w:t>Selon la FAO, 145 espèces d’algues seraient régulièrement consommées dans le monde. Sauvages ou cultivées, elles sont utilisées directement ou indirectement sous forme de compléments alimentaires ou d'additifs</w:t>
      </w:r>
      <w:r>
        <w:rPr>
          <w:rStyle w:val="Appelnotedebasdep"/>
          <w:rFonts w:ascii="Calibri" w:hAnsi="Calibri" w:cs="Calibri"/>
          <w:sz w:val="22"/>
          <w:szCs w:val="22"/>
        </w:rPr>
        <w:footnoteReference w:id="137"/>
      </w:r>
      <w:r w:rsidRPr="007F3F0D">
        <w:rPr>
          <w:rFonts w:ascii="Calibri" w:hAnsi="Calibri" w:cs="Calibri"/>
          <w:sz w:val="22"/>
          <w:szCs w:val="22"/>
        </w:rPr>
        <w:t>.</w:t>
      </w:r>
    </w:p>
    <w:p w14:paraId="4DADBBD5" w14:textId="77777777" w:rsidR="007F3F0D" w:rsidRDefault="007F3F0D" w:rsidP="006E38F8">
      <w:pPr>
        <w:pStyle w:val="NormalWeb"/>
        <w:shd w:val="clear" w:color="auto" w:fill="FFFFFF"/>
        <w:spacing w:before="0" w:beforeAutospacing="0" w:after="0" w:afterAutospacing="0"/>
        <w:jc w:val="both"/>
        <w:rPr>
          <w:rFonts w:ascii="Calibri" w:hAnsi="Calibri" w:cs="Calibri"/>
          <w:sz w:val="22"/>
          <w:szCs w:val="22"/>
        </w:rPr>
      </w:pPr>
    </w:p>
    <w:p w14:paraId="7A97356F" w14:textId="6E96E412" w:rsidR="006E1FE5" w:rsidRDefault="006E1FE5" w:rsidP="006E1FE5">
      <w:pPr>
        <w:pStyle w:val="Titre2"/>
      </w:pPr>
      <w:bookmarkStart w:id="209" w:name="_Toc139181500"/>
      <w:r>
        <w:t>Importance de l’algoculture dans le monde</w:t>
      </w:r>
      <w:bookmarkEnd w:id="209"/>
    </w:p>
    <w:p w14:paraId="124DB6E4" w14:textId="206B615B" w:rsidR="006E1FE5" w:rsidRDefault="006E1FE5" w:rsidP="006E38F8">
      <w:pPr>
        <w:pStyle w:val="NormalWeb"/>
        <w:shd w:val="clear" w:color="auto" w:fill="FFFFFF"/>
        <w:spacing w:before="0" w:beforeAutospacing="0" w:after="0" w:afterAutospacing="0"/>
        <w:jc w:val="both"/>
        <w:rPr>
          <w:rFonts w:ascii="Calibri" w:hAnsi="Calibri" w:cs="Calibri"/>
          <w:sz w:val="22"/>
          <w:szCs w:val="22"/>
        </w:rPr>
      </w:pPr>
    </w:p>
    <w:p w14:paraId="362D6C06" w14:textId="1FE7B43F" w:rsidR="006E38F8" w:rsidRDefault="006E38F8" w:rsidP="006E38F8">
      <w:pPr>
        <w:pStyle w:val="NormalWeb"/>
        <w:shd w:val="clear" w:color="auto" w:fill="FFFFFF"/>
        <w:spacing w:before="0" w:beforeAutospacing="0" w:after="0" w:afterAutospacing="0"/>
        <w:jc w:val="both"/>
        <w:rPr>
          <w:rFonts w:ascii="Calibri" w:hAnsi="Calibri" w:cs="Calibri"/>
          <w:sz w:val="22"/>
          <w:szCs w:val="22"/>
          <w:shd w:val="clear" w:color="auto" w:fill="FFFFFF"/>
        </w:rPr>
      </w:pPr>
      <w:r w:rsidRPr="006E38F8">
        <w:rPr>
          <w:rFonts w:ascii="Calibri" w:hAnsi="Calibri" w:cs="Calibri"/>
          <w:sz w:val="22"/>
          <w:szCs w:val="22"/>
          <w:shd w:val="clear" w:color="auto" w:fill="FFFFFF"/>
        </w:rPr>
        <w:t>Depuis le développement de l'algoculture et de la </w:t>
      </w:r>
      <w:hyperlink r:id="rId2578" w:tooltip="Mariculture" w:history="1">
        <w:r w:rsidRPr="006E38F8">
          <w:rPr>
            <w:rStyle w:val="Lienhypertexte"/>
            <w:rFonts w:ascii="Calibri" w:hAnsi="Calibri" w:cs="Calibri"/>
            <w:color w:val="0645AD"/>
            <w:sz w:val="22"/>
            <w:szCs w:val="22"/>
            <w:shd w:val="clear" w:color="auto" w:fill="FFFFFF"/>
          </w:rPr>
          <w:t>mariculture</w:t>
        </w:r>
      </w:hyperlink>
      <w:r w:rsidRPr="006E38F8">
        <w:rPr>
          <w:rFonts w:ascii="Calibri" w:hAnsi="Calibri" w:cs="Calibri"/>
          <w:color w:val="202122"/>
          <w:sz w:val="22"/>
          <w:szCs w:val="22"/>
          <w:shd w:val="clear" w:color="auto" w:fill="FFFFFF"/>
        </w:rPr>
        <w:t> </w:t>
      </w:r>
      <w:r w:rsidRPr="006E38F8">
        <w:rPr>
          <w:rFonts w:ascii="Calibri" w:hAnsi="Calibri" w:cs="Calibri"/>
          <w:sz w:val="22"/>
          <w:szCs w:val="22"/>
          <w:shd w:val="clear" w:color="auto" w:fill="FFFFFF"/>
        </w:rPr>
        <w:t>pour beaucoup d'espèces d'intérêt commercial, elle est devenue largement plus importante que la </w:t>
      </w:r>
      <w:hyperlink r:id="rId2579" w:tooltip="Récolte du goémon" w:history="1">
        <w:r w:rsidRPr="006E38F8">
          <w:rPr>
            <w:rStyle w:val="Lienhypertexte"/>
            <w:rFonts w:ascii="Calibri" w:hAnsi="Calibri" w:cs="Calibri"/>
            <w:color w:val="0645AD"/>
            <w:sz w:val="22"/>
            <w:szCs w:val="22"/>
            <w:shd w:val="clear" w:color="auto" w:fill="FFFFFF"/>
          </w:rPr>
          <w:t>cueillette</w:t>
        </w:r>
      </w:hyperlink>
      <w:r w:rsidRPr="006E38F8">
        <w:rPr>
          <w:rFonts w:ascii="Calibri" w:hAnsi="Calibri" w:cs="Calibri"/>
          <w:color w:val="202122"/>
          <w:sz w:val="22"/>
          <w:szCs w:val="22"/>
          <w:shd w:val="clear" w:color="auto" w:fill="FFFFFF"/>
        </w:rPr>
        <w:t> </w:t>
      </w:r>
      <w:r w:rsidRPr="006E38F8">
        <w:rPr>
          <w:rFonts w:ascii="Calibri" w:hAnsi="Calibri" w:cs="Calibri"/>
          <w:sz w:val="22"/>
          <w:szCs w:val="22"/>
          <w:shd w:val="clear" w:color="auto" w:fill="FFFFFF"/>
        </w:rPr>
        <w:t>: 14,8 millions de tonnes produites en 2005 contre 1,3 million de tonnes collectées. La quasi-totalité de ces cultures se fait en Asie. En 2005, les algues brunes sont les macro-algues les plus cultivées (7,8 millions de tonnes), suivies des algues rouges (4,8 millions de tonnes). Les algues vertes ne représentent alors que 13 000 tonnes. L'essentiel de la production se fait en Asie.</w:t>
      </w:r>
    </w:p>
    <w:p w14:paraId="555669F1" w14:textId="77777777" w:rsidR="00966A79" w:rsidRDefault="00966A79" w:rsidP="006E38F8">
      <w:pPr>
        <w:pStyle w:val="NormalWeb"/>
        <w:shd w:val="clear" w:color="auto" w:fill="FFFFFF"/>
        <w:spacing w:before="0" w:beforeAutospacing="0" w:after="0" w:afterAutospacing="0"/>
        <w:jc w:val="both"/>
        <w:rPr>
          <w:rFonts w:ascii="Calibri" w:hAnsi="Calibri" w:cs="Calibri"/>
          <w:sz w:val="22"/>
          <w:szCs w:val="22"/>
          <w:shd w:val="clear" w:color="auto" w:fill="FFFFFF"/>
        </w:rPr>
      </w:pPr>
    </w:p>
    <w:p w14:paraId="7EC30400" w14:textId="43CE1DB4" w:rsidR="006E38F8" w:rsidRPr="006E38F8" w:rsidRDefault="006E38F8" w:rsidP="006E38F8">
      <w:pPr>
        <w:pStyle w:val="NormalWeb"/>
        <w:shd w:val="clear" w:color="auto" w:fill="FFFFFF"/>
        <w:spacing w:before="0" w:beforeAutospacing="0" w:after="0" w:afterAutospacing="0"/>
        <w:jc w:val="both"/>
        <w:rPr>
          <w:rFonts w:ascii="Calibri" w:hAnsi="Calibri" w:cs="Calibri"/>
          <w:sz w:val="22"/>
          <w:szCs w:val="22"/>
          <w:shd w:val="clear" w:color="auto" w:fill="FFFFFF"/>
        </w:rPr>
      </w:pPr>
      <w:r w:rsidRPr="006E38F8">
        <w:rPr>
          <w:rFonts w:ascii="Calibri" w:hAnsi="Calibri" w:cs="Calibri"/>
          <w:sz w:val="22"/>
          <w:szCs w:val="22"/>
          <w:shd w:val="clear" w:color="auto" w:fill="FFFFFF"/>
        </w:rPr>
        <w:t>Les algues brunes les plus cultivées sont </w:t>
      </w:r>
      <w:r w:rsidRPr="006E38F8">
        <w:rPr>
          <w:rFonts w:ascii="Calibri" w:hAnsi="Calibri" w:cs="Calibri"/>
          <w:i/>
          <w:iCs/>
          <w:sz w:val="22"/>
          <w:szCs w:val="22"/>
          <w:shd w:val="clear" w:color="auto" w:fill="FFFFFF"/>
        </w:rPr>
        <w:t>Saccharina japonica</w:t>
      </w:r>
      <w:r w:rsidRPr="006E38F8">
        <w:rPr>
          <w:rFonts w:ascii="Calibri" w:hAnsi="Calibri" w:cs="Calibri"/>
          <w:sz w:val="22"/>
          <w:szCs w:val="22"/>
          <w:shd w:val="clear" w:color="auto" w:fill="FFFFFF"/>
        </w:rPr>
        <w:t> (4,9 millions de tonnes par an) et </w:t>
      </w:r>
      <w:r w:rsidRPr="006E38F8">
        <w:rPr>
          <w:rFonts w:ascii="Calibri" w:hAnsi="Calibri" w:cs="Calibri"/>
          <w:i/>
          <w:iCs/>
          <w:sz w:val="22"/>
          <w:szCs w:val="22"/>
          <w:shd w:val="clear" w:color="auto" w:fill="FFFFFF"/>
        </w:rPr>
        <w:t>Undaria pinnatifida</w:t>
      </w:r>
      <w:r w:rsidRPr="006E38F8">
        <w:rPr>
          <w:rFonts w:ascii="Calibri" w:hAnsi="Calibri" w:cs="Calibri"/>
          <w:sz w:val="22"/>
          <w:szCs w:val="22"/>
          <w:shd w:val="clear" w:color="auto" w:fill="FFFFFF"/>
        </w:rPr>
        <w:t> (2,7 millions de tonnes par an). Parmi les algues rouges, les plus cultivées sont </w:t>
      </w:r>
      <w:r w:rsidR="00DA465A" w:rsidRPr="00DA465A">
        <w:rPr>
          <w:rFonts w:ascii="Calibri" w:hAnsi="Calibri" w:cs="Calibri"/>
          <w:i/>
          <w:iCs/>
          <w:sz w:val="22"/>
          <w:szCs w:val="22"/>
          <w:shd w:val="clear" w:color="auto" w:fill="FFFFFF"/>
        </w:rPr>
        <w:t>Pyropia tenera</w:t>
      </w:r>
      <w:r w:rsidR="00DA465A" w:rsidRPr="006E38F8">
        <w:rPr>
          <w:rFonts w:ascii="Calibri" w:hAnsi="Calibri" w:cs="Calibri"/>
          <w:sz w:val="22"/>
          <w:szCs w:val="22"/>
          <w:shd w:val="clear" w:color="auto" w:fill="FFFFFF"/>
        </w:rPr>
        <w:t xml:space="preserve"> </w:t>
      </w:r>
      <w:r w:rsidRPr="006E38F8">
        <w:rPr>
          <w:rFonts w:ascii="Calibri" w:hAnsi="Calibri" w:cs="Calibri"/>
          <w:sz w:val="22"/>
          <w:szCs w:val="22"/>
          <w:shd w:val="clear" w:color="auto" w:fill="FFFFFF"/>
        </w:rPr>
        <w:t>(1,39 million de tonnes), </w:t>
      </w:r>
      <w:r w:rsidRPr="006E38F8">
        <w:rPr>
          <w:rFonts w:ascii="Calibri" w:hAnsi="Calibri" w:cs="Calibri"/>
          <w:i/>
          <w:iCs/>
          <w:sz w:val="22"/>
          <w:szCs w:val="22"/>
          <w:shd w:val="clear" w:color="auto" w:fill="FFFFFF"/>
        </w:rPr>
        <w:t>Euchema sp</w:t>
      </w:r>
      <w:r w:rsidRPr="006E38F8">
        <w:rPr>
          <w:rFonts w:ascii="Calibri" w:hAnsi="Calibri" w:cs="Calibri"/>
          <w:sz w:val="22"/>
          <w:szCs w:val="22"/>
          <w:shd w:val="clear" w:color="auto" w:fill="FFFFFF"/>
        </w:rPr>
        <w:t>. (1,38 million de tonnes) et </w:t>
      </w:r>
      <w:r w:rsidRPr="006E38F8">
        <w:rPr>
          <w:rFonts w:ascii="Calibri" w:hAnsi="Calibri" w:cs="Calibri"/>
          <w:i/>
          <w:iCs/>
          <w:sz w:val="22"/>
          <w:szCs w:val="22"/>
          <w:shd w:val="clear" w:color="auto" w:fill="FFFFFF"/>
        </w:rPr>
        <w:t>Gracilaria sp</w:t>
      </w:r>
      <w:r w:rsidRPr="006E38F8">
        <w:rPr>
          <w:rFonts w:ascii="Calibri" w:hAnsi="Calibri" w:cs="Calibri"/>
          <w:sz w:val="22"/>
          <w:szCs w:val="22"/>
          <w:shd w:val="clear" w:color="auto" w:fill="FFFFFF"/>
        </w:rPr>
        <w:t>. (1,03 million de tonnes).</w:t>
      </w:r>
    </w:p>
    <w:p w14:paraId="5005CC54" w14:textId="77777777" w:rsidR="002770D8" w:rsidRPr="002770D8" w:rsidRDefault="006E38F8" w:rsidP="002770D8">
      <w:pPr>
        <w:pStyle w:val="NormalWeb"/>
        <w:shd w:val="clear" w:color="auto" w:fill="FFFFFF"/>
        <w:spacing w:before="0" w:beforeAutospacing="0" w:after="0" w:afterAutospacing="0"/>
        <w:jc w:val="both"/>
        <w:rPr>
          <w:rFonts w:ascii="Calibri" w:hAnsi="Calibri" w:cs="Calibri"/>
          <w:sz w:val="22"/>
          <w:szCs w:val="22"/>
          <w:shd w:val="clear" w:color="auto" w:fill="F8F9FA"/>
        </w:rPr>
      </w:pPr>
      <w:r w:rsidRPr="006E38F8">
        <w:rPr>
          <w:rFonts w:ascii="Calibri" w:hAnsi="Calibri" w:cs="Calibri"/>
          <w:sz w:val="22"/>
          <w:szCs w:val="22"/>
          <w:shd w:val="clear" w:color="auto" w:fill="FFFFFF"/>
        </w:rPr>
        <w:t>Leur production est écoulée principalement sous forme d'aliments pour les marchés de la Chine et la Corée du Sud et du Japon. Elles sont aussi cultivées pour leurs </w:t>
      </w:r>
      <w:hyperlink r:id="rId2580" w:tooltip="Phycocolloïdes (page inexistante)" w:history="1">
        <w:r w:rsidRPr="006E38F8">
          <w:rPr>
            <w:rStyle w:val="Lienhypertexte"/>
            <w:rFonts w:ascii="Calibri" w:hAnsi="Calibri" w:cs="Calibri"/>
            <w:color w:val="DD3333"/>
            <w:sz w:val="22"/>
            <w:szCs w:val="22"/>
            <w:shd w:val="clear" w:color="auto" w:fill="FFFFFF"/>
          </w:rPr>
          <w:t>phycocolloïdes</w:t>
        </w:r>
      </w:hyperlink>
      <w:r w:rsidRPr="006E38F8">
        <w:rPr>
          <w:rFonts w:ascii="Calibri" w:hAnsi="Calibri" w:cs="Calibri"/>
          <w:color w:val="202122"/>
          <w:sz w:val="22"/>
          <w:szCs w:val="22"/>
          <w:shd w:val="clear" w:color="auto" w:fill="FFFFFF"/>
        </w:rPr>
        <w:t> </w:t>
      </w:r>
      <w:r w:rsidRPr="006E38F8">
        <w:rPr>
          <w:rFonts w:ascii="Calibri" w:hAnsi="Calibri" w:cs="Calibri"/>
          <w:sz w:val="22"/>
          <w:szCs w:val="22"/>
          <w:shd w:val="clear" w:color="auto" w:fill="FFFFFF"/>
        </w:rPr>
        <w:t>: les </w:t>
      </w:r>
      <w:hyperlink r:id="rId2581" w:tooltip="Carraghénane" w:history="1">
        <w:r w:rsidRPr="006E38F8">
          <w:rPr>
            <w:rStyle w:val="Lienhypertexte"/>
            <w:rFonts w:ascii="Calibri" w:hAnsi="Calibri" w:cs="Calibri"/>
            <w:color w:val="0645AD"/>
            <w:sz w:val="22"/>
            <w:szCs w:val="22"/>
            <w:shd w:val="clear" w:color="auto" w:fill="FFFFFF"/>
          </w:rPr>
          <w:t>carraghénanes</w:t>
        </w:r>
      </w:hyperlink>
      <w:r w:rsidRPr="006E38F8">
        <w:rPr>
          <w:rFonts w:ascii="Calibri" w:hAnsi="Calibri" w:cs="Calibri"/>
          <w:color w:val="202122"/>
          <w:sz w:val="22"/>
          <w:szCs w:val="22"/>
          <w:shd w:val="clear" w:color="auto" w:fill="FFFFFF"/>
        </w:rPr>
        <w:t> </w:t>
      </w:r>
      <w:r w:rsidRPr="006E38F8">
        <w:rPr>
          <w:rFonts w:ascii="Calibri" w:hAnsi="Calibri" w:cs="Calibri"/>
          <w:sz w:val="22"/>
          <w:szCs w:val="22"/>
          <w:shd w:val="clear" w:color="auto" w:fill="FFFFFF"/>
        </w:rPr>
        <w:t>extraits de l'algue rouge </w:t>
      </w:r>
      <w:r w:rsidRPr="006E38F8">
        <w:rPr>
          <w:rFonts w:ascii="Calibri" w:hAnsi="Calibri" w:cs="Calibri"/>
          <w:i/>
          <w:iCs/>
          <w:sz w:val="22"/>
          <w:szCs w:val="22"/>
          <w:shd w:val="clear" w:color="auto" w:fill="FFFFFF"/>
        </w:rPr>
        <w:t>Chondrus crispus</w:t>
      </w:r>
      <w:r w:rsidRPr="006E38F8">
        <w:rPr>
          <w:rFonts w:ascii="Calibri" w:hAnsi="Calibri" w:cs="Calibri"/>
          <w:sz w:val="22"/>
          <w:szCs w:val="22"/>
          <w:shd w:val="clear" w:color="auto" w:fill="FFFFFF"/>
        </w:rPr>
        <w:t xml:space="preserve"> servent de gélifiants, de même que </w:t>
      </w:r>
      <w:r w:rsidRPr="006E38F8">
        <w:rPr>
          <w:rFonts w:ascii="Calibri" w:hAnsi="Calibri" w:cs="Calibri"/>
          <w:color w:val="202122"/>
          <w:sz w:val="22"/>
          <w:szCs w:val="22"/>
          <w:shd w:val="clear" w:color="auto" w:fill="FFFFFF"/>
        </w:rPr>
        <w:t>l'</w:t>
      </w:r>
      <w:hyperlink r:id="rId2582" w:tooltip="Agar-agar" w:history="1">
        <w:r w:rsidRPr="006E38F8">
          <w:rPr>
            <w:rStyle w:val="Lienhypertexte"/>
            <w:rFonts w:ascii="Calibri" w:hAnsi="Calibri" w:cs="Calibri"/>
            <w:color w:val="0645AD"/>
            <w:sz w:val="22"/>
            <w:szCs w:val="22"/>
            <w:shd w:val="clear" w:color="auto" w:fill="FFFFFF"/>
          </w:rPr>
          <w:t>agar-agar</w:t>
        </w:r>
      </w:hyperlink>
      <w:r w:rsidRPr="006E38F8">
        <w:rPr>
          <w:rFonts w:ascii="Calibri" w:hAnsi="Calibri" w:cs="Calibri"/>
          <w:color w:val="202122"/>
          <w:sz w:val="22"/>
          <w:szCs w:val="22"/>
          <w:shd w:val="clear" w:color="auto" w:fill="FFFFFF"/>
        </w:rPr>
        <w:t xml:space="preserve">. </w:t>
      </w:r>
      <w:r w:rsidR="002770D8" w:rsidRPr="002770D8">
        <w:rPr>
          <w:rFonts w:ascii="Calibri" w:hAnsi="Calibri" w:cs="Calibri"/>
          <w:sz w:val="22"/>
          <w:szCs w:val="22"/>
          <w:shd w:val="clear" w:color="auto" w:fill="FFFFFF"/>
        </w:rPr>
        <w:t>Les carraghénanes sont utilisés dans diverses applications commerciales comme la formation de gels, agent d'épaississement et de stabilisation, en particulier dans les produits alimentaires tels que desserts glacés, lait chocolaté, </w:t>
      </w:r>
      <w:hyperlink r:id="rId2583" w:tooltip="Cottage cheese" w:history="1">
        <w:r w:rsidR="002770D8" w:rsidRPr="002770D8">
          <w:rPr>
            <w:rStyle w:val="Lienhypertexte"/>
            <w:rFonts w:ascii="Calibri" w:hAnsi="Calibri" w:cs="Calibri"/>
            <w:i/>
            <w:iCs/>
            <w:color w:val="0645AD"/>
            <w:sz w:val="22"/>
            <w:szCs w:val="22"/>
            <w:shd w:val="clear" w:color="auto" w:fill="FFFFFF"/>
          </w:rPr>
          <w:t>cottage cheese</w:t>
        </w:r>
      </w:hyperlink>
      <w:r w:rsidR="002770D8" w:rsidRPr="002770D8">
        <w:rPr>
          <w:rFonts w:ascii="Calibri" w:hAnsi="Calibri" w:cs="Calibri"/>
          <w:color w:val="202122"/>
          <w:sz w:val="22"/>
          <w:szCs w:val="22"/>
          <w:shd w:val="clear" w:color="auto" w:fill="FFFFFF"/>
        </w:rPr>
        <w:t xml:space="preserve">, </w:t>
      </w:r>
      <w:r w:rsidR="002770D8" w:rsidRPr="002770D8">
        <w:rPr>
          <w:rFonts w:ascii="Calibri" w:hAnsi="Calibri" w:cs="Calibri"/>
          <w:sz w:val="22"/>
          <w:szCs w:val="22"/>
          <w:shd w:val="clear" w:color="auto" w:fill="FFFFFF"/>
        </w:rPr>
        <w:t>crème fouettée, produits instantanés, yaourts, gelées, aliments pour animaux et sauces. Les carraghénanes sont aussi utilisés dans des formulations pharmacologiques, cosmétiques, et dans des applications industrielles comme l’extraction minière.</w:t>
      </w:r>
    </w:p>
    <w:p w14:paraId="7E816B93" w14:textId="77777777" w:rsidR="002770D8" w:rsidRDefault="002770D8" w:rsidP="006E38F8">
      <w:pPr>
        <w:pStyle w:val="NormalWeb"/>
        <w:shd w:val="clear" w:color="auto" w:fill="FFFFFF"/>
        <w:spacing w:before="0" w:beforeAutospacing="0" w:after="0" w:afterAutospacing="0"/>
        <w:jc w:val="both"/>
        <w:rPr>
          <w:rFonts w:ascii="Calibri" w:hAnsi="Calibri" w:cs="Calibri"/>
          <w:sz w:val="22"/>
          <w:szCs w:val="22"/>
          <w:shd w:val="clear" w:color="auto" w:fill="FFFFFF"/>
        </w:rPr>
      </w:pPr>
    </w:p>
    <w:p w14:paraId="740292C9" w14:textId="7FEE92C4" w:rsidR="00933A3D" w:rsidRDefault="00933A3D" w:rsidP="006E38F8">
      <w:pPr>
        <w:pStyle w:val="NormalWeb"/>
        <w:shd w:val="clear" w:color="auto" w:fill="FFFFFF"/>
        <w:spacing w:before="0" w:beforeAutospacing="0" w:after="0" w:afterAutospacing="0"/>
        <w:jc w:val="both"/>
        <w:rPr>
          <w:rFonts w:ascii="Calibri" w:hAnsi="Calibri" w:cs="Calibri"/>
          <w:sz w:val="22"/>
          <w:szCs w:val="22"/>
          <w:shd w:val="clear" w:color="auto" w:fill="FFFFFF"/>
        </w:rPr>
      </w:pPr>
      <w:r>
        <w:rPr>
          <w:rFonts w:ascii="Calibri" w:hAnsi="Calibri" w:cs="Calibri"/>
          <w:sz w:val="22"/>
          <w:szCs w:val="22"/>
          <w:shd w:val="clear" w:color="auto" w:fill="FFFFFF"/>
        </w:rPr>
        <w:t>« </w:t>
      </w:r>
      <w:r w:rsidRPr="00933A3D">
        <w:rPr>
          <w:rFonts w:ascii="Calibri" w:hAnsi="Calibri" w:cs="Calibri"/>
          <w:i/>
          <w:iCs/>
          <w:sz w:val="22"/>
          <w:szCs w:val="22"/>
          <w:shd w:val="clear" w:color="auto" w:fill="FFFFFF"/>
        </w:rPr>
        <w:t>Les carraghénanes générés par les algues rouges Kappaphycus alvarezii représentaient, en 2009, un marché annuel de 527 millions USD avec une production annuelle totale de 50.000 tonnes</w:t>
      </w:r>
      <w:r>
        <w:rPr>
          <w:rFonts w:ascii="Calibri" w:hAnsi="Calibri" w:cs="Calibri"/>
          <w:sz w:val="22"/>
          <w:szCs w:val="22"/>
          <w:shd w:val="clear" w:color="auto" w:fill="FFFFFF"/>
        </w:rPr>
        <w:t> »</w:t>
      </w:r>
      <w:r>
        <w:rPr>
          <w:rStyle w:val="Appelnotedebasdep"/>
          <w:rFonts w:ascii="Calibri" w:hAnsi="Calibri" w:cs="Calibri"/>
          <w:sz w:val="22"/>
          <w:szCs w:val="22"/>
          <w:shd w:val="clear" w:color="auto" w:fill="FFFFFF"/>
        </w:rPr>
        <w:footnoteReference w:id="138"/>
      </w:r>
      <w:r w:rsidRPr="00933A3D">
        <w:rPr>
          <w:rFonts w:ascii="Calibri" w:hAnsi="Calibri" w:cs="Calibri"/>
          <w:sz w:val="22"/>
          <w:szCs w:val="22"/>
          <w:shd w:val="clear" w:color="auto" w:fill="FFFFFF"/>
        </w:rPr>
        <w:t>.</w:t>
      </w:r>
    </w:p>
    <w:p w14:paraId="5ED4166F" w14:textId="77777777" w:rsidR="002770D8" w:rsidRDefault="002770D8" w:rsidP="006E1FE5">
      <w:pPr>
        <w:pStyle w:val="NormalWeb"/>
        <w:shd w:val="clear" w:color="auto" w:fill="FFFFFF"/>
        <w:spacing w:before="0" w:beforeAutospacing="0" w:after="0" w:afterAutospacing="0"/>
        <w:jc w:val="both"/>
        <w:rPr>
          <w:rFonts w:ascii="Calibri" w:hAnsi="Calibri" w:cs="Calibri"/>
          <w:sz w:val="22"/>
          <w:szCs w:val="22"/>
          <w:shd w:val="clear" w:color="auto" w:fill="FFFFFF"/>
        </w:rPr>
      </w:pPr>
    </w:p>
    <w:p w14:paraId="7F8C2BBF" w14:textId="4608E8B4" w:rsidR="006E1FE5" w:rsidRDefault="002770D8" w:rsidP="006E1FE5">
      <w:pPr>
        <w:pStyle w:val="NormalWeb"/>
        <w:shd w:val="clear" w:color="auto" w:fill="FFFFFF"/>
        <w:spacing w:before="0" w:beforeAutospacing="0" w:after="0" w:afterAutospacing="0"/>
        <w:jc w:val="both"/>
        <w:rPr>
          <w:rFonts w:ascii="Calibri" w:hAnsi="Calibri" w:cs="Calibri"/>
          <w:sz w:val="22"/>
          <w:szCs w:val="22"/>
          <w:shd w:val="clear" w:color="auto" w:fill="FFFFFF"/>
        </w:rPr>
      </w:pPr>
      <w:r w:rsidRPr="006E38F8">
        <w:rPr>
          <w:rFonts w:ascii="Calibri" w:hAnsi="Calibri" w:cs="Calibri"/>
          <w:sz w:val="22"/>
          <w:szCs w:val="22"/>
          <w:shd w:val="clear" w:color="auto" w:fill="FFFFFF"/>
        </w:rPr>
        <w:t>Elles sont aussi utilisées comme </w:t>
      </w:r>
      <w:hyperlink r:id="rId2584" w:tooltip="Tourteaux" w:history="1">
        <w:r w:rsidRPr="006E38F8">
          <w:rPr>
            <w:rStyle w:val="Lienhypertexte"/>
            <w:rFonts w:ascii="Calibri" w:hAnsi="Calibri" w:cs="Calibri"/>
            <w:color w:val="0645AD"/>
            <w:sz w:val="22"/>
            <w:szCs w:val="22"/>
            <w:shd w:val="clear" w:color="auto" w:fill="FFFFFF"/>
          </w:rPr>
          <w:t>tourteaux</w:t>
        </w:r>
      </w:hyperlink>
      <w:r w:rsidRPr="006E38F8">
        <w:rPr>
          <w:rFonts w:ascii="Calibri" w:hAnsi="Calibri" w:cs="Calibri"/>
          <w:color w:val="202122"/>
          <w:sz w:val="22"/>
          <w:szCs w:val="22"/>
          <w:shd w:val="clear" w:color="auto" w:fill="FFFFFF"/>
        </w:rPr>
        <w:t> </w:t>
      </w:r>
      <w:r w:rsidRPr="006E38F8">
        <w:rPr>
          <w:rFonts w:ascii="Calibri" w:hAnsi="Calibri" w:cs="Calibri"/>
          <w:sz w:val="22"/>
          <w:szCs w:val="22"/>
          <w:shd w:val="clear" w:color="auto" w:fill="FFFFFF"/>
        </w:rPr>
        <w:t>pour l'alimentation animale.</w:t>
      </w:r>
    </w:p>
    <w:p w14:paraId="3BB36157" w14:textId="77777777" w:rsidR="002770D8" w:rsidRDefault="002770D8" w:rsidP="006E1FE5">
      <w:pPr>
        <w:pStyle w:val="NormalWeb"/>
        <w:shd w:val="clear" w:color="auto" w:fill="FFFFFF"/>
        <w:spacing w:before="0" w:beforeAutospacing="0" w:after="0" w:afterAutospacing="0"/>
        <w:jc w:val="both"/>
        <w:rPr>
          <w:rFonts w:ascii="Calibri" w:hAnsi="Calibri" w:cs="Calibri"/>
          <w:sz w:val="22"/>
          <w:szCs w:val="22"/>
        </w:rPr>
      </w:pPr>
    </w:p>
    <w:p w14:paraId="70E3F490" w14:textId="77777777" w:rsidR="0066387A" w:rsidRDefault="006E1FE5" w:rsidP="006E1FE5">
      <w:pPr>
        <w:pStyle w:val="NormalWeb"/>
        <w:shd w:val="clear" w:color="auto" w:fill="FFFFFF"/>
        <w:spacing w:before="0" w:beforeAutospacing="0" w:after="0" w:afterAutospacing="0"/>
        <w:jc w:val="both"/>
        <w:rPr>
          <w:rFonts w:ascii="Calibri" w:hAnsi="Calibri" w:cs="Calibri"/>
          <w:sz w:val="22"/>
          <w:szCs w:val="22"/>
          <w:shd w:val="clear" w:color="auto" w:fill="FFFFFF"/>
        </w:rPr>
      </w:pPr>
      <w:r w:rsidRPr="006E38F8">
        <w:rPr>
          <w:rFonts w:ascii="Calibri" w:hAnsi="Calibri" w:cs="Calibri"/>
          <w:sz w:val="22"/>
          <w:szCs w:val="22"/>
        </w:rPr>
        <w:t>Dans cet ouvrage nous n’aborderon</w:t>
      </w:r>
      <w:r>
        <w:rPr>
          <w:rFonts w:ascii="Calibri" w:hAnsi="Calibri" w:cs="Calibri"/>
          <w:sz w:val="22"/>
          <w:szCs w:val="22"/>
        </w:rPr>
        <w:t>s que la culture d</w:t>
      </w:r>
      <w:r w:rsidR="002770D8">
        <w:rPr>
          <w:rFonts w:ascii="Calibri" w:hAnsi="Calibri" w:cs="Calibri"/>
          <w:sz w:val="22"/>
          <w:szCs w:val="22"/>
        </w:rPr>
        <w:t>es macro-</w:t>
      </w:r>
      <w:r>
        <w:rPr>
          <w:rFonts w:ascii="Calibri" w:hAnsi="Calibri" w:cs="Calibri"/>
          <w:sz w:val="22"/>
          <w:szCs w:val="22"/>
        </w:rPr>
        <w:t xml:space="preserve">algues, en eau salée, en pleine mer et en bassin, en culture de masse, dont celles </w:t>
      </w:r>
      <w:r w:rsidRPr="006E38F8">
        <w:rPr>
          <w:rFonts w:ascii="Calibri" w:hAnsi="Calibri" w:cs="Calibri"/>
          <w:sz w:val="22"/>
          <w:szCs w:val="22"/>
          <w:shd w:val="clear" w:color="auto" w:fill="FFFFFF"/>
        </w:rPr>
        <w:t>cultivées dans des « champs marins », comme les algues brunes </w:t>
      </w:r>
      <w:r w:rsidRPr="006E38F8">
        <w:rPr>
          <w:rFonts w:ascii="Calibri" w:hAnsi="Calibri" w:cs="Calibri"/>
          <w:i/>
          <w:iCs/>
          <w:sz w:val="22"/>
          <w:szCs w:val="22"/>
          <w:shd w:val="clear" w:color="auto" w:fill="FFFFFF"/>
        </w:rPr>
        <w:t>Laminaria japonica</w:t>
      </w:r>
      <w:r w:rsidRPr="006E38F8">
        <w:rPr>
          <w:rFonts w:ascii="Calibri" w:hAnsi="Calibri" w:cs="Calibri"/>
          <w:sz w:val="22"/>
          <w:szCs w:val="22"/>
          <w:shd w:val="clear" w:color="auto" w:fill="FFFFFF"/>
        </w:rPr>
        <w:t> </w:t>
      </w:r>
    </w:p>
    <w:p w14:paraId="3F7743C2" w14:textId="6E724FA1" w:rsidR="006E1FE5" w:rsidRDefault="0066387A" w:rsidP="006E1FE5">
      <w:pPr>
        <w:pStyle w:val="NormalWeb"/>
        <w:shd w:val="clear" w:color="auto" w:fill="FFFFFF"/>
        <w:spacing w:before="0" w:beforeAutospacing="0" w:after="0" w:afterAutospacing="0"/>
        <w:jc w:val="both"/>
        <w:rPr>
          <w:rFonts w:ascii="Calibri" w:hAnsi="Calibri" w:cs="Calibri"/>
          <w:sz w:val="22"/>
          <w:szCs w:val="22"/>
        </w:rPr>
      </w:pPr>
      <w:r>
        <w:rPr>
          <w:rFonts w:ascii="Calibri" w:hAnsi="Calibri" w:cs="Calibri"/>
          <w:sz w:val="22"/>
          <w:szCs w:val="22"/>
          <w:shd w:val="clear" w:color="auto" w:fill="FFFFFF"/>
        </w:rPr>
        <w:t xml:space="preserve">  </w:t>
      </w:r>
      <w:r w:rsidR="006E1FE5" w:rsidRPr="006E38F8">
        <w:rPr>
          <w:rFonts w:ascii="Calibri" w:hAnsi="Calibri" w:cs="Calibri"/>
          <w:sz w:val="22"/>
          <w:szCs w:val="22"/>
          <w:shd w:val="clear" w:color="auto" w:fill="FFFFFF"/>
        </w:rPr>
        <w:t>(4,9 millions de tonnes par an) et </w:t>
      </w:r>
      <w:r w:rsidR="006E1FE5" w:rsidRPr="006E38F8">
        <w:rPr>
          <w:rFonts w:ascii="Calibri" w:hAnsi="Calibri" w:cs="Calibri"/>
          <w:i/>
          <w:iCs/>
          <w:sz w:val="22"/>
          <w:szCs w:val="22"/>
          <w:shd w:val="clear" w:color="auto" w:fill="FFFFFF"/>
        </w:rPr>
        <w:t>Undaria pinnatifida</w:t>
      </w:r>
      <w:r w:rsidR="006E1FE5" w:rsidRPr="006E38F8">
        <w:rPr>
          <w:rFonts w:ascii="Calibri" w:hAnsi="Calibri" w:cs="Calibri"/>
          <w:sz w:val="22"/>
          <w:szCs w:val="22"/>
          <w:shd w:val="clear" w:color="auto" w:fill="FFFFFF"/>
        </w:rPr>
        <w:t> (2,7 millions de tonnes par an)</w:t>
      </w:r>
      <w:r w:rsidR="006E1FE5">
        <w:rPr>
          <w:rStyle w:val="Appelnotedebasdep"/>
          <w:rFonts w:ascii="Calibri" w:hAnsi="Calibri" w:cs="Calibri"/>
          <w:sz w:val="22"/>
          <w:szCs w:val="22"/>
          <w:shd w:val="clear" w:color="auto" w:fill="FFFFFF"/>
        </w:rPr>
        <w:footnoteReference w:id="139"/>
      </w:r>
      <w:r w:rsidR="006E1FE5" w:rsidRPr="006E38F8">
        <w:rPr>
          <w:rFonts w:ascii="Calibri" w:hAnsi="Calibri" w:cs="Calibri"/>
          <w:sz w:val="22"/>
          <w:szCs w:val="22"/>
          <w:shd w:val="clear" w:color="auto" w:fill="FFFFFF"/>
        </w:rPr>
        <w:t>.</w:t>
      </w:r>
    </w:p>
    <w:p w14:paraId="2753C8FC" w14:textId="06C0A5C6" w:rsidR="006E38F8" w:rsidRDefault="006E38F8" w:rsidP="006E1FE5">
      <w:pPr>
        <w:pStyle w:val="NormalWeb"/>
        <w:shd w:val="clear" w:color="auto" w:fill="FFFFFF"/>
        <w:spacing w:before="0" w:beforeAutospacing="0" w:after="0" w:afterAutospacing="0"/>
        <w:jc w:val="both"/>
        <w:rPr>
          <w:rFonts w:ascii="Calibri" w:hAnsi="Calibri" w:cs="Calibri"/>
          <w:sz w:val="22"/>
          <w:szCs w:val="22"/>
          <w:shd w:val="clear" w:color="auto" w:fill="FFFFFF"/>
        </w:rPr>
      </w:pPr>
    </w:p>
    <w:p w14:paraId="27A440E6" w14:textId="096D8063" w:rsidR="00933A3D" w:rsidRDefault="00933A3D" w:rsidP="00933A3D">
      <w:pPr>
        <w:pStyle w:val="Titre2"/>
        <w:rPr>
          <w:shd w:val="clear" w:color="auto" w:fill="FFFFFF"/>
        </w:rPr>
      </w:pPr>
      <w:bookmarkStart w:id="210" w:name="_Toc139181501"/>
      <w:r>
        <w:rPr>
          <w:shd w:val="clear" w:color="auto" w:fill="FFFFFF"/>
        </w:rPr>
        <w:lastRenderedPageBreak/>
        <w:t>L’importance écologique de l’algoculture</w:t>
      </w:r>
      <w:bookmarkEnd w:id="210"/>
    </w:p>
    <w:p w14:paraId="61975EA6" w14:textId="0716F773" w:rsidR="00933A3D" w:rsidRDefault="00933A3D" w:rsidP="006E1FE5">
      <w:pPr>
        <w:pStyle w:val="NormalWeb"/>
        <w:shd w:val="clear" w:color="auto" w:fill="FFFFFF"/>
        <w:spacing w:before="0" w:beforeAutospacing="0" w:after="0" w:afterAutospacing="0"/>
        <w:jc w:val="both"/>
        <w:rPr>
          <w:rFonts w:ascii="Calibri" w:hAnsi="Calibri" w:cs="Calibri"/>
          <w:sz w:val="22"/>
          <w:szCs w:val="22"/>
          <w:shd w:val="clear" w:color="auto" w:fill="FFFFFF"/>
        </w:rPr>
      </w:pPr>
    </w:p>
    <w:p w14:paraId="171FB4E5" w14:textId="452E8C4B" w:rsidR="00933A3D" w:rsidRDefault="00933A3D" w:rsidP="006E1FE5">
      <w:pPr>
        <w:pStyle w:val="NormalWeb"/>
        <w:shd w:val="clear" w:color="auto" w:fill="FFFFFF"/>
        <w:spacing w:before="0" w:beforeAutospacing="0" w:after="0" w:afterAutospacing="0"/>
        <w:jc w:val="both"/>
        <w:rPr>
          <w:rFonts w:ascii="Calibri" w:hAnsi="Calibri" w:cs="Calibri"/>
          <w:sz w:val="22"/>
          <w:szCs w:val="22"/>
          <w:shd w:val="clear" w:color="auto" w:fill="FFFFFF"/>
        </w:rPr>
      </w:pPr>
      <w:r>
        <w:rPr>
          <w:rFonts w:ascii="Calibri" w:hAnsi="Calibri" w:cs="Calibri"/>
          <w:sz w:val="22"/>
          <w:szCs w:val="22"/>
          <w:shd w:val="clear" w:color="auto" w:fill="FFFFFF"/>
        </w:rPr>
        <w:t>« </w:t>
      </w:r>
      <w:r w:rsidRPr="00933A3D">
        <w:rPr>
          <w:rFonts w:ascii="Calibri" w:hAnsi="Calibri" w:cs="Calibri"/>
          <w:i/>
          <w:iCs/>
          <w:sz w:val="22"/>
          <w:szCs w:val="22"/>
          <w:shd w:val="clear" w:color="auto" w:fill="FFFFFF"/>
        </w:rPr>
        <w:t>Outre les retombées économiques, la culture des algues constitue une alternative à la surpêche et présente de grands avantages environnementaux. Les algues aident à désacidifier les eaux océaniques en éliminant le carbone et créent un environnement sain dans lequel les coquillages prospèrent</w:t>
      </w:r>
      <w:r>
        <w:rPr>
          <w:rFonts w:ascii="Calibri" w:hAnsi="Calibri" w:cs="Calibri"/>
          <w:sz w:val="22"/>
          <w:szCs w:val="22"/>
          <w:shd w:val="clear" w:color="auto" w:fill="FFFFFF"/>
        </w:rPr>
        <w:t> »</w:t>
      </w:r>
      <w:r>
        <w:rPr>
          <w:rStyle w:val="Appelnotedebasdep"/>
          <w:rFonts w:ascii="Calibri" w:hAnsi="Calibri" w:cs="Calibri"/>
          <w:sz w:val="22"/>
          <w:szCs w:val="22"/>
          <w:shd w:val="clear" w:color="auto" w:fill="FFFFFF"/>
        </w:rPr>
        <w:footnoteReference w:id="140"/>
      </w:r>
      <w:r w:rsidRPr="00933A3D">
        <w:rPr>
          <w:rFonts w:ascii="Calibri" w:hAnsi="Calibri" w:cs="Calibri"/>
          <w:sz w:val="22"/>
          <w:szCs w:val="22"/>
          <w:shd w:val="clear" w:color="auto" w:fill="FFFFFF"/>
        </w:rPr>
        <w:t>.</w:t>
      </w:r>
    </w:p>
    <w:p w14:paraId="1FDCD72A" w14:textId="77777777" w:rsidR="00933A3D" w:rsidRDefault="00933A3D" w:rsidP="006E1FE5">
      <w:pPr>
        <w:pStyle w:val="NormalWeb"/>
        <w:shd w:val="clear" w:color="auto" w:fill="FFFFFF"/>
        <w:spacing w:before="0" w:beforeAutospacing="0" w:after="0" w:afterAutospacing="0"/>
        <w:jc w:val="both"/>
        <w:rPr>
          <w:rFonts w:ascii="Calibri" w:hAnsi="Calibri" w:cs="Calibri"/>
          <w:sz w:val="22"/>
          <w:szCs w:val="22"/>
          <w:shd w:val="clear" w:color="auto" w:fill="FFFFFF"/>
        </w:rPr>
      </w:pPr>
    </w:p>
    <w:p w14:paraId="5820873F" w14:textId="77777777" w:rsidR="006E1FE5" w:rsidRPr="006E1FE5" w:rsidRDefault="006E1FE5" w:rsidP="006E1FE5">
      <w:pPr>
        <w:pStyle w:val="Titre2"/>
      </w:pPr>
      <w:bookmarkStart w:id="211" w:name="_Toc139181502"/>
      <w:r w:rsidRPr="006E1FE5">
        <w:t>La culture d’algues et ses techniques</w:t>
      </w:r>
      <w:bookmarkEnd w:id="211"/>
    </w:p>
    <w:p w14:paraId="72F15A5E" w14:textId="77777777" w:rsidR="006E1FE5" w:rsidRPr="006E1FE5" w:rsidRDefault="006E1FE5" w:rsidP="006E1FE5">
      <w:pPr>
        <w:pStyle w:val="NormalWeb"/>
        <w:shd w:val="clear" w:color="auto" w:fill="FFFFFF"/>
        <w:spacing w:before="0" w:beforeAutospacing="0" w:after="0" w:afterAutospacing="0"/>
        <w:jc w:val="both"/>
        <w:rPr>
          <w:rFonts w:ascii="Calibri" w:hAnsi="Calibri" w:cs="Calibri"/>
          <w:sz w:val="22"/>
          <w:szCs w:val="22"/>
        </w:rPr>
      </w:pPr>
    </w:p>
    <w:p w14:paraId="3024CA3A" w14:textId="27EB2F5B" w:rsidR="006E1FE5" w:rsidRPr="006E1FE5" w:rsidRDefault="006E1FE5" w:rsidP="006E1FE5">
      <w:pPr>
        <w:pStyle w:val="NormalWeb"/>
        <w:shd w:val="clear" w:color="auto" w:fill="FFFFFF"/>
        <w:spacing w:before="0" w:beforeAutospacing="0" w:after="0" w:afterAutospacing="0"/>
        <w:jc w:val="both"/>
        <w:rPr>
          <w:rFonts w:ascii="Calibri" w:hAnsi="Calibri" w:cs="Calibri"/>
          <w:i/>
          <w:iCs/>
          <w:sz w:val="22"/>
          <w:szCs w:val="22"/>
        </w:rPr>
      </w:pPr>
      <w:r>
        <w:rPr>
          <w:rFonts w:ascii="Calibri" w:hAnsi="Calibri" w:cs="Calibri"/>
          <w:sz w:val="22"/>
          <w:szCs w:val="22"/>
        </w:rPr>
        <w:t>« </w:t>
      </w:r>
      <w:r w:rsidRPr="006E1FE5">
        <w:rPr>
          <w:rFonts w:ascii="Calibri" w:hAnsi="Calibri" w:cs="Calibri"/>
          <w:i/>
          <w:iCs/>
          <w:sz w:val="22"/>
          <w:szCs w:val="22"/>
        </w:rPr>
        <w:t>A Madagascar, les algues sont cultivées en utilisant la technique “off-bottom” ou “piquets- cordes”. Cette technique est la plus communément utilisée de par le monde et reste simple à mettre en place, peu coûteuse et efficace.</w:t>
      </w:r>
    </w:p>
    <w:p w14:paraId="0E6ED323" w14:textId="77777777" w:rsidR="006E1FE5" w:rsidRPr="006E1FE5" w:rsidRDefault="006E1FE5" w:rsidP="006E1FE5">
      <w:pPr>
        <w:pStyle w:val="NormalWeb"/>
        <w:shd w:val="clear" w:color="auto" w:fill="FFFFFF"/>
        <w:spacing w:before="0" w:beforeAutospacing="0" w:after="0" w:afterAutospacing="0"/>
        <w:jc w:val="both"/>
        <w:rPr>
          <w:rFonts w:ascii="Calibri" w:hAnsi="Calibri" w:cs="Calibri"/>
          <w:i/>
          <w:iCs/>
          <w:sz w:val="22"/>
          <w:szCs w:val="22"/>
        </w:rPr>
      </w:pPr>
    </w:p>
    <w:p w14:paraId="4CA6A4CE" w14:textId="77777777" w:rsidR="006E1FE5" w:rsidRPr="006E1FE5" w:rsidRDefault="006E1FE5" w:rsidP="006E1FE5">
      <w:pPr>
        <w:pStyle w:val="NormalWeb"/>
        <w:shd w:val="clear" w:color="auto" w:fill="FFFFFF"/>
        <w:spacing w:before="0" w:beforeAutospacing="0" w:after="0" w:afterAutospacing="0"/>
        <w:jc w:val="both"/>
        <w:rPr>
          <w:rFonts w:ascii="Calibri" w:hAnsi="Calibri" w:cs="Calibri"/>
          <w:i/>
          <w:iCs/>
          <w:sz w:val="22"/>
          <w:szCs w:val="22"/>
        </w:rPr>
      </w:pPr>
      <w:r w:rsidRPr="006E1FE5">
        <w:rPr>
          <w:rFonts w:ascii="Calibri" w:hAnsi="Calibri" w:cs="Calibri"/>
          <w:i/>
          <w:iCs/>
          <w:sz w:val="22"/>
          <w:szCs w:val="22"/>
        </w:rPr>
        <w:t>Ces algues ont un mode de reproduction végétatif. Le fermier sélectionne des boutures d’environ 100g qu’il viendra ensuite fixer sur une corde à l’aide d’un système appelé “Made Loop” du nom de son inventeur. Les cordes bouturées sont ensuite tendues entre deux piquets de bois solidement enfoncés dans le sable et positionnées au-dessus du substrat. L’ensemble des cordes bouturées formant des champs de culture bien ordonnés dans l’eau disposés et orientés dans des sites spécifiques propices à l’algoculture. Le cycle de culture varie entre 30 et 45 jours selon la saison et la taille des boutures, période durant laquelle le fermier passe dans ses champs à marée basse, pour effectuer les travaux d’entretien nécessaire au bon développement de ses algues. Le fermier récolte donc les algues matures à marée basse qu’il mettra ensuite à sécher sur des tables, en s’assurant d’en conserver une partie pour le renouvellement de ses cultures. Une partie du travail s’effectue à terre avec le séchage et la mise en sac des algues après contrôle. L’algoculture est véritablement un métier à part entière, rythmé par le cycle des marées.</w:t>
      </w:r>
    </w:p>
    <w:p w14:paraId="300D4A6E" w14:textId="77777777" w:rsidR="006E1FE5" w:rsidRPr="006E1FE5" w:rsidRDefault="006E1FE5" w:rsidP="006E1FE5">
      <w:pPr>
        <w:pStyle w:val="NormalWeb"/>
        <w:shd w:val="clear" w:color="auto" w:fill="FFFFFF"/>
        <w:spacing w:before="0" w:beforeAutospacing="0" w:after="0" w:afterAutospacing="0"/>
        <w:jc w:val="both"/>
        <w:rPr>
          <w:rFonts w:ascii="Calibri" w:hAnsi="Calibri" w:cs="Calibri"/>
          <w:i/>
          <w:iCs/>
          <w:sz w:val="22"/>
          <w:szCs w:val="22"/>
        </w:rPr>
      </w:pPr>
    </w:p>
    <w:p w14:paraId="01251547" w14:textId="77777777" w:rsidR="003B15DC" w:rsidRDefault="006E1FE5" w:rsidP="006E1FE5">
      <w:pPr>
        <w:pStyle w:val="NormalWeb"/>
        <w:shd w:val="clear" w:color="auto" w:fill="FFFFFF"/>
        <w:spacing w:before="0" w:beforeAutospacing="0" w:after="0" w:afterAutospacing="0"/>
        <w:jc w:val="both"/>
        <w:rPr>
          <w:rFonts w:ascii="Calibri" w:hAnsi="Calibri" w:cs="Calibri"/>
          <w:i/>
          <w:iCs/>
          <w:sz w:val="22"/>
          <w:szCs w:val="22"/>
        </w:rPr>
      </w:pPr>
      <w:r w:rsidRPr="006E1FE5">
        <w:rPr>
          <w:rFonts w:ascii="Calibri" w:hAnsi="Calibri" w:cs="Calibri"/>
          <w:i/>
          <w:iCs/>
          <w:sz w:val="22"/>
          <w:szCs w:val="22"/>
        </w:rPr>
        <w:t xml:space="preserve">C’est une activité difficile, soumise aux conditions climatiques qui apportent leur lots de désagréments </w:t>
      </w:r>
    </w:p>
    <w:p w14:paraId="43F12DA4" w14:textId="1670D196" w:rsidR="003B15DC" w:rsidRDefault="006E1FE5" w:rsidP="006E1FE5">
      <w:pPr>
        <w:pStyle w:val="NormalWeb"/>
        <w:shd w:val="clear" w:color="auto" w:fill="FFFFFF"/>
        <w:spacing w:before="0" w:beforeAutospacing="0" w:after="0" w:afterAutospacing="0"/>
        <w:jc w:val="both"/>
        <w:rPr>
          <w:rFonts w:ascii="Calibri" w:hAnsi="Calibri" w:cs="Calibri"/>
          <w:i/>
          <w:iCs/>
          <w:sz w:val="22"/>
          <w:szCs w:val="22"/>
        </w:rPr>
      </w:pPr>
      <w:r w:rsidRPr="006E1FE5">
        <w:rPr>
          <w:rFonts w:ascii="Calibri" w:hAnsi="Calibri" w:cs="Calibri"/>
          <w:i/>
          <w:iCs/>
          <w:sz w:val="22"/>
          <w:szCs w:val="22"/>
        </w:rPr>
        <w:t>(cyclones, algues parasites, ice-ice</w:t>
      </w:r>
      <w:r>
        <w:rPr>
          <w:rStyle w:val="Appelnotedebasdep"/>
          <w:rFonts w:ascii="Calibri" w:hAnsi="Calibri" w:cs="Calibri"/>
          <w:i/>
          <w:iCs/>
          <w:sz w:val="22"/>
          <w:szCs w:val="22"/>
        </w:rPr>
        <w:footnoteReference w:id="141"/>
      </w:r>
      <w:r>
        <w:rPr>
          <w:rFonts w:ascii="Calibri" w:hAnsi="Calibri" w:cs="Calibri"/>
          <w:i/>
          <w:iCs/>
          <w:sz w:val="22"/>
          <w:szCs w:val="22"/>
        </w:rPr>
        <w:t xml:space="preserve"> </w:t>
      </w:r>
      <w:r w:rsidRPr="006E1FE5">
        <w:rPr>
          <w:rFonts w:ascii="Calibri" w:hAnsi="Calibri" w:cs="Calibri"/>
          <w:i/>
          <w:iCs/>
          <w:sz w:val="22"/>
          <w:szCs w:val="22"/>
        </w:rPr>
        <w:t xml:space="preserve">…) mais c’est une activité qui offre aussi de nombreux avantages et bienfaits pour </w:t>
      </w:r>
    </w:p>
    <w:p w14:paraId="559C0A81" w14:textId="4D4DFD09" w:rsidR="006E1FE5" w:rsidRDefault="006E1FE5" w:rsidP="006E1FE5">
      <w:pPr>
        <w:pStyle w:val="NormalWeb"/>
        <w:shd w:val="clear" w:color="auto" w:fill="FFFFFF"/>
        <w:spacing w:before="0" w:beforeAutospacing="0" w:after="0" w:afterAutospacing="0"/>
        <w:jc w:val="both"/>
        <w:rPr>
          <w:rFonts w:ascii="Calibri" w:hAnsi="Calibri" w:cs="Calibri"/>
          <w:sz w:val="22"/>
          <w:szCs w:val="22"/>
        </w:rPr>
      </w:pPr>
      <w:r w:rsidRPr="006E1FE5">
        <w:rPr>
          <w:rFonts w:ascii="Calibri" w:hAnsi="Calibri" w:cs="Calibri"/>
          <w:i/>
          <w:iCs/>
          <w:sz w:val="22"/>
          <w:szCs w:val="22"/>
        </w:rPr>
        <w:t>les fermiers et l’environnement</w:t>
      </w:r>
      <w:r>
        <w:rPr>
          <w:rFonts w:ascii="Calibri" w:hAnsi="Calibri" w:cs="Calibri"/>
          <w:sz w:val="22"/>
          <w:szCs w:val="22"/>
        </w:rPr>
        <w:t> »</w:t>
      </w:r>
      <w:r>
        <w:rPr>
          <w:rStyle w:val="Appelnotedebasdep"/>
          <w:rFonts w:ascii="Calibri" w:hAnsi="Calibri" w:cs="Calibri"/>
          <w:sz w:val="22"/>
          <w:szCs w:val="22"/>
        </w:rPr>
        <w:footnoteReference w:id="142"/>
      </w:r>
      <w:r w:rsidRPr="006E1FE5">
        <w:rPr>
          <w:rFonts w:ascii="Calibri" w:hAnsi="Calibri" w:cs="Calibri"/>
          <w:sz w:val="22"/>
          <w:szCs w:val="22"/>
        </w:rPr>
        <w:t>.</w:t>
      </w:r>
    </w:p>
    <w:p w14:paraId="74545B5F" w14:textId="63424006" w:rsidR="000B687E" w:rsidRDefault="000B687E" w:rsidP="006E1FE5">
      <w:pPr>
        <w:pStyle w:val="NormalWeb"/>
        <w:shd w:val="clear" w:color="auto" w:fill="FFFFFF"/>
        <w:spacing w:before="0" w:beforeAutospacing="0" w:after="0" w:afterAutospacing="0"/>
        <w:jc w:val="both"/>
        <w:rPr>
          <w:rFonts w:ascii="Calibri" w:hAnsi="Calibri" w:cs="Calibri"/>
          <w:sz w:val="22"/>
          <w:szCs w:val="22"/>
        </w:rPr>
      </w:pPr>
    </w:p>
    <w:p w14:paraId="7F9F1166" w14:textId="3343A813" w:rsidR="000B687E" w:rsidRPr="007A77AF" w:rsidRDefault="000B687E" w:rsidP="000B687E">
      <w:pPr>
        <w:pStyle w:val="Titre2"/>
        <w:rPr>
          <w:i/>
          <w:iCs/>
        </w:rPr>
      </w:pPr>
      <w:bookmarkStart w:id="212" w:name="_Toc139181503"/>
      <w:r w:rsidRPr="007A77AF">
        <w:rPr>
          <w:i/>
          <w:iCs/>
        </w:rPr>
        <w:t>Saccharina japonica</w:t>
      </w:r>
      <w:bookmarkEnd w:id="212"/>
    </w:p>
    <w:p w14:paraId="793A3895" w14:textId="65430137" w:rsidR="000B687E" w:rsidRDefault="000B687E" w:rsidP="006E1FE5">
      <w:pPr>
        <w:pStyle w:val="NormalWeb"/>
        <w:shd w:val="clear" w:color="auto" w:fill="FFFFFF"/>
        <w:spacing w:before="0" w:beforeAutospacing="0" w:after="0" w:afterAutospacing="0"/>
        <w:jc w:val="both"/>
        <w:rPr>
          <w:rFonts w:ascii="Calibri" w:hAnsi="Calibri" w:cs="Calibri"/>
          <w:sz w:val="22"/>
          <w:szCs w:val="22"/>
        </w:rPr>
      </w:pPr>
    </w:p>
    <w:p w14:paraId="5692877A" w14:textId="5690F061" w:rsidR="000B687E" w:rsidRPr="00CA02C8" w:rsidRDefault="00986A53" w:rsidP="006E1FE5">
      <w:pPr>
        <w:pStyle w:val="NormalWeb"/>
        <w:shd w:val="clear" w:color="auto" w:fill="FFFFFF"/>
        <w:spacing w:before="0" w:beforeAutospacing="0" w:after="0" w:afterAutospacing="0"/>
        <w:jc w:val="both"/>
        <w:rPr>
          <w:rFonts w:ascii="Calibri" w:hAnsi="Calibri" w:cs="Arial"/>
          <w:color w:val="202122"/>
          <w:sz w:val="22"/>
          <w:szCs w:val="22"/>
          <w:shd w:val="clear" w:color="auto" w:fill="FFFFFF"/>
        </w:rPr>
      </w:pPr>
      <w:r>
        <w:rPr>
          <w:rFonts w:ascii="Calibri" w:hAnsi="Calibri" w:cs="Arial"/>
          <w:color w:val="000000" w:themeColor="text1"/>
          <w:sz w:val="22"/>
          <w:szCs w:val="22"/>
          <w:shd w:val="clear" w:color="auto" w:fill="FFFFFF"/>
        </w:rPr>
        <w:t xml:space="preserve">Pour mention : </w:t>
      </w:r>
      <w:r w:rsidR="000B687E" w:rsidRPr="000B687E">
        <w:rPr>
          <w:rFonts w:ascii="Calibri" w:hAnsi="Calibri" w:cs="Arial"/>
          <w:color w:val="000000" w:themeColor="text1"/>
          <w:sz w:val="22"/>
          <w:szCs w:val="22"/>
          <w:shd w:val="clear" w:color="auto" w:fill="FFFFFF"/>
        </w:rPr>
        <w:t>C’est une espèce d’algue brune marine</w:t>
      </w:r>
      <w:r w:rsidR="00CA02C8">
        <w:rPr>
          <w:rFonts w:ascii="Calibri" w:hAnsi="Calibri" w:cs="Arial"/>
          <w:color w:val="000000" w:themeColor="text1"/>
          <w:sz w:val="22"/>
          <w:szCs w:val="22"/>
          <w:shd w:val="clear" w:color="auto" w:fill="FFFFFF"/>
        </w:rPr>
        <w:t xml:space="preserve">, </w:t>
      </w:r>
      <w:r w:rsidR="00CA02C8" w:rsidRPr="00DA465A">
        <w:rPr>
          <w:rFonts w:ascii="Calibri" w:hAnsi="Calibri" w:cs="Arial"/>
          <w:i/>
          <w:iCs/>
          <w:color w:val="000000" w:themeColor="text1"/>
          <w:sz w:val="22"/>
          <w:szCs w:val="22"/>
          <w:shd w:val="clear" w:color="auto" w:fill="FFFFFF"/>
        </w:rPr>
        <w:t>de mers froides</w:t>
      </w:r>
      <w:r w:rsidR="000B687E" w:rsidRPr="000B687E">
        <w:rPr>
          <w:rFonts w:ascii="Calibri" w:hAnsi="Calibri" w:cs="Arial"/>
          <w:color w:val="000000" w:themeColor="text1"/>
          <w:sz w:val="22"/>
          <w:szCs w:val="22"/>
          <w:shd w:val="clear" w:color="auto" w:fill="FFFFFF"/>
        </w:rPr>
        <w:t>, rangée sous le genre </w:t>
      </w:r>
      <w:hyperlink r:id="rId2585" w:tooltip="Saccharina" w:history="1">
        <w:r w:rsidR="000B687E" w:rsidRPr="000B687E">
          <w:rPr>
            <w:rStyle w:val="Lienhypertexte"/>
            <w:rFonts w:ascii="Calibri" w:hAnsi="Calibri" w:cs="Arial"/>
            <w:i/>
            <w:iCs/>
            <w:color w:val="0645AD"/>
            <w:sz w:val="22"/>
            <w:szCs w:val="22"/>
            <w:shd w:val="clear" w:color="auto" w:fill="FFFFFF"/>
          </w:rPr>
          <w:t>Saccharina</w:t>
        </w:r>
      </w:hyperlink>
      <w:r w:rsidR="000B687E" w:rsidRPr="000B687E">
        <w:rPr>
          <w:rFonts w:ascii="Calibri" w:hAnsi="Calibri" w:cs="Arial"/>
          <w:color w:val="202122"/>
          <w:sz w:val="22"/>
          <w:szCs w:val="22"/>
          <w:shd w:val="clear" w:color="auto" w:fill="FFFFFF"/>
        </w:rPr>
        <w:t> </w:t>
      </w:r>
      <w:r w:rsidR="000B687E" w:rsidRPr="000B687E">
        <w:rPr>
          <w:rFonts w:ascii="Calibri" w:hAnsi="Calibri" w:cs="Arial"/>
          <w:color w:val="000000" w:themeColor="text1"/>
          <w:sz w:val="22"/>
          <w:szCs w:val="22"/>
          <w:shd w:val="clear" w:color="auto" w:fill="FFFFFF"/>
        </w:rPr>
        <w:t>en 2006, majoritairement cultivée en </w:t>
      </w:r>
      <w:hyperlink r:id="rId2586" w:tooltip="Chine" w:history="1">
        <w:r w:rsidR="000B687E" w:rsidRPr="000B687E">
          <w:rPr>
            <w:rStyle w:val="Lienhypertexte"/>
            <w:rFonts w:ascii="Calibri" w:hAnsi="Calibri" w:cs="Arial"/>
            <w:color w:val="0645AD"/>
            <w:sz w:val="22"/>
            <w:szCs w:val="22"/>
            <w:shd w:val="clear" w:color="auto" w:fill="FFFFFF"/>
          </w:rPr>
          <w:t>Chine</w:t>
        </w:r>
      </w:hyperlink>
      <w:r w:rsidR="000B687E" w:rsidRPr="000B687E">
        <w:rPr>
          <w:rFonts w:ascii="Calibri" w:hAnsi="Calibri" w:cs="Arial"/>
          <w:color w:val="202122"/>
          <w:sz w:val="22"/>
          <w:szCs w:val="22"/>
          <w:shd w:val="clear" w:color="auto" w:fill="FFFFFF"/>
        </w:rPr>
        <w:t>, au </w:t>
      </w:r>
      <w:hyperlink r:id="rId2587" w:tooltip="Japon" w:history="1">
        <w:r w:rsidR="000B687E" w:rsidRPr="000B687E">
          <w:rPr>
            <w:rStyle w:val="Lienhypertexte"/>
            <w:rFonts w:ascii="Calibri" w:hAnsi="Calibri" w:cs="Arial"/>
            <w:color w:val="0645AD"/>
            <w:sz w:val="22"/>
            <w:szCs w:val="22"/>
            <w:shd w:val="clear" w:color="auto" w:fill="FFFFFF"/>
          </w:rPr>
          <w:t>Japon</w:t>
        </w:r>
      </w:hyperlink>
      <w:r w:rsidR="000B687E" w:rsidRPr="000B687E">
        <w:rPr>
          <w:rFonts w:ascii="Calibri" w:hAnsi="Calibri" w:cs="Arial"/>
          <w:color w:val="202122"/>
          <w:sz w:val="22"/>
          <w:szCs w:val="22"/>
          <w:shd w:val="clear" w:color="auto" w:fill="FFFFFF"/>
        </w:rPr>
        <w:t>, et en </w:t>
      </w:r>
      <w:hyperlink r:id="rId2588" w:tooltip="Corée du Sud" w:history="1">
        <w:r w:rsidR="000B687E" w:rsidRPr="000B687E">
          <w:rPr>
            <w:rStyle w:val="Lienhypertexte"/>
            <w:rFonts w:ascii="Calibri" w:hAnsi="Calibri" w:cs="Arial"/>
            <w:color w:val="0645AD"/>
            <w:sz w:val="22"/>
            <w:szCs w:val="22"/>
            <w:shd w:val="clear" w:color="auto" w:fill="FFFFFF"/>
          </w:rPr>
          <w:t>Corée du Sud</w:t>
        </w:r>
      </w:hyperlink>
      <w:r w:rsidR="000B687E" w:rsidRPr="000B687E">
        <w:rPr>
          <w:rFonts w:ascii="Calibri" w:hAnsi="Calibri" w:cs="Arial"/>
          <w:color w:val="202122"/>
          <w:sz w:val="22"/>
          <w:szCs w:val="22"/>
          <w:shd w:val="clear" w:color="auto" w:fill="FFFFFF"/>
        </w:rPr>
        <w:t xml:space="preserve">. </w:t>
      </w:r>
      <w:r w:rsidR="000B687E" w:rsidRPr="000B687E">
        <w:rPr>
          <w:rFonts w:ascii="Calibri" w:hAnsi="Calibri" w:cs="Arial"/>
          <w:color w:val="000000" w:themeColor="text1"/>
          <w:sz w:val="22"/>
          <w:szCs w:val="22"/>
          <w:shd w:val="clear" w:color="auto" w:fill="FFFFFF"/>
        </w:rPr>
        <w:t>C’est une des espèces commercialisées sous le nom de </w:t>
      </w:r>
      <w:hyperlink r:id="rId2589" w:tooltip="Konbu" w:history="1">
        <w:r w:rsidR="000B687E" w:rsidRPr="000B687E">
          <w:rPr>
            <w:rStyle w:val="Lienhypertexte"/>
            <w:rFonts w:ascii="Calibri" w:hAnsi="Calibri" w:cs="Arial"/>
            <w:i/>
            <w:iCs/>
            <w:color w:val="0645AD"/>
            <w:sz w:val="22"/>
            <w:szCs w:val="22"/>
            <w:shd w:val="clear" w:color="auto" w:fill="FFFFFF"/>
          </w:rPr>
          <w:t>konbu</w:t>
        </w:r>
      </w:hyperlink>
      <w:r w:rsidR="000B687E" w:rsidRPr="000B687E">
        <w:rPr>
          <w:rFonts w:ascii="Calibri" w:hAnsi="Calibri" w:cs="Arial"/>
          <w:color w:val="202122"/>
          <w:sz w:val="22"/>
          <w:szCs w:val="22"/>
          <w:shd w:val="clear" w:color="auto" w:fill="FFFFFF"/>
        </w:rPr>
        <w:t>.</w:t>
      </w:r>
      <w:r>
        <w:rPr>
          <w:rFonts w:ascii="Calibri" w:hAnsi="Calibri" w:cs="Arial"/>
          <w:color w:val="202122"/>
          <w:sz w:val="22"/>
          <w:szCs w:val="22"/>
          <w:shd w:val="clear" w:color="auto" w:fill="FFFFFF"/>
        </w:rPr>
        <w:t xml:space="preserve"> </w:t>
      </w:r>
      <w:r w:rsidRPr="00CA02C8">
        <w:rPr>
          <w:rFonts w:ascii="Calibri" w:hAnsi="Calibri" w:cs="Arial"/>
          <w:i/>
          <w:iCs/>
          <w:color w:val="000000" w:themeColor="text1"/>
          <w:sz w:val="22"/>
          <w:szCs w:val="22"/>
          <w:shd w:val="clear" w:color="auto" w:fill="FFFFFF"/>
        </w:rPr>
        <w:t>S. japonica</w:t>
      </w:r>
      <w:r w:rsidRPr="00CA02C8">
        <w:rPr>
          <w:rFonts w:ascii="Calibri" w:hAnsi="Calibri" w:cs="Arial"/>
          <w:color w:val="000000" w:themeColor="text1"/>
          <w:sz w:val="22"/>
          <w:szCs w:val="22"/>
          <w:shd w:val="clear" w:color="auto" w:fill="FFFFFF"/>
        </w:rPr>
        <w:t xml:space="preserve"> est aussi appelé ma-konbu en japonais, dasima en coréen et hǎidài en chinois.</w:t>
      </w:r>
    </w:p>
    <w:p w14:paraId="6A2D9387" w14:textId="1162A583" w:rsidR="00986A53" w:rsidRPr="00CA02C8" w:rsidRDefault="00986A53" w:rsidP="006E1FE5">
      <w:pPr>
        <w:pStyle w:val="NormalWeb"/>
        <w:shd w:val="clear" w:color="auto" w:fill="FFFFFF"/>
        <w:spacing w:before="0" w:beforeAutospacing="0" w:after="0" w:afterAutospacing="0"/>
        <w:jc w:val="both"/>
        <w:rPr>
          <w:rFonts w:ascii="Calibri" w:hAnsi="Calibri" w:cs="Arial"/>
          <w:color w:val="000000" w:themeColor="text1"/>
          <w:sz w:val="22"/>
          <w:szCs w:val="22"/>
          <w:shd w:val="clear" w:color="auto" w:fill="FFFFFF"/>
        </w:rPr>
      </w:pPr>
      <w:r w:rsidRPr="00CA02C8">
        <w:rPr>
          <w:rFonts w:ascii="Calibri" w:hAnsi="Calibri" w:cs="Arial"/>
          <w:color w:val="000000" w:themeColor="text1"/>
          <w:sz w:val="22"/>
          <w:szCs w:val="22"/>
          <w:shd w:val="clear" w:color="auto" w:fill="FFFFFF"/>
        </w:rPr>
        <w:t>L'espèce a été cultivée en Chine, au Japon, en Corée, en Russie et en France. C'est l'une des deux</w:t>
      </w:r>
      <w:r w:rsidRPr="00986A53">
        <w:rPr>
          <w:rFonts w:ascii="Calibri" w:hAnsi="Calibri" w:cs="Arial"/>
          <w:color w:val="202122"/>
          <w:sz w:val="22"/>
          <w:szCs w:val="22"/>
          <w:shd w:val="clear" w:color="auto" w:fill="FFFFFF"/>
        </w:rPr>
        <w:t> </w:t>
      </w:r>
      <w:hyperlink r:id="rId2590" w:tooltip="Espèce" w:history="1">
        <w:r w:rsidRPr="00986A53">
          <w:rPr>
            <w:rStyle w:val="Lienhypertexte"/>
            <w:rFonts w:ascii="Calibri" w:hAnsi="Calibri" w:cs="Arial"/>
            <w:color w:val="0645AD"/>
            <w:sz w:val="22"/>
            <w:szCs w:val="22"/>
            <w:shd w:val="clear" w:color="auto" w:fill="FFFFFF"/>
          </w:rPr>
          <w:t>espèces</w:t>
        </w:r>
      </w:hyperlink>
      <w:r w:rsidRPr="00986A53">
        <w:rPr>
          <w:rFonts w:ascii="Calibri" w:hAnsi="Calibri" w:cs="Arial"/>
          <w:color w:val="202122"/>
          <w:sz w:val="22"/>
          <w:szCs w:val="22"/>
          <w:shd w:val="clear" w:color="auto" w:fill="FFFFFF"/>
        </w:rPr>
        <w:t> </w:t>
      </w:r>
      <w:r w:rsidRPr="00CA02C8">
        <w:rPr>
          <w:rFonts w:ascii="Calibri" w:hAnsi="Calibri" w:cs="Arial"/>
          <w:color w:val="000000" w:themeColor="text1"/>
          <w:sz w:val="22"/>
          <w:szCs w:val="22"/>
          <w:shd w:val="clear" w:color="auto" w:fill="FFFFFF"/>
        </w:rPr>
        <w:t>de varech les plus consommées en Chine et au Japon.</w:t>
      </w:r>
      <w:r w:rsidRPr="00CA02C8">
        <w:rPr>
          <w:rFonts w:ascii="Calibri" w:hAnsi="Calibri" w:cs="Arial"/>
          <w:i/>
          <w:iCs/>
          <w:color w:val="000000" w:themeColor="text1"/>
          <w:sz w:val="22"/>
          <w:szCs w:val="22"/>
          <w:shd w:val="clear" w:color="auto" w:fill="FFFFFF"/>
        </w:rPr>
        <w:t xml:space="preserve"> Saccharina japonica</w:t>
      </w:r>
      <w:r w:rsidRPr="00CA02C8">
        <w:rPr>
          <w:rFonts w:ascii="Calibri" w:hAnsi="Calibri" w:cs="Arial"/>
          <w:color w:val="000000" w:themeColor="text1"/>
          <w:sz w:val="22"/>
          <w:szCs w:val="22"/>
          <w:shd w:val="clear" w:color="auto" w:fill="FFFFFF"/>
        </w:rPr>
        <w:t> est également utilisé pour la production d'</w:t>
      </w:r>
      <w:hyperlink r:id="rId2591" w:tooltip="Alginate" w:history="1">
        <w:r w:rsidRPr="00986A53">
          <w:rPr>
            <w:rStyle w:val="Lienhypertexte"/>
            <w:rFonts w:ascii="Calibri" w:hAnsi="Calibri" w:cs="Arial"/>
            <w:color w:val="0645AD"/>
            <w:sz w:val="22"/>
            <w:szCs w:val="22"/>
            <w:shd w:val="clear" w:color="auto" w:fill="FFFFFF"/>
          </w:rPr>
          <w:t>alginates</w:t>
        </w:r>
      </w:hyperlink>
      <w:r w:rsidRPr="00986A53">
        <w:rPr>
          <w:rFonts w:ascii="Calibri" w:hAnsi="Calibri" w:cs="Arial"/>
          <w:color w:val="202122"/>
          <w:sz w:val="22"/>
          <w:szCs w:val="22"/>
          <w:shd w:val="clear" w:color="auto" w:fill="FFFFFF"/>
        </w:rPr>
        <w:t xml:space="preserve">, </w:t>
      </w:r>
      <w:r w:rsidRPr="00CA02C8">
        <w:rPr>
          <w:rFonts w:ascii="Calibri" w:hAnsi="Calibri" w:cs="Arial"/>
          <w:color w:val="000000" w:themeColor="text1"/>
          <w:sz w:val="22"/>
          <w:szCs w:val="22"/>
          <w:shd w:val="clear" w:color="auto" w:fill="FFFFFF"/>
        </w:rPr>
        <w:t>la Chine produisant jusqu'à dix mille tonnes de produit chaque année. De grandes récoltes sont produites par la culture de cordes qui est une méthode simple de culture d'algues en les attachant à des cordes flottantes dans l'océan.</w:t>
      </w:r>
    </w:p>
    <w:p w14:paraId="69F5DD06" w14:textId="6252632A" w:rsidR="000B687E" w:rsidRDefault="000B687E" w:rsidP="006E1FE5">
      <w:pPr>
        <w:pStyle w:val="NormalWeb"/>
        <w:shd w:val="clear" w:color="auto" w:fill="FFFFFF"/>
        <w:spacing w:before="0" w:beforeAutospacing="0" w:after="0" w:afterAutospacing="0"/>
        <w:jc w:val="both"/>
        <w:rPr>
          <w:rFonts w:ascii="Calibri" w:hAnsi="Calibri" w:cs="Arial"/>
          <w:color w:val="000000" w:themeColor="text1"/>
          <w:sz w:val="22"/>
          <w:szCs w:val="22"/>
          <w:shd w:val="clear" w:color="auto" w:fill="FFFFFF"/>
        </w:rPr>
      </w:pPr>
      <w:r w:rsidRPr="000B687E">
        <w:rPr>
          <w:rFonts w:ascii="Calibri" w:hAnsi="Calibri" w:cs="Arial"/>
          <w:color w:val="000000" w:themeColor="text1"/>
          <w:sz w:val="22"/>
          <w:szCs w:val="22"/>
          <w:shd w:val="clear" w:color="auto" w:fill="FFFFFF"/>
        </w:rPr>
        <w:t xml:space="preserve">Sources : a) </w:t>
      </w:r>
      <w:hyperlink r:id="rId2592" w:history="1">
        <w:r w:rsidRPr="00224761">
          <w:rPr>
            <w:rStyle w:val="Lienhypertexte"/>
            <w:rFonts w:ascii="Calibri" w:hAnsi="Calibri" w:cs="Arial"/>
            <w:sz w:val="22"/>
            <w:szCs w:val="22"/>
            <w:shd w:val="clear" w:color="auto" w:fill="FFFFFF"/>
          </w:rPr>
          <w:t>https://fr.wikipedia.org/wiki/Saccharina_japonica</w:t>
        </w:r>
      </w:hyperlink>
      <w:r>
        <w:rPr>
          <w:rFonts w:ascii="Calibri" w:hAnsi="Calibri" w:cs="Arial"/>
          <w:color w:val="000000" w:themeColor="text1"/>
          <w:sz w:val="22"/>
          <w:szCs w:val="22"/>
          <w:shd w:val="clear" w:color="auto" w:fill="FFFFFF"/>
        </w:rPr>
        <w:t xml:space="preserve">, b) </w:t>
      </w:r>
      <w:hyperlink r:id="rId2593" w:history="1">
        <w:r w:rsidR="00B039CA" w:rsidRPr="00224761">
          <w:rPr>
            <w:rStyle w:val="Lienhypertexte"/>
            <w:rFonts w:ascii="Calibri" w:hAnsi="Calibri" w:cs="Arial"/>
            <w:sz w:val="22"/>
            <w:szCs w:val="22"/>
            <w:shd w:val="clear" w:color="auto" w:fill="FFFFFF"/>
          </w:rPr>
          <w:t>https://en.wikipedia.org/wiki/Saccharina_japonica</w:t>
        </w:r>
      </w:hyperlink>
    </w:p>
    <w:p w14:paraId="0DB33979" w14:textId="2FB08A0F" w:rsidR="002770D8" w:rsidRDefault="002770D8" w:rsidP="002770D8">
      <w:pPr>
        <w:pStyle w:val="NormalWeb"/>
        <w:shd w:val="clear" w:color="auto" w:fill="FFFFFF"/>
        <w:spacing w:before="0" w:beforeAutospacing="0" w:after="0" w:afterAutospacing="0"/>
        <w:jc w:val="center"/>
        <w:rPr>
          <w:rFonts w:ascii="Calibri" w:hAnsi="Calibri" w:cs="Arial"/>
          <w:color w:val="000000" w:themeColor="text1"/>
          <w:sz w:val="22"/>
          <w:szCs w:val="22"/>
          <w:shd w:val="clear" w:color="auto" w:fill="FFFFFF"/>
        </w:rPr>
      </w:pPr>
    </w:p>
    <w:p w14:paraId="5490AD96" w14:textId="77777777" w:rsidR="00576232" w:rsidRDefault="002770D8" w:rsidP="002770D8">
      <w:pPr>
        <w:pStyle w:val="NormalWeb"/>
        <w:shd w:val="clear" w:color="auto" w:fill="FFFFFF"/>
        <w:spacing w:before="0" w:beforeAutospacing="0" w:after="0" w:afterAutospacing="0"/>
        <w:jc w:val="center"/>
        <w:rPr>
          <w:rFonts w:ascii="Calibri" w:hAnsi="Calibri" w:cs="Calibri"/>
          <w:color w:val="000000" w:themeColor="text1"/>
        </w:rPr>
      </w:pPr>
      <w:r>
        <w:rPr>
          <w:noProof/>
        </w:rPr>
        <w:drawing>
          <wp:inline distT="0" distB="0" distL="0" distR="0" wp14:anchorId="6363C779" wp14:editId="1F2F3C90">
            <wp:extent cx="1762125" cy="921111"/>
            <wp:effectExtent l="0" t="0" r="0" b="0"/>
            <wp:docPr id="48148" name="Image 48148" descr="Une image contenant eau, ciel, extérieur, océ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48" name="Image 48148" descr="Une image contenant eau, ciel, extérieur, océan&#10;&#10;Description générée automatiquement"/>
                    <pic:cNvPicPr>
                      <a:picLocks noChangeAspect="1" noChangeArrowheads="1"/>
                    </pic:cNvPicPr>
                  </pic:nvPicPr>
                  <pic:blipFill>
                    <a:blip r:embed="rId2594">
                      <a:extLst>
                        <a:ext uri="{28A0092B-C50C-407E-A947-70E740481C1C}">
                          <a14:useLocalDpi xmlns:a14="http://schemas.microsoft.com/office/drawing/2010/main" val="0"/>
                        </a:ext>
                      </a:extLst>
                    </a:blip>
                    <a:srcRect/>
                    <a:stretch>
                      <a:fillRect/>
                    </a:stretch>
                  </pic:blipFill>
                  <pic:spPr bwMode="auto">
                    <a:xfrm>
                      <a:off x="0" y="0"/>
                      <a:ext cx="1763624" cy="921894"/>
                    </a:xfrm>
                    <a:prstGeom prst="rect">
                      <a:avLst/>
                    </a:prstGeom>
                    <a:noFill/>
                    <a:ln>
                      <a:noFill/>
                    </a:ln>
                  </pic:spPr>
                </pic:pic>
              </a:graphicData>
            </a:graphic>
          </wp:inline>
        </w:drawing>
      </w:r>
    </w:p>
    <w:p w14:paraId="6B42F934" w14:textId="77777777" w:rsidR="00AA0BA4" w:rsidRPr="000B687E" w:rsidRDefault="00AA0BA4" w:rsidP="00AA0BA4">
      <w:pPr>
        <w:pStyle w:val="NormalWeb"/>
        <w:shd w:val="clear" w:color="auto" w:fill="FFFFFF"/>
        <w:spacing w:before="0" w:beforeAutospacing="0" w:after="0" w:afterAutospacing="0"/>
        <w:rPr>
          <w:rFonts w:ascii="Calibri" w:hAnsi="Calibri" w:cs="Calibri"/>
          <w:color w:val="000000" w:themeColor="text1"/>
          <w:sz w:val="22"/>
          <w:szCs w:val="22"/>
        </w:rPr>
      </w:pPr>
    </w:p>
    <w:p w14:paraId="50169532" w14:textId="05EB1E53" w:rsidR="000B687E" w:rsidRDefault="00DA465A" w:rsidP="00CA02C8">
      <w:pPr>
        <w:pStyle w:val="Titre2"/>
      </w:pPr>
      <w:bookmarkStart w:id="213" w:name="_Toc139181504"/>
      <w:r>
        <w:t>« </w:t>
      </w:r>
      <w:r w:rsidR="00CA02C8" w:rsidRPr="00CA02C8">
        <w:t>Wakame</w:t>
      </w:r>
      <w:r>
        <w:t> »</w:t>
      </w:r>
      <w:r w:rsidR="00CA02C8" w:rsidRPr="00CA02C8">
        <w:t xml:space="preserve"> (</w:t>
      </w:r>
      <w:r w:rsidR="00CA02C8" w:rsidRPr="00CA02C8">
        <w:rPr>
          <w:i/>
          <w:iCs/>
        </w:rPr>
        <w:t>Undaria pinnatifida</w:t>
      </w:r>
      <w:r w:rsidR="00CA02C8" w:rsidRPr="00CA02C8">
        <w:t>)</w:t>
      </w:r>
      <w:bookmarkEnd w:id="213"/>
    </w:p>
    <w:p w14:paraId="4D8952B9" w14:textId="28376B6F" w:rsidR="00CA02C8" w:rsidRDefault="00CA02C8" w:rsidP="006E1FE5">
      <w:pPr>
        <w:pStyle w:val="NormalWeb"/>
        <w:shd w:val="clear" w:color="auto" w:fill="FFFFFF"/>
        <w:spacing w:before="0" w:beforeAutospacing="0" w:after="0" w:afterAutospacing="0"/>
        <w:jc w:val="both"/>
        <w:rPr>
          <w:rFonts w:ascii="Calibri" w:hAnsi="Calibri" w:cs="Calibri"/>
          <w:sz w:val="22"/>
          <w:szCs w:val="22"/>
        </w:rPr>
      </w:pPr>
    </w:p>
    <w:p w14:paraId="6DA19D51" w14:textId="65938878" w:rsidR="00DA465A" w:rsidRDefault="00AA0BA4" w:rsidP="00AA0BA4">
      <w:pPr>
        <w:pStyle w:val="NormalWeb"/>
        <w:shd w:val="clear" w:color="auto" w:fill="FFFFFF"/>
        <w:spacing w:before="0" w:beforeAutospacing="0" w:after="0" w:afterAutospacing="0"/>
        <w:jc w:val="both"/>
        <w:rPr>
          <w:rFonts w:ascii="Calibri" w:hAnsi="Calibri" w:cs="Arial"/>
          <w:color w:val="202122"/>
          <w:sz w:val="22"/>
          <w:szCs w:val="22"/>
        </w:rPr>
      </w:pPr>
      <w:r w:rsidRPr="00DA465A">
        <w:rPr>
          <w:rFonts w:ascii="Calibri" w:hAnsi="Calibri" w:cs="Calibri"/>
          <w:sz w:val="22"/>
          <w:szCs w:val="22"/>
        </w:rPr>
        <w:t>Pour mentions : C’</w:t>
      </w:r>
      <w:r w:rsidRPr="00DA465A">
        <w:rPr>
          <w:rFonts w:ascii="Calibri" w:hAnsi="Calibri" w:cs="Arial"/>
          <w:color w:val="202122"/>
          <w:sz w:val="22"/>
          <w:szCs w:val="22"/>
        </w:rPr>
        <w:t>est une </w:t>
      </w:r>
      <w:hyperlink r:id="rId2595" w:tooltip="Espèce (biologie)" w:history="1">
        <w:r w:rsidRPr="00DA465A">
          <w:rPr>
            <w:rStyle w:val="Lienhypertexte"/>
            <w:rFonts w:ascii="Calibri" w:hAnsi="Calibri" w:cs="Arial"/>
            <w:color w:val="0645AD"/>
            <w:sz w:val="22"/>
            <w:szCs w:val="22"/>
            <w:u w:val="none"/>
          </w:rPr>
          <w:t>espèce</w:t>
        </w:r>
      </w:hyperlink>
      <w:r w:rsidRPr="00DA465A">
        <w:rPr>
          <w:rFonts w:ascii="Calibri" w:hAnsi="Calibri" w:cs="Arial"/>
          <w:color w:val="202122"/>
          <w:sz w:val="22"/>
          <w:szCs w:val="22"/>
        </w:rPr>
        <w:t> d'</w:t>
      </w:r>
      <w:hyperlink r:id="rId2596" w:tooltip="Phaeophyceae" w:history="1">
        <w:r w:rsidRPr="00DA465A">
          <w:rPr>
            <w:rStyle w:val="Lienhypertexte"/>
            <w:rFonts w:ascii="Calibri" w:hAnsi="Calibri" w:cs="Arial"/>
            <w:color w:val="0645AD"/>
            <w:sz w:val="22"/>
            <w:szCs w:val="22"/>
            <w:u w:val="none"/>
          </w:rPr>
          <w:t>algues brunes</w:t>
        </w:r>
      </w:hyperlink>
      <w:r w:rsidRPr="00DA465A">
        <w:rPr>
          <w:rFonts w:ascii="Calibri" w:hAnsi="Calibri" w:cs="Arial"/>
          <w:color w:val="202122"/>
          <w:sz w:val="22"/>
          <w:szCs w:val="22"/>
        </w:rPr>
        <w:t xml:space="preserve">, de </w:t>
      </w:r>
      <w:r w:rsidRPr="00DA465A">
        <w:rPr>
          <w:rFonts w:ascii="Calibri" w:hAnsi="Calibri" w:cs="Arial"/>
          <w:i/>
          <w:iCs/>
          <w:color w:val="202122"/>
          <w:sz w:val="22"/>
          <w:szCs w:val="22"/>
        </w:rPr>
        <w:t>mers froides</w:t>
      </w:r>
      <w:r w:rsidRPr="00DA465A">
        <w:rPr>
          <w:rFonts w:ascii="Calibri" w:hAnsi="Calibri" w:cs="Arial"/>
          <w:color w:val="202122"/>
          <w:sz w:val="22"/>
          <w:szCs w:val="22"/>
        </w:rPr>
        <w:t>, de la </w:t>
      </w:r>
      <w:hyperlink r:id="rId2597" w:tooltip="Famille (biologie)" w:history="1">
        <w:r w:rsidRPr="00DA465A">
          <w:rPr>
            <w:rStyle w:val="Lienhypertexte"/>
            <w:rFonts w:ascii="Calibri" w:hAnsi="Calibri" w:cs="Arial"/>
            <w:color w:val="0645AD"/>
            <w:sz w:val="22"/>
            <w:szCs w:val="22"/>
            <w:u w:val="none"/>
          </w:rPr>
          <w:t>famille</w:t>
        </w:r>
      </w:hyperlink>
      <w:r w:rsidRPr="00DA465A">
        <w:rPr>
          <w:rFonts w:ascii="Calibri" w:hAnsi="Calibri" w:cs="Arial"/>
          <w:color w:val="202122"/>
          <w:sz w:val="22"/>
          <w:szCs w:val="22"/>
        </w:rPr>
        <w:t> des </w:t>
      </w:r>
      <w:hyperlink r:id="rId2598" w:tooltip="Alariaceae" w:history="1">
        <w:r w:rsidRPr="00DA465A">
          <w:rPr>
            <w:rStyle w:val="Lienhypertexte"/>
            <w:rFonts w:ascii="Calibri" w:hAnsi="Calibri" w:cs="Arial"/>
            <w:i/>
            <w:iCs/>
            <w:color w:val="0645AD"/>
            <w:sz w:val="22"/>
            <w:szCs w:val="22"/>
            <w:u w:val="none"/>
          </w:rPr>
          <w:t>Alariaceae</w:t>
        </w:r>
      </w:hyperlink>
      <w:r w:rsidRPr="00DA465A">
        <w:rPr>
          <w:rFonts w:ascii="Calibri" w:hAnsi="Calibri" w:cs="Arial"/>
          <w:color w:val="202122"/>
          <w:sz w:val="22"/>
          <w:szCs w:val="22"/>
        </w:rPr>
        <w:t xml:space="preserve">. </w:t>
      </w:r>
      <w:r w:rsidR="00DA465A" w:rsidRPr="00DA465A">
        <w:rPr>
          <w:rFonts w:ascii="Calibri" w:hAnsi="Calibri" w:cs="Arial"/>
          <w:color w:val="202122"/>
          <w:sz w:val="22"/>
          <w:szCs w:val="22"/>
        </w:rPr>
        <w:t xml:space="preserve">C'est une des macroalgues qui est commercialisée sous le nom de </w:t>
      </w:r>
      <w:r w:rsidR="00DA465A" w:rsidRPr="00DA465A">
        <w:rPr>
          <w:rFonts w:ascii="Calibri" w:hAnsi="Calibri" w:cs="Arial"/>
          <w:i/>
          <w:iCs/>
          <w:color w:val="202122"/>
          <w:sz w:val="22"/>
          <w:szCs w:val="22"/>
        </w:rPr>
        <w:t>wakame</w:t>
      </w:r>
      <w:r w:rsidR="00DA465A" w:rsidRPr="00DA465A">
        <w:rPr>
          <w:rFonts w:ascii="Calibri" w:hAnsi="Calibri" w:cs="Arial"/>
          <w:color w:val="202122"/>
          <w:sz w:val="22"/>
          <w:szCs w:val="22"/>
        </w:rPr>
        <w:t>, proposée comme ingrédient alimentaire (par exemple dans des pâtes). Elle aurait des propriétés médicinales : Certains des composants moléculaires (</w:t>
      </w:r>
      <w:hyperlink r:id="rId2599" w:tooltip="Fucoxanthine" w:history="1">
        <w:r w:rsidR="00DA465A" w:rsidRPr="00DA465A">
          <w:rPr>
            <w:rStyle w:val="Lienhypertexte"/>
            <w:rFonts w:ascii="Calibri" w:hAnsi="Calibri" w:cs="Arial"/>
            <w:color w:val="0645AD"/>
            <w:sz w:val="22"/>
            <w:szCs w:val="22"/>
            <w:u w:val="none"/>
          </w:rPr>
          <w:t>Fucoxanthines</w:t>
        </w:r>
      </w:hyperlink>
      <w:r w:rsidR="00DA465A" w:rsidRPr="00DA465A">
        <w:rPr>
          <w:rFonts w:ascii="Calibri" w:hAnsi="Calibri" w:cs="Arial"/>
          <w:color w:val="202122"/>
          <w:sz w:val="22"/>
          <w:szCs w:val="22"/>
        </w:rPr>
        <w:t>) de cette algue auraient un effet anti-obésité et anti-tumoral.</w:t>
      </w:r>
      <w:r w:rsidR="00DA465A">
        <w:rPr>
          <w:rFonts w:ascii="Calibri" w:hAnsi="Calibri" w:cs="Arial"/>
          <w:color w:val="202122"/>
          <w:sz w:val="22"/>
          <w:szCs w:val="22"/>
        </w:rPr>
        <w:t xml:space="preserve"> </w:t>
      </w:r>
      <w:r w:rsidR="00DA465A" w:rsidRPr="00DA465A">
        <w:rPr>
          <w:rFonts w:ascii="Calibri" w:hAnsi="Calibri" w:cs="Arial"/>
          <w:color w:val="202122"/>
          <w:sz w:val="22"/>
          <w:szCs w:val="22"/>
        </w:rPr>
        <w:t>Cette algue contient aussi une </w:t>
      </w:r>
      <w:hyperlink r:id="rId2600" w:tooltip="Peptide" w:history="1">
        <w:r w:rsidR="00DA465A" w:rsidRPr="00DA465A">
          <w:rPr>
            <w:rStyle w:val="Lienhypertexte"/>
            <w:rFonts w:ascii="Calibri" w:hAnsi="Calibri" w:cs="Arial"/>
            <w:color w:val="0645AD"/>
            <w:sz w:val="22"/>
            <w:szCs w:val="22"/>
            <w:u w:val="none"/>
          </w:rPr>
          <w:t>peptide</w:t>
        </w:r>
      </w:hyperlink>
      <w:r w:rsidR="00DA465A" w:rsidRPr="00DA465A">
        <w:rPr>
          <w:rFonts w:ascii="Calibri" w:hAnsi="Calibri" w:cs="Arial"/>
          <w:color w:val="202122"/>
          <w:sz w:val="22"/>
          <w:szCs w:val="22"/>
        </w:rPr>
        <w:t> qui est un </w:t>
      </w:r>
      <w:hyperlink r:id="rId2601" w:tooltip="Hypertension" w:history="1">
        <w:r w:rsidR="00DA465A" w:rsidRPr="00DA465A">
          <w:rPr>
            <w:rStyle w:val="Lienhypertexte"/>
            <w:rFonts w:ascii="Calibri" w:hAnsi="Calibri" w:cs="Arial"/>
            <w:color w:val="0645AD"/>
            <w:sz w:val="22"/>
            <w:szCs w:val="22"/>
            <w:u w:val="none"/>
          </w:rPr>
          <w:t>Antihypertenseur</w:t>
        </w:r>
      </w:hyperlink>
      <w:r w:rsidR="00DA465A" w:rsidRPr="00DA465A">
        <w:rPr>
          <w:rFonts w:ascii="Calibri" w:hAnsi="Calibri" w:cs="Arial"/>
          <w:color w:val="202122"/>
          <w:sz w:val="22"/>
          <w:szCs w:val="22"/>
        </w:rPr>
        <w:t>.</w:t>
      </w:r>
      <w:r w:rsidR="00DA465A">
        <w:rPr>
          <w:rFonts w:ascii="Calibri" w:hAnsi="Calibri" w:cs="Arial"/>
          <w:color w:val="202122"/>
          <w:sz w:val="22"/>
          <w:szCs w:val="22"/>
        </w:rPr>
        <w:t xml:space="preserve"> </w:t>
      </w:r>
      <w:r w:rsidR="00DA465A" w:rsidRPr="00DA465A">
        <w:rPr>
          <w:rFonts w:ascii="Calibri" w:hAnsi="Calibri" w:cs="Arial"/>
          <w:color w:val="202122"/>
          <w:sz w:val="22"/>
          <w:szCs w:val="22"/>
        </w:rPr>
        <w:t>Elle contient aussi une molécule qui présente des propriétés </w:t>
      </w:r>
      <w:hyperlink r:id="rId2602" w:tooltip="Antiviral" w:history="1">
        <w:r w:rsidR="00DA465A" w:rsidRPr="00DA465A">
          <w:rPr>
            <w:rStyle w:val="Lienhypertexte"/>
            <w:rFonts w:ascii="Calibri" w:hAnsi="Calibri" w:cs="Arial"/>
            <w:color w:val="0645AD"/>
            <w:sz w:val="22"/>
            <w:szCs w:val="22"/>
            <w:u w:val="none"/>
          </w:rPr>
          <w:t>antivirales</w:t>
        </w:r>
      </w:hyperlink>
      <w:r w:rsidR="00DA465A" w:rsidRPr="00DA465A">
        <w:rPr>
          <w:rFonts w:ascii="Calibri" w:hAnsi="Calibri" w:cs="Arial"/>
          <w:color w:val="202122"/>
          <w:sz w:val="22"/>
          <w:szCs w:val="22"/>
        </w:rPr>
        <w:t>, qui pourrait peut-être permettre de mieux lutter contre l'</w:t>
      </w:r>
      <w:hyperlink r:id="rId2603" w:tooltip="Herpes simplex virus" w:history="1">
        <w:r w:rsidR="00DA465A" w:rsidRPr="00DA465A">
          <w:rPr>
            <w:rStyle w:val="Lienhypertexte"/>
            <w:rFonts w:ascii="Calibri" w:hAnsi="Calibri" w:cs="Arial"/>
            <w:color w:val="0645AD"/>
            <w:sz w:val="22"/>
            <w:szCs w:val="22"/>
            <w:u w:val="none"/>
          </w:rPr>
          <w:t>herpes simplex virus</w:t>
        </w:r>
      </w:hyperlink>
      <w:r w:rsidR="00DA465A">
        <w:rPr>
          <w:rFonts w:ascii="Calibri" w:hAnsi="Calibri" w:cs="Arial"/>
          <w:color w:val="202122"/>
          <w:sz w:val="22"/>
          <w:szCs w:val="22"/>
        </w:rPr>
        <w:t>.</w:t>
      </w:r>
    </w:p>
    <w:p w14:paraId="10011061" w14:textId="650BC95E" w:rsidR="00AA0BA4" w:rsidRPr="00DA465A" w:rsidRDefault="00AA0BA4" w:rsidP="00AA0BA4">
      <w:pPr>
        <w:pStyle w:val="NormalWeb"/>
        <w:shd w:val="clear" w:color="auto" w:fill="FFFFFF"/>
        <w:spacing w:before="0" w:beforeAutospacing="0" w:after="0" w:afterAutospacing="0"/>
        <w:jc w:val="both"/>
        <w:rPr>
          <w:rFonts w:ascii="Calibri" w:hAnsi="Calibri" w:cs="Arial"/>
          <w:color w:val="202122"/>
          <w:sz w:val="22"/>
          <w:szCs w:val="22"/>
        </w:rPr>
      </w:pPr>
      <w:r w:rsidRPr="00DA465A">
        <w:rPr>
          <w:rFonts w:ascii="Calibri" w:hAnsi="Calibri" w:cs="Arial"/>
          <w:color w:val="202122"/>
          <w:sz w:val="22"/>
          <w:szCs w:val="22"/>
        </w:rPr>
        <w:t>Cette espèce d'origine asiatique a été volontairement ou involontairement </w:t>
      </w:r>
      <w:hyperlink r:id="rId2604" w:tooltip="Espèce introduite" w:history="1">
        <w:r w:rsidRPr="00DA465A">
          <w:rPr>
            <w:rStyle w:val="Lienhypertexte"/>
            <w:rFonts w:ascii="Calibri" w:hAnsi="Calibri" w:cs="Arial"/>
            <w:color w:val="0645AD"/>
            <w:sz w:val="22"/>
            <w:szCs w:val="22"/>
            <w:u w:val="none"/>
          </w:rPr>
          <w:t>introduite</w:t>
        </w:r>
      </w:hyperlink>
      <w:r w:rsidRPr="00DA465A">
        <w:rPr>
          <w:rFonts w:ascii="Calibri" w:hAnsi="Calibri" w:cs="Arial"/>
          <w:color w:val="202122"/>
          <w:sz w:val="22"/>
          <w:szCs w:val="22"/>
        </w:rPr>
        <w:t> hors de son </w:t>
      </w:r>
      <w:hyperlink r:id="rId2605" w:tooltip="Aire naturelle de répartition" w:history="1">
        <w:r w:rsidRPr="00DA465A">
          <w:rPr>
            <w:rStyle w:val="Lienhypertexte"/>
            <w:rFonts w:ascii="Calibri" w:hAnsi="Calibri" w:cs="Arial"/>
            <w:color w:val="0645AD"/>
            <w:sz w:val="22"/>
            <w:szCs w:val="22"/>
            <w:u w:val="none"/>
          </w:rPr>
          <w:t>aire naturelle de répartition</w:t>
        </w:r>
      </w:hyperlink>
      <w:r w:rsidRPr="00DA465A">
        <w:rPr>
          <w:rFonts w:ascii="Calibri" w:hAnsi="Calibri" w:cs="Arial"/>
          <w:color w:val="202122"/>
          <w:sz w:val="22"/>
          <w:szCs w:val="22"/>
        </w:rPr>
        <w:t xml:space="preserve">, elle est aujourd'hui par exemple trouvée dans des zones aussi variées que l'Europe (observée depuis </w:t>
      </w:r>
      <w:r w:rsidRPr="00DA465A">
        <w:rPr>
          <w:rFonts w:ascii="Calibri" w:hAnsi="Calibri" w:cs="Arial"/>
          <w:color w:val="000000" w:themeColor="text1"/>
          <w:sz w:val="22"/>
          <w:szCs w:val="22"/>
        </w:rPr>
        <w:t xml:space="preserve">le </w:t>
      </w:r>
      <w:r w:rsidRPr="00DA465A">
        <w:rPr>
          <w:rFonts w:ascii="Calibri" w:hAnsi="Calibri" w:cs="Arial"/>
          <w:color w:val="202122"/>
          <w:sz w:val="22"/>
          <w:szCs w:val="22"/>
        </w:rPr>
        <w:t>début des années 1990</w:t>
      </w:r>
      <w:hyperlink r:id="rId2606" w:anchor="cite_note-1" w:history="1">
        <w:r w:rsidRPr="00DA465A">
          <w:rPr>
            <w:rStyle w:val="Lienhypertexte"/>
            <w:rFonts w:ascii="Calibri" w:hAnsi="Calibri" w:cs="Arial"/>
            <w:color w:val="0645AD"/>
            <w:sz w:val="22"/>
            <w:szCs w:val="22"/>
            <w:u w:val="none"/>
            <w:vertAlign w:val="superscript"/>
          </w:rPr>
          <w:t>1</w:t>
        </w:r>
      </w:hyperlink>
      <w:r w:rsidRPr="00DA465A">
        <w:rPr>
          <w:rFonts w:ascii="Calibri" w:hAnsi="Calibri" w:cs="Arial"/>
          <w:color w:val="202122"/>
          <w:sz w:val="22"/>
          <w:szCs w:val="22"/>
        </w:rPr>
        <w:t> de la Bretagne au littoral sud-anglais) , la </w:t>
      </w:r>
      <w:hyperlink r:id="rId2607" w:tooltip="Tasmanie" w:history="1">
        <w:r w:rsidRPr="00DA465A">
          <w:rPr>
            <w:rStyle w:val="Lienhypertexte"/>
            <w:rFonts w:ascii="Calibri" w:hAnsi="Calibri" w:cs="Arial"/>
            <w:color w:val="0645AD"/>
            <w:sz w:val="22"/>
            <w:szCs w:val="22"/>
            <w:u w:val="none"/>
          </w:rPr>
          <w:t>Tasmanie</w:t>
        </w:r>
      </w:hyperlink>
      <w:r w:rsidRPr="00DA465A">
        <w:rPr>
          <w:rFonts w:ascii="Calibri" w:hAnsi="Calibri" w:cs="Arial"/>
          <w:color w:val="202122"/>
          <w:sz w:val="22"/>
          <w:szCs w:val="22"/>
        </w:rPr>
        <w:t> et Nouvelle-Zélande ou en </w:t>
      </w:r>
      <w:hyperlink r:id="rId2608" w:tooltip="Argentine" w:history="1">
        <w:r w:rsidRPr="00DA465A">
          <w:rPr>
            <w:rStyle w:val="Lienhypertexte"/>
            <w:rFonts w:ascii="Calibri" w:hAnsi="Calibri" w:cs="Arial"/>
            <w:color w:val="0645AD"/>
            <w:sz w:val="22"/>
            <w:szCs w:val="22"/>
            <w:u w:val="none"/>
          </w:rPr>
          <w:t>Argentine</w:t>
        </w:r>
      </w:hyperlink>
      <w:r w:rsidRPr="00DA465A">
        <w:rPr>
          <w:rFonts w:ascii="Calibri" w:hAnsi="Calibri" w:cs="Arial"/>
          <w:color w:val="202122"/>
          <w:sz w:val="22"/>
          <w:szCs w:val="22"/>
        </w:rPr>
        <w:t xml:space="preserve">. Elle </w:t>
      </w:r>
      <w:r w:rsidRPr="00DA465A">
        <w:rPr>
          <w:rFonts w:ascii="Calibri" w:hAnsi="Calibri" w:cs="Arial"/>
          <w:color w:val="000000" w:themeColor="text1"/>
          <w:sz w:val="22"/>
          <w:szCs w:val="22"/>
        </w:rPr>
        <w:t>est signalée depuis le début des années 2000 dans le pacifique nord. Selon une étude faite en Tasmanie, là où elle est introduite, elle s'installe plus facilement dans les environnement déjà perturbés par l'homme.</w:t>
      </w:r>
      <w:r w:rsidR="00DA465A" w:rsidRPr="00DA465A">
        <w:rPr>
          <w:rFonts w:ascii="Calibri" w:hAnsi="Calibri" w:cs="Arial"/>
          <w:color w:val="000000" w:themeColor="text1"/>
          <w:sz w:val="22"/>
          <w:szCs w:val="22"/>
        </w:rPr>
        <w:t xml:space="preserve"> </w:t>
      </w:r>
      <w:r w:rsidR="00DA465A" w:rsidRPr="00DA465A">
        <w:rPr>
          <w:rFonts w:ascii="Calibri" w:hAnsi="Calibri" w:cs="Arial"/>
          <w:color w:val="000000" w:themeColor="text1"/>
          <w:sz w:val="22"/>
          <w:szCs w:val="22"/>
          <w:shd w:val="clear" w:color="auto" w:fill="FFFFFF"/>
        </w:rPr>
        <w:t>Cette espèce pourrait aussi être étudiée pour extraire certains </w:t>
      </w:r>
      <w:hyperlink r:id="rId2609" w:tooltip="Pollution de l'eau" w:history="1">
        <w:r w:rsidR="00DA465A" w:rsidRPr="00DA465A">
          <w:rPr>
            <w:rStyle w:val="Lienhypertexte"/>
            <w:rFonts w:ascii="Calibri" w:hAnsi="Calibri" w:cs="Arial"/>
            <w:color w:val="0645AD"/>
            <w:sz w:val="22"/>
            <w:szCs w:val="22"/>
            <w:shd w:val="clear" w:color="auto" w:fill="FFFFFF"/>
          </w:rPr>
          <w:t>polluants de l'eau</w:t>
        </w:r>
      </w:hyperlink>
      <w:r w:rsidR="00DA465A" w:rsidRPr="00DA465A">
        <w:rPr>
          <w:rFonts w:ascii="Calibri" w:hAnsi="Calibri" w:cs="Arial"/>
          <w:color w:val="202122"/>
          <w:sz w:val="22"/>
          <w:szCs w:val="22"/>
          <w:shd w:val="clear" w:color="auto" w:fill="FFFFFF"/>
        </w:rPr>
        <w:t> (</w:t>
      </w:r>
      <w:hyperlink r:id="rId2610" w:tooltip="Cuivre" w:history="1">
        <w:r w:rsidR="00DA465A" w:rsidRPr="00DA465A">
          <w:rPr>
            <w:rStyle w:val="Lienhypertexte"/>
            <w:rFonts w:ascii="Calibri" w:hAnsi="Calibri" w:cs="Arial"/>
            <w:color w:val="0645AD"/>
            <w:sz w:val="22"/>
            <w:szCs w:val="22"/>
            <w:shd w:val="clear" w:color="auto" w:fill="FFFFFF"/>
          </w:rPr>
          <w:t>cuivre</w:t>
        </w:r>
      </w:hyperlink>
      <w:r w:rsidR="00DA465A" w:rsidRPr="00DA465A">
        <w:rPr>
          <w:rFonts w:ascii="Calibri" w:hAnsi="Calibri" w:cs="Arial"/>
          <w:color w:val="202122"/>
          <w:sz w:val="22"/>
          <w:szCs w:val="22"/>
          <w:shd w:val="clear" w:color="auto" w:fill="FFFFFF"/>
        </w:rPr>
        <w:t> et </w:t>
      </w:r>
      <w:hyperlink r:id="rId2611" w:tooltip="Nickel" w:history="1">
        <w:r w:rsidR="00DA465A" w:rsidRPr="00DA465A">
          <w:rPr>
            <w:rStyle w:val="Lienhypertexte"/>
            <w:rFonts w:ascii="Calibri" w:hAnsi="Calibri" w:cs="Arial"/>
            <w:color w:val="0645AD"/>
            <w:sz w:val="22"/>
            <w:szCs w:val="22"/>
            <w:shd w:val="clear" w:color="auto" w:fill="FFFFFF"/>
          </w:rPr>
          <w:t>nickel</w:t>
        </w:r>
      </w:hyperlink>
      <w:r w:rsidR="00DA465A" w:rsidRPr="00DA465A">
        <w:rPr>
          <w:rFonts w:ascii="Calibri" w:hAnsi="Calibri" w:cs="Arial"/>
          <w:color w:val="202122"/>
          <w:sz w:val="22"/>
          <w:szCs w:val="22"/>
          <w:shd w:val="clear" w:color="auto" w:fill="FFFFFF"/>
        </w:rPr>
        <w:t> par exemple, par </w:t>
      </w:r>
      <w:hyperlink r:id="rId2612" w:history="1">
        <w:r w:rsidR="00DA465A" w:rsidRPr="00DA465A">
          <w:rPr>
            <w:rStyle w:val="Lienhypertexte"/>
            <w:rFonts w:ascii="Calibri" w:hAnsi="Calibri" w:cs="Arial"/>
            <w:color w:val="0645AD"/>
            <w:sz w:val="22"/>
            <w:szCs w:val="22"/>
            <w:shd w:val="clear" w:color="auto" w:fill="FFFFFF"/>
          </w:rPr>
          <w:t>biosorption</w:t>
        </w:r>
      </w:hyperlink>
      <w:r w:rsidR="00DA465A">
        <w:rPr>
          <w:rFonts w:ascii="Calibri" w:hAnsi="Calibri"/>
          <w:sz w:val="22"/>
          <w:szCs w:val="22"/>
        </w:rPr>
        <w:t>)</w:t>
      </w:r>
      <w:r w:rsidR="00DA465A" w:rsidRPr="00DA465A">
        <w:rPr>
          <w:rFonts w:ascii="Calibri" w:hAnsi="Calibri" w:cs="Arial"/>
          <w:color w:val="202122"/>
          <w:sz w:val="22"/>
          <w:szCs w:val="22"/>
        </w:rPr>
        <w:t>.</w:t>
      </w:r>
    </w:p>
    <w:p w14:paraId="3072DB39" w14:textId="6F6053BA" w:rsidR="00AA0BA4" w:rsidRPr="00DA465A" w:rsidRDefault="00AA0BA4" w:rsidP="00AA0BA4">
      <w:pPr>
        <w:pStyle w:val="NormalWeb"/>
        <w:shd w:val="clear" w:color="auto" w:fill="FFFFFF"/>
        <w:spacing w:before="0" w:beforeAutospacing="0" w:after="0" w:afterAutospacing="0"/>
        <w:jc w:val="both"/>
        <w:rPr>
          <w:rFonts w:ascii="Calibri" w:hAnsi="Calibri" w:cs="Arial"/>
          <w:color w:val="202122"/>
          <w:sz w:val="22"/>
          <w:szCs w:val="22"/>
        </w:rPr>
      </w:pPr>
      <w:r w:rsidRPr="00DA465A">
        <w:rPr>
          <w:rFonts w:ascii="Calibri" w:hAnsi="Calibri" w:cs="Arial"/>
          <w:color w:val="202122"/>
          <w:sz w:val="22"/>
          <w:szCs w:val="22"/>
        </w:rPr>
        <w:t xml:space="preserve">Sources : a) </w:t>
      </w:r>
      <w:hyperlink r:id="rId2613" w:history="1">
        <w:r w:rsidRPr="00DA465A">
          <w:rPr>
            <w:rStyle w:val="Lienhypertexte"/>
            <w:rFonts w:ascii="Calibri" w:hAnsi="Calibri" w:cs="Arial"/>
            <w:sz w:val="22"/>
            <w:szCs w:val="22"/>
          </w:rPr>
          <w:t>https://fr.wikipedia.org/wiki/Undaria_pinnatifida</w:t>
        </w:r>
      </w:hyperlink>
      <w:r w:rsidRPr="00DA465A">
        <w:rPr>
          <w:rFonts w:ascii="Calibri" w:hAnsi="Calibri" w:cs="Arial"/>
          <w:color w:val="202122"/>
          <w:sz w:val="22"/>
          <w:szCs w:val="22"/>
        </w:rPr>
        <w:t xml:space="preserve">, </w:t>
      </w:r>
    </w:p>
    <w:p w14:paraId="71214E33" w14:textId="5D78EF05" w:rsidR="00CA02C8" w:rsidRDefault="00CA02C8" w:rsidP="006E1FE5">
      <w:pPr>
        <w:pStyle w:val="NormalWeb"/>
        <w:shd w:val="clear" w:color="auto" w:fill="FFFFFF"/>
        <w:spacing w:before="0" w:beforeAutospacing="0" w:after="0" w:afterAutospacing="0"/>
        <w:jc w:val="both"/>
        <w:rPr>
          <w:rFonts w:ascii="Calibri" w:hAnsi="Calibri" w:cs="Calibri"/>
          <w:sz w:val="22"/>
          <w:szCs w:val="2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59"/>
        <w:gridCol w:w="3467"/>
        <w:gridCol w:w="3500"/>
      </w:tblGrid>
      <w:tr w:rsidR="00AA0BA4" w:rsidRPr="00AA0BA4" w14:paraId="350C9084" w14:textId="77777777" w:rsidTr="00DA465A">
        <w:tc>
          <w:tcPr>
            <w:tcW w:w="3472" w:type="dxa"/>
          </w:tcPr>
          <w:p w14:paraId="4F49CE1B" w14:textId="77777777" w:rsidR="00AA0BA4" w:rsidRPr="00AA0BA4" w:rsidRDefault="00AA0BA4" w:rsidP="00AA0BA4">
            <w:pPr>
              <w:pStyle w:val="NormalWeb"/>
              <w:spacing w:before="0" w:beforeAutospacing="0" w:after="0" w:afterAutospacing="0"/>
              <w:jc w:val="center"/>
              <w:rPr>
                <w:rFonts w:ascii="Calibri" w:hAnsi="Calibri"/>
                <w:sz w:val="22"/>
                <w:szCs w:val="22"/>
              </w:rPr>
            </w:pPr>
            <w:r w:rsidRPr="00AA0BA4">
              <w:rPr>
                <w:rFonts w:ascii="Calibri" w:hAnsi="Calibri"/>
                <w:noProof/>
                <w:sz w:val="22"/>
                <w:szCs w:val="22"/>
              </w:rPr>
              <w:drawing>
                <wp:inline distT="0" distB="0" distL="0" distR="0" wp14:anchorId="231AD076" wp14:editId="56BBFE08">
                  <wp:extent cx="1666875" cy="1457325"/>
                  <wp:effectExtent l="0" t="0" r="9525" b="9525"/>
                  <wp:docPr id="7176" name="Image 7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4"/>
                          <a:stretch>
                            <a:fillRect/>
                          </a:stretch>
                        </pic:blipFill>
                        <pic:spPr>
                          <a:xfrm>
                            <a:off x="0" y="0"/>
                            <a:ext cx="1666875" cy="1457325"/>
                          </a:xfrm>
                          <a:prstGeom prst="rect">
                            <a:avLst/>
                          </a:prstGeom>
                        </pic:spPr>
                      </pic:pic>
                    </a:graphicData>
                  </a:graphic>
                </wp:inline>
              </w:drawing>
            </w:r>
          </w:p>
          <w:p w14:paraId="245FF8CD" w14:textId="77777777" w:rsidR="00AA0BA4" w:rsidRDefault="00AA0BA4" w:rsidP="00AA0BA4">
            <w:pPr>
              <w:pStyle w:val="NormalWeb"/>
              <w:spacing w:before="0" w:beforeAutospacing="0" w:after="0" w:afterAutospacing="0"/>
              <w:jc w:val="center"/>
              <w:rPr>
                <w:rFonts w:ascii="Calibri" w:hAnsi="Calibri"/>
                <w:sz w:val="22"/>
                <w:szCs w:val="22"/>
              </w:rPr>
            </w:pPr>
            <w:r w:rsidRPr="00AA0BA4">
              <w:rPr>
                <w:rFonts w:ascii="Calibri" w:hAnsi="Calibri"/>
                <w:i/>
                <w:iCs/>
                <w:sz w:val="22"/>
                <w:szCs w:val="22"/>
              </w:rPr>
              <w:t>Undaria pinnatifida</w:t>
            </w:r>
            <w:r w:rsidRPr="00AA0BA4">
              <w:rPr>
                <w:rFonts w:ascii="Calibri" w:hAnsi="Calibri"/>
                <w:sz w:val="22"/>
                <w:szCs w:val="22"/>
              </w:rPr>
              <w:t xml:space="preserve"> (ici en Australie où elle a été introduite)</w:t>
            </w:r>
            <w:r w:rsidR="00DA465A">
              <w:rPr>
                <w:rFonts w:ascii="Calibri" w:hAnsi="Calibri"/>
                <w:sz w:val="22"/>
                <w:szCs w:val="22"/>
              </w:rPr>
              <w:t>. </w:t>
            </w:r>
          </w:p>
          <w:p w14:paraId="59F28012" w14:textId="45C4A7A3" w:rsidR="00DA465A" w:rsidRPr="00AA0BA4" w:rsidRDefault="00DA465A" w:rsidP="00AA0BA4">
            <w:pPr>
              <w:pStyle w:val="NormalWeb"/>
              <w:spacing w:before="0" w:beforeAutospacing="0" w:after="0" w:afterAutospacing="0"/>
              <w:jc w:val="center"/>
              <w:rPr>
                <w:rFonts w:ascii="Calibri" w:hAnsi="Calibri"/>
                <w:sz w:val="22"/>
                <w:szCs w:val="22"/>
              </w:rPr>
            </w:pPr>
          </w:p>
        </w:tc>
        <w:tc>
          <w:tcPr>
            <w:tcW w:w="3472" w:type="dxa"/>
          </w:tcPr>
          <w:p w14:paraId="4728209C" w14:textId="5DED6763" w:rsidR="00AA0BA4" w:rsidRPr="00AA0BA4" w:rsidRDefault="00DA465A" w:rsidP="00AA0BA4">
            <w:pPr>
              <w:pStyle w:val="NormalWeb"/>
              <w:spacing w:before="0" w:beforeAutospacing="0" w:after="0" w:afterAutospacing="0"/>
              <w:jc w:val="center"/>
              <w:rPr>
                <w:rFonts w:ascii="Calibri" w:hAnsi="Calibri" w:cs="Calibri"/>
                <w:sz w:val="22"/>
                <w:szCs w:val="22"/>
              </w:rPr>
            </w:pPr>
            <w:r>
              <w:rPr>
                <w:noProof/>
              </w:rPr>
              <w:drawing>
                <wp:inline distT="0" distB="0" distL="0" distR="0" wp14:anchorId="7562F86B" wp14:editId="74EEBF25">
                  <wp:extent cx="1915133" cy="1285875"/>
                  <wp:effectExtent l="0" t="0" r="9525" b="0"/>
                  <wp:docPr id="7177" name="Image 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615">
                            <a:extLst>
                              <a:ext uri="{28A0092B-C50C-407E-A947-70E740481C1C}">
                                <a14:useLocalDpi xmlns:a14="http://schemas.microsoft.com/office/drawing/2010/main" val="0"/>
                              </a:ext>
                            </a:extLst>
                          </a:blip>
                          <a:srcRect/>
                          <a:stretch>
                            <a:fillRect/>
                          </a:stretch>
                        </pic:blipFill>
                        <pic:spPr bwMode="auto">
                          <a:xfrm>
                            <a:off x="0" y="0"/>
                            <a:ext cx="1922101" cy="1290554"/>
                          </a:xfrm>
                          <a:prstGeom prst="rect">
                            <a:avLst/>
                          </a:prstGeom>
                          <a:noFill/>
                          <a:ln>
                            <a:noFill/>
                          </a:ln>
                        </pic:spPr>
                      </pic:pic>
                    </a:graphicData>
                  </a:graphic>
                </wp:inline>
              </w:drawing>
            </w:r>
          </w:p>
        </w:tc>
        <w:tc>
          <w:tcPr>
            <w:tcW w:w="3472" w:type="dxa"/>
          </w:tcPr>
          <w:p w14:paraId="6977D3FD" w14:textId="67883CC7" w:rsidR="00AA0BA4" w:rsidRPr="00AA0BA4" w:rsidRDefault="00DA465A" w:rsidP="00AA0BA4">
            <w:pPr>
              <w:pStyle w:val="NormalWeb"/>
              <w:spacing w:before="0" w:beforeAutospacing="0" w:after="0" w:afterAutospacing="0"/>
              <w:jc w:val="center"/>
              <w:rPr>
                <w:rFonts w:ascii="Calibri" w:hAnsi="Calibri" w:cs="Calibri"/>
                <w:sz w:val="22"/>
                <w:szCs w:val="22"/>
              </w:rPr>
            </w:pPr>
            <w:r>
              <w:rPr>
                <w:noProof/>
              </w:rPr>
              <w:drawing>
                <wp:inline distT="0" distB="0" distL="0" distR="0" wp14:anchorId="73FD80FD" wp14:editId="55545B13">
                  <wp:extent cx="2085367" cy="1400175"/>
                  <wp:effectExtent l="0" t="0" r="0" b="0"/>
                  <wp:docPr id="7178" name="Image 7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616">
                            <a:extLst>
                              <a:ext uri="{28A0092B-C50C-407E-A947-70E740481C1C}">
                                <a14:useLocalDpi xmlns:a14="http://schemas.microsoft.com/office/drawing/2010/main" val="0"/>
                              </a:ext>
                            </a:extLst>
                          </a:blip>
                          <a:srcRect/>
                          <a:stretch>
                            <a:fillRect/>
                          </a:stretch>
                        </pic:blipFill>
                        <pic:spPr bwMode="auto">
                          <a:xfrm>
                            <a:off x="0" y="0"/>
                            <a:ext cx="2093483" cy="1405624"/>
                          </a:xfrm>
                          <a:prstGeom prst="rect">
                            <a:avLst/>
                          </a:prstGeom>
                          <a:noFill/>
                          <a:ln>
                            <a:noFill/>
                          </a:ln>
                        </pic:spPr>
                      </pic:pic>
                    </a:graphicData>
                  </a:graphic>
                </wp:inline>
              </w:drawing>
            </w:r>
          </w:p>
        </w:tc>
      </w:tr>
      <w:tr w:rsidR="00AA0BA4" w:rsidRPr="00AA0BA4" w14:paraId="3312B76C" w14:textId="77777777" w:rsidTr="00DA465A">
        <w:tc>
          <w:tcPr>
            <w:tcW w:w="3472" w:type="dxa"/>
          </w:tcPr>
          <w:p w14:paraId="71EBCFE3" w14:textId="77777777" w:rsidR="00AA0BA4" w:rsidRDefault="00DA465A" w:rsidP="00AA0BA4">
            <w:pPr>
              <w:pStyle w:val="NormalWeb"/>
              <w:spacing w:before="0" w:beforeAutospacing="0" w:after="0" w:afterAutospacing="0"/>
              <w:jc w:val="center"/>
              <w:rPr>
                <w:rFonts w:ascii="Calibri" w:hAnsi="Calibri" w:cs="Calibri"/>
                <w:sz w:val="22"/>
                <w:szCs w:val="22"/>
              </w:rPr>
            </w:pPr>
            <w:r>
              <w:rPr>
                <w:noProof/>
              </w:rPr>
              <w:drawing>
                <wp:inline distT="0" distB="0" distL="0" distR="0" wp14:anchorId="241C8970" wp14:editId="5EE7B64D">
                  <wp:extent cx="1724025" cy="1296703"/>
                  <wp:effectExtent l="0" t="0" r="0" b="0"/>
                  <wp:docPr id="7179" name="Image 7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617">
                            <a:extLst>
                              <a:ext uri="{28A0092B-C50C-407E-A947-70E740481C1C}">
                                <a14:useLocalDpi xmlns:a14="http://schemas.microsoft.com/office/drawing/2010/main" val="0"/>
                              </a:ext>
                            </a:extLst>
                          </a:blip>
                          <a:srcRect/>
                          <a:stretch>
                            <a:fillRect/>
                          </a:stretch>
                        </pic:blipFill>
                        <pic:spPr bwMode="auto">
                          <a:xfrm>
                            <a:off x="0" y="0"/>
                            <a:ext cx="1730984" cy="1301937"/>
                          </a:xfrm>
                          <a:prstGeom prst="rect">
                            <a:avLst/>
                          </a:prstGeom>
                          <a:noFill/>
                          <a:ln>
                            <a:noFill/>
                          </a:ln>
                        </pic:spPr>
                      </pic:pic>
                    </a:graphicData>
                  </a:graphic>
                </wp:inline>
              </w:drawing>
            </w:r>
          </w:p>
          <w:p w14:paraId="3E10D83E" w14:textId="46ED2498" w:rsidR="00DA465A" w:rsidRPr="00AA0BA4" w:rsidRDefault="00DA465A" w:rsidP="00AA0BA4">
            <w:pPr>
              <w:pStyle w:val="NormalWeb"/>
              <w:spacing w:before="0" w:beforeAutospacing="0" w:after="0" w:afterAutospacing="0"/>
              <w:jc w:val="center"/>
              <w:rPr>
                <w:rFonts w:ascii="Calibri" w:hAnsi="Calibri" w:cs="Calibri"/>
                <w:sz w:val="22"/>
                <w:szCs w:val="22"/>
              </w:rPr>
            </w:pPr>
            <w:r>
              <w:rPr>
                <w:rFonts w:ascii="Calibri" w:hAnsi="Calibri" w:cs="Calibri"/>
                <w:sz w:val="22"/>
                <w:szCs w:val="22"/>
              </w:rPr>
              <w:t>Wakame</w:t>
            </w:r>
          </w:p>
        </w:tc>
        <w:tc>
          <w:tcPr>
            <w:tcW w:w="3472" w:type="dxa"/>
          </w:tcPr>
          <w:p w14:paraId="18E4787C" w14:textId="77777777" w:rsidR="00AA0BA4" w:rsidRDefault="00DA465A" w:rsidP="00AA0BA4">
            <w:pPr>
              <w:pStyle w:val="NormalWeb"/>
              <w:spacing w:before="0" w:beforeAutospacing="0" w:after="0" w:afterAutospacing="0"/>
              <w:jc w:val="center"/>
              <w:rPr>
                <w:rFonts w:ascii="Calibri" w:hAnsi="Calibri" w:cs="Calibri"/>
                <w:sz w:val="22"/>
                <w:szCs w:val="22"/>
              </w:rPr>
            </w:pPr>
            <w:r>
              <w:rPr>
                <w:noProof/>
              </w:rPr>
              <w:drawing>
                <wp:inline distT="0" distB="0" distL="0" distR="0" wp14:anchorId="5A02ABD3" wp14:editId="78B14FCE">
                  <wp:extent cx="1726928" cy="1296670"/>
                  <wp:effectExtent l="0" t="0" r="6985" b="0"/>
                  <wp:docPr id="7180" name="Image 7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618">
                            <a:extLst>
                              <a:ext uri="{28A0092B-C50C-407E-A947-70E740481C1C}">
                                <a14:useLocalDpi xmlns:a14="http://schemas.microsoft.com/office/drawing/2010/main" val="0"/>
                              </a:ext>
                            </a:extLst>
                          </a:blip>
                          <a:srcRect/>
                          <a:stretch>
                            <a:fillRect/>
                          </a:stretch>
                        </pic:blipFill>
                        <pic:spPr bwMode="auto">
                          <a:xfrm>
                            <a:off x="0" y="0"/>
                            <a:ext cx="1730681" cy="1299488"/>
                          </a:xfrm>
                          <a:prstGeom prst="rect">
                            <a:avLst/>
                          </a:prstGeom>
                          <a:noFill/>
                          <a:ln>
                            <a:noFill/>
                          </a:ln>
                        </pic:spPr>
                      </pic:pic>
                    </a:graphicData>
                  </a:graphic>
                </wp:inline>
              </w:drawing>
            </w:r>
          </w:p>
          <w:p w14:paraId="27449685" w14:textId="183F2FF3" w:rsidR="00DA465A" w:rsidRPr="00AA0BA4" w:rsidRDefault="00DA465A" w:rsidP="00AA0BA4">
            <w:pPr>
              <w:pStyle w:val="NormalWeb"/>
              <w:spacing w:before="0" w:beforeAutospacing="0" w:after="0" w:afterAutospacing="0"/>
              <w:jc w:val="center"/>
              <w:rPr>
                <w:rFonts w:ascii="Calibri" w:hAnsi="Calibri" w:cs="Calibri"/>
                <w:sz w:val="22"/>
                <w:szCs w:val="22"/>
              </w:rPr>
            </w:pPr>
            <w:r>
              <w:rPr>
                <w:rFonts w:ascii="Calibri" w:hAnsi="Calibri" w:cs="Calibri"/>
                <w:sz w:val="22"/>
                <w:szCs w:val="22"/>
              </w:rPr>
              <w:t>Wakame bouilli (cuit).</w:t>
            </w:r>
          </w:p>
        </w:tc>
        <w:tc>
          <w:tcPr>
            <w:tcW w:w="3472" w:type="dxa"/>
          </w:tcPr>
          <w:p w14:paraId="0D4F378C" w14:textId="64F6E7F9" w:rsidR="00AA0BA4" w:rsidRPr="00AA0BA4" w:rsidRDefault="00DA465A" w:rsidP="00AA0BA4">
            <w:pPr>
              <w:pStyle w:val="NormalWeb"/>
              <w:spacing w:before="0" w:beforeAutospacing="0" w:after="0" w:afterAutospacing="0"/>
              <w:jc w:val="center"/>
              <w:rPr>
                <w:rFonts w:ascii="Calibri" w:hAnsi="Calibri" w:cs="Calibri"/>
                <w:sz w:val="22"/>
                <w:szCs w:val="22"/>
              </w:rPr>
            </w:pPr>
            <w:r>
              <w:rPr>
                <w:noProof/>
              </w:rPr>
              <w:drawing>
                <wp:inline distT="0" distB="0" distL="0" distR="0" wp14:anchorId="372FB364" wp14:editId="68301BE7">
                  <wp:extent cx="1209675" cy="1612900"/>
                  <wp:effectExtent l="0" t="0" r="9525" b="6350"/>
                  <wp:docPr id="7181" name="Image 7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619">
                            <a:extLst>
                              <a:ext uri="{28A0092B-C50C-407E-A947-70E740481C1C}">
                                <a14:useLocalDpi xmlns:a14="http://schemas.microsoft.com/office/drawing/2010/main" val="0"/>
                              </a:ext>
                            </a:extLst>
                          </a:blip>
                          <a:srcRect/>
                          <a:stretch>
                            <a:fillRect/>
                          </a:stretch>
                        </pic:blipFill>
                        <pic:spPr bwMode="auto">
                          <a:xfrm>
                            <a:off x="0" y="0"/>
                            <a:ext cx="1209675" cy="1612900"/>
                          </a:xfrm>
                          <a:prstGeom prst="rect">
                            <a:avLst/>
                          </a:prstGeom>
                          <a:noFill/>
                          <a:ln>
                            <a:noFill/>
                          </a:ln>
                        </pic:spPr>
                      </pic:pic>
                    </a:graphicData>
                  </a:graphic>
                </wp:inline>
              </w:drawing>
            </w:r>
          </w:p>
        </w:tc>
      </w:tr>
    </w:tbl>
    <w:p w14:paraId="037674C0" w14:textId="77777777" w:rsidR="00AA0BA4" w:rsidRDefault="00AA0BA4" w:rsidP="00AA0BA4">
      <w:pPr>
        <w:pStyle w:val="NormalWeb"/>
        <w:shd w:val="clear" w:color="auto" w:fill="FFFFFF"/>
        <w:spacing w:before="0" w:beforeAutospacing="0" w:after="0" w:afterAutospacing="0"/>
        <w:jc w:val="center"/>
        <w:rPr>
          <w:rFonts w:ascii="Calibri" w:hAnsi="Calibri" w:cs="Calibri"/>
          <w:sz w:val="22"/>
          <w:szCs w:val="22"/>
        </w:rPr>
      </w:pPr>
    </w:p>
    <w:p w14:paraId="25941E53" w14:textId="04DF738B" w:rsidR="00DA7993" w:rsidRPr="00C61CED" w:rsidRDefault="001E2AA9" w:rsidP="00C61CED">
      <w:pPr>
        <w:pStyle w:val="Titre2"/>
        <w:rPr>
          <w:i/>
          <w:iCs/>
        </w:rPr>
      </w:pPr>
      <w:bookmarkStart w:id="214" w:name="_Toc139181505"/>
      <w:r>
        <w:t>Gim ou nori (</w:t>
      </w:r>
      <w:r w:rsidR="00DA465A" w:rsidRPr="00C61CED">
        <w:rPr>
          <w:i/>
          <w:iCs/>
        </w:rPr>
        <w:t>Pyropia tenera</w:t>
      </w:r>
      <w:r w:rsidR="00CD4876">
        <w:rPr>
          <w:i/>
          <w:iCs/>
        </w:rPr>
        <w:t xml:space="preserve"> </w:t>
      </w:r>
      <w:r w:rsidR="00CD4876" w:rsidRPr="00CD4876">
        <w:t>ou</w:t>
      </w:r>
      <w:r w:rsidR="00CD4876">
        <w:rPr>
          <w:i/>
          <w:iCs/>
        </w:rPr>
        <w:t xml:space="preserve"> </w:t>
      </w:r>
      <w:r w:rsidR="00CD4876" w:rsidRPr="00CD4876">
        <w:rPr>
          <w:i/>
          <w:iCs/>
        </w:rPr>
        <w:t>Porphyra tenera</w:t>
      </w:r>
      <w:r>
        <w:t>)</w:t>
      </w:r>
      <w:bookmarkEnd w:id="214"/>
    </w:p>
    <w:p w14:paraId="5D1E2721" w14:textId="6D3C41CA" w:rsidR="00DA465A" w:rsidRDefault="00DA465A" w:rsidP="006E1FE5">
      <w:pPr>
        <w:pStyle w:val="NormalWeb"/>
        <w:shd w:val="clear" w:color="auto" w:fill="FFFFFF"/>
        <w:spacing w:before="0" w:beforeAutospacing="0" w:after="0" w:afterAutospacing="0"/>
        <w:jc w:val="both"/>
        <w:rPr>
          <w:rFonts w:ascii="Calibri" w:hAnsi="Calibri" w:cs="Calibri"/>
          <w:sz w:val="22"/>
          <w:szCs w:val="22"/>
        </w:rPr>
      </w:pPr>
    </w:p>
    <w:p w14:paraId="3BB4E25C" w14:textId="5A40D2C5" w:rsidR="00C61CED" w:rsidRPr="00D0086B" w:rsidRDefault="001E2AA9" w:rsidP="006E1FE5">
      <w:pPr>
        <w:pStyle w:val="NormalWeb"/>
        <w:shd w:val="clear" w:color="auto" w:fill="FFFFFF"/>
        <w:spacing w:before="0" w:beforeAutospacing="0" w:after="0" w:afterAutospacing="0"/>
        <w:jc w:val="both"/>
        <w:rPr>
          <w:rFonts w:ascii="Calibri" w:hAnsi="Calibri" w:cs="Calibri"/>
          <w:sz w:val="22"/>
          <w:szCs w:val="22"/>
        </w:rPr>
      </w:pPr>
      <w:r w:rsidRPr="00D0086B">
        <w:rPr>
          <w:rFonts w:ascii="Calibri" w:hAnsi="Calibri" w:cs="Arial"/>
          <w:color w:val="000000" w:themeColor="text1"/>
          <w:sz w:val="22"/>
          <w:szCs w:val="22"/>
          <w:shd w:val="clear" w:color="auto" w:fill="FFFFFF"/>
        </w:rPr>
        <w:t>Pour mention : C’est une espèce d'algue rouge du genre</w:t>
      </w:r>
      <w:r w:rsidRPr="00D0086B">
        <w:rPr>
          <w:rFonts w:ascii="Calibri" w:hAnsi="Calibri" w:cs="Arial"/>
          <w:i/>
          <w:iCs/>
          <w:color w:val="000000" w:themeColor="text1"/>
          <w:sz w:val="22"/>
          <w:szCs w:val="22"/>
          <w:shd w:val="clear" w:color="auto" w:fill="FFFFFF"/>
        </w:rPr>
        <w:t> Pyropia</w:t>
      </w:r>
      <w:r w:rsidRPr="00D0086B">
        <w:rPr>
          <w:rFonts w:ascii="Calibri" w:hAnsi="Calibri" w:cs="Arial"/>
          <w:color w:val="000000" w:themeColor="text1"/>
          <w:sz w:val="22"/>
          <w:szCs w:val="22"/>
          <w:shd w:val="clear" w:color="auto" w:fill="FFFFFF"/>
        </w:rPr>
        <w:t>, de mers froides</w:t>
      </w:r>
      <w:r w:rsidR="00CD4876">
        <w:rPr>
          <w:rFonts w:ascii="Calibri" w:hAnsi="Calibri" w:cs="Arial"/>
          <w:color w:val="000000" w:themeColor="text1"/>
          <w:sz w:val="22"/>
          <w:szCs w:val="22"/>
          <w:shd w:val="clear" w:color="auto" w:fill="FFFFFF"/>
        </w:rPr>
        <w:t xml:space="preserve"> à tempérées (voire chaudes)</w:t>
      </w:r>
      <w:r w:rsidRPr="00D0086B">
        <w:rPr>
          <w:rFonts w:ascii="Calibri" w:hAnsi="Calibri" w:cs="Arial"/>
          <w:color w:val="000000" w:themeColor="text1"/>
          <w:sz w:val="22"/>
          <w:szCs w:val="22"/>
          <w:shd w:val="clear" w:color="auto" w:fill="FFFFFF"/>
        </w:rPr>
        <w:t>. Le nom spécifique,</w:t>
      </w:r>
      <w:r w:rsidRPr="00D0086B">
        <w:rPr>
          <w:rFonts w:ascii="Calibri" w:hAnsi="Calibri" w:cs="Arial"/>
          <w:i/>
          <w:iCs/>
          <w:color w:val="000000" w:themeColor="text1"/>
          <w:sz w:val="22"/>
          <w:szCs w:val="22"/>
          <w:shd w:val="clear" w:color="auto" w:fill="FFFFFF"/>
        </w:rPr>
        <w:t> tenera</w:t>
      </w:r>
      <w:r w:rsidRPr="00D0086B">
        <w:rPr>
          <w:rFonts w:ascii="Calibri" w:hAnsi="Calibri" w:cs="Arial"/>
          <w:color w:val="000000" w:themeColor="text1"/>
          <w:sz w:val="22"/>
          <w:szCs w:val="22"/>
          <w:shd w:val="clear" w:color="auto" w:fill="FFFFFF"/>
        </w:rPr>
        <w:t xml:space="preserve">, signifie "délicat" et fait allusion à sa petite taille. Il atteint généralement des longueurs comprises entre 20 et 50 cm. On le trouve le plus souvent </w:t>
      </w:r>
      <w:r w:rsidRPr="00D0086B">
        <w:rPr>
          <w:rFonts w:ascii="Calibri" w:hAnsi="Calibri" w:cs="Arial"/>
          <w:color w:val="202122"/>
          <w:sz w:val="22"/>
          <w:szCs w:val="22"/>
          <w:shd w:val="clear" w:color="auto" w:fill="FFFFFF"/>
        </w:rPr>
        <w:t>dans l'</w:t>
      </w:r>
      <w:hyperlink r:id="rId2620" w:tooltip="l'océan Pacifique" w:history="1">
        <w:r w:rsidRPr="00D0086B">
          <w:rPr>
            <w:rStyle w:val="Lienhypertexte"/>
            <w:rFonts w:ascii="Calibri" w:hAnsi="Calibri" w:cs="Arial"/>
            <w:color w:val="0645AD"/>
            <w:sz w:val="22"/>
            <w:szCs w:val="22"/>
            <w:shd w:val="clear" w:color="auto" w:fill="FFFFFF"/>
          </w:rPr>
          <w:t>océan Pacifique occidental</w:t>
        </w:r>
      </w:hyperlink>
      <w:r w:rsidRPr="00D0086B">
        <w:rPr>
          <w:rFonts w:ascii="Calibri" w:hAnsi="Calibri" w:cs="Arial"/>
          <w:color w:val="202122"/>
          <w:sz w:val="22"/>
          <w:szCs w:val="22"/>
          <w:shd w:val="clear" w:color="auto" w:fill="FFFFFF"/>
        </w:rPr>
        <w:t> et l'</w:t>
      </w:r>
      <w:hyperlink r:id="rId2621" w:tooltip="océan Indien" w:history="1">
        <w:r w:rsidRPr="00D0086B">
          <w:rPr>
            <w:rStyle w:val="Lienhypertexte"/>
            <w:rFonts w:ascii="Calibri" w:hAnsi="Calibri" w:cs="Arial"/>
            <w:color w:val="0645AD"/>
            <w:sz w:val="22"/>
            <w:szCs w:val="22"/>
            <w:shd w:val="clear" w:color="auto" w:fill="FFFFFF"/>
          </w:rPr>
          <w:t>océan Indien</w:t>
        </w:r>
      </w:hyperlink>
      <w:r w:rsidRPr="00D0086B">
        <w:rPr>
          <w:rFonts w:ascii="Calibri" w:hAnsi="Calibri" w:cs="Arial"/>
          <w:color w:val="202122"/>
          <w:sz w:val="22"/>
          <w:szCs w:val="22"/>
          <w:shd w:val="clear" w:color="auto" w:fill="FFFFFF"/>
        </w:rPr>
        <w:t>.</w:t>
      </w:r>
    </w:p>
    <w:p w14:paraId="7339F4F9" w14:textId="1F684164" w:rsidR="00C61CED" w:rsidRDefault="001E2AA9" w:rsidP="006E1FE5">
      <w:pPr>
        <w:pStyle w:val="NormalWeb"/>
        <w:shd w:val="clear" w:color="auto" w:fill="FFFFFF"/>
        <w:spacing w:before="0" w:beforeAutospacing="0" w:after="0" w:afterAutospacing="0"/>
        <w:jc w:val="both"/>
        <w:rPr>
          <w:rFonts w:ascii="Calibri" w:hAnsi="Calibri" w:cs="Arial"/>
          <w:color w:val="202122"/>
          <w:sz w:val="22"/>
          <w:szCs w:val="22"/>
          <w:shd w:val="clear" w:color="auto" w:fill="FFFFFF"/>
        </w:rPr>
      </w:pPr>
      <w:r w:rsidRPr="00D0086B">
        <w:rPr>
          <w:rFonts w:ascii="Calibri" w:hAnsi="Calibri" w:cs="Arial"/>
          <w:color w:val="202122"/>
          <w:sz w:val="22"/>
          <w:szCs w:val="22"/>
          <w:shd w:val="clear" w:color="auto" w:fill="FFFFFF"/>
        </w:rPr>
        <w:t>Au </w:t>
      </w:r>
      <w:hyperlink r:id="rId2622" w:tooltip="Pays de Galles" w:history="1">
        <w:r w:rsidRPr="00D0086B">
          <w:rPr>
            <w:rStyle w:val="Lienhypertexte"/>
            <w:rFonts w:ascii="Calibri" w:hAnsi="Calibri" w:cs="Arial"/>
            <w:color w:val="0645AD"/>
            <w:sz w:val="22"/>
            <w:szCs w:val="22"/>
            <w:shd w:val="clear" w:color="auto" w:fill="FFFFFF"/>
          </w:rPr>
          <w:t>Pays de Galles</w:t>
        </w:r>
      </w:hyperlink>
      <w:r w:rsidRPr="00D0086B">
        <w:rPr>
          <w:rFonts w:ascii="Calibri" w:hAnsi="Calibri" w:cs="Arial"/>
          <w:color w:val="202122"/>
          <w:sz w:val="22"/>
          <w:szCs w:val="22"/>
          <w:shd w:val="clear" w:color="auto" w:fill="FFFFFF"/>
        </w:rPr>
        <w:t> et au </w:t>
      </w:r>
      <w:hyperlink r:id="rId2623" w:tooltip="Japon" w:history="1">
        <w:r w:rsidRPr="00D0086B">
          <w:rPr>
            <w:rStyle w:val="Lienhypertexte"/>
            <w:rFonts w:ascii="Calibri" w:hAnsi="Calibri" w:cs="Arial"/>
            <w:color w:val="0645AD"/>
            <w:sz w:val="22"/>
            <w:szCs w:val="22"/>
            <w:shd w:val="clear" w:color="auto" w:fill="FFFFFF"/>
          </w:rPr>
          <w:t>Japon</w:t>
        </w:r>
      </w:hyperlink>
      <w:r w:rsidRPr="00D0086B">
        <w:rPr>
          <w:rFonts w:ascii="Calibri" w:hAnsi="Calibri" w:cs="Arial"/>
          <w:color w:val="202122"/>
          <w:sz w:val="22"/>
          <w:szCs w:val="22"/>
          <w:shd w:val="clear" w:color="auto" w:fill="FFFFFF"/>
        </w:rPr>
        <w:t>, </w:t>
      </w:r>
      <w:r w:rsidRPr="00CD4876">
        <w:rPr>
          <w:rFonts w:ascii="Calibri" w:hAnsi="Calibri" w:cs="Arial"/>
          <w:i/>
          <w:iCs/>
          <w:color w:val="000000" w:themeColor="text1"/>
          <w:sz w:val="22"/>
          <w:szCs w:val="22"/>
          <w:shd w:val="clear" w:color="auto" w:fill="FFFFFF"/>
        </w:rPr>
        <w:t>P. tenera</w:t>
      </w:r>
      <w:r w:rsidRPr="00CD4876">
        <w:rPr>
          <w:rFonts w:ascii="Calibri" w:hAnsi="Calibri" w:cs="Arial"/>
          <w:color w:val="000000" w:themeColor="text1"/>
          <w:sz w:val="22"/>
          <w:szCs w:val="22"/>
          <w:shd w:val="clear" w:color="auto" w:fill="FFFFFF"/>
        </w:rPr>
        <w:t> (et </w:t>
      </w:r>
      <w:hyperlink r:id="rId2624" w:tooltip="Pyropia yezoensis (la page n'existe pas)" w:history="1">
        <w:r w:rsidRPr="00D0086B">
          <w:rPr>
            <w:rStyle w:val="Lienhypertexte"/>
            <w:rFonts w:ascii="Calibri" w:hAnsi="Calibri" w:cs="Arial"/>
            <w:i/>
            <w:iCs/>
            <w:color w:val="DD3333"/>
            <w:sz w:val="22"/>
            <w:szCs w:val="22"/>
            <w:shd w:val="clear" w:color="auto" w:fill="FFFFFF"/>
          </w:rPr>
          <w:t>P. yezoensis</w:t>
        </w:r>
      </w:hyperlink>
      <w:r w:rsidRPr="00D0086B">
        <w:rPr>
          <w:rFonts w:ascii="Calibri" w:hAnsi="Calibri" w:cs="Arial"/>
          <w:color w:val="202122"/>
          <w:sz w:val="22"/>
          <w:szCs w:val="22"/>
          <w:shd w:val="clear" w:color="auto" w:fill="FFFFFF"/>
        </w:rPr>
        <w:t xml:space="preserve">) </w:t>
      </w:r>
      <w:r w:rsidRPr="00D0086B">
        <w:rPr>
          <w:rFonts w:ascii="Calibri" w:hAnsi="Calibri" w:cs="Arial"/>
          <w:color w:val="000000" w:themeColor="text1"/>
          <w:sz w:val="22"/>
          <w:szCs w:val="22"/>
          <w:shd w:val="clear" w:color="auto" w:fill="FFFFFF"/>
        </w:rPr>
        <w:t>est un composant principal de la nourriture à base d'algues séchées et est activement cultivé depuis l'Antiquité. C'est un ingrédient de </w:t>
      </w:r>
      <w:hyperlink r:id="rId2625" w:tooltip="Sushi" w:history="1">
        <w:r w:rsidRPr="00D0086B">
          <w:rPr>
            <w:rStyle w:val="Lienhypertexte"/>
            <w:rFonts w:ascii="Calibri" w:hAnsi="Calibri" w:cs="Arial"/>
            <w:color w:val="0645AD"/>
            <w:sz w:val="22"/>
            <w:szCs w:val="22"/>
            <w:shd w:val="clear" w:color="auto" w:fill="FFFFFF"/>
          </w:rPr>
          <w:t>choix</w:t>
        </w:r>
      </w:hyperlink>
      <w:r w:rsidRPr="00D0086B">
        <w:rPr>
          <w:rFonts w:ascii="Calibri" w:hAnsi="Calibri" w:cs="Arial"/>
          <w:color w:val="202122"/>
          <w:sz w:val="22"/>
          <w:szCs w:val="22"/>
          <w:shd w:val="clear" w:color="auto" w:fill="FFFFFF"/>
        </w:rPr>
        <w:t> </w:t>
      </w:r>
      <w:r w:rsidRPr="00D0086B">
        <w:rPr>
          <w:rFonts w:ascii="Calibri" w:hAnsi="Calibri" w:cs="Arial"/>
          <w:color w:val="000000" w:themeColor="text1"/>
          <w:sz w:val="22"/>
          <w:szCs w:val="22"/>
          <w:shd w:val="clear" w:color="auto" w:fill="FFFFFF"/>
        </w:rPr>
        <w:t>dans les </w:t>
      </w:r>
      <w:hyperlink r:id="rId2626" w:tooltip="Sushi" w:history="1">
        <w:r w:rsidRPr="00D0086B">
          <w:rPr>
            <w:rStyle w:val="Lienhypertexte"/>
            <w:rFonts w:ascii="Calibri" w:hAnsi="Calibri" w:cs="Arial"/>
            <w:color w:val="0645AD"/>
            <w:sz w:val="22"/>
            <w:szCs w:val="22"/>
            <w:shd w:val="clear" w:color="auto" w:fill="FFFFFF"/>
          </w:rPr>
          <w:t>sushis</w:t>
        </w:r>
      </w:hyperlink>
      <w:r w:rsidRPr="00D0086B">
        <w:rPr>
          <w:rFonts w:ascii="Calibri" w:hAnsi="Calibri" w:cs="Arial"/>
          <w:color w:val="202122"/>
          <w:sz w:val="22"/>
          <w:szCs w:val="22"/>
          <w:shd w:val="clear" w:color="auto" w:fill="FFFFFF"/>
        </w:rPr>
        <w:t>. </w:t>
      </w:r>
      <w:r w:rsidRPr="00D0086B">
        <w:rPr>
          <w:rFonts w:ascii="Calibri" w:hAnsi="Calibri" w:cs="Arial"/>
          <w:color w:val="000000" w:themeColor="text1"/>
          <w:sz w:val="22"/>
          <w:szCs w:val="22"/>
          <w:shd w:val="clear" w:color="auto" w:fill="FFFFFF"/>
        </w:rPr>
        <w:t>Au </w:t>
      </w:r>
      <w:hyperlink r:id="rId2627" w:tooltip="Pays de Galles" w:history="1">
        <w:r w:rsidRPr="00D0086B">
          <w:rPr>
            <w:rStyle w:val="Lienhypertexte"/>
            <w:rFonts w:ascii="Calibri" w:hAnsi="Calibri" w:cs="Arial"/>
            <w:color w:val="000000" w:themeColor="text1"/>
            <w:sz w:val="22"/>
            <w:szCs w:val="22"/>
            <w:shd w:val="clear" w:color="auto" w:fill="FFFFFF"/>
          </w:rPr>
          <w:t>Pays de Galles</w:t>
        </w:r>
      </w:hyperlink>
      <w:r w:rsidRPr="00D0086B">
        <w:rPr>
          <w:rFonts w:ascii="Calibri" w:hAnsi="Calibri" w:cs="Arial"/>
          <w:color w:val="000000" w:themeColor="text1"/>
          <w:sz w:val="22"/>
          <w:szCs w:val="22"/>
          <w:shd w:val="clear" w:color="auto" w:fill="FFFFFF"/>
        </w:rPr>
        <w:t> (et dans une certaine mesure, en</w:t>
      </w:r>
      <w:r w:rsidRPr="00D0086B">
        <w:rPr>
          <w:rFonts w:ascii="Calibri" w:hAnsi="Calibri" w:cs="Arial"/>
          <w:color w:val="202122"/>
          <w:sz w:val="22"/>
          <w:szCs w:val="22"/>
          <w:shd w:val="clear" w:color="auto" w:fill="FFFFFF"/>
        </w:rPr>
        <w:t> </w:t>
      </w:r>
      <w:hyperlink r:id="rId2628" w:tooltip="Angleterre" w:history="1">
        <w:r w:rsidRPr="00D0086B">
          <w:rPr>
            <w:rStyle w:val="Lienhypertexte"/>
            <w:rFonts w:ascii="Calibri" w:hAnsi="Calibri" w:cs="Arial"/>
            <w:color w:val="0645AD"/>
            <w:sz w:val="22"/>
            <w:szCs w:val="22"/>
            <w:shd w:val="clear" w:color="auto" w:fill="FFFFFF"/>
          </w:rPr>
          <w:t>Angleterre</w:t>
        </w:r>
      </w:hyperlink>
      <w:r w:rsidRPr="00D0086B">
        <w:rPr>
          <w:rFonts w:ascii="Calibri" w:hAnsi="Calibri" w:cs="Arial"/>
          <w:color w:val="202122"/>
          <w:sz w:val="22"/>
          <w:szCs w:val="22"/>
          <w:shd w:val="clear" w:color="auto" w:fill="FFFFFF"/>
        </w:rPr>
        <w:t xml:space="preserve">), </w:t>
      </w:r>
      <w:r w:rsidRPr="00D0086B">
        <w:rPr>
          <w:rFonts w:ascii="Calibri" w:hAnsi="Calibri" w:cs="Arial"/>
          <w:color w:val="000000" w:themeColor="text1"/>
          <w:sz w:val="22"/>
          <w:szCs w:val="22"/>
          <w:shd w:val="clear" w:color="auto" w:fill="FFFFFF"/>
        </w:rPr>
        <w:t>il est utilisé dans la nourriture traditionnelle, le </w:t>
      </w:r>
      <w:hyperlink r:id="rId2629" w:tooltip="Laverbread" w:history="1">
        <w:r w:rsidRPr="00D0086B">
          <w:rPr>
            <w:rStyle w:val="Lienhypertexte"/>
            <w:rFonts w:ascii="Calibri" w:hAnsi="Calibri" w:cs="Arial"/>
            <w:color w:val="0645AD"/>
            <w:sz w:val="22"/>
            <w:szCs w:val="22"/>
            <w:shd w:val="clear" w:color="auto" w:fill="FFFFFF"/>
          </w:rPr>
          <w:t>laverbread</w:t>
        </w:r>
      </w:hyperlink>
      <w:r w:rsidRPr="00D0086B">
        <w:rPr>
          <w:rFonts w:ascii="Calibri" w:hAnsi="Calibri" w:cs="Arial"/>
          <w:color w:val="202122"/>
          <w:sz w:val="22"/>
          <w:szCs w:val="22"/>
          <w:shd w:val="clear" w:color="auto" w:fill="FFFFFF"/>
        </w:rPr>
        <w:t xml:space="preserve">. </w:t>
      </w:r>
    </w:p>
    <w:p w14:paraId="33D83205" w14:textId="18137106" w:rsidR="00CD4876" w:rsidRPr="00CD4876" w:rsidRDefault="00CD4876" w:rsidP="00CD4876">
      <w:pPr>
        <w:pStyle w:val="NormalWeb"/>
        <w:shd w:val="clear" w:color="auto" w:fill="FFFFFF"/>
        <w:spacing w:before="0" w:beforeAutospacing="0"/>
        <w:jc w:val="both"/>
        <w:rPr>
          <w:rFonts w:ascii="Calibri" w:hAnsi="Calibri" w:cs="Arial"/>
          <w:color w:val="000000" w:themeColor="text1"/>
          <w:sz w:val="22"/>
          <w:szCs w:val="22"/>
          <w:shd w:val="clear" w:color="auto" w:fill="FFFFFF"/>
        </w:rPr>
      </w:pPr>
      <w:r w:rsidRPr="00CD4876">
        <w:rPr>
          <w:rFonts w:ascii="Calibri" w:hAnsi="Calibri" w:cs="Arial"/>
          <w:color w:val="000000" w:themeColor="text1"/>
          <w:sz w:val="22"/>
          <w:szCs w:val="22"/>
          <w:u w:val="single"/>
          <w:shd w:val="clear" w:color="auto" w:fill="FFFFFF"/>
        </w:rPr>
        <w:t>Habitat</w:t>
      </w:r>
      <w:r w:rsidRPr="00CD4876">
        <w:rPr>
          <w:rFonts w:ascii="Calibri" w:hAnsi="Calibri" w:cs="Arial"/>
          <w:color w:val="000000" w:themeColor="text1"/>
          <w:sz w:val="22"/>
          <w:szCs w:val="22"/>
          <w:shd w:val="clear" w:color="auto" w:fill="FFFFFF"/>
        </w:rPr>
        <w:t xml:space="preserve"> : L'espèce habite les rochers, et parfois même s'installe sur des mollusques et d'autres espèces d'algues. Elle</w:t>
      </w:r>
      <w:r>
        <w:rPr>
          <w:rFonts w:ascii="Calibri" w:hAnsi="Calibri" w:cs="Arial"/>
          <w:color w:val="000000" w:themeColor="text1"/>
          <w:sz w:val="22"/>
          <w:szCs w:val="22"/>
          <w:shd w:val="clear" w:color="auto" w:fill="FFFFFF"/>
        </w:rPr>
        <w:t xml:space="preserve"> </w:t>
      </w:r>
      <w:r w:rsidRPr="00CD4876">
        <w:rPr>
          <w:rFonts w:ascii="Calibri" w:hAnsi="Calibri" w:cs="Arial"/>
          <w:color w:val="000000" w:themeColor="text1"/>
          <w:sz w:val="22"/>
          <w:szCs w:val="22"/>
          <w:shd w:val="clear" w:color="auto" w:fill="FFFFFF"/>
        </w:rPr>
        <w:t xml:space="preserve">habite entre les niveaux de marée, de la mi-marée à la zone d'éclaboussure. </w:t>
      </w:r>
      <w:r>
        <w:rPr>
          <w:rFonts w:ascii="Calibri" w:hAnsi="Calibri" w:cs="Arial"/>
          <w:color w:val="000000" w:themeColor="text1"/>
          <w:sz w:val="22"/>
          <w:szCs w:val="22"/>
          <w:shd w:val="clear" w:color="auto" w:fill="FFFFFF"/>
        </w:rPr>
        <w:t>Elle</w:t>
      </w:r>
      <w:r w:rsidRPr="00CD4876">
        <w:rPr>
          <w:rFonts w:ascii="Calibri" w:hAnsi="Calibri" w:cs="Arial"/>
          <w:color w:val="000000" w:themeColor="text1"/>
          <w:sz w:val="22"/>
          <w:szCs w:val="22"/>
          <w:shd w:val="clear" w:color="auto" w:fill="FFFFFF"/>
        </w:rPr>
        <w:t xml:space="preserve"> est généralement abondant</w:t>
      </w:r>
      <w:r>
        <w:rPr>
          <w:rFonts w:ascii="Calibri" w:hAnsi="Calibri" w:cs="Arial"/>
          <w:color w:val="000000" w:themeColor="text1"/>
          <w:sz w:val="22"/>
          <w:szCs w:val="22"/>
          <w:shd w:val="clear" w:color="auto" w:fill="FFFFFF"/>
        </w:rPr>
        <w:t>e</w:t>
      </w:r>
      <w:r w:rsidRPr="00CD4876">
        <w:rPr>
          <w:rFonts w:ascii="Calibri" w:hAnsi="Calibri" w:cs="Arial"/>
          <w:color w:val="000000" w:themeColor="text1"/>
          <w:sz w:val="22"/>
          <w:szCs w:val="22"/>
          <w:shd w:val="clear" w:color="auto" w:fill="FFFFFF"/>
        </w:rPr>
        <w:t>, surtout sur les côtes exposées.</w:t>
      </w:r>
    </w:p>
    <w:p w14:paraId="7DA154E5" w14:textId="1D50C6E6" w:rsidR="00CD4876" w:rsidRPr="00CD4876" w:rsidRDefault="00CD4876" w:rsidP="00CD4876">
      <w:pPr>
        <w:pStyle w:val="NormalWeb"/>
        <w:shd w:val="clear" w:color="auto" w:fill="FFFFFF"/>
        <w:spacing w:before="0" w:beforeAutospacing="0" w:after="0" w:afterAutospacing="0"/>
        <w:jc w:val="both"/>
        <w:rPr>
          <w:rFonts w:ascii="Calibri" w:hAnsi="Calibri" w:cs="Arial"/>
          <w:color w:val="000000" w:themeColor="text1"/>
          <w:sz w:val="22"/>
          <w:szCs w:val="22"/>
          <w:shd w:val="clear" w:color="auto" w:fill="FFFFFF"/>
        </w:rPr>
      </w:pPr>
      <w:r w:rsidRPr="00CD4876">
        <w:rPr>
          <w:rFonts w:ascii="Calibri" w:hAnsi="Calibri" w:cs="Arial"/>
          <w:color w:val="000000" w:themeColor="text1"/>
          <w:sz w:val="22"/>
          <w:szCs w:val="22"/>
          <w:shd w:val="clear" w:color="auto" w:fill="FFFFFF"/>
        </w:rPr>
        <w:lastRenderedPageBreak/>
        <w:t xml:space="preserve">L'algue s'épanouit en hiver à des températures comprises entre 4 et 9°C. La température chaude de l'eau limite sa distribution dans les régions tropicales. </w:t>
      </w:r>
      <w:r w:rsidRPr="00CD4876">
        <w:rPr>
          <w:rFonts w:ascii="Calibri" w:hAnsi="Calibri" w:cs="Arial"/>
          <w:color w:val="000000" w:themeColor="text1"/>
          <w:sz w:val="22"/>
          <w:szCs w:val="22"/>
          <w:u w:val="single"/>
          <w:shd w:val="clear" w:color="auto" w:fill="FFFFFF"/>
        </w:rPr>
        <w:t>Distribution</w:t>
      </w:r>
      <w:r>
        <w:rPr>
          <w:rFonts w:ascii="Calibri" w:hAnsi="Calibri" w:cs="Arial"/>
          <w:color w:val="000000" w:themeColor="text1"/>
          <w:sz w:val="22"/>
          <w:szCs w:val="22"/>
          <w:shd w:val="clear" w:color="auto" w:fill="FFFFFF"/>
        </w:rPr>
        <w:t xml:space="preserve"> : </w:t>
      </w:r>
      <w:r w:rsidRPr="00CD4876">
        <w:rPr>
          <w:rFonts w:ascii="Calibri" w:hAnsi="Calibri" w:cs="Arial"/>
          <w:color w:val="000000" w:themeColor="text1"/>
          <w:sz w:val="22"/>
          <w:szCs w:val="22"/>
          <w:shd w:val="clear" w:color="auto" w:fill="FFFFFF"/>
        </w:rPr>
        <w:t>Pacifique nord-ouest : Japon, Chine. Océan Indien : Maurice.</w:t>
      </w:r>
    </w:p>
    <w:p w14:paraId="303F0E4C" w14:textId="77777777" w:rsidR="00CD4876" w:rsidRDefault="00D0086B" w:rsidP="00CD4876">
      <w:pPr>
        <w:pStyle w:val="NormalWeb"/>
        <w:shd w:val="clear" w:color="auto" w:fill="FFFFFF"/>
        <w:spacing w:before="0" w:beforeAutospacing="0" w:after="0" w:afterAutospacing="0"/>
        <w:jc w:val="both"/>
        <w:rPr>
          <w:rFonts w:ascii="Calibri" w:hAnsi="Calibri" w:cs="Arial"/>
          <w:color w:val="202122"/>
          <w:sz w:val="22"/>
          <w:szCs w:val="22"/>
          <w:shd w:val="clear" w:color="auto" w:fill="FFFFFF"/>
        </w:rPr>
      </w:pPr>
      <w:r w:rsidRPr="00D0086B">
        <w:rPr>
          <w:rFonts w:ascii="Calibri" w:hAnsi="Calibri" w:cs="Arial"/>
          <w:color w:val="000000" w:themeColor="text1"/>
          <w:sz w:val="22"/>
          <w:szCs w:val="22"/>
          <w:shd w:val="clear" w:color="auto" w:fill="FFFFFF"/>
        </w:rPr>
        <w:t>Comme de nombreuses espèces d'</w:t>
      </w:r>
      <w:hyperlink r:id="rId2630" w:tooltip="Algues comestibles" w:history="1">
        <w:r w:rsidRPr="00D0086B">
          <w:rPr>
            <w:rStyle w:val="Lienhypertexte"/>
            <w:rFonts w:ascii="Calibri" w:hAnsi="Calibri" w:cs="Arial"/>
            <w:color w:val="0645AD"/>
            <w:sz w:val="22"/>
            <w:szCs w:val="22"/>
            <w:shd w:val="clear" w:color="auto" w:fill="FFFFFF"/>
          </w:rPr>
          <w:t>algues comestibles</w:t>
        </w:r>
      </w:hyperlink>
      <w:r w:rsidRPr="00D0086B">
        <w:rPr>
          <w:rFonts w:ascii="Calibri" w:hAnsi="Calibri" w:cs="Arial"/>
          <w:color w:val="202122"/>
          <w:sz w:val="22"/>
          <w:szCs w:val="22"/>
          <w:shd w:val="clear" w:color="auto" w:fill="FFFFFF"/>
        </w:rPr>
        <w:t xml:space="preserve">, </w:t>
      </w:r>
      <w:r>
        <w:rPr>
          <w:rFonts w:ascii="Calibri" w:hAnsi="Calibri" w:cs="Arial"/>
          <w:color w:val="000000" w:themeColor="text1"/>
          <w:sz w:val="22"/>
          <w:szCs w:val="22"/>
          <w:shd w:val="clear" w:color="auto" w:fill="FFFFFF"/>
        </w:rPr>
        <w:t xml:space="preserve">elle </w:t>
      </w:r>
      <w:r w:rsidRPr="00D0086B">
        <w:rPr>
          <w:rFonts w:ascii="Calibri" w:hAnsi="Calibri" w:cs="Arial"/>
          <w:color w:val="000000" w:themeColor="text1"/>
          <w:sz w:val="22"/>
          <w:szCs w:val="22"/>
          <w:shd w:val="clear" w:color="auto" w:fill="FFFFFF"/>
        </w:rPr>
        <w:t xml:space="preserve">est sensible à l'infection par </w:t>
      </w:r>
      <w:r w:rsidRPr="00D0086B">
        <w:rPr>
          <w:rFonts w:ascii="Calibri" w:hAnsi="Calibri" w:cs="Arial"/>
          <w:color w:val="202122"/>
          <w:sz w:val="22"/>
          <w:szCs w:val="22"/>
          <w:shd w:val="clear" w:color="auto" w:fill="FFFFFF"/>
        </w:rPr>
        <w:t>l'</w:t>
      </w:r>
      <w:hyperlink r:id="rId2631" w:tooltip="Oomycete" w:history="1">
        <w:r w:rsidRPr="00D0086B">
          <w:rPr>
            <w:rStyle w:val="Lienhypertexte"/>
            <w:rFonts w:ascii="Calibri" w:hAnsi="Calibri" w:cs="Arial"/>
            <w:color w:val="0645AD"/>
            <w:sz w:val="22"/>
            <w:szCs w:val="22"/>
            <w:shd w:val="clear" w:color="auto" w:fill="FFFFFF"/>
          </w:rPr>
          <w:t>oomycète </w:t>
        </w:r>
      </w:hyperlink>
      <w:hyperlink r:id="rId2632" w:tooltip="Parasitisme" w:history="1">
        <w:r w:rsidRPr="00D0086B">
          <w:rPr>
            <w:rStyle w:val="Lienhypertexte"/>
            <w:rFonts w:ascii="Calibri" w:hAnsi="Calibri" w:cs="Arial"/>
            <w:color w:val="0645AD"/>
            <w:sz w:val="22"/>
            <w:szCs w:val="22"/>
            <w:shd w:val="clear" w:color="auto" w:fill="FFFFFF"/>
          </w:rPr>
          <w:t>parasite </w:t>
        </w:r>
      </w:hyperlink>
      <w:hyperlink r:id="rId2633" w:tooltip="Pythium porphyrae" w:history="1">
        <w:r w:rsidRPr="00D0086B">
          <w:rPr>
            <w:rStyle w:val="Lienhypertexte"/>
            <w:rFonts w:ascii="Calibri" w:hAnsi="Calibri" w:cs="Arial"/>
            <w:i/>
            <w:iCs/>
            <w:color w:val="0645AD"/>
            <w:sz w:val="22"/>
            <w:szCs w:val="22"/>
            <w:shd w:val="clear" w:color="auto" w:fill="FFFFFF"/>
          </w:rPr>
          <w:t>Pythium porphyra</w:t>
        </w:r>
      </w:hyperlink>
      <w:r w:rsidRPr="00D0086B">
        <w:rPr>
          <w:rFonts w:ascii="Calibri" w:hAnsi="Calibri" w:cs="Arial"/>
          <w:i/>
          <w:iCs/>
          <w:color w:val="202122"/>
          <w:sz w:val="22"/>
          <w:szCs w:val="22"/>
          <w:shd w:val="clear" w:color="auto" w:fill="FFFFFF"/>
        </w:rPr>
        <w:t>.</w:t>
      </w:r>
      <w:r>
        <w:rPr>
          <w:rFonts w:ascii="Calibri" w:hAnsi="Calibri" w:cs="Arial"/>
          <w:color w:val="202122"/>
          <w:sz w:val="22"/>
          <w:szCs w:val="22"/>
          <w:shd w:val="clear" w:color="auto" w:fill="FFFFFF"/>
        </w:rPr>
        <w:t xml:space="preserve"> </w:t>
      </w:r>
    </w:p>
    <w:p w14:paraId="7FF4AC24" w14:textId="38E97B93" w:rsidR="00CD4876" w:rsidRDefault="00CD4876" w:rsidP="00CD4876">
      <w:pPr>
        <w:pStyle w:val="NormalWeb"/>
        <w:shd w:val="clear" w:color="auto" w:fill="FFFFFF"/>
        <w:spacing w:before="0" w:beforeAutospacing="0" w:after="0" w:afterAutospacing="0"/>
        <w:jc w:val="both"/>
        <w:rPr>
          <w:rFonts w:ascii="Calibri" w:hAnsi="Calibri" w:cs="Arial"/>
          <w:color w:val="000000" w:themeColor="text1"/>
          <w:sz w:val="22"/>
          <w:szCs w:val="22"/>
          <w:shd w:val="clear" w:color="auto" w:fill="FFFFFF"/>
        </w:rPr>
      </w:pPr>
      <w:r w:rsidRPr="00CD4876">
        <w:rPr>
          <w:rFonts w:ascii="Calibri" w:hAnsi="Calibri" w:cs="Arial"/>
          <w:color w:val="000000" w:themeColor="text1"/>
          <w:sz w:val="22"/>
          <w:szCs w:val="22"/>
          <w:u w:val="single"/>
          <w:shd w:val="clear" w:color="auto" w:fill="FFFFFF"/>
        </w:rPr>
        <w:t>Culture</w:t>
      </w:r>
      <w:r w:rsidRPr="00CD4876">
        <w:rPr>
          <w:rFonts w:ascii="Calibri" w:hAnsi="Calibri" w:cs="Arial"/>
          <w:color w:val="000000" w:themeColor="text1"/>
          <w:sz w:val="22"/>
          <w:szCs w:val="22"/>
          <w:shd w:val="clear" w:color="auto" w:fill="FFFFFF"/>
        </w:rPr>
        <w:t> : Les pêcheurs ont planté du bambou dans les eaux peu profondes pour augmenter le substrat pour la culture du nori. La culture moderne</w:t>
      </w:r>
      <w:r>
        <w:rPr>
          <w:rFonts w:ascii="Calibri" w:hAnsi="Calibri" w:cs="Arial"/>
          <w:color w:val="000000" w:themeColor="text1"/>
          <w:sz w:val="22"/>
          <w:szCs w:val="22"/>
          <w:shd w:val="clear" w:color="auto" w:fill="FFFFFF"/>
        </w:rPr>
        <w:t xml:space="preserve"> (industrielle)</w:t>
      </w:r>
      <w:r w:rsidRPr="00CD4876">
        <w:rPr>
          <w:rFonts w:ascii="Calibri" w:hAnsi="Calibri" w:cs="Arial"/>
          <w:color w:val="000000" w:themeColor="text1"/>
          <w:sz w:val="22"/>
          <w:szCs w:val="22"/>
          <w:shd w:val="clear" w:color="auto" w:fill="FFFFFF"/>
        </w:rPr>
        <w:t xml:space="preserve"> de Porphyra n'a pas eu lieu avant les années 1960, à la suite de la découverte de la </w:t>
      </w:r>
      <w:r w:rsidRPr="00966A79">
        <w:rPr>
          <w:rFonts w:ascii="Calibri" w:hAnsi="Calibri" w:cs="Arial"/>
          <w:i/>
          <w:iCs/>
          <w:color w:val="000000" w:themeColor="text1"/>
          <w:sz w:val="22"/>
          <w:szCs w:val="22"/>
          <w:shd w:val="clear" w:color="auto" w:fill="FFFFFF"/>
        </w:rPr>
        <w:t>phase</w:t>
      </w:r>
      <w:r w:rsidRPr="00CD4876">
        <w:rPr>
          <w:rFonts w:ascii="Calibri" w:hAnsi="Calibri" w:cs="Arial"/>
          <w:color w:val="000000" w:themeColor="text1"/>
          <w:sz w:val="22"/>
          <w:szCs w:val="22"/>
          <w:shd w:val="clear" w:color="auto" w:fill="FFFFFF"/>
        </w:rPr>
        <w:t xml:space="preserve"> </w:t>
      </w:r>
      <w:r w:rsidRPr="00966A79">
        <w:rPr>
          <w:rFonts w:ascii="Calibri" w:hAnsi="Calibri" w:cs="Arial"/>
          <w:i/>
          <w:iCs/>
          <w:color w:val="000000" w:themeColor="text1"/>
          <w:sz w:val="22"/>
          <w:szCs w:val="22"/>
          <w:shd w:val="clear" w:color="auto" w:fill="FFFFFF"/>
        </w:rPr>
        <w:t>Conchocelis</w:t>
      </w:r>
      <w:r w:rsidR="00966A79">
        <w:rPr>
          <w:rStyle w:val="Appelnotedebasdep"/>
          <w:rFonts w:ascii="Calibri" w:hAnsi="Calibri" w:cs="Arial"/>
          <w:i/>
          <w:iCs/>
          <w:color w:val="000000" w:themeColor="text1"/>
          <w:sz w:val="22"/>
          <w:szCs w:val="22"/>
          <w:shd w:val="clear" w:color="auto" w:fill="FFFFFF"/>
        </w:rPr>
        <w:footnoteReference w:id="143"/>
      </w:r>
      <w:r w:rsidRPr="00CD4876">
        <w:rPr>
          <w:rFonts w:ascii="Calibri" w:hAnsi="Calibri" w:cs="Arial"/>
          <w:color w:val="000000" w:themeColor="text1"/>
          <w:sz w:val="22"/>
          <w:szCs w:val="22"/>
          <w:shd w:val="clear" w:color="auto" w:fill="FFFFFF"/>
        </w:rPr>
        <w:t>. En Chine et au Japon, il existe 7 espèces principales utilisées en culture commerciale (</w:t>
      </w:r>
      <w:r w:rsidRPr="00CD4876">
        <w:rPr>
          <w:rFonts w:ascii="Calibri" w:hAnsi="Calibri" w:cs="Arial"/>
          <w:i/>
          <w:iCs/>
          <w:color w:val="000000" w:themeColor="text1"/>
          <w:sz w:val="22"/>
          <w:szCs w:val="22"/>
          <w:shd w:val="clear" w:color="auto" w:fill="FFFFFF"/>
        </w:rPr>
        <w:t>Porphyra yezoensis , Porphyra tenera, Porphyra haitanensis, Porphyra pseudolinearis, Porphyra kunideai, Porphyra arasaki</w:t>
      </w:r>
      <w:r w:rsidRPr="00CD4876">
        <w:rPr>
          <w:rFonts w:ascii="Calibri" w:hAnsi="Calibri" w:cs="Arial"/>
          <w:color w:val="000000" w:themeColor="text1"/>
          <w:sz w:val="22"/>
          <w:szCs w:val="22"/>
          <w:shd w:val="clear" w:color="auto" w:fill="FFFFFF"/>
        </w:rPr>
        <w:t xml:space="preserve"> et </w:t>
      </w:r>
      <w:r w:rsidRPr="00CD4876">
        <w:rPr>
          <w:rFonts w:ascii="Calibri" w:hAnsi="Calibri" w:cs="Arial"/>
          <w:i/>
          <w:iCs/>
          <w:color w:val="000000" w:themeColor="text1"/>
          <w:sz w:val="22"/>
          <w:szCs w:val="22"/>
          <w:shd w:val="clear" w:color="auto" w:fill="FFFFFF"/>
        </w:rPr>
        <w:t>Porphyra seriata</w:t>
      </w:r>
      <w:r w:rsidRPr="00CD4876">
        <w:rPr>
          <w:rFonts w:ascii="Calibri" w:hAnsi="Calibri" w:cs="Arial"/>
          <w:color w:val="000000" w:themeColor="text1"/>
          <w:sz w:val="22"/>
          <w:szCs w:val="22"/>
          <w:shd w:val="clear" w:color="auto" w:fill="FFFFFF"/>
        </w:rPr>
        <w:t xml:space="preserve">). </w:t>
      </w:r>
    </w:p>
    <w:p w14:paraId="6B04CC32" w14:textId="649A1054" w:rsidR="00CD4876" w:rsidRPr="00CD4876" w:rsidRDefault="00CD4876" w:rsidP="00CD4876">
      <w:pPr>
        <w:pStyle w:val="NormalWeb"/>
        <w:shd w:val="clear" w:color="auto" w:fill="FFFFFF"/>
        <w:spacing w:before="0" w:beforeAutospacing="0" w:after="0" w:afterAutospacing="0"/>
        <w:jc w:val="both"/>
        <w:rPr>
          <w:rFonts w:ascii="Calibri" w:hAnsi="Calibri" w:cs="Arial"/>
          <w:color w:val="202122"/>
          <w:sz w:val="22"/>
          <w:szCs w:val="22"/>
          <w:shd w:val="clear" w:color="auto" w:fill="FFFFFF"/>
        </w:rPr>
      </w:pPr>
      <w:r w:rsidRPr="00CD4876">
        <w:rPr>
          <w:rFonts w:ascii="Calibri" w:hAnsi="Calibri" w:cs="Arial"/>
          <w:color w:val="000000" w:themeColor="text1"/>
          <w:sz w:val="22"/>
          <w:szCs w:val="22"/>
          <w:u w:val="single"/>
          <w:shd w:val="clear" w:color="auto" w:fill="FFFFFF"/>
        </w:rPr>
        <w:t>Intérêt</w:t>
      </w:r>
      <w:r>
        <w:rPr>
          <w:rFonts w:ascii="Calibri" w:hAnsi="Calibri" w:cs="Arial"/>
          <w:color w:val="000000" w:themeColor="text1"/>
          <w:sz w:val="22"/>
          <w:szCs w:val="22"/>
          <w:shd w:val="clear" w:color="auto" w:fill="FFFFFF"/>
        </w:rPr>
        <w:t xml:space="preserve"> : </w:t>
      </w:r>
      <w:r w:rsidRPr="00CD4876">
        <w:rPr>
          <w:rFonts w:ascii="Calibri" w:hAnsi="Calibri" w:cs="Arial"/>
          <w:color w:val="000000" w:themeColor="text1"/>
          <w:sz w:val="22"/>
          <w:szCs w:val="22"/>
          <w:shd w:val="clear" w:color="auto" w:fill="FFFFFF"/>
        </w:rPr>
        <w:t xml:space="preserve">Certaines données statistiques disponibles des années 1960, donnent une production annuelle séchée de </w:t>
      </w:r>
      <w:r w:rsidRPr="00CD4876">
        <w:rPr>
          <w:rFonts w:ascii="Calibri" w:hAnsi="Calibri" w:cs="Arial"/>
          <w:i/>
          <w:iCs/>
          <w:color w:val="000000" w:themeColor="text1"/>
          <w:sz w:val="22"/>
          <w:szCs w:val="22"/>
          <w:shd w:val="clear" w:color="auto" w:fill="FFFFFF"/>
        </w:rPr>
        <w:t>Porphyra tenera</w:t>
      </w:r>
      <w:r w:rsidRPr="00CD4876">
        <w:rPr>
          <w:rFonts w:ascii="Calibri" w:hAnsi="Calibri" w:cs="Arial"/>
          <w:color w:val="000000" w:themeColor="text1"/>
          <w:sz w:val="22"/>
          <w:szCs w:val="22"/>
          <w:shd w:val="clear" w:color="auto" w:fill="FFFFFF"/>
        </w:rPr>
        <w:t xml:space="preserve"> cultivé</w:t>
      </w:r>
      <w:r>
        <w:rPr>
          <w:rFonts w:ascii="Calibri" w:hAnsi="Calibri" w:cs="Arial"/>
          <w:color w:val="000000" w:themeColor="text1"/>
          <w:sz w:val="22"/>
          <w:szCs w:val="22"/>
          <w:shd w:val="clear" w:color="auto" w:fill="FFFFFF"/>
        </w:rPr>
        <w:t>, d’</w:t>
      </w:r>
      <w:r w:rsidRPr="00CD4876">
        <w:rPr>
          <w:rFonts w:ascii="Calibri" w:hAnsi="Calibri" w:cs="Arial"/>
          <w:color w:val="000000" w:themeColor="text1"/>
          <w:sz w:val="22"/>
          <w:szCs w:val="22"/>
          <w:shd w:val="clear" w:color="auto" w:fill="FFFFFF"/>
        </w:rPr>
        <w:t xml:space="preserve">environ 5000 tonnes. En 1977, quelque 300 000 t de poids humide de </w:t>
      </w:r>
      <w:r w:rsidRPr="00CD4876">
        <w:rPr>
          <w:rFonts w:ascii="Calibri" w:hAnsi="Calibri" w:cs="Arial"/>
          <w:i/>
          <w:iCs/>
          <w:color w:val="000000" w:themeColor="text1"/>
          <w:sz w:val="22"/>
          <w:szCs w:val="22"/>
          <w:shd w:val="clear" w:color="auto" w:fill="FFFFFF"/>
        </w:rPr>
        <w:t>Porphyra spp.</w:t>
      </w:r>
      <w:r w:rsidRPr="00CD4876">
        <w:rPr>
          <w:rFonts w:ascii="Calibri" w:hAnsi="Calibri" w:cs="Arial"/>
          <w:color w:val="000000" w:themeColor="text1"/>
          <w:sz w:val="22"/>
          <w:szCs w:val="22"/>
          <w:shd w:val="clear" w:color="auto" w:fill="FFFFFF"/>
        </w:rPr>
        <w:t xml:space="preserve"> ont été récoltés au Japon et le volume de production a augmenté de 25 % par an dans les années 1970.</w:t>
      </w:r>
    </w:p>
    <w:p w14:paraId="7D72DD0F" w14:textId="321A9BCB" w:rsidR="00CD4876" w:rsidRPr="00CD4876" w:rsidRDefault="00CD4876" w:rsidP="00CD4876">
      <w:pPr>
        <w:pStyle w:val="NormalWeb"/>
        <w:shd w:val="clear" w:color="auto" w:fill="FFFFFF"/>
        <w:spacing w:before="0" w:beforeAutospacing="0" w:after="0" w:afterAutospacing="0"/>
        <w:jc w:val="both"/>
        <w:rPr>
          <w:rFonts w:ascii="Calibri" w:hAnsi="Calibri" w:cs="Arial"/>
          <w:color w:val="000000" w:themeColor="text1"/>
          <w:sz w:val="22"/>
          <w:szCs w:val="22"/>
          <w:shd w:val="clear" w:color="auto" w:fill="FFFFFF"/>
        </w:rPr>
      </w:pPr>
      <w:r w:rsidRPr="00CD4876">
        <w:rPr>
          <w:rFonts w:ascii="Calibri" w:hAnsi="Calibri" w:cs="Arial"/>
          <w:color w:val="000000" w:themeColor="text1"/>
          <w:sz w:val="22"/>
          <w:szCs w:val="22"/>
          <w:shd w:val="clear" w:color="auto" w:fill="FFFFFF"/>
        </w:rPr>
        <w:t>Pour la nourriture, consommée sous diverses formes. Le nori est, par exemple, vendu en feuilles, une fois grillés, ils sont émiettés et ajoutés aux sauces, soupes et bouillons. Il a une teneur élevée en protéines (25-35% du poids sec), en vitamines (par exemple vitamine C) et en sels minéraux, en particulier l'iode.</w:t>
      </w:r>
    </w:p>
    <w:p w14:paraId="5FAE0EF9" w14:textId="2B552B82" w:rsidR="00D0086B" w:rsidRDefault="00D0086B" w:rsidP="006E1FE5">
      <w:pPr>
        <w:pStyle w:val="NormalWeb"/>
        <w:shd w:val="clear" w:color="auto" w:fill="FFFFFF"/>
        <w:spacing w:before="0" w:beforeAutospacing="0" w:after="0" w:afterAutospacing="0"/>
        <w:jc w:val="both"/>
        <w:rPr>
          <w:rFonts w:ascii="Calibri" w:hAnsi="Calibri" w:cs="Arial"/>
          <w:color w:val="202122"/>
          <w:sz w:val="22"/>
          <w:szCs w:val="22"/>
          <w:shd w:val="clear" w:color="auto" w:fill="FFFFFF"/>
        </w:rPr>
      </w:pPr>
      <w:r w:rsidRPr="00D0086B">
        <w:rPr>
          <w:rFonts w:ascii="Calibri" w:hAnsi="Calibri" w:cs="Arial"/>
          <w:color w:val="000000" w:themeColor="text1"/>
          <w:sz w:val="22"/>
          <w:szCs w:val="22"/>
          <w:shd w:val="clear" w:color="auto" w:fill="FFFFFF"/>
        </w:rPr>
        <w:t>Source</w:t>
      </w:r>
      <w:r>
        <w:rPr>
          <w:rFonts w:ascii="Calibri" w:hAnsi="Calibri" w:cs="Arial"/>
          <w:color w:val="000000" w:themeColor="text1"/>
          <w:sz w:val="22"/>
          <w:szCs w:val="22"/>
          <w:shd w:val="clear" w:color="auto" w:fill="FFFFFF"/>
        </w:rPr>
        <w:t>s</w:t>
      </w:r>
      <w:r w:rsidRPr="00D0086B">
        <w:rPr>
          <w:rFonts w:ascii="Calibri" w:hAnsi="Calibri" w:cs="Arial"/>
          <w:color w:val="000000" w:themeColor="text1"/>
          <w:sz w:val="22"/>
          <w:szCs w:val="22"/>
          <w:shd w:val="clear" w:color="auto" w:fill="FFFFFF"/>
        </w:rPr>
        <w:t> :</w:t>
      </w:r>
      <w:r>
        <w:rPr>
          <w:rFonts w:ascii="Calibri" w:hAnsi="Calibri" w:cs="Arial"/>
          <w:color w:val="000000" w:themeColor="text1"/>
          <w:sz w:val="22"/>
          <w:szCs w:val="22"/>
          <w:shd w:val="clear" w:color="auto" w:fill="FFFFFF"/>
        </w:rPr>
        <w:t xml:space="preserve"> a)</w:t>
      </w:r>
      <w:r w:rsidRPr="00D0086B">
        <w:rPr>
          <w:rFonts w:ascii="Calibri" w:hAnsi="Calibri" w:cs="Arial"/>
          <w:color w:val="000000" w:themeColor="text1"/>
          <w:sz w:val="22"/>
          <w:szCs w:val="22"/>
          <w:shd w:val="clear" w:color="auto" w:fill="FFFFFF"/>
        </w:rPr>
        <w:t xml:space="preserve"> </w:t>
      </w:r>
      <w:hyperlink r:id="rId2634" w:history="1">
        <w:r w:rsidRPr="00224761">
          <w:rPr>
            <w:rStyle w:val="Lienhypertexte"/>
            <w:rFonts w:ascii="Calibri" w:hAnsi="Calibri" w:cs="Arial"/>
            <w:sz w:val="22"/>
            <w:szCs w:val="22"/>
            <w:shd w:val="clear" w:color="auto" w:fill="FFFFFF"/>
          </w:rPr>
          <w:t>https://en.wikipedia.org/wiki/Pyropia_tenera</w:t>
        </w:r>
      </w:hyperlink>
      <w:r>
        <w:rPr>
          <w:rFonts w:ascii="Calibri" w:hAnsi="Calibri" w:cs="Arial"/>
          <w:color w:val="202122"/>
          <w:sz w:val="22"/>
          <w:szCs w:val="22"/>
          <w:shd w:val="clear" w:color="auto" w:fill="FFFFFF"/>
        </w:rPr>
        <w:t xml:space="preserve">, </w:t>
      </w:r>
    </w:p>
    <w:p w14:paraId="3722C13A" w14:textId="273EC5E2" w:rsidR="00D0086B" w:rsidRDefault="00D0086B" w:rsidP="006E1FE5">
      <w:pPr>
        <w:pStyle w:val="NormalWeb"/>
        <w:shd w:val="clear" w:color="auto" w:fill="FFFFFF"/>
        <w:spacing w:before="0" w:beforeAutospacing="0" w:after="0" w:afterAutospacing="0"/>
        <w:jc w:val="both"/>
        <w:rPr>
          <w:rFonts w:ascii="Calibri" w:hAnsi="Calibri" w:cs="Arial"/>
          <w:color w:val="202122"/>
          <w:sz w:val="22"/>
          <w:szCs w:val="22"/>
          <w:shd w:val="clear" w:color="auto" w:fill="FFFFFF"/>
          <w:lang w:val="es-AR"/>
        </w:rPr>
      </w:pPr>
      <w:r w:rsidRPr="00D0086B">
        <w:rPr>
          <w:rFonts w:ascii="Calibri" w:hAnsi="Calibri" w:cs="Arial"/>
          <w:color w:val="202122"/>
          <w:sz w:val="22"/>
          <w:szCs w:val="22"/>
          <w:shd w:val="clear" w:color="auto" w:fill="FFFFFF"/>
          <w:lang w:val="es-AR"/>
        </w:rPr>
        <w:t xml:space="preserve">b) </w:t>
      </w:r>
      <w:r w:rsidRPr="00D0086B">
        <w:rPr>
          <w:rFonts w:ascii="Calibri" w:hAnsi="Calibri" w:cs="Arial"/>
          <w:i/>
          <w:iCs/>
          <w:color w:val="202122"/>
          <w:sz w:val="22"/>
          <w:szCs w:val="22"/>
          <w:shd w:val="clear" w:color="auto" w:fill="FFFFFF"/>
          <w:lang w:val="es-AR"/>
        </w:rPr>
        <w:t>Porphyra tenera</w:t>
      </w:r>
      <w:r w:rsidRPr="00D0086B">
        <w:rPr>
          <w:rFonts w:ascii="Calibri" w:hAnsi="Calibri" w:cs="Arial"/>
          <w:color w:val="202122"/>
          <w:sz w:val="22"/>
          <w:szCs w:val="22"/>
          <w:shd w:val="clear" w:color="auto" w:fill="FFFFFF"/>
          <w:lang w:val="es-AR"/>
        </w:rPr>
        <w:t xml:space="preserve">, </w:t>
      </w:r>
      <w:hyperlink r:id="rId2635" w:history="1">
        <w:r w:rsidRPr="00D0086B">
          <w:rPr>
            <w:rStyle w:val="Lienhypertexte"/>
            <w:rFonts w:ascii="Calibri" w:hAnsi="Calibri" w:cs="Arial"/>
            <w:sz w:val="22"/>
            <w:szCs w:val="22"/>
            <w:shd w:val="clear" w:color="auto" w:fill="FFFFFF"/>
            <w:lang w:val="es-AR"/>
          </w:rPr>
          <w:t>http://www.fao.org/fishery/species/2790/en</w:t>
        </w:r>
      </w:hyperlink>
      <w:r w:rsidRPr="00D0086B">
        <w:rPr>
          <w:rFonts w:ascii="Calibri" w:hAnsi="Calibri" w:cs="Arial"/>
          <w:color w:val="202122"/>
          <w:sz w:val="22"/>
          <w:szCs w:val="22"/>
          <w:shd w:val="clear" w:color="auto" w:fill="FFFFFF"/>
          <w:lang w:val="es-AR"/>
        </w:rPr>
        <w:t xml:space="preserve">  </w:t>
      </w:r>
    </w:p>
    <w:p w14:paraId="2E3A274D" w14:textId="0802714B" w:rsidR="00CD4876" w:rsidRDefault="00CD4876" w:rsidP="006E1FE5">
      <w:pPr>
        <w:pStyle w:val="NormalWeb"/>
        <w:shd w:val="clear" w:color="auto" w:fill="FFFFFF"/>
        <w:spacing w:before="0" w:beforeAutospacing="0" w:after="0" w:afterAutospacing="0"/>
        <w:jc w:val="both"/>
        <w:rPr>
          <w:rFonts w:ascii="Calibri" w:hAnsi="Calibri" w:cs="Arial"/>
          <w:color w:val="202122"/>
          <w:sz w:val="22"/>
          <w:szCs w:val="22"/>
          <w:shd w:val="clear" w:color="auto" w:fill="FFFFFF"/>
          <w:lang w:val="es-AR"/>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CD4876" w14:paraId="39BB31AD" w14:textId="77777777" w:rsidTr="008E39E2">
        <w:tc>
          <w:tcPr>
            <w:tcW w:w="3472" w:type="dxa"/>
          </w:tcPr>
          <w:p w14:paraId="7ACB2DAC" w14:textId="77777777" w:rsidR="00CD4876" w:rsidRDefault="00CD4876" w:rsidP="00CD4876">
            <w:pPr>
              <w:pStyle w:val="NormalWeb"/>
              <w:spacing w:before="0" w:beforeAutospacing="0" w:after="0" w:afterAutospacing="0"/>
              <w:jc w:val="center"/>
              <w:rPr>
                <w:rFonts w:ascii="Calibri" w:hAnsi="Calibri" w:cs="Calibri"/>
                <w:sz w:val="22"/>
                <w:szCs w:val="22"/>
                <w:lang w:val="es-AR"/>
              </w:rPr>
            </w:pPr>
            <w:r>
              <w:rPr>
                <w:noProof/>
              </w:rPr>
              <w:drawing>
                <wp:inline distT="0" distB="0" distL="0" distR="0" wp14:anchorId="1F33247E" wp14:editId="05AEA431">
                  <wp:extent cx="2017316" cy="1133475"/>
                  <wp:effectExtent l="0" t="0" r="2540" b="0"/>
                  <wp:docPr id="7182" name="Image 7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636">
                            <a:extLst>
                              <a:ext uri="{28A0092B-C50C-407E-A947-70E740481C1C}">
                                <a14:useLocalDpi xmlns:a14="http://schemas.microsoft.com/office/drawing/2010/main" val="0"/>
                              </a:ext>
                            </a:extLst>
                          </a:blip>
                          <a:srcRect/>
                          <a:stretch>
                            <a:fillRect/>
                          </a:stretch>
                        </pic:blipFill>
                        <pic:spPr bwMode="auto">
                          <a:xfrm>
                            <a:off x="0" y="0"/>
                            <a:ext cx="2026279" cy="1138511"/>
                          </a:xfrm>
                          <a:prstGeom prst="rect">
                            <a:avLst/>
                          </a:prstGeom>
                          <a:noFill/>
                          <a:ln>
                            <a:noFill/>
                          </a:ln>
                        </pic:spPr>
                      </pic:pic>
                    </a:graphicData>
                  </a:graphic>
                </wp:inline>
              </w:drawing>
            </w:r>
          </w:p>
          <w:p w14:paraId="3294E066" w14:textId="2B8BAFFF" w:rsidR="00CD4876" w:rsidRDefault="008E39E2" w:rsidP="00CD4876">
            <w:pPr>
              <w:pStyle w:val="NormalWeb"/>
              <w:spacing w:before="0" w:beforeAutospacing="0" w:after="0" w:afterAutospacing="0"/>
              <w:jc w:val="center"/>
              <w:rPr>
                <w:rFonts w:ascii="Calibri" w:hAnsi="Calibri" w:cs="Calibri"/>
                <w:sz w:val="22"/>
                <w:szCs w:val="22"/>
                <w:lang w:val="es-AR"/>
              </w:rPr>
            </w:pPr>
            <w:r>
              <w:rPr>
                <w:rFonts w:ascii="Calibri" w:hAnsi="Calibri" w:cs="Calibri"/>
                <w:sz w:val="22"/>
                <w:szCs w:val="22"/>
                <w:lang w:val="es-AR"/>
              </w:rPr>
              <w:t>Nori</w:t>
            </w:r>
          </w:p>
          <w:p w14:paraId="7E17F0C3" w14:textId="26162FF2" w:rsidR="00CD4876" w:rsidRDefault="008E39E2" w:rsidP="00CD4876">
            <w:pPr>
              <w:pStyle w:val="NormalWeb"/>
              <w:spacing w:before="0" w:beforeAutospacing="0" w:after="0" w:afterAutospacing="0"/>
              <w:jc w:val="center"/>
              <w:rPr>
                <w:rFonts w:ascii="Calibri" w:hAnsi="Calibri" w:cs="Calibri"/>
                <w:sz w:val="22"/>
                <w:szCs w:val="22"/>
                <w:lang w:val="es-AR"/>
              </w:rPr>
            </w:pPr>
            <w:r>
              <w:rPr>
                <w:noProof/>
              </w:rPr>
              <w:drawing>
                <wp:inline distT="0" distB="0" distL="0" distR="0" wp14:anchorId="5B9B3F2B" wp14:editId="2D300400">
                  <wp:extent cx="1752600" cy="1104900"/>
                  <wp:effectExtent l="0" t="0" r="0" b="0"/>
                  <wp:docPr id="7185" name="Image 7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2637">
                            <a:extLst>
                              <a:ext uri="{28A0092B-C50C-407E-A947-70E740481C1C}">
                                <a14:useLocalDpi xmlns:a14="http://schemas.microsoft.com/office/drawing/2010/main" val="0"/>
                              </a:ext>
                            </a:extLst>
                          </a:blip>
                          <a:srcRect/>
                          <a:stretch>
                            <a:fillRect/>
                          </a:stretch>
                        </pic:blipFill>
                        <pic:spPr bwMode="auto">
                          <a:xfrm>
                            <a:off x="0" y="0"/>
                            <a:ext cx="1752600" cy="1104900"/>
                          </a:xfrm>
                          <a:prstGeom prst="rect">
                            <a:avLst/>
                          </a:prstGeom>
                          <a:noFill/>
                          <a:ln>
                            <a:noFill/>
                          </a:ln>
                        </pic:spPr>
                      </pic:pic>
                    </a:graphicData>
                  </a:graphic>
                </wp:inline>
              </w:drawing>
            </w:r>
          </w:p>
        </w:tc>
        <w:tc>
          <w:tcPr>
            <w:tcW w:w="3472" w:type="dxa"/>
          </w:tcPr>
          <w:p w14:paraId="777C68E4" w14:textId="4BA0C333" w:rsidR="00CD4876" w:rsidRDefault="00CD4876" w:rsidP="00CD4876">
            <w:pPr>
              <w:pStyle w:val="NormalWeb"/>
              <w:spacing w:before="0" w:beforeAutospacing="0" w:after="0" w:afterAutospacing="0"/>
              <w:jc w:val="center"/>
              <w:rPr>
                <w:rFonts w:ascii="Calibri" w:hAnsi="Calibri" w:cs="Calibri"/>
                <w:sz w:val="22"/>
                <w:szCs w:val="22"/>
                <w:lang w:val="es-AR"/>
              </w:rPr>
            </w:pPr>
            <w:r>
              <w:rPr>
                <w:noProof/>
              </w:rPr>
              <w:drawing>
                <wp:inline distT="0" distB="0" distL="0" distR="0" wp14:anchorId="3A61C303" wp14:editId="4A31014E">
                  <wp:extent cx="1882022" cy="1409700"/>
                  <wp:effectExtent l="0" t="0" r="4445" b="0"/>
                  <wp:docPr id="7183" name="Image 7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638">
                            <a:extLst>
                              <a:ext uri="{28A0092B-C50C-407E-A947-70E740481C1C}">
                                <a14:useLocalDpi xmlns:a14="http://schemas.microsoft.com/office/drawing/2010/main" val="0"/>
                              </a:ext>
                            </a:extLst>
                          </a:blip>
                          <a:srcRect/>
                          <a:stretch>
                            <a:fillRect/>
                          </a:stretch>
                        </pic:blipFill>
                        <pic:spPr bwMode="auto">
                          <a:xfrm>
                            <a:off x="0" y="0"/>
                            <a:ext cx="1886667" cy="1413179"/>
                          </a:xfrm>
                          <a:prstGeom prst="rect">
                            <a:avLst/>
                          </a:prstGeom>
                          <a:noFill/>
                          <a:ln>
                            <a:noFill/>
                          </a:ln>
                        </pic:spPr>
                      </pic:pic>
                    </a:graphicData>
                  </a:graphic>
                </wp:inline>
              </w:drawing>
            </w:r>
          </w:p>
        </w:tc>
        <w:tc>
          <w:tcPr>
            <w:tcW w:w="3472" w:type="dxa"/>
          </w:tcPr>
          <w:p w14:paraId="7AD0DD00" w14:textId="03DD48E8" w:rsidR="00CD4876" w:rsidRDefault="00CD4876" w:rsidP="00CD4876">
            <w:pPr>
              <w:pStyle w:val="NormalWeb"/>
              <w:spacing w:before="0" w:beforeAutospacing="0" w:after="0" w:afterAutospacing="0"/>
              <w:jc w:val="center"/>
              <w:rPr>
                <w:rFonts w:ascii="Calibri" w:hAnsi="Calibri" w:cs="Calibri"/>
                <w:sz w:val="22"/>
                <w:szCs w:val="22"/>
                <w:lang w:val="es-AR"/>
              </w:rPr>
            </w:pPr>
            <w:r>
              <w:rPr>
                <w:noProof/>
              </w:rPr>
              <w:drawing>
                <wp:inline distT="0" distB="0" distL="0" distR="0" wp14:anchorId="11D599B2" wp14:editId="1576DD60">
                  <wp:extent cx="1896181" cy="2047875"/>
                  <wp:effectExtent l="0" t="0" r="8890" b="0"/>
                  <wp:docPr id="7184" name="Image 7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639">
                            <a:extLst>
                              <a:ext uri="{28A0092B-C50C-407E-A947-70E740481C1C}">
                                <a14:useLocalDpi xmlns:a14="http://schemas.microsoft.com/office/drawing/2010/main" val="0"/>
                              </a:ext>
                            </a:extLst>
                          </a:blip>
                          <a:srcRect/>
                          <a:stretch>
                            <a:fillRect/>
                          </a:stretch>
                        </pic:blipFill>
                        <pic:spPr bwMode="auto">
                          <a:xfrm>
                            <a:off x="0" y="0"/>
                            <a:ext cx="1899502" cy="2051462"/>
                          </a:xfrm>
                          <a:prstGeom prst="rect">
                            <a:avLst/>
                          </a:prstGeom>
                          <a:noFill/>
                          <a:ln>
                            <a:noFill/>
                          </a:ln>
                        </pic:spPr>
                      </pic:pic>
                    </a:graphicData>
                  </a:graphic>
                </wp:inline>
              </w:drawing>
            </w:r>
          </w:p>
        </w:tc>
      </w:tr>
    </w:tbl>
    <w:p w14:paraId="60C10630" w14:textId="49DB24EA" w:rsidR="00CD4876" w:rsidRDefault="00CD4876" w:rsidP="00CD4876">
      <w:pPr>
        <w:pStyle w:val="NormalWeb"/>
        <w:shd w:val="clear" w:color="auto" w:fill="FFFFFF"/>
        <w:spacing w:before="0" w:beforeAutospacing="0" w:after="0" w:afterAutospacing="0"/>
        <w:jc w:val="center"/>
        <w:rPr>
          <w:rFonts w:ascii="Calibri" w:hAnsi="Calibri" w:cs="Calibri"/>
          <w:sz w:val="22"/>
          <w:szCs w:val="22"/>
          <w:lang w:val="es-AR"/>
        </w:rPr>
      </w:pPr>
    </w:p>
    <w:p w14:paraId="772411E0" w14:textId="04BF2350" w:rsidR="008E39E2" w:rsidRDefault="009E3F28" w:rsidP="001562F1">
      <w:pPr>
        <w:pStyle w:val="Titre2"/>
        <w:rPr>
          <w:lang w:val="es-AR"/>
        </w:rPr>
      </w:pPr>
      <w:bookmarkStart w:id="215" w:name="_Toc139181506"/>
      <w:r w:rsidRPr="009E3F28">
        <w:rPr>
          <w:lang w:val="es-AR"/>
        </w:rPr>
        <w:t>Gusó</w:t>
      </w:r>
      <w:r w:rsidRPr="009E3F28">
        <w:rPr>
          <w:i/>
          <w:iCs/>
          <w:lang w:val="es-AR"/>
        </w:rPr>
        <w:t xml:space="preserve"> </w:t>
      </w:r>
      <w:r>
        <w:rPr>
          <w:lang w:val="es-AR"/>
        </w:rPr>
        <w:t>(</w:t>
      </w:r>
      <w:r w:rsidRPr="009E3F28">
        <w:t>Genre</w:t>
      </w:r>
      <w:r w:rsidRPr="001562F1">
        <w:rPr>
          <w:i/>
          <w:iCs/>
          <w:lang w:val="es-AR"/>
        </w:rPr>
        <w:t xml:space="preserve"> </w:t>
      </w:r>
      <w:r w:rsidR="001562F1" w:rsidRPr="001562F1">
        <w:rPr>
          <w:i/>
          <w:iCs/>
          <w:lang w:val="es-AR"/>
        </w:rPr>
        <w:t>Eucheuma</w:t>
      </w:r>
      <w:r w:rsidR="001562F1">
        <w:rPr>
          <w:lang w:val="es-AR"/>
        </w:rPr>
        <w:t>)</w:t>
      </w:r>
      <w:bookmarkEnd w:id="215"/>
    </w:p>
    <w:p w14:paraId="3F01EA7B" w14:textId="4943D162" w:rsidR="008E39E2" w:rsidRDefault="008E39E2" w:rsidP="001562F1">
      <w:pPr>
        <w:pStyle w:val="NormalWeb"/>
        <w:shd w:val="clear" w:color="auto" w:fill="FFFFFF"/>
        <w:spacing w:before="0" w:beforeAutospacing="0" w:after="0" w:afterAutospacing="0"/>
        <w:rPr>
          <w:rFonts w:ascii="Calibri" w:hAnsi="Calibri" w:cs="Calibri"/>
          <w:sz w:val="22"/>
          <w:szCs w:val="22"/>
          <w:lang w:val="es-AR"/>
        </w:rPr>
      </w:pPr>
    </w:p>
    <w:p w14:paraId="49C472D8" w14:textId="702A2D7B" w:rsidR="001562F1" w:rsidRPr="001562F1" w:rsidRDefault="001562F1" w:rsidP="001562F1">
      <w:pPr>
        <w:pStyle w:val="NormalWeb"/>
        <w:shd w:val="clear" w:color="auto" w:fill="FFFFFF"/>
        <w:spacing w:before="0" w:beforeAutospacing="0" w:after="0" w:afterAutospacing="0"/>
        <w:jc w:val="both"/>
        <w:rPr>
          <w:rFonts w:ascii="Calibri" w:hAnsi="Calibri" w:cs="Calibri"/>
          <w:sz w:val="22"/>
          <w:szCs w:val="22"/>
        </w:rPr>
      </w:pPr>
      <w:r w:rsidRPr="001562F1">
        <w:rPr>
          <w:rFonts w:ascii="Calibri" w:hAnsi="Calibri" w:cs="Calibri"/>
          <w:b/>
          <w:bCs/>
          <w:i/>
          <w:iCs/>
          <w:color w:val="000000" w:themeColor="text1"/>
          <w:sz w:val="22"/>
          <w:szCs w:val="22"/>
          <w:shd w:val="clear" w:color="auto" w:fill="FFFFFF"/>
        </w:rPr>
        <w:t>Eucheuma</w:t>
      </w:r>
      <w:r w:rsidRPr="001562F1">
        <w:rPr>
          <w:rFonts w:ascii="Calibri" w:hAnsi="Calibri" w:cs="Calibri"/>
          <w:color w:val="000000" w:themeColor="text1"/>
          <w:sz w:val="22"/>
          <w:szCs w:val="22"/>
          <w:shd w:val="clear" w:color="auto" w:fill="FFFFFF"/>
        </w:rPr>
        <w:t> est un </w:t>
      </w:r>
      <w:hyperlink r:id="rId2640" w:tooltip="Genre (biologie)" w:history="1">
        <w:r w:rsidRPr="001562F1">
          <w:rPr>
            <w:rStyle w:val="Lienhypertexte"/>
            <w:rFonts w:ascii="Calibri" w:hAnsi="Calibri" w:cs="Calibri"/>
            <w:color w:val="0645AD"/>
            <w:sz w:val="22"/>
            <w:szCs w:val="22"/>
            <w:shd w:val="clear" w:color="auto" w:fill="FFFFFF"/>
          </w:rPr>
          <w:t>genre</w:t>
        </w:r>
      </w:hyperlink>
      <w:r w:rsidRPr="001562F1">
        <w:rPr>
          <w:rFonts w:ascii="Calibri" w:hAnsi="Calibri" w:cs="Calibri"/>
          <w:color w:val="202122"/>
          <w:sz w:val="22"/>
          <w:szCs w:val="22"/>
          <w:shd w:val="clear" w:color="auto" w:fill="FFFFFF"/>
        </w:rPr>
        <w:t> d’</w:t>
      </w:r>
      <w:hyperlink r:id="rId2641" w:tooltip="Rhodophyta" w:history="1">
        <w:r w:rsidRPr="001562F1">
          <w:rPr>
            <w:rStyle w:val="Lienhypertexte"/>
            <w:rFonts w:ascii="Calibri" w:hAnsi="Calibri" w:cs="Calibri"/>
            <w:color w:val="0645AD"/>
            <w:sz w:val="22"/>
            <w:szCs w:val="22"/>
            <w:shd w:val="clear" w:color="auto" w:fill="FFFFFF"/>
          </w:rPr>
          <w:t>algues rouges</w:t>
        </w:r>
      </w:hyperlink>
      <w:r w:rsidRPr="001562F1">
        <w:rPr>
          <w:rFonts w:ascii="Calibri" w:hAnsi="Calibri" w:cs="Calibri"/>
          <w:color w:val="202122"/>
          <w:sz w:val="22"/>
          <w:szCs w:val="22"/>
          <w:shd w:val="clear" w:color="auto" w:fill="FFFFFF"/>
        </w:rPr>
        <w:t xml:space="preserve">, </w:t>
      </w:r>
      <w:r w:rsidRPr="001562F1">
        <w:rPr>
          <w:rFonts w:ascii="Calibri" w:hAnsi="Calibri" w:cs="Calibri"/>
          <w:color w:val="000000" w:themeColor="text1"/>
          <w:sz w:val="22"/>
          <w:szCs w:val="22"/>
          <w:shd w:val="clear" w:color="auto" w:fill="FFFFFF"/>
        </w:rPr>
        <w:t>mais qui peut prendre une couleur brune, rouge ou verte</w:t>
      </w:r>
      <w:r w:rsidR="009E3F28">
        <w:rPr>
          <w:rFonts w:ascii="Calibri" w:hAnsi="Calibri" w:cs="Calibri"/>
          <w:color w:val="000000" w:themeColor="text1"/>
          <w:sz w:val="22"/>
          <w:szCs w:val="22"/>
          <w:shd w:val="clear" w:color="auto" w:fill="FFFFFF"/>
        </w:rPr>
        <w:t xml:space="preserve">, </w:t>
      </w:r>
      <w:r w:rsidR="009E3F28" w:rsidRPr="009E3F28">
        <w:rPr>
          <w:rFonts w:ascii="Calibri" w:hAnsi="Calibri" w:cs="Calibri"/>
          <w:color w:val="000000" w:themeColor="text1"/>
          <w:sz w:val="22"/>
          <w:szCs w:val="22"/>
          <w:shd w:val="clear" w:color="auto" w:fill="FFFFFF"/>
        </w:rPr>
        <w:t xml:space="preserve">communément connu sous le nom </w:t>
      </w:r>
      <w:r w:rsidR="009E3F28" w:rsidRPr="009E3F28">
        <w:rPr>
          <w:rFonts w:ascii="Calibri" w:hAnsi="Calibri" w:cs="Calibri"/>
          <w:i/>
          <w:iCs/>
          <w:color w:val="000000" w:themeColor="text1"/>
          <w:sz w:val="22"/>
          <w:szCs w:val="22"/>
          <w:shd w:val="clear" w:color="auto" w:fill="FFFFFF"/>
        </w:rPr>
        <w:t>Gusó</w:t>
      </w:r>
      <w:r w:rsidRPr="001562F1">
        <w:rPr>
          <w:rFonts w:ascii="Calibri" w:hAnsi="Calibri" w:cs="Calibri"/>
          <w:color w:val="000000" w:themeColor="text1"/>
          <w:sz w:val="22"/>
          <w:szCs w:val="22"/>
          <w:shd w:val="clear" w:color="auto" w:fill="FFFFFF"/>
        </w:rPr>
        <w:t>. Les espèces d’</w:t>
      </w:r>
      <w:r w:rsidRPr="001562F1">
        <w:rPr>
          <w:rFonts w:ascii="Calibri" w:hAnsi="Calibri" w:cs="Calibri"/>
          <w:i/>
          <w:iCs/>
          <w:color w:val="000000" w:themeColor="text1"/>
          <w:sz w:val="22"/>
          <w:szCs w:val="22"/>
          <w:shd w:val="clear" w:color="auto" w:fill="FFFFFF"/>
        </w:rPr>
        <w:t>Eucheuma</w:t>
      </w:r>
      <w:r w:rsidRPr="001562F1">
        <w:rPr>
          <w:rFonts w:ascii="Calibri" w:hAnsi="Calibri" w:cs="Calibri"/>
          <w:color w:val="000000" w:themeColor="text1"/>
          <w:sz w:val="22"/>
          <w:szCs w:val="22"/>
          <w:shd w:val="clear" w:color="auto" w:fill="FFFFFF"/>
        </w:rPr>
        <w:t> sont utilisées dans la production de </w:t>
      </w:r>
      <w:hyperlink r:id="rId2642" w:tooltip="Carraghénane" w:history="1">
        <w:r w:rsidRPr="001562F1">
          <w:rPr>
            <w:rStyle w:val="Lienhypertexte"/>
            <w:rFonts w:ascii="Calibri" w:hAnsi="Calibri" w:cs="Calibri"/>
            <w:color w:val="0645AD"/>
            <w:sz w:val="22"/>
            <w:szCs w:val="22"/>
            <w:shd w:val="clear" w:color="auto" w:fill="FFFFFF"/>
          </w:rPr>
          <w:t>carraghénanes</w:t>
        </w:r>
      </w:hyperlink>
      <w:r w:rsidRPr="001562F1">
        <w:rPr>
          <w:rFonts w:ascii="Calibri" w:hAnsi="Calibri" w:cs="Calibri"/>
          <w:color w:val="202122"/>
          <w:sz w:val="22"/>
          <w:szCs w:val="22"/>
          <w:shd w:val="clear" w:color="auto" w:fill="FFFFFF"/>
        </w:rPr>
        <w:t xml:space="preserve">, </w:t>
      </w:r>
      <w:r w:rsidRPr="001562F1">
        <w:rPr>
          <w:rFonts w:ascii="Calibri" w:hAnsi="Calibri" w:cs="Calibri"/>
          <w:color w:val="000000" w:themeColor="text1"/>
          <w:sz w:val="22"/>
          <w:szCs w:val="22"/>
          <w:shd w:val="clear" w:color="auto" w:fill="FFFFFF"/>
        </w:rPr>
        <w:t>un ingrédient contenu dans les </w:t>
      </w:r>
      <w:hyperlink r:id="rId2643" w:tooltip="Cosmétique" w:history="1">
        <w:r w:rsidRPr="001562F1">
          <w:rPr>
            <w:rStyle w:val="Lienhypertexte"/>
            <w:rFonts w:ascii="Calibri" w:hAnsi="Calibri" w:cs="Calibri"/>
            <w:color w:val="0645AD"/>
            <w:sz w:val="22"/>
            <w:szCs w:val="22"/>
            <w:shd w:val="clear" w:color="auto" w:fill="FFFFFF"/>
          </w:rPr>
          <w:t>cosmétiques</w:t>
        </w:r>
      </w:hyperlink>
      <w:r w:rsidRPr="001562F1">
        <w:rPr>
          <w:rFonts w:ascii="Calibri" w:hAnsi="Calibri" w:cs="Calibri"/>
          <w:color w:val="202122"/>
          <w:sz w:val="22"/>
          <w:szCs w:val="22"/>
          <w:shd w:val="clear" w:color="auto" w:fill="FFFFFF"/>
        </w:rPr>
        <w:t xml:space="preserve">, </w:t>
      </w:r>
      <w:r w:rsidRPr="001562F1">
        <w:rPr>
          <w:rFonts w:ascii="Calibri" w:hAnsi="Calibri" w:cs="Calibri"/>
          <w:color w:val="000000" w:themeColor="text1"/>
          <w:sz w:val="22"/>
          <w:szCs w:val="22"/>
          <w:shd w:val="clear" w:color="auto" w:fill="FFFFFF"/>
        </w:rPr>
        <w:t>ou utilisé dans la transformation des aliments, ainsi qu’une source de nourriture pour les gens en </w:t>
      </w:r>
      <w:hyperlink r:id="rId2644" w:tooltip="Indonésie" w:history="1">
        <w:r w:rsidRPr="001562F1">
          <w:rPr>
            <w:rStyle w:val="Lienhypertexte"/>
            <w:rFonts w:ascii="Calibri" w:hAnsi="Calibri" w:cs="Calibri"/>
            <w:color w:val="0645AD"/>
            <w:sz w:val="22"/>
            <w:szCs w:val="22"/>
            <w:shd w:val="clear" w:color="auto" w:fill="FFFFFF"/>
          </w:rPr>
          <w:t>Indonésie</w:t>
        </w:r>
      </w:hyperlink>
      <w:r w:rsidRPr="001562F1">
        <w:rPr>
          <w:rFonts w:ascii="Calibri" w:hAnsi="Calibri" w:cs="Calibri"/>
          <w:color w:val="202122"/>
          <w:sz w:val="22"/>
          <w:szCs w:val="22"/>
          <w:shd w:val="clear" w:color="auto" w:fill="FFFFFF"/>
        </w:rPr>
        <w:t> </w:t>
      </w:r>
      <w:r w:rsidRPr="001562F1">
        <w:rPr>
          <w:rFonts w:ascii="Calibri" w:hAnsi="Calibri" w:cs="Calibri"/>
          <w:color w:val="000000" w:themeColor="text1"/>
          <w:sz w:val="22"/>
          <w:szCs w:val="22"/>
          <w:shd w:val="clear" w:color="auto" w:fill="FFFFFF"/>
        </w:rPr>
        <w:t>et aux </w:t>
      </w:r>
      <w:hyperlink r:id="rId2645" w:tooltip="Philippines" w:history="1">
        <w:r w:rsidRPr="001562F1">
          <w:rPr>
            <w:rStyle w:val="Lienhypertexte"/>
            <w:rFonts w:ascii="Calibri" w:hAnsi="Calibri" w:cs="Calibri"/>
            <w:color w:val="0645AD"/>
            <w:sz w:val="22"/>
            <w:szCs w:val="22"/>
            <w:shd w:val="clear" w:color="auto" w:fill="FFFFFF"/>
          </w:rPr>
          <w:t>Philippines</w:t>
        </w:r>
      </w:hyperlink>
      <w:r w:rsidRPr="001562F1">
        <w:rPr>
          <w:rFonts w:ascii="Calibri" w:hAnsi="Calibri" w:cs="Calibri"/>
          <w:sz w:val="22"/>
          <w:szCs w:val="22"/>
        </w:rPr>
        <w:t>.</w:t>
      </w:r>
    </w:p>
    <w:p w14:paraId="445C02E5" w14:textId="5BF34851" w:rsidR="001562F1" w:rsidRPr="001562F1" w:rsidRDefault="00000000" w:rsidP="001562F1">
      <w:pPr>
        <w:pStyle w:val="NormalWeb"/>
        <w:shd w:val="clear" w:color="auto" w:fill="FFFFFF"/>
        <w:spacing w:before="0" w:beforeAutospacing="0" w:after="0" w:afterAutospacing="0"/>
        <w:jc w:val="both"/>
        <w:rPr>
          <w:rFonts w:ascii="Calibri" w:hAnsi="Calibri" w:cs="Calibri"/>
          <w:color w:val="000000" w:themeColor="text1"/>
          <w:sz w:val="22"/>
          <w:szCs w:val="22"/>
          <w:shd w:val="clear" w:color="auto" w:fill="FFFFFF"/>
        </w:rPr>
      </w:pPr>
      <w:hyperlink r:id="rId2646" w:tooltip="Eucheuma cottonii (page inexistante)" w:history="1">
        <w:r w:rsidR="001562F1" w:rsidRPr="001562F1">
          <w:rPr>
            <w:rStyle w:val="Lienhypertexte"/>
            <w:rFonts w:ascii="Calibri" w:hAnsi="Calibri" w:cs="Calibri"/>
            <w:i/>
            <w:iCs/>
            <w:color w:val="DD3333"/>
            <w:sz w:val="22"/>
            <w:szCs w:val="22"/>
            <w:shd w:val="clear" w:color="auto" w:fill="FFFFFF"/>
          </w:rPr>
          <w:t>Eucheuma cottonii</w:t>
        </w:r>
      </w:hyperlink>
      <w:r w:rsidR="001562F1" w:rsidRPr="001562F1">
        <w:rPr>
          <w:rFonts w:ascii="Calibri" w:hAnsi="Calibri" w:cs="Calibri"/>
          <w:color w:val="202122"/>
          <w:sz w:val="22"/>
          <w:szCs w:val="22"/>
          <w:shd w:val="clear" w:color="auto" w:fill="FFFFFF"/>
        </w:rPr>
        <w:t xml:space="preserve">, </w:t>
      </w:r>
      <w:r w:rsidR="001562F1" w:rsidRPr="001562F1">
        <w:rPr>
          <w:rFonts w:ascii="Calibri" w:hAnsi="Calibri" w:cs="Calibri"/>
          <w:color w:val="000000" w:themeColor="text1"/>
          <w:sz w:val="22"/>
          <w:szCs w:val="22"/>
          <w:shd w:val="clear" w:color="auto" w:fill="FFFFFF"/>
        </w:rPr>
        <w:t>cultivée aux Philippines, est une espèce connue sous le nom de </w:t>
      </w:r>
      <w:r w:rsidR="001562F1" w:rsidRPr="001562F1">
        <w:rPr>
          <w:rFonts w:ascii="Calibri" w:hAnsi="Calibri" w:cs="Calibri"/>
          <w:i/>
          <w:iCs/>
          <w:color w:val="000000" w:themeColor="text1"/>
          <w:sz w:val="22"/>
          <w:szCs w:val="22"/>
          <w:shd w:val="clear" w:color="auto" w:fill="FFFFFF"/>
        </w:rPr>
        <w:t>guso</w:t>
      </w:r>
      <w:r w:rsidR="001562F1" w:rsidRPr="001562F1">
        <w:rPr>
          <w:rFonts w:ascii="Calibri" w:hAnsi="Calibri" w:cs="Calibri"/>
          <w:color w:val="000000" w:themeColor="text1"/>
          <w:sz w:val="22"/>
          <w:szCs w:val="22"/>
          <w:shd w:val="clear" w:color="auto" w:fill="FFFFFF"/>
        </w:rPr>
        <w:t>. Les autres espèces de </w:t>
      </w:r>
      <w:r w:rsidR="001562F1" w:rsidRPr="001562F1">
        <w:rPr>
          <w:rFonts w:ascii="Calibri" w:hAnsi="Calibri" w:cs="Calibri"/>
          <w:i/>
          <w:iCs/>
          <w:color w:val="000000" w:themeColor="text1"/>
          <w:sz w:val="22"/>
          <w:szCs w:val="22"/>
          <w:shd w:val="clear" w:color="auto" w:fill="FFFFFF"/>
        </w:rPr>
        <w:t>guso</w:t>
      </w:r>
      <w:r w:rsidR="001562F1" w:rsidRPr="001562F1">
        <w:rPr>
          <w:rFonts w:ascii="Calibri" w:hAnsi="Calibri" w:cs="Calibri"/>
          <w:color w:val="000000" w:themeColor="text1"/>
          <w:sz w:val="22"/>
          <w:szCs w:val="22"/>
          <w:shd w:val="clear" w:color="auto" w:fill="FFFFFF"/>
        </w:rPr>
        <w:t> comprennent </w:t>
      </w:r>
      <w:r w:rsidR="001562F1" w:rsidRPr="001562F1">
        <w:rPr>
          <w:rFonts w:ascii="Calibri" w:hAnsi="Calibri" w:cs="Calibri"/>
          <w:i/>
          <w:iCs/>
          <w:color w:val="000000" w:themeColor="text1"/>
          <w:sz w:val="22"/>
          <w:szCs w:val="22"/>
          <w:shd w:val="clear" w:color="auto" w:fill="FFFFFF"/>
        </w:rPr>
        <w:t>Betaphycus gelatinae</w:t>
      </w:r>
      <w:r w:rsidR="001562F1" w:rsidRPr="001562F1">
        <w:rPr>
          <w:rFonts w:ascii="Calibri" w:hAnsi="Calibri" w:cs="Calibri"/>
          <w:color w:val="000000" w:themeColor="text1"/>
          <w:sz w:val="22"/>
          <w:szCs w:val="22"/>
          <w:shd w:val="clear" w:color="auto" w:fill="FFFFFF"/>
        </w:rPr>
        <w:t>, </w:t>
      </w:r>
      <w:r w:rsidR="001562F1" w:rsidRPr="001562F1">
        <w:rPr>
          <w:rFonts w:ascii="Calibri" w:hAnsi="Calibri" w:cs="Calibri"/>
          <w:i/>
          <w:iCs/>
          <w:color w:val="000000" w:themeColor="text1"/>
          <w:sz w:val="22"/>
          <w:szCs w:val="22"/>
          <w:shd w:val="clear" w:color="auto" w:fill="FFFFFF"/>
        </w:rPr>
        <w:t>Eucheuma denticulatum</w:t>
      </w:r>
      <w:r w:rsidR="001562F1" w:rsidRPr="001562F1">
        <w:rPr>
          <w:rFonts w:ascii="Calibri" w:hAnsi="Calibri" w:cs="Calibri"/>
          <w:color w:val="000000" w:themeColor="text1"/>
          <w:sz w:val="22"/>
          <w:szCs w:val="22"/>
          <w:shd w:val="clear" w:color="auto" w:fill="FFFFFF"/>
        </w:rPr>
        <w:t> et plusieurs espèces du genre </w:t>
      </w:r>
      <w:r w:rsidR="001562F1" w:rsidRPr="001562F1">
        <w:rPr>
          <w:rFonts w:ascii="Calibri" w:hAnsi="Calibri" w:cs="Calibri"/>
          <w:i/>
          <w:iCs/>
          <w:color w:val="000000" w:themeColor="text1"/>
          <w:sz w:val="22"/>
          <w:szCs w:val="22"/>
          <w:shd w:val="clear" w:color="auto" w:fill="FFFFFF"/>
        </w:rPr>
        <w:t>Kappaphycus</w:t>
      </w:r>
      <w:r w:rsidR="001562F1" w:rsidRPr="001562F1">
        <w:rPr>
          <w:rFonts w:ascii="Calibri" w:hAnsi="Calibri" w:cs="Calibri"/>
          <w:color w:val="000000" w:themeColor="text1"/>
          <w:sz w:val="22"/>
          <w:szCs w:val="22"/>
          <w:shd w:val="clear" w:color="auto" w:fill="FFFFFF"/>
        </w:rPr>
        <w:t>, y compris </w:t>
      </w:r>
      <w:r w:rsidR="001562F1" w:rsidRPr="001562F1">
        <w:rPr>
          <w:rFonts w:ascii="Calibri" w:hAnsi="Calibri" w:cs="Calibri"/>
          <w:i/>
          <w:iCs/>
          <w:color w:val="000000" w:themeColor="text1"/>
          <w:sz w:val="22"/>
          <w:szCs w:val="22"/>
          <w:shd w:val="clear" w:color="auto" w:fill="FFFFFF"/>
        </w:rPr>
        <w:t>Kappaphycus alvarezii</w:t>
      </w:r>
      <w:r w:rsidR="001562F1" w:rsidRPr="001562F1">
        <w:rPr>
          <w:rFonts w:ascii="Calibri" w:hAnsi="Calibri" w:cs="Calibri"/>
          <w:color w:val="000000" w:themeColor="text1"/>
          <w:sz w:val="22"/>
          <w:szCs w:val="22"/>
          <w:shd w:val="clear" w:color="auto" w:fill="FFFFFF"/>
        </w:rPr>
        <w:t>. Depuis le milieu des années 1970, </w:t>
      </w:r>
      <w:r w:rsidR="001562F1" w:rsidRPr="001562F1">
        <w:rPr>
          <w:rFonts w:ascii="Calibri" w:hAnsi="Calibri" w:cs="Calibri"/>
          <w:i/>
          <w:iCs/>
          <w:color w:val="000000" w:themeColor="text1"/>
          <w:sz w:val="22"/>
          <w:szCs w:val="22"/>
          <w:shd w:val="clear" w:color="auto" w:fill="FFFFFF"/>
        </w:rPr>
        <w:t>Kappaphycus</w:t>
      </w:r>
      <w:r w:rsidR="001562F1" w:rsidRPr="001562F1">
        <w:rPr>
          <w:rFonts w:ascii="Calibri" w:hAnsi="Calibri" w:cs="Calibri"/>
          <w:color w:val="000000" w:themeColor="text1"/>
          <w:sz w:val="22"/>
          <w:szCs w:val="22"/>
          <w:shd w:val="clear" w:color="auto" w:fill="FFFFFF"/>
        </w:rPr>
        <w:t> et </w:t>
      </w:r>
      <w:r w:rsidR="001562F1" w:rsidRPr="001562F1">
        <w:rPr>
          <w:rFonts w:ascii="Calibri" w:hAnsi="Calibri" w:cs="Calibri"/>
          <w:i/>
          <w:iCs/>
          <w:color w:val="000000" w:themeColor="text1"/>
          <w:sz w:val="22"/>
          <w:szCs w:val="22"/>
          <w:shd w:val="clear" w:color="auto" w:fill="FFFFFF"/>
        </w:rPr>
        <w:t>Eucheuma</w:t>
      </w:r>
      <w:r w:rsidR="001562F1" w:rsidRPr="001562F1">
        <w:rPr>
          <w:rFonts w:ascii="Calibri" w:hAnsi="Calibri" w:cs="Calibri"/>
          <w:color w:val="000000" w:themeColor="text1"/>
          <w:sz w:val="22"/>
          <w:szCs w:val="22"/>
          <w:shd w:val="clear" w:color="auto" w:fill="FFFFFF"/>
        </w:rPr>
        <w:t> ont été les sources principales de l’expansion de l’industrie des carraghénanes.</w:t>
      </w:r>
    </w:p>
    <w:p w14:paraId="690F76ED" w14:textId="3C7C11FD" w:rsidR="001562F1" w:rsidRPr="001562F1" w:rsidRDefault="001562F1" w:rsidP="001562F1">
      <w:pPr>
        <w:pStyle w:val="NormalWeb"/>
        <w:shd w:val="clear" w:color="auto" w:fill="FFFFFF"/>
        <w:spacing w:before="0" w:beforeAutospacing="0" w:after="0" w:afterAutospacing="0"/>
        <w:jc w:val="both"/>
        <w:rPr>
          <w:rFonts w:ascii="Calibri" w:hAnsi="Calibri" w:cs="Calibri"/>
          <w:i/>
          <w:iCs/>
          <w:color w:val="000000" w:themeColor="text1"/>
          <w:sz w:val="22"/>
          <w:szCs w:val="22"/>
          <w:shd w:val="clear" w:color="auto" w:fill="FFFFFF"/>
        </w:rPr>
      </w:pPr>
      <w:r w:rsidRPr="001562F1">
        <w:rPr>
          <w:rFonts w:ascii="Calibri" w:hAnsi="Calibri" w:cs="Calibri"/>
          <w:color w:val="000000" w:themeColor="text1"/>
          <w:sz w:val="22"/>
          <w:szCs w:val="22"/>
          <w:shd w:val="clear" w:color="auto" w:fill="FFFFFF"/>
        </w:rPr>
        <w:lastRenderedPageBreak/>
        <w:t>Bien que commercialement importantes, les espèces d'</w:t>
      </w:r>
      <w:r w:rsidRPr="001562F1">
        <w:rPr>
          <w:rFonts w:ascii="Calibri" w:hAnsi="Calibri" w:cs="Calibri"/>
          <w:i/>
          <w:iCs/>
          <w:color w:val="000000" w:themeColor="text1"/>
          <w:sz w:val="22"/>
          <w:szCs w:val="22"/>
          <w:shd w:val="clear" w:color="auto" w:fill="FFFFFF"/>
        </w:rPr>
        <w:t>Eucheuma</w:t>
      </w:r>
      <w:r w:rsidRPr="001562F1">
        <w:rPr>
          <w:rFonts w:ascii="Calibri" w:hAnsi="Calibri" w:cs="Calibri"/>
          <w:color w:val="000000" w:themeColor="text1"/>
          <w:sz w:val="22"/>
          <w:szCs w:val="22"/>
          <w:shd w:val="clear" w:color="auto" w:fill="FFFFFF"/>
        </w:rPr>
        <w:t> sont difficiles à identifier sans l’aide d’un examen scientifique approfondi, car différentes espèces peuvent avoir des morphologies similaires. Quelque dix-huit à vingt espèces relèvent à elles seules du genre </w:t>
      </w:r>
      <w:r w:rsidRPr="001562F1">
        <w:rPr>
          <w:rFonts w:ascii="Calibri" w:hAnsi="Calibri" w:cs="Calibri"/>
          <w:i/>
          <w:iCs/>
          <w:color w:val="000000" w:themeColor="text1"/>
          <w:sz w:val="22"/>
          <w:szCs w:val="22"/>
          <w:shd w:val="clear" w:color="auto" w:fill="FFFFFF"/>
        </w:rPr>
        <w:t>Eucheuma</w:t>
      </w:r>
      <w:r w:rsidRPr="001562F1">
        <w:rPr>
          <w:rFonts w:ascii="Calibri" w:hAnsi="Calibri" w:cs="Calibri"/>
          <w:color w:val="000000" w:themeColor="text1"/>
          <w:sz w:val="22"/>
          <w:szCs w:val="22"/>
          <w:shd w:val="clear" w:color="auto" w:fill="FFFFFF"/>
        </w:rPr>
        <w:t>, représenté par les groupes </w:t>
      </w:r>
      <w:r w:rsidRPr="001562F1">
        <w:rPr>
          <w:rFonts w:ascii="Calibri" w:hAnsi="Calibri" w:cs="Calibri"/>
          <w:i/>
          <w:iCs/>
          <w:color w:val="000000" w:themeColor="text1"/>
          <w:sz w:val="22"/>
          <w:szCs w:val="22"/>
          <w:shd w:val="clear" w:color="auto" w:fill="FFFFFF"/>
        </w:rPr>
        <w:t>Cottoniformia</w:t>
      </w:r>
      <w:r w:rsidRPr="001562F1">
        <w:rPr>
          <w:rFonts w:ascii="Calibri" w:hAnsi="Calibri" w:cs="Calibri"/>
          <w:color w:val="000000" w:themeColor="text1"/>
          <w:sz w:val="22"/>
          <w:szCs w:val="22"/>
          <w:shd w:val="clear" w:color="auto" w:fill="FFFFFF"/>
        </w:rPr>
        <w:t>, </w:t>
      </w:r>
      <w:r w:rsidRPr="001562F1">
        <w:rPr>
          <w:rFonts w:ascii="Calibri" w:hAnsi="Calibri" w:cs="Calibri"/>
          <w:i/>
          <w:iCs/>
          <w:color w:val="000000" w:themeColor="text1"/>
          <w:sz w:val="22"/>
          <w:szCs w:val="22"/>
          <w:shd w:val="clear" w:color="auto" w:fill="FFFFFF"/>
        </w:rPr>
        <w:t>Gelatiformia</w:t>
      </w:r>
      <w:r w:rsidRPr="001562F1">
        <w:rPr>
          <w:rFonts w:ascii="Calibri" w:hAnsi="Calibri" w:cs="Calibri"/>
          <w:color w:val="000000" w:themeColor="text1"/>
          <w:sz w:val="22"/>
          <w:szCs w:val="22"/>
          <w:shd w:val="clear" w:color="auto" w:fill="FFFFFF"/>
        </w:rPr>
        <w:t>, et </w:t>
      </w:r>
      <w:r w:rsidRPr="001562F1">
        <w:rPr>
          <w:rFonts w:ascii="Calibri" w:hAnsi="Calibri" w:cs="Calibri"/>
          <w:i/>
          <w:iCs/>
          <w:color w:val="000000" w:themeColor="text1"/>
          <w:sz w:val="22"/>
          <w:szCs w:val="22"/>
          <w:shd w:val="clear" w:color="auto" w:fill="FFFFFF"/>
        </w:rPr>
        <w:t>Anaxiferae.</w:t>
      </w:r>
    </w:p>
    <w:p w14:paraId="7ECAE6EE" w14:textId="1D2A7541" w:rsidR="001562F1" w:rsidRPr="001562F1" w:rsidRDefault="001562F1" w:rsidP="001562F1">
      <w:pPr>
        <w:pStyle w:val="NormalWeb"/>
        <w:shd w:val="clear" w:color="auto" w:fill="FFFFFF"/>
        <w:spacing w:before="0" w:beforeAutospacing="0" w:after="0" w:afterAutospacing="0"/>
        <w:jc w:val="both"/>
        <w:rPr>
          <w:rFonts w:ascii="Calibri" w:hAnsi="Calibri" w:cs="Calibri"/>
          <w:color w:val="000000" w:themeColor="text1"/>
          <w:sz w:val="22"/>
          <w:szCs w:val="22"/>
          <w:shd w:val="clear" w:color="auto" w:fill="FFFFFF"/>
        </w:rPr>
      </w:pPr>
      <w:r w:rsidRPr="001562F1">
        <w:rPr>
          <w:rFonts w:ascii="Calibri" w:hAnsi="Calibri" w:cs="Calibri"/>
          <w:color w:val="000000" w:themeColor="text1"/>
          <w:sz w:val="22"/>
          <w:szCs w:val="22"/>
          <w:u w:val="single"/>
          <w:shd w:val="clear" w:color="auto" w:fill="FFFFFF"/>
        </w:rPr>
        <w:t>Habitats</w:t>
      </w:r>
      <w:r w:rsidRPr="001562F1">
        <w:rPr>
          <w:rFonts w:ascii="Calibri" w:hAnsi="Calibri" w:cs="Calibri"/>
          <w:color w:val="000000" w:themeColor="text1"/>
          <w:sz w:val="22"/>
          <w:szCs w:val="22"/>
          <w:shd w:val="clear" w:color="auto" w:fill="FFFFFF"/>
        </w:rPr>
        <w:t xml:space="preserve"> : </w:t>
      </w:r>
      <w:r w:rsidRPr="001562F1">
        <w:rPr>
          <w:rFonts w:ascii="Calibri" w:hAnsi="Calibri" w:cs="Calibri"/>
          <w:i/>
          <w:iCs/>
          <w:color w:val="000000" w:themeColor="text1"/>
          <w:sz w:val="22"/>
          <w:szCs w:val="22"/>
          <w:shd w:val="clear" w:color="auto" w:fill="FFFFFF"/>
        </w:rPr>
        <w:t>Eucheuma</w:t>
      </w:r>
      <w:r w:rsidRPr="001562F1">
        <w:rPr>
          <w:rFonts w:ascii="Calibri" w:hAnsi="Calibri" w:cs="Calibri"/>
          <w:color w:val="000000" w:themeColor="text1"/>
          <w:sz w:val="22"/>
          <w:szCs w:val="22"/>
          <w:shd w:val="clear" w:color="auto" w:fill="FFFFFF"/>
        </w:rPr>
        <w:t> se trouve généralement en dessous de la marée basse, poussant sur des zones de sable jusqu’à des fonds marins rocheux le long d’un récif corallien, où le mouvement de l’eau est lent à modéré.</w:t>
      </w:r>
    </w:p>
    <w:p w14:paraId="642D717E" w14:textId="35B34988" w:rsidR="00C52C91" w:rsidRPr="00C52C91" w:rsidRDefault="001562F1" w:rsidP="00C52C91">
      <w:pPr>
        <w:pStyle w:val="NormalWeb"/>
        <w:shd w:val="clear" w:color="auto" w:fill="FFFFFF"/>
        <w:spacing w:before="0" w:beforeAutospacing="0" w:after="0" w:afterAutospacing="0"/>
        <w:jc w:val="both"/>
        <w:rPr>
          <w:rFonts w:ascii="Calibri" w:hAnsi="Calibri" w:cs="Calibri"/>
          <w:sz w:val="22"/>
          <w:szCs w:val="22"/>
        </w:rPr>
      </w:pPr>
      <w:r w:rsidRPr="00C52C91">
        <w:rPr>
          <w:rFonts w:ascii="Calibri" w:hAnsi="Calibri" w:cs="Calibri"/>
          <w:sz w:val="22"/>
          <w:szCs w:val="22"/>
          <w:u w:val="single"/>
        </w:rPr>
        <w:t>Culture</w:t>
      </w:r>
      <w:r w:rsidRPr="00C52C91">
        <w:rPr>
          <w:rFonts w:ascii="Calibri" w:hAnsi="Calibri" w:cs="Calibri"/>
          <w:sz w:val="22"/>
          <w:szCs w:val="22"/>
        </w:rPr>
        <w:t> </w:t>
      </w:r>
      <w:r w:rsidR="00C52C91" w:rsidRPr="00C52C91">
        <w:rPr>
          <w:rFonts w:ascii="Calibri" w:hAnsi="Calibri" w:cs="Calibri"/>
          <w:sz w:val="22"/>
          <w:szCs w:val="22"/>
        </w:rPr>
        <w:t xml:space="preserve">(et précautions) </w:t>
      </w:r>
      <w:r w:rsidRPr="00C52C91">
        <w:rPr>
          <w:rFonts w:ascii="Calibri" w:hAnsi="Calibri" w:cs="Calibri"/>
          <w:sz w:val="22"/>
          <w:szCs w:val="22"/>
        </w:rPr>
        <w:t xml:space="preserve">: </w:t>
      </w:r>
      <w:r w:rsidR="00C52C91" w:rsidRPr="00C52C91">
        <w:rPr>
          <w:rFonts w:ascii="Calibri" w:hAnsi="Calibri" w:cs="Calibri"/>
          <w:sz w:val="22"/>
          <w:szCs w:val="22"/>
        </w:rPr>
        <w:t>Les informations basées sur les </w:t>
      </w:r>
      <w:hyperlink r:id="rId2647" w:tooltip="Morphologie (biologie)" w:history="1">
        <w:r w:rsidR="00C52C91" w:rsidRPr="00C52C91">
          <w:rPr>
            <w:rStyle w:val="Lienhypertexte"/>
            <w:rFonts w:ascii="Calibri" w:hAnsi="Calibri" w:cs="Calibri"/>
            <w:color w:val="0645AD"/>
            <w:sz w:val="22"/>
            <w:szCs w:val="22"/>
            <w:u w:val="none"/>
          </w:rPr>
          <w:t>caractéristiques morphologiques</w:t>
        </w:r>
      </w:hyperlink>
      <w:r w:rsidR="00C52C91" w:rsidRPr="00C52C91">
        <w:rPr>
          <w:rFonts w:ascii="Calibri" w:hAnsi="Calibri" w:cs="Calibri"/>
          <w:color w:val="202122"/>
          <w:sz w:val="22"/>
          <w:szCs w:val="22"/>
        </w:rPr>
        <w:t>, l’</w:t>
      </w:r>
      <w:hyperlink r:id="rId2648" w:tooltip="Empreinte ADN" w:history="1">
        <w:r w:rsidR="00C52C91" w:rsidRPr="00C52C91">
          <w:rPr>
            <w:rStyle w:val="Lienhypertexte"/>
            <w:rFonts w:ascii="Calibri" w:hAnsi="Calibri" w:cs="Calibri"/>
            <w:color w:val="0645AD"/>
            <w:sz w:val="22"/>
            <w:szCs w:val="22"/>
            <w:u w:val="none"/>
          </w:rPr>
          <w:t>empreinte ADN</w:t>
        </w:r>
      </w:hyperlink>
      <w:r w:rsidR="00C52C91" w:rsidRPr="00C52C91">
        <w:rPr>
          <w:rFonts w:ascii="Calibri" w:hAnsi="Calibri" w:cs="Calibri"/>
          <w:color w:val="202122"/>
          <w:sz w:val="22"/>
          <w:szCs w:val="22"/>
        </w:rPr>
        <w:t xml:space="preserve">, </w:t>
      </w:r>
      <w:r w:rsidR="00C52C91" w:rsidRPr="00C52C91">
        <w:rPr>
          <w:rFonts w:ascii="Calibri" w:hAnsi="Calibri" w:cs="Calibri"/>
          <w:sz w:val="22"/>
          <w:szCs w:val="22"/>
        </w:rPr>
        <w:t>et la croissance</w:t>
      </w:r>
      <w:r w:rsidR="00C52C91">
        <w:rPr>
          <w:rFonts w:ascii="Calibri" w:hAnsi="Calibri" w:cs="Calibri"/>
          <w:sz w:val="22"/>
          <w:szCs w:val="22"/>
        </w:rPr>
        <w:t>,</w:t>
      </w:r>
      <w:r w:rsidR="00C52C91" w:rsidRPr="00C52C91">
        <w:rPr>
          <w:rFonts w:ascii="Calibri" w:hAnsi="Calibri" w:cs="Calibri"/>
          <w:sz w:val="22"/>
          <w:szCs w:val="22"/>
        </w:rPr>
        <w:t xml:space="preserve"> pendant les différentes saisons de culture</w:t>
      </w:r>
      <w:r w:rsidR="00C52C91">
        <w:rPr>
          <w:rFonts w:ascii="Calibri" w:hAnsi="Calibri" w:cs="Calibri"/>
          <w:sz w:val="22"/>
          <w:szCs w:val="22"/>
        </w:rPr>
        <w:t>,</w:t>
      </w:r>
      <w:r w:rsidR="00C52C91" w:rsidRPr="00C52C91">
        <w:rPr>
          <w:rFonts w:ascii="Calibri" w:hAnsi="Calibri" w:cs="Calibri"/>
          <w:sz w:val="22"/>
          <w:szCs w:val="22"/>
        </w:rPr>
        <w:t xml:space="preserve"> sont utilisées pour faciliter la gestion des cultures, pour laquelle les espèces à forte croissance sont utilisées et collectées pour les stocks de semences, principalement des Philippines. Une fois que les jeunes algues ont été obtenues dans la nature, elles sont nettoyées afin de les débarrasser de la saleté et d’autres contaminants, puis elles sont transférées vers des sites de pépinières dans des boîtes de </w:t>
      </w:r>
      <w:hyperlink r:id="rId2649" w:tooltip="Polystyrène" w:history="1">
        <w:r w:rsidR="00C52C91" w:rsidRPr="00C52C91">
          <w:rPr>
            <w:rStyle w:val="Lienhypertexte"/>
            <w:rFonts w:ascii="Calibri" w:hAnsi="Calibri" w:cs="Calibri"/>
            <w:color w:val="0645AD"/>
            <w:sz w:val="22"/>
            <w:szCs w:val="22"/>
            <w:u w:val="none"/>
          </w:rPr>
          <w:t>polystyrène</w:t>
        </w:r>
      </w:hyperlink>
      <w:r w:rsidR="00C52C91" w:rsidRPr="00C52C91">
        <w:rPr>
          <w:rFonts w:ascii="Calibri" w:hAnsi="Calibri" w:cs="Calibri"/>
          <w:color w:val="202122"/>
          <w:sz w:val="22"/>
          <w:szCs w:val="22"/>
        </w:rPr>
        <w:t> </w:t>
      </w:r>
      <w:r w:rsidR="00C52C91" w:rsidRPr="00C52C91">
        <w:rPr>
          <w:rFonts w:ascii="Calibri" w:hAnsi="Calibri" w:cs="Calibri"/>
          <w:sz w:val="22"/>
          <w:szCs w:val="22"/>
        </w:rPr>
        <w:t>avec des trous d’aération dans la partie supérieure, sans exposition au vent ni au soleil.</w:t>
      </w:r>
    </w:p>
    <w:p w14:paraId="3E67D4E7" w14:textId="3A18C232" w:rsidR="00C52C91" w:rsidRPr="00C52C91" w:rsidRDefault="00C52C91" w:rsidP="00C52C91">
      <w:pPr>
        <w:pStyle w:val="NormalWeb"/>
        <w:shd w:val="clear" w:color="auto" w:fill="FFFFFF"/>
        <w:spacing w:before="0" w:beforeAutospacing="0" w:after="0" w:afterAutospacing="0"/>
        <w:jc w:val="both"/>
        <w:rPr>
          <w:rFonts w:ascii="Calibri" w:hAnsi="Calibri" w:cs="Calibri"/>
          <w:sz w:val="22"/>
          <w:szCs w:val="22"/>
        </w:rPr>
      </w:pPr>
      <w:r w:rsidRPr="00C52C91">
        <w:rPr>
          <w:rFonts w:ascii="Calibri" w:hAnsi="Calibri" w:cs="Calibri"/>
          <w:sz w:val="22"/>
          <w:szCs w:val="22"/>
        </w:rPr>
        <w:t xml:space="preserve">Le choix du site est important pour le développement de l’exploitation d’algues marines, et certains critères doivent d’abord être respectés afin d’optimiser la production. </w:t>
      </w:r>
      <w:r w:rsidRPr="00C52C91">
        <w:rPr>
          <w:rFonts w:ascii="Calibri" w:hAnsi="Calibri" w:cs="Calibri"/>
          <w:i/>
          <w:iCs/>
          <w:sz w:val="22"/>
          <w:szCs w:val="22"/>
        </w:rPr>
        <w:t>Ces critères comprennent le courant et les vagues pour permettre l’absorption des nutriments, une lumière suffisante mais non excessive pour permettre une photosynthèse optimale, une profondeur d’eau suffisante non entravée par une faible exposition à la marée, une température optimale de l’eau entre 27 et 30 degrés Celsius, des niveaux de salinité de 30-35 0/00 et des zones avec une faible présence d’herbivores, de micro-organismes, de limon en suspension et d’épiphytes</w:t>
      </w:r>
      <w:r w:rsidRPr="00C52C91">
        <w:rPr>
          <w:rFonts w:ascii="Calibri" w:hAnsi="Calibri" w:cs="Calibri"/>
          <w:sz w:val="22"/>
          <w:szCs w:val="22"/>
        </w:rPr>
        <w:t xml:space="preserve">. </w:t>
      </w:r>
      <w:r w:rsidRPr="00C52C91">
        <w:rPr>
          <w:rFonts w:ascii="Calibri" w:hAnsi="Calibri" w:cs="Calibri"/>
          <w:i/>
          <w:iCs/>
          <w:sz w:val="22"/>
          <w:szCs w:val="22"/>
        </w:rPr>
        <w:t>Les stocks de jeunes algues sont ensuite préparés en liant des boutures d’Eucheuma avec des matières plastiques souples puis en les accrochant à deux mono-lignes, une au fond et une flottante, reliées par des lignes de nylon parallèles les unes aux autres à des intervalles d’un mètre pour permettre aux courants d’eau de s’écouler</w:t>
      </w:r>
      <w:r w:rsidRPr="00C52C91">
        <w:rPr>
          <w:rFonts w:ascii="Calibri" w:hAnsi="Calibri" w:cs="Calibri"/>
          <w:sz w:val="22"/>
          <w:szCs w:val="22"/>
        </w:rPr>
        <w:t>. L’algue est ensuite récoltée 10 à 12 semaines après la plantation afin de permettre à la culture de pousser et d’augmenter sa teneur en carraghénanes.</w:t>
      </w:r>
    </w:p>
    <w:p w14:paraId="6A8D44FE" w14:textId="7C6DA368" w:rsidR="001562F1" w:rsidRDefault="00C52C91" w:rsidP="00C52C91">
      <w:pPr>
        <w:pStyle w:val="NormalWeb"/>
        <w:shd w:val="clear" w:color="auto" w:fill="FFFFFF"/>
        <w:spacing w:before="0" w:beforeAutospacing="0" w:after="0" w:afterAutospacing="0"/>
        <w:jc w:val="both"/>
        <w:rPr>
          <w:rFonts w:ascii="Calibri" w:hAnsi="Calibri" w:cs="Calibri"/>
          <w:sz w:val="22"/>
          <w:szCs w:val="22"/>
        </w:rPr>
      </w:pPr>
      <w:r w:rsidRPr="00C52C91">
        <w:rPr>
          <w:rFonts w:ascii="Calibri" w:hAnsi="Calibri" w:cs="Calibri"/>
          <w:sz w:val="22"/>
          <w:szCs w:val="22"/>
        </w:rPr>
        <w:t>La culture d’</w:t>
      </w:r>
      <w:r w:rsidRPr="00C52C91">
        <w:rPr>
          <w:rFonts w:ascii="Calibri" w:hAnsi="Calibri" w:cs="Calibri"/>
          <w:i/>
          <w:iCs/>
          <w:sz w:val="22"/>
          <w:szCs w:val="22"/>
        </w:rPr>
        <w:t>Eucheuma</w:t>
      </w:r>
      <w:r w:rsidRPr="00C52C91">
        <w:rPr>
          <w:rFonts w:ascii="Calibri" w:hAnsi="Calibri" w:cs="Calibri"/>
          <w:sz w:val="22"/>
          <w:szCs w:val="22"/>
        </w:rPr>
        <w:t> a soulevé certaines questions environnementales, principalement centrées sur l’écologie et la biodiversité des milieux côtiers. L‘écologie des sites de culture d’</w:t>
      </w:r>
      <w:r w:rsidRPr="00C52C91">
        <w:rPr>
          <w:rFonts w:ascii="Calibri" w:hAnsi="Calibri" w:cs="Calibri"/>
          <w:i/>
          <w:iCs/>
          <w:sz w:val="22"/>
          <w:szCs w:val="22"/>
        </w:rPr>
        <w:t>Eucheuma</w:t>
      </w:r>
      <w:r w:rsidRPr="00C52C91">
        <w:rPr>
          <w:rFonts w:ascii="Calibri" w:hAnsi="Calibri" w:cs="Calibri"/>
          <w:sz w:val="22"/>
          <w:szCs w:val="22"/>
        </w:rPr>
        <w:t> peut être caractérisée par le surpeuplement, car d‘autres fermiers peuvent être attirées par le site de culture, ce qui finit par dépasser la capacité de l’environnement. Cela peut à son tour modifier l’hydrologie globale de la région, et avoir des répercussions sur d’autres espèces présentes. La pollution domestique due à l’élimination des déchets agricoles peut également avoir un impact sur l’environnement proche.</w:t>
      </w:r>
    </w:p>
    <w:p w14:paraId="1522D647" w14:textId="29668C78" w:rsidR="00865C7F" w:rsidRDefault="00865C7F" w:rsidP="00C52C91">
      <w:pPr>
        <w:pStyle w:val="NormalWeb"/>
        <w:shd w:val="clear" w:color="auto" w:fill="FFFFFF"/>
        <w:spacing w:before="0" w:beforeAutospacing="0" w:after="0" w:afterAutospacing="0"/>
        <w:jc w:val="both"/>
        <w:rPr>
          <w:rFonts w:ascii="Calibri" w:hAnsi="Calibri" w:cs="Calibri"/>
          <w:sz w:val="22"/>
          <w:szCs w:val="22"/>
        </w:rPr>
      </w:pPr>
      <w:r>
        <w:rPr>
          <w:rFonts w:ascii="Calibri" w:hAnsi="Calibri" w:cs="Calibri"/>
          <w:sz w:val="22"/>
          <w:szCs w:val="22"/>
        </w:rPr>
        <w:t xml:space="preserve">Sources : a) </w:t>
      </w:r>
      <w:hyperlink r:id="rId2650" w:history="1">
        <w:r w:rsidRPr="00224761">
          <w:rPr>
            <w:rStyle w:val="Lienhypertexte"/>
            <w:rFonts w:ascii="Calibri" w:hAnsi="Calibri" w:cs="Calibri"/>
            <w:sz w:val="22"/>
            <w:szCs w:val="22"/>
          </w:rPr>
          <w:t>https://fr.wikipedia.org/wiki/Eucheuma</w:t>
        </w:r>
      </w:hyperlink>
      <w:r>
        <w:rPr>
          <w:rFonts w:ascii="Calibri" w:hAnsi="Calibri" w:cs="Calibri"/>
          <w:sz w:val="22"/>
          <w:szCs w:val="22"/>
        </w:rPr>
        <w:t xml:space="preserve">, </w:t>
      </w:r>
      <w:r w:rsidR="009E3F28">
        <w:rPr>
          <w:rFonts w:ascii="Calibri" w:hAnsi="Calibri" w:cs="Calibri"/>
          <w:sz w:val="22"/>
          <w:szCs w:val="22"/>
        </w:rPr>
        <w:t xml:space="preserve">b) </w:t>
      </w:r>
      <w:hyperlink r:id="rId2651" w:history="1">
        <w:r w:rsidR="009E3F28" w:rsidRPr="00224761">
          <w:rPr>
            <w:rStyle w:val="Lienhypertexte"/>
            <w:rFonts w:ascii="Calibri" w:hAnsi="Calibri" w:cs="Calibri"/>
            <w:sz w:val="22"/>
            <w:szCs w:val="22"/>
          </w:rPr>
          <w:t>https://en.wikipedia.org/wiki/Eucheuma</w:t>
        </w:r>
      </w:hyperlink>
      <w:r w:rsidR="009E3F28">
        <w:rPr>
          <w:rFonts w:ascii="Calibri" w:hAnsi="Calibri" w:cs="Calibri"/>
          <w:sz w:val="22"/>
          <w:szCs w:val="22"/>
        </w:rPr>
        <w:t xml:space="preserve"> </w:t>
      </w:r>
    </w:p>
    <w:p w14:paraId="1659C280" w14:textId="0C875A1B" w:rsidR="00C52C91" w:rsidRDefault="00C52C91" w:rsidP="00C52C91">
      <w:pPr>
        <w:pStyle w:val="NormalWeb"/>
        <w:shd w:val="clear" w:color="auto" w:fill="FFFFFF"/>
        <w:spacing w:before="0" w:beforeAutospacing="0" w:after="0" w:afterAutospacing="0"/>
        <w:jc w:val="both"/>
        <w:rPr>
          <w:rFonts w:ascii="Calibri" w:hAnsi="Calibri" w:cs="Calibri"/>
          <w:sz w:val="22"/>
          <w:szCs w:val="2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320"/>
        <w:gridCol w:w="3350"/>
      </w:tblGrid>
      <w:tr w:rsidR="0022482E" w:rsidRPr="009E3F28" w14:paraId="7AE2A138" w14:textId="77777777" w:rsidTr="0022482E">
        <w:tc>
          <w:tcPr>
            <w:tcW w:w="3756" w:type="dxa"/>
          </w:tcPr>
          <w:p w14:paraId="7B1ED175" w14:textId="77777777" w:rsidR="00C52C91" w:rsidRPr="009E3F28" w:rsidRDefault="00707909" w:rsidP="00C52C91">
            <w:pPr>
              <w:pStyle w:val="NormalWeb"/>
              <w:spacing w:before="0" w:beforeAutospacing="0" w:after="0" w:afterAutospacing="0"/>
              <w:jc w:val="center"/>
              <w:rPr>
                <w:rFonts w:ascii="Calibri" w:hAnsi="Calibri" w:cs="Calibri"/>
                <w:sz w:val="22"/>
                <w:szCs w:val="22"/>
              </w:rPr>
            </w:pPr>
            <w:r w:rsidRPr="009E3F28">
              <w:rPr>
                <w:rFonts w:ascii="Calibri" w:hAnsi="Calibri" w:cs="Calibri"/>
                <w:noProof/>
                <w:sz w:val="22"/>
                <w:szCs w:val="22"/>
              </w:rPr>
              <w:drawing>
                <wp:inline distT="0" distB="0" distL="0" distR="0" wp14:anchorId="525C5AD2" wp14:editId="6F03B535">
                  <wp:extent cx="2245932" cy="981075"/>
                  <wp:effectExtent l="0" t="0" r="2540" b="0"/>
                  <wp:docPr id="48129" name="Image 48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2"/>
                          <a:stretch>
                            <a:fillRect/>
                          </a:stretch>
                        </pic:blipFill>
                        <pic:spPr>
                          <a:xfrm>
                            <a:off x="0" y="0"/>
                            <a:ext cx="2248704" cy="982286"/>
                          </a:xfrm>
                          <a:prstGeom prst="rect">
                            <a:avLst/>
                          </a:prstGeom>
                        </pic:spPr>
                      </pic:pic>
                    </a:graphicData>
                  </a:graphic>
                </wp:inline>
              </w:drawing>
            </w:r>
          </w:p>
          <w:p w14:paraId="58E4FBD6" w14:textId="6EE03B22" w:rsidR="00707909" w:rsidRPr="009E3F28" w:rsidRDefault="00707909" w:rsidP="00C52C91">
            <w:pPr>
              <w:pStyle w:val="NormalWeb"/>
              <w:spacing w:before="0" w:beforeAutospacing="0" w:after="0" w:afterAutospacing="0"/>
              <w:jc w:val="center"/>
              <w:rPr>
                <w:rFonts w:ascii="Calibri" w:hAnsi="Calibri" w:cs="Calibri"/>
                <w:sz w:val="22"/>
                <w:szCs w:val="22"/>
              </w:rPr>
            </w:pPr>
            <w:r w:rsidRPr="009E3F28">
              <w:rPr>
                <w:rFonts w:ascii="Calibri" w:hAnsi="Calibri" w:cs="Calibri"/>
                <w:i/>
                <w:iCs/>
                <w:sz w:val="22"/>
                <w:szCs w:val="22"/>
              </w:rPr>
              <w:t>Eucheuma</w:t>
            </w:r>
            <w:r w:rsidRPr="009E3F28">
              <w:rPr>
                <w:rFonts w:ascii="Calibri" w:hAnsi="Calibri" w:cs="Calibri"/>
                <w:sz w:val="22"/>
                <w:szCs w:val="22"/>
              </w:rPr>
              <w:t xml:space="preserve"> en culture dans une ferme d’algues</w:t>
            </w:r>
            <w:r w:rsidR="009E3F28" w:rsidRPr="009E3F28">
              <w:rPr>
                <w:rFonts w:ascii="Calibri" w:hAnsi="Calibri" w:cs="Calibri"/>
                <w:sz w:val="22"/>
                <w:szCs w:val="22"/>
              </w:rPr>
              <w:t>.</w:t>
            </w:r>
          </w:p>
        </w:tc>
        <w:tc>
          <w:tcPr>
            <w:tcW w:w="3320" w:type="dxa"/>
          </w:tcPr>
          <w:p w14:paraId="5A440D75" w14:textId="77777777" w:rsidR="00C52C91" w:rsidRPr="009E3F28" w:rsidRDefault="009E3F28" w:rsidP="00C52C91">
            <w:pPr>
              <w:pStyle w:val="NormalWeb"/>
              <w:spacing w:before="0" w:beforeAutospacing="0" w:after="0" w:afterAutospacing="0"/>
              <w:jc w:val="center"/>
              <w:rPr>
                <w:rFonts w:ascii="Calibri" w:hAnsi="Calibri" w:cs="Calibri"/>
                <w:sz w:val="22"/>
                <w:szCs w:val="22"/>
              </w:rPr>
            </w:pPr>
            <w:r w:rsidRPr="009E3F28">
              <w:rPr>
                <w:rFonts w:ascii="Calibri" w:hAnsi="Calibri" w:cs="Calibri"/>
                <w:noProof/>
                <w:sz w:val="22"/>
                <w:szCs w:val="22"/>
              </w:rPr>
              <w:drawing>
                <wp:inline distT="0" distB="0" distL="0" distR="0" wp14:anchorId="196180BA" wp14:editId="15EE5437">
                  <wp:extent cx="1746249" cy="1143000"/>
                  <wp:effectExtent l="0" t="0" r="6985" b="0"/>
                  <wp:docPr id="48130" name="Image 48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2653">
                            <a:extLst>
                              <a:ext uri="{28A0092B-C50C-407E-A947-70E740481C1C}">
                                <a14:useLocalDpi xmlns:a14="http://schemas.microsoft.com/office/drawing/2010/main" val="0"/>
                              </a:ext>
                            </a:extLst>
                          </a:blip>
                          <a:srcRect/>
                          <a:stretch>
                            <a:fillRect/>
                          </a:stretch>
                        </pic:blipFill>
                        <pic:spPr bwMode="auto">
                          <a:xfrm>
                            <a:off x="0" y="0"/>
                            <a:ext cx="1755427" cy="1149008"/>
                          </a:xfrm>
                          <a:prstGeom prst="rect">
                            <a:avLst/>
                          </a:prstGeom>
                          <a:noFill/>
                          <a:ln>
                            <a:noFill/>
                          </a:ln>
                        </pic:spPr>
                      </pic:pic>
                    </a:graphicData>
                  </a:graphic>
                </wp:inline>
              </w:drawing>
            </w:r>
          </w:p>
          <w:p w14:paraId="37278B4B" w14:textId="77777777" w:rsidR="0022482E" w:rsidRDefault="009E3F28" w:rsidP="0022482E">
            <w:pPr>
              <w:pStyle w:val="NormalWeb"/>
              <w:spacing w:before="0" w:beforeAutospacing="0" w:after="0" w:afterAutospacing="0"/>
              <w:jc w:val="center"/>
              <w:rPr>
                <w:rFonts w:ascii="Calibri" w:hAnsi="Calibri" w:cs="Calibri"/>
                <w:color w:val="202122"/>
                <w:sz w:val="22"/>
                <w:szCs w:val="22"/>
                <w:shd w:val="clear" w:color="auto" w:fill="F8F9FA"/>
              </w:rPr>
            </w:pPr>
            <w:r w:rsidRPr="009E3F28">
              <w:rPr>
                <w:rFonts w:ascii="Calibri" w:hAnsi="Calibri" w:cs="Calibri"/>
                <w:color w:val="202122"/>
                <w:sz w:val="22"/>
                <w:szCs w:val="22"/>
                <w:shd w:val="clear" w:color="auto" w:fill="F8F9FA"/>
              </w:rPr>
              <w:t>Femme ramassant des algues </w:t>
            </w:r>
            <w:r w:rsidRPr="009E3F28">
              <w:rPr>
                <w:rFonts w:ascii="Calibri" w:hAnsi="Calibri" w:cs="Calibri"/>
                <w:i/>
                <w:iCs/>
                <w:color w:val="202122"/>
                <w:sz w:val="22"/>
                <w:szCs w:val="22"/>
                <w:shd w:val="clear" w:color="auto" w:fill="F8F9FA"/>
              </w:rPr>
              <w:t>Eucheuma</w:t>
            </w:r>
            <w:r w:rsidRPr="009E3F28">
              <w:rPr>
                <w:rFonts w:ascii="Calibri" w:hAnsi="Calibri" w:cs="Calibri"/>
                <w:color w:val="202122"/>
                <w:sz w:val="22"/>
                <w:szCs w:val="22"/>
                <w:shd w:val="clear" w:color="auto" w:fill="F8F9FA"/>
              </w:rPr>
              <w:t> à Jambiani (</w:t>
            </w:r>
            <w:hyperlink r:id="rId2654" w:tooltip="Zanzibar (archipel)" w:history="1">
              <w:r w:rsidRPr="009E3F28">
                <w:rPr>
                  <w:rStyle w:val="Lienhypertexte"/>
                  <w:rFonts w:ascii="Calibri" w:hAnsi="Calibri" w:cs="Calibri"/>
                  <w:color w:val="0645AD"/>
                  <w:sz w:val="22"/>
                  <w:szCs w:val="22"/>
                  <w:shd w:val="clear" w:color="auto" w:fill="F8F9FA"/>
                </w:rPr>
                <w:t>Zanzibar</w:t>
              </w:r>
            </w:hyperlink>
            <w:r w:rsidRPr="009E3F28">
              <w:rPr>
                <w:rFonts w:ascii="Calibri" w:hAnsi="Calibri" w:cs="Calibri"/>
                <w:color w:val="202122"/>
                <w:sz w:val="22"/>
                <w:szCs w:val="22"/>
                <w:shd w:val="clear" w:color="auto" w:fill="F8F9FA"/>
              </w:rPr>
              <w:t>).</w:t>
            </w:r>
          </w:p>
          <w:p w14:paraId="639E1BB4" w14:textId="72E0DA67" w:rsidR="0022482E" w:rsidRPr="0022482E" w:rsidRDefault="0022482E" w:rsidP="0022482E">
            <w:pPr>
              <w:pStyle w:val="NormalWeb"/>
              <w:spacing w:before="0" w:beforeAutospacing="0" w:after="0" w:afterAutospacing="0"/>
              <w:jc w:val="center"/>
              <w:rPr>
                <w:rFonts w:ascii="Calibri" w:hAnsi="Calibri" w:cs="Calibri"/>
                <w:color w:val="202122"/>
                <w:sz w:val="22"/>
                <w:szCs w:val="22"/>
                <w:shd w:val="clear" w:color="auto" w:fill="F8F9FA"/>
              </w:rPr>
            </w:pPr>
          </w:p>
        </w:tc>
        <w:tc>
          <w:tcPr>
            <w:tcW w:w="3350" w:type="dxa"/>
          </w:tcPr>
          <w:p w14:paraId="26A60748" w14:textId="77777777" w:rsidR="00C52C91" w:rsidRPr="009E3F28" w:rsidRDefault="009E3F28" w:rsidP="00C52C91">
            <w:pPr>
              <w:pStyle w:val="NormalWeb"/>
              <w:spacing w:before="0" w:beforeAutospacing="0" w:after="0" w:afterAutospacing="0"/>
              <w:jc w:val="center"/>
              <w:rPr>
                <w:rFonts w:ascii="Calibri" w:hAnsi="Calibri" w:cs="Calibri"/>
                <w:sz w:val="22"/>
                <w:szCs w:val="22"/>
              </w:rPr>
            </w:pPr>
            <w:r w:rsidRPr="009E3F28">
              <w:rPr>
                <w:rFonts w:ascii="Calibri" w:hAnsi="Calibri" w:cs="Calibri"/>
                <w:noProof/>
                <w:sz w:val="22"/>
                <w:szCs w:val="22"/>
              </w:rPr>
              <w:drawing>
                <wp:inline distT="0" distB="0" distL="0" distR="0" wp14:anchorId="1159F3B3" wp14:editId="3C14FCE5">
                  <wp:extent cx="1816100" cy="1362075"/>
                  <wp:effectExtent l="0" t="0" r="0" b="9525"/>
                  <wp:docPr id="48131" name="Image 48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2655">
                            <a:extLst>
                              <a:ext uri="{28A0092B-C50C-407E-A947-70E740481C1C}">
                                <a14:useLocalDpi xmlns:a14="http://schemas.microsoft.com/office/drawing/2010/main" val="0"/>
                              </a:ext>
                            </a:extLst>
                          </a:blip>
                          <a:srcRect/>
                          <a:stretch>
                            <a:fillRect/>
                          </a:stretch>
                        </pic:blipFill>
                        <pic:spPr bwMode="auto">
                          <a:xfrm>
                            <a:off x="0" y="0"/>
                            <a:ext cx="1816100" cy="1362075"/>
                          </a:xfrm>
                          <a:prstGeom prst="rect">
                            <a:avLst/>
                          </a:prstGeom>
                          <a:noFill/>
                          <a:ln>
                            <a:noFill/>
                          </a:ln>
                        </pic:spPr>
                      </pic:pic>
                    </a:graphicData>
                  </a:graphic>
                </wp:inline>
              </w:drawing>
            </w:r>
          </w:p>
          <w:p w14:paraId="4399B5DC" w14:textId="0AA4C9D9" w:rsidR="009E3F28" w:rsidRPr="009E3F28" w:rsidRDefault="009E3F28" w:rsidP="00C52C91">
            <w:pPr>
              <w:pStyle w:val="NormalWeb"/>
              <w:spacing w:before="0" w:beforeAutospacing="0" w:after="0" w:afterAutospacing="0"/>
              <w:jc w:val="center"/>
              <w:rPr>
                <w:rFonts w:ascii="Calibri" w:hAnsi="Calibri" w:cs="Calibri"/>
                <w:sz w:val="22"/>
                <w:szCs w:val="22"/>
              </w:rPr>
            </w:pPr>
            <w:r w:rsidRPr="009E3F28">
              <w:rPr>
                <w:rFonts w:ascii="Calibri" w:hAnsi="Calibri" w:cs="Calibri"/>
                <w:color w:val="202122"/>
                <w:sz w:val="22"/>
                <w:szCs w:val="22"/>
                <w:shd w:val="clear" w:color="auto" w:fill="F8F9FA"/>
              </w:rPr>
              <w:t>Ferme d’</w:t>
            </w:r>
            <w:r w:rsidRPr="009E3F28">
              <w:rPr>
                <w:rFonts w:ascii="Calibri" w:hAnsi="Calibri" w:cs="Calibri"/>
                <w:i/>
                <w:iCs/>
                <w:color w:val="202122"/>
                <w:sz w:val="22"/>
                <w:szCs w:val="22"/>
                <w:shd w:val="clear" w:color="auto" w:fill="F8F9FA"/>
              </w:rPr>
              <w:t>Eucheuma</w:t>
            </w:r>
            <w:r w:rsidRPr="009E3F28">
              <w:rPr>
                <w:rFonts w:ascii="Calibri" w:hAnsi="Calibri" w:cs="Calibri"/>
                <w:color w:val="202122"/>
                <w:sz w:val="22"/>
                <w:szCs w:val="22"/>
                <w:shd w:val="clear" w:color="auto" w:fill="F8F9FA"/>
              </w:rPr>
              <w:t>, </w:t>
            </w:r>
            <w:hyperlink r:id="rId2656" w:tooltip="Tanzanie" w:history="1">
              <w:r w:rsidRPr="009E3F28">
                <w:rPr>
                  <w:rStyle w:val="Lienhypertexte"/>
                  <w:rFonts w:ascii="Calibri" w:hAnsi="Calibri" w:cs="Calibri"/>
                  <w:color w:val="0645AD"/>
                  <w:sz w:val="22"/>
                  <w:szCs w:val="22"/>
                  <w:shd w:val="clear" w:color="auto" w:fill="F8F9FA"/>
                </w:rPr>
                <w:t>Tanzanie</w:t>
              </w:r>
            </w:hyperlink>
            <w:r w:rsidRPr="009E3F28">
              <w:rPr>
                <w:rFonts w:ascii="Calibri" w:hAnsi="Calibri" w:cs="Calibri"/>
                <w:sz w:val="22"/>
                <w:szCs w:val="22"/>
              </w:rPr>
              <w:t>.</w:t>
            </w:r>
          </w:p>
        </w:tc>
      </w:tr>
      <w:tr w:rsidR="0022482E" w:rsidRPr="009E3F28" w14:paraId="0BC35D02" w14:textId="77777777" w:rsidTr="0022482E">
        <w:tc>
          <w:tcPr>
            <w:tcW w:w="3756" w:type="dxa"/>
          </w:tcPr>
          <w:p w14:paraId="1FD7E344" w14:textId="77777777" w:rsidR="00C52C91" w:rsidRPr="009E3F28" w:rsidRDefault="009E3F28" w:rsidP="00C52C91">
            <w:pPr>
              <w:pStyle w:val="NormalWeb"/>
              <w:spacing w:before="0" w:beforeAutospacing="0" w:after="0" w:afterAutospacing="0"/>
              <w:jc w:val="center"/>
              <w:rPr>
                <w:rFonts w:ascii="Calibri" w:hAnsi="Calibri" w:cs="Calibri"/>
                <w:sz w:val="22"/>
                <w:szCs w:val="22"/>
              </w:rPr>
            </w:pPr>
            <w:r w:rsidRPr="009E3F28">
              <w:rPr>
                <w:rFonts w:ascii="Calibri" w:hAnsi="Calibri" w:cs="Calibri"/>
                <w:noProof/>
                <w:sz w:val="22"/>
                <w:szCs w:val="22"/>
              </w:rPr>
              <w:drawing>
                <wp:inline distT="0" distB="0" distL="0" distR="0" wp14:anchorId="457F2962" wp14:editId="6051B2C8">
                  <wp:extent cx="2095500" cy="1333500"/>
                  <wp:effectExtent l="0" t="0" r="0" b="0"/>
                  <wp:docPr id="48132" name="Image 48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657">
                            <a:extLst>
                              <a:ext uri="{28A0092B-C50C-407E-A947-70E740481C1C}">
                                <a14:useLocalDpi xmlns:a14="http://schemas.microsoft.com/office/drawing/2010/main" val="0"/>
                              </a:ext>
                            </a:extLst>
                          </a:blip>
                          <a:srcRect/>
                          <a:stretch>
                            <a:fillRect/>
                          </a:stretch>
                        </pic:blipFill>
                        <pic:spPr bwMode="auto">
                          <a:xfrm>
                            <a:off x="0" y="0"/>
                            <a:ext cx="2095500" cy="1333500"/>
                          </a:xfrm>
                          <a:prstGeom prst="rect">
                            <a:avLst/>
                          </a:prstGeom>
                          <a:noFill/>
                          <a:ln>
                            <a:noFill/>
                          </a:ln>
                        </pic:spPr>
                      </pic:pic>
                    </a:graphicData>
                  </a:graphic>
                </wp:inline>
              </w:drawing>
            </w:r>
          </w:p>
          <w:p w14:paraId="634FDB8D" w14:textId="6D48C176" w:rsidR="009E3F28" w:rsidRPr="009E3F28" w:rsidRDefault="009E3F28" w:rsidP="00C52C91">
            <w:pPr>
              <w:pStyle w:val="NormalWeb"/>
              <w:spacing w:before="0" w:beforeAutospacing="0" w:after="0" w:afterAutospacing="0"/>
              <w:jc w:val="center"/>
              <w:rPr>
                <w:rFonts w:ascii="Calibri" w:hAnsi="Calibri" w:cs="Calibri"/>
                <w:sz w:val="22"/>
                <w:szCs w:val="22"/>
              </w:rPr>
            </w:pPr>
            <w:r w:rsidRPr="009E3F28">
              <w:rPr>
                <w:rFonts w:ascii="Calibri" w:hAnsi="Calibri" w:cs="Calibri"/>
                <w:i/>
                <w:iCs/>
                <w:color w:val="202122"/>
                <w:sz w:val="22"/>
                <w:szCs w:val="22"/>
                <w:shd w:val="clear" w:color="auto" w:fill="F8F9FA"/>
              </w:rPr>
              <w:t>Eucheuma</w:t>
            </w:r>
            <w:r w:rsidRPr="009E3F28">
              <w:rPr>
                <w:rFonts w:ascii="Calibri" w:hAnsi="Calibri" w:cs="Calibri"/>
                <w:color w:val="202122"/>
                <w:sz w:val="22"/>
                <w:szCs w:val="22"/>
                <w:shd w:val="clear" w:color="auto" w:fill="F8F9FA"/>
              </w:rPr>
              <w:t>, vue sous-marine, </w:t>
            </w:r>
            <w:hyperlink r:id="rId2658" w:tooltip="Philippines" w:history="1">
              <w:r w:rsidRPr="009E3F28">
                <w:rPr>
                  <w:rStyle w:val="Lienhypertexte"/>
                  <w:rFonts w:ascii="Calibri" w:hAnsi="Calibri" w:cs="Calibri"/>
                  <w:color w:val="0645AD"/>
                  <w:sz w:val="22"/>
                  <w:szCs w:val="22"/>
                  <w:shd w:val="clear" w:color="auto" w:fill="F8F9FA"/>
                </w:rPr>
                <w:t>Philippines</w:t>
              </w:r>
            </w:hyperlink>
            <w:r w:rsidRPr="009E3F28">
              <w:rPr>
                <w:rFonts w:ascii="Calibri" w:hAnsi="Calibri" w:cs="Calibri"/>
                <w:sz w:val="22"/>
                <w:szCs w:val="22"/>
              </w:rPr>
              <w:t>.</w:t>
            </w:r>
          </w:p>
        </w:tc>
        <w:tc>
          <w:tcPr>
            <w:tcW w:w="3320" w:type="dxa"/>
          </w:tcPr>
          <w:p w14:paraId="191E1877" w14:textId="5DB5E8D9" w:rsidR="00C52C91" w:rsidRDefault="009E3F28" w:rsidP="00C52C91">
            <w:pPr>
              <w:pStyle w:val="NormalWeb"/>
              <w:spacing w:before="0" w:beforeAutospacing="0" w:after="0" w:afterAutospacing="0"/>
              <w:jc w:val="center"/>
              <w:rPr>
                <w:rFonts w:ascii="Calibri" w:hAnsi="Calibri" w:cs="Calibri"/>
                <w:sz w:val="22"/>
                <w:szCs w:val="22"/>
              </w:rPr>
            </w:pPr>
            <w:r>
              <w:rPr>
                <w:noProof/>
              </w:rPr>
              <w:drawing>
                <wp:inline distT="0" distB="0" distL="0" distR="0" wp14:anchorId="3F6193B5" wp14:editId="12D8F078">
                  <wp:extent cx="1676400" cy="944880"/>
                  <wp:effectExtent l="0" t="0" r="0" b="7620"/>
                  <wp:docPr id="48133" name="Image 48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2659">
                            <a:extLst>
                              <a:ext uri="{28A0092B-C50C-407E-A947-70E740481C1C}">
                                <a14:useLocalDpi xmlns:a14="http://schemas.microsoft.com/office/drawing/2010/main" val="0"/>
                              </a:ext>
                            </a:extLst>
                          </a:blip>
                          <a:srcRect/>
                          <a:stretch>
                            <a:fillRect/>
                          </a:stretch>
                        </pic:blipFill>
                        <pic:spPr bwMode="auto">
                          <a:xfrm>
                            <a:off x="0" y="0"/>
                            <a:ext cx="1682319" cy="948216"/>
                          </a:xfrm>
                          <a:prstGeom prst="rect">
                            <a:avLst/>
                          </a:prstGeom>
                          <a:noFill/>
                          <a:ln>
                            <a:noFill/>
                          </a:ln>
                        </pic:spPr>
                      </pic:pic>
                    </a:graphicData>
                  </a:graphic>
                </wp:inline>
              </w:drawing>
            </w:r>
          </w:p>
          <w:p w14:paraId="09A693F5" w14:textId="12D91E8B" w:rsidR="009E3F28" w:rsidRPr="009E3F28" w:rsidRDefault="009E3F28" w:rsidP="00C52C91">
            <w:pPr>
              <w:pStyle w:val="NormalWeb"/>
              <w:spacing w:before="0" w:beforeAutospacing="0" w:after="0" w:afterAutospacing="0"/>
              <w:jc w:val="center"/>
              <w:rPr>
                <w:rFonts w:ascii="Calibri" w:hAnsi="Calibri" w:cs="Calibri"/>
                <w:sz w:val="22"/>
                <w:szCs w:val="22"/>
              </w:rPr>
            </w:pPr>
            <w:r w:rsidRPr="009E3F28">
              <w:rPr>
                <w:rFonts w:ascii="Calibri" w:hAnsi="Calibri" w:cs="Calibri"/>
                <w:color w:val="202122"/>
                <w:sz w:val="22"/>
                <w:szCs w:val="22"/>
                <w:shd w:val="clear" w:color="auto" w:fill="F8F9FA"/>
              </w:rPr>
              <w:t xml:space="preserve">Gusô </w:t>
            </w:r>
            <w:r>
              <w:rPr>
                <w:rFonts w:ascii="Calibri" w:hAnsi="Calibri" w:cs="Calibri"/>
                <w:color w:val="202122"/>
                <w:sz w:val="22"/>
                <w:szCs w:val="22"/>
                <w:shd w:val="clear" w:color="auto" w:fill="F8F9FA"/>
              </w:rPr>
              <w:t xml:space="preserve">frais </w:t>
            </w:r>
            <w:r w:rsidRPr="009E3F28">
              <w:rPr>
                <w:rFonts w:ascii="Calibri" w:hAnsi="Calibri" w:cs="Calibri"/>
                <w:color w:val="202122"/>
                <w:sz w:val="22"/>
                <w:szCs w:val="22"/>
                <w:shd w:val="clear" w:color="auto" w:fill="F8F9FA"/>
              </w:rPr>
              <w:t>dans un marché aux poissons</w:t>
            </w:r>
            <w:r>
              <w:rPr>
                <w:rFonts w:ascii="Calibri" w:hAnsi="Calibri" w:cs="Calibri"/>
                <w:color w:val="202122"/>
                <w:sz w:val="22"/>
                <w:szCs w:val="22"/>
                <w:shd w:val="clear" w:color="auto" w:fill="F8F9FA"/>
              </w:rPr>
              <w:t>,</w:t>
            </w:r>
            <w:r w:rsidRPr="009E3F28">
              <w:rPr>
                <w:rFonts w:ascii="Calibri" w:hAnsi="Calibri" w:cs="Calibri"/>
                <w:color w:val="202122"/>
                <w:sz w:val="22"/>
                <w:szCs w:val="22"/>
                <w:shd w:val="clear" w:color="auto" w:fill="F8F9FA"/>
              </w:rPr>
              <w:t>  consommés frais trempés dans du vinaigre et des épices dans la </w:t>
            </w:r>
            <w:hyperlink r:id="rId2660" w:tooltip="Cuisine philippine" w:history="1">
              <w:r w:rsidRPr="009E3F28">
                <w:rPr>
                  <w:rStyle w:val="Lienhypertexte"/>
                  <w:rFonts w:ascii="Calibri" w:hAnsi="Calibri" w:cs="Calibri"/>
                  <w:color w:val="0645AD"/>
                  <w:sz w:val="22"/>
                  <w:szCs w:val="22"/>
                  <w:shd w:val="clear" w:color="auto" w:fill="F8F9FA"/>
                </w:rPr>
                <w:t>cuisine philippine</w:t>
              </w:r>
            </w:hyperlink>
            <w:r>
              <w:rPr>
                <w:rFonts w:ascii="Calibri" w:hAnsi="Calibri" w:cs="Calibri"/>
                <w:sz w:val="22"/>
                <w:szCs w:val="22"/>
              </w:rPr>
              <w:t>.</w:t>
            </w:r>
          </w:p>
        </w:tc>
        <w:tc>
          <w:tcPr>
            <w:tcW w:w="3350" w:type="dxa"/>
          </w:tcPr>
          <w:p w14:paraId="5686C86A" w14:textId="77777777" w:rsidR="00C52C91" w:rsidRPr="009E3F28" w:rsidRDefault="00C52C91" w:rsidP="00C52C91">
            <w:pPr>
              <w:pStyle w:val="NormalWeb"/>
              <w:spacing w:before="0" w:beforeAutospacing="0" w:after="0" w:afterAutospacing="0"/>
              <w:jc w:val="center"/>
              <w:rPr>
                <w:rFonts w:ascii="Calibri" w:hAnsi="Calibri" w:cs="Calibri"/>
                <w:sz w:val="22"/>
                <w:szCs w:val="22"/>
              </w:rPr>
            </w:pPr>
          </w:p>
        </w:tc>
      </w:tr>
    </w:tbl>
    <w:p w14:paraId="6950C367" w14:textId="01CB589C" w:rsidR="009E3F28" w:rsidRDefault="009E3F28" w:rsidP="0022482E">
      <w:pPr>
        <w:pStyle w:val="NormalWeb"/>
        <w:shd w:val="clear" w:color="auto" w:fill="FFFFFF"/>
        <w:spacing w:before="0" w:beforeAutospacing="0" w:after="0" w:afterAutospacing="0"/>
        <w:jc w:val="both"/>
        <w:rPr>
          <w:rFonts w:ascii="Calibri" w:hAnsi="Calibri" w:cs="Calibri"/>
          <w:sz w:val="22"/>
          <w:szCs w:val="22"/>
        </w:rPr>
      </w:pPr>
    </w:p>
    <w:p w14:paraId="31E9B009" w14:textId="77777777" w:rsidR="00576232" w:rsidRDefault="00576232" w:rsidP="007D56AB">
      <w:pPr>
        <w:pStyle w:val="Titre2"/>
      </w:pPr>
      <w:bookmarkStart w:id="216" w:name="_Toc139181507"/>
      <w:r w:rsidRPr="0022482E">
        <w:t>Ogonori</w:t>
      </w:r>
      <w:r>
        <w:t xml:space="preserve"> ou gulaman</w:t>
      </w:r>
      <w:r w:rsidRPr="0022482E">
        <w:t xml:space="preserve"> (genre </w:t>
      </w:r>
      <w:r w:rsidRPr="00576232">
        <w:rPr>
          <w:i/>
          <w:iCs/>
        </w:rPr>
        <w:t>Gracilaria</w:t>
      </w:r>
      <w:r w:rsidRPr="0022482E">
        <w:t>)</w:t>
      </w:r>
      <w:bookmarkEnd w:id="216"/>
    </w:p>
    <w:p w14:paraId="71130BEC" w14:textId="77777777" w:rsidR="00576232" w:rsidRDefault="00576232" w:rsidP="0022482E">
      <w:pPr>
        <w:pStyle w:val="NormalWeb"/>
        <w:shd w:val="clear" w:color="auto" w:fill="FFFFFF"/>
        <w:spacing w:before="0" w:beforeAutospacing="0" w:after="0" w:afterAutospacing="0"/>
        <w:jc w:val="both"/>
        <w:rPr>
          <w:rFonts w:ascii="Calibri" w:hAnsi="Calibri" w:cs="Calibri"/>
          <w:sz w:val="22"/>
          <w:szCs w:val="22"/>
        </w:rPr>
      </w:pPr>
    </w:p>
    <w:p w14:paraId="11158986" w14:textId="7994C8C5" w:rsidR="0022482E" w:rsidRPr="00ED1622" w:rsidRDefault="0022482E" w:rsidP="0022482E">
      <w:pPr>
        <w:pStyle w:val="NormalWeb"/>
        <w:shd w:val="clear" w:color="auto" w:fill="FFFFFF"/>
        <w:spacing w:before="0" w:beforeAutospacing="0" w:after="0" w:afterAutospacing="0"/>
        <w:jc w:val="both"/>
        <w:rPr>
          <w:rFonts w:ascii="Calibri" w:hAnsi="Calibri" w:cs="Calibri"/>
          <w:sz w:val="22"/>
          <w:szCs w:val="22"/>
        </w:rPr>
      </w:pPr>
      <w:r w:rsidRPr="0022482E">
        <w:rPr>
          <w:rFonts w:ascii="Calibri" w:hAnsi="Calibri" w:cs="Calibri"/>
          <w:b/>
          <w:bCs/>
          <w:i/>
          <w:iCs/>
          <w:color w:val="202122"/>
          <w:sz w:val="22"/>
          <w:szCs w:val="22"/>
        </w:rPr>
        <w:t>Gracilaria</w:t>
      </w:r>
      <w:r w:rsidRPr="0022482E">
        <w:rPr>
          <w:rFonts w:ascii="Calibri" w:hAnsi="Calibri" w:cs="Calibri"/>
          <w:color w:val="202122"/>
          <w:sz w:val="22"/>
          <w:szCs w:val="22"/>
        </w:rPr>
        <w:t> est un </w:t>
      </w:r>
      <w:hyperlink r:id="rId2661" w:tooltip="Genre (biologie)" w:history="1">
        <w:r w:rsidRPr="0022482E">
          <w:rPr>
            <w:rStyle w:val="Lienhypertexte"/>
            <w:rFonts w:ascii="Calibri" w:hAnsi="Calibri" w:cs="Calibri"/>
            <w:color w:val="0645AD"/>
            <w:sz w:val="22"/>
            <w:szCs w:val="22"/>
            <w:u w:val="none"/>
          </w:rPr>
          <w:t>genre</w:t>
        </w:r>
      </w:hyperlink>
      <w:r w:rsidRPr="0022482E">
        <w:rPr>
          <w:rFonts w:ascii="Calibri" w:hAnsi="Calibri" w:cs="Calibri"/>
          <w:color w:val="202122"/>
          <w:sz w:val="22"/>
          <w:szCs w:val="22"/>
        </w:rPr>
        <w:t> d'</w:t>
      </w:r>
      <w:hyperlink r:id="rId2662" w:tooltip="Rhodophyta" w:history="1">
        <w:r w:rsidRPr="0022482E">
          <w:rPr>
            <w:rStyle w:val="Lienhypertexte"/>
            <w:rFonts w:ascii="Calibri" w:hAnsi="Calibri" w:cs="Calibri"/>
            <w:color w:val="0645AD"/>
            <w:sz w:val="22"/>
            <w:szCs w:val="22"/>
            <w:u w:val="none"/>
          </w:rPr>
          <w:t>algues rouges</w:t>
        </w:r>
      </w:hyperlink>
      <w:r w:rsidRPr="0022482E">
        <w:rPr>
          <w:rFonts w:ascii="Calibri" w:hAnsi="Calibri" w:cs="Calibri"/>
          <w:color w:val="202122"/>
          <w:sz w:val="22"/>
          <w:szCs w:val="22"/>
        </w:rPr>
        <w:t> </w:t>
      </w:r>
      <w:r w:rsidRPr="00ED1622">
        <w:rPr>
          <w:rFonts w:ascii="Calibri" w:hAnsi="Calibri" w:cs="Calibri"/>
          <w:sz w:val="22"/>
          <w:szCs w:val="22"/>
        </w:rPr>
        <w:t>de l</w:t>
      </w:r>
      <w:r w:rsidRPr="0022482E">
        <w:rPr>
          <w:rFonts w:ascii="Calibri" w:hAnsi="Calibri" w:cs="Calibri"/>
          <w:color w:val="202122"/>
          <w:sz w:val="22"/>
          <w:szCs w:val="22"/>
        </w:rPr>
        <w:t>a </w:t>
      </w:r>
      <w:hyperlink r:id="rId2663" w:tooltip="Famille (biologie)" w:history="1">
        <w:r w:rsidRPr="0022482E">
          <w:rPr>
            <w:rStyle w:val="Lienhypertexte"/>
            <w:rFonts w:ascii="Calibri" w:hAnsi="Calibri" w:cs="Calibri"/>
            <w:color w:val="0645AD"/>
            <w:sz w:val="22"/>
            <w:szCs w:val="22"/>
            <w:u w:val="none"/>
          </w:rPr>
          <w:t>famille</w:t>
        </w:r>
      </w:hyperlink>
      <w:r w:rsidRPr="0022482E">
        <w:rPr>
          <w:rFonts w:ascii="Calibri" w:hAnsi="Calibri" w:cs="Calibri"/>
          <w:color w:val="202122"/>
          <w:sz w:val="22"/>
          <w:szCs w:val="22"/>
        </w:rPr>
        <w:t> des </w:t>
      </w:r>
      <w:hyperlink r:id="rId2664" w:tooltip="Gracilariaceae" w:history="1">
        <w:r w:rsidRPr="0022482E">
          <w:rPr>
            <w:rStyle w:val="Lienhypertexte"/>
            <w:rFonts w:ascii="Calibri" w:hAnsi="Calibri" w:cs="Calibri"/>
            <w:i/>
            <w:iCs/>
            <w:color w:val="0645AD"/>
            <w:sz w:val="22"/>
            <w:szCs w:val="22"/>
            <w:u w:val="none"/>
          </w:rPr>
          <w:t>Gracilariaceae</w:t>
        </w:r>
      </w:hyperlink>
      <w:r w:rsidRPr="0022482E">
        <w:rPr>
          <w:rFonts w:ascii="Calibri" w:hAnsi="Calibri" w:cs="Calibri"/>
          <w:color w:val="202122"/>
          <w:sz w:val="22"/>
          <w:szCs w:val="22"/>
        </w:rPr>
        <w:t xml:space="preserve">. </w:t>
      </w:r>
      <w:r w:rsidRPr="00ED1622">
        <w:rPr>
          <w:rFonts w:ascii="Calibri" w:hAnsi="Calibri" w:cs="Calibri"/>
          <w:sz w:val="22"/>
          <w:szCs w:val="22"/>
        </w:rPr>
        <w:t>Certaines espèces du genre sont utilisées dans la </w:t>
      </w:r>
      <w:hyperlink r:id="rId2665" w:tooltip="Cuisine japonaise" w:history="1">
        <w:r w:rsidRPr="0022482E">
          <w:rPr>
            <w:rStyle w:val="Lienhypertexte"/>
            <w:rFonts w:ascii="Calibri" w:hAnsi="Calibri" w:cs="Calibri"/>
            <w:color w:val="0645AD"/>
            <w:sz w:val="22"/>
            <w:szCs w:val="22"/>
            <w:u w:val="none"/>
          </w:rPr>
          <w:t>cuisine japonaise</w:t>
        </w:r>
      </w:hyperlink>
      <w:r w:rsidRPr="0022482E">
        <w:rPr>
          <w:rFonts w:ascii="Calibri" w:hAnsi="Calibri" w:cs="Calibri"/>
          <w:color w:val="202122"/>
          <w:sz w:val="22"/>
          <w:szCs w:val="22"/>
        </w:rPr>
        <w:t> et la </w:t>
      </w:r>
      <w:hyperlink r:id="rId2666" w:tooltip="Cuisine hawaïenne" w:history="1">
        <w:r w:rsidRPr="0022482E">
          <w:rPr>
            <w:rStyle w:val="Lienhypertexte"/>
            <w:rFonts w:ascii="Calibri" w:hAnsi="Calibri" w:cs="Calibri"/>
            <w:color w:val="0645AD"/>
            <w:sz w:val="22"/>
            <w:szCs w:val="22"/>
            <w:u w:val="none"/>
          </w:rPr>
          <w:t>cuisine hawaïenne</w:t>
        </w:r>
      </w:hyperlink>
      <w:r w:rsidRPr="0022482E">
        <w:rPr>
          <w:rFonts w:ascii="Calibri" w:hAnsi="Calibri" w:cs="Calibri"/>
          <w:color w:val="202122"/>
          <w:sz w:val="22"/>
          <w:szCs w:val="22"/>
        </w:rPr>
        <w:t> sous le </w:t>
      </w:r>
      <w:hyperlink r:id="rId2667" w:tooltip="Nom vernaculaire" w:history="1">
        <w:r w:rsidRPr="0022482E">
          <w:rPr>
            <w:rStyle w:val="Lienhypertexte"/>
            <w:rFonts w:ascii="Calibri" w:hAnsi="Calibri" w:cs="Calibri"/>
            <w:color w:val="0645AD"/>
            <w:sz w:val="22"/>
            <w:szCs w:val="22"/>
            <w:u w:val="none"/>
          </w:rPr>
          <w:t>nom vernaculaire</w:t>
        </w:r>
      </w:hyperlink>
      <w:r w:rsidRPr="0022482E">
        <w:rPr>
          <w:rFonts w:ascii="Calibri" w:hAnsi="Calibri" w:cs="Calibri"/>
          <w:color w:val="202122"/>
          <w:sz w:val="22"/>
          <w:szCs w:val="22"/>
        </w:rPr>
        <w:t> </w:t>
      </w:r>
      <w:hyperlink r:id="rId2668" w:tooltip="Ogonori" w:history="1">
        <w:r w:rsidRPr="0022482E">
          <w:rPr>
            <w:rStyle w:val="Lienhypertexte"/>
            <w:rFonts w:ascii="Calibri" w:hAnsi="Calibri" w:cs="Calibri"/>
            <w:color w:val="0645AD"/>
            <w:sz w:val="22"/>
            <w:szCs w:val="22"/>
            <w:u w:val="none"/>
          </w:rPr>
          <w:t>ogonori</w:t>
        </w:r>
      </w:hyperlink>
      <w:r w:rsidRPr="0022482E">
        <w:rPr>
          <w:rFonts w:ascii="Calibri" w:hAnsi="Calibri" w:cs="Calibri"/>
          <w:color w:val="202122"/>
          <w:sz w:val="22"/>
          <w:szCs w:val="22"/>
        </w:rPr>
        <w:t>. A </w:t>
      </w:r>
      <w:hyperlink r:id="rId2669" w:tooltip="Hawaii" w:history="1">
        <w:r w:rsidRPr="0022482E">
          <w:rPr>
            <w:rStyle w:val="Lienhypertexte"/>
            <w:rFonts w:ascii="Calibri" w:hAnsi="Calibri" w:cs="Calibri"/>
            <w:color w:val="0645AD"/>
            <w:sz w:val="22"/>
            <w:szCs w:val="22"/>
            <w:u w:val="none"/>
          </w:rPr>
          <w:t>Hawaii</w:t>
        </w:r>
      </w:hyperlink>
      <w:r w:rsidRPr="0022482E">
        <w:rPr>
          <w:rFonts w:ascii="Calibri" w:hAnsi="Calibri" w:cs="Calibri"/>
          <w:color w:val="202122"/>
          <w:sz w:val="22"/>
          <w:szCs w:val="22"/>
        </w:rPr>
        <w:t xml:space="preserve">, </w:t>
      </w:r>
      <w:r w:rsidRPr="00ED1622">
        <w:rPr>
          <w:rFonts w:ascii="Calibri" w:hAnsi="Calibri" w:cs="Calibri"/>
          <w:sz w:val="22"/>
          <w:szCs w:val="22"/>
        </w:rPr>
        <w:t>il existe une recette de salade contenant des </w:t>
      </w:r>
      <w:hyperlink r:id="rId2670" w:tooltip="Ogonori" w:history="1">
        <w:r w:rsidRPr="0022482E">
          <w:rPr>
            <w:rStyle w:val="Lienhypertexte"/>
            <w:rFonts w:ascii="Calibri" w:hAnsi="Calibri" w:cs="Calibri"/>
            <w:color w:val="0645AD"/>
            <w:sz w:val="22"/>
            <w:szCs w:val="22"/>
            <w:u w:val="none"/>
          </w:rPr>
          <w:t>ogonori</w:t>
        </w:r>
      </w:hyperlink>
      <w:r w:rsidRPr="0022482E">
        <w:rPr>
          <w:rFonts w:ascii="Calibri" w:hAnsi="Calibri" w:cs="Calibri"/>
          <w:color w:val="202122"/>
          <w:sz w:val="22"/>
          <w:szCs w:val="22"/>
        </w:rPr>
        <w:t> appelée </w:t>
      </w:r>
      <w:hyperlink r:id="rId2671" w:tooltip="Poke (salade) (page inexistante)" w:history="1">
        <w:r w:rsidRPr="0022482E">
          <w:rPr>
            <w:rStyle w:val="Lienhypertexte"/>
            <w:rFonts w:ascii="Calibri" w:hAnsi="Calibri" w:cs="Calibri"/>
            <w:color w:val="DD3333"/>
            <w:sz w:val="22"/>
            <w:szCs w:val="22"/>
            <w:u w:val="none"/>
          </w:rPr>
          <w:t>poke</w:t>
        </w:r>
      </w:hyperlink>
      <w:r w:rsidRPr="0022482E">
        <w:rPr>
          <w:rFonts w:ascii="Calibri" w:hAnsi="Calibri" w:cs="Calibri"/>
          <w:color w:val="202122"/>
          <w:sz w:val="22"/>
          <w:szCs w:val="22"/>
        </w:rPr>
        <w:t xml:space="preserve">. </w:t>
      </w:r>
      <w:r w:rsidRPr="00ED1622">
        <w:rPr>
          <w:rFonts w:ascii="Calibri" w:hAnsi="Calibri" w:cs="Calibri"/>
          <w:sz w:val="22"/>
          <w:szCs w:val="22"/>
        </w:rPr>
        <w:t xml:space="preserve">Elles sont aussi consommées sur </w:t>
      </w:r>
      <w:r w:rsidRPr="0022482E">
        <w:rPr>
          <w:rFonts w:ascii="Calibri" w:hAnsi="Calibri" w:cs="Calibri"/>
          <w:color w:val="202122"/>
          <w:sz w:val="22"/>
          <w:szCs w:val="22"/>
        </w:rPr>
        <w:t>l'</w:t>
      </w:r>
      <w:hyperlink r:id="rId2672" w:tooltip="Île de Guam" w:history="1">
        <w:r w:rsidRPr="0022482E">
          <w:rPr>
            <w:rStyle w:val="Lienhypertexte"/>
            <w:rFonts w:ascii="Calibri" w:hAnsi="Calibri" w:cs="Calibri"/>
            <w:color w:val="0645AD"/>
            <w:sz w:val="22"/>
            <w:szCs w:val="22"/>
            <w:u w:val="none"/>
          </w:rPr>
          <w:t>île de Guam</w:t>
        </w:r>
      </w:hyperlink>
      <w:r w:rsidRPr="0022482E">
        <w:rPr>
          <w:rFonts w:ascii="Calibri" w:hAnsi="Calibri" w:cs="Calibri"/>
          <w:color w:val="202122"/>
          <w:sz w:val="22"/>
          <w:szCs w:val="22"/>
        </w:rPr>
        <w:t xml:space="preserve">, </w:t>
      </w:r>
      <w:r w:rsidRPr="00ED1622">
        <w:rPr>
          <w:rFonts w:ascii="Calibri" w:hAnsi="Calibri" w:cs="Calibri"/>
          <w:sz w:val="22"/>
          <w:szCs w:val="22"/>
        </w:rPr>
        <w:t>où le nom </w:t>
      </w:r>
      <w:r w:rsidRPr="00ED1622">
        <w:rPr>
          <w:rFonts w:ascii="Calibri" w:hAnsi="Calibri" w:cs="Calibri"/>
          <w:i/>
          <w:iCs/>
          <w:sz w:val="22"/>
          <w:szCs w:val="22"/>
        </w:rPr>
        <w:t xml:space="preserve">chaguan </w:t>
      </w:r>
      <w:r w:rsidRPr="0082013F">
        <w:rPr>
          <w:rFonts w:ascii="Calibri" w:hAnsi="Calibri" w:cs="Calibri"/>
          <w:i/>
          <w:iCs/>
          <w:sz w:val="22"/>
          <w:szCs w:val="22"/>
        </w:rPr>
        <w:t>tasi</w:t>
      </w:r>
      <w:r w:rsidRPr="0082013F">
        <w:rPr>
          <w:rFonts w:ascii="Calibri" w:hAnsi="Calibri" w:cs="Calibri"/>
          <w:sz w:val="22"/>
          <w:szCs w:val="22"/>
        </w:rPr>
        <w:t> désigne le genre.</w:t>
      </w:r>
      <w:r w:rsidR="00ED1622" w:rsidRPr="0082013F">
        <w:rPr>
          <w:rFonts w:ascii="Calibri" w:hAnsi="Calibri" w:cs="Calibri"/>
          <w:sz w:val="22"/>
          <w:szCs w:val="22"/>
        </w:rPr>
        <w:t xml:space="preserve"> </w:t>
      </w:r>
      <w:r w:rsidRPr="0082013F">
        <w:rPr>
          <w:rFonts w:ascii="Calibri" w:hAnsi="Calibri" w:cs="Calibri"/>
          <w:sz w:val="22"/>
          <w:szCs w:val="22"/>
        </w:rPr>
        <w:t>Aux </w:t>
      </w:r>
      <w:hyperlink r:id="rId2673" w:tooltip="Philippines" w:history="1">
        <w:r w:rsidRPr="0022482E">
          <w:rPr>
            <w:rStyle w:val="Lienhypertexte"/>
            <w:rFonts w:ascii="Calibri" w:hAnsi="Calibri" w:cs="Calibri"/>
            <w:color w:val="0645AD"/>
            <w:sz w:val="22"/>
            <w:szCs w:val="22"/>
            <w:u w:val="none"/>
          </w:rPr>
          <w:t>Philippines</w:t>
        </w:r>
      </w:hyperlink>
      <w:r w:rsidRPr="0022482E">
        <w:rPr>
          <w:rFonts w:ascii="Calibri" w:hAnsi="Calibri" w:cs="Calibri"/>
          <w:color w:val="202122"/>
          <w:sz w:val="22"/>
          <w:szCs w:val="22"/>
        </w:rPr>
        <w:t> </w:t>
      </w:r>
      <w:r w:rsidRPr="00ED1622">
        <w:rPr>
          <w:rFonts w:ascii="Calibri" w:hAnsi="Calibri" w:cs="Calibri"/>
          <w:sz w:val="22"/>
          <w:szCs w:val="22"/>
        </w:rPr>
        <w:t>où elles sont aussi consommées, les algues sont appelées </w:t>
      </w:r>
      <w:r w:rsidRPr="00ED1622">
        <w:rPr>
          <w:rFonts w:ascii="Calibri" w:hAnsi="Calibri" w:cs="Calibri"/>
          <w:i/>
          <w:iCs/>
          <w:sz w:val="22"/>
          <w:szCs w:val="22"/>
        </w:rPr>
        <w:t>gulaman</w:t>
      </w:r>
      <w:r w:rsidRPr="00ED1622">
        <w:rPr>
          <w:rFonts w:ascii="Calibri" w:hAnsi="Calibri" w:cs="Calibri"/>
          <w:sz w:val="22"/>
          <w:szCs w:val="22"/>
        </w:rPr>
        <w:t> ou </w:t>
      </w:r>
      <w:r w:rsidRPr="00ED1622">
        <w:rPr>
          <w:rFonts w:ascii="Calibri" w:hAnsi="Calibri" w:cs="Calibri"/>
          <w:i/>
          <w:iCs/>
          <w:sz w:val="22"/>
          <w:szCs w:val="22"/>
        </w:rPr>
        <w:t>guraman</w:t>
      </w:r>
      <w:r w:rsidRPr="00ED1622">
        <w:rPr>
          <w:rFonts w:ascii="Calibri" w:hAnsi="Calibri" w:cs="Calibri"/>
          <w:sz w:val="22"/>
          <w:szCs w:val="22"/>
        </w:rPr>
        <w:t>.</w:t>
      </w:r>
    </w:p>
    <w:p w14:paraId="024997F3" w14:textId="329B0368" w:rsidR="0022482E" w:rsidRPr="0082013F" w:rsidRDefault="0022482E" w:rsidP="0022482E">
      <w:pPr>
        <w:pStyle w:val="NormalWeb"/>
        <w:shd w:val="clear" w:color="auto" w:fill="FFFFFF"/>
        <w:spacing w:before="0" w:beforeAutospacing="0" w:after="0" w:afterAutospacing="0"/>
        <w:jc w:val="both"/>
        <w:rPr>
          <w:rFonts w:ascii="Calibri" w:hAnsi="Calibri" w:cs="Calibri"/>
          <w:sz w:val="22"/>
          <w:szCs w:val="22"/>
        </w:rPr>
      </w:pPr>
      <w:r w:rsidRPr="00ED1622">
        <w:rPr>
          <w:rFonts w:ascii="Calibri" w:hAnsi="Calibri" w:cs="Calibri"/>
          <w:sz w:val="22"/>
          <w:szCs w:val="22"/>
        </w:rPr>
        <w:t>Ces algues font l'objet d'une aquaculture importante</w:t>
      </w:r>
      <w:r w:rsidR="00ED1622" w:rsidRPr="00ED1622">
        <w:rPr>
          <w:rFonts w:ascii="Calibri" w:hAnsi="Calibri" w:cs="Calibri"/>
          <w:sz w:val="22"/>
          <w:szCs w:val="22"/>
        </w:rPr>
        <w:t>,</w:t>
      </w:r>
      <w:r w:rsidRPr="00ED1622">
        <w:rPr>
          <w:rFonts w:ascii="Calibri" w:hAnsi="Calibri" w:cs="Calibri"/>
          <w:sz w:val="22"/>
          <w:szCs w:val="22"/>
        </w:rPr>
        <w:t xml:space="preserve"> notamment pour pouvoir produire de </w:t>
      </w:r>
      <w:r w:rsidRPr="0022482E">
        <w:rPr>
          <w:rFonts w:ascii="Calibri" w:hAnsi="Calibri" w:cs="Calibri"/>
          <w:color w:val="202122"/>
          <w:sz w:val="22"/>
          <w:szCs w:val="22"/>
        </w:rPr>
        <w:t>l'</w:t>
      </w:r>
      <w:hyperlink r:id="rId2674" w:tooltip="Agar-agar" w:history="1">
        <w:r w:rsidRPr="0022482E">
          <w:rPr>
            <w:rStyle w:val="Lienhypertexte"/>
            <w:rFonts w:ascii="Calibri" w:hAnsi="Calibri" w:cs="Calibri"/>
            <w:color w:val="0645AD"/>
            <w:sz w:val="22"/>
            <w:szCs w:val="22"/>
            <w:u w:val="none"/>
          </w:rPr>
          <w:t>agar-agar</w:t>
        </w:r>
      </w:hyperlink>
      <w:r w:rsidRPr="0022482E">
        <w:rPr>
          <w:rFonts w:ascii="Calibri" w:hAnsi="Calibri" w:cs="Calibri"/>
          <w:color w:val="202122"/>
          <w:sz w:val="22"/>
          <w:szCs w:val="22"/>
        </w:rPr>
        <w:t xml:space="preserve">, </w:t>
      </w:r>
      <w:r w:rsidRPr="00ED1622">
        <w:rPr>
          <w:rFonts w:ascii="Calibri" w:hAnsi="Calibri" w:cs="Calibri"/>
          <w:sz w:val="22"/>
          <w:szCs w:val="22"/>
        </w:rPr>
        <w:t>un gélifiant notamment utilisé dans les produits</w:t>
      </w:r>
      <w:r w:rsidRPr="0022482E">
        <w:rPr>
          <w:rFonts w:ascii="Calibri" w:hAnsi="Calibri" w:cs="Calibri"/>
          <w:color w:val="202122"/>
          <w:sz w:val="22"/>
          <w:szCs w:val="22"/>
        </w:rPr>
        <w:t> </w:t>
      </w:r>
      <w:hyperlink r:id="rId2675" w:tooltip="Hallal" w:history="1">
        <w:r w:rsidRPr="0022482E">
          <w:rPr>
            <w:rStyle w:val="Lienhypertexte"/>
            <w:rFonts w:ascii="Calibri" w:hAnsi="Calibri" w:cs="Calibri"/>
            <w:color w:val="0645AD"/>
            <w:sz w:val="22"/>
            <w:szCs w:val="22"/>
            <w:u w:val="none"/>
          </w:rPr>
          <w:t>Hallal</w:t>
        </w:r>
      </w:hyperlink>
      <w:r w:rsidRPr="0022482E">
        <w:rPr>
          <w:rFonts w:ascii="Calibri" w:hAnsi="Calibri" w:cs="Calibri"/>
          <w:color w:val="202122"/>
          <w:sz w:val="22"/>
          <w:szCs w:val="22"/>
        </w:rPr>
        <w:t>.</w:t>
      </w:r>
      <w:r w:rsidR="0082013F">
        <w:rPr>
          <w:rFonts w:ascii="Calibri" w:hAnsi="Calibri" w:cs="Calibri"/>
          <w:color w:val="202122"/>
          <w:sz w:val="22"/>
          <w:szCs w:val="22"/>
        </w:rPr>
        <w:t xml:space="preserve"> </w:t>
      </w:r>
      <w:r w:rsidR="0082013F" w:rsidRPr="0082013F">
        <w:rPr>
          <w:rFonts w:ascii="Calibri" w:hAnsi="Calibri" w:cs="Calibri"/>
          <w:sz w:val="22"/>
          <w:szCs w:val="22"/>
        </w:rPr>
        <w:t xml:space="preserve">C’est une </w:t>
      </w:r>
      <w:r w:rsidR="0082013F">
        <w:rPr>
          <w:rFonts w:ascii="Calibri" w:hAnsi="Calibri" w:cs="Calibri"/>
          <w:sz w:val="22"/>
          <w:szCs w:val="22"/>
        </w:rPr>
        <w:t xml:space="preserve">algue prisée en aquariophilie, </w:t>
      </w:r>
      <w:r w:rsidR="0082013F" w:rsidRPr="0082013F">
        <w:rPr>
          <w:rFonts w:ascii="Calibri" w:hAnsi="Calibri" w:cs="Calibri"/>
          <w:sz w:val="22"/>
          <w:szCs w:val="22"/>
        </w:rPr>
        <w:t xml:space="preserve">appréciée par les poissons de la familles des </w:t>
      </w:r>
      <w:r w:rsidR="0082013F" w:rsidRPr="0082013F">
        <w:rPr>
          <w:rFonts w:ascii="Calibri" w:hAnsi="Calibri" w:cs="Calibri"/>
          <w:i/>
          <w:iCs/>
          <w:sz w:val="22"/>
          <w:szCs w:val="22"/>
        </w:rPr>
        <w:t>Acanthuridae</w:t>
      </w:r>
      <w:r w:rsidR="0082013F" w:rsidRPr="0082013F">
        <w:rPr>
          <w:rFonts w:ascii="Calibri" w:hAnsi="Calibri" w:cs="Calibri"/>
          <w:sz w:val="22"/>
          <w:szCs w:val="22"/>
        </w:rPr>
        <w:t xml:space="preserve"> </w:t>
      </w:r>
      <w:r w:rsidR="00A546A9">
        <w:rPr>
          <w:rFonts w:ascii="Calibri" w:hAnsi="Calibri" w:cs="Calibri"/>
          <w:sz w:val="22"/>
          <w:szCs w:val="22"/>
        </w:rPr>
        <w:t xml:space="preserve">(poissons chirurgiens) </w:t>
      </w:r>
      <w:r w:rsidR="0082013F" w:rsidRPr="0082013F">
        <w:rPr>
          <w:rFonts w:ascii="Calibri" w:hAnsi="Calibri" w:cs="Calibri"/>
          <w:sz w:val="22"/>
          <w:szCs w:val="22"/>
        </w:rPr>
        <w:t>et de nombreux autres poissons herbivores.</w:t>
      </w:r>
      <w:r w:rsidR="0082013F">
        <w:rPr>
          <w:rFonts w:ascii="Calibri" w:hAnsi="Calibri" w:cs="Calibri"/>
          <w:sz w:val="22"/>
          <w:szCs w:val="22"/>
        </w:rPr>
        <w:t xml:space="preserve"> </w:t>
      </w:r>
    </w:p>
    <w:p w14:paraId="4F222110" w14:textId="39B0C23E" w:rsidR="00FE5025" w:rsidRPr="00FE5025" w:rsidRDefault="00FE5025" w:rsidP="0022482E">
      <w:pPr>
        <w:pStyle w:val="NormalWeb"/>
        <w:shd w:val="clear" w:color="auto" w:fill="FFFFFF"/>
        <w:spacing w:before="0" w:beforeAutospacing="0" w:after="0" w:afterAutospacing="0"/>
        <w:jc w:val="both"/>
        <w:rPr>
          <w:rFonts w:ascii="Calibri" w:hAnsi="Calibri" w:cs="Calibri"/>
          <w:sz w:val="22"/>
          <w:szCs w:val="22"/>
        </w:rPr>
      </w:pPr>
      <w:r w:rsidRPr="00FE5025">
        <w:rPr>
          <w:rFonts w:ascii="Calibri" w:hAnsi="Calibri" w:cs="Calibri"/>
          <w:sz w:val="22"/>
          <w:szCs w:val="22"/>
          <w:u w:val="single"/>
        </w:rPr>
        <w:t>Distribution</w:t>
      </w:r>
      <w:r w:rsidR="008B4D8E">
        <w:rPr>
          <w:rFonts w:ascii="Calibri" w:hAnsi="Calibri" w:cs="Calibri"/>
          <w:sz w:val="22"/>
          <w:szCs w:val="22"/>
        </w:rPr>
        <w:t> </w:t>
      </w:r>
      <w:r w:rsidRPr="00FE5025">
        <w:rPr>
          <w:rFonts w:ascii="Calibri" w:hAnsi="Calibri" w:cs="Calibri"/>
          <w:sz w:val="22"/>
          <w:szCs w:val="22"/>
        </w:rPr>
        <w:t xml:space="preserve">: </w:t>
      </w:r>
      <w:r w:rsidRPr="00FE5025">
        <w:rPr>
          <w:rFonts w:ascii="Calibri" w:hAnsi="Calibri" w:cs="Calibri"/>
          <w:i/>
          <w:iCs/>
          <w:sz w:val="22"/>
          <w:szCs w:val="22"/>
          <w:shd w:val="clear" w:color="auto" w:fill="FFFFFF"/>
        </w:rPr>
        <w:t>Les gracilaria</w:t>
      </w:r>
      <w:r w:rsidRPr="00FE5025">
        <w:rPr>
          <w:rFonts w:ascii="Calibri" w:hAnsi="Calibri" w:cs="Calibri"/>
          <w:sz w:val="22"/>
          <w:szCs w:val="22"/>
          <w:shd w:val="clear" w:color="auto" w:fill="FFFFFF"/>
        </w:rPr>
        <w:t> se trouvent dans les eaux chaudes du monde entier, bien qu</w:t>
      </w:r>
      <w:r w:rsidR="008B4D8E">
        <w:rPr>
          <w:rFonts w:ascii="Calibri" w:hAnsi="Calibri" w:cs="Calibri"/>
          <w:sz w:val="22"/>
          <w:szCs w:val="22"/>
          <w:shd w:val="clear" w:color="auto" w:fill="FFFFFF"/>
        </w:rPr>
        <w:t>’</w:t>
      </w:r>
      <w:r w:rsidRPr="00FE5025">
        <w:rPr>
          <w:rFonts w:ascii="Calibri" w:hAnsi="Calibri" w:cs="Calibri"/>
          <w:sz w:val="22"/>
          <w:szCs w:val="22"/>
          <w:shd w:val="clear" w:color="auto" w:fill="FFFFFF"/>
        </w:rPr>
        <w:t>elles se produisent également de façon saisonnière dans les eaux tempérées. Il ne peut pas tolérer des températures inférieures à 10 °C (50 °F). </w:t>
      </w:r>
      <w:r w:rsidRPr="00FE5025">
        <w:rPr>
          <w:rFonts w:ascii="Calibri" w:hAnsi="Calibri" w:cs="Calibri"/>
          <w:i/>
          <w:iCs/>
          <w:sz w:val="22"/>
          <w:szCs w:val="22"/>
          <w:shd w:val="clear" w:color="auto" w:fill="FFFFFF"/>
        </w:rPr>
        <w:t>Les Gracilaria</w:t>
      </w:r>
      <w:r w:rsidRPr="00FE5025">
        <w:rPr>
          <w:rFonts w:ascii="Calibri" w:hAnsi="Calibri" w:cs="Calibri"/>
          <w:sz w:val="22"/>
          <w:szCs w:val="22"/>
          <w:shd w:val="clear" w:color="auto" w:fill="FFFFFF"/>
        </w:rPr>
        <w:t> se trouvent dans tous les océans à l</w:t>
      </w:r>
      <w:r w:rsidR="008B4D8E">
        <w:rPr>
          <w:rFonts w:ascii="Calibri" w:hAnsi="Calibri" w:cs="Calibri"/>
          <w:sz w:val="22"/>
          <w:szCs w:val="22"/>
          <w:shd w:val="clear" w:color="auto" w:fill="FFFFFF"/>
        </w:rPr>
        <w:t>’</w:t>
      </w:r>
      <w:r w:rsidRPr="00FE5025">
        <w:rPr>
          <w:rFonts w:ascii="Calibri" w:hAnsi="Calibri" w:cs="Calibri"/>
          <w:sz w:val="22"/>
          <w:szCs w:val="22"/>
          <w:shd w:val="clear" w:color="auto" w:fill="FFFFFF"/>
        </w:rPr>
        <w:t>exception de l</w:t>
      </w:r>
      <w:r w:rsidR="008B4D8E">
        <w:rPr>
          <w:rFonts w:ascii="Calibri" w:hAnsi="Calibri" w:cs="Calibri"/>
          <w:sz w:val="22"/>
          <w:szCs w:val="22"/>
          <w:shd w:val="clear" w:color="auto" w:fill="FFFFFF"/>
        </w:rPr>
        <w:t>’</w:t>
      </w:r>
      <w:hyperlink r:id="rId2676" w:tooltip="océan Arctique" w:history="1">
        <w:r w:rsidRPr="00FE5025">
          <w:rPr>
            <w:rStyle w:val="Lienhypertexte"/>
            <w:rFonts w:ascii="Calibri" w:hAnsi="Calibri" w:cs="Calibri"/>
            <w:color w:val="0645AD"/>
            <w:sz w:val="22"/>
            <w:szCs w:val="22"/>
            <w:shd w:val="clear" w:color="auto" w:fill="FFFFFF"/>
          </w:rPr>
          <w:t>Arctique</w:t>
        </w:r>
      </w:hyperlink>
      <w:r w:rsidRPr="00FE5025">
        <w:rPr>
          <w:rFonts w:ascii="Calibri" w:hAnsi="Calibri" w:cs="Calibri"/>
          <w:color w:val="202122"/>
          <w:sz w:val="22"/>
          <w:szCs w:val="22"/>
          <w:shd w:val="clear" w:color="auto" w:fill="FFFFFF"/>
        </w:rPr>
        <w:t>. </w:t>
      </w:r>
      <w:r w:rsidRPr="00FE5025">
        <w:rPr>
          <w:rFonts w:ascii="Calibri" w:hAnsi="Calibri" w:cs="Calibri"/>
          <w:sz w:val="22"/>
          <w:szCs w:val="22"/>
          <w:shd w:val="clear" w:color="auto" w:fill="FFFFFF"/>
        </w:rPr>
        <w:t>Son centre de diversité est le </w:t>
      </w:r>
      <w:hyperlink r:id="rId2677" w:tooltip="Océan Pacifique occidental" w:history="1">
        <w:r w:rsidRPr="00FE5025">
          <w:rPr>
            <w:rStyle w:val="Lienhypertexte"/>
            <w:rFonts w:ascii="Calibri" w:hAnsi="Calibri" w:cs="Calibri"/>
            <w:color w:val="0645AD"/>
            <w:sz w:val="22"/>
            <w:szCs w:val="22"/>
            <w:shd w:val="clear" w:color="auto" w:fill="FFFFFF"/>
          </w:rPr>
          <w:t>Pacifique occidental</w:t>
        </w:r>
      </w:hyperlink>
      <w:r w:rsidRPr="00FE5025">
        <w:rPr>
          <w:rFonts w:ascii="Calibri" w:hAnsi="Calibri" w:cs="Calibri"/>
          <w:color w:val="202122"/>
          <w:sz w:val="22"/>
          <w:szCs w:val="22"/>
          <w:shd w:val="clear" w:color="auto" w:fill="FFFFFF"/>
        </w:rPr>
        <w:t xml:space="preserve">, </w:t>
      </w:r>
      <w:r w:rsidRPr="00FE5025">
        <w:rPr>
          <w:rFonts w:ascii="Calibri" w:hAnsi="Calibri" w:cs="Calibri"/>
          <w:sz w:val="22"/>
          <w:szCs w:val="22"/>
          <w:shd w:val="clear" w:color="auto" w:fill="FFFFFF"/>
        </w:rPr>
        <w:t>où il est traditionnellement cultivé comme source d</w:t>
      </w:r>
      <w:r w:rsidR="008B4D8E">
        <w:rPr>
          <w:rFonts w:ascii="Calibri" w:hAnsi="Calibri" w:cs="Calibri"/>
          <w:sz w:val="22"/>
          <w:szCs w:val="22"/>
          <w:shd w:val="clear" w:color="auto" w:fill="FFFFFF"/>
        </w:rPr>
        <w:t>’</w:t>
      </w:r>
      <w:hyperlink r:id="rId2678" w:tooltip="Gélose" w:history="1">
        <w:r w:rsidRPr="00FE5025">
          <w:rPr>
            <w:rStyle w:val="Lienhypertexte"/>
            <w:rFonts w:ascii="Calibri" w:hAnsi="Calibri" w:cs="Calibri"/>
            <w:color w:val="0645AD"/>
            <w:sz w:val="22"/>
            <w:szCs w:val="22"/>
            <w:shd w:val="clear" w:color="auto" w:fill="FFFFFF"/>
          </w:rPr>
          <w:t>agar</w:t>
        </w:r>
      </w:hyperlink>
      <w:r w:rsidRPr="00FE5025">
        <w:rPr>
          <w:rFonts w:ascii="Calibri" w:hAnsi="Calibri" w:cs="Calibri"/>
          <w:sz w:val="22"/>
          <w:szCs w:val="22"/>
        </w:rPr>
        <w:t>-agar</w:t>
      </w:r>
      <w:r w:rsidRPr="00FE5025">
        <w:rPr>
          <w:rFonts w:ascii="Calibri" w:hAnsi="Calibri" w:cs="Calibri"/>
          <w:color w:val="202122"/>
          <w:sz w:val="22"/>
          <w:szCs w:val="22"/>
          <w:shd w:val="clear" w:color="auto" w:fill="FFFFFF"/>
        </w:rPr>
        <w:t>.</w:t>
      </w:r>
    </w:p>
    <w:p w14:paraId="34481DF5" w14:textId="26798BB9" w:rsidR="0022482E" w:rsidRDefault="00ED1622" w:rsidP="0022482E">
      <w:pPr>
        <w:pStyle w:val="NormalWeb"/>
        <w:shd w:val="clear" w:color="auto" w:fill="FFFFFF"/>
        <w:spacing w:before="0" w:beforeAutospacing="0" w:after="0" w:afterAutospacing="0"/>
        <w:jc w:val="both"/>
        <w:rPr>
          <w:rFonts w:ascii="Calibri" w:hAnsi="Calibri" w:cs="Calibri"/>
          <w:sz w:val="22"/>
          <w:szCs w:val="22"/>
        </w:rPr>
      </w:pPr>
      <w:r w:rsidRPr="00ED1622">
        <w:rPr>
          <w:rFonts w:ascii="Calibri" w:hAnsi="Calibri" w:cs="Calibri"/>
          <w:sz w:val="22"/>
          <w:szCs w:val="22"/>
          <w:u w:val="single"/>
        </w:rPr>
        <w:t>Toxicité</w:t>
      </w:r>
      <w:r w:rsidR="008B4D8E">
        <w:rPr>
          <w:rFonts w:ascii="Calibri" w:hAnsi="Calibri" w:cs="Calibri"/>
          <w:sz w:val="22"/>
          <w:szCs w:val="22"/>
        </w:rPr>
        <w:t> </w:t>
      </w:r>
      <w:r w:rsidRPr="00ED1622">
        <w:rPr>
          <w:rFonts w:ascii="Calibri" w:hAnsi="Calibri" w:cs="Calibri"/>
          <w:sz w:val="22"/>
          <w:szCs w:val="22"/>
        </w:rPr>
        <w:t>: La mort de certains consommateurs sur cette île a entraîné diverses études portant sur une potentielle toxicité du genre</w:t>
      </w:r>
      <w:r w:rsidR="008B4D8E">
        <w:rPr>
          <w:rFonts w:ascii="Calibri" w:hAnsi="Calibri" w:cs="Calibri"/>
          <w:sz w:val="22"/>
          <w:szCs w:val="22"/>
        </w:rPr>
        <w:t> </w:t>
      </w:r>
      <w:r w:rsidRPr="00ED1622">
        <w:rPr>
          <w:rFonts w:ascii="Calibri" w:hAnsi="Calibri" w:cs="Calibri"/>
          <w:sz w:val="22"/>
          <w:szCs w:val="22"/>
        </w:rPr>
        <w:t>; l</w:t>
      </w:r>
      <w:r w:rsidR="008B4D8E">
        <w:rPr>
          <w:rFonts w:ascii="Calibri" w:hAnsi="Calibri" w:cs="Calibri"/>
          <w:sz w:val="22"/>
          <w:szCs w:val="22"/>
        </w:rPr>
        <w:t>’</w:t>
      </w:r>
      <w:r w:rsidRPr="00ED1622">
        <w:rPr>
          <w:rFonts w:ascii="Calibri" w:hAnsi="Calibri" w:cs="Calibri"/>
          <w:sz w:val="22"/>
          <w:szCs w:val="22"/>
        </w:rPr>
        <w:t>hypothèse la plus probable reste la présence de </w:t>
      </w:r>
      <w:hyperlink r:id="rId2679" w:tooltip="Cyanobactéries" w:history="1">
        <w:r w:rsidRPr="00FE5025">
          <w:rPr>
            <w:rStyle w:val="Lienhypertexte"/>
            <w:rFonts w:ascii="Calibri" w:hAnsi="Calibri" w:cs="Calibri"/>
            <w:i/>
            <w:iCs/>
            <w:color w:val="0645AD"/>
            <w:sz w:val="22"/>
            <w:szCs w:val="22"/>
            <w:u w:val="none"/>
          </w:rPr>
          <w:t>Cyanobactéries</w:t>
        </w:r>
      </w:hyperlink>
      <w:r w:rsidRPr="00FE5025">
        <w:rPr>
          <w:rFonts w:ascii="Calibri" w:hAnsi="Calibri" w:cs="Calibri"/>
          <w:i/>
          <w:iCs/>
          <w:color w:val="202122"/>
          <w:sz w:val="22"/>
          <w:szCs w:val="22"/>
        </w:rPr>
        <w:t> </w:t>
      </w:r>
      <w:hyperlink r:id="rId2680" w:tooltip="Toxicité" w:history="1">
        <w:r w:rsidRPr="00FE5025">
          <w:rPr>
            <w:rStyle w:val="Lienhypertexte"/>
            <w:rFonts w:ascii="Calibri" w:hAnsi="Calibri" w:cs="Calibri"/>
            <w:i/>
            <w:iCs/>
            <w:color w:val="0645AD"/>
            <w:sz w:val="22"/>
            <w:szCs w:val="22"/>
            <w:u w:val="none"/>
          </w:rPr>
          <w:t>toxiques</w:t>
        </w:r>
      </w:hyperlink>
      <w:r w:rsidRPr="00FE5025">
        <w:rPr>
          <w:rFonts w:ascii="Calibri" w:hAnsi="Calibri" w:cs="Calibri"/>
          <w:i/>
          <w:iCs/>
          <w:color w:val="202122"/>
          <w:sz w:val="22"/>
          <w:szCs w:val="22"/>
        </w:rPr>
        <w:t> </w:t>
      </w:r>
      <w:hyperlink r:id="rId2681" w:tooltip="Épiphyte" w:history="1">
        <w:r w:rsidRPr="00FE5025">
          <w:rPr>
            <w:rStyle w:val="Lienhypertexte"/>
            <w:rFonts w:ascii="Calibri" w:hAnsi="Calibri" w:cs="Calibri"/>
            <w:i/>
            <w:iCs/>
            <w:color w:val="0645AD"/>
            <w:sz w:val="22"/>
            <w:szCs w:val="22"/>
            <w:u w:val="none"/>
          </w:rPr>
          <w:t>épiphytes</w:t>
        </w:r>
      </w:hyperlink>
      <w:r w:rsidRPr="0022482E">
        <w:rPr>
          <w:rFonts w:ascii="Calibri" w:hAnsi="Calibri" w:cs="Calibri"/>
          <w:color w:val="202122"/>
          <w:sz w:val="22"/>
          <w:szCs w:val="22"/>
        </w:rPr>
        <w:t> </w:t>
      </w:r>
      <w:r w:rsidRPr="00ED1622">
        <w:rPr>
          <w:rFonts w:ascii="Calibri" w:hAnsi="Calibri" w:cs="Calibri"/>
          <w:sz w:val="22"/>
          <w:szCs w:val="22"/>
        </w:rPr>
        <w:t>ayant poussé sur les algues consommées avant les décès.</w:t>
      </w:r>
    </w:p>
    <w:p w14:paraId="689F4A26" w14:textId="011F6EBA" w:rsidR="0082013F" w:rsidRDefault="0082013F" w:rsidP="0022482E">
      <w:pPr>
        <w:pStyle w:val="NormalWeb"/>
        <w:shd w:val="clear" w:color="auto" w:fill="FFFFFF"/>
        <w:spacing w:before="0" w:beforeAutospacing="0" w:after="0" w:afterAutospacing="0"/>
        <w:jc w:val="both"/>
        <w:rPr>
          <w:rFonts w:ascii="Calibri" w:hAnsi="Calibri" w:cs="Calibri"/>
          <w:sz w:val="22"/>
          <w:szCs w:val="22"/>
        </w:rPr>
      </w:pPr>
      <w:r w:rsidRPr="0082013F">
        <w:rPr>
          <w:rFonts w:ascii="Calibri" w:hAnsi="Calibri" w:cs="Calibri"/>
          <w:sz w:val="22"/>
          <w:szCs w:val="22"/>
          <w:u w:val="single"/>
        </w:rPr>
        <w:t>Maladie</w:t>
      </w:r>
      <w:r w:rsidR="008B4D8E">
        <w:rPr>
          <w:rFonts w:ascii="Calibri" w:hAnsi="Calibri" w:cs="Calibri"/>
          <w:sz w:val="22"/>
          <w:szCs w:val="22"/>
        </w:rPr>
        <w:t> </w:t>
      </w:r>
      <w:r>
        <w:rPr>
          <w:rFonts w:ascii="Calibri" w:hAnsi="Calibri" w:cs="Calibri"/>
          <w:sz w:val="22"/>
          <w:szCs w:val="22"/>
        </w:rPr>
        <w:t xml:space="preserve">: </w:t>
      </w:r>
      <w:r w:rsidRPr="0082013F">
        <w:rPr>
          <w:rFonts w:ascii="Calibri" w:hAnsi="Calibri" w:cs="Calibri"/>
          <w:i/>
          <w:iCs/>
          <w:sz w:val="22"/>
          <w:szCs w:val="22"/>
          <w:shd w:val="clear" w:color="auto" w:fill="FFFFFF"/>
        </w:rPr>
        <w:t>Les Gracilaria</w:t>
      </w:r>
      <w:r w:rsidRPr="0082013F">
        <w:rPr>
          <w:rFonts w:ascii="Calibri" w:hAnsi="Calibri" w:cs="Calibri"/>
          <w:sz w:val="22"/>
          <w:szCs w:val="22"/>
          <w:shd w:val="clear" w:color="auto" w:fill="FFFFFF"/>
        </w:rPr>
        <w:t> sont sensibles à l</w:t>
      </w:r>
      <w:r w:rsidR="008B4D8E">
        <w:rPr>
          <w:rFonts w:ascii="Calibri" w:hAnsi="Calibri" w:cs="Calibri"/>
          <w:sz w:val="22"/>
          <w:szCs w:val="22"/>
          <w:shd w:val="clear" w:color="auto" w:fill="FFFFFF"/>
        </w:rPr>
        <w:t>’</w:t>
      </w:r>
      <w:r w:rsidRPr="0082013F">
        <w:rPr>
          <w:rFonts w:ascii="Calibri" w:hAnsi="Calibri" w:cs="Calibri"/>
          <w:sz w:val="22"/>
          <w:szCs w:val="22"/>
          <w:shd w:val="clear" w:color="auto" w:fill="FFFFFF"/>
        </w:rPr>
        <w:t xml:space="preserve">infection par </w:t>
      </w:r>
      <w:r w:rsidRPr="0082013F">
        <w:rPr>
          <w:rFonts w:ascii="Calibri" w:hAnsi="Calibri" w:cs="Calibri"/>
          <w:color w:val="202122"/>
          <w:sz w:val="22"/>
          <w:szCs w:val="22"/>
          <w:shd w:val="clear" w:color="auto" w:fill="FFFFFF"/>
        </w:rPr>
        <w:t>l</w:t>
      </w:r>
      <w:r w:rsidR="008B4D8E">
        <w:rPr>
          <w:rFonts w:ascii="Calibri" w:hAnsi="Calibri" w:cs="Calibri"/>
          <w:color w:val="202122"/>
          <w:sz w:val="22"/>
          <w:szCs w:val="22"/>
          <w:shd w:val="clear" w:color="auto" w:fill="FFFFFF"/>
        </w:rPr>
        <w:t>’</w:t>
      </w:r>
      <w:hyperlink r:id="rId2682" w:tooltip="Oomycete" w:history="1">
        <w:r w:rsidRPr="0082013F">
          <w:rPr>
            <w:rStyle w:val="Lienhypertexte"/>
            <w:rFonts w:ascii="Calibri" w:hAnsi="Calibri" w:cs="Calibri"/>
            <w:color w:val="0645AD"/>
            <w:sz w:val="22"/>
            <w:szCs w:val="22"/>
            <w:shd w:val="clear" w:color="auto" w:fill="FFFFFF"/>
          </w:rPr>
          <w:t>oomycète </w:t>
        </w:r>
      </w:hyperlink>
      <w:hyperlink r:id="rId2683" w:tooltip="Parasitisme" w:history="1">
        <w:r w:rsidRPr="0082013F">
          <w:rPr>
            <w:rStyle w:val="Lienhypertexte"/>
            <w:rFonts w:ascii="Calibri" w:hAnsi="Calibri" w:cs="Calibri"/>
            <w:color w:val="0645AD"/>
            <w:sz w:val="22"/>
            <w:szCs w:val="22"/>
            <w:shd w:val="clear" w:color="auto" w:fill="FFFFFF"/>
          </w:rPr>
          <w:t>parasite </w:t>
        </w:r>
      </w:hyperlink>
      <w:hyperlink r:id="rId2684" w:tooltip="Pythium porphyrae" w:history="1">
        <w:r w:rsidRPr="0082013F">
          <w:rPr>
            <w:rStyle w:val="Lienhypertexte"/>
            <w:rFonts w:ascii="Calibri" w:hAnsi="Calibri" w:cs="Calibri"/>
            <w:i/>
            <w:iCs/>
            <w:color w:val="0645AD"/>
            <w:sz w:val="22"/>
            <w:szCs w:val="22"/>
            <w:shd w:val="clear" w:color="auto" w:fill="FFFFFF"/>
          </w:rPr>
          <w:t>Pythium porphyrae</w:t>
        </w:r>
      </w:hyperlink>
      <w:r>
        <w:rPr>
          <w:rFonts w:ascii="Calibri" w:hAnsi="Calibri" w:cs="Calibri"/>
          <w:sz w:val="22"/>
          <w:szCs w:val="22"/>
        </w:rPr>
        <w:t>.</w:t>
      </w:r>
    </w:p>
    <w:p w14:paraId="17B71CB7" w14:textId="1C4804F3" w:rsidR="00ED1622" w:rsidRPr="00ED1622" w:rsidRDefault="00ED1622" w:rsidP="0022482E">
      <w:pPr>
        <w:pStyle w:val="NormalWeb"/>
        <w:shd w:val="clear" w:color="auto" w:fill="FFFFFF"/>
        <w:spacing w:before="0" w:beforeAutospacing="0" w:after="0" w:afterAutospacing="0"/>
        <w:jc w:val="both"/>
        <w:rPr>
          <w:rFonts w:ascii="Calibri" w:hAnsi="Calibri" w:cs="Calibri"/>
          <w:sz w:val="22"/>
          <w:szCs w:val="22"/>
        </w:rPr>
      </w:pPr>
      <w:r>
        <w:rPr>
          <w:rFonts w:ascii="Calibri" w:hAnsi="Calibri" w:cs="Calibri"/>
          <w:sz w:val="22"/>
          <w:szCs w:val="22"/>
        </w:rPr>
        <w:t>Sources</w:t>
      </w:r>
      <w:r w:rsidR="008B4D8E">
        <w:rPr>
          <w:rFonts w:ascii="Calibri" w:hAnsi="Calibri" w:cs="Calibri"/>
          <w:sz w:val="22"/>
          <w:szCs w:val="22"/>
        </w:rPr>
        <w:t> </w:t>
      </w:r>
      <w:r>
        <w:rPr>
          <w:rFonts w:ascii="Calibri" w:hAnsi="Calibri" w:cs="Calibri"/>
          <w:sz w:val="22"/>
          <w:szCs w:val="22"/>
        </w:rPr>
        <w:t xml:space="preserve">: a) </w:t>
      </w:r>
      <w:hyperlink r:id="rId2685" w:history="1">
        <w:r w:rsidRPr="00224761">
          <w:rPr>
            <w:rStyle w:val="Lienhypertexte"/>
            <w:rFonts w:ascii="Calibri" w:hAnsi="Calibri" w:cs="Calibri"/>
            <w:sz w:val="22"/>
            <w:szCs w:val="22"/>
          </w:rPr>
          <w:t>https</w:t>
        </w:r>
        <w:r w:rsidR="008B4D8E">
          <w:rPr>
            <w:rStyle w:val="Lienhypertexte"/>
            <w:rFonts w:ascii="Calibri" w:hAnsi="Calibri" w:cs="Calibri"/>
            <w:sz w:val="22"/>
            <w:szCs w:val="22"/>
          </w:rPr>
          <w:t> </w:t>
        </w:r>
        <w:r w:rsidRPr="00224761">
          <w:rPr>
            <w:rStyle w:val="Lienhypertexte"/>
            <w:rFonts w:ascii="Calibri" w:hAnsi="Calibri" w:cs="Calibri"/>
            <w:sz w:val="22"/>
            <w:szCs w:val="22"/>
          </w:rPr>
          <w:t>://fr.wikipedia.org/wiki/Gracilaria</w:t>
        </w:r>
      </w:hyperlink>
      <w:r>
        <w:rPr>
          <w:rFonts w:ascii="Calibri" w:hAnsi="Calibri" w:cs="Calibri"/>
          <w:sz w:val="22"/>
          <w:szCs w:val="22"/>
        </w:rPr>
        <w:t xml:space="preserve">, b) </w:t>
      </w:r>
      <w:hyperlink r:id="rId2686" w:history="1">
        <w:r w:rsidRPr="00224761">
          <w:rPr>
            <w:rStyle w:val="Lienhypertexte"/>
            <w:rFonts w:ascii="Calibri" w:hAnsi="Calibri" w:cs="Calibri"/>
            <w:sz w:val="22"/>
            <w:szCs w:val="22"/>
          </w:rPr>
          <w:t>https</w:t>
        </w:r>
        <w:r w:rsidR="008B4D8E">
          <w:rPr>
            <w:rStyle w:val="Lienhypertexte"/>
            <w:rFonts w:ascii="Calibri" w:hAnsi="Calibri" w:cs="Calibri"/>
            <w:sz w:val="22"/>
            <w:szCs w:val="22"/>
          </w:rPr>
          <w:t> </w:t>
        </w:r>
        <w:r w:rsidRPr="00224761">
          <w:rPr>
            <w:rStyle w:val="Lienhypertexte"/>
            <w:rFonts w:ascii="Calibri" w:hAnsi="Calibri" w:cs="Calibri"/>
            <w:sz w:val="22"/>
            <w:szCs w:val="22"/>
          </w:rPr>
          <w:t>://en.wikipedia.org/wiki/Gracilaria</w:t>
        </w:r>
      </w:hyperlink>
      <w:r>
        <w:rPr>
          <w:rFonts w:ascii="Calibri" w:hAnsi="Calibri" w:cs="Calibri"/>
          <w:sz w:val="22"/>
          <w:szCs w:val="22"/>
        </w:rPr>
        <w:t xml:space="preserve"> </w:t>
      </w:r>
    </w:p>
    <w:p w14:paraId="41128D9F" w14:textId="6EA4EF26" w:rsidR="0022482E" w:rsidRDefault="0022482E" w:rsidP="0022482E">
      <w:pPr>
        <w:pStyle w:val="NormalWeb"/>
        <w:shd w:val="clear" w:color="auto" w:fill="FFFFFF"/>
        <w:spacing w:before="0" w:beforeAutospacing="0" w:after="0" w:afterAutospacing="0"/>
        <w:jc w:val="both"/>
        <w:rPr>
          <w:rFonts w:ascii="Calibri" w:hAnsi="Calibri" w:cs="Calibri"/>
          <w:sz w:val="22"/>
          <w:szCs w:val="2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ED1622" w14:paraId="72F186D2" w14:textId="77777777" w:rsidTr="00FE5025">
        <w:tc>
          <w:tcPr>
            <w:tcW w:w="3472" w:type="dxa"/>
          </w:tcPr>
          <w:p w14:paraId="425D0F77" w14:textId="77777777" w:rsidR="00ED1622" w:rsidRDefault="00FE5025" w:rsidP="00ED1622">
            <w:pPr>
              <w:pStyle w:val="NormalWeb"/>
              <w:spacing w:before="0" w:beforeAutospacing="0" w:after="0" w:afterAutospacing="0"/>
              <w:jc w:val="center"/>
              <w:rPr>
                <w:rFonts w:ascii="Calibri" w:hAnsi="Calibri" w:cs="Calibri"/>
                <w:sz w:val="22"/>
                <w:szCs w:val="22"/>
              </w:rPr>
            </w:pPr>
            <w:r>
              <w:rPr>
                <w:noProof/>
              </w:rPr>
              <w:drawing>
                <wp:inline distT="0" distB="0" distL="0" distR="0" wp14:anchorId="0E176537" wp14:editId="794CB29C">
                  <wp:extent cx="1936160" cy="1457325"/>
                  <wp:effectExtent l="0" t="0" r="6985" b="0"/>
                  <wp:docPr id="48141" name="Image 48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2687">
                            <a:extLst>
                              <a:ext uri="{28A0092B-C50C-407E-A947-70E740481C1C}">
                                <a14:useLocalDpi xmlns:a14="http://schemas.microsoft.com/office/drawing/2010/main" val="0"/>
                              </a:ext>
                            </a:extLst>
                          </a:blip>
                          <a:srcRect/>
                          <a:stretch>
                            <a:fillRect/>
                          </a:stretch>
                        </pic:blipFill>
                        <pic:spPr bwMode="auto">
                          <a:xfrm>
                            <a:off x="0" y="0"/>
                            <a:ext cx="1941401" cy="1461270"/>
                          </a:xfrm>
                          <a:prstGeom prst="rect">
                            <a:avLst/>
                          </a:prstGeom>
                          <a:noFill/>
                          <a:ln>
                            <a:noFill/>
                          </a:ln>
                        </pic:spPr>
                      </pic:pic>
                    </a:graphicData>
                  </a:graphic>
                </wp:inline>
              </w:drawing>
            </w:r>
          </w:p>
          <w:p w14:paraId="357E3243" w14:textId="051BE9A7" w:rsidR="00FE5025" w:rsidRPr="00FE5025" w:rsidRDefault="00FE5025" w:rsidP="00ED1622">
            <w:pPr>
              <w:pStyle w:val="NormalWeb"/>
              <w:spacing w:before="0" w:beforeAutospacing="0" w:after="0" w:afterAutospacing="0"/>
              <w:jc w:val="center"/>
              <w:rPr>
                <w:rFonts w:ascii="Calibri" w:hAnsi="Calibri" w:cs="Calibri"/>
                <w:sz w:val="22"/>
                <w:szCs w:val="22"/>
              </w:rPr>
            </w:pPr>
            <w:r w:rsidRPr="00FE5025">
              <w:rPr>
                <w:rFonts w:ascii="Calibri" w:hAnsi="Calibri" w:cs="Calibri"/>
                <w:i/>
                <w:iCs/>
                <w:color w:val="202122"/>
                <w:sz w:val="22"/>
                <w:szCs w:val="22"/>
              </w:rPr>
              <w:t>Gracilaria</w:t>
            </w:r>
          </w:p>
        </w:tc>
        <w:tc>
          <w:tcPr>
            <w:tcW w:w="3472" w:type="dxa"/>
          </w:tcPr>
          <w:p w14:paraId="35C4400F" w14:textId="77777777" w:rsidR="00ED1622" w:rsidRDefault="00FE5025" w:rsidP="00ED1622">
            <w:pPr>
              <w:pStyle w:val="NormalWeb"/>
              <w:spacing w:before="0" w:beforeAutospacing="0" w:after="0" w:afterAutospacing="0"/>
              <w:jc w:val="center"/>
              <w:rPr>
                <w:rFonts w:ascii="Calibri" w:hAnsi="Calibri" w:cs="Calibri"/>
                <w:sz w:val="22"/>
                <w:szCs w:val="22"/>
              </w:rPr>
            </w:pPr>
            <w:r>
              <w:rPr>
                <w:noProof/>
              </w:rPr>
              <w:drawing>
                <wp:inline distT="0" distB="0" distL="0" distR="0" wp14:anchorId="6F1E3B2A" wp14:editId="75D0B73C">
                  <wp:extent cx="2028825" cy="1457325"/>
                  <wp:effectExtent l="0" t="0" r="9525" b="9525"/>
                  <wp:docPr id="48134" name="Image 48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8"/>
                          <a:stretch>
                            <a:fillRect/>
                          </a:stretch>
                        </pic:blipFill>
                        <pic:spPr>
                          <a:xfrm>
                            <a:off x="0" y="0"/>
                            <a:ext cx="2028825" cy="1457325"/>
                          </a:xfrm>
                          <a:prstGeom prst="rect">
                            <a:avLst/>
                          </a:prstGeom>
                        </pic:spPr>
                      </pic:pic>
                    </a:graphicData>
                  </a:graphic>
                </wp:inline>
              </w:drawing>
            </w:r>
          </w:p>
          <w:p w14:paraId="455AF441" w14:textId="1DB14E0B" w:rsidR="00FE5025" w:rsidRDefault="00FE5025" w:rsidP="00ED1622">
            <w:pPr>
              <w:pStyle w:val="NormalWeb"/>
              <w:spacing w:before="0" w:beforeAutospacing="0" w:after="0" w:afterAutospacing="0"/>
              <w:jc w:val="center"/>
              <w:rPr>
                <w:rFonts w:ascii="Calibri" w:hAnsi="Calibri" w:cs="Calibri"/>
                <w:sz w:val="22"/>
                <w:szCs w:val="22"/>
              </w:rPr>
            </w:pPr>
            <w:r>
              <w:rPr>
                <w:rFonts w:ascii="Calibri" w:hAnsi="Calibri" w:cs="Calibri"/>
                <w:sz w:val="22"/>
                <w:szCs w:val="22"/>
              </w:rPr>
              <w:t>Ogonori.</w:t>
            </w:r>
          </w:p>
        </w:tc>
        <w:tc>
          <w:tcPr>
            <w:tcW w:w="3472" w:type="dxa"/>
          </w:tcPr>
          <w:p w14:paraId="78A82E84" w14:textId="75570171" w:rsidR="00FE5025" w:rsidRDefault="00FE5025" w:rsidP="00ED1622">
            <w:pPr>
              <w:pStyle w:val="NormalWeb"/>
              <w:spacing w:before="0" w:beforeAutospacing="0" w:after="0" w:afterAutospacing="0"/>
              <w:jc w:val="center"/>
              <w:rPr>
                <w:rFonts w:ascii="Arial" w:hAnsi="Arial" w:cs="Arial"/>
                <w:i/>
                <w:iCs/>
                <w:color w:val="202122"/>
                <w:sz w:val="19"/>
                <w:szCs w:val="19"/>
                <w:shd w:val="clear" w:color="auto" w:fill="F8F9FA"/>
              </w:rPr>
            </w:pPr>
            <w:r>
              <w:rPr>
                <w:noProof/>
              </w:rPr>
              <w:drawing>
                <wp:inline distT="0" distB="0" distL="0" distR="0" wp14:anchorId="37EA52BB" wp14:editId="00A83A14">
                  <wp:extent cx="1894562" cy="1257300"/>
                  <wp:effectExtent l="0" t="0" r="0" b="0"/>
                  <wp:docPr id="48139" name="Image 48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2689">
                            <a:extLst>
                              <a:ext uri="{28A0092B-C50C-407E-A947-70E740481C1C}">
                                <a14:useLocalDpi xmlns:a14="http://schemas.microsoft.com/office/drawing/2010/main" val="0"/>
                              </a:ext>
                            </a:extLst>
                          </a:blip>
                          <a:srcRect/>
                          <a:stretch>
                            <a:fillRect/>
                          </a:stretch>
                        </pic:blipFill>
                        <pic:spPr bwMode="auto">
                          <a:xfrm>
                            <a:off x="0" y="0"/>
                            <a:ext cx="1896324" cy="1258470"/>
                          </a:xfrm>
                          <a:prstGeom prst="rect">
                            <a:avLst/>
                          </a:prstGeom>
                          <a:noFill/>
                          <a:ln>
                            <a:noFill/>
                          </a:ln>
                        </pic:spPr>
                      </pic:pic>
                    </a:graphicData>
                  </a:graphic>
                </wp:inline>
              </w:drawing>
            </w:r>
          </w:p>
          <w:p w14:paraId="4D593921" w14:textId="360BAAE7" w:rsidR="00ED1622" w:rsidRDefault="00FE5025" w:rsidP="00ED1622">
            <w:pPr>
              <w:pStyle w:val="NormalWeb"/>
              <w:spacing w:before="0" w:beforeAutospacing="0" w:after="0" w:afterAutospacing="0"/>
              <w:jc w:val="center"/>
              <w:rPr>
                <w:rFonts w:ascii="Calibri" w:hAnsi="Calibri" w:cs="Calibri"/>
                <w:sz w:val="22"/>
                <w:szCs w:val="22"/>
              </w:rPr>
            </w:pPr>
            <w:r>
              <w:rPr>
                <w:rFonts w:ascii="Arial" w:hAnsi="Arial" w:cs="Arial"/>
                <w:i/>
                <w:iCs/>
                <w:color w:val="202122"/>
                <w:sz w:val="19"/>
                <w:szCs w:val="19"/>
                <w:shd w:val="clear" w:color="auto" w:fill="F8F9FA"/>
              </w:rPr>
              <w:t>Kkosiraegi- </w:t>
            </w:r>
            <w:hyperlink r:id="rId2690" w:tooltip="Muchim" w:history="1">
              <w:r>
                <w:rPr>
                  <w:rStyle w:val="Lienhypertexte"/>
                  <w:rFonts w:ascii="Arial" w:hAnsi="Arial" w:cs="Arial"/>
                  <w:i/>
                  <w:iCs/>
                  <w:color w:val="0645AD"/>
                  <w:sz w:val="19"/>
                  <w:szCs w:val="19"/>
                  <w:shd w:val="clear" w:color="auto" w:fill="F8F9FA"/>
                </w:rPr>
                <w:t>muchim</w:t>
              </w:r>
            </w:hyperlink>
            <w:r>
              <w:rPr>
                <w:rFonts w:ascii="Arial" w:hAnsi="Arial" w:cs="Arial"/>
                <w:color w:val="202122"/>
                <w:sz w:val="19"/>
                <w:szCs w:val="19"/>
                <w:shd w:val="clear" w:color="auto" w:fill="F8F9FA"/>
              </w:rPr>
              <w:t> (gracilaria assaisonné)</w:t>
            </w:r>
          </w:p>
        </w:tc>
      </w:tr>
    </w:tbl>
    <w:p w14:paraId="4877695C" w14:textId="0A4F49CB" w:rsidR="00ED1622" w:rsidRDefault="00ED1622" w:rsidP="008B4D8E">
      <w:pPr>
        <w:pStyle w:val="NormalWeb"/>
        <w:shd w:val="clear" w:color="auto" w:fill="FFFFFF"/>
        <w:spacing w:before="0" w:beforeAutospacing="0" w:after="0" w:afterAutospacing="0"/>
        <w:rPr>
          <w:rFonts w:ascii="Calibri" w:hAnsi="Calibri" w:cs="Calibri"/>
          <w:sz w:val="22"/>
          <w:szCs w:val="22"/>
        </w:rPr>
      </w:pPr>
    </w:p>
    <w:p w14:paraId="1ECEA366" w14:textId="238E848B" w:rsidR="008B4D8E" w:rsidRDefault="008B4D8E" w:rsidP="00C5410D">
      <w:pPr>
        <w:pStyle w:val="Titre2"/>
      </w:pPr>
      <w:bookmarkStart w:id="217" w:name="_Toc139181508"/>
      <w:r w:rsidRPr="008B4D8E">
        <w:t>Goémon blanc</w:t>
      </w:r>
      <w:r>
        <w:t xml:space="preserve"> ou </w:t>
      </w:r>
      <w:r w:rsidRPr="008B4D8E">
        <w:t xml:space="preserve">crépu, </w:t>
      </w:r>
      <w:r>
        <w:t>m</w:t>
      </w:r>
      <w:r w:rsidRPr="008B4D8E">
        <w:t>ousse d'Irlande ou Carragheen (</w:t>
      </w:r>
      <w:r w:rsidRPr="008B4D8E">
        <w:rPr>
          <w:i/>
          <w:iCs/>
        </w:rPr>
        <w:t>Chondrus crispus</w:t>
      </w:r>
      <w:r w:rsidRPr="008B4D8E">
        <w:t>)</w:t>
      </w:r>
      <w:bookmarkEnd w:id="217"/>
    </w:p>
    <w:p w14:paraId="6C6FFDEE" w14:textId="55848035" w:rsidR="0082013F" w:rsidRPr="002F41F9" w:rsidRDefault="0082013F" w:rsidP="0082013F">
      <w:pPr>
        <w:pStyle w:val="NormalWeb"/>
        <w:shd w:val="clear" w:color="auto" w:fill="FFFFFF"/>
        <w:spacing w:before="0" w:beforeAutospacing="0" w:after="0" w:afterAutospacing="0"/>
        <w:rPr>
          <w:rFonts w:ascii="Calibri" w:hAnsi="Calibri" w:cs="Calibri"/>
          <w:sz w:val="22"/>
          <w:szCs w:val="22"/>
        </w:rPr>
      </w:pPr>
    </w:p>
    <w:p w14:paraId="57375B93" w14:textId="066923D2" w:rsidR="008B4D8E" w:rsidRPr="009D2858" w:rsidRDefault="002F41F9" w:rsidP="008B4D8E">
      <w:pPr>
        <w:pStyle w:val="NormalWeb"/>
        <w:shd w:val="clear" w:color="auto" w:fill="FFFFFF"/>
        <w:spacing w:before="0" w:beforeAutospacing="0" w:after="0" w:afterAutospacing="0"/>
        <w:jc w:val="both"/>
        <w:rPr>
          <w:rFonts w:ascii="Calibri" w:hAnsi="Calibri" w:cs="Calibri"/>
          <w:sz w:val="22"/>
          <w:szCs w:val="22"/>
          <w:shd w:val="clear" w:color="auto" w:fill="FFFFFF"/>
        </w:rPr>
      </w:pPr>
      <w:r w:rsidRPr="002F41F9">
        <w:rPr>
          <w:rFonts w:ascii="Calibri" w:hAnsi="Calibri" w:cs="Calibri"/>
          <w:sz w:val="22"/>
          <w:szCs w:val="22"/>
        </w:rPr>
        <w:t xml:space="preserve">Pour mention : </w:t>
      </w:r>
      <w:r w:rsidRPr="009D2858">
        <w:rPr>
          <w:rFonts w:ascii="Calibri" w:hAnsi="Calibri" w:cs="Calibri"/>
          <w:sz w:val="22"/>
          <w:szCs w:val="22"/>
        </w:rPr>
        <w:t>C’</w:t>
      </w:r>
      <w:r w:rsidRPr="009D2858">
        <w:rPr>
          <w:rFonts w:ascii="Calibri" w:hAnsi="Calibri" w:cs="Calibri"/>
          <w:sz w:val="22"/>
          <w:szCs w:val="22"/>
          <w:shd w:val="clear" w:color="auto" w:fill="FFFFFF"/>
        </w:rPr>
        <w:t>est une</w:t>
      </w:r>
      <w:r w:rsidR="007C5724">
        <w:rPr>
          <w:rFonts w:ascii="Calibri" w:hAnsi="Calibri" w:cs="Calibri"/>
          <w:sz w:val="22"/>
          <w:szCs w:val="22"/>
          <w:shd w:val="clear" w:color="auto" w:fill="FFFFFF"/>
        </w:rPr>
        <w:t xml:space="preserve"> petite</w:t>
      </w:r>
      <w:r w:rsidRPr="009D2858">
        <w:rPr>
          <w:rFonts w:ascii="Calibri" w:hAnsi="Calibri" w:cs="Calibri"/>
          <w:sz w:val="22"/>
          <w:szCs w:val="22"/>
          <w:shd w:val="clear" w:color="auto" w:fill="FFFFFF"/>
        </w:rPr>
        <w:t xml:space="preserve"> espèce </w:t>
      </w:r>
      <w:r w:rsidRPr="009D2858">
        <w:rPr>
          <w:rFonts w:ascii="Calibri" w:hAnsi="Calibri" w:cs="Calibri"/>
          <w:color w:val="202122"/>
          <w:sz w:val="22"/>
          <w:szCs w:val="22"/>
          <w:shd w:val="clear" w:color="auto" w:fill="FFFFFF"/>
        </w:rPr>
        <w:t>d'</w:t>
      </w:r>
      <w:hyperlink r:id="rId2691" w:tooltip="Rhodophyta" w:history="1">
        <w:r w:rsidRPr="009D2858">
          <w:rPr>
            <w:rStyle w:val="Lienhypertexte"/>
            <w:rFonts w:ascii="Calibri" w:hAnsi="Calibri" w:cs="Calibri"/>
            <w:color w:val="0645AD"/>
            <w:sz w:val="22"/>
            <w:szCs w:val="22"/>
            <w:shd w:val="clear" w:color="auto" w:fill="FFFFFF"/>
          </w:rPr>
          <w:t>algues rouges</w:t>
        </w:r>
      </w:hyperlink>
      <w:r w:rsidRPr="009D2858">
        <w:rPr>
          <w:rFonts w:ascii="Calibri" w:hAnsi="Calibri" w:cs="Calibri"/>
          <w:color w:val="202122"/>
          <w:sz w:val="22"/>
          <w:szCs w:val="22"/>
          <w:shd w:val="clear" w:color="auto" w:fill="FFFFFF"/>
        </w:rPr>
        <w:t> de la famille des </w:t>
      </w:r>
      <w:hyperlink r:id="rId2692" w:tooltip="Gigartinaceae" w:history="1">
        <w:r w:rsidRPr="009D2858">
          <w:rPr>
            <w:rStyle w:val="Lienhypertexte"/>
            <w:rFonts w:ascii="Calibri" w:hAnsi="Calibri" w:cs="Calibri"/>
            <w:i/>
            <w:iCs/>
            <w:color w:val="0645AD"/>
            <w:sz w:val="22"/>
            <w:szCs w:val="22"/>
            <w:shd w:val="clear" w:color="auto" w:fill="FFFFFF"/>
          </w:rPr>
          <w:t>Gigartinaceae</w:t>
        </w:r>
      </w:hyperlink>
      <w:r w:rsidRPr="009D2858">
        <w:rPr>
          <w:rFonts w:ascii="Calibri" w:hAnsi="Calibri" w:cs="Calibri"/>
          <w:color w:val="202122"/>
          <w:sz w:val="22"/>
          <w:szCs w:val="22"/>
          <w:shd w:val="clear" w:color="auto" w:fill="FFFFFF"/>
        </w:rPr>
        <w:t xml:space="preserve">, </w:t>
      </w:r>
      <w:r w:rsidRPr="009D2858">
        <w:rPr>
          <w:rFonts w:ascii="Calibri" w:hAnsi="Calibri" w:cs="Calibri"/>
          <w:sz w:val="22"/>
          <w:szCs w:val="22"/>
          <w:shd w:val="clear" w:color="auto" w:fill="FFFFFF"/>
        </w:rPr>
        <w:t xml:space="preserve">des mers froides. Elle est </w:t>
      </w:r>
      <w:r w:rsidR="00890B77">
        <w:rPr>
          <w:rFonts w:ascii="Calibri" w:hAnsi="Calibri" w:cs="Calibri"/>
          <w:sz w:val="22"/>
          <w:szCs w:val="22"/>
          <w:shd w:val="clear" w:color="auto" w:fill="FFFFFF"/>
        </w:rPr>
        <w:t xml:space="preserve">(non-cultivée et) </w:t>
      </w:r>
      <w:r w:rsidRPr="009D2858">
        <w:rPr>
          <w:rFonts w:ascii="Calibri" w:hAnsi="Calibri" w:cs="Calibri"/>
          <w:sz w:val="22"/>
          <w:szCs w:val="22"/>
          <w:shd w:val="clear" w:color="auto" w:fill="FFFFFF"/>
        </w:rPr>
        <w:t>récoltée pour produire des</w:t>
      </w:r>
      <w:r w:rsidRPr="009D2858">
        <w:rPr>
          <w:rFonts w:ascii="Calibri" w:hAnsi="Calibri" w:cs="Calibri"/>
          <w:color w:val="202122"/>
          <w:sz w:val="22"/>
          <w:szCs w:val="22"/>
          <w:shd w:val="clear" w:color="auto" w:fill="FFFFFF"/>
        </w:rPr>
        <w:t> </w:t>
      </w:r>
      <w:hyperlink r:id="rId2693" w:history="1">
        <w:r w:rsidRPr="009D2858">
          <w:rPr>
            <w:rStyle w:val="Lienhypertexte"/>
            <w:rFonts w:ascii="Calibri" w:hAnsi="Calibri" w:cs="Calibri"/>
            <w:color w:val="0645AD"/>
            <w:sz w:val="22"/>
            <w:szCs w:val="22"/>
            <w:shd w:val="clear" w:color="auto" w:fill="FFFFFF"/>
          </w:rPr>
          <w:t>carraghénanes</w:t>
        </w:r>
      </w:hyperlink>
      <w:r w:rsidRPr="009D2858">
        <w:rPr>
          <w:rFonts w:ascii="Calibri" w:hAnsi="Calibri" w:cs="Calibri"/>
          <w:color w:val="202122"/>
          <w:sz w:val="22"/>
          <w:szCs w:val="22"/>
          <w:shd w:val="clear" w:color="auto" w:fill="FFFFFF"/>
        </w:rPr>
        <w:t>.</w:t>
      </w:r>
      <w:r w:rsidR="007C5724">
        <w:rPr>
          <w:rFonts w:ascii="Calibri" w:hAnsi="Calibri" w:cs="Calibri"/>
          <w:sz w:val="22"/>
          <w:szCs w:val="22"/>
          <w:shd w:val="clear" w:color="auto" w:fill="FFFFFF"/>
        </w:rPr>
        <w:t xml:space="preserve"> T</w:t>
      </w:r>
      <w:r w:rsidR="009D2858" w:rsidRPr="009D2858">
        <w:rPr>
          <w:rFonts w:ascii="Calibri" w:hAnsi="Calibri" w:cs="Calibri"/>
          <w:sz w:val="22"/>
          <w:szCs w:val="22"/>
          <w:shd w:val="clear" w:color="auto" w:fill="FFFFFF"/>
        </w:rPr>
        <w:t>rès polymorphe d'aspect,</w:t>
      </w:r>
      <w:r w:rsidR="007C5724">
        <w:rPr>
          <w:rFonts w:ascii="Calibri" w:hAnsi="Calibri" w:cs="Calibri"/>
          <w:sz w:val="22"/>
          <w:szCs w:val="22"/>
          <w:shd w:val="clear" w:color="auto" w:fill="FFFFFF"/>
        </w:rPr>
        <w:t xml:space="preserve"> elle</w:t>
      </w:r>
      <w:r w:rsidR="009D2858" w:rsidRPr="009D2858">
        <w:rPr>
          <w:rFonts w:ascii="Calibri" w:hAnsi="Calibri" w:cs="Calibri"/>
          <w:sz w:val="22"/>
          <w:szCs w:val="22"/>
          <w:shd w:val="clear" w:color="auto" w:fill="FFFFFF"/>
        </w:rPr>
        <w:t xml:space="preserve"> mesure en général entre 7 et 15 </w:t>
      </w:r>
      <w:r w:rsidR="009D2858" w:rsidRPr="009D2858">
        <w:rPr>
          <w:rFonts w:ascii="Calibri" w:hAnsi="Calibri" w:cs="Calibri"/>
          <w:sz w:val="22"/>
          <w:szCs w:val="22"/>
        </w:rPr>
        <w:t>cm</w:t>
      </w:r>
      <w:r w:rsidR="009D2858" w:rsidRPr="009D2858">
        <w:rPr>
          <w:rFonts w:ascii="Calibri" w:hAnsi="Calibri" w:cs="Calibri"/>
          <w:sz w:val="22"/>
          <w:szCs w:val="22"/>
          <w:shd w:val="clear" w:color="auto" w:fill="FFFFFF"/>
        </w:rPr>
        <w:t> de long</w:t>
      </w:r>
      <w:r w:rsidR="007C5724">
        <w:rPr>
          <w:rFonts w:ascii="Calibri" w:hAnsi="Calibri" w:cs="Calibri"/>
          <w:sz w:val="22"/>
          <w:szCs w:val="22"/>
          <w:shd w:val="clear" w:color="auto" w:fill="FFFFFF"/>
        </w:rPr>
        <w:t>, parfois 20 cm</w:t>
      </w:r>
      <w:r w:rsidR="009D2858" w:rsidRPr="009D2858">
        <w:rPr>
          <w:rFonts w:ascii="Calibri" w:hAnsi="Calibri" w:cs="Calibri"/>
          <w:sz w:val="22"/>
          <w:szCs w:val="22"/>
          <w:shd w:val="clear" w:color="auto" w:fill="FFFFFF"/>
        </w:rPr>
        <w:t>. Sa couleur varie de pourpre à vert en passant par le brun, avec de nombreuses nuances intermédiaires. À l'état sec, </w:t>
      </w:r>
      <w:r w:rsidR="007C5724" w:rsidRPr="007C5724">
        <w:rPr>
          <w:rFonts w:ascii="Calibri" w:hAnsi="Calibri" w:cs="Calibri"/>
          <w:sz w:val="22"/>
          <w:szCs w:val="22"/>
          <w:shd w:val="clear" w:color="auto" w:fill="FFFFFF"/>
        </w:rPr>
        <w:t>elle</w:t>
      </w:r>
      <w:r w:rsidR="009D2858" w:rsidRPr="009D2858">
        <w:rPr>
          <w:rFonts w:ascii="Calibri" w:hAnsi="Calibri" w:cs="Calibri"/>
          <w:sz w:val="22"/>
          <w:szCs w:val="22"/>
          <w:shd w:val="clear" w:color="auto" w:fill="FFFFFF"/>
        </w:rPr>
        <w:t xml:space="preserve"> prend un aspect presque corné. </w:t>
      </w:r>
      <w:r w:rsidR="007C5724">
        <w:rPr>
          <w:rFonts w:ascii="Calibri" w:hAnsi="Calibri" w:cs="Calibri"/>
          <w:sz w:val="22"/>
          <w:szCs w:val="22"/>
          <w:shd w:val="clear" w:color="auto" w:fill="FFFFFF"/>
        </w:rPr>
        <w:t>Elle</w:t>
      </w:r>
      <w:r w:rsidR="009D2858" w:rsidRPr="009D2858">
        <w:rPr>
          <w:rFonts w:ascii="Calibri" w:hAnsi="Calibri" w:cs="Calibri"/>
          <w:sz w:val="22"/>
          <w:szCs w:val="22"/>
          <w:shd w:val="clear" w:color="auto" w:fill="FFFFFF"/>
        </w:rPr>
        <w:t xml:space="preserve"> s'attache au substrat par un petit crampon, surmonté d'un </w:t>
      </w:r>
      <w:hyperlink r:id="rId2694" w:tooltip="Stipe (algue)" w:history="1">
        <w:r w:rsidR="009D2858" w:rsidRPr="009D2858">
          <w:rPr>
            <w:rStyle w:val="Lienhypertexte"/>
            <w:rFonts w:ascii="Calibri" w:hAnsi="Calibri" w:cs="Calibri"/>
            <w:color w:val="0645AD"/>
            <w:sz w:val="22"/>
            <w:szCs w:val="22"/>
            <w:shd w:val="clear" w:color="auto" w:fill="FFFFFF"/>
          </w:rPr>
          <w:t>stipe</w:t>
        </w:r>
      </w:hyperlink>
      <w:r w:rsidR="009D2858" w:rsidRPr="009D2858">
        <w:rPr>
          <w:rFonts w:ascii="Calibri" w:hAnsi="Calibri" w:cs="Calibri"/>
          <w:color w:val="202122"/>
          <w:sz w:val="22"/>
          <w:szCs w:val="22"/>
          <w:shd w:val="clear" w:color="auto" w:fill="FFFFFF"/>
        </w:rPr>
        <w:t> </w:t>
      </w:r>
      <w:r w:rsidR="009D2858" w:rsidRPr="009D2858">
        <w:rPr>
          <w:rFonts w:ascii="Calibri" w:hAnsi="Calibri" w:cs="Calibri"/>
          <w:sz w:val="22"/>
          <w:szCs w:val="22"/>
          <w:shd w:val="clear" w:color="auto" w:fill="FFFFFF"/>
        </w:rPr>
        <w:t>fin, qui s'élargit en ramifications très lobées, aplaties, et en partie translucides. Ces lobes, de forme variée, peuvent se subdiviser en lobules, ce qui donne à l'algue un aspect "frisé" (d'où le terme </w:t>
      </w:r>
      <w:r w:rsidR="009D2858" w:rsidRPr="009D2858">
        <w:rPr>
          <w:rFonts w:ascii="Calibri" w:hAnsi="Calibri" w:cs="Calibri"/>
          <w:i/>
          <w:iCs/>
          <w:sz w:val="22"/>
          <w:szCs w:val="22"/>
          <w:shd w:val="clear" w:color="auto" w:fill="FFFFFF"/>
        </w:rPr>
        <w:t>"crispus"</w:t>
      </w:r>
      <w:r w:rsidR="009D2858" w:rsidRPr="009D2858">
        <w:rPr>
          <w:rFonts w:ascii="Calibri" w:hAnsi="Calibri" w:cs="Calibri"/>
          <w:sz w:val="22"/>
          <w:szCs w:val="22"/>
          <w:shd w:val="clear" w:color="auto" w:fill="FFFFFF"/>
        </w:rPr>
        <w:t>). Une espèce très ressemblante, </w:t>
      </w:r>
      <w:hyperlink r:id="rId2695" w:tooltip="Mastocarpus stellatus" w:history="1">
        <w:r w:rsidR="009D2858" w:rsidRPr="009D2858">
          <w:rPr>
            <w:rStyle w:val="Lienhypertexte"/>
            <w:rFonts w:ascii="Calibri" w:hAnsi="Calibri" w:cs="Calibri"/>
            <w:i/>
            <w:iCs/>
            <w:color w:val="0645AD"/>
            <w:sz w:val="22"/>
            <w:szCs w:val="22"/>
            <w:shd w:val="clear" w:color="auto" w:fill="FFFFFF"/>
          </w:rPr>
          <w:t>Mastocarpus stellatus</w:t>
        </w:r>
      </w:hyperlink>
      <w:r w:rsidR="009D2858" w:rsidRPr="009D2858">
        <w:rPr>
          <w:rFonts w:ascii="Calibri" w:hAnsi="Calibri" w:cs="Calibri"/>
          <w:color w:val="202122"/>
          <w:sz w:val="22"/>
          <w:szCs w:val="22"/>
          <w:shd w:val="clear" w:color="auto" w:fill="FFFFFF"/>
        </w:rPr>
        <w:t xml:space="preserve">, </w:t>
      </w:r>
      <w:r w:rsidR="009D2858" w:rsidRPr="009D2858">
        <w:rPr>
          <w:rFonts w:ascii="Calibri" w:hAnsi="Calibri" w:cs="Calibri"/>
          <w:sz w:val="22"/>
          <w:szCs w:val="22"/>
          <w:shd w:val="clear" w:color="auto" w:fill="FFFFFF"/>
        </w:rPr>
        <w:t>a un stipe enroulé sur les bords et a un aspect plus rugueux.</w:t>
      </w:r>
    </w:p>
    <w:p w14:paraId="18CF5E09" w14:textId="79DF8C1F" w:rsidR="00890B77" w:rsidRPr="00890B77" w:rsidRDefault="009D2858" w:rsidP="008B4D8E">
      <w:pPr>
        <w:pStyle w:val="NormalWeb"/>
        <w:shd w:val="clear" w:color="auto" w:fill="FFFFFF"/>
        <w:spacing w:before="0" w:beforeAutospacing="0" w:after="0" w:afterAutospacing="0"/>
        <w:jc w:val="both"/>
        <w:rPr>
          <w:rFonts w:ascii="Calibri" w:hAnsi="Calibri" w:cs="Calibri"/>
          <w:sz w:val="22"/>
          <w:szCs w:val="22"/>
        </w:rPr>
      </w:pPr>
      <w:r w:rsidRPr="009D2858">
        <w:rPr>
          <w:rFonts w:ascii="Calibri" w:hAnsi="Calibri" w:cs="Calibri"/>
          <w:sz w:val="22"/>
          <w:szCs w:val="22"/>
          <w:u w:val="single"/>
        </w:rPr>
        <w:t>Répartition et habitat</w:t>
      </w:r>
      <w:r w:rsidRPr="009D2858">
        <w:rPr>
          <w:rFonts w:ascii="Calibri" w:hAnsi="Calibri" w:cs="Calibri"/>
          <w:sz w:val="22"/>
          <w:szCs w:val="22"/>
        </w:rPr>
        <w:t xml:space="preserve"> : </w:t>
      </w:r>
      <w:r w:rsidRPr="009D2858">
        <w:rPr>
          <w:rFonts w:ascii="Calibri" w:hAnsi="Calibri" w:cs="Calibri"/>
          <w:sz w:val="22"/>
          <w:szCs w:val="22"/>
          <w:shd w:val="clear" w:color="auto" w:fill="FFFFFF"/>
        </w:rPr>
        <w:t xml:space="preserve">Cette algue pousse au niveau de </w:t>
      </w:r>
      <w:r w:rsidRPr="009D2858">
        <w:rPr>
          <w:rFonts w:ascii="Calibri" w:hAnsi="Calibri" w:cs="Calibri"/>
          <w:color w:val="202122"/>
          <w:sz w:val="22"/>
          <w:szCs w:val="22"/>
          <w:shd w:val="clear" w:color="auto" w:fill="FFFFFF"/>
        </w:rPr>
        <w:t>l'</w:t>
      </w:r>
      <w:hyperlink r:id="rId2696" w:history="1">
        <w:r w:rsidRPr="009D2858">
          <w:rPr>
            <w:rStyle w:val="Lienhypertexte"/>
            <w:rFonts w:ascii="Calibri" w:hAnsi="Calibri" w:cs="Calibri"/>
            <w:color w:val="0645AD"/>
            <w:sz w:val="22"/>
            <w:szCs w:val="22"/>
            <w:shd w:val="clear" w:color="auto" w:fill="FFFFFF"/>
          </w:rPr>
          <w:t>étage infralittoral</w:t>
        </w:r>
      </w:hyperlink>
      <w:r w:rsidR="00890B77">
        <w:rPr>
          <w:rFonts w:ascii="Calibri" w:hAnsi="Calibri" w:cs="Calibri"/>
          <w:sz w:val="22"/>
          <w:szCs w:val="22"/>
        </w:rPr>
        <w:t xml:space="preserve">, </w:t>
      </w:r>
      <w:r w:rsidR="00890B77" w:rsidRPr="00890B77">
        <w:rPr>
          <w:rFonts w:ascii="Calibri" w:hAnsi="Calibri" w:cs="Calibri"/>
          <w:sz w:val="22"/>
          <w:szCs w:val="22"/>
          <w:shd w:val="clear" w:color="auto" w:fill="FFFFFF"/>
        </w:rPr>
        <w:t>sur la roche de la </w:t>
      </w:r>
      <w:hyperlink r:id="rId2697" w:tooltip="Zone littorale" w:history="1">
        <w:r w:rsidR="00890B77" w:rsidRPr="00890B77">
          <w:rPr>
            <w:rStyle w:val="Lienhypertexte"/>
            <w:rFonts w:ascii="Calibri" w:hAnsi="Calibri" w:cs="Calibri"/>
            <w:color w:val="0645AD"/>
            <w:sz w:val="22"/>
            <w:szCs w:val="22"/>
            <w:shd w:val="clear" w:color="auto" w:fill="FFFFFF"/>
          </w:rPr>
          <w:t>zone</w:t>
        </w:r>
      </w:hyperlink>
      <w:r w:rsidR="00890B77" w:rsidRPr="00890B77">
        <w:rPr>
          <w:rFonts w:ascii="Calibri" w:hAnsi="Calibri" w:cs="Calibri"/>
          <w:color w:val="202122"/>
          <w:sz w:val="22"/>
          <w:szCs w:val="22"/>
          <w:shd w:val="clear" w:color="auto" w:fill="FFFFFF"/>
        </w:rPr>
        <w:t> </w:t>
      </w:r>
      <w:r w:rsidR="00890B77" w:rsidRPr="00890B77">
        <w:rPr>
          <w:rFonts w:ascii="Calibri" w:hAnsi="Calibri" w:cs="Calibri"/>
          <w:sz w:val="22"/>
          <w:szCs w:val="22"/>
          <w:shd w:val="clear" w:color="auto" w:fill="FFFFFF"/>
        </w:rPr>
        <w:t>intertidale médiane à la </w:t>
      </w:r>
      <w:hyperlink r:id="rId2698" w:tooltip="Littoral zone" w:history="1">
        <w:r w:rsidR="00890B77" w:rsidRPr="00890B77">
          <w:rPr>
            <w:rStyle w:val="Lienhypertexte"/>
            <w:rFonts w:ascii="Calibri" w:hAnsi="Calibri" w:cs="Calibri"/>
            <w:color w:val="0645AD"/>
            <w:sz w:val="22"/>
            <w:szCs w:val="22"/>
            <w:shd w:val="clear" w:color="auto" w:fill="FFFFFF"/>
          </w:rPr>
          <w:t>zone</w:t>
        </w:r>
      </w:hyperlink>
      <w:r w:rsidR="00890B77" w:rsidRPr="00890B77">
        <w:rPr>
          <w:rFonts w:ascii="Calibri" w:hAnsi="Calibri" w:cs="Calibri"/>
          <w:color w:val="202122"/>
          <w:sz w:val="22"/>
          <w:szCs w:val="22"/>
          <w:shd w:val="clear" w:color="auto" w:fill="FFFFFF"/>
        </w:rPr>
        <w:t> </w:t>
      </w:r>
      <w:r w:rsidR="00890B77" w:rsidRPr="00890B77">
        <w:rPr>
          <w:rFonts w:ascii="Calibri" w:hAnsi="Calibri" w:cs="Calibri"/>
          <w:sz w:val="22"/>
          <w:szCs w:val="22"/>
          <w:shd w:val="clear" w:color="auto" w:fill="FFFFFF"/>
        </w:rPr>
        <w:t>subtidale, jusqu'au fond de l'océan</w:t>
      </w:r>
      <w:r w:rsidR="00890B77">
        <w:rPr>
          <w:rFonts w:ascii="Calibri" w:hAnsi="Calibri" w:cs="Calibri"/>
          <w:sz w:val="22"/>
          <w:szCs w:val="22"/>
          <w:shd w:val="clear" w:color="auto" w:fill="FFFFFF"/>
        </w:rPr>
        <w:t>,</w:t>
      </w:r>
      <w:r w:rsidR="00890B77">
        <w:rPr>
          <w:rFonts w:ascii="Calibri" w:hAnsi="Calibri" w:cs="Calibri"/>
          <w:sz w:val="22"/>
          <w:szCs w:val="22"/>
        </w:rPr>
        <w:t xml:space="preserve"> et</w:t>
      </w:r>
      <w:r w:rsidR="007C5724" w:rsidRPr="00890B77">
        <w:rPr>
          <w:rFonts w:ascii="Calibri" w:hAnsi="Calibri" w:cs="Calibri"/>
          <w:sz w:val="22"/>
          <w:szCs w:val="22"/>
        </w:rPr>
        <w:t xml:space="preserve"> capable de survivre avec un ensoleillement minimal. </w:t>
      </w:r>
    </w:p>
    <w:p w14:paraId="1DD46C55" w14:textId="6886DCBE" w:rsidR="009D2858" w:rsidRDefault="009D2858" w:rsidP="008B4D8E">
      <w:pPr>
        <w:pStyle w:val="NormalWeb"/>
        <w:shd w:val="clear" w:color="auto" w:fill="FFFFFF"/>
        <w:spacing w:before="0" w:beforeAutospacing="0" w:after="0" w:afterAutospacing="0"/>
        <w:jc w:val="both"/>
        <w:rPr>
          <w:rFonts w:ascii="Calibri" w:hAnsi="Calibri" w:cs="Calibri"/>
          <w:sz w:val="22"/>
          <w:szCs w:val="22"/>
        </w:rPr>
      </w:pPr>
      <w:r w:rsidRPr="009D2858">
        <w:rPr>
          <w:rFonts w:ascii="Calibri" w:hAnsi="Calibri" w:cs="Calibri"/>
          <w:sz w:val="22"/>
          <w:szCs w:val="22"/>
          <w:shd w:val="clear" w:color="auto" w:fill="FFFFFF"/>
        </w:rPr>
        <w:t xml:space="preserve">En Europe, elle pousse dans </w:t>
      </w:r>
      <w:r w:rsidRPr="009D2858">
        <w:rPr>
          <w:rFonts w:ascii="Calibri" w:hAnsi="Calibri" w:cs="Calibri"/>
          <w:color w:val="202122"/>
          <w:sz w:val="22"/>
          <w:szCs w:val="22"/>
          <w:shd w:val="clear" w:color="auto" w:fill="FFFFFF"/>
        </w:rPr>
        <w:t>l'</w:t>
      </w:r>
      <w:hyperlink r:id="rId2699" w:tooltip="Atlantique" w:history="1">
        <w:r w:rsidRPr="009D2858">
          <w:rPr>
            <w:rStyle w:val="Lienhypertexte"/>
            <w:rFonts w:ascii="Calibri" w:hAnsi="Calibri" w:cs="Calibri"/>
            <w:color w:val="0645AD"/>
            <w:sz w:val="22"/>
            <w:szCs w:val="22"/>
            <w:shd w:val="clear" w:color="auto" w:fill="FFFFFF"/>
          </w:rPr>
          <w:t>Atlantique</w:t>
        </w:r>
      </w:hyperlink>
      <w:r w:rsidRPr="009D2858">
        <w:rPr>
          <w:rFonts w:ascii="Calibri" w:hAnsi="Calibri" w:cs="Calibri"/>
          <w:color w:val="202122"/>
          <w:sz w:val="22"/>
          <w:szCs w:val="22"/>
          <w:shd w:val="clear" w:color="auto" w:fill="FFFFFF"/>
        </w:rPr>
        <w:t>, la </w:t>
      </w:r>
      <w:hyperlink r:id="rId2700" w:tooltip="Manche (mer)" w:history="1">
        <w:r w:rsidRPr="009D2858">
          <w:rPr>
            <w:rStyle w:val="Lienhypertexte"/>
            <w:rFonts w:ascii="Calibri" w:hAnsi="Calibri" w:cs="Calibri"/>
            <w:color w:val="0645AD"/>
            <w:sz w:val="22"/>
            <w:szCs w:val="22"/>
            <w:shd w:val="clear" w:color="auto" w:fill="FFFFFF"/>
          </w:rPr>
          <w:t>Manche</w:t>
        </w:r>
      </w:hyperlink>
      <w:r w:rsidRPr="009D2858">
        <w:rPr>
          <w:rFonts w:ascii="Calibri" w:hAnsi="Calibri" w:cs="Calibri"/>
          <w:color w:val="202122"/>
          <w:sz w:val="22"/>
          <w:szCs w:val="22"/>
          <w:shd w:val="clear" w:color="auto" w:fill="FFFFFF"/>
        </w:rPr>
        <w:t>, la </w:t>
      </w:r>
      <w:hyperlink r:id="rId2701" w:tooltip="Mer du Nord" w:history="1">
        <w:r w:rsidRPr="009D2858">
          <w:rPr>
            <w:rStyle w:val="Lienhypertexte"/>
            <w:rFonts w:ascii="Calibri" w:hAnsi="Calibri" w:cs="Calibri"/>
            <w:color w:val="0645AD"/>
            <w:sz w:val="22"/>
            <w:szCs w:val="22"/>
            <w:shd w:val="clear" w:color="auto" w:fill="FFFFFF"/>
          </w:rPr>
          <w:t>mer du Nord</w:t>
        </w:r>
      </w:hyperlink>
      <w:r w:rsidRPr="009D2858">
        <w:rPr>
          <w:rFonts w:ascii="Calibri" w:hAnsi="Calibri" w:cs="Calibri"/>
          <w:color w:val="202122"/>
          <w:sz w:val="22"/>
          <w:szCs w:val="22"/>
          <w:shd w:val="clear" w:color="auto" w:fill="FFFFFF"/>
        </w:rPr>
        <w:t xml:space="preserve"> ; </w:t>
      </w:r>
      <w:r w:rsidRPr="009D2858">
        <w:rPr>
          <w:rFonts w:ascii="Calibri" w:hAnsi="Calibri" w:cs="Calibri"/>
          <w:sz w:val="22"/>
          <w:szCs w:val="22"/>
          <w:shd w:val="clear" w:color="auto" w:fill="FFFFFF"/>
        </w:rPr>
        <w:t>elle est rare en </w:t>
      </w:r>
      <w:hyperlink r:id="rId2702" w:tooltip="Mer Baltique" w:history="1">
        <w:r w:rsidRPr="009D2858">
          <w:rPr>
            <w:rStyle w:val="Lienhypertexte"/>
            <w:rFonts w:ascii="Calibri" w:hAnsi="Calibri" w:cs="Calibri"/>
            <w:color w:val="0645AD"/>
            <w:sz w:val="22"/>
            <w:szCs w:val="22"/>
            <w:shd w:val="clear" w:color="auto" w:fill="FFFFFF"/>
          </w:rPr>
          <w:t>mer Baltique</w:t>
        </w:r>
      </w:hyperlink>
      <w:r w:rsidRPr="009D2858">
        <w:rPr>
          <w:rFonts w:ascii="Calibri" w:hAnsi="Calibri" w:cs="Calibri"/>
          <w:sz w:val="22"/>
          <w:szCs w:val="22"/>
        </w:rPr>
        <w:t>.</w:t>
      </w:r>
      <w:r w:rsidR="007C5724">
        <w:rPr>
          <w:rFonts w:ascii="Calibri" w:hAnsi="Calibri" w:cs="Calibri"/>
          <w:sz w:val="22"/>
          <w:szCs w:val="22"/>
        </w:rPr>
        <w:t xml:space="preserve"> </w:t>
      </w:r>
    </w:p>
    <w:p w14:paraId="3F52402E" w14:textId="012FEB14" w:rsidR="007C5724" w:rsidRDefault="007C5724" w:rsidP="008B4D8E">
      <w:pPr>
        <w:pStyle w:val="NormalWeb"/>
        <w:shd w:val="clear" w:color="auto" w:fill="FFFFFF"/>
        <w:spacing w:before="0" w:beforeAutospacing="0" w:after="0" w:afterAutospacing="0"/>
        <w:jc w:val="both"/>
        <w:rPr>
          <w:rFonts w:ascii="Calibri" w:hAnsi="Calibri" w:cs="Calibri"/>
          <w:sz w:val="22"/>
          <w:szCs w:val="22"/>
        </w:rPr>
      </w:pPr>
      <w:r w:rsidRPr="007C5724">
        <w:rPr>
          <w:rFonts w:ascii="Calibri" w:hAnsi="Calibri" w:cs="Calibri"/>
          <w:sz w:val="22"/>
          <w:szCs w:val="22"/>
        </w:rPr>
        <w:t>Il existe également d'autres espèces du même genre dans l'océan Pacifique, par exemple</w:t>
      </w:r>
      <w:r w:rsidRPr="00890B77">
        <w:rPr>
          <w:rFonts w:ascii="Calibri" w:hAnsi="Calibri" w:cs="Calibri"/>
          <w:i/>
          <w:iCs/>
          <w:sz w:val="22"/>
          <w:szCs w:val="22"/>
        </w:rPr>
        <w:t>, C. ocellatus, C. nipponicus, C. yendoi, C. pinnulatus et C. armatus</w:t>
      </w:r>
      <w:r w:rsidR="00890B77">
        <w:rPr>
          <w:rFonts w:ascii="Calibri" w:hAnsi="Calibri" w:cs="Calibri"/>
          <w:sz w:val="22"/>
          <w:szCs w:val="22"/>
        </w:rPr>
        <w:t>.</w:t>
      </w:r>
    </w:p>
    <w:p w14:paraId="1F6F457F" w14:textId="09504C2C" w:rsidR="007C5724" w:rsidRDefault="007C5724" w:rsidP="008B4D8E">
      <w:pPr>
        <w:pStyle w:val="NormalWeb"/>
        <w:shd w:val="clear" w:color="auto" w:fill="FFFFFF"/>
        <w:spacing w:before="0" w:beforeAutospacing="0" w:after="0" w:afterAutospacing="0"/>
        <w:jc w:val="both"/>
        <w:rPr>
          <w:rFonts w:ascii="Calibri" w:hAnsi="Calibri" w:cs="Calibri"/>
          <w:sz w:val="22"/>
          <w:szCs w:val="22"/>
        </w:rPr>
      </w:pPr>
      <w:r>
        <w:rPr>
          <w:rFonts w:ascii="Calibri" w:hAnsi="Calibri" w:cs="Calibri"/>
          <w:sz w:val="22"/>
          <w:szCs w:val="22"/>
        </w:rPr>
        <w:t xml:space="preserve">Sources : a) </w:t>
      </w:r>
      <w:hyperlink r:id="rId2703" w:history="1">
        <w:r w:rsidR="00890B77" w:rsidRPr="00224761">
          <w:rPr>
            <w:rStyle w:val="Lienhypertexte"/>
            <w:rFonts w:ascii="Calibri" w:hAnsi="Calibri" w:cs="Calibri"/>
            <w:sz w:val="22"/>
            <w:szCs w:val="22"/>
          </w:rPr>
          <w:t>https://fr.wikipedia.org/wiki/Chondrus_crispus</w:t>
        </w:r>
      </w:hyperlink>
      <w:r>
        <w:rPr>
          <w:rFonts w:ascii="Calibri" w:hAnsi="Calibri" w:cs="Calibri"/>
          <w:sz w:val="22"/>
          <w:szCs w:val="22"/>
        </w:rPr>
        <w:t>,</w:t>
      </w:r>
      <w:r w:rsidR="00890B77">
        <w:rPr>
          <w:rFonts w:ascii="Calibri" w:hAnsi="Calibri" w:cs="Calibri"/>
          <w:sz w:val="22"/>
          <w:szCs w:val="22"/>
        </w:rPr>
        <w:t xml:space="preserve"> </w:t>
      </w:r>
      <w:r>
        <w:rPr>
          <w:rFonts w:ascii="Calibri" w:hAnsi="Calibri" w:cs="Calibri"/>
          <w:sz w:val="22"/>
          <w:szCs w:val="22"/>
        </w:rPr>
        <w:t xml:space="preserve">b) </w:t>
      </w:r>
      <w:hyperlink r:id="rId2704" w:history="1">
        <w:r w:rsidRPr="00224761">
          <w:rPr>
            <w:rStyle w:val="Lienhypertexte"/>
            <w:rFonts w:ascii="Calibri" w:hAnsi="Calibri" w:cs="Calibri"/>
            <w:sz w:val="22"/>
            <w:szCs w:val="22"/>
          </w:rPr>
          <w:t>https://en.wikipedia.org/wiki/Chondrus_crispus</w:t>
        </w:r>
      </w:hyperlink>
      <w:r>
        <w:rPr>
          <w:rFonts w:ascii="Calibri" w:hAnsi="Calibri" w:cs="Calibri"/>
          <w:sz w:val="22"/>
          <w:szCs w:val="22"/>
        </w:rPr>
        <w:t xml:space="preserve"> </w:t>
      </w:r>
    </w:p>
    <w:p w14:paraId="551243F8" w14:textId="59C257F0" w:rsidR="009D2858" w:rsidRDefault="009D2858" w:rsidP="008B4D8E">
      <w:pPr>
        <w:pStyle w:val="NormalWeb"/>
        <w:shd w:val="clear" w:color="auto" w:fill="FFFFFF"/>
        <w:spacing w:before="0" w:beforeAutospacing="0" w:after="0" w:afterAutospacing="0"/>
        <w:jc w:val="both"/>
        <w:rPr>
          <w:rFonts w:ascii="Calibri" w:hAnsi="Calibri" w:cs="Calibri"/>
          <w:sz w:val="22"/>
          <w:szCs w:val="2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74"/>
        <w:gridCol w:w="4042"/>
      </w:tblGrid>
      <w:tr w:rsidR="007C5724" w14:paraId="39CCC83B" w14:textId="77777777" w:rsidTr="007C5724">
        <w:tc>
          <w:tcPr>
            <w:tcW w:w="6374" w:type="dxa"/>
          </w:tcPr>
          <w:p w14:paraId="2818B259" w14:textId="77777777" w:rsidR="007C5724" w:rsidRDefault="007C5724" w:rsidP="007C5724">
            <w:pPr>
              <w:pStyle w:val="NormalWeb"/>
              <w:shd w:val="clear" w:color="auto" w:fill="FFFFFF"/>
              <w:spacing w:before="0" w:beforeAutospacing="0" w:after="0" w:afterAutospacing="0"/>
              <w:jc w:val="center"/>
              <w:rPr>
                <w:rFonts w:ascii="Calibri" w:hAnsi="Calibri" w:cs="Calibri"/>
                <w:sz w:val="22"/>
                <w:szCs w:val="22"/>
              </w:rPr>
            </w:pPr>
            <w:r>
              <w:rPr>
                <w:noProof/>
              </w:rPr>
              <w:lastRenderedPageBreak/>
              <w:drawing>
                <wp:inline distT="0" distB="0" distL="0" distR="0" wp14:anchorId="57D8A5F2" wp14:editId="16718026">
                  <wp:extent cx="3895047" cy="2883247"/>
                  <wp:effectExtent l="0" t="0" r="0" b="0"/>
                  <wp:docPr id="48144" name="Image 48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2705">
                            <a:extLst>
                              <a:ext uri="{28A0092B-C50C-407E-A947-70E740481C1C}">
                                <a14:useLocalDpi xmlns:a14="http://schemas.microsoft.com/office/drawing/2010/main" val="0"/>
                              </a:ext>
                            </a:extLst>
                          </a:blip>
                          <a:srcRect/>
                          <a:stretch>
                            <a:fillRect/>
                          </a:stretch>
                        </pic:blipFill>
                        <pic:spPr bwMode="auto">
                          <a:xfrm>
                            <a:off x="0" y="0"/>
                            <a:ext cx="3895639" cy="2883685"/>
                          </a:xfrm>
                          <a:prstGeom prst="rect">
                            <a:avLst/>
                          </a:prstGeom>
                          <a:noFill/>
                          <a:ln>
                            <a:noFill/>
                          </a:ln>
                        </pic:spPr>
                      </pic:pic>
                    </a:graphicData>
                  </a:graphic>
                </wp:inline>
              </w:drawing>
            </w:r>
          </w:p>
          <w:p w14:paraId="71C0FBDB" w14:textId="77777777" w:rsidR="007C5724" w:rsidRDefault="007C5724" w:rsidP="007C5724">
            <w:pPr>
              <w:pStyle w:val="NormalWeb"/>
              <w:shd w:val="clear" w:color="auto" w:fill="FFFFFF"/>
              <w:spacing w:before="0" w:beforeAutospacing="0" w:after="0" w:afterAutospacing="0"/>
              <w:jc w:val="center"/>
              <w:rPr>
                <w:rFonts w:ascii="Calibri" w:hAnsi="Calibri" w:cs="Calibri"/>
                <w:i/>
                <w:iCs/>
                <w:sz w:val="22"/>
                <w:szCs w:val="22"/>
              </w:rPr>
            </w:pPr>
            <w:r w:rsidRPr="009D2858">
              <w:rPr>
                <w:rFonts w:ascii="Calibri" w:hAnsi="Calibri" w:cs="Calibri"/>
                <w:sz w:val="22"/>
                <w:szCs w:val="22"/>
              </w:rPr>
              <w:t xml:space="preserve">Cycle de vie de </w:t>
            </w:r>
            <w:r w:rsidRPr="009D2858">
              <w:rPr>
                <w:rFonts w:ascii="Calibri" w:hAnsi="Calibri" w:cs="Calibri"/>
                <w:i/>
                <w:iCs/>
                <w:sz w:val="22"/>
                <w:szCs w:val="22"/>
              </w:rPr>
              <w:t>Chondrus crispus</w:t>
            </w:r>
          </w:p>
          <w:p w14:paraId="54117A6D" w14:textId="323D3903" w:rsidR="007D35B5" w:rsidRDefault="007D35B5" w:rsidP="007C5724">
            <w:pPr>
              <w:pStyle w:val="NormalWeb"/>
              <w:shd w:val="clear" w:color="auto" w:fill="FFFFFF"/>
              <w:spacing w:before="0" w:beforeAutospacing="0" w:after="0" w:afterAutospacing="0"/>
              <w:jc w:val="center"/>
              <w:rPr>
                <w:rFonts w:ascii="Calibri" w:hAnsi="Calibri" w:cs="Calibri"/>
                <w:sz w:val="22"/>
                <w:szCs w:val="22"/>
              </w:rPr>
            </w:pPr>
          </w:p>
        </w:tc>
        <w:tc>
          <w:tcPr>
            <w:tcW w:w="4042" w:type="dxa"/>
          </w:tcPr>
          <w:p w14:paraId="0485AA9C" w14:textId="77777777" w:rsidR="007C5724" w:rsidRDefault="007C5724" w:rsidP="007C5724">
            <w:pPr>
              <w:pStyle w:val="NormalWeb"/>
              <w:spacing w:before="0" w:beforeAutospacing="0" w:after="0" w:afterAutospacing="0"/>
              <w:jc w:val="center"/>
              <w:rPr>
                <w:rFonts w:ascii="Calibri" w:hAnsi="Calibri" w:cs="Calibri"/>
                <w:sz w:val="22"/>
                <w:szCs w:val="22"/>
              </w:rPr>
            </w:pPr>
            <w:r>
              <w:rPr>
                <w:noProof/>
              </w:rPr>
              <w:drawing>
                <wp:inline distT="0" distB="0" distL="0" distR="0" wp14:anchorId="144CC956" wp14:editId="0704D987">
                  <wp:extent cx="1695450" cy="1292397"/>
                  <wp:effectExtent l="0" t="0" r="0" b="3175"/>
                  <wp:docPr id="48147" name="Image 48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2706">
                            <a:extLst>
                              <a:ext uri="{28A0092B-C50C-407E-A947-70E740481C1C}">
                                <a14:useLocalDpi xmlns:a14="http://schemas.microsoft.com/office/drawing/2010/main" val="0"/>
                              </a:ext>
                            </a:extLst>
                          </a:blip>
                          <a:srcRect/>
                          <a:stretch>
                            <a:fillRect/>
                          </a:stretch>
                        </pic:blipFill>
                        <pic:spPr bwMode="auto">
                          <a:xfrm>
                            <a:off x="0" y="0"/>
                            <a:ext cx="1710613" cy="1303956"/>
                          </a:xfrm>
                          <a:prstGeom prst="rect">
                            <a:avLst/>
                          </a:prstGeom>
                          <a:noFill/>
                          <a:ln>
                            <a:noFill/>
                          </a:ln>
                        </pic:spPr>
                      </pic:pic>
                    </a:graphicData>
                  </a:graphic>
                </wp:inline>
              </w:drawing>
            </w:r>
          </w:p>
          <w:p w14:paraId="3D928A34" w14:textId="16EEE8A8" w:rsidR="007C5724" w:rsidRDefault="007C5724" w:rsidP="007C5724">
            <w:pPr>
              <w:pStyle w:val="NormalWeb"/>
              <w:spacing w:before="0" w:beforeAutospacing="0" w:after="0" w:afterAutospacing="0"/>
              <w:jc w:val="center"/>
              <w:rPr>
                <w:rFonts w:ascii="Calibri" w:hAnsi="Calibri" w:cs="Calibri"/>
                <w:sz w:val="22"/>
                <w:szCs w:val="22"/>
              </w:rPr>
            </w:pPr>
            <w:r w:rsidRPr="009D2858">
              <w:rPr>
                <w:rFonts w:ascii="Calibri" w:hAnsi="Calibri" w:cs="Calibri"/>
                <w:i/>
                <w:iCs/>
                <w:sz w:val="22"/>
                <w:szCs w:val="22"/>
              </w:rPr>
              <w:t>Chondrus crispus</w:t>
            </w:r>
          </w:p>
        </w:tc>
      </w:tr>
    </w:tbl>
    <w:p w14:paraId="73533645" w14:textId="718056B2" w:rsidR="009D2858" w:rsidRDefault="009D2858" w:rsidP="009D2858">
      <w:pPr>
        <w:pStyle w:val="NormalWeb"/>
        <w:shd w:val="clear" w:color="auto" w:fill="FFFFFF"/>
        <w:spacing w:before="0" w:beforeAutospacing="0" w:after="0" w:afterAutospacing="0"/>
        <w:jc w:val="center"/>
        <w:rPr>
          <w:rFonts w:ascii="Calibri" w:hAnsi="Calibri" w:cs="Calibri"/>
          <w:sz w:val="22"/>
          <w:szCs w:val="22"/>
        </w:rPr>
      </w:pPr>
      <w:r>
        <w:rPr>
          <w:noProof/>
        </w:rPr>
        <w:drawing>
          <wp:inline distT="0" distB="0" distL="0" distR="0" wp14:anchorId="26C658EE" wp14:editId="50B7B841">
            <wp:extent cx="3943350" cy="4688272"/>
            <wp:effectExtent l="0" t="0" r="0" b="0"/>
            <wp:docPr id="48146" name="Image 48146" descr="Une image contenant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46" name="Image 48146" descr="Une image contenant plante&#10;&#10;Description générée automatiquement"/>
                    <pic:cNvPicPr>
                      <a:picLocks noChangeAspect="1" noChangeArrowheads="1"/>
                    </pic:cNvPicPr>
                  </pic:nvPicPr>
                  <pic:blipFill>
                    <a:blip r:embed="rId2707">
                      <a:extLst>
                        <a:ext uri="{28A0092B-C50C-407E-A947-70E740481C1C}">
                          <a14:useLocalDpi xmlns:a14="http://schemas.microsoft.com/office/drawing/2010/main" val="0"/>
                        </a:ext>
                      </a:extLst>
                    </a:blip>
                    <a:srcRect/>
                    <a:stretch>
                      <a:fillRect/>
                    </a:stretch>
                  </pic:blipFill>
                  <pic:spPr bwMode="auto">
                    <a:xfrm>
                      <a:off x="0" y="0"/>
                      <a:ext cx="3947475" cy="4693176"/>
                    </a:xfrm>
                    <a:prstGeom prst="rect">
                      <a:avLst/>
                    </a:prstGeom>
                    <a:noFill/>
                    <a:ln>
                      <a:noFill/>
                    </a:ln>
                  </pic:spPr>
                </pic:pic>
              </a:graphicData>
            </a:graphic>
          </wp:inline>
        </w:drawing>
      </w:r>
    </w:p>
    <w:p w14:paraId="13AEF006" w14:textId="77777777" w:rsidR="007C5724" w:rsidRDefault="007C5724" w:rsidP="009D2858">
      <w:pPr>
        <w:pStyle w:val="NormalWeb"/>
        <w:shd w:val="clear" w:color="auto" w:fill="FFFFFF"/>
        <w:spacing w:before="0" w:beforeAutospacing="0" w:after="0" w:afterAutospacing="0"/>
        <w:jc w:val="center"/>
        <w:rPr>
          <w:rFonts w:ascii="Calibri" w:hAnsi="Calibri" w:cs="Calibri"/>
          <w:color w:val="202122"/>
          <w:sz w:val="22"/>
          <w:szCs w:val="22"/>
          <w:shd w:val="clear" w:color="auto" w:fill="F8F9FA"/>
        </w:rPr>
      </w:pPr>
      <w:r w:rsidRPr="007C5724">
        <w:rPr>
          <w:rFonts w:ascii="Calibri" w:hAnsi="Calibri" w:cs="Calibri"/>
          <w:color w:val="202122"/>
          <w:sz w:val="22"/>
          <w:szCs w:val="22"/>
          <w:shd w:val="clear" w:color="auto" w:fill="F8F9FA"/>
        </w:rPr>
        <w:t>Planche présentant des détails morphologiques de </w:t>
      </w:r>
      <w:r w:rsidRPr="007C5724">
        <w:rPr>
          <w:rFonts w:ascii="Calibri" w:hAnsi="Calibri" w:cs="Calibri"/>
          <w:i/>
          <w:iCs/>
          <w:color w:val="202122"/>
          <w:sz w:val="22"/>
          <w:szCs w:val="22"/>
          <w:shd w:val="clear" w:color="auto" w:fill="F8F9FA"/>
        </w:rPr>
        <w:t>Gigartinaceae </w:t>
      </w:r>
      <w:r w:rsidRPr="007C5724">
        <w:rPr>
          <w:rFonts w:ascii="Calibri" w:hAnsi="Calibri" w:cs="Calibri"/>
          <w:color w:val="202122"/>
          <w:sz w:val="22"/>
          <w:szCs w:val="22"/>
          <w:shd w:val="clear" w:color="auto" w:fill="F8F9FA"/>
        </w:rPr>
        <w:t xml:space="preserve">: </w:t>
      </w:r>
    </w:p>
    <w:p w14:paraId="638AEB3D" w14:textId="15BEE9B5" w:rsidR="007C5724" w:rsidRDefault="007C5724" w:rsidP="009D2858">
      <w:pPr>
        <w:pStyle w:val="NormalWeb"/>
        <w:shd w:val="clear" w:color="auto" w:fill="FFFFFF"/>
        <w:spacing w:before="0" w:beforeAutospacing="0" w:after="0" w:afterAutospacing="0"/>
        <w:jc w:val="center"/>
        <w:rPr>
          <w:rFonts w:ascii="Calibri" w:hAnsi="Calibri" w:cs="Calibri"/>
          <w:i/>
          <w:iCs/>
          <w:color w:val="202122"/>
          <w:sz w:val="22"/>
          <w:szCs w:val="22"/>
          <w:shd w:val="clear" w:color="auto" w:fill="F8F9FA"/>
        </w:rPr>
      </w:pPr>
      <w:r w:rsidRPr="007C5724">
        <w:rPr>
          <w:rFonts w:ascii="Calibri" w:hAnsi="Calibri" w:cs="Calibri"/>
          <w:color w:val="202122"/>
          <w:sz w:val="22"/>
          <w:szCs w:val="22"/>
          <w:shd w:val="clear" w:color="auto" w:fill="F8F9FA"/>
        </w:rPr>
        <w:t>De A à D (à gauche) : </w:t>
      </w:r>
      <w:r w:rsidRPr="007C5724">
        <w:rPr>
          <w:rFonts w:ascii="Calibri" w:hAnsi="Calibri" w:cs="Calibri"/>
          <w:i/>
          <w:iCs/>
          <w:color w:val="202122"/>
          <w:sz w:val="22"/>
          <w:szCs w:val="22"/>
          <w:shd w:val="clear" w:color="auto" w:fill="F8F9FA"/>
        </w:rPr>
        <w:t xml:space="preserve">Chondrus crispus. </w:t>
      </w:r>
      <w:r w:rsidRPr="007C5724">
        <w:rPr>
          <w:rFonts w:ascii="Calibri" w:hAnsi="Calibri" w:cs="Calibri"/>
          <w:color w:val="202122"/>
          <w:sz w:val="22"/>
          <w:szCs w:val="22"/>
          <w:shd w:val="clear" w:color="auto" w:fill="F8F9FA"/>
        </w:rPr>
        <w:t>E et F : </w:t>
      </w:r>
      <w:hyperlink r:id="rId2708" w:tooltip="Mastocarpus stellatus" w:history="1">
        <w:r w:rsidRPr="007C5724">
          <w:rPr>
            <w:rStyle w:val="Lienhypertexte"/>
            <w:rFonts w:ascii="Calibri" w:hAnsi="Calibri" w:cs="Calibri"/>
            <w:i/>
            <w:iCs/>
            <w:color w:val="0645AD"/>
            <w:sz w:val="22"/>
            <w:szCs w:val="22"/>
            <w:shd w:val="clear" w:color="auto" w:fill="F8F9FA"/>
          </w:rPr>
          <w:t>Mastocarpus stellatus</w:t>
        </w:r>
      </w:hyperlink>
      <w:r>
        <w:rPr>
          <w:rFonts w:ascii="Calibri" w:hAnsi="Calibri" w:cs="Calibri"/>
          <w:i/>
          <w:iCs/>
          <w:color w:val="202122"/>
          <w:sz w:val="22"/>
          <w:szCs w:val="22"/>
          <w:shd w:val="clear" w:color="auto" w:fill="F8F9FA"/>
        </w:rPr>
        <w:t>.</w:t>
      </w:r>
    </w:p>
    <w:p w14:paraId="0C3AAC14" w14:textId="1B4DF1A5" w:rsidR="007C5724" w:rsidRDefault="007C5724" w:rsidP="007C5724">
      <w:pPr>
        <w:pStyle w:val="NormalWeb"/>
        <w:shd w:val="clear" w:color="auto" w:fill="FFFFFF"/>
        <w:spacing w:before="0" w:beforeAutospacing="0" w:after="0" w:afterAutospacing="0"/>
        <w:rPr>
          <w:rFonts w:ascii="Calibri" w:hAnsi="Calibri" w:cs="Calibri"/>
          <w:color w:val="202122"/>
          <w:sz w:val="22"/>
          <w:szCs w:val="22"/>
          <w:shd w:val="clear" w:color="auto" w:fill="F8F9FA"/>
        </w:rPr>
      </w:pPr>
    </w:p>
    <w:p w14:paraId="345AA777" w14:textId="77777777" w:rsidR="00576232" w:rsidRPr="00576232" w:rsidRDefault="00576232" w:rsidP="007D56AB">
      <w:pPr>
        <w:pStyle w:val="Titre2"/>
        <w:rPr>
          <w:shd w:val="clear" w:color="auto" w:fill="F8F9FA"/>
        </w:rPr>
      </w:pPr>
      <w:bookmarkStart w:id="218" w:name="_Toc139181509"/>
      <w:r w:rsidRPr="00576232">
        <w:rPr>
          <w:shd w:val="clear" w:color="auto" w:fill="F8F9FA"/>
        </w:rPr>
        <w:lastRenderedPageBreak/>
        <w:t>Mousse de mer (</w:t>
      </w:r>
      <w:r w:rsidRPr="007D56AB">
        <w:rPr>
          <w:i/>
          <w:iCs/>
          <w:shd w:val="clear" w:color="auto" w:fill="F8F9FA"/>
        </w:rPr>
        <w:t>Kappaphycus alvarezii</w:t>
      </w:r>
      <w:r w:rsidRPr="00576232">
        <w:rPr>
          <w:shd w:val="clear" w:color="auto" w:fill="F8F9FA"/>
        </w:rPr>
        <w:t>)</w:t>
      </w:r>
      <w:bookmarkEnd w:id="218"/>
    </w:p>
    <w:p w14:paraId="183C177E" w14:textId="77777777" w:rsidR="00576232" w:rsidRDefault="00576232" w:rsidP="007C5724">
      <w:pPr>
        <w:pStyle w:val="NormalWeb"/>
        <w:shd w:val="clear" w:color="auto" w:fill="FFFFFF"/>
        <w:spacing w:before="0" w:beforeAutospacing="0" w:after="0" w:afterAutospacing="0"/>
        <w:rPr>
          <w:rFonts w:ascii="Calibri" w:hAnsi="Calibri" w:cs="Calibri"/>
          <w:color w:val="202122"/>
          <w:sz w:val="22"/>
          <w:szCs w:val="22"/>
          <w:shd w:val="clear" w:color="auto" w:fill="F8F9FA"/>
        </w:rPr>
      </w:pPr>
    </w:p>
    <w:p w14:paraId="26E1A809" w14:textId="14CCC393" w:rsidR="00BE1256" w:rsidRDefault="00BE1256" w:rsidP="000F398A">
      <w:pPr>
        <w:pStyle w:val="NormalWeb"/>
        <w:shd w:val="clear" w:color="auto" w:fill="FFFFFF"/>
        <w:spacing w:before="0" w:beforeAutospacing="0" w:after="0" w:afterAutospacing="0"/>
        <w:jc w:val="both"/>
        <w:rPr>
          <w:rFonts w:ascii="Calibri" w:hAnsi="Calibri" w:cs="Calibri"/>
          <w:sz w:val="22"/>
          <w:szCs w:val="22"/>
          <w:shd w:val="clear" w:color="auto" w:fill="FFFFFF"/>
        </w:rPr>
      </w:pPr>
      <w:r w:rsidRPr="00BE1256">
        <w:rPr>
          <w:rFonts w:ascii="Calibri" w:hAnsi="Calibri" w:cs="Calibri"/>
          <w:sz w:val="22"/>
          <w:szCs w:val="22"/>
          <w:shd w:val="clear" w:color="auto" w:fill="F8F9FA"/>
        </w:rPr>
        <w:t>C’</w:t>
      </w:r>
      <w:r w:rsidRPr="00BE1256">
        <w:rPr>
          <w:rFonts w:ascii="Calibri" w:hAnsi="Calibri" w:cs="Calibri"/>
          <w:sz w:val="22"/>
          <w:szCs w:val="22"/>
          <w:shd w:val="clear" w:color="auto" w:fill="FFFFFF"/>
        </w:rPr>
        <w:t>est une </w:t>
      </w:r>
      <w:hyperlink r:id="rId2709" w:tooltip="Espèce (biologie)" w:history="1">
        <w:r w:rsidRPr="00BE1256">
          <w:rPr>
            <w:rStyle w:val="Lienhypertexte"/>
            <w:rFonts w:ascii="Calibri" w:hAnsi="Calibri" w:cs="Calibri"/>
            <w:color w:val="0645AD"/>
            <w:sz w:val="22"/>
            <w:szCs w:val="22"/>
            <w:shd w:val="clear" w:color="auto" w:fill="FFFFFF"/>
          </w:rPr>
          <w:t>espèce</w:t>
        </w:r>
      </w:hyperlink>
      <w:r w:rsidRPr="00BE1256">
        <w:rPr>
          <w:rFonts w:ascii="Calibri" w:hAnsi="Calibri" w:cs="Calibri"/>
          <w:color w:val="202122"/>
          <w:sz w:val="22"/>
          <w:szCs w:val="22"/>
          <w:shd w:val="clear" w:color="auto" w:fill="FFFFFF"/>
        </w:rPr>
        <w:t> d’</w:t>
      </w:r>
      <w:hyperlink r:id="rId2710" w:tooltip="Rhodophyta" w:history="1">
        <w:r w:rsidRPr="00BE1256">
          <w:rPr>
            <w:rStyle w:val="Lienhypertexte"/>
            <w:rFonts w:ascii="Calibri" w:hAnsi="Calibri" w:cs="Calibri"/>
            <w:color w:val="0645AD"/>
            <w:sz w:val="22"/>
            <w:szCs w:val="22"/>
            <w:shd w:val="clear" w:color="auto" w:fill="FFFFFF"/>
          </w:rPr>
          <w:t>algues rouges</w:t>
        </w:r>
      </w:hyperlink>
      <w:r w:rsidRPr="00BE1256">
        <w:rPr>
          <w:rFonts w:ascii="Calibri" w:hAnsi="Calibri" w:cs="Calibri"/>
          <w:color w:val="202122"/>
          <w:sz w:val="22"/>
          <w:szCs w:val="22"/>
          <w:shd w:val="clear" w:color="auto" w:fill="FFFFFF"/>
        </w:rPr>
        <w:t> de la </w:t>
      </w:r>
      <w:hyperlink r:id="rId2711" w:tooltip="Famille (biologie)" w:history="1">
        <w:r w:rsidRPr="00BE1256">
          <w:rPr>
            <w:rStyle w:val="Lienhypertexte"/>
            <w:rFonts w:ascii="Calibri" w:hAnsi="Calibri" w:cs="Calibri"/>
            <w:color w:val="0645AD"/>
            <w:sz w:val="22"/>
            <w:szCs w:val="22"/>
            <w:shd w:val="clear" w:color="auto" w:fill="FFFFFF"/>
          </w:rPr>
          <w:t>famille</w:t>
        </w:r>
      </w:hyperlink>
      <w:r w:rsidRPr="00BE1256">
        <w:rPr>
          <w:rFonts w:ascii="Calibri" w:hAnsi="Calibri" w:cs="Calibri"/>
          <w:color w:val="202122"/>
          <w:sz w:val="22"/>
          <w:szCs w:val="22"/>
          <w:shd w:val="clear" w:color="auto" w:fill="FFFFFF"/>
        </w:rPr>
        <w:t> des </w:t>
      </w:r>
      <w:hyperlink r:id="rId2712" w:tooltip="Solieriaceae" w:history="1">
        <w:r w:rsidRPr="00BE1256">
          <w:rPr>
            <w:rStyle w:val="Lienhypertexte"/>
            <w:rFonts w:ascii="Calibri" w:hAnsi="Calibri" w:cs="Calibri"/>
            <w:i/>
            <w:iCs/>
            <w:color w:val="0645AD"/>
            <w:sz w:val="22"/>
            <w:szCs w:val="22"/>
            <w:shd w:val="clear" w:color="auto" w:fill="FFFFFF"/>
          </w:rPr>
          <w:t>Solieriaceae</w:t>
        </w:r>
      </w:hyperlink>
      <w:r>
        <w:rPr>
          <w:rFonts w:ascii="Calibri" w:hAnsi="Calibri" w:cs="Calibri"/>
          <w:color w:val="202122"/>
          <w:sz w:val="22"/>
          <w:szCs w:val="22"/>
          <w:shd w:val="clear" w:color="auto" w:fill="FFFFFF"/>
        </w:rPr>
        <w:t xml:space="preserve">, </w:t>
      </w:r>
      <w:r w:rsidR="008D24B1">
        <w:rPr>
          <w:rFonts w:ascii="Calibri" w:hAnsi="Calibri" w:cs="Calibri"/>
          <w:sz w:val="22"/>
          <w:szCs w:val="22"/>
          <w:shd w:val="clear" w:color="auto" w:fill="FFFFFF"/>
        </w:rPr>
        <w:t>présente dans les</w:t>
      </w:r>
      <w:r w:rsidRPr="00BE1256">
        <w:rPr>
          <w:rFonts w:ascii="Calibri" w:hAnsi="Calibri" w:cs="Calibri"/>
          <w:sz w:val="22"/>
          <w:szCs w:val="22"/>
          <w:shd w:val="clear" w:color="auto" w:fill="FFFFFF"/>
        </w:rPr>
        <w:t xml:space="preserve"> mers chaudes</w:t>
      </w:r>
      <w:r>
        <w:rPr>
          <w:rFonts w:ascii="Calibri" w:hAnsi="Calibri" w:cs="Calibri"/>
          <w:sz w:val="22"/>
          <w:szCs w:val="22"/>
          <w:shd w:val="clear" w:color="auto" w:fill="FFFFFF"/>
        </w:rPr>
        <w:t xml:space="preserve"> </w:t>
      </w:r>
      <w:r w:rsidR="002F1316" w:rsidRPr="002F1316">
        <w:rPr>
          <w:rFonts w:ascii="Calibri" w:hAnsi="Calibri" w:cs="Calibri"/>
          <w:sz w:val="22"/>
          <w:szCs w:val="22"/>
          <w:shd w:val="clear" w:color="auto" w:fill="FFFFFF"/>
        </w:rPr>
        <w:t>(</w:t>
      </w:r>
      <w:r w:rsidR="002F1316">
        <w:rPr>
          <w:rFonts w:ascii="Calibri" w:hAnsi="Calibri" w:cs="Calibri"/>
          <w:sz w:val="22"/>
          <w:szCs w:val="22"/>
          <w:shd w:val="clear" w:color="auto" w:fill="FFFFFF"/>
        </w:rPr>
        <w:t xml:space="preserve">nom </w:t>
      </w:r>
      <w:r w:rsidR="002F1316" w:rsidRPr="002F1316">
        <w:rPr>
          <w:rFonts w:ascii="Calibri" w:hAnsi="Calibri" w:cs="Calibri"/>
          <w:sz w:val="22"/>
          <w:szCs w:val="22"/>
          <w:shd w:val="clear" w:color="auto" w:fill="FFFFFF"/>
        </w:rPr>
        <w:t>en anglais</w:t>
      </w:r>
      <w:r w:rsidR="002F1316">
        <w:rPr>
          <w:rFonts w:ascii="Calibri" w:hAnsi="Calibri" w:cs="Calibri"/>
          <w:sz w:val="22"/>
          <w:szCs w:val="22"/>
          <w:shd w:val="clear" w:color="auto" w:fill="FFFFFF"/>
        </w:rPr>
        <w:t> :</w:t>
      </w:r>
      <w:r w:rsidR="002F1316" w:rsidRPr="002F1316">
        <w:rPr>
          <w:rFonts w:ascii="Calibri" w:hAnsi="Calibri" w:cs="Calibri"/>
          <w:sz w:val="22"/>
          <w:szCs w:val="22"/>
          <w:shd w:val="clear" w:color="auto" w:fill="FFFFFF"/>
        </w:rPr>
        <w:t xml:space="preserve"> elkhorn sea moss [mousse de mer elkhorn])</w:t>
      </w:r>
      <w:r w:rsidR="002F1316">
        <w:rPr>
          <w:rFonts w:ascii="Calibri" w:hAnsi="Calibri" w:cs="Calibri"/>
          <w:sz w:val="22"/>
          <w:szCs w:val="22"/>
          <w:shd w:val="clear" w:color="auto" w:fill="FFFFFF"/>
        </w:rPr>
        <w:t>.</w:t>
      </w:r>
    </w:p>
    <w:p w14:paraId="051BB434" w14:textId="282BB299" w:rsidR="002F1316" w:rsidRDefault="002F1316" w:rsidP="000F398A">
      <w:pPr>
        <w:pStyle w:val="NormalWeb"/>
        <w:shd w:val="clear" w:color="auto" w:fill="FFFFFF"/>
        <w:spacing w:before="0" w:beforeAutospacing="0" w:after="0" w:afterAutospacing="0"/>
        <w:jc w:val="both"/>
        <w:rPr>
          <w:rFonts w:ascii="Calibri" w:hAnsi="Calibri" w:cs="Calibri"/>
          <w:sz w:val="22"/>
          <w:szCs w:val="22"/>
          <w:shd w:val="clear" w:color="auto" w:fill="FFFFFF"/>
        </w:rPr>
      </w:pPr>
      <w:r w:rsidRPr="002F1316">
        <w:rPr>
          <w:rFonts w:ascii="Calibri" w:hAnsi="Calibri" w:cs="Calibri"/>
          <w:sz w:val="22"/>
          <w:szCs w:val="22"/>
          <w:shd w:val="clear" w:color="auto" w:fill="FFFFFF"/>
        </w:rPr>
        <w:t>Cette algue atteint deux mètres de long et est de couleur verte ou jaune. Elle est à croissance très rapide, connu pour doubler sa biomasse en 15 jours.</w:t>
      </w:r>
      <w:r>
        <w:rPr>
          <w:rFonts w:ascii="Calibri" w:hAnsi="Calibri" w:cs="Calibri"/>
          <w:sz w:val="22"/>
          <w:szCs w:val="22"/>
          <w:shd w:val="clear" w:color="auto" w:fill="FFFFFF"/>
        </w:rPr>
        <w:t xml:space="preserve"> Elle est considérée comme une</w:t>
      </w:r>
      <w:r>
        <w:rPr>
          <w:rFonts w:ascii="Arial" w:hAnsi="Arial" w:cs="Arial"/>
          <w:color w:val="202122"/>
          <w:sz w:val="21"/>
          <w:szCs w:val="21"/>
          <w:shd w:val="clear" w:color="auto" w:fill="FFFFFF"/>
        </w:rPr>
        <w:t> </w:t>
      </w:r>
      <w:hyperlink r:id="rId2713" w:tooltip="Mauvaise herbe" w:history="1">
        <w:r w:rsidRPr="002F1316">
          <w:rPr>
            <w:rStyle w:val="Lienhypertexte"/>
            <w:rFonts w:ascii="Calibri" w:hAnsi="Calibri" w:cs="Calibri"/>
            <w:color w:val="0645AD"/>
            <w:sz w:val="22"/>
            <w:szCs w:val="22"/>
            <w:shd w:val="clear" w:color="auto" w:fill="FFFFFF"/>
          </w:rPr>
          <w:t>mauvaise herbe aquatique</w:t>
        </w:r>
      </w:hyperlink>
      <w:r w:rsidRPr="002F1316">
        <w:rPr>
          <w:rFonts w:ascii="Calibri" w:hAnsi="Calibri" w:cs="Calibri"/>
          <w:color w:val="202122"/>
          <w:sz w:val="22"/>
          <w:szCs w:val="22"/>
          <w:shd w:val="clear" w:color="auto" w:fill="FFFFFF"/>
        </w:rPr>
        <w:t> à </w:t>
      </w:r>
      <w:hyperlink r:id="rId2714" w:history="1">
        <w:r w:rsidRPr="002F1316">
          <w:rPr>
            <w:rStyle w:val="Lienhypertexte"/>
            <w:rFonts w:ascii="Calibri" w:hAnsi="Calibri" w:cs="Calibri"/>
            <w:color w:val="0645AD"/>
            <w:sz w:val="22"/>
            <w:szCs w:val="22"/>
            <w:shd w:val="clear" w:color="auto" w:fill="FFFFFF"/>
          </w:rPr>
          <w:t>Hawaï</w:t>
        </w:r>
      </w:hyperlink>
      <w:r>
        <w:rPr>
          <w:rFonts w:ascii="Calibri" w:hAnsi="Calibri" w:cs="Calibri"/>
          <w:sz w:val="22"/>
          <w:szCs w:val="22"/>
          <w:shd w:val="clear" w:color="auto" w:fill="FFFFFF"/>
        </w:rPr>
        <w:t>.</w:t>
      </w:r>
    </w:p>
    <w:p w14:paraId="0ADEE9CF" w14:textId="77777777" w:rsidR="000F398A" w:rsidRDefault="00870086" w:rsidP="000F398A">
      <w:pPr>
        <w:pStyle w:val="NormalWeb"/>
        <w:shd w:val="clear" w:color="auto" w:fill="FFFFFF"/>
        <w:spacing w:before="0" w:beforeAutospacing="0" w:after="0" w:afterAutospacing="0"/>
        <w:jc w:val="both"/>
        <w:rPr>
          <w:rFonts w:ascii="Calibri" w:hAnsi="Calibri" w:cs="Calibri"/>
          <w:sz w:val="22"/>
          <w:szCs w:val="22"/>
          <w:shd w:val="clear" w:color="auto" w:fill="FFFFFF"/>
        </w:rPr>
      </w:pPr>
      <w:r w:rsidRPr="00870086">
        <w:rPr>
          <w:rFonts w:ascii="Calibri" w:hAnsi="Calibri" w:cs="Calibri"/>
          <w:sz w:val="22"/>
          <w:szCs w:val="22"/>
          <w:u w:val="single"/>
          <w:shd w:val="clear" w:color="auto" w:fill="FFFFFF"/>
        </w:rPr>
        <w:t>Intérêt commercial</w:t>
      </w:r>
      <w:r w:rsidRPr="00870086">
        <w:rPr>
          <w:rFonts w:ascii="Calibri" w:hAnsi="Calibri" w:cs="Calibri"/>
          <w:sz w:val="22"/>
          <w:szCs w:val="22"/>
          <w:shd w:val="clear" w:color="auto" w:fill="FFFFFF"/>
        </w:rPr>
        <w:t> : C’est l’une des plus importantes sources commerciales de </w:t>
      </w:r>
      <w:hyperlink r:id="rId2715" w:tooltip="Carraghénane" w:history="1">
        <w:r w:rsidRPr="00870086">
          <w:rPr>
            <w:rStyle w:val="Lienhypertexte"/>
            <w:rFonts w:ascii="Calibri" w:hAnsi="Calibri" w:cs="Calibri"/>
            <w:color w:val="0645AD"/>
            <w:sz w:val="22"/>
            <w:szCs w:val="22"/>
            <w:shd w:val="clear" w:color="auto" w:fill="FFFFFF"/>
          </w:rPr>
          <w:t>carraghénanes</w:t>
        </w:r>
      </w:hyperlink>
      <w:r w:rsidRPr="00870086">
        <w:rPr>
          <w:rFonts w:ascii="Calibri" w:hAnsi="Calibri" w:cs="Calibri"/>
          <w:color w:val="202122"/>
          <w:sz w:val="22"/>
          <w:szCs w:val="22"/>
          <w:shd w:val="clear" w:color="auto" w:fill="FFFFFF"/>
        </w:rPr>
        <w:t xml:space="preserve">, </w:t>
      </w:r>
      <w:r w:rsidRPr="00870086">
        <w:rPr>
          <w:rFonts w:ascii="Calibri" w:hAnsi="Calibri" w:cs="Calibri"/>
          <w:sz w:val="22"/>
          <w:szCs w:val="22"/>
          <w:shd w:val="clear" w:color="auto" w:fill="FFFFFF"/>
        </w:rPr>
        <w:t>une famille de polysaccharides extraits d’algues rouges servant d'agent d'épaississement et de stabilisation. Les méthodes de culture a une influence sur les caractéristiques des carraghénanes que l’on peut extraire des algues.</w:t>
      </w:r>
      <w:r w:rsidR="000F398A">
        <w:rPr>
          <w:rFonts w:ascii="Calibri" w:hAnsi="Calibri" w:cs="Calibri"/>
          <w:sz w:val="22"/>
          <w:szCs w:val="22"/>
          <w:shd w:val="clear" w:color="auto" w:fill="FFFFFF"/>
        </w:rPr>
        <w:t xml:space="preserve"> </w:t>
      </w:r>
    </w:p>
    <w:p w14:paraId="04BD5089" w14:textId="5A0745C2" w:rsidR="007C5724" w:rsidRPr="000F398A" w:rsidRDefault="000F398A" w:rsidP="000F398A">
      <w:pPr>
        <w:pStyle w:val="NormalWeb"/>
        <w:shd w:val="clear" w:color="auto" w:fill="FFFFFF"/>
        <w:spacing w:before="0" w:beforeAutospacing="0" w:after="0" w:afterAutospacing="0"/>
        <w:jc w:val="both"/>
        <w:rPr>
          <w:rFonts w:ascii="Calibri" w:hAnsi="Calibri" w:cs="Calibri"/>
          <w:sz w:val="22"/>
          <w:szCs w:val="22"/>
          <w:shd w:val="clear" w:color="auto" w:fill="FFFFFF"/>
        </w:rPr>
      </w:pPr>
      <w:r w:rsidRPr="000F398A">
        <w:rPr>
          <w:rFonts w:ascii="Calibri" w:hAnsi="Calibri" w:cs="Calibri"/>
          <w:sz w:val="22"/>
          <w:szCs w:val="22"/>
          <w:u w:val="single"/>
          <w:shd w:val="clear" w:color="auto" w:fill="FFFFFF"/>
        </w:rPr>
        <w:t>Méthodes d’extraction</w:t>
      </w:r>
      <w:r>
        <w:rPr>
          <w:rFonts w:ascii="Calibri" w:hAnsi="Calibri" w:cs="Calibri"/>
          <w:sz w:val="22"/>
          <w:szCs w:val="22"/>
          <w:shd w:val="clear" w:color="auto" w:fill="FFFFFF"/>
        </w:rPr>
        <w:t xml:space="preserve"> : </w:t>
      </w:r>
      <w:r w:rsidR="0033630A" w:rsidRPr="0033630A">
        <w:rPr>
          <w:rFonts w:ascii="Calibri" w:hAnsi="Calibri" w:cs="Calibri"/>
          <w:sz w:val="22"/>
          <w:szCs w:val="22"/>
        </w:rPr>
        <w:t xml:space="preserve">Les carraghénanes peuvent être extraits de ces algues par deux méthodes. Dans </w:t>
      </w:r>
      <w:r>
        <w:rPr>
          <w:rFonts w:ascii="Calibri" w:hAnsi="Calibri" w:cs="Calibri"/>
          <w:sz w:val="22"/>
          <w:szCs w:val="22"/>
        </w:rPr>
        <w:t>celle</w:t>
      </w:r>
      <w:r w:rsidR="0033630A" w:rsidRPr="0033630A">
        <w:rPr>
          <w:rFonts w:ascii="Calibri" w:hAnsi="Calibri" w:cs="Calibri"/>
          <w:sz w:val="22"/>
          <w:szCs w:val="22"/>
        </w:rPr>
        <w:t xml:space="preserve"> d’extraction dite « </w:t>
      </w:r>
      <w:r w:rsidR="0033630A" w:rsidRPr="0033630A">
        <w:rPr>
          <w:rFonts w:ascii="Calibri" w:hAnsi="Calibri" w:cs="Calibri"/>
          <w:i/>
          <w:iCs/>
          <w:sz w:val="22"/>
          <w:szCs w:val="22"/>
        </w:rPr>
        <w:t>native</w:t>
      </w:r>
      <w:r w:rsidR="0033630A" w:rsidRPr="0033630A">
        <w:rPr>
          <w:rFonts w:ascii="Calibri" w:hAnsi="Calibri" w:cs="Calibri"/>
          <w:sz w:val="22"/>
          <w:szCs w:val="22"/>
        </w:rPr>
        <w:t xml:space="preserve"> », les algues sont mises en solution aqueuse et le résidu est filtré, laissant des carraghénanes presque purs. </w:t>
      </w:r>
      <w:r>
        <w:rPr>
          <w:rFonts w:ascii="Calibri" w:hAnsi="Calibri" w:cs="Calibri"/>
          <w:sz w:val="22"/>
          <w:szCs w:val="22"/>
        </w:rPr>
        <w:t>Celle</w:t>
      </w:r>
      <w:r w:rsidR="0033630A" w:rsidRPr="0033630A">
        <w:rPr>
          <w:rFonts w:ascii="Calibri" w:hAnsi="Calibri" w:cs="Calibri"/>
          <w:sz w:val="22"/>
          <w:szCs w:val="22"/>
        </w:rPr>
        <w:t xml:space="preserve"> alcaline modifiée est moins chère et plus facile : les algues sont broyées dans une solution alcaline, laissant un mélange de carraghénanes et de cellulose qui peut être commercialisé comme carraghénane semi-raffiné</w:t>
      </w:r>
      <w:r w:rsidR="0033630A">
        <w:rPr>
          <w:rFonts w:ascii="Calibri" w:hAnsi="Calibri" w:cs="Calibri"/>
          <w:sz w:val="22"/>
          <w:szCs w:val="22"/>
        </w:rPr>
        <w:t>.</w:t>
      </w:r>
    </w:p>
    <w:p w14:paraId="1F66B07F" w14:textId="6F18AE52" w:rsidR="0033630A" w:rsidRDefault="000F398A" w:rsidP="000F398A">
      <w:pPr>
        <w:pStyle w:val="NormalWeb"/>
        <w:shd w:val="clear" w:color="auto" w:fill="FFFFFF"/>
        <w:spacing w:before="0" w:beforeAutospacing="0" w:after="0" w:afterAutospacing="0"/>
        <w:jc w:val="both"/>
        <w:rPr>
          <w:rFonts w:ascii="Calibri" w:hAnsi="Calibri" w:cs="Calibri"/>
          <w:sz w:val="22"/>
          <w:szCs w:val="22"/>
          <w:shd w:val="clear" w:color="auto" w:fill="FFFFFF"/>
        </w:rPr>
      </w:pPr>
      <w:r w:rsidRPr="000F398A">
        <w:rPr>
          <w:rFonts w:ascii="Calibri" w:hAnsi="Calibri" w:cs="Calibri"/>
          <w:sz w:val="22"/>
          <w:szCs w:val="22"/>
          <w:u w:val="single"/>
          <w:shd w:val="clear" w:color="auto" w:fill="FFFFFF"/>
        </w:rPr>
        <w:t>Maladie</w:t>
      </w:r>
      <w:r>
        <w:rPr>
          <w:rFonts w:ascii="Calibri" w:hAnsi="Calibri" w:cs="Calibri"/>
          <w:sz w:val="22"/>
          <w:szCs w:val="22"/>
          <w:shd w:val="clear" w:color="auto" w:fill="FFFFFF"/>
        </w:rPr>
        <w:t xml:space="preserve"> : Elle </w:t>
      </w:r>
      <w:r w:rsidR="0033630A" w:rsidRPr="0033630A">
        <w:rPr>
          <w:rFonts w:ascii="Calibri" w:hAnsi="Calibri" w:cs="Calibri"/>
          <w:sz w:val="22"/>
          <w:szCs w:val="22"/>
          <w:shd w:val="clear" w:color="auto" w:fill="FFFFFF"/>
        </w:rPr>
        <w:t xml:space="preserve">peut être affectée par </w:t>
      </w:r>
      <w:r w:rsidR="0033630A" w:rsidRPr="0033630A">
        <w:rPr>
          <w:rFonts w:ascii="Calibri" w:hAnsi="Calibri" w:cs="Calibri"/>
          <w:color w:val="202122"/>
          <w:sz w:val="22"/>
          <w:szCs w:val="22"/>
          <w:shd w:val="clear" w:color="auto" w:fill="FFFFFF"/>
        </w:rPr>
        <w:t>l’</w:t>
      </w:r>
      <w:hyperlink r:id="rId2716" w:tooltip="Ice-ice (page inexistante)" w:history="1">
        <w:r w:rsidR="0033630A" w:rsidRPr="0033630A">
          <w:rPr>
            <w:rStyle w:val="Lienhypertexte"/>
            <w:rFonts w:ascii="Calibri" w:hAnsi="Calibri" w:cs="Calibri"/>
            <w:i/>
            <w:iCs/>
            <w:color w:val="DD3333"/>
            <w:sz w:val="22"/>
            <w:szCs w:val="22"/>
            <w:shd w:val="clear" w:color="auto" w:fill="FFFFFF"/>
          </w:rPr>
          <w:t>ice-ice</w:t>
        </w:r>
      </w:hyperlink>
      <w:r w:rsidR="0033630A">
        <w:rPr>
          <w:rStyle w:val="Appelnotedebasdep"/>
          <w:rFonts w:ascii="Calibri" w:hAnsi="Calibri" w:cs="Calibri"/>
          <w:i/>
          <w:iCs/>
          <w:color w:val="202122"/>
          <w:sz w:val="22"/>
          <w:szCs w:val="22"/>
          <w:shd w:val="clear" w:color="auto" w:fill="FFFFFF"/>
        </w:rPr>
        <w:footnoteReference w:id="144"/>
      </w:r>
      <w:r w:rsidR="0033630A" w:rsidRPr="0033630A">
        <w:rPr>
          <w:rFonts w:ascii="Calibri" w:hAnsi="Calibri" w:cs="Calibri"/>
          <w:color w:val="202122"/>
          <w:sz w:val="22"/>
          <w:szCs w:val="22"/>
          <w:shd w:val="clear" w:color="auto" w:fill="FFFFFF"/>
        </w:rPr>
        <w:t xml:space="preserve">, </w:t>
      </w:r>
      <w:r w:rsidR="0033630A" w:rsidRPr="0033630A">
        <w:rPr>
          <w:rFonts w:ascii="Calibri" w:hAnsi="Calibri" w:cs="Calibri"/>
          <w:sz w:val="22"/>
          <w:szCs w:val="22"/>
          <w:shd w:val="clear" w:color="auto" w:fill="FFFFFF"/>
        </w:rPr>
        <w:t>une maladie qui réduit énormément son rendement.</w:t>
      </w:r>
    </w:p>
    <w:p w14:paraId="56ABECDD" w14:textId="77777777" w:rsidR="00F82878" w:rsidRPr="00F82878" w:rsidRDefault="00F82878" w:rsidP="000F398A">
      <w:pPr>
        <w:pStyle w:val="NormalWeb"/>
        <w:shd w:val="clear" w:color="auto" w:fill="FFFFFF"/>
        <w:spacing w:before="0" w:beforeAutospacing="0" w:after="0" w:afterAutospacing="0"/>
        <w:jc w:val="both"/>
        <w:rPr>
          <w:rFonts w:ascii="Calibri" w:hAnsi="Calibri" w:cs="Calibri"/>
          <w:sz w:val="22"/>
          <w:szCs w:val="22"/>
          <w:shd w:val="clear" w:color="auto" w:fill="FFFFFF"/>
        </w:rPr>
      </w:pPr>
      <w:r>
        <w:rPr>
          <w:rFonts w:ascii="Calibri" w:hAnsi="Calibri" w:cs="Calibri"/>
          <w:sz w:val="22"/>
          <w:szCs w:val="22"/>
          <w:shd w:val="clear" w:color="auto" w:fill="FFFFFF"/>
        </w:rPr>
        <w:t xml:space="preserve">Deux variétés cultivées : </w:t>
      </w:r>
      <w:r w:rsidRPr="00F82878">
        <w:rPr>
          <w:rFonts w:ascii="Calibri" w:hAnsi="Calibri" w:cs="Calibri"/>
          <w:i/>
          <w:iCs/>
          <w:sz w:val="22"/>
          <w:szCs w:val="22"/>
          <w:shd w:val="clear" w:color="auto" w:fill="FFFFFF"/>
        </w:rPr>
        <w:t>Kappaphycus alvarezii</w:t>
      </w:r>
      <w:r w:rsidRPr="00F82878">
        <w:rPr>
          <w:rFonts w:ascii="Calibri" w:hAnsi="Calibri" w:cs="Calibri"/>
          <w:sz w:val="22"/>
          <w:szCs w:val="22"/>
          <w:shd w:val="clear" w:color="auto" w:fill="FFFFFF"/>
        </w:rPr>
        <w:t xml:space="preserve"> var. </w:t>
      </w:r>
      <w:r w:rsidRPr="00F82878">
        <w:rPr>
          <w:rFonts w:ascii="Calibri" w:hAnsi="Calibri" w:cs="Calibri"/>
          <w:i/>
          <w:iCs/>
          <w:sz w:val="22"/>
          <w:szCs w:val="22"/>
          <w:shd w:val="clear" w:color="auto" w:fill="FFFFFF"/>
        </w:rPr>
        <w:t>tambalangii</w:t>
      </w:r>
    </w:p>
    <w:p w14:paraId="1BDF253D" w14:textId="1CAAC8F5" w:rsidR="00F82878" w:rsidRPr="00F82878" w:rsidRDefault="00F82878" w:rsidP="000F398A">
      <w:pPr>
        <w:pStyle w:val="NormalWeb"/>
        <w:shd w:val="clear" w:color="auto" w:fill="FFFFFF"/>
        <w:spacing w:before="0" w:beforeAutospacing="0" w:after="0" w:afterAutospacing="0"/>
        <w:jc w:val="both"/>
        <w:rPr>
          <w:rFonts w:ascii="Calibri" w:hAnsi="Calibri" w:cs="Calibri"/>
          <w:i/>
          <w:iCs/>
          <w:sz w:val="22"/>
          <w:szCs w:val="22"/>
          <w:shd w:val="clear" w:color="auto" w:fill="FFFFFF"/>
        </w:rPr>
      </w:pPr>
      <w:r w:rsidRPr="00F82878">
        <w:rPr>
          <w:rFonts w:ascii="Calibri" w:hAnsi="Calibri" w:cs="Calibri"/>
          <w:i/>
          <w:iCs/>
          <w:sz w:val="22"/>
          <w:szCs w:val="22"/>
          <w:shd w:val="clear" w:color="auto" w:fill="FFFFFF"/>
        </w:rPr>
        <w:t>Kappaphycus alvarezii</w:t>
      </w:r>
      <w:r w:rsidRPr="00F82878">
        <w:rPr>
          <w:rFonts w:ascii="Calibri" w:hAnsi="Calibri" w:cs="Calibri"/>
          <w:sz w:val="22"/>
          <w:szCs w:val="22"/>
          <w:shd w:val="clear" w:color="auto" w:fill="FFFFFF"/>
        </w:rPr>
        <w:t xml:space="preserve"> var. </w:t>
      </w:r>
      <w:r w:rsidRPr="00F82878">
        <w:rPr>
          <w:rFonts w:ascii="Calibri" w:hAnsi="Calibri" w:cs="Calibri"/>
          <w:i/>
          <w:iCs/>
          <w:sz w:val="22"/>
          <w:szCs w:val="22"/>
          <w:shd w:val="clear" w:color="auto" w:fill="FFFFFF"/>
        </w:rPr>
        <w:t>ajakii-assii</w:t>
      </w:r>
    </w:p>
    <w:p w14:paraId="722E7F11" w14:textId="4C9D2182" w:rsidR="0033630A" w:rsidRDefault="0033630A" w:rsidP="000F398A">
      <w:pPr>
        <w:pStyle w:val="NormalWeb"/>
        <w:shd w:val="clear" w:color="auto" w:fill="FFFFFF"/>
        <w:spacing w:before="0" w:beforeAutospacing="0" w:after="0" w:afterAutospacing="0"/>
        <w:jc w:val="both"/>
        <w:rPr>
          <w:rFonts w:ascii="Calibri" w:hAnsi="Calibri" w:cs="Calibri"/>
          <w:sz w:val="22"/>
          <w:szCs w:val="22"/>
          <w:shd w:val="clear" w:color="auto" w:fill="FFFFFF"/>
        </w:rPr>
      </w:pPr>
      <w:r>
        <w:rPr>
          <w:rFonts w:ascii="Calibri" w:hAnsi="Calibri" w:cs="Calibri"/>
          <w:sz w:val="22"/>
          <w:szCs w:val="22"/>
          <w:shd w:val="clear" w:color="auto" w:fill="FFFFFF"/>
        </w:rPr>
        <w:t xml:space="preserve">Sources : a) </w:t>
      </w:r>
      <w:hyperlink r:id="rId2717" w:history="1">
        <w:r w:rsidRPr="00224761">
          <w:rPr>
            <w:rStyle w:val="Lienhypertexte"/>
            <w:rFonts w:ascii="Calibri" w:hAnsi="Calibri" w:cs="Calibri"/>
            <w:sz w:val="22"/>
            <w:szCs w:val="22"/>
            <w:shd w:val="clear" w:color="auto" w:fill="FFFFFF"/>
          </w:rPr>
          <w:t>https://fr.wikipedia.org/wiki/Kappaphycus_alvarezii</w:t>
        </w:r>
      </w:hyperlink>
      <w:r>
        <w:rPr>
          <w:rFonts w:ascii="Calibri" w:hAnsi="Calibri" w:cs="Calibri"/>
          <w:sz w:val="22"/>
          <w:szCs w:val="22"/>
          <w:shd w:val="clear" w:color="auto" w:fill="FFFFFF"/>
        </w:rPr>
        <w:t xml:space="preserve">, </w:t>
      </w:r>
    </w:p>
    <w:p w14:paraId="431B4E18" w14:textId="6A84AAE9" w:rsidR="0033630A" w:rsidRDefault="0033630A" w:rsidP="000F398A">
      <w:pPr>
        <w:pStyle w:val="NormalWeb"/>
        <w:shd w:val="clear" w:color="auto" w:fill="FFFFFF"/>
        <w:spacing w:before="0" w:beforeAutospacing="0" w:after="0" w:afterAutospacing="0"/>
        <w:jc w:val="both"/>
        <w:rPr>
          <w:rStyle w:val="Lienhypertexte"/>
          <w:rFonts w:ascii="Calibri" w:hAnsi="Calibri" w:cs="Calibri"/>
          <w:sz w:val="22"/>
          <w:szCs w:val="22"/>
          <w:shd w:val="clear" w:color="auto" w:fill="FFFFFF"/>
          <w:lang w:val="en-GB"/>
        </w:rPr>
      </w:pPr>
      <w:r w:rsidRPr="0033630A">
        <w:rPr>
          <w:rFonts w:ascii="Calibri" w:hAnsi="Calibri" w:cs="Calibri"/>
          <w:sz w:val="22"/>
          <w:szCs w:val="22"/>
          <w:shd w:val="clear" w:color="auto" w:fill="FFFFFF"/>
          <w:lang w:val="en-GB"/>
        </w:rPr>
        <w:t xml:space="preserve">b) </w:t>
      </w:r>
      <w:hyperlink r:id="rId2718" w:history="1">
        <w:r w:rsidRPr="00224761">
          <w:rPr>
            <w:rStyle w:val="Lienhypertexte"/>
            <w:rFonts w:ascii="Calibri" w:hAnsi="Calibri" w:cs="Calibri"/>
            <w:sz w:val="22"/>
            <w:szCs w:val="22"/>
            <w:shd w:val="clear" w:color="auto" w:fill="FFFFFF"/>
            <w:lang w:val="en-GB"/>
          </w:rPr>
          <w:t>https://en.wikipedia.org/wiki/Kappaphycus_alvarezii</w:t>
        </w:r>
      </w:hyperlink>
    </w:p>
    <w:p w14:paraId="1E52D0FC" w14:textId="36277795" w:rsidR="0033630A" w:rsidRDefault="00BB6CD5" w:rsidP="000F398A">
      <w:pPr>
        <w:pStyle w:val="NormalWeb"/>
        <w:shd w:val="clear" w:color="auto" w:fill="FFFFFF"/>
        <w:spacing w:before="0" w:beforeAutospacing="0" w:after="0" w:afterAutospacing="0"/>
        <w:jc w:val="both"/>
        <w:rPr>
          <w:rFonts w:ascii="Calibri" w:hAnsi="Calibri" w:cs="Calibri"/>
          <w:sz w:val="22"/>
          <w:szCs w:val="22"/>
          <w:shd w:val="clear" w:color="auto" w:fill="FFFFFF"/>
          <w:lang w:val="en-GB"/>
        </w:rPr>
      </w:pPr>
      <w:r>
        <w:rPr>
          <w:rFonts w:ascii="Calibri" w:hAnsi="Calibri" w:cs="Calibri"/>
          <w:sz w:val="22"/>
          <w:szCs w:val="22"/>
          <w:shd w:val="clear" w:color="auto" w:fill="FFFFFF"/>
          <w:lang w:val="en-GB"/>
        </w:rPr>
        <w:t xml:space="preserve">c) </w:t>
      </w:r>
      <w:hyperlink r:id="rId2719" w:history="1">
        <w:r w:rsidRPr="00E059F7">
          <w:rPr>
            <w:rStyle w:val="Lienhypertexte"/>
            <w:rFonts w:ascii="Calibri" w:hAnsi="Calibri" w:cs="Calibri"/>
            <w:sz w:val="22"/>
            <w:szCs w:val="22"/>
            <w:shd w:val="clear" w:color="auto" w:fill="FFFFFF"/>
            <w:lang w:val="en-GB"/>
          </w:rPr>
          <w:t>https://www.algaebase.org/search/species/detail/?species_id=2811&amp;sk=0&amp;from=results</w:t>
        </w:r>
      </w:hyperlink>
      <w:r>
        <w:rPr>
          <w:rFonts w:ascii="Calibri" w:hAnsi="Calibri" w:cs="Calibri"/>
          <w:sz w:val="22"/>
          <w:szCs w:val="22"/>
          <w:shd w:val="clear" w:color="auto" w:fill="FFFFFF"/>
          <w:lang w:val="en-GB"/>
        </w:rPr>
        <w:t xml:space="preserve"> </w:t>
      </w:r>
    </w:p>
    <w:p w14:paraId="4B6D4E8C" w14:textId="77777777" w:rsidR="00BB6CD5" w:rsidRDefault="00BB6CD5" w:rsidP="000F398A">
      <w:pPr>
        <w:pStyle w:val="NormalWeb"/>
        <w:shd w:val="clear" w:color="auto" w:fill="FFFFFF"/>
        <w:spacing w:before="0" w:beforeAutospacing="0" w:after="0" w:afterAutospacing="0"/>
        <w:jc w:val="both"/>
        <w:rPr>
          <w:rFonts w:ascii="Calibri" w:hAnsi="Calibri" w:cs="Calibri"/>
          <w:sz w:val="22"/>
          <w:szCs w:val="22"/>
          <w:shd w:val="clear" w:color="auto" w:fill="FFFFFF"/>
          <w:lang w:val="en-G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40"/>
        <w:gridCol w:w="3440"/>
        <w:gridCol w:w="3546"/>
      </w:tblGrid>
      <w:tr w:rsidR="000F398A" w:rsidRPr="00C5410D" w14:paraId="2E45E86D" w14:textId="77777777" w:rsidTr="00DC296B">
        <w:tc>
          <w:tcPr>
            <w:tcW w:w="3472" w:type="dxa"/>
          </w:tcPr>
          <w:p w14:paraId="13844665" w14:textId="77777777" w:rsidR="000F398A" w:rsidRDefault="000F398A" w:rsidP="000F398A">
            <w:pPr>
              <w:pStyle w:val="NormalWeb"/>
              <w:spacing w:before="0" w:beforeAutospacing="0" w:after="0" w:afterAutospacing="0"/>
              <w:jc w:val="center"/>
              <w:rPr>
                <w:rFonts w:ascii="Calibri" w:hAnsi="Calibri" w:cs="Calibri"/>
                <w:sz w:val="22"/>
                <w:szCs w:val="22"/>
                <w:lang w:val="en-GB"/>
              </w:rPr>
            </w:pPr>
            <w:r>
              <w:rPr>
                <w:noProof/>
              </w:rPr>
              <w:drawing>
                <wp:inline distT="0" distB="0" distL="0" distR="0" wp14:anchorId="344C5CE3" wp14:editId="30D030F1">
                  <wp:extent cx="1958578" cy="1466850"/>
                  <wp:effectExtent l="0" t="0" r="3810" b="0"/>
                  <wp:docPr id="48150" name="Image 48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2720">
                            <a:extLst>
                              <a:ext uri="{28A0092B-C50C-407E-A947-70E740481C1C}">
                                <a14:useLocalDpi xmlns:a14="http://schemas.microsoft.com/office/drawing/2010/main" val="0"/>
                              </a:ext>
                            </a:extLst>
                          </a:blip>
                          <a:srcRect/>
                          <a:stretch>
                            <a:fillRect/>
                          </a:stretch>
                        </pic:blipFill>
                        <pic:spPr bwMode="auto">
                          <a:xfrm>
                            <a:off x="0" y="0"/>
                            <a:ext cx="1963520" cy="1470551"/>
                          </a:xfrm>
                          <a:prstGeom prst="rect">
                            <a:avLst/>
                          </a:prstGeom>
                          <a:noFill/>
                          <a:ln>
                            <a:noFill/>
                          </a:ln>
                        </pic:spPr>
                      </pic:pic>
                    </a:graphicData>
                  </a:graphic>
                </wp:inline>
              </w:drawing>
            </w:r>
          </w:p>
          <w:p w14:paraId="482EAF98" w14:textId="719248F3" w:rsidR="000F398A" w:rsidRPr="000F398A" w:rsidRDefault="000F398A" w:rsidP="000F398A">
            <w:pPr>
              <w:pStyle w:val="NormalWeb"/>
              <w:spacing w:before="0" w:beforeAutospacing="0" w:after="0" w:afterAutospacing="0"/>
              <w:jc w:val="center"/>
              <w:rPr>
                <w:rFonts w:ascii="Calibri" w:hAnsi="Calibri" w:cs="Calibri"/>
                <w:sz w:val="22"/>
                <w:szCs w:val="22"/>
                <w:lang w:val="es-AR"/>
              </w:rPr>
            </w:pPr>
            <w:r w:rsidRPr="000F398A">
              <w:rPr>
                <w:rFonts w:ascii="Calibri" w:hAnsi="Calibri" w:cs="Calibri"/>
                <w:sz w:val="22"/>
                <w:szCs w:val="22"/>
                <w:lang w:val="es-AR"/>
              </w:rPr>
              <w:t xml:space="preserve">Ilha Grande Bay - Rio de Janeiro State </w:t>
            </w:r>
            <w:r>
              <w:rPr>
                <w:rFonts w:ascii="Calibri" w:hAnsi="Calibri" w:cs="Calibri"/>
                <w:sz w:val="22"/>
                <w:szCs w:val="22"/>
                <w:lang w:val="es-AR"/>
              </w:rPr>
              <w:t>–</w:t>
            </w:r>
            <w:r w:rsidRPr="000F398A">
              <w:rPr>
                <w:rFonts w:ascii="Calibri" w:hAnsi="Calibri" w:cs="Calibri"/>
                <w:sz w:val="22"/>
                <w:szCs w:val="22"/>
                <w:lang w:val="es-AR"/>
              </w:rPr>
              <w:t xml:space="preserve"> Brazil</w:t>
            </w:r>
            <w:r>
              <w:rPr>
                <w:rFonts w:ascii="Calibri" w:hAnsi="Calibri" w:cs="Calibri"/>
                <w:sz w:val="22"/>
                <w:szCs w:val="22"/>
                <w:lang w:val="es-AR"/>
              </w:rPr>
              <w:t xml:space="preserve"> </w:t>
            </w:r>
            <w:r w:rsidRPr="000F398A">
              <w:rPr>
                <w:rFonts w:ascii="Calibri" w:hAnsi="Calibri" w:cs="Calibri"/>
                <w:sz w:val="22"/>
                <w:szCs w:val="22"/>
                <w:lang w:val="es-AR"/>
              </w:rPr>
              <w:t>© Miguel Sepulveda</w:t>
            </w:r>
          </w:p>
        </w:tc>
        <w:tc>
          <w:tcPr>
            <w:tcW w:w="3472" w:type="dxa"/>
          </w:tcPr>
          <w:p w14:paraId="30B77EF0" w14:textId="77777777" w:rsidR="000F398A" w:rsidRDefault="000F398A" w:rsidP="000F398A">
            <w:pPr>
              <w:pStyle w:val="NormalWeb"/>
              <w:spacing w:before="0" w:beforeAutospacing="0" w:after="0" w:afterAutospacing="0"/>
              <w:jc w:val="center"/>
              <w:rPr>
                <w:rFonts w:ascii="Calibri" w:hAnsi="Calibri" w:cs="Calibri"/>
                <w:sz w:val="22"/>
                <w:szCs w:val="22"/>
                <w:lang w:val="es-AR"/>
              </w:rPr>
            </w:pPr>
            <w:r>
              <w:rPr>
                <w:noProof/>
              </w:rPr>
              <w:drawing>
                <wp:inline distT="0" distB="0" distL="0" distR="0" wp14:anchorId="40D09736" wp14:editId="58BD2C46">
                  <wp:extent cx="1958320" cy="1466850"/>
                  <wp:effectExtent l="0" t="0" r="4445" b="0"/>
                  <wp:docPr id="48151" name="Image 48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2721">
                            <a:extLst>
                              <a:ext uri="{28A0092B-C50C-407E-A947-70E740481C1C}">
                                <a14:useLocalDpi xmlns:a14="http://schemas.microsoft.com/office/drawing/2010/main" val="0"/>
                              </a:ext>
                            </a:extLst>
                          </a:blip>
                          <a:srcRect/>
                          <a:stretch>
                            <a:fillRect/>
                          </a:stretch>
                        </pic:blipFill>
                        <pic:spPr bwMode="auto">
                          <a:xfrm>
                            <a:off x="0" y="0"/>
                            <a:ext cx="1968575" cy="1474532"/>
                          </a:xfrm>
                          <a:prstGeom prst="rect">
                            <a:avLst/>
                          </a:prstGeom>
                          <a:noFill/>
                          <a:ln>
                            <a:noFill/>
                          </a:ln>
                        </pic:spPr>
                      </pic:pic>
                    </a:graphicData>
                  </a:graphic>
                </wp:inline>
              </w:drawing>
            </w:r>
          </w:p>
          <w:p w14:paraId="389C706F" w14:textId="77777777" w:rsidR="00C5410D" w:rsidRDefault="00C5410D" w:rsidP="000F398A">
            <w:pPr>
              <w:pStyle w:val="NormalWeb"/>
              <w:spacing w:before="0" w:beforeAutospacing="0" w:after="0" w:afterAutospacing="0"/>
              <w:jc w:val="center"/>
              <w:rPr>
                <w:rFonts w:ascii="Calibri" w:hAnsi="Calibri" w:cs="Calibri"/>
                <w:sz w:val="22"/>
                <w:szCs w:val="22"/>
                <w:lang w:val="es-AR"/>
              </w:rPr>
            </w:pPr>
            <w:r w:rsidRPr="00C5410D">
              <w:rPr>
                <w:rFonts w:ascii="Calibri" w:hAnsi="Calibri" w:cs="Calibri"/>
                <w:sz w:val="22"/>
                <w:szCs w:val="22"/>
              </w:rPr>
              <w:t xml:space="preserve">Souches brunes, vertes et rouges de </w:t>
            </w:r>
            <w:r w:rsidRPr="00C5410D">
              <w:rPr>
                <w:rFonts w:ascii="Calibri" w:hAnsi="Calibri" w:cs="Calibri"/>
                <w:i/>
                <w:iCs/>
                <w:sz w:val="22"/>
                <w:szCs w:val="22"/>
              </w:rPr>
              <w:t>Kappaphycus alvarezii</w:t>
            </w:r>
            <w:r w:rsidRPr="00C5410D">
              <w:rPr>
                <w:rFonts w:ascii="Calibri" w:hAnsi="Calibri" w:cs="Calibri"/>
                <w:sz w:val="22"/>
                <w:szCs w:val="22"/>
              </w:rPr>
              <w:t xml:space="preserve"> plantées dans des filets tubulaires, cultivées à Florianópolis, Santa Catarina, Brésil. </w:t>
            </w:r>
            <w:r w:rsidRPr="00C5410D">
              <w:rPr>
                <w:rFonts w:ascii="Calibri" w:hAnsi="Calibri" w:cs="Calibri"/>
                <w:sz w:val="22"/>
                <w:szCs w:val="22"/>
                <w:lang w:val="es-AR"/>
              </w:rPr>
              <w:t xml:space="preserve">2009. </w:t>
            </w:r>
            <w:r w:rsidRPr="000F398A">
              <w:rPr>
                <w:rFonts w:ascii="Calibri" w:hAnsi="Calibri" w:cs="Calibri"/>
                <w:sz w:val="22"/>
                <w:szCs w:val="22"/>
                <w:lang w:val="es-AR"/>
              </w:rPr>
              <w:t xml:space="preserve">© </w:t>
            </w:r>
            <w:r w:rsidRPr="00C5410D">
              <w:rPr>
                <w:rFonts w:ascii="Calibri" w:hAnsi="Calibri" w:cs="Calibri"/>
                <w:sz w:val="22"/>
                <w:szCs w:val="22"/>
                <w:lang w:val="es-AR"/>
              </w:rPr>
              <w:t>Leila Hayashi</w:t>
            </w:r>
            <w:r>
              <w:rPr>
                <w:rFonts w:ascii="Calibri" w:hAnsi="Calibri" w:cs="Calibri"/>
                <w:sz w:val="22"/>
                <w:szCs w:val="22"/>
                <w:lang w:val="es-AR"/>
              </w:rPr>
              <w:t>.</w:t>
            </w:r>
          </w:p>
          <w:p w14:paraId="421325D2" w14:textId="617AA1C2" w:rsidR="00576232" w:rsidRPr="000F398A" w:rsidRDefault="00576232" w:rsidP="000F398A">
            <w:pPr>
              <w:pStyle w:val="NormalWeb"/>
              <w:spacing w:before="0" w:beforeAutospacing="0" w:after="0" w:afterAutospacing="0"/>
              <w:jc w:val="center"/>
              <w:rPr>
                <w:rFonts w:ascii="Calibri" w:hAnsi="Calibri" w:cs="Calibri"/>
                <w:sz w:val="22"/>
                <w:szCs w:val="22"/>
                <w:lang w:val="es-AR"/>
              </w:rPr>
            </w:pPr>
          </w:p>
        </w:tc>
        <w:tc>
          <w:tcPr>
            <w:tcW w:w="3472" w:type="dxa"/>
          </w:tcPr>
          <w:p w14:paraId="7E1B7FA8" w14:textId="77777777" w:rsidR="000F398A" w:rsidRDefault="000F398A" w:rsidP="000F398A">
            <w:pPr>
              <w:pStyle w:val="NormalWeb"/>
              <w:spacing w:before="0" w:beforeAutospacing="0" w:after="0" w:afterAutospacing="0"/>
              <w:jc w:val="center"/>
              <w:rPr>
                <w:rFonts w:ascii="Calibri" w:hAnsi="Calibri" w:cs="Calibri"/>
                <w:sz w:val="22"/>
                <w:szCs w:val="22"/>
                <w:lang w:val="es-AR"/>
              </w:rPr>
            </w:pPr>
            <w:r>
              <w:rPr>
                <w:noProof/>
              </w:rPr>
              <w:drawing>
                <wp:inline distT="0" distB="0" distL="0" distR="0" wp14:anchorId="02E3AE63" wp14:editId="7F8C207A">
                  <wp:extent cx="2060051" cy="1543050"/>
                  <wp:effectExtent l="0" t="0" r="0" b="0"/>
                  <wp:docPr id="48152" name="Image 48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2722">
                            <a:extLst>
                              <a:ext uri="{28A0092B-C50C-407E-A947-70E740481C1C}">
                                <a14:useLocalDpi xmlns:a14="http://schemas.microsoft.com/office/drawing/2010/main" val="0"/>
                              </a:ext>
                            </a:extLst>
                          </a:blip>
                          <a:srcRect/>
                          <a:stretch>
                            <a:fillRect/>
                          </a:stretch>
                        </pic:blipFill>
                        <pic:spPr bwMode="auto">
                          <a:xfrm>
                            <a:off x="0" y="0"/>
                            <a:ext cx="2069541" cy="1550158"/>
                          </a:xfrm>
                          <a:prstGeom prst="rect">
                            <a:avLst/>
                          </a:prstGeom>
                          <a:noFill/>
                          <a:ln>
                            <a:noFill/>
                          </a:ln>
                        </pic:spPr>
                      </pic:pic>
                    </a:graphicData>
                  </a:graphic>
                </wp:inline>
              </w:drawing>
            </w:r>
          </w:p>
          <w:p w14:paraId="739ECDB1" w14:textId="2D96FFBF" w:rsidR="00BB6CD5" w:rsidRPr="000F398A" w:rsidRDefault="00BB6CD5" w:rsidP="000F398A">
            <w:pPr>
              <w:pStyle w:val="NormalWeb"/>
              <w:spacing w:before="0" w:beforeAutospacing="0" w:after="0" w:afterAutospacing="0"/>
              <w:jc w:val="center"/>
              <w:rPr>
                <w:rFonts w:ascii="Calibri" w:hAnsi="Calibri" w:cs="Calibri"/>
                <w:sz w:val="22"/>
                <w:szCs w:val="22"/>
                <w:lang w:val="es-AR"/>
              </w:rPr>
            </w:pPr>
            <w:r w:rsidRPr="00BB6CD5">
              <w:rPr>
                <w:rFonts w:ascii="Calibri" w:hAnsi="Calibri" w:cs="Calibri"/>
                <w:sz w:val="22"/>
                <w:szCs w:val="22"/>
                <w:lang w:val="es-AR"/>
              </w:rPr>
              <w:t>Shrimp Farm</w:t>
            </w:r>
            <w:r w:rsidR="00EA598E">
              <w:rPr>
                <w:rFonts w:ascii="Calibri" w:hAnsi="Calibri" w:cs="Calibri"/>
                <w:sz w:val="22"/>
                <w:szCs w:val="22"/>
                <w:lang w:val="es-AR"/>
              </w:rPr>
              <w:t xml:space="preserve"> (</w:t>
            </w:r>
            <w:r w:rsidR="00EA598E" w:rsidRPr="00EA598E">
              <w:rPr>
                <w:rFonts w:ascii="Calibri" w:hAnsi="Calibri" w:cs="Calibri"/>
                <w:sz w:val="22"/>
                <w:szCs w:val="22"/>
                <w:lang w:val="es-AR"/>
              </w:rPr>
              <w:t>Ferme de crevettes</w:t>
            </w:r>
            <w:r w:rsidR="00EA598E">
              <w:rPr>
                <w:rFonts w:ascii="Calibri" w:hAnsi="Calibri" w:cs="Calibri"/>
                <w:sz w:val="22"/>
                <w:szCs w:val="22"/>
                <w:lang w:val="es-AR"/>
              </w:rPr>
              <w:t>)</w:t>
            </w:r>
            <w:r w:rsidRPr="00BB6CD5">
              <w:rPr>
                <w:rFonts w:ascii="Calibri" w:hAnsi="Calibri" w:cs="Calibri"/>
                <w:sz w:val="22"/>
                <w:szCs w:val="22"/>
                <w:lang w:val="es-AR"/>
              </w:rPr>
              <w:t xml:space="preserve"> </w:t>
            </w:r>
            <w:r w:rsidR="00EA598E">
              <w:rPr>
                <w:rFonts w:ascii="Calibri" w:hAnsi="Calibri" w:cs="Calibri"/>
                <w:sz w:val="22"/>
                <w:szCs w:val="22"/>
                <w:lang w:val="es-AR"/>
              </w:rPr>
              <w:t>–</w:t>
            </w:r>
            <w:r w:rsidRPr="00BB6CD5">
              <w:rPr>
                <w:rFonts w:ascii="Calibri" w:hAnsi="Calibri" w:cs="Calibri"/>
                <w:sz w:val="22"/>
                <w:szCs w:val="22"/>
                <w:lang w:val="es-AR"/>
              </w:rPr>
              <w:t xml:space="preserve"> Ecuador</w:t>
            </w:r>
            <w:r w:rsidR="00EA598E">
              <w:rPr>
                <w:rFonts w:ascii="Calibri" w:hAnsi="Calibri" w:cs="Calibri"/>
                <w:sz w:val="22"/>
                <w:szCs w:val="22"/>
                <w:lang w:val="es-AR"/>
              </w:rPr>
              <w:t xml:space="preserve"> (Equateur).</w:t>
            </w:r>
            <w:r w:rsidRPr="00BB6CD5">
              <w:rPr>
                <w:rFonts w:ascii="Calibri" w:hAnsi="Calibri" w:cs="Calibri"/>
                <w:sz w:val="22"/>
                <w:szCs w:val="22"/>
                <w:lang w:val="es-AR"/>
              </w:rPr>
              <w:t xml:space="preserve"> 2011. </w:t>
            </w:r>
            <w:r>
              <w:rPr>
                <w:rFonts w:ascii="Calibri" w:hAnsi="Calibri" w:cs="Calibri"/>
                <w:sz w:val="22"/>
                <w:szCs w:val="22"/>
                <w:lang w:val="es-AR"/>
              </w:rPr>
              <w:t xml:space="preserve">© </w:t>
            </w:r>
            <w:r w:rsidRPr="00BB6CD5">
              <w:rPr>
                <w:rFonts w:ascii="Calibri" w:hAnsi="Calibri" w:cs="Calibri"/>
                <w:sz w:val="22"/>
                <w:szCs w:val="22"/>
                <w:lang w:val="es-AR"/>
              </w:rPr>
              <w:t>Miguel Sepulveda</w:t>
            </w:r>
          </w:p>
        </w:tc>
      </w:tr>
      <w:tr w:rsidR="000F398A" w:rsidRPr="00BB6CD5" w14:paraId="63B00091" w14:textId="77777777" w:rsidTr="00DC296B">
        <w:tc>
          <w:tcPr>
            <w:tcW w:w="3472" w:type="dxa"/>
          </w:tcPr>
          <w:p w14:paraId="57748B59" w14:textId="77777777" w:rsidR="000F398A" w:rsidRDefault="00BB6CD5" w:rsidP="000F398A">
            <w:pPr>
              <w:pStyle w:val="NormalWeb"/>
              <w:spacing w:before="0" w:beforeAutospacing="0" w:after="0" w:afterAutospacing="0"/>
              <w:jc w:val="center"/>
              <w:rPr>
                <w:rFonts w:ascii="Calibri" w:hAnsi="Calibri" w:cs="Calibri"/>
                <w:sz w:val="22"/>
                <w:szCs w:val="22"/>
                <w:lang w:val="es-AR"/>
              </w:rPr>
            </w:pPr>
            <w:r>
              <w:rPr>
                <w:noProof/>
              </w:rPr>
              <w:drawing>
                <wp:inline distT="0" distB="0" distL="0" distR="0" wp14:anchorId="56A05E0A" wp14:editId="5805445D">
                  <wp:extent cx="1905000" cy="1266825"/>
                  <wp:effectExtent l="0" t="0" r="0" b="9525"/>
                  <wp:docPr id="80896" name="Image 80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23">
                            <a:extLst>
                              <a:ext uri="{28A0092B-C50C-407E-A947-70E740481C1C}">
                                <a14:useLocalDpi xmlns:a14="http://schemas.microsoft.com/office/drawing/2010/main" val="0"/>
                              </a:ext>
                            </a:extLst>
                          </a:blip>
                          <a:srcRect/>
                          <a:stretch>
                            <a:fillRect/>
                          </a:stretch>
                        </pic:blipFill>
                        <pic:spPr bwMode="auto">
                          <a:xfrm>
                            <a:off x="0" y="0"/>
                            <a:ext cx="1905000" cy="1266825"/>
                          </a:xfrm>
                          <a:prstGeom prst="rect">
                            <a:avLst/>
                          </a:prstGeom>
                          <a:noFill/>
                          <a:ln>
                            <a:noFill/>
                          </a:ln>
                        </pic:spPr>
                      </pic:pic>
                    </a:graphicData>
                  </a:graphic>
                </wp:inline>
              </w:drawing>
            </w:r>
          </w:p>
          <w:p w14:paraId="4AF27171" w14:textId="74C7FC1E" w:rsidR="00BB6CD5" w:rsidRPr="000F398A" w:rsidRDefault="00BB6CD5" w:rsidP="000F398A">
            <w:pPr>
              <w:pStyle w:val="NormalWeb"/>
              <w:spacing w:before="0" w:beforeAutospacing="0" w:after="0" w:afterAutospacing="0"/>
              <w:jc w:val="center"/>
              <w:rPr>
                <w:rFonts w:ascii="Calibri" w:hAnsi="Calibri" w:cs="Calibri"/>
                <w:sz w:val="22"/>
                <w:szCs w:val="22"/>
                <w:lang w:val="es-AR"/>
              </w:rPr>
            </w:pPr>
            <w:r w:rsidRPr="00D12507">
              <w:rPr>
                <w:rFonts w:ascii="Calibri" w:hAnsi="Calibri" w:cs="Calibri"/>
                <w:sz w:val="22"/>
                <w:szCs w:val="22"/>
              </w:rPr>
              <w:t xml:space="preserve">Zanzibar, </w:t>
            </w:r>
            <w:r w:rsidR="00E36341" w:rsidRPr="00D12507">
              <w:rPr>
                <w:rFonts w:ascii="Calibri" w:hAnsi="Calibri" w:cs="Calibri"/>
                <w:sz w:val="22"/>
                <w:szCs w:val="22"/>
              </w:rPr>
              <w:t xml:space="preserve">île de </w:t>
            </w:r>
            <w:r w:rsidRPr="00D12507">
              <w:rPr>
                <w:rFonts w:ascii="Calibri" w:hAnsi="Calibri" w:cs="Calibri"/>
                <w:sz w:val="22"/>
                <w:szCs w:val="22"/>
              </w:rPr>
              <w:t>Pemba, 2018. 11 Ju</w:t>
            </w:r>
            <w:r w:rsidR="00E36341" w:rsidRPr="00D12507">
              <w:rPr>
                <w:rFonts w:ascii="Calibri" w:hAnsi="Calibri" w:cs="Calibri"/>
                <w:sz w:val="22"/>
                <w:szCs w:val="22"/>
              </w:rPr>
              <w:t>i</w:t>
            </w:r>
            <w:r w:rsidRPr="00D12507">
              <w:rPr>
                <w:rFonts w:ascii="Calibri" w:hAnsi="Calibri" w:cs="Calibri"/>
                <w:sz w:val="22"/>
                <w:szCs w:val="22"/>
              </w:rPr>
              <w:t xml:space="preserve">n 2020. </w:t>
            </w:r>
            <w:r>
              <w:rPr>
                <w:rFonts w:ascii="Calibri" w:hAnsi="Calibri" w:cs="Calibri"/>
                <w:sz w:val="22"/>
                <w:szCs w:val="22"/>
                <w:lang w:val="es-AR"/>
              </w:rPr>
              <w:t>©</w:t>
            </w:r>
            <w:r w:rsidRPr="00BB6CD5">
              <w:rPr>
                <w:rFonts w:ascii="Calibri" w:hAnsi="Calibri" w:cs="Calibri"/>
                <w:sz w:val="22"/>
                <w:szCs w:val="22"/>
                <w:lang w:val="es-AR"/>
              </w:rPr>
              <w:t xml:space="preserve"> Miguel Sepulveda</w:t>
            </w:r>
          </w:p>
        </w:tc>
        <w:tc>
          <w:tcPr>
            <w:tcW w:w="3472" w:type="dxa"/>
          </w:tcPr>
          <w:p w14:paraId="62BD6AA6" w14:textId="288B3092" w:rsidR="000F398A" w:rsidRDefault="00E36341" w:rsidP="000F398A">
            <w:pPr>
              <w:pStyle w:val="NormalWeb"/>
              <w:spacing w:before="0" w:beforeAutospacing="0" w:after="0" w:afterAutospacing="0"/>
              <w:jc w:val="center"/>
              <w:rPr>
                <w:rFonts w:ascii="Calibri" w:hAnsi="Calibri" w:cs="Calibri"/>
                <w:sz w:val="22"/>
                <w:szCs w:val="22"/>
                <w:lang w:val="es-AR"/>
              </w:rPr>
            </w:pPr>
            <w:r>
              <w:rPr>
                <w:noProof/>
              </w:rPr>
              <w:drawing>
                <wp:inline distT="0" distB="0" distL="0" distR="0" wp14:anchorId="0F3A9E01" wp14:editId="1C6C03CA">
                  <wp:extent cx="1695450" cy="902862"/>
                  <wp:effectExtent l="0" t="0" r="0" b="0"/>
                  <wp:docPr id="80899" name="Image 80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24">
                            <a:extLst>
                              <a:ext uri="{28A0092B-C50C-407E-A947-70E740481C1C}">
                                <a14:useLocalDpi xmlns:a14="http://schemas.microsoft.com/office/drawing/2010/main" val="0"/>
                              </a:ext>
                            </a:extLst>
                          </a:blip>
                          <a:srcRect/>
                          <a:stretch>
                            <a:fillRect/>
                          </a:stretch>
                        </pic:blipFill>
                        <pic:spPr bwMode="auto">
                          <a:xfrm>
                            <a:off x="0" y="0"/>
                            <a:ext cx="1709163" cy="910164"/>
                          </a:xfrm>
                          <a:prstGeom prst="rect">
                            <a:avLst/>
                          </a:prstGeom>
                          <a:noFill/>
                          <a:ln>
                            <a:noFill/>
                          </a:ln>
                        </pic:spPr>
                      </pic:pic>
                    </a:graphicData>
                  </a:graphic>
                </wp:inline>
              </w:drawing>
            </w:r>
          </w:p>
          <w:p w14:paraId="51F6DFB4" w14:textId="49A32995" w:rsidR="00EA598E" w:rsidRPr="00EA598E" w:rsidRDefault="00EA598E" w:rsidP="000F398A">
            <w:pPr>
              <w:pStyle w:val="NormalWeb"/>
              <w:spacing w:before="0" w:beforeAutospacing="0" w:after="0" w:afterAutospacing="0"/>
              <w:jc w:val="center"/>
              <w:rPr>
                <w:rFonts w:ascii="Calibri" w:hAnsi="Calibri" w:cs="Calibri"/>
                <w:sz w:val="22"/>
                <w:szCs w:val="22"/>
              </w:rPr>
            </w:pPr>
            <w:r w:rsidRPr="00EA598E">
              <w:rPr>
                <w:rFonts w:ascii="Calibri" w:hAnsi="Calibri" w:cs="Calibri"/>
                <w:sz w:val="22"/>
                <w:szCs w:val="22"/>
              </w:rPr>
              <w:t xml:space="preserve">Mousse </w:t>
            </w:r>
            <w:r w:rsidR="00E36341">
              <w:rPr>
                <w:rFonts w:ascii="Calibri" w:hAnsi="Calibri" w:cs="Calibri"/>
                <w:sz w:val="22"/>
                <w:szCs w:val="22"/>
              </w:rPr>
              <w:t>de mer</w:t>
            </w:r>
            <w:r w:rsidRPr="00EA598E">
              <w:rPr>
                <w:rFonts w:ascii="Calibri" w:hAnsi="Calibri" w:cs="Calibri"/>
                <w:sz w:val="22"/>
                <w:szCs w:val="22"/>
              </w:rPr>
              <w:t xml:space="preserve"> (</w:t>
            </w:r>
            <w:r w:rsidRPr="00EA598E">
              <w:rPr>
                <w:rFonts w:ascii="Calibri" w:hAnsi="Calibri" w:cs="Calibri"/>
                <w:i/>
                <w:iCs/>
                <w:sz w:val="22"/>
                <w:szCs w:val="22"/>
              </w:rPr>
              <w:t>Kappaphycus alvarezii)</w:t>
            </w:r>
            <w:r w:rsidRPr="00EA598E">
              <w:rPr>
                <w:rFonts w:ascii="Calibri" w:hAnsi="Calibri" w:cs="Calibri"/>
                <w:sz w:val="22"/>
                <w:szCs w:val="22"/>
              </w:rPr>
              <w:t xml:space="preserve"> sur les lignes de culture, en eau peu profonde à Saint-Kitts ©FAO/Stankus</w:t>
            </w:r>
            <w:r w:rsidR="00E36341">
              <w:rPr>
                <w:rFonts w:ascii="Calibri" w:hAnsi="Calibri" w:cs="Calibri"/>
                <w:sz w:val="22"/>
                <w:szCs w:val="22"/>
              </w:rPr>
              <w:t>.</w:t>
            </w:r>
          </w:p>
        </w:tc>
        <w:tc>
          <w:tcPr>
            <w:tcW w:w="3472" w:type="dxa"/>
          </w:tcPr>
          <w:p w14:paraId="74500305" w14:textId="77777777" w:rsidR="000F398A" w:rsidRDefault="00922F45" w:rsidP="000F398A">
            <w:pPr>
              <w:pStyle w:val="NormalWeb"/>
              <w:spacing w:before="0" w:beforeAutospacing="0" w:after="0" w:afterAutospacing="0"/>
              <w:jc w:val="center"/>
              <w:rPr>
                <w:rFonts w:ascii="Calibri" w:hAnsi="Calibri" w:cs="Calibri"/>
                <w:sz w:val="22"/>
                <w:szCs w:val="22"/>
                <w:lang w:val="es-AR"/>
              </w:rPr>
            </w:pPr>
            <w:r>
              <w:rPr>
                <w:noProof/>
              </w:rPr>
              <w:drawing>
                <wp:inline distT="0" distB="0" distL="0" distR="0" wp14:anchorId="1E182EF6" wp14:editId="47DB470F">
                  <wp:extent cx="2108435" cy="1047750"/>
                  <wp:effectExtent l="0" t="0" r="6350" b="0"/>
                  <wp:docPr id="80898" name="Image 80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25">
                            <a:extLst>
                              <a:ext uri="{28A0092B-C50C-407E-A947-70E740481C1C}">
                                <a14:useLocalDpi xmlns:a14="http://schemas.microsoft.com/office/drawing/2010/main" val="0"/>
                              </a:ext>
                            </a:extLst>
                          </a:blip>
                          <a:srcRect/>
                          <a:stretch>
                            <a:fillRect/>
                          </a:stretch>
                        </pic:blipFill>
                        <pic:spPr bwMode="auto">
                          <a:xfrm>
                            <a:off x="0" y="0"/>
                            <a:ext cx="2116328" cy="1051672"/>
                          </a:xfrm>
                          <a:prstGeom prst="rect">
                            <a:avLst/>
                          </a:prstGeom>
                          <a:noFill/>
                          <a:ln>
                            <a:noFill/>
                          </a:ln>
                        </pic:spPr>
                      </pic:pic>
                    </a:graphicData>
                  </a:graphic>
                </wp:inline>
              </w:drawing>
            </w:r>
          </w:p>
          <w:p w14:paraId="06F0EC90" w14:textId="6761ED6E" w:rsidR="00922F45" w:rsidRPr="000F398A" w:rsidRDefault="0079660A" w:rsidP="000F398A">
            <w:pPr>
              <w:pStyle w:val="NormalWeb"/>
              <w:spacing w:before="0" w:beforeAutospacing="0" w:after="0" w:afterAutospacing="0"/>
              <w:jc w:val="center"/>
              <w:rPr>
                <w:rFonts w:ascii="Calibri" w:hAnsi="Calibri" w:cs="Calibri"/>
                <w:sz w:val="22"/>
                <w:szCs w:val="22"/>
                <w:lang w:val="es-AR"/>
              </w:rPr>
            </w:pPr>
            <w:r w:rsidRPr="00C5410D">
              <w:rPr>
                <w:rFonts w:ascii="Calibri" w:hAnsi="Calibri" w:cs="Calibri"/>
                <w:sz w:val="22"/>
                <w:szCs w:val="22"/>
              </w:rPr>
              <w:t xml:space="preserve">Prainha, </w:t>
            </w:r>
            <w:r w:rsidR="00922F45" w:rsidRPr="00C5410D">
              <w:rPr>
                <w:rFonts w:ascii="Calibri" w:hAnsi="Calibri" w:cs="Calibri"/>
                <w:sz w:val="22"/>
                <w:szCs w:val="22"/>
              </w:rPr>
              <w:t xml:space="preserve">Baie de Sepetiba, État de Rio de Janeiro, Brésil, 2009. </w:t>
            </w:r>
            <w:r w:rsidR="00922F45" w:rsidRPr="00922F45">
              <w:rPr>
                <w:rFonts w:ascii="Calibri" w:hAnsi="Calibri" w:cs="Calibri"/>
                <w:sz w:val="22"/>
                <w:szCs w:val="22"/>
                <w:lang w:val="es-AR"/>
              </w:rPr>
              <w:t>© Renata Reis.</w:t>
            </w:r>
          </w:p>
        </w:tc>
      </w:tr>
    </w:tbl>
    <w:p w14:paraId="7F6CDF22" w14:textId="138B039C" w:rsidR="00DA465A" w:rsidRDefault="00DA465A" w:rsidP="006E1FE5">
      <w:pPr>
        <w:pStyle w:val="NormalWeb"/>
        <w:shd w:val="clear" w:color="auto" w:fill="FFFFFF"/>
        <w:spacing w:before="0" w:beforeAutospacing="0" w:after="0" w:afterAutospacing="0"/>
        <w:jc w:val="both"/>
        <w:rPr>
          <w:rFonts w:ascii="Calibri" w:hAnsi="Calibri" w:cs="Calibri"/>
          <w:sz w:val="22"/>
          <w:szCs w:val="22"/>
          <w:lang w:val="es-AR"/>
        </w:rPr>
      </w:pPr>
    </w:p>
    <w:p w14:paraId="571645AC" w14:textId="0C7BB4B3" w:rsidR="007D35B5" w:rsidRDefault="007D35B5" w:rsidP="006E1FE5">
      <w:pPr>
        <w:pStyle w:val="NormalWeb"/>
        <w:shd w:val="clear" w:color="auto" w:fill="FFFFFF"/>
        <w:spacing w:before="0" w:beforeAutospacing="0" w:after="0" w:afterAutospacing="0"/>
        <w:jc w:val="both"/>
        <w:rPr>
          <w:rFonts w:ascii="Calibri" w:hAnsi="Calibri" w:cs="Calibri"/>
          <w:sz w:val="22"/>
          <w:szCs w:val="22"/>
          <w:lang w:val="es-AR"/>
        </w:rPr>
      </w:pPr>
    </w:p>
    <w:p w14:paraId="00CFE902" w14:textId="77777777" w:rsidR="007D35B5" w:rsidRPr="000F398A" w:rsidRDefault="007D35B5" w:rsidP="006E1FE5">
      <w:pPr>
        <w:pStyle w:val="NormalWeb"/>
        <w:shd w:val="clear" w:color="auto" w:fill="FFFFFF"/>
        <w:spacing w:before="0" w:beforeAutospacing="0" w:after="0" w:afterAutospacing="0"/>
        <w:jc w:val="both"/>
        <w:rPr>
          <w:rFonts w:ascii="Calibri" w:hAnsi="Calibri" w:cs="Calibri"/>
          <w:sz w:val="22"/>
          <w:szCs w:val="22"/>
          <w:lang w:val="es-AR"/>
        </w:rPr>
      </w:pPr>
    </w:p>
    <w:p w14:paraId="6F4B703B" w14:textId="49852E1D" w:rsidR="00DA7993" w:rsidRDefault="00DA7993" w:rsidP="00DA7993">
      <w:pPr>
        <w:pStyle w:val="Titre2"/>
      </w:pPr>
      <w:bookmarkStart w:id="219" w:name="_Toc139181510"/>
      <w:r>
        <w:lastRenderedPageBreak/>
        <w:t xml:space="preserve">Spiruline alimentaire </w:t>
      </w:r>
      <w:r w:rsidRPr="00DA7993">
        <w:t>(</w:t>
      </w:r>
      <w:r w:rsidRPr="00DA7993">
        <w:rPr>
          <w:i/>
          <w:iCs/>
        </w:rPr>
        <w:t>Arthrospira platensis</w:t>
      </w:r>
      <w:r>
        <w:t xml:space="preserve"> et</w:t>
      </w:r>
      <w:r>
        <w:rPr>
          <w:i/>
          <w:iCs/>
        </w:rPr>
        <w:t xml:space="preserve"> </w:t>
      </w:r>
      <w:r w:rsidR="00875D93" w:rsidRPr="00DA7993">
        <w:rPr>
          <w:i/>
          <w:iCs/>
        </w:rPr>
        <w:t xml:space="preserve">Arthrospira </w:t>
      </w:r>
      <w:r w:rsidRPr="00DA7993">
        <w:rPr>
          <w:i/>
          <w:iCs/>
        </w:rPr>
        <w:t>maxima</w:t>
      </w:r>
      <w:r>
        <w:t>)</w:t>
      </w:r>
      <w:bookmarkEnd w:id="219"/>
    </w:p>
    <w:p w14:paraId="74E29298" w14:textId="331ECA87" w:rsidR="00DA7993" w:rsidRDefault="00DA7993" w:rsidP="006E1FE5">
      <w:pPr>
        <w:pStyle w:val="NormalWeb"/>
        <w:shd w:val="clear" w:color="auto" w:fill="FFFFFF"/>
        <w:spacing w:before="0" w:beforeAutospacing="0" w:after="0" w:afterAutospacing="0"/>
        <w:jc w:val="both"/>
        <w:rPr>
          <w:rFonts w:ascii="Calibri" w:hAnsi="Calibri" w:cs="Calibri"/>
          <w:sz w:val="22"/>
          <w:szCs w:val="22"/>
        </w:rPr>
      </w:pPr>
    </w:p>
    <w:p w14:paraId="427FB003" w14:textId="4C8695A5" w:rsidR="00A97AAB" w:rsidRDefault="00DA7993" w:rsidP="00DA7993">
      <w:pPr>
        <w:pStyle w:val="NormalWeb"/>
        <w:shd w:val="clear" w:color="auto" w:fill="FFFFFF"/>
        <w:spacing w:before="0" w:beforeAutospacing="0" w:after="0" w:afterAutospacing="0"/>
        <w:jc w:val="both"/>
        <w:rPr>
          <w:rFonts w:ascii="Calibri" w:hAnsi="Calibri" w:cs="Calibri"/>
          <w:color w:val="000000" w:themeColor="text1"/>
          <w:sz w:val="22"/>
          <w:szCs w:val="22"/>
          <w:shd w:val="clear" w:color="auto" w:fill="FFFFFF"/>
        </w:rPr>
      </w:pPr>
      <w:r w:rsidRPr="00DA7993">
        <w:rPr>
          <w:rFonts w:ascii="Calibri" w:hAnsi="Calibri" w:cs="Calibri"/>
          <w:b/>
          <w:bCs/>
          <w:color w:val="202122"/>
          <w:sz w:val="22"/>
          <w:szCs w:val="22"/>
          <w:shd w:val="clear" w:color="auto" w:fill="FFFFFF"/>
        </w:rPr>
        <w:t>Spiruline</w:t>
      </w:r>
      <w:r w:rsidRPr="00DA7993">
        <w:rPr>
          <w:rFonts w:ascii="Calibri" w:hAnsi="Calibri" w:cs="Calibri"/>
          <w:color w:val="202122"/>
          <w:sz w:val="22"/>
          <w:szCs w:val="22"/>
          <w:shd w:val="clear" w:color="auto" w:fill="FFFFFF"/>
        </w:rPr>
        <w:t> </w:t>
      </w:r>
      <w:r w:rsidRPr="00DA7993">
        <w:rPr>
          <w:rFonts w:ascii="Calibri" w:hAnsi="Calibri" w:cs="Calibri"/>
          <w:color w:val="000000" w:themeColor="text1"/>
          <w:sz w:val="22"/>
          <w:szCs w:val="22"/>
          <w:shd w:val="clear" w:color="auto" w:fill="FFFFFF"/>
        </w:rPr>
        <w:t>est un </w:t>
      </w:r>
      <w:hyperlink r:id="rId2726" w:tooltip="Nom vernaculaire" w:history="1">
        <w:r w:rsidRPr="00DA7993">
          <w:rPr>
            <w:rStyle w:val="Lienhypertexte"/>
            <w:rFonts w:ascii="Calibri" w:hAnsi="Calibri" w:cs="Calibri"/>
            <w:color w:val="0645AD"/>
            <w:sz w:val="22"/>
            <w:szCs w:val="22"/>
            <w:shd w:val="clear" w:color="auto" w:fill="FFFFFF"/>
          </w:rPr>
          <w:t>nom vernaculaire</w:t>
        </w:r>
      </w:hyperlink>
      <w:r w:rsidRPr="00DA7993">
        <w:rPr>
          <w:rFonts w:ascii="Calibri" w:hAnsi="Calibri" w:cs="Calibri"/>
          <w:color w:val="202122"/>
          <w:sz w:val="22"/>
          <w:szCs w:val="22"/>
          <w:shd w:val="clear" w:color="auto" w:fill="FFFFFF"/>
        </w:rPr>
        <w:t> </w:t>
      </w:r>
      <w:r w:rsidRPr="00DA7993">
        <w:rPr>
          <w:rFonts w:ascii="Calibri" w:hAnsi="Calibri" w:cs="Calibri"/>
          <w:color w:val="000000" w:themeColor="text1"/>
          <w:sz w:val="22"/>
          <w:szCs w:val="22"/>
          <w:shd w:val="clear" w:color="auto" w:fill="FFFFFF"/>
        </w:rPr>
        <w:t>ambigu en français, pouvant désigner plusieurs </w:t>
      </w:r>
      <w:hyperlink r:id="rId2727" w:tooltip="Espèce" w:history="1">
        <w:r w:rsidRPr="00DA7993">
          <w:rPr>
            <w:rStyle w:val="Lienhypertexte"/>
            <w:rFonts w:ascii="Calibri" w:hAnsi="Calibri" w:cs="Calibri"/>
            <w:color w:val="0645AD"/>
            <w:sz w:val="22"/>
            <w:szCs w:val="22"/>
            <w:shd w:val="clear" w:color="auto" w:fill="FFFFFF"/>
          </w:rPr>
          <w:t>espèces</w:t>
        </w:r>
      </w:hyperlink>
      <w:r w:rsidRPr="00DA7993">
        <w:rPr>
          <w:rFonts w:ascii="Calibri" w:hAnsi="Calibri" w:cs="Calibri"/>
          <w:color w:val="202122"/>
          <w:sz w:val="22"/>
          <w:szCs w:val="22"/>
          <w:shd w:val="clear" w:color="auto" w:fill="FFFFFF"/>
        </w:rPr>
        <w:t> différentes de </w:t>
      </w:r>
      <w:hyperlink r:id="rId2728" w:tooltip="Cyanobactérie" w:history="1">
        <w:r w:rsidRPr="00875D93">
          <w:rPr>
            <w:rStyle w:val="Lienhypertexte"/>
            <w:rFonts w:ascii="Calibri" w:hAnsi="Calibri" w:cs="Calibri"/>
            <w:i/>
            <w:iCs/>
            <w:color w:val="0645AD"/>
            <w:sz w:val="22"/>
            <w:szCs w:val="22"/>
            <w:shd w:val="clear" w:color="auto" w:fill="FFFFFF"/>
          </w:rPr>
          <w:t>cyanobactéries</w:t>
        </w:r>
      </w:hyperlink>
      <w:r w:rsidRPr="00875D93">
        <w:rPr>
          <w:rFonts w:ascii="Calibri" w:hAnsi="Calibri" w:cs="Calibri"/>
          <w:i/>
          <w:iCs/>
          <w:color w:val="202122"/>
          <w:sz w:val="22"/>
          <w:szCs w:val="22"/>
          <w:shd w:val="clear" w:color="auto" w:fill="FFFFFF"/>
        </w:rPr>
        <w:t> </w:t>
      </w:r>
      <w:r w:rsidRPr="0011098B">
        <w:rPr>
          <w:rFonts w:ascii="Calibri" w:hAnsi="Calibri" w:cs="Calibri"/>
          <w:i/>
          <w:iCs/>
          <w:color w:val="000000" w:themeColor="text1"/>
          <w:sz w:val="22"/>
          <w:szCs w:val="22"/>
          <w:shd w:val="clear" w:color="auto" w:fill="FFFFFF"/>
        </w:rPr>
        <w:t>filamenteuses</w:t>
      </w:r>
      <w:r w:rsidR="0011098B">
        <w:rPr>
          <w:rFonts w:ascii="Calibri" w:hAnsi="Calibri" w:cs="Calibri"/>
          <w:i/>
          <w:iCs/>
          <w:color w:val="000000" w:themeColor="text1"/>
          <w:sz w:val="22"/>
          <w:szCs w:val="22"/>
          <w:shd w:val="clear" w:color="auto" w:fill="FFFFFF"/>
        </w:rPr>
        <w:t>,</w:t>
      </w:r>
      <w:r w:rsidRPr="0011098B">
        <w:rPr>
          <w:rFonts w:ascii="Calibri" w:hAnsi="Calibri" w:cs="Calibri"/>
          <w:i/>
          <w:iCs/>
          <w:color w:val="000000" w:themeColor="text1"/>
          <w:sz w:val="22"/>
          <w:szCs w:val="22"/>
          <w:shd w:val="clear" w:color="auto" w:fill="FFFFFF"/>
        </w:rPr>
        <w:t xml:space="preserve"> originaires des eaux chaudes peu profondes et </w:t>
      </w:r>
      <w:hyperlink r:id="rId2729" w:tooltip="Eau saumâtre" w:history="1">
        <w:r w:rsidRPr="00875D93">
          <w:rPr>
            <w:rStyle w:val="Lienhypertexte"/>
            <w:rFonts w:ascii="Calibri" w:hAnsi="Calibri" w:cs="Calibri"/>
            <w:i/>
            <w:iCs/>
            <w:color w:val="0645AD"/>
            <w:sz w:val="22"/>
            <w:szCs w:val="22"/>
            <w:shd w:val="clear" w:color="auto" w:fill="FFFFFF"/>
          </w:rPr>
          <w:t>saumâtres</w:t>
        </w:r>
      </w:hyperlink>
      <w:r w:rsidRPr="00875D93">
        <w:rPr>
          <w:rFonts w:ascii="Calibri" w:hAnsi="Calibri" w:cs="Calibri"/>
          <w:i/>
          <w:iCs/>
          <w:color w:val="202122"/>
          <w:sz w:val="22"/>
          <w:szCs w:val="22"/>
          <w:shd w:val="clear" w:color="auto" w:fill="FFFFFF"/>
        </w:rPr>
        <w:t> </w:t>
      </w:r>
      <w:r w:rsidRPr="00875D93">
        <w:rPr>
          <w:rFonts w:ascii="Calibri" w:hAnsi="Calibri" w:cs="Calibri"/>
          <w:i/>
          <w:iCs/>
          <w:color w:val="000000" w:themeColor="text1"/>
          <w:sz w:val="22"/>
          <w:szCs w:val="22"/>
          <w:shd w:val="clear" w:color="auto" w:fill="FFFFFF"/>
        </w:rPr>
        <w:t>de la ceinture intertropicale</w:t>
      </w:r>
      <w:r w:rsidRPr="00DA7993">
        <w:rPr>
          <w:rFonts w:ascii="Calibri" w:hAnsi="Calibri" w:cs="Calibri"/>
          <w:color w:val="000000" w:themeColor="text1"/>
          <w:sz w:val="22"/>
          <w:szCs w:val="22"/>
          <w:shd w:val="clear" w:color="auto" w:fill="FFFFFF"/>
        </w:rPr>
        <w:t>.</w:t>
      </w:r>
      <w:r w:rsidR="0011098B">
        <w:rPr>
          <w:rFonts w:ascii="Calibri" w:hAnsi="Calibri" w:cs="Calibri"/>
          <w:color w:val="000000" w:themeColor="text1"/>
          <w:sz w:val="22"/>
          <w:szCs w:val="22"/>
          <w:shd w:val="clear" w:color="auto" w:fill="FFFFFF"/>
        </w:rPr>
        <w:t xml:space="preserve"> </w:t>
      </w:r>
      <w:r w:rsidR="0011098B" w:rsidRPr="0011098B">
        <w:rPr>
          <w:rFonts w:ascii="Calibri" w:hAnsi="Calibri" w:cs="Calibri"/>
          <w:i/>
          <w:iCs/>
          <w:color w:val="000000" w:themeColor="text1"/>
          <w:sz w:val="22"/>
          <w:szCs w:val="22"/>
          <w:shd w:val="clear" w:color="auto" w:fill="FFFFFF"/>
        </w:rPr>
        <w:t xml:space="preserve">La spiruline prospère naturellement dans les </w:t>
      </w:r>
      <w:r w:rsidR="0011098B" w:rsidRPr="0011098B">
        <w:rPr>
          <w:rFonts w:ascii="Calibri" w:hAnsi="Calibri" w:cs="Calibri"/>
          <w:b/>
          <w:bCs/>
          <w:i/>
          <w:iCs/>
          <w:color w:val="000000" w:themeColor="text1"/>
          <w:sz w:val="22"/>
          <w:szCs w:val="22"/>
          <w:shd w:val="clear" w:color="auto" w:fill="FFFFFF"/>
        </w:rPr>
        <w:t>lacs salés et alcalins</w:t>
      </w:r>
      <w:r w:rsidR="0011098B" w:rsidRPr="0011098B">
        <w:rPr>
          <w:rFonts w:ascii="Calibri" w:hAnsi="Calibri" w:cs="Calibri"/>
          <w:i/>
          <w:iCs/>
          <w:color w:val="000000" w:themeColor="text1"/>
          <w:sz w:val="22"/>
          <w:szCs w:val="22"/>
          <w:shd w:val="clear" w:color="auto" w:fill="FFFFFF"/>
        </w:rPr>
        <w:t xml:space="preserve"> des régions chaudes du globe</w:t>
      </w:r>
      <w:r w:rsidR="0011098B" w:rsidRPr="0011098B">
        <w:rPr>
          <w:rFonts w:ascii="Calibri" w:hAnsi="Calibri" w:cs="Calibri"/>
          <w:color w:val="000000" w:themeColor="text1"/>
          <w:sz w:val="22"/>
          <w:szCs w:val="22"/>
          <w:shd w:val="clear" w:color="auto" w:fill="FFFFFF"/>
        </w:rPr>
        <w:t>.</w:t>
      </w:r>
      <w:r w:rsidRPr="00DA7993">
        <w:rPr>
          <w:rFonts w:ascii="Calibri" w:hAnsi="Calibri" w:cs="Calibri"/>
          <w:color w:val="000000" w:themeColor="text1"/>
          <w:sz w:val="22"/>
          <w:szCs w:val="22"/>
          <w:shd w:val="clear" w:color="auto" w:fill="FFFFFF"/>
        </w:rPr>
        <w:t xml:space="preserve"> </w:t>
      </w:r>
      <w:r w:rsidR="00A97AAB" w:rsidRPr="00A97AAB">
        <w:rPr>
          <w:rFonts w:ascii="Calibri" w:hAnsi="Calibri" w:cs="Calibri"/>
          <w:color w:val="000000" w:themeColor="text1"/>
          <w:sz w:val="22"/>
          <w:szCs w:val="22"/>
          <w:shd w:val="clear" w:color="auto" w:fill="FFFFFF"/>
        </w:rPr>
        <w:t xml:space="preserve">La spiruline correspond à de nombreuses espèces de forme spiralée (d'où son nom). Il existe près de 2000 espèces de cyanobactéries et </w:t>
      </w:r>
      <w:r w:rsidR="00A97AAB" w:rsidRPr="00A97AAB">
        <w:rPr>
          <w:rFonts w:ascii="Calibri" w:hAnsi="Calibri" w:cs="Calibri"/>
          <w:i/>
          <w:iCs/>
          <w:color w:val="000000" w:themeColor="text1"/>
          <w:sz w:val="22"/>
          <w:szCs w:val="22"/>
          <w:shd w:val="clear" w:color="auto" w:fill="FFFFFF"/>
        </w:rPr>
        <w:t>seulement 36 espèces d'Arthrospira sont comestibles</w:t>
      </w:r>
      <w:r w:rsidR="00A97AAB" w:rsidRPr="00A97AAB">
        <w:rPr>
          <w:rFonts w:ascii="Calibri" w:hAnsi="Calibri" w:cs="Calibri"/>
          <w:color w:val="000000" w:themeColor="text1"/>
          <w:sz w:val="22"/>
          <w:szCs w:val="22"/>
          <w:shd w:val="clear" w:color="auto" w:fill="FFFFFF"/>
        </w:rPr>
        <w:t xml:space="preserve">. </w:t>
      </w:r>
      <w:r w:rsidRPr="00DA7993">
        <w:rPr>
          <w:rFonts w:ascii="Calibri" w:hAnsi="Calibri" w:cs="Calibri"/>
          <w:color w:val="000000" w:themeColor="text1"/>
          <w:sz w:val="22"/>
          <w:szCs w:val="22"/>
          <w:shd w:val="clear" w:color="auto" w:fill="FFFFFF"/>
        </w:rPr>
        <w:t>Le plus souvent toutefois, en disant « </w:t>
      </w:r>
      <w:r w:rsidRPr="00875D93">
        <w:rPr>
          <w:rFonts w:ascii="Calibri" w:hAnsi="Calibri" w:cs="Calibri"/>
          <w:i/>
          <w:iCs/>
          <w:color w:val="000000" w:themeColor="text1"/>
          <w:sz w:val="22"/>
          <w:szCs w:val="22"/>
          <w:shd w:val="clear" w:color="auto" w:fill="FFFFFF"/>
        </w:rPr>
        <w:t>spiruline</w:t>
      </w:r>
      <w:r w:rsidRPr="00DA7993">
        <w:rPr>
          <w:rFonts w:ascii="Calibri" w:hAnsi="Calibri" w:cs="Calibri"/>
          <w:color w:val="000000" w:themeColor="text1"/>
          <w:sz w:val="22"/>
          <w:szCs w:val="22"/>
          <w:shd w:val="clear" w:color="auto" w:fill="FFFFFF"/>
        </w:rPr>
        <w:t> », les </w:t>
      </w:r>
      <w:hyperlink r:id="rId2730" w:tooltip="Francophonie" w:history="1">
        <w:r w:rsidRPr="00DA7993">
          <w:rPr>
            <w:rStyle w:val="Lienhypertexte"/>
            <w:rFonts w:ascii="Calibri" w:hAnsi="Calibri" w:cs="Calibri"/>
            <w:color w:val="0645AD"/>
            <w:sz w:val="22"/>
            <w:szCs w:val="22"/>
            <w:shd w:val="clear" w:color="auto" w:fill="FFFFFF"/>
          </w:rPr>
          <w:t>francophones</w:t>
        </w:r>
      </w:hyperlink>
      <w:r w:rsidRPr="00DA7993">
        <w:rPr>
          <w:rFonts w:ascii="Calibri" w:hAnsi="Calibri" w:cs="Calibri"/>
          <w:color w:val="202122"/>
          <w:sz w:val="22"/>
          <w:szCs w:val="22"/>
          <w:shd w:val="clear" w:color="auto" w:fill="FFFFFF"/>
        </w:rPr>
        <w:t> </w:t>
      </w:r>
      <w:r w:rsidRPr="00DA7993">
        <w:rPr>
          <w:rFonts w:ascii="Calibri" w:hAnsi="Calibri" w:cs="Calibri"/>
          <w:color w:val="000000" w:themeColor="text1"/>
          <w:sz w:val="22"/>
          <w:szCs w:val="22"/>
          <w:shd w:val="clear" w:color="auto" w:fill="FFFFFF"/>
        </w:rPr>
        <w:t>font référence au </w:t>
      </w:r>
      <w:hyperlink r:id="rId2731" w:tooltip="Spiruline alimentaire" w:history="1">
        <w:r w:rsidRPr="00DA7993">
          <w:rPr>
            <w:rStyle w:val="Lienhypertexte"/>
            <w:rFonts w:ascii="Calibri" w:hAnsi="Calibri" w:cs="Calibri"/>
            <w:color w:val="0645AD"/>
            <w:sz w:val="22"/>
            <w:szCs w:val="22"/>
            <w:shd w:val="clear" w:color="auto" w:fill="FFFFFF"/>
          </w:rPr>
          <w:t>complément alimentaire</w:t>
        </w:r>
      </w:hyperlink>
      <w:r w:rsidRPr="00DA7993">
        <w:rPr>
          <w:rFonts w:ascii="Calibri" w:hAnsi="Calibri" w:cs="Calibri"/>
          <w:color w:val="202122"/>
          <w:sz w:val="22"/>
          <w:szCs w:val="22"/>
          <w:shd w:val="clear" w:color="auto" w:fill="FFFFFF"/>
        </w:rPr>
        <w:t> </w:t>
      </w:r>
      <w:r w:rsidRPr="00DA7993">
        <w:rPr>
          <w:rFonts w:ascii="Calibri" w:hAnsi="Calibri" w:cs="Calibri"/>
          <w:color w:val="000000" w:themeColor="text1"/>
          <w:sz w:val="22"/>
          <w:szCs w:val="22"/>
          <w:shd w:val="clear" w:color="auto" w:fill="FFFFFF"/>
        </w:rPr>
        <w:t xml:space="preserve">produit majoritairement à base </w:t>
      </w:r>
      <w:r w:rsidRPr="00DA7993">
        <w:rPr>
          <w:rFonts w:ascii="Calibri" w:hAnsi="Calibri" w:cs="Calibri"/>
          <w:color w:val="202122"/>
          <w:sz w:val="22"/>
          <w:szCs w:val="22"/>
          <w:shd w:val="clear" w:color="auto" w:fill="FFFFFF"/>
        </w:rPr>
        <w:t>d’</w:t>
      </w:r>
      <w:hyperlink r:id="rId2732" w:tooltip="Arthrospira platensis" w:history="1">
        <w:r w:rsidRPr="00DA7993">
          <w:rPr>
            <w:rStyle w:val="Lienhypertexte"/>
            <w:rFonts w:ascii="Calibri" w:hAnsi="Calibri" w:cs="Calibri"/>
            <w:i/>
            <w:iCs/>
            <w:color w:val="0645AD"/>
            <w:sz w:val="22"/>
            <w:szCs w:val="22"/>
            <w:shd w:val="clear" w:color="auto" w:fill="FFFFFF"/>
          </w:rPr>
          <w:t>Arthrospira platensis</w:t>
        </w:r>
      </w:hyperlink>
      <w:r w:rsidRPr="00DA7993">
        <w:rPr>
          <w:rFonts w:ascii="Calibri" w:hAnsi="Calibri" w:cs="Calibri"/>
          <w:color w:val="202122"/>
          <w:sz w:val="22"/>
          <w:szCs w:val="22"/>
          <w:shd w:val="clear" w:color="auto" w:fill="FFFFFF"/>
        </w:rPr>
        <w:t> (</w:t>
      </w:r>
      <w:hyperlink r:id="rId2733" w:tooltip="Synonyme (taxinomie)" w:history="1">
        <w:r w:rsidRPr="00DA7993">
          <w:rPr>
            <w:rStyle w:val="Lienhypertexte"/>
            <w:rFonts w:ascii="Calibri" w:hAnsi="Calibri" w:cs="Calibri"/>
            <w:color w:val="0645AD"/>
            <w:sz w:val="22"/>
            <w:szCs w:val="22"/>
            <w:shd w:val="clear" w:color="auto" w:fill="FFFFFF"/>
          </w:rPr>
          <w:t>synonyme</w:t>
        </w:r>
      </w:hyperlink>
      <w:r w:rsidRPr="00DA7993">
        <w:rPr>
          <w:rFonts w:ascii="Calibri" w:hAnsi="Calibri" w:cs="Calibri"/>
          <w:color w:val="202122"/>
          <w:sz w:val="22"/>
          <w:szCs w:val="22"/>
          <w:shd w:val="clear" w:color="auto" w:fill="FFFFFF"/>
        </w:rPr>
        <w:t> </w:t>
      </w:r>
      <w:r w:rsidRPr="00A97AAB">
        <w:rPr>
          <w:rFonts w:ascii="Calibri" w:hAnsi="Calibri" w:cs="Calibri"/>
          <w:i/>
          <w:iCs/>
          <w:color w:val="000000" w:themeColor="text1"/>
          <w:sz w:val="22"/>
          <w:szCs w:val="22"/>
          <w:shd w:val="clear" w:color="auto" w:fill="FFFFFF"/>
        </w:rPr>
        <w:t>Spirulina platensis</w:t>
      </w:r>
      <w:r w:rsidRPr="00A97AAB">
        <w:rPr>
          <w:rFonts w:ascii="Calibri" w:hAnsi="Calibri" w:cs="Calibri"/>
          <w:color w:val="000000" w:themeColor="text1"/>
          <w:sz w:val="22"/>
          <w:szCs w:val="22"/>
          <w:shd w:val="clear" w:color="auto" w:fill="FFFFFF"/>
        </w:rPr>
        <w:t>)</w:t>
      </w:r>
      <w:r w:rsidR="00A97AAB">
        <w:rPr>
          <w:rFonts w:ascii="Calibri" w:hAnsi="Calibri" w:cs="Calibri"/>
          <w:color w:val="000000" w:themeColor="text1"/>
          <w:sz w:val="22"/>
          <w:szCs w:val="22"/>
          <w:shd w:val="clear" w:color="auto" w:fill="FFFFFF"/>
        </w:rPr>
        <w:t xml:space="preserve">, </w:t>
      </w:r>
      <w:r w:rsidR="00A97AAB" w:rsidRPr="00A97AAB">
        <w:rPr>
          <w:rFonts w:ascii="Calibri" w:hAnsi="Calibri" w:cs="Calibri"/>
          <w:color w:val="000000" w:themeColor="text1"/>
          <w:sz w:val="22"/>
          <w:szCs w:val="22"/>
          <w:shd w:val="clear" w:color="auto" w:fill="FFFFFF"/>
        </w:rPr>
        <w:t>l'espèce la plus cultivée et consommée</w:t>
      </w:r>
      <w:r w:rsidR="00A97AAB">
        <w:rPr>
          <w:rFonts w:ascii="Calibri" w:hAnsi="Calibri" w:cs="Calibri"/>
          <w:color w:val="000000" w:themeColor="text1"/>
          <w:sz w:val="22"/>
          <w:szCs w:val="22"/>
          <w:shd w:val="clear" w:color="auto" w:fill="FFFFFF"/>
        </w:rPr>
        <w:t>,</w:t>
      </w:r>
      <w:r w:rsidRPr="00A97AAB">
        <w:rPr>
          <w:rFonts w:ascii="Calibri" w:hAnsi="Calibri" w:cs="Calibri"/>
          <w:color w:val="000000" w:themeColor="text1"/>
          <w:sz w:val="22"/>
          <w:szCs w:val="22"/>
          <w:shd w:val="clear" w:color="auto" w:fill="FFFFFF"/>
        </w:rPr>
        <w:t xml:space="preserve"> et d</w:t>
      </w:r>
      <w:r w:rsidRPr="00DA7993">
        <w:rPr>
          <w:rFonts w:ascii="Calibri" w:hAnsi="Calibri" w:cs="Calibri"/>
          <w:color w:val="202122"/>
          <w:sz w:val="22"/>
          <w:szCs w:val="22"/>
          <w:shd w:val="clear" w:color="auto" w:fill="FFFFFF"/>
        </w:rPr>
        <w:t>’</w:t>
      </w:r>
      <w:hyperlink r:id="rId2734" w:tooltip="Arthrospira maxima (page inexistante)" w:history="1">
        <w:r w:rsidRPr="00DA7993">
          <w:rPr>
            <w:rStyle w:val="Lienhypertexte"/>
            <w:rFonts w:ascii="Calibri" w:hAnsi="Calibri" w:cs="Calibri"/>
            <w:i/>
            <w:iCs/>
            <w:color w:val="DD3333"/>
            <w:sz w:val="22"/>
            <w:szCs w:val="22"/>
            <w:shd w:val="clear" w:color="auto" w:fill="FFFFFF"/>
          </w:rPr>
          <w:t>Arthrospira maxima</w:t>
        </w:r>
      </w:hyperlink>
      <w:r w:rsidRPr="00DA7993">
        <w:rPr>
          <w:rFonts w:ascii="Calibri" w:hAnsi="Calibri" w:cs="Calibri"/>
          <w:color w:val="202122"/>
          <w:sz w:val="22"/>
          <w:szCs w:val="22"/>
          <w:shd w:val="clear" w:color="auto" w:fill="FFFFFF"/>
        </w:rPr>
        <w:t> (</w:t>
      </w:r>
      <w:r w:rsidRPr="00DA7993">
        <w:rPr>
          <w:rFonts w:ascii="Calibri" w:hAnsi="Calibri" w:cs="Calibri"/>
          <w:color w:val="000000" w:themeColor="text1"/>
          <w:sz w:val="22"/>
          <w:szCs w:val="22"/>
          <w:shd w:val="clear" w:color="auto" w:fill="FFFFFF"/>
        </w:rPr>
        <w:t>syn. </w:t>
      </w:r>
      <w:r w:rsidRPr="00DA7993">
        <w:rPr>
          <w:rFonts w:ascii="Calibri" w:hAnsi="Calibri" w:cs="Calibri"/>
          <w:i/>
          <w:iCs/>
          <w:color w:val="000000" w:themeColor="text1"/>
          <w:sz w:val="22"/>
          <w:szCs w:val="22"/>
          <w:shd w:val="clear" w:color="auto" w:fill="FFFFFF"/>
        </w:rPr>
        <w:t>Spirulina maxima</w:t>
      </w:r>
      <w:r w:rsidR="00875D93">
        <w:rPr>
          <w:rFonts w:ascii="Calibri" w:hAnsi="Calibri" w:cs="Calibri"/>
          <w:color w:val="000000" w:themeColor="text1"/>
          <w:sz w:val="22"/>
          <w:szCs w:val="22"/>
          <w:shd w:val="clear" w:color="auto" w:fill="FFFFFF"/>
        </w:rPr>
        <w:t xml:space="preserve"> ou</w:t>
      </w:r>
      <w:r w:rsidR="00875D93">
        <w:rPr>
          <w:rFonts w:ascii="Calibri" w:hAnsi="Calibri" w:cs="Calibri"/>
          <w:i/>
          <w:iCs/>
          <w:color w:val="000000" w:themeColor="text1"/>
          <w:sz w:val="22"/>
          <w:szCs w:val="22"/>
          <w:shd w:val="clear" w:color="auto" w:fill="FFFFFF"/>
        </w:rPr>
        <w:t xml:space="preserve"> </w:t>
      </w:r>
      <w:r w:rsidR="00875D93" w:rsidRPr="00875D93">
        <w:rPr>
          <w:rFonts w:ascii="Calibri" w:hAnsi="Calibri" w:cs="Calibri"/>
          <w:i/>
          <w:iCs/>
          <w:color w:val="000000" w:themeColor="text1"/>
          <w:sz w:val="22"/>
          <w:szCs w:val="22"/>
          <w:shd w:val="clear" w:color="auto" w:fill="FFFFFF"/>
        </w:rPr>
        <w:t>Limnospira maxima</w:t>
      </w:r>
      <w:r w:rsidRPr="00DA7993">
        <w:rPr>
          <w:rFonts w:ascii="Calibri" w:hAnsi="Calibri" w:cs="Calibri"/>
          <w:color w:val="000000" w:themeColor="text1"/>
          <w:sz w:val="22"/>
          <w:szCs w:val="22"/>
          <w:shd w:val="clear" w:color="auto" w:fill="FFFFFF"/>
        </w:rPr>
        <w:t>)</w:t>
      </w:r>
      <w:r w:rsidR="00A97AAB">
        <w:rPr>
          <w:rFonts w:ascii="Calibri" w:hAnsi="Calibri" w:cs="Calibri"/>
          <w:color w:val="000000" w:themeColor="text1"/>
          <w:sz w:val="22"/>
          <w:szCs w:val="22"/>
          <w:shd w:val="clear" w:color="auto" w:fill="FFFFFF"/>
        </w:rPr>
        <w:t xml:space="preserve">, </w:t>
      </w:r>
      <w:r w:rsidR="00A97AAB" w:rsidRPr="00A97AAB">
        <w:rPr>
          <w:rFonts w:ascii="Calibri" w:hAnsi="Calibri" w:cs="Calibri"/>
          <w:color w:val="000000" w:themeColor="text1"/>
          <w:sz w:val="22"/>
          <w:szCs w:val="22"/>
          <w:shd w:val="clear" w:color="auto" w:fill="FFFFFF"/>
        </w:rPr>
        <w:t>également consommée dans une moindre mesure</w:t>
      </w:r>
      <w:r w:rsidR="00875D93">
        <w:rPr>
          <w:rStyle w:val="Appelnotedebasdep"/>
          <w:rFonts w:ascii="Calibri" w:hAnsi="Calibri" w:cs="Calibri"/>
          <w:color w:val="000000" w:themeColor="text1"/>
          <w:sz w:val="22"/>
          <w:szCs w:val="22"/>
          <w:shd w:val="clear" w:color="auto" w:fill="FFFFFF"/>
        </w:rPr>
        <w:footnoteReference w:id="145"/>
      </w:r>
      <w:r w:rsidRPr="00DA7993">
        <w:rPr>
          <w:rFonts w:ascii="Calibri" w:hAnsi="Calibri" w:cs="Calibri"/>
          <w:color w:val="000000" w:themeColor="text1"/>
          <w:sz w:val="22"/>
          <w:szCs w:val="22"/>
          <w:shd w:val="clear" w:color="auto" w:fill="FFFFFF"/>
        </w:rPr>
        <w:t xml:space="preserve">. </w:t>
      </w:r>
    </w:p>
    <w:p w14:paraId="771E28B3" w14:textId="7A55E2A5" w:rsidR="00DA7993" w:rsidRPr="00DA7993" w:rsidRDefault="00DA7993" w:rsidP="00DA7993">
      <w:pPr>
        <w:pStyle w:val="NormalWeb"/>
        <w:shd w:val="clear" w:color="auto" w:fill="FFFFFF"/>
        <w:spacing w:before="0" w:beforeAutospacing="0" w:after="0" w:afterAutospacing="0"/>
        <w:jc w:val="both"/>
        <w:rPr>
          <w:rFonts w:ascii="Calibri" w:hAnsi="Calibri" w:cs="Calibri"/>
          <w:color w:val="202122"/>
          <w:sz w:val="22"/>
          <w:szCs w:val="22"/>
        </w:rPr>
      </w:pPr>
      <w:r w:rsidRPr="00DA7993">
        <w:rPr>
          <w:rFonts w:ascii="Calibri" w:hAnsi="Calibri" w:cs="Calibri"/>
          <w:color w:val="202122"/>
          <w:sz w:val="22"/>
          <w:szCs w:val="22"/>
        </w:rPr>
        <w:t>L'</w:t>
      </w:r>
      <w:hyperlink r:id="rId2735" w:tooltip="Nourriture" w:history="1">
        <w:r w:rsidRPr="00DA7993">
          <w:rPr>
            <w:rStyle w:val="Lienhypertexte"/>
            <w:rFonts w:ascii="Calibri" w:hAnsi="Calibri" w:cs="Calibri"/>
            <w:color w:val="0645AD"/>
            <w:sz w:val="22"/>
            <w:szCs w:val="22"/>
            <w:u w:val="none"/>
          </w:rPr>
          <w:t>aliment</w:t>
        </w:r>
      </w:hyperlink>
      <w:r w:rsidRPr="00DA7993">
        <w:rPr>
          <w:rFonts w:ascii="Calibri" w:hAnsi="Calibri" w:cs="Calibri"/>
          <w:color w:val="000000" w:themeColor="text1"/>
          <w:sz w:val="22"/>
          <w:szCs w:val="22"/>
        </w:rPr>
        <w:t xml:space="preserve"> nommé </w:t>
      </w:r>
      <w:hyperlink r:id="rId2736" w:tooltip="Spiruline" w:history="1">
        <w:r w:rsidRPr="00875D93">
          <w:rPr>
            <w:rStyle w:val="Lienhypertexte"/>
            <w:rFonts w:ascii="Calibri" w:hAnsi="Calibri" w:cs="Calibri"/>
            <w:i/>
            <w:iCs/>
            <w:color w:val="0645AD"/>
            <w:sz w:val="22"/>
            <w:szCs w:val="22"/>
            <w:u w:val="none"/>
          </w:rPr>
          <w:t>spiruline</w:t>
        </w:r>
      </w:hyperlink>
      <w:r w:rsidRPr="00DA7993">
        <w:rPr>
          <w:rFonts w:ascii="Calibri" w:hAnsi="Calibri" w:cs="Calibri"/>
          <w:color w:val="202122"/>
          <w:sz w:val="22"/>
          <w:szCs w:val="22"/>
        </w:rPr>
        <w:t> </w:t>
      </w:r>
      <w:r w:rsidRPr="00DA7993">
        <w:rPr>
          <w:rFonts w:ascii="Calibri" w:hAnsi="Calibri" w:cs="Calibri"/>
          <w:color w:val="000000" w:themeColor="text1"/>
          <w:sz w:val="22"/>
          <w:szCs w:val="22"/>
        </w:rPr>
        <w:t>est un produit à base de </w:t>
      </w:r>
      <w:hyperlink r:id="rId2737" w:tooltip="Cyanobacteria" w:history="1">
        <w:r w:rsidRPr="00DA7993">
          <w:rPr>
            <w:rStyle w:val="Lienhypertexte"/>
            <w:rFonts w:ascii="Calibri" w:hAnsi="Calibri" w:cs="Calibri"/>
            <w:color w:val="0645AD"/>
            <w:sz w:val="22"/>
            <w:szCs w:val="22"/>
            <w:u w:val="none"/>
          </w:rPr>
          <w:t>cyanobactéries</w:t>
        </w:r>
      </w:hyperlink>
      <w:r w:rsidRPr="00DA7993">
        <w:rPr>
          <w:rFonts w:ascii="Calibri" w:hAnsi="Calibri" w:cs="Calibri"/>
          <w:color w:val="202122"/>
          <w:sz w:val="22"/>
          <w:szCs w:val="22"/>
        </w:rPr>
        <w:t> du </w:t>
      </w:r>
      <w:hyperlink r:id="rId2738" w:tooltip="Genre (biologie)" w:history="1">
        <w:r w:rsidRPr="00DA7993">
          <w:rPr>
            <w:rStyle w:val="Lienhypertexte"/>
            <w:rFonts w:ascii="Calibri" w:hAnsi="Calibri" w:cs="Calibri"/>
            <w:color w:val="0645AD"/>
            <w:sz w:val="22"/>
            <w:szCs w:val="22"/>
            <w:u w:val="none"/>
          </w:rPr>
          <w:t>genre</w:t>
        </w:r>
      </w:hyperlink>
      <w:r w:rsidRPr="00DA7993">
        <w:rPr>
          <w:rFonts w:ascii="Calibri" w:hAnsi="Calibri" w:cs="Calibri"/>
          <w:color w:val="202122"/>
          <w:sz w:val="22"/>
          <w:szCs w:val="22"/>
        </w:rPr>
        <w:t> </w:t>
      </w:r>
      <w:hyperlink r:id="rId2739" w:tooltip="Arthrospira" w:history="1">
        <w:r w:rsidRPr="00DA7993">
          <w:rPr>
            <w:rStyle w:val="Lienhypertexte"/>
            <w:rFonts w:ascii="Calibri" w:hAnsi="Calibri" w:cs="Calibri"/>
            <w:i/>
            <w:iCs/>
            <w:color w:val="0645AD"/>
            <w:sz w:val="22"/>
            <w:szCs w:val="22"/>
            <w:u w:val="none"/>
          </w:rPr>
          <w:t>Arthrospira</w:t>
        </w:r>
      </w:hyperlink>
      <w:r w:rsidRPr="00DA7993">
        <w:rPr>
          <w:rFonts w:ascii="Calibri" w:hAnsi="Calibri" w:cs="Calibri"/>
          <w:color w:val="202122"/>
          <w:sz w:val="22"/>
          <w:szCs w:val="22"/>
        </w:rPr>
        <w:t xml:space="preserve">, </w:t>
      </w:r>
      <w:r w:rsidRPr="00DA7993">
        <w:rPr>
          <w:rFonts w:ascii="Calibri" w:hAnsi="Calibri" w:cs="Calibri"/>
          <w:color w:val="000000" w:themeColor="text1"/>
          <w:sz w:val="22"/>
          <w:szCs w:val="22"/>
        </w:rPr>
        <w:t>des bactéries photosynthétiques microscopiques bleues, généralement séchées et broyées. Ce n'est donc ni une plante, ni une algue. Traditionnellement, cet aliment est consommé en galettes, par les </w:t>
      </w:r>
      <w:hyperlink r:id="rId2740" w:tooltip="Kanembou (peuple)" w:history="1">
        <w:r w:rsidRPr="00DA7993">
          <w:rPr>
            <w:rStyle w:val="Lienhypertexte"/>
            <w:rFonts w:ascii="Calibri" w:hAnsi="Calibri" w:cs="Calibri"/>
            <w:color w:val="0645AD"/>
            <w:sz w:val="22"/>
            <w:szCs w:val="22"/>
            <w:u w:val="none"/>
          </w:rPr>
          <w:t>Kanem</w:t>
        </w:r>
      </w:hyperlink>
      <w:r w:rsidRPr="00DA7993">
        <w:rPr>
          <w:rFonts w:ascii="Calibri" w:hAnsi="Calibri" w:cs="Calibri"/>
          <w:color w:val="202122"/>
          <w:sz w:val="22"/>
          <w:szCs w:val="22"/>
        </w:rPr>
        <w:t> du </w:t>
      </w:r>
      <w:hyperlink r:id="rId2741" w:tooltip="Tchad" w:history="1">
        <w:r w:rsidRPr="00DA7993">
          <w:rPr>
            <w:rStyle w:val="Lienhypertexte"/>
            <w:rFonts w:ascii="Calibri" w:hAnsi="Calibri" w:cs="Calibri"/>
            <w:color w:val="0645AD"/>
            <w:sz w:val="22"/>
            <w:szCs w:val="22"/>
            <w:u w:val="none"/>
          </w:rPr>
          <w:t>Tchad</w:t>
        </w:r>
      </w:hyperlink>
      <w:r w:rsidRPr="00DA7993">
        <w:rPr>
          <w:rFonts w:ascii="Calibri" w:hAnsi="Calibri" w:cs="Calibri"/>
          <w:color w:val="202122"/>
          <w:sz w:val="22"/>
          <w:szCs w:val="22"/>
        </w:rPr>
        <w:t> </w:t>
      </w:r>
      <w:r w:rsidRPr="00DA7993">
        <w:rPr>
          <w:rFonts w:ascii="Calibri" w:hAnsi="Calibri" w:cs="Calibri"/>
          <w:color w:val="000000" w:themeColor="text1"/>
          <w:sz w:val="22"/>
          <w:szCs w:val="22"/>
        </w:rPr>
        <w:t>dès le </w:t>
      </w:r>
      <w:hyperlink r:id="rId2742" w:tooltip="IXe siècle" w:history="1">
        <w:r w:rsidRPr="00DA7993">
          <w:rPr>
            <w:rStyle w:val="romain"/>
            <w:rFonts w:ascii="Calibri" w:hAnsi="Calibri" w:cs="Calibri"/>
            <w:smallCaps/>
            <w:color w:val="0645AD"/>
            <w:sz w:val="22"/>
            <w:szCs w:val="22"/>
          </w:rPr>
          <w:t>ix</w:t>
        </w:r>
        <w:r w:rsidRPr="00DA7993">
          <w:rPr>
            <w:rStyle w:val="Lienhypertexte"/>
            <w:rFonts w:ascii="Calibri" w:hAnsi="Calibri" w:cs="Calibri"/>
            <w:color w:val="0645AD"/>
            <w:sz w:val="22"/>
            <w:szCs w:val="22"/>
            <w:u w:val="none"/>
            <w:vertAlign w:val="superscript"/>
          </w:rPr>
          <w:t>e</w:t>
        </w:r>
        <w:r w:rsidRPr="00DA7993">
          <w:rPr>
            <w:rStyle w:val="Lienhypertexte"/>
            <w:rFonts w:ascii="Calibri" w:hAnsi="Calibri" w:cs="Calibri"/>
            <w:color w:val="0645AD"/>
            <w:sz w:val="22"/>
            <w:szCs w:val="22"/>
            <w:u w:val="none"/>
          </w:rPr>
          <w:t> siècle</w:t>
        </w:r>
      </w:hyperlink>
      <w:r w:rsidRPr="00DA7993">
        <w:rPr>
          <w:rFonts w:ascii="Calibri" w:hAnsi="Calibri" w:cs="Calibri"/>
          <w:color w:val="202122"/>
          <w:sz w:val="22"/>
          <w:szCs w:val="22"/>
        </w:rPr>
        <w:t xml:space="preserve">, </w:t>
      </w:r>
      <w:r w:rsidRPr="00DA7993">
        <w:rPr>
          <w:rFonts w:ascii="Calibri" w:hAnsi="Calibri" w:cs="Calibri"/>
          <w:color w:val="000000" w:themeColor="text1"/>
          <w:sz w:val="22"/>
          <w:szCs w:val="22"/>
        </w:rPr>
        <w:t>mais les </w:t>
      </w:r>
      <w:hyperlink r:id="rId2743" w:tooltip="Aztèques" w:history="1">
        <w:r w:rsidRPr="00DA7993">
          <w:rPr>
            <w:rStyle w:val="Lienhypertexte"/>
            <w:rFonts w:ascii="Calibri" w:hAnsi="Calibri" w:cs="Calibri"/>
            <w:color w:val="0645AD"/>
            <w:sz w:val="22"/>
            <w:szCs w:val="22"/>
            <w:u w:val="none"/>
          </w:rPr>
          <w:t>Aztèques</w:t>
        </w:r>
      </w:hyperlink>
      <w:r w:rsidRPr="00DA7993">
        <w:rPr>
          <w:rFonts w:ascii="Calibri" w:hAnsi="Calibri" w:cs="Calibri"/>
          <w:color w:val="202122"/>
          <w:sz w:val="22"/>
          <w:szCs w:val="22"/>
        </w:rPr>
        <w:t> </w:t>
      </w:r>
      <w:r w:rsidRPr="00DA7993">
        <w:rPr>
          <w:rFonts w:ascii="Calibri" w:hAnsi="Calibri" w:cs="Calibri"/>
          <w:color w:val="000000" w:themeColor="text1"/>
          <w:sz w:val="22"/>
          <w:szCs w:val="22"/>
        </w:rPr>
        <w:t>en faisaient aussi une sorte de fromage. La spiruline a été redécouverte au </w:t>
      </w:r>
      <w:hyperlink r:id="rId2744" w:tooltip="XXe siècle" w:history="1">
        <w:r w:rsidRPr="00DA7993">
          <w:rPr>
            <w:rStyle w:val="romain"/>
            <w:rFonts w:ascii="Calibri" w:hAnsi="Calibri" w:cs="Calibri"/>
            <w:smallCaps/>
            <w:color w:val="0645AD"/>
            <w:sz w:val="22"/>
            <w:szCs w:val="22"/>
          </w:rPr>
          <w:t>xx</w:t>
        </w:r>
        <w:r w:rsidRPr="00DA7993">
          <w:rPr>
            <w:rStyle w:val="Lienhypertexte"/>
            <w:rFonts w:ascii="Calibri" w:hAnsi="Calibri" w:cs="Calibri"/>
            <w:color w:val="0645AD"/>
            <w:sz w:val="22"/>
            <w:szCs w:val="22"/>
            <w:u w:val="none"/>
            <w:vertAlign w:val="superscript"/>
          </w:rPr>
          <w:t>e</w:t>
        </w:r>
        <w:r w:rsidRPr="00DA7993">
          <w:rPr>
            <w:rStyle w:val="Lienhypertexte"/>
            <w:rFonts w:ascii="Calibri" w:hAnsi="Calibri" w:cs="Calibri"/>
            <w:color w:val="0645AD"/>
            <w:sz w:val="22"/>
            <w:szCs w:val="22"/>
            <w:u w:val="none"/>
          </w:rPr>
          <w:t> siècle</w:t>
        </w:r>
      </w:hyperlink>
      <w:r w:rsidRPr="00DA7993">
        <w:rPr>
          <w:rFonts w:ascii="Calibri" w:hAnsi="Calibri" w:cs="Calibri"/>
          <w:color w:val="202122"/>
          <w:sz w:val="22"/>
          <w:szCs w:val="22"/>
        </w:rPr>
        <w:t> </w:t>
      </w:r>
      <w:r w:rsidRPr="00DA7993">
        <w:rPr>
          <w:rFonts w:ascii="Calibri" w:hAnsi="Calibri" w:cs="Calibri"/>
          <w:color w:val="000000" w:themeColor="text1"/>
          <w:sz w:val="22"/>
          <w:szCs w:val="22"/>
        </w:rPr>
        <w:t>en tant que </w:t>
      </w:r>
      <w:hyperlink r:id="rId2745" w:tooltip="Complément alimentaire" w:history="1">
        <w:r w:rsidRPr="00DA7993">
          <w:rPr>
            <w:rStyle w:val="Lienhypertexte"/>
            <w:rFonts w:ascii="Calibri" w:hAnsi="Calibri" w:cs="Calibri"/>
            <w:color w:val="0645AD"/>
            <w:sz w:val="22"/>
            <w:szCs w:val="22"/>
            <w:u w:val="none"/>
          </w:rPr>
          <w:t>complément alimentaire</w:t>
        </w:r>
      </w:hyperlink>
      <w:r w:rsidRPr="00DA7993">
        <w:rPr>
          <w:rFonts w:ascii="Calibri" w:hAnsi="Calibri" w:cs="Calibri"/>
          <w:color w:val="202122"/>
          <w:sz w:val="22"/>
          <w:szCs w:val="22"/>
        </w:rPr>
        <w:t xml:space="preserve">, </w:t>
      </w:r>
      <w:r w:rsidRPr="00DA7993">
        <w:rPr>
          <w:rFonts w:ascii="Calibri" w:hAnsi="Calibri" w:cs="Calibri"/>
          <w:color w:val="000000" w:themeColor="text1"/>
          <w:sz w:val="22"/>
          <w:szCs w:val="22"/>
        </w:rPr>
        <w:t>et sa commercialisation développée dans les années 1970 par les pays industrialisés, avec la mise en culture de souches de ces mêmes </w:t>
      </w:r>
      <w:hyperlink r:id="rId2746" w:tooltip="Cyanobacteria" w:history="1">
        <w:r w:rsidRPr="00DA7993">
          <w:rPr>
            <w:rStyle w:val="Lienhypertexte"/>
            <w:rFonts w:ascii="Calibri" w:hAnsi="Calibri" w:cs="Calibri"/>
            <w:color w:val="0645AD"/>
            <w:sz w:val="22"/>
            <w:szCs w:val="22"/>
            <w:u w:val="none"/>
          </w:rPr>
          <w:t>cyanobactéries</w:t>
        </w:r>
      </w:hyperlink>
      <w:r w:rsidRPr="00DA7993">
        <w:rPr>
          <w:rFonts w:ascii="Calibri" w:hAnsi="Calibri" w:cs="Calibri"/>
          <w:color w:val="202122"/>
          <w:sz w:val="22"/>
          <w:szCs w:val="22"/>
        </w:rPr>
        <w:t>.</w:t>
      </w:r>
    </w:p>
    <w:p w14:paraId="5B0C4281" w14:textId="77EDCDF7" w:rsidR="00DA7993" w:rsidRDefault="00DA7993" w:rsidP="00DA7993">
      <w:pPr>
        <w:pStyle w:val="NormalWeb"/>
        <w:shd w:val="clear" w:color="auto" w:fill="FFFFFF"/>
        <w:spacing w:before="0" w:beforeAutospacing="0" w:after="0" w:afterAutospacing="0"/>
        <w:jc w:val="both"/>
        <w:rPr>
          <w:rFonts w:ascii="Calibri" w:hAnsi="Calibri" w:cs="Calibri"/>
          <w:color w:val="202122"/>
          <w:sz w:val="22"/>
          <w:szCs w:val="22"/>
        </w:rPr>
      </w:pPr>
      <w:r w:rsidRPr="00DA7993">
        <w:rPr>
          <w:rFonts w:ascii="Calibri" w:hAnsi="Calibri" w:cs="Calibri"/>
          <w:color w:val="000000" w:themeColor="text1"/>
          <w:sz w:val="22"/>
          <w:szCs w:val="22"/>
        </w:rPr>
        <w:t>L'espèce la plus fréquemment offerte sur le marché au début du </w:t>
      </w:r>
      <w:r w:rsidRPr="00DA7993">
        <w:rPr>
          <w:rStyle w:val="romain"/>
          <w:rFonts w:ascii="Calibri" w:hAnsi="Calibri" w:cs="Calibri"/>
          <w:smallCaps/>
          <w:color w:val="000000" w:themeColor="text1"/>
          <w:sz w:val="22"/>
          <w:szCs w:val="22"/>
        </w:rPr>
        <w:t>xxi</w:t>
      </w:r>
      <w:r w:rsidRPr="00DA7993">
        <w:rPr>
          <w:rFonts w:ascii="Calibri" w:hAnsi="Calibri" w:cs="Calibri"/>
          <w:color w:val="000000" w:themeColor="text1"/>
          <w:sz w:val="22"/>
          <w:szCs w:val="22"/>
          <w:vertAlign w:val="superscript"/>
        </w:rPr>
        <w:t>e</w:t>
      </w:r>
      <w:r w:rsidRPr="00DA7993">
        <w:rPr>
          <w:rFonts w:ascii="Calibri" w:hAnsi="Calibri" w:cs="Calibri"/>
          <w:color w:val="000000" w:themeColor="text1"/>
          <w:sz w:val="22"/>
          <w:szCs w:val="22"/>
        </w:rPr>
        <w:t> siècle est </w:t>
      </w:r>
      <w:hyperlink r:id="rId2747" w:tooltip="Arthrospira platensis" w:history="1">
        <w:r w:rsidRPr="00DA7993">
          <w:rPr>
            <w:rStyle w:val="Lienhypertexte"/>
            <w:rFonts w:ascii="Calibri" w:hAnsi="Calibri" w:cs="Calibri"/>
            <w:i/>
            <w:iCs/>
            <w:color w:val="0645AD"/>
            <w:sz w:val="22"/>
            <w:szCs w:val="22"/>
            <w:u w:val="none"/>
          </w:rPr>
          <w:t>Arthrospira platensis</w:t>
        </w:r>
      </w:hyperlink>
      <w:r w:rsidRPr="00DA7993">
        <w:rPr>
          <w:rFonts w:ascii="Calibri" w:hAnsi="Calibri" w:cs="Calibri"/>
          <w:color w:val="202122"/>
          <w:sz w:val="22"/>
          <w:szCs w:val="22"/>
        </w:rPr>
        <w:t xml:space="preserve">, </w:t>
      </w:r>
      <w:r w:rsidRPr="00DA7993">
        <w:rPr>
          <w:rFonts w:ascii="Calibri" w:hAnsi="Calibri" w:cs="Calibri"/>
          <w:color w:val="000000" w:themeColor="text1"/>
          <w:sz w:val="22"/>
          <w:szCs w:val="22"/>
        </w:rPr>
        <w:t>cultivée principalement en </w:t>
      </w:r>
      <w:hyperlink r:id="rId2748" w:tooltip="Chine" w:history="1">
        <w:r w:rsidRPr="00DA7993">
          <w:rPr>
            <w:rStyle w:val="Lienhypertexte"/>
            <w:rFonts w:ascii="Calibri" w:hAnsi="Calibri" w:cs="Calibri"/>
            <w:color w:val="0645AD"/>
            <w:sz w:val="22"/>
            <w:szCs w:val="22"/>
            <w:u w:val="none"/>
          </w:rPr>
          <w:t>Chine</w:t>
        </w:r>
      </w:hyperlink>
      <w:r w:rsidRPr="00DA7993">
        <w:rPr>
          <w:rFonts w:ascii="Calibri" w:hAnsi="Calibri" w:cs="Calibri"/>
          <w:color w:val="202122"/>
          <w:sz w:val="22"/>
          <w:szCs w:val="22"/>
        </w:rPr>
        <w:t> (</w:t>
      </w:r>
      <w:r w:rsidRPr="00DA7993">
        <w:rPr>
          <w:rFonts w:ascii="Calibri" w:hAnsi="Calibri" w:cs="Calibri"/>
          <w:color w:val="000000" w:themeColor="text1"/>
          <w:sz w:val="22"/>
          <w:szCs w:val="22"/>
        </w:rPr>
        <w:t>50 % de la production mondiale de 5 000 tonnes en 2013), aux </w:t>
      </w:r>
      <w:hyperlink r:id="rId2749" w:tooltip="États-Unis" w:history="1">
        <w:r w:rsidRPr="00DA7993">
          <w:rPr>
            <w:rStyle w:val="Lienhypertexte"/>
            <w:rFonts w:ascii="Calibri" w:hAnsi="Calibri" w:cs="Calibri"/>
            <w:color w:val="0645AD"/>
            <w:sz w:val="22"/>
            <w:szCs w:val="22"/>
            <w:u w:val="none"/>
          </w:rPr>
          <w:t>États-Unis</w:t>
        </w:r>
      </w:hyperlink>
      <w:r w:rsidRPr="00DA7993">
        <w:rPr>
          <w:rFonts w:ascii="Calibri" w:hAnsi="Calibri" w:cs="Calibri"/>
          <w:color w:val="202122"/>
          <w:sz w:val="22"/>
          <w:szCs w:val="22"/>
        </w:rPr>
        <w:t> (</w:t>
      </w:r>
      <w:hyperlink r:id="rId2750" w:tooltip="Californie" w:history="1">
        <w:r w:rsidRPr="00DA7993">
          <w:rPr>
            <w:rStyle w:val="Lienhypertexte"/>
            <w:rFonts w:ascii="Calibri" w:hAnsi="Calibri" w:cs="Calibri"/>
            <w:color w:val="0645AD"/>
            <w:sz w:val="22"/>
            <w:szCs w:val="22"/>
            <w:u w:val="none"/>
          </w:rPr>
          <w:t>Californie</w:t>
        </w:r>
      </w:hyperlink>
      <w:r w:rsidRPr="00DA7993">
        <w:rPr>
          <w:rFonts w:ascii="Calibri" w:hAnsi="Calibri" w:cs="Calibri"/>
          <w:color w:val="202122"/>
          <w:sz w:val="22"/>
          <w:szCs w:val="22"/>
        </w:rPr>
        <w:t> et </w:t>
      </w:r>
      <w:hyperlink r:id="rId2751" w:tooltip="Hawaï" w:history="1">
        <w:r w:rsidRPr="00DA7993">
          <w:rPr>
            <w:rStyle w:val="Lienhypertexte"/>
            <w:rFonts w:ascii="Calibri" w:hAnsi="Calibri" w:cs="Calibri"/>
            <w:color w:val="0645AD"/>
            <w:sz w:val="22"/>
            <w:szCs w:val="22"/>
            <w:u w:val="none"/>
          </w:rPr>
          <w:t>Hawaï</w:t>
        </w:r>
      </w:hyperlink>
      <w:r w:rsidRPr="00DA7993">
        <w:rPr>
          <w:rFonts w:ascii="Calibri" w:hAnsi="Calibri" w:cs="Calibri"/>
          <w:color w:val="202122"/>
          <w:sz w:val="22"/>
          <w:szCs w:val="22"/>
        </w:rPr>
        <w:t xml:space="preserve">), </w:t>
      </w:r>
      <w:r w:rsidRPr="00DA7993">
        <w:rPr>
          <w:rFonts w:ascii="Calibri" w:hAnsi="Calibri" w:cs="Calibri"/>
          <w:color w:val="000000" w:themeColor="text1"/>
          <w:sz w:val="22"/>
          <w:szCs w:val="22"/>
        </w:rPr>
        <w:t>en </w:t>
      </w:r>
      <w:hyperlink r:id="rId2752" w:tooltip="France" w:history="1">
        <w:r w:rsidRPr="00DA7993">
          <w:rPr>
            <w:rStyle w:val="Lienhypertexte"/>
            <w:rFonts w:ascii="Calibri" w:hAnsi="Calibri" w:cs="Calibri"/>
            <w:color w:val="0645AD"/>
            <w:sz w:val="22"/>
            <w:szCs w:val="22"/>
            <w:u w:val="none"/>
          </w:rPr>
          <w:t>France</w:t>
        </w:r>
      </w:hyperlink>
      <w:r w:rsidRPr="00DA7993">
        <w:rPr>
          <w:rFonts w:ascii="Calibri" w:hAnsi="Calibri" w:cs="Calibri"/>
          <w:color w:val="202122"/>
          <w:sz w:val="22"/>
          <w:szCs w:val="22"/>
        </w:rPr>
        <w:t> </w:t>
      </w:r>
      <w:r w:rsidRPr="00DA7993">
        <w:rPr>
          <w:rFonts w:ascii="Calibri" w:hAnsi="Calibri" w:cs="Calibri"/>
          <w:color w:val="000000" w:themeColor="text1"/>
          <w:sz w:val="22"/>
          <w:szCs w:val="22"/>
        </w:rPr>
        <w:t>(environ 250 producteurs artisanaux), ainsi qu'en Afrique : </w:t>
      </w:r>
      <w:hyperlink r:id="rId2753" w:tooltip="Côte d'Ivoire" w:history="1">
        <w:r w:rsidRPr="00DA7993">
          <w:rPr>
            <w:rStyle w:val="Lienhypertexte"/>
            <w:rFonts w:ascii="Calibri" w:hAnsi="Calibri" w:cs="Calibri"/>
            <w:color w:val="0645AD"/>
            <w:sz w:val="22"/>
            <w:szCs w:val="22"/>
            <w:u w:val="none"/>
          </w:rPr>
          <w:t>Côte d'Ivoire</w:t>
        </w:r>
      </w:hyperlink>
      <w:r w:rsidRPr="00DA7993">
        <w:rPr>
          <w:rFonts w:ascii="Calibri" w:hAnsi="Calibri" w:cs="Calibri"/>
          <w:color w:val="202122"/>
          <w:sz w:val="22"/>
          <w:szCs w:val="22"/>
        </w:rPr>
        <w:t> (</w:t>
      </w:r>
      <w:hyperlink r:id="rId2754" w:tooltip="Adzopé" w:history="1">
        <w:r w:rsidRPr="00DA7993">
          <w:rPr>
            <w:rStyle w:val="Lienhypertexte"/>
            <w:rFonts w:ascii="Calibri" w:hAnsi="Calibri" w:cs="Calibri"/>
            <w:color w:val="0645AD"/>
            <w:sz w:val="22"/>
            <w:szCs w:val="22"/>
            <w:u w:val="none"/>
          </w:rPr>
          <w:t>Adzopé</w:t>
        </w:r>
      </w:hyperlink>
      <w:r w:rsidRPr="00DA7993">
        <w:rPr>
          <w:rFonts w:ascii="Calibri" w:hAnsi="Calibri" w:cs="Calibri"/>
          <w:color w:val="202122"/>
          <w:sz w:val="22"/>
          <w:szCs w:val="22"/>
        </w:rPr>
        <w:t>), </w:t>
      </w:r>
      <w:hyperlink r:id="rId2755" w:tooltip="Mali" w:history="1">
        <w:r w:rsidRPr="00DA7993">
          <w:rPr>
            <w:rStyle w:val="Lienhypertexte"/>
            <w:rFonts w:ascii="Calibri" w:hAnsi="Calibri" w:cs="Calibri"/>
            <w:color w:val="0645AD"/>
            <w:sz w:val="22"/>
            <w:szCs w:val="22"/>
            <w:u w:val="none"/>
          </w:rPr>
          <w:t>Mali</w:t>
        </w:r>
      </w:hyperlink>
      <w:r w:rsidRPr="00DA7993">
        <w:rPr>
          <w:rFonts w:ascii="Calibri" w:hAnsi="Calibri" w:cs="Calibri"/>
          <w:color w:val="202122"/>
          <w:sz w:val="22"/>
          <w:szCs w:val="22"/>
        </w:rPr>
        <w:t> (</w:t>
      </w:r>
      <w:hyperlink r:id="rId2756" w:tooltip="Mopti" w:history="1">
        <w:r w:rsidRPr="00DA7993">
          <w:rPr>
            <w:rStyle w:val="Lienhypertexte"/>
            <w:rFonts w:ascii="Calibri" w:hAnsi="Calibri" w:cs="Calibri"/>
            <w:color w:val="0645AD"/>
            <w:sz w:val="22"/>
            <w:szCs w:val="22"/>
            <w:u w:val="none"/>
          </w:rPr>
          <w:t>Mopti</w:t>
        </w:r>
      </w:hyperlink>
      <w:r w:rsidRPr="00DA7993">
        <w:rPr>
          <w:rFonts w:ascii="Calibri" w:hAnsi="Calibri" w:cs="Calibri"/>
          <w:color w:val="202122"/>
          <w:sz w:val="22"/>
          <w:szCs w:val="22"/>
        </w:rPr>
        <w:t>, </w:t>
      </w:r>
      <w:hyperlink r:id="rId2757" w:tooltip="Ségou (ville)" w:history="1">
        <w:r w:rsidRPr="00DA7993">
          <w:rPr>
            <w:rStyle w:val="Lienhypertexte"/>
            <w:rFonts w:ascii="Calibri" w:hAnsi="Calibri" w:cs="Calibri"/>
            <w:color w:val="0645AD"/>
            <w:sz w:val="22"/>
            <w:szCs w:val="22"/>
            <w:u w:val="none"/>
          </w:rPr>
          <w:t>Ségou</w:t>
        </w:r>
      </w:hyperlink>
      <w:r w:rsidRPr="00DA7993">
        <w:rPr>
          <w:rFonts w:ascii="Calibri" w:hAnsi="Calibri" w:cs="Calibri"/>
          <w:color w:val="202122"/>
          <w:sz w:val="22"/>
          <w:szCs w:val="22"/>
        </w:rPr>
        <w:t>…), </w:t>
      </w:r>
      <w:hyperlink r:id="rId2758" w:tooltip="Burkina Faso" w:history="1">
        <w:r w:rsidRPr="00DA7993">
          <w:rPr>
            <w:rStyle w:val="Lienhypertexte"/>
            <w:rFonts w:ascii="Calibri" w:hAnsi="Calibri" w:cs="Calibri"/>
            <w:color w:val="0645AD"/>
            <w:sz w:val="22"/>
            <w:szCs w:val="22"/>
            <w:u w:val="none"/>
          </w:rPr>
          <w:t>Burkina Faso</w:t>
        </w:r>
      </w:hyperlink>
      <w:r w:rsidRPr="00DA7993">
        <w:rPr>
          <w:rFonts w:ascii="Calibri" w:hAnsi="Calibri" w:cs="Calibri"/>
          <w:color w:val="202122"/>
          <w:sz w:val="22"/>
          <w:szCs w:val="22"/>
        </w:rPr>
        <w:t> (</w:t>
      </w:r>
      <w:hyperlink r:id="rId2759" w:tooltip="Koudougou" w:history="1">
        <w:r w:rsidRPr="00DA7993">
          <w:rPr>
            <w:rStyle w:val="Lienhypertexte"/>
            <w:rFonts w:ascii="Calibri" w:hAnsi="Calibri" w:cs="Calibri"/>
            <w:color w:val="0645AD"/>
            <w:sz w:val="22"/>
            <w:szCs w:val="22"/>
            <w:u w:val="none"/>
          </w:rPr>
          <w:t>Koudougou</w:t>
        </w:r>
      </w:hyperlink>
      <w:r w:rsidRPr="00DA7993">
        <w:rPr>
          <w:rFonts w:ascii="Calibri" w:hAnsi="Calibri" w:cs="Calibri"/>
          <w:color w:val="202122"/>
          <w:sz w:val="22"/>
          <w:szCs w:val="22"/>
        </w:rPr>
        <w:t>).</w:t>
      </w:r>
    </w:p>
    <w:p w14:paraId="2CA65214" w14:textId="543F6E04" w:rsidR="00A97AAB" w:rsidRPr="00DA7993" w:rsidRDefault="00A97AAB" w:rsidP="00A97AAB">
      <w:pPr>
        <w:pStyle w:val="NormalWeb"/>
        <w:shd w:val="clear" w:color="auto" w:fill="FFFFFF"/>
        <w:spacing w:before="0" w:beforeAutospacing="0" w:after="0" w:afterAutospacing="0"/>
        <w:jc w:val="both"/>
        <w:rPr>
          <w:rFonts w:ascii="Calibri" w:hAnsi="Calibri" w:cs="Calibri"/>
          <w:color w:val="202122"/>
          <w:sz w:val="22"/>
          <w:szCs w:val="22"/>
        </w:rPr>
      </w:pPr>
      <w:r w:rsidRPr="00A97AAB">
        <w:rPr>
          <w:rFonts w:ascii="Calibri" w:hAnsi="Calibri" w:cs="Calibri"/>
          <w:color w:val="202122"/>
          <w:sz w:val="22"/>
          <w:szCs w:val="22"/>
          <w:u w:val="single"/>
        </w:rPr>
        <w:t>Note</w:t>
      </w:r>
      <w:r w:rsidRPr="00A97AAB">
        <w:rPr>
          <w:rFonts w:ascii="Calibri" w:hAnsi="Calibri" w:cs="Calibri"/>
          <w:color w:val="202122"/>
          <w:sz w:val="22"/>
          <w:szCs w:val="22"/>
        </w:rPr>
        <w:t xml:space="preserve"> : </w:t>
      </w:r>
      <w:r w:rsidRPr="00DA7993">
        <w:rPr>
          <w:rFonts w:ascii="Calibri" w:hAnsi="Calibri" w:cs="Calibri"/>
          <w:color w:val="000000" w:themeColor="text1"/>
          <w:sz w:val="22"/>
          <w:szCs w:val="22"/>
          <w:shd w:val="clear" w:color="auto" w:fill="FFFFFF"/>
        </w:rPr>
        <w:t>Le genre </w:t>
      </w:r>
      <w:hyperlink r:id="rId2760" w:tooltip="Spirulina" w:history="1">
        <w:r w:rsidRPr="00DA7993">
          <w:rPr>
            <w:rStyle w:val="Lienhypertexte"/>
            <w:rFonts w:ascii="Calibri" w:hAnsi="Calibri" w:cs="Calibri"/>
            <w:i/>
            <w:iCs/>
            <w:color w:val="0645AD"/>
            <w:sz w:val="22"/>
            <w:szCs w:val="22"/>
            <w:shd w:val="clear" w:color="auto" w:fill="FFFFFF"/>
          </w:rPr>
          <w:t>Spirulina</w:t>
        </w:r>
      </w:hyperlink>
      <w:r w:rsidRPr="00DA7993">
        <w:rPr>
          <w:rFonts w:ascii="Calibri" w:hAnsi="Calibri" w:cs="Calibri"/>
          <w:color w:val="202122"/>
          <w:sz w:val="22"/>
          <w:szCs w:val="22"/>
          <w:shd w:val="clear" w:color="auto" w:fill="FFFFFF"/>
        </w:rPr>
        <w:t> </w:t>
      </w:r>
      <w:r w:rsidRPr="00DA7993">
        <w:rPr>
          <w:rFonts w:ascii="Calibri" w:hAnsi="Calibri" w:cs="Calibri"/>
          <w:color w:val="000000" w:themeColor="text1"/>
          <w:sz w:val="22"/>
          <w:szCs w:val="22"/>
          <w:shd w:val="clear" w:color="auto" w:fill="FFFFFF"/>
        </w:rPr>
        <w:t>existe toujours, mais englobe d'autres cyanobactéries, assez éloignées du point de vue </w:t>
      </w:r>
      <w:hyperlink r:id="rId2761" w:tooltip="Taxonomie" w:history="1">
        <w:r w:rsidRPr="00875D93">
          <w:rPr>
            <w:rStyle w:val="Lienhypertexte"/>
            <w:rFonts w:ascii="Calibri" w:hAnsi="Calibri" w:cs="Calibri"/>
            <w:color w:val="2F5496" w:themeColor="accent1" w:themeShade="BF"/>
            <w:sz w:val="22"/>
            <w:szCs w:val="22"/>
            <w:shd w:val="clear" w:color="auto" w:fill="FFFFFF"/>
          </w:rPr>
          <w:t>taxinomique</w:t>
        </w:r>
      </w:hyperlink>
      <w:r w:rsidRPr="00DA7993">
        <w:rPr>
          <w:rFonts w:ascii="Calibri" w:hAnsi="Calibri" w:cs="Calibri"/>
          <w:color w:val="000000" w:themeColor="text1"/>
          <w:sz w:val="22"/>
          <w:szCs w:val="22"/>
          <w:shd w:val="clear" w:color="auto" w:fill="FFFFFF"/>
        </w:rPr>
        <w:t xml:space="preserve"> et </w:t>
      </w:r>
      <w:r w:rsidRPr="007F0870">
        <w:rPr>
          <w:rFonts w:ascii="Calibri" w:hAnsi="Calibri" w:cs="Calibri"/>
          <w:i/>
          <w:iCs/>
          <w:color w:val="000000" w:themeColor="text1"/>
          <w:sz w:val="22"/>
          <w:szCs w:val="22"/>
          <w:shd w:val="clear" w:color="auto" w:fill="FFFFFF"/>
        </w:rPr>
        <w:t>sans valeur alimentaire pour les humains</w:t>
      </w:r>
      <w:r w:rsidRPr="00DA7993">
        <w:rPr>
          <w:rFonts w:ascii="Calibri" w:hAnsi="Calibri" w:cs="Calibri"/>
          <w:color w:val="000000" w:themeColor="text1"/>
          <w:sz w:val="22"/>
          <w:szCs w:val="22"/>
          <w:shd w:val="clear" w:color="auto" w:fill="FFFFFF"/>
        </w:rPr>
        <w:t>.</w:t>
      </w:r>
      <w:r>
        <w:rPr>
          <w:rFonts w:ascii="Calibri" w:hAnsi="Calibri" w:cs="Calibri"/>
          <w:color w:val="000000" w:themeColor="text1"/>
          <w:sz w:val="22"/>
          <w:szCs w:val="22"/>
          <w:shd w:val="clear" w:color="auto" w:fill="FFFFFF"/>
        </w:rPr>
        <w:t xml:space="preserve"> </w:t>
      </w:r>
      <w:r w:rsidR="007F0870">
        <w:rPr>
          <w:rFonts w:ascii="Calibri" w:hAnsi="Calibri" w:cs="Calibri"/>
          <w:color w:val="000000" w:themeColor="text1"/>
          <w:sz w:val="22"/>
          <w:szCs w:val="22"/>
          <w:shd w:val="clear" w:color="auto" w:fill="FFFFFF"/>
        </w:rPr>
        <w:t xml:space="preserve">Le nom actuel « spiruline » est donné à des espèces alimentaire du genre </w:t>
      </w:r>
      <w:hyperlink r:id="rId2762" w:tooltip="Arthrospira" w:history="1">
        <w:r w:rsidR="007F0870" w:rsidRPr="00DA7993">
          <w:rPr>
            <w:rStyle w:val="Lienhypertexte"/>
            <w:rFonts w:ascii="Calibri" w:hAnsi="Calibri" w:cs="Calibri"/>
            <w:i/>
            <w:iCs/>
            <w:color w:val="0645AD"/>
            <w:sz w:val="22"/>
            <w:szCs w:val="22"/>
            <w:u w:val="none"/>
          </w:rPr>
          <w:t>Arthrospira</w:t>
        </w:r>
      </w:hyperlink>
      <w:r w:rsidR="007F0870">
        <w:rPr>
          <w:rFonts w:ascii="Calibri" w:hAnsi="Calibri" w:cs="Calibri"/>
          <w:color w:val="000000" w:themeColor="text1"/>
          <w:sz w:val="22"/>
          <w:szCs w:val="22"/>
          <w:shd w:val="clear" w:color="auto" w:fill="FFFFFF"/>
        </w:rPr>
        <w:t xml:space="preserve"> et non à celles du</w:t>
      </w:r>
      <w:r w:rsidR="007F0870" w:rsidRPr="00DA7993">
        <w:rPr>
          <w:rFonts w:ascii="Calibri" w:hAnsi="Calibri" w:cs="Calibri"/>
          <w:color w:val="000000" w:themeColor="text1"/>
          <w:sz w:val="22"/>
          <w:szCs w:val="22"/>
        </w:rPr>
        <w:t xml:space="preserve"> genre </w:t>
      </w:r>
      <w:hyperlink r:id="rId2763" w:tooltip="Spirulina" w:history="1">
        <w:r w:rsidR="007F0870" w:rsidRPr="00DA7993">
          <w:rPr>
            <w:rStyle w:val="Lienhypertexte"/>
            <w:rFonts w:ascii="Calibri" w:hAnsi="Calibri" w:cs="Calibri"/>
            <w:i/>
            <w:iCs/>
            <w:color w:val="0645AD"/>
            <w:sz w:val="22"/>
            <w:szCs w:val="22"/>
            <w:u w:val="none"/>
          </w:rPr>
          <w:t>Spirulina</w:t>
        </w:r>
      </w:hyperlink>
      <w:r w:rsidR="007F0870">
        <w:rPr>
          <w:rStyle w:val="Appelnotedebasdep"/>
          <w:rFonts w:ascii="Calibri" w:hAnsi="Calibri" w:cs="Calibri"/>
          <w:i/>
          <w:iCs/>
          <w:color w:val="202122"/>
          <w:sz w:val="22"/>
          <w:szCs w:val="22"/>
        </w:rPr>
        <w:footnoteReference w:id="146"/>
      </w:r>
      <w:r w:rsidR="007F0870">
        <w:rPr>
          <w:rFonts w:ascii="Calibri" w:hAnsi="Calibri" w:cs="Calibri"/>
          <w:color w:val="000000" w:themeColor="text1"/>
          <w:sz w:val="22"/>
          <w:szCs w:val="22"/>
        </w:rPr>
        <w:t>.</w:t>
      </w:r>
    </w:p>
    <w:p w14:paraId="5F768BC0" w14:textId="708C082B" w:rsidR="007F0870" w:rsidRPr="007F0870" w:rsidRDefault="007F0870" w:rsidP="007F0870">
      <w:pPr>
        <w:pStyle w:val="NormalWeb"/>
        <w:shd w:val="clear" w:color="auto" w:fill="FFFFFF"/>
        <w:spacing w:before="0" w:beforeAutospacing="0" w:after="0" w:afterAutospacing="0"/>
        <w:jc w:val="both"/>
        <w:rPr>
          <w:rFonts w:ascii="Calibri" w:hAnsi="Calibri" w:cs="Calibri"/>
          <w:color w:val="000000" w:themeColor="text1"/>
          <w:sz w:val="22"/>
          <w:szCs w:val="22"/>
        </w:rPr>
      </w:pPr>
      <w:r w:rsidRPr="007F0870">
        <w:rPr>
          <w:rFonts w:ascii="Calibri" w:hAnsi="Calibri" w:cs="Calibri"/>
          <w:color w:val="000000" w:themeColor="text1"/>
          <w:sz w:val="22"/>
          <w:szCs w:val="22"/>
          <w:u w:val="single"/>
        </w:rPr>
        <w:t>Principes et méthodes de production en algoculture</w:t>
      </w:r>
      <w:r w:rsidRPr="007F0870">
        <w:rPr>
          <w:rFonts w:ascii="Calibri" w:hAnsi="Calibri" w:cs="Calibri"/>
          <w:color w:val="000000" w:themeColor="text1"/>
          <w:sz w:val="22"/>
          <w:szCs w:val="22"/>
        </w:rPr>
        <w:t xml:space="preserve"> : La culture </w:t>
      </w:r>
      <w:r w:rsidRPr="007F0870">
        <w:rPr>
          <w:rFonts w:ascii="Calibri" w:hAnsi="Calibri" w:cs="Calibri"/>
          <w:color w:val="202122"/>
          <w:sz w:val="22"/>
          <w:szCs w:val="22"/>
        </w:rPr>
        <w:t>(</w:t>
      </w:r>
      <w:hyperlink r:id="rId2764" w:tooltip="Algoculture" w:history="1">
        <w:r w:rsidRPr="007F0870">
          <w:rPr>
            <w:rStyle w:val="Lienhypertexte"/>
            <w:rFonts w:ascii="Calibri" w:hAnsi="Calibri" w:cs="Calibri"/>
            <w:color w:val="0645AD"/>
            <w:sz w:val="22"/>
            <w:szCs w:val="22"/>
            <w:u w:val="none"/>
          </w:rPr>
          <w:t>algoculture</w:t>
        </w:r>
      </w:hyperlink>
      <w:r w:rsidRPr="007F0870">
        <w:rPr>
          <w:rFonts w:ascii="Calibri" w:hAnsi="Calibri" w:cs="Calibri"/>
          <w:color w:val="202122"/>
          <w:sz w:val="22"/>
          <w:szCs w:val="22"/>
        </w:rPr>
        <w:t xml:space="preserve">) </w:t>
      </w:r>
      <w:r w:rsidRPr="007F0870">
        <w:rPr>
          <w:rFonts w:ascii="Calibri" w:hAnsi="Calibri" w:cs="Calibri"/>
          <w:color w:val="000000" w:themeColor="text1"/>
          <w:sz w:val="22"/>
          <w:szCs w:val="22"/>
        </w:rPr>
        <w:t xml:space="preserve">de la spiruline alimentaire se pratique principalement en milieu ouvert, en </w:t>
      </w:r>
      <w:r w:rsidRPr="007F0870">
        <w:rPr>
          <w:rFonts w:ascii="Calibri" w:hAnsi="Calibri" w:cs="Calibri"/>
          <w:i/>
          <w:iCs/>
          <w:color w:val="000000" w:themeColor="text1"/>
          <w:sz w:val="22"/>
          <w:szCs w:val="22"/>
        </w:rPr>
        <w:t>bassins aquatiques de quelques décimètres de profondeur</w:t>
      </w:r>
      <w:r w:rsidR="0011098B">
        <w:rPr>
          <w:rStyle w:val="Appelnotedebasdep"/>
          <w:rFonts w:ascii="Calibri" w:hAnsi="Calibri" w:cs="Calibri"/>
          <w:i/>
          <w:iCs/>
          <w:color w:val="000000" w:themeColor="text1"/>
          <w:sz w:val="22"/>
          <w:szCs w:val="22"/>
        </w:rPr>
        <w:footnoteReference w:id="147"/>
      </w:r>
      <w:r w:rsidRPr="007F0870">
        <w:rPr>
          <w:rFonts w:ascii="Calibri" w:hAnsi="Calibri" w:cs="Calibri"/>
          <w:color w:val="000000" w:themeColor="text1"/>
          <w:sz w:val="22"/>
          <w:szCs w:val="22"/>
        </w:rPr>
        <w:t xml:space="preserve">, couverts ou non, et exposés à la lumière du soleil, </w:t>
      </w:r>
      <w:r w:rsidRPr="007F0870">
        <w:rPr>
          <w:rFonts w:ascii="Calibri" w:hAnsi="Calibri" w:cs="Calibri"/>
          <w:i/>
          <w:iCs/>
          <w:color w:val="000000" w:themeColor="text1"/>
          <w:sz w:val="22"/>
          <w:szCs w:val="22"/>
        </w:rPr>
        <w:t xml:space="preserve">dans une </w:t>
      </w:r>
      <w:r w:rsidRPr="007F0870">
        <w:rPr>
          <w:rFonts w:ascii="Calibri" w:hAnsi="Calibri" w:cs="Calibri"/>
          <w:b/>
          <w:bCs/>
          <w:i/>
          <w:iCs/>
          <w:color w:val="000000" w:themeColor="text1"/>
          <w:sz w:val="22"/>
          <w:szCs w:val="22"/>
        </w:rPr>
        <w:t>eau </w:t>
      </w:r>
      <w:hyperlink r:id="rId2765" w:tooltip="Base (chimie)" w:history="1">
        <w:r w:rsidRPr="007F0870">
          <w:rPr>
            <w:rStyle w:val="Lienhypertexte"/>
            <w:rFonts w:ascii="Calibri" w:hAnsi="Calibri" w:cs="Calibri"/>
            <w:b/>
            <w:bCs/>
            <w:i/>
            <w:iCs/>
            <w:color w:val="0645AD"/>
            <w:sz w:val="22"/>
            <w:szCs w:val="22"/>
            <w:u w:val="none"/>
          </w:rPr>
          <w:t>alcaline</w:t>
        </w:r>
      </w:hyperlink>
      <w:r w:rsidRPr="007F0870">
        <w:rPr>
          <w:rFonts w:ascii="Calibri" w:hAnsi="Calibri" w:cs="Calibri"/>
          <w:b/>
          <w:bCs/>
          <w:i/>
          <w:iCs/>
          <w:color w:val="202122"/>
          <w:sz w:val="22"/>
          <w:szCs w:val="22"/>
        </w:rPr>
        <w:t> (</w:t>
      </w:r>
      <w:hyperlink r:id="rId2766" w:tooltip="Potentiel hydrogène" w:history="1">
        <w:r w:rsidRPr="007F0870">
          <w:rPr>
            <w:rStyle w:val="Lienhypertexte"/>
            <w:rFonts w:ascii="Calibri" w:hAnsi="Calibri" w:cs="Calibri"/>
            <w:b/>
            <w:bCs/>
            <w:i/>
            <w:iCs/>
            <w:color w:val="0645AD"/>
            <w:sz w:val="22"/>
            <w:szCs w:val="22"/>
            <w:u w:val="none"/>
          </w:rPr>
          <w:t>pH</w:t>
        </w:r>
      </w:hyperlink>
      <w:r w:rsidRPr="007F0870">
        <w:rPr>
          <w:rFonts w:ascii="Calibri" w:hAnsi="Calibri" w:cs="Calibri"/>
          <w:b/>
          <w:bCs/>
          <w:i/>
          <w:iCs/>
          <w:color w:val="202122"/>
          <w:sz w:val="22"/>
          <w:szCs w:val="22"/>
        </w:rPr>
        <w:t> proche de 10)</w:t>
      </w:r>
      <w:r w:rsidRPr="007F0870">
        <w:rPr>
          <w:rFonts w:ascii="Calibri" w:hAnsi="Calibri" w:cs="Calibri"/>
          <w:i/>
          <w:iCs/>
          <w:color w:val="202122"/>
          <w:sz w:val="22"/>
          <w:szCs w:val="22"/>
        </w:rPr>
        <w:t xml:space="preserve"> </w:t>
      </w:r>
      <w:r w:rsidRPr="0011098B">
        <w:rPr>
          <w:rFonts w:ascii="Calibri" w:hAnsi="Calibri" w:cs="Calibri"/>
          <w:i/>
          <w:iCs/>
          <w:color w:val="000000" w:themeColor="text1"/>
          <w:sz w:val="22"/>
          <w:szCs w:val="22"/>
        </w:rPr>
        <w:t>et maintenue à une température comprise entre 30 et 35 °C</w:t>
      </w:r>
      <w:r w:rsidR="0011098B">
        <w:rPr>
          <w:rStyle w:val="Appelnotedebasdep"/>
          <w:rFonts w:ascii="Calibri" w:hAnsi="Calibri" w:cs="Calibri"/>
          <w:i/>
          <w:iCs/>
          <w:color w:val="000000" w:themeColor="text1"/>
          <w:sz w:val="22"/>
          <w:szCs w:val="22"/>
        </w:rPr>
        <w:footnoteReference w:id="148"/>
      </w:r>
      <w:r w:rsidRPr="0011098B">
        <w:rPr>
          <w:rFonts w:ascii="Calibri" w:hAnsi="Calibri" w:cs="Calibri"/>
          <w:color w:val="000000" w:themeColor="text1"/>
          <w:sz w:val="22"/>
          <w:szCs w:val="22"/>
        </w:rPr>
        <w:t xml:space="preserve">. </w:t>
      </w:r>
      <w:r w:rsidRPr="007F0870">
        <w:rPr>
          <w:rFonts w:ascii="Calibri" w:hAnsi="Calibri" w:cs="Calibri"/>
          <w:color w:val="000000" w:themeColor="text1"/>
          <w:sz w:val="22"/>
          <w:szCs w:val="22"/>
        </w:rPr>
        <w:t>Elle peut également se pratiquer en </w:t>
      </w:r>
      <w:hyperlink r:id="rId2767" w:tooltip="Photobioréacteur" w:history="1">
        <w:r w:rsidRPr="007F0870">
          <w:rPr>
            <w:rStyle w:val="Lienhypertexte"/>
            <w:rFonts w:ascii="Calibri" w:hAnsi="Calibri" w:cs="Calibri"/>
            <w:color w:val="0645AD"/>
            <w:sz w:val="22"/>
            <w:szCs w:val="22"/>
            <w:u w:val="none"/>
          </w:rPr>
          <w:t>photobioréacteurs</w:t>
        </w:r>
      </w:hyperlink>
      <w:r w:rsidRPr="007F0870">
        <w:rPr>
          <w:rFonts w:ascii="Calibri" w:hAnsi="Calibri" w:cs="Calibri"/>
          <w:color w:val="202122"/>
          <w:sz w:val="22"/>
          <w:szCs w:val="22"/>
        </w:rPr>
        <w:t xml:space="preserve">, </w:t>
      </w:r>
      <w:r w:rsidRPr="007F0870">
        <w:rPr>
          <w:rFonts w:ascii="Calibri" w:hAnsi="Calibri" w:cs="Calibri"/>
          <w:color w:val="000000" w:themeColor="text1"/>
          <w:sz w:val="22"/>
          <w:szCs w:val="22"/>
        </w:rPr>
        <w:t>c'est-à-dire en systèmes fermés. En conditions réelles, la productivité de bassins ouverts de type </w:t>
      </w:r>
      <w:r w:rsidRPr="007F0870">
        <w:rPr>
          <w:rFonts w:ascii="Calibri" w:hAnsi="Calibri" w:cs="Calibri"/>
          <w:i/>
          <w:iCs/>
          <w:color w:val="000000" w:themeColor="text1"/>
          <w:sz w:val="22"/>
          <w:szCs w:val="22"/>
        </w:rPr>
        <w:t>raceway</w:t>
      </w:r>
      <w:r w:rsidRPr="007F0870">
        <w:rPr>
          <w:rFonts w:ascii="Calibri" w:hAnsi="Calibri" w:cs="Calibri"/>
          <w:color w:val="000000" w:themeColor="text1"/>
          <w:sz w:val="22"/>
          <w:szCs w:val="22"/>
        </w:rPr>
        <w:t> (en hippodrome), tourne généralement autour de 6 g m</w:t>
      </w:r>
      <w:r w:rsidRPr="007F0870">
        <w:rPr>
          <w:rFonts w:ascii="Calibri" w:hAnsi="Calibri" w:cs="Calibri"/>
          <w:color w:val="000000" w:themeColor="text1"/>
          <w:sz w:val="22"/>
          <w:szCs w:val="22"/>
          <w:vertAlign w:val="superscript"/>
        </w:rPr>
        <w:t>−2</w:t>
      </w:r>
      <w:r w:rsidRPr="007F0870">
        <w:rPr>
          <w:rFonts w:ascii="Calibri" w:hAnsi="Calibri" w:cs="Calibri"/>
          <w:color w:val="000000" w:themeColor="text1"/>
          <w:sz w:val="22"/>
          <w:szCs w:val="22"/>
        </w:rPr>
        <w:t> j</w:t>
      </w:r>
      <w:r w:rsidRPr="007F0870">
        <w:rPr>
          <w:rFonts w:ascii="Calibri" w:hAnsi="Calibri" w:cs="Calibri"/>
          <w:color w:val="000000" w:themeColor="text1"/>
          <w:sz w:val="22"/>
          <w:szCs w:val="22"/>
          <w:vertAlign w:val="superscript"/>
        </w:rPr>
        <w:t>−1</w:t>
      </w:r>
      <w:r w:rsidRPr="007F0870">
        <w:rPr>
          <w:rFonts w:ascii="Calibri" w:hAnsi="Calibri" w:cs="Calibri"/>
          <w:color w:val="000000" w:themeColor="text1"/>
          <w:sz w:val="22"/>
          <w:szCs w:val="22"/>
        </w:rPr>
        <w:t xml:space="preserve"> (équivalent sec). Après </w:t>
      </w:r>
      <w:r w:rsidRPr="00692B2D">
        <w:rPr>
          <w:rFonts w:ascii="Calibri" w:hAnsi="Calibri" w:cs="Calibri"/>
          <w:i/>
          <w:iCs/>
          <w:color w:val="000000" w:themeColor="text1"/>
          <w:sz w:val="22"/>
          <w:szCs w:val="22"/>
        </w:rPr>
        <w:t>filtration, égouttage, lavage, éventuellement extrusion, puis séchage</w:t>
      </w:r>
      <w:r w:rsidR="00692B2D">
        <w:rPr>
          <w:rStyle w:val="Appelnotedebasdep"/>
          <w:rFonts w:ascii="Calibri" w:hAnsi="Calibri" w:cs="Calibri"/>
          <w:i/>
          <w:iCs/>
          <w:color w:val="000000" w:themeColor="text1"/>
          <w:sz w:val="22"/>
          <w:szCs w:val="22"/>
        </w:rPr>
        <w:footnoteReference w:id="149"/>
      </w:r>
      <w:r w:rsidRPr="007F0870">
        <w:rPr>
          <w:rFonts w:ascii="Calibri" w:hAnsi="Calibri" w:cs="Calibri"/>
          <w:color w:val="000000" w:themeColor="text1"/>
          <w:sz w:val="22"/>
          <w:szCs w:val="22"/>
        </w:rPr>
        <w:t>, on obtient un produit déshydraté, qui peut se présenter sous différentes formes et notamment une fine poudre verte (après séchage par atomisation ou une étape supplémentaire de concassage et de broyage).</w:t>
      </w:r>
    </w:p>
    <w:p w14:paraId="61DC4134" w14:textId="4AA12780" w:rsidR="007F0870" w:rsidRDefault="007F0870" w:rsidP="007F0870">
      <w:pPr>
        <w:pStyle w:val="NormalWeb"/>
        <w:shd w:val="clear" w:color="auto" w:fill="FFFFFF"/>
        <w:spacing w:before="0" w:beforeAutospacing="0" w:after="0" w:afterAutospacing="0"/>
        <w:jc w:val="both"/>
        <w:rPr>
          <w:rFonts w:ascii="Calibri" w:hAnsi="Calibri" w:cs="Calibri"/>
          <w:color w:val="000000" w:themeColor="text1"/>
          <w:sz w:val="22"/>
          <w:szCs w:val="22"/>
        </w:rPr>
      </w:pPr>
      <w:r w:rsidRPr="007F0870">
        <w:rPr>
          <w:rFonts w:ascii="Calibri" w:hAnsi="Calibri" w:cs="Calibri"/>
          <w:color w:val="000000" w:themeColor="text1"/>
          <w:sz w:val="22"/>
          <w:szCs w:val="22"/>
        </w:rPr>
        <w:t>La culture est facilitée par le fait que cette espèce est </w:t>
      </w:r>
      <w:hyperlink r:id="rId2768" w:tooltip="Extrêmophile" w:history="1">
        <w:r w:rsidRPr="007F0870">
          <w:rPr>
            <w:rStyle w:val="Lienhypertexte"/>
            <w:rFonts w:ascii="Calibri" w:hAnsi="Calibri" w:cs="Calibri"/>
            <w:color w:val="0645AD"/>
            <w:sz w:val="22"/>
            <w:szCs w:val="22"/>
            <w:u w:val="none"/>
          </w:rPr>
          <w:t>extrêmophile</w:t>
        </w:r>
      </w:hyperlink>
      <w:r w:rsidRPr="007F0870">
        <w:rPr>
          <w:rFonts w:ascii="Calibri" w:hAnsi="Calibri" w:cs="Calibri"/>
          <w:color w:val="202122"/>
          <w:sz w:val="22"/>
          <w:szCs w:val="22"/>
        </w:rPr>
        <w:t> </w:t>
      </w:r>
      <w:r w:rsidRPr="007F0870">
        <w:rPr>
          <w:rFonts w:ascii="Calibri" w:hAnsi="Calibri" w:cs="Calibri"/>
          <w:color w:val="000000" w:themeColor="text1"/>
          <w:sz w:val="22"/>
          <w:szCs w:val="22"/>
        </w:rPr>
        <w:t xml:space="preserve">et qu'il est possible de trouver une fenêtre de culture où </w:t>
      </w:r>
      <w:r w:rsidRPr="007F0870">
        <w:rPr>
          <w:rFonts w:ascii="Calibri" w:hAnsi="Calibri" w:cs="Calibri"/>
          <w:b/>
          <w:bCs/>
          <w:i/>
          <w:iCs/>
          <w:color w:val="000000" w:themeColor="text1"/>
          <w:sz w:val="22"/>
          <w:szCs w:val="22"/>
        </w:rPr>
        <w:t>le milieu est suffisamment basique et salin</w:t>
      </w:r>
      <w:r w:rsidRPr="007F0870">
        <w:rPr>
          <w:rFonts w:ascii="Calibri" w:hAnsi="Calibri" w:cs="Calibri"/>
          <w:color w:val="000000" w:themeColor="text1"/>
          <w:sz w:val="22"/>
          <w:szCs w:val="22"/>
        </w:rPr>
        <w:t xml:space="preserve"> </w:t>
      </w:r>
      <w:r w:rsidRPr="00692B2D">
        <w:rPr>
          <w:rFonts w:ascii="Calibri" w:hAnsi="Calibri" w:cs="Calibri"/>
          <w:color w:val="000000" w:themeColor="text1"/>
          <w:sz w:val="22"/>
          <w:szCs w:val="22"/>
        </w:rPr>
        <w:t xml:space="preserve">pour que la spiruline s'y trouve seule à se développer, débouchant sur une situation de monoculture. </w:t>
      </w:r>
      <w:r w:rsidRPr="007F0870">
        <w:rPr>
          <w:rFonts w:ascii="Calibri" w:hAnsi="Calibri" w:cs="Calibri"/>
          <w:color w:val="000000" w:themeColor="text1"/>
          <w:sz w:val="22"/>
          <w:szCs w:val="22"/>
        </w:rPr>
        <w:t>Le risque de contamination des cultures par d'autres espèces d'algues ou de cyanophycées est alors considérablement réduit.</w:t>
      </w:r>
    </w:p>
    <w:p w14:paraId="2375257B" w14:textId="147B57AF" w:rsidR="00692B2D" w:rsidRDefault="00692B2D" w:rsidP="007F0870">
      <w:pPr>
        <w:pStyle w:val="NormalWeb"/>
        <w:shd w:val="clear" w:color="auto" w:fill="FFFFFF"/>
        <w:spacing w:before="0" w:beforeAutospacing="0" w:after="0" w:afterAutospacing="0"/>
        <w:jc w:val="both"/>
        <w:rPr>
          <w:rFonts w:ascii="Calibri" w:hAnsi="Calibri" w:cs="Calibri"/>
          <w:color w:val="202122"/>
          <w:sz w:val="22"/>
          <w:szCs w:val="22"/>
          <w:shd w:val="clear" w:color="auto" w:fill="FFFFFF"/>
        </w:rPr>
      </w:pPr>
      <w:r w:rsidRPr="00692B2D">
        <w:rPr>
          <w:rFonts w:ascii="Calibri" w:hAnsi="Calibri" w:cs="Calibri"/>
          <w:color w:val="000000" w:themeColor="text1"/>
          <w:sz w:val="22"/>
          <w:szCs w:val="22"/>
        </w:rPr>
        <w:t xml:space="preserve">Les exploitations cultivent la spiruline, dans un milieu artificiel simplifié, </w:t>
      </w:r>
      <w:r w:rsidRPr="0011098B">
        <w:rPr>
          <w:rFonts w:ascii="Calibri" w:hAnsi="Calibri" w:cs="Calibri"/>
          <w:color w:val="000000" w:themeColor="text1"/>
          <w:sz w:val="22"/>
          <w:szCs w:val="22"/>
          <w:shd w:val="clear" w:color="auto" w:fill="FFFFFF"/>
        </w:rPr>
        <w:t xml:space="preserve">réunissant une base </w:t>
      </w:r>
      <w:r w:rsidRPr="00692B2D">
        <w:rPr>
          <w:rFonts w:ascii="Calibri" w:hAnsi="Calibri" w:cs="Calibri"/>
          <w:color w:val="000000" w:themeColor="text1"/>
          <w:sz w:val="22"/>
          <w:szCs w:val="22"/>
          <w:shd w:val="clear" w:color="auto" w:fill="FFFFFF"/>
        </w:rPr>
        <w:t>(généralement grâce à un apport de</w:t>
      </w:r>
      <w:r w:rsidRPr="00692B2D">
        <w:rPr>
          <w:rFonts w:ascii="Calibri" w:hAnsi="Calibri" w:cs="Calibri"/>
          <w:color w:val="202122"/>
          <w:sz w:val="22"/>
          <w:szCs w:val="22"/>
          <w:shd w:val="clear" w:color="auto" w:fill="FFFFFF"/>
        </w:rPr>
        <w:t> </w:t>
      </w:r>
      <w:hyperlink r:id="rId2769" w:tooltip="Bicarbonate de soude" w:history="1">
        <w:r w:rsidRPr="00692B2D">
          <w:rPr>
            <w:rStyle w:val="Lienhypertexte"/>
            <w:rFonts w:ascii="Calibri" w:hAnsi="Calibri" w:cs="Calibri"/>
            <w:color w:val="0645AD"/>
            <w:sz w:val="22"/>
            <w:szCs w:val="22"/>
            <w:shd w:val="clear" w:color="auto" w:fill="FFFFFF"/>
          </w:rPr>
          <w:t>bicarbonate de soude</w:t>
        </w:r>
      </w:hyperlink>
      <w:r w:rsidRPr="00692B2D">
        <w:rPr>
          <w:rFonts w:ascii="Calibri" w:hAnsi="Calibri" w:cs="Calibri"/>
          <w:color w:val="202122"/>
          <w:sz w:val="22"/>
          <w:szCs w:val="22"/>
          <w:shd w:val="clear" w:color="auto" w:fill="FFFFFF"/>
        </w:rPr>
        <w:t xml:space="preserve">), </w:t>
      </w:r>
      <w:r w:rsidRPr="00692B2D">
        <w:rPr>
          <w:rFonts w:ascii="Calibri" w:hAnsi="Calibri" w:cs="Calibri"/>
          <w:color w:val="000000" w:themeColor="text1"/>
          <w:sz w:val="22"/>
          <w:szCs w:val="22"/>
          <w:shd w:val="clear" w:color="auto" w:fill="FFFFFF"/>
        </w:rPr>
        <w:t xml:space="preserve">une source de salinité </w:t>
      </w:r>
      <w:r w:rsidRPr="00692B2D">
        <w:rPr>
          <w:rFonts w:ascii="Calibri" w:hAnsi="Calibri" w:cs="Calibri"/>
          <w:color w:val="202122"/>
          <w:sz w:val="22"/>
          <w:szCs w:val="22"/>
          <w:shd w:val="clear" w:color="auto" w:fill="FFFFFF"/>
        </w:rPr>
        <w:t>(</w:t>
      </w:r>
      <w:hyperlink r:id="rId2770" w:tooltip="Sel marin" w:history="1">
        <w:r w:rsidRPr="00692B2D">
          <w:rPr>
            <w:rStyle w:val="Lienhypertexte"/>
            <w:rFonts w:ascii="Calibri" w:hAnsi="Calibri" w:cs="Calibri"/>
            <w:color w:val="0645AD"/>
            <w:sz w:val="22"/>
            <w:szCs w:val="22"/>
            <w:shd w:val="clear" w:color="auto" w:fill="FFFFFF"/>
          </w:rPr>
          <w:t>sel marin</w:t>
        </w:r>
      </w:hyperlink>
      <w:r w:rsidRPr="00692B2D">
        <w:rPr>
          <w:rFonts w:ascii="Calibri" w:hAnsi="Calibri" w:cs="Calibri"/>
          <w:color w:val="202122"/>
          <w:sz w:val="22"/>
          <w:szCs w:val="22"/>
          <w:shd w:val="clear" w:color="auto" w:fill="FFFFFF"/>
        </w:rPr>
        <w:t>/</w:t>
      </w:r>
      <w:hyperlink r:id="rId2771" w:history="1">
        <w:r w:rsidRPr="00692B2D">
          <w:rPr>
            <w:rStyle w:val="Lienhypertexte"/>
            <w:rFonts w:ascii="Calibri" w:hAnsi="Calibri" w:cs="Calibri"/>
            <w:color w:val="0645AD"/>
            <w:sz w:val="22"/>
            <w:szCs w:val="22"/>
            <w:shd w:val="clear" w:color="auto" w:fill="FFFFFF"/>
          </w:rPr>
          <w:t>chlorure de sodium</w:t>
        </w:r>
      </w:hyperlink>
      <w:r w:rsidRPr="00692B2D">
        <w:rPr>
          <w:rFonts w:ascii="Calibri" w:hAnsi="Calibri" w:cs="Calibri"/>
          <w:color w:val="202122"/>
          <w:sz w:val="22"/>
          <w:szCs w:val="22"/>
          <w:shd w:val="clear" w:color="auto" w:fill="FFFFFF"/>
        </w:rPr>
        <w:t xml:space="preserve">), </w:t>
      </w:r>
      <w:r w:rsidRPr="00692B2D">
        <w:rPr>
          <w:rFonts w:ascii="Calibri" w:hAnsi="Calibri" w:cs="Calibri"/>
          <w:color w:val="000000" w:themeColor="text1"/>
          <w:sz w:val="22"/>
          <w:szCs w:val="22"/>
          <w:shd w:val="clear" w:color="auto" w:fill="FFFFFF"/>
        </w:rPr>
        <w:t xml:space="preserve">ainsi que des intrants azotés (par exemple de </w:t>
      </w:r>
      <w:r w:rsidRPr="00692B2D">
        <w:rPr>
          <w:rFonts w:ascii="Calibri" w:hAnsi="Calibri" w:cs="Calibri"/>
          <w:color w:val="202122"/>
          <w:sz w:val="22"/>
          <w:szCs w:val="22"/>
          <w:shd w:val="clear" w:color="auto" w:fill="FFFFFF"/>
        </w:rPr>
        <w:t>l'</w:t>
      </w:r>
      <w:hyperlink r:id="rId2772" w:tooltip="Urée" w:history="1">
        <w:r w:rsidRPr="00692B2D">
          <w:rPr>
            <w:rStyle w:val="Lienhypertexte"/>
            <w:rFonts w:ascii="Calibri" w:hAnsi="Calibri" w:cs="Calibri"/>
            <w:color w:val="0645AD"/>
            <w:sz w:val="22"/>
            <w:szCs w:val="22"/>
            <w:shd w:val="clear" w:color="auto" w:fill="FFFFFF"/>
          </w:rPr>
          <w:t>urée</w:t>
        </w:r>
      </w:hyperlink>
      <w:r w:rsidRPr="00692B2D">
        <w:rPr>
          <w:rFonts w:ascii="Calibri" w:hAnsi="Calibri" w:cs="Calibri"/>
          <w:color w:val="202122"/>
          <w:sz w:val="22"/>
          <w:szCs w:val="22"/>
          <w:shd w:val="clear" w:color="auto" w:fill="FFFFFF"/>
        </w:rPr>
        <w:t xml:space="preserve">), </w:t>
      </w:r>
      <w:r w:rsidRPr="00692B2D">
        <w:rPr>
          <w:rFonts w:ascii="Calibri" w:hAnsi="Calibri" w:cs="Calibri"/>
          <w:color w:val="000000" w:themeColor="text1"/>
          <w:sz w:val="22"/>
          <w:szCs w:val="22"/>
          <w:shd w:val="clear" w:color="auto" w:fill="FFFFFF"/>
        </w:rPr>
        <w:t>phosphatés</w:t>
      </w:r>
      <w:r w:rsidRPr="00692B2D">
        <w:rPr>
          <w:rFonts w:ascii="Calibri" w:hAnsi="Calibri" w:cs="Calibri"/>
          <w:color w:val="202122"/>
          <w:sz w:val="22"/>
          <w:szCs w:val="22"/>
          <w:shd w:val="clear" w:color="auto" w:fill="FFFFFF"/>
        </w:rPr>
        <w:t xml:space="preserve"> (</w:t>
      </w:r>
      <w:hyperlink r:id="rId2773" w:tooltip="Acide phosphorique" w:history="1">
        <w:r w:rsidRPr="00692B2D">
          <w:rPr>
            <w:rStyle w:val="Lienhypertexte"/>
            <w:rFonts w:ascii="Calibri" w:hAnsi="Calibri" w:cs="Calibri"/>
            <w:color w:val="0645AD"/>
            <w:sz w:val="22"/>
            <w:szCs w:val="22"/>
            <w:shd w:val="clear" w:color="auto" w:fill="FFFFFF"/>
          </w:rPr>
          <w:t>acide phosphorique</w:t>
        </w:r>
      </w:hyperlink>
      <w:r w:rsidRPr="00692B2D">
        <w:rPr>
          <w:rFonts w:ascii="Calibri" w:hAnsi="Calibri" w:cs="Calibri"/>
          <w:color w:val="202122"/>
          <w:sz w:val="22"/>
          <w:szCs w:val="22"/>
          <w:shd w:val="clear" w:color="auto" w:fill="FFFFFF"/>
        </w:rPr>
        <w:t xml:space="preserve">), </w:t>
      </w:r>
      <w:r w:rsidRPr="00692B2D">
        <w:rPr>
          <w:rFonts w:ascii="Calibri" w:hAnsi="Calibri" w:cs="Calibri"/>
          <w:color w:val="000000" w:themeColor="text1"/>
          <w:sz w:val="22"/>
          <w:szCs w:val="22"/>
          <w:shd w:val="clear" w:color="auto" w:fill="FFFFFF"/>
        </w:rPr>
        <w:t xml:space="preserve">potassiques, ou mixtes </w:t>
      </w:r>
      <w:r w:rsidRPr="00692B2D">
        <w:rPr>
          <w:rFonts w:ascii="Calibri" w:hAnsi="Calibri" w:cs="Calibri"/>
          <w:color w:val="202122"/>
          <w:sz w:val="22"/>
          <w:szCs w:val="22"/>
          <w:shd w:val="clear" w:color="auto" w:fill="FFFFFF"/>
        </w:rPr>
        <w:t>(</w:t>
      </w:r>
      <w:hyperlink r:id="rId2774" w:tooltip="Nitrate de potassium" w:history="1">
        <w:r w:rsidRPr="00692B2D">
          <w:rPr>
            <w:rStyle w:val="Lienhypertexte"/>
            <w:rFonts w:ascii="Calibri" w:hAnsi="Calibri" w:cs="Calibri"/>
            <w:color w:val="0645AD"/>
            <w:sz w:val="22"/>
            <w:szCs w:val="22"/>
            <w:shd w:val="clear" w:color="auto" w:fill="FFFFFF"/>
          </w:rPr>
          <w:t>nitrate de potassium</w:t>
        </w:r>
      </w:hyperlink>
      <w:r w:rsidRPr="00692B2D">
        <w:rPr>
          <w:rFonts w:ascii="Calibri" w:hAnsi="Calibri" w:cs="Calibri"/>
          <w:color w:val="202122"/>
          <w:sz w:val="22"/>
          <w:szCs w:val="22"/>
          <w:shd w:val="clear" w:color="auto" w:fill="FFFFFF"/>
        </w:rPr>
        <w:t>)</w:t>
      </w:r>
      <w:r w:rsidR="00DC6D43">
        <w:rPr>
          <w:rStyle w:val="Appelnotedebasdep"/>
          <w:rFonts w:ascii="Calibri" w:hAnsi="Calibri" w:cs="Calibri"/>
          <w:color w:val="202122"/>
          <w:sz w:val="22"/>
          <w:szCs w:val="22"/>
          <w:shd w:val="clear" w:color="auto" w:fill="FFFFFF"/>
        </w:rPr>
        <w:footnoteReference w:id="150"/>
      </w:r>
      <w:r w:rsidRPr="00692B2D">
        <w:rPr>
          <w:rFonts w:ascii="Calibri" w:hAnsi="Calibri" w:cs="Calibri"/>
          <w:color w:val="202122"/>
          <w:sz w:val="22"/>
          <w:szCs w:val="22"/>
          <w:shd w:val="clear" w:color="auto" w:fill="FFFFFF"/>
        </w:rPr>
        <w:t>.</w:t>
      </w:r>
    </w:p>
    <w:p w14:paraId="5ADF898C" w14:textId="77777777" w:rsidR="007D56AB" w:rsidRDefault="007D56AB" w:rsidP="007F0870">
      <w:pPr>
        <w:pStyle w:val="NormalWeb"/>
        <w:shd w:val="clear" w:color="auto" w:fill="FFFFFF"/>
        <w:spacing w:before="0" w:beforeAutospacing="0" w:after="0" w:afterAutospacing="0"/>
        <w:jc w:val="both"/>
        <w:rPr>
          <w:rFonts w:ascii="Calibri" w:hAnsi="Calibri" w:cs="Calibri"/>
          <w:color w:val="202122"/>
          <w:sz w:val="22"/>
          <w:szCs w:val="22"/>
          <w:shd w:val="clear" w:color="auto" w:fill="FFFFFF"/>
        </w:rPr>
      </w:pPr>
    </w:p>
    <w:p w14:paraId="0A77B986" w14:textId="0755FA1E" w:rsidR="00DC6D43" w:rsidRDefault="00DC6D43" w:rsidP="00DC6D43">
      <w:pPr>
        <w:pStyle w:val="NormalWeb"/>
        <w:shd w:val="clear" w:color="auto" w:fill="FFFFFF"/>
        <w:spacing w:before="0" w:beforeAutospacing="0" w:after="0" w:afterAutospacing="0"/>
        <w:jc w:val="both"/>
        <w:rPr>
          <w:rFonts w:ascii="Calibri" w:hAnsi="Calibri" w:cs="Calibri"/>
          <w:color w:val="000000" w:themeColor="text1"/>
          <w:sz w:val="22"/>
          <w:szCs w:val="22"/>
        </w:rPr>
      </w:pPr>
      <w:r w:rsidRPr="00DC6D43">
        <w:rPr>
          <w:rFonts w:ascii="Calibri" w:hAnsi="Calibri" w:cs="Calibri"/>
          <w:color w:val="000000" w:themeColor="text1"/>
          <w:sz w:val="22"/>
          <w:szCs w:val="22"/>
          <w:u w:val="single"/>
        </w:rPr>
        <w:t>Pour le brassage de l'eau</w:t>
      </w:r>
      <w:r w:rsidRPr="00DC6D43">
        <w:rPr>
          <w:rFonts w:ascii="Calibri" w:hAnsi="Calibri" w:cs="Calibri"/>
          <w:color w:val="000000" w:themeColor="text1"/>
          <w:sz w:val="22"/>
          <w:szCs w:val="22"/>
        </w:rPr>
        <w:t xml:space="preserve"> : a) il faut d'agiter énergétiquement au balai le bassin au moins une fois par jour, surtout s'il est assez profond, b) ou bien</w:t>
      </w:r>
      <w:r>
        <w:rPr>
          <w:rFonts w:ascii="Calibri" w:hAnsi="Calibri" w:cs="Calibri"/>
          <w:color w:val="000000" w:themeColor="text1"/>
          <w:sz w:val="22"/>
          <w:szCs w:val="22"/>
        </w:rPr>
        <w:t>,</w:t>
      </w:r>
      <w:r w:rsidRPr="00DC6D43">
        <w:rPr>
          <w:rFonts w:ascii="Calibri" w:hAnsi="Calibri" w:cs="Calibri"/>
          <w:color w:val="000000" w:themeColor="text1"/>
          <w:sz w:val="22"/>
          <w:szCs w:val="22"/>
        </w:rPr>
        <w:t xml:space="preserve"> pour les grands bassins industriels, très longs, </w:t>
      </w:r>
      <w:r>
        <w:rPr>
          <w:rFonts w:ascii="Calibri" w:hAnsi="Calibri" w:cs="Calibri"/>
          <w:color w:val="000000" w:themeColor="text1"/>
          <w:sz w:val="22"/>
          <w:szCs w:val="22"/>
        </w:rPr>
        <w:t>ce dernier seront</w:t>
      </w:r>
      <w:r w:rsidRPr="00DC6D43">
        <w:rPr>
          <w:rFonts w:ascii="Calibri" w:hAnsi="Calibri" w:cs="Calibri"/>
          <w:color w:val="000000" w:themeColor="text1"/>
          <w:sz w:val="22"/>
          <w:szCs w:val="22"/>
        </w:rPr>
        <w:t xml:space="preserve"> toujours munis d'une </w:t>
      </w:r>
      <w:r w:rsidRPr="00DC6D43">
        <w:rPr>
          <w:rFonts w:ascii="Calibri" w:hAnsi="Calibri" w:cs="Calibri"/>
          <w:i/>
          <w:iCs/>
          <w:color w:val="000000" w:themeColor="text1"/>
          <w:sz w:val="22"/>
          <w:szCs w:val="22"/>
        </w:rPr>
        <w:t>chicane médiane</w:t>
      </w:r>
      <w:r w:rsidRPr="00DC6D43">
        <w:rPr>
          <w:rFonts w:ascii="Calibri" w:hAnsi="Calibri" w:cs="Calibri"/>
          <w:color w:val="000000" w:themeColor="text1"/>
          <w:sz w:val="22"/>
          <w:szCs w:val="22"/>
        </w:rPr>
        <w:t xml:space="preserve"> et </w:t>
      </w:r>
      <w:r w:rsidRPr="00DC6D43">
        <w:rPr>
          <w:rFonts w:ascii="Calibri" w:hAnsi="Calibri" w:cs="Calibri"/>
          <w:i/>
          <w:iCs/>
          <w:color w:val="000000" w:themeColor="text1"/>
          <w:sz w:val="22"/>
          <w:szCs w:val="22"/>
        </w:rPr>
        <w:t>agités par roue à aubes</w:t>
      </w:r>
      <w:r w:rsidRPr="00DC6D43">
        <w:rPr>
          <w:rFonts w:ascii="Calibri" w:hAnsi="Calibri" w:cs="Calibri"/>
          <w:color w:val="000000" w:themeColor="text1"/>
          <w:sz w:val="22"/>
          <w:szCs w:val="22"/>
        </w:rPr>
        <w:t>.</w:t>
      </w:r>
    </w:p>
    <w:p w14:paraId="08691353" w14:textId="0800B447" w:rsidR="00473268" w:rsidRPr="00473268" w:rsidRDefault="00473268" w:rsidP="00DC6D43">
      <w:pPr>
        <w:pStyle w:val="NormalWeb"/>
        <w:shd w:val="clear" w:color="auto" w:fill="FFFFFF"/>
        <w:spacing w:before="0" w:beforeAutospacing="0" w:after="0" w:afterAutospacing="0"/>
        <w:jc w:val="both"/>
        <w:rPr>
          <w:rFonts w:ascii="Calibri" w:hAnsi="Calibri" w:cs="Calibri"/>
          <w:color w:val="000000" w:themeColor="text1"/>
          <w:sz w:val="22"/>
          <w:szCs w:val="22"/>
        </w:rPr>
      </w:pPr>
      <w:r w:rsidRPr="00473268">
        <w:rPr>
          <w:rFonts w:ascii="Calibri" w:hAnsi="Calibri" w:cs="Calibri"/>
          <w:color w:val="000000" w:themeColor="text1"/>
          <w:sz w:val="22"/>
          <w:szCs w:val="22"/>
          <w:u w:val="single"/>
        </w:rPr>
        <w:lastRenderedPageBreak/>
        <w:t>Ombrage</w:t>
      </w:r>
      <w:r w:rsidRPr="00473268">
        <w:rPr>
          <w:rFonts w:ascii="Calibri" w:hAnsi="Calibri" w:cs="Calibri"/>
          <w:color w:val="000000" w:themeColor="text1"/>
          <w:sz w:val="22"/>
          <w:szCs w:val="22"/>
        </w:rPr>
        <w:t> : La spiruline a besoin de beaucoup de lumière mais pas d’exposition directe au soleil fort.</w:t>
      </w:r>
      <w:r>
        <w:rPr>
          <w:rFonts w:ascii="Calibri" w:hAnsi="Calibri" w:cs="Calibri"/>
          <w:color w:val="000000" w:themeColor="text1"/>
          <w:sz w:val="22"/>
          <w:szCs w:val="22"/>
        </w:rPr>
        <w:t xml:space="preserve"> Par températures froides, il faut recouvrir la culture d’un voile d’ombrage.</w:t>
      </w:r>
    </w:p>
    <w:p w14:paraId="59BE5CC7" w14:textId="2C0EB0CB" w:rsidR="007F0870" w:rsidRPr="00FE3319" w:rsidRDefault="00692B2D" w:rsidP="007F0870">
      <w:pPr>
        <w:pStyle w:val="NormalWeb"/>
        <w:shd w:val="clear" w:color="auto" w:fill="FFFFFF"/>
        <w:spacing w:before="0" w:beforeAutospacing="0" w:after="0" w:afterAutospacing="0"/>
        <w:jc w:val="both"/>
        <w:rPr>
          <w:rFonts w:ascii="Calibri" w:hAnsi="Calibri" w:cs="Calibri"/>
          <w:color w:val="000000" w:themeColor="text1"/>
          <w:sz w:val="22"/>
          <w:szCs w:val="22"/>
        </w:rPr>
      </w:pPr>
      <w:r w:rsidRPr="00692B2D">
        <w:rPr>
          <w:rFonts w:ascii="Calibri" w:hAnsi="Calibri" w:cs="Calibri"/>
          <w:color w:val="000000" w:themeColor="text1"/>
          <w:sz w:val="22"/>
          <w:szCs w:val="22"/>
          <w:u w:val="single"/>
        </w:rPr>
        <w:t>Productivité et produits</w:t>
      </w:r>
      <w:r>
        <w:rPr>
          <w:rFonts w:ascii="Calibri" w:hAnsi="Calibri" w:cs="Calibri"/>
          <w:color w:val="000000" w:themeColor="text1"/>
          <w:sz w:val="22"/>
          <w:szCs w:val="22"/>
        </w:rPr>
        <w:t xml:space="preserve"> : </w:t>
      </w:r>
      <w:r w:rsidR="007F0870" w:rsidRPr="00FE3319">
        <w:rPr>
          <w:rFonts w:ascii="Calibri" w:hAnsi="Calibri" w:cs="Calibri"/>
          <w:color w:val="000000" w:themeColor="text1"/>
          <w:sz w:val="22"/>
          <w:szCs w:val="22"/>
        </w:rPr>
        <w:t xml:space="preserve">La spiruline permet de produire une grande quantité d'éléments nutritifs essentiels sur un espace très réduit. </w:t>
      </w:r>
      <w:r w:rsidR="007F0870" w:rsidRPr="00FE3319">
        <w:rPr>
          <w:rFonts w:ascii="Calibri" w:hAnsi="Calibri" w:cs="Calibri"/>
          <w:i/>
          <w:iCs/>
          <w:color w:val="000000" w:themeColor="text1"/>
          <w:sz w:val="22"/>
          <w:szCs w:val="22"/>
        </w:rPr>
        <w:t>Dans une ferme, le rendement annuel est en effet de 9 tonnes de protéines à l'hectare, contre 1 tonne pour le blé ou le soja</w:t>
      </w:r>
      <w:r w:rsidR="007F0870" w:rsidRPr="00FE3319">
        <w:rPr>
          <w:rFonts w:ascii="Calibri" w:hAnsi="Calibri" w:cs="Calibri"/>
          <w:color w:val="000000" w:themeColor="text1"/>
          <w:sz w:val="22"/>
          <w:szCs w:val="22"/>
        </w:rPr>
        <w:t>.</w:t>
      </w:r>
      <w:r w:rsidR="00FE3319" w:rsidRPr="00FE3319">
        <w:rPr>
          <w:rFonts w:ascii="Calibri" w:hAnsi="Calibri" w:cs="Calibri"/>
          <w:color w:val="000000" w:themeColor="text1"/>
          <w:sz w:val="22"/>
          <w:szCs w:val="22"/>
        </w:rPr>
        <w:t xml:space="preserve"> La spiruline est commercialisée sous plusieurs formes : comprimés, poudre, gélules et liquide, brindilles, paillettes, micro-aiguillettes, pâtes.</w:t>
      </w:r>
    </w:p>
    <w:p w14:paraId="79038360" w14:textId="7661C371" w:rsidR="00A97AAB" w:rsidRDefault="00FE3319" w:rsidP="00DA7993">
      <w:pPr>
        <w:pStyle w:val="NormalWeb"/>
        <w:shd w:val="clear" w:color="auto" w:fill="FFFFFF"/>
        <w:spacing w:before="0" w:beforeAutospacing="0" w:after="0" w:afterAutospacing="0"/>
        <w:jc w:val="both"/>
        <w:rPr>
          <w:rFonts w:ascii="Calibri" w:hAnsi="Calibri" w:cs="Calibri"/>
          <w:color w:val="202122"/>
          <w:sz w:val="22"/>
          <w:szCs w:val="22"/>
          <w:shd w:val="clear" w:color="auto" w:fill="FFFFFF"/>
        </w:rPr>
      </w:pPr>
      <w:r w:rsidRPr="00FE3319">
        <w:rPr>
          <w:rFonts w:ascii="Calibri" w:hAnsi="Calibri" w:cs="Calibri"/>
          <w:color w:val="000000" w:themeColor="text1"/>
          <w:sz w:val="22"/>
          <w:szCs w:val="22"/>
          <w:u w:val="single"/>
        </w:rPr>
        <w:t>Précautions d’emploi</w:t>
      </w:r>
      <w:r w:rsidRPr="00FE3319">
        <w:rPr>
          <w:rFonts w:ascii="Calibri" w:hAnsi="Calibri" w:cs="Calibri"/>
          <w:color w:val="000000" w:themeColor="text1"/>
          <w:sz w:val="22"/>
          <w:szCs w:val="22"/>
        </w:rPr>
        <w:t xml:space="preserve"> : </w:t>
      </w:r>
      <w:r w:rsidRPr="00FE3319">
        <w:rPr>
          <w:rStyle w:val="citation"/>
          <w:rFonts w:ascii="Calibri" w:hAnsi="Calibri" w:cs="Calibri"/>
          <w:color w:val="000000" w:themeColor="text1"/>
          <w:sz w:val="22"/>
          <w:szCs w:val="22"/>
          <w:shd w:val="clear" w:color="auto" w:fill="FFFFFF"/>
        </w:rPr>
        <w:t>« Par </w:t>
      </w:r>
      <w:hyperlink r:id="rId2775" w:tooltip="Principe de précaution" w:history="1">
        <w:r w:rsidRPr="00FE3319">
          <w:rPr>
            <w:rStyle w:val="Lienhypertexte"/>
            <w:rFonts w:ascii="Calibri" w:hAnsi="Calibri" w:cs="Calibri"/>
            <w:color w:val="0645AD"/>
            <w:sz w:val="22"/>
            <w:szCs w:val="22"/>
            <w:u w:val="none"/>
            <w:shd w:val="clear" w:color="auto" w:fill="FFFFFF"/>
          </w:rPr>
          <w:t>mesure de précaution</w:t>
        </w:r>
      </w:hyperlink>
      <w:r w:rsidRPr="00FE3319">
        <w:rPr>
          <w:rStyle w:val="citation"/>
          <w:rFonts w:ascii="Calibri" w:hAnsi="Calibri" w:cs="Calibri"/>
          <w:color w:val="202122"/>
          <w:sz w:val="22"/>
          <w:szCs w:val="22"/>
          <w:shd w:val="clear" w:color="auto" w:fill="FFFFFF"/>
        </w:rPr>
        <w:t xml:space="preserve">, </w:t>
      </w:r>
      <w:r w:rsidRPr="00FE3319">
        <w:rPr>
          <w:rStyle w:val="citation"/>
          <w:rFonts w:ascii="Calibri" w:hAnsi="Calibri" w:cs="Calibri"/>
          <w:color w:val="000000" w:themeColor="text1"/>
          <w:sz w:val="22"/>
          <w:szCs w:val="22"/>
          <w:shd w:val="clear" w:color="auto" w:fill="FFFFFF"/>
        </w:rPr>
        <w:t>la spiruline est déconseillée chez les </w:t>
      </w:r>
      <w:hyperlink r:id="rId2776" w:tooltip="Femmes enceintes" w:history="1">
        <w:r w:rsidRPr="00FE3319">
          <w:rPr>
            <w:rStyle w:val="Lienhypertexte"/>
            <w:rFonts w:ascii="Calibri" w:hAnsi="Calibri" w:cs="Calibri"/>
            <w:color w:val="0645AD"/>
            <w:sz w:val="22"/>
            <w:szCs w:val="22"/>
            <w:u w:val="none"/>
            <w:shd w:val="clear" w:color="auto" w:fill="FFFFFF"/>
          </w:rPr>
          <w:t>femmes enceintes</w:t>
        </w:r>
      </w:hyperlink>
      <w:r w:rsidRPr="00FE3319">
        <w:rPr>
          <w:rStyle w:val="citation"/>
          <w:rFonts w:ascii="Calibri" w:hAnsi="Calibri" w:cs="Calibri"/>
          <w:color w:val="202122"/>
          <w:sz w:val="22"/>
          <w:szCs w:val="22"/>
          <w:shd w:val="clear" w:color="auto" w:fill="FFFFFF"/>
        </w:rPr>
        <w:t> </w:t>
      </w:r>
      <w:r w:rsidRPr="00FE3319">
        <w:rPr>
          <w:rStyle w:val="citation"/>
          <w:rFonts w:ascii="Calibri" w:hAnsi="Calibri" w:cs="Calibri"/>
          <w:color w:val="000000" w:themeColor="text1"/>
          <w:sz w:val="22"/>
          <w:szCs w:val="22"/>
          <w:shd w:val="clear" w:color="auto" w:fill="FFFFFF"/>
        </w:rPr>
        <w:t>ou qui allaitent. »</w:t>
      </w:r>
      <w:r w:rsidRPr="00FE3319">
        <w:rPr>
          <w:rFonts w:ascii="Calibri" w:hAnsi="Calibri" w:cs="Calibri"/>
          <w:color w:val="000000" w:themeColor="text1"/>
          <w:sz w:val="22"/>
          <w:szCs w:val="22"/>
          <w:shd w:val="clear" w:color="auto" w:fill="FFFFFF"/>
        </w:rPr>
        <w:t> Elle l'est également chez les personnes sujettes à la </w:t>
      </w:r>
      <w:hyperlink r:id="rId2777" w:tooltip="Goutte (maladie)" w:history="1">
        <w:r w:rsidRPr="00FE3319">
          <w:rPr>
            <w:rStyle w:val="Lienhypertexte"/>
            <w:rFonts w:ascii="Calibri" w:hAnsi="Calibri" w:cs="Calibri"/>
            <w:color w:val="0645AD"/>
            <w:sz w:val="22"/>
            <w:szCs w:val="22"/>
            <w:u w:val="none"/>
            <w:shd w:val="clear" w:color="auto" w:fill="FFFFFF"/>
          </w:rPr>
          <w:t>goutte</w:t>
        </w:r>
      </w:hyperlink>
      <w:r w:rsidRPr="00FE3319">
        <w:rPr>
          <w:rFonts w:ascii="Calibri" w:hAnsi="Calibri" w:cs="Calibri"/>
          <w:color w:val="202122"/>
          <w:sz w:val="22"/>
          <w:szCs w:val="22"/>
          <w:shd w:val="clear" w:color="auto" w:fill="FFFFFF"/>
        </w:rPr>
        <w:t xml:space="preserve">, </w:t>
      </w:r>
      <w:r w:rsidRPr="00FE3319">
        <w:rPr>
          <w:rFonts w:ascii="Calibri" w:hAnsi="Calibri" w:cs="Calibri"/>
          <w:color w:val="000000" w:themeColor="text1"/>
          <w:sz w:val="22"/>
          <w:szCs w:val="22"/>
          <w:shd w:val="clear" w:color="auto" w:fill="FFFFFF"/>
        </w:rPr>
        <w:t>aux </w:t>
      </w:r>
      <w:hyperlink r:id="rId2778" w:tooltip="Calcul rénal" w:history="1">
        <w:r w:rsidRPr="00FE3319">
          <w:rPr>
            <w:rStyle w:val="Lienhypertexte"/>
            <w:rFonts w:ascii="Calibri" w:hAnsi="Calibri" w:cs="Calibri"/>
            <w:color w:val="0645AD"/>
            <w:sz w:val="22"/>
            <w:szCs w:val="22"/>
            <w:u w:val="none"/>
            <w:shd w:val="clear" w:color="auto" w:fill="FFFFFF"/>
          </w:rPr>
          <w:t>calculs rénaux</w:t>
        </w:r>
      </w:hyperlink>
      <w:r w:rsidRPr="00FE3319">
        <w:rPr>
          <w:rFonts w:ascii="Calibri" w:hAnsi="Calibri" w:cs="Calibri"/>
          <w:color w:val="202122"/>
          <w:sz w:val="22"/>
          <w:szCs w:val="22"/>
          <w:shd w:val="clear" w:color="auto" w:fill="FFFFFF"/>
        </w:rPr>
        <w:t> </w:t>
      </w:r>
      <w:r w:rsidRPr="00FE3319">
        <w:rPr>
          <w:rFonts w:ascii="Calibri" w:hAnsi="Calibri" w:cs="Calibri"/>
          <w:color w:val="000000" w:themeColor="text1"/>
          <w:sz w:val="22"/>
          <w:szCs w:val="22"/>
          <w:shd w:val="clear" w:color="auto" w:fill="FFFFFF"/>
        </w:rPr>
        <w:t>ou ayant un taux sanguin élevé</w:t>
      </w:r>
      <w:r w:rsidRPr="00FE3319">
        <w:rPr>
          <w:rFonts w:ascii="Calibri" w:hAnsi="Calibri" w:cs="Calibri"/>
          <w:color w:val="202122"/>
          <w:sz w:val="22"/>
          <w:szCs w:val="22"/>
          <w:shd w:val="clear" w:color="auto" w:fill="FFFFFF"/>
        </w:rPr>
        <w:t xml:space="preserve"> d'</w:t>
      </w:r>
      <w:hyperlink r:id="rId2779" w:tooltip="Acide urique" w:history="1">
        <w:r w:rsidRPr="00FE3319">
          <w:rPr>
            <w:rStyle w:val="Lienhypertexte"/>
            <w:rFonts w:ascii="Calibri" w:hAnsi="Calibri" w:cs="Calibri"/>
            <w:color w:val="0645AD"/>
            <w:sz w:val="22"/>
            <w:szCs w:val="22"/>
            <w:u w:val="none"/>
            <w:shd w:val="clear" w:color="auto" w:fill="FFFFFF"/>
          </w:rPr>
          <w:t>acide urique</w:t>
        </w:r>
      </w:hyperlink>
      <w:r w:rsidRPr="00FE3319">
        <w:rPr>
          <w:rFonts w:ascii="Calibri" w:hAnsi="Calibri" w:cs="Calibri"/>
          <w:color w:val="202122"/>
          <w:sz w:val="22"/>
          <w:szCs w:val="22"/>
          <w:shd w:val="clear" w:color="auto" w:fill="FFFFFF"/>
        </w:rPr>
        <w:t>.</w:t>
      </w:r>
    </w:p>
    <w:p w14:paraId="1F93B805" w14:textId="08540B7F" w:rsidR="00FE3319" w:rsidRPr="00FE3319" w:rsidRDefault="00FE3319" w:rsidP="00DA7993">
      <w:pPr>
        <w:pStyle w:val="NormalWeb"/>
        <w:shd w:val="clear" w:color="auto" w:fill="FFFFFF"/>
        <w:spacing w:before="0" w:beforeAutospacing="0" w:after="0" w:afterAutospacing="0"/>
        <w:jc w:val="both"/>
        <w:rPr>
          <w:rFonts w:ascii="Calibri" w:hAnsi="Calibri" w:cs="Calibri"/>
          <w:color w:val="000000" w:themeColor="text1"/>
          <w:sz w:val="22"/>
          <w:szCs w:val="22"/>
        </w:rPr>
      </w:pPr>
      <w:r w:rsidRPr="00FE3319">
        <w:rPr>
          <w:rFonts w:ascii="Calibri" w:hAnsi="Calibri" w:cs="Calibri"/>
          <w:color w:val="000000" w:themeColor="text1"/>
          <w:sz w:val="22"/>
          <w:szCs w:val="22"/>
          <w:u w:val="single"/>
        </w:rPr>
        <w:t>Le danger d’empoisonnement</w:t>
      </w:r>
      <w:r w:rsidRPr="00FE3319">
        <w:rPr>
          <w:rFonts w:ascii="Calibri" w:hAnsi="Calibri" w:cs="Calibri"/>
          <w:color w:val="000000" w:themeColor="text1"/>
          <w:sz w:val="22"/>
          <w:szCs w:val="22"/>
        </w:rPr>
        <w:t xml:space="preserve"> : </w:t>
      </w:r>
      <w:r>
        <w:rPr>
          <w:rFonts w:ascii="Calibri" w:hAnsi="Calibri" w:cs="Calibri"/>
          <w:color w:val="000000" w:themeColor="text1"/>
          <w:sz w:val="22"/>
          <w:szCs w:val="22"/>
        </w:rPr>
        <w:t>C</w:t>
      </w:r>
      <w:r w:rsidRPr="00FE3319">
        <w:rPr>
          <w:rFonts w:ascii="Calibri" w:hAnsi="Calibri" w:cs="Calibri"/>
          <w:color w:val="000000" w:themeColor="text1"/>
          <w:sz w:val="22"/>
          <w:szCs w:val="22"/>
        </w:rPr>
        <w:t>ette cyanobactérie</w:t>
      </w:r>
      <w:r w:rsidR="00692B2D">
        <w:rPr>
          <w:rFonts w:ascii="Calibri" w:hAnsi="Calibri" w:cs="Calibri"/>
          <w:color w:val="000000" w:themeColor="text1"/>
          <w:sz w:val="22"/>
          <w:szCs w:val="22"/>
        </w:rPr>
        <w:t xml:space="preserve"> peut</w:t>
      </w:r>
      <w:r w:rsidRPr="00FE3319">
        <w:rPr>
          <w:rFonts w:ascii="Calibri" w:hAnsi="Calibri" w:cs="Calibri"/>
          <w:color w:val="000000" w:themeColor="text1"/>
          <w:sz w:val="22"/>
          <w:szCs w:val="22"/>
        </w:rPr>
        <w:t xml:space="preserve"> accumule</w:t>
      </w:r>
      <w:r w:rsidR="00692B2D">
        <w:rPr>
          <w:rFonts w:ascii="Calibri" w:hAnsi="Calibri" w:cs="Calibri"/>
          <w:color w:val="000000" w:themeColor="text1"/>
          <w:sz w:val="22"/>
          <w:szCs w:val="22"/>
        </w:rPr>
        <w:t>r</w:t>
      </w:r>
      <w:r w:rsidRPr="00FE3319">
        <w:rPr>
          <w:rFonts w:ascii="Calibri" w:hAnsi="Calibri" w:cs="Calibri"/>
          <w:color w:val="000000" w:themeColor="text1"/>
          <w:sz w:val="22"/>
          <w:szCs w:val="22"/>
        </w:rPr>
        <w:t xml:space="preserve"> l'arsenic (un métalloïde), les métaux lourds comme le plomb, le mercure, d'autres toxines.</w:t>
      </w:r>
      <w:r>
        <w:rPr>
          <w:rFonts w:ascii="Calibri" w:hAnsi="Calibri" w:cs="Calibri"/>
          <w:color w:val="000000" w:themeColor="text1"/>
          <w:sz w:val="22"/>
          <w:szCs w:val="22"/>
        </w:rPr>
        <w:t xml:space="preserve"> </w:t>
      </w:r>
      <w:r w:rsidRPr="00FE3319">
        <w:rPr>
          <w:rFonts w:ascii="Calibri" w:hAnsi="Calibri" w:cs="Calibri"/>
          <w:color w:val="000000" w:themeColor="text1"/>
          <w:sz w:val="22"/>
          <w:szCs w:val="22"/>
        </w:rPr>
        <w:t xml:space="preserve">« </w:t>
      </w:r>
      <w:r w:rsidRPr="00FE3319">
        <w:rPr>
          <w:rFonts w:ascii="Calibri" w:hAnsi="Calibri" w:cs="Calibri"/>
          <w:i/>
          <w:iCs/>
          <w:color w:val="000000" w:themeColor="text1"/>
          <w:sz w:val="22"/>
          <w:szCs w:val="22"/>
        </w:rPr>
        <w:t>Il est donc important de se renseigner sur son origine et sa qualité</w:t>
      </w:r>
      <w:r w:rsidRPr="00FE3319">
        <w:rPr>
          <w:rFonts w:ascii="Calibri" w:hAnsi="Calibri" w:cs="Calibri"/>
          <w:color w:val="000000" w:themeColor="text1"/>
          <w:sz w:val="22"/>
          <w:szCs w:val="22"/>
        </w:rPr>
        <w:t xml:space="preserve"> ».</w:t>
      </w:r>
    </w:p>
    <w:p w14:paraId="206FF5E4" w14:textId="4C77C120" w:rsidR="00875D93" w:rsidRPr="00692B2D" w:rsidRDefault="00692B2D" w:rsidP="00DA7993">
      <w:pPr>
        <w:pStyle w:val="NormalWeb"/>
        <w:shd w:val="clear" w:color="auto" w:fill="FFFFFF"/>
        <w:spacing w:before="0" w:beforeAutospacing="0" w:after="0" w:afterAutospacing="0"/>
        <w:jc w:val="both"/>
        <w:rPr>
          <w:rFonts w:ascii="Calibri" w:hAnsi="Calibri" w:cs="Calibri"/>
          <w:color w:val="000000" w:themeColor="text1"/>
          <w:sz w:val="22"/>
          <w:szCs w:val="22"/>
        </w:rPr>
      </w:pPr>
      <w:r w:rsidRPr="00692B2D">
        <w:rPr>
          <w:rFonts w:ascii="Calibri" w:hAnsi="Calibri" w:cs="Calibri"/>
          <w:color w:val="000000" w:themeColor="text1"/>
          <w:sz w:val="22"/>
          <w:szCs w:val="22"/>
          <w:u w:val="single"/>
        </w:rPr>
        <w:t>Note</w:t>
      </w:r>
      <w:r w:rsidRPr="00692B2D">
        <w:rPr>
          <w:rFonts w:ascii="Calibri" w:hAnsi="Calibri" w:cs="Calibri"/>
          <w:color w:val="000000" w:themeColor="text1"/>
          <w:sz w:val="22"/>
          <w:szCs w:val="22"/>
        </w:rPr>
        <w:t xml:space="preserve"> : </w:t>
      </w:r>
      <w:r w:rsidRPr="00692B2D">
        <w:rPr>
          <w:rFonts w:ascii="Calibri" w:hAnsi="Calibri" w:cs="Calibri"/>
          <w:color w:val="000000" w:themeColor="text1"/>
          <w:sz w:val="22"/>
          <w:szCs w:val="22"/>
          <w:shd w:val="clear" w:color="auto" w:fill="FFFFFF"/>
        </w:rPr>
        <w:t xml:space="preserve">Des millions de personnes au Bangladesh, en Inde, à Taïwan et en Chine sont à risque d’empoisonnement chronique à l’arsenic via l’ingestion de fortes concentrations d’arsenic dans </w:t>
      </w:r>
      <w:r w:rsidRPr="00692B2D">
        <w:rPr>
          <w:rFonts w:ascii="Calibri" w:hAnsi="Calibri" w:cs="Calibri"/>
          <w:color w:val="202122"/>
          <w:sz w:val="22"/>
          <w:szCs w:val="22"/>
          <w:shd w:val="clear" w:color="auto" w:fill="FFFFFF"/>
        </w:rPr>
        <w:t>l’</w:t>
      </w:r>
      <w:hyperlink r:id="rId2780" w:tooltip="Eau" w:history="1">
        <w:r w:rsidRPr="00692B2D">
          <w:rPr>
            <w:rStyle w:val="Lienhypertexte"/>
            <w:rFonts w:ascii="Calibri" w:hAnsi="Calibri" w:cs="Calibri"/>
            <w:color w:val="0645AD"/>
            <w:sz w:val="22"/>
            <w:szCs w:val="22"/>
            <w:shd w:val="clear" w:color="auto" w:fill="FFFFFF"/>
          </w:rPr>
          <w:t>eau</w:t>
        </w:r>
      </w:hyperlink>
      <w:r w:rsidRPr="00692B2D">
        <w:rPr>
          <w:rFonts w:ascii="Calibri" w:hAnsi="Calibri" w:cs="Calibri"/>
          <w:sz w:val="22"/>
          <w:szCs w:val="22"/>
        </w:rPr>
        <w:t xml:space="preserve"> (des nappes phréatiques</w:t>
      </w:r>
      <w:r w:rsidRPr="00692B2D">
        <w:rPr>
          <w:rFonts w:ascii="Calibri" w:hAnsi="Calibri" w:cs="Calibri"/>
          <w:color w:val="000000" w:themeColor="text1"/>
          <w:sz w:val="22"/>
          <w:szCs w:val="22"/>
        </w:rPr>
        <w:t>)</w:t>
      </w:r>
      <w:r w:rsidRPr="00692B2D">
        <w:rPr>
          <w:rFonts w:ascii="Calibri" w:hAnsi="Calibri" w:cs="Calibri"/>
          <w:color w:val="000000" w:themeColor="text1"/>
          <w:sz w:val="22"/>
          <w:szCs w:val="22"/>
          <w:shd w:val="clear" w:color="auto" w:fill="FFFFFF"/>
        </w:rPr>
        <w:t>. Il semblerait que des extraits de spiruline additionnés de zinc consommés quotidiennement pourraient être utiles pour le traitement de l’empoisonnement chronique à l’arsenic</w:t>
      </w:r>
      <w:r>
        <w:rPr>
          <w:rFonts w:ascii="Calibri" w:hAnsi="Calibri" w:cs="Calibri"/>
          <w:color w:val="000000" w:themeColor="text1"/>
          <w:sz w:val="22"/>
          <w:szCs w:val="22"/>
          <w:shd w:val="clear" w:color="auto" w:fill="FFFFFF"/>
        </w:rPr>
        <w:t>.</w:t>
      </w:r>
    </w:p>
    <w:p w14:paraId="284D5429" w14:textId="02A46FC1" w:rsidR="00875D93" w:rsidRPr="001562F1" w:rsidRDefault="00875D93" w:rsidP="00DA7993">
      <w:pPr>
        <w:pStyle w:val="NormalWeb"/>
        <w:shd w:val="clear" w:color="auto" w:fill="FFFFFF"/>
        <w:spacing w:before="0" w:beforeAutospacing="0" w:after="0" w:afterAutospacing="0"/>
        <w:jc w:val="both"/>
        <w:rPr>
          <w:rFonts w:ascii="Calibri" w:hAnsi="Calibri" w:cs="Calibri"/>
          <w:color w:val="000000" w:themeColor="text1"/>
          <w:sz w:val="22"/>
          <w:szCs w:val="22"/>
        </w:rPr>
      </w:pPr>
      <w:r w:rsidRPr="00692B2D">
        <w:rPr>
          <w:rFonts w:ascii="Calibri" w:hAnsi="Calibri" w:cs="Calibri"/>
          <w:color w:val="000000" w:themeColor="text1"/>
          <w:sz w:val="22"/>
          <w:szCs w:val="22"/>
        </w:rPr>
        <w:t>Sources : a)</w:t>
      </w:r>
      <w:r w:rsidRPr="001562F1">
        <w:rPr>
          <w:rFonts w:ascii="Calibri" w:hAnsi="Calibri" w:cs="Calibri"/>
          <w:color w:val="000000" w:themeColor="text1"/>
          <w:sz w:val="22"/>
          <w:szCs w:val="22"/>
        </w:rPr>
        <w:t xml:space="preserve"> </w:t>
      </w:r>
      <w:hyperlink r:id="rId2781" w:history="1">
        <w:r w:rsidRPr="001562F1">
          <w:rPr>
            <w:rStyle w:val="Lienhypertexte"/>
            <w:rFonts w:ascii="Calibri" w:hAnsi="Calibri" w:cs="Calibri"/>
            <w:sz w:val="22"/>
            <w:szCs w:val="22"/>
          </w:rPr>
          <w:t>https://fr.wikipedia.org/wiki/Spiruline</w:t>
        </w:r>
      </w:hyperlink>
      <w:r w:rsidRPr="001562F1">
        <w:rPr>
          <w:rFonts w:ascii="Calibri" w:hAnsi="Calibri" w:cs="Calibri"/>
          <w:color w:val="000000" w:themeColor="text1"/>
          <w:sz w:val="22"/>
          <w:szCs w:val="22"/>
        </w:rPr>
        <w:t xml:space="preserve">, b) </w:t>
      </w:r>
      <w:hyperlink r:id="rId2782" w:history="1">
        <w:r w:rsidRPr="001562F1">
          <w:rPr>
            <w:rStyle w:val="Lienhypertexte"/>
            <w:rFonts w:ascii="Calibri" w:hAnsi="Calibri" w:cs="Calibri"/>
            <w:sz w:val="22"/>
            <w:szCs w:val="22"/>
          </w:rPr>
          <w:t>https://fr.wikipedia.org/wiki/Spiruline_alimentaire</w:t>
        </w:r>
      </w:hyperlink>
      <w:r w:rsidRPr="001562F1">
        <w:rPr>
          <w:rFonts w:ascii="Calibri" w:hAnsi="Calibri" w:cs="Calibri"/>
          <w:color w:val="000000" w:themeColor="text1"/>
          <w:sz w:val="22"/>
          <w:szCs w:val="22"/>
        </w:rPr>
        <w:t xml:space="preserve">, </w:t>
      </w:r>
    </w:p>
    <w:p w14:paraId="795FF668" w14:textId="4D5AEF48" w:rsidR="00875D93" w:rsidRDefault="00875D93" w:rsidP="00DA7993">
      <w:pPr>
        <w:pStyle w:val="NormalWeb"/>
        <w:shd w:val="clear" w:color="auto" w:fill="FFFFFF"/>
        <w:spacing w:before="0" w:beforeAutospacing="0" w:after="0" w:afterAutospacing="0"/>
        <w:jc w:val="both"/>
        <w:rPr>
          <w:rFonts w:ascii="Calibri" w:hAnsi="Calibri" w:cs="Calibri"/>
          <w:color w:val="000000" w:themeColor="text1"/>
          <w:sz w:val="22"/>
          <w:szCs w:val="22"/>
        </w:rPr>
      </w:pPr>
      <w:r>
        <w:rPr>
          <w:rFonts w:ascii="Calibri" w:hAnsi="Calibri" w:cs="Calibri"/>
          <w:color w:val="000000" w:themeColor="text1"/>
          <w:sz w:val="22"/>
          <w:szCs w:val="22"/>
        </w:rPr>
        <w:t xml:space="preserve">c) </w:t>
      </w:r>
      <w:r w:rsidR="00FE3319" w:rsidRPr="00FE3319">
        <w:rPr>
          <w:rFonts w:ascii="Calibri" w:hAnsi="Calibri" w:cs="Calibri"/>
          <w:i/>
          <w:iCs/>
          <w:color w:val="000000" w:themeColor="text1"/>
          <w:sz w:val="22"/>
          <w:szCs w:val="22"/>
        </w:rPr>
        <w:t>La spiruline: de sa découverte à nos jours</w:t>
      </w:r>
      <w:r w:rsidR="00FE3319" w:rsidRPr="00FE3319">
        <w:rPr>
          <w:rFonts w:ascii="Calibri" w:hAnsi="Calibri" w:cs="Calibri"/>
          <w:color w:val="000000" w:themeColor="text1"/>
          <w:sz w:val="22"/>
          <w:szCs w:val="22"/>
        </w:rPr>
        <w:t xml:space="preserve">, </w:t>
      </w:r>
      <w:hyperlink r:id="rId2783" w:history="1">
        <w:r w:rsidR="00FE3319" w:rsidRPr="00224761">
          <w:rPr>
            <w:rStyle w:val="Lienhypertexte"/>
            <w:rFonts w:ascii="Calibri" w:hAnsi="Calibri" w:cs="Calibri"/>
            <w:sz w:val="22"/>
            <w:szCs w:val="22"/>
          </w:rPr>
          <w:t>https://tecfa.unige.ch/tecfa/teaching/UVLibre/9900/bin37/histo.htm</w:t>
        </w:r>
      </w:hyperlink>
    </w:p>
    <w:p w14:paraId="349A8DED" w14:textId="15610D76" w:rsidR="0011098B" w:rsidRDefault="0011098B" w:rsidP="00DA7993">
      <w:pPr>
        <w:pStyle w:val="NormalWeb"/>
        <w:shd w:val="clear" w:color="auto" w:fill="FFFFFF"/>
        <w:spacing w:before="0" w:beforeAutospacing="0" w:after="0" w:afterAutospacing="0"/>
        <w:jc w:val="both"/>
        <w:rPr>
          <w:rFonts w:ascii="Calibri" w:hAnsi="Calibri" w:cs="Calibri"/>
          <w:color w:val="000000" w:themeColor="text1"/>
          <w:sz w:val="22"/>
          <w:szCs w:val="22"/>
        </w:rPr>
      </w:pPr>
      <w:r>
        <w:rPr>
          <w:rFonts w:ascii="Calibri" w:hAnsi="Calibri" w:cs="Calibri"/>
          <w:color w:val="000000" w:themeColor="text1"/>
          <w:sz w:val="22"/>
          <w:szCs w:val="22"/>
        </w:rPr>
        <w:t xml:space="preserve">d) </w:t>
      </w:r>
      <w:r w:rsidRPr="0011098B">
        <w:rPr>
          <w:rFonts w:ascii="Calibri" w:hAnsi="Calibri" w:cs="Calibri"/>
          <w:i/>
          <w:iCs/>
          <w:color w:val="000000" w:themeColor="text1"/>
          <w:sz w:val="22"/>
          <w:szCs w:val="22"/>
        </w:rPr>
        <w:t>« Cultivez votre spiruline », manuel de culture artisanale</w:t>
      </w:r>
      <w:r w:rsidRPr="0011098B">
        <w:rPr>
          <w:rFonts w:ascii="Calibri" w:hAnsi="Calibri" w:cs="Calibri"/>
          <w:color w:val="000000" w:themeColor="text1"/>
          <w:sz w:val="22"/>
          <w:szCs w:val="22"/>
        </w:rPr>
        <w:t xml:space="preserve">, J.P. Jourdan, </w:t>
      </w:r>
      <w:hyperlink r:id="rId2784" w:history="1">
        <w:r w:rsidRPr="00224761">
          <w:rPr>
            <w:rStyle w:val="Lienhypertexte"/>
            <w:rFonts w:ascii="Calibri" w:hAnsi="Calibri" w:cs="Calibri"/>
            <w:sz w:val="22"/>
            <w:szCs w:val="22"/>
          </w:rPr>
          <w:t>https://www.antenna.ch/wp-content/uploads/2017/04/Manuel_Cultivez_votre_spiruline_REVISION_2013.pdf</w:t>
        </w:r>
      </w:hyperlink>
      <w:r>
        <w:rPr>
          <w:rFonts w:ascii="Calibri" w:hAnsi="Calibri" w:cs="Calibri"/>
          <w:color w:val="000000" w:themeColor="text1"/>
          <w:sz w:val="22"/>
          <w:szCs w:val="22"/>
        </w:rPr>
        <w:t xml:space="preserve"> </w:t>
      </w:r>
    </w:p>
    <w:p w14:paraId="474E2ADA" w14:textId="1E10B3DA" w:rsidR="00D942C7" w:rsidRDefault="00D942C7" w:rsidP="00DA7993">
      <w:pPr>
        <w:pStyle w:val="NormalWeb"/>
        <w:shd w:val="clear" w:color="auto" w:fill="FFFFFF"/>
        <w:spacing w:before="0" w:beforeAutospacing="0" w:after="0" w:afterAutospacing="0"/>
        <w:jc w:val="both"/>
        <w:rPr>
          <w:rFonts w:ascii="Calibri" w:hAnsi="Calibri" w:cs="Calibri"/>
          <w:color w:val="000000" w:themeColor="text1"/>
          <w:sz w:val="22"/>
          <w:szCs w:val="22"/>
          <w:lang w:val="es-AR"/>
        </w:rPr>
      </w:pPr>
      <w:r w:rsidRPr="00D942C7">
        <w:rPr>
          <w:rFonts w:ascii="Calibri" w:hAnsi="Calibri" w:cs="Calibri"/>
          <w:color w:val="000000" w:themeColor="text1"/>
          <w:sz w:val="22"/>
          <w:szCs w:val="22"/>
          <w:lang w:val="es-AR"/>
        </w:rPr>
        <w:t xml:space="preserve">e) </w:t>
      </w:r>
      <w:hyperlink r:id="rId2785" w:history="1">
        <w:r w:rsidRPr="00224761">
          <w:rPr>
            <w:rStyle w:val="Lienhypertexte"/>
            <w:rFonts w:ascii="Calibri" w:hAnsi="Calibri" w:cs="Calibri"/>
            <w:sz w:val="22"/>
            <w:szCs w:val="22"/>
            <w:lang w:val="es-AR"/>
          </w:rPr>
          <w:t>https://wiki.lowtechlab.org/wiki/Culture_de_la_spiruline</w:t>
        </w:r>
      </w:hyperlink>
      <w:r>
        <w:rPr>
          <w:rFonts w:ascii="Calibri" w:hAnsi="Calibri" w:cs="Calibri"/>
          <w:color w:val="000000" w:themeColor="text1"/>
          <w:sz w:val="22"/>
          <w:szCs w:val="22"/>
          <w:lang w:val="es-AR"/>
        </w:rPr>
        <w:t xml:space="preserve"> </w:t>
      </w:r>
    </w:p>
    <w:p w14:paraId="01D0848C" w14:textId="377993E0" w:rsidR="00473268" w:rsidRDefault="00473268" w:rsidP="00DA7993">
      <w:pPr>
        <w:pStyle w:val="NormalWeb"/>
        <w:shd w:val="clear" w:color="auto" w:fill="FFFFFF"/>
        <w:spacing w:before="0" w:beforeAutospacing="0" w:after="0" w:afterAutospacing="0"/>
        <w:jc w:val="both"/>
        <w:rPr>
          <w:rFonts w:ascii="Calibri" w:hAnsi="Calibri" w:cs="Calibri"/>
          <w:color w:val="000000" w:themeColor="text1"/>
          <w:sz w:val="22"/>
          <w:szCs w:val="22"/>
          <w:lang w:val="es-AR"/>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1736"/>
        <w:gridCol w:w="1736"/>
        <w:gridCol w:w="3472"/>
      </w:tblGrid>
      <w:tr w:rsidR="00473268" w:rsidRPr="00473268" w14:paraId="61243D24" w14:textId="77777777" w:rsidTr="00CA42AC">
        <w:tc>
          <w:tcPr>
            <w:tcW w:w="5208" w:type="dxa"/>
            <w:gridSpan w:val="2"/>
          </w:tcPr>
          <w:p w14:paraId="2677348F" w14:textId="77777777" w:rsidR="00473268" w:rsidRDefault="00473268" w:rsidP="00473268">
            <w:pPr>
              <w:pStyle w:val="NormalWeb"/>
              <w:spacing w:before="0" w:beforeAutospacing="0" w:after="0" w:afterAutospacing="0"/>
              <w:jc w:val="center"/>
              <w:rPr>
                <w:rFonts w:ascii="Calibri" w:hAnsi="Calibri" w:cs="Calibri"/>
                <w:color w:val="000000" w:themeColor="text1"/>
                <w:sz w:val="22"/>
                <w:szCs w:val="22"/>
                <w:lang w:val="es-AR"/>
              </w:rPr>
            </w:pPr>
            <w:r>
              <w:rPr>
                <w:noProof/>
              </w:rPr>
              <w:drawing>
                <wp:inline distT="0" distB="0" distL="0" distR="0" wp14:anchorId="50481946" wp14:editId="2552025E">
                  <wp:extent cx="2819400" cy="1327791"/>
                  <wp:effectExtent l="0" t="0" r="0" b="5715"/>
                  <wp:docPr id="59413" name="Image 59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786">
                            <a:extLst>
                              <a:ext uri="{28A0092B-C50C-407E-A947-70E740481C1C}">
                                <a14:useLocalDpi xmlns:a14="http://schemas.microsoft.com/office/drawing/2010/main" val="0"/>
                              </a:ext>
                            </a:extLst>
                          </a:blip>
                          <a:srcRect/>
                          <a:stretch>
                            <a:fillRect/>
                          </a:stretch>
                        </pic:blipFill>
                        <pic:spPr bwMode="auto">
                          <a:xfrm>
                            <a:off x="0" y="0"/>
                            <a:ext cx="2819513" cy="1327844"/>
                          </a:xfrm>
                          <a:prstGeom prst="rect">
                            <a:avLst/>
                          </a:prstGeom>
                          <a:noFill/>
                          <a:ln>
                            <a:noFill/>
                          </a:ln>
                        </pic:spPr>
                      </pic:pic>
                    </a:graphicData>
                  </a:graphic>
                </wp:inline>
              </w:drawing>
            </w:r>
          </w:p>
          <w:p w14:paraId="72647F91" w14:textId="32E54205" w:rsidR="00473268" w:rsidRPr="00473268" w:rsidRDefault="00473268" w:rsidP="00473268">
            <w:pPr>
              <w:pStyle w:val="NormalWeb"/>
              <w:spacing w:before="0" w:beforeAutospacing="0" w:after="0" w:afterAutospacing="0"/>
              <w:jc w:val="center"/>
              <w:rPr>
                <w:rFonts w:ascii="Calibri" w:hAnsi="Calibri" w:cs="Calibri"/>
                <w:color w:val="000000" w:themeColor="text1"/>
                <w:sz w:val="22"/>
                <w:szCs w:val="22"/>
              </w:rPr>
            </w:pPr>
            <w:r w:rsidRPr="00473268">
              <w:rPr>
                <w:rFonts w:ascii="Calibri" w:hAnsi="Calibri" w:cs="Calibri"/>
                <w:color w:val="000000" w:themeColor="text1"/>
                <w:sz w:val="22"/>
                <w:szCs w:val="22"/>
              </w:rPr>
              <w:t xml:space="preserve">Bassins en hippodrome. </w:t>
            </w:r>
          </w:p>
        </w:tc>
        <w:tc>
          <w:tcPr>
            <w:tcW w:w="5208" w:type="dxa"/>
            <w:gridSpan w:val="2"/>
          </w:tcPr>
          <w:p w14:paraId="04608ADF" w14:textId="77777777" w:rsidR="00473268" w:rsidRDefault="00473268" w:rsidP="00473268">
            <w:pPr>
              <w:pStyle w:val="NormalWeb"/>
              <w:spacing w:before="0" w:beforeAutospacing="0" w:after="0" w:afterAutospacing="0"/>
              <w:jc w:val="center"/>
              <w:rPr>
                <w:rFonts w:ascii="Calibri" w:hAnsi="Calibri" w:cs="Calibri"/>
                <w:color w:val="000000" w:themeColor="text1"/>
                <w:sz w:val="22"/>
                <w:szCs w:val="22"/>
                <w:lang w:val="es-AR"/>
              </w:rPr>
            </w:pPr>
            <w:r>
              <w:rPr>
                <w:noProof/>
              </w:rPr>
              <w:drawing>
                <wp:inline distT="0" distB="0" distL="0" distR="0" wp14:anchorId="2D681018" wp14:editId="136E9FC0">
                  <wp:extent cx="1867526" cy="1238250"/>
                  <wp:effectExtent l="0" t="0" r="0" b="0"/>
                  <wp:docPr id="59414" name="Image 59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787">
                            <a:extLst>
                              <a:ext uri="{28A0092B-C50C-407E-A947-70E740481C1C}">
                                <a14:useLocalDpi xmlns:a14="http://schemas.microsoft.com/office/drawing/2010/main" val="0"/>
                              </a:ext>
                            </a:extLst>
                          </a:blip>
                          <a:srcRect/>
                          <a:stretch>
                            <a:fillRect/>
                          </a:stretch>
                        </pic:blipFill>
                        <pic:spPr bwMode="auto">
                          <a:xfrm>
                            <a:off x="0" y="0"/>
                            <a:ext cx="1875227" cy="1243356"/>
                          </a:xfrm>
                          <a:prstGeom prst="rect">
                            <a:avLst/>
                          </a:prstGeom>
                          <a:noFill/>
                          <a:ln>
                            <a:noFill/>
                          </a:ln>
                        </pic:spPr>
                      </pic:pic>
                    </a:graphicData>
                  </a:graphic>
                </wp:inline>
              </w:drawing>
            </w:r>
          </w:p>
          <w:p w14:paraId="147ED7A9" w14:textId="25335CAF" w:rsidR="00473268" w:rsidRPr="00473268" w:rsidRDefault="00473268" w:rsidP="00473268">
            <w:pPr>
              <w:pStyle w:val="NormalWeb"/>
              <w:spacing w:before="0" w:beforeAutospacing="0" w:after="0" w:afterAutospacing="0"/>
              <w:jc w:val="center"/>
              <w:rPr>
                <w:rFonts w:ascii="Calibri" w:hAnsi="Calibri" w:cs="Calibri"/>
                <w:color w:val="000000" w:themeColor="text1"/>
                <w:sz w:val="22"/>
                <w:szCs w:val="22"/>
              </w:rPr>
            </w:pPr>
            <w:r w:rsidRPr="00473268">
              <w:rPr>
                <w:rFonts w:ascii="Calibri" w:hAnsi="Calibri" w:cs="Calibri"/>
                <w:color w:val="000000" w:themeColor="text1"/>
                <w:sz w:val="22"/>
                <w:szCs w:val="22"/>
              </w:rPr>
              <w:t>Bassins en hippodrome</w:t>
            </w:r>
            <w:r>
              <w:rPr>
                <w:rFonts w:ascii="Calibri" w:hAnsi="Calibri" w:cs="Calibri"/>
                <w:color w:val="000000" w:themeColor="text1"/>
                <w:sz w:val="22"/>
                <w:szCs w:val="22"/>
              </w:rPr>
              <w:t>, avec une roue à aube pour le brassage de l’eau</w:t>
            </w:r>
          </w:p>
        </w:tc>
      </w:tr>
      <w:tr w:rsidR="00CA42AC" w14:paraId="5C4B2097" w14:textId="77777777" w:rsidTr="00CA42AC">
        <w:tc>
          <w:tcPr>
            <w:tcW w:w="3472" w:type="dxa"/>
          </w:tcPr>
          <w:p w14:paraId="032456E2" w14:textId="77777777" w:rsidR="00473268" w:rsidRDefault="00473268" w:rsidP="00473268">
            <w:pPr>
              <w:pStyle w:val="NormalWeb"/>
              <w:spacing w:before="0" w:beforeAutospacing="0" w:after="0" w:afterAutospacing="0"/>
              <w:jc w:val="center"/>
              <w:rPr>
                <w:rFonts w:ascii="Calibri" w:hAnsi="Calibri" w:cs="Calibri"/>
                <w:color w:val="000000" w:themeColor="text1"/>
                <w:sz w:val="22"/>
                <w:szCs w:val="22"/>
              </w:rPr>
            </w:pPr>
            <w:r>
              <w:rPr>
                <w:noProof/>
              </w:rPr>
              <w:drawing>
                <wp:inline distT="0" distB="0" distL="0" distR="0" wp14:anchorId="658B1C92" wp14:editId="5FD6F76C">
                  <wp:extent cx="1981200" cy="1192833"/>
                  <wp:effectExtent l="0" t="0" r="0" b="7620"/>
                  <wp:docPr id="59415" name="Image 59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788">
                            <a:extLst>
                              <a:ext uri="{28A0092B-C50C-407E-A947-70E740481C1C}">
                                <a14:useLocalDpi xmlns:a14="http://schemas.microsoft.com/office/drawing/2010/main" val="0"/>
                              </a:ext>
                            </a:extLst>
                          </a:blip>
                          <a:srcRect/>
                          <a:stretch>
                            <a:fillRect/>
                          </a:stretch>
                        </pic:blipFill>
                        <pic:spPr bwMode="auto">
                          <a:xfrm>
                            <a:off x="0" y="0"/>
                            <a:ext cx="1990781" cy="1198601"/>
                          </a:xfrm>
                          <a:prstGeom prst="rect">
                            <a:avLst/>
                          </a:prstGeom>
                          <a:noFill/>
                          <a:ln>
                            <a:noFill/>
                          </a:ln>
                        </pic:spPr>
                      </pic:pic>
                    </a:graphicData>
                  </a:graphic>
                </wp:inline>
              </w:drawing>
            </w:r>
          </w:p>
          <w:p w14:paraId="0721E73F" w14:textId="1BF35097" w:rsidR="00473268" w:rsidRDefault="00473268" w:rsidP="00473268">
            <w:pPr>
              <w:pStyle w:val="NormalWeb"/>
              <w:spacing w:before="0" w:beforeAutospacing="0" w:after="0" w:afterAutospacing="0"/>
              <w:jc w:val="center"/>
              <w:rPr>
                <w:rFonts w:ascii="Calibri" w:hAnsi="Calibri" w:cs="Calibri"/>
                <w:color w:val="000000" w:themeColor="text1"/>
                <w:sz w:val="22"/>
                <w:szCs w:val="22"/>
              </w:rPr>
            </w:pPr>
            <w:r>
              <w:rPr>
                <w:rFonts w:ascii="Calibri" w:hAnsi="Calibri" w:cs="Calibri"/>
                <w:color w:val="000000" w:themeColor="text1"/>
                <w:sz w:val="22"/>
                <w:szCs w:val="22"/>
              </w:rPr>
              <w:t>Récolte</w:t>
            </w:r>
          </w:p>
        </w:tc>
        <w:tc>
          <w:tcPr>
            <w:tcW w:w="3472" w:type="dxa"/>
            <w:gridSpan w:val="2"/>
          </w:tcPr>
          <w:p w14:paraId="0A8AF5B7" w14:textId="77777777" w:rsidR="00473268" w:rsidRDefault="00473268" w:rsidP="00473268">
            <w:pPr>
              <w:pStyle w:val="NormalWeb"/>
              <w:spacing w:before="0" w:beforeAutospacing="0" w:after="0" w:afterAutospacing="0"/>
              <w:jc w:val="center"/>
              <w:rPr>
                <w:rFonts w:ascii="Calibri" w:hAnsi="Calibri" w:cs="Calibri"/>
                <w:color w:val="000000" w:themeColor="text1"/>
                <w:sz w:val="22"/>
                <w:szCs w:val="22"/>
              </w:rPr>
            </w:pPr>
            <w:r>
              <w:rPr>
                <w:noProof/>
              </w:rPr>
              <w:drawing>
                <wp:inline distT="0" distB="0" distL="0" distR="0" wp14:anchorId="2CA39956" wp14:editId="14C2B03D">
                  <wp:extent cx="2019300" cy="1130808"/>
                  <wp:effectExtent l="0" t="0" r="0" b="0"/>
                  <wp:docPr id="59416" name="Image 59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789">
                            <a:extLst>
                              <a:ext uri="{28A0092B-C50C-407E-A947-70E740481C1C}">
                                <a14:useLocalDpi xmlns:a14="http://schemas.microsoft.com/office/drawing/2010/main" val="0"/>
                              </a:ext>
                            </a:extLst>
                          </a:blip>
                          <a:srcRect/>
                          <a:stretch>
                            <a:fillRect/>
                          </a:stretch>
                        </pic:blipFill>
                        <pic:spPr bwMode="auto">
                          <a:xfrm>
                            <a:off x="0" y="0"/>
                            <a:ext cx="2024447" cy="1133690"/>
                          </a:xfrm>
                          <a:prstGeom prst="rect">
                            <a:avLst/>
                          </a:prstGeom>
                          <a:noFill/>
                          <a:ln>
                            <a:noFill/>
                          </a:ln>
                        </pic:spPr>
                      </pic:pic>
                    </a:graphicData>
                  </a:graphic>
                </wp:inline>
              </w:drawing>
            </w:r>
          </w:p>
          <w:p w14:paraId="3AB12372" w14:textId="5FE7141B" w:rsidR="00473268" w:rsidRDefault="00473268" w:rsidP="00473268">
            <w:pPr>
              <w:pStyle w:val="NormalWeb"/>
              <w:spacing w:before="0" w:beforeAutospacing="0" w:after="0" w:afterAutospacing="0"/>
              <w:jc w:val="center"/>
              <w:rPr>
                <w:rFonts w:ascii="Calibri" w:hAnsi="Calibri" w:cs="Calibri"/>
                <w:color w:val="000000" w:themeColor="text1"/>
                <w:sz w:val="22"/>
                <w:szCs w:val="22"/>
              </w:rPr>
            </w:pPr>
            <w:r>
              <w:rPr>
                <w:rFonts w:ascii="Calibri" w:hAnsi="Calibri" w:cs="Calibri"/>
                <w:color w:val="000000" w:themeColor="text1"/>
                <w:sz w:val="22"/>
                <w:szCs w:val="22"/>
              </w:rPr>
              <w:t>Filtration</w:t>
            </w:r>
          </w:p>
        </w:tc>
        <w:tc>
          <w:tcPr>
            <w:tcW w:w="3472" w:type="dxa"/>
          </w:tcPr>
          <w:p w14:paraId="3B459364" w14:textId="77777777" w:rsidR="00473268" w:rsidRDefault="00473268" w:rsidP="00473268">
            <w:pPr>
              <w:pStyle w:val="NormalWeb"/>
              <w:spacing w:before="0" w:beforeAutospacing="0" w:after="0" w:afterAutospacing="0"/>
              <w:jc w:val="center"/>
              <w:rPr>
                <w:rFonts w:ascii="Calibri" w:hAnsi="Calibri" w:cs="Calibri"/>
                <w:color w:val="000000" w:themeColor="text1"/>
                <w:sz w:val="22"/>
                <w:szCs w:val="22"/>
              </w:rPr>
            </w:pPr>
            <w:r>
              <w:rPr>
                <w:noProof/>
              </w:rPr>
              <w:drawing>
                <wp:inline distT="0" distB="0" distL="0" distR="0" wp14:anchorId="71D68C14" wp14:editId="56AB6E1F">
                  <wp:extent cx="2024063" cy="1133475"/>
                  <wp:effectExtent l="0" t="0" r="0" b="0"/>
                  <wp:docPr id="59417" name="Image 59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790">
                            <a:extLst>
                              <a:ext uri="{28A0092B-C50C-407E-A947-70E740481C1C}">
                                <a14:useLocalDpi xmlns:a14="http://schemas.microsoft.com/office/drawing/2010/main" val="0"/>
                              </a:ext>
                            </a:extLst>
                          </a:blip>
                          <a:srcRect/>
                          <a:stretch>
                            <a:fillRect/>
                          </a:stretch>
                        </pic:blipFill>
                        <pic:spPr bwMode="auto">
                          <a:xfrm>
                            <a:off x="0" y="0"/>
                            <a:ext cx="2028085" cy="1135727"/>
                          </a:xfrm>
                          <a:prstGeom prst="rect">
                            <a:avLst/>
                          </a:prstGeom>
                          <a:noFill/>
                          <a:ln>
                            <a:noFill/>
                          </a:ln>
                        </pic:spPr>
                      </pic:pic>
                    </a:graphicData>
                  </a:graphic>
                </wp:inline>
              </w:drawing>
            </w:r>
          </w:p>
          <w:p w14:paraId="38A991CC" w14:textId="5C78E1A8" w:rsidR="00473268" w:rsidRDefault="00473268" w:rsidP="00473268">
            <w:pPr>
              <w:pStyle w:val="NormalWeb"/>
              <w:spacing w:before="0" w:beforeAutospacing="0" w:after="0" w:afterAutospacing="0"/>
              <w:jc w:val="center"/>
              <w:rPr>
                <w:rFonts w:ascii="Calibri" w:hAnsi="Calibri" w:cs="Calibri"/>
                <w:color w:val="000000" w:themeColor="text1"/>
                <w:sz w:val="22"/>
                <w:szCs w:val="22"/>
              </w:rPr>
            </w:pPr>
            <w:r>
              <w:rPr>
                <w:rFonts w:ascii="Calibri" w:hAnsi="Calibri" w:cs="Calibri"/>
                <w:color w:val="000000" w:themeColor="text1"/>
                <w:sz w:val="22"/>
                <w:szCs w:val="22"/>
              </w:rPr>
              <w:t>Essorage pour obtenir une pâte verte.</w:t>
            </w:r>
          </w:p>
        </w:tc>
      </w:tr>
      <w:tr w:rsidR="00CA42AC" w14:paraId="34A341B9" w14:textId="77777777" w:rsidTr="00CA42AC">
        <w:tc>
          <w:tcPr>
            <w:tcW w:w="3472" w:type="dxa"/>
          </w:tcPr>
          <w:p w14:paraId="7435E127" w14:textId="77777777" w:rsidR="00473268" w:rsidRDefault="00473268" w:rsidP="00473268">
            <w:pPr>
              <w:pStyle w:val="NormalWeb"/>
              <w:spacing w:before="0" w:beforeAutospacing="0" w:after="0" w:afterAutospacing="0"/>
              <w:jc w:val="center"/>
              <w:rPr>
                <w:rFonts w:ascii="Calibri" w:hAnsi="Calibri" w:cs="Calibri"/>
                <w:color w:val="000000" w:themeColor="text1"/>
                <w:sz w:val="22"/>
                <w:szCs w:val="22"/>
              </w:rPr>
            </w:pPr>
            <w:r>
              <w:rPr>
                <w:noProof/>
              </w:rPr>
              <w:drawing>
                <wp:inline distT="0" distB="0" distL="0" distR="0" wp14:anchorId="51E37A03" wp14:editId="043F3F51">
                  <wp:extent cx="1940983" cy="1247775"/>
                  <wp:effectExtent l="0" t="0" r="2540" b="0"/>
                  <wp:docPr id="59418" name="Image 59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791">
                            <a:extLst>
                              <a:ext uri="{28A0092B-C50C-407E-A947-70E740481C1C}">
                                <a14:useLocalDpi xmlns:a14="http://schemas.microsoft.com/office/drawing/2010/main" val="0"/>
                              </a:ext>
                            </a:extLst>
                          </a:blip>
                          <a:srcRect/>
                          <a:stretch>
                            <a:fillRect/>
                          </a:stretch>
                        </pic:blipFill>
                        <pic:spPr bwMode="auto">
                          <a:xfrm>
                            <a:off x="0" y="0"/>
                            <a:ext cx="1942198" cy="1248556"/>
                          </a:xfrm>
                          <a:prstGeom prst="rect">
                            <a:avLst/>
                          </a:prstGeom>
                          <a:noFill/>
                          <a:ln>
                            <a:noFill/>
                          </a:ln>
                        </pic:spPr>
                      </pic:pic>
                    </a:graphicData>
                  </a:graphic>
                </wp:inline>
              </w:drawing>
            </w:r>
          </w:p>
          <w:p w14:paraId="492E26C2" w14:textId="4076062B" w:rsidR="00CA42AC" w:rsidRDefault="00CA42AC" w:rsidP="00473268">
            <w:pPr>
              <w:pStyle w:val="NormalWeb"/>
              <w:spacing w:before="0" w:beforeAutospacing="0" w:after="0" w:afterAutospacing="0"/>
              <w:jc w:val="center"/>
              <w:rPr>
                <w:rFonts w:ascii="Calibri" w:hAnsi="Calibri" w:cs="Calibri"/>
                <w:color w:val="000000" w:themeColor="text1"/>
                <w:sz w:val="22"/>
                <w:szCs w:val="22"/>
              </w:rPr>
            </w:pPr>
            <w:r>
              <w:rPr>
                <w:rFonts w:ascii="Calibri" w:hAnsi="Calibri" w:cs="Calibri"/>
                <w:color w:val="000000" w:themeColor="text1"/>
                <w:sz w:val="22"/>
                <w:szCs w:val="22"/>
              </w:rPr>
              <w:t xml:space="preserve">La pâte est étalée sur des plateaux mis dans des séchoirs (solaires ou au gaz). </w:t>
            </w:r>
          </w:p>
        </w:tc>
        <w:tc>
          <w:tcPr>
            <w:tcW w:w="3472" w:type="dxa"/>
            <w:gridSpan w:val="2"/>
          </w:tcPr>
          <w:p w14:paraId="71C55269" w14:textId="77777777" w:rsidR="00473268" w:rsidRDefault="00CA42AC" w:rsidP="00473268">
            <w:pPr>
              <w:pStyle w:val="NormalWeb"/>
              <w:spacing w:before="0" w:beforeAutospacing="0" w:after="0" w:afterAutospacing="0"/>
              <w:jc w:val="center"/>
              <w:rPr>
                <w:rFonts w:ascii="Calibri" w:hAnsi="Calibri" w:cs="Calibri"/>
                <w:color w:val="000000" w:themeColor="text1"/>
                <w:sz w:val="22"/>
                <w:szCs w:val="22"/>
              </w:rPr>
            </w:pPr>
            <w:r>
              <w:rPr>
                <w:noProof/>
              </w:rPr>
              <w:drawing>
                <wp:inline distT="0" distB="0" distL="0" distR="0" wp14:anchorId="6F3CFBCF" wp14:editId="325E1BF2">
                  <wp:extent cx="1905000" cy="1066800"/>
                  <wp:effectExtent l="0" t="0" r="0" b="0"/>
                  <wp:docPr id="59419" name="Image 59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792">
                            <a:extLst>
                              <a:ext uri="{28A0092B-C50C-407E-A947-70E740481C1C}">
                                <a14:useLocalDpi xmlns:a14="http://schemas.microsoft.com/office/drawing/2010/main" val="0"/>
                              </a:ext>
                            </a:extLst>
                          </a:blip>
                          <a:srcRect/>
                          <a:stretch>
                            <a:fillRect/>
                          </a:stretch>
                        </pic:blipFill>
                        <pic:spPr bwMode="auto">
                          <a:xfrm>
                            <a:off x="0" y="0"/>
                            <a:ext cx="1909645" cy="1069401"/>
                          </a:xfrm>
                          <a:prstGeom prst="rect">
                            <a:avLst/>
                          </a:prstGeom>
                          <a:noFill/>
                          <a:ln>
                            <a:noFill/>
                          </a:ln>
                        </pic:spPr>
                      </pic:pic>
                    </a:graphicData>
                  </a:graphic>
                </wp:inline>
              </w:drawing>
            </w:r>
          </w:p>
          <w:p w14:paraId="0A91BB85" w14:textId="11F655A4" w:rsidR="00CA42AC" w:rsidRDefault="00CA42AC" w:rsidP="00473268">
            <w:pPr>
              <w:pStyle w:val="NormalWeb"/>
              <w:spacing w:before="0" w:beforeAutospacing="0" w:after="0" w:afterAutospacing="0"/>
              <w:jc w:val="center"/>
              <w:rPr>
                <w:rFonts w:ascii="Calibri" w:hAnsi="Calibri" w:cs="Calibri"/>
                <w:color w:val="000000" w:themeColor="text1"/>
                <w:sz w:val="22"/>
                <w:szCs w:val="22"/>
              </w:rPr>
            </w:pPr>
            <w:r>
              <w:rPr>
                <w:rFonts w:ascii="Calibri" w:hAnsi="Calibri" w:cs="Calibri"/>
                <w:color w:val="000000" w:themeColor="text1"/>
                <w:sz w:val="22"/>
                <w:szCs w:val="22"/>
              </w:rPr>
              <w:t>Pose d’un filet d’ombrage, si les conditions météo sont problématiques (froid, soleil intense).</w:t>
            </w:r>
          </w:p>
        </w:tc>
        <w:tc>
          <w:tcPr>
            <w:tcW w:w="3472" w:type="dxa"/>
          </w:tcPr>
          <w:p w14:paraId="5C366F4F" w14:textId="77777777" w:rsidR="00473268" w:rsidRDefault="00CA42AC" w:rsidP="00473268">
            <w:pPr>
              <w:pStyle w:val="NormalWeb"/>
              <w:spacing w:before="0" w:beforeAutospacing="0" w:after="0" w:afterAutospacing="0"/>
              <w:jc w:val="center"/>
              <w:rPr>
                <w:rFonts w:ascii="Calibri" w:hAnsi="Calibri" w:cs="Calibri"/>
                <w:color w:val="000000" w:themeColor="text1"/>
                <w:sz w:val="22"/>
                <w:szCs w:val="22"/>
              </w:rPr>
            </w:pPr>
            <w:r>
              <w:rPr>
                <w:noProof/>
              </w:rPr>
              <w:drawing>
                <wp:inline distT="0" distB="0" distL="0" distR="0" wp14:anchorId="356505AE" wp14:editId="748AFC59">
                  <wp:extent cx="1543050" cy="1171575"/>
                  <wp:effectExtent l="0" t="0" r="0" b="9525"/>
                  <wp:docPr id="59420" name="Image 59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793">
                            <a:extLst>
                              <a:ext uri="{28A0092B-C50C-407E-A947-70E740481C1C}">
                                <a14:useLocalDpi xmlns:a14="http://schemas.microsoft.com/office/drawing/2010/main" val="0"/>
                              </a:ext>
                            </a:extLst>
                          </a:blip>
                          <a:srcRect/>
                          <a:stretch>
                            <a:fillRect/>
                          </a:stretch>
                        </pic:blipFill>
                        <pic:spPr bwMode="auto">
                          <a:xfrm>
                            <a:off x="0" y="0"/>
                            <a:ext cx="1543050" cy="1171575"/>
                          </a:xfrm>
                          <a:prstGeom prst="rect">
                            <a:avLst/>
                          </a:prstGeom>
                          <a:noFill/>
                          <a:ln>
                            <a:noFill/>
                          </a:ln>
                        </pic:spPr>
                      </pic:pic>
                    </a:graphicData>
                  </a:graphic>
                </wp:inline>
              </w:drawing>
            </w:r>
          </w:p>
          <w:p w14:paraId="13D38508" w14:textId="1FB1AB3B" w:rsidR="00CA42AC" w:rsidRPr="00CA42AC" w:rsidRDefault="00CA42AC" w:rsidP="00473268">
            <w:pPr>
              <w:pStyle w:val="NormalWeb"/>
              <w:spacing w:before="0" w:beforeAutospacing="0" w:after="0" w:afterAutospacing="0"/>
              <w:jc w:val="center"/>
              <w:rPr>
                <w:rFonts w:ascii="Calibri" w:hAnsi="Calibri" w:cs="Calibri"/>
                <w:color w:val="000000" w:themeColor="text1"/>
                <w:sz w:val="20"/>
                <w:szCs w:val="20"/>
              </w:rPr>
            </w:pPr>
            <w:r w:rsidRPr="00CA42AC">
              <w:rPr>
                <w:rFonts w:ascii="Calibri" w:hAnsi="Calibri" w:cs="Calibri"/>
                <w:color w:val="000000" w:themeColor="text1"/>
                <w:sz w:val="20"/>
                <w:szCs w:val="20"/>
              </w:rPr>
              <w:t xml:space="preserve">Bassins (en tissu polyamide enduit PVC) de l’Ecopark, Madurai, Tamil Nadu (Inde), 18 m², 1998. © </w:t>
            </w:r>
            <w:r w:rsidRPr="00CA42AC">
              <w:rPr>
                <w:rFonts w:ascii="Calibri" w:hAnsi="Calibri" w:cs="Calibri"/>
                <w:sz w:val="20"/>
                <w:szCs w:val="20"/>
                <w:lang w:val="en-GB"/>
              </w:rPr>
              <w:t>J.P. Jourdan.</w:t>
            </w:r>
            <w:r w:rsidRPr="00CA42AC">
              <w:rPr>
                <w:rFonts w:ascii="Calibri" w:hAnsi="Calibri" w:cs="Calibri"/>
                <w:color w:val="000000" w:themeColor="text1"/>
                <w:sz w:val="20"/>
                <w:szCs w:val="20"/>
              </w:rPr>
              <w:t xml:space="preserve"> </w:t>
            </w:r>
          </w:p>
        </w:tc>
      </w:tr>
      <w:tr w:rsidR="00473268" w:rsidRPr="00473268" w14:paraId="21C9E9BF" w14:textId="77777777" w:rsidTr="00CA42AC">
        <w:tc>
          <w:tcPr>
            <w:tcW w:w="5208" w:type="dxa"/>
            <w:gridSpan w:val="2"/>
          </w:tcPr>
          <w:p w14:paraId="04133A8D" w14:textId="77777777" w:rsidR="00473268" w:rsidRDefault="00CA42AC" w:rsidP="007E58C4">
            <w:pPr>
              <w:pStyle w:val="NormalWeb"/>
              <w:spacing w:before="0" w:beforeAutospacing="0" w:after="0" w:afterAutospacing="0"/>
              <w:jc w:val="center"/>
              <w:rPr>
                <w:rFonts w:ascii="Calibri" w:hAnsi="Calibri" w:cs="Calibri"/>
                <w:color w:val="000000" w:themeColor="text1"/>
                <w:sz w:val="22"/>
                <w:szCs w:val="22"/>
              </w:rPr>
            </w:pPr>
            <w:r>
              <w:rPr>
                <w:noProof/>
              </w:rPr>
              <w:lastRenderedPageBreak/>
              <w:drawing>
                <wp:inline distT="0" distB="0" distL="0" distR="0" wp14:anchorId="6A349BE0" wp14:editId="42053CA4">
                  <wp:extent cx="2200275" cy="1558135"/>
                  <wp:effectExtent l="0" t="0" r="0" b="4445"/>
                  <wp:docPr id="59422" name="Image 59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794">
                            <a:extLst>
                              <a:ext uri="{28A0092B-C50C-407E-A947-70E740481C1C}">
                                <a14:useLocalDpi xmlns:a14="http://schemas.microsoft.com/office/drawing/2010/main" val="0"/>
                              </a:ext>
                            </a:extLst>
                          </a:blip>
                          <a:srcRect/>
                          <a:stretch>
                            <a:fillRect/>
                          </a:stretch>
                        </pic:blipFill>
                        <pic:spPr bwMode="auto">
                          <a:xfrm>
                            <a:off x="0" y="0"/>
                            <a:ext cx="2211995" cy="1566435"/>
                          </a:xfrm>
                          <a:prstGeom prst="rect">
                            <a:avLst/>
                          </a:prstGeom>
                          <a:noFill/>
                          <a:ln>
                            <a:noFill/>
                          </a:ln>
                        </pic:spPr>
                      </pic:pic>
                    </a:graphicData>
                  </a:graphic>
                </wp:inline>
              </w:drawing>
            </w:r>
          </w:p>
          <w:p w14:paraId="52A08FBA" w14:textId="5AC5ACA2" w:rsidR="00CA42AC" w:rsidRPr="00473268" w:rsidRDefault="00CA42AC" w:rsidP="00CA42AC">
            <w:pPr>
              <w:pStyle w:val="NormalWeb"/>
              <w:spacing w:before="0" w:beforeAutospacing="0" w:after="0" w:afterAutospacing="0"/>
              <w:jc w:val="both"/>
              <w:rPr>
                <w:rFonts w:ascii="Calibri" w:hAnsi="Calibri" w:cs="Calibri"/>
                <w:color w:val="000000" w:themeColor="text1"/>
                <w:sz w:val="22"/>
                <w:szCs w:val="22"/>
              </w:rPr>
            </w:pPr>
            <w:r w:rsidRPr="00CA42AC">
              <w:rPr>
                <w:rFonts w:ascii="Calibri" w:hAnsi="Calibri" w:cs="Calibri"/>
                <w:color w:val="000000" w:themeColor="text1"/>
                <w:sz w:val="22"/>
                <w:szCs w:val="22"/>
              </w:rPr>
              <w:t>La spiruline Paracas vient du lac de l'oasis d'Huacachina dans la région d'Ica au Pérou. Encerclé du sable blanc du désert, cette oasis doit son origine aux afflux des courants souterrains.</w:t>
            </w:r>
          </w:p>
        </w:tc>
        <w:tc>
          <w:tcPr>
            <w:tcW w:w="5208" w:type="dxa"/>
            <w:gridSpan w:val="2"/>
          </w:tcPr>
          <w:p w14:paraId="07627823" w14:textId="77777777" w:rsidR="00473268" w:rsidRDefault="00CA42AC" w:rsidP="007E58C4">
            <w:pPr>
              <w:pStyle w:val="NormalWeb"/>
              <w:spacing w:before="0" w:beforeAutospacing="0" w:after="0" w:afterAutospacing="0"/>
              <w:jc w:val="center"/>
              <w:rPr>
                <w:rFonts w:ascii="Calibri" w:hAnsi="Calibri" w:cs="Calibri"/>
                <w:color w:val="000000" w:themeColor="text1"/>
                <w:sz w:val="22"/>
                <w:szCs w:val="22"/>
              </w:rPr>
            </w:pPr>
            <w:r>
              <w:rPr>
                <w:rFonts w:ascii="Calibri" w:hAnsi="Calibri" w:cs="Calibri"/>
                <w:color w:val="000000" w:themeColor="text1"/>
                <w:sz w:val="22"/>
                <w:szCs w:val="22"/>
              </w:rPr>
              <w:t xml:space="preserve"> </w:t>
            </w:r>
            <w:r>
              <w:rPr>
                <w:noProof/>
              </w:rPr>
              <w:drawing>
                <wp:inline distT="0" distB="0" distL="0" distR="0" wp14:anchorId="0C7330AA" wp14:editId="1795F4EA">
                  <wp:extent cx="2200275" cy="1557498"/>
                  <wp:effectExtent l="0" t="0" r="0" b="5080"/>
                  <wp:docPr id="59421" name="Image 59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795">
                            <a:extLst>
                              <a:ext uri="{28A0092B-C50C-407E-A947-70E740481C1C}">
                                <a14:useLocalDpi xmlns:a14="http://schemas.microsoft.com/office/drawing/2010/main" val="0"/>
                              </a:ext>
                            </a:extLst>
                          </a:blip>
                          <a:srcRect/>
                          <a:stretch>
                            <a:fillRect/>
                          </a:stretch>
                        </pic:blipFill>
                        <pic:spPr bwMode="auto">
                          <a:xfrm>
                            <a:off x="0" y="0"/>
                            <a:ext cx="2200950" cy="1557976"/>
                          </a:xfrm>
                          <a:prstGeom prst="rect">
                            <a:avLst/>
                          </a:prstGeom>
                          <a:noFill/>
                          <a:ln>
                            <a:noFill/>
                          </a:ln>
                        </pic:spPr>
                      </pic:pic>
                    </a:graphicData>
                  </a:graphic>
                </wp:inline>
              </w:drawing>
            </w:r>
          </w:p>
          <w:p w14:paraId="74B6BEFD" w14:textId="10FF0E2F" w:rsidR="00CA42AC" w:rsidRPr="00473268" w:rsidRDefault="00CA42AC" w:rsidP="00CA42AC">
            <w:pPr>
              <w:pStyle w:val="NormalWeb"/>
              <w:spacing w:before="0" w:beforeAutospacing="0" w:after="0" w:afterAutospacing="0"/>
              <w:jc w:val="both"/>
              <w:rPr>
                <w:rFonts w:ascii="Calibri" w:hAnsi="Calibri" w:cs="Calibri"/>
                <w:color w:val="000000" w:themeColor="text1"/>
                <w:sz w:val="22"/>
                <w:szCs w:val="22"/>
              </w:rPr>
            </w:pPr>
            <w:r w:rsidRPr="00CA42AC">
              <w:rPr>
                <w:rFonts w:ascii="Calibri" w:hAnsi="Calibri" w:cs="Calibri"/>
                <w:color w:val="000000" w:themeColor="text1"/>
                <w:sz w:val="22"/>
                <w:szCs w:val="22"/>
              </w:rPr>
              <w:t>La spiruline Lonar, vient du cratère de Lonar dans l'État de Maharashtra en Inde. Il est le plus grand cratère creusé par une météorite dans des roches de basalte et est partiellement rempli par un lac d'eau « saumâtre ».</w:t>
            </w:r>
          </w:p>
        </w:tc>
      </w:tr>
    </w:tbl>
    <w:p w14:paraId="33620683" w14:textId="1B2A8154" w:rsidR="00473268" w:rsidRDefault="00CA42AC" w:rsidP="00CA42AC">
      <w:pPr>
        <w:pStyle w:val="NormalWeb"/>
        <w:shd w:val="clear" w:color="auto" w:fill="FFFFFF"/>
        <w:spacing w:before="0" w:beforeAutospacing="0" w:after="0" w:afterAutospacing="0"/>
        <w:jc w:val="both"/>
        <w:rPr>
          <w:rFonts w:ascii="Calibri" w:hAnsi="Calibri" w:cs="Calibri"/>
          <w:color w:val="000000" w:themeColor="text1"/>
          <w:sz w:val="22"/>
          <w:szCs w:val="22"/>
        </w:rPr>
      </w:pPr>
      <w:r w:rsidRPr="00CA42AC">
        <w:rPr>
          <w:rFonts w:ascii="Calibri" w:hAnsi="Calibri" w:cs="Calibri"/>
          <w:color w:val="000000" w:themeColor="text1"/>
          <w:sz w:val="22"/>
          <w:szCs w:val="22"/>
        </w:rPr>
        <w:t>Sous ces latitudes, la température de l'eau est comprise entre 20 et 40°C. Les nombreux oiseaux et mammifères qui fréquentent ces plans d'eau depuis des millénaires ont créés par leurs déjections et leur agitation un environnement adapté au développement de la spiruline</w:t>
      </w:r>
      <w:r w:rsidR="00E059F5">
        <w:rPr>
          <w:rFonts w:ascii="Calibri" w:hAnsi="Calibri" w:cs="Calibri"/>
          <w:color w:val="000000" w:themeColor="text1"/>
          <w:sz w:val="22"/>
          <w:szCs w:val="22"/>
        </w:rPr>
        <w:t xml:space="preserve"> (Cf. </w:t>
      </w:r>
      <w:r w:rsidR="00E059F5" w:rsidRPr="00E059F5">
        <w:rPr>
          <w:rFonts w:ascii="Calibri" w:hAnsi="Calibri" w:cs="Calibri"/>
          <w:i/>
          <w:iCs/>
          <w:color w:val="000000" w:themeColor="text1"/>
          <w:sz w:val="22"/>
          <w:szCs w:val="22"/>
        </w:rPr>
        <w:t>Culture de la spiruline de Haute Saintonge</w:t>
      </w:r>
      <w:r w:rsidR="00E059F5" w:rsidRPr="00E059F5">
        <w:rPr>
          <w:rFonts w:ascii="Calibri" w:hAnsi="Calibri" w:cs="Calibri"/>
          <w:color w:val="000000" w:themeColor="text1"/>
          <w:sz w:val="22"/>
          <w:szCs w:val="22"/>
        </w:rPr>
        <w:t xml:space="preserve">, </w:t>
      </w:r>
      <w:hyperlink r:id="rId2796" w:history="1">
        <w:r w:rsidR="00E059F5" w:rsidRPr="00224761">
          <w:rPr>
            <w:rStyle w:val="Lienhypertexte"/>
            <w:rFonts w:ascii="Calibri" w:hAnsi="Calibri" w:cs="Calibri"/>
            <w:sz w:val="22"/>
            <w:szCs w:val="22"/>
          </w:rPr>
          <w:t>https://www.spiruline-fr.com/Culture-de-la-spiruline.htm</w:t>
        </w:r>
      </w:hyperlink>
      <w:r w:rsidR="00E059F5">
        <w:rPr>
          <w:rFonts w:ascii="Calibri" w:hAnsi="Calibri" w:cs="Calibri"/>
          <w:color w:val="000000" w:themeColor="text1"/>
          <w:sz w:val="22"/>
          <w:szCs w:val="22"/>
        </w:rPr>
        <w:t>)</w:t>
      </w:r>
      <w:r w:rsidRPr="00CA42AC">
        <w:rPr>
          <w:rFonts w:ascii="Calibri" w:hAnsi="Calibri" w:cs="Calibri"/>
          <w:color w:val="000000" w:themeColor="text1"/>
          <w:sz w:val="22"/>
          <w:szCs w:val="22"/>
        </w:rPr>
        <w:t>.</w:t>
      </w:r>
      <w:r w:rsidR="00E059F5">
        <w:rPr>
          <w:rFonts w:ascii="Calibri" w:hAnsi="Calibri" w:cs="Calibri"/>
          <w:color w:val="000000" w:themeColor="text1"/>
          <w:sz w:val="22"/>
          <w:szCs w:val="22"/>
        </w:rPr>
        <w:t xml:space="preserve"> </w:t>
      </w:r>
    </w:p>
    <w:p w14:paraId="48B03048" w14:textId="5DF439B7" w:rsidR="006F7BF4" w:rsidRDefault="006F7BF4" w:rsidP="00CA42AC">
      <w:pPr>
        <w:pStyle w:val="NormalWeb"/>
        <w:shd w:val="clear" w:color="auto" w:fill="FFFFFF"/>
        <w:spacing w:before="0" w:beforeAutospacing="0" w:after="0" w:afterAutospacing="0"/>
        <w:jc w:val="both"/>
        <w:rPr>
          <w:rFonts w:ascii="Calibri" w:hAnsi="Calibri" w:cs="Calibri"/>
          <w:color w:val="000000" w:themeColor="text1"/>
          <w:sz w:val="22"/>
          <w:szCs w:val="2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123872" w14:paraId="2FE45957" w14:textId="77777777" w:rsidTr="00123872">
        <w:tc>
          <w:tcPr>
            <w:tcW w:w="5208" w:type="dxa"/>
          </w:tcPr>
          <w:p w14:paraId="1D98A100" w14:textId="77777777" w:rsidR="00123872" w:rsidRDefault="00123872" w:rsidP="00123872">
            <w:pPr>
              <w:pStyle w:val="NormalWeb"/>
              <w:spacing w:before="0" w:beforeAutospacing="0" w:after="0" w:afterAutospacing="0"/>
              <w:jc w:val="center"/>
              <w:rPr>
                <w:rFonts w:ascii="Calibri" w:hAnsi="Calibri" w:cs="Calibri"/>
                <w:color w:val="000000" w:themeColor="text1"/>
                <w:sz w:val="22"/>
                <w:szCs w:val="22"/>
              </w:rPr>
            </w:pPr>
            <w:r>
              <w:rPr>
                <w:noProof/>
              </w:rPr>
              <w:drawing>
                <wp:inline distT="0" distB="0" distL="0" distR="0" wp14:anchorId="3D46F5A0" wp14:editId="4463C32B">
                  <wp:extent cx="3133725" cy="2059046"/>
                  <wp:effectExtent l="0" t="0" r="0" b="0"/>
                  <wp:docPr id="80900" name="Image 80900" descr="Une image contenant eau, ciel, extérieur, monta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00" name="Image 80900" descr="Une image contenant eau, ciel, extérieur, montagne&#10;&#10;Description générée automatiquement"/>
                          <pic:cNvPicPr>
                            <a:picLocks noChangeAspect="1" noChangeArrowheads="1"/>
                          </pic:cNvPicPr>
                        </pic:nvPicPr>
                        <pic:blipFill>
                          <a:blip r:embed="rId2797">
                            <a:extLst>
                              <a:ext uri="{28A0092B-C50C-407E-A947-70E740481C1C}">
                                <a14:useLocalDpi xmlns:a14="http://schemas.microsoft.com/office/drawing/2010/main" val="0"/>
                              </a:ext>
                            </a:extLst>
                          </a:blip>
                          <a:srcRect/>
                          <a:stretch>
                            <a:fillRect/>
                          </a:stretch>
                        </pic:blipFill>
                        <pic:spPr bwMode="auto">
                          <a:xfrm>
                            <a:off x="0" y="0"/>
                            <a:ext cx="3160971" cy="2076948"/>
                          </a:xfrm>
                          <a:prstGeom prst="rect">
                            <a:avLst/>
                          </a:prstGeom>
                          <a:noFill/>
                          <a:ln>
                            <a:noFill/>
                          </a:ln>
                        </pic:spPr>
                      </pic:pic>
                    </a:graphicData>
                  </a:graphic>
                </wp:inline>
              </w:drawing>
            </w:r>
          </w:p>
          <w:p w14:paraId="3B52D9D2" w14:textId="386E8A57" w:rsidR="00123872" w:rsidRPr="00123872" w:rsidRDefault="00123872" w:rsidP="00123872">
            <w:pPr>
              <w:pStyle w:val="NormalWeb"/>
              <w:shd w:val="clear" w:color="auto" w:fill="FFFFFF"/>
              <w:spacing w:before="0" w:beforeAutospacing="0" w:after="0" w:afterAutospacing="0"/>
              <w:jc w:val="both"/>
            </w:pPr>
            <w:r w:rsidRPr="00D84226">
              <w:rPr>
                <w:rFonts w:ascii="Calibri" w:hAnsi="Calibri" w:cs="Calibri"/>
                <w:color w:val="202122"/>
                <w:sz w:val="22"/>
                <w:szCs w:val="22"/>
                <w:shd w:val="clear" w:color="auto" w:fill="FFFFFF"/>
              </w:rPr>
              <w:t xml:space="preserve">Le </w:t>
            </w:r>
            <w:r w:rsidRPr="00D84226">
              <w:rPr>
                <w:rFonts w:ascii="Calibri" w:hAnsi="Calibri" w:cs="Calibri"/>
                <w:i/>
                <w:iCs/>
                <w:color w:val="202122"/>
                <w:sz w:val="22"/>
                <w:szCs w:val="22"/>
                <w:shd w:val="clear" w:color="auto" w:fill="FFFFFF"/>
              </w:rPr>
              <w:t>Gaberoun</w:t>
            </w:r>
            <w:r w:rsidRPr="00D84226">
              <w:rPr>
                <w:rFonts w:ascii="Calibri" w:hAnsi="Calibri" w:cs="Calibri"/>
                <w:color w:val="202122"/>
                <w:sz w:val="22"/>
                <w:szCs w:val="22"/>
                <w:shd w:val="clear" w:color="auto" w:fill="FFFFFF"/>
              </w:rPr>
              <w:t xml:space="preserve"> est une oasis située près de Sebha dans le désert Libyque. Son lac est extrêmement salé.</w:t>
            </w:r>
            <w:r>
              <w:rPr>
                <w:rFonts w:ascii="Calibri" w:hAnsi="Calibri" w:cs="Calibri"/>
                <w:color w:val="202122"/>
                <w:sz w:val="22"/>
                <w:szCs w:val="22"/>
                <w:shd w:val="clear" w:color="auto" w:fill="FFFFFF"/>
              </w:rPr>
              <w:t xml:space="preserve"> </w:t>
            </w:r>
            <w:r w:rsidRPr="00123872">
              <w:rPr>
                <w:rFonts w:ascii="Calibri" w:hAnsi="Calibri" w:cs="Calibri"/>
                <w:color w:val="202122"/>
                <w:sz w:val="22"/>
                <w:szCs w:val="22"/>
                <w:shd w:val="clear" w:color="auto" w:fill="FFFFFF"/>
              </w:rPr>
              <w:t xml:space="preserve">Les moustiques </w:t>
            </w:r>
            <w:r>
              <w:rPr>
                <w:rFonts w:ascii="Calibri" w:hAnsi="Calibri" w:cs="Calibri"/>
                <w:color w:val="202122"/>
                <w:sz w:val="22"/>
                <w:szCs w:val="22"/>
                <w:shd w:val="clear" w:color="auto" w:fill="FFFFFF"/>
              </w:rPr>
              <w:t xml:space="preserve">y </w:t>
            </w:r>
            <w:r w:rsidRPr="00123872">
              <w:rPr>
                <w:rFonts w:ascii="Calibri" w:hAnsi="Calibri" w:cs="Calibri"/>
                <w:color w:val="202122"/>
                <w:sz w:val="22"/>
                <w:szCs w:val="22"/>
                <w:shd w:val="clear" w:color="auto" w:fill="FFFFFF"/>
              </w:rPr>
              <w:t>sont abondants, surtout en été</w:t>
            </w:r>
            <w:r>
              <w:rPr>
                <w:rFonts w:ascii="Calibri" w:hAnsi="Calibri" w:cs="Calibri"/>
                <w:color w:val="202122"/>
                <w:sz w:val="22"/>
                <w:szCs w:val="22"/>
                <w:shd w:val="clear" w:color="auto" w:fill="FFFFFF"/>
              </w:rPr>
              <w:t>, preuve d’une vie biologique active.</w:t>
            </w:r>
          </w:p>
        </w:tc>
        <w:tc>
          <w:tcPr>
            <w:tcW w:w="5208" w:type="dxa"/>
          </w:tcPr>
          <w:p w14:paraId="39B08AF7" w14:textId="77777777" w:rsidR="00123872" w:rsidRDefault="00123872" w:rsidP="00123872">
            <w:pPr>
              <w:pStyle w:val="NormalWeb"/>
              <w:spacing w:before="0" w:beforeAutospacing="0" w:after="0" w:afterAutospacing="0"/>
              <w:jc w:val="center"/>
              <w:rPr>
                <w:rFonts w:ascii="Calibri" w:hAnsi="Calibri" w:cs="Calibri"/>
                <w:color w:val="000000" w:themeColor="text1"/>
                <w:sz w:val="22"/>
                <w:szCs w:val="22"/>
              </w:rPr>
            </w:pPr>
            <w:r>
              <w:rPr>
                <w:noProof/>
              </w:rPr>
              <w:drawing>
                <wp:inline distT="0" distB="0" distL="0" distR="0" wp14:anchorId="13673F46" wp14:editId="12A0B840">
                  <wp:extent cx="3114675" cy="2079211"/>
                  <wp:effectExtent l="0" t="0" r="0" b="0"/>
                  <wp:docPr id="80901" name="Image 80901" descr="Une image contenant ciel, extérieur, nature, riv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01" name="Image 80901" descr="Une image contenant ciel, extérieur, nature, rive&#10;&#10;Description générée automatiquement"/>
                          <pic:cNvPicPr>
                            <a:picLocks noChangeAspect="1" noChangeArrowheads="1"/>
                          </pic:cNvPicPr>
                        </pic:nvPicPr>
                        <pic:blipFill>
                          <a:blip r:embed="rId2798">
                            <a:extLst>
                              <a:ext uri="{28A0092B-C50C-407E-A947-70E740481C1C}">
                                <a14:useLocalDpi xmlns:a14="http://schemas.microsoft.com/office/drawing/2010/main" val="0"/>
                              </a:ext>
                            </a:extLst>
                          </a:blip>
                          <a:srcRect/>
                          <a:stretch>
                            <a:fillRect/>
                          </a:stretch>
                        </pic:blipFill>
                        <pic:spPr bwMode="auto">
                          <a:xfrm>
                            <a:off x="0" y="0"/>
                            <a:ext cx="3117447" cy="2081061"/>
                          </a:xfrm>
                          <a:prstGeom prst="rect">
                            <a:avLst/>
                          </a:prstGeom>
                          <a:noFill/>
                          <a:ln>
                            <a:noFill/>
                          </a:ln>
                        </pic:spPr>
                      </pic:pic>
                    </a:graphicData>
                  </a:graphic>
                </wp:inline>
              </w:drawing>
            </w:r>
          </w:p>
          <w:p w14:paraId="747B0E66" w14:textId="7F584466" w:rsidR="00123872" w:rsidRDefault="00123872" w:rsidP="00123872">
            <w:pPr>
              <w:pStyle w:val="NormalWeb"/>
              <w:shd w:val="clear" w:color="auto" w:fill="FFFFFF"/>
              <w:spacing w:before="0" w:beforeAutospacing="0" w:after="0" w:afterAutospacing="0"/>
              <w:jc w:val="both"/>
              <w:rPr>
                <w:rFonts w:ascii="Calibri" w:hAnsi="Calibri" w:cs="Calibri"/>
                <w:color w:val="000000" w:themeColor="text1"/>
                <w:sz w:val="22"/>
                <w:szCs w:val="22"/>
              </w:rPr>
            </w:pPr>
            <w:r w:rsidRPr="00CF3401">
              <w:rPr>
                <w:rFonts w:ascii="Calibri" w:hAnsi="Calibri" w:cs="Calibri"/>
                <w:color w:val="000000" w:themeColor="text1"/>
                <w:sz w:val="22"/>
                <w:szCs w:val="22"/>
              </w:rPr>
              <w:t>Lac salé d’</w:t>
            </w:r>
            <w:r w:rsidRPr="00CF3401">
              <w:rPr>
                <w:rFonts w:ascii="Calibri" w:hAnsi="Calibri" w:cs="Calibri"/>
                <w:i/>
                <w:iCs/>
                <w:color w:val="000000" w:themeColor="text1"/>
                <w:sz w:val="22"/>
                <w:szCs w:val="22"/>
              </w:rPr>
              <w:t xml:space="preserve">Oum El Ma </w:t>
            </w:r>
            <w:r w:rsidRPr="00CF3401">
              <w:rPr>
                <w:rFonts w:ascii="Calibri" w:hAnsi="Calibri" w:cs="Calibri"/>
                <w:color w:val="000000" w:themeColor="text1"/>
                <w:sz w:val="22"/>
                <w:szCs w:val="22"/>
              </w:rPr>
              <w:t>au pied de</w:t>
            </w:r>
            <w:r w:rsidR="00DB0ED3">
              <w:rPr>
                <w:rFonts w:ascii="Calibri" w:hAnsi="Calibri" w:cs="Calibri"/>
                <w:color w:val="000000" w:themeColor="text1"/>
                <w:sz w:val="22"/>
                <w:szCs w:val="22"/>
              </w:rPr>
              <w:t>s</w:t>
            </w:r>
            <w:r w:rsidRPr="00CF3401">
              <w:rPr>
                <w:rFonts w:ascii="Calibri" w:hAnsi="Calibri" w:cs="Calibri"/>
                <w:color w:val="000000" w:themeColor="text1"/>
                <w:sz w:val="22"/>
                <w:szCs w:val="22"/>
              </w:rPr>
              <w:t xml:space="preserve"> dunes </w:t>
            </w:r>
            <w:r>
              <w:rPr>
                <w:rFonts w:ascii="Calibri" w:hAnsi="Calibri" w:cs="Calibri"/>
                <w:color w:val="000000" w:themeColor="text1"/>
                <w:sz w:val="22"/>
                <w:szCs w:val="22"/>
              </w:rPr>
              <w:t>de l’</w:t>
            </w:r>
            <w:r w:rsidRPr="00CF3401">
              <w:rPr>
                <w:rFonts w:ascii="Calibri" w:hAnsi="Calibri" w:cs="Calibri"/>
                <w:color w:val="000000" w:themeColor="text1"/>
                <w:sz w:val="22"/>
                <w:szCs w:val="22"/>
              </w:rPr>
              <w:t>Erg Oubari</w:t>
            </w:r>
            <w:r>
              <w:rPr>
                <w:rFonts w:ascii="Calibri" w:hAnsi="Calibri" w:cs="Calibri"/>
                <w:color w:val="000000" w:themeColor="text1"/>
                <w:sz w:val="22"/>
                <w:szCs w:val="22"/>
              </w:rPr>
              <w:t xml:space="preserve">. Il </w:t>
            </w:r>
            <w:r w:rsidRPr="00CF3401">
              <w:rPr>
                <w:rFonts w:ascii="Calibri" w:hAnsi="Calibri" w:cs="Calibri"/>
                <w:color w:val="000000" w:themeColor="text1"/>
                <w:sz w:val="22"/>
                <w:szCs w:val="22"/>
              </w:rPr>
              <w:t>mesure près de 800 mètres de long, il est situé dans la partie libyenne du Sahara à Awbari, dans la région du Fezzan</w:t>
            </w:r>
            <w:r>
              <w:rPr>
                <w:rFonts w:ascii="Calibri" w:hAnsi="Calibri" w:cs="Calibri"/>
                <w:color w:val="000000" w:themeColor="text1"/>
                <w:sz w:val="22"/>
                <w:szCs w:val="22"/>
              </w:rPr>
              <w:t xml:space="preserve">. Il </w:t>
            </w:r>
            <w:r w:rsidRPr="00CF3401">
              <w:rPr>
                <w:rFonts w:ascii="Calibri" w:hAnsi="Calibri" w:cs="Calibri"/>
                <w:color w:val="000000" w:themeColor="text1"/>
                <w:sz w:val="22"/>
                <w:szCs w:val="22"/>
              </w:rPr>
              <w:t>contient 35</w:t>
            </w:r>
            <w:r>
              <w:rPr>
                <w:rFonts w:ascii="Calibri" w:hAnsi="Calibri" w:cs="Calibri"/>
                <w:color w:val="000000" w:themeColor="text1"/>
                <w:sz w:val="22"/>
                <w:szCs w:val="22"/>
              </w:rPr>
              <w:t xml:space="preserve"> g</w:t>
            </w:r>
            <w:r w:rsidR="00B71B3C">
              <w:rPr>
                <w:rFonts w:ascii="Calibri" w:hAnsi="Calibri" w:cs="Calibri"/>
                <w:color w:val="000000" w:themeColor="text1"/>
                <w:sz w:val="22"/>
                <w:szCs w:val="22"/>
              </w:rPr>
              <w:t>.</w:t>
            </w:r>
            <w:r>
              <w:rPr>
                <w:rFonts w:ascii="Calibri" w:hAnsi="Calibri" w:cs="Calibri"/>
                <w:color w:val="000000" w:themeColor="text1"/>
                <w:sz w:val="22"/>
                <w:szCs w:val="22"/>
              </w:rPr>
              <w:t>L</w:t>
            </w:r>
            <w:r w:rsidR="00B71B3C" w:rsidRPr="00B71B3C">
              <w:rPr>
                <w:rFonts w:ascii="Calibri" w:hAnsi="Calibri" w:cs="Calibri"/>
                <w:color w:val="000000" w:themeColor="text1"/>
                <w:sz w:val="22"/>
                <w:szCs w:val="22"/>
                <w:vertAlign w:val="superscript"/>
              </w:rPr>
              <w:t>-1</w:t>
            </w:r>
            <w:r>
              <w:rPr>
                <w:rFonts w:ascii="Calibri" w:hAnsi="Calibri" w:cs="Calibri"/>
                <w:color w:val="000000" w:themeColor="text1"/>
                <w:sz w:val="22"/>
                <w:szCs w:val="22"/>
              </w:rPr>
              <w:t xml:space="preserve"> de sel</w:t>
            </w:r>
            <w:r w:rsidRPr="00CF3401">
              <w:rPr>
                <w:rFonts w:ascii="Calibri" w:hAnsi="Calibri" w:cs="Calibri"/>
                <w:color w:val="000000" w:themeColor="text1"/>
                <w:sz w:val="22"/>
                <w:szCs w:val="22"/>
              </w:rPr>
              <w:t xml:space="preserve"> </w:t>
            </w:r>
            <w:r>
              <w:rPr>
                <w:rFonts w:ascii="Calibri" w:hAnsi="Calibri" w:cs="Calibri"/>
                <w:color w:val="000000" w:themeColor="text1"/>
                <w:sz w:val="22"/>
                <w:szCs w:val="22"/>
              </w:rPr>
              <w:t xml:space="preserve">© </w:t>
            </w:r>
            <w:r w:rsidRPr="00CF3401">
              <w:rPr>
                <w:rFonts w:ascii="Calibri" w:hAnsi="Calibri" w:cs="Calibri"/>
                <w:color w:val="000000" w:themeColor="text1"/>
                <w:sz w:val="22"/>
                <w:szCs w:val="22"/>
              </w:rPr>
              <w:t>Philippe Crochet.</w:t>
            </w:r>
          </w:p>
        </w:tc>
      </w:tr>
    </w:tbl>
    <w:p w14:paraId="6CD0B7A7" w14:textId="1E227523" w:rsidR="00DB0ED3" w:rsidRDefault="00B71B3C" w:rsidP="00CA42AC">
      <w:pPr>
        <w:pStyle w:val="NormalWeb"/>
        <w:shd w:val="clear" w:color="auto" w:fill="FFFFFF"/>
        <w:spacing w:before="0" w:beforeAutospacing="0" w:after="0" w:afterAutospacing="0"/>
        <w:jc w:val="both"/>
        <w:rPr>
          <w:rFonts w:ascii="Calibri" w:hAnsi="Calibri" w:cs="Calibri"/>
          <w:color w:val="000000" w:themeColor="text1"/>
          <w:sz w:val="22"/>
          <w:szCs w:val="22"/>
        </w:rPr>
      </w:pPr>
      <w:r w:rsidRPr="00B71B3C">
        <w:rPr>
          <w:rFonts w:ascii="Calibri" w:hAnsi="Calibri" w:cs="Calibri"/>
          <w:color w:val="000000" w:themeColor="text1"/>
          <w:sz w:val="22"/>
          <w:szCs w:val="22"/>
        </w:rPr>
        <w:t>Les lacs Ayata, Mégarine et Témacine sont parmi les rares plans d’eaux salés et permanents du Sahara algérien. Mégarine est le plus salé avec un maximum de 35,00 ± 0,28 g.L</w:t>
      </w:r>
      <w:r w:rsidRPr="00B71B3C">
        <w:rPr>
          <w:rFonts w:ascii="Calibri" w:hAnsi="Calibri" w:cs="Calibri"/>
          <w:color w:val="000000" w:themeColor="text1"/>
          <w:sz w:val="22"/>
          <w:szCs w:val="22"/>
          <w:vertAlign w:val="superscript"/>
        </w:rPr>
        <w:t>-1</w:t>
      </w:r>
      <w:r w:rsidRPr="00B71B3C">
        <w:rPr>
          <w:rFonts w:ascii="Calibri" w:hAnsi="Calibri" w:cs="Calibri"/>
          <w:color w:val="000000" w:themeColor="text1"/>
          <w:sz w:val="22"/>
          <w:szCs w:val="22"/>
        </w:rPr>
        <w:t>. Ayata et Témacine sont considérés comme saumâtres-salés. La température de l’eau est similaire dans les trois lacs et varie entre 15,70 et 34,25 °C. Le pH est alcalin et varie entre 7,23 et 8,05. Les trois lacs sont fortement minéralisés avec une dominance des chlorures, des sulfates et du calcium.</w:t>
      </w:r>
      <w:r>
        <w:rPr>
          <w:rFonts w:ascii="Calibri" w:hAnsi="Calibri" w:cs="Calibri"/>
          <w:color w:val="000000" w:themeColor="text1"/>
          <w:sz w:val="22"/>
          <w:szCs w:val="22"/>
        </w:rPr>
        <w:t xml:space="preserve"> L</w:t>
      </w:r>
      <w:r w:rsidRPr="00B71B3C">
        <w:rPr>
          <w:rFonts w:ascii="Calibri" w:hAnsi="Calibri" w:cs="Calibri"/>
          <w:color w:val="000000" w:themeColor="text1"/>
          <w:sz w:val="22"/>
          <w:szCs w:val="22"/>
        </w:rPr>
        <w:t>a température serait le principal facteur influençant les variations de la salinité, de la conductivité et de l’oxygène dissous</w:t>
      </w:r>
      <w:r w:rsidR="00DB0ED3">
        <w:rPr>
          <w:rStyle w:val="Appelnotedebasdep"/>
          <w:rFonts w:ascii="Calibri" w:hAnsi="Calibri" w:cs="Calibri"/>
          <w:color w:val="000000" w:themeColor="text1"/>
          <w:sz w:val="22"/>
          <w:szCs w:val="22"/>
        </w:rPr>
        <w:footnoteReference w:id="151"/>
      </w:r>
      <w:r w:rsidRPr="00B71B3C">
        <w:rPr>
          <w:rFonts w:ascii="Calibri" w:hAnsi="Calibri" w:cs="Calibri"/>
          <w:color w:val="000000" w:themeColor="text1"/>
          <w:sz w:val="22"/>
          <w:szCs w:val="22"/>
        </w:rPr>
        <w:t>.</w:t>
      </w:r>
    </w:p>
    <w:p w14:paraId="6C89FABE" w14:textId="624A8251" w:rsidR="006F7BF4" w:rsidRPr="00DB0ED3" w:rsidRDefault="00B71B3C" w:rsidP="00DB0ED3">
      <w:pPr>
        <w:pStyle w:val="NormalWeb"/>
        <w:shd w:val="clear" w:color="auto" w:fill="FFFFFF"/>
        <w:spacing w:before="0" w:beforeAutospacing="0" w:after="0" w:afterAutospacing="0"/>
        <w:jc w:val="both"/>
        <w:rPr>
          <w:rFonts w:ascii="Calibri" w:hAnsi="Calibri" w:cs="Calibri"/>
          <w:i/>
          <w:iCs/>
          <w:color w:val="000000" w:themeColor="text1"/>
          <w:sz w:val="22"/>
          <w:szCs w:val="22"/>
        </w:rPr>
      </w:pPr>
      <w:r w:rsidRPr="00DB0ED3">
        <w:rPr>
          <w:rFonts w:ascii="Calibri" w:hAnsi="Calibri" w:cs="Calibri"/>
          <w:i/>
          <w:iCs/>
          <w:color w:val="000000" w:themeColor="text1"/>
          <w:sz w:val="22"/>
          <w:szCs w:val="22"/>
          <w:u w:val="single"/>
        </w:rPr>
        <w:t>Suggestions</w:t>
      </w:r>
      <w:r w:rsidRPr="00DB0ED3">
        <w:rPr>
          <w:rFonts w:ascii="Calibri" w:hAnsi="Calibri" w:cs="Calibri"/>
          <w:i/>
          <w:iCs/>
          <w:color w:val="000000" w:themeColor="text1"/>
          <w:sz w:val="22"/>
          <w:szCs w:val="22"/>
        </w:rPr>
        <w:t> : Normalement, la spiruline se développe plutôt dans une eau salée et basique, avec un pH10, mais l’on pourrait malgré tout essayer d’ensemencer avec la spiruline les lacs ayant un pH8.</w:t>
      </w:r>
    </w:p>
    <w:p w14:paraId="07C41B85" w14:textId="64922DCF" w:rsidR="00D84226" w:rsidRDefault="00DB0ED3" w:rsidP="00DB0ED3">
      <w:pPr>
        <w:pStyle w:val="NormalWeb"/>
        <w:shd w:val="clear" w:color="auto" w:fill="FFFFFF"/>
        <w:spacing w:before="0" w:beforeAutospacing="0" w:after="0" w:afterAutospacing="0"/>
        <w:jc w:val="both"/>
        <w:rPr>
          <w:rFonts w:ascii="Calibri" w:hAnsi="Calibri" w:cs="Calibri"/>
          <w:i/>
          <w:iCs/>
          <w:color w:val="000000" w:themeColor="text1"/>
          <w:sz w:val="22"/>
          <w:szCs w:val="22"/>
          <w:shd w:val="clear" w:color="auto" w:fill="FFFFFF"/>
        </w:rPr>
      </w:pPr>
      <w:r w:rsidRPr="00DB0ED3">
        <w:rPr>
          <w:rFonts w:ascii="Calibri" w:hAnsi="Calibri" w:cs="Calibri"/>
          <w:i/>
          <w:iCs/>
          <w:color w:val="000000" w:themeColor="text1"/>
          <w:sz w:val="22"/>
          <w:szCs w:val="22"/>
          <w:shd w:val="clear" w:color="auto" w:fill="FFFFFF"/>
        </w:rPr>
        <w:t>Et pourrions-nous essayer d’y planter des palétuviers résistants à un taux de salinité élevé</w:t>
      </w:r>
      <w:r>
        <w:rPr>
          <w:rFonts w:ascii="Calibri" w:hAnsi="Calibri" w:cs="Calibri"/>
          <w:i/>
          <w:iCs/>
          <w:color w:val="000000" w:themeColor="text1"/>
          <w:sz w:val="22"/>
          <w:szCs w:val="22"/>
          <w:shd w:val="clear" w:color="auto" w:fill="FFFFFF"/>
        </w:rPr>
        <w:t xml:space="preserve"> (</w:t>
      </w:r>
      <w:r w:rsidRPr="00DB0ED3">
        <w:rPr>
          <w:rFonts w:ascii="Calibri" w:hAnsi="Calibri" w:cs="Calibri"/>
          <w:i/>
          <w:iCs/>
          <w:color w:val="000000" w:themeColor="text1"/>
          <w:sz w:val="22"/>
          <w:szCs w:val="22"/>
          <w:shd w:val="clear" w:color="auto" w:fill="FFFFFF"/>
        </w:rPr>
        <w:t>Avicennia marina, Bruguiera gymnorrhiza, Rhizophora mucronata, Ceriops tagal, Lumnitzera racemosa, Sonneratia alba</w:t>
      </w:r>
      <w:r>
        <w:rPr>
          <w:rFonts w:ascii="Calibri" w:hAnsi="Calibri" w:cs="Calibri"/>
          <w:i/>
          <w:iCs/>
          <w:color w:val="000000" w:themeColor="text1"/>
          <w:sz w:val="22"/>
          <w:szCs w:val="22"/>
          <w:shd w:val="clear" w:color="auto" w:fill="FFFFFF"/>
        </w:rPr>
        <w:t>)</w:t>
      </w:r>
      <w:r w:rsidRPr="00DB0ED3">
        <w:rPr>
          <w:rFonts w:ascii="Calibri" w:hAnsi="Calibri" w:cs="Calibri"/>
          <w:i/>
          <w:iCs/>
          <w:color w:val="000000" w:themeColor="text1"/>
          <w:sz w:val="22"/>
          <w:szCs w:val="22"/>
          <w:shd w:val="clear" w:color="auto" w:fill="FFFFFF"/>
        </w:rPr>
        <w:t> ?</w:t>
      </w:r>
    </w:p>
    <w:p w14:paraId="56F45615" w14:textId="77777777" w:rsidR="00576232" w:rsidRPr="00DB0ED3" w:rsidRDefault="00576232" w:rsidP="00DB0ED3">
      <w:pPr>
        <w:pStyle w:val="NormalWeb"/>
        <w:shd w:val="clear" w:color="auto" w:fill="FFFFFF"/>
        <w:spacing w:before="0" w:beforeAutospacing="0" w:after="0" w:afterAutospacing="0"/>
        <w:jc w:val="both"/>
        <w:rPr>
          <w:rFonts w:ascii="Calibri" w:hAnsi="Calibri" w:cs="Calibri"/>
          <w:i/>
          <w:iCs/>
          <w:color w:val="000000" w:themeColor="text1"/>
          <w:sz w:val="22"/>
          <w:szCs w:val="22"/>
          <w:shd w:val="clear" w:color="auto" w:fill="FFFFFF"/>
        </w:rPr>
      </w:pPr>
    </w:p>
    <w:p w14:paraId="6105F037" w14:textId="5D57DFFF" w:rsidR="009D282F" w:rsidRDefault="007F1EC0" w:rsidP="007F1EC0">
      <w:pPr>
        <w:pStyle w:val="Titre1"/>
      </w:pPr>
      <w:bookmarkStart w:id="220" w:name="_Toc139181511"/>
      <w:r w:rsidRPr="007F1EC0">
        <w:lastRenderedPageBreak/>
        <w:t>Plantes médicinales et aromatiques</w:t>
      </w:r>
      <w:bookmarkEnd w:id="220"/>
    </w:p>
    <w:p w14:paraId="0F3921DE" w14:textId="12EE9A14" w:rsidR="007F1EC0" w:rsidRDefault="007F1EC0" w:rsidP="007F1EC0">
      <w:pPr>
        <w:spacing w:after="0" w:line="240" w:lineRule="auto"/>
      </w:pPr>
    </w:p>
    <w:tbl>
      <w:tblPr>
        <w:tblStyle w:val="Grilledutableau"/>
        <w:tblW w:w="0" w:type="auto"/>
        <w:tblInd w:w="-5" w:type="dxa"/>
        <w:tblLook w:val="04A0" w:firstRow="1" w:lastRow="0" w:firstColumn="1" w:lastColumn="0" w:noHBand="0" w:noVBand="1"/>
      </w:tblPr>
      <w:tblGrid>
        <w:gridCol w:w="5208"/>
        <w:gridCol w:w="5208"/>
      </w:tblGrid>
      <w:tr w:rsidR="00A95DE0" w14:paraId="671F4C18" w14:textId="77777777" w:rsidTr="00A95DE0">
        <w:tc>
          <w:tcPr>
            <w:tcW w:w="5208" w:type="dxa"/>
            <w:tcBorders>
              <w:top w:val="nil"/>
              <w:left w:val="nil"/>
              <w:bottom w:val="nil"/>
              <w:right w:val="nil"/>
            </w:tcBorders>
          </w:tcPr>
          <w:p w14:paraId="2EDC0400" w14:textId="77777777" w:rsidR="00A95DE0" w:rsidRDefault="00A95DE0" w:rsidP="001304D1">
            <w:pPr>
              <w:jc w:val="center"/>
            </w:pPr>
          </w:p>
          <w:p w14:paraId="49923689" w14:textId="77777777" w:rsidR="00A95DE0" w:rsidRDefault="00A95DE0" w:rsidP="001304D1">
            <w:pPr>
              <w:jc w:val="center"/>
            </w:pPr>
            <w:r w:rsidRPr="00EC2CF5">
              <w:rPr>
                <w:noProof/>
              </w:rPr>
              <w:drawing>
                <wp:inline distT="0" distB="0" distL="0" distR="0" wp14:anchorId="36B7263C" wp14:editId="2B42ACC1">
                  <wp:extent cx="645192" cy="1152128"/>
                  <wp:effectExtent l="0" t="0" r="2540" b="0"/>
                  <wp:docPr id="93197" name="Image 9" descr="Une image contenant texte, alimentation, bonbon, cornich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97" name="Image 9" descr="Une image contenant texte, alimentation, bonbon, cornichon&#10;&#10;Description générée automatiquement"/>
                          <pic:cNvPicPr>
                            <a:picLocks noChangeAspect="1"/>
                          </pic:cNvPicPr>
                        </pic:nvPicPr>
                        <pic:blipFill>
                          <a:blip r:embed="rId2799">
                            <a:extLst>
                              <a:ext uri="{28A0092B-C50C-407E-A947-70E740481C1C}">
                                <a14:useLocalDpi xmlns:a14="http://schemas.microsoft.com/office/drawing/2010/main" val="0"/>
                              </a:ext>
                            </a:extLst>
                          </a:blip>
                          <a:stretch>
                            <a:fillRect/>
                          </a:stretch>
                        </pic:blipFill>
                        <pic:spPr>
                          <a:xfrm>
                            <a:off x="0" y="0"/>
                            <a:ext cx="645192" cy="1152128"/>
                          </a:xfrm>
                          <a:prstGeom prst="rect">
                            <a:avLst/>
                          </a:prstGeom>
                        </pic:spPr>
                      </pic:pic>
                    </a:graphicData>
                  </a:graphic>
                </wp:inline>
              </w:drawing>
            </w:r>
          </w:p>
          <w:p w14:paraId="09430B00" w14:textId="77777777" w:rsidR="00A95DE0" w:rsidRPr="00EC2CF5" w:rsidRDefault="00A95DE0" w:rsidP="001304D1">
            <w:pPr>
              <w:jc w:val="center"/>
            </w:pPr>
            <w:r w:rsidRPr="00EC2CF5">
              <w:t xml:space="preserve">Solgar : résine de </w:t>
            </w:r>
            <w:r w:rsidRPr="00EC2CF5">
              <w:rPr>
                <w:i/>
                <w:iCs/>
              </w:rPr>
              <w:t>Boswellia serrata</w:t>
            </w:r>
          </w:p>
          <w:p w14:paraId="726B4550" w14:textId="77777777" w:rsidR="00A95DE0" w:rsidRDefault="00A95DE0" w:rsidP="001304D1">
            <w:pPr>
              <w:jc w:val="center"/>
            </w:pPr>
            <w:r w:rsidRPr="00EC2CF5">
              <w:t>(Amazon).</w:t>
            </w:r>
          </w:p>
          <w:p w14:paraId="6C09C1AF" w14:textId="33A595A9" w:rsidR="00962D40" w:rsidRDefault="00962D40" w:rsidP="001304D1">
            <w:pPr>
              <w:jc w:val="center"/>
            </w:pPr>
          </w:p>
        </w:tc>
        <w:tc>
          <w:tcPr>
            <w:tcW w:w="5208" w:type="dxa"/>
            <w:tcBorders>
              <w:top w:val="nil"/>
              <w:left w:val="nil"/>
              <w:bottom w:val="nil"/>
              <w:right w:val="nil"/>
            </w:tcBorders>
          </w:tcPr>
          <w:p w14:paraId="4D5849BD" w14:textId="77777777" w:rsidR="00A95DE0" w:rsidRDefault="00A95DE0" w:rsidP="001304D1">
            <w:pPr>
              <w:jc w:val="center"/>
            </w:pPr>
          </w:p>
          <w:p w14:paraId="4F11B88B" w14:textId="77777777" w:rsidR="00A95DE0" w:rsidRDefault="00A95DE0" w:rsidP="001304D1">
            <w:pPr>
              <w:jc w:val="center"/>
            </w:pPr>
            <w:r w:rsidRPr="00EC2CF5">
              <w:rPr>
                <w:noProof/>
              </w:rPr>
              <w:drawing>
                <wp:inline distT="0" distB="0" distL="0" distR="0" wp14:anchorId="37EA439A" wp14:editId="2E3EA0A5">
                  <wp:extent cx="1090295" cy="1090295"/>
                  <wp:effectExtent l="0" t="0" r="0" b="0"/>
                  <wp:docPr id="93198"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2"/>
                          <pic:cNvPicPr>
                            <a:picLocks noChangeAspect="1"/>
                          </pic:cNvPicPr>
                        </pic:nvPicPr>
                        <pic:blipFill>
                          <a:blip r:embed="rId2800">
                            <a:extLst>
                              <a:ext uri="{28A0092B-C50C-407E-A947-70E740481C1C}">
                                <a14:useLocalDpi xmlns:a14="http://schemas.microsoft.com/office/drawing/2010/main" val="0"/>
                              </a:ext>
                            </a:extLst>
                          </a:blip>
                          <a:stretch>
                            <a:fillRect/>
                          </a:stretch>
                        </pic:blipFill>
                        <pic:spPr>
                          <a:xfrm>
                            <a:off x="0" y="0"/>
                            <a:ext cx="1090525" cy="1090525"/>
                          </a:xfrm>
                          <a:prstGeom prst="rect">
                            <a:avLst/>
                          </a:prstGeom>
                        </pic:spPr>
                      </pic:pic>
                    </a:graphicData>
                  </a:graphic>
                </wp:inline>
              </w:drawing>
            </w:r>
          </w:p>
          <w:p w14:paraId="75E18103" w14:textId="77777777" w:rsidR="00A95DE0" w:rsidRDefault="00A95DE0" w:rsidP="001304D1">
            <w:pPr>
              <w:jc w:val="center"/>
            </w:pPr>
            <w:r w:rsidRPr="00EC2CF5">
              <w:t>Huile essentielle Encens arabe (</w:t>
            </w:r>
            <w:r w:rsidRPr="00EC2CF5">
              <w:rPr>
                <w:i/>
                <w:iCs/>
              </w:rPr>
              <w:t>Boswellia sacra</w:t>
            </w:r>
            <w:r w:rsidRPr="00EC2CF5">
              <w:t>). Source image : © Primavea</w:t>
            </w:r>
            <w:r>
              <w:t>.</w:t>
            </w:r>
          </w:p>
        </w:tc>
      </w:tr>
      <w:tr w:rsidR="00EC2CF5" w14:paraId="12C047AF" w14:textId="77777777" w:rsidTr="00A95DE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208" w:type="dxa"/>
          </w:tcPr>
          <w:p w14:paraId="6530FDBB" w14:textId="77777777" w:rsidR="00EC2CF5" w:rsidRDefault="00EC2CF5" w:rsidP="00EC2CF5">
            <w:pPr>
              <w:jc w:val="center"/>
            </w:pPr>
            <w:r w:rsidRPr="00EC2CF5">
              <w:rPr>
                <w:noProof/>
              </w:rPr>
              <w:drawing>
                <wp:inline distT="0" distB="0" distL="0" distR="0" wp14:anchorId="06025735" wp14:editId="0D4D1AC0">
                  <wp:extent cx="3077409" cy="2047875"/>
                  <wp:effectExtent l="0" t="0" r="8890" b="0"/>
                  <wp:docPr id="93195"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6"/>
                          <pic:cNvPicPr>
                            <a:picLocks noChangeAspect="1"/>
                          </pic:cNvPicPr>
                        </pic:nvPicPr>
                        <pic:blipFill>
                          <a:blip r:embed="rId2801">
                            <a:extLst>
                              <a:ext uri="{28A0092B-C50C-407E-A947-70E740481C1C}">
                                <a14:useLocalDpi xmlns:a14="http://schemas.microsoft.com/office/drawing/2010/main" val="0"/>
                              </a:ext>
                            </a:extLst>
                          </a:blip>
                          <a:stretch>
                            <a:fillRect/>
                          </a:stretch>
                        </pic:blipFill>
                        <pic:spPr>
                          <a:xfrm>
                            <a:off x="0" y="0"/>
                            <a:ext cx="3083804" cy="2052131"/>
                          </a:xfrm>
                          <a:prstGeom prst="rect">
                            <a:avLst/>
                          </a:prstGeom>
                        </pic:spPr>
                      </pic:pic>
                    </a:graphicData>
                  </a:graphic>
                </wp:inline>
              </w:drawing>
            </w:r>
          </w:p>
          <w:p w14:paraId="1584287A" w14:textId="77777777" w:rsidR="00EC2CF5" w:rsidRPr="00EC2CF5" w:rsidRDefault="00EC2CF5" w:rsidP="00EC2CF5">
            <w:pPr>
              <w:jc w:val="center"/>
            </w:pPr>
            <w:r w:rsidRPr="00EC2CF5">
              <w:t>L’arbre à myrrhe ou balsamier (</w:t>
            </w:r>
            <w:r w:rsidRPr="00EC2CF5">
              <w:rPr>
                <w:i/>
                <w:iCs/>
              </w:rPr>
              <w:t>Commiphora myrrha</w:t>
            </w:r>
            <w:r w:rsidRPr="00EC2CF5">
              <w:t>).</w:t>
            </w:r>
          </w:p>
          <w:p w14:paraId="621B1718" w14:textId="2DB03C39" w:rsidR="00EC2CF5" w:rsidRDefault="00EC2CF5" w:rsidP="00EC2CF5">
            <w:pPr>
              <w:jc w:val="center"/>
            </w:pPr>
            <w:r w:rsidRPr="00EC2CF5">
              <w:t xml:space="preserve">Source image : </w:t>
            </w:r>
            <w:hyperlink r:id="rId2802" w:history="1">
              <w:r w:rsidRPr="00EC2CF5">
                <w:rPr>
                  <w:rStyle w:val="Lienhypertexte"/>
                </w:rPr>
                <w:t>http://www.sante-globale.fr/plantes-2/commiphora-myrrha-variete-molmol/</w:t>
              </w:r>
            </w:hyperlink>
            <w:r w:rsidRPr="00EC2CF5">
              <w:t xml:space="preserve"> </w:t>
            </w:r>
          </w:p>
        </w:tc>
        <w:tc>
          <w:tcPr>
            <w:tcW w:w="5208" w:type="dxa"/>
          </w:tcPr>
          <w:p w14:paraId="43F536D7" w14:textId="77777777" w:rsidR="00EC2CF5" w:rsidRDefault="00EC2CF5" w:rsidP="00EC2CF5">
            <w:pPr>
              <w:jc w:val="center"/>
            </w:pPr>
            <w:r w:rsidRPr="00EC2CF5">
              <w:rPr>
                <w:noProof/>
              </w:rPr>
              <w:drawing>
                <wp:inline distT="0" distB="0" distL="0" distR="0" wp14:anchorId="0892768D" wp14:editId="75DAA19D">
                  <wp:extent cx="3024336" cy="3311648"/>
                  <wp:effectExtent l="0" t="0" r="5080" b="3175"/>
                  <wp:docPr id="93196"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pic:cNvPicPr>
                            <a:picLocks noChangeAspect="1"/>
                          </pic:cNvPicPr>
                        </pic:nvPicPr>
                        <pic:blipFill>
                          <a:blip r:embed="rId2803">
                            <a:extLst>
                              <a:ext uri="{28A0092B-C50C-407E-A947-70E740481C1C}">
                                <a14:useLocalDpi xmlns:a14="http://schemas.microsoft.com/office/drawing/2010/main" val="0"/>
                              </a:ext>
                            </a:extLst>
                          </a:blip>
                          <a:stretch>
                            <a:fillRect/>
                          </a:stretch>
                        </pic:blipFill>
                        <pic:spPr>
                          <a:xfrm>
                            <a:off x="0" y="0"/>
                            <a:ext cx="3024336" cy="3311648"/>
                          </a:xfrm>
                          <a:prstGeom prst="rect">
                            <a:avLst/>
                          </a:prstGeom>
                        </pic:spPr>
                      </pic:pic>
                    </a:graphicData>
                  </a:graphic>
                </wp:inline>
              </w:drawing>
            </w:r>
          </w:p>
          <w:p w14:paraId="6153B414" w14:textId="77777777" w:rsidR="00EC2CF5" w:rsidRPr="00EC2CF5" w:rsidRDefault="00EC2CF5" w:rsidP="00EC2CF5">
            <w:pPr>
              <w:jc w:val="center"/>
            </w:pPr>
            <w:r w:rsidRPr="00EC2CF5">
              <w:t>L’arbre à myrrhe ou balsamier (</w:t>
            </w:r>
            <w:r w:rsidRPr="00EC2CF5">
              <w:rPr>
                <w:i/>
                <w:iCs/>
              </w:rPr>
              <w:t>Commiphora myrrha</w:t>
            </w:r>
            <w:r w:rsidRPr="00EC2CF5">
              <w:t>).</w:t>
            </w:r>
          </w:p>
          <w:p w14:paraId="4451D760" w14:textId="67F5634F" w:rsidR="00EC2CF5" w:rsidRDefault="00EC2CF5" w:rsidP="00EC2CF5">
            <w:pPr>
              <w:jc w:val="center"/>
            </w:pPr>
            <w:r w:rsidRPr="00EC2CF5">
              <w:t xml:space="preserve">Source : </w:t>
            </w:r>
            <w:hyperlink r:id="rId2804" w:history="1">
              <w:r w:rsidRPr="00EC2CF5">
                <w:rPr>
                  <w:rStyle w:val="Lienhypertexte"/>
                </w:rPr>
                <w:t>http://www.sylvie-tribut-astrologue.com/tag/legende-de-myrrha-fille-de-cinyras-roi-de-chypre/</w:t>
              </w:r>
            </w:hyperlink>
            <w:r w:rsidRPr="00EC2CF5">
              <w:t xml:space="preserve"> </w:t>
            </w:r>
          </w:p>
        </w:tc>
      </w:tr>
    </w:tbl>
    <w:p w14:paraId="735D0B88" w14:textId="01102C64" w:rsidR="007F1EC0" w:rsidRDefault="007F1EC0" w:rsidP="00E74396">
      <w:pPr>
        <w:spacing w:after="0" w:line="240" w:lineRule="auto"/>
      </w:pPr>
    </w:p>
    <w:p w14:paraId="6483A44F" w14:textId="4EBAA7D3" w:rsidR="00EC2CF5" w:rsidRPr="00E74396" w:rsidRDefault="00E74396" w:rsidP="00A95DE0">
      <w:pPr>
        <w:pStyle w:val="Titre2"/>
        <w:rPr>
          <w:lang w:val="es-AR"/>
        </w:rPr>
      </w:pPr>
      <w:bookmarkStart w:id="221" w:name="_Toc139181512"/>
      <w:r w:rsidRPr="00E74396">
        <w:rPr>
          <w:lang w:val="es-AR"/>
        </w:rPr>
        <w:t>Siwak ou miswak (</w:t>
      </w:r>
      <w:r w:rsidRPr="00E74396">
        <w:rPr>
          <w:i/>
          <w:iCs/>
          <w:lang w:val="es-AR"/>
        </w:rPr>
        <w:t>Salvadora persica</w:t>
      </w:r>
      <w:r w:rsidRPr="00E74396">
        <w:rPr>
          <w:lang w:val="es-AR"/>
        </w:rPr>
        <w:t>)</w:t>
      </w:r>
      <w:bookmarkEnd w:id="221"/>
    </w:p>
    <w:p w14:paraId="4F6B4DDD" w14:textId="486EC566" w:rsidR="00EC2CF5" w:rsidRDefault="00BB757B" w:rsidP="00BB757B">
      <w:pPr>
        <w:spacing w:after="0" w:line="240" w:lineRule="auto"/>
        <w:jc w:val="center"/>
        <w:rPr>
          <w:lang w:val="es-AR"/>
        </w:rPr>
      </w:pPr>
      <w:r w:rsidRPr="00853ED0">
        <w:rPr>
          <w:noProof/>
        </w:rPr>
        <w:drawing>
          <wp:inline distT="0" distB="0" distL="0" distR="0" wp14:anchorId="5C97AAE7" wp14:editId="41843962">
            <wp:extent cx="400050" cy="352425"/>
            <wp:effectExtent l="0" t="0" r="0" b="9525"/>
            <wp:docPr id="104479" name="Image 21">
              <a:extLst xmlns:a="http://schemas.openxmlformats.org/drawingml/2006/main">
                <a:ext uri="{FF2B5EF4-FFF2-40B4-BE49-F238E27FC236}">
                  <a16:creationId xmlns:a16="http://schemas.microsoft.com/office/drawing/2014/main" id="{F52353B3-AA67-41AB-ACE3-C9465695F4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3" name="Image 21">
                      <a:extLst>
                        <a:ext uri="{FF2B5EF4-FFF2-40B4-BE49-F238E27FC236}">
                          <a16:creationId xmlns:a16="http://schemas.microsoft.com/office/drawing/2014/main" id="{F52353B3-AA67-41AB-ACE3-C9465695F4BE}"/>
                        </a:ext>
                      </a:extLst>
                    </pic:cNvPr>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31B6C956" w14:textId="1F35BCBB" w:rsidR="00687063" w:rsidRPr="00687063" w:rsidRDefault="00687063" w:rsidP="00687063">
      <w:pPr>
        <w:spacing w:after="0" w:line="240" w:lineRule="auto"/>
        <w:jc w:val="both"/>
      </w:pPr>
      <w:r w:rsidRPr="00687063">
        <w:t>C’est un arbuste</w:t>
      </w:r>
      <w:r w:rsidR="0075498A">
        <w:t xml:space="preserve"> médicinal</w:t>
      </w:r>
      <w:r w:rsidRPr="00687063">
        <w:t xml:space="preserve"> à feuilles persistantes ou un petit arbre de ~ 6-7 m.</w:t>
      </w:r>
      <w:r>
        <w:t xml:space="preserve"> </w:t>
      </w:r>
      <w:r w:rsidRPr="00687063">
        <w:t>L'arbre produit des fruits minuscules en grappes; ces drupes une graine sont comestibles; ils sont juteux (chacun avec une ou deux gouttes de jus), mais légèrement piquants. Originaire du Moyen-Orient.</w:t>
      </w:r>
    </w:p>
    <w:p w14:paraId="4C56A6BB" w14:textId="77777777" w:rsidR="00687063" w:rsidRPr="00687063" w:rsidRDefault="00687063" w:rsidP="00687063">
      <w:pPr>
        <w:spacing w:after="0" w:line="240" w:lineRule="auto"/>
        <w:jc w:val="both"/>
      </w:pPr>
      <w:r w:rsidRPr="00687063">
        <w:rPr>
          <w:i/>
          <w:iCs/>
        </w:rPr>
        <w:t xml:space="preserve">S. persica </w:t>
      </w:r>
      <w:r w:rsidRPr="00687063">
        <w:t xml:space="preserve">est très répandue, notamment dans les bosquets </w:t>
      </w:r>
      <w:r w:rsidRPr="00BB757B">
        <w:rPr>
          <w:i/>
          <w:iCs/>
        </w:rPr>
        <w:t>épine</w:t>
      </w:r>
      <w:r w:rsidRPr="00687063">
        <w:t>ux, les plaines inondables du désert, rivières et la végétation des berges, et les savanes herbeuses. Il préfère les zones où l'eau souterraine est facilement disponible, sur les berges, sur les périmètres de points d'eau, dans des sites humides saisonnières, et le long des lignes de drainage dans les zones arides. On trouve également dans les vallées, sur les dunes et sur les termitières.</w:t>
      </w:r>
    </w:p>
    <w:p w14:paraId="33474081" w14:textId="77777777" w:rsidR="00687063" w:rsidRPr="00687063" w:rsidRDefault="00687063" w:rsidP="00687063">
      <w:pPr>
        <w:spacing w:after="0" w:line="240" w:lineRule="auto"/>
        <w:jc w:val="both"/>
      </w:pPr>
      <w:r w:rsidRPr="00687063">
        <w:rPr>
          <w:i/>
          <w:iCs/>
        </w:rPr>
        <w:t>L'arbre est capable de tolérer un environnement très sec avec des précipitations annuelles moyennes de moins de 200 mm. Très tolérant au sel, il peut se développer sur les régions côtières et les sols intérieurs salés</w:t>
      </w:r>
      <w:r w:rsidRPr="00687063">
        <w:t>. Altitude: 0-1 800 m</w:t>
      </w:r>
    </w:p>
    <w:p w14:paraId="4F827645" w14:textId="77777777" w:rsidR="00687063" w:rsidRPr="00687063" w:rsidRDefault="00687063" w:rsidP="00687063">
      <w:pPr>
        <w:spacing w:after="0" w:line="240" w:lineRule="auto"/>
        <w:jc w:val="both"/>
      </w:pPr>
      <w:r w:rsidRPr="00687063">
        <w:lastRenderedPageBreak/>
        <w:t xml:space="preserve">Type de sol: argileux, mais préfère les bonnes terres, les terres noires et le sable. </w:t>
      </w:r>
      <w:r w:rsidRPr="00687063">
        <w:rPr>
          <w:i/>
          <w:iCs/>
        </w:rPr>
        <w:t>Il est adapté aux sols alcalins ou très salins</w:t>
      </w:r>
      <w:r w:rsidRPr="00687063">
        <w:t>, généralement des sols riches en argiles, et les sols sans sel.</w:t>
      </w:r>
    </w:p>
    <w:p w14:paraId="5B001400" w14:textId="77777777" w:rsidR="00687063" w:rsidRPr="00687063" w:rsidRDefault="00687063" w:rsidP="00687063">
      <w:pPr>
        <w:spacing w:after="0" w:line="240" w:lineRule="auto"/>
        <w:jc w:val="both"/>
      </w:pPr>
      <w:r w:rsidRPr="00687063">
        <w:t>Le </w:t>
      </w:r>
      <w:r w:rsidRPr="00687063">
        <w:rPr>
          <w:i/>
          <w:iCs/>
        </w:rPr>
        <w:t>siwak</w:t>
      </w:r>
      <w:r w:rsidRPr="00687063">
        <w:t xml:space="preserve"> (en arabe </w:t>
      </w:r>
      <w:r w:rsidRPr="00687063">
        <w:rPr>
          <w:rtl/>
          <w:lang w:val="es-AR" w:bidi="ar-AE"/>
        </w:rPr>
        <w:t xml:space="preserve">سواك), </w:t>
      </w:r>
      <w:r w:rsidRPr="00687063">
        <w:t>appelé aussi souek, souak, miswak ou bois d'araq (bâton d’arak), est la racine de l'arbuste </w:t>
      </w:r>
      <w:hyperlink r:id="rId2805" w:history="1">
        <w:r w:rsidRPr="00687063">
          <w:rPr>
            <w:rStyle w:val="Lienhypertexte"/>
            <w:i/>
            <w:iCs/>
          </w:rPr>
          <w:t>Salvadora</w:t>
        </w:r>
      </w:hyperlink>
      <w:hyperlink r:id="rId2806" w:history="1">
        <w:r w:rsidRPr="00687063">
          <w:rPr>
            <w:rStyle w:val="Lienhypertexte"/>
            <w:i/>
            <w:iCs/>
          </w:rPr>
          <w:t xml:space="preserve"> </w:t>
        </w:r>
      </w:hyperlink>
      <w:hyperlink r:id="rId2807" w:history="1">
        <w:r w:rsidRPr="00687063">
          <w:rPr>
            <w:rStyle w:val="Lienhypertexte"/>
            <w:i/>
            <w:iCs/>
          </w:rPr>
          <w:t>persica</w:t>
        </w:r>
      </w:hyperlink>
      <w:r w:rsidRPr="00687063">
        <w:t> utilisée comme « </w:t>
      </w:r>
      <w:hyperlink r:id="rId2808" w:history="1">
        <w:r w:rsidRPr="00687063">
          <w:rPr>
            <w:rStyle w:val="Lienhypertexte"/>
          </w:rPr>
          <w:t>brosse à dent</w:t>
        </w:r>
      </w:hyperlink>
      <w:r w:rsidRPr="00687063">
        <w:t> » naturelle. Le simple fait de se frotter les dents avec un objet fibreux tel que le siwak permet de se débarrasser de la </w:t>
      </w:r>
      <w:hyperlink r:id="rId2809" w:history="1">
        <w:r w:rsidRPr="00687063">
          <w:rPr>
            <w:rStyle w:val="Lienhypertexte"/>
          </w:rPr>
          <w:t>plaque dentaire</w:t>
        </w:r>
      </w:hyperlink>
      <w:r w:rsidRPr="00687063">
        <w:t>. Par ailleurs, des recherches scientifiques suggèrent un effet bénéfique dans le renforcement de la </w:t>
      </w:r>
      <w:hyperlink r:id="rId2810" w:history="1">
        <w:r w:rsidRPr="00687063">
          <w:rPr>
            <w:rStyle w:val="Lienhypertexte"/>
          </w:rPr>
          <w:t>gencive</w:t>
        </w:r>
      </w:hyperlink>
      <w:hyperlink r:id="rId2811" w:history="1">
        <w:r w:rsidRPr="00687063">
          <w:rPr>
            <w:rStyle w:val="Lienhypertexte"/>
            <w:vertAlign w:val="superscript"/>
          </w:rPr>
          <w:t>1</w:t>
        </w:r>
      </w:hyperlink>
      <w:r w:rsidRPr="00687063">
        <w:t>. Une étude américaine menée en 2003 par le </w:t>
      </w:r>
      <w:hyperlink r:id="rId2812" w:history="1">
        <w:r w:rsidRPr="00687063">
          <w:rPr>
            <w:rStyle w:val="Lienhypertexte"/>
            <w:i/>
            <w:iCs/>
          </w:rPr>
          <w:t xml:space="preserve">National Center for </w:t>
        </w:r>
      </w:hyperlink>
      <w:hyperlink r:id="rId2813" w:history="1">
        <w:r w:rsidRPr="00687063">
          <w:rPr>
            <w:rStyle w:val="Lienhypertexte"/>
            <w:i/>
            <w:iCs/>
          </w:rPr>
          <w:t>Biotechnology</w:t>
        </w:r>
      </w:hyperlink>
      <w:hyperlink r:id="rId2814" w:history="1">
        <w:r w:rsidRPr="00687063">
          <w:rPr>
            <w:rStyle w:val="Lienhypertexte"/>
            <w:i/>
            <w:iCs/>
          </w:rPr>
          <w:t xml:space="preserve"> Information</w:t>
        </w:r>
      </w:hyperlink>
      <w:r w:rsidRPr="00687063">
        <w:t> a conclu que l'usage du siwak est plus efficace que l'usage d'une brosse à dents</w:t>
      </w:r>
      <w:hyperlink r:id="rId2815" w:history="1">
        <w:r w:rsidRPr="00687063">
          <w:rPr>
            <w:rStyle w:val="Lienhypertexte"/>
            <w:vertAlign w:val="superscript"/>
          </w:rPr>
          <w:t>2</w:t>
        </w:r>
      </w:hyperlink>
      <w:r w:rsidRPr="00687063">
        <w:rPr>
          <w:vertAlign w:val="superscript"/>
        </w:rPr>
        <w:t>,</w:t>
      </w:r>
      <w:hyperlink r:id="rId2816" w:history="1">
        <w:r w:rsidRPr="00687063">
          <w:rPr>
            <w:rStyle w:val="Lienhypertexte"/>
            <w:vertAlign w:val="superscript"/>
          </w:rPr>
          <w:t>3</w:t>
        </w:r>
      </w:hyperlink>
      <w:r w:rsidRPr="00687063">
        <w:t>. L'</w:t>
      </w:r>
      <w:hyperlink r:id="rId2817" w:history="1">
        <w:r w:rsidRPr="00687063">
          <w:rPr>
            <w:rStyle w:val="Lienhypertexte"/>
          </w:rPr>
          <w:t>Organisation mondiale de la santé</w:t>
        </w:r>
      </w:hyperlink>
      <w:r w:rsidRPr="00687063">
        <w:t> en recommande l'usage en 1986 puis en 2000</w:t>
      </w:r>
      <w:hyperlink r:id="rId2818" w:history="1">
        <w:r w:rsidRPr="00687063">
          <w:rPr>
            <w:rStyle w:val="Lienhypertexte"/>
            <w:vertAlign w:val="superscript"/>
          </w:rPr>
          <w:t>4</w:t>
        </w:r>
      </w:hyperlink>
      <w:r w:rsidRPr="00687063">
        <w:t>. Il comporte aussi une substance qui facilite la digestion et qui protège les dents contre le</w:t>
      </w:r>
      <w:hyperlink r:id="rId2819" w:history="1">
        <w:r w:rsidRPr="00687063">
          <w:rPr>
            <w:rStyle w:val="Lienhypertexte"/>
          </w:rPr>
          <w:t>tartre</w:t>
        </w:r>
      </w:hyperlink>
      <w:hyperlink r:id="rId2820" w:history="1">
        <w:r w:rsidRPr="00687063">
          <w:rPr>
            <w:rStyle w:val="Lienhypertexte"/>
            <w:vertAlign w:val="superscript"/>
          </w:rPr>
          <w:t>1</w:t>
        </w:r>
      </w:hyperlink>
      <w:r w:rsidRPr="00687063">
        <w:rPr>
          <w:vertAlign w:val="superscript"/>
        </w:rPr>
        <w:t>,</w:t>
      </w:r>
      <w:hyperlink r:id="rId2821" w:history="1">
        <w:r w:rsidRPr="00687063">
          <w:rPr>
            <w:rStyle w:val="Lienhypertexte"/>
            <w:vertAlign w:val="superscript"/>
          </w:rPr>
          <w:t>3</w:t>
        </w:r>
      </w:hyperlink>
      <w:r w:rsidRPr="00687063">
        <w:t>. Ses propriétés seraient bénéfiques médicalement parlant, y compris </w:t>
      </w:r>
      <w:hyperlink r:id="rId2822" w:history="1">
        <w:r w:rsidRPr="00687063">
          <w:rPr>
            <w:rStyle w:val="Lienhypertexte"/>
          </w:rPr>
          <w:t>abrasives</w:t>
        </w:r>
      </w:hyperlink>
      <w:r w:rsidRPr="00687063">
        <w:t>, </w:t>
      </w:r>
      <w:hyperlink r:id="rId2823" w:history="1">
        <w:r w:rsidRPr="00687063">
          <w:rPr>
            <w:rStyle w:val="Lienhypertexte"/>
          </w:rPr>
          <w:t>antiseptiques</w:t>
        </w:r>
      </w:hyperlink>
      <w:r w:rsidRPr="00687063">
        <w:t>, </w:t>
      </w:r>
      <w:hyperlink r:id="rId2824" w:history="1">
        <w:r w:rsidRPr="00687063">
          <w:rPr>
            <w:rStyle w:val="Lienhypertexte"/>
          </w:rPr>
          <w:t>astringentes</w:t>
        </w:r>
      </w:hyperlink>
      <w:r w:rsidRPr="00687063">
        <w:t> ,</w:t>
      </w:r>
      <w:hyperlink r:id="rId2825" w:history="1">
        <w:r w:rsidRPr="00687063">
          <w:rPr>
            <w:rStyle w:val="Lienhypertexte"/>
          </w:rPr>
          <w:t>détergentes</w:t>
        </w:r>
      </w:hyperlink>
      <w:r w:rsidRPr="00687063">
        <w:t xml:space="preserve">, </w:t>
      </w:r>
      <w:hyperlink r:id="rId2826" w:history="1">
        <w:r w:rsidRPr="00687063">
          <w:rPr>
            <w:rStyle w:val="Lienhypertexte"/>
          </w:rPr>
          <w:t>inhibitrices d'enzymes</w:t>
        </w:r>
      </w:hyperlink>
      <w:r w:rsidRPr="00687063">
        <w:t xml:space="preserve"> … </w:t>
      </w:r>
    </w:p>
    <w:p w14:paraId="2D0C2329" w14:textId="77777777" w:rsidR="00687063" w:rsidRPr="00687063" w:rsidRDefault="00687063" w:rsidP="00687063">
      <w:pPr>
        <w:spacing w:after="0" w:line="240" w:lineRule="auto"/>
      </w:pPr>
      <w:r w:rsidRPr="00687063">
        <w:t xml:space="preserve">Sources : a) </w:t>
      </w:r>
      <w:hyperlink r:id="rId2827" w:history="1">
        <w:r w:rsidRPr="00687063">
          <w:rPr>
            <w:rStyle w:val="Lienhypertexte"/>
          </w:rPr>
          <w:t>http://fr.wikipedia.org/wiki/Siwak</w:t>
        </w:r>
      </w:hyperlink>
      <w:r w:rsidRPr="00687063">
        <w:t xml:space="preserve">, b) </w:t>
      </w:r>
      <w:hyperlink r:id="rId2828" w:history="1">
        <w:r w:rsidRPr="00687063">
          <w:rPr>
            <w:rStyle w:val="Lienhypertexte"/>
          </w:rPr>
          <w:t>http://en.wikipedia.org/wiki/Salvadora_persica</w:t>
        </w:r>
      </w:hyperlink>
      <w:r w:rsidRPr="00687063">
        <w:t xml:space="preserve">, </w:t>
      </w:r>
    </w:p>
    <w:p w14:paraId="4BDAA35A" w14:textId="77777777" w:rsidR="00687063" w:rsidRDefault="00687063" w:rsidP="00687063">
      <w:pPr>
        <w:spacing w:after="0" w:line="240" w:lineRule="auto"/>
      </w:pPr>
      <w:r w:rsidRPr="00687063">
        <w:t xml:space="preserve">c) </w:t>
      </w:r>
      <w:hyperlink r:id="rId2829" w:history="1">
        <w:r w:rsidRPr="00687063">
          <w:rPr>
            <w:rStyle w:val="Lienhypertexte"/>
          </w:rPr>
          <w:t>http://www.worldagroforestry.org/treedb/AFTPDFS/Salvadora_persica.pdf</w:t>
        </w:r>
      </w:hyperlink>
      <w:r w:rsidRPr="00687063">
        <w:t xml:space="preserve">, </w:t>
      </w:r>
    </w:p>
    <w:p w14:paraId="45ADA998" w14:textId="4DE10070" w:rsidR="00687063" w:rsidRPr="00687063" w:rsidRDefault="00687063" w:rsidP="00687063">
      <w:pPr>
        <w:spacing w:after="0" w:line="240" w:lineRule="auto"/>
      </w:pPr>
      <w:r w:rsidRPr="00687063">
        <w:t xml:space="preserve">d) </w:t>
      </w:r>
      <w:hyperlink r:id="rId2830" w:history="1">
        <w:r w:rsidRPr="00687063">
          <w:rPr>
            <w:rStyle w:val="Lienhypertexte"/>
          </w:rPr>
          <w:t>http://en.wikipedia.org/wiki/Miswak</w:t>
        </w:r>
      </w:hyperlink>
      <w:r w:rsidRPr="00687063">
        <w:t xml:space="preserve"> </w:t>
      </w:r>
    </w:p>
    <w:p w14:paraId="497E193E" w14:textId="5DA3E470" w:rsidR="009D282F" w:rsidRDefault="009D282F" w:rsidP="004F05A8">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4F05A8" w14:paraId="00DBD46C" w14:textId="77777777" w:rsidTr="004F05A8">
        <w:tc>
          <w:tcPr>
            <w:tcW w:w="3472" w:type="dxa"/>
          </w:tcPr>
          <w:p w14:paraId="205D893B" w14:textId="040A978F" w:rsidR="004F05A8" w:rsidRDefault="004F05A8" w:rsidP="004F05A8">
            <w:pPr>
              <w:jc w:val="center"/>
            </w:pPr>
            <w:r w:rsidRPr="004F05A8">
              <w:rPr>
                <w:noProof/>
              </w:rPr>
              <w:drawing>
                <wp:inline distT="0" distB="0" distL="0" distR="0" wp14:anchorId="25650498" wp14:editId="2F6E052D">
                  <wp:extent cx="1552575" cy="1257300"/>
                  <wp:effectExtent l="0" t="0" r="9525" b="0"/>
                  <wp:docPr id="93199"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pic:cNvPicPr>
                            <a:picLocks noChangeAspect="1"/>
                          </pic:cNvPicPr>
                        </pic:nvPicPr>
                        <pic:blipFill>
                          <a:blip r:embed="rId2831">
                            <a:extLst>
                              <a:ext uri="{28A0092B-C50C-407E-A947-70E740481C1C}">
                                <a14:useLocalDpi xmlns:a14="http://schemas.microsoft.com/office/drawing/2010/main" val="0"/>
                              </a:ext>
                            </a:extLst>
                          </a:blip>
                          <a:stretch>
                            <a:fillRect/>
                          </a:stretch>
                        </pic:blipFill>
                        <pic:spPr>
                          <a:xfrm>
                            <a:off x="0" y="0"/>
                            <a:ext cx="1552575" cy="1257300"/>
                          </a:xfrm>
                          <a:prstGeom prst="rect">
                            <a:avLst/>
                          </a:prstGeom>
                        </pic:spPr>
                      </pic:pic>
                    </a:graphicData>
                  </a:graphic>
                </wp:inline>
              </w:drawing>
            </w:r>
          </w:p>
        </w:tc>
        <w:tc>
          <w:tcPr>
            <w:tcW w:w="3472" w:type="dxa"/>
          </w:tcPr>
          <w:p w14:paraId="2B8C614B" w14:textId="77777777" w:rsidR="004F05A8" w:rsidRDefault="004F05A8" w:rsidP="004F05A8">
            <w:pPr>
              <w:jc w:val="center"/>
            </w:pPr>
            <w:r w:rsidRPr="004F05A8">
              <w:rPr>
                <w:noProof/>
              </w:rPr>
              <w:drawing>
                <wp:inline distT="0" distB="0" distL="0" distR="0" wp14:anchorId="55ABF900" wp14:editId="417C5AD4">
                  <wp:extent cx="1523119" cy="1142339"/>
                  <wp:effectExtent l="0" t="0" r="1270" b="1270"/>
                  <wp:docPr id="9320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2832">
                            <a:extLst>
                              <a:ext uri="{28A0092B-C50C-407E-A947-70E740481C1C}">
                                <a14:useLocalDpi xmlns:a14="http://schemas.microsoft.com/office/drawing/2010/main" val="0"/>
                              </a:ext>
                            </a:extLst>
                          </a:blip>
                          <a:stretch>
                            <a:fillRect/>
                          </a:stretch>
                        </pic:blipFill>
                        <pic:spPr>
                          <a:xfrm>
                            <a:off x="0" y="0"/>
                            <a:ext cx="1523119" cy="1142339"/>
                          </a:xfrm>
                          <a:prstGeom prst="rect">
                            <a:avLst/>
                          </a:prstGeom>
                        </pic:spPr>
                      </pic:pic>
                    </a:graphicData>
                  </a:graphic>
                </wp:inline>
              </w:drawing>
            </w:r>
          </w:p>
          <w:p w14:paraId="3F665FF2" w14:textId="6BF632A6" w:rsidR="004F05A8" w:rsidRDefault="004F05A8" w:rsidP="004F05A8">
            <w:pPr>
              <w:jc w:val="center"/>
            </w:pPr>
            <w:r w:rsidRPr="004F05A8">
              <w:t>Racine de l'arbuste</w:t>
            </w:r>
          </w:p>
        </w:tc>
        <w:tc>
          <w:tcPr>
            <w:tcW w:w="3472" w:type="dxa"/>
          </w:tcPr>
          <w:p w14:paraId="557B93A4" w14:textId="3D3B6214" w:rsidR="004F05A8" w:rsidRDefault="004F05A8" w:rsidP="004F05A8">
            <w:pPr>
              <w:jc w:val="center"/>
            </w:pPr>
            <w:r w:rsidRPr="004F05A8">
              <w:rPr>
                <w:noProof/>
              </w:rPr>
              <w:drawing>
                <wp:inline distT="0" distB="0" distL="0" distR="0" wp14:anchorId="2A2E659F" wp14:editId="50FD3BC2">
                  <wp:extent cx="1779019" cy="1339416"/>
                  <wp:effectExtent l="0" t="0" r="0" b="0"/>
                  <wp:docPr id="93201"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pic:cNvPicPr>
                            <a:picLocks noChangeAspect="1"/>
                          </pic:cNvPicPr>
                        </pic:nvPicPr>
                        <pic:blipFill>
                          <a:blip r:embed="rId2833">
                            <a:extLst>
                              <a:ext uri="{28A0092B-C50C-407E-A947-70E740481C1C}">
                                <a14:useLocalDpi xmlns:a14="http://schemas.microsoft.com/office/drawing/2010/main" val="0"/>
                              </a:ext>
                            </a:extLst>
                          </a:blip>
                          <a:stretch>
                            <a:fillRect/>
                          </a:stretch>
                        </pic:blipFill>
                        <pic:spPr>
                          <a:xfrm>
                            <a:off x="0" y="0"/>
                            <a:ext cx="1779019" cy="1339416"/>
                          </a:xfrm>
                          <a:prstGeom prst="rect">
                            <a:avLst/>
                          </a:prstGeom>
                        </pic:spPr>
                      </pic:pic>
                    </a:graphicData>
                  </a:graphic>
                </wp:inline>
              </w:drawing>
            </w:r>
          </w:p>
        </w:tc>
      </w:tr>
      <w:tr w:rsidR="004F05A8" w14:paraId="12DD032B" w14:textId="77777777" w:rsidTr="004F05A8">
        <w:tc>
          <w:tcPr>
            <w:tcW w:w="3472" w:type="dxa"/>
          </w:tcPr>
          <w:p w14:paraId="0C70DE8C" w14:textId="7BB09D9D" w:rsidR="004F05A8" w:rsidRDefault="004F05A8" w:rsidP="004F05A8">
            <w:pPr>
              <w:jc w:val="center"/>
            </w:pPr>
            <w:r w:rsidRPr="004F05A8">
              <w:rPr>
                <w:noProof/>
              </w:rPr>
              <w:drawing>
                <wp:inline distT="0" distB="0" distL="0" distR="0" wp14:anchorId="419B79FC" wp14:editId="04A38C65">
                  <wp:extent cx="1908523" cy="1442488"/>
                  <wp:effectExtent l="0" t="0" r="0" b="5715"/>
                  <wp:docPr id="93202"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pic:cNvPicPr>
                            <a:picLocks noChangeAspect="1"/>
                          </pic:cNvPicPr>
                        </pic:nvPicPr>
                        <pic:blipFill>
                          <a:blip r:embed="rId2834">
                            <a:extLst>
                              <a:ext uri="{28A0092B-C50C-407E-A947-70E740481C1C}">
                                <a14:useLocalDpi xmlns:a14="http://schemas.microsoft.com/office/drawing/2010/main" val="0"/>
                              </a:ext>
                            </a:extLst>
                          </a:blip>
                          <a:stretch>
                            <a:fillRect/>
                          </a:stretch>
                        </pic:blipFill>
                        <pic:spPr>
                          <a:xfrm>
                            <a:off x="0" y="0"/>
                            <a:ext cx="1908523" cy="1442488"/>
                          </a:xfrm>
                          <a:prstGeom prst="rect">
                            <a:avLst/>
                          </a:prstGeom>
                        </pic:spPr>
                      </pic:pic>
                    </a:graphicData>
                  </a:graphic>
                </wp:inline>
              </w:drawing>
            </w:r>
          </w:p>
        </w:tc>
        <w:tc>
          <w:tcPr>
            <w:tcW w:w="3472" w:type="dxa"/>
          </w:tcPr>
          <w:p w14:paraId="611653E3" w14:textId="4536A5C4" w:rsidR="004F05A8" w:rsidRDefault="004F05A8" w:rsidP="004F05A8">
            <w:pPr>
              <w:jc w:val="center"/>
            </w:pPr>
            <w:r w:rsidRPr="004F05A8">
              <w:rPr>
                <w:noProof/>
              </w:rPr>
              <w:drawing>
                <wp:inline distT="0" distB="0" distL="0" distR="0" wp14:anchorId="5C82320F" wp14:editId="09C74BD5">
                  <wp:extent cx="1950722" cy="1442488"/>
                  <wp:effectExtent l="0" t="0" r="0" b="5715"/>
                  <wp:docPr id="93203"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pic:cNvPicPr>
                            <a:picLocks noChangeAspect="1"/>
                          </pic:cNvPicPr>
                        </pic:nvPicPr>
                        <pic:blipFill>
                          <a:blip r:embed="rId2835">
                            <a:extLst>
                              <a:ext uri="{28A0092B-C50C-407E-A947-70E740481C1C}">
                                <a14:useLocalDpi xmlns:a14="http://schemas.microsoft.com/office/drawing/2010/main" val="0"/>
                              </a:ext>
                            </a:extLst>
                          </a:blip>
                          <a:stretch>
                            <a:fillRect/>
                          </a:stretch>
                        </pic:blipFill>
                        <pic:spPr>
                          <a:xfrm>
                            <a:off x="0" y="0"/>
                            <a:ext cx="1950722" cy="1442488"/>
                          </a:xfrm>
                          <a:prstGeom prst="rect">
                            <a:avLst/>
                          </a:prstGeom>
                        </pic:spPr>
                      </pic:pic>
                    </a:graphicData>
                  </a:graphic>
                </wp:inline>
              </w:drawing>
            </w:r>
          </w:p>
        </w:tc>
        <w:tc>
          <w:tcPr>
            <w:tcW w:w="3472" w:type="dxa"/>
          </w:tcPr>
          <w:p w14:paraId="309D0531" w14:textId="77777777" w:rsidR="004F05A8" w:rsidRDefault="004F05A8" w:rsidP="004F05A8">
            <w:pPr>
              <w:jc w:val="center"/>
            </w:pPr>
          </w:p>
        </w:tc>
      </w:tr>
    </w:tbl>
    <w:p w14:paraId="737F7D58" w14:textId="603D1C5B" w:rsidR="004F05A8" w:rsidRDefault="004F05A8" w:rsidP="004F05A8">
      <w:pPr>
        <w:spacing w:after="0" w:line="240" w:lineRule="auto"/>
        <w:jc w:val="center"/>
      </w:pPr>
    </w:p>
    <w:p w14:paraId="2375BC62" w14:textId="78060C90" w:rsidR="002B7DCD" w:rsidRDefault="002B7DCD" w:rsidP="00A95DE0">
      <w:pPr>
        <w:pStyle w:val="Titre2"/>
      </w:pPr>
      <w:bookmarkStart w:id="222" w:name="_Toc139181513"/>
      <w:r w:rsidRPr="002B7DCD">
        <w:t>Arbre à myrrhe ou balsamier (</w:t>
      </w:r>
      <w:r w:rsidRPr="002B7DCD">
        <w:rPr>
          <w:i/>
          <w:iCs/>
        </w:rPr>
        <w:t>Commiphora myrrha</w:t>
      </w:r>
      <w:r w:rsidRPr="002B7DCD">
        <w:t>)</w:t>
      </w:r>
      <w:bookmarkEnd w:id="222"/>
    </w:p>
    <w:p w14:paraId="1B1CFB88" w14:textId="5DD51CC7" w:rsidR="002B7DCD" w:rsidRDefault="002B7DCD" w:rsidP="002B7DCD">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7"/>
        <w:gridCol w:w="2191"/>
        <w:gridCol w:w="1101"/>
        <w:gridCol w:w="965"/>
        <w:gridCol w:w="1362"/>
      </w:tblGrid>
      <w:tr w:rsidR="005E5060" w:rsidRPr="000B6BE3" w14:paraId="7EFF848F" w14:textId="77777777" w:rsidTr="00B47C62">
        <w:tc>
          <w:tcPr>
            <w:tcW w:w="4957" w:type="dxa"/>
          </w:tcPr>
          <w:p w14:paraId="355B7F0D" w14:textId="67D0EEE1" w:rsidR="005E5060" w:rsidRPr="000B6BE3" w:rsidRDefault="005E5060" w:rsidP="00B47C62">
            <w:pPr>
              <w:rPr>
                <w:rFonts w:cstheme="minorHAnsi"/>
                <w:bCs/>
              </w:rPr>
            </w:pPr>
            <w:r w:rsidRPr="000B6BE3">
              <w:rPr>
                <w:rFonts w:cstheme="minorHAnsi"/>
                <w:bCs/>
              </w:rPr>
              <w:t>(</w:t>
            </w:r>
            <w:hyperlink r:id="rId2836" w:history="1">
              <w:r w:rsidRPr="000B6BE3">
                <w:rPr>
                  <w:rFonts w:cstheme="minorHAnsi"/>
                </w:rPr>
                <w:t>F</w:t>
              </w:r>
              <w:r w:rsidRPr="000B6BE3">
                <w:rPr>
                  <w:rStyle w:val="Lienhypertexte"/>
                  <w:rFonts w:cstheme="minorHAnsi"/>
                  <w:color w:val="0B0080"/>
                  <w:shd w:val="clear" w:color="auto" w:fill="FFFFFF"/>
                </w:rPr>
                <w:t>amille</w:t>
              </w:r>
            </w:hyperlink>
            <w:r w:rsidRPr="000B6BE3">
              <w:rPr>
                <w:rFonts w:cstheme="minorHAnsi"/>
                <w:color w:val="222222"/>
                <w:shd w:val="clear" w:color="auto" w:fill="FFFFFF"/>
              </w:rPr>
              <w:t> </w:t>
            </w:r>
            <w:r w:rsidRPr="00FC05CB">
              <w:rPr>
                <w:rFonts w:cstheme="minorHAnsi"/>
                <w:color w:val="000000" w:themeColor="text1"/>
                <w:shd w:val="clear" w:color="auto" w:fill="FFFFFF"/>
              </w:rPr>
              <w:t>des </w:t>
            </w:r>
            <w:hyperlink r:id="rId2837" w:history="1">
              <w:r w:rsidRPr="002B7DCD">
                <w:rPr>
                  <w:rStyle w:val="Lienhypertexte"/>
                  <w:i/>
                  <w:iCs/>
                </w:rPr>
                <w:t>Burseraceae</w:t>
              </w:r>
            </w:hyperlink>
            <w:r w:rsidRPr="00FC05CB">
              <w:rPr>
                <w:rFonts w:cstheme="minorHAnsi"/>
                <w:bCs/>
                <w:color w:val="000000" w:themeColor="text1"/>
              </w:rPr>
              <w:t>).</w:t>
            </w:r>
          </w:p>
          <w:p w14:paraId="1225DD0F" w14:textId="77777777" w:rsidR="005E5060" w:rsidRPr="000B6BE3" w:rsidRDefault="005E5060" w:rsidP="00B47C62">
            <w:pPr>
              <w:rPr>
                <w:rFonts w:cstheme="minorHAnsi"/>
                <w:bCs/>
              </w:rPr>
            </w:pPr>
          </w:p>
          <w:p w14:paraId="519E38ED" w14:textId="77777777" w:rsidR="005E5060" w:rsidRPr="000B6BE3" w:rsidRDefault="005E5060" w:rsidP="00B47C62">
            <w:pPr>
              <w:rPr>
                <w:rFonts w:cstheme="minorHAnsi"/>
              </w:rPr>
            </w:pPr>
          </w:p>
        </w:tc>
        <w:tc>
          <w:tcPr>
            <w:tcW w:w="2268" w:type="dxa"/>
          </w:tcPr>
          <w:p w14:paraId="3DFAC9F1" w14:textId="15F03CF9" w:rsidR="005E5060" w:rsidRPr="000B6BE3" w:rsidRDefault="005E5060" w:rsidP="00B47C62">
            <w:pPr>
              <w:rPr>
                <w:rFonts w:cstheme="minorHAnsi"/>
              </w:rPr>
            </w:pPr>
            <w:r>
              <w:rPr>
                <w:rFonts w:cstheme="minorHAnsi"/>
              </w:rPr>
              <w:t xml:space="preserve"> </w:t>
            </w:r>
            <w:r w:rsidRPr="00125C62">
              <w:rPr>
                <w:rFonts w:cstheme="minorHAnsi"/>
                <w:noProof/>
              </w:rPr>
              <w:drawing>
                <wp:inline distT="0" distB="0" distL="0" distR="0" wp14:anchorId="3C3E4EA8" wp14:editId="3D5C5288">
                  <wp:extent cx="495300" cy="666750"/>
                  <wp:effectExtent l="0" t="0" r="0" b="0"/>
                  <wp:docPr id="93207" name="Image 11"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11" descr="logo aride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rPr>
              <w:t> </w:t>
            </w:r>
          </w:p>
        </w:tc>
        <w:tc>
          <w:tcPr>
            <w:tcW w:w="1134" w:type="dxa"/>
          </w:tcPr>
          <w:p w14:paraId="0F9DEF6E" w14:textId="55692D57" w:rsidR="005E5060" w:rsidRPr="00B000E9" w:rsidRDefault="005E5060" w:rsidP="00B47C62">
            <w:pPr>
              <w:textAlignment w:val="baseline"/>
              <w:rPr>
                <w:rFonts w:ascii="Times New Roman" w:eastAsia="Times New Roman" w:hAnsi="Times New Roman" w:cs="Times New Roman"/>
                <w:sz w:val="36"/>
                <w:szCs w:val="36"/>
                <w:lang w:eastAsia="fr-FR"/>
              </w:rPr>
            </w:pPr>
            <w:r w:rsidRPr="00B000E9">
              <w:rPr>
                <w:rFonts w:ascii="Arial" w:eastAsia="+mn-ea" w:hAnsi="Arial" w:cs="Arial"/>
                <w:b/>
                <w:bCs/>
                <w:color w:val="008000"/>
                <w:kern w:val="24"/>
                <w:sz w:val="36"/>
                <w:szCs w:val="36"/>
                <w:lang w:eastAsia="fr-FR"/>
              </w:rPr>
              <w:t>$</w:t>
            </w:r>
            <w:r>
              <w:rPr>
                <w:rFonts w:ascii="Arial" w:eastAsia="+mn-ea" w:hAnsi="Arial" w:cs="Arial"/>
                <w:b/>
                <w:bCs/>
                <w:color w:val="008000"/>
                <w:kern w:val="24"/>
                <w:sz w:val="36"/>
                <w:szCs w:val="36"/>
                <w:lang w:eastAsia="fr-FR"/>
              </w:rPr>
              <w:t>$</w:t>
            </w:r>
          </w:p>
        </w:tc>
        <w:tc>
          <w:tcPr>
            <w:tcW w:w="992" w:type="dxa"/>
          </w:tcPr>
          <w:p w14:paraId="38F70728" w14:textId="77777777" w:rsidR="005E5060" w:rsidRDefault="005E5060" w:rsidP="00B47C62">
            <w:pPr>
              <w:pStyle w:val="NormalWeb"/>
              <w:spacing w:before="0" w:beforeAutospacing="0" w:after="0" w:afterAutospacing="0"/>
              <w:textAlignment w:val="baseline"/>
            </w:pPr>
            <w:r>
              <w:rPr>
                <w:rFonts w:ascii="Arial" w:eastAsia="+mn-ea" w:hAnsi="Arial" w:cs="Arial"/>
                <w:b/>
                <w:bCs/>
                <w:color w:val="008000"/>
                <w:kern w:val="24"/>
                <w:sz w:val="48"/>
                <w:szCs w:val="48"/>
              </w:rPr>
              <w:t>U</w:t>
            </w:r>
          </w:p>
          <w:p w14:paraId="77DA6C35" w14:textId="77777777" w:rsidR="005E5060" w:rsidRPr="000B6BE3" w:rsidRDefault="005E5060" w:rsidP="00B47C62">
            <w:pPr>
              <w:rPr>
                <w:rFonts w:cstheme="minorHAnsi"/>
              </w:rPr>
            </w:pPr>
          </w:p>
        </w:tc>
        <w:tc>
          <w:tcPr>
            <w:tcW w:w="1439" w:type="dxa"/>
          </w:tcPr>
          <w:p w14:paraId="117635ED" w14:textId="77777777" w:rsidR="005E5060" w:rsidRPr="000B6BE3" w:rsidRDefault="005E5060" w:rsidP="00B47C62">
            <w:pPr>
              <w:rPr>
                <w:rFonts w:cstheme="minorHAnsi"/>
              </w:rPr>
            </w:pPr>
          </w:p>
        </w:tc>
      </w:tr>
    </w:tbl>
    <w:p w14:paraId="53BDD9DB" w14:textId="77777777" w:rsidR="005E5060" w:rsidRDefault="005E5060" w:rsidP="002B7DCD">
      <w:pPr>
        <w:spacing w:after="0" w:line="240" w:lineRule="auto"/>
      </w:pPr>
    </w:p>
    <w:p w14:paraId="7034AFC3" w14:textId="2E0265D7" w:rsidR="002B7DCD" w:rsidRDefault="002B7DCD" w:rsidP="002B7DCD">
      <w:pPr>
        <w:spacing w:after="0" w:line="240" w:lineRule="auto"/>
        <w:jc w:val="both"/>
      </w:pPr>
      <w:r w:rsidRPr="002B7DCD">
        <w:t>L'</w:t>
      </w:r>
      <w:r w:rsidRPr="002B7DCD">
        <w:rPr>
          <w:b/>
          <w:bCs/>
        </w:rPr>
        <w:t>arbre à myrrhe</w:t>
      </w:r>
      <w:r w:rsidRPr="002B7DCD">
        <w:t> ou </w:t>
      </w:r>
      <w:r w:rsidRPr="002B7DCD">
        <w:rPr>
          <w:b/>
          <w:bCs/>
        </w:rPr>
        <w:t>balsamier</w:t>
      </w:r>
      <w:r w:rsidRPr="002B7DCD">
        <w:t xml:space="preserve"> est un arbuste ou petit arbre d’environ 3 m de haut, aux petites feuilles ovales caduques, originaire de l'</w:t>
      </w:r>
      <w:hyperlink r:id="rId2838" w:history="1">
        <w:r w:rsidRPr="002B7DCD">
          <w:rPr>
            <w:rStyle w:val="Lienhypertexte"/>
          </w:rPr>
          <w:t>Afrique de l'Est</w:t>
        </w:r>
      </w:hyperlink>
      <w:r w:rsidRPr="002B7DCD">
        <w:t xml:space="preserve"> et de la </w:t>
      </w:r>
      <w:hyperlink r:id="rId2839" w:history="1">
        <w:r w:rsidRPr="002B7DCD">
          <w:rPr>
            <w:rStyle w:val="Lienhypertexte"/>
          </w:rPr>
          <w:t>péninsule Arabique</w:t>
        </w:r>
      </w:hyperlink>
      <w:r w:rsidRPr="002B7DCD">
        <w:t xml:space="preserve">, notamment de Somalie. </w:t>
      </w:r>
    </w:p>
    <w:p w14:paraId="00006D03" w14:textId="38B9072E" w:rsidR="002B7DCD" w:rsidRDefault="002B7DCD" w:rsidP="002B7DCD">
      <w:pPr>
        <w:spacing w:after="0" w:line="240" w:lineRule="auto"/>
        <w:jc w:val="both"/>
      </w:pPr>
      <w:r w:rsidRPr="002B7DCD">
        <w:t>Il est aujourd’hui présent dans les régions sèches du nord-est de l'Afrique (Djibouti, Éthiopie, Soudan, Somalie, Kenya) et de la péninsule Arabique (Yémen et Oman), en Ethiopie, en Arabie Saoudite, en Inde, en Iran et en Thaïlande.</w:t>
      </w:r>
    </w:p>
    <w:p w14:paraId="2D552EE1" w14:textId="2BC6A0C2" w:rsidR="00731090" w:rsidRDefault="00731090" w:rsidP="002B7DCD">
      <w:pPr>
        <w:spacing w:after="0" w:line="240" w:lineRule="auto"/>
        <w:jc w:val="both"/>
      </w:pPr>
      <w:r w:rsidRPr="00731090">
        <w:t xml:space="preserve">Altitude : 250-1300 m. Précipitations annuelles moyennes : 230-300 mm. La plante se reproduit dans les régions arides, où l’on trouve normalement </w:t>
      </w:r>
      <w:r w:rsidRPr="00731090">
        <w:rPr>
          <w:i/>
          <w:iCs/>
        </w:rPr>
        <w:t xml:space="preserve">l’Acacia </w:t>
      </w:r>
      <w:r>
        <w:rPr>
          <w:i/>
          <w:iCs/>
        </w:rPr>
        <w:t>senegal</w:t>
      </w:r>
      <w:r w:rsidRPr="00731090">
        <w:rPr>
          <w:i/>
          <w:iCs/>
        </w:rPr>
        <w:t>.</w:t>
      </w:r>
      <w:r w:rsidRPr="00731090">
        <w:t xml:space="preserve"> Les buissons de </w:t>
      </w:r>
      <w:r w:rsidRPr="00731090">
        <w:rPr>
          <w:i/>
          <w:iCs/>
        </w:rPr>
        <w:t>Commiphora</w:t>
      </w:r>
      <w:r w:rsidRPr="00731090">
        <w:t xml:space="preserve"> sont dans les pentes et les vallées sur des sols peu profonds, principalement calcaires.</w:t>
      </w:r>
    </w:p>
    <w:p w14:paraId="3D39DC92" w14:textId="6FCFB184" w:rsidR="002B7DCD" w:rsidRPr="002B7DCD" w:rsidRDefault="002B7DCD" w:rsidP="002B7DCD">
      <w:pPr>
        <w:spacing w:after="0" w:line="240" w:lineRule="auto"/>
        <w:jc w:val="both"/>
      </w:pPr>
      <w:r w:rsidRPr="002B7DCD">
        <w:t>À la fin de l'été, l'arbuste se couvre de </w:t>
      </w:r>
      <w:hyperlink r:id="rId2840" w:history="1">
        <w:r w:rsidRPr="002B7DCD">
          <w:rPr>
            <w:rStyle w:val="Lienhypertexte"/>
            <w:i/>
            <w:iCs/>
          </w:rPr>
          <w:t>fleurs</w:t>
        </w:r>
      </w:hyperlink>
      <w:r w:rsidRPr="002B7DCD">
        <w:rPr>
          <w:i/>
          <w:iCs/>
        </w:rPr>
        <w:t> rouge-orangé</w:t>
      </w:r>
      <w:r w:rsidRPr="002B7DCD">
        <w:t>, tandis que son tronc se boursoufle de nœuds. C'est de ces boursouflures que s'écoule la </w:t>
      </w:r>
      <w:hyperlink r:id="rId2841" w:history="1">
        <w:r w:rsidRPr="002B7DCD">
          <w:rPr>
            <w:rStyle w:val="Lienhypertexte"/>
          </w:rPr>
          <w:t>myrrhe</w:t>
        </w:r>
      </w:hyperlink>
      <w:r w:rsidRPr="002B7DCD">
        <w:t>, en petites larmes jaunes que l'on recueille une fois qu'elles ont séché.</w:t>
      </w:r>
    </w:p>
    <w:p w14:paraId="5CB40D38" w14:textId="0BADF014" w:rsidR="002B7DCD" w:rsidRDefault="002B7DCD" w:rsidP="002B7DCD">
      <w:pPr>
        <w:spacing w:after="0" w:line="240" w:lineRule="auto"/>
        <w:jc w:val="both"/>
      </w:pPr>
      <w:r>
        <w:lastRenderedPageBreak/>
        <w:t xml:space="preserve">Cet arbre a un usage médicinal et aromatique. </w:t>
      </w:r>
      <w:r w:rsidRPr="002B7DCD">
        <w:t>La résine jaune, épaisse, à l’odeur typique du </w:t>
      </w:r>
      <w:r w:rsidRPr="002B7DCD">
        <w:rPr>
          <w:i/>
          <w:iCs/>
        </w:rPr>
        <w:t>Commiphora myrrha</w:t>
      </w:r>
      <w:r w:rsidRPr="002B7DCD">
        <w:t>, la </w:t>
      </w:r>
      <w:hyperlink r:id="rId2842" w:history="1">
        <w:r w:rsidRPr="002B7DCD">
          <w:rPr>
            <w:rStyle w:val="Lienhypertexte"/>
          </w:rPr>
          <w:t>myrrhe</w:t>
        </w:r>
      </w:hyperlink>
      <w:r w:rsidRPr="002B7DCD">
        <w:t>, sève d'arbre séchée, est récoltée commercialement.  Cette résine, au contact de la chaleur et de la lumière synthétise une huile essentielle riche en furanosesquiterpènes et en engénol.</w:t>
      </w:r>
    </w:p>
    <w:p w14:paraId="1529A25C" w14:textId="05AE01A8" w:rsidR="002B7DCD" w:rsidRPr="002B7DCD" w:rsidRDefault="002B7DCD" w:rsidP="002B7DCD">
      <w:pPr>
        <w:spacing w:after="0" w:line="240" w:lineRule="auto"/>
        <w:jc w:val="both"/>
      </w:pPr>
      <w:r w:rsidRPr="002B7DCD">
        <w:t>Les infusions de ses feuilles serviraient aux bains de bouches. On en ferait une crème anti acn</w:t>
      </w:r>
      <w:r>
        <w:t>éique</w:t>
      </w:r>
      <w:r w:rsidRPr="002B7DCD">
        <w:t xml:space="preserve">. Les Chinois feraient bouillir les feuilles de l’arbre à myrrhe pour produire des arômes parfumés lors de rituels de purification. Dans l’Antiquité, il servait à produire un parfum réputé, le </w:t>
      </w:r>
      <w:r w:rsidRPr="002B7DCD">
        <w:rPr>
          <w:i/>
          <w:iCs/>
        </w:rPr>
        <w:t>Balsama</w:t>
      </w:r>
      <w:r w:rsidRPr="002B7DCD">
        <w:t>, dont la recette a été perdue.</w:t>
      </w:r>
    </w:p>
    <w:p w14:paraId="52D5C2DD" w14:textId="450258EE" w:rsidR="002B7DCD" w:rsidRPr="002B7DCD" w:rsidRDefault="002B7DCD" w:rsidP="002B7DCD">
      <w:pPr>
        <w:spacing w:after="0" w:line="240" w:lineRule="auto"/>
        <w:jc w:val="both"/>
      </w:pPr>
      <w:r w:rsidRPr="002B7DCD">
        <w:t xml:space="preserve">L’huile essentielle de myrrhe serait immunostimulante, anti-inflammatoire, anti-infectieuse &amp; antiparasitaire. </w:t>
      </w:r>
      <w:r w:rsidRPr="002B7DCD">
        <w:rPr>
          <w:u w:val="single"/>
        </w:rPr>
        <w:t xml:space="preserve">Composition de la myrrhe </w:t>
      </w:r>
      <w:r w:rsidRPr="002B7DCD">
        <w:t xml:space="preserve">: Gomme (30 à 60 %), Polysaccharides, Résine (25 à 40 %), Huile essentielle (3 à 8 %). </w:t>
      </w:r>
      <w:r w:rsidRPr="002B7DCD">
        <w:rPr>
          <w:u w:val="single"/>
        </w:rPr>
        <w:t>Composition de cette huile</w:t>
      </w:r>
      <w:r w:rsidRPr="002B7DCD">
        <w:t xml:space="preserve"> : a) 90% sesquiterpènes dont 71% furanique (ayant une action plus puissante que la morphine), 4.5% Cétones, 3.5% hydrocarbures, 2% Aldéhydes, b) </w:t>
      </w:r>
      <w:hyperlink r:id="rId2843" w:history="1">
        <w:r w:rsidRPr="002B7DCD">
          <w:rPr>
            <w:rStyle w:val="Lienhypertexte"/>
          </w:rPr>
          <w:t>heerabolène</w:t>
        </w:r>
      </w:hyperlink>
      <w:r w:rsidRPr="002B7DCD">
        <w:t>, </w:t>
      </w:r>
      <w:hyperlink r:id="rId2844" w:history="1">
        <w:r w:rsidRPr="002B7DCD">
          <w:rPr>
            <w:rStyle w:val="Lienhypertexte"/>
          </w:rPr>
          <w:t>eugénol</w:t>
        </w:r>
      </w:hyperlink>
      <w:r w:rsidRPr="002B7DCD">
        <w:t>, divers furanosesquiterpènes.</w:t>
      </w:r>
    </w:p>
    <w:p w14:paraId="71DB9987" w14:textId="77777777" w:rsidR="00731090" w:rsidRPr="005E5060" w:rsidRDefault="00731090" w:rsidP="00731090">
      <w:pPr>
        <w:spacing w:after="0" w:line="240" w:lineRule="auto"/>
        <w:jc w:val="both"/>
        <w:rPr>
          <w:sz w:val="20"/>
          <w:szCs w:val="20"/>
        </w:rPr>
      </w:pPr>
      <w:r w:rsidRPr="005E5060">
        <w:rPr>
          <w:sz w:val="20"/>
          <w:szCs w:val="20"/>
          <w:u w:val="single"/>
        </w:rPr>
        <w:t>Note</w:t>
      </w:r>
      <w:r w:rsidRPr="005E5060">
        <w:rPr>
          <w:sz w:val="20"/>
          <w:szCs w:val="20"/>
        </w:rPr>
        <w:t xml:space="preserve"> : La ville juive indigène de </w:t>
      </w:r>
      <w:r w:rsidRPr="005E5060">
        <w:rPr>
          <w:i/>
          <w:iCs/>
          <w:sz w:val="20"/>
          <w:szCs w:val="20"/>
        </w:rPr>
        <w:t xml:space="preserve">Ein Gedi </w:t>
      </w:r>
      <w:r w:rsidRPr="005E5060">
        <w:rPr>
          <w:sz w:val="20"/>
          <w:szCs w:val="20"/>
        </w:rPr>
        <w:t xml:space="preserve">était une importante source de baume et de parfum, le </w:t>
      </w:r>
      <w:r w:rsidRPr="005E5060">
        <w:rPr>
          <w:i/>
          <w:iCs/>
          <w:sz w:val="20"/>
          <w:szCs w:val="20"/>
        </w:rPr>
        <w:t>balsama</w:t>
      </w:r>
      <w:r w:rsidRPr="005E5060">
        <w:rPr>
          <w:sz w:val="20"/>
          <w:szCs w:val="20"/>
        </w:rPr>
        <w:t xml:space="preserve">, pour le monde gréco-romain, jusqu'à sa destruction par l'empereur byzantin Justinien, dans le cadre de sa persécution des Juifs dans son royaume. Les méthodes d'extraction et de préparation de cette résine balsamique très prisée ont été perdues. En 2003, le Dr Michael Avishai a rapporté les graines de l’arbre de l'Angleterre, et les jeunes arbres plantés, au Kibboutz de Ein Gedi (Israël) ont germé à partir de ces graines. Avec l'aide du personnel du jardin botanique d'Ein Gedi, la plante est cultivée dans l'espoir de produire le parfum légendaire. Synonyme : </w:t>
      </w:r>
      <w:r w:rsidRPr="005E5060">
        <w:rPr>
          <w:i/>
          <w:iCs/>
          <w:sz w:val="20"/>
          <w:szCs w:val="20"/>
        </w:rPr>
        <w:t>Commiphora Molmol</w:t>
      </w:r>
      <w:r w:rsidRPr="005E5060">
        <w:rPr>
          <w:sz w:val="20"/>
          <w:szCs w:val="20"/>
        </w:rPr>
        <w:t>.</w:t>
      </w:r>
    </w:p>
    <w:p w14:paraId="6DA1727F" w14:textId="01E2B8E3" w:rsidR="002B7DCD" w:rsidRPr="002B7DCD" w:rsidRDefault="002B7DCD" w:rsidP="00731090">
      <w:pPr>
        <w:spacing w:after="0" w:line="240" w:lineRule="auto"/>
        <w:jc w:val="both"/>
      </w:pPr>
      <w:r w:rsidRPr="002B7DCD">
        <w:t xml:space="preserve">Sources : a) </w:t>
      </w:r>
      <w:hyperlink r:id="rId2845" w:history="1">
        <w:r w:rsidRPr="002B7DCD">
          <w:rPr>
            <w:rStyle w:val="Lienhypertexte"/>
          </w:rPr>
          <w:t>http://www.sante-globale.fr/plantes-2/commiphora-myrrha-variete-molmol/</w:t>
        </w:r>
      </w:hyperlink>
      <w:r w:rsidRPr="002B7DCD">
        <w:t xml:space="preserve"> </w:t>
      </w:r>
    </w:p>
    <w:p w14:paraId="65B266A6" w14:textId="77777777" w:rsidR="002B7DCD" w:rsidRPr="002B7DCD" w:rsidRDefault="002B7DCD" w:rsidP="002B7DCD">
      <w:pPr>
        <w:spacing w:after="0" w:line="240" w:lineRule="auto"/>
        <w:jc w:val="both"/>
      </w:pPr>
      <w:r w:rsidRPr="002B7DCD">
        <w:t xml:space="preserve">b) </w:t>
      </w:r>
      <w:hyperlink r:id="rId2846" w:history="1">
        <w:r w:rsidRPr="002B7DCD">
          <w:rPr>
            <w:rStyle w:val="Lienhypertexte"/>
          </w:rPr>
          <w:t>http://fr.wikipedia.org/wiki/Arbre_%C3%A0_myrrhe</w:t>
        </w:r>
      </w:hyperlink>
      <w:r w:rsidRPr="002B7DCD">
        <w:t xml:space="preserve">, </w:t>
      </w:r>
    </w:p>
    <w:p w14:paraId="0818D988" w14:textId="05EB19F3" w:rsidR="002B7DCD" w:rsidRDefault="002B7DCD" w:rsidP="002B7DCD">
      <w:pPr>
        <w:spacing w:after="0" w:line="240" w:lineRule="auto"/>
        <w:jc w:val="both"/>
      </w:pPr>
      <w:r w:rsidRPr="002B7DCD">
        <w:t xml:space="preserve">c) </w:t>
      </w:r>
      <w:hyperlink r:id="rId2847" w:history="1">
        <w:r w:rsidRPr="002B7DCD">
          <w:rPr>
            <w:rStyle w:val="Lienhypertexte"/>
          </w:rPr>
          <w:t>http://en.wikipedia.org/wiki/Commiphora_myrrha</w:t>
        </w:r>
      </w:hyperlink>
      <w:r w:rsidRPr="002B7DCD">
        <w:t xml:space="preserve">, </w:t>
      </w:r>
    </w:p>
    <w:p w14:paraId="274F42F0" w14:textId="028FA94A" w:rsidR="002B7DCD" w:rsidRPr="002B7DCD" w:rsidRDefault="002B7DCD" w:rsidP="002B7DCD">
      <w:pPr>
        <w:spacing w:after="0" w:line="240" w:lineRule="auto"/>
        <w:jc w:val="both"/>
      </w:pPr>
      <w:r>
        <w:t xml:space="preserve">d) </w:t>
      </w:r>
      <w:hyperlink r:id="rId2848" w:history="1">
        <w:r w:rsidRPr="002B7DCD">
          <w:rPr>
            <w:rStyle w:val="Lienhypertexte"/>
          </w:rPr>
          <w:t>http://www.wisegeek.com/what-is-commiphora.htm</w:t>
        </w:r>
      </w:hyperlink>
      <w:r>
        <w:t xml:space="preserve"> </w:t>
      </w:r>
    </w:p>
    <w:p w14:paraId="1F8501FB" w14:textId="287FEFA4" w:rsidR="005E5060" w:rsidRPr="005E5060" w:rsidRDefault="005E5060" w:rsidP="005E5060">
      <w:pPr>
        <w:spacing w:after="0" w:line="240" w:lineRule="auto"/>
        <w:rPr>
          <w:lang w:val="es-AR"/>
        </w:rPr>
      </w:pPr>
      <w:r w:rsidRPr="005E5060">
        <w:rPr>
          <w:lang w:val="es-AR"/>
        </w:rPr>
        <w:t xml:space="preserve">e) </w:t>
      </w:r>
      <w:hyperlink r:id="rId2849" w:history="1">
        <w:r w:rsidRPr="005E5060">
          <w:rPr>
            <w:rStyle w:val="Lienhypertexte"/>
            <w:lang w:val="es-AR"/>
          </w:rPr>
          <w:t>http://en.wikipedia.org/wiki/Ein_Gedi</w:t>
        </w:r>
      </w:hyperlink>
      <w:r w:rsidRPr="005E5060">
        <w:rPr>
          <w:lang w:val="es-AR"/>
        </w:rPr>
        <w:t xml:space="preserve">, </w:t>
      </w:r>
    </w:p>
    <w:p w14:paraId="4E24A437" w14:textId="137920B2" w:rsidR="005E5060" w:rsidRPr="005E5060" w:rsidRDefault="005E5060" w:rsidP="005E5060">
      <w:pPr>
        <w:spacing w:after="0" w:line="240" w:lineRule="auto"/>
        <w:rPr>
          <w:lang w:val="en-GB"/>
        </w:rPr>
      </w:pPr>
      <w:r>
        <w:rPr>
          <w:lang w:val="en-GB"/>
        </w:rPr>
        <w:t>f</w:t>
      </w:r>
      <w:r w:rsidRPr="005E5060">
        <w:rPr>
          <w:lang w:val="en-GB"/>
        </w:rPr>
        <w:t xml:space="preserve">) </w:t>
      </w:r>
      <w:hyperlink r:id="rId2850" w:history="1">
        <w:r w:rsidRPr="005E5060">
          <w:rPr>
            <w:rStyle w:val="Lienhypertexte"/>
            <w:lang w:val="en-GB"/>
          </w:rPr>
          <w:t>http://www.llifle.com/Encyclopedia/TREES/Family/Burseraceae/11169/Commiphora_myrrha</w:t>
        </w:r>
      </w:hyperlink>
      <w:r w:rsidRPr="005E5060">
        <w:rPr>
          <w:lang w:val="en-GB"/>
        </w:rPr>
        <w:t xml:space="preserve"> </w:t>
      </w:r>
    </w:p>
    <w:p w14:paraId="6EBCB4A9" w14:textId="6B3FA9DF" w:rsidR="005E5060" w:rsidRPr="005E5060" w:rsidRDefault="005E5060" w:rsidP="005E5060">
      <w:pPr>
        <w:spacing w:after="0" w:line="240" w:lineRule="auto"/>
        <w:rPr>
          <w:lang w:val="en-GB"/>
        </w:rPr>
      </w:pPr>
      <w:r>
        <w:rPr>
          <w:lang w:val="en-GB"/>
        </w:rPr>
        <w:t>g</w:t>
      </w:r>
      <w:r w:rsidRPr="005E5060">
        <w:rPr>
          <w:lang w:val="en-GB"/>
        </w:rPr>
        <w:t xml:space="preserve">) </w:t>
      </w:r>
      <w:r w:rsidRPr="005E5060">
        <w:rPr>
          <w:i/>
          <w:iCs/>
          <w:lang w:val="en-US"/>
        </w:rPr>
        <w:t>After repeated failures, new effort to revive the legendary balsam plant shows promise</w:t>
      </w:r>
      <w:r w:rsidRPr="005E5060">
        <w:rPr>
          <w:lang w:val="en-US"/>
        </w:rPr>
        <w:t xml:space="preserve">, </w:t>
      </w:r>
      <w:hyperlink r:id="rId2851" w:history="1">
        <w:r w:rsidRPr="005E5060">
          <w:rPr>
            <w:rStyle w:val="Lienhypertexte"/>
            <w:lang w:val="en-GB"/>
          </w:rPr>
          <w:t>Nir</w:t>
        </w:r>
      </w:hyperlink>
      <w:hyperlink r:id="rId2852" w:history="1">
        <w:r w:rsidRPr="005E5060">
          <w:rPr>
            <w:rStyle w:val="Lienhypertexte"/>
            <w:lang w:val="en-GB"/>
          </w:rPr>
          <w:t xml:space="preserve"> </w:t>
        </w:r>
      </w:hyperlink>
      <w:hyperlink r:id="rId2853" w:history="1">
        <w:r w:rsidRPr="005E5060">
          <w:rPr>
            <w:rStyle w:val="Lienhypertexte"/>
            <w:lang w:val="en-GB"/>
          </w:rPr>
          <w:t>Hasson</w:t>
        </w:r>
      </w:hyperlink>
      <w:r w:rsidRPr="005E5060">
        <w:rPr>
          <w:lang w:val="en-US"/>
        </w:rPr>
        <w:t xml:space="preserve">, Haaretz, </w:t>
      </w:r>
      <w:r w:rsidRPr="005E5060">
        <w:rPr>
          <w:lang w:val="en-GB"/>
        </w:rPr>
        <w:t>Sep. 2, 2010</w:t>
      </w:r>
      <w:r w:rsidRPr="005E5060">
        <w:rPr>
          <w:lang w:val="en-US"/>
        </w:rPr>
        <w:t>,</w:t>
      </w:r>
      <w:r w:rsidRPr="005E5060">
        <w:rPr>
          <w:lang w:val="en-GB"/>
        </w:rPr>
        <w:t xml:space="preserve"> </w:t>
      </w:r>
      <w:hyperlink r:id="rId2854" w:history="1">
        <w:r w:rsidRPr="005E5060">
          <w:rPr>
            <w:rStyle w:val="Lienhypertexte"/>
            <w:lang w:val="en-GB"/>
          </w:rPr>
          <w:t>http://www.haaretz.com/print-edition/news/after-repeated-failures-new-effort-to-revive-the-legendary-balsam-plant-shows-promise-1.311617</w:t>
        </w:r>
      </w:hyperlink>
      <w:r w:rsidRPr="005E5060">
        <w:rPr>
          <w:lang w:val="en-GB"/>
        </w:rPr>
        <w:t xml:space="preserve"> </w:t>
      </w:r>
    </w:p>
    <w:p w14:paraId="560F662F" w14:textId="77777777" w:rsidR="002B7DCD" w:rsidRPr="005E5060" w:rsidRDefault="002B7DCD" w:rsidP="002B7DCD">
      <w:pPr>
        <w:spacing w:after="0" w:line="240" w:lineRule="auto"/>
        <w:jc w:val="both"/>
        <w:rPr>
          <w:lang w:val="en-G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2B7DCD" w14:paraId="3A489821" w14:textId="77777777" w:rsidTr="002B7DCD">
        <w:tc>
          <w:tcPr>
            <w:tcW w:w="5208" w:type="dxa"/>
          </w:tcPr>
          <w:p w14:paraId="4283CD1A" w14:textId="77777777" w:rsidR="002B7DCD" w:rsidRDefault="002B7DCD" w:rsidP="002B7DCD">
            <w:pPr>
              <w:jc w:val="center"/>
            </w:pPr>
            <w:r w:rsidRPr="002B7DCD">
              <w:rPr>
                <w:noProof/>
              </w:rPr>
              <w:drawing>
                <wp:inline distT="0" distB="0" distL="0" distR="0" wp14:anchorId="0DF25BEF" wp14:editId="25BD88F6">
                  <wp:extent cx="1817910" cy="1817910"/>
                  <wp:effectExtent l="0" t="0" r="0" b="0"/>
                  <wp:docPr id="9320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 24"/>
                          <pic:cNvPicPr>
                            <a:picLocks noChangeAspect="1"/>
                          </pic:cNvPicPr>
                        </pic:nvPicPr>
                        <pic:blipFill>
                          <a:blip r:embed="rId2855">
                            <a:extLst>
                              <a:ext uri="{28A0092B-C50C-407E-A947-70E740481C1C}">
                                <a14:useLocalDpi xmlns:a14="http://schemas.microsoft.com/office/drawing/2010/main" val="0"/>
                              </a:ext>
                            </a:extLst>
                          </a:blip>
                          <a:stretch>
                            <a:fillRect/>
                          </a:stretch>
                        </pic:blipFill>
                        <pic:spPr>
                          <a:xfrm>
                            <a:off x="0" y="0"/>
                            <a:ext cx="1817910" cy="1817910"/>
                          </a:xfrm>
                          <a:prstGeom prst="rect">
                            <a:avLst/>
                          </a:prstGeom>
                        </pic:spPr>
                      </pic:pic>
                    </a:graphicData>
                  </a:graphic>
                </wp:inline>
              </w:drawing>
            </w:r>
          </w:p>
          <w:p w14:paraId="3E25BD3E" w14:textId="77777777" w:rsidR="002B7DCD" w:rsidRDefault="002B7DCD" w:rsidP="002B7DCD">
            <w:pPr>
              <w:jc w:val="center"/>
            </w:pPr>
            <w:r w:rsidRPr="002B7DCD">
              <w:rPr>
                <w:noProof/>
              </w:rPr>
              <w:drawing>
                <wp:inline distT="0" distB="0" distL="0" distR="0" wp14:anchorId="02AB7F3F" wp14:editId="083D5381">
                  <wp:extent cx="1894912" cy="1593448"/>
                  <wp:effectExtent l="0" t="0" r="0" b="6985"/>
                  <wp:docPr id="93205"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1"/>
                          <pic:cNvPicPr>
                            <a:picLocks noChangeAspect="1"/>
                          </pic:cNvPicPr>
                        </pic:nvPicPr>
                        <pic:blipFill>
                          <a:blip r:embed="rId2856">
                            <a:extLst>
                              <a:ext uri="{28A0092B-C50C-407E-A947-70E740481C1C}">
                                <a14:useLocalDpi xmlns:a14="http://schemas.microsoft.com/office/drawing/2010/main" val="0"/>
                              </a:ext>
                            </a:extLst>
                          </a:blip>
                          <a:stretch>
                            <a:fillRect/>
                          </a:stretch>
                        </pic:blipFill>
                        <pic:spPr>
                          <a:xfrm>
                            <a:off x="0" y="0"/>
                            <a:ext cx="1894912" cy="1593448"/>
                          </a:xfrm>
                          <a:prstGeom prst="rect">
                            <a:avLst/>
                          </a:prstGeom>
                        </pic:spPr>
                      </pic:pic>
                    </a:graphicData>
                  </a:graphic>
                </wp:inline>
              </w:drawing>
            </w:r>
          </w:p>
          <w:p w14:paraId="6A7DB634" w14:textId="3B640022" w:rsidR="002B7DCD" w:rsidRDefault="002B7DCD" w:rsidP="002B7DCD">
            <w:pPr>
              <w:jc w:val="center"/>
            </w:pPr>
            <w:r w:rsidRPr="002B7DCD">
              <w:t xml:space="preserve">Myrrhe, la résine durcie extrait de </w:t>
            </w:r>
            <w:r w:rsidRPr="002B7DCD">
              <w:rPr>
                <w:i/>
                <w:iCs/>
              </w:rPr>
              <w:t>Commiphora myrrha</w:t>
            </w:r>
          </w:p>
        </w:tc>
        <w:tc>
          <w:tcPr>
            <w:tcW w:w="5208" w:type="dxa"/>
          </w:tcPr>
          <w:p w14:paraId="73C3D17D" w14:textId="7B0A9A81" w:rsidR="002B7DCD" w:rsidRDefault="002B7DCD" w:rsidP="002B7DCD">
            <w:pPr>
              <w:jc w:val="center"/>
            </w:pPr>
            <w:r w:rsidRPr="002B7DCD">
              <w:rPr>
                <w:noProof/>
              </w:rPr>
              <w:drawing>
                <wp:inline distT="0" distB="0" distL="0" distR="0" wp14:anchorId="60D6384E" wp14:editId="153AE27A">
                  <wp:extent cx="2411759" cy="3243400"/>
                  <wp:effectExtent l="0" t="0" r="7620" b="0"/>
                  <wp:docPr id="1"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7"/>
                          <pic:cNvPicPr>
                            <a:picLocks noChangeAspect="1"/>
                          </pic:cNvPicPr>
                        </pic:nvPicPr>
                        <pic:blipFill>
                          <a:blip r:embed="rId2857">
                            <a:extLst>
                              <a:ext uri="{28A0092B-C50C-407E-A947-70E740481C1C}">
                                <a14:useLocalDpi xmlns:a14="http://schemas.microsoft.com/office/drawing/2010/main" val="0"/>
                              </a:ext>
                            </a:extLst>
                          </a:blip>
                          <a:stretch>
                            <a:fillRect/>
                          </a:stretch>
                        </pic:blipFill>
                        <pic:spPr>
                          <a:xfrm>
                            <a:off x="0" y="0"/>
                            <a:ext cx="2411759" cy="3243400"/>
                          </a:xfrm>
                          <a:prstGeom prst="rect">
                            <a:avLst/>
                          </a:prstGeom>
                        </pic:spPr>
                      </pic:pic>
                    </a:graphicData>
                  </a:graphic>
                </wp:inline>
              </w:drawing>
            </w:r>
          </w:p>
        </w:tc>
      </w:tr>
    </w:tbl>
    <w:p w14:paraId="41CCC98F" w14:textId="061A799B" w:rsidR="00C50F6D" w:rsidRDefault="00C50F6D" w:rsidP="002B7DCD">
      <w:pPr>
        <w:spacing w:after="0" w:line="240" w:lineRule="auto"/>
        <w:jc w:val="cente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12"/>
        <w:gridCol w:w="2298"/>
        <w:gridCol w:w="5616"/>
      </w:tblGrid>
      <w:tr w:rsidR="005A18E6" w14:paraId="254E9F78" w14:textId="77777777" w:rsidTr="005A18E6">
        <w:tc>
          <w:tcPr>
            <w:tcW w:w="3472" w:type="dxa"/>
          </w:tcPr>
          <w:p w14:paraId="2DE179AC" w14:textId="77777777" w:rsidR="005E5060" w:rsidRDefault="005E5060" w:rsidP="005E5060">
            <w:pPr>
              <w:jc w:val="center"/>
            </w:pPr>
            <w:r w:rsidRPr="005E5060">
              <w:rPr>
                <w:noProof/>
              </w:rPr>
              <w:lastRenderedPageBreak/>
              <w:drawing>
                <wp:inline distT="0" distB="0" distL="0" distR="0" wp14:anchorId="07B3FC33" wp14:editId="5A50997F">
                  <wp:extent cx="1419225" cy="1419225"/>
                  <wp:effectExtent l="0" t="0" r="9525" b="9525"/>
                  <wp:docPr id="9320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2858">
                            <a:extLst>
                              <a:ext uri="{28A0092B-C50C-407E-A947-70E740481C1C}">
                                <a14:useLocalDpi xmlns:a14="http://schemas.microsoft.com/office/drawing/2010/main" val="0"/>
                              </a:ext>
                            </a:extLst>
                          </a:blip>
                          <a:stretch>
                            <a:fillRect/>
                          </a:stretch>
                        </pic:blipFill>
                        <pic:spPr>
                          <a:xfrm>
                            <a:off x="0" y="0"/>
                            <a:ext cx="1419577" cy="1419577"/>
                          </a:xfrm>
                          <a:prstGeom prst="rect">
                            <a:avLst/>
                          </a:prstGeom>
                        </pic:spPr>
                      </pic:pic>
                    </a:graphicData>
                  </a:graphic>
                </wp:inline>
              </w:drawing>
            </w:r>
          </w:p>
          <w:p w14:paraId="23DDBFA6" w14:textId="5EBCD57A" w:rsidR="005E5060" w:rsidRDefault="005E5060" w:rsidP="005E5060">
            <w:pPr>
              <w:jc w:val="both"/>
            </w:pPr>
            <w:r w:rsidRPr="005E5060">
              <w:t xml:space="preserve">Culture de </w:t>
            </w:r>
            <w:r w:rsidRPr="005E5060">
              <w:rPr>
                <w:i/>
                <w:iCs/>
              </w:rPr>
              <w:t>Commiphora myrrha.</w:t>
            </w:r>
            <w:r>
              <w:rPr>
                <w:i/>
                <w:iCs/>
              </w:rPr>
              <w:t xml:space="preserve"> </w:t>
            </w:r>
            <w:r w:rsidRPr="005E5060">
              <w:t>Photo: Valentino Vallicelli</w:t>
            </w:r>
            <w:r w:rsidR="005A18E6">
              <w:rPr>
                <w:rStyle w:val="Appelnotedebasdep"/>
              </w:rPr>
              <w:footnoteReference w:id="152"/>
            </w:r>
            <w:r>
              <w:t>.</w:t>
            </w:r>
          </w:p>
        </w:tc>
        <w:tc>
          <w:tcPr>
            <w:tcW w:w="3472" w:type="dxa"/>
          </w:tcPr>
          <w:p w14:paraId="442DBEA8" w14:textId="77777777" w:rsidR="005E5060" w:rsidRDefault="005E5060" w:rsidP="005E5060">
            <w:pPr>
              <w:jc w:val="center"/>
            </w:pPr>
            <w:r w:rsidRPr="005E5060">
              <w:rPr>
                <w:noProof/>
              </w:rPr>
              <w:drawing>
                <wp:inline distT="0" distB="0" distL="0" distR="0" wp14:anchorId="47DA6F20" wp14:editId="338E8300">
                  <wp:extent cx="1285875" cy="1716708"/>
                  <wp:effectExtent l="0" t="0" r="0" b="0"/>
                  <wp:docPr id="93209"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pic:cNvPicPr>
                            <a:picLocks noChangeAspect="1"/>
                          </pic:cNvPicPr>
                        </pic:nvPicPr>
                        <pic:blipFill>
                          <a:blip r:embed="rId2859">
                            <a:extLst>
                              <a:ext uri="{28A0092B-C50C-407E-A947-70E740481C1C}">
                                <a14:useLocalDpi xmlns:a14="http://schemas.microsoft.com/office/drawing/2010/main" val="0"/>
                              </a:ext>
                            </a:extLst>
                          </a:blip>
                          <a:stretch>
                            <a:fillRect/>
                          </a:stretch>
                        </pic:blipFill>
                        <pic:spPr>
                          <a:xfrm>
                            <a:off x="0" y="0"/>
                            <a:ext cx="1301832" cy="1738012"/>
                          </a:xfrm>
                          <a:prstGeom prst="rect">
                            <a:avLst/>
                          </a:prstGeom>
                        </pic:spPr>
                      </pic:pic>
                    </a:graphicData>
                  </a:graphic>
                </wp:inline>
              </w:drawing>
            </w:r>
          </w:p>
          <w:p w14:paraId="0D0DF715" w14:textId="00D34D88" w:rsidR="005E5060" w:rsidRDefault="005E5060" w:rsidP="005E5060">
            <w:pPr>
              <w:jc w:val="both"/>
            </w:pPr>
            <w:r w:rsidRPr="005E5060">
              <w:t>Selon l’auteur de cette photo, qui la cultive en Australie</w:t>
            </w:r>
            <w:r w:rsidRPr="005E5060">
              <w:rPr>
                <w:i/>
                <w:iCs/>
              </w:rPr>
              <w:t xml:space="preserve">, la plante pourrait se bouturer </w:t>
            </w:r>
            <w:r w:rsidRPr="005E5060">
              <w:t>(?)</w:t>
            </w:r>
            <w:r>
              <w:rPr>
                <w:rStyle w:val="Appelnotedebasdep"/>
              </w:rPr>
              <w:footnoteReference w:id="153"/>
            </w:r>
            <w:r w:rsidRPr="005E5060">
              <w:t>.</w:t>
            </w:r>
          </w:p>
        </w:tc>
        <w:tc>
          <w:tcPr>
            <w:tcW w:w="3472" w:type="dxa"/>
          </w:tcPr>
          <w:p w14:paraId="49317A5E" w14:textId="77777777" w:rsidR="005E5060" w:rsidRDefault="005E5060" w:rsidP="005E5060">
            <w:pPr>
              <w:jc w:val="center"/>
            </w:pPr>
            <w:r w:rsidRPr="005E5060">
              <w:rPr>
                <w:noProof/>
              </w:rPr>
              <w:drawing>
                <wp:inline distT="0" distB="0" distL="0" distR="0" wp14:anchorId="1FA0C70D" wp14:editId="4F1A1755">
                  <wp:extent cx="3426941" cy="1981200"/>
                  <wp:effectExtent l="0" t="0" r="2540" b="0"/>
                  <wp:docPr id="93210"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pic:cNvPicPr>
                            <a:picLocks noChangeAspect="1"/>
                          </pic:cNvPicPr>
                        </pic:nvPicPr>
                        <pic:blipFill>
                          <a:blip r:embed="rId2860">
                            <a:extLst>
                              <a:ext uri="{28A0092B-C50C-407E-A947-70E740481C1C}">
                                <a14:useLocalDpi xmlns:a14="http://schemas.microsoft.com/office/drawing/2010/main" val="0"/>
                              </a:ext>
                            </a:extLst>
                          </a:blip>
                          <a:stretch>
                            <a:fillRect/>
                          </a:stretch>
                        </pic:blipFill>
                        <pic:spPr>
                          <a:xfrm>
                            <a:off x="0" y="0"/>
                            <a:ext cx="3432823" cy="1984600"/>
                          </a:xfrm>
                          <a:prstGeom prst="rect">
                            <a:avLst/>
                          </a:prstGeom>
                        </pic:spPr>
                      </pic:pic>
                    </a:graphicData>
                  </a:graphic>
                </wp:inline>
              </w:drawing>
            </w:r>
          </w:p>
          <w:p w14:paraId="147C435C" w14:textId="77777777" w:rsidR="005E5060" w:rsidRPr="005E5060" w:rsidRDefault="005E5060" w:rsidP="005E5060">
            <w:pPr>
              <w:jc w:val="center"/>
            </w:pPr>
            <w:r w:rsidRPr="005E5060">
              <w:t>La culture du « </w:t>
            </w:r>
            <w:r w:rsidRPr="005E5060">
              <w:rPr>
                <w:i/>
                <w:iCs/>
              </w:rPr>
              <w:t>Balsam</w:t>
            </w:r>
            <w:r w:rsidRPr="005E5060">
              <w:t xml:space="preserve"> » au kibboutz </w:t>
            </w:r>
            <w:r w:rsidRPr="005E5060">
              <w:rPr>
                <w:b/>
                <w:bCs/>
              </w:rPr>
              <w:t>Ein Gedi</w:t>
            </w:r>
            <w:r w:rsidRPr="005E5060">
              <w:t>.</w:t>
            </w:r>
          </w:p>
          <w:p w14:paraId="6BCCA7CF" w14:textId="2814C1B9" w:rsidR="005E5060" w:rsidRDefault="005E5060" w:rsidP="005E5060">
            <w:pPr>
              <w:jc w:val="center"/>
            </w:pPr>
            <w:r w:rsidRPr="005E5060">
              <w:t xml:space="preserve">Source : </w:t>
            </w:r>
            <w:r w:rsidRPr="005E5060">
              <w:rPr>
                <w:lang w:val="en-US"/>
              </w:rPr>
              <w:t>Haaretz, 2 septembre 2010</w:t>
            </w:r>
            <w:r>
              <w:rPr>
                <w:lang w:val="en-US"/>
              </w:rPr>
              <w:t>.</w:t>
            </w:r>
          </w:p>
        </w:tc>
      </w:tr>
    </w:tbl>
    <w:p w14:paraId="40B7EC4D" w14:textId="5024EE66" w:rsidR="002B7DCD" w:rsidRDefault="002B7DCD" w:rsidP="005A18E6">
      <w:pPr>
        <w:spacing w:after="0" w:line="240" w:lineRule="auto"/>
      </w:pPr>
    </w:p>
    <w:p w14:paraId="33DA9CB8" w14:textId="5486C9B5" w:rsidR="005A18E6" w:rsidRDefault="005A18E6" w:rsidP="00A95DE0">
      <w:pPr>
        <w:pStyle w:val="Titre2"/>
      </w:pPr>
      <w:bookmarkStart w:id="223" w:name="_Toc139181514"/>
      <w:r w:rsidRPr="005A18E6">
        <w:t>Mukul, gugulon ou Guggulu (</w:t>
      </w:r>
      <w:r w:rsidRPr="005A18E6">
        <w:rPr>
          <w:i/>
          <w:iCs/>
        </w:rPr>
        <w:t>Commiphora wightii</w:t>
      </w:r>
      <w:r w:rsidRPr="005A18E6">
        <w:t>)</w:t>
      </w:r>
      <w:bookmarkEnd w:id="223"/>
    </w:p>
    <w:p w14:paraId="6CADE64D" w14:textId="1146DB29" w:rsidR="002B7DCD" w:rsidRDefault="002B7DCD" w:rsidP="004F05A8">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69"/>
        <w:gridCol w:w="2225"/>
        <w:gridCol w:w="1093"/>
        <w:gridCol w:w="958"/>
        <w:gridCol w:w="1381"/>
      </w:tblGrid>
      <w:tr w:rsidR="00AE40DF" w:rsidRPr="000B6BE3" w14:paraId="4DFDA499" w14:textId="77777777" w:rsidTr="00B47C62">
        <w:tc>
          <w:tcPr>
            <w:tcW w:w="4957" w:type="dxa"/>
          </w:tcPr>
          <w:p w14:paraId="1C030209" w14:textId="77777777" w:rsidR="00AE40DF" w:rsidRPr="000B6BE3" w:rsidRDefault="00AE40DF" w:rsidP="00B47C62">
            <w:pPr>
              <w:rPr>
                <w:rFonts w:cstheme="minorHAnsi"/>
                <w:bCs/>
              </w:rPr>
            </w:pPr>
            <w:r w:rsidRPr="000B6BE3">
              <w:rPr>
                <w:rFonts w:cstheme="minorHAnsi"/>
                <w:bCs/>
              </w:rPr>
              <w:t>(</w:t>
            </w:r>
            <w:hyperlink r:id="rId2861" w:history="1">
              <w:r w:rsidRPr="000B6BE3">
                <w:rPr>
                  <w:rFonts w:cstheme="minorHAnsi"/>
                </w:rPr>
                <w:t>F</w:t>
              </w:r>
              <w:r w:rsidRPr="000B6BE3">
                <w:rPr>
                  <w:rStyle w:val="Lienhypertexte"/>
                  <w:rFonts w:cstheme="minorHAnsi"/>
                  <w:color w:val="0B0080"/>
                  <w:shd w:val="clear" w:color="auto" w:fill="FFFFFF"/>
                </w:rPr>
                <w:t>amille</w:t>
              </w:r>
            </w:hyperlink>
            <w:r w:rsidRPr="000B6BE3">
              <w:rPr>
                <w:rFonts w:cstheme="minorHAnsi"/>
                <w:color w:val="222222"/>
                <w:shd w:val="clear" w:color="auto" w:fill="FFFFFF"/>
              </w:rPr>
              <w:t> </w:t>
            </w:r>
            <w:r w:rsidRPr="00FC05CB">
              <w:rPr>
                <w:rFonts w:cstheme="minorHAnsi"/>
                <w:color w:val="000000" w:themeColor="text1"/>
                <w:shd w:val="clear" w:color="auto" w:fill="FFFFFF"/>
              </w:rPr>
              <w:t>des </w:t>
            </w:r>
            <w:hyperlink r:id="rId2862" w:history="1">
              <w:r w:rsidRPr="002B7DCD">
                <w:rPr>
                  <w:rStyle w:val="Lienhypertexte"/>
                  <w:i/>
                  <w:iCs/>
                </w:rPr>
                <w:t>Burseraceae</w:t>
              </w:r>
            </w:hyperlink>
            <w:r w:rsidRPr="00FC05CB">
              <w:rPr>
                <w:rFonts w:cstheme="minorHAnsi"/>
                <w:bCs/>
                <w:color w:val="000000" w:themeColor="text1"/>
              </w:rPr>
              <w:t>).</w:t>
            </w:r>
          </w:p>
          <w:p w14:paraId="3A71DE59" w14:textId="77777777" w:rsidR="00AE40DF" w:rsidRPr="000B6BE3" w:rsidRDefault="00AE40DF" w:rsidP="00B47C62">
            <w:pPr>
              <w:rPr>
                <w:rFonts w:cstheme="minorHAnsi"/>
                <w:bCs/>
              </w:rPr>
            </w:pPr>
          </w:p>
          <w:p w14:paraId="3D6BD652" w14:textId="77777777" w:rsidR="00AE40DF" w:rsidRPr="000B6BE3" w:rsidRDefault="00AE40DF" w:rsidP="00B47C62">
            <w:pPr>
              <w:rPr>
                <w:rFonts w:cstheme="minorHAnsi"/>
              </w:rPr>
            </w:pPr>
          </w:p>
        </w:tc>
        <w:tc>
          <w:tcPr>
            <w:tcW w:w="2268" w:type="dxa"/>
          </w:tcPr>
          <w:p w14:paraId="6D09E765" w14:textId="60C196AB" w:rsidR="00AE40DF" w:rsidRPr="000B6BE3" w:rsidRDefault="00AE40DF" w:rsidP="00B47C62">
            <w:pPr>
              <w:rPr>
                <w:rFonts w:cstheme="minorHAnsi"/>
              </w:rPr>
            </w:pPr>
            <w:r>
              <w:rPr>
                <w:rFonts w:cstheme="minorHAnsi"/>
              </w:rPr>
              <w:t xml:space="preserve"> </w:t>
            </w:r>
            <w:r w:rsidRPr="00125C62">
              <w:rPr>
                <w:rFonts w:cstheme="minorHAnsi"/>
                <w:noProof/>
              </w:rPr>
              <w:drawing>
                <wp:inline distT="0" distB="0" distL="0" distR="0" wp14:anchorId="16A06145" wp14:editId="21C045D2">
                  <wp:extent cx="495300" cy="666750"/>
                  <wp:effectExtent l="0" t="0" r="0" b="0"/>
                  <wp:docPr id="93215" name="Image 11"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11" descr="logo aride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rPr>
              <w:t> </w:t>
            </w:r>
            <w:r w:rsidR="00D04E22">
              <w:rPr>
                <w:rFonts w:cstheme="minorHAnsi"/>
              </w:rPr>
              <w:t xml:space="preserve"> </w:t>
            </w:r>
            <w:r w:rsidR="00D04E22" w:rsidRPr="00853ED0">
              <w:rPr>
                <w:noProof/>
              </w:rPr>
              <w:drawing>
                <wp:inline distT="0" distB="0" distL="0" distR="0" wp14:anchorId="0086AA6E" wp14:editId="4944FA21">
                  <wp:extent cx="400050" cy="352425"/>
                  <wp:effectExtent l="0" t="0" r="0" b="9525"/>
                  <wp:docPr id="156672" name="Image 21">
                    <a:extLst xmlns:a="http://schemas.openxmlformats.org/drawingml/2006/main">
                      <a:ext uri="{FF2B5EF4-FFF2-40B4-BE49-F238E27FC236}">
                        <a16:creationId xmlns:a16="http://schemas.microsoft.com/office/drawing/2014/main" id="{F52353B3-AA67-41AB-ACE3-C9465695F4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3" name="Image 21">
                            <a:extLst>
                              <a:ext uri="{FF2B5EF4-FFF2-40B4-BE49-F238E27FC236}">
                                <a16:creationId xmlns:a16="http://schemas.microsoft.com/office/drawing/2014/main" id="{F52353B3-AA67-41AB-ACE3-C9465695F4BE}"/>
                              </a:ext>
                            </a:extLst>
                          </pic:cNvPr>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134" w:type="dxa"/>
          </w:tcPr>
          <w:p w14:paraId="314E6B3B" w14:textId="77777777" w:rsidR="00AE40DF" w:rsidRPr="00B000E9" w:rsidRDefault="00AE40DF" w:rsidP="00B47C62">
            <w:pPr>
              <w:textAlignment w:val="baseline"/>
              <w:rPr>
                <w:rFonts w:ascii="Times New Roman" w:eastAsia="Times New Roman" w:hAnsi="Times New Roman" w:cs="Times New Roman"/>
                <w:sz w:val="36"/>
                <w:szCs w:val="36"/>
                <w:lang w:eastAsia="fr-FR"/>
              </w:rPr>
            </w:pPr>
            <w:r w:rsidRPr="00B000E9">
              <w:rPr>
                <w:rFonts w:ascii="Arial" w:eastAsia="+mn-ea" w:hAnsi="Arial" w:cs="Arial"/>
                <w:b/>
                <w:bCs/>
                <w:color w:val="008000"/>
                <w:kern w:val="24"/>
                <w:sz w:val="36"/>
                <w:szCs w:val="36"/>
                <w:lang w:eastAsia="fr-FR"/>
              </w:rPr>
              <w:t>$</w:t>
            </w:r>
            <w:r>
              <w:rPr>
                <w:rFonts w:ascii="Arial" w:eastAsia="+mn-ea" w:hAnsi="Arial" w:cs="Arial"/>
                <w:b/>
                <w:bCs/>
                <w:color w:val="008000"/>
                <w:kern w:val="24"/>
                <w:sz w:val="36"/>
                <w:szCs w:val="36"/>
                <w:lang w:eastAsia="fr-FR"/>
              </w:rPr>
              <w:t>$</w:t>
            </w:r>
          </w:p>
        </w:tc>
        <w:tc>
          <w:tcPr>
            <w:tcW w:w="992" w:type="dxa"/>
          </w:tcPr>
          <w:p w14:paraId="28747B72" w14:textId="7BC1D2C7" w:rsidR="00AE40DF" w:rsidRDefault="00AE40DF" w:rsidP="00B47C62">
            <w:pPr>
              <w:pStyle w:val="NormalWeb"/>
              <w:spacing w:before="0" w:beforeAutospacing="0" w:after="0" w:afterAutospacing="0"/>
              <w:textAlignment w:val="baseline"/>
            </w:pPr>
            <w:r>
              <w:rPr>
                <w:rFonts w:ascii="Arial" w:eastAsia="+mn-ea" w:hAnsi="Arial" w:cs="Arial"/>
                <w:b/>
                <w:bCs/>
                <w:color w:val="008000"/>
                <w:kern w:val="24"/>
                <w:sz w:val="48"/>
                <w:szCs w:val="48"/>
              </w:rPr>
              <w:t xml:space="preserve">U </w:t>
            </w:r>
          </w:p>
          <w:p w14:paraId="17B0830F" w14:textId="77777777" w:rsidR="00AE40DF" w:rsidRPr="000B6BE3" w:rsidRDefault="00AE40DF" w:rsidP="00B47C62">
            <w:pPr>
              <w:rPr>
                <w:rFonts w:cstheme="minorHAnsi"/>
              </w:rPr>
            </w:pPr>
          </w:p>
        </w:tc>
        <w:tc>
          <w:tcPr>
            <w:tcW w:w="1439" w:type="dxa"/>
          </w:tcPr>
          <w:p w14:paraId="69A0843A" w14:textId="55C006EA" w:rsidR="00AE40DF" w:rsidRPr="000B6BE3" w:rsidRDefault="00AE40DF" w:rsidP="00B47C62">
            <w:pPr>
              <w:rPr>
                <w:rFonts w:cstheme="minorHAnsi"/>
              </w:rPr>
            </w:pPr>
            <w:r w:rsidRPr="00AE40DF">
              <w:rPr>
                <w:rFonts w:ascii="Arial" w:eastAsia="+mn-ea" w:hAnsi="Arial" w:cs="Arial"/>
                <w:b/>
                <w:bCs/>
                <w:noProof/>
                <w:color w:val="008000"/>
                <w:kern w:val="24"/>
                <w:sz w:val="48"/>
                <w:szCs w:val="48"/>
              </w:rPr>
              <w:drawing>
                <wp:inline distT="0" distB="0" distL="0" distR="0" wp14:anchorId="42D62B21" wp14:editId="2D416EF3">
                  <wp:extent cx="304800" cy="304800"/>
                  <wp:effectExtent l="0" t="0" r="0" b="0"/>
                  <wp:docPr id="8192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6"/>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66525F80" w14:textId="77777777" w:rsidR="00AE40DF" w:rsidRDefault="00AE40DF" w:rsidP="004F05A8">
      <w:pPr>
        <w:spacing w:after="0" w:line="240" w:lineRule="auto"/>
        <w:jc w:val="both"/>
      </w:pPr>
    </w:p>
    <w:p w14:paraId="63778078" w14:textId="3B0BD371" w:rsidR="001E70AF" w:rsidRPr="001E70AF" w:rsidRDefault="001E70AF" w:rsidP="001E70AF">
      <w:pPr>
        <w:spacing w:after="0" w:line="240" w:lineRule="auto"/>
        <w:jc w:val="both"/>
      </w:pPr>
      <w:r w:rsidRPr="001E70AF">
        <w:t xml:space="preserve">Ou </w:t>
      </w:r>
      <w:r w:rsidRPr="001E70AF">
        <w:rPr>
          <w:b/>
          <w:bCs/>
        </w:rPr>
        <w:t>Guggul</w:t>
      </w:r>
      <w:r w:rsidRPr="001E70AF">
        <w:t xml:space="preserve"> ou </w:t>
      </w:r>
      <w:r w:rsidRPr="001E70AF">
        <w:rPr>
          <w:b/>
          <w:bCs/>
        </w:rPr>
        <w:t>Guggal</w:t>
      </w:r>
      <w:r w:rsidRPr="001E70AF">
        <w:t xml:space="preserve">. Cette plante arbustive </w:t>
      </w:r>
      <w:r w:rsidRPr="00D04E22">
        <w:rPr>
          <w:i/>
          <w:iCs/>
        </w:rPr>
        <w:t>épineuse</w:t>
      </w:r>
      <w:r w:rsidRPr="001E70AF">
        <w:t xml:space="preserve">, originaire d'Inde et utilisée dans la médecine </w:t>
      </w:r>
      <w:hyperlink r:id="rId2863" w:history="1">
        <w:r w:rsidRPr="001E70AF">
          <w:rPr>
            <w:rStyle w:val="Lienhypertexte"/>
          </w:rPr>
          <w:t>ayurvedique</w:t>
        </w:r>
      </w:hyperlink>
      <w:r w:rsidRPr="001E70AF">
        <w:t>, est proche de l'</w:t>
      </w:r>
      <w:hyperlink r:id="rId2864" w:history="1">
        <w:r w:rsidRPr="001E70AF">
          <w:rPr>
            <w:rStyle w:val="Lienhypertexte"/>
          </w:rPr>
          <w:t>arbre à myrrhe</w:t>
        </w:r>
      </w:hyperlink>
      <w:r w:rsidRPr="001E70AF">
        <w:t>. On la rencontre de l' </w:t>
      </w:r>
      <w:hyperlink r:id="rId2865" w:history="1">
        <w:r w:rsidRPr="001E70AF">
          <w:rPr>
            <w:rStyle w:val="Lienhypertexte"/>
          </w:rPr>
          <w:t>Afrique du Nord</w:t>
        </w:r>
      </w:hyperlink>
      <w:r w:rsidRPr="001E70AF">
        <w:t> à </w:t>
      </w:r>
      <w:hyperlink r:id="rId2866" w:history="1">
        <w:r w:rsidRPr="001E70AF">
          <w:rPr>
            <w:rStyle w:val="Lienhypertexte"/>
          </w:rPr>
          <w:t>l'Asie centrale</w:t>
        </w:r>
      </w:hyperlink>
      <w:r w:rsidRPr="001E70AF">
        <w:t>, mais la plante est plus fréquente dans le nord de l’</w:t>
      </w:r>
      <w:hyperlink r:id="rId2867" w:history="1">
        <w:r w:rsidRPr="001E70AF">
          <w:rPr>
            <w:rStyle w:val="Lienhypertexte"/>
          </w:rPr>
          <w:t>Inde</w:t>
        </w:r>
      </w:hyperlink>
      <w:r w:rsidRPr="001E70AF">
        <w:t xml:space="preserve">. Elle préfère les </w:t>
      </w:r>
      <w:r w:rsidRPr="001E70AF">
        <w:rPr>
          <w:i/>
          <w:iCs/>
        </w:rPr>
        <w:t>climats  </w:t>
      </w:r>
      <w:hyperlink r:id="rId2868" w:history="1">
        <w:r w:rsidRPr="001E70AF">
          <w:rPr>
            <w:rStyle w:val="Lienhypertexte"/>
            <w:i/>
            <w:iCs/>
          </w:rPr>
          <w:t>arides</w:t>
        </w:r>
      </w:hyperlink>
      <w:r w:rsidRPr="001E70AF">
        <w:rPr>
          <w:i/>
          <w:iCs/>
        </w:rPr>
        <w:t> et </w:t>
      </w:r>
      <w:hyperlink r:id="rId2869" w:history="1">
        <w:r w:rsidRPr="001E70AF">
          <w:rPr>
            <w:rStyle w:val="Lienhypertexte"/>
            <w:i/>
            <w:iCs/>
          </w:rPr>
          <w:t>semi-arides</w:t>
        </w:r>
      </w:hyperlink>
      <w:r w:rsidRPr="001E70AF">
        <w:t xml:space="preserve"> et </w:t>
      </w:r>
      <w:r w:rsidRPr="001E70AF">
        <w:rPr>
          <w:i/>
          <w:iCs/>
        </w:rPr>
        <w:t>tolère les </w:t>
      </w:r>
      <w:hyperlink r:id="rId2870" w:history="1">
        <w:r w:rsidRPr="001E70AF">
          <w:rPr>
            <w:rStyle w:val="Lienhypertexte"/>
            <w:i/>
            <w:iCs/>
          </w:rPr>
          <w:t>sols</w:t>
        </w:r>
      </w:hyperlink>
      <w:r w:rsidRPr="001E70AF">
        <w:rPr>
          <w:i/>
          <w:iCs/>
        </w:rPr>
        <w:t> pauvres</w:t>
      </w:r>
      <w:r w:rsidRPr="001E70AF">
        <w:t xml:space="preserve">. La </w:t>
      </w:r>
      <w:r w:rsidRPr="001E70AF">
        <w:rPr>
          <w:i/>
          <w:iCs/>
        </w:rPr>
        <w:t xml:space="preserve">résine du </w:t>
      </w:r>
      <w:r w:rsidRPr="001E70AF">
        <w:rPr>
          <w:b/>
          <w:bCs/>
          <w:i/>
          <w:iCs/>
        </w:rPr>
        <w:t>guggul</w:t>
      </w:r>
      <w:r w:rsidRPr="001E70AF">
        <w:t>, connu sous le nom </w:t>
      </w:r>
      <w:r w:rsidRPr="001E70AF">
        <w:rPr>
          <w:i/>
          <w:iCs/>
        </w:rPr>
        <w:t xml:space="preserve">de gomme </w:t>
      </w:r>
      <w:r w:rsidRPr="001E70AF">
        <w:rPr>
          <w:b/>
          <w:bCs/>
          <w:i/>
          <w:iCs/>
        </w:rPr>
        <w:t>guggulu</w:t>
      </w:r>
      <w:r w:rsidRPr="001E70AF">
        <w:rPr>
          <w:i/>
          <w:iCs/>
        </w:rPr>
        <w:t>,</w:t>
      </w:r>
      <w:r w:rsidRPr="001E70AF">
        <w:t> a un </w:t>
      </w:r>
      <w:hyperlink r:id="rId2871" w:history="1">
        <w:r w:rsidRPr="001E70AF">
          <w:rPr>
            <w:rStyle w:val="Lienhypertexte"/>
          </w:rPr>
          <w:t>parfum</w:t>
        </w:r>
      </w:hyperlink>
      <w:r w:rsidRPr="001E70AF">
        <w:t> semblable à celui de la </w:t>
      </w:r>
      <w:hyperlink r:id="rId2872" w:history="1">
        <w:r w:rsidRPr="001E70AF">
          <w:rPr>
            <w:rStyle w:val="Lienhypertexte"/>
          </w:rPr>
          <w:t>myrrhe</w:t>
        </w:r>
      </w:hyperlink>
      <w:r w:rsidRPr="001E70AF">
        <w:t> et est couramment utilisé dans </w:t>
      </w:r>
      <w:hyperlink r:id="rId2873" w:history="1">
        <w:r w:rsidRPr="001E70AF">
          <w:rPr>
            <w:rStyle w:val="Lienhypertexte"/>
          </w:rPr>
          <w:t>l'encens</w:t>
        </w:r>
      </w:hyperlink>
      <w:r w:rsidRPr="001E70AF">
        <w:t> et dans des </w:t>
      </w:r>
      <w:hyperlink r:id="rId2874" w:history="1">
        <w:r w:rsidRPr="001E70AF">
          <w:rPr>
            <w:rStyle w:val="Lienhypertexte"/>
          </w:rPr>
          <w:t>parfums</w:t>
        </w:r>
      </w:hyperlink>
      <w:r w:rsidRPr="001E70AF">
        <w:t>. Sa gomme </w:t>
      </w:r>
      <w:hyperlink r:id="rId2875" w:history="1">
        <w:r w:rsidRPr="001E70AF">
          <w:rPr>
            <w:rStyle w:val="Lienhypertexte"/>
          </w:rPr>
          <w:t>résine</w:t>
        </w:r>
      </w:hyperlink>
      <w:r w:rsidRPr="001E70AF">
        <w:t xml:space="preserve"> est récolté à partir de l'écorce de la plante à travers le processus de </w:t>
      </w:r>
      <w:hyperlink r:id="rId2876" w:history="1">
        <w:r w:rsidRPr="001E70AF">
          <w:rPr>
            <w:rStyle w:val="Lienhypertexte"/>
          </w:rPr>
          <w:t>taraudage</w:t>
        </w:r>
      </w:hyperlink>
      <w:r w:rsidRPr="001E70AF">
        <w:t xml:space="preserve">. Le </w:t>
      </w:r>
      <w:r w:rsidRPr="001E70AF">
        <w:rPr>
          <w:b/>
          <w:bCs/>
          <w:i/>
          <w:iCs/>
        </w:rPr>
        <w:t>guggul</w:t>
      </w:r>
      <w:r w:rsidRPr="001E70AF">
        <w:t xml:space="preserve"> a été surexploité dans une grande partie de son habitat, et a été inscrit à la </w:t>
      </w:r>
      <w:hyperlink r:id="rId2877" w:history="1">
        <w:r w:rsidRPr="001E70AF">
          <w:rPr>
            <w:rStyle w:val="Lienhypertexte"/>
          </w:rPr>
          <w:t>Liste rouge de l'UICN</w:t>
        </w:r>
      </w:hyperlink>
      <w:r w:rsidRPr="001E70AF">
        <w:t xml:space="preserve"> des espèces menacées. L’</w:t>
      </w:r>
      <w:r w:rsidRPr="001E70AF">
        <w:rPr>
          <w:b/>
          <w:bCs/>
        </w:rPr>
        <w:t xml:space="preserve">India's National Medicinal Plants Board </w:t>
      </w:r>
      <w:r w:rsidRPr="001E70AF">
        <w:t xml:space="preserve">a lancé un projet de culture de 500 à 800 hectares de </w:t>
      </w:r>
      <w:r w:rsidRPr="001E70AF">
        <w:rPr>
          <w:b/>
          <w:bCs/>
          <w:i/>
          <w:iCs/>
        </w:rPr>
        <w:t>guggul</w:t>
      </w:r>
      <w:r w:rsidRPr="001E70AF">
        <w:t>, dans le district de </w:t>
      </w:r>
      <w:hyperlink r:id="rId2878" w:history="1">
        <w:r w:rsidRPr="001E70AF">
          <w:rPr>
            <w:rStyle w:val="Lienhypertexte"/>
          </w:rPr>
          <w:t>Kutch</w:t>
        </w:r>
      </w:hyperlink>
      <w:r w:rsidRPr="001E70AF">
        <w:t xml:space="preserve">, tandis qu'un mouvement de conservation </w:t>
      </w:r>
      <w:hyperlink r:id="rId2879" w:history="1">
        <w:r w:rsidRPr="001E70AF">
          <w:rPr>
            <w:rStyle w:val="Lienhypertexte"/>
          </w:rPr>
          <w:t>local</w:t>
        </w:r>
      </w:hyperlink>
      <w:r w:rsidRPr="001E70AF">
        <w:t>, dirigée par </w:t>
      </w:r>
      <w:hyperlink r:id="rId2880" w:history="1">
        <w:r w:rsidRPr="001E70AF">
          <w:rPr>
            <w:rStyle w:val="Lienhypertexte"/>
          </w:rPr>
          <w:t>Vineet</w:t>
        </w:r>
      </w:hyperlink>
      <w:hyperlink r:id="rId2881" w:history="1">
        <w:r w:rsidRPr="001E70AF">
          <w:rPr>
            <w:rStyle w:val="Lienhypertexte"/>
          </w:rPr>
          <w:t xml:space="preserve"> </w:t>
        </w:r>
      </w:hyperlink>
      <w:hyperlink r:id="rId2882" w:history="1">
        <w:r w:rsidRPr="001E70AF">
          <w:rPr>
            <w:rStyle w:val="Lienhypertexte"/>
          </w:rPr>
          <w:t>Soni</w:t>
        </w:r>
      </w:hyperlink>
      <w:r w:rsidRPr="001E70AF">
        <w:t xml:space="preserve"> associé à l'UICN, a commencé à éduquer les cultivateurs de </w:t>
      </w:r>
      <w:r w:rsidRPr="001E70AF">
        <w:rPr>
          <w:b/>
          <w:bCs/>
          <w:i/>
          <w:iCs/>
        </w:rPr>
        <w:t>guggul</w:t>
      </w:r>
      <w:r w:rsidRPr="001E70AF">
        <w:t xml:space="preserve"> et les récolteurs dans des méthodes de récoltes sûres et durables. Petites fleurs rouges à roses.</w:t>
      </w:r>
      <w:r w:rsidR="00AE40DF">
        <w:t xml:space="preserve"> </w:t>
      </w:r>
      <w:r w:rsidR="00AE40DF" w:rsidRPr="00AE40DF">
        <w:t>Petit fruits rond rouge à maturité</w:t>
      </w:r>
      <w:r w:rsidR="00AE40DF">
        <w:t>.</w:t>
      </w:r>
    </w:p>
    <w:p w14:paraId="7A8860BE" w14:textId="77777777" w:rsidR="001E70AF" w:rsidRPr="001E70AF" w:rsidRDefault="001E70AF" w:rsidP="001E70AF">
      <w:pPr>
        <w:spacing w:after="0" w:line="240" w:lineRule="auto"/>
        <w:jc w:val="both"/>
      </w:pPr>
      <w:r w:rsidRPr="001E70AF">
        <w:rPr>
          <w:u w:val="single"/>
        </w:rPr>
        <w:t xml:space="preserve">Usages médicinaux </w:t>
      </w:r>
      <w:r w:rsidRPr="001E70AF">
        <w:t>: Maladie de la peau, suppuration et abcès, plaies, maladies des gencives et de la bouche, fumigation de salle d'opération …. Les composants de sa gomme (</w:t>
      </w:r>
      <w:hyperlink r:id="rId2883" w:history="1">
        <w:r w:rsidRPr="001E70AF">
          <w:rPr>
            <w:rStyle w:val="Lienhypertexte"/>
          </w:rPr>
          <w:t>Guggulstérone</w:t>
        </w:r>
      </w:hyperlink>
      <w:r w:rsidRPr="001E70AF">
        <w:t xml:space="preserve"> …) se sont révélés très actifs pour soulager les douleurs rhumatismales et pour faire baisser les taux excessifs de cholestérols et triglycérides dans le sang. On peut donc l'utiliser pour soigner l'arthrose lorsqu'elle est associée à un taux de cholestérol élevé.</w:t>
      </w:r>
    </w:p>
    <w:p w14:paraId="5CF46177" w14:textId="77777777" w:rsidR="001E70AF" w:rsidRPr="001E70AF" w:rsidRDefault="001E70AF" w:rsidP="001E70AF">
      <w:pPr>
        <w:spacing w:after="0" w:line="240" w:lineRule="auto"/>
        <w:jc w:val="both"/>
      </w:pPr>
      <w:r w:rsidRPr="001E70AF">
        <w:t xml:space="preserve">Sources : a) </w:t>
      </w:r>
      <w:hyperlink r:id="rId2884" w:history="1">
        <w:r w:rsidRPr="001E70AF">
          <w:rPr>
            <w:rStyle w:val="Lienhypertexte"/>
          </w:rPr>
          <w:t>http://fr.wikipedia.org/wiki/Commiphora_wightii</w:t>
        </w:r>
      </w:hyperlink>
      <w:r w:rsidRPr="001E70AF">
        <w:t xml:space="preserve">, b) </w:t>
      </w:r>
      <w:hyperlink r:id="rId2885" w:history="1">
        <w:r w:rsidRPr="001E70AF">
          <w:rPr>
            <w:rStyle w:val="Lienhypertexte"/>
          </w:rPr>
          <w:t>http://en.wikipedia.org/wiki/Commiphora_wightii</w:t>
        </w:r>
      </w:hyperlink>
      <w:r w:rsidRPr="001E70AF">
        <w:t xml:space="preserve"> </w:t>
      </w:r>
    </w:p>
    <w:p w14:paraId="6410F763" w14:textId="5BF10836" w:rsidR="00AE40DF" w:rsidRDefault="00AE40DF" w:rsidP="00AE40DF">
      <w:pPr>
        <w:spacing w:after="0" w:line="240" w:lineRule="auto"/>
        <w:jc w:val="center"/>
      </w:pPr>
      <w:r w:rsidRPr="00AE40DF">
        <w:rPr>
          <w:noProof/>
        </w:rPr>
        <w:drawing>
          <wp:inline distT="0" distB="0" distL="0" distR="0" wp14:anchorId="7762E8B7" wp14:editId="2886B848">
            <wp:extent cx="1017637" cy="980728"/>
            <wp:effectExtent l="0" t="0" r="0" b="0"/>
            <wp:docPr id="81923" name="Image 10" descr="Une image contenant plat, légu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23" name="Image 10" descr="Une image contenant plat, légume&#10;&#10;Description générée automatiquement"/>
                    <pic:cNvPicPr>
                      <a:picLocks noChangeAspect="1"/>
                    </pic:cNvPicPr>
                  </pic:nvPicPr>
                  <pic:blipFill>
                    <a:blip r:embed="rId2886">
                      <a:extLst>
                        <a:ext uri="{28A0092B-C50C-407E-A947-70E740481C1C}">
                          <a14:useLocalDpi xmlns:a14="http://schemas.microsoft.com/office/drawing/2010/main" val="0"/>
                        </a:ext>
                      </a:extLst>
                    </a:blip>
                    <a:stretch>
                      <a:fillRect/>
                    </a:stretch>
                  </pic:blipFill>
                  <pic:spPr>
                    <a:xfrm>
                      <a:off x="0" y="0"/>
                      <a:ext cx="1017637" cy="980728"/>
                    </a:xfrm>
                    <a:prstGeom prst="rect">
                      <a:avLst/>
                    </a:prstGeom>
                  </pic:spPr>
                </pic:pic>
              </a:graphicData>
            </a:graphic>
          </wp:inline>
        </w:drawing>
      </w:r>
    </w:p>
    <w:p w14:paraId="48D4E1FF" w14:textId="3814401E" w:rsidR="00AE40DF" w:rsidRDefault="00AE40DF" w:rsidP="00AE40DF">
      <w:pPr>
        <w:spacing w:after="0" w:line="240" w:lineRule="auto"/>
        <w:jc w:val="center"/>
      </w:pPr>
      <w:r w:rsidRPr="00AE40DF">
        <w:t xml:space="preserve">Myrrhe de </w:t>
      </w:r>
      <w:r w:rsidRPr="00AE40DF">
        <w:rPr>
          <w:i/>
          <w:iCs/>
        </w:rPr>
        <w:t>guggul</w:t>
      </w:r>
      <w:r>
        <w:rPr>
          <w:i/>
          <w:iCs/>
        </w:rPr>
        <w:t>.</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AE40DF" w14:paraId="331D88B6" w14:textId="77777777" w:rsidTr="00AE40DF">
        <w:tc>
          <w:tcPr>
            <w:tcW w:w="5208" w:type="dxa"/>
          </w:tcPr>
          <w:p w14:paraId="27F17A5D" w14:textId="77777777" w:rsidR="00AE40DF" w:rsidRDefault="00AE40DF" w:rsidP="00B47C62">
            <w:pPr>
              <w:jc w:val="center"/>
            </w:pPr>
            <w:r w:rsidRPr="00AE40DF">
              <w:rPr>
                <w:noProof/>
              </w:rPr>
              <w:lastRenderedPageBreak/>
              <w:drawing>
                <wp:inline distT="0" distB="0" distL="0" distR="0" wp14:anchorId="0F128603" wp14:editId="54ABD70A">
                  <wp:extent cx="2072907" cy="1552679"/>
                  <wp:effectExtent l="0" t="0" r="3810" b="0"/>
                  <wp:docPr id="93213" name="Image 3" descr="Une image contenant ciel, extérieur, plante, ar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13" name="Image 3" descr="Une image contenant ciel, extérieur, plante, arbre&#10;&#10;Description générée automatiquement"/>
                          <pic:cNvPicPr>
                            <a:picLocks noChangeAspect="1"/>
                          </pic:cNvPicPr>
                        </pic:nvPicPr>
                        <pic:blipFill>
                          <a:blip r:embed="rId2887">
                            <a:extLst>
                              <a:ext uri="{28A0092B-C50C-407E-A947-70E740481C1C}">
                                <a14:useLocalDpi xmlns:a14="http://schemas.microsoft.com/office/drawing/2010/main" val="0"/>
                              </a:ext>
                            </a:extLst>
                          </a:blip>
                          <a:stretch>
                            <a:fillRect/>
                          </a:stretch>
                        </pic:blipFill>
                        <pic:spPr>
                          <a:xfrm>
                            <a:off x="0" y="0"/>
                            <a:ext cx="2072907" cy="1552679"/>
                          </a:xfrm>
                          <a:prstGeom prst="rect">
                            <a:avLst/>
                          </a:prstGeom>
                        </pic:spPr>
                      </pic:pic>
                    </a:graphicData>
                  </a:graphic>
                </wp:inline>
              </w:drawing>
            </w:r>
          </w:p>
          <w:p w14:paraId="75F01CD2" w14:textId="77777777" w:rsidR="00AE40DF" w:rsidRPr="00AE40DF" w:rsidRDefault="00AE40DF" w:rsidP="00B47C62">
            <w:pPr>
              <w:jc w:val="center"/>
              <w:rPr>
                <w:lang w:val="en-GB"/>
              </w:rPr>
            </w:pPr>
            <w:r w:rsidRPr="00AE40DF">
              <w:rPr>
                <w:i/>
                <w:iCs/>
              </w:rPr>
              <w:t xml:space="preserve">Commiphora wightii </w:t>
            </w:r>
            <w:r w:rsidRPr="00AE40DF">
              <w:t xml:space="preserve">: Bhandari, une plante médicinale en danger. </w:t>
            </w:r>
            <w:r w:rsidRPr="00AE40DF">
              <w:rPr>
                <w:lang w:val="en-GB"/>
              </w:rPr>
              <w:t xml:space="preserve">Source : </w:t>
            </w:r>
            <w:r w:rsidRPr="00AE40DF">
              <w:rPr>
                <w:i/>
                <w:iCs/>
                <w:lang w:val="en-GB"/>
              </w:rPr>
              <w:t>Botanical survey of India</w:t>
            </w:r>
            <w:r>
              <w:rPr>
                <w:rStyle w:val="Appelnotedebasdep"/>
              </w:rPr>
              <w:footnoteReference w:id="154"/>
            </w:r>
            <w:r w:rsidRPr="00AE40DF">
              <w:rPr>
                <w:lang w:val="en-GB"/>
              </w:rPr>
              <w:t>,</w:t>
            </w:r>
          </w:p>
        </w:tc>
        <w:tc>
          <w:tcPr>
            <w:tcW w:w="5208" w:type="dxa"/>
          </w:tcPr>
          <w:p w14:paraId="178E98BB" w14:textId="77777777" w:rsidR="00AE40DF" w:rsidRDefault="00AE40DF" w:rsidP="00B47C62">
            <w:pPr>
              <w:jc w:val="center"/>
            </w:pPr>
            <w:r w:rsidRPr="00AE40DF">
              <w:rPr>
                <w:noProof/>
              </w:rPr>
              <w:drawing>
                <wp:inline distT="0" distB="0" distL="0" distR="0" wp14:anchorId="5F656C14" wp14:editId="50F0261D">
                  <wp:extent cx="1939521" cy="1452768"/>
                  <wp:effectExtent l="0" t="0" r="3810" b="0"/>
                  <wp:docPr id="93214" name="Image 4" descr="Une image contenant extérieur, vert, plante, ar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14" name="Image 4" descr="Une image contenant extérieur, vert, plante, arbre&#10;&#10;Description générée automatiquement"/>
                          <pic:cNvPicPr>
                            <a:picLocks noChangeAspect="1"/>
                          </pic:cNvPicPr>
                        </pic:nvPicPr>
                        <pic:blipFill>
                          <a:blip r:embed="rId2888">
                            <a:extLst>
                              <a:ext uri="{28A0092B-C50C-407E-A947-70E740481C1C}">
                                <a14:useLocalDpi xmlns:a14="http://schemas.microsoft.com/office/drawing/2010/main" val="0"/>
                              </a:ext>
                            </a:extLst>
                          </a:blip>
                          <a:stretch>
                            <a:fillRect/>
                          </a:stretch>
                        </pic:blipFill>
                        <pic:spPr>
                          <a:xfrm>
                            <a:off x="0" y="0"/>
                            <a:ext cx="1939521" cy="1452768"/>
                          </a:xfrm>
                          <a:prstGeom prst="rect">
                            <a:avLst/>
                          </a:prstGeom>
                        </pic:spPr>
                      </pic:pic>
                    </a:graphicData>
                  </a:graphic>
                </wp:inline>
              </w:drawing>
            </w:r>
          </w:p>
          <w:p w14:paraId="5485FBE6" w14:textId="77777777" w:rsidR="00AE40DF" w:rsidRDefault="00AE40DF" w:rsidP="00B47C62">
            <w:pPr>
              <w:jc w:val="center"/>
            </w:pPr>
            <w:r w:rsidRPr="00AE40DF">
              <w:t>Source image</w:t>
            </w:r>
            <w:r>
              <w:rPr>
                <w:rStyle w:val="Appelnotedebasdep"/>
              </w:rPr>
              <w:footnoteReference w:id="155"/>
            </w:r>
            <w:r>
              <w:t>.</w:t>
            </w:r>
          </w:p>
        </w:tc>
      </w:tr>
      <w:tr w:rsidR="001E70AF" w14:paraId="043FEBBF" w14:textId="77777777" w:rsidTr="00AE40DF">
        <w:tc>
          <w:tcPr>
            <w:tcW w:w="5208" w:type="dxa"/>
          </w:tcPr>
          <w:p w14:paraId="6EEC9DAC" w14:textId="77777777" w:rsidR="001E70AF" w:rsidRDefault="001E70AF" w:rsidP="001E70AF">
            <w:pPr>
              <w:jc w:val="center"/>
            </w:pPr>
            <w:r w:rsidRPr="001E70AF">
              <w:rPr>
                <w:noProof/>
              </w:rPr>
              <w:drawing>
                <wp:inline distT="0" distB="0" distL="0" distR="0" wp14:anchorId="757FFA54" wp14:editId="49B35A42">
                  <wp:extent cx="1560201" cy="1985710"/>
                  <wp:effectExtent l="0" t="0" r="1905" b="0"/>
                  <wp:docPr id="93211"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 27"/>
                          <pic:cNvPicPr>
                            <a:picLocks noChangeAspect="1"/>
                          </pic:cNvPicPr>
                        </pic:nvPicPr>
                        <pic:blipFill>
                          <a:blip r:embed="rId2889">
                            <a:extLst>
                              <a:ext uri="{28A0092B-C50C-407E-A947-70E740481C1C}">
                                <a14:useLocalDpi xmlns:a14="http://schemas.microsoft.com/office/drawing/2010/main" val="0"/>
                              </a:ext>
                            </a:extLst>
                          </a:blip>
                          <a:stretch>
                            <a:fillRect/>
                          </a:stretch>
                        </pic:blipFill>
                        <pic:spPr>
                          <a:xfrm>
                            <a:off x="0" y="0"/>
                            <a:ext cx="1560201" cy="1985710"/>
                          </a:xfrm>
                          <a:prstGeom prst="rect">
                            <a:avLst/>
                          </a:prstGeom>
                        </pic:spPr>
                      </pic:pic>
                    </a:graphicData>
                  </a:graphic>
                </wp:inline>
              </w:drawing>
            </w:r>
          </w:p>
          <w:p w14:paraId="71B95C80" w14:textId="13A1AD91" w:rsidR="001E70AF" w:rsidRDefault="001E70AF" w:rsidP="001E70AF">
            <w:pPr>
              <w:jc w:val="center"/>
            </w:pPr>
            <w:r w:rsidRPr="001E70AF">
              <w:rPr>
                <w:i/>
                <w:iCs/>
              </w:rPr>
              <w:t>Commiphora wightii</w:t>
            </w:r>
            <w:r w:rsidR="003B72CB">
              <w:rPr>
                <w:rStyle w:val="Appelnotedebasdep"/>
                <w:i/>
                <w:iCs/>
              </w:rPr>
              <w:footnoteReference w:id="156"/>
            </w:r>
            <w:r w:rsidRPr="001E70AF">
              <w:rPr>
                <w:i/>
                <w:iCs/>
              </w:rPr>
              <w:t>.</w:t>
            </w:r>
          </w:p>
        </w:tc>
        <w:tc>
          <w:tcPr>
            <w:tcW w:w="5208" w:type="dxa"/>
          </w:tcPr>
          <w:p w14:paraId="2254A4C0" w14:textId="77777777" w:rsidR="001E70AF" w:rsidRDefault="00AE40DF" w:rsidP="001E70AF">
            <w:pPr>
              <w:jc w:val="center"/>
            </w:pPr>
            <w:r w:rsidRPr="00AE40DF">
              <w:rPr>
                <w:noProof/>
              </w:rPr>
              <w:drawing>
                <wp:inline distT="0" distB="0" distL="0" distR="0" wp14:anchorId="2C7FBC2F" wp14:editId="3B631C4F">
                  <wp:extent cx="2179757" cy="1632713"/>
                  <wp:effectExtent l="0" t="0" r="0" b="5715"/>
                  <wp:docPr id="9321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pic:cNvPicPr>
                            <a:picLocks noChangeAspect="1"/>
                          </pic:cNvPicPr>
                        </pic:nvPicPr>
                        <pic:blipFill>
                          <a:blip r:embed="rId2890">
                            <a:extLst>
                              <a:ext uri="{28A0092B-C50C-407E-A947-70E740481C1C}">
                                <a14:useLocalDpi xmlns:a14="http://schemas.microsoft.com/office/drawing/2010/main" val="0"/>
                              </a:ext>
                            </a:extLst>
                          </a:blip>
                          <a:stretch>
                            <a:fillRect/>
                          </a:stretch>
                        </pic:blipFill>
                        <pic:spPr>
                          <a:xfrm>
                            <a:off x="0" y="0"/>
                            <a:ext cx="2179757" cy="1632713"/>
                          </a:xfrm>
                          <a:prstGeom prst="rect">
                            <a:avLst/>
                          </a:prstGeom>
                        </pic:spPr>
                      </pic:pic>
                    </a:graphicData>
                  </a:graphic>
                </wp:inline>
              </w:drawing>
            </w:r>
          </w:p>
          <w:p w14:paraId="6F1E9B7D" w14:textId="34C4DB92" w:rsidR="00AE40DF" w:rsidRDefault="00AE40DF" w:rsidP="001E70AF">
            <w:pPr>
              <w:jc w:val="center"/>
            </w:pPr>
            <w:r w:rsidRPr="00AE40DF">
              <w:t xml:space="preserve">Source : </w:t>
            </w:r>
            <w:hyperlink r:id="rId2891" w:history="1">
              <w:r w:rsidRPr="00AE40DF">
                <w:rPr>
                  <w:rStyle w:val="Lienhypertexte"/>
                </w:rPr>
                <w:t>http://www.dmapr.org.in/MandCrop</w:t>
              </w:r>
            </w:hyperlink>
          </w:p>
        </w:tc>
      </w:tr>
    </w:tbl>
    <w:p w14:paraId="5D243C95" w14:textId="77777777" w:rsidR="001E70AF" w:rsidRDefault="001E70AF" w:rsidP="008175B4">
      <w:pPr>
        <w:spacing w:after="0" w:line="240" w:lineRule="auto"/>
      </w:pPr>
    </w:p>
    <w:p w14:paraId="26913223" w14:textId="394615DE" w:rsidR="005A18E6" w:rsidRDefault="008175B4" w:rsidP="00A95DE0">
      <w:pPr>
        <w:pStyle w:val="Titre2"/>
      </w:pPr>
      <w:bookmarkStart w:id="224" w:name="_Toc139181515"/>
      <w:r w:rsidRPr="008175B4">
        <w:t>Myrrhe africaine (</w:t>
      </w:r>
      <w:r w:rsidRPr="008175B4">
        <w:rPr>
          <w:i/>
          <w:iCs/>
        </w:rPr>
        <w:t>Commiphora africana</w:t>
      </w:r>
      <w:r w:rsidRPr="008175B4">
        <w:t>)</w:t>
      </w:r>
      <w:bookmarkEnd w:id="224"/>
    </w:p>
    <w:p w14:paraId="3C33F8C9" w14:textId="5130BB3B" w:rsidR="00AE40DF" w:rsidRDefault="00AE40DF" w:rsidP="004F05A8">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7"/>
        <w:gridCol w:w="2182"/>
        <w:gridCol w:w="1098"/>
        <w:gridCol w:w="962"/>
        <w:gridCol w:w="1397"/>
      </w:tblGrid>
      <w:tr w:rsidR="009A0DBE" w:rsidRPr="000B6BE3" w14:paraId="54353098" w14:textId="77777777" w:rsidTr="00B47C62">
        <w:tc>
          <w:tcPr>
            <w:tcW w:w="4957" w:type="dxa"/>
          </w:tcPr>
          <w:p w14:paraId="683A32FB" w14:textId="77777777" w:rsidR="009A0DBE" w:rsidRPr="000B6BE3" w:rsidRDefault="009A0DBE" w:rsidP="00B47C62">
            <w:pPr>
              <w:rPr>
                <w:rFonts w:cstheme="minorHAnsi"/>
                <w:bCs/>
              </w:rPr>
            </w:pPr>
            <w:r w:rsidRPr="000B6BE3">
              <w:rPr>
                <w:rFonts w:cstheme="minorHAnsi"/>
                <w:bCs/>
              </w:rPr>
              <w:t>(</w:t>
            </w:r>
            <w:hyperlink r:id="rId2892" w:history="1">
              <w:r w:rsidRPr="000B6BE3">
                <w:rPr>
                  <w:rFonts w:cstheme="minorHAnsi"/>
                </w:rPr>
                <w:t>F</w:t>
              </w:r>
              <w:r w:rsidRPr="000B6BE3">
                <w:rPr>
                  <w:rStyle w:val="Lienhypertexte"/>
                  <w:rFonts w:cstheme="minorHAnsi"/>
                  <w:color w:val="0B0080"/>
                  <w:shd w:val="clear" w:color="auto" w:fill="FFFFFF"/>
                </w:rPr>
                <w:t>amille</w:t>
              </w:r>
            </w:hyperlink>
            <w:r w:rsidRPr="000B6BE3">
              <w:rPr>
                <w:rFonts w:cstheme="minorHAnsi"/>
                <w:color w:val="222222"/>
                <w:shd w:val="clear" w:color="auto" w:fill="FFFFFF"/>
              </w:rPr>
              <w:t> </w:t>
            </w:r>
            <w:r w:rsidRPr="00FC05CB">
              <w:rPr>
                <w:rFonts w:cstheme="minorHAnsi"/>
                <w:color w:val="000000" w:themeColor="text1"/>
                <w:shd w:val="clear" w:color="auto" w:fill="FFFFFF"/>
              </w:rPr>
              <w:t>des </w:t>
            </w:r>
            <w:hyperlink r:id="rId2893" w:history="1">
              <w:r w:rsidRPr="002B7DCD">
                <w:rPr>
                  <w:rStyle w:val="Lienhypertexte"/>
                  <w:i/>
                  <w:iCs/>
                </w:rPr>
                <w:t>Burseraceae</w:t>
              </w:r>
            </w:hyperlink>
            <w:r w:rsidRPr="00FC05CB">
              <w:rPr>
                <w:rFonts w:cstheme="minorHAnsi"/>
                <w:bCs/>
                <w:color w:val="000000" w:themeColor="text1"/>
              </w:rPr>
              <w:t>).</w:t>
            </w:r>
          </w:p>
          <w:p w14:paraId="1BC2A91E" w14:textId="77777777" w:rsidR="009A0DBE" w:rsidRPr="000B6BE3" w:rsidRDefault="009A0DBE" w:rsidP="00B47C62">
            <w:pPr>
              <w:rPr>
                <w:rFonts w:cstheme="minorHAnsi"/>
                <w:bCs/>
              </w:rPr>
            </w:pPr>
          </w:p>
          <w:p w14:paraId="15DEA6E3" w14:textId="77777777" w:rsidR="009A0DBE" w:rsidRPr="000B6BE3" w:rsidRDefault="009A0DBE" w:rsidP="00B47C62">
            <w:pPr>
              <w:rPr>
                <w:rFonts w:cstheme="minorHAnsi"/>
              </w:rPr>
            </w:pPr>
          </w:p>
        </w:tc>
        <w:tc>
          <w:tcPr>
            <w:tcW w:w="2268" w:type="dxa"/>
          </w:tcPr>
          <w:p w14:paraId="19B514C7" w14:textId="77777777" w:rsidR="009A0DBE" w:rsidRPr="000B6BE3" w:rsidRDefault="009A0DBE" w:rsidP="00B47C62">
            <w:pPr>
              <w:rPr>
                <w:rFonts w:cstheme="minorHAnsi"/>
              </w:rPr>
            </w:pPr>
            <w:r>
              <w:rPr>
                <w:rFonts w:cstheme="minorHAnsi"/>
              </w:rPr>
              <w:t xml:space="preserve"> </w:t>
            </w:r>
            <w:r w:rsidRPr="00125C62">
              <w:rPr>
                <w:rFonts w:cstheme="minorHAnsi"/>
                <w:noProof/>
              </w:rPr>
              <w:drawing>
                <wp:inline distT="0" distB="0" distL="0" distR="0" wp14:anchorId="1796225E" wp14:editId="75B1403E">
                  <wp:extent cx="495300" cy="666750"/>
                  <wp:effectExtent l="0" t="0" r="0" b="0"/>
                  <wp:docPr id="81934" name="Image 11"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11" descr="logo aride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rPr>
              <w:t> </w:t>
            </w:r>
          </w:p>
        </w:tc>
        <w:tc>
          <w:tcPr>
            <w:tcW w:w="1134" w:type="dxa"/>
          </w:tcPr>
          <w:p w14:paraId="52EAE69E" w14:textId="77777777" w:rsidR="009A0DBE" w:rsidRPr="00B000E9" w:rsidRDefault="009A0DBE" w:rsidP="00B47C62">
            <w:pPr>
              <w:textAlignment w:val="baseline"/>
              <w:rPr>
                <w:rFonts w:ascii="Times New Roman" w:eastAsia="Times New Roman" w:hAnsi="Times New Roman" w:cs="Times New Roman"/>
                <w:sz w:val="36"/>
                <w:szCs w:val="36"/>
                <w:lang w:eastAsia="fr-FR"/>
              </w:rPr>
            </w:pPr>
            <w:r w:rsidRPr="00B000E9">
              <w:rPr>
                <w:rFonts w:ascii="Arial" w:eastAsia="+mn-ea" w:hAnsi="Arial" w:cs="Arial"/>
                <w:b/>
                <w:bCs/>
                <w:color w:val="008000"/>
                <w:kern w:val="24"/>
                <w:sz w:val="36"/>
                <w:szCs w:val="36"/>
                <w:lang w:eastAsia="fr-FR"/>
              </w:rPr>
              <w:t>$</w:t>
            </w:r>
            <w:r>
              <w:rPr>
                <w:rFonts w:ascii="Arial" w:eastAsia="+mn-ea" w:hAnsi="Arial" w:cs="Arial"/>
                <w:b/>
                <w:bCs/>
                <w:color w:val="008000"/>
                <w:kern w:val="24"/>
                <w:sz w:val="36"/>
                <w:szCs w:val="36"/>
                <w:lang w:eastAsia="fr-FR"/>
              </w:rPr>
              <w:t>$</w:t>
            </w:r>
          </w:p>
        </w:tc>
        <w:tc>
          <w:tcPr>
            <w:tcW w:w="992" w:type="dxa"/>
          </w:tcPr>
          <w:p w14:paraId="189E0A73" w14:textId="77777777" w:rsidR="009A0DBE" w:rsidRDefault="009A0DBE" w:rsidP="00B47C62">
            <w:pPr>
              <w:pStyle w:val="NormalWeb"/>
              <w:spacing w:before="0" w:beforeAutospacing="0" w:after="0" w:afterAutospacing="0"/>
              <w:textAlignment w:val="baseline"/>
            </w:pPr>
            <w:r>
              <w:rPr>
                <w:rFonts w:ascii="Arial" w:eastAsia="+mn-ea" w:hAnsi="Arial" w:cs="Arial"/>
                <w:b/>
                <w:bCs/>
                <w:color w:val="008000"/>
                <w:kern w:val="24"/>
                <w:sz w:val="48"/>
                <w:szCs w:val="48"/>
              </w:rPr>
              <w:t xml:space="preserve">U </w:t>
            </w:r>
          </w:p>
          <w:p w14:paraId="0203A976" w14:textId="77777777" w:rsidR="009A0DBE" w:rsidRPr="000B6BE3" w:rsidRDefault="009A0DBE" w:rsidP="00B47C62">
            <w:pPr>
              <w:rPr>
                <w:rFonts w:cstheme="minorHAnsi"/>
              </w:rPr>
            </w:pPr>
          </w:p>
        </w:tc>
        <w:tc>
          <w:tcPr>
            <w:tcW w:w="1439" w:type="dxa"/>
          </w:tcPr>
          <w:p w14:paraId="6188B283" w14:textId="25399B69" w:rsidR="009A0DBE" w:rsidRPr="000B6BE3" w:rsidRDefault="000666E5" w:rsidP="00B47C62">
            <w:pPr>
              <w:rPr>
                <w:rFonts w:cstheme="minorHAnsi"/>
              </w:rPr>
            </w:pPr>
            <w:r w:rsidRPr="00853ED0">
              <w:rPr>
                <w:noProof/>
              </w:rPr>
              <w:drawing>
                <wp:inline distT="0" distB="0" distL="0" distR="0" wp14:anchorId="2E0BD04E" wp14:editId="16430CEA">
                  <wp:extent cx="400050" cy="352425"/>
                  <wp:effectExtent l="0" t="0" r="0" b="9525"/>
                  <wp:docPr id="156673" name="Image 21">
                    <a:extLst xmlns:a="http://schemas.openxmlformats.org/drawingml/2006/main">
                      <a:ext uri="{FF2B5EF4-FFF2-40B4-BE49-F238E27FC236}">
                        <a16:creationId xmlns:a16="http://schemas.microsoft.com/office/drawing/2014/main" id="{F52353B3-AA67-41AB-ACE3-C9465695F4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3" name="Image 21">
                            <a:extLst>
                              <a:ext uri="{FF2B5EF4-FFF2-40B4-BE49-F238E27FC236}">
                                <a16:creationId xmlns:a16="http://schemas.microsoft.com/office/drawing/2014/main" id="{F52353B3-AA67-41AB-ACE3-C9465695F4BE}"/>
                              </a:ext>
                            </a:extLst>
                          </pic:cNvPr>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558B9E06" w14:textId="77777777" w:rsidR="009A0DBE" w:rsidRDefault="009A0DBE" w:rsidP="004F05A8">
      <w:pPr>
        <w:spacing w:after="0" w:line="240" w:lineRule="auto"/>
        <w:jc w:val="both"/>
      </w:pPr>
    </w:p>
    <w:p w14:paraId="5C87A56C" w14:textId="77777777" w:rsidR="009A0DBE" w:rsidRPr="009A0DBE" w:rsidRDefault="009A0DBE" w:rsidP="009A0DBE">
      <w:pPr>
        <w:spacing w:after="0" w:line="240" w:lineRule="auto"/>
        <w:jc w:val="both"/>
      </w:pPr>
      <w:r w:rsidRPr="009A0DBE">
        <w:t xml:space="preserve">Cet arbre </w:t>
      </w:r>
      <w:r w:rsidRPr="000666E5">
        <w:rPr>
          <w:i/>
          <w:iCs/>
        </w:rPr>
        <w:t>épineux</w:t>
      </w:r>
      <w:r w:rsidRPr="009A0DBE">
        <w:t xml:space="preserve"> à </w:t>
      </w:r>
      <w:hyperlink r:id="rId2894" w:history="1">
        <w:r w:rsidRPr="009A0DBE">
          <w:rPr>
            <w:rStyle w:val="Lienhypertexte"/>
          </w:rPr>
          <w:t>feuilles caduques</w:t>
        </w:r>
      </w:hyperlink>
      <w:r w:rsidRPr="009A0DBE">
        <w:t xml:space="preserve">, d’environ 5 m de haut, est largement répandu dans les régions sèches de l’Afrique </w:t>
      </w:r>
      <w:hyperlink r:id="rId2895" w:history="1">
        <w:r w:rsidRPr="009A0DBE">
          <w:rPr>
            <w:rStyle w:val="Lienhypertexte"/>
          </w:rPr>
          <w:t>subsaharienne</w:t>
        </w:r>
      </w:hyperlink>
      <w:r w:rsidRPr="009A0DBE">
        <w:t xml:space="preserve"> _ </w:t>
      </w:r>
      <w:hyperlink r:id="rId2896" w:history="1">
        <w:r w:rsidRPr="009A0DBE">
          <w:rPr>
            <w:rStyle w:val="Lienhypertexte"/>
          </w:rPr>
          <w:t>Angola</w:t>
        </w:r>
      </w:hyperlink>
      <w:r w:rsidRPr="009A0DBE">
        <w:t xml:space="preserve">, </w:t>
      </w:r>
      <w:hyperlink r:id="rId2897" w:history="1">
        <w:r w:rsidRPr="009A0DBE">
          <w:rPr>
            <w:rStyle w:val="Lienhypertexte"/>
          </w:rPr>
          <w:t>Botswana</w:t>
        </w:r>
      </w:hyperlink>
      <w:r w:rsidRPr="009A0DBE">
        <w:t>, </w:t>
      </w:r>
      <w:hyperlink r:id="rId2898" w:history="1">
        <w:r w:rsidRPr="009A0DBE">
          <w:rPr>
            <w:rStyle w:val="Lienhypertexte"/>
          </w:rPr>
          <w:t>Burkina Faso</w:t>
        </w:r>
      </w:hyperlink>
      <w:r w:rsidRPr="009A0DBE">
        <w:t xml:space="preserve">, au </w:t>
      </w:r>
      <w:hyperlink r:id="rId2899" w:history="1">
        <w:r w:rsidRPr="009A0DBE">
          <w:rPr>
            <w:rStyle w:val="Lienhypertexte"/>
          </w:rPr>
          <w:t>Tchad</w:t>
        </w:r>
      </w:hyperlink>
      <w:r w:rsidRPr="009A0DBE">
        <w:t>, en </w:t>
      </w:r>
      <w:hyperlink r:id="rId2900" w:history="1">
        <w:r w:rsidRPr="009A0DBE">
          <w:rPr>
            <w:rStyle w:val="Lienhypertexte"/>
          </w:rPr>
          <w:t>Erythrée</w:t>
        </w:r>
      </w:hyperlink>
      <w:r w:rsidRPr="009A0DBE">
        <w:t> , en </w:t>
      </w:r>
      <w:hyperlink r:id="rId2901" w:history="1">
        <w:r w:rsidRPr="009A0DBE">
          <w:rPr>
            <w:rStyle w:val="Lienhypertexte"/>
          </w:rPr>
          <w:t>Ethiopie</w:t>
        </w:r>
      </w:hyperlink>
      <w:r w:rsidRPr="009A0DBE">
        <w:t>, au </w:t>
      </w:r>
      <w:hyperlink r:id="rId2902" w:history="1">
        <w:r w:rsidRPr="009A0DBE">
          <w:rPr>
            <w:rStyle w:val="Lienhypertexte"/>
          </w:rPr>
          <w:t>Kenya</w:t>
        </w:r>
      </w:hyperlink>
      <w:r w:rsidRPr="009A0DBE">
        <w:t>, au </w:t>
      </w:r>
      <w:hyperlink r:id="rId2903" w:history="1">
        <w:r w:rsidRPr="009A0DBE">
          <w:rPr>
            <w:rStyle w:val="Lienhypertexte"/>
          </w:rPr>
          <w:t>Mali</w:t>
        </w:r>
      </w:hyperlink>
      <w:r w:rsidRPr="009A0DBE">
        <w:t>, en </w:t>
      </w:r>
      <w:hyperlink r:id="rId2904" w:history="1">
        <w:r w:rsidRPr="009A0DBE">
          <w:rPr>
            <w:rStyle w:val="Lienhypertexte"/>
          </w:rPr>
          <w:t>Mauritanie</w:t>
        </w:r>
      </w:hyperlink>
      <w:r w:rsidRPr="009A0DBE">
        <w:t>, au </w:t>
      </w:r>
      <w:hyperlink r:id="rId2905" w:history="1">
        <w:r w:rsidRPr="009A0DBE">
          <w:rPr>
            <w:rStyle w:val="Lienhypertexte"/>
          </w:rPr>
          <w:t>Mozambique</w:t>
        </w:r>
      </w:hyperlink>
      <w:r w:rsidRPr="009A0DBE">
        <w:t xml:space="preserve">, en </w:t>
      </w:r>
      <w:hyperlink r:id="rId2906" w:history="1">
        <w:r w:rsidRPr="009A0DBE">
          <w:rPr>
            <w:rStyle w:val="Lienhypertexte"/>
          </w:rPr>
          <w:t>Namibie</w:t>
        </w:r>
      </w:hyperlink>
      <w:r w:rsidRPr="009A0DBE">
        <w:t xml:space="preserve">, au </w:t>
      </w:r>
      <w:hyperlink r:id="rId2907" w:history="1">
        <w:r w:rsidRPr="009A0DBE">
          <w:rPr>
            <w:rStyle w:val="Lienhypertexte"/>
          </w:rPr>
          <w:t>Niger</w:t>
        </w:r>
      </w:hyperlink>
      <w:r w:rsidRPr="009A0DBE">
        <w:t xml:space="preserve">, au </w:t>
      </w:r>
      <w:hyperlink r:id="rId2908" w:history="1">
        <w:r w:rsidRPr="009A0DBE">
          <w:rPr>
            <w:rStyle w:val="Lienhypertexte"/>
          </w:rPr>
          <w:t>Sénégal</w:t>
        </w:r>
      </w:hyperlink>
      <w:r w:rsidRPr="009A0DBE">
        <w:t xml:space="preserve">, en </w:t>
      </w:r>
      <w:hyperlink r:id="rId2909" w:history="1">
        <w:r w:rsidRPr="009A0DBE">
          <w:rPr>
            <w:rStyle w:val="Lienhypertexte"/>
          </w:rPr>
          <w:t>Somalie</w:t>
        </w:r>
      </w:hyperlink>
      <w:r w:rsidRPr="009A0DBE">
        <w:t xml:space="preserve">, en </w:t>
      </w:r>
      <w:hyperlink r:id="rId2910" w:history="1">
        <w:r w:rsidRPr="009A0DBE">
          <w:rPr>
            <w:rStyle w:val="Lienhypertexte"/>
          </w:rPr>
          <w:t>Afrique du Sud</w:t>
        </w:r>
      </w:hyperlink>
      <w:r w:rsidRPr="009A0DBE">
        <w:t>, au </w:t>
      </w:r>
      <w:hyperlink r:id="rId2911" w:history="1">
        <w:r w:rsidRPr="009A0DBE">
          <w:rPr>
            <w:rStyle w:val="Lienhypertexte"/>
          </w:rPr>
          <w:t>Soudan</w:t>
        </w:r>
      </w:hyperlink>
      <w:r w:rsidRPr="009A0DBE">
        <w:t>, au </w:t>
      </w:r>
      <w:hyperlink r:id="rId2912" w:history="1">
        <w:r w:rsidRPr="009A0DBE">
          <w:rPr>
            <w:rStyle w:val="Lienhypertexte"/>
          </w:rPr>
          <w:t>Swaziland</w:t>
        </w:r>
      </w:hyperlink>
      <w:r w:rsidRPr="009A0DBE">
        <w:t>, en </w:t>
      </w:r>
      <w:hyperlink r:id="rId2913" w:history="1">
        <w:r w:rsidRPr="009A0DBE">
          <w:rPr>
            <w:rStyle w:val="Lienhypertexte"/>
          </w:rPr>
          <w:t>Tanzanie</w:t>
        </w:r>
      </w:hyperlink>
      <w:r w:rsidRPr="009A0DBE">
        <w:t>, en </w:t>
      </w:r>
      <w:hyperlink r:id="rId2914" w:history="1">
        <w:r w:rsidRPr="009A0DBE">
          <w:rPr>
            <w:rStyle w:val="Lienhypertexte"/>
          </w:rPr>
          <w:t>Ouganda</w:t>
        </w:r>
      </w:hyperlink>
      <w:r w:rsidRPr="009A0DBE">
        <w:t>, en </w:t>
      </w:r>
      <w:hyperlink r:id="rId2915" w:history="1">
        <w:r w:rsidRPr="009A0DBE">
          <w:rPr>
            <w:rStyle w:val="Lienhypertexte"/>
          </w:rPr>
          <w:t>Zambie</w:t>
        </w:r>
      </w:hyperlink>
      <w:r w:rsidRPr="009A0DBE">
        <w:t>, au </w:t>
      </w:r>
      <w:hyperlink r:id="rId2916" w:history="1">
        <w:r w:rsidRPr="009A0DBE">
          <w:rPr>
            <w:rStyle w:val="Lienhypertexte"/>
          </w:rPr>
          <w:t>Zimbabwe</w:t>
        </w:r>
      </w:hyperlink>
      <w:r w:rsidRPr="009A0DBE">
        <w:t>.</w:t>
      </w:r>
    </w:p>
    <w:p w14:paraId="5AE1F5CD" w14:textId="23492348" w:rsidR="009A0DBE" w:rsidRPr="009A0DBE" w:rsidRDefault="009A0DBE" w:rsidP="009A0DBE">
      <w:pPr>
        <w:spacing w:after="0" w:line="240" w:lineRule="auto"/>
        <w:jc w:val="both"/>
      </w:pPr>
      <w:r w:rsidRPr="009A0DBE">
        <w:t>Il est commun dans la brousse d’</w:t>
      </w:r>
      <w:r w:rsidRPr="009A0DBE">
        <w:rPr>
          <w:i/>
          <w:iCs/>
        </w:rPr>
        <w:t>Acacia-Commiphora</w:t>
      </w:r>
      <w:r w:rsidRPr="009A0DBE">
        <w:t xml:space="preserve"> et habituellement présent dans les savanes sèches et le Sahel. </w:t>
      </w:r>
    </w:p>
    <w:p w14:paraId="299FA3F3" w14:textId="77777777" w:rsidR="009A0DBE" w:rsidRPr="009A0DBE" w:rsidRDefault="009A0DBE" w:rsidP="009A0DBE">
      <w:pPr>
        <w:spacing w:after="0" w:line="240" w:lineRule="auto"/>
        <w:jc w:val="both"/>
      </w:pPr>
      <w:r w:rsidRPr="009A0DBE">
        <w:t>Sur les sols sablonneux, cette espèce forme parfois des peuplements purs. L’écorce est gris-vert, parfois brillante, pelant en lambeaux rougeâtres. L’intérieur d’une entaille dans l’écorce est rougeâtre, et exsude une gomme claire, le </w:t>
      </w:r>
      <w:hyperlink r:id="rId2917" w:history="1">
        <w:r w:rsidRPr="009A0DBE">
          <w:rPr>
            <w:rStyle w:val="Lienhypertexte"/>
            <w:i/>
            <w:iCs/>
          </w:rPr>
          <w:t>bdellion</w:t>
        </w:r>
      </w:hyperlink>
      <w:r w:rsidRPr="009A0DBE">
        <w:t xml:space="preserve">, aromatique et </w:t>
      </w:r>
      <w:r w:rsidRPr="009A0DBE">
        <w:rPr>
          <w:i/>
          <w:iCs/>
        </w:rPr>
        <w:t>comestible</w:t>
      </w:r>
      <w:r w:rsidRPr="009A0DBE">
        <w:t xml:space="preserve">. Les fruits rouges </w:t>
      </w:r>
      <w:r w:rsidRPr="009A0DBE">
        <w:rPr>
          <w:i/>
          <w:iCs/>
        </w:rPr>
        <w:t>comestibles</w:t>
      </w:r>
      <w:r w:rsidRPr="009A0DBE">
        <w:t xml:space="preserve"> ont environ 6-8 mm de diamètre. Les racines douces, succulentes sont souvent mâchés par les humains. Les nouvelles feuilles sont recherchés par les chameaux et les chèvres, en particulier au début de la saison sèche. Cet arbre est extrêmement sensible à l'humidité atmosphérique et développera ses bourgeons à la première trace de des vents chargés d'humidité. Par conséquent, il est le premier arbre à entrer en feuille avec l'arrivée de la saison des pluies, et demeure remarquablement vert pendant toute la période des pluies. Au </w:t>
      </w:r>
      <w:hyperlink r:id="rId2918" w:history="1">
        <w:r w:rsidRPr="009A0DBE">
          <w:rPr>
            <w:rStyle w:val="Lienhypertexte"/>
          </w:rPr>
          <w:t>Sahel</w:t>
        </w:r>
      </w:hyperlink>
      <w:r w:rsidRPr="009A0DBE">
        <w:t>, cette apparence fraîche frappante n’est partagée qu’avec le </w:t>
      </w:r>
      <w:hyperlink r:id="rId2919" w:history="1">
        <w:r w:rsidRPr="009A0DBE">
          <w:rPr>
            <w:rStyle w:val="Lienhypertexte"/>
            <w:i/>
            <w:iCs/>
          </w:rPr>
          <w:t>Salvadora</w:t>
        </w:r>
      </w:hyperlink>
      <w:hyperlink r:id="rId2920" w:history="1">
        <w:r w:rsidRPr="009A0DBE">
          <w:rPr>
            <w:rStyle w:val="Lienhypertexte"/>
            <w:i/>
            <w:iCs/>
          </w:rPr>
          <w:t xml:space="preserve"> </w:t>
        </w:r>
      </w:hyperlink>
      <w:hyperlink r:id="rId2921" w:history="1">
        <w:r w:rsidRPr="009A0DBE">
          <w:rPr>
            <w:rStyle w:val="Lienhypertexte"/>
            <w:i/>
            <w:iCs/>
          </w:rPr>
          <w:t>persica</w:t>
        </w:r>
      </w:hyperlink>
      <w:r w:rsidRPr="009A0DBE">
        <w:t xml:space="preserve">. Il est </w:t>
      </w:r>
      <w:r w:rsidRPr="009A0DBE">
        <w:lastRenderedPageBreak/>
        <w:t xml:space="preserve">particulièrement approprié pour constituer des haies vives. </w:t>
      </w:r>
      <w:r w:rsidRPr="009A0DBE">
        <w:rPr>
          <w:u w:val="single"/>
        </w:rPr>
        <w:t>Altitude</w:t>
      </w:r>
      <w:r w:rsidRPr="009A0DBE">
        <w:t xml:space="preserve"> : 300 à 1900 m. </w:t>
      </w:r>
      <w:r w:rsidRPr="009A0DBE">
        <w:rPr>
          <w:u w:val="single"/>
        </w:rPr>
        <w:t>Précipitations annuelles moyennes</w:t>
      </w:r>
      <w:r w:rsidRPr="009A0DBE">
        <w:t xml:space="preserve"> : 150 – 900 mm. </w:t>
      </w:r>
      <w:r w:rsidRPr="009A0DBE">
        <w:rPr>
          <w:u w:val="single"/>
        </w:rPr>
        <w:t>Multiplication</w:t>
      </w:r>
      <w:r w:rsidRPr="009A0DBE">
        <w:t xml:space="preserve"> : par bouturage.</w:t>
      </w:r>
    </w:p>
    <w:p w14:paraId="6DA11A69" w14:textId="42283DE0" w:rsidR="009A0DBE" w:rsidRPr="009A0DBE" w:rsidRDefault="009A0DBE" w:rsidP="009A0DBE">
      <w:pPr>
        <w:spacing w:after="0" w:line="240" w:lineRule="auto"/>
        <w:jc w:val="both"/>
      </w:pPr>
      <w:r w:rsidRPr="009A0DBE">
        <w:t>Les feuilles apparaissent au moment de la saison des pluies ou un peu avant. Il perd ses feuilles au début de la saison sèche.</w:t>
      </w:r>
      <w:r>
        <w:t xml:space="preserve"> </w:t>
      </w:r>
      <w:r w:rsidRPr="009A0DBE">
        <w:t xml:space="preserve">Cette plante hôte est la nourriture préférée du coléoptère </w:t>
      </w:r>
      <w:hyperlink r:id="rId2922" w:history="1">
        <w:r w:rsidRPr="009A0DBE">
          <w:rPr>
            <w:rStyle w:val="Lienhypertexte"/>
            <w:i/>
            <w:iCs/>
          </w:rPr>
          <w:t>Diamphidia</w:t>
        </w:r>
      </w:hyperlink>
      <w:r w:rsidRPr="009A0DBE">
        <w:t xml:space="preserve">, dont la larve est utilisée comme un </w:t>
      </w:r>
      <w:r w:rsidRPr="009A0DBE">
        <w:rPr>
          <w:i/>
          <w:iCs/>
        </w:rPr>
        <w:t>puissant poison de flèche</w:t>
      </w:r>
      <w:r w:rsidRPr="009A0DBE">
        <w:t xml:space="preserve"> (</w:t>
      </w:r>
      <w:r w:rsidRPr="009A0DBE">
        <w:sym w:font="Wingdings" w:char="F04E"/>
      </w:r>
      <w:r w:rsidRPr="009A0DBE">
        <w:t>). </w:t>
      </w:r>
    </w:p>
    <w:p w14:paraId="587F2940" w14:textId="1CDA8229" w:rsidR="009A0DBE" w:rsidRPr="009A0DBE" w:rsidRDefault="009A0DBE" w:rsidP="009A0DBE">
      <w:pPr>
        <w:spacing w:after="0" w:line="240" w:lineRule="auto"/>
        <w:jc w:val="both"/>
      </w:pPr>
      <w:r w:rsidRPr="009A0DBE">
        <w:t>Toutes les parties de l'arbre sont utilisées pour traiter un large éventail de maladies, les fruits pour la fièvre typhoïde et les problèmes d'estomac, l'écorce pour le paludisme, la résine pour convulsions et pour couvrir et désinfecter les plaies, la résine brûlée comme insecticide et aphrodisiaque. Le bois tendre, résistant aux termites, est utilisé pour sculpter des ustensiles domestiques, instruments de musique et des articles d'usage général. Une huile comestible est également extrait</w:t>
      </w:r>
      <w:r>
        <w:t>e</w:t>
      </w:r>
      <w:r w:rsidRPr="009A0DBE">
        <w:t xml:space="preserve"> et parties de l'arbre présentent de fortes propriétés fongicides.</w:t>
      </w:r>
    </w:p>
    <w:p w14:paraId="215E66E0" w14:textId="77777777" w:rsidR="009A0DBE" w:rsidRPr="009A0DBE" w:rsidRDefault="009A0DBE" w:rsidP="009A0DBE">
      <w:pPr>
        <w:spacing w:after="0" w:line="240" w:lineRule="auto"/>
        <w:jc w:val="both"/>
      </w:pPr>
      <w:r w:rsidRPr="009A0DBE">
        <w:t xml:space="preserve">Haie, clôtures, cuillères de bois. Fourrage à chameau et chèvre, surtout pendant la saison sèche. </w:t>
      </w:r>
      <w:r w:rsidRPr="009A0DBE">
        <w:rPr>
          <w:i/>
          <w:iCs/>
        </w:rPr>
        <w:t>Branches utilisées comme brosse à dents</w:t>
      </w:r>
      <w:r w:rsidRPr="009A0DBE">
        <w:t>.</w:t>
      </w:r>
    </w:p>
    <w:p w14:paraId="3D9D650F" w14:textId="77777777" w:rsidR="009A0DBE" w:rsidRPr="009A0DBE" w:rsidRDefault="009A0DBE" w:rsidP="009A0DBE">
      <w:pPr>
        <w:spacing w:after="0" w:line="240" w:lineRule="auto"/>
      </w:pPr>
      <w:r w:rsidRPr="009A0DBE">
        <w:t>L'écorce est riche en </w:t>
      </w:r>
      <w:hyperlink r:id="rId2923" w:history="1">
        <w:r w:rsidRPr="009A0DBE">
          <w:rPr>
            <w:rStyle w:val="Lienhypertexte"/>
          </w:rPr>
          <w:t>flavonoïdes</w:t>
        </w:r>
      </w:hyperlink>
      <w:r w:rsidRPr="009A0DBE">
        <w:t>, </w:t>
      </w:r>
      <w:hyperlink r:id="rId2924" w:history="1">
        <w:r w:rsidRPr="009A0DBE">
          <w:rPr>
            <w:rStyle w:val="Lienhypertexte"/>
          </w:rPr>
          <w:t>tanins</w:t>
        </w:r>
      </w:hyperlink>
      <w:r w:rsidRPr="009A0DBE">
        <w:t>, </w:t>
      </w:r>
      <w:hyperlink r:id="rId2925" w:history="1">
        <w:r w:rsidRPr="009A0DBE">
          <w:rPr>
            <w:rStyle w:val="Lienhypertexte"/>
          </w:rPr>
          <w:t>anthraquinone</w:t>
        </w:r>
      </w:hyperlink>
      <w:r w:rsidRPr="009A0DBE">
        <w:t>, </w:t>
      </w:r>
      <w:hyperlink r:id="rId2926" w:history="1">
        <w:r w:rsidRPr="009A0DBE">
          <w:rPr>
            <w:rStyle w:val="Lienhypertexte"/>
          </w:rPr>
          <w:t>glycosides cardiaques</w:t>
        </w:r>
      </w:hyperlink>
      <w:r w:rsidRPr="009A0DBE">
        <w:t>, </w:t>
      </w:r>
      <w:hyperlink r:id="rId2927" w:history="1">
        <w:r w:rsidRPr="009A0DBE">
          <w:rPr>
            <w:rStyle w:val="Lienhypertexte"/>
          </w:rPr>
          <w:t>triterpénoïdes</w:t>
        </w:r>
      </w:hyperlink>
      <w:r w:rsidRPr="009A0DBE">
        <w:t>, </w:t>
      </w:r>
      <w:hyperlink r:id="rId2928" w:history="1">
        <w:r w:rsidRPr="009A0DBE">
          <w:rPr>
            <w:rStyle w:val="Lienhypertexte"/>
          </w:rPr>
          <w:t>saponines</w:t>
        </w:r>
      </w:hyperlink>
      <w:r w:rsidRPr="009A0DBE">
        <w:t>, </w:t>
      </w:r>
      <w:hyperlink r:id="rId2929" w:history="1">
        <w:r w:rsidRPr="009A0DBE">
          <w:rPr>
            <w:rStyle w:val="Lienhypertexte"/>
          </w:rPr>
          <w:t>alcaloïdes</w:t>
        </w:r>
      </w:hyperlink>
      <w:r w:rsidRPr="009A0DBE">
        <w:t> et </w:t>
      </w:r>
      <w:hyperlink r:id="rId2930" w:history="1">
        <w:r w:rsidRPr="009A0DBE">
          <w:rPr>
            <w:rStyle w:val="Lienhypertexte"/>
          </w:rPr>
          <w:t>sucres réducteurs</w:t>
        </w:r>
      </w:hyperlink>
      <w:r w:rsidRPr="009A0DBE">
        <w:t> . Des études d'un </w:t>
      </w:r>
      <w:hyperlink r:id="rId2931" w:history="1">
        <w:r w:rsidRPr="009A0DBE">
          <w:rPr>
            <w:rStyle w:val="Lienhypertexte"/>
          </w:rPr>
          <w:t>extrait hydro-</w:t>
        </w:r>
      </w:hyperlink>
      <w:hyperlink r:id="rId2932" w:history="1">
        <w:r w:rsidRPr="009A0DBE">
          <w:rPr>
            <w:rStyle w:val="Lienhypertexte"/>
          </w:rPr>
          <w:t>éthanolique</w:t>
        </w:r>
      </w:hyperlink>
      <w:r w:rsidRPr="009A0DBE">
        <w:t> de l'écorce ont révélé la présence d’un anti-convulsivant puissant.</w:t>
      </w:r>
    </w:p>
    <w:p w14:paraId="417F6180" w14:textId="77777777" w:rsidR="009A0DBE" w:rsidRDefault="009A0DBE" w:rsidP="009A0DBE">
      <w:pPr>
        <w:spacing w:after="0" w:line="240" w:lineRule="auto"/>
      </w:pPr>
      <w:r w:rsidRPr="009A0DBE">
        <w:t xml:space="preserve">Sources : a) </w:t>
      </w:r>
      <w:hyperlink r:id="rId2933" w:history="1">
        <w:r w:rsidRPr="009A0DBE">
          <w:rPr>
            <w:rStyle w:val="Lienhypertexte"/>
          </w:rPr>
          <w:t>http://fr.wikipedia.org/wiki/Commiphora_africana</w:t>
        </w:r>
      </w:hyperlink>
      <w:r w:rsidRPr="009A0DBE">
        <w:t xml:space="preserve">, </w:t>
      </w:r>
    </w:p>
    <w:p w14:paraId="5A3AC771" w14:textId="7A91ABF9" w:rsidR="009A0DBE" w:rsidRPr="00446B19" w:rsidRDefault="009A0DBE" w:rsidP="009A0DBE">
      <w:pPr>
        <w:spacing w:after="0" w:line="240" w:lineRule="auto"/>
      </w:pPr>
      <w:r w:rsidRPr="00446B19">
        <w:t xml:space="preserve">b) </w:t>
      </w:r>
      <w:hyperlink r:id="rId2934" w:history="1">
        <w:r w:rsidRPr="00446B19">
          <w:rPr>
            <w:rStyle w:val="Lienhypertexte"/>
          </w:rPr>
          <w:t>http://en.wikipedia.org/wiki/Commiphora_africana</w:t>
        </w:r>
      </w:hyperlink>
      <w:r w:rsidRPr="00446B19">
        <w:t xml:space="preserve"> ,</w:t>
      </w:r>
    </w:p>
    <w:p w14:paraId="1C020F79" w14:textId="77777777" w:rsidR="009A0DBE" w:rsidRPr="009A0DBE" w:rsidRDefault="009A0DBE" w:rsidP="009A0DBE">
      <w:pPr>
        <w:spacing w:after="0" w:line="240" w:lineRule="auto"/>
      </w:pPr>
      <w:r w:rsidRPr="009A0DBE">
        <w:t xml:space="preserve">c) </w:t>
      </w:r>
      <w:hyperlink r:id="rId2935" w:history="1">
        <w:r w:rsidRPr="009A0DBE">
          <w:rPr>
            <w:rStyle w:val="Lienhypertexte"/>
          </w:rPr>
          <w:t>http://www.worldagroforestry.org/treedb/AFTPDFS/Commiphora_africana.PDF</w:t>
        </w:r>
      </w:hyperlink>
      <w:r w:rsidRPr="009A0DBE">
        <w:t xml:space="preserve"> </w:t>
      </w:r>
    </w:p>
    <w:p w14:paraId="0357B26E" w14:textId="05C012D3" w:rsidR="00AE40DF" w:rsidRDefault="00AE40DF" w:rsidP="004F05A8">
      <w:pPr>
        <w:spacing w:after="0" w:line="240" w:lineRule="auto"/>
        <w:jc w:val="both"/>
      </w:pP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1736"/>
        <w:gridCol w:w="1736"/>
        <w:gridCol w:w="3472"/>
      </w:tblGrid>
      <w:tr w:rsidR="009A0DBE" w14:paraId="5EB1F2DE" w14:textId="77777777" w:rsidTr="00510A9E">
        <w:trPr>
          <w:jc w:val="center"/>
        </w:trPr>
        <w:tc>
          <w:tcPr>
            <w:tcW w:w="3472" w:type="dxa"/>
          </w:tcPr>
          <w:p w14:paraId="17513FA9" w14:textId="1CC572DC" w:rsidR="009A0DBE" w:rsidRDefault="009A0DBE" w:rsidP="009A0DBE">
            <w:pPr>
              <w:jc w:val="center"/>
            </w:pPr>
            <w:r w:rsidRPr="009A0DBE">
              <w:rPr>
                <w:noProof/>
              </w:rPr>
              <w:drawing>
                <wp:inline distT="0" distB="0" distL="0" distR="0" wp14:anchorId="5DD42043" wp14:editId="2DE688FA">
                  <wp:extent cx="1533525" cy="866775"/>
                  <wp:effectExtent l="0" t="0" r="9525" b="9525"/>
                  <wp:docPr id="19561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2936">
                            <a:extLst>
                              <a:ext uri="{28A0092B-C50C-407E-A947-70E740481C1C}">
                                <a14:useLocalDpi xmlns:a14="http://schemas.microsoft.com/office/drawing/2010/main" val="0"/>
                              </a:ext>
                            </a:extLst>
                          </a:blip>
                          <a:stretch>
                            <a:fillRect/>
                          </a:stretch>
                        </pic:blipFill>
                        <pic:spPr>
                          <a:xfrm>
                            <a:off x="0" y="0"/>
                            <a:ext cx="1533525" cy="866775"/>
                          </a:xfrm>
                          <a:prstGeom prst="rect">
                            <a:avLst/>
                          </a:prstGeom>
                        </pic:spPr>
                      </pic:pic>
                    </a:graphicData>
                  </a:graphic>
                </wp:inline>
              </w:drawing>
            </w:r>
          </w:p>
        </w:tc>
        <w:tc>
          <w:tcPr>
            <w:tcW w:w="3472" w:type="dxa"/>
            <w:gridSpan w:val="2"/>
          </w:tcPr>
          <w:p w14:paraId="2303EA9F" w14:textId="33A4CBF9" w:rsidR="009A0DBE" w:rsidRDefault="009A0DBE" w:rsidP="009A0DBE">
            <w:pPr>
              <w:jc w:val="center"/>
            </w:pPr>
            <w:r w:rsidRPr="009A0DBE">
              <w:rPr>
                <w:noProof/>
              </w:rPr>
              <w:drawing>
                <wp:inline distT="0" distB="0" distL="0" distR="0" wp14:anchorId="5431F13D" wp14:editId="1B008C93">
                  <wp:extent cx="1495425" cy="1076325"/>
                  <wp:effectExtent l="0" t="0" r="9525" b="9525"/>
                  <wp:docPr id="195615"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7"/>
                          <pic:cNvPicPr>
                            <a:picLocks noChangeAspect="1"/>
                          </pic:cNvPicPr>
                        </pic:nvPicPr>
                        <pic:blipFill>
                          <a:blip r:embed="rId2937">
                            <a:extLst>
                              <a:ext uri="{28A0092B-C50C-407E-A947-70E740481C1C}">
                                <a14:useLocalDpi xmlns:a14="http://schemas.microsoft.com/office/drawing/2010/main" val="0"/>
                              </a:ext>
                            </a:extLst>
                          </a:blip>
                          <a:stretch>
                            <a:fillRect/>
                          </a:stretch>
                        </pic:blipFill>
                        <pic:spPr>
                          <a:xfrm>
                            <a:off x="0" y="0"/>
                            <a:ext cx="1495425" cy="1076325"/>
                          </a:xfrm>
                          <a:prstGeom prst="rect">
                            <a:avLst/>
                          </a:prstGeom>
                        </pic:spPr>
                      </pic:pic>
                    </a:graphicData>
                  </a:graphic>
                </wp:inline>
              </w:drawing>
            </w:r>
          </w:p>
        </w:tc>
        <w:tc>
          <w:tcPr>
            <w:tcW w:w="3472" w:type="dxa"/>
          </w:tcPr>
          <w:p w14:paraId="684CA063" w14:textId="4F3043DA" w:rsidR="009A0DBE" w:rsidRDefault="009A0DBE" w:rsidP="009A0DBE">
            <w:pPr>
              <w:jc w:val="center"/>
            </w:pPr>
            <w:r w:rsidRPr="009A0DBE">
              <w:rPr>
                <w:noProof/>
              </w:rPr>
              <w:drawing>
                <wp:inline distT="0" distB="0" distL="0" distR="0" wp14:anchorId="09A7F357" wp14:editId="0B2F0EB9">
                  <wp:extent cx="1419738" cy="1030252"/>
                  <wp:effectExtent l="0" t="0" r="9525" b="0"/>
                  <wp:docPr id="70656"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1"/>
                          <pic:cNvPicPr>
                            <a:picLocks noChangeAspect="1"/>
                          </pic:cNvPicPr>
                        </pic:nvPicPr>
                        <pic:blipFill>
                          <a:blip r:embed="rId2938">
                            <a:extLst>
                              <a:ext uri="{28A0092B-C50C-407E-A947-70E740481C1C}">
                                <a14:useLocalDpi xmlns:a14="http://schemas.microsoft.com/office/drawing/2010/main" val="0"/>
                              </a:ext>
                            </a:extLst>
                          </a:blip>
                          <a:stretch>
                            <a:fillRect/>
                          </a:stretch>
                        </pic:blipFill>
                        <pic:spPr>
                          <a:xfrm>
                            <a:off x="0" y="0"/>
                            <a:ext cx="1419738" cy="1030252"/>
                          </a:xfrm>
                          <a:prstGeom prst="rect">
                            <a:avLst/>
                          </a:prstGeom>
                        </pic:spPr>
                      </pic:pic>
                    </a:graphicData>
                  </a:graphic>
                </wp:inline>
              </w:drawing>
            </w:r>
          </w:p>
        </w:tc>
      </w:tr>
      <w:tr w:rsidR="009A0DBE" w14:paraId="66A0DFDA" w14:textId="77777777" w:rsidTr="00510A9E">
        <w:trPr>
          <w:jc w:val="center"/>
        </w:trPr>
        <w:tc>
          <w:tcPr>
            <w:tcW w:w="5208" w:type="dxa"/>
            <w:gridSpan w:val="2"/>
            <w:vAlign w:val="center"/>
          </w:tcPr>
          <w:p w14:paraId="18035D26" w14:textId="5AF48C6B" w:rsidR="009A0DBE" w:rsidRDefault="00510A9E" w:rsidP="009A0DBE">
            <w:pPr>
              <w:jc w:val="center"/>
            </w:pPr>
            <w:r w:rsidRPr="00510A9E">
              <w:rPr>
                <w:noProof/>
              </w:rPr>
              <w:drawing>
                <wp:inline distT="0" distB="0" distL="0" distR="0" wp14:anchorId="72BBBD22" wp14:editId="2753C082">
                  <wp:extent cx="1905000" cy="1428750"/>
                  <wp:effectExtent l="0" t="0" r="0" b="0"/>
                  <wp:docPr id="70665"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 29"/>
                          <pic:cNvPicPr>
                            <a:picLocks noChangeAspect="1"/>
                          </pic:cNvPicPr>
                        </pic:nvPicPr>
                        <pic:blipFill>
                          <a:blip r:embed="rId2939">
                            <a:extLst>
                              <a:ext uri="{28A0092B-C50C-407E-A947-70E740481C1C}">
                                <a14:useLocalDpi xmlns:a14="http://schemas.microsoft.com/office/drawing/2010/main" val="0"/>
                              </a:ext>
                            </a:extLst>
                          </a:blip>
                          <a:stretch>
                            <a:fillRect/>
                          </a:stretch>
                        </pic:blipFill>
                        <pic:spPr>
                          <a:xfrm>
                            <a:off x="0" y="0"/>
                            <a:ext cx="1905000" cy="1428750"/>
                          </a:xfrm>
                          <a:prstGeom prst="rect">
                            <a:avLst/>
                          </a:prstGeom>
                        </pic:spPr>
                      </pic:pic>
                    </a:graphicData>
                  </a:graphic>
                </wp:inline>
              </w:drawing>
            </w:r>
          </w:p>
        </w:tc>
        <w:tc>
          <w:tcPr>
            <w:tcW w:w="5208" w:type="dxa"/>
            <w:gridSpan w:val="2"/>
          </w:tcPr>
          <w:p w14:paraId="566454A9" w14:textId="0786CBCC" w:rsidR="009A0DBE" w:rsidRDefault="00510A9E" w:rsidP="00510A9E">
            <w:pPr>
              <w:pStyle w:val="NormalWeb"/>
              <w:kinsoku w:val="0"/>
              <w:overflowPunct w:val="0"/>
              <w:spacing w:before="0" w:beforeAutospacing="0" w:after="0" w:afterAutospacing="0"/>
              <w:textAlignment w:val="baseline"/>
            </w:pPr>
            <w:r w:rsidRPr="00510A9E">
              <w:rPr>
                <w:noProof/>
              </w:rPr>
              <w:drawing>
                <wp:inline distT="0" distB="0" distL="0" distR="0" wp14:anchorId="1C6646AE" wp14:editId="1AB24759">
                  <wp:extent cx="1991581" cy="1430317"/>
                  <wp:effectExtent l="0" t="0" r="8890" b="0"/>
                  <wp:docPr id="70670"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3"/>
                          <pic:cNvPicPr>
                            <a:picLocks noChangeAspect="1"/>
                          </pic:cNvPicPr>
                        </pic:nvPicPr>
                        <pic:blipFill>
                          <a:blip r:embed="rId2940">
                            <a:extLst>
                              <a:ext uri="{28A0092B-C50C-407E-A947-70E740481C1C}">
                                <a14:useLocalDpi xmlns:a14="http://schemas.microsoft.com/office/drawing/2010/main" val="0"/>
                              </a:ext>
                            </a:extLst>
                          </a:blip>
                          <a:stretch>
                            <a:fillRect/>
                          </a:stretch>
                        </pic:blipFill>
                        <pic:spPr>
                          <a:xfrm>
                            <a:off x="0" y="0"/>
                            <a:ext cx="1991581" cy="1430317"/>
                          </a:xfrm>
                          <a:prstGeom prst="rect">
                            <a:avLst/>
                          </a:prstGeom>
                        </pic:spPr>
                      </pic:pic>
                    </a:graphicData>
                  </a:graphic>
                </wp:inline>
              </w:drawing>
            </w:r>
            <w:r>
              <w:t xml:space="preserve"> </w:t>
            </w:r>
            <w:r>
              <w:rPr>
                <w:rFonts w:ascii="Arial" w:eastAsia="+mn-ea" w:hAnsi="Wingdings" w:cs="Arial"/>
                <w:color w:val="FF0000"/>
                <w:kern w:val="24"/>
                <w:sz w:val="64"/>
                <w:szCs w:val="64"/>
              </w:rPr>
              <w:sym w:font="Wingdings" w:char="F04E"/>
            </w:r>
          </w:p>
          <w:p w14:paraId="541938B2" w14:textId="67A42D0B" w:rsidR="00510A9E" w:rsidRDefault="00000000" w:rsidP="00510A9E">
            <w:pPr>
              <w:jc w:val="center"/>
            </w:pPr>
            <w:hyperlink r:id="rId2941" w:history="1">
              <w:r w:rsidR="00510A9E" w:rsidRPr="00510A9E">
                <w:rPr>
                  <w:rStyle w:val="Lienhypertexte"/>
                </w:rPr>
                <w:t>Chrysomèle</w:t>
              </w:r>
            </w:hyperlink>
            <w:r w:rsidR="00510A9E" w:rsidRPr="00510A9E">
              <w:t> </w:t>
            </w:r>
            <w:r w:rsidR="00510A9E" w:rsidRPr="00510A9E">
              <w:rPr>
                <w:i/>
                <w:iCs/>
              </w:rPr>
              <w:t>Diamphidia</w:t>
            </w:r>
          </w:p>
        </w:tc>
      </w:tr>
    </w:tbl>
    <w:p w14:paraId="649F3A5F" w14:textId="4B8F4952" w:rsidR="009A0DBE" w:rsidRDefault="009A0DBE" w:rsidP="009A0DBE">
      <w:pPr>
        <w:spacing w:after="0" w:line="240" w:lineRule="auto"/>
        <w:jc w:val="center"/>
      </w:pPr>
    </w:p>
    <w:p w14:paraId="52FC9D77" w14:textId="5185A7BB" w:rsidR="009A0DBE" w:rsidRDefault="006D6139" w:rsidP="00A95DE0">
      <w:pPr>
        <w:pStyle w:val="Titre2"/>
      </w:pPr>
      <w:bookmarkStart w:id="225" w:name="_Toc139181516"/>
      <w:r w:rsidRPr="006D6139">
        <w:t>L'arbre à encens (</w:t>
      </w:r>
      <w:r w:rsidRPr="006D6139">
        <w:rPr>
          <w:i/>
          <w:iCs/>
        </w:rPr>
        <w:t>Boswellia sacra</w:t>
      </w:r>
      <w:r w:rsidRPr="006D6139">
        <w:t>)</w:t>
      </w:r>
      <w:bookmarkEnd w:id="225"/>
    </w:p>
    <w:p w14:paraId="67509683" w14:textId="000E4E36" w:rsidR="006D6139" w:rsidRDefault="006D6139" w:rsidP="006D6139">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3"/>
        <w:gridCol w:w="2182"/>
        <w:gridCol w:w="1098"/>
        <w:gridCol w:w="962"/>
        <w:gridCol w:w="1401"/>
      </w:tblGrid>
      <w:tr w:rsidR="008F1931" w:rsidRPr="000B6BE3" w14:paraId="231F9620" w14:textId="77777777" w:rsidTr="00B47C62">
        <w:tc>
          <w:tcPr>
            <w:tcW w:w="4957" w:type="dxa"/>
          </w:tcPr>
          <w:p w14:paraId="4234BB76" w14:textId="77777777" w:rsidR="006B7922" w:rsidRDefault="008F1931" w:rsidP="00B47C62">
            <w:r w:rsidRPr="000B6BE3">
              <w:rPr>
                <w:rFonts w:cstheme="minorHAnsi"/>
                <w:bCs/>
              </w:rPr>
              <w:t>(</w:t>
            </w:r>
            <w:hyperlink r:id="rId2942" w:history="1">
              <w:r w:rsidRPr="000B6BE3">
                <w:rPr>
                  <w:rFonts w:cstheme="minorHAnsi"/>
                </w:rPr>
                <w:t>F</w:t>
              </w:r>
              <w:r w:rsidRPr="000B6BE3">
                <w:rPr>
                  <w:rStyle w:val="Lienhypertexte"/>
                  <w:rFonts w:cstheme="minorHAnsi"/>
                  <w:color w:val="0B0080"/>
                  <w:shd w:val="clear" w:color="auto" w:fill="FFFFFF"/>
                </w:rPr>
                <w:t>amille</w:t>
              </w:r>
            </w:hyperlink>
            <w:r w:rsidRPr="000B6BE3">
              <w:rPr>
                <w:rFonts w:cstheme="minorHAnsi"/>
                <w:color w:val="222222"/>
                <w:shd w:val="clear" w:color="auto" w:fill="FFFFFF"/>
              </w:rPr>
              <w:t> </w:t>
            </w:r>
            <w:r w:rsidRPr="00FC05CB">
              <w:rPr>
                <w:rFonts w:cstheme="minorHAnsi"/>
                <w:color w:val="000000" w:themeColor="text1"/>
                <w:shd w:val="clear" w:color="auto" w:fill="FFFFFF"/>
              </w:rPr>
              <w:t>des </w:t>
            </w:r>
            <w:hyperlink r:id="rId2943" w:history="1">
              <w:r w:rsidRPr="002B7DCD">
                <w:rPr>
                  <w:rStyle w:val="Lienhypertexte"/>
                  <w:i/>
                  <w:iCs/>
                </w:rPr>
                <w:t>Burseraceae</w:t>
              </w:r>
            </w:hyperlink>
            <w:r>
              <w:t xml:space="preserve">. </w:t>
            </w:r>
          </w:p>
          <w:p w14:paraId="51610C1F" w14:textId="2A2E02F8" w:rsidR="008F1931" w:rsidRPr="000B6BE3" w:rsidRDefault="006B7922" w:rsidP="00B47C62">
            <w:pPr>
              <w:rPr>
                <w:rFonts w:cstheme="minorHAnsi"/>
                <w:bCs/>
              </w:rPr>
            </w:pPr>
            <w:r w:rsidRPr="006D6139">
              <w:t>Famille</w:t>
            </w:r>
            <w:r w:rsidR="008F1931" w:rsidRPr="006D6139">
              <w:t xml:space="preserve"> des </w:t>
            </w:r>
            <w:hyperlink r:id="rId2944" w:history="1">
              <w:r w:rsidR="008F1931" w:rsidRPr="006D6139">
                <w:rPr>
                  <w:rStyle w:val="Lienhypertexte"/>
                  <w:i/>
                  <w:iCs/>
                </w:rPr>
                <w:t>Burséracées</w:t>
              </w:r>
            </w:hyperlink>
            <w:r w:rsidR="008F1931" w:rsidRPr="00FC05CB">
              <w:rPr>
                <w:rFonts w:cstheme="minorHAnsi"/>
                <w:bCs/>
                <w:color w:val="000000" w:themeColor="text1"/>
              </w:rPr>
              <w:t>).</w:t>
            </w:r>
          </w:p>
          <w:p w14:paraId="131AD569" w14:textId="77777777" w:rsidR="008F1931" w:rsidRPr="000B6BE3" w:rsidRDefault="008F1931" w:rsidP="00B47C62">
            <w:pPr>
              <w:rPr>
                <w:rFonts w:cstheme="minorHAnsi"/>
                <w:bCs/>
              </w:rPr>
            </w:pPr>
          </w:p>
          <w:p w14:paraId="0779CFF3" w14:textId="77777777" w:rsidR="008F1931" w:rsidRPr="000B6BE3" w:rsidRDefault="008F1931" w:rsidP="00B47C62">
            <w:pPr>
              <w:rPr>
                <w:rFonts w:cstheme="minorHAnsi"/>
              </w:rPr>
            </w:pPr>
          </w:p>
        </w:tc>
        <w:tc>
          <w:tcPr>
            <w:tcW w:w="2268" w:type="dxa"/>
          </w:tcPr>
          <w:p w14:paraId="672B5698" w14:textId="77777777" w:rsidR="008F1931" w:rsidRPr="000B6BE3" w:rsidRDefault="008F1931" w:rsidP="00B47C62">
            <w:pPr>
              <w:rPr>
                <w:rFonts w:cstheme="minorHAnsi"/>
              </w:rPr>
            </w:pPr>
            <w:r>
              <w:rPr>
                <w:rFonts w:cstheme="minorHAnsi"/>
              </w:rPr>
              <w:t xml:space="preserve"> </w:t>
            </w:r>
            <w:r w:rsidRPr="00125C62">
              <w:rPr>
                <w:rFonts w:cstheme="minorHAnsi"/>
                <w:noProof/>
              </w:rPr>
              <w:drawing>
                <wp:inline distT="0" distB="0" distL="0" distR="0" wp14:anchorId="0DCF1AED" wp14:editId="5D48ACA5">
                  <wp:extent cx="495300" cy="666750"/>
                  <wp:effectExtent l="0" t="0" r="0" b="0"/>
                  <wp:docPr id="70677" name="Image 11"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11" descr="logo aride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rPr>
              <w:t> </w:t>
            </w:r>
          </w:p>
        </w:tc>
        <w:tc>
          <w:tcPr>
            <w:tcW w:w="1134" w:type="dxa"/>
          </w:tcPr>
          <w:p w14:paraId="04A603B4" w14:textId="77777777" w:rsidR="008F1931" w:rsidRPr="00B000E9" w:rsidRDefault="008F1931" w:rsidP="00B47C62">
            <w:pPr>
              <w:textAlignment w:val="baseline"/>
              <w:rPr>
                <w:rFonts w:ascii="Times New Roman" w:eastAsia="Times New Roman" w:hAnsi="Times New Roman" w:cs="Times New Roman"/>
                <w:sz w:val="36"/>
                <w:szCs w:val="36"/>
                <w:lang w:eastAsia="fr-FR"/>
              </w:rPr>
            </w:pPr>
            <w:r w:rsidRPr="00B000E9">
              <w:rPr>
                <w:rFonts w:ascii="Arial" w:eastAsia="+mn-ea" w:hAnsi="Arial" w:cs="Arial"/>
                <w:b/>
                <w:bCs/>
                <w:color w:val="008000"/>
                <w:kern w:val="24"/>
                <w:sz w:val="36"/>
                <w:szCs w:val="36"/>
                <w:lang w:eastAsia="fr-FR"/>
              </w:rPr>
              <w:t>$</w:t>
            </w:r>
            <w:r>
              <w:rPr>
                <w:rFonts w:ascii="Arial" w:eastAsia="+mn-ea" w:hAnsi="Arial" w:cs="Arial"/>
                <w:b/>
                <w:bCs/>
                <w:color w:val="008000"/>
                <w:kern w:val="24"/>
                <w:sz w:val="36"/>
                <w:szCs w:val="36"/>
                <w:lang w:eastAsia="fr-FR"/>
              </w:rPr>
              <w:t>$</w:t>
            </w:r>
          </w:p>
        </w:tc>
        <w:tc>
          <w:tcPr>
            <w:tcW w:w="992" w:type="dxa"/>
          </w:tcPr>
          <w:p w14:paraId="6FE8B4E1" w14:textId="77777777" w:rsidR="008F1931" w:rsidRDefault="008F1931" w:rsidP="00B47C62">
            <w:pPr>
              <w:pStyle w:val="NormalWeb"/>
              <w:spacing w:before="0" w:beforeAutospacing="0" w:after="0" w:afterAutospacing="0"/>
              <w:textAlignment w:val="baseline"/>
            </w:pPr>
            <w:r>
              <w:rPr>
                <w:rFonts w:ascii="Arial" w:eastAsia="+mn-ea" w:hAnsi="Arial" w:cs="Arial"/>
                <w:b/>
                <w:bCs/>
                <w:color w:val="008000"/>
                <w:kern w:val="24"/>
                <w:sz w:val="48"/>
                <w:szCs w:val="48"/>
              </w:rPr>
              <w:t xml:space="preserve">U </w:t>
            </w:r>
          </w:p>
          <w:p w14:paraId="4D70072F" w14:textId="77777777" w:rsidR="008F1931" w:rsidRPr="000B6BE3" w:rsidRDefault="008F1931" w:rsidP="00B47C62">
            <w:pPr>
              <w:rPr>
                <w:rFonts w:cstheme="minorHAnsi"/>
              </w:rPr>
            </w:pPr>
          </w:p>
        </w:tc>
        <w:tc>
          <w:tcPr>
            <w:tcW w:w="1439" w:type="dxa"/>
          </w:tcPr>
          <w:p w14:paraId="5DD08232" w14:textId="07BE2E29" w:rsidR="008F1931" w:rsidRPr="000B6BE3" w:rsidRDefault="006B7922" w:rsidP="00B47C62">
            <w:pPr>
              <w:rPr>
                <w:rFonts w:cstheme="minorHAnsi"/>
              </w:rPr>
            </w:pPr>
            <w:r w:rsidRPr="007C1B26">
              <w:rPr>
                <w:rFonts w:cstheme="minorHAnsi"/>
                <w:noProof/>
              </w:rPr>
              <w:drawing>
                <wp:inline distT="0" distB="0" distL="0" distR="0" wp14:anchorId="25FD9F88" wp14:editId="0DDDE692">
                  <wp:extent cx="436844" cy="497098"/>
                  <wp:effectExtent l="0" t="0" r="1905" b="0"/>
                  <wp:docPr id="7067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pic:cNvPicPr>
                            <a:picLocks noChangeAspect="1"/>
                          </pic:cNvPicPr>
                        </pic:nvPicPr>
                        <pic:blipFill>
                          <a:blip r:embed="rId2945"/>
                          <a:stretch>
                            <a:fillRect/>
                          </a:stretch>
                        </pic:blipFill>
                        <pic:spPr>
                          <a:xfrm>
                            <a:off x="0" y="0"/>
                            <a:ext cx="436844" cy="497098"/>
                          </a:xfrm>
                          <a:prstGeom prst="rect">
                            <a:avLst/>
                          </a:prstGeom>
                        </pic:spPr>
                      </pic:pic>
                    </a:graphicData>
                  </a:graphic>
                </wp:inline>
              </w:drawing>
            </w:r>
          </w:p>
        </w:tc>
      </w:tr>
    </w:tbl>
    <w:p w14:paraId="3FDB0BD0" w14:textId="77777777" w:rsidR="008F1931" w:rsidRDefault="008F1931" w:rsidP="006D6139">
      <w:pPr>
        <w:spacing w:after="0" w:line="240" w:lineRule="auto"/>
        <w:jc w:val="both"/>
      </w:pPr>
    </w:p>
    <w:p w14:paraId="25C01DF8" w14:textId="0FCD3F96" w:rsidR="006D6139" w:rsidRPr="006D6139" w:rsidRDefault="006D6139" w:rsidP="006D6139">
      <w:pPr>
        <w:spacing w:after="0" w:line="240" w:lineRule="auto"/>
        <w:jc w:val="both"/>
      </w:pPr>
      <w:r w:rsidRPr="006D6139">
        <w:t>L'</w:t>
      </w:r>
      <w:r w:rsidRPr="006D6139">
        <w:rPr>
          <w:b/>
          <w:bCs/>
        </w:rPr>
        <w:t>arbre à encens</w:t>
      </w:r>
      <w:r w:rsidRPr="006D6139">
        <w:t> (</w:t>
      </w:r>
      <w:r w:rsidRPr="006D6139">
        <w:rPr>
          <w:i/>
          <w:iCs/>
        </w:rPr>
        <w:t>Boswellia sacra</w:t>
      </w:r>
      <w:r w:rsidRPr="006D6139">
        <w:t>) est un petit arbre d'une hauteur de 2 à 8 m, qui comporte un ou plusieurs troncs. L'écorce à texture de papier pèle facilement.</w:t>
      </w:r>
    </w:p>
    <w:p w14:paraId="564A7F8F" w14:textId="77777777" w:rsidR="006D6139" w:rsidRPr="006D6139" w:rsidRDefault="006D6139" w:rsidP="006D6139">
      <w:pPr>
        <w:spacing w:after="0" w:line="240" w:lineRule="auto"/>
        <w:jc w:val="both"/>
      </w:pPr>
      <w:r w:rsidRPr="006D6139">
        <w:rPr>
          <w:u w:val="single"/>
        </w:rPr>
        <w:t>Utilisations</w:t>
      </w:r>
      <w:r w:rsidRPr="006D6139">
        <w:t xml:space="preserve"> : Le </w:t>
      </w:r>
      <w:r w:rsidRPr="006D6139">
        <w:rPr>
          <w:i/>
          <w:iCs/>
        </w:rPr>
        <w:t>Boswellia sacra</w:t>
      </w:r>
      <w:r w:rsidRPr="006D6139">
        <w:t> est l'une des principales espèces de </w:t>
      </w:r>
      <w:r w:rsidRPr="006D6139">
        <w:rPr>
          <w:i/>
          <w:iCs/>
        </w:rPr>
        <w:t>Boswellia</w:t>
      </w:r>
      <w:r w:rsidRPr="006D6139">
        <w:t> dont on tire l'</w:t>
      </w:r>
      <w:hyperlink r:id="rId2946" w:history="1">
        <w:r w:rsidRPr="006D6139">
          <w:rPr>
            <w:rStyle w:val="Lienhypertexte"/>
          </w:rPr>
          <w:t>encens</w:t>
        </w:r>
      </w:hyperlink>
      <w:r w:rsidRPr="006D6139">
        <w:t xml:space="preserve">. La résine est récoltée en pratiquant une incision peu profonde dans le tronc ou les branches de l'arbre et en retirant une étroite bande d'écorce. Il s'en écoule un sève laiteuse, qui coagule au contact de l'air et que l'on ramasse ensuite à la main. La résine du </w:t>
      </w:r>
      <w:r w:rsidRPr="006D6139">
        <w:rPr>
          <w:i/>
          <w:iCs/>
        </w:rPr>
        <w:t>boswellia</w:t>
      </w:r>
      <w:r w:rsidRPr="006D6139">
        <w:t xml:space="preserve"> contient un anti-inflammatoire puissant.</w:t>
      </w:r>
    </w:p>
    <w:p w14:paraId="030C6596" w14:textId="77777777" w:rsidR="006D6139" w:rsidRPr="006D6139" w:rsidRDefault="006D6139" w:rsidP="006D6139">
      <w:pPr>
        <w:spacing w:after="0" w:line="240" w:lineRule="auto"/>
        <w:jc w:val="both"/>
      </w:pPr>
      <w:r w:rsidRPr="006D6139">
        <w:rPr>
          <w:u w:val="single"/>
        </w:rPr>
        <w:lastRenderedPageBreak/>
        <w:t>Habitat</w:t>
      </w:r>
      <w:r w:rsidRPr="006D6139">
        <w:t xml:space="preserve"> : Cet arbre pousse dans les régions sèches du nord-est de l'</w:t>
      </w:r>
      <w:hyperlink r:id="rId2947" w:history="1">
        <w:r w:rsidRPr="006D6139">
          <w:rPr>
            <w:rStyle w:val="Lienhypertexte"/>
          </w:rPr>
          <w:t>Afrique</w:t>
        </w:r>
      </w:hyperlink>
      <w:r w:rsidRPr="006D6139">
        <w:t> et du sud de la </w:t>
      </w:r>
      <w:hyperlink r:id="rId2948" w:history="1">
        <w:r w:rsidRPr="006D6139">
          <w:rPr>
            <w:rStyle w:val="Lienhypertexte"/>
          </w:rPr>
          <w:t>péninsule Arabique</w:t>
        </w:r>
      </w:hyperlink>
      <w:r w:rsidRPr="006D6139">
        <w:t xml:space="preserve"> (en </w:t>
      </w:r>
      <w:hyperlink r:id="rId2949" w:history="1">
        <w:r w:rsidRPr="006D6139">
          <w:rPr>
            <w:rStyle w:val="Lienhypertexte"/>
          </w:rPr>
          <w:t>Somalie</w:t>
        </w:r>
      </w:hyperlink>
      <w:r w:rsidRPr="006D6139">
        <w:t>, en </w:t>
      </w:r>
      <w:hyperlink r:id="rId2950" w:history="1">
        <w:r w:rsidRPr="006D6139">
          <w:rPr>
            <w:rStyle w:val="Lienhypertexte"/>
          </w:rPr>
          <w:t>Éthiopie</w:t>
        </w:r>
      </w:hyperlink>
      <w:r w:rsidRPr="006D6139">
        <w:t>, au </w:t>
      </w:r>
      <w:hyperlink r:id="rId2951" w:history="1">
        <w:r w:rsidRPr="006D6139">
          <w:rPr>
            <w:rStyle w:val="Lienhypertexte"/>
          </w:rPr>
          <w:t>Yémen</w:t>
        </w:r>
      </w:hyperlink>
      <w:r w:rsidRPr="006D6139">
        <w:t> et à </w:t>
      </w:r>
      <w:hyperlink r:id="rId2952" w:history="1">
        <w:r w:rsidRPr="006D6139">
          <w:rPr>
            <w:rStyle w:val="Lienhypertexte"/>
          </w:rPr>
          <w:t>Oman</w:t>
        </w:r>
      </w:hyperlink>
      <w:r w:rsidRPr="006D6139">
        <w:t>). Il tolère les situations très exposées et on le retrouve souvent sur les pentes rocheuses et dans les ravins, jusqu'à une altitude d'environ 1 200 m. Il préfère les sols calcaires. Les individus qui croissent sur des pentes escarpées développent un renflement en forme de coussin à la base du tronc qui adhère au rocher et leur assure une certaine stabilité.  Les arbres dans la zone étroite, chargée de brouillard, où le désert rencontre chaîne de montagnes du Dhofar, une région connue sous le </w:t>
      </w:r>
      <w:hyperlink r:id="rId2953" w:history="1">
        <w:r w:rsidRPr="006D6139">
          <w:rPr>
            <w:rStyle w:val="Lienhypertexte"/>
            <w:i/>
            <w:iCs/>
          </w:rPr>
          <w:t>Nedjd</w:t>
        </w:r>
      </w:hyperlink>
      <w:r w:rsidRPr="006D6139">
        <w:t xml:space="preserve">, grandissent très lentement et produisent un résine de très haute qualité, dans de grands massifs blanches.  </w:t>
      </w:r>
    </w:p>
    <w:p w14:paraId="0DA1D202" w14:textId="77777777" w:rsidR="006D6139" w:rsidRPr="006D6139" w:rsidRDefault="006D6139" w:rsidP="006D6139">
      <w:pPr>
        <w:spacing w:after="0" w:line="240" w:lineRule="auto"/>
        <w:jc w:val="both"/>
      </w:pPr>
      <w:r w:rsidRPr="006D6139">
        <w:t>Les arbres commencent à produire la résine quand ils sont vieux d'environ 8 à 10 ans.</w:t>
      </w:r>
    </w:p>
    <w:p w14:paraId="14025825" w14:textId="700ABB65" w:rsidR="006D6139" w:rsidRPr="001562F1" w:rsidRDefault="006D6139" w:rsidP="006D6139">
      <w:pPr>
        <w:spacing w:after="0" w:line="240" w:lineRule="auto"/>
        <w:jc w:val="both"/>
        <w:rPr>
          <w:lang w:val="en-GB"/>
        </w:rPr>
      </w:pPr>
      <w:r w:rsidRPr="006D6139">
        <w:rPr>
          <w:u w:val="single"/>
        </w:rPr>
        <w:t>Menaces</w:t>
      </w:r>
      <w:r w:rsidRPr="006D6139">
        <w:t xml:space="preserve"> : Des études récentes ont indiqué que les populations d'arbres d'encens sont en baisse en raison de leur </w:t>
      </w:r>
      <w:hyperlink r:id="rId2954" w:history="1">
        <w:r w:rsidRPr="006D6139">
          <w:rPr>
            <w:rStyle w:val="Lienhypertexte"/>
          </w:rPr>
          <w:t>surexploitation</w:t>
        </w:r>
      </w:hyperlink>
      <w:r w:rsidRPr="006D6139">
        <w:t>. Les arbres fortement taraudés produisent des graines qui ne germent qu’à seulement 16%, tandis que les graines d'arbres qui n’avaient pas été exploitées germent à plus de 80%. Les herbivore  à Oman souvent </w:t>
      </w:r>
      <w:hyperlink r:id="rId2955" w:history="1">
        <w:r w:rsidRPr="006D6139">
          <w:rPr>
            <w:rStyle w:val="Lienhypertexte"/>
          </w:rPr>
          <w:t>broutent</w:t>
        </w:r>
      </w:hyperlink>
      <w:r w:rsidRPr="006D6139">
        <w:t xml:space="preserve"> le feuillage, les fleurs et les semis, entraînant peu </w:t>
      </w:r>
      <w:hyperlink r:id="rId2956" w:history="1">
        <w:r w:rsidRPr="006D6139">
          <w:rPr>
            <w:rStyle w:val="Lienhypertexte"/>
          </w:rPr>
          <w:t>de régénération</w:t>
        </w:r>
      </w:hyperlink>
      <w:r w:rsidRPr="006D6139">
        <w:t xml:space="preserve">; les arbres matures qui restent sont apparemment en train de mourir. </w:t>
      </w:r>
      <w:r w:rsidRPr="006D6139">
        <w:rPr>
          <w:lang w:val="en-GB"/>
        </w:rPr>
        <w:t xml:space="preserve">Statut IUCN : </w:t>
      </w:r>
      <w:hyperlink r:id="rId2957" w:history="1">
        <w:r w:rsidRPr="006D6139">
          <w:rPr>
            <w:rStyle w:val="Lienhypertexte"/>
            <w:lang w:val="en-US"/>
          </w:rPr>
          <w:t>Near Threatened</w:t>
        </w:r>
      </w:hyperlink>
      <w:r w:rsidRPr="006D6139">
        <w:rPr>
          <w:lang w:val="en-US"/>
        </w:rPr>
        <w:t> (</w:t>
      </w:r>
      <w:hyperlink r:id="rId2958" w:history="1">
        <w:r w:rsidRPr="006D6139">
          <w:rPr>
            <w:rStyle w:val="Lienhypertexte"/>
            <w:lang w:val="en-US"/>
          </w:rPr>
          <w:t>IUCN 2.3</w:t>
        </w:r>
      </w:hyperlink>
      <w:r w:rsidRPr="006D6139">
        <w:rPr>
          <w:lang w:val="en-US"/>
        </w:rPr>
        <w:t>) </w:t>
      </w:r>
      <w:r w:rsidRPr="001562F1">
        <w:rPr>
          <w:lang w:val="en-GB"/>
        </w:rPr>
        <w:t xml:space="preserve">quasi </w:t>
      </w:r>
      <w:r w:rsidR="00805D09" w:rsidRPr="001562F1">
        <w:rPr>
          <w:lang w:val="en-GB"/>
        </w:rPr>
        <w:t>menacée</w:t>
      </w:r>
      <w:r w:rsidRPr="001562F1">
        <w:rPr>
          <w:lang w:val="en-GB"/>
        </w:rPr>
        <w:t>.</w:t>
      </w:r>
    </w:p>
    <w:p w14:paraId="36F27AC9" w14:textId="0C9B4BEB" w:rsidR="00950620" w:rsidRPr="001562F1" w:rsidRDefault="006D6139" w:rsidP="006D6139">
      <w:pPr>
        <w:spacing w:after="0" w:line="240" w:lineRule="auto"/>
        <w:jc w:val="both"/>
        <w:rPr>
          <w:lang w:val="en-GB"/>
        </w:rPr>
      </w:pPr>
      <w:r w:rsidRPr="001562F1">
        <w:rPr>
          <w:lang w:val="en-GB"/>
        </w:rPr>
        <w:t xml:space="preserve">Sources : a) </w:t>
      </w:r>
      <w:hyperlink r:id="rId2959" w:history="1">
        <w:r w:rsidRPr="001562F1">
          <w:rPr>
            <w:rStyle w:val="Lienhypertexte"/>
            <w:lang w:val="en-GB"/>
          </w:rPr>
          <w:t>http://fr.wikipedia.org/wiki/Boswellia_sacra</w:t>
        </w:r>
      </w:hyperlink>
      <w:r w:rsidRPr="001562F1">
        <w:rPr>
          <w:lang w:val="en-GB"/>
        </w:rPr>
        <w:t>,</w:t>
      </w:r>
      <w:r w:rsidR="00950620" w:rsidRPr="001562F1">
        <w:rPr>
          <w:lang w:val="en-GB"/>
        </w:rPr>
        <w:t xml:space="preserve"> b) </w:t>
      </w:r>
      <w:hyperlink r:id="rId2960" w:history="1">
        <w:r w:rsidR="00950620" w:rsidRPr="001562F1">
          <w:rPr>
            <w:rStyle w:val="Lienhypertexte"/>
            <w:lang w:val="en-GB"/>
          </w:rPr>
          <w:t>http://en.wikipedia.org/wiki/Boswellia_sacra</w:t>
        </w:r>
      </w:hyperlink>
      <w:r w:rsidR="00950620" w:rsidRPr="001562F1">
        <w:rPr>
          <w:lang w:val="en-GB"/>
        </w:rPr>
        <w:t>,</w:t>
      </w:r>
    </w:p>
    <w:p w14:paraId="3E582AC8" w14:textId="3CBC3BC1" w:rsidR="006D6139" w:rsidRPr="001562F1" w:rsidRDefault="00950620" w:rsidP="006D6139">
      <w:pPr>
        <w:spacing w:after="0" w:line="240" w:lineRule="auto"/>
        <w:jc w:val="both"/>
        <w:rPr>
          <w:lang w:val="en-GB"/>
        </w:rPr>
      </w:pPr>
      <w:r w:rsidRPr="001562F1">
        <w:rPr>
          <w:lang w:val="en-GB"/>
        </w:rPr>
        <w:t xml:space="preserve">c) </w:t>
      </w:r>
      <w:hyperlink r:id="rId2961" w:history="1">
        <w:r w:rsidRPr="001562F1">
          <w:rPr>
            <w:rStyle w:val="Lienhypertexte"/>
            <w:lang w:val="en-GB"/>
          </w:rPr>
          <w:t>https://fr.wikipedia.org/wiki/Encens_(r%C3%A9sine_oliban)</w:t>
        </w:r>
      </w:hyperlink>
      <w:r w:rsidRPr="001562F1">
        <w:rPr>
          <w:lang w:val="en-GB"/>
        </w:rPr>
        <w:t xml:space="preserv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23"/>
        <w:gridCol w:w="5103"/>
      </w:tblGrid>
      <w:tr w:rsidR="006D6139" w14:paraId="1C14AD22" w14:textId="77777777" w:rsidTr="00D74128">
        <w:tc>
          <w:tcPr>
            <w:tcW w:w="5208" w:type="dxa"/>
          </w:tcPr>
          <w:p w14:paraId="3C5C6E5C" w14:textId="4577EDB3" w:rsidR="006D6139" w:rsidRDefault="006D6139" w:rsidP="006D6139">
            <w:pPr>
              <w:jc w:val="center"/>
              <w:rPr>
                <w:lang w:val="en-GB"/>
              </w:rPr>
            </w:pPr>
            <w:r w:rsidRPr="006D6139">
              <w:rPr>
                <w:noProof/>
              </w:rPr>
              <w:drawing>
                <wp:inline distT="0" distB="0" distL="0" distR="0" wp14:anchorId="24E6C006" wp14:editId="43617168">
                  <wp:extent cx="3243216" cy="4149080"/>
                  <wp:effectExtent l="0" t="0" r="0" b="4445"/>
                  <wp:docPr id="70671"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8"/>
                          <pic:cNvPicPr>
                            <a:picLocks noChangeAspect="1"/>
                          </pic:cNvPicPr>
                        </pic:nvPicPr>
                        <pic:blipFill>
                          <a:blip r:embed="rId2962">
                            <a:extLst>
                              <a:ext uri="{28A0092B-C50C-407E-A947-70E740481C1C}">
                                <a14:useLocalDpi xmlns:a14="http://schemas.microsoft.com/office/drawing/2010/main" val="0"/>
                              </a:ext>
                            </a:extLst>
                          </a:blip>
                          <a:stretch>
                            <a:fillRect/>
                          </a:stretch>
                        </pic:blipFill>
                        <pic:spPr>
                          <a:xfrm>
                            <a:off x="0" y="0"/>
                            <a:ext cx="3243216" cy="4149080"/>
                          </a:xfrm>
                          <a:prstGeom prst="rect">
                            <a:avLst/>
                          </a:prstGeom>
                        </pic:spPr>
                      </pic:pic>
                    </a:graphicData>
                  </a:graphic>
                </wp:inline>
              </w:drawing>
            </w:r>
          </w:p>
        </w:tc>
        <w:tc>
          <w:tcPr>
            <w:tcW w:w="5208" w:type="dxa"/>
          </w:tcPr>
          <w:p w14:paraId="19B641F7" w14:textId="77777777" w:rsidR="006D6139" w:rsidRDefault="006D6139" w:rsidP="006D6139">
            <w:pPr>
              <w:jc w:val="center"/>
              <w:rPr>
                <w:lang w:val="en-GB"/>
              </w:rPr>
            </w:pPr>
            <w:r w:rsidRPr="006D6139">
              <w:rPr>
                <w:noProof/>
              </w:rPr>
              <w:drawing>
                <wp:inline distT="0" distB="0" distL="0" distR="0" wp14:anchorId="129265DF" wp14:editId="155AC573">
                  <wp:extent cx="2057400" cy="1543050"/>
                  <wp:effectExtent l="0" t="0" r="0" b="0"/>
                  <wp:docPr id="70674"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pic:cNvPicPr>
                            <a:picLocks noChangeAspect="1"/>
                          </pic:cNvPicPr>
                        </pic:nvPicPr>
                        <pic:blipFill>
                          <a:blip r:embed="rId2963" cstate="print">
                            <a:extLst>
                              <a:ext uri="{28A0092B-C50C-407E-A947-70E740481C1C}">
                                <a14:useLocalDpi xmlns:a14="http://schemas.microsoft.com/office/drawing/2010/main" val="0"/>
                              </a:ext>
                            </a:extLst>
                          </a:blip>
                          <a:stretch>
                            <a:fillRect/>
                          </a:stretch>
                        </pic:blipFill>
                        <pic:spPr>
                          <a:xfrm>
                            <a:off x="0" y="0"/>
                            <a:ext cx="2057400" cy="1543050"/>
                          </a:xfrm>
                          <a:prstGeom prst="rect">
                            <a:avLst/>
                          </a:prstGeom>
                        </pic:spPr>
                      </pic:pic>
                    </a:graphicData>
                  </a:graphic>
                </wp:inline>
              </w:drawing>
            </w:r>
          </w:p>
          <w:p w14:paraId="1EB9D502" w14:textId="77777777" w:rsidR="006D6139" w:rsidRDefault="006D6139" w:rsidP="006D6139">
            <w:pPr>
              <w:jc w:val="center"/>
              <w:rPr>
                <w:lang w:val="en-GB"/>
              </w:rPr>
            </w:pPr>
          </w:p>
          <w:p w14:paraId="59C586A3" w14:textId="77777777" w:rsidR="006D6139" w:rsidRDefault="006D6139" w:rsidP="006D6139">
            <w:pPr>
              <w:jc w:val="center"/>
              <w:rPr>
                <w:lang w:val="en-GB"/>
              </w:rPr>
            </w:pPr>
            <w:r w:rsidRPr="006D6139">
              <w:rPr>
                <w:noProof/>
              </w:rPr>
              <w:drawing>
                <wp:inline distT="0" distB="0" distL="0" distR="0" wp14:anchorId="32184011" wp14:editId="675E9827">
                  <wp:extent cx="1767165" cy="1325374"/>
                  <wp:effectExtent l="0" t="0" r="5080" b="8255"/>
                  <wp:docPr id="70675"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9"/>
                          <pic:cNvPicPr>
                            <a:picLocks noChangeAspect="1"/>
                          </pic:cNvPicPr>
                        </pic:nvPicPr>
                        <pic:blipFill>
                          <a:blip r:embed="rId2964">
                            <a:extLst>
                              <a:ext uri="{28A0092B-C50C-407E-A947-70E740481C1C}">
                                <a14:useLocalDpi xmlns:a14="http://schemas.microsoft.com/office/drawing/2010/main" val="0"/>
                              </a:ext>
                            </a:extLst>
                          </a:blip>
                          <a:stretch>
                            <a:fillRect/>
                          </a:stretch>
                        </pic:blipFill>
                        <pic:spPr>
                          <a:xfrm>
                            <a:off x="0" y="0"/>
                            <a:ext cx="1767165" cy="1325374"/>
                          </a:xfrm>
                          <a:prstGeom prst="rect">
                            <a:avLst/>
                          </a:prstGeom>
                        </pic:spPr>
                      </pic:pic>
                    </a:graphicData>
                  </a:graphic>
                </wp:inline>
              </w:drawing>
            </w:r>
          </w:p>
          <w:p w14:paraId="4BBD3986" w14:textId="77777777" w:rsidR="006D6139" w:rsidRDefault="006D6139" w:rsidP="006D6139">
            <w:pPr>
              <w:jc w:val="center"/>
              <w:rPr>
                <w:lang w:val="en-GB"/>
              </w:rPr>
            </w:pPr>
          </w:p>
          <w:p w14:paraId="41029B82" w14:textId="24810377" w:rsidR="006D6139" w:rsidRDefault="006D6139" w:rsidP="006D6139">
            <w:pPr>
              <w:jc w:val="center"/>
              <w:rPr>
                <w:lang w:val="en-GB"/>
              </w:rPr>
            </w:pPr>
            <w:r w:rsidRPr="006D6139">
              <w:rPr>
                <w:noProof/>
              </w:rPr>
              <w:drawing>
                <wp:inline distT="0" distB="0" distL="0" distR="0" wp14:anchorId="046EBF54" wp14:editId="27AEBDDA">
                  <wp:extent cx="1389913" cy="1042435"/>
                  <wp:effectExtent l="0" t="0" r="1270" b="5715"/>
                  <wp:docPr id="70676"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0"/>
                          <pic:cNvPicPr>
                            <a:picLocks noChangeAspect="1"/>
                          </pic:cNvPicPr>
                        </pic:nvPicPr>
                        <pic:blipFill>
                          <a:blip r:embed="rId2965">
                            <a:extLst>
                              <a:ext uri="{28A0092B-C50C-407E-A947-70E740481C1C}">
                                <a14:useLocalDpi xmlns:a14="http://schemas.microsoft.com/office/drawing/2010/main" val="0"/>
                              </a:ext>
                            </a:extLst>
                          </a:blip>
                          <a:stretch>
                            <a:fillRect/>
                          </a:stretch>
                        </pic:blipFill>
                        <pic:spPr>
                          <a:xfrm>
                            <a:off x="0" y="0"/>
                            <a:ext cx="1389913" cy="1042435"/>
                          </a:xfrm>
                          <a:prstGeom prst="rect">
                            <a:avLst/>
                          </a:prstGeom>
                        </pic:spPr>
                      </pic:pic>
                    </a:graphicData>
                  </a:graphic>
                </wp:inline>
              </w:drawing>
            </w:r>
          </w:p>
        </w:tc>
      </w:tr>
    </w:tbl>
    <w:p w14:paraId="3451A69B" w14:textId="1AB67F3F" w:rsidR="006D6139" w:rsidRDefault="006D6139" w:rsidP="00A95DE0">
      <w:pPr>
        <w:spacing w:after="0" w:line="240" w:lineRule="auto"/>
        <w:rPr>
          <w:lang w:val="en-GB"/>
        </w:rPr>
      </w:pPr>
    </w:p>
    <w:p w14:paraId="6A9DF53C" w14:textId="77777777" w:rsidR="00A00AFA" w:rsidRPr="00A00AFA" w:rsidRDefault="00A00AFA" w:rsidP="00A95DE0">
      <w:pPr>
        <w:pStyle w:val="Titre2"/>
      </w:pPr>
      <w:bookmarkStart w:id="226" w:name="_Toc139181517"/>
      <w:r w:rsidRPr="00A00AFA">
        <w:t xml:space="preserve">Salai ou Shallaki </w:t>
      </w:r>
      <w:r w:rsidRPr="00A00AFA">
        <w:rPr>
          <w:i/>
          <w:iCs/>
        </w:rPr>
        <w:t>(Boswellia serrata</w:t>
      </w:r>
      <w:r w:rsidRPr="00A00AFA">
        <w:t>)</w:t>
      </w:r>
      <w:bookmarkEnd w:id="226"/>
    </w:p>
    <w:p w14:paraId="663C4B8E" w14:textId="0C5CECDF" w:rsidR="006D6139" w:rsidRDefault="006D6139" w:rsidP="00A00AFA">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4"/>
        <w:gridCol w:w="2192"/>
        <w:gridCol w:w="1102"/>
        <w:gridCol w:w="965"/>
        <w:gridCol w:w="1363"/>
      </w:tblGrid>
      <w:tr w:rsidR="00A00AFA" w:rsidRPr="000B6BE3" w14:paraId="14668AF6" w14:textId="77777777" w:rsidTr="007E58C4">
        <w:tc>
          <w:tcPr>
            <w:tcW w:w="4957" w:type="dxa"/>
          </w:tcPr>
          <w:p w14:paraId="346C3744" w14:textId="77777777" w:rsidR="00A00AFA" w:rsidRDefault="00A00AFA" w:rsidP="007E58C4">
            <w:r w:rsidRPr="000B6BE3">
              <w:rPr>
                <w:rFonts w:cstheme="minorHAnsi"/>
                <w:bCs/>
              </w:rPr>
              <w:t>(</w:t>
            </w:r>
            <w:hyperlink r:id="rId2966" w:history="1">
              <w:r w:rsidRPr="000B6BE3">
                <w:rPr>
                  <w:rFonts w:cstheme="minorHAnsi"/>
                </w:rPr>
                <w:t>F</w:t>
              </w:r>
              <w:r w:rsidRPr="000B6BE3">
                <w:rPr>
                  <w:rStyle w:val="Lienhypertexte"/>
                  <w:rFonts w:cstheme="minorHAnsi"/>
                  <w:color w:val="0B0080"/>
                  <w:shd w:val="clear" w:color="auto" w:fill="FFFFFF"/>
                </w:rPr>
                <w:t>amille</w:t>
              </w:r>
            </w:hyperlink>
            <w:r w:rsidRPr="000B6BE3">
              <w:rPr>
                <w:rFonts w:cstheme="minorHAnsi"/>
                <w:color w:val="222222"/>
                <w:shd w:val="clear" w:color="auto" w:fill="FFFFFF"/>
              </w:rPr>
              <w:t> </w:t>
            </w:r>
            <w:r w:rsidRPr="00FC05CB">
              <w:rPr>
                <w:rFonts w:cstheme="minorHAnsi"/>
                <w:color w:val="000000" w:themeColor="text1"/>
                <w:shd w:val="clear" w:color="auto" w:fill="FFFFFF"/>
              </w:rPr>
              <w:t>des </w:t>
            </w:r>
            <w:hyperlink r:id="rId2967" w:history="1">
              <w:r w:rsidRPr="002B7DCD">
                <w:rPr>
                  <w:rStyle w:val="Lienhypertexte"/>
                  <w:i/>
                  <w:iCs/>
                </w:rPr>
                <w:t>Burseraceae</w:t>
              </w:r>
            </w:hyperlink>
            <w:r>
              <w:t xml:space="preserve">. </w:t>
            </w:r>
          </w:p>
          <w:p w14:paraId="36910877" w14:textId="77777777" w:rsidR="00A00AFA" w:rsidRPr="000B6BE3" w:rsidRDefault="00A00AFA" w:rsidP="007E58C4">
            <w:pPr>
              <w:rPr>
                <w:rFonts w:cstheme="minorHAnsi"/>
                <w:bCs/>
              </w:rPr>
            </w:pPr>
            <w:r w:rsidRPr="006D6139">
              <w:t>Famille des </w:t>
            </w:r>
            <w:hyperlink r:id="rId2968" w:history="1">
              <w:r w:rsidRPr="006D6139">
                <w:rPr>
                  <w:rStyle w:val="Lienhypertexte"/>
                  <w:i/>
                  <w:iCs/>
                </w:rPr>
                <w:t>Burséracées</w:t>
              </w:r>
            </w:hyperlink>
            <w:r w:rsidRPr="00FC05CB">
              <w:rPr>
                <w:rFonts w:cstheme="minorHAnsi"/>
                <w:bCs/>
                <w:color w:val="000000" w:themeColor="text1"/>
              </w:rPr>
              <w:t>).</w:t>
            </w:r>
          </w:p>
          <w:p w14:paraId="74FE921F" w14:textId="77777777" w:rsidR="00A00AFA" w:rsidRPr="000B6BE3" w:rsidRDefault="00A00AFA" w:rsidP="007E58C4">
            <w:pPr>
              <w:rPr>
                <w:rFonts w:cstheme="minorHAnsi"/>
                <w:bCs/>
              </w:rPr>
            </w:pPr>
          </w:p>
          <w:p w14:paraId="6538A7BF" w14:textId="77777777" w:rsidR="00A00AFA" w:rsidRPr="000B6BE3" w:rsidRDefault="00A00AFA" w:rsidP="007E58C4">
            <w:pPr>
              <w:rPr>
                <w:rFonts w:cstheme="minorHAnsi"/>
              </w:rPr>
            </w:pPr>
          </w:p>
        </w:tc>
        <w:tc>
          <w:tcPr>
            <w:tcW w:w="2268" w:type="dxa"/>
          </w:tcPr>
          <w:p w14:paraId="49882739" w14:textId="77777777" w:rsidR="00A00AFA" w:rsidRPr="000B6BE3" w:rsidRDefault="00A00AFA" w:rsidP="007E58C4">
            <w:pPr>
              <w:rPr>
                <w:rFonts w:cstheme="minorHAnsi"/>
              </w:rPr>
            </w:pPr>
            <w:r>
              <w:rPr>
                <w:rFonts w:cstheme="minorHAnsi"/>
              </w:rPr>
              <w:t xml:space="preserve"> </w:t>
            </w:r>
            <w:r w:rsidRPr="00125C62">
              <w:rPr>
                <w:rFonts w:cstheme="minorHAnsi"/>
                <w:noProof/>
              </w:rPr>
              <w:drawing>
                <wp:inline distT="0" distB="0" distL="0" distR="0" wp14:anchorId="3CEDB817" wp14:editId="06BC1117">
                  <wp:extent cx="495300" cy="666750"/>
                  <wp:effectExtent l="0" t="0" r="0" b="0"/>
                  <wp:docPr id="70685" name="Image 11"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11" descr="logo aride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rPr>
              <w:t> </w:t>
            </w:r>
          </w:p>
        </w:tc>
        <w:tc>
          <w:tcPr>
            <w:tcW w:w="1134" w:type="dxa"/>
          </w:tcPr>
          <w:p w14:paraId="07559193" w14:textId="77777777" w:rsidR="00A00AFA" w:rsidRPr="00B000E9" w:rsidRDefault="00A00AFA" w:rsidP="007E58C4">
            <w:pPr>
              <w:textAlignment w:val="baseline"/>
              <w:rPr>
                <w:rFonts w:ascii="Times New Roman" w:eastAsia="Times New Roman" w:hAnsi="Times New Roman" w:cs="Times New Roman"/>
                <w:sz w:val="36"/>
                <w:szCs w:val="36"/>
                <w:lang w:eastAsia="fr-FR"/>
              </w:rPr>
            </w:pPr>
            <w:r w:rsidRPr="00B000E9">
              <w:rPr>
                <w:rFonts w:ascii="Arial" w:eastAsia="+mn-ea" w:hAnsi="Arial" w:cs="Arial"/>
                <w:b/>
                <w:bCs/>
                <w:color w:val="008000"/>
                <w:kern w:val="24"/>
                <w:sz w:val="36"/>
                <w:szCs w:val="36"/>
                <w:lang w:eastAsia="fr-FR"/>
              </w:rPr>
              <w:t>$</w:t>
            </w:r>
            <w:r>
              <w:rPr>
                <w:rFonts w:ascii="Arial" w:eastAsia="+mn-ea" w:hAnsi="Arial" w:cs="Arial"/>
                <w:b/>
                <w:bCs/>
                <w:color w:val="008000"/>
                <w:kern w:val="24"/>
                <w:sz w:val="36"/>
                <w:szCs w:val="36"/>
                <w:lang w:eastAsia="fr-FR"/>
              </w:rPr>
              <w:t>$</w:t>
            </w:r>
          </w:p>
        </w:tc>
        <w:tc>
          <w:tcPr>
            <w:tcW w:w="992" w:type="dxa"/>
          </w:tcPr>
          <w:p w14:paraId="78BE5C09" w14:textId="77777777" w:rsidR="00A00AFA" w:rsidRDefault="00A00AFA" w:rsidP="007E58C4">
            <w:pPr>
              <w:pStyle w:val="NormalWeb"/>
              <w:spacing w:before="0" w:beforeAutospacing="0" w:after="0" w:afterAutospacing="0"/>
              <w:textAlignment w:val="baseline"/>
            </w:pPr>
            <w:r>
              <w:rPr>
                <w:rFonts w:ascii="Arial" w:eastAsia="+mn-ea" w:hAnsi="Arial" w:cs="Arial"/>
                <w:b/>
                <w:bCs/>
                <w:color w:val="008000"/>
                <w:kern w:val="24"/>
                <w:sz w:val="48"/>
                <w:szCs w:val="48"/>
              </w:rPr>
              <w:t xml:space="preserve">U </w:t>
            </w:r>
          </w:p>
          <w:p w14:paraId="39DDC8D8" w14:textId="77777777" w:rsidR="00A00AFA" w:rsidRPr="000B6BE3" w:rsidRDefault="00A00AFA" w:rsidP="007E58C4">
            <w:pPr>
              <w:rPr>
                <w:rFonts w:cstheme="minorHAnsi"/>
              </w:rPr>
            </w:pPr>
          </w:p>
        </w:tc>
        <w:tc>
          <w:tcPr>
            <w:tcW w:w="1439" w:type="dxa"/>
          </w:tcPr>
          <w:p w14:paraId="0C6EDED0" w14:textId="58531D05" w:rsidR="00A00AFA" w:rsidRPr="000B6BE3" w:rsidRDefault="00A00AFA" w:rsidP="007E58C4">
            <w:pPr>
              <w:rPr>
                <w:rFonts w:cstheme="minorHAnsi"/>
              </w:rPr>
            </w:pPr>
          </w:p>
        </w:tc>
      </w:tr>
    </w:tbl>
    <w:p w14:paraId="63F7CC79" w14:textId="77777777" w:rsidR="00A00AFA" w:rsidRPr="00A00AFA" w:rsidRDefault="00A00AFA" w:rsidP="00A00AFA">
      <w:pPr>
        <w:spacing w:after="0" w:line="240" w:lineRule="auto"/>
        <w:jc w:val="both"/>
      </w:pPr>
    </w:p>
    <w:p w14:paraId="7070E0AA" w14:textId="77777777" w:rsidR="00A00AFA" w:rsidRPr="00A00AFA" w:rsidRDefault="00A00AFA" w:rsidP="00A00AFA">
      <w:pPr>
        <w:spacing w:after="0" w:line="240" w:lineRule="auto"/>
        <w:jc w:val="both"/>
      </w:pPr>
      <w:r w:rsidRPr="00A00AFA">
        <w:rPr>
          <w:i/>
          <w:iCs/>
        </w:rPr>
        <w:t>Boswellia serrata</w:t>
      </w:r>
      <w:r w:rsidRPr="00A00AFA">
        <w:t> est un arbuste qui produit l</w:t>
      </w:r>
      <w:hyperlink r:id="rId2969" w:history="1">
        <w:r w:rsidRPr="00A00AFA">
          <w:rPr>
            <w:rStyle w:val="Lienhypertexte"/>
          </w:rPr>
          <w:t>’</w:t>
        </w:r>
      </w:hyperlink>
      <w:hyperlink r:id="rId2970" w:history="1">
        <w:r w:rsidRPr="00A00AFA">
          <w:rPr>
            <w:rStyle w:val="Lienhypertexte"/>
          </w:rPr>
          <w:t>encens</w:t>
        </w:r>
      </w:hyperlink>
      <w:r w:rsidRPr="00A00AFA">
        <w:rPr>
          <w:u w:val="single"/>
        </w:rPr>
        <w:t xml:space="preserve"> </w:t>
      </w:r>
      <w:r w:rsidRPr="00A00AFA">
        <w:t>indien.</w:t>
      </w:r>
    </w:p>
    <w:p w14:paraId="3567CB6D" w14:textId="77777777" w:rsidR="00A00AFA" w:rsidRPr="00A00AFA" w:rsidRDefault="00A00AFA" w:rsidP="00A00AFA">
      <w:pPr>
        <w:spacing w:after="0" w:line="240" w:lineRule="auto"/>
        <w:jc w:val="both"/>
      </w:pPr>
      <w:r w:rsidRPr="00A00AFA">
        <w:t>Il est originaire d'une grande partie de </w:t>
      </w:r>
      <w:hyperlink r:id="rId2971" w:history="1">
        <w:r w:rsidRPr="00A00AFA">
          <w:rPr>
            <w:rStyle w:val="Lienhypertexte"/>
          </w:rPr>
          <w:t>l'Inde</w:t>
        </w:r>
      </w:hyperlink>
      <w:r w:rsidRPr="00A00AFA">
        <w:t> et de la </w:t>
      </w:r>
      <w:hyperlink r:id="rId2972" w:history="1">
        <w:r w:rsidRPr="00A00AFA">
          <w:rPr>
            <w:rStyle w:val="Lienhypertexte"/>
          </w:rPr>
          <w:t xml:space="preserve">région du </w:t>
        </w:r>
      </w:hyperlink>
      <w:hyperlink r:id="rId2973" w:history="1">
        <w:r w:rsidRPr="00A00AFA">
          <w:rPr>
            <w:rStyle w:val="Lienhypertexte"/>
          </w:rPr>
          <w:t>Punjab</w:t>
        </w:r>
      </w:hyperlink>
      <w:r w:rsidRPr="00A00AFA">
        <w:t> pakistanais.</w:t>
      </w:r>
    </w:p>
    <w:p w14:paraId="69F3DD33" w14:textId="77777777" w:rsidR="00A00AFA" w:rsidRPr="00A00AFA" w:rsidRDefault="00A00AFA" w:rsidP="00A00AFA">
      <w:pPr>
        <w:spacing w:after="0" w:line="240" w:lineRule="auto"/>
        <w:jc w:val="both"/>
      </w:pPr>
      <w:r w:rsidRPr="00A00AFA">
        <w:rPr>
          <w:u w:val="single"/>
        </w:rPr>
        <w:lastRenderedPageBreak/>
        <w:t>Usage</w:t>
      </w:r>
      <w:r w:rsidRPr="00A00AFA">
        <w:t xml:space="preserve"> : Il est utilisé, par la </w:t>
      </w:r>
      <w:hyperlink r:id="rId2974" w:history="1">
        <w:r w:rsidRPr="00A00AFA">
          <w:rPr>
            <w:rStyle w:val="Lienhypertexte"/>
          </w:rPr>
          <w:t>médecine ayurvédique</w:t>
        </w:r>
      </w:hyperlink>
      <w:r w:rsidRPr="00A00AFA">
        <w:t>, pour le traitement de </w:t>
      </w:r>
      <w:hyperlink r:id="rId2975" w:history="1">
        <w:r w:rsidRPr="00A00AFA">
          <w:rPr>
            <w:rStyle w:val="Lienhypertexte"/>
          </w:rPr>
          <w:t>l'arthrite</w:t>
        </w:r>
      </w:hyperlink>
      <w:r w:rsidRPr="00A00AFA">
        <w:t xml:space="preserve">. </w:t>
      </w:r>
    </w:p>
    <w:p w14:paraId="4B79EE1B" w14:textId="77777777" w:rsidR="00A00AFA" w:rsidRPr="00A00AFA" w:rsidRDefault="00A00AFA" w:rsidP="00A00AFA">
      <w:pPr>
        <w:spacing w:after="0" w:line="240" w:lineRule="auto"/>
        <w:jc w:val="both"/>
      </w:pPr>
      <w:r w:rsidRPr="00A00AFA">
        <w:t>Des extraits de </w:t>
      </w:r>
      <w:r w:rsidRPr="00A00AFA">
        <w:rPr>
          <w:i/>
          <w:iCs/>
        </w:rPr>
        <w:t>Boswellia serrata</w:t>
      </w:r>
      <w:r w:rsidRPr="00A00AFA">
        <w:t> ont été cliniquement étudiée pour </w:t>
      </w:r>
      <w:hyperlink r:id="rId2976" w:history="1">
        <w:r w:rsidRPr="00A00AFA">
          <w:rPr>
            <w:rStyle w:val="Lienhypertexte"/>
          </w:rPr>
          <w:t>l'arthrose</w:t>
        </w:r>
      </w:hyperlink>
      <w:r w:rsidRPr="00A00AFA">
        <w:t xml:space="preserve"> et de la fonction articulaire, en particulier pour l'arthrose du genou, montrant une légère amélioration à la fois de la douleur et de la fonction par rapport à un placebo. Les effets positifs de </w:t>
      </w:r>
      <w:r w:rsidRPr="00A00AFA">
        <w:rPr>
          <w:i/>
          <w:iCs/>
        </w:rPr>
        <w:t>Boswellia</w:t>
      </w:r>
      <w:r w:rsidRPr="00A00AFA">
        <w:t xml:space="preserve"> dans certaines maladies inflammatoires chroniques y compris la polyarthrite rhumatoïde, l'asthme bronchique, l'arthrose, la colite ulcéreuse et la maladie de Crohn ont été rapportés. Certains considèrent </w:t>
      </w:r>
      <w:r w:rsidRPr="00A00AFA">
        <w:rPr>
          <w:i/>
          <w:iCs/>
        </w:rPr>
        <w:t xml:space="preserve">Boswellia serrata </w:t>
      </w:r>
      <w:r w:rsidRPr="00A00AFA">
        <w:t>comme une alternative prometteuse aux </w:t>
      </w:r>
      <w:hyperlink r:id="rId2977" w:history="1">
        <w:r w:rsidRPr="00A00AFA">
          <w:rPr>
            <w:rStyle w:val="Lienhypertexte"/>
          </w:rPr>
          <w:t>AINS</w:t>
        </w:r>
      </w:hyperlink>
      <w:r w:rsidRPr="00A00AFA">
        <w:t>, justifiant une enquête plus approfondie dans les études pharmacologiques et cliniques.</w:t>
      </w:r>
    </w:p>
    <w:p w14:paraId="1FB04FF6" w14:textId="77777777" w:rsidR="00A00AFA" w:rsidRPr="00A00AFA" w:rsidRDefault="00A00AFA" w:rsidP="00A00AFA">
      <w:pPr>
        <w:spacing w:after="0" w:line="240" w:lineRule="auto"/>
        <w:jc w:val="both"/>
      </w:pPr>
      <w:r w:rsidRPr="00A00AFA">
        <w:rPr>
          <w:u w:val="single"/>
        </w:rPr>
        <w:t xml:space="preserve">Constituants actifs </w:t>
      </w:r>
      <w:r w:rsidRPr="00A00AFA">
        <w:t>: L</w:t>
      </w:r>
      <w:hyperlink r:id="rId2978" w:history="1">
        <w:r w:rsidRPr="00A00AFA">
          <w:rPr>
            <w:rStyle w:val="Lienhypertexte"/>
          </w:rPr>
          <w:t xml:space="preserve">’acide </w:t>
        </w:r>
      </w:hyperlink>
      <w:hyperlink r:id="rId2979" w:history="1">
        <w:r w:rsidRPr="00A00AFA">
          <w:rPr>
            <w:rStyle w:val="Lienhypertexte"/>
          </w:rPr>
          <w:t>boswellique</w:t>
        </w:r>
      </w:hyperlink>
      <w:r w:rsidRPr="00A00AFA">
        <w:t> et d'autres acides pentacycliques </w:t>
      </w:r>
      <w:hyperlink r:id="rId2980" w:history="1">
        <w:r w:rsidRPr="00A00AFA">
          <w:rPr>
            <w:rStyle w:val="Lienhypertexte"/>
          </w:rPr>
          <w:t>triterpéniques</w:t>
        </w:r>
      </w:hyperlink>
      <w:r w:rsidRPr="00A00AFA">
        <w:t xml:space="preserve"> sont présents. L’acide bêta-boswellique est le constituant principal. Le </w:t>
      </w:r>
      <w:r w:rsidRPr="00A00AFA">
        <w:rPr>
          <w:i/>
          <w:iCs/>
        </w:rPr>
        <w:t>Shallaki</w:t>
      </w:r>
      <w:r w:rsidRPr="00A00AFA">
        <w:t xml:space="preserve"> serait un analgésique puissant et aurait des effets anti-inflammatoires pouvant réduire la douleur et l'inflammation des articulations.</w:t>
      </w:r>
    </w:p>
    <w:p w14:paraId="49F85527" w14:textId="77777777" w:rsidR="00A00AFA" w:rsidRPr="00A00AFA" w:rsidRDefault="00A00AFA" w:rsidP="00A00AFA">
      <w:pPr>
        <w:spacing w:after="0" w:line="240" w:lineRule="auto"/>
        <w:jc w:val="both"/>
      </w:pPr>
      <w:r w:rsidRPr="00A00AFA">
        <w:t xml:space="preserve">Source : a) </w:t>
      </w:r>
      <w:hyperlink r:id="rId2981" w:history="1">
        <w:r w:rsidRPr="00A00AFA">
          <w:rPr>
            <w:rStyle w:val="Lienhypertexte"/>
          </w:rPr>
          <w:t>http://en.wikipedia.org/wiki/Boswellia_serrata</w:t>
        </w:r>
      </w:hyperlink>
    </w:p>
    <w:p w14:paraId="56E78944" w14:textId="77777777" w:rsidR="00A00AFA" w:rsidRPr="00A00AFA" w:rsidRDefault="00A00AFA" w:rsidP="00A00AFA">
      <w:pPr>
        <w:spacing w:after="0" w:line="240" w:lineRule="auto"/>
        <w:jc w:val="both"/>
      </w:pPr>
      <w:r w:rsidRPr="00A00AFA">
        <w:t xml:space="preserve">b) </w:t>
      </w:r>
      <w:hyperlink r:id="rId2982" w:history="1">
        <w:r w:rsidRPr="00A00AFA">
          <w:rPr>
            <w:rStyle w:val="Lienhypertexte"/>
          </w:rPr>
          <w:t>http://pl.wikipedia.org/wiki/Boswellia_serrata</w:t>
        </w:r>
      </w:hyperlink>
      <w:r w:rsidRPr="00A00AFA">
        <w:t xml:space="preserve"> </w:t>
      </w:r>
    </w:p>
    <w:p w14:paraId="39F61393" w14:textId="783A94D3" w:rsidR="00A00AFA" w:rsidRDefault="00A00AFA" w:rsidP="00A00AFA">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86"/>
        <w:gridCol w:w="5440"/>
      </w:tblGrid>
      <w:tr w:rsidR="00A00AFA" w14:paraId="4FC9F587" w14:textId="77777777" w:rsidTr="00A00AFA">
        <w:tc>
          <w:tcPr>
            <w:tcW w:w="4974" w:type="dxa"/>
          </w:tcPr>
          <w:p w14:paraId="1759556B" w14:textId="77777777" w:rsidR="00A00AFA" w:rsidRDefault="00A00AFA" w:rsidP="00A00AFA">
            <w:pPr>
              <w:jc w:val="center"/>
            </w:pPr>
            <w:r w:rsidRPr="00A00AFA">
              <w:rPr>
                <w:noProof/>
              </w:rPr>
              <w:drawing>
                <wp:inline distT="0" distB="0" distL="0" distR="0" wp14:anchorId="33057FE6" wp14:editId="6991ABAB">
                  <wp:extent cx="2995263" cy="2409825"/>
                  <wp:effectExtent l="0" t="0" r="0" b="0"/>
                  <wp:docPr id="93206"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pic:cNvPicPr>
                            <a:picLocks noChangeAspect="1"/>
                          </pic:cNvPicPr>
                        </pic:nvPicPr>
                        <pic:blipFill>
                          <a:blip r:embed="rId2983">
                            <a:extLst>
                              <a:ext uri="{28A0092B-C50C-407E-A947-70E740481C1C}">
                                <a14:useLocalDpi xmlns:a14="http://schemas.microsoft.com/office/drawing/2010/main" val="0"/>
                              </a:ext>
                            </a:extLst>
                          </a:blip>
                          <a:stretch>
                            <a:fillRect/>
                          </a:stretch>
                        </pic:blipFill>
                        <pic:spPr>
                          <a:xfrm>
                            <a:off x="0" y="0"/>
                            <a:ext cx="2997723" cy="2411805"/>
                          </a:xfrm>
                          <a:prstGeom prst="rect">
                            <a:avLst/>
                          </a:prstGeom>
                        </pic:spPr>
                      </pic:pic>
                    </a:graphicData>
                  </a:graphic>
                </wp:inline>
              </w:drawing>
            </w:r>
          </w:p>
          <w:p w14:paraId="5D38B85A" w14:textId="77777777" w:rsidR="00A00AFA" w:rsidRDefault="00A00AFA" w:rsidP="00A00AFA">
            <w:pPr>
              <w:jc w:val="center"/>
            </w:pPr>
            <w:r w:rsidRPr="00A00AFA">
              <w:t>Photo prise dans le</w:t>
            </w:r>
            <w:r w:rsidRPr="00A00AFA">
              <w:rPr>
                <w:lang w:val="en-US"/>
              </w:rPr>
              <w:t> </w:t>
            </w:r>
            <w:hyperlink r:id="rId2984" w:history="1">
              <w:r w:rsidRPr="00A00AFA">
                <w:rPr>
                  <w:rStyle w:val="Lienhypertexte"/>
                  <w:lang w:val="en-US"/>
                </w:rPr>
                <w:t>Kinnerasani</w:t>
              </w:r>
            </w:hyperlink>
            <w:hyperlink r:id="rId2985" w:history="1">
              <w:r w:rsidRPr="00A00AFA">
                <w:rPr>
                  <w:rStyle w:val="Lienhypertexte"/>
                  <w:lang w:val="en-US"/>
                </w:rPr>
                <w:t xml:space="preserve"> Wildlife </w:t>
              </w:r>
            </w:hyperlink>
            <w:hyperlink r:id="rId2986" w:history="1">
              <w:r w:rsidRPr="00A00AFA">
                <w:rPr>
                  <w:rStyle w:val="Lienhypertexte"/>
                  <w:lang w:val="en-US"/>
                </w:rPr>
                <w:t>Sanctuary</w:t>
              </w:r>
            </w:hyperlink>
            <w:r w:rsidRPr="00A00AFA">
              <w:rPr>
                <w:lang w:val="en-US"/>
              </w:rPr>
              <w:t>,</w:t>
            </w:r>
            <w:hyperlink r:id="rId2987" w:history="1">
              <w:r w:rsidRPr="00A00AFA">
                <w:rPr>
                  <w:rStyle w:val="Lienhypertexte"/>
                  <w:lang w:val="en-US"/>
                </w:rPr>
                <w:t>Andhra</w:t>
              </w:r>
            </w:hyperlink>
            <w:hyperlink r:id="rId2988" w:history="1">
              <w:r w:rsidRPr="00A00AFA">
                <w:rPr>
                  <w:rStyle w:val="Lienhypertexte"/>
                  <w:lang w:val="en-US"/>
                </w:rPr>
                <w:t xml:space="preserve"> Pradesh</w:t>
              </w:r>
            </w:hyperlink>
            <w:r w:rsidRPr="00A00AFA">
              <w:rPr>
                <w:lang w:val="en-US"/>
              </w:rPr>
              <w:t>, </w:t>
            </w:r>
            <w:hyperlink r:id="rId2989" w:history="1">
              <w:r w:rsidRPr="00A00AFA">
                <w:rPr>
                  <w:rStyle w:val="Lienhypertexte"/>
                  <w:lang w:val="en-US"/>
                </w:rPr>
                <w:t>Inde</w:t>
              </w:r>
            </w:hyperlink>
            <w:r>
              <w:t>.</w:t>
            </w:r>
          </w:p>
          <w:p w14:paraId="5A27126B" w14:textId="76B37266" w:rsidR="00A00AFA" w:rsidRDefault="00A00AFA" w:rsidP="00A00AFA">
            <w:pPr>
              <w:jc w:val="center"/>
            </w:pPr>
          </w:p>
        </w:tc>
        <w:tc>
          <w:tcPr>
            <w:tcW w:w="5442" w:type="dxa"/>
          </w:tcPr>
          <w:p w14:paraId="1D063458" w14:textId="77777777" w:rsidR="00A00AFA" w:rsidRDefault="00A00AFA" w:rsidP="00A00AFA">
            <w:pPr>
              <w:jc w:val="center"/>
            </w:pPr>
            <w:r w:rsidRPr="00A00AFA">
              <w:rPr>
                <w:noProof/>
              </w:rPr>
              <w:drawing>
                <wp:inline distT="0" distB="0" distL="0" distR="0" wp14:anchorId="1A0A5726" wp14:editId="19BE12A4">
                  <wp:extent cx="2505075" cy="1828800"/>
                  <wp:effectExtent l="0" t="0" r="9525" b="0"/>
                  <wp:docPr id="8193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2990">
                            <a:extLst>
                              <a:ext uri="{28A0092B-C50C-407E-A947-70E740481C1C}">
                                <a14:useLocalDpi xmlns:a14="http://schemas.microsoft.com/office/drawing/2010/main" val="0"/>
                              </a:ext>
                            </a:extLst>
                          </a:blip>
                          <a:stretch>
                            <a:fillRect/>
                          </a:stretch>
                        </pic:blipFill>
                        <pic:spPr>
                          <a:xfrm>
                            <a:off x="0" y="0"/>
                            <a:ext cx="2505075" cy="1828800"/>
                          </a:xfrm>
                          <a:prstGeom prst="rect">
                            <a:avLst/>
                          </a:prstGeom>
                        </pic:spPr>
                      </pic:pic>
                    </a:graphicData>
                  </a:graphic>
                </wp:inline>
              </w:drawing>
            </w:r>
          </w:p>
          <w:p w14:paraId="36A60621" w14:textId="228C930C" w:rsidR="00A00AFA" w:rsidRDefault="00A00AFA" w:rsidP="00A00AFA">
            <w:pPr>
              <w:jc w:val="center"/>
            </w:pPr>
            <w:r w:rsidRPr="00A00AFA">
              <w:t>Source image</w:t>
            </w:r>
            <w:r>
              <w:rPr>
                <w:rStyle w:val="Appelnotedebasdep"/>
              </w:rPr>
              <w:footnoteReference w:id="157"/>
            </w:r>
            <w:r>
              <w:t>.</w:t>
            </w:r>
          </w:p>
          <w:p w14:paraId="05F209D5" w14:textId="77777777" w:rsidR="00A95DE0" w:rsidRDefault="00A95DE0" w:rsidP="00A00AFA">
            <w:pPr>
              <w:jc w:val="center"/>
            </w:pPr>
          </w:p>
          <w:p w14:paraId="3699AF2C" w14:textId="77777777" w:rsidR="00A00AFA" w:rsidRDefault="00A00AFA" w:rsidP="00A00AFA">
            <w:pPr>
              <w:jc w:val="center"/>
            </w:pPr>
            <w:r w:rsidRPr="00A00AFA">
              <w:rPr>
                <w:noProof/>
              </w:rPr>
              <w:drawing>
                <wp:inline distT="0" distB="0" distL="0" distR="0" wp14:anchorId="15BBE7E1" wp14:editId="64BB5457">
                  <wp:extent cx="1521571" cy="1367488"/>
                  <wp:effectExtent l="0" t="0" r="2540" b="4445"/>
                  <wp:docPr id="70684"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3"/>
                          <pic:cNvPicPr>
                            <a:picLocks noChangeAspect="1"/>
                          </pic:cNvPicPr>
                        </pic:nvPicPr>
                        <pic:blipFill>
                          <a:blip r:embed="rId2991">
                            <a:extLst>
                              <a:ext uri="{28A0092B-C50C-407E-A947-70E740481C1C}">
                                <a14:useLocalDpi xmlns:a14="http://schemas.microsoft.com/office/drawing/2010/main" val="0"/>
                              </a:ext>
                            </a:extLst>
                          </a:blip>
                          <a:stretch>
                            <a:fillRect/>
                          </a:stretch>
                        </pic:blipFill>
                        <pic:spPr>
                          <a:xfrm>
                            <a:off x="0" y="0"/>
                            <a:ext cx="1521571" cy="1367488"/>
                          </a:xfrm>
                          <a:prstGeom prst="rect">
                            <a:avLst/>
                          </a:prstGeom>
                        </pic:spPr>
                      </pic:pic>
                    </a:graphicData>
                  </a:graphic>
                </wp:inline>
              </w:drawing>
            </w:r>
          </w:p>
          <w:p w14:paraId="27FA7E3F" w14:textId="3F13725E" w:rsidR="00A00AFA" w:rsidRDefault="00A00AFA" w:rsidP="00A00AFA">
            <w:pPr>
              <w:jc w:val="center"/>
            </w:pPr>
            <w:r w:rsidRPr="00A00AFA">
              <w:t>Source image</w:t>
            </w:r>
            <w:r>
              <w:rPr>
                <w:rStyle w:val="Appelnotedebasdep"/>
              </w:rPr>
              <w:footnoteReference w:id="158"/>
            </w:r>
            <w:r>
              <w:t>.</w:t>
            </w:r>
          </w:p>
        </w:tc>
      </w:tr>
      <w:tr w:rsidR="00A00AFA" w14:paraId="164925A2" w14:textId="77777777" w:rsidTr="00A00AFA">
        <w:tc>
          <w:tcPr>
            <w:tcW w:w="4974" w:type="dxa"/>
          </w:tcPr>
          <w:p w14:paraId="29307121" w14:textId="77777777" w:rsidR="00A00AFA" w:rsidRDefault="00A00AFA" w:rsidP="00A00AFA">
            <w:pPr>
              <w:jc w:val="center"/>
            </w:pPr>
            <w:r w:rsidRPr="00A00AFA">
              <w:rPr>
                <w:noProof/>
              </w:rPr>
              <w:drawing>
                <wp:inline distT="0" distB="0" distL="0" distR="0" wp14:anchorId="1FA119EB" wp14:editId="026C1B46">
                  <wp:extent cx="3019425" cy="1514475"/>
                  <wp:effectExtent l="0" t="0" r="9525" b="9525"/>
                  <wp:docPr id="70679"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5"/>
                          <pic:cNvPicPr>
                            <a:picLocks noChangeAspect="1"/>
                          </pic:cNvPicPr>
                        </pic:nvPicPr>
                        <pic:blipFill>
                          <a:blip r:embed="rId2992">
                            <a:extLst>
                              <a:ext uri="{28A0092B-C50C-407E-A947-70E740481C1C}">
                                <a14:useLocalDpi xmlns:a14="http://schemas.microsoft.com/office/drawing/2010/main" val="0"/>
                              </a:ext>
                            </a:extLst>
                          </a:blip>
                          <a:stretch>
                            <a:fillRect/>
                          </a:stretch>
                        </pic:blipFill>
                        <pic:spPr>
                          <a:xfrm>
                            <a:off x="0" y="0"/>
                            <a:ext cx="3019425" cy="1514475"/>
                          </a:xfrm>
                          <a:prstGeom prst="rect">
                            <a:avLst/>
                          </a:prstGeom>
                        </pic:spPr>
                      </pic:pic>
                    </a:graphicData>
                  </a:graphic>
                </wp:inline>
              </w:drawing>
            </w:r>
          </w:p>
          <w:p w14:paraId="11DD1031" w14:textId="49BCAB78" w:rsidR="00A00AFA" w:rsidRDefault="00A00AFA" w:rsidP="00A00AFA">
            <w:pPr>
              <w:jc w:val="center"/>
            </w:pPr>
            <w:r w:rsidRPr="00A00AFA">
              <w:t xml:space="preserve">Encens indien de </w:t>
            </w:r>
            <w:r w:rsidRPr="00A00AFA">
              <w:rPr>
                <w:i/>
                <w:iCs/>
              </w:rPr>
              <w:t>Boswellia Serrata</w:t>
            </w:r>
            <w:r>
              <w:rPr>
                <w:rStyle w:val="Appelnotedebasdep"/>
                <w:i/>
                <w:iCs/>
              </w:rPr>
              <w:footnoteReference w:id="159"/>
            </w:r>
            <w:r w:rsidRPr="00A00AFA">
              <w:t>.</w:t>
            </w:r>
          </w:p>
        </w:tc>
        <w:tc>
          <w:tcPr>
            <w:tcW w:w="5442" w:type="dxa"/>
          </w:tcPr>
          <w:p w14:paraId="0B0E6FE5" w14:textId="77777777" w:rsidR="00A00AFA" w:rsidRDefault="00A00AFA" w:rsidP="00A00AFA">
            <w:pPr>
              <w:jc w:val="center"/>
            </w:pPr>
            <w:r>
              <w:rPr>
                <w:noProof/>
              </w:rPr>
              <w:drawing>
                <wp:inline distT="0" distB="0" distL="0" distR="0" wp14:anchorId="4425CCDF" wp14:editId="79315EC0">
                  <wp:extent cx="914400" cy="1371600"/>
                  <wp:effectExtent l="0" t="0" r="0" b="0"/>
                  <wp:docPr id="70683" name="Image 70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3"/>
                          <a:stretch>
                            <a:fillRect/>
                          </a:stretch>
                        </pic:blipFill>
                        <pic:spPr>
                          <a:xfrm>
                            <a:off x="0" y="0"/>
                            <a:ext cx="914400" cy="1371600"/>
                          </a:xfrm>
                          <a:prstGeom prst="rect">
                            <a:avLst/>
                          </a:prstGeom>
                        </pic:spPr>
                      </pic:pic>
                    </a:graphicData>
                  </a:graphic>
                </wp:inline>
              </w:drawing>
            </w:r>
            <w:r w:rsidRPr="00A00AFA">
              <w:t xml:space="preserve"> </w:t>
            </w:r>
            <w:r w:rsidRPr="00A00AFA">
              <w:rPr>
                <w:noProof/>
              </w:rPr>
              <w:drawing>
                <wp:inline distT="0" distB="0" distL="0" distR="0" wp14:anchorId="181CEAE8" wp14:editId="2590091C">
                  <wp:extent cx="931320" cy="1225420"/>
                  <wp:effectExtent l="0" t="0" r="2540" b="0"/>
                  <wp:docPr id="70681"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7"/>
                          <pic:cNvPicPr>
                            <a:picLocks noChangeAspect="1"/>
                          </pic:cNvPicPr>
                        </pic:nvPicPr>
                        <pic:blipFill>
                          <a:blip r:embed="rId2994">
                            <a:extLst>
                              <a:ext uri="{28A0092B-C50C-407E-A947-70E740481C1C}">
                                <a14:useLocalDpi xmlns:a14="http://schemas.microsoft.com/office/drawing/2010/main" val="0"/>
                              </a:ext>
                            </a:extLst>
                          </a:blip>
                          <a:stretch>
                            <a:fillRect/>
                          </a:stretch>
                        </pic:blipFill>
                        <pic:spPr>
                          <a:xfrm>
                            <a:off x="0" y="0"/>
                            <a:ext cx="931320" cy="1225420"/>
                          </a:xfrm>
                          <a:prstGeom prst="rect">
                            <a:avLst/>
                          </a:prstGeom>
                        </pic:spPr>
                      </pic:pic>
                    </a:graphicData>
                  </a:graphic>
                </wp:inline>
              </w:drawing>
            </w:r>
            <w:r>
              <w:t xml:space="preserve"> </w:t>
            </w:r>
            <w:r w:rsidRPr="00A00AFA">
              <w:rPr>
                <w:noProof/>
              </w:rPr>
              <w:drawing>
                <wp:inline distT="0" distB="0" distL="0" distR="0" wp14:anchorId="6C09FBBE" wp14:editId="560B93C5">
                  <wp:extent cx="1225420" cy="1225420"/>
                  <wp:effectExtent l="0" t="0" r="0" b="0"/>
                  <wp:docPr id="70682"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pic:cNvPicPr>
                            <a:picLocks noChangeAspect="1"/>
                          </pic:cNvPicPr>
                        </pic:nvPicPr>
                        <pic:blipFill>
                          <a:blip r:embed="rId2995">
                            <a:extLst>
                              <a:ext uri="{28A0092B-C50C-407E-A947-70E740481C1C}">
                                <a14:useLocalDpi xmlns:a14="http://schemas.microsoft.com/office/drawing/2010/main" val="0"/>
                              </a:ext>
                            </a:extLst>
                          </a:blip>
                          <a:stretch>
                            <a:fillRect/>
                          </a:stretch>
                        </pic:blipFill>
                        <pic:spPr>
                          <a:xfrm>
                            <a:off x="0" y="0"/>
                            <a:ext cx="1225420" cy="1225420"/>
                          </a:xfrm>
                          <a:prstGeom prst="rect">
                            <a:avLst/>
                          </a:prstGeom>
                        </pic:spPr>
                      </pic:pic>
                    </a:graphicData>
                  </a:graphic>
                </wp:inline>
              </w:drawing>
            </w:r>
          </w:p>
          <w:p w14:paraId="68C2DA9A" w14:textId="7B89F61B" w:rsidR="00A00AFA" w:rsidRDefault="00A00AFA" w:rsidP="00A00AFA">
            <w:pPr>
              <w:jc w:val="center"/>
            </w:pPr>
            <w:r w:rsidRPr="00A00AFA">
              <w:rPr>
                <w:i/>
                <w:iCs/>
              </w:rPr>
              <w:t xml:space="preserve">Boswellia Serrata, </w:t>
            </w:r>
            <w:r w:rsidRPr="00A00AFA">
              <w:t>plante Ayurvédique</w:t>
            </w:r>
            <w:r>
              <w:t>.</w:t>
            </w:r>
          </w:p>
        </w:tc>
      </w:tr>
    </w:tbl>
    <w:p w14:paraId="44826A26" w14:textId="5A2F02DA" w:rsidR="00A00AFA" w:rsidRDefault="00A00AFA" w:rsidP="00A00AFA">
      <w:pPr>
        <w:spacing w:after="0" w:line="240" w:lineRule="auto"/>
        <w:jc w:val="center"/>
      </w:pPr>
    </w:p>
    <w:p w14:paraId="588D573C" w14:textId="1067066C" w:rsidR="00A00AFA" w:rsidRDefault="00E34BFB" w:rsidP="00A95DE0">
      <w:pPr>
        <w:pStyle w:val="Titre2"/>
      </w:pPr>
      <w:bookmarkStart w:id="227" w:name="_Toc139181518"/>
      <w:r w:rsidRPr="00E34BFB">
        <w:lastRenderedPageBreak/>
        <w:t>Griffe du diable ou Harpagophyton (</w:t>
      </w:r>
      <w:r w:rsidRPr="00E34BFB">
        <w:rPr>
          <w:i/>
          <w:iCs/>
        </w:rPr>
        <w:t>Harpagophytum procumbens</w:t>
      </w:r>
      <w:r w:rsidRPr="00E34BFB">
        <w:t>)</w:t>
      </w:r>
      <w:bookmarkEnd w:id="227"/>
    </w:p>
    <w:p w14:paraId="202E306C" w14:textId="4DE25954" w:rsidR="00A00AFA" w:rsidRDefault="00A00AFA" w:rsidP="00A00AFA">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9"/>
        <w:gridCol w:w="2183"/>
        <w:gridCol w:w="1098"/>
        <w:gridCol w:w="962"/>
        <w:gridCol w:w="1394"/>
      </w:tblGrid>
      <w:tr w:rsidR="0075456E" w:rsidRPr="000B6BE3" w14:paraId="0B208DE4" w14:textId="77777777" w:rsidTr="007E58C4">
        <w:tc>
          <w:tcPr>
            <w:tcW w:w="4957" w:type="dxa"/>
          </w:tcPr>
          <w:p w14:paraId="0A4CB9CA" w14:textId="2694E73B" w:rsidR="0075456E" w:rsidRPr="0075456E" w:rsidRDefault="0075456E" w:rsidP="007E58C4">
            <w:pPr>
              <w:rPr>
                <w:rFonts w:cstheme="minorHAnsi"/>
                <w:bCs/>
                <w:color w:val="000000" w:themeColor="text1"/>
              </w:rPr>
            </w:pPr>
            <w:r w:rsidRPr="000B6BE3">
              <w:rPr>
                <w:rFonts w:cstheme="minorHAnsi"/>
                <w:bCs/>
              </w:rPr>
              <w:t>(</w:t>
            </w:r>
            <w:hyperlink r:id="rId2996" w:history="1">
              <w:r w:rsidRPr="000B6BE3">
                <w:rPr>
                  <w:rFonts w:cstheme="minorHAnsi"/>
                </w:rPr>
                <w:t>F</w:t>
              </w:r>
              <w:r w:rsidRPr="000B6BE3">
                <w:rPr>
                  <w:rStyle w:val="Lienhypertexte"/>
                  <w:rFonts w:cstheme="minorHAnsi"/>
                  <w:color w:val="0B0080"/>
                  <w:shd w:val="clear" w:color="auto" w:fill="FFFFFF"/>
                </w:rPr>
                <w:t>amille</w:t>
              </w:r>
            </w:hyperlink>
            <w:r w:rsidRPr="000B6BE3">
              <w:rPr>
                <w:rFonts w:cstheme="minorHAnsi"/>
                <w:color w:val="222222"/>
                <w:shd w:val="clear" w:color="auto" w:fill="FFFFFF"/>
              </w:rPr>
              <w:t> </w:t>
            </w:r>
            <w:r w:rsidRPr="00FC05CB">
              <w:rPr>
                <w:rFonts w:cstheme="minorHAnsi"/>
                <w:color w:val="000000" w:themeColor="text1"/>
                <w:shd w:val="clear" w:color="auto" w:fill="FFFFFF"/>
              </w:rPr>
              <w:t>des </w:t>
            </w:r>
            <w:hyperlink r:id="rId2997" w:history="1">
              <w:r w:rsidRPr="00E34BFB">
                <w:rPr>
                  <w:rStyle w:val="Lienhypertexte"/>
                  <w:i/>
                  <w:iCs/>
                </w:rPr>
                <w:t>Pedaliaceae</w:t>
              </w:r>
            </w:hyperlink>
            <w:r w:rsidRPr="00FC05CB">
              <w:rPr>
                <w:rFonts w:cstheme="minorHAnsi"/>
                <w:bCs/>
                <w:color w:val="000000" w:themeColor="text1"/>
              </w:rPr>
              <w:t>).</w:t>
            </w:r>
          </w:p>
          <w:p w14:paraId="3C802BB0" w14:textId="77777777" w:rsidR="0075456E" w:rsidRPr="000B6BE3" w:rsidRDefault="0075456E" w:rsidP="007E58C4">
            <w:pPr>
              <w:rPr>
                <w:rFonts w:cstheme="minorHAnsi"/>
                <w:bCs/>
              </w:rPr>
            </w:pPr>
          </w:p>
          <w:p w14:paraId="1C18C659" w14:textId="77777777" w:rsidR="0075456E" w:rsidRPr="000B6BE3" w:rsidRDefault="0075456E" w:rsidP="007E58C4">
            <w:pPr>
              <w:rPr>
                <w:rFonts w:cstheme="minorHAnsi"/>
              </w:rPr>
            </w:pPr>
          </w:p>
        </w:tc>
        <w:tc>
          <w:tcPr>
            <w:tcW w:w="2268" w:type="dxa"/>
          </w:tcPr>
          <w:p w14:paraId="7D7DFBC7" w14:textId="77777777" w:rsidR="0075456E" w:rsidRPr="000B6BE3" w:rsidRDefault="0075456E" w:rsidP="007E58C4">
            <w:pPr>
              <w:rPr>
                <w:rFonts w:cstheme="minorHAnsi"/>
              </w:rPr>
            </w:pPr>
            <w:r>
              <w:rPr>
                <w:rFonts w:cstheme="minorHAnsi"/>
              </w:rPr>
              <w:t xml:space="preserve"> </w:t>
            </w:r>
            <w:r w:rsidRPr="00125C62">
              <w:rPr>
                <w:rFonts w:cstheme="minorHAnsi"/>
                <w:noProof/>
              </w:rPr>
              <w:drawing>
                <wp:inline distT="0" distB="0" distL="0" distR="0" wp14:anchorId="7AF00B03" wp14:editId="65E37237">
                  <wp:extent cx="495300" cy="666750"/>
                  <wp:effectExtent l="0" t="0" r="0" b="0"/>
                  <wp:docPr id="70687" name="Image 11"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11" descr="logo aride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rPr>
              <w:t> </w:t>
            </w:r>
          </w:p>
        </w:tc>
        <w:tc>
          <w:tcPr>
            <w:tcW w:w="1134" w:type="dxa"/>
          </w:tcPr>
          <w:p w14:paraId="6530EB04" w14:textId="77777777" w:rsidR="0075456E" w:rsidRPr="00B000E9" w:rsidRDefault="0075456E" w:rsidP="007E58C4">
            <w:pPr>
              <w:textAlignment w:val="baseline"/>
              <w:rPr>
                <w:rFonts w:ascii="Times New Roman" w:eastAsia="Times New Roman" w:hAnsi="Times New Roman" w:cs="Times New Roman"/>
                <w:sz w:val="36"/>
                <w:szCs w:val="36"/>
                <w:lang w:eastAsia="fr-FR"/>
              </w:rPr>
            </w:pPr>
            <w:r w:rsidRPr="00B000E9">
              <w:rPr>
                <w:rFonts w:ascii="Arial" w:eastAsia="+mn-ea" w:hAnsi="Arial" w:cs="Arial"/>
                <w:b/>
                <w:bCs/>
                <w:color w:val="008000"/>
                <w:kern w:val="24"/>
                <w:sz w:val="36"/>
                <w:szCs w:val="36"/>
                <w:lang w:eastAsia="fr-FR"/>
              </w:rPr>
              <w:t>$</w:t>
            </w:r>
            <w:r>
              <w:rPr>
                <w:rFonts w:ascii="Arial" w:eastAsia="+mn-ea" w:hAnsi="Arial" w:cs="Arial"/>
                <w:b/>
                <w:bCs/>
                <w:color w:val="008000"/>
                <w:kern w:val="24"/>
                <w:sz w:val="36"/>
                <w:szCs w:val="36"/>
                <w:lang w:eastAsia="fr-FR"/>
              </w:rPr>
              <w:t>$</w:t>
            </w:r>
          </w:p>
        </w:tc>
        <w:tc>
          <w:tcPr>
            <w:tcW w:w="992" w:type="dxa"/>
          </w:tcPr>
          <w:p w14:paraId="20B4DDAF" w14:textId="77777777" w:rsidR="0075456E" w:rsidRDefault="0075456E" w:rsidP="007E58C4">
            <w:pPr>
              <w:pStyle w:val="NormalWeb"/>
              <w:spacing w:before="0" w:beforeAutospacing="0" w:after="0" w:afterAutospacing="0"/>
              <w:textAlignment w:val="baseline"/>
            </w:pPr>
            <w:r>
              <w:rPr>
                <w:rFonts w:ascii="Arial" w:eastAsia="+mn-ea" w:hAnsi="Arial" w:cs="Arial"/>
                <w:b/>
                <w:bCs/>
                <w:color w:val="008000"/>
                <w:kern w:val="24"/>
                <w:sz w:val="48"/>
                <w:szCs w:val="48"/>
              </w:rPr>
              <w:t xml:space="preserve">U </w:t>
            </w:r>
          </w:p>
          <w:p w14:paraId="55A94542" w14:textId="77777777" w:rsidR="0075456E" w:rsidRPr="000B6BE3" w:rsidRDefault="0075456E" w:rsidP="007E58C4">
            <w:pPr>
              <w:rPr>
                <w:rFonts w:cstheme="minorHAnsi"/>
              </w:rPr>
            </w:pPr>
          </w:p>
        </w:tc>
        <w:tc>
          <w:tcPr>
            <w:tcW w:w="1439" w:type="dxa"/>
          </w:tcPr>
          <w:p w14:paraId="59D2E824" w14:textId="05F52D43" w:rsidR="0075456E" w:rsidRPr="000B6BE3" w:rsidRDefault="0075456E" w:rsidP="007E58C4">
            <w:pPr>
              <w:rPr>
                <w:rFonts w:cstheme="minorHAnsi"/>
              </w:rPr>
            </w:pPr>
            <w:r w:rsidRPr="0075456E">
              <w:rPr>
                <w:rFonts w:cstheme="minorHAnsi"/>
                <w:noProof/>
              </w:rPr>
              <w:drawing>
                <wp:inline distT="0" distB="0" distL="0" distR="0" wp14:anchorId="29D619AA" wp14:editId="15A35CB0">
                  <wp:extent cx="361950" cy="361950"/>
                  <wp:effectExtent l="0" t="0" r="0" b="0"/>
                  <wp:docPr id="91136"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 24"/>
                          <pic:cNvPicPr>
                            <a:picLocks noChangeAspect="1"/>
                          </pic:cNvPicPr>
                        </pic:nvPicPr>
                        <pic:blipFill>
                          <a:blip r:embed="rId132"/>
                          <a:stretch>
                            <a:fillRect/>
                          </a:stretch>
                        </pic:blipFill>
                        <pic:spPr>
                          <a:xfrm>
                            <a:off x="0" y="0"/>
                            <a:ext cx="361950" cy="361950"/>
                          </a:xfrm>
                          <a:prstGeom prst="rect">
                            <a:avLst/>
                          </a:prstGeom>
                        </pic:spPr>
                      </pic:pic>
                    </a:graphicData>
                  </a:graphic>
                </wp:inline>
              </w:drawing>
            </w:r>
          </w:p>
        </w:tc>
      </w:tr>
    </w:tbl>
    <w:p w14:paraId="7F89C474" w14:textId="77777777" w:rsidR="0075456E" w:rsidRDefault="0075456E" w:rsidP="00A00AFA">
      <w:pPr>
        <w:spacing w:after="0" w:line="240" w:lineRule="auto"/>
      </w:pPr>
    </w:p>
    <w:p w14:paraId="1B83DD81" w14:textId="5F35601D" w:rsidR="00950620" w:rsidRPr="00E34BFB" w:rsidRDefault="00E34BFB" w:rsidP="00950620">
      <w:pPr>
        <w:spacing w:after="0" w:line="240" w:lineRule="auto"/>
        <w:jc w:val="both"/>
      </w:pPr>
      <w:r w:rsidRPr="00E34BFB">
        <w:t>La « griffe du diable », « Sengaparile », « Devil's Claw », « Duiwelsklou » ou « racine de Windhoek » est une </w:t>
      </w:r>
      <w:hyperlink r:id="rId2998" w:history="1">
        <w:r w:rsidRPr="00E34BFB">
          <w:rPr>
            <w:rStyle w:val="Lienhypertexte"/>
          </w:rPr>
          <w:t>plante herbacée</w:t>
        </w:r>
      </w:hyperlink>
      <w:r w:rsidRPr="00E34BFB">
        <w:t> vivace, dont la tige rampant sur le sol (</w:t>
      </w:r>
      <w:r w:rsidRPr="00E34BFB">
        <w:rPr>
          <w:i/>
          <w:iCs/>
        </w:rPr>
        <w:t>Procumbens</w:t>
      </w:r>
      <w:r w:rsidRPr="00E34BFB">
        <w:t xml:space="preserve">) portent des feuilles alternes au limbe ovoïde, et des fleurs en forme de trompette, de couleur rouge-violacée. </w:t>
      </w:r>
      <w:r w:rsidR="00950620" w:rsidRPr="00E34BFB">
        <w:rPr>
          <w:u w:val="single"/>
        </w:rPr>
        <w:t>Substrat</w:t>
      </w:r>
      <w:r w:rsidR="00950620" w:rsidRPr="00E34BFB">
        <w:rPr>
          <w:i/>
          <w:iCs/>
        </w:rPr>
        <w:t> </w:t>
      </w:r>
      <w:r w:rsidR="00950620" w:rsidRPr="00E34BFB">
        <w:t xml:space="preserve">: sablonneux, drainant. </w:t>
      </w:r>
      <w:r w:rsidR="00950620" w:rsidRPr="00E34BFB">
        <w:rPr>
          <w:u w:val="single"/>
        </w:rPr>
        <w:t>Température mini</w:t>
      </w:r>
      <w:r w:rsidR="00950620">
        <w:rPr>
          <w:u w:val="single"/>
        </w:rPr>
        <w:t>.</w:t>
      </w:r>
      <w:r w:rsidR="00950620" w:rsidRPr="00E34BFB">
        <w:rPr>
          <w:u w:val="single"/>
        </w:rPr>
        <w:t xml:space="preserve"> </w:t>
      </w:r>
      <w:r w:rsidR="00950620" w:rsidRPr="00E34BFB">
        <w:t>: 5°C.</w:t>
      </w:r>
    </w:p>
    <w:p w14:paraId="0A2FAE94" w14:textId="77777777" w:rsidR="00E34BFB" w:rsidRDefault="00E34BFB" w:rsidP="00E34BFB">
      <w:pPr>
        <w:spacing w:after="0" w:line="240" w:lineRule="auto"/>
        <w:jc w:val="both"/>
      </w:pPr>
      <w:r w:rsidRPr="00E34BFB">
        <w:t>Cette espèce pousse dans l'hémisphère Sud (</w:t>
      </w:r>
      <w:hyperlink r:id="rId2999" w:history="1">
        <w:r w:rsidRPr="00E34BFB">
          <w:rPr>
            <w:rStyle w:val="Lienhypertexte"/>
          </w:rPr>
          <w:t>Afrique du Sud</w:t>
        </w:r>
      </w:hyperlink>
      <w:r w:rsidRPr="00E34BFB">
        <w:t>, </w:t>
      </w:r>
      <w:hyperlink r:id="rId3000" w:history="1">
        <w:r w:rsidRPr="00E34BFB">
          <w:rPr>
            <w:rStyle w:val="Lienhypertexte"/>
          </w:rPr>
          <w:t>Namibie</w:t>
        </w:r>
      </w:hyperlink>
      <w:r w:rsidRPr="00E34BFB">
        <w:t>, </w:t>
      </w:r>
      <w:hyperlink r:id="rId3001" w:history="1">
        <w:r w:rsidRPr="00E34BFB">
          <w:rPr>
            <w:rStyle w:val="Lienhypertexte"/>
          </w:rPr>
          <w:t>Botswana</w:t>
        </w:r>
      </w:hyperlink>
      <w:r w:rsidRPr="00E34BFB">
        <w:t xml:space="preserve">...) et plus particulièrement dans les </w:t>
      </w:r>
      <w:r w:rsidRPr="00E34BFB">
        <w:rPr>
          <w:i/>
          <w:iCs/>
        </w:rPr>
        <w:t>régions semi-désertiques</w:t>
      </w:r>
      <w:r w:rsidRPr="00E34BFB">
        <w:t xml:space="preserve"> de l'</w:t>
      </w:r>
      <w:hyperlink r:id="rId3002" w:history="1">
        <w:r w:rsidRPr="00E34BFB">
          <w:rPr>
            <w:rStyle w:val="Lienhypertexte"/>
          </w:rPr>
          <w:t>Afrique australe</w:t>
        </w:r>
      </w:hyperlink>
      <w:r w:rsidRPr="00E34BFB">
        <w:t>, plus particulièrement de </w:t>
      </w:r>
      <w:hyperlink r:id="rId3003" w:history="1">
        <w:r w:rsidRPr="00E34BFB">
          <w:rPr>
            <w:rStyle w:val="Lienhypertexte"/>
          </w:rPr>
          <w:t>Namibie</w:t>
        </w:r>
      </w:hyperlink>
      <w:r w:rsidRPr="00E34BFB">
        <w:t xml:space="preserve">. </w:t>
      </w:r>
    </w:p>
    <w:p w14:paraId="20FD56AC" w14:textId="77777777" w:rsidR="00E34BFB" w:rsidRPr="00E34BFB" w:rsidRDefault="00E34BFB" w:rsidP="00E34BFB">
      <w:pPr>
        <w:spacing w:after="0" w:line="240" w:lineRule="auto"/>
        <w:jc w:val="both"/>
      </w:pPr>
      <w:r w:rsidRPr="00E34BFB">
        <w:t>Le fruit est une capsule ligneuse munie d'une couronne garnie de plusieurs crochets acérés lui permettant de s'accrocher aux animaux voire de s'enfoncer dans leur chair, ce qui vaut à la plante d'être surnommée « </w:t>
      </w:r>
      <w:r w:rsidRPr="00E34BFB">
        <w:rPr>
          <w:i/>
          <w:iCs/>
        </w:rPr>
        <w:t>la griffe du diable</w:t>
      </w:r>
      <w:r w:rsidRPr="00E34BFB">
        <w:t> ». Chaque fruit contient jusqu'à 48 graines noires et allongées (7 à 8 mm de long). Sa </w:t>
      </w:r>
      <w:hyperlink r:id="rId3004" w:history="1">
        <w:r w:rsidRPr="00E34BFB">
          <w:rPr>
            <w:rStyle w:val="Lienhypertexte"/>
          </w:rPr>
          <w:t>racine</w:t>
        </w:r>
      </w:hyperlink>
      <w:r w:rsidRPr="00E34BFB">
        <w:t> principale, </w:t>
      </w:r>
      <w:hyperlink r:id="rId3005" w:history="1">
        <w:r w:rsidRPr="00E34BFB">
          <w:rPr>
            <w:rStyle w:val="Lienhypertexte"/>
          </w:rPr>
          <w:t>lignifiée</w:t>
        </w:r>
      </w:hyperlink>
      <w:r w:rsidRPr="00E34BFB">
        <w:t>, a un important développement vertical en profondeur (jusqu’à 50 cm de long) ; De cette racine principale partent des racines secondaires formant des </w:t>
      </w:r>
      <w:hyperlink r:id="rId3006" w:history="1">
        <w:r w:rsidRPr="00E34BFB">
          <w:rPr>
            <w:rStyle w:val="Lienhypertexte"/>
          </w:rPr>
          <w:t>tubercules</w:t>
        </w:r>
      </w:hyperlink>
      <w:r w:rsidRPr="00E34BFB">
        <w:t> de réserve, bulbeux et parfois énormes, pouvant peser jusqu'à 1,5 kg. Ils s'étendent sur environ 1,5 m et sont trouvés jusqu’à 2 m de profondeur, servant de stock d'eau et de nutriments à la plante qui peut ainsi résister aux périodes de sécheresse.</w:t>
      </w:r>
      <w:r w:rsidRPr="00E34BFB">
        <w:rPr>
          <w:u w:val="single"/>
        </w:rPr>
        <w:t xml:space="preserve"> Usages</w:t>
      </w:r>
      <w:r w:rsidRPr="00E34BFB">
        <w:t xml:space="preserve"> : Seuls ces tubercules (qui constituent jusqu’à 90% du poids de la plante) sont utilisés depuis longtemps partie de la </w:t>
      </w:r>
      <w:hyperlink r:id="rId3007" w:history="1">
        <w:r w:rsidRPr="00E34BFB">
          <w:rPr>
            <w:rStyle w:val="Lienhypertexte"/>
          </w:rPr>
          <w:t>pharmacopée traditionnelle</w:t>
        </w:r>
      </w:hyperlink>
      <w:r w:rsidRPr="00E34BFB">
        <w:t> du sud de l'Afrique et dans le monde, depuis les </w:t>
      </w:r>
      <w:hyperlink r:id="rId3008" w:history="1">
        <w:r w:rsidRPr="00E34BFB">
          <w:rPr>
            <w:rStyle w:val="Lienhypertexte"/>
          </w:rPr>
          <w:t>années 1970</w:t>
        </w:r>
      </w:hyperlink>
      <w:r w:rsidRPr="00E34BFB">
        <w:t>-</w:t>
      </w:r>
      <w:hyperlink r:id="rId3009" w:history="1">
        <w:r w:rsidRPr="00E34BFB">
          <w:rPr>
            <w:rStyle w:val="Lienhypertexte"/>
          </w:rPr>
          <w:t>1980</w:t>
        </w:r>
      </w:hyperlink>
      <w:r w:rsidRPr="00E34BFB">
        <w:t>, comme anti-inflammatoire et pour atténuer ou guérir certaines douleurs (</w:t>
      </w:r>
      <w:hyperlink r:id="rId3010" w:history="1">
        <w:r w:rsidRPr="00E34BFB">
          <w:rPr>
            <w:rStyle w:val="Lienhypertexte"/>
          </w:rPr>
          <w:t>rhumatismes</w:t>
        </w:r>
      </w:hyperlink>
      <w:r w:rsidRPr="00E34BFB">
        <w:t>, arthrites ou </w:t>
      </w:r>
      <w:hyperlink r:id="rId3011" w:history="1">
        <w:r w:rsidRPr="00E34BFB">
          <w:rPr>
            <w:rStyle w:val="Lienhypertexte"/>
          </w:rPr>
          <w:t>lombalgies</w:t>
        </w:r>
      </w:hyperlink>
      <w:r w:rsidRPr="00E34BFB">
        <w:t xml:space="preserve">). </w:t>
      </w:r>
    </w:p>
    <w:p w14:paraId="126486D2" w14:textId="77777777" w:rsidR="0075456E" w:rsidRDefault="00E34BFB" w:rsidP="00E34BFB">
      <w:pPr>
        <w:spacing w:after="0" w:line="240" w:lineRule="auto"/>
        <w:jc w:val="both"/>
      </w:pPr>
      <w:r w:rsidRPr="00E34BFB">
        <w:rPr>
          <w:u w:val="single"/>
        </w:rPr>
        <w:t xml:space="preserve">Principes actifs </w:t>
      </w:r>
      <w:r w:rsidRPr="00E34BFB">
        <w:t xml:space="preserve">: </w:t>
      </w:r>
      <w:hyperlink r:id="rId3012" w:history="1">
        <w:r w:rsidRPr="00E34BFB">
          <w:rPr>
            <w:rStyle w:val="Lienhypertexte"/>
          </w:rPr>
          <w:t>harpagoside</w:t>
        </w:r>
      </w:hyperlink>
      <w:r w:rsidRPr="00E34BFB">
        <w:t xml:space="preserve">, </w:t>
      </w:r>
      <w:hyperlink r:id="rId3013" w:history="1">
        <w:r w:rsidRPr="00E34BFB">
          <w:rPr>
            <w:rStyle w:val="Lienhypertexte"/>
          </w:rPr>
          <w:t>beta-</w:t>
        </w:r>
      </w:hyperlink>
      <w:hyperlink r:id="rId3014" w:history="1">
        <w:r w:rsidRPr="00E34BFB">
          <w:rPr>
            <w:rStyle w:val="Lienhypertexte"/>
          </w:rPr>
          <w:t>sitosterol</w:t>
        </w:r>
      </w:hyperlink>
      <w:r w:rsidRPr="00E34BFB">
        <w:t>, 8-p-coumaroylharpagide, 8-féruloylharpagide, 8-cinnamoylmyoporoside, pagoside, ctéoside, isoactéoside, 6'-O-acetylacteoside, acide cinnamique, acide caféique.</w:t>
      </w:r>
    </w:p>
    <w:p w14:paraId="31F2D928" w14:textId="3594ED79" w:rsidR="00E34BFB" w:rsidRPr="00E34BFB" w:rsidRDefault="00E34BFB" w:rsidP="00E34BFB">
      <w:pPr>
        <w:spacing w:after="0" w:line="240" w:lineRule="auto"/>
        <w:jc w:val="both"/>
      </w:pPr>
      <w:r w:rsidRPr="00E34BFB">
        <w:rPr>
          <w:u w:val="single"/>
        </w:rPr>
        <w:t>Etudes</w:t>
      </w:r>
      <w:r w:rsidRPr="00E34BFB">
        <w:t xml:space="preserve"> : En </w:t>
      </w:r>
      <w:hyperlink r:id="rId3015" w:history="1">
        <w:r w:rsidRPr="00E34BFB">
          <w:rPr>
            <w:rStyle w:val="Lienhypertexte"/>
          </w:rPr>
          <w:t>Allemagne</w:t>
        </w:r>
      </w:hyperlink>
      <w:r w:rsidRPr="00E34BFB">
        <w:t> et au </w:t>
      </w:r>
      <w:hyperlink r:id="rId3016" w:history="1">
        <w:r w:rsidRPr="00E34BFB">
          <w:rPr>
            <w:rStyle w:val="Lienhypertexte"/>
          </w:rPr>
          <w:t>Royaume-Uni</w:t>
        </w:r>
      </w:hyperlink>
      <w:r w:rsidRPr="00E34BFB">
        <w:t>, plusieurs études ont utilisé le « </w:t>
      </w:r>
      <w:r w:rsidRPr="00E34BFB">
        <w:rPr>
          <w:i/>
          <w:iCs/>
        </w:rPr>
        <w:t>Doloteffin</w:t>
      </w:r>
      <w:r w:rsidRPr="00E34BFB">
        <w:t> » (une préparation standardisée d'harpagophytum), qui ont conclu que </w:t>
      </w:r>
      <w:r w:rsidRPr="00E34BFB">
        <w:rPr>
          <w:i/>
          <w:iCs/>
        </w:rPr>
        <w:t>H. procumbens</w:t>
      </w:r>
      <w:r w:rsidRPr="00E34BFB">
        <w:t> a été plus efficace que le </w:t>
      </w:r>
      <w:hyperlink r:id="rId3017" w:history="1">
        <w:r w:rsidRPr="00E34BFB">
          <w:rPr>
            <w:rStyle w:val="Lienhypertexte"/>
          </w:rPr>
          <w:t>Vioxx</w:t>
        </w:r>
      </w:hyperlink>
      <w:r w:rsidRPr="00E34BFB">
        <w:t> dans le traitement de la </w:t>
      </w:r>
      <w:hyperlink r:id="rId3018" w:history="1">
        <w:r w:rsidRPr="00E34BFB">
          <w:rPr>
            <w:rStyle w:val="Lienhypertexte"/>
          </w:rPr>
          <w:t>lombalgie</w:t>
        </w:r>
      </w:hyperlink>
      <w:r w:rsidRPr="00E34BFB">
        <w:t> chronique</w:t>
      </w:r>
      <w:hyperlink r:id="rId3019" w:history="1">
        <w:r w:rsidRPr="00E34BFB">
          <w:rPr>
            <w:rStyle w:val="Lienhypertexte"/>
            <w:vertAlign w:val="superscript"/>
          </w:rPr>
          <w:t>31</w:t>
        </w:r>
      </w:hyperlink>
      <w:r w:rsidRPr="00E34BFB">
        <w:t> et a été bien toléré après plus de quatre ans de traitement de </w:t>
      </w:r>
      <w:r w:rsidRPr="00E34BFB">
        <w:rPr>
          <w:i/>
          <w:iCs/>
        </w:rPr>
        <w:t>H. procumbens</w:t>
      </w:r>
      <w:r w:rsidRPr="00E34BFB">
        <w:t xml:space="preserve"> seul. </w:t>
      </w:r>
      <w:r w:rsidRPr="00E34BFB">
        <w:rPr>
          <w:u w:val="single"/>
        </w:rPr>
        <w:t>Menaces</w:t>
      </w:r>
      <w:r w:rsidRPr="00E34BFB">
        <w:t xml:space="preserve"> : La  convoitise des laboratoires pharmaceutiques met en danger la plante. Constatant une augmentation de 700 tonnes en 2001 à plus de mille tonnes exportées en 2002 par la seule Namibie (l'harpagophyton pousse à l'état sauvage dans le </w:t>
      </w:r>
      <w:hyperlink r:id="rId3020" w:history="1">
        <w:r w:rsidRPr="00E34BFB">
          <w:rPr>
            <w:rStyle w:val="Lienhypertexte"/>
          </w:rPr>
          <w:t>désert du Kalahari</w:t>
        </w:r>
      </w:hyperlink>
      <w:r w:rsidRPr="00E34BFB">
        <w:t>), le Comité pour les plantes réuni à Genève en 2003 dans le cadre de la CITES s'inquiétait pour la « durabilité » de cette ressource et le caractère équitable de son commerce. L' </w:t>
      </w:r>
      <w:r w:rsidRPr="00E34BFB">
        <w:rPr>
          <w:i/>
          <w:iCs/>
        </w:rPr>
        <w:t>Harpagophytum procumbens</w:t>
      </w:r>
      <w:r w:rsidRPr="00E34BFB">
        <w:t> est aujourd'hui cultivé et cueilli sous protection d'une </w:t>
      </w:r>
      <w:r w:rsidRPr="00E34BFB">
        <w:rPr>
          <w:i/>
          <w:iCs/>
        </w:rPr>
        <w:t>charte</w:t>
      </w:r>
      <w:r w:rsidRPr="00E34BFB">
        <w:t> et d'un </w:t>
      </w:r>
      <w:r w:rsidRPr="00E34BFB">
        <w:rPr>
          <w:i/>
          <w:iCs/>
        </w:rPr>
        <w:t>quota</w:t>
      </w:r>
      <w:r w:rsidRPr="00E34BFB">
        <w:t> pour garantir sa pérennité en tant que </w:t>
      </w:r>
      <w:hyperlink r:id="rId3021" w:history="1">
        <w:r w:rsidRPr="00E34BFB">
          <w:rPr>
            <w:rStyle w:val="Lienhypertexte"/>
          </w:rPr>
          <w:t>ressource naturelle</w:t>
        </w:r>
      </w:hyperlink>
      <w:r w:rsidRPr="00E34BFB">
        <w:t xml:space="preserve">. Le gouvernement namibien encadre sa culture et sa cueillette, par un cahier des charges précis. Source : a) </w:t>
      </w:r>
      <w:hyperlink r:id="rId3022" w:history="1">
        <w:r w:rsidRPr="00E34BFB">
          <w:rPr>
            <w:rStyle w:val="Lienhypertexte"/>
          </w:rPr>
          <w:t>http://fr.wikipedia.org/wiki/Harpagophyton</w:t>
        </w:r>
      </w:hyperlink>
      <w:r w:rsidRPr="00E34BFB">
        <w:t xml:space="preserve">, b) </w:t>
      </w:r>
      <w:hyperlink r:id="rId3023" w:history="1">
        <w:r w:rsidRPr="00E34BFB">
          <w:rPr>
            <w:rStyle w:val="Lienhypertexte"/>
          </w:rPr>
          <w:t>http://en.wikipedia.org/wiki/Harpagophyton</w:t>
        </w:r>
      </w:hyperlink>
    </w:p>
    <w:p w14:paraId="2A1C156D" w14:textId="77777777" w:rsidR="00E34BFB" w:rsidRPr="00A00AFA" w:rsidRDefault="00E34BFB" w:rsidP="00E34BFB">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53"/>
        <w:gridCol w:w="142"/>
        <w:gridCol w:w="2669"/>
        <w:gridCol w:w="3362"/>
      </w:tblGrid>
      <w:tr w:rsidR="0075456E" w14:paraId="67756345" w14:textId="77777777" w:rsidTr="00950620">
        <w:tc>
          <w:tcPr>
            <w:tcW w:w="4395" w:type="dxa"/>
            <w:gridSpan w:val="2"/>
          </w:tcPr>
          <w:p w14:paraId="48AB5100" w14:textId="54A45A0D" w:rsidR="0075456E" w:rsidRDefault="0075456E" w:rsidP="0075456E">
            <w:pPr>
              <w:jc w:val="center"/>
            </w:pPr>
            <w:r w:rsidRPr="0075456E">
              <w:rPr>
                <w:noProof/>
              </w:rPr>
              <w:drawing>
                <wp:inline distT="0" distB="0" distL="0" distR="0" wp14:anchorId="401F792B" wp14:editId="72518861">
                  <wp:extent cx="1388626" cy="1019175"/>
                  <wp:effectExtent l="0" t="0" r="2540" b="0"/>
                  <wp:docPr id="91137"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pic:cNvPicPr>
                            <a:picLocks noChangeAspect="1"/>
                          </pic:cNvPicPr>
                        </pic:nvPicPr>
                        <pic:blipFill>
                          <a:blip r:embed="rId3024">
                            <a:extLst>
                              <a:ext uri="{28A0092B-C50C-407E-A947-70E740481C1C}">
                                <a14:useLocalDpi xmlns:a14="http://schemas.microsoft.com/office/drawing/2010/main" val="0"/>
                              </a:ext>
                            </a:extLst>
                          </a:blip>
                          <a:stretch>
                            <a:fillRect/>
                          </a:stretch>
                        </pic:blipFill>
                        <pic:spPr>
                          <a:xfrm>
                            <a:off x="0" y="0"/>
                            <a:ext cx="1389739" cy="1019992"/>
                          </a:xfrm>
                          <a:prstGeom prst="rect">
                            <a:avLst/>
                          </a:prstGeom>
                        </pic:spPr>
                      </pic:pic>
                    </a:graphicData>
                  </a:graphic>
                </wp:inline>
              </w:drawing>
            </w:r>
          </w:p>
        </w:tc>
        <w:tc>
          <w:tcPr>
            <w:tcW w:w="2669" w:type="dxa"/>
          </w:tcPr>
          <w:p w14:paraId="6F4F451D" w14:textId="7E5CD7EB" w:rsidR="0075456E" w:rsidRDefault="0075456E" w:rsidP="0075456E">
            <w:pPr>
              <w:jc w:val="center"/>
            </w:pPr>
            <w:r w:rsidRPr="0075456E">
              <w:rPr>
                <w:noProof/>
              </w:rPr>
              <w:drawing>
                <wp:inline distT="0" distB="0" distL="0" distR="0" wp14:anchorId="4AD43CD8" wp14:editId="4F54969D">
                  <wp:extent cx="1466850" cy="974080"/>
                  <wp:effectExtent l="0" t="0" r="0" b="0"/>
                  <wp:docPr id="9113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8"/>
                          <pic:cNvPicPr>
                            <a:picLocks noChangeAspect="1"/>
                          </pic:cNvPicPr>
                        </pic:nvPicPr>
                        <pic:blipFill>
                          <a:blip r:embed="rId3025">
                            <a:extLst>
                              <a:ext uri="{28A0092B-C50C-407E-A947-70E740481C1C}">
                                <a14:useLocalDpi xmlns:a14="http://schemas.microsoft.com/office/drawing/2010/main" val="0"/>
                              </a:ext>
                            </a:extLst>
                          </a:blip>
                          <a:stretch>
                            <a:fillRect/>
                          </a:stretch>
                        </pic:blipFill>
                        <pic:spPr>
                          <a:xfrm>
                            <a:off x="0" y="0"/>
                            <a:ext cx="1468648" cy="975274"/>
                          </a:xfrm>
                          <a:prstGeom prst="rect">
                            <a:avLst/>
                          </a:prstGeom>
                        </pic:spPr>
                      </pic:pic>
                    </a:graphicData>
                  </a:graphic>
                </wp:inline>
              </w:drawing>
            </w:r>
          </w:p>
        </w:tc>
        <w:tc>
          <w:tcPr>
            <w:tcW w:w="3362" w:type="dxa"/>
          </w:tcPr>
          <w:p w14:paraId="4F1B5AC0" w14:textId="4041EF8F" w:rsidR="0075456E" w:rsidRDefault="0075456E" w:rsidP="0075456E">
            <w:pPr>
              <w:jc w:val="center"/>
            </w:pPr>
            <w:r w:rsidRPr="0075456E">
              <w:rPr>
                <w:noProof/>
              </w:rPr>
              <w:drawing>
                <wp:inline distT="0" distB="0" distL="0" distR="0" wp14:anchorId="3C901252" wp14:editId="16AF7A3E">
                  <wp:extent cx="1539380" cy="1019175"/>
                  <wp:effectExtent l="0" t="0" r="3810" b="0"/>
                  <wp:docPr id="91139"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pic:cNvPicPr>
                            <a:picLocks noChangeAspect="1"/>
                          </pic:cNvPicPr>
                        </pic:nvPicPr>
                        <pic:blipFill>
                          <a:blip r:embed="rId3026">
                            <a:extLst>
                              <a:ext uri="{28A0092B-C50C-407E-A947-70E740481C1C}">
                                <a14:useLocalDpi xmlns:a14="http://schemas.microsoft.com/office/drawing/2010/main" val="0"/>
                              </a:ext>
                            </a:extLst>
                          </a:blip>
                          <a:stretch>
                            <a:fillRect/>
                          </a:stretch>
                        </pic:blipFill>
                        <pic:spPr>
                          <a:xfrm>
                            <a:off x="0" y="0"/>
                            <a:ext cx="1540993" cy="1020243"/>
                          </a:xfrm>
                          <a:prstGeom prst="rect">
                            <a:avLst/>
                          </a:prstGeom>
                        </pic:spPr>
                      </pic:pic>
                    </a:graphicData>
                  </a:graphic>
                </wp:inline>
              </w:drawing>
            </w:r>
          </w:p>
        </w:tc>
      </w:tr>
      <w:tr w:rsidR="0075456E" w14:paraId="0D963710" w14:textId="77777777" w:rsidTr="00950620">
        <w:tc>
          <w:tcPr>
            <w:tcW w:w="4253" w:type="dxa"/>
          </w:tcPr>
          <w:p w14:paraId="1D6E4102" w14:textId="70D1C22B" w:rsidR="00950620" w:rsidRDefault="0075456E" w:rsidP="00950620">
            <w:pPr>
              <w:jc w:val="center"/>
            </w:pPr>
            <w:r w:rsidRPr="0075456E">
              <w:rPr>
                <w:noProof/>
              </w:rPr>
              <w:drawing>
                <wp:inline distT="0" distB="0" distL="0" distR="0" wp14:anchorId="0BF22E17" wp14:editId="00871FF2">
                  <wp:extent cx="1457816" cy="1087755"/>
                  <wp:effectExtent l="0" t="0" r="9525" b="0"/>
                  <wp:docPr id="91140"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19"/>
                          <pic:cNvPicPr>
                            <a:picLocks noChangeAspect="1"/>
                          </pic:cNvPicPr>
                        </pic:nvPicPr>
                        <pic:blipFill>
                          <a:blip r:embed="rId3027">
                            <a:extLst>
                              <a:ext uri="{28A0092B-C50C-407E-A947-70E740481C1C}">
                                <a14:useLocalDpi xmlns:a14="http://schemas.microsoft.com/office/drawing/2010/main" val="0"/>
                              </a:ext>
                            </a:extLst>
                          </a:blip>
                          <a:stretch>
                            <a:fillRect/>
                          </a:stretch>
                        </pic:blipFill>
                        <pic:spPr>
                          <a:xfrm>
                            <a:off x="0" y="0"/>
                            <a:ext cx="1460884" cy="1090044"/>
                          </a:xfrm>
                          <a:prstGeom prst="rect">
                            <a:avLst/>
                          </a:prstGeom>
                        </pic:spPr>
                      </pic:pic>
                    </a:graphicData>
                  </a:graphic>
                </wp:inline>
              </w:drawing>
            </w:r>
            <w:r w:rsidR="00950620">
              <w:t xml:space="preserve"> Source image</w:t>
            </w:r>
            <w:r w:rsidR="00950620">
              <w:rPr>
                <w:rStyle w:val="Appelnotedebasdep"/>
              </w:rPr>
              <w:footnoteReference w:id="160"/>
            </w:r>
            <w:r w:rsidR="00950620">
              <w:t>.</w:t>
            </w:r>
          </w:p>
        </w:tc>
        <w:tc>
          <w:tcPr>
            <w:tcW w:w="2811" w:type="dxa"/>
            <w:gridSpan w:val="2"/>
          </w:tcPr>
          <w:p w14:paraId="29C0B5A1" w14:textId="07B5E4FA" w:rsidR="0075456E" w:rsidRDefault="0075456E" w:rsidP="0075456E">
            <w:pPr>
              <w:jc w:val="center"/>
            </w:pPr>
            <w:r w:rsidRPr="0075456E">
              <w:rPr>
                <w:noProof/>
              </w:rPr>
              <w:drawing>
                <wp:inline distT="0" distB="0" distL="0" distR="0" wp14:anchorId="681E056A" wp14:editId="62C28EFE">
                  <wp:extent cx="1949570" cy="1088132"/>
                  <wp:effectExtent l="0" t="0" r="0" b="0"/>
                  <wp:docPr id="91141"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9"/>
                          <pic:cNvPicPr>
                            <a:picLocks noChangeAspect="1"/>
                          </pic:cNvPicPr>
                        </pic:nvPicPr>
                        <pic:blipFill>
                          <a:blip r:embed="rId3028">
                            <a:extLst>
                              <a:ext uri="{28A0092B-C50C-407E-A947-70E740481C1C}">
                                <a14:useLocalDpi xmlns:a14="http://schemas.microsoft.com/office/drawing/2010/main" val="0"/>
                              </a:ext>
                            </a:extLst>
                          </a:blip>
                          <a:stretch>
                            <a:fillRect/>
                          </a:stretch>
                        </pic:blipFill>
                        <pic:spPr>
                          <a:xfrm>
                            <a:off x="0" y="0"/>
                            <a:ext cx="1949570" cy="1088132"/>
                          </a:xfrm>
                          <a:prstGeom prst="rect">
                            <a:avLst/>
                          </a:prstGeom>
                        </pic:spPr>
                      </pic:pic>
                    </a:graphicData>
                  </a:graphic>
                </wp:inline>
              </w:drawing>
            </w:r>
          </w:p>
        </w:tc>
        <w:tc>
          <w:tcPr>
            <w:tcW w:w="3362" w:type="dxa"/>
          </w:tcPr>
          <w:p w14:paraId="3703C017" w14:textId="77777777" w:rsidR="00950620" w:rsidRDefault="00950620" w:rsidP="0075456E">
            <w:pPr>
              <w:jc w:val="center"/>
            </w:pPr>
          </w:p>
          <w:p w14:paraId="2FD68FDA" w14:textId="38BFF416" w:rsidR="0075456E" w:rsidRDefault="0075456E" w:rsidP="0075456E">
            <w:pPr>
              <w:jc w:val="center"/>
            </w:pPr>
            <w:r w:rsidRPr="0075456E">
              <w:rPr>
                <w:noProof/>
              </w:rPr>
              <w:drawing>
                <wp:inline distT="0" distB="0" distL="0" distR="0" wp14:anchorId="1EBC8C37" wp14:editId="425BEE80">
                  <wp:extent cx="942975" cy="904875"/>
                  <wp:effectExtent l="0" t="0" r="9525" b="9525"/>
                  <wp:docPr id="91142"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8"/>
                          <pic:cNvPicPr>
                            <a:picLocks noChangeAspect="1"/>
                          </pic:cNvPicPr>
                        </pic:nvPicPr>
                        <pic:blipFill>
                          <a:blip r:embed="rId3029">
                            <a:extLst>
                              <a:ext uri="{28A0092B-C50C-407E-A947-70E740481C1C}">
                                <a14:useLocalDpi xmlns:a14="http://schemas.microsoft.com/office/drawing/2010/main" val="0"/>
                              </a:ext>
                            </a:extLst>
                          </a:blip>
                          <a:stretch>
                            <a:fillRect/>
                          </a:stretch>
                        </pic:blipFill>
                        <pic:spPr>
                          <a:xfrm>
                            <a:off x="0" y="0"/>
                            <a:ext cx="942975" cy="904875"/>
                          </a:xfrm>
                          <a:prstGeom prst="rect">
                            <a:avLst/>
                          </a:prstGeom>
                        </pic:spPr>
                      </pic:pic>
                    </a:graphicData>
                  </a:graphic>
                </wp:inline>
              </w:drawing>
            </w:r>
          </w:p>
          <w:p w14:paraId="6104BB67" w14:textId="4E539191" w:rsidR="0075456E" w:rsidRDefault="0075456E" w:rsidP="0075456E">
            <w:pPr>
              <w:jc w:val="center"/>
            </w:pPr>
          </w:p>
        </w:tc>
      </w:tr>
    </w:tbl>
    <w:p w14:paraId="2A4BF3D7" w14:textId="77777777" w:rsidR="006D6139" w:rsidRDefault="006D6139" w:rsidP="00A95DE0">
      <w:pPr>
        <w:spacing w:after="0" w:line="240" w:lineRule="auto"/>
      </w:pPr>
    </w:p>
    <w:p w14:paraId="61CEB498" w14:textId="77777777" w:rsidR="00A95DE0" w:rsidRDefault="00A95DE0" w:rsidP="00A95DE0">
      <w:pPr>
        <w:pStyle w:val="Titre1"/>
      </w:pPr>
      <w:bookmarkStart w:id="228" w:name="_Toc139181519"/>
      <w:r w:rsidRPr="00A42D19">
        <w:t>Méthodes d’irrigation, de rétention</w:t>
      </w:r>
      <w:r>
        <w:t>, d’économie</w:t>
      </w:r>
      <w:r w:rsidRPr="00A42D19">
        <w:t xml:space="preserve"> et de conservation de l’eau</w:t>
      </w:r>
      <w:bookmarkEnd w:id="228"/>
    </w:p>
    <w:p w14:paraId="1B9C9A0D" w14:textId="77777777" w:rsidR="00A95DE0" w:rsidRDefault="00A95DE0" w:rsidP="0075456E">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805D09" w14:paraId="0693012E" w14:textId="77777777" w:rsidTr="00805D09">
        <w:tc>
          <w:tcPr>
            <w:tcW w:w="5208" w:type="dxa"/>
          </w:tcPr>
          <w:p w14:paraId="4FCAEB9F" w14:textId="77777777" w:rsidR="00805D09" w:rsidRDefault="00805D09" w:rsidP="00805D09">
            <w:pPr>
              <w:jc w:val="center"/>
            </w:pPr>
            <w:r w:rsidRPr="00805D09">
              <w:rPr>
                <w:noProof/>
              </w:rPr>
              <w:drawing>
                <wp:inline distT="0" distB="0" distL="0" distR="0" wp14:anchorId="73D93437" wp14:editId="6EB5069B">
                  <wp:extent cx="2808287" cy="2432050"/>
                  <wp:effectExtent l="0" t="0" r="0" b="6350"/>
                  <wp:docPr id="98310" name="Picture 6" descr="clip_imageGuma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10" name="Picture 6" descr="clip_imageGuma002"/>
                          <pic:cNvPicPr>
                            <a:picLocks noChangeAspect="1" noChangeArrowheads="1"/>
                          </pic:cNvPicPr>
                        </pic:nvPicPr>
                        <pic:blipFill>
                          <a:blip r:embed="rId3030">
                            <a:extLst>
                              <a:ext uri="{28A0092B-C50C-407E-A947-70E740481C1C}">
                                <a14:useLocalDpi xmlns:a14="http://schemas.microsoft.com/office/drawing/2010/main" val="0"/>
                              </a:ext>
                            </a:extLst>
                          </a:blip>
                          <a:srcRect/>
                          <a:stretch>
                            <a:fillRect/>
                          </a:stretch>
                        </pic:blipFill>
                        <pic:spPr bwMode="auto">
                          <a:xfrm>
                            <a:off x="0" y="0"/>
                            <a:ext cx="2808287" cy="2432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CAAAB5E" w14:textId="5E4A7774" w:rsidR="00805D09" w:rsidRDefault="00805D09" w:rsidP="00805D09">
            <w:pPr>
              <w:jc w:val="center"/>
            </w:pPr>
            <w:r w:rsidRPr="00805D09">
              <w:rPr>
                <w:i/>
                <w:iCs/>
              </w:rPr>
              <w:t>Système liman</w:t>
            </w:r>
            <w:r w:rsidRPr="00805D09">
              <w:rPr>
                <w:b/>
                <w:bCs/>
                <w:i/>
                <w:iCs/>
              </w:rPr>
              <w:t xml:space="preserve"> </w:t>
            </w:r>
            <w:r w:rsidRPr="00805D09">
              <w:t>: par cette levée de terre, les eaux de ruissellement sont détournées vers des canaux (Kenya).</w:t>
            </w:r>
          </w:p>
        </w:tc>
        <w:tc>
          <w:tcPr>
            <w:tcW w:w="5208" w:type="dxa"/>
          </w:tcPr>
          <w:p w14:paraId="30FDC877" w14:textId="77777777" w:rsidR="00805D09" w:rsidRDefault="00805D09" w:rsidP="00805D09">
            <w:pPr>
              <w:jc w:val="center"/>
            </w:pPr>
            <w:r w:rsidRPr="00805D09">
              <w:rPr>
                <w:noProof/>
              </w:rPr>
              <w:drawing>
                <wp:inline distT="0" distB="0" distL="0" distR="0" wp14:anchorId="662AFDF7" wp14:editId="1A5DD422">
                  <wp:extent cx="2519362" cy="1685925"/>
                  <wp:effectExtent l="0" t="0" r="0" b="0"/>
                  <wp:docPr id="98312" name="Image 7" descr="negarim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12" name="Image 7" descr="negarim3.jpg"/>
                          <pic:cNvPicPr>
                            <a:picLocks noChangeAspect="1"/>
                          </pic:cNvPicPr>
                        </pic:nvPicPr>
                        <pic:blipFill>
                          <a:blip r:embed="rId3031">
                            <a:extLst>
                              <a:ext uri="{28A0092B-C50C-407E-A947-70E740481C1C}">
                                <a14:useLocalDpi xmlns:a14="http://schemas.microsoft.com/office/drawing/2010/main" val="0"/>
                              </a:ext>
                            </a:extLst>
                          </a:blip>
                          <a:srcRect/>
                          <a:stretch>
                            <a:fillRect/>
                          </a:stretch>
                        </pic:blipFill>
                        <pic:spPr bwMode="auto">
                          <a:xfrm>
                            <a:off x="0" y="0"/>
                            <a:ext cx="2519362" cy="1685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A7CF36A" w14:textId="30A0A02D" w:rsidR="00805D09" w:rsidRDefault="00805D09" w:rsidP="00805D09">
            <w:pPr>
              <w:jc w:val="center"/>
            </w:pPr>
            <w:r w:rsidRPr="00805D09">
              <w:rPr>
                <w:i/>
                <w:iCs/>
              </w:rPr>
              <w:t>Negarim</w:t>
            </w:r>
            <w:r w:rsidRPr="00805D09">
              <w:t xml:space="preserve"> : petite cuvette polygonale (voir plus loin)</w:t>
            </w:r>
            <w:r>
              <w:t>.</w:t>
            </w:r>
          </w:p>
        </w:tc>
      </w:tr>
      <w:tr w:rsidR="00805D09" w14:paraId="605FBE75" w14:textId="77777777" w:rsidTr="00805D09">
        <w:tc>
          <w:tcPr>
            <w:tcW w:w="5208" w:type="dxa"/>
          </w:tcPr>
          <w:p w14:paraId="68C684C4" w14:textId="77777777" w:rsidR="00805D09" w:rsidRDefault="00805D09" w:rsidP="00805D09">
            <w:pPr>
              <w:jc w:val="center"/>
            </w:pPr>
          </w:p>
          <w:p w14:paraId="1A1E7DCF" w14:textId="27079406" w:rsidR="00805D09" w:rsidRDefault="00805D09" w:rsidP="00805D09">
            <w:pPr>
              <w:jc w:val="center"/>
            </w:pPr>
            <w:r w:rsidRPr="00805D09">
              <w:rPr>
                <w:noProof/>
              </w:rPr>
              <w:drawing>
                <wp:inline distT="0" distB="0" distL="0" distR="0" wp14:anchorId="6E399E73" wp14:editId="3380A5BA">
                  <wp:extent cx="1743075" cy="1352550"/>
                  <wp:effectExtent l="0" t="0" r="9525" b="0"/>
                  <wp:docPr id="9114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3032">
                            <a:extLst>
                              <a:ext uri="{28A0092B-C50C-407E-A947-70E740481C1C}">
                                <a14:useLocalDpi xmlns:a14="http://schemas.microsoft.com/office/drawing/2010/main" val="0"/>
                              </a:ext>
                            </a:extLst>
                          </a:blip>
                          <a:stretch>
                            <a:fillRect/>
                          </a:stretch>
                        </pic:blipFill>
                        <pic:spPr>
                          <a:xfrm>
                            <a:off x="0" y="0"/>
                            <a:ext cx="1743075" cy="1352550"/>
                          </a:xfrm>
                          <a:prstGeom prst="rect">
                            <a:avLst/>
                          </a:prstGeom>
                        </pic:spPr>
                      </pic:pic>
                    </a:graphicData>
                  </a:graphic>
                </wp:inline>
              </w:drawing>
            </w:r>
          </w:p>
          <w:p w14:paraId="50A0E2C1" w14:textId="3942FC2E" w:rsidR="00805D09" w:rsidRDefault="00805D09" w:rsidP="00805D09">
            <w:pPr>
              <w:jc w:val="center"/>
            </w:pPr>
            <w:r w:rsidRPr="00805D09">
              <w:t>Système de limans israéliens. En gris vert, l’arrivée de l’inondation d’un orage, retenue par les cuvette en demi-lune</w:t>
            </w:r>
            <w:r>
              <w:rPr>
                <w:rStyle w:val="Appelnotedebasdep"/>
              </w:rPr>
              <w:footnoteReference w:id="161"/>
            </w:r>
            <w:r w:rsidRPr="00805D09">
              <w:t>.</w:t>
            </w:r>
          </w:p>
        </w:tc>
        <w:tc>
          <w:tcPr>
            <w:tcW w:w="5208" w:type="dxa"/>
          </w:tcPr>
          <w:p w14:paraId="09E523FF" w14:textId="77777777" w:rsidR="00805D09" w:rsidRDefault="00805D09" w:rsidP="00805D09">
            <w:pPr>
              <w:jc w:val="center"/>
            </w:pPr>
            <w:r w:rsidRPr="00805D09">
              <w:rPr>
                <w:noProof/>
              </w:rPr>
              <w:drawing>
                <wp:inline distT="0" distB="0" distL="0" distR="0" wp14:anchorId="462A570C" wp14:editId="615A39A1">
                  <wp:extent cx="2794000" cy="2095500"/>
                  <wp:effectExtent l="0" t="0" r="6350" b="0"/>
                  <wp:docPr id="98315" name="Picture 11" descr="C:\Users\LISAN\Pictures\plantes-halophytes-xerophiles\Retenue_collinaire_France_Lozère_Causse_de_Sauveterre_Lavog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15" name="Picture 11" descr="C:\Users\LISAN\Pictures\plantes-halophytes-xerophiles\Retenue_collinaire_France_Lozère_Causse_de_Sauveterre_Lavogne.jpg"/>
                          <pic:cNvPicPr>
                            <a:picLocks noChangeAspect="1" noChangeArrowheads="1"/>
                          </pic:cNvPicPr>
                        </pic:nvPicPr>
                        <pic:blipFill>
                          <a:blip r:embed="rId3033">
                            <a:extLst>
                              <a:ext uri="{28A0092B-C50C-407E-A947-70E740481C1C}">
                                <a14:useLocalDpi xmlns:a14="http://schemas.microsoft.com/office/drawing/2010/main" val="0"/>
                              </a:ext>
                            </a:extLst>
                          </a:blip>
                          <a:srcRect/>
                          <a:stretch>
                            <a:fillRect/>
                          </a:stretch>
                        </pic:blipFill>
                        <pic:spPr bwMode="auto">
                          <a:xfrm>
                            <a:off x="0" y="0"/>
                            <a:ext cx="2794000" cy="2095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727E3EC" w14:textId="227CC112" w:rsidR="00805D09" w:rsidRDefault="00805D09" w:rsidP="00805D09">
            <w:pPr>
              <w:jc w:val="center"/>
            </w:pPr>
            <w:r w:rsidRPr="00805D09">
              <w:rPr>
                <w:i/>
                <w:iCs/>
              </w:rPr>
              <w:t>Lavogne</w:t>
            </w:r>
            <w:r w:rsidRPr="00805D09">
              <w:t>, une petite retenue collinaire (Causse de Sauveterre, Lozère, France).</w:t>
            </w:r>
          </w:p>
        </w:tc>
      </w:tr>
    </w:tbl>
    <w:p w14:paraId="51B34D5A" w14:textId="439051EE" w:rsidR="001431AA" w:rsidRDefault="001431AA" w:rsidP="00985457">
      <w:pPr>
        <w:spacing w:after="0" w:line="240" w:lineRule="auto"/>
      </w:pPr>
    </w:p>
    <w:p w14:paraId="12A3E996" w14:textId="3E80B904" w:rsidR="00985457" w:rsidRDefault="00985457" w:rsidP="00985457">
      <w:pPr>
        <w:pStyle w:val="Titre2"/>
      </w:pPr>
      <w:bookmarkStart w:id="229" w:name="_Toc139181520"/>
      <w:r w:rsidRPr="00985457">
        <w:t>Liman israélien</w:t>
      </w:r>
      <w:bookmarkEnd w:id="229"/>
    </w:p>
    <w:p w14:paraId="6B46AFB5" w14:textId="11CFAA1E" w:rsidR="00985457" w:rsidRDefault="00985457" w:rsidP="00985457">
      <w:pPr>
        <w:spacing w:after="0" w:line="240" w:lineRule="auto"/>
      </w:pPr>
    </w:p>
    <w:p w14:paraId="212248DA" w14:textId="77777777" w:rsidR="00A42D19" w:rsidRPr="00A42D19" w:rsidRDefault="00A42D19" w:rsidP="00A42D19">
      <w:pPr>
        <w:spacing w:after="0" w:line="240" w:lineRule="auto"/>
        <w:jc w:val="both"/>
      </w:pPr>
      <w:r w:rsidRPr="00A42D19">
        <w:t>Un </w:t>
      </w:r>
      <w:r w:rsidRPr="00A42D19">
        <w:rPr>
          <w:b/>
          <w:bCs/>
        </w:rPr>
        <w:t>Liman</w:t>
      </w:r>
      <w:r w:rsidRPr="00A42D19">
        <w:t> en </w:t>
      </w:r>
      <w:hyperlink r:id="rId3034" w:history="1">
        <w:r w:rsidRPr="00A42D19">
          <w:rPr>
            <w:rStyle w:val="Lienhypertexte"/>
          </w:rPr>
          <w:t>Israël</w:t>
        </w:r>
      </w:hyperlink>
      <w:r w:rsidRPr="00A42D19">
        <w:t xml:space="preserve"> est le nom d'une levée artificielle de terre, souvent en demi-lune, servant à recueillir les eaux de crue d'un </w:t>
      </w:r>
      <w:hyperlink r:id="rId3035" w:history="1">
        <w:r w:rsidRPr="00A42D19">
          <w:rPr>
            <w:rStyle w:val="Lienhypertexte"/>
          </w:rPr>
          <w:t>oued</w:t>
        </w:r>
      </w:hyperlink>
      <w:r w:rsidRPr="00A42D19">
        <w:t> du désert. L'</w:t>
      </w:r>
      <w:hyperlink r:id="rId3036" w:history="1">
        <w:r w:rsidRPr="00A42D19">
          <w:rPr>
            <w:rStyle w:val="Lienhypertexte"/>
          </w:rPr>
          <w:t>eau de ruissellement</w:t>
        </w:r>
      </w:hyperlink>
      <w:r w:rsidRPr="00A42D19">
        <w:t> est ralenti par le barrage, inondant ainsi une petite zone et permettant à l'eau de s'infiltrer dans le sol. Un petit bosquet d'arbres peut y être maintenue dans le désert. </w:t>
      </w:r>
    </w:p>
    <w:p w14:paraId="3B519C53" w14:textId="77777777" w:rsidR="00A42D19" w:rsidRPr="00A42D19" w:rsidRDefault="00A42D19" w:rsidP="00A42D19">
      <w:pPr>
        <w:spacing w:after="0" w:line="240" w:lineRule="auto"/>
        <w:jc w:val="both"/>
      </w:pPr>
      <w:r w:rsidRPr="00A42D19">
        <w:t>Les limans ont été construits afin de lutter a) contre </w:t>
      </w:r>
      <w:hyperlink r:id="rId3037" w:history="1">
        <w:r w:rsidRPr="00A42D19">
          <w:rPr>
            <w:rStyle w:val="Lienhypertexte"/>
          </w:rPr>
          <w:t>la désertification</w:t>
        </w:r>
      </w:hyperlink>
      <w:r w:rsidRPr="00A42D19">
        <w:t> sans épuiser </w:t>
      </w:r>
      <w:hyperlink r:id="rId3038" w:history="1">
        <w:r w:rsidRPr="00A42D19">
          <w:rPr>
            <w:rStyle w:val="Lienhypertexte"/>
          </w:rPr>
          <w:t>les eaux souterraines</w:t>
        </w:r>
      </w:hyperlink>
      <w:r w:rsidRPr="00A42D19">
        <w:t>, dans les écosystèmes arides, b) les crues soudaines, cause d’érosion, et pour maintenir des espèces d'arbres résistants à la sécheresse.</w:t>
      </w:r>
    </w:p>
    <w:p w14:paraId="6D15D052" w14:textId="6BE1942A" w:rsidR="00A42D19" w:rsidRPr="00A42D19" w:rsidRDefault="00A42D19" w:rsidP="00A42D19">
      <w:pPr>
        <w:spacing w:after="0" w:line="240" w:lineRule="auto"/>
        <w:jc w:val="both"/>
      </w:pPr>
      <w:r w:rsidRPr="00A42D19">
        <w:t>La hauteur du </w:t>
      </w:r>
      <w:hyperlink r:id="rId3039" w:history="1">
        <w:r w:rsidRPr="00A42D19">
          <w:rPr>
            <w:rStyle w:val="Lienhypertexte"/>
          </w:rPr>
          <w:t>remblai</w:t>
        </w:r>
      </w:hyperlink>
      <w:r w:rsidRPr="00A42D19">
        <w:t> doit être 3-4 fois la profondeur de l'eau retenue. Un </w:t>
      </w:r>
      <w:hyperlink r:id="rId3040" w:history="1">
        <w:r w:rsidRPr="00A42D19">
          <w:rPr>
            <w:rStyle w:val="Lienhypertexte"/>
          </w:rPr>
          <w:t>déversoir</w:t>
        </w:r>
      </w:hyperlink>
      <w:r w:rsidRPr="00A42D19">
        <w:t> régule le niveau de l'eau [...] pour empêcher la destruction du </w:t>
      </w:r>
      <w:hyperlink r:id="rId3041" w:history="1">
        <w:r w:rsidRPr="00A42D19">
          <w:rPr>
            <w:rStyle w:val="Lienhypertexte"/>
          </w:rPr>
          <w:t>barrage</w:t>
        </w:r>
      </w:hyperlink>
      <w:r w:rsidRPr="00A42D19">
        <w:t> </w:t>
      </w:r>
      <w:hyperlink r:id="rId3042" w:history="1">
        <w:r w:rsidRPr="00A42D19">
          <w:rPr>
            <w:rStyle w:val="Lienhypertexte"/>
            <w:vertAlign w:val="superscript"/>
          </w:rPr>
          <w:t>[4]</w:t>
        </w:r>
      </w:hyperlink>
      <w:r w:rsidRPr="00A42D19">
        <w:t>. Un canal d'écoulement régule le niveau de l'eau accumulée et permet à l'excès de s'échapper. Les </w:t>
      </w:r>
      <w:hyperlink r:id="rId3043" w:history="1">
        <w:r w:rsidRPr="00A42D19">
          <w:rPr>
            <w:rStyle w:val="Lienhypertexte"/>
          </w:rPr>
          <w:t>brouteurs</w:t>
        </w:r>
      </w:hyperlink>
      <w:r w:rsidRPr="00A42D19">
        <w:t> devraient être exclus du site pour éviter le </w:t>
      </w:r>
      <w:hyperlink r:id="rId3044" w:history="1">
        <w:r w:rsidRPr="00A42D19">
          <w:rPr>
            <w:rStyle w:val="Lienhypertexte"/>
          </w:rPr>
          <w:t>compactage du sol</w:t>
        </w:r>
      </w:hyperlink>
      <w:r w:rsidRPr="00A42D19">
        <w:t xml:space="preserve"> qui, à son tour, diminue </w:t>
      </w:r>
      <w:hyperlink r:id="rId3045" w:history="1">
        <w:r w:rsidRPr="00A42D19">
          <w:rPr>
            <w:rStyle w:val="Lienhypertexte"/>
          </w:rPr>
          <w:t>l'infiltration de l'eau</w:t>
        </w:r>
      </w:hyperlink>
      <w:r w:rsidRPr="00A42D19">
        <w:t> </w:t>
      </w:r>
      <w:hyperlink r:id="rId3046" w:history="1">
        <w:r w:rsidRPr="00A42D19">
          <w:rPr>
            <w:rStyle w:val="Lienhypertexte"/>
            <w:vertAlign w:val="superscript"/>
          </w:rPr>
          <w:t>[3]</w:t>
        </w:r>
      </w:hyperlink>
      <w:r w:rsidRPr="00A42D19">
        <w:t xml:space="preserve">. Y ont été plantés des espèces résistantes à la sécheresse sont adaptés, comme </w:t>
      </w:r>
      <w:r w:rsidRPr="00A42D19">
        <w:lastRenderedPageBreak/>
        <w:t>le </w:t>
      </w:r>
      <w:hyperlink r:id="rId3047" w:history="1">
        <w:r w:rsidRPr="00A42D19">
          <w:rPr>
            <w:rStyle w:val="Lienhypertexte"/>
          </w:rPr>
          <w:t>tamarin</w:t>
        </w:r>
      </w:hyperlink>
      <w:r w:rsidRPr="00A42D19">
        <w:t>, la </w:t>
      </w:r>
      <w:hyperlink r:id="rId3048" w:history="1">
        <w:r w:rsidRPr="00A42D19">
          <w:rPr>
            <w:rStyle w:val="Lienhypertexte"/>
          </w:rPr>
          <w:t>gomme arabique</w:t>
        </w:r>
      </w:hyperlink>
      <w:r w:rsidRPr="00A42D19">
        <w:t xml:space="preserve"> [l’acacia Sénégal], le </w:t>
      </w:r>
      <w:hyperlink r:id="rId3049" w:history="1">
        <w:r w:rsidRPr="00A42D19">
          <w:rPr>
            <w:rStyle w:val="Lienhypertexte"/>
          </w:rPr>
          <w:t>prosopis</w:t>
        </w:r>
      </w:hyperlink>
      <w:r w:rsidRPr="00A42D19">
        <w:t xml:space="preserve">, le </w:t>
      </w:r>
      <w:hyperlink r:id="rId3050" w:history="1">
        <w:r w:rsidRPr="00A42D19">
          <w:rPr>
            <w:rStyle w:val="Lienhypertexte"/>
          </w:rPr>
          <w:t>pistachier</w:t>
        </w:r>
      </w:hyperlink>
      <w:r w:rsidRPr="00A42D19">
        <w:t>, l’</w:t>
      </w:r>
      <w:hyperlink r:id="rId3051" w:history="1">
        <w:r w:rsidRPr="00A42D19">
          <w:rPr>
            <w:rStyle w:val="Lienhypertexte"/>
          </w:rPr>
          <w:t>eucalyptus</w:t>
        </w:r>
      </w:hyperlink>
      <w:r w:rsidRPr="00A42D19">
        <w:t xml:space="preserve">, le </w:t>
      </w:r>
      <w:hyperlink r:id="rId3052" w:history="1">
        <w:r w:rsidRPr="00A42D19">
          <w:rPr>
            <w:rStyle w:val="Lienhypertexte"/>
          </w:rPr>
          <w:t>palmier dattier</w:t>
        </w:r>
      </w:hyperlink>
      <w:r w:rsidRPr="00A42D19">
        <w:t> et le </w:t>
      </w:r>
      <w:hyperlink r:id="rId3053" w:history="1">
        <w:r w:rsidRPr="00A42D19">
          <w:rPr>
            <w:rStyle w:val="Lienhypertexte"/>
          </w:rPr>
          <w:t>caroubier</w:t>
        </w:r>
      </w:hyperlink>
      <w:r w:rsidRPr="00A42D19">
        <w:t>.</w:t>
      </w:r>
      <w:r>
        <w:t xml:space="preserve"> </w:t>
      </w:r>
      <w:r w:rsidRPr="00A42D19">
        <w:t xml:space="preserve">Sources :a) </w:t>
      </w:r>
      <w:hyperlink r:id="rId3054" w:history="1">
        <w:r w:rsidRPr="00A42D19">
          <w:rPr>
            <w:rStyle w:val="Lienhypertexte"/>
          </w:rPr>
          <w:t>http://en.wikipedia.org/wiki/Liman_irrigation_system</w:t>
        </w:r>
      </w:hyperlink>
      <w:r w:rsidRPr="00A42D19">
        <w:t xml:space="preserve"> , </w:t>
      </w:r>
    </w:p>
    <w:p w14:paraId="78E5C78E" w14:textId="77777777" w:rsidR="00A42D19" w:rsidRPr="00A42D19" w:rsidRDefault="00A42D19" w:rsidP="00A42D19">
      <w:pPr>
        <w:spacing w:after="0" w:line="240" w:lineRule="auto"/>
      </w:pPr>
      <w:r w:rsidRPr="00A42D19">
        <w:t xml:space="preserve">b) Les structures antiérosives en relation avec les modes de gestion de l'eau, </w:t>
      </w:r>
      <w:hyperlink r:id="rId3055" w:history="1">
        <w:r w:rsidRPr="00A42D19">
          <w:rPr>
            <w:rStyle w:val="Lienhypertexte"/>
          </w:rPr>
          <w:t>http://www.fao.org/docrep/t1765f/t1765f0q.htm</w:t>
        </w:r>
      </w:hyperlink>
      <w:r w:rsidRPr="00A42D19">
        <w:t xml:space="preserve"> </w:t>
      </w:r>
    </w:p>
    <w:p w14:paraId="222596D6" w14:textId="77777777" w:rsidR="00A42D19" w:rsidRPr="00A42D19" w:rsidRDefault="00A42D19" w:rsidP="00A42D19">
      <w:pPr>
        <w:spacing w:after="0" w:line="240" w:lineRule="auto"/>
      </w:pPr>
      <w:r w:rsidRPr="00A42D19">
        <w:t xml:space="preserve">c) </w:t>
      </w:r>
      <w:hyperlink r:id="rId3056" w:history="1">
        <w:r w:rsidRPr="00A42D19">
          <w:rPr>
            <w:rStyle w:val="Lienhypertexte"/>
          </w:rPr>
          <w:t>http://www.kkl.org.il/eng/water-for-israel/water-in-the-desert/limans/</w:t>
        </w:r>
      </w:hyperlink>
      <w:r w:rsidRPr="00A42D19">
        <w:t xml:space="preserve"> </w:t>
      </w:r>
    </w:p>
    <w:p w14:paraId="66BE0202" w14:textId="637FDE24" w:rsidR="00985457" w:rsidRDefault="00985457" w:rsidP="00A42D19">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A42D19" w14:paraId="00EEDEF2" w14:textId="77777777" w:rsidTr="00A42D19">
        <w:tc>
          <w:tcPr>
            <w:tcW w:w="3472" w:type="dxa"/>
          </w:tcPr>
          <w:p w14:paraId="6DD31FB8" w14:textId="77777777" w:rsidR="00A42D19" w:rsidRDefault="00A42D19" w:rsidP="00A42D19">
            <w:pPr>
              <w:jc w:val="center"/>
            </w:pPr>
            <w:r w:rsidRPr="00A42D19">
              <w:rPr>
                <w:noProof/>
              </w:rPr>
              <w:drawing>
                <wp:inline distT="0" distB="0" distL="0" distR="0" wp14:anchorId="29BFD087" wp14:editId="117466CF">
                  <wp:extent cx="1998406" cy="1371600"/>
                  <wp:effectExtent l="0" t="0" r="1905" b="0"/>
                  <wp:docPr id="99336" name="Picture 9" descr="C:\Users\LISAN\Pictures\plantes-halophytes-xerophiles\Liman irrigation syste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36" name="Picture 9" descr="C:\Users\LISAN\Pictures\plantes-halophytes-xerophiles\Liman irrigation system1.jpg"/>
                          <pic:cNvPicPr>
                            <a:picLocks noChangeAspect="1" noChangeArrowheads="1"/>
                          </pic:cNvPicPr>
                        </pic:nvPicPr>
                        <pic:blipFill>
                          <a:blip r:embed="rId3057">
                            <a:extLst>
                              <a:ext uri="{28A0092B-C50C-407E-A947-70E740481C1C}">
                                <a14:useLocalDpi xmlns:a14="http://schemas.microsoft.com/office/drawing/2010/main" val="0"/>
                              </a:ext>
                            </a:extLst>
                          </a:blip>
                          <a:srcRect/>
                          <a:stretch>
                            <a:fillRect/>
                          </a:stretch>
                        </pic:blipFill>
                        <pic:spPr bwMode="auto">
                          <a:xfrm>
                            <a:off x="0" y="0"/>
                            <a:ext cx="2003580" cy="1375151"/>
                          </a:xfrm>
                          <a:prstGeom prst="rect">
                            <a:avLst/>
                          </a:prstGeom>
                          <a:noFill/>
                          <a:ln>
                            <a:noFill/>
                          </a:ln>
                        </pic:spPr>
                      </pic:pic>
                    </a:graphicData>
                  </a:graphic>
                </wp:inline>
              </w:drawing>
            </w:r>
          </w:p>
          <w:p w14:paraId="35C185C3" w14:textId="4D01256D" w:rsidR="00A42D19" w:rsidRDefault="00A42D19" w:rsidP="00A42D19">
            <w:pPr>
              <w:jc w:val="center"/>
            </w:pPr>
            <w:r w:rsidRPr="00A42D19">
              <w:t>Exemple de liman israélien.</w:t>
            </w:r>
          </w:p>
        </w:tc>
        <w:tc>
          <w:tcPr>
            <w:tcW w:w="3472" w:type="dxa"/>
          </w:tcPr>
          <w:p w14:paraId="11829D89" w14:textId="77777777" w:rsidR="00A42D19" w:rsidRDefault="00A42D19" w:rsidP="00A42D19">
            <w:pPr>
              <w:jc w:val="center"/>
            </w:pPr>
            <w:r w:rsidRPr="00A42D19">
              <w:rPr>
                <w:noProof/>
              </w:rPr>
              <w:drawing>
                <wp:inline distT="0" distB="0" distL="0" distR="0" wp14:anchorId="6BCA7536" wp14:editId="49A39484">
                  <wp:extent cx="2019300" cy="1338883"/>
                  <wp:effectExtent l="0" t="0" r="0" b="0"/>
                  <wp:docPr id="99335" name="Picture 8" descr="C:\Users\LISAN\Pictures\plantes-halophytes-xerophiles\Liman irrigation syste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35" name="Picture 8" descr="C:\Users\LISAN\Pictures\plantes-halophytes-xerophiles\Liman irrigation system2.jpg"/>
                          <pic:cNvPicPr>
                            <a:picLocks noChangeAspect="1" noChangeArrowheads="1"/>
                          </pic:cNvPicPr>
                        </pic:nvPicPr>
                        <pic:blipFill>
                          <a:blip r:embed="rId3058">
                            <a:extLst>
                              <a:ext uri="{28A0092B-C50C-407E-A947-70E740481C1C}">
                                <a14:useLocalDpi xmlns:a14="http://schemas.microsoft.com/office/drawing/2010/main" val="0"/>
                              </a:ext>
                            </a:extLst>
                          </a:blip>
                          <a:srcRect/>
                          <a:stretch>
                            <a:fillRect/>
                          </a:stretch>
                        </pic:blipFill>
                        <pic:spPr bwMode="auto">
                          <a:xfrm>
                            <a:off x="0" y="0"/>
                            <a:ext cx="2036369" cy="1350201"/>
                          </a:xfrm>
                          <a:prstGeom prst="rect">
                            <a:avLst/>
                          </a:prstGeom>
                          <a:noFill/>
                          <a:ln>
                            <a:noFill/>
                          </a:ln>
                        </pic:spPr>
                      </pic:pic>
                    </a:graphicData>
                  </a:graphic>
                </wp:inline>
              </w:drawing>
            </w:r>
          </w:p>
          <w:p w14:paraId="5C355F42" w14:textId="5AE243DF" w:rsidR="00A42D19" w:rsidRDefault="00A42D19" w:rsidP="00A42D19">
            <w:pPr>
              <w:jc w:val="center"/>
            </w:pPr>
            <w:r w:rsidRPr="00A42D19">
              <w:t>Exemple de liman israélien.</w:t>
            </w:r>
          </w:p>
        </w:tc>
        <w:tc>
          <w:tcPr>
            <w:tcW w:w="3472" w:type="dxa"/>
          </w:tcPr>
          <w:p w14:paraId="220DFE2B" w14:textId="77777777" w:rsidR="00A42D19" w:rsidRDefault="00A42D19" w:rsidP="00A42D19">
            <w:pPr>
              <w:jc w:val="center"/>
            </w:pPr>
            <w:r w:rsidRPr="00A42D19">
              <w:rPr>
                <w:noProof/>
              </w:rPr>
              <w:drawing>
                <wp:inline distT="0" distB="0" distL="0" distR="0" wp14:anchorId="7AFD9A5C" wp14:editId="0CA7B15A">
                  <wp:extent cx="2006555" cy="1501538"/>
                  <wp:effectExtent l="0" t="0" r="0" b="3810"/>
                  <wp:docPr id="99338" name="Picture 10" descr="C:\Users\LISAN\Documents\DeveloppementDurable\botanique\irrigation-stockage-eau\images\Almonds-olives-palms &amp; figs are among the most suitable trees to be grown in the drier environme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38" name="Picture 10" descr="C:\Users\LISAN\Documents\DeveloppementDurable\botanique\irrigation-stockage-eau\images\Almonds-olives-palms &amp; figs are among the most suitable trees to be grown in the drier environments.jpg"/>
                          <pic:cNvPicPr>
                            <a:picLocks noChangeAspect="1" noChangeArrowheads="1"/>
                          </pic:cNvPicPr>
                        </pic:nvPicPr>
                        <pic:blipFill>
                          <a:blip r:embed="rId3059">
                            <a:extLst>
                              <a:ext uri="{28A0092B-C50C-407E-A947-70E740481C1C}">
                                <a14:useLocalDpi xmlns:a14="http://schemas.microsoft.com/office/drawing/2010/main" val="0"/>
                              </a:ext>
                            </a:extLst>
                          </a:blip>
                          <a:srcRect/>
                          <a:stretch>
                            <a:fillRect/>
                          </a:stretch>
                        </pic:blipFill>
                        <pic:spPr bwMode="auto">
                          <a:xfrm>
                            <a:off x="0" y="0"/>
                            <a:ext cx="2021225" cy="1512516"/>
                          </a:xfrm>
                          <a:prstGeom prst="rect">
                            <a:avLst/>
                          </a:prstGeom>
                          <a:noFill/>
                          <a:ln>
                            <a:noFill/>
                          </a:ln>
                        </pic:spPr>
                      </pic:pic>
                    </a:graphicData>
                  </a:graphic>
                </wp:inline>
              </w:drawing>
            </w:r>
          </w:p>
          <w:p w14:paraId="06944384" w14:textId="42E8A5D1" w:rsidR="00A42D19" w:rsidRDefault="00A42D19" w:rsidP="00A42D19">
            <w:pPr>
              <w:jc w:val="center"/>
            </w:pPr>
            <w:r w:rsidRPr="00A42D19">
              <w:t>Les Amandiers, les oliviers, les palmiers et les figuiers sont parmi les arbres les plus aptes à être cultivées dans les milieux secs</w:t>
            </w:r>
            <w:r>
              <w:t>.</w:t>
            </w:r>
          </w:p>
        </w:tc>
      </w:tr>
    </w:tbl>
    <w:p w14:paraId="3B79F4A7" w14:textId="25A36D2A" w:rsidR="00A42D19" w:rsidRDefault="00A42D19" w:rsidP="00A42D19">
      <w:pPr>
        <w:spacing w:after="0" w:line="240" w:lineRule="auto"/>
        <w:jc w:val="center"/>
      </w:pPr>
    </w:p>
    <w:p w14:paraId="099FA5C0" w14:textId="523999E1" w:rsidR="00A42D19" w:rsidRDefault="00A42D19" w:rsidP="00A42D19">
      <w:pPr>
        <w:spacing w:after="0" w:line="240" w:lineRule="auto"/>
        <w:jc w:val="center"/>
      </w:pPr>
      <w:r w:rsidRPr="00A42D19">
        <w:rPr>
          <w:noProof/>
        </w:rPr>
        <w:drawing>
          <wp:inline distT="0" distB="0" distL="0" distR="0" wp14:anchorId="3EB48411" wp14:editId="2E3B5F57">
            <wp:extent cx="4681538" cy="1747837"/>
            <wp:effectExtent l="0" t="0" r="5080" b="5080"/>
            <wp:docPr id="100357" name="Picture 2" descr="_Pic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57" name="Picture 2" descr="_Pic313"/>
                    <pic:cNvPicPr>
                      <a:picLocks noChangeAspect="1" noChangeArrowheads="1"/>
                    </pic:cNvPicPr>
                  </pic:nvPicPr>
                  <pic:blipFill>
                    <a:blip r:embed="rId3060" cstate="print">
                      <a:extLst>
                        <a:ext uri="{28A0092B-C50C-407E-A947-70E740481C1C}">
                          <a14:useLocalDpi xmlns:a14="http://schemas.microsoft.com/office/drawing/2010/main" val="0"/>
                        </a:ext>
                      </a:extLst>
                    </a:blip>
                    <a:srcRect/>
                    <a:stretch>
                      <a:fillRect/>
                    </a:stretch>
                  </pic:blipFill>
                  <pic:spPr bwMode="auto">
                    <a:xfrm>
                      <a:off x="0" y="0"/>
                      <a:ext cx="4681538" cy="17478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6D130C5" w14:textId="60CF40C2" w:rsidR="00A42D19" w:rsidRDefault="00A42D19" w:rsidP="00A42D19">
      <w:pPr>
        <w:spacing w:after="0" w:line="240" w:lineRule="auto"/>
        <w:jc w:val="both"/>
      </w:pPr>
      <w:r w:rsidRPr="00A42D19">
        <w:t>Malgré une entrée en sel relativement élevée, les données obtenues montrent que les limans ne souffrent pas de la salinisation. Dans tous les limans examiné, le sol, jusqu'à une profondeur de 3 m, a été trouvé non salin</w:t>
      </w:r>
      <w:r>
        <w:rPr>
          <w:rStyle w:val="Appelnotedebasdep"/>
        </w:rPr>
        <w:footnoteReference w:id="162"/>
      </w:r>
      <w:r>
        <w:t>.</w:t>
      </w:r>
    </w:p>
    <w:p w14:paraId="12E6319A" w14:textId="51294524" w:rsidR="00A42D19" w:rsidRDefault="00A42D19" w:rsidP="002E26CB">
      <w:pPr>
        <w:spacing w:after="0" w:line="240" w:lineRule="auto"/>
      </w:pPr>
    </w:p>
    <w:p w14:paraId="3F9E5D6D" w14:textId="77777777" w:rsidR="002E26CB" w:rsidRPr="002E26CB" w:rsidRDefault="002E26CB" w:rsidP="002E26CB">
      <w:pPr>
        <w:spacing w:after="0" w:line="240" w:lineRule="auto"/>
        <w:jc w:val="both"/>
      </w:pPr>
      <w:r w:rsidRPr="002E26CB">
        <w:rPr>
          <w:u w:val="single"/>
        </w:rPr>
        <w:t xml:space="preserve">Les liman : digues de stockage </w:t>
      </w:r>
      <w:r w:rsidRPr="002E26CB">
        <w:t xml:space="preserve">: </w:t>
      </w:r>
    </w:p>
    <w:p w14:paraId="4ADA1B2C" w14:textId="77777777" w:rsidR="002E26CB" w:rsidRDefault="002E26CB" w:rsidP="002E26CB">
      <w:pPr>
        <w:spacing w:after="0" w:line="240" w:lineRule="auto"/>
        <w:jc w:val="both"/>
      </w:pPr>
    </w:p>
    <w:p w14:paraId="3972ED20" w14:textId="2C513908" w:rsidR="002E26CB" w:rsidRDefault="002E26CB" w:rsidP="002E26CB">
      <w:pPr>
        <w:spacing w:after="0" w:line="240" w:lineRule="auto"/>
        <w:jc w:val="both"/>
      </w:pPr>
      <w:r w:rsidRPr="002E26CB">
        <w:t>A la confluence de deux vallées secondaires, une digue en terre, de 1 à 2 m de haut, est construite pour capter le ruissellement et sa charge solide : elle permet une culture dans une bonne terre alluviale qui a absorbé une réserve d'eau suffisante pour produire une céréale (500 mm) ou une culture de légumineuse à croissance rapide. Pour évacuer une crue exceptionnelle, un exutoire est prévu, généralement protégé par un mur de pierres cimentées. La pente du talus de la digue dépend de la texture du matériau, elle est de l'ordre de 50 % pour des alluvions argilo-sableuses</w:t>
      </w:r>
      <w:r>
        <w:rPr>
          <w:rStyle w:val="Appelnotedebasdep"/>
        </w:rPr>
        <w:footnoteReference w:id="163"/>
      </w:r>
      <w:r w:rsidRPr="002E26CB">
        <w:t>.</w:t>
      </w:r>
    </w:p>
    <w:p w14:paraId="4305BDC6" w14:textId="4E4E34EA" w:rsidR="002E26CB" w:rsidRDefault="002E26CB" w:rsidP="002E26CB">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2E26CB" w14:paraId="45BD5BB6" w14:textId="77777777" w:rsidTr="002E26CB">
        <w:tc>
          <w:tcPr>
            <w:tcW w:w="3472" w:type="dxa"/>
          </w:tcPr>
          <w:p w14:paraId="1A47A196" w14:textId="77777777" w:rsidR="002E26CB" w:rsidRDefault="002E26CB" w:rsidP="00C47B8B">
            <w:pPr>
              <w:jc w:val="center"/>
            </w:pPr>
            <w:r w:rsidRPr="002E26CB">
              <w:rPr>
                <w:noProof/>
              </w:rPr>
              <w:lastRenderedPageBreak/>
              <w:drawing>
                <wp:inline distT="0" distB="0" distL="0" distR="0" wp14:anchorId="0C743627" wp14:editId="614E3242">
                  <wp:extent cx="1463675" cy="981075"/>
                  <wp:effectExtent l="0" t="0" r="3175" b="9525"/>
                  <wp:docPr id="100360" name="Image 11" descr="liman_innon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60" name="Image 11" descr="liman_innonde.jpg"/>
                          <pic:cNvPicPr>
                            <a:picLocks noChangeAspect="1"/>
                          </pic:cNvPicPr>
                        </pic:nvPicPr>
                        <pic:blipFill>
                          <a:blip r:embed="rId3061">
                            <a:extLst>
                              <a:ext uri="{28A0092B-C50C-407E-A947-70E740481C1C}">
                                <a14:useLocalDpi xmlns:a14="http://schemas.microsoft.com/office/drawing/2010/main" val="0"/>
                              </a:ext>
                            </a:extLst>
                          </a:blip>
                          <a:srcRect/>
                          <a:stretch>
                            <a:fillRect/>
                          </a:stretch>
                        </pic:blipFill>
                        <pic:spPr bwMode="auto">
                          <a:xfrm>
                            <a:off x="0" y="0"/>
                            <a:ext cx="1463675" cy="981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490EBE13" w14:textId="77777777" w:rsidR="002E26CB" w:rsidRDefault="002E26CB" w:rsidP="00C47B8B">
            <w:pPr>
              <w:jc w:val="center"/>
            </w:pPr>
            <w:r w:rsidRPr="002E26CB">
              <w:rPr>
                <w:noProof/>
              </w:rPr>
              <w:drawing>
                <wp:inline distT="0" distB="0" distL="0" distR="0" wp14:anchorId="0FEB01BE" wp14:editId="45AEA1DA">
                  <wp:extent cx="2019300" cy="1590675"/>
                  <wp:effectExtent l="0" t="0" r="0" b="9525"/>
                  <wp:docPr id="100361" name="Image 10" descr="Liman system_trees planted_s_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61" name="Image 10" descr="Liman system_trees planted_s_s1.jpg"/>
                          <pic:cNvPicPr>
                            <a:picLocks noChangeAspect="1"/>
                          </pic:cNvPicPr>
                        </pic:nvPicPr>
                        <pic:blipFill>
                          <a:blip r:embed="rId3062">
                            <a:extLst>
                              <a:ext uri="{28A0092B-C50C-407E-A947-70E740481C1C}">
                                <a14:useLocalDpi xmlns:a14="http://schemas.microsoft.com/office/drawing/2010/main" val="0"/>
                              </a:ext>
                            </a:extLst>
                          </a:blip>
                          <a:srcRect/>
                          <a:stretch>
                            <a:fillRect/>
                          </a:stretch>
                        </pic:blipFill>
                        <pic:spPr bwMode="auto">
                          <a:xfrm>
                            <a:off x="0" y="0"/>
                            <a:ext cx="2019300" cy="1590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559EBCC9" w14:textId="77777777" w:rsidR="002E26CB" w:rsidRDefault="002E26CB" w:rsidP="00C47B8B">
            <w:pPr>
              <w:jc w:val="center"/>
            </w:pPr>
          </w:p>
        </w:tc>
      </w:tr>
    </w:tbl>
    <w:p w14:paraId="2950C2A3" w14:textId="77777777" w:rsidR="002E26CB" w:rsidRPr="002E26CB" w:rsidRDefault="002E26CB" w:rsidP="002E26CB">
      <w:pPr>
        <w:spacing w:after="0" w:line="240" w:lineRule="auto"/>
        <w:jc w:val="both"/>
      </w:pPr>
    </w:p>
    <w:p w14:paraId="374E4F05" w14:textId="1263BD01" w:rsidR="002E26CB" w:rsidRDefault="002E26CB" w:rsidP="002E26CB">
      <w:pPr>
        <w:pStyle w:val="Titre2"/>
      </w:pPr>
      <w:bookmarkStart w:id="230" w:name="_Toc139181521"/>
      <w:r w:rsidRPr="002E26CB">
        <w:t>Système Meskat ou Meskal et tabias (Magrehb)</w:t>
      </w:r>
      <w:bookmarkEnd w:id="230"/>
    </w:p>
    <w:p w14:paraId="17567B33" w14:textId="46E6B175" w:rsidR="002E26CB" w:rsidRDefault="002E26CB" w:rsidP="002E26CB">
      <w:pPr>
        <w:spacing w:after="0" w:line="240" w:lineRule="auto"/>
        <w:jc w:val="both"/>
      </w:pPr>
    </w:p>
    <w:p w14:paraId="61D15ACF" w14:textId="77777777" w:rsidR="002E26CB" w:rsidRPr="002E26CB" w:rsidRDefault="002E26CB" w:rsidP="002E26CB">
      <w:pPr>
        <w:spacing w:after="0" w:line="240" w:lineRule="auto"/>
        <w:jc w:val="both"/>
      </w:pPr>
      <w:r w:rsidRPr="002E26CB">
        <w:t xml:space="preserve">Ce système peut être trouvée dans la zone de précipitations de 200 à 400 mm. sur les terrains accidentés. Pour le moment, il a encore d'environ 300.000 ha de terres agricoles dans les Meskats, principalement planté d'oliviers. </w:t>
      </w:r>
    </w:p>
    <w:p w14:paraId="3795A1AC" w14:textId="77777777" w:rsidR="002E26CB" w:rsidRPr="002E26CB" w:rsidRDefault="002E26CB" w:rsidP="002E26CB">
      <w:pPr>
        <w:spacing w:after="0" w:line="240" w:lineRule="auto"/>
        <w:jc w:val="both"/>
      </w:pPr>
      <w:r w:rsidRPr="002E26CB">
        <w:t xml:space="preserve">Le système se compose de deux parties distinctes (voir figures pages suivantes)  : </w:t>
      </w:r>
    </w:p>
    <w:p w14:paraId="02682199" w14:textId="77777777" w:rsidR="002E26CB" w:rsidRPr="002E26CB" w:rsidRDefault="002E26CB" w:rsidP="002E26CB">
      <w:pPr>
        <w:spacing w:after="0" w:line="240" w:lineRule="auto"/>
        <w:jc w:val="both"/>
      </w:pPr>
      <w:r w:rsidRPr="002E26CB">
        <w:t xml:space="preserve">- L'impluvium ou "Meskat", est la partie la plus élevée et est utilisé pour la promotion de ruissellement. Cette zone peut être rocheux avec une forte pente et a une faible capacité d'infiltration. </w:t>
      </w:r>
    </w:p>
    <w:p w14:paraId="6FDDA373" w14:textId="77777777" w:rsidR="002E26CB" w:rsidRPr="002E26CB" w:rsidRDefault="002E26CB" w:rsidP="002E26CB">
      <w:pPr>
        <w:spacing w:after="0" w:line="240" w:lineRule="auto"/>
        <w:jc w:val="both"/>
      </w:pPr>
      <w:r w:rsidRPr="002E26CB">
        <w:t xml:space="preserve">- La superficie cultivée ou "Mankaa" est la partie la plus basse et a la plupart du temps un sol profond de limono-sableux avec une capacité d'infiltration élevée. Ici, le ruissellement de l'impluvium s'infiltre et permet de pousser des cultures. Les aires cultivées consistent principalement en différentes terrasses séparées par des barrages en terre avec déversoirs de pierres. </w:t>
      </w:r>
    </w:p>
    <w:p w14:paraId="24D46DD0" w14:textId="63CDC4B8" w:rsidR="002E26CB" w:rsidRPr="002E26CB" w:rsidRDefault="002E26CB" w:rsidP="002E26CB">
      <w:pPr>
        <w:spacing w:after="0" w:line="240" w:lineRule="auto"/>
        <w:jc w:val="both"/>
      </w:pPr>
      <w:r w:rsidRPr="002E26CB">
        <w:t xml:space="preserve">Les agriculteurs ont fait ces barrages assez élevés (0,5 m) pour être sûr que la pluviométrie la plus élevée possible, pour tous les jours (370 mm), peut être stocké dans le Manka et ne détruit pas les barrages et l'ensemble du système. </w:t>
      </w:r>
    </w:p>
    <w:p w14:paraId="5A2E5AD6" w14:textId="04FD48E8" w:rsidR="002E26CB" w:rsidRDefault="002E26CB" w:rsidP="002E26CB">
      <w:pPr>
        <w:spacing w:after="0" w:line="240" w:lineRule="auto"/>
        <w:jc w:val="both"/>
        <w:rPr>
          <w:i/>
          <w:iCs/>
        </w:rPr>
      </w:pPr>
      <w:r w:rsidRPr="002E26CB">
        <w:rPr>
          <w:i/>
          <w:iCs/>
        </w:rPr>
        <w:t>Malheureusement, de nos jours, ce système se détériore très rapidement. Ceci est principalement dû à la faiblesse des prix de l'huile d'olive, qui érode la base économique du système et conduit à l’émigration des agriculteurs. En outre, les oliviers sont plantés de plus en plus sur l'impluvium, ce qui crée un déséquilibre entre impluvium et terre cultivée (le rapport de l'impluvium de terres cultivées a changé de 2: 1 à 1: 2). L'efficacité du système est en diminution de cette façon et les rendements diminuent. Son non-entretien provoque une érosion sévère. Cela provoque dans des inondations sur les plaines, qui causent beaucoup de dégâts et l'abaissement de la nappe phréatique dans la zone des jardins. Il y a de nombreux signes que la dégradation des meskats va changer tout l'équilibre hydrologique de la région.</w:t>
      </w:r>
    </w:p>
    <w:p w14:paraId="03E2A083" w14:textId="77777777" w:rsidR="00DC2D54" w:rsidRPr="002E26CB" w:rsidRDefault="00DC2D54" w:rsidP="002E26CB">
      <w:pPr>
        <w:spacing w:after="0" w:line="240" w:lineRule="auto"/>
        <w:jc w:val="both"/>
        <w:rPr>
          <w:i/>
          <w:iCs/>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DC2D54" w14:paraId="706D0A48" w14:textId="77777777" w:rsidTr="00DC2D54">
        <w:tc>
          <w:tcPr>
            <w:tcW w:w="5208" w:type="dxa"/>
          </w:tcPr>
          <w:p w14:paraId="12CA4334" w14:textId="77777777" w:rsidR="00DC2D54" w:rsidRPr="00DC2D54" w:rsidRDefault="00DC2D54" w:rsidP="00DC2D54">
            <w:pPr>
              <w:jc w:val="both"/>
            </w:pPr>
            <w:r w:rsidRPr="00DC2D54">
              <w:rPr>
                <w:b/>
                <w:bCs/>
              </w:rPr>
              <w:t>Avantages</w:t>
            </w:r>
          </w:p>
          <w:p w14:paraId="7480CFAB" w14:textId="77777777" w:rsidR="00DC2D54" w:rsidRPr="00DC2D54" w:rsidRDefault="00DC2D54" w:rsidP="00DC2D54">
            <w:pPr>
              <w:jc w:val="both"/>
            </w:pPr>
            <w:r w:rsidRPr="00DC2D54">
              <w:t>- Permet une production fruitière relativement stable dans les zones semi-arides</w:t>
            </w:r>
          </w:p>
          <w:p w14:paraId="0CABD2A7" w14:textId="77777777" w:rsidR="00DC2D54" w:rsidRPr="00DC2D54" w:rsidRDefault="00DC2D54" w:rsidP="00DC2D54">
            <w:pPr>
              <w:jc w:val="both"/>
            </w:pPr>
            <w:r w:rsidRPr="00DC2D54">
              <w:t>- Appoints en eau aux plantations</w:t>
            </w:r>
          </w:p>
          <w:p w14:paraId="36BD0A24" w14:textId="77777777" w:rsidR="00DC2D54" w:rsidRPr="00DC2D54" w:rsidRDefault="00DC2D54" w:rsidP="00DC2D54">
            <w:pPr>
              <w:jc w:val="both"/>
            </w:pPr>
            <w:r w:rsidRPr="00DC2D54">
              <w:t>- Amélioration de la productivité des terres</w:t>
            </w:r>
          </w:p>
          <w:p w14:paraId="49DA5038" w14:textId="647ED92E" w:rsidR="00DC2D54" w:rsidRDefault="00DC2D54" w:rsidP="002E26CB">
            <w:pPr>
              <w:jc w:val="both"/>
            </w:pPr>
            <w:r w:rsidRPr="00DC2D54">
              <w:t>- Réduction des risques de ruissellement, d'inondation et d'érosion à l'aval</w:t>
            </w:r>
          </w:p>
        </w:tc>
        <w:tc>
          <w:tcPr>
            <w:tcW w:w="5208" w:type="dxa"/>
          </w:tcPr>
          <w:p w14:paraId="7D3B9F54" w14:textId="77777777" w:rsidR="00DC2D54" w:rsidRPr="00DC2D54" w:rsidRDefault="00DC2D54" w:rsidP="00DC2D54">
            <w:pPr>
              <w:jc w:val="both"/>
            </w:pPr>
            <w:r w:rsidRPr="00DC2D54">
              <w:rPr>
                <w:b/>
                <w:bCs/>
              </w:rPr>
              <w:t>Inconvénients</w:t>
            </w:r>
          </w:p>
          <w:p w14:paraId="735C476F" w14:textId="77777777" w:rsidR="00DC2D54" w:rsidRPr="00DC2D54" w:rsidRDefault="00DC2D54" w:rsidP="00DC2D54">
            <w:pPr>
              <w:jc w:val="both"/>
            </w:pPr>
            <w:r w:rsidRPr="00DC2D54">
              <w:t>- Coût relativement important</w:t>
            </w:r>
          </w:p>
          <w:p w14:paraId="362D5926" w14:textId="77777777" w:rsidR="00DC2D54" w:rsidRPr="00DC2D54" w:rsidRDefault="00DC2D54" w:rsidP="00DC2D54">
            <w:pPr>
              <w:jc w:val="both"/>
            </w:pPr>
            <w:r w:rsidRPr="00DC2D54">
              <w:t>- Exige beaucoup de main d'œuvre</w:t>
            </w:r>
          </w:p>
          <w:p w14:paraId="04C1C8F8" w14:textId="77777777" w:rsidR="00DC2D54" w:rsidRPr="00DC2D54" w:rsidRDefault="00DC2D54" w:rsidP="00DC2D54">
            <w:pPr>
              <w:jc w:val="both"/>
            </w:pPr>
            <w:r w:rsidRPr="00DC2D54">
              <w:t>- Réduction de l'eau disponible dans les barrages à l'aval</w:t>
            </w:r>
          </w:p>
          <w:p w14:paraId="1947947C" w14:textId="77777777" w:rsidR="00DC2D54" w:rsidRPr="00DC2D54" w:rsidRDefault="00DC2D54" w:rsidP="00DC2D54">
            <w:pPr>
              <w:jc w:val="both"/>
            </w:pPr>
            <w:r w:rsidRPr="00DC2D54">
              <w:t>- Réduction de la surface cultivable sur l'impluvium</w:t>
            </w:r>
          </w:p>
          <w:p w14:paraId="5744408B" w14:textId="77777777" w:rsidR="00DC2D54" w:rsidRDefault="00DC2D54" w:rsidP="002E26CB">
            <w:pPr>
              <w:jc w:val="both"/>
            </w:pPr>
          </w:p>
        </w:tc>
      </w:tr>
    </w:tbl>
    <w:p w14:paraId="23ECF0F4" w14:textId="77777777" w:rsidR="00DC6C72" w:rsidRDefault="00DC6C72" w:rsidP="00DC6C72">
      <w:pPr>
        <w:spacing w:after="0" w:line="240" w:lineRule="auto"/>
        <w:jc w:val="center"/>
      </w:pPr>
      <w:r w:rsidRPr="002E26CB">
        <w:rPr>
          <w:noProof/>
        </w:rPr>
        <w:drawing>
          <wp:inline distT="0" distB="0" distL="0" distR="0" wp14:anchorId="012FF314" wp14:editId="637A7AFF">
            <wp:extent cx="5343525" cy="1781175"/>
            <wp:effectExtent l="0" t="0" r="9525" b="9525"/>
            <wp:docPr id="102405" name="Picture 3" descr="C:\Users\LISAN\Pictures\plantes-halophytes-xerophiles\Tabias et déversoirs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05" name="Picture 3" descr="C:\Users\LISAN\Pictures\plantes-halophytes-xerophiles\Tabias et déversoirs_s.jpg"/>
                    <pic:cNvPicPr>
                      <a:picLocks noChangeAspect="1" noChangeArrowheads="1"/>
                    </pic:cNvPicPr>
                  </pic:nvPicPr>
                  <pic:blipFill>
                    <a:blip r:embed="rId3063">
                      <a:extLst>
                        <a:ext uri="{28A0092B-C50C-407E-A947-70E740481C1C}">
                          <a14:useLocalDpi xmlns:a14="http://schemas.microsoft.com/office/drawing/2010/main" val="0"/>
                        </a:ext>
                      </a:extLst>
                    </a:blip>
                    <a:srcRect/>
                    <a:stretch>
                      <a:fillRect/>
                    </a:stretch>
                  </pic:blipFill>
                  <pic:spPr bwMode="auto">
                    <a:xfrm>
                      <a:off x="0" y="0"/>
                      <a:ext cx="5343525" cy="1781175"/>
                    </a:xfrm>
                    <a:prstGeom prst="rect">
                      <a:avLst/>
                    </a:prstGeom>
                    <a:noFill/>
                    <a:ln>
                      <a:noFill/>
                    </a:ln>
                  </pic:spPr>
                </pic:pic>
              </a:graphicData>
            </a:graphic>
          </wp:inline>
        </w:drawing>
      </w:r>
    </w:p>
    <w:p w14:paraId="53E48786" w14:textId="77777777" w:rsidR="00DC6C72" w:rsidRDefault="00DC6C72" w:rsidP="00DC6C72">
      <w:pPr>
        <w:spacing w:after="0" w:line="240" w:lineRule="auto"/>
        <w:jc w:val="center"/>
      </w:pPr>
      <w:r w:rsidRPr="002E26CB">
        <w:t>Tabia et déversoir</w:t>
      </w:r>
    </w:p>
    <w:p w14:paraId="624FA154" w14:textId="77777777" w:rsidR="00DC6C72" w:rsidRDefault="00DC6C72" w:rsidP="002E26CB">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05"/>
        <w:gridCol w:w="4721"/>
      </w:tblGrid>
      <w:tr w:rsidR="002E26CB" w14:paraId="5F6315DA" w14:textId="77777777" w:rsidTr="00DC2D54">
        <w:tc>
          <w:tcPr>
            <w:tcW w:w="5524" w:type="dxa"/>
          </w:tcPr>
          <w:p w14:paraId="2D97878C" w14:textId="77777777" w:rsidR="002E26CB" w:rsidRDefault="002E26CB" w:rsidP="002E26CB">
            <w:pPr>
              <w:jc w:val="center"/>
            </w:pPr>
            <w:r w:rsidRPr="002E26CB">
              <w:rPr>
                <w:noProof/>
              </w:rPr>
              <w:drawing>
                <wp:inline distT="0" distB="0" distL="0" distR="0" wp14:anchorId="79664F09" wp14:editId="64F2F4A5">
                  <wp:extent cx="3500438" cy="2232025"/>
                  <wp:effectExtent l="0" t="0" r="5080" b="0"/>
                  <wp:docPr id="102414" name="Image 14" descr="Meskat4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14" name="Image 14" descr="Meskat4_s.jpg"/>
                          <pic:cNvPicPr>
                            <a:picLocks noChangeAspect="1"/>
                          </pic:cNvPicPr>
                        </pic:nvPicPr>
                        <pic:blipFill>
                          <a:blip r:embed="rId3064">
                            <a:extLst>
                              <a:ext uri="{28A0092B-C50C-407E-A947-70E740481C1C}">
                                <a14:useLocalDpi xmlns:a14="http://schemas.microsoft.com/office/drawing/2010/main" val="0"/>
                              </a:ext>
                            </a:extLst>
                          </a:blip>
                          <a:srcRect/>
                          <a:stretch>
                            <a:fillRect/>
                          </a:stretch>
                        </pic:blipFill>
                        <pic:spPr bwMode="auto">
                          <a:xfrm>
                            <a:off x="0" y="0"/>
                            <a:ext cx="3500438" cy="2232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0B87977" w14:textId="77777777" w:rsidR="002E26CB" w:rsidRDefault="002E26CB" w:rsidP="002E26CB">
            <w:pPr>
              <w:jc w:val="center"/>
            </w:pPr>
            <w:r w:rsidRPr="002E26CB">
              <w:rPr>
                <w:noProof/>
              </w:rPr>
              <w:drawing>
                <wp:inline distT="0" distB="0" distL="0" distR="0" wp14:anchorId="72F52890" wp14:editId="757B8B23">
                  <wp:extent cx="2657475" cy="2062201"/>
                  <wp:effectExtent l="0" t="0" r="0" b="0"/>
                  <wp:docPr id="102412" name="Picture 9" descr="C:\Users\LISAN\Documents\DeveloppementDurable\botanique\irrigation-stockage-eau\images\mesk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12" name="Picture 9" descr="C:\Users\LISAN\Documents\DeveloppementDurable\botanique\irrigation-stockage-eau\images\meskat.jpg"/>
                          <pic:cNvPicPr>
                            <a:picLocks noChangeAspect="1" noChangeArrowheads="1"/>
                          </pic:cNvPicPr>
                        </pic:nvPicPr>
                        <pic:blipFill>
                          <a:blip r:embed="rId3065">
                            <a:extLst>
                              <a:ext uri="{28A0092B-C50C-407E-A947-70E740481C1C}">
                                <a14:useLocalDpi xmlns:a14="http://schemas.microsoft.com/office/drawing/2010/main" val="0"/>
                              </a:ext>
                            </a:extLst>
                          </a:blip>
                          <a:srcRect/>
                          <a:stretch>
                            <a:fillRect/>
                          </a:stretch>
                        </pic:blipFill>
                        <pic:spPr bwMode="auto">
                          <a:xfrm>
                            <a:off x="0" y="0"/>
                            <a:ext cx="2662734" cy="2066282"/>
                          </a:xfrm>
                          <a:prstGeom prst="rect">
                            <a:avLst/>
                          </a:prstGeom>
                          <a:noFill/>
                          <a:ln>
                            <a:noFill/>
                          </a:ln>
                        </pic:spPr>
                      </pic:pic>
                    </a:graphicData>
                  </a:graphic>
                </wp:inline>
              </w:drawing>
            </w:r>
          </w:p>
          <w:p w14:paraId="40DCD7CF" w14:textId="69B0D21A" w:rsidR="002E26CB" w:rsidRDefault="002E26CB" w:rsidP="002E26CB">
            <w:pPr>
              <w:jc w:val="both"/>
            </w:pPr>
            <w:r w:rsidRPr="002E26CB">
              <w:t>Le "</w:t>
            </w:r>
            <w:r w:rsidRPr="002E26CB">
              <w:rPr>
                <w:i/>
                <w:iCs/>
              </w:rPr>
              <w:t>Meskat</w:t>
            </w:r>
            <w:r w:rsidRPr="002E26CB">
              <w:t>", système d'exploitation des eaux de ruissellement: les eaux de ruissellement de la zone de capture ("</w:t>
            </w:r>
            <w:r w:rsidRPr="002E26CB">
              <w:rPr>
                <w:i/>
                <w:iCs/>
              </w:rPr>
              <w:t>Meskat</w:t>
            </w:r>
            <w:r w:rsidRPr="002E26CB">
              <w:t>") s'infiltre dans les terrasses de culture ("</w:t>
            </w:r>
            <w:r w:rsidRPr="002E26CB">
              <w:rPr>
                <w:i/>
                <w:iCs/>
              </w:rPr>
              <w:t>Mankaa</w:t>
            </w:r>
            <w:r w:rsidRPr="002E26CB">
              <w:t>").</w:t>
            </w:r>
          </w:p>
        </w:tc>
        <w:tc>
          <w:tcPr>
            <w:tcW w:w="4892" w:type="dxa"/>
          </w:tcPr>
          <w:p w14:paraId="25233C21" w14:textId="2E024060" w:rsidR="002E26CB" w:rsidRDefault="00DC6C72" w:rsidP="002E26CB">
            <w:pPr>
              <w:jc w:val="center"/>
            </w:pPr>
            <w:r>
              <w:rPr>
                <w:noProof/>
              </w:rPr>
              <w:drawing>
                <wp:inline distT="0" distB="0" distL="0" distR="0" wp14:anchorId="4E7BFDC3" wp14:editId="3E8FCEED">
                  <wp:extent cx="2876550" cy="4333875"/>
                  <wp:effectExtent l="0" t="0" r="0" b="9525"/>
                  <wp:docPr id="94237" name="Image 94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66">
                            <a:extLst>
                              <a:ext uri="{28A0092B-C50C-407E-A947-70E740481C1C}">
                                <a14:useLocalDpi xmlns:a14="http://schemas.microsoft.com/office/drawing/2010/main" val="0"/>
                              </a:ext>
                            </a:extLst>
                          </a:blip>
                          <a:srcRect/>
                          <a:stretch>
                            <a:fillRect/>
                          </a:stretch>
                        </pic:blipFill>
                        <pic:spPr bwMode="auto">
                          <a:xfrm>
                            <a:off x="0" y="0"/>
                            <a:ext cx="2876550" cy="4333875"/>
                          </a:xfrm>
                          <a:prstGeom prst="rect">
                            <a:avLst/>
                          </a:prstGeom>
                          <a:noFill/>
                          <a:ln>
                            <a:noFill/>
                          </a:ln>
                        </pic:spPr>
                      </pic:pic>
                    </a:graphicData>
                  </a:graphic>
                </wp:inline>
              </w:drawing>
            </w:r>
          </w:p>
          <w:p w14:paraId="735001D4" w14:textId="14B4EF82" w:rsidR="002E26CB" w:rsidRDefault="002E26CB" w:rsidP="002E26CB">
            <w:pPr>
              <w:jc w:val="center"/>
            </w:pPr>
            <w:r>
              <w:t xml:space="preserve">a) </w:t>
            </w:r>
            <w:r w:rsidRPr="002E26CB">
              <w:t>Exutoire en pierre</w:t>
            </w:r>
            <w:r>
              <w:t xml:space="preserve">, b) </w:t>
            </w:r>
            <w:r w:rsidRPr="002E26CB">
              <w:t>Petit muret de pierre pour retenir l'eau</w:t>
            </w:r>
            <w:r>
              <w:t>.</w:t>
            </w:r>
          </w:p>
        </w:tc>
      </w:tr>
    </w:tbl>
    <w:p w14:paraId="16F05CED" w14:textId="674A14B4" w:rsidR="002E26CB" w:rsidRDefault="002E26CB" w:rsidP="002E26CB">
      <w:pPr>
        <w:spacing w:after="0" w:line="240" w:lineRule="auto"/>
      </w:pPr>
    </w:p>
    <w:p w14:paraId="20091D43" w14:textId="7FD64B1A" w:rsidR="00DC6C72" w:rsidRDefault="00DC2D54" w:rsidP="00DC2D54">
      <w:pPr>
        <w:spacing w:after="0" w:line="240" w:lineRule="auto"/>
        <w:jc w:val="center"/>
      </w:pPr>
      <w:r w:rsidRPr="00DC2D54">
        <w:rPr>
          <w:noProof/>
        </w:rPr>
        <w:drawing>
          <wp:inline distT="0" distB="0" distL="0" distR="0" wp14:anchorId="14D8E2E8" wp14:editId="5F85919B">
            <wp:extent cx="4495800" cy="3476625"/>
            <wp:effectExtent l="0" t="0" r="0" b="9525"/>
            <wp:docPr id="103426" name="Picture 3" descr="C:\Users\LISAN\Documents\DeveloppementDurable\botanique\irrigation-stockage-eau\images\Constitution and operating of the Meskat system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26" name="Picture 3" descr="C:\Users\LISAN\Documents\DeveloppementDurable\botanique\irrigation-stockage-eau\images\Constitution and operating of the Meskat system_s.jpg"/>
                    <pic:cNvPicPr>
                      <a:picLocks noChangeAspect="1" noChangeArrowheads="1"/>
                    </pic:cNvPicPr>
                  </pic:nvPicPr>
                  <pic:blipFill>
                    <a:blip r:embed="rId3067">
                      <a:extLst>
                        <a:ext uri="{28A0092B-C50C-407E-A947-70E740481C1C}">
                          <a14:useLocalDpi xmlns:a14="http://schemas.microsoft.com/office/drawing/2010/main" val="0"/>
                        </a:ext>
                      </a:extLst>
                    </a:blip>
                    <a:srcRect/>
                    <a:stretch>
                      <a:fillRect/>
                    </a:stretch>
                  </pic:blipFill>
                  <pic:spPr bwMode="auto">
                    <a:xfrm>
                      <a:off x="0" y="0"/>
                      <a:ext cx="4495800" cy="3476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00"/>
        <w:gridCol w:w="2826"/>
      </w:tblGrid>
      <w:tr w:rsidR="00DC2D54" w14:paraId="0EA4899C" w14:textId="77777777" w:rsidTr="00DC2D54">
        <w:tc>
          <w:tcPr>
            <w:tcW w:w="7650" w:type="dxa"/>
          </w:tcPr>
          <w:p w14:paraId="76B3787A" w14:textId="77777777" w:rsidR="00DC2D54" w:rsidRDefault="00DC2D54" w:rsidP="00DC2D54">
            <w:pPr>
              <w:jc w:val="center"/>
            </w:pPr>
            <w:r w:rsidRPr="00DC2D54">
              <w:rPr>
                <w:noProof/>
              </w:rPr>
              <w:lastRenderedPageBreak/>
              <w:drawing>
                <wp:inline distT="0" distB="0" distL="0" distR="0" wp14:anchorId="69B54B64" wp14:editId="6B1A35AF">
                  <wp:extent cx="4105275" cy="3238500"/>
                  <wp:effectExtent l="0" t="0" r="9525" b="0"/>
                  <wp:docPr id="103427" name="Picture 5" descr="C:\Users\LISAN\Documents\DeveloppementDurable\botanique\irrigation-stockage-eau\images\composants du meskat system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27" name="Picture 5" descr="C:\Users\LISAN\Documents\DeveloppementDurable\botanique\irrigation-stockage-eau\images\composants du meskat system_s.jpg"/>
                          <pic:cNvPicPr>
                            <a:picLocks noChangeAspect="1" noChangeArrowheads="1"/>
                          </pic:cNvPicPr>
                        </pic:nvPicPr>
                        <pic:blipFill>
                          <a:blip r:embed="rId3068">
                            <a:extLst>
                              <a:ext uri="{28A0092B-C50C-407E-A947-70E740481C1C}">
                                <a14:useLocalDpi xmlns:a14="http://schemas.microsoft.com/office/drawing/2010/main" val="0"/>
                              </a:ext>
                            </a:extLst>
                          </a:blip>
                          <a:srcRect/>
                          <a:stretch>
                            <a:fillRect/>
                          </a:stretch>
                        </pic:blipFill>
                        <pic:spPr bwMode="auto">
                          <a:xfrm>
                            <a:off x="0" y="0"/>
                            <a:ext cx="4105275" cy="3238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CBA275D" w14:textId="51F31D2F" w:rsidR="00A95DE0" w:rsidRDefault="00A95DE0" w:rsidP="00DC2D54">
            <w:pPr>
              <w:jc w:val="center"/>
            </w:pPr>
          </w:p>
        </w:tc>
        <w:tc>
          <w:tcPr>
            <w:tcW w:w="2766" w:type="dxa"/>
          </w:tcPr>
          <w:p w14:paraId="0EB101F3" w14:textId="77777777" w:rsidR="00DC2D54" w:rsidRDefault="00DC2D54" w:rsidP="00DC2D54">
            <w:pPr>
              <w:jc w:val="center"/>
            </w:pPr>
            <w:r w:rsidRPr="00DC2D54">
              <w:rPr>
                <w:noProof/>
              </w:rPr>
              <w:drawing>
                <wp:inline distT="0" distB="0" distL="0" distR="0" wp14:anchorId="744251DC" wp14:editId="2F4B58B0">
                  <wp:extent cx="1652587" cy="1193800"/>
                  <wp:effectExtent l="0" t="0" r="5080" b="6350"/>
                  <wp:docPr id="101382" name="Picture 7" descr="C:\Users\LISAN\Documents\DeveloppementDurable\botanique\irrigation-stockage-eau\images\A meskat system supporting olive plant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82" name="Picture 7" descr="C:\Users\LISAN\Documents\DeveloppementDurable\botanique\irrigation-stockage-eau\images\A meskat system supporting olive plantation.jpg"/>
                          <pic:cNvPicPr>
                            <a:picLocks noChangeAspect="1" noChangeArrowheads="1"/>
                          </pic:cNvPicPr>
                        </pic:nvPicPr>
                        <pic:blipFill>
                          <a:blip r:embed="rId3069">
                            <a:extLst>
                              <a:ext uri="{28A0092B-C50C-407E-A947-70E740481C1C}">
                                <a14:useLocalDpi xmlns:a14="http://schemas.microsoft.com/office/drawing/2010/main" val="0"/>
                              </a:ext>
                            </a:extLst>
                          </a:blip>
                          <a:srcRect/>
                          <a:stretch>
                            <a:fillRect/>
                          </a:stretch>
                        </pic:blipFill>
                        <pic:spPr bwMode="auto">
                          <a:xfrm>
                            <a:off x="0" y="0"/>
                            <a:ext cx="1652587" cy="1193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C84D321" w14:textId="63876910" w:rsidR="00DC2D54" w:rsidRDefault="00DC2D54" w:rsidP="00DC2D54">
            <w:pPr>
              <w:jc w:val="both"/>
            </w:pPr>
            <w:r>
              <w:t>S</w:t>
            </w:r>
            <w:r w:rsidRPr="00DC2D54">
              <w:t>ystème meskat supportant une plantation d’oliviers</w:t>
            </w:r>
            <w:r>
              <w:t>.</w:t>
            </w:r>
          </w:p>
        </w:tc>
      </w:tr>
    </w:tbl>
    <w:p w14:paraId="326B36A1" w14:textId="149A0D01" w:rsidR="001431AA" w:rsidRDefault="001431AA" w:rsidP="001431AA">
      <w:pPr>
        <w:spacing w:after="0" w:line="240" w:lineRule="auto"/>
        <w:jc w:val="center"/>
      </w:pPr>
      <w:r>
        <w:rPr>
          <w:noProof/>
        </w:rPr>
        <w:drawing>
          <wp:inline distT="0" distB="0" distL="0" distR="0" wp14:anchorId="32F19A25" wp14:editId="198D8ECA">
            <wp:extent cx="5505450" cy="3432083"/>
            <wp:effectExtent l="0" t="0" r="0" b="0"/>
            <wp:docPr id="132096" name="Image 132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0"/>
                    <a:stretch>
                      <a:fillRect/>
                    </a:stretch>
                  </pic:blipFill>
                  <pic:spPr>
                    <a:xfrm>
                      <a:off x="0" y="0"/>
                      <a:ext cx="5514699" cy="3437849"/>
                    </a:xfrm>
                    <a:prstGeom prst="rect">
                      <a:avLst/>
                    </a:prstGeom>
                  </pic:spPr>
                </pic:pic>
              </a:graphicData>
            </a:graphic>
          </wp:inline>
        </w:drawing>
      </w:r>
    </w:p>
    <w:p w14:paraId="5713D58D" w14:textId="77777777" w:rsidR="001431AA" w:rsidRDefault="001431AA" w:rsidP="001431AA">
      <w:pPr>
        <w:pStyle w:val="NormalWeb"/>
        <w:spacing w:before="0" w:beforeAutospacing="0" w:after="0" w:afterAutospacing="0"/>
        <w:textAlignment w:val="baseline"/>
        <w:rPr>
          <w:rFonts w:ascii="Calibri" w:eastAsia="+mn-ea" w:hAnsi="Calibri" w:cs="Calibri"/>
          <w:kern w:val="24"/>
          <w:sz w:val="22"/>
          <w:szCs w:val="22"/>
        </w:rPr>
      </w:pPr>
      <w:r w:rsidRPr="00A948B1">
        <w:rPr>
          <w:rFonts w:ascii="Calibri" w:eastAsia="+mn-ea" w:hAnsi="Calibri" w:cs="Calibri"/>
          <w:kern w:val="24"/>
          <w:sz w:val="22"/>
          <w:szCs w:val="22"/>
        </w:rPr>
        <w:t>Légende :</w:t>
      </w:r>
    </w:p>
    <w:p w14:paraId="2EF45B17" w14:textId="1C9C3420" w:rsidR="001431AA" w:rsidRPr="00A948B1" w:rsidRDefault="001431AA" w:rsidP="001431AA">
      <w:pPr>
        <w:pStyle w:val="NormalWeb"/>
        <w:spacing w:before="0" w:beforeAutospacing="0" w:after="0" w:afterAutospacing="0"/>
        <w:textAlignment w:val="baseline"/>
        <w:rPr>
          <w:rFonts w:ascii="Calibri" w:hAnsi="Calibri" w:cs="Calibri"/>
          <w:sz w:val="22"/>
          <w:szCs w:val="22"/>
        </w:rPr>
      </w:pPr>
    </w:p>
    <w:p w14:paraId="6F57452A" w14:textId="1C330828" w:rsidR="001431AA" w:rsidRPr="00A948B1" w:rsidRDefault="001431AA" w:rsidP="001431AA">
      <w:pPr>
        <w:pStyle w:val="NormalWeb"/>
        <w:numPr>
          <w:ilvl w:val="0"/>
          <w:numId w:val="1"/>
        </w:numPr>
        <w:spacing w:before="0" w:beforeAutospacing="0" w:after="0" w:afterAutospacing="0"/>
        <w:textAlignment w:val="baseline"/>
        <w:rPr>
          <w:rFonts w:ascii="Calibri" w:hAnsi="Calibri" w:cs="Calibri"/>
          <w:sz w:val="22"/>
          <w:szCs w:val="22"/>
        </w:rPr>
      </w:pPr>
      <w:r w:rsidRPr="00A948B1">
        <w:rPr>
          <w:rFonts w:ascii="Calibri" w:eastAsia="+mn-ea" w:hAnsi="Calibri" w:cs="Calibri"/>
          <w:kern w:val="24"/>
          <w:sz w:val="22"/>
          <w:szCs w:val="22"/>
        </w:rPr>
        <w:t>Impluvium surpâturé</w:t>
      </w:r>
    </w:p>
    <w:p w14:paraId="020544DD" w14:textId="77777777" w:rsidR="001431AA" w:rsidRPr="00A948B1" w:rsidRDefault="001431AA" w:rsidP="001431AA">
      <w:pPr>
        <w:pStyle w:val="NormalWeb"/>
        <w:numPr>
          <w:ilvl w:val="0"/>
          <w:numId w:val="1"/>
        </w:numPr>
        <w:spacing w:before="0" w:beforeAutospacing="0" w:after="0" w:afterAutospacing="0"/>
        <w:textAlignment w:val="baseline"/>
        <w:rPr>
          <w:rFonts w:ascii="Calibri" w:hAnsi="Calibri" w:cs="Calibri"/>
          <w:sz w:val="22"/>
          <w:szCs w:val="22"/>
        </w:rPr>
      </w:pPr>
      <w:r w:rsidRPr="00A948B1">
        <w:rPr>
          <w:rFonts w:ascii="Calibri" w:eastAsia="+mn-ea" w:hAnsi="Calibri" w:cs="Calibri"/>
          <w:kern w:val="24"/>
          <w:sz w:val="22"/>
          <w:szCs w:val="22"/>
        </w:rPr>
        <w:t>Ruissellement</w:t>
      </w:r>
    </w:p>
    <w:p w14:paraId="1F2F7547" w14:textId="090F9AEE" w:rsidR="001431AA" w:rsidRPr="00A948B1" w:rsidRDefault="001431AA" w:rsidP="001431AA">
      <w:pPr>
        <w:pStyle w:val="NormalWeb"/>
        <w:numPr>
          <w:ilvl w:val="0"/>
          <w:numId w:val="1"/>
        </w:numPr>
        <w:spacing w:before="0" w:beforeAutospacing="0" w:after="0" w:afterAutospacing="0"/>
        <w:textAlignment w:val="baseline"/>
        <w:rPr>
          <w:rFonts w:ascii="Calibri" w:hAnsi="Calibri" w:cs="Calibri"/>
          <w:sz w:val="22"/>
          <w:szCs w:val="22"/>
        </w:rPr>
      </w:pPr>
      <w:r w:rsidRPr="00A948B1">
        <w:rPr>
          <w:rFonts w:ascii="Calibri" w:eastAsia="+mn-ea" w:hAnsi="Calibri" w:cs="Calibri"/>
          <w:kern w:val="24"/>
          <w:sz w:val="22"/>
          <w:szCs w:val="22"/>
        </w:rPr>
        <w:t>Talus enherbé</w:t>
      </w:r>
    </w:p>
    <w:p w14:paraId="7AB2F7F6" w14:textId="0616E116" w:rsidR="001431AA" w:rsidRPr="00A948B1" w:rsidRDefault="001431AA" w:rsidP="001431AA">
      <w:pPr>
        <w:pStyle w:val="NormalWeb"/>
        <w:numPr>
          <w:ilvl w:val="0"/>
          <w:numId w:val="1"/>
        </w:numPr>
        <w:spacing w:before="0" w:beforeAutospacing="0" w:after="0" w:afterAutospacing="0"/>
        <w:textAlignment w:val="baseline"/>
        <w:rPr>
          <w:rFonts w:ascii="Calibri" w:hAnsi="Calibri" w:cs="Calibri"/>
          <w:sz w:val="22"/>
          <w:szCs w:val="22"/>
        </w:rPr>
      </w:pPr>
      <w:r w:rsidRPr="00A948B1">
        <w:rPr>
          <w:rFonts w:ascii="Calibri" w:eastAsia="+mn-ea" w:hAnsi="Calibri" w:cs="Calibri"/>
          <w:kern w:val="24"/>
          <w:sz w:val="22"/>
          <w:szCs w:val="22"/>
        </w:rPr>
        <w:t>Tabia (levée de terre)</w:t>
      </w:r>
    </w:p>
    <w:p w14:paraId="3EDFA109" w14:textId="6C7A9523" w:rsidR="001431AA" w:rsidRPr="00A948B1" w:rsidRDefault="001431AA" w:rsidP="001431AA">
      <w:pPr>
        <w:pStyle w:val="NormalWeb"/>
        <w:numPr>
          <w:ilvl w:val="0"/>
          <w:numId w:val="1"/>
        </w:numPr>
        <w:spacing w:before="0" w:beforeAutospacing="0" w:after="0" w:afterAutospacing="0"/>
        <w:textAlignment w:val="baseline"/>
        <w:rPr>
          <w:rFonts w:ascii="Calibri" w:hAnsi="Calibri" w:cs="Calibri"/>
          <w:sz w:val="22"/>
          <w:szCs w:val="22"/>
        </w:rPr>
      </w:pPr>
      <w:r w:rsidRPr="00A948B1">
        <w:rPr>
          <w:rFonts w:ascii="Calibri" w:eastAsia="+mn-ea" w:hAnsi="Calibri" w:cs="Calibri"/>
          <w:kern w:val="24"/>
          <w:sz w:val="22"/>
          <w:szCs w:val="22"/>
        </w:rPr>
        <w:t>Oliviers</w:t>
      </w:r>
    </w:p>
    <w:p w14:paraId="2431BC19" w14:textId="0D3B7DD0" w:rsidR="001431AA" w:rsidRPr="00A948B1" w:rsidRDefault="001431AA" w:rsidP="001431AA">
      <w:pPr>
        <w:pStyle w:val="NormalWeb"/>
        <w:numPr>
          <w:ilvl w:val="0"/>
          <w:numId w:val="1"/>
        </w:numPr>
        <w:spacing w:before="0" w:beforeAutospacing="0" w:after="0" w:afterAutospacing="0"/>
        <w:textAlignment w:val="baseline"/>
        <w:rPr>
          <w:rFonts w:ascii="Calibri" w:hAnsi="Calibri" w:cs="Calibri"/>
          <w:sz w:val="22"/>
          <w:szCs w:val="22"/>
        </w:rPr>
      </w:pPr>
      <w:r w:rsidRPr="00A948B1">
        <w:rPr>
          <w:rFonts w:ascii="Calibri" w:eastAsia="+mn-ea" w:hAnsi="Calibri" w:cs="Calibri"/>
          <w:kern w:val="24"/>
          <w:sz w:val="22"/>
          <w:szCs w:val="22"/>
        </w:rPr>
        <w:t>Cuvettes reliées</w:t>
      </w:r>
    </w:p>
    <w:p w14:paraId="2309DF27" w14:textId="77777777" w:rsidR="001431AA" w:rsidRPr="00A948B1" w:rsidRDefault="001431AA" w:rsidP="001431AA">
      <w:pPr>
        <w:pStyle w:val="NormalWeb"/>
        <w:numPr>
          <w:ilvl w:val="0"/>
          <w:numId w:val="1"/>
        </w:numPr>
        <w:spacing w:before="0" w:beforeAutospacing="0" w:after="0" w:afterAutospacing="0"/>
        <w:textAlignment w:val="baseline"/>
        <w:rPr>
          <w:rFonts w:ascii="Calibri" w:hAnsi="Calibri" w:cs="Calibri"/>
          <w:sz w:val="22"/>
          <w:szCs w:val="22"/>
        </w:rPr>
      </w:pPr>
      <w:r w:rsidRPr="00A948B1">
        <w:rPr>
          <w:rFonts w:ascii="Calibri" w:eastAsia="+mn-ea" w:hAnsi="Calibri" w:cs="Calibri"/>
          <w:kern w:val="24"/>
          <w:sz w:val="22"/>
          <w:szCs w:val="22"/>
        </w:rPr>
        <w:t>Manka</w:t>
      </w:r>
    </w:p>
    <w:p w14:paraId="4CC2AD5D" w14:textId="66AB9407" w:rsidR="001431AA" w:rsidRDefault="001431AA" w:rsidP="001431AA">
      <w:pPr>
        <w:spacing w:after="0" w:line="240" w:lineRule="auto"/>
      </w:pPr>
    </w:p>
    <w:p w14:paraId="6B279038" w14:textId="3BB6B595" w:rsidR="00DC2D54" w:rsidRDefault="00DC2D54" w:rsidP="00DC2D54">
      <w:pPr>
        <w:spacing w:after="0" w:line="240" w:lineRule="auto"/>
        <w:jc w:val="center"/>
      </w:pPr>
      <w:r w:rsidRPr="00DC2D54">
        <w:rPr>
          <w:noProof/>
        </w:rPr>
        <w:lastRenderedPageBreak/>
        <w:drawing>
          <wp:inline distT="0" distB="0" distL="0" distR="0" wp14:anchorId="1FFF2CD6" wp14:editId="1B67D2E7">
            <wp:extent cx="6003925" cy="4741862"/>
            <wp:effectExtent l="0" t="0" r="0" b="1905"/>
            <wp:docPr id="104454" name="Image 8" descr="Meskat1 suit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54" name="Image 8" descr="Meskat1 suite_s.jpg"/>
                    <pic:cNvPicPr>
                      <a:picLocks noChangeAspect="1"/>
                    </pic:cNvPicPr>
                  </pic:nvPicPr>
                  <pic:blipFill>
                    <a:blip r:embed="rId3071">
                      <a:extLst>
                        <a:ext uri="{28A0092B-C50C-407E-A947-70E740481C1C}">
                          <a14:useLocalDpi xmlns:a14="http://schemas.microsoft.com/office/drawing/2010/main" val="0"/>
                        </a:ext>
                      </a:extLst>
                    </a:blip>
                    <a:srcRect/>
                    <a:stretch>
                      <a:fillRect/>
                    </a:stretch>
                  </pic:blipFill>
                  <pic:spPr bwMode="auto">
                    <a:xfrm>
                      <a:off x="0" y="0"/>
                      <a:ext cx="6003925" cy="47418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6"/>
        <w:gridCol w:w="6310"/>
      </w:tblGrid>
      <w:tr w:rsidR="00DC2D54" w14:paraId="20F3C772" w14:textId="77777777" w:rsidTr="00390744">
        <w:tc>
          <w:tcPr>
            <w:tcW w:w="4106" w:type="dxa"/>
          </w:tcPr>
          <w:p w14:paraId="5139EE42" w14:textId="77777777" w:rsidR="00A95DE0" w:rsidRDefault="00A95DE0" w:rsidP="00DC2D54">
            <w:pPr>
              <w:rPr>
                <w:b/>
                <w:bCs/>
              </w:rPr>
            </w:pPr>
          </w:p>
          <w:p w14:paraId="04CC048F" w14:textId="5E21C971" w:rsidR="00DC2D54" w:rsidRDefault="00DC2D54" w:rsidP="00DC2D54">
            <w:r w:rsidRPr="00DC2D54">
              <w:rPr>
                <w:b/>
                <w:bCs/>
              </w:rPr>
              <w:t xml:space="preserve">La diversion des eaux de ruissellement: principes, pratique et inconvénients </w:t>
            </w:r>
            <w:r w:rsidRPr="00DC2D54">
              <w:t>:</w:t>
            </w:r>
          </w:p>
          <w:p w14:paraId="07B2B6D9" w14:textId="77777777" w:rsidR="00390744" w:rsidRPr="00DC2D54" w:rsidRDefault="00390744" w:rsidP="00DC2D54"/>
          <w:p w14:paraId="21D7A17E" w14:textId="77777777" w:rsidR="00DC2D54" w:rsidRPr="00DC2D54" w:rsidRDefault="00DC2D54" w:rsidP="00DC2D54">
            <w:r w:rsidRPr="00DC2D54">
              <w:rPr>
                <w:b/>
                <w:bCs/>
              </w:rPr>
              <w:t>L'érosion est fonction de :</w:t>
            </w:r>
          </w:p>
          <w:p w14:paraId="685B1372" w14:textId="77777777" w:rsidR="00DC2D54" w:rsidRPr="00DC2D54" w:rsidRDefault="00DC2D54" w:rsidP="00DC2D54">
            <w:r w:rsidRPr="00DC2D54">
              <w:t>- l'énergie des pluies (constante tout le long de la pente)</w:t>
            </w:r>
            <w:r w:rsidRPr="00DC2D54">
              <w:br/>
              <w:t>- l'énergie du ruissellement (qui croît avec la pente (MV</w:t>
            </w:r>
            <w:r w:rsidRPr="00DC2D54">
              <w:rPr>
                <w:vertAlign w:val="superscript"/>
              </w:rPr>
              <w:t>2</w:t>
            </w:r>
            <w:r w:rsidRPr="00DC2D54">
              <w:t>)/2. E = f (longueur</w:t>
            </w:r>
            <w:r w:rsidRPr="00DC2D54">
              <w:rPr>
                <w:vertAlign w:val="superscript"/>
              </w:rPr>
              <w:t>n</w:t>
            </w:r>
            <w:r w:rsidRPr="00DC2D54">
              <w:t> x pente)</w:t>
            </w:r>
            <w:r w:rsidRPr="00DC2D54">
              <w:rPr>
                <w:vertAlign w:val="superscript"/>
              </w:rPr>
              <w:t>m</w:t>
            </w:r>
          </w:p>
          <w:p w14:paraId="7908C966" w14:textId="77777777" w:rsidR="00390744" w:rsidRDefault="00390744" w:rsidP="00DC2D54"/>
          <w:p w14:paraId="0905F0DB" w14:textId="6E1D6717" w:rsidR="00DC2D54" w:rsidRPr="00DC2D54" w:rsidRDefault="00DC2D54" w:rsidP="00DC2D54">
            <w:r w:rsidRPr="00DC2D54">
              <w:rPr>
                <w:b/>
                <w:bCs/>
              </w:rPr>
              <w:t>Les banquettes :</w:t>
            </w:r>
          </w:p>
          <w:p w14:paraId="65F94FA5" w14:textId="25861730" w:rsidR="00DC2D54" w:rsidRDefault="00DC2D54" w:rsidP="00DC2D54">
            <w:r w:rsidRPr="00DC2D54">
              <w:t>- peuvent évacuer l'énergie du ruissellement accumulée</w:t>
            </w:r>
            <w:r w:rsidRPr="00DC2D54">
              <w:br/>
              <w:t>- ne peuvent pas réduire l'énergie des pluies ni la dégradation du sol</w:t>
            </w:r>
          </w:p>
        </w:tc>
        <w:tc>
          <w:tcPr>
            <w:tcW w:w="6310" w:type="dxa"/>
          </w:tcPr>
          <w:p w14:paraId="2B6158DF" w14:textId="77777777" w:rsidR="00DC2D54" w:rsidRPr="00DC2D54" w:rsidRDefault="00DC2D54" w:rsidP="00DC2D54">
            <w:r w:rsidRPr="00DC2D54">
              <w:rPr>
                <w:b/>
                <w:bCs/>
              </w:rPr>
              <w:t>Iconvénients</w:t>
            </w:r>
            <w:r w:rsidRPr="00DC2D54">
              <w:t xml:space="preserve">: </w:t>
            </w:r>
          </w:p>
          <w:p w14:paraId="509B3236" w14:textId="77777777" w:rsidR="00DC2D54" w:rsidRPr="00DC2D54" w:rsidRDefault="00DC2D54" w:rsidP="00DC2D54">
            <w:r w:rsidRPr="00DC2D54">
              <w:t>1. Nécessité d'équipes de topographes experts (coût élevé)</w:t>
            </w:r>
            <w:r w:rsidRPr="00DC2D54">
              <w:br/>
              <w:t>2. Important travail d'installation et d'entretien d'où généralement;</w:t>
            </w:r>
          </w:p>
          <w:p w14:paraId="6CE21B3B" w14:textId="77777777" w:rsidR="00DC2D54" w:rsidRPr="00DC2D54" w:rsidRDefault="00DC2D54" w:rsidP="00DC2D54">
            <w:r w:rsidRPr="00DC2D54">
              <w:t>• digues non protégées</w:t>
            </w:r>
            <w:r w:rsidRPr="00DC2D54">
              <w:br/>
              <w:t>• canaux encombrés de sédiments</w:t>
            </w:r>
            <w:r w:rsidRPr="00DC2D54">
              <w:br/>
              <w:t>• exutoires non enherbés ni protégés (surcreusés ou ensablés)</w:t>
            </w:r>
          </w:p>
          <w:p w14:paraId="393B8991" w14:textId="77777777" w:rsidR="00DC2D54" w:rsidRPr="00DC2D54" w:rsidRDefault="00DC2D54" w:rsidP="00DC2D54">
            <w:r w:rsidRPr="00DC2D54">
              <w:t>3. Perte de 5 à 15 % de la surface cultivée sans augmentation de rendement.</w:t>
            </w:r>
            <w:r w:rsidRPr="00DC2D54">
              <w:br/>
              <w:t>4. Perte d'eau et nutriments pour les champs cultivés en aval.</w:t>
            </w:r>
            <w:r w:rsidRPr="00DC2D54">
              <w:br/>
              <w:t>5. L'aménagement doit rompre s'il advient une pluie de fréquence inférieure à 1/10.</w:t>
            </w:r>
            <w:r w:rsidRPr="00DC2D54">
              <w:br/>
              <w:t>6. Variation de largeur des champs cultivés (mécanisation difficile).</w:t>
            </w:r>
            <w:r w:rsidRPr="00DC2D54">
              <w:br/>
              <w:t>7. N'arrête pas l'érosion en nappe ni la dégradation.</w:t>
            </w:r>
            <w:r w:rsidRPr="00DC2D54">
              <w:br/>
              <w:t>8. Finalement, risques graves de ravinement s'il y a rupture des digues (1 fois en 4 à 10 ans).</w:t>
            </w:r>
            <w:r w:rsidRPr="00DC2D54">
              <w:br/>
              <w:t>9. Accélération du temps de concentration des eaux:</w:t>
            </w:r>
          </w:p>
          <w:p w14:paraId="2871631B" w14:textId="4CBBB6ED" w:rsidR="00DC2D54" w:rsidRDefault="00DC2D54" w:rsidP="00DC2D54">
            <w:r w:rsidRPr="00DC2D54">
              <w:t>• gros débits de pointe</w:t>
            </w:r>
            <w:r w:rsidRPr="00DC2D54">
              <w:br/>
              <w:t>• érosion marigots</w:t>
            </w:r>
            <w:r w:rsidRPr="00DC2D54">
              <w:br/>
              <w:t>• ravinement régressif</w:t>
            </w:r>
          </w:p>
        </w:tc>
      </w:tr>
    </w:tbl>
    <w:p w14:paraId="712739A7" w14:textId="77777777" w:rsidR="00A95DE0" w:rsidRDefault="00A95DE0" w:rsidP="00DC2D54">
      <w:pPr>
        <w:spacing w:after="0" w:line="240" w:lineRule="auto"/>
        <w:jc w:val="center"/>
      </w:pPr>
    </w:p>
    <w:p w14:paraId="63F1A27A" w14:textId="7A0FC9B6" w:rsidR="00DC2D54" w:rsidRDefault="00DC2D54" w:rsidP="00DC2D54">
      <w:pPr>
        <w:spacing w:after="0" w:line="240" w:lineRule="auto"/>
        <w:jc w:val="center"/>
      </w:pPr>
      <w:r w:rsidRPr="00DC2D54">
        <w:t>La diversion des eaux de ruissellement</w:t>
      </w:r>
      <w:r w:rsidR="00390744">
        <w:rPr>
          <w:rStyle w:val="Appelnotedebasdep"/>
        </w:rPr>
        <w:footnoteReference w:id="164"/>
      </w:r>
      <w:r w:rsidRPr="00DC2D54">
        <w:t>.</w:t>
      </w:r>
    </w:p>
    <w:p w14:paraId="4ABA506A" w14:textId="48BA50AA" w:rsidR="00E6174F" w:rsidRDefault="00E6174F" w:rsidP="00E6174F">
      <w:pPr>
        <w:pStyle w:val="Titre2"/>
      </w:pPr>
      <w:bookmarkStart w:id="231" w:name="_Toc139181522"/>
      <w:r w:rsidRPr="00E6174F">
        <w:lastRenderedPageBreak/>
        <w:t>Foggara, khettara, qanat</w:t>
      </w:r>
      <w:bookmarkEnd w:id="231"/>
    </w:p>
    <w:p w14:paraId="229A3AB2" w14:textId="2EB5580F" w:rsidR="00E6174F" w:rsidRDefault="00E6174F" w:rsidP="00E6174F">
      <w:pPr>
        <w:spacing w:after="0" w:line="240" w:lineRule="auto"/>
      </w:pPr>
    </w:p>
    <w:p w14:paraId="7E000A2B" w14:textId="6A978191" w:rsidR="00E6174F" w:rsidRDefault="00E6174F" w:rsidP="00E6174F">
      <w:pPr>
        <w:spacing w:after="0" w:line="240" w:lineRule="auto"/>
        <w:jc w:val="center"/>
      </w:pPr>
      <w:r w:rsidRPr="00E6174F">
        <w:rPr>
          <w:noProof/>
        </w:rPr>
        <w:drawing>
          <wp:inline distT="0" distB="0" distL="0" distR="0" wp14:anchorId="51527E67" wp14:editId="59343AA3">
            <wp:extent cx="5704185" cy="3390900"/>
            <wp:effectExtent l="0" t="0" r="0" b="0"/>
            <wp:docPr id="101407"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6"/>
                    <pic:cNvPicPr>
                      <a:picLocks noChangeAspect="1"/>
                    </pic:cNvPicPr>
                  </pic:nvPicPr>
                  <pic:blipFill>
                    <a:blip r:embed="rId3072">
                      <a:extLst>
                        <a:ext uri="{28A0092B-C50C-407E-A947-70E740481C1C}">
                          <a14:useLocalDpi xmlns:a14="http://schemas.microsoft.com/office/drawing/2010/main" val="0"/>
                        </a:ext>
                      </a:extLst>
                    </a:blip>
                    <a:stretch>
                      <a:fillRect/>
                    </a:stretch>
                  </pic:blipFill>
                  <pic:spPr>
                    <a:xfrm>
                      <a:off x="0" y="0"/>
                      <a:ext cx="5710848" cy="3394861"/>
                    </a:xfrm>
                    <a:prstGeom prst="rect">
                      <a:avLst/>
                    </a:prstGeom>
                  </pic:spPr>
                </pic:pic>
              </a:graphicData>
            </a:graphic>
          </wp:inline>
        </w:drawing>
      </w:r>
    </w:p>
    <w:p w14:paraId="3CBA7670" w14:textId="77777777" w:rsidR="00E6174F" w:rsidRDefault="00E6174F" w:rsidP="00E6174F">
      <w:pPr>
        <w:spacing w:after="0" w:line="240" w:lineRule="auto"/>
      </w:pPr>
    </w:p>
    <w:p w14:paraId="1FFF4FF1" w14:textId="1BCA1654" w:rsidR="00E6174F" w:rsidRPr="00314B2D" w:rsidRDefault="00314B2D" w:rsidP="00314B2D">
      <w:pPr>
        <w:spacing w:after="0" w:line="240" w:lineRule="auto"/>
        <w:jc w:val="both"/>
        <w:rPr>
          <w:rFonts w:ascii="Calibri" w:hAnsi="Calibri" w:cs="Calibri"/>
        </w:rPr>
      </w:pPr>
      <w:r w:rsidRPr="00314B2D">
        <w:rPr>
          <w:rFonts w:ascii="Calibri" w:hAnsi="Calibri" w:cs="Calibri"/>
          <w:color w:val="000000" w:themeColor="text1"/>
          <w:sz w:val="21"/>
          <w:szCs w:val="21"/>
          <w:shd w:val="clear" w:color="auto" w:fill="FFFFFF"/>
        </w:rPr>
        <w:t>Les </w:t>
      </w:r>
      <w:hyperlink r:id="rId3073" w:tooltip="Qanat" w:history="1">
        <w:r w:rsidRPr="00314B2D">
          <w:rPr>
            <w:rStyle w:val="Lienhypertexte"/>
            <w:rFonts w:ascii="Calibri" w:hAnsi="Calibri" w:cs="Calibri"/>
            <w:color w:val="0645AD"/>
            <w:sz w:val="21"/>
            <w:szCs w:val="21"/>
            <w:shd w:val="clear" w:color="auto" w:fill="FFFFFF"/>
          </w:rPr>
          <w:t>Qanats</w:t>
        </w:r>
      </w:hyperlink>
      <w:r w:rsidRPr="00314B2D">
        <w:rPr>
          <w:rFonts w:ascii="Calibri" w:hAnsi="Calibri" w:cs="Calibri"/>
          <w:color w:val="202122"/>
          <w:sz w:val="21"/>
          <w:szCs w:val="21"/>
          <w:shd w:val="clear" w:color="auto" w:fill="FFFFFF"/>
        </w:rPr>
        <w:t xml:space="preserve">, </w:t>
      </w:r>
      <w:r w:rsidRPr="00314B2D">
        <w:rPr>
          <w:rFonts w:ascii="Calibri" w:hAnsi="Calibri" w:cs="Calibri"/>
          <w:color w:val="000000" w:themeColor="text1"/>
          <w:sz w:val="21"/>
          <w:szCs w:val="21"/>
          <w:shd w:val="clear" w:color="auto" w:fill="FFFFFF"/>
        </w:rPr>
        <w:t>développés dans l'ancienne </w:t>
      </w:r>
      <w:hyperlink r:id="rId3074" w:tooltip="Perse" w:history="1">
        <w:r w:rsidRPr="00314B2D">
          <w:rPr>
            <w:rStyle w:val="Lienhypertexte"/>
            <w:rFonts w:ascii="Calibri" w:hAnsi="Calibri" w:cs="Calibri"/>
            <w:color w:val="0645AD"/>
            <w:sz w:val="21"/>
            <w:szCs w:val="21"/>
            <w:shd w:val="clear" w:color="auto" w:fill="FFFFFF"/>
          </w:rPr>
          <w:t>Perse</w:t>
        </w:r>
      </w:hyperlink>
      <w:r w:rsidRPr="00314B2D">
        <w:rPr>
          <w:rFonts w:ascii="Calibri" w:hAnsi="Calibri" w:cs="Calibri"/>
          <w:color w:val="202122"/>
          <w:sz w:val="21"/>
          <w:szCs w:val="21"/>
          <w:shd w:val="clear" w:color="auto" w:fill="FFFFFF"/>
        </w:rPr>
        <w:t> </w:t>
      </w:r>
      <w:r w:rsidRPr="00314B2D">
        <w:rPr>
          <w:rFonts w:ascii="Calibri" w:hAnsi="Calibri" w:cs="Calibri"/>
          <w:color w:val="000000" w:themeColor="text1"/>
          <w:sz w:val="21"/>
          <w:szCs w:val="21"/>
          <w:shd w:val="clear" w:color="auto" w:fill="FFFFFF"/>
        </w:rPr>
        <w:t>vers 800 avant notre ère, sont parmi les plus anciennes méthodes d'irrigation connues encore en usage aujourd'hui. On les trouve maintenant en Asie, au Moyen-Orient et en Afrique du Nord. Le système comprend un réseau de puits verticaux et de tunnels en pente douce creusés dans les flancs des falaises et des collines escarpées pour capter les eaux souterraines. </w:t>
      </w:r>
    </w:p>
    <w:p w14:paraId="533DE629" w14:textId="77777777" w:rsidR="00314B2D" w:rsidRPr="00DC2D54" w:rsidRDefault="00314B2D" w:rsidP="00E6174F">
      <w:pPr>
        <w:spacing w:after="0" w:line="240" w:lineRule="auto"/>
      </w:pPr>
    </w:p>
    <w:p w14:paraId="44C0A679" w14:textId="7BA1107B" w:rsidR="00DC2D54" w:rsidRDefault="00AD03C7" w:rsidP="00AD03C7">
      <w:pPr>
        <w:pStyle w:val="Titre2"/>
      </w:pPr>
      <w:bookmarkStart w:id="232" w:name="_Toc139181523"/>
      <w:r w:rsidRPr="00AD03C7">
        <w:t>Digues filtrantes, lignes de contours</w:t>
      </w:r>
      <w:bookmarkEnd w:id="232"/>
    </w:p>
    <w:p w14:paraId="6D023D16" w14:textId="09EE5F52" w:rsidR="00AD03C7" w:rsidRDefault="00AD03C7" w:rsidP="001431AA">
      <w:pPr>
        <w:spacing w:after="0" w:line="240" w:lineRule="auto"/>
      </w:pPr>
    </w:p>
    <w:p w14:paraId="29419D1D" w14:textId="77777777" w:rsidR="00AD03C7" w:rsidRPr="00AD03C7" w:rsidRDefault="00AD03C7" w:rsidP="00AD03C7">
      <w:pPr>
        <w:spacing w:after="0" w:line="240" w:lineRule="auto"/>
        <w:jc w:val="both"/>
      </w:pPr>
      <w:r w:rsidRPr="00AD03C7">
        <w:rPr>
          <w:b/>
          <w:bCs/>
        </w:rPr>
        <w:t>Principe</w:t>
      </w:r>
      <w:r w:rsidRPr="00AD03C7">
        <w:t xml:space="preserve"> C’est un ouvrage pierreux construit au travers d’une zone de ruissellement fort. Il doit être toujours être ancré dans le sol (fondation). D’une hauteur moyenne de 0.5 à 0.8m, la largeur de la digue dépend du débit maximal du ruissellement qui doit la traverser. Plus le courant est important, plus il faut prévoir d’enchaînement de digues.</w:t>
      </w:r>
    </w:p>
    <w:p w14:paraId="553534A1" w14:textId="757B309F" w:rsidR="00AD03C7" w:rsidRPr="00AD03C7" w:rsidRDefault="00412E8C" w:rsidP="00AD03C7">
      <w:pPr>
        <w:spacing w:after="0" w:line="240" w:lineRule="auto"/>
        <w:jc w:val="both"/>
      </w:pPr>
      <w:r w:rsidRPr="00AD03C7">
        <w:rPr>
          <w:b/>
          <w:bCs/>
        </w:rPr>
        <w:t>Prérequis</w:t>
      </w:r>
      <w:r w:rsidR="00AD03C7" w:rsidRPr="00AD03C7">
        <w:t xml:space="preserve"> Maîtrise technique, prendre en compte l’ensemble du bassin versant, disponibilité de blocs de pierre, transport et disposer d’équipement de concassage et gabionnage.</w:t>
      </w:r>
    </w:p>
    <w:p w14:paraId="7530EF2F" w14:textId="77777777" w:rsidR="00AD03C7" w:rsidRPr="00AD03C7" w:rsidRDefault="00AD03C7" w:rsidP="00AD03C7">
      <w:pPr>
        <w:spacing w:after="0" w:line="240" w:lineRule="auto"/>
        <w:jc w:val="both"/>
      </w:pPr>
      <w:r w:rsidRPr="00AD03C7">
        <w:rPr>
          <w:b/>
          <w:bCs/>
        </w:rPr>
        <w:t xml:space="preserve">Effets concrets </w:t>
      </w:r>
      <w:r w:rsidRPr="00AD03C7">
        <w:t>favorise le passage non érosif de l’eau et une sédimentation en amont des matériaux transportés. C’est principalement un ouvrage d’épandage des crues et de protection des terres situées en aval. La digue étant poreuses elle se charge progressivement d’alluvion facilitant sa fixation et réduisant l’érosion.</w:t>
      </w:r>
    </w:p>
    <w:p w14:paraId="18CB76AD" w14:textId="10697138" w:rsidR="00AD03C7" w:rsidRDefault="00AD03C7" w:rsidP="00135229">
      <w:pPr>
        <w:spacing w:after="0" w:line="240" w:lineRule="auto"/>
        <w:jc w:val="both"/>
      </w:pPr>
      <w:r w:rsidRPr="00AD03C7">
        <w:rPr>
          <w:b/>
          <w:bCs/>
        </w:rPr>
        <w:t>Coût</w:t>
      </w:r>
      <w:r w:rsidRPr="00AD03C7">
        <w:t xml:space="preserve"> dépendant de la largeur à traiter mais un ouvrage renforcé en gabion (grillage, photo ci-contre) coûtera au moins 450 €/u (expertise technique comprise).</w:t>
      </w:r>
    </w:p>
    <w:p w14:paraId="38292E43" w14:textId="1EE08DAB" w:rsidR="004E110F" w:rsidRDefault="004E110F" w:rsidP="00135229">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8"/>
        <w:gridCol w:w="1744"/>
        <w:gridCol w:w="2882"/>
        <w:gridCol w:w="2232"/>
      </w:tblGrid>
      <w:tr w:rsidR="004E110F" w14:paraId="2312D438" w14:textId="77777777" w:rsidTr="004E110F">
        <w:tc>
          <w:tcPr>
            <w:tcW w:w="5555" w:type="dxa"/>
            <w:gridSpan w:val="2"/>
          </w:tcPr>
          <w:p w14:paraId="64647D40" w14:textId="77777777" w:rsidR="004E110F" w:rsidRDefault="004E110F" w:rsidP="00B24337">
            <w:pPr>
              <w:jc w:val="center"/>
            </w:pPr>
            <w:r w:rsidRPr="00B10C2C">
              <w:rPr>
                <w:noProof/>
              </w:rPr>
              <w:drawing>
                <wp:inline distT="0" distB="0" distL="0" distR="0" wp14:anchorId="24641CF2" wp14:editId="2FB73706">
                  <wp:extent cx="2343150" cy="1495425"/>
                  <wp:effectExtent l="0" t="0" r="0" b="9525"/>
                  <wp:docPr id="106504" name="Picture 3" descr="C:\Users\LISAN\Documents\DeveloppementDurable\botanique\irrigation-stockage-eau\images\murettes de ter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04" name="Picture 3" descr="C:\Users\LISAN\Documents\DeveloppementDurable\botanique\irrigation-stockage-eau\images\murettes de terre.jpg"/>
                          <pic:cNvPicPr>
                            <a:picLocks noChangeAspect="1" noChangeArrowheads="1"/>
                          </pic:cNvPicPr>
                        </pic:nvPicPr>
                        <pic:blipFill>
                          <a:blip r:embed="rId3075">
                            <a:extLst>
                              <a:ext uri="{28A0092B-C50C-407E-A947-70E740481C1C}">
                                <a14:useLocalDpi xmlns:a14="http://schemas.microsoft.com/office/drawing/2010/main" val="0"/>
                              </a:ext>
                            </a:extLst>
                          </a:blip>
                          <a:srcRect/>
                          <a:stretch>
                            <a:fillRect/>
                          </a:stretch>
                        </pic:blipFill>
                        <pic:spPr bwMode="auto">
                          <a:xfrm>
                            <a:off x="0" y="0"/>
                            <a:ext cx="2343150" cy="1495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4871" w:type="dxa"/>
            <w:gridSpan w:val="2"/>
          </w:tcPr>
          <w:p w14:paraId="7E25DCA2" w14:textId="77777777" w:rsidR="004E110F" w:rsidRDefault="004E110F" w:rsidP="00B24337">
            <w:pPr>
              <w:jc w:val="center"/>
            </w:pPr>
            <w:r w:rsidRPr="00B10C2C">
              <w:rPr>
                <w:noProof/>
              </w:rPr>
              <w:drawing>
                <wp:inline distT="0" distB="0" distL="0" distR="0" wp14:anchorId="22C6A31E" wp14:editId="396C89BE">
                  <wp:extent cx="2039349" cy="1381125"/>
                  <wp:effectExtent l="0" t="0" r="0" b="0"/>
                  <wp:docPr id="106503" name="Picture 2" descr="C:\Users\LISAN\Documents\DeveloppementDurable\botanique\irrigation-stockage-eau\images\Diguettes filtrantes à l-aval d’un champ_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03" name="Picture 2" descr="C:\Users\LISAN\Documents\DeveloppementDurable\botanique\irrigation-stockage-eau\images\Diguettes filtrantes à l-aval d’un champ_ss.jpg"/>
                          <pic:cNvPicPr>
                            <a:picLocks noChangeAspect="1" noChangeArrowheads="1"/>
                          </pic:cNvPicPr>
                        </pic:nvPicPr>
                        <pic:blipFill>
                          <a:blip r:embed="rId3076">
                            <a:extLst>
                              <a:ext uri="{28A0092B-C50C-407E-A947-70E740481C1C}">
                                <a14:useLocalDpi xmlns:a14="http://schemas.microsoft.com/office/drawing/2010/main" val="0"/>
                              </a:ext>
                            </a:extLst>
                          </a:blip>
                          <a:srcRect/>
                          <a:stretch>
                            <a:fillRect/>
                          </a:stretch>
                        </pic:blipFill>
                        <pic:spPr bwMode="auto">
                          <a:xfrm>
                            <a:off x="0" y="0"/>
                            <a:ext cx="2047493" cy="1386640"/>
                          </a:xfrm>
                          <a:prstGeom prst="rect">
                            <a:avLst/>
                          </a:prstGeom>
                          <a:noFill/>
                          <a:ln>
                            <a:noFill/>
                          </a:ln>
                        </pic:spPr>
                      </pic:pic>
                    </a:graphicData>
                  </a:graphic>
                </wp:inline>
              </w:drawing>
            </w:r>
          </w:p>
          <w:p w14:paraId="0D8E31A2" w14:textId="77777777" w:rsidR="004E110F" w:rsidRDefault="004E110F" w:rsidP="00B24337">
            <w:pPr>
              <w:jc w:val="center"/>
            </w:pPr>
          </w:p>
        </w:tc>
      </w:tr>
      <w:tr w:rsidR="00FC6673" w14:paraId="55A62A5A" w14:textId="77777777" w:rsidTr="004E110F">
        <w:tc>
          <w:tcPr>
            <w:tcW w:w="3568" w:type="dxa"/>
          </w:tcPr>
          <w:p w14:paraId="0C0BC4BA" w14:textId="43500A83" w:rsidR="00AD03C7" w:rsidRDefault="00AD03C7" w:rsidP="00AD03C7">
            <w:pPr>
              <w:jc w:val="center"/>
            </w:pPr>
            <w:r w:rsidRPr="00AD03C7">
              <w:rPr>
                <w:noProof/>
              </w:rPr>
              <w:lastRenderedPageBreak/>
              <w:drawing>
                <wp:inline distT="0" distB="0" distL="0" distR="0" wp14:anchorId="70B00B72" wp14:editId="344C05CB">
                  <wp:extent cx="2125948" cy="1235075"/>
                  <wp:effectExtent l="0" t="0" r="8255" b="3175"/>
                  <wp:docPr id="105482" name="Picture 10" descr="C:\Users\LISAN\Documents\DVD-DevDurable\eau\eau-Potabilisation-GestionDeLEau-Irrigation\irrigation-stockage-eau\images\Contour ridges supporting young shrub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82" name="Picture 10" descr="C:\Users\LISAN\Documents\DVD-DevDurable\eau\eau-Potabilisation-GestionDeLEau-Irrigation\irrigation-stockage-eau\images\Contour ridges supporting young shrubs.jpg"/>
                          <pic:cNvPicPr>
                            <a:picLocks noChangeAspect="1" noChangeArrowheads="1"/>
                          </pic:cNvPicPr>
                        </pic:nvPicPr>
                        <pic:blipFill>
                          <a:blip r:embed="rId3077">
                            <a:extLst>
                              <a:ext uri="{28A0092B-C50C-407E-A947-70E740481C1C}">
                                <a14:useLocalDpi xmlns:a14="http://schemas.microsoft.com/office/drawing/2010/main" val="0"/>
                              </a:ext>
                            </a:extLst>
                          </a:blip>
                          <a:srcRect/>
                          <a:stretch>
                            <a:fillRect/>
                          </a:stretch>
                        </pic:blipFill>
                        <pic:spPr bwMode="auto">
                          <a:xfrm>
                            <a:off x="0" y="0"/>
                            <a:ext cx="2138927" cy="1242615"/>
                          </a:xfrm>
                          <a:prstGeom prst="rect">
                            <a:avLst/>
                          </a:prstGeom>
                          <a:noFill/>
                          <a:ln>
                            <a:noFill/>
                          </a:ln>
                        </pic:spPr>
                      </pic:pic>
                    </a:graphicData>
                  </a:graphic>
                </wp:inline>
              </w:drawing>
            </w:r>
          </w:p>
        </w:tc>
        <w:tc>
          <w:tcPr>
            <w:tcW w:w="4626" w:type="dxa"/>
            <w:gridSpan w:val="2"/>
          </w:tcPr>
          <w:p w14:paraId="3A86BB5C" w14:textId="41392B15" w:rsidR="00AD03C7" w:rsidRDefault="00AD03C7" w:rsidP="00AD03C7">
            <w:pPr>
              <w:jc w:val="center"/>
            </w:pPr>
            <w:r w:rsidRPr="00AD03C7">
              <w:rPr>
                <w:noProof/>
              </w:rPr>
              <w:drawing>
                <wp:inline distT="0" distB="0" distL="0" distR="0" wp14:anchorId="49369819" wp14:editId="14AE436F">
                  <wp:extent cx="2807226" cy="1323975"/>
                  <wp:effectExtent l="0" t="0" r="0" b="0"/>
                  <wp:docPr id="105481" name="Picture 9" descr="C:\Users\LISAN\Documents\DVD-DevDurable\eau\eau-Potabilisation-GestionDeLEau-Irrigation\irrigation-stockage-eau\images\contours_billons_sur_lignes_de_contours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81" name="Picture 9" descr="C:\Users\LISAN\Documents\DVD-DevDurable\eau\eau-Potabilisation-GestionDeLEau-Irrigation\irrigation-stockage-eau\images\contours_billons_sur_lignes_de_contours_s.jpg"/>
                          <pic:cNvPicPr>
                            <a:picLocks noChangeAspect="1" noChangeArrowheads="1"/>
                          </pic:cNvPicPr>
                        </pic:nvPicPr>
                        <pic:blipFill>
                          <a:blip r:embed="rId3078">
                            <a:extLst>
                              <a:ext uri="{28A0092B-C50C-407E-A947-70E740481C1C}">
                                <a14:useLocalDpi xmlns:a14="http://schemas.microsoft.com/office/drawing/2010/main" val="0"/>
                              </a:ext>
                            </a:extLst>
                          </a:blip>
                          <a:srcRect/>
                          <a:stretch>
                            <a:fillRect/>
                          </a:stretch>
                        </pic:blipFill>
                        <pic:spPr bwMode="auto">
                          <a:xfrm>
                            <a:off x="0" y="0"/>
                            <a:ext cx="2822526" cy="1331191"/>
                          </a:xfrm>
                          <a:prstGeom prst="rect">
                            <a:avLst/>
                          </a:prstGeom>
                          <a:noFill/>
                          <a:ln>
                            <a:noFill/>
                          </a:ln>
                        </pic:spPr>
                      </pic:pic>
                    </a:graphicData>
                  </a:graphic>
                </wp:inline>
              </w:drawing>
            </w:r>
          </w:p>
        </w:tc>
        <w:tc>
          <w:tcPr>
            <w:tcW w:w="2232" w:type="dxa"/>
          </w:tcPr>
          <w:p w14:paraId="5DCE7D34" w14:textId="2B09474B" w:rsidR="00AD03C7" w:rsidRDefault="00AD03C7" w:rsidP="00AD03C7">
            <w:pPr>
              <w:jc w:val="center"/>
            </w:pPr>
            <w:r w:rsidRPr="00AD03C7">
              <w:rPr>
                <w:noProof/>
              </w:rPr>
              <w:drawing>
                <wp:inline distT="0" distB="0" distL="0" distR="0" wp14:anchorId="1E00D74C" wp14:editId="0D4DAFEE">
                  <wp:extent cx="1283773" cy="1977537"/>
                  <wp:effectExtent l="0" t="0" r="0" b="3810"/>
                  <wp:docPr id="105480" name="Image 7" descr="digue-filtr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80" name="Image 7" descr="digue-filtrante.jpg"/>
                          <pic:cNvPicPr>
                            <a:picLocks noChangeAspect="1"/>
                          </pic:cNvPicPr>
                        </pic:nvPicPr>
                        <pic:blipFill>
                          <a:blip r:embed="rId3079">
                            <a:extLst>
                              <a:ext uri="{28A0092B-C50C-407E-A947-70E740481C1C}">
                                <a14:useLocalDpi xmlns:a14="http://schemas.microsoft.com/office/drawing/2010/main" val="0"/>
                              </a:ext>
                            </a:extLst>
                          </a:blip>
                          <a:srcRect/>
                          <a:stretch>
                            <a:fillRect/>
                          </a:stretch>
                        </pic:blipFill>
                        <pic:spPr bwMode="auto">
                          <a:xfrm>
                            <a:off x="0" y="0"/>
                            <a:ext cx="1294304" cy="1993758"/>
                          </a:xfrm>
                          <a:prstGeom prst="rect">
                            <a:avLst/>
                          </a:prstGeom>
                          <a:noFill/>
                          <a:ln>
                            <a:noFill/>
                          </a:ln>
                        </pic:spPr>
                      </pic:pic>
                    </a:graphicData>
                  </a:graphic>
                </wp:inline>
              </w:drawing>
            </w:r>
          </w:p>
        </w:tc>
      </w:tr>
    </w:tbl>
    <w:p w14:paraId="634F91DD" w14:textId="0C51E523" w:rsidR="00DC2D54" w:rsidRDefault="00DC2D54" w:rsidP="00135229">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74"/>
        <w:gridCol w:w="81"/>
        <w:gridCol w:w="4871"/>
      </w:tblGrid>
      <w:tr w:rsidR="00B10C2C" w14:paraId="5582AFDF" w14:textId="77777777" w:rsidTr="004E110F">
        <w:tc>
          <w:tcPr>
            <w:tcW w:w="5555" w:type="dxa"/>
            <w:gridSpan w:val="2"/>
          </w:tcPr>
          <w:p w14:paraId="5385B228" w14:textId="53131CEA" w:rsidR="00B10C2C" w:rsidRPr="00B10C2C" w:rsidRDefault="00492625" w:rsidP="009A3C70">
            <w:pPr>
              <w:jc w:val="center"/>
            </w:pPr>
            <w:r w:rsidRPr="00B10C2C">
              <w:rPr>
                <w:noProof/>
              </w:rPr>
              <w:drawing>
                <wp:inline distT="0" distB="0" distL="0" distR="0" wp14:anchorId="1F492ED4" wp14:editId="55962B1E">
                  <wp:extent cx="2655888" cy="1643062"/>
                  <wp:effectExtent l="0" t="0" r="0" b="0"/>
                  <wp:docPr id="46" name="Picture 15" descr="C:\Users\LISAN\Documents\DeveloppementDurable\botanique\irrigation-stockage-eau\images\Contour ridge syst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11" name="Picture 15" descr="C:\Users\LISAN\Documents\DeveloppementDurable\botanique\irrigation-stockage-eau\images\Contour ridge system.jpg"/>
                          <pic:cNvPicPr>
                            <a:picLocks noChangeAspect="1" noChangeArrowheads="1"/>
                          </pic:cNvPicPr>
                        </pic:nvPicPr>
                        <pic:blipFill>
                          <a:blip r:embed="rId3080">
                            <a:extLst>
                              <a:ext uri="{28A0092B-C50C-407E-A947-70E740481C1C}">
                                <a14:useLocalDpi xmlns:a14="http://schemas.microsoft.com/office/drawing/2010/main" val="0"/>
                              </a:ext>
                            </a:extLst>
                          </a:blip>
                          <a:srcRect/>
                          <a:stretch>
                            <a:fillRect/>
                          </a:stretch>
                        </pic:blipFill>
                        <pic:spPr bwMode="auto">
                          <a:xfrm>
                            <a:off x="0" y="0"/>
                            <a:ext cx="2655888" cy="16430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4871" w:type="dxa"/>
          </w:tcPr>
          <w:p w14:paraId="4B109075" w14:textId="71644F65" w:rsidR="00B10C2C" w:rsidRDefault="00B10C2C" w:rsidP="009A3C70">
            <w:pPr>
              <w:jc w:val="center"/>
            </w:pPr>
            <w:r w:rsidRPr="00B10C2C">
              <w:rPr>
                <w:noProof/>
              </w:rPr>
              <w:drawing>
                <wp:inline distT="0" distB="0" distL="0" distR="0" wp14:anchorId="3046CC9B" wp14:editId="12256C4F">
                  <wp:extent cx="2945080" cy="1930192"/>
                  <wp:effectExtent l="0" t="0" r="8255" b="0"/>
                  <wp:docPr id="106509" name="Picture 13" descr="C:\Users\LISAN\Documents\DeveloppementDurable\botanique\irrigation-stockage-eau\images\Construction of contour rid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09" name="Picture 13" descr="C:\Users\LISAN\Documents\DeveloppementDurable\botanique\irrigation-stockage-eau\images\Construction of contour ridges.jpg"/>
                          <pic:cNvPicPr>
                            <a:picLocks noChangeAspect="1" noChangeArrowheads="1"/>
                          </pic:cNvPicPr>
                        </pic:nvPicPr>
                        <pic:blipFill>
                          <a:blip r:embed="rId3081">
                            <a:extLst>
                              <a:ext uri="{28A0092B-C50C-407E-A947-70E740481C1C}">
                                <a14:useLocalDpi xmlns:a14="http://schemas.microsoft.com/office/drawing/2010/main" val="0"/>
                              </a:ext>
                            </a:extLst>
                          </a:blip>
                          <a:srcRect/>
                          <a:stretch>
                            <a:fillRect/>
                          </a:stretch>
                        </pic:blipFill>
                        <pic:spPr bwMode="auto">
                          <a:xfrm>
                            <a:off x="0" y="0"/>
                            <a:ext cx="2949903" cy="1933353"/>
                          </a:xfrm>
                          <a:prstGeom prst="rect">
                            <a:avLst/>
                          </a:prstGeom>
                          <a:noFill/>
                          <a:ln>
                            <a:noFill/>
                          </a:ln>
                        </pic:spPr>
                      </pic:pic>
                    </a:graphicData>
                  </a:graphic>
                </wp:inline>
              </w:drawing>
            </w:r>
          </w:p>
        </w:tc>
      </w:tr>
      <w:tr w:rsidR="00B10C2C" w14:paraId="770163C3" w14:textId="77777777" w:rsidTr="004E110F">
        <w:tc>
          <w:tcPr>
            <w:tcW w:w="5474" w:type="dxa"/>
          </w:tcPr>
          <w:p w14:paraId="32E52C1D" w14:textId="45B1EF2D" w:rsidR="00492625" w:rsidRDefault="00492625" w:rsidP="009A3C70">
            <w:pPr>
              <w:jc w:val="center"/>
            </w:pPr>
            <w:r w:rsidRPr="00B10C2C">
              <w:rPr>
                <w:noProof/>
              </w:rPr>
              <w:drawing>
                <wp:inline distT="0" distB="0" distL="0" distR="0" wp14:anchorId="563162A5" wp14:editId="0AB7F343">
                  <wp:extent cx="3339243" cy="1371600"/>
                  <wp:effectExtent l="0" t="0" r="0" b="0"/>
                  <wp:docPr id="106510" name="Picture 14" descr="C:\Users\LISAN\Documents\DeveloppementDurable\botanique\irrigation-stockage-eau\images\Contour bunds for tree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10" name="Picture 14" descr="C:\Users\LISAN\Documents\DeveloppementDurable\botanique\irrigation-stockage-eau\images\Contour bunds for trees.gif"/>
                          <pic:cNvPicPr>
                            <a:picLocks noChangeAspect="1" noChangeArrowheads="1"/>
                          </pic:cNvPicPr>
                        </pic:nvPicPr>
                        <pic:blipFill>
                          <a:blip r:embed="rId3082">
                            <a:extLst>
                              <a:ext uri="{28A0092B-C50C-407E-A947-70E740481C1C}">
                                <a14:useLocalDpi xmlns:a14="http://schemas.microsoft.com/office/drawing/2010/main" val="0"/>
                              </a:ext>
                            </a:extLst>
                          </a:blip>
                          <a:srcRect/>
                          <a:stretch>
                            <a:fillRect/>
                          </a:stretch>
                        </pic:blipFill>
                        <pic:spPr bwMode="auto">
                          <a:xfrm>
                            <a:off x="0" y="0"/>
                            <a:ext cx="3358087" cy="1379340"/>
                          </a:xfrm>
                          <a:prstGeom prst="rect">
                            <a:avLst/>
                          </a:prstGeom>
                          <a:noFill/>
                          <a:ln>
                            <a:noFill/>
                          </a:ln>
                        </pic:spPr>
                      </pic:pic>
                    </a:graphicData>
                  </a:graphic>
                </wp:inline>
              </w:drawing>
            </w:r>
          </w:p>
        </w:tc>
        <w:tc>
          <w:tcPr>
            <w:tcW w:w="4952" w:type="dxa"/>
            <w:gridSpan w:val="2"/>
          </w:tcPr>
          <w:p w14:paraId="1CDA1FC4" w14:textId="77777777" w:rsidR="00B10C2C" w:rsidRDefault="00B10C2C" w:rsidP="009A3C70">
            <w:pPr>
              <w:jc w:val="center"/>
            </w:pPr>
            <w:r w:rsidRPr="00B10C2C">
              <w:rPr>
                <w:noProof/>
              </w:rPr>
              <w:drawing>
                <wp:inline distT="0" distB="0" distL="0" distR="0" wp14:anchorId="669E7DDC" wp14:editId="694F40E7">
                  <wp:extent cx="2525201" cy="1572929"/>
                  <wp:effectExtent l="0" t="0" r="8890" b="8255"/>
                  <wp:docPr id="106507" name="Picture 9" descr="C:\Users\LISAN\Documents\DeveloppementDurable\botanique\irrigation-stockage-eau\images\Contour stone bu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07" name="Picture 9" descr="C:\Users\LISAN\Documents\DeveloppementDurable\botanique\irrigation-stockage-eau\images\Contour stone bund.jpg"/>
                          <pic:cNvPicPr>
                            <a:picLocks noChangeAspect="1" noChangeArrowheads="1"/>
                          </pic:cNvPicPr>
                        </pic:nvPicPr>
                        <pic:blipFill>
                          <a:blip r:embed="rId3083">
                            <a:extLst>
                              <a:ext uri="{28A0092B-C50C-407E-A947-70E740481C1C}">
                                <a14:useLocalDpi xmlns:a14="http://schemas.microsoft.com/office/drawing/2010/main" val="0"/>
                              </a:ext>
                            </a:extLst>
                          </a:blip>
                          <a:srcRect/>
                          <a:stretch>
                            <a:fillRect/>
                          </a:stretch>
                        </pic:blipFill>
                        <pic:spPr bwMode="auto">
                          <a:xfrm>
                            <a:off x="0" y="0"/>
                            <a:ext cx="2527732" cy="1574506"/>
                          </a:xfrm>
                          <a:prstGeom prst="rect">
                            <a:avLst/>
                          </a:prstGeom>
                          <a:noFill/>
                          <a:ln>
                            <a:noFill/>
                          </a:ln>
                        </pic:spPr>
                      </pic:pic>
                    </a:graphicData>
                  </a:graphic>
                </wp:inline>
              </w:drawing>
            </w:r>
          </w:p>
        </w:tc>
      </w:tr>
    </w:tbl>
    <w:p w14:paraId="3CD031F4" w14:textId="404CC21E" w:rsidR="00AD03C7" w:rsidRDefault="00AD03C7" w:rsidP="00B10C2C">
      <w:pPr>
        <w:spacing w:after="0" w:line="240" w:lineRule="auto"/>
        <w:jc w:val="center"/>
      </w:pPr>
    </w:p>
    <w:p w14:paraId="5BBFD356" w14:textId="39371E86" w:rsidR="00940F40" w:rsidRDefault="00940F40" w:rsidP="00940F40">
      <w:pPr>
        <w:pStyle w:val="Titre2"/>
      </w:pPr>
      <w:bookmarkStart w:id="233" w:name="_Toc139181524"/>
      <w:r w:rsidRPr="00940F40">
        <w:t>Bourrelets suivant les courbes de niveau</w:t>
      </w:r>
      <w:bookmarkEnd w:id="233"/>
    </w:p>
    <w:p w14:paraId="129AC83C" w14:textId="57005932" w:rsidR="00940F40" w:rsidRDefault="00940F40" w:rsidP="00940F40">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99"/>
        <w:gridCol w:w="3617"/>
      </w:tblGrid>
      <w:tr w:rsidR="00940F40" w14:paraId="622FEB04" w14:textId="77777777" w:rsidTr="00940F40">
        <w:tc>
          <w:tcPr>
            <w:tcW w:w="6799" w:type="dxa"/>
          </w:tcPr>
          <w:p w14:paraId="5FFCF6DD" w14:textId="77777777" w:rsidR="00940F40" w:rsidRDefault="00940F40" w:rsidP="00940F40">
            <w:pPr>
              <w:jc w:val="center"/>
            </w:pPr>
            <w:r w:rsidRPr="00940F40">
              <w:rPr>
                <w:noProof/>
              </w:rPr>
              <w:drawing>
                <wp:inline distT="0" distB="0" distL="0" distR="0" wp14:anchorId="78FB50EC" wp14:editId="5C5C70A2">
                  <wp:extent cx="2057400" cy="1362075"/>
                  <wp:effectExtent l="0" t="0" r="0" b="9525"/>
                  <wp:docPr id="52" name="Picture 2" descr="C:\Users\LISAN\Documents\DVD-DevDurable\eau\eau-Potabilisation-GestionDeLEau-Irrigation\irrigation-stockage-eau\images\Bandes enherbées constituées d’Andropogon sp en saison hivernale_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98" name="Picture 2" descr="C:\Users\LISAN\Documents\DVD-DevDurable\eau\eau-Potabilisation-GestionDeLEau-Irrigation\irrigation-stockage-eau\images\Bandes enherbées constituées d’Andropogon sp en saison hivernale_ss.jpg"/>
                          <pic:cNvPicPr>
                            <a:picLocks noChangeAspect="1" noChangeArrowheads="1"/>
                          </pic:cNvPicPr>
                        </pic:nvPicPr>
                        <pic:blipFill>
                          <a:blip r:embed="rId3084">
                            <a:extLst>
                              <a:ext uri="{28A0092B-C50C-407E-A947-70E740481C1C}">
                                <a14:useLocalDpi xmlns:a14="http://schemas.microsoft.com/office/drawing/2010/main" val="0"/>
                              </a:ext>
                            </a:extLst>
                          </a:blip>
                          <a:srcRect/>
                          <a:stretch>
                            <a:fillRect/>
                          </a:stretch>
                        </pic:blipFill>
                        <pic:spPr bwMode="auto">
                          <a:xfrm>
                            <a:off x="0" y="0"/>
                            <a:ext cx="2057400" cy="1362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t xml:space="preserve">  </w:t>
            </w:r>
            <w:r w:rsidRPr="00940F40">
              <w:rPr>
                <w:noProof/>
              </w:rPr>
              <w:drawing>
                <wp:inline distT="0" distB="0" distL="0" distR="0" wp14:anchorId="0151BF1E" wp14:editId="381D9C1E">
                  <wp:extent cx="1819275" cy="1295400"/>
                  <wp:effectExtent l="0" t="0" r="9525" b="0"/>
                  <wp:docPr id="53" name="Picture 3" descr="C:\Users\LISAN\Documents\DVD-DevDurable\eau\eau-Potabilisation-GestionDeLEau-Irrigation\irrigation-stockage-eau\images\Bandes enherbées constituées d’Andropogon sp en saison sèche_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99" name="Picture 3" descr="C:\Users\LISAN\Documents\DVD-DevDurable\eau\eau-Potabilisation-GestionDeLEau-Irrigation\irrigation-stockage-eau\images\Bandes enherbées constituées d’Andropogon sp en saison sèche_ss.jpg"/>
                          <pic:cNvPicPr>
                            <a:picLocks noChangeAspect="1" noChangeArrowheads="1"/>
                          </pic:cNvPicPr>
                        </pic:nvPicPr>
                        <pic:blipFill>
                          <a:blip r:embed="rId3085">
                            <a:extLst>
                              <a:ext uri="{28A0092B-C50C-407E-A947-70E740481C1C}">
                                <a14:useLocalDpi xmlns:a14="http://schemas.microsoft.com/office/drawing/2010/main" val="0"/>
                              </a:ext>
                            </a:extLst>
                          </a:blip>
                          <a:srcRect/>
                          <a:stretch>
                            <a:fillRect/>
                          </a:stretch>
                        </pic:blipFill>
                        <pic:spPr bwMode="auto">
                          <a:xfrm>
                            <a:off x="0" y="0"/>
                            <a:ext cx="1819275" cy="129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E5E0781" w14:textId="77777777" w:rsidR="00940F40" w:rsidRDefault="00940F40" w:rsidP="00940F40">
            <w:pPr>
              <w:jc w:val="center"/>
            </w:pPr>
            <w:r>
              <w:t>Hiver                                            Eté.</w:t>
            </w:r>
          </w:p>
          <w:p w14:paraId="0FF449D2" w14:textId="4A8390B8" w:rsidR="00940F40" w:rsidRDefault="00940F40" w:rsidP="00940F40">
            <w:pPr>
              <w:jc w:val="center"/>
            </w:pPr>
            <w:r w:rsidRPr="00940F40">
              <w:t>Bandes enherbées constituées d’</w:t>
            </w:r>
            <w:r w:rsidRPr="00940F40">
              <w:rPr>
                <w:i/>
                <w:iCs/>
              </w:rPr>
              <w:t>Andropogon sp.</w:t>
            </w:r>
          </w:p>
        </w:tc>
        <w:tc>
          <w:tcPr>
            <w:tcW w:w="3617" w:type="dxa"/>
          </w:tcPr>
          <w:p w14:paraId="29C0BD6E" w14:textId="6563758C" w:rsidR="00940F40" w:rsidRDefault="00940F40" w:rsidP="00940F40">
            <w:pPr>
              <w:jc w:val="center"/>
            </w:pPr>
            <w:r w:rsidRPr="00940F40">
              <w:rPr>
                <w:noProof/>
              </w:rPr>
              <w:drawing>
                <wp:inline distT="0" distB="0" distL="0" distR="0" wp14:anchorId="33A1661C" wp14:editId="292EA59A">
                  <wp:extent cx="2039782" cy="962025"/>
                  <wp:effectExtent l="0" t="0" r="0" b="0"/>
                  <wp:docPr id="54" name="Picture 5" descr="C:\Users\LISAN\Documents\DVD-DevDurable\eau\eau-Potabilisation-GestionDeLEau-Irrigation\irrigation-stockage-eau\images\contours_billons_sur_lignes_de_contours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10" name="Picture 5" descr="C:\Users\LISAN\Documents\DVD-DevDurable\eau\eau-Potabilisation-GestionDeLEau-Irrigation\irrigation-stockage-eau\images\contours_billons_sur_lignes_de_contours_s.jpg"/>
                          <pic:cNvPicPr>
                            <a:picLocks noChangeAspect="1" noChangeArrowheads="1"/>
                          </pic:cNvPicPr>
                        </pic:nvPicPr>
                        <pic:blipFill>
                          <a:blip r:embed="rId3078">
                            <a:extLst>
                              <a:ext uri="{28A0092B-C50C-407E-A947-70E740481C1C}">
                                <a14:useLocalDpi xmlns:a14="http://schemas.microsoft.com/office/drawing/2010/main" val="0"/>
                              </a:ext>
                            </a:extLst>
                          </a:blip>
                          <a:srcRect/>
                          <a:stretch>
                            <a:fillRect/>
                          </a:stretch>
                        </pic:blipFill>
                        <pic:spPr bwMode="auto">
                          <a:xfrm>
                            <a:off x="0" y="0"/>
                            <a:ext cx="2043448" cy="963754"/>
                          </a:xfrm>
                          <a:prstGeom prst="rect">
                            <a:avLst/>
                          </a:prstGeom>
                          <a:noFill/>
                          <a:ln>
                            <a:noFill/>
                          </a:ln>
                        </pic:spPr>
                      </pic:pic>
                    </a:graphicData>
                  </a:graphic>
                </wp:inline>
              </w:drawing>
            </w:r>
          </w:p>
        </w:tc>
      </w:tr>
    </w:tbl>
    <w:p w14:paraId="436AC43B" w14:textId="38A8A009" w:rsidR="00940F40" w:rsidRDefault="00940F40" w:rsidP="00940F40">
      <w:pPr>
        <w:spacing w:after="0" w:line="240" w:lineRule="auto"/>
        <w:jc w:val="cente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25"/>
        <w:gridCol w:w="3801"/>
      </w:tblGrid>
      <w:tr w:rsidR="00DD443C" w14:paraId="738D60D3" w14:textId="77777777" w:rsidTr="00DD443C">
        <w:tc>
          <w:tcPr>
            <w:tcW w:w="6516" w:type="dxa"/>
          </w:tcPr>
          <w:p w14:paraId="5F8CCFFE" w14:textId="77777777" w:rsidR="00DD443C" w:rsidRDefault="00DD443C" w:rsidP="00DD443C">
            <w:pPr>
              <w:jc w:val="center"/>
            </w:pPr>
            <w:r w:rsidRPr="00940F40">
              <w:rPr>
                <w:noProof/>
              </w:rPr>
              <w:lastRenderedPageBreak/>
              <w:drawing>
                <wp:inline distT="0" distB="0" distL="0" distR="0" wp14:anchorId="785CDFCE" wp14:editId="1E02DD3F">
                  <wp:extent cx="4133850" cy="1571625"/>
                  <wp:effectExtent l="0" t="0" r="0" b="9525"/>
                  <wp:docPr id="55" name="Picture 4" descr="C:\Users\LISAN\Documents\DVD-DevDurable\eau\eau-Potabilisation-GestionDeLEau-Irrigation\irrigation-stockage-eau\images\bande_de_ruissellement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08" name="Picture 4" descr="C:\Users\LISAN\Documents\DVD-DevDurable\eau\eau-Potabilisation-GestionDeLEau-Irrigation\irrigation-stockage-eau\images\bande_de_ruissellement_s.jpg"/>
                          <pic:cNvPicPr>
                            <a:picLocks noChangeAspect="1" noChangeArrowheads="1"/>
                          </pic:cNvPicPr>
                        </pic:nvPicPr>
                        <pic:blipFill>
                          <a:blip r:embed="rId3086">
                            <a:extLst>
                              <a:ext uri="{28A0092B-C50C-407E-A947-70E740481C1C}">
                                <a14:useLocalDpi xmlns:a14="http://schemas.microsoft.com/office/drawing/2010/main" val="0"/>
                              </a:ext>
                            </a:extLst>
                          </a:blip>
                          <a:srcRect/>
                          <a:stretch>
                            <a:fillRect/>
                          </a:stretch>
                        </pic:blipFill>
                        <pic:spPr bwMode="auto">
                          <a:xfrm>
                            <a:off x="0" y="0"/>
                            <a:ext cx="4133850" cy="157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57104FC" w14:textId="4CD7CF98" w:rsidR="00DD443C" w:rsidRDefault="00DD443C" w:rsidP="00DD443C">
            <w:pPr>
              <w:jc w:val="center"/>
            </w:pPr>
            <w:r w:rsidRPr="00940F40">
              <w:t>Bandes de ruissellement</w:t>
            </w:r>
            <w:r>
              <w:t>.</w:t>
            </w:r>
          </w:p>
        </w:tc>
        <w:tc>
          <w:tcPr>
            <w:tcW w:w="3900" w:type="dxa"/>
          </w:tcPr>
          <w:p w14:paraId="5AFD1730" w14:textId="77777777" w:rsidR="00DD443C" w:rsidRDefault="00DD443C" w:rsidP="00940F40">
            <w:pPr>
              <w:jc w:val="center"/>
            </w:pPr>
            <w:r w:rsidRPr="00DD443C">
              <w:rPr>
                <w:noProof/>
              </w:rPr>
              <w:drawing>
                <wp:inline distT="0" distB="0" distL="0" distR="0" wp14:anchorId="3DF78B13" wp14:editId="5C9F2BD2">
                  <wp:extent cx="2312987" cy="1874837"/>
                  <wp:effectExtent l="0" t="0" r="0" b="0"/>
                  <wp:docPr id="155662"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62" name="Image 5"/>
                          <pic:cNvPicPr>
                            <a:picLocks noChangeAspect="1"/>
                          </pic:cNvPicPr>
                        </pic:nvPicPr>
                        <pic:blipFill>
                          <a:blip r:embed="rId3087">
                            <a:extLst>
                              <a:ext uri="{28A0092B-C50C-407E-A947-70E740481C1C}">
                                <a14:useLocalDpi xmlns:a14="http://schemas.microsoft.com/office/drawing/2010/main" val="0"/>
                              </a:ext>
                            </a:extLst>
                          </a:blip>
                          <a:srcRect/>
                          <a:stretch>
                            <a:fillRect/>
                          </a:stretch>
                        </pic:blipFill>
                        <pic:spPr bwMode="auto">
                          <a:xfrm>
                            <a:off x="0" y="0"/>
                            <a:ext cx="2312987" cy="18748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BD91F2A" w14:textId="79599170" w:rsidR="00DD443C" w:rsidRDefault="00DD443C" w:rsidP="00940F40">
            <w:pPr>
              <w:jc w:val="center"/>
            </w:pPr>
            <w:r w:rsidRPr="00DD443C">
              <w:t xml:space="preserve">Une </w:t>
            </w:r>
            <w:r w:rsidRPr="00DD443C">
              <w:rPr>
                <w:i/>
                <w:iCs/>
              </w:rPr>
              <w:t>baissière</w:t>
            </w:r>
            <w:r w:rsidRPr="00DD443C">
              <w:t xml:space="preserve"> fraîchement creusée (elles sont plus adaptées aux régions humides, sauf exception)</w:t>
            </w:r>
            <w:r>
              <w:rPr>
                <w:rStyle w:val="Appelnotedebasdep"/>
              </w:rPr>
              <w:footnoteReference w:id="165"/>
            </w:r>
            <w:r w:rsidRPr="00DD443C">
              <w:t>.</w:t>
            </w:r>
          </w:p>
        </w:tc>
      </w:tr>
    </w:tbl>
    <w:p w14:paraId="2CED95A9" w14:textId="2C423AB9" w:rsidR="00940F40" w:rsidRDefault="00940F40" w:rsidP="00940F40">
      <w:pPr>
        <w:spacing w:after="0" w:line="240" w:lineRule="auto"/>
      </w:pPr>
    </w:p>
    <w:p w14:paraId="03D38B5A" w14:textId="0EA4EC35" w:rsidR="00085503" w:rsidRDefault="00085503" w:rsidP="00085503">
      <w:pPr>
        <w:pStyle w:val="Titre2"/>
      </w:pPr>
      <w:bookmarkStart w:id="234" w:name="_Toc139181525"/>
      <w:r w:rsidRPr="00085503">
        <w:t>Plantation en tranchée</w:t>
      </w:r>
      <w:bookmarkEnd w:id="234"/>
    </w:p>
    <w:p w14:paraId="37771ECD" w14:textId="1A1BCC52" w:rsidR="00085503" w:rsidRDefault="00085503" w:rsidP="00085503">
      <w:pPr>
        <w:spacing w:after="0" w:line="240" w:lineRule="auto"/>
        <w:jc w:val="both"/>
      </w:pPr>
    </w:p>
    <w:p w14:paraId="1BA3363E" w14:textId="77777777" w:rsidR="00085503" w:rsidRPr="00085503" w:rsidRDefault="00085503" w:rsidP="00085503">
      <w:pPr>
        <w:spacing w:after="0" w:line="240" w:lineRule="auto"/>
        <w:jc w:val="both"/>
      </w:pPr>
      <w:r w:rsidRPr="00085503">
        <w:rPr>
          <w:b/>
          <w:bCs/>
        </w:rPr>
        <w:t>Principe</w:t>
      </w:r>
      <w:r w:rsidRPr="00085503">
        <w:t xml:space="preserve"> une tranchée de 30 cm de profondeur, rectiligne ou incurvée, permet de conserver l’eau de ruissellement auprès d’arbres plantés au milieu de cette même tranchée. Les arbres (espacés d’1m) résistent mieux à la sécheresse. A utiliser pour de l’embocagement, la fixation biologique de terrains pentus et comme source de production de bois de service.</w:t>
      </w:r>
    </w:p>
    <w:p w14:paraId="5F64B207" w14:textId="26FD6D5F" w:rsidR="00085503" w:rsidRPr="00085503" w:rsidRDefault="00085503" w:rsidP="00085503">
      <w:pPr>
        <w:spacing w:after="0" w:line="240" w:lineRule="auto"/>
        <w:jc w:val="both"/>
      </w:pPr>
      <w:r w:rsidRPr="00085503">
        <w:rPr>
          <w:b/>
          <w:bCs/>
        </w:rPr>
        <w:t xml:space="preserve">Prérequis </w:t>
      </w:r>
      <w:r w:rsidRPr="00085503">
        <w:t>main d’œuvre disponible</w:t>
      </w:r>
    </w:p>
    <w:p w14:paraId="350EA60A" w14:textId="77777777" w:rsidR="00085503" w:rsidRPr="00085503" w:rsidRDefault="00085503" w:rsidP="00085503">
      <w:pPr>
        <w:spacing w:after="0" w:line="240" w:lineRule="auto"/>
        <w:jc w:val="both"/>
      </w:pPr>
      <w:r w:rsidRPr="00085503">
        <w:rPr>
          <w:b/>
          <w:bCs/>
        </w:rPr>
        <w:t xml:space="preserve">Effets concrets </w:t>
      </w:r>
      <w:r w:rsidRPr="00085503">
        <w:t>permet la croissance des arbres dans un contexte aride, favorise l’infiltration et protection des champs de culture en tant que brise vent. Effets concret après 3 ans.</w:t>
      </w:r>
    </w:p>
    <w:p w14:paraId="0E048BE7" w14:textId="4E8B13E6" w:rsidR="00085503" w:rsidRPr="00085503" w:rsidRDefault="00085503" w:rsidP="00085503">
      <w:pPr>
        <w:spacing w:after="0" w:line="240" w:lineRule="auto"/>
        <w:jc w:val="both"/>
      </w:pPr>
      <w:r w:rsidRPr="00085503">
        <w:rPr>
          <w:b/>
          <w:bCs/>
        </w:rPr>
        <w:t>Coût</w:t>
      </w:r>
      <w:r w:rsidRPr="00085503">
        <w:t xml:space="preserve"> matériel et main d’</w:t>
      </w:r>
      <w:r>
        <w:t xml:space="preserve">œuvre </w:t>
      </w:r>
      <w:r w:rsidRPr="00085503">
        <w:t>pour le creusage des tranchées, production de plants. Environ 200 €/ha.</w:t>
      </w:r>
    </w:p>
    <w:p w14:paraId="377A1478" w14:textId="4887420F" w:rsidR="00085503" w:rsidRDefault="00085503" w:rsidP="00085503">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43"/>
        <w:gridCol w:w="3846"/>
        <w:gridCol w:w="3137"/>
      </w:tblGrid>
      <w:tr w:rsidR="00085503" w14:paraId="54BF8EF2" w14:textId="77777777" w:rsidTr="00085503">
        <w:tc>
          <w:tcPr>
            <w:tcW w:w="3472" w:type="dxa"/>
          </w:tcPr>
          <w:p w14:paraId="2800F669" w14:textId="77777777" w:rsidR="00085503" w:rsidRDefault="00085503" w:rsidP="00085503">
            <w:pPr>
              <w:jc w:val="center"/>
            </w:pPr>
            <w:r w:rsidRPr="00085503">
              <w:rPr>
                <w:noProof/>
              </w:rPr>
              <w:drawing>
                <wp:inline distT="0" distB="0" distL="0" distR="0" wp14:anchorId="39DEA4B4" wp14:editId="66C138BD">
                  <wp:extent cx="1994391" cy="2790825"/>
                  <wp:effectExtent l="0" t="0" r="6350" b="0"/>
                  <wp:docPr id="141319" name="Image 6" descr="plantation en tranché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19" name="Image 6" descr="plantation en tranchée.jpg"/>
                          <pic:cNvPicPr>
                            <a:picLocks noChangeAspect="1"/>
                          </pic:cNvPicPr>
                        </pic:nvPicPr>
                        <pic:blipFill>
                          <a:blip r:embed="rId3088">
                            <a:extLst>
                              <a:ext uri="{28A0092B-C50C-407E-A947-70E740481C1C}">
                                <a14:useLocalDpi xmlns:a14="http://schemas.microsoft.com/office/drawing/2010/main" val="0"/>
                              </a:ext>
                            </a:extLst>
                          </a:blip>
                          <a:srcRect/>
                          <a:stretch>
                            <a:fillRect/>
                          </a:stretch>
                        </pic:blipFill>
                        <pic:spPr bwMode="auto">
                          <a:xfrm>
                            <a:off x="0" y="0"/>
                            <a:ext cx="1996877" cy="2794303"/>
                          </a:xfrm>
                          <a:prstGeom prst="rect">
                            <a:avLst/>
                          </a:prstGeom>
                          <a:noFill/>
                          <a:ln>
                            <a:noFill/>
                          </a:ln>
                        </pic:spPr>
                      </pic:pic>
                    </a:graphicData>
                  </a:graphic>
                </wp:inline>
              </w:drawing>
            </w:r>
          </w:p>
          <w:p w14:paraId="39D51BC6" w14:textId="25A1B286" w:rsidR="00085503" w:rsidRDefault="00085503" w:rsidP="00085503">
            <w:pPr>
              <w:jc w:val="center"/>
            </w:pPr>
            <w:r w:rsidRPr="00085503">
              <w:t>© CILSS/IREMLCD-2008</w:t>
            </w:r>
          </w:p>
        </w:tc>
        <w:tc>
          <w:tcPr>
            <w:tcW w:w="3472" w:type="dxa"/>
          </w:tcPr>
          <w:p w14:paraId="3F973FF0" w14:textId="6EFA9296" w:rsidR="00085503" w:rsidRDefault="00085503" w:rsidP="00085503">
            <w:pPr>
              <w:jc w:val="center"/>
            </w:pPr>
            <w:r w:rsidRPr="00085503">
              <w:rPr>
                <w:noProof/>
              </w:rPr>
              <w:drawing>
                <wp:inline distT="0" distB="0" distL="0" distR="0" wp14:anchorId="1DD68991" wp14:editId="4A6849EE">
                  <wp:extent cx="2305050" cy="1574800"/>
                  <wp:effectExtent l="0" t="0" r="0" b="6350"/>
                  <wp:docPr id="141323" name="Picture 11" descr="C:\Users\LISAN\Documents\DVD-DevDurable\eau\eau-Potabilisation-GestionDeLEau-Irrigation\irrigation-stockage-eau\images\trench bun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23" name="Picture 11" descr="C:\Users\LISAN\Documents\DVD-DevDurable\eau\eau-Potabilisation-GestionDeLEau-Irrigation\irrigation-stockage-eau\images\trench bunds.jpg"/>
                          <pic:cNvPicPr>
                            <a:picLocks noChangeAspect="1" noChangeArrowheads="1"/>
                          </pic:cNvPicPr>
                        </pic:nvPicPr>
                        <pic:blipFill>
                          <a:blip r:embed="rId3089">
                            <a:extLst>
                              <a:ext uri="{28A0092B-C50C-407E-A947-70E740481C1C}">
                                <a14:useLocalDpi xmlns:a14="http://schemas.microsoft.com/office/drawing/2010/main" val="0"/>
                              </a:ext>
                            </a:extLst>
                          </a:blip>
                          <a:srcRect/>
                          <a:stretch>
                            <a:fillRect/>
                          </a:stretch>
                        </pic:blipFill>
                        <pic:spPr bwMode="auto">
                          <a:xfrm>
                            <a:off x="0" y="0"/>
                            <a:ext cx="2305050" cy="157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5FC5B0D0" w14:textId="77777777" w:rsidR="00085503" w:rsidRDefault="00085503" w:rsidP="00085503">
            <w:pPr>
              <w:jc w:val="center"/>
            </w:pPr>
            <w:r w:rsidRPr="00085503">
              <w:rPr>
                <w:noProof/>
              </w:rPr>
              <w:drawing>
                <wp:inline distT="0" distB="0" distL="0" distR="0" wp14:anchorId="599899C8" wp14:editId="4E5081F2">
                  <wp:extent cx="1276350" cy="1323975"/>
                  <wp:effectExtent l="0" t="0" r="0" b="9525"/>
                  <wp:docPr id="141321" name="Picture 9" descr="C:\Users\LISAN\Pictures\plantes-halophytes-xerophiles\sillons1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21" name="Picture 9" descr="C:\Users\LISAN\Pictures\plantes-halophytes-xerophiles\sillons1_s.jpg"/>
                          <pic:cNvPicPr>
                            <a:picLocks noChangeAspect="1" noChangeArrowheads="1"/>
                          </pic:cNvPicPr>
                        </pic:nvPicPr>
                        <pic:blipFill>
                          <a:blip r:embed="rId3090">
                            <a:extLst>
                              <a:ext uri="{28A0092B-C50C-407E-A947-70E740481C1C}">
                                <a14:useLocalDpi xmlns:a14="http://schemas.microsoft.com/office/drawing/2010/main" val="0"/>
                              </a:ext>
                            </a:extLst>
                          </a:blip>
                          <a:srcRect/>
                          <a:stretch>
                            <a:fillRect/>
                          </a:stretch>
                        </pic:blipFill>
                        <pic:spPr bwMode="auto">
                          <a:xfrm>
                            <a:off x="0" y="0"/>
                            <a:ext cx="1276350" cy="1323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7ADB01C" w14:textId="77777777" w:rsidR="00085503" w:rsidRDefault="00085503" w:rsidP="00085503">
            <w:pPr>
              <w:jc w:val="center"/>
            </w:pPr>
            <w:r w:rsidRPr="00085503">
              <w:rPr>
                <w:noProof/>
              </w:rPr>
              <w:drawing>
                <wp:inline distT="0" distB="0" distL="0" distR="0" wp14:anchorId="4D0A0C04" wp14:editId="157BC2B5">
                  <wp:extent cx="1152525" cy="1457325"/>
                  <wp:effectExtent l="0" t="0" r="9525" b="9525"/>
                  <wp:docPr id="141322" name="Picture 10" descr="C:\Users\LISAN\Pictures\plantes-halophytes-xerophiles\sillons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22" name="Picture 10" descr="C:\Users\LISAN\Pictures\plantes-halophytes-xerophiles\sillons2_s.jpg"/>
                          <pic:cNvPicPr>
                            <a:picLocks noChangeAspect="1" noChangeArrowheads="1"/>
                          </pic:cNvPicPr>
                        </pic:nvPicPr>
                        <pic:blipFill>
                          <a:blip r:embed="rId3091">
                            <a:extLst>
                              <a:ext uri="{28A0092B-C50C-407E-A947-70E740481C1C}">
                                <a14:useLocalDpi xmlns:a14="http://schemas.microsoft.com/office/drawing/2010/main" val="0"/>
                              </a:ext>
                            </a:extLst>
                          </a:blip>
                          <a:srcRect/>
                          <a:stretch>
                            <a:fillRect/>
                          </a:stretch>
                        </pic:blipFill>
                        <pic:spPr bwMode="auto">
                          <a:xfrm>
                            <a:off x="0" y="0"/>
                            <a:ext cx="1152525" cy="1457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87CBF31" w14:textId="23DCCF4C" w:rsidR="00085503" w:rsidRDefault="00085503" w:rsidP="00085503">
            <w:pPr>
              <w:jc w:val="center"/>
            </w:pPr>
            <w:r w:rsidRPr="00085503">
              <w:t>© CILSS/IREMLCD-2008</w:t>
            </w:r>
          </w:p>
        </w:tc>
      </w:tr>
    </w:tbl>
    <w:p w14:paraId="0F68122C" w14:textId="398C4F01" w:rsidR="00416EDC" w:rsidRDefault="00416EDC" w:rsidP="00940F40">
      <w:pPr>
        <w:spacing w:after="0" w:line="240" w:lineRule="auto"/>
      </w:pPr>
    </w:p>
    <w:p w14:paraId="56BFBE97" w14:textId="77777777" w:rsidR="00416EDC" w:rsidRDefault="00416EDC">
      <w:r>
        <w:br w:type="page"/>
      </w:r>
    </w:p>
    <w:p w14:paraId="29CD06D8" w14:textId="2A2FB9DA" w:rsidR="00416EDC" w:rsidRDefault="00416EDC" w:rsidP="00416EDC">
      <w:pPr>
        <w:pStyle w:val="Titre2"/>
      </w:pPr>
      <w:bookmarkStart w:id="235" w:name="_Toc139181526"/>
      <w:r w:rsidRPr="00416EDC">
        <w:lastRenderedPageBreak/>
        <w:t>Système Vallerini ou VALLERANI SYSTEM (VS)</w:t>
      </w:r>
      <w:bookmarkEnd w:id="235"/>
    </w:p>
    <w:p w14:paraId="2B408416" w14:textId="03F9B9AA" w:rsidR="00416EDC" w:rsidRDefault="00416EDC" w:rsidP="00416EDC">
      <w:pPr>
        <w:spacing w:after="0" w:line="240" w:lineRule="auto"/>
        <w:jc w:val="both"/>
      </w:pPr>
    </w:p>
    <w:p w14:paraId="0528F23F" w14:textId="63054734" w:rsidR="00416EDC" w:rsidRPr="00416EDC" w:rsidRDefault="00416EDC" w:rsidP="00416EDC">
      <w:pPr>
        <w:spacing w:after="0" w:line="240" w:lineRule="auto"/>
        <w:jc w:val="both"/>
      </w:pPr>
      <w:r w:rsidRPr="00416EDC">
        <w:t xml:space="preserve">Le </w:t>
      </w:r>
      <w:r w:rsidRPr="00416EDC">
        <w:rPr>
          <w:b/>
          <w:bCs/>
          <w:lang w:val="sv-SE"/>
        </w:rPr>
        <w:t>Système Vallerini (</w:t>
      </w:r>
      <w:r w:rsidRPr="00416EDC">
        <w:t xml:space="preserve">VS) utilise la charrue Delfino inventées et brevetées par le Dr. Venanzio Vallerani avec le fabricant Nardi. La charrue crée dans le sol un système de micro-bassins et de sacs enterrés pour recueillir l’eau de pluie autant que d’autres ressources disponibles (terre fine, matière organique, semences, etc.). Le VS adopte le semis direct de plantes indigènes (éventuellement intégré par la transplantation d’espèces provenant de pépinière) dont la germination et la croissance sont dues à l’eau recueillie dans les micro-bassins. Source : </w:t>
      </w:r>
      <w:hyperlink r:id="rId3092" w:history="1">
        <w:r w:rsidRPr="00416EDC">
          <w:rPr>
            <w:rStyle w:val="Lienhypertexte"/>
          </w:rPr>
          <w:t>http://www.vallerani.com/</w:t>
        </w:r>
      </w:hyperlink>
      <w:r w:rsidRPr="00416EDC">
        <w:t xml:space="preserve"> </w:t>
      </w:r>
    </w:p>
    <w:p w14:paraId="1E545D97" w14:textId="63C325DE" w:rsidR="00416EDC" w:rsidRDefault="00416EDC" w:rsidP="00416EDC">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5880"/>
      </w:tblGrid>
      <w:tr w:rsidR="008C43B0" w14:paraId="18C82404" w14:textId="77777777" w:rsidTr="008C43B0">
        <w:tc>
          <w:tcPr>
            <w:tcW w:w="4536" w:type="dxa"/>
          </w:tcPr>
          <w:p w14:paraId="68845A94" w14:textId="53376D25" w:rsidR="008C43B0" w:rsidRDefault="008C43B0" w:rsidP="008C43B0">
            <w:pPr>
              <w:jc w:val="center"/>
            </w:pPr>
            <w:r w:rsidRPr="008C43B0">
              <w:rPr>
                <w:noProof/>
              </w:rPr>
              <w:drawing>
                <wp:inline distT="0" distB="0" distL="0" distR="0" wp14:anchorId="1062F37E" wp14:editId="3F23F474">
                  <wp:extent cx="2736850" cy="1485900"/>
                  <wp:effectExtent l="0" t="0" r="6350" b="0"/>
                  <wp:docPr id="52248" name="Picture 2" descr="C:\Users\LISAN\Documents\DVD-DevDurable\eau\eau-Potabilisation-GestionDeLEau-Irrigation\irrigation-stockage-eau\images\Système Vallerani8_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00" name="Picture 2" descr="C:\Users\LISAN\Documents\DVD-DevDurable\eau\eau-Potabilisation-GestionDeLEau-Irrigation\irrigation-stockage-eau\images\Système Vallerani8_s1.jpg"/>
                          <pic:cNvPicPr>
                            <a:picLocks noChangeAspect="1" noChangeArrowheads="1"/>
                          </pic:cNvPicPr>
                        </pic:nvPicPr>
                        <pic:blipFill>
                          <a:blip r:embed="rId3093">
                            <a:extLst>
                              <a:ext uri="{28A0092B-C50C-407E-A947-70E740481C1C}">
                                <a14:useLocalDpi xmlns:a14="http://schemas.microsoft.com/office/drawing/2010/main" val="0"/>
                              </a:ext>
                            </a:extLst>
                          </a:blip>
                          <a:srcRect/>
                          <a:stretch>
                            <a:fillRect/>
                          </a:stretch>
                        </pic:blipFill>
                        <pic:spPr bwMode="auto">
                          <a:xfrm>
                            <a:off x="0" y="0"/>
                            <a:ext cx="2736850" cy="148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880" w:type="dxa"/>
          </w:tcPr>
          <w:p w14:paraId="3893CA64" w14:textId="3D190B2E" w:rsidR="008C43B0" w:rsidRDefault="008C43B0" w:rsidP="008C43B0">
            <w:pPr>
              <w:jc w:val="center"/>
            </w:pPr>
            <w:r w:rsidRPr="008C43B0">
              <w:rPr>
                <w:noProof/>
              </w:rPr>
              <w:drawing>
                <wp:inline distT="0" distB="0" distL="0" distR="0" wp14:anchorId="50BED10F" wp14:editId="4367138D">
                  <wp:extent cx="1514475" cy="1352550"/>
                  <wp:effectExtent l="0" t="0" r="9525" b="0"/>
                  <wp:docPr id="52249" name="Picture 4" descr="C:\Users\LISAN\Documents\DVD-DevDurable\eau\eau-Potabilisation-GestionDeLEau-Irrigation\irrigation-stockage-eau\images\Système Vallerani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02" name="Picture 4" descr="C:\Users\LISAN\Documents\DVD-DevDurable\eau\eau-Potabilisation-GestionDeLEau-Irrigation\irrigation-stockage-eau\images\Système Vallerani2_s.jpg"/>
                          <pic:cNvPicPr>
                            <a:picLocks noChangeAspect="1" noChangeArrowheads="1"/>
                          </pic:cNvPicPr>
                        </pic:nvPicPr>
                        <pic:blipFill>
                          <a:blip r:embed="rId3094">
                            <a:extLst>
                              <a:ext uri="{28A0092B-C50C-407E-A947-70E740481C1C}">
                                <a14:useLocalDpi xmlns:a14="http://schemas.microsoft.com/office/drawing/2010/main" val="0"/>
                              </a:ext>
                            </a:extLst>
                          </a:blip>
                          <a:srcRect/>
                          <a:stretch>
                            <a:fillRect/>
                          </a:stretch>
                        </pic:blipFill>
                        <pic:spPr bwMode="auto">
                          <a:xfrm>
                            <a:off x="0" y="0"/>
                            <a:ext cx="1514475" cy="1352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t xml:space="preserve"> </w:t>
            </w:r>
            <w:r w:rsidRPr="008C43B0">
              <w:rPr>
                <w:noProof/>
              </w:rPr>
              <w:drawing>
                <wp:inline distT="0" distB="0" distL="0" distR="0" wp14:anchorId="04CEB6F6" wp14:editId="094DA747">
                  <wp:extent cx="1943100" cy="1371600"/>
                  <wp:effectExtent l="0" t="0" r="0" b="0"/>
                  <wp:docPr id="52250" name="Picture 8" descr="C:\Users\LISAN\Documents\DVD-DevDurable\eau\eau-Potabilisation-GestionDeLEau-Irrigation\irrigation-stockage-eau\images\Système Vallerani7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06" name="Picture 8" descr="C:\Users\LISAN\Documents\DVD-DevDurable\eau\eau-Potabilisation-GestionDeLEau-Irrigation\irrigation-stockage-eau\images\Système Vallerani7_s.jpg"/>
                          <pic:cNvPicPr>
                            <a:picLocks noChangeAspect="1" noChangeArrowheads="1"/>
                          </pic:cNvPicPr>
                        </pic:nvPicPr>
                        <pic:blipFill>
                          <a:blip r:embed="rId3095">
                            <a:extLst>
                              <a:ext uri="{28A0092B-C50C-407E-A947-70E740481C1C}">
                                <a14:useLocalDpi xmlns:a14="http://schemas.microsoft.com/office/drawing/2010/main" val="0"/>
                              </a:ext>
                            </a:extLst>
                          </a:blip>
                          <a:srcRect/>
                          <a:stretch>
                            <a:fillRect/>
                          </a:stretch>
                        </pic:blipFill>
                        <pic:spPr bwMode="auto">
                          <a:xfrm>
                            <a:off x="0" y="0"/>
                            <a:ext cx="1943100" cy="137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8C43B0" w14:paraId="1638A5E6" w14:textId="77777777" w:rsidTr="008C43B0">
        <w:tc>
          <w:tcPr>
            <w:tcW w:w="4536" w:type="dxa"/>
          </w:tcPr>
          <w:p w14:paraId="511A5E15" w14:textId="59A7275A" w:rsidR="008C43B0" w:rsidRDefault="008C43B0" w:rsidP="008C43B0">
            <w:pPr>
              <w:jc w:val="center"/>
            </w:pPr>
            <w:r w:rsidRPr="008C43B0">
              <w:rPr>
                <w:noProof/>
              </w:rPr>
              <w:drawing>
                <wp:inline distT="0" distB="0" distL="0" distR="0" wp14:anchorId="1ABF96F9" wp14:editId="430F847B">
                  <wp:extent cx="1323975" cy="2409825"/>
                  <wp:effectExtent l="0" t="0" r="9525" b="9525"/>
                  <wp:docPr id="52251" name="Picture 3" descr="C:\Users\LISAN\Documents\DVD-DevDurable\eau\eau-Potabilisation-GestionDeLEau-Irrigation\irrigation-stockage-eau\images\Système Vallerani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01" name="Picture 3" descr="C:\Users\LISAN\Documents\DVD-DevDurable\eau\eau-Potabilisation-GestionDeLEau-Irrigation\irrigation-stockage-eau\images\Système Vallerani_s.jpg"/>
                          <pic:cNvPicPr>
                            <a:picLocks noChangeAspect="1" noChangeArrowheads="1"/>
                          </pic:cNvPicPr>
                        </pic:nvPicPr>
                        <pic:blipFill>
                          <a:blip r:embed="rId3096">
                            <a:extLst>
                              <a:ext uri="{28A0092B-C50C-407E-A947-70E740481C1C}">
                                <a14:useLocalDpi xmlns:a14="http://schemas.microsoft.com/office/drawing/2010/main" val="0"/>
                              </a:ext>
                            </a:extLst>
                          </a:blip>
                          <a:srcRect/>
                          <a:stretch>
                            <a:fillRect/>
                          </a:stretch>
                        </pic:blipFill>
                        <pic:spPr bwMode="auto">
                          <a:xfrm>
                            <a:off x="0" y="0"/>
                            <a:ext cx="1323975" cy="2409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t xml:space="preserve"> </w:t>
            </w:r>
            <w:r w:rsidRPr="008C43B0">
              <w:rPr>
                <w:noProof/>
              </w:rPr>
              <w:drawing>
                <wp:inline distT="0" distB="0" distL="0" distR="0" wp14:anchorId="0D26F911" wp14:editId="2B2DADE9">
                  <wp:extent cx="1219200" cy="2171700"/>
                  <wp:effectExtent l="0" t="0" r="0" b="0"/>
                  <wp:docPr id="52252" name="Picture 5" descr="C:\Users\LISAN\Documents\DVD-DevDurable\eau\eau-Potabilisation-GestionDeLEau-Irrigation\irrigation-stockage-eau\images\Système Vallerani3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03" name="Picture 5" descr="C:\Users\LISAN\Documents\DVD-DevDurable\eau\eau-Potabilisation-GestionDeLEau-Irrigation\irrigation-stockage-eau\images\Système Vallerani3_s.jpg"/>
                          <pic:cNvPicPr>
                            <a:picLocks noChangeAspect="1" noChangeArrowheads="1"/>
                          </pic:cNvPicPr>
                        </pic:nvPicPr>
                        <pic:blipFill>
                          <a:blip r:embed="rId3097">
                            <a:extLst>
                              <a:ext uri="{28A0092B-C50C-407E-A947-70E740481C1C}">
                                <a14:useLocalDpi xmlns:a14="http://schemas.microsoft.com/office/drawing/2010/main" val="0"/>
                              </a:ext>
                            </a:extLst>
                          </a:blip>
                          <a:srcRect/>
                          <a:stretch>
                            <a:fillRect/>
                          </a:stretch>
                        </pic:blipFill>
                        <pic:spPr bwMode="auto">
                          <a:xfrm>
                            <a:off x="0" y="0"/>
                            <a:ext cx="1219200" cy="2171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880" w:type="dxa"/>
          </w:tcPr>
          <w:p w14:paraId="7B98210B" w14:textId="1F6558F8" w:rsidR="008C43B0" w:rsidRDefault="008C43B0" w:rsidP="008C43B0">
            <w:pPr>
              <w:jc w:val="center"/>
            </w:pPr>
            <w:r w:rsidRPr="008C43B0">
              <w:rPr>
                <w:noProof/>
              </w:rPr>
              <w:drawing>
                <wp:inline distT="0" distB="0" distL="0" distR="0" wp14:anchorId="0500BF0C" wp14:editId="08ADD085">
                  <wp:extent cx="1447800" cy="3438525"/>
                  <wp:effectExtent l="0" t="0" r="0" b="9525"/>
                  <wp:docPr id="52253" name="Picture 6" descr="C:\Users\LISAN\Documents\DVD-DevDurable\eau\eau-Potabilisation-GestionDeLEau-Irrigation\irrigation-stockage-eau\images\Système Vallerani5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04" name="Picture 6" descr="C:\Users\LISAN\Documents\DVD-DevDurable\eau\eau-Potabilisation-GestionDeLEau-Irrigation\irrigation-stockage-eau\images\Système Vallerani5_s.jpg"/>
                          <pic:cNvPicPr>
                            <a:picLocks noChangeAspect="1" noChangeArrowheads="1"/>
                          </pic:cNvPicPr>
                        </pic:nvPicPr>
                        <pic:blipFill>
                          <a:blip r:embed="rId3098">
                            <a:extLst>
                              <a:ext uri="{28A0092B-C50C-407E-A947-70E740481C1C}">
                                <a14:useLocalDpi xmlns:a14="http://schemas.microsoft.com/office/drawing/2010/main" val="0"/>
                              </a:ext>
                            </a:extLst>
                          </a:blip>
                          <a:srcRect/>
                          <a:stretch>
                            <a:fillRect/>
                          </a:stretch>
                        </pic:blipFill>
                        <pic:spPr bwMode="auto">
                          <a:xfrm>
                            <a:off x="0" y="0"/>
                            <a:ext cx="1447800" cy="3438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t xml:space="preserve"> </w:t>
            </w:r>
            <w:r w:rsidRPr="008C43B0">
              <w:rPr>
                <w:noProof/>
              </w:rPr>
              <w:drawing>
                <wp:inline distT="0" distB="0" distL="0" distR="0" wp14:anchorId="0E12F471" wp14:editId="08385E6F">
                  <wp:extent cx="2095500" cy="1343025"/>
                  <wp:effectExtent l="0" t="0" r="0" b="9525"/>
                  <wp:docPr id="52254" name="Picture 9" descr="C:\Users\LISAN\Documents\DVD-DevDurable\eau\eau-Potabilisation-GestionDeLEau-Irrigation\irrigation-stockage-eau\images\Ridger in action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07" name="Picture 9" descr="C:\Users\LISAN\Documents\DVD-DevDurable\eau\eau-Potabilisation-GestionDeLEau-Irrigation\irrigation-stockage-eau\images\Ridger in action_s.jpg"/>
                          <pic:cNvPicPr>
                            <a:picLocks noChangeAspect="1" noChangeArrowheads="1"/>
                          </pic:cNvPicPr>
                        </pic:nvPicPr>
                        <pic:blipFill>
                          <a:blip r:embed="rId3099">
                            <a:extLst>
                              <a:ext uri="{28A0092B-C50C-407E-A947-70E740481C1C}">
                                <a14:useLocalDpi xmlns:a14="http://schemas.microsoft.com/office/drawing/2010/main" val="0"/>
                              </a:ext>
                            </a:extLst>
                          </a:blip>
                          <a:srcRect/>
                          <a:stretch>
                            <a:fillRect/>
                          </a:stretch>
                        </pic:blipFill>
                        <pic:spPr bwMode="auto">
                          <a:xfrm>
                            <a:off x="0" y="0"/>
                            <a:ext cx="2095500" cy="1343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63EF683D" w14:textId="77777777" w:rsidR="00416EDC" w:rsidRDefault="00416EDC" w:rsidP="00416EDC">
      <w:pPr>
        <w:spacing w:after="0" w:line="240" w:lineRule="auto"/>
        <w:jc w:val="both"/>
      </w:pPr>
    </w:p>
    <w:p w14:paraId="6B8DDB6C" w14:textId="333CA687" w:rsidR="00B10C2C" w:rsidRDefault="00B10C2C" w:rsidP="00B10C2C">
      <w:pPr>
        <w:pStyle w:val="Titre2"/>
      </w:pPr>
      <w:bookmarkStart w:id="236" w:name="_Toc139181527"/>
      <w:r w:rsidRPr="00B10C2C">
        <w:t>Barrages, Jessours, Tabia</w:t>
      </w:r>
      <w:bookmarkEnd w:id="236"/>
    </w:p>
    <w:p w14:paraId="38CD53F9" w14:textId="4DFBFEF8" w:rsidR="00B10C2C" w:rsidRDefault="00B10C2C" w:rsidP="00492625">
      <w:pPr>
        <w:spacing w:after="0" w:line="240" w:lineRule="auto"/>
        <w:jc w:val="both"/>
      </w:pPr>
    </w:p>
    <w:p w14:paraId="34E807C1" w14:textId="77777777" w:rsidR="00475AFC" w:rsidRPr="00475AFC" w:rsidRDefault="00475AFC" w:rsidP="00475AFC">
      <w:pPr>
        <w:spacing w:after="0" w:line="240" w:lineRule="auto"/>
        <w:jc w:val="both"/>
      </w:pPr>
      <w:r w:rsidRPr="00475AFC">
        <w:t xml:space="preserve">Les </w:t>
      </w:r>
      <w:r w:rsidRPr="00475AFC">
        <w:rPr>
          <w:b/>
          <w:bCs/>
        </w:rPr>
        <w:t>jessour</w:t>
      </w:r>
      <w:r w:rsidRPr="00475AFC">
        <w:t xml:space="preserve"> (sing. jesser) : Dans les zones arides de montagnes, des petites digues en terre (ou en pierre) sont construites en série dans les vallées secondaires pour capter le ruissellement et sa charge solide. Ces digues permettent la formation progressive de terrasses plantées en arbres fruitiers (palmiers, figuiers et oliviers dont les tiges supportent d'être enfouies sous les sédiments) et semées en céréales et légumineuses (BoNvAunr, 1986). La digue (tabia) en terre compactée se construit soit manuellement, soit avec des tracteurs.</w:t>
      </w:r>
    </w:p>
    <w:p w14:paraId="577161AF" w14:textId="373C54A2" w:rsidR="00492625" w:rsidRDefault="00492625" w:rsidP="00492625">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66"/>
        <w:gridCol w:w="4650"/>
      </w:tblGrid>
      <w:tr w:rsidR="00E729EA" w14:paraId="771B55F8" w14:textId="77777777" w:rsidTr="001E244A">
        <w:tc>
          <w:tcPr>
            <w:tcW w:w="5766" w:type="dxa"/>
          </w:tcPr>
          <w:p w14:paraId="58B6EE68" w14:textId="33B6E401" w:rsidR="00E729EA" w:rsidRDefault="000A1863" w:rsidP="00E729EA">
            <w:pPr>
              <w:jc w:val="center"/>
            </w:pPr>
            <w:r w:rsidRPr="000A1863">
              <w:rPr>
                <w:noProof/>
              </w:rPr>
              <w:lastRenderedPageBreak/>
              <w:drawing>
                <wp:inline distT="0" distB="0" distL="0" distR="0" wp14:anchorId="0A55CCF0" wp14:editId="433BF4D1">
                  <wp:extent cx="3524250" cy="1552131"/>
                  <wp:effectExtent l="0" t="0" r="0" b="0"/>
                  <wp:docPr id="107531" name="Picture 5" descr="C:\Users\LISAN\Documents\DeveloppementDurable\botanique\irrigation-stockage-eau\images\barrage5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31" name="Picture 5" descr="C:\Users\LISAN\Documents\DeveloppementDurable\botanique\irrigation-stockage-eau\images\barrage5_s.jpg"/>
                          <pic:cNvPicPr>
                            <a:picLocks noChangeAspect="1" noChangeArrowheads="1"/>
                          </pic:cNvPicPr>
                        </pic:nvPicPr>
                        <pic:blipFill>
                          <a:blip r:embed="rId3100">
                            <a:extLst>
                              <a:ext uri="{28A0092B-C50C-407E-A947-70E740481C1C}">
                                <a14:useLocalDpi xmlns:a14="http://schemas.microsoft.com/office/drawing/2010/main" val="0"/>
                              </a:ext>
                            </a:extLst>
                          </a:blip>
                          <a:srcRect/>
                          <a:stretch>
                            <a:fillRect/>
                          </a:stretch>
                        </pic:blipFill>
                        <pic:spPr bwMode="auto">
                          <a:xfrm>
                            <a:off x="0" y="0"/>
                            <a:ext cx="3529082" cy="1554259"/>
                          </a:xfrm>
                          <a:prstGeom prst="rect">
                            <a:avLst/>
                          </a:prstGeom>
                          <a:noFill/>
                          <a:ln>
                            <a:noFill/>
                          </a:ln>
                        </pic:spPr>
                      </pic:pic>
                    </a:graphicData>
                  </a:graphic>
                </wp:inline>
              </w:drawing>
            </w:r>
          </w:p>
        </w:tc>
        <w:tc>
          <w:tcPr>
            <w:tcW w:w="4650" w:type="dxa"/>
          </w:tcPr>
          <w:p w14:paraId="15DCC0CF" w14:textId="77777777" w:rsidR="00E729EA" w:rsidRDefault="000A1863" w:rsidP="00E729EA">
            <w:pPr>
              <w:jc w:val="center"/>
            </w:pPr>
            <w:r w:rsidRPr="000A1863">
              <w:rPr>
                <w:noProof/>
              </w:rPr>
              <w:drawing>
                <wp:inline distT="0" distB="0" distL="0" distR="0" wp14:anchorId="0CDAA154" wp14:editId="3A6BC4AB">
                  <wp:extent cx="2381250" cy="1590675"/>
                  <wp:effectExtent l="0" t="0" r="0" b="9525"/>
                  <wp:docPr id="107528" name="Picture 2" descr="C:\Users\LISAN\Documents\DeveloppementDurable\botanique\irrigation-stockage-eau\images\jessour-of-tunis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28" name="Picture 2" descr="C:\Users\LISAN\Documents\DeveloppementDurable\botanique\irrigation-stockage-eau\images\jessour-of-tunisia.jpg"/>
                          <pic:cNvPicPr>
                            <a:picLocks noChangeAspect="1" noChangeArrowheads="1"/>
                          </pic:cNvPicPr>
                        </pic:nvPicPr>
                        <pic:blipFill>
                          <a:blip r:embed="rId3101">
                            <a:extLst>
                              <a:ext uri="{28A0092B-C50C-407E-A947-70E740481C1C}">
                                <a14:useLocalDpi xmlns:a14="http://schemas.microsoft.com/office/drawing/2010/main" val="0"/>
                              </a:ext>
                            </a:extLst>
                          </a:blip>
                          <a:srcRect/>
                          <a:stretch>
                            <a:fillRect/>
                          </a:stretch>
                        </pic:blipFill>
                        <pic:spPr bwMode="auto">
                          <a:xfrm>
                            <a:off x="0" y="0"/>
                            <a:ext cx="2381250" cy="1590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CE4F86D" w14:textId="6FC28E5F" w:rsidR="000A1863" w:rsidRDefault="000A1863" w:rsidP="00E729EA">
            <w:pPr>
              <w:jc w:val="center"/>
            </w:pPr>
          </w:p>
        </w:tc>
      </w:tr>
      <w:tr w:rsidR="00E729EA" w14:paraId="6CC50AB3" w14:textId="77777777" w:rsidTr="005F1F05">
        <w:tc>
          <w:tcPr>
            <w:tcW w:w="5766" w:type="dxa"/>
          </w:tcPr>
          <w:p w14:paraId="74D080AF" w14:textId="73BE3E60" w:rsidR="00E729EA" w:rsidRDefault="005F1F05" w:rsidP="00E729EA">
            <w:pPr>
              <w:jc w:val="center"/>
            </w:pPr>
            <w:r w:rsidRPr="000A1863">
              <w:rPr>
                <w:noProof/>
              </w:rPr>
              <w:drawing>
                <wp:inline distT="0" distB="0" distL="0" distR="0" wp14:anchorId="30CDAB97" wp14:editId="5D6D02F9">
                  <wp:extent cx="1343025" cy="1736699"/>
                  <wp:effectExtent l="0" t="0" r="0" b="0"/>
                  <wp:docPr id="107532" name="Picture 6" descr="C:\Users\LISAN\Documents\DeveloppementDurable\botanique\irrigation-stockage-eau\images\barra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32" name="Picture 6" descr="C:\Users\LISAN\Documents\DeveloppementDurable\botanique\irrigation-stockage-eau\images\barrage2.jpg"/>
                          <pic:cNvPicPr>
                            <a:picLocks noChangeAspect="1" noChangeArrowheads="1"/>
                          </pic:cNvPicPr>
                        </pic:nvPicPr>
                        <pic:blipFill>
                          <a:blip r:embed="rId3102">
                            <a:extLst>
                              <a:ext uri="{28A0092B-C50C-407E-A947-70E740481C1C}">
                                <a14:useLocalDpi xmlns:a14="http://schemas.microsoft.com/office/drawing/2010/main" val="0"/>
                              </a:ext>
                            </a:extLst>
                          </a:blip>
                          <a:srcRect/>
                          <a:stretch>
                            <a:fillRect/>
                          </a:stretch>
                        </pic:blipFill>
                        <pic:spPr bwMode="auto">
                          <a:xfrm>
                            <a:off x="0" y="0"/>
                            <a:ext cx="1344660" cy="1738813"/>
                          </a:xfrm>
                          <a:prstGeom prst="rect">
                            <a:avLst/>
                          </a:prstGeom>
                          <a:noFill/>
                          <a:ln>
                            <a:noFill/>
                          </a:ln>
                        </pic:spPr>
                      </pic:pic>
                    </a:graphicData>
                  </a:graphic>
                </wp:inline>
              </w:drawing>
            </w:r>
            <w:r>
              <w:t xml:space="preserve"> </w:t>
            </w:r>
            <w:r w:rsidRPr="000A1863">
              <w:rPr>
                <w:noProof/>
              </w:rPr>
              <w:drawing>
                <wp:inline distT="0" distB="0" distL="0" distR="0" wp14:anchorId="646BE481" wp14:editId="10EDF4CD">
                  <wp:extent cx="1762125" cy="1411879"/>
                  <wp:effectExtent l="0" t="0" r="0" b="0"/>
                  <wp:docPr id="107533" name="Picture 7" descr="C:\Users\LISAN\Documents\DeveloppementDurable\botanique\irrigation-stockage-eau\images\barrag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33" name="Picture 7" descr="C:\Users\LISAN\Documents\DeveloppementDurable\botanique\irrigation-stockage-eau\images\barrage3.jpg"/>
                          <pic:cNvPicPr>
                            <a:picLocks noChangeAspect="1" noChangeArrowheads="1"/>
                          </pic:cNvPicPr>
                        </pic:nvPicPr>
                        <pic:blipFill>
                          <a:blip r:embed="rId3103">
                            <a:extLst>
                              <a:ext uri="{28A0092B-C50C-407E-A947-70E740481C1C}">
                                <a14:useLocalDpi xmlns:a14="http://schemas.microsoft.com/office/drawing/2010/main" val="0"/>
                              </a:ext>
                            </a:extLst>
                          </a:blip>
                          <a:srcRect/>
                          <a:stretch>
                            <a:fillRect/>
                          </a:stretch>
                        </pic:blipFill>
                        <pic:spPr bwMode="auto">
                          <a:xfrm>
                            <a:off x="0" y="0"/>
                            <a:ext cx="1764317" cy="1413635"/>
                          </a:xfrm>
                          <a:prstGeom prst="rect">
                            <a:avLst/>
                          </a:prstGeom>
                          <a:noFill/>
                          <a:ln>
                            <a:noFill/>
                          </a:ln>
                        </pic:spPr>
                      </pic:pic>
                    </a:graphicData>
                  </a:graphic>
                </wp:inline>
              </w:drawing>
            </w:r>
          </w:p>
        </w:tc>
        <w:tc>
          <w:tcPr>
            <w:tcW w:w="4650" w:type="dxa"/>
          </w:tcPr>
          <w:p w14:paraId="7DE59D00" w14:textId="3D03F241" w:rsidR="005F1F05" w:rsidRDefault="005F1F05" w:rsidP="00E729EA">
            <w:pPr>
              <w:jc w:val="center"/>
            </w:pPr>
            <w:r w:rsidRPr="000A1863">
              <w:rPr>
                <w:noProof/>
              </w:rPr>
              <w:drawing>
                <wp:inline distT="0" distB="0" distL="0" distR="0" wp14:anchorId="5B718100" wp14:editId="35B036F4">
                  <wp:extent cx="2533650" cy="1689100"/>
                  <wp:effectExtent l="0" t="0" r="0" b="6350"/>
                  <wp:docPr id="107530" name="Picture 4" descr="C:\Users\LISAN\Documents\DeveloppementDurable\botanique\irrigation-stockage-eau\images\barr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30" name="Picture 4" descr="C:\Users\LISAN\Documents\DeveloppementDurable\botanique\irrigation-stockage-eau\images\barrage.jpg"/>
                          <pic:cNvPicPr>
                            <a:picLocks noChangeAspect="1" noChangeArrowheads="1"/>
                          </pic:cNvPicPr>
                        </pic:nvPicPr>
                        <pic:blipFill>
                          <a:blip r:embed="rId3104">
                            <a:extLst>
                              <a:ext uri="{28A0092B-C50C-407E-A947-70E740481C1C}">
                                <a14:useLocalDpi xmlns:a14="http://schemas.microsoft.com/office/drawing/2010/main" val="0"/>
                              </a:ext>
                            </a:extLst>
                          </a:blip>
                          <a:srcRect/>
                          <a:stretch>
                            <a:fillRect/>
                          </a:stretch>
                        </pic:blipFill>
                        <pic:spPr bwMode="auto">
                          <a:xfrm>
                            <a:off x="0" y="0"/>
                            <a:ext cx="2533976" cy="1689317"/>
                          </a:xfrm>
                          <a:prstGeom prst="rect">
                            <a:avLst/>
                          </a:prstGeom>
                          <a:noFill/>
                          <a:ln>
                            <a:noFill/>
                          </a:ln>
                        </pic:spPr>
                      </pic:pic>
                    </a:graphicData>
                  </a:graphic>
                </wp:inline>
              </w:drawing>
            </w:r>
          </w:p>
        </w:tc>
      </w:tr>
      <w:tr w:rsidR="005F1F05" w14:paraId="7A638AED" w14:textId="77777777" w:rsidTr="005F1F0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766" w:type="dxa"/>
            <w:tcBorders>
              <w:top w:val="nil"/>
              <w:left w:val="nil"/>
              <w:bottom w:val="nil"/>
              <w:right w:val="nil"/>
            </w:tcBorders>
          </w:tcPr>
          <w:p w14:paraId="57281BB0" w14:textId="049BE8AB" w:rsidR="005F1F05" w:rsidRDefault="005F1F05" w:rsidP="00A95DE0">
            <w:pPr>
              <w:jc w:val="center"/>
            </w:pPr>
            <w:r w:rsidRPr="000A1863">
              <w:rPr>
                <w:noProof/>
              </w:rPr>
              <w:drawing>
                <wp:inline distT="0" distB="0" distL="0" distR="0" wp14:anchorId="57D5AB3E" wp14:editId="3B17612F">
                  <wp:extent cx="3019425" cy="1581150"/>
                  <wp:effectExtent l="0" t="0" r="9525" b="0"/>
                  <wp:docPr id="107529" name="Picture 3" descr="C:\Users\LISAN\Documents\DeveloppementDurable\botanique\irrigation-stockage-eau\images\jessour_peu_sophistiqu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29" name="Picture 3" descr="C:\Users\LISAN\Documents\DeveloppementDurable\botanique\irrigation-stockage-eau\images\jessour_peu_sophistique_s.jpg"/>
                          <pic:cNvPicPr>
                            <a:picLocks noChangeAspect="1" noChangeArrowheads="1"/>
                          </pic:cNvPicPr>
                        </pic:nvPicPr>
                        <pic:blipFill>
                          <a:blip r:embed="rId3105">
                            <a:extLst>
                              <a:ext uri="{28A0092B-C50C-407E-A947-70E740481C1C}">
                                <a14:useLocalDpi xmlns:a14="http://schemas.microsoft.com/office/drawing/2010/main" val="0"/>
                              </a:ext>
                            </a:extLst>
                          </a:blip>
                          <a:srcRect/>
                          <a:stretch>
                            <a:fillRect/>
                          </a:stretch>
                        </pic:blipFill>
                        <pic:spPr bwMode="auto">
                          <a:xfrm>
                            <a:off x="0" y="0"/>
                            <a:ext cx="3019425" cy="1581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4650" w:type="dxa"/>
            <w:tcBorders>
              <w:top w:val="nil"/>
              <w:left w:val="nil"/>
              <w:bottom w:val="nil"/>
              <w:right w:val="nil"/>
            </w:tcBorders>
          </w:tcPr>
          <w:p w14:paraId="38BB0960" w14:textId="77777777" w:rsidR="005F1F05" w:rsidRDefault="005F1F05" w:rsidP="009A3C70">
            <w:pPr>
              <w:jc w:val="center"/>
            </w:pPr>
            <w:r w:rsidRPr="000A1863">
              <w:rPr>
                <w:noProof/>
              </w:rPr>
              <w:drawing>
                <wp:inline distT="0" distB="0" distL="0" distR="0" wp14:anchorId="0AF824FD" wp14:editId="6CAFBA60">
                  <wp:extent cx="2686050" cy="1447800"/>
                  <wp:effectExtent l="0" t="0" r="0" b="0"/>
                  <wp:docPr id="107534" name="Picture 8" descr="C:\Users\LISAN\Documents\DeveloppementDurable\botanique\irrigation-stockage-eau\images\barrage4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34" name="Picture 8" descr="C:\Users\LISAN\Documents\DeveloppementDurable\botanique\irrigation-stockage-eau\images\barrage4_s.jpg"/>
                          <pic:cNvPicPr>
                            <a:picLocks noChangeAspect="1" noChangeArrowheads="1"/>
                          </pic:cNvPicPr>
                        </pic:nvPicPr>
                        <pic:blipFill>
                          <a:blip r:embed="rId3106">
                            <a:extLst>
                              <a:ext uri="{28A0092B-C50C-407E-A947-70E740481C1C}">
                                <a14:useLocalDpi xmlns:a14="http://schemas.microsoft.com/office/drawing/2010/main" val="0"/>
                              </a:ext>
                            </a:extLst>
                          </a:blip>
                          <a:srcRect/>
                          <a:stretch>
                            <a:fillRect/>
                          </a:stretch>
                        </pic:blipFill>
                        <pic:spPr bwMode="auto">
                          <a:xfrm>
                            <a:off x="0" y="0"/>
                            <a:ext cx="2686050" cy="144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08F9BA15" w14:textId="6CE241C2" w:rsidR="00B10C2C" w:rsidRDefault="00B10C2C" w:rsidP="00B10C2C">
      <w:pPr>
        <w:spacing w:after="0" w:line="240" w:lineRule="auto"/>
      </w:pPr>
    </w:p>
    <w:p w14:paraId="060DD0D4" w14:textId="77777777" w:rsidR="001E244A" w:rsidRPr="001E244A" w:rsidRDefault="001E244A" w:rsidP="001E244A">
      <w:pPr>
        <w:spacing w:after="0" w:line="240" w:lineRule="auto"/>
        <w:jc w:val="both"/>
      </w:pPr>
      <w:r w:rsidRPr="001E244A">
        <w:t xml:space="preserve">Ce système peut être trouvé dans les régions plus arides (100 -. 200 mm de précipitations) et les zones montagneuses. </w:t>
      </w:r>
    </w:p>
    <w:p w14:paraId="39A4A2BF" w14:textId="2D19DED6" w:rsidR="001E244A" w:rsidRPr="001E244A" w:rsidRDefault="001E244A" w:rsidP="001E244A">
      <w:pPr>
        <w:spacing w:after="0" w:line="240" w:lineRule="auto"/>
        <w:jc w:val="both"/>
      </w:pPr>
      <w:r w:rsidRPr="001E244A">
        <w:t xml:space="preserve">Dans le lit des rivières saisonnières, des petits barrages de terre et de pierres sont construits. Les substrats s'accumulent devant ces barrages ainsi que dans les terrasses : du sol se forme progressivement sur 1 à 2 m d’épaisseur. Sur les terrasses, l'eau d'inondation est retenue et filtrée dans le sol. Cette eau supplémentaire fait que l'agriculture dans ces régions arides est possible. Sur les terrasses, différents arbres fruitiers _ oliviers, amandiers, dattiers, figuiers _, céréales et légumineuses sont cultivés. </w:t>
      </w:r>
    </w:p>
    <w:p w14:paraId="7C043EEB" w14:textId="77777777" w:rsidR="001E244A" w:rsidRPr="001E244A" w:rsidRDefault="001E244A" w:rsidP="001E244A">
      <w:pPr>
        <w:spacing w:after="0" w:line="240" w:lineRule="auto"/>
        <w:jc w:val="both"/>
      </w:pPr>
      <w:r w:rsidRPr="001E244A">
        <w:t xml:space="preserve">Dans la région de Marmata où de nombreux </w:t>
      </w:r>
      <w:r w:rsidRPr="001E244A">
        <w:rPr>
          <w:i/>
          <w:iCs/>
        </w:rPr>
        <w:t>jessours</w:t>
      </w:r>
      <w:r w:rsidRPr="001E244A">
        <w:t xml:space="preserve"> peuvent être trouvés, la pluviométrie est très variable (80-700 mm/an) avec des intensités de précipitations possibles de 220 ??mm/jour. Avec ce genre de pluie forte dans les montagnes, le coefficient de ruissellement peut être très élevé (jusqu'à 0,9, avec une moyenne de 0,4). En fonction de ce coefficient, un impluvium est nécessaire, qui est, en moyenne, 5 fois plus grand que la surface des terres cultivées. </w:t>
      </w:r>
    </w:p>
    <w:p w14:paraId="49EEACCA" w14:textId="77777777" w:rsidR="001E244A" w:rsidRPr="001E244A" w:rsidRDefault="001E244A" w:rsidP="001E244A">
      <w:pPr>
        <w:spacing w:after="0" w:line="240" w:lineRule="auto"/>
        <w:jc w:val="both"/>
      </w:pPr>
      <w:r w:rsidRPr="001E244A">
        <w:t xml:space="preserve">Les déversoirs sont en maçonnerie sèche et ont généralement une hauteur d'un tiers de la hauteur des barrages. Les barrages et les déversoirs doivent être construits très solides et l'entretien doivent être très cohérent pour rendre le système agricole possible. </w:t>
      </w:r>
    </w:p>
    <w:p w14:paraId="64679F1E" w14:textId="77777777" w:rsidR="001E244A" w:rsidRPr="001E244A" w:rsidRDefault="001E244A" w:rsidP="001E244A">
      <w:pPr>
        <w:spacing w:after="0" w:line="240" w:lineRule="auto"/>
        <w:jc w:val="both"/>
      </w:pPr>
      <w:r w:rsidRPr="001E244A">
        <w:t xml:space="preserve">Également dans la région de Marmata, des agriculteurs émigrent, recherchant de meilleures opportunités économiques. Les </w:t>
      </w:r>
      <w:r w:rsidRPr="001E244A">
        <w:rPr>
          <w:i/>
          <w:iCs/>
        </w:rPr>
        <w:t>jessours</w:t>
      </w:r>
      <w:r w:rsidRPr="001E244A">
        <w:t xml:space="preserve">, qui ont besoin d'un apport très élevé de la main-d'œuvre, sont abandonnés avec les mêmes conséquences que pour les </w:t>
      </w:r>
      <w:r w:rsidRPr="001E244A">
        <w:rPr>
          <w:i/>
          <w:iCs/>
        </w:rPr>
        <w:t>meskats</w:t>
      </w:r>
      <w:r w:rsidRPr="001E244A">
        <w:t>.</w:t>
      </w:r>
    </w:p>
    <w:p w14:paraId="3F01A530" w14:textId="0C32834B" w:rsidR="001E244A" w:rsidRDefault="001E244A" w:rsidP="001E244A">
      <w:pPr>
        <w:spacing w:after="0" w:line="240" w:lineRule="auto"/>
        <w:jc w:val="both"/>
      </w:pPr>
    </w:p>
    <w:p w14:paraId="08E3919E" w14:textId="1B5B0D53" w:rsidR="001E244A" w:rsidRDefault="001E244A" w:rsidP="001E244A">
      <w:pPr>
        <w:spacing w:after="0" w:line="240" w:lineRule="auto"/>
        <w:jc w:val="center"/>
      </w:pPr>
      <w:r w:rsidRPr="001E244A">
        <w:rPr>
          <w:noProof/>
        </w:rPr>
        <w:lastRenderedPageBreak/>
        <w:drawing>
          <wp:inline distT="0" distB="0" distL="0" distR="0" wp14:anchorId="7ECA9E9C" wp14:editId="3E33B2A5">
            <wp:extent cx="4476750" cy="1724025"/>
            <wp:effectExtent l="0" t="0" r="0" b="9525"/>
            <wp:docPr id="109578" name="Picture 6" descr="C:\Users\LISAN\Documents\DeveloppementDurable\botanique\irrigation-stockage-eau\images\A row of Jessour in the South of Tunis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78" name="Picture 6" descr="C:\Users\LISAN\Documents\DeveloppementDurable\botanique\irrigation-stockage-eau\images\A row of Jessour in the South of Tunisia.jpg"/>
                    <pic:cNvPicPr>
                      <a:picLocks noChangeAspect="1" noChangeArrowheads="1"/>
                    </pic:cNvPicPr>
                  </pic:nvPicPr>
                  <pic:blipFill>
                    <a:blip r:embed="rId3107">
                      <a:extLst>
                        <a:ext uri="{28A0092B-C50C-407E-A947-70E740481C1C}">
                          <a14:useLocalDpi xmlns:a14="http://schemas.microsoft.com/office/drawing/2010/main" val="0"/>
                        </a:ext>
                      </a:extLst>
                    </a:blip>
                    <a:srcRect/>
                    <a:stretch>
                      <a:fillRect/>
                    </a:stretch>
                  </pic:blipFill>
                  <pic:spPr bwMode="auto">
                    <a:xfrm>
                      <a:off x="0" y="0"/>
                      <a:ext cx="4476750" cy="1724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5F464C7" w14:textId="77777777" w:rsidR="001E244A" w:rsidRPr="001E244A" w:rsidRDefault="001E244A" w:rsidP="001E244A">
      <w:pPr>
        <w:spacing w:after="0" w:line="240" w:lineRule="auto"/>
        <w:jc w:val="center"/>
      </w:pPr>
      <w:r w:rsidRPr="001E244A">
        <w:t>Vue et profil du "</w:t>
      </w:r>
      <w:r w:rsidRPr="001E244A">
        <w:rPr>
          <w:b/>
          <w:bCs/>
        </w:rPr>
        <w:t>jessour</w:t>
      </w:r>
      <w:r w:rsidRPr="001E244A">
        <w:t>", système d'exploitation des eaux de ruissellement : le ruissellement de l'eau et des sédiments de la campagne vallonnée sont capturés derrière les barrages («</w:t>
      </w:r>
      <w:r w:rsidRPr="001E244A">
        <w:rPr>
          <w:b/>
          <w:bCs/>
        </w:rPr>
        <w:t>Tabia</w:t>
      </w:r>
      <w:r w:rsidRPr="001E244A">
        <w:t>») dans le fond de la vallée.</w:t>
      </w:r>
    </w:p>
    <w:p w14:paraId="0F1AFCB3" w14:textId="46B0A4A7" w:rsidR="001E244A" w:rsidRDefault="001E244A" w:rsidP="001E244A">
      <w:pPr>
        <w:spacing w:after="0" w:line="240" w:lineRule="auto"/>
        <w:jc w:val="cente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1E244A" w14:paraId="33BBB0A0" w14:textId="77777777" w:rsidTr="00D53AFD">
        <w:tc>
          <w:tcPr>
            <w:tcW w:w="5208" w:type="dxa"/>
          </w:tcPr>
          <w:p w14:paraId="2E091B5A" w14:textId="77777777" w:rsidR="001E244A" w:rsidRDefault="00D53AFD" w:rsidP="001E244A">
            <w:pPr>
              <w:jc w:val="center"/>
            </w:pPr>
            <w:r w:rsidRPr="00D53AFD">
              <w:rPr>
                <w:noProof/>
              </w:rPr>
              <w:drawing>
                <wp:inline distT="0" distB="0" distL="0" distR="0" wp14:anchorId="25AE4D11" wp14:editId="477BB96D">
                  <wp:extent cx="2932353" cy="1838325"/>
                  <wp:effectExtent l="0" t="0" r="1905" b="0"/>
                  <wp:docPr id="109576" name="Picture 3" descr="C:\Users\LISAN\Documents\DeveloppementDurable\botanique\irrigation-stockage-eau\images\Group of ancient jessours in a wadi syst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76" name="Picture 3" descr="C:\Users\LISAN\Documents\DeveloppementDurable\botanique\irrigation-stockage-eau\images\Group of ancient jessours in a wadi system.jpg"/>
                          <pic:cNvPicPr>
                            <a:picLocks noChangeAspect="1" noChangeArrowheads="1"/>
                          </pic:cNvPicPr>
                        </pic:nvPicPr>
                        <pic:blipFill>
                          <a:blip r:embed="rId3108">
                            <a:extLst>
                              <a:ext uri="{28A0092B-C50C-407E-A947-70E740481C1C}">
                                <a14:useLocalDpi xmlns:a14="http://schemas.microsoft.com/office/drawing/2010/main" val="0"/>
                              </a:ext>
                            </a:extLst>
                          </a:blip>
                          <a:srcRect/>
                          <a:stretch>
                            <a:fillRect/>
                          </a:stretch>
                        </pic:blipFill>
                        <pic:spPr bwMode="auto">
                          <a:xfrm>
                            <a:off x="0" y="0"/>
                            <a:ext cx="2935489" cy="1840291"/>
                          </a:xfrm>
                          <a:prstGeom prst="rect">
                            <a:avLst/>
                          </a:prstGeom>
                          <a:noFill/>
                          <a:ln>
                            <a:noFill/>
                          </a:ln>
                        </pic:spPr>
                      </pic:pic>
                    </a:graphicData>
                  </a:graphic>
                </wp:inline>
              </w:drawing>
            </w:r>
          </w:p>
          <w:p w14:paraId="2A2A190C" w14:textId="77777777" w:rsidR="00D53AFD" w:rsidRDefault="00D53AFD" w:rsidP="001E244A">
            <w:pPr>
              <w:jc w:val="center"/>
            </w:pPr>
          </w:p>
          <w:p w14:paraId="39C34B80" w14:textId="3BFEC79A" w:rsidR="00D53AFD" w:rsidRDefault="00D53AFD" w:rsidP="001E244A">
            <w:pPr>
              <w:jc w:val="center"/>
            </w:pPr>
            <w:r w:rsidRPr="00D53AFD">
              <w:rPr>
                <w:noProof/>
              </w:rPr>
              <w:drawing>
                <wp:inline distT="0" distB="0" distL="0" distR="0" wp14:anchorId="383C2920" wp14:editId="770283B8">
                  <wp:extent cx="1570038" cy="1098550"/>
                  <wp:effectExtent l="0" t="0" r="0" b="6350"/>
                  <wp:docPr id="108552" name="Picture 4" descr="C:\Users\LISAN\Documents\DeveloppementDurable\botanique\irrigation-stockage-eau\images\Ancient Jesso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52" name="Picture 4" descr="C:\Users\LISAN\Documents\DeveloppementDurable\botanique\irrigation-stockage-eau\images\Ancient Jessour.jpg"/>
                          <pic:cNvPicPr>
                            <a:picLocks noChangeAspect="1" noChangeArrowheads="1"/>
                          </pic:cNvPicPr>
                        </pic:nvPicPr>
                        <pic:blipFill>
                          <a:blip r:embed="rId3109">
                            <a:extLst>
                              <a:ext uri="{28A0092B-C50C-407E-A947-70E740481C1C}">
                                <a14:useLocalDpi xmlns:a14="http://schemas.microsoft.com/office/drawing/2010/main" val="0"/>
                              </a:ext>
                            </a:extLst>
                          </a:blip>
                          <a:srcRect/>
                          <a:stretch>
                            <a:fillRect/>
                          </a:stretch>
                        </pic:blipFill>
                        <pic:spPr bwMode="auto">
                          <a:xfrm>
                            <a:off x="0" y="0"/>
                            <a:ext cx="1570038" cy="1098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208" w:type="dxa"/>
          </w:tcPr>
          <w:p w14:paraId="14344159" w14:textId="5BFACF81" w:rsidR="001E244A" w:rsidRDefault="00D53AFD" w:rsidP="001E244A">
            <w:pPr>
              <w:jc w:val="center"/>
            </w:pPr>
            <w:r w:rsidRPr="00D53AFD">
              <w:rPr>
                <w:noProof/>
              </w:rPr>
              <w:drawing>
                <wp:inline distT="0" distB="0" distL="0" distR="0" wp14:anchorId="3FF777F5" wp14:editId="68628C31">
                  <wp:extent cx="2600237" cy="2995324"/>
                  <wp:effectExtent l="0" t="0" r="0" b="0"/>
                  <wp:docPr id="109579" name="Picture 7" descr="C:\Users\LISAN\Documents\DeveloppementDurable\botanique\irrigation-stockage-eau\images\Jessour in Southern Tunis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79" name="Picture 7" descr="C:\Users\LISAN\Documents\DeveloppementDurable\botanique\irrigation-stockage-eau\images\Jessour in Southern Tunisia.jpg"/>
                          <pic:cNvPicPr>
                            <a:picLocks noChangeAspect="1" noChangeArrowheads="1"/>
                          </pic:cNvPicPr>
                        </pic:nvPicPr>
                        <pic:blipFill>
                          <a:blip r:embed="rId3110">
                            <a:extLst>
                              <a:ext uri="{28A0092B-C50C-407E-A947-70E740481C1C}">
                                <a14:useLocalDpi xmlns:a14="http://schemas.microsoft.com/office/drawing/2010/main" val="0"/>
                              </a:ext>
                            </a:extLst>
                          </a:blip>
                          <a:srcRect/>
                          <a:stretch>
                            <a:fillRect/>
                          </a:stretch>
                        </pic:blipFill>
                        <pic:spPr bwMode="auto">
                          <a:xfrm>
                            <a:off x="0" y="0"/>
                            <a:ext cx="2601331" cy="2996584"/>
                          </a:xfrm>
                          <a:prstGeom prst="rect">
                            <a:avLst/>
                          </a:prstGeom>
                          <a:noFill/>
                          <a:ln>
                            <a:noFill/>
                          </a:ln>
                        </pic:spPr>
                      </pic:pic>
                    </a:graphicData>
                  </a:graphic>
                </wp:inline>
              </w:drawing>
            </w:r>
          </w:p>
        </w:tc>
      </w:tr>
      <w:tr w:rsidR="00D53AFD" w14:paraId="44B6CD23" w14:textId="77777777" w:rsidTr="00D53AFD">
        <w:tc>
          <w:tcPr>
            <w:tcW w:w="5208" w:type="dxa"/>
          </w:tcPr>
          <w:p w14:paraId="3C26F51D" w14:textId="77777777" w:rsidR="00D53AFD" w:rsidRDefault="00D53AFD" w:rsidP="009A3C70">
            <w:pPr>
              <w:jc w:val="center"/>
            </w:pPr>
            <w:r w:rsidRPr="00D53AFD">
              <w:rPr>
                <w:noProof/>
              </w:rPr>
              <w:drawing>
                <wp:inline distT="0" distB="0" distL="0" distR="0" wp14:anchorId="33E8821F" wp14:editId="79D4A0E5">
                  <wp:extent cx="2981325" cy="1841158"/>
                  <wp:effectExtent l="0" t="0" r="0" b="6985"/>
                  <wp:docPr id="109577" name="Picture 5" descr="C:\Users\LISAN\Documents\DeveloppementDurable\botanique\irrigation-stockage-eau\images\Jessour system in Tunis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77" name="Picture 5" descr="C:\Users\LISAN\Documents\DeveloppementDurable\botanique\irrigation-stockage-eau\images\Jessour system in Tunisia.jpg"/>
                          <pic:cNvPicPr>
                            <a:picLocks noChangeAspect="1" noChangeArrowheads="1"/>
                          </pic:cNvPicPr>
                        </pic:nvPicPr>
                        <pic:blipFill>
                          <a:blip r:embed="rId3111">
                            <a:extLst>
                              <a:ext uri="{28A0092B-C50C-407E-A947-70E740481C1C}">
                                <a14:useLocalDpi xmlns:a14="http://schemas.microsoft.com/office/drawing/2010/main" val="0"/>
                              </a:ext>
                            </a:extLst>
                          </a:blip>
                          <a:srcRect/>
                          <a:stretch>
                            <a:fillRect/>
                          </a:stretch>
                        </pic:blipFill>
                        <pic:spPr bwMode="auto">
                          <a:xfrm>
                            <a:off x="0" y="0"/>
                            <a:ext cx="2985591" cy="1843792"/>
                          </a:xfrm>
                          <a:prstGeom prst="rect">
                            <a:avLst/>
                          </a:prstGeom>
                          <a:noFill/>
                          <a:ln>
                            <a:noFill/>
                          </a:ln>
                        </pic:spPr>
                      </pic:pic>
                    </a:graphicData>
                  </a:graphic>
                </wp:inline>
              </w:drawing>
            </w:r>
          </w:p>
        </w:tc>
        <w:tc>
          <w:tcPr>
            <w:tcW w:w="5208" w:type="dxa"/>
          </w:tcPr>
          <w:p w14:paraId="3D96292F" w14:textId="77777777" w:rsidR="00D53AFD" w:rsidRDefault="00D53AFD" w:rsidP="009A3C70">
            <w:pPr>
              <w:jc w:val="center"/>
            </w:pPr>
            <w:r w:rsidRPr="00D53AFD">
              <w:rPr>
                <w:noProof/>
              </w:rPr>
              <w:drawing>
                <wp:inline distT="0" distB="0" distL="0" distR="0" wp14:anchorId="6D2D75E3" wp14:editId="71554B66">
                  <wp:extent cx="2652171" cy="1771650"/>
                  <wp:effectExtent l="0" t="0" r="0" b="0"/>
                  <wp:docPr id="109575" name="Picture 2" descr="C:\Users\LISAN\Documents\DeveloppementDurable\botanique\irrigation-stockage-eau\images\jessour-of-tunis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75" name="Picture 2" descr="C:\Users\LISAN\Documents\DeveloppementDurable\botanique\irrigation-stockage-eau\images\jessour-of-tunisia.jpg"/>
                          <pic:cNvPicPr>
                            <a:picLocks noChangeAspect="1" noChangeArrowheads="1"/>
                          </pic:cNvPicPr>
                        </pic:nvPicPr>
                        <pic:blipFill>
                          <a:blip r:embed="rId3101">
                            <a:extLst>
                              <a:ext uri="{28A0092B-C50C-407E-A947-70E740481C1C}">
                                <a14:useLocalDpi xmlns:a14="http://schemas.microsoft.com/office/drawing/2010/main" val="0"/>
                              </a:ext>
                            </a:extLst>
                          </a:blip>
                          <a:srcRect/>
                          <a:stretch>
                            <a:fillRect/>
                          </a:stretch>
                        </pic:blipFill>
                        <pic:spPr bwMode="auto">
                          <a:xfrm>
                            <a:off x="0" y="0"/>
                            <a:ext cx="2657046" cy="1774906"/>
                          </a:xfrm>
                          <a:prstGeom prst="rect">
                            <a:avLst/>
                          </a:prstGeom>
                          <a:noFill/>
                          <a:ln>
                            <a:noFill/>
                          </a:ln>
                        </pic:spPr>
                      </pic:pic>
                    </a:graphicData>
                  </a:graphic>
                </wp:inline>
              </w:drawing>
            </w:r>
          </w:p>
        </w:tc>
      </w:tr>
    </w:tbl>
    <w:p w14:paraId="56E18127" w14:textId="348EA126" w:rsidR="005F1F05" w:rsidRDefault="005F1F05" w:rsidP="00135229">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16"/>
        <w:gridCol w:w="3436"/>
        <w:gridCol w:w="3464"/>
      </w:tblGrid>
      <w:tr w:rsidR="00A95DE0" w14:paraId="7203D895" w14:textId="77777777" w:rsidTr="001304D1">
        <w:tc>
          <w:tcPr>
            <w:tcW w:w="3516" w:type="dxa"/>
          </w:tcPr>
          <w:p w14:paraId="60CADA35" w14:textId="77777777" w:rsidR="00A95DE0" w:rsidRDefault="00A95DE0" w:rsidP="001304D1">
            <w:pPr>
              <w:jc w:val="center"/>
            </w:pPr>
            <w:r w:rsidRPr="005F1F05">
              <w:rPr>
                <w:noProof/>
              </w:rPr>
              <w:drawing>
                <wp:inline distT="0" distB="0" distL="0" distR="0" wp14:anchorId="1898CD88" wp14:editId="3911A88F">
                  <wp:extent cx="2087563" cy="1057275"/>
                  <wp:effectExtent l="0" t="0" r="8255" b="0"/>
                  <wp:docPr id="110603" name="Picture 4" descr="C:\Users\LISAN\Pictures\plantes-halophytes-xerophiles\tabia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03" name="Picture 4" descr="C:\Users\LISAN\Pictures\plantes-halophytes-xerophiles\tabia2_s.jpg"/>
                          <pic:cNvPicPr>
                            <a:picLocks noChangeAspect="1" noChangeArrowheads="1"/>
                          </pic:cNvPicPr>
                        </pic:nvPicPr>
                        <pic:blipFill>
                          <a:blip r:embed="rId3112">
                            <a:extLst>
                              <a:ext uri="{28A0092B-C50C-407E-A947-70E740481C1C}">
                                <a14:useLocalDpi xmlns:a14="http://schemas.microsoft.com/office/drawing/2010/main" val="0"/>
                              </a:ext>
                            </a:extLst>
                          </a:blip>
                          <a:srcRect/>
                          <a:stretch>
                            <a:fillRect/>
                          </a:stretch>
                        </pic:blipFill>
                        <pic:spPr bwMode="auto">
                          <a:xfrm>
                            <a:off x="0" y="0"/>
                            <a:ext cx="2087563" cy="1057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36" w:type="dxa"/>
          </w:tcPr>
          <w:p w14:paraId="61220F00" w14:textId="77777777" w:rsidR="00A95DE0" w:rsidRDefault="00A95DE0" w:rsidP="001304D1">
            <w:pPr>
              <w:jc w:val="center"/>
            </w:pPr>
            <w:r w:rsidRPr="005F1F05">
              <w:rPr>
                <w:noProof/>
              </w:rPr>
              <w:drawing>
                <wp:inline distT="0" distB="0" distL="0" distR="0" wp14:anchorId="757C3ABB" wp14:editId="39E60E65">
                  <wp:extent cx="2011731" cy="790575"/>
                  <wp:effectExtent l="0" t="0" r="7620" b="0"/>
                  <wp:docPr id="110601" name="Picture 2" descr="C:\Users\LISAN\Pictures\plantes-halophytes-xerophiles\tab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01" name="Picture 2" descr="C:\Users\LISAN\Pictures\plantes-halophytes-xerophiles\tabia.jpg"/>
                          <pic:cNvPicPr>
                            <a:picLocks noChangeAspect="1" noChangeArrowheads="1"/>
                          </pic:cNvPicPr>
                        </pic:nvPicPr>
                        <pic:blipFill>
                          <a:blip r:embed="rId3113">
                            <a:extLst>
                              <a:ext uri="{28A0092B-C50C-407E-A947-70E740481C1C}">
                                <a14:useLocalDpi xmlns:a14="http://schemas.microsoft.com/office/drawing/2010/main" val="0"/>
                              </a:ext>
                            </a:extLst>
                          </a:blip>
                          <a:srcRect/>
                          <a:stretch>
                            <a:fillRect/>
                          </a:stretch>
                        </pic:blipFill>
                        <pic:spPr bwMode="auto">
                          <a:xfrm>
                            <a:off x="0" y="0"/>
                            <a:ext cx="2019045" cy="793449"/>
                          </a:xfrm>
                          <a:prstGeom prst="rect">
                            <a:avLst/>
                          </a:prstGeom>
                          <a:noFill/>
                          <a:ln>
                            <a:noFill/>
                          </a:ln>
                        </pic:spPr>
                      </pic:pic>
                    </a:graphicData>
                  </a:graphic>
                </wp:inline>
              </w:drawing>
            </w:r>
          </w:p>
        </w:tc>
        <w:tc>
          <w:tcPr>
            <w:tcW w:w="3464" w:type="dxa"/>
          </w:tcPr>
          <w:p w14:paraId="72A6547B" w14:textId="77777777" w:rsidR="00A95DE0" w:rsidRDefault="00A95DE0" w:rsidP="001304D1">
            <w:pPr>
              <w:jc w:val="center"/>
            </w:pPr>
            <w:r w:rsidRPr="005F1F05">
              <w:rPr>
                <w:noProof/>
              </w:rPr>
              <w:drawing>
                <wp:inline distT="0" distB="0" distL="0" distR="0" wp14:anchorId="49C31946" wp14:editId="5CAD7170">
                  <wp:extent cx="2057400" cy="962025"/>
                  <wp:effectExtent l="0" t="0" r="0" b="9525"/>
                  <wp:docPr id="110602" name="Picture 3" descr="C:\Users\LISAN\Pictures\plantes-halophytes-xerophiles\tabia3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02" name="Picture 3" descr="C:\Users\LISAN\Pictures\plantes-halophytes-xerophiles\tabia3_s.jpg"/>
                          <pic:cNvPicPr>
                            <a:picLocks noChangeAspect="1" noChangeArrowheads="1"/>
                          </pic:cNvPicPr>
                        </pic:nvPicPr>
                        <pic:blipFill>
                          <a:blip r:embed="rId3114">
                            <a:extLst>
                              <a:ext uri="{28A0092B-C50C-407E-A947-70E740481C1C}">
                                <a14:useLocalDpi xmlns:a14="http://schemas.microsoft.com/office/drawing/2010/main" val="0"/>
                              </a:ext>
                            </a:extLst>
                          </a:blip>
                          <a:srcRect/>
                          <a:stretch>
                            <a:fillRect/>
                          </a:stretch>
                        </pic:blipFill>
                        <pic:spPr bwMode="auto">
                          <a:xfrm>
                            <a:off x="0" y="0"/>
                            <a:ext cx="2057400" cy="962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5EC904D2" w14:textId="7E529702" w:rsidR="00A95DE0" w:rsidRDefault="00A95DE0" w:rsidP="00135229">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A95DE0" w14:paraId="3AB7547D" w14:textId="77777777" w:rsidTr="001304D1">
        <w:tc>
          <w:tcPr>
            <w:tcW w:w="5208" w:type="dxa"/>
          </w:tcPr>
          <w:p w14:paraId="39028E3F" w14:textId="77777777" w:rsidR="00A95DE0" w:rsidRDefault="00A95DE0" w:rsidP="001304D1">
            <w:pPr>
              <w:jc w:val="center"/>
            </w:pPr>
            <w:r w:rsidRPr="00210877">
              <w:rPr>
                <w:noProof/>
              </w:rPr>
              <w:lastRenderedPageBreak/>
              <w:drawing>
                <wp:inline distT="0" distB="0" distL="0" distR="0" wp14:anchorId="263105FF" wp14:editId="41BFBF29">
                  <wp:extent cx="2238375" cy="1400175"/>
                  <wp:effectExtent l="0" t="0" r="9525" b="9525"/>
                  <wp:docPr id="112650" name="Picture 5" descr="C:\Users\LISAN\Documents\DVD-DevDurable\eau\eau-Potabilisation-GestionDeLEau-Irrigation\irrigation-stockage-eau\images\Small earth dam_broken due to lack of a sufficient spillw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50" name="Picture 5" descr="C:\Users\LISAN\Documents\DVD-DevDurable\eau\eau-Potabilisation-GestionDeLEau-Irrigation\irrigation-stockage-eau\images\Small earth dam_broken due to lack of a sufficient spillway.jpg"/>
                          <pic:cNvPicPr>
                            <a:picLocks noChangeAspect="1" noChangeArrowheads="1"/>
                          </pic:cNvPicPr>
                        </pic:nvPicPr>
                        <pic:blipFill>
                          <a:blip r:embed="rId3115">
                            <a:extLst>
                              <a:ext uri="{28A0092B-C50C-407E-A947-70E740481C1C}">
                                <a14:useLocalDpi xmlns:a14="http://schemas.microsoft.com/office/drawing/2010/main" val="0"/>
                              </a:ext>
                            </a:extLst>
                          </a:blip>
                          <a:srcRect/>
                          <a:stretch>
                            <a:fillRect/>
                          </a:stretch>
                        </pic:blipFill>
                        <pic:spPr bwMode="auto">
                          <a:xfrm>
                            <a:off x="0" y="0"/>
                            <a:ext cx="2238375" cy="1400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3217DCC1" w14:textId="77777777" w:rsidR="00A95DE0" w:rsidRDefault="00A95DE0" w:rsidP="001304D1">
            <w:pPr>
              <w:jc w:val="center"/>
            </w:pPr>
            <w:r w:rsidRPr="00210877">
              <w:t>Barrage détruit à cause d’un déversoir [« spillway »] insuffisant.</w:t>
            </w:r>
          </w:p>
        </w:tc>
        <w:tc>
          <w:tcPr>
            <w:tcW w:w="5208" w:type="dxa"/>
          </w:tcPr>
          <w:p w14:paraId="587CB818" w14:textId="77777777" w:rsidR="00A95DE0" w:rsidRDefault="00A95DE0" w:rsidP="001304D1">
            <w:pPr>
              <w:jc w:val="center"/>
            </w:pPr>
            <w:r w:rsidRPr="00210877">
              <w:rPr>
                <w:noProof/>
              </w:rPr>
              <w:drawing>
                <wp:inline distT="0" distB="0" distL="0" distR="0" wp14:anchorId="74155238" wp14:editId="710035BD">
                  <wp:extent cx="2857500" cy="1676400"/>
                  <wp:effectExtent l="0" t="0" r="0" b="0"/>
                  <wp:docPr id="112652" name="Picture 6" descr="C:\Users\LISAN\Documents\DVD-DevDurable\eau\eau-Potabilisation-GestionDeLEau-Irrigation\irrigation-stockage-eau\images\large-bunds-tab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52" name="Picture 6" descr="C:\Users\LISAN\Documents\DVD-DevDurable\eau\eau-Potabilisation-GestionDeLEau-Irrigation\irrigation-stockage-eau\images\large-bunds-tabia.jpg"/>
                          <pic:cNvPicPr>
                            <a:picLocks noChangeAspect="1" noChangeArrowheads="1"/>
                          </pic:cNvPicPr>
                        </pic:nvPicPr>
                        <pic:blipFill>
                          <a:blip r:embed="rId3116">
                            <a:extLst>
                              <a:ext uri="{28A0092B-C50C-407E-A947-70E740481C1C}">
                                <a14:useLocalDpi xmlns:a14="http://schemas.microsoft.com/office/drawing/2010/main" val="0"/>
                              </a:ext>
                            </a:extLst>
                          </a:blip>
                          <a:srcRect/>
                          <a:stretch>
                            <a:fillRect/>
                          </a:stretch>
                        </pic:blipFill>
                        <pic:spPr bwMode="auto">
                          <a:xfrm>
                            <a:off x="0" y="0"/>
                            <a:ext cx="2857500" cy="167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3AF64B5" w14:textId="77777777" w:rsidR="00A95DE0" w:rsidRDefault="00A95DE0" w:rsidP="001304D1">
            <w:pPr>
              <w:jc w:val="center"/>
            </w:pPr>
            <w:r w:rsidRPr="00210877">
              <w:rPr>
                <w:i/>
                <w:iCs/>
              </w:rPr>
              <w:t>Tabia</w:t>
            </w:r>
            <w:r w:rsidRPr="00210877">
              <w:t xml:space="preserve"> à large digue</w:t>
            </w:r>
            <w:r>
              <w:t>.</w:t>
            </w:r>
          </w:p>
        </w:tc>
      </w:tr>
    </w:tbl>
    <w:p w14:paraId="417823CF" w14:textId="77777777" w:rsidR="00A95DE0" w:rsidRDefault="00A95DE0" w:rsidP="00135229">
      <w:pPr>
        <w:spacing w:after="0" w:line="240" w:lineRule="auto"/>
      </w:pPr>
    </w:p>
    <w:p w14:paraId="7774BF79" w14:textId="77777777" w:rsidR="00A95DE0" w:rsidRDefault="00A95DE0" w:rsidP="00A95DE0">
      <w:pPr>
        <w:spacing w:after="0" w:line="240" w:lineRule="auto"/>
        <w:jc w:val="center"/>
      </w:pPr>
      <w:r w:rsidRPr="00210877">
        <w:rPr>
          <w:noProof/>
        </w:rPr>
        <w:drawing>
          <wp:inline distT="0" distB="0" distL="0" distR="0" wp14:anchorId="54E28FB9" wp14:editId="12B09556">
            <wp:extent cx="5705475" cy="809625"/>
            <wp:effectExtent l="0" t="0" r="9525" b="9525"/>
            <wp:docPr id="112649" name="Picture 4" descr="C:\Users\LISAN\Documents\DVD-DevDurable\eau\eau-Potabilisation-GestionDeLEau-Irrigation\irrigation-stockage-eau\images\Diversion ditch.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49" name="Picture 4" descr="C:\Users\LISAN\Documents\DVD-DevDurable\eau\eau-Potabilisation-GestionDeLEau-Irrigation\irrigation-stockage-eau\images\Diversion ditch.gif"/>
                    <pic:cNvPicPr>
                      <a:picLocks noChangeAspect="1" noChangeArrowheads="1"/>
                    </pic:cNvPicPr>
                  </pic:nvPicPr>
                  <pic:blipFill>
                    <a:blip r:embed="rId3117">
                      <a:extLst>
                        <a:ext uri="{28A0092B-C50C-407E-A947-70E740481C1C}">
                          <a14:useLocalDpi xmlns:a14="http://schemas.microsoft.com/office/drawing/2010/main" val="0"/>
                        </a:ext>
                      </a:extLst>
                    </a:blip>
                    <a:srcRect/>
                    <a:stretch>
                      <a:fillRect/>
                    </a:stretch>
                  </pic:blipFill>
                  <pic:spPr bwMode="auto">
                    <a:xfrm>
                      <a:off x="0" y="0"/>
                      <a:ext cx="5705475" cy="809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4E4C560" w14:textId="77777777" w:rsidR="00A95DE0" w:rsidRDefault="00A95DE0" w:rsidP="00135229">
      <w:pPr>
        <w:spacing w:after="0" w:line="240" w:lineRule="auto"/>
      </w:pPr>
    </w:p>
    <w:p w14:paraId="4EC24EA7" w14:textId="55DE8D36" w:rsidR="00D53AFD" w:rsidRDefault="005F1F05" w:rsidP="005F1F05">
      <w:pPr>
        <w:spacing w:after="0" w:line="240" w:lineRule="auto"/>
        <w:jc w:val="center"/>
      </w:pPr>
      <w:r w:rsidRPr="005F1F05">
        <w:rPr>
          <w:noProof/>
        </w:rPr>
        <w:drawing>
          <wp:inline distT="0" distB="0" distL="0" distR="0" wp14:anchorId="55DC218A" wp14:editId="036A0EAE">
            <wp:extent cx="3419475" cy="4257685"/>
            <wp:effectExtent l="0" t="0" r="0" b="9525"/>
            <wp:docPr id="110600" name="Image 7" descr="Jessour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00" name="Image 7" descr="Jessour_s.jpg"/>
                    <pic:cNvPicPr>
                      <a:picLocks noChangeAspect="1"/>
                    </pic:cNvPicPr>
                  </pic:nvPicPr>
                  <pic:blipFill>
                    <a:blip r:embed="rId3118">
                      <a:extLst>
                        <a:ext uri="{28A0092B-C50C-407E-A947-70E740481C1C}">
                          <a14:useLocalDpi xmlns:a14="http://schemas.microsoft.com/office/drawing/2010/main" val="0"/>
                        </a:ext>
                      </a:extLst>
                    </a:blip>
                    <a:srcRect/>
                    <a:stretch>
                      <a:fillRect/>
                    </a:stretch>
                  </pic:blipFill>
                  <pic:spPr bwMode="auto">
                    <a:xfrm>
                      <a:off x="0" y="0"/>
                      <a:ext cx="3420305" cy="4258719"/>
                    </a:xfrm>
                    <a:prstGeom prst="rect">
                      <a:avLst/>
                    </a:prstGeom>
                    <a:noFill/>
                    <a:ln>
                      <a:noFill/>
                    </a:ln>
                  </pic:spPr>
                </pic:pic>
              </a:graphicData>
            </a:graphic>
          </wp:inline>
        </w:drawing>
      </w:r>
    </w:p>
    <w:p w14:paraId="2CE76565" w14:textId="77777777" w:rsidR="00210877" w:rsidRDefault="00210877" w:rsidP="005F1F05">
      <w:pPr>
        <w:spacing w:after="0" w:line="240" w:lineRule="auto"/>
        <w:jc w:val="both"/>
      </w:pPr>
    </w:p>
    <w:p w14:paraId="61B50430" w14:textId="44299388" w:rsidR="005F1F05" w:rsidRDefault="005F1F05" w:rsidP="005F1F05">
      <w:pPr>
        <w:spacing w:after="0" w:line="240" w:lineRule="auto"/>
        <w:jc w:val="both"/>
      </w:pPr>
      <w:r w:rsidRPr="005F1F05">
        <w:t>Vue et profil d’un "</w:t>
      </w:r>
      <w:r w:rsidRPr="005F1F05">
        <w:rPr>
          <w:i/>
          <w:iCs/>
        </w:rPr>
        <w:t>jessour</w:t>
      </w:r>
      <w:r w:rsidRPr="005F1F05">
        <w:t>", système d'exploitation des eaux de ruissellement: le ruissellement de l'eau et des sédiments des collines sont capturés derrière les barrages («</w:t>
      </w:r>
      <w:r w:rsidRPr="005F1F05">
        <w:rPr>
          <w:i/>
          <w:iCs/>
        </w:rPr>
        <w:t>Tabia</w:t>
      </w:r>
      <w:r w:rsidRPr="005F1F05">
        <w:t>») dans le fond de la vallée.</w:t>
      </w:r>
    </w:p>
    <w:p w14:paraId="0A0D98F5" w14:textId="77777777" w:rsidR="00210877" w:rsidRPr="005F1F05" w:rsidRDefault="00210877" w:rsidP="005F1F05">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5F1F05" w14:paraId="3A8616A4" w14:textId="77777777" w:rsidTr="005F1F05">
        <w:tc>
          <w:tcPr>
            <w:tcW w:w="5208" w:type="dxa"/>
          </w:tcPr>
          <w:p w14:paraId="04E30316" w14:textId="77777777" w:rsidR="005F1F05" w:rsidRPr="005F1F05" w:rsidRDefault="005F1F05" w:rsidP="005F1F05">
            <w:r w:rsidRPr="005F1F05">
              <w:t>Légendes :</w:t>
            </w:r>
          </w:p>
          <w:p w14:paraId="13FA1426" w14:textId="52561B88" w:rsidR="005F1F05" w:rsidRPr="005F1F05" w:rsidRDefault="005F1F05" w:rsidP="0022016D">
            <w:pPr>
              <w:pStyle w:val="Paragraphedeliste"/>
              <w:numPr>
                <w:ilvl w:val="0"/>
                <w:numId w:val="28"/>
              </w:numPr>
            </w:pPr>
            <w:r w:rsidRPr="005F1F05">
              <w:t>Hernif ou rigoles</w:t>
            </w:r>
          </w:p>
          <w:p w14:paraId="7BE3AF45" w14:textId="08EB637C" w:rsidR="005F1F05" w:rsidRPr="005F1F05" w:rsidRDefault="005F1F05" w:rsidP="0022016D">
            <w:pPr>
              <w:pStyle w:val="Paragraphedeliste"/>
              <w:numPr>
                <w:ilvl w:val="0"/>
                <w:numId w:val="28"/>
              </w:numPr>
            </w:pPr>
            <w:r w:rsidRPr="005F1F05">
              <w:t>Chaabe</w:t>
            </w:r>
          </w:p>
          <w:p w14:paraId="68C7F67B" w14:textId="35F80E7D" w:rsidR="005F1F05" w:rsidRPr="005F1F05" w:rsidRDefault="005F1F05" w:rsidP="0022016D">
            <w:pPr>
              <w:pStyle w:val="Paragraphedeliste"/>
              <w:numPr>
                <w:ilvl w:val="0"/>
                <w:numId w:val="28"/>
              </w:numPr>
            </w:pPr>
            <w:r w:rsidRPr="005F1F05">
              <w:t>Katra</w:t>
            </w:r>
          </w:p>
          <w:p w14:paraId="5A47B5CF" w14:textId="4D6B685E" w:rsidR="005F1F05" w:rsidRPr="005F1F05" w:rsidRDefault="005F1F05" w:rsidP="0022016D">
            <w:pPr>
              <w:pStyle w:val="Paragraphedeliste"/>
              <w:numPr>
                <w:ilvl w:val="0"/>
                <w:numId w:val="28"/>
              </w:numPr>
            </w:pPr>
            <w:r w:rsidRPr="005F1F05">
              <w:lastRenderedPageBreak/>
              <w:t>Jessour</w:t>
            </w:r>
          </w:p>
          <w:p w14:paraId="0C1699F9" w14:textId="45EF4FA8" w:rsidR="005F1F05" w:rsidRPr="005F1F05" w:rsidRDefault="005F1F05" w:rsidP="0022016D">
            <w:pPr>
              <w:pStyle w:val="Paragraphedeliste"/>
              <w:numPr>
                <w:ilvl w:val="0"/>
                <w:numId w:val="28"/>
              </w:numPr>
            </w:pPr>
            <w:r w:rsidRPr="005F1F05">
              <w:t>Mantess ou masraf</w:t>
            </w:r>
          </w:p>
          <w:p w14:paraId="2A441C9E" w14:textId="611F9805" w:rsidR="005F1F05" w:rsidRDefault="005F1F05" w:rsidP="0022016D">
            <w:pPr>
              <w:pStyle w:val="Paragraphedeliste"/>
              <w:numPr>
                <w:ilvl w:val="0"/>
                <w:numId w:val="28"/>
              </w:numPr>
            </w:pPr>
            <w:r w:rsidRPr="005F1F05">
              <w:t>Tabia</w:t>
            </w:r>
          </w:p>
        </w:tc>
        <w:tc>
          <w:tcPr>
            <w:tcW w:w="5208" w:type="dxa"/>
          </w:tcPr>
          <w:p w14:paraId="7CBC2705" w14:textId="77777777" w:rsidR="005F1F05" w:rsidRPr="005F1F05" w:rsidRDefault="005F1F05" w:rsidP="0022016D">
            <w:pPr>
              <w:pStyle w:val="Paragraphedeliste"/>
              <w:numPr>
                <w:ilvl w:val="0"/>
                <w:numId w:val="27"/>
              </w:numPr>
            </w:pPr>
            <w:r w:rsidRPr="005F1F05">
              <w:lastRenderedPageBreak/>
              <w:t>.Jesser ou kliss</w:t>
            </w:r>
          </w:p>
          <w:p w14:paraId="5931E9BE" w14:textId="6AC855E7" w:rsidR="005F1F05" w:rsidRPr="005F1F05" w:rsidRDefault="005F1F05" w:rsidP="0022016D">
            <w:pPr>
              <w:pStyle w:val="Paragraphedeliste"/>
              <w:numPr>
                <w:ilvl w:val="0"/>
                <w:numId w:val="27"/>
              </w:numPr>
            </w:pPr>
            <w:r w:rsidRPr="005F1F05">
              <w:t>Sédiments</w:t>
            </w:r>
          </w:p>
          <w:p w14:paraId="6AE112D6" w14:textId="69AB5DE9" w:rsidR="005F1F05" w:rsidRPr="005F1F05" w:rsidRDefault="005F1F05" w:rsidP="0022016D">
            <w:pPr>
              <w:pStyle w:val="Paragraphedeliste"/>
              <w:numPr>
                <w:ilvl w:val="0"/>
                <w:numId w:val="27"/>
              </w:numPr>
            </w:pPr>
            <w:r w:rsidRPr="005F1F05">
              <w:t>Rass ou thababa</w:t>
            </w:r>
          </w:p>
          <w:p w14:paraId="579C7C66" w14:textId="1847F39E" w:rsidR="005F1F05" w:rsidRPr="005F1F05" w:rsidRDefault="005F1F05" w:rsidP="0022016D">
            <w:pPr>
              <w:pStyle w:val="Paragraphedeliste"/>
              <w:numPr>
                <w:ilvl w:val="0"/>
                <w:numId w:val="27"/>
              </w:numPr>
            </w:pPr>
            <w:r w:rsidRPr="005F1F05">
              <w:t>ouajah</w:t>
            </w:r>
          </w:p>
          <w:p w14:paraId="295D3B2F" w14:textId="57B7A267" w:rsidR="005F1F05" w:rsidRPr="005F1F05" w:rsidRDefault="005F1F05" w:rsidP="0022016D">
            <w:pPr>
              <w:pStyle w:val="Paragraphedeliste"/>
              <w:numPr>
                <w:ilvl w:val="0"/>
                <w:numId w:val="27"/>
              </w:numPr>
            </w:pPr>
            <w:r w:rsidRPr="005F1F05">
              <w:lastRenderedPageBreak/>
              <w:t>tabia</w:t>
            </w:r>
          </w:p>
          <w:p w14:paraId="78B443A7" w14:textId="60F04E15" w:rsidR="005F1F05" w:rsidRPr="005F1F05" w:rsidRDefault="005F1F05" w:rsidP="0022016D">
            <w:pPr>
              <w:pStyle w:val="Paragraphedeliste"/>
              <w:numPr>
                <w:ilvl w:val="0"/>
                <w:numId w:val="27"/>
              </w:numPr>
            </w:pPr>
            <w:r w:rsidRPr="005F1F05">
              <w:t>gfa</w:t>
            </w:r>
          </w:p>
          <w:p w14:paraId="120A91BF" w14:textId="08676AD0" w:rsidR="005F1F05" w:rsidRDefault="005F1F05" w:rsidP="0022016D">
            <w:pPr>
              <w:pStyle w:val="Paragraphedeliste"/>
              <w:numPr>
                <w:ilvl w:val="0"/>
                <w:numId w:val="27"/>
              </w:numPr>
            </w:pPr>
            <w:r w:rsidRPr="005F1F05">
              <w:t>sirra</w:t>
            </w:r>
          </w:p>
        </w:tc>
      </w:tr>
    </w:tbl>
    <w:p w14:paraId="3E726DE4" w14:textId="46EE9101" w:rsidR="005F1F05" w:rsidRDefault="005F1F05" w:rsidP="00135229">
      <w:pPr>
        <w:spacing w:after="0" w:line="240" w:lineRule="auto"/>
      </w:pPr>
    </w:p>
    <w:p w14:paraId="493DB0A6" w14:textId="7244A65A" w:rsidR="005F1F05" w:rsidRDefault="005F1F05" w:rsidP="005F1F05">
      <w:pPr>
        <w:spacing w:after="0" w:line="240" w:lineRule="auto"/>
        <w:jc w:val="center"/>
      </w:pPr>
    </w:p>
    <w:p w14:paraId="5B144F2E" w14:textId="204697C9" w:rsidR="00210877" w:rsidRDefault="00210877" w:rsidP="005F1F05">
      <w:pPr>
        <w:spacing w:after="0" w:line="240" w:lineRule="auto"/>
        <w:jc w:val="center"/>
      </w:pPr>
      <w:r w:rsidRPr="00210877">
        <w:rPr>
          <w:noProof/>
        </w:rPr>
        <w:drawing>
          <wp:inline distT="0" distB="0" distL="0" distR="0" wp14:anchorId="0C52B2A5" wp14:editId="5B9C2221">
            <wp:extent cx="4437063" cy="1416050"/>
            <wp:effectExtent l="0" t="0" r="1905" b="0"/>
            <wp:docPr id="112648" name="Picture 3" descr="C:\Users\LISAN\Documents\DVD-DevDurable\eau\eau-Potabilisation-GestionDeLEau-Irrigation\irrigation-stockage-eau\images\Dam dimension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48" name="Picture 3" descr="C:\Users\LISAN\Documents\DVD-DevDurable\eau\eau-Potabilisation-GestionDeLEau-Irrigation\irrigation-stockage-eau\images\Dam dimensions.gif"/>
                    <pic:cNvPicPr>
                      <a:picLocks noChangeAspect="1" noChangeArrowheads="1"/>
                    </pic:cNvPicPr>
                  </pic:nvPicPr>
                  <pic:blipFill>
                    <a:blip r:embed="rId3119">
                      <a:extLst>
                        <a:ext uri="{28A0092B-C50C-407E-A947-70E740481C1C}">
                          <a14:useLocalDpi xmlns:a14="http://schemas.microsoft.com/office/drawing/2010/main" val="0"/>
                        </a:ext>
                      </a:extLst>
                    </a:blip>
                    <a:srcRect/>
                    <a:stretch>
                      <a:fillRect/>
                    </a:stretch>
                  </pic:blipFill>
                  <pic:spPr bwMode="auto">
                    <a:xfrm>
                      <a:off x="0" y="0"/>
                      <a:ext cx="4437063" cy="141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F39B630" w14:textId="162EB0EB" w:rsidR="00210877" w:rsidRDefault="00210877" w:rsidP="005F1F05">
      <w:pPr>
        <w:spacing w:after="0" w:line="240" w:lineRule="auto"/>
        <w:jc w:val="center"/>
      </w:pPr>
      <w:r w:rsidRPr="00210877">
        <w:rPr>
          <w:noProof/>
        </w:rPr>
        <w:drawing>
          <wp:inline distT="0" distB="0" distL="0" distR="0" wp14:anchorId="1845EBA2" wp14:editId="4D6D6B89">
            <wp:extent cx="4760912" cy="1223962"/>
            <wp:effectExtent l="0" t="0" r="1905" b="0"/>
            <wp:docPr id="112642" name="Picture 2" descr="C:\Users\LISAN\Documents\DVD-DevDurable\eau\eau-Potabilisation-GestionDeLEau-Irrigation\irrigation-stockage-eau\images\Contour stone bund_dimension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42" name="Picture 2" descr="C:\Users\LISAN\Documents\DVD-DevDurable\eau\eau-Potabilisation-GestionDeLEau-Irrigation\irrigation-stockage-eau\images\Contour stone bund_dimensions.gif"/>
                    <pic:cNvPicPr>
                      <a:picLocks noChangeAspect="1" noChangeArrowheads="1"/>
                    </pic:cNvPicPr>
                  </pic:nvPicPr>
                  <pic:blipFill>
                    <a:blip r:embed="rId3120">
                      <a:extLst>
                        <a:ext uri="{28A0092B-C50C-407E-A947-70E740481C1C}">
                          <a14:useLocalDpi xmlns:a14="http://schemas.microsoft.com/office/drawing/2010/main" val="0"/>
                        </a:ext>
                      </a:extLst>
                    </a:blip>
                    <a:srcRect/>
                    <a:stretch>
                      <a:fillRect/>
                    </a:stretch>
                  </pic:blipFill>
                  <pic:spPr bwMode="auto">
                    <a:xfrm>
                      <a:off x="0" y="0"/>
                      <a:ext cx="4760912" cy="12239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647ADC95" w14:textId="2749AACF" w:rsidR="005F1F05" w:rsidRDefault="005F1F05" w:rsidP="00575E83">
      <w:pPr>
        <w:spacing w:after="0" w:line="240" w:lineRule="auto"/>
        <w:jc w:val="both"/>
      </w:pPr>
    </w:p>
    <w:p w14:paraId="156710C1" w14:textId="6F9178E5" w:rsidR="00575E83" w:rsidRPr="00575E83" w:rsidRDefault="00575E83" w:rsidP="00575E83">
      <w:pPr>
        <w:spacing w:after="0" w:line="240" w:lineRule="auto"/>
        <w:jc w:val="both"/>
      </w:pPr>
      <w:r w:rsidRPr="00575E83">
        <w:rPr>
          <w:b/>
          <w:bCs/>
        </w:rPr>
        <w:t>Johad (</w:t>
      </w:r>
      <w:hyperlink r:id="rId3121" w:history="1">
        <w:r w:rsidRPr="00575E83">
          <w:rPr>
            <w:rStyle w:val="Lienhypertexte"/>
            <w:b/>
            <w:bCs/>
          </w:rPr>
          <w:t>hindi</w:t>
        </w:r>
      </w:hyperlink>
      <w:r w:rsidRPr="00575E83">
        <w:rPr>
          <w:b/>
          <w:bCs/>
        </w:rPr>
        <w:t> : </w:t>
      </w:r>
      <w:r w:rsidRPr="00575E83">
        <w:rPr>
          <w:rFonts w:ascii="Nirmala UI" w:hAnsi="Nirmala UI" w:cs="Nirmala UI"/>
          <w:b/>
          <w:bCs/>
        </w:rPr>
        <w:t>जोहड</w:t>
      </w:r>
      <w:r w:rsidRPr="00575E83">
        <w:rPr>
          <w:b/>
          <w:bCs/>
        </w:rPr>
        <w:t>)</w:t>
      </w:r>
      <w:r w:rsidRPr="00575E83">
        <w:t xml:space="preserve"> : </w:t>
      </w:r>
      <w:hyperlink r:id="rId3122" w:history="1">
        <w:r w:rsidRPr="00575E83">
          <w:rPr>
            <w:rStyle w:val="Lienhypertexte"/>
          </w:rPr>
          <w:t>cuvette de stockage</w:t>
        </w:r>
      </w:hyperlink>
      <w:r w:rsidRPr="00575E83">
        <w:t xml:space="preserve"> des </w:t>
      </w:r>
      <w:hyperlink r:id="rId3123" w:history="1">
        <w:r w:rsidRPr="00575E83">
          <w:rPr>
            <w:rStyle w:val="Lienhypertexte"/>
          </w:rPr>
          <w:t>eaux de pluie</w:t>
        </w:r>
      </w:hyperlink>
      <w:r w:rsidRPr="00575E83">
        <w:t> utilisée principalement dans l'état de </w:t>
      </w:r>
      <w:hyperlink r:id="rId3124" w:history="1">
        <w:r w:rsidRPr="00575E83">
          <w:rPr>
            <w:rStyle w:val="Lienhypertexte"/>
          </w:rPr>
          <w:t>Rajasthan</w:t>
        </w:r>
      </w:hyperlink>
      <w:r w:rsidRPr="00575E83">
        <w:t>, </w:t>
      </w:r>
      <w:hyperlink r:id="rId3125" w:history="1">
        <w:r w:rsidRPr="00575E83">
          <w:rPr>
            <w:rStyle w:val="Lienhypertexte"/>
          </w:rPr>
          <w:t>en Inde</w:t>
        </w:r>
      </w:hyperlink>
      <w:r w:rsidRPr="00575E83">
        <w:t xml:space="preserve">, qui recueille et stocke l'eau tout au long de l'année, à des fins de consommation par les humains et le bétail. Dans de nombreuses parties de l'état , la pluviométrie annuelle est très faible (entre 450 et 600 mm) et l'eau peut être désagréable à boire. La pluie qui tombe en </w:t>
      </w:r>
      <w:r>
        <w:t>j</w:t>
      </w:r>
      <w:r w:rsidRPr="00575E83">
        <w:t>uillet et Août est stockée dans les johads et utilisée tout au long de l'année. Ce sont des barrières de boue et de gravats simples construits à travers le contour d'une pente pour arrêter l'eau de pluie. Ces </w:t>
      </w:r>
      <w:hyperlink r:id="rId3126" w:history="1">
        <w:r w:rsidRPr="00575E83">
          <w:rPr>
            <w:rStyle w:val="Lienhypertexte"/>
          </w:rPr>
          <w:t>barrages</w:t>
        </w:r>
      </w:hyperlink>
      <w:r w:rsidRPr="00575E83">
        <w:t> de terre sont destinés à capturer et à conserver l'eau de pluie, ce qui conduit à l'amélioration de la percolation et la recharge des nappes. Ils sont construits sur une pente avec un haut remblai sur les trois côtés tandis que le quatrième côté est laissé ouvert pour laisser l'eau de pluie y pénétrer. Ils sont très communs dans le </w:t>
      </w:r>
      <w:hyperlink r:id="rId3127" w:history="1">
        <w:r w:rsidRPr="00575E83">
          <w:rPr>
            <w:rStyle w:val="Lienhypertexte"/>
          </w:rPr>
          <w:t>désert du Thar</w:t>
        </w:r>
      </w:hyperlink>
      <w:r w:rsidRPr="00575E83">
        <w:t> du Rajasthan.</w:t>
      </w:r>
      <w:r>
        <w:t xml:space="preserve"> </w:t>
      </w:r>
      <w:r w:rsidRPr="00575E83">
        <w:t>Les Johads ont été largement diffusés et utilisés par l'ONG « </w:t>
      </w:r>
      <w:r w:rsidRPr="00575E83">
        <w:rPr>
          <w:i/>
          <w:iCs/>
        </w:rPr>
        <w:t>Tarun Bharat Sangh</w:t>
      </w:r>
      <w:r w:rsidRPr="00575E83">
        <w:t xml:space="preserve"> ».</w:t>
      </w:r>
    </w:p>
    <w:p w14:paraId="2DFA8AA4" w14:textId="77777777" w:rsidR="00575E83" w:rsidRPr="00575E83" w:rsidRDefault="00575E83" w:rsidP="00575E83">
      <w:pPr>
        <w:spacing w:after="0" w:line="240" w:lineRule="auto"/>
        <w:rPr>
          <w:lang w:val="en-GB"/>
        </w:rPr>
      </w:pPr>
      <w:r w:rsidRPr="00575E83">
        <w:rPr>
          <w:lang w:val="en-GB"/>
        </w:rPr>
        <w:t xml:space="preserve">Sources: a) </w:t>
      </w:r>
      <w:r w:rsidRPr="00575E83">
        <w:rPr>
          <w:i/>
          <w:iCs/>
          <w:lang w:val="en-US"/>
        </w:rPr>
        <w:t>Traditional Practice of Rainwater Harvesting</w:t>
      </w:r>
      <w:r w:rsidRPr="00575E83">
        <w:rPr>
          <w:lang w:val="en-US"/>
        </w:rPr>
        <w:t xml:space="preserve">, </w:t>
      </w:r>
      <w:hyperlink r:id="rId3128" w:history="1">
        <w:r w:rsidRPr="00575E83">
          <w:rPr>
            <w:rStyle w:val="Lienhypertexte"/>
            <w:lang w:val="en-US"/>
          </w:rPr>
          <w:t>http://www.nepjol.info/index.php/HN/article/download/4229/3590</w:t>
        </w:r>
      </w:hyperlink>
      <w:r w:rsidRPr="00575E83">
        <w:rPr>
          <w:lang w:val="en-US"/>
        </w:rPr>
        <w:t xml:space="preserve"> </w:t>
      </w:r>
      <w:r w:rsidRPr="00575E83">
        <w:rPr>
          <w:lang w:val="en-GB"/>
        </w:rPr>
        <w:t xml:space="preserve"> </w:t>
      </w:r>
    </w:p>
    <w:p w14:paraId="7FA576D6" w14:textId="77777777" w:rsidR="00575E83" w:rsidRPr="00575E83" w:rsidRDefault="00575E83" w:rsidP="00575E83">
      <w:pPr>
        <w:spacing w:after="0" w:line="240" w:lineRule="auto"/>
        <w:rPr>
          <w:lang w:val="en-GB"/>
        </w:rPr>
      </w:pPr>
      <w:r w:rsidRPr="00575E83">
        <w:rPr>
          <w:lang w:val="en-GB"/>
        </w:rPr>
        <w:t xml:space="preserve">b) </w:t>
      </w:r>
      <w:hyperlink r:id="rId3129" w:history="1">
        <w:r w:rsidRPr="00575E83">
          <w:rPr>
            <w:rStyle w:val="Lienhypertexte"/>
            <w:lang w:val="en-GB"/>
          </w:rPr>
          <w:t>http://www.ecotippingpoints.org/our-stories/indepth/india-rajasthan-rainwater-harvest-restoration-groundwater-johad.html</w:t>
        </w:r>
      </w:hyperlink>
      <w:r w:rsidRPr="00575E83">
        <w:rPr>
          <w:lang w:val="en-GB"/>
        </w:rPr>
        <w:t xml:space="preserve">  </w:t>
      </w:r>
    </w:p>
    <w:p w14:paraId="09CCF7F7" w14:textId="00F93BC1" w:rsidR="00575E83" w:rsidRPr="00575E83" w:rsidRDefault="00575E83" w:rsidP="00575E83">
      <w:pPr>
        <w:spacing w:after="0" w:line="240" w:lineRule="auto"/>
        <w:rPr>
          <w:lang w:val="en-GB"/>
        </w:rPr>
      </w:pPr>
      <w:r w:rsidRPr="00575E83">
        <w:rPr>
          <w:lang w:val="en-GB"/>
        </w:rPr>
        <w:t xml:space="preserve">c) </w:t>
      </w:r>
      <w:hyperlink r:id="rId3130" w:history="1">
        <w:r w:rsidRPr="00575E83">
          <w:rPr>
            <w:rStyle w:val="Lienhypertexte"/>
            <w:lang w:val="en-GB"/>
          </w:rPr>
          <w:t>http://en.wikipedia.org/wiki/Johad</w:t>
        </w:r>
      </w:hyperlink>
      <w:r w:rsidRPr="00575E83">
        <w:rPr>
          <w:lang w:val="en-GB"/>
        </w:rPr>
        <w:t xml:space="preserve">  </w:t>
      </w:r>
    </w:p>
    <w:p w14:paraId="502A883C" w14:textId="74761C86" w:rsidR="00210877" w:rsidRDefault="00210877" w:rsidP="00575E83">
      <w:pPr>
        <w:spacing w:after="0" w:line="240" w:lineRule="auto"/>
        <w:jc w:val="both"/>
        <w:rPr>
          <w:lang w:val="en-G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48"/>
        <w:gridCol w:w="1560"/>
        <w:gridCol w:w="1902"/>
        <w:gridCol w:w="3306"/>
      </w:tblGrid>
      <w:tr w:rsidR="00E839DD" w14:paraId="39D130B4" w14:textId="77777777" w:rsidTr="00E839DD">
        <w:tc>
          <w:tcPr>
            <w:tcW w:w="3648" w:type="dxa"/>
          </w:tcPr>
          <w:p w14:paraId="6E28B373" w14:textId="07982416" w:rsidR="00E839DD" w:rsidRDefault="00E839DD" w:rsidP="00E839DD">
            <w:pPr>
              <w:jc w:val="center"/>
              <w:rPr>
                <w:lang w:val="en-GB"/>
              </w:rPr>
            </w:pPr>
            <w:r w:rsidRPr="00E839DD">
              <w:rPr>
                <w:noProof/>
              </w:rPr>
              <w:drawing>
                <wp:inline distT="0" distB="0" distL="0" distR="0" wp14:anchorId="72AD273F" wp14:editId="77C7921F">
                  <wp:extent cx="2179637" cy="1131888"/>
                  <wp:effectExtent l="0" t="0" r="0" b="0"/>
                  <wp:docPr id="113677" name="Picture 13" descr="C:\Users\LISAN\Documents\DeveloppementDurable\botanique\irrigation-stockage-eau\images\joh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77" name="Picture 13" descr="C:\Users\LISAN\Documents\DeveloppementDurable\botanique\irrigation-stockage-eau\images\johad.jpg"/>
                          <pic:cNvPicPr>
                            <a:picLocks noChangeAspect="1" noChangeArrowheads="1"/>
                          </pic:cNvPicPr>
                        </pic:nvPicPr>
                        <pic:blipFill>
                          <a:blip r:embed="rId3131">
                            <a:extLst>
                              <a:ext uri="{28A0092B-C50C-407E-A947-70E740481C1C}">
                                <a14:useLocalDpi xmlns:a14="http://schemas.microsoft.com/office/drawing/2010/main" val="0"/>
                              </a:ext>
                            </a:extLst>
                          </a:blip>
                          <a:srcRect/>
                          <a:stretch>
                            <a:fillRect/>
                          </a:stretch>
                        </pic:blipFill>
                        <pic:spPr bwMode="auto">
                          <a:xfrm>
                            <a:off x="0" y="0"/>
                            <a:ext cx="2179637" cy="11318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62" w:type="dxa"/>
            <w:gridSpan w:val="2"/>
          </w:tcPr>
          <w:p w14:paraId="2A792A7B" w14:textId="72F7BE9E" w:rsidR="00E839DD" w:rsidRDefault="00E839DD" w:rsidP="00E839DD">
            <w:pPr>
              <w:jc w:val="center"/>
              <w:rPr>
                <w:lang w:val="en-GB"/>
              </w:rPr>
            </w:pPr>
            <w:r w:rsidRPr="00E839DD">
              <w:rPr>
                <w:noProof/>
              </w:rPr>
              <w:drawing>
                <wp:inline distT="0" distB="0" distL="0" distR="0" wp14:anchorId="2558BB9F" wp14:editId="4AC03944">
                  <wp:extent cx="2038350" cy="983725"/>
                  <wp:effectExtent l="0" t="0" r="0" b="6985"/>
                  <wp:docPr id="113676" name="Picture 12" descr="C:\Users\LISAN\Documents\DeveloppementDurable\botanique\irrigation-stockage-eau\images\joha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76" name="Picture 12" descr="C:\Users\LISAN\Documents\DeveloppementDurable\botanique\irrigation-stockage-eau\images\johad2.jpg"/>
                          <pic:cNvPicPr>
                            <a:picLocks noChangeAspect="1" noChangeArrowheads="1"/>
                          </pic:cNvPicPr>
                        </pic:nvPicPr>
                        <pic:blipFill>
                          <a:blip r:embed="rId3132">
                            <a:extLst>
                              <a:ext uri="{28A0092B-C50C-407E-A947-70E740481C1C}">
                                <a14:useLocalDpi xmlns:a14="http://schemas.microsoft.com/office/drawing/2010/main" val="0"/>
                              </a:ext>
                            </a:extLst>
                          </a:blip>
                          <a:srcRect/>
                          <a:stretch>
                            <a:fillRect/>
                          </a:stretch>
                        </pic:blipFill>
                        <pic:spPr bwMode="auto">
                          <a:xfrm>
                            <a:off x="0" y="0"/>
                            <a:ext cx="2044996" cy="986932"/>
                          </a:xfrm>
                          <a:prstGeom prst="rect">
                            <a:avLst/>
                          </a:prstGeom>
                          <a:noFill/>
                          <a:ln>
                            <a:noFill/>
                          </a:ln>
                        </pic:spPr>
                      </pic:pic>
                    </a:graphicData>
                  </a:graphic>
                </wp:inline>
              </w:drawing>
            </w:r>
          </w:p>
        </w:tc>
        <w:tc>
          <w:tcPr>
            <w:tcW w:w="3306" w:type="dxa"/>
          </w:tcPr>
          <w:p w14:paraId="055F7326" w14:textId="7FC19545" w:rsidR="00E839DD" w:rsidRDefault="00E839DD" w:rsidP="00E839DD">
            <w:pPr>
              <w:jc w:val="center"/>
              <w:rPr>
                <w:lang w:val="en-GB"/>
              </w:rPr>
            </w:pPr>
            <w:r w:rsidRPr="00E839DD">
              <w:rPr>
                <w:noProof/>
              </w:rPr>
              <w:drawing>
                <wp:inline distT="0" distB="0" distL="0" distR="0" wp14:anchorId="40887A24" wp14:editId="4EC29D81">
                  <wp:extent cx="1590675" cy="1193800"/>
                  <wp:effectExtent l="0" t="0" r="9525" b="6350"/>
                  <wp:docPr id="113674" name="Image 9" descr="joha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74" name="Image 9" descr="johad4.jpg"/>
                          <pic:cNvPicPr>
                            <a:picLocks noChangeAspect="1"/>
                          </pic:cNvPicPr>
                        </pic:nvPicPr>
                        <pic:blipFill>
                          <a:blip r:embed="rId3133">
                            <a:extLst>
                              <a:ext uri="{28A0092B-C50C-407E-A947-70E740481C1C}">
                                <a14:useLocalDpi xmlns:a14="http://schemas.microsoft.com/office/drawing/2010/main" val="0"/>
                              </a:ext>
                            </a:extLst>
                          </a:blip>
                          <a:srcRect/>
                          <a:stretch>
                            <a:fillRect/>
                          </a:stretch>
                        </pic:blipFill>
                        <pic:spPr bwMode="auto">
                          <a:xfrm>
                            <a:off x="0" y="0"/>
                            <a:ext cx="1590675" cy="1193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E839DD" w14:paraId="46964738" w14:textId="77777777" w:rsidTr="00E839DD">
        <w:tc>
          <w:tcPr>
            <w:tcW w:w="5208" w:type="dxa"/>
            <w:gridSpan w:val="2"/>
          </w:tcPr>
          <w:p w14:paraId="69E65403" w14:textId="67BF1F68" w:rsidR="00E839DD" w:rsidRDefault="00E839DD" w:rsidP="00E839DD">
            <w:pPr>
              <w:jc w:val="center"/>
              <w:rPr>
                <w:lang w:val="en-GB"/>
              </w:rPr>
            </w:pPr>
            <w:r w:rsidRPr="00E839DD">
              <w:rPr>
                <w:noProof/>
              </w:rPr>
              <w:lastRenderedPageBreak/>
              <w:drawing>
                <wp:inline distT="0" distB="0" distL="0" distR="0" wp14:anchorId="2A24D59D" wp14:editId="2A2FA3C1">
                  <wp:extent cx="2417506" cy="1609725"/>
                  <wp:effectExtent l="0" t="0" r="1905" b="0"/>
                  <wp:docPr id="113672" name="Image 7" descr="joha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72" name="Image 7" descr="johad2.jpg"/>
                          <pic:cNvPicPr>
                            <a:picLocks noChangeAspect="1"/>
                          </pic:cNvPicPr>
                        </pic:nvPicPr>
                        <pic:blipFill>
                          <a:blip r:embed="rId3134">
                            <a:extLst>
                              <a:ext uri="{28A0092B-C50C-407E-A947-70E740481C1C}">
                                <a14:useLocalDpi xmlns:a14="http://schemas.microsoft.com/office/drawing/2010/main" val="0"/>
                              </a:ext>
                            </a:extLst>
                          </a:blip>
                          <a:srcRect/>
                          <a:stretch>
                            <a:fillRect/>
                          </a:stretch>
                        </pic:blipFill>
                        <pic:spPr bwMode="auto">
                          <a:xfrm>
                            <a:off x="0" y="0"/>
                            <a:ext cx="2419191" cy="1610847"/>
                          </a:xfrm>
                          <a:prstGeom prst="rect">
                            <a:avLst/>
                          </a:prstGeom>
                          <a:noFill/>
                          <a:ln>
                            <a:noFill/>
                          </a:ln>
                        </pic:spPr>
                      </pic:pic>
                    </a:graphicData>
                  </a:graphic>
                </wp:inline>
              </w:drawing>
            </w:r>
          </w:p>
        </w:tc>
        <w:tc>
          <w:tcPr>
            <w:tcW w:w="5208" w:type="dxa"/>
            <w:gridSpan w:val="2"/>
          </w:tcPr>
          <w:p w14:paraId="37334165" w14:textId="77777777" w:rsidR="00E839DD" w:rsidRDefault="00E839DD" w:rsidP="00E839DD">
            <w:pPr>
              <w:jc w:val="center"/>
              <w:rPr>
                <w:lang w:val="en-GB"/>
              </w:rPr>
            </w:pPr>
            <w:r w:rsidRPr="00E839DD">
              <w:rPr>
                <w:noProof/>
              </w:rPr>
              <w:drawing>
                <wp:inline distT="0" distB="0" distL="0" distR="0" wp14:anchorId="6A26E8D1" wp14:editId="71BE799B">
                  <wp:extent cx="2543175" cy="1790700"/>
                  <wp:effectExtent l="0" t="0" r="9525" b="0"/>
                  <wp:docPr id="113673" name="Image 8" descr="joha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73" name="Image 8" descr="johad3.jpg"/>
                          <pic:cNvPicPr>
                            <a:picLocks noChangeAspect="1"/>
                          </pic:cNvPicPr>
                        </pic:nvPicPr>
                        <pic:blipFill>
                          <a:blip r:embed="rId3135">
                            <a:extLst>
                              <a:ext uri="{28A0092B-C50C-407E-A947-70E740481C1C}">
                                <a14:useLocalDpi xmlns:a14="http://schemas.microsoft.com/office/drawing/2010/main" val="0"/>
                              </a:ext>
                            </a:extLst>
                          </a:blip>
                          <a:srcRect/>
                          <a:stretch>
                            <a:fillRect/>
                          </a:stretch>
                        </pic:blipFill>
                        <pic:spPr bwMode="auto">
                          <a:xfrm>
                            <a:off x="0" y="0"/>
                            <a:ext cx="2543175" cy="1790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431D3C7" w14:textId="74F6B2B8" w:rsidR="00E839DD" w:rsidRDefault="00E839DD" w:rsidP="00E839DD">
            <w:pPr>
              <w:jc w:val="center"/>
              <w:rPr>
                <w:lang w:val="en-GB"/>
              </w:rPr>
            </w:pPr>
          </w:p>
        </w:tc>
      </w:tr>
      <w:tr w:rsidR="00E839DD" w14:paraId="38AF9B06" w14:textId="77777777" w:rsidTr="00E839DD">
        <w:tc>
          <w:tcPr>
            <w:tcW w:w="5208" w:type="dxa"/>
            <w:gridSpan w:val="2"/>
          </w:tcPr>
          <w:p w14:paraId="0E370597" w14:textId="7C49D8E8" w:rsidR="00E839DD" w:rsidRDefault="00E839DD" w:rsidP="00E839DD">
            <w:pPr>
              <w:jc w:val="center"/>
              <w:rPr>
                <w:lang w:val="en-GB"/>
              </w:rPr>
            </w:pPr>
            <w:r w:rsidRPr="00E839DD">
              <w:rPr>
                <w:noProof/>
              </w:rPr>
              <w:drawing>
                <wp:inline distT="0" distB="0" distL="0" distR="0" wp14:anchorId="38133CEF" wp14:editId="55157204">
                  <wp:extent cx="2274888" cy="1703388"/>
                  <wp:effectExtent l="0" t="0" r="0" b="0"/>
                  <wp:docPr id="113671" name="Image 6" descr="joha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71" name="Image 6" descr="johad1.jpg"/>
                          <pic:cNvPicPr>
                            <a:picLocks noChangeAspect="1"/>
                          </pic:cNvPicPr>
                        </pic:nvPicPr>
                        <pic:blipFill>
                          <a:blip r:embed="rId3136">
                            <a:extLst>
                              <a:ext uri="{28A0092B-C50C-407E-A947-70E740481C1C}">
                                <a14:useLocalDpi xmlns:a14="http://schemas.microsoft.com/office/drawing/2010/main" val="0"/>
                              </a:ext>
                            </a:extLst>
                          </a:blip>
                          <a:srcRect/>
                          <a:stretch>
                            <a:fillRect/>
                          </a:stretch>
                        </pic:blipFill>
                        <pic:spPr bwMode="auto">
                          <a:xfrm>
                            <a:off x="0" y="0"/>
                            <a:ext cx="2274888" cy="17033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208" w:type="dxa"/>
            <w:gridSpan w:val="2"/>
          </w:tcPr>
          <w:p w14:paraId="6FDE27F3" w14:textId="5E260114" w:rsidR="00E839DD" w:rsidRDefault="00E839DD" w:rsidP="00E839DD">
            <w:pPr>
              <w:jc w:val="center"/>
              <w:rPr>
                <w:lang w:val="en-GB"/>
              </w:rPr>
            </w:pPr>
            <w:r w:rsidRPr="00E839DD">
              <w:rPr>
                <w:noProof/>
              </w:rPr>
              <w:drawing>
                <wp:inline distT="0" distB="0" distL="0" distR="0" wp14:anchorId="730437E6" wp14:editId="03E17861">
                  <wp:extent cx="2809875" cy="1504950"/>
                  <wp:effectExtent l="0" t="0" r="9525" b="0"/>
                  <wp:docPr id="113675" name="Image 10" descr="johad5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75" name="Image 10" descr="johad5_s.jpg"/>
                          <pic:cNvPicPr>
                            <a:picLocks noChangeAspect="1"/>
                          </pic:cNvPicPr>
                        </pic:nvPicPr>
                        <pic:blipFill>
                          <a:blip r:embed="rId3137">
                            <a:extLst>
                              <a:ext uri="{28A0092B-C50C-407E-A947-70E740481C1C}">
                                <a14:useLocalDpi xmlns:a14="http://schemas.microsoft.com/office/drawing/2010/main" val="0"/>
                              </a:ext>
                            </a:extLst>
                          </a:blip>
                          <a:srcRect/>
                          <a:stretch>
                            <a:fillRect/>
                          </a:stretch>
                        </pic:blipFill>
                        <pic:spPr bwMode="auto">
                          <a:xfrm>
                            <a:off x="0" y="0"/>
                            <a:ext cx="2809875" cy="1504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2D1E9772" w14:textId="0FB512D3" w:rsidR="00E839DD" w:rsidRDefault="00E839DD" w:rsidP="00E839DD">
      <w:pPr>
        <w:spacing w:after="0" w:line="240" w:lineRule="auto"/>
        <w:rPr>
          <w:lang w:val="en-GB"/>
        </w:rPr>
      </w:pPr>
    </w:p>
    <w:p w14:paraId="309FEFC3" w14:textId="301A7631" w:rsidR="00F83BC7" w:rsidRDefault="00F83BC7" w:rsidP="00F83BC7">
      <w:pPr>
        <w:spacing w:after="0" w:line="240" w:lineRule="auto"/>
        <w:jc w:val="center"/>
        <w:rPr>
          <w:lang w:val="en-GB"/>
        </w:rPr>
      </w:pPr>
      <w:r w:rsidRPr="00F83BC7">
        <w:rPr>
          <w:noProof/>
        </w:rPr>
        <w:drawing>
          <wp:inline distT="0" distB="0" distL="0" distR="0" wp14:anchorId="4C0A9337" wp14:editId="4CBE827E">
            <wp:extent cx="2800350" cy="2076450"/>
            <wp:effectExtent l="0" t="0" r="0" b="0"/>
            <wp:docPr id="114696" name="Picture 8" descr="C:\Users\LISAN\Documents\DVD-DevDurable\eau\eau-Potabilisation-GestionDeLEau-Irrigation\irrigation-stockage-eau\images\Checkda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96" name="Picture 8" descr="C:\Users\LISAN\Documents\DVD-DevDurable\eau\eau-Potabilisation-GestionDeLEau-Irrigation\irrigation-stockage-eau\images\Checkdams.jpg"/>
                    <pic:cNvPicPr>
                      <a:picLocks noChangeAspect="1" noChangeArrowheads="1"/>
                    </pic:cNvPicPr>
                  </pic:nvPicPr>
                  <pic:blipFill>
                    <a:blip r:embed="rId3138">
                      <a:extLst>
                        <a:ext uri="{28A0092B-C50C-407E-A947-70E740481C1C}">
                          <a14:useLocalDpi xmlns:a14="http://schemas.microsoft.com/office/drawing/2010/main" val="0"/>
                        </a:ext>
                      </a:extLst>
                    </a:blip>
                    <a:srcRect/>
                    <a:stretch>
                      <a:fillRect/>
                    </a:stretch>
                  </pic:blipFill>
                  <pic:spPr bwMode="auto">
                    <a:xfrm>
                      <a:off x="0" y="0"/>
                      <a:ext cx="2800350" cy="2076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2350A40" w14:textId="77777777" w:rsidR="00A95DE0" w:rsidRDefault="00A95DE0" w:rsidP="00F83BC7">
      <w:pPr>
        <w:spacing w:after="0" w:line="240" w:lineRule="auto"/>
        <w:jc w:val="center"/>
        <w:rPr>
          <w:lang w:val="en-GB"/>
        </w:rPr>
      </w:pPr>
    </w:p>
    <w:p w14:paraId="4C3AB961" w14:textId="62EC4E7B" w:rsidR="00E839DD" w:rsidRDefault="00F83BC7" w:rsidP="00F83BC7">
      <w:pPr>
        <w:spacing w:after="0" w:line="240" w:lineRule="auto"/>
        <w:jc w:val="center"/>
        <w:rPr>
          <w:lang w:val="en-GB"/>
        </w:rPr>
      </w:pPr>
      <w:r w:rsidRPr="00F83BC7">
        <w:rPr>
          <w:noProof/>
        </w:rPr>
        <w:lastRenderedPageBreak/>
        <w:drawing>
          <wp:inline distT="0" distB="0" distL="0" distR="0" wp14:anchorId="2418B111" wp14:editId="624DA3F4">
            <wp:extent cx="4845050" cy="3095625"/>
            <wp:effectExtent l="0" t="0" r="0" b="9525"/>
            <wp:docPr id="114690" name="Picture 2" descr="C:\Users\LISAN\Documents\DeveloppementDurable\botanique\irrigation-stockage-eau\images\Rainwater harvesting using joha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90" name="Picture 2" descr="C:\Users\LISAN\Documents\DeveloppementDurable\botanique\irrigation-stockage-eau\images\Rainwater harvesting using johads.jpg"/>
                    <pic:cNvPicPr>
                      <a:picLocks noChangeAspect="1" noChangeArrowheads="1"/>
                    </pic:cNvPicPr>
                  </pic:nvPicPr>
                  <pic:blipFill>
                    <a:blip r:embed="rId3139">
                      <a:extLst>
                        <a:ext uri="{28A0092B-C50C-407E-A947-70E740481C1C}">
                          <a14:useLocalDpi xmlns:a14="http://schemas.microsoft.com/office/drawing/2010/main" val="0"/>
                        </a:ext>
                      </a:extLst>
                    </a:blip>
                    <a:srcRect/>
                    <a:stretch>
                      <a:fillRect/>
                    </a:stretch>
                  </pic:blipFill>
                  <pic:spPr bwMode="auto">
                    <a:xfrm>
                      <a:off x="0" y="0"/>
                      <a:ext cx="4845050" cy="3095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E8BA365" w14:textId="3B8AD253" w:rsidR="00F83BC7" w:rsidRDefault="00F83BC7" w:rsidP="00F83BC7">
      <w:pPr>
        <w:spacing w:after="0" w:line="240" w:lineRule="auto"/>
        <w:rPr>
          <w:lang w:val="en-GB"/>
        </w:rPr>
      </w:pPr>
    </w:p>
    <w:p w14:paraId="39A7B5E1" w14:textId="6695E6AB" w:rsidR="00F83BC7" w:rsidRDefault="00F83BC7" w:rsidP="00F83BC7">
      <w:pPr>
        <w:spacing w:after="0" w:line="240" w:lineRule="auto"/>
      </w:pPr>
      <w:r w:rsidRPr="00F83BC7">
        <w:t>Légendes :</w:t>
      </w:r>
    </w:p>
    <w:p w14:paraId="1FBF1D04" w14:textId="77777777" w:rsidR="00F83BC7" w:rsidRPr="00F83BC7" w:rsidRDefault="00F83BC7" w:rsidP="00F83BC7">
      <w:pPr>
        <w:spacing w:after="0" w:line="240" w:lineRule="auto"/>
      </w:pPr>
    </w:p>
    <w:p w14:paraId="71F94C95" w14:textId="56EBDEF4" w:rsidR="00F83BC7" w:rsidRPr="00F83BC7" w:rsidRDefault="00F83BC7" w:rsidP="0022016D">
      <w:pPr>
        <w:pStyle w:val="Paragraphedeliste"/>
        <w:numPr>
          <w:ilvl w:val="0"/>
          <w:numId w:val="29"/>
        </w:numPr>
        <w:spacing w:after="0" w:line="240" w:lineRule="auto"/>
      </w:pPr>
      <w:r w:rsidRPr="00F83BC7">
        <w:t xml:space="preserve">Structure liée sur trois côtés par des collines, le quatrième côté étant un mur de boue retenant le ruissellement due à la mousson </w:t>
      </w:r>
    </w:p>
    <w:p w14:paraId="03FBD3CA" w14:textId="62C08254" w:rsidR="00F83BC7" w:rsidRPr="00F83BC7" w:rsidRDefault="00F83BC7" w:rsidP="0022016D">
      <w:pPr>
        <w:pStyle w:val="Paragraphedeliste"/>
        <w:numPr>
          <w:ilvl w:val="0"/>
          <w:numId w:val="29"/>
        </w:numPr>
        <w:spacing w:after="0" w:line="240" w:lineRule="auto"/>
      </w:pPr>
      <w:r w:rsidRPr="00F83BC7">
        <w:t xml:space="preserve">Puits en aval </w:t>
      </w:r>
    </w:p>
    <w:p w14:paraId="6EF88FF9" w14:textId="22457B3D" w:rsidR="00F83BC7" w:rsidRPr="00F83BC7" w:rsidRDefault="00F83BC7" w:rsidP="0022016D">
      <w:pPr>
        <w:pStyle w:val="Paragraphedeliste"/>
        <w:numPr>
          <w:ilvl w:val="0"/>
          <w:numId w:val="29"/>
        </w:numPr>
        <w:spacing w:after="0" w:line="240" w:lineRule="auto"/>
      </w:pPr>
      <w:r w:rsidRPr="00F83BC7">
        <w:t>L'excès d'eau s'écoule naturellement vers une vidange</w:t>
      </w:r>
    </w:p>
    <w:p w14:paraId="50B82803" w14:textId="09E638CF" w:rsidR="00F83BC7" w:rsidRPr="00F83BC7" w:rsidRDefault="00F83BC7" w:rsidP="0022016D">
      <w:pPr>
        <w:pStyle w:val="Paragraphedeliste"/>
        <w:numPr>
          <w:ilvl w:val="0"/>
          <w:numId w:val="29"/>
        </w:numPr>
        <w:spacing w:after="0" w:line="240" w:lineRule="auto"/>
      </w:pPr>
      <w:r w:rsidRPr="00F83BC7">
        <w:t>L'eau de pluie du bassin versant</w:t>
      </w:r>
    </w:p>
    <w:p w14:paraId="43E3CBF0" w14:textId="0D076536" w:rsidR="00F83BC7" w:rsidRPr="00F83BC7" w:rsidRDefault="00F83BC7" w:rsidP="0022016D">
      <w:pPr>
        <w:pStyle w:val="Paragraphedeliste"/>
        <w:numPr>
          <w:ilvl w:val="0"/>
          <w:numId w:val="29"/>
        </w:numPr>
        <w:spacing w:after="0" w:line="240" w:lineRule="auto"/>
      </w:pPr>
      <w:r w:rsidRPr="00F83BC7">
        <w:t xml:space="preserve">Déversoir </w:t>
      </w:r>
    </w:p>
    <w:p w14:paraId="15138FA8" w14:textId="0EA62CBF" w:rsidR="00F83BC7" w:rsidRPr="00F83BC7" w:rsidRDefault="00F83BC7" w:rsidP="0022016D">
      <w:pPr>
        <w:pStyle w:val="Paragraphedeliste"/>
        <w:numPr>
          <w:ilvl w:val="0"/>
          <w:numId w:val="29"/>
        </w:numPr>
        <w:spacing w:after="0" w:line="240" w:lineRule="auto"/>
      </w:pPr>
      <w:r w:rsidRPr="00F83BC7">
        <w:t xml:space="preserve">Digue en terre pour arrêter le ruissellement </w:t>
      </w:r>
    </w:p>
    <w:p w14:paraId="2A7ACEDD" w14:textId="7A2B2041" w:rsidR="00F83BC7" w:rsidRPr="00F83BC7" w:rsidRDefault="00F83BC7" w:rsidP="0022016D">
      <w:pPr>
        <w:pStyle w:val="Paragraphedeliste"/>
        <w:numPr>
          <w:ilvl w:val="0"/>
          <w:numId w:val="29"/>
        </w:numPr>
        <w:spacing w:after="0" w:line="240" w:lineRule="auto"/>
      </w:pPr>
      <w:r w:rsidRPr="00F83BC7">
        <w:t xml:space="preserve">L'excès d'eau </w:t>
      </w:r>
    </w:p>
    <w:p w14:paraId="445EBBEB" w14:textId="0FD9BFB2" w:rsidR="00F83BC7" w:rsidRPr="00F83BC7" w:rsidRDefault="00F83BC7" w:rsidP="0022016D">
      <w:pPr>
        <w:pStyle w:val="Paragraphedeliste"/>
        <w:numPr>
          <w:ilvl w:val="0"/>
          <w:numId w:val="29"/>
        </w:numPr>
        <w:spacing w:after="0" w:line="240" w:lineRule="auto"/>
      </w:pPr>
      <w:r w:rsidRPr="00F83BC7">
        <w:t xml:space="preserve">Le puits rechargée </w:t>
      </w:r>
    </w:p>
    <w:p w14:paraId="015BF2BA" w14:textId="1A9DCFA9" w:rsidR="00F83BC7" w:rsidRPr="00F83BC7" w:rsidRDefault="00F83BC7" w:rsidP="0022016D">
      <w:pPr>
        <w:pStyle w:val="Paragraphedeliste"/>
        <w:numPr>
          <w:ilvl w:val="0"/>
          <w:numId w:val="29"/>
        </w:numPr>
        <w:spacing w:after="0" w:line="240" w:lineRule="auto"/>
      </w:pPr>
      <w:r w:rsidRPr="00F83BC7">
        <w:t xml:space="preserve">Multiples </w:t>
      </w:r>
      <w:r w:rsidRPr="00F83BC7">
        <w:rPr>
          <w:i/>
          <w:iCs/>
        </w:rPr>
        <w:t>Johada</w:t>
      </w:r>
      <w:r w:rsidRPr="00F83BC7">
        <w:t xml:space="preserve"> sur un terrain escarpé</w:t>
      </w:r>
    </w:p>
    <w:p w14:paraId="57B37BDD" w14:textId="1F89C028" w:rsidR="00F83BC7" w:rsidRDefault="00F83BC7" w:rsidP="00F83BC7">
      <w:pPr>
        <w:spacing w:after="0" w:line="240" w:lineRule="auto"/>
      </w:pPr>
    </w:p>
    <w:p w14:paraId="029D862B" w14:textId="1C88E2F0" w:rsidR="00026698" w:rsidRDefault="00026698" w:rsidP="00026698">
      <w:pPr>
        <w:pStyle w:val="Titre2"/>
      </w:pPr>
      <w:bookmarkStart w:id="237" w:name="_Toc139181528"/>
      <w:r>
        <w:t>Lavogne</w:t>
      </w:r>
      <w:bookmarkEnd w:id="237"/>
    </w:p>
    <w:p w14:paraId="4A76DB5E" w14:textId="6D8766D3" w:rsidR="00026698" w:rsidRDefault="00026698" w:rsidP="00F83BC7">
      <w:pPr>
        <w:spacing w:after="0" w:line="240" w:lineRule="auto"/>
      </w:pPr>
    </w:p>
    <w:p w14:paraId="7E80A1E9" w14:textId="0540D5A8" w:rsidR="00026698" w:rsidRPr="00026698" w:rsidRDefault="00026698" w:rsidP="00026698">
      <w:pPr>
        <w:spacing w:after="0" w:line="240" w:lineRule="auto"/>
        <w:jc w:val="both"/>
        <w:rPr>
          <w:rFonts w:ascii="Calibri" w:hAnsi="Calibri" w:cs="Calibri"/>
        </w:rPr>
      </w:pPr>
      <w:r w:rsidRPr="00026698">
        <w:rPr>
          <w:rFonts w:ascii="Calibri" w:hAnsi="Calibri" w:cs="Calibri"/>
          <w:color w:val="000000" w:themeColor="text1"/>
          <w:shd w:val="clear" w:color="auto" w:fill="FFFFFF"/>
        </w:rPr>
        <w:t>Une </w:t>
      </w:r>
      <w:r w:rsidRPr="00026698">
        <w:rPr>
          <w:rFonts w:ascii="Calibri" w:hAnsi="Calibri" w:cs="Calibri"/>
          <w:b/>
          <w:bCs/>
          <w:color w:val="000000" w:themeColor="text1"/>
          <w:shd w:val="clear" w:color="auto" w:fill="FFFFFF"/>
        </w:rPr>
        <w:t>lavogne</w:t>
      </w:r>
      <w:r w:rsidRPr="00026698">
        <w:rPr>
          <w:rFonts w:ascii="Calibri" w:hAnsi="Calibri" w:cs="Calibri"/>
          <w:color w:val="000000" w:themeColor="text1"/>
          <w:shd w:val="clear" w:color="auto" w:fill="FFFFFF"/>
        </w:rPr>
        <w:t> ou </w:t>
      </w:r>
      <w:r w:rsidRPr="00026698">
        <w:rPr>
          <w:rFonts w:ascii="Calibri" w:hAnsi="Calibri" w:cs="Calibri"/>
          <w:b/>
          <w:bCs/>
          <w:color w:val="000000" w:themeColor="text1"/>
          <w:shd w:val="clear" w:color="auto" w:fill="FFFFFF"/>
        </w:rPr>
        <w:t>lavagne</w:t>
      </w:r>
      <w:r w:rsidRPr="00026698">
        <w:rPr>
          <w:rFonts w:ascii="Calibri" w:hAnsi="Calibri" w:cs="Calibri"/>
          <w:color w:val="000000" w:themeColor="text1"/>
          <w:shd w:val="clear" w:color="auto" w:fill="FFFFFF"/>
        </w:rPr>
        <w:t> désigne une petite </w:t>
      </w:r>
      <w:hyperlink r:id="rId3140" w:tooltip="Dépression (géographie)" w:history="1">
        <w:r w:rsidRPr="00026698">
          <w:rPr>
            <w:rStyle w:val="Lienhypertexte"/>
            <w:rFonts w:ascii="Calibri" w:hAnsi="Calibri" w:cs="Calibri"/>
            <w:color w:val="2F5496" w:themeColor="accent1" w:themeShade="BF"/>
            <w:shd w:val="clear" w:color="auto" w:fill="FFFFFF"/>
          </w:rPr>
          <w:t>dépression</w:t>
        </w:r>
      </w:hyperlink>
      <w:r w:rsidRPr="00026698">
        <w:rPr>
          <w:rFonts w:ascii="Calibri" w:hAnsi="Calibri" w:cs="Calibri"/>
          <w:color w:val="000000" w:themeColor="text1"/>
          <w:shd w:val="clear" w:color="auto" w:fill="FFFFFF"/>
        </w:rPr>
        <w:t> aménagée par l'Homme sur les </w:t>
      </w:r>
      <w:hyperlink r:id="rId3141" w:tooltip="Causse" w:history="1">
        <w:r w:rsidRPr="00026698">
          <w:rPr>
            <w:rStyle w:val="Lienhypertexte"/>
            <w:rFonts w:ascii="Calibri" w:hAnsi="Calibri" w:cs="Calibri"/>
            <w:color w:val="0645AD"/>
            <w:shd w:val="clear" w:color="auto" w:fill="FFFFFF"/>
          </w:rPr>
          <w:t>causses</w:t>
        </w:r>
      </w:hyperlink>
      <w:r w:rsidRPr="00026698">
        <w:rPr>
          <w:rFonts w:ascii="Calibri" w:hAnsi="Calibri" w:cs="Calibri"/>
          <w:color w:val="202122"/>
          <w:shd w:val="clear" w:color="auto" w:fill="FFFFFF"/>
        </w:rPr>
        <w:t> </w:t>
      </w:r>
      <w:r w:rsidRPr="00026698">
        <w:rPr>
          <w:rFonts w:ascii="Calibri" w:hAnsi="Calibri" w:cs="Calibri"/>
          <w:color w:val="000000" w:themeColor="text1"/>
          <w:shd w:val="clear" w:color="auto" w:fill="FFFFFF"/>
        </w:rPr>
        <w:t xml:space="preserve">(« plateaux calcaires ») pour collecter </w:t>
      </w:r>
      <w:r w:rsidRPr="00026698">
        <w:rPr>
          <w:rFonts w:ascii="Calibri" w:hAnsi="Calibri" w:cs="Calibri"/>
          <w:color w:val="202122"/>
          <w:shd w:val="clear" w:color="auto" w:fill="FFFFFF"/>
        </w:rPr>
        <w:t>l'</w:t>
      </w:r>
      <w:hyperlink r:id="rId3142" w:tooltip="Eau pluviale" w:history="1">
        <w:r w:rsidRPr="00026698">
          <w:rPr>
            <w:rStyle w:val="Lienhypertexte"/>
            <w:rFonts w:ascii="Calibri" w:hAnsi="Calibri" w:cs="Calibri"/>
            <w:color w:val="0645AD"/>
            <w:shd w:val="clear" w:color="auto" w:fill="FFFFFF"/>
          </w:rPr>
          <w:t>eau de pluie</w:t>
        </w:r>
      </w:hyperlink>
      <w:r w:rsidRPr="00026698">
        <w:rPr>
          <w:rFonts w:ascii="Calibri" w:hAnsi="Calibri" w:cs="Calibri"/>
          <w:color w:val="202122"/>
          <w:shd w:val="clear" w:color="auto" w:fill="FFFFFF"/>
        </w:rPr>
        <w:t> </w:t>
      </w:r>
      <w:r w:rsidRPr="00026698">
        <w:rPr>
          <w:rFonts w:ascii="Calibri" w:hAnsi="Calibri" w:cs="Calibri"/>
          <w:color w:val="000000" w:themeColor="text1"/>
          <w:shd w:val="clear" w:color="auto" w:fill="FFFFFF"/>
        </w:rPr>
        <w:t>et abreuver le </w:t>
      </w:r>
      <w:hyperlink r:id="rId3143" w:tooltip="Bétail" w:history="1">
        <w:r w:rsidRPr="00026698">
          <w:rPr>
            <w:rStyle w:val="Lienhypertexte"/>
            <w:rFonts w:ascii="Calibri" w:hAnsi="Calibri" w:cs="Calibri"/>
            <w:color w:val="0645AD"/>
            <w:shd w:val="clear" w:color="auto" w:fill="FFFFFF"/>
          </w:rPr>
          <w:t>bétail</w:t>
        </w:r>
      </w:hyperlink>
      <w:r w:rsidRPr="00026698">
        <w:rPr>
          <w:rFonts w:ascii="Calibri" w:hAnsi="Calibri" w:cs="Calibri"/>
          <w:color w:val="202122"/>
          <w:shd w:val="clear" w:color="auto" w:fill="FFFFFF"/>
        </w:rPr>
        <w:t xml:space="preserve">, </w:t>
      </w:r>
      <w:r w:rsidRPr="00026698">
        <w:rPr>
          <w:rFonts w:ascii="Calibri" w:hAnsi="Calibri" w:cs="Calibri"/>
          <w:color w:val="000000" w:themeColor="text1"/>
          <w:shd w:val="clear" w:color="auto" w:fill="FFFFFF"/>
        </w:rPr>
        <w:t>voire lui-même à une époque plus ancienne. Appelées</w:t>
      </w:r>
      <w:r w:rsidRPr="00026698">
        <w:rPr>
          <w:rFonts w:ascii="Calibri" w:hAnsi="Calibri" w:cs="Calibri"/>
          <w:color w:val="202122"/>
          <w:shd w:val="clear" w:color="auto" w:fill="FFFFFF"/>
        </w:rPr>
        <w:t> </w:t>
      </w:r>
      <w:hyperlink r:id="rId3144" w:tooltip="Sotch" w:history="1">
        <w:r w:rsidRPr="00026698">
          <w:rPr>
            <w:rStyle w:val="Lienhypertexte"/>
            <w:rFonts w:ascii="Calibri" w:hAnsi="Calibri" w:cs="Calibri"/>
            <w:i/>
            <w:iCs/>
            <w:color w:val="0645AD"/>
            <w:shd w:val="clear" w:color="auto" w:fill="FFFFFF"/>
          </w:rPr>
          <w:t>sotchs</w:t>
        </w:r>
      </w:hyperlink>
      <w:r w:rsidRPr="00026698">
        <w:rPr>
          <w:rFonts w:ascii="Calibri" w:hAnsi="Calibri" w:cs="Calibri"/>
          <w:color w:val="202122"/>
          <w:shd w:val="clear" w:color="auto" w:fill="FFFFFF"/>
        </w:rPr>
        <w:t> </w:t>
      </w:r>
      <w:r w:rsidRPr="00026698">
        <w:rPr>
          <w:rFonts w:ascii="Calibri" w:hAnsi="Calibri" w:cs="Calibri"/>
          <w:color w:val="000000" w:themeColor="text1"/>
          <w:shd w:val="clear" w:color="auto" w:fill="FFFFFF"/>
        </w:rPr>
        <w:t>ou </w:t>
      </w:r>
      <w:hyperlink r:id="rId3145" w:tooltip="Doline" w:history="1">
        <w:r w:rsidRPr="00026698">
          <w:rPr>
            <w:rStyle w:val="Lienhypertexte"/>
            <w:rFonts w:ascii="Calibri" w:hAnsi="Calibri" w:cs="Calibri"/>
            <w:color w:val="0645AD"/>
            <w:shd w:val="clear" w:color="auto" w:fill="FFFFFF"/>
          </w:rPr>
          <w:t>dolines</w:t>
        </w:r>
      </w:hyperlink>
      <w:r w:rsidRPr="00026698">
        <w:rPr>
          <w:rFonts w:ascii="Calibri" w:hAnsi="Calibri" w:cs="Calibri"/>
          <w:color w:val="202122"/>
          <w:shd w:val="clear" w:color="auto" w:fill="FFFFFF"/>
        </w:rPr>
        <w:t xml:space="preserve">, </w:t>
      </w:r>
      <w:r w:rsidRPr="00026698">
        <w:rPr>
          <w:rFonts w:ascii="Calibri" w:hAnsi="Calibri" w:cs="Calibri"/>
          <w:color w:val="000000" w:themeColor="text1"/>
          <w:shd w:val="clear" w:color="auto" w:fill="FFFFFF"/>
        </w:rPr>
        <w:t>ces excavations naturelles ont été étanchéifiées par un tapis </w:t>
      </w:r>
      <w:hyperlink r:id="rId3146" w:tooltip="Argile" w:history="1">
        <w:r w:rsidRPr="00026698">
          <w:rPr>
            <w:rStyle w:val="Lienhypertexte"/>
            <w:rFonts w:ascii="Calibri" w:hAnsi="Calibri" w:cs="Calibri"/>
            <w:color w:val="0645AD"/>
            <w:shd w:val="clear" w:color="auto" w:fill="FFFFFF"/>
          </w:rPr>
          <w:t>argileux</w:t>
        </w:r>
      </w:hyperlink>
      <w:r w:rsidRPr="00026698">
        <w:rPr>
          <w:rFonts w:ascii="Calibri" w:hAnsi="Calibri" w:cs="Calibri"/>
          <w:color w:val="202122"/>
          <w:shd w:val="clear" w:color="auto" w:fill="FFFFFF"/>
        </w:rPr>
        <w:t> </w:t>
      </w:r>
      <w:r w:rsidRPr="00026698">
        <w:rPr>
          <w:rFonts w:ascii="Calibri" w:hAnsi="Calibri" w:cs="Calibri"/>
          <w:color w:val="000000" w:themeColor="text1"/>
          <w:shd w:val="clear" w:color="auto" w:fill="FFFFFF"/>
        </w:rPr>
        <w:t>destiné à capter et à retenir le</w:t>
      </w:r>
      <w:r w:rsidRPr="00026698">
        <w:rPr>
          <w:rFonts w:ascii="Calibri" w:hAnsi="Calibri" w:cs="Calibri"/>
          <w:color w:val="202122"/>
          <w:shd w:val="clear" w:color="auto" w:fill="FFFFFF"/>
        </w:rPr>
        <w:t>s </w:t>
      </w:r>
      <w:hyperlink r:id="rId3147" w:tooltip="Eau de ruissellement" w:history="1">
        <w:r w:rsidRPr="00026698">
          <w:rPr>
            <w:rStyle w:val="Lienhypertexte"/>
            <w:rFonts w:ascii="Calibri" w:hAnsi="Calibri" w:cs="Calibri"/>
            <w:color w:val="0645AD"/>
            <w:shd w:val="clear" w:color="auto" w:fill="FFFFFF"/>
          </w:rPr>
          <w:t>eaux de ruissellement</w:t>
        </w:r>
      </w:hyperlink>
      <w:r w:rsidRPr="00026698">
        <w:rPr>
          <w:rFonts w:ascii="Calibri" w:hAnsi="Calibri" w:cs="Calibri"/>
          <w:color w:val="202122"/>
          <w:shd w:val="clear" w:color="auto" w:fill="FFFFFF"/>
        </w:rPr>
        <w:t xml:space="preserve">, </w:t>
      </w:r>
      <w:r w:rsidRPr="00026698">
        <w:rPr>
          <w:rFonts w:ascii="Calibri" w:hAnsi="Calibri" w:cs="Calibri"/>
          <w:color w:val="000000" w:themeColor="text1"/>
          <w:shd w:val="clear" w:color="auto" w:fill="FFFFFF"/>
        </w:rPr>
        <w:t>puis pavées de pierres calcaires afin que les onglons des brebis ne percent pas la couche d'argile. Les lavognes étant essentiellement alimentées par les eaux de pluie et de ruissellement, leur niveau varie en fonction des</w:t>
      </w:r>
      <w:r w:rsidRPr="00026698">
        <w:rPr>
          <w:rFonts w:ascii="Calibri" w:hAnsi="Calibri" w:cs="Calibri"/>
          <w:color w:val="202122"/>
          <w:shd w:val="clear" w:color="auto" w:fill="FFFFFF"/>
        </w:rPr>
        <w:t> </w:t>
      </w:r>
      <w:hyperlink r:id="rId3148" w:tooltip="Saison" w:history="1">
        <w:r w:rsidRPr="00026698">
          <w:rPr>
            <w:rStyle w:val="Lienhypertexte"/>
            <w:rFonts w:ascii="Calibri" w:hAnsi="Calibri" w:cs="Calibri"/>
            <w:color w:val="0645AD"/>
            <w:shd w:val="clear" w:color="auto" w:fill="FFFFFF"/>
          </w:rPr>
          <w:t>saisons</w:t>
        </w:r>
      </w:hyperlink>
      <w:r w:rsidRPr="00026698">
        <w:rPr>
          <w:rFonts w:ascii="Calibri" w:hAnsi="Calibri" w:cs="Calibri"/>
          <w:color w:val="202122"/>
          <w:shd w:val="clear" w:color="auto" w:fill="FFFFFF"/>
        </w:rPr>
        <w:t>.</w:t>
      </w:r>
    </w:p>
    <w:p w14:paraId="0E73CD3A" w14:textId="0B94D05D" w:rsidR="00026698" w:rsidRDefault="00026698" w:rsidP="00F83BC7">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026698" w14:paraId="0B550A6E" w14:textId="77777777" w:rsidTr="00026698">
        <w:tc>
          <w:tcPr>
            <w:tcW w:w="3472" w:type="dxa"/>
          </w:tcPr>
          <w:p w14:paraId="30666D24" w14:textId="77777777" w:rsidR="00026698" w:rsidRDefault="00026698" w:rsidP="00026698">
            <w:pPr>
              <w:jc w:val="center"/>
            </w:pPr>
            <w:r w:rsidRPr="00026698">
              <w:rPr>
                <w:noProof/>
              </w:rPr>
              <w:drawing>
                <wp:inline distT="0" distB="0" distL="0" distR="0" wp14:anchorId="265B391F" wp14:editId="14AB24E5">
                  <wp:extent cx="1020762" cy="765175"/>
                  <wp:effectExtent l="0" t="0" r="8255" b="0"/>
                  <wp:docPr id="153607" name="Picture 7" descr="C:\Users\LISAN\Pictures\plantes-halophytes-xerophiles\Lavogn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07" name="Picture 7" descr="C:\Users\LISAN\Pictures\plantes-halophytes-xerophiles\Lavogne1.jpg"/>
                          <pic:cNvPicPr>
                            <a:picLocks noChangeAspect="1" noChangeArrowheads="1"/>
                          </pic:cNvPicPr>
                        </pic:nvPicPr>
                        <pic:blipFill>
                          <a:blip r:embed="rId3149">
                            <a:extLst>
                              <a:ext uri="{28A0092B-C50C-407E-A947-70E740481C1C}">
                                <a14:useLocalDpi xmlns:a14="http://schemas.microsoft.com/office/drawing/2010/main" val="0"/>
                              </a:ext>
                            </a:extLst>
                          </a:blip>
                          <a:srcRect/>
                          <a:stretch>
                            <a:fillRect/>
                          </a:stretch>
                        </pic:blipFill>
                        <pic:spPr bwMode="auto">
                          <a:xfrm>
                            <a:off x="0" y="0"/>
                            <a:ext cx="1020762" cy="765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4BDC26D" w14:textId="2D787391" w:rsidR="00026698" w:rsidRDefault="00026698" w:rsidP="00026698">
            <w:pPr>
              <w:jc w:val="center"/>
            </w:pPr>
            <w:r w:rsidRPr="00026698">
              <w:rPr>
                <w:rFonts w:ascii="Calibri" w:hAnsi="Calibri" w:cs="Calibri"/>
                <w:color w:val="202122"/>
                <w:shd w:val="clear" w:color="auto" w:fill="FFFFFF"/>
              </w:rPr>
              <w:t>Lavogne sur le </w:t>
            </w:r>
            <w:hyperlink r:id="rId3150" w:tooltip="Causse de Sauveterre" w:history="1">
              <w:r w:rsidRPr="00026698">
                <w:rPr>
                  <w:rStyle w:val="Lienhypertexte"/>
                  <w:rFonts w:ascii="Calibri" w:hAnsi="Calibri" w:cs="Calibri"/>
                  <w:color w:val="0645AD"/>
                  <w:shd w:val="clear" w:color="auto" w:fill="FFFFFF"/>
                </w:rPr>
                <w:t>causse de Sauveterre</w:t>
              </w:r>
            </w:hyperlink>
            <w:r>
              <w:t>.</w:t>
            </w:r>
          </w:p>
        </w:tc>
        <w:tc>
          <w:tcPr>
            <w:tcW w:w="3472" w:type="dxa"/>
          </w:tcPr>
          <w:p w14:paraId="75E04E57" w14:textId="77777777" w:rsidR="00026698" w:rsidRPr="00026698" w:rsidRDefault="00026698" w:rsidP="00026698">
            <w:pPr>
              <w:jc w:val="center"/>
              <w:rPr>
                <w:rFonts w:ascii="Calibri" w:hAnsi="Calibri" w:cs="Calibri"/>
              </w:rPr>
            </w:pPr>
            <w:r w:rsidRPr="00026698">
              <w:rPr>
                <w:rFonts w:ascii="Calibri" w:hAnsi="Calibri" w:cs="Calibri"/>
                <w:noProof/>
              </w:rPr>
              <w:drawing>
                <wp:inline distT="0" distB="0" distL="0" distR="0" wp14:anchorId="04180A08" wp14:editId="294581DD">
                  <wp:extent cx="1020763" cy="765175"/>
                  <wp:effectExtent l="0" t="0" r="8255" b="0"/>
                  <wp:docPr id="153608" name="Picture 8" descr="C:\Users\LISAN\Pictures\plantes-halophytes-xerophiles\Lavogn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08" name="Picture 8" descr="C:\Users\LISAN\Pictures\plantes-halophytes-xerophiles\Lavogne3.jpg"/>
                          <pic:cNvPicPr>
                            <a:picLocks noChangeAspect="1" noChangeArrowheads="1"/>
                          </pic:cNvPicPr>
                        </pic:nvPicPr>
                        <pic:blipFill>
                          <a:blip r:embed="rId3151">
                            <a:extLst>
                              <a:ext uri="{28A0092B-C50C-407E-A947-70E740481C1C}">
                                <a14:useLocalDpi xmlns:a14="http://schemas.microsoft.com/office/drawing/2010/main" val="0"/>
                              </a:ext>
                            </a:extLst>
                          </a:blip>
                          <a:srcRect/>
                          <a:stretch>
                            <a:fillRect/>
                          </a:stretch>
                        </pic:blipFill>
                        <pic:spPr bwMode="auto">
                          <a:xfrm>
                            <a:off x="0" y="0"/>
                            <a:ext cx="1020763" cy="765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ED8B55B" w14:textId="51446F82" w:rsidR="00026698" w:rsidRPr="00026698" w:rsidRDefault="00026698" w:rsidP="00026698">
            <w:pPr>
              <w:jc w:val="center"/>
              <w:rPr>
                <w:rFonts w:ascii="Calibri" w:hAnsi="Calibri" w:cs="Calibri"/>
              </w:rPr>
            </w:pPr>
            <w:r w:rsidRPr="00026698">
              <w:rPr>
                <w:rFonts w:ascii="Calibri" w:hAnsi="Calibri" w:cs="Calibri"/>
                <w:color w:val="202122"/>
                <w:shd w:val="clear" w:color="auto" w:fill="FFFFFF"/>
              </w:rPr>
              <w:t>Lavogne sur le </w:t>
            </w:r>
            <w:hyperlink r:id="rId3152" w:tooltip="Causse du Larzac" w:history="1">
              <w:r w:rsidRPr="00026698">
                <w:rPr>
                  <w:rStyle w:val="Lienhypertexte"/>
                  <w:rFonts w:ascii="Calibri" w:hAnsi="Calibri" w:cs="Calibri"/>
                  <w:color w:val="0645AD"/>
                  <w:shd w:val="clear" w:color="auto" w:fill="FFFFFF"/>
                </w:rPr>
                <w:t>causse du Larzac</w:t>
              </w:r>
            </w:hyperlink>
            <w:r w:rsidRPr="00026698">
              <w:rPr>
                <w:rFonts w:ascii="Calibri" w:hAnsi="Calibri" w:cs="Calibri"/>
              </w:rPr>
              <w:t>.</w:t>
            </w:r>
          </w:p>
        </w:tc>
        <w:tc>
          <w:tcPr>
            <w:tcW w:w="3472" w:type="dxa"/>
          </w:tcPr>
          <w:p w14:paraId="01563FDA" w14:textId="77777777" w:rsidR="00026698" w:rsidRPr="00026698" w:rsidRDefault="00026698" w:rsidP="00026698">
            <w:pPr>
              <w:jc w:val="center"/>
              <w:rPr>
                <w:rFonts w:ascii="Calibri" w:hAnsi="Calibri" w:cs="Calibri"/>
              </w:rPr>
            </w:pPr>
            <w:r w:rsidRPr="00026698">
              <w:rPr>
                <w:rFonts w:ascii="Calibri" w:hAnsi="Calibri" w:cs="Calibri"/>
                <w:noProof/>
              </w:rPr>
              <w:drawing>
                <wp:inline distT="0" distB="0" distL="0" distR="0" wp14:anchorId="5D16F1FE" wp14:editId="544E95E8">
                  <wp:extent cx="1211262" cy="908050"/>
                  <wp:effectExtent l="0" t="0" r="8255" b="6350"/>
                  <wp:docPr id="153609" name="Picture 9" descr="C:\Users\LISAN\Pictures\plantes-halophytes-xerophiles\Lavogn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09" name="Picture 9" descr="C:\Users\LISAN\Pictures\plantes-halophytes-xerophiles\Lavogne2.jpg"/>
                          <pic:cNvPicPr>
                            <a:picLocks noChangeAspect="1" noChangeArrowheads="1"/>
                          </pic:cNvPicPr>
                        </pic:nvPicPr>
                        <pic:blipFill>
                          <a:blip r:embed="rId3153">
                            <a:extLst>
                              <a:ext uri="{28A0092B-C50C-407E-A947-70E740481C1C}">
                                <a14:useLocalDpi xmlns:a14="http://schemas.microsoft.com/office/drawing/2010/main" val="0"/>
                              </a:ext>
                            </a:extLst>
                          </a:blip>
                          <a:srcRect/>
                          <a:stretch>
                            <a:fillRect/>
                          </a:stretch>
                        </pic:blipFill>
                        <pic:spPr bwMode="auto">
                          <a:xfrm>
                            <a:off x="0" y="0"/>
                            <a:ext cx="1211262" cy="908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AB20ACC" w14:textId="0D2DFA84" w:rsidR="00026698" w:rsidRPr="00026698" w:rsidRDefault="00026698" w:rsidP="00026698">
            <w:pPr>
              <w:jc w:val="center"/>
              <w:rPr>
                <w:rFonts w:ascii="Calibri" w:hAnsi="Calibri" w:cs="Calibri"/>
              </w:rPr>
            </w:pPr>
            <w:r w:rsidRPr="00026698">
              <w:rPr>
                <w:rFonts w:ascii="Calibri" w:hAnsi="Calibri" w:cs="Calibri"/>
                <w:color w:val="202122"/>
                <w:shd w:val="clear" w:color="auto" w:fill="FFFFFF"/>
              </w:rPr>
              <w:t>Lavogne sur le </w:t>
            </w:r>
            <w:hyperlink r:id="rId3154" w:tooltip="Causse de Blandas" w:history="1">
              <w:r w:rsidRPr="00026698">
                <w:rPr>
                  <w:rStyle w:val="Lienhypertexte"/>
                  <w:rFonts w:ascii="Calibri" w:hAnsi="Calibri" w:cs="Calibri"/>
                  <w:color w:val="0645AD"/>
                  <w:shd w:val="clear" w:color="auto" w:fill="FFFFFF"/>
                </w:rPr>
                <w:t>causse de Blandas</w:t>
              </w:r>
            </w:hyperlink>
            <w:r w:rsidRPr="00026698">
              <w:rPr>
                <w:rFonts w:ascii="Calibri" w:hAnsi="Calibri" w:cs="Calibri"/>
                <w:color w:val="202122"/>
                <w:shd w:val="clear" w:color="auto" w:fill="FFFFFF"/>
              </w:rPr>
              <w:t>.</w:t>
            </w:r>
          </w:p>
        </w:tc>
      </w:tr>
    </w:tbl>
    <w:p w14:paraId="1A19CF0A" w14:textId="77777777" w:rsidR="00026698" w:rsidRDefault="00026698" w:rsidP="00F83BC7">
      <w:pPr>
        <w:spacing w:after="0" w:line="240" w:lineRule="auto"/>
      </w:pPr>
    </w:p>
    <w:p w14:paraId="306CCD31" w14:textId="6EB5BDB4" w:rsidR="00FC3DFA" w:rsidRDefault="00FC3DFA" w:rsidP="00FC3DFA">
      <w:pPr>
        <w:pStyle w:val="Titre2"/>
      </w:pPr>
      <w:bookmarkStart w:id="238" w:name="_Toc139181529"/>
      <w:r w:rsidRPr="00FC3DFA">
        <w:lastRenderedPageBreak/>
        <w:t>Lac ou retenue collinaire</w:t>
      </w:r>
      <w:bookmarkEnd w:id="238"/>
    </w:p>
    <w:p w14:paraId="4D3B999A" w14:textId="0280827D" w:rsidR="00FC3DFA" w:rsidRDefault="00FC3DFA" w:rsidP="00FC3DFA">
      <w:pPr>
        <w:spacing w:after="0" w:line="240" w:lineRule="auto"/>
        <w:jc w:val="both"/>
      </w:pPr>
    </w:p>
    <w:p w14:paraId="27AB26AA" w14:textId="77777777" w:rsidR="00F727E5" w:rsidRPr="00F727E5" w:rsidRDefault="00F727E5" w:rsidP="00F727E5">
      <w:pPr>
        <w:spacing w:after="0" w:line="240" w:lineRule="auto"/>
        <w:jc w:val="both"/>
      </w:pPr>
      <w:r w:rsidRPr="00F727E5">
        <w:t xml:space="preserve">Les </w:t>
      </w:r>
      <w:r w:rsidRPr="00F727E5">
        <w:rPr>
          <w:i/>
          <w:iCs/>
        </w:rPr>
        <w:t xml:space="preserve">retenues collinaires </w:t>
      </w:r>
      <w:r w:rsidRPr="00F727E5">
        <w:t>sont des ouvrages de stockage de l'eau qui sont remplies par les eaux de surface, les eaux de ruissellement. Elles peuvent être assimilées à des micro-</w:t>
      </w:r>
      <w:hyperlink r:id="rId3155" w:history="1">
        <w:r w:rsidRPr="00F727E5">
          <w:rPr>
            <w:rStyle w:val="Lienhypertexte"/>
          </w:rPr>
          <w:t>barrages</w:t>
        </w:r>
      </w:hyperlink>
      <w:r w:rsidRPr="00F727E5">
        <w:t>.</w:t>
      </w:r>
    </w:p>
    <w:p w14:paraId="6BF71408" w14:textId="77777777" w:rsidR="00F727E5" w:rsidRPr="00F727E5" w:rsidRDefault="00F727E5" w:rsidP="00F727E5">
      <w:pPr>
        <w:spacing w:after="0" w:line="240" w:lineRule="auto"/>
        <w:jc w:val="both"/>
      </w:pPr>
      <w:r w:rsidRPr="00F727E5">
        <w:rPr>
          <w:i/>
          <w:iCs/>
        </w:rPr>
        <w:t>Lac collinaire : </w:t>
      </w:r>
      <w:r w:rsidRPr="00F727E5">
        <w:t xml:space="preserve">lac artificiel de petite ou moyenne dimension, aménagé au dévers d'une colline, afin de recueillir les eaux de ruissellement. </w:t>
      </w:r>
      <w:r w:rsidRPr="00F727E5">
        <w:rPr>
          <w:u w:val="single"/>
        </w:rPr>
        <w:t>Note</w:t>
      </w:r>
      <w:r w:rsidRPr="00F727E5">
        <w:t xml:space="preserve"> : plutôt, les zones du « subhumide », où la pluviométrie est supérieure à 500mm.</w:t>
      </w:r>
    </w:p>
    <w:p w14:paraId="250A04DF" w14:textId="28BDC987" w:rsidR="00F727E5" w:rsidRDefault="00F727E5" w:rsidP="00F727E5">
      <w:pPr>
        <w:spacing w:after="0" w:line="240" w:lineRule="auto"/>
        <w:jc w:val="both"/>
      </w:pPr>
      <w:r w:rsidRPr="00F727E5">
        <w:t>L'ouvrage, constitué d'une digue en terre ou maçonnée permet de retenir l'eau dans un </w:t>
      </w:r>
      <w:hyperlink r:id="rId3156" w:history="1">
        <w:r w:rsidRPr="00F727E5">
          <w:rPr>
            <w:rStyle w:val="Lienhypertexte"/>
          </w:rPr>
          <w:t>talweg</w:t>
        </w:r>
      </w:hyperlink>
      <w:r w:rsidRPr="00F727E5">
        <w:t>, une </w:t>
      </w:r>
      <w:hyperlink r:id="rId3157" w:history="1">
        <w:r w:rsidRPr="00F727E5">
          <w:rPr>
            <w:rStyle w:val="Lienhypertexte"/>
          </w:rPr>
          <w:t>combe</w:t>
        </w:r>
      </w:hyperlink>
      <w:r w:rsidRPr="00F727E5">
        <w:t>, un </w:t>
      </w:r>
      <w:hyperlink r:id="rId3158" w:history="1">
        <w:r w:rsidRPr="00F727E5">
          <w:rPr>
            <w:rStyle w:val="Lienhypertexte"/>
          </w:rPr>
          <w:t>ravin</w:t>
        </w:r>
      </w:hyperlink>
      <w:r w:rsidRPr="00F727E5">
        <w:t>, un </w:t>
      </w:r>
      <w:hyperlink r:id="rId3159" w:history="1">
        <w:r w:rsidRPr="00F727E5">
          <w:rPr>
            <w:rStyle w:val="Lienhypertexte"/>
          </w:rPr>
          <w:t>vallon</w:t>
        </w:r>
      </w:hyperlink>
      <w:r w:rsidRPr="00F727E5">
        <w:t> et de stocker une part des écoulements d'eaux. Ces eaux sont utilisées ensuite dans les domaines de l'</w:t>
      </w:r>
      <w:hyperlink r:id="rId3160" w:history="1">
        <w:r w:rsidRPr="00F727E5">
          <w:rPr>
            <w:rStyle w:val="Lienhypertexte"/>
          </w:rPr>
          <w:t>irrigation</w:t>
        </w:r>
      </w:hyperlink>
      <w:r w:rsidRPr="00F727E5">
        <w:t> </w:t>
      </w:r>
      <w:hyperlink r:id="rId3161" w:history="1">
        <w:r w:rsidRPr="00F727E5">
          <w:rPr>
            <w:rStyle w:val="Lienhypertexte"/>
          </w:rPr>
          <w:t>agricole</w:t>
        </w:r>
      </w:hyperlink>
      <w:r w:rsidRPr="00F727E5">
        <w:t>, la protection incendie, les loisirs, la </w:t>
      </w:r>
      <w:hyperlink r:id="rId3162" w:history="1">
        <w:r w:rsidRPr="00F727E5">
          <w:rPr>
            <w:rStyle w:val="Lienhypertexte"/>
          </w:rPr>
          <w:t>pisciculture</w:t>
        </w:r>
      </w:hyperlink>
      <w:r w:rsidRPr="00F727E5">
        <w:t xml:space="preserve"> et l’eau potable. Ces petits barrages permettent d’accroître les ressources en eau disponibles au cours de l'année. </w:t>
      </w:r>
      <w:r w:rsidRPr="00F727E5">
        <w:rPr>
          <w:i/>
          <w:iCs/>
        </w:rPr>
        <w:t>Ils doivent respecter certaines normes pour leur construction (voir lien ci-dessous).</w:t>
      </w:r>
    </w:p>
    <w:p w14:paraId="784EFC31" w14:textId="3A0B4879" w:rsidR="00F727E5" w:rsidRPr="00F727E5" w:rsidRDefault="00F727E5" w:rsidP="00F727E5">
      <w:pPr>
        <w:spacing w:after="0" w:line="240" w:lineRule="auto"/>
        <w:jc w:val="both"/>
      </w:pPr>
      <w:r w:rsidRPr="00F727E5">
        <w:t>Les lacs collinaires (petits barrages)</w:t>
      </w:r>
      <w:r w:rsidR="002E0FD9">
        <w:t>,</w:t>
      </w:r>
      <w:r w:rsidRPr="00F727E5">
        <w:t xml:space="preserve"> tout en étant un moyen courant, efficace et économique de mobilisation des eaux de surface, sont destinés généralement à développer l’agriculture locale. Ils peuvent avoir différents objectifs tels que :</w:t>
      </w:r>
    </w:p>
    <w:p w14:paraId="092DE2F5" w14:textId="42931E5D" w:rsidR="00F727E5" w:rsidRPr="00F727E5" w:rsidRDefault="00F727E5" w:rsidP="0022016D">
      <w:pPr>
        <w:pStyle w:val="Paragraphedeliste"/>
        <w:numPr>
          <w:ilvl w:val="0"/>
          <w:numId w:val="44"/>
        </w:numPr>
        <w:spacing w:after="0" w:line="240" w:lineRule="auto"/>
        <w:jc w:val="both"/>
      </w:pPr>
      <w:r w:rsidRPr="00F727E5">
        <w:t>La création de points d’eau à usage domestique ;</w:t>
      </w:r>
    </w:p>
    <w:p w14:paraId="40688DEC" w14:textId="2E5E43A5" w:rsidR="00F727E5" w:rsidRPr="00F727E5" w:rsidRDefault="00F727E5" w:rsidP="0022016D">
      <w:pPr>
        <w:pStyle w:val="Paragraphedeliste"/>
        <w:numPr>
          <w:ilvl w:val="0"/>
          <w:numId w:val="44"/>
        </w:numPr>
        <w:spacing w:after="0" w:line="240" w:lineRule="auto"/>
        <w:jc w:val="both"/>
      </w:pPr>
      <w:r w:rsidRPr="00F727E5">
        <w:t>L’amélioration de la nappe phréatique ;</w:t>
      </w:r>
    </w:p>
    <w:p w14:paraId="06196410" w14:textId="246CBDCF" w:rsidR="00F727E5" w:rsidRPr="00F727E5" w:rsidRDefault="00F727E5" w:rsidP="0022016D">
      <w:pPr>
        <w:pStyle w:val="Paragraphedeliste"/>
        <w:numPr>
          <w:ilvl w:val="0"/>
          <w:numId w:val="44"/>
        </w:numPr>
        <w:spacing w:after="0" w:line="240" w:lineRule="auto"/>
        <w:jc w:val="both"/>
      </w:pPr>
      <w:r w:rsidRPr="00F727E5">
        <w:t>La protection contre les inondations .</w:t>
      </w:r>
    </w:p>
    <w:p w14:paraId="17207EAD" w14:textId="07C17D49" w:rsidR="00F727E5" w:rsidRPr="00F727E5" w:rsidRDefault="00F727E5" w:rsidP="00F727E5">
      <w:pPr>
        <w:spacing w:after="0" w:line="240" w:lineRule="auto"/>
        <w:jc w:val="both"/>
      </w:pPr>
      <w:r w:rsidRPr="00F727E5">
        <w:t>Le lac collinaire est un petit barrage en terre dont la hauteur de la digue est généralement inférieure à 12 m et la capacité moyenne de la retenue peut varier de 50000 m3 à un million de m3 pour les réalisations destinées spécialement à</w:t>
      </w:r>
      <w:r>
        <w:t xml:space="preserve"> </w:t>
      </w:r>
      <w:r w:rsidRPr="00F727E5">
        <w:t>l’exploitation agricole.</w:t>
      </w:r>
    </w:p>
    <w:p w14:paraId="13E905CE" w14:textId="77777777" w:rsidR="00F727E5" w:rsidRPr="00F727E5" w:rsidRDefault="00F727E5" w:rsidP="00F727E5">
      <w:pPr>
        <w:spacing w:after="0" w:line="240" w:lineRule="auto"/>
        <w:jc w:val="both"/>
      </w:pPr>
    </w:p>
    <w:p w14:paraId="12741151" w14:textId="77777777" w:rsidR="00F727E5" w:rsidRDefault="00F727E5" w:rsidP="00F727E5">
      <w:pPr>
        <w:spacing w:after="0" w:line="240" w:lineRule="auto"/>
        <w:jc w:val="both"/>
      </w:pPr>
      <w:r w:rsidRPr="00F727E5">
        <w:t xml:space="preserve">Sources : </w:t>
      </w:r>
    </w:p>
    <w:p w14:paraId="0C6996C3" w14:textId="180BA98C" w:rsidR="00F727E5" w:rsidRPr="00F727E5" w:rsidRDefault="00F727E5" w:rsidP="00F727E5">
      <w:pPr>
        <w:spacing w:after="0" w:line="240" w:lineRule="auto"/>
        <w:jc w:val="both"/>
      </w:pPr>
      <w:r w:rsidRPr="00F727E5">
        <w:t xml:space="preserve">a) </w:t>
      </w:r>
      <w:hyperlink r:id="rId3163" w:history="1">
        <w:r w:rsidRPr="00F727E5">
          <w:rPr>
            <w:rStyle w:val="Lienhypertexte"/>
          </w:rPr>
          <w:t>http://www.graie.org/graie/graiedoc/doc_telech/actesyntheses/RDV/RDV13retenuescollinairessupports.pdf</w:t>
        </w:r>
      </w:hyperlink>
      <w:r w:rsidRPr="00F727E5">
        <w:t xml:space="preserve"> ,</w:t>
      </w:r>
    </w:p>
    <w:p w14:paraId="49C97B36" w14:textId="4EA95EF2" w:rsidR="00F727E5" w:rsidRPr="000D5B5A" w:rsidRDefault="00F727E5" w:rsidP="00F727E5">
      <w:pPr>
        <w:spacing w:after="0" w:line="240" w:lineRule="auto"/>
        <w:jc w:val="both"/>
      </w:pPr>
      <w:r w:rsidRPr="000D5B5A">
        <w:t xml:space="preserve">b) </w:t>
      </w:r>
      <w:hyperlink r:id="rId3164" w:history="1">
        <w:r w:rsidRPr="000D5B5A">
          <w:rPr>
            <w:rStyle w:val="Lienhypertexte"/>
          </w:rPr>
          <w:t>http://fr.wikipedia.org/wiki/Retenue_collinaire</w:t>
        </w:r>
      </w:hyperlink>
    </w:p>
    <w:p w14:paraId="5E5717CF" w14:textId="77777777" w:rsidR="00F727E5" w:rsidRPr="00F727E5" w:rsidRDefault="00F727E5" w:rsidP="00F727E5">
      <w:pPr>
        <w:spacing w:after="0" w:line="240" w:lineRule="auto"/>
        <w:jc w:val="both"/>
      </w:pPr>
      <w:r w:rsidRPr="00F727E5">
        <w:t xml:space="preserve">c) </w:t>
      </w:r>
      <w:r w:rsidRPr="00F727E5">
        <w:rPr>
          <w:i/>
          <w:iCs/>
        </w:rPr>
        <w:t>Evolution des techniques de conservation des eaux et des sols en Tunisie</w:t>
      </w:r>
      <w:r w:rsidRPr="00F727E5">
        <w:t xml:space="preserve">, Mohamed BOUFAROUA, </w:t>
      </w:r>
      <w:hyperlink r:id="rId3165" w:history="1">
        <w:r w:rsidRPr="00F727E5">
          <w:rPr>
            <w:rStyle w:val="Lienhypertexte"/>
          </w:rPr>
          <w:t>http://www.slire.net/download/1313/23-625-635.pdf</w:t>
        </w:r>
      </w:hyperlink>
      <w:r w:rsidRPr="00F727E5">
        <w:t xml:space="preserve"> </w:t>
      </w:r>
    </w:p>
    <w:p w14:paraId="4205D62F" w14:textId="0C31E9DD" w:rsidR="00E839DD" w:rsidRDefault="00E839DD" w:rsidP="00E839DD">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54"/>
        <w:gridCol w:w="4472"/>
      </w:tblGrid>
      <w:tr w:rsidR="00343A4E" w14:paraId="62037FA9" w14:textId="77777777" w:rsidTr="00230BED">
        <w:tc>
          <w:tcPr>
            <w:tcW w:w="5954" w:type="dxa"/>
          </w:tcPr>
          <w:p w14:paraId="0BA44029" w14:textId="65ACBF45" w:rsidR="00343A4E" w:rsidRDefault="00343A4E" w:rsidP="00343A4E">
            <w:pPr>
              <w:jc w:val="center"/>
            </w:pPr>
            <w:r w:rsidRPr="00343A4E">
              <w:rPr>
                <w:noProof/>
              </w:rPr>
              <w:drawing>
                <wp:inline distT="0" distB="0" distL="0" distR="0" wp14:anchorId="2F329FAC" wp14:editId="556789EC">
                  <wp:extent cx="3555480" cy="1047750"/>
                  <wp:effectExtent l="0" t="0" r="6985" b="0"/>
                  <wp:docPr id="115720" name="Picture 3" descr="C:\Users\LISAN\Pictures\plantes-halophytes-xerophiles\Retenue collinair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20" name="Picture 3" descr="C:\Users\LISAN\Pictures\plantes-halophytes-xerophiles\Retenue collinaire4.jpg"/>
                          <pic:cNvPicPr>
                            <a:picLocks noChangeAspect="1" noChangeArrowheads="1"/>
                          </pic:cNvPicPr>
                        </pic:nvPicPr>
                        <pic:blipFill>
                          <a:blip r:embed="rId3166">
                            <a:extLst>
                              <a:ext uri="{28A0092B-C50C-407E-A947-70E740481C1C}">
                                <a14:useLocalDpi xmlns:a14="http://schemas.microsoft.com/office/drawing/2010/main" val="0"/>
                              </a:ext>
                            </a:extLst>
                          </a:blip>
                          <a:srcRect/>
                          <a:stretch>
                            <a:fillRect/>
                          </a:stretch>
                        </pic:blipFill>
                        <pic:spPr bwMode="auto">
                          <a:xfrm>
                            <a:off x="0" y="0"/>
                            <a:ext cx="3556676" cy="1048102"/>
                          </a:xfrm>
                          <a:prstGeom prst="rect">
                            <a:avLst/>
                          </a:prstGeom>
                          <a:noFill/>
                          <a:ln>
                            <a:noFill/>
                          </a:ln>
                        </pic:spPr>
                      </pic:pic>
                    </a:graphicData>
                  </a:graphic>
                </wp:inline>
              </w:drawing>
            </w:r>
          </w:p>
        </w:tc>
        <w:tc>
          <w:tcPr>
            <w:tcW w:w="4472" w:type="dxa"/>
          </w:tcPr>
          <w:p w14:paraId="373E099C" w14:textId="7CF4948E" w:rsidR="00343A4E" w:rsidRDefault="00343A4E" w:rsidP="00343A4E">
            <w:pPr>
              <w:jc w:val="center"/>
            </w:pPr>
            <w:r w:rsidRPr="00343A4E">
              <w:rPr>
                <w:noProof/>
              </w:rPr>
              <w:drawing>
                <wp:inline distT="0" distB="0" distL="0" distR="0" wp14:anchorId="4DF3FB4E" wp14:editId="23FCB295">
                  <wp:extent cx="1763712" cy="1320800"/>
                  <wp:effectExtent l="0" t="0" r="8255" b="0"/>
                  <wp:docPr id="115719" name="Picture 2" descr="C:\Users\LISAN\Pictures\plantes-halophytes-xerophiles\Retenue collinai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19" name="Picture 2" descr="C:\Users\LISAN\Pictures\plantes-halophytes-xerophiles\Retenue collinaire.jpg"/>
                          <pic:cNvPicPr>
                            <a:picLocks noChangeAspect="1" noChangeArrowheads="1"/>
                          </pic:cNvPicPr>
                        </pic:nvPicPr>
                        <pic:blipFill>
                          <a:blip r:embed="rId3167">
                            <a:extLst>
                              <a:ext uri="{28A0092B-C50C-407E-A947-70E740481C1C}">
                                <a14:useLocalDpi xmlns:a14="http://schemas.microsoft.com/office/drawing/2010/main" val="0"/>
                              </a:ext>
                            </a:extLst>
                          </a:blip>
                          <a:srcRect/>
                          <a:stretch>
                            <a:fillRect/>
                          </a:stretch>
                        </pic:blipFill>
                        <pic:spPr bwMode="auto">
                          <a:xfrm>
                            <a:off x="0" y="0"/>
                            <a:ext cx="1763712" cy="1320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343A4E" w14:paraId="3F6EB191" w14:textId="77777777" w:rsidTr="00230BED">
        <w:tc>
          <w:tcPr>
            <w:tcW w:w="5954" w:type="dxa"/>
          </w:tcPr>
          <w:p w14:paraId="15B43D5F" w14:textId="77777777" w:rsidR="00343A4E" w:rsidRDefault="00343A4E" w:rsidP="00343A4E">
            <w:pPr>
              <w:jc w:val="center"/>
            </w:pPr>
            <w:r w:rsidRPr="00343A4E">
              <w:rPr>
                <w:noProof/>
              </w:rPr>
              <w:drawing>
                <wp:inline distT="0" distB="0" distL="0" distR="0" wp14:anchorId="7DEF2F89" wp14:editId="5BFFA84F">
                  <wp:extent cx="3168650" cy="1195387"/>
                  <wp:effectExtent l="0" t="0" r="0" b="5080"/>
                  <wp:docPr id="115721" name="Picture 5" descr="C:\Users\LISAN\Pictures\plantes-halophytes-xerophiles\Retenue collinair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21" name="Picture 5" descr="C:\Users\LISAN\Pictures\plantes-halophytes-xerophiles\Retenue collinaire2.jpg"/>
                          <pic:cNvPicPr>
                            <a:picLocks noChangeAspect="1" noChangeArrowheads="1"/>
                          </pic:cNvPicPr>
                        </pic:nvPicPr>
                        <pic:blipFill>
                          <a:blip r:embed="rId3168">
                            <a:extLst>
                              <a:ext uri="{28A0092B-C50C-407E-A947-70E740481C1C}">
                                <a14:useLocalDpi xmlns:a14="http://schemas.microsoft.com/office/drawing/2010/main" val="0"/>
                              </a:ext>
                            </a:extLst>
                          </a:blip>
                          <a:srcRect/>
                          <a:stretch>
                            <a:fillRect/>
                          </a:stretch>
                        </pic:blipFill>
                        <pic:spPr bwMode="auto">
                          <a:xfrm>
                            <a:off x="0" y="0"/>
                            <a:ext cx="3168650" cy="11953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3B455601" w14:textId="10AE9C70" w:rsidR="00AB6B3D" w:rsidRDefault="00AB6B3D" w:rsidP="00343A4E">
            <w:pPr>
              <w:jc w:val="center"/>
            </w:pPr>
          </w:p>
        </w:tc>
        <w:tc>
          <w:tcPr>
            <w:tcW w:w="4472" w:type="dxa"/>
          </w:tcPr>
          <w:p w14:paraId="275BD30C" w14:textId="77777777" w:rsidR="00230BED" w:rsidRDefault="00230BED" w:rsidP="00343A4E">
            <w:pPr>
              <w:jc w:val="center"/>
            </w:pPr>
          </w:p>
          <w:p w14:paraId="6E013582" w14:textId="2F8BF5A7" w:rsidR="00343A4E" w:rsidRDefault="001F77B2" w:rsidP="00343A4E">
            <w:pPr>
              <w:jc w:val="center"/>
            </w:pPr>
            <w:r w:rsidRPr="001F77B2">
              <w:rPr>
                <w:noProof/>
              </w:rPr>
              <w:drawing>
                <wp:inline distT="0" distB="0" distL="0" distR="0" wp14:anchorId="322DF946" wp14:editId="28C0B6B1">
                  <wp:extent cx="2028825" cy="1133475"/>
                  <wp:effectExtent l="0" t="0" r="9525" b="9525"/>
                  <wp:docPr id="116748" name="Picture 6" descr="C:\Users\LISAN\Documents\DVD-DevDurable\eau\eau-Potabilisation-GestionDeLEau-Irrigation\irrigation-stockage-eau\images\retenue-collinair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48" name="Picture 6" descr="C:\Users\LISAN\Documents\DVD-DevDurable\eau\eau-Potabilisation-GestionDeLEau-Irrigation\irrigation-stockage-eau\images\retenue-collinaire_s.jpg"/>
                          <pic:cNvPicPr>
                            <a:picLocks noChangeAspect="1" noChangeArrowheads="1"/>
                          </pic:cNvPicPr>
                        </pic:nvPicPr>
                        <pic:blipFill>
                          <a:blip r:embed="rId3169">
                            <a:extLst>
                              <a:ext uri="{28A0092B-C50C-407E-A947-70E740481C1C}">
                                <a14:useLocalDpi xmlns:a14="http://schemas.microsoft.com/office/drawing/2010/main" val="0"/>
                              </a:ext>
                            </a:extLst>
                          </a:blip>
                          <a:srcRect/>
                          <a:stretch>
                            <a:fillRect/>
                          </a:stretch>
                        </pic:blipFill>
                        <pic:spPr bwMode="auto">
                          <a:xfrm>
                            <a:off x="0" y="0"/>
                            <a:ext cx="2028825" cy="1133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1F77B2" w14:paraId="733F538B" w14:textId="77777777" w:rsidTr="007D35B5">
        <w:tc>
          <w:tcPr>
            <w:tcW w:w="5954" w:type="dxa"/>
          </w:tcPr>
          <w:p w14:paraId="131C26E9" w14:textId="77777777" w:rsidR="001F77B2" w:rsidRDefault="001F77B2" w:rsidP="00343A4E">
            <w:pPr>
              <w:jc w:val="center"/>
            </w:pPr>
            <w:r w:rsidRPr="001F77B2">
              <w:rPr>
                <w:noProof/>
              </w:rPr>
              <w:drawing>
                <wp:inline distT="0" distB="0" distL="0" distR="0" wp14:anchorId="5BD93415" wp14:editId="30B51FA6">
                  <wp:extent cx="3501418" cy="1181100"/>
                  <wp:effectExtent l="0" t="0" r="3810" b="0"/>
                  <wp:docPr id="116747" name="Picture 5" descr="C:\Users\LISAN\Documents\DVD-DevDurable\eau\eau-Potabilisation-GestionDeLEau-Irrigation\irrigation-stockage-eau\images\retenue-collinaire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47" name="Picture 5" descr="C:\Users\LISAN\Documents\DVD-DevDurable\eau\eau-Potabilisation-GestionDeLEau-Irrigation\irrigation-stockage-eau\images\retenue-collinaire2_s.jpg"/>
                          <pic:cNvPicPr>
                            <a:picLocks noChangeAspect="1" noChangeArrowheads="1"/>
                          </pic:cNvPicPr>
                        </pic:nvPicPr>
                        <pic:blipFill>
                          <a:blip r:embed="rId3170">
                            <a:extLst>
                              <a:ext uri="{28A0092B-C50C-407E-A947-70E740481C1C}">
                                <a14:useLocalDpi xmlns:a14="http://schemas.microsoft.com/office/drawing/2010/main" val="0"/>
                              </a:ext>
                            </a:extLst>
                          </a:blip>
                          <a:srcRect/>
                          <a:stretch>
                            <a:fillRect/>
                          </a:stretch>
                        </pic:blipFill>
                        <pic:spPr bwMode="auto">
                          <a:xfrm>
                            <a:off x="0" y="0"/>
                            <a:ext cx="3508816" cy="1183596"/>
                          </a:xfrm>
                          <a:prstGeom prst="rect">
                            <a:avLst/>
                          </a:prstGeom>
                          <a:noFill/>
                          <a:ln>
                            <a:noFill/>
                          </a:ln>
                        </pic:spPr>
                      </pic:pic>
                    </a:graphicData>
                  </a:graphic>
                </wp:inline>
              </w:drawing>
            </w:r>
          </w:p>
          <w:p w14:paraId="245910AD" w14:textId="3EA32055" w:rsidR="00AB6B3D" w:rsidRPr="00343A4E" w:rsidRDefault="00AB6B3D" w:rsidP="00343A4E">
            <w:pPr>
              <w:jc w:val="center"/>
            </w:pPr>
          </w:p>
        </w:tc>
        <w:tc>
          <w:tcPr>
            <w:tcW w:w="4472" w:type="dxa"/>
          </w:tcPr>
          <w:p w14:paraId="07E18F33" w14:textId="1E0B186A" w:rsidR="001F77B2" w:rsidRDefault="001F77B2" w:rsidP="00343A4E">
            <w:pPr>
              <w:jc w:val="center"/>
            </w:pPr>
            <w:r w:rsidRPr="001F77B2">
              <w:rPr>
                <w:noProof/>
              </w:rPr>
              <w:lastRenderedPageBreak/>
              <w:drawing>
                <wp:inline distT="0" distB="0" distL="0" distR="0" wp14:anchorId="2AB459F9" wp14:editId="63EC7986">
                  <wp:extent cx="2381250" cy="1257300"/>
                  <wp:effectExtent l="0" t="0" r="0" b="0"/>
                  <wp:docPr id="116749" name="Picture 7" descr="C:\Users\LISAN\Documents\DVD-DevDurable\eau\eau-Potabilisation-GestionDeLEau-Irrigation\irrigation-stockage-eau\images\small-farm-reservo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49" name="Picture 7" descr="C:\Users\LISAN\Documents\DVD-DevDurable\eau\eau-Potabilisation-GestionDeLEau-Irrigation\irrigation-stockage-eau\images\small-farm-reservoir.jpg"/>
                          <pic:cNvPicPr>
                            <a:picLocks noChangeAspect="1" noChangeArrowheads="1"/>
                          </pic:cNvPicPr>
                        </pic:nvPicPr>
                        <pic:blipFill>
                          <a:blip r:embed="rId3171">
                            <a:extLst>
                              <a:ext uri="{28A0092B-C50C-407E-A947-70E740481C1C}">
                                <a14:useLocalDpi xmlns:a14="http://schemas.microsoft.com/office/drawing/2010/main" val="0"/>
                              </a:ext>
                            </a:extLst>
                          </a:blip>
                          <a:srcRect/>
                          <a:stretch>
                            <a:fillRect/>
                          </a:stretch>
                        </pic:blipFill>
                        <pic:spPr bwMode="auto">
                          <a:xfrm>
                            <a:off x="0" y="0"/>
                            <a:ext cx="2381250" cy="1257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1F77B2" w14:paraId="51DDFA0A" w14:textId="77777777" w:rsidTr="007D35B5">
        <w:tc>
          <w:tcPr>
            <w:tcW w:w="5954" w:type="dxa"/>
          </w:tcPr>
          <w:p w14:paraId="32D4D993" w14:textId="77777777" w:rsidR="001F77B2" w:rsidRDefault="001F77B2" w:rsidP="00343A4E">
            <w:pPr>
              <w:jc w:val="center"/>
            </w:pPr>
            <w:r w:rsidRPr="001F77B2">
              <w:rPr>
                <w:noProof/>
              </w:rPr>
              <w:drawing>
                <wp:inline distT="0" distB="0" distL="0" distR="0" wp14:anchorId="57DFCD05" wp14:editId="3FC92D55">
                  <wp:extent cx="2971800" cy="1028700"/>
                  <wp:effectExtent l="0" t="0" r="0" b="0"/>
                  <wp:docPr id="116743" name="Picture 2" descr="C:\Users\LISAN\Pictures\plantes-halophytes-xerophiles\Lac collinair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43" name="Picture 2" descr="C:\Users\LISAN\Pictures\plantes-halophytes-xerophiles\Lac collinaire2.jpg"/>
                          <pic:cNvPicPr>
                            <a:picLocks noChangeAspect="1" noChangeArrowheads="1"/>
                          </pic:cNvPicPr>
                        </pic:nvPicPr>
                        <pic:blipFill>
                          <a:blip r:embed="rId3172">
                            <a:extLst>
                              <a:ext uri="{28A0092B-C50C-407E-A947-70E740481C1C}">
                                <a14:useLocalDpi xmlns:a14="http://schemas.microsoft.com/office/drawing/2010/main" val="0"/>
                              </a:ext>
                            </a:extLst>
                          </a:blip>
                          <a:srcRect/>
                          <a:stretch>
                            <a:fillRect/>
                          </a:stretch>
                        </pic:blipFill>
                        <pic:spPr bwMode="auto">
                          <a:xfrm>
                            <a:off x="0" y="0"/>
                            <a:ext cx="2971800" cy="1028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D311B7B" w14:textId="1733A1DA" w:rsidR="007D35B5" w:rsidRPr="001F77B2" w:rsidRDefault="007D35B5" w:rsidP="00343A4E">
            <w:pPr>
              <w:jc w:val="center"/>
            </w:pPr>
          </w:p>
        </w:tc>
        <w:tc>
          <w:tcPr>
            <w:tcW w:w="4472" w:type="dxa"/>
          </w:tcPr>
          <w:p w14:paraId="5FF840E2" w14:textId="759F1F0E" w:rsidR="001F77B2" w:rsidRPr="001F77B2" w:rsidRDefault="001F77B2" w:rsidP="00343A4E">
            <w:pPr>
              <w:jc w:val="center"/>
            </w:pPr>
            <w:r w:rsidRPr="001F77B2">
              <w:rPr>
                <w:noProof/>
              </w:rPr>
              <w:drawing>
                <wp:inline distT="0" distB="0" distL="0" distR="0" wp14:anchorId="74776594" wp14:editId="143A7E87">
                  <wp:extent cx="2400300" cy="1070637"/>
                  <wp:effectExtent l="0" t="0" r="0" b="0"/>
                  <wp:docPr id="116745" name="Picture 4" descr="C:\Users\LISAN\Pictures\plantes-halophytes-xerophiles\Lac collinair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45" name="Picture 4" descr="C:\Users\LISAN\Pictures\plantes-halophytes-xerophiles\Lac collinaire_s.jpg"/>
                          <pic:cNvPicPr>
                            <a:picLocks noChangeAspect="1" noChangeArrowheads="1"/>
                          </pic:cNvPicPr>
                        </pic:nvPicPr>
                        <pic:blipFill>
                          <a:blip r:embed="rId3173">
                            <a:extLst>
                              <a:ext uri="{28A0092B-C50C-407E-A947-70E740481C1C}">
                                <a14:useLocalDpi xmlns:a14="http://schemas.microsoft.com/office/drawing/2010/main" val="0"/>
                              </a:ext>
                            </a:extLst>
                          </a:blip>
                          <a:srcRect/>
                          <a:stretch>
                            <a:fillRect/>
                          </a:stretch>
                        </pic:blipFill>
                        <pic:spPr bwMode="auto">
                          <a:xfrm>
                            <a:off x="0" y="0"/>
                            <a:ext cx="2402390" cy="1071569"/>
                          </a:xfrm>
                          <a:prstGeom prst="rect">
                            <a:avLst/>
                          </a:prstGeom>
                          <a:noFill/>
                          <a:ln>
                            <a:noFill/>
                          </a:ln>
                        </pic:spPr>
                      </pic:pic>
                    </a:graphicData>
                  </a:graphic>
                </wp:inline>
              </w:drawing>
            </w:r>
          </w:p>
        </w:tc>
      </w:tr>
      <w:tr w:rsidR="00230BED" w14:paraId="0E41DE3C" w14:textId="77777777" w:rsidTr="007D35B5">
        <w:tc>
          <w:tcPr>
            <w:tcW w:w="5954" w:type="dxa"/>
          </w:tcPr>
          <w:p w14:paraId="024862CF" w14:textId="77777777" w:rsidR="00230BED" w:rsidRDefault="00230BED" w:rsidP="00343A4E">
            <w:pPr>
              <w:jc w:val="center"/>
              <w:rPr>
                <w:noProof/>
              </w:rPr>
            </w:pPr>
            <w:r w:rsidRPr="00230BED">
              <w:rPr>
                <w:noProof/>
              </w:rPr>
              <w:drawing>
                <wp:inline distT="0" distB="0" distL="0" distR="0" wp14:anchorId="68F0C406" wp14:editId="779D0579">
                  <wp:extent cx="3321050" cy="1584325"/>
                  <wp:effectExtent l="0" t="0" r="0" b="0"/>
                  <wp:docPr id="156678" name="Picture 4" descr="C:\Users\LISAN\Pictures\plantes-halophytes-xerophiles\Retenue collinair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78" name="Picture 4" descr="C:\Users\LISAN\Pictures\plantes-halophytes-xerophiles\Retenue collinaire3.jpg"/>
                          <pic:cNvPicPr>
                            <a:picLocks noChangeAspect="1" noChangeArrowheads="1"/>
                          </pic:cNvPicPr>
                        </pic:nvPicPr>
                        <pic:blipFill>
                          <a:blip r:embed="rId3174">
                            <a:extLst>
                              <a:ext uri="{28A0092B-C50C-407E-A947-70E740481C1C}">
                                <a14:useLocalDpi xmlns:a14="http://schemas.microsoft.com/office/drawing/2010/main" val="0"/>
                              </a:ext>
                            </a:extLst>
                          </a:blip>
                          <a:srcRect/>
                          <a:stretch>
                            <a:fillRect/>
                          </a:stretch>
                        </pic:blipFill>
                        <pic:spPr bwMode="auto">
                          <a:xfrm>
                            <a:off x="0" y="0"/>
                            <a:ext cx="3321050" cy="158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80C66E0" w14:textId="43BDFE87" w:rsidR="00230BED" w:rsidRPr="001F77B2" w:rsidRDefault="00230BED" w:rsidP="00230BED">
            <w:pPr>
              <w:jc w:val="center"/>
              <w:rPr>
                <w:noProof/>
              </w:rPr>
            </w:pPr>
            <w:r w:rsidRPr="00230BED">
              <w:rPr>
                <w:noProof/>
              </w:rPr>
              <w:t>Retenue collinaire</w:t>
            </w:r>
            <w:r>
              <w:rPr>
                <w:noProof/>
              </w:rPr>
              <w:t>.</w:t>
            </w:r>
          </w:p>
        </w:tc>
        <w:tc>
          <w:tcPr>
            <w:tcW w:w="4472" w:type="dxa"/>
          </w:tcPr>
          <w:p w14:paraId="395DC10C" w14:textId="77777777" w:rsidR="00230BED" w:rsidRDefault="00230BED" w:rsidP="00343A4E">
            <w:pPr>
              <w:jc w:val="center"/>
              <w:rPr>
                <w:noProof/>
              </w:rPr>
            </w:pPr>
            <w:r w:rsidRPr="00230BED">
              <w:rPr>
                <w:noProof/>
              </w:rPr>
              <w:drawing>
                <wp:inline distT="0" distB="0" distL="0" distR="0" wp14:anchorId="0301AD11" wp14:editId="72591773">
                  <wp:extent cx="2579687" cy="1563687"/>
                  <wp:effectExtent l="0" t="0" r="0" b="0"/>
                  <wp:docPr id="15668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80" name="Image 1"/>
                          <pic:cNvPicPr>
                            <a:picLocks noChangeAspect="1"/>
                          </pic:cNvPicPr>
                        </pic:nvPicPr>
                        <pic:blipFill>
                          <a:blip r:embed="rId3175">
                            <a:extLst>
                              <a:ext uri="{28A0092B-C50C-407E-A947-70E740481C1C}">
                                <a14:useLocalDpi xmlns:a14="http://schemas.microsoft.com/office/drawing/2010/main" val="0"/>
                              </a:ext>
                            </a:extLst>
                          </a:blip>
                          <a:srcRect/>
                          <a:stretch>
                            <a:fillRect/>
                          </a:stretch>
                        </pic:blipFill>
                        <pic:spPr bwMode="auto">
                          <a:xfrm>
                            <a:off x="0" y="0"/>
                            <a:ext cx="2579687" cy="15636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6C36DFC" w14:textId="77777777" w:rsidR="00230BED" w:rsidRDefault="00230BED" w:rsidP="00343A4E">
            <w:pPr>
              <w:jc w:val="center"/>
              <w:rPr>
                <w:noProof/>
              </w:rPr>
            </w:pPr>
            <w:r w:rsidRPr="00230BED">
              <w:rPr>
                <w:noProof/>
              </w:rPr>
              <w:t>Lac collinaire dans la région nord Marocain installé pour contrer le problème d'envasement d'un barrage en aval</w:t>
            </w:r>
            <w:r>
              <w:rPr>
                <w:rStyle w:val="Appelnotedebasdep"/>
                <w:noProof/>
              </w:rPr>
              <w:footnoteReference w:id="166"/>
            </w:r>
            <w:r w:rsidRPr="00230BED">
              <w:rPr>
                <w:noProof/>
              </w:rPr>
              <w:t>.</w:t>
            </w:r>
          </w:p>
          <w:p w14:paraId="7ED3611F" w14:textId="2AABAAC7" w:rsidR="007D35B5" w:rsidRPr="001F77B2" w:rsidRDefault="007D35B5" w:rsidP="00343A4E">
            <w:pPr>
              <w:jc w:val="center"/>
              <w:rPr>
                <w:noProof/>
              </w:rPr>
            </w:pPr>
          </w:p>
        </w:tc>
      </w:tr>
      <w:tr w:rsidR="002A20E4" w14:paraId="6DD8B349" w14:textId="77777777" w:rsidTr="002A20E4">
        <w:tc>
          <w:tcPr>
            <w:tcW w:w="5954" w:type="dxa"/>
          </w:tcPr>
          <w:p w14:paraId="295DA1FD" w14:textId="77777777" w:rsidR="002A20E4" w:rsidRDefault="002A20E4" w:rsidP="00343A4E">
            <w:pPr>
              <w:jc w:val="center"/>
              <w:rPr>
                <w:noProof/>
              </w:rPr>
            </w:pPr>
            <w:r w:rsidRPr="002A20E4">
              <w:rPr>
                <w:noProof/>
              </w:rPr>
              <w:drawing>
                <wp:inline distT="0" distB="0" distL="0" distR="0" wp14:anchorId="7328A6BE" wp14:editId="3F4205AD">
                  <wp:extent cx="2057400" cy="1992410"/>
                  <wp:effectExtent l="0" t="0" r="0" b="8255"/>
                  <wp:docPr id="156684"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84" name="Image 3"/>
                          <pic:cNvPicPr>
                            <a:picLocks noChangeAspect="1"/>
                          </pic:cNvPicPr>
                        </pic:nvPicPr>
                        <pic:blipFill>
                          <a:blip r:embed="rId3176">
                            <a:extLst>
                              <a:ext uri="{28A0092B-C50C-407E-A947-70E740481C1C}">
                                <a14:useLocalDpi xmlns:a14="http://schemas.microsoft.com/office/drawing/2010/main" val="0"/>
                              </a:ext>
                            </a:extLst>
                          </a:blip>
                          <a:srcRect/>
                          <a:stretch>
                            <a:fillRect/>
                          </a:stretch>
                        </pic:blipFill>
                        <pic:spPr bwMode="auto">
                          <a:xfrm>
                            <a:off x="0" y="0"/>
                            <a:ext cx="2059442" cy="1994387"/>
                          </a:xfrm>
                          <a:prstGeom prst="rect">
                            <a:avLst/>
                          </a:prstGeom>
                          <a:noFill/>
                          <a:ln>
                            <a:noFill/>
                          </a:ln>
                        </pic:spPr>
                      </pic:pic>
                    </a:graphicData>
                  </a:graphic>
                </wp:inline>
              </w:drawing>
            </w:r>
          </w:p>
          <w:p w14:paraId="6140828A" w14:textId="1A002A10" w:rsidR="002A20E4" w:rsidRPr="00230BED" w:rsidRDefault="002A20E4" w:rsidP="00343A4E">
            <w:pPr>
              <w:jc w:val="center"/>
              <w:rPr>
                <w:noProof/>
              </w:rPr>
            </w:pPr>
            <w:r w:rsidRPr="002A20E4">
              <w:rPr>
                <w:noProof/>
              </w:rPr>
              <w:t>Ravin aménagé dans un champ de céréale : seuils en pierres sèches</w:t>
            </w:r>
            <w:r>
              <w:rPr>
                <w:rStyle w:val="Appelnotedebasdep"/>
                <w:noProof/>
              </w:rPr>
              <w:footnoteReference w:id="167"/>
            </w:r>
            <w:r w:rsidRPr="002A20E4">
              <w:rPr>
                <w:noProof/>
              </w:rPr>
              <w:t>.</w:t>
            </w:r>
          </w:p>
        </w:tc>
        <w:tc>
          <w:tcPr>
            <w:tcW w:w="4472" w:type="dxa"/>
          </w:tcPr>
          <w:p w14:paraId="480D7F78" w14:textId="77777777" w:rsidR="002A20E4" w:rsidRDefault="002A20E4" w:rsidP="00343A4E">
            <w:pPr>
              <w:jc w:val="center"/>
              <w:rPr>
                <w:noProof/>
              </w:rPr>
            </w:pPr>
            <w:r w:rsidRPr="002A20E4">
              <w:rPr>
                <w:noProof/>
              </w:rPr>
              <w:drawing>
                <wp:inline distT="0" distB="0" distL="0" distR="0" wp14:anchorId="0D9CD743" wp14:editId="539B7320">
                  <wp:extent cx="2438099" cy="1200150"/>
                  <wp:effectExtent l="0" t="0" r="635" b="0"/>
                  <wp:docPr id="15668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83" name="Image 2"/>
                          <pic:cNvPicPr>
                            <a:picLocks noChangeAspect="1"/>
                          </pic:cNvPicPr>
                        </pic:nvPicPr>
                        <pic:blipFill>
                          <a:blip r:embed="rId3177">
                            <a:extLst>
                              <a:ext uri="{28A0092B-C50C-407E-A947-70E740481C1C}">
                                <a14:useLocalDpi xmlns:a14="http://schemas.microsoft.com/office/drawing/2010/main" val="0"/>
                              </a:ext>
                            </a:extLst>
                          </a:blip>
                          <a:srcRect/>
                          <a:stretch>
                            <a:fillRect/>
                          </a:stretch>
                        </pic:blipFill>
                        <pic:spPr bwMode="auto">
                          <a:xfrm>
                            <a:off x="0" y="0"/>
                            <a:ext cx="2440151" cy="1201160"/>
                          </a:xfrm>
                          <a:prstGeom prst="rect">
                            <a:avLst/>
                          </a:prstGeom>
                          <a:noFill/>
                          <a:ln>
                            <a:noFill/>
                          </a:ln>
                        </pic:spPr>
                      </pic:pic>
                    </a:graphicData>
                  </a:graphic>
                </wp:inline>
              </w:drawing>
            </w:r>
          </w:p>
          <w:p w14:paraId="02DCDB60" w14:textId="5D5ECCBE" w:rsidR="002A20E4" w:rsidRPr="00230BED" w:rsidRDefault="002A20E4" w:rsidP="002A20E4">
            <w:pPr>
              <w:jc w:val="center"/>
              <w:rPr>
                <w:noProof/>
              </w:rPr>
            </w:pPr>
            <w:r>
              <w:rPr>
                <w:noProof/>
              </w:rPr>
              <w:t>S</w:t>
            </w:r>
            <w:r w:rsidRPr="002A20E4">
              <w:rPr>
                <w:noProof/>
              </w:rPr>
              <w:t>érie de seuil</w:t>
            </w:r>
            <w:r>
              <w:rPr>
                <w:noProof/>
              </w:rPr>
              <w:t>s.</w:t>
            </w:r>
          </w:p>
        </w:tc>
      </w:tr>
    </w:tbl>
    <w:p w14:paraId="71E57748" w14:textId="18AF3C31" w:rsidR="00343A4E" w:rsidRDefault="00343A4E" w:rsidP="00343A4E">
      <w:pPr>
        <w:spacing w:after="0" w:line="240" w:lineRule="auto"/>
        <w:jc w:val="center"/>
      </w:pPr>
    </w:p>
    <w:p w14:paraId="15A4EDD5" w14:textId="14356205" w:rsidR="00343A4E" w:rsidRDefault="00AB6B3D" w:rsidP="001F77B2">
      <w:pPr>
        <w:spacing w:after="0" w:line="240" w:lineRule="auto"/>
        <w:jc w:val="center"/>
      </w:pPr>
      <w:r w:rsidRPr="00AB6B3D">
        <w:rPr>
          <w:noProof/>
        </w:rPr>
        <w:lastRenderedPageBreak/>
        <w:drawing>
          <wp:inline distT="0" distB="0" distL="0" distR="0" wp14:anchorId="78777B3E" wp14:editId="1ABFE75F">
            <wp:extent cx="6543675" cy="3533775"/>
            <wp:effectExtent l="0" t="0" r="9525" b="9525"/>
            <wp:docPr id="116744" name="Picture 3" descr="C:\Users\LISAN\Pictures\plantes-halophytes-xerophiles\lac_collinaire_sche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44" name="Picture 3" descr="C:\Users\LISAN\Pictures\plantes-halophytes-xerophiles\lac_collinaire_schema.jpg"/>
                    <pic:cNvPicPr>
                      <a:picLocks noChangeAspect="1" noChangeArrowheads="1"/>
                    </pic:cNvPicPr>
                  </pic:nvPicPr>
                  <pic:blipFill>
                    <a:blip r:embed="rId3178">
                      <a:extLst>
                        <a:ext uri="{28A0092B-C50C-407E-A947-70E740481C1C}">
                          <a14:useLocalDpi xmlns:a14="http://schemas.microsoft.com/office/drawing/2010/main" val="0"/>
                        </a:ext>
                      </a:extLst>
                    </a:blip>
                    <a:srcRect/>
                    <a:stretch>
                      <a:fillRect/>
                    </a:stretch>
                  </pic:blipFill>
                  <pic:spPr bwMode="auto">
                    <a:xfrm>
                      <a:off x="0" y="0"/>
                      <a:ext cx="6543675" cy="3533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0D87443" w14:textId="423BF269" w:rsidR="00AB6B3D" w:rsidRPr="00AB6B3D" w:rsidRDefault="00AB6B3D" w:rsidP="00AB6B3D">
      <w:pPr>
        <w:spacing w:after="0" w:line="240" w:lineRule="auto"/>
        <w:jc w:val="center"/>
      </w:pPr>
      <w:r w:rsidRPr="00AB6B3D">
        <w:t>Schéma d’un lac collinaire (très semblable à un johad)</w:t>
      </w:r>
      <w:r>
        <w:t>.</w:t>
      </w:r>
    </w:p>
    <w:p w14:paraId="19982084" w14:textId="77777777" w:rsidR="00AB6B3D" w:rsidRDefault="00AB6B3D" w:rsidP="00A95DE0">
      <w:pPr>
        <w:spacing w:after="0" w:line="240" w:lineRule="auto"/>
      </w:pPr>
    </w:p>
    <w:p w14:paraId="67EC4980" w14:textId="3D283CCC" w:rsidR="0067774B" w:rsidRDefault="0067774B" w:rsidP="0067774B">
      <w:pPr>
        <w:pStyle w:val="Titre2"/>
      </w:pPr>
      <w:bookmarkStart w:id="239" w:name="_Toc139181530"/>
      <w:r w:rsidRPr="0067774B">
        <w:t>Déversoirs</w:t>
      </w:r>
      <w:bookmarkEnd w:id="239"/>
    </w:p>
    <w:p w14:paraId="69B2D212" w14:textId="5EA5B210" w:rsidR="00343A4E" w:rsidRDefault="00343A4E" w:rsidP="00E839DD">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653426" w14:paraId="774DC178" w14:textId="77777777" w:rsidTr="00653426">
        <w:tc>
          <w:tcPr>
            <w:tcW w:w="5208" w:type="dxa"/>
          </w:tcPr>
          <w:p w14:paraId="567CB9D1" w14:textId="77777777" w:rsidR="00653426" w:rsidRDefault="00653426" w:rsidP="00653426">
            <w:pPr>
              <w:jc w:val="center"/>
            </w:pPr>
            <w:r w:rsidRPr="00653426">
              <w:rPr>
                <w:noProof/>
              </w:rPr>
              <w:drawing>
                <wp:inline distT="0" distB="0" distL="0" distR="0" wp14:anchorId="1DD497CC" wp14:editId="65648E0D">
                  <wp:extent cx="2428875" cy="1706777"/>
                  <wp:effectExtent l="0" t="0" r="0" b="8255"/>
                  <wp:docPr id="117771" name="Picture 2" descr="ravineF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71" name="Picture 2" descr="ravineF4"/>
                          <pic:cNvPicPr>
                            <a:picLocks noChangeAspect="1" noChangeArrowheads="1"/>
                          </pic:cNvPicPr>
                        </pic:nvPicPr>
                        <pic:blipFill>
                          <a:blip r:embed="rId3179">
                            <a:extLst>
                              <a:ext uri="{28A0092B-C50C-407E-A947-70E740481C1C}">
                                <a14:useLocalDpi xmlns:a14="http://schemas.microsoft.com/office/drawing/2010/main" val="0"/>
                              </a:ext>
                            </a:extLst>
                          </a:blip>
                          <a:srcRect/>
                          <a:stretch>
                            <a:fillRect/>
                          </a:stretch>
                        </pic:blipFill>
                        <pic:spPr bwMode="auto">
                          <a:xfrm>
                            <a:off x="0" y="0"/>
                            <a:ext cx="2441254" cy="1715476"/>
                          </a:xfrm>
                          <a:prstGeom prst="rect">
                            <a:avLst/>
                          </a:prstGeom>
                          <a:noFill/>
                          <a:ln>
                            <a:noFill/>
                          </a:ln>
                        </pic:spPr>
                      </pic:pic>
                    </a:graphicData>
                  </a:graphic>
                </wp:inline>
              </w:drawing>
            </w:r>
          </w:p>
          <w:p w14:paraId="2F51712F" w14:textId="6AC4A75A" w:rsidR="00653426" w:rsidRDefault="00653426" w:rsidP="00653426">
            <w:pPr>
              <w:jc w:val="both"/>
            </w:pPr>
            <w:r w:rsidRPr="00653426">
              <w:t>Le déversoir empierré absorbe l'énergie de l'eau en mouvement</w:t>
            </w:r>
            <w:r>
              <w:t>.</w:t>
            </w:r>
            <w:r w:rsidR="00EF3D42">
              <w:t xml:space="preserve"> Mais il faut ê</w:t>
            </w:r>
            <w:r w:rsidR="00EF3D42" w:rsidRPr="00EF3D42">
              <w:t>tre attentif à l'eau qui se creuse un chenal sous les descentes enrochées ou autour de celles-ci</w:t>
            </w:r>
            <w:r w:rsidR="00EF3D42">
              <w:t>. Source : MAA</w:t>
            </w:r>
            <w:r w:rsidR="0083491B">
              <w:t>A</w:t>
            </w:r>
            <w:r w:rsidR="00EF3D42">
              <w:t>RO</w:t>
            </w:r>
            <w:r w:rsidR="00EF3D42">
              <w:rPr>
                <w:rStyle w:val="Appelnotedebasdep"/>
              </w:rPr>
              <w:t xml:space="preserve"> </w:t>
            </w:r>
            <w:r>
              <w:rPr>
                <w:rStyle w:val="Appelnotedebasdep"/>
              </w:rPr>
              <w:footnoteReference w:id="168"/>
            </w:r>
            <w:r>
              <w:t>.</w:t>
            </w:r>
          </w:p>
        </w:tc>
        <w:tc>
          <w:tcPr>
            <w:tcW w:w="5208" w:type="dxa"/>
          </w:tcPr>
          <w:p w14:paraId="5E75EF6D" w14:textId="77777777" w:rsidR="00653426" w:rsidRDefault="00653426" w:rsidP="00653426">
            <w:pPr>
              <w:jc w:val="center"/>
            </w:pPr>
            <w:r w:rsidRPr="00653426">
              <w:rPr>
                <w:noProof/>
              </w:rPr>
              <w:drawing>
                <wp:inline distT="0" distB="0" distL="0" distR="0" wp14:anchorId="70A42898" wp14:editId="64B635A5">
                  <wp:extent cx="2543175" cy="1709737"/>
                  <wp:effectExtent l="0" t="0" r="0" b="5080"/>
                  <wp:docPr id="117773" name="Picture 3" descr="ravineF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73" name="Picture 3" descr="ravineF5"/>
                          <pic:cNvPicPr>
                            <a:picLocks noChangeAspect="1" noChangeArrowheads="1"/>
                          </pic:cNvPicPr>
                        </pic:nvPicPr>
                        <pic:blipFill>
                          <a:blip r:embed="rId3180">
                            <a:extLst>
                              <a:ext uri="{28A0092B-C50C-407E-A947-70E740481C1C}">
                                <a14:useLocalDpi xmlns:a14="http://schemas.microsoft.com/office/drawing/2010/main" val="0"/>
                              </a:ext>
                            </a:extLst>
                          </a:blip>
                          <a:srcRect/>
                          <a:stretch>
                            <a:fillRect/>
                          </a:stretch>
                        </pic:blipFill>
                        <pic:spPr bwMode="auto">
                          <a:xfrm>
                            <a:off x="0" y="0"/>
                            <a:ext cx="2543175" cy="17097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626FD510" w14:textId="65B1A2EF" w:rsidR="00653426" w:rsidRDefault="00653426" w:rsidP="00653426">
            <w:pPr>
              <w:jc w:val="both"/>
            </w:pPr>
            <w:r w:rsidRPr="00653426">
              <w:t>La chute en arc de cercle fait franchir à l'eau une dénivellation importante sans provoquer d'érosion.</w:t>
            </w:r>
            <w:r>
              <w:t xml:space="preserve"> </w:t>
            </w:r>
            <w:r w:rsidRPr="00653426">
              <w:t>Source :</w:t>
            </w:r>
            <w:r w:rsidR="00EF3D42">
              <w:t xml:space="preserve"> MAA</w:t>
            </w:r>
            <w:r w:rsidR="0083491B">
              <w:t>A</w:t>
            </w:r>
            <w:r w:rsidR="00EF3D42">
              <w:t>RO</w:t>
            </w:r>
            <w:r w:rsidRPr="00653426">
              <w:t>.</w:t>
            </w:r>
          </w:p>
        </w:tc>
      </w:tr>
    </w:tbl>
    <w:p w14:paraId="68323D28" w14:textId="3A861692" w:rsidR="0067774B" w:rsidRDefault="0067774B" w:rsidP="0067774B">
      <w:pPr>
        <w:spacing w:after="0" w:line="240" w:lineRule="auto"/>
        <w:jc w:val="center"/>
      </w:pPr>
      <w:r w:rsidRPr="0067774B">
        <w:rPr>
          <w:noProof/>
        </w:rPr>
        <w:lastRenderedPageBreak/>
        <w:drawing>
          <wp:inline distT="0" distB="0" distL="0" distR="0" wp14:anchorId="1C599783" wp14:editId="34163636">
            <wp:extent cx="4545013" cy="2051050"/>
            <wp:effectExtent l="0" t="0" r="8255" b="6350"/>
            <wp:docPr id="117769"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69" name="Image 2"/>
                    <pic:cNvPicPr>
                      <a:picLocks noChangeAspect="1"/>
                    </pic:cNvPicPr>
                  </pic:nvPicPr>
                  <pic:blipFill>
                    <a:blip r:embed="rId3181">
                      <a:extLst>
                        <a:ext uri="{28A0092B-C50C-407E-A947-70E740481C1C}">
                          <a14:useLocalDpi xmlns:a14="http://schemas.microsoft.com/office/drawing/2010/main" val="0"/>
                        </a:ext>
                      </a:extLst>
                    </a:blip>
                    <a:srcRect/>
                    <a:stretch>
                      <a:fillRect/>
                    </a:stretch>
                  </pic:blipFill>
                  <pic:spPr bwMode="auto">
                    <a:xfrm>
                      <a:off x="0" y="0"/>
                      <a:ext cx="4545013" cy="2051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51CC17F" w14:textId="1B9C318E" w:rsidR="0067774B" w:rsidRDefault="0067774B" w:rsidP="0067774B">
      <w:pPr>
        <w:spacing w:after="0" w:line="240" w:lineRule="auto"/>
        <w:jc w:val="center"/>
      </w:pPr>
      <w:r w:rsidRPr="0067774B">
        <w:t>Déversoir enroché (coupe longitudinale)</w:t>
      </w:r>
      <w:r w:rsidR="00EF3D42">
        <w:t>. Source : MAAARO</w:t>
      </w:r>
      <w:r w:rsidR="00EF3D42">
        <w:rPr>
          <w:rStyle w:val="Appelnotedebasdep"/>
        </w:rPr>
        <w:t xml:space="preserve"> </w:t>
      </w:r>
      <w:r>
        <w:rPr>
          <w:rStyle w:val="Appelnotedebasdep"/>
        </w:rPr>
        <w:footnoteReference w:id="169"/>
      </w:r>
      <w:r w:rsidRPr="0067774B">
        <w:t>.</w:t>
      </w:r>
    </w:p>
    <w:p w14:paraId="5225C883" w14:textId="77777777" w:rsidR="007D35B5" w:rsidRDefault="007D35B5" w:rsidP="0067774B">
      <w:pPr>
        <w:spacing w:after="0" w:line="240" w:lineRule="auto"/>
        <w:jc w:val="center"/>
      </w:pPr>
    </w:p>
    <w:p w14:paraId="387B14E9" w14:textId="19D4A271" w:rsidR="0067774B" w:rsidRDefault="0067774B" w:rsidP="0067774B">
      <w:pPr>
        <w:spacing w:after="0" w:line="240" w:lineRule="auto"/>
        <w:jc w:val="center"/>
      </w:pPr>
      <w:r w:rsidRPr="0067774B">
        <w:rPr>
          <w:noProof/>
        </w:rPr>
        <w:drawing>
          <wp:inline distT="0" distB="0" distL="0" distR="0" wp14:anchorId="5C90A106" wp14:editId="337E55BF">
            <wp:extent cx="4359275" cy="2070100"/>
            <wp:effectExtent l="0" t="0" r="3175" b="6350"/>
            <wp:docPr id="11776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68" name="Image 1"/>
                    <pic:cNvPicPr>
                      <a:picLocks noChangeAspect="1"/>
                    </pic:cNvPicPr>
                  </pic:nvPicPr>
                  <pic:blipFill>
                    <a:blip r:embed="rId3182">
                      <a:extLst>
                        <a:ext uri="{28A0092B-C50C-407E-A947-70E740481C1C}">
                          <a14:useLocalDpi xmlns:a14="http://schemas.microsoft.com/office/drawing/2010/main" val="0"/>
                        </a:ext>
                      </a:extLst>
                    </a:blip>
                    <a:srcRect/>
                    <a:stretch>
                      <a:fillRect/>
                    </a:stretch>
                  </pic:blipFill>
                  <pic:spPr bwMode="auto">
                    <a:xfrm>
                      <a:off x="0" y="0"/>
                      <a:ext cx="4359275" cy="2070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D6895DB" w14:textId="0722C0F1" w:rsidR="0067774B" w:rsidRDefault="0067774B" w:rsidP="0067774B">
      <w:pPr>
        <w:spacing w:after="0" w:line="240" w:lineRule="auto"/>
        <w:jc w:val="center"/>
      </w:pPr>
      <w:r w:rsidRPr="0067774B">
        <w:t>Déversoir enroché (coupe transversale)</w:t>
      </w:r>
      <w:r w:rsidR="00EF3D42">
        <w:t>. Source : MAAARO</w:t>
      </w:r>
      <w:r w:rsidR="00AC7DFD">
        <w:rPr>
          <w:rStyle w:val="Appelnotedebasdep"/>
        </w:rPr>
        <w:footnoteReference w:id="170"/>
      </w:r>
      <w:r w:rsidRPr="0067774B">
        <w:t>.</w:t>
      </w:r>
    </w:p>
    <w:p w14:paraId="32A0146A" w14:textId="58874153" w:rsidR="00AB6B3D" w:rsidRDefault="00AB6B3D" w:rsidP="00E839DD">
      <w:pPr>
        <w:spacing w:after="0" w:line="240" w:lineRule="auto"/>
      </w:pPr>
    </w:p>
    <w:p w14:paraId="57E1FE7B" w14:textId="5C774D1A" w:rsidR="00653426" w:rsidRDefault="00602CCA" w:rsidP="00602CCA">
      <w:pPr>
        <w:pStyle w:val="Titre2"/>
      </w:pPr>
      <w:bookmarkStart w:id="240" w:name="_Toc139181531"/>
      <w:r w:rsidRPr="00602CCA">
        <w:t>Gabion (fabrication etc.)</w:t>
      </w:r>
      <w:bookmarkEnd w:id="240"/>
    </w:p>
    <w:p w14:paraId="48D217D2" w14:textId="67D5C9BE" w:rsidR="00602CCA" w:rsidRDefault="00602CCA" w:rsidP="00E839DD">
      <w:pPr>
        <w:spacing w:after="0" w:line="240" w:lineRule="auto"/>
      </w:pPr>
    </w:p>
    <w:p w14:paraId="0FA96787" w14:textId="36AF8CAD" w:rsidR="00602CCA" w:rsidRDefault="00602CCA" w:rsidP="00602CCA">
      <w:pPr>
        <w:spacing w:after="0" w:line="240" w:lineRule="auto"/>
        <w:jc w:val="both"/>
      </w:pPr>
      <w:r w:rsidRPr="00602CCA">
        <w:t xml:space="preserve">Le gabion est un mur de pierre, très souvent dans une cage en grillage, installé perpendiculairement à l’écoulement des eaux, la plupart du temps utilisé dans les climats secs, voir aride et permettant de stopper l’érosion des sols, les sédiments venants s’accumuler contre lui. Le gabion piège alors, au fil des inondations ou des pluies importantes, d’énormes quantités de sédiments. Ces couches de sédiments se superposent jusqu’à atteindre le haut du muret et à former une terrasse. Une fois cette terrasse formée, elle sera ombragée par une plantation d’arbres sur ses bordures. Plusieurs gabions successifs sont possibles et ils existent sous de nombreuses formes. Le coût d’une telle installation est faible et a permis de transformer des lieux arides en oasis, en quelques années. Il est assez facile de fabriquer un gabion, voici une méthode possible (source : </w:t>
      </w:r>
      <w:hyperlink r:id="rId3183" w:history="1">
        <w:r w:rsidRPr="00602CCA">
          <w:rPr>
            <w:rStyle w:val="Lienhypertexte"/>
          </w:rPr>
          <w:t>http://www.permaculturedesign.fr/terrassement-en-permaculture/</w:t>
        </w:r>
      </w:hyperlink>
      <w:r w:rsidRPr="00602CCA">
        <w:t>)</w:t>
      </w:r>
      <w:r>
        <w:t>.</w:t>
      </w:r>
    </w:p>
    <w:p w14:paraId="07B49C65" w14:textId="36E09679" w:rsidR="00602CCA" w:rsidRDefault="00602CCA" w:rsidP="00602CCA">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602CCA" w14:paraId="07CDE083" w14:textId="77777777" w:rsidTr="00602CCA">
        <w:tc>
          <w:tcPr>
            <w:tcW w:w="5208" w:type="dxa"/>
          </w:tcPr>
          <w:p w14:paraId="4A414707" w14:textId="77777777" w:rsidR="00602CCA" w:rsidRDefault="00602CCA" w:rsidP="00602CCA">
            <w:pPr>
              <w:jc w:val="center"/>
            </w:pPr>
            <w:r w:rsidRPr="00602CCA">
              <w:rPr>
                <w:noProof/>
              </w:rPr>
              <w:lastRenderedPageBreak/>
              <w:drawing>
                <wp:inline distT="0" distB="0" distL="0" distR="0" wp14:anchorId="0EE38B69" wp14:editId="4A67EA6D">
                  <wp:extent cx="2857500" cy="2143125"/>
                  <wp:effectExtent l="0" t="0" r="0" b="9525"/>
                  <wp:docPr id="4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3184">
                            <a:extLst>
                              <a:ext uri="{28A0092B-C50C-407E-A947-70E740481C1C}">
                                <a14:useLocalDpi xmlns:a14="http://schemas.microsoft.com/office/drawing/2010/main" val="0"/>
                              </a:ext>
                            </a:extLst>
                          </a:blip>
                          <a:stretch>
                            <a:fillRect/>
                          </a:stretch>
                        </pic:blipFill>
                        <pic:spPr>
                          <a:xfrm>
                            <a:off x="0" y="0"/>
                            <a:ext cx="2857500" cy="2143125"/>
                          </a:xfrm>
                          <a:prstGeom prst="rect">
                            <a:avLst/>
                          </a:prstGeom>
                        </pic:spPr>
                      </pic:pic>
                    </a:graphicData>
                  </a:graphic>
                </wp:inline>
              </w:drawing>
            </w:r>
          </w:p>
          <w:p w14:paraId="109E2E19" w14:textId="20D8898C" w:rsidR="00602CCA" w:rsidRDefault="00602CCA" w:rsidP="00602CCA">
            <w:pPr>
              <w:jc w:val="center"/>
            </w:pPr>
            <w:r w:rsidRPr="00602CCA">
              <w:t>Fabrication des cages en grillages, n’oubliez pas les grillages intercalaires. Source Milkwood Permaculture</w:t>
            </w:r>
            <w:r>
              <w:t>.</w:t>
            </w:r>
          </w:p>
        </w:tc>
        <w:tc>
          <w:tcPr>
            <w:tcW w:w="5208" w:type="dxa"/>
          </w:tcPr>
          <w:p w14:paraId="7F8E8619" w14:textId="77777777" w:rsidR="00602CCA" w:rsidRDefault="00602CCA" w:rsidP="00602CCA">
            <w:pPr>
              <w:jc w:val="center"/>
            </w:pPr>
            <w:r w:rsidRPr="00602CCA">
              <w:rPr>
                <w:noProof/>
              </w:rPr>
              <w:drawing>
                <wp:inline distT="0" distB="0" distL="0" distR="0" wp14:anchorId="5FB9E888" wp14:editId="7A1A9334">
                  <wp:extent cx="2857500" cy="2143125"/>
                  <wp:effectExtent l="0" t="0" r="0" b="9525"/>
                  <wp:docPr id="48"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pic:cNvPicPr>
                            <a:picLocks noChangeAspect="1"/>
                          </pic:cNvPicPr>
                        </pic:nvPicPr>
                        <pic:blipFill>
                          <a:blip r:embed="rId3185">
                            <a:extLst>
                              <a:ext uri="{28A0092B-C50C-407E-A947-70E740481C1C}">
                                <a14:useLocalDpi xmlns:a14="http://schemas.microsoft.com/office/drawing/2010/main" val="0"/>
                              </a:ext>
                            </a:extLst>
                          </a:blip>
                          <a:stretch>
                            <a:fillRect/>
                          </a:stretch>
                        </pic:blipFill>
                        <pic:spPr>
                          <a:xfrm>
                            <a:off x="0" y="0"/>
                            <a:ext cx="2857500" cy="2143125"/>
                          </a:xfrm>
                          <a:prstGeom prst="rect">
                            <a:avLst/>
                          </a:prstGeom>
                        </pic:spPr>
                      </pic:pic>
                    </a:graphicData>
                  </a:graphic>
                </wp:inline>
              </w:drawing>
            </w:r>
          </w:p>
          <w:p w14:paraId="1F5B2CAE" w14:textId="54A7C8EA" w:rsidR="00602CCA" w:rsidRDefault="00602CCA" w:rsidP="00602CCA">
            <w:pPr>
              <w:jc w:val="center"/>
            </w:pPr>
            <w:r w:rsidRPr="00602CCA">
              <w:t>Remplissage avec des cailloux, source Milkwood Permaculture</w:t>
            </w:r>
            <w:r>
              <w:t>.</w:t>
            </w:r>
          </w:p>
        </w:tc>
      </w:tr>
    </w:tbl>
    <w:p w14:paraId="60F97A3E" w14:textId="0F6924AC" w:rsidR="00602CCA" w:rsidRDefault="00602CCA" w:rsidP="00602CCA">
      <w:pPr>
        <w:spacing w:after="0" w:line="240" w:lineRule="auto"/>
      </w:pPr>
    </w:p>
    <w:p w14:paraId="4FB09142" w14:textId="57CAABEF" w:rsidR="00602CCA" w:rsidRDefault="00602CCA" w:rsidP="00602CCA">
      <w:pPr>
        <w:pStyle w:val="Titre2"/>
      </w:pPr>
      <w:bookmarkStart w:id="241" w:name="_Toc139181532"/>
      <w:r w:rsidRPr="00602CCA">
        <w:t>Citernes couvertes (matfia, joub ou notfia)</w:t>
      </w:r>
      <w:bookmarkEnd w:id="241"/>
    </w:p>
    <w:p w14:paraId="6CE6D436" w14:textId="1532DF18" w:rsidR="00602CCA" w:rsidRDefault="00602CCA" w:rsidP="00602CCA">
      <w:pPr>
        <w:spacing w:after="0" w:line="240" w:lineRule="auto"/>
      </w:pPr>
    </w:p>
    <w:p w14:paraId="62075431" w14:textId="62E8FB3C" w:rsidR="00D37293" w:rsidRDefault="00D37293" w:rsidP="00D37293">
      <w:pPr>
        <w:spacing w:after="0" w:line="240" w:lineRule="auto"/>
        <w:jc w:val="both"/>
      </w:pPr>
      <w:r w:rsidRPr="00D37293">
        <w:t xml:space="preserve">Description : La </w:t>
      </w:r>
      <w:r w:rsidRPr="00D37293">
        <w:rPr>
          <w:i/>
          <w:iCs/>
        </w:rPr>
        <w:t>matfia</w:t>
      </w:r>
      <w:r w:rsidRPr="00D37293">
        <w:t xml:space="preserve"> collective est composée de :</w:t>
      </w:r>
    </w:p>
    <w:p w14:paraId="1EFB0B49" w14:textId="77777777" w:rsidR="00D37293" w:rsidRPr="00D37293" w:rsidRDefault="00D37293" w:rsidP="00D37293">
      <w:pPr>
        <w:spacing w:after="0" w:line="240" w:lineRule="auto"/>
        <w:jc w:val="both"/>
      </w:pPr>
    </w:p>
    <w:p w14:paraId="4E35D868" w14:textId="5ACBE007" w:rsidR="00D37293" w:rsidRPr="00D37293" w:rsidRDefault="00D37293" w:rsidP="0022016D">
      <w:pPr>
        <w:pStyle w:val="Paragraphedeliste"/>
        <w:numPr>
          <w:ilvl w:val="0"/>
          <w:numId w:val="30"/>
        </w:numPr>
        <w:spacing w:after="0" w:line="240" w:lineRule="auto"/>
        <w:ind w:left="426"/>
        <w:jc w:val="both"/>
      </w:pPr>
      <w:r w:rsidRPr="00D37293">
        <w:t xml:space="preserve">Un impluvium naturel plus ou moins aménagé : il coïncide avec le versant qui surplombe la </w:t>
      </w:r>
      <w:r w:rsidRPr="00D37293">
        <w:rPr>
          <w:i/>
          <w:iCs/>
        </w:rPr>
        <w:t>matfia</w:t>
      </w:r>
      <w:r w:rsidRPr="00D37293">
        <w:t xml:space="preserve">. Dans le Rif, le toit de la </w:t>
      </w:r>
      <w:r w:rsidRPr="00D37293">
        <w:rPr>
          <w:i/>
          <w:iCs/>
        </w:rPr>
        <w:t>matfia</w:t>
      </w:r>
      <w:r w:rsidRPr="00D37293">
        <w:t xml:space="preserve"> (70 à 150 m</w:t>
      </w:r>
      <w:r w:rsidRPr="00D37293">
        <w:rPr>
          <w:vertAlign w:val="superscript"/>
        </w:rPr>
        <w:t>2</w:t>
      </w:r>
      <w:r w:rsidRPr="00D37293">
        <w:t>) est bétonné et utilisé comme impluvium, mais le plus souvent ce sont les eaux ruisselant des pistes et d'un petit versant qui sont captées ;</w:t>
      </w:r>
    </w:p>
    <w:p w14:paraId="02BBEA3F" w14:textId="704E51C9" w:rsidR="00D37293" w:rsidRPr="00D37293" w:rsidRDefault="00D37293" w:rsidP="0022016D">
      <w:pPr>
        <w:pStyle w:val="Paragraphedeliste"/>
        <w:numPr>
          <w:ilvl w:val="0"/>
          <w:numId w:val="30"/>
        </w:numPr>
        <w:spacing w:after="0" w:line="240" w:lineRule="auto"/>
        <w:ind w:left="426"/>
        <w:jc w:val="both"/>
      </w:pPr>
      <w:r w:rsidRPr="00D37293">
        <w:t>Un canal (</w:t>
      </w:r>
      <w:r w:rsidRPr="00D37293">
        <w:rPr>
          <w:i/>
          <w:iCs/>
        </w:rPr>
        <w:t>assarou</w:t>
      </w:r>
      <w:r w:rsidRPr="00D37293">
        <w:t>, séguia) de raccordement entre l'impluvium naturel et la citerne ;</w:t>
      </w:r>
    </w:p>
    <w:p w14:paraId="7E162BE7" w14:textId="4BBE99D2" w:rsidR="00D37293" w:rsidRPr="00D37293" w:rsidRDefault="00D37293" w:rsidP="0022016D">
      <w:pPr>
        <w:pStyle w:val="Paragraphedeliste"/>
        <w:numPr>
          <w:ilvl w:val="0"/>
          <w:numId w:val="30"/>
        </w:numPr>
        <w:spacing w:after="0" w:line="240" w:lineRule="auto"/>
        <w:ind w:left="426"/>
        <w:jc w:val="both"/>
      </w:pPr>
      <w:r w:rsidRPr="00D37293">
        <w:t>Un bassin de décantation des sédiments, une conduite d'eau reliant le bassin de décantation à une ouverture perçant la dalle de la citerne et un orifice pour puiser l'eau, muni d'un couvercle en fer ;</w:t>
      </w:r>
    </w:p>
    <w:p w14:paraId="339F45E4" w14:textId="6449164A" w:rsidR="00D37293" w:rsidRPr="00D37293" w:rsidRDefault="00D37293" w:rsidP="0022016D">
      <w:pPr>
        <w:pStyle w:val="Paragraphedeliste"/>
        <w:numPr>
          <w:ilvl w:val="0"/>
          <w:numId w:val="30"/>
        </w:numPr>
        <w:spacing w:after="0" w:line="240" w:lineRule="auto"/>
        <w:ind w:left="426"/>
        <w:jc w:val="both"/>
      </w:pPr>
      <w:r w:rsidRPr="00D37293">
        <w:t>Une citerne (réservoir souterrain) creusée dans le sol, construite en pierre et étanchéifiée par de la terre battue, de la chaux ou du ciment. Les dimensions de cet ouvrage varient de 100 à 300 m3 en fonction du nombre d'habitants et de la taille du troupeau à abreuver. Le toit est construit avec des pierres moyennes ou avec des troncs d'arbres recouverts d'une couche de terre ou de ciment pour former une toiture étanche. Un puits muni d'une pompe ou d'un seau permet de puiser l'eau filtrée.</w:t>
      </w:r>
    </w:p>
    <w:p w14:paraId="547DBF13" w14:textId="77777777" w:rsidR="00D37293" w:rsidRDefault="00D37293" w:rsidP="00D37293">
      <w:pPr>
        <w:spacing w:after="0" w:line="240" w:lineRule="auto"/>
        <w:jc w:val="both"/>
      </w:pPr>
    </w:p>
    <w:p w14:paraId="004907E2" w14:textId="63C8ECC7" w:rsidR="00D37293" w:rsidRDefault="00D37293" w:rsidP="00D37293">
      <w:pPr>
        <w:spacing w:after="0" w:line="240" w:lineRule="auto"/>
        <w:jc w:val="both"/>
      </w:pPr>
      <w:r w:rsidRPr="00D37293">
        <w:t xml:space="preserve">La </w:t>
      </w:r>
      <w:r w:rsidRPr="00D37293">
        <w:rPr>
          <w:i/>
          <w:iCs/>
        </w:rPr>
        <w:t>matfia</w:t>
      </w:r>
      <w:r w:rsidRPr="00D37293">
        <w:t xml:space="preserve"> individuelle ou familiale est plus modeste : le toit de la maison joue le rôle d'impluvium. La citerne prend la forme d'un réservoir souterrain (</w:t>
      </w:r>
      <w:r w:rsidRPr="00D37293">
        <w:rPr>
          <w:i/>
          <w:iCs/>
        </w:rPr>
        <w:t>joub</w:t>
      </w:r>
      <w:r w:rsidRPr="00D37293">
        <w:t>) creusé dans la cour de la maison. Il est imperméabilisé avec de l'argile battue mélangée à la chaux ou avec du ciment.</w:t>
      </w:r>
    </w:p>
    <w:p w14:paraId="2E308521" w14:textId="77777777" w:rsidR="007D35B5" w:rsidRDefault="007D35B5" w:rsidP="00D37293">
      <w:pPr>
        <w:spacing w:after="0" w:line="240" w:lineRule="auto"/>
        <w:jc w:val="both"/>
      </w:pPr>
    </w:p>
    <w:p w14:paraId="64999F21" w14:textId="071E0B28" w:rsidR="00D37293" w:rsidRPr="00D37293" w:rsidRDefault="00D37293" w:rsidP="00D37293">
      <w:pPr>
        <w:spacing w:after="0" w:line="240" w:lineRule="auto"/>
        <w:jc w:val="both"/>
      </w:pPr>
      <w:r w:rsidRPr="00D37293">
        <w:rPr>
          <w:b/>
          <w:bCs/>
        </w:rPr>
        <w:t>Objectifs</w:t>
      </w:r>
    </w:p>
    <w:p w14:paraId="747A90EC" w14:textId="7C3971D3" w:rsidR="00D37293" w:rsidRDefault="00D37293" w:rsidP="00D37293">
      <w:pPr>
        <w:spacing w:after="0" w:line="240" w:lineRule="auto"/>
        <w:jc w:val="both"/>
      </w:pPr>
      <w:r w:rsidRPr="00D37293">
        <w:t xml:space="preserve">Les eaux stockées dans la </w:t>
      </w:r>
      <w:r w:rsidRPr="00D37293">
        <w:rPr>
          <w:i/>
          <w:iCs/>
        </w:rPr>
        <w:t>matfia</w:t>
      </w:r>
      <w:r w:rsidRPr="00D37293">
        <w:t xml:space="preserve">, collective ou individuelle, sont destinées aux usages domestiques, à l'abreuvement de la famille et du troupeau et parfois à l'irrigation d'appoint d'un petit jardin en zones semi-arides et arides. Lorsque la saison sèche dure longtemps, la </w:t>
      </w:r>
      <w:r w:rsidRPr="00D37293">
        <w:rPr>
          <w:i/>
          <w:iCs/>
        </w:rPr>
        <w:t>matfia</w:t>
      </w:r>
      <w:r w:rsidRPr="00D37293">
        <w:t xml:space="preserve"> ne suffit pas, et il faut la remplir à l'aide de camions citernes. De façon indirecte, la matfia réduit les risques de ravinement en aval.</w:t>
      </w:r>
    </w:p>
    <w:p w14:paraId="42D0936E" w14:textId="77777777" w:rsidR="00D37293" w:rsidRPr="00D37293" w:rsidRDefault="00D37293" w:rsidP="00D37293">
      <w:pPr>
        <w:spacing w:after="0" w:line="240" w:lineRule="auto"/>
        <w:jc w:val="both"/>
      </w:pPr>
    </w:p>
    <w:p w14:paraId="1D16A912" w14:textId="77777777" w:rsidR="00D37293" w:rsidRPr="00D37293" w:rsidRDefault="00D37293" w:rsidP="00D37293">
      <w:pPr>
        <w:spacing w:after="0" w:line="240" w:lineRule="auto"/>
        <w:jc w:val="both"/>
      </w:pPr>
      <w:r w:rsidRPr="00D37293">
        <w:rPr>
          <w:b/>
          <w:bCs/>
        </w:rPr>
        <w:t>Coût d'installation</w:t>
      </w:r>
    </w:p>
    <w:p w14:paraId="61422B28" w14:textId="7049F42B" w:rsidR="00D37293" w:rsidRDefault="00D37293" w:rsidP="00D37293">
      <w:pPr>
        <w:spacing w:after="0" w:line="240" w:lineRule="auto"/>
        <w:jc w:val="both"/>
      </w:pPr>
      <w:r w:rsidRPr="00D37293">
        <w:t>L'installation d'une matfia demande un investissement important. Le coût varie en fonction de la taille de l'ouvrage et des matériaux utilisés. Les travaux sont généralement réalisés dans le cadre d'une entraide sociale ou avec les subsides</w:t>
      </w:r>
      <w:r>
        <w:t xml:space="preserve"> </w:t>
      </w:r>
      <w:r w:rsidRPr="00D37293">
        <w:t>de l'État. Le coût de construction d'une matfia collective d'une capacité de l'ordre de 350 m3 varie de 10 000 Dm (en terre battue + chaux + toit en bois) à 20000 Dm dans le cas de l'utilisation de matériaux modernes (ciment, barres en fer à béton). Les citernes familiales traditionnelles (50 à 100 m3 de volume) coûtent nettement moins cher.</w:t>
      </w:r>
    </w:p>
    <w:p w14:paraId="03F2535C" w14:textId="77777777" w:rsidR="00E07050" w:rsidRPr="00A95DE0" w:rsidRDefault="00E07050" w:rsidP="00E07050">
      <w:pPr>
        <w:spacing w:after="0" w:line="240" w:lineRule="auto"/>
        <w:jc w:val="both"/>
      </w:pPr>
    </w:p>
    <w:p w14:paraId="57C310AB" w14:textId="2142362E" w:rsidR="00E07050" w:rsidRPr="00E07050" w:rsidRDefault="00E07050" w:rsidP="00E07050">
      <w:pPr>
        <w:spacing w:after="0" w:line="240" w:lineRule="auto"/>
        <w:jc w:val="both"/>
      </w:pPr>
      <w:r w:rsidRPr="00E07050">
        <w:rPr>
          <w:i/>
          <w:iCs/>
        </w:rPr>
        <w:t>Suivi et entretien de la matfia collective</w:t>
      </w:r>
      <w:r>
        <w:rPr>
          <w:i/>
          <w:iCs/>
        </w:rPr>
        <w:t> </w:t>
      </w:r>
      <w:r w:rsidR="007D35B5">
        <w:rPr>
          <w:i/>
          <w:iCs/>
        </w:rPr>
        <w:t xml:space="preserve">(voir ci-après) </w:t>
      </w:r>
      <w:r>
        <w:rPr>
          <w:i/>
          <w:iCs/>
        </w:rPr>
        <w:t>:</w:t>
      </w:r>
    </w:p>
    <w:p w14:paraId="1833B467" w14:textId="77777777" w:rsidR="00E07050" w:rsidRDefault="00E07050" w:rsidP="00E07050">
      <w:pPr>
        <w:spacing w:after="0" w:line="240" w:lineRule="auto"/>
        <w:jc w:val="both"/>
      </w:pPr>
    </w:p>
    <w:p w14:paraId="71635E30" w14:textId="5A555F3E" w:rsidR="00E07050" w:rsidRPr="00E07050" w:rsidRDefault="00E07050" w:rsidP="00E07050">
      <w:pPr>
        <w:spacing w:after="0" w:line="240" w:lineRule="auto"/>
        <w:jc w:val="both"/>
      </w:pPr>
      <w:r w:rsidRPr="00E07050">
        <w:t>- Déviation des eaux des premières pluies qui sont souvent polluées et trop chargées de sédiments.</w:t>
      </w:r>
    </w:p>
    <w:p w14:paraId="0C215120" w14:textId="77777777" w:rsidR="00E07050" w:rsidRPr="00E07050" w:rsidRDefault="00E07050" w:rsidP="00E07050">
      <w:pPr>
        <w:spacing w:after="0" w:line="240" w:lineRule="auto"/>
        <w:jc w:val="both"/>
      </w:pPr>
      <w:r w:rsidRPr="00E07050">
        <w:t>- Nettoyage de la vase qui s'accumule au fond des citernes (fréquence: 1 fois par an pour les citernes à impluvium constitué de formations tendres, 1 fois tous les 3 ou 4 ans pour les citernes cimentées).</w:t>
      </w:r>
    </w:p>
    <w:p w14:paraId="7531EB80" w14:textId="77777777" w:rsidR="00E07050" w:rsidRPr="00E07050" w:rsidRDefault="00E07050" w:rsidP="00E07050">
      <w:pPr>
        <w:spacing w:after="0" w:line="240" w:lineRule="auto"/>
        <w:jc w:val="both"/>
      </w:pPr>
      <w:r w:rsidRPr="00E07050">
        <w:t>- Changement du seau utilisé pour puiser l'eau (fréquence 1 fois par an) et entretien de la pompe.</w:t>
      </w:r>
    </w:p>
    <w:p w14:paraId="17247428" w14:textId="77777777" w:rsidR="00E07050" w:rsidRPr="00E07050" w:rsidRDefault="00E07050" w:rsidP="00E07050">
      <w:pPr>
        <w:spacing w:after="0" w:line="240" w:lineRule="auto"/>
        <w:jc w:val="both"/>
      </w:pPr>
      <w:r w:rsidRPr="00E07050">
        <w:t xml:space="preserve">Pour les </w:t>
      </w:r>
      <w:r w:rsidRPr="00E07050">
        <w:rPr>
          <w:i/>
          <w:iCs/>
        </w:rPr>
        <w:t xml:space="preserve">matfia individuelles </w:t>
      </w:r>
      <w:r w:rsidRPr="00E07050">
        <w:t>qui captent seulement l'eau des toitures, le toit est régulièrement nettoyé avant les périodes pluviales. Le curage se fait une fois tous les 3 ou 4 ans.</w:t>
      </w:r>
    </w:p>
    <w:p w14:paraId="0AC98BF2" w14:textId="768F89B4" w:rsidR="00E07050" w:rsidRDefault="00E07050" w:rsidP="00D37293">
      <w:pPr>
        <w:spacing w:after="0" w:line="240" w:lineRule="auto"/>
        <w:jc w:val="both"/>
      </w:pPr>
    </w:p>
    <w:p w14:paraId="759A6045" w14:textId="77777777" w:rsidR="00E07050" w:rsidRPr="00E07050" w:rsidRDefault="00E07050" w:rsidP="00E07050">
      <w:pPr>
        <w:spacing w:after="0" w:line="240" w:lineRule="auto"/>
        <w:jc w:val="both"/>
      </w:pPr>
      <w:r w:rsidRPr="00E07050">
        <w:rPr>
          <w:b/>
          <w:bCs/>
        </w:rPr>
        <w:t>Avantages</w:t>
      </w:r>
    </w:p>
    <w:p w14:paraId="3E6C2A88" w14:textId="77777777" w:rsidR="00E07050" w:rsidRPr="00E07050" w:rsidRDefault="00E07050" w:rsidP="00E07050">
      <w:pPr>
        <w:spacing w:after="0" w:line="240" w:lineRule="auto"/>
        <w:jc w:val="both"/>
      </w:pPr>
      <w:r w:rsidRPr="00E07050">
        <w:t xml:space="preserve">- Stockage de l'eau et utilisation différée </w:t>
      </w:r>
    </w:p>
    <w:p w14:paraId="56A879CC" w14:textId="77777777" w:rsidR="00E07050" w:rsidRPr="00E07050" w:rsidRDefault="00E07050" w:rsidP="00E07050">
      <w:pPr>
        <w:spacing w:after="0" w:line="240" w:lineRule="auto"/>
        <w:jc w:val="both"/>
      </w:pPr>
      <w:r w:rsidRPr="00E07050">
        <w:t xml:space="preserve">- Approvisionnement en eau domestique </w:t>
      </w:r>
    </w:p>
    <w:p w14:paraId="18557183" w14:textId="77777777" w:rsidR="00E07050" w:rsidRPr="00E07050" w:rsidRDefault="00E07050" w:rsidP="00E07050">
      <w:pPr>
        <w:spacing w:after="0" w:line="240" w:lineRule="auto"/>
        <w:jc w:val="both"/>
      </w:pPr>
      <w:r w:rsidRPr="00E07050">
        <w:t>- Amélioration des conditions d'hygiène de la famille</w:t>
      </w:r>
    </w:p>
    <w:p w14:paraId="20F05F5F" w14:textId="77777777" w:rsidR="00E07050" w:rsidRPr="00E07050" w:rsidRDefault="00E07050" w:rsidP="00E07050">
      <w:pPr>
        <w:spacing w:after="0" w:line="240" w:lineRule="auto"/>
        <w:jc w:val="both"/>
      </w:pPr>
      <w:r w:rsidRPr="00E07050">
        <w:t>- Rôle majeur dans la pérennisation des activités pastorales</w:t>
      </w:r>
    </w:p>
    <w:p w14:paraId="40877C81" w14:textId="77777777" w:rsidR="00E07050" w:rsidRPr="00E07050" w:rsidRDefault="00E07050" w:rsidP="00E07050">
      <w:pPr>
        <w:spacing w:after="0" w:line="240" w:lineRule="auto"/>
        <w:jc w:val="both"/>
      </w:pPr>
      <w:r w:rsidRPr="00E07050">
        <w:t>- Permet la fixation de la population dans le milieu rural</w:t>
      </w:r>
    </w:p>
    <w:p w14:paraId="28C03529" w14:textId="77777777" w:rsidR="00E07050" w:rsidRPr="00E07050" w:rsidRDefault="00E07050" w:rsidP="00E07050">
      <w:pPr>
        <w:spacing w:after="0" w:line="240" w:lineRule="auto"/>
        <w:jc w:val="both"/>
      </w:pPr>
      <w:r w:rsidRPr="00E07050">
        <w:t>- Diminution des risques de ravinement et d'inondations</w:t>
      </w:r>
    </w:p>
    <w:p w14:paraId="70C426A1" w14:textId="77777777" w:rsidR="00E07050" w:rsidRPr="00E07050" w:rsidRDefault="00E07050" w:rsidP="00E07050">
      <w:pPr>
        <w:spacing w:after="0" w:line="240" w:lineRule="auto"/>
        <w:jc w:val="both"/>
      </w:pPr>
      <w:r w:rsidRPr="00E07050">
        <w:t>- Ouvrages enterrés donc discrets, à faible emprise foncière</w:t>
      </w:r>
    </w:p>
    <w:p w14:paraId="300AEC4B" w14:textId="21874542" w:rsidR="00E07050" w:rsidRDefault="00E07050" w:rsidP="00E07050">
      <w:pPr>
        <w:spacing w:after="0" w:line="240" w:lineRule="auto"/>
        <w:jc w:val="both"/>
      </w:pPr>
      <w:r w:rsidRPr="00E07050">
        <w:t>- Réduction de la corvée de l'eau</w:t>
      </w:r>
      <w:r>
        <w:t>.</w:t>
      </w:r>
    </w:p>
    <w:p w14:paraId="5D78AA40" w14:textId="77777777" w:rsidR="00E07050" w:rsidRPr="00E07050" w:rsidRDefault="00E07050" w:rsidP="00E07050">
      <w:pPr>
        <w:spacing w:after="0" w:line="240" w:lineRule="auto"/>
        <w:jc w:val="both"/>
      </w:pPr>
    </w:p>
    <w:p w14:paraId="2E17D230" w14:textId="77777777" w:rsidR="00E07050" w:rsidRPr="00E07050" w:rsidRDefault="00E07050" w:rsidP="00E07050">
      <w:pPr>
        <w:spacing w:after="0" w:line="240" w:lineRule="auto"/>
        <w:jc w:val="both"/>
      </w:pPr>
      <w:r w:rsidRPr="00E07050">
        <w:rPr>
          <w:b/>
          <w:bCs/>
        </w:rPr>
        <w:t>Inconvénients</w:t>
      </w:r>
    </w:p>
    <w:p w14:paraId="62E74637" w14:textId="77777777" w:rsidR="00E07050" w:rsidRPr="00E07050" w:rsidRDefault="00E07050" w:rsidP="00E07050">
      <w:pPr>
        <w:spacing w:after="0" w:line="240" w:lineRule="auto"/>
        <w:jc w:val="both"/>
      </w:pPr>
      <w:r w:rsidRPr="00E07050">
        <w:t>- Volume insuffisant pour les besoins annuels</w:t>
      </w:r>
    </w:p>
    <w:p w14:paraId="5D7D9075" w14:textId="77777777" w:rsidR="00E07050" w:rsidRPr="00E07050" w:rsidRDefault="00E07050" w:rsidP="00E07050">
      <w:pPr>
        <w:spacing w:after="0" w:line="240" w:lineRule="auto"/>
        <w:jc w:val="both"/>
      </w:pPr>
      <w:r w:rsidRPr="00E07050">
        <w:t>- Problème sanitaire: stockage trop long ou puisage par les enfants peu soigneux</w:t>
      </w:r>
    </w:p>
    <w:p w14:paraId="351BC899" w14:textId="77777777" w:rsidR="00E07050" w:rsidRPr="00E07050" w:rsidRDefault="00E07050" w:rsidP="00E07050">
      <w:pPr>
        <w:spacing w:after="0" w:line="240" w:lineRule="auto"/>
        <w:jc w:val="both"/>
      </w:pPr>
      <w:r w:rsidRPr="00E07050">
        <w:t>- La corvée d’eau prive les filles de l'école</w:t>
      </w:r>
    </w:p>
    <w:p w14:paraId="05EB653C" w14:textId="77777777" w:rsidR="00E07050" w:rsidRPr="00E07050" w:rsidRDefault="00E07050" w:rsidP="00E07050">
      <w:pPr>
        <w:spacing w:after="0" w:line="240" w:lineRule="auto"/>
        <w:jc w:val="both"/>
      </w:pPr>
      <w:r w:rsidRPr="00E07050">
        <w:t>- Entretien difficile si accès difficile</w:t>
      </w:r>
    </w:p>
    <w:p w14:paraId="2F75EEC2" w14:textId="77777777" w:rsidR="00E07050" w:rsidRDefault="00E07050" w:rsidP="00D37293">
      <w:pPr>
        <w:spacing w:after="0" w:line="240" w:lineRule="auto"/>
        <w:jc w:val="both"/>
      </w:pPr>
    </w:p>
    <w:p w14:paraId="00F3F280" w14:textId="77777777" w:rsidR="00D37293" w:rsidRPr="00D37293" w:rsidRDefault="00D37293" w:rsidP="00D37293">
      <w:pPr>
        <w:spacing w:after="0" w:line="240" w:lineRule="auto"/>
        <w:jc w:val="both"/>
      </w:pPr>
      <w:r w:rsidRPr="00D37293">
        <w:t xml:space="preserve">Sources : a) </w:t>
      </w:r>
      <w:r w:rsidRPr="00D37293">
        <w:rPr>
          <w:i/>
          <w:iCs/>
        </w:rPr>
        <w:t>Les techniques traditionnelles de gestion de l'eau, de la biomasse et de la fertilité des sols</w:t>
      </w:r>
      <w:r w:rsidRPr="00D37293">
        <w:t xml:space="preserve">, Mohomed SABIR, Éric ROOSE &amp; Jomol AL KARKOURI, Chapitre 6, page 139, </w:t>
      </w:r>
      <w:hyperlink r:id="rId3186" w:history="1">
        <w:r w:rsidRPr="00D37293">
          <w:rPr>
            <w:rStyle w:val="Lienhypertexte"/>
          </w:rPr>
          <w:t>http://horizon.documentation.ird.fr/exl-doc/pleins_textes/divers12-09/010054917.pdf</w:t>
        </w:r>
      </w:hyperlink>
      <w:r w:rsidRPr="00D37293">
        <w:t xml:space="preserve"> </w:t>
      </w:r>
    </w:p>
    <w:p w14:paraId="29AACF93" w14:textId="547A12DE" w:rsidR="00D37293" w:rsidRDefault="00D37293" w:rsidP="00D37293">
      <w:pPr>
        <w:spacing w:after="0" w:line="240" w:lineRule="auto"/>
        <w:jc w:val="both"/>
      </w:pPr>
      <w:r w:rsidRPr="00D37293">
        <w:t xml:space="preserve">b) </w:t>
      </w:r>
      <w:hyperlink r:id="rId3187" w:history="1">
        <w:r w:rsidRPr="00D37293">
          <w:rPr>
            <w:rStyle w:val="Lienhypertexte"/>
          </w:rPr>
          <w:t>http://fr.wikipedia.org/wiki/Citerne</w:t>
        </w:r>
      </w:hyperlink>
      <w:r w:rsidRPr="00D37293">
        <w:t xml:space="preserve"> (voir aussi définition d’une citerne dans le glossaire).</w:t>
      </w:r>
    </w:p>
    <w:p w14:paraId="6A32AFD4" w14:textId="77777777" w:rsidR="00A95DE0" w:rsidRPr="00D37293" w:rsidRDefault="00A95DE0" w:rsidP="00D37293">
      <w:pPr>
        <w:spacing w:after="0" w:line="240" w:lineRule="auto"/>
        <w:jc w:val="both"/>
      </w:pPr>
    </w:p>
    <w:tbl>
      <w:tblPr>
        <w:tblStyle w:val="Grilledutableau"/>
        <w:tblW w:w="10426" w:type="dxa"/>
        <w:tblInd w:w="-5" w:type="dxa"/>
        <w:tblLook w:val="04A0" w:firstRow="1" w:lastRow="0" w:firstColumn="1" w:lastColumn="0" w:noHBand="0" w:noVBand="1"/>
      </w:tblPr>
      <w:tblGrid>
        <w:gridCol w:w="3613"/>
        <w:gridCol w:w="3925"/>
        <w:gridCol w:w="2893"/>
      </w:tblGrid>
      <w:tr w:rsidR="00A95DE0" w14:paraId="43BE870C" w14:textId="77777777" w:rsidTr="00A95DE0">
        <w:tc>
          <w:tcPr>
            <w:tcW w:w="3611" w:type="dxa"/>
            <w:tcBorders>
              <w:top w:val="nil"/>
              <w:left w:val="nil"/>
              <w:bottom w:val="nil"/>
              <w:right w:val="nil"/>
            </w:tcBorders>
          </w:tcPr>
          <w:p w14:paraId="40DCF266" w14:textId="77777777" w:rsidR="00A95DE0" w:rsidRDefault="00A95DE0" w:rsidP="001304D1">
            <w:pPr>
              <w:jc w:val="center"/>
            </w:pPr>
            <w:r w:rsidRPr="00D37293">
              <w:rPr>
                <w:noProof/>
              </w:rPr>
              <w:drawing>
                <wp:inline distT="0" distB="0" distL="0" distR="0" wp14:anchorId="7F4FBCA9" wp14:editId="6C76DAA3">
                  <wp:extent cx="1416233" cy="1198245"/>
                  <wp:effectExtent l="0" t="0" r="0" b="1905"/>
                  <wp:docPr id="118794" name="Picture 4" descr="C:\Users\LISAN\Pictures\plantes-halophytes-xerophiles\citern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94" name="Picture 4" descr="C:\Users\LISAN\Pictures\plantes-halophytes-xerophiles\citerne3.jpg"/>
                          <pic:cNvPicPr>
                            <a:picLocks noChangeAspect="1" noChangeArrowheads="1"/>
                          </pic:cNvPicPr>
                        </pic:nvPicPr>
                        <pic:blipFill>
                          <a:blip r:embed="rId3188">
                            <a:extLst>
                              <a:ext uri="{28A0092B-C50C-407E-A947-70E740481C1C}">
                                <a14:useLocalDpi xmlns:a14="http://schemas.microsoft.com/office/drawing/2010/main" val="0"/>
                              </a:ext>
                            </a:extLst>
                          </a:blip>
                          <a:srcRect/>
                          <a:stretch>
                            <a:fillRect/>
                          </a:stretch>
                        </pic:blipFill>
                        <pic:spPr bwMode="auto">
                          <a:xfrm>
                            <a:off x="0" y="0"/>
                            <a:ext cx="1417784" cy="1199557"/>
                          </a:xfrm>
                          <a:prstGeom prst="rect">
                            <a:avLst/>
                          </a:prstGeom>
                          <a:noFill/>
                          <a:ln>
                            <a:noFill/>
                          </a:ln>
                        </pic:spPr>
                      </pic:pic>
                    </a:graphicData>
                  </a:graphic>
                </wp:inline>
              </w:drawing>
            </w:r>
          </w:p>
        </w:tc>
        <w:tc>
          <w:tcPr>
            <w:tcW w:w="3923" w:type="dxa"/>
            <w:tcBorders>
              <w:top w:val="nil"/>
              <w:left w:val="nil"/>
              <w:bottom w:val="nil"/>
              <w:right w:val="nil"/>
            </w:tcBorders>
          </w:tcPr>
          <w:p w14:paraId="774C101D" w14:textId="77777777" w:rsidR="00A95DE0" w:rsidRDefault="00A95DE0" w:rsidP="001304D1">
            <w:pPr>
              <w:jc w:val="center"/>
            </w:pPr>
            <w:r w:rsidRPr="00D37293">
              <w:rPr>
                <w:noProof/>
              </w:rPr>
              <w:drawing>
                <wp:inline distT="0" distB="0" distL="0" distR="0" wp14:anchorId="3D5B9E44" wp14:editId="6FA97F00">
                  <wp:extent cx="1436300" cy="1123702"/>
                  <wp:effectExtent l="0" t="0" r="0" b="635"/>
                  <wp:docPr id="118793" name="Picture 3" descr="C:\Users\LISAN\Pictures\plantes-halophytes-xerophiles\citern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93" name="Picture 3" descr="C:\Users\LISAN\Pictures\plantes-halophytes-xerophiles\citerne4.jpg"/>
                          <pic:cNvPicPr>
                            <a:picLocks noChangeAspect="1" noChangeArrowheads="1"/>
                          </pic:cNvPicPr>
                        </pic:nvPicPr>
                        <pic:blipFill>
                          <a:blip r:embed="rId3189">
                            <a:extLst>
                              <a:ext uri="{28A0092B-C50C-407E-A947-70E740481C1C}">
                                <a14:useLocalDpi xmlns:a14="http://schemas.microsoft.com/office/drawing/2010/main" val="0"/>
                              </a:ext>
                            </a:extLst>
                          </a:blip>
                          <a:srcRect/>
                          <a:stretch>
                            <a:fillRect/>
                          </a:stretch>
                        </pic:blipFill>
                        <pic:spPr bwMode="auto">
                          <a:xfrm>
                            <a:off x="0" y="0"/>
                            <a:ext cx="1439795" cy="1126437"/>
                          </a:xfrm>
                          <a:prstGeom prst="rect">
                            <a:avLst/>
                          </a:prstGeom>
                          <a:noFill/>
                          <a:ln>
                            <a:noFill/>
                          </a:ln>
                        </pic:spPr>
                      </pic:pic>
                    </a:graphicData>
                  </a:graphic>
                </wp:inline>
              </w:drawing>
            </w:r>
          </w:p>
        </w:tc>
        <w:tc>
          <w:tcPr>
            <w:tcW w:w="2892" w:type="dxa"/>
            <w:tcBorders>
              <w:top w:val="nil"/>
              <w:left w:val="nil"/>
              <w:bottom w:val="nil"/>
              <w:right w:val="nil"/>
            </w:tcBorders>
          </w:tcPr>
          <w:p w14:paraId="3C13194E" w14:textId="77777777" w:rsidR="00A95DE0" w:rsidRDefault="00A95DE0" w:rsidP="001304D1">
            <w:pPr>
              <w:jc w:val="center"/>
            </w:pPr>
            <w:r w:rsidRPr="00D37293">
              <w:rPr>
                <w:noProof/>
              </w:rPr>
              <w:drawing>
                <wp:inline distT="0" distB="0" distL="0" distR="0" wp14:anchorId="0CF69FAF" wp14:editId="6C58C22E">
                  <wp:extent cx="1655762" cy="947737"/>
                  <wp:effectExtent l="0" t="0" r="1905" b="5080"/>
                  <wp:docPr id="118792" name="Picture 2" descr="C:\Users\LISAN\Pictures\plantes-halophytes-xerophiles\citerne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92" name="Picture 2" descr="C:\Users\LISAN\Pictures\plantes-halophytes-xerophiles\citerne2_s.jpg"/>
                          <pic:cNvPicPr>
                            <a:picLocks noChangeAspect="1" noChangeArrowheads="1"/>
                          </pic:cNvPicPr>
                        </pic:nvPicPr>
                        <pic:blipFill>
                          <a:blip r:embed="rId3190">
                            <a:extLst>
                              <a:ext uri="{28A0092B-C50C-407E-A947-70E740481C1C}">
                                <a14:useLocalDpi xmlns:a14="http://schemas.microsoft.com/office/drawing/2010/main" val="0"/>
                              </a:ext>
                            </a:extLst>
                          </a:blip>
                          <a:srcRect/>
                          <a:stretch>
                            <a:fillRect/>
                          </a:stretch>
                        </pic:blipFill>
                        <pic:spPr bwMode="auto">
                          <a:xfrm>
                            <a:off x="0" y="0"/>
                            <a:ext cx="1655762" cy="9477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D37293" w14:paraId="2301B6CC" w14:textId="77777777" w:rsidTr="00A95DE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611" w:type="dxa"/>
          </w:tcPr>
          <w:p w14:paraId="7E755CF0" w14:textId="77777777" w:rsidR="00D37293" w:rsidRDefault="00D37293" w:rsidP="00D37293">
            <w:pPr>
              <w:jc w:val="center"/>
            </w:pPr>
          </w:p>
          <w:p w14:paraId="7372B7F3" w14:textId="7B7624F9" w:rsidR="00D37293" w:rsidRDefault="00D37293" w:rsidP="00D37293">
            <w:pPr>
              <w:jc w:val="center"/>
            </w:pPr>
            <w:r w:rsidRPr="00D37293">
              <w:rPr>
                <w:noProof/>
              </w:rPr>
              <w:drawing>
                <wp:inline distT="0" distB="0" distL="0" distR="0" wp14:anchorId="15C3B4A5" wp14:editId="32C343B7">
                  <wp:extent cx="2181225" cy="709555"/>
                  <wp:effectExtent l="0" t="0" r="0" b="0"/>
                  <wp:docPr id="119821" name="Image 14" descr="Matfja dans l-Atl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21" name="Image 14" descr="Matfja dans l-Atlas.jpg"/>
                          <pic:cNvPicPr>
                            <a:picLocks noChangeAspect="1"/>
                          </pic:cNvPicPr>
                        </pic:nvPicPr>
                        <pic:blipFill>
                          <a:blip r:embed="rId3191">
                            <a:extLst>
                              <a:ext uri="{28A0092B-C50C-407E-A947-70E740481C1C}">
                                <a14:useLocalDpi xmlns:a14="http://schemas.microsoft.com/office/drawing/2010/main" val="0"/>
                              </a:ext>
                            </a:extLst>
                          </a:blip>
                          <a:srcRect/>
                          <a:stretch>
                            <a:fillRect/>
                          </a:stretch>
                        </pic:blipFill>
                        <pic:spPr bwMode="auto">
                          <a:xfrm>
                            <a:off x="0" y="0"/>
                            <a:ext cx="2183664" cy="710348"/>
                          </a:xfrm>
                          <a:prstGeom prst="rect">
                            <a:avLst/>
                          </a:prstGeom>
                          <a:noFill/>
                          <a:ln>
                            <a:noFill/>
                          </a:ln>
                        </pic:spPr>
                      </pic:pic>
                    </a:graphicData>
                  </a:graphic>
                </wp:inline>
              </w:drawing>
            </w:r>
          </w:p>
          <w:p w14:paraId="252FC77A" w14:textId="6060C518" w:rsidR="00D37293" w:rsidRPr="00D37293" w:rsidRDefault="00D37293" w:rsidP="00D37293">
            <w:pPr>
              <w:jc w:val="center"/>
            </w:pPr>
            <w:r w:rsidRPr="00D37293">
              <w:t>Matfia dans l'Atlas</w:t>
            </w:r>
            <w:r>
              <w:t>.</w:t>
            </w:r>
          </w:p>
        </w:tc>
        <w:tc>
          <w:tcPr>
            <w:tcW w:w="3923" w:type="dxa"/>
          </w:tcPr>
          <w:p w14:paraId="33CFEAE8" w14:textId="77777777" w:rsidR="00D37293" w:rsidRDefault="00D37293" w:rsidP="00D37293">
            <w:pPr>
              <w:jc w:val="center"/>
            </w:pPr>
            <w:r w:rsidRPr="00D37293">
              <w:rPr>
                <w:noProof/>
              </w:rPr>
              <w:drawing>
                <wp:inline distT="0" distB="0" distL="0" distR="0" wp14:anchorId="62298917" wp14:editId="6E7D3396">
                  <wp:extent cx="2381250" cy="1447800"/>
                  <wp:effectExtent l="0" t="0" r="0" b="0"/>
                  <wp:docPr id="119819" name="Picture 5" descr="C:\Users\LISAN\Documents\DVD-DevDurable\eau\eau-Potabilisation-GestionDeLEau-Irrigation\irrigation-stockage-eau\images\cister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19" name="Picture 5" descr="C:\Users\LISAN\Documents\DVD-DevDurable\eau\eau-Potabilisation-GestionDeLEau-Irrigation\irrigation-stockage-eau\images\cisterns.jpg"/>
                          <pic:cNvPicPr>
                            <a:picLocks noChangeAspect="1" noChangeArrowheads="1"/>
                          </pic:cNvPicPr>
                        </pic:nvPicPr>
                        <pic:blipFill>
                          <a:blip r:embed="rId3192">
                            <a:extLst>
                              <a:ext uri="{28A0092B-C50C-407E-A947-70E740481C1C}">
                                <a14:useLocalDpi xmlns:a14="http://schemas.microsoft.com/office/drawing/2010/main" val="0"/>
                              </a:ext>
                            </a:extLst>
                          </a:blip>
                          <a:srcRect/>
                          <a:stretch>
                            <a:fillRect/>
                          </a:stretch>
                        </pic:blipFill>
                        <pic:spPr bwMode="auto">
                          <a:xfrm>
                            <a:off x="0" y="0"/>
                            <a:ext cx="2381250" cy="144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3504667E" w14:textId="1DB96D19" w:rsidR="00D37293" w:rsidRPr="00D37293" w:rsidRDefault="00D37293" w:rsidP="00D37293">
            <w:pPr>
              <w:jc w:val="center"/>
            </w:pPr>
            <w:r w:rsidRPr="00D37293">
              <w:t>Matfia dans l'Atlas</w:t>
            </w:r>
          </w:p>
        </w:tc>
        <w:tc>
          <w:tcPr>
            <w:tcW w:w="2892" w:type="dxa"/>
          </w:tcPr>
          <w:p w14:paraId="157C9F19" w14:textId="77777777" w:rsidR="00D37293" w:rsidRDefault="00E07050" w:rsidP="00D37293">
            <w:pPr>
              <w:jc w:val="center"/>
            </w:pPr>
            <w:r w:rsidRPr="00E07050">
              <w:rPr>
                <w:noProof/>
              </w:rPr>
              <w:drawing>
                <wp:inline distT="0" distB="0" distL="0" distR="0" wp14:anchorId="56FC0F7B" wp14:editId="1EEAD873">
                  <wp:extent cx="1719263" cy="1300163"/>
                  <wp:effectExtent l="0" t="0" r="0" b="0"/>
                  <wp:docPr id="120845" name="Picture 13" descr="C:\Users\LISAN\Pictures\plantes-halophytes-xerophiles\Citerne traditionnelle collect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45" name="Picture 13" descr="C:\Users\LISAN\Pictures\plantes-halophytes-xerophiles\Citerne traditionnelle collective.jpg"/>
                          <pic:cNvPicPr>
                            <a:picLocks noChangeAspect="1" noChangeArrowheads="1"/>
                          </pic:cNvPicPr>
                        </pic:nvPicPr>
                        <pic:blipFill>
                          <a:blip r:embed="rId3193">
                            <a:extLst>
                              <a:ext uri="{28A0092B-C50C-407E-A947-70E740481C1C}">
                                <a14:useLocalDpi xmlns:a14="http://schemas.microsoft.com/office/drawing/2010/main" val="0"/>
                              </a:ext>
                            </a:extLst>
                          </a:blip>
                          <a:srcRect/>
                          <a:stretch>
                            <a:fillRect/>
                          </a:stretch>
                        </pic:blipFill>
                        <pic:spPr bwMode="auto">
                          <a:xfrm>
                            <a:off x="0" y="0"/>
                            <a:ext cx="1719263" cy="13001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4DCBB15" w14:textId="6C47C9E8" w:rsidR="00E07050" w:rsidRPr="00D37293" w:rsidRDefault="00E07050" w:rsidP="00E07050">
            <w:pPr>
              <w:jc w:val="center"/>
            </w:pPr>
            <w:r w:rsidRPr="00E07050">
              <w:t>Citerne traditionnelle collective (ici à </w:t>
            </w:r>
            <w:hyperlink r:id="rId3194" w:history="1">
              <w:r w:rsidRPr="00E07050">
                <w:rPr>
                  <w:rStyle w:val="Lienhypertexte"/>
                </w:rPr>
                <w:t xml:space="preserve">La </w:t>
              </w:r>
            </w:hyperlink>
            <w:hyperlink r:id="rId3195" w:history="1">
              <w:r w:rsidRPr="00E07050">
                <w:rPr>
                  <w:rStyle w:val="Lienhypertexte"/>
                </w:rPr>
                <w:t>Malga</w:t>
              </w:r>
            </w:hyperlink>
            <w:r w:rsidRPr="00E07050">
              <w:t>)</w:t>
            </w:r>
            <w:r>
              <w:t>.</w:t>
            </w:r>
          </w:p>
        </w:tc>
      </w:tr>
    </w:tbl>
    <w:p w14:paraId="27E15DB1" w14:textId="77777777" w:rsidR="00DC2D54" w:rsidRPr="00F727E5" w:rsidRDefault="00DC2D54" w:rsidP="00575E83">
      <w:pPr>
        <w:spacing w:after="0" w:line="240" w:lineRule="auto"/>
        <w:jc w:val="both"/>
      </w:pPr>
    </w:p>
    <w:tbl>
      <w:tblPr>
        <w:tblStyle w:val="Grilledutableau"/>
        <w:tblW w:w="0" w:type="auto"/>
        <w:jc w:val="center"/>
        <w:tblLook w:val="04A0" w:firstRow="1" w:lastRow="0" w:firstColumn="1" w:lastColumn="0" w:noHBand="0" w:noVBand="1"/>
      </w:tblPr>
      <w:tblGrid>
        <w:gridCol w:w="5245"/>
        <w:gridCol w:w="5181"/>
      </w:tblGrid>
      <w:tr w:rsidR="001431AA" w:rsidRPr="009954D2" w14:paraId="776B51A3" w14:textId="77777777" w:rsidTr="00D37293">
        <w:trPr>
          <w:jc w:val="center"/>
        </w:trPr>
        <w:tc>
          <w:tcPr>
            <w:tcW w:w="5245" w:type="dxa"/>
            <w:tcBorders>
              <w:top w:val="nil"/>
              <w:left w:val="nil"/>
              <w:bottom w:val="nil"/>
              <w:right w:val="nil"/>
            </w:tcBorders>
          </w:tcPr>
          <w:p w14:paraId="6381AC96" w14:textId="77777777" w:rsidR="001431AA" w:rsidRPr="009954D2" w:rsidRDefault="001431AA" w:rsidP="001431AA">
            <w:pPr>
              <w:jc w:val="center"/>
              <w:rPr>
                <w:rFonts w:ascii="Calibri" w:hAnsi="Calibri" w:cs="Calibri"/>
              </w:rPr>
            </w:pPr>
            <w:r w:rsidRPr="009954D2">
              <w:rPr>
                <w:rFonts w:ascii="Calibri" w:hAnsi="Calibri" w:cs="Calibri"/>
                <w:noProof/>
              </w:rPr>
              <w:lastRenderedPageBreak/>
              <w:drawing>
                <wp:inline distT="0" distB="0" distL="0" distR="0" wp14:anchorId="7E000E41" wp14:editId="632FD816">
                  <wp:extent cx="2847975" cy="1600200"/>
                  <wp:effectExtent l="0" t="0" r="9525" b="0"/>
                  <wp:docPr id="6149" name="Picture 5" descr="C:\Users\LISAN\Documents\DVD-DevDurable\eau\eau-Potabilisation-GestionDeLEau-Irrigation\irrigation-stockage-eau\images\Traditional water harvesting cistern in Yemen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9" name="Picture 5" descr="C:\Users\LISAN\Documents\DVD-DevDurable\eau\eau-Potabilisation-GestionDeLEau-Irrigation\irrigation-stockage-eau\images\Traditional water harvesting cistern in Yemen_s.jpg"/>
                          <pic:cNvPicPr>
                            <a:picLocks noChangeAspect="1" noChangeArrowheads="1"/>
                          </pic:cNvPicPr>
                        </pic:nvPicPr>
                        <pic:blipFill>
                          <a:blip r:embed="rId3196">
                            <a:extLst>
                              <a:ext uri="{28A0092B-C50C-407E-A947-70E740481C1C}">
                                <a14:useLocalDpi xmlns:a14="http://schemas.microsoft.com/office/drawing/2010/main" val="0"/>
                              </a:ext>
                            </a:extLst>
                          </a:blip>
                          <a:srcRect/>
                          <a:stretch>
                            <a:fillRect/>
                          </a:stretch>
                        </pic:blipFill>
                        <pic:spPr bwMode="auto">
                          <a:xfrm>
                            <a:off x="0" y="0"/>
                            <a:ext cx="2847975" cy="160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6BA25FF4" w14:textId="5B1F1960" w:rsidR="001431AA" w:rsidRPr="009954D2" w:rsidRDefault="001431AA" w:rsidP="00A95DE0">
            <w:pPr>
              <w:pStyle w:val="NormalWeb"/>
              <w:spacing w:before="0" w:beforeAutospacing="0" w:after="0" w:afterAutospacing="0"/>
              <w:jc w:val="center"/>
              <w:textAlignment w:val="baseline"/>
              <w:rPr>
                <w:rFonts w:ascii="Calibri" w:hAnsi="Calibri" w:cs="Calibri"/>
                <w:sz w:val="22"/>
                <w:szCs w:val="22"/>
              </w:rPr>
            </w:pPr>
            <w:r w:rsidRPr="00A948B1">
              <w:rPr>
                <w:rFonts w:ascii="Calibri" w:eastAsia="+mn-ea" w:hAnsi="Calibri" w:cs="Calibri"/>
                <w:kern w:val="24"/>
                <w:sz w:val="22"/>
                <w:szCs w:val="22"/>
              </w:rPr>
              <w:t>Citerne traditionnelle au Yémen</w:t>
            </w:r>
          </w:p>
        </w:tc>
        <w:tc>
          <w:tcPr>
            <w:tcW w:w="5181" w:type="dxa"/>
            <w:tcBorders>
              <w:top w:val="nil"/>
              <w:left w:val="nil"/>
              <w:bottom w:val="nil"/>
              <w:right w:val="nil"/>
            </w:tcBorders>
          </w:tcPr>
          <w:p w14:paraId="4F4813B2" w14:textId="77777777" w:rsidR="001431AA" w:rsidRPr="009954D2" w:rsidRDefault="001431AA" w:rsidP="001431AA">
            <w:pPr>
              <w:jc w:val="center"/>
              <w:rPr>
                <w:rFonts w:ascii="Calibri" w:hAnsi="Calibri" w:cs="Calibri"/>
              </w:rPr>
            </w:pPr>
            <w:r w:rsidRPr="009954D2">
              <w:rPr>
                <w:rFonts w:ascii="Calibri" w:hAnsi="Calibri" w:cs="Calibri"/>
                <w:noProof/>
              </w:rPr>
              <w:drawing>
                <wp:inline distT="0" distB="0" distL="0" distR="0" wp14:anchorId="3D81A33A" wp14:editId="315FBCBE">
                  <wp:extent cx="2457450" cy="1257300"/>
                  <wp:effectExtent l="0" t="0" r="0" b="0"/>
                  <wp:docPr id="6151" name="Picture 6" descr="C:\Users\LISAN\Documents\DVD-DevDurable\eau\eau-Potabilisation-GestionDeLEau-Irrigation\irrigation-stockage-eau\images\citern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1" name="Picture 6" descr="C:\Users\LISAN\Documents\DVD-DevDurable\eau\eau-Potabilisation-GestionDeLEau-Irrigation\irrigation-stockage-eau\images\citerne_s.jpg"/>
                          <pic:cNvPicPr>
                            <a:picLocks noChangeAspect="1" noChangeArrowheads="1"/>
                          </pic:cNvPicPr>
                        </pic:nvPicPr>
                        <pic:blipFill>
                          <a:blip r:embed="rId3197">
                            <a:extLst>
                              <a:ext uri="{28A0092B-C50C-407E-A947-70E740481C1C}">
                                <a14:useLocalDpi xmlns:a14="http://schemas.microsoft.com/office/drawing/2010/main" val="0"/>
                              </a:ext>
                            </a:extLst>
                          </a:blip>
                          <a:srcRect/>
                          <a:stretch>
                            <a:fillRect/>
                          </a:stretch>
                        </pic:blipFill>
                        <pic:spPr bwMode="auto">
                          <a:xfrm>
                            <a:off x="0" y="0"/>
                            <a:ext cx="2457450" cy="1257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B286304" w14:textId="77777777" w:rsidR="001431AA" w:rsidRPr="009954D2" w:rsidRDefault="001431AA" w:rsidP="001431AA">
            <w:pPr>
              <w:pStyle w:val="NormalWeb"/>
              <w:spacing w:before="0" w:beforeAutospacing="0" w:after="0" w:afterAutospacing="0"/>
              <w:jc w:val="center"/>
              <w:textAlignment w:val="baseline"/>
              <w:rPr>
                <w:rFonts w:ascii="Calibri" w:hAnsi="Calibri" w:cs="Calibri"/>
                <w:sz w:val="22"/>
                <w:szCs w:val="22"/>
              </w:rPr>
            </w:pPr>
            <w:r w:rsidRPr="00A948B1">
              <w:rPr>
                <w:rFonts w:ascii="Calibri" w:eastAsia="+mn-ea" w:hAnsi="Calibri" w:cs="Calibri"/>
                <w:kern w:val="24"/>
                <w:sz w:val="22"/>
                <w:szCs w:val="22"/>
              </w:rPr>
              <w:t>Construction d’une citerne en Syrie</w:t>
            </w:r>
          </w:p>
        </w:tc>
      </w:tr>
    </w:tbl>
    <w:p w14:paraId="60DF6951" w14:textId="75D843FB" w:rsidR="00E07050" w:rsidRDefault="00E07050" w:rsidP="00A95DE0">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2"/>
        <w:gridCol w:w="4184"/>
      </w:tblGrid>
      <w:tr w:rsidR="00E07050" w14:paraId="60D1ADB6" w14:textId="77777777" w:rsidTr="00E07050">
        <w:tc>
          <w:tcPr>
            <w:tcW w:w="6232" w:type="dxa"/>
          </w:tcPr>
          <w:p w14:paraId="6E619E88" w14:textId="77777777" w:rsidR="00E07050" w:rsidRDefault="00E07050" w:rsidP="00D37293">
            <w:pPr>
              <w:jc w:val="center"/>
            </w:pPr>
            <w:r w:rsidRPr="00E07050">
              <w:rPr>
                <w:noProof/>
              </w:rPr>
              <w:drawing>
                <wp:inline distT="0" distB="0" distL="0" distR="0" wp14:anchorId="0E18573B" wp14:editId="56D71E91">
                  <wp:extent cx="3636963" cy="3132137"/>
                  <wp:effectExtent l="0" t="0" r="1905" b="0"/>
                  <wp:docPr id="120839" name="Image 7" descr="Citerne_schema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39" name="Image 7" descr="Citerne_schema_s.jpg"/>
                          <pic:cNvPicPr>
                            <a:picLocks noChangeAspect="1"/>
                          </pic:cNvPicPr>
                        </pic:nvPicPr>
                        <pic:blipFill>
                          <a:blip r:embed="rId3198">
                            <a:extLst>
                              <a:ext uri="{28A0092B-C50C-407E-A947-70E740481C1C}">
                                <a14:useLocalDpi xmlns:a14="http://schemas.microsoft.com/office/drawing/2010/main" val="0"/>
                              </a:ext>
                            </a:extLst>
                          </a:blip>
                          <a:srcRect/>
                          <a:stretch>
                            <a:fillRect/>
                          </a:stretch>
                        </pic:blipFill>
                        <pic:spPr bwMode="auto">
                          <a:xfrm>
                            <a:off x="0" y="0"/>
                            <a:ext cx="3636963" cy="3132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BE119AB" w14:textId="77777777" w:rsidR="00E07050" w:rsidRDefault="00E07050" w:rsidP="00E07050">
            <w:pPr>
              <w:jc w:val="both"/>
            </w:pPr>
          </w:p>
          <w:p w14:paraId="21936665" w14:textId="5BD37FF7" w:rsidR="00E07050" w:rsidRDefault="00E07050" w:rsidP="00E07050">
            <w:pPr>
              <w:jc w:val="both"/>
            </w:pPr>
            <w:r w:rsidRPr="00E07050">
              <w:t>Construction de citernes de quelques m3 à quelques dizaines de m3 de capacité pour collecter et stocker les eaux pluviales pour l’alimentation en eaux potables et pour l’abreuvement du cheptel dans les zones rurales et dans les parcours.</w:t>
            </w:r>
          </w:p>
        </w:tc>
        <w:tc>
          <w:tcPr>
            <w:tcW w:w="4184" w:type="dxa"/>
          </w:tcPr>
          <w:p w14:paraId="6CD21845" w14:textId="5DE39EEA" w:rsidR="00E07050" w:rsidRDefault="00E07050" w:rsidP="00D37293">
            <w:pPr>
              <w:jc w:val="center"/>
            </w:pPr>
            <w:r w:rsidRPr="00E07050">
              <w:rPr>
                <w:noProof/>
              </w:rPr>
              <w:drawing>
                <wp:inline distT="0" distB="0" distL="0" distR="0" wp14:anchorId="47BEF08A" wp14:editId="031EC95C">
                  <wp:extent cx="1971675" cy="914400"/>
                  <wp:effectExtent l="0" t="0" r="9525" b="0"/>
                  <wp:docPr id="120842" name="Picture 2" descr="C:\Users\LISAN\Pictures\plantes-halophytes-xerophiles\citer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42" name="Picture 2" descr="C:\Users\LISAN\Pictures\plantes-halophytes-xerophiles\citerne.jpg"/>
                          <pic:cNvPicPr>
                            <a:picLocks noChangeAspect="1" noChangeArrowheads="1"/>
                          </pic:cNvPicPr>
                        </pic:nvPicPr>
                        <pic:blipFill>
                          <a:blip r:embed="rId3199">
                            <a:extLst>
                              <a:ext uri="{28A0092B-C50C-407E-A947-70E740481C1C}">
                                <a14:useLocalDpi xmlns:a14="http://schemas.microsoft.com/office/drawing/2010/main" val="0"/>
                              </a:ext>
                            </a:extLst>
                          </a:blip>
                          <a:srcRect/>
                          <a:stretch>
                            <a:fillRect/>
                          </a:stretch>
                        </pic:blipFill>
                        <pic:spPr bwMode="auto">
                          <a:xfrm>
                            <a:off x="0" y="0"/>
                            <a:ext cx="1971675"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0546D8C" w14:textId="60D42F97" w:rsidR="00E07050" w:rsidRDefault="00E07050" w:rsidP="00D37293">
            <w:pPr>
              <w:jc w:val="center"/>
            </w:pPr>
            <w:r w:rsidRPr="00E07050">
              <w:t>Citerne pour la collecte des eaux pluviales pour l'alimentation en eau potable (zone de Ksar Jedid - Medenine - Tunisie).</w:t>
            </w:r>
          </w:p>
          <w:p w14:paraId="2ECBF062" w14:textId="6EFCA1A5" w:rsidR="00E07050" w:rsidRDefault="00E07050" w:rsidP="00D37293">
            <w:pPr>
              <w:jc w:val="center"/>
            </w:pPr>
          </w:p>
        </w:tc>
      </w:tr>
    </w:tbl>
    <w:p w14:paraId="04B4E22F" w14:textId="531D4F3E" w:rsidR="00E07050" w:rsidRDefault="00E07050" w:rsidP="00D37293">
      <w:pPr>
        <w:spacing w:after="0" w:line="240" w:lineRule="auto"/>
        <w:jc w:val="center"/>
      </w:pPr>
    </w:p>
    <w:p w14:paraId="10A32A2B" w14:textId="77777777" w:rsidR="00A95DE0" w:rsidRDefault="00A95DE0" w:rsidP="00A95DE0">
      <w:pPr>
        <w:spacing w:after="0" w:line="240" w:lineRule="auto"/>
        <w:jc w:val="center"/>
      </w:pPr>
      <w:r w:rsidRPr="00D37293">
        <w:rPr>
          <w:noProof/>
        </w:rPr>
        <w:drawing>
          <wp:inline distT="0" distB="0" distL="0" distR="0" wp14:anchorId="26C8E2ED" wp14:editId="03B65F84">
            <wp:extent cx="4981575" cy="1966912"/>
            <wp:effectExtent l="0" t="0" r="0" b="0"/>
            <wp:docPr id="119815" name="Image 6" descr="matfia_etatiq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15" name="Image 6" descr="matfia_etatique.jpg"/>
                    <pic:cNvPicPr>
                      <a:picLocks noChangeAspect="1"/>
                    </pic:cNvPicPr>
                  </pic:nvPicPr>
                  <pic:blipFill>
                    <a:blip r:embed="rId3200">
                      <a:extLst>
                        <a:ext uri="{28A0092B-C50C-407E-A947-70E740481C1C}">
                          <a14:useLocalDpi xmlns:a14="http://schemas.microsoft.com/office/drawing/2010/main" val="0"/>
                        </a:ext>
                      </a:extLst>
                    </a:blip>
                    <a:srcRect/>
                    <a:stretch>
                      <a:fillRect/>
                    </a:stretch>
                  </pic:blipFill>
                  <pic:spPr bwMode="auto">
                    <a:xfrm>
                      <a:off x="0" y="0"/>
                      <a:ext cx="4981575" cy="19669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E95757B" w14:textId="77777777" w:rsidR="00A95DE0" w:rsidRDefault="00A95DE0" w:rsidP="00A95DE0">
      <w:pPr>
        <w:spacing w:after="0" w:line="240" w:lineRule="auto"/>
        <w:jc w:val="center"/>
      </w:pPr>
      <w:r w:rsidRPr="00D37293">
        <w:t xml:space="preserve">Une </w:t>
      </w:r>
      <w:r w:rsidRPr="00D37293">
        <w:rPr>
          <w:i/>
          <w:iCs/>
        </w:rPr>
        <w:t>matfia</w:t>
      </w:r>
      <w:r w:rsidRPr="00D37293">
        <w:t xml:space="preserve"> étatique (makhzen) (d'après EL FASSKAOUI, 2007)</w:t>
      </w:r>
      <w:r>
        <w:t>.</w:t>
      </w:r>
    </w:p>
    <w:p w14:paraId="2675CF6C" w14:textId="77777777" w:rsidR="00A95DE0" w:rsidRPr="00D37293" w:rsidRDefault="00A95DE0" w:rsidP="00D37293">
      <w:pPr>
        <w:spacing w:after="0" w:line="240" w:lineRule="auto"/>
        <w:jc w:val="center"/>
      </w:pPr>
    </w:p>
    <w:p w14:paraId="4A59FC4E" w14:textId="5C2241D3" w:rsidR="00D37293" w:rsidRDefault="00E07050" w:rsidP="00E07050">
      <w:pPr>
        <w:pStyle w:val="Titre2"/>
      </w:pPr>
      <w:bookmarkStart w:id="242" w:name="_Toc139181533"/>
      <w:r w:rsidRPr="00E07050">
        <w:lastRenderedPageBreak/>
        <w:t>Cuvettes en demi-lunes</w:t>
      </w:r>
      <w:bookmarkEnd w:id="242"/>
    </w:p>
    <w:p w14:paraId="29442A40" w14:textId="77777777" w:rsidR="00E07050" w:rsidRDefault="00E07050" w:rsidP="00D37293">
      <w:pPr>
        <w:spacing w:after="0" w:line="240" w:lineRule="auto"/>
      </w:pPr>
    </w:p>
    <w:p w14:paraId="2895AF1A" w14:textId="77777777" w:rsidR="00E07050" w:rsidRPr="00E07050" w:rsidRDefault="00E07050" w:rsidP="00E07050">
      <w:pPr>
        <w:spacing w:after="0" w:line="240" w:lineRule="auto"/>
        <w:jc w:val="both"/>
      </w:pPr>
      <w:r w:rsidRPr="00E07050">
        <w:t>C’est une diguette en forme de demi-lune (diamètre de 2 m à 6 m) qui permet de concentrer le ruissellement et sa charge en suspension sur des arbustes ou des cultures en poquets. L’extrémité de la diguette peut être protégée par des cailloux.</w:t>
      </w:r>
    </w:p>
    <w:p w14:paraId="116B4D7E" w14:textId="37494DE3" w:rsidR="00E07050" w:rsidRDefault="00E07050" w:rsidP="00E07050">
      <w:pPr>
        <w:spacing w:after="0" w:line="240" w:lineRule="auto"/>
        <w:jc w:val="both"/>
      </w:pPr>
      <w:r w:rsidRPr="00E07050">
        <w:t>Le cordon pierreux et la demi-lune ont permis la recolonisation totale du sol nu par une végétation herbacée, au bout de deux ans (Van der Pool et Kaya, 1991, cités par DRSPR, 1992).</w:t>
      </w:r>
    </w:p>
    <w:p w14:paraId="54FD23DE" w14:textId="77777777" w:rsidR="008834F7" w:rsidRPr="008834F7" w:rsidRDefault="008834F7" w:rsidP="008834F7">
      <w:pPr>
        <w:spacing w:after="0" w:line="240" w:lineRule="auto"/>
        <w:jc w:val="both"/>
      </w:pPr>
      <w:r w:rsidRPr="008834F7">
        <w:t>Une autre technique de piégeage des eaux de surface consiste à creuser des cuvettes de plantations d'arbres (fruitiers ou autres) et de les entourer de bourrelets en demi-lune faits de terre tassée, souvent recouverte de pierres. Leurs diamètres varient de 0,50 à 2 m et la profondeur de 15 à 25 cm. Les bourrelets ont une hauteur de 15 à 25 cm et une largeur moyenne de 25 cm. Ils peuvent être renforcés par des pierres issues de l'épierrage du champ. Les cuvettes sont disposées en quinconce et espacées de 4 à 10 m. Elles sont ouvertes face au sommet de la pente pour capter le ruissellement produit par les impluviums souvent constitués de terrains peu perméables, incultes ou rocheux, voués au parcours extensif des troupeaux. Les espacements entre les lignes sont variables (de 7 à 15 m) selon le type d'arbre, la pente du terrain et l'aridité.</w:t>
      </w:r>
    </w:p>
    <w:p w14:paraId="0E55D531" w14:textId="77777777" w:rsidR="008834F7" w:rsidRPr="008834F7" w:rsidRDefault="008834F7" w:rsidP="008834F7">
      <w:pPr>
        <w:spacing w:after="0" w:line="240" w:lineRule="auto"/>
        <w:jc w:val="both"/>
      </w:pPr>
      <w:r w:rsidRPr="008834F7">
        <w:t xml:space="preserve">Source : </w:t>
      </w:r>
      <w:r w:rsidRPr="008834F7">
        <w:rPr>
          <w:i/>
          <w:iCs/>
        </w:rPr>
        <w:t>L'eau et les hommes au Maghreb: contribution à une politique de l'eau en Méditerranée</w:t>
      </w:r>
      <w:r w:rsidRPr="008834F7">
        <w:t xml:space="preserve">, Jean Jacques Perennes, KARTHALA Editions, 1993. </w:t>
      </w:r>
    </w:p>
    <w:p w14:paraId="0A500946" w14:textId="21882DB0" w:rsidR="00D37293" w:rsidRDefault="00D37293" w:rsidP="00E07050">
      <w:pPr>
        <w:spacing w:after="0" w:line="240" w:lineRule="auto"/>
        <w:jc w:val="both"/>
      </w:pPr>
    </w:p>
    <w:p w14:paraId="5E51271B" w14:textId="1A0A3DA9" w:rsidR="008834F7" w:rsidRPr="008834F7" w:rsidRDefault="008834F7" w:rsidP="008834F7">
      <w:pPr>
        <w:spacing w:after="0" w:line="240" w:lineRule="auto"/>
        <w:jc w:val="both"/>
      </w:pPr>
      <w:r w:rsidRPr="008834F7">
        <w:rPr>
          <w:b/>
          <w:bCs/>
        </w:rPr>
        <w:t>Principe</w:t>
      </w:r>
      <w:r w:rsidRPr="008834F7">
        <w:t xml:space="preserve"> on creuse une cuvette en demi-cercle. La terre de déblais est déposée en un bourrelet qui récupèrera l’eau de ruissellement. On dispose les demi-lunes en quinconce avec 4m d’entrelignes. Mélangée à de la fumure, la terre de la cuvette</w:t>
      </w:r>
      <w:r>
        <w:t xml:space="preserve"> </w:t>
      </w:r>
      <w:r w:rsidRPr="008834F7">
        <w:t>conservera l’humidité.</w:t>
      </w:r>
    </w:p>
    <w:p w14:paraId="6A561F8E" w14:textId="7D0DEF63" w:rsidR="008834F7" w:rsidRPr="008834F7" w:rsidRDefault="008834F7" w:rsidP="008834F7">
      <w:pPr>
        <w:spacing w:after="0" w:line="240" w:lineRule="auto"/>
        <w:jc w:val="both"/>
      </w:pPr>
      <w:r w:rsidRPr="008834F7">
        <w:rPr>
          <w:b/>
          <w:bCs/>
        </w:rPr>
        <w:t xml:space="preserve">Pré requis </w:t>
      </w:r>
      <w:r w:rsidRPr="008834F7">
        <w:t>disponibilité de main d’</w:t>
      </w:r>
      <w:r>
        <w:t xml:space="preserve">œuvre, </w:t>
      </w:r>
      <w:r w:rsidRPr="008834F7">
        <w:t>fumure et petit matériel agricole. Déconseillé au-delà de 600 mm de précipitations.</w:t>
      </w:r>
    </w:p>
    <w:p w14:paraId="0505883F" w14:textId="77777777" w:rsidR="008834F7" w:rsidRPr="008834F7" w:rsidRDefault="008834F7" w:rsidP="008834F7">
      <w:pPr>
        <w:spacing w:after="0" w:line="240" w:lineRule="auto"/>
        <w:jc w:val="both"/>
      </w:pPr>
      <w:r w:rsidRPr="008834F7">
        <w:rPr>
          <w:b/>
          <w:bCs/>
        </w:rPr>
        <w:t xml:space="preserve">Effets concrets </w:t>
      </w:r>
      <w:r w:rsidRPr="008834F7">
        <w:t>remise en culture de terres pauvres (céréales, pâturages, forêts). Effet dès la première année. La combinaison demi-lune et fumure produit d’environ 1T/ha de sorgho grain.</w:t>
      </w:r>
    </w:p>
    <w:p w14:paraId="40487D74" w14:textId="77777777" w:rsidR="008834F7" w:rsidRPr="008834F7" w:rsidRDefault="008834F7" w:rsidP="008834F7">
      <w:pPr>
        <w:spacing w:after="0" w:line="240" w:lineRule="auto"/>
        <w:jc w:val="both"/>
      </w:pPr>
      <w:r w:rsidRPr="008834F7">
        <w:rPr>
          <w:b/>
          <w:bCs/>
        </w:rPr>
        <w:t>Coût</w:t>
      </w:r>
      <w:r w:rsidRPr="008834F7">
        <w:t xml:space="preserve"> petit matériel pour creuser, niveau à eau et charrette pour amener le fumier. Environ 75€/ha.</w:t>
      </w:r>
    </w:p>
    <w:p w14:paraId="004D793B" w14:textId="77777777" w:rsidR="008834F7" w:rsidRDefault="008834F7" w:rsidP="00E07050">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2D09ED" w14:paraId="6D04A752" w14:textId="77777777" w:rsidTr="008834F7">
        <w:tc>
          <w:tcPr>
            <w:tcW w:w="5208" w:type="dxa"/>
          </w:tcPr>
          <w:p w14:paraId="50DB7F62" w14:textId="77777777" w:rsidR="002D09ED" w:rsidRDefault="002D09ED" w:rsidP="002D09ED">
            <w:pPr>
              <w:jc w:val="center"/>
            </w:pPr>
            <w:r w:rsidRPr="002D09ED">
              <w:rPr>
                <w:noProof/>
              </w:rPr>
              <w:drawing>
                <wp:inline distT="0" distB="0" distL="0" distR="0" wp14:anchorId="372ED260" wp14:editId="2DAAE9DE">
                  <wp:extent cx="3092031" cy="1762125"/>
                  <wp:effectExtent l="0" t="0" r="0" b="0"/>
                  <wp:docPr id="121863" name="Image 8" descr="micro-bassi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63" name="Image 8" descr="micro-bassins.jpg"/>
                          <pic:cNvPicPr>
                            <a:picLocks noChangeAspect="1"/>
                          </pic:cNvPicPr>
                        </pic:nvPicPr>
                        <pic:blipFill>
                          <a:blip r:embed="rId3201">
                            <a:extLst>
                              <a:ext uri="{28A0092B-C50C-407E-A947-70E740481C1C}">
                                <a14:useLocalDpi xmlns:a14="http://schemas.microsoft.com/office/drawing/2010/main" val="0"/>
                              </a:ext>
                            </a:extLst>
                          </a:blip>
                          <a:srcRect/>
                          <a:stretch>
                            <a:fillRect/>
                          </a:stretch>
                        </pic:blipFill>
                        <pic:spPr bwMode="auto">
                          <a:xfrm>
                            <a:off x="0" y="0"/>
                            <a:ext cx="3096097" cy="1764442"/>
                          </a:xfrm>
                          <a:prstGeom prst="rect">
                            <a:avLst/>
                          </a:prstGeom>
                          <a:noFill/>
                          <a:ln>
                            <a:noFill/>
                          </a:ln>
                        </pic:spPr>
                      </pic:pic>
                    </a:graphicData>
                  </a:graphic>
                </wp:inline>
              </w:drawing>
            </w:r>
          </w:p>
          <w:p w14:paraId="692FF671" w14:textId="4E4BF6CC" w:rsidR="002D09ED" w:rsidRDefault="002D09ED" w:rsidP="002D09ED">
            <w:pPr>
              <w:jc w:val="center"/>
            </w:pPr>
            <w:r w:rsidRPr="002D09ED">
              <w:t>Les micro-bassins : demi-lunes et cuvettes</w:t>
            </w:r>
            <w:r w:rsidR="00461975">
              <w:rPr>
                <w:rStyle w:val="Appelnotedebasdep"/>
              </w:rPr>
              <w:footnoteReference w:id="171"/>
            </w:r>
            <w:r>
              <w:t>.</w:t>
            </w:r>
          </w:p>
        </w:tc>
        <w:tc>
          <w:tcPr>
            <w:tcW w:w="5208" w:type="dxa"/>
          </w:tcPr>
          <w:p w14:paraId="43BBBD7A" w14:textId="77777777" w:rsidR="002D09ED" w:rsidRDefault="002D09ED" w:rsidP="002D09ED">
            <w:pPr>
              <w:jc w:val="center"/>
            </w:pPr>
            <w:r w:rsidRPr="002D09ED">
              <w:rPr>
                <w:noProof/>
              </w:rPr>
              <w:drawing>
                <wp:inline distT="0" distB="0" distL="0" distR="0" wp14:anchorId="7B43D56C" wp14:editId="504678C1">
                  <wp:extent cx="3043971" cy="1901626"/>
                  <wp:effectExtent l="0" t="0" r="4445" b="3810"/>
                  <wp:docPr id="121865" name="Image 10" descr="Meska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65" name="Image 10" descr="Meskat2.jpg"/>
                          <pic:cNvPicPr>
                            <a:picLocks noChangeAspect="1"/>
                          </pic:cNvPicPr>
                        </pic:nvPicPr>
                        <pic:blipFill>
                          <a:blip r:embed="rId3202">
                            <a:extLst>
                              <a:ext uri="{28A0092B-C50C-407E-A947-70E740481C1C}">
                                <a14:useLocalDpi xmlns:a14="http://schemas.microsoft.com/office/drawing/2010/main" val="0"/>
                              </a:ext>
                            </a:extLst>
                          </a:blip>
                          <a:srcRect/>
                          <a:stretch>
                            <a:fillRect/>
                          </a:stretch>
                        </pic:blipFill>
                        <pic:spPr bwMode="auto">
                          <a:xfrm>
                            <a:off x="0" y="0"/>
                            <a:ext cx="3060081" cy="1911690"/>
                          </a:xfrm>
                          <a:prstGeom prst="rect">
                            <a:avLst/>
                          </a:prstGeom>
                          <a:noFill/>
                          <a:ln>
                            <a:noFill/>
                          </a:ln>
                        </pic:spPr>
                      </pic:pic>
                    </a:graphicData>
                  </a:graphic>
                </wp:inline>
              </w:drawing>
            </w:r>
          </w:p>
          <w:p w14:paraId="454A6A23" w14:textId="77777777" w:rsidR="00554C3E" w:rsidRDefault="00554C3E" w:rsidP="002D09ED">
            <w:pPr>
              <w:jc w:val="both"/>
            </w:pPr>
          </w:p>
          <w:p w14:paraId="2FFC76D7" w14:textId="0367EF0D" w:rsidR="00554C3E" w:rsidRDefault="002D09ED" w:rsidP="002D09ED">
            <w:pPr>
              <w:jc w:val="both"/>
            </w:pPr>
            <w:r w:rsidRPr="002D09ED">
              <w:t xml:space="preserve">Cuvette individuelle avec </w:t>
            </w:r>
            <w:r w:rsidRPr="002D09ED">
              <w:rPr>
                <w:i/>
                <w:iCs/>
              </w:rPr>
              <w:t>impluvium</w:t>
            </w:r>
            <w:r w:rsidRPr="002D09ED">
              <w:t xml:space="preserve"> (système Meskat ou Meskal)</w:t>
            </w:r>
            <w:r>
              <w:t xml:space="preserve">. </w:t>
            </w:r>
          </w:p>
          <w:p w14:paraId="700E3B45" w14:textId="33BE8B8D" w:rsidR="002D09ED" w:rsidRDefault="002D09ED" w:rsidP="002D09ED">
            <w:pPr>
              <w:jc w:val="both"/>
            </w:pPr>
            <w:r>
              <w:t>Légendes : Sens de la pente, Oliviers, Impluvium spécifique de la cuvette, Bourrelet croissant de la cuvette.</w:t>
            </w:r>
          </w:p>
        </w:tc>
      </w:tr>
    </w:tbl>
    <w:p w14:paraId="6249C6CB" w14:textId="3F71945F" w:rsidR="00700580" w:rsidRDefault="00700580" w:rsidP="008834F7">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46"/>
        <w:gridCol w:w="5080"/>
      </w:tblGrid>
      <w:tr w:rsidR="008834F7" w14:paraId="51FDFCDC" w14:textId="77777777" w:rsidTr="008834F7">
        <w:tc>
          <w:tcPr>
            <w:tcW w:w="5208" w:type="dxa"/>
          </w:tcPr>
          <w:p w14:paraId="72EA3CCA" w14:textId="08E97673" w:rsidR="008834F7" w:rsidRDefault="008834F7" w:rsidP="00462373">
            <w:pPr>
              <w:jc w:val="center"/>
            </w:pPr>
            <w:r w:rsidRPr="008834F7">
              <w:rPr>
                <w:noProof/>
              </w:rPr>
              <w:lastRenderedPageBreak/>
              <w:drawing>
                <wp:inline distT="0" distB="0" distL="0" distR="0" wp14:anchorId="7F71CF59" wp14:editId="4C2C84AA">
                  <wp:extent cx="3143250" cy="1971675"/>
                  <wp:effectExtent l="0" t="0" r="0" b="9525"/>
                  <wp:docPr id="122890" name="Picture 4" descr="C:\Users\LISAN\Documents\DeveloppementDurable\botanique\irrigation-stockage-eau\images\demi-lune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90" name="Picture 4" descr="C:\Users\LISAN\Documents\DeveloppementDurable\botanique\irrigation-stockage-eau\images\demi-lune2_s.jpg"/>
                          <pic:cNvPicPr>
                            <a:picLocks noChangeAspect="1" noChangeArrowheads="1"/>
                          </pic:cNvPicPr>
                        </pic:nvPicPr>
                        <pic:blipFill>
                          <a:blip r:embed="rId3203">
                            <a:extLst>
                              <a:ext uri="{28A0092B-C50C-407E-A947-70E740481C1C}">
                                <a14:useLocalDpi xmlns:a14="http://schemas.microsoft.com/office/drawing/2010/main" val="0"/>
                              </a:ext>
                            </a:extLst>
                          </a:blip>
                          <a:srcRect/>
                          <a:stretch>
                            <a:fillRect/>
                          </a:stretch>
                        </pic:blipFill>
                        <pic:spPr bwMode="auto">
                          <a:xfrm>
                            <a:off x="0" y="0"/>
                            <a:ext cx="3143250" cy="1971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208" w:type="dxa"/>
          </w:tcPr>
          <w:p w14:paraId="1F2B0F7D" w14:textId="564D776B" w:rsidR="008834F7" w:rsidRDefault="008834F7" w:rsidP="00462373">
            <w:pPr>
              <w:jc w:val="center"/>
            </w:pPr>
            <w:r w:rsidRPr="008834F7">
              <w:rPr>
                <w:noProof/>
              </w:rPr>
              <w:drawing>
                <wp:inline distT="0" distB="0" distL="0" distR="0" wp14:anchorId="69331248" wp14:editId="47B8E902">
                  <wp:extent cx="2005660" cy="1562100"/>
                  <wp:effectExtent l="0" t="0" r="0" b="0"/>
                  <wp:docPr id="122888" name="Picture 2" descr="C:\Users\LISAN\Documents\DeveloppementDurable\botanique\irrigation-stockage-eau\images\Demi Lunes basin rehabilitate degraded land and support a crop of millet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88" name="Picture 2" descr="C:\Users\LISAN\Documents\DeveloppementDurable\botanique\irrigation-stockage-eau\images\Demi Lunes basin rehabilitate degraded land and support a crop of millet_s.jpg"/>
                          <pic:cNvPicPr>
                            <a:picLocks noChangeAspect="1" noChangeArrowheads="1"/>
                          </pic:cNvPicPr>
                        </pic:nvPicPr>
                        <pic:blipFill>
                          <a:blip r:embed="rId3204">
                            <a:extLst>
                              <a:ext uri="{28A0092B-C50C-407E-A947-70E740481C1C}">
                                <a14:useLocalDpi xmlns:a14="http://schemas.microsoft.com/office/drawing/2010/main" val="0"/>
                              </a:ext>
                            </a:extLst>
                          </a:blip>
                          <a:srcRect/>
                          <a:stretch>
                            <a:fillRect/>
                          </a:stretch>
                        </pic:blipFill>
                        <pic:spPr bwMode="auto">
                          <a:xfrm>
                            <a:off x="0" y="0"/>
                            <a:ext cx="2009963" cy="1565451"/>
                          </a:xfrm>
                          <a:prstGeom prst="rect">
                            <a:avLst/>
                          </a:prstGeom>
                          <a:noFill/>
                          <a:ln>
                            <a:noFill/>
                          </a:ln>
                        </pic:spPr>
                      </pic:pic>
                    </a:graphicData>
                  </a:graphic>
                </wp:inline>
              </w:drawing>
            </w:r>
            <w:r>
              <w:t xml:space="preserve"> </w:t>
            </w:r>
          </w:p>
        </w:tc>
      </w:tr>
      <w:tr w:rsidR="008834F7" w14:paraId="3E05C608" w14:textId="77777777" w:rsidTr="008834F7">
        <w:tc>
          <w:tcPr>
            <w:tcW w:w="5208" w:type="dxa"/>
          </w:tcPr>
          <w:p w14:paraId="79BA0F1D" w14:textId="77777777" w:rsidR="008834F7" w:rsidRDefault="008834F7" w:rsidP="00462373">
            <w:pPr>
              <w:jc w:val="center"/>
            </w:pPr>
          </w:p>
          <w:p w14:paraId="17DA6495" w14:textId="4CF8A40B" w:rsidR="008834F7" w:rsidRDefault="008834F7" w:rsidP="00462373">
            <w:pPr>
              <w:jc w:val="center"/>
            </w:pPr>
            <w:r w:rsidRPr="008834F7">
              <w:rPr>
                <w:noProof/>
              </w:rPr>
              <w:drawing>
                <wp:inline distT="0" distB="0" distL="0" distR="0" wp14:anchorId="6FC82451" wp14:editId="6C261828">
                  <wp:extent cx="3248025" cy="847725"/>
                  <wp:effectExtent l="0" t="0" r="9525" b="9525"/>
                  <wp:docPr id="122891" name="Picture 5" descr="C:\Users\LISAN\Documents\DeveloppementDurable\botanique\irrigation-stockage-eau\images\demi-lune3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91" name="Picture 5" descr="C:\Users\LISAN\Documents\DeveloppementDurable\botanique\irrigation-stockage-eau\images\demi-lune3_s.jpg"/>
                          <pic:cNvPicPr>
                            <a:picLocks noChangeAspect="1" noChangeArrowheads="1"/>
                          </pic:cNvPicPr>
                        </pic:nvPicPr>
                        <pic:blipFill>
                          <a:blip r:embed="rId3205">
                            <a:extLst>
                              <a:ext uri="{28A0092B-C50C-407E-A947-70E740481C1C}">
                                <a14:useLocalDpi xmlns:a14="http://schemas.microsoft.com/office/drawing/2010/main" val="0"/>
                              </a:ext>
                            </a:extLst>
                          </a:blip>
                          <a:srcRect/>
                          <a:stretch>
                            <a:fillRect/>
                          </a:stretch>
                        </pic:blipFill>
                        <pic:spPr bwMode="auto">
                          <a:xfrm>
                            <a:off x="0" y="0"/>
                            <a:ext cx="3248025" cy="847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208" w:type="dxa"/>
          </w:tcPr>
          <w:p w14:paraId="20E90EDD" w14:textId="77777777" w:rsidR="008834F7" w:rsidRDefault="008834F7" w:rsidP="00462373">
            <w:pPr>
              <w:jc w:val="center"/>
            </w:pPr>
            <w:r w:rsidRPr="008834F7">
              <w:rPr>
                <w:noProof/>
              </w:rPr>
              <w:drawing>
                <wp:inline distT="0" distB="0" distL="0" distR="0" wp14:anchorId="331A9D35" wp14:editId="1F0DB620">
                  <wp:extent cx="1857375" cy="1504950"/>
                  <wp:effectExtent l="0" t="0" r="9525" b="0"/>
                  <wp:docPr id="122889" name="Picture 3" descr="C:\Users\LISAN\Documents\DeveloppementDurable\botanique\irrigation-stockage-eau\images\demi-lun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89" name="Picture 3" descr="C:\Users\LISAN\Documents\DeveloppementDurable\botanique\irrigation-stockage-eau\images\demi-lune_s.jpg"/>
                          <pic:cNvPicPr>
                            <a:picLocks noChangeAspect="1" noChangeArrowheads="1"/>
                          </pic:cNvPicPr>
                        </pic:nvPicPr>
                        <pic:blipFill>
                          <a:blip r:embed="rId3206">
                            <a:extLst>
                              <a:ext uri="{28A0092B-C50C-407E-A947-70E740481C1C}">
                                <a14:useLocalDpi xmlns:a14="http://schemas.microsoft.com/office/drawing/2010/main" val="0"/>
                              </a:ext>
                            </a:extLst>
                          </a:blip>
                          <a:srcRect/>
                          <a:stretch>
                            <a:fillRect/>
                          </a:stretch>
                        </pic:blipFill>
                        <pic:spPr bwMode="auto">
                          <a:xfrm>
                            <a:off x="0" y="0"/>
                            <a:ext cx="1857375" cy="1504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305167BF" w14:textId="71E2B28F" w:rsidR="008834F7" w:rsidRDefault="008834F7" w:rsidP="00462373">
            <w:pPr>
              <w:jc w:val="center"/>
            </w:pPr>
          </w:p>
        </w:tc>
      </w:tr>
      <w:tr w:rsidR="008834F7" w14:paraId="4943BF2B" w14:textId="77777777" w:rsidTr="008834F7">
        <w:tc>
          <w:tcPr>
            <w:tcW w:w="5208" w:type="dxa"/>
          </w:tcPr>
          <w:p w14:paraId="7E8AEADB" w14:textId="1F7410F3" w:rsidR="008834F7" w:rsidRDefault="008834F7" w:rsidP="00462373">
            <w:pPr>
              <w:jc w:val="center"/>
            </w:pPr>
            <w:r w:rsidRPr="008834F7">
              <w:rPr>
                <w:noProof/>
              </w:rPr>
              <w:drawing>
                <wp:inline distT="0" distB="0" distL="0" distR="0" wp14:anchorId="42BAF0FA" wp14:editId="18BB713A">
                  <wp:extent cx="1933575" cy="1268413"/>
                  <wp:effectExtent l="0" t="0" r="0" b="8255"/>
                  <wp:docPr id="122892" name="Picture 12" descr="C:\Users\LISAN\Documents\DVD-DevDurable\eau\eau-Potabilisation-GestionDeLEau-Irrigation\irrigation-stockage-eau\images\An eyebrow terrace supporting fig trees with additional runoff wa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92" name="Picture 12" descr="C:\Users\LISAN\Documents\DVD-DevDurable\eau\eau-Potabilisation-GestionDeLEau-Irrigation\irrigation-stockage-eau\images\An eyebrow terrace supporting fig trees with additional runoff water.jpg"/>
                          <pic:cNvPicPr>
                            <a:picLocks noChangeAspect="1" noChangeArrowheads="1"/>
                          </pic:cNvPicPr>
                        </pic:nvPicPr>
                        <pic:blipFill>
                          <a:blip r:embed="rId3207">
                            <a:extLst>
                              <a:ext uri="{28A0092B-C50C-407E-A947-70E740481C1C}">
                                <a14:useLocalDpi xmlns:a14="http://schemas.microsoft.com/office/drawing/2010/main" val="0"/>
                              </a:ext>
                            </a:extLst>
                          </a:blip>
                          <a:srcRect/>
                          <a:stretch>
                            <a:fillRect/>
                          </a:stretch>
                        </pic:blipFill>
                        <pic:spPr bwMode="auto">
                          <a:xfrm>
                            <a:off x="0" y="0"/>
                            <a:ext cx="1933575" cy="12684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208" w:type="dxa"/>
          </w:tcPr>
          <w:p w14:paraId="3260DE7A" w14:textId="1BCFDED3" w:rsidR="008834F7" w:rsidRDefault="008834F7" w:rsidP="00462373">
            <w:pPr>
              <w:jc w:val="center"/>
            </w:pPr>
            <w:r w:rsidRPr="008834F7">
              <w:rPr>
                <w:noProof/>
              </w:rPr>
              <w:drawing>
                <wp:inline distT="0" distB="0" distL="0" distR="0" wp14:anchorId="10A40A1D" wp14:editId="73AD65BD">
                  <wp:extent cx="1609725" cy="1463219"/>
                  <wp:effectExtent l="0" t="0" r="0" b="3810"/>
                  <wp:docPr id="122893" name="Picture 13" descr="C:\Users\LISAN\Documents\DVD-DevDurable\eau\eau-Potabilisation-GestionDeLEau-Irrigation\irrigation-stockage-eau\images\banse_semi_lunair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93" name="Picture 13" descr="C:\Users\LISAN\Documents\DVD-DevDurable\eau\eau-Potabilisation-GestionDeLEau-Irrigation\irrigation-stockage-eau\images\banse_semi_lunaire_s.jpg"/>
                          <pic:cNvPicPr>
                            <a:picLocks noChangeAspect="1" noChangeArrowheads="1"/>
                          </pic:cNvPicPr>
                        </pic:nvPicPr>
                        <pic:blipFill>
                          <a:blip r:embed="rId3208">
                            <a:extLst>
                              <a:ext uri="{28A0092B-C50C-407E-A947-70E740481C1C}">
                                <a14:useLocalDpi xmlns:a14="http://schemas.microsoft.com/office/drawing/2010/main" val="0"/>
                              </a:ext>
                            </a:extLst>
                          </a:blip>
                          <a:srcRect/>
                          <a:stretch>
                            <a:fillRect/>
                          </a:stretch>
                        </pic:blipFill>
                        <pic:spPr bwMode="auto">
                          <a:xfrm>
                            <a:off x="0" y="0"/>
                            <a:ext cx="1611924" cy="1465218"/>
                          </a:xfrm>
                          <a:prstGeom prst="rect">
                            <a:avLst/>
                          </a:prstGeom>
                          <a:noFill/>
                          <a:ln>
                            <a:noFill/>
                          </a:ln>
                        </pic:spPr>
                      </pic:pic>
                    </a:graphicData>
                  </a:graphic>
                </wp:inline>
              </w:drawing>
            </w:r>
          </w:p>
        </w:tc>
      </w:tr>
      <w:tr w:rsidR="008834F7" w14:paraId="48ECD26C" w14:textId="77777777" w:rsidTr="008834F7">
        <w:tc>
          <w:tcPr>
            <w:tcW w:w="5208" w:type="dxa"/>
          </w:tcPr>
          <w:p w14:paraId="0C86BFB9" w14:textId="3158683E" w:rsidR="008834F7" w:rsidRPr="008834F7" w:rsidRDefault="008834F7" w:rsidP="00462373">
            <w:pPr>
              <w:jc w:val="center"/>
            </w:pPr>
            <w:r w:rsidRPr="008834F7">
              <w:rPr>
                <w:noProof/>
              </w:rPr>
              <w:drawing>
                <wp:inline distT="0" distB="0" distL="0" distR="0" wp14:anchorId="27A3D7C2" wp14:editId="53990105">
                  <wp:extent cx="2571750" cy="1562100"/>
                  <wp:effectExtent l="0" t="0" r="0" b="0"/>
                  <wp:docPr id="123914" name="Picture 4" descr="C:\Users\LISAN\Documents\DeveloppementDurable\botanique\irrigation-stockage-eau\images\Negarim system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14" name="Picture 4" descr="C:\Users\LISAN\Documents\DeveloppementDurable\botanique\irrigation-stockage-eau\images\Negarim system_s.jpg"/>
                          <pic:cNvPicPr>
                            <a:picLocks noChangeAspect="1" noChangeArrowheads="1"/>
                          </pic:cNvPicPr>
                        </pic:nvPicPr>
                        <pic:blipFill>
                          <a:blip r:embed="rId3209">
                            <a:extLst>
                              <a:ext uri="{28A0092B-C50C-407E-A947-70E740481C1C}">
                                <a14:useLocalDpi xmlns:a14="http://schemas.microsoft.com/office/drawing/2010/main" val="0"/>
                              </a:ext>
                            </a:extLst>
                          </a:blip>
                          <a:srcRect/>
                          <a:stretch>
                            <a:fillRect/>
                          </a:stretch>
                        </pic:blipFill>
                        <pic:spPr bwMode="auto">
                          <a:xfrm>
                            <a:off x="0" y="0"/>
                            <a:ext cx="2571750" cy="156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208" w:type="dxa"/>
          </w:tcPr>
          <w:p w14:paraId="21ADE3ED" w14:textId="77777777" w:rsidR="008834F7" w:rsidRDefault="008834F7" w:rsidP="00462373">
            <w:pPr>
              <w:jc w:val="center"/>
            </w:pPr>
          </w:p>
          <w:p w14:paraId="2875C3FF" w14:textId="27EBF1F4" w:rsidR="008834F7" w:rsidRPr="008834F7" w:rsidRDefault="008834F7" w:rsidP="00462373">
            <w:pPr>
              <w:jc w:val="center"/>
            </w:pPr>
            <w:r>
              <w:rPr>
                <w:noProof/>
              </w:rPr>
              <w:drawing>
                <wp:inline distT="0" distB="0" distL="0" distR="0" wp14:anchorId="628BFFB0" wp14:editId="3974B2B5">
                  <wp:extent cx="1553425" cy="1123950"/>
                  <wp:effectExtent l="0" t="0" r="8890" b="0"/>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10">
                            <a:extLst>
                              <a:ext uri="{28A0092B-C50C-407E-A947-70E740481C1C}">
                                <a14:useLocalDpi xmlns:a14="http://schemas.microsoft.com/office/drawing/2010/main" val="0"/>
                              </a:ext>
                            </a:extLst>
                          </a:blip>
                          <a:srcRect/>
                          <a:stretch>
                            <a:fillRect/>
                          </a:stretch>
                        </pic:blipFill>
                        <pic:spPr bwMode="auto">
                          <a:xfrm>
                            <a:off x="0" y="0"/>
                            <a:ext cx="1565774" cy="1132885"/>
                          </a:xfrm>
                          <a:prstGeom prst="rect">
                            <a:avLst/>
                          </a:prstGeom>
                          <a:noFill/>
                          <a:ln>
                            <a:noFill/>
                          </a:ln>
                        </pic:spPr>
                      </pic:pic>
                    </a:graphicData>
                  </a:graphic>
                </wp:inline>
              </w:drawing>
            </w:r>
            <w:r>
              <w:t xml:space="preserve"> </w:t>
            </w:r>
            <w:r>
              <w:object w:dxaOrig="2655" w:dyaOrig="1950" w14:anchorId="5073E5DA">
                <v:shape id="_x0000_i1026" type="#_x0000_t75" style="width:115.5pt;height:86.25pt" o:ole="">
                  <v:imagedata r:id="rId3211" o:title=""/>
                </v:shape>
                <o:OLEObject Type="Embed" ProgID="PBrush" ShapeID="_x0000_i1026" DrawAspect="Content" ObjectID="_1749797424" r:id="rId3212"/>
              </w:object>
            </w:r>
          </w:p>
        </w:tc>
      </w:tr>
    </w:tbl>
    <w:p w14:paraId="0355E60B" w14:textId="270DBD1D" w:rsidR="008834F7" w:rsidRDefault="008834F7" w:rsidP="00462373">
      <w:pPr>
        <w:spacing w:after="0" w:line="240" w:lineRule="auto"/>
      </w:pPr>
    </w:p>
    <w:p w14:paraId="551CB5FC" w14:textId="723C6B37" w:rsidR="008834F7" w:rsidRDefault="00462373" w:rsidP="00462373">
      <w:pPr>
        <w:pStyle w:val="Titre2"/>
      </w:pPr>
      <w:bookmarkStart w:id="243" w:name="_Toc139181534"/>
      <w:r w:rsidRPr="00462373">
        <w:t>Negarim</w:t>
      </w:r>
      <w:bookmarkEnd w:id="243"/>
    </w:p>
    <w:p w14:paraId="12EA03C9" w14:textId="369FF197" w:rsidR="00462373" w:rsidRDefault="00462373" w:rsidP="00462373">
      <w:pPr>
        <w:spacing w:after="0" w:line="240" w:lineRule="auto"/>
      </w:pPr>
    </w:p>
    <w:p w14:paraId="3103F0D8" w14:textId="43C50E4E" w:rsidR="00462373" w:rsidRDefault="00462373" w:rsidP="00462373">
      <w:pPr>
        <w:spacing w:after="0" w:line="240" w:lineRule="auto"/>
        <w:jc w:val="both"/>
      </w:pPr>
      <w:r w:rsidRPr="00462373">
        <w:t>Ce sont micro-bassins versants, en forme de diamant, fermés par de petites digues de terre, avec un puits d'infiltration dans le coin le plus bas.</w:t>
      </w:r>
    </w:p>
    <w:p w14:paraId="1A830765" w14:textId="79C2A4AB" w:rsidR="00462373" w:rsidRDefault="000F4FF4" w:rsidP="000F4FF4">
      <w:pPr>
        <w:spacing w:after="0" w:line="240" w:lineRule="auto"/>
        <w:jc w:val="center"/>
      </w:pPr>
      <w:r w:rsidRPr="000F4FF4">
        <w:rPr>
          <w:noProof/>
        </w:rPr>
        <w:lastRenderedPageBreak/>
        <w:drawing>
          <wp:inline distT="0" distB="0" distL="0" distR="0" wp14:anchorId="12120120" wp14:editId="57C1E41E">
            <wp:extent cx="4149725" cy="1731962"/>
            <wp:effectExtent l="0" t="0" r="3175" b="1905"/>
            <wp:docPr id="126986" name="Picture 4" descr="C:\Users\LISAN\Documents\DeveloppementDurable\botanique\irrigation-stockage-eau\images\Microcatchment uni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86" name="Picture 4" descr="C:\Users\LISAN\Documents\DeveloppementDurable\botanique\irrigation-stockage-eau\images\Microcatchment unit.gif"/>
                    <pic:cNvPicPr>
                      <a:picLocks noChangeAspect="1" noChangeArrowheads="1"/>
                    </pic:cNvPicPr>
                  </pic:nvPicPr>
                  <pic:blipFill>
                    <a:blip r:embed="rId3213">
                      <a:extLst>
                        <a:ext uri="{28A0092B-C50C-407E-A947-70E740481C1C}">
                          <a14:useLocalDpi xmlns:a14="http://schemas.microsoft.com/office/drawing/2010/main" val="0"/>
                        </a:ext>
                      </a:extLst>
                    </a:blip>
                    <a:srcRect/>
                    <a:stretch>
                      <a:fillRect/>
                    </a:stretch>
                  </pic:blipFill>
                  <pic:spPr bwMode="auto">
                    <a:xfrm>
                      <a:off x="0" y="0"/>
                      <a:ext cx="4149725" cy="17319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3B342843" w14:textId="47E184EA" w:rsidR="000F4FF4" w:rsidRDefault="000F4FF4" w:rsidP="000F4FF4">
      <w:pPr>
        <w:spacing w:after="0" w:line="240" w:lineRule="auto"/>
        <w:jc w:val="center"/>
      </w:pPr>
      <w:r>
        <w:t xml:space="preserve">Légende : Site de plantation, </w:t>
      </w:r>
      <w:r w:rsidRPr="000F4FF4">
        <w:t>Fosse d'infiltration</w:t>
      </w:r>
      <w:r>
        <w:t>, butte de terre (pas à l’échelle).</w:t>
      </w:r>
    </w:p>
    <w:p w14:paraId="2B1D1063" w14:textId="31B4E3A5" w:rsidR="000F4FF4" w:rsidRDefault="000F4FF4" w:rsidP="000F4FF4">
      <w:pPr>
        <w:spacing w:after="0" w:line="240" w:lineRule="auto"/>
        <w:jc w:val="cente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0F4FF4" w14:paraId="55C61B0F" w14:textId="77777777" w:rsidTr="000F4FF4">
        <w:tc>
          <w:tcPr>
            <w:tcW w:w="5208" w:type="dxa"/>
          </w:tcPr>
          <w:p w14:paraId="153B6821" w14:textId="77777777" w:rsidR="000F4FF4" w:rsidRDefault="000F4FF4" w:rsidP="000F4FF4">
            <w:pPr>
              <w:jc w:val="center"/>
            </w:pPr>
            <w:r w:rsidRPr="000F4FF4">
              <w:rPr>
                <w:noProof/>
              </w:rPr>
              <w:drawing>
                <wp:inline distT="0" distB="0" distL="0" distR="0" wp14:anchorId="33C4DBA5" wp14:editId="222B0F27">
                  <wp:extent cx="2352675" cy="1943100"/>
                  <wp:effectExtent l="0" t="0" r="9525" b="0"/>
                  <wp:docPr id="126989" name="Image 12" descr="negari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89" name="Image 12" descr="negarim.jpg"/>
                          <pic:cNvPicPr>
                            <a:picLocks noChangeAspect="1"/>
                          </pic:cNvPicPr>
                        </pic:nvPicPr>
                        <pic:blipFill>
                          <a:blip r:embed="rId3214">
                            <a:extLst>
                              <a:ext uri="{28A0092B-C50C-407E-A947-70E740481C1C}">
                                <a14:useLocalDpi xmlns:a14="http://schemas.microsoft.com/office/drawing/2010/main" val="0"/>
                              </a:ext>
                            </a:extLst>
                          </a:blip>
                          <a:srcRect/>
                          <a:stretch>
                            <a:fillRect/>
                          </a:stretch>
                        </pic:blipFill>
                        <pic:spPr bwMode="auto">
                          <a:xfrm>
                            <a:off x="0" y="0"/>
                            <a:ext cx="2352675" cy="1943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FF6A749" w14:textId="1E82A688" w:rsidR="000F4FF4" w:rsidRDefault="000F4FF4" w:rsidP="000F4FF4">
            <w:pPr>
              <w:jc w:val="center"/>
            </w:pPr>
          </w:p>
        </w:tc>
        <w:tc>
          <w:tcPr>
            <w:tcW w:w="5208" w:type="dxa"/>
          </w:tcPr>
          <w:p w14:paraId="247C75F6" w14:textId="30D859BE" w:rsidR="000F4FF4" w:rsidRDefault="000F4FF4" w:rsidP="000F4FF4">
            <w:pPr>
              <w:jc w:val="center"/>
            </w:pPr>
            <w:r w:rsidRPr="000F4FF4">
              <w:rPr>
                <w:noProof/>
              </w:rPr>
              <w:drawing>
                <wp:inline distT="0" distB="0" distL="0" distR="0" wp14:anchorId="76F7ACBB" wp14:editId="16AA728E">
                  <wp:extent cx="1852612" cy="1830388"/>
                  <wp:effectExtent l="0" t="0" r="0" b="0"/>
                  <wp:docPr id="126987" name="Picture 5" descr="C:\Users\LISAN\Documents\DeveloppementDurable\botanique\irrigation-stockage-eau\images\Microcatchment system_Negarim microcatchment for tree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87" name="Picture 5" descr="C:\Users\LISAN\Documents\DeveloppementDurable\botanique\irrigation-stockage-eau\images\Microcatchment system_Negarim microcatchment for trees.gif"/>
                          <pic:cNvPicPr>
                            <a:picLocks noChangeAspect="1" noChangeArrowheads="1"/>
                          </pic:cNvPicPr>
                        </pic:nvPicPr>
                        <pic:blipFill>
                          <a:blip r:embed="rId3215">
                            <a:extLst>
                              <a:ext uri="{28A0092B-C50C-407E-A947-70E740481C1C}">
                                <a14:useLocalDpi xmlns:a14="http://schemas.microsoft.com/office/drawing/2010/main" val="0"/>
                              </a:ext>
                            </a:extLst>
                          </a:blip>
                          <a:srcRect/>
                          <a:stretch>
                            <a:fillRect/>
                          </a:stretch>
                        </pic:blipFill>
                        <pic:spPr bwMode="auto">
                          <a:xfrm>
                            <a:off x="0" y="0"/>
                            <a:ext cx="1852612" cy="18303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0F4FF4" w14:paraId="2BAEDDC3" w14:textId="77777777" w:rsidTr="000F4FF4">
        <w:tc>
          <w:tcPr>
            <w:tcW w:w="5208" w:type="dxa"/>
          </w:tcPr>
          <w:p w14:paraId="2C08ED3C" w14:textId="38B752DD" w:rsidR="000F4FF4" w:rsidRDefault="000F4FF4" w:rsidP="000F4FF4">
            <w:pPr>
              <w:jc w:val="center"/>
            </w:pPr>
            <w:r w:rsidRPr="000F4FF4">
              <w:rPr>
                <w:noProof/>
              </w:rPr>
              <w:drawing>
                <wp:inline distT="0" distB="0" distL="0" distR="0" wp14:anchorId="6BF2AF77" wp14:editId="5842577F">
                  <wp:extent cx="2771775" cy="1800225"/>
                  <wp:effectExtent l="0" t="0" r="9525" b="9525"/>
                  <wp:docPr id="126983" name="Picture 2" descr="C:\Users\LISAN\Documents\DeveloppementDurable\botanique\irrigation-stockage-eau\images\negarim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83" name="Picture 2" descr="C:\Users\LISAN\Documents\DeveloppementDurable\botanique\irrigation-stockage-eau\images\negarim2_s.jpg"/>
                          <pic:cNvPicPr>
                            <a:picLocks noChangeAspect="1" noChangeArrowheads="1"/>
                          </pic:cNvPicPr>
                        </pic:nvPicPr>
                        <pic:blipFill>
                          <a:blip r:embed="rId3216">
                            <a:extLst>
                              <a:ext uri="{28A0092B-C50C-407E-A947-70E740481C1C}">
                                <a14:useLocalDpi xmlns:a14="http://schemas.microsoft.com/office/drawing/2010/main" val="0"/>
                              </a:ext>
                            </a:extLst>
                          </a:blip>
                          <a:srcRect/>
                          <a:stretch>
                            <a:fillRect/>
                          </a:stretch>
                        </pic:blipFill>
                        <pic:spPr bwMode="auto">
                          <a:xfrm>
                            <a:off x="0" y="0"/>
                            <a:ext cx="2771775" cy="1800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208" w:type="dxa"/>
          </w:tcPr>
          <w:p w14:paraId="6D81E804" w14:textId="1CA262A7" w:rsidR="000F4FF4" w:rsidRDefault="000F4FF4" w:rsidP="000F4FF4">
            <w:pPr>
              <w:jc w:val="center"/>
            </w:pPr>
            <w:r w:rsidRPr="000F4FF4">
              <w:rPr>
                <w:noProof/>
              </w:rPr>
              <w:drawing>
                <wp:inline distT="0" distB="0" distL="0" distR="0" wp14:anchorId="1CAF59FE" wp14:editId="0E1C1707">
                  <wp:extent cx="2752725" cy="1447800"/>
                  <wp:effectExtent l="0" t="0" r="9525" b="0"/>
                  <wp:docPr id="126985" name="Picture 5" descr="C:\Users\LISAN\Documents\DeveloppementDurable\botanique\irrigation-stockage-eau\images\negarim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85" name="Picture 5" descr="C:\Users\LISAN\Documents\DeveloppementDurable\botanique\irrigation-stockage-eau\images\negarim_s.jpg"/>
                          <pic:cNvPicPr>
                            <a:picLocks noChangeAspect="1" noChangeArrowheads="1"/>
                          </pic:cNvPicPr>
                        </pic:nvPicPr>
                        <pic:blipFill>
                          <a:blip r:embed="rId3217">
                            <a:extLst>
                              <a:ext uri="{28A0092B-C50C-407E-A947-70E740481C1C}">
                                <a14:useLocalDpi xmlns:a14="http://schemas.microsoft.com/office/drawing/2010/main" val="0"/>
                              </a:ext>
                            </a:extLst>
                          </a:blip>
                          <a:srcRect/>
                          <a:stretch>
                            <a:fillRect/>
                          </a:stretch>
                        </pic:blipFill>
                        <pic:spPr bwMode="auto">
                          <a:xfrm>
                            <a:off x="0" y="0"/>
                            <a:ext cx="2752725" cy="144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7A99242A" w14:textId="6992C0C8" w:rsidR="000F4FF4" w:rsidRDefault="000F4FF4" w:rsidP="000F4FF4">
      <w:pPr>
        <w:spacing w:after="0" w:line="240" w:lineRule="auto"/>
        <w:jc w:val="center"/>
      </w:pPr>
      <w:r w:rsidRPr="000F4FF4">
        <w:rPr>
          <w:noProof/>
        </w:rPr>
        <w:drawing>
          <wp:inline distT="0" distB="0" distL="0" distR="0" wp14:anchorId="3DFAB3EA" wp14:editId="55D4EA21">
            <wp:extent cx="2600325" cy="1314450"/>
            <wp:effectExtent l="0" t="0" r="9525" b="0"/>
            <wp:docPr id="126984" name="Picture 3" descr="C:\Users\LISAN\Documents\DeveloppementDurable\botanique\irrigation-stockage-eau\images\Negarim microcatchment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84" name="Picture 3" descr="C:\Users\LISAN\Documents\DeveloppementDurable\botanique\irrigation-stockage-eau\images\Negarim microcatchment2_s.jpg"/>
                    <pic:cNvPicPr>
                      <a:picLocks noChangeAspect="1" noChangeArrowheads="1"/>
                    </pic:cNvPicPr>
                  </pic:nvPicPr>
                  <pic:blipFill>
                    <a:blip r:embed="rId3218">
                      <a:extLst>
                        <a:ext uri="{28A0092B-C50C-407E-A947-70E740481C1C}">
                          <a14:useLocalDpi xmlns:a14="http://schemas.microsoft.com/office/drawing/2010/main" val="0"/>
                        </a:ext>
                      </a:extLst>
                    </a:blip>
                    <a:srcRect/>
                    <a:stretch>
                      <a:fillRect/>
                    </a:stretch>
                  </pic:blipFill>
                  <pic:spPr bwMode="auto">
                    <a:xfrm>
                      <a:off x="0" y="0"/>
                      <a:ext cx="2600325" cy="1314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C46031B" w14:textId="231680B9" w:rsidR="00462373" w:rsidRDefault="00462373" w:rsidP="00462373">
      <w:pPr>
        <w:spacing w:after="0" w:line="240" w:lineRule="auto"/>
        <w:jc w:val="both"/>
      </w:pPr>
    </w:p>
    <w:p w14:paraId="3154FEAB" w14:textId="4596E36C" w:rsidR="000F4FF4" w:rsidRDefault="009E5C4C" w:rsidP="009E5C4C">
      <w:pPr>
        <w:pStyle w:val="Titre2"/>
      </w:pPr>
      <w:bookmarkStart w:id="244" w:name="_Toc139181535"/>
      <w:r w:rsidRPr="009E5C4C">
        <w:t>Alignement de pierres, cordons pierreux et murettes</w:t>
      </w:r>
      <w:bookmarkEnd w:id="244"/>
    </w:p>
    <w:p w14:paraId="489F7835" w14:textId="28D35828" w:rsidR="009E5C4C" w:rsidRDefault="009E5C4C" w:rsidP="00462373">
      <w:pPr>
        <w:spacing w:after="0" w:line="240" w:lineRule="auto"/>
        <w:jc w:val="both"/>
      </w:pPr>
    </w:p>
    <w:p w14:paraId="29A5DFCD" w14:textId="77777777" w:rsidR="009E5C4C" w:rsidRPr="009E5C4C" w:rsidRDefault="009E5C4C" w:rsidP="009E5C4C">
      <w:pPr>
        <w:spacing w:after="0" w:line="240" w:lineRule="auto"/>
        <w:jc w:val="both"/>
      </w:pPr>
      <w:r w:rsidRPr="009E5C4C">
        <w:t>C’est une seule rangée de pierres plantées dans le sol pour ralentir le ruissellement, piéger des particules (limon et matière organique) transportées par le ruissellement ainsi que des sables éoliens.</w:t>
      </w:r>
    </w:p>
    <w:p w14:paraId="5B87753E" w14:textId="02082B4C" w:rsidR="009E5C4C" w:rsidRDefault="009E5C4C" w:rsidP="009E5C4C">
      <w:pPr>
        <w:spacing w:after="0" w:line="240" w:lineRule="auto"/>
        <w:jc w:val="both"/>
      </w:pPr>
      <w:r w:rsidRPr="009E5C4C">
        <w:t xml:space="preserve">Des pierres dégagées par les labours sont empilées sans structure particulière sur de gros rochers, puis alignées en cordons le long des courbes de niveau. De tailles très variables, elles sont parfois également déposées directement </w:t>
      </w:r>
      <w:r w:rsidRPr="009E5C4C">
        <w:lastRenderedPageBreak/>
        <w:t>sur le sol et empilées progressivement selon leur disponibilité. Ces empilements donnent naissance à des cordons continus ou discontinus selon l'importance de la charge caillouteuse des champs. Ils ont une largeur de 30 à 70 cm et une hauteur variable selon la pente (de 30 à 100 cm), et peuvent former des terrasses progressives qui tendent vers l'horizontale sans jamais l'atteindre.</w:t>
      </w:r>
    </w:p>
    <w:p w14:paraId="0E71A4EE" w14:textId="38D0F948" w:rsidR="00323B20" w:rsidRDefault="00323B20" w:rsidP="009E5C4C">
      <w:pPr>
        <w:spacing w:after="0" w:line="240" w:lineRule="auto"/>
        <w:jc w:val="both"/>
      </w:pPr>
    </w:p>
    <w:p w14:paraId="3CA4819C" w14:textId="77777777" w:rsidR="00323B20" w:rsidRPr="00323B20" w:rsidRDefault="00323B20" w:rsidP="00323B20">
      <w:pPr>
        <w:spacing w:after="0" w:line="240" w:lineRule="auto"/>
        <w:jc w:val="both"/>
      </w:pPr>
      <w:r w:rsidRPr="00323B20">
        <w:rPr>
          <w:b/>
          <w:bCs/>
        </w:rPr>
        <w:t>Cordons pierreux</w:t>
      </w:r>
    </w:p>
    <w:p w14:paraId="0E0D1D0F" w14:textId="77777777" w:rsidR="00323B20" w:rsidRPr="00323B20" w:rsidRDefault="00323B20" w:rsidP="00323B20">
      <w:pPr>
        <w:spacing w:after="0" w:line="240" w:lineRule="auto"/>
        <w:jc w:val="both"/>
      </w:pPr>
      <w:r w:rsidRPr="00323B20">
        <w:rPr>
          <w:b/>
          <w:bCs/>
        </w:rPr>
        <w:t>Principe</w:t>
      </w:r>
      <w:r w:rsidRPr="00323B20">
        <w:t xml:space="preserve"> de petits murets de pierre de 25 cm de haut sont construits suivant les courbes de niveau de la parcelle, pour des pentes faibles à moyenne sur sols sablo-argileux ou gravillonnaires, à moins de 800mm de pluies. Le ruissellement des eaux est ralenti, l’infiltration augmente et l’eau est mieux répartie. Cela favorise aussi la sédimentation et la conservation des amendements.</w:t>
      </w:r>
    </w:p>
    <w:p w14:paraId="282084B1" w14:textId="088C9338" w:rsidR="00323B20" w:rsidRPr="00323B20" w:rsidRDefault="00F84327" w:rsidP="00323B20">
      <w:pPr>
        <w:spacing w:after="0" w:line="240" w:lineRule="auto"/>
        <w:jc w:val="both"/>
      </w:pPr>
      <w:r w:rsidRPr="00323B20">
        <w:rPr>
          <w:b/>
          <w:bCs/>
        </w:rPr>
        <w:t>Prérequis</w:t>
      </w:r>
      <w:r w:rsidR="00323B20" w:rsidRPr="00323B20">
        <w:rPr>
          <w:b/>
          <w:bCs/>
        </w:rPr>
        <w:t xml:space="preserve"> </w:t>
      </w:r>
      <w:r w:rsidR="00323B20" w:rsidRPr="00323B20">
        <w:t>disponibilité de main d’œuvre et de pierres d’au moins 1 dm3 en quantité et à une distance raisonnable.</w:t>
      </w:r>
    </w:p>
    <w:p w14:paraId="028F55A4" w14:textId="77777777" w:rsidR="00323B20" w:rsidRPr="00323B20" w:rsidRDefault="00323B20" w:rsidP="00323B20">
      <w:pPr>
        <w:spacing w:after="0" w:line="240" w:lineRule="auto"/>
        <w:jc w:val="both"/>
      </w:pPr>
      <w:r w:rsidRPr="00323B20">
        <w:rPr>
          <w:b/>
          <w:bCs/>
        </w:rPr>
        <w:t xml:space="preserve">Effets concrets </w:t>
      </w:r>
      <w:r w:rsidRPr="00323B20">
        <w:t>couplé à la fumure organique, améliore de 20% au moins les rendements de céréales. Améliore la production de fourrage d’au moins 20%.</w:t>
      </w:r>
    </w:p>
    <w:p w14:paraId="4FD5382A" w14:textId="77777777" w:rsidR="00323B20" w:rsidRPr="00323B20" w:rsidRDefault="00323B20" w:rsidP="00323B20">
      <w:pPr>
        <w:spacing w:after="0" w:line="240" w:lineRule="auto"/>
        <w:jc w:val="both"/>
      </w:pPr>
      <w:r w:rsidRPr="00323B20">
        <w:rPr>
          <w:b/>
          <w:bCs/>
        </w:rPr>
        <w:t>Coût</w:t>
      </w:r>
      <w:r w:rsidRPr="00323B20">
        <w:t xml:space="preserve"> matériel de concassage des pierres &amp; de mesure de la pente, camion et charrettes pour transport des pierres, Selon la distance des carrières, le coût à varie de 130 à 250 €/ha.</w:t>
      </w:r>
    </w:p>
    <w:p w14:paraId="41D876F5" w14:textId="3A7A2A9D" w:rsidR="00323B20" w:rsidRPr="00323B20" w:rsidRDefault="00323B20" w:rsidP="00323B20">
      <w:pPr>
        <w:spacing w:after="0" w:line="240" w:lineRule="auto"/>
        <w:jc w:val="both"/>
      </w:pPr>
      <w:r w:rsidRPr="00323B20">
        <w:t>Le cordon pierreux a un effet positif sur les débits de pointe, l’étalement des écoulements et les risques d’érosion (Roose, 1994). Son influence sur le ruissellement global reste mitigé</w:t>
      </w:r>
      <w:r>
        <w:t>e</w:t>
      </w:r>
      <w:r w:rsidRPr="00323B20">
        <w:t>.</w:t>
      </w:r>
    </w:p>
    <w:p w14:paraId="43F82030" w14:textId="7BC1A8F1" w:rsidR="00323B20" w:rsidRDefault="00323B20" w:rsidP="009E5C4C">
      <w:pPr>
        <w:spacing w:after="0" w:line="240" w:lineRule="auto"/>
        <w:jc w:val="both"/>
      </w:pPr>
    </w:p>
    <w:p w14:paraId="502337E9" w14:textId="77777777" w:rsidR="00193210" w:rsidRPr="00193210" w:rsidRDefault="00193210" w:rsidP="00193210">
      <w:pPr>
        <w:spacing w:after="0" w:line="240" w:lineRule="auto"/>
        <w:jc w:val="both"/>
      </w:pPr>
      <w:r w:rsidRPr="00193210">
        <w:rPr>
          <w:b/>
          <w:bCs/>
        </w:rPr>
        <w:t>Avantages</w:t>
      </w:r>
    </w:p>
    <w:p w14:paraId="7224C9E5" w14:textId="086DA180" w:rsidR="00193210" w:rsidRPr="00193210" w:rsidRDefault="00193210" w:rsidP="00193210">
      <w:pPr>
        <w:spacing w:after="0" w:line="240" w:lineRule="auto"/>
        <w:jc w:val="both"/>
      </w:pPr>
      <w:r w:rsidRPr="00193210">
        <w:t>- Valorisation de la terre par le déblaiement des grosses pierres de surface</w:t>
      </w:r>
      <w:r w:rsidR="00DC5A8C">
        <w:t>.</w:t>
      </w:r>
    </w:p>
    <w:p w14:paraId="086257BF" w14:textId="48D75891" w:rsidR="00193210" w:rsidRPr="00193210" w:rsidRDefault="00193210" w:rsidP="00193210">
      <w:pPr>
        <w:spacing w:after="0" w:line="240" w:lineRule="auto"/>
        <w:jc w:val="both"/>
      </w:pPr>
      <w:r w:rsidRPr="00193210">
        <w:t>- Récupération des eaux et des sédiments à partir d'un impluvium</w:t>
      </w:r>
      <w:r w:rsidR="00DC5A8C">
        <w:t>.</w:t>
      </w:r>
    </w:p>
    <w:p w14:paraId="3FCCF01C" w14:textId="5C1525E6" w:rsidR="00193210" w:rsidRDefault="00193210" w:rsidP="00193210">
      <w:pPr>
        <w:spacing w:after="0" w:line="240" w:lineRule="auto"/>
        <w:jc w:val="both"/>
      </w:pPr>
      <w:r w:rsidRPr="00193210">
        <w:t>- Amélioration de la productivité des terres</w:t>
      </w:r>
      <w:r w:rsidR="00DC5A8C">
        <w:t>.</w:t>
      </w:r>
    </w:p>
    <w:p w14:paraId="325BD307" w14:textId="77777777" w:rsidR="00DC5A8C" w:rsidRPr="00193210" w:rsidRDefault="00DC5A8C" w:rsidP="00193210">
      <w:pPr>
        <w:spacing w:after="0" w:line="240" w:lineRule="auto"/>
        <w:jc w:val="both"/>
      </w:pPr>
    </w:p>
    <w:p w14:paraId="34244514" w14:textId="77777777" w:rsidR="00193210" w:rsidRPr="00193210" w:rsidRDefault="00193210" w:rsidP="00193210">
      <w:pPr>
        <w:spacing w:after="0" w:line="240" w:lineRule="auto"/>
        <w:jc w:val="both"/>
      </w:pPr>
      <w:r w:rsidRPr="00193210">
        <w:rPr>
          <w:b/>
          <w:bCs/>
        </w:rPr>
        <w:t>Inconvénients</w:t>
      </w:r>
    </w:p>
    <w:p w14:paraId="6E7AE11C" w14:textId="283CD292" w:rsidR="00193210" w:rsidRPr="00193210" w:rsidRDefault="00193210" w:rsidP="00193210">
      <w:pPr>
        <w:spacing w:after="0" w:line="240" w:lineRule="auto"/>
        <w:jc w:val="both"/>
      </w:pPr>
      <w:r w:rsidRPr="00193210">
        <w:t>- Demande une main d'œuvre importante, mais construction progressive en 5 à 10 ans</w:t>
      </w:r>
      <w:r w:rsidR="00DC5A8C">
        <w:t>.</w:t>
      </w:r>
    </w:p>
    <w:p w14:paraId="7B1AEEFF" w14:textId="66716BAE" w:rsidR="00193210" w:rsidRPr="00193210" w:rsidRDefault="00193210" w:rsidP="00193210">
      <w:pPr>
        <w:spacing w:after="0" w:line="240" w:lineRule="auto"/>
        <w:jc w:val="both"/>
      </w:pPr>
      <w:r w:rsidRPr="00193210">
        <w:t>- Difficulté de circulation à l'intérieur des parcelles</w:t>
      </w:r>
      <w:r w:rsidR="00DC5A8C">
        <w:t>.</w:t>
      </w:r>
    </w:p>
    <w:p w14:paraId="534FA858" w14:textId="3E7A7905" w:rsidR="00193210" w:rsidRDefault="00193210" w:rsidP="00193210">
      <w:pPr>
        <w:spacing w:after="0" w:line="240" w:lineRule="auto"/>
        <w:jc w:val="both"/>
      </w:pPr>
      <w:r w:rsidRPr="00193210">
        <w:t>- Perte de surface de culture principale, mais diversification possible par introduction d'arbres sur les cordons</w:t>
      </w:r>
      <w:r w:rsidR="00DC5A8C">
        <w:t>.</w:t>
      </w:r>
    </w:p>
    <w:p w14:paraId="7B819386" w14:textId="35056C4C" w:rsidR="00DC5A8C" w:rsidRDefault="00DC5A8C" w:rsidP="00193210">
      <w:pPr>
        <w:spacing w:after="0" w:line="240" w:lineRule="auto"/>
        <w:jc w:val="both"/>
      </w:pPr>
    </w:p>
    <w:p w14:paraId="5756C4F0" w14:textId="77777777" w:rsidR="00DC5A8C" w:rsidRPr="00DC5A8C" w:rsidRDefault="00DC5A8C" w:rsidP="00DC5A8C">
      <w:pPr>
        <w:spacing w:after="0" w:line="240" w:lineRule="auto"/>
        <w:jc w:val="both"/>
      </w:pPr>
      <w:r w:rsidRPr="00DC5A8C">
        <w:rPr>
          <w:b/>
          <w:bCs/>
        </w:rPr>
        <w:t>Murets ou murettes</w:t>
      </w:r>
    </w:p>
    <w:p w14:paraId="36CE1BBB" w14:textId="77777777" w:rsidR="00DC5A8C" w:rsidRPr="00DC5A8C" w:rsidRDefault="00DC5A8C" w:rsidP="00DC5A8C">
      <w:pPr>
        <w:spacing w:after="0" w:line="240" w:lineRule="auto"/>
        <w:jc w:val="both"/>
      </w:pPr>
      <w:r w:rsidRPr="00DC5A8C">
        <w:t>Ils sont formés de deux à trois niveaux de pierres solidaires, de 10 à 50 cm de hauteur, disposés en courbe de niveau tous les 10 à 50 m. Ils peuvent être consolidés par des herbes ou des haies vives. Ils permettent l’étalement des eaux de ruissellement et la sédimentation (5 à 15 cm de sable, limon et matière organique).</w:t>
      </w:r>
    </w:p>
    <w:p w14:paraId="4EE9B446" w14:textId="07BB91A8" w:rsidR="009E5C4C" w:rsidRDefault="00DC5A8C" w:rsidP="00462373">
      <w:pPr>
        <w:spacing w:after="0" w:line="240" w:lineRule="auto"/>
        <w:jc w:val="both"/>
      </w:pPr>
      <w:r w:rsidRPr="00DC5A8C">
        <w:t>Les cordons et les murettes sont là les formes d’une technique élaborée qui demandent un investissement humain important et qui répondent à des besoins en terres cultivables dans des situations particulières de pénurie d’eau ou du sol.</w:t>
      </w:r>
    </w:p>
    <w:p w14:paraId="548CAB27" w14:textId="59037281" w:rsidR="009E5C4C" w:rsidRDefault="006D2E3C" w:rsidP="006D2E3C">
      <w:pPr>
        <w:spacing w:after="0" w:line="240" w:lineRule="auto"/>
        <w:jc w:val="center"/>
      </w:pPr>
      <w:r w:rsidRPr="006D2E3C">
        <w:rPr>
          <w:noProof/>
        </w:rPr>
        <w:drawing>
          <wp:inline distT="0" distB="0" distL="0" distR="0" wp14:anchorId="78FCECF9" wp14:editId="1A1C1847">
            <wp:extent cx="5445125" cy="2016125"/>
            <wp:effectExtent l="0" t="0" r="3175" b="3175"/>
            <wp:docPr id="128009" name="Picture 10" descr="C:\Users\LISAN\Documents\DeveloppementDurable\botanique\irrigation-stockage-eau\images\cordon_de_pier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09" name="Picture 10" descr="C:\Users\LISAN\Documents\DeveloppementDurable\botanique\irrigation-stockage-eau\images\cordon_de_pierre.jpg"/>
                    <pic:cNvPicPr>
                      <a:picLocks noChangeAspect="1" noChangeArrowheads="1"/>
                    </pic:cNvPicPr>
                  </pic:nvPicPr>
                  <pic:blipFill>
                    <a:blip r:embed="rId3219">
                      <a:extLst>
                        <a:ext uri="{28A0092B-C50C-407E-A947-70E740481C1C}">
                          <a14:useLocalDpi xmlns:a14="http://schemas.microsoft.com/office/drawing/2010/main" val="0"/>
                        </a:ext>
                      </a:extLst>
                    </a:blip>
                    <a:srcRect/>
                    <a:stretch>
                      <a:fillRect/>
                    </a:stretch>
                  </pic:blipFill>
                  <pic:spPr bwMode="auto">
                    <a:xfrm>
                      <a:off x="0" y="0"/>
                      <a:ext cx="5445125" cy="2016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44C91A8" w14:textId="22B51E50" w:rsidR="006D2E3C" w:rsidRDefault="006D2E3C" w:rsidP="006D2E3C">
      <w:pPr>
        <w:spacing w:after="0" w:line="240" w:lineRule="auto"/>
        <w:jc w:val="center"/>
      </w:pPr>
      <w:r>
        <w:t>Légendes : Haie vive + pierre, Murette, Cordon de pierres.</w:t>
      </w:r>
    </w:p>
    <w:p w14:paraId="55E30EE3" w14:textId="0EE2F9F6" w:rsidR="006D2E3C" w:rsidRDefault="006D2E3C" w:rsidP="00462373">
      <w:pPr>
        <w:spacing w:after="0" w:line="240" w:lineRule="auto"/>
        <w:jc w:val="both"/>
      </w:pPr>
    </w:p>
    <w:p w14:paraId="7A56F27A" w14:textId="5B122755" w:rsidR="006D2E3C" w:rsidRDefault="00DC5A8C" w:rsidP="00DC5A8C">
      <w:pPr>
        <w:spacing w:after="0" w:line="240" w:lineRule="auto"/>
        <w:jc w:val="center"/>
      </w:pPr>
      <w:r w:rsidRPr="00DC5A8C">
        <w:rPr>
          <w:noProof/>
        </w:rPr>
        <w:lastRenderedPageBreak/>
        <w:drawing>
          <wp:inline distT="0" distB="0" distL="0" distR="0" wp14:anchorId="22E1532E" wp14:editId="3940BF1D">
            <wp:extent cx="5754688" cy="2592387"/>
            <wp:effectExtent l="0" t="0" r="0" b="0"/>
            <wp:docPr id="129026" name="Picture 9" descr="C:\Users\LISAN\Documents\DeveloppementDurable\botanique\irrigation-stockage-eau\images\cordon_de_pierr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26" name="Picture 9" descr="C:\Users\LISAN\Documents\DeveloppementDurable\botanique\irrigation-stockage-eau\images\cordon_de_pierre2.jpg"/>
                    <pic:cNvPicPr>
                      <a:picLocks noChangeAspect="1" noChangeArrowheads="1"/>
                    </pic:cNvPicPr>
                  </pic:nvPicPr>
                  <pic:blipFill>
                    <a:blip r:embed="rId3220">
                      <a:extLst>
                        <a:ext uri="{28A0092B-C50C-407E-A947-70E740481C1C}">
                          <a14:useLocalDpi xmlns:a14="http://schemas.microsoft.com/office/drawing/2010/main" val="0"/>
                        </a:ext>
                      </a:extLst>
                    </a:blip>
                    <a:srcRect/>
                    <a:stretch>
                      <a:fillRect/>
                    </a:stretch>
                  </pic:blipFill>
                  <pic:spPr bwMode="auto">
                    <a:xfrm>
                      <a:off x="0" y="0"/>
                      <a:ext cx="5754688" cy="25923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627BDD84" w14:textId="4C78E8C6" w:rsidR="00DC5A8C" w:rsidRDefault="00DC5A8C" w:rsidP="00DC5A8C">
      <w:pPr>
        <w:spacing w:after="0" w:line="240" w:lineRule="auto"/>
        <w:jc w:val="center"/>
      </w:pPr>
      <w:r>
        <w:t>Légendes : Cordon de pierres, Eléments de cordon, Empilement, Murette.</w:t>
      </w:r>
    </w:p>
    <w:p w14:paraId="5586CA8C" w14:textId="77777777" w:rsidR="00026698" w:rsidRDefault="00026698" w:rsidP="00DC5A8C">
      <w:pPr>
        <w:spacing w:after="0" w:line="240" w:lineRule="auto"/>
        <w:jc w:val="center"/>
      </w:pPr>
    </w:p>
    <w:tbl>
      <w:tblPr>
        <w:tblStyle w:val="Grilledutableau"/>
        <w:tblW w:w="10426" w:type="dxa"/>
        <w:tblInd w:w="-5" w:type="dxa"/>
        <w:tblLook w:val="04A0" w:firstRow="1" w:lastRow="0" w:firstColumn="1" w:lastColumn="0" w:noHBand="0" w:noVBand="1"/>
      </w:tblPr>
      <w:tblGrid>
        <w:gridCol w:w="6610"/>
        <w:gridCol w:w="3816"/>
      </w:tblGrid>
      <w:tr w:rsidR="00026698" w14:paraId="2C15F467" w14:textId="77777777" w:rsidTr="003D7963">
        <w:tc>
          <w:tcPr>
            <w:tcW w:w="6610" w:type="dxa"/>
            <w:tcBorders>
              <w:top w:val="nil"/>
              <w:left w:val="nil"/>
              <w:bottom w:val="nil"/>
              <w:right w:val="nil"/>
            </w:tcBorders>
          </w:tcPr>
          <w:p w14:paraId="3B9B8326" w14:textId="77777777" w:rsidR="00026698" w:rsidRDefault="00026698" w:rsidP="003D7963">
            <w:pPr>
              <w:jc w:val="center"/>
            </w:pPr>
            <w:r>
              <w:rPr>
                <w:noProof/>
              </w:rPr>
              <w:drawing>
                <wp:inline distT="0" distB="0" distL="0" distR="0" wp14:anchorId="614DCB17" wp14:editId="007509A0">
                  <wp:extent cx="1514475" cy="1162050"/>
                  <wp:effectExtent l="0" t="0" r="9525" b="0"/>
                  <wp:docPr id="50" name="Image 50" descr="Une image contenant terrain, extérieur, mammifère, salet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 50" descr="Une image contenant terrain, extérieur, mammifère, saleté&#10;&#10;Description générée automatiquement"/>
                          <pic:cNvPicPr/>
                        </pic:nvPicPr>
                        <pic:blipFill>
                          <a:blip r:embed="rId3221"/>
                          <a:stretch>
                            <a:fillRect/>
                          </a:stretch>
                        </pic:blipFill>
                        <pic:spPr>
                          <a:xfrm>
                            <a:off x="0" y="0"/>
                            <a:ext cx="1514475" cy="1162050"/>
                          </a:xfrm>
                          <a:prstGeom prst="rect">
                            <a:avLst/>
                          </a:prstGeom>
                        </pic:spPr>
                      </pic:pic>
                    </a:graphicData>
                  </a:graphic>
                </wp:inline>
              </w:drawing>
            </w:r>
            <w:r>
              <w:t xml:space="preserve">  </w:t>
            </w:r>
            <w:r>
              <w:rPr>
                <w:noProof/>
              </w:rPr>
              <w:drawing>
                <wp:inline distT="0" distB="0" distL="0" distR="0" wp14:anchorId="24FEF18E" wp14:editId="6385916D">
                  <wp:extent cx="1552575" cy="1152525"/>
                  <wp:effectExtent l="0" t="0" r="9525" b="9525"/>
                  <wp:docPr id="51" name="Image 51" descr="Une image contenant herbe, extérieur,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 51" descr="Une image contenant herbe, extérieur, plante&#10;&#10;Description générée automatiquement"/>
                          <pic:cNvPicPr/>
                        </pic:nvPicPr>
                        <pic:blipFill>
                          <a:blip r:embed="rId3222"/>
                          <a:stretch>
                            <a:fillRect/>
                          </a:stretch>
                        </pic:blipFill>
                        <pic:spPr>
                          <a:xfrm>
                            <a:off x="0" y="0"/>
                            <a:ext cx="1552575" cy="1152525"/>
                          </a:xfrm>
                          <a:prstGeom prst="rect">
                            <a:avLst/>
                          </a:prstGeom>
                        </pic:spPr>
                      </pic:pic>
                    </a:graphicData>
                  </a:graphic>
                </wp:inline>
              </w:drawing>
            </w:r>
            <w:r>
              <w:t xml:space="preserve"> </w:t>
            </w:r>
          </w:p>
          <w:p w14:paraId="58030EC9" w14:textId="77777777" w:rsidR="00026698" w:rsidRPr="00DC5A8C" w:rsidRDefault="00026698" w:rsidP="003D7963">
            <w:pPr>
              <w:jc w:val="center"/>
            </w:pPr>
            <w:r w:rsidRPr="00DC5A8C">
              <w:t>© CILSS/IREMLCD-2008</w:t>
            </w:r>
          </w:p>
        </w:tc>
        <w:tc>
          <w:tcPr>
            <w:tcW w:w="3816" w:type="dxa"/>
            <w:tcBorders>
              <w:top w:val="nil"/>
              <w:left w:val="nil"/>
              <w:bottom w:val="nil"/>
              <w:right w:val="nil"/>
            </w:tcBorders>
          </w:tcPr>
          <w:p w14:paraId="2F9F219F" w14:textId="77777777" w:rsidR="00026698" w:rsidRDefault="00026698" w:rsidP="003D7963">
            <w:pPr>
              <w:jc w:val="center"/>
            </w:pPr>
            <w:r w:rsidRPr="00026698">
              <w:rPr>
                <w:noProof/>
              </w:rPr>
              <w:drawing>
                <wp:inline distT="0" distB="0" distL="0" distR="0" wp14:anchorId="1628FAD3" wp14:editId="432DBB58">
                  <wp:extent cx="1111250" cy="1155002"/>
                  <wp:effectExtent l="0" t="0" r="0" b="7620"/>
                  <wp:docPr id="15565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59" name="Image 1"/>
                          <pic:cNvPicPr>
                            <a:picLocks noChangeAspect="1"/>
                          </pic:cNvPicPr>
                        </pic:nvPicPr>
                        <pic:blipFill>
                          <a:blip r:embed="rId3223">
                            <a:extLst>
                              <a:ext uri="{28A0092B-C50C-407E-A947-70E740481C1C}">
                                <a14:useLocalDpi xmlns:a14="http://schemas.microsoft.com/office/drawing/2010/main" val="0"/>
                              </a:ext>
                            </a:extLst>
                          </a:blip>
                          <a:srcRect/>
                          <a:stretch>
                            <a:fillRect/>
                          </a:stretch>
                        </pic:blipFill>
                        <pic:spPr bwMode="auto">
                          <a:xfrm>
                            <a:off x="0" y="0"/>
                            <a:ext cx="1120318" cy="1164427"/>
                          </a:xfrm>
                          <a:prstGeom prst="rect">
                            <a:avLst/>
                          </a:prstGeom>
                          <a:noFill/>
                          <a:ln>
                            <a:noFill/>
                          </a:ln>
                        </pic:spPr>
                      </pic:pic>
                    </a:graphicData>
                  </a:graphic>
                </wp:inline>
              </w:drawing>
            </w:r>
          </w:p>
          <w:p w14:paraId="085B27E3" w14:textId="1755F148" w:rsidR="00026698" w:rsidRPr="00DC5A8C" w:rsidRDefault="00026698" w:rsidP="003D7963">
            <w:pPr>
              <w:jc w:val="center"/>
            </w:pPr>
            <w:r>
              <w:t>Murette</w:t>
            </w:r>
            <w:r>
              <w:rPr>
                <w:rStyle w:val="Appelnotedebasdep"/>
              </w:rPr>
              <w:footnoteReference w:id="172"/>
            </w:r>
            <w:r>
              <w:t>.</w:t>
            </w:r>
          </w:p>
        </w:tc>
      </w:tr>
    </w:tbl>
    <w:p w14:paraId="5C8DCF85" w14:textId="4D1C37B1" w:rsidR="00DC5A8C" w:rsidRDefault="00DC5A8C" w:rsidP="00462373">
      <w:pPr>
        <w:spacing w:after="0" w:line="240" w:lineRule="auto"/>
        <w:jc w:val="both"/>
      </w:pPr>
    </w:p>
    <w:p w14:paraId="4E9169FA" w14:textId="77777777" w:rsidR="00026698" w:rsidRDefault="00026698" w:rsidP="00462373">
      <w:pPr>
        <w:spacing w:after="0" w:line="240" w:lineRule="auto"/>
        <w:jc w:val="both"/>
      </w:pPr>
    </w:p>
    <w:tbl>
      <w:tblPr>
        <w:tblStyle w:val="Grilledutableau"/>
        <w:tblW w:w="10426"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10"/>
        <w:gridCol w:w="3816"/>
      </w:tblGrid>
      <w:tr w:rsidR="00DC5A8C" w14:paraId="3435F319" w14:textId="77777777" w:rsidTr="00A95DE0">
        <w:tc>
          <w:tcPr>
            <w:tcW w:w="6610" w:type="dxa"/>
          </w:tcPr>
          <w:p w14:paraId="14BBC985" w14:textId="77777777" w:rsidR="00DC5A8C" w:rsidRDefault="00DC5A8C" w:rsidP="00DC5A8C">
            <w:pPr>
              <w:jc w:val="center"/>
            </w:pPr>
            <w:r w:rsidRPr="00DC5A8C">
              <w:rPr>
                <w:noProof/>
              </w:rPr>
              <w:drawing>
                <wp:inline distT="0" distB="0" distL="0" distR="0" wp14:anchorId="032EB914" wp14:editId="327EEBDD">
                  <wp:extent cx="2486025" cy="1343025"/>
                  <wp:effectExtent l="0" t="0" r="9525" b="9525"/>
                  <wp:docPr id="129032" name="Picture 8" descr="C:\Users\LISAN\Pictures\plantes-halophytes-xerophiles\Participant a un cordon de pierr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32" name="Picture 8" descr="C:\Users\LISAN\Pictures\plantes-halophytes-xerophiles\Participant a un cordon de pierre_s.jpg"/>
                          <pic:cNvPicPr>
                            <a:picLocks noChangeAspect="1" noChangeArrowheads="1"/>
                          </pic:cNvPicPr>
                        </pic:nvPicPr>
                        <pic:blipFill>
                          <a:blip r:embed="rId3224">
                            <a:extLst>
                              <a:ext uri="{28A0092B-C50C-407E-A947-70E740481C1C}">
                                <a14:useLocalDpi xmlns:a14="http://schemas.microsoft.com/office/drawing/2010/main" val="0"/>
                              </a:ext>
                            </a:extLst>
                          </a:blip>
                          <a:srcRect/>
                          <a:stretch>
                            <a:fillRect/>
                          </a:stretch>
                        </pic:blipFill>
                        <pic:spPr bwMode="auto">
                          <a:xfrm>
                            <a:off x="0" y="0"/>
                            <a:ext cx="2486025" cy="1343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t xml:space="preserve"> </w:t>
            </w:r>
            <w:r w:rsidRPr="00DC5A8C">
              <w:rPr>
                <w:noProof/>
              </w:rPr>
              <w:drawing>
                <wp:inline distT="0" distB="0" distL="0" distR="0" wp14:anchorId="4A2B4E96" wp14:editId="7A729E0A">
                  <wp:extent cx="733425" cy="1309688"/>
                  <wp:effectExtent l="0" t="0" r="0" b="5080"/>
                  <wp:docPr id="129033" name="Picture 9" descr="C:\Users\LISAN\Pictures\plantes-halophytes-xerophiles\cordon-pierreux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33" name="Picture 9" descr="C:\Users\LISAN\Pictures\plantes-halophytes-xerophiles\cordon-pierreux3.jpg"/>
                          <pic:cNvPicPr>
                            <a:picLocks noChangeAspect="1" noChangeArrowheads="1"/>
                          </pic:cNvPicPr>
                        </pic:nvPicPr>
                        <pic:blipFill>
                          <a:blip r:embed="rId3225">
                            <a:extLst>
                              <a:ext uri="{28A0092B-C50C-407E-A947-70E740481C1C}">
                                <a14:useLocalDpi xmlns:a14="http://schemas.microsoft.com/office/drawing/2010/main" val="0"/>
                              </a:ext>
                            </a:extLst>
                          </a:blip>
                          <a:srcRect/>
                          <a:stretch>
                            <a:fillRect/>
                          </a:stretch>
                        </pic:blipFill>
                        <pic:spPr bwMode="auto">
                          <a:xfrm>
                            <a:off x="0" y="0"/>
                            <a:ext cx="733425" cy="13096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F104A6E" w14:textId="31136FBD" w:rsidR="00DC5A8C" w:rsidRDefault="00DC5A8C" w:rsidP="00026698">
            <w:pPr>
              <w:jc w:val="both"/>
            </w:pPr>
            <w:r w:rsidRPr="00DC5A8C">
              <w:t>Des participants au programme construisent un cordon de pierre pour intercepter les eaux de ruissellement et les faire pénétrer dans le sol afin qu'elles ne se perdent pas</w:t>
            </w:r>
            <w:r>
              <w:rPr>
                <w:rStyle w:val="Appelnotedebasdep"/>
              </w:rPr>
              <w:footnoteReference w:id="173"/>
            </w:r>
            <w:r w:rsidRPr="00DC5A8C">
              <w:t xml:space="preserve">. </w:t>
            </w:r>
          </w:p>
        </w:tc>
        <w:tc>
          <w:tcPr>
            <w:tcW w:w="3816" w:type="dxa"/>
          </w:tcPr>
          <w:p w14:paraId="0F0454CD" w14:textId="42C5DF01" w:rsidR="00DC5A8C" w:rsidRDefault="00DC5A8C" w:rsidP="00DC5A8C">
            <w:pPr>
              <w:jc w:val="center"/>
            </w:pPr>
            <w:r w:rsidRPr="00DC5A8C">
              <w:rPr>
                <w:noProof/>
              </w:rPr>
              <w:drawing>
                <wp:inline distT="0" distB="0" distL="0" distR="0" wp14:anchorId="45616852" wp14:editId="2B8BE66B">
                  <wp:extent cx="2152650" cy="1801381"/>
                  <wp:effectExtent l="0" t="0" r="0" b="8890"/>
                  <wp:docPr id="128007" name="Image 6" descr="cordon-pierreux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07" name="Image 6" descr="cordon-pierreux_s.jpg"/>
                          <pic:cNvPicPr>
                            <a:picLocks noChangeAspect="1"/>
                          </pic:cNvPicPr>
                        </pic:nvPicPr>
                        <pic:blipFill>
                          <a:blip r:embed="rId3226">
                            <a:extLst>
                              <a:ext uri="{28A0092B-C50C-407E-A947-70E740481C1C}">
                                <a14:useLocalDpi xmlns:a14="http://schemas.microsoft.com/office/drawing/2010/main" val="0"/>
                              </a:ext>
                            </a:extLst>
                          </a:blip>
                          <a:srcRect/>
                          <a:stretch>
                            <a:fillRect/>
                          </a:stretch>
                        </pic:blipFill>
                        <pic:spPr bwMode="auto">
                          <a:xfrm>
                            <a:off x="0" y="0"/>
                            <a:ext cx="2154873" cy="1803242"/>
                          </a:xfrm>
                          <a:prstGeom prst="rect">
                            <a:avLst/>
                          </a:prstGeom>
                          <a:noFill/>
                          <a:ln>
                            <a:noFill/>
                          </a:ln>
                        </pic:spPr>
                      </pic:pic>
                    </a:graphicData>
                  </a:graphic>
                </wp:inline>
              </w:drawing>
            </w:r>
          </w:p>
        </w:tc>
      </w:tr>
    </w:tbl>
    <w:p w14:paraId="55F0C952" w14:textId="31B1198E" w:rsidR="00DC5A8C" w:rsidRDefault="00DC5A8C" w:rsidP="00F84327">
      <w:pPr>
        <w:spacing w:after="0" w:line="240" w:lineRule="auto"/>
      </w:pPr>
    </w:p>
    <w:p w14:paraId="722E2065" w14:textId="2AA78BAF" w:rsidR="008D61B9" w:rsidRDefault="008D61B9" w:rsidP="008D61B9">
      <w:pPr>
        <w:pStyle w:val="Titre2"/>
      </w:pPr>
      <w:bookmarkStart w:id="245" w:name="_Toc139181536"/>
      <w:r w:rsidRPr="008D61B9">
        <w:t>Zaï ou culture en poquets</w:t>
      </w:r>
      <w:bookmarkEnd w:id="245"/>
    </w:p>
    <w:p w14:paraId="78A68752" w14:textId="27A25152" w:rsidR="008D61B9" w:rsidRDefault="008D61B9" w:rsidP="00F84327">
      <w:pPr>
        <w:spacing w:after="0" w:line="240" w:lineRule="auto"/>
      </w:pPr>
    </w:p>
    <w:p w14:paraId="16C84192" w14:textId="77777777" w:rsidR="00751086" w:rsidRPr="00751086" w:rsidRDefault="00751086" w:rsidP="00751086">
      <w:pPr>
        <w:spacing w:after="0" w:line="240" w:lineRule="auto"/>
        <w:jc w:val="both"/>
      </w:pPr>
      <w:r w:rsidRPr="00751086">
        <w:t xml:space="preserve">C’est une cuvette (20 cm à 40 cm de diamètre et 10 cm à 15 cm de profondeur) qui capte le ruissellement à partir d’un </w:t>
      </w:r>
      <w:r w:rsidRPr="00751086">
        <w:rPr>
          <w:i/>
          <w:iCs/>
        </w:rPr>
        <w:t>impluvium de 5 à 20 fois la surface travaillée.</w:t>
      </w:r>
    </w:p>
    <w:p w14:paraId="1B883291" w14:textId="77777777" w:rsidR="00751086" w:rsidRPr="00751086" w:rsidRDefault="00751086" w:rsidP="00751086">
      <w:pPr>
        <w:spacing w:after="0" w:line="240" w:lineRule="auto"/>
        <w:jc w:val="both"/>
      </w:pPr>
      <w:r w:rsidRPr="00751086">
        <w:t xml:space="preserve">Les cuvettes sont creusées tous les 80 cm à 100 cm. Les trous étant faits pendant la saison sèche, ils piègent des particules apportées par le vent : sable, limon, matières organiques. Dès les premières pluies, une à deux poignées de matière organique (1 t ha-1 à 3 t ha-1) apportées à chaque trou favorisent l’activité des termites (du genre </w:t>
      </w:r>
      <w:r w:rsidRPr="00751086">
        <w:rPr>
          <w:i/>
          <w:iCs/>
        </w:rPr>
        <w:lastRenderedPageBreak/>
        <w:t xml:space="preserve">Trinervitermes), qui creusent des galeries. Généralement, une </w:t>
      </w:r>
      <w:r w:rsidRPr="00751086">
        <w:t xml:space="preserve">douzaine de graines de sorgho sont semées en poquet pour leur permettre de soulever la croûte sédimentaire, qui s’y forme lors des premières averses (Roose </w:t>
      </w:r>
      <w:r w:rsidRPr="00751086">
        <w:rPr>
          <w:i/>
          <w:iCs/>
        </w:rPr>
        <w:t xml:space="preserve">et al. 1993). </w:t>
      </w:r>
    </w:p>
    <w:p w14:paraId="5308A4D0" w14:textId="77777777" w:rsidR="00751086" w:rsidRPr="00751086" w:rsidRDefault="00751086" w:rsidP="00751086">
      <w:pPr>
        <w:spacing w:after="0" w:line="240" w:lineRule="auto"/>
        <w:jc w:val="both"/>
      </w:pPr>
      <w:r w:rsidRPr="00751086">
        <w:rPr>
          <w:i/>
          <w:iCs/>
        </w:rPr>
        <w:t xml:space="preserve">Ce système a été utilisé avec succès pour réintroduire la jachère </w:t>
      </w:r>
      <w:r w:rsidRPr="00751086">
        <w:t xml:space="preserve">arbustive et un système agro-sylvo-pastoral, disparu suite à l’usage intensif de la charrue. </w:t>
      </w:r>
    </w:p>
    <w:p w14:paraId="747DB604" w14:textId="00956861" w:rsidR="00751086" w:rsidRPr="00751086" w:rsidRDefault="00751086" w:rsidP="00751086">
      <w:pPr>
        <w:spacing w:after="0" w:line="240" w:lineRule="auto"/>
        <w:jc w:val="both"/>
      </w:pPr>
      <w:r w:rsidRPr="00751086">
        <w:t>Le zaï + fumure améliore le rendement du sorgho au Burkina : 900 kg ha-1 contre 300 kg ha-1 pour le témoin (Roose et al., 1993).</w:t>
      </w:r>
      <w:r>
        <w:t xml:space="preserve"> </w:t>
      </w:r>
      <w:r w:rsidRPr="00751086">
        <w:t>Mais cette technique est d’une grande pénibilité.</w:t>
      </w:r>
    </w:p>
    <w:p w14:paraId="19168C6F" w14:textId="7ED20EC0" w:rsidR="008D61B9" w:rsidRDefault="008D61B9" w:rsidP="00F84327">
      <w:pPr>
        <w:spacing w:after="0" w:line="240" w:lineRule="auto"/>
      </w:pPr>
    </w:p>
    <w:p w14:paraId="05ABC2BD" w14:textId="504A200D" w:rsidR="00751086" w:rsidRPr="00751086" w:rsidRDefault="00751086" w:rsidP="00751086">
      <w:pPr>
        <w:spacing w:after="0" w:line="240" w:lineRule="auto"/>
        <w:jc w:val="both"/>
      </w:pPr>
      <w:r w:rsidRPr="00751086">
        <w:rPr>
          <w:b/>
          <w:bCs/>
        </w:rPr>
        <w:t>Principe</w:t>
      </w:r>
      <w:r w:rsidRPr="00751086">
        <w:t xml:space="preserve"> des trous d’une trentaine de cm de profondeur sont creusés en quinconces tous les mètres sur un sol dégradé (nu, endurci, encroûté). Le trou est enrichi de fumure/compost. Ce trou ameubli va conserver l’eau de ruissellement et permettra la croissance optimale des plantes et la conservation de l’humidité.</w:t>
      </w:r>
    </w:p>
    <w:p w14:paraId="295A7845" w14:textId="46BC67EB" w:rsidR="00751086" w:rsidRPr="00751086" w:rsidRDefault="00751086" w:rsidP="00751086">
      <w:pPr>
        <w:spacing w:after="0" w:line="240" w:lineRule="auto"/>
        <w:jc w:val="both"/>
      </w:pPr>
      <w:r w:rsidRPr="00751086">
        <w:rPr>
          <w:b/>
          <w:bCs/>
        </w:rPr>
        <w:t>Prérequis</w:t>
      </w:r>
      <w:r w:rsidRPr="00751086">
        <w:t xml:space="preserve"> disponibilité de main d’oeuvre et de fumure. Ne convient pas aux sols très sableux ni aux bas-fonds. Déconseillé au-delà de 800mm de précipitations.</w:t>
      </w:r>
    </w:p>
    <w:p w14:paraId="0EC4BDF8" w14:textId="77777777" w:rsidR="00751086" w:rsidRPr="00751086" w:rsidRDefault="00751086" w:rsidP="00751086">
      <w:pPr>
        <w:spacing w:after="0" w:line="240" w:lineRule="auto"/>
        <w:jc w:val="both"/>
      </w:pPr>
      <w:r w:rsidRPr="00751086">
        <w:rPr>
          <w:b/>
          <w:bCs/>
        </w:rPr>
        <w:t xml:space="preserve">Effets concrets </w:t>
      </w:r>
      <w:r w:rsidRPr="00751086">
        <w:t>récupération de terres nues (céréales, fourrage ou boisement) et régénération du potentiel productif. Effet dès la première année. Couplé aux cordons pierreux, permet de collecter 800 kg de grain/ha.</w:t>
      </w:r>
    </w:p>
    <w:p w14:paraId="2CB890D6" w14:textId="77777777" w:rsidR="00751086" w:rsidRPr="00751086" w:rsidRDefault="00751086" w:rsidP="00751086">
      <w:pPr>
        <w:spacing w:after="0" w:line="240" w:lineRule="auto"/>
        <w:jc w:val="both"/>
      </w:pPr>
      <w:r w:rsidRPr="00751086">
        <w:rPr>
          <w:b/>
          <w:bCs/>
        </w:rPr>
        <w:t>Coût</w:t>
      </w:r>
      <w:r w:rsidRPr="00751086">
        <w:t xml:space="preserve"> petit matériel pour creuser et charrette pour le transport du fumier. Environ 75€/ha.</w:t>
      </w:r>
    </w:p>
    <w:p w14:paraId="5B8CE0D3" w14:textId="6BDCD055" w:rsidR="00751086" w:rsidRDefault="00751086" w:rsidP="00F84327">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6"/>
        <w:gridCol w:w="3576"/>
        <w:gridCol w:w="3304"/>
      </w:tblGrid>
      <w:tr w:rsidR="00300E5E" w14:paraId="20556A10" w14:textId="77777777" w:rsidTr="00300E5E">
        <w:tc>
          <w:tcPr>
            <w:tcW w:w="3472" w:type="dxa"/>
          </w:tcPr>
          <w:p w14:paraId="1DAF4624" w14:textId="70AE527C" w:rsidR="00300E5E" w:rsidRDefault="00300E5E" w:rsidP="00300E5E">
            <w:pPr>
              <w:jc w:val="center"/>
            </w:pPr>
            <w:r w:rsidRPr="00300E5E">
              <w:rPr>
                <w:noProof/>
              </w:rPr>
              <w:drawing>
                <wp:inline distT="0" distB="0" distL="0" distR="0" wp14:anchorId="6A9F48FE" wp14:editId="7BC0327A">
                  <wp:extent cx="2105025" cy="1162050"/>
                  <wp:effectExtent l="0" t="0" r="9525" b="0"/>
                  <wp:docPr id="137223" name="Image 6" descr="zai2 b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23" name="Image 6" descr="zai2 bis.jpg"/>
                          <pic:cNvPicPr>
                            <a:picLocks noChangeAspect="1"/>
                          </pic:cNvPicPr>
                        </pic:nvPicPr>
                        <pic:blipFill>
                          <a:blip r:embed="rId3227">
                            <a:extLst>
                              <a:ext uri="{28A0092B-C50C-407E-A947-70E740481C1C}">
                                <a14:useLocalDpi xmlns:a14="http://schemas.microsoft.com/office/drawing/2010/main" val="0"/>
                              </a:ext>
                            </a:extLst>
                          </a:blip>
                          <a:srcRect/>
                          <a:stretch>
                            <a:fillRect/>
                          </a:stretch>
                        </pic:blipFill>
                        <pic:spPr bwMode="auto">
                          <a:xfrm>
                            <a:off x="0" y="0"/>
                            <a:ext cx="2105025" cy="1162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72149665" w14:textId="77777777" w:rsidR="00300E5E" w:rsidRDefault="00300E5E" w:rsidP="00300E5E">
            <w:pPr>
              <w:jc w:val="center"/>
            </w:pPr>
            <w:r>
              <w:rPr>
                <w:noProof/>
              </w:rPr>
              <w:drawing>
                <wp:inline distT="0" distB="0" distL="0" distR="0" wp14:anchorId="744B4D19" wp14:editId="07D9BEF5">
                  <wp:extent cx="2133600" cy="1381125"/>
                  <wp:effectExtent l="0" t="0" r="0" b="9525"/>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8"/>
                          <a:stretch>
                            <a:fillRect/>
                          </a:stretch>
                        </pic:blipFill>
                        <pic:spPr>
                          <a:xfrm>
                            <a:off x="0" y="0"/>
                            <a:ext cx="2133600" cy="1381125"/>
                          </a:xfrm>
                          <a:prstGeom prst="rect">
                            <a:avLst/>
                          </a:prstGeom>
                        </pic:spPr>
                      </pic:pic>
                    </a:graphicData>
                  </a:graphic>
                </wp:inline>
              </w:drawing>
            </w:r>
          </w:p>
          <w:p w14:paraId="682295D6" w14:textId="00C93B77" w:rsidR="00300E5E" w:rsidRDefault="00300E5E" w:rsidP="00300E5E">
            <w:pPr>
              <w:jc w:val="center"/>
            </w:pPr>
            <w:r w:rsidRPr="00300E5E">
              <w:t>© CILSS/IREMLCD-2008</w:t>
            </w:r>
            <w:r>
              <w:t>.</w:t>
            </w:r>
          </w:p>
        </w:tc>
        <w:tc>
          <w:tcPr>
            <w:tcW w:w="3472" w:type="dxa"/>
          </w:tcPr>
          <w:p w14:paraId="1F08A574" w14:textId="77777777" w:rsidR="00300E5E" w:rsidRDefault="00300E5E" w:rsidP="00300E5E">
            <w:pPr>
              <w:jc w:val="center"/>
            </w:pPr>
            <w:r>
              <w:rPr>
                <w:noProof/>
              </w:rPr>
              <w:drawing>
                <wp:inline distT="0" distB="0" distL="0" distR="0" wp14:anchorId="05E76A61" wp14:editId="7D66A916">
                  <wp:extent cx="1905000" cy="1400987"/>
                  <wp:effectExtent l="0" t="0" r="0" b="8890"/>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9"/>
                          <a:stretch>
                            <a:fillRect/>
                          </a:stretch>
                        </pic:blipFill>
                        <pic:spPr>
                          <a:xfrm>
                            <a:off x="0" y="0"/>
                            <a:ext cx="1914258" cy="1407796"/>
                          </a:xfrm>
                          <a:prstGeom prst="rect">
                            <a:avLst/>
                          </a:prstGeom>
                        </pic:spPr>
                      </pic:pic>
                    </a:graphicData>
                  </a:graphic>
                </wp:inline>
              </w:drawing>
            </w:r>
          </w:p>
          <w:p w14:paraId="11DB2CE1" w14:textId="7F6ED123" w:rsidR="00300E5E" w:rsidRDefault="00300E5E" w:rsidP="00300E5E">
            <w:pPr>
              <w:jc w:val="center"/>
            </w:pPr>
            <w:r w:rsidRPr="00300E5E">
              <w:t>© CILSS/IREMLCD-2008</w:t>
            </w:r>
          </w:p>
        </w:tc>
      </w:tr>
    </w:tbl>
    <w:p w14:paraId="11313E06" w14:textId="052C0FE1" w:rsidR="00300E5E" w:rsidRDefault="00300E5E" w:rsidP="00300E5E">
      <w:pPr>
        <w:spacing w:after="0" w:line="240" w:lineRule="auto"/>
        <w:jc w:val="cente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300E5E" w14:paraId="2C694AD7" w14:textId="77777777" w:rsidTr="00EB23DE">
        <w:tc>
          <w:tcPr>
            <w:tcW w:w="5208" w:type="dxa"/>
          </w:tcPr>
          <w:p w14:paraId="7820634D" w14:textId="73DA94C3" w:rsidR="00300E5E" w:rsidRDefault="00300E5E" w:rsidP="00300E5E">
            <w:pPr>
              <w:jc w:val="center"/>
            </w:pPr>
            <w:r w:rsidRPr="00300E5E">
              <w:rPr>
                <w:noProof/>
              </w:rPr>
              <w:drawing>
                <wp:inline distT="0" distB="0" distL="0" distR="0" wp14:anchorId="2389E0B9" wp14:editId="7B7ED1A0">
                  <wp:extent cx="2381250" cy="1447800"/>
                  <wp:effectExtent l="0" t="0" r="0" b="0"/>
                  <wp:docPr id="139266" name="Picture 2" descr="C:\Users\LISAN\Documents\DVD-DevDurable\eau\eau-Potabilisation-GestionDeLEau-Irrigation\irrigation-stockage-eau\images\small-pit-zay-syst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66" name="Picture 2" descr="C:\Users\LISAN\Documents\DVD-DevDurable\eau\eau-Potabilisation-GestionDeLEau-Irrigation\irrigation-stockage-eau\images\small-pit-zay-system.jpg"/>
                          <pic:cNvPicPr>
                            <a:picLocks noChangeAspect="1" noChangeArrowheads="1"/>
                          </pic:cNvPicPr>
                        </pic:nvPicPr>
                        <pic:blipFill>
                          <a:blip r:embed="rId3230">
                            <a:extLst>
                              <a:ext uri="{28A0092B-C50C-407E-A947-70E740481C1C}">
                                <a14:useLocalDpi xmlns:a14="http://schemas.microsoft.com/office/drawing/2010/main" val="0"/>
                              </a:ext>
                            </a:extLst>
                          </a:blip>
                          <a:srcRect/>
                          <a:stretch>
                            <a:fillRect/>
                          </a:stretch>
                        </pic:blipFill>
                        <pic:spPr bwMode="auto">
                          <a:xfrm>
                            <a:off x="0" y="0"/>
                            <a:ext cx="2381250" cy="144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208" w:type="dxa"/>
          </w:tcPr>
          <w:p w14:paraId="47A23763" w14:textId="77777777" w:rsidR="00300E5E" w:rsidRDefault="00300E5E" w:rsidP="00300E5E">
            <w:pPr>
              <w:jc w:val="center"/>
            </w:pPr>
            <w:r w:rsidRPr="00300E5E">
              <w:rPr>
                <w:noProof/>
              </w:rPr>
              <w:drawing>
                <wp:inline distT="0" distB="0" distL="0" distR="0" wp14:anchorId="52EE6EA9" wp14:editId="20183DD6">
                  <wp:extent cx="2638425" cy="2409825"/>
                  <wp:effectExtent l="0" t="0" r="9525" b="9525"/>
                  <wp:docPr id="139272" name="Picture 3" descr="C:\Users\LISAN\Documents\DVD-DevDurable\eau\eau-Potabilisation-GestionDeLEau-Irrigation\irrigation-stockage-eau\images\Sorghum in Zaï pits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72" name="Picture 3" descr="C:\Users\LISAN\Documents\DVD-DevDurable\eau\eau-Potabilisation-GestionDeLEau-Irrigation\irrigation-stockage-eau\images\Sorghum in Zaï pits_s.jpg"/>
                          <pic:cNvPicPr>
                            <a:picLocks noChangeAspect="1" noChangeArrowheads="1"/>
                          </pic:cNvPicPr>
                        </pic:nvPicPr>
                        <pic:blipFill>
                          <a:blip r:embed="rId3231">
                            <a:extLst>
                              <a:ext uri="{28A0092B-C50C-407E-A947-70E740481C1C}">
                                <a14:useLocalDpi xmlns:a14="http://schemas.microsoft.com/office/drawing/2010/main" val="0"/>
                              </a:ext>
                            </a:extLst>
                          </a:blip>
                          <a:srcRect/>
                          <a:stretch>
                            <a:fillRect/>
                          </a:stretch>
                        </pic:blipFill>
                        <pic:spPr bwMode="auto">
                          <a:xfrm>
                            <a:off x="0" y="0"/>
                            <a:ext cx="2638425" cy="2409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D8E6FF2" w14:textId="1F246DDA" w:rsidR="00300E5E" w:rsidRDefault="00300E5E" w:rsidP="00300E5E">
            <w:pPr>
              <w:jc w:val="center"/>
            </w:pPr>
            <w:r w:rsidRPr="00300E5E">
              <w:t>Sorghos plantés dans des poquets</w:t>
            </w:r>
          </w:p>
        </w:tc>
      </w:tr>
    </w:tbl>
    <w:p w14:paraId="2122CB62" w14:textId="4B85311C" w:rsidR="00671DDC" w:rsidRDefault="00671DDC" w:rsidP="00671DDC">
      <w:pPr>
        <w:spacing w:after="0" w:line="240" w:lineRule="auto"/>
      </w:pPr>
    </w:p>
    <w:p w14:paraId="66C92AAF" w14:textId="77777777" w:rsidR="00671DDC" w:rsidRDefault="00671DDC" w:rsidP="00DC6C84">
      <w:pPr>
        <w:pStyle w:val="Titre2"/>
      </w:pPr>
      <w:bookmarkStart w:id="246" w:name="_Toc139181537"/>
      <w:r>
        <w:t>Irrigation</w:t>
      </w:r>
      <w:bookmarkEnd w:id="246"/>
    </w:p>
    <w:p w14:paraId="4FB9E2FA" w14:textId="77777777" w:rsidR="00671DDC" w:rsidRDefault="00671DDC" w:rsidP="00671DDC">
      <w:pPr>
        <w:spacing w:after="0" w:line="240" w:lineRule="auto"/>
      </w:pPr>
    </w:p>
    <w:p w14:paraId="4EE1327C" w14:textId="77777777" w:rsidR="00671DDC" w:rsidRDefault="00671DDC" w:rsidP="00671DDC">
      <w:pPr>
        <w:spacing w:after="0" w:line="240" w:lineRule="auto"/>
        <w:jc w:val="both"/>
      </w:pPr>
      <w:r w:rsidRPr="00AA1744">
        <w:rPr>
          <w:b/>
          <w:bCs/>
        </w:rPr>
        <w:t>Irrigation</w:t>
      </w:r>
      <w:r w:rsidRPr="00AA1744">
        <w:t xml:space="preserve"> : Techniques permettant d’irriguer c’est-à-dire d’apporter de l’eau aux cultures sur un territoire où elle manque. L’irrigation nécessite donc l’utilisation de pompes, de tuyaux, de canaux, le creusement de puits, etc. On </w:t>
      </w:r>
      <w:r w:rsidRPr="00AA1744">
        <w:lastRenderedPageBreak/>
        <w:t>parle aussi de cultures irriguées pour désigner les champs qui apparaissent parfois dans les déserts</w:t>
      </w:r>
      <w:r>
        <w:t>,</w:t>
      </w:r>
      <w:r w:rsidRPr="00AA1744">
        <w:t xml:space="preserve"> suite à l’apport d’eau</w:t>
      </w:r>
      <w:r>
        <w:rPr>
          <w:rStyle w:val="Appelnotedebasdep"/>
        </w:rPr>
        <w:footnoteReference w:id="174"/>
      </w:r>
      <w:r w:rsidRPr="00AA1744">
        <w:t>.</w:t>
      </w:r>
    </w:p>
    <w:p w14:paraId="305AAE9E" w14:textId="77777777" w:rsidR="00671DDC" w:rsidRDefault="00671DDC" w:rsidP="00671DDC">
      <w:pPr>
        <w:spacing w:after="0" w:line="240" w:lineRule="auto"/>
        <w:jc w:val="both"/>
      </w:pPr>
    </w:p>
    <w:p w14:paraId="21E9A8A2" w14:textId="6946A292" w:rsidR="00671DDC" w:rsidRDefault="00671DDC" w:rsidP="00671DDC">
      <w:pPr>
        <w:spacing w:after="0" w:line="240" w:lineRule="auto"/>
        <w:jc w:val="both"/>
        <w:rPr>
          <w:rFonts w:ascii="Calibri" w:hAnsi="Calibri" w:cs="Calibri"/>
        </w:rPr>
      </w:pPr>
      <w:r w:rsidRPr="00BB43E5">
        <w:rPr>
          <w:rFonts w:ascii="Calibri" w:hAnsi="Calibri" w:cs="Calibri"/>
          <w:color w:val="000000" w:themeColor="text1"/>
          <w:shd w:val="clear" w:color="auto" w:fill="FFFFFF"/>
        </w:rPr>
        <w:t>On peut distinguer plusieurs techniques d’irrigation, plus ou moins </w:t>
      </w:r>
      <w:hyperlink r:id="rId3232" w:tooltip="Économies d'eau" w:history="1">
        <w:r w:rsidRPr="00BB43E5">
          <w:rPr>
            <w:rStyle w:val="Lienhypertexte"/>
            <w:rFonts w:ascii="Calibri" w:hAnsi="Calibri" w:cs="Calibri"/>
            <w:color w:val="0645AD"/>
            <w:shd w:val="clear" w:color="auto" w:fill="FFFFFF"/>
          </w:rPr>
          <w:t>économes en eau</w:t>
        </w:r>
      </w:hyperlink>
      <w:r w:rsidRPr="00BB43E5">
        <w:rPr>
          <w:rFonts w:ascii="Calibri" w:hAnsi="Calibri" w:cs="Calibri"/>
          <w:color w:val="202122"/>
          <w:shd w:val="clear" w:color="auto" w:fill="FFFFFF"/>
        </w:rPr>
        <w:t> (</w:t>
      </w:r>
      <w:r w:rsidRPr="00BB43E5">
        <w:rPr>
          <w:rFonts w:ascii="Calibri" w:hAnsi="Calibri" w:cs="Calibri"/>
          <w:color w:val="000000" w:themeColor="text1"/>
          <w:shd w:val="clear" w:color="auto" w:fill="FFFFFF"/>
        </w:rPr>
        <w:t>ou à risque de </w:t>
      </w:r>
      <w:hyperlink r:id="rId3233" w:tooltip="Salinisation" w:history="1">
        <w:r w:rsidRPr="00BB43E5">
          <w:rPr>
            <w:rStyle w:val="Lienhypertexte"/>
            <w:rFonts w:ascii="Calibri" w:hAnsi="Calibri" w:cs="Calibri"/>
            <w:color w:val="0645AD"/>
            <w:shd w:val="clear" w:color="auto" w:fill="FFFFFF"/>
          </w:rPr>
          <w:t>salinisation</w:t>
        </w:r>
      </w:hyperlink>
      <w:r w:rsidRPr="00BB43E5">
        <w:rPr>
          <w:rFonts w:ascii="Calibri" w:hAnsi="Calibri" w:cs="Calibri"/>
          <w:color w:val="202122"/>
          <w:shd w:val="clear" w:color="auto" w:fill="FFFFFF"/>
        </w:rPr>
        <w:t xml:space="preserve">, </w:t>
      </w:r>
      <w:r w:rsidRPr="00BB43E5">
        <w:rPr>
          <w:rFonts w:ascii="Calibri" w:hAnsi="Calibri" w:cs="Calibri"/>
          <w:color w:val="000000" w:themeColor="text1"/>
          <w:shd w:val="clear" w:color="auto" w:fill="FFFFFF"/>
        </w:rPr>
        <w:t>etc.), outre l'arrosage manuel (arrosoir, seau, </w:t>
      </w:r>
      <w:r w:rsidRPr="00BB43E5">
        <w:rPr>
          <w:rFonts w:ascii="Calibri" w:hAnsi="Calibri" w:cs="Calibri"/>
          <w:color w:val="000000" w:themeColor="text1"/>
        </w:rPr>
        <w:t>etc.</w:t>
      </w:r>
      <w:r w:rsidRPr="00BB43E5">
        <w:rPr>
          <w:rFonts w:ascii="Calibri" w:hAnsi="Calibri" w:cs="Calibri"/>
          <w:color w:val="000000" w:themeColor="text1"/>
          <w:shd w:val="clear" w:color="auto" w:fill="FFFFFF"/>
        </w:rPr>
        <w:t>) réservé aux très petites surfaces</w:t>
      </w:r>
      <w:r>
        <w:rPr>
          <w:rFonts w:ascii="Calibri" w:hAnsi="Calibri" w:cs="Calibri"/>
          <w:color w:val="000000" w:themeColor="text1"/>
        </w:rPr>
        <w:t>, dont les techniques par :</w:t>
      </w:r>
      <w:r w:rsidRPr="00BB43E5">
        <w:rPr>
          <w:rFonts w:ascii="Calibri" w:hAnsi="Calibri" w:cs="Calibri"/>
        </w:rPr>
        <w:t xml:space="preserve"> a) écoulement de surface, b) aspersion, c) micro-irrigation ou irrigation localisé (goutte à goutte ...), d) submersion, e) abissage (dérivation d'un cours d'eau)</w:t>
      </w:r>
      <w:r>
        <w:rPr>
          <w:rFonts w:ascii="Calibri" w:hAnsi="Calibri" w:cs="Calibri"/>
        </w:rPr>
        <w:t>.</w:t>
      </w:r>
    </w:p>
    <w:p w14:paraId="55D7A031" w14:textId="4C2959E2" w:rsidR="00FF038A" w:rsidRDefault="00FF038A" w:rsidP="00671DDC">
      <w:pPr>
        <w:spacing w:after="0" w:line="240" w:lineRule="auto"/>
        <w:jc w:val="both"/>
        <w:rPr>
          <w:rFonts w:ascii="Calibri" w:hAnsi="Calibri" w:cs="Calibri"/>
        </w:rPr>
      </w:pPr>
    </w:p>
    <w:p w14:paraId="6BEB6B44" w14:textId="4D1382A5" w:rsidR="00FF038A" w:rsidRPr="00FF038A" w:rsidRDefault="00FF038A" w:rsidP="00FF038A">
      <w:pPr>
        <w:spacing w:after="0" w:line="240" w:lineRule="auto"/>
        <w:jc w:val="both"/>
        <w:rPr>
          <w:rFonts w:ascii="Calibri" w:hAnsi="Calibri" w:cs="Calibri"/>
          <w:b/>
          <w:bCs/>
        </w:rPr>
      </w:pPr>
      <w:r w:rsidRPr="00FF038A">
        <w:rPr>
          <w:rFonts w:ascii="Calibri" w:hAnsi="Calibri" w:cs="Calibri"/>
          <w:b/>
          <w:bCs/>
        </w:rPr>
        <w:t>Écoulement de surface</w:t>
      </w:r>
      <w:r>
        <w:rPr>
          <w:rFonts w:ascii="Calibri" w:hAnsi="Calibri" w:cs="Calibri"/>
          <w:b/>
          <w:bCs/>
        </w:rPr>
        <w:t xml:space="preserve"> ou irrigation gravitaire</w:t>
      </w:r>
    </w:p>
    <w:p w14:paraId="417F0CD5" w14:textId="77777777" w:rsidR="00FF038A" w:rsidRPr="00FF038A" w:rsidRDefault="00FF038A" w:rsidP="00FF038A">
      <w:pPr>
        <w:spacing w:after="0" w:line="240" w:lineRule="auto"/>
        <w:jc w:val="both"/>
        <w:rPr>
          <w:rFonts w:ascii="Calibri" w:hAnsi="Calibri" w:cs="Calibri"/>
        </w:rPr>
      </w:pPr>
    </w:p>
    <w:p w14:paraId="421C2E68" w14:textId="77777777" w:rsidR="00FF038A" w:rsidRPr="00FF038A" w:rsidRDefault="00FF038A" w:rsidP="00FF038A">
      <w:pPr>
        <w:spacing w:after="0" w:line="240" w:lineRule="auto"/>
        <w:jc w:val="both"/>
        <w:rPr>
          <w:rFonts w:ascii="Calibri" w:hAnsi="Calibri" w:cs="Calibri"/>
        </w:rPr>
      </w:pPr>
      <w:r w:rsidRPr="00FF038A">
        <w:rPr>
          <w:rFonts w:ascii="Calibri" w:hAnsi="Calibri" w:cs="Calibri"/>
        </w:rPr>
        <w:t>L'irrigation de surface (« irrigation par sillons », « à la raie » ou « gravitaire »), utilise la gravité via un réseau de canaux et rigoles de taille dégressive. L'arrosage lui-même s'effectue ensuite par ruissellement, par submersion ou par infiltration dans le sous-sol proche des cultures.</w:t>
      </w:r>
    </w:p>
    <w:p w14:paraId="4E2D1C41" w14:textId="77777777" w:rsidR="00FF038A" w:rsidRPr="00FF038A" w:rsidRDefault="00FF038A" w:rsidP="00FF038A">
      <w:pPr>
        <w:spacing w:after="0" w:line="240" w:lineRule="auto"/>
        <w:jc w:val="both"/>
        <w:rPr>
          <w:rFonts w:ascii="Calibri" w:hAnsi="Calibri" w:cs="Calibri"/>
        </w:rPr>
      </w:pPr>
    </w:p>
    <w:p w14:paraId="33A1C69A" w14:textId="77777777" w:rsidR="00FF038A" w:rsidRPr="00FF038A" w:rsidRDefault="00FF038A" w:rsidP="00FF038A">
      <w:pPr>
        <w:spacing w:after="0" w:line="240" w:lineRule="auto"/>
        <w:jc w:val="both"/>
        <w:rPr>
          <w:rFonts w:ascii="Calibri" w:hAnsi="Calibri" w:cs="Calibri"/>
          <w:b/>
          <w:bCs/>
        </w:rPr>
      </w:pPr>
      <w:r w:rsidRPr="00FF038A">
        <w:rPr>
          <w:rFonts w:ascii="Calibri" w:hAnsi="Calibri" w:cs="Calibri"/>
          <w:b/>
          <w:bCs/>
        </w:rPr>
        <w:t>Asperseur</w:t>
      </w:r>
    </w:p>
    <w:p w14:paraId="604CC561" w14:textId="77777777" w:rsidR="00FF038A" w:rsidRPr="00FF038A" w:rsidRDefault="00FF038A" w:rsidP="00FF038A">
      <w:pPr>
        <w:spacing w:after="0" w:line="240" w:lineRule="auto"/>
        <w:jc w:val="both"/>
        <w:rPr>
          <w:rFonts w:ascii="Calibri" w:hAnsi="Calibri" w:cs="Calibri"/>
        </w:rPr>
      </w:pPr>
    </w:p>
    <w:p w14:paraId="7C3D065B" w14:textId="73DD2F9C" w:rsidR="00FF038A" w:rsidRPr="00FF038A" w:rsidRDefault="00FF038A" w:rsidP="00FF038A">
      <w:pPr>
        <w:spacing w:after="0" w:line="240" w:lineRule="auto"/>
        <w:jc w:val="both"/>
        <w:rPr>
          <w:rFonts w:ascii="Calibri" w:hAnsi="Calibri" w:cs="Calibri"/>
        </w:rPr>
      </w:pPr>
      <w:r w:rsidRPr="00FF038A">
        <w:rPr>
          <w:rFonts w:ascii="Calibri" w:hAnsi="Calibri" w:cs="Calibri"/>
        </w:rPr>
        <w:t>Cette technique consiste à imiter l'effet des précipitations : l'eau, acheminée sous pression par des tuyaux flexibles, est propulsée en l'air sous forme de gouttelettes, lesquelles retombent sur les cultures autour de chaque asperseur. La technique peut être déclinée en micro</w:t>
      </w:r>
      <w:r>
        <w:rPr>
          <w:rFonts w:ascii="Calibri" w:hAnsi="Calibri" w:cs="Calibri"/>
        </w:rPr>
        <w:t>-</w:t>
      </w:r>
      <w:r w:rsidRPr="00FF038A">
        <w:rPr>
          <w:rFonts w:ascii="Calibri" w:hAnsi="Calibri" w:cs="Calibri"/>
        </w:rPr>
        <w:t>aspersion, semblable à la précédente mais plus localisée donc plus économe en eau.</w:t>
      </w:r>
    </w:p>
    <w:p w14:paraId="4C29D562" w14:textId="77777777" w:rsidR="00FF038A" w:rsidRPr="00FF038A" w:rsidRDefault="00FF038A" w:rsidP="00FF038A">
      <w:pPr>
        <w:spacing w:after="0" w:line="240" w:lineRule="auto"/>
        <w:jc w:val="both"/>
        <w:rPr>
          <w:rFonts w:ascii="Calibri" w:hAnsi="Calibri" w:cs="Calibri"/>
        </w:rPr>
      </w:pPr>
    </w:p>
    <w:p w14:paraId="7BEBE20C" w14:textId="77777777" w:rsidR="00FF038A" w:rsidRPr="00FF038A" w:rsidRDefault="00FF038A" w:rsidP="00FF038A">
      <w:pPr>
        <w:spacing w:after="0" w:line="240" w:lineRule="auto"/>
        <w:jc w:val="both"/>
        <w:rPr>
          <w:rFonts w:ascii="Calibri" w:hAnsi="Calibri" w:cs="Calibri"/>
          <w:b/>
          <w:bCs/>
        </w:rPr>
      </w:pPr>
      <w:r w:rsidRPr="00FF038A">
        <w:rPr>
          <w:rFonts w:ascii="Calibri" w:hAnsi="Calibri" w:cs="Calibri"/>
          <w:b/>
          <w:bCs/>
        </w:rPr>
        <w:t>Micro-irrigation ou irrigation localisée</w:t>
      </w:r>
    </w:p>
    <w:p w14:paraId="234BD136" w14:textId="77777777" w:rsidR="00FF038A" w:rsidRPr="00FF038A" w:rsidRDefault="00FF038A" w:rsidP="00FF038A">
      <w:pPr>
        <w:spacing w:after="0" w:line="240" w:lineRule="auto"/>
        <w:jc w:val="both"/>
        <w:rPr>
          <w:rFonts w:ascii="Calibri" w:hAnsi="Calibri" w:cs="Calibri"/>
        </w:rPr>
      </w:pPr>
    </w:p>
    <w:p w14:paraId="2EA5B8FE" w14:textId="77777777" w:rsidR="00FF038A" w:rsidRPr="00FF038A" w:rsidRDefault="00FF038A" w:rsidP="00FF038A">
      <w:pPr>
        <w:spacing w:after="0" w:line="240" w:lineRule="auto"/>
        <w:jc w:val="both"/>
        <w:rPr>
          <w:rFonts w:ascii="Calibri" w:hAnsi="Calibri" w:cs="Calibri"/>
        </w:rPr>
      </w:pPr>
      <w:r w:rsidRPr="00FF038A">
        <w:rPr>
          <w:rFonts w:ascii="Calibri" w:hAnsi="Calibri" w:cs="Calibri"/>
        </w:rPr>
        <w:t>La micro-irrigation consiste à acheminer l'eau jusqu'aux racines des plantes, de manière très localisée et uniquement à la quantité nécessaire, ce qui permet en outre d'éviter le ruissellement source de pertes de minéraux et nutriments solubles. C'est un enjeu majeur en zone aride3 et d'oasis4. Dans le contexte du réchauffement climatique, elle devient un enjeu important.</w:t>
      </w:r>
    </w:p>
    <w:p w14:paraId="26B6C0D7" w14:textId="77777777" w:rsidR="00FF038A" w:rsidRPr="00FF038A" w:rsidRDefault="00FF038A" w:rsidP="00FF038A">
      <w:pPr>
        <w:spacing w:after="0" w:line="240" w:lineRule="auto"/>
        <w:jc w:val="both"/>
        <w:rPr>
          <w:rFonts w:ascii="Calibri" w:hAnsi="Calibri" w:cs="Calibri"/>
        </w:rPr>
      </w:pPr>
    </w:p>
    <w:p w14:paraId="4C10C668" w14:textId="77777777" w:rsidR="00FF038A" w:rsidRPr="00FF038A" w:rsidRDefault="00FF038A" w:rsidP="00FF038A">
      <w:pPr>
        <w:spacing w:after="0" w:line="240" w:lineRule="auto"/>
        <w:jc w:val="both"/>
        <w:rPr>
          <w:rFonts w:ascii="Calibri" w:hAnsi="Calibri" w:cs="Calibri"/>
          <w:b/>
          <w:bCs/>
        </w:rPr>
      </w:pPr>
      <w:r w:rsidRPr="00FF038A">
        <w:rPr>
          <w:rFonts w:ascii="Calibri" w:hAnsi="Calibri" w:cs="Calibri"/>
          <w:b/>
          <w:bCs/>
        </w:rPr>
        <w:t>Submersion</w:t>
      </w:r>
    </w:p>
    <w:p w14:paraId="3A985681" w14:textId="77777777" w:rsidR="00FF038A" w:rsidRPr="00FF038A" w:rsidRDefault="00FF038A" w:rsidP="00FF038A">
      <w:pPr>
        <w:spacing w:after="0" w:line="240" w:lineRule="auto"/>
        <w:jc w:val="both"/>
        <w:rPr>
          <w:rFonts w:ascii="Calibri" w:hAnsi="Calibri" w:cs="Calibri"/>
        </w:rPr>
      </w:pPr>
    </w:p>
    <w:p w14:paraId="013B5AB9" w14:textId="77777777" w:rsidR="00FF038A" w:rsidRPr="00FF038A" w:rsidRDefault="00FF038A" w:rsidP="00FF038A">
      <w:pPr>
        <w:spacing w:after="0" w:line="240" w:lineRule="auto"/>
        <w:jc w:val="both"/>
        <w:rPr>
          <w:rFonts w:ascii="Calibri" w:hAnsi="Calibri" w:cs="Calibri"/>
        </w:rPr>
      </w:pPr>
      <w:r w:rsidRPr="00FF038A">
        <w:rPr>
          <w:rFonts w:ascii="Calibri" w:hAnsi="Calibri" w:cs="Calibri"/>
        </w:rPr>
        <w:t>L'irrigation par inondation ou submersion consiste, comme son nom l'indique, à recouvrir d'eau la parcelle. C'est la technique appliquée dans les rizières ; c'est aussi celle qui fertilisait l'Égypte par les crues du Nil.</w:t>
      </w:r>
    </w:p>
    <w:p w14:paraId="5D142619" w14:textId="77777777" w:rsidR="00FF038A" w:rsidRPr="00FF038A" w:rsidRDefault="00FF038A" w:rsidP="00FF038A">
      <w:pPr>
        <w:spacing w:after="0" w:line="240" w:lineRule="auto"/>
        <w:jc w:val="both"/>
        <w:rPr>
          <w:rFonts w:ascii="Calibri" w:hAnsi="Calibri" w:cs="Calibri"/>
        </w:rPr>
      </w:pPr>
    </w:p>
    <w:p w14:paraId="69068471" w14:textId="77777777" w:rsidR="00FF038A" w:rsidRPr="00FF038A" w:rsidRDefault="00FF038A" w:rsidP="00FF038A">
      <w:pPr>
        <w:spacing w:after="0" w:line="240" w:lineRule="auto"/>
        <w:jc w:val="both"/>
        <w:rPr>
          <w:rFonts w:ascii="Calibri" w:hAnsi="Calibri" w:cs="Calibri"/>
          <w:b/>
          <w:bCs/>
        </w:rPr>
      </w:pPr>
      <w:r w:rsidRPr="00FF038A">
        <w:rPr>
          <w:rFonts w:ascii="Calibri" w:hAnsi="Calibri" w:cs="Calibri"/>
          <w:b/>
          <w:bCs/>
        </w:rPr>
        <w:t>Abissage</w:t>
      </w:r>
    </w:p>
    <w:p w14:paraId="3A13D5EB" w14:textId="77777777" w:rsidR="00FF038A" w:rsidRPr="00FF038A" w:rsidRDefault="00FF038A" w:rsidP="00FF038A">
      <w:pPr>
        <w:spacing w:after="0" w:line="240" w:lineRule="auto"/>
        <w:jc w:val="both"/>
        <w:rPr>
          <w:rFonts w:ascii="Calibri" w:hAnsi="Calibri" w:cs="Calibri"/>
        </w:rPr>
      </w:pPr>
    </w:p>
    <w:p w14:paraId="696A0406" w14:textId="26025D4F" w:rsidR="00FF038A" w:rsidRDefault="00FF038A" w:rsidP="00FF038A">
      <w:pPr>
        <w:spacing w:after="0" w:line="240" w:lineRule="auto"/>
        <w:jc w:val="both"/>
        <w:rPr>
          <w:rFonts w:ascii="Calibri" w:hAnsi="Calibri" w:cs="Calibri"/>
        </w:rPr>
      </w:pPr>
      <w:r w:rsidRPr="00FF038A">
        <w:rPr>
          <w:rFonts w:ascii="Calibri" w:hAnsi="Calibri" w:cs="Calibri"/>
        </w:rPr>
        <w:t>Cette technique consiste à dériver un cours d'eau dans une rigole en vue de l'amener en amont des prairies à irriguer.</w:t>
      </w:r>
    </w:p>
    <w:p w14:paraId="7FBA6A1B" w14:textId="07787B4C" w:rsidR="00FF038A" w:rsidRDefault="00FF038A" w:rsidP="00671DDC">
      <w:pPr>
        <w:spacing w:after="0" w:line="240" w:lineRule="auto"/>
        <w:jc w:val="both"/>
        <w:rPr>
          <w:rFonts w:ascii="Calibri" w:hAnsi="Calibri" w:cs="Calibri"/>
          <w:color w:val="000000" w:themeColor="text1"/>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8A322B" w:rsidRPr="00A70106" w14:paraId="52BB1B77" w14:textId="77777777" w:rsidTr="007D35B5">
        <w:tc>
          <w:tcPr>
            <w:tcW w:w="3472" w:type="dxa"/>
          </w:tcPr>
          <w:p w14:paraId="64D8B878" w14:textId="5F8C3E31" w:rsidR="00EF15FE" w:rsidRPr="00A70106" w:rsidRDefault="00EF15FE" w:rsidP="00EF15FE">
            <w:pPr>
              <w:jc w:val="center"/>
              <w:rPr>
                <w:rFonts w:ascii="Calibri" w:hAnsi="Calibri" w:cs="Calibri"/>
                <w:color w:val="000000" w:themeColor="text1"/>
              </w:rPr>
            </w:pPr>
            <w:r w:rsidRPr="00A70106">
              <w:rPr>
                <w:rFonts w:ascii="Calibri" w:hAnsi="Calibri" w:cs="Calibri"/>
                <w:noProof/>
              </w:rPr>
              <w:lastRenderedPageBreak/>
              <w:drawing>
                <wp:inline distT="0" distB="0" distL="0" distR="0" wp14:anchorId="18C07F36" wp14:editId="7130BF68">
                  <wp:extent cx="1905000" cy="1265863"/>
                  <wp:effectExtent l="0" t="0" r="0" b="0"/>
                  <wp:docPr id="42009" name="Image 4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34">
                            <a:extLst>
                              <a:ext uri="{28A0092B-C50C-407E-A947-70E740481C1C}">
                                <a14:useLocalDpi xmlns:a14="http://schemas.microsoft.com/office/drawing/2010/main" val="0"/>
                              </a:ext>
                            </a:extLst>
                          </a:blip>
                          <a:srcRect/>
                          <a:stretch>
                            <a:fillRect/>
                          </a:stretch>
                        </pic:blipFill>
                        <pic:spPr bwMode="auto">
                          <a:xfrm>
                            <a:off x="0" y="0"/>
                            <a:ext cx="1912851" cy="1271080"/>
                          </a:xfrm>
                          <a:prstGeom prst="rect">
                            <a:avLst/>
                          </a:prstGeom>
                          <a:noFill/>
                          <a:ln>
                            <a:noFill/>
                          </a:ln>
                        </pic:spPr>
                      </pic:pic>
                    </a:graphicData>
                  </a:graphic>
                </wp:inline>
              </w:drawing>
            </w:r>
          </w:p>
          <w:p w14:paraId="66629798" w14:textId="410E1F2B" w:rsidR="00EF15FE" w:rsidRPr="00A70106" w:rsidRDefault="00EF15FE" w:rsidP="00EF15FE">
            <w:pPr>
              <w:jc w:val="center"/>
              <w:rPr>
                <w:rFonts w:ascii="Calibri" w:hAnsi="Calibri" w:cs="Calibri"/>
                <w:color w:val="000000" w:themeColor="text1"/>
              </w:rPr>
            </w:pPr>
            <w:r w:rsidRPr="00A70106">
              <w:rPr>
                <w:rFonts w:ascii="Calibri" w:hAnsi="Calibri" w:cs="Calibri"/>
                <w:color w:val="202122"/>
                <w:shd w:val="clear" w:color="auto" w:fill="F8F9FA"/>
              </w:rPr>
              <w:t xml:space="preserve">Irrigation par aspersion d'un champ de </w:t>
            </w:r>
            <w:r w:rsidR="00CF1ADC" w:rsidRPr="00A70106">
              <w:rPr>
                <w:rFonts w:ascii="Calibri" w:hAnsi="Calibri" w:cs="Calibri"/>
                <w:color w:val="202122"/>
                <w:shd w:val="clear" w:color="auto" w:fill="F8F9FA"/>
              </w:rPr>
              <w:t>maïs</w:t>
            </w:r>
            <w:r w:rsidRPr="00A70106">
              <w:rPr>
                <w:rFonts w:ascii="Calibri" w:hAnsi="Calibri" w:cs="Calibri"/>
                <w:color w:val="202122"/>
                <w:shd w:val="clear" w:color="auto" w:fill="F8F9FA"/>
              </w:rPr>
              <w:t xml:space="preserve"> dans la vallée de la </w:t>
            </w:r>
            <w:hyperlink r:id="rId3235" w:history="1">
              <w:r w:rsidRPr="00A70106">
                <w:rPr>
                  <w:rStyle w:val="Lienhypertexte"/>
                  <w:rFonts w:ascii="Calibri" w:hAnsi="Calibri" w:cs="Calibri"/>
                  <w:color w:val="0645AD"/>
                  <w:shd w:val="clear" w:color="auto" w:fill="F8F9FA"/>
                </w:rPr>
                <w:t>Méouge</w:t>
              </w:r>
            </w:hyperlink>
            <w:r w:rsidRPr="00A70106">
              <w:rPr>
                <w:rFonts w:ascii="Calibri" w:hAnsi="Calibri" w:cs="Calibri"/>
                <w:color w:val="202122"/>
                <w:shd w:val="clear" w:color="auto" w:fill="F8F9FA"/>
              </w:rPr>
              <w:t>.</w:t>
            </w:r>
          </w:p>
        </w:tc>
        <w:tc>
          <w:tcPr>
            <w:tcW w:w="3472" w:type="dxa"/>
          </w:tcPr>
          <w:p w14:paraId="45B554C2" w14:textId="2DF5F84B" w:rsidR="00EF15FE" w:rsidRPr="00A70106" w:rsidRDefault="00EF15FE" w:rsidP="00EF15FE">
            <w:pPr>
              <w:jc w:val="center"/>
              <w:rPr>
                <w:rFonts w:ascii="Calibri" w:hAnsi="Calibri" w:cs="Calibri"/>
                <w:color w:val="000000" w:themeColor="text1"/>
              </w:rPr>
            </w:pPr>
            <w:r w:rsidRPr="00A70106">
              <w:rPr>
                <w:rFonts w:ascii="Calibri" w:hAnsi="Calibri" w:cs="Calibri"/>
                <w:noProof/>
              </w:rPr>
              <w:drawing>
                <wp:inline distT="0" distB="0" distL="0" distR="0" wp14:anchorId="3B6E0E73" wp14:editId="77E52CD6">
                  <wp:extent cx="2009775" cy="1381125"/>
                  <wp:effectExtent l="0" t="0" r="9525" b="9525"/>
                  <wp:docPr id="42011" name="Image 4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36">
                            <a:extLst>
                              <a:ext uri="{28A0092B-C50C-407E-A947-70E740481C1C}">
                                <a14:useLocalDpi xmlns:a14="http://schemas.microsoft.com/office/drawing/2010/main" val="0"/>
                              </a:ext>
                            </a:extLst>
                          </a:blip>
                          <a:srcRect/>
                          <a:stretch>
                            <a:fillRect/>
                          </a:stretch>
                        </pic:blipFill>
                        <pic:spPr bwMode="auto">
                          <a:xfrm>
                            <a:off x="0" y="0"/>
                            <a:ext cx="2009775" cy="1381125"/>
                          </a:xfrm>
                          <a:prstGeom prst="rect">
                            <a:avLst/>
                          </a:prstGeom>
                          <a:noFill/>
                          <a:ln>
                            <a:noFill/>
                          </a:ln>
                        </pic:spPr>
                      </pic:pic>
                    </a:graphicData>
                  </a:graphic>
                </wp:inline>
              </w:drawing>
            </w:r>
          </w:p>
          <w:p w14:paraId="6F5E8891" w14:textId="6B47A571" w:rsidR="00EF15FE" w:rsidRPr="00A70106" w:rsidRDefault="00EF15FE" w:rsidP="00EF15FE">
            <w:pPr>
              <w:jc w:val="center"/>
              <w:rPr>
                <w:rFonts w:ascii="Calibri" w:hAnsi="Calibri" w:cs="Calibri"/>
                <w:color w:val="000000" w:themeColor="text1"/>
              </w:rPr>
            </w:pPr>
            <w:r w:rsidRPr="00A70106">
              <w:rPr>
                <w:rFonts w:ascii="Calibri" w:hAnsi="Calibri" w:cs="Calibri"/>
                <w:color w:val="202122"/>
                <w:shd w:val="clear" w:color="auto" w:fill="F8F9FA"/>
              </w:rPr>
              <w:t>Irrigation à pivot central du coton aux États-Unis.</w:t>
            </w:r>
          </w:p>
        </w:tc>
        <w:tc>
          <w:tcPr>
            <w:tcW w:w="3472" w:type="dxa"/>
          </w:tcPr>
          <w:p w14:paraId="19027E71" w14:textId="6A788F74" w:rsidR="00EF15FE" w:rsidRPr="00A70106" w:rsidRDefault="00EF15FE" w:rsidP="00EF15FE">
            <w:pPr>
              <w:jc w:val="center"/>
              <w:rPr>
                <w:rFonts w:ascii="Calibri" w:hAnsi="Calibri" w:cs="Calibri"/>
                <w:color w:val="202122"/>
                <w:shd w:val="clear" w:color="auto" w:fill="F8F9FA"/>
              </w:rPr>
            </w:pPr>
            <w:r w:rsidRPr="00A70106">
              <w:rPr>
                <w:rFonts w:ascii="Calibri" w:hAnsi="Calibri" w:cs="Calibri"/>
                <w:noProof/>
              </w:rPr>
              <w:drawing>
                <wp:inline distT="0" distB="0" distL="0" distR="0" wp14:anchorId="58F7ADDA" wp14:editId="5DE77AE3">
                  <wp:extent cx="1152525" cy="1771474"/>
                  <wp:effectExtent l="0" t="0" r="0" b="635"/>
                  <wp:docPr id="41998" name="Image 41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37">
                            <a:extLst>
                              <a:ext uri="{28A0092B-C50C-407E-A947-70E740481C1C}">
                                <a14:useLocalDpi xmlns:a14="http://schemas.microsoft.com/office/drawing/2010/main" val="0"/>
                              </a:ext>
                            </a:extLst>
                          </a:blip>
                          <a:srcRect/>
                          <a:stretch>
                            <a:fillRect/>
                          </a:stretch>
                        </pic:blipFill>
                        <pic:spPr bwMode="auto">
                          <a:xfrm>
                            <a:off x="0" y="0"/>
                            <a:ext cx="1156949" cy="1778274"/>
                          </a:xfrm>
                          <a:prstGeom prst="rect">
                            <a:avLst/>
                          </a:prstGeom>
                          <a:noFill/>
                          <a:ln>
                            <a:noFill/>
                          </a:ln>
                        </pic:spPr>
                      </pic:pic>
                    </a:graphicData>
                  </a:graphic>
                </wp:inline>
              </w:drawing>
            </w:r>
          </w:p>
          <w:p w14:paraId="18AA2787" w14:textId="1F79A6D8" w:rsidR="00EF15FE" w:rsidRPr="00A70106" w:rsidRDefault="00EF15FE" w:rsidP="00EF15FE">
            <w:pPr>
              <w:jc w:val="center"/>
              <w:rPr>
                <w:rFonts w:ascii="Calibri" w:hAnsi="Calibri" w:cs="Calibri"/>
                <w:color w:val="000000" w:themeColor="text1"/>
              </w:rPr>
            </w:pPr>
            <w:r w:rsidRPr="00A70106">
              <w:rPr>
                <w:rFonts w:ascii="Calibri" w:hAnsi="Calibri" w:cs="Calibri"/>
                <w:color w:val="202122"/>
                <w:shd w:val="clear" w:color="auto" w:fill="F8F9FA"/>
              </w:rPr>
              <w:t>La plaque tournante d'un système d'irrigation à pivot central</w:t>
            </w:r>
          </w:p>
        </w:tc>
      </w:tr>
      <w:tr w:rsidR="008A322B" w:rsidRPr="00A70106" w14:paraId="09D166BF" w14:textId="77777777" w:rsidTr="007D35B5">
        <w:tc>
          <w:tcPr>
            <w:tcW w:w="3472" w:type="dxa"/>
          </w:tcPr>
          <w:p w14:paraId="38675F39" w14:textId="0503A87B" w:rsidR="00EF15FE" w:rsidRPr="00A70106" w:rsidRDefault="00CF1ADC" w:rsidP="00EF15FE">
            <w:pPr>
              <w:jc w:val="center"/>
              <w:rPr>
                <w:rFonts w:ascii="Calibri" w:hAnsi="Calibri" w:cs="Calibri"/>
                <w:color w:val="000000" w:themeColor="text1"/>
              </w:rPr>
            </w:pPr>
            <w:r w:rsidRPr="00A70106">
              <w:rPr>
                <w:rFonts w:ascii="Calibri" w:hAnsi="Calibri" w:cs="Calibri"/>
                <w:noProof/>
              </w:rPr>
              <w:drawing>
                <wp:inline distT="0" distB="0" distL="0" distR="0" wp14:anchorId="71F99D86" wp14:editId="26A47019">
                  <wp:extent cx="2000250" cy="1127414"/>
                  <wp:effectExtent l="0" t="0" r="0" b="0"/>
                  <wp:docPr id="42012" name="Image 4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38">
                            <a:extLst>
                              <a:ext uri="{28A0092B-C50C-407E-A947-70E740481C1C}">
                                <a14:useLocalDpi xmlns:a14="http://schemas.microsoft.com/office/drawing/2010/main" val="0"/>
                              </a:ext>
                            </a:extLst>
                          </a:blip>
                          <a:srcRect/>
                          <a:stretch>
                            <a:fillRect/>
                          </a:stretch>
                        </pic:blipFill>
                        <pic:spPr bwMode="auto">
                          <a:xfrm>
                            <a:off x="0" y="0"/>
                            <a:ext cx="2002301" cy="1128570"/>
                          </a:xfrm>
                          <a:prstGeom prst="rect">
                            <a:avLst/>
                          </a:prstGeom>
                          <a:noFill/>
                          <a:ln>
                            <a:noFill/>
                          </a:ln>
                        </pic:spPr>
                      </pic:pic>
                    </a:graphicData>
                  </a:graphic>
                </wp:inline>
              </w:drawing>
            </w:r>
          </w:p>
          <w:p w14:paraId="6F1991A0" w14:textId="5E08CA0B" w:rsidR="00EF15FE" w:rsidRPr="00A70106" w:rsidRDefault="00EF15FE" w:rsidP="00EF15FE">
            <w:pPr>
              <w:jc w:val="center"/>
              <w:rPr>
                <w:rFonts w:ascii="Calibri" w:hAnsi="Calibri" w:cs="Calibri"/>
                <w:color w:val="000000" w:themeColor="text1"/>
              </w:rPr>
            </w:pPr>
            <w:r w:rsidRPr="00A70106">
              <w:rPr>
                <w:rFonts w:ascii="Calibri" w:hAnsi="Calibri" w:cs="Calibri"/>
                <w:color w:val="202122"/>
                <w:shd w:val="clear" w:color="auto" w:fill="F8F9FA"/>
              </w:rPr>
              <w:t>Fuites dans les lignes de goutte </w:t>
            </w:r>
            <w:hyperlink r:id="rId3239" w:tooltip="Micro-irrigation" w:history="1">
              <w:r w:rsidRPr="00A70106">
                <w:rPr>
                  <w:rStyle w:val="Lienhypertexte"/>
                  <w:rFonts w:ascii="Calibri" w:hAnsi="Calibri" w:cs="Calibri"/>
                  <w:color w:val="0645AD"/>
                  <w:shd w:val="clear" w:color="auto" w:fill="F8F9FA"/>
                </w:rPr>
                <w:t>à</w:t>
              </w:r>
            </w:hyperlink>
            <w:r w:rsidRPr="00A70106">
              <w:rPr>
                <w:rFonts w:ascii="Calibri" w:hAnsi="Calibri" w:cs="Calibri"/>
                <w:color w:val="202122"/>
                <w:shd w:val="clear" w:color="auto" w:fill="F8F9FA"/>
              </w:rPr>
              <w:t> goutte de </w:t>
            </w:r>
            <w:hyperlink r:id="rId3240" w:tooltip="Micro-irrigation" w:history="1">
              <w:r w:rsidRPr="00A70106">
                <w:rPr>
                  <w:rStyle w:val="Lienhypertexte"/>
                  <w:rFonts w:ascii="Calibri" w:hAnsi="Calibri" w:cs="Calibri"/>
                  <w:color w:val="0645AD"/>
                  <w:shd w:val="clear" w:color="auto" w:fill="F8F9FA"/>
                </w:rPr>
                <w:t>micro-irrigation</w:t>
              </w:r>
            </w:hyperlink>
          </w:p>
        </w:tc>
        <w:tc>
          <w:tcPr>
            <w:tcW w:w="3472" w:type="dxa"/>
          </w:tcPr>
          <w:p w14:paraId="31491D4D" w14:textId="3D9BE717" w:rsidR="00EF15FE" w:rsidRPr="00A70106" w:rsidRDefault="00CF1ADC" w:rsidP="00EF15FE">
            <w:pPr>
              <w:jc w:val="center"/>
              <w:rPr>
                <w:rFonts w:ascii="Calibri" w:hAnsi="Calibri" w:cs="Calibri"/>
                <w:color w:val="000000" w:themeColor="text1"/>
              </w:rPr>
            </w:pPr>
            <w:r w:rsidRPr="00A70106">
              <w:rPr>
                <w:rFonts w:ascii="Calibri" w:hAnsi="Calibri" w:cs="Calibri"/>
                <w:noProof/>
              </w:rPr>
              <w:drawing>
                <wp:inline distT="0" distB="0" distL="0" distR="0" wp14:anchorId="6189CC4F" wp14:editId="0744CAD7">
                  <wp:extent cx="1743075" cy="1310397"/>
                  <wp:effectExtent l="0" t="0" r="0" b="4445"/>
                  <wp:docPr id="42013" name="Image 4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41">
                            <a:extLst>
                              <a:ext uri="{28A0092B-C50C-407E-A947-70E740481C1C}">
                                <a14:useLocalDpi xmlns:a14="http://schemas.microsoft.com/office/drawing/2010/main" val="0"/>
                              </a:ext>
                            </a:extLst>
                          </a:blip>
                          <a:srcRect/>
                          <a:stretch>
                            <a:fillRect/>
                          </a:stretch>
                        </pic:blipFill>
                        <pic:spPr bwMode="auto">
                          <a:xfrm>
                            <a:off x="0" y="0"/>
                            <a:ext cx="1753458" cy="1318202"/>
                          </a:xfrm>
                          <a:prstGeom prst="rect">
                            <a:avLst/>
                          </a:prstGeom>
                          <a:noFill/>
                          <a:ln>
                            <a:noFill/>
                          </a:ln>
                        </pic:spPr>
                      </pic:pic>
                    </a:graphicData>
                  </a:graphic>
                </wp:inline>
              </w:drawing>
            </w:r>
          </w:p>
          <w:p w14:paraId="42F48875" w14:textId="1CA23F76" w:rsidR="00CF1ADC" w:rsidRPr="00A70106" w:rsidRDefault="00CF1ADC" w:rsidP="00EF15FE">
            <w:pPr>
              <w:jc w:val="center"/>
              <w:rPr>
                <w:rFonts w:ascii="Calibri" w:hAnsi="Calibri" w:cs="Calibri"/>
                <w:color w:val="000000" w:themeColor="text1"/>
              </w:rPr>
            </w:pPr>
            <w:r w:rsidRPr="00A70106">
              <w:rPr>
                <w:rFonts w:ascii="Calibri" w:hAnsi="Calibri" w:cs="Calibri"/>
                <w:color w:val="202122"/>
                <w:shd w:val="clear" w:color="auto" w:fill="F8F9FA"/>
              </w:rPr>
              <w:t>Canal d'irrigation à </w:t>
            </w:r>
            <w:hyperlink r:id="rId3242" w:tooltip="Osmaniye" w:history="1">
              <w:r w:rsidRPr="00A70106">
                <w:rPr>
                  <w:rStyle w:val="Lienhypertexte"/>
                  <w:rFonts w:ascii="Calibri" w:hAnsi="Calibri" w:cs="Calibri"/>
                  <w:color w:val="0645AD"/>
                  <w:shd w:val="clear" w:color="auto" w:fill="F8F9FA"/>
                </w:rPr>
                <w:t>Osmaniye</w:t>
              </w:r>
            </w:hyperlink>
            <w:r w:rsidRPr="00A70106">
              <w:rPr>
                <w:rFonts w:ascii="Calibri" w:hAnsi="Calibri" w:cs="Calibri"/>
                <w:color w:val="202122"/>
                <w:shd w:val="clear" w:color="auto" w:fill="F8F9FA"/>
              </w:rPr>
              <w:t>, </w:t>
            </w:r>
            <w:hyperlink r:id="rId3243" w:tooltip="Turquie" w:history="1">
              <w:r w:rsidRPr="00A70106">
                <w:rPr>
                  <w:rStyle w:val="Lienhypertexte"/>
                  <w:rFonts w:ascii="Calibri" w:hAnsi="Calibri" w:cs="Calibri"/>
                  <w:color w:val="0645AD"/>
                  <w:shd w:val="clear" w:color="auto" w:fill="F8F9FA"/>
                </w:rPr>
                <w:t>Turquie</w:t>
              </w:r>
            </w:hyperlink>
            <w:r w:rsidRPr="00A70106">
              <w:rPr>
                <w:rFonts w:ascii="Calibri" w:hAnsi="Calibri" w:cs="Calibri"/>
              </w:rPr>
              <w:t>.</w:t>
            </w:r>
          </w:p>
        </w:tc>
        <w:tc>
          <w:tcPr>
            <w:tcW w:w="3472" w:type="dxa"/>
          </w:tcPr>
          <w:p w14:paraId="58C32714" w14:textId="086AE7EF" w:rsidR="00EF15FE" w:rsidRPr="00A70106" w:rsidRDefault="00CF1ADC" w:rsidP="00EF15FE">
            <w:pPr>
              <w:jc w:val="center"/>
              <w:rPr>
                <w:rFonts w:ascii="Calibri" w:hAnsi="Calibri" w:cs="Calibri"/>
                <w:color w:val="000000" w:themeColor="text1"/>
              </w:rPr>
            </w:pPr>
            <w:r w:rsidRPr="00A70106">
              <w:rPr>
                <w:rFonts w:ascii="Calibri" w:hAnsi="Calibri" w:cs="Calibri"/>
                <w:noProof/>
              </w:rPr>
              <w:drawing>
                <wp:inline distT="0" distB="0" distL="0" distR="0" wp14:anchorId="659784B6" wp14:editId="0DABA496">
                  <wp:extent cx="1622844" cy="1228725"/>
                  <wp:effectExtent l="0" t="0" r="0" b="0"/>
                  <wp:docPr id="42014" name="Image 4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44">
                            <a:extLst>
                              <a:ext uri="{28A0092B-C50C-407E-A947-70E740481C1C}">
                                <a14:useLocalDpi xmlns:a14="http://schemas.microsoft.com/office/drawing/2010/main" val="0"/>
                              </a:ext>
                            </a:extLst>
                          </a:blip>
                          <a:srcRect/>
                          <a:stretch>
                            <a:fillRect/>
                          </a:stretch>
                        </pic:blipFill>
                        <pic:spPr bwMode="auto">
                          <a:xfrm>
                            <a:off x="0" y="0"/>
                            <a:ext cx="1631003" cy="1234903"/>
                          </a:xfrm>
                          <a:prstGeom prst="rect">
                            <a:avLst/>
                          </a:prstGeom>
                          <a:noFill/>
                          <a:ln>
                            <a:noFill/>
                          </a:ln>
                        </pic:spPr>
                      </pic:pic>
                    </a:graphicData>
                  </a:graphic>
                </wp:inline>
              </w:drawing>
            </w:r>
          </w:p>
          <w:p w14:paraId="3A23C88C" w14:textId="477AE4E6" w:rsidR="00CF1ADC" w:rsidRPr="00A70106" w:rsidRDefault="00CF1ADC" w:rsidP="00EF15FE">
            <w:pPr>
              <w:jc w:val="center"/>
              <w:rPr>
                <w:rFonts w:ascii="Calibri" w:hAnsi="Calibri" w:cs="Calibri"/>
                <w:color w:val="000000" w:themeColor="text1"/>
              </w:rPr>
            </w:pPr>
            <w:r w:rsidRPr="00A70106">
              <w:rPr>
                <w:rFonts w:ascii="Calibri" w:hAnsi="Calibri" w:cs="Calibri"/>
                <w:color w:val="202122"/>
                <w:shd w:val="clear" w:color="auto" w:fill="F8F9FA"/>
              </w:rPr>
              <w:t>Irrigation par aspersion des </w:t>
            </w:r>
            <w:hyperlink r:id="rId3245" w:tooltip="Myrtille" w:history="1">
              <w:r w:rsidRPr="00A70106">
                <w:rPr>
                  <w:rStyle w:val="Lienhypertexte"/>
                  <w:rFonts w:ascii="Calibri" w:hAnsi="Calibri" w:cs="Calibri"/>
                  <w:color w:val="0645AD"/>
                  <w:shd w:val="clear" w:color="auto" w:fill="F8F9FA"/>
                </w:rPr>
                <w:t>bleuets</w:t>
              </w:r>
            </w:hyperlink>
            <w:r w:rsidRPr="00A70106">
              <w:rPr>
                <w:rFonts w:ascii="Calibri" w:hAnsi="Calibri" w:cs="Calibri"/>
                <w:color w:val="202122"/>
                <w:shd w:val="clear" w:color="auto" w:fill="F8F9FA"/>
              </w:rPr>
              <w:t> à </w:t>
            </w:r>
            <w:hyperlink r:id="rId3246" w:tooltip="Plainville, New York" w:history="1">
              <w:r w:rsidRPr="00A70106">
                <w:rPr>
                  <w:rStyle w:val="Lienhypertexte"/>
                  <w:rFonts w:ascii="Calibri" w:hAnsi="Calibri" w:cs="Calibri"/>
                  <w:color w:val="0645AD"/>
                  <w:shd w:val="clear" w:color="auto" w:fill="F8F9FA"/>
                </w:rPr>
                <w:t>Plainville, New York</w:t>
              </w:r>
            </w:hyperlink>
            <w:r w:rsidRPr="00A70106">
              <w:rPr>
                <w:rFonts w:ascii="Calibri" w:hAnsi="Calibri" w:cs="Calibri"/>
                <w:color w:val="202122"/>
                <w:shd w:val="clear" w:color="auto" w:fill="F8F9FA"/>
              </w:rPr>
              <w:t> , États-Unis.</w:t>
            </w:r>
          </w:p>
        </w:tc>
      </w:tr>
      <w:tr w:rsidR="008A322B" w:rsidRPr="00A70106" w14:paraId="0F50A2B9" w14:textId="77777777" w:rsidTr="007D35B5">
        <w:tc>
          <w:tcPr>
            <w:tcW w:w="3472" w:type="dxa"/>
          </w:tcPr>
          <w:p w14:paraId="496394D2" w14:textId="55FBB8A4" w:rsidR="00EF15FE" w:rsidRPr="00A70106" w:rsidRDefault="008A322B" w:rsidP="00EF15FE">
            <w:pPr>
              <w:jc w:val="center"/>
              <w:rPr>
                <w:rFonts w:ascii="Calibri" w:hAnsi="Calibri" w:cs="Calibri"/>
                <w:color w:val="000000" w:themeColor="text1"/>
              </w:rPr>
            </w:pPr>
            <w:r w:rsidRPr="00A70106">
              <w:rPr>
                <w:rFonts w:ascii="Calibri" w:hAnsi="Calibri" w:cs="Calibri"/>
                <w:noProof/>
              </w:rPr>
              <w:drawing>
                <wp:inline distT="0" distB="0" distL="0" distR="0" wp14:anchorId="56647512" wp14:editId="211EF933">
                  <wp:extent cx="1962150" cy="1473287"/>
                  <wp:effectExtent l="0" t="0" r="0" b="0"/>
                  <wp:docPr id="42015" name="Image 4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47">
                            <a:extLst>
                              <a:ext uri="{28A0092B-C50C-407E-A947-70E740481C1C}">
                                <a14:useLocalDpi xmlns:a14="http://schemas.microsoft.com/office/drawing/2010/main" val="0"/>
                              </a:ext>
                            </a:extLst>
                          </a:blip>
                          <a:srcRect/>
                          <a:stretch>
                            <a:fillRect/>
                          </a:stretch>
                        </pic:blipFill>
                        <pic:spPr bwMode="auto">
                          <a:xfrm>
                            <a:off x="0" y="0"/>
                            <a:ext cx="1968674" cy="1478185"/>
                          </a:xfrm>
                          <a:prstGeom prst="rect">
                            <a:avLst/>
                          </a:prstGeom>
                          <a:noFill/>
                          <a:ln>
                            <a:noFill/>
                          </a:ln>
                        </pic:spPr>
                      </pic:pic>
                    </a:graphicData>
                  </a:graphic>
                </wp:inline>
              </w:drawing>
            </w:r>
          </w:p>
          <w:p w14:paraId="415F7698" w14:textId="6B145AB8" w:rsidR="008A322B" w:rsidRPr="00A70106" w:rsidRDefault="008A322B" w:rsidP="00EF15FE">
            <w:pPr>
              <w:jc w:val="center"/>
              <w:rPr>
                <w:rFonts w:ascii="Calibri" w:hAnsi="Calibri" w:cs="Calibri"/>
                <w:color w:val="000000" w:themeColor="text1"/>
              </w:rPr>
            </w:pPr>
            <w:r w:rsidRPr="00A70106">
              <w:rPr>
                <w:rFonts w:ascii="Calibri" w:hAnsi="Calibri" w:cs="Calibri"/>
                <w:color w:val="202122"/>
                <w:shd w:val="clear" w:color="auto" w:fill="F8F9FA"/>
              </w:rPr>
              <w:t>Irrigation au </w:t>
            </w:r>
            <w:hyperlink r:id="rId3248" w:tooltip="Tamil Nadu, Inde" w:history="1">
              <w:r w:rsidRPr="00A70106">
                <w:rPr>
                  <w:rStyle w:val="Lienhypertexte"/>
                  <w:rFonts w:ascii="Calibri" w:hAnsi="Calibri" w:cs="Calibri"/>
                  <w:color w:val="0645AD"/>
                  <w:shd w:val="clear" w:color="auto" w:fill="F8F9FA"/>
                </w:rPr>
                <w:t>Tamil Nadu, Inde</w:t>
              </w:r>
            </w:hyperlink>
          </w:p>
        </w:tc>
        <w:tc>
          <w:tcPr>
            <w:tcW w:w="3472" w:type="dxa"/>
          </w:tcPr>
          <w:p w14:paraId="1CA4912B" w14:textId="6BD901EB" w:rsidR="00EF15FE" w:rsidRPr="00A70106" w:rsidRDefault="008A322B" w:rsidP="00EF15FE">
            <w:pPr>
              <w:jc w:val="center"/>
              <w:rPr>
                <w:rFonts w:ascii="Calibri" w:hAnsi="Calibri" w:cs="Calibri"/>
                <w:color w:val="000000" w:themeColor="text1"/>
              </w:rPr>
            </w:pPr>
            <w:r w:rsidRPr="00A70106">
              <w:rPr>
                <w:rFonts w:ascii="Calibri" w:hAnsi="Calibri" w:cs="Calibri"/>
                <w:noProof/>
              </w:rPr>
              <w:drawing>
                <wp:inline distT="0" distB="0" distL="0" distR="0" wp14:anchorId="6F58C351" wp14:editId="42281ABD">
                  <wp:extent cx="1924050" cy="1443038"/>
                  <wp:effectExtent l="0" t="0" r="0" b="5080"/>
                  <wp:docPr id="94238" name="Image 94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49">
                            <a:extLst>
                              <a:ext uri="{28A0092B-C50C-407E-A947-70E740481C1C}">
                                <a14:useLocalDpi xmlns:a14="http://schemas.microsoft.com/office/drawing/2010/main" val="0"/>
                              </a:ext>
                            </a:extLst>
                          </a:blip>
                          <a:srcRect/>
                          <a:stretch>
                            <a:fillRect/>
                          </a:stretch>
                        </pic:blipFill>
                        <pic:spPr bwMode="auto">
                          <a:xfrm>
                            <a:off x="0" y="0"/>
                            <a:ext cx="1927699" cy="1445775"/>
                          </a:xfrm>
                          <a:prstGeom prst="rect">
                            <a:avLst/>
                          </a:prstGeom>
                          <a:noFill/>
                          <a:ln>
                            <a:noFill/>
                          </a:ln>
                        </pic:spPr>
                      </pic:pic>
                    </a:graphicData>
                  </a:graphic>
                </wp:inline>
              </w:drawing>
            </w:r>
          </w:p>
          <w:p w14:paraId="06556A75" w14:textId="0F140DC3" w:rsidR="008A322B" w:rsidRPr="00A70106" w:rsidRDefault="008A322B" w:rsidP="008A322B">
            <w:pPr>
              <w:jc w:val="both"/>
              <w:rPr>
                <w:rFonts w:ascii="Calibri" w:hAnsi="Calibri" w:cs="Calibri"/>
                <w:color w:val="000000" w:themeColor="text1"/>
              </w:rPr>
            </w:pPr>
            <w:r w:rsidRPr="00A70106">
              <w:rPr>
                <w:rFonts w:ascii="Calibri" w:hAnsi="Calibri" w:cs="Calibri"/>
                <w:color w:val="202122"/>
                <w:shd w:val="clear" w:color="auto" w:fill="F8F9FA"/>
              </w:rPr>
              <w:t>À l'intérieur d'un tunnel </w:t>
            </w:r>
            <w:hyperlink r:id="rId3250" w:tooltip="Système d'eau Turfan" w:history="1">
              <w:r w:rsidRPr="00A70106">
                <w:rPr>
                  <w:rStyle w:val="Lienhypertexte"/>
                  <w:rFonts w:ascii="Calibri" w:hAnsi="Calibri" w:cs="Calibri"/>
                  <w:color w:val="0645AD"/>
                  <w:shd w:val="clear" w:color="auto" w:fill="F8F9FA"/>
                </w:rPr>
                <w:t>karez</w:t>
              </w:r>
            </w:hyperlink>
            <w:r w:rsidRPr="00A70106">
              <w:rPr>
                <w:rFonts w:ascii="Calibri" w:hAnsi="Calibri" w:cs="Calibri"/>
                <w:color w:val="202122"/>
                <w:shd w:val="clear" w:color="auto" w:fill="F8F9FA"/>
              </w:rPr>
              <w:t xml:space="preserve"> (appelé </w:t>
            </w:r>
            <w:hyperlink r:id="rId3251" w:history="1">
              <w:r w:rsidRPr="00A70106">
                <w:rPr>
                  <w:rStyle w:val="Lienhypertexte"/>
                  <w:rFonts w:ascii="Calibri" w:hAnsi="Calibri" w:cs="Calibri"/>
                  <w:color w:val="0645AD"/>
                  <w:shd w:val="clear" w:color="auto" w:fill="FFFFFF"/>
                </w:rPr>
                <w:t>Qanats</w:t>
              </w:r>
            </w:hyperlink>
            <w:r w:rsidRPr="00A70106">
              <w:rPr>
                <w:rFonts w:ascii="Calibri" w:hAnsi="Calibri" w:cs="Calibri"/>
                <w:color w:val="202122"/>
                <w:shd w:val="clear" w:color="auto" w:fill="F8F9FA"/>
              </w:rPr>
              <w:t xml:space="preserve"> en Iran), à </w:t>
            </w:r>
            <w:hyperlink r:id="rId3252" w:tooltip="Turpan" w:history="1">
              <w:r w:rsidRPr="00A70106">
                <w:rPr>
                  <w:rStyle w:val="Lienhypertexte"/>
                  <w:rFonts w:ascii="Calibri" w:hAnsi="Calibri" w:cs="Calibri"/>
                  <w:color w:val="0645AD"/>
                  <w:shd w:val="clear" w:color="auto" w:fill="F8F9FA"/>
                </w:rPr>
                <w:t>Turpan</w:t>
              </w:r>
            </w:hyperlink>
            <w:r w:rsidRPr="00A70106">
              <w:rPr>
                <w:rFonts w:ascii="Calibri" w:hAnsi="Calibri" w:cs="Calibri"/>
                <w:color w:val="202122"/>
                <w:shd w:val="clear" w:color="auto" w:fill="F8F9FA"/>
              </w:rPr>
              <w:t>, </w:t>
            </w:r>
            <w:hyperlink r:id="rId3253" w:tooltip="Xinjiang" w:history="1">
              <w:r w:rsidRPr="00A70106">
                <w:rPr>
                  <w:rStyle w:val="Lienhypertexte"/>
                  <w:rFonts w:ascii="Calibri" w:hAnsi="Calibri" w:cs="Calibri"/>
                  <w:color w:val="0645AD"/>
                  <w:shd w:val="clear" w:color="auto" w:fill="F8F9FA"/>
                </w:rPr>
                <w:t>Xinjiang</w:t>
              </w:r>
            </w:hyperlink>
            <w:r w:rsidRPr="00A70106">
              <w:rPr>
                <w:rFonts w:ascii="Calibri" w:hAnsi="Calibri" w:cs="Calibri"/>
                <w:color w:val="202122"/>
                <w:shd w:val="clear" w:color="auto" w:fill="F8F9FA"/>
              </w:rPr>
              <w:t>, Chine</w:t>
            </w:r>
          </w:p>
        </w:tc>
        <w:tc>
          <w:tcPr>
            <w:tcW w:w="3472" w:type="dxa"/>
          </w:tcPr>
          <w:p w14:paraId="547FA0E9" w14:textId="51AE3BD4" w:rsidR="00EF15FE" w:rsidRDefault="00DE2B2F" w:rsidP="00EF15FE">
            <w:pPr>
              <w:jc w:val="center"/>
              <w:rPr>
                <w:rFonts w:ascii="Calibri" w:hAnsi="Calibri" w:cs="Calibri"/>
                <w:color w:val="000000" w:themeColor="text1"/>
              </w:rPr>
            </w:pPr>
            <w:r>
              <w:rPr>
                <w:noProof/>
              </w:rPr>
              <w:drawing>
                <wp:inline distT="0" distB="0" distL="0" distR="0" wp14:anchorId="7020327E" wp14:editId="43CEC28B">
                  <wp:extent cx="2009775" cy="1434249"/>
                  <wp:effectExtent l="0" t="0" r="0" b="0"/>
                  <wp:docPr id="94239" name="Image 94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54">
                            <a:extLst>
                              <a:ext uri="{28A0092B-C50C-407E-A947-70E740481C1C}">
                                <a14:useLocalDpi xmlns:a14="http://schemas.microsoft.com/office/drawing/2010/main" val="0"/>
                              </a:ext>
                            </a:extLst>
                          </a:blip>
                          <a:srcRect/>
                          <a:stretch>
                            <a:fillRect/>
                          </a:stretch>
                        </pic:blipFill>
                        <pic:spPr bwMode="auto">
                          <a:xfrm>
                            <a:off x="0" y="0"/>
                            <a:ext cx="2012428" cy="1436143"/>
                          </a:xfrm>
                          <a:prstGeom prst="rect">
                            <a:avLst/>
                          </a:prstGeom>
                          <a:noFill/>
                          <a:ln>
                            <a:noFill/>
                          </a:ln>
                        </pic:spPr>
                      </pic:pic>
                    </a:graphicData>
                  </a:graphic>
                </wp:inline>
              </w:drawing>
            </w:r>
          </w:p>
          <w:p w14:paraId="15E1B7B0" w14:textId="593E5510" w:rsidR="00DE2B2F" w:rsidRPr="00A70106" w:rsidRDefault="00000000" w:rsidP="00EF15FE">
            <w:pPr>
              <w:jc w:val="center"/>
              <w:rPr>
                <w:rFonts w:ascii="Calibri" w:hAnsi="Calibri" w:cs="Calibri"/>
                <w:color w:val="000000" w:themeColor="text1"/>
              </w:rPr>
            </w:pPr>
            <w:hyperlink r:id="rId3255" w:history="1">
              <w:r w:rsidR="00DE2B2F">
                <w:rPr>
                  <w:rStyle w:val="Lienhypertexte"/>
                  <w:rFonts w:ascii="Arial" w:hAnsi="Arial" w:cs="Arial"/>
                  <w:color w:val="0645AD"/>
                  <w:sz w:val="19"/>
                  <w:szCs w:val="19"/>
                  <w:shd w:val="clear" w:color="auto" w:fill="F8F9FA"/>
                </w:rPr>
                <w:t>Irrigation par inondation du</w:t>
              </w:r>
            </w:hyperlink>
            <w:r w:rsidR="00DE2B2F">
              <w:rPr>
                <w:rFonts w:ascii="Arial" w:hAnsi="Arial" w:cs="Arial"/>
                <w:color w:val="202122"/>
                <w:sz w:val="19"/>
                <w:szCs w:val="19"/>
                <w:shd w:val="clear" w:color="auto" w:fill="F8F9FA"/>
              </w:rPr>
              <w:t> </w:t>
            </w:r>
            <w:r w:rsidR="00DE2B2F" w:rsidRPr="00CC7462">
              <w:rPr>
                <w:rFonts w:ascii="Arial" w:hAnsi="Arial" w:cs="Arial"/>
                <w:i/>
                <w:iCs/>
                <w:color w:val="202122"/>
                <w:sz w:val="19"/>
                <w:szCs w:val="19"/>
                <w:shd w:val="clear" w:color="auto" w:fill="F8F9FA"/>
              </w:rPr>
              <w:t>bassin du </w:t>
            </w:r>
            <w:hyperlink r:id="rId3256" w:tooltip="Blé" w:history="1">
              <w:r w:rsidR="00DE2B2F" w:rsidRPr="00CC7462">
                <w:rPr>
                  <w:rStyle w:val="Lienhypertexte"/>
                  <w:rFonts w:ascii="Arial" w:hAnsi="Arial" w:cs="Arial"/>
                  <w:i/>
                  <w:iCs/>
                  <w:color w:val="0645AD"/>
                  <w:sz w:val="19"/>
                  <w:szCs w:val="19"/>
                  <w:shd w:val="clear" w:color="auto" w:fill="F8F9FA"/>
                </w:rPr>
                <w:t>blé</w:t>
              </w:r>
            </w:hyperlink>
            <w:r w:rsidR="00DE2B2F">
              <w:t>.</w:t>
            </w:r>
          </w:p>
        </w:tc>
      </w:tr>
      <w:tr w:rsidR="00DE2B2F" w:rsidRPr="00CC7462" w14:paraId="3FAF931F" w14:textId="77777777" w:rsidTr="007D35B5">
        <w:tc>
          <w:tcPr>
            <w:tcW w:w="3472" w:type="dxa"/>
          </w:tcPr>
          <w:p w14:paraId="2ECAE05E" w14:textId="7A8ED6EE" w:rsidR="00DE2B2F" w:rsidRPr="00CC7462" w:rsidRDefault="00B6485E" w:rsidP="00EF15FE">
            <w:pPr>
              <w:jc w:val="center"/>
              <w:rPr>
                <w:rFonts w:ascii="Calibri" w:hAnsi="Calibri" w:cs="Calibri"/>
                <w:noProof/>
              </w:rPr>
            </w:pPr>
            <w:r w:rsidRPr="00CC7462">
              <w:rPr>
                <w:rFonts w:ascii="Calibri" w:hAnsi="Calibri" w:cs="Calibri"/>
                <w:noProof/>
              </w:rPr>
              <w:drawing>
                <wp:inline distT="0" distB="0" distL="0" distR="0" wp14:anchorId="16A95A3F" wp14:editId="22D80F25">
                  <wp:extent cx="1964531" cy="1428750"/>
                  <wp:effectExtent l="0" t="0" r="0" b="0"/>
                  <wp:docPr id="36864" name="Image 36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57">
                            <a:extLst>
                              <a:ext uri="{28A0092B-C50C-407E-A947-70E740481C1C}">
                                <a14:useLocalDpi xmlns:a14="http://schemas.microsoft.com/office/drawing/2010/main" val="0"/>
                              </a:ext>
                            </a:extLst>
                          </a:blip>
                          <a:srcRect/>
                          <a:stretch>
                            <a:fillRect/>
                          </a:stretch>
                        </pic:blipFill>
                        <pic:spPr bwMode="auto">
                          <a:xfrm>
                            <a:off x="0" y="0"/>
                            <a:ext cx="1966563" cy="1430228"/>
                          </a:xfrm>
                          <a:prstGeom prst="rect">
                            <a:avLst/>
                          </a:prstGeom>
                          <a:noFill/>
                          <a:ln>
                            <a:noFill/>
                          </a:ln>
                        </pic:spPr>
                      </pic:pic>
                    </a:graphicData>
                  </a:graphic>
                </wp:inline>
              </w:drawing>
            </w:r>
          </w:p>
          <w:p w14:paraId="2D72C46F" w14:textId="0B907B2A" w:rsidR="00B6485E" w:rsidRPr="00CC7462" w:rsidRDefault="00B6485E" w:rsidP="00EF15FE">
            <w:pPr>
              <w:jc w:val="center"/>
              <w:rPr>
                <w:rFonts w:ascii="Calibri" w:hAnsi="Calibri" w:cs="Calibri"/>
                <w:noProof/>
              </w:rPr>
            </w:pPr>
            <w:r w:rsidRPr="00CC7462">
              <w:rPr>
                <w:rFonts w:ascii="Calibri" w:hAnsi="Calibri" w:cs="Calibri"/>
                <w:color w:val="202122"/>
                <w:shd w:val="clear" w:color="auto" w:fill="F8F9FA"/>
              </w:rPr>
              <w:t>Irrigation goutte à goutte – un goutteur en action.</w:t>
            </w:r>
          </w:p>
        </w:tc>
        <w:tc>
          <w:tcPr>
            <w:tcW w:w="3472" w:type="dxa"/>
          </w:tcPr>
          <w:p w14:paraId="39CEC719" w14:textId="74DDD2C1" w:rsidR="00DE2B2F" w:rsidRPr="00CC7462" w:rsidRDefault="00B6485E" w:rsidP="00EF15FE">
            <w:pPr>
              <w:jc w:val="center"/>
              <w:rPr>
                <w:rFonts w:ascii="Calibri" w:hAnsi="Calibri" w:cs="Calibri"/>
                <w:noProof/>
              </w:rPr>
            </w:pPr>
            <w:r w:rsidRPr="00CC7462">
              <w:rPr>
                <w:rFonts w:ascii="Calibri" w:hAnsi="Calibri" w:cs="Calibri"/>
                <w:noProof/>
              </w:rPr>
              <w:drawing>
                <wp:inline distT="0" distB="0" distL="0" distR="0" wp14:anchorId="3A4B09F7" wp14:editId="5AD7BF0F">
                  <wp:extent cx="1981459" cy="1323975"/>
                  <wp:effectExtent l="0" t="0" r="0" b="0"/>
                  <wp:docPr id="36865" name="Image 36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258">
                            <a:extLst>
                              <a:ext uri="{28A0092B-C50C-407E-A947-70E740481C1C}">
                                <a14:useLocalDpi xmlns:a14="http://schemas.microsoft.com/office/drawing/2010/main" val="0"/>
                              </a:ext>
                            </a:extLst>
                          </a:blip>
                          <a:srcRect/>
                          <a:stretch>
                            <a:fillRect/>
                          </a:stretch>
                        </pic:blipFill>
                        <pic:spPr bwMode="auto">
                          <a:xfrm>
                            <a:off x="0" y="0"/>
                            <a:ext cx="1987495" cy="1328008"/>
                          </a:xfrm>
                          <a:prstGeom prst="rect">
                            <a:avLst/>
                          </a:prstGeom>
                          <a:noFill/>
                          <a:ln>
                            <a:noFill/>
                          </a:ln>
                        </pic:spPr>
                      </pic:pic>
                    </a:graphicData>
                  </a:graphic>
                </wp:inline>
              </w:drawing>
            </w:r>
          </w:p>
          <w:p w14:paraId="26E69ABC" w14:textId="06DA1CB4" w:rsidR="00B6485E" w:rsidRPr="00CC7462" w:rsidRDefault="00B6485E" w:rsidP="00EF15FE">
            <w:pPr>
              <w:jc w:val="center"/>
              <w:rPr>
                <w:rFonts w:ascii="Calibri" w:hAnsi="Calibri" w:cs="Calibri"/>
                <w:noProof/>
              </w:rPr>
            </w:pPr>
            <w:r w:rsidRPr="00CC7462">
              <w:rPr>
                <w:rFonts w:ascii="Calibri" w:hAnsi="Calibri" w:cs="Calibri"/>
                <w:color w:val="202122"/>
                <w:shd w:val="clear" w:color="auto" w:fill="F8F9FA"/>
              </w:rPr>
              <w:t>Micro-arroseur.</w:t>
            </w:r>
          </w:p>
        </w:tc>
        <w:tc>
          <w:tcPr>
            <w:tcW w:w="3472" w:type="dxa"/>
          </w:tcPr>
          <w:p w14:paraId="4D218CFB" w14:textId="58B1777D" w:rsidR="00DE2B2F" w:rsidRPr="00CC7462" w:rsidRDefault="00B6485E" w:rsidP="00EF15FE">
            <w:pPr>
              <w:jc w:val="center"/>
              <w:rPr>
                <w:rFonts w:ascii="Calibri" w:hAnsi="Calibri" w:cs="Calibri"/>
                <w:noProof/>
              </w:rPr>
            </w:pPr>
            <w:r w:rsidRPr="00CC7462">
              <w:rPr>
                <w:rFonts w:ascii="Calibri" w:hAnsi="Calibri" w:cs="Calibri"/>
                <w:noProof/>
              </w:rPr>
              <w:drawing>
                <wp:inline distT="0" distB="0" distL="0" distR="0" wp14:anchorId="47FAA1C7" wp14:editId="025E891B">
                  <wp:extent cx="2004876" cy="1323975"/>
                  <wp:effectExtent l="0" t="0" r="0" b="0"/>
                  <wp:docPr id="36866" name="Image 36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59">
                            <a:extLst>
                              <a:ext uri="{28A0092B-C50C-407E-A947-70E740481C1C}">
                                <a14:useLocalDpi xmlns:a14="http://schemas.microsoft.com/office/drawing/2010/main" val="0"/>
                              </a:ext>
                            </a:extLst>
                          </a:blip>
                          <a:srcRect/>
                          <a:stretch>
                            <a:fillRect/>
                          </a:stretch>
                        </pic:blipFill>
                        <pic:spPr bwMode="auto">
                          <a:xfrm>
                            <a:off x="0" y="0"/>
                            <a:ext cx="2015702" cy="1331124"/>
                          </a:xfrm>
                          <a:prstGeom prst="rect">
                            <a:avLst/>
                          </a:prstGeom>
                          <a:noFill/>
                          <a:ln>
                            <a:noFill/>
                          </a:ln>
                        </pic:spPr>
                      </pic:pic>
                    </a:graphicData>
                  </a:graphic>
                </wp:inline>
              </w:drawing>
            </w:r>
          </w:p>
          <w:p w14:paraId="77CAF1EA" w14:textId="265A5B22" w:rsidR="00B6485E" w:rsidRPr="00CC7462" w:rsidRDefault="00B6485E" w:rsidP="00EF15FE">
            <w:pPr>
              <w:jc w:val="center"/>
              <w:rPr>
                <w:rFonts w:ascii="Calibri" w:hAnsi="Calibri" w:cs="Calibri"/>
                <w:noProof/>
              </w:rPr>
            </w:pPr>
            <w:r w:rsidRPr="00CC7462">
              <w:rPr>
                <w:rFonts w:ascii="Calibri" w:hAnsi="Calibri" w:cs="Calibri"/>
                <w:color w:val="202122"/>
                <w:shd w:val="clear" w:color="auto" w:fill="F8F9FA"/>
              </w:rPr>
              <w:t>Arroseurs de cultures près de </w:t>
            </w:r>
            <w:hyperlink r:id="rId3260" w:tooltip="Rio Vista, Californie" w:history="1">
              <w:r w:rsidRPr="00CC7462">
                <w:rPr>
                  <w:rStyle w:val="Lienhypertexte"/>
                  <w:rFonts w:ascii="Calibri" w:hAnsi="Calibri" w:cs="Calibri"/>
                  <w:color w:val="0645AD"/>
                  <w:shd w:val="clear" w:color="auto" w:fill="F8F9FA"/>
                </w:rPr>
                <w:t>Rio Vista, Californie</w:t>
              </w:r>
            </w:hyperlink>
            <w:r w:rsidRPr="00CC7462">
              <w:rPr>
                <w:rFonts w:ascii="Calibri" w:hAnsi="Calibri" w:cs="Calibri"/>
                <w:color w:val="202122"/>
                <w:shd w:val="clear" w:color="auto" w:fill="F8F9FA"/>
              </w:rPr>
              <w:t> , États-Unis.</w:t>
            </w:r>
          </w:p>
        </w:tc>
      </w:tr>
      <w:tr w:rsidR="00B6485E" w:rsidRPr="00CC7462" w14:paraId="3386AAE5" w14:textId="77777777" w:rsidTr="007D35B5">
        <w:tc>
          <w:tcPr>
            <w:tcW w:w="3472" w:type="dxa"/>
          </w:tcPr>
          <w:p w14:paraId="74F76E0D" w14:textId="618F7CD4" w:rsidR="00B6485E" w:rsidRPr="00CC7462" w:rsidRDefault="005D4CDA" w:rsidP="00EF15FE">
            <w:pPr>
              <w:jc w:val="center"/>
              <w:rPr>
                <w:rFonts w:ascii="Calibri" w:hAnsi="Calibri" w:cs="Calibri"/>
                <w:noProof/>
              </w:rPr>
            </w:pPr>
            <w:r w:rsidRPr="00CC7462">
              <w:rPr>
                <w:rFonts w:ascii="Calibri" w:hAnsi="Calibri" w:cs="Calibri"/>
                <w:noProof/>
              </w:rPr>
              <w:lastRenderedPageBreak/>
              <w:drawing>
                <wp:inline distT="0" distB="0" distL="0" distR="0" wp14:anchorId="34BAC3C5" wp14:editId="1285C8DE">
                  <wp:extent cx="1657350" cy="1104900"/>
                  <wp:effectExtent l="0" t="0" r="0" b="0"/>
                  <wp:docPr id="36867" name="Image 36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61">
                            <a:extLst>
                              <a:ext uri="{28A0092B-C50C-407E-A947-70E740481C1C}">
                                <a14:useLocalDpi xmlns:a14="http://schemas.microsoft.com/office/drawing/2010/main" val="0"/>
                              </a:ext>
                            </a:extLst>
                          </a:blip>
                          <a:srcRect/>
                          <a:stretch>
                            <a:fillRect/>
                          </a:stretch>
                        </pic:blipFill>
                        <pic:spPr bwMode="auto">
                          <a:xfrm>
                            <a:off x="0" y="0"/>
                            <a:ext cx="1657350" cy="1104900"/>
                          </a:xfrm>
                          <a:prstGeom prst="rect">
                            <a:avLst/>
                          </a:prstGeom>
                          <a:noFill/>
                          <a:ln>
                            <a:noFill/>
                          </a:ln>
                        </pic:spPr>
                      </pic:pic>
                    </a:graphicData>
                  </a:graphic>
                </wp:inline>
              </w:drawing>
            </w:r>
          </w:p>
          <w:p w14:paraId="7F2295F5" w14:textId="03224A6A" w:rsidR="00167198" w:rsidRPr="00CC7462" w:rsidRDefault="00167198" w:rsidP="00EF15FE">
            <w:pPr>
              <w:jc w:val="center"/>
              <w:rPr>
                <w:rFonts w:ascii="Calibri" w:hAnsi="Calibri" w:cs="Calibri"/>
                <w:noProof/>
              </w:rPr>
            </w:pPr>
            <w:r w:rsidRPr="00CC7462">
              <w:rPr>
                <w:rFonts w:ascii="Calibri" w:hAnsi="Calibri" w:cs="Calibri"/>
                <w:color w:val="202122"/>
                <w:shd w:val="clear" w:color="auto" w:fill="F8F9FA"/>
              </w:rPr>
              <w:t>Arroseur applicateur à pivot de style rotateur.</w:t>
            </w:r>
          </w:p>
        </w:tc>
        <w:tc>
          <w:tcPr>
            <w:tcW w:w="3472" w:type="dxa"/>
          </w:tcPr>
          <w:p w14:paraId="593A8FC6" w14:textId="32D24FEB" w:rsidR="00B6485E" w:rsidRPr="00CC7462" w:rsidRDefault="005D4CDA" w:rsidP="00EF15FE">
            <w:pPr>
              <w:jc w:val="center"/>
              <w:rPr>
                <w:rFonts w:ascii="Calibri" w:hAnsi="Calibri" w:cs="Calibri"/>
                <w:noProof/>
              </w:rPr>
            </w:pPr>
            <w:r w:rsidRPr="00CC7462">
              <w:rPr>
                <w:rFonts w:ascii="Calibri" w:hAnsi="Calibri" w:cs="Calibri"/>
                <w:noProof/>
              </w:rPr>
              <w:drawing>
                <wp:inline distT="0" distB="0" distL="0" distR="0" wp14:anchorId="5E732E24" wp14:editId="3A45B9F7">
                  <wp:extent cx="1647825" cy="1177018"/>
                  <wp:effectExtent l="0" t="0" r="0" b="4445"/>
                  <wp:docPr id="36868" name="Image 36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262">
                            <a:extLst>
                              <a:ext uri="{28A0092B-C50C-407E-A947-70E740481C1C}">
                                <a14:useLocalDpi xmlns:a14="http://schemas.microsoft.com/office/drawing/2010/main" val="0"/>
                              </a:ext>
                            </a:extLst>
                          </a:blip>
                          <a:srcRect/>
                          <a:stretch>
                            <a:fillRect/>
                          </a:stretch>
                        </pic:blipFill>
                        <pic:spPr bwMode="auto">
                          <a:xfrm>
                            <a:off x="0" y="0"/>
                            <a:ext cx="1652724" cy="1180517"/>
                          </a:xfrm>
                          <a:prstGeom prst="rect">
                            <a:avLst/>
                          </a:prstGeom>
                          <a:noFill/>
                          <a:ln>
                            <a:noFill/>
                          </a:ln>
                        </pic:spPr>
                      </pic:pic>
                    </a:graphicData>
                  </a:graphic>
                </wp:inline>
              </w:drawing>
            </w:r>
          </w:p>
          <w:p w14:paraId="6CDFDCC6" w14:textId="043D7164" w:rsidR="005D4CDA" w:rsidRPr="00CC7462" w:rsidRDefault="005D4CDA" w:rsidP="00EF15FE">
            <w:pPr>
              <w:jc w:val="center"/>
              <w:rPr>
                <w:rFonts w:ascii="Calibri" w:hAnsi="Calibri" w:cs="Calibri"/>
                <w:noProof/>
              </w:rPr>
            </w:pPr>
            <w:r w:rsidRPr="00CC7462">
              <w:rPr>
                <w:rFonts w:ascii="Calibri" w:hAnsi="Calibri" w:cs="Calibri"/>
                <w:color w:val="202122"/>
                <w:shd w:val="clear" w:color="auto" w:fill="F8F9FA"/>
              </w:rPr>
              <w:t>Pivot central avec gicleurs à goutte</w:t>
            </w:r>
          </w:p>
        </w:tc>
        <w:tc>
          <w:tcPr>
            <w:tcW w:w="3472" w:type="dxa"/>
          </w:tcPr>
          <w:p w14:paraId="5B0FC2AB" w14:textId="4E692E41" w:rsidR="00B6485E" w:rsidRPr="00CC7462" w:rsidRDefault="008543AF" w:rsidP="00EF15FE">
            <w:pPr>
              <w:jc w:val="center"/>
              <w:rPr>
                <w:rFonts w:ascii="Calibri" w:hAnsi="Calibri" w:cs="Calibri"/>
                <w:noProof/>
              </w:rPr>
            </w:pPr>
            <w:r w:rsidRPr="00CC7462">
              <w:rPr>
                <w:rFonts w:ascii="Calibri" w:hAnsi="Calibri" w:cs="Calibri"/>
                <w:noProof/>
              </w:rPr>
              <w:drawing>
                <wp:inline distT="0" distB="0" distL="0" distR="0" wp14:anchorId="4E5447FC" wp14:editId="6B052E54">
                  <wp:extent cx="1966263" cy="1476375"/>
                  <wp:effectExtent l="0" t="0" r="0" b="0"/>
                  <wp:docPr id="36869" name="Image 36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263">
                            <a:extLst>
                              <a:ext uri="{28A0092B-C50C-407E-A947-70E740481C1C}">
                                <a14:useLocalDpi xmlns:a14="http://schemas.microsoft.com/office/drawing/2010/main" val="0"/>
                              </a:ext>
                            </a:extLst>
                          </a:blip>
                          <a:srcRect/>
                          <a:stretch>
                            <a:fillRect/>
                          </a:stretch>
                        </pic:blipFill>
                        <pic:spPr bwMode="auto">
                          <a:xfrm>
                            <a:off x="0" y="0"/>
                            <a:ext cx="1969270" cy="1478633"/>
                          </a:xfrm>
                          <a:prstGeom prst="rect">
                            <a:avLst/>
                          </a:prstGeom>
                          <a:noFill/>
                          <a:ln>
                            <a:noFill/>
                          </a:ln>
                        </pic:spPr>
                      </pic:pic>
                    </a:graphicData>
                  </a:graphic>
                </wp:inline>
              </w:drawing>
            </w:r>
          </w:p>
          <w:p w14:paraId="63259309" w14:textId="54EE1FDF" w:rsidR="008543AF" w:rsidRPr="00CC7462" w:rsidRDefault="008543AF" w:rsidP="00EF15FE">
            <w:pPr>
              <w:jc w:val="center"/>
              <w:rPr>
                <w:rFonts w:ascii="Calibri" w:hAnsi="Calibri" w:cs="Calibri"/>
                <w:noProof/>
              </w:rPr>
            </w:pPr>
            <w:r w:rsidRPr="00CC7462">
              <w:rPr>
                <w:rFonts w:ascii="Calibri" w:hAnsi="Calibri" w:cs="Calibri"/>
                <w:color w:val="202122"/>
                <w:shd w:val="clear" w:color="auto" w:fill="F8F9FA"/>
              </w:rPr>
              <w:t>Un arroseur itinérant au Millets Farm Centre, </w:t>
            </w:r>
            <w:hyperlink r:id="rId3264" w:tooltip="Oxfordshire" w:history="1">
              <w:r w:rsidRPr="00CC7462">
                <w:rPr>
                  <w:rStyle w:val="Lienhypertexte"/>
                  <w:rFonts w:ascii="Calibri" w:hAnsi="Calibri" w:cs="Calibri"/>
                  <w:color w:val="0645AD"/>
                  <w:shd w:val="clear" w:color="auto" w:fill="F8F9FA"/>
                </w:rPr>
                <w:t>Oxfordshire</w:t>
              </w:r>
            </w:hyperlink>
            <w:r w:rsidRPr="00CC7462">
              <w:rPr>
                <w:rFonts w:ascii="Calibri" w:hAnsi="Calibri" w:cs="Calibri"/>
                <w:color w:val="202122"/>
                <w:shd w:val="clear" w:color="auto" w:fill="F8F9FA"/>
              </w:rPr>
              <w:t>, Royaume-Uni.</w:t>
            </w:r>
          </w:p>
        </w:tc>
      </w:tr>
      <w:tr w:rsidR="00B6485E" w:rsidRPr="00CC7462" w14:paraId="04CB99EF" w14:textId="77777777" w:rsidTr="007D35B5">
        <w:tc>
          <w:tcPr>
            <w:tcW w:w="3472" w:type="dxa"/>
          </w:tcPr>
          <w:p w14:paraId="7BDAD9D8" w14:textId="77777777" w:rsidR="00B6485E" w:rsidRPr="00CC7462" w:rsidRDefault="00CC7462" w:rsidP="00EF15FE">
            <w:pPr>
              <w:jc w:val="center"/>
              <w:rPr>
                <w:rFonts w:ascii="Calibri" w:hAnsi="Calibri" w:cs="Calibri"/>
                <w:noProof/>
              </w:rPr>
            </w:pPr>
            <w:r w:rsidRPr="00CC7462">
              <w:rPr>
                <w:rFonts w:ascii="Calibri" w:hAnsi="Calibri" w:cs="Calibri"/>
                <w:noProof/>
              </w:rPr>
              <w:drawing>
                <wp:inline distT="0" distB="0" distL="0" distR="0" wp14:anchorId="501BCC8C" wp14:editId="150F976D">
                  <wp:extent cx="1876425" cy="1408920"/>
                  <wp:effectExtent l="0" t="0" r="0" b="1270"/>
                  <wp:docPr id="36870" name="Image 36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265">
                            <a:extLst>
                              <a:ext uri="{28A0092B-C50C-407E-A947-70E740481C1C}">
                                <a14:useLocalDpi xmlns:a14="http://schemas.microsoft.com/office/drawing/2010/main" val="0"/>
                              </a:ext>
                            </a:extLst>
                          </a:blip>
                          <a:srcRect/>
                          <a:stretch>
                            <a:fillRect/>
                          </a:stretch>
                        </pic:blipFill>
                        <pic:spPr bwMode="auto">
                          <a:xfrm>
                            <a:off x="0" y="0"/>
                            <a:ext cx="1879452" cy="1411193"/>
                          </a:xfrm>
                          <a:prstGeom prst="rect">
                            <a:avLst/>
                          </a:prstGeom>
                          <a:noFill/>
                          <a:ln>
                            <a:noFill/>
                          </a:ln>
                        </pic:spPr>
                      </pic:pic>
                    </a:graphicData>
                  </a:graphic>
                </wp:inline>
              </w:drawing>
            </w:r>
          </w:p>
          <w:p w14:paraId="6600ADE9" w14:textId="63C64BAC" w:rsidR="00CC7462" w:rsidRPr="00CC7462" w:rsidRDefault="00CC7462" w:rsidP="00CC7462">
            <w:pPr>
              <w:jc w:val="both"/>
              <w:rPr>
                <w:rFonts w:ascii="Calibri" w:hAnsi="Calibri" w:cs="Calibri"/>
                <w:noProof/>
              </w:rPr>
            </w:pPr>
            <w:r w:rsidRPr="00CC7462">
              <w:rPr>
                <w:rFonts w:ascii="Calibri" w:hAnsi="Calibri" w:cs="Calibri"/>
                <w:noProof/>
              </w:rPr>
              <w:t>Depuis des siècles ou millénaires, des canaux d'irrigation (ex. : «</w:t>
            </w:r>
            <w:hyperlink r:id="rId3266" w:history="1">
              <w:r w:rsidRPr="00CC7462">
                <w:rPr>
                  <w:rStyle w:val="Lienhypertexte"/>
                  <w:rFonts w:ascii="Calibri" w:hAnsi="Calibri" w:cs="Calibri"/>
                  <w:i/>
                  <w:iCs/>
                  <w:color w:val="0645AD"/>
                  <w:shd w:val="clear" w:color="auto" w:fill="F8F9FA"/>
                </w:rPr>
                <w:t>biefs</w:t>
              </w:r>
            </w:hyperlink>
            <w:r w:rsidRPr="00CC7462">
              <w:rPr>
                <w:rFonts w:ascii="Calibri" w:hAnsi="Calibri" w:cs="Calibri"/>
                <w:noProof/>
              </w:rPr>
              <w:t>») ont été construits presque perpendiculairement aux pentes pour transporter l'eau, parfois dès la haute montagne.</w:t>
            </w:r>
          </w:p>
        </w:tc>
        <w:tc>
          <w:tcPr>
            <w:tcW w:w="3472" w:type="dxa"/>
          </w:tcPr>
          <w:p w14:paraId="456B2AFD" w14:textId="1C0886D5" w:rsidR="00B6485E" w:rsidRPr="00CC7462" w:rsidRDefault="00CC7462" w:rsidP="00EF15FE">
            <w:pPr>
              <w:jc w:val="center"/>
              <w:rPr>
                <w:rFonts w:ascii="Calibri" w:hAnsi="Calibri" w:cs="Calibri"/>
                <w:noProof/>
              </w:rPr>
            </w:pPr>
            <w:r w:rsidRPr="00CC7462">
              <w:rPr>
                <w:rFonts w:ascii="Calibri" w:hAnsi="Calibri" w:cs="Calibri"/>
                <w:noProof/>
              </w:rPr>
              <w:drawing>
                <wp:inline distT="0" distB="0" distL="0" distR="0" wp14:anchorId="2B3FBA19" wp14:editId="41283BF7">
                  <wp:extent cx="1951187" cy="1466850"/>
                  <wp:effectExtent l="0" t="0" r="0" b="0"/>
                  <wp:docPr id="36871" name="Image 36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241">
                            <a:extLst>
                              <a:ext uri="{28A0092B-C50C-407E-A947-70E740481C1C}">
                                <a14:useLocalDpi xmlns:a14="http://schemas.microsoft.com/office/drawing/2010/main" val="0"/>
                              </a:ext>
                            </a:extLst>
                          </a:blip>
                          <a:srcRect/>
                          <a:stretch>
                            <a:fillRect/>
                          </a:stretch>
                        </pic:blipFill>
                        <pic:spPr bwMode="auto">
                          <a:xfrm>
                            <a:off x="0" y="0"/>
                            <a:ext cx="1956813" cy="1471080"/>
                          </a:xfrm>
                          <a:prstGeom prst="rect">
                            <a:avLst/>
                          </a:prstGeom>
                          <a:noFill/>
                          <a:ln>
                            <a:noFill/>
                          </a:ln>
                        </pic:spPr>
                      </pic:pic>
                    </a:graphicData>
                  </a:graphic>
                </wp:inline>
              </w:drawing>
            </w:r>
          </w:p>
          <w:p w14:paraId="431CB191" w14:textId="5447D564" w:rsidR="00CC7462" w:rsidRPr="00CC7462" w:rsidRDefault="00CC7462" w:rsidP="00EF15FE">
            <w:pPr>
              <w:jc w:val="center"/>
              <w:rPr>
                <w:rFonts w:ascii="Calibri" w:hAnsi="Calibri" w:cs="Calibri"/>
                <w:noProof/>
              </w:rPr>
            </w:pPr>
            <w:r w:rsidRPr="00CC7462">
              <w:rPr>
                <w:rFonts w:ascii="Calibri" w:hAnsi="Calibri" w:cs="Calibri"/>
                <w:color w:val="202122"/>
                <w:shd w:val="clear" w:color="auto" w:fill="F8F9FA"/>
              </w:rPr>
              <w:t>Canal d'irrigation en Anatolie.</w:t>
            </w:r>
          </w:p>
        </w:tc>
        <w:tc>
          <w:tcPr>
            <w:tcW w:w="3472" w:type="dxa"/>
          </w:tcPr>
          <w:p w14:paraId="1084F98B" w14:textId="77777777" w:rsidR="00B6485E" w:rsidRPr="00CC7462" w:rsidRDefault="00CC7462" w:rsidP="00EF15FE">
            <w:pPr>
              <w:jc w:val="center"/>
              <w:rPr>
                <w:rFonts w:ascii="Calibri" w:hAnsi="Calibri" w:cs="Calibri"/>
                <w:noProof/>
              </w:rPr>
            </w:pPr>
            <w:r w:rsidRPr="00CC7462">
              <w:rPr>
                <w:rFonts w:ascii="Calibri" w:hAnsi="Calibri" w:cs="Calibri"/>
                <w:noProof/>
              </w:rPr>
              <w:drawing>
                <wp:inline distT="0" distB="0" distL="0" distR="0" wp14:anchorId="3D7944D5" wp14:editId="60E1FEEC">
                  <wp:extent cx="1680210" cy="1200150"/>
                  <wp:effectExtent l="0" t="0" r="0" b="0"/>
                  <wp:docPr id="36875" name="Image 36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267">
                            <a:extLst>
                              <a:ext uri="{28A0092B-C50C-407E-A947-70E740481C1C}">
                                <a14:useLocalDpi xmlns:a14="http://schemas.microsoft.com/office/drawing/2010/main" val="0"/>
                              </a:ext>
                            </a:extLst>
                          </a:blip>
                          <a:srcRect/>
                          <a:stretch>
                            <a:fillRect/>
                          </a:stretch>
                        </pic:blipFill>
                        <pic:spPr bwMode="auto">
                          <a:xfrm>
                            <a:off x="0" y="0"/>
                            <a:ext cx="1680210" cy="1200150"/>
                          </a:xfrm>
                          <a:prstGeom prst="rect">
                            <a:avLst/>
                          </a:prstGeom>
                          <a:noFill/>
                          <a:ln>
                            <a:noFill/>
                          </a:ln>
                        </pic:spPr>
                      </pic:pic>
                    </a:graphicData>
                  </a:graphic>
                </wp:inline>
              </w:drawing>
            </w:r>
          </w:p>
          <w:p w14:paraId="3ED4CD0F" w14:textId="77F593AF" w:rsidR="00CC7462" w:rsidRPr="00CC7462" w:rsidRDefault="00CC7462" w:rsidP="00EF15FE">
            <w:pPr>
              <w:jc w:val="center"/>
              <w:rPr>
                <w:rFonts w:ascii="Calibri" w:hAnsi="Calibri" w:cs="Calibri"/>
                <w:noProof/>
              </w:rPr>
            </w:pPr>
            <w:r w:rsidRPr="00CC7462">
              <w:rPr>
                <w:rFonts w:ascii="Calibri" w:hAnsi="Calibri" w:cs="Calibri"/>
                <w:noProof/>
              </w:rPr>
              <w:t>Technique plus économe en eau, par siphonage de l’eau d’un canal d’irrigation gravitaire vers le champ.</w:t>
            </w:r>
          </w:p>
        </w:tc>
      </w:tr>
    </w:tbl>
    <w:p w14:paraId="341EC8C9" w14:textId="1FE632D0" w:rsidR="00FF038A" w:rsidRDefault="00FF038A" w:rsidP="00CC7462">
      <w:pPr>
        <w:spacing w:after="0" w:line="240" w:lineRule="auto"/>
        <w:rPr>
          <w:rFonts w:ascii="Calibri" w:hAnsi="Calibri" w:cs="Calibri"/>
          <w:color w:val="000000" w:themeColor="text1"/>
        </w:rPr>
      </w:pPr>
    </w:p>
    <w:p w14:paraId="5D3825CF" w14:textId="1BB79D1C" w:rsidR="00CC7462" w:rsidRDefault="00CC7462" w:rsidP="00CC7462">
      <w:pPr>
        <w:spacing w:after="0" w:line="240" w:lineRule="auto"/>
        <w:rPr>
          <w:rFonts w:ascii="Calibri" w:hAnsi="Calibri" w:cs="Calibri"/>
          <w:color w:val="000000" w:themeColor="text1"/>
        </w:rPr>
      </w:pPr>
      <w:r>
        <w:rPr>
          <w:rFonts w:ascii="Calibri" w:hAnsi="Calibri" w:cs="Calibri"/>
          <w:color w:val="000000" w:themeColor="text1"/>
        </w:rPr>
        <w:t xml:space="preserve">Sources : a) </w:t>
      </w:r>
      <w:hyperlink r:id="rId3268" w:history="1">
        <w:r w:rsidRPr="00F65335">
          <w:rPr>
            <w:rStyle w:val="Lienhypertexte"/>
            <w:rFonts w:ascii="Calibri" w:hAnsi="Calibri" w:cs="Calibri"/>
          </w:rPr>
          <w:t>https://fr.wikipedia.org/wiki/Irrigation</w:t>
        </w:r>
      </w:hyperlink>
      <w:r>
        <w:rPr>
          <w:rFonts w:ascii="Calibri" w:hAnsi="Calibri" w:cs="Calibri"/>
          <w:color w:val="000000" w:themeColor="text1"/>
        </w:rPr>
        <w:t xml:space="preserve">, b) </w:t>
      </w:r>
      <w:hyperlink r:id="rId3269" w:history="1">
        <w:r w:rsidRPr="00F65335">
          <w:rPr>
            <w:rStyle w:val="Lienhypertexte"/>
            <w:rFonts w:ascii="Calibri" w:hAnsi="Calibri" w:cs="Calibri"/>
          </w:rPr>
          <w:t>https://en.wikipedia.org/wiki/Irrigation</w:t>
        </w:r>
      </w:hyperlink>
      <w:r>
        <w:rPr>
          <w:rFonts w:ascii="Calibri" w:hAnsi="Calibri" w:cs="Calibri"/>
          <w:color w:val="000000" w:themeColor="text1"/>
        </w:rPr>
        <w:t xml:space="preserve"> </w:t>
      </w:r>
    </w:p>
    <w:p w14:paraId="348D3636" w14:textId="77777777" w:rsidR="00FF038A" w:rsidRPr="00BB43E5" w:rsidRDefault="00FF038A" w:rsidP="00671DDC">
      <w:pPr>
        <w:spacing w:after="0" w:line="240" w:lineRule="auto"/>
        <w:jc w:val="both"/>
        <w:rPr>
          <w:rFonts w:ascii="Calibri" w:hAnsi="Calibri" w:cs="Calibri"/>
          <w:color w:val="000000" w:themeColor="text1"/>
        </w:rPr>
      </w:pPr>
    </w:p>
    <w:p w14:paraId="1BF72266" w14:textId="77777777" w:rsidR="00671DDC" w:rsidRPr="00BB43E5" w:rsidRDefault="00671DDC" w:rsidP="00671DDC">
      <w:pPr>
        <w:spacing w:after="0" w:line="240" w:lineRule="auto"/>
        <w:jc w:val="both"/>
        <w:rPr>
          <w:rFonts w:ascii="Calibri" w:hAnsi="Calibri" w:cs="Calibri"/>
        </w:rPr>
      </w:pPr>
      <w:r>
        <w:rPr>
          <w:rFonts w:ascii="Calibri" w:hAnsi="Calibri" w:cs="Calibri"/>
        </w:rPr>
        <w:t xml:space="preserve">Nous nous intéresserons, dans notre ouvrage, uniquement aux </w:t>
      </w:r>
      <w:r w:rsidRPr="00BB43E5">
        <w:rPr>
          <w:rFonts w:ascii="Calibri" w:hAnsi="Calibri" w:cs="Calibri"/>
          <w:i/>
          <w:iCs/>
        </w:rPr>
        <w:t>systèmes de micro-irrigation ou irrigation localisé (goutte à goutte ...),</w:t>
      </w:r>
      <w:r w:rsidRPr="00BB43E5">
        <w:rPr>
          <w:rFonts w:ascii="Calibri" w:hAnsi="Calibri" w:cs="Calibri"/>
        </w:rPr>
        <w:t xml:space="preserve"> </w:t>
      </w:r>
      <w:r>
        <w:rPr>
          <w:rFonts w:ascii="Calibri" w:hAnsi="Calibri" w:cs="Calibri"/>
        </w:rPr>
        <w:t>les plus économes en eau (voir ci-dessous). Pour les autres techniques, voir l’article de Wikipedia sur l’irrigation.</w:t>
      </w:r>
    </w:p>
    <w:p w14:paraId="72EF6AD5" w14:textId="4B8E79C4" w:rsidR="00671DDC" w:rsidRDefault="00671DDC" w:rsidP="00671DDC">
      <w:pPr>
        <w:spacing w:after="0" w:line="240" w:lineRule="auto"/>
      </w:pPr>
    </w:p>
    <w:p w14:paraId="33E2334A" w14:textId="59B8E200" w:rsidR="00CC7462" w:rsidRDefault="00CC7462" w:rsidP="00CC7462">
      <w:pPr>
        <w:pStyle w:val="Titre2"/>
      </w:pPr>
      <w:bookmarkStart w:id="247" w:name="_Toc139181538"/>
      <w:r w:rsidRPr="00CC7462">
        <w:t>Economiser l’eau</w:t>
      </w:r>
      <w:bookmarkEnd w:id="247"/>
    </w:p>
    <w:p w14:paraId="24C30BD1" w14:textId="69A92764" w:rsidR="00CC7462" w:rsidRDefault="00CC7462" w:rsidP="00CC7462">
      <w:pPr>
        <w:spacing w:after="0" w:line="240" w:lineRule="auto"/>
        <w:jc w:val="both"/>
      </w:pPr>
    </w:p>
    <w:p w14:paraId="126B8114" w14:textId="4A39F1FE" w:rsidR="00CC7462" w:rsidRPr="00CC7462" w:rsidRDefault="00CC7462" w:rsidP="00CC7462">
      <w:pPr>
        <w:spacing w:after="0" w:line="240" w:lineRule="auto"/>
        <w:jc w:val="both"/>
      </w:pPr>
      <w:r w:rsidRPr="00CC7462">
        <w:t xml:space="preserve">Chaque homme a besoin de boire 1,5 à 2 litres d’eau par jour. Or dans certaines régions de l’Inde, l’eau est rationnée à 5 litres d’eau par femme du foyer et par jour. Il faut donc savoir économiser l’eau. Il faut cultiver que les plantes alimentaires qui vous sont indispensables et qui demandent peu d’eau : tournesol, sorgho, lentille (appelé </w:t>
      </w:r>
      <w:r w:rsidRPr="00CC7462">
        <w:rPr>
          <w:i/>
          <w:iCs/>
        </w:rPr>
        <w:t>dal</w:t>
      </w:r>
      <w:r w:rsidRPr="00CC7462">
        <w:t xml:space="preserve"> en Inde), mil, lin, arachide, raisin (figuier) … Plutôt que d’utiliser l’irrigation gravitaire (ou de surface), l’irrigation par aspersion ou de répandre l’eau dans le champ, avec un seau ou une calebasse, mieux vaut utiliser des </w:t>
      </w:r>
      <w:r w:rsidRPr="00CC7462">
        <w:rPr>
          <w:i/>
          <w:iCs/>
        </w:rPr>
        <w:t xml:space="preserve">bidons percés, ou mieux des arrosoirs, ou un système de goutte à goutte simplifié </w:t>
      </w:r>
      <w:r w:rsidRPr="00CC7462">
        <w:t xml:space="preserve">(utilisant un bidon ou baril surélevé, contenant l’eau, et des tuyaux percés la diffusant _ voir page suivante). Quand cela est possible, </w:t>
      </w:r>
      <w:r w:rsidRPr="00CC7462">
        <w:rPr>
          <w:i/>
          <w:iCs/>
        </w:rPr>
        <w:t>pailler le sol</w:t>
      </w:r>
      <w:r w:rsidRPr="00CC7462">
        <w:t>, pour éviter qu’il se dessèche (voir page suivante) …</w:t>
      </w:r>
      <w:r>
        <w:t xml:space="preserve"> </w:t>
      </w:r>
      <w:r w:rsidRPr="00CC7462">
        <w:rPr>
          <w:i/>
          <w:iCs/>
        </w:rPr>
        <w:t>Et mieux vaut arroser à la tombée du jour.</w:t>
      </w:r>
    </w:p>
    <w:p w14:paraId="195918B3" w14:textId="2C057D09" w:rsidR="00CC7462" w:rsidRDefault="00CC7462" w:rsidP="00CC7462">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4"/>
        <w:gridCol w:w="6172"/>
      </w:tblGrid>
      <w:tr w:rsidR="00CC7462" w14:paraId="2EA2FB96" w14:textId="77777777" w:rsidTr="00B74153">
        <w:tc>
          <w:tcPr>
            <w:tcW w:w="4244" w:type="dxa"/>
          </w:tcPr>
          <w:p w14:paraId="656DF126" w14:textId="41EAF411" w:rsidR="00CC7462" w:rsidRDefault="00CC7462" w:rsidP="00CC7462">
            <w:pPr>
              <w:jc w:val="center"/>
            </w:pPr>
            <w:r w:rsidRPr="00CC7462">
              <w:rPr>
                <w:noProof/>
              </w:rPr>
              <w:lastRenderedPageBreak/>
              <w:drawing>
                <wp:inline distT="0" distB="0" distL="0" distR="0" wp14:anchorId="6DA2170D" wp14:editId="149D7FD0">
                  <wp:extent cx="2266950" cy="1503086"/>
                  <wp:effectExtent l="0" t="0" r="0" b="1905"/>
                  <wp:docPr id="3687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8"/>
                          <pic:cNvPicPr>
                            <a:picLocks noChangeAspect="1"/>
                          </pic:cNvPicPr>
                        </pic:nvPicPr>
                        <pic:blipFill>
                          <a:blip r:embed="rId3270">
                            <a:extLst>
                              <a:ext uri="{28A0092B-C50C-407E-A947-70E740481C1C}">
                                <a14:useLocalDpi xmlns:a14="http://schemas.microsoft.com/office/drawing/2010/main" val="0"/>
                              </a:ext>
                            </a:extLst>
                          </a:blip>
                          <a:stretch>
                            <a:fillRect/>
                          </a:stretch>
                        </pic:blipFill>
                        <pic:spPr>
                          <a:xfrm>
                            <a:off x="0" y="0"/>
                            <a:ext cx="2268603" cy="1504182"/>
                          </a:xfrm>
                          <a:prstGeom prst="rect">
                            <a:avLst/>
                          </a:prstGeom>
                        </pic:spPr>
                      </pic:pic>
                    </a:graphicData>
                  </a:graphic>
                </wp:inline>
              </w:drawing>
            </w:r>
          </w:p>
          <w:p w14:paraId="19017996" w14:textId="6D33A091" w:rsidR="00CC7462" w:rsidRDefault="00CC7462" w:rsidP="00CC7462">
            <w:pPr>
              <w:jc w:val="center"/>
            </w:pPr>
            <w:r>
              <w:t>Irrigation gravitaire (à éviter)</w:t>
            </w:r>
          </w:p>
        </w:tc>
        <w:tc>
          <w:tcPr>
            <w:tcW w:w="6172" w:type="dxa"/>
          </w:tcPr>
          <w:p w14:paraId="4D6C3356" w14:textId="77777777" w:rsidR="00CC7462" w:rsidRDefault="00CC7462" w:rsidP="00CC7462">
            <w:pPr>
              <w:jc w:val="center"/>
            </w:pPr>
            <w:r w:rsidRPr="00CC7462">
              <w:rPr>
                <w:noProof/>
              </w:rPr>
              <w:drawing>
                <wp:inline distT="0" distB="0" distL="0" distR="0" wp14:anchorId="32F0C5D4" wp14:editId="59E2303A">
                  <wp:extent cx="3782542" cy="1411396"/>
                  <wp:effectExtent l="0" t="0" r="0" b="0"/>
                  <wp:docPr id="36879"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5"/>
                          <pic:cNvPicPr>
                            <a:picLocks noChangeAspect="1"/>
                          </pic:cNvPicPr>
                        </pic:nvPicPr>
                        <pic:blipFill>
                          <a:blip r:embed="rId3271">
                            <a:extLst>
                              <a:ext uri="{28A0092B-C50C-407E-A947-70E740481C1C}">
                                <a14:useLocalDpi xmlns:a14="http://schemas.microsoft.com/office/drawing/2010/main" val="0"/>
                              </a:ext>
                            </a:extLst>
                          </a:blip>
                          <a:stretch>
                            <a:fillRect/>
                          </a:stretch>
                        </pic:blipFill>
                        <pic:spPr>
                          <a:xfrm>
                            <a:off x="0" y="0"/>
                            <a:ext cx="3782542" cy="1411396"/>
                          </a:xfrm>
                          <a:prstGeom prst="rect">
                            <a:avLst/>
                          </a:prstGeom>
                        </pic:spPr>
                      </pic:pic>
                    </a:graphicData>
                  </a:graphic>
                </wp:inline>
              </w:drawing>
            </w:r>
          </w:p>
          <w:p w14:paraId="68A21F98" w14:textId="46828C1C" w:rsidR="00CC7462" w:rsidRDefault="00CC7462" w:rsidP="00CC7462">
            <w:pPr>
              <w:jc w:val="center"/>
            </w:pPr>
            <w:r w:rsidRPr="00CC7462">
              <w:t>Arrosage avec et sans pomme</w:t>
            </w:r>
          </w:p>
        </w:tc>
      </w:tr>
      <w:tr w:rsidR="00CC7462" w14:paraId="397EC790" w14:textId="77777777" w:rsidTr="00B74153">
        <w:tc>
          <w:tcPr>
            <w:tcW w:w="4244" w:type="dxa"/>
          </w:tcPr>
          <w:p w14:paraId="7D13C1D4" w14:textId="77777777" w:rsidR="00B74153" w:rsidRDefault="00B74153" w:rsidP="00CC7462">
            <w:pPr>
              <w:jc w:val="center"/>
            </w:pPr>
          </w:p>
          <w:p w14:paraId="46C9919E" w14:textId="1C18C394" w:rsidR="00CC7462" w:rsidRDefault="00CC7462" w:rsidP="00CC7462">
            <w:pPr>
              <w:jc w:val="center"/>
            </w:pPr>
            <w:r w:rsidRPr="00CC7462">
              <w:rPr>
                <w:noProof/>
              </w:rPr>
              <w:drawing>
                <wp:inline distT="0" distB="0" distL="0" distR="0" wp14:anchorId="1733E64D" wp14:editId="3D16E11A">
                  <wp:extent cx="1104900" cy="1419225"/>
                  <wp:effectExtent l="0" t="0" r="0" b="9525"/>
                  <wp:docPr id="36880"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1"/>
                          <pic:cNvPicPr>
                            <a:picLocks noChangeAspect="1"/>
                          </pic:cNvPicPr>
                        </pic:nvPicPr>
                        <pic:blipFill>
                          <a:blip r:embed="rId3272">
                            <a:extLst>
                              <a:ext uri="{28A0092B-C50C-407E-A947-70E740481C1C}">
                                <a14:useLocalDpi xmlns:a14="http://schemas.microsoft.com/office/drawing/2010/main" val="0"/>
                              </a:ext>
                            </a:extLst>
                          </a:blip>
                          <a:stretch>
                            <a:fillRect/>
                          </a:stretch>
                        </pic:blipFill>
                        <pic:spPr>
                          <a:xfrm>
                            <a:off x="0" y="0"/>
                            <a:ext cx="1104900" cy="1419225"/>
                          </a:xfrm>
                          <a:prstGeom prst="rect">
                            <a:avLst/>
                          </a:prstGeom>
                        </pic:spPr>
                      </pic:pic>
                    </a:graphicData>
                  </a:graphic>
                </wp:inline>
              </w:drawing>
            </w:r>
          </w:p>
          <w:p w14:paraId="3D9A7C83" w14:textId="2058D5B8" w:rsidR="00CC7462" w:rsidRDefault="00CC7462" w:rsidP="00CC7462">
            <w:pPr>
              <w:jc w:val="center"/>
            </w:pPr>
            <w:r w:rsidRPr="00CC7462">
              <w:t>Calebasse</w:t>
            </w:r>
            <w:r>
              <w:t xml:space="preserve"> (pénible).</w:t>
            </w:r>
          </w:p>
        </w:tc>
        <w:tc>
          <w:tcPr>
            <w:tcW w:w="6172" w:type="dxa"/>
          </w:tcPr>
          <w:p w14:paraId="49F00380" w14:textId="77777777" w:rsidR="00CC7462" w:rsidRDefault="00B03992" w:rsidP="00CC7462">
            <w:pPr>
              <w:jc w:val="center"/>
            </w:pPr>
            <w:r>
              <w:rPr>
                <w:noProof/>
              </w:rPr>
              <w:drawing>
                <wp:inline distT="0" distB="0" distL="0" distR="0" wp14:anchorId="7EBC4A14" wp14:editId="4B953BD2">
                  <wp:extent cx="1114425" cy="1038225"/>
                  <wp:effectExtent l="0" t="0" r="9525" b="9525"/>
                  <wp:docPr id="36884" name="Image 36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273">
                            <a:extLst>
                              <a:ext uri="{28A0092B-C50C-407E-A947-70E740481C1C}">
                                <a14:useLocalDpi xmlns:a14="http://schemas.microsoft.com/office/drawing/2010/main" val="0"/>
                              </a:ext>
                            </a:extLst>
                          </a:blip>
                          <a:srcRect/>
                          <a:stretch>
                            <a:fillRect/>
                          </a:stretch>
                        </pic:blipFill>
                        <pic:spPr bwMode="auto">
                          <a:xfrm>
                            <a:off x="0" y="0"/>
                            <a:ext cx="1114425" cy="1038225"/>
                          </a:xfrm>
                          <a:prstGeom prst="rect">
                            <a:avLst/>
                          </a:prstGeom>
                          <a:noFill/>
                          <a:ln>
                            <a:noFill/>
                          </a:ln>
                        </pic:spPr>
                      </pic:pic>
                    </a:graphicData>
                  </a:graphic>
                </wp:inline>
              </w:drawing>
            </w:r>
            <w:r w:rsidRPr="00B03992">
              <w:rPr>
                <w:noProof/>
              </w:rPr>
              <w:drawing>
                <wp:inline distT="0" distB="0" distL="0" distR="0" wp14:anchorId="0DA337A4" wp14:editId="2BCE799C">
                  <wp:extent cx="975146" cy="1101554"/>
                  <wp:effectExtent l="0" t="0" r="0" b="3810"/>
                  <wp:docPr id="36881"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8"/>
                          <pic:cNvPicPr>
                            <a:picLocks noChangeAspect="1"/>
                          </pic:cNvPicPr>
                        </pic:nvPicPr>
                        <pic:blipFill>
                          <a:blip r:embed="rId3274">
                            <a:extLst>
                              <a:ext uri="{28A0092B-C50C-407E-A947-70E740481C1C}">
                                <a14:useLocalDpi xmlns:a14="http://schemas.microsoft.com/office/drawing/2010/main" val="0"/>
                              </a:ext>
                            </a:extLst>
                          </a:blip>
                          <a:stretch>
                            <a:fillRect/>
                          </a:stretch>
                        </pic:blipFill>
                        <pic:spPr>
                          <a:xfrm>
                            <a:off x="0" y="0"/>
                            <a:ext cx="975146" cy="1101554"/>
                          </a:xfrm>
                          <a:prstGeom prst="rect">
                            <a:avLst/>
                          </a:prstGeom>
                        </pic:spPr>
                      </pic:pic>
                    </a:graphicData>
                  </a:graphic>
                </wp:inline>
              </w:drawing>
            </w:r>
            <w:r>
              <w:t xml:space="preserve"> </w:t>
            </w:r>
            <w:r w:rsidRPr="00B03992">
              <w:rPr>
                <w:noProof/>
              </w:rPr>
              <w:drawing>
                <wp:inline distT="0" distB="0" distL="0" distR="0" wp14:anchorId="1C76B13A" wp14:editId="1079CE79">
                  <wp:extent cx="1406459" cy="1379669"/>
                  <wp:effectExtent l="0" t="0" r="3810" b="0"/>
                  <wp:docPr id="36882"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7"/>
                          <pic:cNvPicPr>
                            <a:picLocks noChangeAspect="1"/>
                          </pic:cNvPicPr>
                        </pic:nvPicPr>
                        <pic:blipFill>
                          <a:blip r:embed="rId3275">
                            <a:extLst>
                              <a:ext uri="{28A0092B-C50C-407E-A947-70E740481C1C}">
                                <a14:useLocalDpi xmlns:a14="http://schemas.microsoft.com/office/drawing/2010/main" val="0"/>
                              </a:ext>
                            </a:extLst>
                          </a:blip>
                          <a:stretch>
                            <a:fillRect/>
                          </a:stretch>
                        </pic:blipFill>
                        <pic:spPr>
                          <a:xfrm>
                            <a:off x="0" y="0"/>
                            <a:ext cx="1406459" cy="1379669"/>
                          </a:xfrm>
                          <a:prstGeom prst="rect">
                            <a:avLst/>
                          </a:prstGeom>
                        </pic:spPr>
                      </pic:pic>
                    </a:graphicData>
                  </a:graphic>
                </wp:inline>
              </w:drawing>
            </w:r>
            <w:r>
              <w:t xml:space="preserve"> </w:t>
            </w:r>
          </w:p>
          <w:p w14:paraId="7A857FD1" w14:textId="77777777" w:rsidR="00B03992" w:rsidRDefault="00B03992" w:rsidP="00B03992">
            <w:r>
              <w:t xml:space="preserve">a) à gauche : </w:t>
            </w:r>
            <w:r w:rsidRPr="00B03992">
              <w:t>Solution du seau ou du bidon percé</w:t>
            </w:r>
          </w:p>
          <w:p w14:paraId="6AA79151" w14:textId="15AE5957" w:rsidR="00B03992" w:rsidRDefault="00B03992" w:rsidP="00B03992">
            <w:r>
              <w:t xml:space="preserve">b) à droite : </w:t>
            </w:r>
            <w:r w:rsidRPr="00B03992">
              <w:t>Arrosoirs (image de droite : Thomas Koehler)</w:t>
            </w:r>
            <w:r>
              <w:t>.</w:t>
            </w:r>
          </w:p>
        </w:tc>
      </w:tr>
    </w:tbl>
    <w:p w14:paraId="46DEC6DB" w14:textId="77777777" w:rsidR="00CC7462" w:rsidRDefault="00CC7462" w:rsidP="00CC7462">
      <w:pPr>
        <w:spacing w:after="0" w:line="240" w:lineRule="auto"/>
        <w:jc w:val="both"/>
      </w:pPr>
    </w:p>
    <w:p w14:paraId="65E26E07" w14:textId="77777777" w:rsidR="00671DDC" w:rsidRDefault="00671DDC" w:rsidP="00671DDC">
      <w:pPr>
        <w:pStyle w:val="Titre2"/>
      </w:pPr>
      <w:bookmarkStart w:id="248" w:name="_Toc139181539"/>
      <w:r w:rsidRPr="00F84327">
        <w:t>Le système d’irrigation goutte à goutte ou micro-irrigation</w:t>
      </w:r>
      <w:bookmarkEnd w:id="248"/>
    </w:p>
    <w:p w14:paraId="3AA3FE1A" w14:textId="77777777" w:rsidR="00671DDC" w:rsidRDefault="00671DDC" w:rsidP="00671DDC">
      <w:pPr>
        <w:spacing w:after="0" w:line="240" w:lineRule="auto"/>
        <w:jc w:val="both"/>
      </w:pPr>
    </w:p>
    <w:p w14:paraId="4057F314" w14:textId="77777777" w:rsidR="00671DDC" w:rsidRPr="00F84327" w:rsidRDefault="00671DDC" w:rsidP="00671DDC">
      <w:pPr>
        <w:spacing w:after="0" w:line="240" w:lineRule="auto"/>
        <w:jc w:val="both"/>
      </w:pPr>
      <w:r w:rsidRPr="00F84327">
        <w:t>C’est une méthode d'</w:t>
      </w:r>
      <w:hyperlink r:id="rId3276" w:history="1">
        <w:r w:rsidRPr="00F84327">
          <w:rPr>
            <w:rStyle w:val="Lienhypertexte"/>
          </w:rPr>
          <w:t>irrigation</w:t>
        </w:r>
      </w:hyperlink>
      <w:r w:rsidRPr="00F84327">
        <w:t> utilisée en zone aride car elle réduit au minimum l'utilisation de l'</w:t>
      </w:r>
      <w:hyperlink r:id="rId3277" w:history="1">
        <w:r w:rsidRPr="00F84327">
          <w:rPr>
            <w:rStyle w:val="Lienhypertexte"/>
          </w:rPr>
          <w:t>eau</w:t>
        </w:r>
      </w:hyperlink>
      <w:r w:rsidRPr="00F84327">
        <w:t> et de l'</w:t>
      </w:r>
      <w:hyperlink r:id="rId3278" w:history="1">
        <w:r w:rsidRPr="00F84327">
          <w:rPr>
            <w:rStyle w:val="Lienhypertexte"/>
          </w:rPr>
          <w:t>engrais</w:t>
        </w:r>
      </w:hyperlink>
      <w:r w:rsidRPr="00F84327">
        <w:t>. L'eau s'égoutte lentement vers les </w:t>
      </w:r>
      <w:hyperlink r:id="rId3279" w:history="1">
        <w:r w:rsidRPr="00F84327">
          <w:rPr>
            <w:rStyle w:val="Lienhypertexte"/>
          </w:rPr>
          <w:t>racines</w:t>
        </w:r>
      </w:hyperlink>
      <w:r w:rsidRPr="00F84327">
        <w:t> des plantes soit en coulant à la surface du </w:t>
      </w:r>
      <w:hyperlink r:id="rId3280" w:history="1">
        <w:r w:rsidRPr="00F84327">
          <w:rPr>
            <w:rStyle w:val="Lienhypertexte"/>
          </w:rPr>
          <w:t>sol</w:t>
        </w:r>
      </w:hyperlink>
      <w:r w:rsidRPr="00F84327">
        <w:t> soit en irriguant directement la </w:t>
      </w:r>
      <w:hyperlink r:id="rId3281" w:history="1">
        <w:r w:rsidRPr="00F84327">
          <w:rPr>
            <w:rStyle w:val="Lienhypertexte"/>
          </w:rPr>
          <w:t>rhizosphère</w:t>
        </w:r>
      </w:hyperlink>
      <w:r w:rsidRPr="00F84327">
        <w:t xml:space="preserve"> par un système de tuyaux, on peut alors parler de goutte-à-goutte enterré. Sources : a) </w:t>
      </w:r>
      <w:hyperlink r:id="rId3282" w:history="1">
        <w:r w:rsidRPr="00F84327">
          <w:rPr>
            <w:rStyle w:val="Lienhypertexte"/>
          </w:rPr>
          <w:t>http://fr.wikipedia.org/wiki/Micro-irrigation</w:t>
        </w:r>
      </w:hyperlink>
      <w:r w:rsidRPr="00F84327">
        <w:t xml:space="preserve">, b) </w:t>
      </w:r>
      <w:hyperlink r:id="rId3283" w:history="1">
        <w:r w:rsidRPr="00F84327">
          <w:rPr>
            <w:rStyle w:val="Lienhypertexte"/>
          </w:rPr>
          <w:t>http://en.wikipedia.org/wiki/Drip_irrigation</w:t>
        </w:r>
      </w:hyperlink>
      <w:r w:rsidRPr="00F84327">
        <w:t xml:space="preserve"> </w:t>
      </w:r>
    </w:p>
    <w:p w14:paraId="0915129F" w14:textId="77777777" w:rsidR="00671DDC" w:rsidRPr="00F84327" w:rsidRDefault="00671DDC" w:rsidP="00671DDC">
      <w:pPr>
        <w:spacing w:after="0" w:line="240" w:lineRule="auto"/>
        <w:jc w:val="both"/>
      </w:pPr>
      <w:r w:rsidRPr="00F84327">
        <w:t>La technologie moderne d'irrigation par goutte à goutte a été inventée en </w:t>
      </w:r>
      <w:hyperlink r:id="rId3284" w:history="1">
        <w:r w:rsidRPr="00F84327">
          <w:rPr>
            <w:rStyle w:val="Lienhypertexte"/>
          </w:rPr>
          <w:t>Israël</w:t>
        </w:r>
      </w:hyperlink>
      <w:r w:rsidRPr="00F84327">
        <w:t> par </w:t>
      </w:r>
      <w:hyperlink r:id="rId3285" w:history="1">
        <w:r w:rsidRPr="00F84327">
          <w:rPr>
            <w:rStyle w:val="Lienhypertexte"/>
          </w:rPr>
          <w:t>Simcha</w:t>
        </w:r>
      </w:hyperlink>
      <w:hyperlink r:id="rId3286" w:history="1">
        <w:r w:rsidRPr="00F84327">
          <w:rPr>
            <w:rStyle w:val="Lienhypertexte"/>
          </w:rPr>
          <w:t xml:space="preserve"> </w:t>
        </w:r>
      </w:hyperlink>
      <w:hyperlink r:id="rId3287" w:history="1">
        <w:r w:rsidRPr="00F84327">
          <w:rPr>
            <w:rStyle w:val="Lienhypertexte"/>
          </w:rPr>
          <w:t>Blass</w:t>
        </w:r>
      </w:hyperlink>
      <w:r w:rsidRPr="00F84327">
        <w:t> et son fils Yeshayahu. Au lieu de libérer l'eau par des trous minuscules, facilement obstrués par des particules minuscules, l'eau est libérée par des passages plus grands et plus longs en employant le frottement pour ralentir l'eau à l'intérieur d'un diffuseur en plastique (buse).</w:t>
      </w:r>
    </w:p>
    <w:p w14:paraId="087814C3" w14:textId="77777777" w:rsidR="00671DDC" w:rsidRDefault="00671DDC" w:rsidP="00671DDC">
      <w:pPr>
        <w:spacing w:after="0" w:line="240" w:lineRule="auto"/>
        <w:jc w:val="both"/>
      </w:pPr>
      <w:r w:rsidRPr="00F84327">
        <w:t>La plupart des grands systèmes d'irrigation par goutte à goutte utilisent un certain type de filtre à eau pour empêcher l'obstruction du petit tuyau d'écoulement. </w:t>
      </w:r>
    </w:p>
    <w:p w14:paraId="01C13CC2" w14:textId="77777777" w:rsidR="00671DDC" w:rsidRDefault="00671DDC" w:rsidP="00671DDC">
      <w:pPr>
        <w:spacing w:after="0" w:line="240" w:lineRule="auto"/>
        <w:jc w:val="both"/>
      </w:pPr>
      <w:r w:rsidRPr="00D65CEE">
        <w:t>Ces systèmes</w:t>
      </w:r>
      <w:r>
        <w:t xml:space="preserve"> « goutte à goutte »</w:t>
      </w:r>
      <w:r w:rsidRPr="00D65CEE">
        <w:t xml:space="preserve"> sont nettement plus efficaces et économes que les méthodes d’irrigation traditionnelles, mais plus coûteuses.</w:t>
      </w:r>
      <w:r>
        <w:t xml:space="preserve"> Les systèmes de goutte à goutte « industriels », à grande échelle, peuvent être complexes, dans leur organisation, montage et mise en œuvre.</w:t>
      </w:r>
    </w:p>
    <w:p w14:paraId="6D448FA1" w14:textId="77777777" w:rsidR="00671DDC" w:rsidRDefault="00671DDC" w:rsidP="00671DDC">
      <w:pPr>
        <w:spacing w:after="0" w:line="240" w:lineRule="auto"/>
        <w:jc w:val="both"/>
      </w:pPr>
    </w:p>
    <w:p w14:paraId="7A46F352" w14:textId="77777777" w:rsidR="00671DDC" w:rsidRDefault="00671DDC" w:rsidP="00671DDC">
      <w:pPr>
        <w:spacing w:after="0" w:line="240" w:lineRule="auto"/>
        <w:jc w:val="both"/>
      </w:pPr>
      <w:r>
        <w:t xml:space="preserve">Pour comprendre les termes utilisés dans les techniques de l’irrigation « goutte à goutte », voir ce lexique de ces termes : </w:t>
      </w:r>
      <w:r w:rsidRPr="00AA1744">
        <w:t xml:space="preserve">Cf. </w:t>
      </w:r>
      <w:r w:rsidRPr="00AA1744">
        <w:rPr>
          <w:i/>
          <w:iCs/>
        </w:rPr>
        <w:t>Termes technique utilisé dans le domaine de l'irrigation</w:t>
      </w:r>
      <w:r w:rsidRPr="00AA1744">
        <w:t xml:space="preserve">, </w:t>
      </w:r>
      <w:hyperlink r:id="rId3288" w:history="1">
        <w:r w:rsidRPr="00BE471F">
          <w:rPr>
            <w:rStyle w:val="Lienhypertexte"/>
          </w:rPr>
          <w:t>https://www.mon-irrigation.com/blog/16/Lexique-irrigation-professionnelle.html</w:t>
        </w:r>
      </w:hyperlink>
      <w:r>
        <w:t xml:space="preserv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86"/>
        <w:gridCol w:w="3040"/>
      </w:tblGrid>
      <w:tr w:rsidR="00671DDC" w14:paraId="7A4E25D3" w14:textId="77777777" w:rsidTr="00A70BB5">
        <w:tc>
          <w:tcPr>
            <w:tcW w:w="7386" w:type="dxa"/>
          </w:tcPr>
          <w:p w14:paraId="0EF18DD9" w14:textId="77777777" w:rsidR="00671DDC" w:rsidRDefault="00671DDC" w:rsidP="00A70BB5">
            <w:pPr>
              <w:jc w:val="center"/>
            </w:pPr>
            <w:r w:rsidRPr="00C47E65">
              <w:rPr>
                <w:noProof/>
              </w:rPr>
              <w:lastRenderedPageBreak/>
              <w:drawing>
                <wp:inline distT="0" distB="0" distL="0" distR="0" wp14:anchorId="075FE1FB" wp14:editId="046CFDC7">
                  <wp:extent cx="4548007" cy="2876550"/>
                  <wp:effectExtent l="0" t="0" r="5080" b="0"/>
                  <wp:docPr id="133128" name="Image 7" descr="goutte-a-goutte-bouteill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28" name="Image 7" descr="goutte-a-goutte-bouteille_s.jpg"/>
                          <pic:cNvPicPr>
                            <a:picLocks noChangeAspect="1"/>
                          </pic:cNvPicPr>
                        </pic:nvPicPr>
                        <pic:blipFill>
                          <a:blip r:embed="rId3289">
                            <a:extLst>
                              <a:ext uri="{28A0092B-C50C-407E-A947-70E740481C1C}">
                                <a14:useLocalDpi xmlns:a14="http://schemas.microsoft.com/office/drawing/2010/main" val="0"/>
                              </a:ext>
                            </a:extLst>
                          </a:blip>
                          <a:srcRect/>
                          <a:stretch>
                            <a:fillRect/>
                          </a:stretch>
                        </pic:blipFill>
                        <pic:spPr bwMode="auto">
                          <a:xfrm>
                            <a:off x="0" y="0"/>
                            <a:ext cx="4556287" cy="2881787"/>
                          </a:xfrm>
                          <a:prstGeom prst="rect">
                            <a:avLst/>
                          </a:prstGeom>
                          <a:noFill/>
                          <a:ln>
                            <a:noFill/>
                          </a:ln>
                        </pic:spPr>
                      </pic:pic>
                    </a:graphicData>
                  </a:graphic>
                </wp:inline>
              </w:drawing>
            </w:r>
          </w:p>
          <w:p w14:paraId="63DB7773" w14:textId="77777777" w:rsidR="00671DDC" w:rsidRPr="00C47E65" w:rsidRDefault="00671DDC" w:rsidP="00A70BB5">
            <w:pPr>
              <w:jc w:val="center"/>
            </w:pPr>
            <w:r w:rsidRPr="00C47E65">
              <w:t>Goutte à goutte simplifié avec une bouteille enterrée.</w:t>
            </w:r>
          </w:p>
          <w:p w14:paraId="75826AC3" w14:textId="77777777" w:rsidR="00671DDC" w:rsidRDefault="00671DDC" w:rsidP="00A70BB5">
            <w:pPr>
              <w:jc w:val="both"/>
            </w:pPr>
            <w:r>
              <w:t xml:space="preserve">Légendes : Un pack dans le dos avec 20 litre. Le porteur d’eau. Une bouteille plastique avec un petit trou dans le bas, afin de délivrer de l’eau près des racines. Hautes températures en surface. Eau piégée près des racines, à un peu plus d’un pied sous terre, </w:t>
            </w:r>
            <w:r w:rsidRPr="00C47E65">
              <w:t xml:space="preserve">sans </w:t>
            </w:r>
            <w:r>
              <w:t>possibilité</w:t>
            </w:r>
            <w:r w:rsidRPr="00C47E65">
              <w:t xml:space="preserve"> de s'évaporer</w:t>
            </w:r>
            <w:r>
              <w:t>.</w:t>
            </w:r>
          </w:p>
          <w:p w14:paraId="2746C1F0" w14:textId="77777777" w:rsidR="00671DDC" w:rsidRDefault="00671DDC" w:rsidP="00A70BB5">
            <w:pPr>
              <w:jc w:val="both"/>
            </w:pPr>
          </w:p>
        </w:tc>
        <w:tc>
          <w:tcPr>
            <w:tcW w:w="3040" w:type="dxa"/>
          </w:tcPr>
          <w:p w14:paraId="608ADAD8" w14:textId="77777777" w:rsidR="00671DDC" w:rsidRDefault="00671DDC" w:rsidP="00A70BB5">
            <w:pPr>
              <w:jc w:val="center"/>
            </w:pPr>
            <w:r w:rsidRPr="00C47E65">
              <w:rPr>
                <w:noProof/>
              </w:rPr>
              <w:drawing>
                <wp:inline distT="0" distB="0" distL="0" distR="0" wp14:anchorId="6450797B" wp14:editId="7E515ABE">
                  <wp:extent cx="1728788" cy="2419350"/>
                  <wp:effectExtent l="0" t="0" r="5080" b="0"/>
                  <wp:docPr id="133131" name="Image 11" descr="Goutte à goutte dans une vig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31" name="Image 11" descr="Goutte à goutte dans une vigne.JPG"/>
                          <pic:cNvPicPr>
                            <a:picLocks noChangeAspect="1"/>
                          </pic:cNvPicPr>
                        </pic:nvPicPr>
                        <pic:blipFill>
                          <a:blip r:embed="rId3290">
                            <a:extLst>
                              <a:ext uri="{28A0092B-C50C-407E-A947-70E740481C1C}">
                                <a14:useLocalDpi xmlns:a14="http://schemas.microsoft.com/office/drawing/2010/main" val="0"/>
                              </a:ext>
                            </a:extLst>
                          </a:blip>
                          <a:srcRect/>
                          <a:stretch>
                            <a:fillRect/>
                          </a:stretch>
                        </pic:blipFill>
                        <pic:spPr bwMode="auto">
                          <a:xfrm>
                            <a:off x="0" y="0"/>
                            <a:ext cx="1728788" cy="2419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9FA7552" w14:textId="77777777" w:rsidR="00671DDC" w:rsidRPr="00C47E65" w:rsidRDefault="00671DDC" w:rsidP="00A70BB5">
            <w:pPr>
              <w:jc w:val="center"/>
            </w:pPr>
            <w:r w:rsidRPr="00C47E65">
              <w:t>Goutte à goutte dans une vigne du Nouveau-Mexique, 2002.</w:t>
            </w:r>
          </w:p>
          <w:p w14:paraId="2873B75D" w14:textId="77777777" w:rsidR="00671DDC" w:rsidRDefault="00671DDC" w:rsidP="00A70BB5">
            <w:pPr>
              <w:jc w:val="center"/>
            </w:pPr>
          </w:p>
        </w:tc>
      </w:tr>
      <w:tr w:rsidR="00671DDC" w14:paraId="25E35AB5" w14:textId="77777777" w:rsidTr="00A70BB5">
        <w:tc>
          <w:tcPr>
            <w:tcW w:w="7386" w:type="dxa"/>
          </w:tcPr>
          <w:p w14:paraId="230E14F4" w14:textId="77777777" w:rsidR="00671DDC" w:rsidRDefault="00671DDC" w:rsidP="00A70BB5">
            <w:pPr>
              <w:jc w:val="center"/>
            </w:pPr>
            <w:r w:rsidRPr="00C47E65">
              <w:rPr>
                <w:noProof/>
              </w:rPr>
              <w:drawing>
                <wp:inline distT="0" distB="0" distL="0" distR="0" wp14:anchorId="12131CEB" wp14:editId="02491A73">
                  <wp:extent cx="1828800" cy="1085850"/>
                  <wp:effectExtent l="0" t="0" r="0" b="0"/>
                  <wp:docPr id="133133" name="Image 13" descr="goutte-a-goutte-diffuseu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33" name="Image 13" descr="goutte-a-goutte-diffuseur.gif"/>
                          <pic:cNvPicPr>
                            <a:picLocks noChangeAspect="1"/>
                          </pic:cNvPicPr>
                        </pic:nvPicPr>
                        <pic:blipFill>
                          <a:blip r:embed="rId3291">
                            <a:extLst>
                              <a:ext uri="{28A0092B-C50C-407E-A947-70E740481C1C}">
                                <a14:useLocalDpi xmlns:a14="http://schemas.microsoft.com/office/drawing/2010/main" val="0"/>
                              </a:ext>
                            </a:extLst>
                          </a:blip>
                          <a:srcRect/>
                          <a:stretch>
                            <a:fillRect/>
                          </a:stretch>
                        </pic:blipFill>
                        <pic:spPr bwMode="auto">
                          <a:xfrm>
                            <a:off x="0" y="0"/>
                            <a:ext cx="1828800" cy="1085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t xml:space="preserve"> </w:t>
            </w:r>
            <w:r w:rsidRPr="00C47E65">
              <w:rPr>
                <w:noProof/>
              </w:rPr>
              <w:drawing>
                <wp:inline distT="0" distB="0" distL="0" distR="0" wp14:anchorId="49884E4C" wp14:editId="4375EC86">
                  <wp:extent cx="1677541" cy="1190299"/>
                  <wp:effectExtent l="0" t="0" r="0" b="0"/>
                  <wp:docPr id="133134" name="Picture 2" descr="C:\Users\LISAN\Pictures\plantes-halophytes-xerophiles\goutte-a-goutte-Irrigation_dripp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34" name="Picture 2" descr="C:\Users\LISAN\Pictures\plantes-halophytes-xerophiles\goutte-a-goutte-Irrigation_dripper.jpg"/>
                          <pic:cNvPicPr>
                            <a:picLocks noChangeAspect="1" noChangeArrowheads="1"/>
                          </pic:cNvPicPr>
                        </pic:nvPicPr>
                        <pic:blipFill>
                          <a:blip r:embed="rId3292">
                            <a:extLst>
                              <a:ext uri="{28A0092B-C50C-407E-A947-70E740481C1C}">
                                <a14:useLocalDpi xmlns:a14="http://schemas.microsoft.com/office/drawing/2010/main" val="0"/>
                              </a:ext>
                            </a:extLst>
                          </a:blip>
                          <a:srcRect/>
                          <a:stretch>
                            <a:fillRect/>
                          </a:stretch>
                        </pic:blipFill>
                        <pic:spPr bwMode="auto">
                          <a:xfrm>
                            <a:off x="0" y="0"/>
                            <a:ext cx="1680874" cy="1192664"/>
                          </a:xfrm>
                          <a:prstGeom prst="rect">
                            <a:avLst/>
                          </a:prstGeom>
                          <a:noFill/>
                          <a:ln>
                            <a:noFill/>
                          </a:ln>
                        </pic:spPr>
                      </pic:pic>
                    </a:graphicData>
                  </a:graphic>
                </wp:inline>
              </w:drawing>
            </w:r>
          </w:p>
          <w:p w14:paraId="6E468D82" w14:textId="77777777" w:rsidR="00671DDC" w:rsidRDefault="00671DDC" w:rsidP="00A70BB5">
            <w:pPr>
              <w:jc w:val="center"/>
            </w:pPr>
            <w:r>
              <w:t>D</w:t>
            </w:r>
            <w:r w:rsidRPr="00C47E65">
              <w:t>iffuseur</w:t>
            </w:r>
            <w:r>
              <w:t xml:space="preserve"> ou buse</w:t>
            </w:r>
            <w:r w:rsidRPr="00C47E65">
              <w:t xml:space="preserve"> en plastique</w:t>
            </w:r>
            <w:r>
              <w:t>.</w:t>
            </w:r>
          </w:p>
        </w:tc>
        <w:tc>
          <w:tcPr>
            <w:tcW w:w="3040" w:type="dxa"/>
          </w:tcPr>
          <w:p w14:paraId="23AFAF43" w14:textId="77777777" w:rsidR="00671DDC" w:rsidRDefault="00671DDC" w:rsidP="00A70BB5">
            <w:pPr>
              <w:jc w:val="center"/>
            </w:pPr>
            <w:r w:rsidRPr="00D65CEE">
              <w:rPr>
                <w:noProof/>
              </w:rPr>
              <w:drawing>
                <wp:inline distT="0" distB="0" distL="0" distR="0" wp14:anchorId="1A9E5694" wp14:editId="476C1EDE">
                  <wp:extent cx="1778244" cy="1430020"/>
                  <wp:effectExtent l="0" t="0" r="0" b="0"/>
                  <wp:docPr id="134153" name="Picture 2" descr="C:\Users\LISAN\Pictures\plantes-halophytes-xerophiles\goutte-a-goutt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53" name="Picture 2" descr="C:\Users\LISAN\Pictures\plantes-halophytes-xerophiles\goutte-a-goutte.gif"/>
                          <pic:cNvPicPr>
                            <a:picLocks noChangeAspect="1" noChangeArrowheads="1"/>
                          </pic:cNvPicPr>
                        </pic:nvPicPr>
                        <pic:blipFill>
                          <a:blip r:embed="rId3293">
                            <a:extLst>
                              <a:ext uri="{28A0092B-C50C-407E-A947-70E740481C1C}">
                                <a14:useLocalDpi xmlns:a14="http://schemas.microsoft.com/office/drawing/2010/main" val="0"/>
                              </a:ext>
                            </a:extLst>
                          </a:blip>
                          <a:srcRect/>
                          <a:stretch>
                            <a:fillRect/>
                          </a:stretch>
                        </pic:blipFill>
                        <pic:spPr bwMode="auto">
                          <a:xfrm>
                            <a:off x="0" y="0"/>
                            <a:ext cx="1783957" cy="1434614"/>
                          </a:xfrm>
                          <a:prstGeom prst="rect">
                            <a:avLst/>
                          </a:prstGeom>
                          <a:noFill/>
                          <a:ln>
                            <a:noFill/>
                          </a:ln>
                        </pic:spPr>
                      </pic:pic>
                    </a:graphicData>
                  </a:graphic>
                </wp:inline>
              </w:drawing>
            </w:r>
          </w:p>
        </w:tc>
      </w:tr>
    </w:tbl>
    <w:p w14:paraId="1E1BA287" w14:textId="77777777" w:rsidR="00671DDC" w:rsidRDefault="00671DDC" w:rsidP="00671DDC">
      <w:pPr>
        <w:spacing w:after="0" w:line="240" w:lineRule="auto"/>
        <w:jc w:val="center"/>
      </w:pPr>
      <w:r w:rsidRPr="00C40807">
        <w:rPr>
          <w:noProof/>
        </w:rPr>
        <w:drawing>
          <wp:inline distT="0" distB="0" distL="0" distR="0" wp14:anchorId="19E8FFD8" wp14:editId="1AABC91A">
            <wp:extent cx="4195762" cy="2376487"/>
            <wp:effectExtent l="0" t="0" r="0" b="5080"/>
            <wp:docPr id="135175" name="Image 6" descr="goutte à goutte faible coût_Low Cost Drip Irrigation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75" name="Image 6" descr="goutte à goutte faible coût_Low Cost Drip Irrigation_s.jpg"/>
                    <pic:cNvPicPr>
                      <a:picLocks noChangeAspect="1"/>
                    </pic:cNvPicPr>
                  </pic:nvPicPr>
                  <pic:blipFill>
                    <a:blip r:embed="rId3294">
                      <a:extLst>
                        <a:ext uri="{28A0092B-C50C-407E-A947-70E740481C1C}">
                          <a14:useLocalDpi xmlns:a14="http://schemas.microsoft.com/office/drawing/2010/main" val="0"/>
                        </a:ext>
                      </a:extLst>
                    </a:blip>
                    <a:srcRect/>
                    <a:stretch>
                      <a:fillRect/>
                    </a:stretch>
                  </pic:blipFill>
                  <pic:spPr bwMode="auto">
                    <a:xfrm>
                      <a:off x="0" y="0"/>
                      <a:ext cx="4195762" cy="23764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536E78A" w14:textId="77777777" w:rsidR="00671DDC" w:rsidRPr="00C40807" w:rsidRDefault="00671DDC" w:rsidP="00671DDC">
      <w:pPr>
        <w:spacing w:after="0" w:line="240" w:lineRule="auto"/>
        <w:jc w:val="center"/>
      </w:pPr>
      <w:r w:rsidRPr="00C40807">
        <w:t>Un goutte à goutte faible coût</w:t>
      </w:r>
    </w:p>
    <w:p w14:paraId="465D7273" w14:textId="04C4DA0B" w:rsidR="00671DDC" w:rsidRDefault="00671DDC" w:rsidP="00671DDC">
      <w:pPr>
        <w:spacing w:after="0" w:line="240" w:lineRule="auto"/>
        <w:jc w:val="both"/>
      </w:pPr>
      <w:r>
        <w:t>Légendes</w:t>
      </w:r>
      <w:r w:rsidR="00A95DE0">
        <w:t xml:space="preserve"> (voir image ci-avant)</w:t>
      </w:r>
      <w:r>
        <w:t xml:space="preserve"> : Réservoir d’eau. Vanne de contrôle. Filtre épurateur. Canalisation principale. Canalisation </w:t>
      </w:r>
      <w:r w:rsidRPr="006C4B6C">
        <w:t>secondaire</w:t>
      </w:r>
      <w:r>
        <w:t>. Micro-tubes é</w:t>
      </w:r>
      <w:r w:rsidRPr="006C4B6C">
        <w:t>metteur</w:t>
      </w:r>
      <w:r>
        <w:t>s/diffuseurs/</w:t>
      </w:r>
      <w:r w:rsidRPr="006C4B6C">
        <w:t>goutteur</w:t>
      </w:r>
      <w:r>
        <w:t>s. 142 m. Tuyaux PE latéraux.</w:t>
      </w:r>
    </w:p>
    <w:p w14:paraId="09FC6D0A" w14:textId="77777777" w:rsidR="00671DDC" w:rsidRDefault="00671DDC" w:rsidP="00671DDC">
      <w:pPr>
        <w:spacing w:after="0" w:line="240" w:lineRule="auto"/>
        <w:jc w:val="center"/>
      </w:pPr>
    </w:p>
    <w:p w14:paraId="33EFC225" w14:textId="77777777" w:rsidR="00671DDC" w:rsidRDefault="00671DDC" w:rsidP="00671DDC">
      <w:pPr>
        <w:spacing w:after="0" w:line="240" w:lineRule="auto"/>
        <w:jc w:val="center"/>
      </w:pPr>
      <w:r w:rsidRPr="00D65CEE">
        <w:rPr>
          <w:noProof/>
        </w:rPr>
        <w:lastRenderedPageBreak/>
        <w:drawing>
          <wp:inline distT="0" distB="0" distL="0" distR="0" wp14:anchorId="4B4EB6CC" wp14:editId="25C78D79">
            <wp:extent cx="6620510" cy="3369945"/>
            <wp:effectExtent l="0" t="0" r="8890" b="1905"/>
            <wp:docPr id="134146" name="Image 1" descr="goutte-a-goutte-schema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46" name="Image 1" descr="goutte-a-goutte-schema_s.jpg"/>
                    <pic:cNvPicPr>
                      <a:picLocks noChangeAspect="1"/>
                    </pic:cNvPicPr>
                  </pic:nvPicPr>
                  <pic:blipFill>
                    <a:blip r:embed="rId3295">
                      <a:extLst>
                        <a:ext uri="{28A0092B-C50C-407E-A947-70E740481C1C}">
                          <a14:useLocalDpi xmlns:a14="http://schemas.microsoft.com/office/drawing/2010/main" val="0"/>
                        </a:ext>
                      </a:extLst>
                    </a:blip>
                    <a:srcRect/>
                    <a:stretch>
                      <a:fillRect/>
                    </a:stretch>
                  </pic:blipFill>
                  <pic:spPr bwMode="auto">
                    <a:xfrm>
                      <a:off x="0" y="0"/>
                      <a:ext cx="6620510" cy="3369945"/>
                    </a:xfrm>
                    <a:prstGeom prst="rect">
                      <a:avLst/>
                    </a:prstGeom>
                    <a:noFill/>
                    <a:ln>
                      <a:noFill/>
                    </a:ln>
                  </pic:spPr>
                </pic:pic>
              </a:graphicData>
            </a:graphic>
          </wp:inline>
        </w:drawing>
      </w:r>
    </w:p>
    <w:p w14:paraId="0FF7D10C" w14:textId="77777777" w:rsidR="00671DDC" w:rsidRDefault="00671DDC" w:rsidP="00671DDC">
      <w:pPr>
        <w:spacing w:after="0" w:line="240" w:lineRule="auto"/>
        <w:jc w:val="center"/>
      </w:pPr>
      <w:r w:rsidRPr="00D65CEE">
        <w:t>Système d'irrigation au goutte à goutte</w:t>
      </w:r>
      <w:r>
        <w:t xml:space="preserve"> (plus élaboré. Exemple).</w:t>
      </w:r>
    </w:p>
    <w:p w14:paraId="311B7767" w14:textId="77777777" w:rsidR="00671DDC" w:rsidRDefault="00671DDC" w:rsidP="00671DDC">
      <w:pPr>
        <w:spacing w:after="0" w:line="240" w:lineRule="auto"/>
        <w:jc w:val="both"/>
      </w:pPr>
      <w:r>
        <w:t>Légendes : S</w:t>
      </w:r>
      <w:r w:rsidRPr="00D65CEE">
        <w:t>oupape</w:t>
      </w:r>
      <w:r>
        <w:t xml:space="preserve"> (valve)</w:t>
      </w:r>
      <w:r w:rsidRPr="00D65CEE">
        <w:t xml:space="preserve"> de contre-lavage</w:t>
      </w:r>
      <w:r>
        <w:t xml:space="preserve">. Jauge de pression. Venturi (système pour accélérer le débit, par effet Venturi). Filtre à sable. Valve (ou vanne ou robinet ?) aérienne (ou à air ?). Canalisation principale. Filtre : crible. </w:t>
      </w:r>
      <w:r w:rsidRPr="00D65CEE">
        <w:t>Robinet à tournant sphérique</w:t>
      </w:r>
      <w:r>
        <w:t>. S</w:t>
      </w:r>
      <w:r w:rsidRPr="00D65CEE">
        <w:t>éparateur de sable</w:t>
      </w:r>
      <w:r>
        <w:t>. V</w:t>
      </w:r>
      <w:r w:rsidRPr="00D65CEE">
        <w:t>anne de dérivation</w:t>
      </w:r>
      <w:r>
        <w:t xml:space="preserve">. Pompe. Puits / Source d’eau. Robinet d’évacuation latérale (chasse). Bouchon d’arrêt. Polytube / latéral. Canalisation </w:t>
      </w:r>
      <w:r w:rsidRPr="006C4B6C">
        <w:t>secondaire</w:t>
      </w:r>
      <w:r>
        <w:t xml:space="preserve">. Robinet d’évacuation. </w:t>
      </w:r>
      <w:r w:rsidRPr="006C4B6C">
        <w:t>Emetteur</w:t>
      </w:r>
      <w:r>
        <w:t>/</w:t>
      </w:r>
      <w:r w:rsidRPr="006C4B6C">
        <w:t>goutteur</w:t>
      </w:r>
      <w:r>
        <w:t xml:space="preserve"> (buse). Remerciement à Jain irrigation.</w:t>
      </w:r>
    </w:p>
    <w:p w14:paraId="05C06D2F" w14:textId="77777777" w:rsidR="00671DDC" w:rsidRDefault="00671DDC" w:rsidP="00671DDC">
      <w:pPr>
        <w:spacing w:after="0" w:line="240" w:lineRule="auto"/>
        <w:jc w:val="both"/>
      </w:pPr>
    </w:p>
    <w:p w14:paraId="4229517B" w14:textId="77777777" w:rsidR="00671DDC" w:rsidRDefault="00671DDC" w:rsidP="00671DDC">
      <w:pPr>
        <w:spacing w:after="0" w:line="240" w:lineRule="auto"/>
        <w:jc w:val="center"/>
      </w:pPr>
      <w:r w:rsidRPr="00C86323">
        <w:rPr>
          <w:noProof/>
        </w:rPr>
        <w:drawing>
          <wp:inline distT="0" distB="0" distL="0" distR="0" wp14:anchorId="738B1ADE" wp14:editId="3A92B487">
            <wp:extent cx="2130425" cy="1944688"/>
            <wp:effectExtent l="0" t="0" r="3175" b="0"/>
            <wp:docPr id="135178" name="Picture 2" descr="C:\Users\LISAN\Pictures\plantes-halophytes-xerophiles\goutte a goutte seau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78" name="Picture 2" descr="C:\Users\LISAN\Pictures\plantes-halophytes-xerophiles\goutte a goutte seau_s.jpg"/>
                    <pic:cNvPicPr>
                      <a:picLocks noChangeAspect="1" noChangeArrowheads="1"/>
                    </pic:cNvPicPr>
                  </pic:nvPicPr>
                  <pic:blipFill>
                    <a:blip r:embed="rId3296">
                      <a:extLst>
                        <a:ext uri="{28A0092B-C50C-407E-A947-70E740481C1C}">
                          <a14:useLocalDpi xmlns:a14="http://schemas.microsoft.com/office/drawing/2010/main" val="0"/>
                        </a:ext>
                      </a:extLst>
                    </a:blip>
                    <a:srcRect/>
                    <a:stretch>
                      <a:fillRect/>
                    </a:stretch>
                  </pic:blipFill>
                  <pic:spPr bwMode="auto">
                    <a:xfrm>
                      <a:off x="0" y="0"/>
                      <a:ext cx="2130425" cy="19446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t xml:space="preserve"> </w:t>
      </w:r>
      <w:r w:rsidRPr="00C86323">
        <w:rPr>
          <w:noProof/>
        </w:rPr>
        <w:drawing>
          <wp:inline distT="0" distB="0" distL="0" distR="0" wp14:anchorId="29247EE1" wp14:editId="78243D6D">
            <wp:extent cx="2268537" cy="1752600"/>
            <wp:effectExtent l="0" t="0" r="0" b="0"/>
            <wp:docPr id="135179" name="Picture 3" descr="C:\Users\LISAN\Pictures\plantes-halophytes-xerophiles\goutte a goutte bambo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79" name="Picture 3" descr="C:\Users\LISAN\Pictures\plantes-halophytes-xerophiles\goutte a goutte bambou.jpg"/>
                    <pic:cNvPicPr>
                      <a:picLocks noChangeAspect="1" noChangeArrowheads="1"/>
                    </pic:cNvPicPr>
                  </pic:nvPicPr>
                  <pic:blipFill>
                    <a:blip r:embed="rId3297">
                      <a:extLst>
                        <a:ext uri="{28A0092B-C50C-407E-A947-70E740481C1C}">
                          <a14:useLocalDpi xmlns:a14="http://schemas.microsoft.com/office/drawing/2010/main" val="0"/>
                        </a:ext>
                      </a:extLst>
                    </a:blip>
                    <a:srcRect/>
                    <a:stretch>
                      <a:fillRect/>
                    </a:stretch>
                  </pic:blipFill>
                  <pic:spPr bwMode="auto">
                    <a:xfrm>
                      <a:off x="0" y="0"/>
                      <a:ext cx="2268537" cy="1752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627B85F" w14:textId="77777777" w:rsidR="00671DDC" w:rsidRPr="00C86323" w:rsidRDefault="00671DDC" w:rsidP="00671DDC">
      <w:pPr>
        <w:spacing w:after="0" w:line="240" w:lineRule="auto"/>
        <w:jc w:val="both"/>
      </w:pPr>
      <w:r w:rsidRPr="00C86323">
        <w:t>Un système d’irrigation maison en Afrique avec un seau à</w:t>
      </w:r>
      <w:r>
        <w:t xml:space="preserve"> </w:t>
      </w:r>
      <w:r w:rsidRPr="00C86323">
        <w:t>eau</w:t>
      </w:r>
      <w:r>
        <w:t>,</w:t>
      </w:r>
      <w:r w:rsidRPr="00C86323">
        <w:t xml:space="preserve"> réservoir et tuyaux en plastique simples pour la distribution. Si bambou est disponible, il peut être utilisé en tant que tuyaux de distribution. Source: STANDISH (2009) et INFONET-BIOVISION (2010).</w:t>
      </w:r>
      <w:r>
        <w:t xml:space="preserve"> Légendes : Pierre de couverture (d’obturation). Tube en bambou. Eau.  </w:t>
      </w:r>
    </w:p>
    <w:p w14:paraId="7CD8E26F" w14:textId="77777777" w:rsidR="00671DDC" w:rsidRDefault="00671DDC" w:rsidP="00671DDC">
      <w:pPr>
        <w:spacing w:after="0" w:line="240" w:lineRule="auto"/>
        <w:jc w:val="both"/>
      </w:pPr>
    </w:p>
    <w:p w14:paraId="2773B8EF" w14:textId="77777777" w:rsidR="00671DDC" w:rsidRPr="00C86323" w:rsidRDefault="00671DDC" w:rsidP="00671DDC">
      <w:pPr>
        <w:spacing w:after="0" w:line="240" w:lineRule="auto"/>
        <w:jc w:val="both"/>
      </w:pPr>
      <w:r w:rsidRPr="00C86323">
        <w:t>Les systèmes de goutte à goutte très simples peuvent être construits avec des matériaux locaux disponibles. L'aide de seaux ou des barils d'eau, servant de </w:t>
      </w:r>
      <w:hyperlink r:id="rId3298" w:history="1">
        <w:r w:rsidRPr="00C86323">
          <w:rPr>
            <w:rStyle w:val="Lienhypertexte"/>
            <w:i/>
            <w:iCs/>
          </w:rPr>
          <w:t>réservoir</w:t>
        </w:r>
      </w:hyperlink>
      <w:r w:rsidRPr="00C86323">
        <w:t> et le bambou ou des tubes en PVC, servant de tuyaux de distribution, tout le monde peut construire un système d’</w:t>
      </w:r>
      <w:hyperlink r:id="rId3299" w:history="1">
        <w:r w:rsidRPr="00C86323">
          <w:rPr>
            <w:rStyle w:val="Lienhypertexte"/>
            <w:i/>
            <w:iCs/>
          </w:rPr>
          <w:t>irrigation</w:t>
        </w:r>
      </w:hyperlink>
      <w:r w:rsidRPr="00C86323">
        <w:t>  très efficace. Si </w:t>
      </w:r>
      <w:hyperlink r:id="rId3300" w:history="1">
        <w:r w:rsidRPr="00C86323">
          <w:rPr>
            <w:rStyle w:val="Lienhypertexte"/>
            <w:i/>
            <w:iCs/>
          </w:rPr>
          <w:t>les eaux usées</w:t>
        </w:r>
      </w:hyperlink>
      <w:r w:rsidRPr="00C86323">
        <w:t xml:space="preserve"> sont utilisés, une unité de </w:t>
      </w:r>
      <w:hyperlink r:id="rId3301" w:history="1">
        <w:r w:rsidRPr="00C86323">
          <w:rPr>
            <w:rStyle w:val="Lienhypertexte"/>
            <w:i/>
            <w:iCs/>
          </w:rPr>
          <w:t>filtration</w:t>
        </w:r>
      </w:hyperlink>
      <w:r w:rsidRPr="00C86323">
        <w:t> après l'installation de traitement est recommandée pour éviter le colmatage des émetteurs</w:t>
      </w:r>
      <w:r>
        <w:t>/goutteurs</w:t>
      </w:r>
      <w:r>
        <w:rPr>
          <w:rStyle w:val="Appelnotedebasdep"/>
        </w:rPr>
        <w:footnoteReference w:id="175"/>
      </w:r>
      <w:r w:rsidRPr="00C86323">
        <w:t xml:space="preserve">. </w:t>
      </w:r>
    </w:p>
    <w:p w14:paraId="1D8A5F00" w14:textId="77777777" w:rsidR="00671DDC" w:rsidRDefault="00671DDC" w:rsidP="00671DDC">
      <w:pPr>
        <w:spacing w:after="0" w:line="240" w:lineRule="auto"/>
        <w:jc w:val="both"/>
      </w:pPr>
    </w:p>
    <w:tbl>
      <w:tblPr>
        <w:tblStyle w:val="Grilledutableau"/>
        <w:tblW w:w="10426" w:type="dxa"/>
        <w:tblInd w:w="-5" w:type="dxa"/>
        <w:tblLook w:val="04A0" w:firstRow="1" w:lastRow="0" w:firstColumn="1" w:lastColumn="0" w:noHBand="0" w:noVBand="1"/>
      </w:tblPr>
      <w:tblGrid>
        <w:gridCol w:w="2946"/>
        <w:gridCol w:w="2935"/>
        <w:gridCol w:w="1121"/>
        <w:gridCol w:w="3424"/>
      </w:tblGrid>
      <w:tr w:rsidR="00671DDC" w14:paraId="0279D3F5" w14:textId="77777777" w:rsidTr="00A70BB5">
        <w:tc>
          <w:tcPr>
            <w:tcW w:w="2918" w:type="dxa"/>
            <w:tcBorders>
              <w:top w:val="nil"/>
              <w:left w:val="nil"/>
              <w:bottom w:val="nil"/>
              <w:right w:val="nil"/>
            </w:tcBorders>
          </w:tcPr>
          <w:p w14:paraId="606B42FD" w14:textId="77777777" w:rsidR="00671DDC" w:rsidRDefault="00671DDC" w:rsidP="00A70BB5">
            <w:pPr>
              <w:jc w:val="center"/>
              <w:rPr>
                <w:noProof/>
              </w:rPr>
            </w:pPr>
            <w:r>
              <w:rPr>
                <w:noProof/>
              </w:rPr>
              <w:lastRenderedPageBreak/>
              <w:drawing>
                <wp:inline distT="0" distB="0" distL="0" distR="0" wp14:anchorId="21556793" wp14:editId="6473384F">
                  <wp:extent cx="1724025" cy="1724025"/>
                  <wp:effectExtent l="0" t="0" r="9525" b="9525"/>
                  <wp:docPr id="115716" name="Image 115716" descr="Une image contenant joue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16" name="Image 115716" descr="Une image contenant jouet&#10;&#10;Description générée automatiquement"/>
                          <pic:cNvPicPr>
                            <a:picLocks noChangeAspect="1" noChangeArrowheads="1"/>
                          </pic:cNvPicPr>
                        </pic:nvPicPr>
                        <pic:blipFill>
                          <a:blip r:embed="rId3302">
                            <a:extLst>
                              <a:ext uri="{28A0092B-C50C-407E-A947-70E740481C1C}">
                                <a14:useLocalDpi xmlns:a14="http://schemas.microsoft.com/office/drawing/2010/main" val="0"/>
                              </a:ext>
                            </a:extLst>
                          </a:blip>
                          <a:srcRect/>
                          <a:stretch>
                            <a:fillRect/>
                          </a:stretch>
                        </pic:blipFill>
                        <pic:spPr bwMode="auto">
                          <a:xfrm>
                            <a:off x="0" y="0"/>
                            <a:ext cx="1724025" cy="1724025"/>
                          </a:xfrm>
                          <a:prstGeom prst="rect">
                            <a:avLst/>
                          </a:prstGeom>
                          <a:noFill/>
                          <a:ln>
                            <a:noFill/>
                          </a:ln>
                        </pic:spPr>
                      </pic:pic>
                    </a:graphicData>
                  </a:graphic>
                </wp:inline>
              </w:drawing>
            </w:r>
          </w:p>
          <w:p w14:paraId="0DF5C266" w14:textId="77777777" w:rsidR="00671DDC" w:rsidRPr="00AA1744" w:rsidRDefault="00671DDC" w:rsidP="00A70BB5">
            <w:pPr>
              <w:jc w:val="center"/>
              <w:rPr>
                <w:noProof/>
              </w:rPr>
            </w:pPr>
            <w:r w:rsidRPr="00281BC4">
              <w:rPr>
                <w:noProof/>
              </w:rPr>
              <w:t>Différents modèles de buses d'arrosage goutte-à-goutte</w:t>
            </w:r>
            <w:r>
              <w:rPr>
                <w:rStyle w:val="Appelnotedebasdep"/>
                <w:noProof/>
              </w:rPr>
              <w:footnoteReference w:id="176"/>
            </w:r>
            <w:r>
              <w:rPr>
                <w:noProof/>
              </w:rPr>
              <w:t>.</w:t>
            </w:r>
          </w:p>
        </w:tc>
        <w:tc>
          <w:tcPr>
            <w:tcW w:w="4016" w:type="dxa"/>
            <w:gridSpan w:val="2"/>
            <w:tcBorders>
              <w:top w:val="nil"/>
              <w:left w:val="nil"/>
              <w:bottom w:val="nil"/>
              <w:right w:val="nil"/>
            </w:tcBorders>
          </w:tcPr>
          <w:p w14:paraId="282F7868" w14:textId="77777777" w:rsidR="00671DDC" w:rsidRDefault="00671DDC" w:rsidP="00A70BB5">
            <w:pPr>
              <w:jc w:val="center"/>
              <w:rPr>
                <w:noProof/>
              </w:rPr>
            </w:pPr>
            <w:r>
              <w:rPr>
                <w:noProof/>
              </w:rPr>
              <w:drawing>
                <wp:inline distT="0" distB="0" distL="0" distR="0" wp14:anchorId="33441A99" wp14:editId="56BD28A3">
                  <wp:extent cx="2428875" cy="1514475"/>
                  <wp:effectExtent l="0" t="0" r="9525" b="9525"/>
                  <wp:docPr id="115717" name="Image 115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03">
                            <a:extLst>
                              <a:ext uri="{28A0092B-C50C-407E-A947-70E740481C1C}">
                                <a14:useLocalDpi xmlns:a14="http://schemas.microsoft.com/office/drawing/2010/main" val="0"/>
                              </a:ext>
                            </a:extLst>
                          </a:blip>
                          <a:srcRect/>
                          <a:stretch>
                            <a:fillRect/>
                          </a:stretch>
                        </pic:blipFill>
                        <pic:spPr bwMode="auto">
                          <a:xfrm>
                            <a:off x="0" y="0"/>
                            <a:ext cx="2428875" cy="1514475"/>
                          </a:xfrm>
                          <a:prstGeom prst="rect">
                            <a:avLst/>
                          </a:prstGeom>
                          <a:noFill/>
                          <a:ln>
                            <a:noFill/>
                          </a:ln>
                        </pic:spPr>
                      </pic:pic>
                    </a:graphicData>
                  </a:graphic>
                </wp:inline>
              </w:drawing>
            </w:r>
          </w:p>
          <w:p w14:paraId="402AEDD8" w14:textId="77777777" w:rsidR="00671DDC" w:rsidRPr="00AA1744" w:rsidRDefault="00671DDC" w:rsidP="00A70BB5">
            <w:pPr>
              <w:jc w:val="center"/>
              <w:rPr>
                <w:noProof/>
              </w:rPr>
            </w:pPr>
            <w:r w:rsidRPr="00AA1744">
              <w:t>Divers modèles d’émetteurs</w:t>
            </w:r>
            <w:r>
              <w:t>,</w:t>
            </w:r>
            <w:r w:rsidRPr="00AA1744">
              <w:t xml:space="preserve"> de diffuseurs</w:t>
            </w:r>
          </w:p>
        </w:tc>
        <w:tc>
          <w:tcPr>
            <w:tcW w:w="3482" w:type="dxa"/>
            <w:tcBorders>
              <w:top w:val="nil"/>
              <w:left w:val="nil"/>
              <w:bottom w:val="nil"/>
              <w:right w:val="nil"/>
            </w:tcBorders>
          </w:tcPr>
          <w:p w14:paraId="49F35CEC" w14:textId="77777777" w:rsidR="00671DDC" w:rsidRDefault="00671DDC" w:rsidP="00A70BB5">
            <w:pPr>
              <w:jc w:val="center"/>
              <w:rPr>
                <w:noProof/>
              </w:rPr>
            </w:pPr>
            <w:r w:rsidRPr="00AA1744">
              <w:rPr>
                <w:noProof/>
              </w:rPr>
              <w:drawing>
                <wp:inline distT="0" distB="0" distL="0" distR="0" wp14:anchorId="31CCD2E0" wp14:editId="19C2B72A">
                  <wp:extent cx="1084263" cy="2087563"/>
                  <wp:effectExtent l="0" t="0" r="1905" b="8255"/>
                  <wp:docPr id="136200" name="Picture 2" descr="C:\Users\LISAN\Pictures\plantes-halophytes-xerophiles\goutte a goutte reservoir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00" name="Picture 2" descr="C:\Users\LISAN\Pictures\plantes-halophytes-xerophiles\goutte a goutte reservoir_s.jpg"/>
                          <pic:cNvPicPr>
                            <a:picLocks noChangeAspect="1" noChangeArrowheads="1"/>
                          </pic:cNvPicPr>
                        </pic:nvPicPr>
                        <pic:blipFill>
                          <a:blip r:embed="rId3304">
                            <a:extLst>
                              <a:ext uri="{28A0092B-C50C-407E-A947-70E740481C1C}">
                                <a14:useLocalDpi xmlns:a14="http://schemas.microsoft.com/office/drawing/2010/main" val="0"/>
                              </a:ext>
                            </a:extLst>
                          </a:blip>
                          <a:srcRect/>
                          <a:stretch>
                            <a:fillRect/>
                          </a:stretch>
                        </pic:blipFill>
                        <pic:spPr bwMode="auto">
                          <a:xfrm>
                            <a:off x="0" y="0"/>
                            <a:ext cx="1084263" cy="20875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840A154" w14:textId="77777777" w:rsidR="00671DDC" w:rsidRPr="00AA1744" w:rsidRDefault="00671DDC" w:rsidP="00A70BB5">
            <w:pPr>
              <w:jc w:val="both"/>
            </w:pPr>
            <w:r w:rsidRPr="00AA1744">
              <w:t>Un kit agricole, à bas coût, avec un réservoir 1000 litres d'eau peut desservir jusqu'à un huitième d'acre ~ 500 m</w:t>
            </w:r>
            <w:r w:rsidRPr="00AA1744">
              <w:rPr>
                <w:vertAlign w:val="superscript"/>
              </w:rPr>
              <w:t>2</w:t>
            </w:r>
            <w:r w:rsidRPr="00AA1744">
              <w:t>. Source: IPTRID (2008</w:t>
            </w:r>
            <w:r>
              <w:t>).</w:t>
            </w:r>
          </w:p>
        </w:tc>
      </w:tr>
      <w:tr w:rsidR="00671DDC" w14:paraId="7BD00438" w14:textId="77777777" w:rsidTr="00A70BB5">
        <w:tc>
          <w:tcPr>
            <w:tcW w:w="5826" w:type="dxa"/>
            <w:gridSpan w:val="2"/>
            <w:tcBorders>
              <w:top w:val="nil"/>
              <w:left w:val="nil"/>
              <w:bottom w:val="nil"/>
              <w:right w:val="nil"/>
            </w:tcBorders>
          </w:tcPr>
          <w:p w14:paraId="16C51993" w14:textId="77777777" w:rsidR="00671DDC" w:rsidRDefault="00671DDC" w:rsidP="00A70BB5">
            <w:pPr>
              <w:jc w:val="center"/>
            </w:pPr>
            <w:r w:rsidRPr="00AA1744">
              <w:rPr>
                <w:noProof/>
              </w:rPr>
              <w:drawing>
                <wp:inline distT="0" distB="0" distL="0" distR="0" wp14:anchorId="5DF98D4A" wp14:editId="49AE3137">
                  <wp:extent cx="3555687" cy="2257425"/>
                  <wp:effectExtent l="0" t="0" r="6985" b="0"/>
                  <wp:docPr id="136201" name="Picture 3" descr="C:\Users\LISAN\Pictures\plantes-halophytes-xerophiles\goutte a goutte_bouteille_Bottle and Clay Pot Irrig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01" name="Picture 3" descr="C:\Users\LISAN\Pictures\plantes-halophytes-xerophiles\goutte a goutte_bouteille_Bottle and Clay Pot Irrigation.jpg"/>
                          <pic:cNvPicPr>
                            <a:picLocks noChangeAspect="1" noChangeArrowheads="1"/>
                          </pic:cNvPicPr>
                        </pic:nvPicPr>
                        <pic:blipFill>
                          <a:blip r:embed="rId3305">
                            <a:extLst>
                              <a:ext uri="{28A0092B-C50C-407E-A947-70E740481C1C}">
                                <a14:useLocalDpi xmlns:a14="http://schemas.microsoft.com/office/drawing/2010/main" val="0"/>
                              </a:ext>
                            </a:extLst>
                          </a:blip>
                          <a:srcRect/>
                          <a:stretch>
                            <a:fillRect/>
                          </a:stretch>
                        </pic:blipFill>
                        <pic:spPr bwMode="auto">
                          <a:xfrm>
                            <a:off x="0" y="0"/>
                            <a:ext cx="3589001" cy="2278575"/>
                          </a:xfrm>
                          <a:prstGeom prst="rect">
                            <a:avLst/>
                          </a:prstGeom>
                          <a:noFill/>
                          <a:ln>
                            <a:noFill/>
                          </a:ln>
                        </pic:spPr>
                      </pic:pic>
                    </a:graphicData>
                  </a:graphic>
                </wp:inline>
              </w:drawing>
            </w:r>
          </w:p>
          <w:p w14:paraId="2272DF65" w14:textId="77777777" w:rsidR="00671DDC" w:rsidRDefault="00671DDC" w:rsidP="00A70BB5">
            <w:pPr>
              <w:jc w:val="both"/>
            </w:pPr>
            <w:r w:rsidRPr="00AA1744">
              <w:t>A gauche:  méthode d</w:t>
            </w:r>
            <w:hyperlink r:id="rId3306" w:history="1">
              <w:r w:rsidRPr="00AA1744">
                <w:rPr>
                  <w:rStyle w:val="Lienhypertexte"/>
                </w:rPr>
                <w:t>’irrigation</w:t>
              </w:r>
            </w:hyperlink>
            <w:r w:rsidRPr="00AA1744">
              <w:t xml:space="preserve"> avec un pot en terre. A droite:  méthode d’</w:t>
            </w:r>
            <w:hyperlink r:id="rId3307" w:history="1">
              <w:r w:rsidRPr="00AA1744">
                <w:rPr>
                  <w:rStyle w:val="Lienhypertexte"/>
                </w:rPr>
                <w:t xml:space="preserve"> irrigation</w:t>
              </w:r>
            </w:hyperlink>
            <w:r w:rsidRPr="00AA1744">
              <w:t xml:space="preserve"> avec une bouteille, qui est aussi efficace et simple. Les bouteilles peuvent être trouvés partout dans le monde. Source: INFONET-BIOVSION (2010).</w:t>
            </w:r>
            <w:r>
              <w:t xml:space="preserve"> Légende : A gauche : Pierre d’obturation. Eau. P</w:t>
            </w:r>
            <w:r w:rsidRPr="00A318BF">
              <w:t>ot en terre cuite non émaillé</w:t>
            </w:r>
            <w:r>
              <w:t>. A droite : Vide d’eau. Bouteille à l’envers.</w:t>
            </w:r>
          </w:p>
        </w:tc>
        <w:tc>
          <w:tcPr>
            <w:tcW w:w="4600" w:type="dxa"/>
            <w:gridSpan w:val="2"/>
            <w:tcBorders>
              <w:top w:val="nil"/>
              <w:left w:val="nil"/>
              <w:bottom w:val="nil"/>
              <w:right w:val="nil"/>
            </w:tcBorders>
          </w:tcPr>
          <w:p w14:paraId="2BF0D8A5" w14:textId="77777777" w:rsidR="00671DDC" w:rsidRDefault="00671DDC" w:rsidP="00A70BB5">
            <w:pPr>
              <w:jc w:val="center"/>
            </w:pPr>
            <w:r w:rsidRPr="00A318BF">
              <w:rPr>
                <w:noProof/>
              </w:rPr>
              <w:drawing>
                <wp:inline distT="0" distB="0" distL="0" distR="0" wp14:anchorId="3AA2E2F2" wp14:editId="15E94132">
                  <wp:extent cx="2460625" cy="1992312"/>
                  <wp:effectExtent l="0" t="0" r="0" b="8255"/>
                  <wp:docPr id="136203" name="Picture 4" descr="C:\Users\LISAN\Pictures\plantes-halophytes-xerophiles\goutte a goutte Manches en plastique perforés_FAO 1997 Plastic Sleeve_medium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03" name="Picture 4" descr="C:\Users\LISAN\Pictures\plantes-halophytes-xerophiles\goutte a goutte Manches en plastique perforés_FAO 1997 Plastic Sleeve_medium_s.jpg"/>
                          <pic:cNvPicPr>
                            <a:picLocks noChangeAspect="1" noChangeArrowheads="1"/>
                          </pic:cNvPicPr>
                        </pic:nvPicPr>
                        <pic:blipFill>
                          <a:blip r:embed="rId3308">
                            <a:extLst>
                              <a:ext uri="{28A0092B-C50C-407E-A947-70E740481C1C}">
                                <a14:useLocalDpi xmlns:a14="http://schemas.microsoft.com/office/drawing/2010/main" val="0"/>
                              </a:ext>
                            </a:extLst>
                          </a:blip>
                          <a:srcRect/>
                          <a:stretch>
                            <a:fillRect/>
                          </a:stretch>
                        </pic:blipFill>
                        <pic:spPr bwMode="auto">
                          <a:xfrm>
                            <a:off x="0" y="0"/>
                            <a:ext cx="2460625" cy="1992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1B3F933" w14:textId="77777777" w:rsidR="00671DDC" w:rsidRPr="00A318BF" w:rsidRDefault="00671DDC" w:rsidP="00A70BB5">
            <w:pPr>
              <w:jc w:val="both"/>
            </w:pPr>
            <w:r w:rsidRPr="00A318BF">
              <w:t>Procédé de manchon en plastique qui n'a pas été testé de manière systématique et par conséquent il est difficile d'évaluer ses performances. Source FAO-1997</w:t>
            </w:r>
            <w:r>
              <w:t>.</w:t>
            </w:r>
          </w:p>
          <w:p w14:paraId="006BE968" w14:textId="77777777" w:rsidR="00671DDC" w:rsidRDefault="00671DDC" w:rsidP="00A70BB5">
            <w:pPr>
              <w:jc w:val="both"/>
            </w:pPr>
            <w:r>
              <w:t>Légendes : Réservoir. Surface du sol. Racines. Perforations. Zone humide.</w:t>
            </w:r>
          </w:p>
          <w:p w14:paraId="46E5E005" w14:textId="77777777" w:rsidR="00671DDC" w:rsidRDefault="00671DDC" w:rsidP="00A70BB5">
            <w:pPr>
              <w:jc w:val="center"/>
            </w:pPr>
          </w:p>
        </w:tc>
      </w:tr>
    </w:tbl>
    <w:p w14:paraId="763ECCEE" w14:textId="22109816" w:rsidR="00671DDC" w:rsidRDefault="00671DDC" w:rsidP="00671DDC">
      <w:pPr>
        <w:spacing w:after="0" w:line="240" w:lineRule="auto"/>
        <w:jc w:val="both"/>
      </w:pPr>
    </w:p>
    <w:tbl>
      <w:tblPr>
        <w:tblStyle w:val="Grilledutableau"/>
        <w:tblW w:w="0" w:type="auto"/>
        <w:tblLook w:val="04A0" w:firstRow="1" w:lastRow="0" w:firstColumn="1" w:lastColumn="0" w:noHBand="0" w:noVBand="1"/>
      </w:tblPr>
      <w:tblGrid>
        <w:gridCol w:w="3472"/>
        <w:gridCol w:w="3472"/>
        <w:gridCol w:w="3472"/>
      </w:tblGrid>
      <w:tr w:rsidR="00D74AF8" w14:paraId="7F71102D" w14:textId="77777777" w:rsidTr="00A5765C">
        <w:tc>
          <w:tcPr>
            <w:tcW w:w="3472" w:type="dxa"/>
            <w:tcBorders>
              <w:top w:val="nil"/>
              <w:left w:val="nil"/>
              <w:bottom w:val="nil"/>
              <w:right w:val="nil"/>
            </w:tcBorders>
          </w:tcPr>
          <w:p w14:paraId="30B8D3B7" w14:textId="77777777" w:rsidR="00D74AF8" w:rsidRDefault="00D74AF8" w:rsidP="00A5765C">
            <w:pPr>
              <w:jc w:val="center"/>
            </w:pPr>
            <w:r w:rsidRPr="00D74AF8">
              <w:rPr>
                <w:noProof/>
              </w:rPr>
              <w:lastRenderedPageBreak/>
              <w:drawing>
                <wp:inline distT="0" distB="0" distL="0" distR="0" wp14:anchorId="2F8695AB" wp14:editId="59289CC2">
                  <wp:extent cx="1482399" cy="1111800"/>
                  <wp:effectExtent l="0" t="0" r="3810" b="0"/>
                  <wp:docPr id="108555" name="Image 9" descr="Une image contenant plante, jard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55" name="Image 9" descr="Une image contenant plante, jardin&#10;&#10;Description générée automatiquement"/>
                          <pic:cNvPicPr>
                            <a:picLocks noChangeAspect="1"/>
                          </pic:cNvPicPr>
                        </pic:nvPicPr>
                        <pic:blipFill>
                          <a:blip r:embed="rId3309">
                            <a:extLst>
                              <a:ext uri="{28A0092B-C50C-407E-A947-70E740481C1C}">
                                <a14:useLocalDpi xmlns:a14="http://schemas.microsoft.com/office/drawing/2010/main" val="0"/>
                              </a:ext>
                            </a:extLst>
                          </a:blip>
                          <a:stretch>
                            <a:fillRect/>
                          </a:stretch>
                        </pic:blipFill>
                        <pic:spPr>
                          <a:xfrm>
                            <a:off x="0" y="0"/>
                            <a:ext cx="1482399" cy="1111800"/>
                          </a:xfrm>
                          <a:prstGeom prst="rect">
                            <a:avLst/>
                          </a:prstGeom>
                        </pic:spPr>
                      </pic:pic>
                    </a:graphicData>
                  </a:graphic>
                </wp:inline>
              </w:drawing>
            </w:r>
            <w:r>
              <w:rPr>
                <w:rStyle w:val="Appelnotedebasdep"/>
              </w:rPr>
              <w:footnoteReference w:id="177"/>
            </w:r>
          </w:p>
          <w:p w14:paraId="1F5C79C2" w14:textId="5A81A1BB" w:rsidR="00D74AF8" w:rsidRDefault="00D74AF8" w:rsidP="00A5765C">
            <w:pPr>
              <w:jc w:val="center"/>
            </w:pPr>
            <w:r>
              <w:t>Irrigation par bouteilles.</w:t>
            </w:r>
          </w:p>
        </w:tc>
        <w:tc>
          <w:tcPr>
            <w:tcW w:w="3472" w:type="dxa"/>
            <w:tcBorders>
              <w:top w:val="nil"/>
              <w:left w:val="nil"/>
              <w:bottom w:val="nil"/>
              <w:right w:val="nil"/>
            </w:tcBorders>
          </w:tcPr>
          <w:p w14:paraId="39B7C3F2" w14:textId="77777777" w:rsidR="00D74AF8" w:rsidRDefault="00D74AF8" w:rsidP="00A5765C">
            <w:pPr>
              <w:jc w:val="center"/>
            </w:pPr>
          </w:p>
          <w:p w14:paraId="59E4E4CB" w14:textId="7114A346" w:rsidR="00D74AF8" w:rsidRDefault="00D74AF8" w:rsidP="00A5765C">
            <w:pPr>
              <w:jc w:val="center"/>
            </w:pPr>
            <w:r w:rsidRPr="00D74AF8">
              <w:rPr>
                <w:noProof/>
              </w:rPr>
              <w:drawing>
                <wp:inline distT="0" distB="0" distL="0" distR="0" wp14:anchorId="06129DF0" wp14:editId="1341C367">
                  <wp:extent cx="1664980" cy="1107969"/>
                  <wp:effectExtent l="0" t="0" r="0" b="0"/>
                  <wp:docPr id="108556" name="Image 10" descr="Une image contenant micropho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56" name="Image 10" descr="Une image contenant microphone&#10;&#10;Description générée automatiquement"/>
                          <pic:cNvPicPr>
                            <a:picLocks noChangeAspect="1"/>
                          </pic:cNvPicPr>
                        </pic:nvPicPr>
                        <pic:blipFill>
                          <a:blip r:embed="rId3310">
                            <a:extLst>
                              <a:ext uri="{28A0092B-C50C-407E-A947-70E740481C1C}">
                                <a14:useLocalDpi xmlns:a14="http://schemas.microsoft.com/office/drawing/2010/main" val="0"/>
                              </a:ext>
                            </a:extLst>
                          </a:blip>
                          <a:stretch>
                            <a:fillRect/>
                          </a:stretch>
                        </pic:blipFill>
                        <pic:spPr>
                          <a:xfrm>
                            <a:off x="0" y="0"/>
                            <a:ext cx="1664980" cy="1107969"/>
                          </a:xfrm>
                          <a:prstGeom prst="rect">
                            <a:avLst/>
                          </a:prstGeom>
                        </pic:spPr>
                      </pic:pic>
                    </a:graphicData>
                  </a:graphic>
                </wp:inline>
              </w:drawing>
            </w:r>
            <w:r>
              <w:rPr>
                <w:rStyle w:val="Appelnotedebasdep"/>
              </w:rPr>
              <w:footnoteReference w:id="178"/>
            </w:r>
          </w:p>
          <w:p w14:paraId="3FC89E74" w14:textId="0E73A2E2" w:rsidR="00D74AF8" w:rsidRDefault="00D74AF8" w:rsidP="00A5765C">
            <w:pPr>
              <w:jc w:val="center"/>
            </w:pPr>
            <w:r>
              <w:t>Irrigation par bouteilles.</w:t>
            </w:r>
          </w:p>
          <w:p w14:paraId="3D2A1D55" w14:textId="77777777" w:rsidR="00D74AF8" w:rsidRDefault="00D74AF8" w:rsidP="00A5765C">
            <w:pPr>
              <w:jc w:val="center"/>
            </w:pPr>
          </w:p>
        </w:tc>
        <w:tc>
          <w:tcPr>
            <w:tcW w:w="3472" w:type="dxa"/>
            <w:tcBorders>
              <w:top w:val="nil"/>
              <w:left w:val="nil"/>
              <w:bottom w:val="nil"/>
              <w:right w:val="nil"/>
            </w:tcBorders>
          </w:tcPr>
          <w:p w14:paraId="6F0D30DA" w14:textId="77777777" w:rsidR="00D74AF8" w:rsidRDefault="00D74AF8" w:rsidP="00A5765C">
            <w:pPr>
              <w:jc w:val="center"/>
            </w:pPr>
            <w:r w:rsidRPr="00D74AF8">
              <w:rPr>
                <w:noProof/>
              </w:rPr>
              <w:drawing>
                <wp:inline distT="0" distB="0" distL="0" distR="0" wp14:anchorId="5CF1F745" wp14:editId="49A7FC64">
                  <wp:extent cx="1038225" cy="1695450"/>
                  <wp:effectExtent l="0" t="0" r="9525" b="0"/>
                  <wp:docPr id="108551"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2"/>
                          <pic:cNvPicPr>
                            <a:picLocks noChangeAspect="1"/>
                          </pic:cNvPicPr>
                        </pic:nvPicPr>
                        <pic:blipFill>
                          <a:blip r:embed="rId3311">
                            <a:extLst>
                              <a:ext uri="{28A0092B-C50C-407E-A947-70E740481C1C}">
                                <a14:useLocalDpi xmlns:a14="http://schemas.microsoft.com/office/drawing/2010/main" val="0"/>
                              </a:ext>
                            </a:extLst>
                          </a:blip>
                          <a:stretch>
                            <a:fillRect/>
                          </a:stretch>
                        </pic:blipFill>
                        <pic:spPr>
                          <a:xfrm>
                            <a:off x="0" y="0"/>
                            <a:ext cx="1038225" cy="1695450"/>
                          </a:xfrm>
                          <a:prstGeom prst="rect">
                            <a:avLst/>
                          </a:prstGeom>
                        </pic:spPr>
                      </pic:pic>
                    </a:graphicData>
                  </a:graphic>
                </wp:inline>
              </w:drawing>
            </w:r>
            <w:r>
              <w:rPr>
                <w:rStyle w:val="Appelnotedebasdep"/>
              </w:rPr>
              <w:footnoteReference w:id="179"/>
            </w:r>
            <w:r>
              <w:t>.</w:t>
            </w:r>
          </w:p>
          <w:p w14:paraId="13B41AB3" w14:textId="68180A03" w:rsidR="00D74AF8" w:rsidRDefault="00D74AF8" w:rsidP="00A5765C">
            <w:pPr>
              <w:jc w:val="center"/>
            </w:pPr>
            <w:r>
              <w:t>Irrigation par bouteilles.</w:t>
            </w:r>
          </w:p>
        </w:tc>
      </w:tr>
    </w:tbl>
    <w:p w14:paraId="71A740AE" w14:textId="3869585C" w:rsidR="00D74AF8" w:rsidRDefault="00D74AF8" w:rsidP="00671DDC">
      <w:pPr>
        <w:spacing w:after="0" w:line="240" w:lineRule="auto"/>
        <w:jc w:val="both"/>
      </w:pPr>
    </w:p>
    <w:tbl>
      <w:tblPr>
        <w:tblStyle w:val="Grilledutableau"/>
        <w:tblW w:w="10426" w:type="dxa"/>
        <w:tblInd w:w="-5" w:type="dxa"/>
        <w:tblLook w:val="04A0" w:firstRow="1" w:lastRow="0" w:firstColumn="1" w:lastColumn="0" w:noHBand="0" w:noVBand="1"/>
      </w:tblPr>
      <w:tblGrid>
        <w:gridCol w:w="3259"/>
        <w:gridCol w:w="3651"/>
        <w:gridCol w:w="3516"/>
      </w:tblGrid>
      <w:tr w:rsidR="00D74AF8" w14:paraId="1F26DC1A" w14:textId="77777777" w:rsidTr="00D74AF8">
        <w:tc>
          <w:tcPr>
            <w:tcW w:w="2915" w:type="dxa"/>
            <w:tcBorders>
              <w:top w:val="nil"/>
              <w:left w:val="nil"/>
              <w:bottom w:val="nil"/>
              <w:right w:val="nil"/>
            </w:tcBorders>
          </w:tcPr>
          <w:p w14:paraId="5D248618" w14:textId="77777777" w:rsidR="00D74AF8" w:rsidRDefault="00D74AF8" w:rsidP="00A5765C">
            <w:pPr>
              <w:jc w:val="center"/>
            </w:pPr>
            <w:r w:rsidRPr="00D74AF8">
              <w:rPr>
                <w:noProof/>
              </w:rPr>
              <w:drawing>
                <wp:inline distT="0" distB="0" distL="0" distR="0" wp14:anchorId="30D69F72" wp14:editId="34AFB5A0">
                  <wp:extent cx="1932938" cy="1447838"/>
                  <wp:effectExtent l="0" t="0" r="0" b="0"/>
                  <wp:docPr id="108549" name="Image 8" descr="Une image contenant terrain, plante, extérieur, salet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49" name="Image 8" descr="Une image contenant terrain, plante, extérieur, saleté&#10;&#10;Description générée automatiquement"/>
                          <pic:cNvPicPr>
                            <a:picLocks noChangeAspect="1"/>
                          </pic:cNvPicPr>
                        </pic:nvPicPr>
                        <pic:blipFill>
                          <a:blip r:embed="rId3312">
                            <a:extLst>
                              <a:ext uri="{28A0092B-C50C-407E-A947-70E740481C1C}">
                                <a14:useLocalDpi xmlns:a14="http://schemas.microsoft.com/office/drawing/2010/main" val="0"/>
                              </a:ext>
                            </a:extLst>
                          </a:blip>
                          <a:stretch>
                            <a:fillRect/>
                          </a:stretch>
                        </pic:blipFill>
                        <pic:spPr>
                          <a:xfrm>
                            <a:off x="0" y="0"/>
                            <a:ext cx="1932938" cy="1447838"/>
                          </a:xfrm>
                          <a:prstGeom prst="rect">
                            <a:avLst/>
                          </a:prstGeom>
                        </pic:spPr>
                      </pic:pic>
                    </a:graphicData>
                  </a:graphic>
                </wp:inline>
              </w:drawing>
            </w:r>
          </w:p>
          <w:p w14:paraId="65CD547E" w14:textId="725E7786" w:rsidR="00D74AF8" w:rsidRDefault="00D74AF8" w:rsidP="00A5765C">
            <w:pPr>
              <w:jc w:val="center"/>
            </w:pPr>
            <w:r>
              <w:t>Micro-irrigation (goutte à goutte) par tuyaux et buses.</w:t>
            </w:r>
          </w:p>
        </w:tc>
        <w:tc>
          <w:tcPr>
            <w:tcW w:w="3995" w:type="dxa"/>
            <w:tcBorders>
              <w:top w:val="nil"/>
              <w:left w:val="nil"/>
              <w:bottom w:val="nil"/>
              <w:right w:val="nil"/>
            </w:tcBorders>
          </w:tcPr>
          <w:p w14:paraId="79C700A2" w14:textId="77777777" w:rsidR="00D74AF8" w:rsidRDefault="00D74AF8" w:rsidP="00A5765C">
            <w:pPr>
              <w:jc w:val="center"/>
            </w:pPr>
            <w:r w:rsidRPr="00D74AF8">
              <w:rPr>
                <w:noProof/>
              </w:rPr>
              <w:drawing>
                <wp:inline distT="0" distB="0" distL="0" distR="0" wp14:anchorId="53D79377" wp14:editId="10411BFE">
                  <wp:extent cx="1494161" cy="1994782"/>
                  <wp:effectExtent l="0" t="0" r="0" b="5715"/>
                  <wp:docPr id="108553" name="Image 13" descr="Une image contenant arbre, extérieur, terrain, rou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53" name="Image 13" descr="Une image contenant arbre, extérieur, terrain, rouge&#10;&#10;Description générée automatiquement"/>
                          <pic:cNvPicPr>
                            <a:picLocks noChangeAspect="1"/>
                          </pic:cNvPicPr>
                        </pic:nvPicPr>
                        <pic:blipFill>
                          <a:blip r:embed="rId3313">
                            <a:extLst>
                              <a:ext uri="{28A0092B-C50C-407E-A947-70E740481C1C}">
                                <a14:useLocalDpi xmlns:a14="http://schemas.microsoft.com/office/drawing/2010/main" val="0"/>
                              </a:ext>
                            </a:extLst>
                          </a:blip>
                          <a:stretch>
                            <a:fillRect/>
                          </a:stretch>
                        </pic:blipFill>
                        <pic:spPr>
                          <a:xfrm>
                            <a:off x="0" y="0"/>
                            <a:ext cx="1494161" cy="1994782"/>
                          </a:xfrm>
                          <a:prstGeom prst="rect">
                            <a:avLst/>
                          </a:prstGeom>
                        </pic:spPr>
                      </pic:pic>
                    </a:graphicData>
                  </a:graphic>
                </wp:inline>
              </w:drawing>
            </w:r>
            <w:r>
              <w:rPr>
                <w:rStyle w:val="Appelnotedebasdep"/>
              </w:rPr>
              <w:footnoteReference w:id="180"/>
            </w:r>
          </w:p>
          <w:p w14:paraId="112F6109" w14:textId="62703FEF" w:rsidR="00D74AF8" w:rsidRDefault="00D74AF8" w:rsidP="00A5765C">
            <w:pPr>
              <w:jc w:val="center"/>
            </w:pPr>
            <w:r>
              <w:t>Irrigation par bouteilles.</w:t>
            </w:r>
          </w:p>
        </w:tc>
        <w:tc>
          <w:tcPr>
            <w:tcW w:w="3516" w:type="dxa"/>
            <w:tcBorders>
              <w:top w:val="nil"/>
              <w:left w:val="nil"/>
              <w:bottom w:val="nil"/>
              <w:right w:val="nil"/>
            </w:tcBorders>
          </w:tcPr>
          <w:p w14:paraId="61AA4207" w14:textId="0751A20C" w:rsidR="00D74AF8" w:rsidRDefault="00D74AF8" w:rsidP="00A5765C">
            <w:pPr>
              <w:jc w:val="center"/>
            </w:pPr>
            <w:r w:rsidRPr="00D74AF8">
              <w:rPr>
                <w:noProof/>
              </w:rPr>
              <w:drawing>
                <wp:inline distT="0" distB="0" distL="0" distR="0" wp14:anchorId="2CDB97FF" wp14:editId="7F62D85E">
                  <wp:extent cx="1494618" cy="1995392"/>
                  <wp:effectExtent l="0" t="0" r="0" b="5080"/>
                  <wp:docPr id="108554"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1"/>
                          <pic:cNvPicPr>
                            <a:picLocks noChangeAspect="1"/>
                          </pic:cNvPicPr>
                        </pic:nvPicPr>
                        <pic:blipFill>
                          <a:blip r:embed="rId3314">
                            <a:extLst>
                              <a:ext uri="{28A0092B-C50C-407E-A947-70E740481C1C}">
                                <a14:useLocalDpi xmlns:a14="http://schemas.microsoft.com/office/drawing/2010/main" val="0"/>
                              </a:ext>
                            </a:extLst>
                          </a:blip>
                          <a:stretch>
                            <a:fillRect/>
                          </a:stretch>
                        </pic:blipFill>
                        <pic:spPr>
                          <a:xfrm>
                            <a:off x="0" y="0"/>
                            <a:ext cx="1494618" cy="1995392"/>
                          </a:xfrm>
                          <a:prstGeom prst="rect">
                            <a:avLst/>
                          </a:prstGeom>
                        </pic:spPr>
                      </pic:pic>
                    </a:graphicData>
                  </a:graphic>
                </wp:inline>
              </w:drawing>
            </w:r>
            <w:r>
              <w:rPr>
                <w:rStyle w:val="Appelnotedebasdep"/>
              </w:rPr>
              <w:footnoteReference w:id="181"/>
            </w:r>
          </w:p>
          <w:p w14:paraId="61C26140" w14:textId="7919CB9C" w:rsidR="00D74AF8" w:rsidRDefault="00D74AF8" w:rsidP="00A5765C">
            <w:pPr>
              <w:jc w:val="center"/>
            </w:pPr>
            <w:r>
              <w:t>Irrigation par bouteilles.</w:t>
            </w:r>
          </w:p>
          <w:p w14:paraId="5BB3E361" w14:textId="77777777" w:rsidR="00D74AF8" w:rsidRDefault="00D74AF8" w:rsidP="00A5765C">
            <w:pPr>
              <w:jc w:val="center"/>
            </w:pPr>
          </w:p>
        </w:tc>
      </w:tr>
      <w:tr w:rsidR="00671DDC" w14:paraId="33601058" w14:textId="77777777" w:rsidTr="00D74A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915" w:type="dxa"/>
          </w:tcPr>
          <w:p w14:paraId="6248B893" w14:textId="77777777" w:rsidR="00671DDC" w:rsidRDefault="00671DDC" w:rsidP="00A70BB5">
            <w:pPr>
              <w:jc w:val="center"/>
            </w:pPr>
            <w:r w:rsidRPr="00AA1744">
              <w:rPr>
                <w:noProof/>
              </w:rPr>
              <w:drawing>
                <wp:inline distT="0" distB="0" distL="0" distR="0" wp14:anchorId="3076E87E" wp14:editId="5CC1EEA2">
                  <wp:extent cx="1587500" cy="2882900"/>
                  <wp:effectExtent l="0" t="0" r="0" b="5715"/>
                  <wp:docPr id="136207" name="Picture 7" descr="C:\Users\LISAN\Pictures\plantes-halophytes-xerophiles\Irrigas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07" name="Picture 7" descr="C:\Users\LISAN\Pictures\plantes-halophytes-xerophiles\Irrigasc2.jpg"/>
                          <pic:cNvPicPr>
                            <a:picLocks noChangeAspect="1" noChangeArrowheads="1"/>
                          </pic:cNvPicPr>
                        </pic:nvPicPr>
                        <pic:blipFill>
                          <a:blip r:embed="rId3315">
                            <a:extLst>
                              <a:ext uri="{28A0092B-C50C-407E-A947-70E740481C1C}">
                                <a14:useLocalDpi xmlns:a14="http://schemas.microsoft.com/office/drawing/2010/main" val="0"/>
                              </a:ext>
                            </a:extLst>
                          </a:blip>
                          <a:srcRect/>
                          <a:stretch>
                            <a:fillRect/>
                          </a:stretch>
                        </pic:blipFill>
                        <pic:spPr bwMode="auto">
                          <a:xfrm>
                            <a:off x="0" y="0"/>
                            <a:ext cx="1587500" cy="2882900"/>
                          </a:xfrm>
                          <a:prstGeom prst="rect">
                            <a:avLst/>
                          </a:prstGeom>
                          <a:noFill/>
                          <a:ln>
                            <a:noFill/>
                          </a:ln>
                        </pic:spPr>
                      </pic:pic>
                    </a:graphicData>
                  </a:graphic>
                </wp:inline>
              </w:drawing>
            </w:r>
          </w:p>
          <w:p w14:paraId="1ADDD1D2" w14:textId="77777777" w:rsidR="00671DDC" w:rsidRDefault="00671DDC" w:rsidP="00A70BB5">
            <w:pPr>
              <w:jc w:val="center"/>
            </w:pPr>
            <w:r>
              <w:t>C</w:t>
            </w:r>
            <w:r w:rsidRPr="00AA1744">
              <w:t xml:space="preserve">haussette d’irrigation </w:t>
            </w:r>
            <w:r w:rsidRPr="00226388">
              <w:t>Irrigasc</w:t>
            </w:r>
            <w:r>
              <w:rPr>
                <w:b/>
                <w:bCs/>
              </w:rPr>
              <w:t>.</w:t>
            </w:r>
          </w:p>
        </w:tc>
        <w:tc>
          <w:tcPr>
            <w:tcW w:w="3995" w:type="dxa"/>
          </w:tcPr>
          <w:p w14:paraId="4AC726C7" w14:textId="77777777" w:rsidR="00671DDC" w:rsidRDefault="00671DDC" w:rsidP="00A70BB5">
            <w:pPr>
              <w:jc w:val="center"/>
            </w:pPr>
            <w:r w:rsidRPr="00AA1744">
              <w:rPr>
                <w:noProof/>
              </w:rPr>
              <w:drawing>
                <wp:inline distT="0" distB="0" distL="0" distR="0" wp14:anchorId="16EC93EC" wp14:editId="0CF37AC3">
                  <wp:extent cx="1647825" cy="1244600"/>
                  <wp:effectExtent l="0" t="0" r="9525" b="0"/>
                  <wp:docPr id="136210" name="Picture 9" descr="C:\Users\LISAN\Pictures\plantes-halophytes-xerophiles\irrigasc0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10" name="Picture 9" descr="C:\Users\LISAN\Pictures\plantes-halophytes-xerophiles\irrigasc0_s.jpg"/>
                          <pic:cNvPicPr>
                            <a:picLocks noChangeAspect="1" noChangeArrowheads="1"/>
                          </pic:cNvPicPr>
                        </pic:nvPicPr>
                        <pic:blipFill>
                          <a:blip r:embed="rId3316">
                            <a:extLst>
                              <a:ext uri="{28A0092B-C50C-407E-A947-70E740481C1C}">
                                <a14:useLocalDpi xmlns:a14="http://schemas.microsoft.com/office/drawing/2010/main" val="0"/>
                              </a:ext>
                            </a:extLst>
                          </a:blip>
                          <a:srcRect/>
                          <a:stretch>
                            <a:fillRect/>
                          </a:stretch>
                        </pic:blipFill>
                        <pic:spPr bwMode="auto">
                          <a:xfrm>
                            <a:off x="0" y="0"/>
                            <a:ext cx="1647825" cy="1244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52770B1" w14:textId="77777777" w:rsidR="00671DDC" w:rsidRDefault="00671DDC" w:rsidP="00A70BB5">
            <w:pPr>
              <w:jc w:val="center"/>
            </w:pPr>
            <w:r w:rsidRPr="00AA1744">
              <w:rPr>
                <w:noProof/>
              </w:rPr>
              <w:drawing>
                <wp:inline distT="0" distB="0" distL="0" distR="0" wp14:anchorId="73B93CE4" wp14:editId="2461DD8F">
                  <wp:extent cx="1084263" cy="1574800"/>
                  <wp:effectExtent l="0" t="0" r="1905" b="6350"/>
                  <wp:docPr id="136208" name="Picture 8" descr="C:\Users\LISAN\Pictures\plantes-halophytes-xerophiles\irrigas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08" name="Picture 8" descr="C:\Users\LISAN\Pictures\plantes-halophytes-xerophiles\irrigasc1.jpg"/>
                          <pic:cNvPicPr>
                            <a:picLocks noChangeAspect="1" noChangeArrowheads="1"/>
                          </pic:cNvPicPr>
                        </pic:nvPicPr>
                        <pic:blipFill>
                          <a:blip r:embed="rId3317">
                            <a:extLst>
                              <a:ext uri="{28A0092B-C50C-407E-A947-70E740481C1C}">
                                <a14:useLocalDpi xmlns:a14="http://schemas.microsoft.com/office/drawing/2010/main" val="0"/>
                              </a:ext>
                            </a:extLst>
                          </a:blip>
                          <a:srcRect/>
                          <a:stretch>
                            <a:fillRect/>
                          </a:stretch>
                        </pic:blipFill>
                        <pic:spPr bwMode="auto">
                          <a:xfrm>
                            <a:off x="0" y="0"/>
                            <a:ext cx="1084263" cy="157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651B0C51" w14:textId="77777777" w:rsidR="00671DDC" w:rsidRPr="00AA1744" w:rsidRDefault="00671DDC" w:rsidP="00A70BB5">
            <w:pPr>
              <w:jc w:val="center"/>
            </w:pPr>
            <w:r w:rsidRPr="00AA1744">
              <w:t xml:space="preserve">La chaussette d’irrigation </w:t>
            </w:r>
            <w:r w:rsidRPr="00226388">
              <w:t>Irrigasc</w:t>
            </w:r>
            <w:r w:rsidRPr="00AA1744">
              <w:t>,</w:t>
            </w:r>
          </w:p>
          <w:p w14:paraId="59B46D58" w14:textId="77777777" w:rsidR="00671DDC" w:rsidRDefault="00671DDC" w:rsidP="00A70BB5">
            <w:pPr>
              <w:jc w:val="center"/>
            </w:pPr>
            <w:r w:rsidRPr="00AA1744">
              <w:t>Micro-perforée.</w:t>
            </w:r>
          </w:p>
        </w:tc>
        <w:tc>
          <w:tcPr>
            <w:tcW w:w="3516" w:type="dxa"/>
          </w:tcPr>
          <w:p w14:paraId="79D3B4B6" w14:textId="77777777" w:rsidR="00671DDC" w:rsidRDefault="00671DDC" w:rsidP="00A70BB5">
            <w:pPr>
              <w:jc w:val="center"/>
            </w:pPr>
            <w:r w:rsidRPr="00AA1744">
              <w:rPr>
                <w:noProof/>
              </w:rPr>
              <w:drawing>
                <wp:inline distT="0" distB="0" distL="0" distR="0" wp14:anchorId="597D6B9F" wp14:editId="3B96A733">
                  <wp:extent cx="2087562" cy="2087562"/>
                  <wp:effectExtent l="0" t="0" r="8255" b="8255"/>
                  <wp:docPr id="136206" name="Picture 5" descr="C:\Users\LISAN\Pictures\plantes-halophytes-xerophiles\irrigasc-chausset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06" name="Picture 5" descr="C:\Users\LISAN\Pictures\plantes-halophytes-xerophiles\irrigasc-chaussettes.jpg"/>
                          <pic:cNvPicPr>
                            <a:picLocks noChangeAspect="1" noChangeArrowheads="1"/>
                          </pic:cNvPicPr>
                        </pic:nvPicPr>
                        <pic:blipFill>
                          <a:blip r:embed="rId3318">
                            <a:extLst>
                              <a:ext uri="{28A0092B-C50C-407E-A947-70E740481C1C}">
                                <a14:useLocalDpi xmlns:a14="http://schemas.microsoft.com/office/drawing/2010/main" val="0"/>
                              </a:ext>
                            </a:extLst>
                          </a:blip>
                          <a:srcRect/>
                          <a:stretch>
                            <a:fillRect/>
                          </a:stretch>
                        </pic:blipFill>
                        <pic:spPr bwMode="auto">
                          <a:xfrm>
                            <a:off x="0" y="0"/>
                            <a:ext cx="2087562" cy="20875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9C8B1F6" w14:textId="77777777" w:rsidR="00671DDC" w:rsidRDefault="00671DDC" w:rsidP="00A70BB5">
            <w:pPr>
              <w:jc w:val="center"/>
            </w:pPr>
            <w:r w:rsidRPr="00AA1744">
              <w:t xml:space="preserve">Gaine ou chaussette d’irrigation </w:t>
            </w:r>
            <w:r w:rsidRPr="00226388">
              <w:t>Irrigasc</w:t>
            </w:r>
            <w:r>
              <w:rPr>
                <w:b/>
                <w:bCs/>
              </w:rPr>
              <w:t>.</w:t>
            </w:r>
          </w:p>
        </w:tc>
      </w:tr>
    </w:tbl>
    <w:p w14:paraId="72CE6DD0" w14:textId="77777777" w:rsidR="00D74AF8" w:rsidRDefault="00D74AF8" w:rsidP="00EB23DE">
      <w:pPr>
        <w:spacing w:after="0" w:line="240" w:lineRule="auto"/>
      </w:pPr>
    </w:p>
    <w:tbl>
      <w:tblPr>
        <w:tblStyle w:val="Grilledutableau"/>
        <w:tblW w:w="0" w:type="auto"/>
        <w:tblLook w:val="04A0" w:firstRow="1" w:lastRow="0" w:firstColumn="1" w:lastColumn="0" w:noHBand="0" w:noVBand="1"/>
      </w:tblPr>
      <w:tblGrid>
        <w:gridCol w:w="3472"/>
        <w:gridCol w:w="6944"/>
      </w:tblGrid>
      <w:tr w:rsidR="00D74AF8" w14:paraId="11CF5621" w14:textId="77777777" w:rsidTr="00D74AF8">
        <w:tc>
          <w:tcPr>
            <w:tcW w:w="3472" w:type="dxa"/>
            <w:tcBorders>
              <w:top w:val="nil"/>
              <w:left w:val="nil"/>
              <w:bottom w:val="nil"/>
              <w:right w:val="nil"/>
            </w:tcBorders>
          </w:tcPr>
          <w:p w14:paraId="36D8EB57" w14:textId="77777777" w:rsidR="00D74AF8" w:rsidRDefault="00D74AF8" w:rsidP="00D74AF8">
            <w:pPr>
              <w:jc w:val="center"/>
            </w:pPr>
            <w:r w:rsidRPr="00D74AF8">
              <w:rPr>
                <w:noProof/>
              </w:rPr>
              <w:drawing>
                <wp:inline distT="0" distB="0" distL="0" distR="0" wp14:anchorId="52F90443" wp14:editId="3625601F">
                  <wp:extent cx="1854975" cy="2476487"/>
                  <wp:effectExtent l="0" t="0" r="0" b="635"/>
                  <wp:docPr id="108557"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pic:cNvPicPr>
                            <a:picLocks noChangeAspect="1"/>
                          </pic:cNvPicPr>
                        </pic:nvPicPr>
                        <pic:blipFill>
                          <a:blip r:embed="rId3319">
                            <a:extLst>
                              <a:ext uri="{28A0092B-C50C-407E-A947-70E740481C1C}">
                                <a14:useLocalDpi xmlns:a14="http://schemas.microsoft.com/office/drawing/2010/main" val="0"/>
                              </a:ext>
                            </a:extLst>
                          </a:blip>
                          <a:stretch>
                            <a:fillRect/>
                          </a:stretch>
                        </pic:blipFill>
                        <pic:spPr>
                          <a:xfrm>
                            <a:off x="0" y="0"/>
                            <a:ext cx="1854975" cy="2476487"/>
                          </a:xfrm>
                          <a:prstGeom prst="rect">
                            <a:avLst/>
                          </a:prstGeom>
                        </pic:spPr>
                      </pic:pic>
                    </a:graphicData>
                  </a:graphic>
                </wp:inline>
              </w:drawing>
            </w:r>
          </w:p>
          <w:p w14:paraId="13B450DE" w14:textId="3AC92E11" w:rsidR="00D74AF8" w:rsidRDefault="00D74AF8" w:rsidP="00D74AF8">
            <w:pPr>
              <w:jc w:val="center"/>
            </w:pPr>
            <w:r w:rsidRPr="00D74AF8">
              <w:t>Bidon placé en hauteur</w:t>
            </w:r>
            <w:r>
              <w:rPr>
                <w:rStyle w:val="Appelnotedebasdep"/>
              </w:rPr>
              <w:footnoteReference w:id="182"/>
            </w:r>
            <w:r w:rsidRPr="00D74AF8">
              <w:t>.</w:t>
            </w:r>
          </w:p>
        </w:tc>
        <w:tc>
          <w:tcPr>
            <w:tcW w:w="6944" w:type="dxa"/>
            <w:tcBorders>
              <w:top w:val="nil"/>
              <w:left w:val="nil"/>
              <w:bottom w:val="nil"/>
              <w:right w:val="nil"/>
            </w:tcBorders>
          </w:tcPr>
          <w:p w14:paraId="1073DD12" w14:textId="77777777" w:rsidR="00D74AF8" w:rsidRDefault="00D74AF8" w:rsidP="00653849">
            <w:pPr>
              <w:jc w:val="center"/>
            </w:pPr>
            <w:r w:rsidRPr="00D74AF8">
              <w:rPr>
                <w:noProof/>
              </w:rPr>
              <w:drawing>
                <wp:inline distT="0" distB="0" distL="0" distR="0" wp14:anchorId="580B8A7F" wp14:editId="7D738F17">
                  <wp:extent cx="2419350" cy="2200997"/>
                  <wp:effectExtent l="0" t="0" r="0" b="8890"/>
                  <wp:docPr id="108550"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7"/>
                          <pic:cNvPicPr>
                            <a:picLocks noChangeAspect="1"/>
                          </pic:cNvPicPr>
                        </pic:nvPicPr>
                        <pic:blipFill>
                          <a:blip r:embed="rId3320">
                            <a:extLst>
                              <a:ext uri="{28A0092B-C50C-407E-A947-70E740481C1C}">
                                <a14:useLocalDpi xmlns:a14="http://schemas.microsoft.com/office/drawing/2010/main" val="0"/>
                              </a:ext>
                            </a:extLst>
                          </a:blip>
                          <a:stretch>
                            <a:fillRect/>
                          </a:stretch>
                        </pic:blipFill>
                        <pic:spPr>
                          <a:xfrm>
                            <a:off x="0" y="0"/>
                            <a:ext cx="2420646" cy="2202176"/>
                          </a:xfrm>
                          <a:prstGeom prst="rect">
                            <a:avLst/>
                          </a:prstGeom>
                        </pic:spPr>
                      </pic:pic>
                    </a:graphicData>
                  </a:graphic>
                </wp:inline>
              </w:drawing>
            </w:r>
          </w:p>
          <w:p w14:paraId="605647B7" w14:textId="77777777" w:rsidR="00D74AF8" w:rsidRDefault="00D74AF8" w:rsidP="00D74AF8">
            <w:pPr>
              <w:jc w:val="center"/>
            </w:pPr>
            <w:r w:rsidRPr="00D74AF8">
              <w:t xml:space="preserve">Irrigation au goutte-à-goutte utilisant un tonneau et deux lignes d'irrigation par </w:t>
            </w:r>
            <w:r w:rsidRPr="00D74AF8">
              <w:rPr>
                <w:i/>
                <w:iCs/>
              </w:rPr>
              <w:t>planche</w:t>
            </w:r>
            <w:r w:rsidRPr="00D74AF8">
              <w:t xml:space="preserve"> (source Agrodok 9).</w:t>
            </w:r>
          </w:p>
          <w:p w14:paraId="16067BFD" w14:textId="55455838" w:rsidR="00D74AF8" w:rsidRDefault="00D74AF8" w:rsidP="00D74AF8">
            <w:pPr>
              <w:jc w:val="center"/>
            </w:pPr>
          </w:p>
        </w:tc>
      </w:tr>
    </w:tbl>
    <w:p w14:paraId="7D143764" w14:textId="11A8F032" w:rsidR="00653849" w:rsidRDefault="00653849" w:rsidP="00EB23DE">
      <w:pPr>
        <w:spacing w:after="0" w:line="240" w:lineRule="auto"/>
      </w:pPr>
    </w:p>
    <w:p w14:paraId="191369BC" w14:textId="17CADD71" w:rsidR="00716453" w:rsidRDefault="00716453" w:rsidP="00716453">
      <w:pPr>
        <w:pStyle w:val="Titre2"/>
      </w:pPr>
      <w:bookmarkStart w:id="249" w:name="_Toc139181540"/>
      <w:r w:rsidRPr="00716453">
        <w:t>Filets capteur de brouillard (ou filets à nuages ou à rosée)</w:t>
      </w:r>
      <w:bookmarkEnd w:id="249"/>
    </w:p>
    <w:p w14:paraId="6832F6D4" w14:textId="5C9E03BA" w:rsidR="00716453" w:rsidRDefault="00716453" w:rsidP="00716453">
      <w:pPr>
        <w:spacing w:after="0" w:line="240" w:lineRule="auto"/>
        <w:jc w:val="both"/>
      </w:pPr>
    </w:p>
    <w:p w14:paraId="1C6A2FCE" w14:textId="77777777" w:rsidR="00716453" w:rsidRPr="00716453" w:rsidRDefault="00716453" w:rsidP="00716453">
      <w:pPr>
        <w:spacing w:after="0" w:line="240" w:lineRule="auto"/>
        <w:jc w:val="both"/>
      </w:pPr>
      <w:r w:rsidRPr="00716453">
        <w:t>Un </w:t>
      </w:r>
      <w:r w:rsidRPr="00716453">
        <w:rPr>
          <w:b/>
          <w:bCs/>
        </w:rPr>
        <w:t>filet capteur de brouillard</w:t>
      </w:r>
      <w:r w:rsidRPr="00716453">
        <w:t> consiste à récupérer les fines gouttelettes d'</w:t>
      </w:r>
      <w:hyperlink r:id="rId3321" w:history="1">
        <w:r w:rsidRPr="00716453">
          <w:rPr>
            <w:rStyle w:val="Lienhypertexte"/>
          </w:rPr>
          <w:t>eau</w:t>
        </w:r>
      </w:hyperlink>
      <w:r w:rsidRPr="00716453">
        <w:t xml:space="preserve"> contenues dans les nuages et la brume grâce à un long filet constitué de mailles très fines. Cette méthode est expérimentée pour le moment surtout dans des pays comme le Chili et le Pérou, où l'accès à l'eau potable demeure difficile et le brouillard, venant de la mer, régulier (Elle pourrait être expérimentée le long de la Côte des Squelettes en Namibie). Un filet de polypropylène, possédant une résistance aux rayonnements ultra-violets, est tendu horizontalement et maintenu en place par deux montants verticaux fixés au sol, devant intercepter le vent dominant. Lorsque les nuages rencontrent des capteurs de brouillard sur leur passage, les gouttelettes d'eau qu'ils contiennent se déposent sur les mailles du filet. L'eau est ensuite acheminée dans des canalisations, par l'intermédiaire de gouttières placées en dessous du filet, avant d'être stockée dans un réservoir. Les mailles de polypropylène des filets parviennent, en moyenne, à capter 30% de l'humidité du brouillard, ce qui équivaut à un volume de 17 à 42 litres d'eau par mètre carré de filet installé et par jour. Sources : a) </w:t>
      </w:r>
      <w:hyperlink r:id="rId3322" w:history="1">
        <w:r w:rsidRPr="00716453">
          <w:rPr>
            <w:rStyle w:val="Lienhypertexte"/>
          </w:rPr>
          <w:t>http://fr.ekopedia.org/Filet_capteur_de_brouillard</w:t>
        </w:r>
      </w:hyperlink>
      <w:r w:rsidRPr="00716453">
        <w:t xml:space="preserve">, b) </w:t>
      </w:r>
      <w:hyperlink r:id="rId3323" w:history="1">
        <w:r w:rsidRPr="00716453">
          <w:rPr>
            <w:rStyle w:val="Lienhypertexte"/>
          </w:rPr>
          <w:t>www.naturalaqua.es</w:t>
        </w:r>
      </w:hyperlink>
      <w:r w:rsidRPr="00716453">
        <w:rPr>
          <w:b/>
          <w:bCs/>
        </w:rPr>
        <w:t xml:space="preserve"> </w:t>
      </w:r>
      <w:r w:rsidRPr="00716453">
        <w:t xml:space="preserve"> </w:t>
      </w:r>
    </w:p>
    <w:p w14:paraId="3501E1F2" w14:textId="0054A51A" w:rsidR="00716453" w:rsidRDefault="00716453" w:rsidP="00716453">
      <w:pPr>
        <w:spacing w:after="0" w:line="240" w:lineRule="auto"/>
        <w:jc w:val="both"/>
      </w:pPr>
    </w:p>
    <w:tbl>
      <w:tblPr>
        <w:tblStyle w:val="Grilledutableau"/>
        <w:tblW w:w="0" w:type="auto"/>
        <w:tblLook w:val="04A0" w:firstRow="1" w:lastRow="0" w:firstColumn="1" w:lastColumn="0" w:noHBand="0" w:noVBand="1"/>
      </w:tblPr>
      <w:tblGrid>
        <w:gridCol w:w="3966"/>
        <w:gridCol w:w="3437"/>
        <w:gridCol w:w="3023"/>
      </w:tblGrid>
      <w:tr w:rsidR="00716453" w14:paraId="6FEB5F39" w14:textId="77777777" w:rsidTr="007D35B5">
        <w:tc>
          <w:tcPr>
            <w:tcW w:w="3472" w:type="dxa"/>
            <w:tcBorders>
              <w:top w:val="nil"/>
              <w:left w:val="nil"/>
              <w:bottom w:val="nil"/>
              <w:right w:val="nil"/>
            </w:tcBorders>
          </w:tcPr>
          <w:p w14:paraId="389A27E4" w14:textId="77777777" w:rsidR="00716453" w:rsidRDefault="00716453" w:rsidP="00716453">
            <w:pPr>
              <w:jc w:val="center"/>
            </w:pPr>
            <w:r w:rsidRPr="00716453">
              <w:rPr>
                <w:noProof/>
              </w:rPr>
              <w:drawing>
                <wp:inline distT="0" distB="0" distL="0" distR="0" wp14:anchorId="2F0D5892" wp14:editId="2E0B9D26">
                  <wp:extent cx="2381250" cy="1762125"/>
                  <wp:effectExtent l="0" t="0" r="0" b="9525"/>
                  <wp:docPr id="104451"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pic:cNvPicPr>
                            <a:picLocks noChangeAspect="1"/>
                          </pic:cNvPicPr>
                        </pic:nvPicPr>
                        <pic:blipFill>
                          <a:blip r:embed="rId3324">
                            <a:extLst>
                              <a:ext uri="{28A0092B-C50C-407E-A947-70E740481C1C}">
                                <a14:useLocalDpi xmlns:a14="http://schemas.microsoft.com/office/drawing/2010/main" val="0"/>
                              </a:ext>
                            </a:extLst>
                          </a:blip>
                          <a:stretch>
                            <a:fillRect/>
                          </a:stretch>
                        </pic:blipFill>
                        <pic:spPr>
                          <a:xfrm>
                            <a:off x="0" y="0"/>
                            <a:ext cx="2381250" cy="1762125"/>
                          </a:xfrm>
                          <a:prstGeom prst="rect">
                            <a:avLst/>
                          </a:prstGeom>
                        </pic:spPr>
                      </pic:pic>
                    </a:graphicData>
                  </a:graphic>
                </wp:inline>
              </w:drawing>
            </w:r>
          </w:p>
          <w:p w14:paraId="6EA2C306" w14:textId="3B45C1AA" w:rsidR="00716453" w:rsidRDefault="00716453" w:rsidP="00716453">
            <w:pPr>
              <w:jc w:val="center"/>
            </w:pPr>
            <w:r w:rsidRPr="00716453">
              <w:t>Des capteurs de brouillard au Pérou.</w:t>
            </w:r>
          </w:p>
        </w:tc>
        <w:tc>
          <w:tcPr>
            <w:tcW w:w="3472" w:type="dxa"/>
            <w:tcBorders>
              <w:top w:val="nil"/>
              <w:left w:val="nil"/>
              <w:bottom w:val="nil"/>
              <w:right w:val="nil"/>
            </w:tcBorders>
          </w:tcPr>
          <w:p w14:paraId="016C56BE" w14:textId="77777777" w:rsidR="00716453" w:rsidRDefault="00716453" w:rsidP="00716453">
            <w:pPr>
              <w:jc w:val="center"/>
            </w:pPr>
            <w:r w:rsidRPr="00716453">
              <w:rPr>
                <w:noProof/>
              </w:rPr>
              <w:drawing>
                <wp:inline distT="0" distB="0" distL="0" distR="0" wp14:anchorId="32EF0BB2" wp14:editId="17A08907">
                  <wp:extent cx="2019300" cy="1695450"/>
                  <wp:effectExtent l="0" t="0" r="0" b="0"/>
                  <wp:docPr id="104453"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0"/>
                          <pic:cNvPicPr>
                            <a:picLocks noChangeAspect="1"/>
                          </pic:cNvPicPr>
                        </pic:nvPicPr>
                        <pic:blipFill>
                          <a:blip r:embed="rId3325">
                            <a:extLst>
                              <a:ext uri="{28A0092B-C50C-407E-A947-70E740481C1C}">
                                <a14:useLocalDpi xmlns:a14="http://schemas.microsoft.com/office/drawing/2010/main" val="0"/>
                              </a:ext>
                            </a:extLst>
                          </a:blip>
                          <a:stretch>
                            <a:fillRect/>
                          </a:stretch>
                        </pic:blipFill>
                        <pic:spPr>
                          <a:xfrm>
                            <a:off x="0" y="0"/>
                            <a:ext cx="2019300" cy="1695450"/>
                          </a:xfrm>
                          <a:prstGeom prst="rect">
                            <a:avLst/>
                          </a:prstGeom>
                        </pic:spPr>
                      </pic:pic>
                    </a:graphicData>
                  </a:graphic>
                </wp:inline>
              </w:drawing>
            </w:r>
          </w:p>
          <w:p w14:paraId="7520AB3F" w14:textId="34E38472" w:rsidR="00716453" w:rsidRDefault="00716453" w:rsidP="00716453">
            <w:pPr>
              <w:jc w:val="center"/>
            </w:pPr>
            <w:r w:rsidRPr="00716453">
              <w:t>Filet</w:t>
            </w:r>
            <w:r>
              <w:t>à</w:t>
            </w:r>
            <w:r w:rsidRPr="00716453">
              <w:t>a nuage au Chili</w:t>
            </w:r>
            <w:r>
              <w:t>.</w:t>
            </w:r>
          </w:p>
        </w:tc>
        <w:tc>
          <w:tcPr>
            <w:tcW w:w="3472" w:type="dxa"/>
            <w:tcBorders>
              <w:top w:val="nil"/>
              <w:left w:val="nil"/>
              <w:bottom w:val="nil"/>
              <w:right w:val="nil"/>
            </w:tcBorders>
          </w:tcPr>
          <w:p w14:paraId="532322D4" w14:textId="77777777" w:rsidR="00716453" w:rsidRDefault="00716453" w:rsidP="00716453">
            <w:pPr>
              <w:jc w:val="center"/>
            </w:pPr>
            <w:r w:rsidRPr="00716453">
              <w:rPr>
                <w:noProof/>
              </w:rPr>
              <w:drawing>
                <wp:inline distT="0" distB="0" distL="0" distR="0" wp14:anchorId="4D27215B" wp14:editId="713773AD">
                  <wp:extent cx="1438275" cy="857250"/>
                  <wp:effectExtent l="0" t="0" r="9525" b="0"/>
                  <wp:docPr id="104455"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4"/>
                          <pic:cNvPicPr>
                            <a:picLocks noChangeAspect="1"/>
                          </pic:cNvPicPr>
                        </pic:nvPicPr>
                        <pic:blipFill>
                          <a:blip r:embed="rId3326">
                            <a:extLst>
                              <a:ext uri="{28A0092B-C50C-407E-A947-70E740481C1C}">
                                <a14:useLocalDpi xmlns:a14="http://schemas.microsoft.com/office/drawing/2010/main" val="0"/>
                              </a:ext>
                            </a:extLst>
                          </a:blip>
                          <a:stretch>
                            <a:fillRect/>
                          </a:stretch>
                        </pic:blipFill>
                        <pic:spPr>
                          <a:xfrm>
                            <a:off x="0" y="0"/>
                            <a:ext cx="1438275" cy="857250"/>
                          </a:xfrm>
                          <a:prstGeom prst="rect">
                            <a:avLst/>
                          </a:prstGeom>
                        </pic:spPr>
                      </pic:pic>
                    </a:graphicData>
                  </a:graphic>
                </wp:inline>
              </w:drawing>
            </w:r>
          </w:p>
          <w:p w14:paraId="015689A6" w14:textId="775417E8" w:rsidR="00716453" w:rsidRDefault="00716453" w:rsidP="00716453">
            <w:pPr>
              <w:jc w:val="center"/>
            </w:pPr>
            <w:r w:rsidRPr="00716453">
              <w:t>Vue de la goulotte qui recueille l’eau condensée.</w:t>
            </w:r>
          </w:p>
        </w:tc>
      </w:tr>
      <w:tr w:rsidR="00716453" w14:paraId="7D944EDF" w14:textId="77777777" w:rsidTr="00716453">
        <w:tc>
          <w:tcPr>
            <w:tcW w:w="3472" w:type="dxa"/>
            <w:tcBorders>
              <w:top w:val="nil"/>
              <w:left w:val="nil"/>
              <w:bottom w:val="nil"/>
              <w:right w:val="nil"/>
            </w:tcBorders>
          </w:tcPr>
          <w:p w14:paraId="540092C6" w14:textId="77777777" w:rsidR="00716453" w:rsidRDefault="00716453" w:rsidP="00716453">
            <w:pPr>
              <w:jc w:val="center"/>
            </w:pPr>
            <w:r w:rsidRPr="00716453">
              <w:rPr>
                <w:noProof/>
              </w:rPr>
              <w:lastRenderedPageBreak/>
              <w:drawing>
                <wp:inline distT="0" distB="0" distL="0" distR="0" wp14:anchorId="7A9E6483" wp14:editId="2982FBDD">
                  <wp:extent cx="2381250" cy="1457325"/>
                  <wp:effectExtent l="0" t="0" r="0" b="9525"/>
                  <wp:docPr id="104452"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6"/>
                          <pic:cNvPicPr>
                            <a:picLocks noChangeAspect="1"/>
                          </pic:cNvPicPr>
                        </pic:nvPicPr>
                        <pic:blipFill>
                          <a:blip r:embed="rId3327">
                            <a:extLst>
                              <a:ext uri="{28A0092B-C50C-407E-A947-70E740481C1C}">
                                <a14:useLocalDpi xmlns:a14="http://schemas.microsoft.com/office/drawing/2010/main" val="0"/>
                              </a:ext>
                            </a:extLst>
                          </a:blip>
                          <a:stretch>
                            <a:fillRect/>
                          </a:stretch>
                        </pic:blipFill>
                        <pic:spPr>
                          <a:xfrm>
                            <a:off x="0" y="0"/>
                            <a:ext cx="2381250" cy="1457325"/>
                          </a:xfrm>
                          <a:prstGeom prst="rect">
                            <a:avLst/>
                          </a:prstGeom>
                        </pic:spPr>
                      </pic:pic>
                    </a:graphicData>
                  </a:graphic>
                </wp:inline>
              </w:drawing>
            </w:r>
          </w:p>
          <w:p w14:paraId="33B0F735" w14:textId="7973BBD9" w:rsidR="00716453" w:rsidRDefault="00716453" w:rsidP="00716453">
            <w:pPr>
              <w:jc w:val="center"/>
            </w:pPr>
            <w:r w:rsidRPr="00716453">
              <w:t>Un filet à brouillard installé dans le village de Danda Bazzar (Népal), à 2130 mètres d'altitude. Les filets alimentent trois réservoirs de 1000 litres.</w:t>
            </w:r>
          </w:p>
        </w:tc>
        <w:tc>
          <w:tcPr>
            <w:tcW w:w="3472" w:type="dxa"/>
            <w:tcBorders>
              <w:top w:val="nil"/>
              <w:left w:val="nil"/>
              <w:bottom w:val="nil"/>
              <w:right w:val="nil"/>
            </w:tcBorders>
          </w:tcPr>
          <w:p w14:paraId="3B63C74B" w14:textId="77777777" w:rsidR="00716453" w:rsidRDefault="00716453" w:rsidP="00716453">
            <w:pPr>
              <w:jc w:val="center"/>
            </w:pPr>
            <w:r w:rsidRPr="00716453">
              <w:rPr>
                <w:noProof/>
              </w:rPr>
              <w:drawing>
                <wp:inline distT="0" distB="0" distL="0" distR="0" wp14:anchorId="65AC8DF2" wp14:editId="27CE703C">
                  <wp:extent cx="1969107" cy="1764177"/>
                  <wp:effectExtent l="0" t="0" r="0" b="7620"/>
                  <wp:docPr id="12"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1"/>
                          <pic:cNvPicPr>
                            <a:picLocks noChangeAspect="1"/>
                          </pic:cNvPicPr>
                        </pic:nvPicPr>
                        <pic:blipFill>
                          <a:blip r:embed="rId3328">
                            <a:extLst>
                              <a:ext uri="{28A0092B-C50C-407E-A947-70E740481C1C}">
                                <a14:useLocalDpi xmlns:a14="http://schemas.microsoft.com/office/drawing/2010/main" val="0"/>
                              </a:ext>
                            </a:extLst>
                          </a:blip>
                          <a:stretch>
                            <a:fillRect/>
                          </a:stretch>
                        </pic:blipFill>
                        <pic:spPr>
                          <a:xfrm>
                            <a:off x="0" y="0"/>
                            <a:ext cx="1969107" cy="1764177"/>
                          </a:xfrm>
                          <a:prstGeom prst="rect">
                            <a:avLst/>
                          </a:prstGeom>
                        </pic:spPr>
                      </pic:pic>
                    </a:graphicData>
                  </a:graphic>
                </wp:inline>
              </w:drawing>
            </w:r>
          </w:p>
          <w:p w14:paraId="2708880B" w14:textId="221C0EFB" w:rsidR="00716453" w:rsidRDefault="00716453" w:rsidP="00716453">
            <w:pPr>
              <w:jc w:val="center"/>
            </w:pPr>
            <w:r w:rsidRPr="00716453">
              <w:t>La gouttière ou goulotte permettant de récolter l’eau gouttant le long du filet</w:t>
            </w:r>
            <w:r>
              <w:rPr>
                <w:rStyle w:val="Appelnotedebasdep"/>
              </w:rPr>
              <w:footnoteReference w:id="183"/>
            </w:r>
            <w:r w:rsidRPr="00716453">
              <w:t>,</w:t>
            </w:r>
          </w:p>
        </w:tc>
        <w:tc>
          <w:tcPr>
            <w:tcW w:w="3472" w:type="dxa"/>
            <w:tcBorders>
              <w:top w:val="nil"/>
              <w:left w:val="nil"/>
              <w:bottom w:val="nil"/>
              <w:right w:val="nil"/>
            </w:tcBorders>
          </w:tcPr>
          <w:p w14:paraId="0708BF9B" w14:textId="3708D48E" w:rsidR="00716453" w:rsidRDefault="00716453" w:rsidP="00716453">
            <w:pPr>
              <w:jc w:val="center"/>
            </w:pPr>
            <w:r>
              <w:rPr>
                <w:noProof/>
              </w:rPr>
              <w:drawing>
                <wp:inline distT="0" distB="0" distL="0" distR="0" wp14:anchorId="2EF04DB9" wp14:editId="53E27F02">
                  <wp:extent cx="1038225" cy="895350"/>
                  <wp:effectExtent l="0" t="0" r="9525" b="0"/>
                  <wp:docPr id="104459" name="Image 104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9"/>
                          <a:stretch>
                            <a:fillRect/>
                          </a:stretch>
                        </pic:blipFill>
                        <pic:spPr>
                          <a:xfrm>
                            <a:off x="0" y="0"/>
                            <a:ext cx="1038225" cy="895350"/>
                          </a:xfrm>
                          <a:prstGeom prst="rect">
                            <a:avLst/>
                          </a:prstGeom>
                        </pic:spPr>
                      </pic:pic>
                    </a:graphicData>
                  </a:graphic>
                </wp:inline>
              </w:drawing>
            </w:r>
          </w:p>
          <w:p w14:paraId="68CF164A" w14:textId="6DFE1C2F" w:rsidR="00716453" w:rsidRDefault="00716453" w:rsidP="00716453">
            <w:pPr>
              <w:jc w:val="center"/>
            </w:pPr>
            <w:r>
              <w:rPr>
                <w:noProof/>
              </w:rPr>
              <w:drawing>
                <wp:inline distT="0" distB="0" distL="0" distR="0" wp14:anchorId="488C231F" wp14:editId="432C3367">
                  <wp:extent cx="1057275" cy="933450"/>
                  <wp:effectExtent l="0" t="0" r="9525" b="0"/>
                  <wp:docPr id="104460" name="Image 104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0"/>
                          <a:stretch>
                            <a:fillRect/>
                          </a:stretch>
                        </pic:blipFill>
                        <pic:spPr>
                          <a:xfrm>
                            <a:off x="0" y="0"/>
                            <a:ext cx="1057275" cy="933450"/>
                          </a:xfrm>
                          <a:prstGeom prst="rect">
                            <a:avLst/>
                          </a:prstGeom>
                        </pic:spPr>
                      </pic:pic>
                    </a:graphicData>
                  </a:graphic>
                </wp:inline>
              </w:drawing>
            </w:r>
          </w:p>
          <w:p w14:paraId="7020AAE1" w14:textId="77777777" w:rsidR="00716453" w:rsidRPr="00716453" w:rsidRDefault="00716453" w:rsidP="00716453">
            <w:pPr>
              <w:jc w:val="center"/>
            </w:pPr>
            <w:r w:rsidRPr="00716453">
              <w:t>Il faut que les filets soient solidement arrimés au sol.</w:t>
            </w:r>
          </w:p>
          <w:p w14:paraId="0D57D508" w14:textId="10B3CE8F" w:rsidR="00716453" w:rsidRDefault="00716453" w:rsidP="00716453">
            <w:pPr>
              <w:jc w:val="center"/>
            </w:pPr>
            <w:r w:rsidRPr="00716453">
              <w:rPr>
                <w:i/>
                <w:iCs/>
              </w:rPr>
              <w:t>Des filets à nuages sur la crête d’El Tofo</w:t>
            </w:r>
            <w:r w:rsidRPr="00716453">
              <w:t xml:space="preserve"> (Chili) [un mauvais choix], Stephen Dale, IDRC</w:t>
            </w:r>
            <w:r>
              <w:rPr>
                <w:rStyle w:val="Appelnotedebasdep"/>
              </w:rPr>
              <w:footnoteReference w:id="184"/>
            </w:r>
            <w:r>
              <w:t>.</w:t>
            </w:r>
          </w:p>
        </w:tc>
      </w:tr>
    </w:tbl>
    <w:p w14:paraId="4A4E8FC4" w14:textId="4D7EC8E4" w:rsidR="00716453" w:rsidRDefault="00716453" w:rsidP="00716453">
      <w:pPr>
        <w:spacing w:after="0" w:line="240" w:lineRule="auto"/>
        <w:jc w:val="cente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716453" w14:paraId="733F0B39" w14:textId="77777777" w:rsidTr="00716453">
        <w:tc>
          <w:tcPr>
            <w:tcW w:w="3472" w:type="dxa"/>
          </w:tcPr>
          <w:p w14:paraId="1F2ACA9C" w14:textId="77777777" w:rsidR="00716453" w:rsidRDefault="00716453" w:rsidP="00716453">
            <w:pPr>
              <w:jc w:val="center"/>
            </w:pPr>
            <w:r w:rsidRPr="00716453">
              <w:rPr>
                <w:noProof/>
              </w:rPr>
              <w:drawing>
                <wp:inline distT="0" distB="0" distL="0" distR="0" wp14:anchorId="381F8AF1" wp14:editId="60D387D8">
                  <wp:extent cx="2020128" cy="1543050"/>
                  <wp:effectExtent l="0" t="0" r="0" b="0"/>
                  <wp:docPr id="104457"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pic:cNvPicPr>
                            <a:picLocks noChangeAspect="1"/>
                          </pic:cNvPicPr>
                        </pic:nvPicPr>
                        <pic:blipFill>
                          <a:blip r:embed="rId3331">
                            <a:extLst>
                              <a:ext uri="{28A0092B-C50C-407E-A947-70E740481C1C}">
                                <a14:useLocalDpi xmlns:a14="http://schemas.microsoft.com/office/drawing/2010/main" val="0"/>
                              </a:ext>
                            </a:extLst>
                          </a:blip>
                          <a:stretch>
                            <a:fillRect/>
                          </a:stretch>
                        </pic:blipFill>
                        <pic:spPr>
                          <a:xfrm>
                            <a:off x="0" y="0"/>
                            <a:ext cx="2022397" cy="1544783"/>
                          </a:xfrm>
                          <a:prstGeom prst="rect">
                            <a:avLst/>
                          </a:prstGeom>
                        </pic:spPr>
                      </pic:pic>
                    </a:graphicData>
                  </a:graphic>
                </wp:inline>
              </w:drawing>
            </w:r>
          </w:p>
          <w:p w14:paraId="378895CA" w14:textId="6709E4DB" w:rsidR="00716453" w:rsidRDefault="00716453" w:rsidP="00716453">
            <w:pPr>
              <w:jc w:val="center"/>
            </w:pPr>
            <w:r w:rsidRPr="00716453">
              <w:t>La gouttière ou goulotte (grise) récoltant l’eau gouttant du filet</w:t>
            </w:r>
            <w:r>
              <w:rPr>
                <w:rStyle w:val="Appelnotedebasdep"/>
              </w:rPr>
              <w:footnoteReference w:id="185"/>
            </w:r>
            <w:r>
              <w:t>.</w:t>
            </w:r>
          </w:p>
        </w:tc>
        <w:tc>
          <w:tcPr>
            <w:tcW w:w="3472" w:type="dxa"/>
          </w:tcPr>
          <w:p w14:paraId="6D1BB577" w14:textId="77777777" w:rsidR="00716453" w:rsidRDefault="00716453" w:rsidP="00716453">
            <w:pPr>
              <w:jc w:val="center"/>
            </w:pPr>
            <w:r w:rsidRPr="00716453">
              <w:rPr>
                <w:noProof/>
              </w:rPr>
              <w:drawing>
                <wp:inline distT="0" distB="0" distL="0" distR="0" wp14:anchorId="46AA31F4" wp14:editId="07532C48">
                  <wp:extent cx="1975266" cy="1314450"/>
                  <wp:effectExtent l="0" t="0" r="6350" b="0"/>
                  <wp:docPr id="10445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8"/>
                          <pic:cNvPicPr>
                            <a:picLocks noChangeAspect="1"/>
                          </pic:cNvPicPr>
                        </pic:nvPicPr>
                        <pic:blipFill>
                          <a:blip r:embed="rId3332">
                            <a:extLst>
                              <a:ext uri="{28A0092B-C50C-407E-A947-70E740481C1C}">
                                <a14:useLocalDpi xmlns:a14="http://schemas.microsoft.com/office/drawing/2010/main" val="0"/>
                              </a:ext>
                            </a:extLst>
                          </a:blip>
                          <a:stretch>
                            <a:fillRect/>
                          </a:stretch>
                        </pic:blipFill>
                        <pic:spPr>
                          <a:xfrm>
                            <a:off x="0" y="0"/>
                            <a:ext cx="1980792" cy="1318127"/>
                          </a:xfrm>
                          <a:prstGeom prst="rect">
                            <a:avLst/>
                          </a:prstGeom>
                        </pic:spPr>
                      </pic:pic>
                    </a:graphicData>
                  </a:graphic>
                </wp:inline>
              </w:drawing>
            </w:r>
          </w:p>
          <w:p w14:paraId="0DE725C7" w14:textId="75747486" w:rsidR="00716453" w:rsidRDefault="00716453" w:rsidP="00716453">
            <w:pPr>
              <w:jc w:val="center"/>
            </w:pPr>
            <w:r w:rsidRPr="00716453">
              <w:t>© Association Dar Si Hmad pour le développement, l’éducation et la culture (Maroc)</w:t>
            </w:r>
            <w:r>
              <w:rPr>
                <w:rStyle w:val="Appelnotedebasdep"/>
              </w:rPr>
              <w:footnoteReference w:id="186"/>
            </w:r>
            <w:r>
              <w:t>.</w:t>
            </w:r>
          </w:p>
        </w:tc>
        <w:tc>
          <w:tcPr>
            <w:tcW w:w="3472" w:type="dxa"/>
          </w:tcPr>
          <w:p w14:paraId="23072DB6" w14:textId="77777777" w:rsidR="00716453" w:rsidRDefault="00716453" w:rsidP="00716453">
            <w:pPr>
              <w:jc w:val="center"/>
            </w:pPr>
            <w:r w:rsidRPr="00716453">
              <w:rPr>
                <w:noProof/>
              </w:rPr>
              <w:drawing>
                <wp:inline distT="0" distB="0" distL="0" distR="0" wp14:anchorId="1357A549" wp14:editId="22EEFB08">
                  <wp:extent cx="2032520" cy="1352550"/>
                  <wp:effectExtent l="0" t="0" r="6350" b="0"/>
                  <wp:docPr id="104461"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9"/>
                          <pic:cNvPicPr>
                            <a:picLocks noChangeAspect="1"/>
                          </pic:cNvPicPr>
                        </pic:nvPicPr>
                        <pic:blipFill>
                          <a:blip r:embed="rId3333">
                            <a:extLst>
                              <a:ext uri="{28A0092B-C50C-407E-A947-70E740481C1C}">
                                <a14:useLocalDpi xmlns:a14="http://schemas.microsoft.com/office/drawing/2010/main" val="0"/>
                              </a:ext>
                            </a:extLst>
                          </a:blip>
                          <a:stretch>
                            <a:fillRect/>
                          </a:stretch>
                        </pic:blipFill>
                        <pic:spPr>
                          <a:xfrm>
                            <a:off x="0" y="0"/>
                            <a:ext cx="2044423" cy="1360471"/>
                          </a:xfrm>
                          <a:prstGeom prst="rect">
                            <a:avLst/>
                          </a:prstGeom>
                        </pic:spPr>
                      </pic:pic>
                    </a:graphicData>
                  </a:graphic>
                </wp:inline>
              </w:drawing>
            </w:r>
          </w:p>
          <w:p w14:paraId="77A0EA07" w14:textId="715EC2D4" w:rsidR="00716453" w:rsidRDefault="00716453" w:rsidP="00716453">
            <w:pPr>
              <w:jc w:val="center"/>
            </w:pPr>
            <w:r w:rsidRPr="00716453">
              <w:t>Attrape-brouillard à Tenerife, pour l’alimentation en eau d’une étable</w:t>
            </w:r>
            <w:r>
              <w:rPr>
                <w:rStyle w:val="Appelnotedebasdep"/>
              </w:rPr>
              <w:footnoteReference w:id="187"/>
            </w:r>
            <w:r>
              <w:t>.</w:t>
            </w:r>
          </w:p>
        </w:tc>
      </w:tr>
    </w:tbl>
    <w:p w14:paraId="13EDB390" w14:textId="24173BC6" w:rsidR="00716453" w:rsidRDefault="00716453" w:rsidP="00716453">
      <w:pPr>
        <w:spacing w:after="0" w:line="240" w:lineRule="auto"/>
        <w:jc w:val="cente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716453" w14:paraId="588C9CCF" w14:textId="77777777" w:rsidTr="00716453">
        <w:tc>
          <w:tcPr>
            <w:tcW w:w="5208" w:type="dxa"/>
          </w:tcPr>
          <w:p w14:paraId="5E29BDD8" w14:textId="77777777" w:rsidR="00716453" w:rsidRDefault="00716453" w:rsidP="00716453">
            <w:pPr>
              <w:jc w:val="center"/>
            </w:pPr>
            <w:r w:rsidRPr="00716453">
              <w:rPr>
                <w:noProof/>
              </w:rPr>
              <w:drawing>
                <wp:inline distT="0" distB="0" distL="0" distR="0" wp14:anchorId="0300E00F" wp14:editId="53A06176">
                  <wp:extent cx="2362200" cy="1933575"/>
                  <wp:effectExtent l="0" t="0" r="0" b="9525"/>
                  <wp:docPr id="104462"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1"/>
                          <pic:cNvPicPr>
                            <a:picLocks noChangeAspect="1"/>
                          </pic:cNvPicPr>
                        </pic:nvPicPr>
                        <pic:blipFill>
                          <a:blip r:embed="rId3334">
                            <a:extLst>
                              <a:ext uri="{28A0092B-C50C-407E-A947-70E740481C1C}">
                                <a14:useLocalDpi xmlns:a14="http://schemas.microsoft.com/office/drawing/2010/main" val="0"/>
                              </a:ext>
                            </a:extLst>
                          </a:blip>
                          <a:stretch>
                            <a:fillRect/>
                          </a:stretch>
                        </pic:blipFill>
                        <pic:spPr>
                          <a:xfrm>
                            <a:off x="0" y="0"/>
                            <a:ext cx="2362200" cy="1933575"/>
                          </a:xfrm>
                          <a:prstGeom prst="rect">
                            <a:avLst/>
                          </a:prstGeom>
                        </pic:spPr>
                      </pic:pic>
                    </a:graphicData>
                  </a:graphic>
                </wp:inline>
              </w:drawing>
            </w:r>
          </w:p>
          <w:p w14:paraId="0CAD9AC9" w14:textId="38AC82E3" w:rsidR="00716453" w:rsidRDefault="00716453" w:rsidP="00716453">
            <w:pPr>
              <w:jc w:val="center"/>
            </w:pPr>
            <w:r w:rsidRPr="00716453">
              <w:t>Natural Aqua (Canaries)</w:t>
            </w:r>
            <w:r>
              <w:rPr>
                <w:rStyle w:val="Appelnotedebasdep"/>
              </w:rPr>
              <w:footnoteReference w:id="188"/>
            </w:r>
            <w:r>
              <w:t>.</w:t>
            </w:r>
          </w:p>
        </w:tc>
        <w:tc>
          <w:tcPr>
            <w:tcW w:w="5208" w:type="dxa"/>
          </w:tcPr>
          <w:p w14:paraId="0425E9BC" w14:textId="77777777" w:rsidR="00716453" w:rsidRDefault="00716453" w:rsidP="00716453">
            <w:pPr>
              <w:jc w:val="center"/>
            </w:pPr>
            <w:r w:rsidRPr="00716453">
              <w:rPr>
                <w:noProof/>
              </w:rPr>
              <w:drawing>
                <wp:inline distT="0" distB="0" distL="0" distR="0" wp14:anchorId="0DB68952" wp14:editId="74F18A12">
                  <wp:extent cx="2400300" cy="1440180"/>
                  <wp:effectExtent l="0" t="0" r="0" b="7620"/>
                  <wp:docPr id="104463"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4"/>
                          <pic:cNvPicPr>
                            <a:picLocks noChangeAspect="1"/>
                          </pic:cNvPicPr>
                        </pic:nvPicPr>
                        <pic:blipFill>
                          <a:blip r:embed="rId3335">
                            <a:extLst>
                              <a:ext uri="{28A0092B-C50C-407E-A947-70E740481C1C}">
                                <a14:useLocalDpi xmlns:a14="http://schemas.microsoft.com/office/drawing/2010/main" val="0"/>
                              </a:ext>
                            </a:extLst>
                          </a:blip>
                          <a:stretch>
                            <a:fillRect/>
                          </a:stretch>
                        </pic:blipFill>
                        <pic:spPr>
                          <a:xfrm>
                            <a:off x="0" y="0"/>
                            <a:ext cx="2400300" cy="1440180"/>
                          </a:xfrm>
                          <a:prstGeom prst="rect">
                            <a:avLst/>
                          </a:prstGeom>
                        </pic:spPr>
                      </pic:pic>
                    </a:graphicData>
                  </a:graphic>
                </wp:inline>
              </w:drawing>
            </w:r>
          </w:p>
          <w:p w14:paraId="7B17BBCD" w14:textId="39B7C3C0" w:rsidR="00716453" w:rsidRDefault="00716453" w:rsidP="00716453">
            <w:pPr>
              <w:jc w:val="center"/>
            </w:pPr>
            <w:r w:rsidRPr="00716453">
              <w:t>Le projet est composé de 600 m² de filets capteurs, deux citernes de 500 m3, un puits de forage, 9.000 m de canalisation et 20 branchements domestiques, au sommet du Boutmezguida (Maroc)</w:t>
            </w:r>
            <w:r>
              <w:rPr>
                <w:rStyle w:val="Appelnotedebasdep"/>
              </w:rPr>
              <w:footnoteReference w:id="189"/>
            </w:r>
            <w:r w:rsidRPr="00716453">
              <w:t>.</w:t>
            </w:r>
          </w:p>
        </w:tc>
      </w:tr>
    </w:tbl>
    <w:p w14:paraId="2A5CD753" w14:textId="061ED6E1" w:rsidR="00716453" w:rsidRDefault="00716453" w:rsidP="00716453">
      <w:pPr>
        <w:spacing w:after="0" w:line="240" w:lineRule="auto"/>
        <w:jc w:val="center"/>
      </w:pPr>
    </w:p>
    <w:p w14:paraId="6826276A" w14:textId="77777777" w:rsidR="00716453" w:rsidRDefault="00716453" w:rsidP="00716453">
      <w:pPr>
        <w:spacing w:after="0" w:line="240" w:lineRule="auto"/>
        <w:jc w:val="center"/>
      </w:pPr>
    </w:p>
    <w:p w14:paraId="2E801F2C" w14:textId="71FA090C" w:rsidR="003C0303" w:rsidRDefault="003C0303" w:rsidP="003C0303">
      <w:pPr>
        <w:pStyle w:val="Titre1"/>
      </w:pPr>
      <w:bookmarkStart w:id="250" w:name="_Toc139181541"/>
      <w:r w:rsidRPr="003C0303">
        <w:t>Processus de salinisation des sols</w:t>
      </w:r>
      <w:bookmarkEnd w:id="250"/>
    </w:p>
    <w:p w14:paraId="203A15FC" w14:textId="6F6A2B80" w:rsidR="003C0303" w:rsidRDefault="003C0303" w:rsidP="00EB23DE">
      <w:pPr>
        <w:spacing w:after="0" w:line="240" w:lineRule="auto"/>
      </w:pPr>
    </w:p>
    <w:p w14:paraId="5B64BE0D" w14:textId="7C0CC46A" w:rsidR="003C0303" w:rsidRPr="003C0303" w:rsidRDefault="003C0303" w:rsidP="003C0303">
      <w:pPr>
        <w:spacing w:after="0" w:line="240" w:lineRule="auto"/>
        <w:jc w:val="both"/>
      </w:pPr>
      <w:r w:rsidRPr="003C0303">
        <w:t>De vastes régions dans le monde contiennent beaucoup de sel dans le sol, du fait de la brise marine salée, parce que ce sont d’anciens bassins océanique ou des lacs asséchés. Très peu de plantes peuvent tolérer des sols salés. Si le sel, enfoui sous les racines, y demeurait, le problème serait moindre. Mais deux processus peuvent le conduire à la surface</w:t>
      </w:r>
      <w:r>
        <w:t>, a)</w:t>
      </w:r>
      <w:r w:rsidRPr="003C0303">
        <w:t xml:space="preserve"> la salinisation par irrigation et</w:t>
      </w:r>
      <w:r>
        <w:t xml:space="preserve"> b)</w:t>
      </w:r>
      <w:r w:rsidRPr="003C0303">
        <w:t xml:space="preserve"> la salinisation des terres sèches.</w:t>
      </w:r>
    </w:p>
    <w:p w14:paraId="42DBED16" w14:textId="3559C803" w:rsidR="003C0303" w:rsidRDefault="003C0303" w:rsidP="003C0303">
      <w:pPr>
        <w:spacing w:after="0" w:line="240" w:lineRule="auto"/>
        <w:jc w:val="both"/>
      </w:pPr>
      <w:r w:rsidRPr="003C0303">
        <w:t>Le sol est considéré comme salé si la concentration en sel dépasse 1 à 2 %, dans ses 20 cm supérieurs.</w:t>
      </w:r>
    </w:p>
    <w:p w14:paraId="505AF77A" w14:textId="77777777" w:rsidR="003C0303" w:rsidRPr="003C0303" w:rsidRDefault="003C0303" w:rsidP="003C0303">
      <w:pPr>
        <w:spacing w:after="0" w:line="240" w:lineRule="auto"/>
        <w:jc w:val="both"/>
      </w:pPr>
    </w:p>
    <w:p w14:paraId="0A234235" w14:textId="10D81357" w:rsidR="003C0303" w:rsidRDefault="003C0303" w:rsidP="003C0303">
      <w:pPr>
        <w:spacing w:after="0" w:line="240" w:lineRule="auto"/>
        <w:jc w:val="both"/>
      </w:pPr>
      <w:r w:rsidRPr="003C0303">
        <w:rPr>
          <w:u w:val="single"/>
        </w:rPr>
        <w:t>Salinisation par irrigation</w:t>
      </w:r>
      <w:r w:rsidRPr="003C0303">
        <w:t xml:space="preserve"> :</w:t>
      </w:r>
    </w:p>
    <w:p w14:paraId="4C6ABBC2" w14:textId="77777777" w:rsidR="003C0303" w:rsidRPr="003C0303" w:rsidRDefault="003C0303" w:rsidP="003C0303">
      <w:pPr>
        <w:spacing w:after="0" w:line="240" w:lineRule="auto"/>
        <w:jc w:val="both"/>
      </w:pPr>
    </w:p>
    <w:p w14:paraId="05AF9D3C" w14:textId="77777777" w:rsidR="003C0303" w:rsidRPr="003C0303" w:rsidRDefault="003C0303" w:rsidP="001F79EE">
      <w:pPr>
        <w:numPr>
          <w:ilvl w:val="0"/>
          <w:numId w:val="60"/>
        </w:numPr>
        <w:spacing w:after="0" w:line="240" w:lineRule="auto"/>
        <w:jc w:val="both"/>
      </w:pPr>
      <w:r w:rsidRPr="003C0303">
        <w:t>La salinisation par irrigation peut survenir dans les régions sèches ou les pluies sont trop faibles ou trop peu fiables pour l’agriculture ; l’irrigation y est nécessaire.</w:t>
      </w:r>
    </w:p>
    <w:p w14:paraId="3D2FC031" w14:textId="77777777" w:rsidR="003C0303" w:rsidRPr="003C0303" w:rsidRDefault="003C0303" w:rsidP="001F79EE">
      <w:pPr>
        <w:numPr>
          <w:ilvl w:val="0"/>
          <w:numId w:val="60"/>
        </w:numPr>
        <w:spacing w:after="0" w:line="240" w:lineRule="auto"/>
        <w:jc w:val="both"/>
      </w:pPr>
      <w:r w:rsidRPr="003C0303">
        <w:t>Si un agriculteur pratique le « goutte à goutte »,  de sorte que coule seulement l’eau que l’arbre ou les racines de la culture peuvent absorber, l’eau est peu gaspillée, sans effet néfaste.</w:t>
      </w:r>
    </w:p>
    <w:p w14:paraId="6BECF6E2" w14:textId="4CD4DBBC" w:rsidR="003C0303" w:rsidRDefault="003C0303" w:rsidP="001F79EE">
      <w:pPr>
        <w:numPr>
          <w:ilvl w:val="0"/>
          <w:numId w:val="60"/>
        </w:numPr>
        <w:spacing w:after="0" w:line="240" w:lineRule="auto"/>
        <w:jc w:val="both"/>
      </w:pPr>
      <w:r w:rsidRPr="003C0303">
        <w:t>Mais si l’agriculture suit la pratique courante de « l’irrigation par émission », c’est à dire noie la terre ou utilise un tourniquet qui diffuse l’eau sur une vaste zone, le sol est vite saturé du fait qu’il reçoit plus d’eau que les racines n’en peuvent absorber. L’eau excès s’infiltre vers la couche plus profonde de sol salé, ce qui crée une colonne continue de sol humide [capillarité] par laquelle le sel situé en profondeur peut remonter jusqu’aux racines et à la surface, interdisant la croissance de plantes autres que celles qui tolèrent le sel, ou bien encore descendre vers les eaux souterraines, et passer de là dans les rivières.</w:t>
      </w:r>
    </w:p>
    <w:p w14:paraId="1CFEA207" w14:textId="77777777" w:rsidR="003C0303" w:rsidRPr="003C0303" w:rsidRDefault="003C0303" w:rsidP="003C0303">
      <w:pPr>
        <w:spacing w:after="0" w:line="240" w:lineRule="auto"/>
        <w:jc w:val="both"/>
      </w:pPr>
    </w:p>
    <w:p w14:paraId="7CC82932" w14:textId="35B1E26F" w:rsidR="003C0303" w:rsidRDefault="003C0303" w:rsidP="003C0303">
      <w:pPr>
        <w:spacing w:after="0" w:line="240" w:lineRule="auto"/>
        <w:jc w:val="both"/>
      </w:pPr>
      <w:r w:rsidRPr="003C0303">
        <w:rPr>
          <w:u w:val="single"/>
        </w:rPr>
        <w:t>Salinisation par assèchement des sols</w:t>
      </w:r>
      <w:r w:rsidRPr="003C0303">
        <w:t xml:space="preserve"> :</w:t>
      </w:r>
    </w:p>
    <w:p w14:paraId="044897D1" w14:textId="77777777" w:rsidR="003C0303" w:rsidRPr="003C0303" w:rsidRDefault="003C0303" w:rsidP="003C0303">
      <w:pPr>
        <w:spacing w:after="0" w:line="240" w:lineRule="auto"/>
        <w:jc w:val="both"/>
      </w:pPr>
    </w:p>
    <w:p w14:paraId="25E14EFD" w14:textId="77777777" w:rsidR="003C0303" w:rsidRPr="003C0303" w:rsidRDefault="003C0303" w:rsidP="001F79EE">
      <w:pPr>
        <w:numPr>
          <w:ilvl w:val="0"/>
          <w:numId w:val="61"/>
        </w:numPr>
        <w:tabs>
          <w:tab w:val="clear" w:pos="720"/>
          <w:tab w:val="num" w:pos="360"/>
        </w:tabs>
        <w:spacing w:after="0" w:line="240" w:lineRule="auto"/>
        <w:ind w:left="426"/>
        <w:jc w:val="both"/>
      </w:pPr>
      <w:r w:rsidRPr="003C0303">
        <w:t xml:space="preserve">Elle apparaît dans les zones où les pluies sont suffisantes pour l’agriculture. Tant que le sol reste recouvert par la végétation primitive et permanente, les racines des plantes absorbent la plus grande partie de la pluie en sorte qu’une faible quantité s’infiltre à travers le sol jusqu’aux couches salées profondes. </w:t>
      </w:r>
    </w:p>
    <w:p w14:paraId="4FA00212" w14:textId="77777777" w:rsidR="003C0303" w:rsidRPr="003C0303" w:rsidRDefault="003C0303" w:rsidP="001F79EE">
      <w:pPr>
        <w:numPr>
          <w:ilvl w:val="0"/>
          <w:numId w:val="61"/>
        </w:numPr>
        <w:tabs>
          <w:tab w:val="clear" w:pos="720"/>
          <w:tab w:val="num" w:pos="360"/>
        </w:tabs>
        <w:spacing w:after="0" w:line="240" w:lineRule="auto"/>
        <w:ind w:left="426"/>
        <w:jc w:val="both"/>
      </w:pPr>
      <w:r w:rsidRPr="003C0303">
        <w:t xml:space="preserve">Si l’agriculture défriche cette végétation et la remplace par des cultures récoltées à certaines saisons, cela laisse le sol à nu une partie de l’année : la pluie qui trempe le sol nu pénètre jusqu’au sel en profondeur, lequel en retour, se diffuse à la surface. Source : </w:t>
      </w:r>
      <w:r w:rsidRPr="003C0303">
        <w:rPr>
          <w:i/>
          <w:iCs/>
        </w:rPr>
        <w:t>Effondrements</w:t>
      </w:r>
      <w:r w:rsidRPr="003C0303">
        <w:t>, J. Diamond, Gallimard, 2006, page 459.</w:t>
      </w:r>
    </w:p>
    <w:p w14:paraId="53CF549B" w14:textId="77777777" w:rsidR="003C0303" w:rsidRPr="003C0303" w:rsidRDefault="003C0303" w:rsidP="001F79EE">
      <w:pPr>
        <w:numPr>
          <w:ilvl w:val="0"/>
          <w:numId w:val="61"/>
        </w:numPr>
        <w:tabs>
          <w:tab w:val="clear" w:pos="720"/>
          <w:tab w:val="num" w:pos="360"/>
        </w:tabs>
        <w:spacing w:after="0" w:line="240" w:lineRule="auto"/>
        <w:ind w:left="426"/>
        <w:jc w:val="both"/>
      </w:pPr>
      <w:r w:rsidRPr="003C0303">
        <w:t xml:space="preserve">Les terres peuvent aussi se saliner, si l’on pompe dans une nappe aquifère </w:t>
      </w:r>
      <w:r w:rsidRPr="003C0303">
        <w:rPr>
          <w:i/>
          <w:iCs/>
        </w:rPr>
        <w:t>trop proche de la mer (ce qui attirera l’eau salée dans la nappe phréatique)</w:t>
      </w:r>
      <w:r w:rsidRPr="003C0303">
        <w:t>.</w:t>
      </w:r>
    </w:p>
    <w:p w14:paraId="53ED9FF0" w14:textId="77777777" w:rsidR="003C0303" w:rsidRPr="003C0303" w:rsidRDefault="003C0303" w:rsidP="001F79EE">
      <w:pPr>
        <w:numPr>
          <w:ilvl w:val="0"/>
          <w:numId w:val="61"/>
        </w:numPr>
        <w:tabs>
          <w:tab w:val="clear" w:pos="720"/>
          <w:tab w:val="num" w:pos="360"/>
        </w:tabs>
        <w:spacing w:after="0" w:line="240" w:lineRule="auto"/>
        <w:ind w:left="426"/>
        <w:jc w:val="both"/>
      </w:pPr>
      <w:r w:rsidRPr="003C0303">
        <w:t>Le monde perd en moyenne 10 hectares de terres cultivables par minute dont 3 ha (</w:t>
      </w:r>
      <w:r w:rsidRPr="003C0303">
        <w:rPr>
          <w:b/>
          <w:bCs/>
        </w:rPr>
        <w:t>plus de 1,5 Mha par ans</w:t>
      </w:r>
      <w:r w:rsidRPr="003C0303">
        <w:t xml:space="preserve">) à cause de la salinisation (Kovda, 1983). </w:t>
      </w:r>
    </w:p>
    <w:p w14:paraId="5E1DAE06" w14:textId="77777777" w:rsidR="003C0303" w:rsidRPr="003C0303" w:rsidRDefault="003C0303" w:rsidP="001F79EE">
      <w:pPr>
        <w:numPr>
          <w:ilvl w:val="0"/>
          <w:numId w:val="61"/>
        </w:numPr>
        <w:tabs>
          <w:tab w:val="clear" w:pos="720"/>
          <w:tab w:val="num" w:pos="360"/>
        </w:tabs>
        <w:spacing w:after="0" w:line="240" w:lineRule="auto"/>
        <w:ind w:left="426"/>
        <w:jc w:val="both"/>
      </w:pPr>
      <w:r w:rsidRPr="003C0303">
        <w:t xml:space="preserve">Aujourd’hui, on estime à près de </w:t>
      </w:r>
      <w:r w:rsidRPr="003C0303">
        <w:rPr>
          <w:b/>
          <w:bCs/>
        </w:rPr>
        <w:t>400 Mha</w:t>
      </w:r>
      <w:r w:rsidRPr="003C0303">
        <w:t xml:space="preserve"> les terres affectées par la salinisation (Bot, Nachtergaele &amp; Young, 2000).</w:t>
      </w:r>
    </w:p>
    <w:p w14:paraId="33AA1557" w14:textId="77777777" w:rsidR="003C0303" w:rsidRPr="003C0303" w:rsidRDefault="003C0303" w:rsidP="001F79EE">
      <w:pPr>
        <w:numPr>
          <w:ilvl w:val="0"/>
          <w:numId w:val="61"/>
        </w:numPr>
        <w:tabs>
          <w:tab w:val="clear" w:pos="720"/>
          <w:tab w:val="num" w:pos="360"/>
        </w:tabs>
        <w:spacing w:after="0" w:line="240" w:lineRule="auto"/>
        <w:ind w:left="426"/>
        <w:jc w:val="both"/>
      </w:pPr>
      <w:r w:rsidRPr="003C0303">
        <w:rPr>
          <w:u w:val="single"/>
        </w:rPr>
        <w:t>En Afrique</w:t>
      </w:r>
      <w:r w:rsidRPr="003C0303">
        <w:t>: Près de 40 Mha sont affectés par la salinisation, soit près de 2% de la surface totale.</w:t>
      </w:r>
    </w:p>
    <w:p w14:paraId="1F01796F" w14:textId="77777777" w:rsidR="003C0303" w:rsidRPr="003C0303" w:rsidRDefault="003C0303" w:rsidP="001F79EE">
      <w:pPr>
        <w:numPr>
          <w:ilvl w:val="0"/>
          <w:numId w:val="61"/>
        </w:numPr>
        <w:tabs>
          <w:tab w:val="clear" w:pos="720"/>
          <w:tab w:val="num" w:pos="360"/>
        </w:tabs>
        <w:spacing w:after="0" w:line="240" w:lineRule="auto"/>
        <w:ind w:left="426"/>
        <w:jc w:val="both"/>
      </w:pPr>
      <w:r w:rsidRPr="003C0303">
        <w:rPr>
          <w:u w:val="single"/>
        </w:rPr>
        <w:t>Au Proche-Orient</w:t>
      </w:r>
      <w:r w:rsidRPr="003C0303">
        <w:t>: Près de 92 Mha sont affectés par la salinisation, soit environ 5% de la surface totale.</w:t>
      </w:r>
    </w:p>
    <w:p w14:paraId="35070128" w14:textId="77777777" w:rsidR="003C0303" w:rsidRDefault="003C0303" w:rsidP="003C0303">
      <w:pPr>
        <w:spacing w:after="0" w:line="240" w:lineRule="auto"/>
        <w:jc w:val="both"/>
      </w:pPr>
    </w:p>
    <w:p w14:paraId="169C4E1A" w14:textId="78F39E26" w:rsidR="003C0303" w:rsidRPr="003C0303" w:rsidRDefault="003C0303" w:rsidP="003C0303">
      <w:pPr>
        <w:spacing w:after="0" w:line="240" w:lineRule="auto"/>
        <w:jc w:val="both"/>
      </w:pPr>
      <w:r w:rsidRPr="003C0303">
        <w:t xml:space="preserve">Source : </w:t>
      </w:r>
      <w:hyperlink r:id="rId3336" w:history="1">
        <w:r w:rsidRPr="003C0303">
          <w:rPr>
            <w:rStyle w:val="Lienhypertexte"/>
          </w:rPr>
          <w:t>http://www.agrireseau.qc.ca/agroenvironnement/documents/Salinisation_irrigation.pdf</w:t>
        </w:r>
      </w:hyperlink>
      <w:r w:rsidRPr="003C0303">
        <w:t xml:space="preserve">  </w:t>
      </w:r>
    </w:p>
    <w:p w14:paraId="5713CE3A" w14:textId="2DDB634F" w:rsidR="003C0303" w:rsidRDefault="003C0303" w:rsidP="003C0303">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86"/>
        <w:gridCol w:w="4530"/>
      </w:tblGrid>
      <w:tr w:rsidR="00CB6254" w14:paraId="676933CF" w14:textId="77777777" w:rsidTr="00CB6254">
        <w:tc>
          <w:tcPr>
            <w:tcW w:w="5886" w:type="dxa"/>
          </w:tcPr>
          <w:p w14:paraId="4A3E844B" w14:textId="77777777" w:rsidR="00CB6254" w:rsidRDefault="00CB6254" w:rsidP="00D92D7F">
            <w:pPr>
              <w:jc w:val="center"/>
            </w:pPr>
            <w:r w:rsidRPr="00CB6254">
              <w:rPr>
                <w:noProof/>
              </w:rPr>
              <w:lastRenderedPageBreak/>
              <w:drawing>
                <wp:inline distT="0" distB="0" distL="0" distR="0" wp14:anchorId="38291CDF" wp14:editId="1C457B58">
                  <wp:extent cx="3600450" cy="2460625"/>
                  <wp:effectExtent l="0" t="0" r="0" b="0"/>
                  <wp:docPr id="209927" name="Picture 7" descr="salinisatio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27" name="Picture 7" descr="salinisation1"/>
                          <pic:cNvPicPr>
                            <a:picLocks noChangeAspect="1" noChangeArrowheads="1"/>
                          </pic:cNvPicPr>
                        </pic:nvPicPr>
                        <pic:blipFill>
                          <a:blip r:embed="rId3337">
                            <a:extLst>
                              <a:ext uri="{28A0092B-C50C-407E-A947-70E740481C1C}">
                                <a14:useLocalDpi xmlns:a14="http://schemas.microsoft.com/office/drawing/2010/main" val="0"/>
                              </a:ext>
                            </a:extLst>
                          </a:blip>
                          <a:srcRect/>
                          <a:stretch>
                            <a:fillRect/>
                          </a:stretch>
                        </pic:blipFill>
                        <pic:spPr bwMode="auto">
                          <a:xfrm>
                            <a:off x="0" y="0"/>
                            <a:ext cx="3600450" cy="2460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2B7BE36" w14:textId="2B63283A" w:rsidR="00CB6254" w:rsidRDefault="00CB6254" w:rsidP="00D92D7F">
            <w:pPr>
              <w:jc w:val="center"/>
            </w:pPr>
            <w:r w:rsidRPr="00CB6254">
              <w:t xml:space="preserve">Mécanisme de salinisation des sols des terres basses (en bas de pente), due à une irrigation excessive © Claire König, </w:t>
            </w:r>
            <w:hyperlink r:id="rId3338" w:history="1">
              <w:r w:rsidRPr="00CB6254">
                <w:rPr>
                  <w:rStyle w:val="Lienhypertexte"/>
                </w:rPr>
                <w:t>www.futura-sciences.com</w:t>
              </w:r>
            </w:hyperlink>
          </w:p>
          <w:p w14:paraId="160AF398" w14:textId="77777777" w:rsidR="00CB6254" w:rsidRDefault="00CB6254" w:rsidP="00D92D7F">
            <w:pPr>
              <w:jc w:val="center"/>
            </w:pPr>
          </w:p>
          <w:p w14:paraId="6BEC57A5" w14:textId="2E08D118" w:rsidR="00CB6254" w:rsidRDefault="00CB6254" w:rsidP="00D92D7F">
            <w:pPr>
              <w:jc w:val="center"/>
            </w:pPr>
            <w:r w:rsidRPr="00CB6254">
              <w:rPr>
                <w:noProof/>
              </w:rPr>
              <w:drawing>
                <wp:inline distT="0" distB="0" distL="0" distR="0" wp14:anchorId="234A5765" wp14:editId="760770B7">
                  <wp:extent cx="1512887" cy="984250"/>
                  <wp:effectExtent l="0" t="0" r="0" b="6350"/>
                  <wp:docPr id="209926" name="Picture 6" descr="salinisatio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26" name="Picture 6" descr="salinisation2"/>
                          <pic:cNvPicPr>
                            <a:picLocks noChangeAspect="1" noChangeArrowheads="1"/>
                          </pic:cNvPicPr>
                        </pic:nvPicPr>
                        <pic:blipFill>
                          <a:blip r:embed="rId3339" cstate="print">
                            <a:extLst>
                              <a:ext uri="{28A0092B-C50C-407E-A947-70E740481C1C}">
                                <a14:useLocalDpi xmlns:a14="http://schemas.microsoft.com/office/drawing/2010/main" val="0"/>
                              </a:ext>
                            </a:extLst>
                          </a:blip>
                          <a:srcRect/>
                          <a:stretch>
                            <a:fillRect/>
                          </a:stretch>
                        </pic:blipFill>
                        <pic:spPr bwMode="auto">
                          <a:xfrm>
                            <a:off x="0" y="0"/>
                            <a:ext cx="1512887" cy="984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4530" w:type="dxa"/>
          </w:tcPr>
          <w:p w14:paraId="064FC10A" w14:textId="1B240AF2" w:rsidR="00CB6254" w:rsidRDefault="00CB6254" w:rsidP="00D92D7F">
            <w:pPr>
              <w:jc w:val="center"/>
            </w:pPr>
            <w:r w:rsidRPr="00CB6254">
              <w:rPr>
                <w:noProof/>
              </w:rPr>
              <w:drawing>
                <wp:inline distT="0" distB="0" distL="0" distR="0" wp14:anchorId="6AD3E957" wp14:editId="5EAB8FB6">
                  <wp:extent cx="1905000" cy="1428750"/>
                  <wp:effectExtent l="0" t="0" r="0" b="0"/>
                  <wp:docPr id="209930" name="Picture 10" descr="salinisation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30" name="Picture 10" descr="salinisation4"/>
                          <pic:cNvPicPr>
                            <a:picLocks noChangeAspect="1" noChangeArrowheads="1"/>
                          </pic:cNvPicPr>
                        </pic:nvPicPr>
                        <pic:blipFill>
                          <a:blip r:embed="rId3340">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0C49CB0" w14:textId="77777777" w:rsidR="00CB6254" w:rsidRDefault="00CB6254" w:rsidP="00D92D7F">
            <w:pPr>
              <w:jc w:val="center"/>
            </w:pPr>
          </w:p>
          <w:p w14:paraId="5444B1E1" w14:textId="3D2FBC60" w:rsidR="00CB6254" w:rsidRDefault="00CB6254" w:rsidP="00D92D7F">
            <w:pPr>
              <w:jc w:val="center"/>
            </w:pPr>
            <w:r w:rsidRPr="00CB6254">
              <w:rPr>
                <w:noProof/>
              </w:rPr>
              <w:drawing>
                <wp:inline distT="0" distB="0" distL="0" distR="0" wp14:anchorId="2827CE73" wp14:editId="1A27CE52">
                  <wp:extent cx="1943100" cy="1457325"/>
                  <wp:effectExtent l="0" t="0" r="0" b="9525"/>
                  <wp:docPr id="209931" name="Picture 11" descr="salinisation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31" name="Picture 11" descr="salinisation3"/>
                          <pic:cNvPicPr>
                            <a:picLocks noChangeAspect="1" noChangeArrowheads="1"/>
                          </pic:cNvPicPr>
                        </pic:nvPicPr>
                        <pic:blipFill>
                          <a:blip r:embed="rId3341">
                            <a:extLst>
                              <a:ext uri="{28A0092B-C50C-407E-A947-70E740481C1C}">
                                <a14:useLocalDpi xmlns:a14="http://schemas.microsoft.com/office/drawing/2010/main" val="0"/>
                              </a:ext>
                            </a:extLst>
                          </a:blip>
                          <a:srcRect/>
                          <a:stretch>
                            <a:fillRect/>
                          </a:stretch>
                        </pic:blipFill>
                        <pic:spPr bwMode="auto">
                          <a:xfrm>
                            <a:off x="0" y="0"/>
                            <a:ext cx="1943100" cy="1457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7C87771" w14:textId="77777777" w:rsidR="00CB6254" w:rsidRPr="00CB6254" w:rsidRDefault="00CB6254" w:rsidP="00CB6254">
            <w:pPr>
              <w:jc w:val="center"/>
            </w:pPr>
            <w:r w:rsidRPr="00CB6254">
              <w:t>Efflorescence de sels, à la surface du sol (remontée de sels).</w:t>
            </w:r>
          </w:p>
          <w:p w14:paraId="509AFD98" w14:textId="77777777" w:rsidR="00CB6254" w:rsidRPr="00CB6254" w:rsidRDefault="00CB6254" w:rsidP="00CB6254">
            <w:pPr>
              <w:jc w:val="center"/>
            </w:pPr>
            <w:r w:rsidRPr="00CB6254">
              <w:t>© AGRIRESEAU, Canada.</w:t>
            </w:r>
          </w:p>
          <w:p w14:paraId="6B5A8484" w14:textId="77777777" w:rsidR="00CB6254" w:rsidRDefault="00CB6254" w:rsidP="00D92D7F">
            <w:pPr>
              <w:jc w:val="center"/>
            </w:pPr>
          </w:p>
          <w:p w14:paraId="2F122D86" w14:textId="12C553C4" w:rsidR="00CB6254" w:rsidRDefault="00CB6254" w:rsidP="00D92D7F">
            <w:pPr>
              <w:jc w:val="center"/>
            </w:pPr>
          </w:p>
        </w:tc>
      </w:tr>
    </w:tbl>
    <w:p w14:paraId="547D982D" w14:textId="7143E550" w:rsidR="003C0303" w:rsidRDefault="003C0303" w:rsidP="00D92D7F">
      <w:pPr>
        <w:spacing w:after="0" w:line="240" w:lineRule="auto"/>
        <w:jc w:val="center"/>
      </w:pPr>
    </w:p>
    <w:p w14:paraId="4F7C6849" w14:textId="41B18701" w:rsidR="00EE088A" w:rsidRPr="00EE088A" w:rsidRDefault="00EE088A" w:rsidP="00EE088A">
      <w:pPr>
        <w:spacing w:after="0" w:line="240" w:lineRule="auto"/>
        <w:jc w:val="both"/>
      </w:pPr>
      <w:r w:rsidRPr="00EE088A">
        <w:rPr>
          <w:b/>
          <w:bCs/>
        </w:rPr>
        <w:t>Solutions au problème de la salinisation</w:t>
      </w:r>
    </w:p>
    <w:p w14:paraId="67CCAF07" w14:textId="77777777" w:rsidR="00EE088A" w:rsidRDefault="00EE088A" w:rsidP="00EE088A">
      <w:pPr>
        <w:spacing w:after="0" w:line="240" w:lineRule="auto"/>
        <w:jc w:val="both"/>
      </w:pPr>
    </w:p>
    <w:p w14:paraId="72B99D38" w14:textId="5D462A2C" w:rsidR="00EE088A" w:rsidRPr="00EE088A" w:rsidRDefault="00EE088A" w:rsidP="00EE088A">
      <w:pPr>
        <w:spacing w:after="0" w:line="240" w:lineRule="auto"/>
        <w:jc w:val="both"/>
      </w:pPr>
      <w:r w:rsidRPr="00EE088A">
        <w:rPr>
          <w:b/>
          <w:bCs/>
        </w:rPr>
        <w:t>1) Bonne gestion des eaux et des écoulements</w:t>
      </w:r>
      <w:r w:rsidRPr="00EE088A">
        <w:t xml:space="preserve"> </w:t>
      </w:r>
    </w:p>
    <w:p w14:paraId="3B09997E" w14:textId="77777777" w:rsidR="00EE088A" w:rsidRDefault="00EE088A" w:rsidP="00EE088A">
      <w:pPr>
        <w:spacing w:after="0" w:line="240" w:lineRule="auto"/>
        <w:jc w:val="both"/>
      </w:pPr>
    </w:p>
    <w:p w14:paraId="55D17257" w14:textId="52950C66" w:rsidR="00EE088A" w:rsidRPr="00EE088A" w:rsidRDefault="00EE088A" w:rsidP="00EE088A">
      <w:pPr>
        <w:spacing w:after="0" w:line="240" w:lineRule="auto"/>
        <w:jc w:val="both"/>
      </w:pPr>
      <w:r w:rsidRPr="00EE088A">
        <w:t>Une bonne gestion des ressources en eau implique à la fois que l'on empêche l'eau reçue dans les aires d'alimentation de percoler (diffuser) dans les eaux souterraines et que l'on maintienne à un niveau bas et sûr la nappe phréatique dans la zone d'émergence.</w:t>
      </w:r>
    </w:p>
    <w:p w14:paraId="5F1C5D54" w14:textId="77777777" w:rsidR="00EE088A" w:rsidRPr="00EE088A" w:rsidRDefault="00EE088A" w:rsidP="00EE088A">
      <w:pPr>
        <w:spacing w:after="0" w:line="240" w:lineRule="auto"/>
        <w:jc w:val="both"/>
      </w:pPr>
      <w:r w:rsidRPr="00EE088A">
        <w:t>Les coûteuses solutions mécaniques, tel l'aménagement de réseaux de drainage souterrains, doivent être réservées aux terrains les plus touchés.</w:t>
      </w:r>
    </w:p>
    <w:p w14:paraId="5E3544AB" w14:textId="77777777" w:rsidR="00EE088A" w:rsidRPr="00EE088A" w:rsidRDefault="00EE088A" w:rsidP="00EE088A">
      <w:pPr>
        <w:spacing w:after="0" w:line="240" w:lineRule="auto"/>
        <w:jc w:val="both"/>
      </w:pPr>
      <w:r w:rsidRPr="00EE088A">
        <w:t> </w:t>
      </w:r>
    </w:p>
    <w:p w14:paraId="3C983634" w14:textId="77777777" w:rsidR="00EE088A" w:rsidRPr="00EE088A" w:rsidRDefault="00EE088A" w:rsidP="00EE088A">
      <w:pPr>
        <w:spacing w:after="0" w:line="240" w:lineRule="auto"/>
        <w:jc w:val="both"/>
      </w:pPr>
      <w:r w:rsidRPr="00EE088A">
        <w:rPr>
          <w:b/>
          <w:bCs/>
        </w:rPr>
        <w:t>2) Bonnes</w:t>
      </w:r>
      <w:r w:rsidRPr="00EE088A">
        <w:t xml:space="preserve"> </w:t>
      </w:r>
      <w:r w:rsidRPr="00EE088A">
        <w:rPr>
          <w:b/>
          <w:bCs/>
        </w:rPr>
        <w:t>techniques culturales</w:t>
      </w:r>
      <w:r w:rsidRPr="00EE088A">
        <w:t xml:space="preserve"> </w:t>
      </w:r>
    </w:p>
    <w:p w14:paraId="6CF3BA7C" w14:textId="77777777" w:rsidR="00EE088A" w:rsidRDefault="00EE088A" w:rsidP="00EE088A">
      <w:pPr>
        <w:spacing w:after="0" w:line="240" w:lineRule="auto"/>
        <w:jc w:val="both"/>
      </w:pPr>
    </w:p>
    <w:p w14:paraId="366439D0" w14:textId="4A099707" w:rsidR="00EE088A" w:rsidRPr="00EE088A" w:rsidRDefault="00EE088A" w:rsidP="00EE088A">
      <w:pPr>
        <w:spacing w:after="0" w:line="240" w:lineRule="auto"/>
        <w:jc w:val="both"/>
      </w:pPr>
      <w:r w:rsidRPr="00EE088A">
        <w:t xml:space="preserve">Le choix de </w:t>
      </w:r>
      <w:r w:rsidRPr="00EE088A">
        <w:rPr>
          <w:b/>
          <w:bCs/>
        </w:rPr>
        <w:t>méthodes culturales,</w:t>
      </w:r>
      <w:r w:rsidRPr="00EE088A">
        <w:t xml:space="preserve"> visant la restauration de sols salinisés, dépend de la gravité de la salinisation, de son étendue et des caractéristiques locales. Il faut généralement privilégier</w:t>
      </w:r>
      <w:r w:rsidRPr="00EE088A">
        <w:rPr>
          <w:b/>
          <w:bCs/>
        </w:rPr>
        <w:t xml:space="preserve"> une approche biologique</w:t>
      </w:r>
      <w:r w:rsidRPr="00EE088A">
        <w:t xml:space="preserve">, en faisant appel à des régimes particuliers d'assolement et de travail du sol. </w:t>
      </w:r>
    </w:p>
    <w:p w14:paraId="3E0AC0FF" w14:textId="77777777" w:rsidR="00EE088A" w:rsidRPr="00EE088A" w:rsidRDefault="00EE088A" w:rsidP="00EE088A">
      <w:pPr>
        <w:spacing w:after="0" w:line="240" w:lineRule="auto"/>
        <w:jc w:val="both"/>
      </w:pPr>
      <w:r w:rsidRPr="00EE088A">
        <w:t xml:space="preserve">On peut empêcher l'eau de s'infiltrer dans le sol des zones d'émergence en dérivant l'eau de surface vers des étangs situés au bas des pentes. </w:t>
      </w:r>
      <w:r w:rsidRPr="00EE088A">
        <w:rPr>
          <w:b/>
          <w:bCs/>
        </w:rPr>
        <w:t>Les cultures fourragères et les plantes vivaces, la luzerne,</w:t>
      </w:r>
      <w:r w:rsidRPr="00EE088A">
        <w:t xml:space="preserve"> peuvent jouer un rôle utile, en raison de leur saison de croissance plus longue et de leur capacité d'absorber une plus grande quantité d'eau que les plantes annuelles et ce, à une plus grande profondeur. Ainsi, les cultures fourragères empêchent l'accumulation d'eau souterraine, abaissent la nappe phréatique et assèchent le sous-sol. En outre, elles accroissent la teneur en matière organique du sol et en améliorent la structure, ce qui réduit le risque d'érosion.</w:t>
      </w:r>
    </w:p>
    <w:p w14:paraId="3D9AC7B6" w14:textId="77777777" w:rsidR="00EE088A" w:rsidRPr="00EE088A" w:rsidRDefault="00EE088A" w:rsidP="00EE088A">
      <w:pPr>
        <w:spacing w:after="0" w:line="240" w:lineRule="auto"/>
        <w:jc w:val="both"/>
      </w:pPr>
      <w:r w:rsidRPr="00EE088A">
        <w:t>Ensemencer des cultures tolérantes au sel dans les terrains ou la gravité de la salinisation est raisonnable.</w:t>
      </w:r>
    </w:p>
    <w:p w14:paraId="54C12EA3" w14:textId="3D99F371" w:rsidR="003C0303" w:rsidRDefault="00EE088A" w:rsidP="00EE088A">
      <w:pPr>
        <w:spacing w:after="0" w:line="240" w:lineRule="auto"/>
        <w:jc w:val="both"/>
      </w:pPr>
      <w:r w:rsidRPr="00EE088A">
        <w:t xml:space="preserve">Réduire la mise en jachère par </w:t>
      </w:r>
      <w:r w:rsidRPr="00EE088A">
        <w:rPr>
          <w:b/>
          <w:bCs/>
        </w:rPr>
        <w:t xml:space="preserve">la culture continue </w:t>
      </w:r>
      <w:r w:rsidRPr="00EE088A">
        <w:t xml:space="preserve">(terrains peu salins) ou par l'établissement d'une couverture végétale permanente et de cultures tolérantes au sel (secteurs à risque élevé ou salinisation grave). Réduire le travail profond du sol par </w:t>
      </w:r>
      <w:r w:rsidRPr="00EE088A">
        <w:rPr>
          <w:b/>
          <w:bCs/>
        </w:rPr>
        <w:t>l'adoption de non-labour.</w:t>
      </w:r>
      <w:r w:rsidRPr="00EE088A">
        <w:t xml:space="preserve"> Planter des </w:t>
      </w:r>
      <w:r w:rsidRPr="00EE088A">
        <w:rPr>
          <w:b/>
          <w:bCs/>
        </w:rPr>
        <w:t>cultures fourragères</w:t>
      </w:r>
      <w:r w:rsidRPr="00EE088A">
        <w:t xml:space="preserve"> ou des </w:t>
      </w:r>
      <w:r w:rsidRPr="00EE088A">
        <w:rPr>
          <w:b/>
          <w:bCs/>
        </w:rPr>
        <w:t>arbres</w:t>
      </w:r>
      <w:r w:rsidRPr="00EE088A">
        <w:t xml:space="preserve"> près des plans d'eau </w:t>
      </w:r>
      <w:r w:rsidRPr="00EE088A">
        <w:lastRenderedPageBreak/>
        <w:t xml:space="preserve">pour favoriser l'absorption de l'eau du sol. Retourner au sol le fumier et les résidus de culture : </w:t>
      </w:r>
      <w:r w:rsidRPr="00EE088A">
        <w:rPr>
          <w:b/>
          <w:bCs/>
        </w:rPr>
        <w:t>un sol riche en matière organique pourra retenir davantage d'eau.</w:t>
      </w:r>
      <w:r w:rsidRPr="00EE088A">
        <w:t xml:space="preserve"> Prévenir la formation de flaques au printemps. Installer des réseaux de drainage artificiels en certains endroits si nécessaire. Eliminer les infiltrations d'eau dues aux canaux d'irrigation, aux mares artificielles et aux étangs. Inciter les agriculteurs à établir un couvert végétal permanent sur leurs terres</w:t>
      </w:r>
      <w:r>
        <w:t xml:space="preserve"> </w:t>
      </w:r>
      <w:r w:rsidRPr="00EE088A">
        <w:t>marginales ou à transformer ces dernières en habitats pour la faune.</w:t>
      </w:r>
    </w:p>
    <w:p w14:paraId="561D0CE4" w14:textId="338474AD" w:rsidR="00EE088A" w:rsidRDefault="00EE088A" w:rsidP="00EE088A">
      <w:pPr>
        <w:spacing w:after="0" w:line="240" w:lineRule="auto"/>
        <w:jc w:val="both"/>
      </w:pPr>
    </w:p>
    <w:p w14:paraId="7B7CCF42" w14:textId="5306B89C" w:rsidR="00EE088A" w:rsidRDefault="00EE088A" w:rsidP="00EE088A">
      <w:pPr>
        <w:spacing w:after="0" w:line="240" w:lineRule="auto"/>
      </w:pPr>
      <w:r>
        <w:t xml:space="preserve">Source : </w:t>
      </w:r>
      <w:r w:rsidRPr="00EE088A">
        <w:rPr>
          <w:i/>
          <w:iCs/>
        </w:rPr>
        <w:t>Cours d'</w:t>
      </w:r>
      <w:hyperlink r:id="rId3342" w:history="1">
        <w:r w:rsidRPr="00EE088A">
          <w:rPr>
            <w:rStyle w:val="Lienhypertexte"/>
            <w:i/>
            <w:iCs/>
          </w:rPr>
          <w:t>hydrologie</w:t>
        </w:r>
      </w:hyperlink>
      <w:r w:rsidRPr="00EE088A">
        <w:rPr>
          <w:i/>
          <w:iCs/>
        </w:rPr>
        <w:t xml:space="preserve"> du Prof. Musy, EPFL, Lausanne</w:t>
      </w:r>
      <w:r>
        <w:t xml:space="preserve">, </w:t>
      </w:r>
      <w:hyperlink r:id="rId3343" w:history="1">
        <w:r w:rsidRPr="00EE088A">
          <w:rPr>
            <w:rStyle w:val="Lienhypertexte"/>
          </w:rPr>
          <w:t>http://echo2.epfl.ch/e-drologie/general/tdmchapitres.html</w:t>
        </w:r>
      </w:hyperlink>
    </w:p>
    <w:p w14:paraId="4344FD3D" w14:textId="77777777" w:rsidR="00EE088A" w:rsidRDefault="00EE088A" w:rsidP="00EE088A">
      <w:pPr>
        <w:spacing w:after="0" w:line="240" w:lineRule="auto"/>
        <w:jc w:val="both"/>
      </w:pPr>
    </w:p>
    <w:p w14:paraId="0669E051" w14:textId="75C16BA7" w:rsidR="00300E5E" w:rsidRDefault="00671DDC" w:rsidP="00671DDC">
      <w:pPr>
        <w:pStyle w:val="Titre1"/>
      </w:pPr>
      <w:bookmarkStart w:id="251" w:name="_Toc139181542"/>
      <w:r w:rsidRPr="00671DDC">
        <w:t>Protection des plants, des pépinières</w:t>
      </w:r>
      <w:r>
        <w:t>,</w:t>
      </w:r>
      <w:r w:rsidRPr="00671DDC">
        <w:t xml:space="preserve"> de la plantation</w:t>
      </w:r>
      <w:r>
        <w:t xml:space="preserve"> des champs</w:t>
      </w:r>
      <w:bookmarkEnd w:id="251"/>
    </w:p>
    <w:p w14:paraId="1ECF1165" w14:textId="77777777" w:rsidR="00671DDC" w:rsidRDefault="00671DDC" w:rsidP="00EB23DE">
      <w:pPr>
        <w:spacing w:after="0" w:line="240" w:lineRule="auto"/>
      </w:pPr>
    </w:p>
    <w:p w14:paraId="57645E6B" w14:textId="795E9EF8" w:rsidR="00EB23DE" w:rsidRDefault="00924E39" w:rsidP="00EB23DE">
      <w:pPr>
        <w:pStyle w:val="Titre2"/>
      </w:pPr>
      <w:bookmarkStart w:id="252" w:name="_Toc139181543"/>
      <w:r>
        <w:t>H</w:t>
      </w:r>
      <w:r w:rsidRPr="00EB23DE">
        <w:t>aies vives</w:t>
      </w:r>
      <w:r>
        <w:t> : p</w:t>
      </w:r>
      <w:r w:rsidR="00EB23DE">
        <w:t>rotection contre les vols, le broutage</w:t>
      </w:r>
      <w:r>
        <w:t>, d</w:t>
      </w:r>
      <w:r w:rsidR="00EB23DE">
        <w:t>élimitation de parcelles </w:t>
      </w:r>
      <w:r>
        <w:t>…</w:t>
      </w:r>
      <w:bookmarkEnd w:id="252"/>
    </w:p>
    <w:p w14:paraId="1AAD5A07" w14:textId="632F10AA" w:rsidR="00EB23DE" w:rsidRDefault="00EB23DE" w:rsidP="00EB23DE">
      <w:pPr>
        <w:spacing w:after="0" w:line="240" w:lineRule="auto"/>
      </w:pPr>
    </w:p>
    <w:p w14:paraId="726776D3" w14:textId="77777777" w:rsidR="00566F5C" w:rsidRPr="00566F5C" w:rsidRDefault="00566F5C" w:rsidP="00566F5C">
      <w:pPr>
        <w:spacing w:after="0" w:line="240" w:lineRule="auto"/>
        <w:jc w:val="both"/>
      </w:pPr>
      <w:r w:rsidRPr="00566F5C">
        <w:t>Elles sont constituées de deux ou trois lignes d’herbes (</w:t>
      </w:r>
      <w:r w:rsidRPr="00566F5C">
        <w:rPr>
          <w:i/>
          <w:iCs/>
        </w:rPr>
        <w:t xml:space="preserve">Andropogon </w:t>
      </w:r>
      <w:r w:rsidRPr="00566F5C">
        <w:t>ou</w:t>
      </w:r>
      <w:r w:rsidRPr="00566F5C">
        <w:rPr>
          <w:i/>
          <w:iCs/>
        </w:rPr>
        <w:t xml:space="preserve"> Pennisetum) ou d’arbustes plantés en quinconce.</w:t>
      </w:r>
    </w:p>
    <w:p w14:paraId="25871B30" w14:textId="77777777" w:rsidR="00F708E8" w:rsidRDefault="00F708E8" w:rsidP="00566F5C">
      <w:pPr>
        <w:spacing w:after="0" w:line="240" w:lineRule="auto"/>
        <w:jc w:val="both"/>
      </w:pPr>
    </w:p>
    <w:p w14:paraId="5375DCDF" w14:textId="62F67F86" w:rsidR="00F708E8" w:rsidRDefault="00566F5C" w:rsidP="00566F5C">
      <w:pPr>
        <w:spacing w:after="0" w:line="240" w:lineRule="auto"/>
        <w:jc w:val="both"/>
      </w:pPr>
      <w:r w:rsidRPr="00566F5C">
        <w:t>Les haies vives permettent</w:t>
      </w:r>
      <w:r>
        <w:t> :</w:t>
      </w:r>
      <w:r w:rsidR="00924E39">
        <w:t xml:space="preserve"> </w:t>
      </w:r>
    </w:p>
    <w:p w14:paraId="1370A1A9" w14:textId="77777777" w:rsidR="00F708E8" w:rsidRDefault="00F708E8" w:rsidP="00566F5C">
      <w:pPr>
        <w:spacing w:after="0" w:line="240" w:lineRule="auto"/>
        <w:jc w:val="both"/>
      </w:pPr>
    </w:p>
    <w:p w14:paraId="0646725E" w14:textId="308E7FE2" w:rsidR="00566F5C" w:rsidRDefault="00F708E8" w:rsidP="0022016D">
      <w:pPr>
        <w:pStyle w:val="Paragraphedeliste"/>
        <w:numPr>
          <w:ilvl w:val="0"/>
          <w:numId w:val="31"/>
        </w:numPr>
        <w:spacing w:after="0" w:line="240" w:lineRule="auto"/>
        <w:jc w:val="both"/>
      </w:pPr>
      <w:r>
        <w:t>D</w:t>
      </w:r>
      <w:r w:rsidR="00566F5C" w:rsidRPr="00566F5C">
        <w:t>e délimiter des parcelles</w:t>
      </w:r>
      <w:r>
        <w:t xml:space="preserve"> (</w:t>
      </w:r>
      <w:r w:rsidR="00CB3AF3">
        <w:t>par exemple,</w:t>
      </w:r>
      <w:r w:rsidR="00566F5C" w:rsidRPr="00566F5C">
        <w:t xml:space="preserve"> composées d’arbres fruitiers (jujubiers …)</w:t>
      </w:r>
      <w:r>
        <w:t>,</w:t>
      </w:r>
      <w:r w:rsidR="00566F5C" w:rsidRPr="00566F5C">
        <w:t xml:space="preserve"> de cactus</w:t>
      </w:r>
      <w:r>
        <w:t xml:space="preserve"> …).</w:t>
      </w:r>
    </w:p>
    <w:p w14:paraId="5191C785" w14:textId="6D93E55A" w:rsidR="00F708E8" w:rsidRDefault="00F708E8" w:rsidP="0022016D">
      <w:pPr>
        <w:pStyle w:val="Paragraphedeliste"/>
        <w:numPr>
          <w:ilvl w:val="0"/>
          <w:numId w:val="31"/>
        </w:numPr>
        <w:spacing w:after="0" w:line="240" w:lineRule="auto"/>
        <w:jc w:val="both"/>
      </w:pPr>
      <w:r>
        <w:t>De protéger des cultures contre le broutage par des herbivores, si elles sont défensives et épineuses.</w:t>
      </w:r>
    </w:p>
    <w:p w14:paraId="15E61442" w14:textId="2CA60BDA" w:rsidR="00F708E8" w:rsidRDefault="00F708E8" w:rsidP="0022016D">
      <w:pPr>
        <w:pStyle w:val="Paragraphedeliste"/>
        <w:numPr>
          <w:ilvl w:val="0"/>
          <w:numId w:val="31"/>
        </w:numPr>
        <w:spacing w:after="0" w:line="240" w:lineRule="auto"/>
        <w:jc w:val="both"/>
      </w:pPr>
      <w:r>
        <w:t>De protéger des biens contre le vol, si elles sont défensives et épineuses.</w:t>
      </w:r>
    </w:p>
    <w:p w14:paraId="79217CFD" w14:textId="4B2ED76B" w:rsidR="00F708E8" w:rsidRDefault="00F708E8" w:rsidP="0022016D">
      <w:pPr>
        <w:pStyle w:val="Paragraphedeliste"/>
        <w:numPr>
          <w:ilvl w:val="0"/>
          <w:numId w:val="31"/>
        </w:numPr>
        <w:spacing w:after="0" w:line="240" w:lineRule="auto"/>
        <w:jc w:val="both"/>
      </w:pPr>
      <w:r>
        <w:t>De fournir de la nourriture, si les arbustes, qui la constituent, sont fruitiers.</w:t>
      </w:r>
    </w:p>
    <w:p w14:paraId="5F0B0401" w14:textId="78894727" w:rsidR="000D5B5A" w:rsidRPr="00566F5C" w:rsidRDefault="000D5B5A" w:rsidP="0022016D">
      <w:pPr>
        <w:pStyle w:val="Paragraphedeliste"/>
        <w:numPr>
          <w:ilvl w:val="0"/>
          <w:numId w:val="31"/>
        </w:numPr>
        <w:spacing w:after="0" w:line="240" w:lineRule="auto"/>
        <w:jc w:val="both"/>
      </w:pPr>
      <w:r>
        <w:t>De fournir du nectar aux polinisateurs (abeilles …), si les arbustes sont mellifères (</w:t>
      </w:r>
      <w:r w:rsidRPr="000D5B5A">
        <w:rPr>
          <w:i/>
          <w:iCs/>
        </w:rPr>
        <w:t>Senna corymbosa</w:t>
      </w:r>
      <w:r>
        <w:t xml:space="preserve"> …) …</w:t>
      </w:r>
    </w:p>
    <w:p w14:paraId="4186DB32" w14:textId="77777777" w:rsidR="00F708E8" w:rsidRDefault="00F708E8" w:rsidP="00566F5C">
      <w:pPr>
        <w:spacing w:after="0" w:line="240" w:lineRule="auto"/>
        <w:jc w:val="both"/>
      </w:pPr>
    </w:p>
    <w:p w14:paraId="56DF8016" w14:textId="3FEA8D19" w:rsidR="00566F5C" w:rsidRDefault="00566F5C" w:rsidP="00566F5C">
      <w:pPr>
        <w:spacing w:after="0" w:line="240" w:lineRule="auto"/>
        <w:jc w:val="both"/>
        <w:rPr>
          <w:lang w:val="it-IT"/>
        </w:rPr>
      </w:pPr>
      <w:r w:rsidRPr="00566F5C">
        <w:rPr>
          <w:b/>
          <w:bCs/>
        </w:rPr>
        <w:t>Principe</w:t>
      </w:r>
      <w:r w:rsidRPr="00566F5C">
        <w:t xml:space="preserve"> On réalise tout autour des parcelles des plantations en</w:t>
      </w:r>
      <w:r>
        <w:t xml:space="preserve"> </w:t>
      </w:r>
      <w:r w:rsidRPr="00566F5C">
        <w:t>quinconce sur deux lignes avec des écartements de 0,25m ou</w:t>
      </w:r>
      <w:r>
        <w:t xml:space="preserve"> </w:t>
      </w:r>
      <w:r w:rsidRPr="00566F5C">
        <w:t>0,30m. Les espèces les plus aptes et les plus couramment utilisées</w:t>
      </w:r>
      <w:r>
        <w:t xml:space="preserve"> </w:t>
      </w:r>
      <w:r w:rsidRPr="00566F5C">
        <w:t xml:space="preserve">dans le Sahel sont </w:t>
      </w:r>
      <w:r w:rsidRPr="00566F5C">
        <w:rPr>
          <w:i/>
          <w:iCs/>
        </w:rPr>
        <w:t>Acacia nilotica, Acacia senegal, Ziziphus</w:t>
      </w:r>
      <w:r>
        <w:t xml:space="preserve"> </w:t>
      </w:r>
      <w:r w:rsidRPr="00566F5C">
        <w:rPr>
          <w:i/>
          <w:iCs/>
          <w:lang w:val="it-IT"/>
        </w:rPr>
        <w:t>mauritiana, Bauhinia rufescens</w:t>
      </w:r>
      <w:r>
        <w:rPr>
          <w:i/>
          <w:iCs/>
          <w:lang w:val="it-IT"/>
        </w:rPr>
        <w:t>,</w:t>
      </w:r>
      <w:r w:rsidRPr="00566F5C">
        <w:rPr>
          <w:lang w:val="it-IT"/>
        </w:rPr>
        <w:t xml:space="preserve"> </w:t>
      </w:r>
      <w:r w:rsidRPr="00566F5C">
        <w:rPr>
          <w:i/>
          <w:iCs/>
          <w:lang w:val="it-IT"/>
        </w:rPr>
        <w:t xml:space="preserve">Cassia sieberiana </w:t>
      </w:r>
      <w:r w:rsidRPr="00566F5C">
        <w:rPr>
          <w:lang w:val="it-IT"/>
        </w:rPr>
        <w:t>(photo)</w:t>
      </w:r>
      <w:r>
        <w:rPr>
          <w:lang w:val="it-IT"/>
        </w:rPr>
        <w:t xml:space="preserve">, voire </w:t>
      </w:r>
      <w:r w:rsidRPr="00566F5C">
        <w:rPr>
          <w:i/>
          <w:iCs/>
        </w:rPr>
        <w:t>Acacia nilotica</w:t>
      </w:r>
      <w:r w:rsidRPr="00566F5C">
        <w:rPr>
          <w:lang w:val="it-IT"/>
        </w:rPr>
        <w:t xml:space="preserve"> </w:t>
      </w:r>
      <w:r>
        <w:rPr>
          <w:lang w:val="it-IT"/>
        </w:rPr>
        <w:t>...</w:t>
      </w:r>
    </w:p>
    <w:p w14:paraId="2433C928" w14:textId="77777777" w:rsidR="00B224B3" w:rsidRPr="00566F5C" w:rsidRDefault="00B224B3" w:rsidP="00566F5C">
      <w:pPr>
        <w:spacing w:after="0" w:line="240" w:lineRule="auto"/>
        <w:jc w:val="both"/>
      </w:pPr>
    </w:p>
    <w:p w14:paraId="45BDEAC0" w14:textId="71B8CB89" w:rsidR="00566F5C" w:rsidRDefault="00566F5C" w:rsidP="00566F5C">
      <w:pPr>
        <w:spacing w:after="0" w:line="240" w:lineRule="auto"/>
        <w:jc w:val="both"/>
      </w:pPr>
      <w:r w:rsidRPr="00566F5C">
        <w:rPr>
          <w:b/>
          <w:bCs/>
        </w:rPr>
        <w:t xml:space="preserve">Prérequis </w:t>
      </w:r>
      <w:r w:rsidRPr="00566F5C">
        <w:t>disponibilité d’un point d’eau permettant l’arrosage</w:t>
      </w:r>
      <w:r>
        <w:t xml:space="preserve"> </w:t>
      </w:r>
      <w:r w:rsidRPr="00566F5C">
        <w:t>et d’une mobilisation de la population contre la divagation</w:t>
      </w:r>
      <w:r>
        <w:t xml:space="preserve"> </w:t>
      </w:r>
      <w:r w:rsidRPr="00566F5C">
        <w:t>animale.</w:t>
      </w:r>
    </w:p>
    <w:p w14:paraId="596535F6" w14:textId="77777777" w:rsidR="00B224B3" w:rsidRPr="00566F5C" w:rsidRDefault="00B224B3" w:rsidP="00566F5C">
      <w:pPr>
        <w:spacing w:after="0" w:line="240" w:lineRule="auto"/>
        <w:jc w:val="both"/>
      </w:pPr>
    </w:p>
    <w:p w14:paraId="00D081A8" w14:textId="4C42D683" w:rsidR="00566F5C" w:rsidRPr="00566F5C" w:rsidRDefault="00566F5C" w:rsidP="00566F5C">
      <w:pPr>
        <w:spacing w:after="0" w:line="240" w:lineRule="auto"/>
        <w:jc w:val="both"/>
      </w:pPr>
      <w:r w:rsidRPr="00566F5C">
        <w:rPr>
          <w:b/>
          <w:bCs/>
        </w:rPr>
        <w:t xml:space="preserve">Effets concrets </w:t>
      </w:r>
      <w:r w:rsidRPr="00566F5C">
        <w:t>diminution du ruissellement et des érosions</w:t>
      </w:r>
      <w:r>
        <w:t xml:space="preserve"> </w:t>
      </w:r>
      <w:r w:rsidRPr="00566F5C">
        <w:t>hydrique et éolienne; protection des champs de culture contre</w:t>
      </w:r>
      <w:r>
        <w:t xml:space="preserve"> </w:t>
      </w:r>
      <w:r w:rsidRPr="00566F5C">
        <w:t>les animaux au bout de 3-4 ans (embocagement) et productio</w:t>
      </w:r>
      <w:r>
        <w:t xml:space="preserve">n </w:t>
      </w:r>
      <w:r w:rsidRPr="00566F5C">
        <w:t>des biens et services (bois, fourrage, fruit).</w:t>
      </w:r>
    </w:p>
    <w:p w14:paraId="5A0AAF45" w14:textId="77777777" w:rsidR="00566F5C" w:rsidRPr="00566F5C" w:rsidRDefault="00566F5C" w:rsidP="00566F5C">
      <w:pPr>
        <w:spacing w:after="0" w:line="240" w:lineRule="auto"/>
        <w:jc w:val="both"/>
      </w:pPr>
      <w:r w:rsidRPr="00566F5C">
        <w:rPr>
          <w:b/>
          <w:bCs/>
        </w:rPr>
        <w:t>Coût</w:t>
      </w:r>
      <w:r w:rsidRPr="00566F5C">
        <w:t xml:space="preserve"> petit matériel de pépinière et plants. Environ 350 €/ha.</w:t>
      </w:r>
    </w:p>
    <w:p w14:paraId="1F9F2313" w14:textId="1AD40D7D" w:rsidR="00EB23DE" w:rsidRDefault="00EB23DE" w:rsidP="00A956A3">
      <w:pPr>
        <w:spacing w:after="0" w:line="240" w:lineRule="auto"/>
        <w:jc w:val="both"/>
      </w:pPr>
    </w:p>
    <w:p w14:paraId="43CE31C3" w14:textId="550A0050" w:rsidR="00B224B3" w:rsidRPr="00B224B3" w:rsidRDefault="00B224B3" w:rsidP="00B224B3">
      <w:pPr>
        <w:spacing w:after="0" w:line="240" w:lineRule="auto"/>
        <w:jc w:val="both"/>
        <w:rPr>
          <w:b/>
          <w:bCs/>
        </w:rPr>
      </w:pPr>
      <w:r w:rsidRPr="00B224B3">
        <w:rPr>
          <w:b/>
          <w:bCs/>
        </w:rPr>
        <w:t>Avantages et inconvénients</w:t>
      </w:r>
    </w:p>
    <w:p w14:paraId="5857E380" w14:textId="77777777" w:rsidR="00B224B3" w:rsidRDefault="00B224B3" w:rsidP="00B224B3">
      <w:pPr>
        <w:spacing w:after="0" w:line="240" w:lineRule="auto"/>
        <w:jc w:val="both"/>
      </w:pPr>
    </w:p>
    <w:p w14:paraId="3EBF814A" w14:textId="77777777" w:rsidR="00B224B3" w:rsidRPr="002820DA" w:rsidRDefault="00B224B3" w:rsidP="00B224B3">
      <w:pPr>
        <w:spacing w:after="0" w:line="240" w:lineRule="auto"/>
        <w:jc w:val="both"/>
        <w:rPr>
          <w:u w:val="single"/>
        </w:rPr>
      </w:pPr>
      <w:r w:rsidRPr="00491070">
        <w:rPr>
          <w:u w:val="single"/>
        </w:rPr>
        <w:t>Impacts environnementaux positifs de la plantation des haies</w:t>
      </w:r>
    </w:p>
    <w:p w14:paraId="53CFBAEA" w14:textId="77777777" w:rsidR="00B224B3" w:rsidRPr="00491070" w:rsidRDefault="00B224B3" w:rsidP="00B224B3">
      <w:pPr>
        <w:spacing w:after="0" w:line="240" w:lineRule="auto"/>
        <w:jc w:val="both"/>
      </w:pPr>
    </w:p>
    <w:p w14:paraId="63428456" w14:textId="77777777" w:rsidR="00B224B3" w:rsidRPr="00491070" w:rsidRDefault="00B224B3" w:rsidP="00B224B3">
      <w:pPr>
        <w:numPr>
          <w:ilvl w:val="0"/>
          <w:numId w:val="86"/>
        </w:numPr>
        <w:spacing w:after="0" w:line="240" w:lineRule="auto"/>
        <w:jc w:val="both"/>
      </w:pPr>
      <w:r w:rsidRPr="00491070">
        <w:t xml:space="preserve">Amélioration du microclimat (effet de brise-vent). </w:t>
      </w:r>
    </w:p>
    <w:p w14:paraId="09DBD593" w14:textId="77777777" w:rsidR="00B224B3" w:rsidRPr="00491070" w:rsidRDefault="00B224B3" w:rsidP="00B224B3">
      <w:pPr>
        <w:numPr>
          <w:ilvl w:val="0"/>
          <w:numId w:val="86"/>
        </w:numPr>
        <w:spacing w:after="0" w:line="240" w:lineRule="auto"/>
        <w:jc w:val="both"/>
      </w:pPr>
      <w:r w:rsidRPr="00491070">
        <w:t xml:space="preserve">Réduction de l'érosion hydrique et éolienne. </w:t>
      </w:r>
    </w:p>
    <w:p w14:paraId="519D2551" w14:textId="77777777" w:rsidR="00B224B3" w:rsidRPr="00491070" w:rsidRDefault="00B224B3" w:rsidP="00B224B3">
      <w:pPr>
        <w:numPr>
          <w:ilvl w:val="0"/>
          <w:numId w:val="86"/>
        </w:numPr>
        <w:spacing w:after="0" w:line="240" w:lineRule="auto"/>
        <w:jc w:val="both"/>
      </w:pPr>
      <w:r w:rsidRPr="00491070">
        <w:t xml:space="preserve">Amélioration de l'infiltration d'eau de pluie. </w:t>
      </w:r>
    </w:p>
    <w:p w14:paraId="14AD881E" w14:textId="77777777" w:rsidR="00B224B3" w:rsidRPr="00491070" w:rsidRDefault="00B224B3" w:rsidP="00B224B3">
      <w:pPr>
        <w:numPr>
          <w:ilvl w:val="0"/>
          <w:numId w:val="86"/>
        </w:numPr>
        <w:spacing w:after="0" w:line="240" w:lineRule="auto"/>
        <w:jc w:val="both"/>
      </w:pPr>
      <w:r w:rsidRPr="00491070">
        <w:t xml:space="preserve">Augmentation de la biodiversité des plantes et des animaux (de nombreuses espèces spontanées dans la haie qui est l'habitat de différentes espèces). </w:t>
      </w:r>
    </w:p>
    <w:p w14:paraId="604BABC2" w14:textId="77777777" w:rsidR="00B224B3" w:rsidRPr="00491070" w:rsidRDefault="00B224B3" w:rsidP="00B224B3">
      <w:pPr>
        <w:numPr>
          <w:ilvl w:val="0"/>
          <w:numId w:val="86"/>
        </w:numPr>
        <w:spacing w:after="0" w:line="240" w:lineRule="auto"/>
        <w:jc w:val="both"/>
      </w:pPr>
      <w:r w:rsidRPr="00491070">
        <w:t xml:space="preserve">Fait partie de la diversité du paysage. </w:t>
      </w:r>
    </w:p>
    <w:p w14:paraId="5209088B" w14:textId="77777777" w:rsidR="00B224B3" w:rsidRPr="00491070" w:rsidRDefault="00B224B3" w:rsidP="00B224B3">
      <w:pPr>
        <w:numPr>
          <w:ilvl w:val="0"/>
          <w:numId w:val="86"/>
        </w:numPr>
        <w:spacing w:after="0" w:line="240" w:lineRule="auto"/>
        <w:jc w:val="both"/>
      </w:pPr>
      <w:r w:rsidRPr="00491070">
        <w:t xml:space="preserve">Amélioration de la gestion et la rotation des pâtures. </w:t>
      </w:r>
    </w:p>
    <w:p w14:paraId="3F9998E2" w14:textId="4D5F84B9" w:rsidR="00B224B3" w:rsidRPr="00491070" w:rsidRDefault="00B224B3" w:rsidP="00B224B3">
      <w:pPr>
        <w:numPr>
          <w:ilvl w:val="0"/>
          <w:numId w:val="86"/>
        </w:numPr>
        <w:spacing w:after="0" w:line="240" w:lineRule="auto"/>
        <w:jc w:val="both"/>
      </w:pPr>
      <w:r w:rsidRPr="00491070">
        <w:t>Certains types de couverture peuvent inclure des espèces économiquement productives, arbres fruitiers (par exemple</w:t>
      </w:r>
      <w:r w:rsidRPr="00491070">
        <w:rPr>
          <w:b/>
          <w:bCs/>
        </w:rPr>
        <w:t xml:space="preserve"> </w:t>
      </w:r>
      <w:r w:rsidRPr="00491070">
        <w:t>pruniers (Europe), sisal, agrumes (pays chaud) etc</w:t>
      </w:r>
      <w:r>
        <w:t>.</w:t>
      </w:r>
      <w:r w:rsidRPr="00491070">
        <w:t xml:space="preserve">) … </w:t>
      </w:r>
    </w:p>
    <w:p w14:paraId="028AEE85" w14:textId="77777777" w:rsidR="00B224B3" w:rsidRDefault="00B224B3" w:rsidP="00B224B3">
      <w:pPr>
        <w:spacing w:after="0" w:line="240" w:lineRule="auto"/>
        <w:jc w:val="both"/>
      </w:pPr>
    </w:p>
    <w:p w14:paraId="26ED24AF" w14:textId="77777777" w:rsidR="00B224B3" w:rsidRPr="002820DA" w:rsidRDefault="00B224B3" w:rsidP="00B224B3">
      <w:pPr>
        <w:spacing w:after="0" w:line="240" w:lineRule="auto"/>
        <w:jc w:val="both"/>
        <w:rPr>
          <w:u w:val="single"/>
        </w:rPr>
      </w:pPr>
      <w:r w:rsidRPr="00491070">
        <w:rPr>
          <w:u w:val="single"/>
        </w:rPr>
        <w:t xml:space="preserve">Les impacts environnementaux négatifs </w:t>
      </w:r>
    </w:p>
    <w:p w14:paraId="72A5022C" w14:textId="77777777" w:rsidR="00B224B3" w:rsidRPr="00491070" w:rsidRDefault="00B224B3" w:rsidP="00B224B3">
      <w:pPr>
        <w:spacing w:after="0" w:line="240" w:lineRule="auto"/>
        <w:jc w:val="both"/>
      </w:pPr>
    </w:p>
    <w:p w14:paraId="3F515675" w14:textId="77777777" w:rsidR="00B224B3" w:rsidRPr="00491070" w:rsidRDefault="00B224B3" w:rsidP="00B224B3">
      <w:pPr>
        <w:numPr>
          <w:ilvl w:val="0"/>
          <w:numId w:val="87"/>
        </w:numPr>
        <w:spacing w:after="0" w:line="240" w:lineRule="auto"/>
        <w:jc w:val="both"/>
      </w:pPr>
      <w:r w:rsidRPr="00491070">
        <w:t xml:space="preserve">Concentration des oiseaux prédateurs (dans certaines régions). </w:t>
      </w:r>
    </w:p>
    <w:p w14:paraId="2E6EA5BD" w14:textId="77777777" w:rsidR="00B224B3" w:rsidRPr="00491070" w:rsidRDefault="00B224B3" w:rsidP="00B224B3">
      <w:pPr>
        <w:numPr>
          <w:ilvl w:val="0"/>
          <w:numId w:val="87"/>
        </w:numPr>
        <w:spacing w:after="0" w:line="240" w:lineRule="auto"/>
        <w:jc w:val="both"/>
      </w:pPr>
      <w:r w:rsidRPr="00491070">
        <w:t>Présence de serpents et autres animaux nuisibles ou dangereux (pays chauds).</w:t>
      </w:r>
    </w:p>
    <w:p w14:paraId="65D91854" w14:textId="77777777" w:rsidR="00B224B3" w:rsidRDefault="00B224B3" w:rsidP="00B224B3">
      <w:pPr>
        <w:spacing w:after="0" w:line="240" w:lineRule="auto"/>
        <w:jc w:val="both"/>
      </w:pPr>
    </w:p>
    <w:p w14:paraId="54873218" w14:textId="77777777" w:rsidR="00B224B3" w:rsidRPr="002820DA" w:rsidRDefault="00B224B3" w:rsidP="00B224B3">
      <w:pPr>
        <w:spacing w:after="0" w:line="240" w:lineRule="auto"/>
        <w:jc w:val="both"/>
        <w:rPr>
          <w:u w:val="single"/>
        </w:rPr>
      </w:pPr>
      <w:r w:rsidRPr="002820DA">
        <w:rPr>
          <w:u w:val="single"/>
        </w:rPr>
        <w:t>Impacts sur la productivité du bétail</w:t>
      </w:r>
    </w:p>
    <w:p w14:paraId="6199ABEB" w14:textId="77777777" w:rsidR="00B224B3" w:rsidRPr="002820DA" w:rsidRDefault="00B224B3" w:rsidP="00B224B3">
      <w:pPr>
        <w:spacing w:after="0" w:line="240" w:lineRule="auto"/>
        <w:jc w:val="both"/>
      </w:pPr>
      <w:r w:rsidRPr="002820DA">
        <w:rPr>
          <w:b/>
          <w:bCs/>
        </w:rPr>
        <w:t xml:space="preserve"> </w:t>
      </w:r>
    </w:p>
    <w:p w14:paraId="5F65311C" w14:textId="77777777" w:rsidR="00B224B3" w:rsidRPr="002820DA" w:rsidRDefault="00B224B3" w:rsidP="00B224B3">
      <w:pPr>
        <w:numPr>
          <w:ilvl w:val="0"/>
          <w:numId w:val="88"/>
        </w:numPr>
        <w:spacing w:after="0" w:line="240" w:lineRule="auto"/>
        <w:jc w:val="both"/>
      </w:pPr>
      <w:r w:rsidRPr="002820DA">
        <w:t xml:space="preserve">Optimisation de la gestion des pâturages, donc une meilleure production de viande. </w:t>
      </w:r>
    </w:p>
    <w:p w14:paraId="4819D7BD" w14:textId="77777777" w:rsidR="00B224B3" w:rsidRPr="002820DA" w:rsidRDefault="00B224B3" w:rsidP="00B224B3">
      <w:pPr>
        <w:numPr>
          <w:ilvl w:val="0"/>
          <w:numId w:val="88"/>
        </w:numPr>
        <w:spacing w:after="0" w:line="240" w:lineRule="auto"/>
        <w:jc w:val="both"/>
      </w:pPr>
      <w:r w:rsidRPr="002820DA">
        <w:t xml:space="preserve">Amélioration du confort des animaux de pâturage, avec un impact positif sur leur santé et leur croissance (la haie offre de l’ombre, de la nourriture au bétail etc.). </w:t>
      </w:r>
    </w:p>
    <w:p w14:paraId="22763BF6" w14:textId="77777777" w:rsidR="00B224B3" w:rsidRPr="002820DA" w:rsidRDefault="00B224B3" w:rsidP="00B224B3">
      <w:pPr>
        <w:numPr>
          <w:ilvl w:val="0"/>
          <w:numId w:val="88"/>
        </w:numPr>
        <w:spacing w:after="0" w:line="240" w:lineRule="auto"/>
        <w:jc w:val="both"/>
      </w:pPr>
      <w:r w:rsidRPr="002820DA">
        <w:t>Réduction des risques de conflits entre éleveurs et agriculteurs, mais la haie réduit légèrement les superficies en herbe ou des cultures.</w:t>
      </w:r>
    </w:p>
    <w:p w14:paraId="2CE71F17" w14:textId="77777777" w:rsidR="00B224B3" w:rsidRDefault="00B224B3" w:rsidP="00B224B3">
      <w:pPr>
        <w:spacing w:after="0" w:line="240" w:lineRule="auto"/>
        <w:jc w:val="both"/>
      </w:pPr>
    </w:p>
    <w:p w14:paraId="39A07D36" w14:textId="77777777" w:rsidR="00B224B3" w:rsidRPr="002820DA" w:rsidRDefault="00B224B3" w:rsidP="00B224B3">
      <w:pPr>
        <w:spacing w:after="0" w:line="240" w:lineRule="auto"/>
        <w:jc w:val="both"/>
        <w:rPr>
          <w:u w:val="single"/>
        </w:rPr>
      </w:pPr>
      <w:r w:rsidRPr="002820DA">
        <w:rPr>
          <w:u w:val="single"/>
        </w:rPr>
        <w:t>Ampleur et conséquences de la destruction des haies et bocages</w:t>
      </w:r>
    </w:p>
    <w:p w14:paraId="5CF061DF" w14:textId="77777777" w:rsidR="00B224B3" w:rsidRDefault="00B224B3" w:rsidP="00B224B3">
      <w:pPr>
        <w:spacing w:after="0" w:line="240" w:lineRule="auto"/>
        <w:jc w:val="both"/>
      </w:pPr>
    </w:p>
    <w:p w14:paraId="0CE79F60" w14:textId="77777777" w:rsidR="00B224B3" w:rsidRDefault="00B224B3" w:rsidP="00B224B3">
      <w:pPr>
        <w:spacing w:after="0" w:line="240" w:lineRule="auto"/>
        <w:jc w:val="both"/>
      </w:pPr>
      <w:r w:rsidRPr="002820DA">
        <w:t xml:space="preserve">La modernisation et l'intensification de l'agriculture _ le désir d’augmenter la taille des parcelles par soucis de rationalisation » _, la vulgarisation de l'emploi de la tronçonneuse, le manque de considération pour le patrimoine paysager ont entraîné partout en Europe une importante régression des bocages depuis le début des années cinquante. En France, 600.000 km de haies ont été arrachées entre les années </w:t>
      </w:r>
      <w:r>
        <w:t>60</w:t>
      </w:r>
      <w:r w:rsidRPr="002820DA">
        <w:t xml:space="preserve"> et </w:t>
      </w:r>
      <w:r>
        <w:t>90</w:t>
      </w:r>
      <w:r w:rsidRPr="002820DA">
        <w:t xml:space="preserve">, soit la moitié du linéaire de notre pays (Baudry, 2003), et cela malgré les conséquences déjà bien connues à cette époque (érosion des sols, pollution des cours d'eau par les pesticides d'origine agricole, inondations, etc.). Depuis, un mouvement se dessine pour replanter les haies arrachées lors des remembrements passés. </w:t>
      </w:r>
    </w:p>
    <w:p w14:paraId="2CD9E6EA" w14:textId="77777777" w:rsidR="00B224B3" w:rsidRPr="002820DA" w:rsidRDefault="00B224B3" w:rsidP="00B224B3">
      <w:pPr>
        <w:spacing w:after="0" w:line="240" w:lineRule="auto"/>
        <w:jc w:val="both"/>
      </w:pPr>
      <w:r w:rsidRPr="002820DA">
        <w:t xml:space="preserve">Source: </w:t>
      </w:r>
      <w:hyperlink r:id="rId3344" w:history="1">
        <w:r w:rsidRPr="002820DA">
          <w:rPr>
            <w:rStyle w:val="Lienhypertexte"/>
          </w:rPr>
          <w:t>http://www.haiesvives.org/html/la%20haie%20champetre/haie_champetre.htm</w:t>
        </w:r>
      </w:hyperlink>
      <w:r w:rsidRPr="002820DA">
        <w:t xml:space="preserve"> </w:t>
      </w:r>
    </w:p>
    <w:p w14:paraId="3E7C6BF6" w14:textId="77777777" w:rsidR="00B224B3" w:rsidRDefault="00B224B3" w:rsidP="00B224B3">
      <w:pPr>
        <w:spacing w:after="0" w:line="240" w:lineRule="auto"/>
        <w:jc w:val="both"/>
      </w:pPr>
    </w:p>
    <w:p w14:paraId="1A5F7F10" w14:textId="7BBAEE93" w:rsidR="00B224B3" w:rsidRDefault="00B224B3" w:rsidP="00B224B3">
      <w:pPr>
        <w:spacing w:after="0" w:line="240" w:lineRule="auto"/>
        <w:jc w:val="both"/>
      </w:pPr>
      <w:r>
        <w:t>Exemples de haies :</w:t>
      </w:r>
    </w:p>
    <w:p w14:paraId="5C9A3CF6" w14:textId="77777777" w:rsidR="00B224B3" w:rsidRDefault="00B224B3" w:rsidP="00B224B3">
      <w:pPr>
        <w:spacing w:after="0" w:line="240" w:lineRule="auto"/>
        <w:jc w:val="center"/>
      </w:pPr>
      <w:r w:rsidRPr="002820DA">
        <w:rPr>
          <w:noProof/>
        </w:rPr>
        <w:drawing>
          <wp:inline distT="0" distB="0" distL="0" distR="0" wp14:anchorId="31B0206A" wp14:editId="4CD8426C">
            <wp:extent cx="5743575" cy="4000500"/>
            <wp:effectExtent l="0" t="0" r="9525" b="0"/>
            <wp:docPr id="103430" name="Picture 7"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30" name="Picture 7" descr="Une image contenant texte&#10;&#10;Description générée automatiquement"/>
                    <pic:cNvPicPr>
                      <a:picLocks noChangeAspect="1" noChangeArrowheads="1"/>
                    </pic:cNvPicPr>
                  </pic:nvPicPr>
                  <pic:blipFill>
                    <a:blip r:embed="rId3345" cstate="print">
                      <a:extLst>
                        <a:ext uri="{28A0092B-C50C-407E-A947-70E740481C1C}">
                          <a14:useLocalDpi xmlns:a14="http://schemas.microsoft.com/office/drawing/2010/main" val="0"/>
                        </a:ext>
                      </a:extLst>
                    </a:blip>
                    <a:srcRect/>
                    <a:stretch>
                      <a:fillRect/>
                    </a:stretch>
                  </pic:blipFill>
                  <pic:spPr bwMode="auto">
                    <a:xfrm>
                      <a:off x="0" y="0"/>
                      <a:ext cx="5743575" cy="400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4219365" w14:textId="77777777" w:rsidR="00B224B3" w:rsidRPr="002820DA" w:rsidRDefault="00B224B3" w:rsidP="00B224B3">
      <w:pPr>
        <w:spacing w:after="0" w:line="240" w:lineRule="auto"/>
        <w:jc w:val="center"/>
      </w:pPr>
      <w:r w:rsidRPr="002820DA">
        <w:t>Exemple de haie à 3 niveaux</w:t>
      </w:r>
      <w:r>
        <w:t>. S</w:t>
      </w:r>
      <w:r w:rsidRPr="002820DA">
        <w:t>ource « Planter des Haies », Dominique Soltner.</w:t>
      </w:r>
    </w:p>
    <w:p w14:paraId="37203DFE" w14:textId="77777777" w:rsidR="00B224B3" w:rsidRDefault="00B224B3" w:rsidP="00B224B3">
      <w:pPr>
        <w:spacing w:after="0" w:line="240" w:lineRule="auto"/>
        <w:jc w:val="center"/>
      </w:pPr>
    </w:p>
    <w:p w14:paraId="6AF70ADE" w14:textId="77777777" w:rsidR="00B224B3" w:rsidRDefault="00B224B3" w:rsidP="00B224B3">
      <w:pPr>
        <w:spacing w:after="0" w:line="240" w:lineRule="auto"/>
        <w:jc w:val="center"/>
      </w:pPr>
      <w:r w:rsidRPr="002820DA">
        <w:rPr>
          <w:noProof/>
        </w:rPr>
        <w:drawing>
          <wp:inline distT="0" distB="0" distL="0" distR="0" wp14:anchorId="1F7900C1" wp14:editId="001EA596">
            <wp:extent cx="6581775" cy="2338978"/>
            <wp:effectExtent l="0" t="0" r="0" b="4445"/>
            <wp:docPr id="9935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55" name="Picture 10"/>
                    <pic:cNvPicPr>
                      <a:picLocks noChangeAspect="1" noChangeArrowheads="1"/>
                    </pic:cNvPicPr>
                  </pic:nvPicPr>
                  <pic:blipFill>
                    <a:blip r:embed="rId3346" cstate="print">
                      <a:extLst>
                        <a:ext uri="{28A0092B-C50C-407E-A947-70E740481C1C}">
                          <a14:useLocalDpi xmlns:a14="http://schemas.microsoft.com/office/drawing/2010/main" val="0"/>
                        </a:ext>
                      </a:extLst>
                    </a:blip>
                    <a:srcRect/>
                    <a:stretch>
                      <a:fillRect/>
                    </a:stretch>
                  </pic:blipFill>
                  <pic:spPr bwMode="auto">
                    <a:xfrm>
                      <a:off x="0" y="0"/>
                      <a:ext cx="6596874" cy="2344344"/>
                    </a:xfrm>
                    <a:prstGeom prst="rect">
                      <a:avLst/>
                    </a:prstGeom>
                    <a:noFill/>
                    <a:ln>
                      <a:noFill/>
                    </a:ln>
                  </pic:spPr>
                </pic:pic>
              </a:graphicData>
            </a:graphic>
          </wp:inline>
        </w:drawing>
      </w:r>
    </w:p>
    <w:p w14:paraId="2268DF6F" w14:textId="77777777" w:rsidR="00B224B3" w:rsidRDefault="00B224B3" w:rsidP="00B224B3">
      <w:pPr>
        <w:spacing w:after="0" w:line="240" w:lineRule="auto"/>
        <w:jc w:val="center"/>
      </w:pPr>
      <w:r w:rsidRPr="002820DA">
        <w:t>Source du schéma : « Planter des Haies » de Dominique Soltner.</w:t>
      </w:r>
    </w:p>
    <w:p w14:paraId="2C5077AC" w14:textId="77777777" w:rsidR="00B224B3" w:rsidRDefault="00B224B3" w:rsidP="00B224B3">
      <w:pPr>
        <w:spacing w:after="0" w:line="240" w:lineRule="auto"/>
        <w:jc w:val="center"/>
      </w:pPr>
    </w:p>
    <w:p w14:paraId="260BCCDD" w14:textId="77777777" w:rsidR="00B224B3" w:rsidRDefault="00B224B3" w:rsidP="00B224B3">
      <w:pPr>
        <w:spacing w:after="0" w:line="240" w:lineRule="auto"/>
        <w:jc w:val="center"/>
      </w:pPr>
      <w:r w:rsidRPr="002820DA">
        <w:rPr>
          <w:noProof/>
        </w:rPr>
        <w:drawing>
          <wp:inline distT="0" distB="0" distL="0" distR="0" wp14:anchorId="32C32B2F" wp14:editId="045C6CB1">
            <wp:extent cx="4749855" cy="2409825"/>
            <wp:effectExtent l="0" t="0" r="0" b="0"/>
            <wp:docPr id="9935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58" name="Picture 13"/>
                    <pic:cNvPicPr>
                      <a:picLocks noChangeAspect="1" noChangeArrowheads="1"/>
                    </pic:cNvPicPr>
                  </pic:nvPicPr>
                  <pic:blipFill>
                    <a:blip r:embed="rId3347" cstate="print">
                      <a:extLst>
                        <a:ext uri="{28A0092B-C50C-407E-A947-70E740481C1C}">
                          <a14:useLocalDpi xmlns:a14="http://schemas.microsoft.com/office/drawing/2010/main" val="0"/>
                        </a:ext>
                      </a:extLst>
                    </a:blip>
                    <a:srcRect/>
                    <a:stretch>
                      <a:fillRect/>
                    </a:stretch>
                  </pic:blipFill>
                  <pic:spPr bwMode="auto">
                    <a:xfrm>
                      <a:off x="0" y="0"/>
                      <a:ext cx="4757056" cy="2413478"/>
                    </a:xfrm>
                    <a:prstGeom prst="rect">
                      <a:avLst/>
                    </a:prstGeom>
                    <a:noFill/>
                    <a:ln>
                      <a:noFill/>
                    </a:ln>
                  </pic:spPr>
                </pic:pic>
              </a:graphicData>
            </a:graphic>
          </wp:inline>
        </w:drawing>
      </w:r>
    </w:p>
    <w:p w14:paraId="2DBF09C9" w14:textId="77777777" w:rsidR="00B224B3" w:rsidRDefault="00B224B3" w:rsidP="00B224B3">
      <w:pPr>
        <w:spacing w:after="0" w:line="240" w:lineRule="auto"/>
        <w:jc w:val="center"/>
      </w:pPr>
      <w:r>
        <w:t xml:space="preserve">Disposition du compost et du paillis © </w:t>
      </w:r>
      <w:r w:rsidRPr="002820DA">
        <w:t>Dominique Soltner.</w:t>
      </w:r>
    </w:p>
    <w:p w14:paraId="14E73326" w14:textId="77777777" w:rsidR="00B224B3" w:rsidRDefault="00B224B3" w:rsidP="00B224B3">
      <w:pPr>
        <w:spacing w:after="0" w:line="240" w:lineRule="auto"/>
        <w:jc w:val="center"/>
      </w:pPr>
    </w:p>
    <w:p w14:paraId="04A1E517" w14:textId="1F64FD9C" w:rsidR="00B224B3" w:rsidRPr="004071F0" w:rsidRDefault="00B224B3" w:rsidP="00B224B3">
      <w:pPr>
        <w:spacing w:after="0" w:line="240" w:lineRule="auto"/>
        <w:rPr>
          <w:u w:val="single"/>
        </w:rPr>
      </w:pPr>
      <w:r w:rsidRPr="004071F0">
        <w:rPr>
          <w:u w:val="single"/>
        </w:rPr>
        <w:t>Haies en zones tropicale</w:t>
      </w:r>
      <w:r w:rsidR="00C478B7">
        <w:rPr>
          <w:u w:val="single"/>
        </w:rPr>
        <w:t>s</w:t>
      </w:r>
    </w:p>
    <w:p w14:paraId="51DE643E" w14:textId="77777777" w:rsidR="00B224B3" w:rsidRDefault="00B224B3" w:rsidP="00B224B3">
      <w:pPr>
        <w:spacing w:after="0" w:line="240" w:lineRule="auto"/>
        <w:rPr>
          <w:b/>
          <w:bCs/>
        </w:rPr>
      </w:pPr>
    </w:p>
    <w:p w14:paraId="5BB883E6" w14:textId="77777777" w:rsidR="00B224B3" w:rsidRPr="004071F0" w:rsidRDefault="00B224B3" w:rsidP="00B224B3">
      <w:pPr>
        <w:spacing w:after="0" w:line="240" w:lineRule="auto"/>
      </w:pPr>
      <w:r w:rsidRPr="004071F0">
        <w:t>La FAO propose les espèces suivantes, pour les haies d’épineux en région tropicale :</w:t>
      </w:r>
    </w:p>
    <w:p w14:paraId="50A9058A" w14:textId="77777777" w:rsidR="00B224B3" w:rsidRDefault="00B224B3" w:rsidP="00B224B3">
      <w:pPr>
        <w:spacing w:after="0" w:line="240" w:lineRule="auto"/>
      </w:pPr>
    </w:p>
    <w:tbl>
      <w:tblPr>
        <w:tblW w:w="0" w:type="auto"/>
        <w:tblInd w:w="274" w:type="dxa"/>
        <w:tblCellMar>
          <w:left w:w="0" w:type="dxa"/>
          <w:right w:w="0" w:type="dxa"/>
        </w:tblCellMar>
        <w:tblLook w:val="0600" w:firstRow="0" w:lastRow="0" w:firstColumn="0" w:lastColumn="0" w:noHBand="1" w:noVBand="1"/>
      </w:tblPr>
      <w:tblGrid>
        <w:gridCol w:w="2551"/>
        <w:gridCol w:w="2136"/>
        <w:gridCol w:w="2706"/>
        <w:gridCol w:w="2739"/>
      </w:tblGrid>
      <w:tr w:rsidR="00B224B3" w:rsidRPr="004071F0" w14:paraId="0DFBC4E6" w14:textId="77777777" w:rsidTr="00C478B7">
        <w:trPr>
          <w:trHeight w:val="331"/>
          <w:tblHeader/>
        </w:trPr>
        <w:tc>
          <w:tcPr>
            <w:tcW w:w="2551" w:type="dxa"/>
            <w:tcBorders>
              <w:top w:val="single" w:sz="8" w:space="0" w:color="010000"/>
              <w:left w:val="single" w:sz="8" w:space="0" w:color="010000"/>
              <w:bottom w:val="single" w:sz="8" w:space="0" w:color="010000"/>
              <w:right w:val="single" w:sz="8" w:space="0" w:color="000000"/>
            </w:tcBorders>
            <w:shd w:val="clear" w:color="auto" w:fill="auto"/>
            <w:tcMar>
              <w:top w:w="72" w:type="dxa"/>
              <w:left w:w="144" w:type="dxa"/>
              <w:bottom w:w="72" w:type="dxa"/>
              <w:right w:w="144" w:type="dxa"/>
            </w:tcMar>
            <w:vAlign w:val="center"/>
            <w:hideMark/>
          </w:tcPr>
          <w:p w14:paraId="7F466A0D" w14:textId="77777777" w:rsidR="00B224B3" w:rsidRPr="004071F0" w:rsidRDefault="00B224B3" w:rsidP="00B24337">
            <w:pPr>
              <w:spacing w:after="0" w:line="240" w:lineRule="auto"/>
              <w:rPr>
                <w:rFonts w:ascii="Calibri" w:hAnsi="Calibri" w:cs="Calibri"/>
              </w:rPr>
            </w:pPr>
            <w:r w:rsidRPr="004071F0">
              <w:rPr>
                <w:rFonts w:ascii="Calibri" w:hAnsi="Calibri" w:cs="Calibri"/>
                <w:b/>
                <w:bCs/>
              </w:rPr>
              <w:t>Espèces</w:t>
            </w:r>
          </w:p>
        </w:tc>
        <w:tc>
          <w:tcPr>
            <w:tcW w:w="2136" w:type="dxa"/>
            <w:tcBorders>
              <w:top w:val="single" w:sz="6" w:space="0" w:color="000000"/>
              <w:left w:val="single" w:sz="8" w:space="0" w:color="000000"/>
              <w:bottom w:val="single" w:sz="6" w:space="0" w:color="000000"/>
              <w:right w:val="single" w:sz="6" w:space="0" w:color="000000"/>
            </w:tcBorders>
            <w:shd w:val="clear" w:color="auto" w:fill="auto"/>
            <w:tcMar>
              <w:top w:w="72" w:type="dxa"/>
              <w:left w:w="144" w:type="dxa"/>
              <w:bottom w:w="72" w:type="dxa"/>
              <w:right w:w="144" w:type="dxa"/>
            </w:tcMar>
            <w:vAlign w:val="center"/>
            <w:hideMark/>
          </w:tcPr>
          <w:p w14:paraId="4B5F7CA4" w14:textId="77777777" w:rsidR="00B224B3" w:rsidRPr="004071F0" w:rsidRDefault="00B224B3" w:rsidP="00B24337">
            <w:pPr>
              <w:spacing w:after="0" w:line="240" w:lineRule="auto"/>
              <w:rPr>
                <w:rFonts w:ascii="Calibri" w:hAnsi="Calibri" w:cs="Calibri"/>
              </w:rPr>
            </w:pPr>
            <w:r w:rsidRPr="004071F0">
              <w:rPr>
                <w:rFonts w:ascii="Calibri" w:hAnsi="Calibri" w:cs="Calibri"/>
                <w:b/>
                <w:bCs/>
              </w:rPr>
              <w:t>Pluviométrie 400 - 700 mm</w:t>
            </w:r>
          </w:p>
        </w:tc>
        <w:tc>
          <w:tcPr>
            <w:tcW w:w="0" w:type="auto"/>
            <w:tcBorders>
              <w:top w:val="single" w:sz="6" w:space="0" w:color="000000"/>
              <w:left w:val="single" w:sz="6" w:space="0" w:color="000000"/>
              <w:bottom w:val="single" w:sz="6" w:space="0" w:color="000000"/>
              <w:right w:val="single" w:sz="8" w:space="0" w:color="010000"/>
            </w:tcBorders>
            <w:shd w:val="clear" w:color="auto" w:fill="auto"/>
            <w:tcMar>
              <w:top w:w="72" w:type="dxa"/>
              <w:left w:w="144" w:type="dxa"/>
              <w:bottom w:w="72" w:type="dxa"/>
              <w:right w:w="144" w:type="dxa"/>
            </w:tcMar>
            <w:vAlign w:val="center"/>
            <w:hideMark/>
          </w:tcPr>
          <w:p w14:paraId="293D8C9A" w14:textId="77777777" w:rsidR="00B224B3" w:rsidRPr="004071F0" w:rsidRDefault="00B224B3" w:rsidP="00B24337">
            <w:pPr>
              <w:spacing w:after="0" w:line="240" w:lineRule="auto"/>
              <w:rPr>
                <w:rFonts w:ascii="Calibri" w:hAnsi="Calibri" w:cs="Calibri"/>
              </w:rPr>
            </w:pPr>
            <w:r w:rsidRPr="004071F0">
              <w:rPr>
                <w:rFonts w:ascii="Calibri" w:hAnsi="Calibri" w:cs="Calibri"/>
                <w:b/>
                <w:bCs/>
              </w:rPr>
              <w:t>Pluviométrie 700 - 1000 mm</w:t>
            </w:r>
          </w:p>
        </w:tc>
        <w:tc>
          <w:tcPr>
            <w:tcW w:w="0" w:type="auto"/>
            <w:tcBorders>
              <w:top w:val="single" w:sz="8" w:space="0" w:color="010000"/>
              <w:left w:val="single" w:sz="8" w:space="0" w:color="010000"/>
              <w:bottom w:val="single" w:sz="8" w:space="0" w:color="010000"/>
              <w:right w:val="single" w:sz="8" w:space="0" w:color="010000"/>
            </w:tcBorders>
            <w:shd w:val="clear" w:color="auto" w:fill="auto"/>
            <w:tcMar>
              <w:top w:w="72" w:type="dxa"/>
              <w:left w:w="144" w:type="dxa"/>
              <w:bottom w:w="72" w:type="dxa"/>
              <w:right w:w="144" w:type="dxa"/>
            </w:tcMar>
            <w:vAlign w:val="center"/>
            <w:hideMark/>
          </w:tcPr>
          <w:p w14:paraId="3947AE70" w14:textId="77777777" w:rsidR="00B224B3" w:rsidRPr="004071F0" w:rsidRDefault="00B224B3" w:rsidP="00B24337">
            <w:pPr>
              <w:spacing w:after="0" w:line="240" w:lineRule="auto"/>
              <w:rPr>
                <w:rFonts w:ascii="Calibri" w:hAnsi="Calibri" w:cs="Calibri"/>
              </w:rPr>
            </w:pPr>
            <w:r w:rsidRPr="004071F0">
              <w:rPr>
                <w:rFonts w:ascii="Calibri" w:hAnsi="Calibri" w:cs="Calibri"/>
                <w:b/>
                <w:bCs/>
              </w:rPr>
              <w:t>Pluviométrie 1000 - 1300 mm</w:t>
            </w:r>
          </w:p>
        </w:tc>
      </w:tr>
      <w:tr w:rsidR="00B224B3" w:rsidRPr="004071F0" w14:paraId="1CA01480" w14:textId="77777777" w:rsidTr="00C478B7">
        <w:trPr>
          <w:trHeight w:val="199"/>
        </w:trPr>
        <w:tc>
          <w:tcPr>
            <w:tcW w:w="2551" w:type="dxa"/>
            <w:tcBorders>
              <w:top w:val="single" w:sz="8" w:space="0" w:color="010000"/>
              <w:left w:val="single" w:sz="8" w:space="0" w:color="010000"/>
              <w:bottom w:val="single" w:sz="8" w:space="0" w:color="010000"/>
              <w:right w:val="single" w:sz="8" w:space="0" w:color="000000"/>
            </w:tcBorders>
            <w:shd w:val="clear" w:color="auto" w:fill="auto"/>
            <w:tcMar>
              <w:top w:w="72" w:type="dxa"/>
              <w:left w:w="144" w:type="dxa"/>
              <w:bottom w:w="72" w:type="dxa"/>
              <w:right w:w="144" w:type="dxa"/>
            </w:tcMar>
            <w:vAlign w:val="center"/>
            <w:hideMark/>
          </w:tcPr>
          <w:p w14:paraId="0EBD669A" w14:textId="77777777" w:rsidR="00B224B3" w:rsidRPr="004071F0" w:rsidRDefault="00B224B3" w:rsidP="00B24337">
            <w:pPr>
              <w:spacing w:after="0" w:line="240" w:lineRule="auto"/>
              <w:rPr>
                <w:rFonts w:ascii="Calibri" w:hAnsi="Calibri" w:cs="Calibri"/>
              </w:rPr>
            </w:pPr>
            <w:r w:rsidRPr="004071F0">
              <w:rPr>
                <w:rFonts w:ascii="Calibri" w:hAnsi="Calibri" w:cs="Calibri"/>
                <w:b/>
                <w:bCs/>
                <w:i/>
                <w:iCs/>
              </w:rPr>
              <w:t>Acacia mellifera</w:t>
            </w:r>
          </w:p>
        </w:tc>
        <w:tc>
          <w:tcPr>
            <w:tcW w:w="2136" w:type="dxa"/>
            <w:tcBorders>
              <w:top w:val="single" w:sz="6" w:space="0" w:color="000000"/>
              <w:left w:val="single" w:sz="8" w:space="0" w:color="000000"/>
              <w:bottom w:val="single" w:sz="6" w:space="0" w:color="000000"/>
              <w:right w:val="single" w:sz="6" w:space="0" w:color="000000"/>
            </w:tcBorders>
            <w:shd w:val="clear" w:color="auto" w:fill="33FF33"/>
            <w:tcMar>
              <w:top w:w="72" w:type="dxa"/>
              <w:left w:w="144" w:type="dxa"/>
              <w:bottom w:w="72" w:type="dxa"/>
              <w:right w:w="144" w:type="dxa"/>
            </w:tcMar>
            <w:vAlign w:val="center"/>
            <w:hideMark/>
          </w:tcPr>
          <w:p w14:paraId="1315DA85" w14:textId="77777777" w:rsidR="00B224B3" w:rsidRPr="004071F0" w:rsidRDefault="00B224B3" w:rsidP="00B24337">
            <w:pPr>
              <w:spacing w:after="0" w:line="240" w:lineRule="auto"/>
              <w:rPr>
                <w:rFonts w:ascii="Calibri" w:hAnsi="Calibri" w:cs="Calibri"/>
              </w:rPr>
            </w:pPr>
            <w:r w:rsidRPr="004071F0">
              <w:rPr>
                <w:rFonts w:ascii="Calibri" w:hAnsi="Calibri" w:cs="Calibri"/>
                <w:b/>
                <w:bCs/>
              </w:rPr>
              <w:t>X</w:t>
            </w:r>
          </w:p>
        </w:tc>
        <w:tc>
          <w:tcPr>
            <w:tcW w:w="0" w:type="auto"/>
            <w:tcBorders>
              <w:top w:val="single" w:sz="6" w:space="0" w:color="000000"/>
              <w:left w:val="single" w:sz="6" w:space="0" w:color="000000"/>
              <w:bottom w:val="single" w:sz="6" w:space="0" w:color="000000"/>
              <w:right w:val="single" w:sz="8" w:space="0" w:color="010000"/>
            </w:tcBorders>
            <w:shd w:val="clear" w:color="auto" w:fill="33FF33"/>
            <w:tcMar>
              <w:top w:w="72" w:type="dxa"/>
              <w:left w:w="144" w:type="dxa"/>
              <w:bottom w:w="72" w:type="dxa"/>
              <w:right w:w="144" w:type="dxa"/>
            </w:tcMar>
            <w:vAlign w:val="center"/>
            <w:hideMark/>
          </w:tcPr>
          <w:p w14:paraId="486CD91D" w14:textId="77777777" w:rsidR="00B224B3" w:rsidRPr="004071F0" w:rsidRDefault="00B224B3" w:rsidP="00B24337">
            <w:pPr>
              <w:spacing w:after="0" w:line="240" w:lineRule="auto"/>
              <w:rPr>
                <w:rFonts w:ascii="Calibri" w:hAnsi="Calibri" w:cs="Calibri"/>
              </w:rPr>
            </w:pPr>
            <w:r w:rsidRPr="004071F0">
              <w:rPr>
                <w:rFonts w:ascii="Calibri" w:hAnsi="Calibri" w:cs="Calibri"/>
                <w:b/>
                <w:bCs/>
              </w:rPr>
              <w:t>X </w:t>
            </w:r>
          </w:p>
        </w:tc>
        <w:tc>
          <w:tcPr>
            <w:tcW w:w="0" w:type="auto"/>
            <w:tcBorders>
              <w:top w:val="single" w:sz="8" w:space="0" w:color="010000"/>
              <w:left w:val="single" w:sz="8" w:space="0" w:color="010000"/>
              <w:bottom w:val="single" w:sz="8" w:space="0" w:color="010000"/>
              <w:right w:val="single" w:sz="8" w:space="0" w:color="010000"/>
            </w:tcBorders>
            <w:shd w:val="clear" w:color="auto" w:fill="auto"/>
            <w:tcMar>
              <w:top w:w="72" w:type="dxa"/>
              <w:left w:w="144" w:type="dxa"/>
              <w:bottom w:w="72" w:type="dxa"/>
              <w:right w:w="144" w:type="dxa"/>
            </w:tcMar>
            <w:vAlign w:val="center"/>
            <w:hideMark/>
          </w:tcPr>
          <w:p w14:paraId="12D1FB3D" w14:textId="77777777" w:rsidR="00B224B3" w:rsidRPr="004071F0" w:rsidRDefault="00B224B3" w:rsidP="00B24337">
            <w:pPr>
              <w:spacing w:after="0" w:line="240" w:lineRule="auto"/>
              <w:rPr>
                <w:rFonts w:ascii="Calibri" w:hAnsi="Calibri" w:cs="Calibri"/>
              </w:rPr>
            </w:pPr>
            <w:r w:rsidRPr="004071F0">
              <w:rPr>
                <w:rFonts w:ascii="Calibri" w:hAnsi="Calibri" w:cs="Calibri"/>
                <w:b/>
                <w:bCs/>
              </w:rPr>
              <w:t> </w:t>
            </w:r>
          </w:p>
        </w:tc>
      </w:tr>
      <w:tr w:rsidR="00B224B3" w:rsidRPr="004071F0" w14:paraId="1A12279A" w14:textId="77777777" w:rsidTr="00C478B7">
        <w:trPr>
          <w:trHeight w:val="191"/>
        </w:trPr>
        <w:tc>
          <w:tcPr>
            <w:tcW w:w="2551" w:type="dxa"/>
            <w:tcBorders>
              <w:top w:val="single" w:sz="8" w:space="0" w:color="010000"/>
              <w:left w:val="single" w:sz="8" w:space="0" w:color="010000"/>
              <w:bottom w:val="single" w:sz="8" w:space="0" w:color="010000"/>
              <w:right w:val="single" w:sz="8" w:space="0" w:color="000000"/>
            </w:tcBorders>
            <w:shd w:val="clear" w:color="auto" w:fill="auto"/>
            <w:tcMar>
              <w:top w:w="72" w:type="dxa"/>
              <w:left w:w="144" w:type="dxa"/>
              <w:bottom w:w="72" w:type="dxa"/>
              <w:right w:w="144" w:type="dxa"/>
            </w:tcMar>
            <w:vAlign w:val="center"/>
            <w:hideMark/>
          </w:tcPr>
          <w:p w14:paraId="443F34F6" w14:textId="77777777" w:rsidR="00B224B3" w:rsidRPr="004071F0" w:rsidRDefault="00B224B3" w:rsidP="00B24337">
            <w:pPr>
              <w:spacing w:after="0" w:line="240" w:lineRule="auto"/>
              <w:rPr>
                <w:rFonts w:ascii="Calibri" w:hAnsi="Calibri" w:cs="Calibri"/>
              </w:rPr>
            </w:pPr>
            <w:r w:rsidRPr="004071F0">
              <w:rPr>
                <w:rFonts w:ascii="Calibri" w:hAnsi="Calibri" w:cs="Calibri"/>
                <w:b/>
                <w:bCs/>
                <w:i/>
                <w:iCs/>
              </w:rPr>
              <w:t>Acacia nilotica</w:t>
            </w:r>
          </w:p>
        </w:tc>
        <w:tc>
          <w:tcPr>
            <w:tcW w:w="2136" w:type="dxa"/>
            <w:tcBorders>
              <w:top w:val="single" w:sz="6" w:space="0" w:color="000000"/>
              <w:left w:val="single" w:sz="8" w:space="0" w:color="000000"/>
              <w:bottom w:val="single" w:sz="6" w:space="0" w:color="000000"/>
              <w:right w:val="single" w:sz="6" w:space="0" w:color="000000"/>
            </w:tcBorders>
            <w:shd w:val="clear" w:color="auto" w:fill="33FF33"/>
            <w:tcMar>
              <w:top w:w="72" w:type="dxa"/>
              <w:left w:w="144" w:type="dxa"/>
              <w:bottom w:w="72" w:type="dxa"/>
              <w:right w:w="144" w:type="dxa"/>
            </w:tcMar>
            <w:vAlign w:val="center"/>
            <w:hideMark/>
          </w:tcPr>
          <w:p w14:paraId="47DF9FA0" w14:textId="77777777" w:rsidR="00B224B3" w:rsidRPr="004071F0" w:rsidRDefault="00B224B3" w:rsidP="00B24337">
            <w:pPr>
              <w:spacing w:after="0" w:line="240" w:lineRule="auto"/>
              <w:rPr>
                <w:rFonts w:ascii="Calibri" w:hAnsi="Calibri" w:cs="Calibri"/>
              </w:rPr>
            </w:pPr>
            <w:r w:rsidRPr="004071F0">
              <w:rPr>
                <w:rFonts w:ascii="Calibri" w:hAnsi="Calibri" w:cs="Calibri"/>
                <w:b/>
                <w:bCs/>
              </w:rPr>
              <w:t>X </w:t>
            </w:r>
          </w:p>
        </w:tc>
        <w:tc>
          <w:tcPr>
            <w:tcW w:w="0" w:type="auto"/>
            <w:tcBorders>
              <w:top w:val="single" w:sz="6" w:space="0" w:color="000000"/>
              <w:left w:val="single" w:sz="6" w:space="0" w:color="000000"/>
              <w:bottom w:val="single" w:sz="6" w:space="0" w:color="000000"/>
              <w:right w:val="single" w:sz="8" w:space="0" w:color="010000"/>
            </w:tcBorders>
            <w:shd w:val="clear" w:color="auto" w:fill="33FF33"/>
            <w:tcMar>
              <w:top w:w="72" w:type="dxa"/>
              <w:left w:w="144" w:type="dxa"/>
              <w:bottom w:w="72" w:type="dxa"/>
              <w:right w:w="144" w:type="dxa"/>
            </w:tcMar>
            <w:vAlign w:val="center"/>
            <w:hideMark/>
          </w:tcPr>
          <w:p w14:paraId="68FBAA4B" w14:textId="77777777" w:rsidR="00B224B3" w:rsidRPr="004071F0" w:rsidRDefault="00B224B3" w:rsidP="00B24337">
            <w:pPr>
              <w:spacing w:after="0" w:line="240" w:lineRule="auto"/>
              <w:rPr>
                <w:rFonts w:ascii="Calibri" w:hAnsi="Calibri" w:cs="Calibri"/>
              </w:rPr>
            </w:pPr>
            <w:r w:rsidRPr="004071F0">
              <w:rPr>
                <w:rFonts w:ascii="Calibri" w:hAnsi="Calibri" w:cs="Calibri"/>
                <w:b/>
                <w:bCs/>
              </w:rPr>
              <w:t>X</w:t>
            </w:r>
          </w:p>
        </w:tc>
        <w:tc>
          <w:tcPr>
            <w:tcW w:w="0" w:type="auto"/>
            <w:tcBorders>
              <w:top w:val="single" w:sz="8" w:space="0" w:color="010000"/>
              <w:left w:val="single" w:sz="8" w:space="0" w:color="010000"/>
              <w:bottom w:val="single" w:sz="8" w:space="0" w:color="010000"/>
              <w:right w:val="single" w:sz="8" w:space="0" w:color="010000"/>
            </w:tcBorders>
            <w:shd w:val="clear" w:color="auto" w:fill="auto"/>
            <w:tcMar>
              <w:top w:w="72" w:type="dxa"/>
              <w:left w:w="144" w:type="dxa"/>
              <w:bottom w:w="72" w:type="dxa"/>
              <w:right w:w="144" w:type="dxa"/>
            </w:tcMar>
            <w:vAlign w:val="center"/>
            <w:hideMark/>
          </w:tcPr>
          <w:p w14:paraId="19C0F20A" w14:textId="77777777" w:rsidR="00B224B3" w:rsidRPr="004071F0" w:rsidRDefault="00B224B3" w:rsidP="00B24337">
            <w:pPr>
              <w:spacing w:after="0" w:line="240" w:lineRule="auto"/>
              <w:rPr>
                <w:rFonts w:ascii="Calibri" w:hAnsi="Calibri" w:cs="Calibri"/>
              </w:rPr>
            </w:pPr>
            <w:r w:rsidRPr="004071F0">
              <w:rPr>
                <w:rFonts w:ascii="Calibri" w:hAnsi="Calibri" w:cs="Calibri"/>
                <w:b/>
                <w:bCs/>
              </w:rPr>
              <w:t> </w:t>
            </w:r>
          </w:p>
        </w:tc>
      </w:tr>
      <w:tr w:rsidR="00B224B3" w:rsidRPr="004071F0" w14:paraId="4A760ED4" w14:textId="77777777" w:rsidTr="00C478B7">
        <w:trPr>
          <w:trHeight w:val="197"/>
        </w:trPr>
        <w:tc>
          <w:tcPr>
            <w:tcW w:w="2551" w:type="dxa"/>
            <w:tcBorders>
              <w:top w:val="single" w:sz="8" w:space="0" w:color="010000"/>
              <w:left w:val="single" w:sz="8" w:space="0" w:color="010000"/>
              <w:bottom w:val="single" w:sz="8" w:space="0" w:color="010000"/>
              <w:right w:val="single" w:sz="8" w:space="0" w:color="000000"/>
            </w:tcBorders>
            <w:shd w:val="clear" w:color="auto" w:fill="auto"/>
            <w:tcMar>
              <w:top w:w="72" w:type="dxa"/>
              <w:left w:w="144" w:type="dxa"/>
              <w:bottom w:w="72" w:type="dxa"/>
              <w:right w:w="144" w:type="dxa"/>
            </w:tcMar>
            <w:vAlign w:val="center"/>
            <w:hideMark/>
          </w:tcPr>
          <w:p w14:paraId="4585FABD" w14:textId="77777777" w:rsidR="00B224B3" w:rsidRPr="004071F0" w:rsidRDefault="00B224B3" w:rsidP="00B24337">
            <w:pPr>
              <w:spacing w:after="0" w:line="240" w:lineRule="auto"/>
              <w:rPr>
                <w:rFonts w:ascii="Calibri" w:hAnsi="Calibri" w:cs="Calibri"/>
              </w:rPr>
            </w:pPr>
            <w:r w:rsidRPr="004071F0">
              <w:rPr>
                <w:rFonts w:ascii="Calibri" w:hAnsi="Calibri" w:cs="Calibri"/>
                <w:b/>
                <w:bCs/>
                <w:i/>
                <w:iCs/>
              </w:rPr>
              <w:t>Acacia senegal</w:t>
            </w:r>
            <w:r w:rsidRPr="004071F0">
              <w:rPr>
                <w:rFonts w:ascii="Calibri" w:hAnsi="Calibri" w:cs="Calibri"/>
                <w:b/>
                <w:bCs/>
              </w:rPr>
              <w:t> </w:t>
            </w:r>
          </w:p>
        </w:tc>
        <w:tc>
          <w:tcPr>
            <w:tcW w:w="2136" w:type="dxa"/>
            <w:tcBorders>
              <w:top w:val="single" w:sz="6" w:space="0" w:color="000000"/>
              <w:left w:val="single" w:sz="8" w:space="0" w:color="000000"/>
              <w:bottom w:val="single" w:sz="6" w:space="0" w:color="000000"/>
              <w:right w:val="single" w:sz="6" w:space="0" w:color="000000"/>
            </w:tcBorders>
            <w:shd w:val="clear" w:color="auto" w:fill="33FF33"/>
            <w:tcMar>
              <w:top w:w="72" w:type="dxa"/>
              <w:left w:w="144" w:type="dxa"/>
              <w:bottom w:w="72" w:type="dxa"/>
              <w:right w:w="144" w:type="dxa"/>
            </w:tcMar>
            <w:vAlign w:val="center"/>
            <w:hideMark/>
          </w:tcPr>
          <w:p w14:paraId="3FF0FC8D" w14:textId="77777777" w:rsidR="00B224B3" w:rsidRPr="004071F0" w:rsidRDefault="00B224B3" w:rsidP="00B24337">
            <w:pPr>
              <w:spacing w:after="0" w:line="240" w:lineRule="auto"/>
              <w:rPr>
                <w:rFonts w:ascii="Calibri" w:hAnsi="Calibri" w:cs="Calibri"/>
              </w:rPr>
            </w:pPr>
            <w:r w:rsidRPr="004071F0">
              <w:rPr>
                <w:rFonts w:ascii="Calibri" w:hAnsi="Calibri" w:cs="Calibri"/>
                <w:b/>
                <w:bCs/>
              </w:rPr>
              <w:t>X</w:t>
            </w:r>
          </w:p>
        </w:tc>
        <w:tc>
          <w:tcPr>
            <w:tcW w:w="0" w:type="auto"/>
            <w:tcBorders>
              <w:top w:val="single" w:sz="6" w:space="0" w:color="000000"/>
              <w:left w:val="single" w:sz="6" w:space="0" w:color="000000"/>
              <w:bottom w:val="single" w:sz="6" w:space="0" w:color="000000"/>
              <w:right w:val="single" w:sz="8" w:space="0" w:color="010000"/>
            </w:tcBorders>
            <w:shd w:val="clear" w:color="auto" w:fill="33FF33"/>
            <w:tcMar>
              <w:top w:w="72" w:type="dxa"/>
              <w:left w:w="144" w:type="dxa"/>
              <w:bottom w:w="72" w:type="dxa"/>
              <w:right w:w="144" w:type="dxa"/>
            </w:tcMar>
            <w:vAlign w:val="center"/>
            <w:hideMark/>
          </w:tcPr>
          <w:p w14:paraId="1B158989" w14:textId="77777777" w:rsidR="00B224B3" w:rsidRPr="004071F0" w:rsidRDefault="00B224B3" w:rsidP="00B24337">
            <w:pPr>
              <w:spacing w:after="0" w:line="240" w:lineRule="auto"/>
              <w:rPr>
                <w:rFonts w:ascii="Calibri" w:hAnsi="Calibri" w:cs="Calibri"/>
              </w:rPr>
            </w:pPr>
            <w:r w:rsidRPr="004071F0">
              <w:rPr>
                <w:rFonts w:ascii="Calibri" w:hAnsi="Calibri" w:cs="Calibri"/>
                <w:b/>
                <w:bCs/>
              </w:rPr>
              <w:t>X </w:t>
            </w:r>
          </w:p>
        </w:tc>
        <w:tc>
          <w:tcPr>
            <w:tcW w:w="0" w:type="auto"/>
            <w:tcBorders>
              <w:top w:val="single" w:sz="8" w:space="0" w:color="010000"/>
              <w:left w:val="single" w:sz="8" w:space="0" w:color="010000"/>
              <w:bottom w:val="single" w:sz="8" w:space="0" w:color="010000"/>
              <w:right w:val="single" w:sz="8" w:space="0" w:color="010000"/>
            </w:tcBorders>
            <w:shd w:val="clear" w:color="auto" w:fill="auto"/>
            <w:tcMar>
              <w:top w:w="72" w:type="dxa"/>
              <w:left w:w="144" w:type="dxa"/>
              <w:bottom w:w="72" w:type="dxa"/>
              <w:right w:w="144" w:type="dxa"/>
            </w:tcMar>
            <w:vAlign w:val="center"/>
            <w:hideMark/>
          </w:tcPr>
          <w:p w14:paraId="244A1E38" w14:textId="77777777" w:rsidR="00B224B3" w:rsidRPr="004071F0" w:rsidRDefault="00B224B3" w:rsidP="00B24337">
            <w:pPr>
              <w:spacing w:after="0" w:line="240" w:lineRule="auto"/>
              <w:rPr>
                <w:rFonts w:ascii="Calibri" w:hAnsi="Calibri" w:cs="Calibri"/>
              </w:rPr>
            </w:pPr>
            <w:r w:rsidRPr="004071F0">
              <w:rPr>
                <w:rFonts w:ascii="Calibri" w:hAnsi="Calibri" w:cs="Calibri"/>
                <w:b/>
                <w:bCs/>
              </w:rPr>
              <w:t> </w:t>
            </w:r>
          </w:p>
        </w:tc>
      </w:tr>
      <w:tr w:rsidR="00B224B3" w:rsidRPr="004071F0" w14:paraId="7C677C54" w14:textId="77777777" w:rsidTr="00C478B7">
        <w:trPr>
          <w:trHeight w:val="330"/>
        </w:trPr>
        <w:tc>
          <w:tcPr>
            <w:tcW w:w="2551" w:type="dxa"/>
            <w:tcBorders>
              <w:top w:val="single" w:sz="8" w:space="0" w:color="010000"/>
              <w:left w:val="single" w:sz="8" w:space="0" w:color="010000"/>
              <w:bottom w:val="single" w:sz="8" w:space="0" w:color="010000"/>
              <w:right w:val="single" w:sz="8" w:space="0" w:color="000000"/>
            </w:tcBorders>
            <w:shd w:val="clear" w:color="auto" w:fill="auto"/>
            <w:tcMar>
              <w:top w:w="72" w:type="dxa"/>
              <w:left w:w="144" w:type="dxa"/>
              <w:bottom w:w="72" w:type="dxa"/>
              <w:right w:w="144" w:type="dxa"/>
            </w:tcMar>
            <w:vAlign w:val="center"/>
            <w:hideMark/>
          </w:tcPr>
          <w:p w14:paraId="2E23B59B" w14:textId="77777777" w:rsidR="00B224B3" w:rsidRPr="004071F0" w:rsidRDefault="00B224B3" w:rsidP="00B24337">
            <w:pPr>
              <w:spacing w:after="0" w:line="240" w:lineRule="auto"/>
              <w:rPr>
                <w:rFonts w:ascii="Calibri" w:hAnsi="Calibri" w:cs="Calibri"/>
              </w:rPr>
            </w:pPr>
            <w:r w:rsidRPr="004071F0">
              <w:rPr>
                <w:rFonts w:ascii="Calibri" w:hAnsi="Calibri" w:cs="Calibri"/>
                <w:b/>
                <w:bCs/>
                <w:i/>
                <w:iCs/>
              </w:rPr>
              <w:t>Agave sisalana</w:t>
            </w:r>
          </w:p>
        </w:tc>
        <w:tc>
          <w:tcPr>
            <w:tcW w:w="2136" w:type="dxa"/>
            <w:tcBorders>
              <w:top w:val="single" w:sz="6" w:space="0" w:color="000000"/>
              <w:left w:val="single" w:sz="8" w:space="0" w:color="000000"/>
              <w:bottom w:val="single" w:sz="6" w:space="0" w:color="000000"/>
              <w:right w:val="single" w:sz="6" w:space="0" w:color="000000"/>
            </w:tcBorders>
            <w:shd w:val="clear" w:color="auto" w:fill="auto"/>
            <w:tcMar>
              <w:top w:w="72" w:type="dxa"/>
              <w:left w:w="144" w:type="dxa"/>
              <w:bottom w:w="72" w:type="dxa"/>
              <w:right w:w="144" w:type="dxa"/>
            </w:tcMar>
            <w:vAlign w:val="center"/>
            <w:hideMark/>
          </w:tcPr>
          <w:p w14:paraId="2AFAC5F0" w14:textId="77777777" w:rsidR="00B224B3" w:rsidRPr="004071F0" w:rsidRDefault="00B224B3" w:rsidP="00B24337">
            <w:pPr>
              <w:spacing w:after="0" w:line="240" w:lineRule="auto"/>
              <w:rPr>
                <w:rFonts w:ascii="Calibri" w:hAnsi="Calibri" w:cs="Calibri"/>
              </w:rPr>
            </w:pPr>
            <w:r w:rsidRPr="004071F0">
              <w:rPr>
                <w:rFonts w:ascii="Calibri" w:hAnsi="Calibri" w:cs="Calibri"/>
                <w:b/>
                <w:bCs/>
              </w:rPr>
              <w:t> </w:t>
            </w:r>
          </w:p>
        </w:tc>
        <w:tc>
          <w:tcPr>
            <w:tcW w:w="0" w:type="auto"/>
            <w:tcBorders>
              <w:top w:val="single" w:sz="6" w:space="0" w:color="000000"/>
              <w:left w:val="single" w:sz="6" w:space="0" w:color="000000"/>
              <w:bottom w:val="single" w:sz="6" w:space="0" w:color="000000"/>
              <w:right w:val="single" w:sz="8" w:space="0" w:color="010000"/>
            </w:tcBorders>
            <w:shd w:val="clear" w:color="auto" w:fill="33FF33"/>
            <w:tcMar>
              <w:top w:w="72" w:type="dxa"/>
              <w:left w:w="144" w:type="dxa"/>
              <w:bottom w:w="72" w:type="dxa"/>
              <w:right w:w="144" w:type="dxa"/>
            </w:tcMar>
            <w:vAlign w:val="center"/>
            <w:hideMark/>
          </w:tcPr>
          <w:p w14:paraId="71885EBA" w14:textId="77777777" w:rsidR="00B224B3" w:rsidRPr="004071F0" w:rsidRDefault="00B224B3" w:rsidP="00B24337">
            <w:pPr>
              <w:spacing w:after="0" w:line="240" w:lineRule="auto"/>
              <w:rPr>
                <w:rFonts w:ascii="Calibri" w:hAnsi="Calibri" w:cs="Calibri"/>
              </w:rPr>
            </w:pPr>
            <w:r w:rsidRPr="004071F0">
              <w:rPr>
                <w:rFonts w:ascii="Calibri" w:hAnsi="Calibri" w:cs="Calibri"/>
                <w:b/>
                <w:bCs/>
              </w:rPr>
              <w:t>X </w:t>
            </w:r>
          </w:p>
        </w:tc>
        <w:tc>
          <w:tcPr>
            <w:tcW w:w="0" w:type="auto"/>
            <w:tcBorders>
              <w:top w:val="single" w:sz="8" w:space="0" w:color="010000"/>
              <w:left w:val="single" w:sz="8" w:space="0" w:color="010000"/>
              <w:bottom w:val="single" w:sz="8" w:space="0" w:color="010000"/>
              <w:right w:val="single" w:sz="8" w:space="0" w:color="010000"/>
            </w:tcBorders>
            <w:shd w:val="clear" w:color="auto" w:fill="33FF33"/>
            <w:tcMar>
              <w:top w:w="72" w:type="dxa"/>
              <w:left w:w="144" w:type="dxa"/>
              <w:bottom w:w="72" w:type="dxa"/>
              <w:right w:w="144" w:type="dxa"/>
            </w:tcMar>
            <w:vAlign w:val="center"/>
            <w:hideMark/>
          </w:tcPr>
          <w:p w14:paraId="17A6FDE8" w14:textId="77777777" w:rsidR="00B224B3" w:rsidRPr="004071F0" w:rsidRDefault="00B224B3" w:rsidP="00B24337">
            <w:pPr>
              <w:spacing w:after="0" w:line="240" w:lineRule="auto"/>
              <w:rPr>
                <w:rFonts w:ascii="Calibri" w:hAnsi="Calibri" w:cs="Calibri"/>
              </w:rPr>
            </w:pPr>
            <w:r w:rsidRPr="004071F0">
              <w:rPr>
                <w:rFonts w:ascii="Calibri" w:hAnsi="Calibri" w:cs="Calibri"/>
                <w:b/>
                <w:bCs/>
              </w:rPr>
              <w:t>X</w:t>
            </w:r>
          </w:p>
        </w:tc>
      </w:tr>
      <w:tr w:rsidR="00B224B3" w:rsidRPr="004071F0" w14:paraId="1393CE96" w14:textId="77777777" w:rsidTr="00C478B7">
        <w:trPr>
          <w:trHeight w:val="253"/>
        </w:trPr>
        <w:tc>
          <w:tcPr>
            <w:tcW w:w="2551" w:type="dxa"/>
            <w:tcBorders>
              <w:top w:val="single" w:sz="8" w:space="0" w:color="010000"/>
              <w:left w:val="single" w:sz="8" w:space="0" w:color="010000"/>
              <w:bottom w:val="single" w:sz="8" w:space="0" w:color="010000"/>
              <w:right w:val="single" w:sz="8" w:space="0" w:color="000000"/>
            </w:tcBorders>
            <w:shd w:val="clear" w:color="auto" w:fill="auto"/>
            <w:tcMar>
              <w:top w:w="72" w:type="dxa"/>
              <w:left w:w="144" w:type="dxa"/>
              <w:bottom w:w="72" w:type="dxa"/>
              <w:right w:w="144" w:type="dxa"/>
            </w:tcMar>
            <w:vAlign w:val="center"/>
            <w:hideMark/>
          </w:tcPr>
          <w:p w14:paraId="2919948F" w14:textId="77777777" w:rsidR="00B224B3" w:rsidRPr="004071F0" w:rsidRDefault="00B224B3" w:rsidP="00B24337">
            <w:pPr>
              <w:spacing w:after="0" w:line="240" w:lineRule="auto"/>
              <w:rPr>
                <w:rFonts w:ascii="Calibri" w:hAnsi="Calibri" w:cs="Calibri"/>
              </w:rPr>
            </w:pPr>
            <w:r w:rsidRPr="004071F0">
              <w:rPr>
                <w:rFonts w:ascii="Calibri" w:hAnsi="Calibri" w:cs="Calibri"/>
                <w:b/>
                <w:bCs/>
                <w:i/>
                <w:iCs/>
              </w:rPr>
              <w:t>Bauhinia rufescens</w:t>
            </w:r>
          </w:p>
        </w:tc>
        <w:tc>
          <w:tcPr>
            <w:tcW w:w="2136" w:type="dxa"/>
            <w:tcBorders>
              <w:top w:val="single" w:sz="6" w:space="0" w:color="000000"/>
              <w:left w:val="single" w:sz="8" w:space="0" w:color="000000"/>
              <w:bottom w:val="single" w:sz="6" w:space="0" w:color="000000"/>
              <w:right w:val="single" w:sz="6" w:space="0" w:color="000000"/>
            </w:tcBorders>
            <w:shd w:val="clear" w:color="auto" w:fill="33FF33"/>
            <w:tcMar>
              <w:top w:w="72" w:type="dxa"/>
              <w:left w:w="144" w:type="dxa"/>
              <w:bottom w:w="72" w:type="dxa"/>
              <w:right w:w="144" w:type="dxa"/>
            </w:tcMar>
            <w:vAlign w:val="center"/>
            <w:hideMark/>
          </w:tcPr>
          <w:p w14:paraId="5564F71B" w14:textId="77777777" w:rsidR="00B224B3" w:rsidRPr="004071F0" w:rsidRDefault="00B224B3" w:rsidP="00B24337">
            <w:pPr>
              <w:spacing w:after="0" w:line="240" w:lineRule="auto"/>
              <w:rPr>
                <w:rFonts w:ascii="Calibri" w:hAnsi="Calibri" w:cs="Calibri"/>
              </w:rPr>
            </w:pPr>
            <w:r w:rsidRPr="004071F0">
              <w:rPr>
                <w:rFonts w:ascii="Calibri" w:hAnsi="Calibri" w:cs="Calibri"/>
                <w:b/>
                <w:bCs/>
              </w:rPr>
              <w:t>X</w:t>
            </w:r>
          </w:p>
        </w:tc>
        <w:tc>
          <w:tcPr>
            <w:tcW w:w="0" w:type="auto"/>
            <w:tcBorders>
              <w:top w:val="single" w:sz="6" w:space="0" w:color="000000"/>
              <w:left w:val="single" w:sz="6" w:space="0" w:color="000000"/>
              <w:bottom w:val="single" w:sz="6" w:space="0" w:color="000000"/>
              <w:right w:val="single" w:sz="8" w:space="0" w:color="010000"/>
            </w:tcBorders>
            <w:shd w:val="clear" w:color="auto" w:fill="33FF33"/>
            <w:tcMar>
              <w:top w:w="72" w:type="dxa"/>
              <w:left w:w="144" w:type="dxa"/>
              <w:bottom w:w="72" w:type="dxa"/>
              <w:right w:w="144" w:type="dxa"/>
            </w:tcMar>
            <w:vAlign w:val="center"/>
            <w:hideMark/>
          </w:tcPr>
          <w:p w14:paraId="1D68B9C0" w14:textId="77777777" w:rsidR="00B224B3" w:rsidRPr="004071F0" w:rsidRDefault="00B224B3" w:rsidP="00B24337">
            <w:pPr>
              <w:spacing w:after="0" w:line="240" w:lineRule="auto"/>
              <w:rPr>
                <w:rFonts w:ascii="Calibri" w:hAnsi="Calibri" w:cs="Calibri"/>
              </w:rPr>
            </w:pPr>
            <w:r w:rsidRPr="004071F0">
              <w:rPr>
                <w:rFonts w:ascii="Calibri" w:hAnsi="Calibri" w:cs="Calibri"/>
                <w:b/>
                <w:bCs/>
              </w:rPr>
              <w:t>X</w:t>
            </w:r>
          </w:p>
        </w:tc>
        <w:tc>
          <w:tcPr>
            <w:tcW w:w="0" w:type="auto"/>
            <w:tcBorders>
              <w:top w:val="single" w:sz="8" w:space="0" w:color="010000"/>
              <w:left w:val="single" w:sz="8" w:space="0" w:color="010000"/>
              <w:bottom w:val="single" w:sz="8" w:space="0" w:color="010000"/>
              <w:right w:val="single" w:sz="8" w:space="0" w:color="010000"/>
            </w:tcBorders>
            <w:shd w:val="clear" w:color="auto" w:fill="33FF33"/>
            <w:tcMar>
              <w:top w:w="72" w:type="dxa"/>
              <w:left w:w="144" w:type="dxa"/>
              <w:bottom w:w="72" w:type="dxa"/>
              <w:right w:w="144" w:type="dxa"/>
            </w:tcMar>
            <w:vAlign w:val="center"/>
            <w:hideMark/>
          </w:tcPr>
          <w:p w14:paraId="55AAC6A7" w14:textId="77777777" w:rsidR="00B224B3" w:rsidRPr="004071F0" w:rsidRDefault="00B224B3" w:rsidP="00B24337">
            <w:pPr>
              <w:spacing w:after="0" w:line="240" w:lineRule="auto"/>
              <w:rPr>
                <w:rFonts w:ascii="Calibri" w:hAnsi="Calibri" w:cs="Calibri"/>
              </w:rPr>
            </w:pPr>
            <w:r w:rsidRPr="004071F0">
              <w:rPr>
                <w:rFonts w:ascii="Calibri" w:hAnsi="Calibri" w:cs="Calibri"/>
                <w:b/>
                <w:bCs/>
              </w:rPr>
              <w:t>X</w:t>
            </w:r>
          </w:p>
        </w:tc>
      </w:tr>
      <w:tr w:rsidR="00B224B3" w:rsidRPr="004071F0" w14:paraId="2F9BDE44" w14:textId="77777777" w:rsidTr="00C478B7">
        <w:trPr>
          <w:trHeight w:val="245"/>
        </w:trPr>
        <w:tc>
          <w:tcPr>
            <w:tcW w:w="2551" w:type="dxa"/>
            <w:tcBorders>
              <w:top w:val="single" w:sz="8" w:space="0" w:color="010000"/>
              <w:left w:val="single" w:sz="8" w:space="0" w:color="010000"/>
              <w:bottom w:val="single" w:sz="8" w:space="0" w:color="010000"/>
              <w:right w:val="single" w:sz="8" w:space="0" w:color="000000"/>
            </w:tcBorders>
            <w:shd w:val="clear" w:color="auto" w:fill="auto"/>
            <w:tcMar>
              <w:top w:w="72" w:type="dxa"/>
              <w:left w:w="144" w:type="dxa"/>
              <w:bottom w:w="72" w:type="dxa"/>
              <w:right w:w="144" w:type="dxa"/>
            </w:tcMar>
            <w:vAlign w:val="center"/>
            <w:hideMark/>
          </w:tcPr>
          <w:p w14:paraId="286902C5" w14:textId="77777777" w:rsidR="00B224B3" w:rsidRPr="004071F0" w:rsidRDefault="00B224B3" w:rsidP="00B24337">
            <w:pPr>
              <w:spacing w:after="0" w:line="240" w:lineRule="auto"/>
              <w:rPr>
                <w:rFonts w:ascii="Calibri" w:hAnsi="Calibri" w:cs="Calibri"/>
              </w:rPr>
            </w:pPr>
            <w:r w:rsidRPr="004071F0">
              <w:rPr>
                <w:rFonts w:ascii="Calibri" w:hAnsi="Calibri" w:cs="Calibri"/>
                <w:b/>
                <w:bCs/>
                <w:i/>
                <w:iCs/>
              </w:rPr>
              <w:t>Citrus lemon</w:t>
            </w:r>
          </w:p>
        </w:tc>
        <w:tc>
          <w:tcPr>
            <w:tcW w:w="2136" w:type="dxa"/>
            <w:tcBorders>
              <w:top w:val="single" w:sz="6" w:space="0" w:color="000000"/>
              <w:left w:val="single" w:sz="8" w:space="0" w:color="000000"/>
              <w:bottom w:val="single" w:sz="6" w:space="0" w:color="000000"/>
              <w:right w:val="single" w:sz="6" w:space="0" w:color="000000"/>
            </w:tcBorders>
            <w:shd w:val="clear" w:color="auto" w:fill="auto"/>
            <w:tcMar>
              <w:top w:w="72" w:type="dxa"/>
              <w:left w:w="144" w:type="dxa"/>
              <w:bottom w:w="72" w:type="dxa"/>
              <w:right w:w="144" w:type="dxa"/>
            </w:tcMar>
            <w:vAlign w:val="center"/>
            <w:hideMark/>
          </w:tcPr>
          <w:p w14:paraId="5F9C14D5" w14:textId="77777777" w:rsidR="00B224B3" w:rsidRPr="004071F0" w:rsidRDefault="00B224B3" w:rsidP="00B24337">
            <w:pPr>
              <w:spacing w:after="0" w:line="240" w:lineRule="auto"/>
              <w:rPr>
                <w:rFonts w:ascii="Calibri" w:hAnsi="Calibri" w:cs="Calibri"/>
              </w:rPr>
            </w:pPr>
            <w:r w:rsidRPr="004071F0">
              <w:rPr>
                <w:rFonts w:ascii="Calibri" w:hAnsi="Calibri" w:cs="Calibri"/>
                <w:b/>
                <w:bCs/>
              </w:rPr>
              <w:t> </w:t>
            </w:r>
          </w:p>
        </w:tc>
        <w:tc>
          <w:tcPr>
            <w:tcW w:w="0" w:type="auto"/>
            <w:tcBorders>
              <w:top w:val="single" w:sz="6" w:space="0" w:color="000000"/>
              <w:left w:val="single" w:sz="6" w:space="0" w:color="000000"/>
              <w:bottom w:val="single" w:sz="6" w:space="0" w:color="000000"/>
              <w:right w:val="single" w:sz="8" w:space="0" w:color="010000"/>
            </w:tcBorders>
            <w:shd w:val="clear" w:color="auto" w:fill="33FF33"/>
            <w:tcMar>
              <w:top w:w="72" w:type="dxa"/>
              <w:left w:w="144" w:type="dxa"/>
              <w:bottom w:w="72" w:type="dxa"/>
              <w:right w:w="144" w:type="dxa"/>
            </w:tcMar>
            <w:vAlign w:val="center"/>
            <w:hideMark/>
          </w:tcPr>
          <w:p w14:paraId="01D82459" w14:textId="77777777" w:rsidR="00B224B3" w:rsidRPr="004071F0" w:rsidRDefault="00B224B3" w:rsidP="00B24337">
            <w:pPr>
              <w:spacing w:after="0" w:line="240" w:lineRule="auto"/>
              <w:rPr>
                <w:rFonts w:ascii="Calibri" w:hAnsi="Calibri" w:cs="Calibri"/>
              </w:rPr>
            </w:pPr>
            <w:r w:rsidRPr="004071F0">
              <w:rPr>
                <w:rFonts w:ascii="Calibri" w:hAnsi="Calibri" w:cs="Calibri"/>
                <w:b/>
                <w:bCs/>
              </w:rPr>
              <w:t>X</w:t>
            </w:r>
          </w:p>
        </w:tc>
        <w:tc>
          <w:tcPr>
            <w:tcW w:w="0" w:type="auto"/>
            <w:tcBorders>
              <w:top w:val="single" w:sz="8" w:space="0" w:color="010000"/>
              <w:left w:val="single" w:sz="8" w:space="0" w:color="010000"/>
              <w:bottom w:val="single" w:sz="8" w:space="0" w:color="010000"/>
              <w:right w:val="single" w:sz="8" w:space="0" w:color="010000"/>
            </w:tcBorders>
            <w:shd w:val="clear" w:color="auto" w:fill="33FF33"/>
            <w:tcMar>
              <w:top w:w="72" w:type="dxa"/>
              <w:left w:w="144" w:type="dxa"/>
              <w:bottom w:w="72" w:type="dxa"/>
              <w:right w:w="144" w:type="dxa"/>
            </w:tcMar>
            <w:vAlign w:val="center"/>
            <w:hideMark/>
          </w:tcPr>
          <w:p w14:paraId="5BF70C33" w14:textId="77777777" w:rsidR="00B224B3" w:rsidRPr="004071F0" w:rsidRDefault="00B224B3" w:rsidP="00B24337">
            <w:pPr>
              <w:spacing w:after="0" w:line="240" w:lineRule="auto"/>
              <w:rPr>
                <w:rFonts w:ascii="Calibri" w:hAnsi="Calibri" w:cs="Calibri"/>
              </w:rPr>
            </w:pPr>
            <w:r w:rsidRPr="004071F0">
              <w:rPr>
                <w:rFonts w:ascii="Calibri" w:hAnsi="Calibri" w:cs="Calibri"/>
                <w:b/>
                <w:bCs/>
              </w:rPr>
              <w:t>X</w:t>
            </w:r>
          </w:p>
        </w:tc>
      </w:tr>
      <w:tr w:rsidR="00B224B3" w:rsidRPr="004071F0" w14:paraId="5690E350" w14:textId="77777777" w:rsidTr="00C478B7">
        <w:trPr>
          <w:trHeight w:val="194"/>
        </w:trPr>
        <w:tc>
          <w:tcPr>
            <w:tcW w:w="2551" w:type="dxa"/>
            <w:tcBorders>
              <w:top w:val="single" w:sz="8" w:space="0" w:color="010000"/>
              <w:left w:val="single" w:sz="8" w:space="0" w:color="010000"/>
              <w:bottom w:val="single" w:sz="8" w:space="0" w:color="010000"/>
              <w:right w:val="single" w:sz="8" w:space="0" w:color="000000"/>
            </w:tcBorders>
            <w:shd w:val="clear" w:color="auto" w:fill="auto"/>
            <w:tcMar>
              <w:top w:w="72" w:type="dxa"/>
              <w:left w:w="144" w:type="dxa"/>
              <w:bottom w:w="72" w:type="dxa"/>
              <w:right w:w="144" w:type="dxa"/>
            </w:tcMar>
            <w:vAlign w:val="center"/>
            <w:hideMark/>
          </w:tcPr>
          <w:p w14:paraId="09AAAA1A" w14:textId="77777777" w:rsidR="00B224B3" w:rsidRPr="004071F0" w:rsidRDefault="00B224B3" w:rsidP="00B24337">
            <w:pPr>
              <w:spacing w:after="0" w:line="240" w:lineRule="auto"/>
              <w:rPr>
                <w:rFonts w:ascii="Calibri" w:hAnsi="Calibri" w:cs="Calibri"/>
              </w:rPr>
            </w:pPr>
            <w:r w:rsidRPr="004071F0">
              <w:rPr>
                <w:rFonts w:ascii="Calibri" w:hAnsi="Calibri" w:cs="Calibri"/>
                <w:b/>
                <w:bCs/>
                <w:i/>
                <w:iCs/>
              </w:rPr>
              <w:lastRenderedPageBreak/>
              <w:t>Commiphora africana</w:t>
            </w:r>
          </w:p>
        </w:tc>
        <w:tc>
          <w:tcPr>
            <w:tcW w:w="2136" w:type="dxa"/>
            <w:tcBorders>
              <w:top w:val="single" w:sz="6" w:space="0" w:color="000000"/>
              <w:left w:val="single" w:sz="8" w:space="0" w:color="000000"/>
              <w:bottom w:val="single" w:sz="6" w:space="0" w:color="000000"/>
              <w:right w:val="single" w:sz="6" w:space="0" w:color="000000"/>
            </w:tcBorders>
            <w:shd w:val="clear" w:color="auto" w:fill="33FF33"/>
            <w:tcMar>
              <w:top w:w="72" w:type="dxa"/>
              <w:left w:w="144" w:type="dxa"/>
              <w:bottom w:w="72" w:type="dxa"/>
              <w:right w:w="144" w:type="dxa"/>
            </w:tcMar>
            <w:vAlign w:val="center"/>
            <w:hideMark/>
          </w:tcPr>
          <w:p w14:paraId="734C614A" w14:textId="77777777" w:rsidR="00B224B3" w:rsidRPr="004071F0" w:rsidRDefault="00B224B3" w:rsidP="00B24337">
            <w:pPr>
              <w:spacing w:after="0" w:line="240" w:lineRule="auto"/>
              <w:rPr>
                <w:rFonts w:ascii="Calibri" w:hAnsi="Calibri" w:cs="Calibri"/>
              </w:rPr>
            </w:pPr>
            <w:r w:rsidRPr="004071F0">
              <w:rPr>
                <w:rFonts w:ascii="Calibri" w:hAnsi="Calibri" w:cs="Calibri"/>
                <w:b/>
                <w:bCs/>
              </w:rPr>
              <w:t>X</w:t>
            </w:r>
          </w:p>
        </w:tc>
        <w:tc>
          <w:tcPr>
            <w:tcW w:w="0" w:type="auto"/>
            <w:tcBorders>
              <w:top w:val="single" w:sz="6" w:space="0" w:color="000000"/>
              <w:left w:val="single" w:sz="6" w:space="0" w:color="000000"/>
              <w:bottom w:val="single" w:sz="6" w:space="0" w:color="000000"/>
              <w:right w:val="single" w:sz="8" w:space="0" w:color="010000"/>
            </w:tcBorders>
            <w:shd w:val="clear" w:color="auto" w:fill="33FF33"/>
            <w:tcMar>
              <w:top w:w="72" w:type="dxa"/>
              <w:left w:w="144" w:type="dxa"/>
              <w:bottom w:w="72" w:type="dxa"/>
              <w:right w:w="144" w:type="dxa"/>
            </w:tcMar>
            <w:vAlign w:val="center"/>
            <w:hideMark/>
          </w:tcPr>
          <w:p w14:paraId="543D366A" w14:textId="77777777" w:rsidR="00B224B3" w:rsidRPr="004071F0" w:rsidRDefault="00B224B3" w:rsidP="00B24337">
            <w:pPr>
              <w:spacing w:after="0" w:line="240" w:lineRule="auto"/>
              <w:rPr>
                <w:rFonts w:ascii="Calibri" w:hAnsi="Calibri" w:cs="Calibri"/>
              </w:rPr>
            </w:pPr>
            <w:r w:rsidRPr="004071F0">
              <w:rPr>
                <w:rFonts w:ascii="Calibri" w:hAnsi="Calibri" w:cs="Calibri"/>
                <w:b/>
                <w:bCs/>
              </w:rPr>
              <w:t>X </w:t>
            </w:r>
          </w:p>
        </w:tc>
        <w:tc>
          <w:tcPr>
            <w:tcW w:w="0" w:type="auto"/>
            <w:tcBorders>
              <w:top w:val="single" w:sz="8" w:space="0" w:color="010000"/>
              <w:left w:val="single" w:sz="8" w:space="0" w:color="010000"/>
              <w:bottom w:val="single" w:sz="8" w:space="0" w:color="010000"/>
              <w:right w:val="single" w:sz="8" w:space="0" w:color="010000"/>
            </w:tcBorders>
            <w:shd w:val="clear" w:color="auto" w:fill="auto"/>
            <w:tcMar>
              <w:top w:w="72" w:type="dxa"/>
              <w:left w:w="144" w:type="dxa"/>
              <w:bottom w:w="72" w:type="dxa"/>
              <w:right w:w="144" w:type="dxa"/>
            </w:tcMar>
            <w:vAlign w:val="center"/>
            <w:hideMark/>
          </w:tcPr>
          <w:p w14:paraId="4B5D54F4" w14:textId="77777777" w:rsidR="00B224B3" w:rsidRPr="004071F0" w:rsidRDefault="00B224B3" w:rsidP="00B24337">
            <w:pPr>
              <w:spacing w:after="0" w:line="240" w:lineRule="auto"/>
              <w:rPr>
                <w:rFonts w:ascii="Calibri" w:hAnsi="Calibri" w:cs="Calibri"/>
              </w:rPr>
            </w:pPr>
            <w:r w:rsidRPr="004071F0">
              <w:rPr>
                <w:rFonts w:ascii="Calibri" w:hAnsi="Calibri" w:cs="Calibri"/>
                <w:b/>
                <w:bCs/>
              </w:rPr>
              <w:t> </w:t>
            </w:r>
          </w:p>
        </w:tc>
      </w:tr>
      <w:tr w:rsidR="00B224B3" w:rsidRPr="004071F0" w14:paraId="1FC2FFB0" w14:textId="77777777" w:rsidTr="00C478B7">
        <w:trPr>
          <w:trHeight w:val="52"/>
        </w:trPr>
        <w:tc>
          <w:tcPr>
            <w:tcW w:w="2551" w:type="dxa"/>
            <w:tcBorders>
              <w:top w:val="single" w:sz="8" w:space="0" w:color="010000"/>
              <w:left w:val="single" w:sz="8" w:space="0" w:color="010000"/>
              <w:bottom w:val="single" w:sz="8" w:space="0" w:color="010000"/>
              <w:right w:val="single" w:sz="8" w:space="0" w:color="000000"/>
            </w:tcBorders>
            <w:shd w:val="clear" w:color="auto" w:fill="auto"/>
            <w:tcMar>
              <w:top w:w="72" w:type="dxa"/>
              <w:left w:w="144" w:type="dxa"/>
              <w:bottom w:w="72" w:type="dxa"/>
              <w:right w:w="144" w:type="dxa"/>
            </w:tcMar>
            <w:vAlign w:val="center"/>
            <w:hideMark/>
          </w:tcPr>
          <w:p w14:paraId="0F6D69A1" w14:textId="77777777" w:rsidR="00B224B3" w:rsidRPr="004071F0" w:rsidRDefault="00B224B3" w:rsidP="00B24337">
            <w:pPr>
              <w:spacing w:after="0" w:line="240" w:lineRule="auto"/>
              <w:rPr>
                <w:rFonts w:ascii="Calibri" w:hAnsi="Calibri" w:cs="Calibri"/>
              </w:rPr>
            </w:pPr>
            <w:r w:rsidRPr="004071F0">
              <w:rPr>
                <w:rFonts w:ascii="Calibri" w:hAnsi="Calibri" w:cs="Calibri"/>
                <w:b/>
                <w:bCs/>
                <w:i/>
                <w:iCs/>
              </w:rPr>
              <w:t>Dichrostachys cinerea</w:t>
            </w:r>
          </w:p>
        </w:tc>
        <w:tc>
          <w:tcPr>
            <w:tcW w:w="2136" w:type="dxa"/>
            <w:tcBorders>
              <w:top w:val="single" w:sz="6" w:space="0" w:color="000000"/>
              <w:left w:val="single" w:sz="8" w:space="0" w:color="000000"/>
              <w:bottom w:val="single" w:sz="6" w:space="0" w:color="000000"/>
              <w:right w:val="single" w:sz="6" w:space="0" w:color="000000"/>
            </w:tcBorders>
            <w:shd w:val="clear" w:color="auto" w:fill="auto"/>
            <w:tcMar>
              <w:top w:w="72" w:type="dxa"/>
              <w:left w:w="144" w:type="dxa"/>
              <w:bottom w:w="72" w:type="dxa"/>
              <w:right w:w="144" w:type="dxa"/>
            </w:tcMar>
            <w:vAlign w:val="center"/>
            <w:hideMark/>
          </w:tcPr>
          <w:p w14:paraId="7379F8BD" w14:textId="77777777" w:rsidR="00B224B3" w:rsidRPr="004071F0" w:rsidRDefault="00B224B3" w:rsidP="00B24337">
            <w:pPr>
              <w:spacing w:after="0" w:line="240" w:lineRule="auto"/>
              <w:rPr>
                <w:rFonts w:ascii="Calibri" w:hAnsi="Calibri" w:cs="Calibri"/>
              </w:rPr>
            </w:pPr>
            <w:r w:rsidRPr="004071F0">
              <w:rPr>
                <w:rFonts w:ascii="Calibri" w:hAnsi="Calibri" w:cs="Calibri"/>
                <w:b/>
                <w:bCs/>
              </w:rPr>
              <w:t> </w:t>
            </w:r>
          </w:p>
        </w:tc>
        <w:tc>
          <w:tcPr>
            <w:tcW w:w="0" w:type="auto"/>
            <w:tcBorders>
              <w:top w:val="single" w:sz="6" w:space="0" w:color="000000"/>
              <w:left w:val="single" w:sz="6" w:space="0" w:color="000000"/>
              <w:bottom w:val="single" w:sz="6" w:space="0" w:color="000000"/>
              <w:right w:val="single" w:sz="8" w:space="0" w:color="010000"/>
            </w:tcBorders>
            <w:shd w:val="clear" w:color="auto" w:fill="auto"/>
            <w:tcMar>
              <w:top w:w="72" w:type="dxa"/>
              <w:left w:w="144" w:type="dxa"/>
              <w:bottom w:w="72" w:type="dxa"/>
              <w:right w:w="144" w:type="dxa"/>
            </w:tcMar>
            <w:vAlign w:val="center"/>
            <w:hideMark/>
          </w:tcPr>
          <w:p w14:paraId="29484DCB" w14:textId="77777777" w:rsidR="00B224B3" w:rsidRPr="004071F0" w:rsidRDefault="00B224B3" w:rsidP="00B24337">
            <w:pPr>
              <w:spacing w:after="0" w:line="240" w:lineRule="auto"/>
              <w:rPr>
                <w:rFonts w:ascii="Calibri" w:hAnsi="Calibri" w:cs="Calibri"/>
              </w:rPr>
            </w:pPr>
            <w:r w:rsidRPr="004071F0">
              <w:rPr>
                <w:rFonts w:ascii="Calibri" w:hAnsi="Calibri" w:cs="Calibri"/>
                <w:b/>
                <w:bCs/>
              </w:rPr>
              <w:t> </w:t>
            </w:r>
          </w:p>
        </w:tc>
        <w:tc>
          <w:tcPr>
            <w:tcW w:w="0" w:type="auto"/>
            <w:tcBorders>
              <w:top w:val="single" w:sz="8" w:space="0" w:color="010000"/>
              <w:left w:val="single" w:sz="8" w:space="0" w:color="010000"/>
              <w:bottom w:val="single" w:sz="8" w:space="0" w:color="010000"/>
              <w:right w:val="single" w:sz="8" w:space="0" w:color="010000"/>
            </w:tcBorders>
            <w:shd w:val="clear" w:color="auto" w:fill="33FF33"/>
            <w:tcMar>
              <w:top w:w="72" w:type="dxa"/>
              <w:left w:w="144" w:type="dxa"/>
              <w:bottom w:w="72" w:type="dxa"/>
              <w:right w:w="144" w:type="dxa"/>
            </w:tcMar>
            <w:vAlign w:val="center"/>
            <w:hideMark/>
          </w:tcPr>
          <w:p w14:paraId="55DD2436" w14:textId="77777777" w:rsidR="00B224B3" w:rsidRPr="004071F0" w:rsidRDefault="00B224B3" w:rsidP="00B24337">
            <w:pPr>
              <w:spacing w:after="0" w:line="240" w:lineRule="auto"/>
              <w:rPr>
                <w:rFonts w:ascii="Calibri" w:hAnsi="Calibri" w:cs="Calibri"/>
              </w:rPr>
            </w:pPr>
            <w:r w:rsidRPr="004071F0">
              <w:rPr>
                <w:rFonts w:ascii="Calibri" w:hAnsi="Calibri" w:cs="Calibri"/>
                <w:b/>
                <w:bCs/>
              </w:rPr>
              <w:t>X</w:t>
            </w:r>
          </w:p>
        </w:tc>
      </w:tr>
      <w:tr w:rsidR="00B224B3" w:rsidRPr="004071F0" w14:paraId="20B0AE66" w14:textId="77777777" w:rsidTr="00C478B7">
        <w:trPr>
          <w:trHeight w:val="186"/>
        </w:trPr>
        <w:tc>
          <w:tcPr>
            <w:tcW w:w="2551" w:type="dxa"/>
            <w:tcBorders>
              <w:top w:val="single" w:sz="8" w:space="0" w:color="010000"/>
              <w:left w:val="single" w:sz="8" w:space="0" w:color="010000"/>
              <w:bottom w:val="single" w:sz="8" w:space="0" w:color="010000"/>
              <w:right w:val="single" w:sz="8" w:space="0" w:color="000000"/>
            </w:tcBorders>
            <w:shd w:val="clear" w:color="auto" w:fill="auto"/>
            <w:tcMar>
              <w:top w:w="72" w:type="dxa"/>
              <w:left w:w="144" w:type="dxa"/>
              <w:bottom w:w="72" w:type="dxa"/>
              <w:right w:w="144" w:type="dxa"/>
            </w:tcMar>
            <w:vAlign w:val="center"/>
            <w:hideMark/>
          </w:tcPr>
          <w:p w14:paraId="16D7D523" w14:textId="77777777" w:rsidR="00B224B3" w:rsidRPr="004071F0" w:rsidRDefault="00B224B3" w:rsidP="00B24337">
            <w:pPr>
              <w:spacing w:after="0" w:line="240" w:lineRule="auto"/>
              <w:rPr>
                <w:rFonts w:ascii="Calibri" w:hAnsi="Calibri" w:cs="Calibri"/>
              </w:rPr>
            </w:pPr>
            <w:r w:rsidRPr="004071F0">
              <w:rPr>
                <w:rFonts w:ascii="Calibri" w:hAnsi="Calibri" w:cs="Calibri"/>
                <w:b/>
                <w:bCs/>
                <w:i/>
                <w:iCs/>
              </w:rPr>
              <w:t>Euphorbia balsamifera</w:t>
            </w:r>
          </w:p>
        </w:tc>
        <w:tc>
          <w:tcPr>
            <w:tcW w:w="2136" w:type="dxa"/>
            <w:tcBorders>
              <w:top w:val="single" w:sz="6" w:space="0" w:color="000000"/>
              <w:left w:val="single" w:sz="8" w:space="0" w:color="000000"/>
              <w:bottom w:val="single" w:sz="6" w:space="0" w:color="000000"/>
              <w:right w:val="single" w:sz="6" w:space="0" w:color="000000"/>
            </w:tcBorders>
            <w:shd w:val="clear" w:color="auto" w:fill="33FF33"/>
            <w:tcMar>
              <w:top w:w="72" w:type="dxa"/>
              <w:left w:w="144" w:type="dxa"/>
              <w:bottom w:w="72" w:type="dxa"/>
              <w:right w:w="144" w:type="dxa"/>
            </w:tcMar>
            <w:vAlign w:val="center"/>
            <w:hideMark/>
          </w:tcPr>
          <w:p w14:paraId="71185D27" w14:textId="77777777" w:rsidR="00B224B3" w:rsidRPr="004071F0" w:rsidRDefault="00B224B3" w:rsidP="00B24337">
            <w:pPr>
              <w:spacing w:after="0" w:line="240" w:lineRule="auto"/>
              <w:rPr>
                <w:rFonts w:ascii="Calibri" w:hAnsi="Calibri" w:cs="Calibri"/>
              </w:rPr>
            </w:pPr>
            <w:r w:rsidRPr="004071F0">
              <w:rPr>
                <w:rFonts w:ascii="Calibri" w:hAnsi="Calibri" w:cs="Calibri"/>
                <w:b/>
                <w:bCs/>
              </w:rPr>
              <w:t>X</w:t>
            </w:r>
          </w:p>
        </w:tc>
        <w:tc>
          <w:tcPr>
            <w:tcW w:w="0" w:type="auto"/>
            <w:tcBorders>
              <w:top w:val="single" w:sz="6" w:space="0" w:color="000000"/>
              <w:left w:val="single" w:sz="6" w:space="0" w:color="000000"/>
              <w:bottom w:val="single" w:sz="6" w:space="0" w:color="000000"/>
              <w:right w:val="single" w:sz="8" w:space="0" w:color="010000"/>
            </w:tcBorders>
            <w:shd w:val="clear" w:color="auto" w:fill="33FF33"/>
            <w:tcMar>
              <w:top w:w="72" w:type="dxa"/>
              <w:left w:w="144" w:type="dxa"/>
              <w:bottom w:w="72" w:type="dxa"/>
              <w:right w:w="144" w:type="dxa"/>
            </w:tcMar>
            <w:vAlign w:val="center"/>
            <w:hideMark/>
          </w:tcPr>
          <w:p w14:paraId="4EBA9F46" w14:textId="77777777" w:rsidR="00B224B3" w:rsidRPr="004071F0" w:rsidRDefault="00B224B3" w:rsidP="00B24337">
            <w:pPr>
              <w:spacing w:after="0" w:line="240" w:lineRule="auto"/>
              <w:rPr>
                <w:rFonts w:ascii="Calibri" w:hAnsi="Calibri" w:cs="Calibri"/>
              </w:rPr>
            </w:pPr>
            <w:r w:rsidRPr="004071F0">
              <w:rPr>
                <w:rFonts w:ascii="Calibri" w:hAnsi="Calibri" w:cs="Calibri"/>
                <w:b/>
                <w:bCs/>
              </w:rPr>
              <w:t>X </w:t>
            </w:r>
          </w:p>
        </w:tc>
        <w:tc>
          <w:tcPr>
            <w:tcW w:w="0" w:type="auto"/>
            <w:tcBorders>
              <w:top w:val="single" w:sz="8" w:space="0" w:color="010000"/>
              <w:left w:val="single" w:sz="8" w:space="0" w:color="010000"/>
              <w:bottom w:val="single" w:sz="8" w:space="0" w:color="010000"/>
              <w:right w:val="single" w:sz="8" w:space="0" w:color="010000"/>
            </w:tcBorders>
            <w:shd w:val="clear" w:color="auto" w:fill="auto"/>
            <w:tcMar>
              <w:top w:w="72" w:type="dxa"/>
              <w:left w:w="144" w:type="dxa"/>
              <w:bottom w:w="72" w:type="dxa"/>
              <w:right w:w="144" w:type="dxa"/>
            </w:tcMar>
            <w:vAlign w:val="center"/>
            <w:hideMark/>
          </w:tcPr>
          <w:p w14:paraId="687D0EE1" w14:textId="77777777" w:rsidR="00B224B3" w:rsidRPr="004071F0" w:rsidRDefault="00B224B3" w:rsidP="00B24337">
            <w:pPr>
              <w:spacing w:after="0" w:line="240" w:lineRule="auto"/>
              <w:rPr>
                <w:rFonts w:ascii="Calibri" w:hAnsi="Calibri" w:cs="Calibri"/>
              </w:rPr>
            </w:pPr>
            <w:r w:rsidRPr="004071F0">
              <w:rPr>
                <w:rFonts w:ascii="Calibri" w:hAnsi="Calibri" w:cs="Calibri"/>
                <w:b/>
                <w:bCs/>
              </w:rPr>
              <w:t> </w:t>
            </w:r>
          </w:p>
        </w:tc>
      </w:tr>
      <w:tr w:rsidR="00B224B3" w:rsidRPr="004071F0" w14:paraId="12E99182" w14:textId="77777777" w:rsidTr="00C478B7">
        <w:trPr>
          <w:trHeight w:val="177"/>
        </w:trPr>
        <w:tc>
          <w:tcPr>
            <w:tcW w:w="2551" w:type="dxa"/>
            <w:tcBorders>
              <w:top w:val="single" w:sz="8" w:space="0" w:color="010000"/>
              <w:left w:val="single" w:sz="8" w:space="0" w:color="010000"/>
              <w:bottom w:val="single" w:sz="8" w:space="0" w:color="010000"/>
              <w:right w:val="single" w:sz="8" w:space="0" w:color="000000"/>
            </w:tcBorders>
            <w:shd w:val="clear" w:color="auto" w:fill="auto"/>
            <w:tcMar>
              <w:top w:w="72" w:type="dxa"/>
              <w:left w:w="144" w:type="dxa"/>
              <w:bottom w:w="72" w:type="dxa"/>
              <w:right w:w="144" w:type="dxa"/>
            </w:tcMar>
            <w:vAlign w:val="center"/>
            <w:hideMark/>
          </w:tcPr>
          <w:p w14:paraId="351F3EAB" w14:textId="77777777" w:rsidR="00B224B3" w:rsidRPr="004071F0" w:rsidRDefault="00B224B3" w:rsidP="00B24337">
            <w:pPr>
              <w:spacing w:after="0" w:line="240" w:lineRule="auto"/>
              <w:rPr>
                <w:rFonts w:ascii="Calibri" w:hAnsi="Calibri" w:cs="Calibri"/>
              </w:rPr>
            </w:pPr>
            <w:r w:rsidRPr="004071F0">
              <w:rPr>
                <w:rFonts w:ascii="Calibri" w:hAnsi="Calibri" w:cs="Calibri"/>
                <w:b/>
                <w:bCs/>
                <w:i/>
                <w:iCs/>
              </w:rPr>
              <w:t>Haematoxylon brasiletto</w:t>
            </w:r>
          </w:p>
        </w:tc>
        <w:tc>
          <w:tcPr>
            <w:tcW w:w="2136" w:type="dxa"/>
            <w:tcBorders>
              <w:top w:val="single" w:sz="6" w:space="0" w:color="000000"/>
              <w:left w:val="single" w:sz="8" w:space="0" w:color="000000"/>
              <w:bottom w:val="single" w:sz="6" w:space="0" w:color="000000"/>
              <w:right w:val="single" w:sz="6" w:space="0" w:color="000000"/>
            </w:tcBorders>
            <w:shd w:val="clear" w:color="auto" w:fill="auto"/>
            <w:tcMar>
              <w:top w:w="72" w:type="dxa"/>
              <w:left w:w="144" w:type="dxa"/>
              <w:bottom w:w="72" w:type="dxa"/>
              <w:right w:w="144" w:type="dxa"/>
            </w:tcMar>
            <w:vAlign w:val="center"/>
            <w:hideMark/>
          </w:tcPr>
          <w:p w14:paraId="0AB40822" w14:textId="77777777" w:rsidR="00B224B3" w:rsidRPr="004071F0" w:rsidRDefault="00B224B3" w:rsidP="00B24337">
            <w:pPr>
              <w:spacing w:after="0" w:line="240" w:lineRule="auto"/>
              <w:rPr>
                <w:rFonts w:ascii="Calibri" w:hAnsi="Calibri" w:cs="Calibri"/>
              </w:rPr>
            </w:pPr>
            <w:r w:rsidRPr="004071F0">
              <w:rPr>
                <w:rFonts w:ascii="Calibri" w:hAnsi="Calibri" w:cs="Calibri"/>
                <w:b/>
                <w:bCs/>
              </w:rPr>
              <w:t> </w:t>
            </w:r>
          </w:p>
        </w:tc>
        <w:tc>
          <w:tcPr>
            <w:tcW w:w="0" w:type="auto"/>
            <w:tcBorders>
              <w:top w:val="single" w:sz="6" w:space="0" w:color="000000"/>
              <w:left w:val="single" w:sz="6" w:space="0" w:color="000000"/>
              <w:bottom w:val="single" w:sz="6" w:space="0" w:color="000000"/>
              <w:right w:val="single" w:sz="8" w:space="0" w:color="010000"/>
            </w:tcBorders>
            <w:shd w:val="clear" w:color="auto" w:fill="auto"/>
            <w:tcMar>
              <w:top w:w="72" w:type="dxa"/>
              <w:left w:w="144" w:type="dxa"/>
              <w:bottom w:w="72" w:type="dxa"/>
              <w:right w:w="144" w:type="dxa"/>
            </w:tcMar>
            <w:vAlign w:val="center"/>
            <w:hideMark/>
          </w:tcPr>
          <w:p w14:paraId="37A8A3F1" w14:textId="77777777" w:rsidR="00B224B3" w:rsidRPr="004071F0" w:rsidRDefault="00B224B3" w:rsidP="00B24337">
            <w:pPr>
              <w:spacing w:after="0" w:line="240" w:lineRule="auto"/>
              <w:rPr>
                <w:rFonts w:ascii="Calibri" w:hAnsi="Calibri" w:cs="Calibri"/>
              </w:rPr>
            </w:pPr>
            <w:r w:rsidRPr="004071F0">
              <w:rPr>
                <w:rFonts w:ascii="Calibri" w:hAnsi="Calibri" w:cs="Calibri"/>
                <w:b/>
                <w:bCs/>
              </w:rPr>
              <w:t> </w:t>
            </w:r>
          </w:p>
        </w:tc>
        <w:tc>
          <w:tcPr>
            <w:tcW w:w="0" w:type="auto"/>
            <w:tcBorders>
              <w:top w:val="single" w:sz="8" w:space="0" w:color="010000"/>
              <w:left w:val="single" w:sz="8" w:space="0" w:color="010000"/>
              <w:bottom w:val="single" w:sz="8" w:space="0" w:color="010000"/>
              <w:right w:val="single" w:sz="8" w:space="0" w:color="010000"/>
            </w:tcBorders>
            <w:shd w:val="clear" w:color="auto" w:fill="33FF33"/>
            <w:tcMar>
              <w:top w:w="72" w:type="dxa"/>
              <w:left w:w="144" w:type="dxa"/>
              <w:bottom w:w="72" w:type="dxa"/>
              <w:right w:w="144" w:type="dxa"/>
            </w:tcMar>
            <w:vAlign w:val="center"/>
            <w:hideMark/>
          </w:tcPr>
          <w:p w14:paraId="5BA6391A" w14:textId="77777777" w:rsidR="00B224B3" w:rsidRPr="004071F0" w:rsidRDefault="00B224B3" w:rsidP="00B24337">
            <w:pPr>
              <w:spacing w:after="0" w:line="240" w:lineRule="auto"/>
              <w:rPr>
                <w:rFonts w:ascii="Calibri" w:hAnsi="Calibri" w:cs="Calibri"/>
              </w:rPr>
            </w:pPr>
            <w:r w:rsidRPr="004071F0">
              <w:rPr>
                <w:rFonts w:ascii="Calibri" w:hAnsi="Calibri" w:cs="Calibri"/>
                <w:b/>
                <w:bCs/>
              </w:rPr>
              <w:t>X</w:t>
            </w:r>
          </w:p>
        </w:tc>
      </w:tr>
      <w:tr w:rsidR="00B224B3" w:rsidRPr="004071F0" w14:paraId="2F4A261A" w14:textId="77777777" w:rsidTr="00C478B7">
        <w:trPr>
          <w:trHeight w:val="169"/>
        </w:trPr>
        <w:tc>
          <w:tcPr>
            <w:tcW w:w="2551" w:type="dxa"/>
            <w:tcBorders>
              <w:top w:val="single" w:sz="8" w:space="0" w:color="010000"/>
              <w:left w:val="single" w:sz="8" w:space="0" w:color="010000"/>
              <w:bottom w:val="single" w:sz="8" w:space="0" w:color="010000"/>
              <w:right w:val="single" w:sz="8" w:space="0" w:color="000000"/>
            </w:tcBorders>
            <w:shd w:val="clear" w:color="auto" w:fill="auto"/>
            <w:tcMar>
              <w:top w:w="72" w:type="dxa"/>
              <w:left w:w="144" w:type="dxa"/>
              <w:bottom w:w="72" w:type="dxa"/>
              <w:right w:w="144" w:type="dxa"/>
            </w:tcMar>
            <w:vAlign w:val="center"/>
            <w:hideMark/>
          </w:tcPr>
          <w:p w14:paraId="257FF3C2" w14:textId="77777777" w:rsidR="00B224B3" w:rsidRPr="004071F0" w:rsidRDefault="00B224B3" w:rsidP="00B24337">
            <w:pPr>
              <w:spacing w:after="0" w:line="240" w:lineRule="auto"/>
              <w:rPr>
                <w:rFonts w:ascii="Calibri" w:hAnsi="Calibri" w:cs="Calibri"/>
              </w:rPr>
            </w:pPr>
            <w:r w:rsidRPr="004071F0">
              <w:rPr>
                <w:rFonts w:ascii="Calibri" w:hAnsi="Calibri" w:cs="Calibri"/>
                <w:b/>
                <w:bCs/>
                <w:i/>
                <w:iCs/>
              </w:rPr>
              <w:t>Jatropha curcas</w:t>
            </w:r>
          </w:p>
        </w:tc>
        <w:tc>
          <w:tcPr>
            <w:tcW w:w="2136" w:type="dxa"/>
            <w:tcBorders>
              <w:top w:val="single" w:sz="6" w:space="0" w:color="000000"/>
              <w:left w:val="single" w:sz="8" w:space="0" w:color="000000"/>
              <w:bottom w:val="single" w:sz="6" w:space="0" w:color="000000"/>
              <w:right w:val="single" w:sz="6" w:space="0" w:color="000000"/>
            </w:tcBorders>
            <w:shd w:val="clear" w:color="auto" w:fill="33FF33"/>
            <w:tcMar>
              <w:top w:w="72" w:type="dxa"/>
              <w:left w:w="144" w:type="dxa"/>
              <w:bottom w:w="72" w:type="dxa"/>
              <w:right w:w="144" w:type="dxa"/>
            </w:tcMar>
            <w:vAlign w:val="center"/>
            <w:hideMark/>
          </w:tcPr>
          <w:p w14:paraId="38B7108D" w14:textId="77777777" w:rsidR="00B224B3" w:rsidRPr="004071F0" w:rsidRDefault="00B224B3" w:rsidP="00B24337">
            <w:pPr>
              <w:spacing w:after="0" w:line="240" w:lineRule="auto"/>
              <w:rPr>
                <w:rFonts w:ascii="Calibri" w:hAnsi="Calibri" w:cs="Calibri"/>
              </w:rPr>
            </w:pPr>
            <w:r w:rsidRPr="004071F0">
              <w:rPr>
                <w:rFonts w:ascii="Calibri" w:hAnsi="Calibri" w:cs="Calibri"/>
                <w:b/>
                <w:bCs/>
              </w:rPr>
              <w:t>X</w:t>
            </w:r>
          </w:p>
        </w:tc>
        <w:tc>
          <w:tcPr>
            <w:tcW w:w="0" w:type="auto"/>
            <w:tcBorders>
              <w:top w:val="single" w:sz="6" w:space="0" w:color="000000"/>
              <w:left w:val="single" w:sz="6" w:space="0" w:color="000000"/>
              <w:bottom w:val="single" w:sz="6" w:space="0" w:color="000000"/>
              <w:right w:val="single" w:sz="8" w:space="0" w:color="010000"/>
            </w:tcBorders>
            <w:shd w:val="clear" w:color="auto" w:fill="33FF33"/>
            <w:tcMar>
              <w:top w:w="72" w:type="dxa"/>
              <w:left w:w="144" w:type="dxa"/>
              <w:bottom w:w="72" w:type="dxa"/>
              <w:right w:w="144" w:type="dxa"/>
            </w:tcMar>
            <w:vAlign w:val="center"/>
            <w:hideMark/>
          </w:tcPr>
          <w:p w14:paraId="6202B81A" w14:textId="77777777" w:rsidR="00B224B3" w:rsidRPr="004071F0" w:rsidRDefault="00B224B3" w:rsidP="00B24337">
            <w:pPr>
              <w:spacing w:after="0" w:line="240" w:lineRule="auto"/>
              <w:rPr>
                <w:rFonts w:ascii="Calibri" w:hAnsi="Calibri" w:cs="Calibri"/>
              </w:rPr>
            </w:pPr>
            <w:r w:rsidRPr="004071F0">
              <w:rPr>
                <w:rFonts w:ascii="Calibri" w:hAnsi="Calibri" w:cs="Calibri"/>
                <w:b/>
                <w:bCs/>
              </w:rPr>
              <w:t>X </w:t>
            </w:r>
          </w:p>
        </w:tc>
        <w:tc>
          <w:tcPr>
            <w:tcW w:w="0" w:type="auto"/>
            <w:tcBorders>
              <w:top w:val="single" w:sz="8" w:space="0" w:color="010000"/>
              <w:left w:val="single" w:sz="8" w:space="0" w:color="010000"/>
              <w:bottom w:val="single" w:sz="8" w:space="0" w:color="010000"/>
              <w:right w:val="single" w:sz="8" w:space="0" w:color="010000"/>
            </w:tcBorders>
            <w:shd w:val="clear" w:color="auto" w:fill="auto"/>
            <w:tcMar>
              <w:top w:w="72" w:type="dxa"/>
              <w:left w:w="144" w:type="dxa"/>
              <w:bottom w:w="72" w:type="dxa"/>
              <w:right w:w="144" w:type="dxa"/>
            </w:tcMar>
            <w:vAlign w:val="center"/>
            <w:hideMark/>
          </w:tcPr>
          <w:p w14:paraId="1D5DB735" w14:textId="77777777" w:rsidR="00B224B3" w:rsidRPr="004071F0" w:rsidRDefault="00B224B3" w:rsidP="00B24337">
            <w:pPr>
              <w:spacing w:after="0" w:line="240" w:lineRule="auto"/>
              <w:rPr>
                <w:rFonts w:ascii="Calibri" w:hAnsi="Calibri" w:cs="Calibri"/>
              </w:rPr>
            </w:pPr>
            <w:r w:rsidRPr="004071F0">
              <w:rPr>
                <w:rFonts w:ascii="Calibri" w:hAnsi="Calibri" w:cs="Calibri"/>
                <w:b/>
                <w:bCs/>
              </w:rPr>
              <w:t> </w:t>
            </w:r>
          </w:p>
        </w:tc>
      </w:tr>
      <w:tr w:rsidR="00B224B3" w:rsidRPr="004071F0" w14:paraId="2A56E02D" w14:textId="77777777" w:rsidTr="00C478B7">
        <w:trPr>
          <w:trHeight w:val="175"/>
        </w:trPr>
        <w:tc>
          <w:tcPr>
            <w:tcW w:w="2551" w:type="dxa"/>
            <w:tcBorders>
              <w:top w:val="single" w:sz="8" w:space="0" w:color="010000"/>
              <w:left w:val="single" w:sz="8" w:space="0" w:color="010000"/>
              <w:bottom w:val="single" w:sz="8" w:space="0" w:color="010000"/>
              <w:right w:val="single" w:sz="8" w:space="0" w:color="000000"/>
            </w:tcBorders>
            <w:shd w:val="clear" w:color="auto" w:fill="auto"/>
            <w:tcMar>
              <w:top w:w="72" w:type="dxa"/>
              <w:left w:w="144" w:type="dxa"/>
              <w:bottom w:w="72" w:type="dxa"/>
              <w:right w:w="144" w:type="dxa"/>
            </w:tcMar>
            <w:vAlign w:val="center"/>
            <w:hideMark/>
          </w:tcPr>
          <w:p w14:paraId="4AA46F9D" w14:textId="77777777" w:rsidR="00B224B3" w:rsidRPr="004071F0" w:rsidRDefault="00B224B3" w:rsidP="00B24337">
            <w:pPr>
              <w:spacing w:after="0" w:line="240" w:lineRule="auto"/>
              <w:rPr>
                <w:rFonts w:ascii="Calibri" w:hAnsi="Calibri" w:cs="Calibri"/>
              </w:rPr>
            </w:pPr>
            <w:r w:rsidRPr="004071F0">
              <w:rPr>
                <w:rFonts w:ascii="Calibri" w:hAnsi="Calibri" w:cs="Calibri"/>
                <w:b/>
                <w:bCs/>
                <w:i/>
                <w:iCs/>
              </w:rPr>
              <w:t>Moringa oleifera</w:t>
            </w:r>
          </w:p>
        </w:tc>
        <w:tc>
          <w:tcPr>
            <w:tcW w:w="2136" w:type="dxa"/>
            <w:tcBorders>
              <w:top w:val="single" w:sz="6" w:space="0" w:color="000000"/>
              <w:left w:val="single" w:sz="8" w:space="0" w:color="000000"/>
              <w:bottom w:val="single" w:sz="6" w:space="0" w:color="000000"/>
              <w:right w:val="single" w:sz="6" w:space="0" w:color="000000"/>
            </w:tcBorders>
            <w:shd w:val="clear" w:color="auto" w:fill="auto"/>
            <w:tcMar>
              <w:top w:w="72" w:type="dxa"/>
              <w:left w:w="144" w:type="dxa"/>
              <w:bottom w:w="72" w:type="dxa"/>
              <w:right w:w="144" w:type="dxa"/>
            </w:tcMar>
            <w:vAlign w:val="center"/>
            <w:hideMark/>
          </w:tcPr>
          <w:p w14:paraId="215AAE68" w14:textId="77777777" w:rsidR="00B224B3" w:rsidRPr="004071F0" w:rsidRDefault="00B224B3" w:rsidP="00B24337">
            <w:pPr>
              <w:spacing w:after="0" w:line="240" w:lineRule="auto"/>
              <w:rPr>
                <w:rFonts w:ascii="Calibri" w:hAnsi="Calibri" w:cs="Calibri"/>
              </w:rPr>
            </w:pPr>
            <w:r w:rsidRPr="004071F0">
              <w:rPr>
                <w:rFonts w:ascii="Calibri" w:hAnsi="Calibri" w:cs="Calibri"/>
                <w:b/>
                <w:bCs/>
              </w:rPr>
              <w:t> </w:t>
            </w:r>
          </w:p>
        </w:tc>
        <w:tc>
          <w:tcPr>
            <w:tcW w:w="0" w:type="auto"/>
            <w:tcBorders>
              <w:top w:val="single" w:sz="6" w:space="0" w:color="000000"/>
              <w:left w:val="single" w:sz="6" w:space="0" w:color="000000"/>
              <w:bottom w:val="single" w:sz="6" w:space="0" w:color="000000"/>
              <w:right w:val="single" w:sz="8" w:space="0" w:color="010000"/>
            </w:tcBorders>
            <w:shd w:val="clear" w:color="auto" w:fill="33FF33"/>
            <w:tcMar>
              <w:top w:w="72" w:type="dxa"/>
              <w:left w:w="144" w:type="dxa"/>
              <w:bottom w:w="72" w:type="dxa"/>
              <w:right w:w="144" w:type="dxa"/>
            </w:tcMar>
            <w:vAlign w:val="center"/>
            <w:hideMark/>
          </w:tcPr>
          <w:p w14:paraId="2EE1937D" w14:textId="77777777" w:rsidR="00B224B3" w:rsidRPr="004071F0" w:rsidRDefault="00B224B3" w:rsidP="00B24337">
            <w:pPr>
              <w:spacing w:after="0" w:line="240" w:lineRule="auto"/>
              <w:rPr>
                <w:rFonts w:ascii="Calibri" w:hAnsi="Calibri" w:cs="Calibri"/>
              </w:rPr>
            </w:pPr>
            <w:r w:rsidRPr="004071F0">
              <w:rPr>
                <w:rFonts w:ascii="Calibri" w:hAnsi="Calibri" w:cs="Calibri"/>
                <w:b/>
                <w:bCs/>
              </w:rPr>
              <w:t>X</w:t>
            </w:r>
          </w:p>
        </w:tc>
        <w:tc>
          <w:tcPr>
            <w:tcW w:w="0" w:type="auto"/>
            <w:tcBorders>
              <w:top w:val="single" w:sz="8" w:space="0" w:color="010000"/>
              <w:left w:val="single" w:sz="8" w:space="0" w:color="010000"/>
              <w:bottom w:val="single" w:sz="8" w:space="0" w:color="010000"/>
              <w:right w:val="single" w:sz="8" w:space="0" w:color="010000"/>
            </w:tcBorders>
            <w:shd w:val="clear" w:color="auto" w:fill="33FF33"/>
            <w:tcMar>
              <w:top w:w="72" w:type="dxa"/>
              <w:left w:w="144" w:type="dxa"/>
              <w:bottom w:w="72" w:type="dxa"/>
              <w:right w:w="144" w:type="dxa"/>
            </w:tcMar>
            <w:vAlign w:val="center"/>
            <w:hideMark/>
          </w:tcPr>
          <w:p w14:paraId="1EE3F5BC" w14:textId="77777777" w:rsidR="00B224B3" w:rsidRPr="004071F0" w:rsidRDefault="00B224B3" w:rsidP="00B24337">
            <w:pPr>
              <w:spacing w:after="0" w:line="240" w:lineRule="auto"/>
              <w:rPr>
                <w:rFonts w:ascii="Calibri" w:hAnsi="Calibri" w:cs="Calibri"/>
              </w:rPr>
            </w:pPr>
            <w:r w:rsidRPr="004071F0">
              <w:rPr>
                <w:rFonts w:ascii="Calibri" w:hAnsi="Calibri" w:cs="Calibri"/>
                <w:b/>
                <w:bCs/>
              </w:rPr>
              <w:t>X</w:t>
            </w:r>
          </w:p>
        </w:tc>
      </w:tr>
      <w:tr w:rsidR="00B224B3" w:rsidRPr="004071F0" w14:paraId="263D5D22" w14:textId="77777777" w:rsidTr="00C478B7">
        <w:trPr>
          <w:trHeight w:val="309"/>
        </w:trPr>
        <w:tc>
          <w:tcPr>
            <w:tcW w:w="2551" w:type="dxa"/>
            <w:tcBorders>
              <w:top w:val="single" w:sz="8" w:space="0" w:color="010000"/>
              <w:left w:val="single" w:sz="8" w:space="0" w:color="010000"/>
              <w:bottom w:val="single" w:sz="8" w:space="0" w:color="010000"/>
              <w:right w:val="single" w:sz="8" w:space="0" w:color="000000"/>
            </w:tcBorders>
            <w:shd w:val="clear" w:color="auto" w:fill="auto"/>
            <w:tcMar>
              <w:top w:w="72" w:type="dxa"/>
              <w:left w:w="144" w:type="dxa"/>
              <w:bottom w:w="72" w:type="dxa"/>
              <w:right w:w="144" w:type="dxa"/>
            </w:tcMar>
            <w:vAlign w:val="center"/>
            <w:hideMark/>
          </w:tcPr>
          <w:p w14:paraId="61E2DEA2" w14:textId="77777777" w:rsidR="00B224B3" w:rsidRPr="004071F0" w:rsidRDefault="00B224B3" w:rsidP="00B24337">
            <w:pPr>
              <w:spacing w:after="0" w:line="240" w:lineRule="auto"/>
              <w:rPr>
                <w:rFonts w:ascii="Calibri" w:hAnsi="Calibri" w:cs="Calibri"/>
              </w:rPr>
            </w:pPr>
            <w:r w:rsidRPr="004071F0">
              <w:rPr>
                <w:rFonts w:ascii="Calibri" w:hAnsi="Calibri" w:cs="Calibri"/>
                <w:b/>
                <w:bCs/>
                <w:i/>
                <w:iCs/>
              </w:rPr>
              <w:t>Prosopis juliflora</w:t>
            </w:r>
          </w:p>
        </w:tc>
        <w:tc>
          <w:tcPr>
            <w:tcW w:w="2136" w:type="dxa"/>
            <w:tcBorders>
              <w:top w:val="single" w:sz="6" w:space="0" w:color="000000"/>
              <w:left w:val="single" w:sz="8" w:space="0" w:color="000000"/>
              <w:bottom w:val="single" w:sz="6" w:space="0" w:color="000000"/>
              <w:right w:val="single" w:sz="6" w:space="0" w:color="000000"/>
            </w:tcBorders>
            <w:shd w:val="clear" w:color="auto" w:fill="33FF33"/>
            <w:tcMar>
              <w:top w:w="72" w:type="dxa"/>
              <w:left w:w="144" w:type="dxa"/>
              <w:bottom w:w="72" w:type="dxa"/>
              <w:right w:w="144" w:type="dxa"/>
            </w:tcMar>
            <w:vAlign w:val="center"/>
            <w:hideMark/>
          </w:tcPr>
          <w:p w14:paraId="5783E735" w14:textId="77777777" w:rsidR="00B224B3" w:rsidRPr="004071F0" w:rsidRDefault="00B224B3" w:rsidP="00B24337">
            <w:pPr>
              <w:spacing w:after="0" w:line="240" w:lineRule="auto"/>
              <w:rPr>
                <w:rFonts w:ascii="Calibri" w:hAnsi="Calibri" w:cs="Calibri"/>
              </w:rPr>
            </w:pPr>
            <w:r w:rsidRPr="004071F0">
              <w:rPr>
                <w:rFonts w:ascii="Calibri" w:hAnsi="Calibri" w:cs="Calibri"/>
                <w:b/>
                <w:bCs/>
              </w:rPr>
              <w:t>X</w:t>
            </w:r>
          </w:p>
        </w:tc>
        <w:tc>
          <w:tcPr>
            <w:tcW w:w="0" w:type="auto"/>
            <w:tcBorders>
              <w:top w:val="single" w:sz="6" w:space="0" w:color="000000"/>
              <w:left w:val="single" w:sz="6" w:space="0" w:color="000000"/>
              <w:bottom w:val="single" w:sz="6" w:space="0" w:color="000000"/>
              <w:right w:val="single" w:sz="8" w:space="0" w:color="010000"/>
            </w:tcBorders>
            <w:shd w:val="clear" w:color="auto" w:fill="33FF33"/>
            <w:tcMar>
              <w:top w:w="72" w:type="dxa"/>
              <w:left w:w="144" w:type="dxa"/>
              <w:bottom w:w="72" w:type="dxa"/>
              <w:right w:w="144" w:type="dxa"/>
            </w:tcMar>
            <w:vAlign w:val="center"/>
            <w:hideMark/>
          </w:tcPr>
          <w:p w14:paraId="7A49CDD8" w14:textId="77777777" w:rsidR="00B224B3" w:rsidRPr="004071F0" w:rsidRDefault="00B224B3" w:rsidP="00B24337">
            <w:pPr>
              <w:spacing w:after="0" w:line="240" w:lineRule="auto"/>
              <w:rPr>
                <w:rFonts w:ascii="Calibri" w:hAnsi="Calibri" w:cs="Calibri"/>
              </w:rPr>
            </w:pPr>
            <w:r w:rsidRPr="004071F0">
              <w:rPr>
                <w:rFonts w:ascii="Calibri" w:hAnsi="Calibri" w:cs="Calibri"/>
                <w:b/>
                <w:bCs/>
              </w:rPr>
              <w:t>X </w:t>
            </w:r>
          </w:p>
        </w:tc>
        <w:tc>
          <w:tcPr>
            <w:tcW w:w="0" w:type="auto"/>
            <w:tcBorders>
              <w:top w:val="single" w:sz="8" w:space="0" w:color="010000"/>
              <w:left w:val="single" w:sz="8" w:space="0" w:color="010000"/>
              <w:bottom w:val="single" w:sz="8" w:space="0" w:color="010000"/>
              <w:right w:val="single" w:sz="8" w:space="0" w:color="010000"/>
            </w:tcBorders>
            <w:shd w:val="clear" w:color="auto" w:fill="auto"/>
            <w:tcMar>
              <w:top w:w="72" w:type="dxa"/>
              <w:left w:w="144" w:type="dxa"/>
              <w:bottom w:w="72" w:type="dxa"/>
              <w:right w:w="144" w:type="dxa"/>
            </w:tcMar>
            <w:vAlign w:val="center"/>
            <w:hideMark/>
          </w:tcPr>
          <w:p w14:paraId="7C6ABF64" w14:textId="77777777" w:rsidR="00B224B3" w:rsidRPr="004071F0" w:rsidRDefault="00B224B3" w:rsidP="00B24337">
            <w:pPr>
              <w:spacing w:after="0" w:line="240" w:lineRule="auto"/>
              <w:rPr>
                <w:rFonts w:ascii="Calibri" w:hAnsi="Calibri" w:cs="Calibri"/>
              </w:rPr>
            </w:pPr>
            <w:r w:rsidRPr="004071F0">
              <w:rPr>
                <w:rFonts w:ascii="Calibri" w:hAnsi="Calibri" w:cs="Calibri"/>
                <w:b/>
                <w:bCs/>
              </w:rPr>
              <w:t> </w:t>
            </w:r>
          </w:p>
        </w:tc>
      </w:tr>
      <w:tr w:rsidR="00B224B3" w:rsidRPr="004071F0" w14:paraId="469DC046" w14:textId="77777777" w:rsidTr="00C478B7">
        <w:trPr>
          <w:trHeight w:val="103"/>
        </w:trPr>
        <w:tc>
          <w:tcPr>
            <w:tcW w:w="2551" w:type="dxa"/>
            <w:tcBorders>
              <w:top w:val="single" w:sz="8" w:space="0" w:color="010000"/>
              <w:left w:val="single" w:sz="8" w:space="0" w:color="010000"/>
              <w:bottom w:val="single" w:sz="8" w:space="0" w:color="010000"/>
              <w:right w:val="single" w:sz="8" w:space="0" w:color="000000"/>
            </w:tcBorders>
            <w:shd w:val="clear" w:color="auto" w:fill="auto"/>
            <w:tcMar>
              <w:top w:w="72" w:type="dxa"/>
              <w:left w:w="144" w:type="dxa"/>
              <w:bottom w:w="72" w:type="dxa"/>
              <w:right w:w="144" w:type="dxa"/>
            </w:tcMar>
            <w:vAlign w:val="center"/>
            <w:hideMark/>
          </w:tcPr>
          <w:p w14:paraId="1B2ABA4B" w14:textId="77777777" w:rsidR="00B224B3" w:rsidRPr="004071F0" w:rsidRDefault="00B224B3" w:rsidP="00B24337">
            <w:pPr>
              <w:spacing w:after="0" w:line="240" w:lineRule="auto"/>
              <w:rPr>
                <w:rFonts w:ascii="Calibri" w:hAnsi="Calibri" w:cs="Calibri"/>
              </w:rPr>
            </w:pPr>
            <w:r w:rsidRPr="004071F0">
              <w:rPr>
                <w:rFonts w:ascii="Calibri" w:hAnsi="Calibri" w:cs="Calibri"/>
                <w:b/>
                <w:bCs/>
                <w:i/>
                <w:iCs/>
              </w:rPr>
              <w:t>Ziziphus mauritiana</w:t>
            </w:r>
          </w:p>
        </w:tc>
        <w:tc>
          <w:tcPr>
            <w:tcW w:w="2136" w:type="dxa"/>
            <w:tcBorders>
              <w:top w:val="single" w:sz="6" w:space="0" w:color="000000"/>
              <w:left w:val="single" w:sz="8" w:space="0" w:color="000000"/>
              <w:bottom w:val="single" w:sz="6" w:space="0" w:color="000000"/>
              <w:right w:val="single" w:sz="6" w:space="0" w:color="000000"/>
            </w:tcBorders>
            <w:shd w:val="clear" w:color="auto" w:fill="33FF33"/>
            <w:tcMar>
              <w:top w:w="72" w:type="dxa"/>
              <w:left w:w="144" w:type="dxa"/>
              <w:bottom w:w="72" w:type="dxa"/>
              <w:right w:w="144" w:type="dxa"/>
            </w:tcMar>
            <w:vAlign w:val="center"/>
            <w:hideMark/>
          </w:tcPr>
          <w:p w14:paraId="51399A06" w14:textId="77777777" w:rsidR="00B224B3" w:rsidRPr="004071F0" w:rsidRDefault="00B224B3" w:rsidP="00B24337">
            <w:pPr>
              <w:spacing w:after="0" w:line="240" w:lineRule="auto"/>
              <w:rPr>
                <w:rFonts w:ascii="Calibri" w:hAnsi="Calibri" w:cs="Calibri"/>
              </w:rPr>
            </w:pPr>
            <w:r w:rsidRPr="004071F0">
              <w:rPr>
                <w:rFonts w:ascii="Calibri" w:hAnsi="Calibri" w:cs="Calibri"/>
                <w:b/>
                <w:bCs/>
              </w:rPr>
              <w:t>X</w:t>
            </w:r>
          </w:p>
        </w:tc>
        <w:tc>
          <w:tcPr>
            <w:tcW w:w="0" w:type="auto"/>
            <w:tcBorders>
              <w:top w:val="single" w:sz="6" w:space="0" w:color="000000"/>
              <w:left w:val="single" w:sz="6" w:space="0" w:color="000000"/>
              <w:bottom w:val="single" w:sz="6" w:space="0" w:color="000000"/>
              <w:right w:val="single" w:sz="8" w:space="0" w:color="010000"/>
            </w:tcBorders>
            <w:shd w:val="clear" w:color="auto" w:fill="33FF33"/>
            <w:tcMar>
              <w:top w:w="72" w:type="dxa"/>
              <w:left w:w="144" w:type="dxa"/>
              <w:bottom w:w="72" w:type="dxa"/>
              <w:right w:w="144" w:type="dxa"/>
            </w:tcMar>
            <w:vAlign w:val="center"/>
            <w:hideMark/>
          </w:tcPr>
          <w:p w14:paraId="29D6BCA9" w14:textId="77777777" w:rsidR="00B224B3" w:rsidRPr="004071F0" w:rsidRDefault="00B224B3" w:rsidP="00B24337">
            <w:pPr>
              <w:spacing w:after="0" w:line="240" w:lineRule="auto"/>
              <w:rPr>
                <w:rFonts w:ascii="Calibri" w:hAnsi="Calibri" w:cs="Calibri"/>
              </w:rPr>
            </w:pPr>
            <w:r w:rsidRPr="004071F0">
              <w:rPr>
                <w:rFonts w:ascii="Calibri" w:hAnsi="Calibri" w:cs="Calibri"/>
                <w:b/>
                <w:bCs/>
              </w:rPr>
              <w:t>X</w:t>
            </w:r>
          </w:p>
        </w:tc>
        <w:tc>
          <w:tcPr>
            <w:tcW w:w="0" w:type="auto"/>
            <w:tcBorders>
              <w:top w:val="single" w:sz="8" w:space="0" w:color="010000"/>
              <w:left w:val="single" w:sz="8" w:space="0" w:color="010000"/>
              <w:bottom w:val="single" w:sz="8" w:space="0" w:color="010000"/>
              <w:right w:val="single" w:sz="8" w:space="0" w:color="010000"/>
            </w:tcBorders>
            <w:shd w:val="clear" w:color="auto" w:fill="33FF33"/>
            <w:tcMar>
              <w:top w:w="72" w:type="dxa"/>
              <w:left w:w="144" w:type="dxa"/>
              <w:bottom w:w="72" w:type="dxa"/>
              <w:right w:w="144" w:type="dxa"/>
            </w:tcMar>
            <w:vAlign w:val="center"/>
            <w:hideMark/>
          </w:tcPr>
          <w:p w14:paraId="2E106920" w14:textId="77777777" w:rsidR="00B224B3" w:rsidRPr="004071F0" w:rsidRDefault="00B224B3" w:rsidP="00B24337">
            <w:pPr>
              <w:spacing w:after="0" w:line="240" w:lineRule="auto"/>
              <w:rPr>
                <w:rFonts w:ascii="Calibri" w:hAnsi="Calibri" w:cs="Calibri"/>
              </w:rPr>
            </w:pPr>
            <w:r w:rsidRPr="004071F0">
              <w:rPr>
                <w:rFonts w:ascii="Calibri" w:hAnsi="Calibri" w:cs="Calibri"/>
                <w:b/>
                <w:bCs/>
              </w:rPr>
              <w:t>X</w:t>
            </w:r>
          </w:p>
        </w:tc>
      </w:tr>
    </w:tbl>
    <w:p w14:paraId="2CE61A7E" w14:textId="77777777" w:rsidR="00B224B3" w:rsidRDefault="00B224B3" w:rsidP="00B224B3">
      <w:pPr>
        <w:spacing w:after="0" w:line="240" w:lineRule="auto"/>
        <w:jc w:val="both"/>
      </w:pPr>
    </w:p>
    <w:p w14:paraId="12931E2E" w14:textId="77777777" w:rsidR="00B224B3" w:rsidRDefault="00B224B3" w:rsidP="00B224B3">
      <w:pPr>
        <w:spacing w:after="0" w:line="240" w:lineRule="auto"/>
        <w:jc w:val="both"/>
      </w:pPr>
      <w:r w:rsidRPr="006D6BB9">
        <w:t xml:space="preserve">Espèces d’arbres recommandées pour les haies vives dans les aires sèches et semi-arides de l’Afrique de l’Ouest. </w:t>
      </w:r>
    </w:p>
    <w:p w14:paraId="30F98C59" w14:textId="77777777" w:rsidR="00B224B3" w:rsidRDefault="00B224B3" w:rsidP="00B224B3">
      <w:pPr>
        <w:spacing w:after="0" w:line="240" w:lineRule="auto"/>
        <w:rPr>
          <w:lang w:val="en-GB"/>
        </w:rPr>
      </w:pPr>
      <w:r w:rsidRPr="006D6BB9">
        <w:rPr>
          <w:lang w:val="en-GB"/>
        </w:rPr>
        <w:t>Source</w:t>
      </w:r>
      <w:r>
        <w:rPr>
          <w:lang w:val="en-GB"/>
        </w:rPr>
        <w:t>s</w:t>
      </w:r>
      <w:r w:rsidRPr="006D6BB9">
        <w:rPr>
          <w:lang w:val="en-GB"/>
        </w:rPr>
        <w:t> :</w:t>
      </w:r>
      <w:r>
        <w:rPr>
          <w:lang w:val="en-GB"/>
        </w:rPr>
        <w:t xml:space="preserve"> a) </w:t>
      </w:r>
      <w:r w:rsidRPr="006D6BB9">
        <w:rPr>
          <w:lang w:val="en-GB"/>
        </w:rPr>
        <w:t>Louppe, 1999</w:t>
      </w:r>
      <w:r>
        <w:rPr>
          <w:lang w:val="en-GB"/>
        </w:rPr>
        <w:t>, b)</w:t>
      </w:r>
      <w:r w:rsidRPr="006D6BB9">
        <w:rPr>
          <w:lang w:val="en-GB"/>
        </w:rPr>
        <w:t xml:space="preserve"> </w:t>
      </w:r>
      <w:r w:rsidRPr="006D6BB9">
        <w:rPr>
          <w:i/>
          <w:iCs/>
          <w:lang w:val="en-GB"/>
        </w:rPr>
        <w:t>Live Tree Fences and Ligneous Windbreak</w:t>
      </w:r>
      <w:r w:rsidRPr="006D6BB9">
        <w:rPr>
          <w:lang w:val="en-GB"/>
        </w:rPr>
        <w:t xml:space="preserve">s, FAO, </w:t>
      </w:r>
      <w:hyperlink r:id="rId3348" w:history="1">
        <w:r w:rsidRPr="006D6BB9">
          <w:rPr>
            <w:rStyle w:val="Lienhypertexte"/>
            <w:lang w:val="en-GB"/>
          </w:rPr>
          <w:t>http://www.fao.org/ag/againfo/programmes/en/lead/toolbox/Tech/22Livef.htm</w:t>
        </w:r>
      </w:hyperlink>
      <w:r w:rsidRPr="006D6BB9">
        <w:rPr>
          <w:lang w:val="en-GB"/>
        </w:rPr>
        <w:t xml:space="preserve"> </w:t>
      </w:r>
    </w:p>
    <w:p w14:paraId="708A10AA" w14:textId="77777777" w:rsidR="00B224B3" w:rsidRDefault="00B224B3" w:rsidP="00B224B3">
      <w:pPr>
        <w:spacing w:after="0" w:line="240" w:lineRule="auto"/>
        <w:jc w:val="both"/>
        <w:rPr>
          <w:lang w:val="en-GB"/>
        </w:rPr>
      </w:pPr>
    </w:p>
    <w:p w14:paraId="7BAE3DE5" w14:textId="77777777" w:rsidR="00B224B3" w:rsidRPr="006D6BB9" w:rsidRDefault="00B224B3" w:rsidP="00B224B3">
      <w:pPr>
        <w:spacing w:after="0" w:line="240" w:lineRule="auto"/>
        <w:jc w:val="both"/>
      </w:pPr>
      <w:r w:rsidRPr="000E2D1B">
        <w:rPr>
          <w:u w:val="single"/>
        </w:rPr>
        <w:t>Note</w:t>
      </w:r>
      <w:r w:rsidRPr="000E2D1B">
        <w:t xml:space="preserve"> : b</w:t>
      </w:r>
      <w:r>
        <w:t>é</w:t>
      </w:r>
      <w:r w:rsidRPr="000E2D1B">
        <w:t>mol</w:t>
      </w:r>
      <w:r>
        <w:t>s</w:t>
      </w:r>
      <w:r w:rsidRPr="000E2D1B">
        <w:t xml:space="preserve"> :</w:t>
      </w:r>
      <w:r>
        <w:t xml:space="preserve"> a)</w:t>
      </w:r>
      <w:r w:rsidRPr="000E2D1B">
        <w:t xml:space="preserve"> Les e</w:t>
      </w:r>
      <w:r>
        <w:t xml:space="preserve">spèces </w:t>
      </w:r>
      <w:r w:rsidRPr="004071F0">
        <w:rPr>
          <w:rFonts w:ascii="Calibri" w:hAnsi="Calibri" w:cs="Calibri"/>
          <w:i/>
          <w:iCs/>
        </w:rPr>
        <w:t>Prosopis juliflora</w:t>
      </w:r>
      <w:r>
        <w:t xml:space="preserve"> et </w:t>
      </w:r>
      <w:r w:rsidRPr="004071F0">
        <w:rPr>
          <w:rFonts w:ascii="Calibri" w:hAnsi="Calibri" w:cs="Calibri"/>
          <w:i/>
          <w:iCs/>
        </w:rPr>
        <w:t>Ziziphus mauritiana</w:t>
      </w:r>
      <w:r>
        <w:t xml:space="preserve"> sont invasives.</w:t>
      </w:r>
    </w:p>
    <w:p w14:paraId="66896902" w14:textId="5CDAA79E" w:rsidR="00B224B3" w:rsidRPr="000E2D1B" w:rsidRDefault="00B224B3" w:rsidP="00B224B3">
      <w:pPr>
        <w:spacing w:after="0" w:line="240" w:lineRule="auto"/>
      </w:pPr>
      <w:r>
        <w:t>Il n’est pas certain que</w:t>
      </w:r>
      <w:r w:rsidRPr="000E2D1B">
        <w:t xml:space="preserve"> le</w:t>
      </w:r>
      <w:r>
        <w:t xml:space="preserve"> citronnier</w:t>
      </w:r>
      <w:r w:rsidRPr="000E2D1B">
        <w:t xml:space="preserve"> </w:t>
      </w:r>
      <w:r>
        <w:t>(</w:t>
      </w:r>
      <w:r w:rsidRPr="000E2D1B">
        <w:rPr>
          <w:i/>
          <w:iCs/>
        </w:rPr>
        <w:t>Citrus lemon</w:t>
      </w:r>
      <w:r>
        <w:t>) résiste à la sécheresse.</w:t>
      </w:r>
    </w:p>
    <w:p w14:paraId="2E927639" w14:textId="77777777" w:rsidR="00B224B3" w:rsidRDefault="00B224B3" w:rsidP="00A956A3">
      <w:pPr>
        <w:spacing w:after="0" w:line="240" w:lineRule="auto"/>
        <w:jc w:val="both"/>
      </w:pPr>
    </w:p>
    <w:p w14:paraId="5D006664" w14:textId="536FB889" w:rsidR="00C14474" w:rsidRDefault="00C14474" w:rsidP="00C14474">
      <w:pPr>
        <w:spacing w:after="0" w:line="240" w:lineRule="auto"/>
        <w:jc w:val="both"/>
        <w:rPr>
          <w:rFonts w:ascii="Calibri" w:hAnsi="Calibri" w:cs="Calibri"/>
        </w:rPr>
      </w:pPr>
      <w:r>
        <w:t xml:space="preserve">Ressource documentaire : </w:t>
      </w:r>
      <w:r>
        <w:rPr>
          <w:rFonts w:ascii="Calibri" w:hAnsi="Calibri" w:cs="Calibri"/>
        </w:rPr>
        <w:t>a)</w:t>
      </w:r>
      <w:r w:rsidRPr="007326A3">
        <w:rPr>
          <w:rFonts w:ascii="Calibri" w:hAnsi="Calibri" w:cs="Calibri"/>
        </w:rPr>
        <w:t xml:space="preserve"> </w:t>
      </w:r>
      <w:r w:rsidRPr="007326A3">
        <w:rPr>
          <w:rFonts w:ascii="Calibri" w:hAnsi="Calibri" w:cs="Calibri"/>
          <w:i/>
          <w:iCs/>
        </w:rPr>
        <w:t>Haies épineuses défensives : Climat tempéré et climat tropical</w:t>
      </w:r>
      <w:r w:rsidRPr="007326A3">
        <w:rPr>
          <w:rFonts w:ascii="Calibri" w:hAnsi="Calibri" w:cs="Calibri"/>
        </w:rPr>
        <w:t xml:space="preserve"> (format</w:t>
      </w:r>
      <w:r>
        <w:rPr>
          <w:rFonts w:ascii="Calibri" w:hAnsi="Calibri" w:cs="Calibri"/>
        </w:rPr>
        <w:t xml:space="preserve"> papier</w:t>
      </w:r>
      <w:r w:rsidRPr="007326A3">
        <w:rPr>
          <w:rFonts w:ascii="Calibri" w:hAnsi="Calibri" w:cs="Calibri"/>
        </w:rPr>
        <w:t xml:space="preserve"> A4 couleur) (paysagisme)</w:t>
      </w:r>
      <w:r>
        <w:rPr>
          <w:rFonts w:ascii="Calibri" w:hAnsi="Calibri" w:cs="Calibri"/>
        </w:rPr>
        <w:t>, Benjamin Lisan</w:t>
      </w:r>
      <w:r w:rsidRPr="007326A3">
        <w:rPr>
          <w:rFonts w:ascii="Calibri" w:hAnsi="Calibri" w:cs="Calibri"/>
        </w:rPr>
        <w:t>,</w:t>
      </w:r>
      <w:r>
        <w:rPr>
          <w:rFonts w:ascii="Calibri" w:hAnsi="Calibri" w:cs="Calibri"/>
        </w:rPr>
        <w:t xml:space="preserve"> Amazon KDP,</w:t>
      </w:r>
      <w:r w:rsidRPr="007326A3">
        <w:rPr>
          <w:rFonts w:ascii="Calibri" w:hAnsi="Calibri" w:cs="Calibri"/>
        </w:rPr>
        <w:t xml:space="preserve"> 14</w:t>
      </w:r>
      <w:r>
        <w:rPr>
          <w:rFonts w:ascii="Calibri" w:hAnsi="Calibri" w:cs="Calibri"/>
        </w:rPr>
        <w:t>7</w:t>
      </w:r>
      <w:r w:rsidRPr="007326A3">
        <w:rPr>
          <w:rFonts w:ascii="Calibri" w:hAnsi="Calibri" w:cs="Calibri"/>
        </w:rPr>
        <w:t xml:space="preserve"> pages, </w:t>
      </w:r>
      <w:r>
        <w:rPr>
          <w:rFonts w:ascii="Calibri" w:hAnsi="Calibri" w:cs="Calibri"/>
        </w:rPr>
        <w:t>22</w:t>
      </w:r>
      <w:r w:rsidRPr="007326A3">
        <w:rPr>
          <w:rFonts w:ascii="Calibri" w:hAnsi="Calibri" w:cs="Calibri"/>
        </w:rPr>
        <w:t>,6</w:t>
      </w:r>
      <w:r>
        <w:rPr>
          <w:rFonts w:ascii="Calibri" w:hAnsi="Calibri" w:cs="Calibri"/>
        </w:rPr>
        <w:t>9</w:t>
      </w:r>
      <w:r w:rsidRPr="007326A3">
        <w:rPr>
          <w:rFonts w:ascii="Calibri" w:hAnsi="Calibri" w:cs="Calibri"/>
        </w:rPr>
        <w:t xml:space="preserve">€, </w:t>
      </w:r>
      <w:hyperlink r:id="rId3349" w:history="1">
        <w:r w:rsidRPr="007326A3">
          <w:rPr>
            <w:rStyle w:val="Lienhypertexte"/>
            <w:rFonts w:ascii="Calibri" w:hAnsi="Calibri" w:cs="Calibri"/>
          </w:rPr>
          <w:t>https://www.amazon.fr/dp/1729533450</w:t>
        </w:r>
      </w:hyperlink>
      <w:r w:rsidRPr="007326A3">
        <w:rPr>
          <w:rFonts w:ascii="Calibri" w:hAnsi="Calibri" w:cs="Calibri"/>
        </w:rPr>
        <w:t xml:space="preserve">  </w:t>
      </w:r>
    </w:p>
    <w:p w14:paraId="7364F15A" w14:textId="77777777" w:rsidR="00C14474" w:rsidRPr="007326A3" w:rsidRDefault="00C14474" w:rsidP="00C14474">
      <w:pPr>
        <w:spacing w:after="0" w:line="240" w:lineRule="auto"/>
        <w:rPr>
          <w:rFonts w:ascii="Calibri" w:hAnsi="Calibri" w:cs="Calibri"/>
        </w:rPr>
      </w:pPr>
      <w:r>
        <w:rPr>
          <w:rFonts w:ascii="Calibri" w:hAnsi="Calibri" w:cs="Calibri"/>
        </w:rPr>
        <w:t xml:space="preserve">b) Version PDF gratuite : </w:t>
      </w:r>
      <w:hyperlink r:id="rId3350" w:history="1">
        <w:r w:rsidRPr="00021EA1">
          <w:rPr>
            <w:rStyle w:val="Lienhypertexte"/>
            <w:rFonts w:ascii="Calibri" w:hAnsi="Calibri" w:cs="Calibri"/>
          </w:rPr>
          <w:t>http://www.doc-developpement-durable.org/livres/Haies_epineuses_dfe_Interior_for_Kindle.pdf</w:t>
        </w:r>
      </w:hyperlink>
      <w:r>
        <w:rPr>
          <w:rFonts w:ascii="Calibri" w:hAnsi="Calibri" w:cs="Calibri"/>
        </w:rPr>
        <w:t xml:space="preserve"> </w:t>
      </w:r>
    </w:p>
    <w:p w14:paraId="4720155A" w14:textId="3CC9FAD0" w:rsidR="00C14474" w:rsidRDefault="00C14474" w:rsidP="00A956A3">
      <w:pPr>
        <w:spacing w:after="0" w:line="240" w:lineRule="auto"/>
        <w:jc w:val="both"/>
      </w:pPr>
      <w:r>
        <w:t xml:space="preserv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46"/>
        <w:gridCol w:w="2808"/>
        <w:gridCol w:w="3172"/>
      </w:tblGrid>
      <w:tr w:rsidR="00085503" w14:paraId="014F746A" w14:textId="77777777" w:rsidTr="00E42281">
        <w:tc>
          <w:tcPr>
            <w:tcW w:w="3472" w:type="dxa"/>
          </w:tcPr>
          <w:p w14:paraId="217E4006" w14:textId="26DAE634" w:rsidR="00085503" w:rsidRDefault="00E42281" w:rsidP="00085503">
            <w:pPr>
              <w:jc w:val="center"/>
            </w:pPr>
            <w:r>
              <w:rPr>
                <w:noProof/>
              </w:rPr>
              <w:drawing>
                <wp:inline distT="0" distB="0" distL="0" distR="0" wp14:anchorId="6E84E179" wp14:editId="129986F3">
                  <wp:extent cx="2676525" cy="1704975"/>
                  <wp:effectExtent l="0" t="0" r="9525" b="9525"/>
                  <wp:docPr id="115714" name="Image 115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51">
                            <a:extLst>
                              <a:ext uri="{28A0092B-C50C-407E-A947-70E740481C1C}">
                                <a14:useLocalDpi xmlns:a14="http://schemas.microsoft.com/office/drawing/2010/main" val="0"/>
                              </a:ext>
                            </a:extLst>
                          </a:blip>
                          <a:srcRect/>
                          <a:stretch>
                            <a:fillRect/>
                          </a:stretch>
                        </pic:blipFill>
                        <pic:spPr bwMode="auto">
                          <a:xfrm>
                            <a:off x="0" y="0"/>
                            <a:ext cx="2676525" cy="1704975"/>
                          </a:xfrm>
                          <a:prstGeom prst="rect">
                            <a:avLst/>
                          </a:prstGeom>
                          <a:noFill/>
                          <a:ln>
                            <a:noFill/>
                          </a:ln>
                        </pic:spPr>
                      </pic:pic>
                    </a:graphicData>
                  </a:graphic>
                </wp:inline>
              </w:drawing>
            </w:r>
          </w:p>
          <w:p w14:paraId="1F1D9ACB" w14:textId="74BB2366" w:rsidR="009C2C77" w:rsidRDefault="009C2C77" w:rsidP="00085503">
            <w:pPr>
              <w:jc w:val="center"/>
            </w:pPr>
            <w:r>
              <w:t>Haie</w:t>
            </w:r>
            <w:r w:rsidR="00E42281">
              <w:t xml:space="preserve"> vive </w:t>
            </w:r>
            <w:r w:rsidR="00E42281" w:rsidRPr="00E42281">
              <w:t xml:space="preserve">mixte constituée d'une clôture à moutons installée entre deux rangs de </w:t>
            </w:r>
            <w:r w:rsidR="00E42281" w:rsidRPr="00E42281">
              <w:rPr>
                <w:i/>
                <w:iCs/>
              </w:rPr>
              <w:t>Cassia sieberiana</w:t>
            </w:r>
            <w:r w:rsidR="00E42281">
              <w:t>, au Burkina Fasso</w:t>
            </w:r>
            <w:r w:rsidR="00E42281">
              <w:rPr>
                <w:rStyle w:val="Appelnotedebasdep"/>
              </w:rPr>
              <w:footnoteReference w:id="190"/>
            </w:r>
            <w:r w:rsidR="00E42281">
              <w:t>.</w:t>
            </w:r>
          </w:p>
        </w:tc>
        <w:tc>
          <w:tcPr>
            <w:tcW w:w="3472" w:type="dxa"/>
          </w:tcPr>
          <w:p w14:paraId="00048464" w14:textId="77777777" w:rsidR="00085503" w:rsidRDefault="008565FE" w:rsidP="00085503">
            <w:pPr>
              <w:jc w:val="center"/>
            </w:pPr>
            <w:r>
              <w:rPr>
                <w:noProof/>
              </w:rPr>
              <w:drawing>
                <wp:inline distT="0" distB="0" distL="0" distR="0" wp14:anchorId="6B708389" wp14:editId="385A1E19">
                  <wp:extent cx="1581150" cy="2105025"/>
                  <wp:effectExtent l="0" t="0" r="0" b="9525"/>
                  <wp:docPr id="115712" name="Image 115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52">
                            <a:extLst>
                              <a:ext uri="{28A0092B-C50C-407E-A947-70E740481C1C}">
                                <a14:useLocalDpi xmlns:a14="http://schemas.microsoft.com/office/drawing/2010/main" val="0"/>
                              </a:ext>
                            </a:extLst>
                          </a:blip>
                          <a:srcRect/>
                          <a:stretch>
                            <a:fillRect/>
                          </a:stretch>
                        </pic:blipFill>
                        <pic:spPr bwMode="auto">
                          <a:xfrm>
                            <a:off x="0" y="0"/>
                            <a:ext cx="1581150" cy="2105025"/>
                          </a:xfrm>
                          <a:prstGeom prst="rect">
                            <a:avLst/>
                          </a:prstGeom>
                          <a:noFill/>
                          <a:ln>
                            <a:noFill/>
                          </a:ln>
                        </pic:spPr>
                      </pic:pic>
                    </a:graphicData>
                  </a:graphic>
                </wp:inline>
              </w:drawing>
            </w:r>
          </w:p>
          <w:p w14:paraId="4DC8162B" w14:textId="37E3C567" w:rsidR="008565FE" w:rsidRDefault="008565FE" w:rsidP="00085503">
            <w:pPr>
              <w:jc w:val="center"/>
            </w:pPr>
            <w:r w:rsidRPr="008565FE">
              <w:rPr>
                <w:i/>
                <w:iCs/>
              </w:rPr>
              <w:t>Yucca</w:t>
            </w:r>
            <w:r>
              <w:t>, expérimenté par la SNCF</w:t>
            </w:r>
          </w:p>
        </w:tc>
        <w:tc>
          <w:tcPr>
            <w:tcW w:w="3472" w:type="dxa"/>
          </w:tcPr>
          <w:p w14:paraId="4C8674A3" w14:textId="77777777" w:rsidR="00085503" w:rsidRDefault="000D5B5A" w:rsidP="00085503">
            <w:pPr>
              <w:jc w:val="center"/>
            </w:pPr>
            <w:r>
              <w:rPr>
                <w:noProof/>
              </w:rPr>
              <w:drawing>
                <wp:inline distT="0" distB="0" distL="0" distR="0" wp14:anchorId="0BF19858" wp14:editId="4E6E1B72">
                  <wp:extent cx="1838325" cy="1695450"/>
                  <wp:effectExtent l="0" t="0" r="9525" b="0"/>
                  <wp:docPr id="69638" name="Picture 8" descr="euphorbia milii">
                    <a:extLst xmlns:a="http://schemas.openxmlformats.org/drawingml/2006/main">
                      <a:ext uri="{FF2B5EF4-FFF2-40B4-BE49-F238E27FC236}">
                        <a16:creationId xmlns:a16="http://schemas.microsoft.com/office/drawing/2014/main" id="{A2BC7ADE-1D6E-4465-A7AA-DE92085BA257}"/>
                      </a:ext>
                    </a:extLst>
                  </wp:docPr>
                  <wp:cNvGraphicFramePr/>
                  <a:graphic xmlns:a="http://schemas.openxmlformats.org/drawingml/2006/main">
                    <a:graphicData uri="http://schemas.openxmlformats.org/drawingml/2006/picture">
                      <pic:pic xmlns:pic="http://schemas.openxmlformats.org/drawingml/2006/picture">
                        <pic:nvPicPr>
                          <pic:cNvPr id="69638" name="Picture 8" descr="euphorbia milii">
                            <a:extLst>
                              <a:ext uri="{FF2B5EF4-FFF2-40B4-BE49-F238E27FC236}">
                                <a16:creationId xmlns:a16="http://schemas.microsoft.com/office/drawing/2014/main" id="{A2BC7ADE-1D6E-4465-A7AA-DE92085BA257}"/>
                              </a:ext>
                            </a:extLst>
                          </pic:cNvPr>
                          <pic:cNvPicPr/>
                        </pic:nvPicPr>
                        <pic:blipFill>
                          <a:blip r:embed="rId3353">
                            <a:extLst>
                              <a:ext uri="{28A0092B-C50C-407E-A947-70E740481C1C}">
                                <a14:useLocalDpi xmlns:a14="http://schemas.microsoft.com/office/drawing/2010/main" val="0"/>
                              </a:ext>
                            </a:extLst>
                          </a:blip>
                          <a:srcRect/>
                          <a:stretch>
                            <a:fillRect/>
                          </a:stretch>
                        </pic:blipFill>
                        <pic:spPr bwMode="auto">
                          <a:xfrm>
                            <a:off x="0" y="0"/>
                            <a:ext cx="1838325" cy="1695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00740D9" w14:textId="727FF3A0" w:rsidR="000D5B5A" w:rsidRDefault="000D5B5A" w:rsidP="00085503">
            <w:pPr>
              <w:jc w:val="center"/>
            </w:pPr>
            <w:r>
              <w:t>Epine du Christ (</w:t>
            </w:r>
            <w:r>
              <w:rPr>
                <w:i/>
                <w:iCs/>
              </w:rPr>
              <w:t>Euphorbia milii</w:t>
            </w:r>
            <w:r>
              <w:t>).</w:t>
            </w:r>
          </w:p>
        </w:tc>
      </w:tr>
    </w:tbl>
    <w:p w14:paraId="31C1259A" w14:textId="45DEE52A" w:rsidR="008D61B9" w:rsidRDefault="008D61B9" w:rsidP="00F84327">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0D5B5A" w14:paraId="098068C1" w14:textId="77777777" w:rsidTr="00CB3AF3">
        <w:tc>
          <w:tcPr>
            <w:tcW w:w="3472" w:type="dxa"/>
          </w:tcPr>
          <w:p w14:paraId="4861C0F9" w14:textId="77777777" w:rsidR="000D5B5A" w:rsidRDefault="000D5B5A" w:rsidP="000D5B5A">
            <w:pPr>
              <w:jc w:val="center"/>
            </w:pPr>
            <w:r>
              <w:rPr>
                <w:noProof/>
              </w:rPr>
              <w:lastRenderedPageBreak/>
              <w:drawing>
                <wp:inline distT="0" distB="0" distL="0" distR="0" wp14:anchorId="68DEA403" wp14:editId="4046FBC1">
                  <wp:extent cx="2028825" cy="914400"/>
                  <wp:effectExtent l="0" t="0" r="9525" b="0"/>
                  <wp:docPr id="115713" name="Image 115713"/>
                  <wp:cNvGraphicFramePr/>
                  <a:graphic xmlns:a="http://schemas.openxmlformats.org/drawingml/2006/main">
                    <a:graphicData uri="http://schemas.openxmlformats.org/drawingml/2006/picture">
                      <pic:pic xmlns:pic="http://schemas.openxmlformats.org/drawingml/2006/picture">
                        <pic:nvPicPr>
                          <pic:cNvPr id="50183" name="Image 50183"/>
                          <pic:cNvPicPr/>
                        </pic:nvPicPr>
                        <pic:blipFill>
                          <a:blip r:embed="rId3354"/>
                          <a:stretch>
                            <a:fillRect/>
                          </a:stretch>
                        </pic:blipFill>
                        <pic:spPr>
                          <a:xfrm>
                            <a:off x="0" y="0"/>
                            <a:ext cx="2028825" cy="914400"/>
                          </a:xfrm>
                          <a:prstGeom prst="rect">
                            <a:avLst/>
                          </a:prstGeom>
                        </pic:spPr>
                      </pic:pic>
                    </a:graphicData>
                  </a:graphic>
                </wp:inline>
              </w:drawing>
            </w:r>
          </w:p>
          <w:p w14:paraId="61B265B1" w14:textId="3D73520B" w:rsidR="000D5B5A" w:rsidRDefault="000D5B5A" w:rsidP="000D5B5A">
            <w:pPr>
              <w:jc w:val="center"/>
            </w:pPr>
            <w:r>
              <w:t xml:space="preserve">Clôture à cactus </w:t>
            </w:r>
            <w:r w:rsidRPr="00271BEB">
              <w:rPr>
                <w:i/>
                <w:iCs/>
              </w:rPr>
              <w:t>épine</w:t>
            </w:r>
            <w:r w:rsidR="00C26BE6" w:rsidRPr="00271BEB">
              <w:rPr>
                <w:i/>
                <w:iCs/>
              </w:rPr>
              <w:t>ux</w:t>
            </w:r>
            <w:r>
              <w:t xml:space="preserve"> jaunes </w:t>
            </w:r>
            <w:r>
              <w:rPr>
                <w:i/>
                <w:iCs/>
              </w:rPr>
              <w:t xml:space="preserve">(Opuntia monacantha - Cactaceae) </w:t>
            </w:r>
            <w:r>
              <w:t xml:space="preserve">et sisal </w:t>
            </w:r>
            <w:r>
              <w:rPr>
                <w:i/>
                <w:iCs/>
              </w:rPr>
              <w:t xml:space="preserve">© </w:t>
            </w:r>
            <w:r>
              <w:t>Lionel Allorge.</w:t>
            </w:r>
          </w:p>
        </w:tc>
        <w:tc>
          <w:tcPr>
            <w:tcW w:w="3472" w:type="dxa"/>
          </w:tcPr>
          <w:p w14:paraId="24736BC1" w14:textId="77777777" w:rsidR="000D5B5A" w:rsidRDefault="00C26BE6" w:rsidP="000D5B5A">
            <w:pPr>
              <w:jc w:val="center"/>
            </w:pPr>
            <w:r w:rsidRPr="007318CD">
              <w:rPr>
                <w:rFonts w:cstheme="minorHAnsi"/>
                <w:b/>
                <w:noProof/>
              </w:rPr>
              <w:drawing>
                <wp:inline distT="0" distB="0" distL="0" distR="0" wp14:anchorId="3B946787" wp14:editId="335B6C4D">
                  <wp:extent cx="2019300" cy="1343752"/>
                  <wp:effectExtent l="0" t="0" r="0" b="8890"/>
                  <wp:docPr id="69642" name="Image 13">
                    <a:extLst xmlns:a="http://schemas.openxmlformats.org/drawingml/2006/main">
                      <a:ext uri="{FF2B5EF4-FFF2-40B4-BE49-F238E27FC236}">
                        <a16:creationId xmlns:a16="http://schemas.microsoft.com/office/drawing/2014/main" id="{3BD1586D-351F-4C13-BE40-83CF6EB9147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42" name="Image 13">
                            <a:extLst>
                              <a:ext uri="{FF2B5EF4-FFF2-40B4-BE49-F238E27FC236}">
                                <a16:creationId xmlns:a16="http://schemas.microsoft.com/office/drawing/2014/main" id="{3BD1586D-351F-4C13-BE40-83CF6EB9147E}"/>
                              </a:ext>
                            </a:extLst>
                          </pic:cNvPr>
                          <pic:cNvPicPr>
                            <a:picLocks noChangeAspect="1" noChangeArrowheads="1"/>
                          </pic:cNvPicPr>
                        </pic:nvPicPr>
                        <pic:blipFill>
                          <a:blip r:embed="rId3355">
                            <a:extLst>
                              <a:ext uri="{28A0092B-C50C-407E-A947-70E740481C1C}">
                                <a14:useLocalDpi xmlns:a14="http://schemas.microsoft.com/office/drawing/2010/main" val="0"/>
                              </a:ext>
                            </a:extLst>
                          </a:blip>
                          <a:srcRect/>
                          <a:stretch>
                            <a:fillRect/>
                          </a:stretch>
                        </pic:blipFill>
                        <pic:spPr bwMode="auto">
                          <a:xfrm>
                            <a:off x="0" y="0"/>
                            <a:ext cx="2024136" cy="1346970"/>
                          </a:xfrm>
                          <a:prstGeom prst="rect">
                            <a:avLst/>
                          </a:prstGeom>
                          <a:noFill/>
                          <a:ln>
                            <a:noFill/>
                          </a:ln>
                        </pic:spPr>
                      </pic:pic>
                    </a:graphicData>
                  </a:graphic>
                </wp:inline>
              </w:drawing>
            </w:r>
          </w:p>
          <w:p w14:paraId="13F41377" w14:textId="7AF9937E" w:rsidR="00C26BE6" w:rsidRDefault="00C26BE6" w:rsidP="000D5B5A">
            <w:pPr>
              <w:jc w:val="center"/>
            </w:pPr>
            <w:r>
              <w:t>Epine du Christ (</w:t>
            </w:r>
            <w:r>
              <w:rPr>
                <w:i/>
                <w:iCs/>
              </w:rPr>
              <w:t>Euphorbia milii</w:t>
            </w:r>
            <w:r>
              <w:t>).</w:t>
            </w:r>
          </w:p>
        </w:tc>
        <w:tc>
          <w:tcPr>
            <w:tcW w:w="3472" w:type="dxa"/>
          </w:tcPr>
          <w:p w14:paraId="72B0B9AC" w14:textId="77777777" w:rsidR="000D5B5A" w:rsidRDefault="00CB3AF3" w:rsidP="000D5B5A">
            <w:pPr>
              <w:jc w:val="center"/>
            </w:pPr>
            <w:r w:rsidRPr="00E31E4F">
              <w:rPr>
                <w:noProof/>
              </w:rPr>
              <w:drawing>
                <wp:inline distT="0" distB="0" distL="0" distR="0" wp14:anchorId="1BF2BE2A" wp14:editId="5FB081DB">
                  <wp:extent cx="2003893" cy="1333500"/>
                  <wp:effectExtent l="0" t="0" r="0" b="0"/>
                  <wp:docPr id="91165" name="Picture 7" descr="C:\Users\LISAN\Pictures\plantes invasives de Madagascar\Opuntia ficus-indica4.jpg">
                    <a:extLst xmlns:a="http://schemas.openxmlformats.org/drawingml/2006/main">
                      <a:ext uri="{FF2B5EF4-FFF2-40B4-BE49-F238E27FC236}">
                        <a16:creationId xmlns:a16="http://schemas.microsoft.com/office/drawing/2014/main" id="{8A71E7C1-CBE4-44F1-9713-E156F1D6045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65" name="Picture 7" descr="C:\Users\LISAN\Pictures\plantes invasives de Madagascar\Opuntia ficus-indica4.jpg">
                            <a:extLst>
                              <a:ext uri="{FF2B5EF4-FFF2-40B4-BE49-F238E27FC236}">
                                <a16:creationId xmlns:a16="http://schemas.microsoft.com/office/drawing/2014/main" id="{8A71E7C1-CBE4-44F1-9713-E156F1D6045E}"/>
                              </a:ext>
                            </a:extLst>
                          </pic:cNvPr>
                          <pic:cNvPicPr>
                            <a:picLocks noChangeAspect="1" noChangeArrowheads="1"/>
                          </pic:cNvPicPr>
                        </pic:nvPicPr>
                        <pic:blipFill>
                          <a:blip r:embed="rId3356">
                            <a:extLst>
                              <a:ext uri="{28A0092B-C50C-407E-A947-70E740481C1C}">
                                <a14:useLocalDpi xmlns:a14="http://schemas.microsoft.com/office/drawing/2010/main" val="0"/>
                              </a:ext>
                            </a:extLst>
                          </a:blip>
                          <a:srcRect/>
                          <a:stretch>
                            <a:fillRect/>
                          </a:stretch>
                        </pic:blipFill>
                        <pic:spPr bwMode="auto">
                          <a:xfrm>
                            <a:off x="0" y="0"/>
                            <a:ext cx="2014343" cy="1340454"/>
                          </a:xfrm>
                          <a:prstGeom prst="rect">
                            <a:avLst/>
                          </a:prstGeom>
                          <a:noFill/>
                          <a:ln>
                            <a:noFill/>
                          </a:ln>
                        </pic:spPr>
                      </pic:pic>
                    </a:graphicData>
                  </a:graphic>
                </wp:inline>
              </w:drawing>
            </w:r>
          </w:p>
          <w:p w14:paraId="159B7FBE" w14:textId="1E6C411C" w:rsidR="00CB3AF3" w:rsidRDefault="00CB3AF3" w:rsidP="000D5B5A">
            <w:pPr>
              <w:jc w:val="center"/>
            </w:pPr>
            <w:r w:rsidRPr="00CB3AF3">
              <w:t>Haie de figuiers de barbarie (</w:t>
            </w:r>
            <w:r w:rsidRPr="00B224B3">
              <w:rPr>
                <w:i/>
                <w:iCs/>
              </w:rPr>
              <w:t>Opuntia ficus-indica</w:t>
            </w:r>
            <w:r w:rsidRPr="00CB3AF3">
              <w:t>)</w:t>
            </w:r>
            <w:r>
              <w:t>.</w:t>
            </w:r>
          </w:p>
        </w:tc>
      </w:tr>
    </w:tbl>
    <w:p w14:paraId="12238270" w14:textId="77777777" w:rsidR="00906491" w:rsidRDefault="00906491" w:rsidP="00F84327">
      <w:pPr>
        <w:spacing w:after="0" w:line="240" w:lineRule="auto"/>
      </w:pPr>
    </w:p>
    <w:p w14:paraId="71B9F257" w14:textId="5338B6D3" w:rsidR="007C6C35" w:rsidRDefault="007C6C35" w:rsidP="007C6C35">
      <w:pPr>
        <w:pStyle w:val="Titre2"/>
      </w:pPr>
      <w:bookmarkStart w:id="253" w:name="_Toc139181544"/>
      <w:r w:rsidRPr="007C6C35">
        <w:t>La régénération naturelle assistée d'espèces forestières locales</w:t>
      </w:r>
      <w:bookmarkEnd w:id="253"/>
    </w:p>
    <w:p w14:paraId="41CAAFF8" w14:textId="17CD857A" w:rsidR="007C6C35" w:rsidRDefault="007C6C35" w:rsidP="007C6C35">
      <w:pPr>
        <w:spacing w:after="0" w:line="240" w:lineRule="auto"/>
        <w:jc w:val="both"/>
      </w:pPr>
    </w:p>
    <w:p w14:paraId="47E170E0" w14:textId="77777777" w:rsidR="007C6C35" w:rsidRPr="007C6C35" w:rsidRDefault="007C6C35" w:rsidP="007C6C35">
      <w:pPr>
        <w:spacing w:after="0" w:line="240" w:lineRule="auto"/>
        <w:jc w:val="both"/>
      </w:pPr>
      <w:r w:rsidRPr="007C6C35">
        <w:rPr>
          <w:b/>
          <w:bCs/>
        </w:rPr>
        <w:t>Principe</w:t>
      </w:r>
      <w:r w:rsidRPr="007C6C35">
        <w:t xml:space="preserve"> c’est un ensemble d’interventions qui consiste à stimuler/provoquer/protéger/entretenir les repousses ligneuses sur les parcelles. La mise en défens physique ou la surveillance sont nécessaires hors des zones de culture.</w:t>
      </w:r>
    </w:p>
    <w:p w14:paraId="2EB42A80" w14:textId="52FC3797" w:rsidR="007C6C35" w:rsidRPr="007C6C35" w:rsidRDefault="007C6C35" w:rsidP="007C6C35">
      <w:pPr>
        <w:spacing w:after="0" w:line="240" w:lineRule="auto"/>
        <w:jc w:val="both"/>
      </w:pPr>
      <w:r w:rsidRPr="007C6C35">
        <w:rPr>
          <w:b/>
          <w:bCs/>
        </w:rPr>
        <w:t>Prérequis</w:t>
      </w:r>
      <w:r w:rsidRPr="007C6C35">
        <w:t xml:space="preserve"> apprentissage technique, résilience de pousses ou de racines d’arbres locaux sur les zones ciblées.</w:t>
      </w:r>
    </w:p>
    <w:p w14:paraId="50CF4445" w14:textId="77777777" w:rsidR="007C6C35" w:rsidRPr="007C6C35" w:rsidRDefault="007C6C35" w:rsidP="007C6C35">
      <w:pPr>
        <w:spacing w:after="0" w:line="240" w:lineRule="auto"/>
        <w:jc w:val="both"/>
      </w:pPr>
      <w:r w:rsidRPr="007C6C35">
        <w:rPr>
          <w:b/>
          <w:bCs/>
        </w:rPr>
        <w:t xml:space="preserve">Effets concrets </w:t>
      </w:r>
      <w:r w:rsidRPr="007C6C35">
        <w:t>reconstitution d’un système agro-forestier autochtone voire d’une forêt en 3-4 années. Les arbres régénérés assureront un complément de fertilité aux terres de culture ainsi que du fourrage, des fruits et du bois.</w:t>
      </w:r>
    </w:p>
    <w:p w14:paraId="3A7AE7C1" w14:textId="77777777" w:rsidR="007C6C35" w:rsidRPr="007C6C35" w:rsidRDefault="007C6C35" w:rsidP="007C6C35">
      <w:pPr>
        <w:spacing w:after="0" w:line="240" w:lineRule="auto"/>
        <w:jc w:val="both"/>
      </w:pPr>
      <w:r w:rsidRPr="007C6C35">
        <w:rPr>
          <w:b/>
          <w:bCs/>
        </w:rPr>
        <w:t>Coût</w:t>
      </w:r>
      <w:r w:rsidRPr="007C6C35">
        <w:t xml:space="preserve"> petit matériel (coupe-coupe, piquets de repérage, sécateurs, pioche, etc.). Environ 200 €/ha. Statistiquement plus efficace que le reboisement classique et moins coûteux.</w:t>
      </w:r>
    </w:p>
    <w:p w14:paraId="42865EA1" w14:textId="6ACEE7E3" w:rsidR="007C6C35" w:rsidRDefault="007C6C35" w:rsidP="007C6C35">
      <w:pPr>
        <w:spacing w:after="0" w:line="240" w:lineRule="auto"/>
        <w:jc w:val="both"/>
      </w:pPr>
    </w:p>
    <w:p w14:paraId="1EA2D465" w14:textId="19FA4CD9" w:rsidR="005D647D" w:rsidRDefault="005D647D" w:rsidP="00AA6BA0">
      <w:pPr>
        <w:pStyle w:val="Titre2"/>
      </w:pPr>
      <w:bookmarkStart w:id="254" w:name="_Toc139181545"/>
      <w:r>
        <w:t>L’amélioration de la fertilité des sols par des moyens naturels</w:t>
      </w:r>
      <w:bookmarkEnd w:id="254"/>
    </w:p>
    <w:p w14:paraId="0A2D48CF" w14:textId="2B39C59A" w:rsidR="005D647D" w:rsidRDefault="005D647D" w:rsidP="007C6C35">
      <w:pPr>
        <w:spacing w:after="0" w:line="240" w:lineRule="auto"/>
        <w:jc w:val="both"/>
      </w:pPr>
    </w:p>
    <w:p w14:paraId="178E28CF" w14:textId="342A0E36" w:rsidR="005D647D" w:rsidRDefault="005D647D" w:rsidP="007C6C35">
      <w:pPr>
        <w:spacing w:after="0" w:line="240" w:lineRule="auto"/>
        <w:jc w:val="both"/>
      </w:pPr>
      <w:r>
        <w:t>Souvent les sols dans les régions tropicales sèches (sols latéritiques</w:t>
      </w:r>
      <w:r w:rsidR="00226388">
        <w:t xml:space="preserve"> etc.</w:t>
      </w:r>
      <w:r>
        <w:t xml:space="preserve">) sont peu fertiles. Mais il existe de techniques agronomiques, permettant d’améliorer </w:t>
      </w:r>
      <w:r w:rsidR="00AA6BA0">
        <w:t>leur</w:t>
      </w:r>
      <w:r>
        <w:t xml:space="preserve"> fertilité par des moyens naturels</w:t>
      </w:r>
      <w:r w:rsidR="00AA6BA0">
        <w:t>,</w:t>
      </w:r>
      <w:r>
        <w:t xml:space="preserve"> comme</w:t>
      </w:r>
      <w:r w:rsidR="00AA6BA0">
        <w:t xml:space="preserve"> celles-ci</w:t>
      </w:r>
      <w:r>
        <w:t> :</w:t>
      </w:r>
    </w:p>
    <w:p w14:paraId="588512E4" w14:textId="0432A23A" w:rsidR="005D647D" w:rsidRDefault="005D647D" w:rsidP="007C6C35">
      <w:pPr>
        <w:spacing w:after="0" w:line="240" w:lineRule="auto"/>
        <w:jc w:val="both"/>
      </w:pPr>
    </w:p>
    <w:p w14:paraId="1B6A1B13" w14:textId="77777777" w:rsidR="005D647D" w:rsidRPr="005D647D" w:rsidRDefault="005D647D" w:rsidP="0022016D">
      <w:pPr>
        <w:numPr>
          <w:ilvl w:val="0"/>
          <w:numId w:val="32"/>
        </w:numPr>
        <w:spacing w:after="0" w:line="240" w:lineRule="auto"/>
        <w:jc w:val="both"/>
      </w:pPr>
      <w:r w:rsidRPr="005D647D">
        <w:rPr>
          <w:b/>
          <w:bCs/>
        </w:rPr>
        <w:t>Semis direct</w:t>
      </w:r>
      <w:r w:rsidRPr="005D647D">
        <w:t xml:space="preserve"> (sous couvert végétal permanent) ou « </w:t>
      </w:r>
      <w:r w:rsidRPr="005D647D">
        <w:rPr>
          <w:b/>
          <w:bCs/>
        </w:rPr>
        <w:t>mulch</w:t>
      </w:r>
      <w:r w:rsidRPr="005D647D">
        <w:t xml:space="preserve"> » (°),</w:t>
      </w:r>
    </w:p>
    <w:p w14:paraId="509D6F4F" w14:textId="2D2E386B" w:rsidR="005D647D" w:rsidRPr="005D647D" w:rsidRDefault="005D647D" w:rsidP="0022016D">
      <w:pPr>
        <w:numPr>
          <w:ilvl w:val="0"/>
          <w:numId w:val="32"/>
        </w:numPr>
        <w:spacing w:after="0" w:line="240" w:lineRule="auto"/>
        <w:jc w:val="both"/>
      </w:pPr>
      <w:r w:rsidRPr="005D647D">
        <w:rPr>
          <w:b/>
          <w:bCs/>
        </w:rPr>
        <w:t>Compostage</w:t>
      </w:r>
      <w:r w:rsidR="00AA6BA0">
        <w:rPr>
          <w:b/>
          <w:bCs/>
        </w:rPr>
        <w:t xml:space="preserve"> organique</w:t>
      </w:r>
      <w:r w:rsidRPr="005D647D">
        <w:rPr>
          <w:b/>
          <w:bCs/>
        </w:rPr>
        <w:t xml:space="preserve"> et paillage </w:t>
      </w:r>
      <w:r w:rsidRPr="005D647D">
        <w:t>(technique proche de la précédente),</w:t>
      </w:r>
    </w:p>
    <w:p w14:paraId="42C40782" w14:textId="77777777" w:rsidR="005D647D" w:rsidRPr="005D647D" w:rsidRDefault="005D647D" w:rsidP="0022016D">
      <w:pPr>
        <w:numPr>
          <w:ilvl w:val="0"/>
          <w:numId w:val="32"/>
        </w:numPr>
        <w:spacing w:after="0" w:line="240" w:lineRule="auto"/>
        <w:jc w:val="both"/>
      </w:pPr>
      <w:r w:rsidRPr="005D647D">
        <w:rPr>
          <w:b/>
          <w:bCs/>
        </w:rPr>
        <w:t>Bois raméal fragme</w:t>
      </w:r>
      <w:r w:rsidRPr="005D647D">
        <w:t>nté (B.R.F.),</w:t>
      </w:r>
    </w:p>
    <w:p w14:paraId="7560EFF3" w14:textId="77777777" w:rsidR="005D647D" w:rsidRPr="005D647D" w:rsidRDefault="005D647D" w:rsidP="0022016D">
      <w:pPr>
        <w:numPr>
          <w:ilvl w:val="0"/>
          <w:numId w:val="32"/>
        </w:numPr>
        <w:spacing w:after="0" w:line="240" w:lineRule="auto"/>
        <w:jc w:val="both"/>
      </w:pPr>
      <w:r w:rsidRPr="005D647D">
        <w:rPr>
          <w:b/>
          <w:bCs/>
        </w:rPr>
        <w:t xml:space="preserve">Terra preta </w:t>
      </w:r>
      <w:r w:rsidRPr="005D647D">
        <w:t>(technique utilisant le résultat de la combustion incomplète de ressources ligneuses et de déchets organiques afin de le mélanger avec la terre du sol).</w:t>
      </w:r>
    </w:p>
    <w:p w14:paraId="22E2226F" w14:textId="60173B55" w:rsidR="005D647D" w:rsidRPr="005D647D" w:rsidRDefault="005D647D" w:rsidP="0022016D">
      <w:pPr>
        <w:numPr>
          <w:ilvl w:val="0"/>
          <w:numId w:val="32"/>
        </w:numPr>
        <w:spacing w:after="0" w:line="240" w:lineRule="auto"/>
        <w:jc w:val="both"/>
      </w:pPr>
      <w:r w:rsidRPr="005D647D">
        <w:rPr>
          <w:b/>
          <w:bCs/>
        </w:rPr>
        <w:t xml:space="preserve">Le Zaï </w:t>
      </w:r>
      <w:r w:rsidRPr="005D647D">
        <w:t>(technique africaine des zones sahéliennes)</w:t>
      </w:r>
      <w:r>
        <w:t xml:space="preserve"> (nous en avons</w:t>
      </w:r>
      <w:r w:rsidR="00AA6BA0">
        <w:t xml:space="preserve"> déjà</w:t>
      </w:r>
      <w:r>
        <w:t xml:space="preserve"> parlé, plus haut dans cet ouvrage)</w:t>
      </w:r>
      <w:r w:rsidRPr="005D647D">
        <w:t>.</w:t>
      </w:r>
    </w:p>
    <w:p w14:paraId="584FB831" w14:textId="77777777" w:rsidR="005D647D" w:rsidRPr="005D647D" w:rsidRDefault="005D647D" w:rsidP="0022016D">
      <w:pPr>
        <w:numPr>
          <w:ilvl w:val="0"/>
          <w:numId w:val="32"/>
        </w:numPr>
        <w:spacing w:after="0" w:line="240" w:lineRule="auto"/>
        <w:jc w:val="both"/>
      </w:pPr>
      <w:r w:rsidRPr="005D647D">
        <w:rPr>
          <w:i/>
          <w:iCs/>
        </w:rPr>
        <w:t xml:space="preserve">Divers : </w:t>
      </w:r>
    </w:p>
    <w:p w14:paraId="055A0EAA" w14:textId="77777777" w:rsidR="005D647D" w:rsidRPr="005D647D" w:rsidRDefault="005D647D" w:rsidP="0022016D">
      <w:pPr>
        <w:numPr>
          <w:ilvl w:val="0"/>
          <w:numId w:val="33"/>
        </w:numPr>
        <w:spacing w:after="0" w:line="240" w:lineRule="auto"/>
        <w:jc w:val="both"/>
      </w:pPr>
      <w:r w:rsidRPr="005D647D">
        <w:rPr>
          <w:i/>
          <w:iCs/>
        </w:rPr>
        <w:t xml:space="preserve">La </w:t>
      </w:r>
      <w:r w:rsidRPr="005D647D">
        <w:rPr>
          <w:b/>
          <w:bCs/>
          <w:i/>
          <w:iCs/>
        </w:rPr>
        <w:t xml:space="preserve">rotation des cultures </w:t>
      </w:r>
      <w:r w:rsidRPr="005D647D">
        <w:rPr>
          <w:i/>
          <w:iCs/>
        </w:rPr>
        <w:t xml:space="preserve">+ La jachère (comme en agriculture biologique), </w:t>
      </w:r>
    </w:p>
    <w:p w14:paraId="6AF14195" w14:textId="01AF17EC" w:rsidR="005D647D" w:rsidRPr="005D647D" w:rsidRDefault="005D647D" w:rsidP="0022016D">
      <w:pPr>
        <w:numPr>
          <w:ilvl w:val="0"/>
          <w:numId w:val="33"/>
        </w:numPr>
        <w:spacing w:after="0" w:line="240" w:lineRule="auto"/>
        <w:jc w:val="both"/>
      </w:pPr>
      <w:r>
        <w:rPr>
          <w:i/>
          <w:iCs/>
        </w:rPr>
        <w:t>L</w:t>
      </w:r>
      <w:r w:rsidRPr="005D647D">
        <w:rPr>
          <w:i/>
          <w:iCs/>
        </w:rPr>
        <w:t>e sous-solage</w:t>
      </w:r>
      <w:r>
        <w:rPr>
          <w:i/>
          <w:iCs/>
        </w:rPr>
        <w:t xml:space="preserve"> (pour améliorer la fertilité des sols argileux et lourds)</w:t>
      </w:r>
      <w:r w:rsidRPr="005D647D">
        <w:rPr>
          <w:i/>
          <w:iCs/>
        </w:rPr>
        <w:t>.</w:t>
      </w:r>
    </w:p>
    <w:p w14:paraId="2586460A" w14:textId="06FA1C3A" w:rsidR="005D647D" w:rsidRDefault="005D647D" w:rsidP="007C6C35">
      <w:pPr>
        <w:spacing w:after="0" w:line="240" w:lineRule="auto"/>
        <w:jc w:val="both"/>
      </w:pPr>
    </w:p>
    <w:p w14:paraId="44199D6F" w14:textId="5262933C" w:rsidR="00AA6BA0" w:rsidRDefault="00AA6BA0" w:rsidP="007C6C35">
      <w:pPr>
        <w:spacing w:after="0" w:line="240" w:lineRule="auto"/>
        <w:jc w:val="both"/>
      </w:pPr>
      <w:r>
        <w:t xml:space="preserve">Nous n’aborderons dans ce document que la technique du </w:t>
      </w:r>
      <w:r w:rsidRPr="00226388">
        <w:rPr>
          <w:i/>
          <w:iCs/>
        </w:rPr>
        <w:t>compostage organique</w:t>
      </w:r>
      <w:r>
        <w:t xml:space="preserve"> (voir ci-dessous).</w:t>
      </w:r>
    </w:p>
    <w:p w14:paraId="2AB73EB6" w14:textId="012A589C" w:rsidR="00AA6BA0" w:rsidRDefault="00226388" w:rsidP="007C6C35">
      <w:pPr>
        <w:spacing w:after="0" w:line="240" w:lineRule="auto"/>
        <w:jc w:val="both"/>
      </w:pPr>
      <w:r>
        <w:t>Si vous désirez</w:t>
      </w:r>
      <w:r w:rsidR="00AA6BA0">
        <w:t xml:space="preserve"> des informations sur les autres techniques, consultez cette ressource documentaire, ci-après : </w:t>
      </w:r>
    </w:p>
    <w:p w14:paraId="59618BFD" w14:textId="77777777" w:rsidR="00AA6BA0" w:rsidRDefault="00AA6BA0" w:rsidP="007C6C35">
      <w:pPr>
        <w:spacing w:after="0" w:line="240" w:lineRule="auto"/>
        <w:jc w:val="both"/>
      </w:pPr>
    </w:p>
    <w:p w14:paraId="3346D9B3" w14:textId="7C9C0A10" w:rsidR="00AA6BA0" w:rsidRDefault="00AA6BA0" w:rsidP="007C6C35">
      <w:pPr>
        <w:spacing w:after="0" w:line="240" w:lineRule="auto"/>
        <w:jc w:val="both"/>
      </w:pPr>
      <w:r w:rsidRPr="00AA6BA0">
        <w:t xml:space="preserve">Ressource documentaires : Amélioration de la fertilité des sols, Par des moyens naturels, B. LISAN, 11/05/2014, 177 pages, </w:t>
      </w:r>
      <w:hyperlink r:id="rId3357" w:history="1">
        <w:r w:rsidRPr="00144E66">
          <w:rPr>
            <w:rStyle w:val="Lienhypertexte"/>
          </w:rPr>
          <w:t>http://www.doc-developpement-durable.org/documents-agronomiques/AmeliorationFertiliteDesSols.ppt</w:t>
        </w:r>
      </w:hyperlink>
      <w:r>
        <w:t xml:space="preserve"> </w:t>
      </w:r>
    </w:p>
    <w:p w14:paraId="441040E7" w14:textId="77777777" w:rsidR="005D647D" w:rsidRDefault="005D647D" w:rsidP="007C6C35">
      <w:pPr>
        <w:spacing w:after="0" w:line="240" w:lineRule="auto"/>
        <w:jc w:val="both"/>
      </w:pPr>
    </w:p>
    <w:p w14:paraId="20E89DEA" w14:textId="2A026854" w:rsidR="007C6C35" w:rsidRDefault="007C6C35" w:rsidP="00AA6BA0">
      <w:pPr>
        <w:pStyle w:val="Titre3"/>
      </w:pPr>
      <w:bookmarkStart w:id="255" w:name="_Toc139181546"/>
      <w:r w:rsidRPr="007C6C35">
        <w:t>Le compostage organique</w:t>
      </w:r>
      <w:bookmarkEnd w:id="255"/>
    </w:p>
    <w:p w14:paraId="3969312A" w14:textId="3EA3197D" w:rsidR="007C6C35" w:rsidRDefault="007C6C35" w:rsidP="007C6C35">
      <w:pPr>
        <w:spacing w:after="0" w:line="240" w:lineRule="auto"/>
        <w:jc w:val="both"/>
      </w:pPr>
    </w:p>
    <w:p w14:paraId="1215A95A" w14:textId="6084C994" w:rsidR="007C6C35" w:rsidRDefault="007C6C35" w:rsidP="007C6C35">
      <w:pPr>
        <w:spacing w:after="0" w:line="240" w:lineRule="auto"/>
        <w:jc w:val="both"/>
      </w:pPr>
      <w:r w:rsidRPr="007C6C35">
        <w:t>Point de départ de la récupération de tous les sols</w:t>
      </w:r>
      <w:r>
        <w:t> :</w:t>
      </w:r>
    </w:p>
    <w:p w14:paraId="61361119" w14:textId="77777777" w:rsidR="007C6C35" w:rsidRDefault="007C6C35" w:rsidP="007C6C35">
      <w:pPr>
        <w:spacing w:after="0" w:line="240" w:lineRule="auto"/>
        <w:jc w:val="both"/>
      </w:pPr>
    </w:p>
    <w:p w14:paraId="688B799C" w14:textId="77777777" w:rsidR="007C6C35" w:rsidRPr="007C6C35" w:rsidRDefault="007C6C35" w:rsidP="007C6C35">
      <w:pPr>
        <w:spacing w:after="0" w:line="240" w:lineRule="auto"/>
        <w:jc w:val="both"/>
      </w:pPr>
      <w:r w:rsidRPr="007C6C35">
        <w:rPr>
          <w:b/>
          <w:bCs/>
        </w:rPr>
        <w:t>Principe</w:t>
      </w:r>
      <w:r w:rsidRPr="007C6C35">
        <w:t xml:space="preserve"> des résidus organiques et minéraux sont compostés dans une fosse stabilisée de 9m3, retournés et arrosés périodiquement.</w:t>
      </w:r>
    </w:p>
    <w:p w14:paraId="49C55067" w14:textId="77777777" w:rsidR="007C6C35" w:rsidRPr="007C6C35" w:rsidRDefault="007C6C35" w:rsidP="007C6C35">
      <w:pPr>
        <w:spacing w:after="0" w:line="240" w:lineRule="auto"/>
        <w:jc w:val="both"/>
      </w:pPr>
      <w:r w:rsidRPr="007C6C35">
        <w:rPr>
          <w:b/>
          <w:bCs/>
        </w:rPr>
        <w:lastRenderedPageBreak/>
        <w:t>Pré-requis</w:t>
      </w:r>
      <w:r w:rsidRPr="007C6C35">
        <w:t xml:space="preserve"> disponibilité fèces d’animaux, de cendres, de matériaux organique (paille, herbe, tiges de céréales) et d’eau pour arroser le compost (200 L par semaine).</w:t>
      </w:r>
    </w:p>
    <w:p w14:paraId="31AA6D7D" w14:textId="21803C81" w:rsidR="007C6C35" w:rsidRPr="007C6C35" w:rsidRDefault="007C6C35" w:rsidP="007C6C35">
      <w:pPr>
        <w:spacing w:after="0" w:line="240" w:lineRule="auto"/>
        <w:jc w:val="both"/>
      </w:pPr>
      <w:r w:rsidRPr="007C6C35">
        <w:rPr>
          <w:b/>
          <w:bCs/>
        </w:rPr>
        <w:t>Effets concrets</w:t>
      </w:r>
      <w:r>
        <w:rPr>
          <w:b/>
          <w:bCs/>
        </w:rPr>
        <w:t xml:space="preserve"> </w:t>
      </w:r>
      <w:r w:rsidRPr="007C6C35">
        <w:t>amélioration des rendements des cultures</w:t>
      </w:r>
      <w:r>
        <w:t>,</w:t>
      </w:r>
      <w:r w:rsidRPr="007C6C35">
        <w:t xml:space="preserve"> dès la première année</w:t>
      </w:r>
      <w:r>
        <w:t>,</w:t>
      </w:r>
      <w:r w:rsidRPr="007C6C35">
        <w:t xml:space="preserve"> et maintien de la fertilité.</w:t>
      </w:r>
    </w:p>
    <w:p w14:paraId="723727BA" w14:textId="77777777" w:rsidR="007C6C35" w:rsidRPr="007C6C35" w:rsidRDefault="007C6C35" w:rsidP="007C6C35">
      <w:pPr>
        <w:spacing w:after="0" w:line="240" w:lineRule="auto"/>
        <w:jc w:val="both"/>
      </w:pPr>
      <w:r w:rsidRPr="007C6C35">
        <w:rPr>
          <w:b/>
          <w:bCs/>
        </w:rPr>
        <w:t>Coût</w:t>
      </w:r>
      <w:r w:rsidRPr="007C6C35">
        <w:t xml:space="preserve"> une fosse permet de fertiliser 0.5 ha/an. Pour les céréales, l’application se fait tous les 2 ans. Le coût de construction total varie de 45 € (sol compact) à 90 € (sols sableux).</w:t>
      </w:r>
    </w:p>
    <w:p w14:paraId="6537FFC3" w14:textId="77777777" w:rsidR="00E361BC" w:rsidRDefault="00E361BC" w:rsidP="007C6C35">
      <w:pPr>
        <w:spacing w:after="0" w:line="240" w:lineRule="auto"/>
        <w:jc w:val="both"/>
      </w:pPr>
    </w:p>
    <w:p w14:paraId="48FC0A2C" w14:textId="0372C68F" w:rsidR="007C6C35" w:rsidRDefault="007C6C35" w:rsidP="007C6C35">
      <w:pPr>
        <w:spacing w:after="0" w:line="240" w:lineRule="auto"/>
        <w:jc w:val="both"/>
      </w:pPr>
      <w:r w:rsidRPr="007C6C35">
        <w:t xml:space="preserve">N.B. cet aménagement </w:t>
      </w:r>
      <w:r w:rsidR="006456C1">
        <w:t>pour la</w:t>
      </w:r>
      <w:r w:rsidRPr="007C6C35">
        <w:t xml:space="preserve"> restauration de la fertilité est à utiliser en synergie avec les dispositifs décrits dans ce document.</w:t>
      </w:r>
    </w:p>
    <w:p w14:paraId="2EF0B804" w14:textId="63D04260" w:rsidR="00E361BC" w:rsidRDefault="00E361BC" w:rsidP="007C6C35">
      <w:pPr>
        <w:spacing w:after="0" w:line="240" w:lineRule="auto"/>
        <w:jc w:val="both"/>
      </w:pPr>
    </w:p>
    <w:p w14:paraId="478F3D4F" w14:textId="1180CD08" w:rsidR="00E361BC" w:rsidRDefault="00E361BC" w:rsidP="007C6C35">
      <w:pPr>
        <w:spacing w:after="0" w:line="240" w:lineRule="auto"/>
        <w:jc w:val="both"/>
      </w:pPr>
      <w:r w:rsidRPr="00E361BC">
        <w:t>Un avis de Claire</w:t>
      </w:r>
      <w:r w:rsidR="009F012C">
        <w:t>-</w:t>
      </w:r>
      <w:r w:rsidRPr="00E361BC">
        <w:t>Marie</w:t>
      </w:r>
      <w:r w:rsidR="009F012C">
        <w:t>-</w:t>
      </w:r>
      <w:r w:rsidRPr="00E361BC">
        <w:t xml:space="preserve">Madeleine Péhi-Verny : </w:t>
      </w:r>
      <w:r>
        <w:t>« </w:t>
      </w:r>
      <w:r w:rsidRPr="00E361BC">
        <w:rPr>
          <w:i/>
          <w:iCs/>
        </w:rPr>
        <w:t>La bouse de vache est vraiment un élément important de la régénération des sols , soit au naturel où elle se mélange aux racines et restes de tiges non ramassées, soit comme je l’ai pratiqué 15 ans comme élément du compost sahélien prôné par Pierre Rabhi depuis les années 80 . On peut mettre des feces de chevres ou mouton, ou des fientes de volaille mais de mon expérience c’est plus efficace avec la bouse de vache, à cause de la rumination et de bactéries spécifiques qui enrichissent mieux les sols</w:t>
      </w:r>
      <w:r>
        <w:t> ».</w:t>
      </w:r>
    </w:p>
    <w:p w14:paraId="0C5A68CA" w14:textId="77777777" w:rsidR="00E361BC" w:rsidRDefault="00E361BC" w:rsidP="007C6C35">
      <w:pPr>
        <w:spacing w:after="0" w:line="240" w:lineRule="auto"/>
        <w:jc w:val="both"/>
      </w:pPr>
    </w:p>
    <w:tbl>
      <w:tblPr>
        <w:tblStyle w:val="Grilledutableau"/>
        <w:tblW w:w="0" w:type="auto"/>
        <w:tblLook w:val="04A0" w:firstRow="1" w:lastRow="0" w:firstColumn="1" w:lastColumn="0" w:noHBand="0" w:noVBand="1"/>
      </w:tblPr>
      <w:tblGrid>
        <w:gridCol w:w="5316"/>
        <w:gridCol w:w="5110"/>
      </w:tblGrid>
      <w:tr w:rsidR="00DA73B7" w14:paraId="59532EE1" w14:textId="77777777" w:rsidTr="00F66D31">
        <w:tc>
          <w:tcPr>
            <w:tcW w:w="5316" w:type="dxa"/>
            <w:tcBorders>
              <w:top w:val="nil"/>
              <w:left w:val="nil"/>
              <w:bottom w:val="nil"/>
              <w:right w:val="nil"/>
            </w:tcBorders>
          </w:tcPr>
          <w:p w14:paraId="7149B1F3" w14:textId="77777777" w:rsidR="00DA73B7" w:rsidRDefault="00DA73B7" w:rsidP="00DA73B7">
            <w:pPr>
              <w:jc w:val="center"/>
            </w:pPr>
            <w:r w:rsidRPr="00DA73B7">
              <w:rPr>
                <w:noProof/>
              </w:rPr>
              <w:drawing>
                <wp:inline distT="0" distB="0" distL="0" distR="0" wp14:anchorId="638700B3" wp14:editId="4D32C13F">
                  <wp:extent cx="3230951" cy="1505871"/>
                  <wp:effectExtent l="0" t="0" r="7620" b="0"/>
                  <wp:docPr id="60"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 29"/>
                          <pic:cNvPicPr>
                            <a:picLocks noChangeAspect="1"/>
                          </pic:cNvPicPr>
                        </pic:nvPicPr>
                        <pic:blipFill>
                          <a:blip r:embed="rId3358">
                            <a:extLst>
                              <a:ext uri="{28A0092B-C50C-407E-A947-70E740481C1C}">
                                <a14:useLocalDpi xmlns:a14="http://schemas.microsoft.com/office/drawing/2010/main" val="0"/>
                              </a:ext>
                            </a:extLst>
                          </a:blip>
                          <a:stretch>
                            <a:fillRect/>
                          </a:stretch>
                        </pic:blipFill>
                        <pic:spPr>
                          <a:xfrm>
                            <a:off x="0" y="0"/>
                            <a:ext cx="3230951" cy="1505871"/>
                          </a:xfrm>
                          <a:prstGeom prst="rect">
                            <a:avLst/>
                          </a:prstGeom>
                        </pic:spPr>
                      </pic:pic>
                    </a:graphicData>
                  </a:graphic>
                </wp:inline>
              </w:drawing>
            </w:r>
          </w:p>
          <w:p w14:paraId="559E8ED1" w14:textId="77777777" w:rsidR="00DA73B7" w:rsidRDefault="00DA73B7" w:rsidP="00DA73B7">
            <w:pPr>
              <w:jc w:val="center"/>
            </w:pPr>
            <w:r w:rsidRPr="00DA73B7">
              <w:t>Comment faire un bon compost, avec transfert d’une fosse l’autre, tous les 2 mois (Source : Agrodok n°9).</w:t>
            </w:r>
          </w:p>
          <w:p w14:paraId="48213B7E" w14:textId="4B5D4EA3" w:rsidR="00B224B3" w:rsidRDefault="00B224B3" w:rsidP="00DA73B7">
            <w:pPr>
              <w:jc w:val="center"/>
            </w:pPr>
          </w:p>
        </w:tc>
        <w:tc>
          <w:tcPr>
            <w:tcW w:w="5110" w:type="dxa"/>
            <w:tcBorders>
              <w:top w:val="nil"/>
              <w:left w:val="nil"/>
              <w:bottom w:val="nil"/>
              <w:right w:val="nil"/>
            </w:tcBorders>
          </w:tcPr>
          <w:p w14:paraId="51FEB698" w14:textId="77777777" w:rsidR="00DA73B7" w:rsidRDefault="00DA73B7" w:rsidP="00DA73B7">
            <w:pPr>
              <w:jc w:val="center"/>
            </w:pPr>
            <w:r>
              <w:rPr>
                <w:noProof/>
              </w:rPr>
              <w:drawing>
                <wp:inline distT="0" distB="0" distL="0" distR="0" wp14:anchorId="7A975938" wp14:editId="2FC7E8FB">
                  <wp:extent cx="1454150" cy="1071915"/>
                  <wp:effectExtent l="0" t="0" r="0" b="0"/>
                  <wp:docPr id="58" name="Image 58" descr="Une image contenant extérieur, mammifère, salet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 58" descr="Une image contenant extérieur, mammifère, saleté&#10;&#10;Description générée automatiquement"/>
                          <pic:cNvPicPr/>
                        </pic:nvPicPr>
                        <pic:blipFill>
                          <a:blip r:embed="rId3359"/>
                          <a:stretch>
                            <a:fillRect/>
                          </a:stretch>
                        </pic:blipFill>
                        <pic:spPr>
                          <a:xfrm>
                            <a:off x="0" y="0"/>
                            <a:ext cx="1466122" cy="1080740"/>
                          </a:xfrm>
                          <a:prstGeom prst="rect">
                            <a:avLst/>
                          </a:prstGeom>
                        </pic:spPr>
                      </pic:pic>
                    </a:graphicData>
                  </a:graphic>
                </wp:inline>
              </w:drawing>
            </w:r>
            <w:r>
              <w:t xml:space="preserve"> </w:t>
            </w:r>
            <w:r>
              <w:rPr>
                <w:noProof/>
              </w:rPr>
              <w:drawing>
                <wp:inline distT="0" distB="0" distL="0" distR="0" wp14:anchorId="013DD926" wp14:editId="08634F0D">
                  <wp:extent cx="1543050" cy="1028700"/>
                  <wp:effectExtent l="0" t="0" r="0" b="0"/>
                  <wp:docPr id="59" name="Image 59" descr="Une image contenant texte, ex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 59" descr="Une image contenant texte, extérieur&#10;&#10;Description générée automatiquement"/>
                          <pic:cNvPicPr/>
                        </pic:nvPicPr>
                        <pic:blipFill>
                          <a:blip r:embed="rId3360"/>
                          <a:stretch>
                            <a:fillRect/>
                          </a:stretch>
                        </pic:blipFill>
                        <pic:spPr>
                          <a:xfrm>
                            <a:off x="0" y="0"/>
                            <a:ext cx="1545203" cy="1030135"/>
                          </a:xfrm>
                          <a:prstGeom prst="rect">
                            <a:avLst/>
                          </a:prstGeom>
                        </pic:spPr>
                      </pic:pic>
                    </a:graphicData>
                  </a:graphic>
                </wp:inline>
              </w:drawing>
            </w:r>
          </w:p>
          <w:p w14:paraId="3DF41EED" w14:textId="33EDA053" w:rsidR="00DA73B7" w:rsidRDefault="00DA73B7" w:rsidP="00DA73B7">
            <w:pPr>
              <w:jc w:val="center"/>
            </w:pPr>
            <w:r w:rsidRPr="006456C1">
              <w:t>© CILSS/IREMLCD-2008</w:t>
            </w:r>
            <w:r>
              <w:t>.</w:t>
            </w:r>
          </w:p>
        </w:tc>
      </w:tr>
      <w:tr w:rsidR="009F012C" w14:paraId="13AF15AF" w14:textId="77777777" w:rsidTr="00F66D31">
        <w:tc>
          <w:tcPr>
            <w:tcW w:w="5316" w:type="dxa"/>
            <w:tcBorders>
              <w:top w:val="nil"/>
              <w:left w:val="nil"/>
              <w:bottom w:val="nil"/>
              <w:right w:val="nil"/>
            </w:tcBorders>
          </w:tcPr>
          <w:p w14:paraId="77AFD362" w14:textId="77777777" w:rsidR="009F012C" w:rsidRDefault="009F012C" w:rsidP="00DA73B7">
            <w:pPr>
              <w:jc w:val="center"/>
              <w:rPr>
                <w:noProof/>
              </w:rPr>
            </w:pPr>
            <w:r>
              <w:rPr>
                <w:noProof/>
              </w:rPr>
              <w:drawing>
                <wp:inline distT="0" distB="0" distL="0" distR="0" wp14:anchorId="14C6C41D" wp14:editId="2FACC9D7">
                  <wp:extent cx="3124200" cy="2428875"/>
                  <wp:effectExtent l="0" t="0" r="0" b="9525"/>
                  <wp:docPr id="109589" name="Image 109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61">
                            <a:extLst>
                              <a:ext uri="{28A0092B-C50C-407E-A947-70E740481C1C}">
                                <a14:useLocalDpi xmlns:a14="http://schemas.microsoft.com/office/drawing/2010/main" val="0"/>
                              </a:ext>
                            </a:extLst>
                          </a:blip>
                          <a:srcRect/>
                          <a:stretch>
                            <a:fillRect/>
                          </a:stretch>
                        </pic:blipFill>
                        <pic:spPr bwMode="auto">
                          <a:xfrm>
                            <a:off x="0" y="0"/>
                            <a:ext cx="3124200" cy="2428875"/>
                          </a:xfrm>
                          <a:prstGeom prst="rect">
                            <a:avLst/>
                          </a:prstGeom>
                          <a:noFill/>
                          <a:ln>
                            <a:noFill/>
                          </a:ln>
                        </pic:spPr>
                      </pic:pic>
                    </a:graphicData>
                  </a:graphic>
                </wp:inline>
              </w:drawing>
            </w:r>
          </w:p>
          <w:p w14:paraId="7A9A0ABE" w14:textId="620FBF9E" w:rsidR="009F012C" w:rsidRDefault="009F012C" w:rsidP="00DA73B7">
            <w:pPr>
              <w:jc w:val="center"/>
              <w:rPr>
                <w:noProof/>
              </w:rPr>
            </w:pPr>
            <w:r>
              <w:rPr>
                <w:noProof/>
              </w:rPr>
              <w:t>Composition des couches dans la composteuse.</w:t>
            </w:r>
          </w:p>
          <w:p w14:paraId="1BBA4288" w14:textId="77777777" w:rsidR="009F012C" w:rsidRDefault="009F012C" w:rsidP="00DA73B7">
            <w:pPr>
              <w:jc w:val="center"/>
            </w:pPr>
            <w:r>
              <w:rPr>
                <w:noProof/>
              </w:rPr>
              <w:t xml:space="preserve">© </w:t>
            </w:r>
            <w:r w:rsidRPr="00E361BC">
              <w:t>Claire</w:t>
            </w:r>
            <w:r>
              <w:t>-</w:t>
            </w:r>
            <w:r w:rsidRPr="00E361BC">
              <w:t>Marie</w:t>
            </w:r>
            <w:r>
              <w:t>-</w:t>
            </w:r>
            <w:r w:rsidRPr="00E361BC">
              <w:t>Madeleine Péhi-Verny</w:t>
            </w:r>
          </w:p>
          <w:p w14:paraId="69AEF165" w14:textId="77777777" w:rsidR="00026AC3" w:rsidRDefault="00026AC3" w:rsidP="00DA73B7">
            <w:pPr>
              <w:jc w:val="center"/>
            </w:pPr>
          </w:p>
          <w:p w14:paraId="0FC1F823" w14:textId="77777777" w:rsidR="00026AC3" w:rsidRDefault="00026AC3" w:rsidP="00DA73B7">
            <w:pPr>
              <w:jc w:val="center"/>
            </w:pPr>
          </w:p>
          <w:p w14:paraId="7E351C17" w14:textId="77777777" w:rsidR="00026AC3" w:rsidRDefault="00026AC3" w:rsidP="00026AC3">
            <w:pPr>
              <w:jc w:val="right"/>
            </w:pPr>
          </w:p>
          <w:p w14:paraId="71234D65" w14:textId="3C8966AF" w:rsidR="00026AC3" w:rsidRDefault="00026AC3" w:rsidP="00026AC3">
            <w:pPr>
              <w:jc w:val="right"/>
            </w:pPr>
            <w:r>
              <w:t>Utilisation du compost prêt directement au jardin</w:t>
            </w:r>
          </w:p>
          <w:p w14:paraId="5A9AA167" w14:textId="1BDB0632" w:rsidR="00026AC3" w:rsidRPr="00DA73B7" w:rsidRDefault="00026AC3" w:rsidP="00026AC3">
            <w:pPr>
              <w:jc w:val="right"/>
              <w:rPr>
                <w:noProof/>
              </w:rPr>
            </w:pPr>
            <w:r>
              <w:rPr>
                <w:noProof/>
              </w:rPr>
              <w:t xml:space="preserve">Ou sèchage au soleil et mise en sac =&gt; </w:t>
            </w:r>
          </w:p>
        </w:tc>
        <w:tc>
          <w:tcPr>
            <w:tcW w:w="5110" w:type="dxa"/>
            <w:tcBorders>
              <w:top w:val="nil"/>
              <w:left w:val="nil"/>
              <w:bottom w:val="nil"/>
              <w:right w:val="nil"/>
            </w:tcBorders>
          </w:tcPr>
          <w:p w14:paraId="2382BB0E" w14:textId="77777777" w:rsidR="009F012C" w:rsidRDefault="009F012C" w:rsidP="00DA73B7">
            <w:pPr>
              <w:jc w:val="center"/>
              <w:rPr>
                <w:noProof/>
              </w:rPr>
            </w:pPr>
            <w:r>
              <w:rPr>
                <w:noProof/>
              </w:rPr>
              <w:drawing>
                <wp:inline distT="0" distB="0" distL="0" distR="0" wp14:anchorId="7B8F8740" wp14:editId="7F387FF4">
                  <wp:extent cx="2771775" cy="3667125"/>
                  <wp:effectExtent l="0" t="0" r="9525" b="9525"/>
                  <wp:docPr id="99342" name="Image 99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62">
                            <a:extLst>
                              <a:ext uri="{28A0092B-C50C-407E-A947-70E740481C1C}">
                                <a14:useLocalDpi xmlns:a14="http://schemas.microsoft.com/office/drawing/2010/main" val="0"/>
                              </a:ext>
                            </a:extLst>
                          </a:blip>
                          <a:srcRect/>
                          <a:stretch>
                            <a:fillRect/>
                          </a:stretch>
                        </pic:blipFill>
                        <pic:spPr bwMode="auto">
                          <a:xfrm>
                            <a:off x="0" y="0"/>
                            <a:ext cx="2771775" cy="3667125"/>
                          </a:xfrm>
                          <a:prstGeom prst="rect">
                            <a:avLst/>
                          </a:prstGeom>
                          <a:noFill/>
                          <a:ln>
                            <a:noFill/>
                          </a:ln>
                        </pic:spPr>
                      </pic:pic>
                    </a:graphicData>
                  </a:graphic>
                </wp:inline>
              </w:drawing>
            </w:r>
          </w:p>
          <w:p w14:paraId="02CAB794" w14:textId="59B4EBDF" w:rsidR="009F012C" w:rsidRDefault="009F012C" w:rsidP="00DA73B7">
            <w:pPr>
              <w:jc w:val="center"/>
              <w:rPr>
                <w:noProof/>
              </w:rPr>
            </w:pPr>
            <w:r>
              <w:rPr>
                <w:noProof/>
              </w:rPr>
              <w:t>Cycle de vie du compost, dans les 2 fosses.</w:t>
            </w:r>
          </w:p>
          <w:p w14:paraId="792ECE59" w14:textId="1136EA64" w:rsidR="009F012C" w:rsidRDefault="009F012C" w:rsidP="00DA73B7">
            <w:pPr>
              <w:jc w:val="center"/>
              <w:rPr>
                <w:noProof/>
              </w:rPr>
            </w:pPr>
            <w:r>
              <w:rPr>
                <w:noProof/>
              </w:rPr>
              <w:t xml:space="preserve">© </w:t>
            </w:r>
            <w:r w:rsidRPr="00E361BC">
              <w:t>Claire</w:t>
            </w:r>
            <w:r>
              <w:t>-</w:t>
            </w:r>
            <w:r w:rsidRPr="00E361BC">
              <w:t>Marie</w:t>
            </w:r>
            <w:r>
              <w:t>-</w:t>
            </w:r>
            <w:r w:rsidRPr="00E361BC">
              <w:t>Madeleine Péhi-Verny</w:t>
            </w:r>
          </w:p>
        </w:tc>
      </w:tr>
    </w:tbl>
    <w:p w14:paraId="7149E1D3" w14:textId="41674EF3" w:rsidR="007C6C35" w:rsidRDefault="00F66D31" w:rsidP="00F66D31">
      <w:pPr>
        <w:spacing w:after="0" w:line="240" w:lineRule="auto"/>
        <w:jc w:val="center"/>
      </w:pPr>
      <w:r>
        <w:rPr>
          <w:noProof/>
        </w:rPr>
        <w:lastRenderedPageBreak/>
        <w:drawing>
          <wp:inline distT="0" distB="0" distL="0" distR="0" wp14:anchorId="74888749" wp14:editId="61D17AC5">
            <wp:extent cx="3048000" cy="2038350"/>
            <wp:effectExtent l="0" t="0" r="0" b="0"/>
            <wp:docPr id="18" name="Image 18" descr="Une image contenant extérieur, terrain, personne, salet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8" descr="Une image contenant extérieur, terrain, personne, saleté&#10;&#10;Description générée automatiquement"/>
                    <pic:cNvPicPr>
                      <a:picLocks noChangeAspect="1" noChangeArrowheads="1"/>
                    </pic:cNvPicPr>
                  </pic:nvPicPr>
                  <pic:blipFill>
                    <a:blip r:embed="rId3363">
                      <a:extLst>
                        <a:ext uri="{28A0092B-C50C-407E-A947-70E740481C1C}">
                          <a14:useLocalDpi xmlns:a14="http://schemas.microsoft.com/office/drawing/2010/main" val="0"/>
                        </a:ext>
                      </a:extLst>
                    </a:blip>
                    <a:srcRect/>
                    <a:stretch>
                      <a:fillRect/>
                    </a:stretch>
                  </pic:blipFill>
                  <pic:spPr bwMode="auto">
                    <a:xfrm>
                      <a:off x="0" y="0"/>
                      <a:ext cx="3048000" cy="2038350"/>
                    </a:xfrm>
                    <a:prstGeom prst="rect">
                      <a:avLst/>
                    </a:prstGeom>
                    <a:noFill/>
                    <a:ln>
                      <a:noFill/>
                    </a:ln>
                  </pic:spPr>
                </pic:pic>
              </a:graphicData>
            </a:graphic>
          </wp:inline>
        </w:drawing>
      </w:r>
    </w:p>
    <w:p w14:paraId="334C93D3" w14:textId="25CEB35D" w:rsidR="00F66D31" w:rsidRDefault="00F66D31" w:rsidP="00F66D31">
      <w:pPr>
        <w:spacing w:after="0" w:line="240" w:lineRule="auto"/>
        <w:jc w:val="center"/>
      </w:pPr>
      <w:r w:rsidRPr="00F66D31">
        <w:t>Formation au compost des maraîchers de Tengandogo, quelques km au sud de Ouagadougou, à la demande des jeunes de RJS (rassemblement de la jeunesse solidaire)</w:t>
      </w:r>
      <w:r>
        <w:t xml:space="preserve"> </w:t>
      </w:r>
      <w:r w:rsidR="006D65D0">
        <w:rPr>
          <w:noProof/>
        </w:rPr>
        <w:t xml:space="preserve">© </w:t>
      </w:r>
      <w:r w:rsidR="006D65D0" w:rsidRPr="00E361BC">
        <w:t>Claire</w:t>
      </w:r>
      <w:r w:rsidR="006D65D0">
        <w:t>-</w:t>
      </w:r>
      <w:r w:rsidR="006D65D0" w:rsidRPr="00E361BC">
        <w:t>Marie</w:t>
      </w:r>
      <w:r w:rsidR="006D65D0">
        <w:t>-</w:t>
      </w:r>
      <w:r w:rsidR="006D65D0" w:rsidRPr="00E361BC">
        <w:t>Madeleine Péhi-Verny</w:t>
      </w:r>
      <w:r w:rsidR="006D65D0">
        <w:t>.</w:t>
      </w:r>
    </w:p>
    <w:p w14:paraId="60493560" w14:textId="77777777" w:rsidR="00F66D31" w:rsidRDefault="00F66D31" w:rsidP="00F84327">
      <w:pPr>
        <w:spacing w:after="0" w:line="240" w:lineRule="auto"/>
      </w:pPr>
    </w:p>
    <w:p w14:paraId="62D93551" w14:textId="77777777" w:rsidR="00102965" w:rsidRDefault="00102965" w:rsidP="00102965">
      <w:pPr>
        <w:spacing w:after="0" w:line="240" w:lineRule="auto"/>
      </w:pPr>
      <w:r>
        <w:t>POUR 4 FOSSES de 2m x 50cm x 30cm, IL VOUS FUT :</w:t>
      </w:r>
    </w:p>
    <w:p w14:paraId="41DF5B43" w14:textId="77777777" w:rsidR="00102965" w:rsidRDefault="00102965" w:rsidP="00102965">
      <w:pPr>
        <w:spacing w:after="0" w:line="240" w:lineRule="auto"/>
      </w:pPr>
      <w:r>
        <w:t>Pour des fosses de 3 m x 0,75 x 0,40 =&gt; 17 + 7b.</w:t>
      </w:r>
    </w:p>
    <w:p w14:paraId="30BCF654" w14:textId="77777777" w:rsidR="00102965" w:rsidRDefault="00102965" w:rsidP="00102965">
      <w:pPr>
        <w:spacing w:after="0" w:line="240" w:lineRule="auto"/>
      </w:pPr>
    </w:p>
    <w:p w14:paraId="5C42B7F3" w14:textId="2959AF3B" w:rsidR="00102965" w:rsidRDefault="00102965" w:rsidP="00102965">
      <w:pPr>
        <w:spacing w:after="0" w:line="240" w:lineRule="auto"/>
      </w:pPr>
      <w:r>
        <w:t xml:space="preserve">1) 11 brouettes de déchets végétaux secs </w:t>
      </w:r>
      <w:r w:rsidR="00487552">
        <w:t>(°).</w:t>
      </w:r>
    </w:p>
    <w:p w14:paraId="780C00FE" w14:textId="421AAF8C" w:rsidR="00102965" w:rsidRDefault="00102965" w:rsidP="00102965">
      <w:pPr>
        <w:spacing w:after="0" w:line="240" w:lineRule="auto"/>
      </w:pPr>
      <w:r>
        <w:t xml:space="preserve">2) 5 brouettes de bouses de vaches sèches </w:t>
      </w:r>
      <w:r w:rsidR="00487552">
        <w:t>(°).</w:t>
      </w:r>
    </w:p>
    <w:p w14:paraId="5391AEC0" w14:textId="7999A307" w:rsidR="00102965" w:rsidRDefault="00102965" w:rsidP="00102965">
      <w:pPr>
        <w:spacing w:after="0" w:line="240" w:lineRule="auto"/>
      </w:pPr>
    </w:p>
    <w:p w14:paraId="161031B1" w14:textId="18AE9653" w:rsidR="00321BDC" w:rsidRDefault="00321BDC" w:rsidP="00102965">
      <w:pPr>
        <w:spacing w:after="0" w:line="240" w:lineRule="auto"/>
      </w:pPr>
      <w:r>
        <w:rPr>
          <w:noProof/>
        </w:rPr>
        <w:drawing>
          <wp:inline distT="0" distB="0" distL="0" distR="0" wp14:anchorId="054BB1B1" wp14:editId="58402D94">
            <wp:extent cx="1735157" cy="1200150"/>
            <wp:effectExtent l="0" t="0" r="0" b="0"/>
            <wp:docPr id="99344" name="Image 99344" descr="Une image contenant texte, trou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44" name="Image 99344" descr="Une image contenant texte, trouble&#10;&#10;Description générée automatiquement"/>
                    <pic:cNvPicPr>
                      <a:picLocks noChangeAspect="1" noChangeArrowheads="1"/>
                    </pic:cNvPicPr>
                  </pic:nvPicPr>
                  <pic:blipFill>
                    <a:blip r:embed="rId3364">
                      <a:extLst>
                        <a:ext uri="{28A0092B-C50C-407E-A947-70E740481C1C}">
                          <a14:useLocalDpi xmlns:a14="http://schemas.microsoft.com/office/drawing/2010/main" val="0"/>
                        </a:ext>
                      </a:extLst>
                    </a:blip>
                    <a:srcRect/>
                    <a:stretch>
                      <a:fillRect/>
                    </a:stretch>
                  </pic:blipFill>
                  <pic:spPr bwMode="auto">
                    <a:xfrm>
                      <a:off x="0" y="0"/>
                      <a:ext cx="1740761" cy="1204026"/>
                    </a:xfrm>
                    <a:prstGeom prst="rect">
                      <a:avLst/>
                    </a:prstGeom>
                    <a:noFill/>
                    <a:ln>
                      <a:noFill/>
                    </a:ln>
                  </pic:spPr>
                </pic:pic>
              </a:graphicData>
            </a:graphic>
          </wp:inline>
        </w:drawing>
      </w:r>
      <w:r>
        <w:rPr>
          <w:noProof/>
        </w:rPr>
        <w:drawing>
          <wp:inline distT="0" distB="0" distL="0" distR="0" wp14:anchorId="376B571C" wp14:editId="477E6CF3">
            <wp:extent cx="3952875" cy="1209115"/>
            <wp:effectExtent l="0" t="0" r="0" b="0"/>
            <wp:docPr id="99343" name="Image 99343"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43" name="Image 99343" descr="Une image contenant texte&#10;&#10;Description générée automatiquement"/>
                    <pic:cNvPicPr>
                      <a:picLocks noChangeAspect="1" noChangeArrowheads="1"/>
                    </pic:cNvPicPr>
                  </pic:nvPicPr>
                  <pic:blipFill>
                    <a:blip r:embed="rId3365">
                      <a:extLst>
                        <a:ext uri="{28A0092B-C50C-407E-A947-70E740481C1C}">
                          <a14:useLocalDpi xmlns:a14="http://schemas.microsoft.com/office/drawing/2010/main" val="0"/>
                        </a:ext>
                      </a:extLst>
                    </a:blip>
                    <a:srcRect/>
                    <a:stretch>
                      <a:fillRect/>
                    </a:stretch>
                  </pic:blipFill>
                  <pic:spPr bwMode="auto">
                    <a:xfrm>
                      <a:off x="0" y="0"/>
                      <a:ext cx="3961408" cy="1211725"/>
                    </a:xfrm>
                    <a:prstGeom prst="rect">
                      <a:avLst/>
                    </a:prstGeom>
                    <a:noFill/>
                    <a:ln>
                      <a:noFill/>
                    </a:ln>
                  </pic:spPr>
                </pic:pic>
              </a:graphicData>
            </a:graphic>
          </wp:inline>
        </w:drawing>
      </w:r>
    </w:p>
    <w:p w14:paraId="22336A2F" w14:textId="693B7F7F" w:rsidR="00321BDC" w:rsidRDefault="00321BDC" w:rsidP="00102965">
      <w:pPr>
        <w:spacing w:after="0" w:line="240" w:lineRule="auto"/>
      </w:pPr>
    </w:p>
    <w:p w14:paraId="2A970E91" w14:textId="6C375397" w:rsidR="00321BDC" w:rsidRDefault="00487552" w:rsidP="00102965">
      <w:pPr>
        <w:spacing w:after="0" w:line="240" w:lineRule="auto"/>
      </w:pPr>
      <w:r>
        <w:t>3) 3 x 20 poignées de :</w:t>
      </w:r>
    </w:p>
    <w:p w14:paraId="218EC224" w14:textId="7CBAA356" w:rsidR="00487552" w:rsidRDefault="00487552" w:rsidP="00102965">
      <w:pPr>
        <w:spacing w:after="0" w:line="240" w:lineRule="auto"/>
      </w:pPr>
    </w:p>
    <w:p w14:paraId="1F19064B" w14:textId="2055EB53" w:rsidR="00487552" w:rsidRDefault="00487552" w:rsidP="00102965">
      <w:pPr>
        <w:spacing w:after="0" w:line="240" w:lineRule="auto"/>
      </w:pPr>
      <w:r>
        <w:t xml:space="preserve">a) cendre : </w:t>
      </w:r>
      <w:r>
        <w:rPr>
          <w:noProof/>
        </w:rPr>
        <w:drawing>
          <wp:inline distT="0" distB="0" distL="0" distR="0" wp14:anchorId="1F356CB6" wp14:editId="355B37D5">
            <wp:extent cx="1781175" cy="809625"/>
            <wp:effectExtent l="0" t="0" r="9525" b="9525"/>
            <wp:docPr id="99345" name="Image 99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66">
                      <a:extLst>
                        <a:ext uri="{28A0092B-C50C-407E-A947-70E740481C1C}">
                          <a14:useLocalDpi xmlns:a14="http://schemas.microsoft.com/office/drawing/2010/main" val="0"/>
                        </a:ext>
                      </a:extLst>
                    </a:blip>
                    <a:srcRect/>
                    <a:stretch>
                      <a:fillRect/>
                    </a:stretch>
                  </pic:blipFill>
                  <pic:spPr bwMode="auto">
                    <a:xfrm>
                      <a:off x="0" y="0"/>
                      <a:ext cx="1781175" cy="809625"/>
                    </a:xfrm>
                    <a:prstGeom prst="rect">
                      <a:avLst/>
                    </a:prstGeom>
                    <a:noFill/>
                    <a:ln>
                      <a:noFill/>
                    </a:ln>
                  </pic:spPr>
                </pic:pic>
              </a:graphicData>
            </a:graphic>
          </wp:inline>
        </w:drawing>
      </w:r>
      <w:r>
        <w:rPr>
          <w:noProof/>
        </w:rPr>
        <w:drawing>
          <wp:inline distT="0" distB="0" distL="0" distR="0" wp14:anchorId="45119FFC" wp14:editId="4DCEFED0">
            <wp:extent cx="722685" cy="809625"/>
            <wp:effectExtent l="0" t="0" r="1270" b="0"/>
            <wp:docPr id="99346" name="Image 99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67">
                      <a:extLst>
                        <a:ext uri="{28A0092B-C50C-407E-A947-70E740481C1C}">
                          <a14:useLocalDpi xmlns:a14="http://schemas.microsoft.com/office/drawing/2010/main" val="0"/>
                        </a:ext>
                      </a:extLst>
                    </a:blip>
                    <a:srcRect/>
                    <a:stretch>
                      <a:fillRect/>
                    </a:stretch>
                  </pic:blipFill>
                  <pic:spPr bwMode="auto">
                    <a:xfrm>
                      <a:off x="0" y="0"/>
                      <a:ext cx="726700" cy="814123"/>
                    </a:xfrm>
                    <a:prstGeom prst="rect">
                      <a:avLst/>
                    </a:prstGeom>
                    <a:noFill/>
                    <a:ln>
                      <a:noFill/>
                    </a:ln>
                  </pic:spPr>
                </pic:pic>
              </a:graphicData>
            </a:graphic>
          </wp:inline>
        </w:drawing>
      </w:r>
    </w:p>
    <w:p w14:paraId="3838C959" w14:textId="759132C5" w:rsidR="00487552" w:rsidRDefault="00487552" w:rsidP="00102965">
      <w:pPr>
        <w:spacing w:after="0" w:line="240" w:lineRule="auto"/>
      </w:pPr>
    </w:p>
    <w:p w14:paraId="5E55AECB" w14:textId="414F8E62" w:rsidR="00487552" w:rsidRDefault="00487552" w:rsidP="00102965">
      <w:pPr>
        <w:spacing w:after="0" w:line="240" w:lineRule="auto"/>
      </w:pPr>
      <w:r>
        <w:t xml:space="preserve">b) arrêtes de poisson ou os pilé à sec : </w:t>
      </w:r>
      <w:r>
        <w:rPr>
          <w:noProof/>
        </w:rPr>
        <w:drawing>
          <wp:inline distT="0" distB="0" distL="0" distR="0" wp14:anchorId="65BCC7C2" wp14:editId="405A543F">
            <wp:extent cx="962025" cy="342900"/>
            <wp:effectExtent l="0" t="0" r="9525" b="0"/>
            <wp:docPr id="99347" name="Image 99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68">
                      <a:extLst>
                        <a:ext uri="{28A0092B-C50C-407E-A947-70E740481C1C}">
                          <a14:useLocalDpi xmlns:a14="http://schemas.microsoft.com/office/drawing/2010/main" val="0"/>
                        </a:ext>
                      </a:extLst>
                    </a:blip>
                    <a:srcRect/>
                    <a:stretch>
                      <a:fillRect/>
                    </a:stretch>
                  </pic:blipFill>
                  <pic:spPr bwMode="auto">
                    <a:xfrm>
                      <a:off x="0" y="0"/>
                      <a:ext cx="962025" cy="342900"/>
                    </a:xfrm>
                    <a:prstGeom prst="rect">
                      <a:avLst/>
                    </a:prstGeom>
                    <a:noFill/>
                    <a:ln>
                      <a:noFill/>
                    </a:ln>
                  </pic:spPr>
                </pic:pic>
              </a:graphicData>
            </a:graphic>
          </wp:inline>
        </w:drawing>
      </w:r>
      <w:r>
        <w:rPr>
          <w:noProof/>
        </w:rPr>
        <w:drawing>
          <wp:inline distT="0" distB="0" distL="0" distR="0" wp14:anchorId="32264C35" wp14:editId="255CC1C9">
            <wp:extent cx="645921" cy="485775"/>
            <wp:effectExtent l="0" t="0" r="1905" b="0"/>
            <wp:docPr id="99348" name="Image 99348"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48" name="Image 99348" descr="Une image contenant texte&#10;&#10;Description générée automatiquement"/>
                    <pic:cNvPicPr>
                      <a:picLocks noChangeAspect="1" noChangeArrowheads="1"/>
                    </pic:cNvPicPr>
                  </pic:nvPicPr>
                  <pic:blipFill>
                    <a:blip r:embed="rId3369">
                      <a:extLst>
                        <a:ext uri="{28A0092B-C50C-407E-A947-70E740481C1C}">
                          <a14:useLocalDpi xmlns:a14="http://schemas.microsoft.com/office/drawing/2010/main" val="0"/>
                        </a:ext>
                      </a:extLst>
                    </a:blip>
                    <a:srcRect/>
                    <a:stretch>
                      <a:fillRect/>
                    </a:stretch>
                  </pic:blipFill>
                  <pic:spPr bwMode="auto">
                    <a:xfrm>
                      <a:off x="0" y="0"/>
                      <a:ext cx="646961" cy="486557"/>
                    </a:xfrm>
                    <a:prstGeom prst="rect">
                      <a:avLst/>
                    </a:prstGeom>
                    <a:noFill/>
                    <a:ln>
                      <a:noFill/>
                    </a:ln>
                  </pic:spPr>
                </pic:pic>
              </a:graphicData>
            </a:graphic>
          </wp:inline>
        </w:drawing>
      </w:r>
    </w:p>
    <w:p w14:paraId="24E58468" w14:textId="750A3EB3" w:rsidR="00487552" w:rsidRDefault="00487552" w:rsidP="00102965">
      <w:pPr>
        <w:spacing w:after="0" w:line="240" w:lineRule="auto"/>
      </w:pPr>
    </w:p>
    <w:p w14:paraId="48B046AA" w14:textId="14CD53D8" w:rsidR="00487552" w:rsidRDefault="00487552" w:rsidP="00102965">
      <w:pPr>
        <w:spacing w:after="0" w:line="240" w:lineRule="auto"/>
      </w:pPr>
      <w:r>
        <w:t xml:space="preserve">c) peau de bananes sèches pilées : </w:t>
      </w:r>
      <w:r>
        <w:rPr>
          <w:noProof/>
        </w:rPr>
        <w:drawing>
          <wp:inline distT="0" distB="0" distL="0" distR="0" wp14:anchorId="1B702202" wp14:editId="095DF6D1">
            <wp:extent cx="2343150" cy="857250"/>
            <wp:effectExtent l="0" t="0" r="0" b="0"/>
            <wp:docPr id="99349" name="Image 99349"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49" name="Image 99349" descr="Une image contenant texte&#10;&#10;Description générée automatiquement"/>
                    <pic:cNvPicPr>
                      <a:picLocks noChangeAspect="1" noChangeArrowheads="1"/>
                    </pic:cNvPicPr>
                  </pic:nvPicPr>
                  <pic:blipFill>
                    <a:blip r:embed="rId3370">
                      <a:extLst>
                        <a:ext uri="{28A0092B-C50C-407E-A947-70E740481C1C}">
                          <a14:useLocalDpi xmlns:a14="http://schemas.microsoft.com/office/drawing/2010/main" val="0"/>
                        </a:ext>
                      </a:extLst>
                    </a:blip>
                    <a:srcRect/>
                    <a:stretch>
                      <a:fillRect/>
                    </a:stretch>
                  </pic:blipFill>
                  <pic:spPr bwMode="auto">
                    <a:xfrm>
                      <a:off x="0" y="0"/>
                      <a:ext cx="2343150" cy="857250"/>
                    </a:xfrm>
                    <a:prstGeom prst="rect">
                      <a:avLst/>
                    </a:prstGeom>
                    <a:noFill/>
                    <a:ln>
                      <a:noFill/>
                    </a:ln>
                  </pic:spPr>
                </pic:pic>
              </a:graphicData>
            </a:graphic>
          </wp:inline>
        </w:drawing>
      </w:r>
    </w:p>
    <w:p w14:paraId="37FB3FDF" w14:textId="5CA9FDD3" w:rsidR="00487552" w:rsidRDefault="00487552" w:rsidP="00102965">
      <w:pPr>
        <w:spacing w:after="0" w:line="240" w:lineRule="auto"/>
      </w:pPr>
    </w:p>
    <w:p w14:paraId="007B71C1" w14:textId="6C804A32" w:rsidR="00487552" w:rsidRDefault="00487552" w:rsidP="00102965">
      <w:pPr>
        <w:spacing w:after="0" w:line="240" w:lineRule="auto"/>
      </w:pPr>
      <w:r>
        <w:t>(°) à tremper 48 h avant utilisation.</w:t>
      </w:r>
    </w:p>
    <w:p w14:paraId="10AB4BFD" w14:textId="168EEB13" w:rsidR="00D25665" w:rsidRDefault="00D25665" w:rsidP="00102965">
      <w:pPr>
        <w:spacing w:after="0" w:line="240" w:lineRule="auto"/>
      </w:pPr>
    </w:p>
    <w:p w14:paraId="03DCFA4B" w14:textId="018DBE1A" w:rsidR="00D25665" w:rsidRDefault="00D25665" w:rsidP="00102965">
      <w:pPr>
        <w:spacing w:after="0" w:line="240" w:lineRule="auto"/>
      </w:pPr>
      <w:r>
        <w:t xml:space="preserve">Source : </w:t>
      </w:r>
      <w:r>
        <w:rPr>
          <w:noProof/>
        </w:rPr>
        <w:t xml:space="preserve">© </w:t>
      </w:r>
      <w:r w:rsidRPr="00E361BC">
        <w:t>Claire</w:t>
      </w:r>
      <w:r>
        <w:t>-</w:t>
      </w:r>
      <w:r w:rsidRPr="00E361BC">
        <w:t>Marie</w:t>
      </w:r>
      <w:r>
        <w:t>-</w:t>
      </w:r>
      <w:r w:rsidRPr="00E361BC">
        <w:t>Madeleine Péhi-Verny</w:t>
      </w:r>
      <w:r>
        <w:t>.</w:t>
      </w:r>
    </w:p>
    <w:p w14:paraId="2CF6BB66" w14:textId="77777777" w:rsidR="00102965" w:rsidRDefault="00102965" w:rsidP="00F84327">
      <w:pPr>
        <w:spacing w:after="0" w:line="240" w:lineRule="auto"/>
      </w:pPr>
    </w:p>
    <w:p w14:paraId="62AA58F1" w14:textId="7C7FB78C" w:rsidR="00653849" w:rsidRDefault="00653849" w:rsidP="00653849">
      <w:pPr>
        <w:pStyle w:val="Titre3"/>
      </w:pPr>
      <w:bookmarkStart w:id="256" w:name="_Toc139181547"/>
      <w:r>
        <w:t>Le paillage</w:t>
      </w:r>
      <w:bookmarkEnd w:id="256"/>
    </w:p>
    <w:p w14:paraId="4AB16D38" w14:textId="0014027E" w:rsidR="00653849" w:rsidRDefault="00653849" w:rsidP="00F84327">
      <w:pPr>
        <w:spacing w:after="0" w:line="240" w:lineRule="auto"/>
      </w:pPr>
    </w:p>
    <w:p w14:paraId="1AB04ECD" w14:textId="1A8A2A6B" w:rsidR="00653849" w:rsidRDefault="00B9365B" w:rsidP="00B9365B">
      <w:pPr>
        <w:spacing w:after="0" w:line="240" w:lineRule="auto"/>
        <w:jc w:val="both"/>
      </w:pPr>
      <w:r w:rsidRPr="00B9365B">
        <w:t>Paillis : En agriculture et jardinage, le paillis ou mulch est une couche de matériau protecteur posée sur le sol, principalement dans le but de modifier les effets du climat local</w:t>
      </w:r>
      <w:r>
        <w:t xml:space="preserve"> (le paillis ou le paillage permet de mieux retenir l’humidité du sol)</w:t>
      </w:r>
      <w:r>
        <w:rPr>
          <w:rStyle w:val="Appelnotedebasdep"/>
        </w:rPr>
        <w:footnoteReference w:id="191"/>
      </w:r>
      <w:r w:rsidRPr="00B9365B">
        <w:t>.</w:t>
      </w:r>
    </w:p>
    <w:p w14:paraId="4189FA3A" w14:textId="77777777" w:rsidR="00B224B3" w:rsidRDefault="00B224B3" w:rsidP="00B9365B">
      <w:pPr>
        <w:spacing w:after="0" w:line="240" w:lineRule="auto"/>
        <w:jc w:val="both"/>
      </w:pPr>
    </w:p>
    <w:p w14:paraId="61C80A2A" w14:textId="77777777" w:rsidR="00B224B3" w:rsidRPr="00653849" w:rsidRDefault="00B224B3" w:rsidP="00B224B3">
      <w:pPr>
        <w:spacing w:after="0" w:line="240" w:lineRule="auto"/>
      </w:pPr>
      <w:r w:rsidRPr="00B224B3">
        <w:rPr>
          <w:u w:val="single"/>
        </w:rPr>
        <w:t>Les effets du paillage</w:t>
      </w:r>
      <w:r w:rsidRPr="00653849">
        <w:t> :</w:t>
      </w:r>
    </w:p>
    <w:p w14:paraId="523ACCA4" w14:textId="77777777" w:rsidR="00B224B3" w:rsidRDefault="00B224B3" w:rsidP="00B224B3">
      <w:pPr>
        <w:spacing w:after="0" w:line="240" w:lineRule="auto"/>
      </w:pPr>
    </w:p>
    <w:p w14:paraId="34C9922F" w14:textId="77777777" w:rsidR="00B224B3" w:rsidRPr="00653849" w:rsidRDefault="00B224B3" w:rsidP="00B224B3">
      <w:pPr>
        <w:spacing w:after="0" w:line="240" w:lineRule="auto"/>
      </w:pPr>
      <w:r w:rsidRPr="00653849">
        <w:t>a: l'eau de pluie ou d’arrosage ne tasse pas le sol et pénètre mieux.</w:t>
      </w:r>
    </w:p>
    <w:p w14:paraId="33F9F06A" w14:textId="77777777" w:rsidR="00B224B3" w:rsidRPr="00653849" w:rsidRDefault="00B224B3" w:rsidP="00B224B3">
      <w:pPr>
        <w:spacing w:after="0" w:line="240" w:lineRule="auto"/>
      </w:pPr>
      <w:r w:rsidRPr="00653849">
        <w:t>b: le sol est protégé du soleil: l'évaporation est réduite.</w:t>
      </w:r>
    </w:p>
    <w:p w14:paraId="1688D619" w14:textId="77777777" w:rsidR="00B224B3" w:rsidRPr="00653849" w:rsidRDefault="00B224B3" w:rsidP="00B224B3">
      <w:pPr>
        <w:spacing w:after="0" w:line="240" w:lineRule="auto"/>
      </w:pPr>
      <w:r w:rsidRPr="00653849">
        <w:t>c: les mauvaises herbes sont étouffées. Les paillis se transforme en humus.</w:t>
      </w:r>
    </w:p>
    <w:p w14:paraId="6C8D3415" w14:textId="77777777" w:rsidR="00653849" w:rsidRDefault="00653849" w:rsidP="00F84327">
      <w:pPr>
        <w:spacing w:after="0" w:line="240" w:lineRule="auto"/>
      </w:pPr>
    </w:p>
    <w:p w14:paraId="10D22036" w14:textId="01AC3A95" w:rsidR="00653849" w:rsidRDefault="00653849" w:rsidP="00653849">
      <w:pPr>
        <w:spacing w:after="0" w:line="240" w:lineRule="auto"/>
        <w:jc w:val="center"/>
      </w:pPr>
      <w:r w:rsidRPr="00653849">
        <w:rPr>
          <w:noProof/>
        </w:rPr>
        <w:drawing>
          <wp:inline distT="0" distB="0" distL="0" distR="0" wp14:anchorId="4187A11D" wp14:editId="0B3C9AB3">
            <wp:extent cx="3554667" cy="1790597"/>
            <wp:effectExtent l="0" t="0" r="8255" b="635"/>
            <wp:docPr id="108548" name="Image 17" descr="Une image contenant horlo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48" name="Image 17" descr="Une image contenant horloge&#10;&#10;Description générée automatiquement"/>
                    <pic:cNvPicPr>
                      <a:picLocks noChangeAspect="1"/>
                    </pic:cNvPicPr>
                  </pic:nvPicPr>
                  <pic:blipFill>
                    <a:blip r:embed="rId3371">
                      <a:extLst>
                        <a:ext uri="{28A0092B-C50C-407E-A947-70E740481C1C}">
                          <a14:useLocalDpi xmlns:a14="http://schemas.microsoft.com/office/drawing/2010/main" val="0"/>
                        </a:ext>
                      </a:extLst>
                    </a:blip>
                    <a:stretch>
                      <a:fillRect/>
                    </a:stretch>
                  </pic:blipFill>
                  <pic:spPr>
                    <a:xfrm>
                      <a:off x="0" y="0"/>
                      <a:ext cx="3554667" cy="1790597"/>
                    </a:xfrm>
                    <a:prstGeom prst="rect">
                      <a:avLst/>
                    </a:prstGeom>
                  </pic:spPr>
                </pic:pic>
              </a:graphicData>
            </a:graphic>
          </wp:inline>
        </w:drawing>
      </w:r>
    </w:p>
    <w:p w14:paraId="23B99BD4" w14:textId="77777777" w:rsidR="00653849" w:rsidRDefault="00653849" w:rsidP="00F84327">
      <w:pPr>
        <w:spacing w:after="0" w:line="240" w:lineRule="auto"/>
      </w:pPr>
    </w:p>
    <w:p w14:paraId="45A01166" w14:textId="2E10FFB3" w:rsidR="00C40807" w:rsidRDefault="003E7A25" w:rsidP="003E7A25">
      <w:pPr>
        <w:pStyle w:val="Titre2"/>
      </w:pPr>
      <w:bookmarkStart w:id="257" w:name="_Toc139181548"/>
      <w:r w:rsidRPr="003E7A25">
        <w:t>Protection "artificielle" des plants, des pépinières et de la plantation</w:t>
      </w:r>
      <w:bookmarkEnd w:id="257"/>
    </w:p>
    <w:p w14:paraId="31F7A001" w14:textId="5D2E36FD" w:rsidR="00D86F58" w:rsidRDefault="00D86F58" w:rsidP="00D65CEE">
      <w:pPr>
        <w:spacing w:after="0" w:line="240" w:lineRule="auto"/>
        <w:jc w:val="both"/>
      </w:pPr>
    </w:p>
    <w:p w14:paraId="51007441" w14:textId="75BC96B7" w:rsidR="003E7A25" w:rsidRDefault="003E7A25" w:rsidP="003E7A25">
      <w:pPr>
        <w:pStyle w:val="Titre3"/>
      </w:pPr>
      <w:bookmarkStart w:id="258" w:name="_Toc139181549"/>
      <w:r w:rsidRPr="003E7A25">
        <w:t>Barrière électrique ou simple</w:t>
      </w:r>
      <w:bookmarkEnd w:id="258"/>
    </w:p>
    <w:p w14:paraId="5EEEE776" w14:textId="0E3272CF" w:rsidR="003E7A25" w:rsidRDefault="003E7A25" w:rsidP="00D65CEE">
      <w:pPr>
        <w:spacing w:after="0" w:line="240" w:lineRule="auto"/>
        <w:jc w:val="both"/>
      </w:pPr>
    </w:p>
    <w:p w14:paraId="406B39FA" w14:textId="23DD689A" w:rsidR="003E7A25" w:rsidRDefault="003E7A25" w:rsidP="00D65CEE">
      <w:pPr>
        <w:spacing w:after="0" w:line="240" w:lineRule="auto"/>
        <w:jc w:val="both"/>
      </w:pPr>
      <w:r w:rsidRPr="003E7A25">
        <w:t xml:space="preserve">Rapide à installer, mais coûteuse.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51"/>
        <w:gridCol w:w="4975"/>
      </w:tblGrid>
      <w:tr w:rsidR="000B0CE2" w14:paraId="37CD90A1" w14:textId="77777777" w:rsidTr="00401403">
        <w:tc>
          <w:tcPr>
            <w:tcW w:w="5208" w:type="dxa"/>
          </w:tcPr>
          <w:p w14:paraId="083CA13A" w14:textId="77777777" w:rsidR="000B0CE2" w:rsidRDefault="000B0CE2" w:rsidP="00D65CEE">
            <w:pPr>
              <w:jc w:val="both"/>
            </w:pPr>
            <w:r w:rsidRPr="003E7A25">
              <w:rPr>
                <w:noProof/>
              </w:rPr>
              <w:drawing>
                <wp:inline distT="0" distB="0" distL="0" distR="0" wp14:anchorId="59AEDF20" wp14:editId="067D7A2B">
                  <wp:extent cx="3324225" cy="2592653"/>
                  <wp:effectExtent l="0" t="0" r="0" b="0"/>
                  <wp:docPr id="144390" name="Image 6" descr="barriere electriqu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90" name="Image 6" descr="barriere electrique_s.jpg"/>
                          <pic:cNvPicPr>
                            <a:picLocks noChangeAspect="1"/>
                          </pic:cNvPicPr>
                        </pic:nvPicPr>
                        <pic:blipFill>
                          <a:blip r:embed="rId3372">
                            <a:extLst>
                              <a:ext uri="{28A0092B-C50C-407E-A947-70E740481C1C}">
                                <a14:useLocalDpi xmlns:a14="http://schemas.microsoft.com/office/drawing/2010/main" val="0"/>
                              </a:ext>
                            </a:extLst>
                          </a:blip>
                          <a:srcRect/>
                          <a:stretch>
                            <a:fillRect/>
                          </a:stretch>
                        </pic:blipFill>
                        <pic:spPr bwMode="auto">
                          <a:xfrm>
                            <a:off x="0" y="0"/>
                            <a:ext cx="3327370" cy="2595106"/>
                          </a:xfrm>
                          <a:prstGeom prst="rect">
                            <a:avLst/>
                          </a:prstGeom>
                          <a:noFill/>
                          <a:ln>
                            <a:noFill/>
                          </a:ln>
                        </pic:spPr>
                      </pic:pic>
                    </a:graphicData>
                  </a:graphic>
                </wp:inline>
              </w:drawing>
            </w:r>
          </w:p>
          <w:p w14:paraId="2297E0C7" w14:textId="0727EE58" w:rsidR="000B0CE2" w:rsidRDefault="000B0CE2" w:rsidP="000B0CE2">
            <w:pPr>
              <w:jc w:val="center"/>
            </w:pPr>
            <w:r>
              <w:t xml:space="preserve">Exemple : </w:t>
            </w:r>
            <w:r w:rsidRPr="003E7A25">
              <w:t>Composants généraux de la clôture Chain-Link</w:t>
            </w:r>
            <w:r>
              <w:t>.</w:t>
            </w:r>
          </w:p>
        </w:tc>
        <w:tc>
          <w:tcPr>
            <w:tcW w:w="5208" w:type="dxa"/>
          </w:tcPr>
          <w:p w14:paraId="1471BC76" w14:textId="77777777" w:rsidR="000B0CE2" w:rsidRDefault="000B0CE2" w:rsidP="000B0CE2">
            <w:r>
              <w:t xml:space="preserve">Légendes : </w:t>
            </w:r>
          </w:p>
          <w:p w14:paraId="6A57ADE4" w14:textId="7B0B1D3F" w:rsidR="000B0CE2" w:rsidRPr="00736B1E" w:rsidRDefault="000B0CE2" w:rsidP="000B0CE2">
            <w:pPr>
              <w:jc w:val="both"/>
            </w:pPr>
            <w:r w:rsidRPr="00736B1E">
              <w:t>1</w:t>
            </w:r>
            <w:r>
              <w:t>. T</w:t>
            </w:r>
            <w:r w:rsidRPr="00736B1E">
              <w:t>issu</w:t>
            </w:r>
            <w:r>
              <w:t xml:space="preserve"> (anglais : </w:t>
            </w:r>
            <w:r w:rsidRPr="00736B1E">
              <w:t>Fabric</w:t>
            </w:r>
            <w:r>
              <w:t>).</w:t>
            </w:r>
          </w:p>
          <w:p w14:paraId="40B6F86B" w14:textId="3F538E67" w:rsidR="000B0CE2" w:rsidRPr="00736B1E" w:rsidRDefault="000B0CE2" w:rsidP="000B0CE2">
            <w:pPr>
              <w:jc w:val="both"/>
            </w:pPr>
            <w:r w:rsidRPr="00736B1E">
              <w:t>2</w:t>
            </w:r>
            <w:r>
              <w:t>. L</w:t>
            </w:r>
            <w:r w:rsidRPr="00736B1E">
              <w:t>isière</w:t>
            </w:r>
            <w:r>
              <w:t xml:space="preserve"> (anglais : </w:t>
            </w:r>
            <w:r w:rsidRPr="00736B1E">
              <w:t>Selvage</w:t>
            </w:r>
            <w:r>
              <w:t>).</w:t>
            </w:r>
          </w:p>
          <w:p w14:paraId="4664ECA0" w14:textId="051AB126" w:rsidR="000B0CE2" w:rsidRPr="00736B1E" w:rsidRDefault="000B0CE2" w:rsidP="000B0CE2">
            <w:pPr>
              <w:jc w:val="both"/>
            </w:pPr>
            <w:r w:rsidRPr="00736B1E">
              <w:t>3</w:t>
            </w:r>
            <w:r>
              <w:t>. P</w:t>
            </w:r>
            <w:r w:rsidRPr="00736B1E">
              <w:t>oteaux d'angle</w:t>
            </w:r>
            <w:r>
              <w:t xml:space="preserve"> (anglais : </w:t>
            </w:r>
            <w:r w:rsidRPr="00736B1E">
              <w:t>Corner Post</w:t>
            </w:r>
            <w:r>
              <w:t>)</w:t>
            </w:r>
          </w:p>
          <w:p w14:paraId="28D6821B" w14:textId="0A2F9076" w:rsidR="000B0CE2" w:rsidRPr="00736B1E" w:rsidRDefault="000B0CE2" w:rsidP="000B0CE2">
            <w:pPr>
              <w:jc w:val="both"/>
              <w:rPr>
                <w:lang w:val="en-GB"/>
              </w:rPr>
            </w:pPr>
            <w:r w:rsidRPr="00736B1E">
              <w:rPr>
                <w:lang w:val="en-GB"/>
              </w:rPr>
              <w:t>4</w:t>
            </w:r>
            <w:r>
              <w:rPr>
                <w:lang w:val="en-GB"/>
              </w:rPr>
              <w:t xml:space="preserve">. </w:t>
            </w:r>
            <w:r w:rsidRPr="00736B1E">
              <w:rPr>
                <w:lang w:val="en-GB"/>
              </w:rPr>
              <w:t>Fils barbelés / ruban barbelé (anglais :  Barbed Wire</w:t>
            </w:r>
            <w:r>
              <w:rPr>
                <w:lang w:val="en-GB"/>
              </w:rPr>
              <w:t xml:space="preserve"> </w:t>
            </w:r>
            <w:r w:rsidRPr="00736B1E">
              <w:rPr>
                <w:lang w:val="en-GB"/>
              </w:rPr>
              <w:t>/</w:t>
            </w:r>
            <w:r>
              <w:rPr>
                <w:lang w:val="en-GB"/>
              </w:rPr>
              <w:t xml:space="preserve"> </w:t>
            </w:r>
            <w:r w:rsidRPr="00736B1E">
              <w:rPr>
                <w:lang w:val="en-GB"/>
              </w:rPr>
              <w:t>Barbed Tape</w:t>
            </w:r>
            <w:r>
              <w:rPr>
                <w:lang w:val="en-GB"/>
              </w:rPr>
              <w:t>).</w:t>
            </w:r>
          </w:p>
          <w:p w14:paraId="484A0054" w14:textId="26D50D00" w:rsidR="000B0CE2" w:rsidRPr="00736B1E" w:rsidRDefault="000B0CE2" w:rsidP="000B0CE2">
            <w:pPr>
              <w:jc w:val="both"/>
            </w:pPr>
            <w:r w:rsidRPr="00736B1E">
              <w:t>5</w:t>
            </w:r>
            <w:r>
              <w:t>. B</w:t>
            </w:r>
            <w:r w:rsidRPr="00736B1E">
              <w:t>ras stabilisateur/</w:t>
            </w:r>
            <w:r>
              <w:t xml:space="preserve"> F</w:t>
            </w:r>
            <w:r w:rsidRPr="00736B1E">
              <w:t>il de fer barbelé</w:t>
            </w:r>
            <w:r>
              <w:t xml:space="preserve"> (anglais : </w:t>
            </w:r>
            <w:r w:rsidRPr="00736B1E">
              <w:t>Outrigger</w:t>
            </w:r>
            <w:r>
              <w:t xml:space="preserve"> </w:t>
            </w:r>
            <w:r w:rsidRPr="00736B1E">
              <w:t>/</w:t>
            </w:r>
            <w:r>
              <w:t xml:space="preserve"> </w:t>
            </w:r>
            <w:r w:rsidRPr="00736B1E">
              <w:t>Barbed Wire Arm</w:t>
            </w:r>
            <w:r>
              <w:t>)</w:t>
            </w:r>
          </w:p>
          <w:p w14:paraId="59FB6B09" w14:textId="74D4556A" w:rsidR="000B0CE2" w:rsidRPr="00736B1E" w:rsidRDefault="000B0CE2" w:rsidP="000B0CE2">
            <w:pPr>
              <w:jc w:val="both"/>
            </w:pPr>
            <w:r w:rsidRPr="00736B1E">
              <w:t>6</w:t>
            </w:r>
            <w:r>
              <w:t>. F</w:t>
            </w:r>
            <w:r w:rsidRPr="00736B1E">
              <w:t>il de tension (haut et bas)</w:t>
            </w:r>
            <w:r>
              <w:t xml:space="preserve"> (anglais : </w:t>
            </w:r>
            <w:r w:rsidRPr="00736B1E">
              <w:t>Tension Wire (Top and Bottom)</w:t>
            </w:r>
            <w:r>
              <w:t>).</w:t>
            </w:r>
          </w:p>
          <w:p w14:paraId="1D460DEA" w14:textId="6AE48F39" w:rsidR="000B0CE2" w:rsidRPr="00736B1E" w:rsidRDefault="000B0CE2" w:rsidP="000B0CE2">
            <w:pPr>
              <w:jc w:val="both"/>
            </w:pPr>
            <w:r w:rsidRPr="00736B1E">
              <w:t>7</w:t>
            </w:r>
            <w:r>
              <w:t xml:space="preserve">. </w:t>
            </w:r>
            <w:r w:rsidRPr="00736B1E">
              <w:t>Anneau d</w:t>
            </w:r>
            <w:r>
              <w:t xml:space="preserve">’attache (anglais : </w:t>
            </w:r>
            <w:r w:rsidRPr="00736B1E">
              <w:t>Hog Ring</w:t>
            </w:r>
            <w:r>
              <w:t>).</w:t>
            </w:r>
          </w:p>
          <w:p w14:paraId="23909517" w14:textId="089DE75E" w:rsidR="000B0CE2" w:rsidRPr="00736B1E" w:rsidRDefault="000B0CE2" w:rsidP="000B0CE2">
            <w:pPr>
              <w:jc w:val="both"/>
            </w:pPr>
            <w:r w:rsidRPr="00736B1E">
              <w:t>8</w:t>
            </w:r>
            <w:r>
              <w:t xml:space="preserve">. </w:t>
            </w:r>
            <w:r w:rsidRPr="00736B1E">
              <w:t>Tige de renfort</w:t>
            </w:r>
            <w:r>
              <w:t xml:space="preserve"> (anglais : </w:t>
            </w:r>
            <w:r w:rsidRPr="00736B1E">
              <w:t>Truss Rod</w:t>
            </w:r>
            <w:r>
              <w:t>).</w:t>
            </w:r>
          </w:p>
          <w:p w14:paraId="7CB446FA" w14:textId="57708B20" w:rsidR="000B0CE2" w:rsidRPr="00736B1E" w:rsidRDefault="000B0CE2" w:rsidP="000B0CE2">
            <w:pPr>
              <w:jc w:val="both"/>
            </w:pPr>
            <w:r w:rsidRPr="00736B1E">
              <w:t>9</w:t>
            </w:r>
            <w:r>
              <w:t>. Montant de la</w:t>
            </w:r>
            <w:r w:rsidRPr="00736B1E">
              <w:t xml:space="preserve"> ligne</w:t>
            </w:r>
            <w:r>
              <w:t xml:space="preserve"> (anglais : </w:t>
            </w:r>
            <w:r w:rsidRPr="00736B1E">
              <w:t>Line Post</w:t>
            </w:r>
            <w:r>
              <w:t>).</w:t>
            </w:r>
          </w:p>
          <w:p w14:paraId="2B13EACB" w14:textId="2FBDDD69" w:rsidR="000B0CE2" w:rsidRPr="00736B1E" w:rsidRDefault="000B0CE2" w:rsidP="000B0CE2">
            <w:pPr>
              <w:jc w:val="both"/>
            </w:pPr>
            <w:r w:rsidRPr="00736B1E">
              <w:t>10</w:t>
            </w:r>
            <w:r>
              <w:t>. F</w:t>
            </w:r>
            <w:r w:rsidRPr="00736B1E">
              <w:t>ils d'attache</w:t>
            </w:r>
            <w:r>
              <w:t xml:space="preserve"> (anglais : </w:t>
            </w:r>
            <w:r w:rsidRPr="00736B1E">
              <w:t>Tie Wire</w:t>
            </w:r>
            <w:r>
              <w:t>).</w:t>
            </w:r>
          </w:p>
          <w:p w14:paraId="36233EE5" w14:textId="73B401B6" w:rsidR="000B0CE2" w:rsidRPr="00736B1E" w:rsidRDefault="000B0CE2" w:rsidP="000B0CE2">
            <w:pPr>
              <w:jc w:val="both"/>
            </w:pPr>
            <w:r w:rsidRPr="00736B1E">
              <w:t>11</w:t>
            </w:r>
            <w:r>
              <w:t xml:space="preserve">. </w:t>
            </w:r>
            <w:r w:rsidRPr="00736B1E">
              <w:t>Barre de tension</w:t>
            </w:r>
            <w:r>
              <w:t xml:space="preserve"> (anglais : </w:t>
            </w:r>
            <w:r w:rsidRPr="00736B1E">
              <w:t>Tension Bar</w:t>
            </w:r>
            <w:r>
              <w:t>).</w:t>
            </w:r>
          </w:p>
          <w:p w14:paraId="0130A62C" w14:textId="61A385FD" w:rsidR="000B0CE2" w:rsidRPr="00736B1E" w:rsidRDefault="000B0CE2" w:rsidP="000B0CE2">
            <w:pPr>
              <w:jc w:val="both"/>
            </w:pPr>
            <w:r w:rsidRPr="00736B1E">
              <w:t>12</w:t>
            </w:r>
            <w:r>
              <w:t xml:space="preserve">. </w:t>
            </w:r>
            <w:r w:rsidRPr="00736B1E">
              <w:t>Pince de tension</w:t>
            </w:r>
            <w:r>
              <w:t xml:space="preserve"> (anglais : </w:t>
            </w:r>
            <w:r w:rsidRPr="00736B1E">
              <w:t>Tension Clip</w:t>
            </w:r>
            <w:r>
              <w:t>).</w:t>
            </w:r>
          </w:p>
          <w:p w14:paraId="379705FD" w14:textId="028AB2EF" w:rsidR="00B9365B" w:rsidRDefault="000B0CE2" w:rsidP="00B224B3">
            <w:pPr>
              <w:jc w:val="both"/>
            </w:pPr>
            <w:r w:rsidRPr="00736B1E">
              <w:t>13</w:t>
            </w:r>
            <w:r>
              <w:t xml:space="preserve">. </w:t>
            </w:r>
            <w:r w:rsidRPr="00736B1E">
              <w:t>Semelle en béton</w:t>
            </w:r>
            <w:r>
              <w:t xml:space="preserve"> (anglais : </w:t>
            </w:r>
            <w:r w:rsidRPr="00736B1E">
              <w:t>Concrete Footing</w:t>
            </w:r>
            <w:r>
              <w:t>).</w:t>
            </w:r>
          </w:p>
        </w:tc>
      </w:tr>
      <w:tr w:rsidR="000B0CE2" w:rsidRPr="000B0CE2" w14:paraId="3D8CE605" w14:textId="77777777" w:rsidTr="00401403">
        <w:tc>
          <w:tcPr>
            <w:tcW w:w="5208" w:type="dxa"/>
          </w:tcPr>
          <w:p w14:paraId="0B8A26CA" w14:textId="77777777" w:rsidR="000B0CE2" w:rsidRDefault="000B0CE2" w:rsidP="000B0CE2">
            <w:pPr>
              <w:jc w:val="center"/>
            </w:pPr>
            <w:r w:rsidRPr="000B0CE2">
              <w:rPr>
                <w:noProof/>
              </w:rPr>
              <w:lastRenderedPageBreak/>
              <w:drawing>
                <wp:inline distT="0" distB="0" distL="0" distR="0" wp14:anchorId="2C0F571F" wp14:editId="52041CA6">
                  <wp:extent cx="2505075" cy="1887385"/>
                  <wp:effectExtent l="0" t="0" r="0" b="0"/>
                  <wp:docPr id="145415" name="Image 6" descr="barriere electrique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15" name="Image 6" descr="barriere electrique2_s.jpg"/>
                          <pic:cNvPicPr>
                            <a:picLocks noChangeAspect="1"/>
                          </pic:cNvPicPr>
                        </pic:nvPicPr>
                        <pic:blipFill>
                          <a:blip r:embed="rId3373">
                            <a:extLst>
                              <a:ext uri="{28A0092B-C50C-407E-A947-70E740481C1C}">
                                <a14:useLocalDpi xmlns:a14="http://schemas.microsoft.com/office/drawing/2010/main" val="0"/>
                              </a:ext>
                            </a:extLst>
                          </a:blip>
                          <a:srcRect/>
                          <a:stretch>
                            <a:fillRect/>
                          </a:stretch>
                        </pic:blipFill>
                        <pic:spPr bwMode="auto">
                          <a:xfrm>
                            <a:off x="0" y="0"/>
                            <a:ext cx="2509166" cy="1890467"/>
                          </a:xfrm>
                          <a:prstGeom prst="rect">
                            <a:avLst/>
                          </a:prstGeom>
                          <a:noFill/>
                          <a:ln>
                            <a:noFill/>
                          </a:ln>
                        </pic:spPr>
                      </pic:pic>
                    </a:graphicData>
                  </a:graphic>
                </wp:inline>
              </w:drawing>
            </w:r>
          </w:p>
          <w:p w14:paraId="43593732" w14:textId="02CC004C" w:rsidR="000B0CE2" w:rsidRPr="000B0CE2" w:rsidRDefault="000B0CE2" w:rsidP="000B0CE2">
            <w:pPr>
              <w:jc w:val="center"/>
              <w:rPr>
                <w:lang w:val="en-GB"/>
              </w:rPr>
            </w:pPr>
            <w:r>
              <w:rPr>
                <w:lang w:val="en-GB"/>
              </w:rPr>
              <w:t>U</w:t>
            </w:r>
            <w:r w:rsidRPr="000B0CE2">
              <w:rPr>
                <w:lang w:val="en-GB"/>
              </w:rPr>
              <w:t>nified facilities criteria (ufc), security fences and gates, ufc 4-022-03</w:t>
            </w:r>
            <w:r>
              <w:rPr>
                <w:rStyle w:val="Appelnotedebasdep"/>
                <w:lang w:val="en-GB"/>
              </w:rPr>
              <w:footnoteReference w:id="192"/>
            </w:r>
            <w:r w:rsidRPr="000B0CE2">
              <w:rPr>
                <w:lang w:val="en-GB"/>
              </w:rPr>
              <w:t>.</w:t>
            </w:r>
          </w:p>
        </w:tc>
        <w:tc>
          <w:tcPr>
            <w:tcW w:w="5208" w:type="dxa"/>
          </w:tcPr>
          <w:p w14:paraId="5E83D578" w14:textId="77777777" w:rsidR="00B224B3" w:rsidRDefault="00B224B3" w:rsidP="000B0CE2">
            <w:pPr>
              <w:jc w:val="center"/>
              <w:rPr>
                <w:lang w:val="en-GB"/>
              </w:rPr>
            </w:pPr>
          </w:p>
          <w:p w14:paraId="50A74EF5" w14:textId="35F8A4E2" w:rsidR="000B0CE2" w:rsidRPr="000B0CE2" w:rsidRDefault="000B0CE2" w:rsidP="00401403">
            <w:pPr>
              <w:jc w:val="center"/>
              <w:rPr>
                <w:lang w:val="en-GB"/>
              </w:rPr>
            </w:pPr>
            <w:r w:rsidRPr="000B0CE2">
              <w:rPr>
                <w:noProof/>
              </w:rPr>
              <w:drawing>
                <wp:inline distT="0" distB="0" distL="0" distR="0" wp14:anchorId="46A27A97" wp14:editId="504766CC">
                  <wp:extent cx="2547620" cy="1575031"/>
                  <wp:effectExtent l="0" t="0" r="5080" b="6350"/>
                  <wp:docPr id="145416" name="Image 7" descr="Clôture métallique Élargi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16" name="Image 7" descr="Clôture métallique Élargie_s.jpg"/>
                          <pic:cNvPicPr>
                            <a:picLocks noChangeAspect="1"/>
                          </pic:cNvPicPr>
                        </pic:nvPicPr>
                        <pic:blipFill>
                          <a:blip r:embed="rId3374">
                            <a:extLst>
                              <a:ext uri="{28A0092B-C50C-407E-A947-70E740481C1C}">
                                <a14:useLocalDpi xmlns:a14="http://schemas.microsoft.com/office/drawing/2010/main" val="0"/>
                              </a:ext>
                            </a:extLst>
                          </a:blip>
                          <a:srcRect/>
                          <a:stretch>
                            <a:fillRect/>
                          </a:stretch>
                        </pic:blipFill>
                        <pic:spPr bwMode="auto">
                          <a:xfrm>
                            <a:off x="0" y="0"/>
                            <a:ext cx="2553104" cy="1578421"/>
                          </a:xfrm>
                          <a:prstGeom prst="rect">
                            <a:avLst/>
                          </a:prstGeom>
                          <a:noFill/>
                          <a:ln>
                            <a:noFill/>
                          </a:ln>
                        </pic:spPr>
                      </pic:pic>
                    </a:graphicData>
                  </a:graphic>
                </wp:inline>
              </w:drawing>
            </w:r>
          </w:p>
        </w:tc>
      </w:tr>
      <w:tr w:rsidR="00401403" w:rsidRPr="000B0CE2" w14:paraId="6C703CFA" w14:textId="77777777" w:rsidTr="00401403">
        <w:tc>
          <w:tcPr>
            <w:tcW w:w="5208" w:type="dxa"/>
          </w:tcPr>
          <w:p w14:paraId="2EE5B3B8" w14:textId="28E03F5A" w:rsidR="00401403" w:rsidRPr="000B0CE2" w:rsidRDefault="00401403" w:rsidP="000B0CE2">
            <w:pPr>
              <w:jc w:val="center"/>
              <w:rPr>
                <w:noProof/>
              </w:rPr>
            </w:pPr>
            <w:r w:rsidRPr="000B0CE2">
              <w:rPr>
                <w:noProof/>
              </w:rPr>
              <w:drawing>
                <wp:inline distT="0" distB="0" distL="0" distR="0" wp14:anchorId="3DEB3557" wp14:editId="036A15B0">
                  <wp:extent cx="619125" cy="923925"/>
                  <wp:effectExtent l="0" t="0" r="9525" b="9525"/>
                  <wp:docPr id="145417" name="Image 8" descr="Clôture métallique Élargie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17" name="Image 8" descr="Clôture métallique Élargie2_s.jpg"/>
                          <pic:cNvPicPr>
                            <a:picLocks noChangeAspect="1"/>
                          </pic:cNvPicPr>
                        </pic:nvPicPr>
                        <pic:blipFill>
                          <a:blip r:embed="rId3375">
                            <a:extLst>
                              <a:ext uri="{28A0092B-C50C-407E-A947-70E740481C1C}">
                                <a14:useLocalDpi xmlns:a14="http://schemas.microsoft.com/office/drawing/2010/main" val="0"/>
                              </a:ext>
                            </a:extLst>
                          </a:blip>
                          <a:srcRect/>
                          <a:stretch>
                            <a:fillRect/>
                          </a:stretch>
                        </pic:blipFill>
                        <pic:spPr bwMode="auto">
                          <a:xfrm rot="16200000">
                            <a:off x="0" y="0"/>
                            <a:ext cx="619125" cy="923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208" w:type="dxa"/>
          </w:tcPr>
          <w:p w14:paraId="30D64084" w14:textId="77777777" w:rsidR="00401403" w:rsidRDefault="00401403" w:rsidP="000B0CE2">
            <w:pPr>
              <w:jc w:val="center"/>
              <w:rPr>
                <w:lang w:val="en-GB"/>
              </w:rPr>
            </w:pPr>
            <w:r>
              <w:rPr>
                <w:noProof/>
              </w:rPr>
              <w:drawing>
                <wp:inline distT="0" distB="0" distL="0" distR="0" wp14:anchorId="3D55C2FE" wp14:editId="0106D224">
                  <wp:extent cx="2038350" cy="1528763"/>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76">
                            <a:extLst>
                              <a:ext uri="{28A0092B-C50C-407E-A947-70E740481C1C}">
                                <a14:useLocalDpi xmlns:a14="http://schemas.microsoft.com/office/drawing/2010/main" val="0"/>
                              </a:ext>
                            </a:extLst>
                          </a:blip>
                          <a:srcRect/>
                          <a:stretch>
                            <a:fillRect/>
                          </a:stretch>
                        </pic:blipFill>
                        <pic:spPr bwMode="auto">
                          <a:xfrm>
                            <a:off x="0" y="0"/>
                            <a:ext cx="2038999" cy="1529250"/>
                          </a:xfrm>
                          <a:prstGeom prst="rect">
                            <a:avLst/>
                          </a:prstGeom>
                          <a:noFill/>
                          <a:ln>
                            <a:noFill/>
                          </a:ln>
                        </pic:spPr>
                      </pic:pic>
                    </a:graphicData>
                  </a:graphic>
                </wp:inline>
              </w:drawing>
            </w:r>
          </w:p>
          <w:p w14:paraId="085E2532" w14:textId="77777777" w:rsidR="003E341F" w:rsidRDefault="00F62917" w:rsidP="000B0CE2">
            <w:pPr>
              <w:jc w:val="center"/>
            </w:pPr>
            <w:r w:rsidRPr="00F62917">
              <w:t>Posé par une machine à grillage, pour clôturer le futur Centre d’Education de Base Non Formelle (CEBNF), à Tougouzague au Burkina Fasso</w:t>
            </w:r>
            <w:r w:rsidR="003E341F">
              <w:t xml:space="preserve"> </w:t>
            </w:r>
          </w:p>
          <w:p w14:paraId="3D2C6D77" w14:textId="2EFBAE65" w:rsidR="00401403" w:rsidRPr="00401403" w:rsidRDefault="003E341F" w:rsidP="000B0CE2">
            <w:pPr>
              <w:jc w:val="center"/>
            </w:pPr>
            <w:r>
              <w:rPr>
                <w:noProof/>
              </w:rPr>
              <w:t xml:space="preserve">© </w:t>
            </w:r>
            <w:r w:rsidRPr="00E361BC">
              <w:t>Claire</w:t>
            </w:r>
            <w:r>
              <w:t>-</w:t>
            </w:r>
            <w:r w:rsidRPr="00E361BC">
              <w:t>Marie</w:t>
            </w:r>
            <w:r>
              <w:t>-</w:t>
            </w:r>
            <w:r w:rsidRPr="00E361BC">
              <w:t>Madeleine Péhi-Verny</w:t>
            </w:r>
            <w:r>
              <w:t>.</w:t>
            </w:r>
            <w:r w:rsidR="00401403" w:rsidRPr="00401403">
              <w:t>.</w:t>
            </w:r>
          </w:p>
        </w:tc>
      </w:tr>
    </w:tbl>
    <w:p w14:paraId="0CB735AD" w14:textId="0002B0EB" w:rsidR="000B0CE2" w:rsidRDefault="000B0CE2" w:rsidP="00D65CEE">
      <w:pPr>
        <w:spacing w:after="0" w:line="240" w:lineRule="auto"/>
        <w:jc w:val="both"/>
      </w:pPr>
    </w:p>
    <w:p w14:paraId="5E8A812E" w14:textId="77777777" w:rsidR="00B224B3" w:rsidRPr="000B0CE2" w:rsidRDefault="00B224B3" w:rsidP="00B224B3">
      <w:pPr>
        <w:pStyle w:val="Titre3"/>
      </w:pPr>
      <w:bookmarkStart w:id="259" w:name="_Toc139181550"/>
      <w:r>
        <w:t>Plantation d’une h</w:t>
      </w:r>
      <w:r w:rsidRPr="000B0CE2">
        <w:t>aie vive</w:t>
      </w:r>
      <w:bookmarkEnd w:id="259"/>
    </w:p>
    <w:p w14:paraId="0249DA1A" w14:textId="77777777" w:rsidR="00B224B3" w:rsidRPr="000B0CE2" w:rsidRDefault="00B224B3" w:rsidP="00D65CEE">
      <w:pPr>
        <w:spacing w:after="0" w:line="240" w:lineRule="auto"/>
        <w:jc w:val="both"/>
      </w:pPr>
    </w:p>
    <w:p w14:paraId="7EA5A56C" w14:textId="059F00B3" w:rsidR="009C2506" w:rsidRDefault="00B224B3" w:rsidP="00B224B3">
      <w:pPr>
        <w:spacing w:after="0" w:line="240" w:lineRule="auto"/>
        <w:jc w:val="both"/>
      </w:pPr>
      <w:r>
        <w:t>Cette barrière est p</w:t>
      </w:r>
      <w:r w:rsidR="000B0CE2" w:rsidRPr="000B0CE2">
        <w:t>lus longue à installer</w:t>
      </w:r>
      <w:r>
        <w:t xml:space="preserve">. Il faut </w:t>
      </w:r>
      <w:r w:rsidR="000B0CE2" w:rsidRPr="000B0CE2">
        <w:t>attendre</w:t>
      </w:r>
      <w:r>
        <w:t xml:space="preserve"> au moins</w:t>
      </w:r>
      <w:r w:rsidR="000B0CE2" w:rsidRPr="000B0CE2">
        <w:t xml:space="preserve"> 5 ans que les arbustes ont bien poussés. Voir le chapitre « </w:t>
      </w:r>
      <w:r w:rsidR="000B0CE2" w:rsidRPr="000B0CE2">
        <w:rPr>
          <w:b/>
          <w:bCs/>
          <w:i/>
          <w:iCs/>
        </w:rPr>
        <w:t>Haies vives</w:t>
      </w:r>
      <w:r w:rsidR="000B0CE2" w:rsidRPr="000B0CE2">
        <w:rPr>
          <w:i/>
          <w:iCs/>
        </w:rPr>
        <w:t> : …</w:t>
      </w:r>
      <w:r w:rsidR="000B0CE2" w:rsidRPr="000B0CE2">
        <w:t> »</w:t>
      </w:r>
      <w:r w:rsidR="000B0CE2">
        <w:t>, ci-avant</w:t>
      </w:r>
      <w:r w:rsidR="000B0CE2" w:rsidRPr="000B0CE2">
        <w:t>.</w:t>
      </w:r>
    </w:p>
    <w:p w14:paraId="33C828D4" w14:textId="77777777" w:rsidR="009C2506" w:rsidRDefault="009C2506" w:rsidP="009C2506">
      <w:pPr>
        <w:spacing w:after="0" w:line="240" w:lineRule="auto"/>
        <w:jc w:val="both"/>
      </w:pPr>
    </w:p>
    <w:p w14:paraId="378A5E3B" w14:textId="6049E86F" w:rsidR="000B0CE2" w:rsidRDefault="009C2506" w:rsidP="009C2506">
      <w:pPr>
        <w:pStyle w:val="Titre2"/>
      </w:pPr>
      <w:bookmarkStart w:id="260" w:name="_Toc139181551"/>
      <w:r>
        <w:t>Schéma d'implantation d'une pépinière</w:t>
      </w:r>
      <w:bookmarkEnd w:id="260"/>
    </w:p>
    <w:p w14:paraId="0E66DE64" w14:textId="441DED91" w:rsidR="009C2506" w:rsidRDefault="009C2506" w:rsidP="009C2506">
      <w:pPr>
        <w:spacing w:after="0" w:line="240" w:lineRule="auto"/>
        <w:jc w:val="both"/>
      </w:pPr>
    </w:p>
    <w:p w14:paraId="4B2FA978" w14:textId="62106A74" w:rsidR="00E361BC" w:rsidRDefault="00E361BC" w:rsidP="009C2506">
      <w:pPr>
        <w:spacing w:after="0" w:line="240" w:lineRule="auto"/>
        <w:jc w:val="both"/>
      </w:pPr>
      <w:r>
        <w:t xml:space="preserve">Voir </w:t>
      </w:r>
      <w:r w:rsidR="00401403">
        <w:t>ci-après</w:t>
      </w:r>
      <w:r>
        <w:t> :</w:t>
      </w:r>
    </w:p>
    <w:p w14:paraId="66997E31" w14:textId="77777777" w:rsidR="00401403" w:rsidRDefault="00401403" w:rsidP="009C2506">
      <w:pPr>
        <w:spacing w:after="0" w:line="240" w:lineRule="auto"/>
        <w:jc w:val="both"/>
      </w:pPr>
    </w:p>
    <w:p w14:paraId="554DCE49" w14:textId="10A0B4FE" w:rsidR="009C2506" w:rsidRDefault="009C2506" w:rsidP="009C2506">
      <w:pPr>
        <w:spacing w:after="0" w:line="240" w:lineRule="auto"/>
        <w:jc w:val="center"/>
      </w:pPr>
      <w:r w:rsidRPr="009C2506">
        <w:rPr>
          <w:noProof/>
        </w:rPr>
        <w:lastRenderedPageBreak/>
        <w:drawing>
          <wp:inline distT="0" distB="0" distL="0" distR="0" wp14:anchorId="5E1F75E8" wp14:editId="77FB337F">
            <wp:extent cx="5715000" cy="3533775"/>
            <wp:effectExtent l="0" t="0" r="0" b="9525"/>
            <wp:docPr id="146438" name="Image 5" descr="Schéma d-implantation d-une pépinière_bis_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38" name="Image 5" descr="Schéma d-implantation d-une pépinière_bis_s1.jpg"/>
                    <pic:cNvPicPr>
                      <a:picLocks noChangeAspect="1"/>
                    </pic:cNvPicPr>
                  </pic:nvPicPr>
                  <pic:blipFill>
                    <a:blip r:embed="rId3377">
                      <a:extLst>
                        <a:ext uri="{28A0092B-C50C-407E-A947-70E740481C1C}">
                          <a14:useLocalDpi xmlns:a14="http://schemas.microsoft.com/office/drawing/2010/main" val="0"/>
                        </a:ext>
                      </a:extLst>
                    </a:blip>
                    <a:srcRect/>
                    <a:stretch>
                      <a:fillRect/>
                    </a:stretch>
                  </pic:blipFill>
                  <pic:spPr bwMode="auto">
                    <a:xfrm>
                      <a:off x="0" y="0"/>
                      <a:ext cx="5715000" cy="3533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04C1E50" w14:textId="7F4B27A2" w:rsidR="009C2506" w:rsidRDefault="008835C1" w:rsidP="009C2506">
      <w:pPr>
        <w:spacing w:after="0" w:line="240" w:lineRule="auto"/>
        <w:jc w:val="center"/>
      </w:pPr>
      <w:r>
        <w:t xml:space="preserve">Source : </w:t>
      </w:r>
      <w:r w:rsidRPr="008835C1">
        <w:t>Module 1.0 : Formation des pépiniéristes, Formad environnement, juillet 2010</w:t>
      </w:r>
      <w:r>
        <w:rPr>
          <w:rStyle w:val="Appelnotedebasdep"/>
        </w:rPr>
        <w:footnoteReference w:id="193"/>
      </w:r>
      <w:r>
        <w:t>.</w:t>
      </w:r>
    </w:p>
    <w:p w14:paraId="74F25994" w14:textId="3E7F7F7E" w:rsidR="009C2506" w:rsidRDefault="009C2506" w:rsidP="009C2506">
      <w:pPr>
        <w:spacing w:after="0" w:line="240" w:lineRule="auto"/>
        <w:jc w:val="both"/>
      </w:pPr>
    </w:p>
    <w:p w14:paraId="3C4AC7AF" w14:textId="66E3C8F5" w:rsidR="00C9133A" w:rsidRDefault="00C9133A" w:rsidP="00C9133A">
      <w:pPr>
        <w:pStyle w:val="Titre2"/>
      </w:pPr>
      <w:bookmarkStart w:id="261" w:name="_Toc139181552"/>
      <w:r w:rsidRPr="00C9133A">
        <w:t>Devis approximatif pépinière (terrain gratuit) (exemple)</w:t>
      </w:r>
      <w:bookmarkEnd w:id="261"/>
    </w:p>
    <w:p w14:paraId="4AEFAC9A" w14:textId="218A30D1" w:rsidR="00C9133A" w:rsidRDefault="00C9133A" w:rsidP="009C2506">
      <w:pPr>
        <w:spacing w:after="0" w:line="240" w:lineRule="auto"/>
        <w:jc w:val="both"/>
      </w:pPr>
    </w:p>
    <w:p w14:paraId="4D7F8F07" w14:textId="1BCDADF0" w:rsidR="00C9133A" w:rsidRDefault="00C9133A" w:rsidP="009C2506">
      <w:pPr>
        <w:spacing w:after="0" w:line="240" w:lineRule="auto"/>
        <w:jc w:val="both"/>
      </w:pPr>
      <w:r w:rsidRPr="00C9133A">
        <w:t>Pépinière 15 m x 15 m 32 planches de 2mx1m, 1 an, 1/3 fumier, 1/3 sable</w:t>
      </w:r>
      <w:r>
        <w:t xml:space="preserve"> (à Madagascar. Prix en Ariary)</w:t>
      </w:r>
      <w:r w:rsidRPr="00C9133A">
        <w:t xml:space="preserve"> :</w:t>
      </w:r>
    </w:p>
    <w:p w14:paraId="6232AB70" w14:textId="4CE7C400" w:rsidR="00C9133A" w:rsidRDefault="00C9133A" w:rsidP="009C2506">
      <w:pPr>
        <w:spacing w:after="0" w:line="240" w:lineRule="auto"/>
        <w:jc w:val="both"/>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3912"/>
        <w:gridCol w:w="2550"/>
        <w:gridCol w:w="588"/>
        <w:gridCol w:w="836"/>
        <w:gridCol w:w="532"/>
      </w:tblGrid>
      <w:tr w:rsidR="00C9133A" w:rsidRPr="00C9133A" w14:paraId="2B0CF822" w14:textId="77777777" w:rsidTr="00C9133A">
        <w:trPr>
          <w:trHeight w:val="584"/>
          <w:tblHeader/>
          <w:jc w:val="center"/>
        </w:trPr>
        <w:tc>
          <w:tcPr>
            <w:tcW w:w="0" w:type="auto"/>
            <w:shd w:val="clear" w:color="auto" w:fill="3F3F9E"/>
            <w:tcMar>
              <w:top w:w="15" w:type="dxa"/>
              <w:left w:w="15" w:type="dxa"/>
              <w:bottom w:w="0" w:type="dxa"/>
              <w:right w:w="15" w:type="dxa"/>
            </w:tcMar>
            <w:vAlign w:val="center"/>
            <w:hideMark/>
          </w:tcPr>
          <w:p w14:paraId="09E5C2AD" w14:textId="77777777" w:rsidR="00C9133A" w:rsidRPr="00C9133A" w:rsidRDefault="00C9133A" w:rsidP="00C9133A">
            <w:pPr>
              <w:spacing w:after="0" w:line="276" w:lineRule="auto"/>
              <w:ind w:left="144"/>
              <w:textAlignment w:val="baseline"/>
              <w:rPr>
                <w:rFonts w:ascii="Calibri" w:eastAsia="Times New Roman" w:hAnsi="Calibri" w:cs="Calibri"/>
                <w:lang w:eastAsia="fr-FR"/>
              </w:rPr>
            </w:pPr>
            <w:r w:rsidRPr="00C9133A">
              <w:rPr>
                <w:rFonts w:ascii="Calibri" w:eastAsia="Times New Roman" w:hAnsi="Calibri" w:cs="Calibri"/>
                <w:color w:val="FFFFFF"/>
                <w:kern w:val="24"/>
                <w:lang w:eastAsia="fr-FR"/>
              </w:rPr>
              <w:t>Activités  / produits</w:t>
            </w:r>
          </w:p>
        </w:tc>
        <w:tc>
          <w:tcPr>
            <w:tcW w:w="0" w:type="auto"/>
            <w:shd w:val="clear" w:color="auto" w:fill="6B6BB5"/>
            <w:tcMar>
              <w:top w:w="15" w:type="dxa"/>
              <w:left w:w="15" w:type="dxa"/>
              <w:bottom w:w="0" w:type="dxa"/>
              <w:right w:w="15" w:type="dxa"/>
            </w:tcMar>
            <w:vAlign w:val="center"/>
            <w:hideMark/>
          </w:tcPr>
          <w:p w14:paraId="4E6A11EE" w14:textId="77777777" w:rsidR="00C9133A" w:rsidRPr="00C9133A" w:rsidRDefault="00C9133A" w:rsidP="00C9133A">
            <w:pPr>
              <w:kinsoku w:val="0"/>
              <w:overflowPunct w:val="0"/>
              <w:spacing w:before="125" w:after="0" w:line="248" w:lineRule="exact"/>
              <w:jc w:val="center"/>
              <w:textAlignment w:val="baseline"/>
              <w:rPr>
                <w:rFonts w:ascii="Calibri" w:eastAsia="Times New Roman" w:hAnsi="Calibri" w:cs="Calibri"/>
                <w:lang w:eastAsia="fr-FR"/>
              </w:rPr>
            </w:pPr>
            <w:r w:rsidRPr="00C9133A">
              <w:rPr>
                <w:rFonts w:ascii="Calibri" w:eastAsia="Times New Roman" w:hAnsi="Calibri" w:cs="Calibri"/>
                <w:color w:val="FFFFFF"/>
                <w:kern w:val="24"/>
                <w:lang w:eastAsia="fr-FR"/>
              </w:rPr>
              <w:t>Nombre</w:t>
            </w:r>
          </w:p>
        </w:tc>
        <w:tc>
          <w:tcPr>
            <w:tcW w:w="0" w:type="auto"/>
            <w:shd w:val="clear" w:color="auto" w:fill="9090C8"/>
            <w:tcMar>
              <w:top w:w="15" w:type="dxa"/>
              <w:left w:w="15" w:type="dxa"/>
              <w:bottom w:w="0" w:type="dxa"/>
              <w:right w:w="15" w:type="dxa"/>
            </w:tcMar>
            <w:vAlign w:val="center"/>
            <w:hideMark/>
          </w:tcPr>
          <w:p w14:paraId="563EC24F" w14:textId="77777777" w:rsidR="00C9133A" w:rsidRPr="00C9133A" w:rsidRDefault="00C9133A" w:rsidP="00C9133A">
            <w:pPr>
              <w:kinsoku w:val="0"/>
              <w:overflowPunct w:val="0"/>
              <w:spacing w:after="0" w:line="276" w:lineRule="auto"/>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 xml:space="preserve">Pu </w:t>
            </w:r>
          </w:p>
        </w:tc>
        <w:tc>
          <w:tcPr>
            <w:tcW w:w="0" w:type="auto"/>
            <w:shd w:val="clear" w:color="auto" w:fill="A4A3CF"/>
            <w:tcMar>
              <w:top w:w="15" w:type="dxa"/>
              <w:left w:w="15" w:type="dxa"/>
              <w:bottom w:w="0" w:type="dxa"/>
              <w:right w:w="15" w:type="dxa"/>
            </w:tcMar>
            <w:vAlign w:val="center"/>
            <w:hideMark/>
          </w:tcPr>
          <w:p w14:paraId="40B12B4A" w14:textId="77777777" w:rsidR="00C9133A" w:rsidRPr="00C9133A" w:rsidRDefault="00C9133A" w:rsidP="00C9133A">
            <w:pPr>
              <w:kinsoku w:val="0"/>
              <w:overflowPunct w:val="0"/>
              <w:spacing w:after="0" w:line="276" w:lineRule="auto"/>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Prix total</w:t>
            </w:r>
          </w:p>
        </w:tc>
        <w:tc>
          <w:tcPr>
            <w:tcW w:w="0" w:type="auto"/>
            <w:shd w:val="clear" w:color="auto" w:fill="A4A3CF"/>
            <w:tcMar>
              <w:top w:w="15" w:type="dxa"/>
              <w:left w:w="15" w:type="dxa"/>
              <w:bottom w:w="0" w:type="dxa"/>
              <w:right w:w="15" w:type="dxa"/>
            </w:tcMar>
            <w:vAlign w:val="center"/>
            <w:hideMark/>
          </w:tcPr>
          <w:p w14:paraId="67D68082" w14:textId="06ADD7D5" w:rsidR="00C9133A" w:rsidRPr="00C9133A" w:rsidRDefault="00C9133A" w:rsidP="00C9133A">
            <w:pPr>
              <w:kinsoku w:val="0"/>
              <w:overflowPunct w:val="0"/>
              <w:spacing w:after="0" w:line="276" w:lineRule="auto"/>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Euros</w:t>
            </w:r>
          </w:p>
        </w:tc>
      </w:tr>
      <w:tr w:rsidR="00C9133A" w:rsidRPr="00C9133A" w14:paraId="0EAF2B4E" w14:textId="77777777" w:rsidTr="00C9133A">
        <w:trPr>
          <w:trHeight w:val="298"/>
          <w:jc w:val="center"/>
        </w:trPr>
        <w:tc>
          <w:tcPr>
            <w:tcW w:w="0" w:type="auto"/>
            <w:shd w:val="clear" w:color="auto" w:fill="3F3F9E"/>
            <w:tcMar>
              <w:top w:w="15" w:type="dxa"/>
              <w:left w:w="15" w:type="dxa"/>
              <w:bottom w:w="0" w:type="dxa"/>
              <w:right w:w="15" w:type="dxa"/>
            </w:tcMar>
            <w:vAlign w:val="center"/>
            <w:hideMark/>
          </w:tcPr>
          <w:p w14:paraId="2B980253" w14:textId="77777777" w:rsidR="00C9133A" w:rsidRPr="00C9133A" w:rsidRDefault="00C9133A" w:rsidP="00C9133A">
            <w:pPr>
              <w:kinsoku w:val="0"/>
              <w:overflowPunct w:val="0"/>
              <w:spacing w:after="15" w:line="250" w:lineRule="exac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x20cm 25 kg=50 000 pots (1200000 Ar)</w:t>
            </w:r>
          </w:p>
        </w:tc>
        <w:tc>
          <w:tcPr>
            <w:tcW w:w="0" w:type="auto"/>
            <w:shd w:val="clear" w:color="auto" w:fill="6B6BB5"/>
            <w:tcMar>
              <w:top w:w="15" w:type="dxa"/>
              <w:left w:w="15" w:type="dxa"/>
              <w:bottom w:w="0" w:type="dxa"/>
              <w:right w:w="15" w:type="dxa"/>
            </w:tcMar>
            <w:vAlign w:val="center"/>
            <w:hideMark/>
          </w:tcPr>
          <w:p w14:paraId="019DF90E" w14:textId="77777777" w:rsidR="00C9133A" w:rsidRPr="00C9133A" w:rsidRDefault="00C9133A" w:rsidP="00C9133A">
            <w:pPr>
              <w:kinsoku w:val="0"/>
              <w:overflowPunct w:val="0"/>
              <w:spacing w:after="15" w:line="250" w:lineRule="exact"/>
              <w:ind w:left="1094"/>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10000</w:t>
            </w:r>
          </w:p>
        </w:tc>
        <w:tc>
          <w:tcPr>
            <w:tcW w:w="0" w:type="auto"/>
            <w:shd w:val="clear" w:color="auto" w:fill="8180BF"/>
            <w:tcMar>
              <w:top w:w="15" w:type="dxa"/>
              <w:left w:w="15" w:type="dxa"/>
              <w:bottom w:w="0" w:type="dxa"/>
              <w:right w:w="15" w:type="dxa"/>
            </w:tcMar>
            <w:vAlign w:val="center"/>
            <w:hideMark/>
          </w:tcPr>
          <w:p w14:paraId="24684BD4" w14:textId="77777777" w:rsidR="00C9133A" w:rsidRPr="00C9133A" w:rsidRDefault="00C9133A" w:rsidP="00C9133A">
            <w:pPr>
              <w:kinsoku w:val="0"/>
              <w:overflowPunct w:val="0"/>
              <w:spacing w:after="15"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24</w:t>
            </w:r>
          </w:p>
        </w:tc>
        <w:tc>
          <w:tcPr>
            <w:tcW w:w="0" w:type="auto"/>
            <w:shd w:val="clear" w:color="auto" w:fill="9090C8"/>
            <w:tcMar>
              <w:top w:w="15" w:type="dxa"/>
              <w:left w:w="15" w:type="dxa"/>
              <w:bottom w:w="0" w:type="dxa"/>
              <w:right w:w="15" w:type="dxa"/>
            </w:tcMar>
            <w:vAlign w:val="center"/>
            <w:hideMark/>
          </w:tcPr>
          <w:p w14:paraId="5031D144" w14:textId="77777777" w:rsidR="00C9133A" w:rsidRPr="00C9133A" w:rsidRDefault="00C9133A" w:rsidP="00C9133A">
            <w:pPr>
              <w:kinsoku w:val="0"/>
              <w:overflowPunct w:val="0"/>
              <w:spacing w:after="15"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240000</w:t>
            </w:r>
          </w:p>
        </w:tc>
        <w:tc>
          <w:tcPr>
            <w:tcW w:w="0" w:type="auto"/>
            <w:shd w:val="clear" w:color="auto" w:fill="A4A3CF"/>
            <w:tcMar>
              <w:top w:w="15" w:type="dxa"/>
              <w:left w:w="15" w:type="dxa"/>
              <w:bottom w:w="0" w:type="dxa"/>
              <w:right w:w="15" w:type="dxa"/>
            </w:tcMar>
            <w:vAlign w:val="center"/>
            <w:hideMark/>
          </w:tcPr>
          <w:p w14:paraId="22360D76" w14:textId="77777777" w:rsidR="00C9133A" w:rsidRPr="00C9133A" w:rsidRDefault="00C9133A" w:rsidP="00C9133A">
            <w:pPr>
              <w:kinsoku w:val="0"/>
              <w:overflowPunct w:val="0"/>
              <w:spacing w:after="15"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83</w:t>
            </w:r>
          </w:p>
        </w:tc>
      </w:tr>
      <w:tr w:rsidR="00C9133A" w:rsidRPr="00C9133A" w14:paraId="24B8B539" w14:textId="77777777" w:rsidTr="00C9133A">
        <w:trPr>
          <w:trHeight w:val="295"/>
          <w:jc w:val="center"/>
        </w:trPr>
        <w:tc>
          <w:tcPr>
            <w:tcW w:w="0" w:type="auto"/>
            <w:shd w:val="clear" w:color="auto" w:fill="3F3F9E"/>
            <w:tcMar>
              <w:top w:w="15" w:type="dxa"/>
              <w:left w:w="15" w:type="dxa"/>
              <w:bottom w:w="0" w:type="dxa"/>
              <w:right w:w="15" w:type="dxa"/>
            </w:tcMar>
            <w:vAlign w:val="center"/>
            <w:hideMark/>
          </w:tcPr>
          <w:p w14:paraId="711D1517" w14:textId="2DFE8FF2" w:rsidR="00C9133A" w:rsidRPr="00C9133A" w:rsidRDefault="00C9133A" w:rsidP="00C9133A">
            <w:pPr>
              <w:kinsoku w:val="0"/>
              <w:overflowPunct w:val="0"/>
              <w:spacing w:after="5" w:line="265" w:lineRule="exact"/>
              <w:ind w:left="144"/>
              <w:textAlignment w:val="baseline"/>
              <w:rPr>
                <w:rFonts w:ascii="Calibri" w:eastAsia="Times New Roman" w:hAnsi="Calibri" w:cs="Calibri"/>
                <w:lang w:eastAsia="fr-FR"/>
              </w:rPr>
            </w:pPr>
            <w:r>
              <w:rPr>
                <w:rFonts w:ascii="Calibri" w:eastAsia="Times New Roman" w:hAnsi="Calibri" w:cs="Calibri"/>
                <w:color w:val="000000"/>
                <w:kern w:val="24"/>
                <w:lang w:eastAsia="fr-FR"/>
              </w:rPr>
              <w:t>Rem</w:t>
            </w:r>
            <w:r w:rsidRPr="00C9133A">
              <w:rPr>
                <w:rFonts w:ascii="Calibri" w:eastAsia="Times New Roman" w:hAnsi="Calibri" w:cs="Calibri"/>
                <w:color w:val="000000"/>
                <w:kern w:val="24"/>
                <w:lang w:eastAsia="fr-FR"/>
              </w:rPr>
              <w:t>plissage 10000 pots (300 pots/jour)</w:t>
            </w:r>
          </w:p>
        </w:tc>
        <w:tc>
          <w:tcPr>
            <w:tcW w:w="0" w:type="auto"/>
            <w:shd w:val="clear" w:color="auto" w:fill="6B6BB5"/>
            <w:tcMar>
              <w:top w:w="15" w:type="dxa"/>
              <w:left w:w="15" w:type="dxa"/>
              <w:bottom w:w="0" w:type="dxa"/>
              <w:right w:w="15" w:type="dxa"/>
            </w:tcMar>
            <w:vAlign w:val="center"/>
            <w:hideMark/>
          </w:tcPr>
          <w:p w14:paraId="03BF17AF" w14:textId="77777777" w:rsidR="00C9133A" w:rsidRPr="00C9133A" w:rsidRDefault="00C9133A" w:rsidP="00C9133A">
            <w:pPr>
              <w:kinsoku w:val="0"/>
              <w:overflowPunct w:val="0"/>
              <w:spacing w:after="8"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10 personnes x 3jours</w:t>
            </w:r>
          </w:p>
        </w:tc>
        <w:tc>
          <w:tcPr>
            <w:tcW w:w="0" w:type="auto"/>
            <w:shd w:val="clear" w:color="auto" w:fill="8180BF"/>
            <w:tcMar>
              <w:top w:w="15" w:type="dxa"/>
              <w:left w:w="15" w:type="dxa"/>
              <w:bottom w:w="0" w:type="dxa"/>
              <w:right w:w="15" w:type="dxa"/>
            </w:tcMar>
            <w:vAlign w:val="center"/>
            <w:hideMark/>
          </w:tcPr>
          <w:p w14:paraId="54FC3FA8" w14:textId="77777777" w:rsidR="00C9133A" w:rsidRPr="00C9133A" w:rsidRDefault="00C9133A" w:rsidP="00C9133A">
            <w:pPr>
              <w:kinsoku w:val="0"/>
              <w:overflowPunct w:val="0"/>
              <w:spacing w:after="8"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3000</w:t>
            </w:r>
          </w:p>
        </w:tc>
        <w:tc>
          <w:tcPr>
            <w:tcW w:w="0" w:type="auto"/>
            <w:shd w:val="clear" w:color="auto" w:fill="9090C8"/>
            <w:tcMar>
              <w:top w:w="15" w:type="dxa"/>
              <w:left w:w="15" w:type="dxa"/>
              <w:bottom w:w="0" w:type="dxa"/>
              <w:right w:w="15" w:type="dxa"/>
            </w:tcMar>
            <w:vAlign w:val="center"/>
            <w:hideMark/>
          </w:tcPr>
          <w:p w14:paraId="6C22FAE0" w14:textId="77777777" w:rsidR="00C9133A" w:rsidRPr="00C9133A" w:rsidRDefault="00C9133A" w:rsidP="00C9133A">
            <w:pPr>
              <w:kinsoku w:val="0"/>
              <w:overflowPunct w:val="0"/>
              <w:spacing w:after="8"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90000</w:t>
            </w:r>
          </w:p>
        </w:tc>
        <w:tc>
          <w:tcPr>
            <w:tcW w:w="0" w:type="auto"/>
            <w:shd w:val="clear" w:color="auto" w:fill="A4A3CF"/>
            <w:tcMar>
              <w:top w:w="15" w:type="dxa"/>
              <w:left w:w="15" w:type="dxa"/>
              <w:bottom w:w="0" w:type="dxa"/>
              <w:right w:w="15" w:type="dxa"/>
            </w:tcMar>
            <w:vAlign w:val="center"/>
            <w:hideMark/>
          </w:tcPr>
          <w:p w14:paraId="14FF6454" w14:textId="77777777" w:rsidR="00C9133A" w:rsidRPr="00C9133A" w:rsidRDefault="00C9133A" w:rsidP="00C9133A">
            <w:pPr>
              <w:kinsoku w:val="0"/>
              <w:overflowPunct w:val="0"/>
              <w:spacing w:after="8"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31</w:t>
            </w:r>
          </w:p>
        </w:tc>
      </w:tr>
      <w:tr w:rsidR="00C9133A" w:rsidRPr="00C9133A" w14:paraId="4A4F85EF" w14:textId="77777777" w:rsidTr="00C9133A">
        <w:trPr>
          <w:trHeight w:val="305"/>
          <w:jc w:val="center"/>
        </w:trPr>
        <w:tc>
          <w:tcPr>
            <w:tcW w:w="0" w:type="auto"/>
            <w:shd w:val="clear" w:color="auto" w:fill="3F3F9E"/>
            <w:tcMar>
              <w:top w:w="15" w:type="dxa"/>
              <w:left w:w="15" w:type="dxa"/>
              <w:bottom w:w="0" w:type="dxa"/>
              <w:right w:w="15" w:type="dxa"/>
            </w:tcMar>
            <w:vAlign w:val="center"/>
            <w:hideMark/>
          </w:tcPr>
          <w:p w14:paraId="5D0D02DA" w14:textId="0233DFA3" w:rsidR="00C9133A" w:rsidRPr="00C9133A" w:rsidRDefault="00C9133A" w:rsidP="00C9133A">
            <w:pPr>
              <w:kinsoku w:val="0"/>
              <w:overflowPunct w:val="0"/>
              <w:spacing w:after="25" w:line="250" w:lineRule="exact"/>
              <w:ind w:left="144"/>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Clôture de gaulette 30 x</w:t>
            </w:r>
            <w:r w:rsidRPr="00C9133A">
              <w:rPr>
                <w:rFonts w:ascii="Calibri" w:eastAsia="Times New Roman" w:hAnsi="Calibri" w:cs="Calibri"/>
                <w:color w:val="130C43"/>
                <w:kern w:val="24"/>
                <w:lang w:eastAsia="fr-FR"/>
              </w:rPr>
              <w:t xml:space="preserve"> 1</w:t>
            </w:r>
            <w:r w:rsidRPr="00C9133A">
              <w:rPr>
                <w:rFonts w:ascii="Calibri" w:eastAsia="Times New Roman" w:hAnsi="Calibri" w:cs="Calibri"/>
                <w:color w:val="000000"/>
                <w:kern w:val="24"/>
                <w:lang w:eastAsia="fr-FR"/>
              </w:rPr>
              <w:t xml:space="preserve"> m pour 50 m</w:t>
            </w:r>
          </w:p>
        </w:tc>
        <w:tc>
          <w:tcPr>
            <w:tcW w:w="0" w:type="auto"/>
            <w:shd w:val="clear" w:color="auto" w:fill="6B6BB5"/>
            <w:tcMar>
              <w:top w:w="15" w:type="dxa"/>
              <w:left w:w="15" w:type="dxa"/>
              <w:bottom w:w="0" w:type="dxa"/>
              <w:right w:w="15" w:type="dxa"/>
            </w:tcMar>
            <w:vAlign w:val="center"/>
            <w:hideMark/>
          </w:tcPr>
          <w:p w14:paraId="57335968" w14:textId="77777777" w:rsidR="00C9133A" w:rsidRPr="00C9133A" w:rsidRDefault="00C9133A" w:rsidP="00C9133A">
            <w:pPr>
              <w:kinsoku w:val="0"/>
              <w:overflowPunct w:val="0"/>
              <w:spacing w:after="25" w:line="250" w:lineRule="exact"/>
              <w:ind w:left="1094"/>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1500</w:t>
            </w:r>
          </w:p>
        </w:tc>
        <w:tc>
          <w:tcPr>
            <w:tcW w:w="0" w:type="auto"/>
            <w:shd w:val="clear" w:color="auto" w:fill="9090C8"/>
            <w:tcMar>
              <w:top w:w="15" w:type="dxa"/>
              <w:left w:w="15" w:type="dxa"/>
              <w:bottom w:w="0" w:type="dxa"/>
              <w:right w:w="15" w:type="dxa"/>
            </w:tcMar>
            <w:vAlign w:val="center"/>
            <w:hideMark/>
          </w:tcPr>
          <w:p w14:paraId="67F9E06B" w14:textId="77777777" w:rsidR="00C9133A" w:rsidRPr="00C9133A" w:rsidRDefault="00C9133A" w:rsidP="00C9133A">
            <w:pPr>
              <w:kinsoku w:val="0"/>
              <w:overflowPunct w:val="0"/>
              <w:spacing w:after="25"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100</w:t>
            </w:r>
          </w:p>
        </w:tc>
        <w:tc>
          <w:tcPr>
            <w:tcW w:w="0" w:type="auto"/>
            <w:shd w:val="clear" w:color="auto" w:fill="9090C8"/>
            <w:tcMar>
              <w:top w:w="15" w:type="dxa"/>
              <w:left w:w="15" w:type="dxa"/>
              <w:bottom w:w="0" w:type="dxa"/>
              <w:right w:w="15" w:type="dxa"/>
            </w:tcMar>
            <w:vAlign w:val="center"/>
            <w:hideMark/>
          </w:tcPr>
          <w:p w14:paraId="78234973" w14:textId="77777777" w:rsidR="00C9133A" w:rsidRPr="00C9133A" w:rsidRDefault="00C9133A" w:rsidP="00C9133A">
            <w:pPr>
              <w:kinsoku w:val="0"/>
              <w:overflowPunct w:val="0"/>
              <w:spacing w:after="25"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150000</w:t>
            </w:r>
          </w:p>
        </w:tc>
        <w:tc>
          <w:tcPr>
            <w:tcW w:w="0" w:type="auto"/>
            <w:shd w:val="clear" w:color="auto" w:fill="A4A3CF"/>
            <w:tcMar>
              <w:top w:w="15" w:type="dxa"/>
              <w:left w:w="15" w:type="dxa"/>
              <w:bottom w:w="0" w:type="dxa"/>
              <w:right w:w="15" w:type="dxa"/>
            </w:tcMar>
            <w:vAlign w:val="center"/>
            <w:hideMark/>
          </w:tcPr>
          <w:p w14:paraId="7CC5C625" w14:textId="77777777" w:rsidR="00C9133A" w:rsidRPr="00C9133A" w:rsidRDefault="00C9133A" w:rsidP="00C9133A">
            <w:pPr>
              <w:kinsoku w:val="0"/>
              <w:overflowPunct w:val="0"/>
              <w:spacing w:after="25"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52</w:t>
            </w:r>
          </w:p>
        </w:tc>
      </w:tr>
      <w:tr w:rsidR="00C9133A" w:rsidRPr="00C9133A" w14:paraId="3F1F9F5C" w14:textId="77777777" w:rsidTr="00C9133A">
        <w:trPr>
          <w:trHeight w:val="298"/>
          <w:jc w:val="center"/>
        </w:trPr>
        <w:tc>
          <w:tcPr>
            <w:tcW w:w="0" w:type="auto"/>
            <w:shd w:val="clear" w:color="auto" w:fill="5353A8"/>
            <w:tcMar>
              <w:top w:w="15" w:type="dxa"/>
              <w:left w:w="15" w:type="dxa"/>
              <w:bottom w:w="0" w:type="dxa"/>
              <w:right w:w="15" w:type="dxa"/>
            </w:tcMar>
            <w:vAlign w:val="center"/>
            <w:hideMark/>
          </w:tcPr>
          <w:p w14:paraId="67D1EB7A" w14:textId="77777777" w:rsidR="00C9133A" w:rsidRPr="00C9133A" w:rsidRDefault="00C9133A" w:rsidP="00C9133A">
            <w:pPr>
              <w:kinsoku w:val="0"/>
              <w:overflowPunct w:val="0"/>
              <w:spacing w:after="33" w:line="250" w:lineRule="exact"/>
              <w:ind w:left="144"/>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Installation clôture</w:t>
            </w:r>
          </w:p>
        </w:tc>
        <w:tc>
          <w:tcPr>
            <w:tcW w:w="0" w:type="auto"/>
            <w:shd w:val="clear" w:color="auto" w:fill="8180BF"/>
            <w:tcMar>
              <w:top w:w="15" w:type="dxa"/>
              <w:left w:w="15" w:type="dxa"/>
              <w:bottom w:w="0" w:type="dxa"/>
              <w:right w:w="15" w:type="dxa"/>
            </w:tcMar>
            <w:vAlign w:val="center"/>
            <w:hideMark/>
          </w:tcPr>
          <w:p w14:paraId="7B43965C" w14:textId="77777777" w:rsidR="00C9133A" w:rsidRPr="00C9133A" w:rsidRDefault="00C9133A" w:rsidP="00C9133A">
            <w:pPr>
              <w:kinsoku w:val="0"/>
              <w:overflowPunct w:val="0"/>
              <w:spacing w:after="33" w:line="250" w:lineRule="exact"/>
              <w:ind w:left="1282"/>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4</w:t>
            </w:r>
          </w:p>
        </w:tc>
        <w:tc>
          <w:tcPr>
            <w:tcW w:w="0" w:type="auto"/>
            <w:shd w:val="clear" w:color="auto" w:fill="9090C8"/>
            <w:tcMar>
              <w:top w:w="15" w:type="dxa"/>
              <w:left w:w="15" w:type="dxa"/>
              <w:bottom w:w="0" w:type="dxa"/>
              <w:right w:w="15" w:type="dxa"/>
            </w:tcMar>
            <w:vAlign w:val="center"/>
            <w:hideMark/>
          </w:tcPr>
          <w:p w14:paraId="6AEC4EF7" w14:textId="77777777" w:rsidR="00C9133A" w:rsidRPr="00C9133A" w:rsidRDefault="00C9133A" w:rsidP="00C9133A">
            <w:pPr>
              <w:kinsoku w:val="0"/>
              <w:overflowPunct w:val="0"/>
              <w:spacing w:after="33"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3000</w:t>
            </w:r>
          </w:p>
        </w:tc>
        <w:tc>
          <w:tcPr>
            <w:tcW w:w="0" w:type="auto"/>
            <w:shd w:val="clear" w:color="auto" w:fill="A4A3CF"/>
            <w:tcMar>
              <w:top w:w="15" w:type="dxa"/>
              <w:left w:w="15" w:type="dxa"/>
              <w:bottom w:w="0" w:type="dxa"/>
              <w:right w:w="15" w:type="dxa"/>
            </w:tcMar>
            <w:vAlign w:val="center"/>
            <w:hideMark/>
          </w:tcPr>
          <w:p w14:paraId="069E4A34" w14:textId="77777777" w:rsidR="00C9133A" w:rsidRPr="00C9133A" w:rsidRDefault="00C9133A" w:rsidP="00C9133A">
            <w:pPr>
              <w:kinsoku w:val="0"/>
              <w:overflowPunct w:val="0"/>
              <w:spacing w:after="33"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12000</w:t>
            </w:r>
          </w:p>
        </w:tc>
        <w:tc>
          <w:tcPr>
            <w:tcW w:w="0" w:type="auto"/>
            <w:shd w:val="clear" w:color="auto" w:fill="A4A3CF"/>
            <w:tcMar>
              <w:top w:w="15" w:type="dxa"/>
              <w:left w:w="15" w:type="dxa"/>
              <w:bottom w:w="0" w:type="dxa"/>
              <w:right w:w="15" w:type="dxa"/>
            </w:tcMar>
            <w:vAlign w:val="center"/>
            <w:hideMark/>
          </w:tcPr>
          <w:p w14:paraId="019152BC" w14:textId="77777777" w:rsidR="00C9133A" w:rsidRPr="00C9133A" w:rsidRDefault="00C9133A" w:rsidP="00C9133A">
            <w:pPr>
              <w:kinsoku w:val="0"/>
              <w:overflowPunct w:val="0"/>
              <w:spacing w:after="33"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4</w:t>
            </w:r>
          </w:p>
        </w:tc>
      </w:tr>
      <w:tr w:rsidR="00C9133A" w:rsidRPr="00C9133A" w14:paraId="0A22B25A" w14:textId="77777777" w:rsidTr="00C9133A">
        <w:trPr>
          <w:trHeight w:val="298"/>
          <w:jc w:val="center"/>
        </w:trPr>
        <w:tc>
          <w:tcPr>
            <w:tcW w:w="0" w:type="auto"/>
            <w:shd w:val="clear" w:color="auto" w:fill="5353A8"/>
            <w:tcMar>
              <w:top w:w="15" w:type="dxa"/>
              <w:left w:w="15" w:type="dxa"/>
              <w:bottom w:w="0" w:type="dxa"/>
              <w:right w:w="15" w:type="dxa"/>
            </w:tcMar>
            <w:vAlign w:val="center"/>
            <w:hideMark/>
          </w:tcPr>
          <w:p w14:paraId="3B315494" w14:textId="60AD1B63" w:rsidR="00C9133A" w:rsidRPr="00C9133A" w:rsidRDefault="00C9133A" w:rsidP="00C9133A">
            <w:pPr>
              <w:kinsoku w:val="0"/>
              <w:overflowPunct w:val="0"/>
              <w:spacing w:after="10" w:line="250" w:lineRule="exact"/>
              <w:ind w:left="144"/>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Puits</w:t>
            </w:r>
          </w:p>
        </w:tc>
        <w:tc>
          <w:tcPr>
            <w:tcW w:w="0" w:type="auto"/>
            <w:shd w:val="clear" w:color="auto" w:fill="8180BF"/>
            <w:tcMar>
              <w:top w:w="15" w:type="dxa"/>
              <w:left w:w="15" w:type="dxa"/>
              <w:bottom w:w="0" w:type="dxa"/>
              <w:right w:w="15" w:type="dxa"/>
            </w:tcMar>
            <w:vAlign w:val="center"/>
            <w:hideMark/>
          </w:tcPr>
          <w:p w14:paraId="6E8693FE" w14:textId="77777777" w:rsidR="00C9133A" w:rsidRPr="00C9133A" w:rsidRDefault="00C9133A" w:rsidP="00C9133A">
            <w:pPr>
              <w:kinsoku w:val="0"/>
              <w:overflowPunct w:val="0"/>
              <w:spacing w:after="13" w:line="250" w:lineRule="exact"/>
              <w:ind w:left="1282"/>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1</w:t>
            </w:r>
          </w:p>
        </w:tc>
        <w:tc>
          <w:tcPr>
            <w:tcW w:w="0" w:type="auto"/>
            <w:shd w:val="clear" w:color="auto" w:fill="9090C8"/>
            <w:tcMar>
              <w:top w:w="15" w:type="dxa"/>
              <w:left w:w="15" w:type="dxa"/>
              <w:bottom w:w="0" w:type="dxa"/>
              <w:right w:w="15" w:type="dxa"/>
            </w:tcMar>
            <w:vAlign w:val="center"/>
            <w:hideMark/>
          </w:tcPr>
          <w:p w14:paraId="3BE87C7F" w14:textId="77777777" w:rsidR="00C9133A" w:rsidRPr="00C9133A" w:rsidRDefault="00C9133A" w:rsidP="00C9133A">
            <w:pPr>
              <w:kinsoku w:val="0"/>
              <w:overflowPunct w:val="0"/>
              <w:spacing w:after="13"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30000</w:t>
            </w:r>
          </w:p>
        </w:tc>
        <w:tc>
          <w:tcPr>
            <w:tcW w:w="0" w:type="auto"/>
            <w:shd w:val="clear" w:color="auto" w:fill="A4A3CF"/>
            <w:tcMar>
              <w:top w:w="15" w:type="dxa"/>
              <w:left w:w="15" w:type="dxa"/>
              <w:bottom w:w="0" w:type="dxa"/>
              <w:right w:w="15" w:type="dxa"/>
            </w:tcMar>
            <w:vAlign w:val="center"/>
            <w:hideMark/>
          </w:tcPr>
          <w:p w14:paraId="60FCEC7A" w14:textId="77777777" w:rsidR="00C9133A" w:rsidRPr="00C9133A" w:rsidRDefault="00C9133A" w:rsidP="00C9133A">
            <w:pPr>
              <w:kinsoku w:val="0"/>
              <w:overflowPunct w:val="0"/>
              <w:spacing w:after="13"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30000</w:t>
            </w:r>
          </w:p>
        </w:tc>
        <w:tc>
          <w:tcPr>
            <w:tcW w:w="0" w:type="auto"/>
            <w:shd w:val="clear" w:color="auto" w:fill="A4A3CF"/>
            <w:tcMar>
              <w:top w:w="15" w:type="dxa"/>
              <w:left w:w="15" w:type="dxa"/>
              <w:bottom w:w="0" w:type="dxa"/>
              <w:right w:w="15" w:type="dxa"/>
            </w:tcMar>
            <w:vAlign w:val="center"/>
            <w:hideMark/>
          </w:tcPr>
          <w:p w14:paraId="6208E414" w14:textId="77777777" w:rsidR="00C9133A" w:rsidRPr="00C9133A" w:rsidRDefault="00C9133A" w:rsidP="00C9133A">
            <w:pPr>
              <w:kinsoku w:val="0"/>
              <w:overflowPunct w:val="0"/>
              <w:spacing w:after="13"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10</w:t>
            </w:r>
          </w:p>
        </w:tc>
      </w:tr>
      <w:tr w:rsidR="00C9133A" w:rsidRPr="00C9133A" w14:paraId="73E17AA3" w14:textId="77777777" w:rsidTr="00C9133A">
        <w:trPr>
          <w:trHeight w:val="295"/>
          <w:jc w:val="center"/>
        </w:trPr>
        <w:tc>
          <w:tcPr>
            <w:tcW w:w="0" w:type="auto"/>
            <w:shd w:val="clear" w:color="auto" w:fill="5353A8"/>
            <w:tcMar>
              <w:top w:w="15" w:type="dxa"/>
              <w:left w:w="15" w:type="dxa"/>
              <w:bottom w:w="0" w:type="dxa"/>
              <w:right w:w="15" w:type="dxa"/>
            </w:tcMar>
            <w:vAlign w:val="center"/>
            <w:hideMark/>
          </w:tcPr>
          <w:p w14:paraId="7020ED6D" w14:textId="6F3A9AE3" w:rsidR="00C9133A" w:rsidRPr="00C9133A" w:rsidRDefault="00C9133A" w:rsidP="00C9133A">
            <w:pPr>
              <w:kinsoku w:val="0"/>
              <w:overflowPunct w:val="0"/>
              <w:spacing w:after="15" w:line="250" w:lineRule="exact"/>
              <w:ind w:left="144"/>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Fût pour le puits</w:t>
            </w:r>
          </w:p>
        </w:tc>
        <w:tc>
          <w:tcPr>
            <w:tcW w:w="0" w:type="auto"/>
            <w:shd w:val="clear" w:color="auto" w:fill="8180BF"/>
            <w:tcMar>
              <w:top w:w="15" w:type="dxa"/>
              <w:left w:w="15" w:type="dxa"/>
              <w:bottom w:w="0" w:type="dxa"/>
              <w:right w:w="15" w:type="dxa"/>
            </w:tcMar>
            <w:vAlign w:val="center"/>
            <w:hideMark/>
          </w:tcPr>
          <w:p w14:paraId="3A415A6C" w14:textId="77777777" w:rsidR="00C9133A" w:rsidRPr="00C9133A" w:rsidRDefault="00C9133A" w:rsidP="00C9133A">
            <w:pPr>
              <w:kinsoku w:val="0"/>
              <w:overflowPunct w:val="0"/>
              <w:spacing w:after="18" w:line="250" w:lineRule="exact"/>
              <w:ind w:left="1282"/>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2</w:t>
            </w:r>
          </w:p>
        </w:tc>
        <w:tc>
          <w:tcPr>
            <w:tcW w:w="0" w:type="auto"/>
            <w:shd w:val="clear" w:color="auto" w:fill="9090C8"/>
            <w:tcMar>
              <w:top w:w="15" w:type="dxa"/>
              <w:left w:w="15" w:type="dxa"/>
              <w:bottom w:w="0" w:type="dxa"/>
              <w:right w:w="15" w:type="dxa"/>
            </w:tcMar>
            <w:vAlign w:val="center"/>
            <w:hideMark/>
          </w:tcPr>
          <w:p w14:paraId="7836A365" w14:textId="77777777" w:rsidR="00C9133A" w:rsidRPr="00C9133A" w:rsidRDefault="00C9133A" w:rsidP="00C9133A">
            <w:pPr>
              <w:kinsoku w:val="0"/>
              <w:overflowPunct w:val="0"/>
              <w:spacing w:after="18"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10000</w:t>
            </w:r>
          </w:p>
        </w:tc>
        <w:tc>
          <w:tcPr>
            <w:tcW w:w="0" w:type="auto"/>
            <w:shd w:val="clear" w:color="auto" w:fill="A4A3CF"/>
            <w:tcMar>
              <w:top w:w="15" w:type="dxa"/>
              <w:left w:w="15" w:type="dxa"/>
              <w:bottom w:w="0" w:type="dxa"/>
              <w:right w:w="15" w:type="dxa"/>
            </w:tcMar>
            <w:vAlign w:val="center"/>
            <w:hideMark/>
          </w:tcPr>
          <w:p w14:paraId="63274270" w14:textId="77777777" w:rsidR="00C9133A" w:rsidRPr="00C9133A" w:rsidRDefault="00C9133A" w:rsidP="00C9133A">
            <w:pPr>
              <w:kinsoku w:val="0"/>
              <w:overflowPunct w:val="0"/>
              <w:spacing w:after="18"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20000</w:t>
            </w:r>
          </w:p>
        </w:tc>
        <w:tc>
          <w:tcPr>
            <w:tcW w:w="0" w:type="auto"/>
            <w:shd w:val="clear" w:color="auto" w:fill="B8B8DB"/>
            <w:tcMar>
              <w:top w:w="15" w:type="dxa"/>
              <w:left w:w="15" w:type="dxa"/>
              <w:bottom w:w="0" w:type="dxa"/>
              <w:right w:w="15" w:type="dxa"/>
            </w:tcMar>
            <w:vAlign w:val="center"/>
            <w:hideMark/>
          </w:tcPr>
          <w:p w14:paraId="742CC07D" w14:textId="77777777" w:rsidR="00C9133A" w:rsidRPr="00C9133A" w:rsidRDefault="00C9133A" w:rsidP="00C9133A">
            <w:pPr>
              <w:kinsoku w:val="0"/>
              <w:overflowPunct w:val="0"/>
              <w:spacing w:after="18"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7</w:t>
            </w:r>
          </w:p>
        </w:tc>
      </w:tr>
      <w:tr w:rsidR="00C9133A" w:rsidRPr="00C9133A" w14:paraId="39C51989" w14:textId="77777777" w:rsidTr="00C9133A">
        <w:trPr>
          <w:trHeight w:val="298"/>
          <w:jc w:val="center"/>
        </w:trPr>
        <w:tc>
          <w:tcPr>
            <w:tcW w:w="0" w:type="auto"/>
            <w:shd w:val="clear" w:color="auto" w:fill="5353A8"/>
            <w:tcMar>
              <w:top w:w="15" w:type="dxa"/>
              <w:left w:w="15" w:type="dxa"/>
              <w:bottom w:w="0" w:type="dxa"/>
              <w:right w:w="15" w:type="dxa"/>
            </w:tcMar>
            <w:vAlign w:val="center"/>
            <w:hideMark/>
          </w:tcPr>
          <w:p w14:paraId="2C2AA98A" w14:textId="7179F30B" w:rsidR="00C9133A" w:rsidRPr="00C9133A" w:rsidRDefault="00C9133A" w:rsidP="00C9133A">
            <w:pPr>
              <w:kinsoku w:val="0"/>
              <w:overflowPunct w:val="0"/>
              <w:spacing w:after="20" w:line="250" w:lineRule="exact"/>
              <w:ind w:left="144"/>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Arrosoir plastique 15</w:t>
            </w:r>
            <w:r w:rsidRPr="00C9133A">
              <w:rPr>
                <w:rFonts w:ascii="Calibri" w:eastAsia="Times New Roman" w:hAnsi="Calibri" w:cs="Calibri"/>
                <w:color w:val="130C43"/>
                <w:kern w:val="24"/>
                <w:lang w:eastAsia="fr-FR"/>
              </w:rPr>
              <w:t xml:space="preserve"> I</w:t>
            </w:r>
          </w:p>
        </w:tc>
        <w:tc>
          <w:tcPr>
            <w:tcW w:w="0" w:type="auto"/>
            <w:shd w:val="clear" w:color="auto" w:fill="8180BF"/>
            <w:tcMar>
              <w:top w:w="15" w:type="dxa"/>
              <w:left w:w="15" w:type="dxa"/>
              <w:bottom w:w="0" w:type="dxa"/>
              <w:right w:w="15" w:type="dxa"/>
            </w:tcMar>
            <w:vAlign w:val="center"/>
            <w:hideMark/>
          </w:tcPr>
          <w:p w14:paraId="7BB6E361" w14:textId="77777777" w:rsidR="00C9133A" w:rsidRPr="00C9133A" w:rsidRDefault="00C9133A" w:rsidP="00C9133A">
            <w:pPr>
              <w:kinsoku w:val="0"/>
              <w:overflowPunct w:val="0"/>
              <w:spacing w:after="20" w:line="250" w:lineRule="exact"/>
              <w:ind w:left="1282"/>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2</w:t>
            </w:r>
          </w:p>
        </w:tc>
        <w:tc>
          <w:tcPr>
            <w:tcW w:w="0" w:type="auto"/>
            <w:shd w:val="clear" w:color="auto" w:fill="A4A3CF"/>
            <w:tcMar>
              <w:top w:w="15" w:type="dxa"/>
              <w:left w:w="15" w:type="dxa"/>
              <w:bottom w:w="0" w:type="dxa"/>
              <w:right w:w="15" w:type="dxa"/>
            </w:tcMar>
            <w:vAlign w:val="center"/>
            <w:hideMark/>
          </w:tcPr>
          <w:p w14:paraId="323DEEAF" w14:textId="77777777" w:rsidR="00C9133A" w:rsidRPr="00C9133A" w:rsidRDefault="00C9133A" w:rsidP="00C9133A">
            <w:pPr>
              <w:kinsoku w:val="0"/>
              <w:overflowPunct w:val="0"/>
              <w:spacing w:after="20"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9000</w:t>
            </w:r>
          </w:p>
        </w:tc>
        <w:tc>
          <w:tcPr>
            <w:tcW w:w="0" w:type="auto"/>
            <w:shd w:val="clear" w:color="auto" w:fill="A4A3CF"/>
            <w:tcMar>
              <w:top w:w="15" w:type="dxa"/>
              <w:left w:w="15" w:type="dxa"/>
              <w:bottom w:w="0" w:type="dxa"/>
              <w:right w:w="15" w:type="dxa"/>
            </w:tcMar>
            <w:vAlign w:val="center"/>
            <w:hideMark/>
          </w:tcPr>
          <w:p w14:paraId="0CFA7F87" w14:textId="77777777" w:rsidR="00C9133A" w:rsidRPr="00C9133A" w:rsidRDefault="00C9133A" w:rsidP="00C9133A">
            <w:pPr>
              <w:kinsoku w:val="0"/>
              <w:overflowPunct w:val="0"/>
              <w:spacing w:after="20"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18000</w:t>
            </w:r>
          </w:p>
        </w:tc>
        <w:tc>
          <w:tcPr>
            <w:tcW w:w="0" w:type="auto"/>
            <w:shd w:val="clear" w:color="auto" w:fill="B8B8DB"/>
            <w:tcMar>
              <w:top w:w="15" w:type="dxa"/>
              <w:left w:w="15" w:type="dxa"/>
              <w:bottom w:w="0" w:type="dxa"/>
              <w:right w:w="15" w:type="dxa"/>
            </w:tcMar>
            <w:vAlign w:val="center"/>
            <w:hideMark/>
          </w:tcPr>
          <w:p w14:paraId="00FB0A41" w14:textId="77777777" w:rsidR="00C9133A" w:rsidRPr="00C9133A" w:rsidRDefault="00C9133A" w:rsidP="00C9133A">
            <w:pPr>
              <w:kinsoku w:val="0"/>
              <w:overflowPunct w:val="0"/>
              <w:spacing w:after="20"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6</w:t>
            </w:r>
          </w:p>
        </w:tc>
      </w:tr>
      <w:tr w:rsidR="00C9133A" w:rsidRPr="00C9133A" w14:paraId="6BE7441F" w14:textId="77777777" w:rsidTr="00C9133A">
        <w:trPr>
          <w:trHeight w:val="295"/>
          <w:jc w:val="center"/>
        </w:trPr>
        <w:tc>
          <w:tcPr>
            <w:tcW w:w="0" w:type="auto"/>
            <w:shd w:val="clear" w:color="auto" w:fill="5353A8"/>
            <w:tcMar>
              <w:top w:w="15" w:type="dxa"/>
              <w:left w:w="15" w:type="dxa"/>
              <w:bottom w:w="0" w:type="dxa"/>
              <w:right w:w="15" w:type="dxa"/>
            </w:tcMar>
            <w:vAlign w:val="center"/>
            <w:hideMark/>
          </w:tcPr>
          <w:p w14:paraId="59715FE8" w14:textId="7668355D" w:rsidR="00C9133A" w:rsidRPr="00C9133A" w:rsidRDefault="00C9133A" w:rsidP="00C9133A">
            <w:pPr>
              <w:kinsoku w:val="0"/>
              <w:overflowPunct w:val="0"/>
              <w:spacing w:after="13" w:line="250" w:lineRule="exact"/>
              <w:ind w:left="144"/>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Pelle</w:t>
            </w:r>
          </w:p>
        </w:tc>
        <w:tc>
          <w:tcPr>
            <w:tcW w:w="0" w:type="auto"/>
            <w:shd w:val="clear" w:color="auto" w:fill="9090C8"/>
            <w:tcMar>
              <w:top w:w="15" w:type="dxa"/>
              <w:left w:w="15" w:type="dxa"/>
              <w:bottom w:w="0" w:type="dxa"/>
              <w:right w:w="15" w:type="dxa"/>
            </w:tcMar>
            <w:vAlign w:val="center"/>
            <w:hideMark/>
          </w:tcPr>
          <w:p w14:paraId="6D7922FE" w14:textId="77777777" w:rsidR="00C9133A" w:rsidRPr="00C9133A" w:rsidRDefault="00C9133A" w:rsidP="00C9133A">
            <w:pPr>
              <w:kinsoku w:val="0"/>
              <w:overflowPunct w:val="0"/>
              <w:spacing w:after="13" w:line="250" w:lineRule="exact"/>
              <w:ind w:left="1282"/>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3</w:t>
            </w:r>
          </w:p>
        </w:tc>
        <w:tc>
          <w:tcPr>
            <w:tcW w:w="0" w:type="auto"/>
            <w:shd w:val="clear" w:color="auto" w:fill="A4A3CF"/>
            <w:tcMar>
              <w:top w:w="15" w:type="dxa"/>
              <w:left w:w="15" w:type="dxa"/>
              <w:bottom w:w="0" w:type="dxa"/>
              <w:right w:w="15" w:type="dxa"/>
            </w:tcMar>
            <w:vAlign w:val="center"/>
            <w:hideMark/>
          </w:tcPr>
          <w:p w14:paraId="5B4050B3" w14:textId="77777777" w:rsidR="00C9133A" w:rsidRPr="00C9133A" w:rsidRDefault="00C9133A" w:rsidP="00C9133A">
            <w:pPr>
              <w:kinsoku w:val="0"/>
              <w:overflowPunct w:val="0"/>
              <w:spacing w:after="13"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5000</w:t>
            </w:r>
          </w:p>
        </w:tc>
        <w:tc>
          <w:tcPr>
            <w:tcW w:w="0" w:type="auto"/>
            <w:shd w:val="clear" w:color="auto" w:fill="A4A3CF"/>
            <w:tcMar>
              <w:top w:w="15" w:type="dxa"/>
              <w:left w:w="15" w:type="dxa"/>
              <w:bottom w:w="0" w:type="dxa"/>
              <w:right w:w="15" w:type="dxa"/>
            </w:tcMar>
            <w:vAlign w:val="center"/>
            <w:hideMark/>
          </w:tcPr>
          <w:p w14:paraId="4D64C88E" w14:textId="77777777" w:rsidR="00C9133A" w:rsidRPr="00C9133A" w:rsidRDefault="00C9133A" w:rsidP="00C9133A">
            <w:pPr>
              <w:kinsoku w:val="0"/>
              <w:overflowPunct w:val="0"/>
              <w:spacing w:after="13"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15000</w:t>
            </w:r>
          </w:p>
        </w:tc>
        <w:tc>
          <w:tcPr>
            <w:tcW w:w="0" w:type="auto"/>
            <w:shd w:val="clear" w:color="auto" w:fill="B8B8DB"/>
            <w:tcMar>
              <w:top w:w="15" w:type="dxa"/>
              <w:left w:w="15" w:type="dxa"/>
              <w:bottom w:w="0" w:type="dxa"/>
              <w:right w:w="15" w:type="dxa"/>
            </w:tcMar>
            <w:vAlign w:val="center"/>
            <w:hideMark/>
          </w:tcPr>
          <w:p w14:paraId="2E6ECE26" w14:textId="77777777" w:rsidR="00C9133A" w:rsidRPr="00C9133A" w:rsidRDefault="00C9133A" w:rsidP="00C9133A">
            <w:pPr>
              <w:kinsoku w:val="0"/>
              <w:overflowPunct w:val="0"/>
              <w:spacing w:after="13"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5</w:t>
            </w:r>
          </w:p>
        </w:tc>
      </w:tr>
      <w:tr w:rsidR="00C9133A" w:rsidRPr="00C9133A" w14:paraId="7D8AE480" w14:textId="77777777" w:rsidTr="00C9133A">
        <w:trPr>
          <w:trHeight w:val="308"/>
          <w:jc w:val="center"/>
        </w:trPr>
        <w:tc>
          <w:tcPr>
            <w:tcW w:w="0" w:type="auto"/>
            <w:shd w:val="clear" w:color="auto" w:fill="6B6BB5"/>
            <w:tcMar>
              <w:top w:w="15" w:type="dxa"/>
              <w:left w:w="15" w:type="dxa"/>
              <w:bottom w:w="0" w:type="dxa"/>
              <w:right w:w="15" w:type="dxa"/>
            </w:tcMar>
            <w:vAlign w:val="center"/>
            <w:hideMark/>
          </w:tcPr>
          <w:p w14:paraId="222D3B92" w14:textId="77777777" w:rsidR="00C9133A" w:rsidRPr="00C9133A" w:rsidRDefault="00C9133A" w:rsidP="00C9133A">
            <w:pPr>
              <w:kinsoku w:val="0"/>
              <w:overflowPunct w:val="0"/>
              <w:spacing w:after="28" w:line="255" w:lineRule="exact"/>
              <w:ind w:left="144"/>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Bêche (Angady)</w:t>
            </w:r>
          </w:p>
        </w:tc>
        <w:tc>
          <w:tcPr>
            <w:tcW w:w="0" w:type="auto"/>
            <w:shd w:val="clear" w:color="auto" w:fill="9090C8"/>
            <w:tcMar>
              <w:top w:w="15" w:type="dxa"/>
              <w:left w:w="15" w:type="dxa"/>
              <w:bottom w:w="0" w:type="dxa"/>
              <w:right w:w="15" w:type="dxa"/>
            </w:tcMar>
            <w:vAlign w:val="center"/>
            <w:hideMark/>
          </w:tcPr>
          <w:p w14:paraId="3C530F81" w14:textId="77777777" w:rsidR="00C9133A" w:rsidRPr="00C9133A" w:rsidRDefault="00C9133A" w:rsidP="00C9133A">
            <w:pPr>
              <w:kinsoku w:val="0"/>
              <w:overflowPunct w:val="0"/>
              <w:spacing w:after="30"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3</w:t>
            </w:r>
          </w:p>
        </w:tc>
        <w:tc>
          <w:tcPr>
            <w:tcW w:w="0" w:type="auto"/>
            <w:shd w:val="clear" w:color="auto" w:fill="A4A3CF"/>
            <w:tcMar>
              <w:top w:w="15" w:type="dxa"/>
              <w:left w:w="15" w:type="dxa"/>
              <w:bottom w:w="0" w:type="dxa"/>
              <w:right w:w="15" w:type="dxa"/>
            </w:tcMar>
            <w:vAlign w:val="center"/>
            <w:hideMark/>
          </w:tcPr>
          <w:p w14:paraId="59869BEE" w14:textId="77777777" w:rsidR="00C9133A" w:rsidRPr="00C9133A" w:rsidRDefault="00C9133A" w:rsidP="00C9133A">
            <w:pPr>
              <w:kinsoku w:val="0"/>
              <w:overflowPunct w:val="0"/>
              <w:spacing w:after="30"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6 000</w:t>
            </w:r>
          </w:p>
        </w:tc>
        <w:tc>
          <w:tcPr>
            <w:tcW w:w="0" w:type="auto"/>
            <w:shd w:val="clear" w:color="auto" w:fill="B8B8DB"/>
            <w:tcMar>
              <w:top w:w="15" w:type="dxa"/>
              <w:left w:w="15" w:type="dxa"/>
              <w:bottom w:w="0" w:type="dxa"/>
              <w:right w:w="15" w:type="dxa"/>
            </w:tcMar>
            <w:vAlign w:val="center"/>
            <w:hideMark/>
          </w:tcPr>
          <w:p w14:paraId="1C18F206" w14:textId="77777777" w:rsidR="00C9133A" w:rsidRPr="00C9133A" w:rsidRDefault="00C9133A" w:rsidP="00C9133A">
            <w:pPr>
              <w:kinsoku w:val="0"/>
              <w:overflowPunct w:val="0"/>
              <w:spacing w:after="30"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18 000</w:t>
            </w:r>
          </w:p>
        </w:tc>
        <w:tc>
          <w:tcPr>
            <w:tcW w:w="0" w:type="auto"/>
            <w:shd w:val="clear" w:color="auto" w:fill="B8B8DB"/>
            <w:tcMar>
              <w:top w:w="15" w:type="dxa"/>
              <w:left w:w="15" w:type="dxa"/>
              <w:bottom w:w="0" w:type="dxa"/>
              <w:right w:w="15" w:type="dxa"/>
            </w:tcMar>
            <w:vAlign w:val="center"/>
            <w:hideMark/>
          </w:tcPr>
          <w:p w14:paraId="04098DA0" w14:textId="77777777" w:rsidR="00C9133A" w:rsidRPr="00C9133A" w:rsidRDefault="00C9133A" w:rsidP="00C9133A">
            <w:pPr>
              <w:kinsoku w:val="0"/>
              <w:overflowPunct w:val="0"/>
              <w:spacing w:after="30"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6</w:t>
            </w:r>
          </w:p>
        </w:tc>
      </w:tr>
      <w:tr w:rsidR="00C9133A" w:rsidRPr="00C9133A" w14:paraId="434C2B7B" w14:textId="77777777" w:rsidTr="00C9133A">
        <w:trPr>
          <w:trHeight w:val="290"/>
          <w:jc w:val="center"/>
        </w:trPr>
        <w:tc>
          <w:tcPr>
            <w:tcW w:w="0" w:type="auto"/>
            <w:shd w:val="clear" w:color="auto" w:fill="6B6BB5"/>
            <w:tcMar>
              <w:top w:w="15" w:type="dxa"/>
              <w:left w:w="15" w:type="dxa"/>
              <w:bottom w:w="0" w:type="dxa"/>
              <w:right w:w="15" w:type="dxa"/>
            </w:tcMar>
            <w:vAlign w:val="center"/>
            <w:hideMark/>
          </w:tcPr>
          <w:p w14:paraId="546CF73D" w14:textId="77777777" w:rsidR="00C9133A" w:rsidRPr="00C9133A" w:rsidRDefault="00C9133A" w:rsidP="00C9133A">
            <w:pPr>
              <w:kinsoku w:val="0"/>
              <w:overflowPunct w:val="0"/>
              <w:spacing w:after="18" w:line="250" w:lineRule="exact"/>
              <w:ind w:left="144"/>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Corde plastique (diamètre 3 mm) rouleau</w:t>
            </w:r>
          </w:p>
        </w:tc>
        <w:tc>
          <w:tcPr>
            <w:tcW w:w="0" w:type="auto"/>
            <w:shd w:val="clear" w:color="auto" w:fill="9090C8"/>
            <w:tcMar>
              <w:top w:w="15" w:type="dxa"/>
              <w:left w:w="15" w:type="dxa"/>
              <w:bottom w:w="0" w:type="dxa"/>
              <w:right w:w="15" w:type="dxa"/>
            </w:tcMar>
            <w:vAlign w:val="center"/>
            <w:hideMark/>
          </w:tcPr>
          <w:p w14:paraId="7355B8FF" w14:textId="77777777" w:rsidR="00C9133A" w:rsidRPr="00C9133A" w:rsidRDefault="00C9133A" w:rsidP="00C9133A">
            <w:pPr>
              <w:kinsoku w:val="0"/>
              <w:overflowPunct w:val="0"/>
              <w:spacing w:after="20"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1</w:t>
            </w:r>
          </w:p>
        </w:tc>
        <w:tc>
          <w:tcPr>
            <w:tcW w:w="0" w:type="auto"/>
            <w:shd w:val="clear" w:color="auto" w:fill="A4A3CF"/>
            <w:tcMar>
              <w:top w:w="15" w:type="dxa"/>
              <w:left w:w="15" w:type="dxa"/>
              <w:bottom w:w="0" w:type="dxa"/>
              <w:right w:w="15" w:type="dxa"/>
            </w:tcMar>
            <w:vAlign w:val="center"/>
            <w:hideMark/>
          </w:tcPr>
          <w:p w14:paraId="3AA706AC" w14:textId="77777777" w:rsidR="00C9133A" w:rsidRPr="00C9133A" w:rsidRDefault="00C9133A" w:rsidP="00C9133A">
            <w:pPr>
              <w:kinsoku w:val="0"/>
              <w:overflowPunct w:val="0"/>
              <w:spacing w:after="15"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3 500</w:t>
            </w:r>
          </w:p>
        </w:tc>
        <w:tc>
          <w:tcPr>
            <w:tcW w:w="0" w:type="auto"/>
            <w:shd w:val="clear" w:color="auto" w:fill="B8B8DB"/>
            <w:tcMar>
              <w:top w:w="15" w:type="dxa"/>
              <w:left w:w="15" w:type="dxa"/>
              <w:bottom w:w="0" w:type="dxa"/>
              <w:right w:w="15" w:type="dxa"/>
            </w:tcMar>
            <w:vAlign w:val="center"/>
            <w:hideMark/>
          </w:tcPr>
          <w:p w14:paraId="34B7CE06" w14:textId="77777777" w:rsidR="00C9133A" w:rsidRPr="00C9133A" w:rsidRDefault="00C9133A" w:rsidP="00C9133A">
            <w:pPr>
              <w:kinsoku w:val="0"/>
              <w:overflowPunct w:val="0"/>
              <w:spacing w:after="15"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3 500</w:t>
            </w:r>
          </w:p>
        </w:tc>
        <w:tc>
          <w:tcPr>
            <w:tcW w:w="0" w:type="auto"/>
            <w:shd w:val="clear" w:color="auto" w:fill="B8B8DB"/>
            <w:tcMar>
              <w:top w:w="15" w:type="dxa"/>
              <w:left w:w="15" w:type="dxa"/>
              <w:bottom w:w="0" w:type="dxa"/>
              <w:right w:w="15" w:type="dxa"/>
            </w:tcMar>
            <w:vAlign w:val="center"/>
            <w:hideMark/>
          </w:tcPr>
          <w:p w14:paraId="0A679858" w14:textId="77777777" w:rsidR="00C9133A" w:rsidRPr="00C9133A" w:rsidRDefault="00C9133A" w:rsidP="00C9133A">
            <w:pPr>
              <w:kinsoku w:val="0"/>
              <w:overflowPunct w:val="0"/>
              <w:spacing w:after="20"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1</w:t>
            </w:r>
          </w:p>
        </w:tc>
      </w:tr>
      <w:tr w:rsidR="00C9133A" w:rsidRPr="00C9133A" w14:paraId="1220F76F" w14:textId="77777777" w:rsidTr="00C9133A">
        <w:trPr>
          <w:trHeight w:val="303"/>
          <w:jc w:val="center"/>
        </w:trPr>
        <w:tc>
          <w:tcPr>
            <w:tcW w:w="0" w:type="auto"/>
            <w:shd w:val="clear" w:color="auto" w:fill="6B6BB5"/>
            <w:tcMar>
              <w:top w:w="15" w:type="dxa"/>
              <w:left w:w="15" w:type="dxa"/>
              <w:bottom w:w="0" w:type="dxa"/>
              <w:right w:w="15" w:type="dxa"/>
            </w:tcMar>
            <w:vAlign w:val="center"/>
            <w:hideMark/>
          </w:tcPr>
          <w:p w14:paraId="5C2CDA69" w14:textId="6634428C" w:rsidR="00C9133A" w:rsidRPr="00C9133A" w:rsidRDefault="00C9133A" w:rsidP="00C9133A">
            <w:pPr>
              <w:kinsoku w:val="0"/>
              <w:overflowPunct w:val="0"/>
              <w:spacing w:after="28" w:line="250" w:lineRule="exact"/>
              <w:ind w:left="144"/>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Support ombrage</w:t>
            </w:r>
          </w:p>
        </w:tc>
        <w:tc>
          <w:tcPr>
            <w:tcW w:w="0" w:type="auto"/>
            <w:shd w:val="clear" w:color="auto" w:fill="9090C8"/>
            <w:tcMar>
              <w:top w:w="15" w:type="dxa"/>
              <w:left w:w="15" w:type="dxa"/>
              <w:bottom w:w="0" w:type="dxa"/>
              <w:right w:w="15" w:type="dxa"/>
            </w:tcMar>
            <w:vAlign w:val="center"/>
            <w:hideMark/>
          </w:tcPr>
          <w:p w14:paraId="3FC3C7FC" w14:textId="77777777" w:rsidR="00C9133A" w:rsidRPr="00C9133A" w:rsidRDefault="00C9133A" w:rsidP="00C9133A">
            <w:pPr>
              <w:kinsoku w:val="0"/>
              <w:overflowPunct w:val="0"/>
              <w:spacing w:after="28"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12 gaulettes par planches</w:t>
            </w:r>
          </w:p>
        </w:tc>
        <w:tc>
          <w:tcPr>
            <w:tcW w:w="0" w:type="auto"/>
            <w:shd w:val="clear" w:color="auto" w:fill="B8B8DB"/>
            <w:tcMar>
              <w:top w:w="15" w:type="dxa"/>
              <w:left w:w="15" w:type="dxa"/>
              <w:bottom w:w="0" w:type="dxa"/>
              <w:right w:w="15" w:type="dxa"/>
            </w:tcMar>
            <w:vAlign w:val="center"/>
            <w:hideMark/>
          </w:tcPr>
          <w:p w14:paraId="54DBE038" w14:textId="77777777" w:rsidR="00C9133A" w:rsidRPr="00C9133A" w:rsidRDefault="00C9133A" w:rsidP="00C9133A">
            <w:pPr>
              <w:kinsoku w:val="0"/>
              <w:overflowPunct w:val="0"/>
              <w:spacing w:after="28"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100</w:t>
            </w:r>
          </w:p>
        </w:tc>
        <w:tc>
          <w:tcPr>
            <w:tcW w:w="0" w:type="auto"/>
            <w:shd w:val="clear" w:color="auto" w:fill="B8B8DB"/>
            <w:tcMar>
              <w:top w:w="15" w:type="dxa"/>
              <w:left w:w="15" w:type="dxa"/>
              <w:bottom w:w="0" w:type="dxa"/>
              <w:right w:w="15" w:type="dxa"/>
            </w:tcMar>
            <w:vAlign w:val="center"/>
            <w:hideMark/>
          </w:tcPr>
          <w:p w14:paraId="12359DBC" w14:textId="77777777" w:rsidR="00C9133A" w:rsidRPr="00C9133A" w:rsidRDefault="00C9133A" w:rsidP="00C9133A">
            <w:pPr>
              <w:kinsoku w:val="0"/>
              <w:overflowPunct w:val="0"/>
              <w:spacing w:after="28"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32000</w:t>
            </w:r>
          </w:p>
        </w:tc>
        <w:tc>
          <w:tcPr>
            <w:tcW w:w="0" w:type="auto"/>
            <w:shd w:val="clear" w:color="auto" w:fill="B8B8DB"/>
            <w:tcMar>
              <w:top w:w="15" w:type="dxa"/>
              <w:left w:w="15" w:type="dxa"/>
              <w:bottom w:w="0" w:type="dxa"/>
              <w:right w:w="15" w:type="dxa"/>
            </w:tcMar>
            <w:vAlign w:val="center"/>
            <w:hideMark/>
          </w:tcPr>
          <w:p w14:paraId="2DF10386" w14:textId="77777777" w:rsidR="00C9133A" w:rsidRPr="00C9133A" w:rsidRDefault="00C9133A" w:rsidP="00C9133A">
            <w:pPr>
              <w:kinsoku w:val="0"/>
              <w:overflowPunct w:val="0"/>
              <w:spacing w:after="28"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11</w:t>
            </w:r>
          </w:p>
        </w:tc>
      </w:tr>
      <w:tr w:rsidR="00C9133A" w:rsidRPr="00C9133A" w14:paraId="3C648532" w14:textId="77777777" w:rsidTr="00C9133A">
        <w:trPr>
          <w:trHeight w:val="331"/>
          <w:jc w:val="center"/>
        </w:trPr>
        <w:tc>
          <w:tcPr>
            <w:tcW w:w="0" w:type="auto"/>
            <w:shd w:val="clear" w:color="auto" w:fill="6B6BB5"/>
            <w:tcMar>
              <w:top w:w="15" w:type="dxa"/>
              <w:left w:w="15" w:type="dxa"/>
              <w:bottom w:w="0" w:type="dxa"/>
              <w:right w:w="15" w:type="dxa"/>
            </w:tcMar>
            <w:vAlign w:val="center"/>
            <w:hideMark/>
          </w:tcPr>
          <w:p w14:paraId="15C1294E" w14:textId="11D5EAB9" w:rsidR="00C9133A" w:rsidRPr="00C9133A" w:rsidRDefault="00C9133A" w:rsidP="00C9133A">
            <w:pPr>
              <w:kinsoku w:val="0"/>
              <w:overflowPunct w:val="0"/>
              <w:spacing w:after="15" w:line="255" w:lineRule="exact"/>
              <w:ind w:left="144"/>
              <w:textAlignment w:val="baseline"/>
              <w:rPr>
                <w:rFonts w:ascii="Calibri" w:eastAsia="Times New Roman" w:hAnsi="Calibri" w:cs="Calibri"/>
                <w:lang w:eastAsia="fr-FR"/>
              </w:rPr>
            </w:pPr>
            <w:r w:rsidRPr="00C9133A">
              <w:rPr>
                <w:rFonts w:ascii="Calibri" w:eastAsia="Times New Roman" w:hAnsi="Calibri" w:cs="Calibri"/>
                <w:color w:val="000000"/>
                <w:kern w:val="24"/>
                <w:u w:val="single"/>
                <w:lang w:eastAsia="fr-FR"/>
              </w:rPr>
              <w:t xml:space="preserve">Ombrage </w:t>
            </w:r>
            <w:r w:rsidRPr="00C9133A">
              <w:rPr>
                <w:rFonts w:ascii="Calibri" w:eastAsia="Times New Roman" w:hAnsi="Calibri" w:cs="Calibri"/>
                <w:color w:val="000000"/>
                <w:kern w:val="24"/>
                <w:lang w:eastAsia="fr-FR"/>
              </w:rPr>
              <w:t>typha (joncs) ou phragmite</w:t>
            </w:r>
          </w:p>
        </w:tc>
        <w:tc>
          <w:tcPr>
            <w:tcW w:w="0" w:type="auto"/>
            <w:shd w:val="clear" w:color="auto" w:fill="A4A3CF"/>
            <w:tcMar>
              <w:top w:w="15" w:type="dxa"/>
              <w:left w:w="15" w:type="dxa"/>
              <w:bottom w:w="0" w:type="dxa"/>
              <w:right w:w="15" w:type="dxa"/>
            </w:tcMar>
            <w:vAlign w:val="center"/>
            <w:hideMark/>
          </w:tcPr>
          <w:p w14:paraId="2E5A4FDB" w14:textId="1D6B6ADA" w:rsidR="00C9133A" w:rsidRPr="00C9133A" w:rsidRDefault="00C9133A" w:rsidP="00C9133A">
            <w:pPr>
              <w:kinsoku w:val="0"/>
              <w:overflowPunct w:val="0"/>
              <w:spacing w:after="18" w:line="250" w:lineRule="exact"/>
              <w:ind w:left="1094"/>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Forfait</w:t>
            </w:r>
          </w:p>
        </w:tc>
        <w:tc>
          <w:tcPr>
            <w:tcW w:w="0" w:type="auto"/>
            <w:shd w:val="clear" w:color="auto" w:fill="B8B8DB"/>
            <w:tcMar>
              <w:top w:w="15" w:type="dxa"/>
              <w:left w:w="15" w:type="dxa"/>
              <w:bottom w:w="0" w:type="dxa"/>
              <w:right w:w="15" w:type="dxa"/>
            </w:tcMar>
            <w:vAlign w:val="center"/>
            <w:hideMark/>
          </w:tcPr>
          <w:p w14:paraId="59B65914" w14:textId="77777777" w:rsidR="00C9133A" w:rsidRPr="00C9133A" w:rsidRDefault="00C9133A" w:rsidP="00C9133A">
            <w:pPr>
              <w:spacing w:after="0" w:line="240" w:lineRule="auto"/>
              <w:rPr>
                <w:rFonts w:ascii="Calibri" w:eastAsia="Times New Roman" w:hAnsi="Calibri" w:cs="Calibri"/>
                <w:lang w:eastAsia="fr-FR"/>
              </w:rPr>
            </w:pPr>
          </w:p>
        </w:tc>
        <w:tc>
          <w:tcPr>
            <w:tcW w:w="0" w:type="auto"/>
            <w:shd w:val="clear" w:color="auto" w:fill="B8B8DB"/>
            <w:tcMar>
              <w:top w:w="15" w:type="dxa"/>
              <w:left w:w="15" w:type="dxa"/>
              <w:bottom w:w="0" w:type="dxa"/>
              <w:right w:w="15" w:type="dxa"/>
            </w:tcMar>
            <w:vAlign w:val="center"/>
            <w:hideMark/>
          </w:tcPr>
          <w:p w14:paraId="438429E9" w14:textId="77777777" w:rsidR="00C9133A" w:rsidRPr="00C9133A" w:rsidRDefault="00C9133A" w:rsidP="00C9133A">
            <w:pPr>
              <w:kinsoku w:val="0"/>
              <w:overflowPunct w:val="0"/>
              <w:spacing w:after="18"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50000</w:t>
            </w:r>
          </w:p>
        </w:tc>
        <w:tc>
          <w:tcPr>
            <w:tcW w:w="0" w:type="auto"/>
            <w:shd w:val="clear" w:color="auto" w:fill="CECEE4"/>
            <w:tcMar>
              <w:top w:w="15" w:type="dxa"/>
              <w:left w:w="15" w:type="dxa"/>
              <w:bottom w:w="0" w:type="dxa"/>
              <w:right w:w="15" w:type="dxa"/>
            </w:tcMar>
            <w:vAlign w:val="center"/>
            <w:hideMark/>
          </w:tcPr>
          <w:p w14:paraId="40489AB9" w14:textId="77777777" w:rsidR="00C9133A" w:rsidRPr="00C9133A" w:rsidRDefault="00C9133A" w:rsidP="00C9133A">
            <w:pPr>
              <w:kinsoku w:val="0"/>
              <w:overflowPunct w:val="0"/>
              <w:spacing w:after="18"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17</w:t>
            </w:r>
          </w:p>
        </w:tc>
      </w:tr>
      <w:tr w:rsidR="00C9133A" w:rsidRPr="00C9133A" w14:paraId="666F96ED" w14:textId="77777777" w:rsidTr="00C9133A">
        <w:trPr>
          <w:trHeight w:val="298"/>
          <w:jc w:val="center"/>
        </w:trPr>
        <w:tc>
          <w:tcPr>
            <w:tcW w:w="0" w:type="auto"/>
            <w:shd w:val="clear" w:color="auto" w:fill="6B6BB5"/>
            <w:tcMar>
              <w:top w:w="15" w:type="dxa"/>
              <w:left w:w="15" w:type="dxa"/>
              <w:bottom w:w="0" w:type="dxa"/>
              <w:right w:w="15" w:type="dxa"/>
            </w:tcMar>
            <w:vAlign w:val="center"/>
            <w:hideMark/>
          </w:tcPr>
          <w:p w14:paraId="7756AEC5" w14:textId="7E5E3831" w:rsidR="00C9133A" w:rsidRPr="00C9133A" w:rsidRDefault="00C9133A" w:rsidP="00C9133A">
            <w:pPr>
              <w:kinsoku w:val="0"/>
              <w:overflowPunct w:val="0"/>
              <w:spacing w:after="10" w:line="253" w:lineRule="exact"/>
              <w:ind w:left="144"/>
              <w:textAlignment w:val="baseline"/>
              <w:rPr>
                <w:rFonts w:ascii="Calibri" w:eastAsia="Times New Roman" w:hAnsi="Calibri" w:cs="Calibri"/>
                <w:lang w:eastAsia="fr-FR"/>
              </w:rPr>
            </w:pPr>
            <w:r w:rsidRPr="00C9133A">
              <w:rPr>
                <w:rFonts w:ascii="Calibri" w:eastAsia="Times New Roman" w:hAnsi="Calibri" w:cs="Calibri"/>
                <w:color w:val="000000"/>
                <w:kern w:val="24"/>
                <w:u w:val="single"/>
                <w:lang w:eastAsia="fr-FR"/>
              </w:rPr>
              <w:t>Fumier</w:t>
            </w:r>
          </w:p>
        </w:tc>
        <w:tc>
          <w:tcPr>
            <w:tcW w:w="0" w:type="auto"/>
            <w:shd w:val="clear" w:color="auto" w:fill="A4A3CF"/>
            <w:tcMar>
              <w:top w:w="15" w:type="dxa"/>
              <w:left w:w="15" w:type="dxa"/>
              <w:bottom w:w="0" w:type="dxa"/>
              <w:right w:w="15" w:type="dxa"/>
            </w:tcMar>
            <w:vAlign w:val="center"/>
            <w:hideMark/>
          </w:tcPr>
          <w:p w14:paraId="537BB314" w14:textId="77777777" w:rsidR="00C9133A" w:rsidRPr="00C9133A" w:rsidRDefault="00C9133A" w:rsidP="00C9133A">
            <w:pPr>
              <w:kinsoku w:val="0"/>
              <w:overflowPunct w:val="0"/>
              <w:spacing w:after="13"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10 charrettes</w:t>
            </w:r>
          </w:p>
        </w:tc>
        <w:tc>
          <w:tcPr>
            <w:tcW w:w="0" w:type="auto"/>
            <w:shd w:val="clear" w:color="auto" w:fill="B8B8DB"/>
            <w:tcMar>
              <w:top w:w="15" w:type="dxa"/>
              <w:left w:w="15" w:type="dxa"/>
              <w:bottom w:w="0" w:type="dxa"/>
              <w:right w:w="15" w:type="dxa"/>
            </w:tcMar>
            <w:vAlign w:val="center"/>
            <w:hideMark/>
          </w:tcPr>
          <w:p w14:paraId="4B91D551" w14:textId="77777777" w:rsidR="00C9133A" w:rsidRPr="00C9133A" w:rsidRDefault="00C9133A" w:rsidP="00C9133A">
            <w:pPr>
              <w:kinsoku w:val="0"/>
              <w:overflowPunct w:val="0"/>
              <w:spacing w:after="13"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5000</w:t>
            </w:r>
          </w:p>
        </w:tc>
        <w:tc>
          <w:tcPr>
            <w:tcW w:w="0" w:type="auto"/>
            <w:shd w:val="clear" w:color="auto" w:fill="B8B8DB"/>
            <w:tcMar>
              <w:top w:w="15" w:type="dxa"/>
              <w:left w:w="15" w:type="dxa"/>
              <w:bottom w:w="0" w:type="dxa"/>
              <w:right w:w="15" w:type="dxa"/>
            </w:tcMar>
            <w:vAlign w:val="center"/>
            <w:hideMark/>
          </w:tcPr>
          <w:p w14:paraId="34B1501B" w14:textId="77777777" w:rsidR="00C9133A" w:rsidRPr="00C9133A" w:rsidRDefault="00C9133A" w:rsidP="00C9133A">
            <w:pPr>
              <w:kinsoku w:val="0"/>
              <w:overflowPunct w:val="0"/>
              <w:spacing w:after="13"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50000</w:t>
            </w:r>
          </w:p>
        </w:tc>
        <w:tc>
          <w:tcPr>
            <w:tcW w:w="0" w:type="auto"/>
            <w:shd w:val="clear" w:color="auto" w:fill="CECEE4"/>
            <w:tcMar>
              <w:top w:w="15" w:type="dxa"/>
              <w:left w:w="15" w:type="dxa"/>
              <w:bottom w:w="0" w:type="dxa"/>
              <w:right w:w="15" w:type="dxa"/>
            </w:tcMar>
            <w:vAlign w:val="center"/>
            <w:hideMark/>
          </w:tcPr>
          <w:p w14:paraId="115AE0D2" w14:textId="77777777" w:rsidR="00C9133A" w:rsidRPr="00C9133A" w:rsidRDefault="00C9133A" w:rsidP="00C9133A">
            <w:pPr>
              <w:kinsoku w:val="0"/>
              <w:overflowPunct w:val="0"/>
              <w:spacing w:after="13"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17</w:t>
            </w:r>
          </w:p>
        </w:tc>
      </w:tr>
      <w:tr w:rsidR="00C9133A" w:rsidRPr="00C9133A" w14:paraId="3E2EC567" w14:textId="77777777" w:rsidTr="00C9133A">
        <w:trPr>
          <w:trHeight w:val="305"/>
          <w:jc w:val="center"/>
        </w:trPr>
        <w:tc>
          <w:tcPr>
            <w:tcW w:w="0" w:type="auto"/>
            <w:shd w:val="clear" w:color="auto" w:fill="6B6BB5"/>
            <w:tcMar>
              <w:top w:w="15" w:type="dxa"/>
              <w:left w:w="15" w:type="dxa"/>
              <w:bottom w:w="0" w:type="dxa"/>
              <w:right w:w="15" w:type="dxa"/>
            </w:tcMar>
            <w:vAlign w:val="center"/>
            <w:hideMark/>
          </w:tcPr>
          <w:p w14:paraId="61FDFC9B" w14:textId="02C50B4A" w:rsidR="00C9133A" w:rsidRPr="00C9133A" w:rsidRDefault="00C9133A" w:rsidP="00C9133A">
            <w:pPr>
              <w:kinsoku w:val="0"/>
              <w:overflowPunct w:val="0"/>
              <w:spacing w:after="15" w:line="250" w:lineRule="exact"/>
              <w:ind w:left="144"/>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Argile</w:t>
            </w:r>
          </w:p>
        </w:tc>
        <w:tc>
          <w:tcPr>
            <w:tcW w:w="0" w:type="auto"/>
            <w:shd w:val="clear" w:color="auto" w:fill="A4A3CF"/>
            <w:tcMar>
              <w:top w:w="15" w:type="dxa"/>
              <w:left w:w="15" w:type="dxa"/>
              <w:bottom w:w="0" w:type="dxa"/>
              <w:right w:w="15" w:type="dxa"/>
            </w:tcMar>
            <w:vAlign w:val="center"/>
            <w:hideMark/>
          </w:tcPr>
          <w:p w14:paraId="67D09F79" w14:textId="77777777" w:rsidR="00C9133A" w:rsidRPr="00C9133A" w:rsidRDefault="00C9133A" w:rsidP="00C9133A">
            <w:pPr>
              <w:kinsoku w:val="0"/>
              <w:overflowPunct w:val="0"/>
              <w:spacing w:after="15"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10 charrettes</w:t>
            </w:r>
          </w:p>
        </w:tc>
        <w:tc>
          <w:tcPr>
            <w:tcW w:w="0" w:type="auto"/>
            <w:shd w:val="clear" w:color="auto" w:fill="B8B8DB"/>
            <w:tcMar>
              <w:top w:w="15" w:type="dxa"/>
              <w:left w:w="15" w:type="dxa"/>
              <w:bottom w:w="0" w:type="dxa"/>
              <w:right w:w="15" w:type="dxa"/>
            </w:tcMar>
            <w:vAlign w:val="center"/>
            <w:hideMark/>
          </w:tcPr>
          <w:p w14:paraId="4982C4A4" w14:textId="77777777" w:rsidR="00C9133A" w:rsidRPr="00C9133A" w:rsidRDefault="00C9133A" w:rsidP="00C9133A">
            <w:pPr>
              <w:kinsoku w:val="0"/>
              <w:overflowPunct w:val="0"/>
              <w:spacing w:after="15"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5000</w:t>
            </w:r>
          </w:p>
        </w:tc>
        <w:tc>
          <w:tcPr>
            <w:tcW w:w="0" w:type="auto"/>
            <w:shd w:val="clear" w:color="auto" w:fill="CECEE4"/>
            <w:tcMar>
              <w:top w:w="15" w:type="dxa"/>
              <w:left w:w="15" w:type="dxa"/>
              <w:bottom w:w="0" w:type="dxa"/>
              <w:right w:w="15" w:type="dxa"/>
            </w:tcMar>
            <w:vAlign w:val="center"/>
            <w:hideMark/>
          </w:tcPr>
          <w:p w14:paraId="38BE9FB2" w14:textId="77777777" w:rsidR="00C9133A" w:rsidRPr="00C9133A" w:rsidRDefault="00C9133A" w:rsidP="00C9133A">
            <w:pPr>
              <w:kinsoku w:val="0"/>
              <w:overflowPunct w:val="0"/>
              <w:spacing w:after="15"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50000</w:t>
            </w:r>
          </w:p>
        </w:tc>
        <w:tc>
          <w:tcPr>
            <w:tcW w:w="0" w:type="auto"/>
            <w:shd w:val="clear" w:color="auto" w:fill="CECEE4"/>
            <w:tcMar>
              <w:top w:w="15" w:type="dxa"/>
              <w:left w:w="15" w:type="dxa"/>
              <w:bottom w:w="0" w:type="dxa"/>
              <w:right w:w="15" w:type="dxa"/>
            </w:tcMar>
            <w:vAlign w:val="center"/>
            <w:hideMark/>
          </w:tcPr>
          <w:p w14:paraId="04013A85" w14:textId="77777777" w:rsidR="00C9133A" w:rsidRPr="00C9133A" w:rsidRDefault="00C9133A" w:rsidP="00C9133A">
            <w:pPr>
              <w:kinsoku w:val="0"/>
              <w:overflowPunct w:val="0"/>
              <w:spacing w:after="15"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17</w:t>
            </w:r>
          </w:p>
        </w:tc>
      </w:tr>
      <w:tr w:rsidR="00C9133A" w:rsidRPr="00C9133A" w14:paraId="47415542" w14:textId="77777777" w:rsidTr="00C9133A">
        <w:trPr>
          <w:trHeight w:val="331"/>
          <w:jc w:val="center"/>
        </w:trPr>
        <w:tc>
          <w:tcPr>
            <w:tcW w:w="0" w:type="auto"/>
            <w:shd w:val="clear" w:color="auto" w:fill="8180BF"/>
            <w:tcMar>
              <w:top w:w="15" w:type="dxa"/>
              <w:left w:w="15" w:type="dxa"/>
              <w:bottom w:w="0" w:type="dxa"/>
              <w:right w:w="15" w:type="dxa"/>
            </w:tcMar>
            <w:vAlign w:val="center"/>
            <w:hideMark/>
          </w:tcPr>
          <w:p w14:paraId="2357C607" w14:textId="57CE863B" w:rsidR="00C9133A" w:rsidRPr="00C9133A" w:rsidRDefault="00C9133A" w:rsidP="00C9133A">
            <w:pPr>
              <w:kinsoku w:val="0"/>
              <w:overflowPunct w:val="0"/>
              <w:spacing w:after="10" w:line="253" w:lineRule="exact"/>
              <w:ind w:left="144"/>
              <w:textAlignment w:val="baseline"/>
              <w:rPr>
                <w:rFonts w:ascii="Calibri" w:eastAsia="Times New Roman" w:hAnsi="Calibri" w:cs="Calibri"/>
                <w:lang w:eastAsia="fr-FR"/>
              </w:rPr>
            </w:pPr>
            <w:r w:rsidRPr="00C9133A">
              <w:rPr>
                <w:rFonts w:ascii="Calibri" w:eastAsia="Times New Roman" w:hAnsi="Calibri" w:cs="Calibri"/>
                <w:color w:val="000000"/>
                <w:kern w:val="24"/>
                <w:u w:val="single"/>
                <w:lang w:eastAsia="fr-FR"/>
              </w:rPr>
              <w:t>Ramassage</w:t>
            </w:r>
            <w:r w:rsidRPr="00C9133A">
              <w:rPr>
                <w:rFonts w:ascii="Calibri" w:eastAsia="Times New Roman" w:hAnsi="Calibri" w:cs="Calibri"/>
                <w:color w:val="000000"/>
                <w:kern w:val="24"/>
                <w:lang w:eastAsia="fr-FR"/>
              </w:rPr>
              <w:t xml:space="preserve"> graines (50 à 30000 Ar/kapok)</w:t>
            </w:r>
          </w:p>
        </w:tc>
        <w:tc>
          <w:tcPr>
            <w:tcW w:w="0" w:type="auto"/>
            <w:shd w:val="clear" w:color="auto" w:fill="A4A3CF"/>
            <w:tcMar>
              <w:top w:w="15" w:type="dxa"/>
              <w:left w:w="15" w:type="dxa"/>
              <w:bottom w:w="0" w:type="dxa"/>
              <w:right w:w="15" w:type="dxa"/>
            </w:tcMar>
            <w:vAlign w:val="center"/>
            <w:hideMark/>
          </w:tcPr>
          <w:p w14:paraId="7954CA90" w14:textId="77777777" w:rsidR="00C9133A" w:rsidRPr="00C9133A" w:rsidRDefault="00C9133A" w:rsidP="00C9133A">
            <w:pPr>
              <w:kinsoku w:val="0"/>
              <w:overflowPunct w:val="0"/>
              <w:spacing w:after="23"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20 espèces (500 par espèce)</w:t>
            </w:r>
          </w:p>
        </w:tc>
        <w:tc>
          <w:tcPr>
            <w:tcW w:w="0" w:type="auto"/>
            <w:shd w:val="clear" w:color="auto" w:fill="B8B8DB"/>
            <w:tcMar>
              <w:top w:w="15" w:type="dxa"/>
              <w:left w:w="15" w:type="dxa"/>
              <w:bottom w:w="0" w:type="dxa"/>
              <w:right w:w="15" w:type="dxa"/>
            </w:tcMar>
            <w:vAlign w:val="center"/>
            <w:hideMark/>
          </w:tcPr>
          <w:p w14:paraId="44EBF637" w14:textId="77777777" w:rsidR="00C9133A" w:rsidRPr="00C9133A" w:rsidRDefault="00C9133A" w:rsidP="00C9133A">
            <w:pPr>
              <w:spacing w:after="0" w:line="240" w:lineRule="auto"/>
              <w:rPr>
                <w:rFonts w:ascii="Calibri" w:eastAsia="Times New Roman" w:hAnsi="Calibri" w:cs="Calibri"/>
                <w:lang w:eastAsia="fr-FR"/>
              </w:rPr>
            </w:pPr>
          </w:p>
        </w:tc>
        <w:tc>
          <w:tcPr>
            <w:tcW w:w="0" w:type="auto"/>
            <w:shd w:val="clear" w:color="auto" w:fill="CECEE4"/>
            <w:tcMar>
              <w:top w:w="15" w:type="dxa"/>
              <w:left w:w="15" w:type="dxa"/>
              <w:bottom w:w="0" w:type="dxa"/>
              <w:right w:w="15" w:type="dxa"/>
            </w:tcMar>
            <w:vAlign w:val="center"/>
            <w:hideMark/>
          </w:tcPr>
          <w:p w14:paraId="2B517838" w14:textId="77777777" w:rsidR="00C9133A" w:rsidRPr="00C9133A" w:rsidRDefault="00C9133A" w:rsidP="00C9133A">
            <w:pPr>
              <w:kinsoku w:val="0"/>
              <w:overflowPunct w:val="0"/>
              <w:spacing w:after="23"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200000</w:t>
            </w:r>
          </w:p>
        </w:tc>
        <w:tc>
          <w:tcPr>
            <w:tcW w:w="0" w:type="auto"/>
            <w:shd w:val="clear" w:color="auto" w:fill="DEDDEB"/>
            <w:tcMar>
              <w:top w:w="15" w:type="dxa"/>
              <w:left w:w="15" w:type="dxa"/>
              <w:bottom w:w="0" w:type="dxa"/>
              <w:right w:w="15" w:type="dxa"/>
            </w:tcMar>
            <w:vAlign w:val="center"/>
            <w:hideMark/>
          </w:tcPr>
          <w:p w14:paraId="6F7DC6D2" w14:textId="77777777" w:rsidR="00C9133A" w:rsidRPr="00C9133A" w:rsidRDefault="00C9133A" w:rsidP="00C9133A">
            <w:pPr>
              <w:kinsoku w:val="0"/>
              <w:overflowPunct w:val="0"/>
              <w:spacing w:after="23"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69</w:t>
            </w:r>
          </w:p>
        </w:tc>
      </w:tr>
      <w:tr w:rsidR="00C9133A" w:rsidRPr="00C9133A" w14:paraId="0DFA73D3" w14:textId="77777777" w:rsidTr="00C9133A">
        <w:trPr>
          <w:trHeight w:val="295"/>
          <w:jc w:val="center"/>
        </w:trPr>
        <w:tc>
          <w:tcPr>
            <w:tcW w:w="0" w:type="auto"/>
            <w:shd w:val="clear" w:color="auto" w:fill="8180BF"/>
            <w:tcMar>
              <w:top w:w="15" w:type="dxa"/>
              <w:left w:w="15" w:type="dxa"/>
              <w:bottom w:w="0" w:type="dxa"/>
              <w:right w:w="15" w:type="dxa"/>
            </w:tcMar>
            <w:vAlign w:val="center"/>
            <w:hideMark/>
          </w:tcPr>
          <w:p w14:paraId="30709F44" w14:textId="0EEC2B40" w:rsidR="00C9133A" w:rsidRPr="00C9133A" w:rsidRDefault="00C9133A" w:rsidP="00C9133A">
            <w:pPr>
              <w:kinsoku w:val="0"/>
              <w:overflowPunct w:val="0"/>
              <w:spacing w:after="25" w:line="250" w:lineRule="exact"/>
              <w:ind w:left="144"/>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Salaires pépiniéristes x 7 mois</w:t>
            </w:r>
          </w:p>
        </w:tc>
        <w:tc>
          <w:tcPr>
            <w:tcW w:w="0" w:type="auto"/>
            <w:shd w:val="clear" w:color="auto" w:fill="A4A3CF"/>
            <w:tcMar>
              <w:top w:w="15" w:type="dxa"/>
              <w:left w:w="15" w:type="dxa"/>
              <w:bottom w:w="0" w:type="dxa"/>
              <w:right w:w="15" w:type="dxa"/>
            </w:tcMar>
            <w:vAlign w:val="center"/>
            <w:hideMark/>
          </w:tcPr>
          <w:p w14:paraId="6B9AC8D2" w14:textId="77777777" w:rsidR="00C9133A" w:rsidRPr="00C9133A" w:rsidRDefault="00C9133A" w:rsidP="00C9133A">
            <w:pPr>
              <w:kinsoku w:val="0"/>
              <w:overflowPunct w:val="0"/>
              <w:spacing w:after="25" w:line="250" w:lineRule="exact"/>
              <w:ind w:left="1282"/>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2</w:t>
            </w:r>
          </w:p>
        </w:tc>
        <w:tc>
          <w:tcPr>
            <w:tcW w:w="0" w:type="auto"/>
            <w:shd w:val="clear" w:color="auto" w:fill="B8B8DB"/>
            <w:tcMar>
              <w:top w:w="15" w:type="dxa"/>
              <w:left w:w="15" w:type="dxa"/>
              <w:bottom w:w="0" w:type="dxa"/>
              <w:right w:w="15" w:type="dxa"/>
            </w:tcMar>
            <w:vAlign w:val="center"/>
            <w:hideMark/>
          </w:tcPr>
          <w:p w14:paraId="2C170751" w14:textId="77777777" w:rsidR="00C9133A" w:rsidRPr="00C9133A" w:rsidRDefault="00C9133A" w:rsidP="00C9133A">
            <w:pPr>
              <w:kinsoku w:val="0"/>
              <w:overflowPunct w:val="0"/>
              <w:spacing w:after="25"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60000</w:t>
            </w:r>
          </w:p>
        </w:tc>
        <w:tc>
          <w:tcPr>
            <w:tcW w:w="0" w:type="auto"/>
            <w:shd w:val="clear" w:color="auto" w:fill="CECEE4"/>
            <w:tcMar>
              <w:top w:w="15" w:type="dxa"/>
              <w:left w:w="15" w:type="dxa"/>
              <w:bottom w:w="0" w:type="dxa"/>
              <w:right w:w="15" w:type="dxa"/>
            </w:tcMar>
            <w:vAlign w:val="center"/>
            <w:hideMark/>
          </w:tcPr>
          <w:p w14:paraId="0A807EFA" w14:textId="77777777" w:rsidR="00C9133A" w:rsidRPr="00C9133A" w:rsidRDefault="00C9133A" w:rsidP="00C9133A">
            <w:pPr>
              <w:kinsoku w:val="0"/>
              <w:overflowPunct w:val="0"/>
              <w:spacing w:after="25"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840000</w:t>
            </w:r>
          </w:p>
        </w:tc>
        <w:tc>
          <w:tcPr>
            <w:tcW w:w="0" w:type="auto"/>
            <w:shd w:val="clear" w:color="auto" w:fill="DEDDEB"/>
            <w:tcMar>
              <w:top w:w="15" w:type="dxa"/>
              <w:left w:w="15" w:type="dxa"/>
              <w:bottom w:w="0" w:type="dxa"/>
              <w:right w:w="15" w:type="dxa"/>
            </w:tcMar>
            <w:vAlign w:val="center"/>
            <w:hideMark/>
          </w:tcPr>
          <w:p w14:paraId="7E93FA68" w14:textId="77777777" w:rsidR="00C9133A" w:rsidRPr="00C9133A" w:rsidRDefault="00C9133A" w:rsidP="00C9133A">
            <w:pPr>
              <w:kinsoku w:val="0"/>
              <w:overflowPunct w:val="0"/>
              <w:spacing w:after="25"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290</w:t>
            </w:r>
          </w:p>
        </w:tc>
      </w:tr>
      <w:tr w:rsidR="00C9133A" w:rsidRPr="00C9133A" w14:paraId="12E4CB2C" w14:textId="77777777" w:rsidTr="00C9133A">
        <w:trPr>
          <w:trHeight w:val="331"/>
          <w:jc w:val="center"/>
        </w:trPr>
        <w:tc>
          <w:tcPr>
            <w:tcW w:w="0" w:type="auto"/>
            <w:shd w:val="clear" w:color="auto" w:fill="8180BF"/>
            <w:tcMar>
              <w:top w:w="15" w:type="dxa"/>
              <w:left w:w="15" w:type="dxa"/>
              <w:bottom w:w="0" w:type="dxa"/>
              <w:right w:w="15" w:type="dxa"/>
            </w:tcMar>
            <w:vAlign w:val="center"/>
            <w:hideMark/>
          </w:tcPr>
          <w:p w14:paraId="5C3A2BDC" w14:textId="6B1C62B6" w:rsidR="00C9133A" w:rsidRPr="00C9133A" w:rsidRDefault="00C9133A" w:rsidP="00C9133A">
            <w:pPr>
              <w:kinsoku w:val="0"/>
              <w:overflowPunct w:val="0"/>
              <w:spacing w:after="33" w:line="250" w:lineRule="exact"/>
              <w:ind w:left="144"/>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lastRenderedPageBreak/>
              <w:t>Sous total</w:t>
            </w:r>
          </w:p>
        </w:tc>
        <w:tc>
          <w:tcPr>
            <w:tcW w:w="0" w:type="auto"/>
            <w:shd w:val="clear" w:color="auto" w:fill="B8B8DB"/>
            <w:tcMar>
              <w:top w:w="15" w:type="dxa"/>
              <w:left w:w="15" w:type="dxa"/>
              <w:bottom w:w="0" w:type="dxa"/>
              <w:right w:w="15" w:type="dxa"/>
            </w:tcMar>
            <w:vAlign w:val="center"/>
            <w:hideMark/>
          </w:tcPr>
          <w:p w14:paraId="3EB17854" w14:textId="77777777" w:rsidR="00C9133A" w:rsidRPr="00C9133A" w:rsidRDefault="00C9133A" w:rsidP="00C9133A">
            <w:pPr>
              <w:spacing w:after="0" w:line="240" w:lineRule="auto"/>
              <w:rPr>
                <w:rFonts w:ascii="Calibri" w:eastAsia="Times New Roman" w:hAnsi="Calibri" w:cs="Calibri"/>
                <w:lang w:eastAsia="fr-FR"/>
              </w:rPr>
            </w:pPr>
          </w:p>
        </w:tc>
        <w:tc>
          <w:tcPr>
            <w:tcW w:w="0" w:type="auto"/>
            <w:shd w:val="clear" w:color="auto" w:fill="CECEE4"/>
            <w:tcMar>
              <w:top w:w="15" w:type="dxa"/>
              <w:left w:w="15" w:type="dxa"/>
              <w:bottom w:w="0" w:type="dxa"/>
              <w:right w:w="15" w:type="dxa"/>
            </w:tcMar>
            <w:vAlign w:val="center"/>
            <w:hideMark/>
          </w:tcPr>
          <w:p w14:paraId="39620D73" w14:textId="77777777" w:rsidR="00C9133A" w:rsidRPr="00C9133A" w:rsidRDefault="00C9133A" w:rsidP="00C9133A">
            <w:pPr>
              <w:spacing w:after="0" w:line="240" w:lineRule="auto"/>
              <w:rPr>
                <w:rFonts w:ascii="Calibri" w:eastAsia="Times New Roman" w:hAnsi="Calibri" w:cs="Calibri"/>
                <w:lang w:eastAsia="fr-FR"/>
              </w:rPr>
            </w:pPr>
          </w:p>
        </w:tc>
        <w:tc>
          <w:tcPr>
            <w:tcW w:w="0" w:type="auto"/>
            <w:shd w:val="clear" w:color="auto" w:fill="CECEE4"/>
            <w:tcMar>
              <w:top w:w="15" w:type="dxa"/>
              <w:left w:w="15" w:type="dxa"/>
              <w:bottom w:w="0" w:type="dxa"/>
              <w:right w:w="15" w:type="dxa"/>
            </w:tcMar>
            <w:vAlign w:val="center"/>
            <w:hideMark/>
          </w:tcPr>
          <w:p w14:paraId="01AAD3F1" w14:textId="77777777" w:rsidR="00C9133A" w:rsidRPr="00C9133A" w:rsidRDefault="00C9133A" w:rsidP="00C9133A">
            <w:pPr>
              <w:kinsoku w:val="0"/>
              <w:overflowPunct w:val="0"/>
              <w:spacing w:after="33"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1818500</w:t>
            </w:r>
          </w:p>
        </w:tc>
        <w:tc>
          <w:tcPr>
            <w:tcW w:w="0" w:type="auto"/>
            <w:shd w:val="clear" w:color="auto" w:fill="CECEE4"/>
            <w:tcMar>
              <w:top w:w="15" w:type="dxa"/>
              <w:left w:w="15" w:type="dxa"/>
              <w:bottom w:w="0" w:type="dxa"/>
              <w:right w:w="15" w:type="dxa"/>
            </w:tcMar>
            <w:vAlign w:val="center"/>
            <w:hideMark/>
          </w:tcPr>
          <w:p w14:paraId="11916BE4" w14:textId="77777777" w:rsidR="00C9133A" w:rsidRPr="00C9133A" w:rsidRDefault="00C9133A" w:rsidP="00C9133A">
            <w:pPr>
              <w:kinsoku w:val="0"/>
              <w:overflowPunct w:val="0"/>
              <w:spacing w:after="33"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627</w:t>
            </w:r>
          </w:p>
        </w:tc>
      </w:tr>
      <w:tr w:rsidR="00C9133A" w:rsidRPr="00C9133A" w14:paraId="2ADEC65E" w14:textId="77777777" w:rsidTr="00C9133A">
        <w:trPr>
          <w:trHeight w:val="331"/>
          <w:jc w:val="center"/>
        </w:trPr>
        <w:tc>
          <w:tcPr>
            <w:tcW w:w="0" w:type="auto"/>
            <w:shd w:val="clear" w:color="auto" w:fill="8180BF"/>
            <w:tcMar>
              <w:top w:w="15" w:type="dxa"/>
              <w:left w:w="15" w:type="dxa"/>
              <w:bottom w:w="0" w:type="dxa"/>
              <w:right w:w="15" w:type="dxa"/>
            </w:tcMar>
            <w:vAlign w:val="center"/>
            <w:hideMark/>
          </w:tcPr>
          <w:p w14:paraId="6E530A15" w14:textId="77777777" w:rsidR="00C9133A" w:rsidRPr="00C9133A" w:rsidRDefault="00C9133A" w:rsidP="00C9133A">
            <w:pPr>
              <w:kinsoku w:val="0"/>
              <w:overflowPunct w:val="0"/>
              <w:spacing w:after="23" w:line="250" w:lineRule="exact"/>
              <w:ind w:left="144"/>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Supervision association Projecteur (30%)</w:t>
            </w:r>
          </w:p>
        </w:tc>
        <w:tc>
          <w:tcPr>
            <w:tcW w:w="0" w:type="auto"/>
            <w:shd w:val="clear" w:color="auto" w:fill="B8B8DB"/>
            <w:tcMar>
              <w:top w:w="15" w:type="dxa"/>
              <w:left w:w="15" w:type="dxa"/>
              <w:bottom w:w="0" w:type="dxa"/>
              <w:right w:w="15" w:type="dxa"/>
            </w:tcMar>
            <w:vAlign w:val="center"/>
            <w:hideMark/>
          </w:tcPr>
          <w:p w14:paraId="02B6C331" w14:textId="77777777" w:rsidR="00C9133A" w:rsidRPr="00C9133A" w:rsidRDefault="00C9133A" w:rsidP="00C9133A">
            <w:pPr>
              <w:spacing w:after="0" w:line="240" w:lineRule="auto"/>
              <w:rPr>
                <w:rFonts w:ascii="Calibri" w:eastAsia="Times New Roman" w:hAnsi="Calibri" w:cs="Calibri"/>
                <w:lang w:eastAsia="fr-FR"/>
              </w:rPr>
            </w:pPr>
          </w:p>
        </w:tc>
        <w:tc>
          <w:tcPr>
            <w:tcW w:w="0" w:type="auto"/>
            <w:shd w:val="clear" w:color="auto" w:fill="CECEE4"/>
            <w:tcMar>
              <w:top w:w="15" w:type="dxa"/>
              <w:left w:w="15" w:type="dxa"/>
              <w:bottom w:w="0" w:type="dxa"/>
              <w:right w:w="15" w:type="dxa"/>
            </w:tcMar>
            <w:vAlign w:val="center"/>
            <w:hideMark/>
          </w:tcPr>
          <w:p w14:paraId="386AD025" w14:textId="77777777" w:rsidR="00C9133A" w:rsidRPr="00C9133A" w:rsidRDefault="00C9133A" w:rsidP="00C9133A">
            <w:pPr>
              <w:spacing w:after="0" w:line="240" w:lineRule="auto"/>
              <w:rPr>
                <w:rFonts w:ascii="Calibri" w:eastAsia="Times New Roman" w:hAnsi="Calibri" w:cs="Calibri"/>
                <w:lang w:eastAsia="fr-FR"/>
              </w:rPr>
            </w:pPr>
          </w:p>
        </w:tc>
        <w:tc>
          <w:tcPr>
            <w:tcW w:w="0" w:type="auto"/>
            <w:shd w:val="clear" w:color="auto" w:fill="DEDDEB"/>
            <w:tcMar>
              <w:top w:w="15" w:type="dxa"/>
              <w:left w:w="15" w:type="dxa"/>
              <w:bottom w:w="0" w:type="dxa"/>
              <w:right w:w="15" w:type="dxa"/>
            </w:tcMar>
            <w:vAlign w:val="center"/>
            <w:hideMark/>
          </w:tcPr>
          <w:p w14:paraId="74BFEEC3" w14:textId="77777777" w:rsidR="00C9133A" w:rsidRPr="00C9133A" w:rsidRDefault="00C9133A" w:rsidP="00C9133A">
            <w:pPr>
              <w:kinsoku w:val="0"/>
              <w:overflowPunct w:val="0"/>
              <w:spacing w:after="23"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545550</w:t>
            </w:r>
          </w:p>
        </w:tc>
        <w:tc>
          <w:tcPr>
            <w:tcW w:w="0" w:type="auto"/>
            <w:shd w:val="clear" w:color="auto" w:fill="DEDDEB"/>
            <w:tcMar>
              <w:top w:w="15" w:type="dxa"/>
              <w:left w:w="15" w:type="dxa"/>
              <w:bottom w:w="0" w:type="dxa"/>
              <w:right w:w="15" w:type="dxa"/>
            </w:tcMar>
            <w:vAlign w:val="center"/>
            <w:hideMark/>
          </w:tcPr>
          <w:p w14:paraId="02379F16" w14:textId="77777777" w:rsidR="00C9133A" w:rsidRPr="00C9133A" w:rsidRDefault="00C9133A" w:rsidP="00C9133A">
            <w:pPr>
              <w:kinsoku w:val="0"/>
              <w:overflowPunct w:val="0"/>
              <w:spacing w:after="23"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188</w:t>
            </w:r>
          </w:p>
        </w:tc>
      </w:tr>
      <w:tr w:rsidR="00C9133A" w:rsidRPr="00C9133A" w14:paraId="7506D446" w14:textId="77777777" w:rsidTr="00C9133A">
        <w:trPr>
          <w:trHeight w:val="331"/>
          <w:jc w:val="center"/>
        </w:trPr>
        <w:tc>
          <w:tcPr>
            <w:tcW w:w="0" w:type="auto"/>
            <w:shd w:val="clear" w:color="auto" w:fill="9090C8"/>
            <w:tcMar>
              <w:top w:w="15" w:type="dxa"/>
              <w:left w:w="15" w:type="dxa"/>
              <w:bottom w:w="0" w:type="dxa"/>
              <w:right w:w="15" w:type="dxa"/>
            </w:tcMar>
            <w:vAlign w:val="center"/>
            <w:hideMark/>
          </w:tcPr>
          <w:p w14:paraId="3F6CC08B" w14:textId="77777777" w:rsidR="00C9133A" w:rsidRPr="00C9133A" w:rsidRDefault="00C9133A" w:rsidP="00C9133A">
            <w:pPr>
              <w:kinsoku w:val="0"/>
              <w:overflowPunct w:val="0"/>
              <w:spacing w:after="25" w:line="250" w:lineRule="exact"/>
              <w:ind w:left="144"/>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Total</w:t>
            </w:r>
          </w:p>
        </w:tc>
        <w:tc>
          <w:tcPr>
            <w:tcW w:w="0" w:type="auto"/>
            <w:shd w:val="clear" w:color="auto" w:fill="B8B8DB"/>
            <w:tcMar>
              <w:top w:w="15" w:type="dxa"/>
              <w:left w:w="15" w:type="dxa"/>
              <w:bottom w:w="0" w:type="dxa"/>
              <w:right w:w="15" w:type="dxa"/>
            </w:tcMar>
            <w:vAlign w:val="center"/>
            <w:hideMark/>
          </w:tcPr>
          <w:p w14:paraId="4A236E69" w14:textId="77777777" w:rsidR="00C9133A" w:rsidRPr="00C9133A" w:rsidRDefault="00C9133A" w:rsidP="00C9133A">
            <w:pPr>
              <w:spacing w:after="0" w:line="240" w:lineRule="auto"/>
              <w:rPr>
                <w:rFonts w:ascii="Calibri" w:eastAsia="Times New Roman" w:hAnsi="Calibri" w:cs="Calibri"/>
                <w:lang w:eastAsia="fr-FR"/>
              </w:rPr>
            </w:pPr>
          </w:p>
        </w:tc>
        <w:tc>
          <w:tcPr>
            <w:tcW w:w="0" w:type="auto"/>
            <w:shd w:val="clear" w:color="auto" w:fill="CECEE4"/>
            <w:tcMar>
              <w:top w:w="15" w:type="dxa"/>
              <w:left w:w="15" w:type="dxa"/>
              <w:bottom w:w="0" w:type="dxa"/>
              <w:right w:w="15" w:type="dxa"/>
            </w:tcMar>
            <w:vAlign w:val="center"/>
            <w:hideMark/>
          </w:tcPr>
          <w:p w14:paraId="4C4F8AC9" w14:textId="77777777" w:rsidR="00C9133A" w:rsidRPr="00C9133A" w:rsidRDefault="00C9133A" w:rsidP="00C9133A">
            <w:pPr>
              <w:spacing w:after="0" w:line="240" w:lineRule="auto"/>
              <w:rPr>
                <w:rFonts w:ascii="Calibri" w:eastAsia="Times New Roman" w:hAnsi="Calibri" w:cs="Calibri"/>
                <w:lang w:eastAsia="fr-FR"/>
              </w:rPr>
            </w:pPr>
          </w:p>
        </w:tc>
        <w:tc>
          <w:tcPr>
            <w:tcW w:w="0" w:type="auto"/>
            <w:shd w:val="clear" w:color="auto" w:fill="DEDDEB"/>
            <w:tcMar>
              <w:top w:w="15" w:type="dxa"/>
              <w:left w:w="15" w:type="dxa"/>
              <w:bottom w:w="0" w:type="dxa"/>
              <w:right w:w="15" w:type="dxa"/>
            </w:tcMar>
            <w:vAlign w:val="center"/>
            <w:hideMark/>
          </w:tcPr>
          <w:p w14:paraId="228C164A" w14:textId="77777777" w:rsidR="00C9133A" w:rsidRPr="00C9133A" w:rsidRDefault="00C9133A" w:rsidP="00C9133A">
            <w:pPr>
              <w:kinsoku w:val="0"/>
              <w:overflowPunct w:val="0"/>
              <w:spacing w:after="25"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2364050</w:t>
            </w:r>
          </w:p>
        </w:tc>
        <w:tc>
          <w:tcPr>
            <w:tcW w:w="0" w:type="auto"/>
            <w:shd w:val="clear" w:color="auto" w:fill="DEDDEB"/>
            <w:tcMar>
              <w:top w:w="15" w:type="dxa"/>
              <w:left w:w="15" w:type="dxa"/>
              <w:bottom w:w="0" w:type="dxa"/>
              <w:right w:w="15" w:type="dxa"/>
            </w:tcMar>
            <w:vAlign w:val="center"/>
            <w:hideMark/>
          </w:tcPr>
          <w:p w14:paraId="733FE37B" w14:textId="77777777" w:rsidR="00C9133A" w:rsidRPr="00C9133A" w:rsidRDefault="00C9133A" w:rsidP="00C9133A">
            <w:pPr>
              <w:kinsoku w:val="0"/>
              <w:overflowPunct w:val="0"/>
              <w:spacing w:after="25"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815</w:t>
            </w:r>
          </w:p>
        </w:tc>
      </w:tr>
    </w:tbl>
    <w:p w14:paraId="72570572" w14:textId="77777777" w:rsidR="00C9133A" w:rsidRDefault="00C9133A" w:rsidP="009C2506">
      <w:pPr>
        <w:spacing w:after="0" w:line="240" w:lineRule="auto"/>
        <w:jc w:val="both"/>
      </w:pPr>
    </w:p>
    <w:p w14:paraId="08C5A651" w14:textId="444FE7A9" w:rsidR="00C9133A" w:rsidRDefault="0096728C" w:rsidP="0096728C">
      <w:pPr>
        <w:pStyle w:val="Titre2"/>
      </w:pPr>
      <w:bookmarkStart w:id="262" w:name="_Toc139181553"/>
      <w:r w:rsidRPr="0096728C">
        <w:t>Construction de la pépinière</w:t>
      </w:r>
      <w:bookmarkEnd w:id="262"/>
    </w:p>
    <w:p w14:paraId="622FFDCE" w14:textId="487714DD" w:rsidR="0096728C" w:rsidRDefault="0096728C" w:rsidP="009C2506">
      <w:pPr>
        <w:spacing w:after="0" w:line="240" w:lineRule="auto"/>
        <w:jc w:val="both"/>
      </w:pPr>
    </w:p>
    <w:p w14:paraId="21765774" w14:textId="4649C7F0" w:rsidR="0096728C" w:rsidRPr="0096728C" w:rsidRDefault="0096728C" w:rsidP="0096728C">
      <w:pPr>
        <w:spacing w:after="0" w:line="240" w:lineRule="auto"/>
        <w:jc w:val="both"/>
      </w:pPr>
      <w:r w:rsidRPr="0096728C">
        <w:t>Quel</w:t>
      </w:r>
      <w:r>
        <w:t>le</w:t>
      </w:r>
      <w:r w:rsidRPr="0096728C">
        <w:t xml:space="preserve"> que soit la technique choisie, il faut toujours une pépinière munie d’un hangar qui protègera les futurs plants contre les intempéries. </w:t>
      </w:r>
    </w:p>
    <w:p w14:paraId="5405CF7C" w14:textId="77777777" w:rsidR="0096728C" w:rsidRPr="0096728C" w:rsidRDefault="0096728C" w:rsidP="0096728C">
      <w:pPr>
        <w:spacing w:after="0" w:line="240" w:lineRule="auto"/>
        <w:jc w:val="both"/>
      </w:pPr>
      <w:r w:rsidRPr="0096728C">
        <w:t xml:space="preserve">Le site choisi pour abriter cette pépinière doit être accessible, le relief ne doit pas être accidenté, il doit être le plus proche possible de la zone d’écoulement des plants (point de vente, plantation), il doit être le plus proche possible d’une source d’eau permanente. </w:t>
      </w:r>
    </w:p>
    <w:p w14:paraId="7DF5B9C9" w14:textId="036F4320" w:rsidR="0096728C" w:rsidRPr="0096728C" w:rsidRDefault="0096728C" w:rsidP="0096728C">
      <w:pPr>
        <w:spacing w:after="0" w:line="240" w:lineRule="auto"/>
        <w:jc w:val="both"/>
      </w:pPr>
      <w:r w:rsidRPr="0096728C">
        <w:t>La pépinière doit être clôturée, de préférence en haie vive afin de réduire les coûts et d’accroître la durabilité) pour éviter la destruction par les animaux (l’utilisation d’</w:t>
      </w:r>
      <w:r w:rsidRPr="0096728C">
        <w:rPr>
          <w:i/>
          <w:iCs/>
        </w:rPr>
        <w:t xml:space="preserve">Acacia nilotica </w:t>
      </w:r>
      <w:r w:rsidRPr="0096728C">
        <w:t xml:space="preserve">est régulière). </w:t>
      </w:r>
    </w:p>
    <w:p w14:paraId="56E549E1" w14:textId="4B96A04C" w:rsidR="0096728C" w:rsidRPr="0096728C" w:rsidRDefault="0096728C" w:rsidP="0096728C">
      <w:pPr>
        <w:spacing w:after="0" w:line="240" w:lineRule="auto"/>
        <w:jc w:val="both"/>
      </w:pPr>
      <w:r w:rsidRPr="0096728C">
        <w:t xml:space="preserve">Le site doit être protégé contre les feux de brousse dans des zones sensibles, par la construction des pare-feu (10 m de large). </w:t>
      </w:r>
    </w:p>
    <w:p w14:paraId="3550324D" w14:textId="27562936" w:rsidR="0096728C" w:rsidRDefault="0096728C" w:rsidP="0096728C">
      <w:pPr>
        <w:spacing w:after="0" w:line="240" w:lineRule="auto"/>
        <w:jc w:val="both"/>
      </w:pPr>
      <w:r w:rsidRPr="0096728C">
        <w:t>Une pépinière est composée d’un hangar avec tout son contenu (plants en rééducation, châssis, …), une source d’eau permanente, un magasin, un point de stockage des plants, un point de stockage des substrats…</w:t>
      </w:r>
    </w:p>
    <w:p w14:paraId="2F77BE7B" w14:textId="1FD34190" w:rsidR="0096728C" w:rsidRDefault="0096728C" w:rsidP="0096728C">
      <w:pPr>
        <w:spacing w:after="0" w:line="240" w:lineRule="auto"/>
        <w:jc w:val="both"/>
      </w:pPr>
    </w:p>
    <w:p w14:paraId="617A2130" w14:textId="77777777" w:rsidR="0096728C" w:rsidRPr="0096728C" w:rsidRDefault="0096728C" w:rsidP="0096728C">
      <w:pPr>
        <w:spacing w:after="0" w:line="240" w:lineRule="auto"/>
        <w:jc w:val="both"/>
      </w:pPr>
      <w:r w:rsidRPr="0096728C">
        <w:t xml:space="preserve">- Le </w:t>
      </w:r>
      <w:r w:rsidRPr="0096728C">
        <w:rPr>
          <w:b/>
          <w:bCs/>
        </w:rPr>
        <w:t>hangar</w:t>
      </w:r>
      <w:r w:rsidRPr="0096728C">
        <w:t xml:space="preserve"> : Sa taille n’est pas fixe. Il doit être construit de façon à permettre la pénétration indirecte des rayons solaires. Pour une pépinière qui doit comporter un châssis d’enracinement de 1m x 3m, un châssis géant de 2m x 1m de surface de base, un hangar de deux pentes de 4m x 6m (surface de base) est suffisant. La plus petite hauteur est de 2m et la plus grande de 3 m (voir image ci-dessous).</w:t>
      </w:r>
    </w:p>
    <w:p w14:paraId="25581BFC" w14:textId="178BD847" w:rsidR="0096728C" w:rsidRPr="0096728C" w:rsidRDefault="0096728C" w:rsidP="0096728C">
      <w:pPr>
        <w:spacing w:after="0" w:line="240" w:lineRule="auto"/>
        <w:jc w:val="both"/>
      </w:pPr>
      <w:r>
        <w:t xml:space="preserve"> - </w:t>
      </w:r>
      <w:r w:rsidRPr="0096728C">
        <w:rPr>
          <w:b/>
          <w:bCs/>
        </w:rPr>
        <w:t xml:space="preserve">Matériel nécessaire pour construire le hangar </w:t>
      </w:r>
      <w:r w:rsidRPr="0096728C">
        <w:t>: piquets, lattes/bambou/perches, pointes, nattes/tôles/ou tout autre matière non perméable à l’eau, …</w:t>
      </w:r>
    </w:p>
    <w:p w14:paraId="50864123" w14:textId="77777777" w:rsidR="0096728C" w:rsidRPr="0096728C" w:rsidRDefault="0096728C" w:rsidP="0096728C">
      <w:pPr>
        <w:spacing w:after="0" w:line="240" w:lineRule="auto"/>
        <w:jc w:val="both"/>
      </w:pPr>
    </w:p>
    <w:p w14:paraId="1B682D4A" w14:textId="51118BF7" w:rsidR="0096728C" w:rsidRDefault="0096728C" w:rsidP="005567CA">
      <w:pPr>
        <w:spacing w:after="0" w:line="240" w:lineRule="auto"/>
        <w:rPr>
          <w:lang w:val="en-GB"/>
        </w:rPr>
      </w:pPr>
      <w:r w:rsidRPr="0096728C">
        <w:t>Source :</w:t>
      </w:r>
      <w:r w:rsidRPr="009B7B5A">
        <w:t xml:space="preserve"> </w:t>
      </w:r>
      <w:r w:rsidRPr="0096728C">
        <w:rPr>
          <w:i/>
          <w:iCs/>
        </w:rPr>
        <w:t>Domestication de</w:t>
      </w:r>
      <w:r w:rsidRPr="0096728C">
        <w:t xml:space="preserve"> </w:t>
      </w:r>
      <w:r w:rsidRPr="0096728C">
        <w:rPr>
          <w:i/>
          <w:iCs/>
        </w:rPr>
        <w:t>l’Acacia senegal</w:t>
      </w:r>
      <w:r w:rsidRPr="0096728C">
        <w:t>,</w:t>
      </w:r>
      <w:r w:rsidRPr="0096728C">
        <w:rPr>
          <w:lang w:val="en-GB"/>
        </w:rPr>
        <w:t xml:space="preserve"> World Agroforestry Centre, </w:t>
      </w:r>
      <w:hyperlink r:id="rId3378" w:history="1">
        <w:r w:rsidRPr="0096728C">
          <w:rPr>
            <w:rStyle w:val="Lienhypertexte"/>
            <w:lang w:val="en-GB"/>
          </w:rPr>
          <w:t>http://www.fao.org/forestry/download/28906-05e0933c5c592e5a21f736554c35a4897.pdf</w:t>
        </w:r>
      </w:hyperlink>
      <w:r w:rsidRPr="0096728C">
        <w:rPr>
          <w:lang w:val="en-GB"/>
        </w:rPr>
        <w:t xml:space="preserve"> </w:t>
      </w:r>
    </w:p>
    <w:p w14:paraId="62081F09" w14:textId="66B1C90F" w:rsidR="0096728C" w:rsidRDefault="0096728C" w:rsidP="0096728C">
      <w:pPr>
        <w:spacing w:after="0" w:line="240" w:lineRule="auto"/>
        <w:jc w:val="center"/>
        <w:rPr>
          <w:lang w:val="en-GB"/>
        </w:rPr>
      </w:pPr>
      <w:r w:rsidRPr="0096728C">
        <w:rPr>
          <w:noProof/>
        </w:rPr>
        <w:drawing>
          <wp:inline distT="0" distB="0" distL="0" distR="0" wp14:anchorId="55E50079" wp14:editId="4D500D2E">
            <wp:extent cx="3571875" cy="2343150"/>
            <wp:effectExtent l="0" t="0" r="9525" b="0"/>
            <wp:docPr id="149512" name="Image 7" descr="hang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12" name="Image 7" descr="hangar.jpg"/>
                    <pic:cNvPicPr>
                      <a:picLocks noChangeAspect="1"/>
                    </pic:cNvPicPr>
                  </pic:nvPicPr>
                  <pic:blipFill>
                    <a:blip r:embed="rId3379">
                      <a:extLst>
                        <a:ext uri="{28A0092B-C50C-407E-A947-70E740481C1C}">
                          <a14:useLocalDpi xmlns:a14="http://schemas.microsoft.com/office/drawing/2010/main" val="0"/>
                        </a:ext>
                      </a:extLst>
                    </a:blip>
                    <a:srcRect/>
                    <a:stretch>
                      <a:fillRect/>
                    </a:stretch>
                  </pic:blipFill>
                  <pic:spPr bwMode="auto">
                    <a:xfrm>
                      <a:off x="0" y="0"/>
                      <a:ext cx="3571875" cy="2343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854C09D" w14:textId="77777777" w:rsidR="0096728C" w:rsidRPr="0096728C" w:rsidRDefault="0096728C" w:rsidP="0096728C">
      <w:pPr>
        <w:spacing w:after="0" w:line="240" w:lineRule="auto"/>
        <w:jc w:val="center"/>
      </w:pPr>
      <w:r w:rsidRPr="0096728C">
        <w:t>Le hangar de la pépinière</w:t>
      </w:r>
    </w:p>
    <w:p w14:paraId="2605993F" w14:textId="1EC5B41A" w:rsidR="00906491" w:rsidRDefault="00906491" w:rsidP="00906491">
      <w:pPr>
        <w:spacing w:after="0" w:line="240" w:lineRule="auto"/>
      </w:pPr>
    </w:p>
    <w:p w14:paraId="219B011F" w14:textId="5286B42A" w:rsidR="003E341F" w:rsidRDefault="003E341F" w:rsidP="00906491">
      <w:pPr>
        <w:spacing w:after="0" w:line="240" w:lineRule="auto"/>
      </w:pPr>
    </w:p>
    <w:p w14:paraId="14BA880D" w14:textId="77777777" w:rsidR="003E341F" w:rsidRDefault="003E341F" w:rsidP="00906491">
      <w:pPr>
        <w:spacing w:after="0" w:line="240" w:lineRule="auto"/>
      </w:pPr>
    </w:p>
    <w:p w14:paraId="30DCD68B" w14:textId="77777777" w:rsidR="00CC712E" w:rsidRDefault="00CC712E" w:rsidP="00CC712E">
      <w:pPr>
        <w:spacing w:after="0" w:line="240" w:lineRule="auto"/>
      </w:pPr>
    </w:p>
    <w:p w14:paraId="231F5436" w14:textId="77777777" w:rsidR="00CC712E" w:rsidRDefault="00CC712E" w:rsidP="00CC712E">
      <w:pPr>
        <w:pStyle w:val="Titre1"/>
      </w:pPr>
      <w:bookmarkStart w:id="263" w:name="_Toc139181554"/>
      <w:r>
        <w:lastRenderedPageBreak/>
        <w:t>La gestion des pâturages (gestion pastorale)</w:t>
      </w:r>
      <w:bookmarkEnd w:id="263"/>
    </w:p>
    <w:p w14:paraId="03EE5A90" w14:textId="77777777" w:rsidR="00CC712E" w:rsidRDefault="00CC712E" w:rsidP="00CC712E">
      <w:pPr>
        <w:spacing w:after="0" w:line="240" w:lineRule="auto"/>
      </w:pPr>
    </w:p>
    <w:p w14:paraId="6A14E99A" w14:textId="77777777" w:rsidR="00CC712E" w:rsidRDefault="00CC712E" w:rsidP="00CC712E">
      <w:pPr>
        <w:pStyle w:val="Titre2"/>
      </w:pPr>
      <w:bookmarkStart w:id="264" w:name="_Toc139181555"/>
      <w:r>
        <w:t>Données écologiques sur les zones pastorales</w:t>
      </w:r>
      <w:bookmarkEnd w:id="264"/>
    </w:p>
    <w:p w14:paraId="3F52A7FD" w14:textId="77777777" w:rsidR="00CC712E" w:rsidRDefault="00CC712E" w:rsidP="00CC712E">
      <w:pPr>
        <w:spacing w:after="0" w:line="240" w:lineRule="auto"/>
      </w:pPr>
    </w:p>
    <w:p w14:paraId="61037617" w14:textId="04390D4C" w:rsidR="00CC712E" w:rsidRDefault="00CC712E" w:rsidP="00CC712E">
      <w:pPr>
        <w:spacing w:after="0" w:line="240" w:lineRule="auto"/>
        <w:jc w:val="both"/>
      </w:pPr>
      <w:r>
        <w:t xml:space="preserve">Ces zones sont souvent trop sèches, pour être adaptées à l’agriculture ou aux programmes de reforestations intensives. </w:t>
      </w:r>
      <w:r w:rsidRPr="00E11FFD">
        <w:t>Elles sont constituées de prairies, brousses ou savanes naturelles, dans lesquelles on trouve une énorme diversité d'espèces herbacées évoluant à la lumière, des essences d'arbres adaptées au passage des incendies</w:t>
      </w:r>
      <w:r>
        <w:t xml:space="preserve"> </w:t>
      </w:r>
      <w:r w:rsidRPr="00E11FFD">
        <w:t>...</w:t>
      </w:r>
    </w:p>
    <w:p w14:paraId="1BBFD69B" w14:textId="2998C26A" w:rsidR="0050591F" w:rsidRDefault="0050591F" w:rsidP="00CC712E">
      <w:pPr>
        <w:spacing w:after="0" w:line="240" w:lineRule="auto"/>
        <w:jc w:val="both"/>
      </w:pPr>
    </w:p>
    <w:p w14:paraId="321B87D5" w14:textId="77777777" w:rsidR="0050591F" w:rsidRDefault="0050591F" w:rsidP="0050591F">
      <w:pPr>
        <w:spacing w:after="0" w:line="240" w:lineRule="auto"/>
        <w:jc w:val="both"/>
      </w:pPr>
      <w:r>
        <w:t>« </w:t>
      </w:r>
      <w:r>
        <w:rPr>
          <w:i/>
          <w:iCs/>
        </w:rPr>
        <w:t>Raisonnablement, les conditions économiques de l’Afrique actuelle ne permettent pas de concevoir un élevage rural à base de cultures fourragères, même dans la zone humide</w:t>
      </w:r>
      <w:r>
        <w:t>. La culture la plus économique, la prairie permanente en association graminée-légumineuse, reste encore très chère, et doit être limitée à quelques hectares par éleveur pour constituer un complément fourrager, destiné à améliorer quelques performances du troupeau.</w:t>
      </w:r>
    </w:p>
    <w:p w14:paraId="6536CD85" w14:textId="067CED35" w:rsidR="0050591F" w:rsidRDefault="0050591F" w:rsidP="0050591F">
      <w:pPr>
        <w:spacing w:after="0" w:line="240" w:lineRule="auto"/>
        <w:jc w:val="both"/>
      </w:pPr>
      <w:r>
        <w:rPr>
          <w:i/>
          <w:iCs/>
        </w:rPr>
        <w:t>La base de l’alimentation restera encore longtemps le pâturage naturel</w:t>
      </w:r>
      <w:r>
        <w:t>. C’est pourquoi notre objectif doit être en priorité de protéger et d’apprendre à gérer ce qu’il reste du pâturage naturel de chaque pays. Ce ne sont pas les cultures fourragères qui sauveront l’élevage en Afrique, mais la gestion intelligente du patrimoine naturel »</w:t>
      </w:r>
      <w:r>
        <w:rPr>
          <w:rStyle w:val="Appelnotedebasdep"/>
        </w:rPr>
        <w:footnoteReference w:id="194"/>
      </w:r>
      <w:r>
        <w:t xml:space="preserve">. </w:t>
      </w:r>
    </w:p>
    <w:p w14:paraId="5CD640BF" w14:textId="77777777" w:rsidR="00CC712E" w:rsidRDefault="00CC712E" w:rsidP="00CC712E">
      <w:pPr>
        <w:spacing w:after="0" w:line="240" w:lineRule="auto"/>
      </w:pPr>
    </w:p>
    <w:p w14:paraId="227ECAE9" w14:textId="77777777" w:rsidR="00CC712E" w:rsidRDefault="00CC712E" w:rsidP="00CC712E">
      <w:pPr>
        <w:pStyle w:val="Titre2"/>
      </w:pPr>
      <w:bookmarkStart w:id="265" w:name="_Toc139181556"/>
      <w:r>
        <w:t>Les avantages du pastoralisme dans ces zones</w:t>
      </w:r>
      <w:bookmarkEnd w:id="265"/>
    </w:p>
    <w:p w14:paraId="753B1938" w14:textId="77777777" w:rsidR="00CC712E" w:rsidRDefault="00CC712E" w:rsidP="00CC712E">
      <w:pPr>
        <w:spacing w:after="0" w:line="240" w:lineRule="auto"/>
      </w:pPr>
    </w:p>
    <w:p w14:paraId="77436B9B" w14:textId="033DF8CF" w:rsidR="00CC712E" w:rsidRDefault="00CC712E" w:rsidP="00CC712E">
      <w:pPr>
        <w:spacing w:after="0" w:line="240" w:lineRule="auto"/>
        <w:jc w:val="both"/>
      </w:pPr>
      <w:r>
        <w:t>Si la ressource (herbe, ligneuse …) est bien gérée _que les troupeaux ne surpâturent pas, que l’on choisisse les bonnes races adaptées à cet environnement, avec une bonne gestion des parcours _, l</w:t>
      </w:r>
      <w:r w:rsidRPr="008E3E72">
        <w:t xml:space="preserve">e pastoralisme sous climat sec et chaud a un rôle socioéconomique important. En effet, il offre à l’homme de nombreux biens et services : produits de haute valeur commerciale et nutritive (lait, viande, cuirs, peaux…), source d’énergie (traction, transport animal, combustible…), fumure pour les cultures, support des relations socioéconomiques (emploi, entraide sociale…), instrument d’épargne, etc. Une part significative des populations (1/6 dans certains pays) vit du pastoralisme et une part encore plus importante en tire des revenus tout au long de la filière économique jusqu’au consommateur. Le pastoralisme contribue ainsi à la sécurité alimentaire des pays producteurs et importateurs. Il permet la mise en valeur de vastes surfaces de territoires dans ces régions </w:t>
      </w:r>
      <w:r w:rsidRPr="008E3E72">
        <w:rPr>
          <w:i/>
          <w:iCs/>
        </w:rPr>
        <w:t>qui n’ont guère d’autres possibilités de valorisation économique</w:t>
      </w:r>
      <w:r>
        <w:rPr>
          <w:rStyle w:val="Appelnotedebasdep"/>
          <w:i/>
          <w:iCs/>
        </w:rPr>
        <w:footnoteReference w:id="195"/>
      </w:r>
      <w:r w:rsidRPr="008E3E72">
        <w:t>.</w:t>
      </w:r>
    </w:p>
    <w:p w14:paraId="7B7EC6DB" w14:textId="6561DECE" w:rsidR="003A0114" w:rsidRDefault="003A0114" w:rsidP="00CC712E">
      <w:pPr>
        <w:spacing w:after="0" w:line="240" w:lineRule="auto"/>
        <w:jc w:val="both"/>
      </w:pPr>
    </w:p>
    <w:p w14:paraId="76AD6A36" w14:textId="6D3806CB" w:rsidR="003A0114" w:rsidRDefault="003A0114" w:rsidP="003A0114">
      <w:pPr>
        <w:spacing w:after="0" w:line="240" w:lineRule="auto"/>
        <w:jc w:val="both"/>
      </w:pPr>
      <w:r>
        <w:t>« </w:t>
      </w:r>
      <w:r w:rsidRPr="003A0114">
        <w:rPr>
          <w:i/>
          <w:iCs/>
        </w:rPr>
        <w:t>Contrairement aux idées reçues, l’élevage mobile est bien plus productif que l’élevage sédentarisé dans cette région aride [du Nord de Djibouti]. En réalité, plus le bétail est mobile, plus sa production est forte. Dans le contexte du climat sahélien, c’est aussi une réponse efficace contre de nombreux risques pour les éleveurs comme la sécheresse ou même l’insécurité civile. De plus, cet élevage extensif permet également d’entretenir les ressources naturelles grâce à la régulation du pâturage. De même, il participe à la régénération de nombreuses espèces végétales grâce à la dispersion des semences</w:t>
      </w:r>
      <w:r>
        <w:t> »</w:t>
      </w:r>
      <w:r w:rsidR="000A7B5E">
        <w:rPr>
          <w:rStyle w:val="Appelnotedebasdep"/>
        </w:rPr>
        <w:footnoteReference w:id="196"/>
      </w:r>
      <w:r>
        <w:t>.</w:t>
      </w:r>
    </w:p>
    <w:p w14:paraId="19698E30" w14:textId="2E3EB4CC" w:rsidR="007C5A74" w:rsidRDefault="007C5A74" w:rsidP="003A0114">
      <w:pPr>
        <w:spacing w:after="0" w:line="240" w:lineRule="auto"/>
        <w:jc w:val="both"/>
      </w:pPr>
      <w:r>
        <w:t>« </w:t>
      </w:r>
      <w:r w:rsidRPr="007C5A74">
        <w:rPr>
          <w:i/>
          <w:iCs/>
        </w:rPr>
        <w:t>Il n'est pas douteux que ce sont les Peuls du Ferlo sableux qui, en maintenant un nomadisme limité vers les mares</w:t>
      </w:r>
      <w:r w:rsidR="00F63552">
        <w:rPr>
          <w:i/>
          <w:iCs/>
        </w:rPr>
        <w:t xml:space="preserve"> </w:t>
      </w:r>
      <w:r w:rsidRPr="007C5A74">
        <w:rPr>
          <w:i/>
          <w:iCs/>
        </w:rPr>
        <w:t>naturelles pendant la saison des pluies, assurent eux-mêmes une certaine conservation de l'environnement</w:t>
      </w:r>
      <w:r>
        <w:t> »</w:t>
      </w:r>
      <w:r>
        <w:rPr>
          <w:rStyle w:val="Appelnotedebasdep"/>
        </w:rPr>
        <w:footnoteReference w:id="197"/>
      </w:r>
      <w:r w:rsidRPr="007C5A74">
        <w:t>.</w:t>
      </w:r>
    </w:p>
    <w:p w14:paraId="708419A8" w14:textId="44CCBA25" w:rsidR="00CC712E" w:rsidRDefault="00CC712E" w:rsidP="00CC712E">
      <w:pPr>
        <w:spacing w:after="0" w:line="240" w:lineRule="auto"/>
      </w:pPr>
    </w:p>
    <w:p w14:paraId="19B50F46" w14:textId="77777777" w:rsidR="007B1CA0" w:rsidRDefault="007B1CA0" w:rsidP="007B1CA0">
      <w:pPr>
        <w:pStyle w:val="Titre2"/>
        <w:numPr>
          <w:ilvl w:val="1"/>
          <w:numId w:val="116"/>
        </w:numPr>
      </w:pPr>
      <w:bookmarkStart w:id="266" w:name="_Toc139181557"/>
      <w:r>
        <w:lastRenderedPageBreak/>
        <w:t>Évolution des transhumances, augmentation de la distance des parcours</w:t>
      </w:r>
      <w:bookmarkEnd w:id="266"/>
    </w:p>
    <w:p w14:paraId="5217AF25" w14:textId="77777777" w:rsidR="007B1CA0" w:rsidRDefault="007B1CA0" w:rsidP="007B1CA0">
      <w:pPr>
        <w:spacing w:after="0" w:line="240" w:lineRule="auto"/>
        <w:jc w:val="both"/>
      </w:pPr>
    </w:p>
    <w:p w14:paraId="71A6F98D" w14:textId="36AAD26C" w:rsidR="007B1CA0" w:rsidRDefault="007B1CA0" w:rsidP="007B1CA0">
      <w:pPr>
        <w:spacing w:after="0" w:line="240" w:lineRule="auto"/>
        <w:jc w:val="both"/>
      </w:pPr>
      <w:r>
        <w:t xml:space="preserve">Au cours des trois dernières décennies, ces mouvements ont tendance à s’allonger et à se disperser, notamment vers le sud. Cette évolution peut être attribuée </w:t>
      </w:r>
      <w:r w:rsidRPr="00FA7CD5">
        <w:rPr>
          <w:i/>
          <w:iCs/>
        </w:rPr>
        <w:t>à l’accroissement du cheptel, l’aridification du milieu, l’expansion des zones agricoles dans les couloirs de transhumance</w:t>
      </w:r>
      <w:r>
        <w:t xml:space="preserve"> et à la diversité des marchés transfrontaliers à bétail, contraignant ainsi les éleveurs à créer des itinéraires alternatifs</w:t>
      </w:r>
      <w:r w:rsidR="005C57F1">
        <w:t xml:space="preserve">. </w:t>
      </w:r>
      <w:r w:rsidR="005C57F1" w:rsidRPr="005C57F1">
        <w:t>Au Tchad, la limite sud des troupeaux de dromadaires est passée en vingt ans du 13ème parallèle au 9ème parallèle. Certains transhumants bovins descendent aujourd’hui jusqu’en République Centre Africaine</w:t>
      </w:r>
      <w:r w:rsidR="00BC563E">
        <w:t xml:space="preserve">. </w:t>
      </w:r>
      <w:r w:rsidR="00BC563E" w:rsidRPr="00BC563E">
        <w:t>Les aires protégées sont de plus en plus fréquentées par le cheptel transhumant, malgré la réglementation en vigueur dans les pays</w:t>
      </w:r>
      <w:r>
        <w:rPr>
          <w:rStyle w:val="Appelnotedebasdep"/>
        </w:rPr>
        <w:footnoteReference w:id="198"/>
      </w:r>
      <w:r>
        <w:t>.</w:t>
      </w:r>
    </w:p>
    <w:p w14:paraId="52574AAE" w14:textId="77777777" w:rsidR="00F63552" w:rsidRDefault="00F63552" w:rsidP="007B1CA0">
      <w:pPr>
        <w:spacing w:after="0" w:line="240" w:lineRule="auto"/>
        <w:jc w:val="both"/>
      </w:pPr>
    </w:p>
    <w:p w14:paraId="39FFA292" w14:textId="31545CCE" w:rsidR="004F530D" w:rsidRDefault="004F530D" w:rsidP="007B1CA0">
      <w:pPr>
        <w:spacing w:after="0" w:line="240" w:lineRule="auto"/>
        <w:jc w:val="both"/>
      </w:pPr>
      <w:r>
        <w:t>« </w:t>
      </w:r>
      <w:r w:rsidRPr="004F530D">
        <w:rPr>
          <w:i/>
          <w:iCs/>
        </w:rPr>
        <w:t xml:space="preserve">Les mouvements de transhumance sont </w:t>
      </w:r>
      <w:r>
        <w:rPr>
          <w:i/>
          <w:iCs/>
        </w:rPr>
        <w:t>[…]</w:t>
      </w:r>
      <w:r w:rsidRPr="004F530D">
        <w:rPr>
          <w:i/>
          <w:iCs/>
        </w:rPr>
        <w:t xml:space="preserve"> constitués d’une série d’étapes soigneusement choisies à partir des informations collectées auprès d’informateurs et de l’expérience personnelle de l’éleveur. Pour le choix des itinéraires, les éleveurs recherchent des informations relatives à la présence et à la qualité des pâturages, la disponibilité de l’eau d’abreuvement et des résidus des récoltes en zone agricole, aux termes d’échange pratiqués dans les marchés à bétail et la présence des forces de défense et de sécurité. Aussi l’amélioration de la couverture du réseau téléphonique et radiophonique en zone pastorale a considérablement modifié les pratiques des éleveurs ces dix dernières années, leur permettant de juger à distance des ressources disponibles dans les zones d’accueil, les termes de l’échange et les points de passage transfrontalier. Ces décisions sont aussi dictées par des informations correspondant à la situation sécuritaire et sanitaire du bétail fournies par le réseau d’éleveurs. Ces itinéraires peuvent changer durant le déplacement en fonction de l’actualisation de ces informations</w:t>
      </w:r>
      <w:r>
        <w:t> »</w:t>
      </w:r>
      <w:r>
        <w:rPr>
          <w:rStyle w:val="Appelnotedebasdep"/>
        </w:rPr>
        <w:footnoteReference w:id="199"/>
      </w:r>
      <w:r w:rsidRPr="004F530D">
        <w:t>.</w:t>
      </w:r>
    </w:p>
    <w:p w14:paraId="0C791D09" w14:textId="7311EE79" w:rsidR="00E034BB" w:rsidRDefault="00E034BB" w:rsidP="007B1CA0">
      <w:pPr>
        <w:spacing w:after="0" w:line="240" w:lineRule="auto"/>
        <w:jc w:val="both"/>
      </w:pPr>
      <w:r>
        <w:t>« </w:t>
      </w:r>
      <w:r w:rsidRPr="00E034BB">
        <w:rPr>
          <w:i/>
          <w:iCs/>
        </w:rPr>
        <w:t>Les pasteurs déplacent leurs animaux afin de les protéger des sécheresses, des maladies ou des conflits. Selon la plupart des modèles climatiques, les précipitations deviendront de plus en plus irrégulières et imprévisibles au cours des décennies à venir. Dans un tel contexte, la mobilité des troupeaux sera cruciale pour permettre aux pasteurs de s’adapter au changement climatique</w:t>
      </w:r>
      <w:r>
        <w:t> »</w:t>
      </w:r>
      <w:r w:rsidRPr="00E034BB">
        <w:rPr>
          <w:rStyle w:val="Appelnotedebasdep"/>
        </w:rPr>
        <w:t xml:space="preserve"> </w:t>
      </w:r>
      <w:r>
        <w:rPr>
          <w:rStyle w:val="Appelnotedebasdep"/>
        </w:rPr>
        <w:footnoteReference w:id="200"/>
      </w:r>
      <w:r w:rsidRPr="00E034BB">
        <w:t>.</w:t>
      </w:r>
    </w:p>
    <w:p w14:paraId="069806DD" w14:textId="723C9F31" w:rsidR="004F530D" w:rsidRDefault="004F530D" w:rsidP="007B1CA0">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0"/>
        <w:gridCol w:w="5256"/>
      </w:tblGrid>
      <w:tr w:rsidR="004F2EC7" w14:paraId="5C3C8653" w14:textId="77777777" w:rsidTr="00F752F9">
        <w:tc>
          <w:tcPr>
            <w:tcW w:w="5208" w:type="dxa"/>
          </w:tcPr>
          <w:p w14:paraId="06ED902F" w14:textId="77777777" w:rsidR="004F2EC7" w:rsidRDefault="004F2EC7" w:rsidP="00F752F9">
            <w:pPr>
              <w:jc w:val="center"/>
            </w:pPr>
            <w:r>
              <w:rPr>
                <w:noProof/>
              </w:rPr>
              <w:drawing>
                <wp:inline distT="0" distB="0" distL="0" distR="0" wp14:anchorId="18FA1032" wp14:editId="4C4C132C">
                  <wp:extent cx="2400300" cy="1628775"/>
                  <wp:effectExtent l="0" t="0" r="0" b="9525"/>
                  <wp:docPr id="42002" name="Image 42002" descr="Une image contenant herbe, extérieur, ciel, champ&#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02" name="Image 42002" descr="Une image contenant herbe, extérieur, ciel, champ&#10;&#10;Description générée automatiquement"/>
                          <pic:cNvPicPr>
                            <a:picLocks noChangeAspect="1" noChangeArrowheads="1"/>
                          </pic:cNvPicPr>
                        </pic:nvPicPr>
                        <pic:blipFill>
                          <a:blip r:embed="rId3380">
                            <a:extLst>
                              <a:ext uri="{28A0092B-C50C-407E-A947-70E740481C1C}">
                                <a14:useLocalDpi xmlns:a14="http://schemas.microsoft.com/office/drawing/2010/main" val="0"/>
                              </a:ext>
                            </a:extLst>
                          </a:blip>
                          <a:srcRect/>
                          <a:stretch>
                            <a:fillRect/>
                          </a:stretch>
                        </pic:blipFill>
                        <pic:spPr bwMode="auto">
                          <a:xfrm>
                            <a:off x="0" y="0"/>
                            <a:ext cx="2400300" cy="1628775"/>
                          </a:xfrm>
                          <a:prstGeom prst="rect">
                            <a:avLst/>
                          </a:prstGeom>
                          <a:noFill/>
                          <a:ln>
                            <a:noFill/>
                          </a:ln>
                        </pic:spPr>
                      </pic:pic>
                    </a:graphicData>
                  </a:graphic>
                </wp:inline>
              </w:drawing>
            </w:r>
          </w:p>
          <w:p w14:paraId="62C11E0F" w14:textId="77777777" w:rsidR="004F2EC7" w:rsidRDefault="004F2EC7" w:rsidP="00F752F9">
            <w:pPr>
              <w:jc w:val="center"/>
            </w:pPr>
            <w:r w:rsidRPr="00DF3643">
              <w:t>Caravane longeant un champ de sésame au Salamat (Tchad) © Projet Almy Bahaïm (2008</w:t>
            </w:r>
            <w:r>
              <w:t>).</w:t>
            </w:r>
          </w:p>
        </w:tc>
        <w:tc>
          <w:tcPr>
            <w:tcW w:w="5208" w:type="dxa"/>
          </w:tcPr>
          <w:p w14:paraId="25AB0E20" w14:textId="77777777" w:rsidR="004F2EC7" w:rsidRDefault="004F2EC7" w:rsidP="00F752F9">
            <w:pPr>
              <w:jc w:val="center"/>
            </w:pPr>
            <w:r>
              <w:rPr>
                <w:noProof/>
              </w:rPr>
              <w:drawing>
                <wp:inline distT="0" distB="0" distL="0" distR="0" wp14:anchorId="1D8863FD" wp14:editId="1470B50F">
                  <wp:extent cx="3200400" cy="1914525"/>
                  <wp:effectExtent l="0" t="0" r="0" b="9525"/>
                  <wp:docPr id="42003" name="Image 42003" descr="Une image contenant herbe, extérieur, plante, ar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03" name="Image 42003" descr="Une image contenant herbe, extérieur, plante, arbre&#10;&#10;Description générée automatiquement"/>
                          <pic:cNvPicPr>
                            <a:picLocks noChangeAspect="1" noChangeArrowheads="1"/>
                          </pic:cNvPicPr>
                        </pic:nvPicPr>
                        <pic:blipFill>
                          <a:blip r:embed="rId3381">
                            <a:extLst>
                              <a:ext uri="{28A0092B-C50C-407E-A947-70E740481C1C}">
                                <a14:useLocalDpi xmlns:a14="http://schemas.microsoft.com/office/drawing/2010/main" val="0"/>
                              </a:ext>
                            </a:extLst>
                          </a:blip>
                          <a:srcRect/>
                          <a:stretch>
                            <a:fillRect/>
                          </a:stretch>
                        </pic:blipFill>
                        <pic:spPr bwMode="auto">
                          <a:xfrm>
                            <a:off x="0" y="0"/>
                            <a:ext cx="3200400" cy="1914525"/>
                          </a:xfrm>
                          <a:prstGeom prst="rect">
                            <a:avLst/>
                          </a:prstGeom>
                          <a:noFill/>
                          <a:ln>
                            <a:noFill/>
                          </a:ln>
                        </pic:spPr>
                      </pic:pic>
                    </a:graphicData>
                  </a:graphic>
                </wp:inline>
              </w:drawing>
            </w:r>
          </w:p>
          <w:p w14:paraId="2E49B1F3" w14:textId="77777777" w:rsidR="004F2EC7" w:rsidRDefault="004F2EC7" w:rsidP="00F752F9">
            <w:pPr>
              <w:jc w:val="center"/>
            </w:pPr>
            <w:r w:rsidRPr="00906491">
              <w:t>Borne de transhumance en plein champ au nord de la région de Tahoua (Niger)</w:t>
            </w:r>
            <w:r>
              <w:t>.</w:t>
            </w:r>
          </w:p>
        </w:tc>
      </w:tr>
    </w:tbl>
    <w:p w14:paraId="1AB40341" w14:textId="1A7C8741" w:rsidR="004F2EC7" w:rsidRDefault="004F2EC7" w:rsidP="007B1CA0">
      <w:pPr>
        <w:spacing w:after="0" w:line="240" w:lineRule="auto"/>
        <w:jc w:val="both"/>
      </w:pPr>
    </w:p>
    <w:p w14:paraId="365D768C" w14:textId="3AE1209F" w:rsidR="00752199" w:rsidRDefault="00752199" w:rsidP="00752199">
      <w:pPr>
        <w:pStyle w:val="Titre2"/>
      </w:pPr>
      <w:bookmarkStart w:id="267" w:name="_Toc139181558"/>
      <w:r>
        <w:t>L’effet pervers des forages pour créer des points d’eau pour le bétail</w:t>
      </w:r>
      <w:bookmarkEnd w:id="267"/>
    </w:p>
    <w:p w14:paraId="64B9C250" w14:textId="45607398" w:rsidR="00752199" w:rsidRDefault="00752199" w:rsidP="007B1CA0">
      <w:pPr>
        <w:spacing w:after="0" w:line="240" w:lineRule="auto"/>
        <w:jc w:val="both"/>
      </w:pPr>
    </w:p>
    <w:p w14:paraId="2B788393" w14:textId="77777777" w:rsidR="00E609F8" w:rsidRDefault="00752294" w:rsidP="007B1CA0">
      <w:pPr>
        <w:spacing w:after="0" w:line="240" w:lineRule="auto"/>
        <w:jc w:val="both"/>
      </w:pPr>
      <w:r>
        <w:t>Les zones autour des points d’eau (créé par forage et fournissant de l’eau par pompage mécanique) sont le souvent surpâturées</w:t>
      </w:r>
      <w:r w:rsidR="00E609F8">
        <w:t xml:space="preserve">. </w:t>
      </w:r>
    </w:p>
    <w:p w14:paraId="203F63B7" w14:textId="758D802B" w:rsidR="00752199" w:rsidRPr="00E609F8" w:rsidRDefault="00E609F8" w:rsidP="007B1CA0">
      <w:pPr>
        <w:spacing w:after="0" w:line="240" w:lineRule="auto"/>
        <w:jc w:val="both"/>
      </w:pPr>
      <w:r>
        <w:lastRenderedPageBreak/>
        <w:t>« </w:t>
      </w:r>
      <w:r w:rsidRPr="00E609F8">
        <w:rPr>
          <w:i/>
          <w:iCs/>
        </w:rPr>
        <w:t>On peut, à titre d'exemple, citer le cas du Koya défini encore en 1945 comme zone de parcours sans eau et sans chemin de parcours, perçu avant 1952 comme une réserve infinie de pâturages inutilisables et devenu avec la mise en fonctionnement des forages une zone de surpâturage — à certains endroits tout au moins</w:t>
      </w:r>
      <w:r>
        <w:t> »</w:t>
      </w:r>
      <w:r w:rsidR="005E6DF4">
        <w:rPr>
          <w:rStyle w:val="Appelnotedebasdep"/>
        </w:rPr>
        <w:footnoteReference w:id="201"/>
      </w:r>
      <w:r w:rsidRPr="00E609F8">
        <w:t>.</w:t>
      </w:r>
    </w:p>
    <w:p w14:paraId="0697E1AF" w14:textId="77777777" w:rsidR="007705B8" w:rsidRDefault="007705B8" w:rsidP="007B1CA0">
      <w:pPr>
        <w:spacing w:after="0" w:line="240" w:lineRule="auto"/>
        <w:jc w:val="both"/>
      </w:pPr>
    </w:p>
    <w:p w14:paraId="31A65A06" w14:textId="558A7A32" w:rsidR="00752199" w:rsidRDefault="0069294F" w:rsidP="007B1CA0">
      <w:pPr>
        <w:spacing w:after="0" w:line="240" w:lineRule="auto"/>
        <w:jc w:val="both"/>
      </w:pPr>
      <w:r>
        <w:t>Ces points d’eau peuvent aussi attirer des agriculteurs</w:t>
      </w:r>
      <w:r w:rsidR="00D84BAF">
        <w:t xml:space="preserve">, </w:t>
      </w:r>
      <w:r w:rsidR="007705B8">
        <w:t>pouvant</w:t>
      </w:r>
      <w:r w:rsidR="00D84BAF">
        <w:t xml:space="preserve"> rentre</w:t>
      </w:r>
      <w:r w:rsidR="007705B8">
        <w:t>r</w:t>
      </w:r>
      <w:r w:rsidR="00D84BAF">
        <w:t xml:space="preserve"> en conflit avec les éleveurs</w:t>
      </w:r>
      <w:r>
        <w:t>.</w:t>
      </w:r>
    </w:p>
    <w:p w14:paraId="37E7A322" w14:textId="77777777" w:rsidR="00D06F2D" w:rsidRDefault="00D06F2D" w:rsidP="007B1CA0">
      <w:pPr>
        <w:spacing w:after="0" w:line="240" w:lineRule="auto"/>
        <w:jc w:val="both"/>
      </w:pPr>
    </w:p>
    <w:p w14:paraId="3C7EBB63" w14:textId="15C66D81" w:rsidR="00D06F2D" w:rsidRDefault="00D06F2D" w:rsidP="007B1CA0">
      <w:pPr>
        <w:spacing w:after="0" w:line="240" w:lineRule="auto"/>
        <w:jc w:val="both"/>
      </w:pPr>
      <w:r>
        <w:t>Pour éviter cela, l</w:t>
      </w:r>
      <w:r w:rsidRPr="00D06F2D">
        <w:t xml:space="preserve">es </w:t>
      </w:r>
      <w:r>
        <w:t>« </w:t>
      </w:r>
      <w:r w:rsidRPr="00D06F2D">
        <w:rPr>
          <w:i/>
          <w:iCs/>
        </w:rPr>
        <w:t>points d’eau sont aménagés et les organisations d’usagers sont renforcées pour la gestion de cette ressource</w:t>
      </w:r>
      <w:r>
        <w:t> ». Des couloirs de tri peuvent être créés. Les bouses seront collectées pour les fermes à proximité</w:t>
      </w:r>
      <w:r w:rsidR="00551D28">
        <w:t xml:space="preserve"> ou pour le</w:t>
      </w:r>
      <w:r w:rsidR="00265844">
        <w:t>ur</w:t>
      </w:r>
      <w:r w:rsidR="00551D28">
        <w:t xml:space="preserve"> utilis</w:t>
      </w:r>
      <w:r w:rsidR="00265844">
        <w:t>ation</w:t>
      </w:r>
      <w:r w:rsidR="00551D28">
        <w:t xml:space="preserve"> comme combustible</w:t>
      </w:r>
      <w:r>
        <w:rPr>
          <w:rStyle w:val="Appelnotedebasdep"/>
        </w:rPr>
        <w:footnoteReference w:id="202"/>
      </w:r>
      <w:r w:rsidR="002548F4">
        <w:t>. Dès que les troupeaux seront abreuvés, Il est préférable qu’ils ne stationnent pas et repartent immédiatement</w:t>
      </w:r>
      <w:r w:rsidR="00551D28">
        <w:t xml:space="preserve"> etc.</w:t>
      </w:r>
    </w:p>
    <w:p w14:paraId="247985B1" w14:textId="650A9604" w:rsidR="00D84BAF" w:rsidRDefault="00D84BAF" w:rsidP="007B1CA0">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0"/>
        <w:gridCol w:w="5256"/>
      </w:tblGrid>
      <w:tr w:rsidR="00D84BAF" w14:paraId="0AA627DD" w14:textId="77777777" w:rsidTr="007705B8">
        <w:tc>
          <w:tcPr>
            <w:tcW w:w="5208" w:type="dxa"/>
          </w:tcPr>
          <w:p w14:paraId="4D76682D" w14:textId="77777777" w:rsidR="00D84BAF" w:rsidRDefault="007C5A74" w:rsidP="00D84BAF">
            <w:pPr>
              <w:jc w:val="center"/>
            </w:pPr>
            <w:r>
              <w:rPr>
                <w:noProof/>
              </w:rPr>
              <w:drawing>
                <wp:inline distT="0" distB="0" distL="0" distR="0" wp14:anchorId="019E34F5" wp14:editId="4F1C34F1">
                  <wp:extent cx="2619375" cy="1743075"/>
                  <wp:effectExtent l="0" t="0" r="9525" b="9525"/>
                  <wp:docPr id="31772" name="Image 31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82">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pic:spPr>
                      </pic:pic>
                    </a:graphicData>
                  </a:graphic>
                </wp:inline>
              </w:drawing>
            </w:r>
          </w:p>
          <w:p w14:paraId="24984AE7" w14:textId="77777777" w:rsidR="007C5A74" w:rsidRDefault="007C5A74" w:rsidP="00D84BAF">
            <w:pPr>
              <w:jc w:val="center"/>
            </w:pPr>
            <w:r w:rsidRPr="007C5A74">
              <w:t>Forage de Widou Thiengoli dans la région du Ferlo au Sénégal</w:t>
            </w:r>
            <w:r>
              <w:t>.</w:t>
            </w:r>
            <w:r w:rsidR="007705B8">
              <w:t xml:space="preserve"> © CNRS images / </w:t>
            </w:r>
            <w:r w:rsidR="007705B8" w:rsidRPr="007705B8">
              <w:t>Photothèque</w:t>
            </w:r>
            <w:r w:rsidR="007705B8">
              <w:t>.</w:t>
            </w:r>
          </w:p>
          <w:p w14:paraId="094DDE9D" w14:textId="77777777" w:rsidR="007705B8" w:rsidRDefault="007705B8" w:rsidP="007705B8">
            <w:pPr>
              <w:jc w:val="both"/>
            </w:pPr>
          </w:p>
          <w:p w14:paraId="42B4B0A1" w14:textId="2FB336E6" w:rsidR="007705B8" w:rsidRDefault="007705B8" w:rsidP="007705B8">
            <w:pPr>
              <w:jc w:val="both"/>
            </w:pPr>
            <w:r w:rsidRPr="007705B8">
              <w:t>Le forage de Widou Thiengoli, dans la région du Ferlo au Sénégal, fournit l'eau aux hommes et au bétail dans un rayon de 20 km. Durant la saison sèche, c'est l'unique source d'eau potable. Widou Thiengoli fait partie des villages retenus pour mettre en œuvre le projet de la Grande Muraille verte</w:t>
            </w:r>
            <w:r>
              <w:t xml:space="preserve"> (GMV)</w:t>
            </w:r>
            <w:r w:rsidRPr="007705B8">
              <w:t>, une ceinture de végétation pour lutter contre la désertification, impliquant les onze pays frontaliers de la zone saharo-sahélienne entre Dakar et Djibouti.</w:t>
            </w:r>
          </w:p>
        </w:tc>
        <w:tc>
          <w:tcPr>
            <w:tcW w:w="5208" w:type="dxa"/>
          </w:tcPr>
          <w:p w14:paraId="4AAB40E4" w14:textId="5272BA5E" w:rsidR="007705B8" w:rsidRDefault="007705B8" w:rsidP="007705B8">
            <w:pPr>
              <w:jc w:val="center"/>
            </w:pPr>
            <w:r>
              <w:rPr>
                <w:noProof/>
              </w:rPr>
              <w:drawing>
                <wp:inline distT="0" distB="0" distL="0" distR="0" wp14:anchorId="566B6623" wp14:editId="713A2221">
                  <wp:extent cx="3162300" cy="1447800"/>
                  <wp:effectExtent l="0" t="0" r="0" b="0"/>
                  <wp:docPr id="31774" name="Image 31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83">
                            <a:extLst>
                              <a:ext uri="{28A0092B-C50C-407E-A947-70E740481C1C}">
                                <a14:useLocalDpi xmlns:a14="http://schemas.microsoft.com/office/drawing/2010/main" val="0"/>
                              </a:ext>
                            </a:extLst>
                          </a:blip>
                          <a:srcRect/>
                          <a:stretch>
                            <a:fillRect/>
                          </a:stretch>
                        </pic:blipFill>
                        <pic:spPr bwMode="auto">
                          <a:xfrm>
                            <a:off x="0" y="0"/>
                            <a:ext cx="3162300" cy="1447800"/>
                          </a:xfrm>
                          <a:prstGeom prst="rect">
                            <a:avLst/>
                          </a:prstGeom>
                          <a:noFill/>
                          <a:ln>
                            <a:noFill/>
                          </a:ln>
                        </pic:spPr>
                      </pic:pic>
                    </a:graphicData>
                  </a:graphic>
                </wp:inline>
              </w:drawing>
            </w:r>
          </w:p>
          <w:p w14:paraId="73AA02B0" w14:textId="7802C044" w:rsidR="007705B8" w:rsidRDefault="007705B8" w:rsidP="007705B8">
            <w:pPr>
              <w:jc w:val="both"/>
            </w:pPr>
            <w:r w:rsidRPr="007705B8">
              <w:rPr>
                <w:b/>
                <w:bCs/>
              </w:rPr>
              <w:t>Ranerou Ferlo a soif</w:t>
            </w:r>
            <w:r>
              <w:t xml:space="preserve"> </w:t>
            </w:r>
            <w:r w:rsidRPr="007705B8">
              <w:t>: Le forage en panne, 3 jours sans eau (25/05/2014)</w:t>
            </w:r>
            <w:r w:rsidR="00864446">
              <w:rPr>
                <w:rStyle w:val="Appelnotedebasdep"/>
              </w:rPr>
              <w:footnoteReference w:id="203"/>
            </w:r>
            <w:r w:rsidRPr="007705B8">
              <w:t xml:space="preserve"> : </w:t>
            </w:r>
          </w:p>
          <w:p w14:paraId="1E9656DE" w14:textId="77777777" w:rsidR="007705B8" w:rsidRDefault="007705B8" w:rsidP="007705B8">
            <w:pPr>
              <w:jc w:val="both"/>
            </w:pPr>
          </w:p>
          <w:p w14:paraId="2F24F2EE" w14:textId="072A0EFA" w:rsidR="007705B8" w:rsidRDefault="00F63552" w:rsidP="007705B8">
            <w:pPr>
              <w:jc w:val="both"/>
            </w:pPr>
            <w:r>
              <w:t>« </w:t>
            </w:r>
            <w:r w:rsidR="007705B8" w:rsidRPr="00F63552">
              <w:rPr>
                <w:i/>
                <w:iCs/>
              </w:rPr>
              <w:t>Les habitants de la capitale du Ferlo vivent un véritable calvaire. En effet, Ranérou manque d’eau depuis trois jours. La faute, à une panne de la pompe du forage. Le camion-citerne du service des eaux et forêt, qui alimente la ville en eau, ne peut satisfaire la demande des populations. Les habitants cette ville, peuplée d’éleveur, sont obligés de faire chaque jour la navette entre leur localité et Dar Salam, un village situé à huit kilomètres à l’ouest. Le seul puits de ce village menace de tarir. Et comme un malheur ne vient jamais seul, le bétail commence à succomber de soif</w:t>
            </w:r>
            <w:r>
              <w:t> »</w:t>
            </w:r>
            <w:r w:rsidR="007705B8" w:rsidRPr="007705B8">
              <w:t>.</w:t>
            </w:r>
          </w:p>
          <w:p w14:paraId="28E8EBAE" w14:textId="7B7AC001" w:rsidR="007705B8" w:rsidRDefault="007705B8" w:rsidP="007705B8">
            <w:pPr>
              <w:jc w:val="both"/>
            </w:pPr>
          </w:p>
        </w:tc>
      </w:tr>
      <w:tr w:rsidR="00D84BAF" w14:paraId="08928DEC" w14:textId="77777777" w:rsidTr="007705B8">
        <w:tc>
          <w:tcPr>
            <w:tcW w:w="5208" w:type="dxa"/>
          </w:tcPr>
          <w:p w14:paraId="064581DC" w14:textId="7AC0D32F" w:rsidR="007705B8" w:rsidRDefault="007C5A74" w:rsidP="007705B8">
            <w:pPr>
              <w:jc w:val="center"/>
            </w:pPr>
            <w:r>
              <w:lastRenderedPageBreak/>
              <w:t xml:space="preserve"> </w:t>
            </w:r>
            <w:r w:rsidR="007705B8">
              <w:rPr>
                <w:noProof/>
              </w:rPr>
              <w:drawing>
                <wp:inline distT="0" distB="0" distL="0" distR="0" wp14:anchorId="3EBC1907" wp14:editId="5118F8C2">
                  <wp:extent cx="2619375" cy="1743075"/>
                  <wp:effectExtent l="0" t="0" r="9525" b="9525"/>
                  <wp:docPr id="31773" name="Image 31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84">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pic:spPr>
                      </pic:pic>
                    </a:graphicData>
                  </a:graphic>
                </wp:inline>
              </w:drawing>
            </w:r>
          </w:p>
          <w:p w14:paraId="2353FEDC" w14:textId="33938E05" w:rsidR="007705B8" w:rsidRDefault="007705B8" w:rsidP="007705B8">
            <w:pPr>
              <w:jc w:val="both"/>
            </w:pPr>
            <w:r w:rsidRPr="007C5A74">
              <w:t>Forage de Widou Thiengoli dans la région du Ferlo au Sénégal</w:t>
            </w:r>
            <w:r>
              <w:t xml:space="preserve">. © </w:t>
            </w:r>
            <w:r w:rsidRPr="007705B8">
              <w:t>Axel DUCOURNEAU/CNRS Photothèque</w:t>
            </w:r>
          </w:p>
        </w:tc>
        <w:tc>
          <w:tcPr>
            <w:tcW w:w="5208" w:type="dxa"/>
          </w:tcPr>
          <w:p w14:paraId="0F8CF619" w14:textId="77777777" w:rsidR="00D84BAF" w:rsidRDefault="007C5A74" w:rsidP="00D84BAF">
            <w:pPr>
              <w:jc w:val="center"/>
            </w:pPr>
            <w:r>
              <w:rPr>
                <w:noProof/>
              </w:rPr>
              <w:drawing>
                <wp:inline distT="0" distB="0" distL="0" distR="0" wp14:anchorId="5E173B5A" wp14:editId="695CC922">
                  <wp:extent cx="3200400" cy="1428750"/>
                  <wp:effectExtent l="0" t="0" r="0" b="0"/>
                  <wp:docPr id="31775" name="Image 31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85">
                            <a:extLst>
                              <a:ext uri="{28A0092B-C50C-407E-A947-70E740481C1C}">
                                <a14:useLocalDpi xmlns:a14="http://schemas.microsoft.com/office/drawing/2010/main" val="0"/>
                              </a:ext>
                            </a:extLst>
                          </a:blip>
                          <a:srcRect/>
                          <a:stretch>
                            <a:fillRect/>
                          </a:stretch>
                        </pic:blipFill>
                        <pic:spPr bwMode="auto">
                          <a:xfrm>
                            <a:off x="0" y="0"/>
                            <a:ext cx="3200400" cy="1428750"/>
                          </a:xfrm>
                          <a:prstGeom prst="rect">
                            <a:avLst/>
                          </a:prstGeom>
                          <a:noFill/>
                          <a:ln>
                            <a:noFill/>
                          </a:ln>
                        </pic:spPr>
                      </pic:pic>
                    </a:graphicData>
                  </a:graphic>
                </wp:inline>
              </w:drawing>
            </w:r>
          </w:p>
          <w:p w14:paraId="686512E3" w14:textId="124F2A21" w:rsidR="007C5A74" w:rsidRDefault="007C5A74" w:rsidP="00D84BAF">
            <w:pPr>
              <w:jc w:val="center"/>
            </w:pPr>
            <w:r>
              <w:t>Abreuvoirs dans le Ferlo (Sénégal) © FFEM</w:t>
            </w:r>
          </w:p>
        </w:tc>
      </w:tr>
    </w:tbl>
    <w:p w14:paraId="6229F290" w14:textId="57A3DA61" w:rsidR="00D84BAF" w:rsidRDefault="00D84BAF" w:rsidP="00D84BAF">
      <w:pPr>
        <w:spacing w:after="0" w:line="240" w:lineRule="auto"/>
        <w:jc w:val="center"/>
      </w:pPr>
    </w:p>
    <w:p w14:paraId="43FDAF4D" w14:textId="13D3B85D" w:rsidR="00EA1B77" w:rsidRDefault="00864446" w:rsidP="00D84BAF">
      <w:pPr>
        <w:spacing w:after="0" w:line="240" w:lineRule="auto"/>
        <w:jc w:val="center"/>
      </w:pPr>
      <w:r>
        <w:rPr>
          <w:noProof/>
        </w:rPr>
        <w:drawing>
          <wp:inline distT="0" distB="0" distL="0" distR="0" wp14:anchorId="52C4A86D" wp14:editId="657A093A">
            <wp:extent cx="4476750" cy="5651407"/>
            <wp:effectExtent l="0" t="0" r="0" b="6985"/>
            <wp:docPr id="198658" name="Image 198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386">
                      <a:extLst>
                        <a:ext uri="{28A0092B-C50C-407E-A947-70E740481C1C}">
                          <a14:useLocalDpi xmlns:a14="http://schemas.microsoft.com/office/drawing/2010/main" val="0"/>
                        </a:ext>
                      </a:extLst>
                    </a:blip>
                    <a:srcRect/>
                    <a:stretch>
                      <a:fillRect/>
                    </a:stretch>
                  </pic:blipFill>
                  <pic:spPr bwMode="auto">
                    <a:xfrm>
                      <a:off x="0" y="0"/>
                      <a:ext cx="4481569" cy="5657491"/>
                    </a:xfrm>
                    <a:prstGeom prst="rect">
                      <a:avLst/>
                    </a:prstGeom>
                    <a:noFill/>
                    <a:ln>
                      <a:noFill/>
                    </a:ln>
                  </pic:spPr>
                </pic:pic>
              </a:graphicData>
            </a:graphic>
          </wp:inline>
        </w:drawing>
      </w:r>
    </w:p>
    <w:p w14:paraId="384CBC31" w14:textId="06AEAC79" w:rsidR="005C24C5" w:rsidRDefault="007705B8" w:rsidP="00D84BAF">
      <w:pPr>
        <w:spacing w:after="0" w:line="240" w:lineRule="auto"/>
        <w:jc w:val="center"/>
      </w:pPr>
      <w:r w:rsidRPr="007705B8">
        <w:t>Evolution de la surface du sol en fonction de la distance au fourrage (FERLO SABLEUX)</w:t>
      </w:r>
      <w:r>
        <w:rPr>
          <w:rStyle w:val="Appelnotedebasdep"/>
        </w:rPr>
        <w:footnoteReference w:id="204"/>
      </w:r>
      <w:r>
        <w:t>.</w:t>
      </w:r>
    </w:p>
    <w:p w14:paraId="512F234F" w14:textId="77777777" w:rsidR="00EA1B77" w:rsidRDefault="00EA1B77" w:rsidP="00D84BAF">
      <w:pPr>
        <w:spacing w:after="0" w:line="240" w:lineRule="auto"/>
        <w:jc w:val="center"/>
      </w:pPr>
    </w:p>
    <w:p w14:paraId="3DE7B198" w14:textId="0E754679" w:rsidR="004F530D" w:rsidRDefault="004F530D" w:rsidP="004F530D">
      <w:pPr>
        <w:pStyle w:val="Titre2"/>
      </w:pPr>
      <w:bookmarkStart w:id="268" w:name="_Toc139181559"/>
      <w:r>
        <w:t>Le difficile respect des lois édictées pour les itinéraires transhumants</w:t>
      </w:r>
      <w:bookmarkEnd w:id="268"/>
    </w:p>
    <w:p w14:paraId="1EE49AA1" w14:textId="430CD3E7" w:rsidR="004F530D" w:rsidRDefault="004F530D" w:rsidP="007B1CA0">
      <w:pPr>
        <w:spacing w:after="0" w:line="240" w:lineRule="auto"/>
        <w:jc w:val="both"/>
      </w:pPr>
    </w:p>
    <w:p w14:paraId="6D71502E" w14:textId="4B2721EB" w:rsidR="004F2EC7" w:rsidRDefault="004F2EC7" w:rsidP="007B1CA0">
      <w:pPr>
        <w:spacing w:after="0" w:line="240" w:lineRule="auto"/>
        <w:jc w:val="both"/>
      </w:pPr>
      <w:r>
        <w:t>« </w:t>
      </w:r>
      <w:r w:rsidRPr="004F2EC7">
        <w:rPr>
          <w:i/>
          <w:iCs/>
        </w:rPr>
        <w:t>Ces dernières années, certains gouvernements ont pris conscience de l’importance de la mobilité du bétail pour les écosystèmes des zones arides. De nouvelles législations au Burkina Faso, en Guinée, au Mali et en Mauritanie affirment le droit des pasteurs de déplacer leurs animaux à l’intérieur et à travers les frontières nationales. Mais les autorités gouvernementales ont une compréhension limitée des systèmes pastoraux ; ces législations risquent donc d’être appliquées de manière excessivement technocratique et centralisée, et de continuer, en pratique, à entraver la mobilité. En outre, même si les divers processus d’intégration régionale à travers l’Afrique permettent la libre circulation des personnes et des biens, les pasteurs sont encore confrontés à de nombreuses difficultés pratiques lors des déplacements transfrontaliers de leurs animaux</w:t>
      </w:r>
      <w:r>
        <w:t> »</w:t>
      </w:r>
      <w:r w:rsidRPr="004F2EC7">
        <w:rPr>
          <w:rStyle w:val="Appelnotedebasdep"/>
        </w:rPr>
        <w:t xml:space="preserve"> </w:t>
      </w:r>
      <w:r>
        <w:rPr>
          <w:rStyle w:val="Appelnotedebasdep"/>
        </w:rPr>
        <w:footnoteReference w:id="205"/>
      </w:r>
      <w:r w:rsidRPr="004F2EC7">
        <w:t>.</w:t>
      </w:r>
    </w:p>
    <w:p w14:paraId="2EC3999F" w14:textId="77777777" w:rsidR="004F2EC7" w:rsidRDefault="004F2EC7" w:rsidP="007B1CA0">
      <w:pPr>
        <w:spacing w:after="0" w:line="240" w:lineRule="auto"/>
        <w:jc w:val="both"/>
      </w:pPr>
    </w:p>
    <w:p w14:paraId="5E2A0E59" w14:textId="401B2BEF" w:rsidR="004F530D" w:rsidRDefault="004F530D" w:rsidP="007B1CA0">
      <w:pPr>
        <w:spacing w:after="0" w:line="240" w:lineRule="auto"/>
        <w:jc w:val="both"/>
      </w:pPr>
      <w:r>
        <w:t xml:space="preserve">[Par exemple, ] </w:t>
      </w:r>
      <w:r w:rsidRPr="004F530D">
        <w:t>La Communauté Économique des États d’Afrique de l’Ouest (CEDEAO) a adopté en 1998 la décision A/DEC.5/10/98 pour encadrer et faciliter les transhumances transfrontalières, renforcée localement par des accords entre pays (Mauritanie-Sénégal-Mali, Niger-Burkina-Faso). Quinze ans après, ces textes de lois restent difficilement applicables sur le terrain et les éleveurs continuent de rencontrer des difficultés aux frontières</w:t>
      </w:r>
      <w:r w:rsidR="00D155C2">
        <w:rPr>
          <w:rStyle w:val="Appelnotedebasdep"/>
        </w:rPr>
        <w:footnoteReference w:id="206"/>
      </w:r>
      <w:r w:rsidRPr="004F530D">
        <w:t>.</w:t>
      </w:r>
    </w:p>
    <w:p w14:paraId="343AD252" w14:textId="77777777" w:rsidR="004F2EC7" w:rsidRDefault="004F2EC7" w:rsidP="004F2EC7">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4F2EC7" w14:paraId="00F00010" w14:textId="77777777" w:rsidTr="004A572C">
        <w:tc>
          <w:tcPr>
            <w:tcW w:w="5208" w:type="dxa"/>
          </w:tcPr>
          <w:p w14:paraId="4FA370B3" w14:textId="77777777" w:rsidR="004F2EC7" w:rsidRDefault="004F2EC7" w:rsidP="00F752F9">
            <w:pPr>
              <w:jc w:val="center"/>
            </w:pPr>
            <w:r>
              <w:rPr>
                <w:noProof/>
              </w:rPr>
              <w:drawing>
                <wp:inline distT="0" distB="0" distL="0" distR="0" wp14:anchorId="123F1445" wp14:editId="18F96639">
                  <wp:extent cx="3095625" cy="1824969"/>
                  <wp:effectExtent l="0" t="0" r="0" b="4445"/>
                  <wp:docPr id="31768" name="Image 31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87">
                            <a:extLst>
                              <a:ext uri="{28A0092B-C50C-407E-A947-70E740481C1C}">
                                <a14:useLocalDpi xmlns:a14="http://schemas.microsoft.com/office/drawing/2010/main" val="0"/>
                              </a:ext>
                            </a:extLst>
                          </a:blip>
                          <a:srcRect/>
                          <a:stretch>
                            <a:fillRect/>
                          </a:stretch>
                        </pic:blipFill>
                        <pic:spPr bwMode="auto">
                          <a:xfrm>
                            <a:off x="0" y="0"/>
                            <a:ext cx="3102915" cy="1829266"/>
                          </a:xfrm>
                          <a:prstGeom prst="rect">
                            <a:avLst/>
                          </a:prstGeom>
                          <a:noFill/>
                          <a:ln>
                            <a:noFill/>
                          </a:ln>
                        </pic:spPr>
                      </pic:pic>
                    </a:graphicData>
                  </a:graphic>
                </wp:inline>
              </w:drawing>
            </w:r>
          </w:p>
          <w:p w14:paraId="4C2765DB" w14:textId="3960BE10" w:rsidR="004F2EC7" w:rsidRDefault="004F2EC7" w:rsidP="00F752F9">
            <w:pPr>
              <w:jc w:val="center"/>
            </w:pPr>
            <w:r w:rsidRPr="00695841">
              <w:t>Certificat international de transhumance (CEDEAO)</w:t>
            </w:r>
            <w:r w:rsidR="004A572C">
              <w:t>.</w:t>
            </w:r>
          </w:p>
        </w:tc>
        <w:tc>
          <w:tcPr>
            <w:tcW w:w="5208" w:type="dxa"/>
          </w:tcPr>
          <w:p w14:paraId="763056DC" w14:textId="77777777" w:rsidR="004F2EC7" w:rsidRDefault="004A572C" w:rsidP="00F752F9">
            <w:pPr>
              <w:jc w:val="center"/>
            </w:pPr>
            <w:r w:rsidRPr="004A572C">
              <w:rPr>
                <w:noProof/>
              </w:rPr>
              <w:drawing>
                <wp:inline distT="0" distB="0" distL="0" distR="0" wp14:anchorId="6BC9AFC4" wp14:editId="30AD420B">
                  <wp:extent cx="3000375" cy="1293119"/>
                  <wp:effectExtent l="0" t="0" r="0" b="2540"/>
                  <wp:docPr id="31769" name="Image 31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88">
                            <a:extLst>
                              <a:ext uri="{28A0092B-C50C-407E-A947-70E740481C1C}">
                                <a14:useLocalDpi xmlns:a14="http://schemas.microsoft.com/office/drawing/2010/main" val="0"/>
                              </a:ext>
                            </a:extLst>
                          </a:blip>
                          <a:srcRect/>
                          <a:stretch>
                            <a:fillRect/>
                          </a:stretch>
                        </pic:blipFill>
                        <pic:spPr bwMode="auto">
                          <a:xfrm>
                            <a:off x="0" y="0"/>
                            <a:ext cx="3008337" cy="1296551"/>
                          </a:xfrm>
                          <a:prstGeom prst="rect">
                            <a:avLst/>
                          </a:prstGeom>
                          <a:noFill/>
                          <a:ln>
                            <a:noFill/>
                          </a:ln>
                        </pic:spPr>
                      </pic:pic>
                    </a:graphicData>
                  </a:graphic>
                </wp:inline>
              </w:drawing>
            </w:r>
          </w:p>
          <w:p w14:paraId="1E7B72CE" w14:textId="3CE50795" w:rsidR="004A572C" w:rsidRDefault="004A572C" w:rsidP="00F752F9">
            <w:pPr>
              <w:jc w:val="center"/>
            </w:pPr>
            <w:r w:rsidRPr="004A572C">
              <w:t>Des pasteurs du Kordofan Sud (Soudan) arrivent dans les pâturages de la saison des pluies au Kordofan Nord.</w:t>
            </w:r>
          </w:p>
        </w:tc>
      </w:tr>
      <w:tr w:rsidR="004A572C" w14:paraId="6F77184F" w14:textId="77777777" w:rsidTr="004A572C">
        <w:tc>
          <w:tcPr>
            <w:tcW w:w="5208" w:type="dxa"/>
          </w:tcPr>
          <w:p w14:paraId="684F87F9" w14:textId="77777777" w:rsidR="004A572C" w:rsidRDefault="004A572C" w:rsidP="00F752F9">
            <w:pPr>
              <w:jc w:val="center"/>
              <w:rPr>
                <w:noProof/>
              </w:rPr>
            </w:pPr>
            <w:r w:rsidRPr="004A572C">
              <w:rPr>
                <w:noProof/>
              </w:rPr>
              <w:drawing>
                <wp:inline distT="0" distB="0" distL="0" distR="0" wp14:anchorId="6832C0C7" wp14:editId="0E4F361A">
                  <wp:extent cx="3019425" cy="1590514"/>
                  <wp:effectExtent l="0" t="0" r="0" b="0"/>
                  <wp:docPr id="31770" name="Image 31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89">
                            <a:extLst>
                              <a:ext uri="{28A0092B-C50C-407E-A947-70E740481C1C}">
                                <a14:useLocalDpi xmlns:a14="http://schemas.microsoft.com/office/drawing/2010/main" val="0"/>
                              </a:ext>
                            </a:extLst>
                          </a:blip>
                          <a:srcRect/>
                          <a:stretch>
                            <a:fillRect/>
                          </a:stretch>
                        </pic:blipFill>
                        <pic:spPr bwMode="auto">
                          <a:xfrm>
                            <a:off x="0" y="0"/>
                            <a:ext cx="3024123" cy="1592989"/>
                          </a:xfrm>
                          <a:prstGeom prst="rect">
                            <a:avLst/>
                          </a:prstGeom>
                          <a:noFill/>
                          <a:ln>
                            <a:noFill/>
                          </a:ln>
                        </pic:spPr>
                      </pic:pic>
                    </a:graphicData>
                  </a:graphic>
                </wp:inline>
              </w:drawing>
            </w:r>
          </w:p>
          <w:p w14:paraId="7A3FE63B" w14:textId="1EDEABC8" w:rsidR="004A572C" w:rsidRDefault="004A572C" w:rsidP="004A572C">
            <w:pPr>
              <w:jc w:val="both"/>
              <w:rPr>
                <w:noProof/>
              </w:rPr>
            </w:pPr>
            <w:r w:rsidRPr="004A572C">
              <w:rPr>
                <w:noProof/>
              </w:rPr>
              <w:t>Un jeune éleveur peul mène un troupeau au pâturage à Dakoro, au nord du Niger</w:t>
            </w:r>
            <w:r>
              <w:rPr>
                <w:noProof/>
              </w:rPr>
              <w:t>.</w:t>
            </w:r>
          </w:p>
        </w:tc>
        <w:tc>
          <w:tcPr>
            <w:tcW w:w="5208" w:type="dxa"/>
          </w:tcPr>
          <w:p w14:paraId="59C244CE" w14:textId="77777777" w:rsidR="004A572C" w:rsidRDefault="004A572C" w:rsidP="00F752F9">
            <w:pPr>
              <w:jc w:val="center"/>
              <w:rPr>
                <w:noProof/>
              </w:rPr>
            </w:pPr>
            <w:r w:rsidRPr="004A572C">
              <w:rPr>
                <w:noProof/>
              </w:rPr>
              <w:drawing>
                <wp:inline distT="0" distB="0" distL="0" distR="0" wp14:anchorId="313B6FE5" wp14:editId="50B35C89">
                  <wp:extent cx="3128224" cy="1647825"/>
                  <wp:effectExtent l="0" t="0" r="0" b="0"/>
                  <wp:docPr id="31771" name="Image 31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90">
                            <a:extLst>
                              <a:ext uri="{28A0092B-C50C-407E-A947-70E740481C1C}">
                                <a14:useLocalDpi xmlns:a14="http://schemas.microsoft.com/office/drawing/2010/main" val="0"/>
                              </a:ext>
                            </a:extLst>
                          </a:blip>
                          <a:srcRect/>
                          <a:stretch>
                            <a:fillRect/>
                          </a:stretch>
                        </pic:blipFill>
                        <pic:spPr bwMode="auto">
                          <a:xfrm>
                            <a:off x="0" y="0"/>
                            <a:ext cx="3129394" cy="1648441"/>
                          </a:xfrm>
                          <a:prstGeom prst="rect">
                            <a:avLst/>
                          </a:prstGeom>
                          <a:noFill/>
                          <a:ln>
                            <a:noFill/>
                          </a:ln>
                        </pic:spPr>
                      </pic:pic>
                    </a:graphicData>
                  </a:graphic>
                </wp:inline>
              </w:drawing>
            </w:r>
          </w:p>
          <w:p w14:paraId="00704E43" w14:textId="35B28A83" w:rsidR="004A572C" w:rsidRPr="004A572C" w:rsidRDefault="004A572C" w:rsidP="004A572C">
            <w:pPr>
              <w:jc w:val="both"/>
              <w:rPr>
                <w:noProof/>
              </w:rPr>
            </w:pPr>
            <w:r w:rsidRPr="004A572C">
              <w:rPr>
                <w:noProof/>
              </w:rPr>
              <w:t>Des femmes mènent le bétail vers les pâturages et les ressources en eau à flanc de montagne le long de la frontière entre le Kenya et l’Ouganda à Oropoi, au Turkana</w:t>
            </w:r>
            <w:r>
              <w:rPr>
                <w:noProof/>
              </w:rPr>
              <w:t>.</w:t>
            </w:r>
          </w:p>
        </w:tc>
      </w:tr>
    </w:tbl>
    <w:p w14:paraId="7D0DE91E" w14:textId="1ABC6CD0" w:rsidR="007B1CA0" w:rsidRDefault="007B1CA0" w:rsidP="00CC712E">
      <w:pPr>
        <w:spacing w:after="0" w:line="240" w:lineRule="auto"/>
      </w:pPr>
    </w:p>
    <w:p w14:paraId="49A734D0" w14:textId="2EA1F3D1" w:rsidR="00D06F2D" w:rsidRDefault="00D06F2D" w:rsidP="00CC712E">
      <w:pPr>
        <w:spacing w:after="0" w:line="240" w:lineRule="auto"/>
      </w:pPr>
    </w:p>
    <w:p w14:paraId="1613741E" w14:textId="77777777" w:rsidR="00D06F2D" w:rsidRDefault="00D06F2D" w:rsidP="00CC712E">
      <w:pPr>
        <w:spacing w:after="0" w:line="240" w:lineRule="auto"/>
      </w:pPr>
    </w:p>
    <w:p w14:paraId="17E1E2EC" w14:textId="593A8B9E" w:rsidR="00202603" w:rsidRDefault="00202603" w:rsidP="00202603">
      <w:pPr>
        <w:pStyle w:val="Titre2"/>
      </w:pPr>
      <w:bookmarkStart w:id="269" w:name="_Toc139181560"/>
      <w:r>
        <w:lastRenderedPageBreak/>
        <w:t>Les avantages réciproques de la coopération éleveurs agriculteurs</w:t>
      </w:r>
      <w:bookmarkEnd w:id="269"/>
    </w:p>
    <w:p w14:paraId="360B1DB1" w14:textId="637EDB5A" w:rsidR="00202603" w:rsidRDefault="00202603" w:rsidP="00CC712E">
      <w:pPr>
        <w:spacing w:after="0" w:line="240" w:lineRule="auto"/>
      </w:pPr>
    </w:p>
    <w:p w14:paraId="14B1F38D" w14:textId="2F95838A" w:rsidR="00202603" w:rsidRDefault="00186F13" w:rsidP="00186F13">
      <w:pPr>
        <w:spacing w:after="0" w:line="240" w:lineRule="auto"/>
        <w:jc w:val="both"/>
      </w:pPr>
      <w:r>
        <w:t>« </w:t>
      </w:r>
      <w:r w:rsidRPr="00186F13">
        <w:rPr>
          <w:i/>
          <w:iCs/>
        </w:rPr>
        <w:t>Traditionnellement, les pasteurs et agriculteurs du Sahel ont bénéficié d’arrangements réciproques : les troupeaux transhumants enrichissent les champs des agriculteurs avec leur fumier ; le bétail des agriculteurs est élevé dans les zones pastorales environnantes ; les troupeaux des pasteurs constituent souvent la principale source d’animaux de traction. Ce sont des mouvements de bétail négociés avec soin qui rendent possibles de tels lien</w:t>
      </w:r>
      <w:r w:rsidRPr="00186F13">
        <w:t>s</w:t>
      </w:r>
      <w:r>
        <w:t> »</w:t>
      </w:r>
      <w:r>
        <w:rPr>
          <w:rStyle w:val="Appelnotedebasdep"/>
        </w:rPr>
        <w:footnoteReference w:id="207"/>
      </w:r>
      <w:r>
        <w:t>.</w:t>
      </w:r>
    </w:p>
    <w:p w14:paraId="5EA7619E" w14:textId="77777777" w:rsidR="00E034BB" w:rsidRDefault="00E034BB" w:rsidP="00CC712E">
      <w:pPr>
        <w:spacing w:after="0" w:line="240" w:lineRule="auto"/>
      </w:pPr>
    </w:p>
    <w:p w14:paraId="16D94815" w14:textId="77777777" w:rsidR="00CC712E" w:rsidRDefault="00CC712E" w:rsidP="00CC712E">
      <w:pPr>
        <w:pStyle w:val="Titre2"/>
      </w:pPr>
      <w:bookmarkStart w:id="270" w:name="_Toc139181561"/>
      <w:r>
        <w:t>Les conflits entre cultivateurs et pasteurs</w:t>
      </w:r>
      <w:bookmarkEnd w:id="270"/>
    </w:p>
    <w:p w14:paraId="28AEFF75" w14:textId="77777777" w:rsidR="00CC712E" w:rsidRDefault="00CC712E" w:rsidP="00CC712E">
      <w:pPr>
        <w:spacing w:after="0" w:line="240" w:lineRule="auto"/>
      </w:pPr>
    </w:p>
    <w:p w14:paraId="5C8AFD53" w14:textId="77777777" w:rsidR="00CC712E" w:rsidRDefault="00CC712E" w:rsidP="00CC712E">
      <w:pPr>
        <w:spacing w:after="0" w:line="240" w:lineRule="auto"/>
        <w:jc w:val="both"/>
      </w:pPr>
      <w:r w:rsidRPr="00561270">
        <w:t>Ils surviennent dans les zones rurales où les communautés d'agriculteurs et d'éleveurs se chevauchent</w:t>
      </w:r>
      <w:r>
        <w:t xml:space="preserve"> territorialement</w:t>
      </w:r>
      <w:r w:rsidRPr="00561270">
        <w:t>. Les conflits résultent généralement de la destruction des récoltes par le bétail et sont exacerbés pendant les périodes où l'eau et les terres à pâturer sont rares.</w:t>
      </w:r>
    </w:p>
    <w:p w14:paraId="5B25407A" w14:textId="57109C63" w:rsidR="00CC712E" w:rsidRDefault="00CC712E" w:rsidP="00CC712E">
      <w:pPr>
        <w:spacing w:after="0" w:line="240" w:lineRule="auto"/>
        <w:jc w:val="both"/>
      </w:pPr>
      <w:r>
        <w:t>Certains conflits territoriaux sont liés à l’accès, de plus en plus difficile, aux ressources _ à la nourriture et à l’eau _,</w:t>
      </w:r>
      <w:r w:rsidR="0050591F">
        <w:t xml:space="preserve"> </w:t>
      </w:r>
      <w:r>
        <w:t>entre agriculteurs et pasteurs nomades, peuvent déboucher sur du terrorisme, de vraies guerres, voire des massacres génocidaires de tribus par d’autres.</w:t>
      </w:r>
    </w:p>
    <w:p w14:paraId="3F2774AB" w14:textId="77777777" w:rsidR="00CC712E" w:rsidRDefault="00CC712E" w:rsidP="00CC712E">
      <w:pPr>
        <w:spacing w:after="0" w:line="240" w:lineRule="auto"/>
        <w:jc w:val="both"/>
      </w:pPr>
      <w:r w:rsidRPr="00F824AE">
        <w:t>Les dix pays les plus touchés par le terrorisme sont tous engagés dans au moins un conflit armé</w:t>
      </w:r>
      <w:r>
        <w:rPr>
          <w:rStyle w:val="Appelnotedebasdep"/>
        </w:rPr>
        <w:footnoteReference w:id="208"/>
      </w:r>
      <w:r w:rsidRPr="00F824AE">
        <w:t>.</w:t>
      </w:r>
    </w:p>
    <w:p w14:paraId="67B3909F" w14:textId="77777777" w:rsidR="00CC712E" w:rsidRDefault="00CC712E" w:rsidP="00CC712E">
      <w:pPr>
        <w:spacing w:after="0" w:line="240" w:lineRule="auto"/>
      </w:pPr>
    </w:p>
    <w:p w14:paraId="6EC00F0E" w14:textId="77777777" w:rsidR="00CC712E" w:rsidRDefault="00CC712E" w:rsidP="00CC712E">
      <w:pPr>
        <w:pStyle w:val="Titre3"/>
      </w:pPr>
      <w:bookmarkStart w:id="271" w:name="_Toc139181562"/>
      <w:r>
        <w:t>Au sahel</w:t>
      </w:r>
      <w:bookmarkEnd w:id="271"/>
    </w:p>
    <w:p w14:paraId="590E907C" w14:textId="77777777" w:rsidR="00CC712E" w:rsidRDefault="00CC712E" w:rsidP="00CC712E">
      <w:pPr>
        <w:spacing w:after="0" w:line="240" w:lineRule="auto"/>
      </w:pPr>
    </w:p>
    <w:p w14:paraId="1EC9BD64" w14:textId="77777777" w:rsidR="00CC712E" w:rsidRDefault="00CC712E" w:rsidP="00CC712E">
      <w:pPr>
        <w:spacing w:after="0" w:line="240" w:lineRule="auto"/>
      </w:pPr>
      <w:r>
        <w:t xml:space="preserve">Le désert, au Sahel, avance d’environ </w:t>
      </w:r>
      <w:r w:rsidRPr="009733B6">
        <w:t>3626 km2</w:t>
      </w:r>
      <w:r>
        <w:t xml:space="preserve"> par an, contribuant à la dégradation des terres et à l’exacerbation des conflits </w:t>
      </w:r>
      <w:r w:rsidRPr="00561270">
        <w:t>agriculteurs et</w:t>
      </w:r>
      <w:r>
        <w:t xml:space="preserve"> pasteurs.</w:t>
      </w:r>
    </w:p>
    <w:p w14:paraId="3C735EB9" w14:textId="77777777" w:rsidR="00CC712E" w:rsidRDefault="00CC712E" w:rsidP="00CC712E">
      <w:pPr>
        <w:spacing w:after="0" w:line="240" w:lineRule="auto"/>
      </w:pPr>
      <w:r>
        <w:t>De 2005 à 2013, il y a eu, au Sahel, 3871 conflits avec 55 morts, 12 blessés et 181 sinistrés (MRAH, 2013).</w:t>
      </w:r>
    </w:p>
    <w:p w14:paraId="3105BE4B" w14:textId="77777777" w:rsidR="00CC712E" w:rsidRDefault="00CC712E" w:rsidP="00CC712E">
      <w:pPr>
        <w:spacing w:after="0" w:line="240" w:lineRule="auto"/>
      </w:pPr>
    </w:p>
    <w:p w14:paraId="446209FA" w14:textId="77777777" w:rsidR="00CC712E" w:rsidRPr="00F824AE" w:rsidRDefault="00CC712E" w:rsidP="00CC712E">
      <w:pPr>
        <w:spacing w:after="0" w:line="240" w:lineRule="auto"/>
        <w:rPr>
          <w:u w:val="single"/>
        </w:rPr>
      </w:pPr>
      <w:r w:rsidRPr="00F824AE">
        <w:rPr>
          <w:u w:val="single"/>
        </w:rPr>
        <w:t>Au Mali</w:t>
      </w:r>
    </w:p>
    <w:p w14:paraId="0025A7A5" w14:textId="77777777" w:rsidR="00CC712E" w:rsidRDefault="00CC712E" w:rsidP="00CC712E">
      <w:pPr>
        <w:spacing w:after="0" w:line="240" w:lineRule="auto"/>
      </w:pPr>
    </w:p>
    <w:p w14:paraId="3F9D2707" w14:textId="38C89637" w:rsidR="00CC712E" w:rsidRDefault="00CC712E" w:rsidP="00CC712E">
      <w:pPr>
        <w:spacing w:after="0" w:line="240" w:lineRule="auto"/>
        <w:jc w:val="both"/>
      </w:pPr>
      <w:r>
        <w:t>Au</w:t>
      </w:r>
      <w:r w:rsidRPr="00F814E8">
        <w:t xml:space="preserve"> centre du Mali</w:t>
      </w:r>
      <w:r>
        <w:t>, i</w:t>
      </w:r>
      <w:r w:rsidRPr="00F814E8">
        <w:t>l existe depuis longtemps des conflits entre le peuple dogon</w:t>
      </w:r>
      <w:r>
        <w:t xml:space="preserve">, plutôt des agriculteurs sédentaires animistes, </w:t>
      </w:r>
      <w:r w:rsidRPr="00F814E8">
        <w:t>vi</w:t>
      </w:r>
      <w:r>
        <w:t>van</w:t>
      </w:r>
      <w:r w:rsidRPr="00F814E8">
        <w:t>t depuis des siècles dans les falaises de Bandiagara</w:t>
      </w:r>
      <w:r>
        <w:t>,</w:t>
      </w:r>
      <w:r w:rsidRPr="00F814E8">
        <w:t xml:space="preserve"> et les éleveurs peuls nomades</w:t>
      </w:r>
      <w:r>
        <w:t>, en général musulmans</w:t>
      </w:r>
      <w:r w:rsidRPr="00F814E8">
        <w:t>.</w:t>
      </w:r>
      <w:r>
        <w:t xml:space="preserve"> </w:t>
      </w:r>
      <w:r w:rsidRPr="00053CD2">
        <w:t>Ces derniers vivent dans plusieurs pays d'Afrique de l'Ouest (le Sénégal, Mali, Guinée, etc.) et d'Afrique</w:t>
      </w:r>
      <w:r w:rsidR="00E034BB">
        <w:t xml:space="preserve"> </w:t>
      </w:r>
      <w:r w:rsidRPr="00053CD2">
        <w:t>centrale (Centrafrique, Cameroun, etc.).</w:t>
      </w:r>
      <w:r w:rsidRPr="00F814E8">
        <w:t xml:space="preserve"> Les heurts</w:t>
      </w:r>
      <w:r>
        <w:t xml:space="preserve"> entre Dogons et Peuls</w:t>
      </w:r>
      <w:r w:rsidRPr="00F814E8">
        <w:t xml:space="preserve"> sont devenus de plus en plus violents depuis l'avènement des mouvements djihadistes dans le nord du pays en 2012.</w:t>
      </w:r>
    </w:p>
    <w:p w14:paraId="0AEF1954" w14:textId="77777777" w:rsidR="00CC712E" w:rsidRDefault="00CC712E" w:rsidP="00CC712E">
      <w:pPr>
        <w:spacing w:after="0" w:line="240" w:lineRule="auto"/>
        <w:jc w:val="both"/>
      </w:pPr>
    </w:p>
    <w:p w14:paraId="11AB6EF4" w14:textId="77777777" w:rsidR="00CC712E" w:rsidRDefault="00CC712E" w:rsidP="00CC712E">
      <w:pPr>
        <w:spacing w:after="0" w:line="240" w:lineRule="auto"/>
        <w:jc w:val="both"/>
      </w:pPr>
      <w:r w:rsidRPr="004D42FB">
        <w:t>Au Mali, les Dogons accusent souvent les Peuls de dévaster leurs champs et de détruire leurs récoltes pour nourrir leur bétail. L'histoire du voisinage entre Peuls et Dogons est jalonnée de tensions, qui sont quelquefois violentes. Mais ces heurts causés par la course aux ressources naturelles (terres, forêts, tec.) ont souvent été atténués par la négociation.</w:t>
      </w:r>
      <w:r>
        <w:t xml:space="preserve"> </w:t>
      </w:r>
      <w:r w:rsidRPr="005D1094">
        <w:t>Les Dogons, victimes des attaques djihadistes, accusent les Peuls de soutenir les groupes islamistes</w:t>
      </w:r>
      <w:r>
        <w:t>, ce que ces derniers démentent</w:t>
      </w:r>
      <w:r w:rsidRPr="005D1094">
        <w:t>. Les Peuls, eux, soutiennent que les groupes d'autodéfense dogons bénéficient du soutien du gouvernement. Ils accusent les Dogons d'être responsables des atrocités dont ils sont victimes, ce que démentent les mis en cause.</w:t>
      </w:r>
      <w:r>
        <w:t xml:space="preserve"> </w:t>
      </w:r>
      <w:r w:rsidRPr="005D1094">
        <w:t>Le 23 février 2019, une attaque aurait fait au moins 130 morts parmi les Peuls. En 2018, 202 civils ont été tués dans des violences communautaires, lors de 42 attaques, dans la région de Mopti, au Mali, selon Human Rights Watch (HRW)</w:t>
      </w:r>
      <w:r>
        <w:rPr>
          <w:rStyle w:val="Appelnotedebasdep"/>
        </w:rPr>
        <w:footnoteReference w:id="209"/>
      </w:r>
      <w:r w:rsidRPr="005D1094">
        <w:t>.</w:t>
      </w:r>
    </w:p>
    <w:p w14:paraId="78CC4C65" w14:textId="77777777" w:rsidR="00CC712E" w:rsidRDefault="00CC712E" w:rsidP="00CC712E">
      <w:pPr>
        <w:spacing w:after="0" w:line="240" w:lineRule="auto"/>
      </w:pPr>
    </w:p>
    <w:p w14:paraId="509BC304" w14:textId="77777777" w:rsidR="00CC712E" w:rsidRPr="00F824AE" w:rsidRDefault="00CC712E" w:rsidP="00CC712E">
      <w:pPr>
        <w:spacing w:after="0" w:line="240" w:lineRule="auto"/>
        <w:rPr>
          <w:u w:val="single"/>
        </w:rPr>
      </w:pPr>
      <w:r w:rsidRPr="00F824AE">
        <w:rPr>
          <w:u w:val="single"/>
        </w:rPr>
        <w:t>Au Nigéria</w:t>
      </w:r>
    </w:p>
    <w:p w14:paraId="029541E7" w14:textId="77777777" w:rsidR="00CC712E" w:rsidRDefault="00CC712E" w:rsidP="00CC712E">
      <w:pPr>
        <w:spacing w:after="0" w:line="240" w:lineRule="auto"/>
      </w:pPr>
    </w:p>
    <w:p w14:paraId="330DFF67" w14:textId="77777777" w:rsidR="00CC712E" w:rsidRDefault="00CC712E" w:rsidP="00CC712E">
      <w:pPr>
        <w:spacing w:after="0" w:line="240" w:lineRule="auto"/>
        <w:jc w:val="both"/>
        <w:rPr>
          <w:rFonts w:ascii="Calibri" w:hAnsi="Calibri" w:cs="Calibri"/>
        </w:rPr>
      </w:pPr>
      <w:r w:rsidRPr="00230DB7">
        <w:rPr>
          <w:rFonts w:ascii="Calibri" w:hAnsi="Calibri" w:cs="Calibri"/>
          <w:color w:val="000000" w:themeColor="text1"/>
        </w:rPr>
        <w:t xml:space="preserve">Le plus emblématique de ces conflits entre éleveurs et agriculteurs se situe au Nigéria, impliquant des </w:t>
      </w:r>
      <w:r w:rsidRPr="00230DB7">
        <w:rPr>
          <w:rFonts w:ascii="Calibri" w:hAnsi="Calibri" w:cs="Calibri"/>
          <w:color w:val="000000" w:themeColor="text1"/>
          <w:shd w:val="clear" w:color="auto" w:fill="FFFFFF"/>
        </w:rPr>
        <w:t>différends, sur les ressources, foncières</w:t>
      </w:r>
      <w:r>
        <w:rPr>
          <w:rFonts w:ascii="Calibri" w:hAnsi="Calibri" w:cs="Calibri"/>
          <w:color w:val="000000" w:themeColor="text1"/>
          <w:shd w:val="clear" w:color="auto" w:fill="FFFFFF"/>
        </w:rPr>
        <w:t>,</w:t>
      </w:r>
      <w:r w:rsidRPr="00230DB7">
        <w:rPr>
          <w:rFonts w:ascii="Calibri" w:hAnsi="Calibri" w:cs="Calibri"/>
          <w:color w:val="000000" w:themeColor="text1"/>
          <w:shd w:val="clear" w:color="auto" w:fill="FFFFFF"/>
        </w:rPr>
        <w:t xml:space="preserve"> entre des éleveurs </w:t>
      </w:r>
      <w:hyperlink r:id="rId3391" w:tooltip="Peul" w:history="1">
        <w:r w:rsidRPr="00230DB7">
          <w:rPr>
            <w:rStyle w:val="Lienhypertexte"/>
            <w:rFonts w:ascii="Calibri" w:hAnsi="Calibri" w:cs="Calibri"/>
            <w:color w:val="0645AD"/>
            <w:shd w:val="clear" w:color="auto" w:fill="FFFFFF"/>
          </w:rPr>
          <w:t>peuls</w:t>
        </w:r>
      </w:hyperlink>
      <w:r w:rsidRPr="00230DB7">
        <w:rPr>
          <w:rFonts w:ascii="Calibri" w:hAnsi="Calibri" w:cs="Calibri"/>
          <w:color w:val="202122"/>
          <w:shd w:val="clear" w:color="auto" w:fill="FFFFFF"/>
        </w:rPr>
        <w:t> </w:t>
      </w:r>
      <w:r w:rsidRPr="00230DB7">
        <w:rPr>
          <w:rFonts w:ascii="Calibri" w:hAnsi="Calibri" w:cs="Calibri"/>
          <w:color w:val="000000" w:themeColor="text1"/>
          <w:shd w:val="clear" w:color="auto" w:fill="FFFFFF"/>
        </w:rPr>
        <w:t xml:space="preserve">musulmans pour la plupart et des agriculteurs chrétiens pour la </w:t>
      </w:r>
      <w:r w:rsidRPr="00230DB7">
        <w:rPr>
          <w:rFonts w:ascii="Calibri" w:hAnsi="Calibri" w:cs="Calibri"/>
          <w:color w:val="000000" w:themeColor="text1"/>
          <w:shd w:val="clear" w:color="auto" w:fill="FFFFFF"/>
        </w:rPr>
        <w:lastRenderedPageBreak/>
        <w:t>plupart à travers le Nigeria, mais plus dévastateurs dans le </w:t>
      </w:r>
      <w:hyperlink r:id="rId3392" w:tooltip="Ceinture moyenne" w:history="1">
        <w:r w:rsidRPr="00230DB7">
          <w:rPr>
            <w:rStyle w:val="Lienhypertexte"/>
            <w:rFonts w:ascii="Calibri" w:hAnsi="Calibri" w:cs="Calibri"/>
            <w:color w:val="0645AD"/>
            <w:shd w:val="clear" w:color="auto" w:fill="FFFFFF"/>
          </w:rPr>
          <w:t>Middle Belt</w:t>
        </w:r>
      </w:hyperlink>
      <w:r w:rsidRPr="00230DB7">
        <w:rPr>
          <w:rFonts w:ascii="Calibri" w:hAnsi="Calibri" w:cs="Calibri"/>
          <w:color w:val="202122"/>
          <w:shd w:val="clear" w:color="auto" w:fill="FFFFFF"/>
        </w:rPr>
        <w:t> </w:t>
      </w:r>
      <w:r w:rsidRPr="00230DB7">
        <w:rPr>
          <w:rFonts w:ascii="Calibri" w:hAnsi="Calibri" w:cs="Calibri"/>
          <w:color w:val="000000" w:themeColor="text1"/>
          <w:shd w:val="clear" w:color="auto" w:fill="FFFFFF"/>
        </w:rPr>
        <w:t>(</w:t>
      </w:r>
      <w:r>
        <w:rPr>
          <w:rFonts w:ascii="Calibri" w:hAnsi="Calibri" w:cs="Calibri"/>
          <w:color w:val="000000" w:themeColor="text1"/>
          <w:shd w:val="clear" w:color="auto" w:fill="FFFFFF"/>
        </w:rPr>
        <w:t xml:space="preserve">« ceinture centrale », </w:t>
      </w:r>
      <w:r w:rsidRPr="00230DB7">
        <w:rPr>
          <w:rFonts w:ascii="Calibri" w:hAnsi="Calibri" w:cs="Calibri"/>
          <w:color w:val="000000" w:themeColor="text1"/>
          <w:shd w:val="clear" w:color="auto" w:fill="FFFFFF"/>
        </w:rPr>
        <w:t>centre-nord) depuis le retour de la démocratie en 1999. Mais plus récemment, il s'est détérioré en attaques terroristes contre des agriculteurs</w:t>
      </w:r>
      <w:r>
        <w:rPr>
          <w:rFonts w:ascii="Calibri" w:hAnsi="Calibri" w:cs="Calibri"/>
          <w:color w:val="000000" w:themeColor="text1"/>
          <w:shd w:val="clear" w:color="auto" w:fill="FFFFFF"/>
        </w:rPr>
        <w:t>,</w:t>
      </w:r>
      <w:r w:rsidRPr="00230DB7">
        <w:rPr>
          <w:rFonts w:ascii="Calibri" w:hAnsi="Calibri" w:cs="Calibri"/>
          <w:color w:val="000000" w:themeColor="text1"/>
          <w:shd w:val="clear" w:color="auto" w:fill="FFFFFF"/>
        </w:rPr>
        <w:t xml:space="preserve"> par des bergers peuls</w:t>
      </w:r>
      <w:r>
        <w:rPr>
          <w:rFonts w:ascii="Calibri" w:hAnsi="Calibri" w:cs="Calibri"/>
          <w:color w:val="000000" w:themeColor="text1"/>
          <w:shd w:val="clear" w:color="auto" w:fill="FFFFFF"/>
        </w:rPr>
        <w:t xml:space="preserve"> – Les extrémistes Peuls serait</w:t>
      </w:r>
      <w:r w:rsidRPr="00230DB7">
        <w:rPr>
          <w:rFonts w:ascii="Calibri" w:hAnsi="Calibri" w:cs="Calibri"/>
          <w:color w:val="000000" w:themeColor="text1"/>
          <w:shd w:val="clear" w:color="auto" w:fill="FFFFFF"/>
        </w:rPr>
        <w:t xml:space="preserve"> le quatrième groupe terroriste le plus meurtrier au monde selon </w:t>
      </w:r>
      <w:r w:rsidRPr="00230DB7">
        <w:rPr>
          <w:rFonts w:ascii="Calibri" w:hAnsi="Calibri" w:cs="Calibri"/>
          <w:color w:val="202122"/>
          <w:shd w:val="clear" w:color="auto" w:fill="FFFFFF"/>
        </w:rPr>
        <w:t>l'</w:t>
      </w:r>
      <w:hyperlink r:id="rId3393" w:tooltip="Indice mondial du terrorisme" w:history="1">
        <w:r w:rsidRPr="00230DB7">
          <w:rPr>
            <w:rStyle w:val="Lienhypertexte"/>
            <w:rFonts w:ascii="Calibri" w:hAnsi="Calibri" w:cs="Calibri"/>
            <w:color w:val="0645AD"/>
            <w:shd w:val="clear" w:color="auto" w:fill="FFFFFF"/>
          </w:rPr>
          <w:t>indice mondial du terrorisme</w:t>
        </w:r>
      </w:hyperlink>
      <w:r w:rsidRPr="00230DB7">
        <w:rPr>
          <w:rFonts w:ascii="Calibri" w:hAnsi="Calibri" w:cs="Calibri"/>
          <w:color w:val="202122"/>
          <w:shd w:val="clear" w:color="auto" w:fill="FFFFFF"/>
        </w:rPr>
        <w:t>.</w:t>
      </w:r>
      <w:r w:rsidRPr="00230DB7">
        <w:rPr>
          <w:rFonts w:ascii="Calibri" w:hAnsi="Calibri" w:cs="Calibri"/>
        </w:rPr>
        <w:t xml:space="preserve"> </w:t>
      </w:r>
    </w:p>
    <w:p w14:paraId="3B0BED02" w14:textId="77777777" w:rsidR="00CC712E" w:rsidRDefault="00CC712E" w:rsidP="00CC712E">
      <w:pPr>
        <w:spacing w:after="0" w:line="240" w:lineRule="auto"/>
        <w:jc w:val="both"/>
        <w:rPr>
          <w:rFonts w:ascii="Calibri" w:hAnsi="Calibri" w:cs="Calibri"/>
        </w:rPr>
      </w:pPr>
      <w:r>
        <w:rPr>
          <w:rFonts w:ascii="Calibri" w:hAnsi="Calibri" w:cs="Calibri"/>
        </w:rPr>
        <w:t xml:space="preserve">En général, on distingue les </w:t>
      </w:r>
      <w:r>
        <w:rPr>
          <w:rFonts w:ascii="Calibri" w:hAnsi="Calibri" w:cs="Calibri"/>
          <w:color w:val="000000" w:themeColor="text1"/>
          <w:shd w:val="clear" w:color="auto" w:fill="FFFFFF"/>
        </w:rPr>
        <w:t xml:space="preserve">extrémistes Peuls du groupe djihadiste Boko Haram, </w:t>
      </w:r>
      <w:r w:rsidRPr="009444E9">
        <w:rPr>
          <w:rFonts w:ascii="Calibri" w:hAnsi="Calibri" w:cs="Calibri"/>
          <w:color w:val="000000" w:themeColor="text1"/>
          <w:shd w:val="clear" w:color="auto" w:fill="FFFFFF"/>
        </w:rPr>
        <w:t>qui a été le groupe terroriste le plus actif du pays au cours de la dernière décennie</w:t>
      </w:r>
      <w:r>
        <w:rPr>
          <w:rStyle w:val="Appelnotedebasdep"/>
          <w:rFonts w:ascii="Calibri" w:hAnsi="Calibri" w:cs="Calibri"/>
          <w:color w:val="000000" w:themeColor="text1"/>
          <w:shd w:val="clear" w:color="auto" w:fill="FFFFFF"/>
        </w:rPr>
        <w:footnoteReference w:id="210"/>
      </w:r>
      <w:r w:rsidRPr="009444E9">
        <w:rPr>
          <w:rFonts w:ascii="Calibri" w:hAnsi="Calibri" w:cs="Calibri"/>
          <w:color w:val="000000" w:themeColor="text1"/>
          <w:shd w:val="clear" w:color="auto" w:fill="FFFFFF"/>
        </w:rPr>
        <w:t>.</w:t>
      </w:r>
    </w:p>
    <w:p w14:paraId="5390475B" w14:textId="77777777" w:rsidR="00CC712E" w:rsidRDefault="00CC712E" w:rsidP="00CC712E">
      <w:pPr>
        <w:spacing w:after="0" w:line="240" w:lineRule="auto"/>
        <w:jc w:val="both"/>
        <w:rPr>
          <w:rFonts w:ascii="Calibri" w:hAnsi="Calibri" w:cs="Calibri"/>
        </w:rPr>
      </w:pPr>
    </w:p>
    <w:p w14:paraId="610E61E5" w14:textId="77777777" w:rsidR="00CC712E" w:rsidRDefault="00CC712E" w:rsidP="00CC712E">
      <w:pPr>
        <w:spacing w:after="0" w:line="240" w:lineRule="auto"/>
        <w:jc w:val="both"/>
        <w:rPr>
          <w:rFonts w:ascii="Calibri" w:hAnsi="Calibri" w:cs="Calibri"/>
        </w:rPr>
      </w:pPr>
      <w:r w:rsidRPr="00C96360">
        <w:rPr>
          <w:rFonts w:ascii="Calibri" w:hAnsi="Calibri" w:cs="Calibri"/>
        </w:rPr>
        <w:t>Si le conflit a des raisons économiques et environnementales sous-jacentes, il a également acquis des dimensions religieuses et ethniques. Des milliers de personnes sont mortes depuis le début de ces attaques</w:t>
      </w:r>
      <w:r>
        <w:rPr>
          <w:rFonts w:ascii="Calibri" w:hAnsi="Calibri" w:cs="Calibri"/>
        </w:rPr>
        <w:t xml:space="preserve"> : </w:t>
      </w:r>
      <w:r w:rsidRPr="00D51553">
        <w:rPr>
          <w:rFonts w:ascii="Calibri" w:hAnsi="Calibri" w:cs="Calibri"/>
        </w:rPr>
        <w:t>La violence entre agriculteurs et éleveurs a tué plus de 19 000 personnes et déplacé des centaines de milliers d'autres</w:t>
      </w:r>
      <w:r>
        <w:rPr>
          <w:rFonts w:ascii="Calibri" w:hAnsi="Calibri" w:cs="Calibri"/>
        </w:rPr>
        <w:t>.</w:t>
      </w:r>
      <w:r w:rsidRPr="00C96360">
        <w:rPr>
          <w:rFonts w:ascii="Calibri" w:hAnsi="Calibri" w:cs="Calibri"/>
        </w:rPr>
        <w:t xml:space="preserve"> Les communautés rurales agricoles sédentaires sont souvent la cible d'attaques en raison de leur vulnérabilité</w:t>
      </w:r>
      <w:r>
        <w:rPr>
          <w:rStyle w:val="Appelnotedebasdep"/>
          <w:rFonts w:ascii="Calibri" w:hAnsi="Calibri" w:cs="Calibri"/>
        </w:rPr>
        <w:footnoteReference w:id="211"/>
      </w:r>
      <w:r w:rsidRPr="00C96360">
        <w:rPr>
          <w:rFonts w:ascii="Calibri" w:hAnsi="Calibri" w:cs="Calibri"/>
        </w:rPr>
        <w:t>. On craint que ce conflit</w:t>
      </w:r>
      <w:r>
        <w:rPr>
          <w:rFonts w:ascii="Calibri" w:hAnsi="Calibri" w:cs="Calibri"/>
        </w:rPr>
        <w:t xml:space="preserve">, </w:t>
      </w:r>
      <w:r w:rsidRPr="00C96360">
        <w:rPr>
          <w:rFonts w:ascii="Calibri" w:hAnsi="Calibri" w:cs="Calibri"/>
        </w:rPr>
        <w:t>souvent minimisé par les gouvernements de la région</w:t>
      </w:r>
      <w:r>
        <w:rPr>
          <w:rFonts w:ascii="Calibri" w:hAnsi="Calibri" w:cs="Calibri"/>
        </w:rPr>
        <w:t>,</w:t>
      </w:r>
      <w:r w:rsidRPr="00C96360">
        <w:rPr>
          <w:rFonts w:ascii="Calibri" w:hAnsi="Calibri" w:cs="Calibri"/>
        </w:rPr>
        <w:t xml:space="preserve"> ne s'étende</w:t>
      </w:r>
      <w:r>
        <w:rPr>
          <w:rFonts w:ascii="Calibri" w:hAnsi="Calibri" w:cs="Calibri"/>
        </w:rPr>
        <w:t xml:space="preserve"> (face tache d’huile)</w:t>
      </w:r>
      <w:r w:rsidRPr="00C96360">
        <w:rPr>
          <w:rFonts w:ascii="Calibri" w:hAnsi="Calibri" w:cs="Calibri"/>
        </w:rPr>
        <w:t xml:space="preserve"> à d'autres pays d'Afrique de l'Ouest.</w:t>
      </w:r>
      <w:r>
        <w:rPr>
          <w:rFonts w:ascii="Calibri" w:hAnsi="Calibri" w:cs="Calibri"/>
        </w:rPr>
        <w:t xml:space="preserve"> </w:t>
      </w:r>
    </w:p>
    <w:p w14:paraId="3A7B6EAC" w14:textId="77777777" w:rsidR="00DA7479" w:rsidRDefault="00DA7479" w:rsidP="00CC712E">
      <w:pPr>
        <w:spacing w:after="0" w:line="240" w:lineRule="auto"/>
        <w:jc w:val="both"/>
        <w:rPr>
          <w:rFonts w:ascii="Calibri" w:hAnsi="Calibri" w:cs="Calibri"/>
        </w:rPr>
      </w:pPr>
    </w:p>
    <w:p w14:paraId="312B5685" w14:textId="77777777" w:rsidR="00CC712E" w:rsidRPr="00B10A94" w:rsidRDefault="00CC712E" w:rsidP="00CC712E">
      <w:pPr>
        <w:spacing w:after="0" w:line="240" w:lineRule="auto"/>
        <w:rPr>
          <w:rFonts w:ascii="Calibri" w:hAnsi="Calibri" w:cs="Calibri"/>
          <w:u w:val="single"/>
        </w:rPr>
      </w:pPr>
      <w:r w:rsidRPr="00B10A94">
        <w:rPr>
          <w:rFonts w:ascii="Calibri" w:hAnsi="Calibri" w:cs="Calibri"/>
          <w:u w:val="single"/>
        </w:rPr>
        <w:t>République centrafricaine</w:t>
      </w:r>
    </w:p>
    <w:p w14:paraId="66A30973" w14:textId="77777777" w:rsidR="00CC712E" w:rsidRDefault="00CC712E" w:rsidP="00CC712E">
      <w:pPr>
        <w:spacing w:after="0" w:line="240" w:lineRule="auto"/>
        <w:jc w:val="both"/>
        <w:rPr>
          <w:rFonts w:ascii="Calibri" w:hAnsi="Calibri" w:cs="Calibri"/>
        </w:rPr>
      </w:pPr>
    </w:p>
    <w:p w14:paraId="17AE7884" w14:textId="77777777" w:rsidR="00CC712E" w:rsidRDefault="00CC712E" w:rsidP="00CC712E">
      <w:pPr>
        <w:spacing w:after="0" w:line="240" w:lineRule="auto"/>
        <w:jc w:val="both"/>
        <w:rPr>
          <w:rFonts w:ascii="Calibri" w:hAnsi="Calibri" w:cs="Calibri"/>
        </w:rPr>
      </w:pPr>
      <w:r w:rsidRPr="00B10A94">
        <w:rPr>
          <w:rFonts w:ascii="Calibri" w:hAnsi="Calibri" w:cs="Calibri"/>
        </w:rPr>
        <w:t>Lors de la guerre civile en République centrafricaine, une grande partie des combats a opposé des groupes rebelles, a) l</w:t>
      </w:r>
      <w:r>
        <w:rPr>
          <w:rFonts w:ascii="Calibri" w:hAnsi="Calibri" w:cs="Calibri"/>
        </w:rPr>
        <w:t xml:space="preserve">e groupe </w:t>
      </w:r>
      <w:r w:rsidRPr="00B10A94">
        <w:rPr>
          <w:rFonts w:ascii="Calibri" w:hAnsi="Calibri" w:cs="Calibri"/>
        </w:rPr>
        <w:t>ex-Séléka composé de personnes issues de groupes nomades, tels que les Peuls, Gula et Runga, majoritairement musulmanes</w:t>
      </w:r>
      <w:r>
        <w:rPr>
          <w:rFonts w:ascii="Calibri" w:hAnsi="Calibri" w:cs="Calibri"/>
        </w:rPr>
        <w:t>,</w:t>
      </w:r>
      <w:r w:rsidRPr="00B10A94">
        <w:rPr>
          <w:rFonts w:ascii="Calibri" w:hAnsi="Calibri" w:cs="Calibri"/>
        </w:rPr>
        <w:t xml:space="preserve"> et b) le groupe anti-balaka composé de groupes d'agriculteurs majoritairement chrétiens et animistes</w:t>
      </w:r>
      <w:r>
        <w:rPr>
          <w:rStyle w:val="Appelnotedebasdep"/>
          <w:rFonts w:ascii="Calibri" w:hAnsi="Calibri" w:cs="Calibri"/>
        </w:rPr>
        <w:footnoteReference w:id="212"/>
      </w:r>
      <w:r>
        <w:rPr>
          <w:rFonts w:ascii="Calibri" w:hAnsi="Calibri" w:cs="Calibri"/>
        </w:rPr>
        <w:t>.</w:t>
      </w:r>
    </w:p>
    <w:p w14:paraId="4F742648" w14:textId="77777777" w:rsidR="00CC712E" w:rsidRDefault="00CC712E" w:rsidP="00CC712E">
      <w:pPr>
        <w:spacing w:after="0" w:line="240" w:lineRule="auto"/>
        <w:jc w:val="both"/>
        <w:rPr>
          <w:rFonts w:ascii="Calibri" w:hAnsi="Calibri" w:cs="Calibri"/>
        </w:rPr>
      </w:pPr>
    </w:p>
    <w:p w14:paraId="3841634E" w14:textId="77777777" w:rsidR="00CC712E" w:rsidRPr="00B10A94" w:rsidRDefault="00CC712E" w:rsidP="00CC712E">
      <w:pPr>
        <w:spacing w:after="0" w:line="240" w:lineRule="auto"/>
        <w:jc w:val="both"/>
        <w:rPr>
          <w:rFonts w:ascii="Calibri" w:hAnsi="Calibri" w:cs="Calibri"/>
          <w:u w:val="single"/>
        </w:rPr>
      </w:pPr>
      <w:r w:rsidRPr="00B10A94">
        <w:rPr>
          <w:rFonts w:ascii="Calibri" w:hAnsi="Calibri" w:cs="Calibri"/>
          <w:u w:val="single"/>
        </w:rPr>
        <w:t>Causes</w:t>
      </w:r>
    </w:p>
    <w:p w14:paraId="3F8B7197" w14:textId="77777777" w:rsidR="00CC712E" w:rsidRDefault="00CC712E" w:rsidP="00CC712E">
      <w:pPr>
        <w:spacing w:after="0" w:line="240" w:lineRule="auto"/>
        <w:jc w:val="both"/>
        <w:rPr>
          <w:rFonts w:ascii="Calibri" w:hAnsi="Calibri" w:cs="Calibri"/>
        </w:rPr>
      </w:pPr>
    </w:p>
    <w:p w14:paraId="639187EB" w14:textId="77777777" w:rsidR="00CC712E" w:rsidRDefault="00CC712E" w:rsidP="00CC712E">
      <w:pPr>
        <w:spacing w:after="0" w:line="240" w:lineRule="auto"/>
        <w:jc w:val="both"/>
        <w:rPr>
          <w:rFonts w:ascii="Calibri" w:hAnsi="Calibri" w:cs="Calibri"/>
        </w:rPr>
      </w:pPr>
      <w:r>
        <w:rPr>
          <w:rFonts w:ascii="Calibri" w:hAnsi="Calibri" w:cs="Calibri"/>
        </w:rPr>
        <w:t>Les causes de ces conflits sont liées à :</w:t>
      </w:r>
    </w:p>
    <w:p w14:paraId="611828F2" w14:textId="77777777" w:rsidR="00CC712E" w:rsidRDefault="00CC712E" w:rsidP="00CC712E">
      <w:pPr>
        <w:spacing w:after="0" w:line="240" w:lineRule="auto"/>
        <w:jc w:val="both"/>
        <w:rPr>
          <w:rFonts w:ascii="Calibri" w:hAnsi="Calibri" w:cs="Calibri"/>
        </w:rPr>
      </w:pPr>
    </w:p>
    <w:p w14:paraId="76E7BF4D" w14:textId="77777777" w:rsidR="00CC712E" w:rsidRDefault="00CC712E" w:rsidP="00CC712E">
      <w:pPr>
        <w:spacing w:after="0" w:line="240" w:lineRule="auto"/>
        <w:jc w:val="both"/>
        <w:rPr>
          <w:rFonts w:ascii="Calibri" w:hAnsi="Calibri" w:cs="Calibri"/>
        </w:rPr>
      </w:pPr>
      <w:r>
        <w:rPr>
          <w:rFonts w:ascii="Calibri" w:hAnsi="Calibri" w:cs="Calibri"/>
        </w:rPr>
        <w:t xml:space="preserve">a) la </w:t>
      </w:r>
      <w:r w:rsidRPr="00D51553">
        <w:rPr>
          <w:rFonts w:ascii="Calibri" w:hAnsi="Calibri" w:cs="Calibri"/>
        </w:rPr>
        <w:t>croissance démographique</w:t>
      </w:r>
      <w:r>
        <w:rPr>
          <w:rFonts w:ascii="Calibri" w:hAnsi="Calibri" w:cs="Calibri"/>
        </w:rPr>
        <w:t xml:space="preserve"> et </w:t>
      </w:r>
      <w:r w:rsidRPr="00D51553">
        <w:rPr>
          <w:rFonts w:ascii="Calibri" w:hAnsi="Calibri" w:cs="Calibri"/>
        </w:rPr>
        <w:t>une expansion de la population agricole et des terres cultivées</w:t>
      </w:r>
      <w:r>
        <w:rPr>
          <w:rFonts w:ascii="Calibri" w:hAnsi="Calibri" w:cs="Calibri"/>
        </w:rPr>
        <w:t>,</w:t>
      </w:r>
      <w:r w:rsidRPr="00D51553">
        <w:rPr>
          <w:rFonts w:ascii="Calibri" w:hAnsi="Calibri" w:cs="Calibri"/>
        </w:rPr>
        <w:t xml:space="preserve"> aux dépens des pâturages</w:t>
      </w:r>
      <w:r>
        <w:rPr>
          <w:rFonts w:ascii="Calibri" w:hAnsi="Calibri" w:cs="Calibri"/>
        </w:rPr>
        <w:t>.</w:t>
      </w:r>
    </w:p>
    <w:p w14:paraId="33A2E2B0" w14:textId="77777777" w:rsidR="00CC712E" w:rsidRDefault="00CC712E" w:rsidP="00CC712E">
      <w:pPr>
        <w:spacing w:after="0" w:line="240" w:lineRule="auto"/>
        <w:jc w:val="both"/>
        <w:rPr>
          <w:rFonts w:ascii="Calibri" w:hAnsi="Calibri" w:cs="Calibri"/>
        </w:rPr>
      </w:pPr>
      <w:r>
        <w:rPr>
          <w:rFonts w:ascii="Calibri" w:hAnsi="Calibri" w:cs="Calibri"/>
        </w:rPr>
        <w:t xml:space="preserve">b) la </w:t>
      </w:r>
      <w:r w:rsidRPr="00D51553">
        <w:rPr>
          <w:rFonts w:ascii="Calibri" w:hAnsi="Calibri" w:cs="Calibri"/>
        </w:rPr>
        <w:t xml:space="preserve">détérioration des conditions environnementales, </w:t>
      </w:r>
      <w:r>
        <w:rPr>
          <w:rFonts w:ascii="Calibri" w:hAnsi="Calibri" w:cs="Calibri"/>
        </w:rPr>
        <w:t xml:space="preserve">la </w:t>
      </w:r>
      <w:r w:rsidRPr="00D51553">
        <w:rPr>
          <w:rFonts w:ascii="Calibri" w:hAnsi="Calibri" w:cs="Calibri"/>
        </w:rPr>
        <w:t>désertification et</w:t>
      </w:r>
      <w:r>
        <w:rPr>
          <w:rFonts w:ascii="Calibri" w:hAnsi="Calibri" w:cs="Calibri"/>
        </w:rPr>
        <w:t xml:space="preserve"> la</w:t>
      </w:r>
      <w:r w:rsidRPr="00D51553">
        <w:rPr>
          <w:rFonts w:ascii="Calibri" w:hAnsi="Calibri" w:cs="Calibri"/>
        </w:rPr>
        <w:t xml:space="preserve"> dégradation des sols</w:t>
      </w:r>
      <w:r>
        <w:rPr>
          <w:rFonts w:ascii="Calibri" w:hAnsi="Calibri" w:cs="Calibri"/>
        </w:rPr>
        <w:t>.</w:t>
      </w:r>
    </w:p>
    <w:p w14:paraId="0ADF3B34" w14:textId="77777777" w:rsidR="00CC712E" w:rsidRDefault="00CC712E" w:rsidP="00CC712E">
      <w:pPr>
        <w:spacing w:after="0" w:line="240" w:lineRule="auto"/>
        <w:jc w:val="both"/>
        <w:rPr>
          <w:rFonts w:ascii="Calibri" w:hAnsi="Calibri" w:cs="Calibri"/>
        </w:rPr>
      </w:pPr>
      <w:r>
        <w:rPr>
          <w:rFonts w:ascii="Calibri" w:hAnsi="Calibri" w:cs="Calibri"/>
        </w:rPr>
        <w:t>c) la</w:t>
      </w:r>
      <w:r w:rsidRPr="00D51553">
        <w:rPr>
          <w:rFonts w:ascii="Calibri" w:hAnsi="Calibri" w:cs="Calibri"/>
        </w:rPr>
        <w:t xml:space="preserve"> rupture des mécanismes traditionnels de résolution des conflits liés à la terre et à l' eau</w:t>
      </w:r>
      <w:r>
        <w:rPr>
          <w:rFonts w:ascii="Calibri" w:hAnsi="Calibri" w:cs="Calibri"/>
        </w:rPr>
        <w:t>.</w:t>
      </w:r>
    </w:p>
    <w:p w14:paraId="30EEF563" w14:textId="77777777" w:rsidR="00CC712E" w:rsidRDefault="00CC712E" w:rsidP="00CC712E">
      <w:pPr>
        <w:spacing w:after="0" w:line="240" w:lineRule="auto"/>
        <w:jc w:val="both"/>
        <w:rPr>
          <w:rFonts w:ascii="Calibri" w:hAnsi="Calibri" w:cs="Calibri"/>
        </w:rPr>
      </w:pPr>
      <w:r>
        <w:rPr>
          <w:rFonts w:ascii="Calibri" w:hAnsi="Calibri" w:cs="Calibri"/>
        </w:rPr>
        <w:t>d)</w:t>
      </w:r>
      <w:r w:rsidRPr="00D51553">
        <w:rPr>
          <w:rFonts w:ascii="Calibri" w:hAnsi="Calibri" w:cs="Calibri"/>
        </w:rPr>
        <w:t xml:space="preserve"> la prolifération des armes légères et de la criminalité dans les zones rurales. </w:t>
      </w:r>
    </w:p>
    <w:p w14:paraId="5A4892FB" w14:textId="77777777" w:rsidR="00CC712E" w:rsidRDefault="00CC712E" w:rsidP="00CC712E">
      <w:pPr>
        <w:spacing w:after="0" w:line="240" w:lineRule="auto"/>
        <w:jc w:val="both"/>
        <w:rPr>
          <w:rFonts w:ascii="Calibri" w:hAnsi="Calibri" w:cs="Calibri"/>
        </w:rPr>
      </w:pPr>
      <w:r>
        <w:rPr>
          <w:rFonts w:ascii="Calibri" w:hAnsi="Calibri" w:cs="Calibri"/>
        </w:rPr>
        <w:t xml:space="preserve">e) des </w:t>
      </w:r>
      <w:r w:rsidRPr="00D51553">
        <w:rPr>
          <w:rFonts w:ascii="Calibri" w:hAnsi="Calibri" w:cs="Calibri"/>
        </w:rPr>
        <w:t>hostilités ethnoreligieuses</w:t>
      </w:r>
      <w:r>
        <w:rPr>
          <w:rFonts w:ascii="Calibri" w:hAnsi="Calibri" w:cs="Calibri"/>
        </w:rPr>
        <w:t xml:space="preserve"> préexistantes, qui se sont exacerbées, avec les mouvements jihadistes. </w:t>
      </w:r>
    </w:p>
    <w:p w14:paraId="2D3B93FB" w14:textId="77777777" w:rsidR="00CC712E" w:rsidRDefault="00CC712E" w:rsidP="00CC712E">
      <w:pPr>
        <w:spacing w:after="0" w:line="240" w:lineRule="auto"/>
        <w:jc w:val="both"/>
        <w:rPr>
          <w:rFonts w:ascii="Calibri" w:hAnsi="Calibri" w:cs="Calibri"/>
        </w:rPr>
      </w:pPr>
    </w:p>
    <w:p w14:paraId="61A8D421" w14:textId="77777777" w:rsidR="00CC712E" w:rsidRPr="00230DB7" w:rsidRDefault="00CC712E" w:rsidP="00CC712E">
      <w:pPr>
        <w:spacing w:after="0" w:line="240" w:lineRule="auto"/>
        <w:jc w:val="both"/>
        <w:rPr>
          <w:rFonts w:ascii="Calibri" w:hAnsi="Calibri" w:cs="Calibri"/>
        </w:rPr>
      </w:pPr>
      <w:r w:rsidRPr="00D51553">
        <w:rPr>
          <w:rFonts w:ascii="Calibri" w:hAnsi="Calibri" w:cs="Calibri"/>
        </w:rPr>
        <w:t>L'insécurité et la violence ont conduit de nombreuses populations à créer des forces d'autodéfense et des milices ethniques et tribales</w:t>
      </w:r>
      <w:r>
        <w:rPr>
          <w:rFonts w:ascii="Calibri" w:hAnsi="Calibri" w:cs="Calibri"/>
        </w:rPr>
        <w:t>, aux actions incontrôlées (ce qui a favorisé la prolifération des armes. Cercle vicieux)</w:t>
      </w:r>
      <w:r w:rsidRPr="00D51553">
        <w:rPr>
          <w:rFonts w:ascii="Calibri" w:hAnsi="Calibri" w:cs="Calibri"/>
        </w:rPr>
        <w:t>.</w:t>
      </w:r>
    </w:p>
    <w:p w14:paraId="24DEEEED" w14:textId="77777777" w:rsidR="00CC712E" w:rsidRDefault="00CC712E" w:rsidP="00CC712E">
      <w:pPr>
        <w:spacing w:after="0" w:line="240" w:lineRule="auto"/>
      </w:pPr>
    </w:p>
    <w:p w14:paraId="1780B405" w14:textId="77777777" w:rsidR="00CC712E" w:rsidRPr="00C90A75" w:rsidRDefault="00CC712E" w:rsidP="00CC712E">
      <w:pPr>
        <w:spacing w:after="0" w:line="240" w:lineRule="auto"/>
      </w:pPr>
      <w:r w:rsidRPr="00A1295D">
        <w:t>Sources :</w:t>
      </w:r>
      <w:r w:rsidRPr="00C90A75">
        <w:t xml:space="preserve"> a) </w:t>
      </w:r>
      <w:r w:rsidRPr="00C90A75">
        <w:rPr>
          <w:i/>
          <w:iCs/>
        </w:rPr>
        <w:t>Nomadic conflict</w:t>
      </w:r>
      <w:r w:rsidRPr="00C90A75">
        <w:t xml:space="preserve"> [Conflit nomade], </w:t>
      </w:r>
      <w:hyperlink r:id="rId3394" w:history="1">
        <w:r w:rsidRPr="00C90A75">
          <w:rPr>
            <w:rStyle w:val="Lienhypertexte"/>
          </w:rPr>
          <w:t>https://en.wikipedia.org/wiki/Nomadic_conflict</w:t>
        </w:r>
      </w:hyperlink>
      <w:r w:rsidRPr="00C90A75">
        <w:t xml:space="preserve"> </w:t>
      </w:r>
    </w:p>
    <w:p w14:paraId="3F86E6F4" w14:textId="77777777" w:rsidR="00CC712E" w:rsidRDefault="00CC712E" w:rsidP="00CC712E">
      <w:pPr>
        <w:spacing w:after="0" w:line="240" w:lineRule="auto"/>
      </w:pPr>
      <w:r>
        <w:lastRenderedPageBreak/>
        <w:t>b</w:t>
      </w:r>
      <w:r w:rsidRPr="00B40912">
        <w:rPr>
          <w:i/>
          <w:iCs/>
        </w:rPr>
        <w:t>) Conflits entre éleveurs et agriculteurs au Nigeria</w:t>
      </w:r>
      <w:r>
        <w:t xml:space="preserve"> [Conflits entre éleveurs et agriculteurs au Nigeria], </w:t>
      </w:r>
      <w:hyperlink r:id="rId3395" w:history="1">
        <w:r w:rsidRPr="004D569A">
          <w:rPr>
            <w:rStyle w:val="Lienhypertexte"/>
          </w:rPr>
          <w:t>https://en.wikipedia.org/wiki/Herder%E2%80%93farmer_conflicts_in_Nigeria</w:t>
        </w:r>
      </w:hyperlink>
    </w:p>
    <w:p w14:paraId="0379B224" w14:textId="77777777" w:rsidR="00CC712E" w:rsidRDefault="00CC712E" w:rsidP="00906491">
      <w:pPr>
        <w:spacing w:after="0" w:line="240" w:lineRule="auto"/>
      </w:pPr>
    </w:p>
    <w:p w14:paraId="30FAB384" w14:textId="10B0D4B6" w:rsidR="00ED2D88" w:rsidRPr="00ED2D88" w:rsidRDefault="00ED2D88" w:rsidP="00ED2D88">
      <w:pPr>
        <w:pStyle w:val="Titre2"/>
      </w:pPr>
      <w:bookmarkStart w:id="272" w:name="_Toc139181563"/>
      <w:r w:rsidRPr="00ED2D88">
        <w:t>La difficile gestion des prairies et steppes des zones arides</w:t>
      </w:r>
      <w:bookmarkEnd w:id="272"/>
    </w:p>
    <w:p w14:paraId="6ADCFBA5" w14:textId="27011338" w:rsidR="00ED2D88" w:rsidRDefault="00ED2D88" w:rsidP="00311A81">
      <w:pPr>
        <w:spacing w:after="0" w:line="240" w:lineRule="auto"/>
        <w:jc w:val="both"/>
      </w:pPr>
    </w:p>
    <w:p w14:paraId="2EF5A3BC" w14:textId="77777777" w:rsidR="00E5481B" w:rsidRDefault="00E5481B" w:rsidP="00E5481B">
      <w:pPr>
        <w:pStyle w:val="Titre3"/>
      </w:pPr>
      <w:bookmarkStart w:id="273" w:name="_Toc139181564"/>
      <w:r>
        <w:t>Constat</w:t>
      </w:r>
      <w:bookmarkEnd w:id="273"/>
    </w:p>
    <w:p w14:paraId="2097205E" w14:textId="77777777" w:rsidR="00E5481B" w:rsidRDefault="00E5481B" w:rsidP="00E5481B">
      <w:pPr>
        <w:spacing w:after="0" w:line="240" w:lineRule="auto"/>
        <w:jc w:val="both"/>
      </w:pPr>
    </w:p>
    <w:p w14:paraId="60C16B0C" w14:textId="77777777" w:rsidR="00E5481B" w:rsidRDefault="00E5481B" w:rsidP="00E5481B">
      <w:pPr>
        <w:spacing w:after="0" w:line="240" w:lineRule="auto"/>
        <w:jc w:val="both"/>
      </w:pPr>
      <w:r>
        <w:t>On observe, dans certaines régions arides, dont la plus emblématique, le Sahel :</w:t>
      </w:r>
    </w:p>
    <w:p w14:paraId="77348E56" w14:textId="77777777" w:rsidR="00E5481B" w:rsidRDefault="00E5481B" w:rsidP="00E5481B">
      <w:pPr>
        <w:spacing w:after="0" w:line="240" w:lineRule="auto"/>
        <w:jc w:val="both"/>
      </w:pPr>
    </w:p>
    <w:p w14:paraId="3645776C" w14:textId="77777777" w:rsidR="00E5481B" w:rsidRDefault="00E5481B" w:rsidP="00E5481B">
      <w:pPr>
        <w:spacing w:after="0" w:line="240" w:lineRule="auto"/>
        <w:jc w:val="both"/>
      </w:pPr>
      <w:r>
        <w:t>Une dégradation des écosystèmes (et des rendements des sols, des pâturages et des cultures), qui s’expliquent par :</w:t>
      </w:r>
    </w:p>
    <w:p w14:paraId="22033F94" w14:textId="77777777" w:rsidR="00E5481B" w:rsidRDefault="00E5481B" w:rsidP="00E5481B">
      <w:pPr>
        <w:spacing w:after="0" w:line="240" w:lineRule="auto"/>
        <w:jc w:val="both"/>
      </w:pPr>
    </w:p>
    <w:p w14:paraId="71AAE655" w14:textId="77777777" w:rsidR="00E5481B" w:rsidRDefault="00E5481B" w:rsidP="00322369">
      <w:pPr>
        <w:pStyle w:val="Paragraphedeliste"/>
        <w:numPr>
          <w:ilvl w:val="0"/>
          <w:numId w:val="102"/>
        </w:numPr>
        <w:spacing w:after="0" w:line="240" w:lineRule="auto"/>
        <w:ind w:left="426"/>
        <w:jc w:val="both"/>
      </w:pPr>
      <w:r>
        <w:t>La croissance démographique non contrôlée</w:t>
      </w:r>
      <w:r>
        <w:rPr>
          <w:rStyle w:val="Appelnotedebasdep"/>
        </w:rPr>
        <w:footnoteReference w:id="213"/>
      </w:r>
      <w:r>
        <w:t xml:space="preserve"> et les flux migratoires des populations, liés aux sécheresses.</w:t>
      </w:r>
    </w:p>
    <w:p w14:paraId="4453355A" w14:textId="77777777" w:rsidR="00E5481B" w:rsidRDefault="00E5481B" w:rsidP="00322369">
      <w:pPr>
        <w:pStyle w:val="Paragraphedeliste"/>
        <w:numPr>
          <w:ilvl w:val="0"/>
          <w:numId w:val="102"/>
        </w:numPr>
        <w:spacing w:after="0" w:line="240" w:lineRule="auto"/>
        <w:ind w:left="426"/>
        <w:jc w:val="both"/>
      </w:pPr>
      <w:r>
        <w:t>Une déforestation liée : a) à la culture itinérante sur brûlis, b) au charbonnage et aux prélèvements du bois, pour le feu, la cuisine et le chauffage, au détriment des arbres et forêts.</w:t>
      </w:r>
    </w:p>
    <w:p w14:paraId="47329BE1" w14:textId="77777777" w:rsidR="00E5481B" w:rsidRDefault="00E5481B" w:rsidP="00322369">
      <w:pPr>
        <w:pStyle w:val="Paragraphedeliste"/>
        <w:numPr>
          <w:ilvl w:val="0"/>
          <w:numId w:val="102"/>
        </w:numPr>
        <w:spacing w:after="0" w:line="240" w:lineRule="auto"/>
        <w:ind w:left="426"/>
        <w:jc w:val="both"/>
      </w:pPr>
      <w:r>
        <w:t xml:space="preserve">De mauvaises pratiques agricoles, avec de faibles rendements, liés : </w:t>
      </w:r>
    </w:p>
    <w:p w14:paraId="7B92ECF0" w14:textId="77777777" w:rsidR="00E5481B" w:rsidRDefault="00E5481B" w:rsidP="00E5481B">
      <w:pPr>
        <w:spacing w:after="0" w:line="240" w:lineRule="auto"/>
        <w:jc w:val="both"/>
      </w:pPr>
    </w:p>
    <w:p w14:paraId="4E98AA19" w14:textId="77777777" w:rsidR="00E5481B" w:rsidRDefault="00E5481B" w:rsidP="006E34BD">
      <w:pPr>
        <w:pStyle w:val="Paragraphedeliste"/>
        <w:numPr>
          <w:ilvl w:val="0"/>
          <w:numId w:val="101"/>
        </w:numPr>
        <w:spacing w:after="0" w:line="240" w:lineRule="auto"/>
        <w:ind w:left="426"/>
        <w:jc w:val="both"/>
      </w:pPr>
      <w:r>
        <w:t>A l’absence ou la faible utilisation de fertilisants (d’intrants) naturels ou artificiels,</w:t>
      </w:r>
    </w:p>
    <w:p w14:paraId="51C2651C" w14:textId="77777777" w:rsidR="00E5481B" w:rsidRDefault="00E5481B" w:rsidP="006E34BD">
      <w:pPr>
        <w:pStyle w:val="Paragraphedeliste"/>
        <w:numPr>
          <w:ilvl w:val="0"/>
          <w:numId w:val="101"/>
        </w:numPr>
        <w:spacing w:after="0" w:line="240" w:lineRule="auto"/>
        <w:ind w:left="426"/>
        <w:jc w:val="both"/>
      </w:pPr>
      <w:r>
        <w:t>A la culture itinérante sur brûlis, fournissant peu de fertilisants et destructrice des forêts,</w:t>
      </w:r>
    </w:p>
    <w:p w14:paraId="29ADCFD2" w14:textId="77777777" w:rsidR="00E5481B" w:rsidRDefault="00E5481B" w:rsidP="006E34BD">
      <w:pPr>
        <w:pStyle w:val="Paragraphedeliste"/>
        <w:numPr>
          <w:ilvl w:val="0"/>
          <w:numId w:val="101"/>
        </w:numPr>
        <w:spacing w:after="0" w:line="240" w:lineRule="auto"/>
        <w:ind w:left="426"/>
        <w:jc w:val="both"/>
      </w:pPr>
      <w:r>
        <w:t>A la croissance des besoins en terre, à cause de la croissance démographique,</w:t>
      </w:r>
    </w:p>
    <w:p w14:paraId="0C0A6D4E" w14:textId="77777777" w:rsidR="00E5481B" w:rsidRDefault="00E5481B" w:rsidP="006E34BD">
      <w:pPr>
        <w:pStyle w:val="Paragraphedeliste"/>
        <w:numPr>
          <w:ilvl w:val="0"/>
          <w:numId w:val="101"/>
        </w:numPr>
        <w:spacing w:after="0" w:line="240" w:lineRule="auto"/>
        <w:ind w:left="426"/>
        <w:jc w:val="both"/>
      </w:pPr>
      <w:r>
        <w:t>A la disparition des jachères, qui permettaient aux sols de se regénérer, toujours à cause de la croissance démographique.</w:t>
      </w:r>
    </w:p>
    <w:p w14:paraId="070FFDCA" w14:textId="77777777" w:rsidR="00E5481B" w:rsidRDefault="00E5481B" w:rsidP="00E5481B">
      <w:pPr>
        <w:spacing w:after="0" w:line="240" w:lineRule="auto"/>
        <w:jc w:val="both"/>
      </w:pPr>
    </w:p>
    <w:p w14:paraId="0B87E78E" w14:textId="77777777" w:rsidR="00E5481B" w:rsidRDefault="00E5481B" w:rsidP="00E5481B">
      <w:pPr>
        <w:spacing w:after="0" w:line="240" w:lineRule="auto"/>
        <w:jc w:val="both"/>
      </w:pPr>
      <w:r>
        <w:t>De mauvaises pratiques pastorales, liées :</w:t>
      </w:r>
    </w:p>
    <w:p w14:paraId="77CAFCC3" w14:textId="77777777" w:rsidR="00E5481B" w:rsidRDefault="00E5481B" w:rsidP="00E5481B">
      <w:pPr>
        <w:spacing w:after="0" w:line="240" w:lineRule="auto"/>
        <w:jc w:val="both"/>
      </w:pPr>
    </w:p>
    <w:p w14:paraId="4B3739FC" w14:textId="77777777" w:rsidR="00C11C9F" w:rsidRDefault="00E5481B" w:rsidP="006E34BD">
      <w:pPr>
        <w:pStyle w:val="Paragraphedeliste"/>
        <w:numPr>
          <w:ilvl w:val="0"/>
          <w:numId w:val="103"/>
        </w:numPr>
        <w:spacing w:after="0" w:line="240" w:lineRule="auto"/>
        <w:ind w:left="426"/>
        <w:jc w:val="both"/>
      </w:pPr>
      <w:r>
        <w:t>A la croissance non contrôlée du cheptel (</w:t>
      </w:r>
      <w:r w:rsidR="006E34BD">
        <w:t>p</w:t>
      </w:r>
      <w:r>
        <w:t>ar exemple : 1989 = 3860000 bovins, 2003 = 7311544 (MRAH</w:t>
      </w:r>
      <w:r>
        <w:rPr>
          <w:rStyle w:val="Appelnotedebasdep"/>
        </w:rPr>
        <w:footnoteReference w:id="214"/>
      </w:r>
      <w:r>
        <w:t xml:space="preserve">), </w:t>
      </w:r>
    </w:p>
    <w:p w14:paraId="414FBE4D" w14:textId="1D6DE183" w:rsidR="00E5481B" w:rsidRDefault="00C11C9F" w:rsidP="00C11C9F">
      <w:pPr>
        <w:spacing w:after="0" w:line="240" w:lineRule="auto"/>
        <w:ind w:left="66"/>
        <w:jc w:val="both"/>
      </w:pPr>
      <w:r>
        <w:t xml:space="preserve">      </w:t>
      </w:r>
      <w:r w:rsidR="00E5481B">
        <w:t>au Burkina Fasso) [liée à la croissance démographique et au désir de s’enrichir], qui provoque le surpâturage.</w:t>
      </w:r>
    </w:p>
    <w:p w14:paraId="2B445462" w14:textId="77777777" w:rsidR="00E5481B" w:rsidRDefault="00E5481B" w:rsidP="006E34BD">
      <w:pPr>
        <w:pStyle w:val="Paragraphedeliste"/>
        <w:numPr>
          <w:ilvl w:val="0"/>
          <w:numId w:val="103"/>
        </w:numPr>
        <w:spacing w:after="0" w:line="240" w:lineRule="auto"/>
        <w:ind w:left="426"/>
        <w:jc w:val="both"/>
      </w:pPr>
      <w:r>
        <w:t>A la croissance des besoins en parcours des bêtes, à cause de l’augmentation du cheptel et du surpâturage.</w:t>
      </w:r>
    </w:p>
    <w:p w14:paraId="77660738" w14:textId="77777777" w:rsidR="00E5481B" w:rsidRDefault="00E5481B" w:rsidP="00E5481B">
      <w:pPr>
        <w:spacing w:after="0" w:line="240" w:lineRule="auto"/>
        <w:jc w:val="both"/>
      </w:pPr>
    </w:p>
    <w:p w14:paraId="202FE475" w14:textId="77777777" w:rsidR="00E5481B" w:rsidRDefault="00E5481B" w:rsidP="00E5481B">
      <w:pPr>
        <w:pStyle w:val="Titre3"/>
      </w:pPr>
      <w:bookmarkStart w:id="274" w:name="_Toc139181565"/>
      <w:r>
        <w:t>Résultats</w:t>
      </w:r>
      <w:bookmarkEnd w:id="274"/>
    </w:p>
    <w:p w14:paraId="685C32BF" w14:textId="77777777" w:rsidR="00E5481B" w:rsidRDefault="00E5481B" w:rsidP="00E5481B">
      <w:pPr>
        <w:spacing w:after="0" w:line="240" w:lineRule="auto"/>
        <w:jc w:val="both"/>
      </w:pPr>
    </w:p>
    <w:p w14:paraId="3413A5D9" w14:textId="77777777" w:rsidR="00E5481B" w:rsidRDefault="00E5481B" w:rsidP="00E5481B">
      <w:pPr>
        <w:spacing w:after="0" w:line="240" w:lineRule="auto"/>
        <w:jc w:val="both"/>
      </w:pPr>
      <w:r>
        <w:t>·</w:t>
      </w:r>
      <w:r>
        <w:tab/>
        <w:t>Années 70 - 80</w:t>
      </w:r>
    </w:p>
    <w:p w14:paraId="70CE5537" w14:textId="77777777" w:rsidR="00E5481B" w:rsidRDefault="00E5481B" w:rsidP="00E5481B">
      <w:pPr>
        <w:spacing w:after="0" w:line="240" w:lineRule="auto"/>
        <w:jc w:val="both"/>
      </w:pPr>
    </w:p>
    <w:p w14:paraId="36A80196" w14:textId="77777777" w:rsidR="00E5481B" w:rsidRDefault="00E5481B" w:rsidP="00E5481B">
      <w:pPr>
        <w:spacing w:after="0" w:line="240" w:lineRule="auto"/>
        <w:jc w:val="both"/>
      </w:pPr>
      <w:r>
        <w:t>- Création de zones à vocation pastorale (ZP) par l’Etat afin de sécuriser l’activité pastorale.</w:t>
      </w:r>
    </w:p>
    <w:p w14:paraId="6651B2D4" w14:textId="77777777" w:rsidR="00E5481B" w:rsidRDefault="00E5481B" w:rsidP="00E5481B">
      <w:pPr>
        <w:spacing w:after="0" w:line="240" w:lineRule="auto"/>
        <w:jc w:val="both"/>
      </w:pPr>
      <w:r>
        <w:t>- échanges directs (fumier, denrées agricoles) entre agriculteurs et éleveurs</w:t>
      </w:r>
    </w:p>
    <w:p w14:paraId="674658F6" w14:textId="77777777" w:rsidR="00E5481B" w:rsidRDefault="00E5481B" w:rsidP="00E5481B">
      <w:pPr>
        <w:spacing w:after="0" w:line="240" w:lineRule="auto"/>
        <w:jc w:val="both"/>
      </w:pPr>
    </w:p>
    <w:p w14:paraId="10CFCF6E" w14:textId="77777777" w:rsidR="00E5481B" w:rsidRDefault="00E5481B" w:rsidP="00E5481B">
      <w:pPr>
        <w:spacing w:after="0" w:line="240" w:lineRule="auto"/>
        <w:jc w:val="both"/>
      </w:pPr>
      <w:r>
        <w:t>·</w:t>
      </w:r>
      <w:r>
        <w:tab/>
        <w:t>Années 90 à nos jours</w:t>
      </w:r>
    </w:p>
    <w:p w14:paraId="0F555E52" w14:textId="77777777" w:rsidR="00E5481B" w:rsidRDefault="00E5481B" w:rsidP="00E5481B">
      <w:pPr>
        <w:spacing w:after="0" w:line="240" w:lineRule="auto"/>
        <w:jc w:val="both"/>
      </w:pPr>
    </w:p>
    <w:p w14:paraId="59101B79" w14:textId="5241BC9F" w:rsidR="00E5481B" w:rsidRDefault="00E5481B" w:rsidP="00E5481B">
      <w:pPr>
        <w:spacing w:after="0" w:line="240" w:lineRule="auto"/>
        <w:jc w:val="both"/>
      </w:pPr>
      <w:r>
        <w:t xml:space="preserve">- </w:t>
      </w:r>
      <w:r w:rsidR="00F578E9">
        <w:t>I</w:t>
      </w:r>
      <w:r>
        <w:t>ncapacité de l’Etat à protéger les ZP, face aux cultivateurs =&gt; échec de la politique des ZP.</w:t>
      </w:r>
    </w:p>
    <w:p w14:paraId="59FAC6D3" w14:textId="77777777" w:rsidR="00E5481B" w:rsidRDefault="00E5481B" w:rsidP="00E5481B">
      <w:pPr>
        <w:spacing w:after="0" w:line="240" w:lineRule="auto"/>
        <w:jc w:val="both"/>
      </w:pPr>
      <w:r>
        <w:t xml:space="preserve">- </w:t>
      </w:r>
      <w:r w:rsidRPr="00103C3F">
        <w:t>Augmentation dramatiques des conflits meurtriers agriculteurs – éleveurs</w:t>
      </w:r>
      <w:r>
        <w:t>.</w:t>
      </w:r>
    </w:p>
    <w:p w14:paraId="04AA6CA4" w14:textId="77777777" w:rsidR="00E5481B" w:rsidRDefault="00E5481B" w:rsidP="00E5481B">
      <w:pPr>
        <w:spacing w:after="0" w:line="240" w:lineRule="auto"/>
        <w:jc w:val="both"/>
      </w:pPr>
      <w:r>
        <w:t>- Appauvrissement des éleveurs et cultivateurs.</w:t>
      </w:r>
    </w:p>
    <w:p w14:paraId="191676D8" w14:textId="77777777" w:rsidR="00E5481B" w:rsidRDefault="00E5481B" w:rsidP="00E5481B">
      <w:pPr>
        <w:spacing w:after="0" w:line="240" w:lineRule="auto"/>
        <w:jc w:val="both"/>
      </w:pPr>
      <w:r>
        <w:t>- dégradation et désertifications des terres.</w:t>
      </w:r>
    </w:p>
    <w:p w14:paraId="7DDF5CAF" w14:textId="77777777" w:rsidR="00E5481B" w:rsidRDefault="00E5481B" w:rsidP="00E5481B">
      <w:pPr>
        <w:spacing w:after="0" w:line="240" w:lineRule="auto"/>
        <w:jc w:val="both"/>
      </w:pPr>
    </w:p>
    <w:p w14:paraId="7CF3A9D2" w14:textId="77777777" w:rsidR="00E5481B" w:rsidRDefault="00E5481B" w:rsidP="00E5481B">
      <w:pPr>
        <w:pStyle w:val="Titre3"/>
      </w:pPr>
      <w:bookmarkStart w:id="275" w:name="_Toc139181566"/>
      <w:r>
        <w:lastRenderedPageBreak/>
        <w:t>Quels étaient les buts de la politique des ZP ?</w:t>
      </w:r>
      <w:bookmarkEnd w:id="275"/>
    </w:p>
    <w:p w14:paraId="2AC6CE0F" w14:textId="77777777" w:rsidR="00E5481B" w:rsidRDefault="00E5481B" w:rsidP="00E5481B">
      <w:pPr>
        <w:spacing w:after="0" w:line="240" w:lineRule="auto"/>
        <w:jc w:val="both"/>
      </w:pPr>
    </w:p>
    <w:p w14:paraId="27DBD72A" w14:textId="77777777" w:rsidR="00E5481B" w:rsidRDefault="00E5481B" w:rsidP="00E5481B">
      <w:pPr>
        <w:spacing w:after="0" w:line="240" w:lineRule="auto"/>
        <w:jc w:val="both"/>
      </w:pPr>
      <w:r>
        <w:t>Leurs objectifs étaient (voir ci-après) :</w:t>
      </w:r>
    </w:p>
    <w:p w14:paraId="37DA2533" w14:textId="77777777" w:rsidR="00E5481B" w:rsidRDefault="00E5481B" w:rsidP="00E5481B">
      <w:pPr>
        <w:spacing w:after="0" w:line="240" w:lineRule="auto"/>
        <w:jc w:val="both"/>
      </w:pPr>
    </w:p>
    <w:p w14:paraId="46D1DF2F" w14:textId="77777777" w:rsidR="00E5481B" w:rsidRDefault="00E5481B" w:rsidP="00322369">
      <w:pPr>
        <w:pStyle w:val="Paragraphedeliste"/>
        <w:numPr>
          <w:ilvl w:val="0"/>
          <w:numId w:val="104"/>
        </w:numPr>
        <w:spacing w:after="0" w:line="240" w:lineRule="auto"/>
        <w:jc w:val="both"/>
      </w:pPr>
      <w:r>
        <w:t>S</w:t>
      </w:r>
      <w:r w:rsidRPr="00B544EC">
        <w:t>auver et sécuriser le bétail : respectivement 25 et 12% du cheptel décimés, lors des grandes sécheresses de 1972-1973 et 1983-1984</w:t>
      </w:r>
      <w:r>
        <w:t>.</w:t>
      </w:r>
    </w:p>
    <w:p w14:paraId="7C6BD6C0" w14:textId="77777777" w:rsidR="00E5481B" w:rsidRDefault="00E5481B" w:rsidP="00322369">
      <w:pPr>
        <w:pStyle w:val="Paragraphedeliste"/>
        <w:numPr>
          <w:ilvl w:val="0"/>
          <w:numId w:val="104"/>
        </w:numPr>
        <w:spacing w:after="0" w:line="240" w:lineRule="auto"/>
        <w:jc w:val="both"/>
      </w:pPr>
      <w:r>
        <w:t>Sédentariser l’élevage pastoral transhumant et intensifier les productions animales (lait et viande).</w:t>
      </w:r>
    </w:p>
    <w:p w14:paraId="501A8B4B" w14:textId="77777777" w:rsidR="00E5481B" w:rsidRDefault="00E5481B" w:rsidP="00E5481B">
      <w:pPr>
        <w:spacing w:after="0" w:line="240" w:lineRule="auto"/>
        <w:jc w:val="both"/>
      </w:pPr>
    </w:p>
    <w:p w14:paraId="255EACB7" w14:textId="77777777" w:rsidR="00E5481B" w:rsidRDefault="00E5481B" w:rsidP="00E5481B">
      <w:pPr>
        <w:spacing w:after="0" w:line="240" w:lineRule="auto"/>
        <w:jc w:val="both"/>
      </w:pPr>
      <w:r w:rsidRPr="00B544EC">
        <w:rPr>
          <w:u w:val="single"/>
        </w:rPr>
        <w:t>Note</w:t>
      </w:r>
      <w:r>
        <w:t xml:space="preserve"> : Cette politique avait été influencée par la Banque Mondiale et le modèle des ranchs américains.</w:t>
      </w:r>
    </w:p>
    <w:p w14:paraId="3C14B49C" w14:textId="77777777" w:rsidR="00E5481B" w:rsidRDefault="00E5481B" w:rsidP="00E5481B">
      <w:pPr>
        <w:spacing w:after="0" w:line="240" w:lineRule="auto"/>
        <w:jc w:val="both"/>
      </w:pPr>
    </w:p>
    <w:p w14:paraId="01618D22" w14:textId="77777777" w:rsidR="00E5481B" w:rsidRDefault="00E5481B" w:rsidP="00E5481B">
      <w:pPr>
        <w:spacing w:after="0" w:line="240" w:lineRule="auto"/>
        <w:jc w:val="both"/>
      </w:pPr>
      <w:r>
        <w:t>Les actions pour mettre en place cette politique :</w:t>
      </w:r>
    </w:p>
    <w:p w14:paraId="166FF745" w14:textId="77777777" w:rsidR="00E5481B" w:rsidRDefault="00E5481B" w:rsidP="00E5481B">
      <w:pPr>
        <w:spacing w:after="0" w:line="240" w:lineRule="auto"/>
        <w:jc w:val="both"/>
      </w:pPr>
    </w:p>
    <w:p w14:paraId="606DC218" w14:textId="77777777" w:rsidR="00E5481B" w:rsidRDefault="00E5481B" w:rsidP="00322369">
      <w:pPr>
        <w:pStyle w:val="Paragraphedeliste"/>
        <w:numPr>
          <w:ilvl w:val="0"/>
          <w:numId w:val="105"/>
        </w:numPr>
        <w:spacing w:after="0" w:line="240" w:lineRule="auto"/>
        <w:jc w:val="both"/>
      </w:pPr>
      <w:r>
        <w:t>Définition et mise en place des ZP.</w:t>
      </w:r>
    </w:p>
    <w:p w14:paraId="6DBC089E" w14:textId="77777777" w:rsidR="00E5481B" w:rsidRDefault="00E5481B" w:rsidP="00322369">
      <w:pPr>
        <w:pStyle w:val="Paragraphedeliste"/>
        <w:numPr>
          <w:ilvl w:val="0"/>
          <w:numId w:val="105"/>
        </w:numPr>
        <w:spacing w:after="0" w:line="240" w:lineRule="auto"/>
        <w:jc w:val="both"/>
      </w:pPr>
      <w:r>
        <w:t>Idem pour les pistes à bétail (piste de parcours ou de transhumance), avec accès payant à l’eau et aux pâtures.</w:t>
      </w:r>
    </w:p>
    <w:p w14:paraId="61A37B26" w14:textId="77777777" w:rsidR="00E5481B" w:rsidRDefault="00E5481B" w:rsidP="00322369">
      <w:pPr>
        <w:pStyle w:val="Paragraphedeliste"/>
        <w:numPr>
          <w:ilvl w:val="0"/>
          <w:numId w:val="105"/>
        </w:numPr>
        <w:spacing w:after="0" w:line="240" w:lineRule="auto"/>
        <w:jc w:val="both"/>
      </w:pPr>
      <w:r>
        <w:t xml:space="preserve">Ediction de </w:t>
      </w:r>
      <w:r w:rsidRPr="005B3659">
        <w:t>lois et</w:t>
      </w:r>
      <w:r>
        <w:t xml:space="preserve"> de</w:t>
      </w:r>
      <w:r w:rsidRPr="005B3659">
        <w:t xml:space="preserve"> règlements</w:t>
      </w:r>
      <w:r>
        <w:t>, avec des amendes, pour les contrevenants.</w:t>
      </w:r>
    </w:p>
    <w:p w14:paraId="5F1AEDE8" w14:textId="77777777" w:rsidR="00F578E9" w:rsidRDefault="00F578E9" w:rsidP="00E5481B">
      <w:pPr>
        <w:spacing w:after="0" w:line="240" w:lineRule="auto"/>
        <w:jc w:val="both"/>
      </w:pPr>
    </w:p>
    <w:p w14:paraId="558B7120" w14:textId="4730CC98" w:rsidR="00E5481B" w:rsidRDefault="00E5481B" w:rsidP="00E5481B">
      <w:pPr>
        <w:spacing w:after="0" w:line="240" w:lineRule="auto"/>
        <w:jc w:val="both"/>
      </w:pPr>
      <w:r>
        <w:t>Les problèmes posés par cette politique </w:t>
      </w:r>
      <w:r w:rsidR="00F578E9">
        <w:t xml:space="preserve">(voir ci-après) </w:t>
      </w:r>
      <w:r>
        <w:t>:</w:t>
      </w:r>
    </w:p>
    <w:p w14:paraId="617FB3D0" w14:textId="77777777" w:rsidR="00E5481B" w:rsidRDefault="00E5481B" w:rsidP="00E5481B">
      <w:pPr>
        <w:spacing w:after="0" w:line="240" w:lineRule="auto"/>
        <w:jc w:val="both"/>
      </w:pPr>
    </w:p>
    <w:p w14:paraId="7B220E92" w14:textId="77777777" w:rsidR="00E5481B" w:rsidRDefault="00E5481B" w:rsidP="00322369">
      <w:pPr>
        <w:pStyle w:val="Paragraphedeliste"/>
        <w:numPr>
          <w:ilvl w:val="0"/>
          <w:numId w:val="106"/>
        </w:numPr>
        <w:spacing w:after="0" w:line="240" w:lineRule="auto"/>
        <w:jc w:val="both"/>
      </w:pPr>
      <w:r>
        <w:t>Elle a été décidée d’en haut, sans concertation directe avec les éleveurs et cultivateurs (vision non partagée).</w:t>
      </w:r>
    </w:p>
    <w:p w14:paraId="6495F956" w14:textId="77777777" w:rsidR="00E5481B" w:rsidRDefault="00E5481B" w:rsidP="00322369">
      <w:pPr>
        <w:pStyle w:val="Paragraphedeliste"/>
        <w:numPr>
          <w:ilvl w:val="0"/>
          <w:numId w:val="106"/>
        </w:numPr>
        <w:spacing w:after="0" w:line="240" w:lineRule="auto"/>
        <w:jc w:val="both"/>
      </w:pPr>
      <w:r>
        <w:t xml:space="preserve">Les </w:t>
      </w:r>
      <w:r w:rsidRPr="00107D2C">
        <w:t>textes</w:t>
      </w:r>
      <w:r>
        <w:t xml:space="preserve"> (des règlements et des lois) étaient</w:t>
      </w:r>
      <w:r w:rsidRPr="00107D2C">
        <w:t xml:space="preserve"> inappropriés et</w:t>
      </w:r>
      <w:r>
        <w:t xml:space="preserve"> ont été</w:t>
      </w:r>
      <w:r w:rsidRPr="00107D2C">
        <w:t xml:space="preserve"> non</w:t>
      </w:r>
      <w:r>
        <w:t>-</w:t>
      </w:r>
      <w:r w:rsidRPr="00107D2C">
        <w:t>appliqués</w:t>
      </w:r>
      <w:r>
        <w:t>.</w:t>
      </w:r>
    </w:p>
    <w:p w14:paraId="688B53A6" w14:textId="77777777" w:rsidR="00E5481B" w:rsidRDefault="00E5481B" w:rsidP="00322369">
      <w:pPr>
        <w:pStyle w:val="Paragraphedeliste"/>
        <w:numPr>
          <w:ilvl w:val="0"/>
          <w:numId w:val="106"/>
        </w:numPr>
        <w:spacing w:after="0" w:line="240" w:lineRule="auto"/>
        <w:jc w:val="both"/>
      </w:pPr>
      <w:r w:rsidRPr="00107D2C">
        <w:t xml:space="preserve">Il y avait une insuffisance de moyens financiers et des investissements, pour la mettre en </w:t>
      </w:r>
      <w:r>
        <w:t>œuvre</w:t>
      </w:r>
      <w:r w:rsidRPr="00107D2C">
        <w:t xml:space="preserve"> (pour </w:t>
      </w:r>
      <w:r>
        <w:t xml:space="preserve">la pose de bornes délimitant ces zones et les pistes, pour la construction des points d’eau, </w:t>
      </w:r>
      <w:r w:rsidRPr="00107D2C">
        <w:t>le contrôle</w:t>
      </w:r>
      <w:r>
        <w:t>, par des agents,</w:t>
      </w:r>
      <w:r w:rsidRPr="00107D2C">
        <w:t xml:space="preserve"> du respect des</w:t>
      </w:r>
      <w:r>
        <w:t xml:space="preserve"> nouvelles</w:t>
      </w:r>
      <w:r w:rsidRPr="00107D2C">
        <w:t xml:space="preserve"> règles locales</w:t>
      </w:r>
      <w:r>
        <w:t xml:space="preserve"> par les agriculteurs et éleveurs etc.</w:t>
      </w:r>
      <w:r w:rsidRPr="00107D2C">
        <w:t>).</w:t>
      </w:r>
    </w:p>
    <w:p w14:paraId="4414E75D" w14:textId="77777777" w:rsidR="00E5481B" w:rsidRDefault="00E5481B" w:rsidP="00322369">
      <w:pPr>
        <w:pStyle w:val="Paragraphedeliste"/>
        <w:numPr>
          <w:ilvl w:val="0"/>
          <w:numId w:val="106"/>
        </w:numPr>
        <w:spacing w:after="0" w:line="240" w:lineRule="auto"/>
        <w:jc w:val="both"/>
      </w:pPr>
      <w:r>
        <w:t>Les agriculteurs sont expulsés des ZP</w:t>
      </w:r>
      <w:r w:rsidRPr="000D7D34">
        <w:t xml:space="preserve"> et réinstall</w:t>
      </w:r>
      <w:r>
        <w:t>és ailleurs (déplacements forcés pouvant être mal perçus par ces derniers).</w:t>
      </w:r>
    </w:p>
    <w:p w14:paraId="70FCAF60" w14:textId="77777777" w:rsidR="00E5481B" w:rsidRDefault="00E5481B" w:rsidP="00322369">
      <w:pPr>
        <w:pStyle w:val="Paragraphedeliste"/>
        <w:numPr>
          <w:ilvl w:val="0"/>
          <w:numId w:val="106"/>
        </w:numPr>
        <w:spacing w:after="0" w:line="240" w:lineRule="auto"/>
        <w:jc w:val="both"/>
      </w:pPr>
      <w:r>
        <w:t>L’insécurité foncière (liée à une politique cadastrale « laxiste » et/ou peu rigoureuse et à la corruption) peut favoriser les conflits fonciers et les violences</w:t>
      </w:r>
      <w:r>
        <w:rPr>
          <w:rStyle w:val="Appelnotedebasdep"/>
        </w:rPr>
        <w:footnoteReference w:id="215"/>
      </w:r>
      <w:r>
        <w:t>.</w:t>
      </w:r>
    </w:p>
    <w:p w14:paraId="28E0F8DA" w14:textId="77777777" w:rsidR="00E5481B" w:rsidRDefault="00E5481B" w:rsidP="00E5481B">
      <w:pPr>
        <w:spacing w:after="0" w:line="240" w:lineRule="auto"/>
        <w:jc w:val="both"/>
      </w:pPr>
    </w:p>
    <w:p w14:paraId="59B78A27" w14:textId="77777777" w:rsidR="00E5481B" w:rsidRDefault="00E5481B" w:rsidP="00E5481B">
      <w:pPr>
        <w:spacing w:after="0" w:line="240" w:lineRule="auto"/>
        <w:jc w:val="both"/>
      </w:pPr>
      <w:r w:rsidRPr="00074A0D">
        <w:rPr>
          <w:u w:val="single"/>
        </w:rPr>
        <w:t>Constat d’échec</w:t>
      </w:r>
      <w:r>
        <w:t xml:space="preserve"> : On constate alors que les ZP (zones pastorales) et les pistes à bétail sont occupées par des champs, d’où les conflits persistants entre agriculteurs et éleveurs.</w:t>
      </w:r>
    </w:p>
    <w:p w14:paraId="3DB392DC" w14:textId="77777777" w:rsidR="008B58C5" w:rsidRDefault="008B58C5" w:rsidP="008B58C5">
      <w:pPr>
        <w:spacing w:after="0" w:line="240" w:lineRule="auto"/>
        <w:jc w:val="both"/>
      </w:pPr>
    </w:p>
    <w:p w14:paraId="2D15C522" w14:textId="77777777" w:rsidR="008B58C5" w:rsidRDefault="008B58C5" w:rsidP="008B58C5">
      <w:pPr>
        <w:pStyle w:val="Titre2"/>
      </w:pPr>
      <w:bookmarkStart w:id="276" w:name="_Toc139181567"/>
      <w:r>
        <w:t>Quelles solutions ?</w:t>
      </w:r>
      <w:bookmarkEnd w:id="276"/>
    </w:p>
    <w:p w14:paraId="37388092" w14:textId="77777777" w:rsidR="008B58C5" w:rsidRDefault="008B58C5" w:rsidP="008B58C5">
      <w:pPr>
        <w:spacing w:after="0" w:line="240" w:lineRule="auto"/>
        <w:jc w:val="both"/>
      </w:pPr>
    </w:p>
    <w:p w14:paraId="0DA92501" w14:textId="77777777" w:rsidR="008B58C5" w:rsidRDefault="008B58C5" w:rsidP="008B58C5">
      <w:pPr>
        <w:spacing w:after="0" w:line="240" w:lineRule="auto"/>
        <w:jc w:val="both"/>
      </w:pPr>
      <w:r w:rsidRPr="00C74BCD">
        <w:t>Comment réguler l’accès aux</w:t>
      </w:r>
      <w:r>
        <w:t xml:space="preserve"> mêmes</w:t>
      </w:r>
      <w:r w:rsidRPr="00C74BCD">
        <w:t xml:space="preserve"> ressources naturelles</w:t>
      </w:r>
      <w:r>
        <w:t xml:space="preserve"> (RN)</w:t>
      </w:r>
      <w:r w:rsidRPr="00C74BCD">
        <w:t>, entre usagers (agriculteurs et éleveurs) de</w:t>
      </w:r>
      <w:r>
        <w:t xml:space="preserve"> celles-ci, sans conflits entre ces derniers </w:t>
      </w:r>
      <w:r w:rsidRPr="00C74BCD">
        <w:t>?</w:t>
      </w:r>
    </w:p>
    <w:p w14:paraId="2CFD412D" w14:textId="40E3CF7B" w:rsidR="008B58C5" w:rsidRDefault="008B58C5" w:rsidP="008B58C5">
      <w:pPr>
        <w:spacing w:after="0" w:line="240" w:lineRule="auto"/>
        <w:jc w:val="both"/>
      </w:pPr>
      <w:r>
        <w:t xml:space="preserve">Dans la même région, comment faire cohabiter </w:t>
      </w:r>
      <w:r w:rsidRPr="00C74BCD">
        <w:t>agriculteurs et éleveurs</w:t>
      </w:r>
      <w:r>
        <w:t>, si possible, sans impact négatif sur l’environnement ?</w:t>
      </w:r>
    </w:p>
    <w:p w14:paraId="67D0B5E1" w14:textId="77777777" w:rsidR="00D10CC6" w:rsidRDefault="00D10CC6" w:rsidP="00D10CC6">
      <w:pPr>
        <w:spacing w:after="0" w:line="240" w:lineRule="auto"/>
      </w:pPr>
    </w:p>
    <w:p w14:paraId="4CDE6250" w14:textId="66720D12" w:rsidR="00D10CC6" w:rsidRPr="002F63C8" w:rsidRDefault="00864446" w:rsidP="0054530B">
      <w:pPr>
        <w:pStyle w:val="Titre2"/>
      </w:pPr>
      <w:bookmarkStart w:id="277" w:name="_Toc139181568"/>
      <w:r>
        <w:lastRenderedPageBreak/>
        <w:t>Solutions pour l</w:t>
      </w:r>
      <w:r w:rsidR="00D10CC6" w:rsidRPr="002F63C8">
        <w:t>a bonne gestion</w:t>
      </w:r>
      <w:r w:rsidR="00D10CC6">
        <w:t xml:space="preserve"> des ressources et</w:t>
      </w:r>
      <w:r w:rsidR="00D10CC6" w:rsidRPr="002F63C8">
        <w:t xml:space="preserve"> des conflits agriculteurs et éleveurs</w:t>
      </w:r>
      <w:bookmarkEnd w:id="277"/>
    </w:p>
    <w:p w14:paraId="0073715D" w14:textId="26AD94A0" w:rsidR="00D10CC6" w:rsidRDefault="00D10CC6" w:rsidP="008B58C5">
      <w:pPr>
        <w:spacing w:after="0" w:line="240" w:lineRule="auto"/>
        <w:jc w:val="both"/>
      </w:pPr>
    </w:p>
    <w:p w14:paraId="6C2B883A" w14:textId="4DA9C33E" w:rsidR="00D10CC6" w:rsidRDefault="00D10CC6" w:rsidP="008B58C5">
      <w:pPr>
        <w:spacing w:after="0" w:line="240" w:lineRule="auto"/>
        <w:jc w:val="both"/>
      </w:pPr>
      <w:r>
        <w:t>Voici quelques suggestions :</w:t>
      </w:r>
    </w:p>
    <w:p w14:paraId="0ABA1C77" w14:textId="77777777" w:rsidR="008B58C5" w:rsidRDefault="008B58C5" w:rsidP="008B58C5">
      <w:pPr>
        <w:spacing w:after="0" w:line="240" w:lineRule="auto"/>
        <w:jc w:val="both"/>
      </w:pPr>
    </w:p>
    <w:p w14:paraId="20E2AECA" w14:textId="77777777" w:rsidR="008B58C5" w:rsidRDefault="008B58C5" w:rsidP="008B58C5">
      <w:pPr>
        <w:pStyle w:val="Titre3"/>
      </w:pPr>
      <w:bookmarkStart w:id="278" w:name="_Toc139181569"/>
      <w:r>
        <w:t>Faire appel à la science</w:t>
      </w:r>
      <w:bookmarkEnd w:id="278"/>
    </w:p>
    <w:p w14:paraId="33583FA5" w14:textId="77777777" w:rsidR="008B58C5" w:rsidRDefault="008B58C5" w:rsidP="008B58C5">
      <w:pPr>
        <w:spacing w:after="0" w:line="240" w:lineRule="auto"/>
        <w:jc w:val="both"/>
      </w:pPr>
    </w:p>
    <w:p w14:paraId="7C0BE5C8" w14:textId="77777777" w:rsidR="00A077EF" w:rsidRDefault="00A077EF" w:rsidP="00A077EF">
      <w:pPr>
        <w:spacing w:after="0" w:line="240" w:lineRule="auto"/>
        <w:jc w:val="both"/>
      </w:pPr>
      <w:r>
        <w:t>Il a certainement à faire un état des lieux des RN :</w:t>
      </w:r>
    </w:p>
    <w:p w14:paraId="6F7B21C4" w14:textId="77777777" w:rsidR="00A077EF" w:rsidRDefault="00A077EF" w:rsidP="00A077EF">
      <w:pPr>
        <w:spacing w:after="0" w:line="240" w:lineRule="auto"/>
        <w:jc w:val="both"/>
      </w:pPr>
    </w:p>
    <w:p w14:paraId="61CB3CA2" w14:textId="77777777" w:rsidR="00A077EF" w:rsidRDefault="00A077EF" w:rsidP="00A077EF">
      <w:pPr>
        <w:spacing w:after="0" w:line="240" w:lineRule="auto"/>
        <w:jc w:val="both"/>
      </w:pPr>
      <w:r>
        <w:t>Il y a un certain nombre de questions à se poser :</w:t>
      </w:r>
    </w:p>
    <w:p w14:paraId="4CE20A5D" w14:textId="77777777" w:rsidR="00A077EF" w:rsidRDefault="00A077EF" w:rsidP="00A077EF">
      <w:pPr>
        <w:spacing w:after="0" w:line="240" w:lineRule="auto"/>
        <w:jc w:val="both"/>
      </w:pPr>
    </w:p>
    <w:p w14:paraId="16B460C3" w14:textId="77777777" w:rsidR="00A077EF" w:rsidRDefault="00A077EF" w:rsidP="00A077EF">
      <w:pPr>
        <w:pStyle w:val="Paragraphedeliste"/>
        <w:numPr>
          <w:ilvl w:val="0"/>
          <w:numId w:val="111"/>
        </w:numPr>
        <w:spacing w:after="0" w:line="240" w:lineRule="auto"/>
        <w:ind w:left="426"/>
        <w:jc w:val="both"/>
      </w:pPr>
      <w:r>
        <w:t>La pression foncière permet-elle de supporter à la fois les agriculteurs (autochtones et migrants) et les éleveurs ?</w:t>
      </w:r>
    </w:p>
    <w:p w14:paraId="20F0DD8D" w14:textId="77777777" w:rsidR="00A077EF" w:rsidRDefault="00A077EF" w:rsidP="00A077EF">
      <w:pPr>
        <w:pStyle w:val="Paragraphedeliste"/>
        <w:numPr>
          <w:ilvl w:val="0"/>
          <w:numId w:val="111"/>
        </w:numPr>
        <w:spacing w:after="0" w:line="240" w:lineRule="auto"/>
        <w:ind w:left="426"/>
        <w:jc w:val="both"/>
      </w:pPr>
      <w:r>
        <w:t>Quelle est la capacité de charge du territoire et comment répartir la charge animale pour qu'elle ne soit pas dépassée ?</w:t>
      </w:r>
    </w:p>
    <w:p w14:paraId="5370335A" w14:textId="77777777" w:rsidR="00A077EF" w:rsidRDefault="00A077EF" w:rsidP="00A077EF">
      <w:pPr>
        <w:pStyle w:val="Paragraphedeliste"/>
        <w:numPr>
          <w:ilvl w:val="0"/>
          <w:numId w:val="111"/>
        </w:numPr>
        <w:spacing w:after="0" w:line="240" w:lineRule="auto"/>
        <w:ind w:left="426"/>
        <w:jc w:val="both"/>
      </w:pPr>
      <w:r>
        <w:t>Quelles stratégies mobilisent chaque groupe d’acteur afin d’adapter sa charge animale à la disponibilité des ressources ?</w:t>
      </w:r>
    </w:p>
    <w:p w14:paraId="126EE854" w14:textId="77777777" w:rsidR="00A077EF" w:rsidRDefault="00A077EF" w:rsidP="00A077EF">
      <w:pPr>
        <w:pStyle w:val="Paragraphedeliste"/>
        <w:numPr>
          <w:ilvl w:val="0"/>
          <w:numId w:val="111"/>
        </w:numPr>
        <w:spacing w:after="0" w:line="240" w:lineRule="auto"/>
        <w:ind w:left="426"/>
        <w:jc w:val="both"/>
      </w:pPr>
      <w:r>
        <w:t>Quels sont les différents modes de régulation de l’accès aux ressources dans le territoire ?</w:t>
      </w:r>
    </w:p>
    <w:p w14:paraId="43D38FD2" w14:textId="77777777" w:rsidR="00A077EF" w:rsidRDefault="00A077EF" w:rsidP="00A077EF">
      <w:pPr>
        <w:pStyle w:val="Paragraphedeliste"/>
        <w:numPr>
          <w:ilvl w:val="0"/>
          <w:numId w:val="111"/>
        </w:numPr>
        <w:spacing w:after="0" w:line="240" w:lineRule="auto"/>
        <w:ind w:left="426"/>
        <w:jc w:val="both"/>
      </w:pPr>
      <w:r>
        <w:t>Quels types d’accords sociaux sont-ils nécessaires pour consolider un mode commun de régulation ?</w:t>
      </w:r>
    </w:p>
    <w:p w14:paraId="264132B3" w14:textId="77777777" w:rsidR="00A077EF" w:rsidRDefault="00A077EF" w:rsidP="00A077EF">
      <w:pPr>
        <w:spacing w:after="0" w:line="240" w:lineRule="auto"/>
        <w:jc w:val="both"/>
      </w:pPr>
    </w:p>
    <w:p w14:paraId="2E42B47A" w14:textId="6CA2F6EB" w:rsidR="00A077EF" w:rsidRDefault="00A077EF" w:rsidP="00A077EF">
      <w:pPr>
        <w:spacing w:after="0" w:line="240" w:lineRule="auto"/>
        <w:jc w:val="both"/>
      </w:pPr>
      <w:r>
        <w:t>Un certain nombre d’enquêtes peuvent être mener sur le terrain. Un exemple de ce type d’enquête</w:t>
      </w:r>
      <w:r w:rsidR="006E39F3">
        <w:rPr>
          <w:rStyle w:val="Appelnotedebasdep"/>
        </w:rPr>
        <w:footnoteReference w:id="216"/>
      </w:r>
      <w:r>
        <w:t xml:space="preserve"> : </w:t>
      </w:r>
    </w:p>
    <w:p w14:paraId="50126FAE" w14:textId="77777777" w:rsidR="00A077EF" w:rsidRDefault="00A077EF" w:rsidP="00A077EF">
      <w:pPr>
        <w:spacing w:after="0" w:line="240" w:lineRule="auto"/>
        <w:jc w:val="both"/>
      </w:pPr>
    </w:p>
    <w:p w14:paraId="6E534B5D" w14:textId="77777777" w:rsidR="00A077EF" w:rsidRDefault="00A077EF" w:rsidP="00A077EF">
      <w:pPr>
        <w:pStyle w:val="Paragraphedeliste"/>
        <w:numPr>
          <w:ilvl w:val="0"/>
          <w:numId w:val="107"/>
        </w:numPr>
        <w:spacing w:after="0" w:line="240" w:lineRule="auto"/>
        <w:ind w:left="426"/>
        <w:jc w:val="both"/>
      </w:pPr>
      <w:r>
        <w:t>Enquête préliminaire (interview semi structurée (ISS)) : entretiens avec tous les acteurs institutionnels et organisations socio-professionnels locales.</w:t>
      </w:r>
    </w:p>
    <w:p w14:paraId="0C7F10DF" w14:textId="77777777" w:rsidR="00A077EF" w:rsidRDefault="00A077EF" w:rsidP="00A077EF">
      <w:pPr>
        <w:pStyle w:val="Paragraphedeliste"/>
        <w:numPr>
          <w:ilvl w:val="0"/>
          <w:numId w:val="107"/>
        </w:numPr>
        <w:spacing w:after="0" w:line="240" w:lineRule="auto"/>
        <w:ind w:left="426"/>
        <w:jc w:val="both"/>
      </w:pPr>
      <w:r>
        <w:t>Enquête zootechnique (ISS) : systèmes d’élevage, dynamique des troupeaux, productions, races des animaux élevés ...</w:t>
      </w:r>
    </w:p>
    <w:p w14:paraId="01B6E5A6" w14:textId="77777777" w:rsidR="00A077EF" w:rsidRDefault="00A077EF" w:rsidP="00A077EF">
      <w:pPr>
        <w:pStyle w:val="Paragraphedeliste"/>
        <w:numPr>
          <w:ilvl w:val="0"/>
          <w:numId w:val="107"/>
        </w:numPr>
        <w:spacing w:after="0" w:line="240" w:lineRule="auto"/>
        <w:ind w:left="426"/>
        <w:jc w:val="both"/>
      </w:pPr>
      <w:r>
        <w:t>Enquête agricole (ISS) : systèmes de culture, productivité, ...</w:t>
      </w:r>
    </w:p>
    <w:p w14:paraId="6094D257" w14:textId="77777777" w:rsidR="00A077EF" w:rsidRDefault="00A077EF" w:rsidP="00A077EF">
      <w:pPr>
        <w:pStyle w:val="Paragraphedeliste"/>
        <w:numPr>
          <w:ilvl w:val="0"/>
          <w:numId w:val="107"/>
        </w:numPr>
        <w:spacing w:after="0" w:line="240" w:lineRule="auto"/>
        <w:ind w:left="426"/>
        <w:jc w:val="both"/>
      </w:pPr>
      <w:r>
        <w:t>Enquête sur les modes de gestion endogène des RN (ISS) : modes de régulation, perceptions des acteurs, ...</w:t>
      </w:r>
    </w:p>
    <w:p w14:paraId="485646EC" w14:textId="77777777" w:rsidR="00A077EF" w:rsidRDefault="00A077EF" w:rsidP="00A077EF">
      <w:pPr>
        <w:pStyle w:val="Paragraphedeliste"/>
        <w:numPr>
          <w:ilvl w:val="0"/>
          <w:numId w:val="107"/>
        </w:numPr>
        <w:spacing w:after="0" w:line="240" w:lineRule="auto"/>
        <w:ind w:left="426"/>
        <w:jc w:val="both"/>
      </w:pPr>
      <w:r>
        <w:t>Cartographie de l’occupation des sols (SIG).</w:t>
      </w:r>
    </w:p>
    <w:p w14:paraId="30EBAB1F" w14:textId="77777777" w:rsidR="00A077EF" w:rsidRDefault="00A077EF" w:rsidP="00A077EF">
      <w:pPr>
        <w:pStyle w:val="Paragraphedeliste"/>
        <w:numPr>
          <w:ilvl w:val="0"/>
          <w:numId w:val="107"/>
        </w:numPr>
        <w:spacing w:after="0" w:line="240" w:lineRule="auto"/>
        <w:ind w:left="426"/>
        <w:jc w:val="both"/>
      </w:pPr>
      <w:r w:rsidRPr="00290752">
        <w:t>Etudes socio-économiques : démographie, données sur les conflits, les transhumances, l'accroissement du cheptel, la pression foncière ...</w:t>
      </w:r>
    </w:p>
    <w:p w14:paraId="5C108081" w14:textId="77777777" w:rsidR="00A077EF" w:rsidRDefault="00A077EF" w:rsidP="00A077EF">
      <w:pPr>
        <w:pStyle w:val="Paragraphedeliste"/>
        <w:numPr>
          <w:ilvl w:val="0"/>
          <w:numId w:val="107"/>
        </w:numPr>
        <w:spacing w:after="0" w:line="240" w:lineRule="auto"/>
        <w:ind w:left="426"/>
        <w:jc w:val="both"/>
      </w:pPr>
      <w:r>
        <w:t>Évaluation de la biomasse fourragère : carré de rendement / placette, récolte intégrale et pesée.</w:t>
      </w:r>
    </w:p>
    <w:p w14:paraId="001EB035" w14:textId="77777777" w:rsidR="00A077EF" w:rsidRDefault="00A077EF" w:rsidP="00A077EF">
      <w:pPr>
        <w:pStyle w:val="Paragraphedeliste"/>
        <w:numPr>
          <w:ilvl w:val="0"/>
          <w:numId w:val="107"/>
        </w:numPr>
        <w:spacing w:after="0" w:line="240" w:lineRule="auto"/>
        <w:ind w:left="426"/>
        <w:jc w:val="both"/>
      </w:pPr>
      <w:r>
        <w:t>Capacité de charge du territoire (en nombre UBT/ha) et évolution dans différents scénarios (surpâturage, pâturage modéré, faible pacage, pâturage interdit ...).</w:t>
      </w:r>
    </w:p>
    <w:p w14:paraId="345A7E7A" w14:textId="77777777" w:rsidR="00A077EF" w:rsidRDefault="00A077EF" w:rsidP="00A077EF">
      <w:pPr>
        <w:pStyle w:val="Paragraphedeliste"/>
        <w:numPr>
          <w:ilvl w:val="0"/>
          <w:numId w:val="107"/>
        </w:numPr>
        <w:spacing w:after="0" w:line="240" w:lineRule="auto"/>
        <w:ind w:left="426"/>
        <w:jc w:val="both"/>
      </w:pPr>
      <w:r w:rsidRPr="00290752">
        <w:t xml:space="preserve">Etudes écologiques </w:t>
      </w:r>
      <w:r>
        <w:t>du</w:t>
      </w:r>
      <w:r w:rsidRPr="00290752">
        <w:t xml:space="preserve"> surpâturage,</w:t>
      </w:r>
      <w:r>
        <w:t xml:space="preserve"> de la</w:t>
      </w:r>
      <w:r w:rsidRPr="00290752">
        <w:t xml:space="preserve"> dégradation du couvert végétal,</w:t>
      </w:r>
      <w:r>
        <w:t xml:space="preserve"> des épisodes de</w:t>
      </w:r>
      <w:r w:rsidRPr="00290752">
        <w:t xml:space="preserve"> sécheresse,</w:t>
      </w:r>
      <w:r>
        <w:t xml:space="preserve"> de la</w:t>
      </w:r>
      <w:r w:rsidRPr="00290752">
        <w:t xml:space="preserve"> baisse de la fertilité des sols ...</w:t>
      </w:r>
    </w:p>
    <w:p w14:paraId="0EB2E205" w14:textId="77777777" w:rsidR="00A077EF" w:rsidRDefault="00A077EF" w:rsidP="00A077EF">
      <w:pPr>
        <w:pStyle w:val="Paragraphedeliste"/>
        <w:numPr>
          <w:ilvl w:val="0"/>
          <w:numId w:val="107"/>
        </w:numPr>
        <w:spacing w:after="0" w:line="240" w:lineRule="auto"/>
        <w:ind w:left="426"/>
        <w:jc w:val="both"/>
      </w:pPr>
      <w:r>
        <w:t>Etc.</w:t>
      </w:r>
    </w:p>
    <w:p w14:paraId="7F95978E" w14:textId="77777777" w:rsidR="00A077EF" w:rsidRDefault="00A077EF" w:rsidP="00A077EF">
      <w:pPr>
        <w:spacing w:after="0" w:line="240" w:lineRule="auto"/>
        <w:jc w:val="both"/>
      </w:pPr>
    </w:p>
    <w:p w14:paraId="28E41634" w14:textId="77777777" w:rsidR="00A077EF" w:rsidRDefault="00A077EF" w:rsidP="00A077EF">
      <w:pPr>
        <w:spacing w:after="0" w:line="240" w:lineRule="auto"/>
        <w:jc w:val="both"/>
      </w:pPr>
      <w:r>
        <w:t>Voici les inventaires à réaliser pour le diagnostic socio-économique :</w:t>
      </w:r>
    </w:p>
    <w:p w14:paraId="513486DB" w14:textId="77777777" w:rsidR="00A077EF" w:rsidRDefault="00A077EF" w:rsidP="00A077EF">
      <w:pPr>
        <w:spacing w:after="0" w:line="240" w:lineRule="auto"/>
        <w:jc w:val="both"/>
      </w:pPr>
    </w:p>
    <w:p w14:paraId="672661B6" w14:textId="77777777" w:rsidR="00A077EF" w:rsidRDefault="00A077EF" w:rsidP="00A077EF">
      <w:pPr>
        <w:pStyle w:val="Paragraphedeliste"/>
        <w:numPr>
          <w:ilvl w:val="0"/>
          <w:numId w:val="113"/>
        </w:numPr>
        <w:spacing w:after="0" w:line="240" w:lineRule="auto"/>
        <w:ind w:left="426"/>
        <w:jc w:val="both"/>
      </w:pPr>
      <w:r>
        <w:t>Typologie des acteurs : rôles, systèmes d’organisation et leurs fonctionnements, relations sociales ou économiques.</w:t>
      </w:r>
    </w:p>
    <w:p w14:paraId="467F815F" w14:textId="77777777" w:rsidR="00A077EF" w:rsidRDefault="00A077EF" w:rsidP="00A077EF">
      <w:pPr>
        <w:pStyle w:val="Paragraphedeliste"/>
        <w:numPr>
          <w:ilvl w:val="0"/>
          <w:numId w:val="113"/>
        </w:numPr>
        <w:spacing w:after="0" w:line="240" w:lineRule="auto"/>
        <w:ind w:left="426"/>
        <w:jc w:val="both"/>
      </w:pPr>
      <w:r>
        <w:t>Description des systèmes de culture.</w:t>
      </w:r>
    </w:p>
    <w:p w14:paraId="2492F5D3" w14:textId="77777777" w:rsidR="00A077EF" w:rsidRDefault="00A077EF" w:rsidP="00A077EF">
      <w:pPr>
        <w:pStyle w:val="Paragraphedeliste"/>
        <w:numPr>
          <w:ilvl w:val="0"/>
          <w:numId w:val="113"/>
        </w:numPr>
        <w:spacing w:after="0" w:line="240" w:lineRule="auto"/>
        <w:ind w:left="426"/>
        <w:jc w:val="both"/>
      </w:pPr>
      <w:r>
        <w:t>Description des systèmes d’élevage.</w:t>
      </w:r>
    </w:p>
    <w:p w14:paraId="34ED711A" w14:textId="77777777" w:rsidR="00A077EF" w:rsidRDefault="00A077EF" w:rsidP="00A077EF">
      <w:pPr>
        <w:pStyle w:val="Paragraphedeliste"/>
        <w:numPr>
          <w:ilvl w:val="0"/>
          <w:numId w:val="113"/>
        </w:numPr>
        <w:spacing w:after="0" w:line="240" w:lineRule="auto"/>
        <w:ind w:left="426"/>
        <w:jc w:val="both"/>
      </w:pPr>
      <w:r>
        <w:t>Description des modes d’accès aux ressources.</w:t>
      </w:r>
    </w:p>
    <w:p w14:paraId="1418B6EF" w14:textId="77777777" w:rsidR="00A077EF" w:rsidRDefault="00A077EF" w:rsidP="00A077EF">
      <w:pPr>
        <w:pStyle w:val="Paragraphedeliste"/>
        <w:numPr>
          <w:ilvl w:val="0"/>
          <w:numId w:val="113"/>
        </w:numPr>
        <w:spacing w:after="0" w:line="240" w:lineRule="auto"/>
        <w:ind w:left="426"/>
        <w:jc w:val="both"/>
      </w:pPr>
      <w:r>
        <w:t>Différents types d’usages des RN : terres agricoles , parcours, bois de feu, cueillette, pêche, …</w:t>
      </w:r>
    </w:p>
    <w:p w14:paraId="132EA30D" w14:textId="77777777" w:rsidR="00A077EF" w:rsidRDefault="00A077EF" w:rsidP="00A077EF">
      <w:pPr>
        <w:pStyle w:val="Paragraphedeliste"/>
        <w:numPr>
          <w:ilvl w:val="0"/>
          <w:numId w:val="113"/>
        </w:numPr>
        <w:spacing w:after="0" w:line="240" w:lineRule="auto"/>
        <w:ind w:left="426"/>
        <w:jc w:val="both"/>
      </w:pPr>
      <w:r>
        <w:t>Modes de règlement des conflits.</w:t>
      </w:r>
    </w:p>
    <w:p w14:paraId="771F141E" w14:textId="77777777" w:rsidR="00A077EF" w:rsidRDefault="00A077EF" w:rsidP="00A077EF">
      <w:pPr>
        <w:spacing w:after="0" w:line="240" w:lineRule="auto"/>
        <w:jc w:val="both"/>
      </w:pPr>
    </w:p>
    <w:p w14:paraId="7E53C93E" w14:textId="77777777" w:rsidR="00A077EF" w:rsidRDefault="00A077EF" w:rsidP="00A077EF">
      <w:pPr>
        <w:spacing w:after="0" w:line="240" w:lineRule="auto"/>
        <w:jc w:val="both"/>
      </w:pPr>
      <w:r>
        <w:t>Voici quelques solutions à développer ou expérimenter pratiquement (sur le terrain) :</w:t>
      </w:r>
    </w:p>
    <w:p w14:paraId="6F5C4396" w14:textId="77777777" w:rsidR="00A077EF" w:rsidRDefault="00A077EF" w:rsidP="00A077EF">
      <w:pPr>
        <w:spacing w:after="0" w:line="240" w:lineRule="auto"/>
        <w:jc w:val="both"/>
      </w:pPr>
    </w:p>
    <w:p w14:paraId="4199B945" w14:textId="15B921E7" w:rsidR="00A077EF" w:rsidRDefault="00A077EF" w:rsidP="00722C77">
      <w:pPr>
        <w:pStyle w:val="Paragraphedeliste"/>
        <w:numPr>
          <w:ilvl w:val="0"/>
          <w:numId w:val="112"/>
        </w:numPr>
        <w:spacing w:after="0" w:line="240" w:lineRule="auto"/>
        <w:ind w:left="426"/>
        <w:jc w:val="both"/>
      </w:pPr>
      <w:r>
        <w:t>Créer des fermes caprines ou ovines modernes pour l’amélioration génétiques et la production de races ovines et caprines de qualité. Par exemple, trouver ou mettre au point des races caprines plus productives que les races caprines sahéliennes actuelles</w:t>
      </w:r>
      <w:r w:rsidR="00E2118C">
        <w:t xml:space="preserve"> (dont la </w:t>
      </w:r>
      <w:r w:rsidR="00E2118C" w:rsidRPr="002B0855">
        <w:rPr>
          <w:i/>
          <w:iCs/>
        </w:rPr>
        <w:t>chèvre sahélienne</w:t>
      </w:r>
      <w:r w:rsidR="00E2118C">
        <w:rPr>
          <w:rStyle w:val="Appelnotedebasdep"/>
        </w:rPr>
        <w:footnoteReference w:id="217"/>
      </w:r>
      <w:r w:rsidR="00E2118C">
        <w:t>)</w:t>
      </w:r>
      <w:r>
        <w:t xml:space="preserve">. Par exemple, en race ovines : la </w:t>
      </w:r>
      <w:r w:rsidRPr="00F4552F">
        <w:rPr>
          <w:i/>
          <w:iCs/>
        </w:rPr>
        <w:t>dorper</w:t>
      </w:r>
      <w:r>
        <w:rPr>
          <w:rStyle w:val="Appelnotedebasdep"/>
        </w:rPr>
        <w:footnoteReference w:id="218"/>
      </w:r>
      <w:r>
        <w:t xml:space="preserve"> (résistante à la chaleur et la sècheresse). Par exemple, en races caprines : la</w:t>
      </w:r>
      <w:r w:rsidRPr="00F854D7">
        <w:t xml:space="preserve"> sélection de races locales sur leur capacité d’adaptation aux conditions arides locales [</w:t>
      </w:r>
      <w:r>
        <w:t xml:space="preserve">celles </w:t>
      </w:r>
      <w:r w:rsidRPr="00F854D7">
        <w:t>du Nord de Djibouti]</w:t>
      </w:r>
      <w:r>
        <w:rPr>
          <w:rStyle w:val="Appelnotedebasdep"/>
        </w:rPr>
        <w:footnoteReference w:id="219"/>
      </w:r>
      <w:r w:rsidRPr="00F854D7">
        <w:t>.</w:t>
      </w:r>
    </w:p>
    <w:p w14:paraId="35043FE5" w14:textId="77777777" w:rsidR="00864446" w:rsidRDefault="00864446" w:rsidP="00311A81">
      <w:pPr>
        <w:spacing w:after="0" w:line="240" w:lineRule="auto"/>
        <w:jc w:val="both"/>
      </w:pPr>
    </w:p>
    <w:p w14:paraId="356AAB96" w14:textId="06C163C6" w:rsidR="004A572C" w:rsidRDefault="004A572C" w:rsidP="00722C77">
      <w:pPr>
        <w:pStyle w:val="Titre3"/>
      </w:pPr>
      <w:bookmarkStart w:id="279" w:name="_Toc139181570"/>
      <w:r>
        <w:t>Suggestions de</w:t>
      </w:r>
      <w:r w:rsidR="00864446">
        <w:t>s ONG</w:t>
      </w:r>
      <w:r>
        <w:t xml:space="preserve"> SOS Sahel, </w:t>
      </w:r>
      <w:r w:rsidR="00722C77" w:rsidRPr="00722C77">
        <w:t>IIED</w:t>
      </w:r>
      <w:bookmarkEnd w:id="279"/>
    </w:p>
    <w:p w14:paraId="77E57DE6" w14:textId="4351DE99" w:rsidR="004A572C" w:rsidRDefault="004A572C" w:rsidP="00311A81">
      <w:pPr>
        <w:spacing w:after="0" w:line="240" w:lineRule="auto"/>
        <w:jc w:val="both"/>
      </w:pPr>
    </w:p>
    <w:p w14:paraId="26DB3DE1" w14:textId="4CDBF7AE" w:rsidR="004A572C" w:rsidRDefault="004A572C" w:rsidP="004A572C">
      <w:pPr>
        <w:spacing w:after="0" w:line="240" w:lineRule="auto"/>
        <w:jc w:val="both"/>
      </w:pPr>
      <w:r>
        <w:t>Pour améliorer la mobilité du bétail à long terme, nous pensons qu’il convient d’aborder les thèmes clés suivants</w:t>
      </w:r>
      <w:r w:rsidR="00722C77">
        <w:rPr>
          <w:rStyle w:val="Appelnotedebasdep"/>
        </w:rPr>
        <w:footnoteReference w:id="220"/>
      </w:r>
      <w:r>
        <w:t xml:space="preserve"> :</w:t>
      </w:r>
    </w:p>
    <w:p w14:paraId="43E1B6C2" w14:textId="77777777" w:rsidR="004A572C" w:rsidRDefault="004A572C" w:rsidP="004A572C">
      <w:pPr>
        <w:spacing w:after="0" w:line="240" w:lineRule="auto"/>
        <w:jc w:val="both"/>
      </w:pPr>
    </w:p>
    <w:p w14:paraId="452CF808" w14:textId="77777777" w:rsidR="004A572C" w:rsidRDefault="004A572C" w:rsidP="00722C77">
      <w:pPr>
        <w:pStyle w:val="Paragraphedeliste"/>
        <w:numPr>
          <w:ilvl w:val="0"/>
          <w:numId w:val="112"/>
        </w:numPr>
        <w:spacing w:after="0" w:line="240" w:lineRule="auto"/>
        <w:ind w:left="426"/>
        <w:jc w:val="both"/>
      </w:pPr>
      <w:r>
        <w:t>Une plus grande volonté politique : des attitudes mieux informées et plus positives envers le pastoralisme, et surtout une meilleure compréhension des bénéfices économiques qu’il présente.</w:t>
      </w:r>
    </w:p>
    <w:p w14:paraId="082445B6" w14:textId="2C0FE55B" w:rsidR="004A572C" w:rsidRDefault="004A572C" w:rsidP="00722C77">
      <w:pPr>
        <w:pStyle w:val="Paragraphedeliste"/>
        <w:numPr>
          <w:ilvl w:val="0"/>
          <w:numId w:val="112"/>
        </w:numPr>
        <w:spacing w:after="0" w:line="240" w:lineRule="auto"/>
        <w:ind w:left="426"/>
        <w:jc w:val="both"/>
      </w:pPr>
      <w:r>
        <w:t xml:space="preserve">Des </w:t>
      </w:r>
      <w:r w:rsidRPr="00722C77">
        <w:rPr>
          <w:i/>
          <w:iCs/>
        </w:rPr>
        <w:t>organisations de la société civile pastorale plus fortes</w:t>
      </w:r>
      <w:r>
        <w:t>, qui puissent articuler et défendre les intérêts de leurs membres et travailler avec les gouvernements pour concevoir et mettre en œuvre des politiques qui soutiennent la mobilité du bétail</w:t>
      </w:r>
      <w:r w:rsidR="00722C77">
        <w:t xml:space="preserve"> [Par ex., aider à mettre en place des organisations, des syndicats représentatifs des éleveurs]</w:t>
      </w:r>
      <w:r>
        <w:t>.</w:t>
      </w:r>
    </w:p>
    <w:p w14:paraId="0E3838D3" w14:textId="77777777" w:rsidR="004A572C" w:rsidRDefault="004A572C" w:rsidP="00722C77">
      <w:pPr>
        <w:pStyle w:val="Paragraphedeliste"/>
        <w:numPr>
          <w:ilvl w:val="0"/>
          <w:numId w:val="112"/>
        </w:numPr>
        <w:spacing w:after="0" w:line="240" w:lineRule="auto"/>
        <w:ind w:left="426"/>
        <w:jc w:val="both"/>
      </w:pPr>
      <w:r>
        <w:t xml:space="preserve">Un système juridique et administratif plus efficace, qui facilite un système de pastoralisme mobile pacifique mais dynamique, </w:t>
      </w:r>
      <w:r w:rsidRPr="00722C77">
        <w:rPr>
          <w:i/>
          <w:iCs/>
        </w:rPr>
        <w:t>basé sur des principes de négociation et de réciprocité avec les autres groupes</w:t>
      </w:r>
      <w:r>
        <w:t>.</w:t>
      </w:r>
    </w:p>
    <w:p w14:paraId="0365F38F" w14:textId="77777777" w:rsidR="004A572C" w:rsidRDefault="004A572C" w:rsidP="00722C77">
      <w:pPr>
        <w:pStyle w:val="Paragraphedeliste"/>
        <w:numPr>
          <w:ilvl w:val="0"/>
          <w:numId w:val="112"/>
        </w:numPr>
        <w:spacing w:after="0" w:line="240" w:lineRule="auto"/>
        <w:ind w:left="426"/>
        <w:jc w:val="both"/>
      </w:pPr>
      <w:r>
        <w:t>Des moyens d’existence forts et adaptables et une meilleure intégration aux marchés pour garantir que les communautés pastorales puissent répondre au changement climatique et aux demandes régionales croissantes en bétail et en produits de l’élevage.</w:t>
      </w:r>
    </w:p>
    <w:p w14:paraId="36D55E23" w14:textId="439132A2" w:rsidR="004A572C" w:rsidRDefault="004A572C" w:rsidP="00722C77">
      <w:pPr>
        <w:pStyle w:val="Paragraphedeliste"/>
        <w:numPr>
          <w:ilvl w:val="0"/>
          <w:numId w:val="112"/>
        </w:numPr>
        <w:spacing w:after="0" w:line="240" w:lineRule="auto"/>
        <w:ind w:left="426"/>
        <w:jc w:val="both"/>
      </w:pPr>
      <w:r>
        <w:t xml:space="preserve">Un meilleur consensus sur l’importance de la mobilité du bétail et les stratégies les plus appropriées pour la sécuriser ce consensus sera atteint par l’intermédiaire de </w:t>
      </w:r>
      <w:r w:rsidRPr="00722C77">
        <w:rPr>
          <w:i/>
          <w:iCs/>
        </w:rPr>
        <w:t>réseaux d’apprentissage comprenant des décideurs politiques, des organisations de la société civile et les pasteurs eux-mêmes</w:t>
      </w:r>
      <w:r>
        <w:t>.</w:t>
      </w:r>
    </w:p>
    <w:p w14:paraId="1D219489" w14:textId="55E7DC1B" w:rsidR="002F63C8" w:rsidRDefault="002F63C8" w:rsidP="00906491">
      <w:pPr>
        <w:spacing w:after="0" w:line="240" w:lineRule="auto"/>
      </w:pPr>
    </w:p>
    <w:p w14:paraId="3AF3CB6E" w14:textId="5AEB2B3A" w:rsidR="0036705B" w:rsidRDefault="0036705B" w:rsidP="0036705B">
      <w:pPr>
        <w:pStyle w:val="Titre3"/>
      </w:pPr>
      <w:bookmarkStart w:id="280" w:name="_Toc139181571"/>
      <w:r>
        <w:t>Projet de lutte contre la désertification dans le Ferlo au Sénégal, soutenu par le FFEM</w:t>
      </w:r>
      <w:bookmarkEnd w:id="280"/>
    </w:p>
    <w:p w14:paraId="34BFD5CA" w14:textId="0AE62544" w:rsidR="0036705B" w:rsidRDefault="0036705B" w:rsidP="00906491">
      <w:pPr>
        <w:spacing w:after="0" w:line="240" w:lineRule="auto"/>
      </w:pPr>
    </w:p>
    <w:p w14:paraId="34CF071E" w14:textId="784CC64B" w:rsidR="0036705B" w:rsidRDefault="0036705B" w:rsidP="0036705B">
      <w:pPr>
        <w:spacing w:after="0" w:line="240" w:lineRule="auto"/>
      </w:pPr>
      <w:r>
        <w:t>Le projet est divisé en trois composantes</w:t>
      </w:r>
      <w:r>
        <w:rPr>
          <w:rStyle w:val="Appelnotedebasdep"/>
        </w:rPr>
        <w:footnoteReference w:id="221"/>
      </w:r>
      <w:r>
        <w:t xml:space="preserve"> :</w:t>
      </w:r>
    </w:p>
    <w:p w14:paraId="0550E9D0" w14:textId="77777777" w:rsidR="0036705B" w:rsidRDefault="0036705B" w:rsidP="0036705B">
      <w:pPr>
        <w:spacing w:after="0" w:line="240" w:lineRule="auto"/>
      </w:pPr>
    </w:p>
    <w:p w14:paraId="0C2670DC" w14:textId="6298BFC6" w:rsidR="0036705B" w:rsidRDefault="0036705B" w:rsidP="0036705B">
      <w:pPr>
        <w:pStyle w:val="Paragraphedeliste"/>
        <w:numPr>
          <w:ilvl w:val="0"/>
          <w:numId w:val="117"/>
        </w:numPr>
        <w:spacing w:after="0" w:line="240" w:lineRule="auto"/>
        <w:ind w:left="426"/>
        <w:jc w:val="both"/>
      </w:pPr>
      <w:r w:rsidRPr="0036705B">
        <w:rPr>
          <w:b/>
          <w:bCs/>
        </w:rPr>
        <w:t>Appui à la gestion collective des pâturages par les « Unités pastorales » ou UP</w:t>
      </w:r>
      <w:r>
        <w:t xml:space="preserve"> : appuyer environ 26 Unités Pastorales dans la zone d’intervention du projet), qui ont pour but d’organiser la concertation entre les acteurs et la gestion collective des ressources sur un territoire (ex : mise en place d’un code local définissant des règles d’usage [dans chaque UP]).</w:t>
      </w:r>
    </w:p>
    <w:p w14:paraId="39C4666A" w14:textId="77777777" w:rsidR="0036705B" w:rsidRDefault="0036705B" w:rsidP="0036705B">
      <w:pPr>
        <w:pStyle w:val="Paragraphedeliste"/>
        <w:numPr>
          <w:ilvl w:val="0"/>
          <w:numId w:val="117"/>
        </w:numPr>
        <w:spacing w:after="0" w:line="240" w:lineRule="auto"/>
        <w:ind w:left="426"/>
        <w:jc w:val="both"/>
      </w:pPr>
      <w:r w:rsidRPr="0036705B">
        <w:rPr>
          <w:b/>
          <w:bCs/>
        </w:rPr>
        <w:t>Organisation et mise en réseau des acteurs du territoire pour une meilleure gestion des ressources</w:t>
      </w:r>
      <w:r>
        <w:t xml:space="preserve"> : les UP et organisations professionnelles impliquées dans le projet sont renforcées sur les aspects de gestion organisationnelle et financière ; on les incite également à se regrouper en fédérations communales et régionales afin d’augmenter leur influence de plaidoyer et d’améliorer la coordination entre elles. Ces organisations sont appuyées autour d’un projet concret : la mise en place de 4 centres d’alerte et d’information, permettant aux éleveurs de prendre des décisions éclairées pour leurs déplacements de transhumance, grâce à des informations </w:t>
      </w:r>
      <w:r>
        <w:lastRenderedPageBreak/>
        <w:t>telles que la pression d’utilisation des forages et leur fonctionnement, la situation des pâturages, les cas de foyers de maladies infectieuses, les données météorologiques, les prix du bétail sur les principaux marchés, etc. Ils permettent de mieux organiser la lutte contre les feux de brousse.</w:t>
      </w:r>
    </w:p>
    <w:p w14:paraId="3E99B6B7" w14:textId="77777777" w:rsidR="0036705B" w:rsidRDefault="0036705B" w:rsidP="0036705B">
      <w:pPr>
        <w:pStyle w:val="Paragraphedeliste"/>
        <w:numPr>
          <w:ilvl w:val="0"/>
          <w:numId w:val="117"/>
        </w:numPr>
        <w:spacing w:after="0" w:line="240" w:lineRule="auto"/>
        <w:ind w:left="426"/>
        <w:jc w:val="both"/>
      </w:pPr>
      <w:r w:rsidRPr="0036705B">
        <w:rPr>
          <w:b/>
          <w:bCs/>
        </w:rPr>
        <w:t>Appui technique et diversification des activités économique</w:t>
      </w:r>
      <w:r>
        <w:t xml:space="preserve"> : le projet forme des responsables sur les pratiques durables d’élevage et de gestion durables des pâturages. Il détecte et appuie les initiatives locales de diversification économique (aviculture, embouche, lait, etc.). Ces deux activités vont in fine de diminuer la pression sur les pâturages.</w:t>
      </w:r>
    </w:p>
    <w:p w14:paraId="2A036BE4" w14:textId="77777777" w:rsidR="0036705B" w:rsidRDefault="0036705B" w:rsidP="0036705B">
      <w:pPr>
        <w:spacing w:after="0" w:line="240" w:lineRule="auto"/>
      </w:pPr>
    </w:p>
    <w:p w14:paraId="079CC2C3" w14:textId="77777777" w:rsidR="00D10CC6" w:rsidRDefault="0036705B" w:rsidP="00D10CC6">
      <w:pPr>
        <w:spacing w:after="0" w:line="240" w:lineRule="auto"/>
      </w:pPr>
      <w:r w:rsidRPr="00D10CC6">
        <w:rPr>
          <w:u w:val="single"/>
        </w:rPr>
        <w:t>But</w:t>
      </w:r>
      <w:r>
        <w:t xml:space="preserve"> :</w:t>
      </w:r>
      <w:r w:rsidR="00D10CC6">
        <w:t xml:space="preserve"> </w:t>
      </w:r>
    </w:p>
    <w:p w14:paraId="3A306956" w14:textId="34D26C98" w:rsidR="0036705B" w:rsidRDefault="0036705B" w:rsidP="00D10CC6">
      <w:pPr>
        <w:spacing w:after="0" w:line="240" w:lineRule="auto"/>
        <w:jc w:val="both"/>
      </w:pPr>
      <w:r>
        <w:t xml:space="preserve">Le projet permet la mise en place de modes de gestion durables et in fine de conserver l’état du couvert végétal actuel dans la zone du Ferlo. </w:t>
      </w:r>
      <w:r w:rsidRPr="00D10CC6">
        <w:rPr>
          <w:i/>
          <w:iCs/>
        </w:rPr>
        <w:t>Les éleveurs, mieux organisés, sont à même de revendiquer des territoires dédiés à l’élevage</w:t>
      </w:r>
      <w:r>
        <w:t>.</w:t>
      </w:r>
    </w:p>
    <w:p w14:paraId="3BCAA45A" w14:textId="77777777" w:rsidR="00864446" w:rsidRDefault="00864446" w:rsidP="00906491">
      <w:pPr>
        <w:spacing w:after="0" w:line="240" w:lineRule="auto"/>
      </w:pPr>
    </w:p>
    <w:p w14:paraId="65F9E45E" w14:textId="1933EF41" w:rsidR="000A028B" w:rsidRDefault="000A028B" w:rsidP="000A028B">
      <w:pPr>
        <w:pStyle w:val="Titre3"/>
      </w:pPr>
      <w:bookmarkStart w:id="281" w:name="_Toc139181572"/>
      <w:r>
        <w:t xml:space="preserve">Exemple du </w:t>
      </w:r>
      <w:r w:rsidRPr="000A028B">
        <w:t>Projet de développement rural intégré (PDRI)</w:t>
      </w:r>
      <w:r>
        <w:t xml:space="preserve"> de la z</w:t>
      </w:r>
      <w:r w:rsidRPr="000A028B">
        <w:t>one pastorale de Barani</w:t>
      </w:r>
      <w:bookmarkEnd w:id="281"/>
    </w:p>
    <w:p w14:paraId="21112F26" w14:textId="4D51EDA1" w:rsidR="000A028B" w:rsidRDefault="000A028B" w:rsidP="00906491">
      <w:pPr>
        <w:spacing w:after="0" w:line="240" w:lineRule="auto"/>
      </w:pPr>
    </w:p>
    <w:p w14:paraId="5B160DDB" w14:textId="3225F5E0" w:rsidR="00A8739D" w:rsidRDefault="00A8739D" w:rsidP="00A8739D">
      <w:pPr>
        <w:spacing w:after="0" w:line="240" w:lineRule="auto"/>
        <w:jc w:val="both"/>
      </w:pPr>
      <w:r>
        <w:t>L</w:t>
      </w:r>
      <w:r w:rsidRPr="00A8739D">
        <w:t>e Projet de développement rural intégré (PDRI)</w:t>
      </w:r>
      <w:r w:rsidR="008D249C">
        <w:rPr>
          <w:rStyle w:val="Appelnotedebasdep"/>
        </w:rPr>
        <w:footnoteReference w:id="222"/>
      </w:r>
      <w:r w:rsidRPr="00A8739D">
        <w:t xml:space="preserve">, financé notamment par l’Agence française de développement (AFD) et lancé en 1991 dans trois provinces de l’Ouest burkinabè, arrive à Barani. L’idée de sauvegarder la vocation pastorale historique de la grande plaine du </w:t>
      </w:r>
      <w:r>
        <w:t>S</w:t>
      </w:r>
      <w:r w:rsidRPr="00A8739D">
        <w:t>eeno par l’instauration d’une zone pastorale est née des premiers échanges entre la population et l’équipe du projet. Le projet finance alors l’aménagement d’une zone de près de 50 000 hectares.</w:t>
      </w:r>
    </w:p>
    <w:p w14:paraId="6268603F" w14:textId="55510CE3" w:rsidR="00A8739D" w:rsidRDefault="00A8739D" w:rsidP="00906491">
      <w:pPr>
        <w:spacing w:after="0" w:line="240" w:lineRule="auto"/>
      </w:pPr>
    </w:p>
    <w:p w14:paraId="21683583" w14:textId="6C345488" w:rsidR="008C1341" w:rsidRDefault="008C1341" w:rsidP="008C1341">
      <w:pPr>
        <w:spacing w:after="0" w:line="240" w:lineRule="auto"/>
        <w:jc w:val="both"/>
      </w:pPr>
      <w:r>
        <w:t>Voici le parcours autour de Barani : À l’est du village, une vaste plaine sableuse (seeno) est pâturée en saison des pluies. En saison sèche, les troupeaux sont conduits dans les pâturages de décrue du Sourou. Les migrants agricoles s’installent notamment dans la grande plaine sableuse (seeno) entre Barani et le Sourou, et cultivent du riz dans les pâturages de décrue du Sourou.</w:t>
      </w:r>
    </w:p>
    <w:p w14:paraId="784D711C" w14:textId="77777777" w:rsidR="008C1341" w:rsidRPr="00A8739D" w:rsidRDefault="008C1341" w:rsidP="00906491">
      <w:pPr>
        <w:spacing w:after="0" w:line="240" w:lineRule="auto"/>
      </w:pPr>
    </w:p>
    <w:p w14:paraId="3C813223" w14:textId="36BA9310" w:rsidR="000A028B" w:rsidRDefault="000A028B" w:rsidP="000A028B">
      <w:pPr>
        <w:spacing w:after="0" w:line="240" w:lineRule="auto"/>
        <w:jc w:val="both"/>
      </w:pPr>
      <w:r w:rsidRPr="000A028B">
        <w:t>La zone pastorale de Barani peut être considérée comme un commun</w:t>
      </w:r>
      <w:r>
        <w:t xml:space="preserve"> </w:t>
      </w:r>
      <w:r w:rsidRPr="000A028B">
        <w:t>à vocation pastorale territorialisé. Elle en remplit les trois critères :</w:t>
      </w:r>
    </w:p>
    <w:p w14:paraId="2EA8A54E" w14:textId="16DA68AC" w:rsidR="000A028B" w:rsidRDefault="000A028B" w:rsidP="000A028B">
      <w:pPr>
        <w:spacing w:after="0" w:line="240" w:lineRule="auto"/>
        <w:jc w:val="both"/>
      </w:pPr>
    </w:p>
    <w:p w14:paraId="7A28CC0C" w14:textId="2B114B96" w:rsidR="000A028B" w:rsidRDefault="000A028B" w:rsidP="000A028B">
      <w:pPr>
        <w:spacing w:after="0" w:line="240" w:lineRule="auto"/>
        <w:jc w:val="both"/>
      </w:pPr>
      <w:r>
        <w:t xml:space="preserve">Des ressources, qui sont réhabilitées et reconnues pour leur vocation pastorale première. </w:t>
      </w:r>
      <w:r w:rsidRPr="000A028B">
        <w:rPr>
          <w:i/>
          <w:iCs/>
        </w:rPr>
        <w:t>Les pâturages de saison des pluies sont délimités par des balises en béton et des pares-feux sur le pourtour de la zon</w:t>
      </w:r>
      <w:r>
        <w:t>e. Les agriculteurs installés dans la zone depuis les années 1970 sont expulsés. Les puits et forages pastoraux rénovés.</w:t>
      </w:r>
    </w:p>
    <w:p w14:paraId="29BFF25A" w14:textId="77777777" w:rsidR="00C261B2" w:rsidRDefault="00C261B2" w:rsidP="000A028B">
      <w:pPr>
        <w:spacing w:after="0" w:line="240" w:lineRule="auto"/>
        <w:jc w:val="both"/>
      </w:pPr>
    </w:p>
    <w:p w14:paraId="0A28ECFC" w14:textId="19719804" w:rsidR="000A028B" w:rsidRDefault="000A028B" w:rsidP="000A028B">
      <w:pPr>
        <w:spacing w:after="0" w:line="240" w:lineRule="auto"/>
        <w:jc w:val="both"/>
      </w:pPr>
      <w:r>
        <w:t xml:space="preserve">Des règles de gestion, qui sont formalisées dans un cahier des charges rédigé dans le cadre du PDRI au milieu des années 1990 et réécrit en 2010. Ce cahier des charges entérine les limites de la zone, les règles d’usage, détaille l’organisation des instances de gestion de la zone, prévoit des sanctions en cas de non-respect des règles. Des comités villageois de gestion des ressources naturelles (CVGRN) ont un pouvoir de gestion : </w:t>
      </w:r>
      <w:r w:rsidRPr="000A028B">
        <w:rPr>
          <w:i/>
          <w:iCs/>
        </w:rPr>
        <w:t>ils surveillent la zone, perçoivent les droits d’entrée dans la zone, sont chargés des travaux d’entretien dans leur périmètre</w:t>
      </w:r>
      <w:r>
        <w:t>. Un comité départemental de gestion des ressources naturelles (CDGRN), basé à Barani, détient le véritable pouvoir sur la zone : il a des droits de gestion supérieurs à ceux des CVGRN et un droit d’exclusion. Les recettes des droits d’entrée dans la zone sont centralisées dans sa caisse. Il décide des dépenses : entretien de la zone et financement de patrouilles de surveillance</w:t>
      </w:r>
      <w:r w:rsidR="001A78A3">
        <w:t xml:space="preserve"> </w:t>
      </w:r>
      <w:r>
        <w:t>motorisées. Il est l’instance de résolution des conflits et le garant de l’intégrité de la zone contre les tentatives de mise en culture des pâturages. Il est l’interlocuteur privilégié des intervenants extérieurs : services de l’État, organisations non gouvernementales (ONG)…</w:t>
      </w:r>
    </w:p>
    <w:p w14:paraId="3B01879A" w14:textId="77777777" w:rsidR="000A028B" w:rsidRDefault="000A028B" w:rsidP="000A028B">
      <w:pPr>
        <w:spacing w:after="0" w:line="240" w:lineRule="auto"/>
        <w:jc w:val="both"/>
      </w:pPr>
    </w:p>
    <w:p w14:paraId="41559D3A" w14:textId="518D7655" w:rsidR="000A028B" w:rsidRDefault="000A028B" w:rsidP="000A028B">
      <w:pPr>
        <w:spacing w:after="0" w:line="240" w:lineRule="auto"/>
        <w:jc w:val="both"/>
      </w:pPr>
      <w:r>
        <w:lastRenderedPageBreak/>
        <w:t>Une communauté d’ayants droit se partage la ressource. Le faisceau de droits permet de distinguer différents types d’acteurs :</w:t>
      </w:r>
    </w:p>
    <w:p w14:paraId="0C7D9629" w14:textId="77777777" w:rsidR="000A028B" w:rsidRDefault="000A028B" w:rsidP="000A028B">
      <w:pPr>
        <w:spacing w:after="0" w:line="240" w:lineRule="auto"/>
        <w:jc w:val="both"/>
      </w:pPr>
    </w:p>
    <w:p w14:paraId="48F65F70" w14:textId="667745C4" w:rsidR="000A028B" w:rsidRDefault="000A028B" w:rsidP="00DA3C46">
      <w:pPr>
        <w:pStyle w:val="Paragraphedeliste"/>
        <w:numPr>
          <w:ilvl w:val="0"/>
          <w:numId w:val="85"/>
        </w:numPr>
        <w:tabs>
          <w:tab w:val="clear" w:pos="1440"/>
          <w:tab w:val="num" w:pos="426"/>
        </w:tabs>
        <w:spacing w:after="0" w:line="240" w:lineRule="auto"/>
        <w:ind w:left="426"/>
        <w:jc w:val="both"/>
      </w:pPr>
      <w:r>
        <w:t>Les simples usagers qui ont des droits d’accès et de prélèvement contre le paiement d’un droit d’entrée ;</w:t>
      </w:r>
    </w:p>
    <w:p w14:paraId="2EB81C89" w14:textId="3CC45EE6" w:rsidR="000A028B" w:rsidRDefault="000A028B" w:rsidP="00DA3C46">
      <w:pPr>
        <w:pStyle w:val="Paragraphedeliste"/>
        <w:numPr>
          <w:ilvl w:val="0"/>
          <w:numId w:val="85"/>
        </w:numPr>
        <w:tabs>
          <w:tab w:val="clear" w:pos="1440"/>
          <w:tab w:val="num" w:pos="426"/>
        </w:tabs>
        <w:spacing w:after="0" w:line="240" w:lineRule="auto"/>
        <w:ind w:left="426"/>
        <w:jc w:val="both"/>
      </w:pPr>
      <w:r>
        <w:t>Les membres des CVGRN qui ont des droits d’accès, de prélèvement et de gestion ;</w:t>
      </w:r>
    </w:p>
    <w:p w14:paraId="53EE3EF6" w14:textId="60C61B47" w:rsidR="000A028B" w:rsidRDefault="000A028B" w:rsidP="00DA3C46">
      <w:pPr>
        <w:pStyle w:val="Paragraphedeliste"/>
        <w:numPr>
          <w:ilvl w:val="0"/>
          <w:numId w:val="85"/>
        </w:numPr>
        <w:tabs>
          <w:tab w:val="clear" w:pos="1440"/>
          <w:tab w:val="num" w:pos="426"/>
        </w:tabs>
        <w:spacing w:after="0" w:line="240" w:lineRule="auto"/>
        <w:ind w:left="426"/>
        <w:jc w:val="both"/>
      </w:pPr>
      <w:r>
        <w:t>Les membres du CDGRN qui ont des droits d’accès, de prélèvement, de gestion et d’exclusion.</w:t>
      </w:r>
    </w:p>
    <w:p w14:paraId="4ED63354" w14:textId="44BBE7ED" w:rsidR="000A028B" w:rsidRDefault="000A028B" w:rsidP="00906491">
      <w:pPr>
        <w:spacing w:after="0" w:line="240" w:lineRule="auto"/>
      </w:pPr>
    </w:p>
    <w:p w14:paraId="695529F6" w14:textId="77777777" w:rsidR="000A028B" w:rsidRDefault="000A028B" w:rsidP="000A028B">
      <w:pPr>
        <w:spacing w:after="0" w:line="240" w:lineRule="auto"/>
        <w:jc w:val="both"/>
      </w:pPr>
      <w:r>
        <w:t xml:space="preserve">La zone pastorale respecte sept des huit critères de performances institutionnelles identifiées par Ostrom (1990) : les limites de la communauté d’usagers (ceux qui ont payé le droit d’entrée, ceux qui font partie des groupes de gestion) et de la ressource (matérialisée par des bornes) sont clairement définies ; les règles d’usage permettent le renouvellement de la ressource fourragère (grâce aux dates d’entrée et de sortie) ; la surveillance émane des comités d’usagers et non pas d’une autorité municipale ou étatique extérieure ; des sanctions graduelles sont prévues et appliquées en cas de fraude ; les conflits se règlent à moindre coût devant le CDGRN et non devant des autorités extérieures ; l’usage, la surveillance et la gouvernance sont organisés selon des niveaux différents et imbriqués. </w:t>
      </w:r>
    </w:p>
    <w:p w14:paraId="0337B23D" w14:textId="77777777" w:rsidR="000A028B" w:rsidRDefault="000A028B" w:rsidP="000A028B">
      <w:pPr>
        <w:spacing w:after="0" w:line="240" w:lineRule="auto"/>
        <w:jc w:val="both"/>
      </w:pPr>
    </w:p>
    <w:p w14:paraId="0ABD88E8" w14:textId="77777777" w:rsidR="000A028B" w:rsidRDefault="000A028B" w:rsidP="000A028B">
      <w:pPr>
        <w:spacing w:after="0" w:line="240" w:lineRule="auto"/>
        <w:jc w:val="both"/>
      </w:pPr>
      <w:r>
        <w:t>La pression foncière croissante impose de repenser les modalités de cohabitation de l’agriculture et de l’élevage. Si de nombreuses synergies sont en place entre les deux activités, une concurrence spatiale est à l’œuvre en saison des pluies, et en saison sèche et chaude dans les espaces de transhumance. Dans des espaces ruraux de plus en plus agricoles, il faut toutefois garder une place pour l’élevage. Des territoires réservés à la pâture doivent être pensés localement. L’échec des zones pastorales montre qu’ils ne peuvent être imposés par les États.</w:t>
      </w:r>
    </w:p>
    <w:p w14:paraId="5D9FE33E" w14:textId="7F07BACB" w:rsidR="000A028B" w:rsidRDefault="000A028B" w:rsidP="000A028B">
      <w:pPr>
        <w:spacing w:after="0" w:line="240" w:lineRule="auto"/>
        <w:jc w:val="both"/>
      </w:pPr>
      <w:r>
        <w:t xml:space="preserve">Le but recherché est bien d’exclure l’agriculture (et non pas les agriculteurs, qui sont souvent également éleveurs) des parcours ainsi protégés. </w:t>
      </w:r>
    </w:p>
    <w:p w14:paraId="64FB7A4A" w14:textId="77777777" w:rsidR="00C261B2" w:rsidRDefault="00C261B2" w:rsidP="000A028B">
      <w:pPr>
        <w:spacing w:after="0" w:line="240" w:lineRule="auto"/>
        <w:jc w:val="both"/>
      </w:pPr>
    </w:p>
    <w:p w14:paraId="25ADDFC9" w14:textId="67F954E7" w:rsidR="000A028B" w:rsidRPr="001A78A3" w:rsidRDefault="000A028B" w:rsidP="000A028B">
      <w:pPr>
        <w:spacing w:after="0" w:line="240" w:lineRule="auto"/>
        <w:jc w:val="both"/>
        <w:rPr>
          <w:b/>
          <w:bCs/>
        </w:rPr>
      </w:pPr>
      <w:r w:rsidRPr="001A78A3">
        <w:rPr>
          <w:b/>
          <w:bCs/>
        </w:rPr>
        <w:t xml:space="preserve">La question de l’intégration des transhumants à la gestion des parcours, alors qu’ils sont par définition souvent absents du territoire et qu’ils ont tendance à être exclus par les tarifications adoptées est difficile à résoudre. </w:t>
      </w:r>
    </w:p>
    <w:p w14:paraId="633B11EF" w14:textId="77777777" w:rsidR="001A78A3" w:rsidRDefault="001A78A3" w:rsidP="000A028B">
      <w:pPr>
        <w:spacing w:after="0" w:line="240" w:lineRule="auto"/>
        <w:jc w:val="both"/>
      </w:pPr>
    </w:p>
    <w:p w14:paraId="1555F1C6" w14:textId="6C89847C" w:rsidR="000A028B" w:rsidRDefault="000A028B" w:rsidP="000A028B">
      <w:pPr>
        <w:spacing w:after="0" w:line="240" w:lineRule="auto"/>
        <w:jc w:val="both"/>
      </w:pPr>
      <w:r w:rsidRPr="000A028B">
        <w:rPr>
          <w:i/>
          <w:iCs/>
        </w:rPr>
        <w:t>L’aménagement des tronçons de transhumance</w:t>
      </w:r>
      <w:r>
        <w:t xml:space="preserve"> les plus conflictuels permet une descente plus progressive des troupeaux transhumants à la fin de la saison des pluies. </w:t>
      </w:r>
      <w:r w:rsidRPr="000A028B">
        <w:rPr>
          <w:i/>
          <w:iCs/>
        </w:rPr>
        <w:t>C’est là un facteur important de limitation des problèmes de dégâts champêtre</w:t>
      </w:r>
      <w:r>
        <w:t>s.</w:t>
      </w:r>
    </w:p>
    <w:p w14:paraId="1D2906A2" w14:textId="77777777" w:rsidR="000A028B" w:rsidRDefault="000A028B" w:rsidP="000A028B">
      <w:pPr>
        <w:spacing w:after="0" w:line="240" w:lineRule="auto"/>
        <w:jc w:val="both"/>
      </w:pPr>
    </w:p>
    <w:p w14:paraId="49F03630" w14:textId="28A50967" w:rsidR="000A028B" w:rsidRDefault="00CC712E" w:rsidP="000A028B">
      <w:pPr>
        <w:spacing w:after="0" w:line="240" w:lineRule="auto"/>
        <w:jc w:val="both"/>
      </w:pPr>
      <w:r>
        <w:t>La c</w:t>
      </w:r>
      <w:r w:rsidR="000A028B">
        <w:t>ompétition foncière et le privilège accordé à l’intensification</w:t>
      </w:r>
      <w:r>
        <w:t xml:space="preserve"> de l’agriculture</w:t>
      </w:r>
      <w:r w:rsidR="000A028B">
        <w:t xml:space="preserve"> défavorisent l’élevage pastoral, et oubli</w:t>
      </w:r>
      <w:r>
        <w:t>ant</w:t>
      </w:r>
      <w:r w:rsidR="000A028B">
        <w:t xml:space="preserve"> les mises en garde contre les risques d’exclusion</w:t>
      </w:r>
      <w:r>
        <w:t xml:space="preserve"> et de révolte</w:t>
      </w:r>
      <w:r w:rsidR="000A028B">
        <w:t xml:space="preserve"> des transhumants.</w:t>
      </w:r>
    </w:p>
    <w:p w14:paraId="1F5BB844" w14:textId="77777777" w:rsidR="000A028B" w:rsidRDefault="000A028B" w:rsidP="000A028B">
      <w:pPr>
        <w:spacing w:after="0" w:line="240" w:lineRule="auto"/>
        <w:jc w:val="both"/>
      </w:pPr>
    </w:p>
    <w:p w14:paraId="3D4D5476" w14:textId="4B3FB3BA" w:rsidR="000A028B" w:rsidRDefault="000A028B" w:rsidP="000A028B">
      <w:pPr>
        <w:spacing w:after="0" w:line="240" w:lineRule="auto"/>
        <w:jc w:val="both"/>
      </w:pPr>
      <w:r>
        <w:t xml:space="preserve">Elle renvoie </w:t>
      </w:r>
      <w:r w:rsidR="004C289D">
        <w:t>à</w:t>
      </w:r>
      <w:r>
        <w:t xml:space="preserve"> la gouvernance </w:t>
      </w:r>
      <w:r w:rsidR="004C289D">
        <w:t>sociétale</w:t>
      </w:r>
      <w:r>
        <w:t xml:space="preserve"> des ressources pastorales. L'approche programme constituera un</w:t>
      </w:r>
      <w:r w:rsidR="004C289D">
        <w:t xml:space="preserve"> </w:t>
      </w:r>
      <w:r>
        <w:t xml:space="preserve">cadre plus pertinent sous </w:t>
      </w:r>
      <w:r w:rsidR="004C289D">
        <w:t>réserve</w:t>
      </w:r>
      <w:r>
        <w:t xml:space="preserve"> de la </w:t>
      </w:r>
      <w:r w:rsidR="004C289D">
        <w:t>méthode</w:t>
      </w:r>
      <w:r>
        <w:t xml:space="preserve"> de gouvernance des acteurs </w:t>
      </w:r>
      <w:r w:rsidR="004C289D">
        <w:t>étatiques</w:t>
      </w:r>
      <w:r>
        <w:t>, bailleurs et Etats nationaux. Dans ce</w:t>
      </w:r>
      <w:r w:rsidR="004C289D">
        <w:t xml:space="preserve"> </w:t>
      </w:r>
      <w:r>
        <w:t xml:space="preserve">nouveau cadre d'intervention qui se met en place, quel acteur de </w:t>
      </w:r>
      <w:r w:rsidR="004C289D">
        <w:t>développement</w:t>
      </w:r>
      <w:r>
        <w:t xml:space="preserve"> portera cette </w:t>
      </w:r>
      <w:r w:rsidR="004C289D">
        <w:t>méthode</w:t>
      </w:r>
      <w:r>
        <w:t xml:space="preserve"> </w:t>
      </w:r>
      <w:r w:rsidR="004C289D">
        <w:t>à</w:t>
      </w:r>
      <w:r>
        <w:t xml:space="preserve"> travers une </w:t>
      </w:r>
      <w:r w:rsidR="004C289D">
        <w:t>décentralisation</w:t>
      </w:r>
      <w:r>
        <w:t xml:space="preserve"> fragile et face au risque de marginalisation des acteurs-</w:t>
      </w:r>
      <w:r w:rsidR="004C289D">
        <w:t>clés</w:t>
      </w:r>
      <w:r>
        <w:t xml:space="preserve"> de ces </w:t>
      </w:r>
      <w:r w:rsidR="004C289D">
        <w:t>expériences</w:t>
      </w:r>
      <w:r>
        <w:t xml:space="preserve"> que</w:t>
      </w:r>
      <w:r w:rsidR="004C289D">
        <w:t xml:space="preserve"> </w:t>
      </w:r>
      <w:r>
        <w:t xml:space="preserve">sont la </w:t>
      </w:r>
      <w:r w:rsidR="004C289D">
        <w:t>société</w:t>
      </w:r>
      <w:r>
        <w:t xml:space="preserve"> civile, les ONG et les associations ?</w:t>
      </w:r>
    </w:p>
    <w:p w14:paraId="28E78E97" w14:textId="77777777" w:rsidR="000A028B" w:rsidRDefault="000A028B" w:rsidP="00906491">
      <w:pPr>
        <w:spacing w:after="0" w:line="240" w:lineRule="auto"/>
      </w:pPr>
    </w:p>
    <w:p w14:paraId="59A3FA73" w14:textId="15140EA0" w:rsidR="002600D3" w:rsidRDefault="002600D3" w:rsidP="00906491">
      <w:pPr>
        <w:spacing w:after="0" w:line="240" w:lineRule="auto"/>
      </w:pPr>
      <w:r w:rsidRPr="002600D3">
        <w:t>Tableau 1. Principaux pas dans le processus d’une gestion collective des ressources naturelles</w:t>
      </w:r>
      <w:r>
        <w:t>.</w:t>
      </w:r>
    </w:p>
    <w:tbl>
      <w:tblPr>
        <w:tblStyle w:val="Grilledutableau"/>
        <w:tblW w:w="0" w:type="auto"/>
        <w:tblLook w:val="04A0" w:firstRow="1" w:lastRow="0" w:firstColumn="1" w:lastColumn="0" w:noHBand="0" w:noVBand="1"/>
      </w:tblPr>
      <w:tblGrid>
        <w:gridCol w:w="3472"/>
        <w:gridCol w:w="3472"/>
        <w:gridCol w:w="3472"/>
      </w:tblGrid>
      <w:tr w:rsidR="002600D3" w14:paraId="6BCB8B80" w14:textId="77777777" w:rsidTr="00DE0091">
        <w:trPr>
          <w:tblHeader/>
        </w:trPr>
        <w:tc>
          <w:tcPr>
            <w:tcW w:w="3472" w:type="dxa"/>
          </w:tcPr>
          <w:p w14:paraId="4518D9AD" w14:textId="59A06798" w:rsidR="002600D3" w:rsidRDefault="002600D3" w:rsidP="00906491">
            <w:r>
              <w:rPr>
                <w:b/>
                <w:bCs/>
                <w:sz w:val="24"/>
                <w:szCs w:val="24"/>
              </w:rPr>
              <w:t>Pas</w:t>
            </w:r>
            <w:r w:rsidR="00DE0091">
              <w:rPr>
                <w:b/>
                <w:bCs/>
                <w:sz w:val="24"/>
                <w:szCs w:val="24"/>
              </w:rPr>
              <w:t xml:space="preserve"> (étapes)</w:t>
            </w:r>
            <w:r>
              <w:rPr>
                <w:b/>
                <w:bCs/>
                <w:sz w:val="24"/>
                <w:szCs w:val="24"/>
              </w:rPr>
              <w:t xml:space="preserve"> importants</w:t>
            </w:r>
          </w:p>
        </w:tc>
        <w:tc>
          <w:tcPr>
            <w:tcW w:w="3472" w:type="dxa"/>
          </w:tcPr>
          <w:p w14:paraId="6563A02E" w14:textId="7C05609B" w:rsidR="002600D3" w:rsidRDefault="002600D3" w:rsidP="00906491">
            <w:r>
              <w:rPr>
                <w:b/>
                <w:bCs/>
                <w:sz w:val="24"/>
                <w:szCs w:val="24"/>
              </w:rPr>
              <w:t>Sous-pas et contenu</w:t>
            </w:r>
          </w:p>
        </w:tc>
        <w:tc>
          <w:tcPr>
            <w:tcW w:w="3472" w:type="dxa"/>
          </w:tcPr>
          <w:p w14:paraId="3A04F8DA" w14:textId="3562A04E" w:rsidR="002600D3" w:rsidRDefault="002600D3" w:rsidP="00906491">
            <w:r>
              <w:rPr>
                <w:b/>
                <w:bCs/>
                <w:sz w:val="24"/>
                <w:szCs w:val="24"/>
              </w:rPr>
              <w:t>Appui apporté par le projet</w:t>
            </w:r>
          </w:p>
        </w:tc>
      </w:tr>
      <w:tr w:rsidR="00DE0091" w14:paraId="7C5C2591" w14:textId="77777777" w:rsidTr="002600D3">
        <w:tc>
          <w:tcPr>
            <w:tcW w:w="3472" w:type="dxa"/>
          </w:tcPr>
          <w:p w14:paraId="7AB39233" w14:textId="27CC46B7" w:rsidR="00DE0091" w:rsidRPr="002600D3" w:rsidRDefault="00DE0091" w:rsidP="00DE0091">
            <w:pPr>
              <w:kinsoku w:val="0"/>
              <w:overflowPunct w:val="0"/>
              <w:spacing w:line="302" w:lineRule="exact"/>
              <w:textAlignment w:val="baseline"/>
              <w:rPr>
                <w:sz w:val="24"/>
                <w:szCs w:val="24"/>
              </w:rPr>
            </w:pPr>
            <w:r>
              <w:rPr>
                <w:sz w:val="24"/>
                <w:szCs w:val="24"/>
              </w:rPr>
              <w:t>Mise en confiance - lancement d'un partenariat effectif</w:t>
            </w:r>
          </w:p>
        </w:tc>
        <w:tc>
          <w:tcPr>
            <w:tcW w:w="3472" w:type="dxa"/>
          </w:tcPr>
          <w:p w14:paraId="55FCB386" w14:textId="4FEB51AD" w:rsidR="00DE0091" w:rsidRDefault="00DE0091" w:rsidP="00DE0091">
            <w:r w:rsidRPr="00DA0D37">
              <w:rPr>
                <w:sz w:val="24"/>
                <w:szCs w:val="24"/>
              </w:rPr>
              <w:t>Réflexion sur des questions clefs, les intérêts en jeu, principes de base dans le cadre du partenariat.</w:t>
            </w:r>
          </w:p>
        </w:tc>
        <w:tc>
          <w:tcPr>
            <w:tcW w:w="3472" w:type="dxa"/>
          </w:tcPr>
          <w:p w14:paraId="3DB94886" w14:textId="66D2167E" w:rsidR="00DE0091" w:rsidRPr="00DE0091" w:rsidRDefault="00DE0091" w:rsidP="00DE0091">
            <w:pPr>
              <w:autoSpaceDE w:val="0"/>
              <w:autoSpaceDN w:val="0"/>
              <w:adjustRightInd w:val="0"/>
              <w:rPr>
                <w:rFonts w:ascii="Calibri" w:hAnsi="Calibri" w:cs="Calibri"/>
              </w:rPr>
            </w:pPr>
            <w:r w:rsidRPr="00DE0091">
              <w:rPr>
                <w:rFonts w:ascii="Calibri" w:hAnsi="Calibri" w:cs="Calibri"/>
              </w:rPr>
              <w:t>Susciter le dialogue entre</w:t>
            </w:r>
            <w:r>
              <w:rPr>
                <w:rFonts w:ascii="Calibri" w:hAnsi="Calibri" w:cs="Calibri"/>
              </w:rPr>
              <w:t xml:space="preserve"> </w:t>
            </w:r>
            <w:r w:rsidRPr="00DE0091">
              <w:rPr>
                <w:rFonts w:ascii="Calibri" w:hAnsi="Calibri" w:cs="Calibri"/>
              </w:rPr>
              <w:t>tous les acteurs (groupes</w:t>
            </w:r>
            <w:r>
              <w:rPr>
                <w:rFonts w:ascii="Calibri" w:hAnsi="Calibri" w:cs="Calibri"/>
              </w:rPr>
              <w:t xml:space="preserve"> </w:t>
            </w:r>
            <w:r w:rsidRPr="00DE0091">
              <w:rPr>
                <w:rFonts w:ascii="Calibri" w:hAnsi="Calibri" w:cs="Calibri"/>
              </w:rPr>
              <w:t>d’intérêts) ;</w:t>
            </w:r>
          </w:p>
          <w:p w14:paraId="5309B29B" w14:textId="6D3C4F92" w:rsidR="00DE0091" w:rsidRPr="00DE0091" w:rsidRDefault="00DE0091" w:rsidP="00DE0091">
            <w:pPr>
              <w:autoSpaceDE w:val="0"/>
              <w:autoSpaceDN w:val="0"/>
              <w:adjustRightInd w:val="0"/>
              <w:rPr>
                <w:rFonts w:ascii="Calibri" w:hAnsi="Calibri" w:cs="Calibri"/>
              </w:rPr>
            </w:pPr>
            <w:r w:rsidRPr="00DE0091">
              <w:rPr>
                <w:rFonts w:ascii="Calibri" w:hAnsi="Calibri" w:cs="Calibri"/>
              </w:rPr>
              <w:t>Faciliter la tenue de</w:t>
            </w:r>
            <w:r>
              <w:rPr>
                <w:rFonts w:ascii="Calibri" w:hAnsi="Calibri" w:cs="Calibri"/>
              </w:rPr>
              <w:t xml:space="preserve"> </w:t>
            </w:r>
            <w:r w:rsidRPr="00DE0091">
              <w:rPr>
                <w:rFonts w:ascii="Calibri" w:hAnsi="Calibri" w:cs="Calibri"/>
              </w:rPr>
              <w:t>réunions ;</w:t>
            </w:r>
          </w:p>
          <w:p w14:paraId="5A800567" w14:textId="3615D2AE" w:rsidR="00DE0091" w:rsidRDefault="00DE0091" w:rsidP="00DE0091">
            <w:r w:rsidRPr="00DE0091">
              <w:rPr>
                <w:rFonts w:ascii="Calibri" w:hAnsi="Calibri" w:cs="Calibri"/>
              </w:rPr>
              <w:t>Appuyer la médiation</w:t>
            </w:r>
          </w:p>
        </w:tc>
      </w:tr>
      <w:tr w:rsidR="00DE0091" w14:paraId="267E9F10" w14:textId="77777777" w:rsidTr="002600D3">
        <w:tc>
          <w:tcPr>
            <w:tcW w:w="3472" w:type="dxa"/>
          </w:tcPr>
          <w:p w14:paraId="761A341E" w14:textId="30DD22D6" w:rsidR="00DE0091" w:rsidRDefault="00DE0091" w:rsidP="00DE0091">
            <w:r w:rsidRPr="002600D3">
              <w:t>Réflexion, analyses des contraintes et forces de la zone</w:t>
            </w:r>
          </w:p>
        </w:tc>
        <w:tc>
          <w:tcPr>
            <w:tcW w:w="3472" w:type="dxa"/>
          </w:tcPr>
          <w:p w14:paraId="664E5A42" w14:textId="11A947C5" w:rsidR="00DE0091" w:rsidRDefault="00DE0091" w:rsidP="00DE0091">
            <w:r w:rsidRPr="00DA0D37">
              <w:rPr>
                <w:sz w:val="24"/>
                <w:szCs w:val="24"/>
              </w:rPr>
              <w:t>Diagnostic de l’état et des modes de gestion des ressources clefs, négociation des intérêts, esquisse de solutions.</w:t>
            </w:r>
          </w:p>
        </w:tc>
        <w:tc>
          <w:tcPr>
            <w:tcW w:w="3472" w:type="dxa"/>
          </w:tcPr>
          <w:p w14:paraId="61D27934" w14:textId="77777777" w:rsidR="00DE0091" w:rsidRDefault="00DE0091" w:rsidP="00DE0091">
            <w:r>
              <w:t>Faciliter la réflexion ;</w:t>
            </w:r>
          </w:p>
          <w:p w14:paraId="62809A8D" w14:textId="77777777" w:rsidR="00DE0091" w:rsidRDefault="00DE0091" w:rsidP="00DE0091">
            <w:r>
              <w:t>Apport technique</w:t>
            </w:r>
          </w:p>
          <w:p w14:paraId="7AB60B2E" w14:textId="77777777" w:rsidR="00DE0091" w:rsidRDefault="00DE0091" w:rsidP="00DE0091">
            <w:r>
              <w:t>Appui méthodologique</w:t>
            </w:r>
          </w:p>
          <w:p w14:paraId="66E97D73" w14:textId="34D7DC7F" w:rsidR="00DE0091" w:rsidRDefault="00DE0091" w:rsidP="00DE0091">
            <w:r>
              <w:t>Informations diverses.</w:t>
            </w:r>
          </w:p>
        </w:tc>
      </w:tr>
      <w:tr w:rsidR="00DE0091" w14:paraId="1B578678" w14:textId="77777777" w:rsidTr="002600D3">
        <w:tc>
          <w:tcPr>
            <w:tcW w:w="3472" w:type="dxa"/>
          </w:tcPr>
          <w:p w14:paraId="62A8ED12" w14:textId="753D3357" w:rsidR="00DE0091" w:rsidRDefault="00DE0091" w:rsidP="00DE0091">
            <w:r w:rsidRPr="002600D3">
              <w:lastRenderedPageBreak/>
              <w:t>Emergence de la structure locale pour la GRN</w:t>
            </w:r>
          </w:p>
        </w:tc>
        <w:tc>
          <w:tcPr>
            <w:tcW w:w="3472" w:type="dxa"/>
          </w:tcPr>
          <w:p w14:paraId="059BB797" w14:textId="263315F4" w:rsidR="00DE0091" w:rsidRDefault="00DE0091" w:rsidP="00DE0091">
            <w:r w:rsidRPr="00DA0D37">
              <w:rPr>
                <w:sz w:val="24"/>
                <w:szCs w:val="24"/>
              </w:rPr>
              <w:t>Mandat et responsabilités représentativité et composition de l'organisation, fonctionnement.</w:t>
            </w:r>
          </w:p>
        </w:tc>
        <w:tc>
          <w:tcPr>
            <w:tcW w:w="3472" w:type="dxa"/>
          </w:tcPr>
          <w:p w14:paraId="153DD056" w14:textId="77777777" w:rsidR="00DE0091" w:rsidRDefault="00DE0091" w:rsidP="00DE0091">
            <w:r>
              <w:t>Informer sur les textes en matière d'organisation au Burkina ;</w:t>
            </w:r>
          </w:p>
          <w:p w14:paraId="41DECC7C" w14:textId="7F6E3D0B" w:rsidR="00DE0091" w:rsidRPr="00DE0091" w:rsidRDefault="00DE0091" w:rsidP="00DE0091">
            <w:r>
              <w:t>Susciter la réflexion sur les conditions / critères de viabilité d'une organisation.</w:t>
            </w:r>
          </w:p>
        </w:tc>
      </w:tr>
      <w:tr w:rsidR="00DE0091" w14:paraId="3A7C6441" w14:textId="77777777" w:rsidTr="002600D3">
        <w:tc>
          <w:tcPr>
            <w:tcW w:w="3472" w:type="dxa"/>
          </w:tcPr>
          <w:p w14:paraId="07CE5FC5" w14:textId="112EC023" w:rsidR="00DE0091" w:rsidRDefault="00DE0091" w:rsidP="00DE0091">
            <w:r w:rsidRPr="002600D3">
              <w:t>Elaboration d'un règlement intérieur en matière de GRN</w:t>
            </w:r>
          </w:p>
        </w:tc>
        <w:tc>
          <w:tcPr>
            <w:tcW w:w="3472" w:type="dxa"/>
          </w:tcPr>
          <w:p w14:paraId="78A1CDC9" w14:textId="4211199E" w:rsidR="00DE0091" w:rsidRPr="00DA0D37" w:rsidRDefault="00DE0091" w:rsidP="00DE0091">
            <w:pPr>
              <w:kinsoku w:val="0"/>
              <w:overflowPunct w:val="0"/>
              <w:spacing w:line="303" w:lineRule="exact"/>
              <w:textAlignment w:val="baseline"/>
              <w:rPr>
                <w:sz w:val="24"/>
                <w:szCs w:val="24"/>
              </w:rPr>
            </w:pPr>
            <w:r w:rsidRPr="00DA0D37">
              <w:rPr>
                <w:sz w:val="24"/>
                <w:szCs w:val="24"/>
              </w:rPr>
              <w:t>Objectifs et indicateurs d'impacts;</w:t>
            </w:r>
          </w:p>
          <w:p w14:paraId="72608F61" w14:textId="0ADECF79" w:rsidR="00DE0091" w:rsidRPr="00DA0D37" w:rsidRDefault="00DE0091" w:rsidP="00DE0091">
            <w:pPr>
              <w:kinsoku w:val="0"/>
              <w:overflowPunct w:val="0"/>
              <w:spacing w:before="6" w:line="303" w:lineRule="exact"/>
              <w:ind w:right="360"/>
              <w:textAlignment w:val="baseline"/>
              <w:rPr>
                <w:sz w:val="24"/>
                <w:szCs w:val="24"/>
              </w:rPr>
            </w:pPr>
            <w:r w:rsidRPr="00DA0D37">
              <w:rPr>
                <w:sz w:val="24"/>
                <w:szCs w:val="24"/>
              </w:rPr>
              <w:t>Propositions de règles à</w:t>
            </w:r>
            <w:r>
              <w:rPr>
                <w:sz w:val="24"/>
                <w:szCs w:val="24"/>
              </w:rPr>
              <w:t xml:space="preserve"> </w:t>
            </w:r>
            <w:r w:rsidRPr="00DA0D37">
              <w:rPr>
                <w:sz w:val="24"/>
                <w:szCs w:val="24"/>
              </w:rPr>
              <w:t>partir de la base ; Harmonisation au niveau des organes de coordination ;</w:t>
            </w:r>
          </w:p>
          <w:p w14:paraId="133CC88F" w14:textId="4F233779" w:rsidR="00DE0091" w:rsidRPr="00DE0091" w:rsidRDefault="00DE0091" w:rsidP="00DE0091">
            <w:pPr>
              <w:kinsoku w:val="0"/>
              <w:overflowPunct w:val="0"/>
              <w:spacing w:before="2" w:line="303" w:lineRule="exact"/>
              <w:ind w:left="18"/>
              <w:textAlignment w:val="baseline"/>
              <w:rPr>
                <w:sz w:val="24"/>
                <w:szCs w:val="24"/>
              </w:rPr>
            </w:pPr>
            <w:r w:rsidRPr="00DA0D37">
              <w:rPr>
                <w:sz w:val="24"/>
                <w:szCs w:val="24"/>
              </w:rPr>
              <w:t>Accord entre producteurs, partenaires techniques et l'administration Adoption/reconnaissance administrative.</w:t>
            </w:r>
          </w:p>
        </w:tc>
        <w:tc>
          <w:tcPr>
            <w:tcW w:w="3472" w:type="dxa"/>
          </w:tcPr>
          <w:p w14:paraId="7A8568E6" w14:textId="77777777" w:rsidR="00DE0091" w:rsidRDefault="00DE0091" w:rsidP="00DE0091">
            <w:r>
              <w:t>Appui à l'adoption d'une démarche ;</w:t>
            </w:r>
          </w:p>
          <w:p w14:paraId="6B162C93" w14:textId="77777777" w:rsidR="00DE0091" w:rsidRDefault="00DE0091" w:rsidP="00DE0091">
            <w:r>
              <w:t>Large information sur les textes législatifs existants ;</w:t>
            </w:r>
          </w:p>
          <w:p w14:paraId="4CB8E855" w14:textId="77777777" w:rsidR="00DE0091" w:rsidRDefault="00DE0091" w:rsidP="00DE0091">
            <w:r>
              <w:t>Facilitation des échanges ;</w:t>
            </w:r>
          </w:p>
          <w:p w14:paraId="6CB5D221" w14:textId="77777777" w:rsidR="00DE0091" w:rsidRDefault="00DE0091" w:rsidP="00DE0091">
            <w:r>
              <w:t>Consultant juriste ;</w:t>
            </w:r>
          </w:p>
          <w:p w14:paraId="164B203F" w14:textId="77777777" w:rsidR="00DE0091" w:rsidRDefault="00DE0091" w:rsidP="00DE0091">
            <w:r>
              <w:t>Appui à la traduction et rédaction des documents ;</w:t>
            </w:r>
          </w:p>
          <w:p w14:paraId="1DE6CE13" w14:textId="5B20C5DC" w:rsidR="00DE0091" w:rsidRDefault="00DE0091" w:rsidP="00DE0091">
            <w:r>
              <w:t>Mise en relation entre producteurs et les masses médias.</w:t>
            </w:r>
          </w:p>
        </w:tc>
      </w:tr>
      <w:tr w:rsidR="002600D3" w14:paraId="358D6B8C" w14:textId="77777777" w:rsidTr="002600D3">
        <w:tc>
          <w:tcPr>
            <w:tcW w:w="3472" w:type="dxa"/>
          </w:tcPr>
          <w:p w14:paraId="5B9C5201" w14:textId="2BE47AC0" w:rsidR="002600D3" w:rsidRPr="002600D3" w:rsidRDefault="002600D3" w:rsidP="002600D3">
            <w:r w:rsidRPr="002600D3">
              <w:t>Mise en œuvre, suivi, évaluation et réajustement</w:t>
            </w:r>
          </w:p>
        </w:tc>
        <w:tc>
          <w:tcPr>
            <w:tcW w:w="3472" w:type="dxa"/>
          </w:tcPr>
          <w:p w14:paraId="70F872E5" w14:textId="77777777" w:rsidR="002600D3" w:rsidRDefault="002600D3" w:rsidP="002600D3">
            <w:pPr>
              <w:kinsoku w:val="0"/>
              <w:overflowPunct w:val="0"/>
              <w:spacing w:line="294" w:lineRule="exact"/>
              <w:ind w:left="144" w:right="216"/>
              <w:textAlignment w:val="baseline"/>
              <w:rPr>
                <w:sz w:val="24"/>
                <w:szCs w:val="24"/>
              </w:rPr>
            </w:pPr>
            <w:r>
              <w:rPr>
                <w:sz w:val="24"/>
                <w:szCs w:val="24"/>
              </w:rPr>
              <w:t>Modes d'organisation pour le contrôle ;</w:t>
            </w:r>
          </w:p>
          <w:p w14:paraId="1702CD0D" w14:textId="065CBE05" w:rsidR="002600D3" w:rsidRDefault="002600D3" w:rsidP="002600D3">
            <w:r>
              <w:rPr>
                <w:sz w:val="24"/>
                <w:szCs w:val="24"/>
              </w:rPr>
              <w:t>Dispositifs de suivi des effets des règles ; Reconnaissance juridique de la structure et des règles.</w:t>
            </w:r>
          </w:p>
        </w:tc>
        <w:tc>
          <w:tcPr>
            <w:tcW w:w="3472" w:type="dxa"/>
          </w:tcPr>
          <w:p w14:paraId="2EF27EFD" w14:textId="77777777" w:rsidR="002600D3" w:rsidRDefault="002600D3" w:rsidP="002600D3">
            <w:pPr>
              <w:kinsoku w:val="0"/>
              <w:overflowPunct w:val="0"/>
              <w:spacing w:line="299" w:lineRule="exact"/>
              <w:ind w:left="72"/>
              <w:textAlignment w:val="baseline"/>
              <w:rPr>
                <w:sz w:val="24"/>
                <w:szCs w:val="24"/>
              </w:rPr>
            </w:pPr>
            <w:r>
              <w:rPr>
                <w:sz w:val="24"/>
                <w:szCs w:val="24"/>
              </w:rPr>
              <w:t>Appui à la mise en place du dispositif de suivi et à la structuration de l’organe de suivi ;</w:t>
            </w:r>
          </w:p>
          <w:p w14:paraId="618139A5" w14:textId="27FE7A17" w:rsidR="002600D3" w:rsidRDefault="002600D3" w:rsidP="002600D3">
            <w:r>
              <w:rPr>
                <w:sz w:val="24"/>
                <w:szCs w:val="24"/>
              </w:rPr>
              <w:t>Appui et suivi technique des effets.</w:t>
            </w:r>
          </w:p>
        </w:tc>
      </w:tr>
    </w:tbl>
    <w:p w14:paraId="5107F942" w14:textId="77777777" w:rsidR="00345AB7" w:rsidRDefault="00345AB7" w:rsidP="00906491">
      <w:pPr>
        <w:spacing w:after="0" w:line="240" w:lineRule="auto"/>
      </w:pPr>
    </w:p>
    <w:p w14:paraId="26394C68" w14:textId="689E9773" w:rsidR="00345AB7" w:rsidRDefault="00345AB7" w:rsidP="00DE0091">
      <w:pPr>
        <w:kinsoku w:val="0"/>
        <w:overflowPunct w:val="0"/>
        <w:spacing w:after="0" w:line="278" w:lineRule="exact"/>
        <w:ind w:left="72"/>
        <w:textAlignment w:val="baseline"/>
        <w:rPr>
          <w:sz w:val="24"/>
          <w:szCs w:val="24"/>
        </w:rPr>
      </w:pPr>
      <w:r>
        <w:rPr>
          <w:sz w:val="24"/>
          <w:szCs w:val="24"/>
        </w:rPr>
        <w:t>Tableau 2. Règles de gestion dans 32 villages appuyés par le projet</w:t>
      </w:r>
    </w:p>
    <w:tbl>
      <w:tblPr>
        <w:tblW w:w="0" w:type="auto"/>
        <w:tblInd w:w="28" w:type="dxa"/>
        <w:tblCellMar>
          <w:left w:w="0" w:type="dxa"/>
          <w:right w:w="0" w:type="dxa"/>
        </w:tblCellMar>
        <w:tblLook w:val="0000" w:firstRow="0" w:lastRow="0" w:firstColumn="0" w:lastColumn="0" w:noHBand="0" w:noVBand="0"/>
      </w:tblPr>
      <w:tblGrid>
        <w:gridCol w:w="1881"/>
        <w:gridCol w:w="1164"/>
        <w:gridCol w:w="7335"/>
      </w:tblGrid>
      <w:tr w:rsidR="00345AB7" w14:paraId="5A50C810" w14:textId="77777777" w:rsidTr="00345AB7">
        <w:trPr>
          <w:trHeight w:hRule="exact" w:val="821"/>
          <w:tblHeader/>
        </w:trPr>
        <w:tc>
          <w:tcPr>
            <w:tcW w:w="0" w:type="auto"/>
            <w:tcBorders>
              <w:top w:val="single" w:sz="7" w:space="0" w:color="auto"/>
              <w:left w:val="single" w:sz="7" w:space="0" w:color="auto"/>
              <w:bottom w:val="single" w:sz="7" w:space="0" w:color="auto"/>
              <w:right w:val="single" w:sz="7" w:space="0" w:color="auto"/>
            </w:tcBorders>
          </w:tcPr>
          <w:p w14:paraId="7F34E627" w14:textId="77777777" w:rsidR="00345AB7" w:rsidRDefault="00345AB7" w:rsidP="00345AB7">
            <w:pPr>
              <w:kinsoku w:val="0"/>
              <w:overflowPunct w:val="0"/>
              <w:spacing w:after="0" w:line="278" w:lineRule="exact"/>
              <w:jc w:val="center"/>
              <w:textAlignment w:val="baseline"/>
              <w:rPr>
                <w:b/>
                <w:bCs/>
              </w:rPr>
            </w:pPr>
            <w:r>
              <w:rPr>
                <w:b/>
                <w:bCs/>
              </w:rPr>
              <w:t>Ressources</w:t>
            </w:r>
            <w:r>
              <w:rPr>
                <w:b/>
                <w:bCs/>
              </w:rPr>
              <w:br/>
              <w:t>clefs</w:t>
            </w:r>
          </w:p>
        </w:tc>
        <w:tc>
          <w:tcPr>
            <w:tcW w:w="0" w:type="auto"/>
            <w:tcBorders>
              <w:top w:val="single" w:sz="7" w:space="0" w:color="auto"/>
              <w:left w:val="single" w:sz="7" w:space="0" w:color="auto"/>
              <w:bottom w:val="single" w:sz="7" w:space="0" w:color="auto"/>
              <w:right w:val="single" w:sz="7" w:space="0" w:color="auto"/>
            </w:tcBorders>
          </w:tcPr>
          <w:p w14:paraId="2B6E6519" w14:textId="77777777" w:rsidR="00345AB7" w:rsidRDefault="00345AB7" w:rsidP="00345AB7">
            <w:pPr>
              <w:kinsoku w:val="0"/>
              <w:overflowPunct w:val="0"/>
              <w:spacing w:after="0" w:line="338" w:lineRule="exact"/>
              <w:ind w:left="72"/>
              <w:textAlignment w:val="baseline"/>
              <w:rPr>
                <w:spacing w:val="-9"/>
              </w:rPr>
            </w:pPr>
            <w:r>
              <w:rPr>
                <w:b/>
                <w:bCs/>
                <w:spacing w:val="-9"/>
              </w:rPr>
              <w:t xml:space="preserve">Villages </w:t>
            </w:r>
            <w:r>
              <w:rPr>
                <w:spacing w:val="-9"/>
              </w:rPr>
              <w:t>(nombre)</w:t>
            </w:r>
          </w:p>
        </w:tc>
        <w:tc>
          <w:tcPr>
            <w:tcW w:w="0" w:type="auto"/>
            <w:tcBorders>
              <w:top w:val="single" w:sz="7" w:space="0" w:color="auto"/>
              <w:left w:val="single" w:sz="7" w:space="0" w:color="auto"/>
              <w:bottom w:val="single" w:sz="7" w:space="0" w:color="auto"/>
              <w:right w:val="single" w:sz="7" w:space="0" w:color="auto"/>
            </w:tcBorders>
          </w:tcPr>
          <w:p w14:paraId="45293E88" w14:textId="77777777" w:rsidR="00345AB7" w:rsidRDefault="00345AB7" w:rsidP="00345AB7">
            <w:pPr>
              <w:kinsoku w:val="0"/>
              <w:overflowPunct w:val="0"/>
              <w:spacing w:after="0" w:line="278" w:lineRule="exact"/>
              <w:jc w:val="center"/>
              <w:textAlignment w:val="baseline"/>
              <w:rPr>
                <w:b/>
                <w:bCs/>
                <w:spacing w:val="-8"/>
              </w:rPr>
            </w:pPr>
            <w:r>
              <w:rPr>
                <w:b/>
                <w:bCs/>
                <w:spacing w:val="-8"/>
              </w:rPr>
              <w:t>Consensus adopté</w:t>
            </w:r>
          </w:p>
        </w:tc>
      </w:tr>
      <w:tr w:rsidR="00345AB7" w14:paraId="5C37C8AF" w14:textId="77777777" w:rsidTr="00345AB7">
        <w:trPr>
          <w:trHeight w:hRule="exact" w:val="623"/>
        </w:trPr>
        <w:tc>
          <w:tcPr>
            <w:tcW w:w="0" w:type="auto"/>
            <w:tcBorders>
              <w:top w:val="single" w:sz="7" w:space="0" w:color="auto"/>
              <w:left w:val="single" w:sz="7" w:space="0" w:color="auto"/>
              <w:bottom w:val="single" w:sz="7" w:space="0" w:color="auto"/>
              <w:right w:val="single" w:sz="7" w:space="0" w:color="auto"/>
            </w:tcBorders>
          </w:tcPr>
          <w:p w14:paraId="79F06E63" w14:textId="26D8FDEF" w:rsidR="00345AB7" w:rsidRPr="00345AB7" w:rsidRDefault="00345AB7" w:rsidP="00345AB7">
            <w:pPr>
              <w:kinsoku w:val="0"/>
              <w:overflowPunct w:val="0"/>
              <w:spacing w:after="0" w:line="267" w:lineRule="exact"/>
              <w:ind w:left="72"/>
              <w:textAlignment w:val="baseline"/>
              <w:rPr>
                <w:b/>
                <w:bCs/>
                <w:spacing w:val="-7"/>
              </w:rPr>
            </w:pPr>
            <w:r>
              <w:rPr>
                <w:b/>
                <w:bCs/>
                <w:spacing w:val="-7"/>
              </w:rPr>
              <w:t xml:space="preserve">Zones </w:t>
            </w:r>
            <w:r>
              <w:rPr>
                <w:b/>
                <w:bCs/>
              </w:rPr>
              <w:t>pastorales et agricoles</w:t>
            </w:r>
          </w:p>
        </w:tc>
        <w:tc>
          <w:tcPr>
            <w:tcW w:w="0" w:type="auto"/>
            <w:tcBorders>
              <w:top w:val="single" w:sz="7" w:space="0" w:color="auto"/>
              <w:left w:val="single" w:sz="7" w:space="0" w:color="auto"/>
              <w:bottom w:val="single" w:sz="7" w:space="0" w:color="auto"/>
              <w:right w:val="single" w:sz="7" w:space="0" w:color="auto"/>
            </w:tcBorders>
          </w:tcPr>
          <w:p w14:paraId="17C7BC49" w14:textId="77777777" w:rsidR="00345AB7" w:rsidRDefault="00345AB7" w:rsidP="00345AB7">
            <w:pPr>
              <w:kinsoku w:val="0"/>
              <w:overflowPunct w:val="0"/>
              <w:spacing w:after="0" w:line="254" w:lineRule="exact"/>
              <w:jc w:val="center"/>
              <w:textAlignment w:val="baseline"/>
              <w:rPr>
                <w:spacing w:val="-7"/>
              </w:rPr>
            </w:pPr>
            <w:r>
              <w:rPr>
                <w:spacing w:val="-7"/>
              </w:rPr>
              <w:t>22</w:t>
            </w:r>
          </w:p>
        </w:tc>
        <w:tc>
          <w:tcPr>
            <w:tcW w:w="0" w:type="auto"/>
            <w:tcBorders>
              <w:top w:val="single" w:sz="7" w:space="0" w:color="auto"/>
              <w:left w:val="single" w:sz="7" w:space="0" w:color="auto"/>
              <w:bottom w:val="single" w:sz="7" w:space="0" w:color="auto"/>
              <w:right w:val="single" w:sz="7" w:space="0" w:color="auto"/>
            </w:tcBorders>
          </w:tcPr>
          <w:p w14:paraId="648EFAC8" w14:textId="77777777" w:rsidR="00345AB7" w:rsidRDefault="00345AB7" w:rsidP="00345AB7">
            <w:pPr>
              <w:kinsoku w:val="0"/>
              <w:overflowPunct w:val="0"/>
              <w:spacing w:after="0" w:line="254" w:lineRule="exact"/>
              <w:ind w:left="67"/>
              <w:textAlignment w:val="baseline"/>
              <w:rPr>
                <w:spacing w:val="-9"/>
              </w:rPr>
            </w:pPr>
            <w:r>
              <w:rPr>
                <w:spacing w:val="-9"/>
              </w:rPr>
              <w:t>Détermination des espaces affectés au pâturage et aux cultures (zonage)</w:t>
            </w:r>
          </w:p>
        </w:tc>
      </w:tr>
      <w:tr w:rsidR="00345AB7" w14:paraId="05C70A9C" w14:textId="77777777" w:rsidTr="00345AB7">
        <w:trPr>
          <w:trHeight w:hRule="exact" w:val="504"/>
        </w:trPr>
        <w:tc>
          <w:tcPr>
            <w:tcW w:w="0" w:type="auto"/>
            <w:tcBorders>
              <w:top w:val="single" w:sz="7" w:space="0" w:color="auto"/>
              <w:left w:val="single" w:sz="7" w:space="0" w:color="auto"/>
              <w:bottom w:val="nil"/>
              <w:right w:val="single" w:sz="7" w:space="0" w:color="auto"/>
            </w:tcBorders>
          </w:tcPr>
          <w:p w14:paraId="631ACF58" w14:textId="77777777" w:rsidR="00345AB7" w:rsidRDefault="00345AB7" w:rsidP="00345AB7">
            <w:pPr>
              <w:kinsoku w:val="0"/>
              <w:overflowPunct w:val="0"/>
              <w:spacing w:after="0" w:line="249" w:lineRule="exact"/>
              <w:ind w:left="72"/>
              <w:textAlignment w:val="baseline"/>
              <w:rPr>
                <w:b/>
                <w:bCs/>
              </w:rPr>
            </w:pPr>
            <w:r>
              <w:rPr>
                <w:b/>
                <w:bCs/>
              </w:rPr>
              <w:t>Aires de pâture</w:t>
            </w:r>
          </w:p>
        </w:tc>
        <w:tc>
          <w:tcPr>
            <w:tcW w:w="0" w:type="auto"/>
            <w:tcBorders>
              <w:top w:val="single" w:sz="7" w:space="0" w:color="auto"/>
              <w:left w:val="single" w:sz="7" w:space="0" w:color="auto"/>
              <w:bottom w:val="nil"/>
              <w:right w:val="single" w:sz="7" w:space="0" w:color="auto"/>
            </w:tcBorders>
          </w:tcPr>
          <w:p w14:paraId="169140C8" w14:textId="77777777" w:rsidR="00345AB7" w:rsidRDefault="00345AB7" w:rsidP="00345AB7">
            <w:pPr>
              <w:kinsoku w:val="0"/>
              <w:overflowPunct w:val="0"/>
              <w:spacing w:after="0" w:line="254" w:lineRule="exact"/>
              <w:jc w:val="center"/>
              <w:textAlignment w:val="baseline"/>
              <w:rPr>
                <w:spacing w:val="-12"/>
              </w:rPr>
            </w:pPr>
            <w:r>
              <w:rPr>
                <w:spacing w:val="-12"/>
              </w:rPr>
              <w:t>16</w:t>
            </w:r>
          </w:p>
        </w:tc>
        <w:tc>
          <w:tcPr>
            <w:tcW w:w="0" w:type="auto"/>
            <w:tcBorders>
              <w:top w:val="single" w:sz="7" w:space="0" w:color="auto"/>
              <w:left w:val="single" w:sz="7" w:space="0" w:color="auto"/>
              <w:bottom w:val="nil"/>
              <w:right w:val="single" w:sz="7" w:space="0" w:color="auto"/>
            </w:tcBorders>
          </w:tcPr>
          <w:p w14:paraId="5D6EFC04" w14:textId="77777777" w:rsidR="00345AB7" w:rsidRDefault="00345AB7" w:rsidP="001A78A3">
            <w:pPr>
              <w:kinsoku w:val="0"/>
              <w:overflowPunct w:val="0"/>
              <w:spacing w:after="0" w:line="240" w:lineRule="auto"/>
              <w:ind w:left="68"/>
              <w:textAlignment w:val="baseline"/>
              <w:rPr>
                <w:spacing w:val="-10"/>
              </w:rPr>
            </w:pPr>
            <w:r>
              <w:rPr>
                <w:spacing w:val="-10"/>
              </w:rPr>
              <w:t>Droit de faire paître des animaux sur les espaces de pâturages reconnus comme tels</w:t>
            </w:r>
          </w:p>
        </w:tc>
      </w:tr>
      <w:tr w:rsidR="00345AB7" w14:paraId="6840F0A5" w14:textId="77777777" w:rsidTr="00345AB7">
        <w:trPr>
          <w:trHeight w:hRule="exact" w:val="298"/>
        </w:trPr>
        <w:tc>
          <w:tcPr>
            <w:tcW w:w="0" w:type="auto"/>
            <w:tcBorders>
              <w:top w:val="nil"/>
              <w:left w:val="single" w:sz="7" w:space="0" w:color="auto"/>
              <w:bottom w:val="nil"/>
              <w:right w:val="single" w:sz="7" w:space="0" w:color="auto"/>
            </w:tcBorders>
          </w:tcPr>
          <w:p w14:paraId="3FEEBE64" w14:textId="77777777" w:rsidR="00345AB7" w:rsidRDefault="00345AB7" w:rsidP="00345AB7">
            <w:pPr>
              <w:kinsoku w:val="0"/>
              <w:overflowPunct w:val="0"/>
              <w:spacing w:after="0"/>
              <w:textAlignment w:val="baseline"/>
              <w:rPr>
                <w:sz w:val="24"/>
                <w:szCs w:val="24"/>
              </w:rPr>
            </w:pPr>
          </w:p>
        </w:tc>
        <w:tc>
          <w:tcPr>
            <w:tcW w:w="0" w:type="auto"/>
            <w:tcBorders>
              <w:top w:val="nil"/>
              <w:left w:val="single" w:sz="7" w:space="0" w:color="auto"/>
              <w:bottom w:val="nil"/>
              <w:right w:val="single" w:sz="7" w:space="0" w:color="auto"/>
            </w:tcBorders>
            <w:vAlign w:val="center"/>
          </w:tcPr>
          <w:p w14:paraId="450AD340" w14:textId="77777777" w:rsidR="00345AB7" w:rsidRDefault="00345AB7" w:rsidP="00345AB7">
            <w:pPr>
              <w:kinsoku w:val="0"/>
              <w:overflowPunct w:val="0"/>
              <w:spacing w:after="0" w:line="226" w:lineRule="exact"/>
              <w:jc w:val="center"/>
              <w:textAlignment w:val="baseline"/>
              <w:rPr>
                <w:spacing w:val="-12"/>
              </w:rPr>
            </w:pPr>
            <w:r>
              <w:rPr>
                <w:spacing w:val="-12"/>
              </w:rPr>
              <w:t>10</w:t>
            </w:r>
          </w:p>
        </w:tc>
        <w:tc>
          <w:tcPr>
            <w:tcW w:w="0" w:type="auto"/>
            <w:tcBorders>
              <w:top w:val="nil"/>
              <w:left w:val="single" w:sz="7" w:space="0" w:color="auto"/>
              <w:bottom w:val="nil"/>
              <w:right w:val="single" w:sz="7" w:space="0" w:color="auto"/>
            </w:tcBorders>
          </w:tcPr>
          <w:p w14:paraId="4B571EAF" w14:textId="77777777" w:rsidR="00345AB7" w:rsidRDefault="00345AB7" w:rsidP="001A78A3">
            <w:pPr>
              <w:kinsoku w:val="0"/>
              <w:overflowPunct w:val="0"/>
              <w:spacing w:after="0" w:line="240" w:lineRule="auto"/>
              <w:ind w:left="68"/>
              <w:textAlignment w:val="baseline"/>
              <w:rPr>
                <w:spacing w:val="-8"/>
              </w:rPr>
            </w:pPr>
            <w:r>
              <w:rPr>
                <w:spacing w:val="-8"/>
              </w:rPr>
              <w:t>Interdiction de l'exploitation d'es aires de pâtures à des fins agricoles</w:t>
            </w:r>
          </w:p>
        </w:tc>
      </w:tr>
      <w:tr w:rsidR="00345AB7" w14:paraId="2C772624" w14:textId="77777777" w:rsidTr="00345AB7">
        <w:trPr>
          <w:trHeight w:hRule="exact" w:val="413"/>
        </w:trPr>
        <w:tc>
          <w:tcPr>
            <w:tcW w:w="0" w:type="auto"/>
            <w:tcBorders>
              <w:top w:val="nil"/>
              <w:left w:val="single" w:sz="7" w:space="0" w:color="auto"/>
              <w:bottom w:val="nil"/>
              <w:right w:val="single" w:sz="7" w:space="0" w:color="auto"/>
            </w:tcBorders>
          </w:tcPr>
          <w:p w14:paraId="1E5CD850" w14:textId="77777777" w:rsidR="00345AB7" w:rsidRDefault="00345AB7" w:rsidP="00345AB7">
            <w:pPr>
              <w:kinsoku w:val="0"/>
              <w:overflowPunct w:val="0"/>
              <w:spacing w:after="0"/>
              <w:textAlignment w:val="baseline"/>
              <w:rPr>
                <w:sz w:val="24"/>
                <w:szCs w:val="24"/>
              </w:rPr>
            </w:pPr>
          </w:p>
        </w:tc>
        <w:tc>
          <w:tcPr>
            <w:tcW w:w="0" w:type="auto"/>
            <w:tcBorders>
              <w:top w:val="nil"/>
              <w:left w:val="single" w:sz="7" w:space="0" w:color="auto"/>
              <w:bottom w:val="nil"/>
              <w:right w:val="single" w:sz="7" w:space="0" w:color="auto"/>
            </w:tcBorders>
            <w:vAlign w:val="center"/>
          </w:tcPr>
          <w:p w14:paraId="6AE33DE4" w14:textId="77777777" w:rsidR="00345AB7" w:rsidRDefault="00345AB7" w:rsidP="00345AB7">
            <w:pPr>
              <w:kinsoku w:val="0"/>
              <w:overflowPunct w:val="0"/>
              <w:spacing w:after="0" w:line="254" w:lineRule="exact"/>
              <w:jc w:val="center"/>
              <w:textAlignment w:val="baseline"/>
              <w:rPr>
                <w:spacing w:val="-9"/>
              </w:rPr>
            </w:pPr>
            <w:r>
              <w:rPr>
                <w:spacing w:val="-9"/>
              </w:rPr>
              <w:t>23</w:t>
            </w:r>
          </w:p>
        </w:tc>
        <w:tc>
          <w:tcPr>
            <w:tcW w:w="0" w:type="auto"/>
            <w:tcBorders>
              <w:top w:val="nil"/>
              <w:left w:val="single" w:sz="7" w:space="0" w:color="auto"/>
              <w:bottom w:val="nil"/>
              <w:right w:val="single" w:sz="7" w:space="0" w:color="auto"/>
            </w:tcBorders>
            <w:vAlign w:val="center"/>
          </w:tcPr>
          <w:p w14:paraId="2ACA42F3" w14:textId="77777777" w:rsidR="00345AB7" w:rsidRDefault="00345AB7" w:rsidP="001A78A3">
            <w:pPr>
              <w:kinsoku w:val="0"/>
              <w:overflowPunct w:val="0"/>
              <w:spacing w:after="0" w:line="240" w:lineRule="auto"/>
              <w:ind w:left="68"/>
              <w:textAlignment w:val="baseline"/>
              <w:rPr>
                <w:spacing w:val="-9"/>
              </w:rPr>
            </w:pPr>
            <w:r>
              <w:rPr>
                <w:spacing w:val="-9"/>
              </w:rPr>
              <w:t>Accès interdit aux animaux atteints de maladie contagieuse</w:t>
            </w:r>
          </w:p>
        </w:tc>
      </w:tr>
      <w:tr w:rsidR="00345AB7" w14:paraId="4161C0FB" w14:textId="77777777" w:rsidTr="00345AB7">
        <w:trPr>
          <w:trHeight w:hRule="exact" w:val="413"/>
        </w:trPr>
        <w:tc>
          <w:tcPr>
            <w:tcW w:w="0" w:type="auto"/>
            <w:tcBorders>
              <w:top w:val="nil"/>
              <w:left w:val="single" w:sz="7" w:space="0" w:color="auto"/>
              <w:bottom w:val="nil"/>
              <w:right w:val="single" w:sz="7" w:space="0" w:color="auto"/>
            </w:tcBorders>
          </w:tcPr>
          <w:p w14:paraId="71FEFFF4" w14:textId="77777777" w:rsidR="00345AB7" w:rsidRDefault="00345AB7" w:rsidP="00345AB7">
            <w:pPr>
              <w:kinsoku w:val="0"/>
              <w:overflowPunct w:val="0"/>
              <w:spacing w:after="0"/>
              <w:textAlignment w:val="baseline"/>
              <w:rPr>
                <w:sz w:val="24"/>
                <w:szCs w:val="24"/>
              </w:rPr>
            </w:pPr>
          </w:p>
        </w:tc>
        <w:tc>
          <w:tcPr>
            <w:tcW w:w="0" w:type="auto"/>
            <w:tcBorders>
              <w:top w:val="nil"/>
              <w:left w:val="single" w:sz="7" w:space="0" w:color="auto"/>
              <w:bottom w:val="nil"/>
              <w:right w:val="single" w:sz="7" w:space="0" w:color="auto"/>
            </w:tcBorders>
            <w:vAlign w:val="center"/>
          </w:tcPr>
          <w:p w14:paraId="5EAE1B6A" w14:textId="77777777" w:rsidR="00345AB7" w:rsidRDefault="00345AB7" w:rsidP="00345AB7">
            <w:pPr>
              <w:kinsoku w:val="0"/>
              <w:overflowPunct w:val="0"/>
              <w:spacing w:after="0" w:line="254" w:lineRule="exact"/>
              <w:jc w:val="center"/>
              <w:textAlignment w:val="baseline"/>
              <w:rPr>
                <w:spacing w:val="-13"/>
              </w:rPr>
            </w:pPr>
            <w:r>
              <w:rPr>
                <w:spacing w:val="-13"/>
              </w:rPr>
              <w:t>18</w:t>
            </w:r>
          </w:p>
        </w:tc>
        <w:tc>
          <w:tcPr>
            <w:tcW w:w="0" w:type="auto"/>
            <w:tcBorders>
              <w:top w:val="nil"/>
              <w:left w:val="single" w:sz="7" w:space="0" w:color="auto"/>
              <w:bottom w:val="nil"/>
              <w:right w:val="single" w:sz="7" w:space="0" w:color="auto"/>
            </w:tcBorders>
            <w:vAlign w:val="center"/>
          </w:tcPr>
          <w:p w14:paraId="585EA160" w14:textId="77777777" w:rsidR="00345AB7" w:rsidRDefault="00345AB7" w:rsidP="001A78A3">
            <w:pPr>
              <w:kinsoku w:val="0"/>
              <w:overflowPunct w:val="0"/>
              <w:spacing w:after="0" w:line="240" w:lineRule="auto"/>
              <w:ind w:left="68"/>
              <w:textAlignment w:val="baseline"/>
              <w:rPr>
                <w:spacing w:val="-9"/>
              </w:rPr>
            </w:pPr>
            <w:r>
              <w:rPr>
                <w:spacing w:val="-9"/>
              </w:rPr>
              <w:t>Signalisation auprès des cadres de concertation avant toute installation</w:t>
            </w:r>
          </w:p>
        </w:tc>
      </w:tr>
      <w:tr w:rsidR="00345AB7" w14:paraId="102728E5" w14:textId="77777777" w:rsidTr="00345AB7">
        <w:trPr>
          <w:trHeight w:hRule="exact" w:val="436"/>
        </w:trPr>
        <w:tc>
          <w:tcPr>
            <w:tcW w:w="0" w:type="auto"/>
            <w:tcBorders>
              <w:top w:val="nil"/>
              <w:left w:val="single" w:sz="7" w:space="0" w:color="auto"/>
              <w:bottom w:val="single" w:sz="7" w:space="0" w:color="auto"/>
              <w:right w:val="single" w:sz="7" w:space="0" w:color="auto"/>
            </w:tcBorders>
          </w:tcPr>
          <w:p w14:paraId="5E35469B" w14:textId="77777777" w:rsidR="00345AB7" w:rsidRDefault="00345AB7" w:rsidP="00345AB7">
            <w:pPr>
              <w:kinsoku w:val="0"/>
              <w:overflowPunct w:val="0"/>
              <w:spacing w:after="0"/>
              <w:textAlignment w:val="baseline"/>
              <w:rPr>
                <w:sz w:val="24"/>
                <w:szCs w:val="24"/>
              </w:rPr>
            </w:pPr>
          </w:p>
        </w:tc>
        <w:tc>
          <w:tcPr>
            <w:tcW w:w="0" w:type="auto"/>
            <w:tcBorders>
              <w:top w:val="nil"/>
              <w:left w:val="single" w:sz="7" w:space="0" w:color="auto"/>
              <w:bottom w:val="single" w:sz="7" w:space="0" w:color="auto"/>
              <w:right w:val="single" w:sz="7" w:space="0" w:color="auto"/>
            </w:tcBorders>
            <w:vAlign w:val="center"/>
          </w:tcPr>
          <w:p w14:paraId="3CE297F4" w14:textId="77777777" w:rsidR="00345AB7" w:rsidRDefault="00345AB7" w:rsidP="00345AB7">
            <w:pPr>
              <w:kinsoku w:val="0"/>
              <w:overflowPunct w:val="0"/>
              <w:spacing w:after="0" w:line="254" w:lineRule="exact"/>
              <w:jc w:val="center"/>
              <w:textAlignment w:val="baseline"/>
              <w:rPr>
                <w:spacing w:val="-13"/>
              </w:rPr>
            </w:pPr>
            <w:r>
              <w:rPr>
                <w:spacing w:val="-13"/>
              </w:rPr>
              <w:t>18</w:t>
            </w:r>
          </w:p>
        </w:tc>
        <w:tc>
          <w:tcPr>
            <w:tcW w:w="0" w:type="auto"/>
            <w:tcBorders>
              <w:top w:val="nil"/>
              <w:left w:val="single" w:sz="7" w:space="0" w:color="auto"/>
              <w:bottom w:val="single" w:sz="7" w:space="0" w:color="auto"/>
              <w:right w:val="single" w:sz="7" w:space="0" w:color="auto"/>
            </w:tcBorders>
            <w:vAlign w:val="center"/>
          </w:tcPr>
          <w:p w14:paraId="5BEC37D7" w14:textId="77777777" w:rsidR="00345AB7" w:rsidRDefault="00345AB7" w:rsidP="001A78A3">
            <w:pPr>
              <w:kinsoku w:val="0"/>
              <w:overflowPunct w:val="0"/>
              <w:spacing w:after="0" w:line="240" w:lineRule="auto"/>
              <w:ind w:left="68"/>
              <w:textAlignment w:val="baseline"/>
              <w:rPr>
                <w:spacing w:val="-9"/>
              </w:rPr>
            </w:pPr>
            <w:r>
              <w:rPr>
                <w:spacing w:val="-9"/>
              </w:rPr>
              <w:t>Interdiction de la fauche de l'herbe (</w:t>
            </w:r>
            <w:r>
              <w:rPr>
                <w:i/>
                <w:iCs/>
                <w:spacing w:val="-9"/>
              </w:rPr>
              <w:t>Panicum laetum</w:t>
            </w:r>
            <w:r>
              <w:rPr>
                <w:spacing w:val="-9"/>
              </w:rPr>
              <w:t>) à des fins commerciales</w:t>
            </w:r>
          </w:p>
        </w:tc>
      </w:tr>
      <w:tr w:rsidR="00345AB7" w14:paraId="76050AE7" w14:textId="77777777" w:rsidTr="00345AB7">
        <w:trPr>
          <w:trHeight w:hRule="exact" w:val="504"/>
        </w:trPr>
        <w:tc>
          <w:tcPr>
            <w:tcW w:w="0" w:type="auto"/>
            <w:tcBorders>
              <w:top w:val="single" w:sz="7" w:space="0" w:color="auto"/>
              <w:left w:val="single" w:sz="7" w:space="0" w:color="auto"/>
              <w:bottom w:val="nil"/>
              <w:right w:val="single" w:sz="7" w:space="0" w:color="auto"/>
            </w:tcBorders>
          </w:tcPr>
          <w:p w14:paraId="4958A159" w14:textId="77777777" w:rsidR="00345AB7" w:rsidRDefault="00345AB7" w:rsidP="00345AB7">
            <w:pPr>
              <w:kinsoku w:val="0"/>
              <w:overflowPunct w:val="0"/>
              <w:spacing w:after="0" w:line="247" w:lineRule="exact"/>
              <w:ind w:left="72"/>
              <w:textAlignment w:val="baseline"/>
              <w:rPr>
                <w:b/>
                <w:bCs/>
              </w:rPr>
            </w:pPr>
            <w:r>
              <w:rPr>
                <w:b/>
                <w:bCs/>
              </w:rPr>
              <w:t>Zones agricoles</w:t>
            </w:r>
          </w:p>
        </w:tc>
        <w:tc>
          <w:tcPr>
            <w:tcW w:w="0" w:type="auto"/>
            <w:tcBorders>
              <w:top w:val="single" w:sz="7" w:space="0" w:color="auto"/>
              <w:left w:val="single" w:sz="7" w:space="0" w:color="auto"/>
              <w:bottom w:val="nil"/>
              <w:right w:val="single" w:sz="7" w:space="0" w:color="auto"/>
            </w:tcBorders>
          </w:tcPr>
          <w:p w14:paraId="6832AA19" w14:textId="77777777" w:rsidR="00345AB7" w:rsidRDefault="00345AB7" w:rsidP="00345AB7">
            <w:pPr>
              <w:kinsoku w:val="0"/>
              <w:overflowPunct w:val="0"/>
              <w:spacing w:after="0" w:line="254" w:lineRule="exact"/>
              <w:jc w:val="center"/>
              <w:textAlignment w:val="baseline"/>
            </w:pPr>
            <w:r>
              <w:t>8</w:t>
            </w:r>
          </w:p>
        </w:tc>
        <w:tc>
          <w:tcPr>
            <w:tcW w:w="0" w:type="auto"/>
            <w:tcBorders>
              <w:top w:val="single" w:sz="7" w:space="0" w:color="auto"/>
              <w:left w:val="single" w:sz="7" w:space="0" w:color="auto"/>
              <w:bottom w:val="nil"/>
              <w:right w:val="single" w:sz="7" w:space="0" w:color="auto"/>
            </w:tcBorders>
          </w:tcPr>
          <w:p w14:paraId="7AB467F5" w14:textId="77777777" w:rsidR="00345AB7" w:rsidRDefault="00345AB7" w:rsidP="00345AB7">
            <w:pPr>
              <w:kinsoku w:val="0"/>
              <w:overflowPunct w:val="0"/>
              <w:spacing w:after="0" w:line="254" w:lineRule="exact"/>
              <w:ind w:left="67"/>
              <w:textAlignment w:val="baseline"/>
              <w:rPr>
                <w:spacing w:val="-9"/>
              </w:rPr>
            </w:pPr>
            <w:r>
              <w:rPr>
                <w:spacing w:val="-9"/>
              </w:rPr>
              <w:t>Déguerpissement des zones agricoles en saison pluvieuse</w:t>
            </w:r>
          </w:p>
        </w:tc>
      </w:tr>
      <w:tr w:rsidR="00345AB7" w14:paraId="4549551A" w14:textId="77777777" w:rsidTr="00345AB7">
        <w:trPr>
          <w:trHeight w:hRule="exact" w:val="298"/>
        </w:trPr>
        <w:tc>
          <w:tcPr>
            <w:tcW w:w="0" w:type="auto"/>
            <w:tcBorders>
              <w:top w:val="nil"/>
              <w:left w:val="single" w:sz="7" w:space="0" w:color="auto"/>
              <w:bottom w:val="nil"/>
              <w:right w:val="single" w:sz="7" w:space="0" w:color="auto"/>
            </w:tcBorders>
          </w:tcPr>
          <w:p w14:paraId="3A802526" w14:textId="77777777" w:rsidR="00345AB7" w:rsidRDefault="00345AB7" w:rsidP="00345AB7">
            <w:pPr>
              <w:kinsoku w:val="0"/>
              <w:overflowPunct w:val="0"/>
              <w:spacing w:after="0"/>
              <w:textAlignment w:val="baseline"/>
              <w:rPr>
                <w:sz w:val="24"/>
                <w:szCs w:val="24"/>
              </w:rPr>
            </w:pPr>
          </w:p>
        </w:tc>
        <w:tc>
          <w:tcPr>
            <w:tcW w:w="0" w:type="auto"/>
            <w:tcBorders>
              <w:top w:val="nil"/>
              <w:left w:val="single" w:sz="7" w:space="0" w:color="auto"/>
              <w:bottom w:val="nil"/>
              <w:right w:val="single" w:sz="7" w:space="0" w:color="auto"/>
            </w:tcBorders>
            <w:vAlign w:val="center"/>
          </w:tcPr>
          <w:p w14:paraId="611DE590" w14:textId="77777777" w:rsidR="00345AB7" w:rsidRDefault="00345AB7" w:rsidP="00345AB7">
            <w:pPr>
              <w:kinsoku w:val="0"/>
              <w:overflowPunct w:val="0"/>
              <w:spacing w:after="0" w:line="230" w:lineRule="exact"/>
              <w:jc w:val="center"/>
              <w:textAlignment w:val="baseline"/>
              <w:rPr>
                <w:spacing w:val="-5"/>
              </w:rPr>
            </w:pPr>
            <w:r>
              <w:rPr>
                <w:spacing w:val="-5"/>
              </w:rPr>
              <w:t>30</w:t>
            </w:r>
          </w:p>
        </w:tc>
        <w:tc>
          <w:tcPr>
            <w:tcW w:w="0" w:type="auto"/>
            <w:tcBorders>
              <w:top w:val="nil"/>
              <w:left w:val="single" w:sz="7" w:space="0" w:color="auto"/>
              <w:bottom w:val="nil"/>
              <w:right w:val="single" w:sz="7" w:space="0" w:color="auto"/>
            </w:tcBorders>
          </w:tcPr>
          <w:p w14:paraId="52FCBF72" w14:textId="77777777" w:rsidR="00345AB7" w:rsidRDefault="00345AB7" w:rsidP="00345AB7">
            <w:pPr>
              <w:kinsoku w:val="0"/>
              <w:overflowPunct w:val="0"/>
              <w:spacing w:after="0" w:line="221" w:lineRule="exact"/>
              <w:ind w:left="67"/>
              <w:textAlignment w:val="baseline"/>
              <w:rPr>
                <w:spacing w:val="-9"/>
              </w:rPr>
            </w:pPr>
            <w:r>
              <w:rPr>
                <w:spacing w:val="-9"/>
              </w:rPr>
              <w:t>Détermination des périodes de début et fin de la garde obligatoire des animaux</w:t>
            </w:r>
          </w:p>
        </w:tc>
      </w:tr>
      <w:tr w:rsidR="00345AB7" w14:paraId="2DC894CA" w14:textId="77777777" w:rsidTr="00345AB7">
        <w:trPr>
          <w:trHeight w:hRule="exact" w:val="442"/>
        </w:trPr>
        <w:tc>
          <w:tcPr>
            <w:tcW w:w="0" w:type="auto"/>
            <w:tcBorders>
              <w:top w:val="nil"/>
              <w:left w:val="single" w:sz="7" w:space="0" w:color="auto"/>
              <w:bottom w:val="single" w:sz="7" w:space="0" w:color="auto"/>
              <w:right w:val="single" w:sz="7" w:space="0" w:color="auto"/>
            </w:tcBorders>
          </w:tcPr>
          <w:p w14:paraId="2952945F" w14:textId="77777777" w:rsidR="00345AB7" w:rsidRDefault="00345AB7" w:rsidP="00345AB7">
            <w:pPr>
              <w:kinsoku w:val="0"/>
              <w:overflowPunct w:val="0"/>
              <w:spacing w:after="0"/>
              <w:textAlignment w:val="baseline"/>
              <w:rPr>
                <w:sz w:val="24"/>
                <w:szCs w:val="24"/>
              </w:rPr>
            </w:pPr>
          </w:p>
        </w:tc>
        <w:tc>
          <w:tcPr>
            <w:tcW w:w="0" w:type="auto"/>
            <w:tcBorders>
              <w:top w:val="nil"/>
              <w:left w:val="single" w:sz="7" w:space="0" w:color="auto"/>
              <w:bottom w:val="single" w:sz="7" w:space="0" w:color="auto"/>
              <w:right w:val="single" w:sz="7" w:space="0" w:color="auto"/>
            </w:tcBorders>
            <w:vAlign w:val="center"/>
          </w:tcPr>
          <w:p w14:paraId="6012D6C1" w14:textId="77777777" w:rsidR="00345AB7" w:rsidRDefault="00345AB7" w:rsidP="00345AB7">
            <w:pPr>
              <w:kinsoku w:val="0"/>
              <w:overflowPunct w:val="0"/>
              <w:spacing w:after="0" w:line="254" w:lineRule="exact"/>
              <w:jc w:val="center"/>
              <w:textAlignment w:val="baseline"/>
            </w:pPr>
            <w:r>
              <w:t>2</w:t>
            </w:r>
          </w:p>
        </w:tc>
        <w:tc>
          <w:tcPr>
            <w:tcW w:w="0" w:type="auto"/>
            <w:tcBorders>
              <w:top w:val="nil"/>
              <w:left w:val="single" w:sz="7" w:space="0" w:color="auto"/>
              <w:bottom w:val="single" w:sz="7" w:space="0" w:color="auto"/>
              <w:right w:val="single" w:sz="7" w:space="0" w:color="auto"/>
            </w:tcBorders>
            <w:vAlign w:val="center"/>
          </w:tcPr>
          <w:p w14:paraId="4DC58693" w14:textId="77777777" w:rsidR="00345AB7" w:rsidRDefault="00345AB7" w:rsidP="00345AB7">
            <w:pPr>
              <w:kinsoku w:val="0"/>
              <w:overflowPunct w:val="0"/>
              <w:spacing w:after="0" w:line="254" w:lineRule="exact"/>
              <w:ind w:left="67"/>
              <w:textAlignment w:val="baseline"/>
              <w:rPr>
                <w:spacing w:val="-9"/>
              </w:rPr>
            </w:pPr>
            <w:r>
              <w:rPr>
                <w:spacing w:val="-9"/>
              </w:rPr>
              <w:t>Institution de zones de réserves agricoles</w:t>
            </w:r>
          </w:p>
        </w:tc>
      </w:tr>
      <w:tr w:rsidR="00345AB7" w14:paraId="3E71ED3D" w14:textId="77777777" w:rsidTr="007321BF">
        <w:trPr>
          <w:trHeight w:hRule="exact" w:val="969"/>
        </w:trPr>
        <w:tc>
          <w:tcPr>
            <w:tcW w:w="0" w:type="auto"/>
            <w:tcBorders>
              <w:top w:val="single" w:sz="7" w:space="0" w:color="auto"/>
              <w:left w:val="single" w:sz="7" w:space="0" w:color="auto"/>
              <w:bottom w:val="single" w:sz="4" w:space="0" w:color="auto"/>
              <w:right w:val="single" w:sz="7" w:space="0" w:color="auto"/>
            </w:tcBorders>
          </w:tcPr>
          <w:p w14:paraId="0300C5A1" w14:textId="77777777" w:rsidR="00345AB7" w:rsidRDefault="00345AB7" w:rsidP="00345AB7">
            <w:pPr>
              <w:kinsoku w:val="0"/>
              <w:overflowPunct w:val="0"/>
              <w:spacing w:after="0" w:line="272" w:lineRule="exact"/>
              <w:ind w:left="72"/>
              <w:textAlignment w:val="baseline"/>
              <w:rPr>
                <w:sz w:val="24"/>
                <w:szCs w:val="24"/>
              </w:rPr>
            </w:pPr>
            <w:r>
              <w:rPr>
                <w:b/>
                <w:bCs/>
              </w:rPr>
              <w:t>Pâturages post</w:t>
            </w:r>
            <w:r>
              <w:rPr>
                <w:b/>
                <w:bCs/>
              </w:rPr>
              <w:noBreakHyphen/>
            </w:r>
          </w:p>
          <w:p w14:paraId="4FAA6676" w14:textId="77777777" w:rsidR="00345AB7" w:rsidRDefault="00345AB7" w:rsidP="00345AB7">
            <w:pPr>
              <w:kinsoku w:val="0"/>
              <w:overflowPunct w:val="0"/>
              <w:spacing w:after="0" w:line="278" w:lineRule="exact"/>
              <w:ind w:left="72"/>
              <w:textAlignment w:val="baseline"/>
              <w:rPr>
                <w:b/>
                <w:bCs/>
                <w:spacing w:val="-8"/>
              </w:rPr>
            </w:pPr>
            <w:r>
              <w:rPr>
                <w:b/>
                <w:bCs/>
                <w:spacing w:val="-8"/>
              </w:rPr>
              <w:t>culturaux</w:t>
            </w:r>
          </w:p>
        </w:tc>
        <w:tc>
          <w:tcPr>
            <w:tcW w:w="0" w:type="auto"/>
            <w:tcBorders>
              <w:top w:val="single" w:sz="7" w:space="0" w:color="auto"/>
              <w:left w:val="single" w:sz="7" w:space="0" w:color="auto"/>
              <w:bottom w:val="single" w:sz="4" w:space="0" w:color="auto"/>
              <w:right w:val="single" w:sz="7" w:space="0" w:color="auto"/>
            </w:tcBorders>
          </w:tcPr>
          <w:p w14:paraId="5729A6D1" w14:textId="77777777" w:rsidR="00345AB7" w:rsidRDefault="00345AB7" w:rsidP="00345AB7">
            <w:pPr>
              <w:kinsoku w:val="0"/>
              <w:overflowPunct w:val="0"/>
              <w:spacing w:after="0" w:line="254" w:lineRule="exact"/>
              <w:jc w:val="center"/>
              <w:textAlignment w:val="baseline"/>
            </w:pPr>
            <w:r>
              <w:t>4</w:t>
            </w:r>
          </w:p>
          <w:p w14:paraId="73F18A9F" w14:textId="77777777" w:rsidR="00345AB7" w:rsidRDefault="00345AB7" w:rsidP="00345AB7">
            <w:pPr>
              <w:kinsoku w:val="0"/>
              <w:overflowPunct w:val="0"/>
              <w:spacing w:after="0" w:line="254" w:lineRule="exact"/>
              <w:jc w:val="center"/>
              <w:textAlignment w:val="baseline"/>
            </w:pPr>
            <w:r>
              <w:t>4</w:t>
            </w:r>
          </w:p>
        </w:tc>
        <w:tc>
          <w:tcPr>
            <w:tcW w:w="0" w:type="auto"/>
            <w:tcBorders>
              <w:top w:val="single" w:sz="7" w:space="0" w:color="auto"/>
              <w:left w:val="single" w:sz="7" w:space="0" w:color="auto"/>
              <w:bottom w:val="single" w:sz="4" w:space="0" w:color="auto"/>
              <w:right w:val="single" w:sz="7" w:space="0" w:color="auto"/>
            </w:tcBorders>
          </w:tcPr>
          <w:p w14:paraId="145FE8C8" w14:textId="77777777" w:rsidR="00345AB7" w:rsidRDefault="00345AB7" w:rsidP="00345AB7">
            <w:pPr>
              <w:kinsoku w:val="0"/>
              <w:overflowPunct w:val="0"/>
              <w:spacing w:after="0" w:line="395" w:lineRule="exact"/>
              <w:ind w:left="72" w:right="1692"/>
              <w:textAlignment w:val="baseline"/>
              <w:rPr>
                <w:spacing w:val="-11"/>
              </w:rPr>
            </w:pPr>
            <w:r>
              <w:rPr>
                <w:spacing w:val="-11"/>
              </w:rPr>
              <w:t>Exploitation sur autorisation expresse du cadre de concertation Installation soumise à l’autorisation du propriétaire du champ</w:t>
            </w:r>
          </w:p>
        </w:tc>
      </w:tr>
      <w:tr w:rsidR="00345AB7" w14:paraId="687FE516" w14:textId="77777777" w:rsidTr="007321BF">
        <w:trPr>
          <w:trHeight w:hRule="exact" w:val="845"/>
        </w:trPr>
        <w:tc>
          <w:tcPr>
            <w:tcW w:w="0" w:type="auto"/>
            <w:tcBorders>
              <w:top w:val="single" w:sz="4" w:space="0" w:color="auto"/>
              <w:left w:val="single" w:sz="4" w:space="0" w:color="auto"/>
              <w:bottom w:val="single" w:sz="4" w:space="0" w:color="auto"/>
              <w:right w:val="single" w:sz="4" w:space="0" w:color="auto"/>
            </w:tcBorders>
          </w:tcPr>
          <w:p w14:paraId="33A719EC" w14:textId="77777777" w:rsidR="00345AB7" w:rsidRDefault="00345AB7" w:rsidP="00345AB7">
            <w:pPr>
              <w:kinsoku w:val="0"/>
              <w:overflowPunct w:val="0"/>
              <w:spacing w:after="0" w:line="274" w:lineRule="exact"/>
              <w:ind w:left="72"/>
              <w:textAlignment w:val="baseline"/>
              <w:rPr>
                <w:b/>
                <w:bCs/>
              </w:rPr>
            </w:pPr>
            <w:r>
              <w:rPr>
                <w:b/>
                <w:bCs/>
              </w:rPr>
              <w:lastRenderedPageBreak/>
              <w:t>Mares et autres points d'eau</w:t>
            </w:r>
          </w:p>
        </w:tc>
        <w:tc>
          <w:tcPr>
            <w:tcW w:w="0" w:type="auto"/>
            <w:tcBorders>
              <w:top w:val="single" w:sz="4" w:space="0" w:color="auto"/>
              <w:left w:val="single" w:sz="4" w:space="0" w:color="auto"/>
              <w:bottom w:val="single" w:sz="4" w:space="0" w:color="auto"/>
              <w:right w:val="single" w:sz="4" w:space="0" w:color="auto"/>
            </w:tcBorders>
          </w:tcPr>
          <w:p w14:paraId="2C9A47A1" w14:textId="77777777" w:rsidR="00345AB7" w:rsidRDefault="00345AB7" w:rsidP="00345AB7">
            <w:pPr>
              <w:kinsoku w:val="0"/>
              <w:overflowPunct w:val="0"/>
              <w:spacing w:after="0" w:line="254" w:lineRule="exact"/>
              <w:jc w:val="center"/>
              <w:textAlignment w:val="baseline"/>
              <w:rPr>
                <w:spacing w:val="-5"/>
              </w:rPr>
            </w:pPr>
            <w:r>
              <w:rPr>
                <w:spacing w:val="-5"/>
              </w:rPr>
              <w:t>20</w:t>
            </w:r>
          </w:p>
          <w:p w14:paraId="35BABD9C" w14:textId="77777777" w:rsidR="00345AB7" w:rsidRDefault="00345AB7" w:rsidP="00345AB7">
            <w:pPr>
              <w:kinsoku w:val="0"/>
              <w:overflowPunct w:val="0"/>
              <w:spacing w:after="0" w:line="254" w:lineRule="exact"/>
              <w:jc w:val="center"/>
              <w:textAlignment w:val="baseline"/>
              <w:rPr>
                <w:spacing w:val="-5"/>
              </w:rPr>
            </w:pPr>
            <w:r>
              <w:rPr>
                <w:spacing w:val="-5"/>
              </w:rPr>
              <w:t>30</w:t>
            </w:r>
          </w:p>
        </w:tc>
        <w:tc>
          <w:tcPr>
            <w:tcW w:w="0" w:type="auto"/>
            <w:tcBorders>
              <w:top w:val="single" w:sz="4" w:space="0" w:color="auto"/>
              <w:left w:val="single" w:sz="4" w:space="0" w:color="auto"/>
              <w:bottom w:val="single" w:sz="4" w:space="0" w:color="auto"/>
              <w:right w:val="single" w:sz="4" w:space="0" w:color="auto"/>
            </w:tcBorders>
          </w:tcPr>
          <w:p w14:paraId="5808E682" w14:textId="77777777" w:rsidR="00345AB7" w:rsidRDefault="00345AB7" w:rsidP="00345AB7">
            <w:pPr>
              <w:kinsoku w:val="0"/>
              <w:overflowPunct w:val="0"/>
              <w:spacing w:after="0" w:line="360" w:lineRule="exact"/>
              <w:ind w:left="72" w:right="2052"/>
              <w:textAlignment w:val="baseline"/>
              <w:rPr>
                <w:spacing w:val="-11"/>
              </w:rPr>
            </w:pPr>
            <w:r>
              <w:rPr>
                <w:spacing w:val="-11"/>
              </w:rPr>
              <w:t>Interdiction d'y rester avant et après abreuvement Interdiction d'occuper les berges et les couloirs de passage</w:t>
            </w:r>
          </w:p>
        </w:tc>
      </w:tr>
      <w:tr w:rsidR="00345AB7" w14:paraId="1AAF3D8B" w14:textId="77777777" w:rsidTr="007321BF">
        <w:trPr>
          <w:trHeight w:hRule="exact" w:val="643"/>
        </w:trPr>
        <w:tc>
          <w:tcPr>
            <w:tcW w:w="0" w:type="auto"/>
            <w:tcBorders>
              <w:top w:val="single" w:sz="4" w:space="0" w:color="auto"/>
              <w:left w:val="single" w:sz="7" w:space="0" w:color="auto"/>
              <w:bottom w:val="nil"/>
              <w:right w:val="single" w:sz="7" w:space="0" w:color="auto"/>
            </w:tcBorders>
          </w:tcPr>
          <w:p w14:paraId="0D84715C" w14:textId="77777777" w:rsidR="00345AB7" w:rsidRDefault="00345AB7" w:rsidP="00345AB7">
            <w:pPr>
              <w:kinsoku w:val="0"/>
              <w:overflowPunct w:val="0"/>
              <w:spacing w:after="0"/>
              <w:textAlignment w:val="baseline"/>
              <w:rPr>
                <w:sz w:val="24"/>
                <w:szCs w:val="24"/>
              </w:rPr>
            </w:pPr>
          </w:p>
        </w:tc>
        <w:tc>
          <w:tcPr>
            <w:tcW w:w="0" w:type="auto"/>
            <w:tcBorders>
              <w:top w:val="single" w:sz="4" w:space="0" w:color="auto"/>
              <w:left w:val="single" w:sz="7" w:space="0" w:color="auto"/>
              <w:bottom w:val="nil"/>
              <w:right w:val="single" w:sz="7" w:space="0" w:color="auto"/>
            </w:tcBorders>
            <w:vAlign w:val="center"/>
          </w:tcPr>
          <w:p w14:paraId="2CFD8D45" w14:textId="77777777" w:rsidR="00345AB7" w:rsidRDefault="00345AB7" w:rsidP="00345AB7">
            <w:pPr>
              <w:kinsoku w:val="0"/>
              <w:overflowPunct w:val="0"/>
              <w:spacing w:after="0" w:line="354" w:lineRule="exact"/>
              <w:jc w:val="center"/>
              <w:textAlignment w:val="baseline"/>
            </w:pPr>
            <w:r>
              <w:t>8</w:t>
            </w:r>
          </w:p>
        </w:tc>
        <w:tc>
          <w:tcPr>
            <w:tcW w:w="0" w:type="auto"/>
            <w:tcBorders>
              <w:top w:val="single" w:sz="4" w:space="0" w:color="auto"/>
              <w:left w:val="single" w:sz="7" w:space="0" w:color="auto"/>
              <w:bottom w:val="nil"/>
              <w:right w:val="single" w:sz="7" w:space="0" w:color="auto"/>
            </w:tcBorders>
          </w:tcPr>
          <w:p w14:paraId="16216869" w14:textId="77777777" w:rsidR="00345AB7" w:rsidRDefault="00345AB7" w:rsidP="00345AB7">
            <w:pPr>
              <w:kinsoku w:val="0"/>
              <w:overflowPunct w:val="0"/>
              <w:spacing w:after="0" w:line="278" w:lineRule="exact"/>
              <w:ind w:left="72" w:right="972"/>
              <w:textAlignment w:val="baseline"/>
            </w:pPr>
            <w:r>
              <w:t>Exploitation concertée des abords soumise à l'approbation des cadres de concertation</w:t>
            </w:r>
          </w:p>
        </w:tc>
      </w:tr>
      <w:tr w:rsidR="00345AB7" w14:paraId="1FC426A9" w14:textId="77777777" w:rsidTr="00345AB7">
        <w:trPr>
          <w:trHeight w:hRule="exact" w:val="442"/>
        </w:trPr>
        <w:tc>
          <w:tcPr>
            <w:tcW w:w="0" w:type="auto"/>
            <w:tcBorders>
              <w:top w:val="nil"/>
              <w:left w:val="single" w:sz="7" w:space="0" w:color="auto"/>
              <w:bottom w:val="single" w:sz="7" w:space="0" w:color="auto"/>
              <w:right w:val="single" w:sz="7" w:space="0" w:color="auto"/>
            </w:tcBorders>
          </w:tcPr>
          <w:p w14:paraId="4FD8B637" w14:textId="77777777" w:rsidR="00345AB7" w:rsidRDefault="00345AB7" w:rsidP="00345AB7">
            <w:pPr>
              <w:kinsoku w:val="0"/>
              <w:overflowPunct w:val="0"/>
              <w:spacing w:after="0"/>
              <w:textAlignment w:val="baseline"/>
              <w:rPr>
                <w:sz w:val="24"/>
                <w:szCs w:val="24"/>
              </w:rPr>
            </w:pPr>
          </w:p>
        </w:tc>
        <w:tc>
          <w:tcPr>
            <w:tcW w:w="0" w:type="auto"/>
            <w:tcBorders>
              <w:top w:val="nil"/>
              <w:left w:val="single" w:sz="7" w:space="0" w:color="auto"/>
              <w:bottom w:val="single" w:sz="7" w:space="0" w:color="auto"/>
              <w:right w:val="single" w:sz="7" w:space="0" w:color="auto"/>
            </w:tcBorders>
            <w:vAlign w:val="center"/>
          </w:tcPr>
          <w:p w14:paraId="47D34913" w14:textId="77777777" w:rsidR="00345AB7" w:rsidRDefault="00345AB7" w:rsidP="00345AB7">
            <w:pPr>
              <w:kinsoku w:val="0"/>
              <w:overflowPunct w:val="0"/>
              <w:spacing w:after="0" w:line="254" w:lineRule="exact"/>
              <w:jc w:val="center"/>
              <w:textAlignment w:val="baseline"/>
            </w:pPr>
            <w:r>
              <w:t>1</w:t>
            </w:r>
          </w:p>
        </w:tc>
        <w:tc>
          <w:tcPr>
            <w:tcW w:w="0" w:type="auto"/>
            <w:tcBorders>
              <w:top w:val="nil"/>
              <w:left w:val="single" w:sz="7" w:space="0" w:color="auto"/>
              <w:bottom w:val="single" w:sz="7" w:space="0" w:color="auto"/>
              <w:right w:val="single" w:sz="7" w:space="0" w:color="auto"/>
            </w:tcBorders>
            <w:vAlign w:val="center"/>
          </w:tcPr>
          <w:p w14:paraId="0FA749BA" w14:textId="77777777" w:rsidR="00345AB7" w:rsidRDefault="00345AB7" w:rsidP="00345AB7">
            <w:pPr>
              <w:kinsoku w:val="0"/>
              <w:overflowPunct w:val="0"/>
              <w:spacing w:after="0" w:line="254" w:lineRule="exact"/>
              <w:ind w:left="67"/>
              <w:textAlignment w:val="baseline"/>
              <w:rPr>
                <w:spacing w:val="-9"/>
              </w:rPr>
            </w:pPr>
            <w:r>
              <w:rPr>
                <w:spacing w:val="-9"/>
              </w:rPr>
              <w:t>Interdiction de toute action de nature à souiller l’eau de la mare</w:t>
            </w:r>
          </w:p>
        </w:tc>
      </w:tr>
      <w:tr w:rsidR="00345AB7" w14:paraId="291CD173" w14:textId="77777777" w:rsidTr="00345AB7">
        <w:trPr>
          <w:cantSplit/>
          <w:trHeight w:hRule="exact" w:val="413"/>
        </w:trPr>
        <w:tc>
          <w:tcPr>
            <w:tcW w:w="0" w:type="auto"/>
            <w:vMerge w:val="restart"/>
            <w:tcBorders>
              <w:top w:val="single" w:sz="7" w:space="0" w:color="auto"/>
              <w:left w:val="single" w:sz="7" w:space="0" w:color="auto"/>
              <w:bottom w:val="nil"/>
              <w:right w:val="single" w:sz="7" w:space="0" w:color="auto"/>
            </w:tcBorders>
          </w:tcPr>
          <w:p w14:paraId="430BDCD0" w14:textId="77777777" w:rsidR="00345AB7" w:rsidRDefault="00345AB7" w:rsidP="00345AB7">
            <w:pPr>
              <w:kinsoku w:val="0"/>
              <w:overflowPunct w:val="0"/>
              <w:spacing w:after="0" w:line="274" w:lineRule="exact"/>
              <w:ind w:left="72"/>
              <w:textAlignment w:val="baseline"/>
              <w:rPr>
                <w:b/>
                <w:bCs/>
                <w:spacing w:val="-8"/>
              </w:rPr>
            </w:pPr>
            <w:r>
              <w:rPr>
                <w:b/>
                <w:bCs/>
                <w:spacing w:val="-8"/>
              </w:rPr>
              <w:t>Piste à bétail/ couloirs de passage</w:t>
            </w:r>
          </w:p>
        </w:tc>
        <w:tc>
          <w:tcPr>
            <w:tcW w:w="0" w:type="auto"/>
            <w:tcBorders>
              <w:top w:val="single" w:sz="7" w:space="0" w:color="auto"/>
              <w:left w:val="single" w:sz="7" w:space="0" w:color="auto"/>
              <w:bottom w:val="single" w:sz="7" w:space="0" w:color="auto"/>
              <w:right w:val="single" w:sz="7" w:space="0" w:color="auto"/>
            </w:tcBorders>
            <w:vAlign w:val="center"/>
          </w:tcPr>
          <w:p w14:paraId="3922F2FA" w14:textId="77777777" w:rsidR="00345AB7" w:rsidRDefault="00345AB7" w:rsidP="00345AB7">
            <w:pPr>
              <w:kinsoku w:val="0"/>
              <w:overflowPunct w:val="0"/>
              <w:spacing w:after="0" w:line="254" w:lineRule="exact"/>
              <w:jc w:val="center"/>
              <w:textAlignment w:val="baseline"/>
              <w:rPr>
                <w:spacing w:val="-5"/>
              </w:rPr>
            </w:pPr>
            <w:r>
              <w:rPr>
                <w:spacing w:val="-5"/>
              </w:rPr>
              <w:t>30</w:t>
            </w:r>
          </w:p>
        </w:tc>
        <w:tc>
          <w:tcPr>
            <w:tcW w:w="0" w:type="auto"/>
            <w:tcBorders>
              <w:top w:val="single" w:sz="7" w:space="0" w:color="auto"/>
              <w:left w:val="single" w:sz="7" w:space="0" w:color="auto"/>
              <w:bottom w:val="single" w:sz="7" w:space="0" w:color="auto"/>
              <w:right w:val="single" w:sz="7" w:space="0" w:color="auto"/>
            </w:tcBorders>
            <w:vAlign w:val="center"/>
          </w:tcPr>
          <w:p w14:paraId="0CD02B61" w14:textId="77777777" w:rsidR="00345AB7" w:rsidRDefault="00345AB7" w:rsidP="00345AB7">
            <w:pPr>
              <w:kinsoku w:val="0"/>
              <w:overflowPunct w:val="0"/>
              <w:spacing w:after="0" w:line="254" w:lineRule="exact"/>
              <w:ind w:left="67"/>
              <w:textAlignment w:val="baseline"/>
              <w:rPr>
                <w:spacing w:val="-9"/>
              </w:rPr>
            </w:pPr>
            <w:r>
              <w:rPr>
                <w:spacing w:val="-9"/>
              </w:rPr>
              <w:t>Obligation de respect des limites</w:t>
            </w:r>
          </w:p>
        </w:tc>
      </w:tr>
      <w:tr w:rsidR="00345AB7" w14:paraId="3B970E8C" w14:textId="77777777" w:rsidTr="00345AB7">
        <w:trPr>
          <w:cantSplit/>
          <w:trHeight w:hRule="exact" w:val="435"/>
        </w:trPr>
        <w:tc>
          <w:tcPr>
            <w:tcW w:w="0" w:type="auto"/>
            <w:vMerge/>
            <w:tcBorders>
              <w:top w:val="nil"/>
              <w:left w:val="single" w:sz="7" w:space="0" w:color="auto"/>
              <w:bottom w:val="single" w:sz="7" w:space="0" w:color="auto"/>
              <w:right w:val="single" w:sz="7" w:space="0" w:color="auto"/>
            </w:tcBorders>
          </w:tcPr>
          <w:p w14:paraId="519BFEDF" w14:textId="77777777" w:rsidR="00345AB7" w:rsidRDefault="00345AB7" w:rsidP="00345AB7">
            <w:pPr>
              <w:kinsoku w:val="0"/>
              <w:overflowPunct w:val="0"/>
              <w:spacing w:after="0"/>
              <w:textAlignment w:val="baseline"/>
              <w:rPr>
                <w:spacing w:val="-9"/>
              </w:rPr>
            </w:pPr>
          </w:p>
        </w:tc>
        <w:tc>
          <w:tcPr>
            <w:tcW w:w="0" w:type="auto"/>
            <w:tcBorders>
              <w:top w:val="single" w:sz="7" w:space="0" w:color="auto"/>
              <w:left w:val="single" w:sz="7" w:space="0" w:color="auto"/>
              <w:bottom w:val="single" w:sz="7" w:space="0" w:color="auto"/>
              <w:right w:val="single" w:sz="7" w:space="0" w:color="auto"/>
            </w:tcBorders>
            <w:vAlign w:val="center"/>
          </w:tcPr>
          <w:p w14:paraId="688D7F89" w14:textId="77777777" w:rsidR="00345AB7" w:rsidRDefault="00345AB7" w:rsidP="00345AB7">
            <w:pPr>
              <w:kinsoku w:val="0"/>
              <w:overflowPunct w:val="0"/>
              <w:spacing w:after="0" w:line="254" w:lineRule="exact"/>
              <w:jc w:val="center"/>
              <w:textAlignment w:val="baseline"/>
            </w:pPr>
            <w:r>
              <w:t>1</w:t>
            </w:r>
          </w:p>
        </w:tc>
        <w:tc>
          <w:tcPr>
            <w:tcW w:w="0" w:type="auto"/>
            <w:tcBorders>
              <w:top w:val="single" w:sz="7" w:space="0" w:color="auto"/>
              <w:left w:val="single" w:sz="7" w:space="0" w:color="auto"/>
              <w:bottom w:val="single" w:sz="7" w:space="0" w:color="auto"/>
              <w:right w:val="single" w:sz="7" w:space="0" w:color="auto"/>
            </w:tcBorders>
            <w:vAlign w:val="center"/>
          </w:tcPr>
          <w:p w14:paraId="17629266" w14:textId="77777777" w:rsidR="00345AB7" w:rsidRDefault="00345AB7" w:rsidP="00345AB7">
            <w:pPr>
              <w:kinsoku w:val="0"/>
              <w:overflowPunct w:val="0"/>
              <w:spacing w:after="0" w:line="254" w:lineRule="exact"/>
              <w:ind w:left="67"/>
              <w:textAlignment w:val="baseline"/>
              <w:rPr>
                <w:spacing w:val="-9"/>
              </w:rPr>
            </w:pPr>
            <w:r>
              <w:rPr>
                <w:spacing w:val="-9"/>
              </w:rPr>
              <w:t>Matérialisation obligatoire des limites</w:t>
            </w:r>
          </w:p>
        </w:tc>
      </w:tr>
      <w:tr w:rsidR="00345AB7" w14:paraId="2C26D7E7" w14:textId="77777777" w:rsidTr="00345AB7">
        <w:trPr>
          <w:trHeight w:hRule="exact" w:val="720"/>
        </w:trPr>
        <w:tc>
          <w:tcPr>
            <w:tcW w:w="0" w:type="auto"/>
            <w:tcBorders>
              <w:top w:val="single" w:sz="7" w:space="0" w:color="auto"/>
              <w:left w:val="single" w:sz="7" w:space="0" w:color="auto"/>
              <w:bottom w:val="nil"/>
              <w:right w:val="single" w:sz="7" w:space="0" w:color="auto"/>
            </w:tcBorders>
          </w:tcPr>
          <w:p w14:paraId="2D15F33E" w14:textId="4B849B3C" w:rsidR="00345AB7" w:rsidRDefault="00345AB7" w:rsidP="00345AB7">
            <w:pPr>
              <w:kinsoku w:val="0"/>
              <w:overflowPunct w:val="0"/>
              <w:spacing w:after="0" w:line="273" w:lineRule="exact"/>
              <w:ind w:left="72"/>
              <w:textAlignment w:val="baseline"/>
              <w:rPr>
                <w:b/>
                <w:bCs/>
              </w:rPr>
            </w:pPr>
            <w:r>
              <w:rPr>
                <w:b/>
                <w:bCs/>
              </w:rPr>
              <w:t>Pâturage aérien, (Ligneux)</w:t>
            </w:r>
          </w:p>
        </w:tc>
        <w:tc>
          <w:tcPr>
            <w:tcW w:w="0" w:type="auto"/>
            <w:tcBorders>
              <w:top w:val="single" w:sz="7" w:space="0" w:color="auto"/>
              <w:left w:val="single" w:sz="7" w:space="0" w:color="auto"/>
              <w:bottom w:val="nil"/>
              <w:right w:val="single" w:sz="7" w:space="0" w:color="auto"/>
            </w:tcBorders>
          </w:tcPr>
          <w:p w14:paraId="3E2157F5" w14:textId="77777777" w:rsidR="00345AB7" w:rsidRDefault="00345AB7" w:rsidP="00345AB7">
            <w:pPr>
              <w:kinsoku w:val="0"/>
              <w:overflowPunct w:val="0"/>
              <w:spacing w:after="0" w:line="254" w:lineRule="exact"/>
              <w:jc w:val="center"/>
              <w:textAlignment w:val="baseline"/>
              <w:rPr>
                <w:spacing w:val="-5"/>
              </w:rPr>
            </w:pPr>
            <w:r>
              <w:rPr>
                <w:spacing w:val="-5"/>
              </w:rPr>
              <w:t>30</w:t>
            </w:r>
          </w:p>
          <w:p w14:paraId="203821F4" w14:textId="77777777" w:rsidR="00345AB7" w:rsidRDefault="00345AB7" w:rsidP="00345AB7">
            <w:pPr>
              <w:kinsoku w:val="0"/>
              <w:overflowPunct w:val="0"/>
              <w:spacing w:after="0" w:line="230" w:lineRule="exact"/>
              <w:jc w:val="center"/>
              <w:textAlignment w:val="baseline"/>
            </w:pPr>
            <w:r>
              <w:t>2</w:t>
            </w:r>
          </w:p>
        </w:tc>
        <w:tc>
          <w:tcPr>
            <w:tcW w:w="0" w:type="auto"/>
            <w:tcBorders>
              <w:top w:val="single" w:sz="7" w:space="0" w:color="auto"/>
              <w:left w:val="single" w:sz="7" w:space="0" w:color="auto"/>
              <w:bottom w:val="nil"/>
              <w:right w:val="single" w:sz="7" w:space="0" w:color="auto"/>
            </w:tcBorders>
          </w:tcPr>
          <w:p w14:paraId="247B6037" w14:textId="77777777" w:rsidR="00345AB7" w:rsidRDefault="00345AB7" w:rsidP="00345AB7">
            <w:pPr>
              <w:kinsoku w:val="0"/>
              <w:overflowPunct w:val="0"/>
              <w:spacing w:after="0" w:line="355" w:lineRule="exact"/>
              <w:ind w:left="72" w:right="648"/>
              <w:textAlignment w:val="baseline"/>
              <w:rPr>
                <w:spacing w:val="-11"/>
              </w:rPr>
            </w:pPr>
            <w:r>
              <w:rPr>
                <w:spacing w:val="-11"/>
              </w:rPr>
              <w:t>Interdiction de la coupe abusive et exploitation des ligneux selon les normes Interdiction d'accès à certaines espèces ligneuses en voie de disparition</w:t>
            </w:r>
          </w:p>
        </w:tc>
      </w:tr>
      <w:tr w:rsidR="00345AB7" w14:paraId="6573BBF3" w14:textId="77777777" w:rsidTr="00345AB7">
        <w:trPr>
          <w:trHeight w:hRule="exact" w:val="490"/>
        </w:trPr>
        <w:tc>
          <w:tcPr>
            <w:tcW w:w="0" w:type="auto"/>
            <w:tcBorders>
              <w:top w:val="nil"/>
              <w:left w:val="single" w:sz="7" w:space="0" w:color="auto"/>
              <w:bottom w:val="nil"/>
              <w:right w:val="single" w:sz="7" w:space="0" w:color="auto"/>
            </w:tcBorders>
          </w:tcPr>
          <w:p w14:paraId="69357C0D" w14:textId="5C3CC811" w:rsidR="00345AB7" w:rsidRDefault="00345AB7" w:rsidP="00345AB7">
            <w:pPr>
              <w:kinsoku w:val="0"/>
              <w:overflowPunct w:val="0"/>
              <w:spacing w:after="0" w:line="375" w:lineRule="exact"/>
              <w:textAlignment w:val="baseline"/>
              <w:rPr>
                <w:b/>
                <w:bCs/>
                <w:spacing w:val="-43"/>
              </w:rPr>
            </w:pPr>
          </w:p>
        </w:tc>
        <w:tc>
          <w:tcPr>
            <w:tcW w:w="0" w:type="auto"/>
            <w:tcBorders>
              <w:top w:val="nil"/>
              <w:left w:val="single" w:sz="7" w:space="0" w:color="auto"/>
              <w:bottom w:val="nil"/>
              <w:right w:val="single" w:sz="7" w:space="0" w:color="auto"/>
            </w:tcBorders>
            <w:vAlign w:val="center"/>
          </w:tcPr>
          <w:p w14:paraId="43E4F556" w14:textId="77777777" w:rsidR="00345AB7" w:rsidRDefault="00345AB7" w:rsidP="00345AB7">
            <w:pPr>
              <w:kinsoku w:val="0"/>
              <w:overflowPunct w:val="0"/>
              <w:spacing w:after="0" w:line="254" w:lineRule="exact"/>
              <w:jc w:val="center"/>
              <w:textAlignment w:val="baseline"/>
            </w:pPr>
            <w:r>
              <w:t>4</w:t>
            </w:r>
          </w:p>
        </w:tc>
        <w:tc>
          <w:tcPr>
            <w:tcW w:w="0" w:type="auto"/>
            <w:tcBorders>
              <w:top w:val="nil"/>
              <w:left w:val="single" w:sz="7" w:space="0" w:color="auto"/>
              <w:bottom w:val="nil"/>
              <w:right w:val="single" w:sz="7" w:space="0" w:color="auto"/>
            </w:tcBorders>
            <w:vAlign w:val="center"/>
          </w:tcPr>
          <w:p w14:paraId="41A4AC53" w14:textId="77777777" w:rsidR="00345AB7" w:rsidRDefault="00345AB7" w:rsidP="00345AB7">
            <w:pPr>
              <w:kinsoku w:val="0"/>
              <w:overflowPunct w:val="0"/>
              <w:spacing w:after="0" w:line="254" w:lineRule="exact"/>
              <w:ind w:left="67"/>
              <w:textAlignment w:val="baseline"/>
              <w:rPr>
                <w:spacing w:val="-9"/>
              </w:rPr>
            </w:pPr>
            <w:r>
              <w:rPr>
                <w:spacing w:val="-9"/>
              </w:rPr>
              <w:t>Interdiction des feux de brousse</w:t>
            </w:r>
          </w:p>
        </w:tc>
      </w:tr>
      <w:tr w:rsidR="00345AB7" w14:paraId="1F1169C6" w14:textId="77777777" w:rsidTr="00345AB7">
        <w:trPr>
          <w:trHeight w:hRule="exact" w:val="442"/>
        </w:trPr>
        <w:tc>
          <w:tcPr>
            <w:tcW w:w="0" w:type="auto"/>
            <w:tcBorders>
              <w:top w:val="nil"/>
              <w:left w:val="single" w:sz="7" w:space="0" w:color="auto"/>
              <w:bottom w:val="single" w:sz="7" w:space="0" w:color="auto"/>
              <w:right w:val="single" w:sz="7" w:space="0" w:color="auto"/>
            </w:tcBorders>
          </w:tcPr>
          <w:p w14:paraId="23FE4447" w14:textId="77777777" w:rsidR="00345AB7" w:rsidRDefault="00345AB7" w:rsidP="00345AB7">
            <w:pPr>
              <w:kinsoku w:val="0"/>
              <w:overflowPunct w:val="0"/>
              <w:spacing w:after="0"/>
              <w:textAlignment w:val="baseline"/>
              <w:rPr>
                <w:sz w:val="24"/>
                <w:szCs w:val="24"/>
              </w:rPr>
            </w:pPr>
          </w:p>
        </w:tc>
        <w:tc>
          <w:tcPr>
            <w:tcW w:w="0" w:type="auto"/>
            <w:tcBorders>
              <w:top w:val="nil"/>
              <w:left w:val="single" w:sz="7" w:space="0" w:color="auto"/>
              <w:bottom w:val="single" w:sz="7" w:space="0" w:color="auto"/>
              <w:right w:val="single" w:sz="7" w:space="0" w:color="auto"/>
            </w:tcBorders>
            <w:vAlign w:val="center"/>
          </w:tcPr>
          <w:p w14:paraId="6C8E19F4" w14:textId="77777777" w:rsidR="00345AB7" w:rsidRDefault="00345AB7" w:rsidP="00345AB7">
            <w:pPr>
              <w:kinsoku w:val="0"/>
              <w:overflowPunct w:val="0"/>
              <w:spacing w:after="0" w:line="254" w:lineRule="exact"/>
              <w:jc w:val="center"/>
              <w:textAlignment w:val="baseline"/>
            </w:pPr>
            <w:r>
              <w:t>5</w:t>
            </w:r>
          </w:p>
        </w:tc>
        <w:tc>
          <w:tcPr>
            <w:tcW w:w="0" w:type="auto"/>
            <w:tcBorders>
              <w:top w:val="nil"/>
              <w:left w:val="single" w:sz="7" w:space="0" w:color="auto"/>
              <w:bottom w:val="single" w:sz="7" w:space="0" w:color="auto"/>
              <w:right w:val="single" w:sz="7" w:space="0" w:color="auto"/>
            </w:tcBorders>
            <w:vAlign w:val="center"/>
          </w:tcPr>
          <w:p w14:paraId="22868E64" w14:textId="77777777" w:rsidR="00345AB7" w:rsidRDefault="00345AB7" w:rsidP="00345AB7">
            <w:pPr>
              <w:kinsoku w:val="0"/>
              <w:overflowPunct w:val="0"/>
              <w:spacing w:after="0" w:line="254" w:lineRule="exact"/>
              <w:ind w:left="67"/>
              <w:textAlignment w:val="baseline"/>
              <w:rPr>
                <w:spacing w:val="-9"/>
              </w:rPr>
            </w:pPr>
            <w:r>
              <w:rPr>
                <w:spacing w:val="-9"/>
              </w:rPr>
              <w:t>Mise en défens partiel ou accès subordonné à l’autorisation préalable</w:t>
            </w:r>
          </w:p>
        </w:tc>
      </w:tr>
      <w:tr w:rsidR="00345AB7" w14:paraId="4EDADEDE" w14:textId="77777777" w:rsidTr="00345AB7">
        <w:trPr>
          <w:trHeight w:hRule="exact" w:val="412"/>
        </w:trPr>
        <w:tc>
          <w:tcPr>
            <w:tcW w:w="0" w:type="auto"/>
            <w:tcBorders>
              <w:top w:val="single" w:sz="7" w:space="0" w:color="auto"/>
              <w:left w:val="single" w:sz="7" w:space="0" w:color="auto"/>
              <w:bottom w:val="single" w:sz="7" w:space="0" w:color="auto"/>
              <w:right w:val="single" w:sz="7" w:space="0" w:color="auto"/>
            </w:tcBorders>
          </w:tcPr>
          <w:p w14:paraId="7A13836E" w14:textId="77777777" w:rsidR="00345AB7" w:rsidRDefault="00345AB7" w:rsidP="00345AB7">
            <w:pPr>
              <w:kinsoku w:val="0"/>
              <w:overflowPunct w:val="0"/>
              <w:spacing w:after="0" w:line="267" w:lineRule="exact"/>
              <w:ind w:left="82"/>
              <w:textAlignment w:val="baseline"/>
              <w:rPr>
                <w:b/>
                <w:bCs/>
                <w:spacing w:val="-8"/>
              </w:rPr>
            </w:pPr>
            <w:r>
              <w:rPr>
                <w:b/>
                <w:bCs/>
                <w:spacing w:val="-8"/>
              </w:rPr>
              <w:t>Cures salées</w:t>
            </w:r>
          </w:p>
        </w:tc>
        <w:tc>
          <w:tcPr>
            <w:tcW w:w="0" w:type="auto"/>
            <w:tcBorders>
              <w:top w:val="single" w:sz="7" w:space="0" w:color="auto"/>
              <w:left w:val="single" w:sz="7" w:space="0" w:color="auto"/>
              <w:bottom w:val="single" w:sz="7" w:space="0" w:color="auto"/>
              <w:right w:val="single" w:sz="7" w:space="0" w:color="auto"/>
            </w:tcBorders>
            <w:vAlign w:val="center"/>
          </w:tcPr>
          <w:p w14:paraId="59A5FD22" w14:textId="77777777" w:rsidR="00345AB7" w:rsidRDefault="00345AB7" w:rsidP="00345AB7">
            <w:pPr>
              <w:kinsoku w:val="0"/>
              <w:overflowPunct w:val="0"/>
              <w:spacing w:after="0" w:line="254" w:lineRule="exact"/>
              <w:jc w:val="center"/>
              <w:textAlignment w:val="baseline"/>
              <w:rPr>
                <w:spacing w:val="-14"/>
              </w:rPr>
            </w:pPr>
            <w:r>
              <w:rPr>
                <w:spacing w:val="-14"/>
              </w:rPr>
              <w:t>12</w:t>
            </w:r>
          </w:p>
        </w:tc>
        <w:tc>
          <w:tcPr>
            <w:tcW w:w="0" w:type="auto"/>
            <w:tcBorders>
              <w:top w:val="single" w:sz="7" w:space="0" w:color="auto"/>
              <w:left w:val="single" w:sz="7" w:space="0" w:color="auto"/>
              <w:bottom w:val="single" w:sz="7" w:space="0" w:color="auto"/>
              <w:right w:val="single" w:sz="7" w:space="0" w:color="auto"/>
            </w:tcBorders>
            <w:vAlign w:val="center"/>
          </w:tcPr>
          <w:p w14:paraId="4FECEA07" w14:textId="77777777" w:rsidR="00345AB7" w:rsidRDefault="00345AB7" w:rsidP="00345AB7">
            <w:pPr>
              <w:kinsoku w:val="0"/>
              <w:overflowPunct w:val="0"/>
              <w:spacing w:after="0" w:line="254" w:lineRule="exact"/>
              <w:ind w:left="67"/>
              <w:textAlignment w:val="baseline"/>
              <w:rPr>
                <w:spacing w:val="-9"/>
              </w:rPr>
            </w:pPr>
            <w:r>
              <w:rPr>
                <w:spacing w:val="-9"/>
              </w:rPr>
              <w:t>Interdiction d'y rester après exploitation ou s’installer sur et en bordure</w:t>
            </w:r>
          </w:p>
        </w:tc>
      </w:tr>
      <w:tr w:rsidR="00345AB7" w14:paraId="38009CEB" w14:textId="77777777" w:rsidTr="00345AB7">
        <w:trPr>
          <w:trHeight w:hRule="exact" w:val="360"/>
        </w:trPr>
        <w:tc>
          <w:tcPr>
            <w:tcW w:w="0" w:type="auto"/>
            <w:tcBorders>
              <w:top w:val="single" w:sz="7" w:space="0" w:color="auto"/>
              <w:left w:val="single" w:sz="7" w:space="0" w:color="auto"/>
              <w:bottom w:val="single" w:sz="7" w:space="0" w:color="auto"/>
              <w:right w:val="single" w:sz="7" w:space="0" w:color="auto"/>
            </w:tcBorders>
          </w:tcPr>
          <w:p w14:paraId="3DA4B9B3" w14:textId="77777777" w:rsidR="00345AB7" w:rsidRDefault="00345AB7" w:rsidP="00345AB7">
            <w:pPr>
              <w:kinsoku w:val="0"/>
              <w:overflowPunct w:val="0"/>
              <w:spacing w:after="0" w:line="275" w:lineRule="exact"/>
              <w:ind w:left="72"/>
              <w:textAlignment w:val="baseline"/>
              <w:rPr>
                <w:b/>
                <w:bCs/>
              </w:rPr>
            </w:pPr>
            <w:r>
              <w:rPr>
                <w:b/>
                <w:bCs/>
              </w:rPr>
              <w:t>Faune et chasse</w:t>
            </w:r>
          </w:p>
        </w:tc>
        <w:tc>
          <w:tcPr>
            <w:tcW w:w="0" w:type="auto"/>
            <w:tcBorders>
              <w:top w:val="single" w:sz="7" w:space="0" w:color="auto"/>
              <w:left w:val="single" w:sz="7" w:space="0" w:color="auto"/>
              <w:bottom w:val="single" w:sz="7" w:space="0" w:color="auto"/>
              <w:right w:val="single" w:sz="7" w:space="0" w:color="auto"/>
            </w:tcBorders>
            <w:vAlign w:val="center"/>
          </w:tcPr>
          <w:p w14:paraId="7374D3B4" w14:textId="77777777" w:rsidR="00345AB7" w:rsidRDefault="00345AB7" w:rsidP="00345AB7">
            <w:pPr>
              <w:kinsoku w:val="0"/>
              <w:overflowPunct w:val="0"/>
              <w:spacing w:after="0" w:line="254" w:lineRule="exact"/>
              <w:jc w:val="center"/>
              <w:textAlignment w:val="baseline"/>
            </w:pPr>
            <w:r>
              <w:t>9</w:t>
            </w:r>
          </w:p>
        </w:tc>
        <w:tc>
          <w:tcPr>
            <w:tcW w:w="0" w:type="auto"/>
            <w:tcBorders>
              <w:top w:val="single" w:sz="7" w:space="0" w:color="auto"/>
              <w:left w:val="single" w:sz="7" w:space="0" w:color="auto"/>
              <w:bottom w:val="single" w:sz="7" w:space="0" w:color="auto"/>
              <w:right w:val="single" w:sz="7" w:space="0" w:color="auto"/>
            </w:tcBorders>
            <w:vAlign w:val="center"/>
          </w:tcPr>
          <w:p w14:paraId="63EA8BC3" w14:textId="77777777" w:rsidR="00345AB7" w:rsidRDefault="00345AB7" w:rsidP="00345AB7">
            <w:pPr>
              <w:kinsoku w:val="0"/>
              <w:overflowPunct w:val="0"/>
              <w:spacing w:after="0" w:line="254" w:lineRule="exact"/>
              <w:ind w:left="67"/>
              <w:textAlignment w:val="baseline"/>
              <w:rPr>
                <w:spacing w:val="-9"/>
              </w:rPr>
            </w:pPr>
            <w:r>
              <w:rPr>
                <w:spacing w:val="-9"/>
              </w:rPr>
              <w:t>Obligation d’avoir une autorisation préalable</w:t>
            </w:r>
          </w:p>
        </w:tc>
      </w:tr>
    </w:tbl>
    <w:p w14:paraId="7479811C" w14:textId="77777777" w:rsidR="002F63C8" w:rsidRDefault="002F63C8" w:rsidP="00906491">
      <w:pPr>
        <w:spacing w:after="0" w:line="240" w:lineRule="auto"/>
      </w:pPr>
    </w:p>
    <w:p w14:paraId="46A1B595" w14:textId="026E5FB7" w:rsidR="002F63C8" w:rsidRDefault="00DE0091" w:rsidP="00DE0091">
      <w:pPr>
        <w:spacing w:after="0" w:line="240" w:lineRule="auto"/>
        <w:jc w:val="both"/>
      </w:pPr>
      <w:r>
        <w:t xml:space="preserve">Source : </w:t>
      </w:r>
      <w:r w:rsidRPr="00DE0091">
        <w:rPr>
          <w:i/>
          <w:iCs/>
        </w:rPr>
        <w:t>Gestion concertée des ressources agropastorales: cas du Sahel Burkinabé</w:t>
      </w:r>
      <w:r>
        <w:t>, Boureima Drabo, Hermann Grell et Augustin Poda (Programme Sahel Burkinabé PSB / GTZ, BP 280 Dori, Burkina Faso) in « </w:t>
      </w:r>
      <w:r w:rsidRPr="00DE0091">
        <w:rPr>
          <w:i/>
          <w:iCs/>
        </w:rPr>
        <w:t>Elevage et gestion de parcours au Sahel, implications pour le développement</w:t>
      </w:r>
      <w:r>
        <w:t xml:space="preserve"> », E. Tielkes, E. Schlecht et P. Hiernaux (Verlag Ulrich E. Grauer Editeurs), 2001, </w:t>
      </w:r>
      <w:hyperlink r:id="rId3396" w:history="1">
        <w:r w:rsidRPr="00BE2ABF">
          <w:rPr>
            <w:rStyle w:val="Lienhypertexte"/>
          </w:rPr>
          <w:t>https://rmportal.net/framelib/gestion-concerte.pdf</w:t>
        </w:r>
      </w:hyperlink>
      <w:r>
        <w:t xml:space="preserve"> </w:t>
      </w:r>
    </w:p>
    <w:p w14:paraId="7A548D8F" w14:textId="77777777" w:rsidR="00A323A2" w:rsidRDefault="00A323A2" w:rsidP="00906491">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07"/>
        <w:gridCol w:w="594"/>
        <w:gridCol w:w="4915"/>
        <w:gridCol w:w="10"/>
      </w:tblGrid>
      <w:tr w:rsidR="00906491" w14:paraId="0FEAD6FD" w14:textId="77777777" w:rsidTr="00016B3A">
        <w:trPr>
          <w:gridAfter w:val="1"/>
          <w:wAfter w:w="10" w:type="dxa"/>
        </w:trPr>
        <w:tc>
          <w:tcPr>
            <w:tcW w:w="4675" w:type="dxa"/>
          </w:tcPr>
          <w:p w14:paraId="11D39BC4" w14:textId="77777777" w:rsidR="00906491" w:rsidRDefault="00906491" w:rsidP="00016B3A">
            <w:pPr>
              <w:jc w:val="center"/>
            </w:pPr>
            <w:r w:rsidRPr="001974CE">
              <w:rPr>
                <w:noProof/>
              </w:rPr>
              <w:drawing>
                <wp:inline distT="0" distB="0" distL="0" distR="0" wp14:anchorId="6040A372" wp14:editId="2ACB3743">
                  <wp:extent cx="2438400" cy="2729552"/>
                  <wp:effectExtent l="0" t="0" r="0" b="0"/>
                  <wp:docPr id="99341" name="Image 15" descr="Une image contenant texte, extérieur, herb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41" name="Image 15" descr="Une image contenant texte, extérieur, herbe&#10;&#10;Description générée automatiquement"/>
                          <pic:cNvPicPr>
                            <a:picLocks noChangeAspect="1"/>
                          </pic:cNvPicPr>
                        </pic:nvPicPr>
                        <pic:blipFill>
                          <a:blip r:embed="rId3397">
                            <a:extLst>
                              <a:ext uri="{28A0092B-C50C-407E-A947-70E740481C1C}">
                                <a14:useLocalDpi xmlns:a14="http://schemas.microsoft.com/office/drawing/2010/main" val="0"/>
                              </a:ext>
                            </a:extLst>
                          </a:blip>
                          <a:stretch>
                            <a:fillRect/>
                          </a:stretch>
                        </pic:blipFill>
                        <pic:spPr>
                          <a:xfrm>
                            <a:off x="0" y="0"/>
                            <a:ext cx="2451125" cy="2743797"/>
                          </a:xfrm>
                          <a:prstGeom prst="rect">
                            <a:avLst/>
                          </a:prstGeom>
                        </pic:spPr>
                      </pic:pic>
                    </a:graphicData>
                  </a:graphic>
                </wp:inline>
              </w:drawing>
            </w:r>
          </w:p>
          <w:p w14:paraId="76E63BD8" w14:textId="77777777" w:rsidR="00906491" w:rsidRDefault="00906491" w:rsidP="00016B3A">
            <w:pPr>
              <w:jc w:val="center"/>
            </w:pPr>
            <w:r w:rsidRPr="001974CE">
              <w:t>Avant/Après : terre aride récupérée par le contrôlé du pâturage des troupeaux</w:t>
            </w:r>
            <w:r>
              <w:rPr>
                <w:rStyle w:val="Appelnotedebasdep"/>
              </w:rPr>
              <w:footnoteReference w:id="223"/>
            </w:r>
            <w:r>
              <w:t>.</w:t>
            </w:r>
          </w:p>
          <w:p w14:paraId="7E0B62E0" w14:textId="6C7C4815" w:rsidR="00684824" w:rsidRDefault="00684824" w:rsidP="00016B3A">
            <w:pPr>
              <w:jc w:val="center"/>
            </w:pPr>
          </w:p>
        </w:tc>
        <w:tc>
          <w:tcPr>
            <w:tcW w:w="5741" w:type="dxa"/>
            <w:gridSpan w:val="2"/>
          </w:tcPr>
          <w:p w14:paraId="2C10BDF5" w14:textId="20B9DEF8" w:rsidR="001A78A3" w:rsidRPr="001A78A3" w:rsidRDefault="001A78A3" w:rsidP="00C90F72">
            <w:pPr>
              <w:pStyle w:val="Titre3"/>
            </w:pPr>
            <w:bookmarkStart w:id="282" w:name="_Toc139181573"/>
            <w:r w:rsidRPr="001A78A3">
              <w:t>L’avis d’une actrice humanitaire</w:t>
            </w:r>
            <w:bookmarkEnd w:id="282"/>
          </w:p>
          <w:p w14:paraId="4B4252EC" w14:textId="77777777" w:rsidR="001A78A3" w:rsidRDefault="001A78A3" w:rsidP="00016B3A">
            <w:pPr>
              <w:jc w:val="both"/>
            </w:pPr>
          </w:p>
          <w:p w14:paraId="15DD1FD1" w14:textId="284B51AD" w:rsidR="00906491" w:rsidRPr="007C49EC" w:rsidRDefault="00906491" w:rsidP="00016B3A">
            <w:pPr>
              <w:jc w:val="both"/>
              <w:rPr>
                <w:i/>
                <w:iCs/>
              </w:rPr>
            </w:pPr>
            <w:r>
              <w:t>Un avis de Claire Marie Madeleine Péhi-Verny, qui a vécu 15 ans au Burkina Fasso : « </w:t>
            </w:r>
            <w:r w:rsidRPr="007C49EC">
              <w:rPr>
                <w:i/>
                <w:iCs/>
              </w:rPr>
              <w:t>J’organiserai d’abord les paysans pour planter des haies d’herbes et arbustes</w:t>
            </w:r>
            <w:r>
              <w:rPr>
                <w:i/>
                <w:iCs/>
              </w:rPr>
              <w:t>,</w:t>
            </w:r>
            <w:r w:rsidRPr="007C49EC">
              <w:rPr>
                <w:i/>
                <w:iCs/>
              </w:rPr>
              <w:t xml:space="preserve"> appetées </w:t>
            </w:r>
            <w:r w:rsidR="001A78A3">
              <w:rPr>
                <w:i/>
                <w:iCs/>
              </w:rPr>
              <w:t xml:space="preserve">[appréciées] </w:t>
            </w:r>
            <w:r w:rsidRPr="007C49EC">
              <w:rPr>
                <w:i/>
                <w:iCs/>
              </w:rPr>
              <w:t>du bétail et</w:t>
            </w:r>
            <w:r>
              <w:rPr>
                <w:i/>
                <w:iCs/>
              </w:rPr>
              <w:t>,</w:t>
            </w:r>
            <w:r w:rsidRPr="007C49EC">
              <w:rPr>
                <w:i/>
                <w:iCs/>
              </w:rPr>
              <w:t xml:space="preserve"> l’année d’après</w:t>
            </w:r>
            <w:r>
              <w:rPr>
                <w:i/>
                <w:iCs/>
              </w:rPr>
              <w:t>,</w:t>
            </w:r>
            <w:r w:rsidRPr="007C49EC">
              <w:rPr>
                <w:i/>
                <w:iCs/>
              </w:rPr>
              <w:t xml:space="preserve"> on organiserait une rencontre paysans/ éleveurs avec un calendrier prévisionnel afin de ne pas laisser le bétail rentrer dans les champs avant la fin des récoltes. Pour la partie « prairie »,  elle est rare et ne subsiste que jusqu’à 2 ou 3 mois après la saison des pluies, ce qui correspond au temps des récoltes, donc ça devrait s’équilibrer. D’autre part il y a traditionnellement des accords éleveurs agriculteurs via les chefs traditionnels et maintenant les agents de l’agriculture et de l’élevage, c’est par eux qu’il faut passer.</w:t>
            </w:r>
          </w:p>
          <w:p w14:paraId="646311B2" w14:textId="77777777" w:rsidR="001A78A3" w:rsidRDefault="001A78A3" w:rsidP="00016B3A">
            <w:pPr>
              <w:jc w:val="both"/>
              <w:rPr>
                <w:i/>
                <w:iCs/>
              </w:rPr>
            </w:pPr>
          </w:p>
          <w:p w14:paraId="5F1A52E4" w14:textId="6C892526" w:rsidR="00906491" w:rsidRDefault="00906491" w:rsidP="00016B3A">
            <w:pPr>
              <w:jc w:val="both"/>
            </w:pPr>
            <w:r w:rsidRPr="007C49EC">
              <w:rPr>
                <w:i/>
                <w:iCs/>
              </w:rPr>
              <w:t>Autrefois les bergers « suivaient la pluie » du Mali et du Nord Burkina jusqu’au nord de la Côte d’Ivoire et amenaient ainsi une partie de leur bétail plus au sud</w:t>
            </w:r>
            <w:r>
              <w:t> ».</w:t>
            </w:r>
          </w:p>
        </w:tc>
      </w:tr>
      <w:tr w:rsidR="00A9286E" w14:paraId="05F3614A" w14:textId="77777777" w:rsidTr="00684824">
        <w:tc>
          <w:tcPr>
            <w:tcW w:w="5301" w:type="dxa"/>
            <w:gridSpan w:val="2"/>
          </w:tcPr>
          <w:p w14:paraId="6FD48F9E" w14:textId="77777777" w:rsidR="00A9286E" w:rsidRDefault="00602FCC" w:rsidP="00906491">
            <w:pPr>
              <w:jc w:val="center"/>
            </w:pPr>
            <w:r>
              <w:rPr>
                <w:noProof/>
              </w:rPr>
              <w:lastRenderedPageBreak/>
              <w:drawing>
                <wp:inline distT="0" distB="0" distL="0" distR="0" wp14:anchorId="7DDB7E34" wp14:editId="3C513B51">
                  <wp:extent cx="2943225" cy="1847850"/>
                  <wp:effectExtent l="0" t="0" r="9525" b="0"/>
                  <wp:docPr id="42004" name="Image 42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398">
                            <a:extLst>
                              <a:ext uri="{28A0092B-C50C-407E-A947-70E740481C1C}">
                                <a14:useLocalDpi xmlns:a14="http://schemas.microsoft.com/office/drawing/2010/main" val="0"/>
                              </a:ext>
                            </a:extLst>
                          </a:blip>
                          <a:srcRect/>
                          <a:stretch>
                            <a:fillRect/>
                          </a:stretch>
                        </pic:blipFill>
                        <pic:spPr bwMode="auto">
                          <a:xfrm>
                            <a:off x="0" y="0"/>
                            <a:ext cx="2943225" cy="1847850"/>
                          </a:xfrm>
                          <a:prstGeom prst="rect">
                            <a:avLst/>
                          </a:prstGeom>
                          <a:noFill/>
                          <a:ln>
                            <a:noFill/>
                          </a:ln>
                        </pic:spPr>
                      </pic:pic>
                    </a:graphicData>
                  </a:graphic>
                </wp:inline>
              </w:drawing>
            </w:r>
          </w:p>
          <w:p w14:paraId="7E70C172" w14:textId="77777777" w:rsidR="00602FCC" w:rsidRDefault="00602FCC" w:rsidP="00602FCC">
            <w:pPr>
              <w:jc w:val="center"/>
            </w:pPr>
            <w:r w:rsidRPr="00381792">
              <w:t>Chambre à air utilisée pour le transport de l’eau</w:t>
            </w:r>
            <w:r>
              <w:t xml:space="preserve">.  </w:t>
            </w:r>
          </w:p>
          <w:p w14:paraId="0D6C3B75" w14:textId="77777777" w:rsidR="00602FCC" w:rsidRDefault="00602FCC" w:rsidP="00602FCC">
            <w:pPr>
              <w:jc w:val="center"/>
            </w:pPr>
            <w:r w:rsidRPr="00E00105">
              <w:t>© I. Touré (2002)</w:t>
            </w:r>
            <w:r>
              <w:t>.</w:t>
            </w:r>
          </w:p>
          <w:p w14:paraId="089AB58E" w14:textId="56C2E230" w:rsidR="001A78A3" w:rsidRDefault="001A78A3" w:rsidP="00602FCC">
            <w:pPr>
              <w:jc w:val="center"/>
            </w:pPr>
          </w:p>
        </w:tc>
        <w:tc>
          <w:tcPr>
            <w:tcW w:w="5125" w:type="dxa"/>
            <w:gridSpan w:val="2"/>
          </w:tcPr>
          <w:p w14:paraId="36443E02" w14:textId="21C3509D" w:rsidR="00A9286E" w:rsidRDefault="00933ADE" w:rsidP="00906491">
            <w:pPr>
              <w:jc w:val="center"/>
            </w:pPr>
            <w:r>
              <w:t xml:space="preserve"> </w:t>
            </w:r>
            <w:r>
              <w:rPr>
                <w:noProof/>
              </w:rPr>
              <w:drawing>
                <wp:inline distT="0" distB="0" distL="0" distR="0" wp14:anchorId="0C00024A" wp14:editId="1529989F">
                  <wp:extent cx="2247900" cy="1609725"/>
                  <wp:effectExtent l="0" t="0" r="0" b="9525"/>
                  <wp:docPr id="42005" name="Image 42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399">
                            <a:extLst>
                              <a:ext uri="{28A0092B-C50C-407E-A947-70E740481C1C}">
                                <a14:useLocalDpi xmlns:a14="http://schemas.microsoft.com/office/drawing/2010/main" val="0"/>
                              </a:ext>
                            </a:extLst>
                          </a:blip>
                          <a:srcRect/>
                          <a:stretch>
                            <a:fillRect/>
                          </a:stretch>
                        </pic:blipFill>
                        <pic:spPr bwMode="auto">
                          <a:xfrm>
                            <a:off x="0" y="0"/>
                            <a:ext cx="2247900" cy="1609725"/>
                          </a:xfrm>
                          <a:prstGeom prst="rect">
                            <a:avLst/>
                          </a:prstGeom>
                          <a:noFill/>
                          <a:ln>
                            <a:noFill/>
                          </a:ln>
                        </pic:spPr>
                      </pic:pic>
                    </a:graphicData>
                  </a:graphic>
                </wp:inline>
              </w:drawing>
            </w:r>
          </w:p>
          <w:p w14:paraId="3233BD56" w14:textId="1A5F71DF" w:rsidR="00933ADE" w:rsidRDefault="00933ADE" w:rsidP="00933ADE">
            <w:pPr>
              <w:jc w:val="center"/>
            </w:pPr>
            <w:r>
              <w:t>C</w:t>
            </w:r>
            <w:r w:rsidRPr="00381792">
              <w:t>iterne utilisée pour le transport de l’eau</w:t>
            </w:r>
            <w:r>
              <w:t xml:space="preserve">. </w:t>
            </w:r>
            <w:r w:rsidRPr="00BF7A90">
              <w:t>© PAPF (2010)</w:t>
            </w:r>
            <w:r>
              <w:t>.</w:t>
            </w:r>
          </w:p>
        </w:tc>
      </w:tr>
      <w:tr w:rsidR="00933ADE" w14:paraId="5637AA50" w14:textId="77777777" w:rsidTr="00684824">
        <w:tc>
          <w:tcPr>
            <w:tcW w:w="5301" w:type="dxa"/>
            <w:gridSpan w:val="2"/>
          </w:tcPr>
          <w:p w14:paraId="060B6496" w14:textId="7FFBDF61" w:rsidR="00933ADE" w:rsidRDefault="00933ADE" w:rsidP="00906491">
            <w:pPr>
              <w:jc w:val="center"/>
              <w:rPr>
                <w:noProof/>
              </w:rPr>
            </w:pPr>
            <w:r>
              <w:rPr>
                <w:noProof/>
              </w:rPr>
              <w:drawing>
                <wp:inline distT="0" distB="0" distL="0" distR="0" wp14:anchorId="05C18870" wp14:editId="3BA9E67B">
                  <wp:extent cx="2724150" cy="2476500"/>
                  <wp:effectExtent l="0" t="0" r="0" b="0"/>
                  <wp:docPr id="42006" name="Image 4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00">
                            <a:extLst>
                              <a:ext uri="{28A0092B-C50C-407E-A947-70E740481C1C}">
                                <a14:useLocalDpi xmlns:a14="http://schemas.microsoft.com/office/drawing/2010/main" val="0"/>
                              </a:ext>
                            </a:extLst>
                          </a:blip>
                          <a:srcRect/>
                          <a:stretch>
                            <a:fillRect/>
                          </a:stretch>
                        </pic:blipFill>
                        <pic:spPr bwMode="auto">
                          <a:xfrm>
                            <a:off x="0" y="0"/>
                            <a:ext cx="2724150" cy="2476500"/>
                          </a:xfrm>
                          <a:prstGeom prst="rect">
                            <a:avLst/>
                          </a:prstGeom>
                          <a:noFill/>
                          <a:ln>
                            <a:noFill/>
                          </a:ln>
                        </pic:spPr>
                      </pic:pic>
                    </a:graphicData>
                  </a:graphic>
                </wp:inline>
              </w:drawing>
            </w:r>
          </w:p>
          <w:p w14:paraId="79D40B50" w14:textId="77777777" w:rsidR="00933ADE" w:rsidRDefault="00933ADE" w:rsidP="00933ADE">
            <w:pPr>
              <w:jc w:val="center"/>
            </w:pPr>
            <w:r w:rsidRPr="00B901BF">
              <w:t>Construction d’une mare dans la région de Ouaddai</w:t>
            </w:r>
            <w:r>
              <w:t xml:space="preserve"> </w:t>
            </w:r>
            <w:r w:rsidRPr="004F19B2">
              <w:t>© Projet Almy Bahaïm</w:t>
            </w:r>
            <w:r>
              <w:t xml:space="preserve"> (2008).</w:t>
            </w:r>
          </w:p>
          <w:p w14:paraId="614CDB84" w14:textId="606ABCA6" w:rsidR="001A78A3" w:rsidRPr="00933ADE" w:rsidRDefault="001A78A3" w:rsidP="00933ADE">
            <w:pPr>
              <w:jc w:val="center"/>
            </w:pPr>
          </w:p>
        </w:tc>
        <w:tc>
          <w:tcPr>
            <w:tcW w:w="5125" w:type="dxa"/>
            <w:gridSpan w:val="2"/>
          </w:tcPr>
          <w:p w14:paraId="08A407A0" w14:textId="32F809C8" w:rsidR="00933ADE" w:rsidRDefault="00933ADE" w:rsidP="00906491">
            <w:pPr>
              <w:jc w:val="center"/>
            </w:pPr>
            <w:r>
              <w:rPr>
                <w:noProof/>
              </w:rPr>
              <w:drawing>
                <wp:inline distT="0" distB="0" distL="0" distR="0" wp14:anchorId="007A0616" wp14:editId="5713F056">
                  <wp:extent cx="2724150" cy="2476500"/>
                  <wp:effectExtent l="0" t="0" r="0" b="0"/>
                  <wp:docPr id="42007" name="Image 4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401">
                            <a:extLst>
                              <a:ext uri="{28A0092B-C50C-407E-A947-70E740481C1C}">
                                <a14:useLocalDpi xmlns:a14="http://schemas.microsoft.com/office/drawing/2010/main" val="0"/>
                              </a:ext>
                            </a:extLst>
                          </a:blip>
                          <a:srcRect/>
                          <a:stretch>
                            <a:fillRect/>
                          </a:stretch>
                        </pic:blipFill>
                        <pic:spPr bwMode="auto">
                          <a:xfrm>
                            <a:off x="0" y="0"/>
                            <a:ext cx="2724150" cy="2476500"/>
                          </a:xfrm>
                          <a:prstGeom prst="rect">
                            <a:avLst/>
                          </a:prstGeom>
                          <a:noFill/>
                          <a:ln>
                            <a:noFill/>
                          </a:ln>
                        </pic:spPr>
                      </pic:pic>
                    </a:graphicData>
                  </a:graphic>
                </wp:inline>
              </w:drawing>
            </w:r>
          </w:p>
          <w:p w14:paraId="5C8E3297" w14:textId="3196B9A2" w:rsidR="00933ADE" w:rsidRDefault="00933ADE" w:rsidP="00933ADE">
            <w:pPr>
              <w:jc w:val="center"/>
            </w:pPr>
            <w:r w:rsidRPr="00E72743">
              <w:t>Un puits pastoral dans le nord du Batha © Projet Almy Bahaïm (2008)</w:t>
            </w:r>
            <w:r>
              <w:t>.</w:t>
            </w:r>
          </w:p>
        </w:tc>
      </w:tr>
      <w:tr w:rsidR="00933ADE" w14:paraId="6941F69C" w14:textId="77777777" w:rsidTr="00684824">
        <w:tc>
          <w:tcPr>
            <w:tcW w:w="5301" w:type="dxa"/>
            <w:gridSpan w:val="2"/>
          </w:tcPr>
          <w:p w14:paraId="07A8A0CE" w14:textId="78A86D52" w:rsidR="00933ADE" w:rsidRDefault="00933ADE" w:rsidP="00906491">
            <w:pPr>
              <w:jc w:val="center"/>
              <w:rPr>
                <w:noProof/>
              </w:rPr>
            </w:pPr>
            <w:r>
              <w:rPr>
                <w:noProof/>
              </w:rPr>
              <w:drawing>
                <wp:inline distT="0" distB="0" distL="0" distR="0" wp14:anchorId="091C6610" wp14:editId="28D46EB9">
                  <wp:extent cx="3314700" cy="2447925"/>
                  <wp:effectExtent l="0" t="0" r="0" b="9525"/>
                  <wp:docPr id="42008" name="Image 4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402">
                            <a:extLst>
                              <a:ext uri="{28A0092B-C50C-407E-A947-70E740481C1C}">
                                <a14:useLocalDpi xmlns:a14="http://schemas.microsoft.com/office/drawing/2010/main" val="0"/>
                              </a:ext>
                            </a:extLst>
                          </a:blip>
                          <a:srcRect/>
                          <a:stretch>
                            <a:fillRect/>
                          </a:stretch>
                        </pic:blipFill>
                        <pic:spPr bwMode="auto">
                          <a:xfrm>
                            <a:off x="0" y="0"/>
                            <a:ext cx="3314700" cy="2447925"/>
                          </a:xfrm>
                          <a:prstGeom prst="rect">
                            <a:avLst/>
                          </a:prstGeom>
                          <a:noFill/>
                          <a:ln>
                            <a:noFill/>
                          </a:ln>
                        </pic:spPr>
                      </pic:pic>
                    </a:graphicData>
                  </a:graphic>
                </wp:inline>
              </w:drawing>
            </w:r>
          </w:p>
          <w:p w14:paraId="59B842AB" w14:textId="7A9A3ABE" w:rsidR="00933ADE" w:rsidRPr="00933ADE" w:rsidRDefault="00933ADE" w:rsidP="00906491">
            <w:pPr>
              <w:jc w:val="center"/>
            </w:pPr>
            <w:r w:rsidRPr="0061754E">
              <w:t xml:space="preserve">Formation avec des éleveurs à Thiel </w:t>
            </w:r>
            <w:r>
              <w:t>(</w:t>
            </w:r>
            <w:r w:rsidRPr="0061754E">
              <w:t>2003</w:t>
            </w:r>
            <w:r>
              <w:t>)</w:t>
            </w:r>
            <w:r w:rsidRPr="0061754E">
              <w:t xml:space="preserve"> © I. Touré</w:t>
            </w:r>
            <w:r>
              <w:t>.</w:t>
            </w:r>
          </w:p>
        </w:tc>
        <w:tc>
          <w:tcPr>
            <w:tcW w:w="5125" w:type="dxa"/>
            <w:gridSpan w:val="2"/>
          </w:tcPr>
          <w:p w14:paraId="5ACE8877" w14:textId="77777777" w:rsidR="00933ADE" w:rsidRDefault="007D281A" w:rsidP="00906491">
            <w:pPr>
              <w:jc w:val="center"/>
              <w:rPr>
                <w:noProof/>
              </w:rPr>
            </w:pPr>
            <w:r>
              <w:rPr>
                <w:noProof/>
              </w:rPr>
              <w:drawing>
                <wp:inline distT="0" distB="0" distL="0" distR="0" wp14:anchorId="669871DF" wp14:editId="49D02253">
                  <wp:extent cx="2495550" cy="1876425"/>
                  <wp:effectExtent l="0" t="0" r="0" b="9525"/>
                  <wp:docPr id="42010" name="Image 4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403">
                            <a:extLst>
                              <a:ext uri="{28A0092B-C50C-407E-A947-70E740481C1C}">
                                <a14:useLocalDpi xmlns:a14="http://schemas.microsoft.com/office/drawing/2010/main" val="0"/>
                              </a:ext>
                            </a:extLst>
                          </a:blip>
                          <a:srcRect/>
                          <a:stretch>
                            <a:fillRect/>
                          </a:stretch>
                        </pic:blipFill>
                        <pic:spPr bwMode="auto">
                          <a:xfrm>
                            <a:off x="0" y="0"/>
                            <a:ext cx="2495550" cy="1876425"/>
                          </a:xfrm>
                          <a:prstGeom prst="rect">
                            <a:avLst/>
                          </a:prstGeom>
                          <a:noFill/>
                          <a:ln>
                            <a:noFill/>
                          </a:ln>
                        </pic:spPr>
                      </pic:pic>
                    </a:graphicData>
                  </a:graphic>
                </wp:inline>
              </w:drawing>
            </w:r>
          </w:p>
          <w:p w14:paraId="6FA4B87F" w14:textId="77777777" w:rsidR="007D281A" w:rsidRDefault="007D281A" w:rsidP="00906491">
            <w:pPr>
              <w:jc w:val="center"/>
              <w:rPr>
                <w:noProof/>
              </w:rPr>
            </w:pPr>
            <w:r>
              <w:rPr>
                <w:noProof/>
              </w:rPr>
              <w:t>Arbre coupé pour le bois de feu, au Sahel.</w:t>
            </w:r>
          </w:p>
          <w:p w14:paraId="0CE2862C" w14:textId="1B31453C" w:rsidR="007D281A" w:rsidRDefault="007D281A" w:rsidP="00906491">
            <w:pPr>
              <w:jc w:val="center"/>
              <w:rPr>
                <w:noProof/>
              </w:rPr>
            </w:pPr>
            <w:r>
              <w:rPr>
                <w:noProof/>
              </w:rPr>
              <w:t xml:space="preserve">© </w:t>
            </w:r>
            <w:r w:rsidRPr="007D281A">
              <w:rPr>
                <w:noProof/>
              </w:rPr>
              <w:t>Fousséni</w:t>
            </w:r>
            <w:r>
              <w:rPr>
                <w:noProof/>
              </w:rPr>
              <w:t xml:space="preserve"> Ouattara.</w:t>
            </w:r>
            <w:r w:rsidRPr="007D281A">
              <w:rPr>
                <w:noProof/>
              </w:rPr>
              <w:t xml:space="preserve"> </w:t>
            </w:r>
          </w:p>
        </w:tc>
      </w:tr>
      <w:tr w:rsidR="00B74153" w14:paraId="5C6871CD" w14:textId="77777777" w:rsidTr="00684824">
        <w:tc>
          <w:tcPr>
            <w:tcW w:w="5301" w:type="dxa"/>
            <w:gridSpan w:val="2"/>
          </w:tcPr>
          <w:p w14:paraId="5EAD3FD4" w14:textId="77777777" w:rsidR="00B74153" w:rsidRDefault="00B74153" w:rsidP="00906491">
            <w:pPr>
              <w:jc w:val="center"/>
              <w:rPr>
                <w:noProof/>
              </w:rPr>
            </w:pPr>
          </w:p>
        </w:tc>
        <w:tc>
          <w:tcPr>
            <w:tcW w:w="5125" w:type="dxa"/>
            <w:gridSpan w:val="2"/>
          </w:tcPr>
          <w:p w14:paraId="5732CD9E" w14:textId="77777777" w:rsidR="00B74153" w:rsidRDefault="00B74153" w:rsidP="00906491">
            <w:pPr>
              <w:jc w:val="center"/>
              <w:rPr>
                <w:noProof/>
              </w:rPr>
            </w:pPr>
            <w:r w:rsidRPr="00B74153">
              <w:rPr>
                <w:noProof/>
              </w:rPr>
              <w:drawing>
                <wp:inline distT="0" distB="0" distL="0" distR="0" wp14:anchorId="2825190F" wp14:editId="323F11E4">
                  <wp:extent cx="2319295" cy="1298805"/>
                  <wp:effectExtent l="0" t="0" r="5080" b="0"/>
                  <wp:docPr id="36885"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1"/>
                          <pic:cNvPicPr>
                            <a:picLocks noChangeAspect="1"/>
                          </pic:cNvPicPr>
                        </pic:nvPicPr>
                        <pic:blipFill>
                          <a:blip r:embed="rId3404">
                            <a:extLst>
                              <a:ext uri="{28A0092B-C50C-407E-A947-70E740481C1C}">
                                <a14:useLocalDpi xmlns:a14="http://schemas.microsoft.com/office/drawing/2010/main" val="0"/>
                              </a:ext>
                            </a:extLst>
                          </a:blip>
                          <a:stretch>
                            <a:fillRect/>
                          </a:stretch>
                        </pic:blipFill>
                        <pic:spPr>
                          <a:xfrm>
                            <a:off x="0" y="0"/>
                            <a:ext cx="2319295" cy="1298805"/>
                          </a:xfrm>
                          <a:prstGeom prst="rect">
                            <a:avLst/>
                          </a:prstGeom>
                        </pic:spPr>
                      </pic:pic>
                    </a:graphicData>
                  </a:graphic>
                </wp:inline>
              </w:drawing>
            </w:r>
          </w:p>
          <w:p w14:paraId="37769CC1" w14:textId="3F939EA4" w:rsidR="00B74153" w:rsidRDefault="00B74153" w:rsidP="00906491">
            <w:pPr>
              <w:jc w:val="center"/>
              <w:rPr>
                <w:noProof/>
              </w:rPr>
            </w:pPr>
            <w:r w:rsidRPr="00B74153">
              <w:rPr>
                <w:noProof/>
              </w:rPr>
              <w:t>Troupeau de chèvres région de Tataouine (Tunisie)</w:t>
            </w:r>
            <w:r>
              <w:rPr>
                <w:rStyle w:val="Appelnotedebasdep"/>
                <w:noProof/>
              </w:rPr>
              <w:footnoteReference w:id="224"/>
            </w:r>
            <w:r>
              <w:rPr>
                <w:noProof/>
              </w:rPr>
              <w:t>.</w:t>
            </w:r>
          </w:p>
        </w:tc>
      </w:tr>
    </w:tbl>
    <w:p w14:paraId="70E125AD" w14:textId="5F8ADE68" w:rsidR="00B901BF" w:rsidRDefault="00B901BF" w:rsidP="00B901BF">
      <w:pPr>
        <w:spacing w:after="0" w:line="240" w:lineRule="auto"/>
      </w:pPr>
    </w:p>
    <w:p w14:paraId="6D831E62" w14:textId="2EB2A176" w:rsidR="00C90F72" w:rsidRDefault="00C90F72" w:rsidP="00C90F72">
      <w:pPr>
        <w:pStyle w:val="Titre3"/>
      </w:pPr>
      <w:bookmarkStart w:id="283" w:name="_Toc139181574"/>
      <w:r w:rsidRPr="00C90F72">
        <w:t>L'élaboration d'un code foncier du Sahel selon Sall Alioune</w:t>
      </w:r>
      <w:bookmarkEnd w:id="283"/>
    </w:p>
    <w:p w14:paraId="15E8FE37" w14:textId="77777777" w:rsidR="00C90F72" w:rsidRDefault="00C90F72" w:rsidP="00B901BF">
      <w:pPr>
        <w:spacing w:after="0" w:line="240" w:lineRule="auto"/>
      </w:pPr>
    </w:p>
    <w:p w14:paraId="3A5C4A79" w14:textId="77777777" w:rsidR="00C90F72" w:rsidRPr="00C90F72" w:rsidRDefault="00C90F72" w:rsidP="00C90F72">
      <w:pPr>
        <w:spacing w:after="0" w:line="240" w:lineRule="auto"/>
        <w:jc w:val="both"/>
        <w:rPr>
          <w:i/>
          <w:iCs/>
        </w:rPr>
      </w:pPr>
      <w:r>
        <w:t>« </w:t>
      </w:r>
      <w:r w:rsidRPr="00D84BAF">
        <w:rPr>
          <w:b/>
          <w:bCs/>
          <w:i/>
          <w:iCs/>
        </w:rPr>
        <w:t>L'élaboration d'un code foncier du Sahel paraît être une étape nécessaire, indispensable même,</w:t>
      </w:r>
      <w:r w:rsidRPr="00C90F72">
        <w:rPr>
          <w:i/>
          <w:iCs/>
        </w:rPr>
        <w:t xml:space="preserve"> </w:t>
      </w:r>
      <w:r w:rsidRPr="00D84BAF">
        <w:rPr>
          <w:b/>
          <w:bCs/>
          <w:i/>
          <w:iCs/>
        </w:rPr>
        <w:t>car on peut craindre, si les tendances actuelles se poursuivent, que les zones marginalement utiles pour l'agriculture ne soient vite occupées au Sénégal par des agriculteurs sédentaires fuyant les sols déjà épuisés, comme c'est le cas dans le Djoloff maintenant</w:t>
      </w:r>
      <w:r w:rsidRPr="00C90F72">
        <w:rPr>
          <w:i/>
          <w:iCs/>
        </w:rPr>
        <w:t>.</w:t>
      </w:r>
    </w:p>
    <w:p w14:paraId="3B864EFF" w14:textId="477EF33D" w:rsidR="00C90F72" w:rsidRDefault="00C90F72" w:rsidP="00C90F72">
      <w:pPr>
        <w:spacing w:after="0" w:line="240" w:lineRule="auto"/>
        <w:jc w:val="both"/>
      </w:pPr>
      <w:r w:rsidRPr="00C90F72">
        <w:rPr>
          <w:i/>
          <w:iCs/>
        </w:rPr>
        <w:t>Ce code, en reconnaissant des droits d'usage sur les chemins de parcours, pourrait servir d'élément de base à l'élaboration d'un code pastoral qui serait le fait des populations et qui envisagerait aussi les moyens de faire exécuter les décisions prises dans le cadre de ce code pastoral</w:t>
      </w:r>
      <w:r>
        <w:t> »</w:t>
      </w:r>
      <w:r w:rsidR="00D84BAF">
        <w:rPr>
          <w:rStyle w:val="Appelnotedebasdep"/>
        </w:rPr>
        <w:footnoteReference w:id="225"/>
      </w:r>
      <w:r>
        <w:t>.</w:t>
      </w:r>
    </w:p>
    <w:p w14:paraId="4A8A4BEC" w14:textId="77777777" w:rsidR="00C90F72" w:rsidRDefault="00C90F72" w:rsidP="00B901BF">
      <w:pPr>
        <w:spacing w:after="0" w:line="240" w:lineRule="auto"/>
      </w:pPr>
    </w:p>
    <w:p w14:paraId="4DBD7546" w14:textId="67BC6014" w:rsidR="001A78A3" w:rsidRDefault="001A78A3" w:rsidP="001A78A3">
      <w:pPr>
        <w:pStyle w:val="Titre2"/>
      </w:pPr>
      <w:bookmarkStart w:id="284" w:name="_Toc139181575"/>
      <w:r>
        <w:t>Ressources bibliographiques</w:t>
      </w:r>
      <w:r w:rsidR="007321BF">
        <w:t xml:space="preserve"> pour ce chapitre</w:t>
      </w:r>
      <w:bookmarkEnd w:id="284"/>
    </w:p>
    <w:p w14:paraId="57BF4945" w14:textId="77777777" w:rsidR="001A78A3" w:rsidRDefault="001A78A3" w:rsidP="000F7DA2">
      <w:pPr>
        <w:spacing w:after="0" w:line="240" w:lineRule="auto"/>
        <w:jc w:val="both"/>
      </w:pPr>
    </w:p>
    <w:p w14:paraId="3C2331EA" w14:textId="7676FC64" w:rsidR="000F7DA2" w:rsidRDefault="000F7DA2" w:rsidP="000F7DA2">
      <w:pPr>
        <w:spacing w:after="0" w:line="240" w:lineRule="auto"/>
        <w:jc w:val="both"/>
      </w:pPr>
      <w:r>
        <w:t xml:space="preserve">a) </w:t>
      </w:r>
      <w:r w:rsidRPr="000F7DA2">
        <w:rPr>
          <w:i/>
          <w:iCs/>
        </w:rPr>
        <w:t>Mobilité pastorale et développement au Sahel</w:t>
      </w:r>
      <w:r w:rsidRPr="000F7DA2">
        <w:t>, Ibrahima Diop Gaye,</w:t>
      </w:r>
      <w:r>
        <w:t xml:space="preserve"> Editions</w:t>
      </w:r>
      <w:r w:rsidRPr="000F7DA2">
        <w:t xml:space="preserve"> </w:t>
      </w:r>
      <w:r>
        <w:t>L’</w:t>
      </w:r>
      <w:r w:rsidRPr="000F7DA2">
        <w:t>Harmattan, 2017.</w:t>
      </w:r>
    </w:p>
    <w:p w14:paraId="0E775B2C" w14:textId="77777777" w:rsidR="001A78A3" w:rsidRDefault="001A78A3" w:rsidP="000F7DA2">
      <w:pPr>
        <w:spacing w:after="0" w:line="240" w:lineRule="auto"/>
        <w:jc w:val="both"/>
      </w:pPr>
    </w:p>
    <w:p w14:paraId="2A3AE35A" w14:textId="38401BCD" w:rsidR="000F7DA2" w:rsidRDefault="000F7DA2" w:rsidP="000F7DA2">
      <w:pPr>
        <w:spacing w:after="0" w:line="240" w:lineRule="auto"/>
        <w:jc w:val="both"/>
      </w:pPr>
      <w:r>
        <w:t xml:space="preserve">b) </w:t>
      </w:r>
      <w:r w:rsidRPr="000F7DA2">
        <w:rPr>
          <w:i/>
          <w:iCs/>
        </w:rPr>
        <w:t>Pastoralisme, résilience et développement</w:t>
      </w:r>
      <w:r>
        <w:t>, Amadou Ndiaye, Ed. L'Harmattan, 2018.</w:t>
      </w:r>
    </w:p>
    <w:p w14:paraId="7F77F6B3" w14:textId="77777777" w:rsidR="001A78A3" w:rsidRDefault="001A78A3" w:rsidP="000F7DA2">
      <w:pPr>
        <w:spacing w:after="0" w:line="240" w:lineRule="auto"/>
        <w:jc w:val="both"/>
      </w:pPr>
    </w:p>
    <w:p w14:paraId="5A760D9F" w14:textId="13F15658" w:rsidR="000F7DA2" w:rsidRDefault="000F7DA2" w:rsidP="000F7DA2">
      <w:pPr>
        <w:spacing w:after="0" w:line="240" w:lineRule="auto"/>
        <w:jc w:val="both"/>
      </w:pPr>
      <w:r>
        <w:t>Amadou Ndiaye analyse les interactions entre, d’une part, les pratiques pastorales locales (appropriation des constellations, du climat, de l’hydrologie et de la végétation, art vétérinaire, coutumes foncières, habitat, sélection animale...) et d’autre part, les démarches (en régie, communautaires, participatives) et actions (forages, santé et production animales, classement forestier et reboisement, organisations d’éleveurs, jardins de femmes etc.) des projets de développement des années 1950 à nos jours.</w:t>
      </w:r>
    </w:p>
    <w:p w14:paraId="2C8A19A7" w14:textId="77777777" w:rsidR="001A78A3" w:rsidRDefault="001A78A3" w:rsidP="000F7DA2">
      <w:pPr>
        <w:spacing w:after="0" w:line="240" w:lineRule="auto"/>
        <w:jc w:val="both"/>
      </w:pPr>
    </w:p>
    <w:p w14:paraId="34270476" w14:textId="6E1CB64F" w:rsidR="006E6805" w:rsidRDefault="001A29E9" w:rsidP="006E6805">
      <w:pPr>
        <w:spacing w:after="0" w:line="240" w:lineRule="auto"/>
      </w:pPr>
      <w:r>
        <w:t xml:space="preserve">c) </w:t>
      </w:r>
      <w:r w:rsidR="006E6805" w:rsidRPr="001A29E9">
        <w:rPr>
          <w:i/>
          <w:iCs/>
        </w:rPr>
        <w:t>Impact environnemental de l'élevage</w:t>
      </w:r>
      <w:r w:rsidR="006E6805">
        <w:t xml:space="preserve">, </w:t>
      </w:r>
      <w:hyperlink r:id="rId3405" w:history="1">
        <w:r w:rsidRPr="00BE2ABF">
          <w:rPr>
            <w:rStyle w:val="Lienhypertexte"/>
          </w:rPr>
          <w:t>https://fr.wikipedia.org/wiki/Impact_environnemental_de_l%27%C3%A9levage</w:t>
        </w:r>
      </w:hyperlink>
      <w:r>
        <w:t xml:space="preserve"> </w:t>
      </w:r>
    </w:p>
    <w:p w14:paraId="731FC15C" w14:textId="7FAEA400" w:rsidR="006E6805" w:rsidRDefault="006E6805" w:rsidP="006E6805">
      <w:pPr>
        <w:spacing w:after="0" w:line="240" w:lineRule="auto"/>
      </w:pPr>
      <w:r w:rsidRPr="001A29E9">
        <w:rPr>
          <w:i/>
          <w:iCs/>
        </w:rPr>
        <w:t>Impact sur la biodiversité</w:t>
      </w:r>
      <w:r>
        <w:t xml:space="preserve">, </w:t>
      </w:r>
      <w:hyperlink r:id="rId3406" w:anchor="Impact_sur_la_biodiversit%C3%A9" w:history="1">
        <w:r w:rsidR="001A29E9" w:rsidRPr="00BE2ABF">
          <w:rPr>
            <w:rStyle w:val="Lienhypertexte"/>
          </w:rPr>
          <w:t>https://fr.wikipedia.org/wiki/Impact_environnemental_de_l%27%C3%A9levage#Impact_sur_la_biodiversit%C3%A9</w:t>
        </w:r>
      </w:hyperlink>
      <w:r w:rsidR="001A29E9">
        <w:t xml:space="preserve"> </w:t>
      </w:r>
    </w:p>
    <w:p w14:paraId="2A6CF4C1" w14:textId="77777777" w:rsidR="001A78A3" w:rsidRDefault="001A78A3" w:rsidP="001A29E9">
      <w:pPr>
        <w:spacing w:after="0" w:line="240" w:lineRule="auto"/>
        <w:jc w:val="both"/>
      </w:pPr>
    </w:p>
    <w:p w14:paraId="4CC9250D" w14:textId="4906F189" w:rsidR="001A29E9" w:rsidRDefault="001A29E9" w:rsidP="001A29E9">
      <w:pPr>
        <w:spacing w:after="0" w:line="240" w:lineRule="auto"/>
        <w:jc w:val="both"/>
      </w:pPr>
      <w:r>
        <w:t xml:space="preserve">d) Sall Alioune. </w:t>
      </w:r>
      <w:r w:rsidRPr="001A29E9">
        <w:rPr>
          <w:i/>
          <w:iCs/>
        </w:rPr>
        <w:t>Quel aménagement pastoral pour le Sahel ?</w:t>
      </w:r>
      <w:r>
        <w:t xml:space="preserve"> In </w:t>
      </w:r>
      <w:r w:rsidRPr="001A29E9">
        <w:rPr>
          <w:i/>
          <w:iCs/>
        </w:rPr>
        <w:t>Tiers-Monde</w:t>
      </w:r>
      <w:r>
        <w:t>, tome 19, n°73, 1978. Environnement et aménagement en Afrique (sous la direction de Jacques Bugnicourt) pp. 161-169;</w:t>
      </w:r>
    </w:p>
    <w:p w14:paraId="17053D8C" w14:textId="14DB3D5C" w:rsidR="000F7DA2" w:rsidRDefault="001A29E9" w:rsidP="001A29E9">
      <w:pPr>
        <w:spacing w:after="0" w:line="240" w:lineRule="auto"/>
      </w:pPr>
      <w:r>
        <w:t xml:space="preserve">doi : </w:t>
      </w:r>
      <w:hyperlink r:id="rId3407" w:history="1">
        <w:r w:rsidRPr="00BE2ABF">
          <w:rPr>
            <w:rStyle w:val="Lienhypertexte"/>
          </w:rPr>
          <w:t>https://doi.org/10.3406/tiers.1978.2785</w:t>
        </w:r>
      </w:hyperlink>
      <w:r>
        <w:t xml:space="preserve">,  </w:t>
      </w:r>
      <w:hyperlink r:id="rId3408" w:history="1">
        <w:r w:rsidRPr="00BE2ABF">
          <w:rPr>
            <w:rStyle w:val="Lienhypertexte"/>
          </w:rPr>
          <w:t>https://www.persee.fr/doc/tiers_0040-7356_1978_num_19_73_2785</w:t>
        </w:r>
      </w:hyperlink>
      <w:r>
        <w:t xml:space="preserve"> </w:t>
      </w:r>
    </w:p>
    <w:p w14:paraId="02D6BB6C" w14:textId="035A588D" w:rsidR="006E6805" w:rsidRDefault="006E6805" w:rsidP="000F7DA2">
      <w:pPr>
        <w:spacing w:after="0" w:line="240" w:lineRule="auto"/>
      </w:pPr>
    </w:p>
    <w:p w14:paraId="3C03CECC" w14:textId="79213D13" w:rsidR="00D06F2D" w:rsidRDefault="00D06F2D" w:rsidP="000F7DA2">
      <w:pPr>
        <w:spacing w:after="0" w:line="240" w:lineRule="auto"/>
      </w:pPr>
    </w:p>
    <w:p w14:paraId="0B31015C" w14:textId="77777777" w:rsidR="00D06F2D" w:rsidRPr="00906491" w:rsidRDefault="00D06F2D" w:rsidP="000F7DA2">
      <w:pPr>
        <w:spacing w:after="0" w:line="240" w:lineRule="auto"/>
      </w:pPr>
    </w:p>
    <w:p w14:paraId="1A432AED" w14:textId="7FDA0F8C" w:rsidR="00007A24" w:rsidRDefault="00007A24" w:rsidP="00007A24">
      <w:pPr>
        <w:pStyle w:val="Titre1"/>
      </w:pPr>
      <w:bookmarkStart w:id="285" w:name="_Toc139181576"/>
      <w:r w:rsidRPr="00007A24">
        <w:lastRenderedPageBreak/>
        <w:t xml:space="preserve">Prévenir les feux de forêt et de </w:t>
      </w:r>
      <w:r>
        <w:t>brousse incontrôlés</w:t>
      </w:r>
      <w:bookmarkEnd w:id="285"/>
    </w:p>
    <w:p w14:paraId="6B937780" w14:textId="2CC16333" w:rsidR="00007A24" w:rsidRDefault="00007A24" w:rsidP="0096728C">
      <w:pPr>
        <w:spacing w:after="0" w:line="240" w:lineRule="auto"/>
      </w:pPr>
    </w:p>
    <w:p w14:paraId="12075BEE" w14:textId="688DAB6A" w:rsidR="00831B4E" w:rsidRDefault="00831B4E" w:rsidP="00831B4E">
      <w:pPr>
        <w:pStyle w:val="Titre2"/>
      </w:pPr>
      <w:bookmarkStart w:id="286" w:name="_Toc139181577"/>
      <w:r>
        <w:t>Définitions</w:t>
      </w:r>
      <w:bookmarkEnd w:id="286"/>
    </w:p>
    <w:p w14:paraId="2816ABCD" w14:textId="3E83227F" w:rsidR="00831B4E" w:rsidRDefault="00831B4E" w:rsidP="0096728C">
      <w:pPr>
        <w:spacing w:after="0" w:line="240" w:lineRule="auto"/>
      </w:pPr>
    </w:p>
    <w:p w14:paraId="0C84DDBA" w14:textId="77777777" w:rsidR="005E5683" w:rsidRDefault="00A37E03" w:rsidP="008A37CF">
      <w:pPr>
        <w:spacing w:after="0" w:line="240" w:lineRule="auto"/>
        <w:jc w:val="both"/>
      </w:pPr>
      <w:r w:rsidRPr="00A37E03">
        <w:rPr>
          <w:b/>
          <w:bCs/>
          <w:i/>
          <w:iCs/>
        </w:rPr>
        <w:t>Brûlage dirigé</w:t>
      </w:r>
      <w:r w:rsidRPr="00A37E03">
        <w:rPr>
          <w:i/>
          <w:iCs/>
        </w:rPr>
        <w:t xml:space="preserve"> </w:t>
      </w:r>
      <w:r w:rsidRPr="00A37E03">
        <w:t xml:space="preserve">: Application rationnelle du feu à la végétation naturelle dans des conditions précises de terrain et de climat à des fins de gestion bien définies à l'avance. Voir </w:t>
      </w:r>
      <w:r w:rsidRPr="00A37E03">
        <w:rPr>
          <w:i/>
          <w:iCs/>
        </w:rPr>
        <w:t>feu de forêt, écobuage, pare-feu, coupe-feu</w:t>
      </w:r>
      <w:r w:rsidRPr="00A37E03">
        <w:t xml:space="preserve">. </w:t>
      </w:r>
    </w:p>
    <w:p w14:paraId="4D5D86ED" w14:textId="77777777" w:rsidR="005E5683" w:rsidRDefault="00A37E03" w:rsidP="008A37CF">
      <w:pPr>
        <w:spacing w:after="0" w:line="240" w:lineRule="auto"/>
        <w:jc w:val="both"/>
        <w:rPr>
          <w:i/>
          <w:iCs/>
        </w:rPr>
      </w:pPr>
      <w:r w:rsidRPr="00A37E03">
        <w:t xml:space="preserve">Synonyme de </w:t>
      </w:r>
      <w:r w:rsidRPr="00A37E03">
        <w:rPr>
          <w:i/>
          <w:iCs/>
        </w:rPr>
        <w:t>feu contrôlé</w:t>
      </w:r>
      <w:r w:rsidRPr="00A37E03">
        <w:t xml:space="preserve">. Source : </w:t>
      </w:r>
      <w:r w:rsidRPr="00A37E03">
        <w:rPr>
          <w:i/>
          <w:iCs/>
        </w:rPr>
        <w:t xml:space="preserve">Le feu, outil d'aménagement forestier: Le brûlage dirigé dans le sud des </w:t>
      </w:r>
    </w:p>
    <w:p w14:paraId="15E20BB8" w14:textId="603ADDD8" w:rsidR="00A37E03" w:rsidRDefault="00A37E03" w:rsidP="008A37CF">
      <w:pPr>
        <w:spacing w:after="0" w:line="240" w:lineRule="auto"/>
        <w:jc w:val="both"/>
      </w:pPr>
      <w:r w:rsidRPr="00A37E03">
        <w:rPr>
          <w:i/>
          <w:iCs/>
        </w:rPr>
        <w:t xml:space="preserve">Etats-Unis, </w:t>
      </w:r>
      <w:hyperlink r:id="rId3409" w:history="1">
        <w:r w:rsidRPr="00A37E03">
          <w:rPr>
            <w:rStyle w:val="Lienhypertexte"/>
            <w:i/>
            <w:iCs/>
          </w:rPr>
          <w:t>www.fao.org/docrep/t9500F/t9500f07.htm</w:t>
        </w:r>
      </w:hyperlink>
      <w:r w:rsidRPr="00A37E03">
        <w:rPr>
          <w:i/>
          <w:iCs/>
        </w:rPr>
        <w:t xml:space="preserve"> </w:t>
      </w:r>
    </w:p>
    <w:p w14:paraId="69E44F01" w14:textId="32C5BB6D" w:rsidR="006C3FEB" w:rsidRDefault="006C3FEB" w:rsidP="008A37CF">
      <w:pPr>
        <w:spacing w:after="0" w:line="240" w:lineRule="auto"/>
        <w:jc w:val="both"/>
      </w:pPr>
      <w:r w:rsidRPr="006C3FEB">
        <w:rPr>
          <w:b/>
          <w:bCs/>
          <w:i/>
          <w:iCs/>
        </w:rPr>
        <w:t xml:space="preserve">Contrefeu </w:t>
      </w:r>
      <w:r w:rsidRPr="006C3FEB">
        <w:t xml:space="preserve">ou </w:t>
      </w:r>
      <w:r w:rsidRPr="006C3FEB">
        <w:rPr>
          <w:b/>
          <w:bCs/>
          <w:i/>
          <w:iCs/>
        </w:rPr>
        <w:t>contre-feu</w:t>
      </w:r>
      <w:r w:rsidRPr="006C3FEB">
        <w:t xml:space="preserve"> : Feu qu'on allume pour </w:t>
      </w:r>
      <w:hyperlink r:id="rId3410" w:history="1">
        <w:r w:rsidRPr="006C3FEB">
          <w:rPr>
            <w:rStyle w:val="Lienhypertexte"/>
          </w:rPr>
          <w:t>circonscrire</w:t>
        </w:r>
      </w:hyperlink>
      <w:r w:rsidRPr="006C3FEB">
        <w:t xml:space="preserve"> un </w:t>
      </w:r>
      <w:hyperlink r:id="rId3411" w:history="1">
        <w:r w:rsidRPr="006C3FEB">
          <w:rPr>
            <w:rStyle w:val="Lienhypertexte"/>
          </w:rPr>
          <w:t>incendie</w:t>
        </w:r>
      </w:hyperlink>
      <w:r w:rsidRPr="006C3FEB">
        <w:t xml:space="preserve"> (voir </w:t>
      </w:r>
      <w:r w:rsidRPr="006C3FEB">
        <w:rPr>
          <w:i/>
          <w:iCs/>
        </w:rPr>
        <w:t>écobuage, feux de forêt, coupe-feu</w:t>
      </w:r>
      <w:r w:rsidRPr="006C3FEB">
        <w:t>).</w:t>
      </w:r>
    </w:p>
    <w:p w14:paraId="14CA3F48" w14:textId="77777777" w:rsidR="006412A9" w:rsidRDefault="008A37CF" w:rsidP="008A37CF">
      <w:pPr>
        <w:spacing w:after="0" w:line="240" w:lineRule="auto"/>
        <w:jc w:val="both"/>
      </w:pPr>
      <w:r w:rsidRPr="008A37CF">
        <w:rPr>
          <w:b/>
          <w:bCs/>
          <w:i/>
          <w:iCs/>
        </w:rPr>
        <w:t>Coupe-feux</w:t>
      </w:r>
      <w:r w:rsidRPr="008A37CF">
        <w:t xml:space="preserve"> : </w:t>
      </w:r>
      <w:hyperlink r:id="rId3412" w:history="1">
        <w:r w:rsidRPr="008A37CF">
          <w:rPr>
            <w:rStyle w:val="Lienhypertexte"/>
          </w:rPr>
          <w:t>coupe</w:t>
        </w:r>
      </w:hyperlink>
      <w:r w:rsidRPr="008A37CF">
        <w:t xml:space="preserve"> forestière linéaire, ou une infrastructure linéaire créée et/ou spécialement entretenue pour freiner l'extension rapide d'</w:t>
      </w:r>
      <w:hyperlink r:id="rId3413" w:history="1">
        <w:r w:rsidRPr="008A37CF">
          <w:rPr>
            <w:rStyle w:val="Lienhypertexte"/>
          </w:rPr>
          <w:t>incendies de forêt</w:t>
        </w:r>
      </w:hyperlink>
      <w:r w:rsidRPr="008A37CF">
        <w:t xml:space="preserve"> ou feux de brousse, plus ou moins efficacement </w:t>
      </w:r>
    </w:p>
    <w:p w14:paraId="0E4A3CA4" w14:textId="1BCCA45D" w:rsidR="008A37CF" w:rsidRPr="008A37CF" w:rsidRDefault="008A37CF" w:rsidP="008A37CF">
      <w:pPr>
        <w:spacing w:after="0" w:line="240" w:lineRule="auto"/>
        <w:jc w:val="both"/>
      </w:pPr>
      <w:r w:rsidRPr="008A37CF">
        <w:t xml:space="preserve">(voir aussi </w:t>
      </w:r>
      <w:r w:rsidRPr="008A37CF">
        <w:rPr>
          <w:i/>
          <w:iCs/>
        </w:rPr>
        <w:t>feux de forêt, écobuage</w:t>
      </w:r>
      <w:r w:rsidRPr="008A37CF">
        <w:t>).</w:t>
      </w:r>
    </w:p>
    <w:p w14:paraId="1C8BE7A3" w14:textId="77777777" w:rsidR="008A37CF" w:rsidRPr="008A37CF" w:rsidRDefault="008A37CF" w:rsidP="008A37CF">
      <w:pPr>
        <w:spacing w:after="0" w:line="240" w:lineRule="auto"/>
        <w:jc w:val="both"/>
      </w:pPr>
      <w:r w:rsidRPr="008A37CF">
        <w:rPr>
          <w:b/>
          <w:bCs/>
          <w:i/>
          <w:iCs/>
        </w:rPr>
        <w:t xml:space="preserve">Culture itinérante </w:t>
      </w:r>
      <w:r w:rsidRPr="008A37CF">
        <w:t xml:space="preserve">: a) Système agricole qui consiste à cultiver une parcelle pendant quelques années avant de l’abandonner pour une longue période de jachère. b) Méthode de culture consistant à déboiser un terrain forestier, à y mettre le feu pour libérer les éléments nutritifs, à le cultiver pendant quelques années jusqu'à ce que les sols soient épuisés et à l'abandonner. Voir </w:t>
      </w:r>
      <w:r w:rsidRPr="008A37CF">
        <w:rPr>
          <w:i/>
          <w:iCs/>
        </w:rPr>
        <w:t>Culture sur brûlis, Ladang</w:t>
      </w:r>
      <w:r w:rsidRPr="008A37CF">
        <w:t>.</w:t>
      </w:r>
    </w:p>
    <w:p w14:paraId="47CF3216" w14:textId="56FBE8A9" w:rsidR="008A37CF" w:rsidRDefault="008A37CF" w:rsidP="008A37CF">
      <w:pPr>
        <w:spacing w:after="0" w:line="240" w:lineRule="auto"/>
        <w:jc w:val="both"/>
      </w:pPr>
      <w:r w:rsidRPr="008A37CF">
        <w:rPr>
          <w:b/>
          <w:bCs/>
          <w:i/>
          <w:iCs/>
        </w:rPr>
        <w:t xml:space="preserve">Culture sur brûlis </w:t>
      </w:r>
      <w:r w:rsidRPr="008A37CF">
        <w:t xml:space="preserve">: a) Technique consistant à brûler les herbes et les broussailles, voire les arbres, sur une étendu de terrain pour en améliorer la fertilité du sol (technique agricole non durable). b) Système agricole qui consiste à essarter et brûler une surface de forêt avant la mise en culture (voir aussi </w:t>
      </w:r>
      <w:r w:rsidRPr="008A37CF">
        <w:rPr>
          <w:i/>
          <w:iCs/>
        </w:rPr>
        <w:t>écobuage</w:t>
      </w:r>
      <w:r w:rsidRPr="008A37CF">
        <w:t>).</w:t>
      </w:r>
    </w:p>
    <w:p w14:paraId="7D4E4718" w14:textId="64B4EA77" w:rsidR="00831B4E" w:rsidRDefault="00831B4E" w:rsidP="00831B4E">
      <w:pPr>
        <w:spacing w:after="0" w:line="240" w:lineRule="auto"/>
        <w:jc w:val="both"/>
      </w:pPr>
      <w:r w:rsidRPr="00831B4E">
        <w:rPr>
          <w:b/>
          <w:bCs/>
          <w:i/>
          <w:iCs/>
        </w:rPr>
        <w:t>Écobuage</w:t>
      </w:r>
      <w:r w:rsidRPr="00831B4E">
        <w:t xml:space="preserve"> : a) L'</w:t>
      </w:r>
      <w:r w:rsidRPr="00831B4E">
        <w:rPr>
          <w:b/>
          <w:bCs/>
        </w:rPr>
        <w:t>écobuage</w:t>
      </w:r>
      <w:r w:rsidRPr="00831B4E">
        <w:t xml:space="preserve">, ou </w:t>
      </w:r>
      <w:r w:rsidRPr="00831B4E">
        <w:rPr>
          <w:b/>
          <w:bCs/>
        </w:rPr>
        <w:t>débroussaillement</w:t>
      </w:r>
      <w:r w:rsidRPr="00831B4E">
        <w:t xml:space="preserve"> par le </w:t>
      </w:r>
      <w:hyperlink r:id="rId3414" w:history="1">
        <w:r w:rsidRPr="00831B4E">
          <w:rPr>
            <w:rStyle w:val="Lienhypertexte"/>
          </w:rPr>
          <w:t>feu</w:t>
        </w:r>
      </w:hyperlink>
      <w:r w:rsidRPr="00831B4E">
        <w:t>, est une pratique agricole ancestrale pratiquée dans le monde entier. Originellement, le terme désigne le travail d'arrachage de la végétation et de la couche superficielle de l'</w:t>
      </w:r>
      <w:hyperlink r:id="rId3415" w:history="1">
        <w:r w:rsidRPr="00831B4E">
          <w:rPr>
            <w:rStyle w:val="Lienhypertexte"/>
          </w:rPr>
          <w:t>humus</w:t>
        </w:r>
      </w:hyperlink>
      <w:r w:rsidRPr="00831B4E">
        <w:t xml:space="preserve"> au moyen d'une "écobue", outil proche de la </w:t>
      </w:r>
      <w:hyperlink r:id="rId3416" w:history="1">
        <w:r w:rsidRPr="00831B4E">
          <w:rPr>
            <w:rStyle w:val="Lienhypertexte"/>
          </w:rPr>
          <w:t>houe</w:t>
        </w:r>
      </w:hyperlink>
      <w:r w:rsidRPr="00831B4E">
        <w:t>, l'incinération en petits tas de ces éléments puis l'</w:t>
      </w:r>
      <w:hyperlink r:id="rId3417" w:history="1">
        <w:r w:rsidRPr="00831B4E">
          <w:rPr>
            <w:rStyle w:val="Lienhypertexte"/>
          </w:rPr>
          <w:t>épandage</w:t>
        </w:r>
      </w:hyperlink>
      <w:r w:rsidRPr="00831B4E">
        <w:t xml:space="preserve"> des </w:t>
      </w:r>
      <w:hyperlink r:id="rId3418" w:history="1">
        <w:r w:rsidRPr="00831B4E">
          <w:rPr>
            <w:rStyle w:val="Lienhypertexte"/>
          </w:rPr>
          <w:t>cendres</w:t>
        </w:r>
      </w:hyperlink>
      <w:r w:rsidRPr="00831B4E">
        <w:t xml:space="preserve"> sur les terrains afin de les enrichir en éléments nutritifs. Cette pratique coûteuse en main d'œuvre, a progressivement disparu au profit de la technique qui consiste à brûler directement les végétaux sur pied et qui a cependant conservé l'appellation "</w:t>
      </w:r>
      <w:r w:rsidRPr="00695BF5">
        <w:rPr>
          <w:i/>
          <w:iCs/>
        </w:rPr>
        <w:t>d'écobuage</w:t>
      </w:r>
      <w:r w:rsidRPr="00831B4E">
        <w:t>".</w:t>
      </w:r>
    </w:p>
    <w:p w14:paraId="6B637467" w14:textId="77777777" w:rsidR="00A37E03" w:rsidRPr="00A37E03" w:rsidRDefault="00A37E03" w:rsidP="00A37E03">
      <w:pPr>
        <w:spacing w:after="0" w:line="240" w:lineRule="auto"/>
        <w:jc w:val="both"/>
      </w:pPr>
      <w:r w:rsidRPr="00A37E03">
        <w:rPr>
          <w:b/>
          <w:bCs/>
          <w:i/>
          <w:iCs/>
        </w:rPr>
        <w:t xml:space="preserve">Feu contrôlé </w:t>
      </w:r>
      <w:r w:rsidRPr="00A37E03">
        <w:t xml:space="preserve">: voir </w:t>
      </w:r>
      <w:r w:rsidRPr="00A37E03">
        <w:rPr>
          <w:i/>
          <w:iCs/>
        </w:rPr>
        <w:t>brûlage dirigé</w:t>
      </w:r>
      <w:r w:rsidRPr="00A37E03">
        <w:t xml:space="preserve">, </w:t>
      </w:r>
      <w:r w:rsidRPr="00A37E03">
        <w:rPr>
          <w:i/>
          <w:iCs/>
        </w:rPr>
        <w:t>feu de forêt, écobuage, pare-feu, coupe-feu.</w:t>
      </w:r>
    </w:p>
    <w:p w14:paraId="61757B7E" w14:textId="0F52D93C" w:rsidR="00A37E03" w:rsidRDefault="00000000" w:rsidP="00A37E03">
      <w:pPr>
        <w:spacing w:after="0" w:line="240" w:lineRule="auto"/>
        <w:jc w:val="both"/>
      </w:pPr>
      <w:hyperlink r:id="rId3419" w:history="1">
        <w:r w:rsidR="00A37E03" w:rsidRPr="00A37E03">
          <w:rPr>
            <w:rStyle w:val="Lienhypertexte"/>
            <w:b/>
            <w:bCs/>
            <w:i/>
            <w:iCs/>
          </w:rPr>
          <w:t>Feu de forêt</w:t>
        </w:r>
      </w:hyperlink>
      <w:r w:rsidR="00A37E03" w:rsidRPr="00A37E03">
        <w:t xml:space="preserve"> : Incendie qui touche un massif boisé. Voir </w:t>
      </w:r>
      <w:r w:rsidR="00A37E03" w:rsidRPr="00A37E03">
        <w:rPr>
          <w:i/>
          <w:iCs/>
        </w:rPr>
        <w:t>pare-feu</w:t>
      </w:r>
      <w:r w:rsidR="00A37E03" w:rsidRPr="00A37E03">
        <w:t xml:space="preserve">, </w:t>
      </w:r>
      <w:r w:rsidR="00A37E03" w:rsidRPr="00A37E03">
        <w:rPr>
          <w:i/>
          <w:iCs/>
        </w:rPr>
        <w:t>coupe-feu, écobuage</w:t>
      </w:r>
      <w:r w:rsidR="00A37E03" w:rsidRPr="00A37E03">
        <w:t>.</w:t>
      </w:r>
    </w:p>
    <w:p w14:paraId="786495B4" w14:textId="7B867EC1" w:rsidR="00695BF5" w:rsidRDefault="00695BF5" w:rsidP="00A37E03">
      <w:pPr>
        <w:spacing w:after="0" w:line="240" w:lineRule="auto"/>
        <w:jc w:val="both"/>
      </w:pPr>
      <w:r w:rsidRPr="00695BF5">
        <w:rPr>
          <w:b/>
          <w:bCs/>
          <w:i/>
          <w:iCs/>
        </w:rPr>
        <w:t>Ladang</w:t>
      </w:r>
      <w:r w:rsidRPr="00695BF5">
        <w:t xml:space="preserve"> : Mode de culture sur brûlis qui ne tue pas les grands arbres, épargnés pour leur ombrage. Seul le petit bois et la strate herbacée sont brûlés. On plante alors au plantoir les graines de plantes annuelles dans la cendre tiède. Le ladang dure deux ans, après quoi il faut changer d'endroit. Voir </w:t>
      </w:r>
      <w:r w:rsidRPr="00695BF5">
        <w:rPr>
          <w:i/>
          <w:iCs/>
        </w:rPr>
        <w:t>culture sur brûlis</w:t>
      </w:r>
      <w:r w:rsidRPr="00695BF5">
        <w:t>.</w:t>
      </w:r>
    </w:p>
    <w:p w14:paraId="5F0705DA" w14:textId="77777777" w:rsidR="00592F11" w:rsidRPr="00592F11" w:rsidRDefault="00592F11" w:rsidP="00592F11">
      <w:pPr>
        <w:spacing w:after="0" w:line="240" w:lineRule="auto"/>
        <w:jc w:val="both"/>
      </w:pPr>
      <w:r w:rsidRPr="00592F11">
        <w:rPr>
          <w:b/>
          <w:bCs/>
          <w:i/>
          <w:iCs/>
        </w:rPr>
        <w:t>Pare-feu</w:t>
      </w:r>
      <w:r w:rsidRPr="00592F11">
        <w:t xml:space="preserve"> : Le but des </w:t>
      </w:r>
      <w:hyperlink r:id="rId3420" w:history="1">
        <w:r w:rsidRPr="00592F11">
          <w:rPr>
            <w:rStyle w:val="Lienhypertexte"/>
          </w:rPr>
          <w:t>pare-feu</w:t>
        </w:r>
      </w:hyperlink>
      <w:r w:rsidRPr="00592F11">
        <w:t xml:space="preserve"> est de créer une discontinuité dans le peuplement forestier afin de stopper ou ralentir la progression d'un feu. Ils doivent être installés perpendiculairement aux vents dominants pour ne pas au contraire devenir des couloirs de propagation du feu. </w:t>
      </w:r>
      <w:r w:rsidRPr="00592F11">
        <w:rPr>
          <w:i/>
          <w:iCs/>
        </w:rPr>
        <w:t>Un pare-feu mal conçu ou mal entretenu risque aussi d'être un facteur d'érosion, voire de fragmentation écopaysagère et de propagation du feu</w:t>
      </w:r>
      <w:r w:rsidRPr="00592F11">
        <w:t xml:space="preserve">. Ceux qui sont enherbés et entretenus par des herbivores (moutons en général) semblent les plus efficaces. Ils jouent généralement aussi un rôle de </w:t>
      </w:r>
      <w:hyperlink r:id="rId3421" w:history="1">
        <w:r w:rsidRPr="00592F11">
          <w:rPr>
            <w:rStyle w:val="Lienhypertexte"/>
          </w:rPr>
          <w:t>cloisonnement</w:t>
        </w:r>
      </w:hyperlink>
      <w:r w:rsidRPr="00592F11">
        <w:t xml:space="preserve">. Voir </w:t>
      </w:r>
      <w:r w:rsidRPr="00592F11">
        <w:rPr>
          <w:i/>
          <w:iCs/>
        </w:rPr>
        <w:t>feu de forêt, incendie de forêt, écobuage</w:t>
      </w:r>
      <w:r w:rsidRPr="00592F11">
        <w:t xml:space="preserve"> (synonyme </w:t>
      </w:r>
      <w:r w:rsidRPr="00592F11">
        <w:rPr>
          <w:i/>
          <w:iCs/>
        </w:rPr>
        <w:t>coupe-feu</w:t>
      </w:r>
      <w:r w:rsidRPr="00592F11">
        <w:t>).</w:t>
      </w:r>
    </w:p>
    <w:p w14:paraId="0B5D9548" w14:textId="77777777" w:rsidR="00831B4E" w:rsidRDefault="00831B4E" w:rsidP="0096728C">
      <w:pPr>
        <w:spacing w:after="0" w:line="240" w:lineRule="auto"/>
      </w:pPr>
    </w:p>
    <w:p w14:paraId="4833758B" w14:textId="190051F6" w:rsidR="00007A24" w:rsidRDefault="000C082E" w:rsidP="000C082E">
      <w:pPr>
        <w:pStyle w:val="Titre2"/>
      </w:pPr>
      <w:bookmarkStart w:id="287" w:name="_Toc139181578"/>
      <w:r w:rsidRPr="000C082E">
        <w:t>Les feux de brousse</w:t>
      </w:r>
      <w:bookmarkEnd w:id="287"/>
    </w:p>
    <w:p w14:paraId="174A4703" w14:textId="5859037B" w:rsidR="000C082E" w:rsidRDefault="000C082E" w:rsidP="0096728C">
      <w:pPr>
        <w:spacing w:after="0" w:line="240" w:lineRule="auto"/>
      </w:pPr>
    </w:p>
    <w:p w14:paraId="69E77925" w14:textId="218BA150" w:rsidR="000C082E" w:rsidRDefault="000C082E" w:rsidP="000C082E">
      <w:pPr>
        <w:spacing w:after="0" w:line="240" w:lineRule="auto"/>
        <w:jc w:val="both"/>
      </w:pPr>
      <w:r>
        <w:t>« </w:t>
      </w:r>
      <w:r w:rsidRPr="000C082E">
        <w:rPr>
          <w:i/>
          <w:iCs/>
        </w:rPr>
        <w:t>Selon les zones agro-écologiques et les saisons, ils sont considérés soit comme un fléau, soit comme un outil de gestion agricole (défrichement agricole, écobuage, élimination des ennemis des cultures par brûlis des résidus de récoltes) soit un moyen de gestion des ressources naturelles (stimulation de la régénération de l’herbe, protection des habitations, voire même une pratique culturelle). Le feu peut aussi survenir par négligence, en raison de conditions climatiques favorables, ou de manière criminelle. Malgré les avantages évoqués, les feux de brousse ne sont pas sans effets négatifs sur les ressources naturelles : baisse de la biodiversité, perte de la matière organique et d’azote, épuisement de la réserve de fourrage utile, dégradation des sols, baisse de la productivité des cultures et des pâturages</w:t>
      </w:r>
      <w:r>
        <w:t> ».</w:t>
      </w:r>
    </w:p>
    <w:p w14:paraId="4961B824" w14:textId="77777777" w:rsidR="004E0569" w:rsidRDefault="004E0569" w:rsidP="000C082E">
      <w:pPr>
        <w:spacing w:after="0" w:line="240" w:lineRule="auto"/>
        <w:jc w:val="both"/>
      </w:pPr>
    </w:p>
    <w:p w14:paraId="04B82FA4" w14:textId="26215785" w:rsidR="00076D1C" w:rsidRDefault="00076D1C" w:rsidP="000C082E">
      <w:pPr>
        <w:spacing w:after="0" w:line="240" w:lineRule="auto"/>
        <w:jc w:val="both"/>
      </w:pPr>
      <w:r>
        <w:t>La plupart de ces feux de brousses sont volontaires et liées aux pratiques agricoles (culture itinérante sur brûlis).</w:t>
      </w:r>
    </w:p>
    <w:p w14:paraId="7E2EB3B2" w14:textId="77777777" w:rsidR="0079212E" w:rsidRDefault="0079212E" w:rsidP="0079212E">
      <w:pPr>
        <w:spacing w:after="0" w:line="240" w:lineRule="auto"/>
        <w:jc w:val="both"/>
      </w:pPr>
    </w:p>
    <w:p w14:paraId="0ECC2B6D" w14:textId="3F4F1393" w:rsidR="0079212E" w:rsidRPr="0079212E" w:rsidRDefault="0079212E" w:rsidP="0079212E">
      <w:pPr>
        <w:spacing w:after="0" w:line="240" w:lineRule="auto"/>
        <w:jc w:val="both"/>
      </w:pPr>
      <w:r>
        <w:t>A Madagascar, l</w:t>
      </w:r>
      <w:r w:rsidRPr="0079212E">
        <w:t>a culture sur brûlis ne demande pas d’effort ou d’éducation (la moitié des Malgaches étant analphabètes)</w:t>
      </w:r>
      <w:r>
        <w:t>. Car</w:t>
      </w:r>
      <w:r w:rsidRPr="0079212E">
        <w:t xml:space="preserve"> dès qu’une parcelle est épuisée, il suffit de brûler celle d’à côté </w:t>
      </w:r>
      <w:r>
        <w:t>et</w:t>
      </w:r>
      <w:r w:rsidRPr="0079212E">
        <w:t xml:space="preserve"> l’île est vaste _, contrairement aux techniques alternatives, plus complexes, même pour les plus simples comme le semis-direct. </w:t>
      </w:r>
    </w:p>
    <w:p w14:paraId="30C404FA" w14:textId="6AFFA8A2" w:rsidR="004E0569" w:rsidRDefault="004E0569" w:rsidP="000C082E">
      <w:pPr>
        <w:spacing w:after="0" w:line="240" w:lineRule="auto"/>
        <w:jc w:val="both"/>
      </w:pPr>
    </w:p>
    <w:p w14:paraId="73E93875" w14:textId="77777777" w:rsidR="0079212E" w:rsidRDefault="004E0569" w:rsidP="004E0569">
      <w:pPr>
        <w:spacing w:after="0" w:line="240" w:lineRule="auto"/>
        <w:jc w:val="both"/>
      </w:pPr>
      <w:r>
        <w:t>A Madagascar,</w:t>
      </w:r>
      <w:r w:rsidR="0079212E">
        <w:t xml:space="preserve"> les</w:t>
      </w:r>
      <w:r>
        <w:t xml:space="preserve"> raisons des </w:t>
      </w:r>
      <w:r w:rsidRPr="004E0569">
        <w:t>feux de savanes</w:t>
      </w:r>
      <w:r>
        <w:t xml:space="preserve"> ou de brousses</w:t>
      </w:r>
      <w:r w:rsidRPr="004E0569">
        <w:t xml:space="preserve"> (qui se propagent aux forêts), en fin de saison sèche,</w:t>
      </w:r>
      <w:r w:rsidR="0079212E">
        <w:t xml:space="preserve"> sont :</w:t>
      </w:r>
      <w:r w:rsidRPr="004E0569">
        <w:t xml:space="preserve"> </w:t>
      </w:r>
    </w:p>
    <w:p w14:paraId="68D78386" w14:textId="77777777" w:rsidR="00755321" w:rsidRDefault="00755321" w:rsidP="004E0569">
      <w:pPr>
        <w:spacing w:after="0" w:line="240" w:lineRule="auto"/>
        <w:jc w:val="both"/>
      </w:pPr>
    </w:p>
    <w:p w14:paraId="6000AEDD" w14:textId="579ACDD7" w:rsidR="0079212E" w:rsidRDefault="004E0569" w:rsidP="004E0569">
      <w:pPr>
        <w:spacing w:after="0" w:line="240" w:lineRule="auto"/>
        <w:jc w:val="both"/>
      </w:pPr>
      <w:r w:rsidRPr="004E0569">
        <w:t>a) avoir de jeune</w:t>
      </w:r>
      <w:r w:rsidR="0079212E">
        <w:t xml:space="preserve">s et </w:t>
      </w:r>
      <w:r w:rsidR="0079212E" w:rsidRPr="004E0569">
        <w:t>tendres</w:t>
      </w:r>
      <w:r w:rsidRPr="004E0569">
        <w:t xml:space="preserve"> pousses d’herbes vertes</w:t>
      </w:r>
      <w:r w:rsidR="0079212E">
        <w:t>,</w:t>
      </w:r>
      <w:r w:rsidRPr="004E0569">
        <w:t xml:space="preserve"> plus appréciée</w:t>
      </w:r>
      <w:r w:rsidR="0079212E">
        <w:t>s</w:t>
      </w:r>
      <w:r w:rsidRPr="004E0569">
        <w:t xml:space="preserve"> par les zébus que l’herbe sèche, </w:t>
      </w:r>
    </w:p>
    <w:p w14:paraId="2755F6A2" w14:textId="4F04FAAF" w:rsidR="004E0569" w:rsidRPr="004E0569" w:rsidRDefault="004E0569" w:rsidP="004E0569">
      <w:pPr>
        <w:spacing w:after="0" w:line="240" w:lineRule="auto"/>
        <w:jc w:val="both"/>
      </w:pPr>
      <w:r w:rsidRPr="004E0569">
        <w:t xml:space="preserve">b) tuer les tiques (tapak’ahitsy) du zébu (vecteur d’une bactérie mortelle, la </w:t>
      </w:r>
      <w:r w:rsidRPr="004E0569">
        <w:rPr>
          <w:i/>
          <w:iCs/>
        </w:rPr>
        <w:t>cowdriose</w:t>
      </w:r>
      <w:r w:rsidRPr="004E0569">
        <w:t>) car pas de solution alternative proposée ou enseignée par le gouvernement (il existe bien des solutions biologiques</w:t>
      </w:r>
      <w:r w:rsidR="008E6CCE">
        <w:rPr>
          <w:rStyle w:val="Appelnotedebasdep"/>
        </w:rPr>
        <w:footnoteReference w:id="226"/>
      </w:r>
      <w:r w:rsidRPr="004E0569">
        <w:t xml:space="preserve"> et médicamenteuses _ </w:t>
      </w:r>
      <w:r w:rsidRPr="004E0569">
        <w:rPr>
          <w:i/>
          <w:iCs/>
        </w:rPr>
        <w:t>antibiotiques telles que tétracyclines notamment l'oxytétracycline injectable</w:t>
      </w:r>
      <w:r w:rsidRPr="004E0569">
        <w:t xml:space="preserve"> _, mais</w:t>
      </w:r>
      <w:r w:rsidR="0079212E">
        <w:t xml:space="preserve"> il n’y a</w:t>
      </w:r>
      <w:r w:rsidRPr="004E0569">
        <w:t xml:space="preserve"> pas d’argent</w:t>
      </w:r>
      <w:r w:rsidR="0079212E">
        <w:t xml:space="preserve"> pour cela</w:t>
      </w:r>
      <w:r w:rsidRPr="004E0569">
        <w:t xml:space="preserve">. </w:t>
      </w:r>
      <w:r w:rsidR="0079212E">
        <w:t>A contrario</w:t>
      </w:r>
      <w:r w:rsidRPr="004E0569">
        <w:t>, il n’existe pas de vaccin. Quan</w:t>
      </w:r>
      <w:r>
        <w:t>t</w:t>
      </w:r>
      <w:r w:rsidRPr="004E0569">
        <w:t xml:space="preserve"> à la solution de prairies cultivées avec pesticides, elle demande de l’argent, plus de travail, est moins écologique et demande un certain niveau d’éducation ...).</w:t>
      </w:r>
    </w:p>
    <w:p w14:paraId="15EF1F67" w14:textId="5A761296" w:rsidR="00007A24" w:rsidRDefault="00007A24" w:rsidP="0096728C">
      <w:pPr>
        <w:spacing w:after="0" w:line="240" w:lineRule="auto"/>
      </w:pPr>
    </w:p>
    <w:p w14:paraId="7EB3DE8D" w14:textId="613F5A9B" w:rsidR="000C082E" w:rsidRPr="00D55263" w:rsidRDefault="000C082E" w:rsidP="000C082E">
      <w:pPr>
        <w:spacing w:after="0" w:line="240" w:lineRule="auto"/>
        <w:jc w:val="center"/>
        <w:rPr>
          <w:rFonts w:ascii="Calibri" w:hAnsi="Calibri" w:cs="Calibri"/>
        </w:rPr>
      </w:pPr>
      <w:r w:rsidRPr="00D55263">
        <w:rPr>
          <w:rFonts w:ascii="Calibri" w:hAnsi="Calibri" w:cs="Calibri"/>
          <w:noProof/>
        </w:rPr>
        <w:drawing>
          <wp:inline distT="0" distB="0" distL="0" distR="0" wp14:anchorId="6610E660" wp14:editId="22D50577">
            <wp:extent cx="6620510" cy="3230880"/>
            <wp:effectExtent l="0" t="0" r="8890" b="7620"/>
            <wp:docPr id="104456" name="Image 104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22">
                      <a:extLst>
                        <a:ext uri="{28A0092B-C50C-407E-A947-70E740481C1C}">
                          <a14:useLocalDpi xmlns:a14="http://schemas.microsoft.com/office/drawing/2010/main" val="0"/>
                        </a:ext>
                      </a:extLst>
                    </a:blip>
                    <a:srcRect/>
                    <a:stretch>
                      <a:fillRect/>
                    </a:stretch>
                  </pic:blipFill>
                  <pic:spPr bwMode="auto">
                    <a:xfrm>
                      <a:off x="0" y="0"/>
                      <a:ext cx="6620510" cy="3230880"/>
                    </a:xfrm>
                    <a:prstGeom prst="rect">
                      <a:avLst/>
                    </a:prstGeom>
                    <a:noFill/>
                    <a:ln>
                      <a:noFill/>
                    </a:ln>
                  </pic:spPr>
                </pic:pic>
              </a:graphicData>
            </a:graphic>
          </wp:inline>
        </w:drawing>
      </w:r>
    </w:p>
    <w:p w14:paraId="5683C4DF" w14:textId="47D1F068" w:rsidR="000C082E" w:rsidRPr="00D55263" w:rsidRDefault="000C082E" w:rsidP="000C082E">
      <w:pPr>
        <w:spacing w:after="0" w:line="240" w:lineRule="auto"/>
        <w:jc w:val="center"/>
        <w:rPr>
          <w:rFonts w:ascii="Calibri" w:hAnsi="Calibri" w:cs="Calibri"/>
          <w:i/>
          <w:iCs/>
        </w:rPr>
      </w:pPr>
      <w:r w:rsidRPr="00D55263">
        <w:rPr>
          <w:rFonts w:ascii="Calibri" w:hAnsi="Calibri" w:cs="Calibri"/>
          <w:i/>
          <w:iCs/>
        </w:rPr>
        <w:t>Densité moyenne des feux de brousse entre 2001 et 2010.</w:t>
      </w:r>
    </w:p>
    <w:p w14:paraId="5C00AF0E" w14:textId="60935250" w:rsidR="002976FB" w:rsidRPr="00D55263" w:rsidRDefault="002976FB" w:rsidP="000C082E">
      <w:pPr>
        <w:spacing w:after="0" w:line="240" w:lineRule="auto"/>
        <w:jc w:val="center"/>
        <w:rPr>
          <w:rFonts w:ascii="Calibri" w:hAnsi="Calibri" w:cs="Calibri"/>
          <w:i/>
          <w:iCs/>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D55263" w14:paraId="5C76383B" w14:textId="77777777" w:rsidTr="0068283C">
        <w:tc>
          <w:tcPr>
            <w:tcW w:w="5208" w:type="dxa"/>
          </w:tcPr>
          <w:p w14:paraId="051F7F13" w14:textId="2318832F" w:rsidR="00D55263" w:rsidRDefault="00D55263" w:rsidP="000C082E">
            <w:pPr>
              <w:jc w:val="center"/>
              <w:rPr>
                <w:rFonts w:ascii="Calibri" w:hAnsi="Calibri" w:cs="Calibri"/>
              </w:rPr>
            </w:pPr>
            <w:r>
              <w:rPr>
                <w:rFonts w:ascii="Calibri" w:hAnsi="Calibri" w:cs="Calibri"/>
              </w:rPr>
              <w:t xml:space="preserve"> </w:t>
            </w:r>
            <w:r>
              <w:rPr>
                <w:noProof/>
              </w:rPr>
              <w:drawing>
                <wp:inline distT="0" distB="0" distL="0" distR="0" wp14:anchorId="7E3B21AE" wp14:editId="497D8A2A">
                  <wp:extent cx="2305050" cy="1714500"/>
                  <wp:effectExtent l="0" t="0" r="0" b="0"/>
                  <wp:docPr id="41985" name="Image 41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423">
                            <a:extLst>
                              <a:ext uri="{28A0092B-C50C-407E-A947-70E740481C1C}">
                                <a14:useLocalDpi xmlns:a14="http://schemas.microsoft.com/office/drawing/2010/main" val="0"/>
                              </a:ext>
                            </a:extLst>
                          </a:blip>
                          <a:srcRect/>
                          <a:stretch>
                            <a:fillRect/>
                          </a:stretch>
                        </pic:blipFill>
                        <pic:spPr bwMode="auto">
                          <a:xfrm>
                            <a:off x="0" y="0"/>
                            <a:ext cx="2305050" cy="1714500"/>
                          </a:xfrm>
                          <a:prstGeom prst="rect">
                            <a:avLst/>
                          </a:prstGeom>
                          <a:noFill/>
                          <a:ln>
                            <a:noFill/>
                          </a:ln>
                        </pic:spPr>
                      </pic:pic>
                    </a:graphicData>
                  </a:graphic>
                </wp:inline>
              </w:drawing>
            </w:r>
          </w:p>
          <w:p w14:paraId="283B7991" w14:textId="4412C46A" w:rsidR="00D55263" w:rsidRDefault="00D55263" w:rsidP="00D55263">
            <w:pPr>
              <w:jc w:val="center"/>
              <w:rPr>
                <w:rFonts w:ascii="Calibri" w:hAnsi="Calibri" w:cs="Calibri"/>
              </w:rPr>
            </w:pPr>
            <w:r w:rsidRPr="00D55263">
              <w:rPr>
                <w:rFonts w:ascii="Calibri" w:hAnsi="Calibri" w:cs="Calibri"/>
              </w:rPr>
              <w:t>Exemple de feux de brousse au Mali © FAO (2010).</w:t>
            </w:r>
          </w:p>
        </w:tc>
        <w:tc>
          <w:tcPr>
            <w:tcW w:w="5208" w:type="dxa"/>
          </w:tcPr>
          <w:p w14:paraId="1E35B199" w14:textId="77777777" w:rsidR="00D55263" w:rsidRDefault="00D55263" w:rsidP="000C082E">
            <w:pPr>
              <w:jc w:val="center"/>
              <w:rPr>
                <w:rFonts w:ascii="Calibri" w:hAnsi="Calibri" w:cs="Calibri"/>
              </w:rPr>
            </w:pPr>
            <w:r w:rsidRPr="00777E2D">
              <w:rPr>
                <w:noProof/>
              </w:rPr>
              <w:drawing>
                <wp:inline distT="0" distB="0" distL="0" distR="0" wp14:anchorId="5F22EA64" wp14:editId="5986DF6F">
                  <wp:extent cx="2152650" cy="1436687"/>
                  <wp:effectExtent l="0" t="0" r="0" b="0"/>
                  <wp:docPr id="71686" name="Picture 21" descr="MADAGASCAR__32372s_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86" name="Picture 21" descr="MADAGASCAR__32372s_s"/>
                          <pic:cNvPicPr>
                            <a:picLocks noChangeAspect="1" noChangeArrowheads="1"/>
                          </pic:cNvPicPr>
                        </pic:nvPicPr>
                        <pic:blipFill>
                          <a:blip r:embed="rId3424" cstate="print">
                            <a:extLst>
                              <a:ext uri="{28A0092B-C50C-407E-A947-70E740481C1C}">
                                <a14:useLocalDpi xmlns:a14="http://schemas.microsoft.com/office/drawing/2010/main" val="0"/>
                              </a:ext>
                            </a:extLst>
                          </a:blip>
                          <a:srcRect/>
                          <a:stretch>
                            <a:fillRect/>
                          </a:stretch>
                        </pic:blipFill>
                        <pic:spPr bwMode="auto">
                          <a:xfrm>
                            <a:off x="0" y="0"/>
                            <a:ext cx="2152650" cy="14366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CB37AAF" w14:textId="3825B37A" w:rsidR="00D55263" w:rsidRPr="00D55263" w:rsidRDefault="00D55263" w:rsidP="00D55263">
            <w:pPr>
              <w:jc w:val="center"/>
            </w:pPr>
            <w:r w:rsidRPr="00A4131F">
              <w:t>Culture sur brûlis</w:t>
            </w:r>
            <w:r>
              <w:t xml:space="preserve"> à Madagascar (Tavy) © B. Lisan.</w:t>
            </w:r>
          </w:p>
        </w:tc>
      </w:tr>
      <w:tr w:rsidR="00D55263" w14:paraId="6D551C66" w14:textId="77777777" w:rsidTr="0068283C">
        <w:tc>
          <w:tcPr>
            <w:tcW w:w="5208" w:type="dxa"/>
          </w:tcPr>
          <w:p w14:paraId="60E46C53" w14:textId="1E6DCEE1" w:rsidR="00D55263" w:rsidRDefault="00D55263" w:rsidP="00D55263">
            <w:pPr>
              <w:jc w:val="center"/>
            </w:pPr>
            <w:r>
              <w:rPr>
                <w:noProof/>
              </w:rPr>
              <w:lastRenderedPageBreak/>
              <w:drawing>
                <wp:inline distT="0" distB="0" distL="0" distR="0" wp14:anchorId="5F835638" wp14:editId="1AAA9DA0">
                  <wp:extent cx="2514600" cy="1771650"/>
                  <wp:effectExtent l="0" t="0" r="0" b="0"/>
                  <wp:docPr id="41986" name="Image 41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425">
                            <a:extLst>
                              <a:ext uri="{28A0092B-C50C-407E-A947-70E740481C1C}">
                                <a14:useLocalDpi xmlns:a14="http://schemas.microsoft.com/office/drawing/2010/main" val="0"/>
                              </a:ext>
                            </a:extLst>
                          </a:blip>
                          <a:srcRect/>
                          <a:stretch>
                            <a:fillRect/>
                          </a:stretch>
                        </pic:blipFill>
                        <pic:spPr bwMode="auto">
                          <a:xfrm>
                            <a:off x="0" y="0"/>
                            <a:ext cx="2514600" cy="1771650"/>
                          </a:xfrm>
                          <a:prstGeom prst="rect">
                            <a:avLst/>
                          </a:prstGeom>
                          <a:noFill/>
                          <a:ln>
                            <a:noFill/>
                          </a:ln>
                        </pic:spPr>
                      </pic:pic>
                    </a:graphicData>
                  </a:graphic>
                </wp:inline>
              </w:drawing>
            </w:r>
          </w:p>
          <w:p w14:paraId="3E58132A" w14:textId="7E33FAC6" w:rsidR="00D55263" w:rsidRPr="00D55263" w:rsidRDefault="00D55263" w:rsidP="00D55263">
            <w:pPr>
              <w:jc w:val="center"/>
            </w:pPr>
            <w:r w:rsidRPr="00B51615">
              <w:t>Création de pare</w:t>
            </w:r>
            <w:r>
              <w:t>s</w:t>
            </w:r>
            <w:r w:rsidRPr="00B51615">
              <w:t>-feux au Sénégal</w:t>
            </w:r>
            <w:r>
              <w:t xml:space="preserve"> </w:t>
            </w:r>
            <w:r w:rsidRPr="00D55263">
              <w:t>© PAPF (2004)</w:t>
            </w:r>
            <w:r>
              <w:t>.</w:t>
            </w:r>
          </w:p>
        </w:tc>
        <w:tc>
          <w:tcPr>
            <w:tcW w:w="5208" w:type="dxa"/>
          </w:tcPr>
          <w:p w14:paraId="53E40308" w14:textId="77777777" w:rsidR="00D55263" w:rsidRDefault="00D55263" w:rsidP="000C082E">
            <w:pPr>
              <w:jc w:val="center"/>
              <w:rPr>
                <w:rFonts w:ascii="Calibri" w:hAnsi="Calibri" w:cs="Calibri"/>
              </w:rPr>
            </w:pPr>
          </w:p>
        </w:tc>
      </w:tr>
    </w:tbl>
    <w:p w14:paraId="45EF1782" w14:textId="0065AB46" w:rsidR="00A24983" w:rsidRDefault="00A24983" w:rsidP="00D55263">
      <w:pPr>
        <w:spacing w:after="0" w:line="240" w:lineRule="auto"/>
      </w:pPr>
    </w:p>
    <w:p w14:paraId="57685620" w14:textId="02DBE09F" w:rsidR="00A24983" w:rsidRDefault="00A24983" w:rsidP="00A24983">
      <w:pPr>
        <w:spacing w:after="0" w:line="240" w:lineRule="auto"/>
        <w:jc w:val="both"/>
      </w:pPr>
      <w:r>
        <w:t xml:space="preserve">Sources : </w:t>
      </w:r>
      <w:r w:rsidRPr="00A24983">
        <w:t>"</w:t>
      </w:r>
      <w:r w:rsidRPr="00A24983">
        <w:rPr>
          <w:i/>
          <w:iCs/>
        </w:rPr>
        <w:t>Suivi des feux de brousse au Sahel</w:t>
      </w:r>
      <w:r w:rsidRPr="00A24983">
        <w:t>", I. Garba, I. Touré, A. Ickowicz, JD. Cesaro, B. Toutain, in "</w:t>
      </w:r>
      <w:r w:rsidRPr="00A24983">
        <w:rPr>
          <w:i/>
          <w:iCs/>
        </w:rPr>
        <w:t>Atlas des évolutions des systèmes pastoraux au Sahel 1970-2012</w:t>
      </w:r>
      <w:r w:rsidRPr="00A24983">
        <w:t xml:space="preserve">", CIRAD, FAO, SILSS, </w:t>
      </w:r>
      <w:hyperlink r:id="rId3426" w:history="1">
        <w:r w:rsidRPr="00BE2ABF">
          <w:rPr>
            <w:rStyle w:val="Lienhypertexte"/>
          </w:rPr>
          <w:t>http://www.fao.org/3/i2601f/i2601f.pdf</w:t>
        </w:r>
      </w:hyperlink>
      <w:r>
        <w:t xml:space="preserve"> </w:t>
      </w:r>
    </w:p>
    <w:p w14:paraId="011FE297" w14:textId="77777777" w:rsidR="00F762EF" w:rsidRDefault="00F762EF" w:rsidP="0096728C">
      <w:pPr>
        <w:spacing w:after="0" w:line="240" w:lineRule="auto"/>
      </w:pPr>
    </w:p>
    <w:p w14:paraId="355BFB21" w14:textId="7558410D" w:rsidR="00506C32" w:rsidRDefault="00506C32" w:rsidP="00506C32">
      <w:pPr>
        <w:pStyle w:val="Titre2"/>
      </w:pPr>
      <w:bookmarkStart w:id="288" w:name="_Toc139181579"/>
      <w:r>
        <w:t>Les feux de forêts</w:t>
      </w:r>
      <w:bookmarkEnd w:id="288"/>
    </w:p>
    <w:p w14:paraId="4AD2DCA9" w14:textId="22860FCA" w:rsidR="00B51615" w:rsidRDefault="00B51615" w:rsidP="0096728C">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506C32" w14:paraId="465EF3B1" w14:textId="77777777" w:rsidTr="00506C32">
        <w:tc>
          <w:tcPr>
            <w:tcW w:w="5208" w:type="dxa"/>
          </w:tcPr>
          <w:p w14:paraId="5DEE9712" w14:textId="77777777" w:rsidR="00506C32" w:rsidRDefault="00506C32" w:rsidP="00506C32">
            <w:pPr>
              <w:jc w:val="center"/>
            </w:pPr>
            <w:r w:rsidRPr="00506C32">
              <w:rPr>
                <w:noProof/>
              </w:rPr>
              <w:drawing>
                <wp:inline distT="0" distB="0" distL="0" distR="0" wp14:anchorId="27C07548" wp14:editId="1D6008AD">
                  <wp:extent cx="2019300" cy="1485900"/>
                  <wp:effectExtent l="0" t="0" r="0" b="0"/>
                  <wp:docPr id="99351" name="Picture 8" descr="TavyTsiribihinaSep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5" name="Picture 8" descr="TavyTsiribihinaSep2009"/>
                          <pic:cNvPicPr>
                            <a:picLocks noChangeAspect="1" noChangeArrowheads="1"/>
                          </pic:cNvPicPr>
                        </pic:nvPicPr>
                        <pic:blipFill>
                          <a:blip r:embed="rId3427" cstate="print">
                            <a:extLst>
                              <a:ext uri="{28A0092B-C50C-407E-A947-70E740481C1C}">
                                <a14:useLocalDpi xmlns:a14="http://schemas.microsoft.com/office/drawing/2010/main" val="0"/>
                              </a:ext>
                            </a:extLst>
                          </a:blip>
                          <a:srcRect/>
                          <a:stretch>
                            <a:fillRect/>
                          </a:stretch>
                        </pic:blipFill>
                        <pic:spPr bwMode="auto">
                          <a:xfrm>
                            <a:off x="0" y="0"/>
                            <a:ext cx="2019300" cy="148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EFBBF10" w14:textId="63F345A8" w:rsidR="00506C32" w:rsidRDefault="00506C32" w:rsidP="00506C32">
            <w:pPr>
              <w:jc w:val="center"/>
            </w:pPr>
            <w:r w:rsidRPr="00506C32">
              <w:t>Déforestation à Madagascar : feux d’origine humaines</w:t>
            </w:r>
            <w:r>
              <w:t xml:space="preserve"> </w:t>
            </w:r>
            <w:r w:rsidRPr="00506C32">
              <w:t>dans la forêt primaire des gorges de la Rivière Tsiribinhina</w:t>
            </w:r>
            <w:r>
              <w:t xml:space="preserve"> </w:t>
            </w:r>
            <w:r w:rsidRPr="00506C32">
              <w:t xml:space="preserve">(Madagascar). </w:t>
            </w:r>
            <w:r>
              <w:t xml:space="preserve">© B. Lisan, </w:t>
            </w:r>
            <w:r w:rsidRPr="00506C32">
              <w:t>septembre 2009.</w:t>
            </w:r>
          </w:p>
        </w:tc>
        <w:tc>
          <w:tcPr>
            <w:tcW w:w="5208" w:type="dxa"/>
          </w:tcPr>
          <w:p w14:paraId="7ECFB0C0" w14:textId="77777777" w:rsidR="00506C32" w:rsidRDefault="00506C32" w:rsidP="00506C32">
            <w:pPr>
              <w:jc w:val="center"/>
            </w:pPr>
            <w:r w:rsidRPr="00506C32">
              <w:rPr>
                <w:noProof/>
              </w:rPr>
              <w:drawing>
                <wp:inline distT="0" distB="0" distL="0" distR="0" wp14:anchorId="56E08523" wp14:editId="4509FA48">
                  <wp:extent cx="1553845" cy="1260835"/>
                  <wp:effectExtent l="0" t="0" r="8255" b="0"/>
                  <wp:docPr id="10248" name="Picture 12" descr="TavyLongRN7_Sep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8" name="Picture 12" descr="TavyLongRN7_Sep2009"/>
                          <pic:cNvPicPr>
                            <a:picLocks noChangeAspect="1" noChangeArrowheads="1"/>
                          </pic:cNvPicPr>
                        </pic:nvPicPr>
                        <pic:blipFill>
                          <a:blip r:embed="rId3428" cstate="print">
                            <a:extLst>
                              <a:ext uri="{28A0092B-C50C-407E-A947-70E740481C1C}">
                                <a14:useLocalDpi xmlns:a14="http://schemas.microsoft.com/office/drawing/2010/main" val="0"/>
                              </a:ext>
                            </a:extLst>
                          </a:blip>
                          <a:srcRect/>
                          <a:stretch>
                            <a:fillRect/>
                          </a:stretch>
                        </pic:blipFill>
                        <pic:spPr bwMode="auto">
                          <a:xfrm>
                            <a:off x="0" y="0"/>
                            <a:ext cx="1556879" cy="1263297"/>
                          </a:xfrm>
                          <a:prstGeom prst="rect">
                            <a:avLst/>
                          </a:prstGeom>
                          <a:noFill/>
                          <a:ln>
                            <a:noFill/>
                          </a:ln>
                        </pic:spPr>
                      </pic:pic>
                    </a:graphicData>
                  </a:graphic>
                </wp:inline>
              </w:drawing>
            </w:r>
          </w:p>
          <w:p w14:paraId="48113461" w14:textId="77777777" w:rsidR="00506C32" w:rsidRPr="00506C32" w:rsidRDefault="00506C32" w:rsidP="00506C32">
            <w:pPr>
              <w:jc w:val="center"/>
            </w:pPr>
            <w:r w:rsidRPr="00506C32">
              <w:t>Déforestation à Madagascar : feux d’origine humaines</w:t>
            </w:r>
          </w:p>
          <w:p w14:paraId="57134DF8" w14:textId="77777777" w:rsidR="00506C32" w:rsidRPr="00506C32" w:rsidRDefault="00506C32" w:rsidP="00506C32">
            <w:pPr>
              <w:jc w:val="center"/>
            </w:pPr>
            <w:r w:rsidRPr="00506C32">
              <w:t>Le long de la RN7 entre Antsirabe et Antananarivo</w:t>
            </w:r>
          </w:p>
          <w:p w14:paraId="0B98A50B" w14:textId="77777777" w:rsidR="00506C32" w:rsidRDefault="00506C32" w:rsidP="00506C32">
            <w:pPr>
              <w:jc w:val="center"/>
            </w:pPr>
            <w:r w:rsidRPr="00506C32">
              <w:t>(Madagascar).</w:t>
            </w:r>
            <w:r>
              <w:t xml:space="preserve"> © B. Lisan, </w:t>
            </w:r>
            <w:r w:rsidRPr="00506C32">
              <w:t>septembre 2009</w:t>
            </w:r>
            <w:r w:rsidR="00060577">
              <w:t>.</w:t>
            </w:r>
          </w:p>
          <w:p w14:paraId="1ADDB46A" w14:textId="6309D762" w:rsidR="00060577" w:rsidRPr="00506C32" w:rsidRDefault="00060577" w:rsidP="00506C32">
            <w:pPr>
              <w:jc w:val="center"/>
            </w:pPr>
          </w:p>
        </w:tc>
      </w:tr>
      <w:tr w:rsidR="00BE63AC" w14:paraId="414BAFA5" w14:textId="77777777" w:rsidTr="00506C32">
        <w:tc>
          <w:tcPr>
            <w:tcW w:w="5208" w:type="dxa"/>
          </w:tcPr>
          <w:p w14:paraId="66232707" w14:textId="77777777" w:rsidR="00BE63AC" w:rsidRDefault="00BE63AC" w:rsidP="00506C32">
            <w:pPr>
              <w:jc w:val="center"/>
            </w:pPr>
            <w:r w:rsidRPr="00BE63AC">
              <w:rPr>
                <w:noProof/>
              </w:rPr>
              <w:drawing>
                <wp:inline distT="0" distB="0" distL="0" distR="0" wp14:anchorId="10FA6B1C" wp14:editId="71EBDB46">
                  <wp:extent cx="1928813" cy="2947988"/>
                  <wp:effectExtent l="0" t="0" r="0" b="5080"/>
                  <wp:docPr id="17416" name="Image 9" descr="media_l_926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6" name="Image 9" descr="media_l_926532.jpg"/>
                          <pic:cNvPicPr>
                            <a:picLocks noChangeAspect="1"/>
                          </pic:cNvPicPr>
                        </pic:nvPicPr>
                        <pic:blipFill>
                          <a:blip r:embed="rId3429" cstate="print">
                            <a:extLst>
                              <a:ext uri="{28A0092B-C50C-407E-A947-70E740481C1C}">
                                <a14:useLocalDpi xmlns:a14="http://schemas.microsoft.com/office/drawing/2010/main" val="0"/>
                              </a:ext>
                            </a:extLst>
                          </a:blip>
                          <a:srcRect/>
                          <a:stretch>
                            <a:fillRect/>
                          </a:stretch>
                        </pic:blipFill>
                        <pic:spPr bwMode="auto">
                          <a:xfrm>
                            <a:off x="0" y="0"/>
                            <a:ext cx="1928813" cy="2947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E6C5173" w14:textId="400882FE" w:rsidR="00BE63AC" w:rsidRPr="00506C32" w:rsidRDefault="00BE63AC" w:rsidP="00506C32">
            <w:pPr>
              <w:jc w:val="center"/>
            </w:pPr>
            <w:r w:rsidRPr="00BE63AC">
              <w:t>Déforestation par incendies en Amazonie</w:t>
            </w:r>
            <w:r>
              <w:t>.</w:t>
            </w:r>
          </w:p>
        </w:tc>
        <w:tc>
          <w:tcPr>
            <w:tcW w:w="5208" w:type="dxa"/>
          </w:tcPr>
          <w:p w14:paraId="4EA7DCA3" w14:textId="7A0053AF" w:rsidR="00BE63AC" w:rsidRDefault="00A4131F" w:rsidP="00506C32">
            <w:pPr>
              <w:jc w:val="center"/>
            </w:pPr>
            <w:r w:rsidRPr="00A4131F">
              <w:rPr>
                <w:noProof/>
              </w:rPr>
              <w:drawing>
                <wp:inline distT="0" distB="0" distL="0" distR="0" wp14:anchorId="680177F5" wp14:editId="1B63E6D2">
                  <wp:extent cx="1428750" cy="927100"/>
                  <wp:effectExtent l="0" t="0" r="0" b="6350"/>
                  <wp:docPr id="25628" name="Image 30" descr="Deforest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28" name="Image 30" descr="Deforest12.jpg"/>
                          <pic:cNvPicPr>
                            <a:picLocks noChangeAspect="1"/>
                          </pic:cNvPicPr>
                        </pic:nvPicPr>
                        <pic:blipFill>
                          <a:blip r:embed="rId3430" cstate="print">
                            <a:extLst>
                              <a:ext uri="{28A0092B-C50C-407E-A947-70E740481C1C}">
                                <a14:useLocalDpi xmlns:a14="http://schemas.microsoft.com/office/drawing/2010/main" val="0"/>
                              </a:ext>
                            </a:extLst>
                          </a:blip>
                          <a:srcRect/>
                          <a:stretch>
                            <a:fillRect/>
                          </a:stretch>
                        </pic:blipFill>
                        <pic:spPr bwMode="auto">
                          <a:xfrm>
                            <a:off x="0" y="0"/>
                            <a:ext cx="1428750" cy="927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99765B8" w14:textId="2553A5FE" w:rsidR="00060577" w:rsidRDefault="00060577" w:rsidP="00506C32">
            <w:pPr>
              <w:jc w:val="center"/>
            </w:pPr>
            <w:r>
              <w:t>Feu de forêt (Tavy). Madagascar. © B. Lisan, 2009.</w:t>
            </w:r>
          </w:p>
          <w:p w14:paraId="1513CA42" w14:textId="77777777" w:rsidR="00D06F2D" w:rsidRDefault="00D06F2D" w:rsidP="00506C32">
            <w:pPr>
              <w:jc w:val="center"/>
            </w:pPr>
          </w:p>
          <w:p w14:paraId="471913A8" w14:textId="77777777" w:rsidR="00910935" w:rsidRDefault="00910935" w:rsidP="00506C32">
            <w:pPr>
              <w:jc w:val="center"/>
            </w:pPr>
            <w:r w:rsidRPr="00910935">
              <w:rPr>
                <w:noProof/>
              </w:rPr>
              <w:drawing>
                <wp:inline distT="0" distB="0" distL="0" distR="0" wp14:anchorId="06E12DF2" wp14:editId="07AC5184">
                  <wp:extent cx="2571750" cy="1714500"/>
                  <wp:effectExtent l="0" t="0" r="0" b="0"/>
                  <wp:docPr id="20486" name="Image 7" descr="amazonie-en-fe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6" name="Image 7" descr="amazonie-en-feu.jpg"/>
                          <pic:cNvPicPr>
                            <a:picLocks noChangeAspect="1"/>
                          </pic:cNvPicPr>
                        </pic:nvPicPr>
                        <pic:blipFill>
                          <a:blip r:embed="rId3431" cstate="print">
                            <a:extLst>
                              <a:ext uri="{28A0092B-C50C-407E-A947-70E740481C1C}">
                                <a14:useLocalDpi xmlns:a14="http://schemas.microsoft.com/office/drawing/2010/main" val="0"/>
                              </a:ext>
                            </a:extLst>
                          </a:blip>
                          <a:srcRect/>
                          <a:stretch>
                            <a:fillRect/>
                          </a:stretch>
                        </pic:blipFill>
                        <pic:spPr bwMode="auto">
                          <a:xfrm>
                            <a:off x="0" y="0"/>
                            <a:ext cx="2571750" cy="1714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C7D6300" w14:textId="3D3B5BFB" w:rsidR="00910935" w:rsidRPr="00506C32" w:rsidRDefault="00910935" w:rsidP="00910935">
            <w:pPr>
              <w:jc w:val="center"/>
            </w:pPr>
            <w:r w:rsidRPr="00910935">
              <w:t>L’Amazonie en feu, à cause de la déforestation</w:t>
            </w:r>
            <w:r>
              <w:t xml:space="preserve"> </w:t>
            </w:r>
            <w:r w:rsidRPr="00910935">
              <w:t>pour faire place à des prairies ou des culture</w:t>
            </w:r>
            <w:r>
              <w:t>s r</w:t>
            </w:r>
            <w:r w:rsidRPr="00910935">
              <w:t>entables _ sojas etc. (source Greenpeace).</w:t>
            </w:r>
          </w:p>
        </w:tc>
      </w:tr>
    </w:tbl>
    <w:p w14:paraId="0C187D2C" w14:textId="403E406C" w:rsidR="00506C32" w:rsidRDefault="00506C32" w:rsidP="00B27967">
      <w:pPr>
        <w:spacing w:after="0" w:line="240" w:lineRule="auto"/>
      </w:pPr>
    </w:p>
    <w:p w14:paraId="2F3A397D" w14:textId="4881E3F4" w:rsidR="00B27967" w:rsidRPr="00AD534D" w:rsidRDefault="00B27967" w:rsidP="00D06F2D">
      <w:pPr>
        <w:pStyle w:val="Titre2"/>
      </w:pPr>
      <w:bookmarkStart w:id="289" w:name="_Toc139181580"/>
      <w:r w:rsidRPr="00AD534D">
        <w:t>Solutions</w:t>
      </w:r>
      <w:r w:rsidR="00AD534D" w:rsidRPr="00AD534D">
        <w:t xml:space="preserve"> / prévention collective (mesures visant à empêcher les feux de forêt)</w:t>
      </w:r>
      <w:bookmarkEnd w:id="289"/>
    </w:p>
    <w:p w14:paraId="49FC025B" w14:textId="3A12E899" w:rsidR="00506C32" w:rsidRDefault="00506C32" w:rsidP="00B27967">
      <w:pPr>
        <w:spacing w:after="0" w:line="240" w:lineRule="auto"/>
      </w:pPr>
    </w:p>
    <w:p w14:paraId="6C15ECA3" w14:textId="33F20CA1" w:rsidR="00AD534D" w:rsidRPr="00AD534D" w:rsidRDefault="00AD534D" w:rsidP="00DA3C46">
      <w:pPr>
        <w:numPr>
          <w:ilvl w:val="0"/>
          <w:numId w:val="77"/>
        </w:numPr>
        <w:spacing w:after="0" w:line="240" w:lineRule="auto"/>
      </w:pPr>
      <w:r w:rsidRPr="00AD534D">
        <w:t>Mise en place de tours de guet confortable</w:t>
      </w:r>
      <w:r>
        <w:t>s</w:t>
      </w:r>
      <w:r w:rsidRPr="00AD534D">
        <w:t>, pour la surveillance.</w:t>
      </w:r>
    </w:p>
    <w:p w14:paraId="20240C59" w14:textId="0EC27B6A" w:rsidR="00AD534D" w:rsidRDefault="00AD534D" w:rsidP="00DA3C46">
      <w:pPr>
        <w:numPr>
          <w:ilvl w:val="0"/>
          <w:numId w:val="77"/>
        </w:numPr>
        <w:spacing w:after="0" w:line="240" w:lineRule="auto"/>
      </w:pPr>
      <w:r w:rsidRPr="00AD534D">
        <w:t>Instauration d’une surveillance assurée par population locale (impliquée dans la lutte).</w:t>
      </w:r>
    </w:p>
    <w:p w14:paraId="5605511F" w14:textId="1B25DFFC" w:rsidR="00AD534D" w:rsidRPr="00AD534D" w:rsidRDefault="00AD534D" w:rsidP="00DA3C46">
      <w:pPr>
        <w:numPr>
          <w:ilvl w:val="0"/>
          <w:numId w:val="77"/>
        </w:numPr>
        <w:spacing w:after="0" w:line="240" w:lineRule="auto"/>
      </w:pPr>
      <w:r>
        <w:t>Avoir un stock de grandes pelles solides (pour éteindre les flammèches</w:t>
      </w:r>
      <w:r w:rsidR="00410454">
        <w:t>,</w:t>
      </w:r>
      <w:r>
        <w:t xml:space="preserve"> brandons</w:t>
      </w:r>
      <w:r w:rsidR="00410454">
        <w:t xml:space="preserve"> et départs de feu</w:t>
      </w:r>
      <w:r>
        <w:t>).</w:t>
      </w:r>
    </w:p>
    <w:p w14:paraId="21FA71CC" w14:textId="67DB4145" w:rsidR="00AD534D" w:rsidRPr="00AD534D" w:rsidRDefault="00AD534D" w:rsidP="00DA3C46">
      <w:pPr>
        <w:numPr>
          <w:ilvl w:val="0"/>
          <w:numId w:val="77"/>
        </w:numPr>
        <w:spacing w:after="0" w:line="240" w:lineRule="auto"/>
      </w:pPr>
      <w:r w:rsidRPr="00AD534D">
        <w:t>Mise en place de :</w:t>
      </w:r>
    </w:p>
    <w:p w14:paraId="1FEC732E" w14:textId="315F8244" w:rsidR="00AD534D" w:rsidRPr="00AD534D" w:rsidRDefault="00AD534D" w:rsidP="00DA3C46">
      <w:pPr>
        <w:numPr>
          <w:ilvl w:val="0"/>
          <w:numId w:val="78"/>
        </w:numPr>
        <w:spacing w:after="0" w:line="240" w:lineRule="auto"/>
      </w:pPr>
      <w:r w:rsidRPr="00AD534D">
        <w:t xml:space="preserve">De </w:t>
      </w:r>
      <w:r w:rsidRPr="00AD534D">
        <w:rPr>
          <w:i/>
          <w:iCs/>
        </w:rPr>
        <w:t xml:space="preserve">tranchées, </w:t>
      </w:r>
    </w:p>
    <w:p w14:paraId="4D0B7DE8" w14:textId="34AF7E68" w:rsidR="00AD534D" w:rsidRPr="00AD534D" w:rsidRDefault="00AD534D" w:rsidP="00DA3C46">
      <w:pPr>
        <w:numPr>
          <w:ilvl w:val="0"/>
          <w:numId w:val="78"/>
        </w:numPr>
        <w:spacing w:after="0" w:line="240" w:lineRule="auto"/>
      </w:pPr>
      <w:r>
        <w:rPr>
          <w:i/>
          <w:iCs/>
        </w:rPr>
        <w:t>D</w:t>
      </w:r>
      <w:r w:rsidRPr="00AD534D">
        <w:rPr>
          <w:i/>
          <w:iCs/>
        </w:rPr>
        <w:t>e coupe-feu</w:t>
      </w:r>
      <w:r>
        <w:rPr>
          <w:i/>
          <w:iCs/>
        </w:rPr>
        <w:t>, de pares-feux</w:t>
      </w:r>
      <w:r w:rsidRPr="00AD534D">
        <w:rPr>
          <w:i/>
          <w:iCs/>
        </w:rPr>
        <w:t xml:space="preserve">, </w:t>
      </w:r>
    </w:p>
    <w:p w14:paraId="4CEA1116" w14:textId="6C402527" w:rsidR="00AD534D" w:rsidRPr="00AD534D" w:rsidRDefault="00AD534D" w:rsidP="00DA3C46">
      <w:pPr>
        <w:numPr>
          <w:ilvl w:val="0"/>
          <w:numId w:val="78"/>
        </w:numPr>
        <w:spacing w:after="0" w:line="240" w:lineRule="auto"/>
      </w:pPr>
      <w:r>
        <w:rPr>
          <w:i/>
          <w:iCs/>
        </w:rPr>
        <w:t>D</w:t>
      </w:r>
      <w:r w:rsidRPr="00AD534D">
        <w:rPr>
          <w:i/>
          <w:iCs/>
        </w:rPr>
        <w:t>e réserves d'eau.</w:t>
      </w:r>
    </w:p>
    <w:p w14:paraId="02721113" w14:textId="5AA113F7" w:rsidR="00AD534D" w:rsidRDefault="00AD534D" w:rsidP="00DA3C46">
      <w:pPr>
        <w:numPr>
          <w:ilvl w:val="0"/>
          <w:numId w:val="78"/>
        </w:numPr>
        <w:spacing w:after="0" w:line="240" w:lineRule="auto"/>
      </w:pPr>
      <w:r>
        <w:rPr>
          <w:i/>
          <w:iCs/>
        </w:rPr>
        <w:t>D</w:t>
      </w:r>
      <w:r w:rsidRPr="00AD534D">
        <w:rPr>
          <w:i/>
          <w:iCs/>
        </w:rPr>
        <w:t>e plans de préventions.</w:t>
      </w:r>
    </w:p>
    <w:p w14:paraId="76914CF4" w14:textId="2EE080EF" w:rsidR="00D75D1C" w:rsidRDefault="00D75D1C" w:rsidP="00DA3C46">
      <w:pPr>
        <w:pStyle w:val="Paragraphedeliste"/>
        <w:numPr>
          <w:ilvl w:val="0"/>
          <w:numId w:val="79"/>
        </w:numPr>
        <w:spacing w:after="0" w:line="240" w:lineRule="auto"/>
      </w:pPr>
      <w:r w:rsidRPr="00D75D1C">
        <w:t>Débrouss</w:t>
      </w:r>
      <w:r>
        <w:t>ailler régulièrement</w:t>
      </w:r>
      <w:r w:rsidR="003B0561">
        <w:t xml:space="preserve"> le </w:t>
      </w:r>
      <w:r w:rsidR="003B0561" w:rsidRPr="003B0561">
        <w:t>couvert végétal dans</w:t>
      </w:r>
      <w:r>
        <w:t xml:space="preserve"> les sous-bois, soit par les ovins</w:t>
      </w:r>
      <w:r w:rsidR="003B0561">
        <w:t>/herbivores</w:t>
      </w:r>
      <w:r>
        <w:t>, soit par des moyens mécaniques.</w:t>
      </w:r>
    </w:p>
    <w:p w14:paraId="4DEAF64E" w14:textId="5239D5CA" w:rsidR="00B27967" w:rsidRDefault="00B27967" w:rsidP="00DA3C46">
      <w:pPr>
        <w:pStyle w:val="Paragraphedeliste"/>
        <w:numPr>
          <w:ilvl w:val="0"/>
          <w:numId w:val="79"/>
        </w:numPr>
        <w:spacing w:after="0" w:line="240" w:lineRule="auto"/>
      </w:pPr>
      <w:r>
        <w:t>Utiliser les feux contrôlé</w:t>
      </w:r>
      <w:r w:rsidR="00D75D1C">
        <w:t>s</w:t>
      </w:r>
      <w:r>
        <w:t>,</w:t>
      </w:r>
      <w:r w:rsidR="00AD534D">
        <w:t xml:space="preserve"> dirigés</w:t>
      </w:r>
      <w:r>
        <w:t xml:space="preserve"> (écobuage)</w:t>
      </w:r>
      <w:r w:rsidR="00D75D1C">
        <w:t>, en brousse</w:t>
      </w:r>
      <w:r w:rsidR="00AD534D">
        <w:t xml:space="preserve"> et/ou</w:t>
      </w:r>
      <w:r w:rsidR="00D75D1C">
        <w:t xml:space="preserve"> dans les sous-bois</w:t>
      </w:r>
      <w:r w:rsidR="00AD534D">
        <w:t>, en période de saison des pluies</w:t>
      </w:r>
      <w:r w:rsidR="00BC7D68">
        <w:t>, sans vent (avoir, avec soi, des pelles pour limiter la zone brûlée)</w:t>
      </w:r>
      <w:r w:rsidR="00D75D1C">
        <w:t>.</w:t>
      </w:r>
      <w:r w:rsidR="000B0AE7">
        <w:t xml:space="preserve"> Cet acte doit être réalisé d’une </w:t>
      </w:r>
      <w:r w:rsidR="000B0AE7" w:rsidRPr="000B0AE7">
        <w:t>façon planifiée et contrôlée</w:t>
      </w:r>
      <w:r w:rsidR="000B0AE7">
        <w:t>,</w:t>
      </w:r>
      <w:r w:rsidR="000B0AE7" w:rsidRPr="000B0AE7">
        <w:t xml:space="preserve"> sur une zone prédéfinie</w:t>
      </w:r>
      <w:r w:rsidR="000B0AE7">
        <w:t>, et il</w:t>
      </w:r>
      <w:r w:rsidR="000B0AE7" w:rsidRPr="000B0AE7">
        <w:t xml:space="preserve"> dépend des conditions climatiques</w:t>
      </w:r>
      <w:r w:rsidR="000B0AE7">
        <w:t>.</w:t>
      </w:r>
    </w:p>
    <w:p w14:paraId="6DE12ABA" w14:textId="0C047CB9" w:rsidR="00506C32" w:rsidRDefault="00AD534D" w:rsidP="00DA3C46">
      <w:pPr>
        <w:pStyle w:val="Paragraphedeliste"/>
        <w:numPr>
          <w:ilvl w:val="0"/>
          <w:numId w:val="79"/>
        </w:numPr>
        <w:spacing w:after="0" w:line="240" w:lineRule="auto"/>
      </w:pPr>
      <w:r>
        <w:t>Planter,</w:t>
      </w:r>
      <w:r w:rsidR="00B27967">
        <w:t xml:space="preserve"> peut-être</w:t>
      </w:r>
      <w:r>
        <w:t>, éventuellement,</w:t>
      </w:r>
      <w:r w:rsidR="00B27967">
        <w:t xml:space="preserve"> des </w:t>
      </w:r>
      <w:r w:rsidR="00B27967" w:rsidRPr="00B27967">
        <w:t>espèces résistantes aux feux</w:t>
      </w:r>
      <w:r w:rsidR="00B27967">
        <w:t>.</w:t>
      </w:r>
    </w:p>
    <w:p w14:paraId="34860EB1" w14:textId="50D4213B" w:rsidR="003B0561" w:rsidRPr="003B0561" w:rsidRDefault="003B0561" w:rsidP="00DA3C46">
      <w:pPr>
        <w:pStyle w:val="Paragraphedeliste"/>
        <w:numPr>
          <w:ilvl w:val="0"/>
          <w:numId w:val="79"/>
        </w:numPr>
      </w:pPr>
      <w:r>
        <w:t>F</w:t>
      </w:r>
      <w:r w:rsidRPr="003B0561">
        <w:t>ormation à la surveillance anti-incendie pour les guetteurs,</w:t>
      </w:r>
    </w:p>
    <w:p w14:paraId="648F6B4E" w14:textId="1305D7C2" w:rsidR="003B0561" w:rsidRPr="003B0561" w:rsidRDefault="003B0561" w:rsidP="00DA3C46">
      <w:pPr>
        <w:pStyle w:val="Paragraphedeliste"/>
        <w:numPr>
          <w:ilvl w:val="0"/>
          <w:numId w:val="79"/>
        </w:numPr>
      </w:pPr>
      <w:r>
        <w:t>Création de c</w:t>
      </w:r>
      <w:r w:rsidRPr="003B0561">
        <w:t>hemins forestiers, largement dégagés, d’accès rapides aux sites, sur les crêtes.</w:t>
      </w:r>
    </w:p>
    <w:p w14:paraId="6D148772" w14:textId="6D955629" w:rsidR="003B0561" w:rsidRPr="003B0561" w:rsidRDefault="003B0561" w:rsidP="00DA3C46">
      <w:pPr>
        <w:pStyle w:val="Paragraphedeliste"/>
        <w:numPr>
          <w:ilvl w:val="0"/>
          <w:numId w:val="79"/>
        </w:numPr>
        <w:rPr>
          <w:i/>
          <w:iCs/>
        </w:rPr>
      </w:pPr>
      <w:r w:rsidRPr="003B0561">
        <w:rPr>
          <w:i/>
          <w:iCs/>
        </w:rPr>
        <w:t xml:space="preserve"> Véhicule 4x4 rapide de lutte anti-incendie, camion réservoir de pompier (+ entretien)</w:t>
      </w:r>
      <w:r>
        <w:rPr>
          <w:i/>
          <w:iCs/>
        </w:rPr>
        <w:t xml:space="preserve"> </w:t>
      </w:r>
      <w:r w:rsidRPr="003B0561">
        <w:t>(</w:t>
      </w:r>
      <w:r w:rsidRPr="003B0561">
        <w:rPr>
          <w:i/>
          <w:iCs/>
        </w:rPr>
        <w:t>si les moyens financiers le permettent</w:t>
      </w:r>
      <w:r w:rsidRPr="003B0561">
        <w:t>).</w:t>
      </w:r>
    </w:p>
    <w:p w14:paraId="14397EE3" w14:textId="77777777" w:rsidR="003B0561" w:rsidRPr="003B0561" w:rsidRDefault="003B0561" w:rsidP="00DA3C46">
      <w:pPr>
        <w:pStyle w:val="Paragraphedeliste"/>
        <w:numPr>
          <w:ilvl w:val="0"/>
          <w:numId w:val="79"/>
        </w:numPr>
      </w:pPr>
      <w:r w:rsidRPr="003B0561">
        <w:rPr>
          <w:i/>
          <w:iCs/>
        </w:rPr>
        <w:t xml:space="preserve">Caméras et systèmes automatisés à infrarouge </w:t>
      </w:r>
      <w:r w:rsidRPr="003B0561">
        <w:t>(</w:t>
      </w:r>
      <w:r w:rsidRPr="003B0561">
        <w:rPr>
          <w:i/>
          <w:iCs/>
        </w:rPr>
        <w:t>si les moyens financiers le permettent</w:t>
      </w:r>
      <w:r w:rsidRPr="003B0561">
        <w:t>).</w:t>
      </w:r>
    </w:p>
    <w:p w14:paraId="23317131" w14:textId="3F0FFFFF" w:rsidR="003B0561" w:rsidRDefault="003B0561" w:rsidP="00DA3C46">
      <w:pPr>
        <w:pStyle w:val="Paragraphedeliste"/>
        <w:numPr>
          <w:ilvl w:val="0"/>
          <w:numId w:val="79"/>
        </w:numPr>
        <w:spacing w:after="0" w:line="240" w:lineRule="auto"/>
      </w:pPr>
      <w:r>
        <w:rPr>
          <w:i/>
          <w:iCs/>
        </w:rPr>
        <w:t xml:space="preserve">Utilisation de drones de surveillance </w:t>
      </w:r>
      <w:r w:rsidRPr="003B0561">
        <w:t>(</w:t>
      </w:r>
      <w:r w:rsidRPr="003B0561">
        <w:rPr>
          <w:i/>
          <w:iCs/>
        </w:rPr>
        <w:t>si les moyens financiers le permettent</w:t>
      </w:r>
      <w:r w:rsidRPr="003B0561">
        <w:t>).</w:t>
      </w:r>
    </w:p>
    <w:p w14:paraId="1A6D40BA" w14:textId="3FE3E533" w:rsidR="00B27967" w:rsidRDefault="00B27967" w:rsidP="0096728C">
      <w:pPr>
        <w:spacing w:after="0" w:line="240" w:lineRule="auto"/>
      </w:pPr>
    </w:p>
    <w:p w14:paraId="432C04B5" w14:textId="77777777" w:rsidR="00D871D1" w:rsidRDefault="00D871D1" w:rsidP="00D871D1">
      <w:pPr>
        <w:spacing w:after="0" w:line="240" w:lineRule="auto"/>
      </w:pPr>
      <w:r>
        <w:t>Le plus i</w:t>
      </w:r>
      <w:r w:rsidRPr="00D75D1C">
        <w:t>mportan</w:t>
      </w:r>
      <w:r>
        <w:t>t : a) le</w:t>
      </w:r>
      <w:r w:rsidRPr="00D75D1C">
        <w:t xml:space="preserve"> débroussaillage,</w:t>
      </w:r>
      <w:r>
        <w:t xml:space="preserve"> b) l’aménagement de</w:t>
      </w:r>
      <w:r w:rsidRPr="00D75D1C">
        <w:t xml:space="preserve"> coupe-feux</w:t>
      </w:r>
      <w:r>
        <w:t xml:space="preserve">. </w:t>
      </w:r>
    </w:p>
    <w:p w14:paraId="24DCBC2E" w14:textId="1B26F8EC" w:rsidR="00D871D1" w:rsidRDefault="00D871D1" w:rsidP="0096728C">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9A1C35" w14:paraId="4828EA06" w14:textId="77777777" w:rsidTr="00016B3A">
        <w:tc>
          <w:tcPr>
            <w:tcW w:w="3472" w:type="dxa"/>
          </w:tcPr>
          <w:p w14:paraId="4D529E27" w14:textId="77777777" w:rsidR="009A1C35" w:rsidRDefault="009A1C35" w:rsidP="00016B3A">
            <w:pPr>
              <w:jc w:val="center"/>
            </w:pPr>
            <w:r w:rsidRPr="000C401D">
              <w:rPr>
                <w:noProof/>
              </w:rPr>
              <w:drawing>
                <wp:inline distT="0" distB="0" distL="0" distR="0" wp14:anchorId="64A6B7D4" wp14:editId="6AE71D13">
                  <wp:extent cx="1223962" cy="815975"/>
                  <wp:effectExtent l="0" t="0" r="0" b="3175"/>
                  <wp:docPr id="99356" name="Picture 11" descr="feuxC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237" name="Picture 11" descr="feuxCamp"/>
                          <pic:cNvPicPr>
                            <a:picLocks noChangeAspect="1" noChangeArrowheads="1"/>
                          </pic:cNvPicPr>
                        </pic:nvPicPr>
                        <pic:blipFill>
                          <a:blip r:embed="rId3432" cstate="print">
                            <a:extLst>
                              <a:ext uri="{28A0092B-C50C-407E-A947-70E740481C1C}">
                                <a14:useLocalDpi xmlns:a14="http://schemas.microsoft.com/office/drawing/2010/main" val="0"/>
                              </a:ext>
                            </a:extLst>
                          </a:blip>
                          <a:srcRect/>
                          <a:stretch>
                            <a:fillRect/>
                          </a:stretch>
                        </pic:blipFill>
                        <pic:spPr bwMode="auto">
                          <a:xfrm>
                            <a:off x="0" y="0"/>
                            <a:ext cx="1223962" cy="815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58A1C33" w14:textId="77777777" w:rsidR="009A1C35" w:rsidRDefault="009A1C35" w:rsidP="00016B3A">
            <w:pPr>
              <w:jc w:val="center"/>
            </w:pPr>
            <w:r>
              <w:t>Ne pas allumer des feux n’importe où.</w:t>
            </w:r>
          </w:p>
        </w:tc>
        <w:tc>
          <w:tcPr>
            <w:tcW w:w="3472" w:type="dxa"/>
          </w:tcPr>
          <w:p w14:paraId="4E68CF28" w14:textId="77777777" w:rsidR="009A1C35" w:rsidRDefault="009A1C35" w:rsidP="00016B3A">
            <w:pPr>
              <w:jc w:val="center"/>
            </w:pPr>
            <w:r w:rsidRPr="001E0092">
              <w:rPr>
                <w:noProof/>
              </w:rPr>
              <w:drawing>
                <wp:inline distT="0" distB="0" distL="0" distR="0" wp14:anchorId="3F5352AB" wp14:editId="7A975231">
                  <wp:extent cx="1390650" cy="1095375"/>
                  <wp:effectExtent l="0" t="0" r="0" b="9525"/>
                  <wp:docPr id="99357" name="Picture 23" descr="pulverisateurIndividuel_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310" name="Picture 23" descr="pulverisateurIndividuel_s"/>
                          <pic:cNvPicPr>
                            <a:picLocks noChangeAspect="1" noChangeArrowheads="1"/>
                          </pic:cNvPicPr>
                        </pic:nvPicPr>
                        <pic:blipFill>
                          <a:blip r:embed="rId3433" cstate="print">
                            <a:extLst>
                              <a:ext uri="{28A0092B-C50C-407E-A947-70E740481C1C}">
                                <a14:useLocalDpi xmlns:a14="http://schemas.microsoft.com/office/drawing/2010/main" val="0"/>
                              </a:ext>
                            </a:extLst>
                          </a:blip>
                          <a:srcRect/>
                          <a:stretch>
                            <a:fillRect/>
                          </a:stretch>
                        </pic:blipFill>
                        <pic:spPr bwMode="auto">
                          <a:xfrm>
                            <a:off x="0" y="0"/>
                            <a:ext cx="1390650" cy="1095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5E00A79" w14:textId="77777777" w:rsidR="009A1C35" w:rsidRDefault="009A1C35" w:rsidP="00016B3A">
            <w:pPr>
              <w:jc w:val="center"/>
            </w:pPr>
            <w:r>
              <w:t>Durant le feu, utilisation de pulvérisateurs individuels, en plus des pelles.</w:t>
            </w:r>
          </w:p>
        </w:tc>
        <w:tc>
          <w:tcPr>
            <w:tcW w:w="3472" w:type="dxa"/>
          </w:tcPr>
          <w:p w14:paraId="1EFE8EBD" w14:textId="77777777" w:rsidR="009A1C35" w:rsidRDefault="009A1C35" w:rsidP="00016B3A">
            <w:pPr>
              <w:jc w:val="center"/>
            </w:pPr>
            <w:r w:rsidRPr="00034AB0">
              <w:rPr>
                <w:noProof/>
              </w:rPr>
              <w:drawing>
                <wp:inline distT="0" distB="0" distL="0" distR="0" wp14:anchorId="1A392D78" wp14:editId="1E921E40">
                  <wp:extent cx="1368425" cy="1019175"/>
                  <wp:effectExtent l="0" t="0" r="3175" b="9525"/>
                  <wp:docPr id="99358" name="Image 4" descr="Une image contenant herbe, extérieur, champ&#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58" name="Image 4" descr="Une image contenant herbe, extérieur, champ&#10;&#10;Description générée automatiquement"/>
                          <pic:cNvPicPr>
                            <a:picLocks noChangeAspect="1"/>
                          </pic:cNvPicPr>
                        </pic:nvPicPr>
                        <pic:blipFill>
                          <a:blip r:embed="rId3434" cstate="print">
                            <a:extLst>
                              <a:ext uri="{28A0092B-C50C-407E-A947-70E740481C1C}">
                                <a14:useLocalDpi xmlns:a14="http://schemas.microsoft.com/office/drawing/2010/main" val="0"/>
                              </a:ext>
                            </a:extLst>
                          </a:blip>
                          <a:srcRect/>
                          <a:stretch>
                            <a:fillRect/>
                          </a:stretch>
                        </pic:blipFill>
                        <pic:spPr bwMode="auto">
                          <a:xfrm>
                            <a:off x="0" y="0"/>
                            <a:ext cx="1368425" cy="1019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6B6A6C7" w14:textId="77777777" w:rsidR="009A1C35" w:rsidRDefault="009A1C35" w:rsidP="00016B3A">
            <w:pPr>
              <w:jc w:val="center"/>
            </w:pPr>
            <w:r w:rsidRPr="00034AB0">
              <w:t>Des feux contrôlés sont une stratégie préventive depuis longtemps utilisée.</w:t>
            </w:r>
          </w:p>
        </w:tc>
      </w:tr>
    </w:tbl>
    <w:p w14:paraId="7B963A97" w14:textId="77777777" w:rsidR="009A1C35" w:rsidRDefault="009A1C35" w:rsidP="0096728C">
      <w:pPr>
        <w:spacing w:after="0" w:line="240" w:lineRule="auto"/>
      </w:pPr>
    </w:p>
    <w:p w14:paraId="7C24AC04" w14:textId="77777777" w:rsidR="00D871D1" w:rsidRPr="00D871D1" w:rsidRDefault="00D871D1" w:rsidP="00D871D1">
      <w:pPr>
        <w:pStyle w:val="Titre2"/>
      </w:pPr>
      <w:bookmarkStart w:id="290" w:name="_Toc139181581"/>
      <w:r w:rsidRPr="00D871D1">
        <w:t>Inconvénient des feux contrôlés</w:t>
      </w:r>
      <w:bookmarkEnd w:id="290"/>
    </w:p>
    <w:p w14:paraId="52E167CC" w14:textId="77777777" w:rsidR="00D871D1" w:rsidRDefault="00D871D1" w:rsidP="00D871D1">
      <w:pPr>
        <w:spacing w:after="0" w:line="240" w:lineRule="auto"/>
        <w:rPr>
          <w:b/>
          <w:bCs/>
        </w:rPr>
      </w:pPr>
    </w:p>
    <w:p w14:paraId="1123A5CE" w14:textId="25E81103" w:rsidR="00D871D1" w:rsidRPr="00D871D1" w:rsidRDefault="00D871D1" w:rsidP="00D871D1">
      <w:pPr>
        <w:spacing w:after="0" w:line="240" w:lineRule="auto"/>
      </w:pPr>
      <w:r w:rsidRPr="00D871D1">
        <w:t>Les Feux contrôlés peuvent cependant à terme appauvrir le sol et sélectionner des plantes qui brûlent bien et dont les graines germent mieux suite aux incendies (espèces pyrogènes/pyrophyles) (Ex.: ajonc, imperata…).</w:t>
      </w:r>
    </w:p>
    <w:p w14:paraId="057914E7" w14:textId="77777777" w:rsidR="00D871D1" w:rsidRDefault="00D871D1" w:rsidP="0096728C">
      <w:pPr>
        <w:spacing w:after="0" w:line="240" w:lineRule="auto"/>
      </w:pPr>
    </w:p>
    <w:p w14:paraId="13424CCE" w14:textId="77777777" w:rsidR="000B0AE7" w:rsidRPr="000B0AE7" w:rsidRDefault="000B0AE7" w:rsidP="000B0AE7">
      <w:pPr>
        <w:spacing w:after="0" w:line="240" w:lineRule="auto"/>
        <w:jc w:val="both"/>
      </w:pPr>
      <w:r>
        <w:t xml:space="preserve">Attention ! </w:t>
      </w:r>
      <w:r w:rsidRPr="000B0AE7">
        <w:t>Les écobuages sont loin d'être anodins. Mal maîtrisés, ils peuvent conduire à des départs de feux catastrophiques, à la morts d’humains (de promeneurs…) ou d’animaux …</w:t>
      </w:r>
    </w:p>
    <w:p w14:paraId="5605FD8A" w14:textId="727A0755" w:rsidR="00D75D1C" w:rsidRDefault="00D75D1C" w:rsidP="0096728C">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4E0569" w14:paraId="49B89400" w14:textId="77777777" w:rsidTr="009A1C35">
        <w:tc>
          <w:tcPr>
            <w:tcW w:w="5208" w:type="dxa"/>
          </w:tcPr>
          <w:p w14:paraId="391B94CC" w14:textId="77777777" w:rsidR="004E0569" w:rsidRDefault="004E0569" w:rsidP="004E0569">
            <w:pPr>
              <w:jc w:val="center"/>
            </w:pPr>
            <w:r w:rsidRPr="004E0569">
              <w:rPr>
                <w:noProof/>
              </w:rPr>
              <w:lastRenderedPageBreak/>
              <w:drawing>
                <wp:inline distT="0" distB="0" distL="0" distR="0" wp14:anchorId="02503873" wp14:editId="3B2DFF20">
                  <wp:extent cx="3021211" cy="1657350"/>
                  <wp:effectExtent l="0" t="0" r="8255" b="0"/>
                  <wp:docPr id="99352" name="Picture 35" descr="coupeF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87" name="Picture 35" descr="coupeFeu"/>
                          <pic:cNvPicPr>
                            <a:picLocks noChangeAspect="1" noChangeArrowheads="1"/>
                          </pic:cNvPicPr>
                        </pic:nvPicPr>
                        <pic:blipFill>
                          <a:blip r:embed="rId3435" cstate="print">
                            <a:extLst>
                              <a:ext uri="{28A0092B-C50C-407E-A947-70E740481C1C}">
                                <a14:useLocalDpi xmlns:a14="http://schemas.microsoft.com/office/drawing/2010/main" val="0"/>
                              </a:ext>
                            </a:extLst>
                          </a:blip>
                          <a:srcRect/>
                          <a:stretch>
                            <a:fillRect/>
                          </a:stretch>
                        </pic:blipFill>
                        <pic:spPr bwMode="auto">
                          <a:xfrm>
                            <a:off x="0" y="0"/>
                            <a:ext cx="3024867" cy="1659355"/>
                          </a:xfrm>
                          <a:prstGeom prst="rect">
                            <a:avLst/>
                          </a:prstGeom>
                          <a:noFill/>
                          <a:ln>
                            <a:noFill/>
                          </a:ln>
                        </pic:spPr>
                      </pic:pic>
                    </a:graphicData>
                  </a:graphic>
                </wp:inline>
              </w:drawing>
            </w:r>
          </w:p>
          <w:p w14:paraId="56B6E8C0" w14:textId="77777777" w:rsidR="004E0569" w:rsidRDefault="004E0569" w:rsidP="004E0569">
            <w:pPr>
              <w:jc w:val="center"/>
            </w:pPr>
            <w:r w:rsidRPr="004E0569">
              <w:t>Installer des coupes feux découpant la forêt en parcelles (pour la lutte contre le feu).</w:t>
            </w:r>
          </w:p>
          <w:p w14:paraId="1E268B1C" w14:textId="52EC84FE" w:rsidR="009A1C35" w:rsidRDefault="009A1C35" w:rsidP="004E0569">
            <w:pPr>
              <w:jc w:val="center"/>
            </w:pPr>
          </w:p>
        </w:tc>
        <w:tc>
          <w:tcPr>
            <w:tcW w:w="5208" w:type="dxa"/>
          </w:tcPr>
          <w:p w14:paraId="2E3F1161" w14:textId="77777777" w:rsidR="004E0569" w:rsidRDefault="004E0569" w:rsidP="004E0569">
            <w:pPr>
              <w:jc w:val="center"/>
            </w:pPr>
            <w:r w:rsidRPr="004E0569">
              <w:rPr>
                <w:noProof/>
              </w:rPr>
              <w:drawing>
                <wp:inline distT="0" distB="0" distL="0" distR="0" wp14:anchorId="236F9B1E" wp14:editId="5DB3640B">
                  <wp:extent cx="2190033" cy="1651500"/>
                  <wp:effectExtent l="0" t="0" r="1270" b="6350"/>
                  <wp:docPr id="99353" name="Picture 38" descr="debroussaill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88" name="Picture 38" descr="debroussaillage"/>
                          <pic:cNvPicPr>
                            <a:picLocks noChangeAspect="1" noChangeArrowheads="1"/>
                          </pic:cNvPicPr>
                        </pic:nvPicPr>
                        <pic:blipFill>
                          <a:blip r:embed="rId3436" cstate="print">
                            <a:extLst>
                              <a:ext uri="{28A0092B-C50C-407E-A947-70E740481C1C}">
                                <a14:useLocalDpi xmlns:a14="http://schemas.microsoft.com/office/drawing/2010/main" val="0"/>
                              </a:ext>
                            </a:extLst>
                          </a:blip>
                          <a:srcRect/>
                          <a:stretch>
                            <a:fillRect/>
                          </a:stretch>
                        </pic:blipFill>
                        <pic:spPr bwMode="auto">
                          <a:xfrm>
                            <a:off x="0" y="0"/>
                            <a:ext cx="2196360" cy="1656271"/>
                          </a:xfrm>
                          <a:prstGeom prst="rect">
                            <a:avLst/>
                          </a:prstGeom>
                          <a:noFill/>
                          <a:ln>
                            <a:noFill/>
                          </a:ln>
                        </pic:spPr>
                      </pic:pic>
                    </a:graphicData>
                  </a:graphic>
                </wp:inline>
              </w:drawing>
            </w:r>
          </w:p>
          <w:p w14:paraId="47B36F10" w14:textId="2482D1D6" w:rsidR="004E0569" w:rsidRDefault="004E0569" w:rsidP="004E0569">
            <w:pPr>
              <w:jc w:val="center"/>
            </w:pPr>
            <w:r w:rsidRPr="004E0569">
              <w:t>Débroussailler régulièrement les sous-bois (pour la lutte contre le feu).</w:t>
            </w:r>
          </w:p>
        </w:tc>
      </w:tr>
      <w:tr w:rsidR="004E0569" w14:paraId="685D3482" w14:textId="77777777" w:rsidTr="009A1C35">
        <w:tc>
          <w:tcPr>
            <w:tcW w:w="5208" w:type="dxa"/>
          </w:tcPr>
          <w:p w14:paraId="233CE652" w14:textId="77777777" w:rsidR="004E0569" w:rsidRDefault="004E0569" w:rsidP="004E0569">
            <w:pPr>
              <w:jc w:val="center"/>
            </w:pPr>
            <w:r w:rsidRPr="004E0569">
              <w:rPr>
                <w:noProof/>
              </w:rPr>
              <w:drawing>
                <wp:inline distT="0" distB="0" distL="0" distR="0" wp14:anchorId="6BF1F9BF" wp14:editId="61B94924">
                  <wp:extent cx="3000375" cy="1999403"/>
                  <wp:effectExtent l="0" t="0" r="0" b="1270"/>
                  <wp:docPr id="99354" name="Picture 39" descr="Rangiroa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89" name="Picture 39" descr="Rangiroa229"/>
                          <pic:cNvPicPr>
                            <a:picLocks noChangeAspect="1" noChangeArrowheads="1"/>
                          </pic:cNvPicPr>
                        </pic:nvPicPr>
                        <pic:blipFill>
                          <a:blip r:embed="rId3437" cstate="print">
                            <a:extLst>
                              <a:ext uri="{28A0092B-C50C-407E-A947-70E740481C1C}">
                                <a14:useLocalDpi xmlns:a14="http://schemas.microsoft.com/office/drawing/2010/main" val="0"/>
                              </a:ext>
                            </a:extLst>
                          </a:blip>
                          <a:srcRect/>
                          <a:stretch>
                            <a:fillRect/>
                          </a:stretch>
                        </pic:blipFill>
                        <pic:spPr bwMode="auto">
                          <a:xfrm>
                            <a:off x="0" y="0"/>
                            <a:ext cx="3010224" cy="2005966"/>
                          </a:xfrm>
                          <a:prstGeom prst="rect">
                            <a:avLst/>
                          </a:prstGeom>
                          <a:noFill/>
                          <a:ln>
                            <a:noFill/>
                          </a:ln>
                        </pic:spPr>
                      </pic:pic>
                    </a:graphicData>
                  </a:graphic>
                </wp:inline>
              </w:drawing>
            </w:r>
          </w:p>
          <w:p w14:paraId="6116171E" w14:textId="77777777" w:rsidR="004E0569" w:rsidRDefault="004E0569" w:rsidP="004E0569">
            <w:pPr>
              <w:jc w:val="center"/>
            </w:pPr>
            <w:r w:rsidRPr="004E0569">
              <w:t>Installer des réservoirs d’eau (pour l’irrigation et la lutte contre le feu) . Étanchéité réalisée avec une couche d’argile ou un géotextile étanche.</w:t>
            </w:r>
          </w:p>
          <w:p w14:paraId="4912A003" w14:textId="420BFDD8" w:rsidR="009A1C35" w:rsidRDefault="009A1C35" w:rsidP="004E0569">
            <w:pPr>
              <w:jc w:val="center"/>
            </w:pPr>
          </w:p>
        </w:tc>
        <w:tc>
          <w:tcPr>
            <w:tcW w:w="5208" w:type="dxa"/>
          </w:tcPr>
          <w:p w14:paraId="04DE46C8" w14:textId="77777777" w:rsidR="004E0569" w:rsidRDefault="004E0569" w:rsidP="004E0569">
            <w:pPr>
              <w:jc w:val="center"/>
            </w:pPr>
            <w:r w:rsidRPr="004E0569">
              <w:rPr>
                <w:noProof/>
              </w:rPr>
              <w:drawing>
                <wp:inline distT="0" distB="0" distL="0" distR="0" wp14:anchorId="4C521A56" wp14:editId="6FF0907A">
                  <wp:extent cx="3045559" cy="1800225"/>
                  <wp:effectExtent l="0" t="0" r="2540" b="0"/>
                  <wp:docPr id="99355" name="Picture 40" descr="dig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90" name="Picture 40" descr="digue"/>
                          <pic:cNvPicPr>
                            <a:picLocks noChangeAspect="1" noChangeArrowheads="1"/>
                          </pic:cNvPicPr>
                        </pic:nvPicPr>
                        <pic:blipFill>
                          <a:blip r:embed="rId3438" cstate="print">
                            <a:extLst>
                              <a:ext uri="{28A0092B-C50C-407E-A947-70E740481C1C}">
                                <a14:useLocalDpi xmlns:a14="http://schemas.microsoft.com/office/drawing/2010/main" val="0"/>
                              </a:ext>
                            </a:extLst>
                          </a:blip>
                          <a:srcRect/>
                          <a:stretch>
                            <a:fillRect/>
                          </a:stretch>
                        </pic:blipFill>
                        <pic:spPr bwMode="auto">
                          <a:xfrm>
                            <a:off x="0" y="0"/>
                            <a:ext cx="3065235" cy="1811855"/>
                          </a:xfrm>
                          <a:prstGeom prst="rect">
                            <a:avLst/>
                          </a:prstGeom>
                          <a:noFill/>
                          <a:ln>
                            <a:noFill/>
                          </a:ln>
                        </pic:spPr>
                      </pic:pic>
                    </a:graphicData>
                  </a:graphic>
                </wp:inline>
              </w:drawing>
            </w:r>
          </w:p>
          <w:p w14:paraId="6A916F06" w14:textId="1E247769" w:rsidR="004E0569" w:rsidRDefault="004E0569" w:rsidP="004E0569">
            <w:pPr>
              <w:jc w:val="center"/>
            </w:pPr>
            <w:r w:rsidRPr="004E0569">
              <w:t>Construction de digues pour faire des retenues d’eau ou des barrages</w:t>
            </w:r>
            <w:r>
              <w:t xml:space="preserve"> </w:t>
            </w:r>
            <w:r w:rsidRPr="004E0569">
              <w:t xml:space="preserve">(Tout dépend du régime </w:t>
            </w:r>
            <w:r>
              <w:t>des pluies</w:t>
            </w:r>
            <w:r w:rsidRPr="004E0569">
              <w:t>, de celui des crues et de la porosité du sol, local</w:t>
            </w:r>
            <w:r>
              <w:t>ement</w:t>
            </w:r>
            <w:r w:rsidRPr="004E0569">
              <w:t>).</w:t>
            </w:r>
          </w:p>
        </w:tc>
      </w:tr>
      <w:tr w:rsidR="003B0561" w14:paraId="3BEA5564" w14:textId="77777777" w:rsidTr="009A1C35">
        <w:tc>
          <w:tcPr>
            <w:tcW w:w="5208" w:type="dxa"/>
          </w:tcPr>
          <w:p w14:paraId="577E5CF9" w14:textId="77777777" w:rsidR="003B0561" w:rsidRDefault="003B0561" w:rsidP="004E0569">
            <w:pPr>
              <w:jc w:val="center"/>
            </w:pPr>
            <w:r w:rsidRPr="003B0561">
              <w:rPr>
                <w:noProof/>
              </w:rPr>
              <w:drawing>
                <wp:inline distT="0" distB="0" distL="0" distR="0" wp14:anchorId="3BC851A0" wp14:editId="0EF04AEF">
                  <wp:extent cx="944562" cy="1123950"/>
                  <wp:effectExtent l="0" t="0" r="8255" b="0"/>
                  <wp:docPr id="224271" name="Picture 18" descr="tourDeGu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271" name="Picture 18" descr="tourDeGuet"/>
                          <pic:cNvPicPr>
                            <a:picLocks noChangeAspect="1" noChangeArrowheads="1"/>
                          </pic:cNvPicPr>
                        </pic:nvPicPr>
                        <pic:blipFill>
                          <a:blip r:embed="rId3439" cstate="print">
                            <a:extLst>
                              <a:ext uri="{28A0092B-C50C-407E-A947-70E740481C1C}">
                                <a14:useLocalDpi xmlns:a14="http://schemas.microsoft.com/office/drawing/2010/main" val="0"/>
                              </a:ext>
                            </a:extLst>
                          </a:blip>
                          <a:srcRect/>
                          <a:stretch>
                            <a:fillRect/>
                          </a:stretch>
                        </pic:blipFill>
                        <pic:spPr bwMode="auto">
                          <a:xfrm>
                            <a:off x="0" y="0"/>
                            <a:ext cx="944562" cy="1123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t xml:space="preserve"> </w:t>
            </w:r>
            <w:r w:rsidRPr="003B0561">
              <w:rPr>
                <w:noProof/>
              </w:rPr>
              <w:drawing>
                <wp:inline distT="0" distB="0" distL="0" distR="0" wp14:anchorId="795774E1" wp14:editId="2B2BC949">
                  <wp:extent cx="741363" cy="1108075"/>
                  <wp:effectExtent l="0" t="0" r="1905" b="0"/>
                  <wp:docPr id="224268" name="Picture 15" descr="tourDeGue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268" name="Picture 15" descr="tourDeGuet1"/>
                          <pic:cNvPicPr>
                            <a:picLocks noChangeAspect="1" noChangeArrowheads="1"/>
                          </pic:cNvPicPr>
                        </pic:nvPicPr>
                        <pic:blipFill>
                          <a:blip r:embed="rId3440" cstate="print">
                            <a:extLst>
                              <a:ext uri="{28A0092B-C50C-407E-A947-70E740481C1C}">
                                <a14:useLocalDpi xmlns:a14="http://schemas.microsoft.com/office/drawing/2010/main" val="0"/>
                              </a:ext>
                            </a:extLst>
                          </a:blip>
                          <a:srcRect/>
                          <a:stretch>
                            <a:fillRect/>
                          </a:stretch>
                        </pic:blipFill>
                        <pic:spPr bwMode="auto">
                          <a:xfrm>
                            <a:off x="0" y="0"/>
                            <a:ext cx="741363" cy="1108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t xml:space="preserve"> </w:t>
            </w:r>
            <w:r w:rsidRPr="003B0561">
              <w:rPr>
                <w:noProof/>
              </w:rPr>
              <w:drawing>
                <wp:inline distT="0" distB="0" distL="0" distR="0" wp14:anchorId="3A6678BD" wp14:editId="0832B1C5">
                  <wp:extent cx="685800" cy="914400"/>
                  <wp:effectExtent l="0" t="0" r="0" b="0"/>
                  <wp:docPr id="224269" name="Picture 16" descr="tourDeGue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269" name="Picture 16" descr="tourDeGuet2"/>
                          <pic:cNvPicPr>
                            <a:picLocks noChangeAspect="1" noChangeArrowheads="1"/>
                          </pic:cNvPicPr>
                        </pic:nvPicPr>
                        <pic:blipFill>
                          <a:blip r:embed="rId3441" cstate="print">
                            <a:extLst>
                              <a:ext uri="{28A0092B-C50C-407E-A947-70E740481C1C}">
                                <a14:useLocalDpi xmlns:a14="http://schemas.microsoft.com/office/drawing/2010/main" val="0"/>
                              </a:ext>
                            </a:extLst>
                          </a:blip>
                          <a:srcRect/>
                          <a:stretch>
                            <a:fillRect/>
                          </a:stretch>
                        </pic:blipFill>
                        <pic:spPr bwMode="auto">
                          <a:xfrm>
                            <a:off x="0" y="0"/>
                            <a:ext cx="685800"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t xml:space="preserve"> </w:t>
            </w:r>
          </w:p>
          <w:p w14:paraId="38292951" w14:textId="16BCBABE" w:rsidR="003B0561" w:rsidRPr="004E0569" w:rsidRDefault="003B0561" w:rsidP="004E0569">
            <w:pPr>
              <w:jc w:val="center"/>
            </w:pPr>
            <w:r w:rsidRPr="003B0561">
              <w:t>Tours de guets</w:t>
            </w:r>
            <w:r w:rsidR="00583889">
              <w:t>.</w:t>
            </w:r>
          </w:p>
        </w:tc>
        <w:tc>
          <w:tcPr>
            <w:tcW w:w="5208" w:type="dxa"/>
          </w:tcPr>
          <w:p w14:paraId="736F4BF9" w14:textId="77777777" w:rsidR="003B0561" w:rsidRDefault="003B0561" w:rsidP="004E0569">
            <w:pPr>
              <w:jc w:val="center"/>
            </w:pPr>
            <w:r w:rsidRPr="003B0561">
              <w:rPr>
                <w:noProof/>
              </w:rPr>
              <w:drawing>
                <wp:inline distT="0" distB="0" distL="0" distR="0" wp14:anchorId="56B949E0" wp14:editId="1D54050C">
                  <wp:extent cx="815975" cy="1155700"/>
                  <wp:effectExtent l="0" t="0" r="3175" b="6350"/>
                  <wp:docPr id="224270" name="Picture 17" descr="tourDeGuet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270" name="Picture 17" descr="tourDeGuet3"/>
                          <pic:cNvPicPr>
                            <a:picLocks noChangeAspect="1" noChangeArrowheads="1"/>
                          </pic:cNvPicPr>
                        </pic:nvPicPr>
                        <pic:blipFill>
                          <a:blip r:embed="rId3442" cstate="print">
                            <a:extLst>
                              <a:ext uri="{28A0092B-C50C-407E-A947-70E740481C1C}">
                                <a14:useLocalDpi xmlns:a14="http://schemas.microsoft.com/office/drawing/2010/main" val="0"/>
                              </a:ext>
                            </a:extLst>
                          </a:blip>
                          <a:srcRect/>
                          <a:stretch>
                            <a:fillRect/>
                          </a:stretch>
                        </pic:blipFill>
                        <pic:spPr bwMode="auto">
                          <a:xfrm>
                            <a:off x="0" y="0"/>
                            <a:ext cx="815975" cy="1155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t xml:space="preserve">  </w:t>
            </w:r>
            <w:r w:rsidRPr="003B0561">
              <w:rPr>
                <w:noProof/>
              </w:rPr>
              <w:drawing>
                <wp:inline distT="0" distB="0" distL="0" distR="0" wp14:anchorId="0317D315" wp14:editId="44098F9D">
                  <wp:extent cx="498475" cy="1854200"/>
                  <wp:effectExtent l="0" t="0" r="0" b="0"/>
                  <wp:docPr id="224273" name="Picture 20" descr="tourGuet7_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273" name="Picture 20" descr="tourGuet7_s"/>
                          <pic:cNvPicPr>
                            <a:picLocks noChangeAspect="1" noChangeArrowheads="1"/>
                          </pic:cNvPicPr>
                        </pic:nvPicPr>
                        <pic:blipFill>
                          <a:blip r:embed="rId3443" cstate="print">
                            <a:extLst>
                              <a:ext uri="{28A0092B-C50C-407E-A947-70E740481C1C}">
                                <a14:useLocalDpi xmlns:a14="http://schemas.microsoft.com/office/drawing/2010/main" val="0"/>
                              </a:ext>
                            </a:extLst>
                          </a:blip>
                          <a:srcRect/>
                          <a:stretch>
                            <a:fillRect/>
                          </a:stretch>
                        </pic:blipFill>
                        <pic:spPr bwMode="auto">
                          <a:xfrm>
                            <a:off x="0" y="0"/>
                            <a:ext cx="498475" cy="1854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0876F10" w14:textId="77777777" w:rsidR="003B0561" w:rsidRDefault="003B0561" w:rsidP="004E0569">
            <w:pPr>
              <w:jc w:val="center"/>
            </w:pPr>
            <w:r w:rsidRPr="003B0561">
              <w:t>Tours de guets</w:t>
            </w:r>
            <w:r w:rsidR="00583889">
              <w:t>.</w:t>
            </w:r>
          </w:p>
          <w:p w14:paraId="1E22E650" w14:textId="38BE1DBB" w:rsidR="00583889" w:rsidRPr="004E0569" w:rsidRDefault="00583889" w:rsidP="004E0569">
            <w:pPr>
              <w:jc w:val="center"/>
            </w:pPr>
          </w:p>
        </w:tc>
      </w:tr>
      <w:tr w:rsidR="00132DCB" w14:paraId="3E660A2E" w14:textId="77777777" w:rsidTr="009A1C35">
        <w:tc>
          <w:tcPr>
            <w:tcW w:w="5208" w:type="dxa"/>
          </w:tcPr>
          <w:p w14:paraId="401CF9EB" w14:textId="77777777" w:rsidR="00132DCB" w:rsidRDefault="00132DCB" w:rsidP="004E0569">
            <w:pPr>
              <w:jc w:val="center"/>
            </w:pPr>
            <w:r w:rsidRPr="00132DCB">
              <w:rPr>
                <w:noProof/>
              </w:rPr>
              <w:drawing>
                <wp:inline distT="0" distB="0" distL="0" distR="0" wp14:anchorId="5FC1BCC9" wp14:editId="267441CA">
                  <wp:extent cx="666750" cy="1133475"/>
                  <wp:effectExtent l="0" t="0" r="0" b="9525"/>
                  <wp:docPr id="225297" name="Picture 30" descr="debroussaillementManuel1_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297" name="Picture 30" descr="debroussaillementManuel1_s"/>
                          <pic:cNvPicPr>
                            <a:picLocks noChangeAspect="1" noChangeArrowheads="1"/>
                          </pic:cNvPicPr>
                        </pic:nvPicPr>
                        <pic:blipFill>
                          <a:blip r:embed="rId3444" cstate="print">
                            <a:extLst>
                              <a:ext uri="{28A0092B-C50C-407E-A947-70E740481C1C}">
                                <a14:useLocalDpi xmlns:a14="http://schemas.microsoft.com/office/drawing/2010/main" val="0"/>
                              </a:ext>
                            </a:extLst>
                          </a:blip>
                          <a:srcRect/>
                          <a:stretch>
                            <a:fillRect/>
                          </a:stretch>
                        </pic:blipFill>
                        <pic:spPr bwMode="auto">
                          <a:xfrm>
                            <a:off x="0" y="0"/>
                            <a:ext cx="666750" cy="1133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t xml:space="preserve"> </w:t>
            </w:r>
            <w:r w:rsidRPr="00132DCB">
              <w:rPr>
                <w:noProof/>
              </w:rPr>
              <w:drawing>
                <wp:inline distT="0" distB="0" distL="0" distR="0" wp14:anchorId="2454CD0E" wp14:editId="644B5BAA">
                  <wp:extent cx="1104900" cy="1057275"/>
                  <wp:effectExtent l="0" t="0" r="0" b="9525"/>
                  <wp:docPr id="225296" name="Picture 29" descr="mou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296" name="Picture 29" descr="mouton"/>
                          <pic:cNvPicPr>
                            <a:picLocks noChangeAspect="1" noChangeArrowheads="1"/>
                          </pic:cNvPicPr>
                        </pic:nvPicPr>
                        <pic:blipFill>
                          <a:blip r:embed="rId3445" cstate="print">
                            <a:extLst>
                              <a:ext uri="{28A0092B-C50C-407E-A947-70E740481C1C}">
                                <a14:useLocalDpi xmlns:a14="http://schemas.microsoft.com/office/drawing/2010/main" val="0"/>
                              </a:ext>
                            </a:extLst>
                          </a:blip>
                          <a:srcRect/>
                          <a:stretch>
                            <a:fillRect/>
                          </a:stretch>
                        </pic:blipFill>
                        <pic:spPr bwMode="auto">
                          <a:xfrm>
                            <a:off x="0" y="0"/>
                            <a:ext cx="1104900" cy="1057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3654C5C6" w14:textId="77777777" w:rsidR="00132DCB" w:rsidRDefault="00132DCB" w:rsidP="004E0569">
            <w:pPr>
              <w:jc w:val="center"/>
            </w:pPr>
            <w:r w:rsidRPr="00132DCB">
              <w:t>Débroussaillement et pâturage par les moutons , ovins etc</w:t>
            </w:r>
            <w:r>
              <w:t>.</w:t>
            </w:r>
          </w:p>
          <w:p w14:paraId="084FF703" w14:textId="2781B6F6" w:rsidR="009A1C35" w:rsidRPr="003B0561" w:rsidRDefault="009A1C35" w:rsidP="004E0569">
            <w:pPr>
              <w:jc w:val="center"/>
            </w:pPr>
          </w:p>
        </w:tc>
        <w:tc>
          <w:tcPr>
            <w:tcW w:w="5208" w:type="dxa"/>
          </w:tcPr>
          <w:p w14:paraId="0DEC290C" w14:textId="77777777" w:rsidR="00132DCB" w:rsidRDefault="00132DCB" w:rsidP="004E0569">
            <w:pPr>
              <w:jc w:val="center"/>
            </w:pPr>
            <w:r w:rsidRPr="00132DCB">
              <w:rPr>
                <w:noProof/>
              </w:rPr>
              <w:lastRenderedPageBreak/>
              <w:drawing>
                <wp:inline distT="0" distB="0" distL="0" distR="0" wp14:anchorId="16AC9607" wp14:editId="76043699">
                  <wp:extent cx="1008063" cy="763588"/>
                  <wp:effectExtent l="0" t="0" r="1905" b="0"/>
                  <wp:docPr id="225290" name="Picture 30" descr="DFCIPradels-Cogolin_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290" name="Picture 30" descr="DFCIPradels-Cogolin_s"/>
                          <pic:cNvPicPr>
                            <a:picLocks noChangeAspect="1" noChangeArrowheads="1"/>
                          </pic:cNvPicPr>
                        </pic:nvPicPr>
                        <pic:blipFill>
                          <a:blip r:embed="rId3446" cstate="print">
                            <a:extLst>
                              <a:ext uri="{28A0092B-C50C-407E-A947-70E740481C1C}">
                                <a14:useLocalDpi xmlns:a14="http://schemas.microsoft.com/office/drawing/2010/main" val="0"/>
                              </a:ext>
                            </a:extLst>
                          </a:blip>
                          <a:srcRect/>
                          <a:stretch>
                            <a:fillRect/>
                          </a:stretch>
                        </pic:blipFill>
                        <pic:spPr bwMode="auto">
                          <a:xfrm>
                            <a:off x="0" y="0"/>
                            <a:ext cx="1008063" cy="7635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t xml:space="preserve"> </w:t>
            </w:r>
            <w:r w:rsidRPr="00132DCB">
              <w:rPr>
                <w:noProof/>
              </w:rPr>
              <w:drawing>
                <wp:inline distT="0" distB="0" distL="0" distR="0" wp14:anchorId="449ED48E" wp14:editId="1C4D28A6">
                  <wp:extent cx="1276350" cy="962025"/>
                  <wp:effectExtent l="0" t="0" r="0" b="9525"/>
                  <wp:docPr id="225289" name="Picture 28" descr="CheminCr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289" name="Picture 28" descr="CheminCrete"/>
                          <pic:cNvPicPr>
                            <a:picLocks noChangeAspect="1" noChangeArrowheads="1"/>
                          </pic:cNvPicPr>
                        </pic:nvPicPr>
                        <pic:blipFill>
                          <a:blip r:embed="rId3447" cstate="print">
                            <a:extLst>
                              <a:ext uri="{28A0092B-C50C-407E-A947-70E740481C1C}">
                                <a14:useLocalDpi xmlns:a14="http://schemas.microsoft.com/office/drawing/2010/main" val="0"/>
                              </a:ext>
                            </a:extLst>
                          </a:blip>
                          <a:srcRect/>
                          <a:stretch>
                            <a:fillRect/>
                          </a:stretch>
                        </pic:blipFill>
                        <pic:spPr bwMode="auto">
                          <a:xfrm>
                            <a:off x="0" y="0"/>
                            <a:ext cx="1276350" cy="962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EC3F39F" w14:textId="46A4A8D2" w:rsidR="00132DCB" w:rsidRPr="003B0561" w:rsidRDefault="00132DCB" w:rsidP="00132DCB">
            <w:pPr>
              <w:jc w:val="center"/>
            </w:pPr>
            <w:r w:rsidRPr="00132DCB">
              <w:t>Chemins de crête, largement dégagés ,d’accès facile, souvent servant de coupe-feux.</w:t>
            </w:r>
          </w:p>
        </w:tc>
      </w:tr>
      <w:tr w:rsidR="00132DCB" w14:paraId="7BBC1E35" w14:textId="77777777" w:rsidTr="009A1C35">
        <w:tc>
          <w:tcPr>
            <w:tcW w:w="5208" w:type="dxa"/>
          </w:tcPr>
          <w:p w14:paraId="4DB277C0" w14:textId="77777777" w:rsidR="00132DCB" w:rsidRDefault="00132DCB" w:rsidP="004E0569">
            <w:pPr>
              <w:jc w:val="center"/>
            </w:pPr>
            <w:r w:rsidRPr="00132DCB">
              <w:rPr>
                <w:noProof/>
              </w:rPr>
              <w:drawing>
                <wp:inline distT="0" distB="0" distL="0" distR="0" wp14:anchorId="73B4E4C9" wp14:editId="7DB9DD44">
                  <wp:extent cx="1714500" cy="939800"/>
                  <wp:effectExtent l="0" t="0" r="0" b="0"/>
                  <wp:docPr id="225291" name="Picture 31" descr="coupe-feu_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291" name="Picture 31" descr="coupe-feu_s"/>
                          <pic:cNvPicPr>
                            <a:picLocks noChangeAspect="1" noChangeArrowheads="1"/>
                          </pic:cNvPicPr>
                        </pic:nvPicPr>
                        <pic:blipFill>
                          <a:blip r:embed="rId3448" cstate="print">
                            <a:extLst>
                              <a:ext uri="{28A0092B-C50C-407E-A947-70E740481C1C}">
                                <a14:useLocalDpi xmlns:a14="http://schemas.microsoft.com/office/drawing/2010/main" val="0"/>
                              </a:ext>
                            </a:extLst>
                          </a:blip>
                          <a:srcRect/>
                          <a:stretch>
                            <a:fillRect/>
                          </a:stretch>
                        </pic:blipFill>
                        <pic:spPr bwMode="auto">
                          <a:xfrm>
                            <a:off x="0" y="0"/>
                            <a:ext cx="1714500" cy="939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t xml:space="preserve"> </w:t>
            </w:r>
            <w:r w:rsidRPr="00132DCB">
              <w:rPr>
                <w:noProof/>
              </w:rPr>
              <w:drawing>
                <wp:inline distT="0" distB="0" distL="0" distR="0" wp14:anchorId="01D212F5" wp14:editId="732DE411">
                  <wp:extent cx="1228725" cy="800100"/>
                  <wp:effectExtent l="0" t="0" r="9525" b="0"/>
                  <wp:docPr id="225286" name="Picture 25" descr="bulldoz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286" name="Picture 25" descr="bulldozer"/>
                          <pic:cNvPicPr>
                            <a:picLocks noChangeAspect="1" noChangeArrowheads="1"/>
                          </pic:cNvPicPr>
                        </pic:nvPicPr>
                        <pic:blipFill>
                          <a:blip r:embed="rId3449" cstate="print">
                            <a:extLst>
                              <a:ext uri="{28A0092B-C50C-407E-A947-70E740481C1C}">
                                <a14:useLocalDpi xmlns:a14="http://schemas.microsoft.com/office/drawing/2010/main" val="0"/>
                              </a:ext>
                            </a:extLst>
                          </a:blip>
                          <a:srcRect/>
                          <a:stretch>
                            <a:fillRect/>
                          </a:stretch>
                        </pic:blipFill>
                        <pic:spPr bwMode="auto">
                          <a:xfrm>
                            <a:off x="0" y="0"/>
                            <a:ext cx="1228725" cy="800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02789B9" w14:textId="0E3E3A8F" w:rsidR="00132DCB" w:rsidRPr="00132DCB" w:rsidRDefault="00132DCB" w:rsidP="00132DCB">
            <w:pPr>
              <w:jc w:val="center"/>
            </w:pPr>
            <w:r>
              <w:t xml:space="preserve">A gauche : </w:t>
            </w:r>
            <w:r w:rsidRPr="00132DCB">
              <w:t>Coupe-feux (Maroc).</w:t>
            </w:r>
          </w:p>
          <w:p w14:paraId="3CE4530F" w14:textId="43061408" w:rsidR="00132DCB" w:rsidRPr="00132DCB" w:rsidRDefault="00132DCB" w:rsidP="00132DCB">
            <w:pPr>
              <w:jc w:val="center"/>
            </w:pPr>
            <w:r>
              <w:t xml:space="preserve">A droite : </w:t>
            </w:r>
            <w:r w:rsidRPr="00132DCB">
              <w:t>Bulldozer pour aménager les chemins et coupe-feux.</w:t>
            </w:r>
          </w:p>
        </w:tc>
        <w:tc>
          <w:tcPr>
            <w:tcW w:w="5208" w:type="dxa"/>
          </w:tcPr>
          <w:p w14:paraId="39697396" w14:textId="77777777" w:rsidR="00132DCB" w:rsidRDefault="00132DCB" w:rsidP="004E0569">
            <w:pPr>
              <w:jc w:val="center"/>
            </w:pPr>
            <w:r w:rsidRPr="00132DCB">
              <w:rPr>
                <w:noProof/>
              </w:rPr>
              <w:drawing>
                <wp:inline distT="0" distB="0" distL="0" distR="0" wp14:anchorId="10C5FACE" wp14:editId="16336A02">
                  <wp:extent cx="1962150" cy="1400175"/>
                  <wp:effectExtent l="0" t="0" r="0" b="9525"/>
                  <wp:docPr id="225288" name="Picture 27" descr="CameraSystemeArtisF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288" name="Picture 27" descr="CameraSystemeArtisFire"/>
                          <pic:cNvPicPr>
                            <a:picLocks noChangeAspect="1" noChangeArrowheads="1"/>
                          </pic:cNvPicPr>
                        </pic:nvPicPr>
                        <pic:blipFill>
                          <a:blip r:embed="rId3450" cstate="print">
                            <a:extLst>
                              <a:ext uri="{28A0092B-C50C-407E-A947-70E740481C1C}">
                                <a14:useLocalDpi xmlns:a14="http://schemas.microsoft.com/office/drawing/2010/main" val="0"/>
                              </a:ext>
                            </a:extLst>
                          </a:blip>
                          <a:srcRect/>
                          <a:stretch>
                            <a:fillRect/>
                          </a:stretch>
                        </pic:blipFill>
                        <pic:spPr bwMode="auto">
                          <a:xfrm>
                            <a:off x="0" y="0"/>
                            <a:ext cx="1962150" cy="1400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t xml:space="preserve"> </w:t>
            </w:r>
            <w:r w:rsidRPr="00132DCB">
              <w:rPr>
                <w:noProof/>
              </w:rPr>
              <w:drawing>
                <wp:inline distT="0" distB="0" distL="0" distR="0" wp14:anchorId="44BC6728" wp14:editId="0ACE4F96">
                  <wp:extent cx="533400" cy="1858962"/>
                  <wp:effectExtent l="0" t="0" r="0" b="8255"/>
                  <wp:docPr id="225287" name="Picture 26" descr="CameraSitueSurPicBerta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287" name="Picture 26" descr="CameraSitueSurPicBertache"/>
                          <pic:cNvPicPr>
                            <a:picLocks noChangeAspect="1" noChangeArrowheads="1"/>
                          </pic:cNvPicPr>
                        </pic:nvPicPr>
                        <pic:blipFill>
                          <a:blip r:embed="rId3451" cstate="print">
                            <a:extLst>
                              <a:ext uri="{28A0092B-C50C-407E-A947-70E740481C1C}">
                                <a14:useLocalDpi xmlns:a14="http://schemas.microsoft.com/office/drawing/2010/main" val="0"/>
                              </a:ext>
                            </a:extLst>
                          </a:blip>
                          <a:srcRect/>
                          <a:stretch>
                            <a:fillRect/>
                          </a:stretch>
                        </pic:blipFill>
                        <pic:spPr bwMode="auto">
                          <a:xfrm>
                            <a:off x="0" y="0"/>
                            <a:ext cx="533400" cy="18589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E534649" w14:textId="46DEF1CC" w:rsidR="00132DCB" w:rsidRPr="00132DCB" w:rsidRDefault="00132DCB" w:rsidP="00132DCB">
            <w:pPr>
              <w:jc w:val="center"/>
            </w:pPr>
            <w:r w:rsidRPr="00132DCB">
              <w:t>Caméra infrarouge système Artis Fire (efficace mais coûteux)</w:t>
            </w:r>
            <w:r>
              <w:t>.</w:t>
            </w:r>
          </w:p>
        </w:tc>
      </w:tr>
    </w:tbl>
    <w:p w14:paraId="55EEC5C6" w14:textId="77777777" w:rsidR="006D4861" w:rsidRDefault="006D4861" w:rsidP="00E25D74">
      <w:pPr>
        <w:spacing w:after="0" w:line="240" w:lineRule="auto"/>
        <w:rPr>
          <w:b/>
          <w:bCs/>
        </w:rPr>
      </w:pPr>
    </w:p>
    <w:p w14:paraId="0E25F610" w14:textId="071069A3" w:rsidR="00F56ED4" w:rsidRPr="00F56ED4" w:rsidRDefault="00F56ED4" w:rsidP="00D06F2D">
      <w:pPr>
        <w:pStyle w:val="Titre2"/>
      </w:pPr>
      <w:bookmarkStart w:id="291" w:name="_Toc139181582"/>
      <w:r w:rsidRPr="00F56ED4">
        <w:t>Des solutions</w:t>
      </w:r>
      <w:r>
        <w:t xml:space="preserve"> récentes</w:t>
      </w:r>
      <w:r w:rsidRPr="00F56ED4">
        <w:t xml:space="preserve"> pour pays riches (hors des moyens des pays en voie de développement</w:t>
      </w:r>
      <w:r>
        <w:t>)</w:t>
      </w:r>
      <w:bookmarkEnd w:id="291"/>
    </w:p>
    <w:p w14:paraId="7DADC330" w14:textId="6DD184D8" w:rsidR="00F56ED4" w:rsidRPr="00F56ED4" w:rsidRDefault="00F56ED4" w:rsidP="00F56ED4">
      <w:pPr>
        <w:spacing w:after="0" w:line="240" w:lineRule="auto"/>
        <w:jc w:val="both"/>
      </w:pPr>
    </w:p>
    <w:p w14:paraId="022F32C2" w14:textId="5A376147" w:rsidR="00F56ED4" w:rsidRDefault="00F56ED4" w:rsidP="00F56ED4">
      <w:pPr>
        <w:spacing w:after="0" w:line="240" w:lineRule="auto"/>
        <w:jc w:val="both"/>
      </w:pPr>
      <w:r>
        <w:t xml:space="preserve">Pour mention. </w:t>
      </w:r>
      <w:r w:rsidRPr="00F56ED4">
        <w:t>En 2020, le ministère espagnol de l’écologie a mis en place un système d’intelligence artificielle pour prédire les incendies. En un an, le nombre d'hectares calcinés a baissé de 20%.</w:t>
      </w:r>
    </w:p>
    <w:p w14:paraId="199BB53D" w14:textId="1E7C4CE8" w:rsidR="006D4861" w:rsidRDefault="006D4861" w:rsidP="00F56ED4">
      <w:pPr>
        <w:spacing w:after="0" w:line="240" w:lineRule="auto"/>
        <w:jc w:val="both"/>
      </w:pPr>
    </w:p>
    <w:p w14:paraId="219F1B54" w14:textId="750719EB" w:rsidR="00D06F2D" w:rsidRDefault="00D06F2D" w:rsidP="00D06F2D">
      <w:pPr>
        <w:pStyle w:val="Titre3"/>
      </w:pPr>
      <w:bookmarkStart w:id="292" w:name="_Toc139181583"/>
      <w:r>
        <w:t>Solution Pyro</w:t>
      </w:r>
      <w:bookmarkEnd w:id="292"/>
    </w:p>
    <w:p w14:paraId="2975925A" w14:textId="77777777" w:rsidR="00D06F2D" w:rsidRPr="00F56ED4" w:rsidRDefault="00D06F2D" w:rsidP="00F56ED4">
      <w:pPr>
        <w:spacing w:after="0" w:line="240" w:lineRule="auto"/>
        <w:jc w:val="both"/>
      </w:pPr>
    </w:p>
    <w:p w14:paraId="75F52FCA" w14:textId="383F6CC7" w:rsidR="006D4861" w:rsidRPr="00F56ED4" w:rsidRDefault="00F56ED4" w:rsidP="00F56ED4">
      <w:pPr>
        <w:spacing w:after="0" w:line="240" w:lineRule="auto"/>
        <w:jc w:val="both"/>
      </w:pPr>
      <w:r w:rsidRPr="00F56ED4">
        <w:t xml:space="preserve">Des solutions sont aussi développées par des sociétés privées. C'est le cas de </w:t>
      </w:r>
      <w:r w:rsidRPr="00F56ED4">
        <w:rPr>
          <w:i/>
          <w:iCs/>
        </w:rPr>
        <w:t>Pyro</w:t>
      </w:r>
      <w:r w:rsidRPr="00F56ED4">
        <w:t>, une start-up</w:t>
      </w:r>
      <w:r>
        <w:t xml:space="preserve"> espagnole</w:t>
      </w:r>
      <w:r w:rsidRPr="00F56ED4">
        <w:t xml:space="preserve"> à l'origine de capteurs capables d’alerter les habitants et les autorités en cas d'incendie. Les capteurs mesurent en temps réel la température, l’humidité, le vent et les gaz contenus dans l'air.</w:t>
      </w:r>
    </w:p>
    <w:p w14:paraId="19E2517A" w14:textId="18FD214F" w:rsidR="00F56ED4" w:rsidRDefault="00F56ED4" w:rsidP="00F56ED4">
      <w:pPr>
        <w:spacing w:after="0" w:line="240" w:lineRule="auto"/>
        <w:jc w:val="both"/>
      </w:pPr>
      <w:r w:rsidRPr="00F56ED4">
        <w:t>"</w:t>
      </w:r>
      <w:r w:rsidRPr="00F56ED4">
        <w:rPr>
          <w:i/>
          <w:iCs/>
        </w:rPr>
        <w:t>Le capteur peut nous indiquer la force du vent de façon très précise. Les pompiers savent quel capteur a déclenché une alerte et quand. Ces informations sont accessibles sur un téléphone, on peut donc générer un itinéraire jusqu'au capteu</w:t>
      </w:r>
      <w:r w:rsidRPr="00F56ED4">
        <w:t>r", explique au 19h30 José Luis Liz, fondateur de Pyro.</w:t>
      </w:r>
    </w:p>
    <w:p w14:paraId="41F38C0C" w14:textId="77777777" w:rsidR="006D4861" w:rsidRPr="00F56ED4" w:rsidRDefault="006D4861" w:rsidP="00F56ED4">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54"/>
        <w:gridCol w:w="4462"/>
      </w:tblGrid>
      <w:tr w:rsidR="006D4861" w14:paraId="4916D054" w14:textId="77777777" w:rsidTr="00D06F2D">
        <w:tc>
          <w:tcPr>
            <w:tcW w:w="5954" w:type="dxa"/>
          </w:tcPr>
          <w:p w14:paraId="0FCFD7C0" w14:textId="77777777" w:rsidR="006D4861" w:rsidRDefault="006D4861" w:rsidP="00016B3A">
            <w:pPr>
              <w:jc w:val="center"/>
            </w:pPr>
            <w:r>
              <w:rPr>
                <w:noProof/>
              </w:rPr>
              <w:drawing>
                <wp:inline distT="0" distB="0" distL="0" distR="0" wp14:anchorId="0B42F951" wp14:editId="236340E4">
                  <wp:extent cx="2066925" cy="1914525"/>
                  <wp:effectExtent l="0" t="0" r="9525" b="9525"/>
                  <wp:docPr id="42000" name="Image 4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2"/>
                          <a:stretch>
                            <a:fillRect/>
                          </a:stretch>
                        </pic:blipFill>
                        <pic:spPr>
                          <a:xfrm>
                            <a:off x="0" y="0"/>
                            <a:ext cx="2066925" cy="1914525"/>
                          </a:xfrm>
                          <a:prstGeom prst="rect">
                            <a:avLst/>
                          </a:prstGeom>
                        </pic:spPr>
                      </pic:pic>
                    </a:graphicData>
                  </a:graphic>
                </wp:inline>
              </w:drawing>
            </w:r>
          </w:p>
          <w:p w14:paraId="33949414" w14:textId="77777777" w:rsidR="006D4861" w:rsidRDefault="006D4861" w:rsidP="00016B3A">
            <w:pPr>
              <w:jc w:val="both"/>
            </w:pPr>
            <w:r>
              <w:t xml:space="preserve">Ce capteur, de la société </w:t>
            </w:r>
            <w:r w:rsidRPr="006D4861">
              <w:rPr>
                <w:i/>
                <w:iCs/>
              </w:rPr>
              <w:t>Pyro</w:t>
            </w:r>
            <w:r>
              <w:t xml:space="preserve">, mesure, en temps </w:t>
            </w:r>
            <w:r w:rsidRPr="00F56ED4">
              <w:t>réel la température, l’humidité, le vent</w:t>
            </w:r>
            <w:r>
              <w:t>,</w:t>
            </w:r>
            <w:r w:rsidRPr="00F56ED4">
              <w:t xml:space="preserve"> les gaz contenus dans l'air</w:t>
            </w:r>
            <w:r>
              <w:t xml:space="preserve">, et, en cas de problème, envoie une alerte vers une liste de destinataires, ce qui leur permet d’agir le plus vite possible. 24h sur 24, les données sont analysées dans un centre de contrôle. Le village d’Olocau, sur la côte méditerranéenne, entouré par des forêts de pins, s’est équipé d’une soixantaine de capteurs de la société </w:t>
            </w:r>
            <w:r w:rsidRPr="006D4861">
              <w:rPr>
                <w:i/>
                <w:iCs/>
              </w:rPr>
              <w:t>Pyro</w:t>
            </w:r>
            <w:r>
              <w:t>.</w:t>
            </w:r>
          </w:p>
        </w:tc>
        <w:tc>
          <w:tcPr>
            <w:tcW w:w="4462" w:type="dxa"/>
          </w:tcPr>
          <w:p w14:paraId="66018700" w14:textId="77777777" w:rsidR="006D4861" w:rsidRDefault="006D4861" w:rsidP="00016B3A">
            <w:pPr>
              <w:jc w:val="center"/>
            </w:pPr>
            <w:r>
              <w:rPr>
                <w:noProof/>
              </w:rPr>
              <w:drawing>
                <wp:inline distT="0" distB="0" distL="0" distR="0" wp14:anchorId="31BD219A" wp14:editId="12B2E1C9">
                  <wp:extent cx="2401033" cy="1076325"/>
                  <wp:effectExtent l="0" t="0" r="0" b="0"/>
                  <wp:docPr id="42001" name="Image 42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3"/>
                          <a:stretch>
                            <a:fillRect/>
                          </a:stretch>
                        </pic:blipFill>
                        <pic:spPr>
                          <a:xfrm>
                            <a:off x="0" y="0"/>
                            <a:ext cx="2406020" cy="1078561"/>
                          </a:xfrm>
                          <a:prstGeom prst="rect">
                            <a:avLst/>
                          </a:prstGeom>
                        </pic:spPr>
                      </pic:pic>
                    </a:graphicData>
                  </a:graphic>
                </wp:inline>
              </w:drawing>
            </w:r>
          </w:p>
          <w:p w14:paraId="63A4ECA1" w14:textId="77777777" w:rsidR="006D4861" w:rsidRDefault="006D4861" w:rsidP="00016B3A">
            <w:pPr>
              <w:jc w:val="center"/>
            </w:pPr>
            <w:r>
              <w:t xml:space="preserve">Ce drone, de la société </w:t>
            </w:r>
            <w:r w:rsidRPr="006D4861">
              <w:rPr>
                <w:i/>
                <w:iCs/>
              </w:rPr>
              <w:t>Drone Hopper</w:t>
            </w:r>
            <w:r>
              <w:t>, équipé de capteurs thermiques, peut transporter 600 litres d’eau.</w:t>
            </w:r>
          </w:p>
        </w:tc>
      </w:tr>
    </w:tbl>
    <w:p w14:paraId="0DF522B7" w14:textId="77777777" w:rsidR="00401403" w:rsidRDefault="00401403" w:rsidP="00C878F5">
      <w:pPr>
        <w:spacing w:after="0" w:line="240" w:lineRule="auto"/>
        <w:rPr>
          <w:i/>
          <w:iCs/>
        </w:rPr>
      </w:pPr>
    </w:p>
    <w:p w14:paraId="47A2ED1A" w14:textId="3750729D" w:rsidR="00F56ED4" w:rsidRPr="00C878F5" w:rsidRDefault="00F56ED4" w:rsidP="00D06F2D">
      <w:pPr>
        <w:pStyle w:val="Titre3"/>
      </w:pPr>
      <w:bookmarkStart w:id="293" w:name="_Toc139181584"/>
      <w:r w:rsidRPr="00C878F5">
        <w:t>Un drone du type "canadair"</w:t>
      </w:r>
      <w:bookmarkEnd w:id="293"/>
    </w:p>
    <w:p w14:paraId="506EE8C5" w14:textId="77777777" w:rsidR="00F56ED4" w:rsidRDefault="00F56ED4" w:rsidP="00F56ED4">
      <w:pPr>
        <w:spacing w:after="0" w:line="240" w:lineRule="auto"/>
        <w:jc w:val="both"/>
      </w:pPr>
    </w:p>
    <w:p w14:paraId="49E49DBD" w14:textId="77777777" w:rsidR="00F56ED4" w:rsidRDefault="00F56ED4" w:rsidP="00F56ED4">
      <w:pPr>
        <w:spacing w:after="0" w:line="240" w:lineRule="auto"/>
        <w:jc w:val="both"/>
      </w:pPr>
      <w:r>
        <w:t>A Madrid, l'entreprise Drone Hopper travaille sur un drone faisant office de canadair. Moins cher qu'un avion, ce drone peut transporter 600 litres d’eau. Grâce à ses caméras thermiques, il localise précisément les points chauds. Un prototype pourrait être opérationnel dès la fin de l’année.</w:t>
      </w:r>
    </w:p>
    <w:p w14:paraId="3D2A7997" w14:textId="62844322" w:rsidR="00F56ED4" w:rsidRDefault="00F56ED4" w:rsidP="00F56ED4">
      <w:pPr>
        <w:spacing w:after="0" w:line="240" w:lineRule="auto"/>
        <w:jc w:val="both"/>
      </w:pPr>
      <w:r>
        <w:t>Selon Pablo Flores, fondateur de Drone Hopper, "</w:t>
      </w:r>
      <w:r w:rsidRPr="00F56ED4">
        <w:rPr>
          <w:i/>
          <w:iCs/>
        </w:rPr>
        <w:t>Le pompier pourra être près de l’incendie, mais pas en plein milieu. Il pourra se trouver à 1km ou 2km du feu et donc ne pas prendre de risque</w:t>
      </w:r>
      <w:r>
        <w:t>."</w:t>
      </w:r>
    </w:p>
    <w:p w14:paraId="344124DB" w14:textId="1BB1567A" w:rsidR="00F56ED4" w:rsidRDefault="00F56ED4" w:rsidP="00F56ED4">
      <w:pPr>
        <w:spacing w:after="0" w:line="240" w:lineRule="auto"/>
        <w:jc w:val="both"/>
      </w:pPr>
    </w:p>
    <w:p w14:paraId="7D4F4C00" w14:textId="4C1903F3" w:rsidR="00F56ED4" w:rsidRDefault="00F56ED4" w:rsidP="00F56ED4">
      <w:pPr>
        <w:spacing w:after="0" w:line="240" w:lineRule="auto"/>
        <w:jc w:val="both"/>
      </w:pPr>
      <w:r>
        <w:t xml:space="preserve">Source : </w:t>
      </w:r>
      <w:r w:rsidRPr="00F56ED4">
        <w:rPr>
          <w:i/>
          <w:iCs/>
        </w:rPr>
        <w:t>L'Espagne mise sur de nouvelles technologies pour déjouer les incendies</w:t>
      </w:r>
      <w:r w:rsidRPr="00F56ED4">
        <w:t xml:space="preserve">, 05/09/2021, </w:t>
      </w:r>
      <w:hyperlink r:id="rId3454" w:history="1">
        <w:r w:rsidRPr="00BE2ABF">
          <w:rPr>
            <w:rStyle w:val="Lienhypertexte"/>
          </w:rPr>
          <w:t>https://www.rts.ch/info/sciences-tech/environnement/12449870-lespagne-mise-sur-de-nouvelles-technologies-pour-dejouer-les-incendies.html</w:t>
        </w:r>
      </w:hyperlink>
      <w:r>
        <w:t xml:space="preserve"> </w:t>
      </w:r>
    </w:p>
    <w:p w14:paraId="06C3D692" w14:textId="77777777" w:rsidR="00F56ED4" w:rsidRPr="00F56ED4" w:rsidRDefault="00F56ED4" w:rsidP="00F56ED4">
      <w:pPr>
        <w:spacing w:after="0" w:line="240" w:lineRule="auto"/>
        <w:jc w:val="both"/>
      </w:pPr>
    </w:p>
    <w:p w14:paraId="2029F7AF" w14:textId="4E8ACB63" w:rsidR="00E25D74" w:rsidRPr="00E25D74" w:rsidRDefault="00E25D74" w:rsidP="00E25D74">
      <w:pPr>
        <w:pStyle w:val="Titre2"/>
      </w:pPr>
      <w:bookmarkStart w:id="294" w:name="_Toc139181585"/>
      <w:r w:rsidRPr="00E25D74">
        <w:t>Développement d'une culture de la prévention</w:t>
      </w:r>
      <w:bookmarkEnd w:id="294"/>
    </w:p>
    <w:p w14:paraId="6EC0BC46" w14:textId="77777777" w:rsidR="00E25D74" w:rsidRPr="00E25D74" w:rsidRDefault="00E25D74" w:rsidP="00E25D74">
      <w:pPr>
        <w:spacing w:after="0" w:line="240" w:lineRule="auto"/>
      </w:pPr>
    </w:p>
    <w:p w14:paraId="050FBA1D" w14:textId="2A400D29" w:rsidR="00E25D74" w:rsidRPr="00E25D74" w:rsidRDefault="00E25D74" w:rsidP="00DA3C46">
      <w:pPr>
        <w:numPr>
          <w:ilvl w:val="0"/>
          <w:numId w:val="75"/>
        </w:numPr>
        <w:spacing w:after="0" w:line="240" w:lineRule="auto"/>
      </w:pPr>
      <w:r w:rsidRPr="00E25D74">
        <w:t xml:space="preserve">Campagnes d'information sur les risques et la prévention auprès du public : </w:t>
      </w:r>
    </w:p>
    <w:p w14:paraId="47638D3A" w14:textId="47218B33" w:rsidR="00E25D74" w:rsidRPr="00E25D74" w:rsidRDefault="00E25D74" w:rsidP="00DA3C46">
      <w:pPr>
        <w:numPr>
          <w:ilvl w:val="0"/>
          <w:numId w:val="75"/>
        </w:numPr>
        <w:spacing w:after="0" w:line="240" w:lineRule="auto"/>
      </w:pPr>
      <w:r w:rsidRPr="00E25D74">
        <w:t>Formation professionnelle et citoyenne, des habitants, par les pompiers, à la lutte anti-feux.</w:t>
      </w:r>
    </w:p>
    <w:p w14:paraId="512DC7BB" w14:textId="50523882" w:rsidR="00E25D74" w:rsidRPr="00E25D74" w:rsidRDefault="00E25D74" w:rsidP="00DA3C46">
      <w:pPr>
        <w:numPr>
          <w:ilvl w:val="0"/>
          <w:numId w:val="75"/>
        </w:numPr>
        <w:spacing w:after="0" w:line="240" w:lineRule="auto"/>
      </w:pPr>
      <w:r w:rsidRPr="00E25D74">
        <w:t>Apprendre l'extinction des feux (tous les moyens d'intervention, quels qu'ils soient).</w:t>
      </w:r>
    </w:p>
    <w:p w14:paraId="64542CB8" w14:textId="4D27444C" w:rsidR="00E25D74" w:rsidRPr="00E25D74" w:rsidRDefault="00E25D74" w:rsidP="00DA3C46">
      <w:pPr>
        <w:numPr>
          <w:ilvl w:val="0"/>
          <w:numId w:val="75"/>
        </w:numPr>
        <w:spacing w:after="0" w:line="240" w:lineRule="auto"/>
      </w:pPr>
      <w:r w:rsidRPr="00E25D74">
        <w:t>Et la remise en état (les mesures prises après l'incendie, pour en limiter les effets négatifs).</w:t>
      </w:r>
    </w:p>
    <w:p w14:paraId="0C447C3E" w14:textId="59F40F96" w:rsidR="00E25D74" w:rsidRPr="00E25D74" w:rsidRDefault="00E25D74" w:rsidP="00DA3C46">
      <w:pPr>
        <w:numPr>
          <w:ilvl w:val="0"/>
          <w:numId w:val="75"/>
        </w:numPr>
        <w:spacing w:after="0" w:line="240" w:lineRule="auto"/>
      </w:pPr>
      <w:r w:rsidRPr="00E25D74">
        <w:t xml:space="preserve">Programmes spécifiques destinés aux écoliers, avec interventions de forestiers et de sapeurs-pompiers dans les écoles. </w:t>
      </w:r>
    </w:p>
    <w:p w14:paraId="3A5F117E" w14:textId="35EBDB9F" w:rsidR="00E25D74" w:rsidRPr="00E25D74" w:rsidRDefault="00E25D74" w:rsidP="00DA3C46">
      <w:pPr>
        <w:numPr>
          <w:ilvl w:val="0"/>
          <w:numId w:val="75"/>
        </w:numPr>
        <w:spacing w:after="0" w:line="240" w:lineRule="auto"/>
      </w:pPr>
      <w:r w:rsidRPr="00E25D74">
        <w:t>Spots télévisés, campagne d’affiches, annonces radio de sensibilisation.</w:t>
      </w:r>
    </w:p>
    <w:p w14:paraId="6C2EE6BD" w14:textId="43539C05" w:rsidR="00E25D74" w:rsidRPr="00E25D74" w:rsidRDefault="00E25D74" w:rsidP="00DA3C46">
      <w:pPr>
        <w:numPr>
          <w:ilvl w:val="0"/>
          <w:numId w:val="75"/>
        </w:numPr>
        <w:spacing w:after="0" w:line="240" w:lineRule="auto"/>
      </w:pPr>
      <w:r w:rsidRPr="00E25D74">
        <w:t>Représentations théâtrales sur les conséquences des feux avec accent sur les risques.</w:t>
      </w:r>
    </w:p>
    <w:p w14:paraId="5E56C3F0" w14:textId="79E78315" w:rsidR="00E25D74" w:rsidRPr="00E25D74" w:rsidRDefault="00E25D74" w:rsidP="00DA3C46">
      <w:pPr>
        <w:numPr>
          <w:ilvl w:val="0"/>
          <w:numId w:val="75"/>
        </w:numPr>
        <w:spacing w:after="0" w:line="240" w:lineRule="auto"/>
      </w:pPr>
      <w:r w:rsidRPr="00E25D74">
        <w:t>Faire comprendre les enjeux économiques, écologiques (l’érosion …) de ces feux etc.</w:t>
      </w:r>
    </w:p>
    <w:p w14:paraId="41A7C1F4" w14:textId="419CB291" w:rsidR="00E25D74" w:rsidRDefault="00E25D74" w:rsidP="00DA3C46">
      <w:pPr>
        <w:numPr>
          <w:ilvl w:val="0"/>
          <w:numId w:val="75"/>
        </w:numPr>
        <w:spacing w:after="0" w:line="240" w:lineRule="auto"/>
      </w:pPr>
      <w:r w:rsidRPr="00E25D74">
        <w:t xml:space="preserve">Maîtriser le développement urbain, ne pas construire en zones inflammables. </w:t>
      </w:r>
    </w:p>
    <w:p w14:paraId="50F7DB09" w14:textId="77777777" w:rsidR="00E25D74" w:rsidRPr="00E25D74" w:rsidRDefault="00E25D74" w:rsidP="00DA3C46">
      <w:pPr>
        <w:numPr>
          <w:ilvl w:val="0"/>
          <w:numId w:val="75"/>
        </w:numPr>
        <w:spacing w:after="0" w:line="240" w:lineRule="auto"/>
      </w:pPr>
      <w:r w:rsidRPr="00E25D74">
        <w:t>Cartographie des zones à risque (pyro-géographie).</w:t>
      </w:r>
    </w:p>
    <w:p w14:paraId="4F9AD4FD" w14:textId="77777777" w:rsidR="00E25D74" w:rsidRPr="00E25D74" w:rsidRDefault="00E25D74" w:rsidP="00DA3C46">
      <w:pPr>
        <w:numPr>
          <w:ilvl w:val="0"/>
          <w:numId w:val="75"/>
        </w:numPr>
        <w:spacing w:after="0" w:line="240" w:lineRule="auto"/>
      </w:pPr>
      <w:r w:rsidRPr="00E25D74">
        <w:t xml:space="preserve"> Eviter les terres et forêts en fiches, non entretenues</w:t>
      </w:r>
    </w:p>
    <w:p w14:paraId="01E9DD42" w14:textId="77777777" w:rsidR="00E25D74" w:rsidRPr="00E25D74" w:rsidRDefault="00E25D74" w:rsidP="00DA3C46">
      <w:pPr>
        <w:numPr>
          <w:ilvl w:val="0"/>
          <w:numId w:val="75"/>
        </w:numPr>
        <w:spacing w:after="0" w:line="240" w:lineRule="auto"/>
      </w:pPr>
      <w:r w:rsidRPr="00E25D74">
        <w:t xml:space="preserve"> Eviter d’assécher les tourbières.</w:t>
      </w:r>
    </w:p>
    <w:p w14:paraId="03D9DD4F" w14:textId="77777777" w:rsidR="00E25D74" w:rsidRPr="00E25D74" w:rsidRDefault="00E25D74" w:rsidP="00DA3C46">
      <w:pPr>
        <w:numPr>
          <w:ilvl w:val="0"/>
          <w:numId w:val="75"/>
        </w:numPr>
        <w:spacing w:after="0" w:line="240" w:lineRule="auto"/>
      </w:pPr>
      <w:r w:rsidRPr="00E25D74">
        <w:t xml:space="preserve"> Disposer en permanence d’eau, de réserve d’eau, d’extincteurs, à proximité des zones à risques.</w:t>
      </w:r>
    </w:p>
    <w:p w14:paraId="337B3AEB" w14:textId="4BC56230" w:rsidR="00E25D74" w:rsidRDefault="00E25D74" w:rsidP="00E25D74">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46"/>
        <w:gridCol w:w="3213"/>
        <w:gridCol w:w="3357"/>
      </w:tblGrid>
      <w:tr w:rsidR="00140EDB" w14:paraId="14390605" w14:textId="77777777" w:rsidTr="00016B3A">
        <w:tc>
          <w:tcPr>
            <w:tcW w:w="3846" w:type="dxa"/>
          </w:tcPr>
          <w:p w14:paraId="4115FDCD" w14:textId="77777777" w:rsidR="00140EDB" w:rsidRDefault="00140EDB" w:rsidP="00016B3A">
            <w:pPr>
              <w:jc w:val="center"/>
            </w:pPr>
          </w:p>
          <w:p w14:paraId="03B67360" w14:textId="77777777" w:rsidR="00140EDB" w:rsidRDefault="00140EDB" w:rsidP="00016B3A">
            <w:pPr>
              <w:jc w:val="center"/>
            </w:pPr>
          </w:p>
          <w:p w14:paraId="0974CB72" w14:textId="77777777" w:rsidR="00140EDB" w:rsidRDefault="00140EDB" w:rsidP="00016B3A">
            <w:pPr>
              <w:jc w:val="center"/>
            </w:pPr>
          </w:p>
          <w:p w14:paraId="60AD9646" w14:textId="77777777" w:rsidR="00140EDB" w:rsidRDefault="00140EDB" w:rsidP="00016B3A">
            <w:pPr>
              <w:jc w:val="center"/>
            </w:pPr>
          </w:p>
          <w:p w14:paraId="7E6AEEAA" w14:textId="77777777" w:rsidR="00140EDB" w:rsidRDefault="00140EDB" w:rsidP="00016B3A">
            <w:pPr>
              <w:jc w:val="center"/>
            </w:pPr>
            <w:r w:rsidRPr="000C401D">
              <w:rPr>
                <w:noProof/>
              </w:rPr>
              <w:drawing>
                <wp:inline distT="0" distB="0" distL="0" distR="0" wp14:anchorId="6AA8B05A" wp14:editId="648251EC">
                  <wp:extent cx="1223962" cy="815975"/>
                  <wp:effectExtent l="0" t="0" r="0" b="3175"/>
                  <wp:docPr id="223237" name="Picture 11" descr="feuxC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237" name="Picture 11" descr="feuxCamp"/>
                          <pic:cNvPicPr>
                            <a:picLocks noChangeAspect="1" noChangeArrowheads="1"/>
                          </pic:cNvPicPr>
                        </pic:nvPicPr>
                        <pic:blipFill>
                          <a:blip r:embed="rId3432" cstate="print">
                            <a:extLst>
                              <a:ext uri="{28A0092B-C50C-407E-A947-70E740481C1C}">
                                <a14:useLocalDpi xmlns:a14="http://schemas.microsoft.com/office/drawing/2010/main" val="0"/>
                              </a:ext>
                            </a:extLst>
                          </a:blip>
                          <a:srcRect/>
                          <a:stretch>
                            <a:fillRect/>
                          </a:stretch>
                        </pic:blipFill>
                        <pic:spPr bwMode="auto">
                          <a:xfrm>
                            <a:off x="0" y="0"/>
                            <a:ext cx="1223962" cy="815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6752FDE5" w14:textId="77777777" w:rsidR="00140EDB" w:rsidRDefault="00140EDB" w:rsidP="00016B3A">
            <w:pPr>
              <w:jc w:val="center"/>
            </w:pPr>
            <w:r>
              <w:t>Ne pas allumer des feux n’importe où.</w:t>
            </w:r>
          </w:p>
        </w:tc>
        <w:tc>
          <w:tcPr>
            <w:tcW w:w="3213" w:type="dxa"/>
          </w:tcPr>
          <w:p w14:paraId="75E32A0E" w14:textId="77777777" w:rsidR="00140EDB" w:rsidRDefault="00140EDB" w:rsidP="00016B3A">
            <w:pPr>
              <w:jc w:val="center"/>
            </w:pPr>
            <w:r w:rsidRPr="00D871D1">
              <w:rPr>
                <w:noProof/>
              </w:rPr>
              <w:drawing>
                <wp:inline distT="0" distB="0" distL="0" distR="0" wp14:anchorId="768DB3C8" wp14:editId="3536F2D2">
                  <wp:extent cx="1784350" cy="1701800"/>
                  <wp:effectExtent l="0" t="0" r="6350" b="0"/>
                  <wp:docPr id="230413" name="Image 14" descr="aimee-rapin-depart-de-feu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413" name="Image 14" descr="aimee-rapin-depart-de-feu_s.jpg"/>
                          <pic:cNvPicPr>
                            <a:picLocks noChangeAspect="1"/>
                          </pic:cNvPicPr>
                        </pic:nvPicPr>
                        <pic:blipFill>
                          <a:blip r:embed="rId3455" cstate="print">
                            <a:extLst>
                              <a:ext uri="{28A0092B-C50C-407E-A947-70E740481C1C}">
                                <a14:useLocalDpi xmlns:a14="http://schemas.microsoft.com/office/drawing/2010/main" val="0"/>
                              </a:ext>
                            </a:extLst>
                          </a:blip>
                          <a:srcRect/>
                          <a:stretch>
                            <a:fillRect/>
                          </a:stretch>
                        </pic:blipFill>
                        <pic:spPr bwMode="auto">
                          <a:xfrm>
                            <a:off x="0" y="0"/>
                            <a:ext cx="1784350" cy="1701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6D1628F" w14:textId="4261CCC1" w:rsidR="00140EDB" w:rsidRPr="00D871D1" w:rsidRDefault="00140EDB" w:rsidP="00016B3A">
            <w:pPr>
              <w:jc w:val="center"/>
            </w:pPr>
            <w:r w:rsidRPr="00D871D1">
              <w:t>Un geste en apparence anodin</w:t>
            </w:r>
            <w:r w:rsidR="007F2114">
              <w:t>.</w:t>
            </w:r>
          </w:p>
          <w:p w14:paraId="49BECB03" w14:textId="51F86C5B" w:rsidR="00140EDB" w:rsidRDefault="007F2114" w:rsidP="00016B3A">
            <w:pPr>
              <w:jc w:val="center"/>
            </w:pPr>
            <w:r>
              <w:t xml:space="preserve">Source : </w:t>
            </w:r>
            <w:r w:rsidR="00140EDB" w:rsidRPr="00D871D1">
              <w:t xml:space="preserve">Tableau </w:t>
            </w:r>
            <w:r w:rsidR="00140EDB" w:rsidRPr="00D871D1">
              <w:rPr>
                <w:i/>
                <w:iCs/>
              </w:rPr>
              <w:t xml:space="preserve">Bergère - départ de feu </w:t>
            </w:r>
            <w:r w:rsidR="00140EDB" w:rsidRPr="00D871D1">
              <w:t>par Aimée Rapin</w:t>
            </w:r>
            <w:r w:rsidR="00140EDB">
              <w:t>.</w:t>
            </w:r>
          </w:p>
        </w:tc>
        <w:tc>
          <w:tcPr>
            <w:tcW w:w="3357" w:type="dxa"/>
          </w:tcPr>
          <w:p w14:paraId="377EFB5F" w14:textId="77777777" w:rsidR="00140EDB" w:rsidRDefault="00140EDB" w:rsidP="00016B3A">
            <w:pPr>
              <w:jc w:val="center"/>
            </w:pPr>
            <w:r w:rsidRPr="00D871D1">
              <w:rPr>
                <w:noProof/>
              </w:rPr>
              <w:drawing>
                <wp:inline distT="0" distB="0" distL="0" distR="0" wp14:anchorId="180E432D" wp14:editId="7633C380">
                  <wp:extent cx="1944687" cy="1831975"/>
                  <wp:effectExtent l="0" t="0" r="0" b="0"/>
                  <wp:docPr id="230410" name="Picture 7" descr="trianglefeu_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410" name="Picture 7" descr="trianglefeu_0"/>
                          <pic:cNvPicPr>
                            <a:picLocks noChangeAspect="1" noChangeArrowheads="1"/>
                          </pic:cNvPicPr>
                        </pic:nvPicPr>
                        <pic:blipFill>
                          <a:blip r:embed="rId3456" cstate="print">
                            <a:extLst>
                              <a:ext uri="{28A0092B-C50C-407E-A947-70E740481C1C}">
                                <a14:useLocalDpi xmlns:a14="http://schemas.microsoft.com/office/drawing/2010/main" val="0"/>
                              </a:ext>
                            </a:extLst>
                          </a:blip>
                          <a:srcRect/>
                          <a:stretch>
                            <a:fillRect/>
                          </a:stretch>
                        </pic:blipFill>
                        <pic:spPr bwMode="auto">
                          <a:xfrm>
                            <a:off x="0" y="0"/>
                            <a:ext cx="1944687" cy="1831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D7E37B7" w14:textId="6CFC1F9B" w:rsidR="00140EDB" w:rsidRDefault="00140EDB" w:rsidP="00140EDB">
            <w:r w:rsidRPr="00D871D1">
              <w:t>Le triangle du feu :</w:t>
            </w:r>
          </w:p>
          <w:p w14:paraId="1F557FC3" w14:textId="77777777" w:rsidR="00A35E94" w:rsidRPr="00D871D1" w:rsidRDefault="00A35E94" w:rsidP="00140EDB"/>
          <w:p w14:paraId="0E2C36E8" w14:textId="5595A626" w:rsidR="00140EDB" w:rsidRPr="00D871D1" w:rsidRDefault="00140EDB" w:rsidP="00140EDB">
            <w:r w:rsidRPr="00D871D1">
              <w:t xml:space="preserve">   Combustible</w:t>
            </w:r>
            <w:r w:rsidR="007B1BB1">
              <w:t xml:space="preserve"> (bois, essence …)</w:t>
            </w:r>
            <w:r w:rsidRPr="00D871D1">
              <w:t>,</w:t>
            </w:r>
          </w:p>
          <w:p w14:paraId="51432A70" w14:textId="50BF80F1" w:rsidR="00140EDB" w:rsidRPr="00D871D1" w:rsidRDefault="00140EDB" w:rsidP="00140EDB">
            <w:r w:rsidRPr="00D871D1">
              <w:t>+ Oxygène</w:t>
            </w:r>
            <w:r w:rsidR="007B1BB1">
              <w:t xml:space="preserve"> (l’air …)</w:t>
            </w:r>
            <w:r w:rsidRPr="00D871D1">
              <w:t>,</w:t>
            </w:r>
          </w:p>
          <w:p w14:paraId="18BFE175" w14:textId="77777777" w:rsidR="00140EDB" w:rsidRDefault="00140EDB" w:rsidP="00140EDB">
            <w:r w:rsidRPr="00D871D1">
              <w:t xml:space="preserve">+ Chaleur =&gt; donne le </w:t>
            </w:r>
            <w:r w:rsidRPr="00D871D1">
              <w:rPr>
                <w:b/>
                <w:bCs/>
              </w:rPr>
              <w:t>feu</w:t>
            </w:r>
            <w:r w:rsidRPr="00D871D1">
              <w:t>.</w:t>
            </w:r>
          </w:p>
        </w:tc>
      </w:tr>
    </w:tbl>
    <w:p w14:paraId="0AEF083F" w14:textId="4DDABE26" w:rsidR="00583889" w:rsidRDefault="00A35E94" w:rsidP="00E25D74">
      <w:pPr>
        <w:spacing w:after="0" w:line="240" w:lineRule="auto"/>
      </w:pPr>
      <w:r>
        <w:t>Pour éteindre un feu, on dit qu’il faut</w:t>
      </w:r>
      <w:r w:rsidR="00401403">
        <w:t xml:space="preserve"> (voir ci-après)</w:t>
      </w:r>
      <w:r>
        <w:t> :</w:t>
      </w:r>
    </w:p>
    <w:p w14:paraId="2A559A72" w14:textId="77777777" w:rsidR="00A35E94" w:rsidRDefault="00A35E94" w:rsidP="00E25D74">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77"/>
        <w:gridCol w:w="2292"/>
        <w:gridCol w:w="3171"/>
        <w:gridCol w:w="2886"/>
      </w:tblGrid>
      <w:tr w:rsidR="00A35E94" w14:paraId="093DAADF" w14:textId="77777777" w:rsidTr="00A35E94">
        <w:tc>
          <w:tcPr>
            <w:tcW w:w="2221" w:type="dxa"/>
          </w:tcPr>
          <w:p w14:paraId="0B1A508E" w14:textId="77777777" w:rsidR="00A35E94" w:rsidRDefault="00A35E94" w:rsidP="00A35E94">
            <w:pPr>
              <w:jc w:val="center"/>
            </w:pPr>
            <w:r>
              <w:rPr>
                <w:noProof/>
              </w:rPr>
              <w:lastRenderedPageBreak/>
              <w:drawing>
                <wp:inline distT="0" distB="0" distL="0" distR="0" wp14:anchorId="18282C6C" wp14:editId="583CFA95">
                  <wp:extent cx="723900" cy="1438275"/>
                  <wp:effectExtent l="0" t="0" r="0" b="9525"/>
                  <wp:docPr id="41989" name="Image 41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7"/>
                          <a:stretch>
                            <a:fillRect/>
                          </a:stretch>
                        </pic:blipFill>
                        <pic:spPr>
                          <a:xfrm>
                            <a:off x="0" y="0"/>
                            <a:ext cx="723900" cy="1438275"/>
                          </a:xfrm>
                          <a:prstGeom prst="rect">
                            <a:avLst/>
                          </a:prstGeom>
                        </pic:spPr>
                      </pic:pic>
                    </a:graphicData>
                  </a:graphic>
                </wp:inline>
              </w:drawing>
            </w:r>
          </w:p>
          <w:p w14:paraId="25FD4242" w14:textId="508350D1" w:rsidR="00A35E94" w:rsidRDefault="00A35E94" w:rsidP="00A35E94">
            <w:pPr>
              <w:jc w:val="center"/>
            </w:pPr>
            <w:r>
              <w:t>Un verre d’eau à la première minute.</w:t>
            </w:r>
          </w:p>
        </w:tc>
        <w:tc>
          <w:tcPr>
            <w:tcW w:w="2378" w:type="dxa"/>
          </w:tcPr>
          <w:p w14:paraId="5EB29EA5" w14:textId="77777777" w:rsidR="00A35E94" w:rsidRDefault="00A35E94" w:rsidP="00A35E94">
            <w:pPr>
              <w:jc w:val="center"/>
            </w:pPr>
            <w:r>
              <w:rPr>
                <w:noProof/>
              </w:rPr>
              <w:drawing>
                <wp:inline distT="0" distB="0" distL="0" distR="0" wp14:anchorId="7331C4DF" wp14:editId="575A9193">
                  <wp:extent cx="1038225" cy="1476375"/>
                  <wp:effectExtent l="0" t="0" r="9525" b="9525"/>
                  <wp:docPr id="41990" name="Image 41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8"/>
                          <a:stretch>
                            <a:fillRect/>
                          </a:stretch>
                        </pic:blipFill>
                        <pic:spPr>
                          <a:xfrm>
                            <a:off x="0" y="0"/>
                            <a:ext cx="1038225" cy="1476375"/>
                          </a:xfrm>
                          <a:prstGeom prst="rect">
                            <a:avLst/>
                          </a:prstGeom>
                        </pic:spPr>
                      </pic:pic>
                    </a:graphicData>
                  </a:graphic>
                </wp:inline>
              </w:drawing>
            </w:r>
          </w:p>
          <w:p w14:paraId="7FE3B1F8" w14:textId="4223A84B" w:rsidR="00A35E94" w:rsidRDefault="00A35E94" w:rsidP="00A35E94">
            <w:pPr>
              <w:jc w:val="center"/>
            </w:pPr>
            <w:r>
              <w:t>Un sceau à la seconde minute.</w:t>
            </w:r>
          </w:p>
        </w:tc>
        <w:tc>
          <w:tcPr>
            <w:tcW w:w="3171" w:type="dxa"/>
          </w:tcPr>
          <w:p w14:paraId="2D9E1852" w14:textId="4FDB9969" w:rsidR="00A35E94" w:rsidRDefault="00A35E94" w:rsidP="00A35E94">
            <w:pPr>
              <w:jc w:val="center"/>
            </w:pPr>
            <w:r>
              <w:rPr>
                <w:noProof/>
              </w:rPr>
              <w:drawing>
                <wp:inline distT="0" distB="0" distL="0" distR="0" wp14:anchorId="369925BD" wp14:editId="78AFDDAF">
                  <wp:extent cx="1876425" cy="1286259"/>
                  <wp:effectExtent l="0" t="0" r="0" b="9525"/>
                  <wp:docPr id="41991" name="Image 41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9"/>
                          <a:stretch>
                            <a:fillRect/>
                          </a:stretch>
                        </pic:blipFill>
                        <pic:spPr>
                          <a:xfrm>
                            <a:off x="0" y="0"/>
                            <a:ext cx="1879827" cy="1288591"/>
                          </a:xfrm>
                          <a:prstGeom prst="rect">
                            <a:avLst/>
                          </a:prstGeom>
                        </pic:spPr>
                      </pic:pic>
                    </a:graphicData>
                  </a:graphic>
                </wp:inline>
              </w:drawing>
            </w:r>
          </w:p>
          <w:p w14:paraId="5D2F68AF" w14:textId="7F0A8193" w:rsidR="00A35E94" w:rsidRDefault="00A35E94" w:rsidP="00A35E94">
            <w:pPr>
              <w:jc w:val="center"/>
            </w:pPr>
            <w:r w:rsidRPr="00A35E94">
              <w:t>Une tonne d’eau à la 3ème minute</w:t>
            </w:r>
            <w:r>
              <w:t>.</w:t>
            </w:r>
          </w:p>
        </w:tc>
        <w:tc>
          <w:tcPr>
            <w:tcW w:w="2646" w:type="dxa"/>
          </w:tcPr>
          <w:p w14:paraId="44352367" w14:textId="718B89A3" w:rsidR="00A35E94" w:rsidRDefault="00A75794" w:rsidP="00A35E94">
            <w:pPr>
              <w:jc w:val="center"/>
            </w:pPr>
            <w:r>
              <w:rPr>
                <w:noProof/>
              </w:rPr>
              <w:drawing>
                <wp:inline distT="0" distB="0" distL="0" distR="0" wp14:anchorId="112C1F63" wp14:editId="64BCE577">
                  <wp:extent cx="1685925" cy="1971675"/>
                  <wp:effectExtent l="0" t="0" r="9525" b="9525"/>
                  <wp:docPr id="41999" name="Image 41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0"/>
                          <a:stretch>
                            <a:fillRect/>
                          </a:stretch>
                        </pic:blipFill>
                        <pic:spPr>
                          <a:xfrm>
                            <a:off x="0" y="0"/>
                            <a:ext cx="1685925" cy="1971675"/>
                          </a:xfrm>
                          <a:prstGeom prst="rect">
                            <a:avLst/>
                          </a:prstGeom>
                        </pic:spPr>
                      </pic:pic>
                    </a:graphicData>
                  </a:graphic>
                </wp:inline>
              </w:drawing>
            </w:r>
          </w:p>
          <w:p w14:paraId="7ECFE97F" w14:textId="5CEBD1E9" w:rsidR="00A35E94" w:rsidRDefault="00A35E94" w:rsidP="00A35E94">
            <w:pPr>
              <w:jc w:val="center"/>
            </w:pPr>
            <w:r>
              <w:t>Après …</w:t>
            </w:r>
          </w:p>
        </w:tc>
      </w:tr>
    </w:tbl>
    <w:p w14:paraId="6AFBE622" w14:textId="4D7EECE2" w:rsidR="00A35E94" w:rsidRPr="00A35E94" w:rsidRDefault="00A35E94" w:rsidP="00A35E94">
      <w:pPr>
        <w:spacing w:after="0" w:line="240" w:lineRule="auto"/>
        <w:rPr>
          <w:b/>
          <w:bCs/>
          <w:color w:val="FF0000"/>
        </w:rPr>
      </w:pPr>
      <w:r w:rsidRPr="00A35E94">
        <w:rPr>
          <w:b/>
          <w:bCs/>
          <w:color w:val="FF0000"/>
        </w:rPr>
        <w:t>D’où l’importance d’une action rapide</w:t>
      </w:r>
      <w:r>
        <w:rPr>
          <w:b/>
          <w:bCs/>
          <w:color w:val="FF0000"/>
        </w:rPr>
        <w:t> !!!</w:t>
      </w:r>
    </w:p>
    <w:p w14:paraId="1008A1FB" w14:textId="77777777" w:rsidR="00A35E94" w:rsidRDefault="00A35E94" w:rsidP="00A35E94">
      <w:pPr>
        <w:spacing w:after="0" w:line="240" w:lineRule="auto"/>
      </w:pPr>
    </w:p>
    <w:p w14:paraId="078D8382" w14:textId="78BA052E" w:rsidR="000C401D" w:rsidRPr="000C401D" w:rsidRDefault="000C401D" w:rsidP="00D871D1">
      <w:pPr>
        <w:pStyle w:val="Titre2"/>
      </w:pPr>
      <w:bookmarkStart w:id="295" w:name="_Toc139181586"/>
      <w:r w:rsidRPr="000C401D">
        <w:t>Apprendre les bons gestes</w:t>
      </w:r>
      <w:bookmarkEnd w:id="295"/>
    </w:p>
    <w:p w14:paraId="52AA6A43" w14:textId="77777777" w:rsidR="000C401D" w:rsidRPr="000C401D" w:rsidRDefault="000C401D" w:rsidP="000C401D">
      <w:pPr>
        <w:spacing w:after="0" w:line="240" w:lineRule="auto"/>
      </w:pPr>
    </w:p>
    <w:p w14:paraId="5AFAD13D" w14:textId="6C79FBD8" w:rsidR="000C401D" w:rsidRPr="000C401D" w:rsidRDefault="000C401D" w:rsidP="00DA3C46">
      <w:pPr>
        <w:numPr>
          <w:ilvl w:val="0"/>
          <w:numId w:val="76"/>
        </w:numPr>
        <w:spacing w:after="0" w:line="240" w:lineRule="auto"/>
      </w:pPr>
      <w:r w:rsidRPr="000C401D">
        <w:t>Alerter immédiatement les secours</w:t>
      </w:r>
      <w:r>
        <w:t xml:space="preserve"> ou pompiers</w:t>
      </w:r>
      <w:r w:rsidRPr="000C401D">
        <w:t xml:space="preserve"> (en France : 112 / 18)</w:t>
      </w:r>
      <w:r w:rsidR="002E0351">
        <w:t xml:space="preserve"> ou la communauté villageoise</w:t>
      </w:r>
      <w:r w:rsidRPr="000C401D">
        <w:t xml:space="preserve">, en cas de départ de feux, </w:t>
      </w:r>
    </w:p>
    <w:p w14:paraId="633A0825" w14:textId="5D7021C5" w:rsidR="000C401D" w:rsidRPr="000C401D" w:rsidRDefault="000C401D" w:rsidP="00DA3C46">
      <w:pPr>
        <w:numPr>
          <w:ilvl w:val="0"/>
          <w:numId w:val="76"/>
        </w:numPr>
        <w:spacing w:after="0" w:line="240" w:lineRule="auto"/>
      </w:pPr>
      <w:r w:rsidRPr="000C401D">
        <w:t>Éviter de fumer ou de faire un barbecue, un feu, en période sèche.</w:t>
      </w:r>
    </w:p>
    <w:p w14:paraId="44575E5D" w14:textId="0929E623" w:rsidR="000C401D" w:rsidRPr="000C401D" w:rsidRDefault="000C401D" w:rsidP="00DA3C46">
      <w:pPr>
        <w:numPr>
          <w:ilvl w:val="0"/>
          <w:numId w:val="76"/>
        </w:numPr>
        <w:spacing w:after="0" w:line="240" w:lineRule="auto"/>
      </w:pPr>
      <w:r w:rsidRPr="000C401D">
        <w:t>S’entraîner ensemble à « des exercices incendie » dans les zones sensibles.</w:t>
      </w:r>
    </w:p>
    <w:p w14:paraId="66CBF757" w14:textId="276E7D45" w:rsidR="000C401D" w:rsidRPr="000C401D" w:rsidRDefault="000C401D" w:rsidP="00DA3C46">
      <w:pPr>
        <w:numPr>
          <w:ilvl w:val="0"/>
          <w:numId w:val="76"/>
        </w:numPr>
        <w:spacing w:after="0" w:line="240" w:lineRule="auto"/>
      </w:pPr>
      <w:r w:rsidRPr="000C401D">
        <w:t>Installer des panneaux de signalisation et d’alerte sur les risques.</w:t>
      </w:r>
    </w:p>
    <w:p w14:paraId="0423A1DE" w14:textId="77777777" w:rsidR="00D871D1" w:rsidRDefault="00D871D1" w:rsidP="00D871D1">
      <w:pPr>
        <w:spacing w:after="0" w:line="240" w:lineRule="auto"/>
      </w:pPr>
    </w:p>
    <w:p w14:paraId="6605720D" w14:textId="77777777" w:rsidR="00D871D1" w:rsidRPr="00D871D1" w:rsidRDefault="00D871D1" w:rsidP="00D871D1">
      <w:pPr>
        <w:pStyle w:val="Titre2"/>
      </w:pPr>
      <w:bookmarkStart w:id="296" w:name="_Toc139181587"/>
      <w:r w:rsidRPr="00BE5AFC">
        <w:t>La loi</w:t>
      </w:r>
      <w:bookmarkEnd w:id="296"/>
    </w:p>
    <w:p w14:paraId="79F54399" w14:textId="77777777" w:rsidR="00D871D1" w:rsidRPr="00BE5AFC" w:rsidRDefault="00D871D1" w:rsidP="00D871D1">
      <w:pPr>
        <w:spacing w:after="0" w:line="240" w:lineRule="auto"/>
      </w:pPr>
    </w:p>
    <w:p w14:paraId="512F2D7B" w14:textId="77777777" w:rsidR="00D871D1" w:rsidRPr="00BE5AFC" w:rsidRDefault="00D871D1" w:rsidP="00DA3C46">
      <w:pPr>
        <w:pStyle w:val="Paragraphedeliste"/>
        <w:numPr>
          <w:ilvl w:val="0"/>
          <w:numId w:val="80"/>
        </w:numPr>
        <w:spacing w:after="0" w:line="240" w:lineRule="auto"/>
      </w:pPr>
      <w:r w:rsidRPr="00BE5AFC">
        <w:t>Législation forestière imposant aux propriétaires de nettoyer les sous-bois, le long des routes, d'éclaircir les taillis (voire le reboisement des zones brûlées).</w:t>
      </w:r>
    </w:p>
    <w:p w14:paraId="19F0ACEA" w14:textId="77777777" w:rsidR="00D871D1" w:rsidRPr="00BE5AFC" w:rsidRDefault="00D871D1" w:rsidP="00DA3C46">
      <w:pPr>
        <w:pStyle w:val="Paragraphedeliste"/>
        <w:numPr>
          <w:ilvl w:val="0"/>
          <w:numId w:val="80"/>
        </w:numPr>
        <w:spacing w:after="0" w:line="240" w:lineRule="auto"/>
      </w:pPr>
      <w:r w:rsidRPr="00BE5AFC">
        <w:t>Obligation du débroussaillement pour les propriétaires de forêt.</w:t>
      </w:r>
    </w:p>
    <w:p w14:paraId="41264FB2" w14:textId="77777777" w:rsidR="00D871D1" w:rsidRPr="00BE5AFC" w:rsidRDefault="00D871D1" w:rsidP="00DA3C46">
      <w:pPr>
        <w:pStyle w:val="Paragraphedeliste"/>
        <w:numPr>
          <w:ilvl w:val="0"/>
          <w:numId w:val="80"/>
        </w:numPr>
        <w:spacing w:after="0" w:line="240" w:lineRule="auto"/>
      </w:pPr>
      <w:r w:rsidRPr="00BE5AFC">
        <w:t>Peines sévères en cas d'incendies intentionnels (jusqu’à l’emprisonnement à perpétuité en France).</w:t>
      </w:r>
    </w:p>
    <w:p w14:paraId="139DB274" w14:textId="16DDADF7" w:rsidR="004E0569" w:rsidRDefault="004E0569" w:rsidP="001E0092">
      <w:pPr>
        <w:spacing w:after="0" w:line="240" w:lineRule="auto"/>
      </w:pPr>
    </w:p>
    <w:p w14:paraId="15A8B919" w14:textId="0EAF3E46" w:rsidR="001E0092" w:rsidRPr="00D871D1" w:rsidRDefault="00D871D1" w:rsidP="00D871D1">
      <w:pPr>
        <w:pStyle w:val="Titre2"/>
      </w:pPr>
      <w:bookmarkStart w:id="297" w:name="_Toc139181588"/>
      <w:r w:rsidRPr="00D871D1">
        <w:t>Actions d</w:t>
      </w:r>
      <w:r w:rsidR="001E0092" w:rsidRPr="001E0092">
        <w:t>urant le feu</w:t>
      </w:r>
      <w:bookmarkEnd w:id="297"/>
    </w:p>
    <w:p w14:paraId="7CE28709" w14:textId="77777777" w:rsidR="001E0092" w:rsidRPr="001E0092" w:rsidRDefault="001E0092" w:rsidP="001E0092">
      <w:pPr>
        <w:spacing w:after="0" w:line="240" w:lineRule="auto"/>
      </w:pPr>
    </w:p>
    <w:p w14:paraId="3C40FFE2" w14:textId="77777777" w:rsidR="001E0092" w:rsidRDefault="001E0092" w:rsidP="00DA3C46">
      <w:pPr>
        <w:numPr>
          <w:ilvl w:val="0"/>
          <w:numId w:val="81"/>
        </w:numPr>
        <w:spacing w:after="0" w:line="240" w:lineRule="auto"/>
      </w:pPr>
      <w:r w:rsidRPr="001E0092">
        <w:t>Stratégie d'attaque immédiate des feux naissants</w:t>
      </w:r>
      <w:r>
        <w:t xml:space="preserve"> </w:t>
      </w:r>
      <w:r w:rsidRPr="001E0092">
        <w:t>(surtout ne pas les laisser prendre de l’ampleur !).</w:t>
      </w:r>
    </w:p>
    <w:p w14:paraId="3675D598" w14:textId="669F45EE" w:rsidR="001E0092" w:rsidRDefault="001E0092" w:rsidP="00DA3C46">
      <w:pPr>
        <w:numPr>
          <w:ilvl w:val="0"/>
          <w:numId w:val="81"/>
        </w:numPr>
        <w:spacing w:after="0" w:line="240" w:lineRule="auto"/>
      </w:pPr>
      <w:r w:rsidRPr="001E0092">
        <w:t>Par exemple, apporter, avec soi,</w:t>
      </w:r>
      <w:r>
        <w:t xml:space="preserve"> des pelles,</w:t>
      </w:r>
      <w:r w:rsidRPr="001E0092">
        <w:t xml:space="preserve"> un pulvérisateur ou</w:t>
      </w:r>
      <w:r>
        <w:t xml:space="preserve"> </w:t>
      </w:r>
      <w:r w:rsidRPr="001E0092">
        <w:t>des extincteurs, des réserves d’eau, dans un sac à dos …</w:t>
      </w:r>
      <w:r>
        <w:t xml:space="preserve"> </w:t>
      </w:r>
      <w:r w:rsidRPr="001E0092">
        <w:t>Les solutions étant toujours variées et flexibles, fonction du contexte, de la situation…</w:t>
      </w:r>
    </w:p>
    <w:p w14:paraId="074A9CA6" w14:textId="6273F98A" w:rsidR="009A1C35" w:rsidRDefault="009A1C35" w:rsidP="00DA3C46">
      <w:pPr>
        <w:numPr>
          <w:ilvl w:val="0"/>
          <w:numId w:val="81"/>
        </w:numPr>
        <w:spacing w:after="0" w:line="240" w:lineRule="auto"/>
      </w:pPr>
      <w:r>
        <w:t>Attention au sens du vent et à la fumée</w:t>
      </w:r>
      <w:r w:rsidR="00140EDB">
        <w:t xml:space="preserve"> (fuir si le vent change)</w:t>
      </w:r>
      <w:r>
        <w:t>.</w:t>
      </w:r>
    </w:p>
    <w:p w14:paraId="3CFABDED" w14:textId="77777777" w:rsidR="00E25D74" w:rsidRPr="00E25D74" w:rsidRDefault="00E25D74" w:rsidP="00DA3C46">
      <w:pPr>
        <w:pStyle w:val="Paragraphedeliste"/>
        <w:numPr>
          <w:ilvl w:val="0"/>
          <w:numId w:val="81"/>
        </w:num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5A14AA" w14:paraId="20F208E5" w14:textId="77777777" w:rsidTr="00016B3A">
        <w:tc>
          <w:tcPr>
            <w:tcW w:w="3472" w:type="dxa"/>
          </w:tcPr>
          <w:p w14:paraId="7A54F134" w14:textId="77777777" w:rsidR="005A14AA" w:rsidRDefault="005A14AA" w:rsidP="00016B3A">
            <w:pPr>
              <w:jc w:val="center"/>
            </w:pPr>
            <w:r>
              <w:rPr>
                <w:noProof/>
              </w:rPr>
              <w:drawing>
                <wp:inline distT="0" distB="0" distL="0" distR="0" wp14:anchorId="004BEB66" wp14:editId="7B924FFD">
                  <wp:extent cx="1657350" cy="1409700"/>
                  <wp:effectExtent l="0" t="0" r="0" b="0"/>
                  <wp:docPr id="41984" name="Image 41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61">
                            <a:extLst>
                              <a:ext uri="{28A0092B-C50C-407E-A947-70E740481C1C}">
                                <a14:useLocalDpi xmlns:a14="http://schemas.microsoft.com/office/drawing/2010/main" val="0"/>
                              </a:ext>
                            </a:extLst>
                          </a:blip>
                          <a:srcRect/>
                          <a:stretch>
                            <a:fillRect/>
                          </a:stretch>
                        </pic:blipFill>
                        <pic:spPr bwMode="auto">
                          <a:xfrm>
                            <a:off x="0" y="0"/>
                            <a:ext cx="1657350" cy="1409700"/>
                          </a:xfrm>
                          <a:prstGeom prst="rect">
                            <a:avLst/>
                          </a:prstGeom>
                          <a:noFill/>
                          <a:ln>
                            <a:noFill/>
                          </a:ln>
                        </pic:spPr>
                      </pic:pic>
                    </a:graphicData>
                  </a:graphic>
                </wp:inline>
              </w:drawing>
            </w:r>
          </w:p>
          <w:p w14:paraId="27B65C5E" w14:textId="77777777" w:rsidR="005A14AA" w:rsidRDefault="005A14AA" w:rsidP="00016B3A">
            <w:pPr>
              <w:jc w:val="center"/>
            </w:pPr>
            <w:r>
              <w:t>Utilisation de pelles.</w:t>
            </w:r>
          </w:p>
        </w:tc>
        <w:tc>
          <w:tcPr>
            <w:tcW w:w="3472" w:type="dxa"/>
          </w:tcPr>
          <w:p w14:paraId="1A023B06" w14:textId="77777777" w:rsidR="005A14AA" w:rsidRDefault="005A14AA" w:rsidP="00016B3A">
            <w:pPr>
              <w:jc w:val="center"/>
            </w:pPr>
            <w:r w:rsidRPr="001E0092">
              <w:rPr>
                <w:noProof/>
              </w:rPr>
              <w:drawing>
                <wp:inline distT="0" distB="0" distL="0" distR="0" wp14:anchorId="371395FF" wp14:editId="056E2DE2">
                  <wp:extent cx="1390650" cy="1095375"/>
                  <wp:effectExtent l="0" t="0" r="0" b="9525"/>
                  <wp:docPr id="226310" name="Picture 23" descr="pulverisateurIndividuel_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310" name="Picture 23" descr="pulverisateurIndividuel_s"/>
                          <pic:cNvPicPr>
                            <a:picLocks noChangeAspect="1" noChangeArrowheads="1"/>
                          </pic:cNvPicPr>
                        </pic:nvPicPr>
                        <pic:blipFill>
                          <a:blip r:embed="rId3433" cstate="print">
                            <a:extLst>
                              <a:ext uri="{28A0092B-C50C-407E-A947-70E740481C1C}">
                                <a14:useLocalDpi xmlns:a14="http://schemas.microsoft.com/office/drawing/2010/main" val="0"/>
                              </a:ext>
                            </a:extLst>
                          </a:blip>
                          <a:srcRect/>
                          <a:stretch>
                            <a:fillRect/>
                          </a:stretch>
                        </pic:blipFill>
                        <pic:spPr bwMode="auto">
                          <a:xfrm>
                            <a:off x="0" y="0"/>
                            <a:ext cx="1390650" cy="1095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629F037C" w14:textId="77777777" w:rsidR="005A14AA" w:rsidRDefault="005A14AA" w:rsidP="00016B3A">
            <w:pPr>
              <w:jc w:val="center"/>
            </w:pPr>
            <w:r>
              <w:t>Durant le feu, utilisation de pulvérisateurs individuels, en plus des pelles.</w:t>
            </w:r>
          </w:p>
        </w:tc>
        <w:tc>
          <w:tcPr>
            <w:tcW w:w="3472" w:type="dxa"/>
          </w:tcPr>
          <w:p w14:paraId="09558FA1" w14:textId="77777777" w:rsidR="005A14AA" w:rsidRDefault="005A14AA" w:rsidP="00016B3A">
            <w:pPr>
              <w:jc w:val="center"/>
            </w:pPr>
            <w:r w:rsidRPr="00034AB0">
              <w:rPr>
                <w:noProof/>
              </w:rPr>
              <w:drawing>
                <wp:inline distT="0" distB="0" distL="0" distR="0" wp14:anchorId="6EE2ED32" wp14:editId="12B29CEA">
                  <wp:extent cx="1368425" cy="1019175"/>
                  <wp:effectExtent l="0" t="0" r="3175" b="9525"/>
                  <wp:docPr id="227333"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333" name="Image 4"/>
                          <pic:cNvPicPr>
                            <a:picLocks noChangeAspect="1"/>
                          </pic:cNvPicPr>
                        </pic:nvPicPr>
                        <pic:blipFill>
                          <a:blip r:embed="rId3434" cstate="print">
                            <a:extLst>
                              <a:ext uri="{28A0092B-C50C-407E-A947-70E740481C1C}">
                                <a14:useLocalDpi xmlns:a14="http://schemas.microsoft.com/office/drawing/2010/main" val="0"/>
                              </a:ext>
                            </a:extLst>
                          </a:blip>
                          <a:srcRect/>
                          <a:stretch>
                            <a:fillRect/>
                          </a:stretch>
                        </pic:blipFill>
                        <pic:spPr bwMode="auto">
                          <a:xfrm>
                            <a:off x="0" y="0"/>
                            <a:ext cx="1368425" cy="1019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3273D653" w14:textId="77777777" w:rsidR="005A14AA" w:rsidRDefault="005A14AA" w:rsidP="00016B3A">
            <w:pPr>
              <w:jc w:val="center"/>
            </w:pPr>
            <w:r w:rsidRPr="00034AB0">
              <w:t>Des feux contrôlés sont une stratégie préventive depuis longtemps utilisée.</w:t>
            </w:r>
          </w:p>
        </w:tc>
      </w:tr>
    </w:tbl>
    <w:p w14:paraId="43114EB7" w14:textId="7D82BF6F" w:rsidR="001E0092" w:rsidRDefault="007472D9" w:rsidP="001E0092">
      <w:pPr>
        <w:spacing w:after="0" w:line="240" w:lineRule="auto"/>
      </w:pPr>
      <w:r>
        <w:t xml:space="preserve">Consulter aussi cette page web : </w:t>
      </w:r>
      <w:r w:rsidRPr="007472D9">
        <w:rPr>
          <w:i/>
          <w:iCs/>
        </w:rPr>
        <w:t>Lutte contre les feux accidentels</w:t>
      </w:r>
      <w:r w:rsidRPr="007472D9">
        <w:t xml:space="preserve">, </w:t>
      </w:r>
      <w:hyperlink r:id="rId3462" w:history="1">
        <w:r w:rsidRPr="00BE2ABF">
          <w:rPr>
            <w:rStyle w:val="Lienhypertexte"/>
          </w:rPr>
          <w:t>http://www.fao.org/3/T0748F/t0748f0e.htm</w:t>
        </w:r>
      </w:hyperlink>
      <w:r>
        <w:t xml:space="preserve"> </w:t>
      </w:r>
    </w:p>
    <w:p w14:paraId="6153F94F" w14:textId="77777777" w:rsidR="007472D9" w:rsidRPr="001E0092" w:rsidRDefault="007472D9" w:rsidP="001E0092">
      <w:pPr>
        <w:spacing w:after="0" w:line="240" w:lineRule="auto"/>
      </w:pPr>
    </w:p>
    <w:p w14:paraId="6190001C" w14:textId="4B589BF1" w:rsidR="001E0092" w:rsidRPr="00D871D1" w:rsidRDefault="001E0092" w:rsidP="00D871D1">
      <w:pPr>
        <w:pStyle w:val="Titre2"/>
      </w:pPr>
      <w:bookmarkStart w:id="298" w:name="_Toc139181589"/>
      <w:r w:rsidRPr="001E0092">
        <w:lastRenderedPageBreak/>
        <w:t>Remise en état de la forêt après un incendie</w:t>
      </w:r>
      <w:bookmarkEnd w:id="298"/>
    </w:p>
    <w:p w14:paraId="30AA6479" w14:textId="77777777" w:rsidR="001E0092" w:rsidRPr="001E0092" w:rsidRDefault="001E0092" w:rsidP="001E0092">
      <w:pPr>
        <w:spacing w:after="0" w:line="240" w:lineRule="auto"/>
        <w:rPr>
          <w:b/>
          <w:bCs/>
        </w:rPr>
      </w:pPr>
    </w:p>
    <w:p w14:paraId="6C610E7B" w14:textId="77777777" w:rsidR="001E0092" w:rsidRPr="001E0092" w:rsidRDefault="001E0092" w:rsidP="00DA3C46">
      <w:pPr>
        <w:numPr>
          <w:ilvl w:val="0"/>
          <w:numId w:val="82"/>
        </w:numPr>
        <w:spacing w:after="0" w:line="240" w:lineRule="auto"/>
      </w:pPr>
      <w:r w:rsidRPr="001E0092">
        <w:t xml:space="preserve">Extraction et disposition de pierres et du bois brûlé, le long des lignes de nivellement, pour retenir le sol et éviter l’érosion. </w:t>
      </w:r>
    </w:p>
    <w:p w14:paraId="62757C7E" w14:textId="2A84EB37" w:rsidR="001E0092" w:rsidRPr="001E0092" w:rsidRDefault="001E0092" w:rsidP="00DA3C46">
      <w:pPr>
        <w:numPr>
          <w:ilvl w:val="0"/>
          <w:numId w:val="82"/>
        </w:numPr>
        <w:spacing w:after="0" w:line="240" w:lineRule="auto"/>
      </w:pPr>
      <w:r w:rsidRPr="001E0092">
        <w:t>Ramassage des arbres brûlés, pour éviter qu'ils soient abattus par le vent.</w:t>
      </w:r>
    </w:p>
    <w:p w14:paraId="5035D8B2" w14:textId="77777777" w:rsidR="001E0092" w:rsidRPr="001E0092" w:rsidRDefault="001E0092" w:rsidP="00DA3C46">
      <w:pPr>
        <w:numPr>
          <w:ilvl w:val="0"/>
          <w:numId w:val="82"/>
        </w:numPr>
        <w:spacing w:after="0" w:line="240" w:lineRule="auto"/>
      </w:pPr>
      <w:r w:rsidRPr="001E0092">
        <w:t>Abattage partie aérienne d'arbres non brûlés, pour accélérer leur régénération.</w:t>
      </w:r>
    </w:p>
    <w:p w14:paraId="3CC70639" w14:textId="77777777" w:rsidR="001E0092" w:rsidRPr="001E0092" w:rsidRDefault="001E0092" w:rsidP="00DA3C46">
      <w:pPr>
        <w:numPr>
          <w:ilvl w:val="0"/>
          <w:numId w:val="82"/>
        </w:numPr>
        <w:spacing w:after="0" w:line="240" w:lineRule="auto"/>
      </w:pPr>
      <w:r w:rsidRPr="001E0092">
        <w:rPr>
          <w:i/>
          <w:iCs/>
        </w:rPr>
        <w:t>Loi ordonnant le reboisement des zones brûlées.</w:t>
      </w:r>
    </w:p>
    <w:p w14:paraId="2CA862F9" w14:textId="73F4AF7C" w:rsidR="00E25D74" w:rsidRDefault="00E25D74" w:rsidP="0096728C">
      <w:pPr>
        <w:spacing w:after="0" w:line="240" w:lineRule="auto"/>
      </w:pPr>
    </w:p>
    <w:p w14:paraId="777A94F2" w14:textId="02E9FA37" w:rsidR="00D871D1" w:rsidRPr="00D871D1" w:rsidRDefault="00D871D1" w:rsidP="00D871D1">
      <w:pPr>
        <w:pStyle w:val="Titre2"/>
      </w:pPr>
      <w:bookmarkStart w:id="299" w:name="_Toc139181590"/>
      <w:r w:rsidRPr="00D871D1">
        <w:t>Pare-feu (coupe-feu)</w:t>
      </w:r>
      <w:bookmarkEnd w:id="299"/>
    </w:p>
    <w:p w14:paraId="0501BE34" w14:textId="77777777" w:rsidR="00D871D1" w:rsidRDefault="00D871D1" w:rsidP="00D871D1">
      <w:pPr>
        <w:spacing w:after="0" w:line="240" w:lineRule="auto"/>
      </w:pPr>
    </w:p>
    <w:p w14:paraId="676271AB" w14:textId="77777777" w:rsidR="00D871D1" w:rsidRDefault="00D871D1" w:rsidP="00D871D1">
      <w:pPr>
        <w:spacing w:after="0" w:line="240" w:lineRule="auto"/>
        <w:jc w:val="both"/>
      </w:pPr>
      <w:r w:rsidRPr="00D871D1">
        <w:t xml:space="preserve">Ce sont habituellement des </w:t>
      </w:r>
      <w:hyperlink r:id="rId3463" w:history="1">
        <w:r w:rsidRPr="00D871D1">
          <w:rPr>
            <w:rStyle w:val="Lienhypertexte"/>
          </w:rPr>
          <w:t>layons</w:t>
        </w:r>
      </w:hyperlink>
      <w:r w:rsidRPr="00D871D1">
        <w:t xml:space="preserve">, </w:t>
      </w:r>
      <w:hyperlink r:id="rId3464" w:history="1">
        <w:r w:rsidRPr="00D871D1">
          <w:rPr>
            <w:rStyle w:val="Lienhypertexte"/>
          </w:rPr>
          <w:t>chemins</w:t>
        </w:r>
      </w:hyperlink>
      <w:r w:rsidRPr="00D871D1">
        <w:t xml:space="preserve">, </w:t>
      </w:r>
      <w:hyperlink r:id="rId3465" w:history="1">
        <w:r w:rsidRPr="00D871D1">
          <w:rPr>
            <w:rStyle w:val="Lienhypertexte"/>
          </w:rPr>
          <w:t>allées</w:t>
        </w:r>
      </w:hyperlink>
      <w:r w:rsidRPr="00D871D1">
        <w:t xml:space="preserve"> (éventuellement bordées d'un ou deux </w:t>
      </w:r>
      <w:hyperlink r:id="rId3466" w:history="1">
        <w:r w:rsidRPr="00D871D1">
          <w:rPr>
            <w:rStyle w:val="Lienhypertexte"/>
          </w:rPr>
          <w:t>fossés</w:t>
        </w:r>
      </w:hyperlink>
      <w:r w:rsidRPr="00D871D1">
        <w:t>) qui doivent être aménagés et régulièrement entretenus.</w:t>
      </w:r>
    </w:p>
    <w:p w14:paraId="34B0F9E2" w14:textId="46AF9B57" w:rsidR="00D871D1" w:rsidRPr="00D871D1" w:rsidRDefault="00D871D1" w:rsidP="00D871D1">
      <w:pPr>
        <w:spacing w:after="0" w:line="240" w:lineRule="auto"/>
        <w:jc w:val="both"/>
      </w:pPr>
      <w:r w:rsidRPr="00D871D1">
        <w:t xml:space="preserve">Ce sont parfois aussi des tranchées </w:t>
      </w:r>
      <w:hyperlink r:id="rId3467" w:history="1">
        <w:r w:rsidRPr="00D871D1">
          <w:rPr>
            <w:rStyle w:val="Lienhypertexte"/>
          </w:rPr>
          <w:t>déboisées</w:t>
        </w:r>
      </w:hyperlink>
      <w:r w:rsidRPr="00D871D1">
        <w:t xml:space="preserve"> pour le passage de </w:t>
      </w:r>
      <w:hyperlink r:id="rId3468" w:history="1">
        <w:r w:rsidRPr="00D871D1">
          <w:rPr>
            <w:rStyle w:val="Lienhypertexte"/>
          </w:rPr>
          <w:t>lignes électrique</w:t>
        </w:r>
      </w:hyperlink>
      <w:r w:rsidRPr="00D871D1">
        <w:t xml:space="preserve"> (de moyenne ou haute tension) ou d'un </w:t>
      </w:r>
      <w:hyperlink r:id="rId3469" w:history="1">
        <w:r w:rsidRPr="00D871D1">
          <w:rPr>
            <w:rStyle w:val="Lienhypertexte"/>
          </w:rPr>
          <w:t>pipe-line</w:t>
        </w:r>
      </w:hyperlink>
      <w:r w:rsidRPr="00D871D1">
        <w:t xml:space="preserve"> qui jouent ce rôle avec plus ou moins d'efficacité.</w:t>
      </w:r>
    </w:p>
    <w:p w14:paraId="046F1139" w14:textId="77777777" w:rsidR="00D871D1" w:rsidRPr="00D871D1" w:rsidRDefault="00D871D1" w:rsidP="00D871D1">
      <w:pPr>
        <w:spacing w:after="0" w:line="240" w:lineRule="auto"/>
        <w:jc w:val="both"/>
      </w:pPr>
      <w:r w:rsidRPr="00D871D1">
        <w:t>Selon les contextes, ils sont désherbés, voire labourés ou au contraire plantés d'herbacées fauchées et/ou pâturées.</w:t>
      </w:r>
    </w:p>
    <w:p w14:paraId="33F45B13" w14:textId="77777777" w:rsidR="00D871D1" w:rsidRPr="00D871D1" w:rsidRDefault="00D871D1" w:rsidP="00D871D1">
      <w:pPr>
        <w:spacing w:after="0" w:line="240" w:lineRule="auto"/>
        <w:jc w:val="both"/>
      </w:pPr>
      <w:r w:rsidRPr="00D871D1">
        <w:t xml:space="preserve">Les coupe-feux visent notamment à interrompre la continuité des chaumes secs de la </w:t>
      </w:r>
      <w:hyperlink r:id="rId3470" w:history="1">
        <w:r w:rsidRPr="00D871D1">
          <w:rPr>
            <w:rStyle w:val="Lienhypertexte"/>
          </w:rPr>
          <w:t>strate herbacée</w:t>
        </w:r>
      </w:hyperlink>
      <w:r w:rsidRPr="00D871D1">
        <w:t xml:space="preserve"> ou de la litière de feuilles sèches (des sous-bois), très inflammables en saisons sèche. </w:t>
      </w:r>
    </w:p>
    <w:p w14:paraId="4056B78D" w14:textId="77777777" w:rsidR="00D871D1" w:rsidRPr="00D871D1" w:rsidRDefault="00D871D1" w:rsidP="00D871D1">
      <w:pPr>
        <w:spacing w:after="0" w:line="240" w:lineRule="auto"/>
        <w:jc w:val="both"/>
      </w:pPr>
      <w:r w:rsidRPr="00D871D1">
        <w:t xml:space="preserve">Les pare-feux ont une efficacité très variable selon la saison, le </w:t>
      </w:r>
      <w:hyperlink r:id="rId3471" w:history="1">
        <w:r w:rsidRPr="00D871D1">
          <w:rPr>
            <w:rStyle w:val="Lienhypertexte"/>
          </w:rPr>
          <w:t>vent</w:t>
        </w:r>
      </w:hyperlink>
      <w:r w:rsidRPr="00D871D1">
        <w:t xml:space="preserve">, l'intensité du </w:t>
      </w:r>
      <w:hyperlink r:id="rId3472" w:history="1">
        <w:r w:rsidRPr="00D871D1">
          <w:rPr>
            <w:rStyle w:val="Lienhypertexte"/>
          </w:rPr>
          <w:t>feu</w:t>
        </w:r>
      </w:hyperlink>
      <w:r w:rsidRPr="00D871D1">
        <w:t xml:space="preserve"> et le contexte </w:t>
      </w:r>
      <w:hyperlink r:id="rId3473" w:history="1">
        <w:r w:rsidRPr="00D871D1">
          <w:rPr>
            <w:rStyle w:val="Lienhypertexte"/>
          </w:rPr>
          <w:t>biogéographique</w:t>
        </w:r>
      </w:hyperlink>
      <w:r w:rsidRPr="00D871D1">
        <w:t xml:space="preserve">. En zone </w:t>
      </w:r>
      <w:hyperlink r:id="rId3474" w:history="1">
        <w:r w:rsidRPr="00D871D1">
          <w:rPr>
            <w:rStyle w:val="Lienhypertexte"/>
          </w:rPr>
          <w:t>aride</w:t>
        </w:r>
      </w:hyperlink>
      <w:r w:rsidRPr="00D871D1">
        <w:t xml:space="preserve"> ou sèche, les pare-feux se sont souvent montrés vains contre les grands incendies de forêt sauf si le feu et le vent sont modérés, et/ou si la forêt est assez humide et si le feu s'est déclaré au bord du pare-feu et contre le vent. En dépit des stratégies croissante de création et d'entretien de coupe-feux, les feux de forêts continuent globalement à progresser et les incendies touchent des surfaces de plus en plus grandes, malgré les coupe-feux. Ils semblent utiles dans de nombreuses situations, mais doivent toujours être accompagnés de stratégie plus globale de prévention du risque, et de formation, information…</w:t>
      </w:r>
    </w:p>
    <w:p w14:paraId="0CFD20C3" w14:textId="6530C806" w:rsidR="00D871D1" w:rsidRDefault="00D871D1" w:rsidP="0096728C">
      <w:pPr>
        <w:spacing w:after="0" w:line="240" w:lineRule="auto"/>
      </w:pPr>
    </w:p>
    <w:p w14:paraId="112FB346" w14:textId="77777777" w:rsidR="00D871D1" w:rsidRPr="00D871D1" w:rsidRDefault="00D871D1" w:rsidP="00D871D1">
      <w:pPr>
        <w:pStyle w:val="Titre2"/>
      </w:pPr>
      <w:bookmarkStart w:id="300" w:name="_Toc139181591"/>
      <w:r w:rsidRPr="00D871D1">
        <w:t>Valorisation des coupe-feux</w:t>
      </w:r>
      <w:bookmarkEnd w:id="300"/>
    </w:p>
    <w:p w14:paraId="25149F71" w14:textId="77777777" w:rsidR="00D871D1" w:rsidRDefault="00D871D1" w:rsidP="00D871D1">
      <w:pPr>
        <w:spacing w:after="0" w:line="240" w:lineRule="auto"/>
        <w:jc w:val="both"/>
      </w:pPr>
    </w:p>
    <w:p w14:paraId="3D529A18" w14:textId="6DFD2F83" w:rsidR="00D871D1" w:rsidRDefault="00D871D1" w:rsidP="00D871D1">
      <w:pPr>
        <w:spacing w:after="0" w:line="240" w:lineRule="auto"/>
        <w:jc w:val="both"/>
      </w:pPr>
      <w:r w:rsidRPr="00D871D1">
        <w:t xml:space="preserve">On peut combiner plusieurs activités sur les pare-feux : </w:t>
      </w:r>
      <w:hyperlink r:id="rId3475" w:history="1">
        <w:r w:rsidRPr="00D871D1">
          <w:rPr>
            <w:rStyle w:val="Lienhypertexte"/>
          </w:rPr>
          <w:t>sylvopastoralisme</w:t>
        </w:r>
      </w:hyperlink>
      <w:r w:rsidRPr="00D871D1">
        <w:t xml:space="preserve">, </w:t>
      </w:r>
      <w:hyperlink r:id="rId3476" w:history="1">
        <w:r w:rsidRPr="00D871D1">
          <w:rPr>
            <w:rStyle w:val="Lienhypertexte"/>
          </w:rPr>
          <w:t>viticulture</w:t>
        </w:r>
      </w:hyperlink>
      <w:r w:rsidRPr="00D871D1">
        <w:t xml:space="preserve">, culture du </w:t>
      </w:r>
      <w:hyperlink r:id="rId3477" w:history="1">
        <w:r w:rsidRPr="00D871D1">
          <w:rPr>
            <w:rStyle w:val="Lienhypertexte"/>
          </w:rPr>
          <w:t>figuier de Barbarie</w:t>
        </w:r>
      </w:hyperlink>
      <w:r w:rsidRPr="00D871D1">
        <w:t>, production d'</w:t>
      </w:r>
      <w:hyperlink r:id="rId3478" w:history="1">
        <w:r w:rsidRPr="00D871D1">
          <w:rPr>
            <w:rStyle w:val="Lienhypertexte"/>
          </w:rPr>
          <w:t>olives</w:t>
        </w:r>
      </w:hyperlink>
      <w:r w:rsidRPr="00D871D1">
        <w:t xml:space="preserve"> et d'</w:t>
      </w:r>
      <w:hyperlink r:id="rId3479" w:history="1">
        <w:r w:rsidRPr="00D871D1">
          <w:rPr>
            <w:rStyle w:val="Lienhypertexte"/>
          </w:rPr>
          <w:t>amandes</w:t>
        </w:r>
      </w:hyperlink>
      <w:r w:rsidRPr="00D871D1">
        <w:t xml:space="preserve"> etc. Plantation de légumineuses sauvages autochtone enrichissant le sol et le </w:t>
      </w:r>
      <w:hyperlink r:id="rId3480" w:history="1">
        <w:r w:rsidRPr="00D871D1">
          <w:rPr>
            <w:rStyle w:val="Lienhypertexte"/>
          </w:rPr>
          <w:t>paysage</w:t>
        </w:r>
      </w:hyperlink>
      <w:r w:rsidRPr="00D871D1">
        <w:t xml:space="preserve"> tout en améliorant l'efficacité de la barrière contre le feu</w:t>
      </w:r>
      <w:r w:rsidRPr="00D871D1">
        <w:rPr>
          <w:vertAlign w:val="superscript"/>
        </w:rPr>
        <w:t>[7]</w:t>
      </w:r>
      <w:r w:rsidRPr="00D871D1">
        <w:t>.</w:t>
      </w:r>
    </w:p>
    <w:p w14:paraId="34D2B20A" w14:textId="1204F730" w:rsidR="00D871D1" w:rsidRDefault="00D871D1" w:rsidP="00D871D1">
      <w:pPr>
        <w:spacing w:after="0" w:line="240" w:lineRule="auto"/>
        <w:jc w:val="both"/>
      </w:pPr>
    </w:p>
    <w:p w14:paraId="1C0B4AAF" w14:textId="76A50E88" w:rsidR="00D871D1" w:rsidRPr="00D871D1" w:rsidRDefault="00D871D1" w:rsidP="00D871D1">
      <w:pPr>
        <w:pStyle w:val="Titre2"/>
      </w:pPr>
      <w:bookmarkStart w:id="301" w:name="_Toc139181592"/>
      <w:r w:rsidRPr="00D871D1">
        <w:t>Réservoirs</w:t>
      </w:r>
      <w:bookmarkEnd w:id="301"/>
    </w:p>
    <w:p w14:paraId="52A73C29" w14:textId="77777777" w:rsidR="00D871D1" w:rsidRDefault="00D871D1" w:rsidP="00D871D1">
      <w:pPr>
        <w:spacing w:after="0" w:line="240" w:lineRule="auto"/>
        <w:jc w:val="both"/>
      </w:pPr>
    </w:p>
    <w:p w14:paraId="783CDDA8" w14:textId="2335666E" w:rsidR="00D871D1" w:rsidRPr="00D871D1" w:rsidRDefault="00D871D1" w:rsidP="00D871D1">
      <w:pPr>
        <w:spacing w:after="0" w:line="240" w:lineRule="auto"/>
        <w:jc w:val="both"/>
      </w:pPr>
      <w:r w:rsidRPr="00D871D1">
        <w:t>Pour son étanchéité, le fond du réservoir peut être tapissé d’argile, d’un mélange d’argile et de pierres (moellons) ou d’un géotextile étanche (plus coûteux).</w:t>
      </w:r>
    </w:p>
    <w:p w14:paraId="52107E2D" w14:textId="77777777" w:rsidR="00D871D1" w:rsidRPr="00D871D1" w:rsidRDefault="00D871D1" w:rsidP="00D871D1">
      <w:pPr>
        <w:spacing w:after="0" w:line="240" w:lineRule="auto"/>
        <w:jc w:val="both"/>
      </w:pPr>
      <w:r w:rsidRPr="00D871D1">
        <w:t>Voire des réservoirs remplis d’eau, fermés, en plastique, en néoprène , en bois (ignifugé) ou métalliques (plus coûteux), peuvent être disposés à des points stratégiques, pour la lutte anti-incendie.</w:t>
      </w:r>
    </w:p>
    <w:p w14:paraId="638B9FD6" w14:textId="59F9DF60" w:rsidR="00D871D1" w:rsidRDefault="00D871D1" w:rsidP="00D871D1">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22"/>
        <w:gridCol w:w="2647"/>
        <w:gridCol w:w="2074"/>
        <w:gridCol w:w="2183"/>
      </w:tblGrid>
      <w:tr w:rsidR="00D871D1" w14:paraId="0C7CF40A" w14:textId="77777777" w:rsidTr="00140EDB">
        <w:tc>
          <w:tcPr>
            <w:tcW w:w="2501" w:type="dxa"/>
          </w:tcPr>
          <w:p w14:paraId="17918682" w14:textId="6F64552B" w:rsidR="00D871D1" w:rsidRDefault="00D871D1" w:rsidP="00D871D1">
            <w:pPr>
              <w:jc w:val="center"/>
            </w:pPr>
            <w:r w:rsidRPr="00D871D1">
              <w:rPr>
                <w:noProof/>
              </w:rPr>
              <w:drawing>
                <wp:inline distT="0" distB="0" distL="0" distR="0" wp14:anchorId="77244E06" wp14:editId="46D242AD">
                  <wp:extent cx="1085850" cy="809625"/>
                  <wp:effectExtent l="0" t="0" r="0" b="9525"/>
                  <wp:docPr id="228368" name="Picture 41" descr="ABREUVOI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368" name="Picture 41" descr="ABREUVOIR4"/>
                          <pic:cNvPicPr>
                            <a:picLocks noChangeAspect="1" noChangeArrowheads="1"/>
                          </pic:cNvPicPr>
                        </pic:nvPicPr>
                        <pic:blipFill>
                          <a:blip r:embed="rId3481" cstate="print">
                            <a:extLst>
                              <a:ext uri="{28A0092B-C50C-407E-A947-70E740481C1C}">
                                <a14:useLocalDpi xmlns:a14="http://schemas.microsoft.com/office/drawing/2010/main" val="0"/>
                              </a:ext>
                            </a:extLst>
                          </a:blip>
                          <a:srcRect/>
                          <a:stretch>
                            <a:fillRect/>
                          </a:stretch>
                        </pic:blipFill>
                        <pic:spPr bwMode="auto">
                          <a:xfrm>
                            <a:off x="0" y="0"/>
                            <a:ext cx="1085850" cy="809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2886" w:type="dxa"/>
          </w:tcPr>
          <w:p w14:paraId="44E1E000" w14:textId="00D28201" w:rsidR="00D871D1" w:rsidRDefault="00D871D1" w:rsidP="00D871D1">
            <w:pPr>
              <w:jc w:val="center"/>
            </w:pPr>
            <w:r w:rsidRPr="00D871D1">
              <w:rPr>
                <w:noProof/>
              </w:rPr>
              <w:drawing>
                <wp:inline distT="0" distB="0" distL="0" distR="0" wp14:anchorId="26D1FE43" wp14:editId="61141606">
                  <wp:extent cx="1285875" cy="685800"/>
                  <wp:effectExtent l="0" t="0" r="9525" b="0"/>
                  <wp:docPr id="228370" name="Picture 43" descr="mar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370" name="Picture 43" descr="mare2"/>
                          <pic:cNvPicPr>
                            <a:picLocks noChangeAspect="1" noChangeArrowheads="1"/>
                          </pic:cNvPicPr>
                        </pic:nvPicPr>
                        <pic:blipFill>
                          <a:blip r:embed="rId3482" cstate="print">
                            <a:extLst>
                              <a:ext uri="{28A0092B-C50C-407E-A947-70E740481C1C}">
                                <a14:useLocalDpi xmlns:a14="http://schemas.microsoft.com/office/drawing/2010/main" val="0"/>
                              </a:ext>
                            </a:extLst>
                          </a:blip>
                          <a:srcRect/>
                          <a:stretch>
                            <a:fillRect/>
                          </a:stretch>
                        </pic:blipFill>
                        <pic:spPr bwMode="auto">
                          <a:xfrm>
                            <a:off x="0" y="0"/>
                            <a:ext cx="1285875"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2502" w:type="dxa"/>
          </w:tcPr>
          <w:p w14:paraId="285B3160" w14:textId="084CAFFB" w:rsidR="00D871D1" w:rsidRDefault="00D871D1" w:rsidP="00D871D1">
            <w:pPr>
              <w:jc w:val="center"/>
            </w:pPr>
            <w:r w:rsidRPr="00D871D1">
              <w:rPr>
                <w:noProof/>
              </w:rPr>
              <w:drawing>
                <wp:inline distT="0" distB="0" distL="0" distR="0" wp14:anchorId="55DC0914" wp14:editId="75553541">
                  <wp:extent cx="1285875" cy="990600"/>
                  <wp:effectExtent l="0" t="0" r="9525" b="0"/>
                  <wp:docPr id="228371" name="Picture 44" descr="reservo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371" name="Picture 44" descr="reservoir"/>
                          <pic:cNvPicPr>
                            <a:picLocks noChangeAspect="1" noChangeArrowheads="1"/>
                          </pic:cNvPicPr>
                        </pic:nvPicPr>
                        <pic:blipFill>
                          <a:blip r:embed="rId3483" cstate="print">
                            <a:extLst>
                              <a:ext uri="{28A0092B-C50C-407E-A947-70E740481C1C}">
                                <a14:useLocalDpi xmlns:a14="http://schemas.microsoft.com/office/drawing/2010/main" val="0"/>
                              </a:ext>
                            </a:extLst>
                          </a:blip>
                          <a:srcRect/>
                          <a:stretch>
                            <a:fillRect/>
                          </a:stretch>
                        </pic:blipFill>
                        <pic:spPr bwMode="auto">
                          <a:xfrm>
                            <a:off x="0" y="0"/>
                            <a:ext cx="1285875" cy="990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t xml:space="preserve"> </w:t>
            </w:r>
          </w:p>
        </w:tc>
        <w:tc>
          <w:tcPr>
            <w:tcW w:w="2537" w:type="dxa"/>
          </w:tcPr>
          <w:p w14:paraId="4D81ED64" w14:textId="1A30CC22" w:rsidR="00D871D1" w:rsidRDefault="00D871D1" w:rsidP="00D871D1">
            <w:pPr>
              <w:jc w:val="center"/>
            </w:pPr>
            <w:r w:rsidRPr="00D871D1">
              <w:rPr>
                <w:noProof/>
              </w:rPr>
              <w:drawing>
                <wp:inline distT="0" distB="0" distL="0" distR="0" wp14:anchorId="4757DC2E" wp14:editId="10A6B139">
                  <wp:extent cx="1362075" cy="1019175"/>
                  <wp:effectExtent l="0" t="0" r="9525" b="9525"/>
                  <wp:docPr id="228367" name="Picture 40" descr="ABREUVOI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367" name="Picture 40" descr="ABREUVOIR3"/>
                          <pic:cNvPicPr>
                            <a:picLocks noChangeAspect="1" noChangeArrowheads="1"/>
                          </pic:cNvPicPr>
                        </pic:nvPicPr>
                        <pic:blipFill>
                          <a:blip r:embed="rId3484" cstate="print">
                            <a:extLst>
                              <a:ext uri="{28A0092B-C50C-407E-A947-70E740481C1C}">
                                <a14:useLocalDpi xmlns:a14="http://schemas.microsoft.com/office/drawing/2010/main" val="0"/>
                              </a:ext>
                            </a:extLst>
                          </a:blip>
                          <a:srcRect/>
                          <a:stretch>
                            <a:fillRect/>
                          </a:stretch>
                        </pic:blipFill>
                        <pic:spPr bwMode="auto">
                          <a:xfrm>
                            <a:off x="0" y="0"/>
                            <a:ext cx="1362075" cy="1019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t xml:space="preserve"> </w:t>
            </w:r>
          </w:p>
        </w:tc>
      </w:tr>
      <w:tr w:rsidR="00D871D1" w14:paraId="08D9F0BC" w14:textId="77777777" w:rsidTr="00140EDB">
        <w:tc>
          <w:tcPr>
            <w:tcW w:w="2501" w:type="dxa"/>
          </w:tcPr>
          <w:p w14:paraId="30AAEDE3" w14:textId="045D2714" w:rsidR="00D871D1" w:rsidRDefault="00D871D1" w:rsidP="00D871D1">
            <w:pPr>
              <w:jc w:val="center"/>
            </w:pPr>
            <w:r w:rsidRPr="00D871D1">
              <w:rPr>
                <w:noProof/>
              </w:rPr>
              <w:lastRenderedPageBreak/>
              <w:drawing>
                <wp:inline distT="0" distB="0" distL="0" distR="0" wp14:anchorId="04B0DAAC" wp14:editId="0FC1B900">
                  <wp:extent cx="1150937" cy="866775"/>
                  <wp:effectExtent l="0" t="0" r="0" b="0"/>
                  <wp:docPr id="228369" name="Picture 42" descr="clayReservo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369" name="Picture 42" descr="clayReservoir"/>
                          <pic:cNvPicPr>
                            <a:picLocks noChangeAspect="1" noChangeArrowheads="1"/>
                          </pic:cNvPicPr>
                        </pic:nvPicPr>
                        <pic:blipFill>
                          <a:blip r:embed="rId3485" cstate="print">
                            <a:extLst>
                              <a:ext uri="{28A0092B-C50C-407E-A947-70E740481C1C}">
                                <a14:useLocalDpi xmlns:a14="http://schemas.microsoft.com/office/drawing/2010/main" val="0"/>
                              </a:ext>
                            </a:extLst>
                          </a:blip>
                          <a:srcRect/>
                          <a:stretch>
                            <a:fillRect/>
                          </a:stretch>
                        </pic:blipFill>
                        <pic:spPr bwMode="auto">
                          <a:xfrm>
                            <a:off x="0" y="0"/>
                            <a:ext cx="1150937" cy="866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2886" w:type="dxa"/>
          </w:tcPr>
          <w:p w14:paraId="2874F788" w14:textId="7462A4D8" w:rsidR="00D871D1" w:rsidRDefault="00D871D1" w:rsidP="00D871D1">
            <w:pPr>
              <w:jc w:val="center"/>
            </w:pPr>
            <w:r w:rsidRPr="00D871D1">
              <w:rPr>
                <w:noProof/>
              </w:rPr>
              <w:drawing>
                <wp:inline distT="0" distB="0" distL="0" distR="0" wp14:anchorId="075ADEAB" wp14:editId="441D04B0">
                  <wp:extent cx="1304925" cy="981075"/>
                  <wp:effectExtent l="0" t="0" r="9525" b="9525"/>
                  <wp:docPr id="228359" name="Picture 33" descr="reservoirGeotext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359" name="Picture 33" descr="reservoirGeotextile"/>
                          <pic:cNvPicPr>
                            <a:picLocks noChangeAspect="1" noChangeArrowheads="1"/>
                          </pic:cNvPicPr>
                        </pic:nvPicPr>
                        <pic:blipFill>
                          <a:blip r:embed="rId3486" cstate="print">
                            <a:extLst>
                              <a:ext uri="{28A0092B-C50C-407E-A947-70E740481C1C}">
                                <a14:useLocalDpi xmlns:a14="http://schemas.microsoft.com/office/drawing/2010/main" val="0"/>
                              </a:ext>
                            </a:extLst>
                          </a:blip>
                          <a:srcRect/>
                          <a:stretch>
                            <a:fillRect/>
                          </a:stretch>
                        </pic:blipFill>
                        <pic:spPr bwMode="auto">
                          <a:xfrm>
                            <a:off x="0" y="0"/>
                            <a:ext cx="1304925" cy="981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2502" w:type="dxa"/>
          </w:tcPr>
          <w:p w14:paraId="2A48DC9F" w14:textId="7F43577E" w:rsidR="00D871D1" w:rsidRDefault="00D871D1" w:rsidP="00D871D1">
            <w:pPr>
              <w:jc w:val="center"/>
            </w:pPr>
            <w:r w:rsidRPr="00D871D1">
              <w:rPr>
                <w:noProof/>
              </w:rPr>
              <w:drawing>
                <wp:inline distT="0" distB="0" distL="0" distR="0" wp14:anchorId="558068D2" wp14:editId="3A42176E">
                  <wp:extent cx="1047750" cy="1047750"/>
                  <wp:effectExtent l="0" t="0" r="0" b="0"/>
                  <wp:docPr id="228364" name="Picture 39" descr="reserve-incendie-souple-pvc-44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364" name="Picture 39" descr="reserve-incendie-souple-pvc-44828"/>
                          <pic:cNvPicPr>
                            <a:picLocks noChangeAspect="1" noChangeArrowheads="1"/>
                          </pic:cNvPicPr>
                        </pic:nvPicPr>
                        <pic:blipFill>
                          <a:blip r:embed="rId3487" cstate="print">
                            <a:extLst>
                              <a:ext uri="{28A0092B-C50C-407E-A947-70E740481C1C}">
                                <a14:useLocalDpi xmlns:a14="http://schemas.microsoft.com/office/drawing/2010/main" val="0"/>
                              </a:ext>
                            </a:extLst>
                          </a:blip>
                          <a:srcRect/>
                          <a:stretch>
                            <a:fillRect/>
                          </a:stretch>
                        </pic:blipFill>
                        <pic:spPr bwMode="auto">
                          <a:xfrm>
                            <a:off x="0" y="0"/>
                            <a:ext cx="1047750" cy="1047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2537" w:type="dxa"/>
          </w:tcPr>
          <w:p w14:paraId="48448CCA" w14:textId="357E36D7" w:rsidR="00D871D1" w:rsidRDefault="00D871D1" w:rsidP="00D871D1">
            <w:pPr>
              <w:jc w:val="center"/>
            </w:pPr>
            <w:r w:rsidRPr="00D871D1">
              <w:rPr>
                <w:noProof/>
              </w:rPr>
              <w:drawing>
                <wp:inline distT="0" distB="0" distL="0" distR="0" wp14:anchorId="460A951F" wp14:editId="1F0796E3">
                  <wp:extent cx="1362075" cy="1019175"/>
                  <wp:effectExtent l="0" t="0" r="9525" b="9525"/>
                  <wp:docPr id="228360" name="Picture 34" descr="ABREUVOI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360" name="Picture 34" descr="ABREUVOIR1"/>
                          <pic:cNvPicPr>
                            <a:picLocks noChangeAspect="1" noChangeArrowheads="1"/>
                          </pic:cNvPicPr>
                        </pic:nvPicPr>
                        <pic:blipFill>
                          <a:blip r:embed="rId3488" cstate="print">
                            <a:extLst>
                              <a:ext uri="{28A0092B-C50C-407E-A947-70E740481C1C}">
                                <a14:useLocalDpi xmlns:a14="http://schemas.microsoft.com/office/drawing/2010/main" val="0"/>
                              </a:ext>
                            </a:extLst>
                          </a:blip>
                          <a:srcRect/>
                          <a:stretch>
                            <a:fillRect/>
                          </a:stretch>
                        </pic:blipFill>
                        <pic:spPr bwMode="auto">
                          <a:xfrm>
                            <a:off x="0" y="0"/>
                            <a:ext cx="1362075" cy="1019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140EDB" w14:paraId="4578CDDF" w14:textId="77777777" w:rsidTr="00140EDB">
        <w:tc>
          <w:tcPr>
            <w:tcW w:w="2501" w:type="dxa"/>
          </w:tcPr>
          <w:p w14:paraId="2BF51D7C" w14:textId="055EDC92" w:rsidR="00140EDB" w:rsidRDefault="00140EDB" w:rsidP="00D871D1">
            <w:pPr>
              <w:jc w:val="center"/>
            </w:pPr>
            <w:r w:rsidRPr="00D871D1">
              <w:rPr>
                <w:noProof/>
              </w:rPr>
              <w:drawing>
                <wp:inline distT="0" distB="0" distL="0" distR="0" wp14:anchorId="234075A7" wp14:editId="7AEE4C60">
                  <wp:extent cx="1285875" cy="962025"/>
                  <wp:effectExtent l="0" t="0" r="9525" b="9525"/>
                  <wp:docPr id="228357" name="Picture 30" descr="reservoirFeuxFor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357" name="Picture 30" descr="reservoirFeuxForet"/>
                          <pic:cNvPicPr>
                            <a:picLocks noChangeAspect="1" noChangeArrowheads="1"/>
                          </pic:cNvPicPr>
                        </pic:nvPicPr>
                        <pic:blipFill>
                          <a:blip r:embed="rId3489" cstate="print">
                            <a:extLst>
                              <a:ext uri="{28A0092B-C50C-407E-A947-70E740481C1C}">
                                <a14:useLocalDpi xmlns:a14="http://schemas.microsoft.com/office/drawing/2010/main" val="0"/>
                              </a:ext>
                            </a:extLst>
                          </a:blip>
                          <a:srcRect/>
                          <a:stretch>
                            <a:fillRect/>
                          </a:stretch>
                        </pic:blipFill>
                        <pic:spPr bwMode="auto">
                          <a:xfrm>
                            <a:off x="0" y="0"/>
                            <a:ext cx="1285875" cy="962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2886" w:type="dxa"/>
          </w:tcPr>
          <w:p w14:paraId="7578F8EF" w14:textId="2FE6BDE7" w:rsidR="00140EDB" w:rsidRDefault="00140EDB" w:rsidP="00D871D1">
            <w:pPr>
              <w:jc w:val="center"/>
            </w:pPr>
            <w:r w:rsidRPr="00D871D1">
              <w:rPr>
                <w:noProof/>
              </w:rPr>
              <w:drawing>
                <wp:inline distT="0" distB="0" distL="0" distR="0" wp14:anchorId="4210107F" wp14:editId="7D55C035">
                  <wp:extent cx="1685925" cy="1409700"/>
                  <wp:effectExtent l="0" t="0" r="9525" b="0"/>
                  <wp:docPr id="228365" name="Picture 40" descr="reservoi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365" name="Picture 40" descr="reservoir2"/>
                          <pic:cNvPicPr>
                            <a:picLocks noChangeAspect="1" noChangeArrowheads="1"/>
                          </pic:cNvPicPr>
                        </pic:nvPicPr>
                        <pic:blipFill>
                          <a:blip r:embed="rId3490" cstate="print">
                            <a:extLst>
                              <a:ext uri="{28A0092B-C50C-407E-A947-70E740481C1C}">
                                <a14:useLocalDpi xmlns:a14="http://schemas.microsoft.com/office/drawing/2010/main" val="0"/>
                              </a:ext>
                            </a:extLst>
                          </a:blip>
                          <a:srcRect/>
                          <a:stretch>
                            <a:fillRect/>
                          </a:stretch>
                        </pic:blipFill>
                        <pic:spPr bwMode="auto">
                          <a:xfrm>
                            <a:off x="0" y="0"/>
                            <a:ext cx="1685925" cy="140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039" w:type="dxa"/>
            <w:gridSpan w:val="2"/>
          </w:tcPr>
          <w:p w14:paraId="4D6BF3CC" w14:textId="528746F1" w:rsidR="00140EDB" w:rsidRDefault="00140EDB" w:rsidP="00D871D1">
            <w:pPr>
              <w:jc w:val="center"/>
            </w:pPr>
            <w:r w:rsidRPr="00D871D1">
              <w:rPr>
                <w:noProof/>
              </w:rPr>
              <w:drawing>
                <wp:inline distT="0" distB="0" distL="0" distR="0" wp14:anchorId="5C3B67D6" wp14:editId="2CAB62F7">
                  <wp:extent cx="2181225" cy="1451782"/>
                  <wp:effectExtent l="0" t="0" r="0" b="0"/>
                  <wp:docPr id="228363" name="Picture 38" descr="reserve-d-eau-souple-incendie-120-m3-259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363" name="Picture 38" descr="reserve-d-eau-souple-incendie-120-m3-259524"/>
                          <pic:cNvPicPr>
                            <a:picLocks noChangeAspect="1" noChangeArrowheads="1"/>
                          </pic:cNvPicPr>
                        </pic:nvPicPr>
                        <pic:blipFill>
                          <a:blip r:embed="rId3491" cstate="print">
                            <a:extLst>
                              <a:ext uri="{28A0092B-C50C-407E-A947-70E740481C1C}">
                                <a14:useLocalDpi xmlns:a14="http://schemas.microsoft.com/office/drawing/2010/main" val="0"/>
                              </a:ext>
                            </a:extLst>
                          </a:blip>
                          <a:srcRect/>
                          <a:stretch>
                            <a:fillRect/>
                          </a:stretch>
                        </pic:blipFill>
                        <pic:spPr bwMode="auto">
                          <a:xfrm>
                            <a:off x="0" y="0"/>
                            <a:ext cx="2190140" cy="1457716"/>
                          </a:xfrm>
                          <a:prstGeom prst="rect">
                            <a:avLst/>
                          </a:prstGeom>
                          <a:noFill/>
                          <a:ln>
                            <a:noFill/>
                          </a:ln>
                        </pic:spPr>
                      </pic:pic>
                    </a:graphicData>
                  </a:graphic>
                </wp:inline>
              </w:drawing>
            </w:r>
          </w:p>
          <w:p w14:paraId="4A088F93" w14:textId="7BED5FF3" w:rsidR="00140EDB" w:rsidRDefault="00140EDB" w:rsidP="00D871D1">
            <w:pPr>
              <w:jc w:val="center"/>
            </w:pPr>
          </w:p>
        </w:tc>
      </w:tr>
      <w:tr w:rsidR="00140EDB" w14:paraId="05048DAD" w14:textId="77777777" w:rsidTr="00140EDB">
        <w:tc>
          <w:tcPr>
            <w:tcW w:w="2501" w:type="dxa"/>
          </w:tcPr>
          <w:p w14:paraId="175A501F" w14:textId="1ABBEB89" w:rsidR="00140EDB" w:rsidRPr="00D871D1" w:rsidRDefault="00140EDB" w:rsidP="00D871D1">
            <w:pPr>
              <w:jc w:val="center"/>
            </w:pPr>
            <w:r w:rsidRPr="00D871D1">
              <w:rPr>
                <w:noProof/>
              </w:rPr>
              <w:drawing>
                <wp:inline distT="0" distB="0" distL="0" distR="0" wp14:anchorId="36479766" wp14:editId="7387F978">
                  <wp:extent cx="2305050" cy="485775"/>
                  <wp:effectExtent l="0" t="0" r="0" b="9525"/>
                  <wp:docPr id="228361" name="Picture 36" descr="ABREUVOIR7_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361" name="Picture 36" descr="ABREUVOIR7_s"/>
                          <pic:cNvPicPr>
                            <a:picLocks noChangeAspect="1" noChangeArrowheads="1"/>
                          </pic:cNvPicPr>
                        </pic:nvPicPr>
                        <pic:blipFill>
                          <a:blip r:embed="rId3492" cstate="print">
                            <a:extLst>
                              <a:ext uri="{28A0092B-C50C-407E-A947-70E740481C1C}">
                                <a14:useLocalDpi xmlns:a14="http://schemas.microsoft.com/office/drawing/2010/main" val="0"/>
                              </a:ext>
                            </a:extLst>
                          </a:blip>
                          <a:srcRect/>
                          <a:stretch>
                            <a:fillRect/>
                          </a:stretch>
                        </pic:blipFill>
                        <pic:spPr bwMode="auto">
                          <a:xfrm>
                            <a:off x="0" y="0"/>
                            <a:ext cx="2305050" cy="485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2886" w:type="dxa"/>
          </w:tcPr>
          <w:p w14:paraId="7EC06D4E" w14:textId="77777777" w:rsidR="00140EDB" w:rsidRPr="00D871D1" w:rsidRDefault="00140EDB" w:rsidP="00D871D1">
            <w:pPr>
              <w:jc w:val="center"/>
            </w:pPr>
          </w:p>
        </w:tc>
        <w:tc>
          <w:tcPr>
            <w:tcW w:w="5039" w:type="dxa"/>
            <w:gridSpan w:val="2"/>
          </w:tcPr>
          <w:p w14:paraId="372E4472" w14:textId="5BC345A5" w:rsidR="00140EDB" w:rsidRPr="00D871D1" w:rsidRDefault="00140EDB" w:rsidP="00D871D1">
            <w:pPr>
              <w:jc w:val="center"/>
            </w:pPr>
            <w:r w:rsidRPr="00D871D1">
              <w:rPr>
                <w:noProof/>
              </w:rPr>
              <w:drawing>
                <wp:inline distT="0" distB="0" distL="0" distR="0" wp14:anchorId="6D53B50A" wp14:editId="3F552244">
                  <wp:extent cx="2057400" cy="457200"/>
                  <wp:effectExtent l="0" t="0" r="0" b="0"/>
                  <wp:docPr id="228362" name="Picture 37" descr="abrevoir6_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362" name="Picture 37" descr="abrevoir6_s"/>
                          <pic:cNvPicPr>
                            <a:picLocks noChangeAspect="1" noChangeArrowheads="1"/>
                          </pic:cNvPicPr>
                        </pic:nvPicPr>
                        <pic:blipFill>
                          <a:blip r:embed="rId3493" cstate="print">
                            <a:extLst>
                              <a:ext uri="{28A0092B-C50C-407E-A947-70E740481C1C}">
                                <a14:useLocalDpi xmlns:a14="http://schemas.microsoft.com/office/drawing/2010/main" val="0"/>
                              </a:ext>
                            </a:extLst>
                          </a:blip>
                          <a:srcRect/>
                          <a:stretch>
                            <a:fillRect/>
                          </a:stretch>
                        </pic:blipFill>
                        <pic:spPr bwMode="auto">
                          <a:xfrm>
                            <a:off x="0" y="0"/>
                            <a:ext cx="20574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2D2E5B73" w14:textId="5A2041D7" w:rsidR="00A478FA" w:rsidRDefault="00A478FA" w:rsidP="0096728C">
      <w:pPr>
        <w:spacing w:after="0" w:line="240" w:lineRule="auto"/>
      </w:pPr>
    </w:p>
    <w:p w14:paraId="71BEC10C" w14:textId="26D678C6" w:rsidR="00116EFA" w:rsidRDefault="00116EFA" w:rsidP="00116EFA">
      <w:pPr>
        <w:pStyle w:val="Titre1"/>
      </w:pPr>
      <w:bookmarkStart w:id="302" w:name="_Toc139181593"/>
      <w:r>
        <w:t>Travail de sensibilisation</w:t>
      </w:r>
      <w:bookmarkEnd w:id="302"/>
    </w:p>
    <w:p w14:paraId="5DF887FE" w14:textId="2790E6E9" w:rsidR="00506C32" w:rsidRDefault="00506C32" w:rsidP="0096728C">
      <w:pPr>
        <w:spacing w:after="0" w:line="240" w:lineRule="auto"/>
      </w:pPr>
    </w:p>
    <w:p w14:paraId="303607A3" w14:textId="77777777" w:rsidR="004E0569" w:rsidRPr="004E0569" w:rsidRDefault="004E0569" w:rsidP="004E0569">
      <w:pPr>
        <w:spacing w:after="0" w:line="240" w:lineRule="auto"/>
        <w:jc w:val="both"/>
      </w:pPr>
      <w:r>
        <w:t xml:space="preserve">A Madagascar, </w:t>
      </w:r>
      <w:r w:rsidRPr="004E0569">
        <w:t xml:space="preserve">dans l’esprit des paysans pauvres, le problème de déforestation aurait été « inventé » par le colonisateur occidental pour justifier sa politique forestière répressive que continue le gouvernement actuel =&gt; donc négation générale de l’ampleur du phénomène pourtant bien réel et </w:t>
      </w:r>
      <w:r w:rsidRPr="004E0569">
        <w:rPr>
          <w:i/>
          <w:iCs/>
        </w:rPr>
        <w:t>une désobéissance civile des paysans</w:t>
      </w:r>
      <w:r w:rsidRPr="004E0569">
        <w:rPr>
          <w:b/>
          <w:bCs/>
        </w:rPr>
        <w:t xml:space="preserve"> </w:t>
      </w:r>
      <w:r w:rsidRPr="004E0569">
        <w:t>: 1) pour éviter les arrestations, il mettent alors le feu aux forêts, la nuit, 2) pour être entendus sur leurs conditions de vie, ils occupent des terres dans les forêts (dans forêts de l’est …), 3) coupes pour le charbonnage en pleine forêt, pour ne pas être vus, 4) feux dans les forêts, par les voleurs de zébus, pour les y cacher et avoir de l’herbe jeune.</w:t>
      </w:r>
    </w:p>
    <w:p w14:paraId="0679DE94" w14:textId="77777777" w:rsidR="004E0569" w:rsidRDefault="004E0569" w:rsidP="0096728C">
      <w:pPr>
        <w:spacing w:after="0" w:line="240" w:lineRule="auto"/>
      </w:pPr>
    </w:p>
    <w:p w14:paraId="24237997" w14:textId="6350C666" w:rsidR="00116EFA" w:rsidRPr="00116EFA" w:rsidRDefault="00116EFA" w:rsidP="00DA3C46">
      <w:pPr>
        <w:pStyle w:val="Paragraphedeliste"/>
        <w:numPr>
          <w:ilvl w:val="0"/>
          <w:numId w:val="71"/>
        </w:numPr>
        <w:spacing w:after="0" w:line="240" w:lineRule="auto"/>
      </w:pPr>
      <w:r w:rsidRPr="00116EFA">
        <w:t>Education et Conscientisation des Acteurs locaux</w:t>
      </w:r>
      <w:r>
        <w:rPr>
          <w:rStyle w:val="Appelnotedebasdep"/>
        </w:rPr>
        <w:footnoteReference w:id="227"/>
      </w:r>
      <w:r w:rsidRPr="00116EFA">
        <w:t>.</w:t>
      </w:r>
    </w:p>
    <w:p w14:paraId="23F40EB5" w14:textId="23F29F50" w:rsidR="00116EFA" w:rsidRPr="00116EFA" w:rsidRDefault="00116EFA" w:rsidP="00DA3C46">
      <w:pPr>
        <w:pStyle w:val="Paragraphedeliste"/>
        <w:numPr>
          <w:ilvl w:val="0"/>
          <w:numId w:val="71"/>
        </w:numPr>
        <w:spacing w:after="0" w:line="240" w:lineRule="auto"/>
      </w:pPr>
      <w:r w:rsidRPr="00116EFA">
        <w:t>Création de Sources de Revenu de remplacement</w:t>
      </w:r>
      <w:r>
        <w:t xml:space="preserve"> (pour les charbonniers …)</w:t>
      </w:r>
      <w:r w:rsidRPr="00116EFA">
        <w:t>.</w:t>
      </w:r>
    </w:p>
    <w:p w14:paraId="2502F6B9" w14:textId="727CCB5C" w:rsidR="00116EFA" w:rsidRDefault="00116EFA" w:rsidP="00DA3C46">
      <w:pPr>
        <w:pStyle w:val="Paragraphedeliste"/>
        <w:numPr>
          <w:ilvl w:val="0"/>
          <w:numId w:val="71"/>
        </w:numPr>
        <w:spacing w:after="0" w:line="240" w:lineRule="auto"/>
      </w:pPr>
      <w:r w:rsidRPr="00116EFA">
        <w:t>Soutien des marchés locaux.</w:t>
      </w:r>
    </w:p>
    <w:p w14:paraId="132482BF" w14:textId="016EA510" w:rsidR="00C33755" w:rsidRDefault="00C33755" w:rsidP="00DA3C46">
      <w:pPr>
        <w:pStyle w:val="Paragraphedeliste"/>
        <w:numPr>
          <w:ilvl w:val="0"/>
          <w:numId w:val="71"/>
        </w:numPr>
        <w:spacing w:after="0" w:line="240" w:lineRule="auto"/>
      </w:pPr>
      <w:r>
        <w:t>Etablissement d’un cadastre.</w:t>
      </w:r>
    </w:p>
    <w:p w14:paraId="7AB89F11" w14:textId="77777777" w:rsidR="00C33755" w:rsidRDefault="00C33755" w:rsidP="00DA3C46">
      <w:pPr>
        <w:pStyle w:val="Paragraphedeliste"/>
        <w:numPr>
          <w:ilvl w:val="0"/>
          <w:numId w:val="71"/>
        </w:numPr>
        <w:spacing w:after="0" w:line="240" w:lineRule="auto"/>
      </w:pPr>
      <w:r>
        <w:t>Planification de sa gestion et mise en place d’un système de contrôle des objectifs.</w:t>
      </w:r>
    </w:p>
    <w:p w14:paraId="389286D4" w14:textId="0D8689D8" w:rsidR="00C33755" w:rsidRDefault="00C33755" w:rsidP="00DA3C46">
      <w:pPr>
        <w:pStyle w:val="Paragraphedeliste"/>
        <w:numPr>
          <w:ilvl w:val="0"/>
          <w:numId w:val="71"/>
        </w:numPr>
        <w:spacing w:after="0" w:line="240" w:lineRule="auto"/>
      </w:pPr>
      <w:r>
        <w:t>Sécurisation juridique: 1) statut des zones pastorales, des zones cultivées, des forêts, 2) des droits autochtones/locaux.</w:t>
      </w:r>
    </w:p>
    <w:p w14:paraId="6FFFE7E7" w14:textId="77777777" w:rsidR="00853074" w:rsidRDefault="00853074" w:rsidP="00DA3C46">
      <w:pPr>
        <w:pStyle w:val="Paragraphedeliste"/>
        <w:numPr>
          <w:ilvl w:val="0"/>
          <w:numId w:val="71"/>
        </w:numPr>
        <w:spacing w:after="0" w:line="240" w:lineRule="auto"/>
      </w:pPr>
      <w:r>
        <w:t xml:space="preserve">Contrôle des « front pionniers » </w:t>
      </w:r>
    </w:p>
    <w:p w14:paraId="7D62DECF" w14:textId="47706C6C" w:rsidR="00853074" w:rsidRPr="00116EFA" w:rsidRDefault="00853074" w:rsidP="00DA3C46">
      <w:pPr>
        <w:pStyle w:val="Paragraphedeliste"/>
        <w:numPr>
          <w:ilvl w:val="0"/>
          <w:numId w:val="71"/>
        </w:numPr>
        <w:spacing w:after="0" w:line="240" w:lineRule="auto"/>
      </w:pPr>
      <w:r>
        <w:t>Redistributions foncières</w:t>
      </w:r>
    </w:p>
    <w:p w14:paraId="77C93313" w14:textId="0B480BEC" w:rsidR="00CD71D9" w:rsidRDefault="00CD71D9" w:rsidP="0096728C">
      <w:pPr>
        <w:spacing w:after="0" w:line="240" w:lineRule="auto"/>
      </w:pPr>
    </w:p>
    <w:p w14:paraId="65FE1AF6" w14:textId="605D36BB" w:rsidR="00D06F2D" w:rsidRDefault="00D06F2D" w:rsidP="0096728C">
      <w:pPr>
        <w:spacing w:after="0" w:line="240" w:lineRule="auto"/>
      </w:pPr>
    </w:p>
    <w:p w14:paraId="7309808B" w14:textId="6BDBD7D7" w:rsidR="00D06F2D" w:rsidRDefault="00D06F2D" w:rsidP="0096728C">
      <w:pPr>
        <w:spacing w:after="0" w:line="240" w:lineRule="auto"/>
      </w:pPr>
    </w:p>
    <w:p w14:paraId="6BF431E3" w14:textId="607B2378" w:rsidR="00D06F2D" w:rsidRDefault="00D06F2D" w:rsidP="0096728C">
      <w:pPr>
        <w:spacing w:after="0" w:line="240" w:lineRule="auto"/>
      </w:pPr>
    </w:p>
    <w:p w14:paraId="6F0C9EB6" w14:textId="77777777" w:rsidR="00D06F2D" w:rsidRDefault="00D06F2D" w:rsidP="0096728C">
      <w:pPr>
        <w:spacing w:after="0" w:line="240" w:lineRule="auto"/>
      </w:pPr>
    </w:p>
    <w:p w14:paraId="6E8C82EC" w14:textId="75762F5F" w:rsidR="00022BD2" w:rsidRDefault="00022BD2" w:rsidP="00022BD2">
      <w:pPr>
        <w:pStyle w:val="Titre1"/>
      </w:pPr>
      <w:bookmarkStart w:id="303" w:name="_Toc139181594"/>
      <w:r>
        <w:lastRenderedPageBreak/>
        <w:t>Création d’une banque de graines / semences</w:t>
      </w:r>
      <w:bookmarkEnd w:id="303"/>
    </w:p>
    <w:p w14:paraId="2BFA10AF" w14:textId="52043749" w:rsidR="00022BD2" w:rsidRDefault="00022BD2" w:rsidP="0096728C">
      <w:pPr>
        <w:spacing w:after="0" w:line="240" w:lineRule="auto"/>
      </w:pPr>
    </w:p>
    <w:p w14:paraId="06BA66F1" w14:textId="0AF3D7EA" w:rsidR="00063BE6" w:rsidRPr="00063BE6" w:rsidRDefault="00063BE6" w:rsidP="00D06F2D">
      <w:pPr>
        <w:pStyle w:val="Titre2"/>
      </w:pPr>
      <w:bookmarkStart w:id="304" w:name="_Toc139181595"/>
      <w:r w:rsidRPr="00063BE6">
        <w:t>Où se procurer les jeunes pousses ou les graines ?</w:t>
      </w:r>
      <w:bookmarkEnd w:id="304"/>
    </w:p>
    <w:p w14:paraId="47AEF49D" w14:textId="77777777" w:rsidR="00063BE6" w:rsidRPr="00063BE6" w:rsidRDefault="00063BE6" w:rsidP="00063BE6">
      <w:pPr>
        <w:spacing w:after="0" w:line="240" w:lineRule="auto"/>
        <w:jc w:val="both"/>
      </w:pPr>
    </w:p>
    <w:p w14:paraId="380BD3F0" w14:textId="77777777" w:rsidR="00063BE6" w:rsidRPr="00063BE6" w:rsidRDefault="00063BE6" w:rsidP="00DA3C46">
      <w:pPr>
        <w:numPr>
          <w:ilvl w:val="0"/>
          <w:numId w:val="74"/>
        </w:numPr>
        <w:spacing w:after="0" w:line="240" w:lineRule="auto"/>
        <w:jc w:val="both"/>
      </w:pPr>
      <w:r w:rsidRPr="00063BE6">
        <w:t xml:space="preserve"> Par des prélèvements dans la végétation locale. Prélèvements (sous formes de surgeons, rejets, graines, boutures etc.) qui seront cultivés ensuite en pépinières.</w:t>
      </w:r>
    </w:p>
    <w:p w14:paraId="38CE745B" w14:textId="77777777" w:rsidR="00063BE6" w:rsidRPr="00063BE6" w:rsidRDefault="00063BE6" w:rsidP="00DA3C46">
      <w:pPr>
        <w:numPr>
          <w:ilvl w:val="0"/>
          <w:numId w:val="74"/>
        </w:numPr>
        <w:spacing w:after="0" w:line="240" w:lineRule="auto"/>
        <w:jc w:val="both"/>
      </w:pPr>
      <w:r w:rsidRPr="00063BE6">
        <w:t xml:space="preserve"> Dans les instituts agronomiques, horticoles ou agroforestiers locaux (au niveau de leur jardin et de leur graineterie).</w:t>
      </w:r>
    </w:p>
    <w:p w14:paraId="63529C8D" w14:textId="1410E384" w:rsidR="00063BE6" w:rsidRPr="00063BE6" w:rsidRDefault="00063BE6" w:rsidP="00DA3C46">
      <w:pPr>
        <w:numPr>
          <w:ilvl w:val="0"/>
          <w:numId w:val="74"/>
        </w:numPr>
        <w:spacing w:after="0" w:line="240" w:lineRule="auto"/>
        <w:jc w:val="both"/>
      </w:pPr>
      <w:r w:rsidRPr="00063BE6">
        <w:t xml:space="preserve"> Dans des magasins de plantes et pépiniéristes locaux</w:t>
      </w:r>
      <w:r w:rsidR="00732E25">
        <w:t xml:space="preserve"> (mais éviter les semences hybrides type F1</w:t>
      </w:r>
      <w:r w:rsidR="00911522">
        <w:t xml:space="preserve">, dont la </w:t>
      </w:r>
      <w:r w:rsidR="00911522" w:rsidRPr="00022BD2">
        <w:t>faculté germinative</w:t>
      </w:r>
      <w:r w:rsidR="00911522">
        <w:t xml:space="preserve"> n’est pas assurée à la seconde génération</w:t>
      </w:r>
      <w:r w:rsidR="00732E25">
        <w:t>)</w:t>
      </w:r>
      <w:r w:rsidRPr="00063BE6">
        <w:t>.</w:t>
      </w:r>
    </w:p>
    <w:p w14:paraId="4ACAE4CB" w14:textId="77777777" w:rsidR="00063BE6" w:rsidRDefault="00063BE6" w:rsidP="00022BD2">
      <w:pPr>
        <w:spacing w:after="0" w:line="240" w:lineRule="auto"/>
        <w:jc w:val="both"/>
      </w:pPr>
    </w:p>
    <w:p w14:paraId="1688568B" w14:textId="09DBCE60" w:rsidR="00022BD2" w:rsidRPr="00063BE6" w:rsidRDefault="00022BD2" w:rsidP="00D06F2D">
      <w:pPr>
        <w:pStyle w:val="Titre2"/>
      </w:pPr>
      <w:bookmarkStart w:id="305" w:name="_Toc139181596"/>
      <w:r w:rsidRPr="00022BD2">
        <w:t>Comment conserver les graines ?</w:t>
      </w:r>
      <w:bookmarkEnd w:id="305"/>
    </w:p>
    <w:p w14:paraId="5088F5B7" w14:textId="77777777" w:rsidR="00022BD2" w:rsidRPr="00022BD2" w:rsidRDefault="00022BD2" w:rsidP="00022BD2">
      <w:pPr>
        <w:spacing w:after="0" w:line="240" w:lineRule="auto"/>
        <w:jc w:val="both"/>
      </w:pPr>
    </w:p>
    <w:p w14:paraId="7407A6B6" w14:textId="00CD11F0" w:rsidR="00022BD2" w:rsidRPr="00022BD2" w:rsidRDefault="00022BD2" w:rsidP="00DA3C46">
      <w:pPr>
        <w:numPr>
          <w:ilvl w:val="0"/>
          <w:numId w:val="73"/>
        </w:numPr>
        <w:spacing w:after="0" w:line="240" w:lineRule="auto"/>
        <w:jc w:val="both"/>
      </w:pPr>
      <w:r w:rsidRPr="00022BD2">
        <w:t>Au frais (ou au froid) et au sec</w:t>
      </w:r>
      <w:r>
        <w:t xml:space="preserve"> et </w:t>
      </w:r>
      <w:r w:rsidRPr="00022BD2">
        <w:t>dans</w:t>
      </w:r>
      <w:r>
        <w:t xml:space="preserve"> un</w:t>
      </w:r>
      <w:r w:rsidRPr="00022BD2">
        <w:t xml:space="preserve"> local frais </w:t>
      </w:r>
      <w:r>
        <w:t>(</w:t>
      </w:r>
      <w:r w:rsidRPr="00022BD2">
        <w:t>plutôt ventilé).</w:t>
      </w:r>
    </w:p>
    <w:p w14:paraId="649387E1" w14:textId="77777777" w:rsidR="00022BD2" w:rsidRPr="00022BD2" w:rsidRDefault="00022BD2" w:rsidP="00DA3C46">
      <w:pPr>
        <w:numPr>
          <w:ilvl w:val="0"/>
          <w:numId w:val="73"/>
        </w:numPr>
        <w:spacing w:after="0" w:line="240" w:lineRule="auto"/>
        <w:jc w:val="both"/>
      </w:pPr>
      <w:r w:rsidRPr="00022BD2">
        <w:t>Ne pas dépasser les dates limite de péremptions.</w:t>
      </w:r>
    </w:p>
    <w:p w14:paraId="6AFB624A" w14:textId="48F6AB51" w:rsidR="00022BD2" w:rsidRDefault="00022BD2" w:rsidP="00022BD2">
      <w:pPr>
        <w:spacing w:after="0" w:line="240" w:lineRule="auto"/>
        <w:jc w:val="both"/>
      </w:pPr>
    </w:p>
    <w:p w14:paraId="344689FD" w14:textId="7878A98D" w:rsidR="00022BD2" w:rsidRPr="00022BD2" w:rsidRDefault="00022BD2" w:rsidP="00D06F2D">
      <w:pPr>
        <w:pStyle w:val="Titre2"/>
      </w:pPr>
      <w:bookmarkStart w:id="306" w:name="_Toc139181597"/>
      <w:r w:rsidRPr="00063BE6">
        <w:t>C</w:t>
      </w:r>
      <w:r w:rsidRPr="00022BD2">
        <w:t>ritères de qualité des semences</w:t>
      </w:r>
      <w:bookmarkEnd w:id="306"/>
    </w:p>
    <w:p w14:paraId="567C3E6C" w14:textId="77777777" w:rsidR="00022BD2" w:rsidRDefault="00022BD2" w:rsidP="00022BD2">
      <w:pPr>
        <w:spacing w:after="0" w:line="240" w:lineRule="auto"/>
        <w:jc w:val="both"/>
      </w:pPr>
    </w:p>
    <w:p w14:paraId="11287259" w14:textId="12A81D64" w:rsidR="00022BD2" w:rsidRPr="00022BD2" w:rsidRDefault="00022BD2" w:rsidP="00022BD2">
      <w:pPr>
        <w:spacing w:after="0" w:line="240" w:lineRule="auto"/>
        <w:jc w:val="both"/>
      </w:pPr>
      <w:r w:rsidRPr="00022BD2">
        <w:t>- le nombre de germes vivants au kg,</w:t>
      </w:r>
    </w:p>
    <w:p w14:paraId="57B78617" w14:textId="77777777" w:rsidR="00022BD2" w:rsidRPr="00022BD2" w:rsidRDefault="00022BD2" w:rsidP="00022BD2">
      <w:pPr>
        <w:spacing w:after="0" w:line="240" w:lineRule="auto"/>
        <w:jc w:val="both"/>
      </w:pPr>
      <w:r w:rsidRPr="00022BD2">
        <w:t>- la pureté du lot,</w:t>
      </w:r>
    </w:p>
    <w:p w14:paraId="369FFE51" w14:textId="77777777" w:rsidR="00022BD2" w:rsidRPr="00022BD2" w:rsidRDefault="00022BD2" w:rsidP="00022BD2">
      <w:pPr>
        <w:spacing w:after="0" w:line="240" w:lineRule="auto"/>
        <w:jc w:val="both"/>
      </w:pPr>
      <w:r w:rsidRPr="00022BD2">
        <w:t>- l'état sanitaire,</w:t>
      </w:r>
    </w:p>
    <w:p w14:paraId="32EC3AB9" w14:textId="77777777" w:rsidR="00022BD2" w:rsidRPr="00022BD2" w:rsidRDefault="00022BD2" w:rsidP="00022BD2">
      <w:pPr>
        <w:spacing w:after="0" w:line="240" w:lineRule="auto"/>
        <w:jc w:val="both"/>
      </w:pPr>
      <w:r w:rsidRPr="00022BD2">
        <w:t>- la faculté germinative.</w:t>
      </w:r>
    </w:p>
    <w:p w14:paraId="3A10EFCF" w14:textId="77777777" w:rsidR="00F762EF" w:rsidRDefault="00F762EF" w:rsidP="00022BD2">
      <w:pPr>
        <w:spacing w:after="0" w:line="240" w:lineRule="auto"/>
        <w:jc w:val="both"/>
      </w:pPr>
    </w:p>
    <w:p w14:paraId="03F471DD" w14:textId="6AF5DE6B" w:rsidR="00D502CC" w:rsidRPr="00D502CC" w:rsidRDefault="00D502CC" w:rsidP="00D06F2D">
      <w:pPr>
        <w:pStyle w:val="Titre2"/>
      </w:pPr>
      <w:bookmarkStart w:id="307" w:name="_Toc139181598"/>
      <w:r w:rsidRPr="00D502CC">
        <w:t>Les opérations pouvant être effectuées pour la conservation des semences</w:t>
      </w:r>
      <w:bookmarkEnd w:id="307"/>
    </w:p>
    <w:p w14:paraId="270F68F5" w14:textId="18530AC5" w:rsidR="00D502CC" w:rsidRDefault="00D502CC" w:rsidP="00022BD2">
      <w:pPr>
        <w:spacing w:after="0" w:line="240" w:lineRule="auto"/>
        <w:jc w:val="both"/>
      </w:pPr>
    </w:p>
    <w:p w14:paraId="44D0F019" w14:textId="4FB0F654" w:rsidR="00D502CC" w:rsidRPr="00C170F3" w:rsidRDefault="00C170F3" w:rsidP="00022BD2">
      <w:pPr>
        <w:spacing w:after="0" w:line="240" w:lineRule="auto"/>
        <w:jc w:val="both"/>
        <w:rPr>
          <w:color w:val="000000" w:themeColor="text1"/>
        </w:rPr>
      </w:pPr>
      <w:r w:rsidRPr="00C170F3">
        <w:rPr>
          <w:color w:val="000000" w:themeColor="text1"/>
        </w:rPr>
        <w:t xml:space="preserve">Elles sont variées, dépendant des types de graines. Voici les traitements que peuvent subir les semences : </w:t>
      </w:r>
      <w:r w:rsidR="004F19BD">
        <w:rPr>
          <w:color w:val="000000" w:themeColor="text1"/>
        </w:rPr>
        <w:t>p</w:t>
      </w:r>
      <w:r w:rsidRPr="00C170F3">
        <w:rPr>
          <w:color w:val="000000" w:themeColor="text1"/>
        </w:rPr>
        <w:t xml:space="preserve">ré-nettoyage, </w:t>
      </w:r>
      <w:r w:rsidR="004F19BD">
        <w:rPr>
          <w:color w:val="000000" w:themeColor="text1"/>
        </w:rPr>
        <w:t>p</w:t>
      </w:r>
      <w:r w:rsidRPr="00C170F3">
        <w:rPr>
          <w:color w:val="000000" w:themeColor="text1"/>
        </w:rPr>
        <w:t xml:space="preserve">ré-séchage, </w:t>
      </w:r>
      <w:r w:rsidR="004F19BD">
        <w:rPr>
          <w:color w:val="000000" w:themeColor="text1"/>
        </w:rPr>
        <w:t>d</w:t>
      </w:r>
      <w:r w:rsidRPr="00C170F3">
        <w:rPr>
          <w:color w:val="000000" w:themeColor="text1"/>
        </w:rPr>
        <w:t xml:space="preserve">épulpage, </w:t>
      </w:r>
      <w:r w:rsidR="004F19BD">
        <w:rPr>
          <w:color w:val="000000" w:themeColor="text1"/>
        </w:rPr>
        <w:t>s</w:t>
      </w:r>
      <w:r w:rsidRPr="00C170F3">
        <w:rPr>
          <w:color w:val="000000" w:themeColor="text1"/>
        </w:rPr>
        <w:t xml:space="preserve">échage des fruits à la chaleur naturelle, </w:t>
      </w:r>
      <w:r w:rsidR="004F19BD">
        <w:rPr>
          <w:color w:val="000000" w:themeColor="text1"/>
        </w:rPr>
        <w:t>s</w:t>
      </w:r>
      <w:r w:rsidRPr="00C170F3">
        <w:rPr>
          <w:color w:val="000000" w:themeColor="text1"/>
        </w:rPr>
        <w:t>échage à couvert</w:t>
      </w:r>
      <w:r w:rsidR="0099370B">
        <w:rPr>
          <w:color w:val="000000" w:themeColor="text1"/>
        </w:rPr>
        <w:t xml:space="preserve"> (voire lyophilisation)</w:t>
      </w:r>
      <w:r w:rsidRPr="00C170F3">
        <w:rPr>
          <w:color w:val="000000" w:themeColor="text1"/>
        </w:rPr>
        <w:t xml:space="preserve">, </w:t>
      </w:r>
      <w:r w:rsidR="004F19BD">
        <w:rPr>
          <w:color w:val="000000" w:themeColor="text1"/>
        </w:rPr>
        <w:t>s</w:t>
      </w:r>
      <w:r w:rsidRPr="00C170F3">
        <w:rPr>
          <w:color w:val="000000" w:themeColor="text1"/>
        </w:rPr>
        <w:t xml:space="preserve">éparation (des graines de leur enveloppe _ </w:t>
      </w:r>
      <w:r w:rsidR="004F19BD">
        <w:rPr>
          <w:color w:val="000000" w:themeColor="text1"/>
        </w:rPr>
        <w:t xml:space="preserve">de la </w:t>
      </w:r>
      <w:r w:rsidRPr="00C170F3">
        <w:rPr>
          <w:color w:val="000000" w:themeColor="text1"/>
        </w:rPr>
        <w:t>capsule,</w:t>
      </w:r>
      <w:r w:rsidR="004F19BD">
        <w:rPr>
          <w:color w:val="000000" w:themeColor="text1"/>
        </w:rPr>
        <w:t xml:space="preserve"> de la</w:t>
      </w:r>
      <w:r w:rsidRPr="00C170F3">
        <w:rPr>
          <w:color w:val="000000" w:themeColor="text1"/>
        </w:rPr>
        <w:t xml:space="preserve"> balle de son ...),</w:t>
      </w:r>
      <w:r w:rsidR="004F19BD">
        <w:rPr>
          <w:color w:val="000000" w:themeColor="text1"/>
        </w:rPr>
        <w:t xml:space="preserve"> c</w:t>
      </w:r>
      <w:r w:rsidRPr="00C170F3">
        <w:rPr>
          <w:color w:val="000000" w:themeColor="text1"/>
        </w:rPr>
        <w:t xml:space="preserve">ulbutage, </w:t>
      </w:r>
      <w:r w:rsidR="004F19BD">
        <w:rPr>
          <w:color w:val="000000" w:themeColor="text1"/>
        </w:rPr>
        <w:t>b</w:t>
      </w:r>
      <w:r w:rsidRPr="00C170F3">
        <w:rPr>
          <w:color w:val="000000" w:themeColor="text1"/>
        </w:rPr>
        <w:t xml:space="preserve">attage, </w:t>
      </w:r>
      <w:r w:rsidR="004F19BD">
        <w:rPr>
          <w:color w:val="000000" w:themeColor="text1"/>
        </w:rPr>
        <w:t>d</w:t>
      </w:r>
      <w:r w:rsidRPr="00C170F3">
        <w:rPr>
          <w:color w:val="000000" w:themeColor="text1"/>
        </w:rPr>
        <w:t xml:space="preserve">ésailage (pour ôter les ailes des fruits ailés), </w:t>
      </w:r>
      <w:r w:rsidR="004F19BD">
        <w:rPr>
          <w:color w:val="000000" w:themeColor="text1"/>
        </w:rPr>
        <w:t>c</w:t>
      </w:r>
      <w:r w:rsidRPr="00C170F3">
        <w:rPr>
          <w:color w:val="000000" w:themeColor="text1"/>
        </w:rPr>
        <w:t xml:space="preserve">riblage, </w:t>
      </w:r>
      <w:r w:rsidR="004F19BD">
        <w:rPr>
          <w:color w:val="000000" w:themeColor="text1"/>
        </w:rPr>
        <w:t>v</w:t>
      </w:r>
      <w:r w:rsidRPr="00C170F3">
        <w:rPr>
          <w:color w:val="000000" w:themeColor="text1"/>
        </w:rPr>
        <w:t xml:space="preserve">entage (flottage des graines dans un courant d'air de vitesse suffisante), </w:t>
      </w:r>
      <w:r w:rsidR="004F19BD">
        <w:rPr>
          <w:color w:val="000000" w:themeColor="text1"/>
        </w:rPr>
        <w:t>f</w:t>
      </w:r>
      <w:r w:rsidRPr="00C170F3">
        <w:rPr>
          <w:color w:val="000000" w:themeColor="text1"/>
        </w:rPr>
        <w:t xml:space="preserve">lottation, </w:t>
      </w:r>
      <w:r w:rsidR="004F19BD">
        <w:rPr>
          <w:color w:val="000000" w:themeColor="text1"/>
        </w:rPr>
        <w:t>t</w:t>
      </w:r>
      <w:r w:rsidRPr="00C170F3">
        <w:rPr>
          <w:color w:val="000000" w:themeColor="text1"/>
        </w:rPr>
        <w:t xml:space="preserve">riage par gravité, </w:t>
      </w:r>
      <w:r w:rsidR="004F19BD">
        <w:rPr>
          <w:color w:val="000000" w:themeColor="text1"/>
        </w:rPr>
        <w:t>c</w:t>
      </w:r>
      <w:r w:rsidRPr="00C170F3">
        <w:rPr>
          <w:color w:val="000000" w:themeColor="text1"/>
        </w:rPr>
        <w:t xml:space="preserve">alibrage, </w:t>
      </w:r>
      <w:r w:rsidR="004F19BD">
        <w:rPr>
          <w:color w:val="000000" w:themeColor="text1"/>
        </w:rPr>
        <w:t>c</w:t>
      </w:r>
      <w:r w:rsidRPr="00C170F3">
        <w:rPr>
          <w:color w:val="000000" w:themeColor="text1"/>
        </w:rPr>
        <w:t>ontrôle de la teneur en eau, stockage, tests de routine (contrôle visuel</w:t>
      </w:r>
      <w:r>
        <w:rPr>
          <w:color w:val="000000" w:themeColor="text1"/>
        </w:rPr>
        <w:t>,</w:t>
      </w:r>
      <w:r w:rsidR="004F19BD">
        <w:rPr>
          <w:color w:val="000000" w:themeColor="text1"/>
        </w:rPr>
        <w:t xml:space="preserve"> test</w:t>
      </w:r>
      <w:r>
        <w:rPr>
          <w:color w:val="000000" w:themeColor="text1"/>
        </w:rPr>
        <w:t xml:space="preserve"> du taux d’humidité</w:t>
      </w:r>
      <w:r w:rsidRPr="00C170F3">
        <w:rPr>
          <w:color w:val="000000" w:themeColor="text1"/>
        </w:rPr>
        <w:t xml:space="preserve"> etc.)</w:t>
      </w:r>
      <w:r>
        <w:rPr>
          <w:color w:val="000000" w:themeColor="text1"/>
        </w:rPr>
        <w:t>, ventilation</w:t>
      </w:r>
      <w:r w:rsidRPr="00C170F3">
        <w:rPr>
          <w:color w:val="000000" w:themeColor="text1"/>
        </w:rPr>
        <w:t xml:space="preserve"> ...</w:t>
      </w:r>
    </w:p>
    <w:p w14:paraId="2740162C" w14:textId="77777777" w:rsidR="008B5D49" w:rsidRDefault="008B5D49" w:rsidP="00022BD2">
      <w:pPr>
        <w:spacing w:after="0" w:line="240" w:lineRule="auto"/>
        <w:jc w:val="both"/>
      </w:pPr>
    </w:p>
    <w:p w14:paraId="6FE50AA6" w14:textId="3AD0F950" w:rsidR="00D502CC" w:rsidRPr="00D502CC" w:rsidRDefault="00D502CC" w:rsidP="00D06F2D">
      <w:pPr>
        <w:pStyle w:val="Titre2"/>
      </w:pPr>
      <w:bookmarkStart w:id="308" w:name="_Toc139181599"/>
      <w:r w:rsidRPr="00D502CC">
        <w:t>Semences orthodoxes et récalcitrantes</w:t>
      </w:r>
      <w:r w:rsidR="008B5D49">
        <w:t xml:space="preserve"> (voir ci-après)</w:t>
      </w:r>
      <w:bookmarkEnd w:id="308"/>
    </w:p>
    <w:p w14:paraId="7E963B59" w14:textId="77777777" w:rsidR="00D502CC" w:rsidRDefault="00D502CC" w:rsidP="00022BD2">
      <w:pPr>
        <w:spacing w:after="0" w:line="240" w:lineRule="auto"/>
        <w:jc w:val="both"/>
      </w:pPr>
    </w:p>
    <w:p w14:paraId="6E162413" w14:textId="098FB1AA" w:rsidR="00CD71D9" w:rsidRDefault="00CD71D9" w:rsidP="00022BD2">
      <w:pPr>
        <w:spacing w:after="0" w:line="240" w:lineRule="auto"/>
        <w:jc w:val="both"/>
      </w:pPr>
      <w:r>
        <w:t>En général, les semences d’espèces végétales de milieux secs et arides se conservent beaucoup plus longtemps (10 ans ou plus), que les semences d’espèces de milieux tropicaux humides.</w:t>
      </w:r>
    </w:p>
    <w:p w14:paraId="689F6CE6" w14:textId="424D5F1D" w:rsidR="00D502CC" w:rsidRPr="00D502CC" w:rsidRDefault="00D502CC" w:rsidP="00022BD2">
      <w:pPr>
        <w:spacing w:after="0" w:line="240" w:lineRule="auto"/>
        <w:jc w:val="both"/>
        <w:rPr>
          <w:rFonts w:ascii="Calibri" w:hAnsi="Calibri" w:cs="Calibri"/>
          <w:color w:val="000000" w:themeColor="text1"/>
        </w:rPr>
      </w:pPr>
      <w:r w:rsidRPr="00D502CC">
        <w:rPr>
          <w:rFonts w:ascii="Calibri" w:hAnsi="Calibri" w:cs="Calibri"/>
          <w:color w:val="000000" w:themeColor="text1"/>
        </w:rPr>
        <w:t xml:space="preserve">On peut avoir affaire à des </w:t>
      </w:r>
      <w:r w:rsidRPr="00D502CC">
        <w:rPr>
          <w:rFonts w:ascii="Calibri" w:hAnsi="Calibri" w:cs="Calibri"/>
          <w:i/>
          <w:iCs/>
          <w:color w:val="000000" w:themeColor="text1"/>
          <w:shd w:val="clear" w:color="auto" w:fill="FFFFFF"/>
        </w:rPr>
        <w:t>semences récalcitrantes</w:t>
      </w:r>
      <w:r w:rsidRPr="00D502CC">
        <w:rPr>
          <w:rFonts w:ascii="Calibri" w:hAnsi="Calibri" w:cs="Calibri"/>
          <w:color w:val="000000" w:themeColor="text1"/>
          <w:shd w:val="clear" w:color="auto" w:fill="FFFFFF"/>
        </w:rPr>
        <w:t xml:space="preserve">, par opposition aux </w:t>
      </w:r>
      <w:r w:rsidRPr="00D502CC">
        <w:rPr>
          <w:rFonts w:ascii="Calibri" w:hAnsi="Calibri" w:cs="Calibri"/>
          <w:i/>
          <w:iCs/>
          <w:color w:val="000000" w:themeColor="text1"/>
          <w:shd w:val="clear" w:color="auto" w:fill="FFFFFF"/>
        </w:rPr>
        <w:t>semences orthodoxes</w:t>
      </w:r>
      <w:r w:rsidRPr="00D502CC">
        <w:rPr>
          <w:rFonts w:ascii="Calibri" w:hAnsi="Calibri" w:cs="Calibri"/>
          <w:color w:val="000000" w:themeColor="text1"/>
          <w:shd w:val="clear" w:color="auto" w:fill="FFFFFF"/>
        </w:rPr>
        <w:t>, des graines, ne survivant pas à la </w:t>
      </w:r>
      <w:hyperlink r:id="rId3494" w:tooltip="Dessiccation" w:history="1">
        <w:r w:rsidRPr="00D502CC">
          <w:rPr>
            <w:rStyle w:val="Lienhypertexte"/>
            <w:rFonts w:ascii="Calibri" w:hAnsi="Calibri" w:cs="Calibri"/>
            <w:color w:val="0645AD"/>
            <w:shd w:val="clear" w:color="auto" w:fill="FFFFFF"/>
          </w:rPr>
          <w:t>dessiccation</w:t>
        </w:r>
      </w:hyperlink>
      <w:r w:rsidRPr="00D502CC">
        <w:rPr>
          <w:rFonts w:ascii="Calibri" w:hAnsi="Calibri" w:cs="Calibri"/>
          <w:color w:val="202122"/>
          <w:shd w:val="clear" w:color="auto" w:fill="FFFFFF"/>
        </w:rPr>
        <w:t> </w:t>
      </w:r>
      <w:r w:rsidRPr="00D502CC">
        <w:rPr>
          <w:rFonts w:ascii="Calibri" w:hAnsi="Calibri" w:cs="Calibri"/>
          <w:color w:val="000000" w:themeColor="text1"/>
          <w:shd w:val="clear" w:color="auto" w:fill="FFFFFF"/>
        </w:rPr>
        <w:t>et au froid pendant la </w:t>
      </w:r>
      <w:hyperlink r:id="rId3495" w:tooltip="Conservation ex situ" w:history="1">
        <w:r w:rsidRPr="00D502CC">
          <w:rPr>
            <w:rStyle w:val="Lienhypertexte"/>
            <w:rFonts w:ascii="Calibri" w:hAnsi="Calibri" w:cs="Calibri"/>
            <w:color w:val="0645AD"/>
            <w:shd w:val="clear" w:color="auto" w:fill="FFFFFF"/>
          </w:rPr>
          <w:t>conservation ex situ</w:t>
        </w:r>
      </w:hyperlink>
      <w:r w:rsidRPr="00D502CC">
        <w:rPr>
          <w:rFonts w:ascii="Calibri" w:hAnsi="Calibri" w:cs="Calibri"/>
          <w:color w:val="202122"/>
          <w:shd w:val="clear" w:color="auto" w:fill="FFFFFF"/>
        </w:rPr>
        <w:t xml:space="preserve">. </w:t>
      </w:r>
      <w:r w:rsidRPr="00D502CC">
        <w:rPr>
          <w:rFonts w:ascii="Calibri" w:hAnsi="Calibri" w:cs="Calibri"/>
          <w:color w:val="000000" w:themeColor="text1"/>
          <w:shd w:val="clear" w:color="auto" w:fill="FFFFFF"/>
        </w:rPr>
        <w:t>Leur stockage nécessite de les conserver avec un degré d'humidité élevé. Mais cette humidité interne favorise l'attaque des </w:t>
      </w:r>
      <w:hyperlink r:id="rId3496" w:tooltip="Micro-organisme" w:history="1">
        <w:r w:rsidRPr="00D502CC">
          <w:rPr>
            <w:rStyle w:val="Lienhypertexte"/>
            <w:rFonts w:ascii="Calibri" w:hAnsi="Calibri" w:cs="Calibri"/>
            <w:color w:val="0645AD"/>
            <w:shd w:val="clear" w:color="auto" w:fill="FFFFFF"/>
          </w:rPr>
          <w:t>micro-organismes</w:t>
        </w:r>
      </w:hyperlink>
      <w:r w:rsidRPr="00D502CC">
        <w:rPr>
          <w:rFonts w:ascii="Calibri" w:hAnsi="Calibri" w:cs="Calibri"/>
          <w:color w:val="202122"/>
          <w:shd w:val="clear" w:color="auto" w:fill="FFFFFF"/>
        </w:rPr>
        <w:t> et le démarrage prématurée de la </w:t>
      </w:r>
      <w:hyperlink r:id="rId3497" w:tooltip="Germination" w:history="1">
        <w:r w:rsidRPr="00D502CC">
          <w:rPr>
            <w:rStyle w:val="Lienhypertexte"/>
            <w:rFonts w:ascii="Calibri" w:hAnsi="Calibri" w:cs="Calibri"/>
            <w:color w:val="0645AD"/>
            <w:shd w:val="clear" w:color="auto" w:fill="FFFFFF"/>
          </w:rPr>
          <w:t>germination</w:t>
        </w:r>
      </w:hyperlink>
      <w:r w:rsidRPr="00D502CC">
        <w:rPr>
          <w:rFonts w:ascii="Calibri" w:hAnsi="Calibri" w:cs="Calibri"/>
          <w:color w:val="202122"/>
          <w:shd w:val="clear" w:color="auto" w:fill="FFFFFF"/>
        </w:rPr>
        <w:t xml:space="preserve">, </w:t>
      </w:r>
      <w:r w:rsidRPr="00D502CC">
        <w:rPr>
          <w:rFonts w:ascii="Calibri" w:hAnsi="Calibri" w:cs="Calibri"/>
          <w:color w:val="000000" w:themeColor="text1"/>
          <w:shd w:val="clear" w:color="auto" w:fill="FFFFFF"/>
        </w:rPr>
        <w:t>ces graines étant également endommagées par des températures proches ou en dessous de zéro.</w:t>
      </w:r>
    </w:p>
    <w:p w14:paraId="2A1B2804" w14:textId="77777777" w:rsidR="00CD71D9" w:rsidRDefault="00CD71D9" w:rsidP="00022BD2">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D277E9" w:rsidRPr="00D277E9" w14:paraId="32B2973B" w14:textId="77777777" w:rsidTr="00070026">
        <w:tc>
          <w:tcPr>
            <w:tcW w:w="5208" w:type="dxa"/>
          </w:tcPr>
          <w:p w14:paraId="4710BF33" w14:textId="77777777" w:rsidR="00D277E9" w:rsidRDefault="00D277E9" w:rsidP="00134A85">
            <w:pPr>
              <w:jc w:val="center"/>
            </w:pPr>
            <w:r w:rsidRPr="00D277E9">
              <w:rPr>
                <w:noProof/>
              </w:rPr>
              <w:lastRenderedPageBreak/>
              <w:drawing>
                <wp:inline distT="0" distB="0" distL="0" distR="0" wp14:anchorId="37A43F03" wp14:editId="33121D0C">
                  <wp:extent cx="2540000" cy="1905000"/>
                  <wp:effectExtent l="0" t="0" r="0" b="0"/>
                  <wp:docPr id="124933" name="Image 7" descr="graineteri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33" name="Image 7" descr="graineterie2.JPG"/>
                          <pic:cNvPicPr>
                            <a:picLocks noChangeAspect="1"/>
                          </pic:cNvPicPr>
                        </pic:nvPicPr>
                        <pic:blipFill>
                          <a:blip r:embed="rId3498" cstate="print">
                            <a:extLst>
                              <a:ext uri="{28A0092B-C50C-407E-A947-70E740481C1C}">
                                <a14:useLocalDpi xmlns:a14="http://schemas.microsoft.com/office/drawing/2010/main" val="0"/>
                              </a:ext>
                            </a:extLst>
                          </a:blip>
                          <a:srcRect/>
                          <a:stretch>
                            <a:fillRect/>
                          </a:stretch>
                        </pic:blipFill>
                        <pic:spPr bwMode="auto">
                          <a:xfrm>
                            <a:off x="0" y="0"/>
                            <a:ext cx="2540000" cy="190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66209AE7" w14:textId="5214406B" w:rsidR="00D277E9" w:rsidRDefault="00D277E9" w:rsidP="00D277E9">
            <w:pPr>
              <w:jc w:val="center"/>
            </w:pPr>
            <w:r w:rsidRPr="00D277E9">
              <w:t>Graineterie © INRA  - Avignon.</w:t>
            </w:r>
          </w:p>
        </w:tc>
        <w:tc>
          <w:tcPr>
            <w:tcW w:w="5208" w:type="dxa"/>
          </w:tcPr>
          <w:p w14:paraId="4ACACEC1" w14:textId="16AA559B" w:rsidR="00D277E9" w:rsidRDefault="00D277E9" w:rsidP="00D277E9">
            <w:pPr>
              <w:jc w:val="center"/>
            </w:pPr>
            <w:r w:rsidRPr="00D277E9">
              <w:rPr>
                <w:noProof/>
              </w:rPr>
              <w:drawing>
                <wp:inline distT="0" distB="0" distL="0" distR="0" wp14:anchorId="7B80F3F5" wp14:editId="1D1BFD89">
                  <wp:extent cx="1728787" cy="1039812"/>
                  <wp:effectExtent l="0" t="0" r="5080" b="8255"/>
                  <wp:docPr id="124940" name="Image 14" descr="VavilovInstitut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40" name="Image 14" descr="VavilovInstitute2.jpg"/>
                          <pic:cNvPicPr>
                            <a:picLocks noChangeAspect="1"/>
                          </pic:cNvPicPr>
                        </pic:nvPicPr>
                        <pic:blipFill>
                          <a:blip r:embed="rId3499" cstate="print">
                            <a:extLst>
                              <a:ext uri="{28A0092B-C50C-407E-A947-70E740481C1C}">
                                <a14:useLocalDpi xmlns:a14="http://schemas.microsoft.com/office/drawing/2010/main" val="0"/>
                              </a:ext>
                            </a:extLst>
                          </a:blip>
                          <a:srcRect/>
                          <a:stretch>
                            <a:fillRect/>
                          </a:stretch>
                        </pic:blipFill>
                        <pic:spPr bwMode="auto">
                          <a:xfrm>
                            <a:off x="0" y="0"/>
                            <a:ext cx="1728787" cy="10398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FA2C8F2" w14:textId="77777777" w:rsidR="00C878F5" w:rsidRDefault="00C878F5" w:rsidP="00D277E9">
            <w:pPr>
              <w:jc w:val="center"/>
            </w:pPr>
          </w:p>
          <w:p w14:paraId="2693EFA3" w14:textId="77777777" w:rsidR="00D277E9" w:rsidRDefault="00D277E9" w:rsidP="00D277E9">
            <w:pPr>
              <w:jc w:val="center"/>
            </w:pPr>
            <w:r w:rsidRPr="00D277E9">
              <w:rPr>
                <w:noProof/>
              </w:rPr>
              <w:drawing>
                <wp:inline distT="0" distB="0" distL="0" distR="0" wp14:anchorId="334793F5" wp14:editId="5C03FFDC">
                  <wp:extent cx="1941512" cy="1300163"/>
                  <wp:effectExtent l="0" t="0" r="1905" b="0"/>
                  <wp:docPr id="124939" name="Image 13" descr="VavilovInstitu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39" name="Image 13" descr="VavilovInstitute.jpg"/>
                          <pic:cNvPicPr>
                            <a:picLocks noChangeAspect="1"/>
                          </pic:cNvPicPr>
                        </pic:nvPicPr>
                        <pic:blipFill>
                          <a:blip r:embed="rId3500" cstate="print">
                            <a:extLst>
                              <a:ext uri="{28A0092B-C50C-407E-A947-70E740481C1C}">
                                <a14:useLocalDpi xmlns:a14="http://schemas.microsoft.com/office/drawing/2010/main" val="0"/>
                              </a:ext>
                            </a:extLst>
                          </a:blip>
                          <a:srcRect/>
                          <a:stretch>
                            <a:fillRect/>
                          </a:stretch>
                        </pic:blipFill>
                        <pic:spPr bwMode="auto">
                          <a:xfrm>
                            <a:off x="0" y="0"/>
                            <a:ext cx="1941512" cy="13001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42D65EF" w14:textId="77777777" w:rsidR="00D277E9" w:rsidRDefault="00D277E9" w:rsidP="00D277E9">
            <w:pPr>
              <w:jc w:val="center"/>
              <w:rPr>
                <w:lang w:val="en-US"/>
              </w:rPr>
            </w:pPr>
            <w:r w:rsidRPr="00D277E9">
              <w:t>Graineterie, Pavlovk, Saint-Pétersbourg (Russie)</w:t>
            </w:r>
            <w:r w:rsidRPr="00D277E9">
              <w:rPr>
                <w:lang w:val="en-GB"/>
              </w:rPr>
              <w:t xml:space="preserve"> © </w:t>
            </w:r>
            <w:hyperlink r:id="rId3501" w:history="1">
              <w:r w:rsidRPr="00D277E9">
                <w:rPr>
                  <w:rStyle w:val="Lienhypertexte"/>
                  <w:lang w:val="en-US"/>
                </w:rPr>
                <w:t>N.I. Vavilov Institute of Plant Industry</w:t>
              </w:r>
            </w:hyperlink>
            <w:r w:rsidRPr="00D277E9">
              <w:rPr>
                <w:lang w:val="en-US"/>
              </w:rPr>
              <w:t xml:space="preserve"> </w:t>
            </w:r>
          </w:p>
          <w:p w14:paraId="0BE386AF" w14:textId="4A06DBDC" w:rsidR="00070026" w:rsidRPr="00D277E9" w:rsidRDefault="00070026" w:rsidP="00D277E9">
            <w:pPr>
              <w:jc w:val="center"/>
              <w:rPr>
                <w:lang w:val="en-GB"/>
              </w:rPr>
            </w:pPr>
          </w:p>
        </w:tc>
      </w:tr>
      <w:tr w:rsidR="00D277E9" w:rsidRPr="00D277E9" w14:paraId="1C4F7084" w14:textId="77777777" w:rsidTr="00070026">
        <w:tc>
          <w:tcPr>
            <w:tcW w:w="5208" w:type="dxa"/>
          </w:tcPr>
          <w:p w14:paraId="264A8673" w14:textId="77777777" w:rsidR="00D277E9" w:rsidRDefault="00134A85" w:rsidP="00D277E9">
            <w:pPr>
              <w:jc w:val="center"/>
              <w:rPr>
                <w:lang w:val="en-GB"/>
              </w:rPr>
            </w:pPr>
            <w:r w:rsidRPr="00134A85">
              <w:rPr>
                <w:noProof/>
              </w:rPr>
              <w:drawing>
                <wp:inline distT="0" distB="0" distL="0" distR="0" wp14:anchorId="3B9AACDB" wp14:editId="671F44EA">
                  <wp:extent cx="2856646" cy="1990725"/>
                  <wp:effectExtent l="0" t="0" r="1270" b="0"/>
                  <wp:docPr id="41987"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6"/>
                          <pic:cNvPicPr>
                            <a:picLocks noChangeAspect="1"/>
                          </pic:cNvPicPr>
                        </pic:nvPicPr>
                        <pic:blipFill>
                          <a:blip r:embed="rId3502">
                            <a:extLst>
                              <a:ext uri="{28A0092B-C50C-407E-A947-70E740481C1C}">
                                <a14:useLocalDpi xmlns:a14="http://schemas.microsoft.com/office/drawing/2010/main" val="0"/>
                              </a:ext>
                            </a:extLst>
                          </a:blip>
                          <a:stretch>
                            <a:fillRect/>
                          </a:stretch>
                        </pic:blipFill>
                        <pic:spPr>
                          <a:xfrm>
                            <a:off x="0" y="0"/>
                            <a:ext cx="2859486" cy="1992704"/>
                          </a:xfrm>
                          <a:prstGeom prst="rect">
                            <a:avLst/>
                          </a:prstGeom>
                        </pic:spPr>
                      </pic:pic>
                    </a:graphicData>
                  </a:graphic>
                </wp:inline>
              </w:drawing>
            </w:r>
          </w:p>
          <w:p w14:paraId="086079FE" w14:textId="3A2B4927" w:rsidR="00134A85" w:rsidRPr="00070026" w:rsidRDefault="00134A85" w:rsidP="00D277E9">
            <w:pPr>
              <w:jc w:val="center"/>
            </w:pPr>
            <w:r>
              <w:t>La s</w:t>
            </w:r>
            <w:r w:rsidRPr="00134A85">
              <w:t>emence-othèque</w:t>
            </w:r>
            <w:r w:rsidR="00070026">
              <w:t xml:space="preserve"> </w:t>
            </w:r>
            <w:r w:rsidR="00070026" w:rsidRPr="00070026">
              <w:t>du Jardin des fraternités ouvrières de Mouscron (Belgique)</w:t>
            </w:r>
            <w:r w:rsidR="00070026">
              <w:t>.</w:t>
            </w:r>
          </w:p>
        </w:tc>
        <w:tc>
          <w:tcPr>
            <w:tcW w:w="5208" w:type="dxa"/>
          </w:tcPr>
          <w:p w14:paraId="71995BC3" w14:textId="77777777" w:rsidR="00D277E9" w:rsidRDefault="00134A85" w:rsidP="00D277E9">
            <w:pPr>
              <w:jc w:val="center"/>
              <w:rPr>
                <w:lang w:val="en-GB"/>
              </w:rPr>
            </w:pPr>
            <w:r w:rsidRPr="00134A85">
              <w:rPr>
                <w:noProof/>
              </w:rPr>
              <w:drawing>
                <wp:inline distT="0" distB="0" distL="0" distR="0" wp14:anchorId="705F8FE9" wp14:editId="500B57D0">
                  <wp:extent cx="2855595" cy="2150095"/>
                  <wp:effectExtent l="0" t="0" r="1905" b="3175"/>
                  <wp:docPr id="41988"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pic:cNvPicPr>
                            <a:picLocks noChangeAspect="1"/>
                          </pic:cNvPicPr>
                        </pic:nvPicPr>
                        <pic:blipFill>
                          <a:blip r:embed="rId3503">
                            <a:extLst>
                              <a:ext uri="{28A0092B-C50C-407E-A947-70E740481C1C}">
                                <a14:useLocalDpi xmlns:a14="http://schemas.microsoft.com/office/drawing/2010/main" val="0"/>
                              </a:ext>
                            </a:extLst>
                          </a:blip>
                          <a:stretch>
                            <a:fillRect/>
                          </a:stretch>
                        </pic:blipFill>
                        <pic:spPr>
                          <a:xfrm>
                            <a:off x="0" y="0"/>
                            <a:ext cx="2857745" cy="2151713"/>
                          </a:xfrm>
                          <a:prstGeom prst="rect">
                            <a:avLst/>
                          </a:prstGeom>
                        </pic:spPr>
                      </pic:pic>
                    </a:graphicData>
                  </a:graphic>
                </wp:inline>
              </w:drawing>
            </w:r>
          </w:p>
          <w:p w14:paraId="7834CAA7" w14:textId="2190C5F4" w:rsidR="00134A85" w:rsidRPr="00D277E9" w:rsidRDefault="00134A85" w:rsidP="00D277E9">
            <w:pPr>
              <w:jc w:val="center"/>
              <w:rPr>
                <w:lang w:val="en-GB"/>
              </w:rPr>
            </w:pPr>
            <w:r>
              <w:t>La s</w:t>
            </w:r>
            <w:r w:rsidRPr="00134A85">
              <w:t>emence-othèque</w:t>
            </w:r>
            <w:r>
              <w:t>.</w:t>
            </w:r>
            <w:r w:rsidR="00070026">
              <w:t xml:space="preserve"> Idem.</w:t>
            </w:r>
          </w:p>
        </w:tc>
      </w:tr>
    </w:tbl>
    <w:p w14:paraId="6A5E4C03" w14:textId="77777777" w:rsidR="002A6A93" w:rsidRDefault="002A6A93" w:rsidP="00134A85">
      <w:pPr>
        <w:spacing w:after="0" w:line="240" w:lineRule="auto"/>
        <w:jc w:val="both"/>
        <w:rPr>
          <w:lang w:val="en-GB"/>
        </w:rPr>
      </w:pPr>
    </w:p>
    <w:p w14:paraId="392E9F38" w14:textId="66CFDA0D" w:rsidR="00134A85" w:rsidRPr="00134A85" w:rsidRDefault="00134A85" w:rsidP="00D06F2D">
      <w:pPr>
        <w:pStyle w:val="Titre2"/>
      </w:pPr>
      <w:bookmarkStart w:id="309" w:name="_Toc139181600"/>
      <w:r w:rsidRPr="00134A85">
        <w:t>Exemple de la « semence-othèque » du Jardin des fraternités ouvrières de Mouscron (ASBL, Belgique)</w:t>
      </w:r>
      <w:bookmarkEnd w:id="309"/>
    </w:p>
    <w:p w14:paraId="517709F6" w14:textId="3726553C" w:rsidR="00022BD2" w:rsidRDefault="00022BD2" w:rsidP="0096728C">
      <w:pPr>
        <w:spacing w:after="0" w:line="240" w:lineRule="auto"/>
      </w:pPr>
    </w:p>
    <w:p w14:paraId="6D32BB4B" w14:textId="7DC27A22" w:rsidR="003874BA" w:rsidRDefault="00134A85" w:rsidP="00134A85">
      <w:pPr>
        <w:spacing w:after="0" w:line="240" w:lineRule="auto"/>
        <w:jc w:val="both"/>
      </w:pPr>
      <w:r w:rsidRPr="00134A85">
        <w:t xml:space="preserve">La </w:t>
      </w:r>
      <w:r w:rsidRPr="00134A85">
        <w:rPr>
          <w:i/>
          <w:iCs/>
        </w:rPr>
        <w:t>bibliothèque de semences</w:t>
      </w:r>
      <w:r w:rsidRPr="00134A85">
        <w:rPr>
          <w:b/>
          <w:bCs/>
        </w:rPr>
        <w:t xml:space="preserve"> </w:t>
      </w:r>
      <w:r w:rsidRPr="00134A85">
        <w:t>(banque de graines ou "grainothèque")</w:t>
      </w:r>
      <w:r>
        <w:t xml:space="preserve"> de cette association</w:t>
      </w:r>
      <w:r w:rsidRPr="00134A85">
        <w:t xml:space="preserve"> conserve environ 6500 variétés de semences de légumes, de céréales, de fleurs, de plantes aromatiques, de plantes médicinales, d’arbustes et d’arbres, d’engrais verts, des variétés peu connues de plantes rustiques, de plantes anciennes, de plantes parfois oubliées, accessibles et produites par les membres de l’association avec une multitude de variétés régionales, résistantes, adaptées, exclues du marché et utiles pour l’alimentation de l’homme, pour sa santé, celle du sol et de la Nature. De nombreuses graines sont issues du jardin ou de ceux des passionnés de l’association. Les autres proviennent de différents groupes de sauvegarde de semences à travers l’Europe et le Monde (Kokopelli …).</w:t>
      </w:r>
      <w:r>
        <w:t xml:space="preserve"> Elle</w:t>
      </w:r>
      <w:r w:rsidRPr="00134A85">
        <w:t xml:space="preserve"> occupe tous les murs du local principal de l’association, du sol au plafond. Toutes les semences sont répertoriées dans un catalogue, avec leurs caractéristiques principales, un deuxième catalogue rassemble les arbres et arbustes. Le prix du sachet varie de 0.25 à 1€. Chacun dépose son dû dans la cagnotte déposée sur la table.</w:t>
      </w:r>
      <w:r>
        <w:t xml:space="preserve"> </w:t>
      </w:r>
      <w:r w:rsidRPr="00134A85">
        <w:t>Régulièrement, autour d'une grand table, une douzaine de bénévoles trient, pèsent, ensachent puis étiquètent les graines. Autour, sur les murs tapissés de rayonnages, s'alignent de boîtes numérotées. Une pour chaque variété</w:t>
      </w:r>
      <w:r w:rsidR="000E6F46">
        <w:rPr>
          <w:rStyle w:val="Appelnotedebasdep"/>
        </w:rPr>
        <w:footnoteReference w:id="228"/>
      </w:r>
      <w:r w:rsidRPr="00134A85">
        <w:t>.</w:t>
      </w:r>
    </w:p>
    <w:p w14:paraId="72C0CB8E" w14:textId="0EEC085D" w:rsidR="002A6A93" w:rsidRDefault="002A6A93" w:rsidP="002A6A93">
      <w:pPr>
        <w:spacing w:after="0" w:line="240" w:lineRule="auto"/>
        <w:jc w:val="center"/>
        <w:rPr>
          <w:rFonts w:ascii="Arial" w:eastAsia="Times New Roman" w:hAnsi="Arial" w:cs="Arial"/>
          <w:lang w:eastAsia="fr-FR"/>
        </w:rPr>
      </w:pPr>
      <w:r w:rsidRPr="00F73985">
        <w:rPr>
          <w:rFonts w:ascii="Arial" w:eastAsia="Times New Roman" w:hAnsi="Arial" w:cs="Arial"/>
          <w:lang w:eastAsia="fr-FR"/>
        </w:rPr>
        <w:lastRenderedPageBreak/>
        <w:fldChar w:fldCharType="begin"/>
      </w:r>
      <w:r w:rsidRPr="00F73985">
        <w:rPr>
          <w:rFonts w:ascii="Arial" w:eastAsia="Times New Roman" w:hAnsi="Arial" w:cs="Arial"/>
          <w:lang w:eastAsia="fr-FR"/>
        </w:rPr>
        <w:instrText xml:space="preserve"> INCLUDEPICTURE "http://www.fao.org/docrep/006/ad232f/ad232f193.gif" \* MERGEFORMATINET </w:instrText>
      </w:r>
      <w:r w:rsidRPr="00F73985">
        <w:rPr>
          <w:rFonts w:ascii="Arial" w:eastAsia="Times New Roman" w:hAnsi="Arial" w:cs="Arial"/>
          <w:lang w:eastAsia="fr-FR"/>
        </w:rPr>
        <w:fldChar w:fldCharType="separate"/>
      </w:r>
      <w:r w:rsidR="003C749C">
        <w:rPr>
          <w:rFonts w:ascii="Arial" w:eastAsia="Times New Roman" w:hAnsi="Arial" w:cs="Arial"/>
          <w:lang w:eastAsia="fr-FR"/>
        </w:rPr>
        <w:fldChar w:fldCharType="begin"/>
      </w:r>
      <w:r w:rsidR="003C749C">
        <w:rPr>
          <w:rFonts w:ascii="Arial" w:eastAsia="Times New Roman" w:hAnsi="Arial" w:cs="Arial"/>
          <w:lang w:eastAsia="fr-FR"/>
        </w:rPr>
        <w:instrText xml:space="preserve"> INCLUDEPICTURE  "http://www.fao.org/docrep/006/ad232f/ad232f193.gif" \* MERGEFORMATINET </w:instrText>
      </w:r>
      <w:r w:rsidR="003C749C">
        <w:rPr>
          <w:rFonts w:ascii="Arial" w:eastAsia="Times New Roman" w:hAnsi="Arial" w:cs="Arial"/>
          <w:lang w:eastAsia="fr-FR"/>
        </w:rPr>
        <w:fldChar w:fldCharType="separate"/>
      </w:r>
      <w:r w:rsidR="00AD6F81">
        <w:rPr>
          <w:rFonts w:ascii="Arial" w:eastAsia="Times New Roman" w:hAnsi="Arial" w:cs="Arial"/>
          <w:lang w:eastAsia="fr-FR"/>
        </w:rPr>
        <w:fldChar w:fldCharType="begin"/>
      </w:r>
      <w:r w:rsidR="00AD6F81">
        <w:rPr>
          <w:rFonts w:ascii="Arial" w:eastAsia="Times New Roman" w:hAnsi="Arial" w:cs="Arial"/>
          <w:lang w:eastAsia="fr-FR"/>
        </w:rPr>
        <w:instrText xml:space="preserve"> INCLUDEPICTURE  "http://www.fao.org/docrep/006/ad232f/ad232f193.gif" \* MERGEFORMATINET </w:instrText>
      </w:r>
      <w:r w:rsidR="00AD6F81">
        <w:rPr>
          <w:rFonts w:ascii="Arial" w:eastAsia="Times New Roman" w:hAnsi="Arial" w:cs="Arial"/>
          <w:lang w:eastAsia="fr-FR"/>
        </w:rPr>
        <w:fldChar w:fldCharType="separate"/>
      </w:r>
      <w:r w:rsidR="009F116E">
        <w:rPr>
          <w:rFonts w:ascii="Arial" w:eastAsia="Times New Roman" w:hAnsi="Arial" w:cs="Arial"/>
          <w:lang w:eastAsia="fr-FR"/>
        </w:rPr>
        <w:fldChar w:fldCharType="begin"/>
      </w:r>
      <w:r w:rsidR="009F116E">
        <w:rPr>
          <w:rFonts w:ascii="Arial" w:eastAsia="Times New Roman" w:hAnsi="Arial" w:cs="Arial"/>
          <w:lang w:eastAsia="fr-FR"/>
        </w:rPr>
        <w:instrText xml:space="preserve"> INCLUDEPICTURE  "http://www.fao.org/docrep/006/ad232f/ad232f193.gif" \* MERGEFORMATINET </w:instrText>
      </w:r>
      <w:r w:rsidR="009F116E">
        <w:rPr>
          <w:rFonts w:ascii="Arial" w:eastAsia="Times New Roman" w:hAnsi="Arial" w:cs="Arial"/>
          <w:lang w:eastAsia="fr-FR"/>
        </w:rPr>
        <w:fldChar w:fldCharType="separate"/>
      </w:r>
      <w:r w:rsidR="00C54119">
        <w:rPr>
          <w:rFonts w:ascii="Arial" w:eastAsia="Times New Roman" w:hAnsi="Arial" w:cs="Arial"/>
          <w:lang w:eastAsia="fr-FR"/>
        </w:rPr>
        <w:fldChar w:fldCharType="begin"/>
      </w:r>
      <w:r w:rsidR="00C54119">
        <w:rPr>
          <w:rFonts w:ascii="Arial" w:eastAsia="Times New Roman" w:hAnsi="Arial" w:cs="Arial"/>
          <w:lang w:eastAsia="fr-FR"/>
        </w:rPr>
        <w:instrText xml:space="preserve"> INCLUDEPICTURE  "http://www.fao.org/docrep/006/ad232f/ad232f193.gif" \* MERGEFORMATINET </w:instrText>
      </w:r>
      <w:r w:rsidR="00C54119">
        <w:rPr>
          <w:rFonts w:ascii="Arial" w:eastAsia="Times New Roman" w:hAnsi="Arial" w:cs="Arial"/>
          <w:lang w:eastAsia="fr-FR"/>
        </w:rPr>
        <w:fldChar w:fldCharType="separate"/>
      </w:r>
      <w:r w:rsidR="005E6492">
        <w:rPr>
          <w:rFonts w:ascii="Arial" w:eastAsia="Times New Roman" w:hAnsi="Arial" w:cs="Arial"/>
          <w:lang w:eastAsia="fr-FR"/>
        </w:rPr>
        <w:fldChar w:fldCharType="begin"/>
      </w:r>
      <w:r w:rsidR="005E6492">
        <w:rPr>
          <w:rFonts w:ascii="Arial" w:eastAsia="Times New Roman" w:hAnsi="Arial" w:cs="Arial"/>
          <w:lang w:eastAsia="fr-FR"/>
        </w:rPr>
        <w:instrText xml:space="preserve"> INCLUDEPICTURE  "http://www.fao.org/docrep/006/ad232f/ad232f193.gif" \* MERGEFORMATINET </w:instrText>
      </w:r>
      <w:r w:rsidR="005E6492">
        <w:rPr>
          <w:rFonts w:ascii="Arial" w:eastAsia="Times New Roman" w:hAnsi="Arial" w:cs="Arial"/>
          <w:lang w:eastAsia="fr-FR"/>
        </w:rPr>
        <w:fldChar w:fldCharType="separate"/>
      </w:r>
      <w:r w:rsidR="00224E0F">
        <w:rPr>
          <w:rFonts w:ascii="Arial" w:eastAsia="Times New Roman" w:hAnsi="Arial" w:cs="Arial"/>
          <w:lang w:eastAsia="fr-FR"/>
        </w:rPr>
        <w:fldChar w:fldCharType="begin"/>
      </w:r>
      <w:r w:rsidR="00224E0F">
        <w:rPr>
          <w:rFonts w:ascii="Arial" w:eastAsia="Times New Roman" w:hAnsi="Arial" w:cs="Arial"/>
          <w:lang w:eastAsia="fr-FR"/>
        </w:rPr>
        <w:instrText xml:space="preserve"> INCLUDEPICTURE  "http://www.fao.org/docrep/006/ad232f/ad232f193.gif" \* MERGEFORMATINET </w:instrText>
      </w:r>
      <w:r w:rsidR="00224E0F">
        <w:rPr>
          <w:rFonts w:ascii="Arial" w:eastAsia="Times New Roman" w:hAnsi="Arial" w:cs="Arial"/>
          <w:lang w:eastAsia="fr-FR"/>
        </w:rPr>
        <w:fldChar w:fldCharType="separate"/>
      </w:r>
      <w:r w:rsidR="00212FDE">
        <w:rPr>
          <w:rFonts w:ascii="Arial" w:eastAsia="Times New Roman" w:hAnsi="Arial" w:cs="Arial"/>
          <w:lang w:eastAsia="fr-FR"/>
        </w:rPr>
        <w:fldChar w:fldCharType="begin"/>
      </w:r>
      <w:r w:rsidR="00212FDE">
        <w:rPr>
          <w:rFonts w:ascii="Arial" w:eastAsia="Times New Roman" w:hAnsi="Arial" w:cs="Arial"/>
          <w:lang w:eastAsia="fr-FR"/>
        </w:rPr>
        <w:instrText xml:space="preserve"> INCLUDEPICTURE  "http://www.fao.org/docrep/006/ad232f/ad232f193.gif" \* MERGEFORMATINET </w:instrText>
      </w:r>
      <w:r w:rsidR="00212FDE">
        <w:rPr>
          <w:rFonts w:ascii="Arial" w:eastAsia="Times New Roman" w:hAnsi="Arial" w:cs="Arial"/>
          <w:lang w:eastAsia="fr-FR"/>
        </w:rPr>
        <w:fldChar w:fldCharType="separate"/>
      </w:r>
      <w:r w:rsidR="00BC3AF1">
        <w:rPr>
          <w:rFonts w:ascii="Arial" w:eastAsia="Times New Roman" w:hAnsi="Arial" w:cs="Arial"/>
          <w:lang w:eastAsia="fr-FR"/>
        </w:rPr>
        <w:fldChar w:fldCharType="begin"/>
      </w:r>
      <w:r w:rsidR="00BC3AF1">
        <w:rPr>
          <w:rFonts w:ascii="Arial" w:eastAsia="Times New Roman" w:hAnsi="Arial" w:cs="Arial"/>
          <w:lang w:eastAsia="fr-FR"/>
        </w:rPr>
        <w:instrText xml:space="preserve"> INCLUDEPICTURE  "http://www.fao.org/docrep/006/ad232f/ad232f193.gif" \* MERGEFORMATINET </w:instrText>
      </w:r>
      <w:r w:rsidR="00BC3AF1">
        <w:rPr>
          <w:rFonts w:ascii="Arial" w:eastAsia="Times New Roman" w:hAnsi="Arial" w:cs="Arial"/>
          <w:lang w:eastAsia="fr-FR"/>
        </w:rPr>
        <w:fldChar w:fldCharType="separate"/>
      </w:r>
      <w:r w:rsidR="008A682D">
        <w:rPr>
          <w:rFonts w:ascii="Arial" w:eastAsia="Times New Roman" w:hAnsi="Arial" w:cs="Arial"/>
          <w:lang w:eastAsia="fr-FR"/>
        </w:rPr>
        <w:fldChar w:fldCharType="begin"/>
      </w:r>
      <w:r w:rsidR="008A682D">
        <w:rPr>
          <w:rFonts w:ascii="Arial" w:eastAsia="Times New Roman" w:hAnsi="Arial" w:cs="Arial"/>
          <w:lang w:eastAsia="fr-FR"/>
        </w:rPr>
        <w:instrText xml:space="preserve"> INCLUDEPICTURE  "http://www.fao.org/docrep/006/ad232f/ad232f193.gif" \* MERGEFORMATINET </w:instrText>
      </w:r>
      <w:r w:rsidR="008A682D">
        <w:rPr>
          <w:rFonts w:ascii="Arial" w:eastAsia="Times New Roman" w:hAnsi="Arial" w:cs="Arial"/>
          <w:lang w:eastAsia="fr-FR"/>
        </w:rPr>
        <w:fldChar w:fldCharType="separate"/>
      </w:r>
      <w:r w:rsidR="00F05CA4">
        <w:rPr>
          <w:rFonts w:ascii="Arial" w:eastAsia="Times New Roman" w:hAnsi="Arial" w:cs="Arial"/>
          <w:lang w:eastAsia="fr-FR"/>
        </w:rPr>
        <w:fldChar w:fldCharType="begin"/>
      </w:r>
      <w:r w:rsidR="00F05CA4">
        <w:rPr>
          <w:rFonts w:ascii="Arial" w:eastAsia="Times New Roman" w:hAnsi="Arial" w:cs="Arial"/>
          <w:lang w:eastAsia="fr-FR"/>
        </w:rPr>
        <w:instrText xml:space="preserve"> INCLUDEPICTURE  "http://www.fao.org/docrep/006/ad232f/ad232f193.gif" \* MERGEFORMATINET </w:instrText>
      </w:r>
      <w:r w:rsidR="00F05CA4">
        <w:rPr>
          <w:rFonts w:ascii="Arial" w:eastAsia="Times New Roman" w:hAnsi="Arial" w:cs="Arial"/>
          <w:lang w:eastAsia="fr-FR"/>
        </w:rPr>
        <w:fldChar w:fldCharType="separate"/>
      </w:r>
      <w:r w:rsidR="009B1DF1">
        <w:rPr>
          <w:rFonts w:ascii="Arial" w:eastAsia="Times New Roman" w:hAnsi="Arial" w:cs="Arial"/>
          <w:lang w:eastAsia="fr-FR"/>
        </w:rPr>
        <w:fldChar w:fldCharType="begin"/>
      </w:r>
      <w:r w:rsidR="009B1DF1">
        <w:rPr>
          <w:rFonts w:ascii="Arial" w:eastAsia="Times New Roman" w:hAnsi="Arial" w:cs="Arial"/>
          <w:lang w:eastAsia="fr-FR"/>
        </w:rPr>
        <w:instrText xml:space="preserve"> INCLUDEPICTURE  "http://www.fao.org/docrep/006/ad232f/ad232f193.gif" \* MERGEFORMATINET </w:instrText>
      </w:r>
      <w:r w:rsidR="009B1DF1">
        <w:rPr>
          <w:rFonts w:ascii="Arial" w:eastAsia="Times New Roman" w:hAnsi="Arial" w:cs="Arial"/>
          <w:lang w:eastAsia="fr-FR"/>
        </w:rPr>
        <w:fldChar w:fldCharType="separate"/>
      </w:r>
      <w:r w:rsidR="00EC0F02">
        <w:rPr>
          <w:rFonts w:ascii="Arial" w:eastAsia="Times New Roman" w:hAnsi="Arial" w:cs="Arial"/>
          <w:lang w:eastAsia="fr-FR"/>
        </w:rPr>
        <w:fldChar w:fldCharType="begin"/>
      </w:r>
      <w:r w:rsidR="00EC0F02">
        <w:rPr>
          <w:rFonts w:ascii="Arial" w:eastAsia="Times New Roman" w:hAnsi="Arial" w:cs="Arial"/>
          <w:lang w:eastAsia="fr-FR"/>
        </w:rPr>
        <w:instrText xml:space="preserve"> INCLUDEPICTURE  "http://www.fao.org/docrep/006/ad232f/ad232f193.gif" \* MERGEFORMATINET </w:instrText>
      </w:r>
      <w:r w:rsidR="00EC0F02">
        <w:rPr>
          <w:rFonts w:ascii="Arial" w:eastAsia="Times New Roman" w:hAnsi="Arial" w:cs="Arial"/>
          <w:lang w:eastAsia="fr-FR"/>
        </w:rPr>
        <w:fldChar w:fldCharType="separate"/>
      </w:r>
      <w:r w:rsidR="008A4487">
        <w:rPr>
          <w:rFonts w:ascii="Arial" w:eastAsia="Times New Roman" w:hAnsi="Arial" w:cs="Arial"/>
          <w:lang w:eastAsia="fr-FR"/>
        </w:rPr>
        <w:fldChar w:fldCharType="begin"/>
      </w:r>
      <w:r w:rsidR="008A4487">
        <w:rPr>
          <w:rFonts w:ascii="Arial" w:eastAsia="Times New Roman" w:hAnsi="Arial" w:cs="Arial"/>
          <w:lang w:eastAsia="fr-FR"/>
        </w:rPr>
        <w:instrText xml:space="preserve"> INCLUDEPICTURE  "http://www.fao.org/docrep/006/ad232f/ad232f193.gif" \* MERGEFORMATINET </w:instrText>
      </w:r>
      <w:r w:rsidR="008A4487">
        <w:rPr>
          <w:rFonts w:ascii="Arial" w:eastAsia="Times New Roman" w:hAnsi="Arial" w:cs="Arial"/>
          <w:lang w:eastAsia="fr-FR"/>
        </w:rPr>
        <w:fldChar w:fldCharType="separate"/>
      </w:r>
      <w:r w:rsidR="000F1EC0">
        <w:rPr>
          <w:rFonts w:ascii="Arial" w:eastAsia="Times New Roman" w:hAnsi="Arial" w:cs="Arial"/>
          <w:lang w:eastAsia="fr-FR"/>
        </w:rPr>
        <w:fldChar w:fldCharType="begin"/>
      </w:r>
      <w:r w:rsidR="000F1EC0">
        <w:rPr>
          <w:rFonts w:ascii="Arial" w:eastAsia="Times New Roman" w:hAnsi="Arial" w:cs="Arial"/>
          <w:lang w:eastAsia="fr-FR"/>
        </w:rPr>
        <w:instrText xml:space="preserve"> INCLUDEPICTURE  "http://www.fao.org/docrep/006/ad232f/ad232f193.gif" \* MERGEFORMATINET </w:instrText>
      </w:r>
      <w:r w:rsidR="000F1EC0">
        <w:rPr>
          <w:rFonts w:ascii="Arial" w:eastAsia="Times New Roman" w:hAnsi="Arial" w:cs="Arial"/>
          <w:lang w:eastAsia="fr-FR"/>
        </w:rPr>
        <w:fldChar w:fldCharType="separate"/>
      </w:r>
      <w:r w:rsidR="00FD522A">
        <w:rPr>
          <w:rFonts w:ascii="Arial" w:eastAsia="Times New Roman" w:hAnsi="Arial" w:cs="Arial"/>
          <w:lang w:eastAsia="fr-FR"/>
        </w:rPr>
        <w:fldChar w:fldCharType="begin"/>
      </w:r>
      <w:r w:rsidR="00FD522A">
        <w:rPr>
          <w:rFonts w:ascii="Arial" w:eastAsia="Times New Roman" w:hAnsi="Arial" w:cs="Arial"/>
          <w:lang w:eastAsia="fr-FR"/>
        </w:rPr>
        <w:instrText xml:space="preserve"> INCLUDEPICTURE  "http://www.fao.org/docrep/006/ad232f/ad232f193.gif" \* MERGEFORMATINET </w:instrText>
      </w:r>
      <w:r w:rsidR="00FD522A">
        <w:rPr>
          <w:rFonts w:ascii="Arial" w:eastAsia="Times New Roman" w:hAnsi="Arial" w:cs="Arial"/>
          <w:lang w:eastAsia="fr-FR"/>
        </w:rPr>
        <w:fldChar w:fldCharType="separate"/>
      </w:r>
      <w:r w:rsidR="00327850">
        <w:rPr>
          <w:rFonts w:ascii="Arial" w:eastAsia="Times New Roman" w:hAnsi="Arial" w:cs="Arial"/>
          <w:lang w:eastAsia="fr-FR"/>
        </w:rPr>
        <w:fldChar w:fldCharType="begin"/>
      </w:r>
      <w:r w:rsidR="00327850">
        <w:rPr>
          <w:rFonts w:ascii="Arial" w:eastAsia="Times New Roman" w:hAnsi="Arial" w:cs="Arial"/>
          <w:lang w:eastAsia="fr-FR"/>
        </w:rPr>
        <w:instrText xml:space="preserve"> INCLUDEPICTURE  "http://www.fao.org/docrep/006/ad232f/ad232f193.gif" \* MERGEFORMATINET </w:instrText>
      </w:r>
      <w:r w:rsidR="00327850">
        <w:rPr>
          <w:rFonts w:ascii="Arial" w:eastAsia="Times New Roman" w:hAnsi="Arial" w:cs="Arial"/>
          <w:lang w:eastAsia="fr-FR"/>
        </w:rPr>
        <w:fldChar w:fldCharType="separate"/>
      </w:r>
      <w:r w:rsidR="001D1B2F">
        <w:rPr>
          <w:rFonts w:ascii="Arial" w:eastAsia="Times New Roman" w:hAnsi="Arial" w:cs="Arial"/>
          <w:lang w:eastAsia="fr-FR"/>
        </w:rPr>
        <w:fldChar w:fldCharType="begin"/>
      </w:r>
      <w:r w:rsidR="001D1B2F">
        <w:rPr>
          <w:rFonts w:ascii="Arial" w:eastAsia="Times New Roman" w:hAnsi="Arial" w:cs="Arial"/>
          <w:lang w:eastAsia="fr-FR"/>
        </w:rPr>
        <w:instrText xml:space="preserve"> INCLUDEPICTURE  "http://www.fao.org/docrep/006/ad232f/ad232f193.gif" \* MERGEFORMATINET </w:instrText>
      </w:r>
      <w:r w:rsidR="001D1B2F">
        <w:rPr>
          <w:rFonts w:ascii="Arial" w:eastAsia="Times New Roman" w:hAnsi="Arial" w:cs="Arial"/>
          <w:lang w:eastAsia="fr-FR"/>
        </w:rPr>
        <w:fldChar w:fldCharType="separate"/>
      </w:r>
      <w:r w:rsidR="00322369">
        <w:rPr>
          <w:rFonts w:ascii="Arial" w:eastAsia="Times New Roman" w:hAnsi="Arial" w:cs="Arial"/>
          <w:lang w:eastAsia="fr-FR"/>
        </w:rPr>
        <w:fldChar w:fldCharType="begin"/>
      </w:r>
      <w:r w:rsidR="00322369">
        <w:rPr>
          <w:rFonts w:ascii="Arial" w:eastAsia="Times New Roman" w:hAnsi="Arial" w:cs="Arial"/>
          <w:lang w:eastAsia="fr-FR"/>
        </w:rPr>
        <w:instrText xml:space="preserve"> INCLUDEPICTURE  "http://www.fao.org/docrep/006/ad232f/ad232f193.gif" \* MERGEFORMATINET </w:instrText>
      </w:r>
      <w:r w:rsidR="00322369">
        <w:rPr>
          <w:rFonts w:ascii="Arial" w:eastAsia="Times New Roman" w:hAnsi="Arial" w:cs="Arial"/>
          <w:lang w:eastAsia="fr-FR"/>
        </w:rPr>
        <w:fldChar w:fldCharType="separate"/>
      </w:r>
      <w:r w:rsidR="0010125D">
        <w:rPr>
          <w:rFonts w:ascii="Arial" w:eastAsia="Times New Roman" w:hAnsi="Arial" w:cs="Arial"/>
          <w:lang w:eastAsia="fr-FR"/>
        </w:rPr>
        <w:fldChar w:fldCharType="begin"/>
      </w:r>
      <w:r w:rsidR="0010125D">
        <w:rPr>
          <w:rFonts w:ascii="Arial" w:eastAsia="Times New Roman" w:hAnsi="Arial" w:cs="Arial"/>
          <w:lang w:eastAsia="fr-FR"/>
        </w:rPr>
        <w:instrText xml:space="preserve"> INCLUDEPICTURE  "http://www.fao.org/docrep/006/ad232f/ad232f193.gif" \* MERGEFORMATINET </w:instrText>
      </w:r>
      <w:r w:rsidR="0010125D">
        <w:rPr>
          <w:rFonts w:ascii="Arial" w:eastAsia="Times New Roman" w:hAnsi="Arial" w:cs="Arial"/>
          <w:lang w:eastAsia="fr-FR"/>
        </w:rPr>
        <w:fldChar w:fldCharType="separate"/>
      </w:r>
      <w:r w:rsidR="003C3772">
        <w:rPr>
          <w:rFonts w:ascii="Arial" w:eastAsia="Times New Roman" w:hAnsi="Arial" w:cs="Arial"/>
          <w:lang w:eastAsia="fr-FR"/>
        </w:rPr>
        <w:fldChar w:fldCharType="begin"/>
      </w:r>
      <w:r w:rsidR="003C3772">
        <w:rPr>
          <w:rFonts w:ascii="Arial" w:eastAsia="Times New Roman" w:hAnsi="Arial" w:cs="Arial"/>
          <w:lang w:eastAsia="fr-FR"/>
        </w:rPr>
        <w:instrText xml:space="preserve"> INCLUDEPICTURE  "http://www.fao.org/docrep/006/ad232f/ad232f193.gif" \* MERGEFORMATINET </w:instrText>
      </w:r>
      <w:r w:rsidR="003C3772">
        <w:rPr>
          <w:rFonts w:ascii="Arial" w:eastAsia="Times New Roman" w:hAnsi="Arial" w:cs="Arial"/>
          <w:lang w:eastAsia="fr-FR"/>
        </w:rPr>
        <w:fldChar w:fldCharType="separate"/>
      </w:r>
      <w:r w:rsidR="00CB1B6A">
        <w:rPr>
          <w:rFonts w:ascii="Arial" w:eastAsia="Times New Roman" w:hAnsi="Arial" w:cs="Arial"/>
          <w:lang w:eastAsia="fr-FR"/>
        </w:rPr>
        <w:fldChar w:fldCharType="begin"/>
      </w:r>
      <w:r w:rsidR="00CB1B6A">
        <w:rPr>
          <w:rFonts w:ascii="Arial" w:eastAsia="Times New Roman" w:hAnsi="Arial" w:cs="Arial"/>
          <w:lang w:eastAsia="fr-FR"/>
        </w:rPr>
        <w:instrText xml:space="preserve"> INCLUDEPICTURE  "http://www.fao.org/docrep/006/ad232f/ad232f193.gif" \* MERGEFORMATINET </w:instrText>
      </w:r>
      <w:r w:rsidR="00CB1B6A">
        <w:rPr>
          <w:rFonts w:ascii="Arial" w:eastAsia="Times New Roman" w:hAnsi="Arial" w:cs="Arial"/>
          <w:lang w:eastAsia="fr-FR"/>
        </w:rPr>
        <w:fldChar w:fldCharType="separate"/>
      </w:r>
      <w:r w:rsidR="00A44197">
        <w:rPr>
          <w:rFonts w:ascii="Arial" w:eastAsia="Times New Roman" w:hAnsi="Arial" w:cs="Arial"/>
          <w:lang w:eastAsia="fr-FR"/>
        </w:rPr>
        <w:fldChar w:fldCharType="begin"/>
      </w:r>
      <w:r w:rsidR="00A44197">
        <w:rPr>
          <w:rFonts w:ascii="Arial" w:eastAsia="Times New Roman" w:hAnsi="Arial" w:cs="Arial"/>
          <w:lang w:eastAsia="fr-FR"/>
        </w:rPr>
        <w:instrText xml:space="preserve"> INCLUDEPICTURE  "http://www.fao.org/docrep/006/ad232f/ad232f193.gif" \* MERGEFORMATINET </w:instrText>
      </w:r>
      <w:r w:rsidR="00A44197">
        <w:rPr>
          <w:rFonts w:ascii="Arial" w:eastAsia="Times New Roman" w:hAnsi="Arial" w:cs="Arial"/>
          <w:lang w:eastAsia="fr-FR"/>
        </w:rPr>
        <w:fldChar w:fldCharType="separate"/>
      </w:r>
      <w:r w:rsidR="00BA431F">
        <w:rPr>
          <w:rFonts w:ascii="Arial" w:eastAsia="Times New Roman" w:hAnsi="Arial" w:cs="Arial"/>
          <w:lang w:eastAsia="fr-FR"/>
        </w:rPr>
        <w:fldChar w:fldCharType="begin"/>
      </w:r>
      <w:r w:rsidR="00BA431F">
        <w:rPr>
          <w:rFonts w:ascii="Arial" w:eastAsia="Times New Roman" w:hAnsi="Arial" w:cs="Arial"/>
          <w:lang w:eastAsia="fr-FR"/>
        </w:rPr>
        <w:instrText xml:space="preserve"> INCLUDEPICTURE  "http://www.fao.org/docrep/006/ad232f/ad232f193.gif" \* MERGEFORMATINET </w:instrText>
      </w:r>
      <w:r w:rsidR="00BA431F">
        <w:rPr>
          <w:rFonts w:ascii="Arial" w:eastAsia="Times New Roman" w:hAnsi="Arial" w:cs="Arial"/>
          <w:lang w:eastAsia="fr-FR"/>
        </w:rPr>
        <w:fldChar w:fldCharType="separate"/>
      </w:r>
      <w:r w:rsidR="0055181D">
        <w:rPr>
          <w:rFonts w:ascii="Arial" w:eastAsia="Times New Roman" w:hAnsi="Arial" w:cs="Arial"/>
          <w:lang w:eastAsia="fr-FR"/>
        </w:rPr>
        <w:fldChar w:fldCharType="begin"/>
      </w:r>
      <w:r w:rsidR="0055181D">
        <w:rPr>
          <w:rFonts w:ascii="Arial" w:eastAsia="Times New Roman" w:hAnsi="Arial" w:cs="Arial"/>
          <w:lang w:eastAsia="fr-FR"/>
        </w:rPr>
        <w:instrText xml:space="preserve"> INCLUDEPICTURE  "http://www.fao.org/docrep/006/ad232f/ad232f193.gif" \* MERGEFORMATINET </w:instrText>
      </w:r>
      <w:r w:rsidR="0055181D">
        <w:rPr>
          <w:rFonts w:ascii="Arial" w:eastAsia="Times New Roman" w:hAnsi="Arial" w:cs="Arial"/>
          <w:lang w:eastAsia="fr-FR"/>
        </w:rPr>
        <w:fldChar w:fldCharType="separate"/>
      </w:r>
      <w:r w:rsidR="00904C1E">
        <w:rPr>
          <w:rFonts w:ascii="Arial" w:eastAsia="Times New Roman" w:hAnsi="Arial" w:cs="Arial"/>
          <w:lang w:eastAsia="fr-FR"/>
        </w:rPr>
        <w:fldChar w:fldCharType="begin"/>
      </w:r>
      <w:r w:rsidR="00904C1E">
        <w:rPr>
          <w:rFonts w:ascii="Arial" w:eastAsia="Times New Roman" w:hAnsi="Arial" w:cs="Arial"/>
          <w:lang w:eastAsia="fr-FR"/>
        </w:rPr>
        <w:instrText xml:space="preserve"> INCLUDEPICTURE  "http://www.fao.org/docrep/006/ad232f/ad232f193.gif" \* MERGEFORMATINET </w:instrText>
      </w:r>
      <w:r w:rsidR="00904C1E">
        <w:rPr>
          <w:rFonts w:ascii="Arial" w:eastAsia="Times New Roman" w:hAnsi="Arial" w:cs="Arial"/>
          <w:lang w:eastAsia="fr-FR"/>
        </w:rPr>
        <w:fldChar w:fldCharType="separate"/>
      </w:r>
      <w:r w:rsidR="003C103F">
        <w:rPr>
          <w:rFonts w:ascii="Arial" w:eastAsia="Times New Roman" w:hAnsi="Arial" w:cs="Arial"/>
          <w:lang w:eastAsia="fr-FR"/>
        </w:rPr>
        <w:fldChar w:fldCharType="begin"/>
      </w:r>
      <w:r w:rsidR="003C103F">
        <w:rPr>
          <w:rFonts w:ascii="Arial" w:eastAsia="Times New Roman" w:hAnsi="Arial" w:cs="Arial"/>
          <w:lang w:eastAsia="fr-FR"/>
        </w:rPr>
        <w:instrText xml:space="preserve"> INCLUDEPICTURE  "http://www.fao.org/docrep/006/ad232f/ad232f193.gif" \* MERGEFORMATINET </w:instrText>
      </w:r>
      <w:r w:rsidR="003C103F">
        <w:rPr>
          <w:rFonts w:ascii="Arial" w:eastAsia="Times New Roman" w:hAnsi="Arial" w:cs="Arial"/>
          <w:lang w:eastAsia="fr-FR"/>
        </w:rPr>
        <w:fldChar w:fldCharType="separate"/>
      </w:r>
      <w:r w:rsidR="004D7A6D">
        <w:rPr>
          <w:rFonts w:ascii="Arial" w:eastAsia="Times New Roman" w:hAnsi="Arial" w:cs="Arial"/>
          <w:lang w:eastAsia="fr-FR"/>
        </w:rPr>
        <w:fldChar w:fldCharType="begin"/>
      </w:r>
      <w:r w:rsidR="004D7A6D">
        <w:rPr>
          <w:rFonts w:ascii="Arial" w:eastAsia="Times New Roman" w:hAnsi="Arial" w:cs="Arial"/>
          <w:lang w:eastAsia="fr-FR"/>
        </w:rPr>
        <w:instrText xml:space="preserve"> INCLUDEPICTURE  "http://www.fao.org/docrep/006/ad232f/ad232f193.gif" \* MERGEFORMATINET </w:instrText>
      </w:r>
      <w:r w:rsidR="004D7A6D">
        <w:rPr>
          <w:rFonts w:ascii="Arial" w:eastAsia="Times New Roman" w:hAnsi="Arial" w:cs="Arial"/>
          <w:lang w:eastAsia="fr-FR"/>
        </w:rPr>
        <w:fldChar w:fldCharType="separate"/>
      </w:r>
      <w:r w:rsidR="00DE14A1">
        <w:rPr>
          <w:rFonts w:ascii="Arial" w:eastAsia="Times New Roman" w:hAnsi="Arial" w:cs="Arial"/>
          <w:lang w:eastAsia="fr-FR"/>
        </w:rPr>
        <w:fldChar w:fldCharType="begin"/>
      </w:r>
      <w:r w:rsidR="00DE14A1">
        <w:rPr>
          <w:rFonts w:ascii="Arial" w:eastAsia="Times New Roman" w:hAnsi="Arial" w:cs="Arial"/>
          <w:lang w:eastAsia="fr-FR"/>
        </w:rPr>
        <w:instrText xml:space="preserve"> INCLUDEPICTURE  "http://www.fao.org/docrep/006/ad232f/ad232f193.gif" \* MERGEFORMATINET </w:instrText>
      </w:r>
      <w:r w:rsidR="00DE14A1">
        <w:rPr>
          <w:rFonts w:ascii="Arial" w:eastAsia="Times New Roman" w:hAnsi="Arial" w:cs="Arial"/>
          <w:lang w:eastAsia="fr-FR"/>
        </w:rPr>
        <w:fldChar w:fldCharType="separate"/>
      </w:r>
      <w:r w:rsidR="00EB394F">
        <w:rPr>
          <w:rFonts w:ascii="Arial" w:eastAsia="Times New Roman" w:hAnsi="Arial" w:cs="Arial"/>
          <w:lang w:eastAsia="fr-FR"/>
        </w:rPr>
        <w:fldChar w:fldCharType="begin"/>
      </w:r>
      <w:r w:rsidR="00EB394F">
        <w:rPr>
          <w:rFonts w:ascii="Arial" w:eastAsia="Times New Roman" w:hAnsi="Arial" w:cs="Arial"/>
          <w:lang w:eastAsia="fr-FR"/>
        </w:rPr>
        <w:instrText xml:space="preserve"> INCLUDEPICTURE  "http://www.fao.org/docrep/006/ad232f/ad232f193.gif" \* MERGEFORMATINET </w:instrText>
      </w:r>
      <w:r w:rsidR="00EB394F">
        <w:rPr>
          <w:rFonts w:ascii="Arial" w:eastAsia="Times New Roman" w:hAnsi="Arial" w:cs="Arial"/>
          <w:lang w:eastAsia="fr-FR"/>
        </w:rPr>
        <w:fldChar w:fldCharType="separate"/>
      </w:r>
      <w:r w:rsidR="00841994">
        <w:rPr>
          <w:rFonts w:ascii="Arial" w:eastAsia="Times New Roman" w:hAnsi="Arial" w:cs="Arial"/>
          <w:lang w:eastAsia="fr-FR"/>
        </w:rPr>
        <w:fldChar w:fldCharType="begin"/>
      </w:r>
      <w:r w:rsidR="00841994">
        <w:rPr>
          <w:rFonts w:ascii="Arial" w:eastAsia="Times New Roman" w:hAnsi="Arial" w:cs="Arial"/>
          <w:lang w:eastAsia="fr-FR"/>
        </w:rPr>
        <w:instrText xml:space="preserve"> INCLUDEPICTURE  "http://www.fao.org/docrep/006/ad232f/ad232f193.gif" \* MERGEFORMATINET </w:instrText>
      </w:r>
      <w:r w:rsidR="00841994">
        <w:rPr>
          <w:rFonts w:ascii="Arial" w:eastAsia="Times New Roman" w:hAnsi="Arial" w:cs="Arial"/>
          <w:lang w:eastAsia="fr-FR"/>
        </w:rPr>
        <w:fldChar w:fldCharType="separate"/>
      </w:r>
      <w:r w:rsidR="00FB2236">
        <w:rPr>
          <w:rFonts w:ascii="Arial" w:eastAsia="Times New Roman" w:hAnsi="Arial" w:cs="Arial"/>
          <w:lang w:eastAsia="fr-FR"/>
        </w:rPr>
        <w:fldChar w:fldCharType="begin"/>
      </w:r>
      <w:r w:rsidR="00FB2236">
        <w:rPr>
          <w:rFonts w:ascii="Arial" w:eastAsia="Times New Roman" w:hAnsi="Arial" w:cs="Arial"/>
          <w:lang w:eastAsia="fr-FR"/>
        </w:rPr>
        <w:instrText xml:space="preserve"> INCLUDEPICTURE  "http://www.fao.org/docrep/006/ad232f/ad232f193.gif" \* MERGEFORMATINET </w:instrText>
      </w:r>
      <w:r w:rsidR="00FB2236">
        <w:rPr>
          <w:rFonts w:ascii="Arial" w:eastAsia="Times New Roman" w:hAnsi="Arial" w:cs="Arial"/>
          <w:lang w:eastAsia="fr-FR"/>
        </w:rPr>
        <w:fldChar w:fldCharType="separate"/>
      </w:r>
      <w:r w:rsidR="001A2D67">
        <w:rPr>
          <w:rFonts w:ascii="Arial" w:eastAsia="Times New Roman" w:hAnsi="Arial" w:cs="Arial"/>
          <w:lang w:eastAsia="fr-FR"/>
        </w:rPr>
        <w:fldChar w:fldCharType="begin"/>
      </w:r>
      <w:r w:rsidR="001A2D67">
        <w:rPr>
          <w:rFonts w:ascii="Arial" w:eastAsia="Times New Roman" w:hAnsi="Arial" w:cs="Arial"/>
          <w:lang w:eastAsia="fr-FR"/>
        </w:rPr>
        <w:instrText xml:space="preserve"> INCLUDEPICTURE  "http://www.fao.org/docrep/006/ad232f/ad232f193.gif" \* MERGEFORMATINET </w:instrText>
      </w:r>
      <w:r w:rsidR="001A2D67">
        <w:rPr>
          <w:rFonts w:ascii="Arial" w:eastAsia="Times New Roman" w:hAnsi="Arial" w:cs="Arial"/>
          <w:lang w:eastAsia="fr-FR"/>
        </w:rPr>
        <w:fldChar w:fldCharType="separate"/>
      </w:r>
      <w:r w:rsidR="00113989">
        <w:rPr>
          <w:rFonts w:ascii="Arial" w:eastAsia="Times New Roman" w:hAnsi="Arial" w:cs="Arial"/>
          <w:lang w:eastAsia="fr-FR"/>
        </w:rPr>
        <w:fldChar w:fldCharType="begin"/>
      </w:r>
      <w:r w:rsidR="00113989">
        <w:rPr>
          <w:rFonts w:ascii="Arial" w:eastAsia="Times New Roman" w:hAnsi="Arial" w:cs="Arial"/>
          <w:lang w:eastAsia="fr-FR"/>
        </w:rPr>
        <w:instrText xml:space="preserve"> INCLUDEPICTURE  "http://www.fao.org/docrep/006/ad232f/ad232f193.gif" \* MERGEFORMATINET </w:instrText>
      </w:r>
      <w:r w:rsidR="00113989">
        <w:rPr>
          <w:rFonts w:ascii="Arial" w:eastAsia="Times New Roman" w:hAnsi="Arial" w:cs="Arial"/>
          <w:lang w:eastAsia="fr-FR"/>
        </w:rPr>
        <w:fldChar w:fldCharType="separate"/>
      </w:r>
      <w:r w:rsidR="00257DCF">
        <w:rPr>
          <w:rFonts w:ascii="Arial" w:eastAsia="Times New Roman" w:hAnsi="Arial" w:cs="Arial"/>
          <w:lang w:eastAsia="fr-FR"/>
        </w:rPr>
        <w:fldChar w:fldCharType="begin"/>
      </w:r>
      <w:r w:rsidR="00257DCF">
        <w:rPr>
          <w:rFonts w:ascii="Arial" w:eastAsia="Times New Roman" w:hAnsi="Arial" w:cs="Arial"/>
          <w:lang w:eastAsia="fr-FR"/>
        </w:rPr>
        <w:instrText xml:space="preserve"> INCLUDEPICTURE  "http://www.fao.org/docrep/006/ad232f/ad232f193.gif" \* MERGEFORMATINET </w:instrText>
      </w:r>
      <w:r w:rsidR="00257DCF">
        <w:rPr>
          <w:rFonts w:ascii="Arial" w:eastAsia="Times New Roman" w:hAnsi="Arial" w:cs="Arial"/>
          <w:lang w:eastAsia="fr-FR"/>
        </w:rPr>
        <w:fldChar w:fldCharType="separate"/>
      </w:r>
      <w:r>
        <w:rPr>
          <w:rFonts w:ascii="Arial" w:eastAsia="Times New Roman" w:hAnsi="Arial" w:cs="Arial"/>
          <w:lang w:eastAsia="fr-FR"/>
        </w:rPr>
        <w:fldChar w:fldCharType="begin"/>
      </w:r>
      <w:r>
        <w:rPr>
          <w:rFonts w:ascii="Arial" w:eastAsia="Times New Roman" w:hAnsi="Arial" w:cs="Arial"/>
          <w:lang w:eastAsia="fr-FR"/>
        </w:rPr>
        <w:instrText xml:space="preserve"> INCLUDEPICTURE  "http://www.fao.org/docrep/006/ad232f/ad232f193.gif" \* MERGEFORMATINET </w:instrText>
      </w:r>
      <w:r>
        <w:rPr>
          <w:rFonts w:ascii="Arial" w:eastAsia="Times New Roman" w:hAnsi="Arial" w:cs="Arial"/>
          <w:lang w:eastAsia="fr-FR"/>
        </w:rPr>
        <w:fldChar w:fldCharType="separate"/>
      </w:r>
      <w:r>
        <w:rPr>
          <w:rFonts w:ascii="Arial" w:eastAsia="Times New Roman" w:hAnsi="Arial" w:cs="Arial"/>
          <w:lang w:eastAsia="fr-FR"/>
        </w:rPr>
        <w:fldChar w:fldCharType="begin"/>
      </w:r>
      <w:r>
        <w:rPr>
          <w:rFonts w:ascii="Arial" w:eastAsia="Times New Roman" w:hAnsi="Arial" w:cs="Arial"/>
          <w:lang w:eastAsia="fr-FR"/>
        </w:rPr>
        <w:instrText xml:space="preserve"> INCLUDEPICTURE  "http://www.fao.org/docrep/006/ad232f/ad232f193.gif" \* MERGEFORMATINET </w:instrText>
      </w:r>
      <w:r>
        <w:rPr>
          <w:rFonts w:ascii="Arial" w:eastAsia="Times New Roman" w:hAnsi="Arial" w:cs="Arial"/>
          <w:lang w:eastAsia="fr-FR"/>
        </w:rPr>
        <w:fldChar w:fldCharType="separate"/>
      </w:r>
      <w:r>
        <w:rPr>
          <w:rFonts w:ascii="Arial" w:eastAsia="Times New Roman" w:hAnsi="Arial" w:cs="Arial"/>
          <w:lang w:eastAsia="fr-FR"/>
        </w:rPr>
        <w:fldChar w:fldCharType="begin"/>
      </w:r>
      <w:r>
        <w:rPr>
          <w:rFonts w:ascii="Arial" w:eastAsia="Times New Roman" w:hAnsi="Arial" w:cs="Arial"/>
          <w:lang w:eastAsia="fr-FR"/>
        </w:rPr>
        <w:instrText xml:space="preserve"> INCLUDEPICTURE  "http://www.fao.org/docrep/006/ad232f/ad232f193.gif" \* MERGEFORMATINET </w:instrText>
      </w:r>
      <w:r>
        <w:rPr>
          <w:rFonts w:ascii="Arial" w:eastAsia="Times New Roman" w:hAnsi="Arial" w:cs="Arial"/>
          <w:lang w:eastAsia="fr-FR"/>
        </w:rPr>
        <w:fldChar w:fldCharType="separate"/>
      </w:r>
      <w:r>
        <w:rPr>
          <w:rFonts w:ascii="Arial" w:eastAsia="Times New Roman" w:hAnsi="Arial" w:cs="Arial"/>
          <w:lang w:eastAsia="fr-FR"/>
        </w:rPr>
        <w:fldChar w:fldCharType="begin"/>
      </w:r>
      <w:r>
        <w:rPr>
          <w:rFonts w:ascii="Arial" w:eastAsia="Times New Roman" w:hAnsi="Arial" w:cs="Arial"/>
          <w:lang w:eastAsia="fr-FR"/>
        </w:rPr>
        <w:instrText xml:space="preserve"> INCLUDEPICTURE  "http://www.fao.org/docrep/006/ad232f/ad232f193.gif" \* MERGEFORMATINET </w:instrText>
      </w:r>
      <w:r>
        <w:rPr>
          <w:rFonts w:ascii="Arial" w:eastAsia="Times New Roman" w:hAnsi="Arial" w:cs="Arial"/>
          <w:lang w:eastAsia="fr-FR"/>
        </w:rPr>
        <w:fldChar w:fldCharType="separate"/>
      </w:r>
      <w:r>
        <w:rPr>
          <w:rFonts w:ascii="Arial" w:eastAsia="Times New Roman" w:hAnsi="Arial" w:cs="Arial"/>
          <w:lang w:eastAsia="fr-FR"/>
        </w:rPr>
        <w:fldChar w:fldCharType="begin"/>
      </w:r>
      <w:r>
        <w:rPr>
          <w:rFonts w:ascii="Arial" w:eastAsia="Times New Roman" w:hAnsi="Arial" w:cs="Arial"/>
          <w:lang w:eastAsia="fr-FR"/>
        </w:rPr>
        <w:instrText xml:space="preserve"> INCLUDEPICTURE  "http://www.fao.org/docrep/006/ad232f/ad232f193.gif" \* MERGEFORMATINET </w:instrText>
      </w:r>
      <w:r>
        <w:rPr>
          <w:rFonts w:ascii="Arial" w:eastAsia="Times New Roman" w:hAnsi="Arial" w:cs="Arial"/>
          <w:lang w:eastAsia="fr-FR"/>
        </w:rPr>
        <w:fldChar w:fldCharType="separate"/>
      </w:r>
      <w:r>
        <w:rPr>
          <w:rFonts w:ascii="Arial" w:eastAsia="Times New Roman" w:hAnsi="Arial" w:cs="Arial"/>
          <w:lang w:eastAsia="fr-FR"/>
        </w:rPr>
        <w:fldChar w:fldCharType="begin"/>
      </w:r>
      <w:r>
        <w:rPr>
          <w:rFonts w:ascii="Arial" w:eastAsia="Times New Roman" w:hAnsi="Arial" w:cs="Arial"/>
          <w:lang w:eastAsia="fr-FR"/>
        </w:rPr>
        <w:instrText xml:space="preserve"> INCLUDEPICTURE  "http://www.fao.org/docrep/006/ad232f/ad232f193.gif" \* MERGEFORMATINET </w:instrText>
      </w:r>
      <w:r>
        <w:rPr>
          <w:rFonts w:ascii="Arial" w:eastAsia="Times New Roman" w:hAnsi="Arial" w:cs="Arial"/>
          <w:lang w:eastAsia="fr-FR"/>
        </w:rPr>
        <w:fldChar w:fldCharType="separate"/>
      </w:r>
      <w:r>
        <w:rPr>
          <w:rFonts w:ascii="Arial" w:eastAsia="Times New Roman" w:hAnsi="Arial" w:cs="Arial"/>
          <w:lang w:eastAsia="fr-FR"/>
        </w:rPr>
        <w:fldChar w:fldCharType="begin"/>
      </w:r>
      <w:r>
        <w:rPr>
          <w:rFonts w:ascii="Arial" w:eastAsia="Times New Roman" w:hAnsi="Arial" w:cs="Arial"/>
          <w:lang w:eastAsia="fr-FR"/>
        </w:rPr>
        <w:instrText xml:space="preserve"> INCLUDEPICTURE  "http://www.fao.org/docrep/006/ad232f/ad232f193.gif" \* MERGEFORMATINET </w:instrText>
      </w:r>
      <w:r>
        <w:rPr>
          <w:rFonts w:ascii="Arial" w:eastAsia="Times New Roman" w:hAnsi="Arial" w:cs="Arial"/>
          <w:lang w:eastAsia="fr-FR"/>
        </w:rPr>
        <w:fldChar w:fldCharType="separate"/>
      </w:r>
      <w:r>
        <w:rPr>
          <w:rFonts w:ascii="Arial" w:eastAsia="Times New Roman" w:hAnsi="Arial" w:cs="Arial"/>
          <w:lang w:eastAsia="fr-FR"/>
        </w:rPr>
        <w:fldChar w:fldCharType="begin"/>
      </w:r>
      <w:r>
        <w:rPr>
          <w:rFonts w:ascii="Arial" w:eastAsia="Times New Roman" w:hAnsi="Arial" w:cs="Arial"/>
          <w:lang w:eastAsia="fr-FR"/>
        </w:rPr>
        <w:instrText xml:space="preserve"> INCLUDEPICTURE  "http://www.fao.org/docrep/006/ad232f/ad232f193.gif" \* MERGEFORMATINET </w:instrText>
      </w:r>
      <w:r>
        <w:rPr>
          <w:rFonts w:ascii="Arial" w:eastAsia="Times New Roman" w:hAnsi="Arial" w:cs="Arial"/>
          <w:lang w:eastAsia="fr-FR"/>
        </w:rPr>
        <w:fldChar w:fldCharType="separate"/>
      </w:r>
      <w:r>
        <w:rPr>
          <w:rFonts w:ascii="Arial" w:eastAsia="Times New Roman" w:hAnsi="Arial" w:cs="Arial"/>
          <w:lang w:eastAsia="fr-FR"/>
        </w:rPr>
        <w:fldChar w:fldCharType="begin"/>
      </w:r>
      <w:r>
        <w:rPr>
          <w:rFonts w:ascii="Arial" w:eastAsia="Times New Roman" w:hAnsi="Arial" w:cs="Arial"/>
          <w:lang w:eastAsia="fr-FR"/>
        </w:rPr>
        <w:instrText xml:space="preserve"> INCLUDEPICTURE  "http://www.fao.org/docrep/006/ad232f/ad232f193.gif" \* MERGEFORMATINET </w:instrText>
      </w:r>
      <w:r>
        <w:rPr>
          <w:rFonts w:ascii="Arial" w:eastAsia="Times New Roman" w:hAnsi="Arial" w:cs="Arial"/>
          <w:lang w:eastAsia="fr-FR"/>
        </w:rPr>
        <w:fldChar w:fldCharType="separate"/>
      </w:r>
      <w:r>
        <w:rPr>
          <w:rFonts w:ascii="Arial" w:eastAsia="Times New Roman" w:hAnsi="Arial" w:cs="Arial"/>
          <w:lang w:eastAsia="fr-FR"/>
        </w:rPr>
        <w:fldChar w:fldCharType="begin"/>
      </w:r>
      <w:r>
        <w:rPr>
          <w:rFonts w:ascii="Arial" w:eastAsia="Times New Roman" w:hAnsi="Arial" w:cs="Arial"/>
          <w:lang w:eastAsia="fr-FR"/>
        </w:rPr>
        <w:instrText xml:space="preserve"> INCLUDEPICTURE  "http://www.fao.org/docrep/006/ad232f/ad232f193.gif" \* MERGEFORMATINET </w:instrText>
      </w:r>
      <w:r>
        <w:rPr>
          <w:rFonts w:ascii="Arial" w:eastAsia="Times New Roman" w:hAnsi="Arial" w:cs="Arial"/>
          <w:lang w:eastAsia="fr-FR"/>
        </w:rPr>
        <w:fldChar w:fldCharType="separate"/>
      </w:r>
      <w:r w:rsidR="00000000">
        <w:rPr>
          <w:rFonts w:ascii="Arial" w:eastAsia="Times New Roman" w:hAnsi="Arial" w:cs="Arial"/>
          <w:lang w:eastAsia="fr-FR"/>
        </w:rPr>
        <w:fldChar w:fldCharType="begin"/>
      </w:r>
      <w:r w:rsidR="00000000">
        <w:rPr>
          <w:rFonts w:ascii="Arial" w:eastAsia="Times New Roman" w:hAnsi="Arial" w:cs="Arial"/>
          <w:lang w:eastAsia="fr-FR"/>
        </w:rPr>
        <w:instrText xml:space="preserve"> INCLUDEPICTURE  "http://www.fao.org/docrep/006/ad232f/ad232f193.gif" \* MERGEFORMATINET </w:instrText>
      </w:r>
      <w:r w:rsidR="00000000">
        <w:rPr>
          <w:rFonts w:ascii="Arial" w:eastAsia="Times New Roman" w:hAnsi="Arial" w:cs="Arial"/>
          <w:lang w:eastAsia="fr-FR"/>
        </w:rPr>
        <w:fldChar w:fldCharType="separate"/>
      </w:r>
      <w:r w:rsidR="004D7B96">
        <w:rPr>
          <w:rFonts w:ascii="Arial" w:eastAsia="Times New Roman" w:hAnsi="Arial" w:cs="Arial"/>
          <w:lang w:eastAsia="fr-FR"/>
        </w:rPr>
        <w:pict w14:anchorId="41840822">
          <v:shape id="_x0000_i1027" type="#_x0000_t75" style="width:489.75pt;height:4in">
            <v:imagedata r:id="rId3504" r:href="rId3505"/>
          </v:shape>
        </w:pict>
      </w:r>
      <w:r w:rsidR="00000000">
        <w:rPr>
          <w:rFonts w:ascii="Arial" w:eastAsia="Times New Roman" w:hAnsi="Arial" w:cs="Arial"/>
          <w:lang w:eastAsia="fr-FR"/>
        </w:rPr>
        <w:fldChar w:fldCharType="end"/>
      </w:r>
      <w:r>
        <w:rPr>
          <w:rFonts w:ascii="Arial" w:eastAsia="Times New Roman" w:hAnsi="Arial" w:cs="Arial"/>
          <w:lang w:eastAsia="fr-FR"/>
        </w:rPr>
        <w:fldChar w:fldCharType="end"/>
      </w:r>
      <w:r>
        <w:rPr>
          <w:rFonts w:ascii="Arial" w:eastAsia="Times New Roman" w:hAnsi="Arial" w:cs="Arial"/>
          <w:lang w:eastAsia="fr-FR"/>
        </w:rPr>
        <w:fldChar w:fldCharType="end"/>
      </w:r>
      <w:r>
        <w:rPr>
          <w:rFonts w:ascii="Arial" w:eastAsia="Times New Roman" w:hAnsi="Arial" w:cs="Arial"/>
          <w:lang w:eastAsia="fr-FR"/>
        </w:rPr>
        <w:fldChar w:fldCharType="end"/>
      </w:r>
      <w:r>
        <w:rPr>
          <w:rFonts w:ascii="Arial" w:eastAsia="Times New Roman" w:hAnsi="Arial" w:cs="Arial"/>
          <w:lang w:eastAsia="fr-FR"/>
        </w:rPr>
        <w:fldChar w:fldCharType="end"/>
      </w:r>
      <w:r>
        <w:rPr>
          <w:rFonts w:ascii="Arial" w:eastAsia="Times New Roman" w:hAnsi="Arial" w:cs="Arial"/>
          <w:lang w:eastAsia="fr-FR"/>
        </w:rPr>
        <w:fldChar w:fldCharType="end"/>
      </w:r>
      <w:r>
        <w:rPr>
          <w:rFonts w:ascii="Arial" w:eastAsia="Times New Roman" w:hAnsi="Arial" w:cs="Arial"/>
          <w:lang w:eastAsia="fr-FR"/>
        </w:rPr>
        <w:fldChar w:fldCharType="end"/>
      </w:r>
      <w:r>
        <w:rPr>
          <w:rFonts w:ascii="Arial" w:eastAsia="Times New Roman" w:hAnsi="Arial" w:cs="Arial"/>
          <w:lang w:eastAsia="fr-FR"/>
        </w:rPr>
        <w:fldChar w:fldCharType="end"/>
      </w:r>
      <w:r>
        <w:rPr>
          <w:rFonts w:ascii="Arial" w:eastAsia="Times New Roman" w:hAnsi="Arial" w:cs="Arial"/>
          <w:lang w:eastAsia="fr-FR"/>
        </w:rPr>
        <w:fldChar w:fldCharType="end"/>
      </w:r>
      <w:r>
        <w:rPr>
          <w:rFonts w:ascii="Arial" w:eastAsia="Times New Roman" w:hAnsi="Arial" w:cs="Arial"/>
          <w:lang w:eastAsia="fr-FR"/>
        </w:rPr>
        <w:fldChar w:fldCharType="end"/>
      </w:r>
      <w:r>
        <w:rPr>
          <w:rFonts w:ascii="Arial" w:eastAsia="Times New Roman" w:hAnsi="Arial" w:cs="Arial"/>
          <w:lang w:eastAsia="fr-FR"/>
        </w:rPr>
        <w:fldChar w:fldCharType="end"/>
      </w:r>
      <w:r w:rsidR="00257DCF">
        <w:rPr>
          <w:rFonts w:ascii="Arial" w:eastAsia="Times New Roman" w:hAnsi="Arial" w:cs="Arial"/>
          <w:lang w:eastAsia="fr-FR"/>
        </w:rPr>
        <w:fldChar w:fldCharType="end"/>
      </w:r>
      <w:r w:rsidR="00113989">
        <w:rPr>
          <w:rFonts w:ascii="Arial" w:eastAsia="Times New Roman" w:hAnsi="Arial" w:cs="Arial"/>
          <w:lang w:eastAsia="fr-FR"/>
        </w:rPr>
        <w:fldChar w:fldCharType="end"/>
      </w:r>
      <w:r w:rsidR="001A2D67">
        <w:rPr>
          <w:rFonts w:ascii="Arial" w:eastAsia="Times New Roman" w:hAnsi="Arial" w:cs="Arial"/>
          <w:lang w:eastAsia="fr-FR"/>
        </w:rPr>
        <w:fldChar w:fldCharType="end"/>
      </w:r>
      <w:r w:rsidR="00FB2236">
        <w:rPr>
          <w:rFonts w:ascii="Arial" w:eastAsia="Times New Roman" w:hAnsi="Arial" w:cs="Arial"/>
          <w:lang w:eastAsia="fr-FR"/>
        </w:rPr>
        <w:fldChar w:fldCharType="end"/>
      </w:r>
      <w:r w:rsidR="00841994">
        <w:rPr>
          <w:rFonts w:ascii="Arial" w:eastAsia="Times New Roman" w:hAnsi="Arial" w:cs="Arial"/>
          <w:lang w:eastAsia="fr-FR"/>
        </w:rPr>
        <w:fldChar w:fldCharType="end"/>
      </w:r>
      <w:r w:rsidR="00EB394F">
        <w:rPr>
          <w:rFonts w:ascii="Arial" w:eastAsia="Times New Roman" w:hAnsi="Arial" w:cs="Arial"/>
          <w:lang w:eastAsia="fr-FR"/>
        </w:rPr>
        <w:fldChar w:fldCharType="end"/>
      </w:r>
      <w:r w:rsidR="00DE14A1">
        <w:rPr>
          <w:rFonts w:ascii="Arial" w:eastAsia="Times New Roman" w:hAnsi="Arial" w:cs="Arial"/>
          <w:lang w:eastAsia="fr-FR"/>
        </w:rPr>
        <w:fldChar w:fldCharType="end"/>
      </w:r>
      <w:r w:rsidR="004D7A6D">
        <w:rPr>
          <w:rFonts w:ascii="Arial" w:eastAsia="Times New Roman" w:hAnsi="Arial" w:cs="Arial"/>
          <w:lang w:eastAsia="fr-FR"/>
        </w:rPr>
        <w:fldChar w:fldCharType="end"/>
      </w:r>
      <w:r w:rsidR="003C103F">
        <w:rPr>
          <w:rFonts w:ascii="Arial" w:eastAsia="Times New Roman" w:hAnsi="Arial" w:cs="Arial"/>
          <w:lang w:eastAsia="fr-FR"/>
        </w:rPr>
        <w:fldChar w:fldCharType="end"/>
      </w:r>
      <w:r w:rsidR="00904C1E">
        <w:rPr>
          <w:rFonts w:ascii="Arial" w:eastAsia="Times New Roman" w:hAnsi="Arial" w:cs="Arial"/>
          <w:lang w:eastAsia="fr-FR"/>
        </w:rPr>
        <w:fldChar w:fldCharType="end"/>
      </w:r>
      <w:r w:rsidR="0055181D">
        <w:rPr>
          <w:rFonts w:ascii="Arial" w:eastAsia="Times New Roman" w:hAnsi="Arial" w:cs="Arial"/>
          <w:lang w:eastAsia="fr-FR"/>
        </w:rPr>
        <w:fldChar w:fldCharType="end"/>
      </w:r>
      <w:r w:rsidR="00BA431F">
        <w:rPr>
          <w:rFonts w:ascii="Arial" w:eastAsia="Times New Roman" w:hAnsi="Arial" w:cs="Arial"/>
          <w:lang w:eastAsia="fr-FR"/>
        </w:rPr>
        <w:fldChar w:fldCharType="end"/>
      </w:r>
      <w:r w:rsidR="00A44197">
        <w:rPr>
          <w:rFonts w:ascii="Arial" w:eastAsia="Times New Roman" w:hAnsi="Arial" w:cs="Arial"/>
          <w:lang w:eastAsia="fr-FR"/>
        </w:rPr>
        <w:fldChar w:fldCharType="end"/>
      </w:r>
      <w:r w:rsidR="00CB1B6A">
        <w:rPr>
          <w:rFonts w:ascii="Arial" w:eastAsia="Times New Roman" w:hAnsi="Arial" w:cs="Arial"/>
          <w:lang w:eastAsia="fr-FR"/>
        </w:rPr>
        <w:fldChar w:fldCharType="end"/>
      </w:r>
      <w:r w:rsidR="003C3772">
        <w:rPr>
          <w:rFonts w:ascii="Arial" w:eastAsia="Times New Roman" w:hAnsi="Arial" w:cs="Arial"/>
          <w:lang w:eastAsia="fr-FR"/>
        </w:rPr>
        <w:fldChar w:fldCharType="end"/>
      </w:r>
      <w:r w:rsidR="0010125D">
        <w:rPr>
          <w:rFonts w:ascii="Arial" w:eastAsia="Times New Roman" w:hAnsi="Arial" w:cs="Arial"/>
          <w:lang w:eastAsia="fr-FR"/>
        </w:rPr>
        <w:fldChar w:fldCharType="end"/>
      </w:r>
      <w:r w:rsidR="00322369">
        <w:rPr>
          <w:rFonts w:ascii="Arial" w:eastAsia="Times New Roman" w:hAnsi="Arial" w:cs="Arial"/>
          <w:lang w:eastAsia="fr-FR"/>
        </w:rPr>
        <w:fldChar w:fldCharType="end"/>
      </w:r>
      <w:r w:rsidR="001D1B2F">
        <w:rPr>
          <w:rFonts w:ascii="Arial" w:eastAsia="Times New Roman" w:hAnsi="Arial" w:cs="Arial"/>
          <w:lang w:eastAsia="fr-FR"/>
        </w:rPr>
        <w:fldChar w:fldCharType="end"/>
      </w:r>
      <w:r w:rsidR="00327850">
        <w:rPr>
          <w:rFonts w:ascii="Arial" w:eastAsia="Times New Roman" w:hAnsi="Arial" w:cs="Arial"/>
          <w:lang w:eastAsia="fr-FR"/>
        </w:rPr>
        <w:fldChar w:fldCharType="end"/>
      </w:r>
      <w:r w:rsidR="00FD522A">
        <w:rPr>
          <w:rFonts w:ascii="Arial" w:eastAsia="Times New Roman" w:hAnsi="Arial" w:cs="Arial"/>
          <w:lang w:eastAsia="fr-FR"/>
        </w:rPr>
        <w:fldChar w:fldCharType="end"/>
      </w:r>
      <w:r w:rsidR="000F1EC0">
        <w:rPr>
          <w:rFonts w:ascii="Arial" w:eastAsia="Times New Roman" w:hAnsi="Arial" w:cs="Arial"/>
          <w:lang w:eastAsia="fr-FR"/>
        </w:rPr>
        <w:fldChar w:fldCharType="end"/>
      </w:r>
      <w:r w:rsidR="008A4487">
        <w:rPr>
          <w:rFonts w:ascii="Arial" w:eastAsia="Times New Roman" w:hAnsi="Arial" w:cs="Arial"/>
          <w:lang w:eastAsia="fr-FR"/>
        </w:rPr>
        <w:fldChar w:fldCharType="end"/>
      </w:r>
      <w:r w:rsidR="00EC0F02">
        <w:rPr>
          <w:rFonts w:ascii="Arial" w:eastAsia="Times New Roman" w:hAnsi="Arial" w:cs="Arial"/>
          <w:lang w:eastAsia="fr-FR"/>
        </w:rPr>
        <w:fldChar w:fldCharType="end"/>
      </w:r>
      <w:r w:rsidR="009B1DF1">
        <w:rPr>
          <w:rFonts w:ascii="Arial" w:eastAsia="Times New Roman" w:hAnsi="Arial" w:cs="Arial"/>
          <w:lang w:eastAsia="fr-FR"/>
        </w:rPr>
        <w:fldChar w:fldCharType="end"/>
      </w:r>
      <w:r w:rsidR="00F05CA4">
        <w:rPr>
          <w:rFonts w:ascii="Arial" w:eastAsia="Times New Roman" w:hAnsi="Arial" w:cs="Arial"/>
          <w:lang w:eastAsia="fr-FR"/>
        </w:rPr>
        <w:fldChar w:fldCharType="end"/>
      </w:r>
      <w:r w:rsidR="008A682D">
        <w:rPr>
          <w:rFonts w:ascii="Arial" w:eastAsia="Times New Roman" w:hAnsi="Arial" w:cs="Arial"/>
          <w:lang w:eastAsia="fr-FR"/>
        </w:rPr>
        <w:fldChar w:fldCharType="end"/>
      </w:r>
      <w:r w:rsidR="00BC3AF1">
        <w:rPr>
          <w:rFonts w:ascii="Arial" w:eastAsia="Times New Roman" w:hAnsi="Arial" w:cs="Arial"/>
          <w:lang w:eastAsia="fr-FR"/>
        </w:rPr>
        <w:fldChar w:fldCharType="end"/>
      </w:r>
      <w:r w:rsidR="00212FDE">
        <w:rPr>
          <w:rFonts w:ascii="Arial" w:eastAsia="Times New Roman" w:hAnsi="Arial" w:cs="Arial"/>
          <w:lang w:eastAsia="fr-FR"/>
        </w:rPr>
        <w:fldChar w:fldCharType="end"/>
      </w:r>
      <w:r w:rsidR="00224E0F">
        <w:rPr>
          <w:rFonts w:ascii="Arial" w:eastAsia="Times New Roman" w:hAnsi="Arial" w:cs="Arial"/>
          <w:lang w:eastAsia="fr-FR"/>
        </w:rPr>
        <w:fldChar w:fldCharType="end"/>
      </w:r>
      <w:r w:rsidR="005E6492">
        <w:rPr>
          <w:rFonts w:ascii="Arial" w:eastAsia="Times New Roman" w:hAnsi="Arial" w:cs="Arial"/>
          <w:lang w:eastAsia="fr-FR"/>
        </w:rPr>
        <w:fldChar w:fldCharType="end"/>
      </w:r>
      <w:r w:rsidR="00C54119">
        <w:rPr>
          <w:rFonts w:ascii="Arial" w:eastAsia="Times New Roman" w:hAnsi="Arial" w:cs="Arial"/>
          <w:lang w:eastAsia="fr-FR"/>
        </w:rPr>
        <w:fldChar w:fldCharType="end"/>
      </w:r>
      <w:r w:rsidR="009F116E">
        <w:rPr>
          <w:rFonts w:ascii="Arial" w:eastAsia="Times New Roman" w:hAnsi="Arial" w:cs="Arial"/>
          <w:lang w:eastAsia="fr-FR"/>
        </w:rPr>
        <w:fldChar w:fldCharType="end"/>
      </w:r>
      <w:r w:rsidR="00AD6F81">
        <w:rPr>
          <w:rFonts w:ascii="Arial" w:eastAsia="Times New Roman" w:hAnsi="Arial" w:cs="Arial"/>
          <w:lang w:eastAsia="fr-FR"/>
        </w:rPr>
        <w:fldChar w:fldCharType="end"/>
      </w:r>
      <w:r w:rsidR="003C749C">
        <w:rPr>
          <w:rFonts w:ascii="Arial" w:eastAsia="Times New Roman" w:hAnsi="Arial" w:cs="Arial"/>
          <w:lang w:eastAsia="fr-FR"/>
        </w:rPr>
        <w:fldChar w:fldCharType="end"/>
      </w:r>
      <w:r w:rsidRPr="00F73985">
        <w:rPr>
          <w:rFonts w:ascii="Arial" w:eastAsia="Times New Roman" w:hAnsi="Arial" w:cs="Arial"/>
          <w:lang w:eastAsia="fr-FR"/>
        </w:rPr>
        <w:fldChar w:fldCharType="end"/>
      </w:r>
    </w:p>
    <w:p w14:paraId="59F9EE7E" w14:textId="549AC165" w:rsidR="00466020" w:rsidRDefault="00466020" w:rsidP="00466020">
      <w:pPr>
        <w:spacing w:after="0" w:line="240" w:lineRule="auto"/>
        <w:jc w:val="center"/>
        <w:rPr>
          <w:rFonts w:ascii="Arial" w:eastAsia="Times New Roman" w:hAnsi="Arial" w:cs="Arial"/>
          <w:sz w:val="16"/>
          <w:szCs w:val="16"/>
          <w:lang w:eastAsia="fr-FR"/>
        </w:rPr>
      </w:pPr>
      <w:r w:rsidRPr="00CD71D9">
        <w:rPr>
          <w:rFonts w:ascii="Calibri" w:eastAsia="Times New Roman" w:hAnsi="Calibri" w:cs="Calibri"/>
          <w:lang w:eastAsia="fr-FR"/>
        </w:rPr>
        <w:t>Plan d'une unité d'entreposage, à long terme, de semences, vue de face</w:t>
      </w:r>
      <w:r w:rsidR="00A8304B">
        <w:rPr>
          <w:rFonts w:ascii="Calibri" w:eastAsia="Times New Roman" w:hAnsi="Calibri" w:cs="Calibri"/>
          <w:lang w:eastAsia="fr-FR"/>
        </w:rPr>
        <w:t xml:space="preserve"> (</w:t>
      </w:r>
      <w:r w:rsidR="00401403">
        <w:rPr>
          <w:rFonts w:ascii="Calibri" w:eastAsia="Times New Roman" w:hAnsi="Calibri" w:cs="Calibri"/>
          <w:lang w:eastAsia="fr-FR"/>
        </w:rPr>
        <w:t xml:space="preserve">source </w:t>
      </w:r>
      <w:r w:rsidR="00A8304B">
        <w:rPr>
          <w:rFonts w:ascii="Calibri" w:eastAsia="Times New Roman" w:hAnsi="Calibri" w:cs="Calibri"/>
          <w:lang w:eastAsia="fr-FR"/>
        </w:rPr>
        <w:t>FAO)</w:t>
      </w:r>
      <w:r w:rsidRPr="00CD71D9">
        <w:rPr>
          <w:rFonts w:ascii="Calibri" w:eastAsia="Times New Roman" w:hAnsi="Calibri" w:cs="Calibri"/>
          <w:lang w:eastAsia="fr-FR"/>
        </w:rPr>
        <w:t>.</w:t>
      </w:r>
    </w:p>
    <w:p w14:paraId="44325529" w14:textId="77777777" w:rsidR="00466020" w:rsidRDefault="00466020" w:rsidP="00466020">
      <w:pPr>
        <w:spacing w:after="0" w:line="240" w:lineRule="auto"/>
        <w:jc w:val="both"/>
      </w:pPr>
    </w:p>
    <w:p w14:paraId="23307603" w14:textId="3D88CD22" w:rsidR="00466020" w:rsidRDefault="00466020" w:rsidP="00466020">
      <w:pPr>
        <w:spacing w:after="0" w:line="240" w:lineRule="auto"/>
        <w:jc w:val="both"/>
      </w:pPr>
      <w:r>
        <w:t>L'unité d'entreposage et de séchage pourrait comprendre les parties suivantes:</w:t>
      </w:r>
    </w:p>
    <w:p w14:paraId="152C198C" w14:textId="77777777" w:rsidR="00466020" w:rsidRDefault="00466020" w:rsidP="00466020">
      <w:pPr>
        <w:spacing w:after="0" w:line="240" w:lineRule="auto"/>
        <w:jc w:val="both"/>
      </w:pPr>
    </w:p>
    <w:p w14:paraId="57DCDC23" w14:textId="77777777" w:rsidR="00466020" w:rsidRDefault="00466020" w:rsidP="00466020">
      <w:pPr>
        <w:numPr>
          <w:ilvl w:val="0"/>
          <w:numId w:val="90"/>
        </w:numPr>
        <w:spacing w:after="0" w:line="240" w:lineRule="auto"/>
        <w:ind w:left="426"/>
        <w:jc w:val="both"/>
      </w:pPr>
      <w:r>
        <w:t>Des fondations s'élevant de 50 cm (au moins) au-dessus du sol. Des tubes en PVC de 2 pouces de diamètre, enfouis dans du gravier grossier compacté sous la chambre froide à des intervalles de 50 cm environ, assurent le drainage et la ventilation sous plancher.</w:t>
      </w:r>
    </w:p>
    <w:p w14:paraId="4EF6011B" w14:textId="77777777" w:rsidR="00466020" w:rsidRDefault="00466020" w:rsidP="00466020">
      <w:pPr>
        <w:numPr>
          <w:ilvl w:val="0"/>
          <w:numId w:val="90"/>
        </w:numPr>
        <w:spacing w:after="0" w:line="240" w:lineRule="auto"/>
        <w:ind w:left="426"/>
        <w:jc w:val="both"/>
      </w:pPr>
      <w:r>
        <w:t>Un toit séparé, constitué de feuilles de fibrociment (Ricalit ®) posées sur une armature en acier et installé sur des colonnes en béton armé de 30 × 30 cm. Tous les côtés sont laissés ouverts, afin d'assurer une bonne circulation d'air et d'éviter toute accumulation de chaleur sous le toit.</w:t>
      </w:r>
    </w:p>
    <w:p w14:paraId="7AE202FC" w14:textId="77777777" w:rsidR="00466020" w:rsidRDefault="00466020" w:rsidP="00466020">
      <w:pPr>
        <w:numPr>
          <w:ilvl w:val="0"/>
          <w:numId w:val="90"/>
        </w:numPr>
        <w:spacing w:after="0" w:line="240" w:lineRule="auto"/>
        <w:ind w:left="426"/>
        <w:jc w:val="both"/>
      </w:pPr>
      <w:r>
        <w:t>Un séchoir (de dimensions intérieures d'environ 7 × 3 × 3 m) constituant une sorte d'antichambre de la chambre froide.</w:t>
      </w:r>
    </w:p>
    <w:p w14:paraId="1009832C" w14:textId="0EAE0C2A" w:rsidR="00466020" w:rsidRPr="00466020" w:rsidRDefault="00466020" w:rsidP="00466020">
      <w:pPr>
        <w:numPr>
          <w:ilvl w:val="0"/>
          <w:numId w:val="90"/>
        </w:numPr>
        <w:spacing w:after="0" w:line="240" w:lineRule="auto"/>
        <w:ind w:left="426"/>
        <w:jc w:val="both"/>
      </w:pPr>
      <w:r>
        <w:t>Voire une chambre fraiche froide.</w:t>
      </w:r>
    </w:p>
    <w:p w14:paraId="697E5BBF" w14:textId="77777777" w:rsidR="00D06F2D" w:rsidRPr="00F73985" w:rsidRDefault="00D06F2D" w:rsidP="00D06F2D">
      <w:pPr>
        <w:spacing w:after="0" w:line="240" w:lineRule="auto"/>
        <w:rPr>
          <w:rFonts w:ascii="Arial" w:eastAsia="Times New Roman" w:hAnsi="Arial" w:cs="Arial"/>
          <w:sz w:val="16"/>
          <w:szCs w:val="16"/>
          <w:lang w:eastAsia="fr-FR"/>
        </w:rPr>
      </w:pPr>
    </w:p>
    <w:p w14:paraId="2F92A513" w14:textId="77777777" w:rsidR="00D06F2D" w:rsidRPr="006B03C0" w:rsidRDefault="00D06F2D" w:rsidP="00D06F2D">
      <w:pPr>
        <w:kinsoku w:val="0"/>
        <w:overflowPunct w:val="0"/>
        <w:spacing w:after="0" w:line="240" w:lineRule="auto"/>
        <w:jc w:val="center"/>
        <w:textAlignment w:val="baseline"/>
      </w:pPr>
      <w:r w:rsidRPr="006B03C0">
        <w:rPr>
          <w:noProof/>
        </w:rPr>
        <w:drawing>
          <wp:inline distT="0" distB="0" distL="0" distR="0" wp14:anchorId="25D3DFED" wp14:editId="4C4243A4">
            <wp:extent cx="3924300" cy="1143000"/>
            <wp:effectExtent l="0" t="0" r="0" b="0"/>
            <wp:docPr id="146436" name="Image 146436"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36" name="Image 146436" descr="Une image contenant texte&#10;&#10;Description générée automatiquement"/>
                    <pic:cNvPicPr>
                      <a:picLocks noChangeAspect="1" noChangeArrowheads="1"/>
                    </pic:cNvPicPr>
                  </pic:nvPicPr>
                  <pic:blipFill>
                    <a:blip r:embed="rId3506" cstate="print">
                      <a:extLst>
                        <a:ext uri="{28A0092B-C50C-407E-A947-70E740481C1C}">
                          <a14:useLocalDpi xmlns:a14="http://schemas.microsoft.com/office/drawing/2010/main" val="0"/>
                        </a:ext>
                      </a:extLst>
                    </a:blip>
                    <a:srcRect/>
                    <a:stretch>
                      <a:fillRect/>
                    </a:stretch>
                  </pic:blipFill>
                  <pic:spPr bwMode="auto">
                    <a:xfrm>
                      <a:off x="0" y="0"/>
                      <a:ext cx="3924300" cy="1143000"/>
                    </a:xfrm>
                    <a:prstGeom prst="rect">
                      <a:avLst/>
                    </a:prstGeom>
                    <a:noFill/>
                    <a:ln>
                      <a:noFill/>
                    </a:ln>
                  </pic:spPr>
                </pic:pic>
              </a:graphicData>
            </a:graphic>
          </wp:inline>
        </w:drawing>
      </w:r>
    </w:p>
    <w:p w14:paraId="27D398F4" w14:textId="77777777" w:rsidR="00D06F2D" w:rsidRPr="006B03C0" w:rsidRDefault="00D06F2D" w:rsidP="00D06F2D">
      <w:pPr>
        <w:tabs>
          <w:tab w:val="left" w:pos="4752"/>
        </w:tabs>
        <w:kinsoku w:val="0"/>
        <w:overflowPunct w:val="0"/>
        <w:spacing w:after="0" w:line="240" w:lineRule="auto"/>
        <w:jc w:val="center"/>
        <w:textAlignment w:val="baseline"/>
        <w:rPr>
          <w:rFonts w:cs="Tahoma"/>
          <w:bCs/>
          <w:spacing w:val="4"/>
        </w:rPr>
      </w:pPr>
      <w:r w:rsidRPr="006B03C0">
        <w:rPr>
          <w:rFonts w:cs="Tahoma"/>
          <w:bCs/>
          <w:spacing w:val="4"/>
        </w:rPr>
        <w:t>Le stockage des lots en chambre froide</w:t>
      </w:r>
      <w:r>
        <w:rPr>
          <w:rFonts w:cs="Tahoma"/>
          <w:bCs/>
          <w:spacing w:val="4"/>
        </w:rPr>
        <w:t xml:space="preserve"> ou frigo</w:t>
      </w:r>
      <w:r w:rsidRPr="006B03C0">
        <w:rPr>
          <w:rFonts w:cs="Tahoma"/>
          <w:bCs/>
          <w:spacing w:val="4"/>
        </w:rPr>
        <w:t>.</w:t>
      </w:r>
      <w:r w:rsidRPr="006B03C0">
        <w:rPr>
          <w:rFonts w:cs="Tahoma"/>
          <w:bCs/>
          <w:spacing w:val="4"/>
        </w:rPr>
        <w:tab/>
        <w:t>Le stockage des lots en congélateur.</w:t>
      </w:r>
    </w:p>
    <w:p w14:paraId="7B9F9451" w14:textId="77777777" w:rsidR="00D06F2D" w:rsidRPr="006B03C0" w:rsidRDefault="00D06F2D" w:rsidP="00D06F2D">
      <w:pPr>
        <w:tabs>
          <w:tab w:val="left" w:pos="5184"/>
        </w:tabs>
        <w:kinsoku w:val="0"/>
        <w:overflowPunct w:val="0"/>
        <w:spacing w:after="0" w:line="240" w:lineRule="auto"/>
        <w:jc w:val="center"/>
        <w:textAlignment w:val="baseline"/>
        <w:rPr>
          <w:rFonts w:cs="Tahoma"/>
          <w:bCs/>
          <w:spacing w:val="5"/>
          <w:lang w:val="en-US"/>
        </w:rPr>
      </w:pPr>
      <w:r w:rsidRPr="006B03C0">
        <w:rPr>
          <w:rFonts w:cs="Tahoma"/>
          <w:bCs/>
          <w:spacing w:val="5"/>
          <w:lang w:val="en-US"/>
        </w:rPr>
        <w:t>Photo B. FAYE, GGE-MNHN</w:t>
      </w:r>
      <w:r w:rsidRPr="006B03C0">
        <w:rPr>
          <w:rFonts w:cs="Tahoma"/>
          <w:bCs/>
          <w:spacing w:val="5"/>
          <w:lang w:val="en-US"/>
        </w:rPr>
        <w:tab/>
        <w:t>Photo B. FAYE, GGE-MNHN</w:t>
      </w:r>
    </w:p>
    <w:p w14:paraId="3409D2CD" w14:textId="77777777" w:rsidR="00D06F2D" w:rsidRPr="002A6A93" w:rsidRDefault="00D06F2D" w:rsidP="00D06F2D">
      <w:pPr>
        <w:kinsoku w:val="0"/>
        <w:overflowPunct w:val="0"/>
        <w:spacing w:after="0" w:line="240" w:lineRule="auto"/>
        <w:jc w:val="both"/>
        <w:textAlignment w:val="baseline"/>
        <w:rPr>
          <w:rFonts w:cs="Tahoma"/>
          <w:lang w:val="en-GB"/>
        </w:rPr>
      </w:pPr>
    </w:p>
    <w:p w14:paraId="77E8C12F" w14:textId="77777777" w:rsidR="00D06F2D" w:rsidRDefault="00D06F2D" w:rsidP="00D06F2D">
      <w:pPr>
        <w:kinsoku w:val="0"/>
        <w:overflowPunct w:val="0"/>
        <w:spacing w:after="0" w:line="240" w:lineRule="auto"/>
        <w:jc w:val="both"/>
        <w:textAlignment w:val="baseline"/>
        <w:rPr>
          <w:rFonts w:cs="Arial"/>
          <w:bCs/>
        </w:rPr>
      </w:pPr>
      <w:r w:rsidRPr="006B03C0">
        <w:rPr>
          <w:rFonts w:cs="Tahoma"/>
        </w:rPr>
        <w:t xml:space="preserve">- </w:t>
      </w:r>
      <w:r w:rsidRPr="006B03C0">
        <w:rPr>
          <w:rFonts w:cs="Arial"/>
          <w:bCs/>
        </w:rPr>
        <w:t>Enfin</w:t>
      </w:r>
      <w:r>
        <w:rPr>
          <w:rFonts w:cs="Arial"/>
          <w:bCs/>
        </w:rPr>
        <w:t xml:space="preserve"> la lyophilisation est destinée à </w:t>
      </w:r>
      <w:r w:rsidRPr="006B03C0">
        <w:rPr>
          <w:rFonts w:cs="Arial"/>
          <w:bCs/>
        </w:rPr>
        <w:t>la conservation à long terme.</w:t>
      </w:r>
    </w:p>
    <w:p w14:paraId="3748298D" w14:textId="77777777" w:rsidR="00D06F2D" w:rsidRPr="006B03C0" w:rsidRDefault="00D06F2D" w:rsidP="00D06F2D">
      <w:pPr>
        <w:kinsoku w:val="0"/>
        <w:overflowPunct w:val="0"/>
        <w:spacing w:after="0" w:line="240" w:lineRule="auto"/>
        <w:jc w:val="both"/>
        <w:textAlignment w:val="baseline"/>
        <w:rPr>
          <w:rFonts w:cs="Arial"/>
          <w:bCs/>
        </w:rPr>
      </w:pPr>
    </w:p>
    <w:p w14:paraId="666EDB44" w14:textId="77777777" w:rsidR="00D06F2D" w:rsidRPr="006B03C0" w:rsidRDefault="00D06F2D" w:rsidP="00D06F2D">
      <w:pPr>
        <w:kinsoku w:val="0"/>
        <w:overflowPunct w:val="0"/>
        <w:spacing w:after="0" w:line="240" w:lineRule="auto"/>
        <w:jc w:val="center"/>
        <w:textAlignment w:val="baseline"/>
      </w:pPr>
      <w:r w:rsidRPr="006B03C0">
        <w:rPr>
          <w:noProof/>
        </w:rPr>
        <w:lastRenderedPageBreak/>
        <w:drawing>
          <wp:inline distT="0" distB="0" distL="0" distR="0" wp14:anchorId="2529BB6D" wp14:editId="4D081E10">
            <wp:extent cx="3971925" cy="1295400"/>
            <wp:effectExtent l="0" t="0" r="9525" b="0"/>
            <wp:docPr id="146432" name="Image 146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07" cstate="print">
                      <a:extLst>
                        <a:ext uri="{28A0092B-C50C-407E-A947-70E740481C1C}">
                          <a14:useLocalDpi xmlns:a14="http://schemas.microsoft.com/office/drawing/2010/main" val="0"/>
                        </a:ext>
                      </a:extLst>
                    </a:blip>
                    <a:srcRect/>
                    <a:stretch>
                      <a:fillRect/>
                    </a:stretch>
                  </pic:blipFill>
                  <pic:spPr bwMode="auto">
                    <a:xfrm>
                      <a:off x="0" y="0"/>
                      <a:ext cx="3971925" cy="1295400"/>
                    </a:xfrm>
                    <a:prstGeom prst="rect">
                      <a:avLst/>
                    </a:prstGeom>
                    <a:noFill/>
                    <a:ln>
                      <a:noFill/>
                    </a:ln>
                  </pic:spPr>
                </pic:pic>
              </a:graphicData>
            </a:graphic>
          </wp:inline>
        </w:drawing>
      </w:r>
    </w:p>
    <w:tbl>
      <w:tblPr>
        <w:tblW w:w="10865" w:type="dxa"/>
        <w:jc w:val="center"/>
        <w:tblLook w:val="04A0" w:firstRow="1" w:lastRow="0" w:firstColumn="1" w:lastColumn="0" w:noHBand="0" w:noVBand="1"/>
      </w:tblPr>
      <w:tblGrid>
        <w:gridCol w:w="4911"/>
        <w:gridCol w:w="5954"/>
      </w:tblGrid>
      <w:tr w:rsidR="00D06F2D" w:rsidRPr="006B03C0" w14:paraId="5FDC69CE" w14:textId="77777777" w:rsidTr="00F752F9">
        <w:trPr>
          <w:jc w:val="center"/>
        </w:trPr>
        <w:tc>
          <w:tcPr>
            <w:tcW w:w="4911" w:type="dxa"/>
            <w:shd w:val="clear" w:color="auto" w:fill="auto"/>
          </w:tcPr>
          <w:p w14:paraId="45DE9FC3" w14:textId="77777777" w:rsidR="00D06F2D" w:rsidRDefault="00D06F2D" w:rsidP="00F752F9">
            <w:pPr>
              <w:kinsoku w:val="0"/>
              <w:overflowPunct w:val="0"/>
              <w:spacing w:after="0" w:line="240" w:lineRule="auto"/>
              <w:jc w:val="center"/>
              <w:textAlignment w:val="baseline"/>
            </w:pPr>
            <w:r>
              <w:t>Lyophilisation des lots.</w:t>
            </w:r>
          </w:p>
          <w:p w14:paraId="08A3D070" w14:textId="77777777" w:rsidR="00D06F2D" w:rsidRPr="002A6A93" w:rsidRDefault="00D06F2D" w:rsidP="00F752F9">
            <w:pPr>
              <w:kinsoku w:val="0"/>
              <w:overflowPunct w:val="0"/>
              <w:spacing w:after="0" w:line="240" w:lineRule="auto"/>
              <w:jc w:val="center"/>
              <w:textAlignment w:val="baseline"/>
            </w:pPr>
            <w:r w:rsidRPr="002A6A93">
              <w:t>Photo B. FAYE, GGE-MNHN</w:t>
            </w:r>
          </w:p>
        </w:tc>
        <w:tc>
          <w:tcPr>
            <w:tcW w:w="5954" w:type="dxa"/>
            <w:shd w:val="clear" w:color="auto" w:fill="auto"/>
          </w:tcPr>
          <w:p w14:paraId="0F800EF0" w14:textId="77777777" w:rsidR="00D06F2D" w:rsidRPr="008652E4" w:rsidRDefault="00D06F2D" w:rsidP="00F752F9">
            <w:pPr>
              <w:kinsoku w:val="0"/>
              <w:overflowPunct w:val="0"/>
              <w:spacing w:after="0" w:line="240" w:lineRule="auto"/>
              <w:jc w:val="center"/>
              <w:textAlignment w:val="baseline"/>
              <w:rPr>
                <w:rFonts w:cs="Tahoma"/>
                <w:bCs/>
                <w:spacing w:val="1"/>
              </w:rPr>
            </w:pPr>
            <w:r w:rsidRPr="008652E4">
              <w:rPr>
                <w:rFonts w:cs="Tahoma"/>
                <w:bCs/>
                <w:spacing w:val="10"/>
              </w:rPr>
              <w:t xml:space="preserve">Stockages des lots lyophilisés en chambre </w:t>
            </w:r>
            <w:r w:rsidRPr="008652E4">
              <w:rPr>
                <w:rFonts w:cs="Tahoma"/>
                <w:bCs/>
                <w:spacing w:val="1"/>
              </w:rPr>
              <w:t>froide</w:t>
            </w:r>
            <w:r>
              <w:rPr>
                <w:rFonts w:cs="Tahoma"/>
                <w:bCs/>
                <w:spacing w:val="1"/>
              </w:rPr>
              <w:t xml:space="preserve"> ou frigo</w:t>
            </w:r>
            <w:r w:rsidRPr="008652E4">
              <w:rPr>
                <w:rFonts w:cs="Tahoma"/>
                <w:bCs/>
                <w:spacing w:val="1"/>
              </w:rPr>
              <w:t>.</w:t>
            </w:r>
          </w:p>
          <w:p w14:paraId="3EC9D425" w14:textId="77777777" w:rsidR="00D06F2D" w:rsidRPr="006B03C0" w:rsidRDefault="00D06F2D" w:rsidP="00F752F9">
            <w:pPr>
              <w:kinsoku w:val="0"/>
              <w:overflowPunct w:val="0"/>
              <w:spacing w:after="0" w:line="240" w:lineRule="auto"/>
              <w:jc w:val="center"/>
              <w:textAlignment w:val="baseline"/>
            </w:pPr>
            <w:r w:rsidRPr="008652E4">
              <w:rPr>
                <w:rFonts w:cs="Tahoma"/>
                <w:bCs/>
                <w:spacing w:val="5"/>
              </w:rPr>
              <w:t>Photo P. GOETGHELUCK pour « Ca</w:t>
            </w:r>
            <w:r w:rsidRPr="008652E4">
              <w:rPr>
                <w:rFonts w:cs="Tahoma"/>
                <w:bCs/>
                <w:spacing w:val="9"/>
              </w:rPr>
              <w:t xml:space="preserve"> M'intéresse ».</w:t>
            </w:r>
          </w:p>
        </w:tc>
      </w:tr>
    </w:tbl>
    <w:p w14:paraId="4F9D882F" w14:textId="77777777" w:rsidR="00D06F2D" w:rsidRDefault="00D06F2D" w:rsidP="00134A85">
      <w:pPr>
        <w:spacing w:after="0" w:line="240" w:lineRule="auto"/>
        <w:jc w:val="both"/>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30"/>
      </w:tblGrid>
      <w:tr w:rsidR="00BD290C" w:rsidRPr="00411510" w14:paraId="6A163807" w14:textId="77777777" w:rsidTr="00525A4A">
        <w:trPr>
          <w:jc w:val="center"/>
        </w:trPr>
        <w:tc>
          <w:tcPr>
            <w:tcW w:w="8330" w:type="dxa"/>
          </w:tcPr>
          <w:p w14:paraId="1B0F70AE" w14:textId="77777777" w:rsidR="00BD290C" w:rsidRPr="00411510" w:rsidRDefault="00BD290C" w:rsidP="00525A4A">
            <w:pPr>
              <w:tabs>
                <w:tab w:val="left" w:pos="3240"/>
              </w:tabs>
              <w:kinsoku w:val="0"/>
              <w:overflowPunct w:val="0"/>
              <w:spacing w:before="122" w:line="229" w:lineRule="exact"/>
              <w:ind w:left="360"/>
              <w:textAlignment w:val="baseline"/>
              <w:rPr>
                <w:rFonts w:ascii="Tahoma" w:hAnsi="Tahoma" w:cs="Tahoma"/>
                <w:b/>
                <w:bCs/>
                <w:color w:val="1B2321"/>
                <w:spacing w:val="2"/>
                <w:sz w:val="16"/>
                <w:szCs w:val="16"/>
              </w:rPr>
            </w:pPr>
            <w:r w:rsidRPr="00411510">
              <w:rPr>
                <w:rFonts w:ascii="Tahoma" w:hAnsi="Tahoma" w:cs="Tahoma"/>
                <w:b/>
                <w:bCs/>
                <w:color w:val="1B2321"/>
                <w:spacing w:val="2"/>
                <w:sz w:val="16"/>
                <w:szCs w:val="16"/>
              </w:rPr>
              <w:t>Numéro de l'espèce:</w:t>
            </w:r>
            <w:r w:rsidRPr="00411510">
              <w:rPr>
                <w:rFonts w:ascii="Tahoma" w:hAnsi="Tahoma" w:cs="Tahoma"/>
                <w:b/>
                <w:bCs/>
                <w:color w:val="1B2321"/>
                <w:spacing w:val="2"/>
                <w:sz w:val="16"/>
                <w:szCs w:val="16"/>
              </w:rPr>
              <w:tab/>
              <w:t>Numéro de lot:</w:t>
            </w:r>
          </w:p>
          <w:p w14:paraId="3A6279B9" w14:textId="77777777" w:rsidR="00BD290C" w:rsidRPr="00411510" w:rsidRDefault="00BD290C" w:rsidP="00525A4A">
            <w:pPr>
              <w:kinsoku w:val="0"/>
              <w:overflowPunct w:val="0"/>
              <w:spacing w:before="172" w:line="219" w:lineRule="exact"/>
              <w:ind w:left="360"/>
              <w:jc w:val="center"/>
              <w:textAlignment w:val="baseline"/>
              <w:rPr>
                <w:rFonts w:ascii="Tahoma" w:hAnsi="Tahoma" w:cs="Tahoma"/>
                <w:b/>
                <w:bCs/>
                <w:color w:val="1B2321"/>
                <w:spacing w:val="34"/>
                <w:sz w:val="16"/>
                <w:szCs w:val="16"/>
              </w:rPr>
            </w:pPr>
            <w:r w:rsidRPr="00411510">
              <w:rPr>
                <w:rFonts w:ascii="Tahoma" w:hAnsi="Tahoma" w:cs="Tahoma"/>
                <w:b/>
                <w:bCs/>
                <w:color w:val="1B2321"/>
                <w:spacing w:val="34"/>
                <w:sz w:val="16"/>
                <w:szCs w:val="16"/>
              </w:rPr>
              <w:t>FICHE DE TECHNIQUE SUR LA</w:t>
            </w:r>
            <w:r w:rsidRPr="00411510">
              <w:rPr>
                <w:rFonts w:ascii="Tahoma" w:hAnsi="Tahoma" w:cs="Tahoma"/>
                <w:b/>
                <w:bCs/>
                <w:color w:val="1B2321"/>
                <w:spacing w:val="34"/>
                <w:sz w:val="16"/>
                <w:szCs w:val="16"/>
              </w:rPr>
              <w:br/>
              <w:t>COLLECTE DE SEMENCES</w:t>
            </w:r>
          </w:p>
          <w:p w14:paraId="6EE47A5E" w14:textId="77777777" w:rsidR="00BD290C" w:rsidRPr="00411510" w:rsidRDefault="00BD290C" w:rsidP="00525A4A">
            <w:pPr>
              <w:kinsoku w:val="0"/>
              <w:overflowPunct w:val="0"/>
              <w:spacing w:line="225" w:lineRule="exact"/>
              <w:ind w:left="360"/>
              <w:textAlignment w:val="baseline"/>
              <w:rPr>
                <w:rFonts w:ascii="Tahoma" w:hAnsi="Tahoma" w:cs="Tahoma"/>
                <w:b/>
                <w:bCs/>
                <w:color w:val="1B2321"/>
                <w:sz w:val="16"/>
                <w:szCs w:val="16"/>
              </w:rPr>
            </w:pPr>
            <w:r w:rsidRPr="00411510">
              <w:rPr>
                <w:rFonts w:ascii="Tahoma" w:hAnsi="Tahoma" w:cs="Tahoma"/>
                <w:b/>
                <w:bCs/>
                <w:color w:val="1B2321"/>
                <w:sz w:val="16"/>
                <w:szCs w:val="16"/>
              </w:rPr>
              <w:t>Famille:</w:t>
            </w:r>
          </w:p>
          <w:p w14:paraId="4E376DAC" w14:textId="77777777" w:rsidR="00BD290C" w:rsidRPr="00411510" w:rsidRDefault="00BD290C" w:rsidP="00525A4A">
            <w:pPr>
              <w:tabs>
                <w:tab w:val="left" w:pos="3240"/>
              </w:tabs>
              <w:kinsoku w:val="0"/>
              <w:overflowPunct w:val="0"/>
              <w:spacing w:before="187" w:line="236" w:lineRule="exact"/>
              <w:ind w:left="360"/>
              <w:textAlignment w:val="baseline"/>
              <w:rPr>
                <w:rFonts w:ascii="Tahoma" w:hAnsi="Tahoma" w:cs="Tahoma"/>
                <w:b/>
                <w:bCs/>
                <w:color w:val="1B2321"/>
                <w:spacing w:val="4"/>
                <w:sz w:val="16"/>
                <w:szCs w:val="16"/>
              </w:rPr>
            </w:pPr>
            <w:r w:rsidRPr="00411510">
              <w:rPr>
                <w:rFonts w:ascii="Tahoma" w:hAnsi="Tahoma" w:cs="Tahoma"/>
                <w:b/>
                <w:bCs/>
                <w:color w:val="1B2321"/>
                <w:spacing w:val="4"/>
                <w:sz w:val="16"/>
                <w:szCs w:val="16"/>
              </w:rPr>
              <w:t>Espèce:</w:t>
            </w:r>
            <w:r w:rsidRPr="00411510">
              <w:rPr>
                <w:rFonts w:ascii="Tahoma" w:hAnsi="Tahoma" w:cs="Tahoma"/>
                <w:b/>
                <w:bCs/>
                <w:color w:val="1B2321"/>
                <w:spacing w:val="4"/>
                <w:sz w:val="16"/>
                <w:szCs w:val="16"/>
              </w:rPr>
              <w:tab/>
              <w:t>Nom commun:</w:t>
            </w:r>
          </w:p>
          <w:p w14:paraId="3F772D56" w14:textId="77777777" w:rsidR="00BD290C" w:rsidRPr="00411510" w:rsidRDefault="00BD290C" w:rsidP="00525A4A">
            <w:pPr>
              <w:tabs>
                <w:tab w:val="left" w:pos="3240"/>
              </w:tabs>
              <w:kinsoku w:val="0"/>
              <w:overflowPunct w:val="0"/>
              <w:spacing w:before="165" w:line="226" w:lineRule="exact"/>
              <w:ind w:left="360"/>
              <w:textAlignment w:val="baseline"/>
              <w:rPr>
                <w:rFonts w:ascii="Tahoma" w:hAnsi="Tahoma" w:cs="Tahoma"/>
                <w:b/>
                <w:bCs/>
                <w:color w:val="1B2321"/>
                <w:spacing w:val="1"/>
                <w:sz w:val="16"/>
                <w:szCs w:val="16"/>
              </w:rPr>
            </w:pPr>
            <w:r w:rsidRPr="00411510">
              <w:rPr>
                <w:rFonts w:ascii="Tahoma" w:hAnsi="Tahoma" w:cs="Tahoma"/>
                <w:b/>
                <w:bCs/>
                <w:color w:val="1B2321"/>
                <w:spacing w:val="1"/>
                <w:sz w:val="16"/>
                <w:szCs w:val="16"/>
              </w:rPr>
              <w:t>Date de collecte:</w:t>
            </w:r>
            <w:r w:rsidRPr="00411510">
              <w:rPr>
                <w:rFonts w:ascii="Tahoma" w:hAnsi="Tahoma" w:cs="Tahoma"/>
                <w:b/>
                <w:bCs/>
                <w:color w:val="1B2321"/>
                <w:spacing w:val="1"/>
                <w:sz w:val="16"/>
                <w:szCs w:val="16"/>
              </w:rPr>
              <w:tab/>
              <w:t>Nom de l'agent</w:t>
            </w:r>
          </w:p>
          <w:p w14:paraId="5A130B84" w14:textId="77777777" w:rsidR="00BD290C" w:rsidRPr="00411510" w:rsidRDefault="00BD290C" w:rsidP="00525A4A">
            <w:pPr>
              <w:kinsoku w:val="0"/>
              <w:overflowPunct w:val="0"/>
              <w:spacing w:line="223" w:lineRule="exact"/>
              <w:ind w:left="3168"/>
              <w:textAlignment w:val="baseline"/>
              <w:rPr>
                <w:rFonts w:ascii="Tahoma" w:hAnsi="Tahoma" w:cs="Tahoma"/>
                <w:b/>
                <w:bCs/>
                <w:color w:val="1B2321"/>
                <w:spacing w:val="2"/>
                <w:sz w:val="16"/>
                <w:szCs w:val="16"/>
              </w:rPr>
            </w:pPr>
            <w:r w:rsidRPr="00411510">
              <w:rPr>
                <w:rFonts w:ascii="Tahoma" w:hAnsi="Tahoma" w:cs="Tahoma"/>
                <w:b/>
                <w:bCs/>
                <w:color w:val="1B2321"/>
                <w:spacing w:val="2"/>
                <w:sz w:val="16"/>
                <w:szCs w:val="16"/>
              </w:rPr>
              <w:t>de collecte:</w:t>
            </w:r>
          </w:p>
          <w:p w14:paraId="27ADA78A" w14:textId="77777777" w:rsidR="00BD290C" w:rsidRPr="00411510" w:rsidRDefault="00BD290C" w:rsidP="00525A4A">
            <w:pPr>
              <w:tabs>
                <w:tab w:val="left" w:pos="3240"/>
              </w:tabs>
              <w:kinsoku w:val="0"/>
              <w:overflowPunct w:val="0"/>
              <w:spacing w:before="193" w:line="225" w:lineRule="exact"/>
              <w:ind w:left="360"/>
              <w:textAlignment w:val="baseline"/>
              <w:rPr>
                <w:rFonts w:ascii="Tahoma" w:hAnsi="Tahoma" w:cs="Tahoma"/>
                <w:b/>
                <w:bCs/>
                <w:color w:val="1B2321"/>
                <w:spacing w:val="1"/>
                <w:sz w:val="16"/>
                <w:szCs w:val="16"/>
              </w:rPr>
            </w:pPr>
            <w:r w:rsidRPr="00411510">
              <w:rPr>
                <w:rFonts w:ascii="Tahoma" w:hAnsi="Tahoma" w:cs="Tahoma"/>
                <w:b/>
                <w:bCs/>
                <w:color w:val="1B2321"/>
                <w:spacing w:val="1"/>
                <w:sz w:val="16"/>
                <w:szCs w:val="16"/>
              </w:rPr>
              <w:t>No d'étiquette de l'arbre:</w:t>
            </w:r>
            <w:r w:rsidRPr="00411510">
              <w:rPr>
                <w:rFonts w:ascii="Tahoma" w:hAnsi="Tahoma" w:cs="Tahoma"/>
                <w:b/>
                <w:bCs/>
                <w:color w:val="1B2321"/>
                <w:spacing w:val="1"/>
                <w:sz w:val="16"/>
                <w:szCs w:val="16"/>
              </w:rPr>
              <w:tab/>
              <w:t>Circonférence</w:t>
            </w:r>
          </w:p>
          <w:p w14:paraId="4C0111C7" w14:textId="77777777" w:rsidR="00BD290C" w:rsidRPr="00411510" w:rsidRDefault="00BD290C" w:rsidP="00525A4A">
            <w:pPr>
              <w:kinsoku w:val="0"/>
              <w:overflowPunct w:val="0"/>
              <w:spacing w:line="225" w:lineRule="exact"/>
              <w:ind w:left="3168"/>
              <w:textAlignment w:val="baseline"/>
              <w:rPr>
                <w:rFonts w:ascii="Tahoma" w:hAnsi="Tahoma" w:cs="Tahoma"/>
                <w:b/>
                <w:bCs/>
                <w:color w:val="1B2321"/>
                <w:spacing w:val="2"/>
                <w:sz w:val="16"/>
                <w:szCs w:val="16"/>
              </w:rPr>
            </w:pPr>
            <w:r w:rsidRPr="00411510">
              <w:rPr>
                <w:rFonts w:ascii="Tahoma" w:hAnsi="Tahoma" w:cs="Tahoma"/>
                <w:b/>
                <w:bCs/>
                <w:color w:val="1B2321"/>
                <w:spacing w:val="2"/>
                <w:sz w:val="16"/>
                <w:szCs w:val="16"/>
              </w:rPr>
              <w:t>du tronc:</w:t>
            </w:r>
          </w:p>
          <w:p w14:paraId="6013E56B" w14:textId="77777777" w:rsidR="00BD290C" w:rsidRPr="00411510" w:rsidRDefault="00BD290C" w:rsidP="00525A4A">
            <w:pPr>
              <w:kinsoku w:val="0"/>
              <w:overflowPunct w:val="0"/>
              <w:spacing w:before="218" w:line="220" w:lineRule="exact"/>
              <w:ind w:left="360" w:right="288"/>
              <w:textAlignment w:val="baseline"/>
              <w:rPr>
                <w:rFonts w:ascii="Tahoma" w:hAnsi="Tahoma" w:cs="Tahoma"/>
                <w:b/>
                <w:bCs/>
                <w:color w:val="1B2321"/>
                <w:sz w:val="16"/>
                <w:szCs w:val="16"/>
              </w:rPr>
            </w:pPr>
            <w:r w:rsidRPr="00411510">
              <w:rPr>
                <w:rFonts w:ascii="Tahoma" w:hAnsi="Tahoma" w:cs="Tahoma"/>
                <w:b/>
                <w:bCs/>
                <w:color w:val="1B2321"/>
                <w:sz w:val="16"/>
                <w:szCs w:val="16"/>
              </w:rPr>
              <w:t>Ramassées au sol [ ] ou coupées sur la branche de l'arbre [ ]</w:t>
            </w:r>
          </w:p>
          <w:p w14:paraId="765529D0" w14:textId="77777777" w:rsidR="00BD290C" w:rsidRPr="00411510" w:rsidRDefault="00BD290C" w:rsidP="00525A4A">
            <w:pPr>
              <w:tabs>
                <w:tab w:val="left" w:pos="3240"/>
              </w:tabs>
              <w:kinsoku w:val="0"/>
              <w:overflowPunct w:val="0"/>
              <w:spacing w:before="188" w:line="229" w:lineRule="exact"/>
              <w:ind w:left="360"/>
              <w:textAlignment w:val="baseline"/>
              <w:rPr>
                <w:rFonts w:ascii="Tahoma" w:hAnsi="Tahoma" w:cs="Tahoma"/>
                <w:b/>
                <w:bCs/>
                <w:color w:val="1B2321"/>
                <w:sz w:val="16"/>
                <w:szCs w:val="16"/>
              </w:rPr>
            </w:pPr>
            <w:r w:rsidRPr="00411510">
              <w:rPr>
                <w:rFonts w:ascii="Tahoma" w:hAnsi="Tahoma" w:cs="Tahoma"/>
                <w:b/>
                <w:bCs/>
                <w:color w:val="1B2321"/>
                <w:sz w:val="16"/>
                <w:szCs w:val="16"/>
              </w:rPr>
              <w:t>Localisation:</w:t>
            </w:r>
            <w:r w:rsidRPr="00411510">
              <w:rPr>
                <w:rFonts w:ascii="Tahoma" w:hAnsi="Tahoma" w:cs="Tahoma"/>
                <w:b/>
                <w:bCs/>
                <w:color w:val="1B2321"/>
                <w:sz w:val="16"/>
                <w:szCs w:val="16"/>
              </w:rPr>
              <w:tab/>
              <w:t>Altitude:</w:t>
            </w:r>
          </w:p>
          <w:p w14:paraId="3C31F8A3" w14:textId="77777777" w:rsidR="00BD290C" w:rsidRPr="00411510" w:rsidRDefault="00BD290C" w:rsidP="00525A4A">
            <w:pPr>
              <w:kinsoku w:val="0"/>
              <w:overflowPunct w:val="0"/>
              <w:spacing w:before="193" w:line="232" w:lineRule="exact"/>
              <w:ind w:left="360"/>
              <w:textAlignment w:val="baseline"/>
              <w:rPr>
                <w:rFonts w:ascii="Tahoma" w:hAnsi="Tahoma" w:cs="Tahoma"/>
                <w:b/>
                <w:bCs/>
                <w:color w:val="1B2321"/>
                <w:spacing w:val="2"/>
                <w:sz w:val="16"/>
                <w:szCs w:val="16"/>
              </w:rPr>
            </w:pPr>
            <w:r w:rsidRPr="00411510">
              <w:rPr>
                <w:rFonts w:ascii="Tahoma" w:hAnsi="Tahoma" w:cs="Tahoma"/>
                <w:b/>
                <w:bCs/>
                <w:color w:val="1B2321"/>
                <w:spacing w:val="2"/>
                <w:sz w:val="16"/>
                <w:szCs w:val="16"/>
              </w:rPr>
              <w:t>Le type de forêt:</w:t>
            </w:r>
          </w:p>
          <w:p w14:paraId="641C6A97" w14:textId="77777777" w:rsidR="00BD290C" w:rsidRPr="00411510" w:rsidRDefault="00BD290C" w:rsidP="00525A4A">
            <w:pPr>
              <w:kinsoku w:val="0"/>
              <w:overflowPunct w:val="0"/>
              <w:spacing w:line="419" w:lineRule="exact"/>
              <w:ind w:left="360" w:right="648"/>
              <w:textAlignment w:val="baseline"/>
              <w:rPr>
                <w:rFonts w:ascii="Tahoma" w:hAnsi="Tahoma" w:cs="Tahoma"/>
                <w:b/>
                <w:bCs/>
                <w:color w:val="1B2321"/>
                <w:sz w:val="16"/>
                <w:szCs w:val="16"/>
              </w:rPr>
            </w:pPr>
            <w:r w:rsidRPr="00411510">
              <w:rPr>
                <w:rFonts w:ascii="Tahoma" w:hAnsi="Tahoma" w:cs="Tahoma"/>
                <w:b/>
                <w:bCs/>
                <w:color w:val="1B2321"/>
                <w:sz w:val="16"/>
                <w:szCs w:val="16"/>
              </w:rPr>
              <w:t>Nombre approximatif de semences collectées: Détails concernant le stockage /transport:</w:t>
            </w:r>
          </w:p>
          <w:p w14:paraId="313219D8" w14:textId="77777777" w:rsidR="00BD290C" w:rsidRPr="00411510" w:rsidRDefault="00BD290C" w:rsidP="00525A4A">
            <w:pPr>
              <w:tabs>
                <w:tab w:val="left" w:pos="3240"/>
              </w:tabs>
              <w:kinsoku w:val="0"/>
              <w:overflowPunct w:val="0"/>
              <w:spacing w:before="11" w:after="288" w:line="409" w:lineRule="exact"/>
              <w:ind w:left="360" w:right="288"/>
              <w:textAlignment w:val="baseline"/>
              <w:rPr>
                <w:rFonts w:ascii="Tahoma" w:hAnsi="Tahoma" w:cs="Tahoma"/>
                <w:b/>
                <w:bCs/>
                <w:color w:val="1B2321"/>
                <w:sz w:val="16"/>
                <w:szCs w:val="16"/>
              </w:rPr>
            </w:pPr>
            <w:r w:rsidRPr="00411510">
              <w:rPr>
                <w:rFonts w:ascii="Tahoma" w:hAnsi="Tahoma" w:cs="Tahoma"/>
                <w:b/>
                <w:bCs/>
                <w:color w:val="1B2321"/>
                <w:sz w:val="16"/>
                <w:szCs w:val="16"/>
              </w:rPr>
              <w:t>Traitement de pré-semis:</w:t>
            </w:r>
            <w:r w:rsidRPr="00411510">
              <w:rPr>
                <w:rFonts w:ascii="Tahoma" w:hAnsi="Tahoma" w:cs="Tahoma"/>
                <w:b/>
                <w:bCs/>
                <w:color w:val="1B2321"/>
                <w:sz w:val="16"/>
                <w:szCs w:val="16"/>
              </w:rPr>
              <w:tab/>
              <w:t>Date de semis:</w:t>
            </w:r>
            <w:r w:rsidRPr="00411510">
              <w:rPr>
                <w:rFonts w:ascii="Tahoma" w:hAnsi="Tahoma" w:cs="Tahoma"/>
                <w:b/>
                <w:bCs/>
                <w:color w:val="1B2321"/>
                <w:sz w:val="16"/>
                <w:szCs w:val="16"/>
              </w:rPr>
              <w:br/>
              <w:t>Prélèvement de l'échantillon de feuilles et fruits [ ] Notes pour l'étiquette de l'herbier:</w:t>
            </w:r>
          </w:p>
        </w:tc>
      </w:tr>
    </w:tbl>
    <w:p w14:paraId="4A318C4D" w14:textId="77777777" w:rsidR="00BD290C" w:rsidRDefault="00BD290C" w:rsidP="00BD290C">
      <w:pPr>
        <w:pStyle w:val="NormalWeb"/>
        <w:spacing w:before="0" w:beforeAutospacing="0" w:after="0" w:afterAutospacing="0"/>
        <w:jc w:val="center"/>
        <w:rPr>
          <w:rFonts w:ascii="Calibri" w:hAnsi="Calibri" w:cs="Arial"/>
          <w:sz w:val="22"/>
          <w:szCs w:val="22"/>
        </w:rPr>
      </w:pPr>
      <w:r>
        <w:rPr>
          <w:rFonts w:ascii="Calibri" w:hAnsi="Calibri" w:cs="Arial"/>
          <w:sz w:val="22"/>
          <w:szCs w:val="22"/>
        </w:rPr>
        <w:t xml:space="preserve">Fiche descriptive de la semence collectée. </w:t>
      </w:r>
    </w:p>
    <w:p w14:paraId="71704619" w14:textId="656B15E0" w:rsidR="00BD290C" w:rsidRDefault="00BD290C" w:rsidP="00BD290C">
      <w:pPr>
        <w:pStyle w:val="NormalWeb"/>
        <w:spacing w:before="0" w:beforeAutospacing="0" w:after="0" w:afterAutospacing="0"/>
        <w:jc w:val="center"/>
        <w:rPr>
          <w:rFonts w:ascii="Calibri" w:hAnsi="Calibri"/>
          <w:bCs/>
          <w:sz w:val="22"/>
          <w:szCs w:val="22"/>
        </w:rPr>
      </w:pPr>
      <w:r w:rsidRPr="00ED57EE">
        <w:rPr>
          <w:rFonts w:ascii="Calibri" w:hAnsi="Calibri" w:cs="Arial"/>
          <w:sz w:val="22"/>
          <w:szCs w:val="22"/>
        </w:rPr>
        <w:t xml:space="preserve">Source : </w:t>
      </w:r>
      <w:r w:rsidRPr="00ED57EE">
        <w:rPr>
          <w:rFonts w:ascii="Calibri" w:hAnsi="Calibri"/>
          <w:bCs/>
          <w:sz w:val="22"/>
          <w:szCs w:val="22"/>
        </w:rPr>
        <w:t>livre "</w:t>
      </w:r>
      <w:r w:rsidRPr="00ED57EE">
        <w:rPr>
          <w:rFonts w:ascii="Calibri" w:hAnsi="Calibri"/>
          <w:b/>
          <w:bCs/>
          <w:sz w:val="22"/>
          <w:szCs w:val="22"/>
        </w:rPr>
        <w:t>restauration des forêts tropicales</w:t>
      </w:r>
      <w:r w:rsidRPr="00ED57EE">
        <w:rPr>
          <w:rFonts w:ascii="Calibri" w:hAnsi="Calibri"/>
          <w:bCs/>
          <w:sz w:val="22"/>
          <w:szCs w:val="22"/>
        </w:rPr>
        <w:t>"</w:t>
      </w:r>
      <w:r>
        <w:rPr>
          <w:rFonts w:ascii="Calibri" w:hAnsi="Calibri"/>
          <w:bCs/>
          <w:sz w:val="22"/>
          <w:szCs w:val="22"/>
        </w:rPr>
        <w:t>, Stephen Elliott &amp;</w:t>
      </w:r>
      <w:r w:rsidRPr="00ED57EE">
        <w:rPr>
          <w:rFonts w:ascii="Calibri" w:hAnsi="Calibri"/>
          <w:bCs/>
          <w:sz w:val="22"/>
          <w:szCs w:val="22"/>
        </w:rPr>
        <w:t xml:space="preserve"> al., Kew Book</w:t>
      </w:r>
      <w:r>
        <w:rPr>
          <w:rFonts w:ascii="Calibri" w:hAnsi="Calibri"/>
          <w:bCs/>
          <w:sz w:val="22"/>
          <w:szCs w:val="22"/>
        </w:rPr>
        <w:t xml:space="preserve">, 2013, </w:t>
      </w:r>
      <w:r w:rsidRPr="00ED57EE">
        <w:rPr>
          <w:rFonts w:ascii="Calibri" w:hAnsi="Calibri"/>
          <w:bCs/>
          <w:sz w:val="22"/>
          <w:szCs w:val="22"/>
        </w:rPr>
        <w:t>page 158.</w:t>
      </w:r>
    </w:p>
    <w:p w14:paraId="6B8C8C5A" w14:textId="77777777" w:rsidR="00D06F2D" w:rsidRDefault="00D06F2D" w:rsidP="00D06F2D">
      <w:pPr>
        <w:pStyle w:val="NormalWeb"/>
        <w:spacing w:before="0" w:beforeAutospacing="0" w:after="0" w:afterAutospacing="0"/>
        <w:rPr>
          <w:rFonts w:ascii="Calibri" w:hAnsi="Calibri"/>
          <w:bCs/>
          <w:sz w:val="22"/>
          <w:szCs w:val="22"/>
        </w:rPr>
      </w:pPr>
    </w:p>
    <w:p w14:paraId="09F14199" w14:textId="77777777" w:rsidR="00D06F2D" w:rsidRDefault="00D06F2D" w:rsidP="00D06F2D">
      <w:pPr>
        <w:pStyle w:val="NormalWeb"/>
        <w:spacing w:before="0" w:beforeAutospacing="0" w:after="0" w:afterAutospacing="0"/>
        <w:jc w:val="center"/>
        <w:rPr>
          <w:rFonts w:ascii="Calibri" w:hAnsi="Calibri" w:cs="Arial"/>
          <w:sz w:val="22"/>
          <w:szCs w:val="22"/>
        </w:rPr>
      </w:pPr>
      <w:r>
        <w:rPr>
          <w:noProof/>
        </w:rPr>
        <w:drawing>
          <wp:inline distT="0" distB="0" distL="0" distR="0" wp14:anchorId="2D048377" wp14:editId="21343909">
            <wp:extent cx="2667000" cy="1493520"/>
            <wp:effectExtent l="0" t="0" r="0" b="0"/>
            <wp:docPr id="146437" name="Image 146437" descr="Une image contenant texte, intérieur, personne, fenêt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37" name="Image 146437" descr="Une image contenant texte, intérieur, personne, fenêtre&#10;&#10;Description générée automatiquement"/>
                    <pic:cNvPicPr>
                      <a:picLocks noChangeAspect="1" noChangeArrowheads="1"/>
                    </pic:cNvPicPr>
                  </pic:nvPicPr>
                  <pic:blipFill>
                    <a:blip r:embed="rId3508">
                      <a:extLst>
                        <a:ext uri="{28A0092B-C50C-407E-A947-70E740481C1C}">
                          <a14:useLocalDpi xmlns:a14="http://schemas.microsoft.com/office/drawing/2010/main" val="0"/>
                        </a:ext>
                      </a:extLst>
                    </a:blip>
                    <a:srcRect/>
                    <a:stretch>
                      <a:fillRect/>
                    </a:stretch>
                  </pic:blipFill>
                  <pic:spPr bwMode="auto">
                    <a:xfrm>
                      <a:off x="0" y="0"/>
                      <a:ext cx="2668317" cy="1494258"/>
                    </a:xfrm>
                    <a:prstGeom prst="rect">
                      <a:avLst/>
                    </a:prstGeom>
                    <a:noFill/>
                    <a:ln>
                      <a:noFill/>
                    </a:ln>
                  </pic:spPr>
                </pic:pic>
              </a:graphicData>
            </a:graphic>
          </wp:inline>
        </w:drawing>
      </w:r>
    </w:p>
    <w:p w14:paraId="076E4973" w14:textId="77777777" w:rsidR="00D06F2D" w:rsidRDefault="00D06F2D" w:rsidP="00D06F2D">
      <w:pPr>
        <w:pStyle w:val="NormalWeb"/>
        <w:spacing w:before="0" w:beforeAutospacing="0" w:after="0" w:afterAutospacing="0"/>
        <w:jc w:val="center"/>
        <w:rPr>
          <w:rFonts w:ascii="Calibri" w:hAnsi="Calibri" w:cs="Arial"/>
          <w:sz w:val="22"/>
          <w:szCs w:val="22"/>
        </w:rPr>
      </w:pPr>
      <w:r w:rsidRPr="00396088">
        <w:rPr>
          <w:rFonts w:ascii="Calibri" w:hAnsi="Calibri" w:cs="Arial"/>
          <w:sz w:val="22"/>
          <w:szCs w:val="22"/>
        </w:rPr>
        <w:t>Vandana Shiva, militante écologiste indienne, dans une des banques de graines</w:t>
      </w:r>
      <w:r>
        <w:rPr>
          <w:rFonts w:ascii="Calibri" w:hAnsi="Calibri" w:cs="Arial"/>
          <w:sz w:val="22"/>
          <w:szCs w:val="22"/>
        </w:rPr>
        <w:t>, destinées à préserver la biodiversité des semences (traditionnelles, « paysannes ») des plantes alimentaires</w:t>
      </w:r>
      <w:r w:rsidRPr="00396088">
        <w:rPr>
          <w:rFonts w:ascii="Calibri" w:hAnsi="Calibri" w:cs="Arial"/>
          <w:sz w:val="22"/>
          <w:szCs w:val="22"/>
        </w:rPr>
        <w:t>, qu'elle a contribué</w:t>
      </w:r>
      <w:r>
        <w:rPr>
          <w:rFonts w:ascii="Calibri" w:hAnsi="Calibri" w:cs="Arial"/>
          <w:sz w:val="22"/>
          <w:szCs w:val="22"/>
        </w:rPr>
        <w:t>es</w:t>
      </w:r>
      <w:r w:rsidRPr="00396088">
        <w:rPr>
          <w:rFonts w:ascii="Calibri" w:hAnsi="Calibri" w:cs="Arial"/>
          <w:sz w:val="22"/>
          <w:szCs w:val="22"/>
        </w:rPr>
        <w:t xml:space="preserve"> à créer en Inde.</w:t>
      </w:r>
    </w:p>
    <w:p w14:paraId="092FD6BD" w14:textId="77777777" w:rsidR="00F762EF" w:rsidRDefault="00F762EF" w:rsidP="00CD71D9">
      <w:pPr>
        <w:spacing w:after="0" w:line="240" w:lineRule="auto"/>
        <w:jc w:val="both"/>
      </w:pPr>
    </w:p>
    <w:tbl>
      <w:tblPr>
        <w:tblW w:w="0" w:type="auto"/>
        <w:jc w:val="center"/>
        <w:tblCellMar>
          <w:left w:w="0" w:type="dxa"/>
          <w:right w:w="0" w:type="dxa"/>
        </w:tblCellMar>
        <w:tblLook w:val="0000" w:firstRow="0" w:lastRow="0" w:firstColumn="0" w:lastColumn="0" w:noHBand="0" w:noVBand="0"/>
      </w:tblPr>
      <w:tblGrid>
        <w:gridCol w:w="2733"/>
        <w:gridCol w:w="1317"/>
        <w:gridCol w:w="2657"/>
      </w:tblGrid>
      <w:tr w:rsidR="00396088" w:rsidRPr="00153893" w14:paraId="6C744BB7" w14:textId="77777777" w:rsidTr="00525A4A">
        <w:trPr>
          <w:trHeight w:hRule="exact" w:val="312"/>
          <w:jc w:val="center"/>
        </w:trPr>
        <w:tc>
          <w:tcPr>
            <w:tcW w:w="0" w:type="auto"/>
            <w:tcBorders>
              <w:top w:val="single" w:sz="5" w:space="0" w:color="auto"/>
              <w:left w:val="single" w:sz="5" w:space="0" w:color="auto"/>
              <w:bottom w:val="single" w:sz="5" w:space="0" w:color="auto"/>
              <w:right w:val="single" w:sz="5" w:space="0" w:color="auto"/>
            </w:tcBorders>
          </w:tcPr>
          <w:p w14:paraId="758331C5" w14:textId="77777777" w:rsidR="00396088" w:rsidRPr="00153893" w:rsidRDefault="00396088" w:rsidP="00525A4A">
            <w:pPr>
              <w:kinsoku w:val="0"/>
              <w:overflowPunct w:val="0"/>
              <w:spacing w:after="0" w:line="240" w:lineRule="auto"/>
              <w:textAlignment w:val="baseline"/>
              <w:rPr>
                <w:rFonts w:cs="Verdana"/>
                <w:spacing w:val="-4"/>
                <w:sz w:val="20"/>
                <w:szCs w:val="20"/>
              </w:rPr>
            </w:pPr>
            <w:r w:rsidRPr="00153893">
              <w:rPr>
                <w:rFonts w:cs="Verdana"/>
                <w:spacing w:val="-4"/>
                <w:sz w:val="20"/>
                <w:szCs w:val="20"/>
              </w:rPr>
              <w:t>Date de collecte de semences:</w:t>
            </w:r>
          </w:p>
        </w:tc>
        <w:tc>
          <w:tcPr>
            <w:tcW w:w="0" w:type="auto"/>
            <w:tcBorders>
              <w:top w:val="single" w:sz="5" w:space="0" w:color="auto"/>
              <w:left w:val="single" w:sz="5" w:space="0" w:color="auto"/>
              <w:bottom w:val="single" w:sz="5" w:space="0" w:color="auto"/>
              <w:right w:val="single" w:sz="5" w:space="0" w:color="auto"/>
            </w:tcBorders>
          </w:tcPr>
          <w:p w14:paraId="45195B63" w14:textId="77777777" w:rsidR="00396088" w:rsidRPr="00153893" w:rsidRDefault="00396088" w:rsidP="00525A4A">
            <w:pPr>
              <w:kinsoku w:val="0"/>
              <w:overflowPunct w:val="0"/>
              <w:spacing w:after="0" w:line="240" w:lineRule="auto"/>
              <w:textAlignment w:val="baseline"/>
              <w:rPr>
                <w:rFonts w:cs="Verdana"/>
                <w:spacing w:val="-8"/>
                <w:sz w:val="20"/>
                <w:szCs w:val="20"/>
              </w:rPr>
            </w:pPr>
            <w:r>
              <w:rPr>
                <w:rFonts w:cs="Verdana"/>
                <w:spacing w:val="-8"/>
                <w:sz w:val="20"/>
                <w:szCs w:val="20"/>
              </w:rPr>
              <w:t>No de l’espè</w:t>
            </w:r>
            <w:r w:rsidRPr="00153893">
              <w:rPr>
                <w:rFonts w:cs="Verdana"/>
                <w:spacing w:val="-8"/>
                <w:sz w:val="20"/>
                <w:szCs w:val="20"/>
              </w:rPr>
              <w:t>ce:</w:t>
            </w:r>
          </w:p>
        </w:tc>
        <w:tc>
          <w:tcPr>
            <w:tcW w:w="0" w:type="auto"/>
            <w:tcBorders>
              <w:top w:val="single" w:sz="5" w:space="0" w:color="auto"/>
              <w:left w:val="single" w:sz="5" w:space="0" w:color="auto"/>
              <w:bottom w:val="single" w:sz="5" w:space="0" w:color="auto"/>
              <w:right w:val="single" w:sz="5" w:space="0" w:color="auto"/>
            </w:tcBorders>
          </w:tcPr>
          <w:p w14:paraId="78D3B283" w14:textId="77777777" w:rsidR="00396088" w:rsidRPr="00153893" w:rsidRDefault="00396088" w:rsidP="00525A4A">
            <w:pPr>
              <w:kinsoku w:val="0"/>
              <w:overflowPunct w:val="0"/>
              <w:spacing w:after="0" w:line="240" w:lineRule="auto"/>
              <w:textAlignment w:val="baseline"/>
              <w:rPr>
                <w:rFonts w:cs="Verdana"/>
                <w:sz w:val="20"/>
                <w:szCs w:val="20"/>
              </w:rPr>
            </w:pPr>
            <w:r w:rsidRPr="00153893">
              <w:rPr>
                <w:rFonts w:cs="Verdana"/>
                <w:sz w:val="20"/>
                <w:szCs w:val="20"/>
              </w:rPr>
              <w:t>No du lot</w:t>
            </w:r>
          </w:p>
        </w:tc>
      </w:tr>
      <w:tr w:rsidR="00396088" w:rsidRPr="00153893" w14:paraId="253DB204" w14:textId="77777777" w:rsidTr="00525A4A">
        <w:trPr>
          <w:cantSplit/>
          <w:trHeight w:hRule="exact" w:val="398"/>
          <w:jc w:val="center"/>
        </w:trPr>
        <w:tc>
          <w:tcPr>
            <w:tcW w:w="0" w:type="auto"/>
            <w:gridSpan w:val="2"/>
            <w:tcBorders>
              <w:top w:val="single" w:sz="5" w:space="0" w:color="auto"/>
              <w:left w:val="single" w:sz="5" w:space="0" w:color="auto"/>
              <w:bottom w:val="single" w:sz="5" w:space="0" w:color="auto"/>
              <w:right w:val="single" w:sz="5" w:space="0" w:color="auto"/>
            </w:tcBorders>
          </w:tcPr>
          <w:p w14:paraId="44899CB2" w14:textId="77777777" w:rsidR="00396088" w:rsidRPr="00153893" w:rsidRDefault="00396088" w:rsidP="00525A4A">
            <w:pPr>
              <w:kinsoku w:val="0"/>
              <w:overflowPunct w:val="0"/>
              <w:spacing w:after="0" w:line="240" w:lineRule="auto"/>
              <w:textAlignment w:val="baseline"/>
              <w:rPr>
                <w:rFonts w:cs="Verdana"/>
                <w:spacing w:val="-4"/>
                <w:sz w:val="20"/>
                <w:szCs w:val="20"/>
              </w:rPr>
            </w:pPr>
            <w:r w:rsidRPr="00153893">
              <w:rPr>
                <w:rFonts w:cs="Verdana"/>
                <w:spacing w:val="-4"/>
                <w:sz w:val="20"/>
                <w:szCs w:val="20"/>
              </w:rPr>
              <w:t>Famille:</w:t>
            </w:r>
          </w:p>
        </w:tc>
        <w:tc>
          <w:tcPr>
            <w:tcW w:w="0" w:type="auto"/>
            <w:vMerge w:val="restart"/>
            <w:tcBorders>
              <w:top w:val="single" w:sz="5" w:space="0" w:color="auto"/>
              <w:left w:val="single" w:sz="5" w:space="0" w:color="auto"/>
              <w:bottom w:val="nil"/>
              <w:right w:val="single" w:sz="5" w:space="0" w:color="auto"/>
            </w:tcBorders>
          </w:tcPr>
          <w:p w14:paraId="6E4D442F" w14:textId="77777777" w:rsidR="00396088" w:rsidRPr="00153893" w:rsidRDefault="00396088" w:rsidP="00525A4A">
            <w:pPr>
              <w:kinsoku w:val="0"/>
              <w:overflowPunct w:val="0"/>
              <w:spacing w:after="0" w:line="240" w:lineRule="auto"/>
              <w:textAlignment w:val="baseline"/>
              <w:rPr>
                <w:rFonts w:cs="Verdana"/>
                <w:spacing w:val="-4"/>
                <w:sz w:val="20"/>
                <w:szCs w:val="20"/>
              </w:rPr>
            </w:pPr>
            <w:r w:rsidRPr="00153893">
              <w:rPr>
                <w:rFonts w:cs="Verdana"/>
                <w:spacing w:val="-4"/>
                <w:sz w:val="20"/>
                <w:szCs w:val="20"/>
              </w:rPr>
              <w:t>Nom commun:</w:t>
            </w:r>
          </w:p>
        </w:tc>
      </w:tr>
      <w:tr w:rsidR="00396088" w:rsidRPr="00153893" w14:paraId="5E1FCFE1" w14:textId="77777777" w:rsidTr="00525A4A">
        <w:trPr>
          <w:cantSplit/>
          <w:trHeight w:hRule="exact" w:val="330"/>
          <w:jc w:val="center"/>
        </w:trPr>
        <w:tc>
          <w:tcPr>
            <w:tcW w:w="0" w:type="auto"/>
            <w:gridSpan w:val="2"/>
            <w:tcBorders>
              <w:top w:val="single" w:sz="5" w:space="0" w:color="auto"/>
              <w:left w:val="single" w:sz="5" w:space="0" w:color="auto"/>
              <w:bottom w:val="single" w:sz="5" w:space="0" w:color="auto"/>
              <w:right w:val="single" w:sz="5" w:space="0" w:color="auto"/>
            </w:tcBorders>
          </w:tcPr>
          <w:p w14:paraId="4AE30F81" w14:textId="77777777" w:rsidR="00396088" w:rsidRPr="00153893" w:rsidRDefault="00396088" w:rsidP="00525A4A">
            <w:pPr>
              <w:kinsoku w:val="0"/>
              <w:overflowPunct w:val="0"/>
              <w:spacing w:after="0" w:line="240" w:lineRule="auto"/>
              <w:textAlignment w:val="baseline"/>
              <w:rPr>
                <w:rFonts w:cs="Verdana"/>
                <w:spacing w:val="-3"/>
                <w:sz w:val="20"/>
                <w:szCs w:val="20"/>
              </w:rPr>
            </w:pPr>
            <w:r w:rsidRPr="00153893">
              <w:rPr>
                <w:rFonts w:cs="Verdana"/>
                <w:spacing w:val="-3"/>
                <w:sz w:val="20"/>
                <w:szCs w:val="20"/>
              </w:rPr>
              <w:t>Nom botanique:</w:t>
            </w:r>
          </w:p>
        </w:tc>
        <w:tc>
          <w:tcPr>
            <w:tcW w:w="0" w:type="auto"/>
            <w:vMerge/>
            <w:tcBorders>
              <w:top w:val="nil"/>
              <w:left w:val="single" w:sz="5" w:space="0" w:color="auto"/>
              <w:bottom w:val="single" w:sz="5" w:space="0" w:color="auto"/>
              <w:right w:val="single" w:sz="5" w:space="0" w:color="auto"/>
            </w:tcBorders>
          </w:tcPr>
          <w:p w14:paraId="03D6AFB8" w14:textId="77777777" w:rsidR="00396088" w:rsidRPr="00153893" w:rsidRDefault="00396088" w:rsidP="00525A4A">
            <w:pPr>
              <w:kinsoku w:val="0"/>
              <w:overflowPunct w:val="0"/>
              <w:spacing w:after="0" w:line="240" w:lineRule="auto"/>
              <w:textAlignment w:val="baseline"/>
              <w:rPr>
                <w:rFonts w:cs="Verdana"/>
                <w:spacing w:val="-3"/>
                <w:sz w:val="20"/>
                <w:szCs w:val="20"/>
              </w:rPr>
            </w:pPr>
          </w:p>
        </w:tc>
      </w:tr>
      <w:tr w:rsidR="00396088" w:rsidRPr="00153893" w14:paraId="37CD9A09" w14:textId="77777777" w:rsidTr="00525A4A">
        <w:trPr>
          <w:trHeight w:hRule="exact" w:val="303"/>
          <w:jc w:val="center"/>
        </w:trPr>
        <w:tc>
          <w:tcPr>
            <w:tcW w:w="0" w:type="auto"/>
            <w:gridSpan w:val="3"/>
            <w:tcBorders>
              <w:top w:val="single" w:sz="5" w:space="0" w:color="auto"/>
              <w:left w:val="single" w:sz="5" w:space="0" w:color="auto"/>
              <w:bottom w:val="single" w:sz="5" w:space="0" w:color="auto"/>
              <w:right w:val="single" w:sz="5" w:space="0" w:color="auto"/>
            </w:tcBorders>
          </w:tcPr>
          <w:p w14:paraId="0576C0C3" w14:textId="77777777" w:rsidR="00396088" w:rsidRPr="00153893" w:rsidRDefault="00396088" w:rsidP="00525A4A">
            <w:pPr>
              <w:kinsoku w:val="0"/>
              <w:overflowPunct w:val="0"/>
              <w:spacing w:after="0" w:line="240" w:lineRule="auto"/>
              <w:textAlignment w:val="baseline"/>
              <w:rPr>
                <w:rFonts w:cs="Verdana"/>
                <w:spacing w:val="-3"/>
                <w:sz w:val="20"/>
                <w:szCs w:val="20"/>
              </w:rPr>
            </w:pPr>
            <w:r w:rsidRPr="00153893">
              <w:rPr>
                <w:rFonts w:cs="Verdana"/>
                <w:spacing w:val="-3"/>
                <w:sz w:val="20"/>
                <w:szCs w:val="20"/>
              </w:rPr>
              <w:t>Localisation:</w:t>
            </w:r>
          </w:p>
        </w:tc>
      </w:tr>
      <w:tr w:rsidR="00396088" w:rsidRPr="00153893" w14:paraId="08DAB827" w14:textId="77777777" w:rsidTr="00525A4A">
        <w:trPr>
          <w:trHeight w:hRule="exact" w:val="342"/>
          <w:jc w:val="center"/>
        </w:trPr>
        <w:tc>
          <w:tcPr>
            <w:tcW w:w="0" w:type="auto"/>
            <w:gridSpan w:val="3"/>
            <w:tcBorders>
              <w:top w:val="single" w:sz="5" w:space="0" w:color="auto"/>
              <w:left w:val="single" w:sz="5" w:space="0" w:color="auto"/>
              <w:bottom w:val="single" w:sz="5" w:space="0" w:color="auto"/>
              <w:right w:val="single" w:sz="5" w:space="0" w:color="auto"/>
            </w:tcBorders>
          </w:tcPr>
          <w:p w14:paraId="659B10A7" w14:textId="77777777" w:rsidR="00396088" w:rsidRPr="00153893" w:rsidRDefault="00396088" w:rsidP="00525A4A">
            <w:pPr>
              <w:tabs>
                <w:tab w:val="left" w:pos="3384"/>
              </w:tabs>
              <w:kinsoku w:val="0"/>
              <w:overflowPunct w:val="0"/>
              <w:spacing w:after="0" w:line="240" w:lineRule="auto"/>
              <w:textAlignment w:val="baseline"/>
              <w:rPr>
                <w:rFonts w:cs="Verdana"/>
                <w:spacing w:val="-1"/>
                <w:sz w:val="20"/>
                <w:szCs w:val="20"/>
              </w:rPr>
            </w:pPr>
            <w:r w:rsidRPr="00153893">
              <w:rPr>
                <w:rFonts w:cs="Verdana"/>
                <w:spacing w:val="-1"/>
                <w:sz w:val="20"/>
                <w:szCs w:val="20"/>
              </w:rPr>
              <w:t>Coordonn</w:t>
            </w:r>
            <w:r>
              <w:rPr>
                <w:rFonts w:cs="Verdana"/>
                <w:spacing w:val="-1"/>
                <w:sz w:val="20"/>
                <w:szCs w:val="20"/>
              </w:rPr>
              <w:t>é</w:t>
            </w:r>
            <w:r w:rsidRPr="00153893">
              <w:rPr>
                <w:rFonts w:cs="Verdana"/>
                <w:spacing w:val="-1"/>
                <w:sz w:val="20"/>
                <w:szCs w:val="20"/>
              </w:rPr>
              <w:t>es du GPS:</w:t>
            </w:r>
            <w:r w:rsidRPr="00153893">
              <w:rPr>
                <w:rFonts w:cs="Verdana"/>
                <w:spacing w:val="-1"/>
                <w:sz w:val="20"/>
                <w:szCs w:val="20"/>
              </w:rPr>
              <w:tab/>
              <w:t>I Altitude:</w:t>
            </w:r>
          </w:p>
        </w:tc>
      </w:tr>
      <w:tr w:rsidR="00396088" w:rsidRPr="00153893" w14:paraId="68E54DCA" w14:textId="77777777" w:rsidTr="00525A4A">
        <w:trPr>
          <w:trHeight w:hRule="exact" w:val="283"/>
          <w:jc w:val="center"/>
        </w:trPr>
        <w:tc>
          <w:tcPr>
            <w:tcW w:w="0" w:type="auto"/>
            <w:gridSpan w:val="3"/>
            <w:tcBorders>
              <w:top w:val="single" w:sz="5" w:space="0" w:color="auto"/>
              <w:left w:val="single" w:sz="5" w:space="0" w:color="auto"/>
              <w:bottom w:val="single" w:sz="5" w:space="0" w:color="auto"/>
              <w:right w:val="single" w:sz="5" w:space="0" w:color="auto"/>
            </w:tcBorders>
          </w:tcPr>
          <w:p w14:paraId="49D76FB5" w14:textId="77777777" w:rsidR="00396088" w:rsidRPr="00153893" w:rsidRDefault="00396088" w:rsidP="00525A4A">
            <w:pPr>
              <w:kinsoku w:val="0"/>
              <w:overflowPunct w:val="0"/>
              <w:spacing w:after="0" w:line="240" w:lineRule="auto"/>
              <w:textAlignment w:val="baseline"/>
              <w:rPr>
                <w:rFonts w:cs="Verdana"/>
                <w:spacing w:val="-2"/>
                <w:sz w:val="20"/>
                <w:szCs w:val="20"/>
              </w:rPr>
            </w:pPr>
            <w:r w:rsidRPr="00153893">
              <w:rPr>
                <w:rFonts w:cs="Verdana"/>
                <w:spacing w:val="-2"/>
                <w:sz w:val="20"/>
                <w:szCs w:val="20"/>
              </w:rPr>
              <w:t>Type de forêt</w:t>
            </w:r>
          </w:p>
        </w:tc>
      </w:tr>
      <w:tr w:rsidR="00396088" w:rsidRPr="00153893" w14:paraId="7D388677" w14:textId="77777777" w:rsidTr="00525A4A">
        <w:trPr>
          <w:trHeight w:hRule="exact" w:val="394"/>
          <w:jc w:val="center"/>
        </w:trPr>
        <w:tc>
          <w:tcPr>
            <w:tcW w:w="0" w:type="auto"/>
            <w:gridSpan w:val="3"/>
            <w:tcBorders>
              <w:top w:val="single" w:sz="5" w:space="0" w:color="auto"/>
              <w:left w:val="single" w:sz="5" w:space="0" w:color="auto"/>
              <w:bottom w:val="single" w:sz="5" w:space="0" w:color="auto"/>
              <w:right w:val="single" w:sz="5" w:space="0" w:color="auto"/>
            </w:tcBorders>
          </w:tcPr>
          <w:p w14:paraId="3FE632D2" w14:textId="77777777" w:rsidR="00396088" w:rsidRPr="00153893" w:rsidRDefault="00396088" w:rsidP="00525A4A">
            <w:pPr>
              <w:tabs>
                <w:tab w:val="left" w:pos="1944"/>
                <w:tab w:val="left" w:pos="3456"/>
              </w:tabs>
              <w:kinsoku w:val="0"/>
              <w:overflowPunct w:val="0"/>
              <w:spacing w:after="0" w:line="240" w:lineRule="auto"/>
              <w:textAlignment w:val="baseline"/>
              <w:rPr>
                <w:rFonts w:cs="Verdana"/>
                <w:spacing w:val="-1"/>
                <w:sz w:val="20"/>
                <w:szCs w:val="20"/>
              </w:rPr>
            </w:pPr>
            <w:r w:rsidRPr="00153893">
              <w:rPr>
                <w:rFonts w:cs="Verdana"/>
                <w:spacing w:val="-1"/>
                <w:sz w:val="20"/>
                <w:szCs w:val="20"/>
              </w:rPr>
              <w:t>Collectées sur.</w:t>
            </w:r>
            <w:r w:rsidRPr="00153893">
              <w:rPr>
                <w:rFonts w:cs="Verdana"/>
                <w:spacing w:val="-1"/>
                <w:sz w:val="20"/>
                <w:szCs w:val="20"/>
              </w:rPr>
              <w:tab/>
              <w:t>Sur le sol [ ]</w:t>
            </w:r>
            <w:r w:rsidRPr="00153893">
              <w:rPr>
                <w:rFonts w:cs="Verdana"/>
                <w:spacing w:val="-1"/>
                <w:sz w:val="20"/>
                <w:szCs w:val="20"/>
              </w:rPr>
              <w:tab/>
              <w:t>Sur un arbre [ ]</w:t>
            </w:r>
          </w:p>
        </w:tc>
      </w:tr>
      <w:tr w:rsidR="00396088" w:rsidRPr="00153893" w14:paraId="7AA39688" w14:textId="77777777" w:rsidTr="00525A4A">
        <w:trPr>
          <w:trHeight w:hRule="exact" w:val="570"/>
          <w:jc w:val="center"/>
        </w:trPr>
        <w:tc>
          <w:tcPr>
            <w:tcW w:w="0" w:type="auto"/>
            <w:gridSpan w:val="2"/>
            <w:tcBorders>
              <w:top w:val="single" w:sz="5" w:space="0" w:color="auto"/>
              <w:left w:val="single" w:sz="5" w:space="0" w:color="auto"/>
              <w:bottom w:val="single" w:sz="5" w:space="0" w:color="auto"/>
              <w:right w:val="single" w:sz="5" w:space="0" w:color="auto"/>
            </w:tcBorders>
          </w:tcPr>
          <w:p w14:paraId="7C8B7DCF" w14:textId="77777777" w:rsidR="00396088" w:rsidRDefault="00396088" w:rsidP="00525A4A">
            <w:pPr>
              <w:tabs>
                <w:tab w:val="left" w:pos="1944"/>
              </w:tabs>
              <w:kinsoku w:val="0"/>
              <w:overflowPunct w:val="0"/>
              <w:spacing w:after="0" w:line="240" w:lineRule="auto"/>
              <w:textAlignment w:val="baseline"/>
              <w:rPr>
                <w:rFonts w:cs="Verdana"/>
                <w:spacing w:val="-2"/>
                <w:sz w:val="20"/>
                <w:szCs w:val="20"/>
              </w:rPr>
            </w:pPr>
            <w:r w:rsidRPr="00153893">
              <w:rPr>
                <w:rFonts w:cs="Verdana"/>
                <w:spacing w:val="-2"/>
                <w:sz w:val="20"/>
                <w:szCs w:val="20"/>
              </w:rPr>
              <w:t>N</w:t>
            </w:r>
            <w:r>
              <w:rPr>
                <w:rFonts w:cs="Verdana"/>
                <w:spacing w:val="-2"/>
                <w:sz w:val="20"/>
                <w:szCs w:val="20"/>
              </w:rPr>
              <w:t>o d'étiquette de l’arbre:</w:t>
            </w:r>
            <w:r>
              <w:rPr>
                <w:rFonts w:cs="Verdana"/>
                <w:spacing w:val="-2"/>
                <w:sz w:val="20"/>
                <w:szCs w:val="20"/>
              </w:rPr>
              <w:tab/>
            </w:r>
          </w:p>
          <w:p w14:paraId="0E6674B3" w14:textId="77777777" w:rsidR="00396088" w:rsidRPr="00153893" w:rsidRDefault="00396088" w:rsidP="00525A4A">
            <w:pPr>
              <w:tabs>
                <w:tab w:val="left" w:pos="1944"/>
              </w:tabs>
              <w:kinsoku w:val="0"/>
              <w:overflowPunct w:val="0"/>
              <w:spacing w:after="0" w:line="240" w:lineRule="auto"/>
              <w:textAlignment w:val="baseline"/>
              <w:rPr>
                <w:rFonts w:cs="Verdana"/>
                <w:spacing w:val="-2"/>
                <w:sz w:val="20"/>
                <w:szCs w:val="20"/>
              </w:rPr>
            </w:pPr>
            <w:r>
              <w:rPr>
                <w:rFonts w:cs="Verdana"/>
                <w:spacing w:val="-2"/>
                <w:sz w:val="20"/>
                <w:szCs w:val="20"/>
              </w:rPr>
              <w:t>Circonfé</w:t>
            </w:r>
            <w:r w:rsidRPr="00153893">
              <w:rPr>
                <w:rFonts w:cs="Verdana"/>
                <w:spacing w:val="-2"/>
                <w:sz w:val="20"/>
                <w:szCs w:val="20"/>
              </w:rPr>
              <w:t>rence du tronc</w:t>
            </w:r>
            <w:r>
              <w:rPr>
                <w:rFonts w:cs="Verdana"/>
                <w:spacing w:val="-2"/>
                <w:sz w:val="20"/>
                <w:szCs w:val="20"/>
              </w:rPr>
              <w:t>:</w:t>
            </w:r>
          </w:p>
          <w:p w14:paraId="0B97AC4E" w14:textId="77777777" w:rsidR="00396088" w:rsidRPr="00153893" w:rsidRDefault="00396088" w:rsidP="00525A4A">
            <w:pPr>
              <w:tabs>
                <w:tab w:val="right" w:pos="3312"/>
              </w:tabs>
              <w:kinsoku w:val="0"/>
              <w:overflowPunct w:val="0"/>
              <w:spacing w:after="0" w:line="240" w:lineRule="auto"/>
              <w:textAlignment w:val="baseline"/>
              <w:rPr>
                <w:rFonts w:cs="Bookman Old Style"/>
                <w:b/>
                <w:bCs/>
                <w:sz w:val="20"/>
                <w:szCs w:val="20"/>
              </w:rPr>
            </w:pPr>
            <w:r w:rsidRPr="00153893">
              <w:rPr>
                <w:rFonts w:cs="Verdana"/>
                <w:sz w:val="20"/>
                <w:szCs w:val="20"/>
              </w:rPr>
              <w:t>de l'arbre:</w:t>
            </w:r>
            <w:r w:rsidRPr="00153893">
              <w:rPr>
                <w:rFonts w:cs="Verdana"/>
                <w:sz w:val="20"/>
                <w:szCs w:val="20"/>
              </w:rPr>
              <w:tab/>
            </w:r>
            <w:r w:rsidRPr="00153893">
              <w:rPr>
                <w:rFonts w:cs="Bookman Old Style"/>
                <w:bCs/>
                <w:sz w:val="20"/>
                <w:szCs w:val="20"/>
              </w:rPr>
              <w:t>cm</w:t>
            </w:r>
          </w:p>
        </w:tc>
        <w:tc>
          <w:tcPr>
            <w:tcW w:w="0" w:type="auto"/>
            <w:tcBorders>
              <w:top w:val="single" w:sz="5" w:space="0" w:color="auto"/>
              <w:left w:val="single" w:sz="5" w:space="0" w:color="auto"/>
              <w:bottom w:val="single" w:sz="5" w:space="0" w:color="auto"/>
              <w:right w:val="single" w:sz="5" w:space="0" w:color="auto"/>
            </w:tcBorders>
          </w:tcPr>
          <w:p w14:paraId="54B9E56E" w14:textId="77777777" w:rsidR="00396088" w:rsidRPr="00153893" w:rsidRDefault="00396088" w:rsidP="00525A4A">
            <w:pPr>
              <w:tabs>
                <w:tab w:val="right" w:pos="1368"/>
              </w:tabs>
              <w:kinsoku w:val="0"/>
              <w:overflowPunct w:val="0"/>
              <w:spacing w:after="0" w:line="240" w:lineRule="auto"/>
              <w:textAlignment w:val="baseline"/>
              <w:rPr>
                <w:rFonts w:cs="Verdana"/>
                <w:sz w:val="20"/>
                <w:szCs w:val="20"/>
              </w:rPr>
            </w:pPr>
            <w:r>
              <w:rPr>
                <w:rFonts w:cs="Verdana"/>
                <w:sz w:val="20"/>
                <w:szCs w:val="20"/>
              </w:rPr>
              <w:t>Hauteur de l’</w:t>
            </w:r>
            <w:r w:rsidRPr="00153893">
              <w:rPr>
                <w:rFonts w:cs="Verdana"/>
                <w:sz w:val="20"/>
                <w:szCs w:val="20"/>
              </w:rPr>
              <w:t>arbre:</w:t>
            </w:r>
            <w:r w:rsidRPr="00153893">
              <w:rPr>
                <w:rFonts w:cs="Verdana"/>
                <w:sz w:val="20"/>
                <w:szCs w:val="20"/>
              </w:rPr>
              <w:tab/>
              <w:t>m</w:t>
            </w:r>
          </w:p>
        </w:tc>
      </w:tr>
      <w:tr w:rsidR="00396088" w:rsidRPr="00153893" w14:paraId="683FD042" w14:textId="77777777" w:rsidTr="00525A4A">
        <w:trPr>
          <w:trHeight w:hRule="exact" w:val="422"/>
          <w:jc w:val="center"/>
        </w:trPr>
        <w:tc>
          <w:tcPr>
            <w:tcW w:w="0" w:type="auto"/>
            <w:gridSpan w:val="2"/>
            <w:tcBorders>
              <w:top w:val="single" w:sz="5" w:space="0" w:color="auto"/>
              <w:left w:val="single" w:sz="5" w:space="0" w:color="auto"/>
              <w:bottom w:val="single" w:sz="5" w:space="0" w:color="auto"/>
              <w:right w:val="single" w:sz="5" w:space="0" w:color="auto"/>
            </w:tcBorders>
          </w:tcPr>
          <w:p w14:paraId="70D2DCFC" w14:textId="77777777" w:rsidR="00396088" w:rsidRPr="00153893" w:rsidRDefault="00396088" w:rsidP="00525A4A">
            <w:pPr>
              <w:kinsoku w:val="0"/>
              <w:overflowPunct w:val="0"/>
              <w:spacing w:after="0" w:line="240" w:lineRule="auto"/>
              <w:textAlignment w:val="baseline"/>
              <w:rPr>
                <w:rFonts w:cs="Verdana"/>
                <w:spacing w:val="-2"/>
                <w:sz w:val="20"/>
                <w:szCs w:val="20"/>
              </w:rPr>
            </w:pPr>
            <w:r w:rsidRPr="005936CD">
              <w:rPr>
                <w:rFonts w:cs="Verdana"/>
                <w:spacing w:val="-2"/>
                <w:sz w:val="20"/>
                <w:szCs w:val="20"/>
              </w:rPr>
              <w:t>Collecteur:</w:t>
            </w:r>
          </w:p>
        </w:tc>
        <w:tc>
          <w:tcPr>
            <w:tcW w:w="0" w:type="auto"/>
            <w:tcBorders>
              <w:top w:val="single" w:sz="5" w:space="0" w:color="auto"/>
              <w:left w:val="single" w:sz="5" w:space="0" w:color="auto"/>
              <w:bottom w:val="single" w:sz="5" w:space="0" w:color="auto"/>
              <w:right w:val="single" w:sz="5" w:space="0" w:color="auto"/>
            </w:tcBorders>
          </w:tcPr>
          <w:p w14:paraId="647499DE" w14:textId="77777777" w:rsidR="00396088" w:rsidRPr="00153893" w:rsidRDefault="00396088" w:rsidP="00525A4A">
            <w:pPr>
              <w:kinsoku w:val="0"/>
              <w:overflowPunct w:val="0"/>
              <w:spacing w:after="0" w:line="240" w:lineRule="auto"/>
              <w:textAlignment w:val="baseline"/>
              <w:rPr>
                <w:rFonts w:cs="Verdana"/>
                <w:spacing w:val="-3"/>
                <w:sz w:val="20"/>
                <w:szCs w:val="20"/>
              </w:rPr>
            </w:pPr>
            <w:r w:rsidRPr="00153893">
              <w:rPr>
                <w:rFonts w:cs="Verdana"/>
                <w:spacing w:val="-3"/>
                <w:sz w:val="20"/>
                <w:szCs w:val="20"/>
              </w:rPr>
              <w:t>Date d'ensemencement</w:t>
            </w:r>
          </w:p>
        </w:tc>
      </w:tr>
      <w:tr w:rsidR="00396088" w:rsidRPr="00153893" w14:paraId="7C3D9908" w14:textId="77777777" w:rsidTr="00525A4A">
        <w:trPr>
          <w:trHeight w:hRule="exact" w:val="283"/>
          <w:jc w:val="center"/>
        </w:trPr>
        <w:tc>
          <w:tcPr>
            <w:tcW w:w="0" w:type="auto"/>
            <w:gridSpan w:val="3"/>
            <w:tcBorders>
              <w:top w:val="single" w:sz="5" w:space="0" w:color="auto"/>
              <w:left w:val="single" w:sz="5" w:space="0" w:color="auto"/>
              <w:bottom w:val="single" w:sz="5" w:space="0" w:color="auto"/>
              <w:right w:val="single" w:sz="5" w:space="0" w:color="auto"/>
            </w:tcBorders>
          </w:tcPr>
          <w:p w14:paraId="7325626B" w14:textId="77777777" w:rsidR="00396088" w:rsidRPr="00153893" w:rsidRDefault="00396088" w:rsidP="00525A4A">
            <w:pPr>
              <w:kinsoku w:val="0"/>
              <w:overflowPunct w:val="0"/>
              <w:spacing w:after="0" w:line="240" w:lineRule="auto"/>
              <w:textAlignment w:val="baseline"/>
              <w:rPr>
                <w:rFonts w:cs="Verdana"/>
                <w:spacing w:val="-1"/>
                <w:sz w:val="20"/>
                <w:szCs w:val="20"/>
              </w:rPr>
            </w:pPr>
            <w:r w:rsidRPr="00153893">
              <w:rPr>
                <w:rFonts w:cs="Verdana"/>
                <w:spacing w:val="-1"/>
                <w:sz w:val="20"/>
                <w:szCs w:val="20"/>
              </w:rPr>
              <w:t>Notes</w:t>
            </w:r>
          </w:p>
        </w:tc>
      </w:tr>
      <w:tr w:rsidR="00396088" w:rsidRPr="00153893" w14:paraId="747E03C6" w14:textId="77777777" w:rsidTr="00525A4A">
        <w:trPr>
          <w:trHeight w:hRule="exact" w:val="1424"/>
          <w:jc w:val="center"/>
        </w:trPr>
        <w:tc>
          <w:tcPr>
            <w:tcW w:w="0" w:type="auto"/>
            <w:gridSpan w:val="3"/>
            <w:tcBorders>
              <w:top w:val="single" w:sz="5" w:space="0" w:color="auto"/>
              <w:left w:val="single" w:sz="5" w:space="0" w:color="auto"/>
              <w:bottom w:val="single" w:sz="5" w:space="0" w:color="auto"/>
              <w:right w:val="single" w:sz="5" w:space="0" w:color="auto"/>
            </w:tcBorders>
            <w:shd w:val="solid" w:color="DCDCDD" w:fill="auto"/>
          </w:tcPr>
          <w:p w14:paraId="6224B2FA" w14:textId="77777777" w:rsidR="00396088" w:rsidRDefault="00396088" w:rsidP="00525A4A">
            <w:pPr>
              <w:kinsoku w:val="0"/>
              <w:overflowPunct w:val="0"/>
              <w:spacing w:after="0" w:line="240" w:lineRule="auto"/>
              <w:textAlignment w:val="baseline"/>
              <w:rPr>
                <w:rFonts w:cs="Verdana"/>
                <w:color w:val="000000"/>
                <w:spacing w:val="-2"/>
                <w:sz w:val="20"/>
                <w:szCs w:val="20"/>
              </w:rPr>
            </w:pPr>
            <w:r>
              <w:rPr>
                <w:rFonts w:cs="Verdana"/>
                <w:color w:val="000000"/>
                <w:spacing w:val="-2"/>
                <w:sz w:val="20"/>
                <w:szCs w:val="20"/>
              </w:rPr>
              <w:t>[Spécimen de réfé</w:t>
            </w:r>
            <w:r w:rsidRPr="00153893">
              <w:rPr>
                <w:rFonts w:cs="Verdana"/>
                <w:color w:val="000000"/>
                <w:spacing w:val="-2"/>
                <w:sz w:val="20"/>
                <w:szCs w:val="20"/>
              </w:rPr>
              <w:t>rence recueilli? [ ]</w:t>
            </w:r>
          </w:p>
          <w:p w14:paraId="34F31064" w14:textId="77777777" w:rsidR="00396088" w:rsidRPr="00D65870" w:rsidRDefault="00396088" w:rsidP="00525A4A">
            <w:pPr>
              <w:kinsoku w:val="0"/>
              <w:overflowPunct w:val="0"/>
              <w:spacing w:after="0" w:line="240" w:lineRule="auto"/>
              <w:textAlignment w:val="baseline"/>
              <w:rPr>
                <w:rFonts w:cs="Verdana"/>
                <w:color w:val="000000"/>
                <w:spacing w:val="-2"/>
                <w:sz w:val="20"/>
                <w:szCs w:val="20"/>
              </w:rPr>
            </w:pPr>
          </w:p>
          <w:p w14:paraId="6BC8918F" w14:textId="77777777" w:rsidR="00396088" w:rsidRPr="00153893" w:rsidRDefault="00396088" w:rsidP="00525A4A">
            <w:pPr>
              <w:kinsoku w:val="0"/>
              <w:overflowPunct w:val="0"/>
              <w:spacing w:after="0" w:line="240" w:lineRule="auto"/>
              <w:textAlignment w:val="baseline"/>
              <w:rPr>
                <w:rFonts w:cs="Verdana"/>
                <w:b/>
                <w:bCs/>
                <w:color w:val="000000"/>
                <w:sz w:val="20"/>
                <w:szCs w:val="20"/>
              </w:rPr>
            </w:pPr>
            <w:r w:rsidRPr="00153893">
              <w:rPr>
                <w:rFonts w:cs="Verdana"/>
                <w:b/>
                <w:bCs/>
                <w:color w:val="000000"/>
                <w:sz w:val="20"/>
                <w:szCs w:val="20"/>
              </w:rPr>
              <w:t>UNITE DE RECHERCHE RESTAURATION FORESTIERE</w:t>
            </w:r>
            <w:r w:rsidRPr="00153893">
              <w:rPr>
                <w:rFonts w:cs="Verdana"/>
                <w:b/>
                <w:bCs/>
                <w:color w:val="000000"/>
                <w:sz w:val="20"/>
                <w:szCs w:val="20"/>
              </w:rPr>
              <w:br/>
              <w:t>ETIQUETTE DE L'HERBIER DU SPÉCIMEN DE RÉFÉRENCE</w:t>
            </w:r>
          </w:p>
          <w:p w14:paraId="088514DC" w14:textId="77777777" w:rsidR="00396088" w:rsidRPr="00153893" w:rsidRDefault="00396088" w:rsidP="00525A4A">
            <w:pPr>
              <w:kinsoku w:val="0"/>
              <w:overflowPunct w:val="0"/>
              <w:spacing w:after="0" w:line="240" w:lineRule="auto"/>
              <w:textAlignment w:val="baseline"/>
              <w:rPr>
                <w:rFonts w:cs="Verdana"/>
                <w:color w:val="000000"/>
                <w:sz w:val="20"/>
                <w:szCs w:val="20"/>
              </w:rPr>
            </w:pPr>
            <w:r w:rsidRPr="00153893">
              <w:rPr>
                <w:rFonts w:cs="Verdana"/>
                <w:color w:val="000000"/>
                <w:sz w:val="20"/>
                <w:szCs w:val="20"/>
              </w:rPr>
              <w:t>N.B.:</w:t>
            </w:r>
            <w:r>
              <w:rPr>
                <w:rFonts w:cs="Verdana"/>
                <w:color w:val="000000"/>
                <w:sz w:val="20"/>
                <w:szCs w:val="20"/>
              </w:rPr>
              <w:t xml:space="preserve"> </w:t>
            </w:r>
            <w:r w:rsidRPr="00153893">
              <w:rPr>
                <w:rFonts w:cs="Verdana"/>
                <w:color w:val="000000"/>
                <w:sz w:val="20"/>
                <w:szCs w:val="20"/>
              </w:rPr>
              <w:t xml:space="preserve">Toutes </w:t>
            </w:r>
            <w:r>
              <w:rPr>
                <w:rFonts w:cs="Verdana"/>
                <w:color w:val="000000"/>
                <w:sz w:val="20"/>
                <w:szCs w:val="20"/>
              </w:rPr>
              <w:t>les dates sont écrites en jour/mois/anné</w:t>
            </w:r>
            <w:r w:rsidRPr="00153893">
              <w:rPr>
                <w:rFonts w:cs="Verdana"/>
                <w:color w:val="000000"/>
                <w:sz w:val="20"/>
                <w:szCs w:val="20"/>
              </w:rPr>
              <w:t>e</w:t>
            </w:r>
          </w:p>
        </w:tc>
      </w:tr>
      <w:tr w:rsidR="00396088" w:rsidRPr="00153893" w14:paraId="6FE951AF" w14:textId="77777777" w:rsidTr="00525A4A">
        <w:trPr>
          <w:trHeight w:hRule="exact" w:val="3118"/>
          <w:jc w:val="center"/>
        </w:trPr>
        <w:tc>
          <w:tcPr>
            <w:tcW w:w="0" w:type="auto"/>
            <w:gridSpan w:val="3"/>
            <w:tcBorders>
              <w:top w:val="single" w:sz="5" w:space="0" w:color="auto"/>
              <w:left w:val="single" w:sz="5" w:space="0" w:color="auto"/>
              <w:bottom w:val="single" w:sz="5" w:space="0" w:color="auto"/>
              <w:right w:val="single" w:sz="5" w:space="0" w:color="auto"/>
            </w:tcBorders>
            <w:shd w:val="solid" w:color="DCDCDD" w:fill="auto"/>
          </w:tcPr>
          <w:p w14:paraId="2163CA8D" w14:textId="77777777" w:rsidR="00396088" w:rsidRPr="00153893" w:rsidRDefault="00396088" w:rsidP="00525A4A">
            <w:pPr>
              <w:tabs>
                <w:tab w:val="left" w:pos="3528"/>
              </w:tabs>
              <w:kinsoku w:val="0"/>
              <w:overflowPunct w:val="0"/>
              <w:spacing w:after="0" w:line="240" w:lineRule="auto"/>
              <w:textAlignment w:val="baseline"/>
              <w:rPr>
                <w:rFonts w:cs="Verdana"/>
                <w:color w:val="000000"/>
                <w:spacing w:val="1"/>
                <w:sz w:val="20"/>
                <w:szCs w:val="20"/>
              </w:rPr>
            </w:pPr>
            <w:r w:rsidRPr="00153893">
              <w:rPr>
                <w:rFonts w:cs="Verdana"/>
                <w:color w:val="000000"/>
                <w:spacing w:val="1"/>
                <w:sz w:val="20"/>
                <w:szCs w:val="20"/>
              </w:rPr>
              <w:t>FAMILLE:</w:t>
            </w:r>
            <w:r w:rsidRPr="00153893">
              <w:rPr>
                <w:rFonts w:cs="Verdana"/>
                <w:color w:val="000000"/>
                <w:spacing w:val="1"/>
                <w:sz w:val="20"/>
                <w:szCs w:val="20"/>
              </w:rPr>
              <w:tab/>
              <w:t>NOM COMMUN:</w:t>
            </w:r>
          </w:p>
          <w:p w14:paraId="0C5E5460" w14:textId="77777777" w:rsidR="00396088" w:rsidRPr="00153893" w:rsidRDefault="00396088" w:rsidP="00525A4A">
            <w:pPr>
              <w:tabs>
                <w:tab w:val="left" w:pos="3528"/>
              </w:tabs>
              <w:kinsoku w:val="0"/>
              <w:overflowPunct w:val="0"/>
              <w:spacing w:after="0" w:line="240" w:lineRule="auto"/>
              <w:textAlignment w:val="baseline"/>
              <w:rPr>
                <w:rFonts w:cs="Verdana"/>
                <w:color w:val="000000"/>
                <w:spacing w:val="-2"/>
                <w:sz w:val="20"/>
                <w:szCs w:val="20"/>
              </w:rPr>
            </w:pPr>
            <w:r w:rsidRPr="00153893">
              <w:rPr>
                <w:rFonts w:cs="Verdana"/>
                <w:color w:val="000000"/>
                <w:spacing w:val="-2"/>
                <w:sz w:val="20"/>
                <w:szCs w:val="20"/>
              </w:rPr>
              <w:t>NOM BOTANIQUE:</w:t>
            </w:r>
            <w:r w:rsidRPr="00153893">
              <w:rPr>
                <w:rFonts w:cs="Verdana"/>
                <w:color w:val="000000"/>
                <w:spacing w:val="-2"/>
                <w:sz w:val="20"/>
                <w:szCs w:val="20"/>
              </w:rPr>
              <w:tab/>
              <w:t>DATE:</w:t>
            </w:r>
          </w:p>
          <w:p w14:paraId="19D78F7D" w14:textId="77777777" w:rsidR="00396088" w:rsidRPr="00153893" w:rsidRDefault="00396088" w:rsidP="00525A4A">
            <w:pPr>
              <w:tabs>
                <w:tab w:val="left" w:pos="3528"/>
              </w:tabs>
              <w:kinsoku w:val="0"/>
              <w:overflowPunct w:val="0"/>
              <w:spacing w:after="0" w:line="240" w:lineRule="auto"/>
              <w:textAlignment w:val="baseline"/>
              <w:rPr>
                <w:rFonts w:cs="Verdana"/>
                <w:color w:val="000000"/>
                <w:spacing w:val="-2"/>
                <w:sz w:val="20"/>
                <w:szCs w:val="20"/>
              </w:rPr>
            </w:pPr>
            <w:r w:rsidRPr="00153893">
              <w:rPr>
                <w:rFonts w:cs="Verdana"/>
                <w:color w:val="000000"/>
                <w:spacing w:val="-2"/>
                <w:sz w:val="20"/>
                <w:szCs w:val="20"/>
              </w:rPr>
              <w:t>PROVINCE:</w:t>
            </w:r>
            <w:r w:rsidRPr="00153893">
              <w:rPr>
                <w:rFonts w:cs="Verdana"/>
                <w:color w:val="000000"/>
                <w:spacing w:val="-2"/>
                <w:sz w:val="20"/>
                <w:szCs w:val="20"/>
              </w:rPr>
              <w:tab/>
              <w:t>DISTRICT:</w:t>
            </w:r>
          </w:p>
          <w:p w14:paraId="7DA8731E" w14:textId="77777777" w:rsidR="00396088" w:rsidRPr="00153893" w:rsidRDefault="00396088" w:rsidP="00525A4A">
            <w:pPr>
              <w:kinsoku w:val="0"/>
              <w:overflowPunct w:val="0"/>
              <w:spacing w:after="0" w:line="240" w:lineRule="auto"/>
              <w:textAlignment w:val="baseline"/>
              <w:rPr>
                <w:rFonts w:cs="Verdana"/>
                <w:color w:val="000000"/>
                <w:spacing w:val="5"/>
                <w:sz w:val="20"/>
                <w:szCs w:val="20"/>
              </w:rPr>
            </w:pPr>
            <w:r w:rsidRPr="00153893">
              <w:rPr>
                <w:rFonts w:cs="Verdana"/>
                <w:color w:val="000000"/>
                <w:spacing w:val="5"/>
                <w:sz w:val="20"/>
                <w:szCs w:val="20"/>
              </w:rPr>
              <w:t>LOCALISATION:</w:t>
            </w:r>
          </w:p>
          <w:p w14:paraId="42553564" w14:textId="77777777" w:rsidR="00396088" w:rsidRPr="00153893" w:rsidRDefault="00396088" w:rsidP="00525A4A">
            <w:pPr>
              <w:tabs>
                <w:tab w:val="left" w:pos="3528"/>
              </w:tabs>
              <w:kinsoku w:val="0"/>
              <w:overflowPunct w:val="0"/>
              <w:spacing w:after="0" w:line="240" w:lineRule="auto"/>
              <w:textAlignment w:val="baseline"/>
              <w:rPr>
                <w:rFonts w:cs="Verdana"/>
                <w:b/>
                <w:bCs/>
                <w:color w:val="000000"/>
                <w:sz w:val="20"/>
                <w:szCs w:val="20"/>
              </w:rPr>
            </w:pPr>
            <w:r w:rsidRPr="00153893">
              <w:rPr>
                <w:rFonts w:cs="Verdana"/>
                <w:color w:val="000000"/>
                <w:sz w:val="20"/>
                <w:szCs w:val="20"/>
              </w:rPr>
              <w:t>COORDONNEES DU GPS:</w:t>
            </w:r>
            <w:r w:rsidRPr="00153893">
              <w:rPr>
                <w:rFonts w:cs="Verdana"/>
                <w:color w:val="000000"/>
                <w:sz w:val="20"/>
                <w:szCs w:val="20"/>
              </w:rPr>
              <w:tab/>
            </w:r>
            <w:r w:rsidRPr="00153893">
              <w:rPr>
                <w:rFonts w:cs="Verdana"/>
                <w:b/>
                <w:bCs/>
                <w:color w:val="000000"/>
                <w:sz w:val="20"/>
                <w:szCs w:val="20"/>
              </w:rPr>
              <w:t>ALTITUDE:</w:t>
            </w:r>
            <w:r w:rsidRPr="00153893">
              <w:rPr>
                <w:rFonts w:cs="Verdana"/>
                <w:b/>
                <w:bCs/>
                <w:color w:val="000000"/>
                <w:sz w:val="20"/>
                <w:szCs w:val="20"/>
              </w:rPr>
              <w:br/>
              <w:t>HABITAT:</w:t>
            </w:r>
          </w:p>
          <w:p w14:paraId="59EE21F5" w14:textId="77777777" w:rsidR="00396088" w:rsidRPr="00153893" w:rsidRDefault="00396088" w:rsidP="00525A4A">
            <w:pPr>
              <w:tabs>
                <w:tab w:val="left" w:pos="1944"/>
                <w:tab w:val="left" w:pos="4248"/>
              </w:tabs>
              <w:kinsoku w:val="0"/>
              <w:overflowPunct w:val="0"/>
              <w:spacing w:after="0" w:line="240" w:lineRule="auto"/>
              <w:textAlignment w:val="baseline"/>
              <w:rPr>
                <w:rFonts w:cs="Verdana"/>
                <w:color w:val="000000"/>
                <w:sz w:val="20"/>
                <w:szCs w:val="20"/>
              </w:rPr>
            </w:pPr>
            <w:r w:rsidRPr="00153893">
              <w:rPr>
                <w:rFonts w:cs="Verdana"/>
                <w:color w:val="000000"/>
                <w:sz w:val="20"/>
                <w:szCs w:val="20"/>
              </w:rPr>
              <w:t>NOTES DESCRIPTIVES:</w:t>
            </w:r>
            <w:r w:rsidRPr="00153893">
              <w:rPr>
                <w:rFonts w:cs="Verdana"/>
                <w:color w:val="000000"/>
                <w:sz w:val="20"/>
                <w:szCs w:val="20"/>
              </w:rPr>
              <w:tab/>
              <w:t>CIRCON</w:t>
            </w:r>
            <w:r>
              <w:rPr>
                <w:rFonts w:cs="Verdana"/>
                <w:color w:val="000000"/>
                <w:sz w:val="20"/>
                <w:szCs w:val="20"/>
              </w:rPr>
              <w:t>FERENCE DU TRONC DE L'ARBRE:</w:t>
            </w:r>
            <w:r>
              <w:rPr>
                <w:rFonts w:cs="Verdana"/>
                <w:color w:val="000000"/>
                <w:sz w:val="20"/>
                <w:szCs w:val="20"/>
              </w:rPr>
              <w:tab/>
              <w:t>cm</w:t>
            </w:r>
          </w:p>
          <w:p w14:paraId="1F998BAC" w14:textId="77777777" w:rsidR="00396088" w:rsidRPr="00153893" w:rsidRDefault="00396088" w:rsidP="00525A4A">
            <w:pPr>
              <w:tabs>
                <w:tab w:val="left" w:pos="3168"/>
              </w:tabs>
              <w:kinsoku w:val="0"/>
              <w:overflowPunct w:val="0"/>
              <w:spacing w:after="0" w:line="240" w:lineRule="auto"/>
              <w:textAlignment w:val="baseline"/>
              <w:rPr>
                <w:rFonts w:cs="Verdana"/>
                <w:color w:val="000000"/>
                <w:spacing w:val="-4"/>
                <w:sz w:val="20"/>
                <w:szCs w:val="20"/>
              </w:rPr>
            </w:pPr>
            <w:r>
              <w:rPr>
                <w:rFonts w:cs="Verdana"/>
                <w:color w:val="000000"/>
                <w:spacing w:val="-4"/>
                <w:sz w:val="20"/>
                <w:szCs w:val="20"/>
              </w:rPr>
              <w:t>HAUTEUR DE L'ARBRE:</w:t>
            </w:r>
            <w:r>
              <w:rPr>
                <w:rFonts w:cs="Verdana"/>
                <w:color w:val="000000"/>
                <w:spacing w:val="-4"/>
                <w:sz w:val="20"/>
                <w:szCs w:val="20"/>
              </w:rPr>
              <w:tab/>
              <w:t>m</w:t>
            </w:r>
          </w:p>
          <w:p w14:paraId="60900CE4" w14:textId="77777777" w:rsidR="00396088" w:rsidRDefault="00396088" w:rsidP="00525A4A">
            <w:pPr>
              <w:kinsoku w:val="0"/>
              <w:overflowPunct w:val="0"/>
              <w:spacing w:after="0" w:line="240" w:lineRule="auto"/>
              <w:textAlignment w:val="baseline"/>
              <w:rPr>
                <w:rFonts w:cs="Verdana"/>
                <w:color w:val="000000"/>
                <w:sz w:val="20"/>
                <w:szCs w:val="20"/>
              </w:rPr>
            </w:pPr>
            <w:r w:rsidRPr="00153893">
              <w:rPr>
                <w:rFonts w:cs="Verdana"/>
                <w:color w:val="000000"/>
                <w:sz w:val="20"/>
                <w:szCs w:val="20"/>
              </w:rPr>
              <w:t xml:space="preserve">Ecorce </w:t>
            </w:r>
          </w:p>
          <w:p w14:paraId="114B64A4" w14:textId="77777777" w:rsidR="00396088" w:rsidRPr="00153893" w:rsidRDefault="00396088" w:rsidP="00525A4A">
            <w:pPr>
              <w:kinsoku w:val="0"/>
              <w:overflowPunct w:val="0"/>
              <w:spacing w:after="0" w:line="240" w:lineRule="auto"/>
              <w:textAlignment w:val="baseline"/>
              <w:rPr>
                <w:rFonts w:cs="Verdana"/>
                <w:i/>
                <w:iCs/>
                <w:color w:val="000000"/>
                <w:sz w:val="20"/>
                <w:szCs w:val="20"/>
              </w:rPr>
            </w:pPr>
            <w:r>
              <w:rPr>
                <w:rFonts w:cs="Verdana"/>
                <w:i/>
                <w:iCs/>
                <w:color w:val="000000"/>
                <w:sz w:val="20"/>
                <w:szCs w:val="20"/>
              </w:rPr>
              <w:t>Fruit</w:t>
            </w:r>
          </w:p>
          <w:p w14:paraId="1460AAF1" w14:textId="77777777" w:rsidR="00396088" w:rsidRDefault="00396088" w:rsidP="00525A4A">
            <w:pPr>
              <w:kinsoku w:val="0"/>
              <w:overflowPunct w:val="0"/>
              <w:spacing w:after="0" w:line="240" w:lineRule="auto"/>
              <w:textAlignment w:val="baseline"/>
              <w:rPr>
                <w:rFonts w:cs="Verdana"/>
                <w:i/>
                <w:iCs/>
                <w:color w:val="000000"/>
                <w:sz w:val="20"/>
                <w:szCs w:val="20"/>
              </w:rPr>
            </w:pPr>
            <w:r>
              <w:rPr>
                <w:rFonts w:cs="Verdana"/>
                <w:i/>
                <w:iCs/>
                <w:color w:val="000000"/>
                <w:sz w:val="20"/>
                <w:szCs w:val="20"/>
              </w:rPr>
              <w:t>Grain</w:t>
            </w:r>
            <w:r w:rsidRPr="00153893">
              <w:rPr>
                <w:rFonts w:cs="Verdana"/>
                <w:i/>
                <w:iCs/>
                <w:color w:val="000000"/>
                <w:sz w:val="20"/>
                <w:szCs w:val="20"/>
              </w:rPr>
              <w:t xml:space="preserve">e </w:t>
            </w:r>
          </w:p>
          <w:p w14:paraId="5B8A9E57" w14:textId="77777777" w:rsidR="00396088" w:rsidRPr="00153893" w:rsidRDefault="00396088" w:rsidP="00525A4A">
            <w:pPr>
              <w:kinsoku w:val="0"/>
              <w:overflowPunct w:val="0"/>
              <w:spacing w:after="0" w:line="240" w:lineRule="auto"/>
              <w:textAlignment w:val="baseline"/>
              <w:rPr>
                <w:rFonts w:cs="Verdana"/>
                <w:i/>
                <w:iCs/>
                <w:color w:val="000000"/>
                <w:sz w:val="20"/>
                <w:szCs w:val="20"/>
              </w:rPr>
            </w:pPr>
            <w:r w:rsidRPr="00153893">
              <w:rPr>
                <w:rFonts w:cs="Verdana"/>
                <w:i/>
                <w:iCs/>
                <w:color w:val="000000"/>
                <w:sz w:val="20"/>
                <w:szCs w:val="20"/>
              </w:rPr>
              <w:t>Feuille</w:t>
            </w:r>
          </w:p>
        </w:tc>
      </w:tr>
      <w:tr w:rsidR="00396088" w:rsidRPr="00153893" w14:paraId="5787E15A" w14:textId="77777777" w:rsidTr="00525A4A">
        <w:trPr>
          <w:trHeight w:hRule="exact" w:val="434"/>
          <w:jc w:val="center"/>
        </w:trPr>
        <w:tc>
          <w:tcPr>
            <w:tcW w:w="0" w:type="auto"/>
            <w:gridSpan w:val="3"/>
            <w:tcBorders>
              <w:top w:val="single" w:sz="5" w:space="0" w:color="auto"/>
              <w:left w:val="single" w:sz="5" w:space="0" w:color="auto"/>
              <w:bottom w:val="single" w:sz="5" w:space="0" w:color="auto"/>
              <w:right w:val="single" w:sz="5" w:space="0" w:color="auto"/>
            </w:tcBorders>
            <w:shd w:val="solid" w:color="DCDCDD" w:fill="auto"/>
          </w:tcPr>
          <w:p w14:paraId="64EF9DDC" w14:textId="77777777" w:rsidR="00396088" w:rsidRPr="00153893" w:rsidRDefault="00396088" w:rsidP="00525A4A">
            <w:pPr>
              <w:tabs>
                <w:tab w:val="left" w:pos="1440"/>
                <w:tab w:val="left" w:pos="3528"/>
              </w:tabs>
              <w:kinsoku w:val="0"/>
              <w:overflowPunct w:val="0"/>
              <w:spacing w:after="0" w:line="240" w:lineRule="auto"/>
              <w:textAlignment w:val="baseline"/>
              <w:rPr>
                <w:rFonts w:cs="Verdana"/>
                <w:color w:val="000000"/>
                <w:sz w:val="20"/>
                <w:szCs w:val="20"/>
              </w:rPr>
            </w:pPr>
            <w:r w:rsidRPr="00153893">
              <w:rPr>
                <w:rFonts w:cs="Verdana"/>
                <w:color w:val="000000"/>
                <w:sz w:val="20"/>
                <w:szCs w:val="20"/>
              </w:rPr>
              <w:t>COLLECTE PAR</w:t>
            </w:r>
            <w:r w:rsidRPr="00153893">
              <w:rPr>
                <w:rFonts w:cs="Verdana"/>
                <w:color w:val="000000"/>
                <w:sz w:val="20"/>
                <w:szCs w:val="20"/>
              </w:rPr>
              <w:tab/>
              <w:t>NO D'IDENTIFICATION DU SPECIMEN:</w:t>
            </w:r>
            <w:r w:rsidRPr="00153893">
              <w:rPr>
                <w:rFonts w:cs="Verdana"/>
                <w:color w:val="000000"/>
                <w:sz w:val="20"/>
                <w:szCs w:val="20"/>
              </w:rPr>
              <w:tab/>
              <w:t>NBRE DE DOUBLONS:</w:t>
            </w:r>
          </w:p>
        </w:tc>
      </w:tr>
    </w:tbl>
    <w:p w14:paraId="12DD3122" w14:textId="0A6F2856" w:rsidR="00396088" w:rsidRDefault="00396088" w:rsidP="00396088">
      <w:pPr>
        <w:pStyle w:val="NormalWeb"/>
        <w:spacing w:before="0" w:beforeAutospacing="0" w:after="0" w:afterAutospacing="0"/>
        <w:jc w:val="center"/>
        <w:rPr>
          <w:rFonts w:ascii="Calibri" w:hAnsi="Calibri" w:cs="Arial"/>
          <w:sz w:val="22"/>
          <w:szCs w:val="22"/>
        </w:rPr>
      </w:pPr>
      <w:r>
        <w:rPr>
          <w:rFonts w:ascii="Calibri" w:hAnsi="Calibri" w:cs="Arial"/>
          <w:sz w:val="22"/>
          <w:szCs w:val="22"/>
        </w:rPr>
        <w:t xml:space="preserve">Informations enregistrées durant la collecte de la semence. </w:t>
      </w:r>
      <w:r w:rsidRPr="00ED57EE">
        <w:rPr>
          <w:rFonts w:ascii="Calibri" w:hAnsi="Calibri" w:cs="Arial"/>
          <w:sz w:val="22"/>
          <w:szCs w:val="22"/>
        </w:rPr>
        <w:t>A1.3 Collecte de semences</w:t>
      </w:r>
      <w:r>
        <w:rPr>
          <w:rFonts w:ascii="Calibri" w:hAnsi="Calibri" w:cs="Arial"/>
          <w:sz w:val="22"/>
          <w:szCs w:val="22"/>
        </w:rPr>
        <w:t>.</w:t>
      </w:r>
    </w:p>
    <w:p w14:paraId="4AB2AD5B" w14:textId="77777777" w:rsidR="00396088" w:rsidRPr="00ED57EE" w:rsidRDefault="00396088" w:rsidP="00396088">
      <w:pPr>
        <w:pStyle w:val="NormalWeb"/>
        <w:spacing w:before="0" w:beforeAutospacing="0" w:after="0" w:afterAutospacing="0"/>
        <w:jc w:val="center"/>
        <w:rPr>
          <w:rFonts w:ascii="Calibri" w:hAnsi="Calibri" w:cs="Arial"/>
          <w:sz w:val="22"/>
          <w:szCs w:val="22"/>
        </w:rPr>
      </w:pPr>
      <w:r w:rsidRPr="00ED57EE">
        <w:rPr>
          <w:rFonts w:ascii="Calibri" w:hAnsi="Calibri" w:cs="Arial"/>
          <w:sz w:val="22"/>
          <w:szCs w:val="22"/>
        </w:rPr>
        <w:t xml:space="preserve">Source : </w:t>
      </w:r>
      <w:r w:rsidRPr="00ED57EE">
        <w:rPr>
          <w:rFonts w:ascii="Calibri" w:hAnsi="Calibri"/>
          <w:bCs/>
          <w:sz w:val="22"/>
          <w:szCs w:val="22"/>
        </w:rPr>
        <w:t>livre "</w:t>
      </w:r>
      <w:r w:rsidRPr="00ED57EE">
        <w:rPr>
          <w:rFonts w:ascii="Calibri" w:hAnsi="Calibri"/>
          <w:b/>
          <w:bCs/>
          <w:sz w:val="22"/>
          <w:szCs w:val="22"/>
        </w:rPr>
        <w:t>restauration des forêts tropicales</w:t>
      </w:r>
      <w:r w:rsidRPr="00ED57EE">
        <w:rPr>
          <w:rFonts w:ascii="Calibri" w:hAnsi="Calibri"/>
          <w:bCs/>
          <w:sz w:val="22"/>
          <w:szCs w:val="22"/>
        </w:rPr>
        <w:t>"</w:t>
      </w:r>
      <w:r>
        <w:rPr>
          <w:rFonts w:ascii="Calibri" w:hAnsi="Calibri"/>
          <w:bCs/>
          <w:sz w:val="22"/>
          <w:szCs w:val="22"/>
        </w:rPr>
        <w:t>, Stephen Elliott &amp;</w:t>
      </w:r>
      <w:r w:rsidRPr="00ED57EE">
        <w:rPr>
          <w:rFonts w:ascii="Calibri" w:hAnsi="Calibri"/>
          <w:bCs/>
          <w:sz w:val="22"/>
          <w:szCs w:val="22"/>
        </w:rPr>
        <w:t xml:space="preserve"> al., Kew Book</w:t>
      </w:r>
      <w:r>
        <w:rPr>
          <w:rFonts w:ascii="Calibri" w:hAnsi="Calibri"/>
          <w:bCs/>
          <w:sz w:val="22"/>
          <w:szCs w:val="22"/>
        </w:rPr>
        <w:t xml:space="preserve">, 2013, </w:t>
      </w:r>
      <w:r w:rsidRPr="00ED57EE">
        <w:rPr>
          <w:rFonts w:ascii="Calibri" w:hAnsi="Calibri"/>
          <w:bCs/>
          <w:sz w:val="22"/>
          <w:szCs w:val="22"/>
        </w:rPr>
        <w:t xml:space="preserve">page </w:t>
      </w:r>
      <w:r>
        <w:rPr>
          <w:rFonts w:ascii="Calibri" w:hAnsi="Calibri"/>
          <w:bCs/>
          <w:sz w:val="22"/>
          <w:szCs w:val="22"/>
        </w:rPr>
        <w:t>299</w:t>
      </w:r>
      <w:r w:rsidRPr="00ED57EE">
        <w:rPr>
          <w:rFonts w:ascii="Calibri" w:hAnsi="Calibri"/>
          <w:bCs/>
          <w:sz w:val="22"/>
          <w:szCs w:val="22"/>
        </w:rPr>
        <w:t>.</w:t>
      </w:r>
    </w:p>
    <w:p w14:paraId="5C0DD030" w14:textId="77777777" w:rsidR="00F762EF" w:rsidRPr="00F762EF" w:rsidRDefault="00F762EF" w:rsidP="00CD71D9">
      <w:pPr>
        <w:spacing w:after="0" w:line="240" w:lineRule="auto"/>
        <w:jc w:val="both"/>
      </w:pPr>
    </w:p>
    <w:p w14:paraId="26259808" w14:textId="77777777" w:rsidR="00CD71D9" w:rsidRDefault="00CD71D9" w:rsidP="00CD71D9">
      <w:pPr>
        <w:spacing w:after="0" w:line="240" w:lineRule="auto"/>
      </w:pPr>
      <w:r w:rsidRPr="003874BA">
        <w:t xml:space="preserve">Ressource documentaire : </w:t>
      </w:r>
      <w:r w:rsidRPr="003874BA">
        <w:rPr>
          <w:i/>
          <w:iCs/>
        </w:rPr>
        <w:t>Projet d’une banque de semences</w:t>
      </w:r>
      <w:r w:rsidRPr="003874BA">
        <w:t xml:space="preserve">, Benjamin Lisan, 11/02/2014, </w:t>
      </w:r>
      <w:hyperlink r:id="rId3509" w:history="1">
        <w:r w:rsidRPr="00473EAA">
          <w:rPr>
            <w:rStyle w:val="Lienhypertexte"/>
          </w:rPr>
          <w:t>http://benjamin.lisan.free.fr/developpementdurable/projet-banque-de-semences.pdf</w:t>
        </w:r>
      </w:hyperlink>
      <w:r>
        <w:t xml:space="preserve"> &amp; </w:t>
      </w:r>
      <w:hyperlink r:id="rId3510" w:history="1">
        <w:r w:rsidRPr="00473EAA">
          <w:rPr>
            <w:rStyle w:val="Lienhypertexte"/>
          </w:rPr>
          <w:t>http://benjamin.lisan.free.fr/developpementdurable/projet-banque-de-semences.doc</w:t>
        </w:r>
      </w:hyperlink>
      <w:r>
        <w:t xml:space="preserve"> </w:t>
      </w:r>
    </w:p>
    <w:p w14:paraId="1FABED40" w14:textId="77777777" w:rsidR="00CD71D9" w:rsidRDefault="00CD71D9" w:rsidP="00134A85">
      <w:pPr>
        <w:spacing w:after="0" w:line="240" w:lineRule="auto"/>
        <w:jc w:val="both"/>
      </w:pPr>
    </w:p>
    <w:p w14:paraId="239F1292" w14:textId="5858361E" w:rsidR="00534A1B" w:rsidRDefault="00534A1B" w:rsidP="00534A1B">
      <w:pPr>
        <w:pStyle w:val="Titre1"/>
      </w:pPr>
      <w:bookmarkStart w:id="310" w:name="_Toc139181601"/>
      <w:r>
        <w:t>Projets de lutte contre la désertification (contre l’avancée des déserts)</w:t>
      </w:r>
      <w:bookmarkEnd w:id="310"/>
    </w:p>
    <w:p w14:paraId="70C5E961" w14:textId="14D63B63" w:rsidR="00534A1B" w:rsidRDefault="00534A1B" w:rsidP="00134A85">
      <w:pPr>
        <w:spacing w:after="0" w:line="240" w:lineRule="auto"/>
        <w:jc w:val="both"/>
      </w:pPr>
    </w:p>
    <w:p w14:paraId="79B0FF08" w14:textId="0A4AB8BD" w:rsidR="005E4260" w:rsidRDefault="005E4260" w:rsidP="005E4260">
      <w:pPr>
        <w:pStyle w:val="Titre2"/>
      </w:pPr>
      <w:bookmarkStart w:id="311" w:name="_Toc139181602"/>
      <w:r>
        <w:t>Solution aux blizzards noirs, dans les grandes plaines, aux USA, dans les années 30</w:t>
      </w:r>
      <w:bookmarkEnd w:id="311"/>
    </w:p>
    <w:p w14:paraId="6F9DE015" w14:textId="16AA7307" w:rsidR="005E4260" w:rsidRDefault="005E4260" w:rsidP="00134A85">
      <w:pPr>
        <w:spacing w:after="0" w:line="240" w:lineRule="auto"/>
        <w:jc w:val="both"/>
      </w:pPr>
    </w:p>
    <w:p w14:paraId="726771C9" w14:textId="51691D37" w:rsidR="005E4260" w:rsidRPr="005E4260" w:rsidRDefault="005E4260" w:rsidP="005E4260">
      <w:pPr>
        <w:pStyle w:val="NormalWeb"/>
        <w:shd w:val="clear" w:color="auto" w:fill="FFFFFF"/>
        <w:spacing w:before="0" w:beforeAutospacing="0" w:after="0" w:afterAutospacing="0"/>
        <w:jc w:val="both"/>
        <w:rPr>
          <w:rFonts w:ascii="Calibri" w:hAnsi="Calibri" w:cs="Calibri"/>
          <w:color w:val="000000" w:themeColor="text1"/>
          <w:sz w:val="22"/>
          <w:szCs w:val="22"/>
        </w:rPr>
      </w:pPr>
      <w:r w:rsidRPr="005E4260">
        <w:rPr>
          <w:rFonts w:ascii="Calibri" w:hAnsi="Calibri" w:cs="Calibri"/>
          <w:color w:val="000000" w:themeColor="text1"/>
          <w:sz w:val="22"/>
          <w:szCs w:val="22"/>
        </w:rPr>
        <w:t>La catastrophe des « blizzards noirs » serait pour tout ou partie due au </w:t>
      </w:r>
      <w:hyperlink r:id="rId3511" w:tooltip="Surlabourage" w:history="1">
        <w:r w:rsidRPr="005E4260">
          <w:rPr>
            <w:rStyle w:val="Lienhypertexte"/>
            <w:rFonts w:ascii="Calibri" w:hAnsi="Calibri" w:cs="Calibri"/>
            <w:color w:val="0645AD"/>
            <w:sz w:val="22"/>
            <w:szCs w:val="22"/>
            <w:u w:val="none"/>
          </w:rPr>
          <w:t>surlabourage</w:t>
        </w:r>
      </w:hyperlink>
      <w:r w:rsidRPr="005E4260">
        <w:rPr>
          <w:rFonts w:ascii="Calibri" w:hAnsi="Calibri" w:cs="Calibri"/>
          <w:color w:val="202122"/>
          <w:sz w:val="22"/>
          <w:szCs w:val="22"/>
        </w:rPr>
        <w:t xml:space="preserve">, </w:t>
      </w:r>
      <w:r w:rsidRPr="005E4260">
        <w:rPr>
          <w:rFonts w:ascii="Calibri" w:hAnsi="Calibri" w:cs="Calibri"/>
          <w:color w:val="000000" w:themeColor="text1"/>
          <w:sz w:val="22"/>
          <w:szCs w:val="22"/>
        </w:rPr>
        <w:t>c'est-à-dire à un abus dans l'utilisation du </w:t>
      </w:r>
      <w:hyperlink r:id="rId3512" w:tooltip="Labour" w:history="1">
        <w:r w:rsidRPr="005E4260">
          <w:rPr>
            <w:rStyle w:val="Lienhypertexte"/>
            <w:rFonts w:ascii="Calibri" w:hAnsi="Calibri" w:cs="Calibri"/>
            <w:color w:val="0645AD"/>
            <w:sz w:val="22"/>
            <w:szCs w:val="22"/>
            <w:u w:val="none"/>
          </w:rPr>
          <w:t>labour</w:t>
        </w:r>
      </w:hyperlink>
      <w:r w:rsidRPr="005E4260">
        <w:rPr>
          <w:rFonts w:ascii="Calibri" w:hAnsi="Calibri" w:cs="Calibri"/>
          <w:color w:val="202122"/>
          <w:sz w:val="22"/>
          <w:szCs w:val="22"/>
        </w:rPr>
        <w:t> </w:t>
      </w:r>
      <w:r w:rsidRPr="005E4260">
        <w:rPr>
          <w:rFonts w:ascii="Calibri" w:hAnsi="Calibri" w:cs="Calibri"/>
          <w:color w:val="000000" w:themeColor="text1"/>
          <w:sz w:val="22"/>
          <w:szCs w:val="22"/>
        </w:rPr>
        <w:t>occasionnant une </w:t>
      </w:r>
      <w:hyperlink r:id="rId3513" w:tooltip="Érosion" w:history="1">
        <w:r w:rsidRPr="005E4260">
          <w:rPr>
            <w:rStyle w:val="Lienhypertexte"/>
            <w:rFonts w:ascii="Calibri" w:hAnsi="Calibri" w:cs="Calibri"/>
            <w:color w:val="0645AD"/>
            <w:sz w:val="22"/>
            <w:szCs w:val="22"/>
            <w:u w:val="none"/>
          </w:rPr>
          <w:t>érosion</w:t>
        </w:r>
      </w:hyperlink>
      <w:r w:rsidRPr="005E4260">
        <w:rPr>
          <w:rFonts w:ascii="Calibri" w:hAnsi="Calibri" w:cs="Calibri"/>
          <w:color w:val="202122"/>
          <w:sz w:val="22"/>
          <w:szCs w:val="22"/>
        </w:rPr>
        <w:t> tr</w:t>
      </w:r>
      <w:r w:rsidRPr="005E4260">
        <w:rPr>
          <w:rFonts w:ascii="Calibri" w:hAnsi="Calibri" w:cs="Calibri"/>
          <w:color w:val="000000" w:themeColor="text1"/>
          <w:sz w:val="22"/>
          <w:szCs w:val="22"/>
        </w:rPr>
        <w:t>ès importante.</w:t>
      </w:r>
    </w:p>
    <w:p w14:paraId="058527CF" w14:textId="77777777" w:rsidR="005E4260" w:rsidRPr="005E4260" w:rsidRDefault="005E4260" w:rsidP="005E4260">
      <w:pPr>
        <w:pStyle w:val="NormalWeb"/>
        <w:shd w:val="clear" w:color="auto" w:fill="FFFFFF"/>
        <w:spacing w:before="0" w:beforeAutospacing="0" w:after="0" w:afterAutospacing="0"/>
        <w:jc w:val="both"/>
        <w:rPr>
          <w:rFonts w:ascii="Calibri" w:hAnsi="Calibri" w:cs="Calibri"/>
          <w:color w:val="202122"/>
          <w:sz w:val="22"/>
          <w:szCs w:val="22"/>
        </w:rPr>
      </w:pPr>
      <w:r w:rsidRPr="005E4260">
        <w:rPr>
          <w:rFonts w:ascii="Calibri" w:hAnsi="Calibri" w:cs="Calibri"/>
          <w:color w:val="000000" w:themeColor="text1"/>
          <w:sz w:val="22"/>
          <w:szCs w:val="22"/>
        </w:rPr>
        <w:t>Lorsque l'érosion était trop grave et qu'elle concernait des sols vulnérables (limons fins), la solution a souvent été, dans un premier temps, de faire une «</w:t>
      </w:r>
      <w:r w:rsidRPr="005E4260">
        <w:rPr>
          <w:rFonts w:ascii="Calibri" w:hAnsi="Calibri" w:cs="Calibri"/>
          <w:color w:val="202122"/>
          <w:sz w:val="22"/>
          <w:szCs w:val="22"/>
        </w:rPr>
        <w:t> </w:t>
      </w:r>
      <w:hyperlink r:id="rId3514" w:tooltip="Culture en courbes de niveau" w:history="1">
        <w:r w:rsidRPr="005E4260">
          <w:rPr>
            <w:rStyle w:val="Lienhypertexte"/>
            <w:rFonts w:ascii="Calibri" w:hAnsi="Calibri" w:cs="Calibri"/>
            <w:color w:val="0645AD"/>
            <w:sz w:val="22"/>
            <w:szCs w:val="22"/>
            <w:u w:val="none"/>
          </w:rPr>
          <w:t>culture en courbes de niveau</w:t>
        </w:r>
      </w:hyperlink>
      <w:r w:rsidRPr="005E4260">
        <w:rPr>
          <w:rFonts w:ascii="Calibri" w:hAnsi="Calibri" w:cs="Calibri"/>
          <w:color w:val="202122"/>
          <w:sz w:val="22"/>
          <w:szCs w:val="22"/>
        </w:rPr>
        <w:t> » (</w:t>
      </w:r>
      <w:r w:rsidRPr="005E4260">
        <w:rPr>
          <w:rFonts w:ascii="Calibri" w:hAnsi="Calibri" w:cs="Calibri"/>
          <w:i/>
          <w:iCs/>
          <w:color w:val="000000" w:themeColor="text1"/>
          <w:sz w:val="22"/>
          <w:szCs w:val="22"/>
        </w:rPr>
        <w:t>contour plowing</w:t>
      </w:r>
      <w:r w:rsidRPr="005E4260">
        <w:rPr>
          <w:rFonts w:ascii="Calibri" w:hAnsi="Calibri" w:cs="Calibri"/>
          <w:color w:val="000000" w:themeColor="text1"/>
          <w:sz w:val="22"/>
          <w:szCs w:val="22"/>
        </w:rPr>
        <w:t>) avec des alternances charrue-</w:t>
      </w:r>
      <w:r w:rsidRPr="005E4260">
        <w:rPr>
          <w:rFonts w:ascii="Calibri" w:hAnsi="Calibri" w:cs="Calibri"/>
          <w:color w:val="000000" w:themeColor="text1"/>
          <w:sz w:val="22"/>
          <w:szCs w:val="22"/>
        </w:rPr>
        <w:lastRenderedPageBreak/>
        <w:t>instrument à dents, ou une « culture alternée », consistant à distribuer le long des pentes des zones portant des cultures différentes ou intégrant des bandes en </w:t>
      </w:r>
      <w:hyperlink r:id="rId3515" w:tooltip="Jachère" w:history="1">
        <w:r w:rsidRPr="005E4260">
          <w:rPr>
            <w:rStyle w:val="Lienhypertexte"/>
            <w:rFonts w:ascii="Calibri" w:hAnsi="Calibri" w:cs="Calibri"/>
            <w:color w:val="0645AD"/>
            <w:sz w:val="22"/>
            <w:szCs w:val="22"/>
            <w:u w:val="none"/>
          </w:rPr>
          <w:t>jachère</w:t>
        </w:r>
      </w:hyperlink>
      <w:r w:rsidRPr="005E4260">
        <w:rPr>
          <w:rFonts w:ascii="Calibri" w:hAnsi="Calibri" w:cs="Calibri"/>
          <w:color w:val="202122"/>
          <w:sz w:val="22"/>
          <w:szCs w:val="22"/>
        </w:rPr>
        <w:t> </w:t>
      </w:r>
      <w:r w:rsidRPr="005E4260">
        <w:rPr>
          <w:rFonts w:ascii="Calibri" w:hAnsi="Calibri" w:cs="Calibri"/>
          <w:color w:val="000000" w:themeColor="text1"/>
          <w:sz w:val="22"/>
          <w:szCs w:val="22"/>
        </w:rPr>
        <w:t>(« culture en bandes », </w:t>
      </w:r>
      <w:r w:rsidRPr="005E4260">
        <w:rPr>
          <w:rFonts w:ascii="Calibri" w:hAnsi="Calibri" w:cs="Calibri"/>
          <w:i/>
          <w:iCs/>
          <w:color w:val="000000" w:themeColor="text1"/>
          <w:sz w:val="22"/>
          <w:szCs w:val="22"/>
        </w:rPr>
        <w:t>strip cropping</w:t>
      </w:r>
      <w:r w:rsidRPr="005E4260">
        <w:rPr>
          <w:rFonts w:ascii="Calibri" w:hAnsi="Calibri" w:cs="Calibri"/>
          <w:color w:val="000000" w:themeColor="text1"/>
          <w:sz w:val="22"/>
          <w:szCs w:val="22"/>
        </w:rPr>
        <w:t>).</w:t>
      </w:r>
    </w:p>
    <w:p w14:paraId="6054D716" w14:textId="77777777" w:rsidR="005E4260" w:rsidRPr="005E4260" w:rsidRDefault="005E4260" w:rsidP="005E4260">
      <w:pPr>
        <w:pStyle w:val="NormalWeb"/>
        <w:shd w:val="clear" w:color="auto" w:fill="FFFFFF"/>
        <w:spacing w:before="0" w:beforeAutospacing="0" w:after="0" w:afterAutospacing="0"/>
        <w:jc w:val="both"/>
        <w:rPr>
          <w:rFonts w:ascii="Calibri" w:hAnsi="Calibri" w:cs="Calibri"/>
          <w:color w:val="000000" w:themeColor="text1"/>
          <w:sz w:val="22"/>
          <w:szCs w:val="22"/>
        </w:rPr>
      </w:pPr>
      <w:r w:rsidRPr="005E4260">
        <w:rPr>
          <w:rFonts w:ascii="Calibri" w:hAnsi="Calibri" w:cs="Calibri"/>
          <w:color w:val="000000" w:themeColor="text1"/>
          <w:sz w:val="22"/>
          <w:szCs w:val="22"/>
        </w:rPr>
        <w:t>Dès qu'il a été possible d'assurer un contrôle efficace des </w:t>
      </w:r>
      <w:hyperlink r:id="rId3516" w:tooltip="Adventice" w:history="1">
        <w:r w:rsidRPr="005E4260">
          <w:rPr>
            <w:rStyle w:val="Lienhypertexte"/>
            <w:rFonts w:ascii="Calibri" w:hAnsi="Calibri" w:cs="Calibri"/>
            <w:color w:val="0645AD"/>
            <w:sz w:val="22"/>
            <w:szCs w:val="22"/>
            <w:u w:val="none"/>
          </w:rPr>
          <w:t>mauvaises herbes</w:t>
        </w:r>
      </w:hyperlink>
      <w:r w:rsidRPr="005E4260">
        <w:rPr>
          <w:rFonts w:ascii="Calibri" w:hAnsi="Calibri" w:cs="Calibri"/>
          <w:color w:val="202122"/>
          <w:sz w:val="22"/>
          <w:szCs w:val="22"/>
        </w:rPr>
        <w:t>, la </w:t>
      </w:r>
      <w:hyperlink r:id="rId3517" w:tooltip="Semis direct" w:history="1">
        <w:r w:rsidRPr="005E4260">
          <w:rPr>
            <w:rStyle w:val="Lienhypertexte"/>
            <w:rFonts w:ascii="Calibri" w:hAnsi="Calibri" w:cs="Calibri"/>
            <w:color w:val="0645AD"/>
            <w:sz w:val="22"/>
            <w:szCs w:val="22"/>
            <w:u w:val="none"/>
          </w:rPr>
          <w:t>culture sans labour</w:t>
        </w:r>
      </w:hyperlink>
      <w:r w:rsidRPr="005E4260">
        <w:rPr>
          <w:rFonts w:ascii="Calibri" w:hAnsi="Calibri" w:cs="Calibri"/>
          <w:color w:val="202122"/>
          <w:sz w:val="22"/>
          <w:szCs w:val="22"/>
        </w:rPr>
        <w:t xml:space="preserve">, </w:t>
      </w:r>
      <w:r w:rsidRPr="005E4260">
        <w:rPr>
          <w:rFonts w:ascii="Calibri" w:hAnsi="Calibri" w:cs="Calibri"/>
          <w:color w:val="000000" w:themeColor="text1"/>
          <w:sz w:val="22"/>
          <w:szCs w:val="22"/>
        </w:rPr>
        <w:t>voire le semis direct, se sont développés.</w:t>
      </w:r>
    </w:p>
    <w:p w14:paraId="31CC4B3F" w14:textId="77777777" w:rsidR="005E4260" w:rsidRPr="005E4260" w:rsidRDefault="005E4260" w:rsidP="005E4260">
      <w:pPr>
        <w:pStyle w:val="NormalWeb"/>
        <w:shd w:val="clear" w:color="auto" w:fill="FFFFFF"/>
        <w:spacing w:before="0" w:beforeAutospacing="0" w:after="0" w:afterAutospacing="0"/>
        <w:jc w:val="both"/>
        <w:rPr>
          <w:rFonts w:ascii="Calibri" w:hAnsi="Calibri" w:cs="Calibri"/>
          <w:color w:val="000000" w:themeColor="text1"/>
          <w:sz w:val="22"/>
          <w:szCs w:val="22"/>
        </w:rPr>
      </w:pPr>
      <w:r w:rsidRPr="005E4260">
        <w:rPr>
          <w:rFonts w:ascii="Calibri" w:hAnsi="Calibri" w:cs="Calibri"/>
          <w:color w:val="000000" w:themeColor="text1"/>
          <w:sz w:val="22"/>
          <w:szCs w:val="22"/>
        </w:rPr>
        <w:t>Le gouvernement américain a également prôné une réduction draconienne du </w:t>
      </w:r>
      <w:hyperlink r:id="rId3518" w:tooltip="Bétail" w:history="1">
        <w:r w:rsidRPr="005E4260">
          <w:rPr>
            <w:rStyle w:val="Lienhypertexte"/>
            <w:rFonts w:ascii="Calibri" w:hAnsi="Calibri" w:cs="Calibri"/>
            <w:color w:val="000000" w:themeColor="text1"/>
            <w:sz w:val="22"/>
            <w:szCs w:val="22"/>
            <w:u w:val="none"/>
          </w:rPr>
          <w:t>bétail</w:t>
        </w:r>
      </w:hyperlink>
      <w:r w:rsidRPr="005E4260">
        <w:rPr>
          <w:rFonts w:ascii="Calibri" w:hAnsi="Calibri" w:cs="Calibri"/>
          <w:color w:val="000000" w:themeColor="text1"/>
          <w:sz w:val="22"/>
          <w:szCs w:val="22"/>
        </w:rPr>
        <w:t>, afin d'alléger la charge de culture.</w:t>
      </w:r>
    </w:p>
    <w:p w14:paraId="056F8B14" w14:textId="621B16A9" w:rsidR="005E4260" w:rsidRPr="005E4260" w:rsidRDefault="005E4260" w:rsidP="005E4260">
      <w:pPr>
        <w:pStyle w:val="NormalWeb"/>
        <w:shd w:val="clear" w:color="auto" w:fill="FFFFFF"/>
        <w:spacing w:before="0" w:beforeAutospacing="0" w:after="0" w:afterAutospacing="0"/>
        <w:jc w:val="both"/>
        <w:rPr>
          <w:rFonts w:ascii="Calibri" w:hAnsi="Calibri" w:cs="Calibri"/>
          <w:color w:val="000000" w:themeColor="text1"/>
          <w:sz w:val="22"/>
          <w:szCs w:val="22"/>
        </w:rPr>
      </w:pPr>
      <w:r w:rsidRPr="005E4260">
        <w:rPr>
          <w:rFonts w:ascii="Calibri" w:hAnsi="Calibri" w:cs="Calibri"/>
          <w:color w:val="000000" w:themeColor="text1"/>
          <w:sz w:val="22"/>
          <w:szCs w:val="22"/>
        </w:rPr>
        <w:t xml:space="preserve">Une vaste campagne </w:t>
      </w:r>
      <w:r w:rsidRPr="005E4260">
        <w:rPr>
          <w:rFonts w:ascii="Calibri" w:hAnsi="Calibri" w:cs="Calibri"/>
          <w:color w:val="202122"/>
          <w:sz w:val="22"/>
          <w:szCs w:val="22"/>
        </w:rPr>
        <w:t>d'</w:t>
      </w:r>
      <w:hyperlink r:id="rId3519" w:tooltip="Afforestation" w:history="1">
        <w:r w:rsidRPr="005E4260">
          <w:rPr>
            <w:rStyle w:val="Lienhypertexte"/>
            <w:rFonts w:ascii="Calibri" w:hAnsi="Calibri" w:cs="Calibri"/>
            <w:color w:val="0645AD"/>
            <w:sz w:val="22"/>
            <w:szCs w:val="22"/>
            <w:u w:val="none"/>
          </w:rPr>
          <w:t>afforestation</w:t>
        </w:r>
      </w:hyperlink>
      <w:r w:rsidRPr="005E4260">
        <w:rPr>
          <w:rFonts w:ascii="Calibri" w:hAnsi="Calibri" w:cs="Calibri"/>
          <w:color w:val="202122"/>
          <w:sz w:val="22"/>
          <w:szCs w:val="22"/>
        </w:rPr>
        <w:t> </w:t>
      </w:r>
      <w:r w:rsidRPr="005E4260">
        <w:rPr>
          <w:rFonts w:ascii="Calibri" w:hAnsi="Calibri" w:cs="Calibri"/>
          <w:color w:val="000000" w:themeColor="text1"/>
          <w:sz w:val="22"/>
          <w:szCs w:val="22"/>
        </w:rPr>
        <w:t>(de reforestation) nommée «</w:t>
      </w:r>
      <w:r w:rsidRPr="005E4260">
        <w:rPr>
          <w:rFonts w:ascii="Calibri" w:hAnsi="Calibri" w:cs="Calibri"/>
          <w:color w:val="202122"/>
          <w:sz w:val="22"/>
          <w:szCs w:val="22"/>
        </w:rPr>
        <w:t> </w:t>
      </w:r>
      <w:hyperlink r:id="rId3520" w:tooltip="Projet Shelterbelt" w:history="1">
        <w:r w:rsidRPr="005E4260">
          <w:rPr>
            <w:rStyle w:val="Lienhypertexte"/>
            <w:rFonts w:ascii="Calibri" w:hAnsi="Calibri" w:cs="Calibri"/>
            <w:color w:val="0645AD"/>
            <w:sz w:val="22"/>
            <w:szCs w:val="22"/>
            <w:u w:val="none"/>
          </w:rPr>
          <w:t>projet Shelterbelt</w:t>
        </w:r>
      </w:hyperlink>
      <w:r w:rsidRPr="005E4260">
        <w:rPr>
          <w:rFonts w:ascii="Calibri" w:hAnsi="Calibri" w:cs="Calibri"/>
          <w:color w:val="202122"/>
          <w:sz w:val="22"/>
          <w:szCs w:val="22"/>
        </w:rPr>
        <w:t xml:space="preserve"> » a </w:t>
      </w:r>
      <w:r w:rsidRPr="005E4260">
        <w:rPr>
          <w:rFonts w:ascii="Calibri" w:hAnsi="Calibri" w:cs="Calibri"/>
          <w:color w:val="000000" w:themeColor="text1"/>
          <w:sz w:val="22"/>
          <w:szCs w:val="22"/>
        </w:rPr>
        <w:t>été lancée dans les Grandes Plaines, de la frontière canadienne au Texas, afin de freiner l'érosion des sols.</w:t>
      </w:r>
    </w:p>
    <w:p w14:paraId="233733EB" w14:textId="0C3550A5" w:rsidR="005E4260" w:rsidRDefault="005E4260" w:rsidP="005E4260">
      <w:pPr>
        <w:pStyle w:val="NormalWeb"/>
        <w:shd w:val="clear" w:color="auto" w:fill="FFFFFF"/>
        <w:spacing w:before="0" w:beforeAutospacing="0" w:after="0" w:afterAutospacing="0"/>
        <w:jc w:val="both"/>
        <w:rPr>
          <w:rFonts w:ascii="Calibri" w:hAnsi="Calibri" w:cs="Calibri"/>
          <w:color w:val="202122"/>
          <w:sz w:val="22"/>
          <w:szCs w:val="22"/>
        </w:rPr>
      </w:pPr>
      <w:r w:rsidRPr="005E4260">
        <w:rPr>
          <w:rFonts w:ascii="Calibri" w:hAnsi="Calibri" w:cs="Calibri"/>
          <w:color w:val="000000" w:themeColor="text1"/>
          <w:sz w:val="22"/>
          <w:szCs w:val="22"/>
        </w:rPr>
        <w:t>Cette </w:t>
      </w:r>
      <w:hyperlink r:id="rId3521" w:tooltip="Crise écologique" w:history="1">
        <w:r w:rsidRPr="005E4260">
          <w:rPr>
            <w:rStyle w:val="Lienhypertexte"/>
            <w:rFonts w:ascii="Calibri" w:hAnsi="Calibri" w:cs="Calibri"/>
            <w:color w:val="0645AD"/>
            <w:sz w:val="22"/>
            <w:szCs w:val="22"/>
            <w:u w:val="none"/>
          </w:rPr>
          <w:t>crise écologique</w:t>
        </w:r>
      </w:hyperlink>
      <w:r w:rsidRPr="005E4260">
        <w:rPr>
          <w:rFonts w:ascii="Calibri" w:hAnsi="Calibri" w:cs="Calibri"/>
          <w:color w:val="202122"/>
          <w:sz w:val="22"/>
          <w:szCs w:val="22"/>
        </w:rPr>
        <w:t> </w:t>
      </w:r>
      <w:r w:rsidRPr="005E4260">
        <w:rPr>
          <w:rFonts w:ascii="Calibri" w:hAnsi="Calibri" w:cs="Calibri"/>
          <w:color w:val="000000" w:themeColor="text1"/>
          <w:sz w:val="22"/>
          <w:szCs w:val="22"/>
        </w:rPr>
        <w:t>provoquée par le </w:t>
      </w:r>
      <w:r w:rsidRPr="005E4260">
        <w:rPr>
          <w:rFonts w:ascii="Calibri" w:hAnsi="Calibri" w:cs="Calibri"/>
          <w:i/>
          <w:iCs/>
          <w:color w:val="000000" w:themeColor="text1"/>
          <w:sz w:val="22"/>
          <w:szCs w:val="22"/>
        </w:rPr>
        <w:t>Dust Bowl</w:t>
      </w:r>
      <w:r w:rsidRPr="005E4260">
        <w:rPr>
          <w:rFonts w:ascii="Calibri" w:hAnsi="Calibri" w:cs="Calibri"/>
          <w:color w:val="000000" w:themeColor="text1"/>
          <w:sz w:val="22"/>
          <w:szCs w:val="22"/>
        </w:rPr>
        <w:t> a conduit le gouvernement américain à créer le </w:t>
      </w:r>
      <w:r w:rsidRPr="005E4260">
        <w:rPr>
          <w:rFonts w:ascii="Calibri" w:hAnsi="Calibri" w:cs="Calibri"/>
          <w:i/>
          <w:iCs/>
          <w:color w:val="000000" w:themeColor="text1"/>
          <w:sz w:val="22"/>
          <w:szCs w:val="22"/>
        </w:rPr>
        <w:t>« Soil Conservation Service »</w:t>
      </w:r>
      <w:r w:rsidRPr="005E4260">
        <w:rPr>
          <w:rFonts w:ascii="Calibri" w:hAnsi="Calibri" w:cs="Calibri"/>
          <w:color w:val="000000" w:themeColor="text1"/>
          <w:sz w:val="22"/>
          <w:szCs w:val="22"/>
        </w:rPr>
        <w:t>, appelé aujourd'hui </w:t>
      </w:r>
      <w:r w:rsidRPr="005E4260">
        <w:rPr>
          <w:rFonts w:ascii="Calibri" w:hAnsi="Calibri" w:cs="Calibri"/>
          <w:i/>
          <w:iCs/>
          <w:color w:val="202122"/>
          <w:sz w:val="22"/>
          <w:szCs w:val="22"/>
        </w:rPr>
        <w:t>« </w:t>
      </w:r>
      <w:hyperlink r:id="rId3522" w:tooltip="Natural Resources Conservation Service (page inexistante)" w:history="1">
        <w:r w:rsidRPr="005E4260">
          <w:rPr>
            <w:rStyle w:val="Lienhypertexte"/>
            <w:rFonts w:ascii="Calibri" w:hAnsi="Calibri" w:cs="Calibri"/>
            <w:i/>
            <w:iCs/>
            <w:color w:val="000000" w:themeColor="text1"/>
            <w:sz w:val="22"/>
            <w:szCs w:val="22"/>
            <w:u w:val="none"/>
          </w:rPr>
          <w:t>Natural Resources Conservation Service</w:t>
        </w:r>
      </w:hyperlink>
      <w:r w:rsidRPr="005E4260">
        <w:rPr>
          <w:rFonts w:ascii="Calibri" w:hAnsi="Calibri" w:cs="Calibri"/>
          <w:i/>
          <w:iCs/>
          <w:color w:val="000000" w:themeColor="text1"/>
          <w:sz w:val="22"/>
          <w:szCs w:val="22"/>
        </w:rPr>
        <w:t> </w:t>
      </w:r>
      <w:r w:rsidRPr="005E4260">
        <w:rPr>
          <w:rFonts w:ascii="Calibri" w:hAnsi="Calibri" w:cs="Calibri"/>
          <w:i/>
          <w:iCs/>
          <w:color w:val="202122"/>
          <w:sz w:val="22"/>
          <w:szCs w:val="22"/>
        </w:rPr>
        <w:t>», </w:t>
      </w:r>
      <w:r w:rsidRPr="005E4260">
        <w:rPr>
          <w:rFonts w:ascii="Calibri" w:hAnsi="Calibri" w:cs="Calibri"/>
          <w:color w:val="000000" w:themeColor="text1"/>
          <w:sz w:val="22"/>
          <w:szCs w:val="22"/>
        </w:rPr>
        <w:t>une agence chargée de la sauvegarde des </w:t>
      </w:r>
      <w:hyperlink r:id="rId3523" w:tooltip="Ressource naturelle" w:history="1">
        <w:r w:rsidRPr="005E4260">
          <w:rPr>
            <w:rStyle w:val="Lienhypertexte"/>
            <w:rFonts w:ascii="Calibri" w:hAnsi="Calibri" w:cs="Calibri"/>
            <w:color w:val="0645AD"/>
            <w:sz w:val="22"/>
            <w:szCs w:val="22"/>
            <w:u w:val="none"/>
          </w:rPr>
          <w:t>ressources naturelles</w:t>
        </w:r>
      </w:hyperlink>
      <w:r w:rsidRPr="005E4260">
        <w:rPr>
          <w:rFonts w:ascii="Calibri" w:hAnsi="Calibri" w:cs="Calibri"/>
          <w:color w:val="202122"/>
          <w:sz w:val="22"/>
          <w:szCs w:val="22"/>
        </w:rPr>
        <w:t> </w:t>
      </w:r>
      <w:r w:rsidRPr="005E4260">
        <w:rPr>
          <w:rFonts w:ascii="Calibri" w:hAnsi="Calibri" w:cs="Calibri"/>
          <w:color w:val="000000" w:themeColor="text1"/>
          <w:sz w:val="22"/>
          <w:szCs w:val="22"/>
        </w:rPr>
        <w:t xml:space="preserve">et de </w:t>
      </w:r>
      <w:r w:rsidRPr="005E4260">
        <w:rPr>
          <w:rFonts w:ascii="Calibri" w:hAnsi="Calibri" w:cs="Calibri"/>
          <w:color w:val="202122"/>
          <w:sz w:val="22"/>
          <w:szCs w:val="22"/>
        </w:rPr>
        <w:t>l'</w:t>
      </w:r>
      <w:hyperlink r:id="rId3524" w:tooltip="Environnement" w:history="1">
        <w:r w:rsidRPr="005E4260">
          <w:rPr>
            <w:rStyle w:val="Lienhypertexte"/>
            <w:rFonts w:ascii="Calibri" w:hAnsi="Calibri" w:cs="Calibri"/>
            <w:color w:val="0645AD"/>
            <w:sz w:val="22"/>
            <w:szCs w:val="22"/>
            <w:u w:val="none"/>
          </w:rPr>
          <w:t>environnement</w:t>
        </w:r>
      </w:hyperlink>
      <w:r w:rsidRPr="005E4260">
        <w:rPr>
          <w:rFonts w:ascii="Calibri" w:hAnsi="Calibri" w:cs="Calibri"/>
          <w:color w:val="202122"/>
          <w:sz w:val="22"/>
          <w:szCs w:val="22"/>
        </w:rPr>
        <w:t> et dépendant du </w:t>
      </w:r>
      <w:hyperlink r:id="rId3525" w:tooltip="Département de l'Agriculture des États-Unis" w:history="1">
        <w:r w:rsidRPr="005E4260">
          <w:rPr>
            <w:rStyle w:val="Lienhypertexte"/>
            <w:rFonts w:ascii="Calibri" w:hAnsi="Calibri" w:cs="Calibri"/>
            <w:color w:val="0645AD"/>
            <w:sz w:val="22"/>
            <w:szCs w:val="22"/>
            <w:u w:val="none"/>
          </w:rPr>
          <w:t>ministère de l'Agriculture</w:t>
        </w:r>
      </w:hyperlink>
      <w:r>
        <w:rPr>
          <w:rStyle w:val="Appelnotedebasdep"/>
          <w:rFonts w:ascii="Calibri" w:hAnsi="Calibri" w:cs="Calibri"/>
          <w:color w:val="202122"/>
          <w:sz w:val="22"/>
          <w:szCs w:val="22"/>
        </w:rPr>
        <w:footnoteReference w:id="229"/>
      </w:r>
      <w:r w:rsidRPr="005E4260">
        <w:rPr>
          <w:rFonts w:ascii="Calibri" w:hAnsi="Calibri" w:cs="Calibri"/>
          <w:color w:val="202122"/>
          <w:sz w:val="22"/>
          <w:szCs w:val="22"/>
        </w:rPr>
        <w:t>.</w:t>
      </w:r>
    </w:p>
    <w:p w14:paraId="74636FC7" w14:textId="25C41B15" w:rsidR="009D147F" w:rsidRDefault="009D147F" w:rsidP="005E4260">
      <w:pPr>
        <w:pStyle w:val="NormalWeb"/>
        <w:shd w:val="clear" w:color="auto" w:fill="FFFFFF"/>
        <w:spacing w:before="0" w:beforeAutospacing="0" w:after="0" w:afterAutospacing="0"/>
        <w:jc w:val="both"/>
        <w:rPr>
          <w:rFonts w:ascii="Calibri" w:hAnsi="Calibri" w:cs="Calibri"/>
          <w:color w:val="202122"/>
          <w:sz w:val="22"/>
          <w:szCs w:val="2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9D147F" w:rsidRPr="009D147F" w14:paraId="6E8C4135" w14:textId="77777777" w:rsidTr="009D147F">
        <w:tc>
          <w:tcPr>
            <w:tcW w:w="5208" w:type="dxa"/>
          </w:tcPr>
          <w:p w14:paraId="48CD8719" w14:textId="77777777" w:rsidR="009D147F" w:rsidRPr="009D147F" w:rsidRDefault="009D147F" w:rsidP="009D147F">
            <w:pPr>
              <w:pStyle w:val="NormalWeb"/>
              <w:spacing w:before="0" w:beforeAutospacing="0" w:after="0" w:afterAutospacing="0"/>
              <w:jc w:val="center"/>
              <w:rPr>
                <w:rFonts w:ascii="Calibri" w:hAnsi="Calibri" w:cs="Calibri"/>
                <w:color w:val="202122"/>
                <w:sz w:val="22"/>
                <w:szCs w:val="22"/>
              </w:rPr>
            </w:pPr>
            <w:r w:rsidRPr="009D147F">
              <w:rPr>
                <w:rFonts w:ascii="Calibri" w:hAnsi="Calibri" w:cs="Calibri"/>
                <w:noProof/>
                <w:sz w:val="22"/>
                <w:szCs w:val="22"/>
              </w:rPr>
              <w:drawing>
                <wp:inline distT="0" distB="0" distL="0" distR="0" wp14:anchorId="7E9B1EA8" wp14:editId="56836F9E">
                  <wp:extent cx="2075730" cy="1571625"/>
                  <wp:effectExtent l="0" t="0" r="1270" b="0"/>
                  <wp:docPr id="89106" name="Image 89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26">
                            <a:extLst>
                              <a:ext uri="{28A0092B-C50C-407E-A947-70E740481C1C}">
                                <a14:useLocalDpi xmlns:a14="http://schemas.microsoft.com/office/drawing/2010/main" val="0"/>
                              </a:ext>
                            </a:extLst>
                          </a:blip>
                          <a:srcRect/>
                          <a:stretch>
                            <a:fillRect/>
                          </a:stretch>
                        </pic:blipFill>
                        <pic:spPr bwMode="auto">
                          <a:xfrm>
                            <a:off x="0" y="0"/>
                            <a:ext cx="2090391" cy="1582725"/>
                          </a:xfrm>
                          <a:prstGeom prst="rect">
                            <a:avLst/>
                          </a:prstGeom>
                          <a:noFill/>
                          <a:ln>
                            <a:noFill/>
                          </a:ln>
                        </pic:spPr>
                      </pic:pic>
                    </a:graphicData>
                  </a:graphic>
                </wp:inline>
              </w:drawing>
            </w:r>
          </w:p>
          <w:p w14:paraId="1BC12C96" w14:textId="2A2C5BB6" w:rsidR="009D147F" w:rsidRPr="009D147F" w:rsidRDefault="009D147F" w:rsidP="009D147F">
            <w:pPr>
              <w:pStyle w:val="NormalWeb"/>
              <w:spacing w:before="0" w:beforeAutospacing="0" w:after="0" w:afterAutospacing="0"/>
              <w:jc w:val="center"/>
              <w:rPr>
                <w:rFonts w:ascii="Calibri" w:hAnsi="Calibri" w:cs="Calibri"/>
                <w:color w:val="202122"/>
                <w:sz w:val="22"/>
                <w:szCs w:val="22"/>
              </w:rPr>
            </w:pPr>
            <w:r w:rsidRPr="009D147F">
              <w:rPr>
                <w:rFonts w:ascii="Calibri" w:hAnsi="Calibri" w:cs="Calibri"/>
                <w:color w:val="000000" w:themeColor="text1"/>
                <w:sz w:val="22"/>
                <w:szCs w:val="22"/>
                <w:shd w:val="clear" w:color="auto" w:fill="F8F9FA"/>
              </w:rPr>
              <w:t>Tempête de poussière</w:t>
            </w:r>
            <w:r>
              <w:rPr>
                <w:rFonts w:ascii="Calibri" w:hAnsi="Calibri" w:cs="Calibri"/>
                <w:color w:val="000000" w:themeColor="text1"/>
                <w:sz w:val="22"/>
                <w:szCs w:val="22"/>
                <w:shd w:val="clear" w:color="auto" w:fill="F8F9FA"/>
              </w:rPr>
              <w:t xml:space="preserve"> (semblable à un </w:t>
            </w:r>
            <w:r w:rsidRPr="009D147F">
              <w:rPr>
                <w:rFonts w:ascii="Calibri" w:hAnsi="Calibri" w:cs="Calibri"/>
                <w:i/>
                <w:iCs/>
                <w:color w:val="000000" w:themeColor="text1"/>
                <w:sz w:val="22"/>
                <w:szCs w:val="22"/>
                <w:shd w:val="clear" w:color="auto" w:fill="F8F9FA"/>
              </w:rPr>
              <w:t>haboob</w:t>
            </w:r>
            <w:r>
              <w:rPr>
                <w:rFonts w:ascii="Calibri" w:hAnsi="Calibri" w:cs="Calibri"/>
                <w:color w:val="000000" w:themeColor="text1"/>
                <w:sz w:val="22"/>
                <w:szCs w:val="22"/>
                <w:shd w:val="clear" w:color="auto" w:fill="F8F9FA"/>
              </w:rPr>
              <w:t>)</w:t>
            </w:r>
            <w:r w:rsidRPr="009D147F">
              <w:rPr>
                <w:rFonts w:ascii="Calibri" w:hAnsi="Calibri" w:cs="Calibri"/>
                <w:color w:val="000000" w:themeColor="text1"/>
                <w:sz w:val="22"/>
                <w:szCs w:val="22"/>
                <w:shd w:val="clear" w:color="auto" w:fill="F8F9FA"/>
              </w:rPr>
              <w:t xml:space="preserve"> arrivant sur </w:t>
            </w:r>
            <w:hyperlink r:id="rId3527" w:tooltip="Spearman" w:history="1">
              <w:r w:rsidRPr="009D147F">
                <w:rPr>
                  <w:rStyle w:val="Lienhypertexte"/>
                  <w:rFonts w:ascii="Calibri" w:hAnsi="Calibri" w:cs="Calibri"/>
                  <w:color w:val="0645AD"/>
                  <w:sz w:val="22"/>
                  <w:szCs w:val="22"/>
                  <w:shd w:val="clear" w:color="auto" w:fill="F8F9FA"/>
                </w:rPr>
                <w:t>Spearman</w:t>
              </w:r>
            </w:hyperlink>
            <w:r w:rsidRPr="009D147F">
              <w:rPr>
                <w:rFonts w:ascii="Calibri" w:hAnsi="Calibri" w:cs="Calibri"/>
                <w:color w:val="202122"/>
                <w:sz w:val="22"/>
                <w:szCs w:val="22"/>
                <w:shd w:val="clear" w:color="auto" w:fill="F8F9FA"/>
              </w:rPr>
              <w:t> </w:t>
            </w:r>
            <w:r w:rsidRPr="009D147F">
              <w:rPr>
                <w:rFonts w:ascii="Calibri" w:hAnsi="Calibri" w:cs="Calibri"/>
                <w:color w:val="000000" w:themeColor="text1"/>
                <w:sz w:val="22"/>
                <w:szCs w:val="22"/>
                <w:shd w:val="clear" w:color="auto" w:fill="F8F9FA"/>
              </w:rPr>
              <w:t>(Texas), le 14 avril 1935.</w:t>
            </w:r>
          </w:p>
        </w:tc>
        <w:tc>
          <w:tcPr>
            <w:tcW w:w="5208" w:type="dxa"/>
          </w:tcPr>
          <w:p w14:paraId="386DC280" w14:textId="77777777" w:rsidR="009D147F" w:rsidRPr="009D147F" w:rsidRDefault="009D147F" w:rsidP="009D147F">
            <w:pPr>
              <w:pStyle w:val="NormalWeb"/>
              <w:spacing w:before="0" w:beforeAutospacing="0" w:after="0" w:afterAutospacing="0"/>
              <w:jc w:val="center"/>
              <w:rPr>
                <w:rFonts w:ascii="Calibri" w:hAnsi="Calibri" w:cs="Calibri"/>
                <w:color w:val="202122"/>
                <w:sz w:val="22"/>
                <w:szCs w:val="22"/>
              </w:rPr>
            </w:pPr>
            <w:r w:rsidRPr="009D147F">
              <w:rPr>
                <w:rFonts w:ascii="Calibri" w:hAnsi="Calibri" w:cs="Calibri"/>
                <w:noProof/>
                <w:sz w:val="22"/>
                <w:szCs w:val="22"/>
              </w:rPr>
              <w:drawing>
                <wp:inline distT="0" distB="0" distL="0" distR="0" wp14:anchorId="4B90D6DD" wp14:editId="7196F5D2">
                  <wp:extent cx="2095500" cy="1571625"/>
                  <wp:effectExtent l="0" t="0" r="0" b="9525"/>
                  <wp:docPr id="89108" name="Image 89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28">
                            <a:extLst>
                              <a:ext uri="{28A0092B-C50C-407E-A947-70E740481C1C}">
                                <a14:useLocalDpi xmlns:a14="http://schemas.microsoft.com/office/drawing/2010/main" val="0"/>
                              </a:ext>
                            </a:extLst>
                          </a:blip>
                          <a:srcRect/>
                          <a:stretch>
                            <a:fillRect/>
                          </a:stretch>
                        </pic:blipFill>
                        <pic:spPr bwMode="auto">
                          <a:xfrm>
                            <a:off x="0" y="0"/>
                            <a:ext cx="2095500" cy="1571625"/>
                          </a:xfrm>
                          <a:prstGeom prst="rect">
                            <a:avLst/>
                          </a:prstGeom>
                          <a:noFill/>
                          <a:ln>
                            <a:noFill/>
                          </a:ln>
                        </pic:spPr>
                      </pic:pic>
                    </a:graphicData>
                  </a:graphic>
                </wp:inline>
              </w:drawing>
            </w:r>
          </w:p>
          <w:p w14:paraId="5CD83C40" w14:textId="5B502AF4" w:rsidR="009D147F" w:rsidRPr="009D147F" w:rsidRDefault="009D147F" w:rsidP="009D147F">
            <w:pPr>
              <w:pStyle w:val="NormalWeb"/>
              <w:spacing w:before="0" w:beforeAutospacing="0" w:after="0" w:afterAutospacing="0"/>
              <w:jc w:val="center"/>
              <w:rPr>
                <w:rFonts w:ascii="Calibri" w:hAnsi="Calibri" w:cs="Calibri"/>
                <w:color w:val="202122"/>
                <w:sz w:val="22"/>
                <w:szCs w:val="22"/>
              </w:rPr>
            </w:pPr>
            <w:r w:rsidRPr="009D147F">
              <w:rPr>
                <w:rFonts w:ascii="Calibri" w:hAnsi="Calibri" w:cs="Calibri"/>
                <w:color w:val="000000" w:themeColor="text1"/>
                <w:sz w:val="22"/>
                <w:szCs w:val="22"/>
                <w:shd w:val="clear" w:color="auto" w:fill="F8F9FA"/>
              </w:rPr>
              <w:t>Ensevelissement d</w:t>
            </w:r>
            <w:r w:rsidRPr="009D147F">
              <w:rPr>
                <w:rFonts w:ascii="Calibri" w:hAnsi="Calibri" w:cs="Calibri"/>
                <w:color w:val="202122"/>
                <w:sz w:val="22"/>
                <w:szCs w:val="22"/>
                <w:shd w:val="clear" w:color="auto" w:fill="F8F9FA"/>
              </w:rPr>
              <w:t>û à une tempête de poussière à Dallas (</w:t>
            </w:r>
            <w:hyperlink r:id="rId3529" w:tooltip="Dakota du Sud" w:history="1">
              <w:r w:rsidRPr="009D147F">
                <w:rPr>
                  <w:rStyle w:val="Lienhypertexte"/>
                  <w:rFonts w:ascii="Calibri" w:hAnsi="Calibri" w:cs="Calibri"/>
                  <w:color w:val="0645AD"/>
                  <w:sz w:val="22"/>
                  <w:szCs w:val="22"/>
                  <w:shd w:val="clear" w:color="auto" w:fill="F8F9FA"/>
                </w:rPr>
                <w:t>Dakota du Sud</w:t>
              </w:r>
            </w:hyperlink>
            <w:r w:rsidRPr="009D147F">
              <w:rPr>
                <w:rFonts w:ascii="Calibri" w:hAnsi="Calibri" w:cs="Calibri"/>
                <w:color w:val="202122"/>
                <w:sz w:val="22"/>
                <w:szCs w:val="22"/>
                <w:shd w:val="clear" w:color="auto" w:fill="F8F9FA"/>
              </w:rPr>
              <w:t>).</w:t>
            </w:r>
          </w:p>
        </w:tc>
      </w:tr>
    </w:tbl>
    <w:p w14:paraId="02B67121" w14:textId="77777777" w:rsidR="005E4260" w:rsidRDefault="005E4260" w:rsidP="00134A85">
      <w:pPr>
        <w:spacing w:after="0" w:line="240" w:lineRule="auto"/>
        <w:jc w:val="both"/>
      </w:pPr>
    </w:p>
    <w:p w14:paraId="03607029" w14:textId="77777777" w:rsidR="00B835CA" w:rsidRDefault="00B835CA" w:rsidP="0054530B">
      <w:pPr>
        <w:pStyle w:val="Titre2"/>
      </w:pPr>
      <w:bookmarkStart w:id="312" w:name="_Toc139181603"/>
      <w:r w:rsidRPr="00C65510">
        <w:t>Grande muraille verte (Afrique)</w:t>
      </w:r>
      <w:bookmarkEnd w:id="312"/>
    </w:p>
    <w:p w14:paraId="25BB975C" w14:textId="77777777" w:rsidR="00B835CA" w:rsidRDefault="00B835CA" w:rsidP="00B835CA">
      <w:pPr>
        <w:spacing w:after="0" w:line="240" w:lineRule="auto"/>
      </w:pPr>
    </w:p>
    <w:p w14:paraId="28AA5C52" w14:textId="77777777" w:rsidR="00B835CA" w:rsidRDefault="00B835CA" w:rsidP="00B835CA">
      <w:pPr>
        <w:spacing w:after="0" w:line="240" w:lineRule="auto"/>
        <w:jc w:val="both"/>
        <w:rPr>
          <w:rFonts w:ascii="Calibri" w:hAnsi="Calibri" w:cs="Calibri"/>
          <w:color w:val="202122"/>
          <w:shd w:val="clear" w:color="auto" w:fill="FFFFFF"/>
        </w:rPr>
      </w:pPr>
      <w:r w:rsidRPr="00B70E57">
        <w:t>Depuis 1900, le Sahara a progressé vers le sud de 250 kilomètres et ce sur un front qui en fait plus de 6 000. C'est ainsi que la steppe du Sahel connaît un dessèchement relativement brutal.</w:t>
      </w:r>
      <w:r>
        <w:t xml:space="preserve"> Le Sahel a connu de grandes sècheresses et famines, des années 70-80. </w:t>
      </w:r>
      <w:r>
        <w:rPr>
          <w:rFonts w:ascii="Calibri" w:hAnsi="Calibri" w:cs="Calibri"/>
          <w:color w:val="000000" w:themeColor="text1"/>
          <w:shd w:val="clear" w:color="auto" w:fill="FFFFFF"/>
        </w:rPr>
        <w:t xml:space="preserve">Pour y remédier et </w:t>
      </w:r>
      <w:r w:rsidRPr="00C5066E">
        <w:rPr>
          <w:rFonts w:ascii="Calibri" w:hAnsi="Calibri" w:cs="Calibri"/>
          <w:color w:val="000000" w:themeColor="text1"/>
          <w:shd w:val="clear" w:color="auto" w:fill="FFFFFF"/>
        </w:rPr>
        <w:t>lutter contre les effets du </w:t>
      </w:r>
      <w:hyperlink r:id="rId3530" w:tooltip="Changement climatique" w:history="1">
        <w:r w:rsidRPr="00C5066E">
          <w:rPr>
            <w:rStyle w:val="Lienhypertexte"/>
            <w:rFonts w:ascii="Calibri" w:hAnsi="Calibri" w:cs="Calibri"/>
            <w:color w:val="0645AD"/>
            <w:shd w:val="clear" w:color="auto" w:fill="FFFFFF"/>
          </w:rPr>
          <w:t>changement climatique</w:t>
        </w:r>
      </w:hyperlink>
      <w:r w:rsidRPr="00C5066E">
        <w:rPr>
          <w:rFonts w:ascii="Calibri" w:hAnsi="Calibri" w:cs="Calibri"/>
          <w:color w:val="202122"/>
          <w:shd w:val="clear" w:color="auto" w:fill="FFFFFF"/>
        </w:rPr>
        <w:t> et de la </w:t>
      </w:r>
      <w:hyperlink r:id="rId3531" w:tooltip="Désertification" w:history="1">
        <w:r w:rsidRPr="00C5066E">
          <w:rPr>
            <w:rStyle w:val="Lienhypertexte"/>
            <w:rFonts w:ascii="Calibri" w:hAnsi="Calibri" w:cs="Calibri"/>
            <w:color w:val="0645AD"/>
            <w:shd w:val="clear" w:color="auto" w:fill="FFFFFF"/>
          </w:rPr>
          <w:t>désertification</w:t>
        </w:r>
      </w:hyperlink>
      <w:r w:rsidRPr="00C5066E">
        <w:rPr>
          <w:rFonts w:ascii="Calibri" w:hAnsi="Calibri" w:cs="Calibri"/>
          <w:color w:val="202122"/>
          <w:shd w:val="clear" w:color="auto" w:fill="FFFFFF"/>
        </w:rPr>
        <w:t> en </w:t>
      </w:r>
      <w:hyperlink r:id="rId3532" w:tooltip="Afrique" w:history="1">
        <w:r w:rsidRPr="00C5066E">
          <w:rPr>
            <w:rStyle w:val="Lienhypertexte"/>
            <w:rFonts w:ascii="Calibri" w:hAnsi="Calibri" w:cs="Calibri"/>
            <w:color w:val="0645AD"/>
            <w:shd w:val="clear" w:color="auto" w:fill="FFFFFF"/>
          </w:rPr>
          <w:t>Afrique</w:t>
        </w:r>
      </w:hyperlink>
      <w:r>
        <w:rPr>
          <w:rFonts w:ascii="Calibri" w:hAnsi="Calibri" w:cs="Calibri"/>
        </w:rPr>
        <w:t>,</w:t>
      </w:r>
      <w:r>
        <w:rPr>
          <w:rFonts w:ascii="Calibri" w:hAnsi="Calibri" w:cs="Calibri"/>
          <w:color w:val="000000" w:themeColor="text1"/>
          <w:shd w:val="clear" w:color="auto" w:fill="FFFFFF"/>
        </w:rPr>
        <w:t xml:space="preserve"> le projet de la</w:t>
      </w:r>
      <w:r w:rsidRPr="00C5066E">
        <w:rPr>
          <w:rFonts w:ascii="Calibri" w:hAnsi="Calibri" w:cs="Calibri"/>
          <w:color w:val="000000" w:themeColor="text1"/>
          <w:shd w:val="clear" w:color="auto" w:fill="FFFFFF"/>
        </w:rPr>
        <w:t> </w:t>
      </w:r>
      <w:r w:rsidRPr="00B70E57">
        <w:rPr>
          <w:rFonts w:ascii="Calibri" w:hAnsi="Calibri" w:cs="Calibri"/>
          <w:i/>
          <w:iCs/>
          <w:color w:val="000000" w:themeColor="text1"/>
          <w:shd w:val="clear" w:color="auto" w:fill="FFFFFF"/>
        </w:rPr>
        <w:t>Grande muraille verte pour le Sahara et le Sahel</w:t>
      </w:r>
      <w:r w:rsidRPr="00C5066E">
        <w:rPr>
          <w:rFonts w:ascii="Calibri" w:hAnsi="Calibri" w:cs="Calibri"/>
          <w:color w:val="000000" w:themeColor="text1"/>
          <w:shd w:val="clear" w:color="auto" w:fill="FFFFFF"/>
        </w:rPr>
        <w:t>, communément appelée </w:t>
      </w:r>
      <w:r w:rsidRPr="00B70E57">
        <w:rPr>
          <w:rFonts w:ascii="Calibri" w:hAnsi="Calibri" w:cs="Calibri"/>
          <w:i/>
          <w:iCs/>
          <w:color w:val="000000" w:themeColor="text1"/>
          <w:shd w:val="clear" w:color="auto" w:fill="FFFFFF"/>
        </w:rPr>
        <w:t>Grande muraille verte (GMV</w:t>
      </w:r>
      <w:r w:rsidRPr="00E502F2">
        <w:rPr>
          <w:rFonts w:ascii="Calibri" w:hAnsi="Calibri" w:cs="Calibri"/>
          <w:i/>
          <w:iCs/>
          <w:color w:val="000000" w:themeColor="text1"/>
          <w:shd w:val="clear" w:color="auto" w:fill="FFFFFF"/>
        </w:rPr>
        <w:t>)</w:t>
      </w:r>
      <w:r w:rsidRPr="00C5066E">
        <w:rPr>
          <w:rFonts w:ascii="Calibri" w:hAnsi="Calibri" w:cs="Calibri"/>
          <w:color w:val="000000" w:themeColor="text1"/>
          <w:shd w:val="clear" w:color="auto" w:fill="FFFFFF"/>
        </w:rPr>
        <w:t xml:space="preserve">, est l’initiative phare de </w:t>
      </w:r>
      <w:r w:rsidRPr="00C5066E">
        <w:rPr>
          <w:rFonts w:ascii="Calibri" w:hAnsi="Calibri" w:cs="Calibri"/>
          <w:color w:val="202122"/>
          <w:shd w:val="clear" w:color="auto" w:fill="FFFFFF"/>
        </w:rPr>
        <w:t>l’</w:t>
      </w:r>
      <w:hyperlink r:id="rId3533" w:tooltip="Union africaine" w:history="1">
        <w:r w:rsidRPr="00C5066E">
          <w:rPr>
            <w:rStyle w:val="Lienhypertexte"/>
            <w:rFonts w:ascii="Calibri" w:hAnsi="Calibri" w:cs="Calibri"/>
            <w:color w:val="0645AD"/>
            <w:shd w:val="clear" w:color="auto" w:fill="FFFFFF"/>
          </w:rPr>
          <w:t>Union africaine</w:t>
        </w:r>
      </w:hyperlink>
      <w:r w:rsidRPr="00C5066E">
        <w:rPr>
          <w:rFonts w:ascii="Calibri" w:hAnsi="Calibri" w:cs="Calibri"/>
        </w:rPr>
        <w:t xml:space="preserve">, </w:t>
      </w:r>
      <w:r w:rsidRPr="00C5066E">
        <w:rPr>
          <w:rFonts w:ascii="Calibri" w:hAnsi="Calibri" w:cs="Calibri"/>
          <w:color w:val="000000" w:themeColor="text1"/>
        </w:rPr>
        <w:t>lancée officiellement en janvier 2007</w:t>
      </w:r>
      <w:r w:rsidRPr="00C5066E">
        <w:rPr>
          <w:rFonts w:ascii="Calibri" w:hAnsi="Calibri" w:cs="Calibri"/>
          <w:color w:val="202122"/>
          <w:shd w:val="clear" w:color="auto" w:fill="FFFFFF"/>
        </w:rPr>
        <w:t xml:space="preserve">. </w:t>
      </w:r>
    </w:p>
    <w:p w14:paraId="2AA47C99" w14:textId="77777777" w:rsidR="00B835CA" w:rsidRDefault="00B835CA" w:rsidP="00B835CA">
      <w:pPr>
        <w:spacing w:after="0" w:line="240" w:lineRule="auto"/>
        <w:jc w:val="both"/>
        <w:rPr>
          <w:rFonts w:ascii="Calibri" w:hAnsi="Calibri" w:cs="Calibri"/>
          <w:color w:val="000000" w:themeColor="text1"/>
          <w:shd w:val="clear" w:color="auto" w:fill="FFFFFF"/>
        </w:rPr>
      </w:pPr>
    </w:p>
    <w:p w14:paraId="034CC603" w14:textId="77777777" w:rsidR="00B835CA" w:rsidRDefault="00B835CA" w:rsidP="00B835CA">
      <w:pPr>
        <w:spacing w:after="0" w:line="240" w:lineRule="auto"/>
        <w:jc w:val="both"/>
        <w:rPr>
          <w:rFonts w:ascii="Calibri" w:hAnsi="Calibri" w:cs="Calibri"/>
          <w:color w:val="000000" w:themeColor="text1"/>
          <w:shd w:val="clear" w:color="auto" w:fill="FFFFFF"/>
        </w:rPr>
      </w:pPr>
      <w:r w:rsidRPr="00793528">
        <w:rPr>
          <w:rFonts w:ascii="Calibri" w:hAnsi="Calibri" w:cs="Calibri"/>
          <w:color w:val="000000" w:themeColor="text1"/>
          <w:shd w:val="clear" w:color="auto" w:fill="FFFFFF"/>
        </w:rPr>
        <w:t>Le projet</w:t>
      </w:r>
      <w:r>
        <w:rPr>
          <w:rFonts w:ascii="Calibri" w:hAnsi="Calibri" w:cs="Calibri"/>
          <w:color w:val="000000" w:themeColor="text1"/>
          <w:shd w:val="clear" w:color="auto" w:fill="FFFFFF"/>
        </w:rPr>
        <w:t xml:space="preserve">, </w:t>
      </w:r>
      <w:r w:rsidRPr="00793528">
        <w:rPr>
          <w:rFonts w:ascii="Calibri" w:hAnsi="Calibri" w:cs="Calibri"/>
          <w:color w:val="000000" w:themeColor="text1"/>
          <w:shd w:val="clear" w:color="auto" w:fill="FFFFFF"/>
        </w:rPr>
        <w:t xml:space="preserve">conçu comme un moyen de lutter contre </w:t>
      </w:r>
      <w:r w:rsidRPr="00793528">
        <w:rPr>
          <w:rFonts w:ascii="Calibri" w:hAnsi="Calibri" w:cs="Calibri"/>
          <w:color w:val="202122"/>
          <w:shd w:val="clear" w:color="auto" w:fill="FFFFFF"/>
        </w:rPr>
        <w:t>la </w:t>
      </w:r>
      <w:hyperlink r:id="rId3534" w:tooltip="Désertification" w:history="1">
        <w:r w:rsidRPr="00793528">
          <w:rPr>
            <w:rStyle w:val="Lienhypertexte"/>
            <w:rFonts w:ascii="Calibri" w:hAnsi="Calibri" w:cs="Calibri"/>
            <w:color w:val="0645AD"/>
            <w:shd w:val="clear" w:color="auto" w:fill="FFFFFF"/>
          </w:rPr>
          <w:t>désertification</w:t>
        </w:r>
      </w:hyperlink>
      <w:r w:rsidRPr="00793528">
        <w:rPr>
          <w:rFonts w:ascii="Calibri" w:hAnsi="Calibri" w:cs="Calibri"/>
          <w:color w:val="202122"/>
          <w:shd w:val="clear" w:color="auto" w:fill="FFFFFF"/>
        </w:rPr>
        <w:t> dans la </w:t>
      </w:r>
      <w:hyperlink r:id="rId3535" w:tooltip="Sahel" w:history="1">
        <w:r w:rsidRPr="00793528">
          <w:rPr>
            <w:rStyle w:val="Lienhypertexte"/>
            <w:rFonts w:ascii="Calibri" w:hAnsi="Calibri" w:cs="Calibri"/>
            <w:color w:val="0645AD"/>
            <w:shd w:val="clear" w:color="auto" w:fill="FFFFFF"/>
          </w:rPr>
          <w:t>région</w:t>
        </w:r>
      </w:hyperlink>
      <w:r w:rsidRPr="00793528">
        <w:rPr>
          <w:rFonts w:ascii="Calibri" w:hAnsi="Calibri" w:cs="Calibri"/>
          <w:color w:val="202122"/>
          <w:shd w:val="clear" w:color="auto" w:fill="FFFFFF"/>
        </w:rPr>
        <w:t> du </w:t>
      </w:r>
      <w:hyperlink r:id="rId3536" w:tooltip="Sahel" w:history="1">
        <w:r w:rsidRPr="00793528">
          <w:rPr>
            <w:rStyle w:val="Lienhypertexte"/>
            <w:rFonts w:ascii="Calibri" w:hAnsi="Calibri" w:cs="Calibri"/>
            <w:color w:val="0645AD"/>
            <w:shd w:val="clear" w:color="auto" w:fill="FFFFFF"/>
          </w:rPr>
          <w:t>Sahel</w:t>
        </w:r>
      </w:hyperlink>
      <w:r w:rsidRPr="00793528">
        <w:rPr>
          <w:rFonts w:ascii="Calibri" w:hAnsi="Calibri" w:cs="Calibri"/>
          <w:color w:val="202122"/>
          <w:shd w:val="clear" w:color="auto" w:fill="FFFFFF"/>
        </w:rPr>
        <w:t> </w:t>
      </w:r>
      <w:r w:rsidRPr="00793528">
        <w:rPr>
          <w:rFonts w:ascii="Calibri" w:hAnsi="Calibri" w:cs="Calibri"/>
          <w:color w:val="000000" w:themeColor="text1"/>
          <w:shd w:val="clear" w:color="auto" w:fill="FFFFFF"/>
        </w:rPr>
        <w:t>et d’empêcher l'expansion du </w:t>
      </w:r>
      <w:hyperlink r:id="rId3537" w:tooltip="Sahara" w:history="1">
        <w:r w:rsidRPr="00793528">
          <w:rPr>
            <w:rStyle w:val="Lienhypertexte"/>
            <w:rFonts w:ascii="Calibri" w:hAnsi="Calibri" w:cs="Calibri"/>
            <w:color w:val="0645AD"/>
            <w:shd w:val="clear" w:color="auto" w:fill="FFFFFF"/>
          </w:rPr>
          <w:t>Sahara</w:t>
        </w:r>
      </w:hyperlink>
      <w:r w:rsidRPr="00793528">
        <w:rPr>
          <w:rFonts w:ascii="Calibri" w:hAnsi="Calibri" w:cs="Calibri"/>
          <w:color w:val="202122"/>
          <w:shd w:val="clear" w:color="auto" w:fill="FFFFFF"/>
        </w:rPr>
        <w:t xml:space="preserve">, </w:t>
      </w:r>
      <w:r>
        <w:rPr>
          <w:rFonts w:ascii="Calibri" w:hAnsi="Calibri" w:cs="Calibri"/>
          <w:color w:val="000000" w:themeColor="text1"/>
          <w:shd w:val="clear" w:color="auto" w:fill="FFFFFF"/>
        </w:rPr>
        <w:t>par la</w:t>
      </w:r>
      <w:r w:rsidRPr="00793528">
        <w:rPr>
          <w:rFonts w:ascii="Calibri" w:hAnsi="Calibri" w:cs="Calibri"/>
          <w:color w:val="000000" w:themeColor="text1"/>
          <w:shd w:val="clear" w:color="auto" w:fill="FFFFFF"/>
        </w:rPr>
        <w:t xml:space="preserve"> planta</w:t>
      </w:r>
      <w:r>
        <w:rPr>
          <w:rFonts w:ascii="Calibri" w:hAnsi="Calibri" w:cs="Calibri"/>
          <w:color w:val="000000" w:themeColor="text1"/>
          <w:shd w:val="clear" w:color="auto" w:fill="FFFFFF"/>
        </w:rPr>
        <w:t>tion</w:t>
      </w:r>
      <w:r w:rsidRPr="00793528">
        <w:rPr>
          <w:rFonts w:ascii="Calibri" w:hAnsi="Calibri" w:cs="Calibri"/>
          <w:color w:val="000000" w:themeColor="text1"/>
          <w:shd w:val="clear" w:color="auto" w:fill="FFFFFF"/>
        </w:rPr>
        <w:t xml:space="preserve"> </w:t>
      </w:r>
      <w:r>
        <w:rPr>
          <w:rFonts w:ascii="Calibri" w:hAnsi="Calibri" w:cs="Calibri"/>
          <w:color w:val="000000" w:themeColor="text1"/>
          <w:shd w:val="clear" w:color="auto" w:fill="FFFFFF"/>
        </w:rPr>
        <w:t>d’</w:t>
      </w:r>
      <w:r w:rsidRPr="00793528">
        <w:rPr>
          <w:rFonts w:ascii="Calibri" w:hAnsi="Calibri" w:cs="Calibri"/>
          <w:color w:val="000000" w:themeColor="text1"/>
          <w:shd w:val="clear" w:color="auto" w:fill="FFFFFF"/>
        </w:rPr>
        <w:t>un mur d'arbres qui s'étend sur tout le Sahel</w:t>
      </w:r>
      <w:r>
        <w:rPr>
          <w:rFonts w:ascii="Calibri" w:hAnsi="Calibri" w:cs="Calibri"/>
          <w:color w:val="000000" w:themeColor="text1"/>
          <w:shd w:val="clear" w:color="auto" w:fill="FFFFFF"/>
        </w:rPr>
        <w:t>,</w:t>
      </w:r>
      <w:r w:rsidRPr="00793528">
        <w:rPr>
          <w:rFonts w:ascii="Calibri" w:hAnsi="Calibri" w:cs="Calibri"/>
          <w:color w:val="000000" w:themeColor="text1"/>
          <w:shd w:val="clear" w:color="auto" w:fill="FFFFFF"/>
        </w:rPr>
        <w:t xml:space="preserve"> se veut une réponse à l'effet combiné de la dégradation des </w:t>
      </w:r>
      <w:hyperlink r:id="rId3538" w:tooltip="Natural resources" w:history="1">
        <w:r w:rsidRPr="00793528">
          <w:rPr>
            <w:rStyle w:val="Lienhypertexte"/>
            <w:rFonts w:ascii="Calibri" w:hAnsi="Calibri" w:cs="Calibri"/>
            <w:color w:val="0645AD"/>
            <w:shd w:val="clear" w:color="auto" w:fill="FFFFFF"/>
          </w:rPr>
          <w:t>ressources naturelles</w:t>
        </w:r>
      </w:hyperlink>
      <w:r w:rsidRPr="00793528">
        <w:rPr>
          <w:rFonts w:ascii="Calibri" w:hAnsi="Calibri" w:cs="Calibri"/>
          <w:color w:val="202122"/>
          <w:shd w:val="clear" w:color="auto" w:fill="FFFFFF"/>
        </w:rPr>
        <w:t> </w:t>
      </w:r>
      <w:r w:rsidRPr="00793528">
        <w:rPr>
          <w:rFonts w:ascii="Calibri" w:hAnsi="Calibri" w:cs="Calibri"/>
          <w:color w:val="000000" w:themeColor="text1"/>
          <w:shd w:val="clear" w:color="auto" w:fill="FFFFFF"/>
        </w:rPr>
        <w:t>et de la sécheresse dans les zones rurales. Il vise à aider les communautés à</w:t>
      </w:r>
      <w:r w:rsidRPr="00793528">
        <w:rPr>
          <w:rFonts w:ascii="Calibri" w:hAnsi="Calibri" w:cs="Calibri"/>
          <w:color w:val="202122"/>
          <w:shd w:val="clear" w:color="auto" w:fill="FFFFFF"/>
        </w:rPr>
        <w:t> </w:t>
      </w:r>
      <w:hyperlink r:id="rId3539" w:tooltip="Atténuation du changement climatique" w:history="1">
        <w:r w:rsidRPr="00793528">
          <w:rPr>
            <w:rStyle w:val="Lienhypertexte"/>
            <w:rFonts w:ascii="Calibri" w:hAnsi="Calibri" w:cs="Calibri"/>
            <w:color w:val="0645AD"/>
            <w:shd w:val="clear" w:color="auto" w:fill="FFFFFF"/>
          </w:rPr>
          <w:t>atténuer</w:t>
        </w:r>
      </w:hyperlink>
      <w:r w:rsidRPr="00793528">
        <w:rPr>
          <w:rFonts w:ascii="Calibri" w:hAnsi="Calibri" w:cs="Calibri"/>
          <w:color w:val="202122"/>
          <w:shd w:val="clear" w:color="auto" w:fill="FFFFFF"/>
        </w:rPr>
        <w:t> et à </w:t>
      </w:r>
      <w:hyperlink r:id="rId3540" w:tooltip="Adaptation au changement climatique" w:history="1">
        <w:r w:rsidRPr="00793528">
          <w:rPr>
            <w:rStyle w:val="Lienhypertexte"/>
            <w:rFonts w:ascii="Calibri" w:hAnsi="Calibri" w:cs="Calibri"/>
            <w:color w:val="0645AD"/>
            <w:shd w:val="clear" w:color="auto" w:fill="FFFFFF"/>
          </w:rPr>
          <w:t>s'adapter</w:t>
        </w:r>
      </w:hyperlink>
      <w:r w:rsidRPr="00793528">
        <w:rPr>
          <w:rFonts w:ascii="Calibri" w:hAnsi="Calibri" w:cs="Calibri"/>
          <w:color w:val="202122"/>
          <w:shd w:val="clear" w:color="auto" w:fill="FFFFFF"/>
        </w:rPr>
        <w:t> </w:t>
      </w:r>
      <w:r w:rsidRPr="00793528">
        <w:rPr>
          <w:rFonts w:ascii="Calibri" w:hAnsi="Calibri" w:cs="Calibri"/>
          <w:color w:val="000000" w:themeColor="text1"/>
          <w:shd w:val="clear" w:color="auto" w:fill="FFFFFF"/>
        </w:rPr>
        <w:t>au changement climatique ainsi qu'à améliore</w:t>
      </w:r>
      <w:r w:rsidRPr="00793528">
        <w:rPr>
          <w:rFonts w:ascii="Calibri" w:hAnsi="Calibri" w:cs="Calibri"/>
          <w:color w:val="202122"/>
          <w:shd w:val="clear" w:color="auto" w:fill="FFFFFF"/>
        </w:rPr>
        <w:t>r </w:t>
      </w:r>
      <w:hyperlink r:id="rId3541" w:tooltip="La sécurité alimentaire" w:history="1">
        <w:r w:rsidRPr="00793528">
          <w:rPr>
            <w:rStyle w:val="Lienhypertexte"/>
            <w:rFonts w:ascii="Calibri" w:hAnsi="Calibri" w:cs="Calibri"/>
            <w:color w:val="0645AD"/>
            <w:shd w:val="clear" w:color="auto" w:fill="FFFFFF"/>
          </w:rPr>
          <w:t>la sécurité alimentaire</w:t>
        </w:r>
      </w:hyperlink>
      <w:r w:rsidRPr="00793528">
        <w:rPr>
          <w:rFonts w:ascii="Calibri" w:hAnsi="Calibri" w:cs="Calibri"/>
          <w:color w:val="202122"/>
          <w:shd w:val="clear" w:color="auto" w:fill="FFFFFF"/>
        </w:rPr>
        <w:t>. </w:t>
      </w:r>
      <w:r w:rsidRPr="00793528">
        <w:rPr>
          <w:rFonts w:ascii="Calibri" w:hAnsi="Calibri" w:cs="Calibri"/>
          <w:color w:val="000000" w:themeColor="text1"/>
          <w:shd w:val="clear" w:color="auto" w:fill="FFFFFF"/>
        </w:rPr>
        <w:t>La population du Sahel devant doubler d'ici 2039, il cherche à maintenir la production alimentaire et de la protection de l'environnement dans la région.</w:t>
      </w:r>
      <w:r>
        <w:rPr>
          <w:rFonts w:ascii="Calibri" w:hAnsi="Calibri" w:cs="Calibri"/>
          <w:color w:val="000000" w:themeColor="text1"/>
          <w:shd w:val="clear" w:color="auto" w:fill="FFFFFF"/>
        </w:rPr>
        <w:t xml:space="preserve"> </w:t>
      </w:r>
    </w:p>
    <w:p w14:paraId="33551F0F" w14:textId="77777777" w:rsidR="00B835CA" w:rsidRPr="00793528" w:rsidRDefault="00B835CA" w:rsidP="00B835CA">
      <w:pPr>
        <w:spacing w:after="0" w:line="240" w:lineRule="auto"/>
        <w:jc w:val="both"/>
        <w:rPr>
          <w:rFonts w:ascii="Calibri" w:hAnsi="Calibri" w:cs="Calibri"/>
          <w:color w:val="000000" w:themeColor="text1"/>
          <w:shd w:val="clear" w:color="auto" w:fill="FFFFFF"/>
        </w:rPr>
      </w:pPr>
      <w:r w:rsidRPr="00C5066E">
        <w:rPr>
          <w:rFonts w:ascii="Calibri" w:hAnsi="Calibri" w:cs="Calibri"/>
          <w:color w:val="000000" w:themeColor="text1"/>
          <w:shd w:val="clear" w:color="auto" w:fill="FFFFFF"/>
        </w:rPr>
        <w:t>Initialement conçue comme un long couloir de 15 </w:t>
      </w:r>
      <w:r w:rsidRPr="00C5066E">
        <w:rPr>
          <w:rFonts w:ascii="Calibri" w:hAnsi="Calibri" w:cs="Calibri"/>
          <w:color w:val="000000" w:themeColor="text1"/>
        </w:rPr>
        <w:t>km</w:t>
      </w:r>
      <w:r w:rsidRPr="00C5066E">
        <w:rPr>
          <w:rFonts w:ascii="Calibri" w:hAnsi="Calibri" w:cs="Calibri"/>
          <w:color w:val="000000" w:themeColor="text1"/>
          <w:shd w:val="clear" w:color="auto" w:fill="FFFFFF"/>
        </w:rPr>
        <w:t> de large traversant tout le continent africain sur 7 800 </w:t>
      </w:r>
      <w:r w:rsidRPr="00C5066E">
        <w:rPr>
          <w:rFonts w:ascii="Calibri" w:hAnsi="Calibri" w:cs="Calibri"/>
          <w:color w:val="000000" w:themeColor="text1"/>
        </w:rPr>
        <w:t>km</w:t>
      </w:r>
      <w:r w:rsidRPr="00C5066E">
        <w:rPr>
          <w:rFonts w:ascii="Calibri" w:hAnsi="Calibri" w:cs="Calibri"/>
          <w:color w:val="000000" w:themeColor="text1"/>
          <w:shd w:val="clear" w:color="auto" w:fill="FFFFFF"/>
        </w:rPr>
        <w:t xml:space="preserve"> en passant par 11 pays, cette muraille </w:t>
      </w:r>
      <w:r>
        <w:rPr>
          <w:rFonts w:ascii="Calibri" w:hAnsi="Calibri" w:cs="Calibri"/>
          <w:color w:val="000000" w:themeColor="text1"/>
          <w:shd w:val="clear" w:color="auto" w:fill="FFFFFF"/>
        </w:rPr>
        <w:t>devrait</w:t>
      </w:r>
      <w:r w:rsidRPr="00C5066E">
        <w:rPr>
          <w:rFonts w:ascii="Calibri" w:hAnsi="Calibri" w:cs="Calibri"/>
          <w:color w:val="000000" w:themeColor="text1"/>
          <w:shd w:val="clear" w:color="auto" w:fill="FFFFFF"/>
        </w:rPr>
        <w:t xml:space="preserve"> relier </w:t>
      </w:r>
      <w:hyperlink r:id="rId3542" w:tooltip="Dakar" w:history="1">
        <w:r w:rsidRPr="00C5066E">
          <w:rPr>
            <w:rStyle w:val="Lienhypertexte"/>
            <w:rFonts w:ascii="Calibri" w:hAnsi="Calibri" w:cs="Calibri"/>
            <w:color w:val="0645AD"/>
            <w:shd w:val="clear" w:color="auto" w:fill="FFFFFF"/>
          </w:rPr>
          <w:t>Dakar</w:t>
        </w:r>
      </w:hyperlink>
      <w:r w:rsidRPr="00C5066E">
        <w:rPr>
          <w:rFonts w:ascii="Calibri" w:hAnsi="Calibri" w:cs="Calibri"/>
          <w:color w:val="202122"/>
          <w:shd w:val="clear" w:color="auto" w:fill="FFFFFF"/>
        </w:rPr>
        <w:t> (</w:t>
      </w:r>
      <w:hyperlink r:id="rId3543" w:tooltip="Sénégal" w:history="1">
        <w:r w:rsidRPr="00C5066E">
          <w:rPr>
            <w:rStyle w:val="Lienhypertexte"/>
            <w:rFonts w:ascii="Calibri" w:hAnsi="Calibri" w:cs="Calibri"/>
            <w:color w:val="0645AD"/>
            <w:shd w:val="clear" w:color="auto" w:fill="FFFFFF"/>
          </w:rPr>
          <w:t>Sénégal</w:t>
        </w:r>
      </w:hyperlink>
      <w:r w:rsidRPr="00C5066E">
        <w:rPr>
          <w:rFonts w:ascii="Calibri" w:hAnsi="Calibri" w:cs="Calibri"/>
          <w:color w:val="202122"/>
          <w:shd w:val="clear" w:color="auto" w:fill="FFFFFF"/>
        </w:rPr>
        <w:t>) à </w:t>
      </w:r>
      <w:hyperlink r:id="rId3544" w:tooltip="Djibouti" w:history="1">
        <w:r w:rsidRPr="00C5066E">
          <w:rPr>
            <w:rStyle w:val="Lienhypertexte"/>
            <w:rFonts w:ascii="Calibri" w:hAnsi="Calibri" w:cs="Calibri"/>
            <w:color w:val="0645AD"/>
            <w:shd w:val="clear" w:color="auto" w:fill="FFFFFF"/>
          </w:rPr>
          <w:t>Djibouti</w:t>
        </w:r>
      </w:hyperlink>
      <w:r w:rsidRPr="00C5066E">
        <w:rPr>
          <w:rFonts w:ascii="Calibri" w:hAnsi="Calibri" w:cs="Calibri"/>
          <w:color w:val="202122"/>
          <w:shd w:val="clear" w:color="auto" w:fill="FFFFFF"/>
        </w:rPr>
        <w:t xml:space="preserve"> ; </w:t>
      </w:r>
      <w:r w:rsidRPr="00C5066E">
        <w:rPr>
          <w:rFonts w:ascii="Calibri" w:hAnsi="Calibri" w:cs="Calibri"/>
          <w:color w:val="000000" w:themeColor="text1"/>
          <w:shd w:val="clear" w:color="auto" w:fill="FFFFFF"/>
        </w:rPr>
        <w:t xml:space="preserve">cela représentera environ </w:t>
      </w:r>
      <w:r w:rsidRPr="00793528">
        <w:rPr>
          <w:rFonts w:ascii="Calibri" w:hAnsi="Calibri" w:cs="Calibri"/>
          <w:color w:val="000000" w:themeColor="text1"/>
          <w:shd w:val="clear" w:color="auto" w:fill="FFFFFF"/>
        </w:rPr>
        <w:t>117 000 </w:t>
      </w:r>
      <w:r w:rsidRPr="00793528">
        <w:rPr>
          <w:rFonts w:ascii="Calibri" w:hAnsi="Calibri" w:cs="Calibri"/>
          <w:color w:val="000000" w:themeColor="text1"/>
        </w:rPr>
        <w:t>km</w:t>
      </w:r>
      <w:r w:rsidRPr="00793528">
        <w:rPr>
          <w:rFonts w:ascii="Calibri" w:hAnsi="Calibri" w:cs="Calibri"/>
          <w:color w:val="000000" w:themeColor="text1"/>
          <w:vertAlign w:val="superscript"/>
        </w:rPr>
        <w:t>2</w:t>
      </w:r>
      <w:r w:rsidRPr="00793528">
        <w:rPr>
          <w:rFonts w:ascii="Calibri" w:hAnsi="Calibri" w:cs="Calibri"/>
          <w:color w:val="000000" w:themeColor="text1"/>
          <w:shd w:val="clear" w:color="auto" w:fill="FFFFFF"/>
        </w:rPr>
        <w:t>, ou 11,7 millions d'hectares.</w:t>
      </w:r>
    </w:p>
    <w:p w14:paraId="63953E3E" w14:textId="77777777" w:rsidR="00B835CA" w:rsidRPr="000B2243" w:rsidRDefault="00B835CA" w:rsidP="00B835CA">
      <w:pPr>
        <w:spacing w:after="0" w:line="240" w:lineRule="auto"/>
        <w:jc w:val="both"/>
        <w:rPr>
          <w:rFonts w:ascii="Calibri" w:hAnsi="Calibri" w:cs="Calibri"/>
          <w:color w:val="202122"/>
          <w:shd w:val="clear" w:color="auto" w:fill="FFFFFF"/>
        </w:rPr>
      </w:pPr>
      <w:r>
        <w:rPr>
          <w:rFonts w:ascii="Calibri" w:hAnsi="Calibri" w:cs="Calibri"/>
          <w:color w:val="000000" w:themeColor="text1"/>
          <w:shd w:val="clear" w:color="auto" w:fill="FFFFFF"/>
        </w:rPr>
        <w:t>Depuis, i</w:t>
      </w:r>
      <w:r w:rsidRPr="00793528">
        <w:rPr>
          <w:rFonts w:ascii="Calibri" w:hAnsi="Calibri" w:cs="Calibri"/>
          <w:color w:val="000000" w:themeColor="text1"/>
          <w:shd w:val="clear" w:color="auto" w:fill="FFFFFF"/>
        </w:rPr>
        <w:t>l s'est depuis transformé en un programme promouvant les techniques de collecte de l'eau et de protection de la verdure et tout en améliorant les techniques indigènes d'utilisation des terres, visant à créer une mosaïque de paysages</w:t>
      </w:r>
      <w:r>
        <w:rPr>
          <w:rFonts w:ascii="Calibri" w:hAnsi="Calibri" w:cs="Calibri"/>
          <w:color w:val="000000" w:themeColor="text1"/>
          <w:shd w:val="clear" w:color="auto" w:fill="FFFFFF"/>
        </w:rPr>
        <w:t xml:space="preserve"> (</w:t>
      </w:r>
      <w:r w:rsidRPr="00C5066E">
        <w:rPr>
          <w:rFonts w:ascii="Calibri" w:hAnsi="Calibri" w:cs="Calibri"/>
          <w:color w:val="000000" w:themeColor="text1"/>
          <w:shd w:val="clear" w:color="auto" w:fill="FFFFFF"/>
        </w:rPr>
        <w:t>d’écosystème</w:t>
      </w:r>
      <w:r>
        <w:rPr>
          <w:rFonts w:ascii="Calibri" w:hAnsi="Calibri" w:cs="Calibri"/>
          <w:color w:val="000000" w:themeColor="text1"/>
          <w:shd w:val="clear" w:color="auto" w:fill="FFFFFF"/>
        </w:rPr>
        <w:t>)</w:t>
      </w:r>
      <w:r w:rsidRPr="00793528">
        <w:rPr>
          <w:rFonts w:ascii="Calibri" w:hAnsi="Calibri" w:cs="Calibri"/>
          <w:color w:val="000000" w:themeColor="text1"/>
          <w:shd w:val="clear" w:color="auto" w:fill="FFFFFF"/>
        </w:rPr>
        <w:t xml:space="preserve"> verts et productifs</w:t>
      </w:r>
      <w:r>
        <w:rPr>
          <w:rFonts w:ascii="Calibri" w:hAnsi="Calibri" w:cs="Calibri"/>
          <w:color w:val="000000" w:themeColor="text1"/>
          <w:shd w:val="clear" w:color="auto" w:fill="FFFFFF"/>
        </w:rPr>
        <w:t>,</w:t>
      </w:r>
      <w:r w:rsidRPr="00793528">
        <w:rPr>
          <w:rFonts w:ascii="Calibri" w:hAnsi="Calibri" w:cs="Calibri"/>
          <w:color w:val="000000" w:themeColor="text1"/>
          <w:shd w:val="clear" w:color="auto" w:fill="FFFFFF"/>
        </w:rPr>
        <w:t xml:space="preserve"> à travers l'Afrique </w:t>
      </w:r>
      <w:r>
        <w:rPr>
          <w:rFonts w:ascii="Calibri" w:hAnsi="Calibri" w:cs="Calibri"/>
          <w:color w:val="000000" w:themeColor="text1"/>
          <w:shd w:val="clear" w:color="auto" w:fill="FFFFFF"/>
        </w:rPr>
        <w:t>sub-saharienne (Sahel), L’Afrique du Nord et la Corne de l’Afrique</w:t>
      </w:r>
      <w:r w:rsidRPr="00C5066E">
        <w:rPr>
          <w:rFonts w:ascii="Calibri" w:hAnsi="Calibri" w:cs="Calibri"/>
          <w:color w:val="202122"/>
          <w:shd w:val="clear" w:color="auto" w:fill="FFFFFF"/>
        </w:rPr>
        <w:t xml:space="preserve">. </w:t>
      </w:r>
      <w:r w:rsidRPr="00FD6ACA">
        <w:rPr>
          <w:rFonts w:ascii="Calibri" w:hAnsi="Calibri" w:cs="Calibri"/>
          <w:color w:val="000000" w:themeColor="text1"/>
          <w:shd w:val="clear" w:color="auto" w:fill="FFFFFF"/>
        </w:rPr>
        <w:t>En tant qu’outil de programmation pour le </w:t>
      </w:r>
      <w:hyperlink r:id="rId3545" w:tooltip="Développement rural" w:history="1">
        <w:r w:rsidRPr="00FD6ACA">
          <w:rPr>
            <w:rStyle w:val="Lienhypertexte"/>
            <w:rFonts w:ascii="Calibri" w:hAnsi="Calibri" w:cs="Calibri"/>
            <w:color w:val="0645AD"/>
            <w:shd w:val="clear" w:color="auto" w:fill="FFFFFF"/>
          </w:rPr>
          <w:t>développement rural</w:t>
        </w:r>
      </w:hyperlink>
      <w:r w:rsidRPr="00FD6ACA">
        <w:rPr>
          <w:rFonts w:ascii="Calibri" w:hAnsi="Calibri" w:cs="Calibri"/>
          <w:color w:val="202122"/>
          <w:shd w:val="clear" w:color="auto" w:fill="FFFFFF"/>
        </w:rPr>
        <w:t xml:space="preserve">, </w:t>
      </w:r>
      <w:r w:rsidRPr="00FD6ACA">
        <w:rPr>
          <w:rFonts w:ascii="Calibri" w:hAnsi="Calibri" w:cs="Calibri"/>
          <w:color w:val="000000" w:themeColor="text1"/>
          <w:shd w:val="clear" w:color="auto" w:fill="FFFFFF"/>
        </w:rPr>
        <w:t>l’objectif global de ce partenariat sous-régional est de renforcer la résilience des populations locales et des systèmes naturels de la région , au </w:t>
      </w:r>
      <w:hyperlink r:id="rId3546" w:tooltip="Sahel" w:history="1">
        <w:r w:rsidRPr="00FD6ACA">
          <w:rPr>
            <w:rStyle w:val="Lienhypertexte"/>
            <w:rFonts w:ascii="Calibri" w:hAnsi="Calibri" w:cs="Calibri"/>
            <w:color w:val="0645AD"/>
            <w:shd w:val="clear" w:color="auto" w:fill="FFFFFF"/>
          </w:rPr>
          <w:t>Sahel</w:t>
        </w:r>
      </w:hyperlink>
      <w:r w:rsidRPr="00FD6ACA">
        <w:rPr>
          <w:rFonts w:ascii="Calibri" w:hAnsi="Calibri" w:cs="Calibri"/>
          <w:color w:val="202122"/>
          <w:shd w:val="clear" w:color="auto" w:fill="FFFFFF"/>
        </w:rPr>
        <w:t> et au </w:t>
      </w:r>
      <w:hyperlink r:id="rId3547" w:history="1">
        <w:r w:rsidRPr="00FD6ACA">
          <w:rPr>
            <w:rStyle w:val="Lienhypertexte"/>
            <w:rFonts w:ascii="Calibri" w:hAnsi="Calibri" w:cs="Calibri"/>
            <w:color w:val="0645AD"/>
            <w:shd w:val="clear" w:color="auto" w:fill="FFFFFF"/>
          </w:rPr>
          <w:t>Sahara</w:t>
        </w:r>
      </w:hyperlink>
      <w:r w:rsidRPr="00FD6ACA">
        <w:rPr>
          <w:rFonts w:ascii="Calibri" w:hAnsi="Calibri" w:cs="Calibri"/>
          <w:color w:val="202122"/>
          <w:shd w:val="clear" w:color="auto" w:fill="FFFFFF"/>
        </w:rPr>
        <w:t xml:space="preserve">, </w:t>
      </w:r>
      <w:r w:rsidRPr="00FD6ACA">
        <w:rPr>
          <w:rFonts w:ascii="Calibri" w:hAnsi="Calibri" w:cs="Calibri"/>
          <w:color w:val="000000" w:themeColor="text1"/>
          <w:shd w:val="clear" w:color="auto" w:fill="FFFFFF"/>
        </w:rPr>
        <w:t>grâce à une gestion rationnelle des </w:t>
      </w:r>
      <w:hyperlink r:id="rId3548" w:tooltip="Écosystème" w:history="1">
        <w:r w:rsidRPr="00FD6ACA">
          <w:rPr>
            <w:rStyle w:val="Lienhypertexte"/>
            <w:rFonts w:ascii="Calibri" w:hAnsi="Calibri" w:cs="Calibri"/>
            <w:color w:val="0645AD"/>
            <w:shd w:val="clear" w:color="auto" w:fill="FFFFFF"/>
          </w:rPr>
          <w:t>écosystèmes</w:t>
        </w:r>
      </w:hyperlink>
      <w:r w:rsidRPr="00FD6ACA">
        <w:rPr>
          <w:rFonts w:ascii="Calibri" w:hAnsi="Calibri" w:cs="Calibri"/>
        </w:rPr>
        <w:t xml:space="preserve"> _ </w:t>
      </w:r>
      <w:r w:rsidRPr="00FD6ACA">
        <w:rPr>
          <w:rFonts w:ascii="Calibri" w:hAnsi="Calibri" w:cs="Calibri"/>
          <w:color w:val="000000" w:themeColor="text1"/>
        </w:rPr>
        <w:t>avec l’</w:t>
      </w:r>
      <w:r w:rsidRPr="00FD6ACA">
        <w:rPr>
          <w:rFonts w:ascii="Calibri" w:hAnsi="Calibri" w:cs="Calibri"/>
          <w:color w:val="000000" w:themeColor="text1"/>
          <w:shd w:val="clear" w:color="auto" w:fill="FFFFFF"/>
        </w:rPr>
        <w:t xml:space="preserve">utilisation durable des forêts, des pâturages et de </w:t>
      </w:r>
      <w:r w:rsidRPr="00FD6ACA">
        <w:rPr>
          <w:rFonts w:ascii="Calibri" w:hAnsi="Calibri" w:cs="Calibri"/>
          <w:color w:val="000000" w:themeColor="text1"/>
          <w:shd w:val="clear" w:color="auto" w:fill="FFFFFF"/>
        </w:rPr>
        <w:lastRenderedPageBreak/>
        <w:t>l'ensemble des ressources naturelles dans les terres arides</w:t>
      </w:r>
      <w:r w:rsidRPr="00FD6ACA">
        <w:rPr>
          <w:rFonts w:ascii="Calibri" w:hAnsi="Calibri" w:cs="Calibri"/>
          <w:color w:val="000000" w:themeColor="text1"/>
        </w:rPr>
        <w:t xml:space="preserve"> _</w:t>
      </w:r>
      <w:r w:rsidRPr="00FD6ACA">
        <w:rPr>
          <w:rFonts w:ascii="Calibri" w:hAnsi="Calibri" w:cs="Calibri"/>
          <w:color w:val="000000" w:themeColor="text1"/>
          <w:shd w:val="clear" w:color="auto" w:fill="FFFFFF"/>
        </w:rPr>
        <w:t>, à la protection du patrimoine rural et à l'amélioration des conditions de vie des communautés locales et de leurs revenus.</w:t>
      </w:r>
    </w:p>
    <w:p w14:paraId="6F81BF6A" w14:textId="77777777" w:rsidR="00B835CA" w:rsidRPr="000B2243" w:rsidRDefault="00B835CA" w:rsidP="00B835CA">
      <w:pPr>
        <w:spacing w:after="0" w:line="240" w:lineRule="auto"/>
        <w:jc w:val="both"/>
        <w:rPr>
          <w:color w:val="000000" w:themeColor="text1"/>
        </w:rPr>
      </w:pPr>
      <w:r w:rsidRPr="000B2243">
        <w:rPr>
          <w:color w:val="000000" w:themeColor="text1"/>
        </w:rPr>
        <w:t xml:space="preserve">Selon l'Union Européenne, cette initiative peut s'attaquer aux causes profondes [des problèmes de cette région, pauvreté, malnutrition, révoltes en raison de ces problèmes] et peut </w:t>
      </w:r>
      <w:r w:rsidRPr="000B2243">
        <w:rPr>
          <w:i/>
          <w:iCs/>
          <w:color w:val="000000" w:themeColor="text1"/>
        </w:rPr>
        <w:t>œuvrer à la prévention des conflits</w:t>
      </w:r>
      <w:r w:rsidRPr="000B2243">
        <w:rPr>
          <w:color w:val="000000" w:themeColor="text1"/>
        </w:rPr>
        <w:t>.</w:t>
      </w:r>
    </w:p>
    <w:p w14:paraId="5F993F1D" w14:textId="77777777" w:rsidR="00B835CA" w:rsidRDefault="00B835CA" w:rsidP="00B835CA">
      <w:pPr>
        <w:spacing w:after="0" w:line="240" w:lineRule="auto"/>
        <w:jc w:val="both"/>
        <w:rPr>
          <w:rFonts w:ascii="Calibri" w:hAnsi="Calibri" w:cs="Calibri"/>
          <w:color w:val="000000" w:themeColor="text1"/>
          <w:shd w:val="clear" w:color="auto" w:fill="FFFFFF"/>
        </w:rPr>
      </w:pPr>
    </w:p>
    <w:p w14:paraId="1517343F" w14:textId="77777777" w:rsidR="00B835CA" w:rsidRDefault="00B835CA" w:rsidP="00B835CA">
      <w:pPr>
        <w:spacing w:after="0" w:line="240" w:lineRule="auto"/>
        <w:jc w:val="both"/>
        <w:rPr>
          <w:rFonts w:ascii="Calibri" w:hAnsi="Calibri" w:cs="Calibri"/>
          <w:color w:val="000000" w:themeColor="text1"/>
        </w:rPr>
      </w:pPr>
      <w:r w:rsidRPr="00C5066E">
        <w:rPr>
          <w:rFonts w:ascii="Calibri" w:hAnsi="Calibri" w:cs="Calibri"/>
          <w:color w:val="000000" w:themeColor="text1"/>
        </w:rPr>
        <w:t>Cette couverture forestière devait apporter de nombreux éléments positifs pour la population :</w:t>
      </w:r>
    </w:p>
    <w:p w14:paraId="363C2044" w14:textId="77777777" w:rsidR="00B835CA" w:rsidRDefault="00B835CA" w:rsidP="00B835CA">
      <w:pPr>
        <w:spacing w:after="0" w:line="240" w:lineRule="auto"/>
        <w:jc w:val="both"/>
        <w:rPr>
          <w:rFonts w:ascii="Calibri" w:hAnsi="Calibri" w:cs="Calibri"/>
          <w:color w:val="000000" w:themeColor="text1"/>
        </w:rPr>
      </w:pPr>
    </w:p>
    <w:p w14:paraId="3BAEA034" w14:textId="77777777" w:rsidR="00B835CA" w:rsidRPr="00C5066E" w:rsidRDefault="00B835CA" w:rsidP="00B835CA">
      <w:pPr>
        <w:numPr>
          <w:ilvl w:val="0"/>
          <w:numId w:val="93"/>
        </w:numPr>
        <w:shd w:val="clear" w:color="auto" w:fill="FFFFFF"/>
        <w:tabs>
          <w:tab w:val="clear" w:pos="720"/>
          <w:tab w:val="num" w:pos="426"/>
        </w:tabs>
        <w:spacing w:after="0" w:line="240" w:lineRule="auto"/>
        <w:ind w:left="426"/>
        <w:jc w:val="both"/>
        <w:rPr>
          <w:rFonts w:ascii="Calibri" w:eastAsia="Times New Roman" w:hAnsi="Calibri" w:cs="Calibri"/>
          <w:color w:val="000000" w:themeColor="text1"/>
          <w:lang w:eastAsia="fr-FR"/>
        </w:rPr>
      </w:pPr>
      <w:r w:rsidRPr="00C5066E">
        <w:rPr>
          <w:rFonts w:ascii="Calibri" w:eastAsia="Times New Roman" w:hAnsi="Calibri" w:cs="Calibri"/>
          <w:color w:val="000000" w:themeColor="text1"/>
          <w:lang w:eastAsia="fr-FR"/>
        </w:rPr>
        <w:t>Une protection des champs et des villages contre le </w:t>
      </w:r>
      <w:hyperlink r:id="rId3549" w:tooltip="Vent" w:history="1">
        <w:r w:rsidRPr="00C5066E">
          <w:rPr>
            <w:rFonts w:ascii="Calibri" w:eastAsia="Times New Roman" w:hAnsi="Calibri" w:cs="Calibri"/>
            <w:color w:val="0645AD"/>
            <w:u w:val="single"/>
            <w:lang w:eastAsia="fr-FR"/>
          </w:rPr>
          <w:t>vent</w:t>
        </w:r>
      </w:hyperlink>
      <w:r w:rsidRPr="00C5066E">
        <w:rPr>
          <w:rFonts w:ascii="Calibri" w:eastAsia="Times New Roman" w:hAnsi="Calibri" w:cs="Calibri"/>
          <w:color w:val="202122"/>
          <w:lang w:eastAsia="fr-FR"/>
        </w:rPr>
        <w:t> et l'</w:t>
      </w:r>
      <w:hyperlink r:id="rId3550" w:tooltip="Érosion" w:history="1">
        <w:r w:rsidRPr="00C5066E">
          <w:rPr>
            <w:rFonts w:ascii="Calibri" w:eastAsia="Times New Roman" w:hAnsi="Calibri" w:cs="Calibri"/>
            <w:color w:val="0645AD"/>
            <w:u w:val="single"/>
            <w:lang w:eastAsia="fr-FR"/>
          </w:rPr>
          <w:t>érosion</w:t>
        </w:r>
      </w:hyperlink>
      <w:r w:rsidRPr="00C5066E">
        <w:rPr>
          <w:rFonts w:ascii="Calibri" w:eastAsia="Times New Roman" w:hAnsi="Calibri" w:cs="Calibri"/>
          <w:color w:val="202122"/>
          <w:lang w:eastAsia="fr-FR"/>
        </w:rPr>
        <w:t>. Le </w:t>
      </w:r>
      <w:hyperlink r:id="rId3551" w:tooltip="Mur végétalisé" w:history="1">
        <w:r w:rsidRPr="00C5066E">
          <w:rPr>
            <w:rFonts w:ascii="Calibri" w:eastAsia="Times New Roman" w:hAnsi="Calibri" w:cs="Calibri"/>
            <w:color w:val="0645AD"/>
            <w:u w:val="single"/>
            <w:lang w:eastAsia="fr-FR"/>
          </w:rPr>
          <w:t>mur végétal</w:t>
        </w:r>
      </w:hyperlink>
      <w:r w:rsidRPr="00C5066E">
        <w:rPr>
          <w:rFonts w:ascii="Calibri" w:eastAsia="Times New Roman" w:hAnsi="Calibri" w:cs="Calibri"/>
          <w:color w:val="202122"/>
          <w:lang w:eastAsia="fr-FR"/>
        </w:rPr>
        <w:t> </w:t>
      </w:r>
      <w:r w:rsidRPr="00C5066E">
        <w:rPr>
          <w:rFonts w:ascii="Calibri" w:eastAsia="Times New Roman" w:hAnsi="Calibri" w:cs="Calibri"/>
          <w:color w:val="000000" w:themeColor="text1"/>
          <w:lang w:eastAsia="fr-FR"/>
        </w:rPr>
        <w:t>constitue un filtre à poussière qui limite l'inhalation de poussières par les populations et donc les maladies qui en découlent,</w:t>
      </w:r>
    </w:p>
    <w:p w14:paraId="3544BA04" w14:textId="77777777" w:rsidR="00B835CA" w:rsidRPr="00C5066E" w:rsidRDefault="00B835CA" w:rsidP="00B835CA">
      <w:pPr>
        <w:numPr>
          <w:ilvl w:val="0"/>
          <w:numId w:val="94"/>
        </w:numPr>
        <w:shd w:val="clear" w:color="auto" w:fill="FFFFFF"/>
        <w:tabs>
          <w:tab w:val="clear" w:pos="720"/>
          <w:tab w:val="num" w:pos="426"/>
        </w:tabs>
        <w:spacing w:after="0" w:line="240" w:lineRule="auto"/>
        <w:ind w:left="426"/>
        <w:jc w:val="both"/>
        <w:rPr>
          <w:rFonts w:ascii="Calibri" w:eastAsia="Times New Roman" w:hAnsi="Calibri" w:cs="Calibri"/>
          <w:color w:val="000000" w:themeColor="text1"/>
          <w:lang w:eastAsia="fr-FR"/>
        </w:rPr>
      </w:pPr>
      <w:r w:rsidRPr="00C5066E">
        <w:rPr>
          <w:rFonts w:ascii="Calibri" w:eastAsia="Times New Roman" w:hAnsi="Calibri" w:cs="Calibri"/>
          <w:color w:val="000000" w:themeColor="text1"/>
          <w:lang w:eastAsia="fr-FR"/>
        </w:rPr>
        <w:t>Un apport d'éléments nutritifs dans un sol presque mort ; les feuilles mortes créent une </w:t>
      </w:r>
      <w:hyperlink r:id="rId3552" w:tooltip="Litière" w:history="1">
        <w:r w:rsidRPr="00C5066E">
          <w:rPr>
            <w:rFonts w:ascii="Calibri" w:eastAsia="Times New Roman" w:hAnsi="Calibri" w:cs="Calibri"/>
            <w:color w:val="0645AD"/>
            <w:u w:val="single"/>
            <w:lang w:eastAsia="fr-FR"/>
          </w:rPr>
          <w:t>litière</w:t>
        </w:r>
      </w:hyperlink>
      <w:r w:rsidRPr="00C5066E">
        <w:rPr>
          <w:rFonts w:ascii="Calibri" w:eastAsia="Times New Roman" w:hAnsi="Calibri" w:cs="Calibri"/>
          <w:color w:val="202122"/>
          <w:lang w:eastAsia="fr-FR"/>
        </w:rPr>
        <w:t> </w:t>
      </w:r>
      <w:r w:rsidRPr="00C5066E">
        <w:rPr>
          <w:rFonts w:ascii="Calibri" w:eastAsia="Times New Roman" w:hAnsi="Calibri" w:cs="Calibri"/>
          <w:color w:val="000000" w:themeColor="text1"/>
          <w:lang w:eastAsia="fr-FR"/>
        </w:rPr>
        <w:t>qui protège et régénère les sols des champs lorsque celles-ci y tombent et les arbres aident également le sol à augmenter sa capacité à garder l'eau.</w:t>
      </w:r>
    </w:p>
    <w:p w14:paraId="28A0FE1A" w14:textId="77777777" w:rsidR="00B835CA" w:rsidRPr="00C5066E" w:rsidRDefault="00B835CA" w:rsidP="00B835CA">
      <w:pPr>
        <w:numPr>
          <w:ilvl w:val="0"/>
          <w:numId w:val="95"/>
        </w:numPr>
        <w:shd w:val="clear" w:color="auto" w:fill="FFFFFF"/>
        <w:tabs>
          <w:tab w:val="clear" w:pos="720"/>
          <w:tab w:val="num" w:pos="426"/>
        </w:tabs>
        <w:spacing w:after="0" w:line="240" w:lineRule="auto"/>
        <w:ind w:left="426"/>
        <w:jc w:val="both"/>
        <w:rPr>
          <w:rFonts w:ascii="Calibri" w:eastAsia="Times New Roman" w:hAnsi="Calibri" w:cs="Calibri"/>
          <w:color w:val="000000" w:themeColor="text1"/>
          <w:lang w:eastAsia="fr-FR"/>
        </w:rPr>
      </w:pPr>
      <w:r w:rsidRPr="00C5066E">
        <w:rPr>
          <w:rFonts w:ascii="Calibri" w:eastAsia="Times New Roman" w:hAnsi="Calibri" w:cs="Calibri"/>
          <w:color w:val="000000" w:themeColor="text1"/>
          <w:lang w:eastAsia="fr-FR"/>
        </w:rPr>
        <w:t xml:space="preserve">Une augmentation de </w:t>
      </w:r>
      <w:r w:rsidRPr="00C5066E">
        <w:rPr>
          <w:rFonts w:ascii="Calibri" w:eastAsia="Times New Roman" w:hAnsi="Calibri" w:cs="Calibri"/>
          <w:color w:val="202122"/>
          <w:lang w:eastAsia="fr-FR"/>
        </w:rPr>
        <w:t>l'</w:t>
      </w:r>
      <w:hyperlink r:id="rId3553" w:tooltip="Humidité" w:history="1">
        <w:r w:rsidRPr="00C5066E">
          <w:rPr>
            <w:rFonts w:ascii="Calibri" w:eastAsia="Times New Roman" w:hAnsi="Calibri" w:cs="Calibri"/>
            <w:color w:val="0645AD"/>
            <w:u w:val="single"/>
            <w:lang w:eastAsia="fr-FR"/>
          </w:rPr>
          <w:t>humidité</w:t>
        </w:r>
      </w:hyperlink>
      <w:r w:rsidRPr="00C5066E">
        <w:rPr>
          <w:rFonts w:ascii="Calibri" w:eastAsia="Times New Roman" w:hAnsi="Calibri" w:cs="Calibri"/>
          <w:color w:val="202122"/>
          <w:lang w:eastAsia="fr-FR"/>
        </w:rPr>
        <w:t> et de la </w:t>
      </w:r>
      <w:hyperlink r:id="rId3554" w:tooltip="Pluviométrie" w:history="1">
        <w:r w:rsidRPr="00C5066E">
          <w:rPr>
            <w:rFonts w:ascii="Calibri" w:eastAsia="Times New Roman" w:hAnsi="Calibri" w:cs="Calibri"/>
            <w:color w:val="0645AD"/>
            <w:u w:val="single"/>
            <w:lang w:eastAsia="fr-FR"/>
          </w:rPr>
          <w:t>pluviométrie</w:t>
        </w:r>
      </w:hyperlink>
      <w:r w:rsidRPr="00C5066E">
        <w:rPr>
          <w:rFonts w:ascii="Calibri" w:eastAsia="Times New Roman" w:hAnsi="Calibri" w:cs="Calibri"/>
          <w:color w:val="202122"/>
          <w:lang w:eastAsia="fr-FR"/>
        </w:rPr>
        <w:t> locale grâce à l'</w:t>
      </w:r>
      <w:hyperlink r:id="rId3555" w:tooltip="Évapotranspiration" w:history="1">
        <w:r w:rsidRPr="00C5066E">
          <w:rPr>
            <w:rFonts w:ascii="Calibri" w:eastAsia="Times New Roman" w:hAnsi="Calibri" w:cs="Calibri"/>
            <w:color w:val="0645AD"/>
            <w:u w:val="single"/>
            <w:lang w:eastAsia="fr-FR"/>
          </w:rPr>
          <w:t>évapotranspiration</w:t>
        </w:r>
      </w:hyperlink>
      <w:r w:rsidRPr="00C5066E">
        <w:rPr>
          <w:rFonts w:ascii="Calibri" w:eastAsia="Times New Roman" w:hAnsi="Calibri" w:cs="Calibri"/>
          <w:color w:val="202122"/>
          <w:lang w:eastAsia="fr-FR"/>
        </w:rPr>
        <w:t> </w:t>
      </w:r>
      <w:r w:rsidRPr="00C5066E">
        <w:rPr>
          <w:rFonts w:ascii="Calibri" w:eastAsia="Times New Roman" w:hAnsi="Calibri" w:cs="Calibri"/>
          <w:color w:val="000000" w:themeColor="text1"/>
          <w:lang w:eastAsia="fr-FR"/>
        </w:rPr>
        <w:t>des arbres plantés.</w:t>
      </w:r>
    </w:p>
    <w:p w14:paraId="4340EC55" w14:textId="77777777" w:rsidR="00B835CA" w:rsidRPr="00C5066E" w:rsidRDefault="00B835CA" w:rsidP="00B835CA">
      <w:pPr>
        <w:numPr>
          <w:ilvl w:val="0"/>
          <w:numId w:val="96"/>
        </w:numPr>
        <w:shd w:val="clear" w:color="auto" w:fill="FFFFFF"/>
        <w:tabs>
          <w:tab w:val="clear" w:pos="720"/>
          <w:tab w:val="num" w:pos="426"/>
        </w:tabs>
        <w:spacing w:after="0" w:line="240" w:lineRule="auto"/>
        <w:ind w:left="426"/>
        <w:jc w:val="both"/>
        <w:rPr>
          <w:rFonts w:ascii="Calibri" w:eastAsia="Times New Roman" w:hAnsi="Calibri" w:cs="Calibri"/>
          <w:color w:val="000000" w:themeColor="text1"/>
          <w:lang w:eastAsia="fr-FR"/>
        </w:rPr>
      </w:pPr>
      <w:r w:rsidRPr="00C5066E">
        <w:rPr>
          <w:rFonts w:ascii="Calibri" w:eastAsia="Times New Roman" w:hAnsi="Calibri" w:cs="Calibri"/>
          <w:color w:val="000000" w:themeColor="text1"/>
          <w:lang w:eastAsia="fr-FR"/>
        </w:rPr>
        <w:t>Une réserve de </w:t>
      </w:r>
      <w:hyperlink r:id="rId3556" w:tooltip="Fourrage" w:history="1">
        <w:r w:rsidRPr="00C5066E">
          <w:rPr>
            <w:rFonts w:ascii="Calibri" w:eastAsia="Times New Roman" w:hAnsi="Calibri" w:cs="Calibri"/>
            <w:color w:val="0645AD"/>
            <w:u w:val="single"/>
            <w:lang w:eastAsia="fr-FR"/>
          </w:rPr>
          <w:t>fourrage</w:t>
        </w:r>
      </w:hyperlink>
      <w:r w:rsidRPr="00C5066E">
        <w:rPr>
          <w:rFonts w:ascii="Calibri" w:eastAsia="Times New Roman" w:hAnsi="Calibri" w:cs="Calibri"/>
          <w:color w:val="202122"/>
          <w:lang w:eastAsia="fr-FR"/>
        </w:rPr>
        <w:t> </w:t>
      </w:r>
      <w:r w:rsidRPr="00C5066E">
        <w:rPr>
          <w:rFonts w:ascii="Calibri" w:eastAsia="Times New Roman" w:hAnsi="Calibri" w:cs="Calibri"/>
          <w:color w:val="000000" w:themeColor="text1"/>
          <w:lang w:eastAsia="fr-FR"/>
        </w:rPr>
        <w:t>de qualité pour le bétail car l'herbe pousse mieux à l'ombre des arbres.</w:t>
      </w:r>
    </w:p>
    <w:p w14:paraId="2CB75E42" w14:textId="77777777" w:rsidR="00B835CA" w:rsidRDefault="00B835CA" w:rsidP="00B835CA">
      <w:pPr>
        <w:spacing w:after="0" w:line="240" w:lineRule="auto"/>
        <w:jc w:val="both"/>
        <w:rPr>
          <w:rFonts w:ascii="Calibri" w:hAnsi="Calibri" w:cs="Calibri"/>
          <w:color w:val="000000" w:themeColor="text1"/>
          <w:shd w:val="clear" w:color="auto" w:fill="FFFFFF"/>
        </w:rPr>
      </w:pPr>
    </w:p>
    <w:p w14:paraId="11A7DA9A" w14:textId="77777777" w:rsidR="00B835CA" w:rsidRDefault="00B835CA" w:rsidP="00B835CA">
      <w:pPr>
        <w:spacing w:after="0" w:line="240" w:lineRule="auto"/>
        <w:jc w:val="both"/>
        <w:rPr>
          <w:rFonts w:ascii="Calibri" w:hAnsi="Calibri" w:cs="Calibri"/>
          <w:color w:val="000000" w:themeColor="text1"/>
        </w:rPr>
      </w:pPr>
      <w:r w:rsidRPr="00F65AEA">
        <w:rPr>
          <w:rFonts w:ascii="Calibri" w:hAnsi="Calibri" w:cs="Calibri"/>
          <w:color w:val="000000" w:themeColor="text1"/>
          <w:u w:val="single"/>
        </w:rPr>
        <w:t>Mise en œuvre</w:t>
      </w:r>
      <w:r w:rsidRPr="00F65AEA">
        <w:rPr>
          <w:rFonts w:ascii="Calibri" w:hAnsi="Calibri" w:cs="Calibri"/>
          <w:color w:val="000000" w:themeColor="text1"/>
        </w:rPr>
        <w:t xml:space="preserve"> :</w:t>
      </w:r>
      <w:r>
        <w:rPr>
          <w:rFonts w:ascii="Calibri" w:hAnsi="Calibri" w:cs="Calibri"/>
          <w:color w:val="000000" w:themeColor="text1"/>
        </w:rPr>
        <w:t xml:space="preserve"> </w:t>
      </w:r>
      <w:r w:rsidRPr="00F65AEA">
        <w:rPr>
          <w:rFonts w:ascii="Calibri" w:hAnsi="Calibri" w:cs="Calibri"/>
          <w:color w:val="000000" w:themeColor="text1"/>
        </w:rPr>
        <w:t xml:space="preserve">Pour la plantation, la technique utilisée, </w:t>
      </w:r>
      <w:r>
        <w:rPr>
          <w:rFonts w:ascii="Calibri" w:hAnsi="Calibri" w:cs="Calibri"/>
          <w:color w:val="000000" w:themeColor="text1"/>
        </w:rPr>
        <w:t xml:space="preserve">la </w:t>
      </w:r>
      <w:hyperlink r:id="rId3557" w:history="1">
        <w:r w:rsidRPr="00F65AEA">
          <w:rPr>
            <w:rStyle w:val="Lienhypertexte"/>
            <w:rFonts w:ascii="Calibri" w:hAnsi="Calibri" w:cs="Calibri"/>
            <w:color w:val="0645AD"/>
            <w:shd w:val="clear" w:color="auto" w:fill="FFFFFF"/>
          </w:rPr>
          <w:t>régénération naturelle assistée</w:t>
        </w:r>
      </w:hyperlink>
      <w:r>
        <w:rPr>
          <w:rStyle w:val="Appelnotedebasdep"/>
          <w:rFonts w:ascii="Calibri" w:hAnsi="Calibri" w:cs="Calibri"/>
        </w:rPr>
        <w:footnoteReference w:id="230"/>
      </w:r>
      <w:r w:rsidRPr="00F65AEA">
        <w:rPr>
          <w:rFonts w:ascii="Calibri" w:hAnsi="Calibri" w:cs="Calibri"/>
          <w:color w:val="000000" w:themeColor="text1"/>
        </w:rPr>
        <w:t>, consiste en la sélection d'un rejet favorisé, et la coupe des autres afin que la croissance se concentre sur un seul rejet.</w:t>
      </w:r>
    </w:p>
    <w:p w14:paraId="6F7A0A81" w14:textId="77777777" w:rsidR="00B835CA" w:rsidRDefault="00B835CA" w:rsidP="00B835CA">
      <w:pPr>
        <w:spacing w:after="0" w:line="240" w:lineRule="auto"/>
        <w:jc w:val="both"/>
        <w:rPr>
          <w:rFonts w:ascii="Calibri" w:hAnsi="Calibri" w:cs="Calibri"/>
          <w:color w:val="000000" w:themeColor="text1"/>
          <w:shd w:val="clear" w:color="auto" w:fill="FFFFFF"/>
        </w:rPr>
      </w:pPr>
      <w:r w:rsidRPr="007366FA">
        <w:rPr>
          <w:rFonts w:ascii="Calibri" w:hAnsi="Calibri" w:cs="Calibri"/>
          <w:color w:val="000000" w:themeColor="text1"/>
          <w:shd w:val="clear" w:color="auto" w:fill="FFFFFF"/>
        </w:rPr>
        <w:t>Dans certaines régions très sèches comme au </w:t>
      </w:r>
      <w:hyperlink r:id="rId3558" w:history="1">
        <w:r w:rsidRPr="007366FA">
          <w:rPr>
            <w:rStyle w:val="Lienhypertexte"/>
            <w:rFonts w:ascii="Calibri" w:hAnsi="Calibri" w:cs="Calibri"/>
            <w:color w:val="0645AD"/>
            <w:shd w:val="clear" w:color="auto" w:fill="FFFFFF"/>
          </w:rPr>
          <w:t>Mali</w:t>
        </w:r>
      </w:hyperlink>
      <w:r w:rsidRPr="007366FA">
        <w:rPr>
          <w:rFonts w:ascii="Calibri" w:hAnsi="Calibri" w:cs="Calibri"/>
          <w:color w:val="202122"/>
          <w:shd w:val="clear" w:color="auto" w:fill="FFFFFF"/>
        </w:rPr>
        <w:t xml:space="preserve">, </w:t>
      </w:r>
      <w:r w:rsidRPr="007366FA">
        <w:rPr>
          <w:rFonts w:ascii="Calibri" w:hAnsi="Calibri" w:cs="Calibri"/>
          <w:color w:val="000000" w:themeColor="text1"/>
          <w:shd w:val="clear" w:color="auto" w:fill="FFFFFF"/>
        </w:rPr>
        <w:t>on optimise les plantations en pratiquant des sillons ou la technique ancestrale du </w:t>
      </w:r>
      <w:hyperlink r:id="rId3559" w:tooltip="Zaï (agriculture)" w:history="1">
        <w:r w:rsidRPr="007366FA">
          <w:rPr>
            <w:rStyle w:val="Lienhypertexte"/>
            <w:rFonts w:ascii="Calibri" w:hAnsi="Calibri" w:cs="Calibri"/>
            <w:color w:val="2F5496" w:themeColor="accent1" w:themeShade="BF"/>
            <w:shd w:val="clear" w:color="auto" w:fill="FFFFFF"/>
          </w:rPr>
          <w:t>zaï</w:t>
        </w:r>
      </w:hyperlink>
      <w:r w:rsidRPr="007366FA">
        <w:rPr>
          <w:rFonts w:ascii="Calibri" w:hAnsi="Calibri" w:cs="Calibri"/>
          <w:color w:val="000000" w:themeColor="text1"/>
          <w:shd w:val="clear" w:color="auto" w:fill="FFFFFF"/>
        </w:rPr>
        <w:t> qui permet de mieux concentrer l'eau sur les jeunes plants.</w:t>
      </w:r>
    </w:p>
    <w:p w14:paraId="37F1D86C" w14:textId="77777777" w:rsidR="00B835CA" w:rsidRDefault="00B835CA" w:rsidP="00B835CA">
      <w:pPr>
        <w:spacing w:after="0" w:line="240" w:lineRule="auto"/>
        <w:jc w:val="both"/>
        <w:rPr>
          <w:rFonts w:ascii="Calibri" w:hAnsi="Calibri" w:cs="Calibri"/>
          <w:color w:val="000000" w:themeColor="text1"/>
        </w:rPr>
      </w:pPr>
      <w:r w:rsidRPr="007366FA">
        <w:rPr>
          <w:rFonts w:ascii="Calibri" w:hAnsi="Calibri" w:cs="Calibri"/>
          <w:color w:val="000000" w:themeColor="text1"/>
        </w:rPr>
        <w:t>Au Sénégal, la Grande Muraille mesure 545 km de long sur 15 km de large, soit 8 175 km2 ou 817 500 hectares.</w:t>
      </w:r>
    </w:p>
    <w:p w14:paraId="54086DE4" w14:textId="77777777" w:rsidR="00B835CA" w:rsidRDefault="00B835CA" w:rsidP="00B835CA">
      <w:pPr>
        <w:spacing w:after="0" w:line="240" w:lineRule="auto"/>
        <w:jc w:val="both"/>
        <w:rPr>
          <w:rFonts w:ascii="Calibri" w:hAnsi="Calibri" w:cs="Calibri"/>
          <w:color w:val="000000" w:themeColor="text1"/>
        </w:rPr>
      </w:pPr>
      <w:r w:rsidRPr="007366FA">
        <w:rPr>
          <w:rFonts w:ascii="Calibri" w:hAnsi="Calibri" w:cs="Calibri"/>
          <w:color w:val="000000" w:themeColor="text1"/>
        </w:rPr>
        <w:t xml:space="preserve">Le reboisement se fait pendant la saison des pluies sur des parcelles de 600 hectares où des arbres sont plantés dans des zones protégées par des clôtures grillagées des agressions du bétail des </w:t>
      </w:r>
      <w:hyperlink r:id="rId3560" w:tooltip="Peuls" w:history="1">
        <w:r w:rsidRPr="007366FA">
          <w:rPr>
            <w:rStyle w:val="Lienhypertexte"/>
            <w:rFonts w:ascii="Calibri" w:hAnsi="Calibri" w:cs="Calibri"/>
            <w:color w:val="0645AD"/>
            <w:shd w:val="clear" w:color="auto" w:fill="FFFFFF"/>
          </w:rPr>
          <w:t>Peuls</w:t>
        </w:r>
      </w:hyperlink>
      <w:r w:rsidRPr="007366FA">
        <w:rPr>
          <w:rFonts w:ascii="Calibri" w:hAnsi="Calibri" w:cs="Calibri"/>
          <w:color w:val="000000" w:themeColor="text1"/>
        </w:rPr>
        <w:t xml:space="preserve"> (aujourd'hui sédentarisés). Une fois les arbres installés, on peut retirer les clôtures et le bétail peut pâturer à l'ombre des arbres. On installe également près des villages des jardins polyvalents exploités par des coopératives pour produire des fruits et légumes frais.</w:t>
      </w:r>
    </w:p>
    <w:p w14:paraId="626CA8AE" w14:textId="77777777" w:rsidR="00B835CA" w:rsidRDefault="00B835CA" w:rsidP="00B835CA">
      <w:pPr>
        <w:spacing w:after="0" w:line="240" w:lineRule="auto"/>
        <w:jc w:val="both"/>
        <w:rPr>
          <w:rFonts w:ascii="Calibri" w:hAnsi="Calibri" w:cs="Calibri"/>
          <w:color w:val="000000" w:themeColor="text1"/>
          <w:shd w:val="clear" w:color="auto" w:fill="FFFFFF"/>
        </w:rPr>
      </w:pPr>
      <w:r w:rsidRPr="007366FA">
        <w:rPr>
          <w:rFonts w:ascii="Calibri" w:hAnsi="Calibri" w:cs="Calibri"/>
          <w:color w:val="000000" w:themeColor="text1"/>
          <w:shd w:val="clear" w:color="auto" w:fill="FFFFFF"/>
        </w:rPr>
        <w:t>Des </w:t>
      </w:r>
      <w:hyperlink r:id="rId3561" w:tooltip="Bassin de rétention des eaux pluviales" w:history="1">
        <w:r w:rsidRPr="007366FA">
          <w:rPr>
            <w:rStyle w:val="Lienhypertexte"/>
            <w:rFonts w:ascii="Calibri" w:hAnsi="Calibri" w:cs="Calibri"/>
            <w:color w:val="0645AD"/>
            <w:shd w:val="clear" w:color="auto" w:fill="FFFFFF"/>
          </w:rPr>
          <w:t>bassins de rétention des eaux pluviales</w:t>
        </w:r>
      </w:hyperlink>
      <w:r w:rsidRPr="007366FA">
        <w:rPr>
          <w:rFonts w:ascii="Calibri" w:hAnsi="Calibri" w:cs="Calibri"/>
          <w:color w:val="202122"/>
          <w:shd w:val="clear" w:color="auto" w:fill="FFFFFF"/>
        </w:rPr>
        <w:t> </w:t>
      </w:r>
      <w:r w:rsidRPr="007366FA">
        <w:rPr>
          <w:rFonts w:ascii="Calibri" w:hAnsi="Calibri" w:cs="Calibri"/>
          <w:color w:val="000000" w:themeColor="text1"/>
          <w:shd w:val="clear" w:color="auto" w:fill="FFFFFF"/>
        </w:rPr>
        <w:t>ont été également créés pour l'abreuvement du bétail, de même que des </w:t>
      </w:r>
      <w:hyperlink r:id="rId3562" w:tooltip="Jardin circulaire" w:history="1">
        <w:r w:rsidRPr="007366FA">
          <w:rPr>
            <w:rStyle w:val="Lienhypertexte"/>
            <w:rFonts w:ascii="Calibri" w:hAnsi="Calibri" w:cs="Calibri"/>
            <w:color w:val="0645AD"/>
            <w:shd w:val="clear" w:color="auto" w:fill="FFFFFF"/>
          </w:rPr>
          <w:t>jardins circulaires</w:t>
        </w:r>
      </w:hyperlink>
      <w:r>
        <w:rPr>
          <w:rStyle w:val="Appelnotedebasdep"/>
          <w:rFonts w:ascii="Calibri" w:hAnsi="Calibri" w:cs="Calibri"/>
        </w:rPr>
        <w:footnoteReference w:id="231"/>
      </w:r>
      <w:r w:rsidRPr="007366FA">
        <w:rPr>
          <w:rFonts w:ascii="Calibri" w:hAnsi="Calibri" w:cs="Calibri"/>
          <w:color w:val="202122"/>
          <w:shd w:val="clear" w:color="auto" w:fill="FFFFFF"/>
        </w:rPr>
        <w:t xml:space="preserve">, </w:t>
      </w:r>
      <w:r w:rsidRPr="007366FA">
        <w:rPr>
          <w:rFonts w:ascii="Calibri" w:hAnsi="Calibri" w:cs="Calibri"/>
          <w:color w:val="000000" w:themeColor="text1"/>
          <w:shd w:val="clear" w:color="auto" w:fill="FFFFFF"/>
        </w:rPr>
        <w:t>qui retiendraient mieux l'eau.</w:t>
      </w:r>
    </w:p>
    <w:p w14:paraId="7D9007C7" w14:textId="77777777" w:rsidR="00B835CA" w:rsidRDefault="00B835CA" w:rsidP="00B835CA">
      <w:pPr>
        <w:spacing w:after="0" w:line="240" w:lineRule="auto"/>
        <w:jc w:val="both"/>
        <w:rPr>
          <w:rFonts w:ascii="Calibri" w:hAnsi="Calibri" w:cs="Calibri"/>
          <w:color w:val="000000" w:themeColor="text1"/>
          <w:shd w:val="clear" w:color="auto" w:fill="FFFFFF"/>
        </w:rPr>
      </w:pPr>
    </w:p>
    <w:p w14:paraId="19876511" w14:textId="77777777" w:rsidR="00B835CA" w:rsidRDefault="00B835CA" w:rsidP="00B835CA">
      <w:pPr>
        <w:spacing w:after="0" w:line="240" w:lineRule="auto"/>
        <w:jc w:val="both"/>
        <w:rPr>
          <w:rFonts w:ascii="Calibri" w:hAnsi="Calibri" w:cs="Calibri"/>
          <w:color w:val="000000" w:themeColor="text1"/>
          <w:shd w:val="clear" w:color="auto" w:fill="FFFFFF"/>
        </w:rPr>
      </w:pPr>
      <w:r w:rsidRPr="002B667E">
        <w:rPr>
          <w:rFonts w:ascii="Calibri" w:hAnsi="Calibri" w:cs="Calibri"/>
          <w:color w:val="000000" w:themeColor="text1"/>
          <w:u w:val="single"/>
        </w:rPr>
        <w:t>Essences utilisées pour le reboisement</w:t>
      </w:r>
      <w:r w:rsidRPr="002B667E">
        <w:rPr>
          <w:rFonts w:ascii="Calibri" w:hAnsi="Calibri" w:cs="Calibri"/>
          <w:color w:val="000000" w:themeColor="text1"/>
        </w:rPr>
        <w:t xml:space="preserve"> :</w:t>
      </w:r>
      <w:r>
        <w:rPr>
          <w:rFonts w:ascii="Calibri" w:hAnsi="Calibri" w:cs="Calibri"/>
          <w:color w:val="000000" w:themeColor="text1"/>
        </w:rPr>
        <w:t xml:space="preserve"> </w:t>
      </w:r>
      <w:r w:rsidRPr="002B667E">
        <w:rPr>
          <w:rFonts w:ascii="Calibri" w:hAnsi="Calibri" w:cs="Calibri"/>
          <w:color w:val="000000" w:themeColor="text1"/>
          <w:shd w:val="clear" w:color="auto" w:fill="FFFFFF"/>
        </w:rPr>
        <w:t>On utilise des jeunes plants d'essences préexistantes au niveau local qui résistent à la très faibl</w:t>
      </w:r>
      <w:r w:rsidRPr="002B667E">
        <w:rPr>
          <w:rFonts w:ascii="Calibri" w:hAnsi="Calibri" w:cs="Calibri"/>
          <w:color w:val="202122"/>
          <w:shd w:val="clear" w:color="auto" w:fill="FFFFFF"/>
        </w:rPr>
        <w:t>e </w:t>
      </w:r>
      <w:hyperlink r:id="rId3563" w:tooltip="Pluviométrie" w:history="1">
        <w:r w:rsidRPr="002B667E">
          <w:rPr>
            <w:rStyle w:val="Lienhypertexte"/>
            <w:rFonts w:ascii="Calibri" w:hAnsi="Calibri" w:cs="Calibri"/>
            <w:color w:val="0645AD"/>
            <w:shd w:val="clear" w:color="auto" w:fill="FFFFFF"/>
          </w:rPr>
          <w:t>pluviométrie</w:t>
        </w:r>
      </w:hyperlink>
      <w:r w:rsidRPr="002B667E">
        <w:rPr>
          <w:rFonts w:ascii="Calibri" w:hAnsi="Calibri" w:cs="Calibri"/>
          <w:color w:val="202122"/>
          <w:shd w:val="clear" w:color="auto" w:fill="FFFFFF"/>
        </w:rPr>
        <w:t> </w:t>
      </w:r>
      <w:r w:rsidRPr="002B667E">
        <w:rPr>
          <w:rFonts w:ascii="Calibri" w:hAnsi="Calibri" w:cs="Calibri"/>
          <w:color w:val="000000" w:themeColor="text1"/>
          <w:shd w:val="clear" w:color="auto" w:fill="FFFFFF"/>
        </w:rPr>
        <w:t xml:space="preserve">locale (200 mm/an en 2015 contre 400 mm/an en moyenne dans les années 60) et qui ont un intérêt économique. La gestion des pépinières de jeunes plants et des jardins polyvalents </w:t>
      </w:r>
      <w:r w:rsidRPr="002B667E">
        <w:rPr>
          <w:rFonts w:ascii="Calibri" w:hAnsi="Calibri" w:cs="Calibri"/>
          <w:color w:val="202122"/>
          <w:shd w:val="clear" w:color="auto" w:fill="FFFFFF"/>
        </w:rPr>
        <w:t>(</w:t>
      </w:r>
      <w:hyperlink r:id="rId3564" w:tooltip="Jardin potager" w:history="1">
        <w:r w:rsidRPr="002B667E">
          <w:rPr>
            <w:rStyle w:val="Lienhypertexte"/>
            <w:rFonts w:ascii="Calibri" w:hAnsi="Calibri" w:cs="Calibri"/>
            <w:color w:val="0645AD"/>
            <w:shd w:val="clear" w:color="auto" w:fill="FFFFFF"/>
          </w:rPr>
          <w:t>potagers</w:t>
        </w:r>
      </w:hyperlink>
      <w:r w:rsidRPr="002B667E">
        <w:rPr>
          <w:rFonts w:ascii="Calibri" w:hAnsi="Calibri" w:cs="Calibri"/>
          <w:color w:val="202122"/>
          <w:shd w:val="clear" w:color="auto" w:fill="FFFFFF"/>
        </w:rPr>
        <w:t xml:space="preserve">) </w:t>
      </w:r>
      <w:r w:rsidRPr="002B667E">
        <w:rPr>
          <w:rFonts w:ascii="Calibri" w:hAnsi="Calibri" w:cs="Calibri"/>
          <w:color w:val="000000" w:themeColor="text1"/>
          <w:shd w:val="clear" w:color="auto" w:fill="FFFFFF"/>
        </w:rPr>
        <w:t>créés est confiée aux femmes créant ainsi des emplois et une production alimentaire au niveau local.</w:t>
      </w:r>
    </w:p>
    <w:p w14:paraId="7A3CF5BE" w14:textId="77777777" w:rsidR="00B835CA" w:rsidRDefault="00B835CA" w:rsidP="00B835CA">
      <w:pPr>
        <w:spacing w:after="0" w:line="240" w:lineRule="auto"/>
        <w:jc w:val="both"/>
        <w:rPr>
          <w:rFonts w:ascii="Calibri" w:hAnsi="Calibri" w:cs="Calibri"/>
          <w:color w:val="000000" w:themeColor="text1"/>
        </w:rPr>
      </w:pPr>
    </w:p>
    <w:p w14:paraId="0FAC7F8D" w14:textId="77777777" w:rsidR="00B835CA" w:rsidRDefault="00B835CA" w:rsidP="00B835CA">
      <w:pPr>
        <w:spacing w:after="0" w:line="240" w:lineRule="auto"/>
        <w:jc w:val="both"/>
        <w:rPr>
          <w:rFonts w:ascii="Calibri" w:hAnsi="Calibri" w:cs="Calibri"/>
          <w:color w:val="000000" w:themeColor="text1"/>
        </w:rPr>
      </w:pPr>
      <w:r w:rsidRPr="002B667E">
        <w:rPr>
          <w:rFonts w:ascii="Calibri" w:hAnsi="Calibri" w:cs="Calibri"/>
          <w:color w:val="000000" w:themeColor="text1"/>
        </w:rPr>
        <w:t>Les espèces le plus souvent plantées sont</w:t>
      </w:r>
      <w:r>
        <w:rPr>
          <w:rFonts w:ascii="Calibri" w:hAnsi="Calibri" w:cs="Calibri"/>
          <w:color w:val="000000" w:themeColor="text1"/>
        </w:rPr>
        <w:t xml:space="preserve"> (voir ci-après)</w:t>
      </w:r>
      <w:r w:rsidRPr="002B667E">
        <w:rPr>
          <w:rFonts w:ascii="Calibri" w:hAnsi="Calibri" w:cs="Calibri"/>
          <w:color w:val="000000" w:themeColor="text1"/>
        </w:rPr>
        <w:t xml:space="preserve"> :</w:t>
      </w:r>
    </w:p>
    <w:p w14:paraId="67A5EBB5" w14:textId="77777777" w:rsidR="00B835CA" w:rsidRDefault="00B835CA" w:rsidP="00B835CA">
      <w:pPr>
        <w:spacing w:after="0" w:line="240" w:lineRule="auto"/>
        <w:jc w:val="both"/>
        <w:rPr>
          <w:rFonts w:ascii="Calibri" w:hAnsi="Calibri" w:cs="Calibri"/>
          <w:color w:val="000000" w:themeColor="text1"/>
        </w:rPr>
      </w:pPr>
    </w:p>
    <w:p w14:paraId="63507464" w14:textId="77777777" w:rsidR="00B835CA" w:rsidRPr="002B667E" w:rsidRDefault="00B835CA" w:rsidP="00C54119">
      <w:pPr>
        <w:numPr>
          <w:ilvl w:val="0"/>
          <w:numId w:val="97"/>
        </w:numPr>
        <w:shd w:val="clear" w:color="auto" w:fill="FFFFFF"/>
        <w:tabs>
          <w:tab w:val="clear" w:pos="720"/>
        </w:tabs>
        <w:spacing w:after="0" w:line="240" w:lineRule="auto"/>
        <w:ind w:left="567"/>
        <w:rPr>
          <w:rFonts w:ascii="Calibri" w:eastAsia="Times New Roman" w:hAnsi="Calibri" w:cs="Calibri"/>
          <w:color w:val="202122"/>
          <w:lang w:eastAsia="fr-FR"/>
        </w:rPr>
      </w:pPr>
      <w:r w:rsidRPr="002B667E">
        <w:rPr>
          <w:rFonts w:ascii="Calibri" w:eastAsia="Times New Roman" w:hAnsi="Calibri" w:cs="Calibri"/>
          <w:color w:val="202122"/>
          <w:lang w:eastAsia="fr-FR"/>
        </w:rPr>
        <w:t>Acacia </w:t>
      </w:r>
      <w:hyperlink r:id="rId3565" w:tooltip="Senegalia senegal" w:history="1">
        <w:r w:rsidRPr="002B667E">
          <w:rPr>
            <w:rFonts w:ascii="Calibri" w:eastAsia="Times New Roman" w:hAnsi="Calibri" w:cs="Calibri"/>
            <w:i/>
            <w:iCs/>
            <w:color w:val="0645AD"/>
            <w:u w:val="single"/>
            <w:lang w:eastAsia="fr-FR"/>
          </w:rPr>
          <w:t>Senegalia senegal</w:t>
        </w:r>
      </w:hyperlink>
      <w:r>
        <w:rPr>
          <w:rFonts w:ascii="Calibri" w:eastAsia="Times New Roman" w:hAnsi="Calibri" w:cs="Calibri"/>
          <w:color w:val="202122"/>
          <w:lang w:eastAsia="fr-FR"/>
        </w:rPr>
        <w:t xml:space="preserve"> (ou </w:t>
      </w:r>
      <w:r w:rsidRPr="002B667E">
        <w:rPr>
          <w:rFonts w:ascii="Calibri" w:eastAsia="Times New Roman" w:hAnsi="Calibri" w:cs="Calibri"/>
          <w:i/>
          <w:iCs/>
          <w:color w:val="202122"/>
          <w:lang w:eastAsia="fr-FR"/>
        </w:rPr>
        <w:t>Acacia senegal</w:t>
      </w:r>
      <w:r>
        <w:rPr>
          <w:rFonts w:ascii="Calibri" w:eastAsia="Times New Roman" w:hAnsi="Calibri" w:cs="Calibri"/>
          <w:color w:val="202122"/>
          <w:lang w:eastAsia="fr-FR"/>
        </w:rPr>
        <w:t>)</w:t>
      </w:r>
      <w:r w:rsidRPr="002B667E">
        <w:rPr>
          <w:rFonts w:ascii="Calibri" w:eastAsia="Times New Roman" w:hAnsi="Calibri" w:cs="Calibri"/>
          <w:color w:val="202122"/>
          <w:lang w:eastAsia="fr-FR"/>
        </w:rPr>
        <w:t>, ou gommier blanc pour la production de </w:t>
      </w:r>
      <w:hyperlink r:id="rId3566" w:tooltip="Gomme arabique" w:history="1">
        <w:r w:rsidRPr="002B667E">
          <w:rPr>
            <w:rFonts w:ascii="Calibri" w:eastAsia="Times New Roman" w:hAnsi="Calibri" w:cs="Calibri"/>
            <w:color w:val="0645AD"/>
            <w:u w:val="single"/>
            <w:lang w:eastAsia="fr-FR"/>
          </w:rPr>
          <w:t>gomme arabique</w:t>
        </w:r>
      </w:hyperlink>
      <w:r w:rsidRPr="002B667E">
        <w:rPr>
          <w:rFonts w:ascii="Calibri" w:eastAsia="Times New Roman" w:hAnsi="Calibri" w:cs="Calibri"/>
          <w:color w:val="202122"/>
          <w:lang w:eastAsia="fr-FR"/>
        </w:rPr>
        <w:t>.</w:t>
      </w:r>
    </w:p>
    <w:p w14:paraId="208E00EA" w14:textId="77777777" w:rsidR="00B835CA" w:rsidRPr="002B667E" w:rsidRDefault="00B835CA" w:rsidP="00C54119">
      <w:pPr>
        <w:numPr>
          <w:ilvl w:val="0"/>
          <w:numId w:val="97"/>
        </w:numPr>
        <w:shd w:val="clear" w:color="auto" w:fill="FFFFFF"/>
        <w:tabs>
          <w:tab w:val="clear" w:pos="720"/>
        </w:tabs>
        <w:spacing w:after="0" w:line="240" w:lineRule="auto"/>
        <w:ind w:left="567"/>
        <w:rPr>
          <w:rFonts w:ascii="Calibri" w:eastAsia="Times New Roman" w:hAnsi="Calibri" w:cs="Calibri"/>
          <w:color w:val="202122"/>
          <w:lang w:val="es-AR" w:eastAsia="fr-FR"/>
        </w:rPr>
      </w:pPr>
      <w:r w:rsidRPr="002B667E">
        <w:rPr>
          <w:rFonts w:ascii="Calibri" w:eastAsia="Times New Roman" w:hAnsi="Calibri" w:cs="Calibri"/>
          <w:color w:val="202122"/>
          <w:lang w:val="es-AR" w:eastAsia="fr-FR"/>
        </w:rPr>
        <w:t>Acacia </w:t>
      </w:r>
      <w:hyperlink r:id="rId3567" w:tooltip="Vachellia seyal" w:history="1">
        <w:r w:rsidRPr="002B667E">
          <w:rPr>
            <w:rFonts w:ascii="Calibri" w:eastAsia="Times New Roman" w:hAnsi="Calibri" w:cs="Calibri"/>
            <w:i/>
            <w:iCs/>
            <w:color w:val="0645AD"/>
            <w:u w:val="single"/>
            <w:lang w:val="es-AR" w:eastAsia="fr-FR"/>
          </w:rPr>
          <w:t>Vachellia seyal</w:t>
        </w:r>
      </w:hyperlink>
      <w:r w:rsidRPr="000B700A">
        <w:rPr>
          <w:rFonts w:ascii="Calibri" w:eastAsia="Times New Roman" w:hAnsi="Calibri" w:cs="Calibri"/>
          <w:i/>
          <w:iCs/>
          <w:color w:val="202122"/>
          <w:lang w:val="es-AR" w:eastAsia="fr-FR"/>
        </w:rPr>
        <w:t xml:space="preserve"> </w:t>
      </w:r>
      <w:r w:rsidRPr="002B667E">
        <w:rPr>
          <w:rFonts w:ascii="Calibri" w:eastAsia="Times New Roman" w:hAnsi="Calibri" w:cs="Calibri"/>
          <w:color w:val="202122"/>
          <w:lang w:val="es-AR" w:eastAsia="fr-FR"/>
        </w:rPr>
        <w:t xml:space="preserve">(ou </w:t>
      </w:r>
      <w:r w:rsidRPr="002B667E">
        <w:rPr>
          <w:rFonts w:ascii="Calibri" w:eastAsia="Times New Roman" w:hAnsi="Calibri" w:cs="Calibri"/>
          <w:i/>
          <w:iCs/>
          <w:color w:val="202122"/>
          <w:lang w:val="es-AR" w:eastAsia="fr-FR"/>
        </w:rPr>
        <w:t>Acacia seyal</w:t>
      </w:r>
      <w:r>
        <w:rPr>
          <w:rFonts w:ascii="Calibri" w:eastAsia="Times New Roman" w:hAnsi="Calibri" w:cs="Calibri"/>
          <w:color w:val="202122"/>
          <w:lang w:val="es-AR" w:eastAsia="fr-FR"/>
        </w:rPr>
        <w:t>)</w:t>
      </w:r>
      <w:r w:rsidRPr="002B667E">
        <w:rPr>
          <w:rFonts w:ascii="Calibri" w:eastAsia="Times New Roman" w:hAnsi="Calibri" w:cs="Calibri"/>
          <w:color w:val="202122"/>
          <w:lang w:val="es-AR" w:eastAsia="fr-FR"/>
        </w:rPr>
        <w:t>.</w:t>
      </w:r>
    </w:p>
    <w:p w14:paraId="02C5C9A8" w14:textId="77777777" w:rsidR="00B835CA" w:rsidRPr="002B667E" w:rsidRDefault="00000000" w:rsidP="00C54119">
      <w:pPr>
        <w:numPr>
          <w:ilvl w:val="0"/>
          <w:numId w:val="97"/>
        </w:numPr>
        <w:shd w:val="clear" w:color="auto" w:fill="FFFFFF"/>
        <w:tabs>
          <w:tab w:val="clear" w:pos="720"/>
        </w:tabs>
        <w:spacing w:after="0" w:line="240" w:lineRule="auto"/>
        <w:ind w:left="567"/>
        <w:rPr>
          <w:rFonts w:ascii="Calibri" w:eastAsia="Times New Roman" w:hAnsi="Calibri" w:cs="Calibri"/>
          <w:color w:val="202122"/>
          <w:lang w:val="es-AR" w:eastAsia="fr-FR"/>
        </w:rPr>
      </w:pPr>
      <w:hyperlink r:id="rId3568" w:tooltip="Acacia albida" w:history="1">
        <w:r w:rsidR="00B835CA" w:rsidRPr="002B667E">
          <w:rPr>
            <w:rFonts w:ascii="Calibri" w:eastAsia="Times New Roman" w:hAnsi="Calibri" w:cs="Calibri"/>
            <w:i/>
            <w:iCs/>
            <w:color w:val="0645AD"/>
            <w:u w:val="single"/>
            <w:lang w:val="es-AR" w:eastAsia="fr-FR"/>
          </w:rPr>
          <w:t>Acacia albid</w:t>
        </w:r>
        <w:r w:rsidR="00B835CA" w:rsidRPr="002B667E">
          <w:rPr>
            <w:rFonts w:ascii="Calibri" w:eastAsia="Times New Roman" w:hAnsi="Calibri" w:cs="Calibri"/>
            <w:color w:val="0645AD"/>
            <w:u w:val="single"/>
            <w:lang w:val="es-AR" w:eastAsia="fr-FR"/>
          </w:rPr>
          <w:t>a</w:t>
        </w:r>
      </w:hyperlink>
      <w:r w:rsidR="00B835CA" w:rsidRPr="002B667E">
        <w:rPr>
          <w:rFonts w:ascii="Calibri" w:eastAsia="Times New Roman" w:hAnsi="Calibri" w:cs="Calibri"/>
          <w:color w:val="202122"/>
          <w:lang w:val="es-AR" w:eastAsia="fr-FR"/>
        </w:rPr>
        <w:t>, kadd en wolof.</w:t>
      </w:r>
    </w:p>
    <w:p w14:paraId="78D5F1CB" w14:textId="77777777" w:rsidR="00B835CA" w:rsidRPr="002B667E" w:rsidRDefault="00B835CA" w:rsidP="00C54119">
      <w:pPr>
        <w:numPr>
          <w:ilvl w:val="0"/>
          <w:numId w:val="97"/>
        </w:numPr>
        <w:shd w:val="clear" w:color="auto" w:fill="FFFFFF"/>
        <w:tabs>
          <w:tab w:val="clear" w:pos="720"/>
        </w:tabs>
        <w:spacing w:after="0" w:line="240" w:lineRule="auto"/>
        <w:ind w:left="567"/>
        <w:rPr>
          <w:rFonts w:ascii="Calibri" w:eastAsia="Times New Roman" w:hAnsi="Calibri" w:cs="Calibri"/>
          <w:color w:val="202122"/>
          <w:lang w:val="es-AR" w:eastAsia="fr-FR"/>
        </w:rPr>
      </w:pPr>
      <w:r w:rsidRPr="002B667E">
        <w:rPr>
          <w:rFonts w:ascii="Calibri" w:eastAsia="Times New Roman" w:hAnsi="Calibri" w:cs="Calibri"/>
          <w:color w:val="202122"/>
          <w:lang w:val="es-AR" w:eastAsia="fr-FR"/>
        </w:rPr>
        <w:t>Acacia Faux-gommier (</w:t>
      </w:r>
      <w:hyperlink r:id="rId3569" w:tooltip="Acacia tortilis" w:history="1">
        <w:r w:rsidRPr="002B667E">
          <w:rPr>
            <w:rFonts w:ascii="Calibri" w:eastAsia="Times New Roman" w:hAnsi="Calibri" w:cs="Calibri"/>
            <w:i/>
            <w:iCs/>
            <w:color w:val="0645AD"/>
            <w:u w:val="single"/>
            <w:lang w:val="es-AR" w:eastAsia="fr-FR"/>
          </w:rPr>
          <w:t>Acacia tortili</w:t>
        </w:r>
        <w:r w:rsidRPr="002B667E">
          <w:rPr>
            <w:rFonts w:ascii="Calibri" w:eastAsia="Times New Roman" w:hAnsi="Calibri" w:cs="Calibri"/>
            <w:color w:val="0645AD"/>
            <w:u w:val="single"/>
            <w:lang w:val="es-AR" w:eastAsia="fr-FR"/>
          </w:rPr>
          <w:t>s</w:t>
        </w:r>
      </w:hyperlink>
      <w:r w:rsidRPr="002B667E">
        <w:rPr>
          <w:rFonts w:ascii="Calibri" w:eastAsia="Times New Roman" w:hAnsi="Calibri" w:cs="Calibri"/>
          <w:color w:val="202122"/>
          <w:lang w:val="es-AR" w:eastAsia="fr-FR"/>
        </w:rPr>
        <w:t>).</w:t>
      </w:r>
    </w:p>
    <w:p w14:paraId="42A9E8B1" w14:textId="77777777" w:rsidR="00B835CA" w:rsidRPr="002B667E" w:rsidRDefault="00B835CA" w:rsidP="00C54119">
      <w:pPr>
        <w:numPr>
          <w:ilvl w:val="0"/>
          <w:numId w:val="97"/>
        </w:numPr>
        <w:shd w:val="clear" w:color="auto" w:fill="FFFFFF"/>
        <w:tabs>
          <w:tab w:val="clear" w:pos="720"/>
        </w:tabs>
        <w:spacing w:after="0" w:line="240" w:lineRule="auto"/>
        <w:ind w:left="567"/>
        <w:rPr>
          <w:rFonts w:ascii="Calibri" w:eastAsia="Times New Roman" w:hAnsi="Calibri" w:cs="Calibri"/>
          <w:color w:val="202122"/>
          <w:lang w:val="es-AR" w:eastAsia="fr-FR"/>
        </w:rPr>
      </w:pPr>
      <w:r w:rsidRPr="002B667E">
        <w:rPr>
          <w:rFonts w:ascii="Calibri" w:eastAsia="Times New Roman" w:hAnsi="Calibri" w:cs="Calibri"/>
          <w:color w:val="202122"/>
          <w:lang w:val="es-AR" w:eastAsia="fr-FR"/>
        </w:rPr>
        <w:t>Acacia </w:t>
      </w:r>
      <w:hyperlink r:id="rId3570" w:tooltip="Vachellia nilotica" w:history="1">
        <w:r w:rsidRPr="002B667E">
          <w:rPr>
            <w:rFonts w:ascii="Calibri" w:eastAsia="Times New Roman" w:hAnsi="Calibri" w:cs="Calibri"/>
            <w:i/>
            <w:iCs/>
            <w:color w:val="0645AD"/>
            <w:u w:val="single"/>
            <w:lang w:val="es-AR" w:eastAsia="fr-FR"/>
          </w:rPr>
          <w:t>Vachellia nilotica</w:t>
        </w:r>
      </w:hyperlink>
      <w:r w:rsidRPr="000B700A">
        <w:rPr>
          <w:rFonts w:ascii="Calibri" w:eastAsia="Times New Roman" w:hAnsi="Calibri" w:cs="Calibri"/>
          <w:i/>
          <w:iCs/>
          <w:color w:val="202122"/>
          <w:lang w:val="es-AR" w:eastAsia="fr-FR"/>
        </w:rPr>
        <w:t xml:space="preserve"> </w:t>
      </w:r>
      <w:r w:rsidRPr="002B667E">
        <w:rPr>
          <w:rFonts w:ascii="Calibri" w:eastAsia="Times New Roman" w:hAnsi="Calibri" w:cs="Calibri"/>
          <w:color w:val="202122"/>
          <w:lang w:val="es-AR" w:eastAsia="fr-FR"/>
        </w:rPr>
        <w:t>(</w:t>
      </w:r>
      <w:r w:rsidRPr="002B667E">
        <w:rPr>
          <w:rFonts w:ascii="Calibri" w:eastAsia="Times New Roman" w:hAnsi="Calibri" w:cs="Calibri"/>
          <w:color w:val="000000" w:themeColor="text1"/>
          <w:lang w:val="es-AR" w:eastAsia="fr-FR"/>
        </w:rPr>
        <w:t xml:space="preserve">ou </w:t>
      </w:r>
      <w:r w:rsidRPr="002B667E">
        <w:rPr>
          <w:rFonts w:ascii="Calibri" w:eastAsia="Times New Roman" w:hAnsi="Calibri" w:cs="Calibri"/>
          <w:i/>
          <w:iCs/>
          <w:color w:val="000000" w:themeColor="text1"/>
          <w:lang w:val="es-AR" w:eastAsia="fr-FR"/>
        </w:rPr>
        <w:t>Acacia nilótica</w:t>
      </w:r>
      <w:r w:rsidRPr="002B667E">
        <w:rPr>
          <w:rFonts w:ascii="Calibri" w:eastAsia="Times New Roman" w:hAnsi="Calibri" w:cs="Calibri"/>
          <w:color w:val="000000" w:themeColor="text1"/>
          <w:lang w:val="es-AR" w:eastAsia="fr-FR"/>
        </w:rPr>
        <w:t>), ou gommier rouge.</w:t>
      </w:r>
    </w:p>
    <w:p w14:paraId="0B50A718" w14:textId="77777777" w:rsidR="00B835CA" w:rsidRPr="002B667E" w:rsidRDefault="00000000" w:rsidP="00C54119">
      <w:pPr>
        <w:numPr>
          <w:ilvl w:val="0"/>
          <w:numId w:val="97"/>
        </w:numPr>
        <w:shd w:val="clear" w:color="auto" w:fill="FFFFFF"/>
        <w:tabs>
          <w:tab w:val="clear" w:pos="720"/>
        </w:tabs>
        <w:spacing w:after="0" w:line="240" w:lineRule="auto"/>
        <w:ind w:left="567"/>
        <w:rPr>
          <w:rFonts w:ascii="Calibri" w:eastAsia="Times New Roman" w:hAnsi="Calibri" w:cs="Calibri"/>
          <w:color w:val="202122"/>
          <w:lang w:eastAsia="fr-FR"/>
        </w:rPr>
      </w:pPr>
      <w:hyperlink r:id="rId3571" w:tooltip="Phoenix dactylifera" w:history="1">
        <w:r w:rsidR="00B835CA" w:rsidRPr="002B667E">
          <w:rPr>
            <w:rFonts w:ascii="Calibri" w:eastAsia="Times New Roman" w:hAnsi="Calibri" w:cs="Calibri"/>
            <w:color w:val="0645AD"/>
            <w:u w:val="single"/>
            <w:lang w:eastAsia="fr-FR"/>
          </w:rPr>
          <w:t>Dattier</w:t>
        </w:r>
      </w:hyperlink>
      <w:r w:rsidR="00B835CA" w:rsidRPr="002B667E">
        <w:rPr>
          <w:rFonts w:ascii="Calibri" w:eastAsia="Times New Roman" w:hAnsi="Calibri" w:cs="Calibri"/>
          <w:color w:val="202122"/>
          <w:lang w:eastAsia="fr-FR"/>
        </w:rPr>
        <w:t> du désert (</w:t>
      </w:r>
      <w:hyperlink r:id="rId3572" w:tooltip="Balanites aegyptiaca" w:history="1">
        <w:r w:rsidR="00B835CA" w:rsidRPr="002B667E">
          <w:rPr>
            <w:rFonts w:ascii="Calibri" w:eastAsia="Times New Roman" w:hAnsi="Calibri" w:cs="Calibri"/>
            <w:i/>
            <w:iCs/>
            <w:color w:val="0645AD"/>
            <w:u w:val="single"/>
            <w:lang w:eastAsia="fr-FR"/>
          </w:rPr>
          <w:t>Balanites aegyptiaca</w:t>
        </w:r>
      </w:hyperlink>
      <w:r w:rsidR="00B835CA" w:rsidRPr="002B667E">
        <w:rPr>
          <w:rFonts w:ascii="Calibri" w:eastAsia="Times New Roman" w:hAnsi="Calibri" w:cs="Calibri"/>
          <w:color w:val="202122"/>
          <w:lang w:eastAsia="fr-FR"/>
        </w:rPr>
        <w:t>), </w:t>
      </w:r>
      <w:r w:rsidR="00B835CA" w:rsidRPr="002B667E">
        <w:rPr>
          <w:rFonts w:ascii="Calibri" w:eastAsia="Times New Roman" w:hAnsi="Calibri" w:cs="Calibri"/>
          <w:i/>
          <w:iCs/>
          <w:color w:val="202122"/>
          <w:lang w:eastAsia="fr-FR"/>
        </w:rPr>
        <w:t>soump </w:t>
      </w:r>
      <w:r w:rsidR="00B835CA" w:rsidRPr="002B667E">
        <w:rPr>
          <w:rFonts w:ascii="Calibri" w:eastAsia="Times New Roman" w:hAnsi="Calibri" w:cs="Calibri"/>
          <w:color w:val="202122"/>
          <w:lang w:eastAsia="fr-FR"/>
        </w:rPr>
        <w:t>en wolof.</w:t>
      </w:r>
    </w:p>
    <w:p w14:paraId="30270090" w14:textId="77777777" w:rsidR="00B835CA" w:rsidRPr="002B667E" w:rsidRDefault="00B835CA" w:rsidP="00C54119">
      <w:pPr>
        <w:numPr>
          <w:ilvl w:val="0"/>
          <w:numId w:val="97"/>
        </w:numPr>
        <w:shd w:val="clear" w:color="auto" w:fill="FFFFFF"/>
        <w:tabs>
          <w:tab w:val="clear" w:pos="720"/>
        </w:tabs>
        <w:spacing w:after="0" w:line="240" w:lineRule="auto"/>
        <w:ind w:left="567"/>
        <w:rPr>
          <w:rFonts w:ascii="Calibri" w:eastAsia="Times New Roman" w:hAnsi="Calibri" w:cs="Calibri"/>
          <w:color w:val="202122"/>
          <w:lang w:eastAsia="fr-FR"/>
        </w:rPr>
      </w:pPr>
      <w:r w:rsidRPr="00C77B44">
        <w:rPr>
          <w:rFonts w:ascii="Calibri" w:eastAsia="Times New Roman" w:hAnsi="Calibri" w:cs="Calibri"/>
          <w:color w:val="000000" w:themeColor="text1"/>
          <w:lang w:eastAsia="fr-FR"/>
        </w:rPr>
        <w:t xml:space="preserve">Hanza ou aizen </w:t>
      </w:r>
      <w:r>
        <w:rPr>
          <w:rFonts w:ascii="Calibri" w:eastAsia="Times New Roman" w:hAnsi="Calibri" w:cs="Calibri"/>
          <w:color w:val="202122"/>
          <w:lang w:eastAsia="fr-FR"/>
        </w:rPr>
        <w:t>(</w:t>
      </w:r>
      <w:hyperlink r:id="rId3573" w:tooltip="Boscia senegalensis" w:history="1">
        <w:r w:rsidRPr="002B667E">
          <w:rPr>
            <w:rFonts w:ascii="Calibri" w:eastAsia="Times New Roman" w:hAnsi="Calibri" w:cs="Calibri"/>
            <w:i/>
            <w:iCs/>
            <w:color w:val="0645AD"/>
            <w:u w:val="single"/>
            <w:lang w:eastAsia="fr-FR"/>
          </w:rPr>
          <w:t>Boscia senegalensis</w:t>
        </w:r>
      </w:hyperlink>
      <w:r>
        <w:rPr>
          <w:rFonts w:ascii="Calibri" w:eastAsia="Times New Roman" w:hAnsi="Calibri" w:cs="Calibri"/>
          <w:color w:val="202122"/>
          <w:lang w:eastAsia="fr-FR"/>
        </w:rPr>
        <w:t>),</w:t>
      </w:r>
      <w:r>
        <w:rPr>
          <w:rFonts w:ascii="Arial" w:hAnsi="Arial" w:cs="Arial"/>
          <w:color w:val="202122"/>
          <w:sz w:val="21"/>
          <w:szCs w:val="21"/>
          <w:shd w:val="clear" w:color="auto" w:fill="FFFFFF"/>
        </w:rPr>
        <w:t> </w:t>
      </w:r>
      <w:r w:rsidRPr="002B667E">
        <w:rPr>
          <w:rFonts w:ascii="Calibri" w:hAnsi="Calibri" w:cs="Calibri"/>
          <w:color w:val="000000" w:themeColor="text1"/>
          <w:shd w:val="clear" w:color="auto" w:fill="FFFFFF"/>
        </w:rPr>
        <w:t>son fruit</w:t>
      </w:r>
      <w:r>
        <w:rPr>
          <w:rFonts w:ascii="Calibri" w:hAnsi="Calibri" w:cs="Calibri"/>
          <w:color w:val="000000" w:themeColor="text1"/>
          <w:shd w:val="clear" w:color="auto" w:fill="FFFFFF"/>
        </w:rPr>
        <w:t xml:space="preserve"> comestible,</w:t>
      </w:r>
      <w:r w:rsidRPr="002B667E">
        <w:rPr>
          <w:rFonts w:ascii="Calibri" w:hAnsi="Calibri" w:cs="Calibri"/>
          <w:color w:val="000000" w:themeColor="text1"/>
          <w:shd w:val="clear" w:color="auto" w:fill="FFFFFF"/>
        </w:rPr>
        <w:t xml:space="preserve"> renforçant la sécurité alimentaire.</w:t>
      </w:r>
    </w:p>
    <w:p w14:paraId="634D5AAB" w14:textId="77777777" w:rsidR="00B835CA" w:rsidRPr="002B667E" w:rsidRDefault="00000000" w:rsidP="00C54119">
      <w:pPr>
        <w:numPr>
          <w:ilvl w:val="0"/>
          <w:numId w:val="97"/>
        </w:numPr>
        <w:shd w:val="clear" w:color="auto" w:fill="FFFFFF"/>
        <w:tabs>
          <w:tab w:val="clear" w:pos="720"/>
        </w:tabs>
        <w:spacing w:after="0" w:line="240" w:lineRule="auto"/>
        <w:ind w:left="567"/>
        <w:rPr>
          <w:rFonts w:ascii="Calibri" w:eastAsia="Times New Roman" w:hAnsi="Calibri" w:cs="Calibri"/>
          <w:color w:val="202122"/>
          <w:lang w:eastAsia="fr-FR"/>
        </w:rPr>
      </w:pPr>
      <w:hyperlink r:id="rId3574" w:tooltip="Jujubier commun" w:history="1">
        <w:r w:rsidR="00B835CA" w:rsidRPr="002B667E">
          <w:rPr>
            <w:rFonts w:ascii="Calibri" w:eastAsia="Times New Roman" w:hAnsi="Calibri" w:cs="Calibri"/>
            <w:i/>
            <w:iCs/>
            <w:color w:val="0645AD"/>
            <w:u w:val="single"/>
            <w:lang w:eastAsia="fr-FR"/>
          </w:rPr>
          <w:t>Jujubier commun</w:t>
        </w:r>
      </w:hyperlink>
      <w:r w:rsidR="00B835CA" w:rsidRPr="002B667E">
        <w:rPr>
          <w:rFonts w:ascii="Calibri" w:eastAsia="Times New Roman" w:hAnsi="Calibri" w:cs="Calibri"/>
          <w:color w:val="202122"/>
          <w:lang w:eastAsia="fr-FR"/>
        </w:rPr>
        <w:t> (</w:t>
      </w:r>
      <w:r w:rsidR="00B835CA" w:rsidRPr="002B667E">
        <w:rPr>
          <w:rFonts w:ascii="Calibri" w:eastAsia="Times New Roman" w:hAnsi="Calibri" w:cs="Calibri"/>
          <w:i/>
          <w:iCs/>
          <w:color w:val="000000" w:themeColor="text1"/>
          <w:lang w:eastAsia="fr-FR"/>
        </w:rPr>
        <w:t>Ziziphus jujuba</w:t>
      </w:r>
      <w:r w:rsidR="00B835CA" w:rsidRPr="002B667E">
        <w:rPr>
          <w:rFonts w:ascii="Calibri" w:eastAsia="Times New Roman" w:hAnsi="Calibri" w:cs="Calibri"/>
          <w:color w:val="000000" w:themeColor="text1"/>
          <w:lang w:eastAsia="fr-FR"/>
        </w:rPr>
        <w:t>), pour ses fruits</w:t>
      </w:r>
      <w:r w:rsidR="00B835CA">
        <w:rPr>
          <w:rFonts w:ascii="Calibri" w:eastAsia="Times New Roman" w:hAnsi="Calibri" w:cs="Calibri"/>
          <w:color w:val="000000" w:themeColor="text1"/>
          <w:lang w:eastAsia="fr-FR"/>
        </w:rPr>
        <w:t xml:space="preserve"> comestibles (jujubes)</w:t>
      </w:r>
      <w:r w:rsidR="00B835CA" w:rsidRPr="002B667E">
        <w:rPr>
          <w:rFonts w:ascii="Calibri" w:eastAsia="Times New Roman" w:hAnsi="Calibri" w:cs="Calibri"/>
          <w:color w:val="000000" w:themeColor="text1"/>
          <w:lang w:eastAsia="fr-FR"/>
        </w:rPr>
        <w:t>.</w:t>
      </w:r>
    </w:p>
    <w:p w14:paraId="299C4177" w14:textId="77777777" w:rsidR="00B835CA" w:rsidRPr="002B667E" w:rsidRDefault="00000000" w:rsidP="00C54119">
      <w:pPr>
        <w:numPr>
          <w:ilvl w:val="0"/>
          <w:numId w:val="97"/>
        </w:numPr>
        <w:shd w:val="clear" w:color="auto" w:fill="FFFFFF"/>
        <w:tabs>
          <w:tab w:val="clear" w:pos="720"/>
        </w:tabs>
        <w:spacing w:after="0" w:line="240" w:lineRule="auto"/>
        <w:ind w:left="567"/>
        <w:rPr>
          <w:rFonts w:ascii="Calibri" w:eastAsia="Times New Roman" w:hAnsi="Calibri" w:cs="Calibri"/>
          <w:color w:val="202122"/>
          <w:lang w:eastAsia="fr-FR"/>
        </w:rPr>
      </w:pPr>
      <w:hyperlink r:id="rId3575" w:tooltip="Combretum" w:history="1">
        <w:r w:rsidR="00B835CA" w:rsidRPr="002B667E">
          <w:rPr>
            <w:rFonts w:ascii="Calibri" w:eastAsia="Times New Roman" w:hAnsi="Calibri" w:cs="Calibri"/>
            <w:i/>
            <w:iCs/>
            <w:color w:val="0645AD"/>
            <w:u w:val="single"/>
            <w:lang w:eastAsia="fr-FR"/>
          </w:rPr>
          <w:t>Combretum glutinosum</w:t>
        </w:r>
      </w:hyperlink>
      <w:r w:rsidR="00B835CA" w:rsidRPr="002B667E">
        <w:rPr>
          <w:rFonts w:ascii="Calibri" w:eastAsia="Times New Roman" w:hAnsi="Calibri" w:cs="Calibri"/>
          <w:color w:val="000000" w:themeColor="text1"/>
          <w:lang w:eastAsia="fr-FR"/>
        </w:rPr>
        <w:t>,</w:t>
      </w:r>
      <w:r w:rsidR="00B835CA" w:rsidRPr="00C77B44">
        <w:rPr>
          <w:rFonts w:ascii="Calibri" w:eastAsia="Times New Roman" w:hAnsi="Calibri" w:cs="Calibri"/>
          <w:color w:val="000000" w:themeColor="text1"/>
          <w:lang w:eastAsia="fr-FR"/>
        </w:rPr>
        <w:t xml:space="preserve"> utilisé en médecine traditionnelle</w:t>
      </w:r>
      <w:r w:rsidR="00B835CA">
        <w:rPr>
          <w:rFonts w:ascii="Calibri" w:eastAsia="Times New Roman" w:hAnsi="Calibri" w:cs="Calibri"/>
          <w:color w:val="202122"/>
          <w:lang w:eastAsia="fr-FR"/>
        </w:rPr>
        <w:t>,</w:t>
      </w:r>
      <w:r w:rsidR="00B835CA" w:rsidRPr="002B667E">
        <w:rPr>
          <w:rFonts w:ascii="Calibri" w:eastAsia="Times New Roman" w:hAnsi="Calibri" w:cs="Calibri"/>
          <w:color w:val="202122"/>
          <w:lang w:eastAsia="fr-FR"/>
        </w:rPr>
        <w:t xml:space="preserve"> </w:t>
      </w:r>
      <w:r w:rsidR="00B835CA" w:rsidRPr="002B667E">
        <w:rPr>
          <w:rFonts w:ascii="Calibri" w:eastAsia="Times New Roman" w:hAnsi="Calibri" w:cs="Calibri"/>
          <w:color w:val="000000" w:themeColor="text1"/>
          <w:lang w:eastAsia="fr-FR"/>
        </w:rPr>
        <w:t>efficace contre la toux.</w:t>
      </w:r>
    </w:p>
    <w:p w14:paraId="6A8848EC" w14:textId="77777777" w:rsidR="00B835CA" w:rsidRPr="002B667E" w:rsidRDefault="00000000" w:rsidP="00C54119">
      <w:pPr>
        <w:numPr>
          <w:ilvl w:val="0"/>
          <w:numId w:val="97"/>
        </w:numPr>
        <w:shd w:val="clear" w:color="auto" w:fill="FFFFFF"/>
        <w:tabs>
          <w:tab w:val="clear" w:pos="720"/>
        </w:tabs>
        <w:spacing w:after="0" w:line="240" w:lineRule="auto"/>
        <w:ind w:left="567"/>
        <w:rPr>
          <w:rFonts w:ascii="Calibri" w:eastAsia="Times New Roman" w:hAnsi="Calibri" w:cs="Calibri"/>
          <w:color w:val="202122"/>
          <w:lang w:eastAsia="fr-FR"/>
        </w:rPr>
      </w:pPr>
      <w:hyperlink r:id="rId3576" w:tooltip="Marula" w:history="1">
        <w:r w:rsidR="00B835CA" w:rsidRPr="002B667E">
          <w:rPr>
            <w:rFonts w:ascii="Calibri" w:eastAsia="Times New Roman" w:hAnsi="Calibri" w:cs="Calibri"/>
            <w:color w:val="0645AD"/>
            <w:u w:val="single"/>
            <w:lang w:eastAsia="fr-FR"/>
          </w:rPr>
          <w:t>Marula</w:t>
        </w:r>
      </w:hyperlink>
      <w:r w:rsidR="00B835CA">
        <w:rPr>
          <w:rFonts w:ascii="Calibri" w:eastAsia="Times New Roman" w:hAnsi="Calibri" w:cs="Calibri"/>
          <w:color w:val="202122"/>
          <w:lang w:eastAsia="fr-FR"/>
        </w:rPr>
        <w:t xml:space="preserve"> </w:t>
      </w:r>
      <w:r w:rsidR="00B835CA" w:rsidRPr="002B667E">
        <w:rPr>
          <w:rFonts w:ascii="Calibri" w:eastAsia="Times New Roman" w:hAnsi="Calibri" w:cs="Calibri"/>
          <w:color w:val="000000" w:themeColor="text1"/>
          <w:lang w:eastAsia="fr-FR"/>
        </w:rPr>
        <w:t>(</w:t>
      </w:r>
      <w:r w:rsidR="00B835CA" w:rsidRPr="002B667E">
        <w:rPr>
          <w:rFonts w:ascii="Calibri" w:eastAsia="Times New Roman" w:hAnsi="Calibri" w:cs="Calibri"/>
          <w:i/>
          <w:iCs/>
          <w:color w:val="000000" w:themeColor="text1"/>
          <w:lang w:eastAsia="fr-FR"/>
        </w:rPr>
        <w:t>Sclerocarya birrea</w:t>
      </w:r>
      <w:r w:rsidR="00B835CA" w:rsidRPr="002B667E">
        <w:rPr>
          <w:rFonts w:ascii="Calibri" w:eastAsia="Times New Roman" w:hAnsi="Calibri" w:cs="Calibri"/>
          <w:color w:val="000000" w:themeColor="text1"/>
          <w:lang w:eastAsia="fr-FR"/>
        </w:rPr>
        <w:t>), pour ses fruits</w:t>
      </w:r>
      <w:r w:rsidR="00B835CA">
        <w:rPr>
          <w:rFonts w:ascii="Calibri" w:eastAsia="Times New Roman" w:hAnsi="Calibri" w:cs="Calibri"/>
          <w:color w:val="000000" w:themeColor="text1"/>
          <w:lang w:eastAsia="fr-FR"/>
        </w:rPr>
        <w:t xml:space="preserve"> comestibles</w:t>
      </w:r>
      <w:r w:rsidR="00B835CA" w:rsidRPr="002B667E">
        <w:rPr>
          <w:rFonts w:ascii="Calibri" w:eastAsia="Times New Roman" w:hAnsi="Calibri" w:cs="Calibri"/>
          <w:color w:val="000000" w:themeColor="text1"/>
          <w:lang w:eastAsia="fr-FR"/>
        </w:rPr>
        <w:t xml:space="preserve"> (et la production d'alcool, de bioéthanol).</w:t>
      </w:r>
    </w:p>
    <w:p w14:paraId="096265A5" w14:textId="77777777" w:rsidR="00B835CA" w:rsidRPr="002B667E" w:rsidRDefault="00000000" w:rsidP="00C54119">
      <w:pPr>
        <w:numPr>
          <w:ilvl w:val="0"/>
          <w:numId w:val="97"/>
        </w:numPr>
        <w:shd w:val="clear" w:color="auto" w:fill="FFFFFF"/>
        <w:tabs>
          <w:tab w:val="clear" w:pos="720"/>
        </w:tabs>
        <w:spacing w:after="0" w:line="240" w:lineRule="auto"/>
        <w:ind w:left="567"/>
        <w:rPr>
          <w:rFonts w:ascii="Calibri" w:eastAsia="Times New Roman" w:hAnsi="Calibri" w:cs="Calibri"/>
          <w:color w:val="202122"/>
          <w:lang w:eastAsia="fr-FR"/>
        </w:rPr>
      </w:pPr>
      <w:hyperlink r:id="rId3577" w:tooltip="Moringa oleifera" w:history="1">
        <w:r w:rsidR="00B835CA" w:rsidRPr="002B667E">
          <w:rPr>
            <w:rFonts w:ascii="Calibri" w:eastAsia="Times New Roman" w:hAnsi="Calibri" w:cs="Calibri"/>
            <w:i/>
            <w:iCs/>
            <w:color w:val="0645AD"/>
            <w:u w:val="single"/>
            <w:lang w:eastAsia="fr-FR"/>
          </w:rPr>
          <w:t>Moringa oleifera</w:t>
        </w:r>
      </w:hyperlink>
      <w:r w:rsidR="00B835CA" w:rsidRPr="002B667E">
        <w:rPr>
          <w:rFonts w:ascii="Calibri" w:eastAsia="Times New Roman" w:hAnsi="Calibri" w:cs="Calibri"/>
          <w:color w:val="202122"/>
          <w:lang w:eastAsia="fr-FR"/>
        </w:rPr>
        <w:t> (</w:t>
      </w:r>
      <w:r w:rsidR="00B835CA" w:rsidRPr="002B667E">
        <w:rPr>
          <w:rFonts w:ascii="Calibri" w:eastAsia="Times New Roman" w:hAnsi="Calibri" w:cs="Calibri"/>
          <w:color w:val="000000" w:themeColor="text1"/>
          <w:lang w:eastAsia="fr-FR"/>
        </w:rPr>
        <w:t>moringa, neverdier ou nebeday</w:t>
      </w:r>
      <w:r w:rsidR="00B835CA" w:rsidRPr="002B667E">
        <w:rPr>
          <w:rFonts w:ascii="Calibri" w:eastAsia="Times New Roman" w:hAnsi="Calibri" w:cs="Calibri"/>
          <w:color w:val="202122"/>
          <w:lang w:eastAsia="fr-FR"/>
        </w:rPr>
        <w:t>)</w:t>
      </w:r>
      <w:r w:rsidR="00B835CA">
        <w:rPr>
          <w:rFonts w:ascii="Calibri" w:eastAsia="Times New Roman" w:hAnsi="Calibri" w:cs="Calibri"/>
          <w:color w:val="202122"/>
          <w:lang w:eastAsia="fr-FR"/>
        </w:rPr>
        <w:t xml:space="preserve">, </w:t>
      </w:r>
      <w:r w:rsidR="00B835CA" w:rsidRPr="002B667E">
        <w:rPr>
          <w:rFonts w:ascii="Calibri" w:hAnsi="Calibri" w:cs="Calibri"/>
          <w:color w:val="000000" w:themeColor="text1"/>
          <w:shd w:val="clear" w:color="auto" w:fill="FFFFFF"/>
        </w:rPr>
        <w:t>renforçant la sécurité alimentaire.</w:t>
      </w:r>
    </w:p>
    <w:p w14:paraId="1EE2319A" w14:textId="77777777" w:rsidR="00B835CA" w:rsidRPr="002B667E" w:rsidRDefault="00000000" w:rsidP="00C54119">
      <w:pPr>
        <w:numPr>
          <w:ilvl w:val="0"/>
          <w:numId w:val="97"/>
        </w:numPr>
        <w:shd w:val="clear" w:color="auto" w:fill="FFFFFF"/>
        <w:tabs>
          <w:tab w:val="clear" w:pos="720"/>
        </w:tabs>
        <w:spacing w:after="0" w:line="240" w:lineRule="auto"/>
        <w:ind w:left="567"/>
        <w:rPr>
          <w:rFonts w:ascii="Calibri" w:eastAsia="Times New Roman" w:hAnsi="Calibri" w:cs="Calibri"/>
          <w:color w:val="202122"/>
          <w:lang w:eastAsia="fr-FR"/>
        </w:rPr>
      </w:pPr>
      <w:hyperlink r:id="rId3578" w:tooltip="Prosopis africana" w:history="1">
        <w:r w:rsidR="00B835CA" w:rsidRPr="002B667E">
          <w:rPr>
            <w:rFonts w:ascii="Calibri" w:eastAsia="Times New Roman" w:hAnsi="Calibri" w:cs="Calibri"/>
            <w:i/>
            <w:iCs/>
            <w:color w:val="0645AD"/>
            <w:u w:val="single"/>
            <w:lang w:eastAsia="fr-FR"/>
          </w:rPr>
          <w:t>Prosopis african</w:t>
        </w:r>
        <w:r w:rsidR="00B835CA" w:rsidRPr="002B667E">
          <w:rPr>
            <w:rFonts w:ascii="Calibri" w:eastAsia="Times New Roman" w:hAnsi="Calibri" w:cs="Calibri"/>
            <w:color w:val="0645AD"/>
            <w:u w:val="single"/>
            <w:lang w:eastAsia="fr-FR"/>
          </w:rPr>
          <w:t>a</w:t>
        </w:r>
      </w:hyperlink>
      <w:r w:rsidR="00B835CA" w:rsidRPr="002B667E">
        <w:rPr>
          <w:rFonts w:ascii="Calibri" w:eastAsia="Times New Roman" w:hAnsi="Calibri" w:cs="Calibri"/>
          <w:color w:val="202122"/>
          <w:lang w:eastAsia="fr-FR"/>
        </w:rPr>
        <w:t xml:space="preserve">, </w:t>
      </w:r>
      <w:r w:rsidR="00B835CA" w:rsidRPr="002B667E">
        <w:rPr>
          <w:rFonts w:ascii="Calibri" w:eastAsia="Times New Roman" w:hAnsi="Calibri" w:cs="Calibri"/>
          <w:color w:val="000000" w:themeColor="text1"/>
          <w:lang w:eastAsia="fr-FR"/>
        </w:rPr>
        <w:t>résistant aux termites</w:t>
      </w:r>
      <w:r w:rsidR="00B835CA">
        <w:rPr>
          <w:rFonts w:ascii="Calibri" w:eastAsia="Times New Roman" w:hAnsi="Calibri" w:cs="Calibri"/>
          <w:color w:val="000000" w:themeColor="text1"/>
          <w:lang w:eastAsia="fr-FR"/>
        </w:rPr>
        <w:t>, source d’alimentation avec ses graines</w:t>
      </w:r>
      <w:r w:rsidR="00B835CA" w:rsidRPr="002B667E">
        <w:rPr>
          <w:rFonts w:ascii="Calibri" w:eastAsia="Times New Roman" w:hAnsi="Calibri" w:cs="Calibri"/>
          <w:color w:val="202122"/>
          <w:lang w:eastAsia="fr-FR"/>
        </w:rPr>
        <w:t>.</w:t>
      </w:r>
    </w:p>
    <w:p w14:paraId="66959F6F" w14:textId="77777777" w:rsidR="00B835CA" w:rsidRPr="002B667E" w:rsidRDefault="00000000" w:rsidP="00C54119">
      <w:pPr>
        <w:numPr>
          <w:ilvl w:val="0"/>
          <w:numId w:val="97"/>
        </w:numPr>
        <w:shd w:val="clear" w:color="auto" w:fill="FFFFFF"/>
        <w:tabs>
          <w:tab w:val="clear" w:pos="720"/>
        </w:tabs>
        <w:spacing w:after="0" w:line="240" w:lineRule="auto"/>
        <w:ind w:left="567"/>
        <w:rPr>
          <w:rFonts w:ascii="Calibri" w:eastAsia="Times New Roman" w:hAnsi="Calibri" w:cs="Calibri"/>
          <w:color w:val="202122"/>
          <w:lang w:eastAsia="fr-FR"/>
        </w:rPr>
      </w:pPr>
      <w:hyperlink r:id="rId3579" w:tooltip="Detarium senegalense" w:history="1">
        <w:r w:rsidR="00B835CA" w:rsidRPr="002B667E">
          <w:rPr>
            <w:rFonts w:ascii="Calibri" w:eastAsia="Times New Roman" w:hAnsi="Calibri" w:cs="Calibri"/>
            <w:i/>
            <w:iCs/>
            <w:color w:val="0645AD"/>
            <w:u w:val="single"/>
            <w:lang w:eastAsia="fr-FR"/>
          </w:rPr>
          <w:t>Detarium senegalense</w:t>
        </w:r>
      </w:hyperlink>
      <w:r w:rsidR="00B835CA" w:rsidRPr="002B667E">
        <w:rPr>
          <w:rFonts w:ascii="Calibri" w:eastAsia="Times New Roman" w:hAnsi="Calibri" w:cs="Calibri"/>
          <w:color w:val="202122"/>
          <w:lang w:eastAsia="fr-FR"/>
        </w:rPr>
        <w:t> </w:t>
      </w:r>
      <w:r w:rsidR="00B835CA" w:rsidRPr="002B667E">
        <w:rPr>
          <w:rFonts w:ascii="Calibri" w:eastAsia="Times New Roman" w:hAnsi="Calibri" w:cs="Calibri"/>
          <w:color w:val="000000" w:themeColor="text1"/>
          <w:lang w:eastAsia="fr-FR"/>
        </w:rPr>
        <w:t>ou Ditakh</w:t>
      </w:r>
      <w:r w:rsidR="00B835CA">
        <w:rPr>
          <w:rFonts w:ascii="Calibri" w:eastAsia="Times New Roman" w:hAnsi="Calibri" w:cs="Calibri"/>
          <w:color w:val="000000" w:themeColor="text1"/>
          <w:lang w:eastAsia="fr-FR"/>
        </w:rPr>
        <w:t xml:space="preserve">, pour ses fruits comestibles, </w:t>
      </w:r>
      <w:r w:rsidR="00B835CA" w:rsidRPr="002B667E">
        <w:rPr>
          <w:rFonts w:ascii="Calibri" w:hAnsi="Calibri" w:cs="Calibri"/>
          <w:color w:val="000000" w:themeColor="text1"/>
          <w:shd w:val="clear" w:color="auto" w:fill="FFFFFF"/>
        </w:rPr>
        <w:t>renforçant la sécurité alimentaire</w:t>
      </w:r>
      <w:r w:rsidR="00B835CA">
        <w:rPr>
          <w:rFonts w:ascii="Calibri" w:eastAsia="Times New Roman" w:hAnsi="Calibri" w:cs="Calibri"/>
          <w:color w:val="202122"/>
          <w:lang w:eastAsia="fr-FR"/>
        </w:rPr>
        <w:t>.</w:t>
      </w:r>
    </w:p>
    <w:p w14:paraId="151251E6" w14:textId="77777777" w:rsidR="00B835CA" w:rsidRDefault="00B835CA" w:rsidP="00B835CA">
      <w:pPr>
        <w:spacing w:after="0" w:line="240" w:lineRule="auto"/>
        <w:jc w:val="both"/>
        <w:rPr>
          <w:rFonts w:ascii="Calibri" w:hAnsi="Calibri" w:cs="Calibri"/>
          <w:color w:val="000000" w:themeColor="text1"/>
        </w:rPr>
      </w:pPr>
    </w:p>
    <w:p w14:paraId="7ADC9F98" w14:textId="7D683554" w:rsidR="00B835CA" w:rsidRDefault="00B835CA" w:rsidP="002319B2">
      <w:pPr>
        <w:pStyle w:val="Titre3"/>
      </w:pPr>
      <w:bookmarkStart w:id="313" w:name="_Toc139181604"/>
      <w:r w:rsidRPr="006346F9">
        <w:t>Les controverses concernant ce projet</w:t>
      </w:r>
      <w:bookmarkEnd w:id="313"/>
    </w:p>
    <w:p w14:paraId="7CE38F83" w14:textId="77777777" w:rsidR="00B835CA" w:rsidRDefault="00B835CA" w:rsidP="00B835CA">
      <w:pPr>
        <w:spacing w:after="0" w:line="240" w:lineRule="auto"/>
        <w:jc w:val="both"/>
        <w:rPr>
          <w:rFonts w:ascii="Calibri" w:hAnsi="Calibri" w:cs="Calibri"/>
          <w:color w:val="000000" w:themeColor="text1"/>
        </w:rPr>
      </w:pPr>
    </w:p>
    <w:p w14:paraId="41059A30" w14:textId="77777777" w:rsidR="00B835CA" w:rsidRPr="00516E90" w:rsidRDefault="00B835CA" w:rsidP="00B835CA">
      <w:pPr>
        <w:spacing w:after="0" w:line="240" w:lineRule="auto"/>
        <w:jc w:val="both"/>
        <w:rPr>
          <w:rFonts w:ascii="Calibri" w:hAnsi="Calibri" w:cs="Calibri"/>
          <w:color w:val="000000" w:themeColor="text1"/>
        </w:rPr>
      </w:pPr>
      <w:r w:rsidRPr="00516E90">
        <w:rPr>
          <w:rFonts w:ascii="Calibri" w:hAnsi="Calibri" w:cs="Calibri"/>
          <w:color w:val="000000" w:themeColor="text1"/>
        </w:rPr>
        <w:t xml:space="preserve">Selon Wally Maene, membre de Timberwatch, </w:t>
      </w:r>
      <w:r w:rsidRPr="00CB694B">
        <w:rPr>
          <w:rFonts w:ascii="Calibri" w:hAnsi="Calibri" w:cs="Calibri"/>
          <w:i/>
          <w:iCs/>
          <w:color w:val="000000" w:themeColor="text1"/>
        </w:rPr>
        <w:t>ces arbres pourraient réduire encore des ressources en eau déjà rares</w:t>
      </w:r>
      <w:r w:rsidRPr="00516E90">
        <w:rPr>
          <w:rFonts w:ascii="Calibri" w:hAnsi="Calibri" w:cs="Calibri"/>
          <w:color w:val="000000" w:themeColor="text1"/>
        </w:rPr>
        <w:t>.</w:t>
      </w:r>
    </w:p>
    <w:p w14:paraId="0EF8F82F" w14:textId="77777777" w:rsidR="00B835CA" w:rsidRDefault="00B835CA" w:rsidP="00B835CA">
      <w:pPr>
        <w:spacing w:after="0" w:line="240" w:lineRule="auto"/>
        <w:jc w:val="both"/>
      </w:pPr>
      <w:r w:rsidRPr="00516E90">
        <w:rPr>
          <w:rFonts w:ascii="Calibri" w:hAnsi="Calibri" w:cs="Calibri"/>
          <w:color w:val="000000" w:themeColor="text1"/>
        </w:rPr>
        <w:t xml:space="preserve">Selon Pierre Ozer, docteur en géographie à l’université de Liège, </w:t>
      </w:r>
      <w:r w:rsidRPr="00CB694B">
        <w:rPr>
          <w:rFonts w:ascii="Calibri" w:hAnsi="Calibri" w:cs="Calibri"/>
          <w:i/>
          <w:iCs/>
          <w:color w:val="000000" w:themeColor="text1"/>
        </w:rPr>
        <w:t>les populations de ces régions sont trop dépendantes de la biomasse pour respecter une nouvelle forêt</w:t>
      </w:r>
      <w:r w:rsidRPr="00516E90">
        <w:rPr>
          <w:rFonts w:ascii="Calibri" w:hAnsi="Calibri" w:cs="Calibri"/>
          <w:color w:val="000000" w:themeColor="text1"/>
        </w:rPr>
        <w:t>.</w:t>
      </w:r>
    </w:p>
    <w:p w14:paraId="0055E743" w14:textId="77777777" w:rsidR="00B835CA" w:rsidRDefault="00B835CA" w:rsidP="00B835CA">
      <w:pPr>
        <w:spacing w:after="0" w:line="240" w:lineRule="auto"/>
        <w:jc w:val="both"/>
        <w:rPr>
          <w:rFonts w:ascii="Calibri" w:hAnsi="Calibri" w:cs="Calibri"/>
          <w:color w:val="000000" w:themeColor="text1"/>
        </w:rPr>
      </w:pPr>
      <w:r w:rsidRPr="00516E90">
        <w:rPr>
          <w:rFonts w:ascii="Calibri" w:hAnsi="Calibri" w:cs="Calibri"/>
          <w:color w:val="000000" w:themeColor="text1"/>
          <w:shd w:val="clear" w:color="auto" w:fill="FFFFFF"/>
        </w:rPr>
        <w:t>Pour la représentante d’une organisation de peuples indigènes dont les </w:t>
      </w:r>
      <w:hyperlink r:id="rId3580" w:tooltip="Réseaux d'information régionaux intégrés" w:history="1">
        <w:r w:rsidRPr="00516E90">
          <w:rPr>
            <w:rStyle w:val="Lienhypertexte"/>
            <w:rFonts w:ascii="Calibri" w:hAnsi="Calibri" w:cs="Calibri"/>
            <w:color w:val="0645AD"/>
            <w:shd w:val="clear" w:color="auto" w:fill="FFFFFF"/>
          </w:rPr>
          <w:t>Réseaux d'information régionaux intégrés</w:t>
        </w:r>
      </w:hyperlink>
      <w:r w:rsidRPr="00516E90">
        <w:rPr>
          <w:rFonts w:ascii="Calibri" w:hAnsi="Calibri" w:cs="Calibri"/>
          <w:color w:val="202122"/>
          <w:shd w:val="clear" w:color="auto" w:fill="FFFFFF"/>
        </w:rPr>
        <w:t> </w:t>
      </w:r>
      <w:r w:rsidRPr="00516E90">
        <w:rPr>
          <w:rFonts w:ascii="Calibri" w:hAnsi="Calibri" w:cs="Calibri"/>
          <w:color w:val="000000" w:themeColor="text1"/>
          <w:shd w:val="clear" w:color="auto" w:fill="FFFFFF"/>
        </w:rPr>
        <w:t>ont gardé l'anonymat, « </w:t>
      </w:r>
      <w:r w:rsidRPr="00516E90">
        <w:rPr>
          <w:rFonts w:ascii="Calibri" w:hAnsi="Calibri" w:cs="Calibri"/>
          <w:i/>
          <w:iCs/>
          <w:color w:val="000000" w:themeColor="text1"/>
          <w:shd w:val="clear" w:color="auto" w:fill="FFFFFF"/>
        </w:rPr>
        <w:t>la Grande Muraille Verte pourrait interférer avec les circuits migratoires des communautés pastorales ; elle devrait plutôt incorporer les systèmes ancestraux de gestion des terres. Il vaudrait mieux protéger ce qui existe déjà dans la région, arrêter de couper les arbres dans les vallées et les </w:t>
      </w:r>
      <w:hyperlink r:id="rId3581" w:tooltip="Oasis" w:history="1">
        <w:r w:rsidRPr="00516E90">
          <w:rPr>
            <w:rStyle w:val="Lienhypertexte"/>
            <w:rFonts w:ascii="Calibri" w:hAnsi="Calibri" w:cs="Calibri"/>
            <w:i/>
            <w:iCs/>
            <w:color w:val="0645AD"/>
            <w:shd w:val="clear" w:color="auto" w:fill="FFFFFF"/>
          </w:rPr>
          <w:t>oasis</w:t>
        </w:r>
      </w:hyperlink>
      <w:r w:rsidRPr="00516E90">
        <w:rPr>
          <w:rFonts w:ascii="Calibri" w:hAnsi="Calibri" w:cs="Calibri"/>
          <w:i/>
          <w:iCs/>
          <w:color w:val="202122"/>
          <w:shd w:val="clear" w:color="auto" w:fill="FFFFFF"/>
        </w:rPr>
        <w:t xml:space="preserve">, […] </w:t>
      </w:r>
      <w:r w:rsidRPr="00516E90">
        <w:rPr>
          <w:rFonts w:ascii="Calibri" w:hAnsi="Calibri" w:cs="Calibri"/>
          <w:i/>
          <w:iCs/>
          <w:color w:val="000000" w:themeColor="text1"/>
          <w:shd w:val="clear" w:color="auto" w:fill="FFFFFF"/>
        </w:rPr>
        <w:t>éduquer les communautés […] et remplacer le </w:t>
      </w:r>
      <w:hyperlink r:id="rId3582" w:tooltip="Bétail" w:history="1">
        <w:r w:rsidRPr="00516E90">
          <w:rPr>
            <w:rStyle w:val="Lienhypertexte"/>
            <w:rFonts w:ascii="Calibri" w:hAnsi="Calibri" w:cs="Calibri"/>
            <w:i/>
            <w:iCs/>
            <w:color w:val="0645AD"/>
            <w:shd w:val="clear" w:color="auto" w:fill="FFFFFF"/>
          </w:rPr>
          <w:t>bétail</w:t>
        </w:r>
      </w:hyperlink>
      <w:r w:rsidRPr="00516E90">
        <w:rPr>
          <w:rFonts w:ascii="Calibri" w:hAnsi="Calibri" w:cs="Calibri"/>
          <w:i/>
          <w:iCs/>
          <w:color w:val="202122"/>
          <w:shd w:val="clear" w:color="auto" w:fill="FFFFFF"/>
        </w:rPr>
        <w:t> </w:t>
      </w:r>
      <w:r w:rsidRPr="00516E90">
        <w:rPr>
          <w:rFonts w:ascii="Calibri" w:hAnsi="Calibri" w:cs="Calibri"/>
          <w:i/>
          <w:iCs/>
          <w:color w:val="000000" w:themeColor="text1"/>
          <w:shd w:val="clear" w:color="auto" w:fill="FFFFFF"/>
        </w:rPr>
        <w:t>perdu. Je trouve que le projet est bon, mais trop ambitieux.</w:t>
      </w:r>
      <w:r w:rsidRPr="00516E90">
        <w:rPr>
          <w:rFonts w:ascii="Calibri" w:hAnsi="Calibri" w:cs="Calibri"/>
          <w:color w:val="000000" w:themeColor="text1"/>
          <w:shd w:val="clear" w:color="auto" w:fill="FFFFFF"/>
        </w:rPr>
        <w:t> »</w:t>
      </w:r>
      <w:r w:rsidRPr="00516E90">
        <w:rPr>
          <w:rFonts w:ascii="Calibri" w:hAnsi="Calibri" w:cs="Calibri"/>
          <w:color w:val="000000" w:themeColor="text1"/>
        </w:rPr>
        <w:t>.</w:t>
      </w:r>
    </w:p>
    <w:p w14:paraId="7A95B40D" w14:textId="77777777" w:rsidR="00B835CA" w:rsidRDefault="00B835CA" w:rsidP="00B835CA">
      <w:pPr>
        <w:spacing w:after="0" w:line="240" w:lineRule="auto"/>
        <w:jc w:val="both"/>
        <w:rPr>
          <w:rFonts w:ascii="Calibri" w:hAnsi="Calibri" w:cs="Calibri"/>
          <w:color w:val="000000" w:themeColor="text1"/>
        </w:rPr>
      </w:pPr>
    </w:p>
    <w:p w14:paraId="5C295833" w14:textId="2D2CE208" w:rsidR="00B835CA" w:rsidRDefault="00B835CA" w:rsidP="002319B2">
      <w:pPr>
        <w:pStyle w:val="Titre3"/>
      </w:pPr>
      <w:bookmarkStart w:id="314" w:name="_Toc139181605"/>
      <w:r w:rsidRPr="00065FCC">
        <w:t>Remise en cause du concept de désertification</w:t>
      </w:r>
      <w:bookmarkEnd w:id="314"/>
    </w:p>
    <w:p w14:paraId="39297FF5" w14:textId="77777777" w:rsidR="00B835CA" w:rsidRDefault="00B835CA" w:rsidP="00B835CA">
      <w:pPr>
        <w:spacing w:after="0" w:line="240" w:lineRule="auto"/>
        <w:jc w:val="both"/>
        <w:rPr>
          <w:rFonts w:ascii="Calibri" w:hAnsi="Calibri" w:cs="Calibri"/>
          <w:color w:val="000000" w:themeColor="text1"/>
        </w:rPr>
      </w:pPr>
    </w:p>
    <w:p w14:paraId="081EB545" w14:textId="77777777" w:rsidR="00B835CA" w:rsidRDefault="00B835CA" w:rsidP="00B835CA">
      <w:pPr>
        <w:spacing w:after="0" w:line="240" w:lineRule="auto"/>
        <w:jc w:val="both"/>
        <w:rPr>
          <w:rFonts w:ascii="Calibri" w:hAnsi="Calibri" w:cs="Calibri"/>
          <w:color w:val="000000" w:themeColor="text1"/>
        </w:rPr>
      </w:pPr>
      <w:r w:rsidRPr="00065FCC">
        <w:rPr>
          <w:rFonts w:ascii="Calibri" w:hAnsi="Calibri" w:cs="Calibri"/>
          <w:color w:val="000000" w:themeColor="text1"/>
        </w:rPr>
        <w:t xml:space="preserve">Selon Mark Hertsgaard du Monde Diplomatique, le phénomène de désertification n'est pas uniforme : « </w:t>
      </w:r>
      <w:r w:rsidRPr="00065FCC">
        <w:rPr>
          <w:rFonts w:ascii="Calibri" w:hAnsi="Calibri" w:cs="Calibri"/>
          <w:i/>
          <w:iCs/>
          <w:color w:val="000000" w:themeColor="text1"/>
        </w:rPr>
        <w:t>ce sont ces bandes de terre qu’il faut viser, pas toute la bordure Sahel-Sahara</w:t>
      </w:r>
      <w:r w:rsidRPr="00065FCC">
        <w:rPr>
          <w:rFonts w:ascii="Calibri" w:hAnsi="Calibri" w:cs="Calibri"/>
          <w:color w:val="000000" w:themeColor="text1"/>
        </w:rPr>
        <w:t xml:space="preserve"> »</w:t>
      </w:r>
      <w:r>
        <w:rPr>
          <w:rFonts w:ascii="Calibri" w:hAnsi="Calibri" w:cs="Calibri"/>
          <w:color w:val="000000" w:themeColor="text1"/>
        </w:rPr>
        <w:t>.</w:t>
      </w:r>
    </w:p>
    <w:p w14:paraId="1D1CD4B0" w14:textId="77777777" w:rsidR="00B835CA" w:rsidRPr="00065FCC" w:rsidRDefault="00B835CA" w:rsidP="00B835CA">
      <w:pPr>
        <w:spacing w:after="0" w:line="240" w:lineRule="auto"/>
        <w:jc w:val="both"/>
        <w:rPr>
          <w:rFonts w:ascii="Calibri" w:hAnsi="Calibri" w:cs="Calibri"/>
          <w:color w:val="000000" w:themeColor="text1"/>
        </w:rPr>
      </w:pPr>
      <w:r w:rsidRPr="00065FCC">
        <w:rPr>
          <w:rFonts w:ascii="Calibri" w:hAnsi="Calibri" w:cs="Calibri"/>
          <w:color w:val="000000" w:themeColor="text1"/>
        </w:rPr>
        <w:t>Selon l’agronome français Pierre Hiernaux, la</w:t>
      </w:r>
      <w:r w:rsidRPr="00065FCC">
        <w:rPr>
          <w:rFonts w:ascii="Arial" w:hAnsi="Arial" w:cs="Arial"/>
          <w:color w:val="000000" w:themeColor="text1"/>
          <w:sz w:val="21"/>
          <w:szCs w:val="21"/>
          <w:shd w:val="clear" w:color="auto" w:fill="FFFFFF"/>
        </w:rPr>
        <w:t> </w:t>
      </w:r>
      <w:hyperlink r:id="rId3583" w:tooltip="Régression et dégradation des sols" w:history="1">
        <w:r w:rsidRPr="00065FCC">
          <w:rPr>
            <w:rStyle w:val="Lienhypertexte"/>
            <w:rFonts w:ascii="Calibri" w:hAnsi="Calibri" w:cs="Calibri"/>
            <w:color w:val="0645AD"/>
            <w:shd w:val="clear" w:color="auto" w:fill="FFFFFF"/>
          </w:rPr>
          <w:t>dégradation des sols</w:t>
        </w:r>
      </w:hyperlink>
      <w:r w:rsidRPr="00065FCC">
        <w:rPr>
          <w:rFonts w:ascii="Calibri" w:hAnsi="Calibri" w:cs="Calibri"/>
          <w:color w:val="202122"/>
          <w:shd w:val="clear" w:color="auto" w:fill="FFFFFF"/>
        </w:rPr>
        <w:t> </w:t>
      </w:r>
      <w:r w:rsidRPr="00065FCC">
        <w:rPr>
          <w:rFonts w:ascii="Calibri" w:hAnsi="Calibri" w:cs="Calibri"/>
          <w:color w:val="000000" w:themeColor="text1"/>
          <w:shd w:val="clear" w:color="auto" w:fill="FFFFFF"/>
        </w:rPr>
        <w:t>s'expliquerait davantage par la surpopulation que par des facteurs climatiques.</w:t>
      </w:r>
      <w:r>
        <w:rPr>
          <w:rFonts w:ascii="Calibri" w:hAnsi="Calibri" w:cs="Calibri"/>
          <w:color w:val="000000" w:themeColor="text1"/>
          <w:shd w:val="clear" w:color="auto" w:fill="FFFFFF"/>
        </w:rPr>
        <w:t xml:space="preserve"> </w:t>
      </w:r>
      <w:r w:rsidRPr="00065FCC">
        <w:rPr>
          <w:rFonts w:ascii="Calibri" w:hAnsi="Calibri" w:cs="Calibri"/>
          <w:color w:val="000000" w:themeColor="text1"/>
          <w:shd w:val="clear" w:color="auto" w:fill="FFFFFF"/>
        </w:rPr>
        <w:t>Plusieurs études constatent que depuis la fin des sécheresses des années 1980, la pluviométrie augmente, et avec elle le </w:t>
      </w:r>
      <w:hyperlink r:id="rId3584" w:tooltip="Couvert végétal" w:history="1">
        <w:r w:rsidRPr="00065FCC">
          <w:rPr>
            <w:rStyle w:val="Lienhypertexte"/>
            <w:rFonts w:ascii="Calibri" w:hAnsi="Calibri" w:cs="Calibri"/>
            <w:color w:val="0645AD"/>
            <w:shd w:val="clear" w:color="auto" w:fill="FFFFFF"/>
          </w:rPr>
          <w:t>couvert végétal</w:t>
        </w:r>
      </w:hyperlink>
      <w:r w:rsidRPr="00065FCC">
        <w:rPr>
          <w:rFonts w:ascii="Calibri" w:hAnsi="Calibri" w:cs="Calibri"/>
          <w:color w:val="202122"/>
          <w:shd w:val="clear" w:color="auto" w:fill="FFFFFF"/>
        </w:rPr>
        <w:t xml:space="preserve">, </w:t>
      </w:r>
      <w:r w:rsidRPr="00065FCC">
        <w:rPr>
          <w:rFonts w:ascii="Calibri" w:hAnsi="Calibri" w:cs="Calibri"/>
          <w:color w:val="000000" w:themeColor="text1"/>
          <w:shd w:val="clear" w:color="auto" w:fill="FFFFFF"/>
        </w:rPr>
        <w:t xml:space="preserve">d'herbes ou d'arbres. </w:t>
      </w:r>
      <w:r w:rsidRPr="00CB694B">
        <w:rPr>
          <w:rFonts w:ascii="Calibri" w:hAnsi="Calibri" w:cs="Calibri"/>
          <w:i/>
          <w:iCs/>
          <w:color w:val="000000" w:themeColor="text1"/>
          <w:shd w:val="clear" w:color="auto" w:fill="FFFFFF"/>
        </w:rPr>
        <w:t>La cause de la dégradation des terres serait plutôt à chercher du côté de la </w:t>
      </w:r>
      <w:hyperlink r:id="rId3585" w:tooltip="Pression démographique" w:history="1">
        <w:r w:rsidRPr="00CB694B">
          <w:rPr>
            <w:rStyle w:val="Lienhypertexte"/>
            <w:rFonts w:ascii="Calibri" w:hAnsi="Calibri" w:cs="Calibri"/>
            <w:i/>
            <w:iCs/>
            <w:color w:val="0645AD"/>
            <w:shd w:val="clear" w:color="auto" w:fill="FFFFFF"/>
          </w:rPr>
          <w:t>pression démographique</w:t>
        </w:r>
      </w:hyperlink>
      <w:r w:rsidRPr="00CB694B">
        <w:rPr>
          <w:rFonts w:ascii="Calibri" w:hAnsi="Calibri" w:cs="Calibri"/>
          <w:i/>
          <w:iCs/>
          <w:color w:val="202122"/>
          <w:shd w:val="clear" w:color="auto" w:fill="FFFFFF"/>
        </w:rPr>
        <w:t> et de l'</w:t>
      </w:r>
      <w:hyperlink r:id="rId3586" w:history="1">
        <w:r w:rsidRPr="00CB694B">
          <w:rPr>
            <w:rStyle w:val="Lienhypertexte"/>
            <w:rFonts w:ascii="Calibri" w:hAnsi="Calibri" w:cs="Calibri"/>
            <w:i/>
            <w:iCs/>
            <w:color w:val="0645AD"/>
            <w:shd w:val="clear" w:color="auto" w:fill="FFFFFF"/>
          </w:rPr>
          <w:t>agropastoralisme</w:t>
        </w:r>
      </w:hyperlink>
      <w:r w:rsidRPr="00065FCC">
        <w:rPr>
          <w:rFonts w:ascii="Calibri" w:hAnsi="Calibri" w:cs="Calibri"/>
        </w:rPr>
        <w:t>.</w:t>
      </w:r>
    </w:p>
    <w:p w14:paraId="76181563" w14:textId="77777777" w:rsidR="00B835CA" w:rsidRDefault="00B835CA" w:rsidP="00B835CA">
      <w:pPr>
        <w:spacing w:after="0" w:line="240" w:lineRule="auto"/>
        <w:jc w:val="both"/>
        <w:rPr>
          <w:rFonts w:ascii="Calibri" w:hAnsi="Calibri" w:cs="Calibri"/>
          <w:color w:val="000000" w:themeColor="text1"/>
        </w:rPr>
      </w:pPr>
    </w:p>
    <w:p w14:paraId="14F972AD" w14:textId="3E233F0F" w:rsidR="00B835CA" w:rsidRDefault="00B835CA" w:rsidP="002319B2">
      <w:pPr>
        <w:pStyle w:val="Titre3"/>
      </w:pPr>
      <w:bookmarkStart w:id="315" w:name="_Toc139181606"/>
      <w:r w:rsidRPr="00516E90">
        <w:t>Difficultés de mise en œuvre dans les régions instables (en guerre)</w:t>
      </w:r>
      <w:bookmarkEnd w:id="315"/>
    </w:p>
    <w:p w14:paraId="40B10621" w14:textId="77777777" w:rsidR="00B835CA" w:rsidRDefault="00B835CA" w:rsidP="00B835CA">
      <w:pPr>
        <w:spacing w:after="0" w:line="240" w:lineRule="auto"/>
        <w:jc w:val="both"/>
        <w:rPr>
          <w:rFonts w:ascii="Calibri" w:hAnsi="Calibri" w:cs="Calibri"/>
          <w:color w:val="000000" w:themeColor="text1"/>
        </w:rPr>
      </w:pPr>
    </w:p>
    <w:p w14:paraId="6244EB11" w14:textId="77777777" w:rsidR="00B835CA" w:rsidRPr="00516E90" w:rsidRDefault="00B835CA" w:rsidP="00B835CA">
      <w:pPr>
        <w:spacing w:after="0" w:line="240" w:lineRule="auto"/>
        <w:jc w:val="both"/>
        <w:rPr>
          <w:rFonts w:ascii="Calibri" w:hAnsi="Calibri" w:cs="Calibri"/>
          <w:color w:val="000000" w:themeColor="text1"/>
        </w:rPr>
      </w:pPr>
      <w:r w:rsidRPr="00516E90">
        <w:rPr>
          <w:rFonts w:ascii="Calibri" w:hAnsi="Calibri" w:cs="Calibri"/>
          <w:color w:val="000000" w:themeColor="text1"/>
        </w:rPr>
        <w:t xml:space="preserve">En 2020, </w:t>
      </w:r>
      <w:r w:rsidRPr="00516E90">
        <w:rPr>
          <w:rFonts w:ascii="Calibri" w:hAnsi="Calibri" w:cs="Calibri"/>
          <w:i/>
          <w:iCs/>
          <w:color w:val="000000" w:themeColor="text1"/>
        </w:rPr>
        <w:t>l'aménagement partiel de la Grande muraille verte ne couvre que 4 millions d'hectares sur 100 millions envisagés</w:t>
      </w:r>
      <w:r w:rsidRPr="00516E90">
        <w:rPr>
          <w:rFonts w:ascii="Calibri" w:hAnsi="Calibri" w:cs="Calibri"/>
          <w:color w:val="000000" w:themeColor="text1"/>
        </w:rPr>
        <w:t xml:space="preserve"> et le manque de coordination entre les services nationaux et les collectivités locales empêche toute évaluation d'ensemble de ses résultats. </w:t>
      </w:r>
      <w:r w:rsidRPr="00516E90">
        <w:rPr>
          <w:rFonts w:ascii="Calibri" w:hAnsi="Calibri" w:cs="Calibri"/>
          <w:i/>
          <w:iCs/>
          <w:color w:val="000000" w:themeColor="text1"/>
        </w:rPr>
        <w:t>En raison de l'instabilité politique, certains des pays invités n'ont même pas mis en place l'Agence nationale compétente</w:t>
      </w:r>
      <w:r w:rsidRPr="00516E90">
        <w:rPr>
          <w:rFonts w:ascii="Calibri" w:hAnsi="Calibri" w:cs="Calibri"/>
          <w:color w:val="000000" w:themeColor="text1"/>
        </w:rPr>
        <w:t>.</w:t>
      </w:r>
    </w:p>
    <w:p w14:paraId="3E8913E0" w14:textId="77777777" w:rsidR="00007664" w:rsidRDefault="00007664" w:rsidP="00B835CA">
      <w:pPr>
        <w:spacing w:after="0" w:line="240" w:lineRule="auto"/>
        <w:jc w:val="both"/>
        <w:rPr>
          <w:rFonts w:ascii="Calibri" w:hAnsi="Calibri" w:cs="Calibri"/>
          <w:color w:val="000000" w:themeColor="text1"/>
        </w:rPr>
      </w:pPr>
    </w:p>
    <w:p w14:paraId="08FAC52B" w14:textId="4599F642" w:rsidR="00B835CA" w:rsidRDefault="00B835CA" w:rsidP="00B835CA">
      <w:pPr>
        <w:spacing w:after="0" w:line="240" w:lineRule="auto"/>
        <w:jc w:val="both"/>
        <w:rPr>
          <w:rFonts w:ascii="Calibri" w:hAnsi="Calibri" w:cs="Calibri"/>
          <w:color w:val="000000" w:themeColor="text1"/>
        </w:rPr>
      </w:pPr>
      <w:r w:rsidRPr="00516E90">
        <w:rPr>
          <w:rFonts w:ascii="Calibri" w:hAnsi="Calibri" w:cs="Calibri"/>
          <w:color w:val="000000" w:themeColor="text1"/>
        </w:rPr>
        <w:t>Selon Robin Duponnois, directeur de recherche à l’Institut de recherche pour le développement (IRD), «</w:t>
      </w:r>
      <w:r>
        <w:rPr>
          <w:rFonts w:ascii="Calibri" w:hAnsi="Calibri" w:cs="Calibri"/>
          <w:color w:val="000000" w:themeColor="text1"/>
        </w:rPr>
        <w:t xml:space="preserve"> </w:t>
      </w:r>
      <w:r w:rsidRPr="00516E90">
        <w:rPr>
          <w:rFonts w:ascii="Calibri" w:hAnsi="Calibri" w:cs="Calibri"/>
          <w:i/>
          <w:iCs/>
          <w:color w:val="000000" w:themeColor="text1"/>
        </w:rPr>
        <w:t>Le tracé passe dans des endroits assez instables (Mali, Mauritanie, Niger, Tchad, Soudan) et des zones de niveau orange et rouge en termes de risques sécuritaires et terroristes. Les scientifiques ne sont donc pas autorisés à s’y rendre, en particulier les étrangers.</w:t>
      </w:r>
      <w:r>
        <w:rPr>
          <w:rFonts w:ascii="Calibri" w:hAnsi="Calibri" w:cs="Calibri"/>
          <w:color w:val="000000" w:themeColor="text1"/>
        </w:rPr>
        <w:t xml:space="preserve"> </w:t>
      </w:r>
      <w:r w:rsidRPr="00516E90">
        <w:rPr>
          <w:rFonts w:ascii="Calibri" w:hAnsi="Calibri" w:cs="Calibri"/>
          <w:color w:val="000000" w:themeColor="text1"/>
        </w:rPr>
        <w:t>»</w:t>
      </w:r>
      <w:r>
        <w:rPr>
          <w:rFonts w:ascii="Calibri" w:hAnsi="Calibri" w:cs="Calibri"/>
          <w:color w:val="000000" w:themeColor="text1"/>
        </w:rPr>
        <w:t>.</w:t>
      </w:r>
    </w:p>
    <w:p w14:paraId="55CBD88F" w14:textId="77777777" w:rsidR="00007664" w:rsidRDefault="00007664" w:rsidP="00B835CA">
      <w:pPr>
        <w:spacing w:after="0" w:line="240" w:lineRule="auto"/>
        <w:jc w:val="both"/>
        <w:rPr>
          <w:rFonts w:ascii="Calibri" w:hAnsi="Calibri" w:cs="Calibri"/>
          <w:color w:val="000000" w:themeColor="text1"/>
        </w:rPr>
      </w:pPr>
    </w:p>
    <w:p w14:paraId="176ABBDE" w14:textId="716E7D68" w:rsidR="00B835CA" w:rsidRDefault="00B835CA" w:rsidP="00B835CA">
      <w:pPr>
        <w:spacing w:after="0" w:line="240" w:lineRule="auto"/>
        <w:jc w:val="both"/>
        <w:rPr>
          <w:rFonts w:ascii="Calibri" w:hAnsi="Calibri" w:cs="Calibri"/>
          <w:color w:val="000000" w:themeColor="text1"/>
        </w:rPr>
      </w:pPr>
      <w:r w:rsidRPr="000B2243">
        <w:rPr>
          <w:rFonts w:ascii="Calibri" w:hAnsi="Calibri" w:cs="Calibri"/>
          <w:color w:val="000000" w:themeColor="text1"/>
        </w:rPr>
        <w:t>Il a été démontré que la restauration des terres nues a été faite avec succès au Burkina Faso, bien que la sécurité soit un problème face aux activités terroristes</w:t>
      </w:r>
      <w:r w:rsidR="00007664">
        <w:rPr>
          <w:rStyle w:val="Appelnotedebasdep"/>
          <w:rFonts w:ascii="Calibri" w:hAnsi="Calibri" w:cs="Calibri"/>
          <w:color w:val="000000" w:themeColor="text1"/>
        </w:rPr>
        <w:footnoteReference w:id="232"/>
      </w:r>
      <w:r>
        <w:rPr>
          <w:rFonts w:ascii="Calibri" w:hAnsi="Calibri" w:cs="Calibri"/>
          <w:color w:val="000000" w:themeColor="text1"/>
        </w:rPr>
        <w:t>.</w:t>
      </w:r>
    </w:p>
    <w:p w14:paraId="74B604CB" w14:textId="77777777" w:rsidR="00B835CA" w:rsidRDefault="00B835CA" w:rsidP="00B835CA">
      <w:pPr>
        <w:spacing w:after="0" w:line="240" w:lineRule="auto"/>
        <w:jc w:val="both"/>
        <w:rPr>
          <w:rFonts w:ascii="Calibri" w:hAnsi="Calibri" w:cs="Calibri"/>
          <w:color w:val="000000" w:themeColor="text1"/>
        </w:rPr>
      </w:pPr>
    </w:p>
    <w:p w14:paraId="05E2D516" w14:textId="1F1D6435" w:rsidR="00B835CA" w:rsidRDefault="00B835CA" w:rsidP="00B835CA">
      <w:pPr>
        <w:spacing w:after="0" w:line="240" w:lineRule="auto"/>
        <w:jc w:val="both"/>
        <w:rPr>
          <w:rFonts w:ascii="Calibri" w:hAnsi="Calibri" w:cs="Calibri"/>
          <w:color w:val="000000" w:themeColor="text1"/>
        </w:rPr>
      </w:pPr>
      <w:r>
        <w:rPr>
          <w:rFonts w:ascii="Calibri" w:hAnsi="Calibri" w:cs="Calibri"/>
          <w:color w:val="000000" w:themeColor="text1"/>
        </w:rPr>
        <w:t>Ce projet, dont un des but est</w:t>
      </w:r>
      <w:r w:rsidR="00007664">
        <w:rPr>
          <w:rFonts w:ascii="Calibri" w:hAnsi="Calibri" w:cs="Calibri"/>
          <w:color w:val="000000" w:themeColor="text1"/>
        </w:rPr>
        <w:t xml:space="preserve"> justement</w:t>
      </w:r>
      <w:r>
        <w:rPr>
          <w:rFonts w:ascii="Calibri" w:hAnsi="Calibri" w:cs="Calibri"/>
          <w:color w:val="000000" w:themeColor="text1"/>
        </w:rPr>
        <w:t xml:space="preserve"> réduire les conflits et l’instabilité, dans certaines zones, ne peut y être mis en œuvre efficacement, à cause de cette instabilité. C’est un cercle vicieux. Seule la portion prévue au Sénégal a été réalisée en conformité avec les objectifs initiaux.</w:t>
      </w:r>
    </w:p>
    <w:p w14:paraId="6A1571D9" w14:textId="77777777" w:rsidR="00B835CA" w:rsidRDefault="00B835CA" w:rsidP="00B835CA">
      <w:pPr>
        <w:spacing w:after="0" w:line="240" w:lineRule="auto"/>
        <w:jc w:val="both"/>
        <w:rPr>
          <w:rFonts w:ascii="Calibri" w:hAnsi="Calibri" w:cs="Calibri"/>
          <w:color w:val="000000" w:themeColor="text1"/>
        </w:rPr>
      </w:pPr>
    </w:p>
    <w:p w14:paraId="53BD8F43" w14:textId="77777777" w:rsidR="00B835CA" w:rsidRDefault="00B835CA" w:rsidP="00B835CA">
      <w:pPr>
        <w:spacing w:after="0" w:line="240" w:lineRule="auto"/>
        <w:jc w:val="center"/>
        <w:rPr>
          <w:rFonts w:ascii="Calibri" w:hAnsi="Calibri" w:cs="Calibri"/>
          <w:color w:val="000000" w:themeColor="text1"/>
        </w:rPr>
      </w:pPr>
      <w:r>
        <w:rPr>
          <w:noProof/>
        </w:rPr>
        <w:lastRenderedPageBreak/>
        <w:drawing>
          <wp:inline distT="0" distB="0" distL="0" distR="0" wp14:anchorId="4EE65B2C" wp14:editId="764486F7">
            <wp:extent cx="4152900" cy="2550026"/>
            <wp:effectExtent l="0" t="0" r="0" b="3175"/>
            <wp:docPr id="146460" name="Image 146460"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Une image contenant carte&#10;&#10;Description générée automatiquement"/>
                    <pic:cNvPicPr>
                      <a:picLocks noChangeAspect="1" noChangeArrowheads="1"/>
                    </pic:cNvPicPr>
                  </pic:nvPicPr>
                  <pic:blipFill>
                    <a:blip r:embed="rId3587">
                      <a:extLst>
                        <a:ext uri="{28A0092B-C50C-407E-A947-70E740481C1C}">
                          <a14:useLocalDpi xmlns:a14="http://schemas.microsoft.com/office/drawing/2010/main" val="0"/>
                        </a:ext>
                      </a:extLst>
                    </a:blip>
                    <a:srcRect/>
                    <a:stretch>
                      <a:fillRect/>
                    </a:stretch>
                  </pic:blipFill>
                  <pic:spPr bwMode="auto">
                    <a:xfrm>
                      <a:off x="0" y="0"/>
                      <a:ext cx="4160984" cy="2554990"/>
                    </a:xfrm>
                    <a:prstGeom prst="rect">
                      <a:avLst/>
                    </a:prstGeom>
                    <a:noFill/>
                    <a:ln>
                      <a:noFill/>
                    </a:ln>
                  </pic:spPr>
                </pic:pic>
              </a:graphicData>
            </a:graphic>
          </wp:inline>
        </w:drawing>
      </w:r>
    </w:p>
    <w:p w14:paraId="2A2DD9BA" w14:textId="77777777" w:rsidR="00B835CA" w:rsidRDefault="00B835CA" w:rsidP="00B835CA">
      <w:pPr>
        <w:spacing w:after="0" w:line="240" w:lineRule="auto"/>
        <w:jc w:val="center"/>
        <w:rPr>
          <w:rFonts w:ascii="Calibri" w:hAnsi="Calibri" w:cs="Calibri"/>
          <w:color w:val="000000" w:themeColor="text1"/>
        </w:rPr>
      </w:pPr>
      <w:r>
        <w:rPr>
          <w:rFonts w:ascii="Calibri" w:hAnsi="Calibri" w:cs="Calibri"/>
          <w:color w:val="000000" w:themeColor="text1"/>
        </w:rPr>
        <w:t>Tracé du Grand Barrage Vert en Afrique.</w:t>
      </w:r>
    </w:p>
    <w:p w14:paraId="3C068CFC" w14:textId="77777777" w:rsidR="00B835CA" w:rsidRDefault="00B835CA" w:rsidP="00B835CA">
      <w:pPr>
        <w:spacing w:after="0" w:line="240" w:lineRule="auto"/>
        <w:jc w:val="center"/>
        <w:rPr>
          <w:rFonts w:ascii="Calibri" w:hAnsi="Calibri" w:cs="Calibri"/>
          <w:color w:val="000000" w:themeColor="text1"/>
        </w:rPr>
      </w:pPr>
    </w:p>
    <w:p w14:paraId="625B8646" w14:textId="5B486DF2" w:rsidR="00B835CA" w:rsidRDefault="00F762EF" w:rsidP="00B835CA">
      <w:pPr>
        <w:spacing w:after="0" w:line="240" w:lineRule="auto"/>
        <w:rPr>
          <w:rFonts w:ascii="Calibri" w:hAnsi="Calibri" w:cs="Calibri"/>
          <w:color w:val="000000" w:themeColor="text1"/>
        </w:rPr>
      </w:pPr>
      <w:r>
        <w:rPr>
          <w:rFonts w:ascii="Calibri" w:hAnsi="Calibri" w:cs="Calibri"/>
          <w:color w:val="000000" w:themeColor="text1"/>
        </w:rPr>
        <w:t>Ress</w:t>
      </w:r>
      <w:r w:rsidR="00B835CA">
        <w:rPr>
          <w:rFonts w:ascii="Calibri" w:hAnsi="Calibri" w:cs="Calibri"/>
          <w:color w:val="000000" w:themeColor="text1"/>
        </w:rPr>
        <w:t>ources</w:t>
      </w:r>
      <w:r>
        <w:rPr>
          <w:rFonts w:ascii="Calibri" w:hAnsi="Calibri" w:cs="Calibri"/>
          <w:color w:val="000000" w:themeColor="text1"/>
        </w:rPr>
        <w:t xml:space="preserve"> documentaires</w:t>
      </w:r>
      <w:r w:rsidR="00B835CA">
        <w:rPr>
          <w:rFonts w:ascii="Calibri" w:hAnsi="Calibri" w:cs="Calibri"/>
          <w:color w:val="000000" w:themeColor="text1"/>
        </w:rPr>
        <w:t xml:space="preserve"> : a) </w:t>
      </w:r>
      <w:hyperlink r:id="rId3588" w:history="1">
        <w:r w:rsidR="00B835CA" w:rsidRPr="00EE60B2">
          <w:rPr>
            <w:rStyle w:val="Lienhypertexte"/>
            <w:rFonts w:ascii="Calibri" w:hAnsi="Calibri" w:cs="Calibri"/>
          </w:rPr>
          <w:t>https://fr.wikipedia.org/wiki/Grande_muraille_verte_(Afrique)</w:t>
        </w:r>
      </w:hyperlink>
      <w:r w:rsidR="00B835CA">
        <w:rPr>
          <w:rFonts w:ascii="Calibri" w:hAnsi="Calibri" w:cs="Calibri"/>
          <w:color w:val="000000" w:themeColor="text1"/>
        </w:rPr>
        <w:t xml:space="preserve">, </w:t>
      </w:r>
    </w:p>
    <w:p w14:paraId="6C3B0664" w14:textId="77777777" w:rsidR="00B835CA" w:rsidRPr="00355985" w:rsidRDefault="00B835CA" w:rsidP="00B835CA">
      <w:pPr>
        <w:spacing w:after="0" w:line="240" w:lineRule="auto"/>
        <w:rPr>
          <w:rFonts w:ascii="Calibri" w:hAnsi="Calibri" w:cs="Calibri"/>
          <w:color w:val="000000" w:themeColor="text1"/>
          <w:lang w:val="en-GB"/>
        </w:rPr>
      </w:pPr>
      <w:r w:rsidRPr="00355985">
        <w:rPr>
          <w:rFonts w:ascii="Calibri" w:hAnsi="Calibri" w:cs="Calibri"/>
          <w:color w:val="000000" w:themeColor="text1"/>
          <w:lang w:val="en-GB"/>
        </w:rPr>
        <w:t xml:space="preserve">b) </w:t>
      </w:r>
      <w:hyperlink r:id="rId3589" w:history="1">
        <w:r w:rsidRPr="00355985">
          <w:rPr>
            <w:rStyle w:val="Lienhypertexte"/>
            <w:rFonts w:ascii="Calibri" w:hAnsi="Calibri" w:cs="Calibri"/>
            <w:lang w:val="en-GB"/>
          </w:rPr>
          <w:t>https://en.wikipedia.org/wiki/Great_Green_Wall_(Africa)</w:t>
        </w:r>
      </w:hyperlink>
      <w:r w:rsidRPr="00355985">
        <w:rPr>
          <w:rFonts w:ascii="Calibri" w:hAnsi="Calibri" w:cs="Calibri"/>
          <w:color w:val="000000" w:themeColor="text1"/>
          <w:lang w:val="en-GB"/>
        </w:rPr>
        <w:t xml:space="preserve">, </w:t>
      </w:r>
    </w:p>
    <w:p w14:paraId="2F7117CD" w14:textId="77777777" w:rsidR="00B835CA" w:rsidRPr="00355985" w:rsidRDefault="00B835CA" w:rsidP="00B835CA">
      <w:pPr>
        <w:spacing w:after="0" w:line="240" w:lineRule="auto"/>
        <w:rPr>
          <w:rFonts w:ascii="Calibri" w:hAnsi="Calibri" w:cs="Calibri"/>
          <w:color w:val="000000" w:themeColor="text1"/>
          <w:lang w:val="en-GB"/>
        </w:rPr>
      </w:pPr>
      <w:r w:rsidRPr="00355985">
        <w:rPr>
          <w:rFonts w:ascii="Calibri" w:hAnsi="Calibri" w:cs="Calibri"/>
          <w:color w:val="000000" w:themeColor="text1"/>
          <w:lang w:val="en-GB"/>
        </w:rPr>
        <w:t xml:space="preserve">c) </w:t>
      </w:r>
      <w:hyperlink r:id="rId3590" w:history="1">
        <w:r w:rsidRPr="00355985">
          <w:rPr>
            <w:rStyle w:val="Lienhypertexte"/>
            <w:rFonts w:ascii="Calibri" w:hAnsi="Calibri" w:cs="Calibri"/>
            <w:lang w:val="en-GB"/>
          </w:rPr>
          <w:t>https://fr.wikipedia.org/wiki/Agence_panafricaine_de_la_grande_muraille_verte</w:t>
        </w:r>
      </w:hyperlink>
      <w:r w:rsidRPr="00355985">
        <w:rPr>
          <w:rFonts w:ascii="Calibri" w:hAnsi="Calibri" w:cs="Calibri"/>
          <w:color w:val="000000" w:themeColor="text1"/>
          <w:lang w:val="en-GB"/>
        </w:rPr>
        <w:t xml:space="preserve"> </w:t>
      </w:r>
    </w:p>
    <w:p w14:paraId="20AAD57D" w14:textId="77777777" w:rsidR="00B835CA" w:rsidRPr="00355985" w:rsidRDefault="00B835CA" w:rsidP="00B835CA">
      <w:pPr>
        <w:spacing w:after="0" w:line="240" w:lineRule="auto"/>
        <w:jc w:val="center"/>
        <w:rPr>
          <w:rFonts w:ascii="Calibri" w:hAnsi="Calibri" w:cs="Calibri"/>
          <w:color w:val="000000" w:themeColor="text1"/>
          <w:lang w:val="en-GB"/>
        </w:rPr>
      </w:pPr>
    </w:p>
    <w:p w14:paraId="54CCD0DC" w14:textId="00B7FC22" w:rsidR="00B835CA" w:rsidRDefault="00F762EF" w:rsidP="0054530B">
      <w:pPr>
        <w:pStyle w:val="Titre2"/>
      </w:pPr>
      <w:bookmarkStart w:id="316" w:name="_Toc139181607"/>
      <w:r>
        <w:t>Le barrage vert en Algérie</w:t>
      </w:r>
      <w:bookmarkEnd w:id="316"/>
    </w:p>
    <w:p w14:paraId="50756774" w14:textId="77777777" w:rsidR="00B835CA" w:rsidRDefault="00B835CA" w:rsidP="00E502F2">
      <w:pPr>
        <w:spacing w:after="0" w:line="240" w:lineRule="auto"/>
        <w:rPr>
          <w:rFonts w:ascii="Calibri" w:hAnsi="Calibri" w:cs="Calibri"/>
          <w:color w:val="000000" w:themeColor="text1"/>
        </w:rPr>
      </w:pPr>
    </w:p>
    <w:p w14:paraId="430EBDAF" w14:textId="77777777" w:rsidR="00B835CA" w:rsidRDefault="00B835CA" w:rsidP="00E502F2">
      <w:pPr>
        <w:spacing w:after="0" w:line="240" w:lineRule="auto"/>
        <w:jc w:val="both"/>
        <w:rPr>
          <w:rFonts w:ascii="Calibri" w:hAnsi="Calibri" w:cs="Calibri"/>
          <w:color w:val="000000" w:themeColor="text1"/>
          <w:shd w:val="clear" w:color="auto" w:fill="FFFFFF"/>
        </w:rPr>
      </w:pPr>
      <w:r w:rsidRPr="00906595">
        <w:rPr>
          <w:rFonts w:ascii="Calibri" w:hAnsi="Calibri" w:cs="Calibri"/>
          <w:color w:val="000000" w:themeColor="text1"/>
        </w:rPr>
        <w:t>Le</w:t>
      </w:r>
      <w:r w:rsidRPr="00906595">
        <w:rPr>
          <w:rFonts w:ascii="Calibri" w:hAnsi="Calibri" w:cs="Calibri"/>
          <w:color w:val="202122"/>
          <w:shd w:val="clear" w:color="auto" w:fill="FFFFFF"/>
        </w:rPr>
        <w:t xml:space="preserve"> « </w:t>
      </w:r>
      <w:hyperlink r:id="rId3591" w:tooltip="Barrage vert" w:history="1">
        <w:r w:rsidRPr="00906595">
          <w:rPr>
            <w:rStyle w:val="Lienhypertexte"/>
            <w:rFonts w:ascii="Calibri" w:hAnsi="Calibri" w:cs="Calibri"/>
            <w:color w:val="0645AD"/>
            <w:shd w:val="clear" w:color="auto" w:fill="FFFFFF"/>
          </w:rPr>
          <w:t>Barrage vert</w:t>
        </w:r>
      </w:hyperlink>
      <w:r w:rsidRPr="00906595">
        <w:rPr>
          <w:rFonts w:ascii="Calibri" w:hAnsi="Calibri" w:cs="Calibri"/>
          <w:color w:val="202122"/>
          <w:shd w:val="clear" w:color="auto" w:fill="FFFFFF"/>
        </w:rPr>
        <w:t xml:space="preserve"> », </w:t>
      </w:r>
      <w:r w:rsidRPr="00906595">
        <w:rPr>
          <w:rFonts w:ascii="Calibri" w:hAnsi="Calibri" w:cs="Calibri"/>
          <w:color w:val="000000" w:themeColor="text1"/>
          <w:shd w:val="clear" w:color="auto" w:fill="FFFFFF"/>
        </w:rPr>
        <w:t>en Algérie</w:t>
      </w:r>
      <w:r>
        <w:rPr>
          <w:rFonts w:ascii="Calibri" w:hAnsi="Calibri" w:cs="Calibri"/>
          <w:color w:val="000000" w:themeColor="text1"/>
          <w:shd w:val="clear" w:color="auto" w:fill="FFFFFF"/>
        </w:rPr>
        <w:t>, une initiative des années 70</w:t>
      </w:r>
      <w:r w:rsidRPr="00906595">
        <w:rPr>
          <w:rFonts w:ascii="Calibri" w:hAnsi="Calibri" w:cs="Calibri"/>
          <w:color w:val="000000" w:themeColor="text1"/>
          <w:shd w:val="clear" w:color="auto" w:fill="FFFFFF"/>
        </w:rPr>
        <w:t>, a été un échec, en raison de la fragilité de ses plantations monospécifiques</w:t>
      </w:r>
      <w:r>
        <w:rPr>
          <w:rFonts w:ascii="Calibri" w:hAnsi="Calibri" w:cs="Calibri"/>
          <w:color w:val="000000" w:themeColor="text1"/>
          <w:shd w:val="clear" w:color="auto" w:fill="FFFFFF"/>
        </w:rPr>
        <w:t xml:space="preserve">, face aux maladies et ravageurs (en particulier, le pin d’Alep vulnérable face à la chenille processionnaire du pin) et au manque d’entretien et d’arrosages des plants, en périodes de sécheresse. </w:t>
      </w:r>
    </w:p>
    <w:p w14:paraId="278FB5AC" w14:textId="77777777" w:rsidR="00B835CA" w:rsidRDefault="00B835CA" w:rsidP="00E502F2">
      <w:pPr>
        <w:spacing w:after="0" w:line="240" w:lineRule="auto"/>
        <w:jc w:val="both"/>
        <w:rPr>
          <w:rFonts w:ascii="Calibri" w:hAnsi="Calibri" w:cs="Calibri"/>
          <w:color w:val="000000" w:themeColor="text1"/>
          <w:shd w:val="clear" w:color="auto" w:fill="FFFFFF"/>
        </w:rPr>
      </w:pPr>
    </w:p>
    <w:p w14:paraId="4F394BD2" w14:textId="77777777" w:rsidR="00B835CA" w:rsidRDefault="00B835CA" w:rsidP="00E502F2">
      <w:pPr>
        <w:spacing w:after="0" w:line="240" w:lineRule="auto"/>
        <w:jc w:val="both"/>
        <w:rPr>
          <w:rFonts w:ascii="Calibri" w:hAnsi="Calibri" w:cs="Calibri"/>
          <w:color w:val="000000" w:themeColor="text1"/>
          <w:shd w:val="clear" w:color="auto" w:fill="FFFFFF"/>
        </w:rPr>
      </w:pPr>
      <w:r w:rsidRPr="00906595">
        <w:rPr>
          <w:rFonts w:ascii="Calibri" w:hAnsi="Calibri" w:cs="Calibri"/>
          <w:color w:val="000000" w:themeColor="text1"/>
          <w:shd w:val="clear" w:color="auto" w:fill="FFFFFF"/>
        </w:rPr>
        <w:t>Mais les ceintures vertes construites en périphérie urbaine en </w:t>
      </w:r>
      <w:hyperlink r:id="rId3592" w:tooltip="Mauritanie" w:history="1">
        <w:r w:rsidRPr="00906595">
          <w:rPr>
            <w:rStyle w:val="Lienhypertexte"/>
            <w:rFonts w:ascii="Calibri" w:hAnsi="Calibri" w:cs="Calibri"/>
            <w:color w:val="0645AD"/>
            <w:shd w:val="clear" w:color="auto" w:fill="FFFFFF"/>
          </w:rPr>
          <w:t>Mauritanie</w:t>
        </w:r>
      </w:hyperlink>
      <w:r w:rsidRPr="00906595">
        <w:rPr>
          <w:rFonts w:ascii="Calibri" w:hAnsi="Calibri" w:cs="Calibri"/>
          <w:color w:val="202122"/>
          <w:shd w:val="clear" w:color="auto" w:fill="FFFFFF"/>
        </w:rPr>
        <w:t> et au </w:t>
      </w:r>
      <w:hyperlink r:id="rId3593" w:tooltip="Niger" w:history="1">
        <w:r w:rsidRPr="00906595">
          <w:rPr>
            <w:rStyle w:val="Lienhypertexte"/>
            <w:rFonts w:ascii="Calibri" w:hAnsi="Calibri" w:cs="Calibri"/>
            <w:color w:val="0645AD"/>
            <w:shd w:val="clear" w:color="auto" w:fill="FFFFFF"/>
          </w:rPr>
          <w:t>Niger</w:t>
        </w:r>
      </w:hyperlink>
      <w:r w:rsidRPr="00906595">
        <w:rPr>
          <w:rFonts w:ascii="Calibri" w:hAnsi="Calibri" w:cs="Calibri"/>
          <w:color w:val="202122"/>
          <w:shd w:val="clear" w:color="auto" w:fill="FFFFFF"/>
        </w:rPr>
        <w:t> </w:t>
      </w:r>
      <w:r w:rsidRPr="00906595">
        <w:rPr>
          <w:rFonts w:ascii="Calibri" w:hAnsi="Calibri" w:cs="Calibri"/>
          <w:color w:val="000000" w:themeColor="text1"/>
          <w:shd w:val="clear" w:color="auto" w:fill="FFFFFF"/>
        </w:rPr>
        <w:t>où selon le CSFD, «</w:t>
      </w:r>
      <w:r>
        <w:rPr>
          <w:rFonts w:ascii="Calibri" w:hAnsi="Calibri" w:cs="Calibri"/>
          <w:color w:val="000000" w:themeColor="text1"/>
          <w:shd w:val="clear" w:color="auto" w:fill="FFFFFF"/>
        </w:rPr>
        <w:t xml:space="preserve"> </w:t>
      </w:r>
      <w:r w:rsidRPr="00906595">
        <w:rPr>
          <w:rFonts w:ascii="Calibri" w:hAnsi="Calibri" w:cs="Calibri"/>
          <w:i/>
          <w:iCs/>
          <w:color w:val="000000" w:themeColor="text1"/>
          <w:shd w:val="clear" w:color="auto" w:fill="FFFFFF"/>
        </w:rPr>
        <w:t>l’échelle de cette régénération est évaluée à 4 millions d’hectares (soit 15 à 20 fois plus d’arbres en 2005 qu’en 1975)</w:t>
      </w:r>
      <w:r>
        <w:rPr>
          <w:rFonts w:ascii="Calibri" w:hAnsi="Calibri" w:cs="Calibri"/>
          <w:i/>
          <w:iCs/>
          <w:color w:val="000000" w:themeColor="text1"/>
          <w:shd w:val="clear" w:color="auto" w:fill="FFFFFF"/>
        </w:rPr>
        <w:t xml:space="preserve"> </w:t>
      </w:r>
      <w:r w:rsidRPr="00906595">
        <w:rPr>
          <w:rFonts w:ascii="Calibri" w:hAnsi="Calibri" w:cs="Calibri"/>
          <w:color w:val="000000" w:themeColor="text1"/>
          <w:shd w:val="clear" w:color="auto" w:fill="FFFFFF"/>
        </w:rPr>
        <w:t xml:space="preserve">», ont été une réussite. </w:t>
      </w:r>
    </w:p>
    <w:p w14:paraId="4AE18285" w14:textId="77777777" w:rsidR="008B5D49" w:rsidRDefault="008B5D49" w:rsidP="00E502F2">
      <w:pPr>
        <w:spacing w:after="0" w:line="240" w:lineRule="auto"/>
        <w:jc w:val="both"/>
        <w:rPr>
          <w:rFonts w:ascii="Calibri" w:hAnsi="Calibri" w:cs="Calibri"/>
          <w:color w:val="000000" w:themeColor="text1"/>
          <w:shd w:val="clear" w:color="auto" w:fill="FFFFFF"/>
        </w:rPr>
      </w:pPr>
    </w:p>
    <w:p w14:paraId="1F301008" w14:textId="7B7A5B30" w:rsidR="00B835CA" w:rsidRDefault="00B835CA" w:rsidP="00F762EF">
      <w:pPr>
        <w:pStyle w:val="Titre2"/>
        <w:rPr>
          <w:shd w:val="clear" w:color="auto" w:fill="FFFFFF"/>
        </w:rPr>
      </w:pPr>
      <w:bookmarkStart w:id="317" w:name="_Toc139181608"/>
      <w:r w:rsidRPr="00E502F2">
        <w:rPr>
          <w:shd w:val="clear" w:color="auto" w:fill="FFFFFF"/>
        </w:rPr>
        <w:t>Le Mouvement de la ceinture verte (Green Belt Movement ou GBM)</w:t>
      </w:r>
      <w:bookmarkEnd w:id="317"/>
    </w:p>
    <w:p w14:paraId="3D0FDE98" w14:textId="77777777" w:rsidR="00E502F2" w:rsidRDefault="00E502F2" w:rsidP="00E502F2">
      <w:pPr>
        <w:spacing w:after="0" w:line="240" w:lineRule="auto"/>
        <w:rPr>
          <w:rFonts w:ascii="Calibri" w:hAnsi="Calibri" w:cs="Calibri"/>
          <w:color w:val="000000" w:themeColor="text1"/>
          <w:shd w:val="clear" w:color="auto" w:fill="FFFFFF"/>
        </w:rPr>
      </w:pPr>
    </w:p>
    <w:p w14:paraId="11E3B590" w14:textId="10A258BC" w:rsidR="00B835CA" w:rsidRDefault="00B835CA" w:rsidP="00B835CA">
      <w:pPr>
        <w:spacing w:after="0" w:line="240" w:lineRule="auto"/>
        <w:jc w:val="both"/>
        <w:rPr>
          <w:rFonts w:ascii="Calibri" w:hAnsi="Calibri" w:cs="Calibri"/>
          <w:color w:val="000000" w:themeColor="text1"/>
          <w:shd w:val="clear" w:color="auto" w:fill="FFFFFF"/>
        </w:rPr>
      </w:pPr>
      <w:r w:rsidRPr="0079294A">
        <w:rPr>
          <w:rFonts w:ascii="Calibri" w:hAnsi="Calibri" w:cs="Calibri"/>
          <w:color w:val="000000" w:themeColor="text1"/>
          <w:shd w:val="clear" w:color="auto" w:fill="FFFFFF"/>
        </w:rPr>
        <w:t>Le </w:t>
      </w:r>
      <w:r w:rsidRPr="0079294A">
        <w:rPr>
          <w:rFonts w:ascii="Calibri" w:hAnsi="Calibri" w:cs="Calibri"/>
          <w:i/>
          <w:iCs/>
          <w:color w:val="000000" w:themeColor="text1"/>
          <w:shd w:val="clear" w:color="auto" w:fill="FFFFFF"/>
        </w:rPr>
        <w:t xml:space="preserve"> GBM</w:t>
      </w:r>
      <w:r w:rsidRPr="0079294A">
        <w:rPr>
          <w:rFonts w:ascii="Calibri" w:hAnsi="Calibri" w:cs="Calibri"/>
          <w:color w:val="000000" w:themeColor="text1"/>
          <w:shd w:val="clear" w:color="auto" w:fill="FFFFFF"/>
        </w:rPr>
        <w:t xml:space="preserve"> est une </w:t>
      </w:r>
      <w:hyperlink r:id="rId3594" w:tooltip="Organisation non gouvernementale" w:history="1">
        <w:r w:rsidRPr="000B2243">
          <w:rPr>
            <w:rStyle w:val="Lienhypertexte"/>
            <w:rFonts w:ascii="Calibri" w:hAnsi="Calibri" w:cs="Calibri"/>
            <w:color w:val="0645AD"/>
            <w:shd w:val="clear" w:color="auto" w:fill="FFFFFF"/>
          </w:rPr>
          <w:t>organisation non gouvernementale</w:t>
        </w:r>
      </w:hyperlink>
      <w:r w:rsidRPr="000B2243">
        <w:rPr>
          <w:rFonts w:ascii="Calibri" w:hAnsi="Calibri" w:cs="Calibri"/>
          <w:color w:val="202122"/>
          <w:shd w:val="clear" w:color="auto" w:fill="FFFFFF"/>
        </w:rPr>
        <w:t> </w:t>
      </w:r>
      <w:r w:rsidRPr="0079294A">
        <w:rPr>
          <w:rFonts w:ascii="Calibri" w:hAnsi="Calibri" w:cs="Calibri"/>
          <w:color w:val="000000" w:themeColor="text1"/>
          <w:shd w:val="clear" w:color="auto" w:fill="FFFFFF"/>
        </w:rPr>
        <w:t>citoyenne et indigène kenyane basée à </w:t>
      </w:r>
      <w:hyperlink r:id="rId3595" w:tooltip="Nairobi" w:history="1">
        <w:r w:rsidRPr="000B2243">
          <w:rPr>
            <w:rStyle w:val="Lienhypertexte"/>
            <w:rFonts w:ascii="Calibri" w:hAnsi="Calibri" w:cs="Calibri"/>
            <w:color w:val="0645AD"/>
            <w:shd w:val="clear" w:color="auto" w:fill="FFFFFF"/>
          </w:rPr>
          <w:t>Nairobi</w:t>
        </w:r>
      </w:hyperlink>
      <w:r w:rsidRPr="000B2243">
        <w:rPr>
          <w:rFonts w:ascii="Calibri" w:hAnsi="Calibri" w:cs="Calibri"/>
          <w:color w:val="202122"/>
          <w:shd w:val="clear" w:color="auto" w:fill="FFFFFF"/>
        </w:rPr>
        <w:t> </w:t>
      </w:r>
      <w:r w:rsidRPr="0079294A">
        <w:rPr>
          <w:rFonts w:ascii="Calibri" w:hAnsi="Calibri" w:cs="Calibri"/>
          <w:color w:val="000000" w:themeColor="text1"/>
          <w:shd w:val="clear" w:color="auto" w:fill="FFFFFF"/>
        </w:rPr>
        <w:t xml:space="preserve">et engagée pour </w:t>
      </w:r>
      <w:r w:rsidRPr="000B2243">
        <w:rPr>
          <w:rFonts w:ascii="Calibri" w:hAnsi="Calibri" w:cs="Calibri"/>
          <w:color w:val="202122"/>
          <w:shd w:val="clear" w:color="auto" w:fill="FFFFFF"/>
        </w:rPr>
        <w:t>l'</w:t>
      </w:r>
      <w:hyperlink r:id="rId3596" w:tooltip="Écologie" w:history="1">
        <w:r w:rsidRPr="000B2243">
          <w:rPr>
            <w:rStyle w:val="Lienhypertexte"/>
            <w:rFonts w:ascii="Calibri" w:hAnsi="Calibri" w:cs="Calibri"/>
            <w:color w:val="0645AD"/>
            <w:shd w:val="clear" w:color="auto" w:fill="FFFFFF"/>
          </w:rPr>
          <w:t>écologie</w:t>
        </w:r>
      </w:hyperlink>
      <w:r w:rsidRPr="000B2243">
        <w:rPr>
          <w:rFonts w:ascii="Calibri" w:hAnsi="Calibri" w:cs="Calibri"/>
          <w:color w:val="202122"/>
          <w:shd w:val="clear" w:color="auto" w:fill="FFFFFF"/>
        </w:rPr>
        <w:t> </w:t>
      </w:r>
      <w:r w:rsidRPr="0079294A">
        <w:rPr>
          <w:rFonts w:ascii="Calibri" w:hAnsi="Calibri" w:cs="Calibri"/>
          <w:color w:val="000000" w:themeColor="text1"/>
          <w:shd w:val="clear" w:color="auto" w:fill="FFFFFF"/>
        </w:rPr>
        <w:t>et</w:t>
      </w:r>
      <w:r w:rsidRPr="000B2243">
        <w:rPr>
          <w:rFonts w:ascii="Calibri" w:hAnsi="Calibri" w:cs="Calibri"/>
          <w:color w:val="202122"/>
          <w:shd w:val="clear" w:color="auto" w:fill="FFFFFF"/>
        </w:rPr>
        <w:t xml:space="preserve"> l'</w:t>
      </w:r>
      <w:hyperlink r:id="rId3597" w:tooltip="Écoféminisme" w:history="1">
        <w:r w:rsidRPr="000B2243">
          <w:rPr>
            <w:rStyle w:val="Lienhypertexte"/>
            <w:rFonts w:ascii="Calibri" w:hAnsi="Calibri" w:cs="Calibri"/>
            <w:color w:val="0645AD"/>
            <w:shd w:val="clear" w:color="auto" w:fill="FFFFFF"/>
          </w:rPr>
          <w:t>écoféminisme</w:t>
        </w:r>
      </w:hyperlink>
      <w:r w:rsidRPr="000B2243">
        <w:rPr>
          <w:rFonts w:ascii="Calibri" w:hAnsi="Calibri" w:cs="Calibri"/>
        </w:rPr>
        <w:t xml:space="preserve">,  lancé par la biologiste, professeure d'anatomie en médecine vétérinaire et militante politique et écologiste, </w:t>
      </w:r>
      <w:r w:rsidRPr="000B2243">
        <w:rPr>
          <w:rFonts w:ascii="Calibri" w:hAnsi="Calibri" w:cs="Calibri"/>
          <w:color w:val="202122"/>
          <w:shd w:val="clear" w:color="auto" w:fill="FFFFFF"/>
        </w:rPr>
        <w:t> </w:t>
      </w:r>
      <w:hyperlink r:id="rId3598" w:tooltip="Wangari Muta Maathai" w:history="1">
        <w:r w:rsidRPr="000B2243">
          <w:rPr>
            <w:rStyle w:val="Lienhypertexte"/>
            <w:rFonts w:ascii="Calibri" w:hAnsi="Calibri" w:cs="Calibri"/>
            <w:color w:val="0645AD"/>
            <w:shd w:val="clear" w:color="auto" w:fill="FFFFFF"/>
          </w:rPr>
          <w:t>Wangari Maathai</w:t>
        </w:r>
      </w:hyperlink>
      <w:r>
        <w:rPr>
          <w:rFonts w:ascii="Calibri" w:hAnsi="Calibri" w:cs="Calibri"/>
        </w:rPr>
        <w:sym w:font="Wingdings" w:char="F056"/>
      </w:r>
      <w:r w:rsidRPr="000B2243">
        <w:rPr>
          <w:rFonts w:ascii="Calibri" w:hAnsi="Calibri" w:cs="Calibri"/>
          <w:color w:val="202122"/>
          <w:shd w:val="clear" w:color="auto" w:fill="FFFFFF"/>
        </w:rPr>
        <w:t>, </w:t>
      </w:r>
      <w:hyperlink r:id="rId3599" w:tooltip="Prix Nobel de la paix" w:history="1">
        <w:r w:rsidRPr="000B2243">
          <w:rPr>
            <w:rStyle w:val="Lienhypertexte"/>
            <w:rFonts w:ascii="Calibri" w:hAnsi="Calibri" w:cs="Calibri"/>
            <w:color w:val="0645AD"/>
            <w:shd w:val="clear" w:color="auto" w:fill="FFFFFF"/>
          </w:rPr>
          <w:t>prix Nobel de la paix</w:t>
        </w:r>
      </w:hyperlink>
      <w:r w:rsidRPr="000B2243">
        <w:rPr>
          <w:rFonts w:ascii="Calibri" w:hAnsi="Calibri" w:cs="Calibri"/>
          <w:color w:val="202122"/>
          <w:shd w:val="clear" w:color="auto" w:fill="FFFFFF"/>
        </w:rPr>
        <w:t> </w:t>
      </w:r>
      <w:r w:rsidRPr="0079294A">
        <w:rPr>
          <w:rFonts w:ascii="Calibri" w:hAnsi="Calibri" w:cs="Calibri"/>
          <w:color w:val="000000" w:themeColor="text1"/>
          <w:shd w:val="clear" w:color="auto" w:fill="FFFFFF"/>
        </w:rPr>
        <w:t>en 2004</w:t>
      </w:r>
      <w:r w:rsidR="001D240C">
        <w:rPr>
          <w:rFonts w:ascii="Calibri" w:hAnsi="Calibri" w:cs="Calibri"/>
          <w:color w:val="000000" w:themeColor="text1"/>
          <w:shd w:val="clear" w:color="auto" w:fill="FFFFFF"/>
        </w:rPr>
        <w:t xml:space="preserve">, </w:t>
      </w:r>
      <w:r w:rsidR="001D240C" w:rsidRPr="001D240C">
        <w:rPr>
          <w:rFonts w:ascii="Calibri" w:hAnsi="Calibri" w:cs="Calibri"/>
          <w:color w:val="000000" w:themeColor="text1"/>
          <w:shd w:val="clear" w:color="auto" w:fill="FFFFFF"/>
        </w:rPr>
        <w:t>surnommée la femme qui plantait des arbres</w:t>
      </w:r>
      <w:r w:rsidRPr="0079294A">
        <w:rPr>
          <w:rFonts w:ascii="Calibri" w:hAnsi="Calibri" w:cs="Calibri"/>
          <w:color w:val="000000" w:themeColor="text1"/>
          <w:shd w:val="clear" w:color="auto" w:fill="FFFFFF"/>
        </w:rPr>
        <w:t>.</w:t>
      </w:r>
      <w:r>
        <w:rPr>
          <w:rFonts w:ascii="Calibri" w:hAnsi="Calibri" w:cs="Calibri"/>
          <w:color w:val="000000" w:themeColor="text1"/>
          <w:shd w:val="clear" w:color="auto" w:fill="FFFFFF"/>
        </w:rPr>
        <w:t xml:space="preserve"> </w:t>
      </w:r>
      <w:r w:rsidRPr="0079294A">
        <w:rPr>
          <w:rFonts w:ascii="Calibri" w:hAnsi="Calibri" w:cs="Calibri"/>
          <w:color w:val="000000" w:themeColor="text1"/>
          <w:shd w:val="clear" w:color="auto" w:fill="FFFFFF"/>
        </w:rPr>
        <w:t>Le mouvement cherche à promouvoir une approche holistique du développement qui associe la protection de l'environnement, le développement communautaire (développement local) et le renforcement des compétences.</w:t>
      </w:r>
    </w:p>
    <w:p w14:paraId="67B917B2" w14:textId="77777777" w:rsidR="00B835CA" w:rsidRDefault="00B835CA" w:rsidP="00B835CA">
      <w:pPr>
        <w:spacing w:after="0" w:line="240" w:lineRule="auto"/>
        <w:jc w:val="both"/>
        <w:rPr>
          <w:rFonts w:ascii="Calibri" w:hAnsi="Calibri" w:cs="Calibri"/>
          <w:color w:val="000000" w:themeColor="text1"/>
          <w:shd w:val="clear" w:color="auto" w:fill="FFFFFF"/>
        </w:rPr>
      </w:pPr>
      <w:r w:rsidRPr="0079294A">
        <w:rPr>
          <w:rFonts w:ascii="Calibri" w:hAnsi="Calibri" w:cs="Calibri"/>
          <w:color w:val="000000" w:themeColor="text1"/>
          <w:u w:val="single"/>
          <w:shd w:val="clear" w:color="auto" w:fill="FFFFFF"/>
        </w:rPr>
        <w:t>Succès</w:t>
      </w:r>
      <w:r>
        <w:rPr>
          <w:rFonts w:ascii="Calibri" w:hAnsi="Calibri" w:cs="Calibri"/>
          <w:color w:val="000000" w:themeColor="text1"/>
          <w:shd w:val="clear" w:color="auto" w:fill="FFFFFF"/>
        </w:rPr>
        <w:t xml:space="preserve"> : le mouvement convainc, </w:t>
      </w:r>
      <w:r w:rsidRPr="0079294A">
        <w:rPr>
          <w:rFonts w:ascii="Calibri" w:hAnsi="Calibri" w:cs="Calibri"/>
          <w:color w:val="000000" w:themeColor="text1"/>
          <w:shd w:val="clear" w:color="auto" w:fill="FFFFFF"/>
        </w:rPr>
        <w:t xml:space="preserve">en </w:t>
      </w:r>
      <w:r w:rsidRPr="0079294A">
        <w:rPr>
          <w:color w:val="000000" w:themeColor="text1"/>
        </w:rPr>
        <w:t>1977</w:t>
      </w:r>
      <w:r w:rsidRPr="0079294A">
        <w:rPr>
          <w:rFonts w:ascii="Arial" w:hAnsi="Arial" w:cs="Arial"/>
          <w:color w:val="000000" w:themeColor="text1"/>
          <w:sz w:val="21"/>
          <w:szCs w:val="21"/>
          <w:shd w:val="clear" w:color="auto" w:fill="FFFFFF"/>
        </w:rPr>
        <w:t xml:space="preserve">, </w:t>
      </w:r>
      <w:r w:rsidRPr="0079294A">
        <w:rPr>
          <w:rFonts w:ascii="Calibri" w:hAnsi="Calibri" w:cs="Calibri"/>
          <w:color w:val="000000" w:themeColor="text1"/>
          <w:shd w:val="clear" w:color="auto" w:fill="FFFFFF"/>
        </w:rPr>
        <w:t>le gouvernement kenyan de lancer une campagne nationale de</w:t>
      </w:r>
      <w:r w:rsidRPr="0079294A">
        <w:rPr>
          <w:rFonts w:ascii="Calibri" w:hAnsi="Calibri" w:cs="Calibri"/>
          <w:color w:val="202122"/>
          <w:shd w:val="clear" w:color="auto" w:fill="FFFFFF"/>
        </w:rPr>
        <w:t> </w:t>
      </w:r>
      <w:hyperlink r:id="rId3600" w:tooltip="Éducation à l'environnement et au développement durable" w:history="1">
        <w:r w:rsidRPr="0079294A">
          <w:rPr>
            <w:rStyle w:val="Lienhypertexte"/>
            <w:rFonts w:ascii="Calibri" w:hAnsi="Calibri" w:cs="Calibri"/>
            <w:color w:val="0645AD"/>
            <w:shd w:val="clear" w:color="auto" w:fill="FFFFFF"/>
          </w:rPr>
          <w:t>sensibilisation</w:t>
        </w:r>
      </w:hyperlink>
      <w:r w:rsidRPr="0079294A">
        <w:rPr>
          <w:rFonts w:ascii="Calibri" w:hAnsi="Calibri" w:cs="Calibri"/>
          <w:color w:val="202122"/>
          <w:shd w:val="clear" w:color="auto" w:fill="FFFFFF"/>
        </w:rPr>
        <w:t> </w:t>
      </w:r>
      <w:r w:rsidRPr="0079294A">
        <w:rPr>
          <w:rFonts w:ascii="Calibri" w:hAnsi="Calibri" w:cs="Calibri"/>
          <w:color w:val="000000" w:themeColor="text1"/>
          <w:shd w:val="clear" w:color="auto" w:fill="FFFFFF"/>
        </w:rPr>
        <w:t>sur la désertification. Le mouvement des ceintures vertes (GBM) est accueilli favorablement par les associations de femmes dans les communautés rurales. Le bois est utilisé pour la construction ou sert de combustible pour cuire les aliments, les feuilles servent de fourrage pour les animaux. Alors que la déforestation contraignait les femmes à aller toujours plus loin et à mettre toujours plus de temps pour trouver les ressources de première nécessité, les plantations à proximité des villages améliorent leurs conditions de vie. Les femmes s'impliquent alors très rapidement dans le mouvement de la ceinture verte.</w:t>
      </w:r>
    </w:p>
    <w:p w14:paraId="0C6B5E24" w14:textId="77777777" w:rsidR="00E502F2" w:rsidRDefault="00E502F2" w:rsidP="00B835CA">
      <w:pPr>
        <w:spacing w:after="0" w:line="240" w:lineRule="auto"/>
        <w:jc w:val="both"/>
        <w:rPr>
          <w:rFonts w:ascii="Calibri" w:hAnsi="Calibri" w:cs="Calibri"/>
          <w:color w:val="000000" w:themeColor="text1"/>
          <w:shd w:val="clear" w:color="auto" w:fill="FFFFFF"/>
        </w:rPr>
      </w:pPr>
    </w:p>
    <w:p w14:paraId="42CF0552" w14:textId="635D46A0" w:rsidR="00B835CA" w:rsidRPr="0079294A" w:rsidRDefault="00B835CA" w:rsidP="00B835CA">
      <w:pPr>
        <w:spacing w:after="0" w:line="240" w:lineRule="auto"/>
        <w:jc w:val="both"/>
        <w:rPr>
          <w:rFonts w:ascii="Calibri" w:hAnsi="Calibri" w:cs="Calibri"/>
          <w:color w:val="000000" w:themeColor="text1"/>
          <w:shd w:val="clear" w:color="auto" w:fill="FFFFFF"/>
        </w:rPr>
      </w:pPr>
      <w:r w:rsidRPr="0079294A">
        <w:rPr>
          <w:rFonts w:ascii="Calibri" w:hAnsi="Calibri" w:cs="Calibri"/>
          <w:color w:val="000000" w:themeColor="text1"/>
          <w:shd w:val="clear" w:color="auto" w:fill="FFFFFF"/>
        </w:rPr>
        <w:t>En 1977, les semis sont produits par le mouvement de la ceinture verte à Nairobi qui, rapidement, n'arrive pas à répondre à la demande de plants. Le GBM forme alors des femmes pour qu'elles créent et gèrent elles-mêmes des pépinières. Les femmes gagnent en autonomie. Les pépinières leur assurent un revenu par la vente des jeunes plants.</w:t>
      </w:r>
    </w:p>
    <w:p w14:paraId="1B0BE5B8" w14:textId="77777777" w:rsidR="00B835CA" w:rsidRDefault="00B835CA" w:rsidP="00B835CA">
      <w:pPr>
        <w:spacing w:after="0" w:line="240" w:lineRule="auto"/>
        <w:jc w:val="both"/>
        <w:rPr>
          <w:rFonts w:ascii="Calibri" w:hAnsi="Calibri" w:cs="Calibri"/>
          <w:color w:val="000000" w:themeColor="text1"/>
        </w:rPr>
      </w:pPr>
      <w:r w:rsidRPr="0079294A">
        <w:rPr>
          <w:rFonts w:ascii="Calibri" w:hAnsi="Calibri" w:cs="Calibri"/>
          <w:color w:val="000000" w:themeColor="text1"/>
          <w:shd w:val="clear" w:color="auto" w:fill="FFFFFF"/>
        </w:rPr>
        <w:lastRenderedPageBreak/>
        <w:t xml:space="preserve">Le GBM mène également des actions de sensibilisation sur la sécurité de la chaîne alimentaire et incite les populations à se tourner vers </w:t>
      </w:r>
      <w:r w:rsidRPr="0079294A">
        <w:rPr>
          <w:rFonts w:ascii="Calibri" w:hAnsi="Calibri" w:cs="Calibri"/>
          <w:color w:val="202122"/>
          <w:shd w:val="clear" w:color="auto" w:fill="FFFFFF"/>
        </w:rPr>
        <w:t>l'</w:t>
      </w:r>
      <w:hyperlink r:id="rId3601" w:tooltip="Agriculture vivrière" w:history="1">
        <w:r w:rsidRPr="0079294A">
          <w:rPr>
            <w:rStyle w:val="Lienhypertexte"/>
            <w:rFonts w:ascii="Calibri" w:hAnsi="Calibri" w:cs="Calibri"/>
            <w:color w:val="0645AD"/>
            <w:shd w:val="clear" w:color="auto" w:fill="FFFFFF"/>
          </w:rPr>
          <w:t>agriculture vivrière</w:t>
        </w:r>
      </w:hyperlink>
      <w:r w:rsidRPr="0079294A">
        <w:rPr>
          <w:rFonts w:ascii="Calibri" w:hAnsi="Calibri" w:cs="Calibri"/>
          <w:color w:val="202122"/>
          <w:shd w:val="clear" w:color="auto" w:fill="FFFFFF"/>
        </w:rPr>
        <w:t> </w:t>
      </w:r>
      <w:r w:rsidRPr="0079294A">
        <w:rPr>
          <w:rFonts w:ascii="Calibri" w:hAnsi="Calibri" w:cs="Calibri"/>
          <w:color w:val="000000" w:themeColor="text1"/>
          <w:shd w:val="clear" w:color="auto" w:fill="FFFFFF"/>
        </w:rPr>
        <w:t xml:space="preserve">et la culture d'espèces autochtones. Il les informe également sur les techniques de rotation des récoltes, ce qui évite aux paysans l'achat d'engrais chimiques et permet </w:t>
      </w:r>
      <w:r w:rsidRPr="0079294A">
        <w:rPr>
          <w:rFonts w:ascii="Calibri" w:hAnsi="Calibri" w:cs="Calibri"/>
          <w:color w:val="202122"/>
          <w:shd w:val="clear" w:color="auto" w:fill="FFFFFF"/>
        </w:rPr>
        <w:t>d'</w:t>
      </w:r>
      <w:hyperlink r:id="rId3602" w:tooltip="Amendement (agriculture)" w:history="1">
        <w:r w:rsidRPr="0079294A">
          <w:rPr>
            <w:rStyle w:val="Lienhypertexte"/>
            <w:rFonts w:ascii="Calibri" w:hAnsi="Calibri" w:cs="Calibri"/>
            <w:color w:val="0645AD"/>
            <w:shd w:val="clear" w:color="auto" w:fill="FFFFFF"/>
          </w:rPr>
          <w:t>amender</w:t>
        </w:r>
      </w:hyperlink>
      <w:r w:rsidRPr="0079294A">
        <w:rPr>
          <w:rFonts w:ascii="Calibri" w:hAnsi="Calibri" w:cs="Calibri"/>
          <w:color w:val="202122"/>
          <w:shd w:val="clear" w:color="auto" w:fill="FFFFFF"/>
        </w:rPr>
        <w:t> </w:t>
      </w:r>
      <w:r w:rsidRPr="0079294A">
        <w:rPr>
          <w:rFonts w:ascii="Calibri" w:hAnsi="Calibri" w:cs="Calibri"/>
          <w:color w:val="000000" w:themeColor="text1"/>
          <w:shd w:val="clear" w:color="auto" w:fill="FFFFFF"/>
        </w:rPr>
        <w:t>les sols naturellement par le </w:t>
      </w:r>
      <w:hyperlink r:id="rId3603" w:tooltip="Paillis" w:history="1">
        <w:r w:rsidRPr="0079294A">
          <w:rPr>
            <w:rStyle w:val="Lienhypertexte"/>
            <w:rFonts w:ascii="Calibri" w:hAnsi="Calibri" w:cs="Calibri"/>
            <w:color w:val="0645AD"/>
            <w:shd w:val="clear" w:color="auto" w:fill="FFFFFF"/>
          </w:rPr>
          <w:t>paillage</w:t>
        </w:r>
      </w:hyperlink>
      <w:r w:rsidRPr="0079294A">
        <w:rPr>
          <w:rFonts w:ascii="Calibri" w:hAnsi="Calibri" w:cs="Calibri"/>
          <w:color w:val="202122"/>
          <w:shd w:val="clear" w:color="auto" w:fill="FFFFFF"/>
        </w:rPr>
        <w:t> </w:t>
      </w:r>
      <w:r w:rsidRPr="0079294A">
        <w:rPr>
          <w:rFonts w:ascii="Calibri" w:hAnsi="Calibri" w:cs="Calibri"/>
          <w:color w:val="000000" w:themeColor="text1"/>
          <w:shd w:val="clear" w:color="auto" w:fill="FFFFFF"/>
        </w:rPr>
        <w:t>et la </w:t>
      </w:r>
      <w:hyperlink r:id="rId3604" w:tooltip="Fumure" w:history="1">
        <w:r w:rsidRPr="0079294A">
          <w:rPr>
            <w:rStyle w:val="Lienhypertexte"/>
            <w:rFonts w:ascii="Calibri" w:hAnsi="Calibri" w:cs="Calibri"/>
            <w:color w:val="0645AD"/>
            <w:shd w:val="clear" w:color="auto" w:fill="FFFFFF"/>
          </w:rPr>
          <w:t>fumure</w:t>
        </w:r>
      </w:hyperlink>
      <w:r w:rsidRPr="0079294A">
        <w:rPr>
          <w:rFonts w:ascii="Calibri" w:hAnsi="Calibri" w:cs="Calibri"/>
          <w:color w:val="000000" w:themeColor="text1"/>
        </w:rPr>
        <w:t>.</w:t>
      </w:r>
    </w:p>
    <w:p w14:paraId="477339B2" w14:textId="77777777" w:rsidR="00E502F2" w:rsidRDefault="00E502F2" w:rsidP="00B835CA">
      <w:pPr>
        <w:spacing w:after="0" w:line="240" w:lineRule="auto"/>
        <w:jc w:val="both"/>
        <w:rPr>
          <w:rFonts w:ascii="Calibri" w:hAnsi="Calibri" w:cs="Calibri"/>
          <w:color w:val="000000" w:themeColor="text1"/>
          <w:shd w:val="clear" w:color="auto" w:fill="FFFFFF"/>
        </w:rPr>
      </w:pPr>
    </w:p>
    <w:p w14:paraId="32788FE6" w14:textId="0E0741C7" w:rsidR="00B835CA" w:rsidRPr="00C549DB" w:rsidRDefault="00B835CA" w:rsidP="00B835CA">
      <w:pPr>
        <w:spacing w:after="0" w:line="240" w:lineRule="auto"/>
        <w:jc w:val="both"/>
        <w:rPr>
          <w:rFonts w:ascii="Calibri" w:hAnsi="Calibri" w:cs="Calibri"/>
          <w:color w:val="000000" w:themeColor="text1"/>
        </w:rPr>
      </w:pPr>
      <w:r w:rsidRPr="00C549DB">
        <w:rPr>
          <w:rFonts w:ascii="Calibri" w:hAnsi="Calibri" w:cs="Calibri"/>
          <w:color w:val="000000" w:themeColor="text1"/>
          <w:shd w:val="clear" w:color="auto" w:fill="FFFFFF"/>
        </w:rPr>
        <w:t xml:space="preserve">Pour ne pas dépendre uniquement des fondations (étrangères), le GBM se tourne vers </w:t>
      </w:r>
      <w:r w:rsidRPr="00C549DB">
        <w:rPr>
          <w:rFonts w:ascii="Calibri" w:hAnsi="Calibri" w:cs="Calibri"/>
          <w:color w:val="202122"/>
          <w:shd w:val="clear" w:color="auto" w:fill="FFFFFF"/>
        </w:rPr>
        <w:t>l'</w:t>
      </w:r>
      <w:hyperlink r:id="rId3605" w:tooltip="Écotourisme" w:history="1">
        <w:r w:rsidRPr="00C549DB">
          <w:rPr>
            <w:rStyle w:val="Lienhypertexte"/>
            <w:rFonts w:ascii="Calibri" w:hAnsi="Calibri" w:cs="Calibri"/>
            <w:color w:val="0645AD"/>
            <w:shd w:val="clear" w:color="auto" w:fill="FFFFFF"/>
          </w:rPr>
          <w:t>écotourisme</w:t>
        </w:r>
      </w:hyperlink>
      <w:r w:rsidRPr="00C549DB">
        <w:rPr>
          <w:rFonts w:ascii="Calibri" w:hAnsi="Calibri" w:cs="Calibri"/>
          <w:color w:val="202122"/>
          <w:shd w:val="clear" w:color="auto" w:fill="FFFFFF"/>
        </w:rPr>
        <w:t xml:space="preserve">, </w:t>
      </w:r>
      <w:r w:rsidRPr="00C549DB">
        <w:rPr>
          <w:rFonts w:ascii="Calibri" w:hAnsi="Calibri" w:cs="Calibri"/>
          <w:color w:val="000000" w:themeColor="text1"/>
          <w:shd w:val="clear" w:color="auto" w:fill="FFFFFF"/>
        </w:rPr>
        <w:t>organisant des circuits de découverte des ceintures vertes. Les touristes découvrent les activités des populations locales et y participent. Ces circuits touristiques assurent une large diffusion au mouvement.</w:t>
      </w:r>
    </w:p>
    <w:p w14:paraId="0900161F" w14:textId="77777777" w:rsidR="00E502F2" w:rsidRDefault="00E502F2" w:rsidP="00B835CA">
      <w:pPr>
        <w:spacing w:after="0" w:line="240" w:lineRule="auto"/>
        <w:jc w:val="both"/>
        <w:rPr>
          <w:rFonts w:ascii="Calibri" w:hAnsi="Calibri" w:cs="Calibri"/>
          <w:color w:val="000000" w:themeColor="text1"/>
        </w:rPr>
      </w:pPr>
    </w:p>
    <w:p w14:paraId="56352C0A" w14:textId="24DB3800" w:rsidR="00B835CA" w:rsidRDefault="00B835CA" w:rsidP="00B835CA">
      <w:pPr>
        <w:spacing w:after="0" w:line="240" w:lineRule="auto"/>
        <w:jc w:val="both"/>
        <w:rPr>
          <w:rFonts w:ascii="Calibri" w:hAnsi="Calibri" w:cs="Calibri"/>
          <w:color w:val="000000" w:themeColor="text1"/>
        </w:rPr>
      </w:pPr>
      <w:r w:rsidRPr="0079294A">
        <w:rPr>
          <w:rFonts w:ascii="Calibri" w:hAnsi="Calibri" w:cs="Calibri"/>
          <w:color w:val="000000" w:themeColor="text1"/>
        </w:rPr>
        <w:t>En 1986, le GBM organise des sessions de formations pour diffuser et essaimer le modèle dans d'autres pays africains. La Tanzanie, l'Ouganda, le Malawi, le Lesotho, l'Ethiopie, le Zimbabwe s'inspirent de ce mouvement et lancent avec succès des initiatives semblables.</w:t>
      </w:r>
    </w:p>
    <w:p w14:paraId="50E77265" w14:textId="77777777" w:rsidR="00B835CA" w:rsidRDefault="00B835CA" w:rsidP="00B835CA">
      <w:pPr>
        <w:spacing w:after="0" w:line="240" w:lineRule="auto"/>
        <w:jc w:val="both"/>
        <w:rPr>
          <w:rFonts w:ascii="Calibri" w:hAnsi="Calibri" w:cs="Calibri"/>
          <w:color w:val="000000" w:themeColor="text1"/>
          <w:shd w:val="clear" w:color="auto" w:fill="FFFFFF"/>
        </w:rPr>
      </w:pPr>
      <w:r w:rsidRPr="00C549DB">
        <w:rPr>
          <w:rFonts w:ascii="Calibri" w:hAnsi="Calibri" w:cs="Calibri"/>
          <w:color w:val="000000" w:themeColor="text1"/>
          <w:shd w:val="clear" w:color="auto" w:fill="FFFFFF"/>
        </w:rPr>
        <w:t>Dès l’origine, le mouvement met les femmes au centre des processus. Dès 2003, il lance des programmes de promotion des </w:t>
      </w:r>
      <w:hyperlink r:id="rId3606" w:tooltip="Droits des femmes" w:history="1">
        <w:r w:rsidRPr="00C549DB">
          <w:rPr>
            <w:rStyle w:val="Lienhypertexte"/>
            <w:rFonts w:ascii="Calibri" w:hAnsi="Calibri" w:cs="Calibri"/>
            <w:color w:val="0645AD"/>
            <w:shd w:val="clear" w:color="auto" w:fill="FFFFFF"/>
          </w:rPr>
          <w:t>droits des femmes</w:t>
        </w:r>
      </w:hyperlink>
      <w:r w:rsidRPr="00C549DB">
        <w:rPr>
          <w:rFonts w:ascii="Calibri" w:hAnsi="Calibri" w:cs="Calibri"/>
          <w:color w:val="202122"/>
          <w:shd w:val="clear" w:color="auto" w:fill="FFFFFF"/>
        </w:rPr>
        <w:t xml:space="preserve">, </w:t>
      </w:r>
      <w:r w:rsidRPr="00C549DB">
        <w:rPr>
          <w:rFonts w:ascii="Calibri" w:hAnsi="Calibri" w:cs="Calibri"/>
          <w:color w:val="000000" w:themeColor="text1"/>
          <w:shd w:val="clear" w:color="auto" w:fill="FFFFFF"/>
        </w:rPr>
        <w:t>abordant les questions de santé, alphabétisation et sexualité.</w:t>
      </w:r>
    </w:p>
    <w:p w14:paraId="5A1C62B5" w14:textId="77777777" w:rsidR="00B835CA" w:rsidRPr="00C549DB" w:rsidRDefault="00B835CA" w:rsidP="00B835CA">
      <w:pPr>
        <w:spacing w:after="0" w:line="240" w:lineRule="auto"/>
        <w:jc w:val="both"/>
        <w:rPr>
          <w:rFonts w:ascii="Calibri" w:hAnsi="Calibri" w:cs="Calibri"/>
          <w:color w:val="000000" w:themeColor="text1"/>
        </w:rPr>
      </w:pPr>
    </w:p>
    <w:p w14:paraId="0E03A7AD" w14:textId="77777777" w:rsidR="00B835CA" w:rsidRDefault="00B835CA" w:rsidP="00B835CA">
      <w:pPr>
        <w:spacing w:after="0" w:line="240" w:lineRule="auto"/>
        <w:jc w:val="both"/>
        <w:rPr>
          <w:color w:val="000000" w:themeColor="text1"/>
        </w:rPr>
      </w:pPr>
      <w:r w:rsidRPr="0079294A">
        <w:rPr>
          <w:color w:val="000000" w:themeColor="text1"/>
          <w:u w:val="single"/>
        </w:rPr>
        <w:t>Conflit avec le gouvernement</w:t>
      </w:r>
      <w:r w:rsidRPr="0079294A">
        <w:rPr>
          <w:color w:val="000000" w:themeColor="text1"/>
        </w:rPr>
        <w:t> : Le mouvement</w:t>
      </w:r>
      <w:r>
        <w:rPr>
          <w:color w:val="000000" w:themeColor="text1"/>
        </w:rPr>
        <w:t xml:space="preserve"> s’est toujours</w:t>
      </w:r>
      <w:r w:rsidRPr="0079294A">
        <w:rPr>
          <w:color w:val="000000" w:themeColor="text1"/>
        </w:rPr>
        <w:t xml:space="preserve"> engag</w:t>
      </w:r>
      <w:r>
        <w:rPr>
          <w:color w:val="000000" w:themeColor="text1"/>
        </w:rPr>
        <w:t>é</w:t>
      </w:r>
      <w:r w:rsidRPr="0079294A">
        <w:rPr>
          <w:color w:val="000000" w:themeColor="text1"/>
        </w:rPr>
        <w:t xml:space="preserve"> contre la cession des terres</w:t>
      </w:r>
      <w:r>
        <w:rPr>
          <w:color w:val="000000" w:themeColor="text1"/>
        </w:rPr>
        <w:t>,</w:t>
      </w:r>
      <w:r w:rsidRPr="0079294A">
        <w:rPr>
          <w:color w:val="000000" w:themeColor="text1"/>
        </w:rPr>
        <w:t xml:space="preserve"> par le gouvernement</w:t>
      </w:r>
      <w:r>
        <w:rPr>
          <w:color w:val="000000" w:themeColor="text1"/>
        </w:rPr>
        <w:t>,</w:t>
      </w:r>
      <w:r w:rsidRPr="0079294A">
        <w:rPr>
          <w:color w:val="000000" w:themeColor="text1"/>
        </w:rPr>
        <w:t xml:space="preserve"> à des investisseurs privés, et contre la construction de centres commerciaux. </w:t>
      </w:r>
      <w:r>
        <w:rPr>
          <w:color w:val="000000" w:themeColor="text1"/>
        </w:rPr>
        <w:t>Pour ces motifs, e</w:t>
      </w:r>
      <w:r w:rsidRPr="0079294A">
        <w:rPr>
          <w:color w:val="000000" w:themeColor="text1"/>
        </w:rPr>
        <w:t xml:space="preserve">n 1993, Wangari Maathai </w:t>
      </w:r>
      <w:r>
        <w:rPr>
          <w:color w:val="000000" w:themeColor="text1"/>
        </w:rPr>
        <w:t>était</w:t>
      </w:r>
      <w:r w:rsidRPr="0079294A">
        <w:rPr>
          <w:color w:val="000000" w:themeColor="text1"/>
        </w:rPr>
        <w:t xml:space="preserve"> arrêté</w:t>
      </w:r>
      <w:r>
        <w:rPr>
          <w:color w:val="000000" w:themeColor="text1"/>
        </w:rPr>
        <w:t>e</w:t>
      </w:r>
      <w:r w:rsidRPr="0079294A">
        <w:rPr>
          <w:color w:val="000000" w:themeColor="text1"/>
        </w:rPr>
        <w:t xml:space="preserve"> chez elle. Mais elle </w:t>
      </w:r>
      <w:r>
        <w:rPr>
          <w:color w:val="000000" w:themeColor="text1"/>
        </w:rPr>
        <w:t>avait été</w:t>
      </w:r>
      <w:r w:rsidRPr="0079294A">
        <w:rPr>
          <w:color w:val="000000" w:themeColor="text1"/>
        </w:rPr>
        <w:t xml:space="preserve"> libérée, </w:t>
      </w:r>
      <w:r>
        <w:rPr>
          <w:color w:val="000000" w:themeColor="text1"/>
        </w:rPr>
        <w:t>en raison de</w:t>
      </w:r>
      <w:r w:rsidRPr="0079294A">
        <w:rPr>
          <w:color w:val="000000" w:themeColor="text1"/>
        </w:rPr>
        <w:t xml:space="preserve"> la pression internationale.</w:t>
      </w:r>
    </w:p>
    <w:p w14:paraId="3D445D3B" w14:textId="77777777" w:rsidR="00B835CA" w:rsidRDefault="00B835CA" w:rsidP="00B835CA">
      <w:pPr>
        <w:spacing w:after="0" w:line="240" w:lineRule="auto"/>
        <w:jc w:val="both"/>
        <w:rPr>
          <w:color w:val="000000" w:themeColor="text1"/>
        </w:rPr>
      </w:pPr>
      <w:r>
        <w:rPr>
          <w:color w:val="000000" w:themeColor="text1"/>
        </w:rPr>
        <w:t xml:space="preserve">Sources : a) </w:t>
      </w:r>
      <w:hyperlink r:id="rId3607" w:history="1">
        <w:r w:rsidRPr="00EE60B2">
          <w:rPr>
            <w:rStyle w:val="Lienhypertexte"/>
          </w:rPr>
          <w:t>https://fr.wikipedia.org/wiki/Mouvement_de_la_ceinture_verte</w:t>
        </w:r>
      </w:hyperlink>
      <w:r>
        <w:rPr>
          <w:color w:val="000000" w:themeColor="text1"/>
        </w:rPr>
        <w:t xml:space="preserve">, </w:t>
      </w:r>
    </w:p>
    <w:p w14:paraId="02B981EB" w14:textId="77777777" w:rsidR="00B835CA" w:rsidRPr="00E502F2" w:rsidRDefault="00B835CA" w:rsidP="00B835CA">
      <w:pPr>
        <w:spacing w:after="0" w:line="240" w:lineRule="auto"/>
        <w:jc w:val="both"/>
        <w:rPr>
          <w:color w:val="000000" w:themeColor="text1"/>
        </w:rPr>
      </w:pPr>
      <w:r w:rsidRPr="00E502F2">
        <w:rPr>
          <w:color w:val="000000" w:themeColor="text1"/>
        </w:rPr>
        <w:t xml:space="preserve">b) </w:t>
      </w:r>
      <w:hyperlink r:id="rId3608" w:history="1">
        <w:r w:rsidRPr="00E502F2">
          <w:rPr>
            <w:rStyle w:val="Lienhypertexte"/>
          </w:rPr>
          <w:t>https://en.wikipedia.org/wiki/Green_Belt_Movement</w:t>
        </w:r>
      </w:hyperlink>
    </w:p>
    <w:p w14:paraId="21B9D3EA" w14:textId="77777777" w:rsidR="00B835CA" w:rsidRPr="00E502F2" w:rsidRDefault="00B835CA" w:rsidP="00B835CA">
      <w:pPr>
        <w:spacing w:after="0" w:line="240" w:lineRule="auto"/>
        <w:jc w:val="both"/>
        <w:rPr>
          <w:color w:val="000000" w:themeColor="text1"/>
        </w:rPr>
      </w:pPr>
    </w:p>
    <w:p w14:paraId="71036CAF" w14:textId="77777777" w:rsidR="00B835CA" w:rsidRDefault="00B835CA" w:rsidP="00F762EF">
      <w:pPr>
        <w:pStyle w:val="Titre3"/>
      </w:pPr>
      <w:bookmarkStart w:id="318" w:name="_Toc139181609"/>
      <w:r w:rsidRPr="000A71AA">
        <w:t>Le brise-vent des Trois-Nord</w:t>
      </w:r>
      <w:r>
        <w:t xml:space="preserve"> ou la </w:t>
      </w:r>
      <w:r w:rsidRPr="000A71AA">
        <w:t>Grande muraille vert</w:t>
      </w:r>
      <w:r>
        <w:t>e (en Chine)</w:t>
      </w:r>
      <w:bookmarkEnd w:id="318"/>
    </w:p>
    <w:p w14:paraId="2B6D5AA7" w14:textId="77777777" w:rsidR="00B835CA" w:rsidRDefault="00B835CA" w:rsidP="00B835CA">
      <w:pPr>
        <w:spacing w:after="0" w:line="240" w:lineRule="auto"/>
        <w:jc w:val="both"/>
        <w:rPr>
          <w:color w:val="000000" w:themeColor="text1"/>
        </w:rPr>
      </w:pPr>
    </w:p>
    <w:p w14:paraId="1D3B93DC" w14:textId="77777777" w:rsidR="00B835CA" w:rsidRPr="00676761" w:rsidRDefault="00B835CA" w:rsidP="00B835CA">
      <w:pPr>
        <w:spacing w:after="0" w:line="240" w:lineRule="auto"/>
        <w:jc w:val="both"/>
        <w:rPr>
          <w:rFonts w:ascii="Calibri" w:hAnsi="Calibri" w:cs="Calibri"/>
          <w:color w:val="000000" w:themeColor="text1"/>
        </w:rPr>
      </w:pPr>
      <w:r w:rsidRPr="00676761">
        <w:rPr>
          <w:rFonts w:ascii="Calibri" w:hAnsi="Calibri" w:cs="Calibri"/>
          <w:color w:val="000000" w:themeColor="text1"/>
          <w:shd w:val="clear" w:color="auto" w:fill="FFFFFF"/>
        </w:rPr>
        <w:t>La </w:t>
      </w:r>
      <w:r w:rsidRPr="00676761">
        <w:rPr>
          <w:rFonts w:ascii="Calibri" w:hAnsi="Calibri" w:cs="Calibri"/>
          <w:i/>
          <w:iCs/>
          <w:color w:val="000000" w:themeColor="text1"/>
          <w:shd w:val="clear" w:color="auto" w:fill="FFFFFF"/>
        </w:rPr>
        <w:t>Grande muraille verte de Chine</w:t>
      </w:r>
      <w:r w:rsidRPr="00676761">
        <w:rPr>
          <w:rFonts w:ascii="Calibri" w:hAnsi="Calibri" w:cs="Calibri"/>
          <w:color w:val="000000" w:themeColor="text1"/>
          <w:shd w:val="clear" w:color="auto" w:fill="FFFFFF"/>
        </w:rPr>
        <w:t>  est le nom donné par la </w:t>
      </w:r>
      <w:hyperlink r:id="rId3609" w:tooltip="République populaire de Chine" w:history="1">
        <w:r w:rsidRPr="00676761">
          <w:rPr>
            <w:rStyle w:val="Lienhypertexte"/>
            <w:rFonts w:ascii="Calibri" w:hAnsi="Calibri" w:cs="Calibri"/>
            <w:color w:val="0645AD"/>
            <w:shd w:val="clear" w:color="auto" w:fill="FFFFFF"/>
          </w:rPr>
          <w:t>République populaire de Chine</w:t>
        </w:r>
      </w:hyperlink>
      <w:r w:rsidRPr="00676761">
        <w:rPr>
          <w:rFonts w:ascii="Calibri" w:hAnsi="Calibri" w:cs="Calibri"/>
          <w:color w:val="202122"/>
          <w:shd w:val="clear" w:color="auto" w:fill="FFFFFF"/>
        </w:rPr>
        <w:t> </w:t>
      </w:r>
      <w:r w:rsidRPr="00676761">
        <w:rPr>
          <w:rFonts w:ascii="Calibri" w:hAnsi="Calibri" w:cs="Calibri"/>
          <w:color w:val="000000" w:themeColor="text1"/>
          <w:shd w:val="clear" w:color="auto" w:fill="FFFFFF"/>
        </w:rPr>
        <w:t>au projet de </w:t>
      </w:r>
      <w:hyperlink r:id="rId3610" w:tooltip="Reforestation" w:history="1">
        <w:r w:rsidRPr="00676761">
          <w:rPr>
            <w:rStyle w:val="Lienhypertexte"/>
            <w:rFonts w:ascii="Calibri" w:hAnsi="Calibri" w:cs="Calibri"/>
            <w:color w:val="0645AD"/>
            <w:shd w:val="clear" w:color="auto" w:fill="FFFFFF"/>
          </w:rPr>
          <w:t>plantation de forêts</w:t>
        </w:r>
      </w:hyperlink>
      <w:r>
        <w:rPr>
          <w:rFonts w:ascii="Calibri" w:hAnsi="Calibri" w:cs="Calibri"/>
        </w:rPr>
        <w:t>, débuté en novembre 1978,</w:t>
      </w:r>
      <w:r w:rsidRPr="00676761">
        <w:rPr>
          <w:rFonts w:ascii="Calibri" w:hAnsi="Calibri" w:cs="Calibri"/>
          <w:color w:val="202122"/>
          <w:shd w:val="clear" w:color="auto" w:fill="FFFFFF"/>
        </w:rPr>
        <w:t> </w:t>
      </w:r>
      <w:r w:rsidRPr="00676761">
        <w:rPr>
          <w:rFonts w:ascii="Calibri" w:hAnsi="Calibri" w:cs="Calibri"/>
          <w:color w:val="000000" w:themeColor="text1"/>
          <w:shd w:val="clear" w:color="auto" w:fill="FFFFFF"/>
        </w:rPr>
        <w:t>destiné ralentir le processus accéléré de désertification et d'érosion des sols</w:t>
      </w:r>
      <w:r>
        <w:rPr>
          <w:rFonts w:ascii="Calibri" w:hAnsi="Calibri" w:cs="Calibri"/>
          <w:color w:val="000000" w:themeColor="text1"/>
          <w:shd w:val="clear" w:color="auto" w:fill="FFFFFF"/>
        </w:rPr>
        <w:t xml:space="preserve">, </w:t>
      </w:r>
      <w:r w:rsidRPr="00676761">
        <w:rPr>
          <w:rFonts w:ascii="Calibri" w:hAnsi="Calibri" w:cs="Calibri"/>
          <w:color w:val="000000" w:themeColor="text1"/>
          <w:shd w:val="clear" w:color="auto" w:fill="FFFFFF"/>
        </w:rPr>
        <w:t>à freiner la progression du </w:t>
      </w:r>
      <w:hyperlink r:id="rId3611" w:tooltip="Désert de Gobi" w:history="1">
        <w:r w:rsidRPr="00676761">
          <w:rPr>
            <w:rStyle w:val="Lienhypertexte"/>
            <w:rFonts w:ascii="Calibri" w:hAnsi="Calibri" w:cs="Calibri"/>
            <w:color w:val="0645AD"/>
            <w:shd w:val="clear" w:color="auto" w:fill="FFFFFF"/>
          </w:rPr>
          <w:t>désert de Gobi</w:t>
        </w:r>
      </w:hyperlink>
      <w:r w:rsidRPr="00676761">
        <w:rPr>
          <w:rFonts w:ascii="Calibri" w:hAnsi="Calibri" w:cs="Calibri"/>
          <w:color w:val="202122"/>
          <w:shd w:val="clear" w:color="auto" w:fill="FFFFFF"/>
        </w:rPr>
        <w:t xml:space="preserve">, </w:t>
      </w:r>
      <w:r w:rsidRPr="00676761">
        <w:rPr>
          <w:rFonts w:ascii="Calibri" w:hAnsi="Calibri" w:cs="Calibri"/>
          <w:color w:val="000000" w:themeColor="text1"/>
          <w:shd w:val="clear" w:color="auto" w:fill="FFFFFF"/>
        </w:rPr>
        <w:t>à lutter contre le réchauffement climatique global et à réparer</w:t>
      </w:r>
      <w:r>
        <w:rPr>
          <w:rFonts w:ascii="Calibri" w:hAnsi="Calibri" w:cs="Calibri"/>
          <w:color w:val="000000" w:themeColor="text1"/>
          <w:shd w:val="clear" w:color="auto" w:fill="FFFFFF"/>
        </w:rPr>
        <w:t xml:space="preserve"> les conséquences</w:t>
      </w:r>
      <w:r w:rsidRPr="00676761">
        <w:rPr>
          <w:rFonts w:ascii="Calibri" w:hAnsi="Calibri" w:cs="Calibri"/>
          <w:color w:val="000000" w:themeColor="text1"/>
          <w:shd w:val="clear" w:color="auto" w:fill="FFFFFF"/>
        </w:rPr>
        <w:t xml:space="preserve"> </w:t>
      </w:r>
      <w:r>
        <w:rPr>
          <w:rFonts w:ascii="Calibri" w:hAnsi="Calibri" w:cs="Calibri"/>
          <w:color w:val="000000" w:themeColor="text1"/>
          <w:shd w:val="clear" w:color="auto" w:fill="FFFFFF"/>
        </w:rPr>
        <w:t>d</w:t>
      </w:r>
      <w:r w:rsidRPr="00676761">
        <w:rPr>
          <w:rFonts w:ascii="Calibri" w:hAnsi="Calibri" w:cs="Calibri"/>
          <w:color w:val="000000" w:themeColor="text1"/>
          <w:shd w:val="clear" w:color="auto" w:fill="FFFFFF"/>
        </w:rPr>
        <w:t>es </w:t>
      </w:r>
      <w:hyperlink r:id="rId3612" w:history="1">
        <w:r w:rsidRPr="00676761">
          <w:rPr>
            <w:rStyle w:val="Lienhypertexte"/>
            <w:rFonts w:ascii="Calibri" w:hAnsi="Calibri" w:cs="Calibri"/>
            <w:color w:val="0645AD"/>
            <w:shd w:val="clear" w:color="auto" w:fill="FFFFFF"/>
          </w:rPr>
          <w:t>déforestations passées</w:t>
        </w:r>
      </w:hyperlink>
      <w:r w:rsidRPr="00676761">
        <w:rPr>
          <w:rFonts w:ascii="Calibri" w:hAnsi="Calibri" w:cs="Calibri"/>
          <w:color w:val="202122"/>
          <w:shd w:val="clear" w:color="auto" w:fill="FFFFFF"/>
        </w:rPr>
        <w:t xml:space="preserve">. </w:t>
      </w:r>
      <w:r w:rsidRPr="00676761">
        <w:rPr>
          <w:rFonts w:ascii="Calibri" w:hAnsi="Calibri" w:cs="Calibri"/>
          <w:color w:val="000000" w:themeColor="text1"/>
          <w:shd w:val="clear" w:color="auto" w:fill="FFFFFF"/>
        </w:rPr>
        <w:t>La mise en place du projet devrait se terminer</w:t>
      </w:r>
      <w:r>
        <w:rPr>
          <w:rFonts w:ascii="Calibri" w:hAnsi="Calibri" w:cs="Calibri"/>
          <w:color w:val="000000" w:themeColor="text1"/>
          <w:shd w:val="clear" w:color="auto" w:fill="FFFFFF"/>
        </w:rPr>
        <w:t>, entre 2050</w:t>
      </w:r>
      <w:r w:rsidRPr="00676761">
        <w:rPr>
          <w:rFonts w:ascii="Calibri" w:hAnsi="Calibri" w:cs="Calibri"/>
          <w:color w:val="000000" w:themeColor="text1"/>
          <w:shd w:val="clear" w:color="auto" w:fill="FFFFFF"/>
        </w:rPr>
        <w:t xml:space="preserve"> e</w:t>
      </w:r>
      <w:r>
        <w:rPr>
          <w:rFonts w:ascii="Calibri" w:hAnsi="Calibri" w:cs="Calibri"/>
          <w:color w:val="000000" w:themeColor="text1"/>
          <w:shd w:val="clear" w:color="auto" w:fill="FFFFFF"/>
        </w:rPr>
        <w:t>t</w:t>
      </w:r>
      <w:r w:rsidRPr="00676761">
        <w:rPr>
          <w:rFonts w:ascii="Calibri" w:hAnsi="Calibri" w:cs="Calibri"/>
          <w:color w:val="000000" w:themeColor="text1"/>
          <w:shd w:val="clear" w:color="auto" w:fill="FFFFFF"/>
        </w:rPr>
        <w:t> </w:t>
      </w:r>
      <w:hyperlink r:id="rId3613" w:tooltip="2074" w:history="1">
        <w:r w:rsidRPr="00676761">
          <w:rPr>
            <w:rStyle w:val="Lienhypertexte"/>
            <w:rFonts w:ascii="Calibri" w:hAnsi="Calibri" w:cs="Calibri"/>
            <w:color w:val="0645AD"/>
            <w:shd w:val="clear" w:color="auto" w:fill="FFFFFF"/>
          </w:rPr>
          <w:t>2074</w:t>
        </w:r>
      </w:hyperlink>
      <w:r w:rsidRPr="00676761">
        <w:rPr>
          <w:rFonts w:ascii="Calibri" w:hAnsi="Calibri" w:cs="Calibri"/>
          <w:color w:val="202122"/>
          <w:shd w:val="clear" w:color="auto" w:fill="FFFFFF"/>
        </w:rPr>
        <w:t xml:space="preserve">, </w:t>
      </w:r>
      <w:r w:rsidRPr="00676761">
        <w:rPr>
          <w:rFonts w:ascii="Calibri" w:hAnsi="Calibri" w:cs="Calibri"/>
          <w:color w:val="000000" w:themeColor="text1"/>
          <w:shd w:val="clear" w:color="auto" w:fill="FFFFFF"/>
        </w:rPr>
        <w:t>date à laquelle il devrait s'étendre sur quelque 4 480 kilomètres de long.</w:t>
      </w:r>
      <w:r>
        <w:rPr>
          <w:rFonts w:ascii="Calibri" w:hAnsi="Calibri" w:cs="Calibri"/>
          <w:color w:val="000000" w:themeColor="text1"/>
          <w:shd w:val="clear" w:color="auto" w:fill="FFFFFF"/>
        </w:rPr>
        <w:t xml:space="preserve"> Cette</w:t>
      </w:r>
      <w:r w:rsidRPr="00676761">
        <w:rPr>
          <w:rFonts w:ascii="Calibri" w:hAnsi="Calibri" w:cs="Calibri"/>
          <w:color w:val="000000" w:themeColor="text1"/>
          <w:shd w:val="clear" w:color="auto" w:fill="FFFFFF"/>
        </w:rPr>
        <w:t xml:space="preserve"> ceinture forestière </w:t>
      </w:r>
      <w:r>
        <w:rPr>
          <w:rFonts w:ascii="Calibri" w:hAnsi="Calibri" w:cs="Calibri"/>
          <w:color w:val="000000" w:themeColor="text1"/>
          <w:shd w:val="clear" w:color="auto" w:fill="FFFFFF"/>
        </w:rPr>
        <w:t>sera plantée</w:t>
      </w:r>
      <w:r w:rsidRPr="00676761">
        <w:rPr>
          <w:rFonts w:ascii="Calibri" w:hAnsi="Calibri" w:cs="Calibri"/>
          <w:color w:val="000000" w:themeColor="text1"/>
          <w:shd w:val="clear" w:color="auto" w:fill="FFFFFF"/>
        </w:rPr>
        <w:t xml:space="preserve"> dans les régions des Trois-Nord (c'est-à-dire le</w:t>
      </w:r>
      <w:r>
        <w:rPr>
          <w:rFonts w:ascii="Calibri" w:hAnsi="Calibri" w:cs="Calibri"/>
          <w:color w:val="000000" w:themeColor="text1"/>
          <w:shd w:val="clear" w:color="auto" w:fill="FFFFFF"/>
        </w:rPr>
        <w:t>s régions</w:t>
      </w:r>
      <w:r w:rsidRPr="00676761">
        <w:rPr>
          <w:rFonts w:ascii="Calibri" w:hAnsi="Calibri" w:cs="Calibri"/>
          <w:color w:val="000000" w:themeColor="text1"/>
          <w:shd w:val="clear" w:color="auto" w:fill="FFFFFF"/>
        </w:rPr>
        <w:t xml:space="preserve"> Nord-Ouest, Nord et Nord-Est</w:t>
      </w:r>
      <w:r>
        <w:rPr>
          <w:rFonts w:ascii="Calibri" w:hAnsi="Calibri" w:cs="Calibri"/>
          <w:color w:val="000000" w:themeColor="text1"/>
          <w:shd w:val="clear" w:color="auto" w:fill="FFFFFF"/>
        </w:rPr>
        <w:t xml:space="preserve"> de la Chine</w:t>
      </w:r>
      <w:r w:rsidRPr="00676761">
        <w:rPr>
          <w:rFonts w:ascii="Calibri" w:hAnsi="Calibri" w:cs="Calibri"/>
          <w:color w:val="000000" w:themeColor="text1"/>
          <w:shd w:val="clear" w:color="auto" w:fill="FFFFFF"/>
        </w:rPr>
        <w:t>).</w:t>
      </w:r>
    </w:p>
    <w:p w14:paraId="11A41493" w14:textId="77777777" w:rsidR="00B835CA" w:rsidRDefault="00B835CA" w:rsidP="00B835CA">
      <w:pPr>
        <w:spacing w:after="0" w:line="240" w:lineRule="auto"/>
        <w:jc w:val="both"/>
        <w:rPr>
          <w:color w:val="000000" w:themeColor="text1"/>
        </w:rPr>
      </w:pPr>
    </w:p>
    <w:p w14:paraId="5EB600F9" w14:textId="77777777" w:rsidR="00B835CA" w:rsidRPr="002233AE" w:rsidRDefault="00B835CA" w:rsidP="00B835CA">
      <w:pPr>
        <w:spacing w:after="0" w:line="240" w:lineRule="auto"/>
        <w:jc w:val="both"/>
        <w:rPr>
          <w:rFonts w:ascii="Calibri" w:hAnsi="Calibri" w:cs="Calibri"/>
          <w:color w:val="202122"/>
          <w:shd w:val="clear" w:color="auto" w:fill="FFFFFF"/>
        </w:rPr>
      </w:pPr>
      <w:r w:rsidRPr="002233AE">
        <w:rPr>
          <w:rFonts w:ascii="Calibri" w:hAnsi="Calibri" w:cs="Calibri"/>
          <w:color w:val="000000" w:themeColor="text1"/>
          <w:u w:val="single"/>
        </w:rPr>
        <w:t>Mise en œuvre du projet</w:t>
      </w:r>
      <w:r w:rsidRPr="002233AE">
        <w:rPr>
          <w:rFonts w:ascii="Calibri" w:hAnsi="Calibri" w:cs="Calibri"/>
          <w:color w:val="000000" w:themeColor="text1"/>
        </w:rPr>
        <w:t xml:space="preserve"> : </w:t>
      </w:r>
      <w:r w:rsidRPr="002233AE">
        <w:rPr>
          <w:rFonts w:ascii="Calibri" w:hAnsi="Calibri" w:cs="Calibri"/>
          <w:color w:val="000000" w:themeColor="text1"/>
          <w:shd w:val="clear" w:color="auto" w:fill="FFFFFF"/>
        </w:rPr>
        <w:t>La phase la plus récente — la </w:t>
      </w:r>
      <w:r w:rsidRPr="002233AE">
        <w:rPr>
          <w:rFonts w:ascii="Calibri" w:hAnsi="Calibri" w:cs="Calibri"/>
          <w:color w:val="000000" w:themeColor="text1"/>
        </w:rPr>
        <w:t>4</w:t>
      </w:r>
      <w:r w:rsidRPr="002233AE">
        <w:rPr>
          <w:rFonts w:ascii="Calibri" w:hAnsi="Calibri" w:cs="Calibri"/>
          <w:color w:val="000000" w:themeColor="text1"/>
          <w:vertAlign w:val="superscript"/>
        </w:rPr>
        <w:t>e</w:t>
      </w:r>
      <w:r w:rsidRPr="002233AE">
        <w:rPr>
          <w:rFonts w:ascii="Calibri" w:hAnsi="Calibri" w:cs="Calibri"/>
          <w:color w:val="000000" w:themeColor="text1"/>
          <w:shd w:val="clear" w:color="auto" w:fill="FFFFFF"/>
        </w:rPr>
        <w:t> phase qui a débuté en 2003 — comporte deux volets : d'une part l'ensemencement aérien pour couvrir de larges étendues de terres où le sol est moins aride et d'autre part la rétribution des agriculteurs pour la plantation d'arbres et arbustes dans les zones qui sont les plus arides</w:t>
      </w:r>
      <w:hyperlink r:id="rId3614" w:anchor="cite_note-multiple_5-7" w:history="1">
        <w:r w:rsidRPr="002233AE">
          <w:rPr>
            <w:rStyle w:val="Lienhypertexte"/>
            <w:rFonts w:ascii="Calibri" w:hAnsi="Calibri" w:cs="Calibri"/>
            <w:color w:val="000000" w:themeColor="text1"/>
            <w:shd w:val="clear" w:color="auto" w:fill="FFFFFF"/>
            <w:vertAlign w:val="superscript"/>
          </w:rPr>
          <w:t>7</w:t>
        </w:r>
      </w:hyperlink>
      <w:r w:rsidRPr="002233AE">
        <w:rPr>
          <w:rFonts w:ascii="Calibri" w:hAnsi="Calibri" w:cs="Calibri"/>
          <w:color w:val="000000" w:themeColor="text1"/>
          <w:shd w:val="clear" w:color="auto" w:fill="FFFFFF"/>
        </w:rPr>
        <w:t>. Un budget de 1,2 milliard de dollars a également été dévolu à la mise en place d'un système de surveillance (cartographie et bases de données de surveillance). La « </w:t>
      </w:r>
      <w:r w:rsidRPr="002233AE">
        <w:rPr>
          <w:rFonts w:ascii="Calibri" w:hAnsi="Calibri" w:cs="Calibri"/>
          <w:i/>
          <w:iCs/>
          <w:color w:val="000000" w:themeColor="text1"/>
          <w:shd w:val="clear" w:color="auto" w:fill="FFFFFF"/>
        </w:rPr>
        <w:t>muraille verte</w:t>
      </w:r>
      <w:r w:rsidRPr="002233AE">
        <w:rPr>
          <w:rFonts w:ascii="Calibri" w:hAnsi="Calibri" w:cs="Calibri"/>
          <w:color w:val="000000" w:themeColor="text1"/>
          <w:shd w:val="clear" w:color="auto" w:fill="FFFFFF"/>
        </w:rPr>
        <w:t> » sera constituée d'une ceinture de végétation tolérante au sable dont les plantations seront disposées en damier afin de stabiliser les</w:t>
      </w:r>
      <w:r w:rsidRPr="002233AE">
        <w:rPr>
          <w:rFonts w:ascii="Calibri" w:hAnsi="Calibri" w:cs="Calibri"/>
          <w:color w:val="202122"/>
          <w:shd w:val="clear" w:color="auto" w:fill="FFFFFF"/>
        </w:rPr>
        <w:t> </w:t>
      </w:r>
      <w:hyperlink r:id="rId3615" w:tooltip="Dune" w:history="1">
        <w:r w:rsidRPr="002233AE">
          <w:rPr>
            <w:rStyle w:val="Lienhypertexte"/>
            <w:rFonts w:ascii="Calibri" w:hAnsi="Calibri" w:cs="Calibri"/>
            <w:color w:val="0645AD"/>
            <w:shd w:val="clear" w:color="auto" w:fill="FFFFFF"/>
          </w:rPr>
          <w:t>dunes</w:t>
        </w:r>
      </w:hyperlink>
      <w:r w:rsidRPr="002233AE">
        <w:rPr>
          <w:rFonts w:ascii="Calibri" w:hAnsi="Calibri" w:cs="Calibri"/>
          <w:color w:val="202122"/>
          <w:shd w:val="clear" w:color="auto" w:fill="FFFFFF"/>
        </w:rPr>
        <w:t> </w:t>
      </w:r>
      <w:r w:rsidRPr="002233AE">
        <w:rPr>
          <w:rFonts w:ascii="Calibri" w:hAnsi="Calibri" w:cs="Calibri"/>
          <w:color w:val="000000" w:themeColor="text1"/>
          <w:shd w:val="clear" w:color="auto" w:fill="FFFFFF"/>
        </w:rPr>
        <w:t>de sable. Les arbres devraient également servir de coupe-vent contre les </w:t>
      </w:r>
      <w:hyperlink r:id="rId3616" w:tooltip="Tempête de sable" w:history="1">
        <w:r w:rsidRPr="002233AE">
          <w:rPr>
            <w:rStyle w:val="Lienhypertexte"/>
            <w:rFonts w:ascii="Calibri" w:hAnsi="Calibri" w:cs="Calibri"/>
            <w:color w:val="0645AD"/>
            <w:shd w:val="clear" w:color="auto" w:fill="FFFFFF"/>
          </w:rPr>
          <w:t>tempêtes de poussière</w:t>
        </w:r>
      </w:hyperlink>
      <w:r w:rsidRPr="002233AE">
        <w:rPr>
          <w:rFonts w:ascii="Calibri" w:hAnsi="Calibri" w:cs="Calibri"/>
          <w:color w:val="202122"/>
          <w:shd w:val="clear" w:color="auto" w:fill="FFFFFF"/>
        </w:rPr>
        <w:t>.</w:t>
      </w:r>
    </w:p>
    <w:p w14:paraId="2E785D79" w14:textId="41D897DA" w:rsidR="00B835CA" w:rsidRDefault="00B835CA" w:rsidP="00B835CA">
      <w:pPr>
        <w:spacing w:after="0" w:line="240" w:lineRule="auto"/>
        <w:jc w:val="both"/>
        <w:rPr>
          <w:rFonts w:ascii="Calibri" w:hAnsi="Calibri" w:cs="Calibri"/>
          <w:color w:val="000000" w:themeColor="text1"/>
          <w:shd w:val="clear" w:color="auto" w:fill="FFFFFF"/>
        </w:rPr>
      </w:pPr>
      <w:r w:rsidRPr="002233AE">
        <w:rPr>
          <w:rFonts w:ascii="Calibri" w:hAnsi="Calibri" w:cs="Calibri"/>
          <w:color w:val="000000" w:themeColor="text1"/>
          <w:shd w:val="clear" w:color="auto" w:fill="FFFFFF"/>
        </w:rPr>
        <w:t xml:space="preserve">60 000 soldats de </w:t>
      </w:r>
      <w:r w:rsidRPr="002233AE">
        <w:rPr>
          <w:rFonts w:ascii="Calibri" w:hAnsi="Calibri" w:cs="Calibri"/>
          <w:color w:val="202122"/>
          <w:shd w:val="clear" w:color="auto" w:fill="FFFFFF"/>
        </w:rPr>
        <w:t>l'</w:t>
      </w:r>
      <w:hyperlink r:id="rId3617" w:tooltip="Armée populaire de libération" w:history="1">
        <w:r w:rsidRPr="002233AE">
          <w:rPr>
            <w:rStyle w:val="Lienhypertexte"/>
            <w:rFonts w:ascii="Calibri" w:hAnsi="Calibri" w:cs="Calibri"/>
            <w:color w:val="0645AD"/>
            <w:shd w:val="clear" w:color="auto" w:fill="FFFFFF"/>
          </w:rPr>
          <w:t>Armée populaire de libération</w:t>
        </w:r>
      </w:hyperlink>
      <w:r w:rsidRPr="002233AE">
        <w:rPr>
          <w:rFonts w:ascii="Calibri" w:hAnsi="Calibri" w:cs="Calibri"/>
          <w:color w:val="202122"/>
          <w:shd w:val="clear" w:color="auto" w:fill="FFFFFF"/>
        </w:rPr>
        <w:t> </w:t>
      </w:r>
      <w:r w:rsidRPr="002233AE">
        <w:rPr>
          <w:rFonts w:ascii="Calibri" w:hAnsi="Calibri" w:cs="Calibri"/>
          <w:color w:val="000000" w:themeColor="text1"/>
          <w:shd w:val="clear" w:color="auto" w:fill="FFFFFF"/>
        </w:rPr>
        <w:t>ont ainsi été affectés au projet au début de l'année 2018 ? pour planter des arbres.</w:t>
      </w:r>
    </w:p>
    <w:p w14:paraId="2D464EF4" w14:textId="77777777" w:rsidR="00F762EF" w:rsidRDefault="00F762EF" w:rsidP="00B835CA">
      <w:pPr>
        <w:spacing w:after="0" w:line="240" w:lineRule="auto"/>
        <w:jc w:val="both"/>
        <w:rPr>
          <w:rFonts w:ascii="Calibri" w:hAnsi="Calibri" w:cs="Calibri"/>
          <w:color w:val="000000" w:themeColor="text1"/>
          <w:shd w:val="clear" w:color="auto" w:fill="FFFFFF"/>
        </w:rPr>
      </w:pPr>
    </w:p>
    <w:p w14:paraId="5AA6C3AC" w14:textId="77777777" w:rsidR="00B835CA" w:rsidRDefault="00B835CA" w:rsidP="00B835CA">
      <w:pPr>
        <w:spacing w:after="0" w:line="240" w:lineRule="auto"/>
        <w:jc w:val="both"/>
        <w:rPr>
          <w:rFonts w:ascii="Calibri" w:hAnsi="Calibri" w:cs="Calibri"/>
          <w:color w:val="000000" w:themeColor="text1"/>
        </w:rPr>
      </w:pPr>
      <w:r w:rsidRPr="002233AE">
        <w:rPr>
          <w:rFonts w:ascii="Calibri" w:hAnsi="Calibri" w:cs="Calibri"/>
          <w:color w:val="000000" w:themeColor="text1"/>
          <w:u w:val="single"/>
        </w:rPr>
        <w:t>Premiers résultats</w:t>
      </w:r>
      <w:r w:rsidRPr="002233AE">
        <w:rPr>
          <w:rFonts w:ascii="Calibri" w:hAnsi="Calibri" w:cs="Calibri"/>
          <w:color w:val="000000" w:themeColor="text1"/>
        </w:rPr>
        <w:t xml:space="preserve"> : sur les 53 000 hectares plantés, en 2009, un quart est mort et pour le reste, une bonne part est constituée de nombreux arbres nains, qui n'ont pas la capacité de protéger les sols</w:t>
      </w:r>
      <w:r>
        <w:rPr>
          <w:rFonts w:ascii="Calibri" w:hAnsi="Calibri" w:cs="Calibri"/>
          <w:color w:val="000000" w:themeColor="text1"/>
        </w:rPr>
        <w:t xml:space="preserve">. </w:t>
      </w:r>
      <w:r w:rsidRPr="00EA27C8">
        <w:rPr>
          <w:rFonts w:ascii="Calibri" w:hAnsi="Calibri" w:cs="Calibri"/>
          <w:color w:val="000000" w:themeColor="text1"/>
        </w:rPr>
        <w:t xml:space="preserve">En 2008, les tempêtes hivernales </w:t>
      </w:r>
      <w:r>
        <w:rPr>
          <w:rFonts w:ascii="Calibri" w:hAnsi="Calibri" w:cs="Calibri"/>
          <w:color w:val="000000" w:themeColor="text1"/>
        </w:rPr>
        <w:t>avaient</w:t>
      </w:r>
      <w:r w:rsidRPr="00EA27C8">
        <w:rPr>
          <w:rFonts w:ascii="Calibri" w:hAnsi="Calibri" w:cs="Calibri"/>
          <w:color w:val="000000" w:themeColor="text1"/>
        </w:rPr>
        <w:t xml:space="preserve"> détruit 10 % du nouveau stock forestier.</w:t>
      </w:r>
    </w:p>
    <w:p w14:paraId="4AAD79B9" w14:textId="77777777" w:rsidR="00B835CA" w:rsidRDefault="00B835CA" w:rsidP="00B835CA">
      <w:pPr>
        <w:spacing w:after="0" w:line="240" w:lineRule="auto"/>
        <w:jc w:val="both"/>
        <w:rPr>
          <w:rFonts w:ascii="Calibri" w:hAnsi="Calibri" w:cs="Calibri"/>
          <w:color w:val="000000" w:themeColor="text1"/>
        </w:rPr>
      </w:pPr>
      <w:r w:rsidRPr="00EA27C8">
        <w:rPr>
          <w:rFonts w:ascii="Calibri" w:hAnsi="Calibri" w:cs="Calibri"/>
          <w:i/>
          <w:iCs/>
          <w:color w:val="000000" w:themeColor="text1"/>
        </w:rPr>
        <w:t>La cause</w:t>
      </w:r>
      <w:r>
        <w:rPr>
          <w:rFonts w:ascii="Calibri" w:hAnsi="Calibri" w:cs="Calibri"/>
          <w:color w:val="000000" w:themeColor="text1"/>
        </w:rPr>
        <w:t> : p</w:t>
      </w:r>
      <w:r w:rsidRPr="002233AE">
        <w:rPr>
          <w:rFonts w:ascii="Calibri" w:hAnsi="Calibri" w:cs="Calibri"/>
          <w:color w:val="000000" w:themeColor="text1"/>
        </w:rPr>
        <w:t>robablement</w:t>
      </w:r>
      <w:r>
        <w:rPr>
          <w:rFonts w:ascii="Calibri" w:hAnsi="Calibri" w:cs="Calibri"/>
          <w:color w:val="000000" w:themeColor="text1"/>
        </w:rPr>
        <w:t>,</w:t>
      </w:r>
      <w:r w:rsidRPr="002233AE">
        <w:rPr>
          <w:rFonts w:ascii="Calibri" w:hAnsi="Calibri" w:cs="Calibri"/>
          <w:color w:val="000000" w:themeColor="text1"/>
        </w:rPr>
        <w:t xml:space="preserve"> la focalisation des autorités sur la quantité des espèces et essences forestières replantées</w:t>
      </w:r>
      <w:r>
        <w:rPr>
          <w:rFonts w:ascii="Calibri" w:hAnsi="Calibri" w:cs="Calibri"/>
          <w:color w:val="000000" w:themeColor="text1"/>
        </w:rPr>
        <w:t>, sur les chiffres</w:t>
      </w:r>
      <w:r w:rsidRPr="002233AE">
        <w:rPr>
          <w:rFonts w:ascii="Calibri" w:hAnsi="Calibri" w:cs="Calibri"/>
          <w:color w:val="000000" w:themeColor="text1"/>
        </w:rPr>
        <w:t>, que sur</w:t>
      </w:r>
      <w:r>
        <w:rPr>
          <w:rFonts w:ascii="Calibri" w:hAnsi="Calibri" w:cs="Calibri"/>
          <w:color w:val="000000" w:themeColor="text1"/>
        </w:rPr>
        <w:t xml:space="preserve"> leur choix, sur</w:t>
      </w:r>
      <w:r w:rsidRPr="002233AE">
        <w:rPr>
          <w:rFonts w:ascii="Calibri" w:hAnsi="Calibri" w:cs="Calibri"/>
          <w:color w:val="000000" w:themeColor="text1"/>
        </w:rPr>
        <w:t xml:space="preserve"> leur qualité et</w:t>
      </w:r>
      <w:r>
        <w:rPr>
          <w:rFonts w:ascii="Calibri" w:hAnsi="Calibri" w:cs="Calibri"/>
          <w:color w:val="000000" w:themeColor="text1"/>
        </w:rPr>
        <w:t xml:space="preserve"> sur</w:t>
      </w:r>
      <w:r w:rsidRPr="002233AE">
        <w:rPr>
          <w:rFonts w:ascii="Calibri" w:hAnsi="Calibri" w:cs="Calibri"/>
          <w:color w:val="000000" w:themeColor="text1"/>
        </w:rPr>
        <w:t xml:space="preserve"> leur adaptabilité écologique à ces régions</w:t>
      </w:r>
      <w:r>
        <w:rPr>
          <w:rFonts w:ascii="Calibri" w:hAnsi="Calibri" w:cs="Calibri"/>
          <w:color w:val="000000" w:themeColor="text1"/>
        </w:rPr>
        <w:t xml:space="preserve"> arides</w:t>
      </w:r>
      <w:r w:rsidRPr="002233AE">
        <w:rPr>
          <w:rFonts w:ascii="Calibri" w:hAnsi="Calibri" w:cs="Calibri"/>
          <w:color w:val="000000" w:themeColor="text1"/>
        </w:rPr>
        <w:t>.</w:t>
      </w:r>
    </w:p>
    <w:p w14:paraId="7C2378AF" w14:textId="77777777" w:rsidR="00B835CA" w:rsidRDefault="00B835CA" w:rsidP="00B835CA">
      <w:pPr>
        <w:spacing w:after="0" w:line="240" w:lineRule="auto"/>
        <w:jc w:val="both"/>
        <w:rPr>
          <w:rFonts w:ascii="Calibri" w:hAnsi="Calibri" w:cs="Calibri"/>
          <w:color w:val="000000" w:themeColor="text1"/>
        </w:rPr>
      </w:pPr>
      <w:r w:rsidRPr="002233AE">
        <w:rPr>
          <w:rFonts w:ascii="Calibri" w:hAnsi="Calibri" w:cs="Calibri"/>
          <w:color w:val="000000" w:themeColor="text1"/>
        </w:rPr>
        <w:t xml:space="preserve">En 2014, la surface de forêt chinoise </w:t>
      </w:r>
      <w:r>
        <w:rPr>
          <w:rFonts w:ascii="Calibri" w:hAnsi="Calibri" w:cs="Calibri"/>
          <w:color w:val="000000" w:themeColor="text1"/>
        </w:rPr>
        <w:t>était</w:t>
      </w:r>
      <w:r w:rsidRPr="002233AE">
        <w:rPr>
          <w:rFonts w:ascii="Calibri" w:hAnsi="Calibri" w:cs="Calibri"/>
          <w:color w:val="000000" w:themeColor="text1"/>
        </w:rPr>
        <w:t xml:space="preserve"> de 2,08 M km2, soit environ 22 % du territoire.</w:t>
      </w:r>
    </w:p>
    <w:p w14:paraId="77D9C08A" w14:textId="77777777" w:rsidR="00B835CA" w:rsidRDefault="00B835CA" w:rsidP="00B835CA">
      <w:pPr>
        <w:spacing w:after="0" w:line="240" w:lineRule="auto"/>
        <w:jc w:val="both"/>
        <w:rPr>
          <w:rFonts w:ascii="Calibri" w:hAnsi="Calibri" w:cs="Calibri"/>
          <w:color w:val="000000" w:themeColor="text1"/>
        </w:rPr>
      </w:pPr>
    </w:p>
    <w:p w14:paraId="77BC6EC8" w14:textId="4EE1D807" w:rsidR="00B835CA" w:rsidRPr="00E502F2" w:rsidRDefault="00B835CA" w:rsidP="00E502F2">
      <w:pPr>
        <w:pStyle w:val="Titre3"/>
      </w:pPr>
      <w:bookmarkStart w:id="319" w:name="_Toc139181610"/>
      <w:r w:rsidRPr="00E502F2">
        <w:t>Problèmes environnementaux</w:t>
      </w:r>
      <w:bookmarkEnd w:id="319"/>
    </w:p>
    <w:p w14:paraId="12F2EA37" w14:textId="77777777" w:rsidR="00B835CA" w:rsidRPr="008D3584" w:rsidRDefault="00B835CA" w:rsidP="00B835CA">
      <w:pPr>
        <w:spacing w:after="0" w:line="240" w:lineRule="auto"/>
        <w:jc w:val="both"/>
        <w:rPr>
          <w:rFonts w:ascii="Calibri" w:hAnsi="Calibri" w:cs="Calibri"/>
          <w:color w:val="000000" w:themeColor="text1"/>
        </w:rPr>
      </w:pPr>
    </w:p>
    <w:p w14:paraId="0C1007B1" w14:textId="77777777" w:rsidR="00B835CA" w:rsidRDefault="00B835CA" w:rsidP="00B835CA">
      <w:pPr>
        <w:spacing w:after="0" w:line="240" w:lineRule="auto"/>
        <w:jc w:val="both"/>
        <w:rPr>
          <w:rFonts w:ascii="Calibri" w:hAnsi="Calibri" w:cs="Calibri"/>
          <w:color w:val="000000" w:themeColor="text1"/>
        </w:rPr>
      </w:pPr>
      <w:r w:rsidRPr="008D3584">
        <w:rPr>
          <w:rFonts w:ascii="Calibri" w:hAnsi="Calibri" w:cs="Calibri"/>
          <w:color w:val="000000" w:themeColor="text1"/>
          <w:u w:val="single"/>
        </w:rPr>
        <w:lastRenderedPageBreak/>
        <w:t>Baisse des nappes phréatiques</w:t>
      </w:r>
      <w:r w:rsidRPr="008D3584">
        <w:rPr>
          <w:rFonts w:ascii="Calibri" w:hAnsi="Calibri" w:cs="Calibri"/>
          <w:color w:val="000000" w:themeColor="text1"/>
        </w:rPr>
        <w:t xml:space="preserve"> :</w:t>
      </w:r>
      <w:r>
        <w:rPr>
          <w:rFonts w:ascii="Calibri" w:hAnsi="Calibri" w:cs="Calibri"/>
          <w:color w:val="000000" w:themeColor="text1"/>
        </w:rPr>
        <w:t xml:space="preserve"> </w:t>
      </w:r>
      <w:r w:rsidRPr="00230B84">
        <w:rPr>
          <w:rFonts w:ascii="Calibri" w:hAnsi="Calibri" w:cs="Calibri"/>
          <w:color w:val="000000" w:themeColor="text1"/>
          <w:shd w:val="clear" w:color="auto" w:fill="FFFFFF"/>
        </w:rPr>
        <w:t xml:space="preserve">si les arbres réussissent à s'implanter, ils pourraient absorber de grandes quantités </w:t>
      </w:r>
      <w:r w:rsidRPr="00230B84">
        <w:rPr>
          <w:rFonts w:ascii="Calibri" w:hAnsi="Calibri" w:cs="Calibri"/>
          <w:color w:val="202122"/>
          <w:shd w:val="clear" w:color="auto" w:fill="FFFFFF"/>
        </w:rPr>
        <w:t>d'</w:t>
      </w:r>
      <w:hyperlink r:id="rId3618" w:tooltip="Nappe phréatique" w:history="1">
        <w:r w:rsidRPr="00230B84">
          <w:rPr>
            <w:rStyle w:val="Lienhypertexte"/>
            <w:rFonts w:ascii="Calibri" w:hAnsi="Calibri" w:cs="Calibri"/>
            <w:color w:val="0645AD"/>
            <w:shd w:val="clear" w:color="auto" w:fill="FFFFFF"/>
          </w:rPr>
          <w:t>eau souterraine</w:t>
        </w:r>
      </w:hyperlink>
      <w:r w:rsidRPr="00230B84">
        <w:rPr>
          <w:rFonts w:ascii="Calibri" w:hAnsi="Calibri" w:cs="Calibri"/>
          <w:color w:val="202122"/>
          <w:shd w:val="clear" w:color="auto" w:fill="FFFFFF"/>
        </w:rPr>
        <w:t xml:space="preserve">, </w:t>
      </w:r>
      <w:r w:rsidRPr="00230B84">
        <w:rPr>
          <w:rFonts w:ascii="Calibri" w:hAnsi="Calibri" w:cs="Calibri"/>
          <w:color w:val="000000" w:themeColor="text1"/>
          <w:shd w:val="clear" w:color="auto" w:fill="FFFFFF"/>
        </w:rPr>
        <w:t xml:space="preserve">ce qui est extrêmement problématique pour les régions arides comme le Nord de la Chine. </w:t>
      </w:r>
      <w:r w:rsidRPr="00230B84">
        <w:rPr>
          <w:rFonts w:ascii="Calibri" w:hAnsi="Calibri" w:cs="Calibri"/>
          <w:i/>
          <w:iCs/>
          <w:color w:val="000000" w:themeColor="text1"/>
          <w:shd w:val="clear" w:color="auto" w:fill="FFFFFF"/>
        </w:rPr>
        <w:t>Ainsi à Minqin, une zone dans le nord-ouest de la Chine, des études ont démontré que le niveau des eaux souterraines a baissé de 12 à 18 mètres</w:t>
      </w:r>
      <w:r w:rsidRPr="00230B84">
        <w:rPr>
          <w:rFonts w:ascii="Calibri" w:hAnsi="Calibri" w:cs="Calibri"/>
          <w:color w:val="000000" w:themeColor="text1"/>
        </w:rPr>
        <w:t>.</w:t>
      </w:r>
    </w:p>
    <w:p w14:paraId="5E03BE42" w14:textId="77777777" w:rsidR="00B835CA" w:rsidRDefault="00B835CA" w:rsidP="00B835CA">
      <w:pPr>
        <w:spacing w:after="0" w:line="240" w:lineRule="auto"/>
        <w:jc w:val="both"/>
        <w:rPr>
          <w:rFonts w:ascii="Calibri" w:hAnsi="Calibri" w:cs="Calibri"/>
          <w:color w:val="000000" w:themeColor="text1"/>
        </w:rPr>
      </w:pPr>
    </w:p>
    <w:p w14:paraId="50A6C337" w14:textId="77777777" w:rsidR="00B835CA" w:rsidRPr="00EA27C8" w:rsidRDefault="00B835CA" w:rsidP="00B835CA">
      <w:pPr>
        <w:spacing w:after="0" w:line="240" w:lineRule="auto"/>
        <w:jc w:val="both"/>
        <w:rPr>
          <w:rFonts w:ascii="Calibri" w:hAnsi="Calibri" w:cs="Calibri"/>
          <w:color w:val="000000" w:themeColor="text1"/>
          <w:shd w:val="clear" w:color="auto" w:fill="FFFFFF"/>
        </w:rPr>
      </w:pPr>
      <w:r w:rsidRPr="008164BA">
        <w:rPr>
          <w:rFonts w:ascii="Calibri" w:hAnsi="Calibri" w:cs="Calibri"/>
          <w:color w:val="000000" w:themeColor="text1"/>
          <w:u w:val="single"/>
        </w:rPr>
        <w:t>Problèmes liés à la démographie humaine</w:t>
      </w:r>
      <w:r>
        <w:rPr>
          <w:rFonts w:ascii="Calibri" w:hAnsi="Calibri" w:cs="Calibri"/>
          <w:color w:val="000000" w:themeColor="text1"/>
          <w:u w:val="single"/>
        </w:rPr>
        <w:t xml:space="preserve"> (et son manque de sensibilisation au projet)</w:t>
      </w:r>
      <w:r>
        <w:rPr>
          <w:rFonts w:ascii="Calibri" w:hAnsi="Calibri" w:cs="Calibri"/>
          <w:color w:val="000000" w:themeColor="text1"/>
        </w:rPr>
        <w:t xml:space="preserve"> : </w:t>
      </w:r>
      <w:r w:rsidRPr="008164BA">
        <w:rPr>
          <w:rFonts w:ascii="Calibri" w:hAnsi="Calibri" w:cs="Calibri"/>
          <w:color w:val="202122"/>
          <w:shd w:val="clear" w:color="auto" w:fill="FFFFFF"/>
        </w:rPr>
        <w:t>L'</w:t>
      </w:r>
      <w:hyperlink r:id="rId3619" w:tooltip="Érosion" w:history="1">
        <w:r w:rsidRPr="008164BA">
          <w:rPr>
            <w:rStyle w:val="Lienhypertexte"/>
            <w:rFonts w:ascii="Calibri" w:hAnsi="Calibri" w:cs="Calibri"/>
            <w:color w:val="0645AD"/>
            <w:shd w:val="clear" w:color="auto" w:fill="FFFFFF"/>
          </w:rPr>
          <w:t>érosion des terres</w:t>
        </w:r>
      </w:hyperlink>
      <w:r w:rsidRPr="008164BA">
        <w:rPr>
          <w:rFonts w:ascii="Calibri" w:hAnsi="Calibri" w:cs="Calibri"/>
          <w:color w:val="202122"/>
          <w:shd w:val="clear" w:color="auto" w:fill="FFFFFF"/>
        </w:rPr>
        <w:t> </w:t>
      </w:r>
      <w:r w:rsidRPr="008164BA">
        <w:rPr>
          <w:rFonts w:ascii="Calibri" w:hAnsi="Calibri" w:cs="Calibri"/>
          <w:color w:val="000000" w:themeColor="text1"/>
          <w:shd w:val="clear" w:color="auto" w:fill="FFFFFF"/>
        </w:rPr>
        <w:t>et la surexploitation agricole ont interrompu les semis dans de nombreuses zones du projet. L'essor de la </w:t>
      </w:r>
      <w:hyperlink r:id="rId3620" w:tooltip="Démographie" w:history="1">
        <w:r w:rsidRPr="008164BA">
          <w:rPr>
            <w:rStyle w:val="Lienhypertexte"/>
            <w:rFonts w:ascii="Calibri" w:hAnsi="Calibri" w:cs="Calibri"/>
            <w:color w:val="0645AD"/>
            <w:shd w:val="clear" w:color="auto" w:fill="FFFFFF"/>
          </w:rPr>
          <w:t>démographie</w:t>
        </w:r>
      </w:hyperlink>
      <w:r w:rsidRPr="008164BA">
        <w:rPr>
          <w:rFonts w:ascii="Calibri" w:hAnsi="Calibri" w:cs="Calibri"/>
          <w:color w:val="202122"/>
          <w:shd w:val="clear" w:color="auto" w:fill="FFFFFF"/>
        </w:rPr>
        <w:t> </w:t>
      </w:r>
      <w:r w:rsidRPr="008164BA">
        <w:rPr>
          <w:rFonts w:ascii="Calibri" w:hAnsi="Calibri" w:cs="Calibri"/>
          <w:color w:val="000000" w:themeColor="text1"/>
          <w:shd w:val="clear" w:color="auto" w:fill="FFFFFF"/>
        </w:rPr>
        <w:t>chinoise a également appauvri le sol, le rendant inutilisable</w:t>
      </w:r>
      <w:r w:rsidRPr="00EA27C8">
        <w:rPr>
          <w:rFonts w:ascii="Calibri" w:hAnsi="Calibri" w:cs="Calibri"/>
          <w:color w:val="000000" w:themeColor="text1"/>
          <w:shd w:val="clear" w:color="auto" w:fill="FFFFFF"/>
        </w:rPr>
        <w:t>. Les niveaux croissants de </w:t>
      </w:r>
      <w:hyperlink r:id="rId3621" w:tooltip="la pollution" w:history="1">
        <w:r w:rsidRPr="00EA27C8">
          <w:rPr>
            <w:rStyle w:val="Lienhypertexte"/>
            <w:rFonts w:ascii="Calibri" w:hAnsi="Calibri" w:cs="Calibri"/>
            <w:color w:val="0645AD"/>
            <w:shd w:val="clear" w:color="auto" w:fill="FFFFFF"/>
          </w:rPr>
          <w:t>pollution</w:t>
        </w:r>
      </w:hyperlink>
      <w:r>
        <w:rPr>
          <w:rFonts w:ascii="Calibri" w:hAnsi="Calibri" w:cs="Calibri"/>
        </w:rPr>
        <w:t xml:space="preserve"> (liée aux centrales à charbon …)</w:t>
      </w:r>
      <w:r>
        <w:rPr>
          <w:rFonts w:ascii="Calibri" w:hAnsi="Calibri" w:cs="Calibri"/>
          <w:color w:val="202122"/>
          <w:shd w:val="clear" w:color="auto" w:fill="FFFFFF"/>
        </w:rPr>
        <w:t xml:space="preserve"> </w:t>
      </w:r>
      <w:r w:rsidRPr="00EA27C8">
        <w:rPr>
          <w:rFonts w:ascii="Calibri" w:hAnsi="Calibri" w:cs="Calibri"/>
          <w:color w:val="000000" w:themeColor="text1"/>
          <w:shd w:val="clear" w:color="auto" w:fill="FFFFFF"/>
        </w:rPr>
        <w:t>ont également fragilisé le</w:t>
      </w:r>
      <w:r>
        <w:rPr>
          <w:rFonts w:ascii="Calibri" w:hAnsi="Calibri" w:cs="Calibri"/>
          <w:color w:val="000000" w:themeColor="text1"/>
          <w:shd w:val="clear" w:color="auto" w:fill="FFFFFF"/>
        </w:rPr>
        <w:t>s</w:t>
      </w:r>
      <w:r w:rsidRPr="00EA27C8">
        <w:rPr>
          <w:rFonts w:ascii="Calibri" w:hAnsi="Calibri" w:cs="Calibri"/>
          <w:color w:val="000000" w:themeColor="text1"/>
          <w:shd w:val="clear" w:color="auto" w:fill="FFFFFF"/>
        </w:rPr>
        <w:t> </w:t>
      </w:r>
      <w:hyperlink r:id="rId3622" w:tooltip="Sol" w:history="1">
        <w:r w:rsidRPr="00EA27C8">
          <w:rPr>
            <w:rStyle w:val="Lienhypertexte"/>
            <w:rFonts w:ascii="Calibri" w:hAnsi="Calibri" w:cs="Calibri"/>
            <w:color w:val="0645AD"/>
            <w:shd w:val="clear" w:color="auto" w:fill="FFFFFF"/>
          </w:rPr>
          <w:t>sol</w:t>
        </w:r>
      </w:hyperlink>
      <w:r w:rsidRPr="00EA27C8">
        <w:rPr>
          <w:rFonts w:ascii="Calibri" w:hAnsi="Calibri" w:cs="Calibri"/>
          <w:color w:val="202122"/>
          <w:shd w:val="clear" w:color="auto" w:fill="FFFFFF"/>
        </w:rPr>
        <w:t xml:space="preserve">, </w:t>
      </w:r>
      <w:r w:rsidRPr="00EA27C8">
        <w:rPr>
          <w:rFonts w:ascii="Calibri" w:hAnsi="Calibri" w:cs="Calibri"/>
          <w:color w:val="000000" w:themeColor="text1"/>
          <w:shd w:val="clear" w:color="auto" w:fill="FFFFFF"/>
        </w:rPr>
        <w:t>le</w:t>
      </w:r>
      <w:r>
        <w:rPr>
          <w:rFonts w:ascii="Calibri" w:hAnsi="Calibri" w:cs="Calibri"/>
          <w:color w:val="000000" w:themeColor="text1"/>
          <w:shd w:val="clear" w:color="auto" w:fill="FFFFFF"/>
        </w:rPr>
        <w:t>s</w:t>
      </w:r>
      <w:r w:rsidRPr="00EA27C8">
        <w:rPr>
          <w:rFonts w:ascii="Calibri" w:hAnsi="Calibri" w:cs="Calibri"/>
          <w:color w:val="000000" w:themeColor="text1"/>
          <w:shd w:val="clear" w:color="auto" w:fill="FFFFFF"/>
        </w:rPr>
        <w:t xml:space="preserve"> rendant inutilisable</w:t>
      </w:r>
      <w:r>
        <w:rPr>
          <w:rFonts w:ascii="Calibri" w:hAnsi="Calibri" w:cs="Calibri"/>
          <w:color w:val="000000" w:themeColor="text1"/>
          <w:shd w:val="clear" w:color="auto" w:fill="FFFFFF"/>
        </w:rPr>
        <w:t>s</w:t>
      </w:r>
      <w:r w:rsidRPr="00EA27C8">
        <w:rPr>
          <w:rFonts w:ascii="Calibri" w:hAnsi="Calibri" w:cs="Calibri"/>
          <w:color w:val="000000" w:themeColor="text1"/>
          <w:shd w:val="clear" w:color="auto" w:fill="FFFFFF"/>
        </w:rPr>
        <w:t xml:space="preserve"> dans de nombreuses régions.</w:t>
      </w:r>
    </w:p>
    <w:p w14:paraId="289BFBA2" w14:textId="77777777" w:rsidR="00B835CA" w:rsidRPr="008164BA" w:rsidRDefault="00B835CA" w:rsidP="00B835CA">
      <w:pPr>
        <w:spacing w:after="0" w:line="240" w:lineRule="auto"/>
        <w:jc w:val="both"/>
        <w:rPr>
          <w:rFonts w:ascii="Calibri" w:hAnsi="Calibri" w:cs="Calibri"/>
          <w:color w:val="000000" w:themeColor="text1"/>
        </w:rPr>
      </w:pPr>
    </w:p>
    <w:p w14:paraId="031149DA" w14:textId="77777777" w:rsidR="00B835CA" w:rsidRDefault="00B835CA" w:rsidP="00B835CA">
      <w:pPr>
        <w:spacing w:after="0" w:line="240" w:lineRule="auto"/>
        <w:jc w:val="both"/>
        <w:rPr>
          <w:rFonts w:ascii="Calibri" w:hAnsi="Calibri" w:cs="Calibri"/>
          <w:color w:val="000000" w:themeColor="text1"/>
        </w:rPr>
      </w:pPr>
      <w:r w:rsidRPr="008164BA">
        <w:rPr>
          <w:rFonts w:ascii="Calibri" w:hAnsi="Calibri" w:cs="Calibri"/>
          <w:color w:val="000000" w:themeColor="text1"/>
          <w:u w:val="single"/>
        </w:rPr>
        <w:t>Perte de biodiversité</w:t>
      </w:r>
      <w:r>
        <w:rPr>
          <w:rFonts w:ascii="Calibri" w:hAnsi="Calibri" w:cs="Calibri"/>
          <w:color w:val="000000" w:themeColor="text1"/>
        </w:rPr>
        <w:t xml:space="preserve"> : Les autorités ont tendance à privilégier les monocultures (les plantations monospécifiques), ce qui a des effets désastreux pour la biodiversité locale. </w:t>
      </w:r>
    </w:p>
    <w:p w14:paraId="494AD50F" w14:textId="77777777" w:rsidR="00B835CA" w:rsidRDefault="00B835CA" w:rsidP="00B835CA">
      <w:pPr>
        <w:spacing w:after="0" w:line="240" w:lineRule="auto"/>
        <w:jc w:val="both"/>
        <w:rPr>
          <w:rFonts w:ascii="Calibri" w:hAnsi="Calibri" w:cs="Calibri"/>
          <w:color w:val="000000" w:themeColor="text1"/>
        </w:rPr>
      </w:pPr>
    </w:p>
    <w:p w14:paraId="56DC8860" w14:textId="77777777" w:rsidR="00B835CA" w:rsidRDefault="00B835CA" w:rsidP="00B835CA">
      <w:pPr>
        <w:spacing w:after="0" w:line="240" w:lineRule="auto"/>
        <w:jc w:val="both"/>
        <w:rPr>
          <w:rFonts w:ascii="Calibri" w:hAnsi="Calibri" w:cs="Calibri"/>
          <w:color w:val="000000" w:themeColor="text1"/>
          <w:shd w:val="clear" w:color="auto" w:fill="FFFFFF"/>
        </w:rPr>
      </w:pPr>
      <w:r w:rsidRPr="008164BA">
        <w:rPr>
          <w:rFonts w:ascii="Calibri" w:hAnsi="Calibri" w:cs="Calibri"/>
          <w:color w:val="000000" w:themeColor="text1"/>
          <w:u w:val="single"/>
          <w:shd w:val="clear" w:color="auto" w:fill="FFFFFF"/>
        </w:rPr>
        <w:t>Mauvais choix des espèces</w:t>
      </w:r>
      <w:r>
        <w:rPr>
          <w:rFonts w:ascii="Calibri" w:hAnsi="Calibri" w:cs="Calibri"/>
          <w:color w:val="000000" w:themeColor="text1"/>
          <w:u w:val="single"/>
          <w:shd w:val="clear" w:color="auto" w:fill="FFFFFF"/>
        </w:rPr>
        <w:t xml:space="preserve"> et monoculture</w:t>
      </w:r>
      <w:r>
        <w:rPr>
          <w:rFonts w:ascii="Calibri" w:hAnsi="Calibri" w:cs="Calibri"/>
          <w:color w:val="000000" w:themeColor="text1"/>
          <w:shd w:val="clear" w:color="auto" w:fill="FFFFFF"/>
        </w:rPr>
        <w:t xml:space="preserve"> : </w:t>
      </w:r>
      <w:r w:rsidRPr="008164BA">
        <w:rPr>
          <w:rFonts w:ascii="Calibri" w:hAnsi="Calibri" w:cs="Calibri"/>
          <w:color w:val="000000" w:themeColor="text1"/>
          <w:shd w:val="clear" w:color="auto" w:fill="FFFFFF"/>
        </w:rPr>
        <w:t>Le manque de diversité expose aussi plus les arbres aux maladies au point qu'en </w:t>
      </w:r>
      <w:hyperlink r:id="rId3623" w:tooltip="2000" w:history="1">
        <w:r w:rsidRPr="008164BA">
          <w:rPr>
            <w:rStyle w:val="Lienhypertexte"/>
            <w:rFonts w:ascii="Calibri" w:hAnsi="Calibri" w:cs="Calibri"/>
            <w:color w:val="0645AD"/>
            <w:shd w:val="clear" w:color="auto" w:fill="FFFFFF"/>
          </w:rPr>
          <w:t>2000</w:t>
        </w:r>
      </w:hyperlink>
      <w:r w:rsidRPr="008164BA">
        <w:rPr>
          <w:rFonts w:ascii="Calibri" w:hAnsi="Calibri" w:cs="Calibri"/>
          <w:color w:val="202122"/>
          <w:shd w:val="clear" w:color="auto" w:fill="FFFFFF"/>
        </w:rPr>
        <w:t xml:space="preserve">, </w:t>
      </w:r>
      <w:r w:rsidRPr="008164BA">
        <w:rPr>
          <w:rFonts w:ascii="Calibri" w:hAnsi="Calibri" w:cs="Calibri"/>
          <w:color w:val="000000" w:themeColor="text1"/>
          <w:shd w:val="clear" w:color="auto" w:fill="FFFFFF"/>
        </w:rPr>
        <w:t>un milliard de </w:t>
      </w:r>
      <w:hyperlink r:id="rId3624" w:tooltip="Peuplier" w:history="1">
        <w:r w:rsidRPr="008164BA">
          <w:rPr>
            <w:rStyle w:val="Lienhypertexte"/>
            <w:rFonts w:ascii="Calibri" w:hAnsi="Calibri" w:cs="Calibri"/>
            <w:color w:val="0645AD"/>
            <w:shd w:val="clear" w:color="auto" w:fill="FFFFFF"/>
          </w:rPr>
          <w:t>peupliers</w:t>
        </w:r>
      </w:hyperlink>
      <w:r w:rsidRPr="008164BA">
        <w:rPr>
          <w:rFonts w:ascii="Calibri" w:hAnsi="Calibri" w:cs="Calibri"/>
          <w:color w:val="202122"/>
          <w:shd w:val="clear" w:color="auto" w:fill="FFFFFF"/>
        </w:rPr>
        <w:t> </w:t>
      </w:r>
      <w:r w:rsidRPr="00C72FB2">
        <w:rPr>
          <w:rFonts w:ascii="Calibri" w:hAnsi="Calibri" w:cs="Calibri"/>
          <w:color w:val="000000" w:themeColor="text1"/>
          <w:shd w:val="clear" w:color="auto" w:fill="FFFFFF"/>
        </w:rPr>
        <w:t>du </w:t>
      </w:r>
      <w:hyperlink r:id="rId3625" w:history="1">
        <w:r w:rsidRPr="00C72FB2">
          <w:rPr>
            <w:rStyle w:val="Lienhypertexte"/>
            <w:rFonts w:ascii="Calibri" w:hAnsi="Calibri" w:cs="Calibri"/>
            <w:color w:val="0645AD"/>
            <w:shd w:val="clear" w:color="auto" w:fill="FFFFFF"/>
          </w:rPr>
          <w:t>Ningxia</w:t>
        </w:r>
      </w:hyperlink>
      <w:r>
        <w:t xml:space="preserve"> </w:t>
      </w:r>
      <w:r w:rsidRPr="008164BA">
        <w:rPr>
          <w:rFonts w:ascii="Calibri" w:hAnsi="Calibri" w:cs="Calibri"/>
          <w:color w:val="000000" w:themeColor="text1"/>
          <w:shd w:val="clear" w:color="auto" w:fill="FFFFFF"/>
        </w:rPr>
        <w:t xml:space="preserve">furent détruits par celles-ci, réduisant à néant vingt ans d'efforts. Les arbres plantés sont souvent des essences </w:t>
      </w:r>
      <w:r>
        <w:rPr>
          <w:rFonts w:ascii="Calibri" w:hAnsi="Calibri" w:cs="Calibri"/>
          <w:color w:val="000000" w:themeColor="text1"/>
          <w:shd w:val="clear" w:color="auto" w:fill="FFFFFF"/>
        </w:rPr>
        <w:t>non-</w:t>
      </w:r>
      <w:r w:rsidRPr="008164BA">
        <w:rPr>
          <w:rFonts w:ascii="Calibri" w:hAnsi="Calibri" w:cs="Calibri"/>
          <w:color w:val="000000" w:themeColor="text1"/>
          <w:shd w:val="clear" w:color="auto" w:fill="FFFFFF"/>
        </w:rPr>
        <w:t>adaptées aux climats locaux</w:t>
      </w:r>
      <w:r>
        <w:rPr>
          <w:rFonts w:ascii="Calibri" w:hAnsi="Calibri" w:cs="Calibri"/>
          <w:color w:val="000000" w:themeColor="text1"/>
          <w:shd w:val="clear" w:color="auto" w:fill="FFFFFF"/>
        </w:rPr>
        <w:t>,</w:t>
      </w:r>
      <w:r w:rsidRPr="008164BA">
        <w:rPr>
          <w:rFonts w:ascii="Calibri" w:hAnsi="Calibri" w:cs="Calibri"/>
          <w:color w:val="000000" w:themeColor="text1"/>
          <w:shd w:val="clear" w:color="auto" w:fill="FFFFFF"/>
        </w:rPr>
        <w:t xml:space="preserve"> rendant la forêt plus fragile et appauvrissant les sols.</w:t>
      </w:r>
    </w:p>
    <w:p w14:paraId="6568B93E" w14:textId="6405367A" w:rsidR="00B835CA" w:rsidRPr="008164BA" w:rsidRDefault="00B835CA" w:rsidP="00B835CA">
      <w:pPr>
        <w:spacing w:after="0" w:line="240" w:lineRule="auto"/>
        <w:jc w:val="both"/>
        <w:rPr>
          <w:rFonts w:ascii="Calibri" w:hAnsi="Calibri" w:cs="Calibri"/>
          <w:color w:val="000000" w:themeColor="text1"/>
        </w:rPr>
      </w:pPr>
      <w:r w:rsidRPr="008164BA">
        <w:rPr>
          <w:rFonts w:ascii="Calibri" w:hAnsi="Calibri" w:cs="Calibri"/>
          <w:color w:val="000000" w:themeColor="text1"/>
        </w:rPr>
        <w:t xml:space="preserve">Selon Jiang Gaoming, un écologiste de l'Académie chinoise des Sciences et défenseur des </w:t>
      </w:r>
      <w:r w:rsidR="00E502F2" w:rsidRPr="003777BC">
        <w:t xml:space="preserve">barrières </w:t>
      </w:r>
      <w:r>
        <w:rPr>
          <w:rFonts w:ascii="Calibri" w:hAnsi="Calibri" w:cs="Calibri"/>
          <w:color w:val="000000" w:themeColor="text1"/>
        </w:rPr>
        <w:t>(en paille ou plastique)</w:t>
      </w:r>
      <w:r w:rsidRPr="008164BA">
        <w:rPr>
          <w:rFonts w:ascii="Calibri" w:hAnsi="Calibri" w:cs="Calibri"/>
          <w:color w:val="000000" w:themeColor="text1"/>
        </w:rPr>
        <w:t>, la terre fragile, de ces régions</w:t>
      </w:r>
      <w:r w:rsidR="00E502F2">
        <w:rPr>
          <w:rFonts w:ascii="Calibri" w:hAnsi="Calibri" w:cs="Calibri"/>
          <w:color w:val="000000" w:themeColor="text1"/>
        </w:rPr>
        <w:t>,</w:t>
      </w:r>
      <w:r w:rsidRPr="008164BA">
        <w:rPr>
          <w:rFonts w:ascii="Calibri" w:hAnsi="Calibri" w:cs="Calibri"/>
          <w:color w:val="000000" w:themeColor="text1"/>
        </w:rPr>
        <w:t xml:space="preserve"> ne peut supporter de telles plantations massives à la croissance forcée.</w:t>
      </w:r>
    </w:p>
    <w:p w14:paraId="7D976EB7" w14:textId="77777777" w:rsidR="00B835CA" w:rsidRDefault="00B835CA" w:rsidP="00B835CA">
      <w:pPr>
        <w:spacing w:after="0" w:line="240" w:lineRule="auto"/>
        <w:jc w:val="both"/>
        <w:rPr>
          <w:color w:val="000000" w:themeColor="text1"/>
        </w:rPr>
      </w:pPr>
    </w:p>
    <w:p w14:paraId="357F519A" w14:textId="0D111264" w:rsidR="00B835CA" w:rsidRDefault="00F762EF" w:rsidP="00B835CA">
      <w:pPr>
        <w:spacing w:after="0" w:line="240" w:lineRule="auto"/>
        <w:jc w:val="both"/>
        <w:rPr>
          <w:color w:val="000000" w:themeColor="text1"/>
        </w:rPr>
      </w:pPr>
      <w:r>
        <w:rPr>
          <w:color w:val="000000" w:themeColor="text1"/>
        </w:rPr>
        <w:t>Ress</w:t>
      </w:r>
      <w:r w:rsidR="00B835CA">
        <w:rPr>
          <w:color w:val="000000" w:themeColor="text1"/>
        </w:rPr>
        <w:t>ources</w:t>
      </w:r>
      <w:r>
        <w:rPr>
          <w:color w:val="000000" w:themeColor="text1"/>
        </w:rPr>
        <w:t xml:space="preserve"> documentaires</w:t>
      </w:r>
      <w:r w:rsidR="00B835CA">
        <w:rPr>
          <w:color w:val="000000" w:themeColor="text1"/>
        </w:rPr>
        <w:t xml:space="preserve"> : a) </w:t>
      </w:r>
      <w:hyperlink r:id="rId3626" w:history="1">
        <w:r w:rsidR="00B835CA" w:rsidRPr="00EE60B2">
          <w:rPr>
            <w:rStyle w:val="Lienhypertexte"/>
          </w:rPr>
          <w:t>https://fr.wikipedia.org/wiki/Grande_muraille_verte_(Chine)</w:t>
        </w:r>
      </w:hyperlink>
      <w:r w:rsidR="00B835CA">
        <w:rPr>
          <w:color w:val="000000" w:themeColor="text1"/>
        </w:rPr>
        <w:t>,</w:t>
      </w:r>
    </w:p>
    <w:p w14:paraId="706A42CE" w14:textId="77777777" w:rsidR="00B835CA" w:rsidRPr="00355985" w:rsidRDefault="00B835CA" w:rsidP="00B835CA">
      <w:pPr>
        <w:spacing w:after="0" w:line="240" w:lineRule="auto"/>
        <w:jc w:val="both"/>
        <w:rPr>
          <w:color w:val="000000" w:themeColor="text1"/>
          <w:lang w:val="en-GB"/>
        </w:rPr>
      </w:pPr>
      <w:r w:rsidRPr="00355985">
        <w:rPr>
          <w:color w:val="000000" w:themeColor="text1"/>
          <w:lang w:val="en-GB"/>
        </w:rPr>
        <w:t xml:space="preserve">b) </w:t>
      </w:r>
      <w:hyperlink r:id="rId3627" w:history="1">
        <w:r w:rsidRPr="00355985">
          <w:rPr>
            <w:rStyle w:val="Lienhypertexte"/>
            <w:lang w:val="en-GB"/>
          </w:rPr>
          <w:t>https://en.wikipedia.org/wiki/Great_Green_Wall_(China)</w:t>
        </w:r>
      </w:hyperlink>
    </w:p>
    <w:p w14:paraId="3791CC14" w14:textId="77777777" w:rsidR="00B835CA" w:rsidRPr="00355985" w:rsidRDefault="00B835CA" w:rsidP="00B835CA">
      <w:pPr>
        <w:spacing w:after="0" w:line="240" w:lineRule="auto"/>
        <w:jc w:val="both"/>
        <w:rPr>
          <w:color w:val="000000" w:themeColor="text1"/>
          <w:lang w:val="en-GB"/>
        </w:rPr>
      </w:pPr>
      <w:r w:rsidRPr="00355985">
        <w:rPr>
          <w:color w:val="000000" w:themeColor="text1"/>
          <w:lang w:val="en-GB"/>
        </w:rPr>
        <w:t xml:space="preserve">c) </w:t>
      </w:r>
      <w:hyperlink r:id="rId3628" w:history="1">
        <w:r w:rsidRPr="00355985">
          <w:rPr>
            <w:rStyle w:val="Lienhypertexte"/>
            <w:lang w:val="en-GB"/>
          </w:rPr>
          <w:t>https://zh.wikipedia.org/wiki/%E4%B8%89%E5%8C%97%E9%98%B2%E6%8A%A4%E6%9E%97</w:t>
        </w:r>
      </w:hyperlink>
      <w:r w:rsidRPr="00355985">
        <w:rPr>
          <w:color w:val="000000" w:themeColor="text1"/>
          <w:lang w:val="en-GB"/>
        </w:rPr>
        <w:t xml:space="preserve">. </w:t>
      </w:r>
    </w:p>
    <w:p w14:paraId="1506F4BD" w14:textId="77777777" w:rsidR="00F762EF" w:rsidRPr="00355985" w:rsidRDefault="00F762EF" w:rsidP="00134A85">
      <w:pPr>
        <w:spacing w:after="0" w:line="240" w:lineRule="auto"/>
        <w:jc w:val="both"/>
        <w:rPr>
          <w:lang w:val="en-GB"/>
        </w:rPr>
      </w:pPr>
    </w:p>
    <w:p w14:paraId="4D9D6031" w14:textId="6EF61BE5" w:rsidR="00534A1B" w:rsidRDefault="00E502F2" w:rsidP="00E502F2">
      <w:pPr>
        <w:pStyle w:val="Titre3"/>
      </w:pPr>
      <w:bookmarkStart w:id="320" w:name="_Toc139181611"/>
      <w:r>
        <w:t>Solutions innovantes</w:t>
      </w:r>
      <w:r w:rsidR="0038507A">
        <w:t xml:space="preserve"> </w:t>
      </w:r>
      <w:r w:rsidR="0038507A" w:rsidRPr="0038507A">
        <w:t>pour le contrôle et fixation des déplacements du sable</w:t>
      </w:r>
      <w:bookmarkEnd w:id="320"/>
    </w:p>
    <w:p w14:paraId="7AFE2D46" w14:textId="5373B327" w:rsidR="00534A1B" w:rsidRDefault="00534A1B" w:rsidP="00134A85">
      <w:pPr>
        <w:spacing w:after="0" w:line="240" w:lineRule="auto"/>
        <w:jc w:val="both"/>
      </w:pPr>
    </w:p>
    <w:p w14:paraId="1996A8F7" w14:textId="4859084D" w:rsidR="00E502F2" w:rsidRDefault="00F63ABE" w:rsidP="00374600">
      <w:pPr>
        <w:spacing w:after="0" w:line="240" w:lineRule="auto"/>
        <w:jc w:val="both"/>
      </w:pPr>
      <w:r w:rsidRPr="00F63ABE">
        <w:t>Pour les chercheurs chinois, le but ultime du contrôle du sable n'est pas d'éliminer les déserts, mais d'améliorer la biodiversité des écosystèmes désertiques et de trouver un moyen pour les humains et les déserts de vivre en harmonie.</w:t>
      </w:r>
    </w:p>
    <w:p w14:paraId="66DE1F15" w14:textId="694BBCCB" w:rsidR="00FB7871" w:rsidRDefault="00374600" w:rsidP="00374600">
      <w:pPr>
        <w:spacing w:after="0" w:line="240" w:lineRule="auto"/>
        <w:jc w:val="both"/>
      </w:pPr>
      <w:r>
        <w:t>Selon Zhao Yang, chercheur associé à la Shapotou Desert Research and Experiment Station (SDRES) de l'Académie chinoise des sciences (CAS), « </w:t>
      </w:r>
      <w:r w:rsidRPr="00374600">
        <w:rPr>
          <w:i/>
          <w:iCs/>
        </w:rPr>
        <w:t>il faut naturellement environ 10 ans pour former une croûte de cyanobactéries à la surface du sable qui peut l'empêcher de bouger. Cependant, en hybridant une souche bactérienne spéciale extraite de la croûte biologique du sol du désert de Tengger avec les cyanobactéries cultivées, les chercheurs du SDRES ont réussi à réduire le temps de formation de la croûte à un an seulement</w:t>
      </w:r>
      <w:r>
        <w:t> ».</w:t>
      </w:r>
      <w:r w:rsidR="00FA53AD">
        <w:t xml:space="preserve"> </w:t>
      </w:r>
      <w:r w:rsidR="00FB7871" w:rsidRPr="00FB7871">
        <w:t xml:space="preserve">Les </w:t>
      </w:r>
      <w:r w:rsidR="00FB7871">
        <w:t>c</w:t>
      </w:r>
      <w:r w:rsidR="00FB7871" w:rsidRPr="00FB7871">
        <w:t>roûtes de sol</w:t>
      </w:r>
      <w:r w:rsidR="00D15FBB">
        <w:t>s</w:t>
      </w:r>
      <w:r w:rsidR="00FB7871" w:rsidRPr="00FB7871">
        <w:t xml:space="preserve"> biologiques artificiels sont formées par inoculation des cyanobactéries </w:t>
      </w:r>
      <w:r w:rsidR="00FB7871" w:rsidRPr="00FB7871">
        <w:rPr>
          <w:i/>
          <w:iCs/>
        </w:rPr>
        <w:t>Microcoleus vaginatus</w:t>
      </w:r>
      <w:r w:rsidR="00FB7871" w:rsidRPr="00FB7871">
        <w:t xml:space="preserve"> et </w:t>
      </w:r>
      <w:r w:rsidR="00FB7871" w:rsidRPr="00FB7871">
        <w:rPr>
          <w:i/>
          <w:iCs/>
        </w:rPr>
        <w:t>Scytonema javanicum</w:t>
      </w:r>
      <w:r w:rsidR="00FB7871" w:rsidRPr="00FB7871">
        <w:t>, sur la</w:t>
      </w:r>
      <w:r w:rsidR="00FB7871">
        <w:t xml:space="preserve"> fine</w:t>
      </w:r>
      <w:r w:rsidR="00FB7871" w:rsidRPr="00FB7871">
        <w:t xml:space="preserve"> couche arable des dunes du désert</w:t>
      </w:r>
      <w:r w:rsidR="00D15FBB">
        <w:t xml:space="preserve">, </w:t>
      </w:r>
      <w:r w:rsidR="00FA53AD">
        <w:t xml:space="preserve">elle-même </w:t>
      </w:r>
      <w:r w:rsidR="00D15FBB">
        <w:t>contenant des lichens</w:t>
      </w:r>
      <w:r w:rsidR="00FB7871" w:rsidRPr="00FB7871">
        <w:t xml:space="preserve"> (</w:t>
      </w:r>
      <w:r w:rsidR="00FA53AD" w:rsidRPr="00FB7871">
        <w:t xml:space="preserve">cyanobactéries </w:t>
      </w:r>
      <w:r w:rsidR="00FB7871">
        <w:t xml:space="preserve">répandus </w:t>
      </w:r>
      <w:r w:rsidR="00FB7871" w:rsidRPr="00FB7871">
        <w:t>par épandages aériens)</w:t>
      </w:r>
      <w:r w:rsidR="00D15FBB">
        <w:rPr>
          <w:rStyle w:val="Appelnotedebasdep"/>
        </w:rPr>
        <w:footnoteReference w:id="233"/>
      </w:r>
      <w:r w:rsidR="00FB7871" w:rsidRPr="00FB7871">
        <w:t>.</w:t>
      </w:r>
    </w:p>
    <w:p w14:paraId="1F24A10F" w14:textId="0ADC69BD" w:rsidR="00534A1B" w:rsidRDefault="00374600" w:rsidP="00374600">
      <w:pPr>
        <w:spacing w:after="0" w:line="240" w:lineRule="auto"/>
        <w:jc w:val="both"/>
      </w:pPr>
      <w:r>
        <w:t>Il a été</w:t>
      </w:r>
      <w:r w:rsidR="00FB7871">
        <w:t xml:space="preserve"> aussi</w:t>
      </w:r>
      <w:r>
        <w:t xml:space="preserve"> mis en place des structures en paille, ressemblant à des damiers, se révélant être le moyen le plus pratique, le plus écologique et le moins coûteux d'arrêter l'empiètement du sable. A l'intérieur des damiers, la surface du sable forme avec le temps une croûte dure qui empêche le sable de bouger</w:t>
      </w:r>
      <w:r w:rsidR="00FB7871">
        <w:rPr>
          <w:rStyle w:val="Appelnotedebasdep"/>
        </w:rPr>
        <w:footnoteReference w:id="234"/>
      </w:r>
      <w:r>
        <w:t>.</w:t>
      </w:r>
    </w:p>
    <w:p w14:paraId="488801F9" w14:textId="6629143D" w:rsidR="00534A1B" w:rsidRDefault="00534A1B" w:rsidP="00134A85">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AF6B35" w14:paraId="74825266" w14:textId="77777777" w:rsidTr="003777BC">
        <w:tc>
          <w:tcPr>
            <w:tcW w:w="5208" w:type="dxa"/>
          </w:tcPr>
          <w:p w14:paraId="4B6D9EC7" w14:textId="77777777" w:rsidR="00AF6B35" w:rsidRDefault="003777BC" w:rsidP="00AF6B35">
            <w:pPr>
              <w:jc w:val="center"/>
            </w:pPr>
            <w:r>
              <w:rPr>
                <w:noProof/>
              </w:rPr>
              <w:lastRenderedPageBreak/>
              <w:drawing>
                <wp:inline distT="0" distB="0" distL="0" distR="0" wp14:anchorId="3E54C58A" wp14:editId="137746C9">
                  <wp:extent cx="3019425" cy="2080048"/>
                  <wp:effectExtent l="0" t="0" r="0" b="0"/>
                  <wp:docPr id="36876" name="Image 36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29">
                            <a:extLst>
                              <a:ext uri="{28A0092B-C50C-407E-A947-70E740481C1C}">
                                <a14:useLocalDpi xmlns:a14="http://schemas.microsoft.com/office/drawing/2010/main" val="0"/>
                              </a:ext>
                            </a:extLst>
                          </a:blip>
                          <a:srcRect/>
                          <a:stretch>
                            <a:fillRect/>
                          </a:stretch>
                        </pic:blipFill>
                        <pic:spPr bwMode="auto">
                          <a:xfrm>
                            <a:off x="0" y="0"/>
                            <a:ext cx="3022949" cy="2082475"/>
                          </a:xfrm>
                          <a:prstGeom prst="rect">
                            <a:avLst/>
                          </a:prstGeom>
                          <a:noFill/>
                          <a:ln>
                            <a:noFill/>
                          </a:ln>
                        </pic:spPr>
                      </pic:pic>
                    </a:graphicData>
                  </a:graphic>
                </wp:inline>
              </w:drawing>
            </w:r>
          </w:p>
          <w:p w14:paraId="5CAA0ED8" w14:textId="13360B49" w:rsidR="003777BC" w:rsidRDefault="003777BC" w:rsidP="003777BC">
            <w:pPr>
              <w:jc w:val="both"/>
            </w:pPr>
            <w:r w:rsidRPr="003777BC">
              <w:t>Photo</w:t>
            </w:r>
            <w:r w:rsidR="00490982">
              <w:t>,</w:t>
            </w:r>
            <w:r w:rsidRPr="003777BC">
              <w:t xml:space="preserve"> prise le 7</w:t>
            </w:r>
            <w:r w:rsidR="00490982">
              <w:t>/09/</w:t>
            </w:r>
            <w:r w:rsidRPr="003777BC">
              <w:t>2020</w:t>
            </w:r>
            <w:r w:rsidR="00490982">
              <w:t>,</w:t>
            </w:r>
            <w:r w:rsidRPr="003777BC">
              <w:t xml:space="preserve"> montrant des travailleurs</w:t>
            </w:r>
            <w:r w:rsidR="00490982">
              <w:t xml:space="preserve">, </w:t>
            </w:r>
            <w:r w:rsidRPr="003777BC">
              <w:t>fabriquant des barrières de paille</w:t>
            </w:r>
            <w:r w:rsidR="00490982">
              <w:t xml:space="preserve">, disposés </w:t>
            </w:r>
            <w:r w:rsidR="00490982" w:rsidRPr="003777BC">
              <w:t>en damier</w:t>
            </w:r>
            <w:r w:rsidR="00490982">
              <w:t>,</w:t>
            </w:r>
            <w:r w:rsidR="00301604">
              <w:t xml:space="preserve"> pour</w:t>
            </w:r>
            <w:r w:rsidR="00301604" w:rsidRPr="003777BC">
              <w:t xml:space="preserve"> la lutte contre la désertification</w:t>
            </w:r>
            <w:r w:rsidR="00301604">
              <w:t>,</w:t>
            </w:r>
            <w:r w:rsidRPr="003777BC">
              <w:t xml:space="preserve"> dans le désert de Tengger</w:t>
            </w:r>
            <w:r w:rsidR="00490982">
              <w:t>,</w:t>
            </w:r>
            <w:r w:rsidRPr="003777BC">
              <w:t xml:space="preserve"> le long du chantier de construction de la section Qingtongxia-Zhongwei de l'autoroute Wuhai-Maqin dans la région autonome du Ningxia Hui, dans le nord-ouest de la Chine. (Xinhua/Feng Kaihua)</w:t>
            </w:r>
            <w:r w:rsidR="00301604">
              <w:t>.</w:t>
            </w:r>
          </w:p>
        </w:tc>
        <w:tc>
          <w:tcPr>
            <w:tcW w:w="5208" w:type="dxa"/>
          </w:tcPr>
          <w:p w14:paraId="27482CEA" w14:textId="7BC09DD5" w:rsidR="00AF6B35" w:rsidRDefault="003777BC" w:rsidP="00AF6B35">
            <w:pPr>
              <w:jc w:val="center"/>
            </w:pPr>
            <w:r>
              <w:rPr>
                <w:noProof/>
              </w:rPr>
              <w:drawing>
                <wp:inline distT="0" distB="0" distL="0" distR="0" wp14:anchorId="07A8D81D" wp14:editId="6F97DD34">
                  <wp:extent cx="2986088" cy="1990725"/>
                  <wp:effectExtent l="0" t="0" r="5080" b="0"/>
                  <wp:docPr id="36883" name="Image 36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30">
                            <a:extLst>
                              <a:ext uri="{28A0092B-C50C-407E-A947-70E740481C1C}">
                                <a14:useLocalDpi xmlns:a14="http://schemas.microsoft.com/office/drawing/2010/main" val="0"/>
                              </a:ext>
                            </a:extLst>
                          </a:blip>
                          <a:srcRect/>
                          <a:stretch>
                            <a:fillRect/>
                          </a:stretch>
                        </pic:blipFill>
                        <pic:spPr bwMode="auto">
                          <a:xfrm>
                            <a:off x="0" y="0"/>
                            <a:ext cx="2988234" cy="1992156"/>
                          </a:xfrm>
                          <a:prstGeom prst="rect">
                            <a:avLst/>
                          </a:prstGeom>
                          <a:noFill/>
                          <a:ln>
                            <a:noFill/>
                          </a:ln>
                        </pic:spPr>
                      </pic:pic>
                    </a:graphicData>
                  </a:graphic>
                </wp:inline>
              </w:drawing>
            </w:r>
          </w:p>
          <w:p w14:paraId="2773F09D" w14:textId="51B2B74C" w:rsidR="003777BC" w:rsidRDefault="003777BC" w:rsidP="003777BC">
            <w:pPr>
              <w:jc w:val="both"/>
            </w:pPr>
            <w:r w:rsidRPr="003777BC">
              <w:t>Une photo aérienne montre des ouvriers fabriquant des grilles</w:t>
            </w:r>
            <w:r w:rsidR="00E502F2">
              <w:t xml:space="preserve"> (barrières en paille)</w:t>
            </w:r>
            <w:r w:rsidRPr="003777BC">
              <w:t xml:space="preserve"> pour contenir les dunes de sable en mouvement</w:t>
            </w:r>
            <w:r w:rsidR="00490982">
              <w:t>,</w:t>
            </w:r>
            <w:r w:rsidRPr="003777BC">
              <w:t xml:space="preserve"> le long du chemin de fer Linhe-Ceke</w:t>
            </w:r>
            <w:r w:rsidR="00490982">
              <w:t>,</w:t>
            </w:r>
            <w:r w:rsidRPr="003777BC">
              <w:t xml:space="preserve"> dans la région autonome de Mongolie intérieure (nord de la Chine), le 14 avril 2021. (Xinhua/Liu Lei)</w:t>
            </w:r>
            <w:r>
              <w:t>.</w:t>
            </w:r>
          </w:p>
          <w:p w14:paraId="030867CA" w14:textId="300E14FE" w:rsidR="003777BC" w:rsidRDefault="003777BC" w:rsidP="00AF6B35">
            <w:pPr>
              <w:jc w:val="center"/>
            </w:pPr>
          </w:p>
        </w:tc>
      </w:tr>
    </w:tbl>
    <w:p w14:paraId="6F0677A6" w14:textId="23E1A021" w:rsidR="00AF6B35" w:rsidRDefault="00AF6B35" w:rsidP="00134A85">
      <w:pPr>
        <w:spacing w:after="0" w:line="240" w:lineRule="auto"/>
        <w:jc w:val="both"/>
      </w:pPr>
    </w:p>
    <w:p w14:paraId="21C8D74D" w14:textId="2FB4F797" w:rsidR="00C865FF" w:rsidRPr="00F92907" w:rsidRDefault="00172B09" w:rsidP="00172B09">
      <w:pPr>
        <w:pStyle w:val="Titre2"/>
        <w:rPr>
          <w:lang w:val="en-GB"/>
        </w:rPr>
      </w:pPr>
      <w:bookmarkStart w:id="321" w:name="_Toc139181612"/>
      <w:r w:rsidRPr="00F92907">
        <w:rPr>
          <w:lang w:val="en-GB"/>
        </w:rPr>
        <w:t>Projet Watershed Organization Trust (WOTR) (Inde)</w:t>
      </w:r>
      <w:bookmarkEnd w:id="321"/>
    </w:p>
    <w:p w14:paraId="4C8B21FD" w14:textId="10A3C15A" w:rsidR="00172B09" w:rsidRPr="00F92907" w:rsidRDefault="00172B09" w:rsidP="00134A85">
      <w:pPr>
        <w:spacing w:after="0" w:line="240" w:lineRule="auto"/>
        <w:jc w:val="both"/>
        <w:rPr>
          <w:lang w:val="en-GB"/>
        </w:rPr>
      </w:pPr>
    </w:p>
    <w:p w14:paraId="6B28889D" w14:textId="77777777" w:rsidR="007875D1" w:rsidRDefault="007875D1" w:rsidP="00F92907">
      <w:pPr>
        <w:spacing w:after="0" w:line="240" w:lineRule="auto"/>
        <w:jc w:val="both"/>
      </w:pPr>
      <w:r w:rsidRPr="007B1CA0">
        <w:rPr>
          <w:lang w:val="en-GB"/>
        </w:rPr>
        <w:t xml:space="preserve">Watershed Organization Trust (WOTR). </w:t>
      </w:r>
      <w:r w:rsidR="00F92907" w:rsidRPr="007B1CA0">
        <w:rPr>
          <w:lang w:val="en-GB"/>
        </w:rPr>
        <w:t>Lieu d'implatation : Javele Baleshawar (38 familles, 330 ha)</w:t>
      </w:r>
      <w:r w:rsidRPr="007B1CA0">
        <w:rPr>
          <w:lang w:val="en-GB"/>
        </w:rPr>
        <w:t xml:space="preserve">. </w:t>
      </w:r>
      <w:r w:rsidRPr="00F92907">
        <w:t>Sangar Jao Jodai et Usar ou Ivar Bazar</w:t>
      </w:r>
      <w:r w:rsidR="00F92907" w:rsidRPr="00F92907">
        <w:t xml:space="preserve"> </w:t>
      </w:r>
      <w:r>
        <w:t>(</w:t>
      </w:r>
      <w:r w:rsidR="00F92907" w:rsidRPr="00F92907">
        <w:t>240 familles, 900 ha</w:t>
      </w:r>
      <w:r>
        <w:t>)</w:t>
      </w:r>
      <w:r w:rsidR="00F92907" w:rsidRPr="00F92907">
        <w:t>, Inde, centre ouest.</w:t>
      </w:r>
      <w:r>
        <w:t xml:space="preserve"> </w:t>
      </w:r>
    </w:p>
    <w:p w14:paraId="32B3547D" w14:textId="0D0DCD39" w:rsidR="00F92907" w:rsidRPr="00F92907" w:rsidRDefault="00F92907" w:rsidP="00F92907">
      <w:pPr>
        <w:spacing w:after="0" w:line="240" w:lineRule="auto"/>
        <w:jc w:val="both"/>
      </w:pPr>
      <w:r w:rsidRPr="00F92907">
        <w:t xml:space="preserve">Chrispino Labo, président de WOTR. </w:t>
      </w:r>
      <w:r w:rsidR="007875D1">
        <w:t xml:space="preserve">Autres responsables : </w:t>
      </w:r>
      <w:r w:rsidR="007875D1" w:rsidRPr="00F92907">
        <w:t>Peter Weinert</w:t>
      </w:r>
      <w:r w:rsidR="007875D1">
        <w:t>.</w:t>
      </w:r>
    </w:p>
    <w:p w14:paraId="24BD1295" w14:textId="77777777" w:rsidR="00F92907" w:rsidRPr="00F92907" w:rsidRDefault="00F92907" w:rsidP="00F92907">
      <w:pPr>
        <w:spacing w:after="0" w:line="240" w:lineRule="auto"/>
        <w:jc w:val="both"/>
      </w:pPr>
      <w:r w:rsidRPr="00F92907">
        <w:t xml:space="preserve">Source : a) </w:t>
      </w:r>
      <w:hyperlink r:id="rId3631" w:history="1">
        <w:r w:rsidRPr="00F92907">
          <w:rPr>
            <w:rStyle w:val="Lienhypertexte"/>
          </w:rPr>
          <w:t>http://www.wotr.org/</w:t>
        </w:r>
      </w:hyperlink>
      <w:r w:rsidRPr="00F92907">
        <w:t xml:space="preserve">, b) </w:t>
      </w:r>
      <w:hyperlink r:id="rId3632" w:history="1">
        <w:r w:rsidRPr="00F92907">
          <w:rPr>
            <w:rStyle w:val="Lienhypertexte"/>
          </w:rPr>
          <w:t>http://www.3sat.de/page/?source=/ard/themenwochen/178089/index.html</w:t>
        </w:r>
      </w:hyperlink>
      <w:r w:rsidRPr="00F92907">
        <w:t xml:space="preserve"> </w:t>
      </w:r>
    </w:p>
    <w:p w14:paraId="047EA970" w14:textId="77777777" w:rsidR="00F92907" w:rsidRPr="00F92907" w:rsidRDefault="00F92907" w:rsidP="00F92907">
      <w:pPr>
        <w:spacing w:after="0" w:line="240" w:lineRule="auto"/>
        <w:jc w:val="both"/>
      </w:pPr>
      <w:r w:rsidRPr="00F92907">
        <w:t xml:space="preserve">c) </w:t>
      </w:r>
      <w:r w:rsidRPr="00F92907">
        <w:rPr>
          <w:i/>
          <w:iCs/>
        </w:rPr>
        <w:t>Vidéo sur le projet :  Pluie bénie, Des villages indiens face à la sécheresse</w:t>
      </w:r>
      <w:r w:rsidRPr="00F92907">
        <w:t xml:space="preserve">, Documentaire - 44 min, Réalisation : Peter Weinert, </w:t>
      </w:r>
      <w:hyperlink r:id="rId3633" w:history="1">
        <w:r w:rsidRPr="00F92907">
          <w:rPr>
            <w:rStyle w:val="Lienhypertexte"/>
          </w:rPr>
          <w:t>http://www.arte.tv/guide/fr/045948-000-A/pluie-benie</w:t>
        </w:r>
      </w:hyperlink>
      <w:r w:rsidRPr="00F92907">
        <w:t xml:space="preserve"> </w:t>
      </w:r>
    </w:p>
    <w:p w14:paraId="753D5662" w14:textId="2BD821D1" w:rsidR="00172B09" w:rsidRPr="00F92907" w:rsidRDefault="00172B09" w:rsidP="00134A85">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F92907" w14:paraId="11CB07A2" w14:textId="77777777" w:rsidTr="00F92907">
        <w:tc>
          <w:tcPr>
            <w:tcW w:w="5208" w:type="dxa"/>
          </w:tcPr>
          <w:p w14:paraId="67DF28F8" w14:textId="00E629D2" w:rsidR="00F92907" w:rsidRDefault="00F92907" w:rsidP="00F92907">
            <w:pPr>
              <w:jc w:val="center"/>
            </w:pPr>
            <w:r w:rsidRPr="00F92907">
              <w:rPr>
                <w:noProof/>
              </w:rPr>
              <w:drawing>
                <wp:inline distT="0" distB="0" distL="0" distR="0" wp14:anchorId="18DF1CE8" wp14:editId="1CE05E6E">
                  <wp:extent cx="3143250" cy="1747136"/>
                  <wp:effectExtent l="0" t="0" r="0" b="5715"/>
                  <wp:docPr id="89113"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6"/>
                          <pic:cNvPicPr>
                            <a:picLocks noChangeAspect="1"/>
                          </pic:cNvPicPr>
                        </pic:nvPicPr>
                        <pic:blipFill>
                          <a:blip r:embed="rId3634">
                            <a:extLst>
                              <a:ext uri="{28A0092B-C50C-407E-A947-70E740481C1C}">
                                <a14:useLocalDpi xmlns:a14="http://schemas.microsoft.com/office/drawing/2010/main" val="0"/>
                              </a:ext>
                            </a:extLst>
                          </a:blip>
                          <a:stretch>
                            <a:fillRect/>
                          </a:stretch>
                        </pic:blipFill>
                        <pic:spPr>
                          <a:xfrm>
                            <a:off x="0" y="0"/>
                            <a:ext cx="3150795" cy="1751330"/>
                          </a:xfrm>
                          <a:prstGeom prst="rect">
                            <a:avLst/>
                          </a:prstGeom>
                        </pic:spPr>
                      </pic:pic>
                    </a:graphicData>
                  </a:graphic>
                </wp:inline>
              </w:drawing>
            </w:r>
          </w:p>
        </w:tc>
        <w:tc>
          <w:tcPr>
            <w:tcW w:w="5208" w:type="dxa"/>
          </w:tcPr>
          <w:p w14:paraId="2CF9C02F" w14:textId="77777777" w:rsidR="00F92907" w:rsidRDefault="00F92907" w:rsidP="00F92907">
            <w:pPr>
              <w:jc w:val="center"/>
            </w:pPr>
            <w:r w:rsidRPr="00F92907">
              <w:rPr>
                <w:noProof/>
              </w:rPr>
              <w:drawing>
                <wp:inline distT="0" distB="0" distL="0" distR="0" wp14:anchorId="61AE6973" wp14:editId="5ECEBFC4">
                  <wp:extent cx="3087572" cy="1724025"/>
                  <wp:effectExtent l="0" t="0" r="0" b="0"/>
                  <wp:docPr id="89114"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7"/>
                          <pic:cNvPicPr>
                            <a:picLocks noChangeAspect="1"/>
                          </pic:cNvPicPr>
                        </pic:nvPicPr>
                        <pic:blipFill>
                          <a:blip r:embed="rId3635">
                            <a:extLst>
                              <a:ext uri="{28A0092B-C50C-407E-A947-70E740481C1C}">
                                <a14:useLocalDpi xmlns:a14="http://schemas.microsoft.com/office/drawing/2010/main" val="0"/>
                              </a:ext>
                            </a:extLst>
                          </a:blip>
                          <a:stretch>
                            <a:fillRect/>
                          </a:stretch>
                        </pic:blipFill>
                        <pic:spPr>
                          <a:xfrm>
                            <a:off x="0" y="0"/>
                            <a:ext cx="3094363" cy="1727817"/>
                          </a:xfrm>
                          <a:prstGeom prst="rect">
                            <a:avLst/>
                          </a:prstGeom>
                        </pic:spPr>
                      </pic:pic>
                    </a:graphicData>
                  </a:graphic>
                </wp:inline>
              </w:drawing>
            </w:r>
          </w:p>
          <w:p w14:paraId="77339AEA" w14:textId="3576E346" w:rsidR="00F762EF" w:rsidRDefault="00F762EF" w:rsidP="00F92907">
            <w:pPr>
              <w:jc w:val="center"/>
            </w:pPr>
          </w:p>
        </w:tc>
      </w:tr>
      <w:tr w:rsidR="00F92907" w14:paraId="164BCB67" w14:textId="77777777" w:rsidTr="00F92907">
        <w:tc>
          <w:tcPr>
            <w:tcW w:w="5208" w:type="dxa"/>
          </w:tcPr>
          <w:p w14:paraId="34F098CF" w14:textId="75C9DA15" w:rsidR="00F92907" w:rsidRDefault="00F92907" w:rsidP="00F92907">
            <w:pPr>
              <w:jc w:val="center"/>
            </w:pPr>
            <w:r w:rsidRPr="00F92907">
              <w:rPr>
                <w:noProof/>
              </w:rPr>
              <w:drawing>
                <wp:inline distT="0" distB="0" distL="0" distR="0" wp14:anchorId="5BC057FB" wp14:editId="13F5C802">
                  <wp:extent cx="3086100" cy="1693398"/>
                  <wp:effectExtent l="0" t="0" r="0" b="2540"/>
                  <wp:docPr id="89115"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8"/>
                          <pic:cNvPicPr>
                            <a:picLocks noChangeAspect="1"/>
                          </pic:cNvPicPr>
                        </pic:nvPicPr>
                        <pic:blipFill>
                          <a:blip r:embed="rId3636">
                            <a:extLst>
                              <a:ext uri="{28A0092B-C50C-407E-A947-70E740481C1C}">
                                <a14:useLocalDpi xmlns:a14="http://schemas.microsoft.com/office/drawing/2010/main" val="0"/>
                              </a:ext>
                            </a:extLst>
                          </a:blip>
                          <a:stretch>
                            <a:fillRect/>
                          </a:stretch>
                        </pic:blipFill>
                        <pic:spPr>
                          <a:xfrm>
                            <a:off x="0" y="0"/>
                            <a:ext cx="3086100" cy="1693398"/>
                          </a:xfrm>
                          <a:prstGeom prst="rect">
                            <a:avLst/>
                          </a:prstGeom>
                        </pic:spPr>
                      </pic:pic>
                    </a:graphicData>
                  </a:graphic>
                </wp:inline>
              </w:drawing>
            </w:r>
          </w:p>
        </w:tc>
        <w:tc>
          <w:tcPr>
            <w:tcW w:w="5208" w:type="dxa"/>
          </w:tcPr>
          <w:p w14:paraId="468A608F" w14:textId="77777777" w:rsidR="00F92907" w:rsidRDefault="00F92907" w:rsidP="00F92907">
            <w:pPr>
              <w:jc w:val="center"/>
            </w:pPr>
            <w:r w:rsidRPr="00F92907">
              <w:rPr>
                <w:noProof/>
              </w:rPr>
              <w:drawing>
                <wp:inline distT="0" distB="0" distL="0" distR="0" wp14:anchorId="2D6DC73D" wp14:editId="6FD355B7">
                  <wp:extent cx="2571750" cy="1416090"/>
                  <wp:effectExtent l="0" t="0" r="0" b="0"/>
                  <wp:docPr id="89116"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9"/>
                          <pic:cNvPicPr>
                            <a:picLocks noChangeAspect="1"/>
                          </pic:cNvPicPr>
                        </pic:nvPicPr>
                        <pic:blipFill>
                          <a:blip r:embed="rId3637">
                            <a:extLst>
                              <a:ext uri="{28A0092B-C50C-407E-A947-70E740481C1C}">
                                <a14:useLocalDpi xmlns:a14="http://schemas.microsoft.com/office/drawing/2010/main" val="0"/>
                              </a:ext>
                            </a:extLst>
                          </a:blip>
                          <a:stretch>
                            <a:fillRect/>
                          </a:stretch>
                        </pic:blipFill>
                        <pic:spPr>
                          <a:xfrm>
                            <a:off x="0" y="0"/>
                            <a:ext cx="2572745" cy="1416638"/>
                          </a:xfrm>
                          <a:prstGeom prst="rect">
                            <a:avLst/>
                          </a:prstGeom>
                        </pic:spPr>
                      </pic:pic>
                    </a:graphicData>
                  </a:graphic>
                </wp:inline>
              </w:drawing>
            </w:r>
          </w:p>
          <w:p w14:paraId="0D231791" w14:textId="6B3AA4FB" w:rsidR="00F92907" w:rsidRDefault="00F92907" w:rsidP="00F92907">
            <w:pPr>
              <w:jc w:val="center"/>
            </w:pPr>
            <w:r w:rsidRPr="00F92907">
              <w:t>Enclos de pierre et blocs en vracs</w:t>
            </w:r>
          </w:p>
        </w:tc>
      </w:tr>
      <w:tr w:rsidR="00F92907" w14:paraId="7CE50784" w14:textId="77777777" w:rsidTr="00F92907">
        <w:tc>
          <w:tcPr>
            <w:tcW w:w="5208" w:type="dxa"/>
          </w:tcPr>
          <w:p w14:paraId="74C6EAF5" w14:textId="2FE1BFC6" w:rsidR="00F92907" w:rsidRDefault="00F92907" w:rsidP="00F92907">
            <w:pPr>
              <w:jc w:val="center"/>
            </w:pPr>
            <w:r w:rsidRPr="00F92907">
              <w:rPr>
                <w:noProof/>
              </w:rPr>
              <w:lastRenderedPageBreak/>
              <w:drawing>
                <wp:inline distT="0" distB="0" distL="0" distR="0" wp14:anchorId="0286D7C4" wp14:editId="0A101C99">
                  <wp:extent cx="1724025" cy="933450"/>
                  <wp:effectExtent l="0" t="0" r="9525" b="0"/>
                  <wp:docPr id="89117"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2"/>
                          <pic:cNvPicPr>
                            <a:picLocks noChangeAspect="1"/>
                          </pic:cNvPicPr>
                        </pic:nvPicPr>
                        <pic:blipFill>
                          <a:blip r:embed="rId3638">
                            <a:extLst>
                              <a:ext uri="{28A0092B-C50C-407E-A947-70E740481C1C}">
                                <a14:useLocalDpi xmlns:a14="http://schemas.microsoft.com/office/drawing/2010/main" val="0"/>
                              </a:ext>
                            </a:extLst>
                          </a:blip>
                          <a:stretch>
                            <a:fillRect/>
                          </a:stretch>
                        </pic:blipFill>
                        <pic:spPr>
                          <a:xfrm>
                            <a:off x="0" y="0"/>
                            <a:ext cx="1724025" cy="933450"/>
                          </a:xfrm>
                          <a:prstGeom prst="rect">
                            <a:avLst/>
                          </a:prstGeom>
                        </pic:spPr>
                      </pic:pic>
                    </a:graphicData>
                  </a:graphic>
                </wp:inline>
              </w:drawing>
            </w:r>
          </w:p>
        </w:tc>
        <w:tc>
          <w:tcPr>
            <w:tcW w:w="5208" w:type="dxa"/>
          </w:tcPr>
          <w:p w14:paraId="5540A14D" w14:textId="77777777" w:rsidR="007875D1" w:rsidRDefault="007875D1" w:rsidP="00F92907">
            <w:pPr>
              <w:jc w:val="center"/>
            </w:pPr>
          </w:p>
          <w:p w14:paraId="55FF4CA0" w14:textId="77777777" w:rsidR="007875D1" w:rsidRDefault="007875D1" w:rsidP="00F92907">
            <w:pPr>
              <w:jc w:val="center"/>
            </w:pPr>
          </w:p>
          <w:p w14:paraId="2222D789" w14:textId="77777777" w:rsidR="007875D1" w:rsidRDefault="007875D1" w:rsidP="00F92907">
            <w:pPr>
              <w:jc w:val="center"/>
            </w:pPr>
          </w:p>
          <w:p w14:paraId="5733BBB3" w14:textId="77777777" w:rsidR="007875D1" w:rsidRDefault="007875D1" w:rsidP="00F92907">
            <w:pPr>
              <w:jc w:val="center"/>
            </w:pPr>
          </w:p>
          <w:p w14:paraId="0E30B038" w14:textId="17666D8A" w:rsidR="00F92907" w:rsidRDefault="00F92907" w:rsidP="00F92907">
            <w:pPr>
              <w:jc w:val="center"/>
            </w:pPr>
            <w:r w:rsidRPr="00F92907">
              <w:sym w:font="Wingdings" w:char="F0DF"/>
            </w:r>
            <w:r w:rsidRPr="00F92907">
              <w:t xml:space="preserve"> ↖ Préparation du projet </w:t>
            </w:r>
            <w:r w:rsidR="007875D1">
              <w:rPr>
                <w:rFonts w:cstheme="minorHAnsi"/>
              </w:rPr>
              <w:t>↑</w:t>
            </w:r>
          </w:p>
        </w:tc>
      </w:tr>
    </w:tbl>
    <w:p w14:paraId="1D961523" w14:textId="0C61F8B4" w:rsidR="00F92907" w:rsidRDefault="00F92907" w:rsidP="00F92907">
      <w:pPr>
        <w:spacing w:after="0" w:line="240" w:lineRule="auto"/>
        <w:jc w:val="both"/>
      </w:pPr>
    </w:p>
    <w:p w14:paraId="5F2029D5" w14:textId="77777777" w:rsidR="00407060" w:rsidRPr="00407060" w:rsidRDefault="00407060" w:rsidP="00407060">
      <w:pPr>
        <w:spacing w:after="0" w:line="240" w:lineRule="auto"/>
        <w:jc w:val="both"/>
      </w:pPr>
      <w:r w:rsidRPr="00407060">
        <w:t>Le creusement d’un puits coûte environ 3000 €. Les paysans, cultivant le millet etc, ne souffrent plus de la faim, grâce aux excédents de récolte.</w:t>
      </w:r>
    </w:p>
    <w:p w14:paraId="6FF1CB7C" w14:textId="77777777" w:rsidR="00407060" w:rsidRPr="00407060" w:rsidRDefault="00407060" w:rsidP="00407060">
      <w:pPr>
        <w:spacing w:after="0" w:line="240" w:lineRule="auto"/>
        <w:jc w:val="both"/>
      </w:pPr>
      <w:r w:rsidRPr="00407060">
        <w:t>Grâce au projet, la profondeur de la nappe phréatique est repassée de -25 m à -10 m. Grâce au projet et à l'argent que les récoltes abondante ont généré, tous les enfants vont à l'école, avec pourtant une région avec une pluviométrie de 300 à 400 mm/an. Usar ou Ivar Bazar : 240 familles, 900 ha, 1 millions arbres, 50 barrages.</w:t>
      </w:r>
    </w:p>
    <w:p w14:paraId="258EC1B9" w14:textId="6525E61D" w:rsidR="00F92907" w:rsidRDefault="00407060" w:rsidP="00407060">
      <w:pPr>
        <w:spacing w:after="0" w:line="240" w:lineRule="auto"/>
        <w:jc w:val="both"/>
      </w:pPr>
      <w:r w:rsidRPr="00407060">
        <w:t>Parmi la diversification des cultures : Champs de fleurs, vergers de grenadiers ....</w:t>
      </w:r>
    </w:p>
    <w:p w14:paraId="79F9DEDE" w14:textId="3785D1D3" w:rsidR="00407060" w:rsidRDefault="00407060" w:rsidP="00407060">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407060" w14:paraId="539028ED" w14:textId="77777777" w:rsidTr="00407060">
        <w:tc>
          <w:tcPr>
            <w:tcW w:w="5208" w:type="dxa"/>
          </w:tcPr>
          <w:p w14:paraId="7A52AC8F" w14:textId="77777777" w:rsidR="00407060" w:rsidRDefault="00407060" w:rsidP="00407060">
            <w:pPr>
              <w:jc w:val="center"/>
            </w:pPr>
            <w:r w:rsidRPr="00407060">
              <w:rPr>
                <w:noProof/>
              </w:rPr>
              <w:drawing>
                <wp:inline distT="0" distB="0" distL="0" distR="0" wp14:anchorId="6380BF55" wp14:editId="5D38FFDC">
                  <wp:extent cx="2209800" cy="1247775"/>
                  <wp:effectExtent l="0" t="0" r="0" b="9525"/>
                  <wp:docPr id="89118"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0"/>
                          <pic:cNvPicPr>
                            <a:picLocks noChangeAspect="1"/>
                          </pic:cNvPicPr>
                        </pic:nvPicPr>
                        <pic:blipFill>
                          <a:blip r:embed="rId3639">
                            <a:extLst>
                              <a:ext uri="{28A0092B-C50C-407E-A947-70E740481C1C}">
                                <a14:useLocalDpi xmlns:a14="http://schemas.microsoft.com/office/drawing/2010/main" val="0"/>
                              </a:ext>
                            </a:extLst>
                          </a:blip>
                          <a:stretch>
                            <a:fillRect/>
                          </a:stretch>
                        </pic:blipFill>
                        <pic:spPr>
                          <a:xfrm>
                            <a:off x="0" y="0"/>
                            <a:ext cx="2209800" cy="1247775"/>
                          </a:xfrm>
                          <a:prstGeom prst="rect">
                            <a:avLst/>
                          </a:prstGeom>
                        </pic:spPr>
                      </pic:pic>
                    </a:graphicData>
                  </a:graphic>
                </wp:inline>
              </w:drawing>
            </w:r>
          </w:p>
          <w:p w14:paraId="09761EF5" w14:textId="504B195F" w:rsidR="00407060" w:rsidRDefault="00407060" w:rsidP="00407060">
            <w:pPr>
              <w:jc w:val="center"/>
            </w:pPr>
            <w:r w:rsidRPr="00407060">
              <w:t xml:space="preserve">Creusement de sortes de baissières. </w:t>
            </w:r>
          </w:p>
        </w:tc>
        <w:tc>
          <w:tcPr>
            <w:tcW w:w="5208" w:type="dxa"/>
          </w:tcPr>
          <w:p w14:paraId="7FF498B8" w14:textId="77777777" w:rsidR="00407060" w:rsidRDefault="00407060" w:rsidP="00407060">
            <w:pPr>
              <w:jc w:val="center"/>
            </w:pPr>
            <w:r w:rsidRPr="00407060">
              <w:rPr>
                <w:noProof/>
              </w:rPr>
              <w:drawing>
                <wp:inline distT="0" distB="0" distL="0" distR="0" wp14:anchorId="74E2DBB1" wp14:editId="3E130804">
                  <wp:extent cx="2257425" cy="1257300"/>
                  <wp:effectExtent l="0" t="0" r="9525" b="0"/>
                  <wp:docPr id="89119"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pic:cNvPicPr>
                            <a:picLocks noChangeAspect="1"/>
                          </pic:cNvPicPr>
                        </pic:nvPicPr>
                        <pic:blipFill>
                          <a:blip r:embed="rId3640">
                            <a:extLst>
                              <a:ext uri="{28A0092B-C50C-407E-A947-70E740481C1C}">
                                <a14:useLocalDpi xmlns:a14="http://schemas.microsoft.com/office/drawing/2010/main" val="0"/>
                              </a:ext>
                            </a:extLst>
                          </a:blip>
                          <a:stretch>
                            <a:fillRect/>
                          </a:stretch>
                        </pic:blipFill>
                        <pic:spPr>
                          <a:xfrm>
                            <a:off x="0" y="0"/>
                            <a:ext cx="2257425" cy="1257300"/>
                          </a:xfrm>
                          <a:prstGeom prst="rect">
                            <a:avLst/>
                          </a:prstGeom>
                        </pic:spPr>
                      </pic:pic>
                    </a:graphicData>
                  </a:graphic>
                </wp:inline>
              </w:drawing>
            </w:r>
          </w:p>
          <w:p w14:paraId="566CA4AF" w14:textId="77777777" w:rsidR="00407060" w:rsidRDefault="00407060" w:rsidP="00407060">
            <w:pPr>
              <w:jc w:val="center"/>
            </w:pPr>
            <w:r w:rsidRPr="00407060">
              <w:sym w:font="Wingdings" w:char="F0E1"/>
            </w:r>
            <w:r w:rsidRPr="00407060">
              <w:t xml:space="preserve"> Plan de la préparation du terrain : baissières, réservoirs, canaux d’irrigation etc</w:t>
            </w:r>
            <w:r>
              <w:t>.</w:t>
            </w:r>
          </w:p>
          <w:p w14:paraId="138E423F" w14:textId="47F9D4FC" w:rsidR="00407060" w:rsidRDefault="00407060" w:rsidP="00407060">
            <w:pPr>
              <w:jc w:val="center"/>
            </w:pPr>
          </w:p>
        </w:tc>
      </w:tr>
      <w:tr w:rsidR="00407060" w14:paraId="4365A802" w14:textId="77777777" w:rsidTr="00407060">
        <w:tc>
          <w:tcPr>
            <w:tcW w:w="5208" w:type="dxa"/>
          </w:tcPr>
          <w:p w14:paraId="017CE1DD" w14:textId="77777777" w:rsidR="00407060" w:rsidRDefault="00407060" w:rsidP="00407060">
            <w:pPr>
              <w:jc w:val="center"/>
            </w:pPr>
            <w:r w:rsidRPr="00407060">
              <w:rPr>
                <w:noProof/>
              </w:rPr>
              <w:drawing>
                <wp:inline distT="0" distB="0" distL="0" distR="0" wp14:anchorId="57F64E36" wp14:editId="1F2345A9">
                  <wp:extent cx="2219325" cy="1247775"/>
                  <wp:effectExtent l="0" t="0" r="9525" b="9525"/>
                  <wp:docPr id="31744"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2"/>
                          <pic:cNvPicPr>
                            <a:picLocks noChangeAspect="1"/>
                          </pic:cNvPicPr>
                        </pic:nvPicPr>
                        <pic:blipFill>
                          <a:blip r:embed="rId3641">
                            <a:extLst>
                              <a:ext uri="{28A0092B-C50C-407E-A947-70E740481C1C}">
                                <a14:useLocalDpi xmlns:a14="http://schemas.microsoft.com/office/drawing/2010/main" val="0"/>
                              </a:ext>
                            </a:extLst>
                          </a:blip>
                          <a:stretch>
                            <a:fillRect/>
                          </a:stretch>
                        </pic:blipFill>
                        <pic:spPr>
                          <a:xfrm>
                            <a:off x="0" y="0"/>
                            <a:ext cx="2219325" cy="1247775"/>
                          </a:xfrm>
                          <a:prstGeom prst="rect">
                            <a:avLst/>
                          </a:prstGeom>
                        </pic:spPr>
                      </pic:pic>
                    </a:graphicData>
                  </a:graphic>
                </wp:inline>
              </w:drawing>
            </w:r>
          </w:p>
          <w:p w14:paraId="5C7EF538" w14:textId="4ACAD558" w:rsidR="00407060" w:rsidRDefault="00407060" w:rsidP="00407060">
            <w:pPr>
              <w:jc w:val="center"/>
            </w:pPr>
            <w:r w:rsidRPr="00407060">
              <w:t>Remplissage des baissières à la saison des pluies</w:t>
            </w:r>
            <w:r>
              <w:t>.</w:t>
            </w:r>
          </w:p>
        </w:tc>
        <w:tc>
          <w:tcPr>
            <w:tcW w:w="5208" w:type="dxa"/>
          </w:tcPr>
          <w:p w14:paraId="392E9344" w14:textId="77777777" w:rsidR="00407060" w:rsidRDefault="00407060" w:rsidP="00407060">
            <w:pPr>
              <w:jc w:val="center"/>
            </w:pPr>
            <w:r w:rsidRPr="00407060">
              <w:rPr>
                <w:noProof/>
              </w:rPr>
              <w:drawing>
                <wp:inline distT="0" distB="0" distL="0" distR="0" wp14:anchorId="1A5701D1" wp14:editId="16ED7224">
                  <wp:extent cx="3009900" cy="1685925"/>
                  <wp:effectExtent l="0" t="0" r="0" b="9525"/>
                  <wp:docPr id="31745"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4"/>
                          <pic:cNvPicPr>
                            <a:picLocks noChangeAspect="1"/>
                          </pic:cNvPicPr>
                        </pic:nvPicPr>
                        <pic:blipFill>
                          <a:blip r:embed="rId3642">
                            <a:extLst>
                              <a:ext uri="{28A0092B-C50C-407E-A947-70E740481C1C}">
                                <a14:useLocalDpi xmlns:a14="http://schemas.microsoft.com/office/drawing/2010/main" val="0"/>
                              </a:ext>
                            </a:extLst>
                          </a:blip>
                          <a:stretch>
                            <a:fillRect/>
                          </a:stretch>
                        </pic:blipFill>
                        <pic:spPr>
                          <a:xfrm>
                            <a:off x="0" y="0"/>
                            <a:ext cx="3009900" cy="1685925"/>
                          </a:xfrm>
                          <a:prstGeom prst="rect">
                            <a:avLst/>
                          </a:prstGeom>
                        </pic:spPr>
                      </pic:pic>
                    </a:graphicData>
                  </a:graphic>
                </wp:inline>
              </w:drawing>
            </w:r>
          </w:p>
          <w:p w14:paraId="0D925F7B" w14:textId="12967E5F" w:rsidR="00407060" w:rsidRDefault="00407060" w:rsidP="00407060">
            <w:pPr>
              <w:jc w:val="center"/>
            </w:pPr>
            <w:r w:rsidRPr="00407060">
              <w:t>Dessin des barrages (johads, retenues …), des gabions (casier constitué de solides fils de fer tressés et rempli de pierres, pour construire des murs de soutènement,</w:t>
            </w:r>
          </w:p>
        </w:tc>
      </w:tr>
    </w:tbl>
    <w:p w14:paraId="23CF5FE0" w14:textId="3CD0C08D" w:rsidR="00407060" w:rsidRDefault="00407060" w:rsidP="00407060">
      <w:pPr>
        <w:spacing w:after="0" w:line="240" w:lineRule="auto"/>
        <w:jc w:val="center"/>
      </w:pPr>
    </w:p>
    <w:p w14:paraId="2F77B48B" w14:textId="4A9D654F" w:rsidR="00407060" w:rsidRDefault="00407060" w:rsidP="00407060">
      <w:pPr>
        <w:spacing w:after="0" w:line="240" w:lineRule="auto"/>
        <w:jc w:val="center"/>
      </w:pPr>
      <w:r w:rsidRPr="00407060">
        <w:rPr>
          <w:noProof/>
        </w:rPr>
        <w:drawing>
          <wp:inline distT="0" distB="0" distL="0" distR="0" wp14:anchorId="4728B169" wp14:editId="444A11EA">
            <wp:extent cx="3486150" cy="1942664"/>
            <wp:effectExtent l="0" t="0" r="0" b="635"/>
            <wp:docPr id="31746" name="Image 7" descr="Une image contenant texte, nature, montagne, nua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6" name="Image 7" descr="Une image contenant texte, nature, montagne, nuage&#10;&#10;Description générée automatiquement"/>
                    <pic:cNvPicPr>
                      <a:picLocks noChangeAspect="1"/>
                    </pic:cNvPicPr>
                  </pic:nvPicPr>
                  <pic:blipFill>
                    <a:blip r:embed="rId3643">
                      <a:extLst>
                        <a:ext uri="{28A0092B-C50C-407E-A947-70E740481C1C}">
                          <a14:useLocalDpi xmlns:a14="http://schemas.microsoft.com/office/drawing/2010/main" val="0"/>
                        </a:ext>
                      </a:extLst>
                    </a:blip>
                    <a:stretch>
                      <a:fillRect/>
                    </a:stretch>
                  </pic:blipFill>
                  <pic:spPr>
                    <a:xfrm>
                      <a:off x="0" y="0"/>
                      <a:ext cx="3487873" cy="1943624"/>
                    </a:xfrm>
                    <a:prstGeom prst="rect">
                      <a:avLst/>
                    </a:prstGeom>
                  </pic:spPr>
                </pic:pic>
              </a:graphicData>
            </a:graphic>
          </wp:inline>
        </w:drawing>
      </w:r>
    </w:p>
    <w:p w14:paraId="1344625E" w14:textId="60FAC8C9" w:rsidR="00407060" w:rsidRPr="00F92907" w:rsidRDefault="00407060" w:rsidP="00407060">
      <w:pPr>
        <w:spacing w:after="0" w:line="240" w:lineRule="auto"/>
        <w:jc w:val="center"/>
      </w:pPr>
      <w:r w:rsidRPr="00407060">
        <w:t>Plan de la préparation du terrain : baissières, réservoirs, canaux d’irrigation etc.</w:t>
      </w:r>
    </w:p>
    <w:p w14:paraId="5F454EA8" w14:textId="77777777" w:rsidR="00F762EF" w:rsidRDefault="00F762EF" w:rsidP="00FD2B7B">
      <w:pPr>
        <w:spacing w:after="0" w:line="240" w:lineRule="auto"/>
        <w:jc w:val="both"/>
      </w:pPr>
    </w:p>
    <w:p w14:paraId="5BC9B4EF" w14:textId="330844D4" w:rsidR="00FD2B7B" w:rsidRPr="00FD2B7B" w:rsidRDefault="00FD2B7B" w:rsidP="00FD2B7B">
      <w:pPr>
        <w:spacing w:after="0" w:line="240" w:lineRule="auto"/>
        <w:jc w:val="both"/>
      </w:pPr>
      <w:r w:rsidRPr="00FD2B7B">
        <w:t>Questions à poser aux agriculteurs intéressés à participer au projet :</w:t>
      </w:r>
    </w:p>
    <w:p w14:paraId="642F1C39" w14:textId="77777777" w:rsidR="00FD2B7B" w:rsidRPr="00FD2B7B" w:rsidRDefault="00FD2B7B" w:rsidP="00FD2B7B">
      <w:pPr>
        <w:spacing w:after="0" w:line="240" w:lineRule="auto"/>
        <w:jc w:val="both"/>
      </w:pPr>
      <w:r w:rsidRPr="00FD2B7B">
        <w:t>Superficie exploitation, caractéristiques, emplacement alimentée en eau nappe phréatique, nombre animaux, espèces élevés, composition famille.</w:t>
      </w:r>
    </w:p>
    <w:p w14:paraId="7E5AAA05" w14:textId="77777777" w:rsidR="00FD2B7B" w:rsidRPr="00FD2B7B" w:rsidRDefault="00FD2B7B" w:rsidP="00FD2B7B">
      <w:pPr>
        <w:spacing w:after="0" w:line="240" w:lineRule="auto"/>
        <w:jc w:val="both"/>
      </w:pPr>
      <w:r w:rsidRPr="00FD2B7B">
        <w:t>Lors de l'élaboration du projet, l'ONG, qui apporte ses conseils, ne doit pas imposer des décisions unilatéralement aux paysans. La règle : chercher à convaincre les agriculteurs.</w:t>
      </w:r>
    </w:p>
    <w:p w14:paraId="427FE449" w14:textId="0C9081DB" w:rsidR="00C865FF" w:rsidRDefault="00C865FF" w:rsidP="00134A85">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FD2B7B" w14:paraId="2D0E6AA1" w14:textId="77777777" w:rsidTr="00FD2B7B">
        <w:tc>
          <w:tcPr>
            <w:tcW w:w="5208" w:type="dxa"/>
          </w:tcPr>
          <w:p w14:paraId="123193AE" w14:textId="77777777" w:rsidR="00FD2B7B" w:rsidRDefault="00FD2B7B" w:rsidP="00FD2B7B">
            <w:pPr>
              <w:jc w:val="center"/>
            </w:pPr>
            <w:r w:rsidRPr="00FD2B7B">
              <w:rPr>
                <w:noProof/>
              </w:rPr>
              <w:drawing>
                <wp:inline distT="0" distB="0" distL="0" distR="0" wp14:anchorId="364305C3" wp14:editId="4440D225">
                  <wp:extent cx="2228850" cy="1209675"/>
                  <wp:effectExtent l="0" t="0" r="0" b="9525"/>
                  <wp:docPr id="31747"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pic:cNvPicPr>
                            <a:picLocks noChangeAspect="1"/>
                          </pic:cNvPicPr>
                        </pic:nvPicPr>
                        <pic:blipFill>
                          <a:blip r:embed="rId3644">
                            <a:extLst>
                              <a:ext uri="{28A0092B-C50C-407E-A947-70E740481C1C}">
                                <a14:useLocalDpi xmlns:a14="http://schemas.microsoft.com/office/drawing/2010/main" val="0"/>
                              </a:ext>
                            </a:extLst>
                          </a:blip>
                          <a:stretch>
                            <a:fillRect/>
                          </a:stretch>
                        </pic:blipFill>
                        <pic:spPr>
                          <a:xfrm>
                            <a:off x="0" y="0"/>
                            <a:ext cx="2228850" cy="1209675"/>
                          </a:xfrm>
                          <a:prstGeom prst="rect">
                            <a:avLst/>
                          </a:prstGeom>
                        </pic:spPr>
                      </pic:pic>
                    </a:graphicData>
                  </a:graphic>
                </wp:inline>
              </w:drawing>
            </w:r>
          </w:p>
          <w:p w14:paraId="453698A8" w14:textId="0F084BF0" w:rsidR="00FD2B7B" w:rsidRDefault="00FD2B7B" w:rsidP="00FD2B7B">
            <w:pPr>
              <w:jc w:val="center"/>
            </w:pPr>
            <w:r w:rsidRPr="00FD2B7B">
              <w:t>Succession de petits barrages</w:t>
            </w:r>
            <w:r>
              <w:t>.</w:t>
            </w:r>
          </w:p>
        </w:tc>
        <w:tc>
          <w:tcPr>
            <w:tcW w:w="5208" w:type="dxa"/>
          </w:tcPr>
          <w:p w14:paraId="3CD38CAA" w14:textId="77777777" w:rsidR="00FD2B7B" w:rsidRDefault="00FD2B7B" w:rsidP="00FD2B7B">
            <w:pPr>
              <w:jc w:val="center"/>
            </w:pPr>
            <w:r w:rsidRPr="00FD2B7B">
              <w:rPr>
                <w:noProof/>
              </w:rPr>
              <w:drawing>
                <wp:inline distT="0" distB="0" distL="0" distR="0" wp14:anchorId="650E613B" wp14:editId="73B50DBD">
                  <wp:extent cx="2981325" cy="1676400"/>
                  <wp:effectExtent l="0" t="0" r="9525" b="0"/>
                  <wp:docPr id="31748"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9"/>
                          <pic:cNvPicPr>
                            <a:picLocks noChangeAspect="1"/>
                          </pic:cNvPicPr>
                        </pic:nvPicPr>
                        <pic:blipFill>
                          <a:blip r:embed="rId3645">
                            <a:extLst>
                              <a:ext uri="{28A0092B-C50C-407E-A947-70E740481C1C}">
                                <a14:useLocalDpi xmlns:a14="http://schemas.microsoft.com/office/drawing/2010/main" val="0"/>
                              </a:ext>
                            </a:extLst>
                          </a:blip>
                          <a:stretch>
                            <a:fillRect/>
                          </a:stretch>
                        </pic:blipFill>
                        <pic:spPr>
                          <a:xfrm>
                            <a:off x="0" y="0"/>
                            <a:ext cx="2981325" cy="1676400"/>
                          </a:xfrm>
                          <a:prstGeom prst="rect">
                            <a:avLst/>
                          </a:prstGeom>
                        </pic:spPr>
                      </pic:pic>
                    </a:graphicData>
                  </a:graphic>
                </wp:inline>
              </w:drawing>
            </w:r>
          </w:p>
          <w:p w14:paraId="5A8B4CCE" w14:textId="65C2836A" w:rsidR="00FD2B7B" w:rsidRDefault="00FD2B7B" w:rsidP="00FD2B7B">
            <w:pPr>
              <w:jc w:val="center"/>
            </w:pPr>
            <w:r w:rsidRPr="00FD2B7B">
              <w:t>Vérification du barrage.</w:t>
            </w:r>
          </w:p>
        </w:tc>
      </w:tr>
      <w:tr w:rsidR="00FD2B7B" w14:paraId="168AD664" w14:textId="77777777" w:rsidTr="00FD2B7B">
        <w:tc>
          <w:tcPr>
            <w:tcW w:w="5208" w:type="dxa"/>
          </w:tcPr>
          <w:p w14:paraId="4D4C63A5" w14:textId="77777777" w:rsidR="00FD2B7B" w:rsidRDefault="00FD2B7B" w:rsidP="00FD2B7B">
            <w:pPr>
              <w:jc w:val="center"/>
            </w:pPr>
            <w:r w:rsidRPr="00FD2B7B">
              <w:rPr>
                <w:noProof/>
              </w:rPr>
              <w:drawing>
                <wp:inline distT="0" distB="0" distL="0" distR="0" wp14:anchorId="2F2EE382" wp14:editId="34DAC852">
                  <wp:extent cx="2962275" cy="1676400"/>
                  <wp:effectExtent l="0" t="0" r="9525" b="0"/>
                  <wp:docPr id="31749"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1"/>
                          <pic:cNvPicPr>
                            <a:picLocks noChangeAspect="1"/>
                          </pic:cNvPicPr>
                        </pic:nvPicPr>
                        <pic:blipFill>
                          <a:blip r:embed="rId3646">
                            <a:extLst>
                              <a:ext uri="{28A0092B-C50C-407E-A947-70E740481C1C}">
                                <a14:useLocalDpi xmlns:a14="http://schemas.microsoft.com/office/drawing/2010/main" val="0"/>
                              </a:ext>
                            </a:extLst>
                          </a:blip>
                          <a:stretch>
                            <a:fillRect/>
                          </a:stretch>
                        </pic:blipFill>
                        <pic:spPr>
                          <a:xfrm>
                            <a:off x="0" y="0"/>
                            <a:ext cx="2962275" cy="1676400"/>
                          </a:xfrm>
                          <a:prstGeom prst="rect">
                            <a:avLst/>
                          </a:prstGeom>
                        </pic:spPr>
                      </pic:pic>
                    </a:graphicData>
                  </a:graphic>
                </wp:inline>
              </w:drawing>
            </w:r>
          </w:p>
          <w:p w14:paraId="1D1D7CA1" w14:textId="478EF343" w:rsidR="00FD2B7B" w:rsidRDefault="00FD2B7B" w:rsidP="00FD2B7B">
            <w:pPr>
              <w:jc w:val="center"/>
            </w:pPr>
            <w:r>
              <w:t>Citerne</w:t>
            </w:r>
          </w:p>
        </w:tc>
        <w:tc>
          <w:tcPr>
            <w:tcW w:w="5208" w:type="dxa"/>
          </w:tcPr>
          <w:p w14:paraId="1C593D6B" w14:textId="77777777" w:rsidR="00FD2B7B" w:rsidRDefault="00FD2B7B" w:rsidP="00FD2B7B">
            <w:pPr>
              <w:jc w:val="center"/>
            </w:pPr>
          </w:p>
          <w:p w14:paraId="224FAC71" w14:textId="62C78C2B" w:rsidR="00FD2B7B" w:rsidRDefault="00FD2B7B" w:rsidP="00FD2B7B">
            <w:pPr>
              <w:jc w:val="center"/>
            </w:pPr>
            <w:r w:rsidRPr="00FD2B7B">
              <w:rPr>
                <w:noProof/>
              </w:rPr>
              <w:drawing>
                <wp:inline distT="0" distB="0" distL="0" distR="0" wp14:anchorId="4278967E" wp14:editId="27322DA0">
                  <wp:extent cx="2641321" cy="1481510"/>
                  <wp:effectExtent l="0" t="0" r="6985" b="4445"/>
                  <wp:docPr id="31750"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5"/>
                          <pic:cNvPicPr>
                            <a:picLocks noChangeAspect="1"/>
                          </pic:cNvPicPr>
                        </pic:nvPicPr>
                        <pic:blipFill>
                          <a:blip r:embed="rId3647">
                            <a:extLst>
                              <a:ext uri="{28A0092B-C50C-407E-A947-70E740481C1C}">
                                <a14:useLocalDpi xmlns:a14="http://schemas.microsoft.com/office/drawing/2010/main" val="0"/>
                              </a:ext>
                            </a:extLst>
                          </a:blip>
                          <a:stretch>
                            <a:fillRect/>
                          </a:stretch>
                        </pic:blipFill>
                        <pic:spPr>
                          <a:xfrm>
                            <a:off x="0" y="0"/>
                            <a:ext cx="2641321" cy="1481510"/>
                          </a:xfrm>
                          <a:prstGeom prst="rect">
                            <a:avLst/>
                          </a:prstGeom>
                        </pic:spPr>
                      </pic:pic>
                    </a:graphicData>
                  </a:graphic>
                </wp:inline>
              </w:drawing>
            </w:r>
          </w:p>
          <w:p w14:paraId="0F42F3AC" w14:textId="014F85AA" w:rsidR="00FD2B7B" w:rsidRDefault="00FD2B7B" w:rsidP="00FD2B7B">
            <w:pPr>
              <w:jc w:val="center"/>
            </w:pPr>
            <w:r>
              <w:t>Puits</w:t>
            </w:r>
          </w:p>
        </w:tc>
      </w:tr>
      <w:tr w:rsidR="00FD2B7B" w14:paraId="1C0B8C4A" w14:textId="77777777" w:rsidTr="00FD2B7B">
        <w:tc>
          <w:tcPr>
            <w:tcW w:w="5208" w:type="dxa"/>
          </w:tcPr>
          <w:p w14:paraId="23C00BDB" w14:textId="77777777" w:rsidR="00FD2B7B" w:rsidRDefault="00FD2B7B" w:rsidP="00FD2B7B">
            <w:pPr>
              <w:jc w:val="center"/>
            </w:pPr>
            <w:r w:rsidRPr="00FD2B7B">
              <w:rPr>
                <w:noProof/>
              </w:rPr>
              <w:drawing>
                <wp:inline distT="0" distB="0" distL="0" distR="0" wp14:anchorId="3C1F81A2" wp14:editId="1FBD07A9">
                  <wp:extent cx="2219325" cy="1257300"/>
                  <wp:effectExtent l="0" t="0" r="9525" b="0"/>
                  <wp:docPr id="31751"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3"/>
                          <pic:cNvPicPr>
                            <a:picLocks noChangeAspect="1"/>
                          </pic:cNvPicPr>
                        </pic:nvPicPr>
                        <pic:blipFill>
                          <a:blip r:embed="rId3648">
                            <a:extLst>
                              <a:ext uri="{28A0092B-C50C-407E-A947-70E740481C1C}">
                                <a14:useLocalDpi xmlns:a14="http://schemas.microsoft.com/office/drawing/2010/main" val="0"/>
                              </a:ext>
                            </a:extLst>
                          </a:blip>
                          <a:stretch>
                            <a:fillRect/>
                          </a:stretch>
                        </pic:blipFill>
                        <pic:spPr>
                          <a:xfrm>
                            <a:off x="0" y="0"/>
                            <a:ext cx="2219325" cy="1257300"/>
                          </a:xfrm>
                          <a:prstGeom prst="rect">
                            <a:avLst/>
                          </a:prstGeom>
                        </pic:spPr>
                      </pic:pic>
                    </a:graphicData>
                  </a:graphic>
                </wp:inline>
              </w:drawing>
            </w:r>
          </w:p>
          <w:p w14:paraId="1B46D6DB" w14:textId="46AFFD9C" w:rsidR="00FD2B7B" w:rsidRDefault="00FD2B7B" w:rsidP="00FD2B7B">
            <w:pPr>
              <w:jc w:val="center"/>
            </w:pPr>
            <w:r w:rsidRPr="00FD2B7B">
              <w:t>Johad (levée de terre)</w:t>
            </w:r>
            <w:r>
              <w:t>.</w:t>
            </w:r>
          </w:p>
        </w:tc>
        <w:tc>
          <w:tcPr>
            <w:tcW w:w="5208" w:type="dxa"/>
          </w:tcPr>
          <w:p w14:paraId="07AD3D0B" w14:textId="77777777" w:rsidR="00FD2B7B" w:rsidRDefault="00FD2B7B" w:rsidP="00FD2B7B">
            <w:pPr>
              <w:jc w:val="center"/>
            </w:pPr>
          </w:p>
        </w:tc>
      </w:tr>
    </w:tbl>
    <w:p w14:paraId="6CBC632B" w14:textId="67DC4C02" w:rsidR="00FD2B7B" w:rsidRDefault="008E28ED" w:rsidP="00F762EF">
      <w:pPr>
        <w:spacing w:after="0" w:line="240" w:lineRule="auto"/>
        <w:jc w:val="both"/>
      </w:pPr>
      <w:r>
        <w:rPr>
          <w:rFonts w:cstheme="minorHAnsi"/>
        </w:rPr>
        <w:t>↑</w:t>
      </w:r>
      <w:r>
        <w:t xml:space="preserve"> </w:t>
      </w:r>
      <w:r w:rsidR="00FD2B7B">
        <w:t>C</w:t>
      </w:r>
      <w:r w:rsidR="00FD2B7B" w:rsidRPr="00FD2B7B">
        <w:t>onstruction de de puits, de réservoirs, barrages en pierre consolidé et mortier, nécessitant la présence d’experts.</w:t>
      </w:r>
    </w:p>
    <w:p w14:paraId="24FBBBBF" w14:textId="685E44A2" w:rsidR="00FD2B7B" w:rsidRDefault="00FD2B7B" w:rsidP="00FD2B7B">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17"/>
        <w:gridCol w:w="5299"/>
      </w:tblGrid>
      <w:tr w:rsidR="00A51691" w14:paraId="407BE7FB" w14:textId="77777777" w:rsidTr="008E28ED">
        <w:tc>
          <w:tcPr>
            <w:tcW w:w="5117" w:type="dxa"/>
          </w:tcPr>
          <w:p w14:paraId="3D446947" w14:textId="77777777" w:rsidR="00A51691" w:rsidRDefault="0010796F" w:rsidP="00A51691">
            <w:pPr>
              <w:jc w:val="center"/>
            </w:pPr>
            <w:r w:rsidRPr="0010796F">
              <w:rPr>
                <w:noProof/>
              </w:rPr>
              <w:drawing>
                <wp:inline distT="0" distB="0" distL="0" distR="0" wp14:anchorId="5F8984C0" wp14:editId="39B697A3">
                  <wp:extent cx="2238375" cy="1247775"/>
                  <wp:effectExtent l="0" t="0" r="9525" b="9525"/>
                  <wp:docPr id="31761"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8"/>
                          <pic:cNvPicPr>
                            <a:picLocks noChangeAspect="1"/>
                          </pic:cNvPicPr>
                        </pic:nvPicPr>
                        <pic:blipFill>
                          <a:blip r:embed="rId3649">
                            <a:extLst>
                              <a:ext uri="{28A0092B-C50C-407E-A947-70E740481C1C}">
                                <a14:useLocalDpi xmlns:a14="http://schemas.microsoft.com/office/drawing/2010/main" val="0"/>
                              </a:ext>
                            </a:extLst>
                          </a:blip>
                          <a:stretch>
                            <a:fillRect/>
                          </a:stretch>
                        </pic:blipFill>
                        <pic:spPr>
                          <a:xfrm>
                            <a:off x="0" y="0"/>
                            <a:ext cx="2238375" cy="1247775"/>
                          </a:xfrm>
                          <a:prstGeom prst="rect">
                            <a:avLst/>
                          </a:prstGeom>
                        </pic:spPr>
                      </pic:pic>
                    </a:graphicData>
                  </a:graphic>
                </wp:inline>
              </w:drawing>
            </w:r>
          </w:p>
          <w:p w14:paraId="4A6C1FF2" w14:textId="77777777" w:rsidR="0010796F" w:rsidRDefault="0010796F" w:rsidP="0010796F">
            <w:pPr>
              <w:jc w:val="center"/>
            </w:pPr>
            <w:r w:rsidRPr="0010796F">
              <w:t>Creusement de la baissière ou du canal.</w:t>
            </w:r>
          </w:p>
          <w:p w14:paraId="1EC70931" w14:textId="00E7747A" w:rsidR="00F762EF" w:rsidRPr="00A51691" w:rsidRDefault="00F762EF" w:rsidP="0010796F">
            <w:pPr>
              <w:jc w:val="center"/>
            </w:pPr>
          </w:p>
        </w:tc>
        <w:tc>
          <w:tcPr>
            <w:tcW w:w="5299" w:type="dxa"/>
          </w:tcPr>
          <w:p w14:paraId="6092CD00" w14:textId="77777777" w:rsidR="00A51691" w:rsidRDefault="0010796F" w:rsidP="00A51691">
            <w:pPr>
              <w:jc w:val="center"/>
            </w:pPr>
            <w:r w:rsidRPr="0010796F">
              <w:rPr>
                <w:noProof/>
              </w:rPr>
              <w:drawing>
                <wp:inline distT="0" distB="0" distL="0" distR="0" wp14:anchorId="1E2DAF1B" wp14:editId="59A36A69">
                  <wp:extent cx="2228850" cy="1238250"/>
                  <wp:effectExtent l="0" t="0" r="0" b="0"/>
                  <wp:docPr id="31762"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1"/>
                          <pic:cNvPicPr>
                            <a:picLocks noChangeAspect="1"/>
                          </pic:cNvPicPr>
                        </pic:nvPicPr>
                        <pic:blipFill>
                          <a:blip r:embed="rId3650">
                            <a:extLst>
                              <a:ext uri="{28A0092B-C50C-407E-A947-70E740481C1C}">
                                <a14:useLocalDpi xmlns:a14="http://schemas.microsoft.com/office/drawing/2010/main" val="0"/>
                              </a:ext>
                            </a:extLst>
                          </a:blip>
                          <a:stretch>
                            <a:fillRect/>
                          </a:stretch>
                        </pic:blipFill>
                        <pic:spPr>
                          <a:xfrm>
                            <a:off x="0" y="0"/>
                            <a:ext cx="2228850" cy="1238250"/>
                          </a:xfrm>
                          <a:prstGeom prst="rect">
                            <a:avLst/>
                          </a:prstGeom>
                        </pic:spPr>
                      </pic:pic>
                    </a:graphicData>
                  </a:graphic>
                </wp:inline>
              </w:drawing>
            </w:r>
          </w:p>
          <w:p w14:paraId="54B8615C" w14:textId="5D185D6E" w:rsidR="0010796F" w:rsidRPr="00A51691" w:rsidRDefault="0010796F" w:rsidP="0010796F">
            <w:pPr>
              <w:jc w:val="center"/>
            </w:pPr>
            <w:r w:rsidRPr="0010796F">
              <w:t>Plantation des arbres</w:t>
            </w:r>
            <w:r>
              <w:t>.</w:t>
            </w:r>
          </w:p>
        </w:tc>
      </w:tr>
      <w:tr w:rsidR="00A51691" w14:paraId="7F71F814" w14:textId="77777777" w:rsidTr="008E28ED">
        <w:tc>
          <w:tcPr>
            <w:tcW w:w="5117" w:type="dxa"/>
          </w:tcPr>
          <w:p w14:paraId="492F99A4" w14:textId="693F96CF" w:rsidR="00A51691" w:rsidRDefault="0010796F" w:rsidP="00A51691">
            <w:pPr>
              <w:jc w:val="center"/>
            </w:pPr>
            <w:r w:rsidRPr="0010796F">
              <w:rPr>
                <w:noProof/>
              </w:rPr>
              <w:lastRenderedPageBreak/>
              <w:drawing>
                <wp:inline distT="0" distB="0" distL="0" distR="0" wp14:anchorId="47897EAE" wp14:editId="00CDC03E">
                  <wp:extent cx="2600325" cy="1038225"/>
                  <wp:effectExtent l="0" t="0" r="9525" b="9525"/>
                  <wp:docPr id="31763"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0"/>
                          <pic:cNvPicPr>
                            <a:picLocks noChangeAspect="1"/>
                          </pic:cNvPicPr>
                        </pic:nvPicPr>
                        <pic:blipFill>
                          <a:blip r:embed="rId3651">
                            <a:extLst>
                              <a:ext uri="{28A0092B-C50C-407E-A947-70E740481C1C}">
                                <a14:useLocalDpi xmlns:a14="http://schemas.microsoft.com/office/drawing/2010/main" val="0"/>
                              </a:ext>
                            </a:extLst>
                          </a:blip>
                          <a:stretch>
                            <a:fillRect/>
                          </a:stretch>
                        </pic:blipFill>
                        <pic:spPr>
                          <a:xfrm>
                            <a:off x="0" y="0"/>
                            <a:ext cx="2600325" cy="1038225"/>
                          </a:xfrm>
                          <a:prstGeom prst="rect">
                            <a:avLst/>
                          </a:prstGeom>
                        </pic:spPr>
                      </pic:pic>
                    </a:graphicData>
                  </a:graphic>
                </wp:inline>
              </w:drawing>
            </w:r>
          </w:p>
          <w:p w14:paraId="3EC82C64" w14:textId="458D9287" w:rsidR="0010796F" w:rsidRPr="00A51691" w:rsidRDefault="0010796F" w:rsidP="0010796F">
            <w:pPr>
              <w:jc w:val="center"/>
            </w:pPr>
            <w:r w:rsidRPr="0010796F">
              <w:t>Plantation des arbres</w:t>
            </w:r>
            <w:r>
              <w:t>.</w:t>
            </w:r>
          </w:p>
        </w:tc>
        <w:tc>
          <w:tcPr>
            <w:tcW w:w="5299" w:type="dxa"/>
          </w:tcPr>
          <w:p w14:paraId="21FC2265" w14:textId="77777777" w:rsidR="00A51691" w:rsidRDefault="008E28ED" w:rsidP="00A51691">
            <w:pPr>
              <w:jc w:val="center"/>
            </w:pPr>
            <w:r w:rsidRPr="008E28ED">
              <w:rPr>
                <w:noProof/>
              </w:rPr>
              <w:drawing>
                <wp:inline distT="0" distB="0" distL="0" distR="0" wp14:anchorId="6CC0F5F1" wp14:editId="41A822A6">
                  <wp:extent cx="2971800" cy="1609725"/>
                  <wp:effectExtent l="0" t="0" r="0" b="9525"/>
                  <wp:docPr id="31764"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19"/>
                          <pic:cNvPicPr>
                            <a:picLocks noChangeAspect="1"/>
                          </pic:cNvPicPr>
                        </pic:nvPicPr>
                        <pic:blipFill>
                          <a:blip r:embed="rId3652">
                            <a:extLst>
                              <a:ext uri="{28A0092B-C50C-407E-A947-70E740481C1C}">
                                <a14:useLocalDpi xmlns:a14="http://schemas.microsoft.com/office/drawing/2010/main" val="0"/>
                              </a:ext>
                            </a:extLst>
                          </a:blip>
                          <a:stretch>
                            <a:fillRect/>
                          </a:stretch>
                        </pic:blipFill>
                        <pic:spPr>
                          <a:xfrm>
                            <a:off x="0" y="0"/>
                            <a:ext cx="2971800" cy="1609725"/>
                          </a:xfrm>
                          <a:prstGeom prst="rect">
                            <a:avLst/>
                          </a:prstGeom>
                        </pic:spPr>
                      </pic:pic>
                    </a:graphicData>
                  </a:graphic>
                </wp:inline>
              </w:drawing>
            </w:r>
          </w:p>
          <w:p w14:paraId="5A96519D" w14:textId="77777777" w:rsidR="008E28ED" w:rsidRDefault="008E28ED" w:rsidP="00A51691">
            <w:pPr>
              <w:jc w:val="center"/>
            </w:pPr>
            <w:r w:rsidRPr="008E28ED">
              <w:t>Plantation de grenadiers</w:t>
            </w:r>
            <w:r>
              <w:t>.</w:t>
            </w:r>
          </w:p>
          <w:p w14:paraId="205BDE75" w14:textId="7327D7FF" w:rsidR="008E28ED" w:rsidRPr="00A51691" w:rsidRDefault="008E28ED" w:rsidP="00A51691">
            <w:pPr>
              <w:jc w:val="center"/>
            </w:pPr>
          </w:p>
        </w:tc>
      </w:tr>
      <w:tr w:rsidR="008E28ED" w14:paraId="0EB3F229" w14:textId="77777777" w:rsidTr="008E28ED">
        <w:tc>
          <w:tcPr>
            <w:tcW w:w="5117" w:type="dxa"/>
          </w:tcPr>
          <w:p w14:paraId="58B68051" w14:textId="0E0BB6ED" w:rsidR="008E28ED" w:rsidRPr="00A51691" w:rsidRDefault="008E28ED" w:rsidP="00A51691">
            <w:pPr>
              <w:jc w:val="center"/>
            </w:pPr>
            <w:r w:rsidRPr="008E28ED">
              <w:rPr>
                <w:noProof/>
              </w:rPr>
              <w:drawing>
                <wp:inline distT="0" distB="0" distL="0" distR="0" wp14:anchorId="72754C81" wp14:editId="1904E9BA">
                  <wp:extent cx="2971800" cy="1190625"/>
                  <wp:effectExtent l="0" t="0" r="0" b="9525"/>
                  <wp:docPr id="31765"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4"/>
                          <pic:cNvPicPr>
                            <a:picLocks noChangeAspect="1"/>
                          </pic:cNvPicPr>
                        </pic:nvPicPr>
                        <pic:blipFill>
                          <a:blip r:embed="rId3653">
                            <a:extLst>
                              <a:ext uri="{28A0092B-C50C-407E-A947-70E740481C1C}">
                                <a14:useLocalDpi xmlns:a14="http://schemas.microsoft.com/office/drawing/2010/main" val="0"/>
                              </a:ext>
                            </a:extLst>
                          </a:blip>
                          <a:stretch>
                            <a:fillRect/>
                          </a:stretch>
                        </pic:blipFill>
                        <pic:spPr>
                          <a:xfrm>
                            <a:off x="0" y="0"/>
                            <a:ext cx="2971800" cy="1190625"/>
                          </a:xfrm>
                          <a:prstGeom prst="rect">
                            <a:avLst/>
                          </a:prstGeom>
                        </pic:spPr>
                      </pic:pic>
                    </a:graphicData>
                  </a:graphic>
                </wp:inline>
              </w:drawing>
            </w:r>
          </w:p>
        </w:tc>
        <w:tc>
          <w:tcPr>
            <w:tcW w:w="5299" w:type="dxa"/>
          </w:tcPr>
          <w:p w14:paraId="5924D8B9" w14:textId="77777777" w:rsidR="008E28ED" w:rsidRDefault="008E28ED" w:rsidP="00A51691">
            <w:pPr>
              <w:jc w:val="center"/>
            </w:pPr>
            <w:r w:rsidRPr="008E28ED">
              <w:rPr>
                <w:noProof/>
              </w:rPr>
              <w:drawing>
                <wp:inline distT="0" distB="0" distL="0" distR="0" wp14:anchorId="21ACE386" wp14:editId="00A151F7">
                  <wp:extent cx="2124075" cy="1238250"/>
                  <wp:effectExtent l="0" t="0" r="9525" b="0"/>
                  <wp:docPr id="31766"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5"/>
                          <pic:cNvPicPr>
                            <a:picLocks noChangeAspect="1"/>
                          </pic:cNvPicPr>
                        </pic:nvPicPr>
                        <pic:blipFill>
                          <a:blip r:embed="rId3654">
                            <a:extLst>
                              <a:ext uri="{28A0092B-C50C-407E-A947-70E740481C1C}">
                                <a14:useLocalDpi xmlns:a14="http://schemas.microsoft.com/office/drawing/2010/main" val="0"/>
                              </a:ext>
                            </a:extLst>
                          </a:blip>
                          <a:stretch>
                            <a:fillRect/>
                          </a:stretch>
                        </pic:blipFill>
                        <pic:spPr>
                          <a:xfrm>
                            <a:off x="0" y="0"/>
                            <a:ext cx="2124075" cy="1238250"/>
                          </a:xfrm>
                          <a:prstGeom prst="rect">
                            <a:avLst/>
                          </a:prstGeom>
                        </pic:spPr>
                      </pic:pic>
                    </a:graphicData>
                  </a:graphic>
                </wp:inline>
              </w:drawing>
            </w:r>
          </w:p>
          <w:p w14:paraId="6E0880D7" w14:textId="77777777" w:rsidR="008E28ED" w:rsidRPr="008E28ED" w:rsidRDefault="008E28ED" w:rsidP="008E28ED">
            <w:pPr>
              <w:jc w:val="center"/>
            </w:pPr>
            <w:r w:rsidRPr="008E28ED">
              <w:t>Irrigation par le goutte à goutte.</w:t>
            </w:r>
          </w:p>
          <w:p w14:paraId="6C658BE0" w14:textId="226D60BC" w:rsidR="008E28ED" w:rsidRPr="00A51691" w:rsidRDefault="008E28ED" w:rsidP="008E28ED"/>
        </w:tc>
      </w:tr>
      <w:tr w:rsidR="00A51691" w14:paraId="4898E1B9" w14:textId="77777777" w:rsidTr="008E28ED">
        <w:tc>
          <w:tcPr>
            <w:tcW w:w="5117" w:type="dxa"/>
          </w:tcPr>
          <w:p w14:paraId="111C0374" w14:textId="7EE09479" w:rsidR="00A51691" w:rsidRDefault="00A51691" w:rsidP="00A51691">
            <w:pPr>
              <w:jc w:val="center"/>
            </w:pPr>
            <w:r w:rsidRPr="00A51691">
              <w:rPr>
                <w:noProof/>
              </w:rPr>
              <w:drawing>
                <wp:inline distT="0" distB="0" distL="0" distR="0" wp14:anchorId="08ACD4EE" wp14:editId="69716262">
                  <wp:extent cx="2219325" cy="1866900"/>
                  <wp:effectExtent l="0" t="0" r="9525" b="0"/>
                  <wp:docPr id="31759"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pic:cNvPicPr>
                            <a:picLocks noChangeAspect="1"/>
                          </pic:cNvPicPr>
                        </pic:nvPicPr>
                        <pic:blipFill>
                          <a:blip r:embed="rId3655">
                            <a:extLst>
                              <a:ext uri="{28A0092B-C50C-407E-A947-70E740481C1C}">
                                <a14:useLocalDpi xmlns:a14="http://schemas.microsoft.com/office/drawing/2010/main" val="0"/>
                              </a:ext>
                            </a:extLst>
                          </a:blip>
                          <a:stretch>
                            <a:fillRect/>
                          </a:stretch>
                        </pic:blipFill>
                        <pic:spPr>
                          <a:xfrm>
                            <a:off x="0" y="0"/>
                            <a:ext cx="2219325" cy="1866900"/>
                          </a:xfrm>
                          <a:prstGeom prst="rect">
                            <a:avLst/>
                          </a:prstGeom>
                        </pic:spPr>
                      </pic:pic>
                    </a:graphicData>
                  </a:graphic>
                </wp:inline>
              </w:drawing>
            </w:r>
          </w:p>
        </w:tc>
        <w:tc>
          <w:tcPr>
            <w:tcW w:w="5299" w:type="dxa"/>
          </w:tcPr>
          <w:p w14:paraId="7ABD3B4D" w14:textId="7DB60A4F" w:rsidR="00A51691" w:rsidRDefault="00A51691" w:rsidP="00A51691">
            <w:pPr>
              <w:jc w:val="center"/>
            </w:pPr>
            <w:r w:rsidRPr="00A51691">
              <w:rPr>
                <w:noProof/>
              </w:rPr>
              <w:drawing>
                <wp:inline distT="0" distB="0" distL="0" distR="0" wp14:anchorId="4BB6680B" wp14:editId="4F6D9B4D">
                  <wp:extent cx="3228201" cy="1809750"/>
                  <wp:effectExtent l="0" t="0" r="0" b="0"/>
                  <wp:docPr id="31760"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6"/>
                          <pic:cNvPicPr>
                            <a:picLocks noChangeAspect="1"/>
                          </pic:cNvPicPr>
                        </pic:nvPicPr>
                        <pic:blipFill>
                          <a:blip r:embed="rId3656">
                            <a:extLst>
                              <a:ext uri="{28A0092B-C50C-407E-A947-70E740481C1C}">
                                <a14:useLocalDpi xmlns:a14="http://schemas.microsoft.com/office/drawing/2010/main" val="0"/>
                              </a:ext>
                            </a:extLst>
                          </a:blip>
                          <a:stretch>
                            <a:fillRect/>
                          </a:stretch>
                        </pic:blipFill>
                        <pic:spPr>
                          <a:xfrm>
                            <a:off x="0" y="0"/>
                            <a:ext cx="3237327" cy="1814866"/>
                          </a:xfrm>
                          <a:prstGeom prst="rect">
                            <a:avLst/>
                          </a:prstGeom>
                        </pic:spPr>
                      </pic:pic>
                    </a:graphicData>
                  </a:graphic>
                </wp:inline>
              </w:drawing>
            </w:r>
          </w:p>
        </w:tc>
      </w:tr>
    </w:tbl>
    <w:p w14:paraId="29F3FF4B" w14:textId="77777777" w:rsidR="00F762EF" w:rsidRDefault="00F762EF" w:rsidP="00A51691">
      <w:pPr>
        <w:spacing w:after="0" w:line="240" w:lineRule="auto"/>
        <w:jc w:val="both"/>
      </w:pPr>
    </w:p>
    <w:p w14:paraId="6983AC41" w14:textId="31126686" w:rsidR="00A51691" w:rsidRPr="00A51691" w:rsidRDefault="00A51691" w:rsidP="00A51691">
      <w:pPr>
        <w:spacing w:after="0" w:line="240" w:lineRule="auto"/>
        <w:jc w:val="both"/>
      </w:pPr>
      <w:r w:rsidRPr="00A51691">
        <w:t>Sans lunette ou jumelle de chantier, on peut mesurer l’altimétrie et la planimétrie pour les ouvrages à réaliser (baissières, canal d’irrigation …) avec ce dispositif simple (à niveau d’eau et vases communicants (?)). On pourrait aussi le réaliser avec le compas égyptien.</w:t>
      </w:r>
    </w:p>
    <w:p w14:paraId="50B713FB" w14:textId="77777777" w:rsidR="00407060" w:rsidRPr="00F92907" w:rsidRDefault="00407060" w:rsidP="00134A85">
      <w:pPr>
        <w:spacing w:after="0" w:line="240" w:lineRule="auto"/>
        <w:jc w:val="both"/>
      </w:pPr>
    </w:p>
    <w:p w14:paraId="0A8AD544" w14:textId="4BF43CB6" w:rsidR="004A63E1" w:rsidRDefault="004A63E1" w:rsidP="004A63E1">
      <w:pPr>
        <w:pStyle w:val="Titre2"/>
      </w:pPr>
      <w:bookmarkStart w:id="322" w:name="_Toc139181613"/>
      <w:r w:rsidRPr="004A63E1">
        <w:t>Création de variétés alimentaires résistantes au sels</w:t>
      </w:r>
      <w:bookmarkEnd w:id="322"/>
    </w:p>
    <w:p w14:paraId="73C9EB94" w14:textId="245F8853" w:rsidR="004A63E1" w:rsidRDefault="004A63E1" w:rsidP="00134A85">
      <w:pPr>
        <w:spacing w:after="0" w:line="240" w:lineRule="auto"/>
        <w:jc w:val="both"/>
      </w:pPr>
    </w:p>
    <w:p w14:paraId="56C0B59B" w14:textId="77777777" w:rsidR="004A63E1" w:rsidRPr="004A63E1" w:rsidRDefault="004A63E1" w:rsidP="004A63E1">
      <w:pPr>
        <w:numPr>
          <w:ilvl w:val="0"/>
          <w:numId w:val="115"/>
        </w:numPr>
        <w:spacing w:after="0" w:line="240" w:lineRule="auto"/>
        <w:jc w:val="both"/>
      </w:pPr>
      <w:r w:rsidRPr="004A63E1">
        <w:t>Des instituts comme « </w:t>
      </w:r>
      <w:r w:rsidRPr="004A63E1">
        <w:rPr>
          <w:b/>
          <w:bCs/>
        </w:rPr>
        <w:t>Salt Farm Texel</w:t>
      </w:r>
      <w:r w:rsidRPr="004A63E1">
        <w:t xml:space="preserve"> », au Pays-Bas, etc. essayent de créer des variétés résistantes au sel : pommes de terre, carottes, betteraves, tomates … </w:t>
      </w:r>
    </w:p>
    <w:p w14:paraId="3A03E8EE" w14:textId="4A0EDC26" w:rsidR="004A63E1" w:rsidRPr="004A63E1" w:rsidRDefault="004A63E1" w:rsidP="004A63E1">
      <w:pPr>
        <w:numPr>
          <w:ilvl w:val="0"/>
          <w:numId w:val="115"/>
        </w:numPr>
        <w:spacing w:after="0" w:line="240" w:lineRule="auto"/>
        <w:jc w:val="both"/>
      </w:pPr>
      <w:r>
        <w:t>Mais o</w:t>
      </w:r>
      <w:r w:rsidRPr="004A63E1">
        <w:t xml:space="preserve">n peut, malgré tout, s’attendre à des rendements plus faible qu’en agriculture conventionnelle. </w:t>
      </w:r>
    </w:p>
    <w:p w14:paraId="7FFD9FDB" w14:textId="37206822" w:rsidR="004A63E1" w:rsidRDefault="004A63E1" w:rsidP="00134A85">
      <w:pPr>
        <w:spacing w:after="0" w:line="240" w:lineRule="auto"/>
        <w:jc w:val="both"/>
      </w:pPr>
    </w:p>
    <w:p w14:paraId="2438CF5A" w14:textId="487BB820" w:rsidR="00C865FF" w:rsidRPr="00C865FF" w:rsidRDefault="00C865FF" w:rsidP="00C865FF">
      <w:pPr>
        <w:spacing w:after="0" w:line="240" w:lineRule="auto"/>
        <w:jc w:val="both"/>
      </w:pPr>
      <w:r w:rsidRPr="00C865FF">
        <w:t xml:space="preserve">Sources : a) </w:t>
      </w:r>
      <w:hyperlink r:id="rId3657" w:history="1">
        <w:r w:rsidRPr="00C865FF">
          <w:rPr>
            <w:rStyle w:val="Lienhypertexte"/>
          </w:rPr>
          <w:t>http://www.saltfarmtexel.com/</w:t>
        </w:r>
      </w:hyperlink>
      <w:r w:rsidRPr="00C865FF">
        <w:t xml:space="preserve">, b) </w:t>
      </w:r>
      <w:hyperlink r:id="rId3658" w:history="1">
        <w:r w:rsidRPr="00C865FF">
          <w:rPr>
            <w:rStyle w:val="Lienhypertexte"/>
          </w:rPr>
          <w:t>https://twitter.com/SaltFarmTexel</w:t>
        </w:r>
      </w:hyperlink>
      <w:r w:rsidRPr="00C865FF">
        <w:t xml:space="preserve">, c) Emission Xenus, </w:t>
      </w:r>
      <w:r w:rsidRPr="00C865FF">
        <w:rPr>
          <w:i/>
          <w:iCs/>
        </w:rPr>
        <w:t xml:space="preserve">Que faire contre la faim dans le monde ? </w:t>
      </w:r>
      <w:r w:rsidRPr="00C865FF">
        <w:t>ARTE-WDR, 2015.</w:t>
      </w:r>
    </w:p>
    <w:p w14:paraId="7147C162" w14:textId="4D537140" w:rsidR="004A63E1" w:rsidRDefault="004A63E1" w:rsidP="00134A85">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C865FF" w14:paraId="6DF009A4" w14:textId="77777777" w:rsidTr="00C865FF">
        <w:tc>
          <w:tcPr>
            <w:tcW w:w="5208" w:type="dxa"/>
          </w:tcPr>
          <w:p w14:paraId="4091EBDD" w14:textId="77777777" w:rsidR="00C865FF" w:rsidRDefault="00C865FF" w:rsidP="00C865FF">
            <w:pPr>
              <w:jc w:val="center"/>
            </w:pPr>
            <w:r w:rsidRPr="00C865FF">
              <w:rPr>
                <w:noProof/>
              </w:rPr>
              <w:lastRenderedPageBreak/>
              <w:drawing>
                <wp:inline distT="0" distB="0" distL="0" distR="0" wp14:anchorId="26032C4F" wp14:editId="660B760C">
                  <wp:extent cx="3056970" cy="3314700"/>
                  <wp:effectExtent l="0" t="0" r="0" b="0"/>
                  <wp:docPr id="89109"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7"/>
                          <pic:cNvPicPr>
                            <a:picLocks noChangeAspect="1"/>
                          </pic:cNvPicPr>
                        </pic:nvPicPr>
                        <pic:blipFill>
                          <a:blip r:embed="rId3659">
                            <a:extLst>
                              <a:ext uri="{28A0092B-C50C-407E-A947-70E740481C1C}">
                                <a14:useLocalDpi xmlns:a14="http://schemas.microsoft.com/office/drawing/2010/main" val="0"/>
                              </a:ext>
                            </a:extLst>
                          </a:blip>
                          <a:stretch>
                            <a:fillRect/>
                          </a:stretch>
                        </pic:blipFill>
                        <pic:spPr>
                          <a:xfrm>
                            <a:off x="0" y="0"/>
                            <a:ext cx="3057050" cy="3314787"/>
                          </a:xfrm>
                          <a:prstGeom prst="rect">
                            <a:avLst/>
                          </a:prstGeom>
                        </pic:spPr>
                      </pic:pic>
                    </a:graphicData>
                  </a:graphic>
                </wp:inline>
              </w:drawing>
            </w:r>
          </w:p>
          <w:p w14:paraId="05A1C339" w14:textId="1AEC3689" w:rsidR="00C865FF" w:rsidRDefault="00C865FF" w:rsidP="00C865FF">
            <w:pPr>
              <w:jc w:val="center"/>
            </w:pPr>
            <w:r w:rsidRPr="00C865FF">
              <w:t xml:space="preserve">Source : </w:t>
            </w:r>
            <w:hyperlink r:id="rId3660" w:history="1">
              <w:r w:rsidRPr="00C865FF">
                <w:rPr>
                  <w:rStyle w:val="Lienhypertexte"/>
                </w:rPr>
                <w:t>https://twitter.com/SaltFarmTexel</w:t>
              </w:r>
            </w:hyperlink>
            <w:r w:rsidRPr="00C865FF">
              <w:t xml:space="preserve"> </w:t>
            </w:r>
          </w:p>
        </w:tc>
        <w:tc>
          <w:tcPr>
            <w:tcW w:w="5208" w:type="dxa"/>
          </w:tcPr>
          <w:p w14:paraId="3644D74D" w14:textId="77777777" w:rsidR="00C865FF" w:rsidRDefault="00C865FF" w:rsidP="00C865FF">
            <w:pPr>
              <w:jc w:val="center"/>
            </w:pPr>
          </w:p>
          <w:p w14:paraId="6F6FF3BC" w14:textId="77777777" w:rsidR="00C865FF" w:rsidRDefault="00C865FF" w:rsidP="00C865FF">
            <w:pPr>
              <w:jc w:val="center"/>
            </w:pPr>
            <w:r w:rsidRPr="00C865FF">
              <w:rPr>
                <w:noProof/>
              </w:rPr>
              <w:drawing>
                <wp:inline distT="0" distB="0" distL="0" distR="0" wp14:anchorId="011430FC" wp14:editId="7EA7D20A">
                  <wp:extent cx="1524000" cy="1066800"/>
                  <wp:effectExtent l="0" t="0" r="0" b="0"/>
                  <wp:docPr id="89110"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3"/>
                          <pic:cNvPicPr>
                            <a:picLocks noChangeAspect="1"/>
                          </pic:cNvPicPr>
                        </pic:nvPicPr>
                        <pic:blipFill>
                          <a:blip r:embed="rId3661"/>
                          <a:stretch>
                            <a:fillRect/>
                          </a:stretch>
                        </pic:blipFill>
                        <pic:spPr>
                          <a:xfrm>
                            <a:off x="0" y="0"/>
                            <a:ext cx="1524000" cy="1066800"/>
                          </a:xfrm>
                          <a:prstGeom prst="rect">
                            <a:avLst/>
                          </a:prstGeom>
                        </pic:spPr>
                      </pic:pic>
                    </a:graphicData>
                  </a:graphic>
                </wp:inline>
              </w:drawing>
            </w:r>
            <w:r>
              <w:t xml:space="preserve"> </w:t>
            </w:r>
            <w:r w:rsidRPr="00C865FF">
              <w:rPr>
                <w:noProof/>
              </w:rPr>
              <w:drawing>
                <wp:inline distT="0" distB="0" distL="0" distR="0" wp14:anchorId="36CD4160" wp14:editId="7B51CB2D">
                  <wp:extent cx="1504950" cy="1028700"/>
                  <wp:effectExtent l="0" t="0" r="0" b="0"/>
                  <wp:docPr id="89111"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4"/>
                          <pic:cNvPicPr>
                            <a:picLocks noChangeAspect="1"/>
                          </pic:cNvPicPr>
                        </pic:nvPicPr>
                        <pic:blipFill>
                          <a:blip r:embed="rId3662"/>
                          <a:stretch>
                            <a:fillRect/>
                          </a:stretch>
                        </pic:blipFill>
                        <pic:spPr>
                          <a:xfrm>
                            <a:off x="0" y="0"/>
                            <a:ext cx="1504950" cy="1028700"/>
                          </a:xfrm>
                          <a:prstGeom prst="rect">
                            <a:avLst/>
                          </a:prstGeom>
                        </pic:spPr>
                      </pic:pic>
                    </a:graphicData>
                  </a:graphic>
                </wp:inline>
              </w:drawing>
            </w:r>
          </w:p>
          <w:p w14:paraId="56FFA0EE" w14:textId="7C7191AD" w:rsidR="00C865FF" w:rsidRPr="00C865FF" w:rsidRDefault="00C865FF" w:rsidP="00C865FF">
            <w:pPr>
              <w:jc w:val="center"/>
            </w:pPr>
            <w:r w:rsidRPr="00C865FF">
              <w:t>Carottes poussant avec un taux de salinité de 12 dS/m</w:t>
            </w:r>
            <w:r>
              <w:t xml:space="preserve"> </w:t>
            </w:r>
            <w:r>
              <w:rPr>
                <w:rFonts w:cstheme="minorHAnsi"/>
              </w:rPr>
              <w:t>↑</w:t>
            </w:r>
          </w:p>
          <w:p w14:paraId="6DE9ACCA" w14:textId="77777777" w:rsidR="00C865FF" w:rsidRDefault="00C865FF" w:rsidP="00C865FF">
            <w:pPr>
              <w:jc w:val="center"/>
            </w:pPr>
            <w:r w:rsidRPr="00C865FF">
              <w:rPr>
                <w:noProof/>
              </w:rPr>
              <w:drawing>
                <wp:inline distT="0" distB="0" distL="0" distR="0" wp14:anchorId="369BE825" wp14:editId="1D57C21D">
                  <wp:extent cx="2718520" cy="1533525"/>
                  <wp:effectExtent l="0" t="0" r="5715" b="0"/>
                  <wp:docPr id="89112"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0"/>
                          <pic:cNvPicPr>
                            <a:picLocks noChangeAspect="1"/>
                          </pic:cNvPicPr>
                        </pic:nvPicPr>
                        <pic:blipFill>
                          <a:blip r:embed="rId3663">
                            <a:extLst>
                              <a:ext uri="{28A0092B-C50C-407E-A947-70E740481C1C}">
                                <a14:useLocalDpi xmlns:a14="http://schemas.microsoft.com/office/drawing/2010/main" val="0"/>
                              </a:ext>
                            </a:extLst>
                          </a:blip>
                          <a:stretch>
                            <a:fillRect/>
                          </a:stretch>
                        </pic:blipFill>
                        <pic:spPr>
                          <a:xfrm>
                            <a:off x="0" y="0"/>
                            <a:ext cx="2719854" cy="1534278"/>
                          </a:xfrm>
                          <a:prstGeom prst="rect">
                            <a:avLst/>
                          </a:prstGeom>
                        </pic:spPr>
                      </pic:pic>
                    </a:graphicData>
                  </a:graphic>
                </wp:inline>
              </w:drawing>
            </w:r>
          </w:p>
          <w:p w14:paraId="29CB0E4B" w14:textId="1E4CAB66" w:rsidR="00C865FF" w:rsidRDefault="00C865FF" w:rsidP="00C865FF">
            <w:pPr>
              <w:jc w:val="center"/>
            </w:pPr>
            <w:r w:rsidRPr="00C865FF">
              <w:t xml:space="preserve">Essais de variétés de pommes de terre résistantes au sel,  au Pakistan. Source : </w:t>
            </w:r>
            <w:hyperlink r:id="rId3664" w:history="1">
              <w:r w:rsidRPr="00C865FF">
                <w:rPr>
                  <w:rStyle w:val="Lienhypertexte"/>
                </w:rPr>
                <w:t>https://twitter.com/SaltFarmTexel</w:t>
              </w:r>
            </w:hyperlink>
            <w:r w:rsidRPr="00C865FF">
              <w:t xml:space="preserve"> </w:t>
            </w:r>
          </w:p>
        </w:tc>
      </w:tr>
    </w:tbl>
    <w:p w14:paraId="1F90C513" w14:textId="0FEEA434" w:rsidR="000C79E6" w:rsidRDefault="000C79E6" w:rsidP="00134A85">
      <w:pPr>
        <w:spacing w:after="0" w:line="240" w:lineRule="auto"/>
        <w:jc w:val="both"/>
      </w:pPr>
    </w:p>
    <w:p w14:paraId="511E1896" w14:textId="613F803E" w:rsidR="00A65618" w:rsidRDefault="00A65618" w:rsidP="00A65618">
      <w:pPr>
        <w:pStyle w:val="Titre2"/>
      </w:pPr>
      <w:bookmarkStart w:id="323" w:name="_Toc139181614"/>
      <w:r w:rsidRPr="00A65618">
        <w:t xml:space="preserve">Utilisation de la bactérie </w:t>
      </w:r>
      <w:r w:rsidRPr="00A65618">
        <w:rPr>
          <w:i/>
          <w:iCs/>
        </w:rPr>
        <w:t>Pseudomonas extremorientalis</w:t>
      </w:r>
      <w:r w:rsidRPr="00A65618">
        <w:t xml:space="preserve"> pour améliorer la résistance des plantes au sel</w:t>
      </w:r>
      <w:bookmarkEnd w:id="323"/>
    </w:p>
    <w:p w14:paraId="5C27C1BC" w14:textId="7C4022C2" w:rsidR="00A65618" w:rsidRDefault="00A65618" w:rsidP="00134A85">
      <w:pPr>
        <w:spacing w:after="0" w:line="240" w:lineRule="auto"/>
        <w:jc w:val="both"/>
      </w:pPr>
    </w:p>
    <w:p w14:paraId="6A7015F5" w14:textId="176D051E" w:rsidR="00A65618" w:rsidRDefault="00A65618" w:rsidP="00A65618">
      <w:pPr>
        <w:spacing w:after="0" w:line="240" w:lineRule="auto"/>
        <w:jc w:val="both"/>
      </w:pPr>
      <w:r w:rsidRPr="00A65618">
        <w:t xml:space="preserve">La microbiologiste ouzbek Dilfuza  Egamberdieva, chef de groupe à l'Université nationale de l'Ouzbékistan, à Tachkent, a isolé des souches bactériennes résistantes au sel qui vivent dans les sols salins-dégradé, où ils aident le processus d'enracinement des plantes. Dans son enquête, Egamberdieva a repéré des bactéries résistantes au sel, bénéfiques pour le sol, aidant les plantes à mieux pousser, ne nuisant pas aux hommes. Ces bactéries se retrouvent autour des racines des plantes. «Nous avons constaté que les bactéries de la famille des </w:t>
      </w:r>
      <w:r w:rsidRPr="00A65618">
        <w:rPr>
          <w:i/>
          <w:iCs/>
        </w:rPr>
        <w:t>Pseudomonas</w:t>
      </w:r>
      <w:r w:rsidRPr="00A65618">
        <w:t xml:space="preserve">, en particulier </w:t>
      </w:r>
      <w:r w:rsidRPr="00A65618">
        <w:rPr>
          <w:b/>
          <w:bCs/>
          <w:i/>
          <w:iCs/>
        </w:rPr>
        <w:t>Pseudomonas extremorientalis</w:t>
      </w:r>
      <w:r w:rsidRPr="00A65618">
        <w:t xml:space="preserve">, sont résistantes au sel et poussent à proximité des racines, où elles sont en concurrence avec d'autres bactéries, pour la colonisation. Au contraire, les bactéries pathogènes peuvent pas coloniser activement les racines des plantes. Alors que les </w:t>
      </w:r>
      <w:r w:rsidRPr="00A65618">
        <w:rPr>
          <w:i/>
          <w:iCs/>
        </w:rPr>
        <w:t>Pseudomonas</w:t>
      </w:r>
      <w:r w:rsidRPr="00A65618">
        <w:t xml:space="preserve"> produisent des antibiotiques que les plantes utilisent pour se défendre contre les champignons, déclenchant le processus d'enracinement et produisant des facteurs de promotion de la nodulation, donnant ainsi à la végétation de meilleures chances de fixer l'azote et de grandir ensemble ». En échange de ces faveurs, les plantes sécrètent des exsudats utiles pour les bactéries.</w:t>
      </w:r>
    </w:p>
    <w:p w14:paraId="43826809" w14:textId="7E199F4B" w:rsidR="00A65618" w:rsidRPr="007B1CA0" w:rsidRDefault="00A65618" w:rsidP="00134A85">
      <w:pPr>
        <w:spacing w:after="0" w:line="240" w:lineRule="auto"/>
        <w:jc w:val="both"/>
      </w:pPr>
    </w:p>
    <w:p w14:paraId="3800F2BD" w14:textId="71C01C6F" w:rsidR="00A65618" w:rsidRDefault="00A65618" w:rsidP="00A65618">
      <w:pPr>
        <w:spacing w:after="0" w:line="240" w:lineRule="auto"/>
        <w:jc w:val="center"/>
        <w:rPr>
          <w:lang w:val="en-GB"/>
        </w:rPr>
      </w:pPr>
      <w:r w:rsidRPr="00A65618">
        <w:rPr>
          <w:noProof/>
        </w:rPr>
        <w:drawing>
          <wp:inline distT="0" distB="0" distL="0" distR="0" wp14:anchorId="72F1A9D3" wp14:editId="16DE6DC6">
            <wp:extent cx="1990725" cy="1440259"/>
            <wp:effectExtent l="0" t="0" r="0" b="7620"/>
            <wp:docPr id="206851" name="Image 2" descr="Pseudomonas extremorienta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51" name="Image 2" descr="Pseudomonas extremorientalis.jpg"/>
                    <pic:cNvPicPr>
                      <a:picLocks noChangeAspect="1"/>
                    </pic:cNvPicPr>
                  </pic:nvPicPr>
                  <pic:blipFill>
                    <a:blip r:embed="rId3665">
                      <a:extLst>
                        <a:ext uri="{28A0092B-C50C-407E-A947-70E740481C1C}">
                          <a14:useLocalDpi xmlns:a14="http://schemas.microsoft.com/office/drawing/2010/main" val="0"/>
                        </a:ext>
                      </a:extLst>
                    </a:blip>
                    <a:srcRect/>
                    <a:stretch>
                      <a:fillRect/>
                    </a:stretch>
                  </pic:blipFill>
                  <pic:spPr bwMode="auto">
                    <a:xfrm>
                      <a:off x="0" y="0"/>
                      <a:ext cx="1992367" cy="1441447"/>
                    </a:xfrm>
                    <a:prstGeom prst="rect">
                      <a:avLst/>
                    </a:prstGeom>
                    <a:noFill/>
                    <a:ln>
                      <a:noFill/>
                    </a:ln>
                  </pic:spPr>
                </pic:pic>
              </a:graphicData>
            </a:graphic>
          </wp:inline>
        </w:drawing>
      </w:r>
    </w:p>
    <w:p w14:paraId="05BD038A" w14:textId="0F5953A8" w:rsidR="00A65618" w:rsidRDefault="00A65618" w:rsidP="00A65618">
      <w:pPr>
        <w:spacing w:after="0" w:line="240" w:lineRule="auto"/>
        <w:jc w:val="center"/>
      </w:pPr>
      <w:r w:rsidRPr="00A65618">
        <w:rPr>
          <w:i/>
          <w:iCs/>
        </w:rPr>
        <w:t xml:space="preserve">Pseudomonas extremorientalis </w:t>
      </w:r>
      <w:r w:rsidRPr="00A65618">
        <w:t xml:space="preserve">est semblable à cette bactérie (ici photo de </w:t>
      </w:r>
      <w:r w:rsidRPr="00A65618">
        <w:rPr>
          <w:i/>
          <w:iCs/>
        </w:rPr>
        <w:t>Pseudomonas aeruginosa</w:t>
      </w:r>
      <w:r w:rsidRPr="00A65618">
        <w:t>)</w:t>
      </w:r>
      <w:r>
        <w:t>.</w:t>
      </w:r>
    </w:p>
    <w:p w14:paraId="21DCC085" w14:textId="77777777" w:rsidR="00A65618" w:rsidRPr="00A65618" w:rsidRDefault="00A65618" w:rsidP="00A65618">
      <w:pPr>
        <w:spacing w:after="0" w:line="240" w:lineRule="auto"/>
        <w:jc w:val="both"/>
      </w:pPr>
    </w:p>
    <w:p w14:paraId="2CD26910" w14:textId="77777777" w:rsidR="00A65618" w:rsidRPr="00A65618" w:rsidRDefault="00A65618" w:rsidP="00A65618">
      <w:pPr>
        <w:spacing w:after="0" w:line="240" w:lineRule="auto"/>
        <w:jc w:val="both"/>
      </w:pPr>
      <w:r w:rsidRPr="00A65618">
        <w:rPr>
          <w:u w:val="single"/>
        </w:rPr>
        <w:t>Note</w:t>
      </w:r>
      <w:r w:rsidRPr="00A65618">
        <w:t xml:space="preserve"> : Elle a fait l’essai avec le haricot commun (</w:t>
      </w:r>
      <w:r w:rsidRPr="00A65618">
        <w:rPr>
          <w:i/>
          <w:iCs/>
        </w:rPr>
        <w:t>Phaseolus vulgaris</w:t>
      </w:r>
      <w:r w:rsidRPr="00A65618">
        <w:t>), avec le chardon-marie (</w:t>
      </w:r>
      <w:r w:rsidRPr="00A65618">
        <w:rPr>
          <w:i/>
          <w:iCs/>
        </w:rPr>
        <w:t>Silybum marianum</w:t>
      </w:r>
      <w:r w:rsidRPr="00A65618">
        <w:t>) (une plante médicinale).</w:t>
      </w:r>
    </w:p>
    <w:p w14:paraId="1F154DE0" w14:textId="77777777" w:rsidR="00A65618" w:rsidRPr="00A65618" w:rsidRDefault="00A65618" w:rsidP="00A65618">
      <w:pPr>
        <w:spacing w:after="0" w:line="240" w:lineRule="auto"/>
        <w:rPr>
          <w:lang w:val="en-GB"/>
        </w:rPr>
      </w:pPr>
      <w:r w:rsidRPr="00A65618">
        <w:rPr>
          <w:lang w:val="en-GB"/>
        </w:rPr>
        <w:lastRenderedPageBreak/>
        <w:t xml:space="preserve">Source : </w:t>
      </w:r>
      <w:r w:rsidRPr="00A65618">
        <w:rPr>
          <w:i/>
          <w:iCs/>
          <w:lang w:val="en-GB"/>
        </w:rPr>
        <w:t>Salt-tolerant bacteria improve crop yields</w:t>
      </w:r>
      <w:r w:rsidRPr="00A65618">
        <w:rPr>
          <w:lang w:val="en-GB"/>
        </w:rPr>
        <w:t xml:space="preserve">, TWAS, October 6, 2013, </w:t>
      </w:r>
      <w:hyperlink r:id="rId3666" w:history="1">
        <w:r w:rsidRPr="00A65618">
          <w:rPr>
            <w:rStyle w:val="Lienhypertexte"/>
            <w:lang w:val="en-GB"/>
          </w:rPr>
          <w:t>http://www.sciencedaily.com/releases/2013/10/131006142707.htm</w:t>
        </w:r>
      </w:hyperlink>
      <w:r w:rsidRPr="00A65618">
        <w:rPr>
          <w:lang w:val="en-GB"/>
        </w:rPr>
        <w:t xml:space="preserve"> </w:t>
      </w:r>
    </w:p>
    <w:p w14:paraId="641ABE9B" w14:textId="77777777" w:rsidR="000C79E6" w:rsidRPr="00A65618" w:rsidRDefault="000C79E6" w:rsidP="00134A85">
      <w:pPr>
        <w:spacing w:after="0" w:line="240" w:lineRule="auto"/>
        <w:jc w:val="both"/>
        <w:rPr>
          <w:lang w:val="en-GB"/>
        </w:rPr>
      </w:pPr>
    </w:p>
    <w:p w14:paraId="15E84257" w14:textId="521D84E2" w:rsidR="00FB7871" w:rsidRPr="00FB7871" w:rsidRDefault="00FB7871" w:rsidP="000E5ADE">
      <w:pPr>
        <w:pStyle w:val="Titre2"/>
      </w:pPr>
      <w:bookmarkStart w:id="324" w:name="_Toc139181615"/>
      <w:r w:rsidRPr="00FB7871">
        <w:t>Les échecs</w:t>
      </w:r>
      <w:r w:rsidR="000E5ADE">
        <w:t xml:space="preserve"> dans le monde</w:t>
      </w:r>
      <w:bookmarkEnd w:id="324"/>
    </w:p>
    <w:p w14:paraId="766C60F4" w14:textId="1310B450" w:rsidR="00FB7871" w:rsidRDefault="00FB7871" w:rsidP="00134A85">
      <w:pPr>
        <w:spacing w:after="0" w:line="240" w:lineRule="auto"/>
        <w:jc w:val="both"/>
      </w:pPr>
    </w:p>
    <w:p w14:paraId="02E224F4" w14:textId="1D0CA798" w:rsidR="000E5ADE" w:rsidRDefault="000E5ADE" w:rsidP="000E5ADE">
      <w:pPr>
        <w:pStyle w:val="Titre3"/>
      </w:pPr>
      <w:bookmarkStart w:id="325" w:name="_Toc139181616"/>
      <w:r>
        <w:t>En Chine</w:t>
      </w:r>
      <w:bookmarkEnd w:id="325"/>
    </w:p>
    <w:p w14:paraId="0986392E" w14:textId="7D4C4DB5" w:rsidR="000E5ADE" w:rsidRDefault="000E5ADE" w:rsidP="00134A85">
      <w:pPr>
        <w:spacing w:after="0" w:line="240" w:lineRule="auto"/>
        <w:jc w:val="both"/>
      </w:pPr>
    </w:p>
    <w:p w14:paraId="734E1B34" w14:textId="29655884" w:rsidR="000E5ADE" w:rsidRDefault="000E5ADE" w:rsidP="000E5ADE">
      <w:pPr>
        <w:spacing w:after="0" w:line="240" w:lineRule="auto"/>
        <w:jc w:val="both"/>
      </w:pPr>
      <w:r>
        <w:t>La plantations de pins (en Chine) a provoqué l'épuisement des nappes phréatiques. Le désert de Mu Us a été massivement recouvert d'arbres pour lutter contre les tempêtes de sable. Une étude satellite américaine vient d'établir que son sous-sol avait perdu 21 km</w:t>
      </w:r>
      <w:r w:rsidR="001F1129">
        <w:t>3</w:t>
      </w:r>
      <w:r>
        <w:t xml:space="preserve"> d'eau ces deux dernières décennies.</w:t>
      </w:r>
    </w:p>
    <w:p w14:paraId="2D3641E5" w14:textId="60B22FF3" w:rsidR="00FB7871" w:rsidRDefault="00FB7871" w:rsidP="00134A85">
      <w:pPr>
        <w:spacing w:after="0" w:line="240" w:lineRule="auto"/>
        <w:jc w:val="both"/>
      </w:pPr>
    </w:p>
    <w:p w14:paraId="2EE658B1" w14:textId="6BBED5C9" w:rsidR="000E5ADE" w:rsidRDefault="000E5ADE" w:rsidP="000E5ADE">
      <w:pPr>
        <w:pStyle w:val="Titre2"/>
      </w:pPr>
      <w:bookmarkStart w:id="326" w:name="_Toc139181617"/>
      <w:r>
        <w:t>En Turquie</w:t>
      </w:r>
      <w:bookmarkEnd w:id="326"/>
    </w:p>
    <w:p w14:paraId="42ABD476" w14:textId="77777777" w:rsidR="00F762EF" w:rsidRDefault="00F762EF" w:rsidP="00134A85">
      <w:pPr>
        <w:spacing w:after="0" w:line="240" w:lineRule="auto"/>
        <w:jc w:val="both"/>
      </w:pPr>
    </w:p>
    <w:p w14:paraId="47CEB81C" w14:textId="6E25FEC6" w:rsidR="000E5ADE" w:rsidRDefault="00C57068" w:rsidP="00134A85">
      <w:pPr>
        <w:spacing w:after="0" w:line="240" w:lineRule="auto"/>
        <w:jc w:val="both"/>
      </w:pPr>
      <w:r>
        <w:t xml:space="preserve">La </w:t>
      </w:r>
      <w:r w:rsidRPr="00C57068">
        <w:t>sécheresse a déjà tué la quasi</w:t>
      </w:r>
      <w:r>
        <w:t>-</w:t>
      </w:r>
      <w:r w:rsidRPr="00C57068">
        <w:t>totalité des 11 millions de sapins plantés</w:t>
      </w:r>
      <w:r>
        <w:t>,</w:t>
      </w:r>
      <w:r w:rsidRPr="00C57068">
        <w:t xml:space="preserve"> en novembre 2019</w:t>
      </w:r>
      <w:r>
        <w:t>,</w:t>
      </w:r>
      <w:r w:rsidRPr="00C57068">
        <w:t xml:space="preserve"> en Turquie</w:t>
      </w:r>
      <w:r>
        <w:t>,</w:t>
      </w:r>
      <w:r w:rsidRPr="00C57068">
        <w:t xml:space="preserve"> lors de son opération</w:t>
      </w:r>
      <w:r w:rsidR="002A0E06">
        <w:t xml:space="preserve"> de reforestation massive</w:t>
      </w:r>
      <w:r w:rsidRPr="00C57068">
        <w:t xml:space="preserve"> </w:t>
      </w:r>
      <w:r w:rsidR="002A0E06" w:rsidRPr="002A0E06">
        <w:t>"</w:t>
      </w:r>
      <w:r w:rsidR="002A0E06" w:rsidRPr="00BE08F8">
        <w:rPr>
          <w:i/>
          <w:iCs/>
        </w:rPr>
        <w:t>Breath for the Future</w:t>
      </w:r>
      <w:r w:rsidR="002A0E06" w:rsidRPr="002A0E06">
        <w:t>" ("</w:t>
      </w:r>
      <w:r w:rsidR="002A0E06" w:rsidRPr="00BE08F8">
        <w:rPr>
          <w:i/>
          <w:iCs/>
        </w:rPr>
        <w:t>Un souffle pour l'avenir</w:t>
      </w:r>
      <w:r w:rsidR="002A0E06" w:rsidRPr="002A0E06">
        <w:t>")</w:t>
      </w:r>
      <w:r w:rsidR="002A0E06">
        <w:t>,</w:t>
      </w:r>
      <w:r w:rsidR="002A0E06" w:rsidRPr="002A0E06">
        <w:t xml:space="preserve"> lancée</w:t>
      </w:r>
      <w:r w:rsidR="002A0E06">
        <w:t xml:space="preserve"> </w:t>
      </w:r>
      <w:r w:rsidR="002A0E06" w:rsidRPr="002A0E06">
        <w:t>en grande pompe par le ministère turc de l'Agriculture et des Forêts</w:t>
      </w:r>
      <w:r w:rsidR="002A0E06">
        <w:t>, et</w:t>
      </w:r>
      <w:r w:rsidR="002A0E06" w:rsidRPr="002A0E06">
        <w:t xml:space="preserve"> par le président Recep Tayyip Erdoğan</w:t>
      </w:r>
      <w:r w:rsidR="002A0E06">
        <w:rPr>
          <w:rStyle w:val="Appelnotedebasdep"/>
        </w:rPr>
        <w:footnoteReference w:id="235"/>
      </w:r>
      <w:r w:rsidR="002A0E06">
        <w:t>.</w:t>
      </w:r>
    </w:p>
    <w:p w14:paraId="7AFCC76B" w14:textId="77777777" w:rsidR="00401403" w:rsidRDefault="00401403" w:rsidP="00134A85">
      <w:pPr>
        <w:spacing w:after="0" w:line="240" w:lineRule="auto"/>
        <w:jc w:val="both"/>
      </w:pPr>
    </w:p>
    <w:p w14:paraId="3AF00C13" w14:textId="7403B391" w:rsidR="00C57068" w:rsidRDefault="00C57068" w:rsidP="00C57068">
      <w:pPr>
        <w:pStyle w:val="Titre3"/>
      </w:pPr>
      <w:bookmarkStart w:id="327" w:name="_Toc139181618"/>
      <w:r>
        <w:t>Raisons de ces échecs</w:t>
      </w:r>
      <w:bookmarkEnd w:id="327"/>
    </w:p>
    <w:p w14:paraId="3781A1FD" w14:textId="4D0CAF12" w:rsidR="00C57068" w:rsidRDefault="00C57068" w:rsidP="00134A85">
      <w:pPr>
        <w:spacing w:after="0" w:line="240" w:lineRule="auto"/>
        <w:jc w:val="both"/>
      </w:pPr>
    </w:p>
    <w:p w14:paraId="7AA526DE" w14:textId="6E5C9A1F" w:rsidR="00C57068" w:rsidRDefault="00012504" w:rsidP="00134A85">
      <w:pPr>
        <w:spacing w:after="0" w:line="240" w:lineRule="auto"/>
        <w:jc w:val="both"/>
      </w:pPr>
      <w:r>
        <w:t>A cause de l’augmentation des épisodes de sècheresse</w:t>
      </w:r>
      <w:r w:rsidR="009D7412">
        <w:t xml:space="preserve"> et d’un mauvais choix des espèces à planter</w:t>
      </w:r>
      <w:r>
        <w:t xml:space="preserve">, les initiatives de reforestation peuvent partir en fumée, à cause des feux de forêts, ou être tuées dans l’œuf par la sécheresse. </w:t>
      </w:r>
    </w:p>
    <w:p w14:paraId="289EA8B4" w14:textId="314D0466" w:rsidR="00012504" w:rsidRDefault="00012504" w:rsidP="00134A85">
      <w:pPr>
        <w:spacing w:after="0" w:line="240" w:lineRule="auto"/>
        <w:jc w:val="both"/>
      </w:pPr>
      <w:r>
        <w:t xml:space="preserve">Des incendies criminels peuvent être allumé, parce qu’il n’y a pas adhésion des populations locales au projet et parce qu’elles n’ont pas reçues les retombées (économiques, revenus etc.) qu’on leur avait promis (cas à Madagascar ou des subventions pour aider les populations locales à préserver leur environnement sont détournées par la corruption). </w:t>
      </w:r>
    </w:p>
    <w:p w14:paraId="58C3E8B8" w14:textId="3FA2E31A" w:rsidR="00C57068" w:rsidRDefault="00C57068" w:rsidP="00134A85">
      <w:pPr>
        <w:spacing w:after="0" w:line="240" w:lineRule="auto"/>
        <w:jc w:val="both"/>
      </w:pPr>
    </w:p>
    <w:p w14:paraId="66EF35D5" w14:textId="4E185EE7" w:rsidR="00E157D8" w:rsidRDefault="00E157D8" w:rsidP="00E157D8">
      <w:pPr>
        <w:spacing w:after="0" w:line="240" w:lineRule="auto"/>
        <w:jc w:val="both"/>
      </w:pPr>
      <w:r>
        <w:t>« </w:t>
      </w:r>
      <w:r w:rsidRPr="00E157D8">
        <w:rPr>
          <w:i/>
          <w:iCs/>
        </w:rPr>
        <w:t>Les risques liés au climat ne sont pas bien pris en compte dans les initiatives de reforestation, alors que ça devrait être une priorité !</w:t>
      </w:r>
      <w:r>
        <w:t> », s'alarme Anderegg, biologiste à l'université d'Utah. « </w:t>
      </w:r>
      <w:r w:rsidRPr="00E157D8">
        <w:rPr>
          <w:i/>
          <w:iCs/>
        </w:rPr>
        <w:t>Il est possible que les impacts climatiques diminuent radicalement la capacité de puits de carbone des forêts mondiale; les modèles ne s'accordent pas encore sur ce sujet</w:t>
      </w:r>
      <w:r>
        <w:t xml:space="preserve">. » « </w:t>
      </w:r>
      <w:r w:rsidRPr="00E157D8">
        <w:rPr>
          <w:i/>
          <w:iCs/>
        </w:rPr>
        <w:t>Il me paraît beaucoup plus responsable de ne pas émettre de CO2 plutôt que de tenter d'en stocker une partie dans cette biomasse pouvant partir en fumée à tout moment</w:t>
      </w:r>
      <w:r>
        <w:t xml:space="preserve"> », grince Pierre Friedlingstein</w:t>
      </w:r>
      <w:r w:rsidR="00A537AF" w:rsidRPr="00A537AF">
        <w:t>, spécialiste de la Modélisation mathématique des systèmes climatiques, à l'Université d'Exeter</w:t>
      </w:r>
      <w:r>
        <w:t>.</w:t>
      </w:r>
      <w:r w:rsidR="00A537AF">
        <w:t xml:space="preserve"> […].</w:t>
      </w:r>
    </w:p>
    <w:p w14:paraId="0C6C94C1" w14:textId="789241C5" w:rsidR="00A537AF" w:rsidRDefault="00A537AF" w:rsidP="00A537AF">
      <w:pPr>
        <w:spacing w:after="0" w:line="240" w:lineRule="auto"/>
        <w:jc w:val="both"/>
      </w:pPr>
      <w:r>
        <w:t xml:space="preserve">« Le plus grave, c'est qu'environ la moitié des engagements nationaux de reboisement dans le monde concerne aujourd’hui de pures plantations d'arbres. </w:t>
      </w:r>
      <w:r w:rsidRPr="00A537AF">
        <w:rPr>
          <w:i/>
          <w:iCs/>
        </w:rPr>
        <w:t>Des forêts artificielles qui prennent essentiellement la forme d'alignements monotones d'eucalyptus, acacias, pins ou peupliers dont la croissance ultrarapide promet une belle rentabilité en bois et carbone à très (très) court terme. Mais avec une résilience et des impacts écologiques souvent déplorables</w:t>
      </w:r>
      <w:r>
        <w:t>.</w:t>
      </w:r>
    </w:p>
    <w:p w14:paraId="17FDAA93" w14:textId="56F157D8" w:rsidR="00A537AF" w:rsidRDefault="00A537AF" w:rsidP="00A537AF">
      <w:pPr>
        <w:spacing w:after="0" w:line="240" w:lineRule="auto"/>
        <w:jc w:val="both"/>
      </w:pPr>
      <w:r>
        <w:t xml:space="preserve">D'accord, </w:t>
      </w:r>
      <w:r w:rsidRPr="00BE08F8">
        <w:rPr>
          <w:i/>
          <w:iCs/>
        </w:rPr>
        <w:t>ces plantations visent à occuper toutes les zones sauvagement déforestées et dégradées de la planète</w:t>
      </w:r>
      <w:r>
        <w:t>. Seulement, l'obsession pour les arbres est telle qu'une bonne partie des terrains</w:t>
      </w:r>
      <w:r w:rsidR="00BE08F8">
        <w:t xml:space="preserve"> </w:t>
      </w:r>
      <w:r w:rsidR="00BE08F8" w:rsidRPr="00BE08F8">
        <w:t>considérés comme propices dans les programmes internationaux (Défi de Bonn, AFR100, etc.) s'avèrent en fait des prairies, brousses ou savanes tout ce qu'il y a plus naturel</w:t>
      </w:r>
      <w:r w:rsidR="00BE08F8">
        <w:t xml:space="preserve"> </w:t>
      </w:r>
      <w:r w:rsidR="00BE08F8" w:rsidRPr="00BE08F8">
        <w:t>! «</w:t>
      </w:r>
      <w:r w:rsidR="00BE08F8">
        <w:t xml:space="preserve"> </w:t>
      </w:r>
      <w:r w:rsidR="00BE08F8" w:rsidRPr="00BE08F8">
        <w:rPr>
          <w:i/>
          <w:iCs/>
        </w:rPr>
        <w:t>Vu de satellite, les savanes ressemblent beaucoup à des forêts dégradées, s'inquiète Élise Buisson, écologue à l'université d'Avignon, alors que cela n'a strictement rien à voir</w:t>
      </w:r>
      <w:r w:rsidR="00BE08F8">
        <w:rPr>
          <w:i/>
          <w:iCs/>
        </w:rPr>
        <w:t xml:space="preserve"> </w:t>
      </w:r>
      <w:r w:rsidR="00BE08F8" w:rsidRPr="00BE08F8">
        <w:rPr>
          <w:i/>
          <w:iCs/>
        </w:rPr>
        <w:t>: dans la savane, on trouve une énorme diversité d'espèces herbacées évoluant à la lumière, des essences d'arbres adaptées au passage des incendies...</w:t>
      </w:r>
      <w:r w:rsidR="00BE08F8" w:rsidRPr="00BE08F8">
        <w:t xml:space="preserve"> »</w:t>
      </w:r>
      <w:r w:rsidR="00BE08F8">
        <w:rPr>
          <w:rStyle w:val="Appelnotedebasdep"/>
        </w:rPr>
        <w:footnoteReference w:id="236"/>
      </w:r>
      <w:r w:rsidR="00BE08F8">
        <w:t>.</w:t>
      </w:r>
    </w:p>
    <w:p w14:paraId="03C3E12C" w14:textId="0CA21773" w:rsidR="00CB694B" w:rsidRDefault="00CB694B" w:rsidP="00A537AF">
      <w:pPr>
        <w:spacing w:after="0" w:line="240" w:lineRule="auto"/>
        <w:jc w:val="both"/>
      </w:pPr>
    </w:p>
    <w:p w14:paraId="416A4EAD" w14:textId="1D3229A7" w:rsidR="00CB694B" w:rsidRDefault="00CB694B" w:rsidP="00CB694B">
      <w:pPr>
        <w:pStyle w:val="Titre1"/>
      </w:pPr>
      <w:bookmarkStart w:id="328" w:name="_Toc139181619"/>
      <w:r>
        <w:lastRenderedPageBreak/>
        <w:t>Les défis démographiques (en particulier au Sahel)</w:t>
      </w:r>
      <w:bookmarkEnd w:id="328"/>
    </w:p>
    <w:p w14:paraId="32CD39A5" w14:textId="2874BB78" w:rsidR="00012504" w:rsidRDefault="00012504" w:rsidP="00134A85">
      <w:pPr>
        <w:spacing w:after="0" w:line="240" w:lineRule="auto"/>
        <w:jc w:val="both"/>
      </w:pPr>
    </w:p>
    <w:p w14:paraId="2148AF3B" w14:textId="28A08D96" w:rsidR="00CB694B" w:rsidRDefault="00CB694B" w:rsidP="00134A85">
      <w:pPr>
        <w:spacing w:after="0" w:line="240" w:lineRule="auto"/>
        <w:jc w:val="both"/>
        <w:rPr>
          <w:rFonts w:ascii="Calibri" w:hAnsi="Calibri" w:cs="Calibri"/>
          <w:color w:val="000000" w:themeColor="text1"/>
          <w:shd w:val="clear" w:color="auto" w:fill="FFFFFF"/>
        </w:rPr>
      </w:pPr>
      <w:r w:rsidRPr="00CB694B">
        <w:rPr>
          <w:rFonts w:ascii="Calibri" w:hAnsi="Calibri" w:cs="Calibri"/>
          <w:color w:val="000000" w:themeColor="text1"/>
          <w:shd w:val="clear" w:color="auto" w:fill="FFFFFF"/>
        </w:rPr>
        <w:t>Les 10 pays du Sahel s'étendent sur plus de 7 millions de kilomètres carrés et abritent près de 135 millions d'habitants. Certains des plus grands pays comprenant une part importante de désert (le Mali et le Niger) ont de faibles densités de population, de moins de 20 personnes par kilomètre carré.</w:t>
      </w:r>
      <w:r>
        <w:rPr>
          <w:rFonts w:ascii="Calibri" w:hAnsi="Calibri" w:cs="Calibri"/>
          <w:color w:val="000000" w:themeColor="text1"/>
          <w:shd w:val="clear" w:color="auto" w:fill="FFFFFF"/>
        </w:rPr>
        <w:t xml:space="preserve"> </w:t>
      </w:r>
      <w:r w:rsidR="00790261" w:rsidRPr="00790261">
        <w:rPr>
          <w:rFonts w:ascii="Calibri" w:hAnsi="Calibri" w:cs="Calibri"/>
          <w:color w:val="000000" w:themeColor="text1"/>
          <w:shd w:val="clear" w:color="auto" w:fill="FFFFFF"/>
        </w:rPr>
        <w:t>D’autres pays plus petits, qui ont accès à la mer (comme le Sénégal), ont des densités de population de 50 personnes ou plus par kilomètre carré. Le Burkina Faso, qui est enclavé, a une densité de 65 personnes par kilomètre carré. Seule la Gambie a plus de 150 personnes par kilomètre carré.</w:t>
      </w:r>
      <w:r w:rsidR="00790261">
        <w:rPr>
          <w:rFonts w:ascii="Calibri" w:hAnsi="Calibri" w:cs="Calibri"/>
          <w:color w:val="000000" w:themeColor="text1"/>
          <w:shd w:val="clear" w:color="auto" w:fill="FFFFFF"/>
        </w:rPr>
        <w:t xml:space="preserve"> </w:t>
      </w:r>
    </w:p>
    <w:p w14:paraId="6CD9275B" w14:textId="61C7D288" w:rsidR="00991D2C" w:rsidRDefault="00991D2C" w:rsidP="00134A85">
      <w:pPr>
        <w:spacing w:after="0" w:line="240" w:lineRule="auto"/>
        <w:jc w:val="both"/>
        <w:rPr>
          <w:rFonts w:ascii="Calibri" w:hAnsi="Calibri" w:cs="Calibri"/>
          <w:color w:val="000000" w:themeColor="text1"/>
          <w:shd w:val="clear" w:color="auto" w:fill="FFFFFF"/>
        </w:rPr>
      </w:pPr>
    </w:p>
    <w:p w14:paraId="49E48AA4" w14:textId="0ED2DD54" w:rsidR="00991D2C" w:rsidRDefault="00991D2C" w:rsidP="00991D2C">
      <w:pPr>
        <w:spacing w:after="0" w:line="240" w:lineRule="auto"/>
        <w:jc w:val="center"/>
        <w:rPr>
          <w:rFonts w:ascii="Calibri" w:hAnsi="Calibri" w:cs="Calibri"/>
          <w:color w:val="000000" w:themeColor="text1"/>
          <w:shd w:val="clear" w:color="auto" w:fill="FFFFFF"/>
        </w:rPr>
      </w:pPr>
      <w:r>
        <w:rPr>
          <w:noProof/>
        </w:rPr>
        <w:drawing>
          <wp:inline distT="0" distB="0" distL="0" distR="0" wp14:anchorId="721E02B2" wp14:editId="4A8F044D">
            <wp:extent cx="4329965" cy="1476375"/>
            <wp:effectExtent l="0" t="0" r="0" b="0"/>
            <wp:docPr id="89088" name="Image 89088"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88" name="Image 89088" descr="Une image contenant carte&#10;&#10;Description générée automatiquement"/>
                    <pic:cNvPicPr>
                      <a:picLocks noChangeAspect="1" noChangeArrowheads="1"/>
                    </pic:cNvPicPr>
                  </pic:nvPicPr>
                  <pic:blipFill>
                    <a:blip r:embed="rId3667">
                      <a:extLst>
                        <a:ext uri="{28A0092B-C50C-407E-A947-70E740481C1C}">
                          <a14:useLocalDpi xmlns:a14="http://schemas.microsoft.com/office/drawing/2010/main" val="0"/>
                        </a:ext>
                      </a:extLst>
                    </a:blip>
                    <a:srcRect/>
                    <a:stretch>
                      <a:fillRect/>
                    </a:stretch>
                  </pic:blipFill>
                  <pic:spPr bwMode="auto">
                    <a:xfrm>
                      <a:off x="0" y="0"/>
                      <a:ext cx="4335357" cy="1478213"/>
                    </a:xfrm>
                    <a:prstGeom prst="rect">
                      <a:avLst/>
                    </a:prstGeom>
                    <a:noFill/>
                    <a:ln>
                      <a:noFill/>
                    </a:ln>
                  </pic:spPr>
                </pic:pic>
              </a:graphicData>
            </a:graphic>
          </wp:inline>
        </w:drawing>
      </w:r>
    </w:p>
    <w:p w14:paraId="4A819696" w14:textId="19C71CE4" w:rsidR="00991D2C" w:rsidRDefault="00991D2C" w:rsidP="00991D2C">
      <w:pPr>
        <w:spacing w:after="0" w:line="240" w:lineRule="auto"/>
        <w:jc w:val="center"/>
        <w:rPr>
          <w:rFonts w:ascii="Calibri" w:hAnsi="Calibri" w:cs="Calibri"/>
          <w:color w:val="000000" w:themeColor="text1"/>
          <w:shd w:val="clear" w:color="auto" w:fill="FFFFFF"/>
        </w:rPr>
      </w:pPr>
      <w:r>
        <w:rPr>
          <w:rFonts w:ascii="Calibri" w:hAnsi="Calibri" w:cs="Calibri"/>
          <w:color w:val="000000" w:themeColor="text1"/>
          <w:shd w:val="clear" w:color="auto" w:fill="FFFFFF"/>
        </w:rPr>
        <w:t>La région du Sahel comprend 10 pays, qui diffèrent sur le plan démographique.</w:t>
      </w:r>
    </w:p>
    <w:p w14:paraId="767DF802" w14:textId="71316F46" w:rsidR="00CB694B" w:rsidRDefault="00CB694B" w:rsidP="00134A85">
      <w:pPr>
        <w:spacing w:after="0" w:line="240" w:lineRule="auto"/>
        <w:jc w:val="both"/>
        <w:rPr>
          <w:rFonts w:ascii="Calibri" w:hAnsi="Calibri" w:cs="Calibri"/>
          <w:color w:val="000000" w:themeColor="text1"/>
          <w:shd w:val="clear" w:color="auto" w:fill="FFFFFF"/>
        </w:rPr>
      </w:pPr>
    </w:p>
    <w:p w14:paraId="1ACE78EA" w14:textId="77777777" w:rsidR="00F762EF" w:rsidRDefault="00F762EF" w:rsidP="00F762EF">
      <w:pPr>
        <w:spacing w:after="0" w:line="240" w:lineRule="auto"/>
        <w:jc w:val="both"/>
        <w:rPr>
          <w:rFonts w:ascii="Calibri" w:hAnsi="Calibri" w:cs="Calibri"/>
          <w:color w:val="000000" w:themeColor="text1"/>
          <w:shd w:val="clear" w:color="auto" w:fill="FFFFFF"/>
        </w:rPr>
      </w:pPr>
    </w:p>
    <w:p w14:paraId="7E016C97" w14:textId="2BC3257D" w:rsidR="00F762EF" w:rsidRDefault="00F762EF" w:rsidP="00F762EF">
      <w:pPr>
        <w:spacing w:after="0" w:line="240" w:lineRule="auto"/>
        <w:jc w:val="both"/>
        <w:rPr>
          <w:rFonts w:ascii="Calibri" w:hAnsi="Calibri" w:cs="Calibri"/>
          <w:color w:val="000000" w:themeColor="text1"/>
          <w:shd w:val="clear" w:color="auto" w:fill="FFFFFF"/>
        </w:rPr>
      </w:pPr>
      <w:r w:rsidRPr="00DF1F02">
        <w:rPr>
          <w:rFonts w:ascii="Calibri" w:hAnsi="Calibri" w:cs="Calibri"/>
          <w:color w:val="000000" w:themeColor="text1"/>
          <w:shd w:val="clear" w:color="auto" w:fill="FFFFFF"/>
        </w:rPr>
        <w:t xml:space="preserve">En Afrique </w:t>
      </w:r>
      <w:r>
        <w:rPr>
          <w:rFonts w:ascii="Calibri" w:hAnsi="Calibri" w:cs="Calibri"/>
          <w:color w:val="000000" w:themeColor="text1"/>
          <w:shd w:val="clear" w:color="auto" w:fill="FFFFFF"/>
        </w:rPr>
        <w:t>s</w:t>
      </w:r>
      <w:r w:rsidRPr="00DF1F02">
        <w:rPr>
          <w:rFonts w:ascii="Calibri" w:hAnsi="Calibri" w:cs="Calibri"/>
          <w:color w:val="000000" w:themeColor="text1"/>
          <w:shd w:val="clear" w:color="auto" w:fill="FFFFFF"/>
        </w:rPr>
        <w:t>ubsaharienne, il y a une tendance démographique lourde : la population devrait atteindre 1,2 milliard d’habitants en 2025, sans doute 1,8 en 2050</w:t>
      </w:r>
      <w:r>
        <w:rPr>
          <w:rStyle w:val="Appelnotedebasdep"/>
          <w:rFonts w:ascii="Calibri" w:hAnsi="Calibri" w:cs="Calibri"/>
          <w:color w:val="000000" w:themeColor="text1"/>
          <w:shd w:val="clear" w:color="auto" w:fill="FFFFFF"/>
        </w:rPr>
        <w:footnoteReference w:id="237"/>
      </w:r>
      <w:r w:rsidRPr="00DF1F02">
        <w:rPr>
          <w:rFonts w:ascii="Calibri" w:hAnsi="Calibri" w:cs="Calibri"/>
          <w:color w:val="000000" w:themeColor="text1"/>
          <w:shd w:val="clear" w:color="auto" w:fill="FFFFFF"/>
        </w:rPr>
        <w:t>.</w:t>
      </w:r>
    </w:p>
    <w:p w14:paraId="1086B4B0" w14:textId="77777777" w:rsidR="00F762EF" w:rsidRPr="00E8110A" w:rsidRDefault="00F762EF" w:rsidP="00134A85">
      <w:pPr>
        <w:spacing w:after="0" w:line="240" w:lineRule="auto"/>
        <w:jc w:val="both"/>
        <w:rPr>
          <w:rFonts w:ascii="Calibri" w:hAnsi="Calibri" w:cs="Calibri"/>
          <w:color w:val="000000" w:themeColor="text1"/>
          <w:shd w:val="clear" w:color="auto" w:fill="FFFFFF"/>
        </w:rPr>
      </w:pPr>
    </w:p>
    <w:p w14:paraId="574A90FF" w14:textId="6ECC035D" w:rsidR="00E8110A" w:rsidRPr="00E8110A" w:rsidRDefault="00E8110A" w:rsidP="00E8110A">
      <w:pPr>
        <w:spacing w:after="0" w:line="375" w:lineRule="atLeast"/>
        <w:textAlignment w:val="baseline"/>
        <w:rPr>
          <w:rFonts w:ascii="Calibri" w:eastAsia="Times New Roman" w:hAnsi="Calibri" w:cs="Calibri"/>
          <w:color w:val="000000" w:themeColor="text1"/>
          <w:bdr w:val="none" w:sz="0" w:space="0" w:color="auto" w:frame="1"/>
          <w:lang w:eastAsia="fr-FR"/>
        </w:rPr>
      </w:pPr>
      <w:r w:rsidRPr="00F23B16">
        <w:rPr>
          <w:rFonts w:ascii="Calibri" w:eastAsia="Times New Roman" w:hAnsi="Calibri" w:cs="Calibri"/>
          <w:color w:val="000000" w:themeColor="text1"/>
          <w:bdr w:val="none" w:sz="0" w:space="0" w:color="auto" w:frame="1"/>
          <w:lang w:eastAsia="fr-FR"/>
        </w:rPr>
        <w:t>Les indicateurs démographiques-clés des 10 pays du Sahel, 2014</w:t>
      </w:r>
      <w:r w:rsidRPr="00E8110A">
        <w:rPr>
          <w:rFonts w:ascii="Calibri" w:eastAsia="Times New Roman" w:hAnsi="Calibri" w:cs="Calibri"/>
          <w:color w:val="000000" w:themeColor="text1"/>
          <w:bdr w:val="none" w:sz="0" w:space="0" w:color="auto" w:frame="1"/>
          <w:lang w:eastAsia="fr-FR"/>
        </w:rPr>
        <w:t xml:space="preserve"> (voir ci-dessous) :</w:t>
      </w:r>
    </w:p>
    <w:p w14:paraId="59911AB2" w14:textId="77777777" w:rsidR="00E8110A" w:rsidRPr="00F23B16" w:rsidRDefault="00E8110A" w:rsidP="00E8110A">
      <w:pPr>
        <w:spacing w:after="0" w:line="375" w:lineRule="atLeast"/>
        <w:textAlignment w:val="baseline"/>
        <w:rPr>
          <w:rFonts w:ascii="Calibri" w:eastAsia="Times New Roman" w:hAnsi="Calibri" w:cs="Calibri"/>
          <w:color w:val="000000" w:themeColor="text1"/>
          <w:lang w:eastAsia="fr-F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23"/>
        <w:gridCol w:w="1654"/>
        <w:gridCol w:w="2251"/>
        <w:gridCol w:w="2389"/>
        <w:gridCol w:w="2899"/>
      </w:tblGrid>
      <w:tr w:rsidR="00E8110A" w:rsidRPr="00F23B16" w14:paraId="545BEF91" w14:textId="77777777" w:rsidTr="007875D1">
        <w:trPr>
          <w:tblHeader/>
        </w:trPr>
        <w:tc>
          <w:tcPr>
            <w:tcW w:w="0" w:type="auto"/>
            <w:shd w:val="clear" w:color="auto" w:fill="FFFFFF"/>
            <w:tcMar>
              <w:top w:w="60" w:type="dxa"/>
              <w:left w:w="60" w:type="dxa"/>
              <w:bottom w:w="60" w:type="dxa"/>
              <w:right w:w="60" w:type="dxa"/>
            </w:tcMar>
            <w:vAlign w:val="bottom"/>
          </w:tcPr>
          <w:p w14:paraId="62A96905" w14:textId="77777777" w:rsidR="00E8110A" w:rsidRPr="00E8110A" w:rsidRDefault="00E8110A" w:rsidP="00290462">
            <w:pPr>
              <w:spacing w:after="0" w:line="240" w:lineRule="auto"/>
              <w:rPr>
                <w:rFonts w:ascii="Calibri" w:eastAsia="Times New Roman" w:hAnsi="Calibri" w:cs="Calibri"/>
                <w:b/>
                <w:bCs/>
                <w:color w:val="000000" w:themeColor="text1"/>
                <w:lang w:eastAsia="fr-FR"/>
              </w:rPr>
            </w:pPr>
            <w:r w:rsidRPr="00E8110A">
              <w:rPr>
                <w:rFonts w:ascii="Calibri" w:eastAsia="Times New Roman" w:hAnsi="Calibri" w:cs="Calibri"/>
                <w:b/>
                <w:bCs/>
                <w:color w:val="000000" w:themeColor="text1"/>
                <w:lang w:eastAsia="fr-FR"/>
              </w:rPr>
              <w:t>Pays</w:t>
            </w:r>
          </w:p>
        </w:tc>
        <w:tc>
          <w:tcPr>
            <w:tcW w:w="0" w:type="auto"/>
            <w:shd w:val="clear" w:color="auto" w:fill="F5F5F5"/>
            <w:tcMar>
              <w:top w:w="60" w:type="dxa"/>
              <w:left w:w="60" w:type="dxa"/>
              <w:bottom w:w="60" w:type="dxa"/>
              <w:right w:w="60" w:type="dxa"/>
            </w:tcMar>
            <w:vAlign w:val="bottom"/>
          </w:tcPr>
          <w:p w14:paraId="182EC241" w14:textId="77777777" w:rsidR="00E8110A" w:rsidRPr="00E8110A" w:rsidRDefault="00E8110A" w:rsidP="00290462">
            <w:pPr>
              <w:spacing w:after="0" w:line="240" w:lineRule="auto"/>
              <w:rPr>
                <w:rFonts w:ascii="Calibri" w:eastAsia="Times New Roman" w:hAnsi="Calibri" w:cs="Calibri"/>
                <w:b/>
                <w:bCs/>
                <w:color w:val="000000" w:themeColor="text1"/>
                <w:lang w:eastAsia="fr-FR"/>
              </w:rPr>
            </w:pPr>
            <w:r w:rsidRPr="00E8110A">
              <w:rPr>
                <w:rFonts w:ascii="Calibri" w:eastAsia="Times New Roman" w:hAnsi="Calibri" w:cs="Calibri"/>
                <w:b/>
                <w:bCs/>
                <w:color w:val="000000" w:themeColor="text1"/>
                <w:lang w:eastAsia="fr-FR"/>
              </w:rPr>
              <w:t>Populations en millions</w:t>
            </w:r>
          </w:p>
        </w:tc>
        <w:tc>
          <w:tcPr>
            <w:tcW w:w="0" w:type="auto"/>
            <w:shd w:val="clear" w:color="auto" w:fill="FFFFFF"/>
            <w:tcMar>
              <w:top w:w="60" w:type="dxa"/>
              <w:left w:w="60" w:type="dxa"/>
              <w:bottom w:w="60" w:type="dxa"/>
              <w:right w:w="60" w:type="dxa"/>
            </w:tcMar>
            <w:vAlign w:val="bottom"/>
          </w:tcPr>
          <w:p w14:paraId="54DEFE7F" w14:textId="77777777" w:rsidR="00E8110A" w:rsidRPr="00F23B16" w:rsidRDefault="00E8110A" w:rsidP="00290462">
            <w:pPr>
              <w:spacing w:after="0" w:line="240" w:lineRule="auto"/>
              <w:rPr>
                <w:rFonts w:ascii="Calibri" w:eastAsia="Times New Roman" w:hAnsi="Calibri" w:cs="Calibri"/>
                <w:b/>
                <w:bCs/>
                <w:color w:val="2B2B2B"/>
                <w:lang w:eastAsia="fr-FR"/>
              </w:rPr>
            </w:pPr>
            <w:r w:rsidRPr="00F23B16">
              <w:rPr>
                <w:rFonts w:ascii="Calibri" w:eastAsia="Times New Roman" w:hAnsi="Calibri" w:cs="Calibri"/>
                <w:b/>
                <w:bCs/>
                <w:color w:val="2B2B2B"/>
                <w:lang w:eastAsia="fr-FR"/>
              </w:rPr>
              <w:t>Taux annuel d’accroissement (%)</w:t>
            </w:r>
          </w:p>
        </w:tc>
        <w:tc>
          <w:tcPr>
            <w:tcW w:w="0" w:type="auto"/>
            <w:shd w:val="clear" w:color="auto" w:fill="F5F5F5"/>
            <w:tcMar>
              <w:top w:w="60" w:type="dxa"/>
              <w:left w:w="60" w:type="dxa"/>
              <w:bottom w:w="60" w:type="dxa"/>
              <w:right w:w="60" w:type="dxa"/>
            </w:tcMar>
            <w:vAlign w:val="bottom"/>
          </w:tcPr>
          <w:p w14:paraId="09D62189" w14:textId="77777777" w:rsidR="00E8110A" w:rsidRPr="00F23B16" w:rsidRDefault="00E8110A" w:rsidP="00290462">
            <w:pPr>
              <w:spacing w:after="0" w:line="240" w:lineRule="auto"/>
              <w:rPr>
                <w:rFonts w:ascii="Calibri" w:eastAsia="Times New Roman" w:hAnsi="Calibri" w:cs="Calibri"/>
                <w:b/>
                <w:bCs/>
                <w:color w:val="2B2B2B"/>
                <w:lang w:eastAsia="fr-FR"/>
              </w:rPr>
            </w:pPr>
            <w:r w:rsidRPr="00F23B16">
              <w:rPr>
                <w:rFonts w:ascii="Calibri" w:eastAsia="Times New Roman" w:hAnsi="Calibri" w:cs="Calibri"/>
                <w:b/>
                <w:bCs/>
                <w:color w:val="2B2B2B"/>
                <w:lang w:eastAsia="fr-FR"/>
              </w:rPr>
              <w:t>Densité de population (personnes par km2)</w:t>
            </w:r>
          </w:p>
        </w:tc>
        <w:tc>
          <w:tcPr>
            <w:tcW w:w="0" w:type="auto"/>
            <w:shd w:val="clear" w:color="auto" w:fill="FFFFFF"/>
            <w:tcMar>
              <w:top w:w="60" w:type="dxa"/>
              <w:left w:w="60" w:type="dxa"/>
              <w:bottom w:w="60" w:type="dxa"/>
              <w:right w:w="60" w:type="dxa"/>
            </w:tcMar>
            <w:vAlign w:val="bottom"/>
          </w:tcPr>
          <w:p w14:paraId="76D13E9C" w14:textId="77777777" w:rsidR="00E8110A" w:rsidRPr="00F23B16" w:rsidRDefault="00E8110A" w:rsidP="00290462">
            <w:pPr>
              <w:spacing w:after="0" w:line="240" w:lineRule="auto"/>
              <w:rPr>
                <w:rFonts w:ascii="Calibri" w:eastAsia="Times New Roman" w:hAnsi="Calibri" w:cs="Calibri"/>
                <w:b/>
                <w:bCs/>
                <w:color w:val="2B2B2B"/>
                <w:lang w:eastAsia="fr-FR"/>
              </w:rPr>
            </w:pPr>
            <w:r w:rsidRPr="00F23B16">
              <w:rPr>
                <w:rFonts w:ascii="Calibri" w:eastAsia="Times New Roman" w:hAnsi="Calibri" w:cs="Calibri"/>
                <w:b/>
                <w:bCs/>
                <w:color w:val="2B2B2B"/>
                <w:lang w:eastAsia="fr-FR"/>
              </w:rPr>
              <w:t>Indice de fécondité (nombre moyen d’enfants par femme).</w:t>
            </w:r>
          </w:p>
        </w:tc>
      </w:tr>
      <w:tr w:rsidR="00E8110A" w:rsidRPr="00F23B16" w14:paraId="148FE8F2" w14:textId="77777777" w:rsidTr="00290462">
        <w:tc>
          <w:tcPr>
            <w:tcW w:w="0" w:type="auto"/>
            <w:shd w:val="clear" w:color="auto" w:fill="FFFFFF"/>
            <w:tcMar>
              <w:top w:w="60" w:type="dxa"/>
              <w:left w:w="60" w:type="dxa"/>
              <w:bottom w:w="60" w:type="dxa"/>
              <w:right w:w="60" w:type="dxa"/>
            </w:tcMar>
            <w:vAlign w:val="bottom"/>
            <w:hideMark/>
          </w:tcPr>
          <w:p w14:paraId="6602621E" w14:textId="77777777" w:rsidR="00E8110A" w:rsidRPr="00F23B16" w:rsidRDefault="00E8110A" w:rsidP="00290462">
            <w:pPr>
              <w:spacing w:after="0" w:line="240" w:lineRule="auto"/>
              <w:rPr>
                <w:rFonts w:ascii="Calibri" w:eastAsia="Times New Roman" w:hAnsi="Calibri" w:cs="Calibri"/>
                <w:color w:val="000000" w:themeColor="text1"/>
                <w:lang w:eastAsia="fr-FR"/>
              </w:rPr>
            </w:pPr>
            <w:r w:rsidRPr="00F23B16">
              <w:rPr>
                <w:rFonts w:ascii="Calibri" w:eastAsia="Times New Roman" w:hAnsi="Calibri" w:cs="Calibri"/>
                <w:color w:val="000000" w:themeColor="text1"/>
                <w:lang w:eastAsia="fr-FR"/>
              </w:rPr>
              <w:t>Burkina Faso</w:t>
            </w:r>
          </w:p>
        </w:tc>
        <w:tc>
          <w:tcPr>
            <w:tcW w:w="0" w:type="auto"/>
            <w:shd w:val="clear" w:color="auto" w:fill="F5F5F5"/>
            <w:tcMar>
              <w:top w:w="60" w:type="dxa"/>
              <w:left w:w="60" w:type="dxa"/>
              <w:bottom w:w="60" w:type="dxa"/>
              <w:right w:w="60" w:type="dxa"/>
            </w:tcMar>
            <w:vAlign w:val="bottom"/>
            <w:hideMark/>
          </w:tcPr>
          <w:p w14:paraId="047B0DF1" w14:textId="77777777" w:rsidR="00E8110A" w:rsidRPr="00F23B16" w:rsidRDefault="00E8110A" w:rsidP="00290462">
            <w:pPr>
              <w:spacing w:after="0" w:line="240" w:lineRule="auto"/>
              <w:rPr>
                <w:rFonts w:ascii="Calibri" w:eastAsia="Times New Roman" w:hAnsi="Calibri" w:cs="Calibri"/>
                <w:color w:val="000000" w:themeColor="text1"/>
                <w:lang w:eastAsia="fr-FR"/>
              </w:rPr>
            </w:pPr>
            <w:r w:rsidRPr="00F23B16">
              <w:rPr>
                <w:rFonts w:ascii="Calibri" w:eastAsia="Times New Roman" w:hAnsi="Calibri" w:cs="Calibri"/>
                <w:color w:val="000000" w:themeColor="text1"/>
                <w:lang w:eastAsia="fr-FR"/>
              </w:rPr>
              <w:t>17,9</w:t>
            </w:r>
          </w:p>
        </w:tc>
        <w:tc>
          <w:tcPr>
            <w:tcW w:w="0" w:type="auto"/>
            <w:shd w:val="clear" w:color="auto" w:fill="FFFFFF"/>
            <w:tcMar>
              <w:top w:w="60" w:type="dxa"/>
              <w:left w:w="60" w:type="dxa"/>
              <w:bottom w:w="60" w:type="dxa"/>
              <w:right w:w="60" w:type="dxa"/>
            </w:tcMar>
            <w:vAlign w:val="bottom"/>
            <w:hideMark/>
          </w:tcPr>
          <w:p w14:paraId="7FD27F62" w14:textId="77777777" w:rsidR="00E8110A" w:rsidRPr="00F23B16" w:rsidRDefault="00E8110A" w:rsidP="00290462">
            <w:pPr>
              <w:spacing w:after="0" w:line="240" w:lineRule="auto"/>
              <w:rPr>
                <w:rFonts w:ascii="Calibri" w:eastAsia="Times New Roman" w:hAnsi="Calibri" w:cs="Calibri"/>
                <w:color w:val="FF0000"/>
                <w:lang w:eastAsia="fr-FR"/>
              </w:rPr>
            </w:pPr>
            <w:r w:rsidRPr="00F23B16">
              <w:rPr>
                <w:rFonts w:ascii="Calibri" w:eastAsia="Times New Roman" w:hAnsi="Calibri" w:cs="Calibri"/>
                <w:color w:val="FF0000"/>
                <w:lang w:eastAsia="fr-FR"/>
              </w:rPr>
              <w:t>3,1</w:t>
            </w:r>
          </w:p>
        </w:tc>
        <w:tc>
          <w:tcPr>
            <w:tcW w:w="0" w:type="auto"/>
            <w:shd w:val="clear" w:color="auto" w:fill="F5F5F5"/>
            <w:tcMar>
              <w:top w:w="60" w:type="dxa"/>
              <w:left w:w="60" w:type="dxa"/>
              <w:bottom w:w="60" w:type="dxa"/>
              <w:right w:w="60" w:type="dxa"/>
            </w:tcMar>
            <w:vAlign w:val="bottom"/>
            <w:hideMark/>
          </w:tcPr>
          <w:p w14:paraId="496DD294" w14:textId="77777777" w:rsidR="00E8110A" w:rsidRPr="00F23B16" w:rsidRDefault="00E8110A" w:rsidP="00290462">
            <w:pPr>
              <w:spacing w:after="0" w:line="240" w:lineRule="auto"/>
              <w:rPr>
                <w:rFonts w:ascii="Calibri" w:eastAsia="Times New Roman" w:hAnsi="Calibri" w:cs="Calibri"/>
                <w:color w:val="000000" w:themeColor="text1"/>
                <w:lang w:eastAsia="fr-FR"/>
              </w:rPr>
            </w:pPr>
            <w:r w:rsidRPr="00F23B16">
              <w:rPr>
                <w:rFonts w:ascii="Calibri" w:eastAsia="Times New Roman" w:hAnsi="Calibri" w:cs="Calibri"/>
                <w:color w:val="FF0000"/>
                <w:lang w:eastAsia="fr-FR"/>
              </w:rPr>
              <w:t>65</w:t>
            </w:r>
          </w:p>
        </w:tc>
        <w:tc>
          <w:tcPr>
            <w:tcW w:w="0" w:type="auto"/>
            <w:shd w:val="clear" w:color="auto" w:fill="FFFFFF"/>
            <w:tcMar>
              <w:top w:w="60" w:type="dxa"/>
              <w:left w:w="60" w:type="dxa"/>
              <w:bottom w:w="60" w:type="dxa"/>
              <w:right w:w="60" w:type="dxa"/>
            </w:tcMar>
            <w:vAlign w:val="bottom"/>
            <w:hideMark/>
          </w:tcPr>
          <w:p w14:paraId="15345AE6" w14:textId="77777777" w:rsidR="00E8110A" w:rsidRPr="00F23B16" w:rsidRDefault="00E8110A" w:rsidP="00290462">
            <w:pPr>
              <w:spacing w:after="0" w:line="240" w:lineRule="auto"/>
              <w:rPr>
                <w:rFonts w:ascii="Calibri" w:eastAsia="Times New Roman" w:hAnsi="Calibri" w:cs="Calibri"/>
                <w:color w:val="2B2B2B"/>
                <w:lang w:eastAsia="fr-FR"/>
              </w:rPr>
            </w:pPr>
            <w:r w:rsidRPr="00F23B16">
              <w:rPr>
                <w:rFonts w:ascii="Calibri" w:eastAsia="Times New Roman" w:hAnsi="Calibri" w:cs="Calibri"/>
                <w:color w:val="FF0000"/>
                <w:lang w:eastAsia="fr-FR"/>
              </w:rPr>
              <w:t>5,9</w:t>
            </w:r>
          </w:p>
        </w:tc>
      </w:tr>
      <w:tr w:rsidR="00E8110A" w:rsidRPr="00F23B16" w14:paraId="38817696" w14:textId="77777777" w:rsidTr="00290462">
        <w:tc>
          <w:tcPr>
            <w:tcW w:w="0" w:type="auto"/>
            <w:shd w:val="clear" w:color="auto" w:fill="FFFFFF"/>
            <w:tcMar>
              <w:top w:w="60" w:type="dxa"/>
              <w:left w:w="60" w:type="dxa"/>
              <w:bottom w:w="60" w:type="dxa"/>
              <w:right w:w="60" w:type="dxa"/>
            </w:tcMar>
            <w:vAlign w:val="bottom"/>
            <w:hideMark/>
          </w:tcPr>
          <w:p w14:paraId="6FE85903" w14:textId="77777777" w:rsidR="00E8110A" w:rsidRPr="00F23B16" w:rsidRDefault="00E8110A" w:rsidP="00290462">
            <w:pPr>
              <w:spacing w:after="0" w:line="240" w:lineRule="auto"/>
              <w:rPr>
                <w:rFonts w:ascii="Calibri" w:eastAsia="Times New Roman" w:hAnsi="Calibri" w:cs="Calibri"/>
                <w:color w:val="000000" w:themeColor="text1"/>
                <w:lang w:eastAsia="fr-FR"/>
              </w:rPr>
            </w:pPr>
            <w:r w:rsidRPr="00F23B16">
              <w:rPr>
                <w:rFonts w:ascii="Calibri" w:eastAsia="Times New Roman" w:hAnsi="Calibri" w:cs="Calibri"/>
                <w:color w:val="000000" w:themeColor="text1"/>
                <w:lang w:eastAsia="fr-FR"/>
              </w:rPr>
              <w:t>Tchad</w:t>
            </w:r>
          </w:p>
        </w:tc>
        <w:tc>
          <w:tcPr>
            <w:tcW w:w="0" w:type="auto"/>
            <w:shd w:val="clear" w:color="auto" w:fill="F5F5F5"/>
            <w:tcMar>
              <w:top w:w="60" w:type="dxa"/>
              <w:left w:w="60" w:type="dxa"/>
              <w:bottom w:w="60" w:type="dxa"/>
              <w:right w:w="60" w:type="dxa"/>
            </w:tcMar>
            <w:vAlign w:val="bottom"/>
            <w:hideMark/>
          </w:tcPr>
          <w:p w14:paraId="3FABC4C5" w14:textId="77777777" w:rsidR="00E8110A" w:rsidRPr="00F23B16" w:rsidRDefault="00E8110A" w:rsidP="00290462">
            <w:pPr>
              <w:spacing w:after="0" w:line="240" w:lineRule="auto"/>
              <w:rPr>
                <w:rFonts w:ascii="Calibri" w:eastAsia="Times New Roman" w:hAnsi="Calibri" w:cs="Calibri"/>
                <w:color w:val="000000" w:themeColor="text1"/>
                <w:lang w:eastAsia="fr-FR"/>
              </w:rPr>
            </w:pPr>
            <w:r w:rsidRPr="00F23B16">
              <w:rPr>
                <w:rFonts w:ascii="Calibri" w:eastAsia="Times New Roman" w:hAnsi="Calibri" w:cs="Calibri"/>
                <w:color w:val="000000" w:themeColor="text1"/>
                <w:lang w:eastAsia="fr-FR"/>
              </w:rPr>
              <w:t>13,3</w:t>
            </w:r>
          </w:p>
        </w:tc>
        <w:tc>
          <w:tcPr>
            <w:tcW w:w="0" w:type="auto"/>
            <w:shd w:val="clear" w:color="auto" w:fill="FFFFFF"/>
            <w:tcMar>
              <w:top w:w="60" w:type="dxa"/>
              <w:left w:w="60" w:type="dxa"/>
              <w:bottom w:w="60" w:type="dxa"/>
              <w:right w:w="60" w:type="dxa"/>
            </w:tcMar>
            <w:vAlign w:val="bottom"/>
            <w:hideMark/>
          </w:tcPr>
          <w:p w14:paraId="3BA89CFF" w14:textId="77777777" w:rsidR="00E8110A" w:rsidRPr="00F23B16" w:rsidRDefault="00E8110A" w:rsidP="00290462">
            <w:pPr>
              <w:spacing w:after="0" w:line="240" w:lineRule="auto"/>
              <w:rPr>
                <w:rFonts w:ascii="Calibri" w:eastAsia="Times New Roman" w:hAnsi="Calibri" w:cs="Calibri"/>
                <w:color w:val="FF0000"/>
                <w:lang w:eastAsia="fr-FR"/>
              </w:rPr>
            </w:pPr>
            <w:r w:rsidRPr="00F23B16">
              <w:rPr>
                <w:rFonts w:ascii="Calibri" w:eastAsia="Times New Roman" w:hAnsi="Calibri" w:cs="Calibri"/>
                <w:color w:val="FF0000"/>
                <w:lang w:eastAsia="fr-FR"/>
              </w:rPr>
              <w:t>3,3</w:t>
            </w:r>
          </w:p>
        </w:tc>
        <w:tc>
          <w:tcPr>
            <w:tcW w:w="0" w:type="auto"/>
            <w:shd w:val="clear" w:color="auto" w:fill="F5F5F5"/>
            <w:tcMar>
              <w:top w:w="60" w:type="dxa"/>
              <w:left w:w="60" w:type="dxa"/>
              <w:bottom w:w="60" w:type="dxa"/>
              <w:right w:w="60" w:type="dxa"/>
            </w:tcMar>
            <w:vAlign w:val="bottom"/>
            <w:hideMark/>
          </w:tcPr>
          <w:p w14:paraId="4E9BBDE6" w14:textId="77777777" w:rsidR="00E8110A" w:rsidRPr="00F23B16" w:rsidRDefault="00E8110A" w:rsidP="00290462">
            <w:pPr>
              <w:spacing w:after="0" w:line="240" w:lineRule="auto"/>
              <w:rPr>
                <w:rFonts w:ascii="Calibri" w:eastAsia="Times New Roman" w:hAnsi="Calibri" w:cs="Calibri"/>
                <w:color w:val="000000" w:themeColor="text1"/>
                <w:lang w:eastAsia="fr-FR"/>
              </w:rPr>
            </w:pPr>
            <w:r w:rsidRPr="00F23B16">
              <w:rPr>
                <w:rFonts w:ascii="Calibri" w:eastAsia="Times New Roman" w:hAnsi="Calibri" w:cs="Calibri"/>
                <w:color w:val="000000" w:themeColor="text1"/>
                <w:lang w:eastAsia="fr-FR"/>
              </w:rPr>
              <w:t>10</w:t>
            </w:r>
          </w:p>
        </w:tc>
        <w:tc>
          <w:tcPr>
            <w:tcW w:w="0" w:type="auto"/>
            <w:shd w:val="clear" w:color="auto" w:fill="FFFFFF"/>
            <w:tcMar>
              <w:top w:w="60" w:type="dxa"/>
              <w:left w:w="60" w:type="dxa"/>
              <w:bottom w:w="60" w:type="dxa"/>
              <w:right w:w="60" w:type="dxa"/>
            </w:tcMar>
            <w:vAlign w:val="bottom"/>
            <w:hideMark/>
          </w:tcPr>
          <w:p w14:paraId="47D10389" w14:textId="77777777" w:rsidR="00E8110A" w:rsidRPr="00F23B16" w:rsidRDefault="00E8110A" w:rsidP="00290462">
            <w:pPr>
              <w:spacing w:after="0" w:line="240" w:lineRule="auto"/>
              <w:rPr>
                <w:rFonts w:ascii="Calibri" w:eastAsia="Times New Roman" w:hAnsi="Calibri" w:cs="Calibri"/>
                <w:color w:val="2B2B2B"/>
                <w:lang w:eastAsia="fr-FR"/>
              </w:rPr>
            </w:pPr>
            <w:r w:rsidRPr="00F23B16">
              <w:rPr>
                <w:rFonts w:ascii="Calibri" w:eastAsia="Times New Roman" w:hAnsi="Calibri" w:cs="Calibri"/>
                <w:color w:val="FF0000"/>
                <w:lang w:eastAsia="fr-FR"/>
              </w:rPr>
              <w:t>6,6</w:t>
            </w:r>
          </w:p>
        </w:tc>
      </w:tr>
      <w:tr w:rsidR="00E8110A" w:rsidRPr="00F23B16" w14:paraId="60524B4F" w14:textId="77777777" w:rsidTr="00290462">
        <w:tc>
          <w:tcPr>
            <w:tcW w:w="0" w:type="auto"/>
            <w:shd w:val="clear" w:color="auto" w:fill="FFFFFF"/>
            <w:tcMar>
              <w:top w:w="60" w:type="dxa"/>
              <w:left w:w="60" w:type="dxa"/>
              <w:bottom w:w="60" w:type="dxa"/>
              <w:right w:w="60" w:type="dxa"/>
            </w:tcMar>
            <w:vAlign w:val="bottom"/>
            <w:hideMark/>
          </w:tcPr>
          <w:p w14:paraId="59AF2DD6" w14:textId="77777777" w:rsidR="00E8110A" w:rsidRPr="00F23B16" w:rsidRDefault="00E8110A" w:rsidP="00290462">
            <w:pPr>
              <w:spacing w:after="0" w:line="240" w:lineRule="auto"/>
              <w:rPr>
                <w:rFonts w:ascii="Calibri" w:eastAsia="Times New Roman" w:hAnsi="Calibri" w:cs="Calibri"/>
                <w:color w:val="000000" w:themeColor="text1"/>
                <w:lang w:eastAsia="fr-FR"/>
              </w:rPr>
            </w:pPr>
            <w:r w:rsidRPr="00F23B16">
              <w:rPr>
                <w:rFonts w:ascii="Calibri" w:eastAsia="Times New Roman" w:hAnsi="Calibri" w:cs="Calibri"/>
                <w:color w:val="000000" w:themeColor="text1"/>
                <w:lang w:eastAsia="fr-FR"/>
              </w:rPr>
              <w:t>Érythrée</w:t>
            </w:r>
          </w:p>
        </w:tc>
        <w:tc>
          <w:tcPr>
            <w:tcW w:w="0" w:type="auto"/>
            <w:shd w:val="clear" w:color="auto" w:fill="F5F5F5"/>
            <w:tcMar>
              <w:top w:w="60" w:type="dxa"/>
              <w:left w:w="60" w:type="dxa"/>
              <w:bottom w:w="60" w:type="dxa"/>
              <w:right w:w="60" w:type="dxa"/>
            </w:tcMar>
            <w:vAlign w:val="bottom"/>
            <w:hideMark/>
          </w:tcPr>
          <w:p w14:paraId="307E4050" w14:textId="77777777" w:rsidR="00E8110A" w:rsidRPr="00F23B16" w:rsidRDefault="00E8110A" w:rsidP="00290462">
            <w:pPr>
              <w:spacing w:after="0" w:line="240" w:lineRule="auto"/>
              <w:rPr>
                <w:rFonts w:ascii="Calibri" w:eastAsia="Times New Roman" w:hAnsi="Calibri" w:cs="Calibri"/>
                <w:color w:val="000000" w:themeColor="text1"/>
                <w:lang w:eastAsia="fr-FR"/>
              </w:rPr>
            </w:pPr>
            <w:r w:rsidRPr="00F23B16">
              <w:rPr>
                <w:rFonts w:ascii="Calibri" w:eastAsia="Times New Roman" w:hAnsi="Calibri" w:cs="Calibri"/>
                <w:color w:val="000000" w:themeColor="text1"/>
                <w:lang w:eastAsia="fr-FR"/>
              </w:rPr>
              <w:t>6,5</w:t>
            </w:r>
          </w:p>
        </w:tc>
        <w:tc>
          <w:tcPr>
            <w:tcW w:w="0" w:type="auto"/>
            <w:shd w:val="clear" w:color="auto" w:fill="FFFFFF"/>
            <w:tcMar>
              <w:top w:w="60" w:type="dxa"/>
              <w:left w:w="60" w:type="dxa"/>
              <w:bottom w:w="60" w:type="dxa"/>
              <w:right w:w="60" w:type="dxa"/>
            </w:tcMar>
            <w:vAlign w:val="bottom"/>
            <w:hideMark/>
          </w:tcPr>
          <w:p w14:paraId="7676012B" w14:textId="77777777" w:rsidR="00E8110A" w:rsidRPr="00F23B16" w:rsidRDefault="00E8110A" w:rsidP="00290462">
            <w:pPr>
              <w:spacing w:after="0" w:line="240" w:lineRule="auto"/>
              <w:rPr>
                <w:rFonts w:ascii="Calibri" w:eastAsia="Times New Roman" w:hAnsi="Calibri" w:cs="Calibri"/>
                <w:color w:val="2B2B2B"/>
                <w:lang w:eastAsia="fr-FR"/>
              </w:rPr>
            </w:pPr>
            <w:r w:rsidRPr="00F23B16">
              <w:rPr>
                <w:rFonts w:ascii="Calibri" w:eastAsia="Times New Roman" w:hAnsi="Calibri" w:cs="Calibri"/>
                <w:color w:val="2B2B2B"/>
                <w:lang w:eastAsia="fr-FR"/>
              </w:rPr>
              <w:t>2,6</w:t>
            </w:r>
          </w:p>
        </w:tc>
        <w:tc>
          <w:tcPr>
            <w:tcW w:w="0" w:type="auto"/>
            <w:shd w:val="clear" w:color="auto" w:fill="F5F5F5"/>
            <w:tcMar>
              <w:top w:w="60" w:type="dxa"/>
              <w:left w:w="60" w:type="dxa"/>
              <w:bottom w:w="60" w:type="dxa"/>
              <w:right w:w="60" w:type="dxa"/>
            </w:tcMar>
            <w:vAlign w:val="bottom"/>
            <w:hideMark/>
          </w:tcPr>
          <w:p w14:paraId="2817D319" w14:textId="77777777" w:rsidR="00E8110A" w:rsidRPr="00F23B16" w:rsidRDefault="00E8110A" w:rsidP="00290462">
            <w:pPr>
              <w:spacing w:after="0" w:line="240" w:lineRule="auto"/>
              <w:rPr>
                <w:rFonts w:ascii="Calibri" w:eastAsia="Times New Roman" w:hAnsi="Calibri" w:cs="Calibri"/>
                <w:color w:val="000000" w:themeColor="text1"/>
                <w:lang w:eastAsia="fr-FR"/>
              </w:rPr>
            </w:pPr>
            <w:r w:rsidRPr="00F23B16">
              <w:rPr>
                <w:rFonts w:ascii="Calibri" w:eastAsia="Times New Roman" w:hAnsi="Calibri" w:cs="Calibri"/>
                <w:color w:val="000000" w:themeColor="text1"/>
                <w:lang w:eastAsia="fr-FR"/>
              </w:rPr>
              <w:t>56</w:t>
            </w:r>
          </w:p>
        </w:tc>
        <w:tc>
          <w:tcPr>
            <w:tcW w:w="0" w:type="auto"/>
            <w:shd w:val="clear" w:color="auto" w:fill="FFFFFF"/>
            <w:tcMar>
              <w:top w:w="60" w:type="dxa"/>
              <w:left w:w="60" w:type="dxa"/>
              <w:bottom w:w="60" w:type="dxa"/>
              <w:right w:w="60" w:type="dxa"/>
            </w:tcMar>
            <w:vAlign w:val="bottom"/>
            <w:hideMark/>
          </w:tcPr>
          <w:p w14:paraId="350A1EF4" w14:textId="77777777" w:rsidR="00E8110A" w:rsidRPr="00F23B16" w:rsidRDefault="00E8110A" w:rsidP="00290462">
            <w:pPr>
              <w:spacing w:after="0" w:line="240" w:lineRule="auto"/>
              <w:rPr>
                <w:rFonts w:ascii="Calibri" w:eastAsia="Times New Roman" w:hAnsi="Calibri" w:cs="Calibri"/>
                <w:color w:val="2B2B2B"/>
                <w:lang w:eastAsia="fr-FR"/>
              </w:rPr>
            </w:pPr>
            <w:r w:rsidRPr="00F23B16">
              <w:rPr>
                <w:rFonts w:ascii="Calibri" w:eastAsia="Times New Roman" w:hAnsi="Calibri" w:cs="Calibri"/>
                <w:color w:val="2B2B2B"/>
                <w:lang w:eastAsia="fr-FR"/>
              </w:rPr>
              <w:t>4,7</w:t>
            </w:r>
          </w:p>
        </w:tc>
      </w:tr>
      <w:tr w:rsidR="00E8110A" w:rsidRPr="00F23B16" w14:paraId="0AD673A5" w14:textId="77777777" w:rsidTr="00290462">
        <w:tc>
          <w:tcPr>
            <w:tcW w:w="0" w:type="auto"/>
            <w:shd w:val="clear" w:color="auto" w:fill="FFFFFF"/>
            <w:tcMar>
              <w:top w:w="60" w:type="dxa"/>
              <w:left w:w="60" w:type="dxa"/>
              <w:bottom w:w="60" w:type="dxa"/>
              <w:right w:w="60" w:type="dxa"/>
            </w:tcMar>
            <w:vAlign w:val="bottom"/>
            <w:hideMark/>
          </w:tcPr>
          <w:p w14:paraId="501FF947" w14:textId="77777777" w:rsidR="00E8110A" w:rsidRPr="00F23B16" w:rsidRDefault="00E8110A" w:rsidP="00290462">
            <w:pPr>
              <w:spacing w:after="0" w:line="240" w:lineRule="auto"/>
              <w:rPr>
                <w:rFonts w:ascii="Calibri" w:eastAsia="Times New Roman" w:hAnsi="Calibri" w:cs="Calibri"/>
                <w:color w:val="000000" w:themeColor="text1"/>
                <w:lang w:eastAsia="fr-FR"/>
              </w:rPr>
            </w:pPr>
            <w:r w:rsidRPr="00F23B16">
              <w:rPr>
                <w:rFonts w:ascii="Calibri" w:eastAsia="Times New Roman" w:hAnsi="Calibri" w:cs="Calibri"/>
                <w:color w:val="000000" w:themeColor="text1"/>
                <w:lang w:eastAsia="fr-FR"/>
              </w:rPr>
              <w:t>Gambie</w:t>
            </w:r>
          </w:p>
        </w:tc>
        <w:tc>
          <w:tcPr>
            <w:tcW w:w="0" w:type="auto"/>
            <w:shd w:val="clear" w:color="auto" w:fill="F5F5F5"/>
            <w:tcMar>
              <w:top w:w="60" w:type="dxa"/>
              <w:left w:w="60" w:type="dxa"/>
              <w:bottom w:w="60" w:type="dxa"/>
              <w:right w:w="60" w:type="dxa"/>
            </w:tcMar>
            <w:vAlign w:val="bottom"/>
            <w:hideMark/>
          </w:tcPr>
          <w:p w14:paraId="75AB01FD" w14:textId="77777777" w:rsidR="00E8110A" w:rsidRPr="00F23B16" w:rsidRDefault="00E8110A" w:rsidP="00290462">
            <w:pPr>
              <w:spacing w:after="0" w:line="240" w:lineRule="auto"/>
              <w:rPr>
                <w:rFonts w:ascii="Calibri" w:eastAsia="Times New Roman" w:hAnsi="Calibri" w:cs="Calibri"/>
                <w:color w:val="000000" w:themeColor="text1"/>
                <w:lang w:eastAsia="fr-FR"/>
              </w:rPr>
            </w:pPr>
            <w:r w:rsidRPr="00F23B16">
              <w:rPr>
                <w:rFonts w:ascii="Calibri" w:eastAsia="Times New Roman" w:hAnsi="Calibri" w:cs="Calibri"/>
                <w:color w:val="000000" w:themeColor="text1"/>
                <w:lang w:eastAsia="fr-FR"/>
              </w:rPr>
              <w:t>1,9</w:t>
            </w:r>
          </w:p>
        </w:tc>
        <w:tc>
          <w:tcPr>
            <w:tcW w:w="0" w:type="auto"/>
            <w:shd w:val="clear" w:color="auto" w:fill="FFFFFF"/>
            <w:tcMar>
              <w:top w:w="60" w:type="dxa"/>
              <w:left w:w="60" w:type="dxa"/>
              <w:bottom w:w="60" w:type="dxa"/>
              <w:right w:w="60" w:type="dxa"/>
            </w:tcMar>
            <w:vAlign w:val="bottom"/>
            <w:hideMark/>
          </w:tcPr>
          <w:p w14:paraId="3C784803" w14:textId="77777777" w:rsidR="00E8110A" w:rsidRPr="00F23B16" w:rsidRDefault="00E8110A" w:rsidP="00290462">
            <w:pPr>
              <w:spacing w:after="0" w:line="240" w:lineRule="auto"/>
              <w:rPr>
                <w:rFonts w:ascii="Calibri" w:eastAsia="Times New Roman" w:hAnsi="Calibri" w:cs="Calibri"/>
                <w:color w:val="2B2B2B"/>
                <w:lang w:eastAsia="fr-FR"/>
              </w:rPr>
            </w:pPr>
            <w:r w:rsidRPr="00F23B16">
              <w:rPr>
                <w:rFonts w:ascii="Calibri" w:eastAsia="Times New Roman" w:hAnsi="Calibri" w:cs="Calibri"/>
                <w:color w:val="FF0000"/>
                <w:lang w:eastAsia="fr-FR"/>
              </w:rPr>
              <w:t>3,1</w:t>
            </w:r>
          </w:p>
        </w:tc>
        <w:tc>
          <w:tcPr>
            <w:tcW w:w="0" w:type="auto"/>
            <w:shd w:val="clear" w:color="auto" w:fill="F5F5F5"/>
            <w:tcMar>
              <w:top w:w="60" w:type="dxa"/>
              <w:left w:w="60" w:type="dxa"/>
              <w:bottom w:w="60" w:type="dxa"/>
              <w:right w:w="60" w:type="dxa"/>
            </w:tcMar>
            <w:vAlign w:val="bottom"/>
            <w:hideMark/>
          </w:tcPr>
          <w:p w14:paraId="6D6F73BA" w14:textId="77777777" w:rsidR="00E8110A" w:rsidRPr="00F23B16" w:rsidRDefault="00E8110A" w:rsidP="00290462">
            <w:pPr>
              <w:spacing w:after="0" w:line="240" w:lineRule="auto"/>
              <w:rPr>
                <w:rFonts w:ascii="Calibri" w:eastAsia="Times New Roman" w:hAnsi="Calibri" w:cs="Calibri"/>
                <w:color w:val="2B2B2B"/>
                <w:lang w:eastAsia="fr-FR"/>
              </w:rPr>
            </w:pPr>
            <w:r w:rsidRPr="00F23B16">
              <w:rPr>
                <w:rFonts w:ascii="Calibri" w:eastAsia="Times New Roman" w:hAnsi="Calibri" w:cs="Calibri"/>
                <w:color w:val="FF0000"/>
                <w:lang w:eastAsia="fr-FR"/>
              </w:rPr>
              <w:t>169</w:t>
            </w:r>
          </w:p>
        </w:tc>
        <w:tc>
          <w:tcPr>
            <w:tcW w:w="0" w:type="auto"/>
            <w:shd w:val="clear" w:color="auto" w:fill="FFFFFF"/>
            <w:tcMar>
              <w:top w:w="60" w:type="dxa"/>
              <w:left w:w="60" w:type="dxa"/>
              <w:bottom w:w="60" w:type="dxa"/>
              <w:right w:w="60" w:type="dxa"/>
            </w:tcMar>
            <w:vAlign w:val="bottom"/>
            <w:hideMark/>
          </w:tcPr>
          <w:p w14:paraId="67B7A233" w14:textId="77777777" w:rsidR="00E8110A" w:rsidRPr="00F23B16" w:rsidRDefault="00E8110A" w:rsidP="00290462">
            <w:pPr>
              <w:spacing w:after="0" w:line="240" w:lineRule="auto"/>
              <w:rPr>
                <w:rFonts w:ascii="Calibri" w:eastAsia="Times New Roman" w:hAnsi="Calibri" w:cs="Calibri"/>
                <w:color w:val="2B2B2B"/>
                <w:lang w:eastAsia="fr-FR"/>
              </w:rPr>
            </w:pPr>
            <w:r w:rsidRPr="00F23B16">
              <w:rPr>
                <w:rFonts w:ascii="Calibri" w:eastAsia="Times New Roman" w:hAnsi="Calibri" w:cs="Calibri"/>
                <w:color w:val="2B2B2B"/>
                <w:lang w:eastAsia="fr-FR"/>
              </w:rPr>
              <w:t>5,6</w:t>
            </w:r>
          </w:p>
        </w:tc>
      </w:tr>
      <w:tr w:rsidR="00E8110A" w:rsidRPr="00F23B16" w14:paraId="34E82185" w14:textId="77777777" w:rsidTr="00290462">
        <w:tc>
          <w:tcPr>
            <w:tcW w:w="0" w:type="auto"/>
            <w:shd w:val="clear" w:color="auto" w:fill="FFFFFF"/>
            <w:tcMar>
              <w:top w:w="60" w:type="dxa"/>
              <w:left w:w="60" w:type="dxa"/>
              <w:bottom w:w="60" w:type="dxa"/>
              <w:right w:w="60" w:type="dxa"/>
            </w:tcMar>
            <w:vAlign w:val="bottom"/>
            <w:hideMark/>
          </w:tcPr>
          <w:p w14:paraId="601F30BE" w14:textId="77777777" w:rsidR="00E8110A" w:rsidRPr="00F23B16" w:rsidRDefault="00E8110A" w:rsidP="00290462">
            <w:pPr>
              <w:spacing w:after="0" w:line="240" w:lineRule="auto"/>
              <w:rPr>
                <w:rFonts w:ascii="Calibri" w:eastAsia="Times New Roman" w:hAnsi="Calibri" w:cs="Calibri"/>
                <w:color w:val="000000" w:themeColor="text1"/>
                <w:lang w:eastAsia="fr-FR"/>
              </w:rPr>
            </w:pPr>
            <w:r w:rsidRPr="00F23B16">
              <w:rPr>
                <w:rFonts w:ascii="Calibri" w:eastAsia="Times New Roman" w:hAnsi="Calibri" w:cs="Calibri"/>
                <w:color w:val="000000" w:themeColor="text1"/>
                <w:lang w:eastAsia="fr-FR"/>
              </w:rPr>
              <w:t>Guinée Bissau</w:t>
            </w:r>
          </w:p>
        </w:tc>
        <w:tc>
          <w:tcPr>
            <w:tcW w:w="0" w:type="auto"/>
            <w:shd w:val="clear" w:color="auto" w:fill="F5F5F5"/>
            <w:tcMar>
              <w:top w:w="60" w:type="dxa"/>
              <w:left w:w="60" w:type="dxa"/>
              <w:bottom w:w="60" w:type="dxa"/>
              <w:right w:w="60" w:type="dxa"/>
            </w:tcMar>
            <w:vAlign w:val="bottom"/>
            <w:hideMark/>
          </w:tcPr>
          <w:p w14:paraId="279DE4E2" w14:textId="77777777" w:rsidR="00E8110A" w:rsidRPr="00F23B16" w:rsidRDefault="00E8110A" w:rsidP="00290462">
            <w:pPr>
              <w:spacing w:after="0" w:line="240" w:lineRule="auto"/>
              <w:rPr>
                <w:rFonts w:ascii="Calibri" w:eastAsia="Times New Roman" w:hAnsi="Calibri" w:cs="Calibri"/>
                <w:color w:val="000000" w:themeColor="text1"/>
                <w:lang w:eastAsia="fr-FR"/>
              </w:rPr>
            </w:pPr>
            <w:r w:rsidRPr="00F23B16">
              <w:rPr>
                <w:rFonts w:ascii="Calibri" w:eastAsia="Times New Roman" w:hAnsi="Calibri" w:cs="Calibri"/>
                <w:color w:val="000000" w:themeColor="text1"/>
                <w:lang w:eastAsia="fr-FR"/>
              </w:rPr>
              <w:t>1,7</w:t>
            </w:r>
          </w:p>
        </w:tc>
        <w:tc>
          <w:tcPr>
            <w:tcW w:w="0" w:type="auto"/>
            <w:shd w:val="clear" w:color="auto" w:fill="FFFFFF"/>
            <w:tcMar>
              <w:top w:w="60" w:type="dxa"/>
              <w:left w:w="60" w:type="dxa"/>
              <w:bottom w:w="60" w:type="dxa"/>
              <w:right w:w="60" w:type="dxa"/>
            </w:tcMar>
            <w:vAlign w:val="bottom"/>
            <w:hideMark/>
          </w:tcPr>
          <w:p w14:paraId="6F626F3E" w14:textId="77777777" w:rsidR="00E8110A" w:rsidRPr="00F23B16" w:rsidRDefault="00E8110A" w:rsidP="00290462">
            <w:pPr>
              <w:spacing w:after="0" w:line="240" w:lineRule="auto"/>
              <w:rPr>
                <w:rFonts w:ascii="Calibri" w:eastAsia="Times New Roman" w:hAnsi="Calibri" w:cs="Calibri"/>
                <w:color w:val="2B2B2B"/>
                <w:lang w:eastAsia="fr-FR"/>
              </w:rPr>
            </w:pPr>
            <w:r w:rsidRPr="00F23B16">
              <w:rPr>
                <w:rFonts w:ascii="Calibri" w:eastAsia="Times New Roman" w:hAnsi="Calibri" w:cs="Calibri"/>
                <w:color w:val="2B2B2B"/>
                <w:lang w:eastAsia="fr-FR"/>
              </w:rPr>
              <w:t>2,5</w:t>
            </w:r>
          </w:p>
        </w:tc>
        <w:tc>
          <w:tcPr>
            <w:tcW w:w="0" w:type="auto"/>
            <w:shd w:val="clear" w:color="auto" w:fill="F5F5F5"/>
            <w:tcMar>
              <w:top w:w="60" w:type="dxa"/>
              <w:left w:w="60" w:type="dxa"/>
              <w:bottom w:w="60" w:type="dxa"/>
              <w:right w:w="60" w:type="dxa"/>
            </w:tcMar>
            <w:vAlign w:val="bottom"/>
            <w:hideMark/>
          </w:tcPr>
          <w:p w14:paraId="2E527FC1" w14:textId="77777777" w:rsidR="00E8110A" w:rsidRPr="00F23B16" w:rsidRDefault="00E8110A" w:rsidP="00290462">
            <w:pPr>
              <w:spacing w:after="0" w:line="240" w:lineRule="auto"/>
              <w:rPr>
                <w:rFonts w:ascii="Calibri" w:eastAsia="Times New Roman" w:hAnsi="Calibri" w:cs="Calibri"/>
                <w:color w:val="000000" w:themeColor="text1"/>
                <w:lang w:eastAsia="fr-FR"/>
              </w:rPr>
            </w:pPr>
            <w:r w:rsidRPr="00F23B16">
              <w:rPr>
                <w:rFonts w:ascii="Calibri" w:eastAsia="Times New Roman" w:hAnsi="Calibri" w:cs="Calibri"/>
                <w:color w:val="000000" w:themeColor="text1"/>
                <w:lang w:eastAsia="fr-FR"/>
              </w:rPr>
              <w:t>48</w:t>
            </w:r>
          </w:p>
        </w:tc>
        <w:tc>
          <w:tcPr>
            <w:tcW w:w="0" w:type="auto"/>
            <w:shd w:val="clear" w:color="auto" w:fill="FFFFFF"/>
            <w:tcMar>
              <w:top w:w="60" w:type="dxa"/>
              <w:left w:w="60" w:type="dxa"/>
              <w:bottom w:w="60" w:type="dxa"/>
              <w:right w:w="60" w:type="dxa"/>
            </w:tcMar>
            <w:vAlign w:val="bottom"/>
            <w:hideMark/>
          </w:tcPr>
          <w:p w14:paraId="2DFBEE0D" w14:textId="77777777" w:rsidR="00E8110A" w:rsidRPr="00F23B16" w:rsidRDefault="00E8110A" w:rsidP="00290462">
            <w:pPr>
              <w:spacing w:after="0" w:line="240" w:lineRule="auto"/>
              <w:rPr>
                <w:rFonts w:ascii="Calibri" w:eastAsia="Times New Roman" w:hAnsi="Calibri" w:cs="Calibri"/>
                <w:color w:val="2B2B2B"/>
                <w:lang w:eastAsia="fr-FR"/>
              </w:rPr>
            </w:pPr>
            <w:r w:rsidRPr="00F23B16">
              <w:rPr>
                <w:rFonts w:ascii="Calibri" w:eastAsia="Times New Roman" w:hAnsi="Calibri" w:cs="Calibri"/>
                <w:color w:val="2B2B2B"/>
                <w:lang w:eastAsia="fr-FR"/>
              </w:rPr>
              <w:t>5,0</w:t>
            </w:r>
          </w:p>
        </w:tc>
      </w:tr>
      <w:tr w:rsidR="00E8110A" w:rsidRPr="00F23B16" w14:paraId="5AA78444" w14:textId="77777777" w:rsidTr="00290462">
        <w:tc>
          <w:tcPr>
            <w:tcW w:w="0" w:type="auto"/>
            <w:shd w:val="clear" w:color="auto" w:fill="FFFFFF"/>
            <w:tcMar>
              <w:top w:w="60" w:type="dxa"/>
              <w:left w:w="60" w:type="dxa"/>
              <w:bottom w:w="60" w:type="dxa"/>
              <w:right w:w="60" w:type="dxa"/>
            </w:tcMar>
            <w:vAlign w:val="bottom"/>
            <w:hideMark/>
          </w:tcPr>
          <w:p w14:paraId="485AB904" w14:textId="77777777" w:rsidR="00E8110A" w:rsidRPr="00F23B16" w:rsidRDefault="00E8110A" w:rsidP="00290462">
            <w:pPr>
              <w:spacing w:after="0" w:line="240" w:lineRule="auto"/>
              <w:rPr>
                <w:rFonts w:ascii="Calibri" w:eastAsia="Times New Roman" w:hAnsi="Calibri" w:cs="Calibri"/>
                <w:color w:val="000000" w:themeColor="text1"/>
                <w:lang w:eastAsia="fr-FR"/>
              </w:rPr>
            </w:pPr>
            <w:r w:rsidRPr="00F23B16">
              <w:rPr>
                <w:rFonts w:ascii="Calibri" w:eastAsia="Times New Roman" w:hAnsi="Calibri" w:cs="Calibri"/>
                <w:color w:val="000000" w:themeColor="text1"/>
                <w:lang w:eastAsia="fr-FR"/>
              </w:rPr>
              <w:t>Mali</w:t>
            </w:r>
          </w:p>
        </w:tc>
        <w:tc>
          <w:tcPr>
            <w:tcW w:w="0" w:type="auto"/>
            <w:shd w:val="clear" w:color="auto" w:fill="F5F5F5"/>
            <w:tcMar>
              <w:top w:w="60" w:type="dxa"/>
              <w:left w:w="60" w:type="dxa"/>
              <w:bottom w:w="60" w:type="dxa"/>
              <w:right w:w="60" w:type="dxa"/>
            </w:tcMar>
            <w:vAlign w:val="bottom"/>
            <w:hideMark/>
          </w:tcPr>
          <w:p w14:paraId="5B78B627" w14:textId="77777777" w:rsidR="00E8110A" w:rsidRPr="00F23B16" w:rsidRDefault="00E8110A" w:rsidP="00290462">
            <w:pPr>
              <w:spacing w:after="0" w:line="240" w:lineRule="auto"/>
              <w:rPr>
                <w:rFonts w:ascii="Calibri" w:eastAsia="Times New Roman" w:hAnsi="Calibri" w:cs="Calibri"/>
                <w:color w:val="000000" w:themeColor="text1"/>
                <w:lang w:eastAsia="fr-FR"/>
              </w:rPr>
            </w:pPr>
            <w:r w:rsidRPr="00F23B16">
              <w:rPr>
                <w:rFonts w:ascii="Calibri" w:eastAsia="Times New Roman" w:hAnsi="Calibri" w:cs="Calibri"/>
                <w:color w:val="000000" w:themeColor="text1"/>
                <w:lang w:eastAsia="fr-FR"/>
              </w:rPr>
              <w:t>15,9</w:t>
            </w:r>
          </w:p>
        </w:tc>
        <w:tc>
          <w:tcPr>
            <w:tcW w:w="0" w:type="auto"/>
            <w:shd w:val="clear" w:color="auto" w:fill="FFFFFF"/>
            <w:tcMar>
              <w:top w:w="60" w:type="dxa"/>
              <w:left w:w="60" w:type="dxa"/>
              <w:bottom w:w="60" w:type="dxa"/>
              <w:right w:w="60" w:type="dxa"/>
            </w:tcMar>
            <w:vAlign w:val="bottom"/>
            <w:hideMark/>
          </w:tcPr>
          <w:p w14:paraId="40F0DEFE" w14:textId="77777777" w:rsidR="00E8110A" w:rsidRPr="00F23B16" w:rsidRDefault="00E8110A" w:rsidP="00290462">
            <w:pPr>
              <w:spacing w:after="0" w:line="240" w:lineRule="auto"/>
              <w:rPr>
                <w:rFonts w:ascii="Calibri" w:eastAsia="Times New Roman" w:hAnsi="Calibri" w:cs="Calibri"/>
                <w:color w:val="2B2B2B"/>
                <w:lang w:eastAsia="fr-FR"/>
              </w:rPr>
            </w:pPr>
            <w:r w:rsidRPr="00F23B16">
              <w:rPr>
                <w:rFonts w:ascii="Calibri" w:eastAsia="Times New Roman" w:hAnsi="Calibri" w:cs="Calibri"/>
                <w:color w:val="FF0000"/>
                <w:lang w:eastAsia="fr-FR"/>
              </w:rPr>
              <w:t>2,9</w:t>
            </w:r>
          </w:p>
        </w:tc>
        <w:tc>
          <w:tcPr>
            <w:tcW w:w="0" w:type="auto"/>
            <w:shd w:val="clear" w:color="auto" w:fill="F5F5F5"/>
            <w:tcMar>
              <w:top w:w="60" w:type="dxa"/>
              <w:left w:w="60" w:type="dxa"/>
              <w:bottom w:w="60" w:type="dxa"/>
              <w:right w:w="60" w:type="dxa"/>
            </w:tcMar>
            <w:vAlign w:val="bottom"/>
            <w:hideMark/>
          </w:tcPr>
          <w:p w14:paraId="73A79488" w14:textId="77777777" w:rsidR="00E8110A" w:rsidRPr="00F23B16" w:rsidRDefault="00E8110A" w:rsidP="00290462">
            <w:pPr>
              <w:spacing w:after="0" w:line="240" w:lineRule="auto"/>
              <w:rPr>
                <w:rFonts w:ascii="Calibri" w:eastAsia="Times New Roman" w:hAnsi="Calibri" w:cs="Calibri"/>
                <w:color w:val="000000" w:themeColor="text1"/>
                <w:lang w:eastAsia="fr-FR"/>
              </w:rPr>
            </w:pPr>
            <w:r w:rsidRPr="00F23B16">
              <w:rPr>
                <w:rFonts w:ascii="Calibri" w:eastAsia="Times New Roman" w:hAnsi="Calibri" w:cs="Calibri"/>
                <w:color w:val="000000" w:themeColor="text1"/>
                <w:lang w:eastAsia="fr-FR"/>
              </w:rPr>
              <w:t>13</w:t>
            </w:r>
          </w:p>
        </w:tc>
        <w:tc>
          <w:tcPr>
            <w:tcW w:w="0" w:type="auto"/>
            <w:shd w:val="clear" w:color="auto" w:fill="FFFFFF"/>
            <w:tcMar>
              <w:top w:w="60" w:type="dxa"/>
              <w:left w:w="60" w:type="dxa"/>
              <w:bottom w:w="60" w:type="dxa"/>
              <w:right w:w="60" w:type="dxa"/>
            </w:tcMar>
            <w:vAlign w:val="bottom"/>
            <w:hideMark/>
          </w:tcPr>
          <w:p w14:paraId="7EFA1293" w14:textId="77777777" w:rsidR="00E8110A" w:rsidRPr="00F23B16" w:rsidRDefault="00E8110A" w:rsidP="00290462">
            <w:pPr>
              <w:spacing w:after="0" w:line="240" w:lineRule="auto"/>
              <w:rPr>
                <w:rFonts w:ascii="Calibri" w:eastAsia="Times New Roman" w:hAnsi="Calibri" w:cs="Calibri"/>
                <w:color w:val="2B2B2B"/>
                <w:lang w:eastAsia="fr-FR"/>
              </w:rPr>
            </w:pPr>
            <w:r w:rsidRPr="00F23B16">
              <w:rPr>
                <w:rFonts w:ascii="Calibri" w:eastAsia="Times New Roman" w:hAnsi="Calibri" w:cs="Calibri"/>
                <w:color w:val="FF0000"/>
                <w:lang w:eastAsia="fr-FR"/>
              </w:rPr>
              <w:t>6,1</w:t>
            </w:r>
          </w:p>
        </w:tc>
      </w:tr>
      <w:tr w:rsidR="00E8110A" w:rsidRPr="00F23B16" w14:paraId="0A03979E" w14:textId="77777777" w:rsidTr="00290462">
        <w:tc>
          <w:tcPr>
            <w:tcW w:w="0" w:type="auto"/>
            <w:shd w:val="clear" w:color="auto" w:fill="FFFFFF"/>
            <w:tcMar>
              <w:top w:w="60" w:type="dxa"/>
              <w:left w:w="60" w:type="dxa"/>
              <w:bottom w:w="60" w:type="dxa"/>
              <w:right w:w="60" w:type="dxa"/>
            </w:tcMar>
            <w:vAlign w:val="bottom"/>
            <w:hideMark/>
          </w:tcPr>
          <w:p w14:paraId="678A1013" w14:textId="77777777" w:rsidR="00E8110A" w:rsidRPr="00F23B16" w:rsidRDefault="00E8110A" w:rsidP="00290462">
            <w:pPr>
              <w:spacing w:after="0" w:line="240" w:lineRule="auto"/>
              <w:rPr>
                <w:rFonts w:ascii="Calibri" w:eastAsia="Times New Roman" w:hAnsi="Calibri" w:cs="Calibri"/>
                <w:color w:val="000000" w:themeColor="text1"/>
                <w:lang w:eastAsia="fr-FR"/>
              </w:rPr>
            </w:pPr>
            <w:r w:rsidRPr="00F23B16">
              <w:rPr>
                <w:rFonts w:ascii="Calibri" w:eastAsia="Times New Roman" w:hAnsi="Calibri" w:cs="Calibri"/>
                <w:color w:val="000000" w:themeColor="text1"/>
                <w:lang w:eastAsia="fr-FR"/>
              </w:rPr>
              <w:t>Mauritanie</w:t>
            </w:r>
          </w:p>
        </w:tc>
        <w:tc>
          <w:tcPr>
            <w:tcW w:w="0" w:type="auto"/>
            <w:shd w:val="clear" w:color="auto" w:fill="F5F5F5"/>
            <w:tcMar>
              <w:top w:w="60" w:type="dxa"/>
              <w:left w:w="60" w:type="dxa"/>
              <w:bottom w:w="60" w:type="dxa"/>
              <w:right w:w="60" w:type="dxa"/>
            </w:tcMar>
            <w:vAlign w:val="bottom"/>
            <w:hideMark/>
          </w:tcPr>
          <w:p w14:paraId="36978DE8" w14:textId="77777777" w:rsidR="00E8110A" w:rsidRPr="00F23B16" w:rsidRDefault="00E8110A" w:rsidP="00290462">
            <w:pPr>
              <w:spacing w:after="0" w:line="240" w:lineRule="auto"/>
              <w:rPr>
                <w:rFonts w:ascii="Calibri" w:eastAsia="Times New Roman" w:hAnsi="Calibri" w:cs="Calibri"/>
                <w:color w:val="000000" w:themeColor="text1"/>
                <w:lang w:eastAsia="fr-FR"/>
              </w:rPr>
            </w:pPr>
            <w:r w:rsidRPr="00F23B16">
              <w:rPr>
                <w:rFonts w:ascii="Calibri" w:eastAsia="Times New Roman" w:hAnsi="Calibri" w:cs="Calibri"/>
                <w:color w:val="000000" w:themeColor="text1"/>
                <w:lang w:eastAsia="fr-FR"/>
              </w:rPr>
              <w:t>4,0</w:t>
            </w:r>
          </w:p>
        </w:tc>
        <w:tc>
          <w:tcPr>
            <w:tcW w:w="0" w:type="auto"/>
            <w:shd w:val="clear" w:color="auto" w:fill="FFFFFF"/>
            <w:tcMar>
              <w:top w:w="60" w:type="dxa"/>
              <w:left w:w="60" w:type="dxa"/>
              <w:bottom w:w="60" w:type="dxa"/>
              <w:right w:w="60" w:type="dxa"/>
            </w:tcMar>
            <w:vAlign w:val="bottom"/>
            <w:hideMark/>
          </w:tcPr>
          <w:p w14:paraId="6F2BD16C" w14:textId="77777777" w:rsidR="00E8110A" w:rsidRPr="00F23B16" w:rsidRDefault="00E8110A" w:rsidP="00290462">
            <w:pPr>
              <w:spacing w:after="0" w:line="240" w:lineRule="auto"/>
              <w:rPr>
                <w:rFonts w:ascii="Calibri" w:eastAsia="Times New Roman" w:hAnsi="Calibri" w:cs="Calibri"/>
                <w:color w:val="2B2B2B"/>
                <w:lang w:eastAsia="fr-FR"/>
              </w:rPr>
            </w:pPr>
            <w:r w:rsidRPr="00F23B16">
              <w:rPr>
                <w:rFonts w:ascii="Calibri" w:eastAsia="Times New Roman" w:hAnsi="Calibri" w:cs="Calibri"/>
                <w:color w:val="2B2B2B"/>
                <w:lang w:eastAsia="fr-FR"/>
              </w:rPr>
              <w:t>2,6</w:t>
            </w:r>
          </w:p>
        </w:tc>
        <w:tc>
          <w:tcPr>
            <w:tcW w:w="0" w:type="auto"/>
            <w:shd w:val="clear" w:color="auto" w:fill="F5F5F5"/>
            <w:tcMar>
              <w:top w:w="60" w:type="dxa"/>
              <w:left w:w="60" w:type="dxa"/>
              <w:bottom w:w="60" w:type="dxa"/>
              <w:right w:w="60" w:type="dxa"/>
            </w:tcMar>
            <w:vAlign w:val="bottom"/>
            <w:hideMark/>
          </w:tcPr>
          <w:p w14:paraId="7F0E1BC2" w14:textId="77777777" w:rsidR="00E8110A" w:rsidRPr="00F23B16" w:rsidRDefault="00E8110A" w:rsidP="00290462">
            <w:pPr>
              <w:spacing w:after="0" w:line="240" w:lineRule="auto"/>
              <w:rPr>
                <w:rFonts w:ascii="Calibri" w:eastAsia="Times New Roman" w:hAnsi="Calibri" w:cs="Calibri"/>
                <w:color w:val="000000" w:themeColor="text1"/>
                <w:lang w:eastAsia="fr-FR"/>
              </w:rPr>
            </w:pPr>
            <w:r w:rsidRPr="00F23B16">
              <w:rPr>
                <w:rFonts w:ascii="Calibri" w:eastAsia="Times New Roman" w:hAnsi="Calibri" w:cs="Calibri"/>
                <w:color w:val="000000" w:themeColor="text1"/>
                <w:lang w:eastAsia="fr-FR"/>
              </w:rPr>
              <w:t>4</w:t>
            </w:r>
          </w:p>
        </w:tc>
        <w:tc>
          <w:tcPr>
            <w:tcW w:w="0" w:type="auto"/>
            <w:shd w:val="clear" w:color="auto" w:fill="FFFFFF"/>
            <w:tcMar>
              <w:top w:w="60" w:type="dxa"/>
              <w:left w:w="60" w:type="dxa"/>
              <w:bottom w:w="60" w:type="dxa"/>
              <w:right w:w="60" w:type="dxa"/>
            </w:tcMar>
            <w:vAlign w:val="bottom"/>
            <w:hideMark/>
          </w:tcPr>
          <w:p w14:paraId="5B4BE7AC" w14:textId="77777777" w:rsidR="00E8110A" w:rsidRPr="00F23B16" w:rsidRDefault="00E8110A" w:rsidP="00290462">
            <w:pPr>
              <w:spacing w:after="0" w:line="240" w:lineRule="auto"/>
              <w:rPr>
                <w:rFonts w:ascii="Calibri" w:eastAsia="Times New Roman" w:hAnsi="Calibri" w:cs="Calibri"/>
                <w:color w:val="2B2B2B"/>
                <w:lang w:eastAsia="fr-FR"/>
              </w:rPr>
            </w:pPr>
            <w:r w:rsidRPr="00F23B16">
              <w:rPr>
                <w:rFonts w:ascii="Calibri" w:eastAsia="Times New Roman" w:hAnsi="Calibri" w:cs="Calibri"/>
                <w:color w:val="2B2B2B"/>
                <w:lang w:eastAsia="fr-FR"/>
              </w:rPr>
              <w:t>4,1</w:t>
            </w:r>
          </w:p>
        </w:tc>
      </w:tr>
      <w:tr w:rsidR="00E8110A" w:rsidRPr="00F23B16" w14:paraId="66C92CAE" w14:textId="77777777" w:rsidTr="00290462">
        <w:tc>
          <w:tcPr>
            <w:tcW w:w="0" w:type="auto"/>
            <w:shd w:val="clear" w:color="auto" w:fill="FFFFFF"/>
            <w:tcMar>
              <w:top w:w="60" w:type="dxa"/>
              <w:left w:w="60" w:type="dxa"/>
              <w:bottom w:w="60" w:type="dxa"/>
              <w:right w:w="60" w:type="dxa"/>
            </w:tcMar>
            <w:vAlign w:val="bottom"/>
            <w:hideMark/>
          </w:tcPr>
          <w:p w14:paraId="46DC2B9D" w14:textId="77777777" w:rsidR="00E8110A" w:rsidRPr="00F23B16" w:rsidRDefault="00E8110A" w:rsidP="00290462">
            <w:pPr>
              <w:spacing w:after="0" w:line="240" w:lineRule="auto"/>
              <w:rPr>
                <w:rFonts w:ascii="Calibri" w:eastAsia="Times New Roman" w:hAnsi="Calibri" w:cs="Calibri"/>
                <w:color w:val="000000" w:themeColor="text1"/>
                <w:lang w:eastAsia="fr-FR"/>
              </w:rPr>
            </w:pPr>
            <w:r w:rsidRPr="00F23B16">
              <w:rPr>
                <w:rFonts w:ascii="Calibri" w:eastAsia="Times New Roman" w:hAnsi="Calibri" w:cs="Calibri"/>
                <w:color w:val="000000" w:themeColor="text1"/>
                <w:lang w:eastAsia="fr-FR"/>
              </w:rPr>
              <w:t>Niger</w:t>
            </w:r>
          </w:p>
        </w:tc>
        <w:tc>
          <w:tcPr>
            <w:tcW w:w="0" w:type="auto"/>
            <w:shd w:val="clear" w:color="auto" w:fill="F5F5F5"/>
            <w:tcMar>
              <w:top w:w="60" w:type="dxa"/>
              <w:left w:w="60" w:type="dxa"/>
              <w:bottom w:w="60" w:type="dxa"/>
              <w:right w:w="60" w:type="dxa"/>
            </w:tcMar>
            <w:vAlign w:val="bottom"/>
            <w:hideMark/>
          </w:tcPr>
          <w:p w14:paraId="07820E1D" w14:textId="77777777" w:rsidR="00E8110A" w:rsidRPr="00F23B16" w:rsidRDefault="00E8110A" w:rsidP="00290462">
            <w:pPr>
              <w:spacing w:after="0" w:line="240" w:lineRule="auto"/>
              <w:rPr>
                <w:rFonts w:ascii="Calibri" w:eastAsia="Times New Roman" w:hAnsi="Calibri" w:cs="Calibri"/>
                <w:color w:val="000000" w:themeColor="text1"/>
                <w:lang w:eastAsia="fr-FR"/>
              </w:rPr>
            </w:pPr>
            <w:r w:rsidRPr="00F23B16">
              <w:rPr>
                <w:rFonts w:ascii="Calibri" w:eastAsia="Times New Roman" w:hAnsi="Calibri" w:cs="Calibri"/>
                <w:color w:val="000000" w:themeColor="text1"/>
                <w:lang w:eastAsia="fr-FR"/>
              </w:rPr>
              <w:t>18,2</w:t>
            </w:r>
          </w:p>
        </w:tc>
        <w:tc>
          <w:tcPr>
            <w:tcW w:w="0" w:type="auto"/>
            <w:shd w:val="clear" w:color="auto" w:fill="FFFFFF"/>
            <w:tcMar>
              <w:top w:w="60" w:type="dxa"/>
              <w:left w:w="60" w:type="dxa"/>
              <w:bottom w:w="60" w:type="dxa"/>
              <w:right w:w="60" w:type="dxa"/>
            </w:tcMar>
            <w:vAlign w:val="bottom"/>
            <w:hideMark/>
          </w:tcPr>
          <w:p w14:paraId="23642D7A" w14:textId="77777777" w:rsidR="00E8110A" w:rsidRPr="00F23B16" w:rsidRDefault="00E8110A" w:rsidP="00290462">
            <w:pPr>
              <w:spacing w:after="0" w:line="240" w:lineRule="auto"/>
              <w:rPr>
                <w:rFonts w:ascii="Calibri" w:eastAsia="Times New Roman" w:hAnsi="Calibri" w:cs="Calibri"/>
                <w:color w:val="FF0000"/>
                <w:lang w:eastAsia="fr-FR"/>
              </w:rPr>
            </w:pPr>
            <w:r w:rsidRPr="00F23B16">
              <w:rPr>
                <w:rFonts w:ascii="Calibri" w:eastAsia="Times New Roman" w:hAnsi="Calibri" w:cs="Calibri"/>
                <w:color w:val="FF0000"/>
                <w:lang w:eastAsia="fr-FR"/>
              </w:rPr>
              <w:t>3,9</w:t>
            </w:r>
          </w:p>
        </w:tc>
        <w:tc>
          <w:tcPr>
            <w:tcW w:w="0" w:type="auto"/>
            <w:shd w:val="clear" w:color="auto" w:fill="F5F5F5"/>
            <w:tcMar>
              <w:top w:w="60" w:type="dxa"/>
              <w:left w:w="60" w:type="dxa"/>
              <w:bottom w:w="60" w:type="dxa"/>
              <w:right w:w="60" w:type="dxa"/>
            </w:tcMar>
            <w:vAlign w:val="bottom"/>
            <w:hideMark/>
          </w:tcPr>
          <w:p w14:paraId="55316AF9" w14:textId="77777777" w:rsidR="00E8110A" w:rsidRPr="00F23B16" w:rsidRDefault="00E8110A" w:rsidP="00290462">
            <w:pPr>
              <w:spacing w:after="0" w:line="240" w:lineRule="auto"/>
              <w:rPr>
                <w:rFonts w:ascii="Calibri" w:eastAsia="Times New Roman" w:hAnsi="Calibri" w:cs="Calibri"/>
                <w:color w:val="000000" w:themeColor="text1"/>
                <w:lang w:eastAsia="fr-FR"/>
              </w:rPr>
            </w:pPr>
            <w:r w:rsidRPr="00F23B16">
              <w:rPr>
                <w:rFonts w:ascii="Calibri" w:eastAsia="Times New Roman" w:hAnsi="Calibri" w:cs="Calibri"/>
                <w:color w:val="000000" w:themeColor="text1"/>
                <w:lang w:eastAsia="fr-FR"/>
              </w:rPr>
              <w:t>14</w:t>
            </w:r>
          </w:p>
        </w:tc>
        <w:tc>
          <w:tcPr>
            <w:tcW w:w="0" w:type="auto"/>
            <w:shd w:val="clear" w:color="auto" w:fill="FFFFFF"/>
            <w:tcMar>
              <w:top w:w="60" w:type="dxa"/>
              <w:left w:w="60" w:type="dxa"/>
              <w:bottom w:w="60" w:type="dxa"/>
              <w:right w:w="60" w:type="dxa"/>
            </w:tcMar>
            <w:vAlign w:val="bottom"/>
            <w:hideMark/>
          </w:tcPr>
          <w:p w14:paraId="63E1C180" w14:textId="77777777" w:rsidR="00E8110A" w:rsidRPr="00F23B16" w:rsidRDefault="00E8110A" w:rsidP="00290462">
            <w:pPr>
              <w:spacing w:after="0" w:line="240" w:lineRule="auto"/>
              <w:rPr>
                <w:rFonts w:ascii="Calibri" w:eastAsia="Times New Roman" w:hAnsi="Calibri" w:cs="Calibri"/>
                <w:color w:val="2B2B2B"/>
                <w:lang w:eastAsia="fr-FR"/>
              </w:rPr>
            </w:pPr>
            <w:r w:rsidRPr="00F23B16">
              <w:rPr>
                <w:rFonts w:ascii="Calibri" w:eastAsia="Times New Roman" w:hAnsi="Calibri" w:cs="Calibri"/>
                <w:color w:val="FF0000"/>
                <w:lang w:eastAsia="fr-FR"/>
              </w:rPr>
              <w:t>7,6</w:t>
            </w:r>
          </w:p>
        </w:tc>
      </w:tr>
      <w:tr w:rsidR="00E8110A" w:rsidRPr="00F23B16" w14:paraId="7BF2ECE0" w14:textId="77777777" w:rsidTr="00290462">
        <w:tc>
          <w:tcPr>
            <w:tcW w:w="0" w:type="auto"/>
            <w:shd w:val="clear" w:color="auto" w:fill="FFFFFF"/>
            <w:tcMar>
              <w:top w:w="60" w:type="dxa"/>
              <w:left w:w="60" w:type="dxa"/>
              <w:bottom w:w="60" w:type="dxa"/>
              <w:right w:w="60" w:type="dxa"/>
            </w:tcMar>
            <w:vAlign w:val="bottom"/>
            <w:hideMark/>
          </w:tcPr>
          <w:p w14:paraId="4EC3FF9A" w14:textId="77777777" w:rsidR="00E8110A" w:rsidRPr="00F23B16" w:rsidRDefault="00E8110A" w:rsidP="00290462">
            <w:pPr>
              <w:spacing w:after="0" w:line="240" w:lineRule="auto"/>
              <w:rPr>
                <w:rFonts w:ascii="Calibri" w:eastAsia="Times New Roman" w:hAnsi="Calibri" w:cs="Calibri"/>
                <w:color w:val="000000" w:themeColor="text1"/>
                <w:lang w:eastAsia="fr-FR"/>
              </w:rPr>
            </w:pPr>
            <w:r w:rsidRPr="00F23B16">
              <w:rPr>
                <w:rFonts w:ascii="Calibri" w:eastAsia="Times New Roman" w:hAnsi="Calibri" w:cs="Calibri"/>
                <w:color w:val="000000" w:themeColor="text1"/>
                <w:lang w:eastAsia="fr-FR"/>
              </w:rPr>
              <w:t>Sénégal</w:t>
            </w:r>
          </w:p>
        </w:tc>
        <w:tc>
          <w:tcPr>
            <w:tcW w:w="0" w:type="auto"/>
            <w:shd w:val="clear" w:color="auto" w:fill="F5F5F5"/>
            <w:tcMar>
              <w:top w:w="60" w:type="dxa"/>
              <w:left w:w="60" w:type="dxa"/>
              <w:bottom w:w="60" w:type="dxa"/>
              <w:right w:w="60" w:type="dxa"/>
            </w:tcMar>
            <w:vAlign w:val="bottom"/>
            <w:hideMark/>
          </w:tcPr>
          <w:p w14:paraId="5031A277" w14:textId="77777777" w:rsidR="00E8110A" w:rsidRPr="00F23B16" w:rsidRDefault="00E8110A" w:rsidP="00290462">
            <w:pPr>
              <w:spacing w:after="0" w:line="240" w:lineRule="auto"/>
              <w:rPr>
                <w:rFonts w:ascii="Calibri" w:eastAsia="Times New Roman" w:hAnsi="Calibri" w:cs="Calibri"/>
                <w:color w:val="000000" w:themeColor="text1"/>
                <w:lang w:eastAsia="fr-FR"/>
              </w:rPr>
            </w:pPr>
            <w:r w:rsidRPr="00F23B16">
              <w:rPr>
                <w:rFonts w:ascii="Calibri" w:eastAsia="Times New Roman" w:hAnsi="Calibri" w:cs="Calibri"/>
                <w:color w:val="000000" w:themeColor="text1"/>
                <w:lang w:eastAsia="fr-FR"/>
              </w:rPr>
              <w:t>13,9</w:t>
            </w:r>
          </w:p>
        </w:tc>
        <w:tc>
          <w:tcPr>
            <w:tcW w:w="0" w:type="auto"/>
            <w:shd w:val="clear" w:color="auto" w:fill="FFFFFF"/>
            <w:tcMar>
              <w:top w:w="60" w:type="dxa"/>
              <w:left w:w="60" w:type="dxa"/>
              <w:bottom w:w="60" w:type="dxa"/>
              <w:right w:w="60" w:type="dxa"/>
            </w:tcMar>
            <w:vAlign w:val="bottom"/>
            <w:hideMark/>
          </w:tcPr>
          <w:p w14:paraId="1B32A22C" w14:textId="77777777" w:rsidR="00E8110A" w:rsidRPr="00F23B16" w:rsidRDefault="00E8110A" w:rsidP="00290462">
            <w:pPr>
              <w:spacing w:after="0" w:line="240" w:lineRule="auto"/>
              <w:rPr>
                <w:rFonts w:ascii="Calibri" w:eastAsia="Times New Roman" w:hAnsi="Calibri" w:cs="Calibri"/>
                <w:color w:val="FF0000"/>
                <w:lang w:eastAsia="fr-FR"/>
              </w:rPr>
            </w:pPr>
            <w:r w:rsidRPr="00F23B16">
              <w:rPr>
                <w:rFonts w:ascii="Calibri" w:eastAsia="Times New Roman" w:hAnsi="Calibri" w:cs="Calibri"/>
                <w:color w:val="FF0000"/>
                <w:lang w:eastAsia="fr-FR"/>
              </w:rPr>
              <w:t>3,2</w:t>
            </w:r>
          </w:p>
        </w:tc>
        <w:tc>
          <w:tcPr>
            <w:tcW w:w="0" w:type="auto"/>
            <w:shd w:val="clear" w:color="auto" w:fill="F5F5F5"/>
            <w:tcMar>
              <w:top w:w="60" w:type="dxa"/>
              <w:left w:w="60" w:type="dxa"/>
              <w:bottom w:w="60" w:type="dxa"/>
              <w:right w:w="60" w:type="dxa"/>
            </w:tcMar>
            <w:vAlign w:val="bottom"/>
            <w:hideMark/>
          </w:tcPr>
          <w:p w14:paraId="00843DE4" w14:textId="77777777" w:rsidR="00E8110A" w:rsidRPr="00F23B16" w:rsidRDefault="00E8110A" w:rsidP="00290462">
            <w:pPr>
              <w:spacing w:after="0" w:line="240" w:lineRule="auto"/>
              <w:rPr>
                <w:rFonts w:ascii="Calibri" w:eastAsia="Times New Roman" w:hAnsi="Calibri" w:cs="Calibri"/>
                <w:color w:val="000000" w:themeColor="text1"/>
                <w:lang w:eastAsia="fr-FR"/>
              </w:rPr>
            </w:pPr>
            <w:r w:rsidRPr="00F23B16">
              <w:rPr>
                <w:rFonts w:ascii="Calibri" w:eastAsia="Times New Roman" w:hAnsi="Calibri" w:cs="Calibri"/>
                <w:color w:val="000000" w:themeColor="text1"/>
                <w:lang w:eastAsia="fr-FR"/>
              </w:rPr>
              <w:t>71</w:t>
            </w:r>
          </w:p>
        </w:tc>
        <w:tc>
          <w:tcPr>
            <w:tcW w:w="0" w:type="auto"/>
            <w:shd w:val="clear" w:color="auto" w:fill="FFFFFF"/>
            <w:tcMar>
              <w:top w:w="60" w:type="dxa"/>
              <w:left w:w="60" w:type="dxa"/>
              <w:bottom w:w="60" w:type="dxa"/>
              <w:right w:w="60" w:type="dxa"/>
            </w:tcMar>
            <w:vAlign w:val="bottom"/>
            <w:hideMark/>
          </w:tcPr>
          <w:p w14:paraId="6C470760" w14:textId="77777777" w:rsidR="00E8110A" w:rsidRPr="00F23B16" w:rsidRDefault="00E8110A" w:rsidP="00290462">
            <w:pPr>
              <w:spacing w:after="0" w:line="240" w:lineRule="auto"/>
              <w:rPr>
                <w:rFonts w:ascii="Calibri" w:eastAsia="Times New Roman" w:hAnsi="Calibri" w:cs="Calibri"/>
                <w:color w:val="2B2B2B"/>
                <w:lang w:eastAsia="fr-FR"/>
              </w:rPr>
            </w:pPr>
            <w:r w:rsidRPr="00F23B16">
              <w:rPr>
                <w:rFonts w:ascii="Calibri" w:eastAsia="Times New Roman" w:hAnsi="Calibri" w:cs="Calibri"/>
                <w:color w:val="2B2B2B"/>
                <w:lang w:eastAsia="fr-FR"/>
              </w:rPr>
              <w:t>5,3</w:t>
            </w:r>
          </w:p>
        </w:tc>
      </w:tr>
      <w:tr w:rsidR="00E8110A" w:rsidRPr="00F23B16" w14:paraId="739FDF98" w14:textId="77777777" w:rsidTr="00290462">
        <w:tc>
          <w:tcPr>
            <w:tcW w:w="0" w:type="auto"/>
            <w:shd w:val="clear" w:color="auto" w:fill="FFFFFF"/>
            <w:tcMar>
              <w:top w:w="60" w:type="dxa"/>
              <w:left w:w="60" w:type="dxa"/>
              <w:bottom w:w="60" w:type="dxa"/>
              <w:right w:w="60" w:type="dxa"/>
            </w:tcMar>
            <w:vAlign w:val="bottom"/>
            <w:hideMark/>
          </w:tcPr>
          <w:p w14:paraId="3176549F" w14:textId="77777777" w:rsidR="00E8110A" w:rsidRPr="00F23B16" w:rsidRDefault="00E8110A" w:rsidP="00290462">
            <w:pPr>
              <w:spacing w:after="0" w:line="240" w:lineRule="auto"/>
              <w:rPr>
                <w:rFonts w:ascii="Calibri" w:eastAsia="Times New Roman" w:hAnsi="Calibri" w:cs="Calibri"/>
                <w:color w:val="000000" w:themeColor="text1"/>
                <w:lang w:eastAsia="fr-FR"/>
              </w:rPr>
            </w:pPr>
            <w:r w:rsidRPr="00F23B16">
              <w:rPr>
                <w:rFonts w:ascii="Calibri" w:eastAsia="Times New Roman" w:hAnsi="Calibri" w:cs="Calibri"/>
                <w:color w:val="000000" w:themeColor="text1"/>
                <w:lang w:eastAsia="fr-FR"/>
              </w:rPr>
              <w:t>Soudan</w:t>
            </w:r>
          </w:p>
        </w:tc>
        <w:tc>
          <w:tcPr>
            <w:tcW w:w="0" w:type="auto"/>
            <w:shd w:val="clear" w:color="auto" w:fill="F5F5F5"/>
            <w:tcMar>
              <w:top w:w="60" w:type="dxa"/>
              <w:left w:w="60" w:type="dxa"/>
              <w:bottom w:w="60" w:type="dxa"/>
              <w:right w:w="60" w:type="dxa"/>
            </w:tcMar>
            <w:vAlign w:val="bottom"/>
            <w:hideMark/>
          </w:tcPr>
          <w:p w14:paraId="23992C5C" w14:textId="77777777" w:rsidR="00E8110A" w:rsidRPr="00F23B16" w:rsidRDefault="00E8110A" w:rsidP="00290462">
            <w:pPr>
              <w:spacing w:after="0" w:line="240" w:lineRule="auto"/>
              <w:rPr>
                <w:rFonts w:ascii="Calibri" w:eastAsia="Times New Roman" w:hAnsi="Calibri" w:cs="Calibri"/>
                <w:color w:val="000000" w:themeColor="text1"/>
                <w:lang w:eastAsia="fr-FR"/>
              </w:rPr>
            </w:pPr>
            <w:r w:rsidRPr="00F23B16">
              <w:rPr>
                <w:rFonts w:ascii="Calibri" w:eastAsia="Times New Roman" w:hAnsi="Calibri" w:cs="Calibri"/>
                <w:color w:val="000000" w:themeColor="text1"/>
                <w:lang w:eastAsia="fr-FR"/>
              </w:rPr>
              <w:t>38,8</w:t>
            </w:r>
          </w:p>
        </w:tc>
        <w:tc>
          <w:tcPr>
            <w:tcW w:w="0" w:type="auto"/>
            <w:shd w:val="clear" w:color="auto" w:fill="FFFFFF"/>
            <w:tcMar>
              <w:top w:w="60" w:type="dxa"/>
              <w:left w:w="60" w:type="dxa"/>
              <w:bottom w:w="60" w:type="dxa"/>
              <w:right w:w="60" w:type="dxa"/>
            </w:tcMar>
            <w:vAlign w:val="bottom"/>
            <w:hideMark/>
          </w:tcPr>
          <w:p w14:paraId="46477BAB" w14:textId="77777777" w:rsidR="00E8110A" w:rsidRPr="00F23B16" w:rsidRDefault="00E8110A" w:rsidP="00290462">
            <w:pPr>
              <w:spacing w:after="0" w:line="240" w:lineRule="auto"/>
              <w:rPr>
                <w:rFonts w:ascii="Calibri" w:eastAsia="Times New Roman" w:hAnsi="Calibri" w:cs="Calibri"/>
                <w:color w:val="2B2B2B"/>
                <w:lang w:eastAsia="fr-FR"/>
              </w:rPr>
            </w:pPr>
            <w:r w:rsidRPr="00F23B16">
              <w:rPr>
                <w:rFonts w:ascii="Calibri" w:eastAsia="Times New Roman" w:hAnsi="Calibri" w:cs="Calibri"/>
                <w:color w:val="2B2B2B"/>
                <w:lang w:eastAsia="fr-FR"/>
              </w:rPr>
              <w:t>2,5</w:t>
            </w:r>
          </w:p>
        </w:tc>
        <w:tc>
          <w:tcPr>
            <w:tcW w:w="0" w:type="auto"/>
            <w:shd w:val="clear" w:color="auto" w:fill="F5F5F5"/>
            <w:tcMar>
              <w:top w:w="60" w:type="dxa"/>
              <w:left w:w="60" w:type="dxa"/>
              <w:bottom w:w="60" w:type="dxa"/>
              <w:right w:w="60" w:type="dxa"/>
            </w:tcMar>
            <w:vAlign w:val="bottom"/>
            <w:hideMark/>
          </w:tcPr>
          <w:p w14:paraId="3F603C71" w14:textId="77777777" w:rsidR="00E8110A" w:rsidRPr="00F23B16" w:rsidRDefault="00E8110A" w:rsidP="00290462">
            <w:pPr>
              <w:spacing w:after="0" w:line="240" w:lineRule="auto"/>
              <w:rPr>
                <w:rFonts w:ascii="Calibri" w:eastAsia="Times New Roman" w:hAnsi="Calibri" w:cs="Calibri"/>
                <w:color w:val="000000" w:themeColor="text1"/>
                <w:lang w:eastAsia="fr-FR"/>
              </w:rPr>
            </w:pPr>
            <w:r w:rsidRPr="00F23B16">
              <w:rPr>
                <w:rFonts w:ascii="Calibri" w:eastAsia="Times New Roman" w:hAnsi="Calibri" w:cs="Calibri"/>
                <w:color w:val="000000" w:themeColor="text1"/>
                <w:lang w:eastAsia="fr-FR"/>
              </w:rPr>
              <w:t>21</w:t>
            </w:r>
          </w:p>
        </w:tc>
        <w:tc>
          <w:tcPr>
            <w:tcW w:w="0" w:type="auto"/>
            <w:shd w:val="clear" w:color="auto" w:fill="FFFFFF"/>
            <w:tcMar>
              <w:top w:w="60" w:type="dxa"/>
              <w:left w:w="60" w:type="dxa"/>
              <w:bottom w:w="60" w:type="dxa"/>
              <w:right w:w="60" w:type="dxa"/>
            </w:tcMar>
            <w:vAlign w:val="bottom"/>
            <w:hideMark/>
          </w:tcPr>
          <w:p w14:paraId="69FB9569" w14:textId="77777777" w:rsidR="00E8110A" w:rsidRPr="00F23B16" w:rsidRDefault="00E8110A" w:rsidP="00290462">
            <w:pPr>
              <w:spacing w:after="0" w:line="240" w:lineRule="auto"/>
              <w:rPr>
                <w:rFonts w:ascii="Calibri" w:eastAsia="Times New Roman" w:hAnsi="Calibri" w:cs="Calibri"/>
                <w:color w:val="2B2B2B"/>
                <w:lang w:eastAsia="fr-FR"/>
              </w:rPr>
            </w:pPr>
            <w:r w:rsidRPr="00F23B16">
              <w:rPr>
                <w:rFonts w:ascii="Calibri" w:eastAsia="Times New Roman" w:hAnsi="Calibri" w:cs="Calibri"/>
                <w:color w:val="2B2B2B"/>
                <w:lang w:eastAsia="fr-FR"/>
              </w:rPr>
              <w:t>5,2</w:t>
            </w:r>
          </w:p>
        </w:tc>
      </w:tr>
    </w:tbl>
    <w:p w14:paraId="2E0024E4" w14:textId="77777777" w:rsidR="00F762EF" w:rsidRDefault="00F762EF" w:rsidP="00E8110A">
      <w:pPr>
        <w:spacing w:after="0" w:line="240" w:lineRule="auto"/>
        <w:jc w:val="both"/>
        <w:textAlignment w:val="baseline"/>
        <w:rPr>
          <w:rFonts w:ascii="Calibri" w:eastAsia="Times New Roman" w:hAnsi="Calibri" w:cs="Calibri"/>
          <w:color w:val="000000" w:themeColor="text1"/>
          <w:u w:val="single"/>
          <w:bdr w:val="none" w:sz="0" w:space="0" w:color="auto" w:frame="1"/>
          <w:lang w:eastAsia="fr-FR"/>
        </w:rPr>
      </w:pPr>
    </w:p>
    <w:p w14:paraId="5751AD1F" w14:textId="1130EC18" w:rsidR="00E8110A" w:rsidRPr="00C14067" w:rsidRDefault="00E8110A" w:rsidP="00E8110A">
      <w:pPr>
        <w:spacing w:after="0" w:line="240" w:lineRule="auto"/>
        <w:jc w:val="both"/>
        <w:textAlignment w:val="baseline"/>
        <w:rPr>
          <w:rFonts w:ascii="Calibri" w:eastAsia="Times New Roman" w:hAnsi="Calibri" w:cs="Calibri"/>
          <w:color w:val="000000" w:themeColor="text1"/>
          <w:lang w:eastAsia="fr-FR"/>
        </w:rPr>
      </w:pPr>
      <w:r w:rsidRPr="00C14067">
        <w:rPr>
          <w:rFonts w:ascii="Calibri" w:eastAsia="Times New Roman" w:hAnsi="Calibri" w:cs="Calibri"/>
          <w:color w:val="000000" w:themeColor="text1"/>
          <w:bdr w:val="none" w:sz="0" w:space="0" w:color="auto" w:frame="1"/>
          <w:lang w:eastAsia="fr-FR"/>
        </w:rPr>
        <w:lastRenderedPageBreak/>
        <w:t xml:space="preserve">Source </w:t>
      </w:r>
      <w:r w:rsidRPr="00C14067">
        <w:rPr>
          <w:rFonts w:ascii="Calibri" w:eastAsia="Times New Roman" w:hAnsi="Calibri" w:cs="Calibri"/>
          <w:b/>
          <w:bCs/>
          <w:color w:val="000000" w:themeColor="text1"/>
          <w:bdr w:val="none" w:sz="0" w:space="0" w:color="auto" w:frame="1"/>
          <w:lang w:eastAsia="fr-FR"/>
        </w:rPr>
        <w:t>:</w:t>
      </w:r>
      <w:r w:rsidRPr="00C14067">
        <w:rPr>
          <w:rFonts w:ascii="Calibri" w:eastAsia="Times New Roman" w:hAnsi="Calibri" w:cs="Calibri"/>
          <w:color w:val="000000" w:themeColor="text1"/>
          <w:lang w:eastAsia="fr-FR"/>
        </w:rPr>
        <w:t> Carl Haub et Toshiko Kaneda, </w:t>
      </w:r>
      <w:hyperlink r:id="rId3668" w:history="1">
        <w:r w:rsidRPr="00C14067">
          <w:rPr>
            <w:rFonts w:ascii="Calibri" w:eastAsia="Times New Roman" w:hAnsi="Calibri" w:cs="Calibri"/>
            <w:i/>
            <w:iCs/>
            <w:color w:val="00467F"/>
            <w:u w:val="single"/>
            <w:bdr w:val="none" w:sz="0" w:space="0" w:color="auto" w:frame="1"/>
            <w:lang w:eastAsia="fr-FR"/>
          </w:rPr>
          <w:t>2014 World Population Data Sheet</w:t>
        </w:r>
      </w:hyperlink>
      <w:r w:rsidRPr="00C14067">
        <w:rPr>
          <w:rFonts w:ascii="Calibri" w:eastAsia="Times New Roman" w:hAnsi="Calibri" w:cs="Calibri"/>
          <w:color w:val="2B2B2B"/>
          <w:lang w:eastAsia="fr-FR"/>
        </w:rPr>
        <w:t> (</w:t>
      </w:r>
      <w:r w:rsidRPr="00C14067">
        <w:rPr>
          <w:rFonts w:ascii="Calibri" w:eastAsia="Times New Roman" w:hAnsi="Calibri" w:cs="Calibri"/>
          <w:color w:val="000000" w:themeColor="text1"/>
          <w:lang w:eastAsia="fr-FR"/>
        </w:rPr>
        <w:t>Washington, DC: Population Reference Bureau, 2014)</w:t>
      </w:r>
      <w:r w:rsidR="002319B2" w:rsidRPr="00C14067">
        <w:rPr>
          <w:rFonts w:ascii="Calibri" w:eastAsia="Times New Roman" w:hAnsi="Calibri" w:cs="Calibri"/>
          <w:color w:val="000000" w:themeColor="text1"/>
          <w:lang w:eastAsia="fr-FR"/>
        </w:rPr>
        <w:t xml:space="preserve"> (voir ci-avant)</w:t>
      </w:r>
      <w:r w:rsidRPr="00C14067">
        <w:rPr>
          <w:rFonts w:ascii="Calibri" w:eastAsia="Times New Roman" w:hAnsi="Calibri" w:cs="Calibri"/>
          <w:color w:val="000000" w:themeColor="text1"/>
          <w:lang w:eastAsia="fr-FR"/>
        </w:rPr>
        <w:t>.</w:t>
      </w:r>
    </w:p>
    <w:p w14:paraId="357ED07B" w14:textId="77777777" w:rsidR="002319B2" w:rsidRDefault="002319B2" w:rsidP="002319B2">
      <w:pPr>
        <w:spacing w:after="0" w:line="240" w:lineRule="auto"/>
        <w:jc w:val="both"/>
        <w:textAlignment w:val="baseline"/>
        <w:rPr>
          <w:rFonts w:ascii="Calibri" w:eastAsia="Times New Roman" w:hAnsi="Calibri" w:cs="Calibri"/>
          <w:color w:val="000000" w:themeColor="text1"/>
          <w:lang w:eastAsia="fr-FR"/>
        </w:rPr>
      </w:pPr>
      <w:r w:rsidRPr="00F23B16">
        <w:rPr>
          <w:rFonts w:ascii="Calibri" w:eastAsia="Times New Roman" w:hAnsi="Calibri" w:cs="Calibri"/>
          <w:color w:val="000000" w:themeColor="text1"/>
          <w:u w:val="single"/>
          <w:bdr w:val="none" w:sz="0" w:space="0" w:color="auto" w:frame="1"/>
          <w:lang w:eastAsia="fr-FR"/>
        </w:rPr>
        <w:t>Note</w:t>
      </w:r>
      <w:r w:rsidRPr="00F23B16">
        <w:rPr>
          <w:rFonts w:ascii="Calibri" w:eastAsia="Times New Roman" w:hAnsi="Calibri" w:cs="Calibri"/>
          <w:b/>
          <w:bCs/>
          <w:color w:val="000000" w:themeColor="text1"/>
          <w:bdr w:val="none" w:sz="0" w:space="0" w:color="auto" w:frame="1"/>
          <w:lang w:eastAsia="fr-FR"/>
        </w:rPr>
        <w:t xml:space="preserve"> :</w:t>
      </w:r>
      <w:r w:rsidRPr="00F23B16">
        <w:rPr>
          <w:rFonts w:ascii="Calibri" w:eastAsia="Times New Roman" w:hAnsi="Calibri" w:cs="Calibri"/>
          <w:color w:val="000000" w:themeColor="text1"/>
          <w:lang w:eastAsia="fr-FR"/>
        </w:rPr>
        <w:t> Le Soudan ne comprend pas le Sud Soudan.</w:t>
      </w:r>
    </w:p>
    <w:p w14:paraId="561CA1E3" w14:textId="6BB231AE" w:rsidR="00790261" w:rsidRPr="002319B2" w:rsidRDefault="00790261" w:rsidP="00134A85">
      <w:pPr>
        <w:spacing w:after="0" w:line="240" w:lineRule="auto"/>
        <w:jc w:val="both"/>
        <w:rPr>
          <w:rFonts w:ascii="Calibri" w:hAnsi="Calibri" w:cs="Calibri"/>
          <w:color w:val="000000" w:themeColor="text1"/>
          <w:shd w:val="clear" w:color="auto" w:fill="FFFFFF"/>
        </w:rPr>
      </w:pPr>
    </w:p>
    <w:p w14:paraId="52430731" w14:textId="2C85EFAB" w:rsidR="00C70414" w:rsidRDefault="00E8110A" w:rsidP="00134A85">
      <w:pPr>
        <w:spacing w:after="0" w:line="240" w:lineRule="auto"/>
        <w:jc w:val="both"/>
        <w:rPr>
          <w:rFonts w:ascii="Calibri" w:hAnsi="Calibri" w:cs="Calibri"/>
          <w:color w:val="000000" w:themeColor="text1"/>
          <w:shd w:val="clear" w:color="auto" w:fill="FFFFFF"/>
        </w:rPr>
      </w:pPr>
      <w:r w:rsidRPr="00E8110A">
        <w:rPr>
          <w:rFonts w:ascii="Calibri" w:hAnsi="Calibri" w:cs="Calibri"/>
          <w:color w:val="000000" w:themeColor="text1"/>
          <w:shd w:val="clear" w:color="auto" w:fill="FFFFFF"/>
        </w:rPr>
        <w:t>Ce sont souvent les p</w:t>
      </w:r>
      <w:r>
        <w:rPr>
          <w:rFonts w:ascii="Calibri" w:hAnsi="Calibri" w:cs="Calibri"/>
          <w:color w:val="000000" w:themeColor="text1"/>
          <w:shd w:val="clear" w:color="auto" w:fill="FFFFFF"/>
        </w:rPr>
        <w:t xml:space="preserve">ays les plus pauvres, les plus arides, qui ont l’indice de fécondité et le taux annuel d’accroissement les plus élevés, occasionnant une pression humaine sur le milieu, supérieure à ce que ce dernier peut supporter. Or on prévoir le doublement de la </w:t>
      </w:r>
      <w:r w:rsidRPr="00793528">
        <w:rPr>
          <w:rFonts w:ascii="Calibri" w:hAnsi="Calibri" w:cs="Calibri"/>
          <w:color w:val="000000" w:themeColor="text1"/>
          <w:shd w:val="clear" w:color="auto" w:fill="FFFFFF"/>
        </w:rPr>
        <w:t>population du Sahel d'ici 2039</w:t>
      </w:r>
      <w:r>
        <w:rPr>
          <w:rFonts w:ascii="Calibri" w:hAnsi="Calibri" w:cs="Calibri"/>
          <w:color w:val="000000" w:themeColor="text1"/>
          <w:shd w:val="clear" w:color="auto" w:fill="FFFFFF"/>
        </w:rPr>
        <w:t>. Donc, on peut rationnellement prévoir une augmentation du nombre de conflits, de rebellions contre les gouvernements locaux, souvent incompétents et corrompus, à cause de la pauvreté et de la malnutrition, de plus en plus de déplacés, à causes des guerres et conflits locaux, et de migrants économiques (voire climatiques), vers les pays riches (dont l’Europe). Donc</w:t>
      </w:r>
      <w:r w:rsidR="00E71110">
        <w:rPr>
          <w:rFonts w:ascii="Calibri" w:hAnsi="Calibri" w:cs="Calibri"/>
          <w:color w:val="000000" w:themeColor="text1"/>
          <w:shd w:val="clear" w:color="auto" w:fill="FFFFFF"/>
        </w:rPr>
        <w:t xml:space="preserve"> on peut prévoir</w:t>
      </w:r>
      <w:r>
        <w:rPr>
          <w:rFonts w:ascii="Calibri" w:hAnsi="Calibri" w:cs="Calibri"/>
          <w:color w:val="000000" w:themeColor="text1"/>
          <w:shd w:val="clear" w:color="auto" w:fill="FFFFFF"/>
        </w:rPr>
        <w:t xml:space="preserve"> la persistance</w:t>
      </w:r>
      <w:r w:rsidR="0031711F">
        <w:rPr>
          <w:rFonts w:ascii="Calibri" w:hAnsi="Calibri" w:cs="Calibri"/>
          <w:color w:val="000000" w:themeColor="text1"/>
          <w:shd w:val="clear" w:color="auto" w:fill="FFFFFF"/>
        </w:rPr>
        <w:t>, voire l’aggravation</w:t>
      </w:r>
      <w:r>
        <w:rPr>
          <w:rFonts w:ascii="Calibri" w:hAnsi="Calibri" w:cs="Calibri"/>
          <w:color w:val="000000" w:themeColor="text1"/>
          <w:shd w:val="clear" w:color="auto" w:fill="FFFFFF"/>
        </w:rPr>
        <w:t xml:space="preserve"> de l’immigration clandestine vers ces derniers pays.</w:t>
      </w:r>
    </w:p>
    <w:p w14:paraId="678B5C1D" w14:textId="5F9F884B" w:rsidR="00C70414" w:rsidRDefault="00040581" w:rsidP="00C70414">
      <w:pPr>
        <w:spacing w:after="0" w:line="240" w:lineRule="auto"/>
        <w:jc w:val="center"/>
        <w:rPr>
          <w:rFonts w:ascii="Calibri" w:hAnsi="Calibri" w:cs="Calibri"/>
          <w:color w:val="000000" w:themeColor="text1"/>
          <w:shd w:val="clear" w:color="auto" w:fill="FFFFFF"/>
        </w:rPr>
      </w:pPr>
      <w:r>
        <w:rPr>
          <w:noProof/>
        </w:rPr>
        <w:drawing>
          <wp:inline distT="0" distB="0" distL="0" distR="0" wp14:anchorId="0F5751D5" wp14:editId="09350F28">
            <wp:extent cx="3409950" cy="1951652"/>
            <wp:effectExtent l="0" t="0" r="0" b="0"/>
            <wp:docPr id="89107" name="Image 89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69">
                      <a:extLst>
                        <a:ext uri="{28A0092B-C50C-407E-A947-70E740481C1C}">
                          <a14:useLocalDpi xmlns:a14="http://schemas.microsoft.com/office/drawing/2010/main" val="0"/>
                        </a:ext>
                      </a:extLst>
                    </a:blip>
                    <a:srcRect/>
                    <a:stretch>
                      <a:fillRect/>
                    </a:stretch>
                  </pic:blipFill>
                  <pic:spPr bwMode="auto">
                    <a:xfrm>
                      <a:off x="0" y="0"/>
                      <a:ext cx="3425910" cy="1960786"/>
                    </a:xfrm>
                    <a:prstGeom prst="rect">
                      <a:avLst/>
                    </a:prstGeom>
                    <a:noFill/>
                    <a:ln>
                      <a:noFill/>
                    </a:ln>
                  </pic:spPr>
                </pic:pic>
              </a:graphicData>
            </a:graphic>
          </wp:inline>
        </w:drawing>
      </w:r>
    </w:p>
    <w:p w14:paraId="54C3ED8D" w14:textId="77777777" w:rsidR="00C70414" w:rsidRDefault="00C70414" w:rsidP="00C70414">
      <w:pPr>
        <w:spacing w:after="0" w:line="240" w:lineRule="auto"/>
        <w:jc w:val="center"/>
        <w:rPr>
          <w:rFonts w:ascii="Calibri" w:hAnsi="Calibri" w:cs="Calibri"/>
          <w:color w:val="000000" w:themeColor="text1"/>
          <w:shd w:val="clear" w:color="auto" w:fill="FFFFFF"/>
        </w:rPr>
      </w:pPr>
      <w:r w:rsidRPr="00C70414">
        <w:rPr>
          <w:rFonts w:ascii="Calibri" w:hAnsi="Calibri" w:cs="Calibri"/>
          <w:color w:val="000000" w:themeColor="text1"/>
          <w:shd w:val="clear" w:color="auto" w:fill="FFFFFF"/>
        </w:rPr>
        <w:t xml:space="preserve">Population en millions d'habitants. </w:t>
      </w:r>
    </w:p>
    <w:p w14:paraId="3BD1D9A8" w14:textId="1EDCA699" w:rsidR="00C70414" w:rsidRDefault="00C70414" w:rsidP="00C70414">
      <w:pPr>
        <w:spacing w:after="0" w:line="240" w:lineRule="auto"/>
        <w:jc w:val="center"/>
        <w:rPr>
          <w:rFonts w:ascii="Calibri" w:hAnsi="Calibri" w:cs="Calibri"/>
          <w:color w:val="000000" w:themeColor="text1"/>
          <w:shd w:val="clear" w:color="auto" w:fill="FFFFFF"/>
        </w:rPr>
      </w:pPr>
      <w:r w:rsidRPr="00C70414">
        <w:rPr>
          <w:rFonts w:ascii="Calibri" w:hAnsi="Calibri" w:cs="Calibri"/>
          <w:color w:val="000000" w:themeColor="text1"/>
          <w:shd w:val="clear" w:color="auto" w:fill="FFFFFF"/>
        </w:rPr>
        <w:t>Source : IF version 7.36, données historiques de la Division de la population des Nations Unies</w:t>
      </w:r>
      <w:r w:rsidR="008406AB">
        <w:rPr>
          <w:rStyle w:val="Appelnotedebasdep"/>
          <w:rFonts w:ascii="Calibri" w:hAnsi="Calibri" w:cs="Calibri"/>
          <w:color w:val="000000" w:themeColor="text1"/>
          <w:shd w:val="clear" w:color="auto" w:fill="FFFFFF"/>
        </w:rPr>
        <w:footnoteReference w:id="238"/>
      </w:r>
      <w:r w:rsidRPr="00C70414">
        <w:rPr>
          <w:rFonts w:ascii="Calibri" w:hAnsi="Calibri" w:cs="Calibri"/>
          <w:color w:val="000000" w:themeColor="text1"/>
          <w:shd w:val="clear" w:color="auto" w:fill="FFFFFF"/>
        </w:rPr>
        <w:t>.</w:t>
      </w:r>
    </w:p>
    <w:p w14:paraId="171624BE" w14:textId="3DDE7D81" w:rsidR="00007E7F" w:rsidRDefault="00007E7F" w:rsidP="00134A85">
      <w:pPr>
        <w:spacing w:after="0" w:line="240" w:lineRule="auto"/>
        <w:jc w:val="both"/>
        <w:rPr>
          <w:rFonts w:ascii="Calibri" w:hAnsi="Calibri" w:cs="Calibri"/>
          <w:color w:val="000000" w:themeColor="text1"/>
          <w:shd w:val="clear" w:color="auto" w:fill="FFFFFF"/>
        </w:rPr>
      </w:pPr>
    </w:p>
    <w:p w14:paraId="1B819994" w14:textId="29FFFB1A" w:rsidR="00007E7F" w:rsidRDefault="00007E7F" w:rsidP="00007E7F">
      <w:pPr>
        <w:pStyle w:val="Titre2"/>
        <w:rPr>
          <w:shd w:val="clear" w:color="auto" w:fill="FFFFFF"/>
        </w:rPr>
      </w:pPr>
      <w:bookmarkStart w:id="329" w:name="_Toc139181620"/>
      <w:r>
        <w:rPr>
          <w:shd w:val="clear" w:color="auto" w:fill="FFFFFF"/>
        </w:rPr>
        <w:t xml:space="preserve">Problèmes pratiques pour l’implantation des </w:t>
      </w:r>
      <w:r w:rsidRPr="00007E7F">
        <w:rPr>
          <w:shd w:val="clear" w:color="auto" w:fill="FFFFFF"/>
        </w:rPr>
        <w:t>centres de planning familial</w:t>
      </w:r>
      <w:bookmarkEnd w:id="329"/>
    </w:p>
    <w:p w14:paraId="13C0E479" w14:textId="77777777" w:rsidR="00007E7F" w:rsidRDefault="00007E7F" w:rsidP="00134A85">
      <w:pPr>
        <w:spacing w:after="0" w:line="240" w:lineRule="auto"/>
        <w:jc w:val="both"/>
        <w:rPr>
          <w:rFonts w:ascii="Calibri" w:hAnsi="Calibri" w:cs="Calibri"/>
          <w:color w:val="000000" w:themeColor="text1"/>
          <w:shd w:val="clear" w:color="auto" w:fill="FFFFFF"/>
        </w:rPr>
      </w:pPr>
    </w:p>
    <w:p w14:paraId="6B709636" w14:textId="6384A6E3" w:rsidR="00007E7F" w:rsidRDefault="00007E7F" w:rsidP="00007E7F">
      <w:pPr>
        <w:spacing w:after="0" w:line="240" w:lineRule="auto"/>
        <w:jc w:val="both"/>
        <w:rPr>
          <w:rFonts w:ascii="Calibri" w:hAnsi="Calibri" w:cs="Calibri"/>
          <w:color w:val="000000" w:themeColor="text1"/>
          <w:shd w:val="clear" w:color="auto" w:fill="FFFFFF"/>
        </w:rPr>
      </w:pPr>
      <w:r w:rsidRPr="00007E7F">
        <w:rPr>
          <w:rFonts w:ascii="Calibri" w:hAnsi="Calibri" w:cs="Calibri"/>
          <w:color w:val="000000" w:themeColor="text1"/>
          <w:shd w:val="clear" w:color="auto" w:fill="FFFFFF"/>
        </w:rPr>
        <w:t xml:space="preserve">Les centres de planning familial </w:t>
      </w:r>
      <w:r w:rsidR="00C955D9">
        <w:rPr>
          <w:rFonts w:ascii="Calibri" w:hAnsi="Calibri" w:cs="Calibri"/>
          <w:color w:val="000000" w:themeColor="text1"/>
          <w:shd w:val="clear" w:color="auto" w:fill="FFFFFF"/>
        </w:rPr>
        <w:t xml:space="preserve">(PF) </w:t>
      </w:r>
      <w:r w:rsidRPr="00007E7F">
        <w:rPr>
          <w:rFonts w:ascii="Calibri" w:hAnsi="Calibri" w:cs="Calibri"/>
          <w:color w:val="000000" w:themeColor="text1"/>
          <w:shd w:val="clear" w:color="auto" w:fill="FFFFFF"/>
        </w:rPr>
        <w:t>sont peu nombreux dans les pays pauvres (surtout au Sahe</w:t>
      </w:r>
      <w:r>
        <w:rPr>
          <w:rFonts w:ascii="Calibri" w:hAnsi="Calibri" w:cs="Calibri"/>
          <w:color w:val="000000" w:themeColor="text1"/>
          <w:shd w:val="clear" w:color="auto" w:fill="FFFFFF"/>
        </w:rPr>
        <w:t>l</w:t>
      </w:r>
      <w:r w:rsidRPr="00007E7F">
        <w:rPr>
          <w:rFonts w:ascii="Calibri" w:hAnsi="Calibri" w:cs="Calibri"/>
          <w:color w:val="000000" w:themeColor="text1"/>
          <w:shd w:val="clear" w:color="auto" w:fill="FFFFFF"/>
        </w:rPr>
        <w:t>) et sont plus concentrés dans les zones urbaines. Le manque d’électricité, d’eau potable</w:t>
      </w:r>
      <w:r>
        <w:rPr>
          <w:rFonts w:ascii="Calibri" w:hAnsi="Calibri" w:cs="Calibri"/>
          <w:color w:val="000000" w:themeColor="text1"/>
          <w:shd w:val="clear" w:color="auto" w:fill="FFFFFF"/>
        </w:rPr>
        <w:t>, de moyens financiers</w:t>
      </w:r>
      <w:r w:rsidRPr="00007E7F">
        <w:rPr>
          <w:rFonts w:ascii="Calibri" w:hAnsi="Calibri" w:cs="Calibri"/>
          <w:color w:val="000000" w:themeColor="text1"/>
          <w:shd w:val="clear" w:color="auto" w:fill="FFFFFF"/>
        </w:rPr>
        <w:t xml:space="preserve"> et souvent de routes praticables ne favorisent pas l’implantation de ces centres dans ces zones.</w:t>
      </w:r>
    </w:p>
    <w:p w14:paraId="4E988EF0" w14:textId="289D18EF" w:rsidR="00790261" w:rsidRDefault="00790261" w:rsidP="00134A85">
      <w:pPr>
        <w:spacing w:after="0" w:line="240" w:lineRule="auto"/>
        <w:jc w:val="both"/>
        <w:rPr>
          <w:rFonts w:ascii="Calibri" w:hAnsi="Calibri" w:cs="Calibri"/>
          <w:color w:val="000000" w:themeColor="text1"/>
          <w:shd w:val="clear" w:color="auto" w:fill="FFFFFF"/>
        </w:rPr>
      </w:pPr>
    </w:p>
    <w:p w14:paraId="2DD249CA" w14:textId="312543B9" w:rsidR="00A22972" w:rsidRDefault="00A22972" w:rsidP="00134A85">
      <w:pPr>
        <w:spacing w:after="0" w:line="240" w:lineRule="auto"/>
        <w:jc w:val="both"/>
        <w:rPr>
          <w:rFonts w:ascii="Calibri" w:hAnsi="Calibri" w:cs="Calibri"/>
          <w:color w:val="000000" w:themeColor="text1"/>
          <w:shd w:val="clear" w:color="auto" w:fill="FFFFFF"/>
        </w:rPr>
      </w:pPr>
      <w:r>
        <w:rPr>
          <w:rFonts w:ascii="Calibri" w:hAnsi="Calibri" w:cs="Calibri"/>
          <w:color w:val="000000" w:themeColor="text1"/>
          <w:shd w:val="clear" w:color="auto" w:fill="FFFFFF"/>
        </w:rPr>
        <w:t>Pour anticiper et résoudre ces problèmes, plusieurs axes de solutions sont proposés :</w:t>
      </w:r>
    </w:p>
    <w:p w14:paraId="3EC8F334" w14:textId="3E26F0D3" w:rsidR="00A22972" w:rsidRDefault="00A22972" w:rsidP="00134A85">
      <w:pPr>
        <w:spacing w:after="0" w:line="240" w:lineRule="auto"/>
        <w:jc w:val="both"/>
        <w:rPr>
          <w:rFonts w:ascii="Calibri" w:hAnsi="Calibri" w:cs="Calibri"/>
          <w:color w:val="000000" w:themeColor="text1"/>
          <w:shd w:val="clear" w:color="auto" w:fill="FFFFFF"/>
        </w:rPr>
      </w:pPr>
    </w:p>
    <w:p w14:paraId="5A0BB4A7" w14:textId="77777777" w:rsidR="00A22972" w:rsidRPr="00A22972" w:rsidRDefault="00A22972" w:rsidP="00A22972">
      <w:pPr>
        <w:pStyle w:val="Titre2"/>
        <w:rPr>
          <w:shd w:val="clear" w:color="auto" w:fill="FFFFFF"/>
        </w:rPr>
      </w:pPr>
      <w:bookmarkStart w:id="330" w:name="_Toc139181621"/>
      <w:r w:rsidRPr="00A22972">
        <w:rPr>
          <w:shd w:val="clear" w:color="auto" w:fill="FFFFFF"/>
        </w:rPr>
        <w:t>Ralentir l’accroissement rapide de population, par l'éducation</w:t>
      </w:r>
      <w:bookmarkEnd w:id="330"/>
    </w:p>
    <w:p w14:paraId="0E1E5837" w14:textId="528F5D67" w:rsidR="00A22972" w:rsidRDefault="00A22972" w:rsidP="00A22972">
      <w:pPr>
        <w:spacing w:after="0" w:line="240" w:lineRule="auto"/>
        <w:jc w:val="both"/>
        <w:rPr>
          <w:rFonts w:ascii="Calibri" w:hAnsi="Calibri" w:cs="Calibri"/>
          <w:color w:val="000000" w:themeColor="text1"/>
          <w:shd w:val="clear" w:color="auto" w:fill="FFFFFF"/>
        </w:rPr>
      </w:pPr>
    </w:p>
    <w:p w14:paraId="60FF1C72" w14:textId="1713C2FA" w:rsidR="00007E7F" w:rsidRPr="00007E7F" w:rsidRDefault="002C2F78" w:rsidP="00A22972">
      <w:pPr>
        <w:spacing w:after="0" w:line="240" w:lineRule="auto"/>
        <w:jc w:val="both"/>
      </w:pPr>
      <w:r w:rsidRPr="00007E7F">
        <w:rPr>
          <w:rFonts w:ascii="Calibri" w:hAnsi="Calibri" w:cs="Calibri"/>
          <w:color w:val="000000" w:themeColor="text1"/>
          <w:shd w:val="clear" w:color="auto" w:fill="FFFFFF"/>
        </w:rPr>
        <w:t xml:space="preserve">Les zones rurales sont sous-informées. </w:t>
      </w:r>
      <w:r w:rsidRPr="002C2F78">
        <w:rPr>
          <w:rFonts w:ascii="Calibri" w:hAnsi="Calibri" w:cs="Calibri"/>
          <w:color w:val="000000" w:themeColor="text1"/>
          <w:shd w:val="clear" w:color="auto" w:fill="FFFFFF"/>
        </w:rPr>
        <w:t>La planification familiale connaît des résistances auprès des</w:t>
      </w:r>
      <w:r>
        <w:rPr>
          <w:rFonts w:ascii="Calibri" w:hAnsi="Calibri" w:cs="Calibri"/>
          <w:color w:val="000000" w:themeColor="text1"/>
          <w:shd w:val="clear" w:color="auto" w:fill="FFFFFF"/>
        </w:rPr>
        <w:t xml:space="preserve"> / chez les</w:t>
      </w:r>
      <w:r w:rsidRPr="002C2F78">
        <w:rPr>
          <w:rFonts w:ascii="Calibri" w:hAnsi="Calibri" w:cs="Calibri"/>
          <w:color w:val="000000" w:themeColor="text1"/>
          <w:shd w:val="clear" w:color="auto" w:fill="FFFFFF"/>
        </w:rPr>
        <w:t xml:space="preserve"> femmes. Elles sont, le plus souvent, le résultat des conceptions « morales » prônées par les confessions religieuses. </w:t>
      </w:r>
      <w:r w:rsidR="00007E7F" w:rsidRPr="00007E7F">
        <w:rPr>
          <w:rFonts w:ascii="Calibri" w:hAnsi="Calibri" w:cs="Calibri"/>
          <w:color w:val="000000" w:themeColor="text1"/>
          <w:shd w:val="clear" w:color="auto" w:fill="FFFFFF"/>
        </w:rPr>
        <w:t>Ce qui se disait</w:t>
      </w:r>
      <w:r>
        <w:rPr>
          <w:rFonts w:ascii="Calibri" w:hAnsi="Calibri" w:cs="Calibri"/>
          <w:color w:val="000000" w:themeColor="text1"/>
          <w:shd w:val="clear" w:color="auto" w:fill="FFFFFF"/>
        </w:rPr>
        <w:t xml:space="preserve"> aussi</w:t>
      </w:r>
      <w:r w:rsidR="00007E7F" w:rsidRPr="00007E7F">
        <w:rPr>
          <w:rFonts w:ascii="Calibri" w:hAnsi="Calibri" w:cs="Calibri"/>
          <w:color w:val="000000" w:themeColor="text1"/>
          <w:shd w:val="clear" w:color="auto" w:fill="FFFFFF"/>
        </w:rPr>
        <w:t xml:space="preserve">, chez les femmes, était que « </w:t>
      </w:r>
      <w:r w:rsidR="00007E7F" w:rsidRPr="00007E7F">
        <w:rPr>
          <w:rFonts w:ascii="Calibri" w:hAnsi="Calibri" w:cs="Calibri"/>
          <w:i/>
          <w:iCs/>
          <w:color w:val="000000" w:themeColor="text1"/>
          <w:shd w:val="clear" w:color="auto" w:fill="FFFFFF"/>
        </w:rPr>
        <w:t>si vous vous mettez sous contraception vous ne pouvez plus concevoir</w:t>
      </w:r>
      <w:r w:rsidR="00007E7F" w:rsidRPr="00007E7F">
        <w:rPr>
          <w:rFonts w:ascii="Calibri" w:hAnsi="Calibri" w:cs="Calibri"/>
          <w:color w:val="000000" w:themeColor="text1"/>
          <w:shd w:val="clear" w:color="auto" w:fill="FFFFFF"/>
        </w:rPr>
        <w:t xml:space="preserve"> »</w:t>
      </w:r>
      <w:r w:rsidR="00007E7F">
        <w:rPr>
          <w:rFonts w:ascii="Calibri" w:hAnsi="Calibri" w:cs="Calibri"/>
          <w:color w:val="000000" w:themeColor="text1"/>
          <w:shd w:val="clear" w:color="auto" w:fill="FFFFFF"/>
        </w:rPr>
        <w:t>.</w:t>
      </w:r>
    </w:p>
    <w:p w14:paraId="27CC276F" w14:textId="5E118718" w:rsidR="00EB7AF7" w:rsidRDefault="00EB7AF7" w:rsidP="00A22972">
      <w:pPr>
        <w:spacing w:after="0" w:line="240" w:lineRule="auto"/>
        <w:jc w:val="both"/>
        <w:rPr>
          <w:rFonts w:ascii="Calibri" w:hAnsi="Calibri" w:cs="Calibri"/>
          <w:color w:val="000000" w:themeColor="text1"/>
          <w:shd w:val="clear" w:color="auto" w:fill="FFFFFF"/>
        </w:rPr>
      </w:pPr>
    </w:p>
    <w:p w14:paraId="61789648" w14:textId="4EC374FC" w:rsidR="00EB7AF7" w:rsidRDefault="00EB7AF7" w:rsidP="00A22972">
      <w:pPr>
        <w:spacing w:after="0" w:line="240" w:lineRule="auto"/>
        <w:jc w:val="both"/>
        <w:rPr>
          <w:rFonts w:ascii="Calibri" w:hAnsi="Calibri" w:cs="Calibri"/>
          <w:color w:val="000000" w:themeColor="text1"/>
          <w:shd w:val="clear" w:color="auto" w:fill="FFFFFF"/>
        </w:rPr>
      </w:pPr>
      <w:r>
        <w:rPr>
          <w:rFonts w:ascii="Calibri" w:hAnsi="Calibri" w:cs="Calibri"/>
          <w:color w:val="000000" w:themeColor="text1"/>
          <w:shd w:val="clear" w:color="auto" w:fill="FFFFFF"/>
        </w:rPr>
        <w:t>Les résistances à la contraception sont culturelles et religieuses. Dans des pays où les assurances-retraites n’existent pas, les enfants (en nombre) sont censés être l’assurance-retraite des parents, dans le sens que les parents espèrent que leurs enfants s’occuperont d’eux, lors de leurs vieux jours. La contraception peut aussi porter atteinte de l’image de virilité que l’homme a de lui-même.</w:t>
      </w:r>
      <w:r w:rsidR="002F45E6">
        <w:rPr>
          <w:rFonts w:ascii="Calibri" w:hAnsi="Calibri" w:cs="Calibri"/>
          <w:color w:val="000000" w:themeColor="text1"/>
          <w:shd w:val="clear" w:color="auto" w:fill="FFFFFF"/>
        </w:rPr>
        <w:t xml:space="preserve"> </w:t>
      </w:r>
      <w:r w:rsidR="002F45E6" w:rsidRPr="002F45E6">
        <w:rPr>
          <w:rFonts w:ascii="Calibri" w:hAnsi="Calibri" w:cs="Calibri"/>
          <w:color w:val="000000" w:themeColor="text1"/>
          <w:shd w:val="clear" w:color="auto" w:fill="FFFFFF"/>
        </w:rPr>
        <w:t>Beaucoup d’homme se convainc de ce que la méthode contraceptive moderne est une porte ouverte à l’infidélité pour leurs femmes.</w:t>
      </w:r>
      <w:r w:rsidR="002F45E6">
        <w:rPr>
          <w:rFonts w:ascii="Calibri" w:hAnsi="Calibri" w:cs="Calibri"/>
          <w:color w:val="000000" w:themeColor="text1"/>
          <w:shd w:val="clear" w:color="auto" w:fill="FFFFFF"/>
        </w:rPr>
        <w:t xml:space="preserve"> </w:t>
      </w:r>
      <w:r w:rsidR="002F45E6" w:rsidRPr="00397AAB">
        <w:rPr>
          <w:rFonts w:ascii="Calibri" w:hAnsi="Calibri" w:cs="Calibri"/>
          <w:i/>
          <w:iCs/>
          <w:color w:val="000000" w:themeColor="text1"/>
          <w:shd w:val="clear" w:color="auto" w:fill="FFFFFF"/>
        </w:rPr>
        <w:t>L’opposition des hommes aux méthodes modernes de planification familiale constitue un grand frein pour les femmes qui ont envie d’en adopter car l’avis de leur conjoint compte pour le choix de la méthode.</w:t>
      </w:r>
      <w:r w:rsidR="002F45E6" w:rsidRPr="002F45E6">
        <w:rPr>
          <w:rFonts w:ascii="Calibri" w:hAnsi="Calibri" w:cs="Calibri"/>
          <w:color w:val="000000" w:themeColor="text1"/>
          <w:shd w:val="clear" w:color="auto" w:fill="FFFFFF"/>
        </w:rPr>
        <w:t xml:space="preserve"> </w:t>
      </w:r>
      <w:r w:rsidR="00397AAB">
        <w:rPr>
          <w:rFonts w:ascii="Calibri" w:hAnsi="Calibri" w:cs="Calibri"/>
          <w:color w:val="000000" w:themeColor="text1"/>
          <w:shd w:val="clear" w:color="auto" w:fill="FFFFFF"/>
        </w:rPr>
        <w:t>Des</w:t>
      </w:r>
      <w:r>
        <w:rPr>
          <w:rFonts w:ascii="Calibri" w:hAnsi="Calibri" w:cs="Calibri"/>
          <w:color w:val="000000" w:themeColor="text1"/>
          <w:shd w:val="clear" w:color="auto" w:fill="FFFFFF"/>
        </w:rPr>
        <w:t xml:space="preserve"> théorie</w:t>
      </w:r>
      <w:r w:rsidR="00397AAB">
        <w:rPr>
          <w:rFonts w:ascii="Calibri" w:hAnsi="Calibri" w:cs="Calibri"/>
          <w:color w:val="000000" w:themeColor="text1"/>
          <w:shd w:val="clear" w:color="auto" w:fill="FFFFFF"/>
        </w:rPr>
        <w:t>s</w:t>
      </w:r>
      <w:r>
        <w:rPr>
          <w:rFonts w:ascii="Calibri" w:hAnsi="Calibri" w:cs="Calibri"/>
          <w:color w:val="000000" w:themeColor="text1"/>
          <w:shd w:val="clear" w:color="auto" w:fill="FFFFFF"/>
        </w:rPr>
        <w:t xml:space="preserve"> du complot</w:t>
      </w:r>
      <w:r w:rsidR="00397AAB">
        <w:rPr>
          <w:rFonts w:ascii="Calibri" w:hAnsi="Calibri" w:cs="Calibri"/>
          <w:color w:val="000000" w:themeColor="text1"/>
          <w:shd w:val="clear" w:color="auto" w:fill="FFFFFF"/>
        </w:rPr>
        <w:t>, comme celles</w:t>
      </w:r>
      <w:r>
        <w:rPr>
          <w:rFonts w:ascii="Calibri" w:hAnsi="Calibri" w:cs="Calibri"/>
          <w:color w:val="000000" w:themeColor="text1"/>
          <w:shd w:val="clear" w:color="auto" w:fill="FFFFFF"/>
        </w:rPr>
        <w:t xml:space="preserve"> avançant l’accusation que la </w:t>
      </w:r>
      <w:r>
        <w:rPr>
          <w:rFonts w:ascii="Calibri" w:hAnsi="Calibri" w:cs="Calibri"/>
          <w:color w:val="000000" w:themeColor="text1"/>
          <w:shd w:val="clear" w:color="auto" w:fill="FFFFFF"/>
        </w:rPr>
        <w:lastRenderedPageBreak/>
        <w:t>contraception serait un moyen, pour les « blancs », pour faire diminuer la population des noirs, afin de les « recoloniser »</w:t>
      </w:r>
      <w:r w:rsidR="00397AAB">
        <w:rPr>
          <w:rFonts w:ascii="Calibri" w:hAnsi="Calibri" w:cs="Calibri"/>
          <w:color w:val="000000" w:themeColor="text1"/>
          <w:shd w:val="clear" w:color="auto" w:fill="FFFFFF"/>
        </w:rPr>
        <w:t>, peuvent être un autre frein</w:t>
      </w:r>
      <w:r>
        <w:rPr>
          <w:rFonts w:ascii="Calibri" w:hAnsi="Calibri" w:cs="Calibri"/>
          <w:color w:val="000000" w:themeColor="text1"/>
          <w:shd w:val="clear" w:color="auto" w:fill="FFFFFF"/>
        </w:rPr>
        <w:t>.</w:t>
      </w:r>
    </w:p>
    <w:p w14:paraId="30C32ECB" w14:textId="58D4F5F0" w:rsidR="009D08BE" w:rsidRPr="00A22972" w:rsidRDefault="009D08BE" w:rsidP="009D08BE">
      <w:pPr>
        <w:spacing w:after="0" w:line="240" w:lineRule="auto"/>
        <w:jc w:val="both"/>
        <w:rPr>
          <w:rFonts w:ascii="Calibri" w:hAnsi="Calibri" w:cs="Calibri"/>
          <w:color w:val="000000" w:themeColor="text1"/>
          <w:shd w:val="clear" w:color="auto" w:fill="FFFFFF"/>
        </w:rPr>
      </w:pPr>
    </w:p>
    <w:p w14:paraId="4AE6E9AD" w14:textId="61EDCB52" w:rsidR="009D08BE" w:rsidRDefault="009D08BE" w:rsidP="00C102B1">
      <w:pPr>
        <w:spacing w:after="0" w:line="240" w:lineRule="auto"/>
        <w:jc w:val="both"/>
        <w:rPr>
          <w:rFonts w:ascii="Calibri" w:hAnsi="Calibri" w:cs="Calibri"/>
          <w:color w:val="000000" w:themeColor="text1"/>
          <w:shd w:val="clear" w:color="auto" w:fill="FFFFFF"/>
        </w:rPr>
      </w:pPr>
      <w:r w:rsidRPr="00C102B1">
        <w:rPr>
          <w:rFonts w:ascii="Calibri" w:hAnsi="Calibri" w:cs="Calibri"/>
          <w:color w:val="000000" w:themeColor="text1"/>
          <w:shd w:val="clear" w:color="auto" w:fill="FFFFFF"/>
        </w:rPr>
        <w:t>Améliorer l’éducation des femmes a été l’un des facteurs les plus significatifs du déclin de la fécondité, mais éduquer la majorité des filles au Sahel va prendre du temps.</w:t>
      </w:r>
    </w:p>
    <w:p w14:paraId="7A9DF3EF" w14:textId="77777777" w:rsidR="00C102B1" w:rsidRPr="00C102B1" w:rsidRDefault="00C102B1" w:rsidP="00C102B1">
      <w:pPr>
        <w:spacing w:after="0" w:line="240" w:lineRule="auto"/>
        <w:jc w:val="both"/>
        <w:rPr>
          <w:rFonts w:ascii="Calibri" w:hAnsi="Calibri" w:cs="Calibri"/>
          <w:color w:val="000000" w:themeColor="text1"/>
          <w:shd w:val="clear" w:color="auto" w:fill="FFFFFF"/>
        </w:rPr>
      </w:pPr>
    </w:p>
    <w:p w14:paraId="4CAA4D15" w14:textId="05139BB7" w:rsidR="00C102B1" w:rsidRPr="00C102B1" w:rsidRDefault="00C955D9" w:rsidP="00C54119">
      <w:pPr>
        <w:pStyle w:val="Paragraphedeliste"/>
        <w:numPr>
          <w:ilvl w:val="0"/>
          <w:numId w:val="98"/>
        </w:numPr>
        <w:spacing w:after="0" w:line="240" w:lineRule="auto"/>
        <w:ind w:left="426"/>
        <w:jc w:val="both"/>
        <w:rPr>
          <w:rFonts w:ascii="Calibri" w:hAnsi="Calibri" w:cs="Calibri"/>
          <w:color w:val="000000" w:themeColor="text1"/>
          <w:shd w:val="clear" w:color="auto" w:fill="FFFFFF"/>
        </w:rPr>
      </w:pPr>
      <w:r w:rsidRPr="00C102B1">
        <w:rPr>
          <w:rFonts w:ascii="Calibri" w:hAnsi="Calibri" w:cs="Calibri"/>
          <w:color w:val="000000" w:themeColor="text1"/>
          <w:shd w:val="clear" w:color="auto" w:fill="FFFFFF"/>
        </w:rPr>
        <w:t>Il faut informer les populations quant aux bénéfices d’une taille familiale plus réduite</w:t>
      </w:r>
      <w:r w:rsidR="00C102B1" w:rsidRPr="00C102B1">
        <w:rPr>
          <w:rFonts w:ascii="Calibri" w:hAnsi="Calibri" w:cs="Calibri"/>
          <w:color w:val="000000" w:themeColor="text1"/>
          <w:shd w:val="clear" w:color="auto" w:fill="FFFFFF"/>
        </w:rPr>
        <w:t>.</w:t>
      </w:r>
    </w:p>
    <w:p w14:paraId="036AA84A" w14:textId="77777777" w:rsidR="00761AC5" w:rsidRDefault="00C102B1" w:rsidP="00C54119">
      <w:pPr>
        <w:pStyle w:val="Paragraphedeliste"/>
        <w:numPr>
          <w:ilvl w:val="0"/>
          <w:numId w:val="98"/>
        </w:numPr>
        <w:spacing w:after="0" w:line="240" w:lineRule="auto"/>
        <w:ind w:left="426"/>
        <w:jc w:val="both"/>
        <w:rPr>
          <w:rFonts w:ascii="Calibri" w:hAnsi="Calibri" w:cs="Calibri"/>
          <w:color w:val="000000" w:themeColor="text1"/>
          <w:shd w:val="clear" w:color="auto" w:fill="FFFFFF"/>
        </w:rPr>
      </w:pPr>
      <w:r w:rsidRPr="00C102B1">
        <w:rPr>
          <w:rFonts w:ascii="Calibri" w:hAnsi="Calibri" w:cs="Calibri"/>
          <w:color w:val="000000" w:themeColor="text1"/>
          <w:shd w:val="clear" w:color="auto" w:fill="FFFFFF"/>
        </w:rPr>
        <w:t>Il faut</w:t>
      </w:r>
      <w:r w:rsidR="00C955D9" w:rsidRPr="00C102B1">
        <w:rPr>
          <w:rFonts w:ascii="Calibri" w:hAnsi="Calibri" w:cs="Calibri"/>
          <w:color w:val="000000" w:themeColor="text1"/>
          <w:shd w:val="clear" w:color="auto" w:fill="FFFFFF"/>
        </w:rPr>
        <w:t xml:space="preserve"> améliorer l’accès aux contraceptifs</w:t>
      </w:r>
      <w:r w:rsidR="00761AC5">
        <w:rPr>
          <w:rFonts w:ascii="Calibri" w:hAnsi="Calibri" w:cs="Calibri"/>
          <w:color w:val="000000" w:themeColor="text1"/>
          <w:shd w:val="clear" w:color="auto" w:fill="FFFFFF"/>
        </w:rPr>
        <w:t>.</w:t>
      </w:r>
    </w:p>
    <w:p w14:paraId="1CFAF7D5" w14:textId="3B242390" w:rsidR="00C102B1" w:rsidRPr="00C102B1" w:rsidRDefault="00761AC5" w:rsidP="00C54119">
      <w:pPr>
        <w:pStyle w:val="Paragraphedeliste"/>
        <w:numPr>
          <w:ilvl w:val="0"/>
          <w:numId w:val="98"/>
        </w:numPr>
        <w:spacing w:after="0" w:line="240" w:lineRule="auto"/>
        <w:ind w:left="426"/>
        <w:jc w:val="both"/>
        <w:rPr>
          <w:rFonts w:ascii="Calibri" w:hAnsi="Calibri" w:cs="Calibri"/>
          <w:color w:val="000000" w:themeColor="text1"/>
          <w:shd w:val="clear" w:color="auto" w:fill="FFFFFF"/>
        </w:rPr>
      </w:pPr>
      <w:r>
        <w:rPr>
          <w:rFonts w:ascii="Calibri" w:hAnsi="Calibri" w:cs="Calibri"/>
          <w:color w:val="000000" w:themeColor="text1"/>
          <w:shd w:val="clear" w:color="auto" w:fill="FFFFFF"/>
        </w:rPr>
        <w:t>Il faut</w:t>
      </w:r>
      <w:r w:rsidR="00C955D9" w:rsidRPr="00C102B1">
        <w:rPr>
          <w:rFonts w:ascii="Calibri" w:hAnsi="Calibri" w:cs="Calibri"/>
          <w:color w:val="000000" w:themeColor="text1"/>
          <w:shd w:val="clear" w:color="auto" w:fill="FFFFFF"/>
        </w:rPr>
        <w:t xml:space="preserve"> relever l’âge légal au mariage</w:t>
      </w:r>
      <w:r w:rsidR="00C102B1" w:rsidRPr="00C102B1">
        <w:rPr>
          <w:rFonts w:ascii="Calibri" w:hAnsi="Calibri" w:cs="Calibri"/>
          <w:color w:val="000000" w:themeColor="text1"/>
          <w:shd w:val="clear" w:color="auto" w:fill="FFFFFF"/>
        </w:rPr>
        <w:t xml:space="preserve"> (politique volontariste du gouvernement)</w:t>
      </w:r>
      <w:r>
        <w:rPr>
          <w:rStyle w:val="Appelnotedebasdep"/>
          <w:rFonts w:ascii="Calibri" w:hAnsi="Calibri" w:cs="Calibri"/>
          <w:color w:val="000000" w:themeColor="text1"/>
          <w:shd w:val="clear" w:color="auto" w:fill="FFFFFF"/>
        </w:rPr>
        <w:footnoteReference w:id="239"/>
      </w:r>
      <w:r w:rsidR="00C955D9" w:rsidRPr="00C102B1">
        <w:rPr>
          <w:rFonts w:ascii="Calibri" w:hAnsi="Calibri" w:cs="Calibri"/>
          <w:color w:val="000000" w:themeColor="text1"/>
          <w:shd w:val="clear" w:color="auto" w:fill="FFFFFF"/>
        </w:rPr>
        <w:t>.</w:t>
      </w:r>
      <w:r w:rsidR="00C102B1" w:rsidRPr="00C102B1">
        <w:rPr>
          <w:rFonts w:ascii="Calibri" w:hAnsi="Calibri" w:cs="Calibri"/>
          <w:color w:val="000000" w:themeColor="text1"/>
          <w:shd w:val="clear" w:color="auto" w:fill="FFFFFF"/>
        </w:rPr>
        <w:t xml:space="preserve"> </w:t>
      </w:r>
    </w:p>
    <w:p w14:paraId="31196EB9" w14:textId="3EC5450D" w:rsidR="00C102B1" w:rsidRDefault="00C102B1" w:rsidP="00C54119">
      <w:pPr>
        <w:pStyle w:val="Paragraphedeliste"/>
        <w:numPr>
          <w:ilvl w:val="0"/>
          <w:numId w:val="98"/>
        </w:numPr>
        <w:spacing w:after="0" w:line="240" w:lineRule="auto"/>
        <w:ind w:left="426"/>
        <w:jc w:val="both"/>
        <w:rPr>
          <w:rFonts w:ascii="Calibri" w:hAnsi="Calibri" w:cs="Calibri"/>
          <w:color w:val="000000" w:themeColor="text1"/>
          <w:shd w:val="clear" w:color="auto" w:fill="FFFFFF"/>
        </w:rPr>
      </w:pPr>
      <w:r w:rsidRPr="00C102B1">
        <w:rPr>
          <w:rFonts w:ascii="Calibri" w:hAnsi="Calibri" w:cs="Calibri"/>
          <w:color w:val="000000" w:themeColor="text1"/>
          <w:shd w:val="clear" w:color="auto" w:fill="FFFFFF"/>
        </w:rPr>
        <w:t xml:space="preserve">Des investissements accrus en soins de santé et en éducation peuvent améliorer tant la qualité et que l’étendue des services fournis. </w:t>
      </w:r>
    </w:p>
    <w:p w14:paraId="30F6E61B" w14:textId="33041CCA" w:rsidR="00C102B1" w:rsidRDefault="00C102B1" w:rsidP="00C102B1">
      <w:pPr>
        <w:spacing w:after="0" w:line="240" w:lineRule="auto"/>
        <w:jc w:val="both"/>
        <w:rPr>
          <w:rFonts w:ascii="Calibri" w:hAnsi="Calibri" w:cs="Calibri"/>
          <w:color w:val="000000" w:themeColor="text1"/>
          <w:shd w:val="clear" w:color="auto" w:fill="FFFFFF"/>
        </w:rPr>
      </w:pPr>
    </w:p>
    <w:p w14:paraId="00F7C083" w14:textId="77777777" w:rsidR="00C102B1" w:rsidRPr="00C102B1" w:rsidRDefault="00C102B1" w:rsidP="00C102B1">
      <w:pPr>
        <w:spacing w:after="0" w:line="240" w:lineRule="auto"/>
        <w:jc w:val="both"/>
        <w:rPr>
          <w:rFonts w:ascii="Calibri" w:hAnsi="Calibri" w:cs="Calibri"/>
          <w:color w:val="000000" w:themeColor="text1"/>
          <w:shd w:val="clear" w:color="auto" w:fill="FFFFFF"/>
        </w:rPr>
      </w:pPr>
      <w:r w:rsidRPr="00C102B1">
        <w:rPr>
          <w:rFonts w:ascii="Calibri" w:hAnsi="Calibri" w:cs="Calibri"/>
          <w:color w:val="000000" w:themeColor="text1"/>
          <w:shd w:val="clear" w:color="auto" w:fill="FFFFFF"/>
        </w:rPr>
        <w:t>Ces changements peuvent alors contribuer à réduire la pression humaine sur les ressources naturelles, permettre plus d’investissements pour les jeunes en matière d’éducation et créer la possibilité d’un dividende démographique à long terme.</w:t>
      </w:r>
    </w:p>
    <w:p w14:paraId="69E7E98D" w14:textId="77777777" w:rsidR="00C102B1" w:rsidRPr="00C102B1" w:rsidRDefault="00C102B1" w:rsidP="00C102B1">
      <w:pPr>
        <w:spacing w:after="0" w:line="240" w:lineRule="auto"/>
        <w:jc w:val="both"/>
        <w:rPr>
          <w:rFonts w:ascii="Calibri" w:hAnsi="Calibri" w:cs="Calibri"/>
          <w:color w:val="000000" w:themeColor="text1"/>
          <w:shd w:val="clear" w:color="auto" w:fill="FFFFFF"/>
        </w:rPr>
      </w:pPr>
    </w:p>
    <w:p w14:paraId="634728FA" w14:textId="0AE33430" w:rsidR="00C102B1" w:rsidRPr="00C102B1" w:rsidRDefault="00C102B1" w:rsidP="00C54119">
      <w:pPr>
        <w:pStyle w:val="Paragraphedeliste"/>
        <w:numPr>
          <w:ilvl w:val="0"/>
          <w:numId w:val="98"/>
        </w:numPr>
        <w:spacing w:after="0" w:line="240" w:lineRule="auto"/>
        <w:ind w:left="426"/>
        <w:jc w:val="both"/>
        <w:rPr>
          <w:rFonts w:ascii="Calibri" w:hAnsi="Calibri" w:cs="Calibri"/>
          <w:color w:val="000000" w:themeColor="text1"/>
          <w:shd w:val="clear" w:color="auto" w:fill="FFFFFF"/>
        </w:rPr>
      </w:pPr>
      <w:r w:rsidRPr="00C102B1">
        <w:rPr>
          <w:rFonts w:ascii="Calibri" w:hAnsi="Calibri" w:cs="Calibri"/>
          <w:color w:val="000000" w:themeColor="text1"/>
          <w:shd w:val="clear" w:color="auto" w:fill="FFFFFF"/>
        </w:rPr>
        <w:t xml:space="preserve">Une gouvernance transparente et stable est également cruciale au progrès de la région (source de stabilité et de diminution de risques de conflits). </w:t>
      </w:r>
    </w:p>
    <w:p w14:paraId="64B56DB0" w14:textId="2FC8D6E0" w:rsidR="00C102B1" w:rsidRPr="00C102B1" w:rsidRDefault="00C102B1" w:rsidP="00C54119">
      <w:pPr>
        <w:pStyle w:val="Paragraphedeliste"/>
        <w:numPr>
          <w:ilvl w:val="0"/>
          <w:numId w:val="98"/>
        </w:numPr>
        <w:spacing w:after="0" w:line="240" w:lineRule="auto"/>
        <w:ind w:left="426"/>
        <w:jc w:val="both"/>
        <w:rPr>
          <w:rFonts w:ascii="Calibri" w:hAnsi="Calibri" w:cs="Calibri"/>
          <w:color w:val="000000" w:themeColor="text1"/>
          <w:shd w:val="clear" w:color="auto" w:fill="FFFFFF"/>
        </w:rPr>
      </w:pPr>
      <w:r w:rsidRPr="00C102B1">
        <w:rPr>
          <w:rFonts w:ascii="Calibri" w:hAnsi="Calibri" w:cs="Calibri"/>
          <w:color w:val="000000" w:themeColor="text1"/>
          <w:shd w:val="clear" w:color="auto" w:fill="FFFFFF"/>
        </w:rPr>
        <w:t xml:space="preserve">Enfin, tant le secteur formel qu’informel doivent être mis à contribution pour </w:t>
      </w:r>
      <w:r w:rsidRPr="00C102B1">
        <w:rPr>
          <w:rFonts w:ascii="Calibri" w:hAnsi="Calibri" w:cs="Calibri"/>
          <w:b/>
          <w:bCs/>
          <w:color w:val="000000" w:themeColor="text1"/>
          <w:shd w:val="clear" w:color="auto" w:fill="FFFFFF"/>
        </w:rPr>
        <w:t>augmenter l’emploi</w:t>
      </w:r>
      <w:r w:rsidRPr="00C102B1">
        <w:rPr>
          <w:rFonts w:ascii="Calibri" w:hAnsi="Calibri" w:cs="Calibri"/>
          <w:color w:val="000000" w:themeColor="text1"/>
          <w:shd w:val="clear" w:color="auto" w:fill="FFFFFF"/>
        </w:rPr>
        <w:t xml:space="preserve"> de même que pour améliorer la productivité et l’efficacité.</w:t>
      </w:r>
      <w:r>
        <w:rPr>
          <w:rFonts w:ascii="Calibri" w:hAnsi="Calibri" w:cs="Calibri"/>
          <w:color w:val="000000" w:themeColor="text1"/>
          <w:shd w:val="clear" w:color="auto" w:fill="FFFFFF"/>
        </w:rPr>
        <w:t xml:space="preserve"> </w:t>
      </w:r>
      <w:r w:rsidR="008406AB">
        <w:rPr>
          <w:rFonts w:ascii="Calibri" w:hAnsi="Calibri" w:cs="Calibri"/>
          <w:color w:val="000000" w:themeColor="text1"/>
          <w:shd w:val="clear" w:color="auto" w:fill="FFFFFF"/>
        </w:rPr>
        <w:t>La mise</w:t>
      </w:r>
      <w:r>
        <w:rPr>
          <w:rFonts w:ascii="Calibri" w:hAnsi="Calibri" w:cs="Calibri"/>
          <w:color w:val="000000" w:themeColor="text1"/>
          <w:shd w:val="clear" w:color="auto" w:fill="FFFFFF"/>
        </w:rPr>
        <w:t xml:space="preserve"> en œuvre </w:t>
      </w:r>
      <w:r w:rsidR="008406AB">
        <w:rPr>
          <w:rFonts w:ascii="Calibri" w:hAnsi="Calibri" w:cs="Calibri"/>
          <w:color w:val="000000" w:themeColor="text1"/>
          <w:shd w:val="clear" w:color="auto" w:fill="FFFFFF"/>
        </w:rPr>
        <w:t>d</w:t>
      </w:r>
      <w:r>
        <w:rPr>
          <w:rFonts w:ascii="Calibri" w:hAnsi="Calibri" w:cs="Calibri"/>
          <w:color w:val="000000" w:themeColor="text1"/>
          <w:shd w:val="clear" w:color="auto" w:fill="FFFFFF"/>
        </w:rPr>
        <w:t>es idées (ou une partie), contenues dans ce livre, devrai</w:t>
      </w:r>
      <w:r w:rsidR="008406AB">
        <w:rPr>
          <w:rFonts w:ascii="Calibri" w:hAnsi="Calibri" w:cs="Calibri"/>
          <w:color w:val="000000" w:themeColor="text1"/>
          <w:shd w:val="clear" w:color="auto" w:fill="FFFFFF"/>
        </w:rPr>
        <w:t>en</w:t>
      </w:r>
      <w:r>
        <w:rPr>
          <w:rFonts w:ascii="Calibri" w:hAnsi="Calibri" w:cs="Calibri"/>
          <w:color w:val="000000" w:themeColor="text1"/>
          <w:shd w:val="clear" w:color="auto" w:fill="FFFFFF"/>
        </w:rPr>
        <w:t xml:space="preserve">t contribuer à </w:t>
      </w:r>
      <w:r w:rsidRPr="00C102B1">
        <w:rPr>
          <w:rFonts w:ascii="Calibri" w:hAnsi="Calibri" w:cs="Calibri"/>
          <w:b/>
          <w:bCs/>
          <w:color w:val="000000" w:themeColor="text1"/>
          <w:shd w:val="clear" w:color="auto" w:fill="FFFFFF"/>
        </w:rPr>
        <w:t>augmenter l’emploi</w:t>
      </w:r>
      <w:r>
        <w:t xml:space="preserve"> </w:t>
      </w:r>
      <w:r w:rsidRPr="00C102B1">
        <w:rPr>
          <w:b/>
          <w:bCs/>
        </w:rPr>
        <w:t>et les sources de revenus</w:t>
      </w:r>
      <w:r>
        <w:t>.</w:t>
      </w:r>
    </w:p>
    <w:p w14:paraId="1F3DE968" w14:textId="77777777" w:rsidR="00C102B1" w:rsidRPr="00C102B1" w:rsidRDefault="00C102B1" w:rsidP="00C102B1">
      <w:pPr>
        <w:spacing w:after="0" w:line="240" w:lineRule="auto"/>
        <w:jc w:val="both"/>
        <w:rPr>
          <w:rFonts w:ascii="Calibri" w:hAnsi="Calibri" w:cs="Calibri"/>
          <w:color w:val="000000" w:themeColor="text1"/>
          <w:shd w:val="clear" w:color="auto" w:fill="FFFFFF"/>
        </w:rPr>
      </w:pPr>
    </w:p>
    <w:p w14:paraId="0B05377B" w14:textId="1C6D86E3" w:rsidR="00C102B1" w:rsidRDefault="00C102B1" w:rsidP="00C102B1">
      <w:pPr>
        <w:spacing w:after="0" w:line="240" w:lineRule="auto"/>
        <w:jc w:val="both"/>
        <w:rPr>
          <w:rFonts w:ascii="Calibri" w:hAnsi="Calibri" w:cs="Calibri"/>
          <w:color w:val="000000" w:themeColor="text1"/>
          <w:shd w:val="clear" w:color="auto" w:fill="FFFFFF"/>
        </w:rPr>
      </w:pPr>
      <w:r w:rsidRPr="00C102B1">
        <w:rPr>
          <w:rFonts w:ascii="Calibri" w:hAnsi="Calibri" w:cs="Calibri"/>
          <w:color w:val="000000" w:themeColor="text1"/>
          <w:shd w:val="clear" w:color="auto" w:fill="FFFFFF"/>
        </w:rPr>
        <w:t>Ces initiatives</w:t>
      </w:r>
      <w:r>
        <w:rPr>
          <w:rFonts w:ascii="Calibri" w:hAnsi="Calibri" w:cs="Calibri"/>
          <w:color w:val="000000" w:themeColor="text1"/>
          <w:shd w:val="clear" w:color="auto" w:fill="FFFFFF"/>
        </w:rPr>
        <w:t xml:space="preserve"> précédentes</w:t>
      </w:r>
      <w:r w:rsidRPr="00C102B1">
        <w:rPr>
          <w:rFonts w:ascii="Calibri" w:hAnsi="Calibri" w:cs="Calibri"/>
          <w:color w:val="000000" w:themeColor="text1"/>
          <w:shd w:val="clear" w:color="auto" w:fill="FFFFFF"/>
        </w:rPr>
        <w:t xml:space="preserve"> devraient être mises en place simultanément. Trop souvent, les gouvernements et leurs partenaires ne travaillent que sur un ou deux points en même temps. En effet, étant donné l</w:t>
      </w:r>
      <w:r w:rsidR="008406AB">
        <w:rPr>
          <w:rFonts w:ascii="Calibri" w:hAnsi="Calibri" w:cs="Calibri"/>
          <w:color w:val="000000" w:themeColor="text1"/>
          <w:shd w:val="clear" w:color="auto" w:fill="FFFFFF"/>
        </w:rPr>
        <w:t xml:space="preserve">’urgence des </w:t>
      </w:r>
      <w:r w:rsidRPr="00C102B1">
        <w:rPr>
          <w:rFonts w:ascii="Calibri" w:hAnsi="Calibri" w:cs="Calibri"/>
          <w:color w:val="000000" w:themeColor="text1"/>
          <w:shd w:val="clear" w:color="auto" w:fill="FFFFFF"/>
        </w:rPr>
        <w:t xml:space="preserve">défis démographiques du Sahel, il </w:t>
      </w:r>
      <w:r w:rsidR="008406AB">
        <w:rPr>
          <w:rFonts w:ascii="Calibri" w:hAnsi="Calibri" w:cs="Calibri"/>
          <w:color w:val="000000" w:themeColor="text1"/>
          <w:shd w:val="clear" w:color="auto" w:fill="FFFFFF"/>
        </w:rPr>
        <w:t>faudrait</w:t>
      </w:r>
      <w:r w:rsidRPr="00C102B1">
        <w:rPr>
          <w:rFonts w:ascii="Calibri" w:hAnsi="Calibri" w:cs="Calibri"/>
          <w:color w:val="000000" w:themeColor="text1"/>
          <w:shd w:val="clear" w:color="auto" w:fill="FFFFFF"/>
        </w:rPr>
        <w:t xml:space="preserve"> agir</w:t>
      </w:r>
      <w:r w:rsidR="002C1C2E">
        <w:rPr>
          <w:rFonts w:ascii="Calibri" w:hAnsi="Calibri" w:cs="Calibri"/>
          <w:color w:val="000000" w:themeColor="text1"/>
          <w:shd w:val="clear" w:color="auto" w:fill="FFFFFF"/>
        </w:rPr>
        <w:t xml:space="preserve"> très rapidement, </w:t>
      </w:r>
      <w:r w:rsidR="002C1C2E" w:rsidRPr="0050591F">
        <w:rPr>
          <w:rFonts w:ascii="Calibri" w:hAnsi="Calibri" w:cs="Calibri"/>
          <w:b/>
          <w:bCs/>
          <w:color w:val="000000" w:themeColor="text1"/>
          <w:shd w:val="clear" w:color="auto" w:fill="FFFFFF"/>
        </w:rPr>
        <w:t>sinon</w:t>
      </w:r>
      <w:r w:rsidRPr="0050591F">
        <w:rPr>
          <w:rFonts w:ascii="Calibri" w:hAnsi="Calibri" w:cs="Calibri"/>
          <w:b/>
          <w:bCs/>
          <w:color w:val="000000" w:themeColor="text1"/>
          <w:shd w:val="clear" w:color="auto" w:fill="FFFFFF"/>
        </w:rPr>
        <w:t xml:space="preserve"> maintenant</w:t>
      </w:r>
      <w:r w:rsidRPr="00C102B1">
        <w:rPr>
          <w:rFonts w:ascii="Calibri" w:hAnsi="Calibri" w:cs="Calibri"/>
          <w:color w:val="000000" w:themeColor="text1"/>
          <w:shd w:val="clear" w:color="auto" w:fill="FFFFFF"/>
        </w:rPr>
        <w:t>.</w:t>
      </w:r>
    </w:p>
    <w:p w14:paraId="19FD9829" w14:textId="77777777" w:rsidR="009D08BE" w:rsidRDefault="009D08BE" w:rsidP="00A22972">
      <w:pPr>
        <w:spacing w:after="0" w:line="240" w:lineRule="auto"/>
        <w:jc w:val="both"/>
        <w:rPr>
          <w:rFonts w:ascii="Calibri" w:hAnsi="Calibri" w:cs="Calibri"/>
          <w:color w:val="000000" w:themeColor="text1"/>
          <w:shd w:val="clear" w:color="auto" w:fill="FFFFFF"/>
        </w:rPr>
      </w:pPr>
    </w:p>
    <w:p w14:paraId="6E445963" w14:textId="6DC11897" w:rsidR="00007E7F" w:rsidRDefault="00007E7F" w:rsidP="00007E7F">
      <w:pPr>
        <w:pStyle w:val="Titre2"/>
        <w:rPr>
          <w:shd w:val="clear" w:color="auto" w:fill="FFFFFF"/>
        </w:rPr>
      </w:pPr>
      <w:bookmarkStart w:id="331" w:name="_Toc139181622"/>
      <w:r>
        <w:rPr>
          <w:shd w:val="clear" w:color="auto" w:fill="FFFFFF"/>
        </w:rPr>
        <w:t>Faire participer les autorités religieuses locales à la promotion de la contraception</w:t>
      </w:r>
      <w:bookmarkEnd w:id="331"/>
    </w:p>
    <w:p w14:paraId="3074D2DA" w14:textId="35811A31" w:rsidR="00A22972" w:rsidRDefault="00A22972" w:rsidP="00134A85">
      <w:pPr>
        <w:spacing w:after="0" w:line="240" w:lineRule="auto"/>
        <w:jc w:val="both"/>
        <w:rPr>
          <w:rFonts w:ascii="Calibri" w:hAnsi="Calibri" w:cs="Calibri"/>
          <w:color w:val="000000" w:themeColor="text1"/>
          <w:shd w:val="clear" w:color="auto" w:fill="FFFFFF"/>
        </w:rPr>
      </w:pPr>
    </w:p>
    <w:p w14:paraId="471FE35B" w14:textId="77777777" w:rsidR="00C14067" w:rsidRDefault="009D08BE" w:rsidP="00134A85">
      <w:pPr>
        <w:spacing w:after="0" w:line="240" w:lineRule="auto"/>
        <w:jc w:val="both"/>
        <w:rPr>
          <w:rFonts w:ascii="Calibri" w:hAnsi="Calibri" w:cs="Calibri"/>
          <w:lang w:eastAsia="fr-FR"/>
        </w:rPr>
      </w:pPr>
      <w:r w:rsidRPr="009D08BE">
        <w:rPr>
          <w:rFonts w:ascii="Calibri" w:hAnsi="Calibri" w:cs="Calibri"/>
          <w:lang w:eastAsia="fr-FR"/>
        </w:rPr>
        <w:t>Quand cela est possible</w:t>
      </w:r>
      <w:r w:rsidR="00395E2E">
        <w:rPr>
          <w:rFonts w:ascii="Calibri" w:hAnsi="Calibri" w:cs="Calibri"/>
          <w:lang w:eastAsia="fr-FR"/>
        </w:rPr>
        <w:t xml:space="preserve"> …</w:t>
      </w:r>
      <w:r w:rsidRPr="009D08BE">
        <w:rPr>
          <w:rFonts w:ascii="Calibri" w:hAnsi="Calibri" w:cs="Calibri"/>
          <w:lang w:eastAsia="fr-FR"/>
        </w:rPr>
        <w:t xml:space="preserve"> En effet, au Bénin, quelques prêtres, pasteurs et Imams se sont mis ensemble pour créer la </w:t>
      </w:r>
    </w:p>
    <w:p w14:paraId="65537409" w14:textId="1F63EC6C" w:rsidR="00C14067" w:rsidRDefault="00C14067" w:rsidP="00134A85">
      <w:pPr>
        <w:spacing w:after="0" w:line="240" w:lineRule="auto"/>
        <w:jc w:val="both"/>
        <w:rPr>
          <w:rFonts w:ascii="Calibri" w:hAnsi="Calibri" w:cs="Calibri"/>
          <w:i/>
          <w:color w:val="000000" w:themeColor="text1"/>
        </w:rPr>
      </w:pPr>
      <w:r>
        <w:rPr>
          <w:rFonts w:ascii="Calibri" w:hAnsi="Calibri" w:cs="Calibri"/>
          <w:lang w:eastAsia="fr-FR"/>
        </w:rPr>
        <w:t xml:space="preserve">  </w:t>
      </w:r>
      <w:r w:rsidR="009D08BE" w:rsidRPr="009D08BE">
        <w:rPr>
          <w:rFonts w:ascii="Calibri" w:hAnsi="Calibri" w:cs="Calibri"/>
          <w:lang w:eastAsia="fr-FR"/>
        </w:rPr>
        <w:t>plateforme « </w:t>
      </w:r>
      <w:r w:rsidR="009D08BE" w:rsidRPr="009D08BE">
        <w:rPr>
          <w:rFonts w:ascii="Calibri" w:hAnsi="Calibri" w:cs="Calibri"/>
          <w:i/>
          <w:color w:val="000000" w:themeColor="text1"/>
        </w:rPr>
        <w:t>les religieux s’engagent pour le PF</w:t>
      </w:r>
      <w:r w:rsidR="009D08BE" w:rsidRPr="009D08BE">
        <w:rPr>
          <w:rFonts w:ascii="Calibri" w:hAnsi="Calibri" w:cs="Calibri"/>
          <w:color w:val="000000" w:themeColor="text1"/>
        </w:rPr>
        <w:t> ». « </w:t>
      </w:r>
      <w:r w:rsidR="009D08BE" w:rsidRPr="009D08BE">
        <w:rPr>
          <w:rFonts w:ascii="Calibri" w:hAnsi="Calibri" w:cs="Calibri"/>
          <w:i/>
          <w:color w:val="000000" w:themeColor="text1"/>
        </w:rPr>
        <w:t xml:space="preserve">C’est un canal qui leur permet d’informer et de sensibiliser </w:t>
      </w:r>
    </w:p>
    <w:p w14:paraId="67CC2E54" w14:textId="3F3862E4" w:rsidR="00802CB6" w:rsidRDefault="00C14067" w:rsidP="00134A85">
      <w:pPr>
        <w:spacing w:after="0" w:line="240" w:lineRule="auto"/>
        <w:jc w:val="both"/>
        <w:rPr>
          <w:rFonts w:ascii="Calibri" w:hAnsi="Calibri" w:cs="Calibri"/>
          <w:b/>
          <w:i/>
        </w:rPr>
      </w:pPr>
      <w:r>
        <w:rPr>
          <w:rFonts w:ascii="Calibri" w:hAnsi="Calibri" w:cs="Calibri"/>
          <w:i/>
          <w:color w:val="000000" w:themeColor="text1"/>
        </w:rPr>
        <w:t xml:space="preserve">  </w:t>
      </w:r>
      <w:r w:rsidR="009D08BE" w:rsidRPr="009D08BE">
        <w:rPr>
          <w:rFonts w:ascii="Calibri" w:hAnsi="Calibri" w:cs="Calibri"/>
          <w:i/>
          <w:color w:val="000000" w:themeColor="text1"/>
        </w:rPr>
        <w:t>les fidèles sur les avantages du planning familial</w:t>
      </w:r>
      <w:r w:rsidR="009D08BE" w:rsidRPr="009D08BE">
        <w:rPr>
          <w:rFonts w:ascii="Calibri" w:hAnsi="Calibri" w:cs="Calibri"/>
          <w:color w:val="000000" w:themeColor="text1"/>
        </w:rPr>
        <w:t xml:space="preserve"> ». « </w:t>
      </w:r>
      <w:r w:rsidR="009D08BE" w:rsidRPr="009D08BE">
        <w:rPr>
          <w:rFonts w:ascii="Calibri" w:hAnsi="Calibri" w:cs="Calibri"/>
          <w:b/>
          <w:i/>
        </w:rPr>
        <w:t xml:space="preserve">Dieu a demandé d’aller nous multiplier, de procréer, </w:t>
      </w:r>
    </w:p>
    <w:p w14:paraId="4E518846" w14:textId="5566AF54" w:rsidR="00802CB6" w:rsidRDefault="00C14067" w:rsidP="00134A85">
      <w:pPr>
        <w:spacing w:after="0" w:line="240" w:lineRule="auto"/>
        <w:jc w:val="both"/>
        <w:rPr>
          <w:rFonts w:ascii="Calibri" w:hAnsi="Calibri" w:cs="Calibri"/>
          <w:i/>
          <w:color w:val="000000" w:themeColor="text1"/>
        </w:rPr>
      </w:pPr>
      <w:r>
        <w:rPr>
          <w:rFonts w:ascii="Calibri" w:hAnsi="Calibri" w:cs="Calibri"/>
          <w:b/>
          <w:i/>
        </w:rPr>
        <w:t xml:space="preserve">  </w:t>
      </w:r>
      <w:r w:rsidR="009D08BE" w:rsidRPr="009D08BE">
        <w:rPr>
          <w:rFonts w:ascii="Calibri" w:hAnsi="Calibri" w:cs="Calibri"/>
          <w:b/>
          <w:i/>
        </w:rPr>
        <w:t>mais Dieu n’a pas dit de procréer en désordre. Il ne nous a pas dit de déborder la terre</w:t>
      </w:r>
      <w:r w:rsidR="009D08BE" w:rsidRPr="009D08BE">
        <w:rPr>
          <w:rFonts w:ascii="Calibri" w:hAnsi="Calibri" w:cs="Calibri"/>
          <w:i/>
          <w:color w:val="000000" w:themeColor="text1"/>
        </w:rPr>
        <w:t xml:space="preserve">. </w:t>
      </w:r>
    </w:p>
    <w:p w14:paraId="1365AF08" w14:textId="2AE3E80A" w:rsidR="00802CB6" w:rsidRDefault="00C14067" w:rsidP="00134A85">
      <w:pPr>
        <w:spacing w:after="0" w:line="240" w:lineRule="auto"/>
        <w:jc w:val="both"/>
        <w:rPr>
          <w:rFonts w:ascii="Calibri" w:hAnsi="Calibri" w:cs="Calibri"/>
          <w:color w:val="000000" w:themeColor="text1"/>
        </w:rPr>
      </w:pPr>
      <w:r>
        <w:rPr>
          <w:rFonts w:ascii="Calibri" w:hAnsi="Calibri" w:cs="Calibri"/>
          <w:i/>
          <w:color w:val="000000" w:themeColor="text1"/>
        </w:rPr>
        <w:t xml:space="preserve">  </w:t>
      </w:r>
      <w:r w:rsidR="009D08BE" w:rsidRPr="009D08BE">
        <w:rPr>
          <w:rFonts w:ascii="Calibri" w:hAnsi="Calibri" w:cs="Calibri"/>
          <w:i/>
          <w:color w:val="000000" w:themeColor="text1"/>
        </w:rPr>
        <w:t>Si vous débordez la terre, vous irez vivre dans les eaux</w:t>
      </w:r>
      <w:r w:rsidR="009D08BE" w:rsidRPr="009D08BE">
        <w:rPr>
          <w:rFonts w:ascii="Calibri" w:hAnsi="Calibri" w:cs="Calibri"/>
          <w:color w:val="000000" w:themeColor="text1"/>
        </w:rPr>
        <w:t xml:space="preserve"> » a déclaré le pasteur Amos Agbindo-Bankolé de l’EPBM, </w:t>
      </w:r>
    </w:p>
    <w:p w14:paraId="34D68778" w14:textId="13F8DC58" w:rsidR="00A22972" w:rsidRPr="009D08BE" w:rsidRDefault="00C14067" w:rsidP="00134A85">
      <w:pPr>
        <w:spacing w:after="0" w:line="240" w:lineRule="auto"/>
        <w:jc w:val="both"/>
        <w:rPr>
          <w:rFonts w:ascii="Calibri" w:hAnsi="Calibri" w:cs="Calibri"/>
          <w:color w:val="000000" w:themeColor="text1"/>
          <w:shd w:val="clear" w:color="auto" w:fill="FFFFFF"/>
        </w:rPr>
      </w:pPr>
      <w:r>
        <w:rPr>
          <w:rFonts w:ascii="Calibri" w:hAnsi="Calibri" w:cs="Calibri"/>
          <w:color w:val="000000" w:themeColor="text1"/>
        </w:rPr>
        <w:t xml:space="preserve">  </w:t>
      </w:r>
      <w:r w:rsidR="009D08BE" w:rsidRPr="009D08BE">
        <w:rPr>
          <w:rFonts w:ascii="Calibri" w:hAnsi="Calibri" w:cs="Calibri"/>
          <w:color w:val="000000" w:themeColor="text1"/>
        </w:rPr>
        <w:t>ceci pour mieux sensibiliser les chrétiens en utilisant les versets bibliques.</w:t>
      </w:r>
    </w:p>
    <w:p w14:paraId="0E6032A7" w14:textId="77777777" w:rsidR="00A22972" w:rsidRPr="00E8110A" w:rsidRDefault="00A22972" w:rsidP="00134A85">
      <w:pPr>
        <w:spacing w:after="0" w:line="240" w:lineRule="auto"/>
        <w:jc w:val="both"/>
        <w:rPr>
          <w:rFonts w:ascii="Calibri" w:hAnsi="Calibri" w:cs="Calibri"/>
          <w:color w:val="000000" w:themeColor="text1"/>
          <w:shd w:val="clear" w:color="auto" w:fill="FFFFFF"/>
        </w:rPr>
      </w:pPr>
    </w:p>
    <w:p w14:paraId="0042F570" w14:textId="77777777" w:rsidR="002917F9" w:rsidRDefault="002917F9" w:rsidP="00134A85">
      <w:pPr>
        <w:spacing w:after="0" w:line="240" w:lineRule="auto"/>
        <w:jc w:val="both"/>
        <w:rPr>
          <w:rFonts w:ascii="Calibri" w:hAnsi="Calibri" w:cs="Calibri"/>
          <w:color w:val="000000" w:themeColor="text1"/>
          <w:shd w:val="clear" w:color="auto" w:fill="FFFFFF"/>
        </w:rPr>
      </w:pPr>
      <w:r>
        <w:rPr>
          <w:rFonts w:ascii="Calibri" w:hAnsi="Calibri" w:cs="Calibri"/>
          <w:color w:val="000000" w:themeColor="text1"/>
          <w:shd w:val="clear" w:color="auto" w:fill="FFFFFF"/>
        </w:rPr>
        <w:t>Ressources documentaires</w:t>
      </w:r>
      <w:r w:rsidR="00CB694B">
        <w:rPr>
          <w:rFonts w:ascii="Calibri" w:hAnsi="Calibri" w:cs="Calibri"/>
          <w:color w:val="000000" w:themeColor="text1"/>
          <w:shd w:val="clear" w:color="auto" w:fill="FFFFFF"/>
        </w:rPr>
        <w:t> :</w:t>
      </w:r>
      <w:r w:rsidR="00991D2C">
        <w:rPr>
          <w:rFonts w:ascii="Calibri" w:hAnsi="Calibri" w:cs="Calibri"/>
          <w:color w:val="000000" w:themeColor="text1"/>
          <w:shd w:val="clear" w:color="auto" w:fill="FFFFFF"/>
        </w:rPr>
        <w:t xml:space="preserve"> </w:t>
      </w:r>
    </w:p>
    <w:p w14:paraId="60C189AB" w14:textId="35EE705F" w:rsidR="002917F9" w:rsidRPr="002917F9" w:rsidRDefault="002917F9" w:rsidP="002917F9">
      <w:pPr>
        <w:spacing w:after="0" w:line="240" w:lineRule="auto"/>
        <w:jc w:val="both"/>
        <w:rPr>
          <w:rFonts w:ascii="Calibri" w:hAnsi="Calibri" w:cs="Calibri"/>
          <w:color w:val="000000" w:themeColor="text1"/>
          <w:shd w:val="clear" w:color="auto" w:fill="FFFFFF"/>
        </w:rPr>
      </w:pPr>
      <w:r>
        <w:rPr>
          <w:rFonts w:ascii="Calibri" w:hAnsi="Calibri" w:cs="Calibri"/>
          <w:color w:val="000000" w:themeColor="text1"/>
          <w:shd w:val="clear" w:color="auto" w:fill="FFFFFF"/>
        </w:rPr>
        <w:t xml:space="preserve">a) </w:t>
      </w:r>
      <w:r w:rsidRPr="002917F9">
        <w:rPr>
          <w:rFonts w:ascii="Calibri" w:hAnsi="Calibri" w:cs="Calibri"/>
          <w:i/>
          <w:iCs/>
          <w:color w:val="000000" w:themeColor="text1"/>
          <w:shd w:val="clear" w:color="auto" w:fill="FFFFFF"/>
        </w:rPr>
        <w:t>L'Afrique face à ses défis démographiques : un avenir incertain</w:t>
      </w:r>
      <w:r w:rsidRPr="002917F9">
        <w:rPr>
          <w:rFonts w:ascii="Calibri" w:hAnsi="Calibri" w:cs="Calibri"/>
          <w:color w:val="000000" w:themeColor="text1"/>
          <w:shd w:val="clear" w:color="auto" w:fill="FFFFFF"/>
        </w:rPr>
        <w:t xml:space="preserve">, Sous la direction de Benoît Ferry, AFD-CEPED-Karthala, 387 pages, </w:t>
      </w:r>
      <w:hyperlink r:id="rId3670" w:history="1">
        <w:r w:rsidRPr="00E2485C">
          <w:rPr>
            <w:rStyle w:val="Lienhypertexte"/>
            <w:rFonts w:ascii="Calibri" w:hAnsi="Calibri" w:cs="Calibri"/>
            <w:shd w:val="clear" w:color="auto" w:fill="FFFFFF"/>
          </w:rPr>
          <w:t>https://horizon.documentation.ird.fr/exl-doc/pleins_textes/divers20-05/010041742.pdf</w:t>
        </w:r>
      </w:hyperlink>
      <w:r>
        <w:rPr>
          <w:rFonts w:ascii="Calibri" w:hAnsi="Calibri" w:cs="Calibri"/>
          <w:color w:val="000000" w:themeColor="text1"/>
          <w:shd w:val="clear" w:color="auto" w:fill="FFFFFF"/>
        </w:rPr>
        <w:t xml:space="preserve"> </w:t>
      </w:r>
    </w:p>
    <w:p w14:paraId="7A806271" w14:textId="3866FD29" w:rsidR="00CB694B" w:rsidRDefault="002917F9" w:rsidP="00134A85">
      <w:pPr>
        <w:spacing w:after="0" w:line="240" w:lineRule="auto"/>
        <w:jc w:val="both"/>
        <w:rPr>
          <w:rFonts w:ascii="Calibri" w:hAnsi="Calibri" w:cs="Calibri"/>
          <w:color w:val="000000" w:themeColor="text1"/>
          <w:shd w:val="clear" w:color="auto" w:fill="FFFFFF"/>
        </w:rPr>
      </w:pPr>
      <w:r>
        <w:rPr>
          <w:rFonts w:ascii="Calibri" w:hAnsi="Calibri" w:cs="Calibri"/>
          <w:color w:val="000000" w:themeColor="text1"/>
          <w:shd w:val="clear" w:color="auto" w:fill="FFFFFF"/>
        </w:rPr>
        <w:t>b)</w:t>
      </w:r>
      <w:r w:rsidR="00CB694B">
        <w:rPr>
          <w:rFonts w:ascii="Calibri" w:hAnsi="Calibri" w:cs="Calibri"/>
          <w:color w:val="000000" w:themeColor="text1"/>
          <w:shd w:val="clear" w:color="auto" w:fill="FFFFFF"/>
        </w:rPr>
        <w:t xml:space="preserve"> </w:t>
      </w:r>
      <w:r w:rsidR="00991D2C" w:rsidRPr="001B56D5">
        <w:rPr>
          <w:rFonts w:ascii="Calibri" w:hAnsi="Calibri" w:cs="Calibri"/>
          <w:i/>
          <w:iCs/>
          <w:color w:val="000000" w:themeColor="text1"/>
          <w:shd w:val="clear" w:color="auto" w:fill="FFFFFF"/>
        </w:rPr>
        <w:t>Défis démographiques du Sahel</w:t>
      </w:r>
      <w:r w:rsidR="00991D2C">
        <w:rPr>
          <w:rFonts w:ascii="Calibri" w:hAnsi="Calibri" w:cs="Calibri"/>
          <w:color w:val="000000" w:themeColor="text1"/>
          <w:shd w:val="clear" w:color="auto" w:fill="FFFFFF"/>
        </w:rPr>
        <w:t>,</w:t>
      </w:r>
      <w:r w:rsidR="00E43C8C">
        <w:rPr>
          <w:rFonts w:ascii="Calibri" w:hAnsi="Calibri" w:cs="Calibri"/>
          <w:color w:val="000000" w:themeColor="text1"/>
          <w:shd w:val="clear" w:color="auto" w:fill="FFFFFF"/>
        </w:rPr>
        <w:t xml:space="preserve"> 24/02/2015,</w:t>
      </w:r>
      <w:r w:rsidR="00991D2C">
        <w:rPr>
          <w:rFonts w:ascii="Calibri" w:hAnsi="Calibri" w:cs="Calibri"/>
          <w:color w:val="000000" w:themeColor="text1"/>
          <w:shd w:val="clear" w:color="auto" w:fill="FFFFFF"/>
        </w:rPr>
        <w:t xml:space="preserve"> </w:t>
      </w:r>
      <w:hyperlink r:id="rId3671" w:history="1">
        <w:r w:rsidR="00991D2C" w:rsidRPr="00EE60B2">
          <w:rPr>
            <w:rStyle w:val="Lienhypertexte"/>
            <w:rFonts w:ascii="Calibri" w:hAnsi="Calibri" w:cs="Calibri"/>
            <w:shd w:val="clear" w:color="auto" w:fill="FFFFFF"/>
          </w:rPr>
          <w:t>https://www.prb.org/resources/defis-demographiques-du-sahel/</w:t>
        </w:r>
      </w:hyperlink>
    </w:p>
    <w:p w14:paraId="0CC73998" w14:textId="53FF1048" w:rsidR="00C955D9" w:rsidRDefault="002917F9" w:rsidP="00C955D9">
      <w:pPr>
        <w:spacing w:after="0" w:line="240" w:lineRule="auto"/>
        <w:jc w:val="both"/>
        <w:rPr>
          <w:rFonts w:ascii="Calibri" w:hAnsi="Calibri" w:cs="Calibri"/>
        </w:rPr>
      </w:pPr>
      <w:r>
        <w:rPr>
          <w:rFonts w:ascii="Calibri" w:hAnsi="Calibri" w:cs="Calibri"/>
          <w:color w:val="000000" w:themeColor="text1"/>
          <w:shd w:val="clear" w:color="auto" w:fill="FFFFFF"/>
        </w:rPr>
        <w:t>c</w:t>
      </w:r>
      <w:r w:rsidR="00007E7F">
        <w:rPr>
          <w:rFonts w:ascii="Calibri" w:hAnsi="Calibri" w:cs="Calibri"/>
          <w:color w:val="000000" w:themeColor="text1"/>
          <w:shd w:val="clear" w:color="auto" w:fill="FFFFFF"/>
        </w:rPr>
        <w:t xml:space="preserve">) </w:t>
      </w:r>
      <w:r w:rsidR="00C955D9">
        <w:rPr>
          <w:rFonts w:ascii="Calibri" w:hAnsi="Calibri" w:cs="Calibri"/>
        </w:rPr>
        <w:t>1)</w:t>
      </w:r>
      <w:r w:rsidR="00C955D9" w:rsidRPr="007326A3">
        <w:rPr>
          <w:rFonts w:ascii="Calibri" w:hAnsi="Calibri" w:cs="Calibri"/>
        </w:rPr>
        <w:t xml:space="preserve"> </w:t>
      </w:r>
      <w:r w:rsidR="00C955D9" w:rsidRPr="007326A3">
        <w:rPr>
          <w:rFonts w:ascii="Calibri" w:hAnsi="Calibri" w:cs="Calibri"/>
          <w:i/>
          <w:iCs/>
        </w:rPr>
        <w:t>Réalités quotidiennes des femmes et filles d'Afrique : La condition de la femme africaine</w:t>
      </w:r>
      <w:r w:rsidR="00C955D9" w:rsidRPr="007326A3">
        <w:rPr>
          <w:rFonts w:ascii="Calibri" w:hAnsi="Calibri" w:cs="Calibri"/>
        </w:rPr>
        <w:t xml:space="preserve"> (essai)</w:t>
      </w:r>
      <w:r w:rsidR="00027F55">
        <w:rPr>
          <w:rFonts w:ascii="Calibri" w:hAnsi="Calibri" w:cs="Calibri"/>
        </w:rPr>
        <w:t xml:space="preserve">, </w:t>
      </w:r>
      <w:r w:rsidR="00C955D9" w:rsidRPr="007326A3">
        <w:rPr>
          <w:rFonts w:ascii="Calibri" w:hAnsi="Calibri" w:cs="Calibri"/>
        </w:rPr>
        <w:t>Bérénice Micale Edaye</w:t>
      </w:r>
      <w:r w:rsidR="00027F55">
        <w:rPr>
          <w:rFonts w:ascii="Calibri" w:hAnsi="Calibri" w:cs="Calibri"/>
        </w:rPr>
        <w:t xml:space="preserve"> &amp; Benjamin Lisan</w:t>
      </w:r>
      <w:r w:rsidR="00C955D9" w:rsidRPr="007326A3">
        <w:rPr>
          <w:rFonts w:ascii="Calibri" w:hAnsi="Calibri" w:cs="Calibri"/>
        </w:rPr>
        <w:t xml:space="preserve">, 183 pages, 11,50€, </w:t>
      </w:r>
      <w:hyperlink r:id="rId3672" w:history="1">
        <w:r w:rsidR="00C955D9" w:rsidRPr="007326A3">
          <w:rPr>
            <w:rStyle w:val="Lienhypertexte"/>
            <w:rFonts w:ascii="Calibri" w:hAnsi="Calibri" w:cs="Calibri"/>
          </w:rPr>
          <w:t>https://www.amazon.fr/dp/1986557456</w:t>
        </w:r>
      </w:hyperlink>
      <w:r w:rsidR="00C955D9" w:rsidRPr="007326A3">
        <w:rPr>
          <w:rFonts w:ascii="Calibri" w:hAnsi="Calibri" w:cs="Calibri"/>
        </w:rPr>
        <w:t xml:space="preserve">  </w:t>
      </w:r>
    </w:p>
    <w:p w14:paraId="60E6A2FB" w14:textId="7CC05BBF" w:rsidR="00C955D9" w:rsidRDefault="00C955D9" w:rsidP="00C955D9">
      <w:pPr>
        <w:spacing w:after="0" w:line="240" w:lineRule="auto"/>
        <w:rPr>
          <w:rFonts w:ascii="Calibri" w:hAnsi="Calibri" w:cs="Calibri"/>
        </w:rPr>
      </w:pPr>
      <w:r>
        <w:rPr>
          <w:rFonts w:ascii="Calibri" w:hAnsi="Calibri" w:cs="Calibri"/>
        </w:rPr>
        <w:t>2</w:t>
      </w:r>
      <w:r w:rsidRPr="00704AAD">
        <w:rPr>
          <w:rFonts w:ascii="Calibri" w:hAnsi="Calibri" w:cs="Calibri"/>
        </w:rPr>
        <w:t>) Version PDF gra</w:t>
      </w:r>
      <w:r>
        <w:rPr>
          <w:rFonts w:ascii="Calibri" w:hAnsi="Calibri" w:cs="Calibri"/>
        </w:rPr>
        <w:t>t</w:t>
      </w:r>
      <w:r w:rsidRPr="00704AAD">
        <w:rPr>
          <w:rFonts w:ascii="Calibri" w:hAnsi="Calibri" w:cs="Calibri"/>
        </w:rPr>
        <w:t xml:space="preserve">uite : </w:t>
      </w:r>
      <w:hyperlink r:id="rId3673" w:history="1">
        <w:r w:rsidRPr="00704AAD">
          <w:rPr>
            <w:rStyle w:val="Lienhypertexte"/>
            <w:rFonts w:ascii="Calibri" w:hAnsi="Calibri" w:cs="Calibri"/>
          </w:rPr>
          <w:t>http://www.doc-developpement-durable.org/livres/Realites_quotidienneCSP_Size_Fix031518_bis.pdf</w:t>
        </w:r>
      </w:hyperlink>
      <w:r w:rsidRPr="00704AAD">
        <w:rPr>
          <w:rFonts w:ascii="Calibri" w:hAnsi="Calibri" w:cs="Calibri"/>
        </w:rPr>
        <w:t xml:space="preserve"> </w:t>
      </w:r>
    </w:p>
    <w:p w14:paraId="7A8CA9A4" w14:textId="14859C89" w:rsidR="0023759B" w:rsidRDefault="0023759B" w:rsidP="00C955D9">
      <w:pPr>
        <w:spacing w:after="0" w:line="240" w:lineRule="auto"/>
        <w:rPr>
          <w:rFonts w:ascii="Calibri" w:hAnsi="Calibri" w:cs="Calibri"/>
        </w:rPr>
      </w:pPr>
      <w:r>
        <w:rPr>
          <w:rFonts w:ascii="Calibri" w:hAnsi="Calibri" w:cs="Calibri"/>
        </w:rPr>
        <w:lastRenderedPageBreak/>
        <w:t xml:space="preserve">d) </w:t>
      </w:r>
      <w:r w:rsidRPr="0023759B">
        <w:rPr>
          <w:rFonts w:ascii="Calibri" w:hAnsi="Calibri" w:cs="Calibri"/>
          <w:i/>
          <w:iCs/>
        </w:rPr>
        <w:t>Contrôle des naissances. Planning familial</w:t>
      </w:r>
      <w:r w:rsidRPr="0023759B">
        <w:rPr>
          <w:rFonts w:ascii="Calibri" w:hAnsi="Calibri" w:cs="Calibri"/>
        </w:rPr>
        <w:t xml:space="preserve">, B. Lisan, 2010, 82 pages, </w:t>
      </w:r>
      <w:hyperlink r:id="rId3674" w:history="1">
        <w:r w:rsidRPr="005F3F9F">
          <w:rPr>
            <w:rStyle w:val="Lienhypertexte"/>
            <w:rFonts w:ascii="Calibri" w:hAnsi="Calibri" w:cs="Calibri"/>
          </w:rPr>
          <w:t>http://www.doc-developpement-durable.org/documents-pedagogiques-de-sensibilisation/ControleDesNaissances.ppt</w:t>
        </w:r>
      </w:hyperlink>
      <w:r>
        <w:rPr>
          <w:rFonts w:ascii="Calibri" w:hAnsi="Calibri" w:cs="Calibri"/>
        </w:rPr>
        <w:t xml:space="preserve"> </w:t>
      </w:r>
      <w:r w:rsidRPr="0023759B">
        <w:rPr>
          <w:rFonts w:ascii="Calibri" w:hAnsi="Calibri" w:cs="Calibri"/>
        </w:rPr>
        <w:t xml:space="preserve">    </w:t>
      </w:r>
      <w:r>
        <w:rPr>
          <w:rFonts w:ascii="Calibri" w:hAnsi="Calibri" w:cs="Calibri"/>
        </w:rPr>
        <w:t xml:space="preserve"> </w:t>
      </w:r>
    </w:p>
    <w:p w14:paraId="68C3FB1A" w14:textId="77777777" w:rsidR="002319B2" w:rsidRDefault="002319B2" w:rsidP="00516D97">
      <w:pPr>
        <w:spacing w:after="0" w:line="240" w:lineRule="auto"/>
      </w:pPr>
    </w:p>
    <w:p w14:paraId="6B2E96B4" w14:textId="628C9BFB" w:rsidR="00516D97" w:rsidRPr="005324F8" w:rsidRDefault="00F762EF" w:rsidP="00516D97">
      <w:pPr>
        <w:pStyle w:val="Titre1"/>
      </w:pPr>
      <w:bookmarkStart w:id="332" w:name="_Toc139181623"/>
      <w:r>
        <w:t>Problèmes posé par</w:t>
      </w:r>
      <w:r w:rsidR="00516D97">
        <w:t xml:space="preserve"> les discours populistes incitant à</w:t>
      </w:r>
      <w:r w:rsidR="00516D97" w:rsidRPr="005324F8">
        <w:t xml:space="preserve"> la guerre et </w:t>
      </w:r>
      <w:r w:rsidR="00516D97">
        <w:t>au</w:t>
      </w:r>
      <w:r w:rsidR="00516D97" w:rsidRPr="005324F8">
        <w:t xml:space="preserve"> terrorisme</w:t>
      </w:r>
      <w:bookmarkEnd w:id="332"/>
    </w:p>
    <w:p w14:paraId="75586E4D" w14:textId="77777777" w:rsidR="00516D97" w:rsidRDefault="00516D97" w:rsidP="00516D97">
      <w:pPr>
        <w:spacing w:after="0" w:line="240" w:lineRule="auto"/>
      </w:pPr>
    </w:p>
    <w:p w14:paraId="5C8C6400" w14:textId="77777777" w:rsidR="00516D97" w:rsidRDefault="00516D97" w:rsidP="00516D97">
      <w:pPr>
        <w:pStyle w:val="Titre2"/>
      </w:pPr>
      <w:bookmarkStart w:id="333" w:name="_Toc139181624"/>
      <w:r>
        <w:t>Nature des discours populistes, extrémistes, incitant au terrorisme et à la guerre</w:t>
      </w:r>
      <w:bookmarkEnd w:id="333"/>
    </w:p>
    <w:p w14:paraId="10E540B9" w14:textId="77777777" w:rsidR="00516D97" w:rsidRDefault="00516D97" w:rsidP="00516D97">
      <w:pPr>
        <w:spacing w:after="0" w:line="240" w:lineRule="auto"/>
      </w:pPr>
    </w:p>
    <w:p w14:paraId="45F0C230" w14:textId="77777777" w:rsidR="00516D97" w:rsidRDefault="00516D97" w:rsidP="00516D97">
      <w:pPr>
        <w:spacing w:after="0" w:line="240" w:lineRule="auto"/>
        <w:jc w:val="both"/>
      </w:pPr>
      <w:r>
        <w:t xml:space="preserve">Les discours populistes ont tendance à opposer le « peuple » à des ennemis réels ou imaginaires et/ou inventés, des </w:t>
      </w:r>
      <w:r w:rsidRPr="000C6601">
        <w:rPr>
          <w:i/>
          <w:iCs/>
        </w:rPr>
        <w:t>boucs émissaires</w:t>
      </w:r>
      <w:r>
        <w:rPr>
          <w:rStyle w:val="Appelnotedebasdep"/>
        </w:rPr>
        <w:footnoteReference w:id="240"/>
      </w:r>
      <w:r>
        <w:t xml:space="preserve"> _ par exemple, le colonialiste, la tribu ennemie, les tutsies face aux hutus (et inversement) etc. _, désignés comme source de tous les maux (la pauvreté, la famine, répression) du « peuple ». C’est souvent un moyen pour les ambitieux, prédicateurs ou politiciens « populistes » de prendre le pouvoir ou l’ascendant sur leurs concitoyens, croyants, électeurs, et/ou pour, quand ils sont au pouvoir, détourner l’attention du peuple des vrais problèmes, en les lançant contre des ennemis montés en épingles, objets de focalisation ou dans des causes « glorieuses ». Le populiste cynique n’hésite pas à mélanger faits véridiques et manipulations ou désinformations, afin que leurs mensonges paraissent crédibles.</w:t>
      </w:r>
    </w:p>
    <w:p w14:paraId="40568221" w14:textId="77777777" w:rsidR="00516D97" w:rsidRDefault="00516D97" w:rsidP="00516D97">
      <w:pPr>
        <w:spacing w:after="0" w:line="240" w:lineRule="auto"/>
        <w:jc w:val="both"/>
      </w:pPr>
    </w:p>
    <w:p w14:paraId="51CB0BE5" w14:textId="77777777" w:rsidR="00516D97" w:rsidRDefault="00516D97" w:rsidP="00516D97">
      <w:pPr>
        <w:spacing w:after="0" w:line="240" w:lineRule="auto"/>
        <w:jc w:val="both"/>
      </w:pPr>
      <w:r>
        <w:t>Ils mettent en opposition le « peuple » _ en fait, ceux qui le suivent, les « bons » _, avec les « mauvais », ceux envers qui il faut prendre de la distance et dont il faut se séparer, qui ne sont plus vos amis, qu’ils faut rejeter, voire éliminer.</w:t>
      </w:r>
    </w:p>
    <w:p w14:paraId="75943D36" w14:textId="77777777" w:rsidR="00516D97" w:rsidRDefault="00516D97" w:rsidP="00516D97">
      <w:pPr>
        <w:spacing w:after="0" w:line="240" w:lineRule="auto"/>
        <w:jc w:val="both"/>
      </w:pPr>
    </w:p>
    <w:p w14:paraId="52FD2578" w14:textId="77777777" w:rsidR="00516D97" w:rsidRDefault="00516D97" w:rsidP="00516D97">
      <w:pPr>
        <w:spacing w:after="0" w:line="240" w:lineRule="auto"/>
        <w:jc w:val="both"/>
      </w:pPr>
      <w:r>
        <w:t>Certains prédicateurs ou politiciens, tels des apprentis-sorciers, profitent de la frustration des citoyens, pour la détourner sur des boucs émissaires, en excitant leur haine et déchainant la violence contre eux, voire en appelant au terrorisme ou à la guerre (sainte …) contre eux, qu’ils présentent comme la solution à tous leurs problèmes.</w:t>
      </w:r>
    </w:p>
    <w:p w14:paraId="54935950" w14:textId="77777777" w:rsidR="00516D97" w:rsidRDefault="00516D97" w:rsidP="00516D97">
      <w:pPr>
        <w:spacing w:after="0" w:line="240" w:lineRule="auto"/>
        <w:jc w:val="both"/>
      </w:pPr>
    </w:p>
    <w:p w14:paraId="33D64168" w14:textId="023018CB" w:rsidR="00516D97" w:rsidRDefault="00516D97" w:rsidP="00516D97">
      <w:pPr>
        <w:pStyle w:val="Titre2"/>
      </w:pPr>
      <w:bookmarkStart w:id="334" w:name="_Toc139181625"/>
      <w:r>
        <w:t>Analyse et réfutation du discours présentant la guerre comme héroïque</w:t>
      </w:r>
      <w:bookmarkEnd w:id="334"/>
    </w:p>
    <w:p w14:paraId="3D980979" w14:textId="77777777" w:rsidR="00516D97" w:rsidRDefault="00516D97" w:rsidP="00516D97">
      <w:pPr>
        <w:spacing w:after="0" w:line="240" w:lineRule="auto"/>
        <w:jc w:val="both"/>
      </w:pPr>
    </w:p>
    <w:p w14:paraId="0CB046DE" w14:textId="4FBC0680" w:rsidR="00516D97" w:rsidRDefault="00516D97" w:rsidP="00516D97">
      <w:pPr>
        <w:spacing w:after="0" w:line="240" w:lineRule="auto"/>
        <w:jc w:val="both"/>
      </w:pPr>
      <w:r>
        <w:t xml:space="preserve">Il faut souvent remettre, </w:t>
      </w:r>
      <w:r w:rsidRPr="00F762EF">
        <w:rPr>
          <w:i/>
          <w:iCs/>
        </w:rPr>
        <w:t>en face des trous, les yeux des personnes hypnotisées par ce genre de discours</w:t>
      </w:r>
      <w:r>
        <w:t>. Il faut déconstruire le discours qui présente la guerre comme belle et souhaitable</w:t>
      </w:r>
      <w:r w:rsidR="00F762EF">
        <w:t xml:space="preserve"> et la solution miracle à tous les problèmes</w:t>
      </w:r>
      <w:r>
        <w:t>.</w:t>
      </w:r>
    </w:p>
    <w:p w14:paraId="619B794E" w14:textId="77777777" w:rsidR="00516D97" w:rsidRDefault="00516D97" w:rsidP="00516D97">
      <w:pPr>
        <w:spacing w:after="0" w:line="240" w:lineRule="auto"/>
        <w:jc w:val="both"/>
      </w:pPr>
    </w:p>
    <w:p w14:paraId="24898A31" w14:textId="72E6A639" w:rsidR="00516D97" w:rsidRDefault="00516D97" w:rsidP="00516D97">
      <w:pPr>
        <w:spacing w:after="0" w:line="240" w:lineRule="auto"/>
        <w:jc w:val="both"/>
      </w:pPr>
      <w:r>
        <w:t>En effet, p</w:t>
      </w:r>
      <w:r w:rsidRPr="001177C2">
        <w:t>ar ses discours enflammés, le populiste</w:t>
      </w:r>
      <w:r>
        <w:t xml:space="preserve"> belliciste</w:t>
      </w:r>
      <w:r w:rsidRPr="001177C2">
        <w:t xml:space="preserve"> enferme ses ouail</w:t>
      </w:r>
      <w:r>
        <w:t>l</w:t>
      </w:r>
      <w:r w:rsidRPr="001177C2">
        <w:t>es dans un imaginaire épique du sacrifice, de guerres glorieuses et victorieuses, de l’héroïsme et de la mort</w:t>
      </w:r>
      <w:r>
        <w:t>,</w:t>
      </w:r>
      <w:r w:rsidRPr="001177C2">
        <w:t xml:space="preserve"> qui mènent au Paradis, </w:t>
      </w:r>
      <w:r w:rsidRPr="00F762EF">
        <w:rPr>
          <w:i/>
          <w:iCs/>
        </w:rPr>
        <w:t>en occultant</w:t>
      </w:r>
      <w:r w:rsidRPr="001177C2">
        <w:t xml:space="preserve">, </w:t>
      </w:r>
      <w:r w:rsidR="00F762EF">
        <w:t>par</w:t>
      </w:r>
      <w:r w:rsidRPr="001177C2">
        <w:t xml:space="preserve"> </w:t>
      </w:r>
      <w:r w:rsidR="00F762EF">
        <w:t>ces</w:t>
      </w:r>
      <w:r>
        <w:t xml:space="preserve"> mythe</w:t>
      </w:r>
      <w:r w:rsidR="00F762EF">
        <w:t>s</w:t>
      </w:r>
      <w:r w:rsidRPr="001177C2">
        <w:t xml:space="preserve"> guerr</w:t>
      </w:r>
      <w:r>
        <w:t>iers</w:t>
      </w:r>
      <w:r w:rsidRPr="001177C2">
        <w:t xml:space="preserve">, </w:t>
      </w:r>
      <w:r w:rsidRPr="00F762EF">
        <w:rPr>
          <w:i/>
          <w:iCs/>
        </w:rPr>
        <w:t>tous les crimes commis, durant les guerres</w:t>
      </w:r>
      <w:r w:rsidRPr="001177C2">
        <w:t>.</w:t>
      </w:r>
      <w:r>
        <w:t xml:space="preserve"> Lors des celles-ci, la plupart des valeurs morales (solidarité, amour, compassion, générosité …) sont sacrifiées et inversées/renversées, jusqu’à présenter la vengeance comme sacrée, purificatrice et non pas destructrice.</w:t>
      </w:r>
    </w:p>
    <w:p w14:paraId="7E5BD201" w14:textId="77777777" w:rsidR="00F762EF" w:rsidRDefault="00F762EF" w:rsidP="00516D97">
      <w:pPr>
        <w:spacing w:after="0" w:line="240" w:lineRule="auto"/>
        <w:jc w:val="both"/>
      </w:pPr>
    </w:p>
    <w:p w14:paraId="1EAF6E23" w14:textId="1583DA56" w:rsidR="00516D97" w:rsidRDefault="00516D97" w:rsidP="00516D97">
      <w:pPr>
        <w:spacing w:after="0" w:line="240" w:lineRule="auto"/>
        <w:jc w:val="both"/>
      </w:pPr>
      <w:r>
        <w:t>Ce discours populiste sacralise, présente comme rédempteurs, la guerre le martyr, le sacrifice de sa vie pour la cause de la religion et du prophète, le courage au combat (considérés comme purs, légitimes, …).</w:t>
      </w:r>
    </w:p>
    <w:p w14:paraId="127847F0" w14:textId="77777777" w:rsidR="00F762EF" w:rsidRDefault="00F762EF" w:rsidP="00516D97">
      <w:pPr>
        <w:spacing w:after="0" w:line="240" w:lineRule="auto"/>
        <w:jc w:val="both"/>
      </w:pPr>
    </w:p>
    <w:p w14:paraId="493BE8AE" w14:textId="23947C7B" w:rsidR="00516D97" w:rsidRDefault="00516D97" w:rsidP="00516D97">
      <w:pPr>
        <w:spacing w:after="0" w:line="240" w:lineRule="auto"/>
        <w:jc w:val="both"/>
      </w:pPr>
      <w:r>
        <w:t xml:space="preserve">Derrière la présentation morale, légitime, sacrée, des guerres, se dissimulent beaucoup d’actes « immoraux », peu « glorieux » et une absence de garde-fous moraux : </w:t>
      </w:r>
      <w:r w:rsidRPr="00F762EF">
        <w:rPr>
          <w:i/>
          <w:iCs/>
        </w:rPr>
        <w:t>menaces, intimidations, exécutions (extra-judiciaires), tortures, terrorisme, délations, trahisons, ruses, espionnages, pillages, massacres, rackets, martyrs kamikazes</w:t>
      </w:r>
      <w:r>
        <w:t>, …</w:t>
      </w:r>
    </w:p>
    <w:p w14:paraId="1A5A28EA" w14:textId="77777777" w:rsidR="00516D97" w:rsidRDefault="00516D97" w:rsidP="00516D97">
      <w:pPr>
        <w:spacing w:after="0" w:line="240" w:lineRule="auto"/>
        <w:jc w:val="both"/>
      </w:pPr>
    </w:p>
    <w:p w14:paraId="0FE05A59" w14:textId="77777777" w:rsidR="00516D97" w:rsidRDefault="00516D97" w:rsidP="00516D97">
      <w:pPr>
        <w:spacing w:after="0" w:line="240" w:lineRule="auto"/>
        <w:jc w:val="both"/>
      </w:pPr>
      <w:r>
        <w:t>Les adeptes sectaires, agressifs, belliqueux se posent toujours en victimes et sont enfermés dans une bonne conscience irresponsables, sans jamais percevoir les souffrances qu’ils infligent aux autres.</w:t>
      </w:r>
    </w:p>
    <w:p w14:paraId="2CF6CACB" w14:textId="77777777" w:rsidR="00516D97" w:rsidRDefault="00516D97" w:rsidP="00516D97">
      <w:pPr>
        <w:spacing w:after="0" w:line="240" w:lineRule="auto"/>
        <w:jc w:val="both"/>
      </w:pPr>
    </w:p>
    <w:p w14:paraId="12CEAC02" w14:textId="77777777" w:rsidR="00516D97" w:rsidRDefault="00516D97" w:rsidP="00516D97">
      <w:pPr>
        <w:spacing w:after="0" w:line="240" w:lineRule="auto"/>
        <w:jc w:val="both"/>
      </w:pPr>
      <w:r>
        <w:t xml:space="preserve">Il faut alors faire comprendre aux adeptes de la « guerre sacrée » que </w:t>
      </w:r>
      <w:r w:rsidRPr="00F762EF">
        <w:rPr>
          <w:i/>
          <w:iCs/>
        </w:rPr>
        <w:t>les guerres provoquent des souffrances morales et physiques durables, de multiples syndromes de stress post-traumatiques, à vie, des morts, des mutilations, des handicaps à vie, la perte d’êtres chers, des pleurs, de douleurs, des ravages, des dégâts, des destructions souvent irréversibles (de biens, de chefs d’œuvre, de l’environnement, de ressources naturelles …), l’appauvrissement économique des pays, des régions, des personnes, le ressentiment et l’humiliation des vaincus, leurs désirs de vengeances et de rétorsion ou de vendettas, dans un cercle vicieux et dans une escalade, sans fin.</w:t>
      </w:r>
    </w:p>
    <w:p w14:paraId="5E5E3228" w14:textId="77777777" w:rsidR="00A606D5" w:rsidRDefault="00A606D5" w:rsidP="00516D97">
      <w:pPr>
        <w:spacing w:after="0" w:line="240" w:lineRule="auto"/>
        <w:jc w:val="both"/>
      </w:pPr>
    </w:p>
    <w:p w14:paraId="0CF44733" w14:textId="77777777" w:rsidR="00516D97" w:rsidRDefault="00516D97" w:rsidP="00516D97">
      <w:pPr>
        <w:spacing w:after="0" w:line="240" w:lineRule="auto"/>
        <w:jc w:val="both"/>
      </w:pPr>
      <w:r w:rsidRPr="0050726C">
        <w:t>Il a souvent la croyance irrationnelle que</w:t>
      </w:r>
      <w:r>
        <w:t xml:space="preserve"> toute</w:t>
      </w:r>
      <w:r w:rsidRPr="0050726C">
        <w:t xml:space="preserve"> situation</w:t>
      </w:r>
      <w:r>
        <w:t xml:space="preserve"> bloquée,</w:t>
      </w:r>
      <w:r w:rsidRPr="0050726C">
        <w:t xml:space="preserve"> de désespoir</w:t>
      </w:r>
      <w:r>
        <w:t>, de crise</w:t>
      </w:r>
      <w:r w:rsidRPr="0050726C">
        <w:t>, d'impasse pourr</w:t>
      </w:r>
      <w:r>
        <w:t>a</w:t>
      </w:r>
      <w:r w:rsidRPr="0050726C">
        <w:t xml:space="preserve"> être résolu</w:t>
      </w:r>
      <w:r>
        <w:t>e</w:t>
      </w:r>
      <w:r w:rsidRPr="0050726C">
        <w:t xml:space="preserve"> par </w:t>
      </w:r>
      <w:r>
        <w:t xml:space="preserve">la solution miracle d’un bonne </w:t>
      </w:r>
      <w:r w:rsidRPr="0050726C">
        <w:t>guerre</w:t>
      </w:r>
      <w:r>
        <w:t>, si possible rapide</w:t>
      </w:r>
      <w:r w:rsidRPr="0050726C">
        <w:t xml:space="preserve"> (un peu comme</w:t>
      </w:r>
      <w:r>
        <w:t xml:space="preserve"> le</w:t>
      </w:r>
      <w:r w:rsidRPr="0050726C">
        <w:t xml:space="preserve"> joueur </w:t>
      </w:r>
      <w:r>
        <w:t>de</w:t>
      </w:r>
      <w:r w:rsidRPr="0050726C">
        <w:t xml:space="preserve"> casino qui</w:t>
      </w:r>
      <w:r>
        <w:t xml:space="preserve"> croient irrationnellement qu’en</w:t>
      </w:r>
      <w:r w:rsidRPr="0050726C">
        <w:t xml:space="preserve"> mis</w:t>
      </w:r>
      <w:r>
        <w:t>ant gros, il va</w:t>
      </w:r>
      <w:r w:rsidRPr="0050726C">
        <w:t xml:space="preserve"> se refaire).</w:t>
      </w:r>
      <w:r>
        <w:t xml:space="preserve"> </w:t>
      </w:r>
    </w:p>
    <w:p w14:paraId="125C2D7F" w14:textId="77777777" w:rsidR="00516D97" w:rsidRDefault="00516D97" w:rsidP="00516D97">
      <w:pPr>
        <w:spacing w:after="0" w:line="240" w:lineRule="auto"/>
        <w:jc w:val="both"/>
      </w:pPr>
      <w:r>
        <w:t>Or « </w:t>
      </w:r>
      <w:r w:rsidRPr="00B3515B">
        <w:rPr>
          <w:i/>
          <w:iCs/>
        </w:rPr>
        <w:t>On fait la guerre quand on veut, on la termine quand on peut</w:t>
      </w:r>
      <w:r>
        <w:t> », Machiavel</w:t>
      </w:r>
      <w:r>
        <w:rPr>
          <w:rStyle w:val="Appelnotedebasdep"/>
        </w:rPr>
        <w:footnoteReference w:id="241"/>
      </w:r>
      <w:r>
        <w:t>.</w:t>
      </w:r>
    </w:p>
    <w:p w14:paraId="754A1CED" w14:textId="77777777" w:rsidR="00516D97" w:rsidRDefault="00516D97" w:rsidP="00516D97">
      <w:pPr>
        <w:spacing w:after="0" w:line="240" w:lineRule="auto"/>
        <w:jc w:val="both"/>
      </w:pPr>
    </w:p>
    <w:p w14:paraId="3744AE5A" w14:textId="77777777" w:rsidR="00516D97" w:rsidRDefault="00516D97" w:rsidP="00516D97">
      <w:pPr>
        <w:spacing w:after="0" w:line="240" w:lineRule="auto"/>
        <w:jc w:val="both"/>
      </w:pPr>
      <w:r w:rsidRPr="0050726C">
        <w:t>Kamel Daoud rappelle</w:t>
      </w:r>
      <w:r>
        <w:t>, dans un article</w:t>
      </w:r>
      <w:r w:rsidRPr="0050726C">
        <w:t>, au sujet des guerres, 1) sur les champs de bataille, "l'odeur de décomposition des entrailles à l’air", 2) leurs immenses coûts humains et économiques</w:t>
      </w:r>
      <w:r>
        <w:t xml:space="preserve"> (par leurs destructions économiques, elles ne sont souvent aucunement bénéfiques et économiquement rentables, à long terme)</w:t>
      </w:r>
      <w:r>
        <w:rPr>
          <w:rStyle w:val="Appelnotedebasdep"/>
        </w:rPr>
        <w:footnoteReference w:id="242"/>
      </w:r>
      <w:r w:rsidRPr="0050726C">
        <w:t>.</w:t>
      </w:r>
    </w:p>
    <w:p w14:paraId="483AF10B" w14:textId="77777777" w:rsidR="00516D97" w:rsidRDefault="00516D97" w:rsidP="00516D97">
      <w:pPr>
        <w:spacing w:after="0" w:line="240" w:lineRule="auto"/>
        <w:jc w:val="both"/>
      </w:pPr>
      <w:r>
        <w:t>Souvent, on fait la guerre contre des gens qu’on diabolise, mais qu’en fait, l’on ne connait pas</w:t>
      </w:r>
      <w:r>
        <w:rPr>
          <w:rStyle w:val="Appelnotedebasdep"/>
        </w:rPr>
        <w:footnoteReference w:id="243"/>
      </w:r>
      <w:r>
        <w:t>.</w:t>
      </w:r>
    </w:p>
    <w:p w14:paraId="183E19BA" w14:textId="77777777" w:rsidR="00516D97" w:rsidRDefault="00516D97" w:rsidP="00516D97">
      <w:pPr>
        <w:spacing w:after="0" w:line="240" w:lineRule="auto"/>
        <w:jc w:val="both"/>
      </w:pPr>
    </w:p>
    <w:p w14:paraId="216DA92C" w14:textId="77777777" w:rsidR="00516D97" w:rsidRDefault="00516D97" w:rsidP="00516D97">
      <w:pPr>
        <w:spacing w:after="0" w:line="240" w:lineRule="auto"/>
        <w:jc w:val="both"/>
      </w:pPr>
      <w:r>
        <w:t>Que la balance entre avantages et inconvénients d’une guerre penche régulièrement dans le sens de son désavantage. En fait, les guerres hypothèquent souvent l’avenir des peuples et des pays.</w:t>
      </w:r>
    </w:p>
    <w:p w14:paraId="06FFC418" w14:textId="77777777" w:rsidR="00516D97" w:rsidRDefault="00516D97" w:rsidP="00516D97">
      <w:pPr>
        <w:spacing w:after="0" w:line="240" w:lineRule="auto"/>
        <w:jc w:val="both"/>
      </w:pPr>
    </w:p>
    <w:p w14:paraId="1D128EA8" w14:textId="77777777" w:rsidR="00516D97" w:rsidRPr="009104E0" w:rsidRDefault="00516D97" w:rsidP="00516D97">
      <w:pPr>
        <w:pStyle w:val="Titre2"/>
      </w:pPr>
      <w:bookmarkStart w:id="335" w:name="_Toc139181626"/>
      <w:r>
        <w:t>Le cas extrême du désir de v</w:t>
      </w:r>
      <w:r w:rsidRPr="009104E0">
        <w:t>engeance</w:t>
      </w:r>
      <w:r>
        <w:t xml:space="preserve"> extrême et</w:t>
      </w:r>
      <w:r w:rsidRPr="009104E0">
        <w:t xml:space="preserve"> inextinguible</w:t>
      </w:r>
      <w:bookmarkEnd w:id="335"/>
    </w:p>
    <w:p w14:paraId="328EFFF7" w14:textId="77777777" w:rsidR="00D4253F" w:rsidRDefault="00D4253F" w:rsidP="00D4253F">
      <w:pPr>
        <w:spacing w:after="0" w:line="240" w:lineRule="auto"/>
        <w:jc w:val="both"/>
      </w:pPr>
    </w:p>
    <w:p w14:paraId="32FE64B3" w14:textId="77777777" w:rsidR="00D4253F" w:rsidRDefault="00D4253F" w:rsidP="00D4253F">
      <w:pPr>
        <w:spacing w:after="0" w:line="240" w:lineRule="auto"/>
        <w:jc w:val="both"/>
      </w:pPr>
      <w:r w:rsidRPr="00A606D5">
        <w:t xml:space="preserve">Selon un ami, Yves Montenay, démographe, </w:t>
      </w:r>
      <w:r>
        <w:t>« </w:t>
      </w:r>
      <w:r w:rsidRPr="00A606D5">
        <w:rPr>
          <w:i/>
          <w:iCs/>
        </w:rPr>
        <w:t xml:space="preserve">le terrorisme rend la guerre plus cruelle que la guerre "normale", mais comme c'est un moyen puissant, on l'utilise. En Algérie, tous les camps en ont usé. J'étais particulièrement navré par l'argument « l'autre me tue, donc j'ai raison [de </w:t>
      </w:r>
      <w:r>
        <w:rPr>
          <w:i/>
          <w:iCs/>
        </w:rPr>
        <w:t xml:space="preserve">le </w:t>
      </w:r>
      <w:r w:rsidRPr="00A606D5">
        <w:rPr>
          <w:i/>
          <w:iCs/>
        </w:rPr>
        <w:t>tuer à mon tour] » et les représailles et contre-représailles à l'infini. Il paraît qu'en Europe centrale, les troupes turques fracassaient la tête de bébés sur les murs pour terroriser la population jusqu'au XVIIIe siècle</w:t>
      </w:r>
      <w:r>
        <w:t> ». Cette arme de terreur et de vengeance de « </w:t>
      </w:r>
      <w:r w:rsidRPr="003D3FB7">
        <w:rPr>
          <w:i/>
          <w:iCs/>
        </w:rPr>
        <w:t>fracasser la tête des bébés contre les murs</w:t>
      </w:r>
      <w:r>
        <w:t xml:space="preserve"> » a été employée dans de nombreuses guerres, par des troupes coloniales (à </w:t>
      </w:r>
      <w:r w:rsidRPr="00750586">
        <w:t>Zaatcha</w:t>
      </w:r>
      <w:r>
        <w:t>, en Algérie, en 1849 …), durant la guerre civile en Algérie (durant les années 90, ou années de plomb), par les nazis ou lors de génocides etc.</w:t>
      </w:r>
    </w:p>
    <w:p w14:paraId="6BF796E0" w14:textId="77777777" w:rsidR="00516D97" w:rsidRDefault="00516D97" w:rsidP="00516D97">
      <w:pPr>
        <w:spacing w:after="0" w:line="240" w:lineRule="auto"/>
        <w:jc w:val="both"/>
      </w:pPr>
    </w:p>
    <w:p w14:paraId="598F1B94" w14:textId="77777777" w:rsidR="001C0511" w:rsidRDefault="00516D97" w:rsidP="00516D97">
      <w:pPr>
        <w:spacing w:after="0" w:line="240" w:lineRule="auto"/>
        <w:jc w:val="both"/>
        <w:rPr>
          <w:i/>
          <w:iCs/>
        </w:rPr>
      </w:pPr>
      <w:r>
        <w:t>Dans les massacres, génocides et « purifications ethniques », on observe souvent des cas « </w:t>
      </w:r>
      <w:r w:rsidRPr="003E2ECE">
        <w:rPr>
          <w:i/>
          <w:iCs/>
        </w:rPr>
        <w:t>de violence ou de cruaut</w:t>
      </w:r>
      <w:r w:rsidR="001C0511">
        <w:rPr>
          <w:i/>
          <w:iCs/>
        </w:rPr>
        <w:t xml:space="preserve">é </w:t>
      </w:r>
    </w:p>
    <w:p w14:paraId="245FA4A2" w14:textId="1C866808" w:rsidR="001C0511" w:rsidRDefault="001C0511" w:rsidP="00516D97">
      <w:pPr>
        <w:spacing w:after="0" w:line="240" w:lineRule="auto"/>
        <w:jc w:val="both"/>
      </w:pPr>
      <w:r>
        <w:rPr>
          <w:i/>
          <w:iCs/>
        </w:rPr>
        <w:t xml:space="preserve">   </w:t>
      </w:r>
      <w:r w:rsidR="00516D97" w:rsidRPr="003E2ECE">
        <w:rPr>
          <w:i/>
          <w:iCs/>
        </w:rPr>
        <w:t>jusqu’au-boutistes, extrêmes ou excessives</w:t>
      </w:r>
      <w:r w:rsidR="00516D97" w:rsidRPr="00DF016F">
        <w:t xml:space="preserve"> »</w:t>
      </w:r>
      <w:r w:rsidR="009C7F63">
        <w:t>, de violence extrême</w:t>
      </w:r>
      <w:r w:rsidR="009C7F63">
        <w:rPr>
          <w:rStyle w:val="Appelnotedebasdep"/>
        </w:rPr>
        <w:footnoteReference w:id="244"/>
      </w:r>
      <w:r w:rsidR="009C7F63">
        <w:t xml:space="preserve">, </w:t>
      </w:r>
      <w:r w:rsidR="00516D97">
        <w:t xml:space="preserve"> (en anglais, on parle aussi « d’overkill »,</w:t>
      </w:r>
      <w:r w:rsidR="009C7F63">
        <w:t xml:space="preserve"> </w:t>
      </w:r>
    </w:p>
    <w:p w14:paraId="7FB29170" w14:textId="462873A0" w:rsidR="001C0511" w:rsidRDefault="001C0511" w:rsidP="00516D97">
      <w:pPr>
        <w:spacing w:after="0" w:line="240" w:lineRule="auto"/>
        <w:jc w:val="both"/>
      </w:pPr>
      <w:r>
        <w:t xml:space="preserve">   </w:t>
      </w:r>
      <w:r w:rsidR="00516D97">
        <w:t xml:space="preserve">de </w:t>
      </w:r>
      <w:r w:rsidR="00516D97" w:rsidRPr="00DF016F">
        <w:t xml:space="preserve">capacité de </w:t>
      </w:r>
      <w:r w:rsidR="00516D97">
        <w:t>« </w:t>
      </w:r>
      <w:r w:rsidR="00516D97" w:rsidRPr="00DF016F">
        <w:t>sur</w:t>
      </w:r>
      <w:r w:rsidR="00516D97">
        <w:t>-</w:t>
      </w:r>
      <w:r w:rsidR="00516D97" w:rsidRPr="00DF016F">
        <w:t>extermination</w:t>
      </w:r>
      <w:r w:rsidR="00516D97">
        <w:t xml:space="preserve"> », d’acharnement jusqu’au-boutiste …), qui n’ont pas aucune </w:t>
      </w:r>
    </w:p>
    <w:p w14:paraId="4FFE7CAE" w14:textId="02B83A42" w:rsidR="00CC1F4F" w:rsidRDefault="001C0511" w:rsidP="00516D97">
      <w:pPr>
        <w:spacing w:after="0" w:line="240" w:lineRule="auto"/>
        <w:jc w:val="both"/>
      </w:pPr>
      <w:r>
        <w:t xml:space="preserve">   </w:t>
      </w:r>
      <w:r w:rsidR="00516D97">
        <w:t xml:space="preserve">motivation rationnelle. </w:t>
      </w:r>
    </w:p>
    <w:p w14:paraId="582B986C" w14:textId="66B0073E" w:rsidR="00CC1F4F" w:rsidRDefault="001C0511" w:rsidP="00516D97">
      <w:pPr>
        <w:spacing w:after="0" w:line="240" w:lineRule="auto"/>
        <w:jc w:val="both"/>
      </w:pPr>
      <w:r>
        <w:t xml:space="preserve">   </w:t>
      </w:r>
      <w:r w:rsidR="00516D97">
        <w:t xml:space="preserve">Les bourreaux s’acharnent sur leur victimes, en continuant à les mutiler, même après leur mort, à humilier, </w:t>
      </w:r>
    </w:p>
    <w:p w14:paraId="77550843" w14:textId="4FE84406" w:rsidR="00CC1F4F" w:rsidRDefault="001C0511" w:rsidP="00516D97">
      <w:pPr>
        <w:spacing w:after="0" w:line="240" w:lineRule="auto"/>
        <w:jc w:val="both"/>
      </w:pPr>
      <w:r>
        <w:t xml:space="preserve">   </w:t>
      </w:r>
      <w:r w:rsidR="00516D97">
        <w:t xml:space="preserve">« salir » symboliquement les cadavres. Le but « terroriste » est, en général, de terroriser les ennemis. Mais </w:t>
      </w:r>
    </w:p>
    <w:p w14:paraId="75E9E04D" w14:textId="1B668959" w:rsidR="00CC1F4F" w:rsidRDefault="00E44CDF" w:rsidP="00516D97">
      <w:pPr>
        <w:spacing w:after="0" w:line="240" w:lineRule="auto"/>
        <w:jc w:val="both"/>
      </w:pPr>
      <w:r>
        <w:t xml:space="preserve">  </w:t>
      </w:r>
      <w:r w:rsidR="00516D97">
        <w:t xml:space="preserve">certains bourreaux prennent progressivement </w:t>
      </w:r>
      <w:r w:rsidR="00516D97" w:rsidRPr="00847806">
        <w:rPr>
          <w:i/>
          <w:iCs/>
        </w:rPr>
        <w:t>goût au sang</w:t>
      </w:r>
      <w:r w:rsidR="00516D97">
        <w:t xml:space="preserve"> et se déchaînent dans la surenchère de l’horreur</w:t>
      </w:r>
      <w:r w:rsidR="00516D97">
        <w:rPr>
          <w:rStyle w:val="Appelnotedebasdep"/>
        </w:rPr>
        <w:footnoteReference w:id="245"/>
      </w:r>
      <w:r w:rsidR="00516D97">
        <w:t xml:space="preserve">. </w:t>
      </w:r>
    </w:p>
    <w:p w14:paraId="1463F308" w14:textId="667552B4" w:rsidR="00516D97" w:rsidRDefault="00516D97" w:rsidP="00516D97">
      <w:pPr>
        <w:spacing w:after="0" w:line="240" w:lineRule="auto"/>
        <w:jc w:val="both"/>
      </w:pPr>
      <w:r>
        <w:lastRenderedPageBreak/>
        <w:t>Laurence d’Arabie décrit ce processus, lié au désir de vengeance, dans les guerres, conduisant au « </w:t>
      </w:r>
      <w:r w:rsidRPr="00860085">
        <w:rPr>
          <w:i/>
          <w:iCs/>
        </w:rPr>
        <w:t>pas de quartier ! pas de prisonnier !</w:t>
      </w:r>
      <w:r>
        <w:t> »</w:t>
      </w:r>
      <w:r>
        <w:rPr>
          <w:rStyle w:val="Appelnotedebasdep"/>
        </w:rPr>
        <w:footnoteReference w:id="246"/>
      </w:r>
      <w:r>
        <w:t>. L</w:t>
      </w:r>
      <w:r w:rsidR="003E09DE">
        <w:t>e plus souvent,  l</w:t>
      </w:r>
      <w:r>
        <w:t>a guerre nourrit la guerre.</w:t>
      </w:r>
    </w:p>
    <w:p w14:paraId="1C8B337A" w14:textId="77777777" w:rsidR="00516D97" w:rsidRDefault="00516D97" w:rsidP="00516D97">
      <w:pPr>
        <w:spacing w:after="0" w:line="240" w:lineRule="auto"/>
        <w:jc w:val="both"/>
      </w:pPr>
      <w:r>
        <w:t>Il est donc important de réfuter ces discours « va-en-guerre », cette désinformation sur la réalité des guerres.</w:t>
      </w:r>
    </w:p>
    <w:p w14:paraId="49B12E4E" w14:textId="77777777" w:rsidR="00EA7131" w:rsidRDefault="00EA7131" w:rsidP="00134A85">
      <w:pPr>
        <w:spacing w:after="0" w:line="240" w:lineRule="auto"/>
        <w:jc w:val="both"/>
      </w:pPr>
    </w:p>
    <w:p w14:paraId="1FA61F0F" w14:textId="7F008C82" w:rsidR="005C7ADF" w:rsidRDefault="005C7ADF" w:rsidP="005C7ADF">
      <w:pPr>
        <w:pStyle w:val="Titre2"/>
      </w:pPr>
      <w:bookmarkStart w:id="336" w:name="_Toc139181627"/>
      <w:r>
        <w:t>Guerres, conflits, problèmes sécuritaires et conséquences</w:t>
      </w:r>
      <w:bookmarkEnd w:id="336"/>
    </w:p>
    <w:p w14:paraId="73B80615" w14:textId="3D9AF8A2" w:rsidR="007448EF" w:rsidRDefault="007448EF" w:rsidP="00134A85">
      <w:pPr>
        <w:spacing w:after="0" w:line="240" w:lineRule="auto"/>
        <w:jc w:val="both"/>
      </w:pPr>
    </w:p>
    <w:p w14:paraId="7D41292D" w14:textId="47731FA0" w:rsidR="007448EF" w:rsidRDefault="007448EF" w:rsidP="00134A85">
      <w:pPr>
        <w:spacing w:after="0" w:line="240" w:lineRule="auto"/>
        <w:jc w:val="both"/>
      </w:pPr>
      <w:r w:rsidRPr="007448EF">
        <w:t>De nombreux conflits mondiaux actuels et passés ont pour noyau central le manque d'eau. Cette carte</w:t>
      </w:r>
      <w:r>
        <w:t>, ci-dessous,</w:t>
      </w:r>
      <w:r w:rsidRPr="007448EF">
        <w:t xml:space="preserve"> illustre 466 d'entre eux qui se sont produits au cours des 10 dernières années et, sans surprise, ils se regroupent autour de régions arides</w:t>
      </w:r>
      <w:r w:rsidR="00F33120">
        <w:rPr>
          <w:rStyle w:val="Appelnotedebasdep"/>
        </w:rPr>
        <w:footnoteReference w:id="247"/>
      </w:r>
      <w:r w:rsidRPr="007448EF">
        <w:t>.</w:t>
      </w:r>
    </w:p>
    <w:p w14:paraId="410629C6" w14:textId="0D4C67A6" w:rsidR="007448EF" w:rsidRDefault="007448EF" w:rsidP="007448EF">
      <w:pPr>
        <w:spacing w:after="0" w:line="240" w:lineRule="auto"/>
        <w:jc w:val="center"/>
      </w:pPr>
      <w:r>
        <w:rPr>
          <w:noProof/>
        </w:rPr>
        <w:drawing>
          <wp:inline distT="0" distB="0" distL="0" distR="0" wp14:anchorId="6CD4DD08" wp14:editId="09D331EA">
            <wp:extent cx="6620510" cy="4018915"/>
            <wp:effectExtent l="0" t="0" r="8890" b="635"/>
            <wp:docPr id="47133" name="Image 47133"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33" name="Image 47133" descr="Une image contenant carte&#10;&#10;Description générée automatiquement"/>
                    <pic:cNvPicPr>
                      <a:picLocks noChangeAspect="1" noChangeArrowheads="1"/>
                    </pic:cNvPicPr>
                  </pic:nvPicPr>
                  <pic:blipFill>
                    <a:blip r:embed="rId3675">
                      <a:extLst>
                        <a:ext uri="{28A0092B-C50C-407E-A947-70E740481C1C}">
                          <a14:useLocalDpi xmlns:a14="http://schemas.microsoft.com/office/drawing/2010/main" val="0"/>
                        </a:ext>
                      </a:extLst>
                    </a:blip>
                    <a:srcRect/>
                    <a:stretch>
                      <a:fillRect/>
                    </a:stretch>
                  </pic:blipFill>
                  <pic:spPr bwMode="auto">
                    <a:xfrm>
                      <a:off x="0" y="0"/>
                      <a:ext cx="6620510" cy="4018915"/>
                    </a:xfrm>
                    <a:prstGeom prst="rect">
                      <a:avLst/>
                    </a:prstGeom>
                    <a:noFill/>
                    <a:ln>
                      <a:noFill/>
                    </a:ln>
                  </pic:spPr>
                </pic:pic>
              </a:graphicData>
            </a:graphic>
          </wp:inline>
        </w:drawing>
      </w:r>
    </w:p>
    <w:p w14:paraId="6B041D8D" w14:textId="77777777" w:rsidR="007448EF" w:rsidRDefault="007448EF" w:rsidP="00134A85">
      <w:pPr>
        <w:spacing w:after="0" w:line="240" w:lineRule="auto"/>
        <w:jc w:val="both"/>
      </w:pPr>
    </w:p>
    <w:p w14:paraId="0B234B80" w14:textId="61A02FBE" w:rsidR="005C7ADF" w:rsidRDefault="005C7ADF" w:rsidP="005C7ADF">
      <w:pPr>
        <w:pStyle w:val="Titre3"/>
      </w:pPr>
      <w:bookmarkStart w:id="337" w:name="_Toc139181628"/>
      <w:r>
        <w:t>Au Sahel</w:t>
      </w:r>
      <w:bookmarkEnd w:id="337"/>
    </w:p>
    <w:p w14:paraId="3E751201" w14:textId="461A6E4C" w:rsidR="00B800BB" w:rsidRDefault="00B800BB" w:rsidP="00134A85">
      <w:pPr>
        <w:spacing w:after="0" w:line="240" w:lineRule="auto"/>
        <w:jc w:val="both"/>
      </w:pPr>
    </w:p>
    <w:p w14:paraId="7F063252" w14:textId="47BAE910" w:rsidR="00B800BB" w:rsidRDefault="00B800BB" w:rsidP="00134A85">
      <w:pPr>
        <w:spacing w:after="0" w:line="240" w:lineRule="auto"/>
        <w:jc w:val="both"/>
      </w:pPr>
      <w:r w:rsidRPr="00B800BB">
        <w:t xml:space="preserve">A la date du 30 Juin 2021, le </w:t>
      </w:r>
      <w:r w:rsidRPr="00767B20">
        <w:rPr>
          <w:b/>
          <w:bCs/>
        </w:rPr>
        <w:t>Burkina Faso</w:t>
      </w:r>
      <w:r w:rsidRPr="00B800BB">
        <w:t xml:space="preserve"> connait une croissance du nombre de déplacés internes estimé à </w:t>
      </w:r>
      <w:r w:rsidRPr="00B800BB">
        <w:rPr>
          <w:i/>
          <w:iCs/>
        </w:rPr>
        <w:t>1 312 071</w:t>
      </w:r>
      <w:r w:rsidRPr="00B800BB">
        <w:t xml:space="preserve"> soit une augmentation de 4,7 % par rapport au mois précédent</w:t>
      </w:r>
      <w:r>
        <w:t xml:space="preserve">. </w:t>
      </w:r>
      <w:r w:rsidRPr="00B800BB">
        <w:t>Cette augmentation du nombre est due essentiellement à l’augmentation des incidents sécuritaires</w:t>
      </w:r>
      <w:r>
        <w:rPr>
          <w:rStyle w:val="Appelnotedebasdep"/>
        </w:rPr>
        <w:footnoteReference w:id="248"/>
      </w:r>
      <w:r w:rsidRPr="00B800BB">
        <w:t>.</w:t>
      </w:r>
    </w:p>
    <w:p w14:paraId="688BF489" w14:textId="77777777" w:rsidR="00767B20" w:rsidRDefault="00767B20" w:rsidP="00134A85">
      <w:pPr>
        <w:spacing w:after="0" w:line="240" w:lineRule="auto"/>
        <w:jc w:val="both"/>
      </w:pPr>
    </w:p>
    <w:p w14:paraId="5E5D3D20" w14:textId="22BC4DA3" w:rsidR="00B800BB" w:rsidRDefault="00767B20" w:rsidP="00B800BB">
      <w:pPr>
        <w:spacing w:after="0" w:line="240" w:lineRule="auto"/>
        <w:jc w:val="both"/>
      </w:pPr>
      <w:r w:rsidRPr="00767B20">
        <w:rPr>
          <w:b/>
          <w:bCs/>
        </w:rPr>
        <w:t>Tchad</w:t>
      </w:r>
      <w:r>
        <w:t xml:space="preserve"> : </w:t>
      </w:r>
      <w:r w:rsidR="00B800BB">
        <w:t xml:space="preserve">Selon les derniers résultats de la matrice de suivi des déplacements de l'Organisation internationale pour les migrations (Round 14), publiée en avril 2021, près de </w:t>
      </w:r>
      <w:r w:rsidR="00B800BB" w:rsidRPr="00767B20">
        <w:rPr>
          <w:i/>
          <w:iCs/>
        </w:rPr>
        <w:t>460 000</w:t>
      </w:r>
      <w:r w:rsidR="00B800BB">
        <w:t xml:space="preserve"> personnes sont déplacées dans la province du Lac à </w:t>
      </w:r>
      <w:r w:rsidR="00B800BB">
        <w:lastRenderedPageBreak/>
        <w:t>cause de l'insécurité causée par les groupes armés non-étatiques (GANE) et les phénomènes météorologiques extrêmes tels que les inondations et la sécheresse. Une hausse de plus de 53% comparé aux résultats d'avril 2020</w:t>
      </w:r>
      <w:r w:rsidR="00B800BB">
        <w:rPr>
          <w:rStyle w:val="Appelnotedebasdep"/>
        </w:rPr>
        <w:footnoteReference w:id="249"/>
      </w:r>
      <w:r w:rsidR="00B800BB">
        <w:t>.</w:t>
      </w:r>
    </w:p>
    <w:p w14:paraId="31A6E3F2" w14:textId="5AADE924" w:rsidR="005C7ADF" w:rsidRDefault="00B800BB" w:rsidP="00134A85">
      <w:pPr>
        <w:spacing w:after="0" w:line="240" w:lineRule="auto"/>
        <w:jc w:val="both"/>
      </w:pPr>
      <w:r w:rsidRPr="00B800BB">
        <w:t xml:space="preserve">Le nombre de personnes déplacées internes (PDIs), au </w:t>
      </w:r>
      <w:r w:rsidRPr="00767B20">
        <w:rPr>
          <w:b/>
          <w:bCs/>
        </w:rPr>
        <w:t>Mali</w:t>
      </w:r>
      <w:r w:rsidRPr="00B800BB">
        <w:t xml:space="preserve">, est de </w:t>
      </w:r>
      <w:r w:rsidRPr="00B800BB">
        <w:rPr>
          <w:i/>
          <w:iCs/>
        </w:rPr>
        <w:t>377 781</w:t>
      </w:r>
      <w:r w:rsidRPr="00B800BB">
        <w:t xml:space="preserve"> en juillet 2021. Cependant, entre mai et juillet 2021, des violences variées ont continué à être signalées dans les régions de Mopti, Ségou, Tombouctou et Gao. En effet, ces violences ont provoqué la fuite de populations de leurs villages et hameaux pour trouver refuge dans des localités desdites régions où la situation sécuritaire semble plus calme</w:t>
      </w:r>
      <w:r>
        <w:rPr>
          <w:rStyle w:val="Appelnotedebasdep"/>
        </w:rPr>
        <w:footnoteReference w:id="250"/>
      </w:r>
      <w:r w:rsidRPr="00B800BB">
        <w:t>.</w:t>
      </w:r>
    </w:p>
    <w:p w14:paraId="3ACD0DAD" w14:textId="77777777" w:rsidR="00767B20" w:rsidRDefault="00767B20" w:rsidP="00134A85">
      <w:pPr>
        <w:spacing w:after="0" w:line="240" w:lineRule="auto"/>
        <w:jc w:val="both"/>
      </w:pPr>
    </w:p>
    <w:p w14:paraId="5CD5E3D7" w14:textId="2CFB2BD3" w:rsidR="00F02398" w:rsidRDefault="00F02398" w:rsidP="00134A85">
      <w:pPr>
        <w:spacing w:after="0" w:line="240" w:lineRule="auto"/>
        <w:jc w:val="both"/>
      </w:pPr>
      <w:r w:rsidRPr="00F02398">
        <w:t xml:space="preserve">Au 25 août 2021, au Niger, il y avait 3,8 millions de personnes dans le besoin, 2 millions en situation d'insécurité alimentaire, </w:t>
      </w:r>
      <w:r w:rsidRPr="00767B20">
        <w:rPr>
          <w:i/>
          <w:iCs/>
        </w:rPr>
        <w:t>313.000</w:t>
      </w:r>
      <w:r w:rsidRPr="00F02398">
        <w:t xml:space="preserve"> personnes déplacées à l'intérieur du pays, </w:t>
      </w:r>
      <w:r w:rsidRPr="00767B20">
        <w:rPr>
          <w:i/>
          <w:iCs/>
        </w:rPr>
        <w:t>234.000</w:t>
      </w:r>
      <w:r w:rsidRPr="00F02398">
        <w:t xml:space="preserve"> réfugiés</w:t>
      </w:r>
      <w:r>
        <w:rPr>
          <w:rStyle w:val="Appelnotedebasdep"/>
        </w:rPr>
        <w:footnoteReference w:id="251"/>
      </w:r>
      <w:r w:rsidRPr="00F02398">
        <w:t>.</w:t>
      </w:r>
    </w:p>
    <w:p w14:paraId="65576D4D" w14:textId="6609105E" w:rsidR="00F02398" w:rsidRDefault="00F02398" w:rsidP="00134A85">
      <w:pPr>
        <w:spacing w:after="0" w:line="240" w:lineRule="auto"/>
        <w:jc w:val="both"/>
      </w:pPr>
    </w:p>
    <w:p w14:paraId="04C5C77C" w14:textId="3C8A7917" w:rsidR="00F02398" w:rsidRDefault="00F02398" w:rsidP="00134A85">
      <w:pPr>
        <w:spacing w:after="0" w:line="240" w:lineRule="auto"/>
        <w:jc w:val="both"/>
      </w:pPr>
      <w:r w:rsidRPr="00F02398">
        <w:t xml:space="preserve">Au 31 août 2021, </w:t>
      </w:r>
      <w:r w:rsidRPr="00F02398">
        <w:rPr>
          <w:i/>
          <w:iCs/>
        </w:rPr>
        <w:t>4 120 352</w:t>
      </w:r>
      <w:r w:rsidRPr="00F02398">
        <w:t xml:space="preserve"> est le nombre de réfugiés, de demandeurs d'asile, de réfugiés rapatriés, de personnes déplacées à internes (PDI) et de PDI rapatriés</w:t>
      </w:r>
      <w:r w:rsidR="00434612">
        <w:t xml:space="preserve">, au </w:t>
      </w:r>
      <w:r w:rsidR="00434612" w:rsidRPr="00434612">
        <w:rPr>
          <w:b/>
          <w:bCs/>
        </w:rPr>
        <w:t>Sahel</w:t>
      </w:r>
      <w:r w:rsidRPr="00F02398">
        <w:t>, tel que rapporté par les autorités nationales ou le HCR, dans le centre du Sahel (Burkina Faso, Mali, Niger), au Tchad et en Mauritanie</w:t>
      </w:r>
      <w:r>
        <w:rPr>
          <w:rStyle w:val="Appelnotedebasdep"/>
        </w:rPr>
        <w:footnoteReference w:id="252"/>
      </w:r>
      <w:r w:rsidRPr="00F02398">
        <w:t>.</w:t>
      </w:r>
    </w:p>
    <w:p w14:paraId="51557490" w14:textId="5665A09D" w:rsidR="00F02398" w:rsidRDefault="00F02398" w:rsidP="00134A85">
      <w:pPr>
        <w:spacing w:after="0" w:line="240" w:lineRule="auto"/>
        <w:jc w:val="both"/>
      </w:pPr>
    </w:p>
    <w:p w14:paraId="13CE26AB" w14:textId="6F23E975" w:rsidR="00F02398" w:rsidRPr="00F02398" w:rsidRDefault="00F02398" w:rsidP="00F02398">
      <w:pPr>
        <w:spacing w:after="0" w:line="240" w:lineRule="auto"/>
        <w:jc w:val="both"/>
        <w:rPr>
          <w:i/>
          <w:iCs/>
        </w:rPr>
      </w:pPr>
      <w:r>
        <w:t>Message de Alif Naaba Safiath : « </w:t>
      </w:r>
      <w:r w:rsidRPr="00F02398">
        <w:rPr>
          <w:i/>
          <w:iCs/>
        </w:rPr>
        <w:t xml:space="preserve">Ces dernières années, la situation sécuritaire au Sahel s’est dégradée avec la recrudescence des attaques armées. </w:t>
      </w:r>
    </w:p>
    <w:p w14:paraId="66AE2C76" w14:textId="77777777" w:rsidR="00F02398" w:rsidRPr="00F02398" w:rsidRDefault="00F02398" w:rsidP="00F02398">
      <w:pPr>
        <w:spacing w:after="0" w:line="240" w:lineRule="auto"/>
        <w:jc w:val="both"/>
        <w:rPr>
          <w:i/>
          <w:iCs/>
        </w:rPr>
      </w:pPr>
    </w:p>
    <w:p w14:paraId="7968E234" w14:textId="77777777" w:rsidR="00767B20" w:rsidRDefault="00F02398" w:rsidP="00F02398">
      <w:pPr>
        <w:spacing w:after="0" w:line="240" w:lineRule="auto"/>
        <w:jc w:val="both"/>
        <w:rPr>
          <w:i/>
          <w:iCs/>
        </w:rPr>
      </w:pPr>
      <w:r w:rsidRPr="00F02398">
        <w:rPr>
          <w:i/>
          <w:iCs/>
        </w:rPr>
        <w:t xml:space="preserve">Au Burkina Faso, Mali et Niger, l’insécurité et les déplacements n’ont fait que croitre et les chiffres sont effrayants : </w:t>
      </w:r>
    </w:p>
    <w:p w14:paraId="42EC8980" w14:textId="56759F30" w:rsidR="00F02398" w:rsidRPr="00F02398" w:rsidRDefault="00F02398" w:rsidP="00F02398">
      <w:pPr>
        <w:spacing w:after="0" w:line="240" w:lineRule="auto"/>
        <w:jc w:val="both"/>
        <w:rPr>
          <w:i/>
          <w:iCs/>
        </w:rPr>
      </w:pPr>
      <w:r w:rsidRPr="00F02398">
        <w:rPr>
          <w:i/>
          <w:iCs/>
        </w:rPr>
        <w:t xml:space="preserve">1, 4 millions de Personnes déplacées Internes et de réfugiés dont 55% représente les enfants. Entre 2015 et 2019, plus de 430 attaques ont été enregistrées, entraînant la fermeture de plus de 4000 écoles (dont plus de 2400 au Burkina Faso), laissant plus de 16000 enseignants et des centaines de milliers d'enfants incapables de continuer leurs cours. De nombreux enfants n’auront plus la chance de retourner à l’école ; leur droit le plus élémentaire ainsi bafoué, et seront exposés à toutes formes de pires violences avec le risque d’être enrôler par les groupes armés. </w:t>
      </w:r>
    </w:p>
    <w:p w14:paraId="0763DD27" w14:textId="77777777" w:rsidR="00F02398" w:rsidRPr="00F02398" w:rsidRDefault="00F02398" w:rsidP="00F02398">
      <w:pPr>
        <w:spacing w:after="0" w:line="240" w:lineRule="auto"/>
        <w:jc w:val="both"/>
        <w:rPr>
          <w:i/>
          <w:iCs/>
        </w:rPr>
      </w:pPr>
    </w:p>
    <w:p w14:paraId="1D27D8FE" w14:textId="77777777" w:rsidR="00F02398" w:rsidRPr="00F02398" w:rsidRDefault="00F02398" w:rsidP="00F02398">
      <w:pPr>
        <w:spacing w:after="0" w:line="240" w:lineRule="auto"/>
        <w:jc w:val="both"/>
        <w:rPr>
          <w:i/>
          <w:iCs/>
        </w:rPr>
      </w:pPr>
      <w:r w:rsidRPr="00F02398">
        <w:rPr>
          <w:i/>
          <w:iCs/>
        </w:rPr>
        <w:t xml:space="preserve">Au Burkina Faso, Mali et Niger, 1 enfant sur 2, de 6 à 14 ans ne partait pas à l’école à cause des problèmes structurels que connait le système éducatif et les raisons socio-économiques des ménages dont la pauvreté, le mariage d’enfant, etc. Toute chose qui met en risque l’avenir de nombreux enfants dans la région du Sahel. En plus de la chaine de violence qu’enregistre la région désormais du fait des multiples et récurrentes attaques, la Covid 19 est aussi venue exacerber la situation des enfants rendant encore plus complexe leurs conditions d’apprentissage. </w:t>
      </w:r>
    </w:p>
    <w:p w14:paraId="1CBC481D" w14:textId="77777777" w:rsidR="00F02398" w:rsidRPr="00F02398" w:rsidRDefault="00F02398" w:rsidP="00F02398">
      <w:pPr>
        <w:spacing w:after="0" w:line="240" w:lineRule="auto"/>
        <w:jc w:val="both"/>
        <w:rPr>
          <w:i/>
          <w:iCs/>
        </w:rPr>
      </w:pPr>
    </w:p>
    <w:p w14:paraId="6B607081" w14:textId="77777777" w:rsidR="00E947EF" w:rsidRDefault="00F02398" w:rsidP="009A54AE">
      <w:pPr>
        <w:spacing w:after="0" w:line="240" w:lineRule="auto"/>
        <w:ind w:firstLine="708"/>
        <w:jc w:val="both"/>
        <w:rPr>
          <w:i/>
          <w:iCs/>
        </w:rPr>
      </w:pPr>
      <w:r w:rsidRPr="00F02398">
        <w:rPr>
          <w:i/>
          <w:iCs/>
        </w:rPr>
        <w:t>Malgré la volonté politique de mettre fin à ce cycle de violence</w:t>
      </w:r>
      <w:r w:rsidR="00490DF3">
        <w:rPr>
          <w:i/>
          <w:iCs/>
        </w:rPr>
        <w:t xml:space="preserve">, </w:t>
      </w:r>
      <w:r w:rsidRPr="00F02398">
        <w:rPr>
          <w:i/>
          <w:iCs/>
        </w:rPr>
        <w:t>empêch</w:t>
      </w:r>
      <w:r w:rsidR="00490DF3">
        <w:rPr>
          <w:i/>
          <w:iCs/>
        </w:rPr>
        <w:t>ant</w:t>
      </w:r>
      <w:r w:rsidRPr="00F02398">
        <w:rPr>
          <w:i/>
          <w:iCs/>
        </w:rPr>
        <w:t xml:space="preserve"> les enfants d’apprendre, </w:t>
      </w:r>
    </w:p>
    <w:p w14:paraId="518337D7" w14:textId="77777777" w:rsidR="00E947EF" w:rsidRDefault="00F02398" w:rsidP="009A54AE">
      <w:pPr>
        <w:spacing w:after="0" w:line="240" w:lineRule="auto"/>
        <w:ind w:firstLine="708"/>
        <w:jc w:val="both"/>
        <w:rPr>
          <w:i/>
          <w:iCs/>
        </w:rPr>
      </w:pPr>
      <w:r w:rsidRPr="00F02398">
        <w:rPr>
          <w:i/>
          <w:iCs/>
        </w:rPr>
        <w:t xml:space="preserve">force est de constater que la situation des enfants ne m’améliore pas significativement. </w:t>
      </w:r>
    </w:p>
    <w:p w14:paraId="27F60605" w14:textId="1AE4BABC" w:rsidR="009A54AE" w:rsidRDefault="00F02398" w:rsidP="00E947EF">
      <w:pPr>
        <w:spacing w:after="0" w:line="240" w:lineRule="auto"/>
        <w:ind w:firstLine="708"/>
        <w:jc w:val="both"/>
        <w:rPr>
          <w:i/>
          <w:iCs/>
        </w:rPr>
      </w:pPr>
      <w:r w:rsidRPr="00F02398">
        <w:rPr>
          <w:i/>
          <w:iCs/>
        </w:rPr>
        <w:t xml:space="preserve">Si la situation du Sahel perdure, ce qui est fort probable, nous risquons de perdre une génération entière qui n’aura pas été éduquée. Il est urgent d’agir !    </w:t>
      </w:r>
    </w:p>
    <w:p w14:paraId="5A305713" w14:textId="3D516942" w:rsidR="00F02398" w:rsidRDefault="00F02398" w:rsidP="009A54AE">
      <w:pPr>
        <w:spacing w:after="0" w:line="240" w:lineRule="auto"/>
        <w:ind w:firstLine="708"/>
        <w:jc w:val="both"/>
      </w:pPr>
      <w:r w:rsidRPr="00F02398">
        <w:rPr>
          <w:i/>
          <w:iCs/>
        </w:rPr>
        <w:t>Pour ces milliers d’enfants, il ne leur reste plus que ce cri de cœur : « Je veux retourner à l’école », qu’ils lancent aux autorités du Burkina Faso, du Mali et du Niger leur demandant de faire de l’éducation en urgence une priorité, protéger les écoles et mettre en œuvre la déclaration sur la sécurité dans les écoles afin de leur permettre d’apprendre dans un environnement sain et sécurisé. Investir dans l'éducation pendant les situations d'urgence aide à briser le cycle des conflits et à instaurer une paix à long terme. Elle permet de promouvoir la tolérance, la paix et la réconciliation et constitue surtout l’unique moyen de ne pas compromettre les chances des enfants d’acquérir les connaissances et les compétences dont ils auront besoin pour reconstruire leurs sociétés, les développer et les maintenir pacifiques et prospères</w:t>
      </w:r>
      <w:r>
        <w:t> » (Information transmise par Claire-Marie-Madeleine Péhi-Verny</w:t>
      </w:r>
      <w:r w:rsidR="00985F8B">
        <w:t>, actrice humanitaire au Burkina Fasso</w:t>
      </w:r>
      <w:r>
        <w:t>).</w:t>
      </w:r>
    </w:p>
    <w:p w14:paraId="20E98A62" w14:textId="3A6E8C45" w:rsidR="00CE4653" w:rsidRDefault="00CE4653" w:rsidP="00F02398">
      <w:pPr>
        <w:spacing w:after="0" w:line="240" w:lineRule="auto"/>
        <w:jc w:val="both"/>
      </w:pPr>
    </w:p>
    <w:p w14:paraId="44AE8523" w14:textId="55C7ABAF" w:rsidR="00B800BB" w:rsidRDefault="00CE4653" w:rsidP="00134A85">
      <w:pPr>
        <w:spacing w:after="0" w:line="240" w:lineRule="auto"/>
        <w:jc w:val="both"/>
      </w:pPr>
      <w:r>
        <w:lastRenderedPageBreak/>
        <w:t>Cette insécurité endémique ne peut qu’accroitre le manque d’instruction, voire l’analphabétisme, et la pauvreté.</w:t>
      </w:r>
    </w:p>
    <w:p w14:paraId="7DA680D5" w14:textId="0A5E64C2" w:rsidR="00CE4653" w:rsidRDefault="00CE4653" w:rsidP="00134A85">
      <w:pPr>
        <w:spacing w:after="0" w:line="240" w:lineRule="auto"/>
        <w:jc w:val="both"/>
      </w:pPr>
    </w:p>
    <w:p w14:paraId="1AAF4CC8" w14:textId="77777777" w:rsidR="007448EF" w:rsidRDefault="007448EF" w:rsidP="007448EF">
      <w:pPr>
        <w:spacing w:after="0" w:line="240" w:lineRule="auto"/>
        <w:jc w:val="both"/>
      </w:pPr>
    </w:p>
    <w:p w14:paraId="5221679A" w14:textId="77777777" w:rsidR="007448EF" w:rsidRDefault="007448EF" w:rsidP="007448EF">
      <w:pPr>
        <w:pStyle w:val="Titre2"/>
        <w:numPr>
          <w:ilvl w:val="1"/>
          <w:numId w:val="129"/>
        </w:numPr>
      </w:pPr>
      <w:bookmarkStart w:id="338" w:name="_Toc139181629"/>
      <w:r>
        <w:t>En conclusion partielle</w:t>
      </w:r>
      <w:bookmarkEnd w:id="338"/>
    </w:p>
    <w:p w14:paraId="66905BB4" w14:textId="77777777" w:rsidR="007448EF" w:rsidRDefault="007448EF" w:rsidP="007448EF">
      <w:pPr>
        <w:spacing w:after="0" w:line="240" w:lineRule="auto"/>
        <w:jc w:val="both"/>
      </w:pPr>
    </w:p>
    <w:p w14:paraId="4B1B03A6" w14:textId="77777777" w:rsidR="007448EF" w:rsidRDefault="007448EF" w:rsidP="007448EF">
      <w:pPr>
        <w:spacing w:after="0" w:line="240" w:lineRule="auto"/>
        <w:jc w:val="both"/>
      </w:pPr>
      <w:r w:rsidRPr="003C3ABC">
        <w:rPr>
          <w:b/>
          <w:bCs/>
        </w:rPr>
        <w:t>Toutes les régions et tous les peuples victimes du terrorisme et de guerres s’appauvrissent</w:t>
      </w:r>
      <w:r>
        <w:rPr>
          <w:b/>
          <w:bCs/>
        </w:rPr>
        <w:t xml:space="preserve"> toujours à terme</w:t>
      </w:r>
      <w:r>
        <w:t xml:space="preserve"> _ que cela soit au Sahel, en Somalie, au Soudan du Sud, Afghanistan, et pendant longtemps, au Mozambique, en Angola, en Erythrée …</w:t>
      </w:r>
    </w:p>
    <w:p w14:paraId="36A7376F" w14:textId="77777777" w:rsidR="007448EF" w:rsidRDefault="007448EF" w:rsidP="007448EF">
      <w:pPr>
        <w:spacing w:after="0" w:line="240" w:lineRule="auto"/>
        <w:jc w:val="both"/>
      </w:pPr>
      <w:r>
        <w:t>Mais « </w:t>
      </w:r>
      <w:r w:rsidRPr="00B3515B">
        <w:rPr>
          <w:i/>
          <w:iCs/>
        </w:rPr>
        <w:t>On peut lutter contre la guerre par le dialogue, la paix et l'éducation</w:t>
      </w:r>
      <w:r>
        <w:t> »</w:t>
      </w:r>
      <w:r w:rsidRPr="0015116F">
        <w:t>,</w:t>
      </w:r>
      <w:r>
        <w:t xml:space="preserve"> si l’on croit la militante de l’éducation des filles,</w:t>
      </w:r>
      <w:r w:rsidRPr="0015116F">
        <w:t xml:space="preserve"> Malala Yousafzai.</w:t>
      </w:r>
    </w:p>
    <w:p w14:paraId="624C0D83" w14:textId="77777777" w:rsidR="007448EF" w:rsidRDefault="007448EF" w:rsidP="00134A85">
      <w:pPr>
        <w:spacing w:after="0" w:line="240" w:lineRule="auto"/>
        <w:jc w:val="both"/>
      </w:pPr>
    </w:p>
    <w:p w14:paraId="4D689B1E" w14:textId="496AA7C5" w:rsidR="00FC65F4" w:rsidRDefault="00FC65F4" w:rsidP="00FC65F4">
      <w:pPr>
        <w:pStyle w:val="Titre1"/>
      </w:pPr>
      <w:bookmarkStart w:id="339" w:name="_Toc139181630"/>
      <w:r>
        <w:t>Accaparement des terres</w:t>
      </w:r>
      <w:r w:rsidR="00CF498B">
        <w:t xml:space="preserve"> et de l’eau</w:t>
      </w:r>
      <w:r w:rsidR="0044291A">
        <w:t xml:space="preserve"> </w:t>
      </w:r>
      <w:r>
        <w:t>sans retombée pour les habitants locaux</w:t>
      </w:r>
      <w:bookmarkEnd w:id="339"/>
    </w:p>
    <w:p w14:paraId="2C0818F6" w14:textId="090DC59E" w:rsidR="00FC65F4" w:rsidRDefault="00FC65F4" w:rsidP="00134A85">
      <w:pPr>
        <w:spacing w:after="0" w:line="240" w:lineRule="auto"/>
        <w:jc w:val="both"/>
      </w:pPr>
    </w:p>
    <w:p w14:paraId="7062E56F" w14:textId="1B5CC02C" w:rsidR="0044291A" w:rsidRDefault="0044291A" w:rsidP="00134A85">
      <w:pPr>
        <w:spacing w:after="0" w:line="240" w:lineRule="auto"/>
        <w:jc w:val="both"/>
      </w:pPr>
      <w:r>
        <w:t>« </w:t>
      </w:r>
      <w:r w:rsidRPr="0044291A">
        <w:t>L’accaparement des terres</w:t>
      </w:r>
      <w:r>
        <w:t> »</w:t>
      </w:r>
      <w:r w:rsidRPr="0044291A">
        <w:t xml:space="preserve"> (en anglais, land grabbing) désigne l'acquisition légale, </w:t>
      </w:r>
      <w:r>
        <w:t xml:space="preserve">souvent </w:t>
      </w:r>
      <w:r w:rsidRPr="0044291A">
        <w:t>controversée, de grandes étendues de terrains. Il s'agit souvent de terres agricoles dans des pays en développement, par des entreprises transnationales et gouvernementales.</w:t>
      </w:r>
      <w:r>
        <w:t xml:space="preserve"> </w:t>
      </w:r>
      <w:r w:rsidRPr="0044291A">
        <w:t>Il s'agit principalement d'achats</w:t>
      </w:r>
      <w:r>
        <w:t xml:space="preserve"> ou de location [avec des baux de longue durée],</w:t>
      </w:r>
      <w:r w:rsidRPr="0044291A">
        <w:t xml:space="preserve"> à grande échelle, le plus souvent par des entreprises étrangères, de terres. L'accaparement peut avoir des buts économiques ou politiques, voire géopolitique</w:t>
      </w:r>
      <w:r>
        <w:rPr>
          <w:rStyle w:val="Appelnotedebasdep"/>
        </w:rPr>
        <w:footnoteReference w:id="253"/>
      </w:r>
      <w:r w:rsidRPr="0044291A">
        <w:t>.</w:t>
      </w:r>
    </w:p>
    <w:p w14:paraId="5045216A" w14:textId="5B0C6C57" w:rsidR="0044291A" w:rsidRDefault="0044291A" w:rsidP="00134A85">
      <w:pPr>
        <w:spacing w:after="0" w:line="240" w:lineRule="auto"/>
        <w:jc w:val="both"/>
      </w:pPr>
      <w:r w:rsidRPr="0044291A">
        <w:t>Pour répondre à des crises écologiques, climatiques, alimentaires et financières et parfois politiques, plusieurs dizaines de pays émergents</w:t>
      </w:r>
      <w:r>
        <w:t xml:space="preserve"> (Chine, Inde, Corée du Sud …)</w:t>
      </w:r>
      <w:r w:rsidRPr="0044291A">
        <w:t xml:space="preserve"> ou du sud</w:t>
      </w:r>
      <w:r>
        <w:t xml:space="preserve"> (Afrique du Sud …)</w:t>
      </w:r>
      <w:r w:rsidRPr="0044291A">
        <w:t xml:space="preserve"> cherchent à louer ou acheter des milliers à millions d'hectares dans d'autres pays</w:t>
      </w:r>
      <w:r>
        <w:t xml:space="preserve"> (Ethiopie, Congo, Madagascar, …)</w:t>
      </w:r>
      <w:r w:rsidRPr="0044291A">
        <w:t xml:space="preserve">, parfois très éloignés, souvent au profit d'investisseurs privés étrangers </w:t>
      </w:r>
      <w:r>
        <w:t>mais</w:t>
      </w:r>
      <w:r w:rsidRPr="0044291A">
        <w:t xml:space="preserve"> au détriment de la forêt, de l'environnement, des populations autochtones dont les petits paysans</w:t>
      </w:r>
      <w:r>
        <w:t xml:space="preserve"> (qui </w:t>
      </w:r>
      <w:r w:rsidR="001765FA">
        <w:t xml:space="preserve">y habitent et les </w:t>
      </w:r>
      <w:r>
        <w:t>cultivent</w:t>
      </w:r>
      <w:r w:rsidR="001765FA">
        <w:t>, depuis des générations</w:t>
      </w:r>
      <w:r>
        <w:t>,</w:t>
      </w:r>
      <w:r w:rsidR="001765FA">
        <w:t xml:space="preserve"> mais</w:t>
      </w:r>
      <w:r>
        <w:t xml:space="preserve"> sans</w:t>
      </w:r>
      <w:r w:rsidR="001765FA">
        <w:t xml:space="preserve"> posséder de</w:t>
      </w:r>
      <w:r>
        <w:t xml:space="preserve"> titre de propriété) sont</w:t>
      </w:r>
      <w:r w:rsidRPr="0044291A">
        <w:t xml:space="preserve"> expulsés de leurs terres ou obligés de travailler pour exporter leur production.</w:t>
      </w:r>
    </w:p>
    <w:p w14:paraId="715AD90B" w14:textId="77777777" w:rsidR="001765FA" w:rsidRDefault="001765FA" w:rsidP="00134A85">
      <w:pPr>
        <w:spacing w:after="0" w:line="240" w:lineRule="auto"/>
        <w:jc w:val="both"/>
        <w:rPr>
          <w:rFonts w:ascii="Calibri" w:hAnsi="Calibri" w:cs="Calibri"/>
          <w:color w:val="000000" w:themeColor="text1"/>
          <w:shd w:val="clear" w:color="auto" w:fill="FFFFFF"/>
        </w:rPr>
      </w:pPr>
    </w:p>
    <w:p w14:paraId="12476967" w14:textId="77777777" w:rsidR="00E44613" w:rsidRDefault="00573747" w:rsidP="00134A85">
      <w:pPr>
        <w:spacing w:after="0" w:line="240" w:lineRule="auto"/>
        <w:jc w:val="both"/>
        <w:rPr>
          <w:rFonts w:ascii="Calibri" w:hAnsi="Calibri" w:cs="Calibri"/>
          <w:color w:val="000000" w:themeColor="text1"/>
          <w:shd w:val="clear" w:color="auto" w:fill="FFFFFF"/>
        </w:rPr>
      </w:pPr>
      <w:r w:rsidRPr="00573747">
        <w:rPr>
          <w:rFonts w:ascii="Calibri" w:hAnsi="Calibri" w:cs="Calibri"/>
          <w:color w:val="000000" w:themeColor="text1"/>
          <w:shd w:val="clear" w:color="auto" w:fill="FFFFFF"/>
        </w:rPr>
        <w:t>La </w:t>
      </w:r>
      <w:r w:rsidRPr="00573747">
        <w:rPr>
          <w:rStyle w:val="citation"/>
          <w:rFonts w:ascii="Calibri" w:hAnsi="Calibri" w:cs="Calibri"/>
          <w:color w:val="000000" w:themeColor="text1"/>
          <w:shd w:val="clear" w:color="auto" w:fill="FFFFFF"/>
        </w:rPr>
        <w:t>«</w:t>
      </w:r>
      <w:r w:rsidRPr="00573747">
        <w:rPr>
          <w:rStyle w:val="citation"/>
          <w:rFonts w:ascii="Calibri" w:hAnsi="Calibri" w:cs="Calibri"/>
          <w:color w:val="202122"/>
          <w:shd w:val="clear" w:color="auto" w:fill="FFFFFF"/>
        </w:rPr>
        <w:t> </w:t>
      </w:r>
      <w:hyperlink r:id="rId3676" w:tooltip="Colonisation" w:history="1">
        <w:r w:rsidRPr="00573747">
          <w:rPr>
            <w:rStyle w:val="Lienhypertexte"/>
            <w:rFonts w:ascii="Calibri" w:hAnsi="Calibri" w:cs="Calibri"/>
            <w:color w:val="0645AD"/>
            <w:u w:val="none"/>
            <w:shd w:val="clear" w:color="auto" w:fill="FFFFFF"/>
          </w:rPr>
          <w:t>colonisation</w:t>
        </w:r>
      </w:hyperlink>
      <w:r w:rsidRPr="00573747">
        <w:rPr>
          <w:rStyle w:val="citation"/>
          <w:rFonts w:ascii="Calibri" w:hAnsi="Calibri" w:cs="Calibri"/>
          <w:color w:val="202122"/>
          <w:shd w:val="clear" w:color="auto" w:fill="FFFFFF"/>
        </w:rPr>
        <w:t> </w:t>
      </w:r>
      <w:r w:rsidRPr="00573747">
        <w:rPr>
          <w:rStyle w:val="citation"/>
          <w:rFonts w:ascii="Calibri" w:hAnsi="Calibri" w:cs="Calibri"/>
          <w:color w:val="000000" w:themeColor="text1"/>
          <w:shd w:val="clear" w:color="auto" w:fill="FFFFFF"/>
        </w:rPr>
        <w:t>des sols</w:t>
      </w:r>
      <w:r>
        <w:rPr>
          <w:rStyle w:val="Appelnotedebasdep"/>
          <w:rFonts w:ascii="Calibri" w:hAnsi="Calibri" w:cs="Calibri"/>
          <w:color w:val="000000" w:themeColor="text1"/>
          <w:shd w:val="clear" w:color="auto" w:fill="FFFFFF"/>
        </w:rPr>
        <w:footnoteReference w:id="254"/>
      </w:r>
      <w:r w:rsidRPr="00573747">
        <w:rPr>
          <w:rStyle w:val="citation"/>
          <w:rFonts w:ascii="Calibri" w:hAnsi="Calibri" w:cs="Calibri"/>
          <w:color w:val="000000" w:themeColor="text1"/>
          <w:shd w:val="clear" w:color="auto" w:fill="FFFFFF"/>
        </w:rPr>
        <w:t> »</w:t>
      </w:r>
      <w:r w:rsidRPr="00573747">
        <w:rPr>
          <w:rFonts w:ascii="Calibri" w:hAnsi="Calibri" w:cs="Calibri"/>
          <w:color w:val="202122"/>
          <w:shd w:val="clear" w:color="auto" w:fill="FFFFFF"/>
        </w:rPr>
        <w:t xml:space="preserve"> </w:t>
      </w:r>
      <w:r w:rsidRPr="00573747">
        <w:rPr>
          <w:rFonts w:ascii="Calibri" w:hAnsi="Calibri" w:cs="Calibri"/>
          <w:color w:val="000000" w:themeColor="text1"/>
          <w:shd w:val="clear" w:color="auto" w:fill="FFFFFF"/>
        </w:rPr>
        <w:t>s'est aggravé depuis la </w:t>
      </w:r>
      <w:hyperlink r:id="rId3677" w:tooltip="Crise alimentaire mondiale de 2007-2008" w:history="1">
        <w:r w:rsidRPr="00573747">
          <w:rPr>
            <w:rStyle w:val="Lienhypertexte"/>
            <w:rFonts w:ascii="Calibri" w:hAnsi="Calibri" w:cs="Calibri"/>
            <w:color w:val="0645AD"/>
            <w:u w:val="none"/>
            <w:shd w:val="clear" w:color="auto" w:fill="FFFFFF"/>
          </w:rPr>
          <w:t>crise alimentaire mondiale de 2007-2008</w:t>
        </w:r>
      </w:hyperlink>
      <w:r w:rsidRPr="00573747">
        <w:rPr>
          <w:rFonts w:ascii="Calibri" w:hAnsi="Calibri" w:cs="Calibri"/>
          <w:color w:val="202122"/>
          <w:shd w:val="clear" w:color="auto" w:fill="FFFFFF"/>
        </w:rPr>
        <w:t> </w:t>
      </w:r>
      <w:r w:rsidRPr="00573747">
        <w:rPr>
          <w:rFonts w:ascii="Calibri" w:hAnsi="Calibri" w:cs="Calibri"/>
          <w:color w:val="000000" w:themeColor="text1"/>
          <w:shd w:val="clear" w:color="auto" w:fill="FFFFFF"/>
        </w:rPr>
        <w:t xml:space="preserve">mais aussi depuis la </w:t>
      </w:r>
      <w:r w:rsidRPr="00573747">
        <w:rPr>
          <w:rFonts w:ascii="Calibri" w:hAnsi="Calibri" w:cs="Calibri"/>
          <w:i/>
          <w:iCs/>
          <w:color w:val="000000" w:themeColor="text1"/>
          <w:shd w:val="clear" w:color="auto" w:fill="FFFFFF"/>
        </w:rPr>
        <w:t>demande croissante en </w:t>
      </w:r>
      <w:hyperlink r:id="rId3678" w:tooltip="Biocarburant" w:history="1">
        <w:r w:rsidRPr="00573747">
          <w:rPr>
            <w:rStyle w:val="Lienhypertexte"/>
            <w:rFonts w:ascii="Calibri" w:hAnsi="Calibri" w:cs="Calibri"/>
            <w:i/>
            <w:iCs/>
            <w:color w:val="000000" w:themeColor="text1"/>
            <w:u w:val="none"/>
            <w:shd w:val="clear" w:color="auto" w:fill="FFFFFF"/>
          </w:rPr>
          <w:t>agro-biocarburants</w:t>
        </w:r>
      </w:hyperlink>
      <w:r w:rsidRPr="00573747">
        <w:rPr>
          <w:rFonts w:ascii="Calibri" w:hAnsi="Calibri" w:cs="Calibri"/>
          <w:color w:val="000000" w:themeColor="text1"/>
          <w:shd w:val="clear" w:color="auto" w:fill="FFFFFF"/>
        </w:rPr>
        <w:t> : entre 2000 et 2011, l'accaparement des terres concerne 203 millions d'hectares dont 134 millions en </w:t>
      </w:r>
      <w:hyperlink r:id="rId3679" w:tooltip="Afrique subsaharienne" w:history="1">
        <w:r w:rsidRPr="00573747">
          <w:rPr>
            <w:rStyle w:val="Lienhypertexte"/>
            <w:rFonts w:ascii="Calibri" w:hAnsi="Calibri" w:cs="Calibri"/>
            <w:color w:val="0645AD"/>
            <w:u w:val="none"/>
            <w:shd w:val="clear" w:color="auto" w:fill="FFFFFF"/>
          </w:rPr>
          <w:t>Afrique subsaharienne</w:t>
        </w:r>
      </w:hyperlink>
      <w:r w:rsidRPr="00573747">
        <w:rPr>
          <w:rFonts w:ascii="Calibri" w:hAnsi="Calibri" w:cs="Calibri"/>
          <w:color w:val="202122"/>
          <w:shd w:val="clear" w:color="auto" w:fill="FFFFFF"/>
        </w:rPr>
        <w:t> </w:t>
      </w:r>
      <w:r w:rsidRPr="00573747">
        <w:rPr>
          <w:rFonts w:ascii="Calibri" w:hAnsi="Calibri" w:cs="Calibri"/>
          <w:color w:val="000000" w:themeColor="text1"/>
          <w:shd w:val="clear" w:color="auto" w:fill="FFFFFF"/>
        </w:rPr>
        <w:t xml:space="preserve">qui ont fait l'objet de négociations entre investisseurs privés régionaux ou nationaux et principalement les États propriétaires des terres </w:t>
      </w:r>
    </w:p>
    <w:p w14:paraId="26CAB52A" w14:textId="02625AF0" w:rsidR="00573747" w:rsidRDefault="00573747" w:rsidP="00134A85">
      <w:pPr>
        <w:spacing w:after="0" w:line="240" w:lineRule="auto"/>
        <w:jc w:val="both"/>
        <w:rPr>
          <w:rFonts w:ascii="Calibri" w:hAnsi="Calibri" w:cs="Calibri"/>
          <w:color w:val="000000" w:themeColor="text1"/>
          <w:shd w:val="clear" w:color="auto" w:fill="FFFFFF"/>
        </w:rPr>
      </w:pPr>
      <w:r w:rsidRPr="00573747">
        <w:rPr>
          <w:rFonts w:ascii="Calibri" w:hAnsi="Calibri" w:cs="Calibri"/>
          <w:color w:val="000000" w:themeColor="text1"/>
          <w:shd w:val="clear" w:color="auto" w:fill="FFFFFF"/>
        </w:rPr>
        <w:t>(selon le principe de </w:t>
      </w:r>
      <w:hyperlink r:id="rId3680" w:tooltip="wikt:domanialité" w:history="1">
        <w:r w:rsidRPr="00573747">
          <w:rPr>
            <w:rStyle w:val="Lienhypertexte"/>
            <w:rFonts w:ascii="Calibri" w:hAnsi="Calibri" w:cs="Calibri"/>
            <w:color w:val="3366BB"/>
            <w:u w:val="none"/>
            <w:shd w:val="clear" w:color="auto" w:fill="FFFFFF"/>
          </w:rPr>
          <w:t>domanialité</w:t>
        </w:r>
      </w:hyperlink>
      <w:r w:rsidRPr="00573747">
        <w:rPr>
          <w:rFonts w:ascii="Calibri" w:hAnsi="Calibri" w:cs="Calibri"/>
          <w:color w:val="202122"/>
          <w:shd w:val="clear" w:color="auto" w:fill="FFFFFF"/>
        </w:rPr>
        <w:t> </w:t>
      </w:r>
      <w:r w:rsidRPr="00573747">
        <w:rPr>
          <w:rFonts w:ascii="Calibri" w:hAnsi="Calibri" w:cs="Calibri"/>
          <w:color w:val="000000" w:themeColor="text1"/>
          <w:shd w:val="clear" w:color="auto" w:fill="FFFFFF"/>
        </w:rPr>
        <w:t>public)</w:t>
      </w:r>
      <w:r w:rsidR="006D3B11">
        <w:rPr>
          <w:rStyle w:val="Appelnotedebasdep"/>
          <w:rFonts w:ascii="Calibri" w:hAnsi="Calibri" w:cs="Calibri"/>
          <w:color w:val="000000" w:themeColor="text1"/>
          <w:shd w:val="clear" w:color="auto" w:fill="FFFFFF"/>
        </w:rPr>
        <w:footnoteReference w:id="255"/>
      </w:r>
      <w:r w:rsidRPr="00573747">
        <w:rPr>
          <w:rFonts w:ascii="Calibri" w:hAnsi="Calibri" w:cs="Calibri"/>
          <w:color w:val="000000" w:themeColor="text1"/>
          <w:shd w:val="clear" w:color="auto" w:fill="FFFFFF"/>
        </w:rPr>
        <w:t>.</w:t>
      </w:r>
    </w:p>
    <w:p w14:paraId="19FF85B5" w14:textId="77777777" w:rsidR="006D3B11" w:rsidRDefault="006D3B11" w:rsidP="00134A85">
      <w:pPr>
        <w:spacing w:after="0" w:line="240" w:lineRule="auto"/>
        <w:jc w:val="both"/>
        <w:rPr>
          <w:rFonts w:ascii="Calibri" w:hAnsi="Calibri" w:cs="Calibri"/>
          <w:color w:val="000000" w:themeColor="text1"/>
          <w:shd w:val="clear" w:color="auto" w:fill="FFFFFF"/>
        </w:rPr>
      </w:pPr>
    </w:p>
    <w:p w14:paraId="4C53A734" w14:textId="3A012B0F" w:rsidR="00986D44" w:rsidRDefault="00573747" w:rsidP="00134A85">
      <w:pPr>
        <w:spacing w:after="0" w:line="240" w:lineRule="auto"/>
        <w:jc w:val="both"/>
        <w:rPr>
          <w:rFonts w:ascii="Calibri" w:hAnsi="Calibri" w:cs="Calibri"/>
        </w:rPr>
      </w:pPr>
      <w:r>
        <w:rPr>
          <w:rFonts w:ascii="Calibri" w:hAnsi="Calibri" w:cs="Calibri"/>
        </w:rPr>
        <w:t xml:space="preserve">A priori, le but de ces cessions de terres agricoles </w:t>
      </w:r>
      <w:r w:rsidR="00986D44">
        <w:rPr>
          <w:rFonts w:ascii="Calibri" w:hAnsi="Calibri" w:cs="Calibri"/>
        </w:rPr>
        <w:t>à</w:t>
      </w:r>
      <w:r>
        <w:rPr>
          <w:rFonts w:ascii="Calibri" w:hAnsi="Calibri" w:cs="Calibri"/>
        </w:rPr>
        <w:t xml:space="preserve"> des pays étrangers est d’obtenir</w:t>
      </w:r>
      <w:r w:rsidR="00986D44">
        <w:rPr>
          <w:rFonts w:ascii="Calibri" w:hAnsi="Calibri" w:cs="Calibri"/>
        </w:rPr>
        <w:t>, en échange, pour pays, qui en manquent et qui cèdent leurs droits fonciers,</w:t>
      </w:r>
      <w:r>
        <w:rPr>
          <w:rFonts w:ascii="Calibri" w:hAnsi="Calibri" w:cs="Calibri"/>
        </w:rPr>
        <w:t xml:space="preserve"> des devises</w:t>
      </w:r>
      <w:r w:rsidR="001765FA">
        <w:rPr>
          <w:rStyle w:val="Appelnotedebasdep"/>
          <w:rFonts w:ascii="Calibri" w:hAnsi="Calibri" w:cs="Calibri"/>
        </w:rPr>
        <w:footnoteReference w:id="256"/>
      </w:r>
      <w:r>
        <w:rPr>
          <w:rFonts w:ascii="Calibri" w:hAnsi="Calibri" w:cs="Calibri"/>
        </w:rPr>
        <w:t>. Mais dans les fait, cet « accaparement » est favorisé par</w:t>
      </w:r>
      <w:r w:rsidR="00986D44">
        <w:rPr>
          <w:rFonts w:ascii="Calibri" w:hAnsi="Calibri" w:cs="Calibri"/>
        </w:rPr>
        <w:t> :</w:t>
      </w:r>
    </w:p>
    <w:p w14:paraId="15054AEB" w14:textId="77777777" w:rsidR="00986D44" w:rsidRDefault="00986D44" w:rsidP="00134A85">
      <w:pPr>
        <w:spacing w:after="0" w:line="240" w:lineRule="auto"/>
        <w:jc w:val="both"/>
        <w:rPr>
          <w:rFonts w:ascii="Calibri" w:hAnsi="Calibri" w:cs="Calibri"/>
        </w:rPr>
      </w:pPr>
    </w:p>
    <w:p w14:paraId="4304B97A" w14:textId="5184FCEB" w:rsidR="00986D44" w:rsidRDefault="00986D44" w:rsidP="00134A85">
      <w:pPr>
        <w:spacing w:after="0" w:line="240" w:lineRule="auto"/>
        <w:jc w:val="both"/>
        <w:rPr>
          <w:rFonts w:ascii="Calibri" w:hAnsi="Calibri" w:cs="Calibri"/>
        </w:rPr>
      </w:pPr>
      <w:r>
        <w:rPr>
          <w:rFonts w:ascii="Calibri" w:hAnsi="Calibri" w:cs="Calibri"/>
        </w:rPr>
        <w:t>a)</w:t>
      </w:r>
      <w:r w:rsidR="00573747">
        <w:rPr>
          <w:rFonts w:ascii="Calibri" w:hAnsi="Calibri" w:cs="Calibri"/>
        </w:rPr>
        <w:t xml:space="preserve"> la corruption du gouvernement ou des</w:t>
      </w:r>
      <w:r>
        <w:rPr>
          <w:rFonts w:ascii="Calibri" w:hAnsi="Calibri" w:cs="Calibri"/>
        </w:rPr>
        <w:t xml:space="preserve"> hommes</w:t>
      </w:r>
      <w:r w:rsidR="00573747">
        <w:rPr>
          <w:rFonts w:ascii="Calibri" w:hAnsi="Calibri" w:cs="Calibri"/>
        </w:rPr>
        <w:t xml:space="preserve"> politiques</w:t>
      </w:r>
      <w:r>
        <w:rPr>
          <w:rFonts w:ascii="Calibri" w:hAnsi="Calibri" w:cs="Calibri"/>
        </w:rPr>
        <w:t xml:space="preserve"> locaux puissants (dans leur pays)</w:t>
      </w:r>
      <w:r w:rsidR="00573747">
        <w:rPr>
          <w:rFonts w:ascii="Calibri" w:hAnsi="Calibri" w:cs="Calibri"/>
        </w:rPr>
        <w:t xml:space="preserve">, </w:t>
      </w:r>
    </w:p>
    <w:p w14:paraId="5466D12E" w14:textId="1185E6A9" w:rsidR="00986D44" w:rsidRDefault="00986D44" w:rsidP="00134A85">
      <w:pPr>
        <w:spacing w:after="0" w:line="240" w:lineRule="auto"/>
        <w:jc w:val="both"/>
        <w:rPr>
          <w:rFonts w:ascii="Calibri" w:hAnsi="Calibri" w:cs="Calibri"/>
        </w:rPr>
      </w:pPr>
      <w:r>
        <w:rPr>
          <w:rFonts w:ascii="Calibri" w:hAnsi="Calibri" w:cs="Calibri"/>
        </w:rPr>
        <w:t>b)</w:t>
      </w:r>
      <w:r w:rsidR="00573747">
        <w:rPr>
          <w:rFonts w:ascii="Calibri" w:hAnsi="Calibri" w:cs="Calibri"/>
        </w:rPr>
        <w:t xml:space="preserve"> </w:t>
      </w:r>
      <w:r w:rsidR="00573747" w:rsidRPr="00573747">
        <w:rPr>
          <w:rFonts w:ascii="Calibri" w:hAnsi="Calibri" w:cs="Calibri"/>
          <w:i/>
          <w:iCs/>
        </w:rPr>
        <w:t>l’insécurité foncière</w:t>
      </w:r>
      <w:r w:rsidR="00573747">
        <w:rPr>
          <w:rFonts w:ascii="Calibri" w:hAnsi="Calibri" w:cs="Calibri"/>
        </w:rPr>
        <w:t xml:space="preserve">, endémique en Afrique _ </w:t>
      </w:r>
      <w:r w:rsidR="00361DD2">
        <w:rPr>
          <w:rFonts w:ascii="Calibri" w:hAnsi="Calibri" w:cs="Calibri"/>
        </w:rPr>
        <w:t>cette dernière étant favorisée par un manque de maillage cadastral précis de tout le territoire d’un pays et par la corruption des</w:t>
      </w:r>
      <w:r>
        <w:rPr>
          <w:rFonts w:ascii="Calibri" w:hAnsi="Calibri" w:cs="Calibri"/>
        </w:rPr>
        <w:t xml:space="preserve"> responsables et officiers du cadastre</w:t>
      </w:r>
      <w:r w:rsidR="006D3B11">
        <w:rPr>
          <w:rStyle w:val="Appelnotedebasdep"/>
          <w:rFonts w:ascii="Calibri" w:hAnsi="Calibri" w:cs="Calibri"/>
        </w:rPr>
        <w:footnoteReference w:id="257"/>
      </w:r>
      <w:r>
        <w:rPr>
          <w:rFonts w:ascii="Calibri" w:hAnsi="Calibri" w:cs="Calibri"/>
        </w:rPr>
        <w:t xml:space="preserve">. </w:t>
      </w:r>
    </w:p>
    <w:p w14:paraId="46D93309" w14:textId="77777777" w:rsidR="006D3B11" w:rsidRDefault="006D3B11" w:rsidP="00134A85">
      <w:pPr>
        <w:spacing w:after="0" w:line="240" w:lineRule="auto"/>
        <w:jc w:val="both"/>
        <w:rPr>
          <w:rFonts w:ascii="Calibri" w:hAnsi="Calibri" w:cs="Calibri"/>
        </w:rPr>
      </w:pPr>
    </w:p>
    <w:p w14:paraId="5D7FC82A" w14:textId="0C12C340" w:rsidR="00573747" w:rsidRPr="0014309D" w:rsidRDefault="00986D44" w:rsidP="00134A85">
      <w:pPr>
        <w:spacing w:after="0" w:line="240" w:lineRule="auto"/>
        <w:jc w:val="both"/>
        <w:rPr>
          <w:rFonts w:ascii="Calibri" w:hAnsi="Calibri" w:cs="Calibri"/>
          <w:color w:val="000000" w:themeColor="text1"/>
        </w:rPr>
      </w:pPr>
      <w:r w:rsidRPr="0014309D">
        <w:rPr>
          <w:rFonts w:ascii="Calibri" w:hAnsi="Calibri" w:cs="Calibri"/>
          <w:color w:val="000000" w:themeColor="text1"/>
        </w:rPr>
        <w:t xml:space="preserve">L'insécurité foncière peut aussi concerner les </w:t>
      </w:r>
      <w:r w:rsidRPr="0014309D">
        <w:rPr>
          <w:rFonts w:ascii="Calibri" w:hAnsi="Calibri" w:cs="Calibri"/>
          <w:i/>
          <w:iCs/>
          <w:color w:val="000000" w:themeColor="text1"/>
        </w:rPr>
        <w:t>aires protégées</w:t>
      </w:r>
      <w:r w:rsidRPr="0014309D">
        <w:rPr>
          <w:rFonts w:ascii="Calibri" w:hAnsi="Calibri" w:cs="Calibri"/>
          <w:color w:val="000000" w:themeColor="text1"/>
        </w:rPr>
        <w:t xml:space="preserve"> (parcs nationaux …)</w:t>
      </w:r>
      <w:r w:rsidRPr="0014309D">
        <w:rPr>
          <w:rStyle w:val="Appelnotedebasdep"/>
          <w:rFonts w:ascii="Calibri" w:hAnsi="Calibri" w:cs="Calibri"/>
          <w:color w:val="000000" w:themeColor="text1"/>
        </w:rPr>
        <w:footnoteReference w:id="258"/>
      </w:r>
      <w:r w:rsidRPr="0014309D">
        <w:rPr>
          <w:rFonts w:ascii="Calibri" w:hAnsi="Calibri" w:cs="Calibri"/>
          <w:color w:val="000000" w:themeColor="text1"/>
        </w:rPr>
        <w:t>.</w:t>
      </w:r>
    </w:p>
    <w:p w14:paraId="16938DCF" w14:textId="3412A6AB" w:rsidR="00FC65F4" w:rsidRPr="0014309D" w:rsidRDefault="00FC65F4" w:rsidP="00134A85">
      <w:pPr>
        <w:spacing w:after="0" w:line="240" w:lineRule="auto"/>
        <w:jc w:val="both"/>
        <w:rPr>
          <w:color w:val="000000" w:themeColor="text1"/>
        </w:rPr>
      </w:pPr>
    </w:p>
    <w:p w14:paraId="4A90C0C4" w14:textId="48F612E6" w:rsidR="006D3B11" w:rsidRPr="0014309D" w:rsidRDefault="006D3B11" w:rsidP="00134A85">
      <w:pPr>
        <w:spacing w:after="0" w:line="240" w:lineRule="auto"/>
        <w:jc w:val="both"/>
        <w:rPr>
          <w:color w:val="000000" w:themeColor="text1"/>
        </w:rPr>
      </w:pPr>
      <w:r w:rsidRPr="0014309D">
        <w:rPr>
          <w:color w:val="000000" w:themeColor="text1"/>
        </w:rPr>
        <w:t xml:space="preserve">Selon les données de la Banque mondiale, 37 % de la surface sont consacrés aux cultures alimentaires, 21 % aux cultures commerciales et </w:t>
      </w:r>
      <w:r w:rsidRPr="0014309D">
        <w:rPr>
          <w:i/>
          <w:iCs/>
          <w:color w:val="000000" w:themeColor="text1"/>
        </w:rPr>
        <w:t>21 % à la culture des biocarburants</w:t>
      </w:r>
      <w:r w:rsidRPr="0014309D">
        <w:rPr>
          <w:color w:val="000000" w:themeColor="text1"/>
        </w:rPr>
        <w:t>. Les plantations forestières dans le cadre de projets REDD</w:t>
      </w:r>
      <w:r w:rsidRPr="0014309D">
        <w:rPr>
          <w:rStyle w:val="Appelnotedebasdep"/>
          <w:color w:val="000000" w:themeColor="text1"/>
        </w:rPr>
        <w:footnoteReference w:id="259"/>
      </w:r>
      <w:r w:rsidRPr="0014309D">
        <w:rPr>
          <w:color w:val="000000" w:themeColor="text1"/>
        </w:rPr>
        <w:t>, ou des projets de conservation de biodiversité ainsi que de grands projets touristiques ont aussi était accusé de faire partie d’accaparement de terres.</w:t>
      </w:r>
    </w:p>
    <w:p w14:paraId="233FD15B" w14:textId="624F54B1" w:rsidR="002C5A8B" w:rsidRPr="0014309D" w:rsidRDefault="002C5A8B" w:rsidP="00134A85">
      <w:pPr>
        <w:spacing w:after="0" w:line="240" w:lineRule="auto"/>
        <w:jc w:val="both"/>
        <w:rPr>
          <w:color w:val="000000" w:themeColor="text1"/>
        </w:rPr>
      </w:pPr>
    </w:p>
    <w:p w14:paraId="1870F2D4" w14:textId="3ACDAE09" w:rsidR="002C5A8B" w:rsidRPr="0014309D" w:rsidRDefault="002C5A8B" w:rsidP="00134A85">
      <w:pPr>
        <w:spacing w:after="0" w:line="240" w:lineRule="auto"/>
        <w:jc w:val="both"/>
        <w:rPr>
          <w:color w:val="000000" w:themeColor="text1"/>
        </w:rPr>
      </w:pPr>
      <w:r w:rsidRPr="0014309D">
        <w:rPr>
          <w:color w:val="000000" w:themeColor="text1"/>
        </w:rPr>
        <w:t>Les investissements en terre agricole prennent souvent la forme de baux plutôt que d'achats. La durée de ces baux varie de 25 à 99 ans, et ils sont généralement contractés entre des gouvernements nationaux ou locaux et les investisseurs (la plupart de terres en Afrique ne sont pas privées, en possession ou sous contrôle gouvernemental).</w:t>
      </w:r>
    </w:p>
    <w:p w14:paraId="69447584" w14:textId="77777777" w:rsidR="006D3B11" w:rsidRPr="0014309D" w:rsidRDefault="006D3B11" w:rsidP="00134A85">
      <w:pPr>
        <w:spacing w:after="0" w:line="240" w:lineRule="auto"/>
        <w:jc w:val="both"/>
        <w:rPr>
          <w:color w:val="000000" w:themeColor="text1"/>
        </w:rPr>
      </w:pPr>
    </w:p>
    <w:p w14:paraId="7BE35346" w14:textId="03078338" w:rsidR="005E4751" w:rsidRPr="0014309D" w:rsidRDefault="001765FA" w:rsidP="00134A85">
      <w:pPr>
        <w:spacing w:after="0" w:line="240" w:lineRule="auto"/>
        <w:jc w:val="both"/>
        <w:rPr>
          <w:color w:val="000000" w:themeColor="text1"/>
        </w:rPr>
      </w:pPr>
      <w:r w:rsidRPr="0014309D">
        <w:rPr>
          <w:color w:val="000000" w:themeColor="text1"/>
        </w:rPr>
        <w:t>Ces immenses territoires agricoles cédés sont cultivés</w:t>
      </w:r>
      <w:r w:rsidRPr="0014309D">
        <w:rPr>
          <w:rStyle w:val="Appelnotedebasdep"/>
          <w:color w:val="000000" w:themeColor="text1"/>
        </w:rPr>
        <w:footnoteReference w:id="260"/>
      </w:r>
      <w:r w:rsidRPr="0014309D">
        <w:rPr>
          <w:color w:val="000000" w:themeColor="text1"/>
        </w:rPr>
        <w:t xml:space="preserve">, selon des techniques agricoles modernes (avec une mécanisation maximum, l’utilisation d’intrants chimiques …), ne nécessitant que peu de main d’œuvre locale (et peu de main d’œuvre tout court). L’effet pervers est que les productions agricoles, obtenues dans ces territoires, sont </w:t>
      </w:r>
      <w:r w:rsidR="006D3B11" w:rsidRPr="0014309D">
        <w:rPr>
          <w:color w:val="000000" w:themeColor="text1"/>
        </w:rPr>
        <w:t xml:space="preserve">intégralement </w:t>
      </w:r>
      <w:r w:rsidRPr="0014309D">
        <w:rPr>
          <w:color w:val="000000" w:themeColor="text1"/>
        </w:rPr>
        <w:t>exportées vers les pays « accapareurs », sans qu’une partie de ces productions ser</w:t>
      </w:r>
      <w:r w:rsidR="006D3B11" w:rsidRPr="0014309D">
        <w:rPr>
          <w:color w:val="000000" w:themeColor="text1"/>
        </w:rPr>
        <w:t>ve</w:t>
      </w:r>
      <w:r w:rsidRPr="0014309D">
        <w:rPr>
          <w:color w:val="000000" w:themeColor="text1"/>
        </w:rPr>
        <w:t xml:space="preserve"> à nourrir les populations locales et </w:t>
      </w:r>
      <w:r w:rsidR="006D3B11" w:rsidRPr="0014309D">
        <w:rPr>
          <w:color w:val="000000" w:themeColor="text1"/>
        </w:rPr>
        <w:t xml:space="preserve">à réduire l’insécurité alimentaire locale. </w:t>
      </w:r>
      <w:r w:rsidR="00CF498B">
        <w:rPr>
          <w:color w:val="000000" w:themeColor="text1"/>
        </w:rPr>
        <w:t xml:space="preserve"> </w:t>
      </w:r>
      <w:r w:rsidR="005E4751">
        <w:rPr>
          <w:color w:val="000000" w:themeColor="text1"/>
        </w:rPr>
        <w:t>Pour leur irrigation, ces immenses projets agricoles peuvent aussi accaparer les ressources hydriques locales.</w:t>
      </w:r>
      <w:r w:rsidR="00CF498B">
        <w:rPr>
          <w:color w:val="000000" w:themeColor="text1"/>
        </w:rPr>
        <w:t xml:space="preserve"> Ces </w:t>
      </w:r>
      <w:r w:rsidR="00CF498B" w:rsidRPr="00CF498B">
        <w:rPr>
          <w:color w:val="000000" w:themeColor="text1"/>
        </w:rPr>
        <w:t>accord</w:t>
      </w:r>
      <w:r w:rsidR="00CF498B">
        <w:rPr>
          <w:color w:val="000000" w:themeColor="text1"/>
        </w:rPr>
        <w:t>s sont souvent loin d’être</w:t>
      </w:r>
      <w:r w:rsidR="00CF498B" w:rsidRPr="00CF498B">
        <w:rPr>
          <w:color w:val="000000" w:themeColor="text1"/>
        </w:rPr>
        <w:t xml:space="preserve"> « gagnant-gagnant ».</w:t>
      </w:r>
    </w:p>
    <w:p w14:paraId="7A89D050" w14:textId="140980E8" w:rsidR="0014309D" w:rsidRPr="0014309D" w:rsidRDefault="0014309D" w:rsidP="00134A85">
      <w:pPr>
        <w:spacing w:after="0" w:line="240" w:lineRule="auto"/>
        <w:jc w:val="both"/>
        <w:rPr>
          <w:color w:val="000000" w:themeColor="text1"/>
        </w:rPr>
      </w:pPr>
    </w:p>
    <w:p w14:paraId="4BA2F0DD" w14:textId="2E08E7CF" w:rsidR="0014309D" w:rsidRDefault="0014309D" w:rsidP="00134A85">
      <w:pPr>
        <w:spacing w:after="0" w:line="240" w:lineRule="auto"/>
        <w:jc w:val="both"/>
        <w:rPr>
          <w:color w:val="000000" w:themeColor="text1"/>
        </w:rPr>
      </w:pPr>
      <w:r w:rsidRPr="0014309D">
        <w:rPr>
          <w:color w:val="000000" w:themeColor="text1"/>
        </w:rPr>
        <w:t>Pour l’instant, les seuls moyens de luttes de populations locales contre les effets pervers de ces politiques</w:t>
      </w:r>
      <w:r w:rsidR="005D016C">
        <w:rPr>
          <w:color w:val="000000" w:themeColor="text1"/>
        </w:rPr>
        <w:t xml:space="preserve"> « d’accaparement »</w:t>
      </w:r>
      <w:r w:rsidRPr="0014309D">
        <w:rPr>
          <w:color w:val="000000" w:themeColor="text1"/>
        </w:rPr>
        <w:t xml:space="preserve"> sont les manifestations</w:t>
      </w:r>
      <w:r w:rsidR="005D016C">
        <w:rPr>
          <w:color w:val="000000" w:themeColor="text1"/>
        </w:rPr>
        <w:t xml:space="preserve"> de protestation (de grande ampleur)</w:t>
      </w:r>
      <w:r>
        <w:rPr>
          <w:color w:val="000000" w:themeColor="text1"/>
        </w:rPr>
        <w:t xml:space="preserve"> ou la médiatisation du problème</w:t>
      </w:r>
      <w:r w:rsidRPr="0014309D">
        <w:rPr>
          <w:color w:val="000000" w:themeColor="text1"/>
        </w:rPr>
        <w:t xml:space="preserve">. </w:t>
      </w:r>
    </w:p>
    <w:p w14:paraId="2366A542" w14:textId="77777777" w:rsidR="005E4751" w:rsidRDefault="005E4751" w:rsidP="00134A85">
      <w:pPr>
        <w:spacing w:after="0" w:line="240" w:lineRule="auto"/>
        <w:jc w:val="both"/>
        <w:rPr>
          <w:rFonts w:ascii="Calibri" w:hAnsi="Calibri" w:cs="Calibri"/>
          <w:color w:val="000000" w:themeColor="text1"/>
          <w:shd w:val="clear" w:color="auto" w:fill="FFFFFF"/>
        </w:rPr>
      </w:pPr>
    </w:p>
    <w:p w14:paraId="7D651B12" w14:textId="325FE1D0" w:rsidR="0014309D" w:rsidRPr="0014309D" w:rsidRDefault="0014309D" w:rsidP="00134A85">
      <w:pPr>
        <w:spacing w:after="0" w:line="240" w:lineRule="auto"/>
        <w:jc w:val="both"/>
        <w:rPr>
          <w:rFonts w:ascii="Calibri" w:hAnsi="Calibri" w:cs="Calibri"/>
          <w:color w:val="000000" w:themeColor="text1"/>
        </w:rPr>
      </w:pPr>
      <w:r w:rsidRPr="0014309D">
        <w:rPr>
          <w:rFonts w:ascii="Calibri" w:hAnsi="Calibri" w:cs="Calibri"/>
          <w:color w:val="000000" w:themeColor="text1"/>
          <w:shd w:val="clear" w:color="auto" w:fill="FFFFFF"/>
        </w:rPr>
        <w:t>Des manifestations ont visé des groupes comme le groupe Bolloré ayant des investissements accusés d'être des accaparements de terre. Des associations de paysans riverains des plantations de Socfin au </w:t>
      </w:r>
      <w:hyperlink r:id="rId3681" w:tooltip="Cambodge" w:history="1">
        <w:r w:rsidRPr="0014309D">
          <w:rPr>
            <w:rStyle w:val="Lienhypertexte"/>
            <w:rFonts w:ascii="Calibri" w:hAnsi="Calibri" w:cs="Calibri"/>
            <w:color w:val="0645AD"/>
            <w:shd w:val="clear" w:color="auto" w:fill="FFFFFF"/>
          </w:rPr>
          <w:t>Cambodge</w:t>
        </w:r>
      </w:hyperlink>
      <w:r w:rsidRPr="0014309D">
        <w:rPr>
          <w:rFonts w:ascii="Calibri" w:hAnsi="Calibri" w:cs="Calibri"/>
          <w:color w:val="202122"/>
          <w:shd w:val="clear" w:color="auto" w:fill="FFFFFF"/>
        </w:rPr>
        <w:t xml:space="preserve">, </w:t>
      </w:r>
      <w:r w:rsidRPr="0014309D">
        <w:rPr>
          <w:rFonts w:ascii="Calibri" w:hAnsi="Calibri" w:cs="Calibri"/>
          <w:color w:val="000000" w:themeColor="text1"/>
          <w:shd w:val="clear" w:color="auto" w:fill="FFFFFF"/>
        </w:rPr>
        <w:t>au </w:t>
      </w:r>
      <w:hyperlink r:id="rId3682" w:tooltip="Cameroun" w:history="1">
        <w:r w:rsidRPr="0014309D">
          <w:rPr>
            <w:rStyle w:val="Lienhypertexte"/>
            <w:rFonts w:ascii="Calibri" w:hAnsi="Calibri" w:cs="Calibri"/>
            <w:color w:val="0645AD"/>
            <w:shd w:val="clear" w:color="auto" w:fill="FFFFFF"/>
          </w:rPr>
          <w:t>Cameroun</w:t>
        </w:r>
      </w:hyperlink>
      <w:r w:rsidRPr="0014309D">
        <w:rPr>
          <w:rFonts w:ascii="Calibri" w:hAnsi="Calibri" w:cs="Calibri"/>
          <w:color w:val="202122"/>
          <w:shd w:val="clear" w:color="auto" w:fill="FFFFFF"/>
        </w:rPr>
        <w:t xml:space="preserve">, </w:t>
      </w:r>
      <w:r w:rsidRPr="0014309D">
        <w:rPr>
          <w:rFonts w:ascii="Calibri" w:hAnsi="Calibri" w:cs="Calibri"/>
          <w:color w:val="000000" w:themeColor="text1"/>
          <w:shd w:val="clear" w:color="auto" w:fill="FFFFFF"/>
        </w:rPr>
        <w:t>en </w:t>
      </w:r>
      <w:hyperlink r:id="rId3683" w:tooltip="Côte d'Ivoire" w:history="1">
        <w:r w:rsidRPr="0014309D">
          <w:rPr>
            <w:rStyle w:val="Lienhypertexte"/>
            <w:rFonts w:ascii="Calibri" w:hAnsi="Calibri" w:cs="Calibri"/>
            <w:color w:val="0645AD"/>
            <w:shd w:val="clear" w:color="auto" w:fill="FFFFFF"/>
          </w:rPr>
          <w:t>Côte d'Ivoire</w:t>
        </w:r>
      </w:hyperlink>
      <w:r w:rsidRPr="0014309D">
        <w:rPr>
          <w:rFonts w:ascii="Calibri" w:hAnsi="Calibri" w:cs="Calibri"/>
          <w:color w:val="202122"/>
          <w:shd w:val="clear" w:color="auto" w:fill="FFFFFF"/>
        </w:rPr>
        <w:t xml:space="preserve">, </w:t>
      </w:r>
      <w:r w:rsidRPr="0014309D">
        <w:rPr>
          <w:rFonts w:ascii="Calibri" w:hAnsi="Calibri" w:cs="Calibri"/>
          <w:color w:val="000000" w:themeColor="text1"/>
          <w:shd w:val="clear" w:color="auto" w:fill="FFFFFF"/>
        </w:rPr>
        <w:t>au </w:t>
      </w:r>
      <w:hyperlink r:id="rId3684" w:tooltip="Liberia" w:history="1">
        <w:r w:rsidRPr="0014309D">
          <w:rPr>
            <w:rStyle w:val="Lienhypertexte"/>
            <w:rFonts w:ascii="Calibri" w:hAnsi="Calibri" w:cs="Calibri"/>
            <w:color w:val="0645AD"/>
            <w:shd w:val="clear" w:color="auto" w:fill="FFFFFF"/>
          </w:rPr>
          <w:t>Liberia</w:t>
        </w:r>
      </w:hyperlink>
      <w:r w:rsidRPr="0014309D">
        <w:rPr>
          <w:rFonts w:ascii="Calibri" w:hAnsi="Calibri" w:cs="Calibri"/>
          <w:color w:val="202122"/>
          <w:shd w:val="clear" w:color="auto" w:fill="FFFFFF"/>
        </w:rPr>
        <w:t> </w:t>
      </w:r>
      <w:r w:rsidRPr="0014309D">
        <w:rPr>
          <w:rFonts w:ascii="Calibri" w:hAnsi="Calibri" w:cs="Calibri"/>
          <w:color w:val="000000" w:themeColor="text1"/>
          <w:shd w:val="clear" w:color="auto" w:fill="FFFFFF"/>
        </w:rPr>
        <w:t>et au </w:t>
      </w:r>
      <w:hyperlink r:id="rId3685" w:tooltip="Sierra Leone" w:history="1">
        <w:r w:rsidRPr="0014309D">
          <w:rPr>
            <w:rStyle w:val="Lienhypertexte"/>
            <w:rFonts w:ascii="Calibri" w:hAnsi="Calibri" w:cs="Calibri"/>
            <w:color w:val="0645AD"/>
            <w:shd w:val="clear" w:color="auto" w:fill="FFFFFF"/>
          </w:rPr>
          <w:t>Sierre leone</w:t>
        </w:r>
      </w:hyperlink>
      <w:r w:rsidRPr="0014309D">
        <w:rPr>
          <w:rFonts w:ascii="Calibri" w:hAnsi="Calibri" w:cs="Calibri"/>
          <w:color w:val="202122"/>
          <w:shd w:val="clear" w:color="auto" w:fill="FFFFFF"/>
        </w:rPr>
        <w:t> </w:t>
      </w:r>
      <w:r w:rsidRPr="0014309D">
        <w:rPr>
          <w:rFonts w:ascii="Calibri" w:hAnsi="Calibri" w:cs="Calibri"/>
          <w:color w:val="000000" w:themeColor="text1"/>
          <w:shd w:val="clear" w:color="auto" w:fill="FFFFFF"/>
        </w:rPr>
        <w:t>mises en relation par l'association </w:t>
      </w:r>
      <w:hyperlink r:id="rId3686" w:tooltip="ReAct (association)" w:history="1">
        <w:r w:rsidRPr="0014309D">
          <w:rPr>
            <w:rStyle w:val="Lienhypertexte"/>
            <w:rFonts w:ascii="Calibri" w:hAnsi="Calibri" w:cs="Calibri"/>
            <w:color w:val="0645AD"/>
            <w:shd w:val="clear" w:color="auto" w:fill="FFFFFF"/>
          </w:rPr>
          <w:t>ReAct</w:t>
        </w:r>
      </w:hyperlink>
      <w:r w:rsidRPr="0014309D">
        <w:rPr>
          <w:rFonts w:ascii="Calibri" w:hAnsi="Calibri" w:cs="Calibri"/>
          <w:color w:val="202122"/>
          <w:shd w:val="clear" w:color="auto" w:fill="FFFFFF"/>
        </w:rPr>
        <w:t> </w:t>
      </w:r>
      <w:r w:rsidRPr="0014309D">
        <w:rPr>
          <w:rFonts w:ascii="Calibri" w:hAnsi="Calibri" w:cs="Calibri"/>
          <w:color w:val="000000" w:themeColor="text1"/>
          <w:shd w:val="clear" w:color="auto" w:fill="FFFFFF"/>
        </w:rPr>
        <w:t>ont créé une alliance et ont cherché à négocier avec Bolloré pour résoudre les conflits</w:t>
      </w:r>
      <w:r>
        <w:rPr>
          <w:rFonts w:ascii="Calibri" w:hAnsi="Calibri" w:cs="Calibri"/>
          <w:color w:val="000000" w:themeColor="text1"/>
          <w:shd w:val="clear" w:color="auto" w:fill="FFFFFF"/>
        </w:rPr>
        <w:t>.</w:t>
      </w:r>
    </w:p>
    <w:p w14:paraId="6430B074" w14:textId="77777777" w:rsidR="00B97F1F" w:rsidRDefault="00B97F1F" w:rsidP="00134A85">
      <w:pPr>
        <w:spacing w:after="0" w:line="240" w:lineRule="auto"/>
        <w:jc w:val="both"/>
      </w:pPr>
    </w:p>
    <w:p w14:paraId="54321822" w14:textId="4082B099" w:rsidR="00B97F1F" w:rsidRDefault="00CF498B" w:rsidP="00134A85">
      <w:pPr>
        <w:spacing w:after="0" w:line="240" w:lineRule="auto"/>
        <w:jc w:val="both"/>
      </w:pPr>
      <w:r w:rsidRPr="00CF498B">
        <w:t>Le projet Daewoo Logistics ou l’affaire Daewoo concernait un</w:t>
      </w:r>
      <w:r>
        <w:t xml:space="preserve"> accord entre le gouvernement malgache et </w:t>
      </w:r>
      <w:r w:rsidRPr="00CF498B">
        <w:t>société</w:t>
      </w:r>
      <w:r w:rsidR="00B97F1F">
        <w:t xml:space="preserve"> coréenne</w:t>
      </w:r>
      <w:r w:rsidRPr="00CF498B">
        <w:t xml:space="preserve"> Daewoo Logistics</w:t>
      </w:r>
      <w:r>
        <w:t>, sur un</w:t>
      </w:r>
      <w:r w:rsidRPr="00CF498B">
        <w:t xml:space="preserve"> bail emphytéotique contracté pour la location de 1,3 million d’hectares de terrain</w:t>
      </w:r>
      <w:r w:rsidR="00B97F1F">
        <w:t xml:space="preserve">, </w:t>
      </w:r>
      <w:r w:rsidRPr="00CF498B">
        <w:t>sur le plateau</w:t>
      </w:r>
      <w:r>
        <w:t xml:space="preserve"> aride</w:t>
      </w:r>
      <w:r w:rsidRPr="00CF498B">
        <w:t xml:space="preserve"> d'</w:t>
      </w:r>
      <w:r>
        <w:t>Ih</w:t>
      </w:r>
      <w:r w:rsidRPr="00CF498B">
        <w:t>orombe, au centre de Madagascar</w:t>
      </w:r>
      <w:r w:rsidR="00B97F1F">
        <w:t>,</w:t>
      </w:r>
      <w:r w:rsidRPr="00CF498B">
        <w:t xml:space="preserve"> pour en faire des plantations</w:t>
      </w:r>
      <w:r w:rsidR="00B97F1F">
        <w:t xml:space="preserve"> (jatropha …)</w:t>
      </w:r>
      <w:r w:rsidRPr="00CF498B">
        <w:t xml:space="preserve"> et des cultures de maïs</w:t>
      </w:r>
      <w:r>
        <w:rPr>
          <w:rStyle w:val="Appelnotedebasdep"/>
        </w:rPr>
        <w:footnoteReference w:id="261"/>
      </w:r>
      <w:r w:rsidRPr="00CF498B">
        <w:t>.</w:t>
      </w:r>
      <w:r w:rsidR="00B97F1F">
        <w:t xml:space="preserve"> Or les ressources hydriques de ce plateau sont limitées. De plus, les négociations entre Daewoo et le gouvernement malgache avaient été loin d’être transparentes. </w:t>
      </w:r>
      <w:r w:rsidR="00B97F1F" w:rsidRPr="00B97F1F">
        <w:t xml:space="preserve">Cette affaire </w:t>
      </w:r>
      <w:r w:rsidR="00B97F1F">
        <w:t>avait été</w:t>
      </w:r>
      <w:r w:rsidR="00B97F1F" w:rsidRPr="00B97F1F">
        <w:t xml:space="preserve"> un des éléments importants de la crise</w:t>
      </w:r>
      <w:r w:rsidR="00380681">
        <w:t xml:space="preserve"> politique</w:t>
      </w:r>
      <w:r w:rsidR="00B97F1F" w:rsidRPr="00B97F1F">
        <w:t xml:space="preserve"> de 2009 qui a</w:t>
      </w:r>
      <w:r w:rsidR="00B97F1F">
        <w:t>vait</w:t>
      </w:r>
      <w:r w:rsidR="00B97F1F" w:rsidRPr="00B97F1F">
        <w:t xml:space="preserve"> conduit au renversement du président</w:t>
      </w:r>
      <w:r w:rsidR="00B97F1F">
        <w:t xml:space="preserve"> malgache Marc</w:t>
      </w:r>
      <w:r w:rsidR="00B97F1F" w:rsidRPr="00B97F1F">
        <w:t xml:space="preserve"> Ravalomanana</w:t>
      </w:r>
      <w:r w:rsidR="00B97F1F">
        <w:rPr>
          <w:rStyle w:val="Appelnotedebasdep"/>
        </w:rPr>
        <w:footnoteReference w:id="262"/>
      </w:r>
      <w:r w:rsidR="00B97F1F" w:rsidRPr="00B97F1F">
        <w:t>.</w:t>
      </w:r>
      <w:r w:rsidR="00B97F1F">
        <w:t xml:space="preserve"> </w:t>
      </w:r>
      <w:r w:rsidR="00517E8F">
        <w:t xml:space="preserve">C’était d’autant plus choquant qu’une partie de la population malgache souffre de </w:t>
      </w:r>
      <w:r w:rsidR="004C2A01">
        <w:t>malnutrition</w:t>
      </w:r>
      <w:r w:rsidR="00517E8F">
        <w:t xml:space="preserve"> chronique. </w:t>
      </w:r>
    </w:p>
    <w:p w14:paraId="4EC4D917" w14:textId="41E88B43" w:rsidR="00CF498B" w:rsidRDefault="00CF498B" w:rsidP="00134A85">
      <w:pPr>
        <w:spacing w:after="0" w:line="240" w:lineRule="auto"/>
        <w:jc w:val="both"/>
      </w:pPr>
    </w:p>
    <w:p w14:paraId="1AA685A2" w14:textId="77777777" w:rsidR="00B01AFF" w:rsidRDefault="00AE35EB" w:rsidP="00134A85">
      <w:pPr>
        <w:spacing w:after="0" w:line="240" w:lineRule="auto"/>
        <w:jc w:val="both"/>
        <w:rPr>
          <w:b/>
          <w:bCs/>
          <w:i/>
          <w:iCs/>
        </w:rPr>
      </w:pPr>
      <w:r>
        <w:t>[En 2011] « </w:t>
      </w:r>
      <w:r w:rsidRPr="00AE35EB">
        <w:rPr>
          <w:i/>
          <w:iCs/>
        </w:rPr>
        <w:t xml:space="preserve">Le Kenya est le quatrième producteur de </w:t>
      </w:r>
      <w:r w:rsidRPr="00AE35EB">
        <w:rPr>
          <w:b/>
          <w:bCs/>
          <w:i/>
          <w:iCs/>
        </w:rPr>
        <w:t>haricots</w:t>
      </w:r>
      <w:r w:rsidRPr="00AE35EB">
        <w:rPr>
          <w:i/>
          <w:iCs/>
        </w:rPr>
        <w:t xml:space="preserve"> au monde. Mais, </w:t>
      </w:r>
      <w:r w:rsidRPr="00AE35EB">
        <w:rPr>
          <w:b/>
          <w:bCs/>
          <w:i/>
          <w:iCs/>
        </w:rPr>
        <w:t xml:space="preserve">alors que le pays est touché par </w:t>
      </w:r>
    </w:p>
    <w:p w14:paraId="0C37AB54" w14:textId="77777777" w:rsidR="00B01AFF" w:rsidRDefault="00AE35EB" w:rsidP="00134A85">
      <w:pPr>
        <w:spacing w:after="0" w:line="240" w:lineRule="auto"/>
        <w:jc w:val="both"/>
        <w:rPr>
          <w:i/>
          <w:iCs/>
        </w:rPr>
      </w:pPr>
      <w:r w:rsidRPr="00AE35EB">
        <w:rPr>
          <w:b/>
          <w:bCs/>
          <w:i/>
          <w:iCs/>
        </w:rPr>
        <w:t>la famine, la culture reste principalement destinée à l'exportation</w:t>
      </w:r>
      <w:r w:rsidRPr="00AE35EB">
        <w:rPr>
          <w:i/>
          <w:iCs/>
        </w:rPr>
        <w:t xml:space="preserve">. Selon un responsable d'Action pour la Faim, </w:t>
      </w:r>
    </w:p>
    <w:p w14:paraId="7C9F5940" w14:textId="77777777" w:rsidR="00B01AFF" w:rsidRDefault="00AE35EB" w:rsidP="00134A85">
      <w:pPr>
        <w:spacing w:after="0" w:line="240" w:lineRule="auto"/>
        <w:jc w:val="both"/>
        <w:rPr>
          <w:b/>
          <w:bCs/>
          <w:i/>
          <w:iCs/>
        </w:rPr>
      </w:pPr>
      <w:r w:rsidRPr="00AE35EB">
        <w:rPr>
          <w:b/>
          <w:bCs/>
          <w:i/>
          <w:iCs/>
        </w:rPr>
        <w:t xml:space="preserve">les exploitations sont principalement achetées ou louées par des compagnies étrangères qui chassent les </w:t>
      </w:r>
    </w:p>
    <w:p w14:paraId="31471332" w14:textId="77777777" w:rsidR="00B01AFF" w:rsidRDefault="00AE35EB" w:rsidP="00134A85">
      <w:pPr>
        <w:spacing w:after="0" w:line="240" w:lineRule="auto"/>
        <w:jc w:val="both"/>
        <w:rPr>
          <w:b/>
          <w:bCs/>
          <w:i/>
          <w:iCs/>
        </w:rPr>
      </w:pPr>
      <w:r w:rsidRPr="00AE35EB">
        <w:rPr>
          <w:b/>
          <w:bCs/>
          <w:i/>
          <w:iCs/>
        </w:rPr>
        <w:lastRenderedPageBreak/>
        <w:t xml:space="preserve">habitants, avant d'engager une fraction d'entre eux pour des salaires insuffisants, y compris pour acheter </w:t>
      </w:r>
    </w:p>
    <w:p w14:paraId="1133546C" w14:textId="082FEA95" w:rsidR="00AE35EB" w:rsidRDefault="00AE35EB" w:rsidP="00134A85">
      <w:pPr>
        <w:spacing w:after="0" w:line="240" w:lineRule="auto"/>
        <w:jc w:val="both"/>
      </w:pPr>
      <w:r w:rsidRPr="00AE35EB">
        <w:rPr>
          <w:b/>
          <w:bCs/>
          <w:i/>
          <w:iCs/>
        </w:rPr>
        <w:t>leur propre production</w:t>
      </w:r>
      <w:r>
        <w:t> »</w:t>
      </w:r>
      <w:r>
        <w:rPr>
          <w:rStyle w:val="Appelnotedebasdep"/>
        </w:rPr>
        <w:footnoteReference w:id="263"/>
      </w:r>
      <w:r w:rsidRPr="00AE35EB">
        <w:t>.</w:t>
      </w:r>
    </w:p>
    <w:p w14:paraId="5088E588" w14:textId="77777777" w:rsidR="00AE35EB" w:rsidRDefault="00AE35EB" w:rsidP="00134A85">
      <w:pPr>
        <w:spacing w:after="0" w:line="240" w:lineRule="auto"/>
        <w:jc w:val="both"/>
      </w:pPr>
    </w:p>
    <w:p w14:paraId="32D6EEAD" w14:textId="4F4EE4B6" w:rsidR="00B97F1F" w:rsidRDefault="00B97F1F" w:rsidP="00B97F1F">
      <w:pPr>
        <w:pStyle w:val="NormalWeb"/>
        <w:shd w:val="clear" w:color="auto" w:fill="FFFFFF"/>
        <w:spacing w:before="0" w:beforeAutospacing="0" w:after="0" w:afterAutospacing="0"/>
        <w:jc w:val="both"/>
        <w:rPr>
          <w:rFonts w:ascii="Calibri" w:hAnsi="Calibri" w:cs="Calibri"/>
          <w:color w:val="000000" w:themeColor="text1"/>
          <w:sz w:val="22"/>
          <w:szCs w:val="22"/>
        </w:rPr>
      </w:pPr>
      <w:r w:rsidRPr="00B97F1F">
        <w:rPr>
          <w:rFonts w:ascii="Calibri" w:hAnsi="Calibri" w:cs="Calibri"/>
          <w:color w:val="000000" w:themeColor="text1"/>
          <w:sz w:val="22"/>
          <w:szCs w:val="22"/>
        </w:rPr>
        <w:t>Ces acquisitions ou des concessions foncières sont considérées comme problématiques, quand elles présentent une ou plusieurs des caractéristiques suivantes :</w:t>
      </w:r>
    </w:p>
    <w:p w14:paraId="20A8F95A" w14:textId="77777777" w:rsidR="00B97F1F" w:rsidRPr="00B97F1F" w:rsidRDefault="00B97F1F" w:rsidP="00B97F1F">
      <w:pPr>
        <w:pStyle w:val="NormalWeb"/>
        <w:shd w:val="clear" w:color="auto" w:fill="FFFFFF"/>
        <w:spacing w:before="0" w:beforeAutospacing="0" w:after="0" w:afterAutospacing="0"/>
        <w:jc w:val="both"/>
        <w:rPr>
          <w:rFonts w:ascii="Calibri" w:hAnsi="Calibri" w:cs="Calibri"/>
          <w:color w:val="000000" w:themeColor="text1"/>
          <w:sz w:val="22"/>
          <w:szCs w:val="22"/>
        </w:rPr>
      </w:pPr>
    </w:p>
    <w:p w14:paraId="7A8F3D0F" w14:textId="3AABD62A" w:rsidR="00B97F1F" w:rsidRPr="00B97F1F" w:rsidRDefault="00B97F1F" w:rsidP="00B97F1F">
      <w:pPr>
        <w:numPr>
          <w:ilvl w:val="0"/>
          <w:numId w:val="119"/>
        </w:numPr>
        <w:shd w:val="clear" w:color="auto" w:fill="FFFFFF"/>
        <w:tabs>
          <w:tab w:val="clear" w:pos="720"/>
          <w:tab w:val="num" w:pos="426"/>
        </w:tabs>
        <w:spacing w:after="0" w:line="240" w:lineRule="auto"/>
        <w:ind w:left="426"/>
        <w:jc w:val="both"/>
        <w:rPr>
          <w:rFonts w:ascii="Calibri" w:eastAsia="Times New Roman" w:hAnsi="Calibri" w:cs="Calibri"/>
          <w:color w:val="000000" w:themeColor="text1"/>
          <w:lang w:eastAsia="fr-FR"/>
        </w:rPr>
      </w:pPr>
      <w:r>
        <w:rPr>
          <w:rFonts w:ascii="Calibri" w:eastAsia="Times New Roman" w:hAnsi="Calibri" w:cs="Calibri"/>
          <w:color w:val="000000" w:themeColor="text1"/>
          <w:lang w:eastAsia="fr-FR"/>
        </w:rPr>
        <w:t>C</w:t>
      </w:r>
      <w:r w:rsidRPr="00B97F1F">
        <w:rPr>
          <w:rFonts w:ascii="Calibri" w:eastAsia="Times New Roman" w:hAnsi="Calibri" w:cs="Calibri"/>
          <w:color w:val="000000" w:themeColor="text1"/>
          <w:lang w:eastAsia="fr-FR"/>
        </w:rPr>
        <w:t>ontraires aux droits de l’Homme et en particulier aux droits des femmes à un traitement équitable ;</w:t>
      </w:r>
    </w:p>
    <w:p w14:paraId="64265CF6" w14:textId="5EBCDB27" w:rsidR="00B97F1F" w:rsidRPr="00B97F1F" w:rsidRDefault="00B97F1F" w:rsidP="00B97F1F">
      <w:pPr>
        <w:numPr>
          <w:ilvl w:val="0"/>
          <w:numId w:val="119"/>
        </w:numPr>
        <w:shd w:val="clear" w:color="auto" w:fill="FFFFFF"/>
        <w:tabs>
          <w:tab w:val="clear" w:pos="720"/>
          <w:tab w:val="num" w:pos="426"/>
        </w:tabs>
        <w:spacing w:after="0" w:line="240" w:lineRule="auto"/>
        <w:ind w:left="426"/>
        <w:jc w:val="both"/>
        <w:rPr>
          <w:rFonts w:ascii="Calibri" w:eastAsia="Times New Roman" w:hAnsi="Calibri" w:cs="Calibri"/>
          <w:color w:val="000000" w:themeColor="text1"/>
          <w:lang w:eastAsia="fr-FR"/>
        </w:rPr>
      </w:pPr>
      <w:r w:rsidRPr="00B97F1F">
        <w:rPr>
          <w:rFonts w:ascii="Calibri" w:eastAsia="Times New Roman" w:hAnsi="Calibri" w:cs="Calibri"/>
          <w:b/>
          <w:bCs/>
          <w:color w:val="000000" w:themeColor="text1"/>
          <w:lang w:eastAsia="fr-FR"/>
        </w:rPr>
        <w:t>Ne reposant pas sur le consentement préalable, libre et éclairé des usagers affectés</w:t>
      </w:r>
      <w:r w:rsidRPr="00B97F1F">
        <w:rPr>
          <w:rFonts w:ascii="Calibri" w:eastAsia="Times New Roman" w:hAnsi="Calibri" w:cs="Calibri"/>
          <w:color w:val="000000" w:themeColor="text1"/>
          <w:lang w:eastAsia="fr-FR"/>
        </w:rPr>
        <w:t> ;</w:t>
      </w:r>
    </w:p>
    <w:p w14:paraId="2EC93497" w14:textId="510B43E0" w:rsidR="00B97F1F" w:rsidRPr="00B97F1F" w:rsidRDefault="00B97F1F" w:rsidP="00B97F1F">
      <w:pPr>
        <w:numPr>
          <w:ilvl w:val="0"/>
          <w:numId w:val="119"/>
        </w:numPr>
        <w:shd w:val="clear" w:color="auto" w:fill="FFFFFF"/>
        <w:tabs>
          <w:tab w:val="clear" w:pos="720"/>
          <w:tab w:val="num" w:pos="426"/>
        </w:tabs>
        <w:spacing w:after="0" w:line="240" w:lineRule="auto"/>
        <w:ind w:left="426"/>
        <w:jc w:val="both"/>
        <w:rPr>
          <w:rFonts w:ascii="Calibri" w:eastAsia="Times New Roman" w:hAnsi="Calibri" w:cs="Calibri"/>
          <w:color w:val="000000" w:themeColor="text1"/>
          <w:lang w:eastAsia="fr-FR"/>
        </w:rPr>
      </w:pPr>
      <w:r>
        <w:rPr>
          <w:rFonts w:ascii="Calibri" w:eastAsia="Times New Roman" w:hAnsi="Calibri" w:cs="Calibri"/>
          <w:color w:val="000000" w:themeColor="text1"/>
          <w:lang w:eastAsia="fr-FR"/>
        </w:rPr>
        <w:t>N</w:t>
      </w:r>
      <w:r w:rsidRPr="00B97F1F">
        <w:rPr>
          <w:rFonts w:ascii="Calibri" w:eastAsia="Times New Roman" w:hAnsi="Calibri" w:cs="Calibri"/>
          <w:color w:val="000000" w:themeColor="text1"/>
          <w:lang w:eastAsia="fr-FR"/>
        </w:rPr>
        <w:t>e repos</w:t>
      </w:r>
      <w:r>
        <w:rPr>
          <w:rFonts w:ascii="Calibri" w:eastAsia="Times New Roman" w:hAnsi="Calibri" w:cs="Calibri"/>
          <w:color w:val="000000" w:themeColor="text1"/>
          <w:lang w:eastAsia="fr-FR"/>
        </w:rPr>
        <w:t>a</w:t>
      </w:r>
      <w:r w:rsidRPr="00B97F1F">
        <w:rPr>
          <w:rFonts w:ascii="Calibri" w:eastAsia="Times New Roman" w:hAnsi="Calibri" w:cs="Calibri"/>
          <w:color w:val="000000" w:themeColor="text1"/>
          <w:lang w:eastAsia="fr-FR"/>
        </w:rPr>
        <w:t xml:space="preserve">nt pas sur une évaluation minutieuse, ou </w:t>
      </w:r>
      <w:r w:rsidRPr="00B97F1F">
        <w:rPr>
          <w:rFonts w:ascii="Calibri" w:eastAsia="Times New Roman" w:hAnsi="Calibri" w:cs="Calibri"/>
          <w:b/>
          <w:bCs/>
          <w:color w:val="000000" w:themeColor="text1"/>
          <w:lang w:eastAsia="fr-FR"/>
        </w:rPr>
        <w:t>ne tiennent pas compte des impacts sociaux, économiques et environnementaux</w:t>
      </w:r>
      <w:r w:rsidRPr="00B97F1F">
        <w:rPr>
          <w:rFonts w:ascii="Calibri" w:eastAsia="Times New Roman" w:hAnsi="Calibri" w:cs="Calibri"/>
          <w:color w:val="000000" w:themeColor="text1"/>
          <w:lang w:eastAsia="fr-FR"/>
        </w:rPr>
        <w:t> ;</w:t>
      </w:r>
    </w:p>
    <w:p w14:paraId="77F35BEB" w14:textId="37598B24" w:rsidR="00B97F1F" w:rsidRPr="00B97F1F" w:rsidRDefault="00B97F1F" w:rsidP="00B97F1F">
      <w:pPr>
        <w:numPr>
          <w:ilvl w:val="0"/>
          <w:numId w:val="119"/>
        </w:numPr>
        <w:shd w:val="clear" w:color="auto" w:fill="FFFFFF"/>
        <w:tabs>
          <w:tab w:val="clear" w:pos="720"/>
          <w:tab w:val="num" w:pos="426"/>
        </w:tabs>
        <w:spacing w:after="0" w:line="240" w:lineRule="auto"/>
        <w:ind w:left="426"/>
        <w:jc w:val="both"/>
        <w:rPr>
          <w:rFonts w:ascii="Calibri" w:eastAsia="Times New Roman" w:hAnsi="Calibri" w:cs="Calibri"/>
          <w:color w:val="000000" w:themeColor="text1"/>
          <w:lang w:eastAsia="fr-FR"/>
        </w:rPr>
      </w:pPr>
      <w:r w:rsidRPr="00B97F1F">
        <w:rPr>
          <w:rFonts w:ascii="Calibri" w:eastAsia="Times New Roman" w:hAnsi="Calibri" w:cs="Calibri"/>
          <w:b/>
          <w:bCs/>
          <w:color w:val="000000" w:themeColor="text1"/>
          <w:lang w:eastAsia="fr-FR"/>
        </w:rPr>
        <w:t>Ne faisant pas l’objet de procédures transparentes définissant des engagements clairs et contraignants en ce qui concerne les activités, l’emploi et le partage des bénéfices</w:t>
      </w:r>
      <w:r w:rsidRPr="00B97F1F">
        <w:rPr>
          <w:rFonts w:ascii="Calibri" w:eastAsia="Times New Roman" w:hAnsi="Calibri" w:cs="Calibri"/>
          <w:color w:val="000000" w:themeColor="text1"/>
          <w:lang w:eastAsia="fr-FR"/>
        </w:rPr>
        <w:t> ;</w:t>
      </w:r>
    </w:p>
    <w:p w14:paraId="4E1A491F" w14:textId="7736C624" w:rsidR="00B97F1F" w:rsidRPr="00B97F1F" w:rsidRDefault="00B97F1F" w:rsidP="00B97F1F">
      <w:pPr>
        <w:numPr>
          <w:ilvl w:val="0"/>
          <w:numId w:val="119"/>
        </w:numPr>
        <w:shd w:val="clear" w:color="auto" w:fill="FFFFFF"/>
        <w:tabs>
          <w:tab w:val="clear" w:pos="720"/>
          <w:tab w:val="num" w:pos="426"/>
        </w:tabs>
        <w:spacing w:after="0" w:line="240" w:lineRule="auto"/>
        <w:ind w:left="426"/>
        <w:jc w:val="both"/>
        <w:rPr>
          <w:rFonts w:ascii="Calibri" w:eastAsia="Times New Roman" w:hAnsi="Calibri" w:cs="Calibri"/>
          <w:color w:val="000000" w:themeColor="text1"/>
          <w:lang w:eastAsia="fr-FR"/>
        </w:rPr>
      </w:pPr>
      <w:r>
        <w:rPr>
          <w:rFonts w:ascii="Calibri" w:eastAsia="Times New Roman" w:hAnsi="Calibri" w:cs="Calibri"/>
          <w:color w:val="000000" w:themeColor="text1"/>
          <w:lang w:eastAsia="fr-FR"/>
        </w:rPr>
        <w:t>N</w:t>
      </w:r>
      <w:r w:rsidRPr="00B97F1F">
        <w:rPr>
          <w:rFonts w:ascii="Calibri" w:eastAsia="Times New Roman" w:hAnsi="Calibri" w:cs="Calibri"/>
          <w:color w:val="000000" w:themeColor="text1"/>
          <w:lang w:eastAsia="fr-FR"/>
        </w:rPr>
        <w:t>e repos</w:t>
      </w:r>
      <w:r>
        <w:rPr>
          <w:rFonts w:ascii="Calibri" w:eastAsia="Times New Roman" w:hAnsi="Calibri" w:cs="Calibri"/>
          <w:color w:val="000000" w:themeColor="text1"/>
          <w:lang w:eastAsia="fr-FR"/>
        </w:rPr>
        <w:t>a</w:t>
      </w:r>
      <w:r w:rsidRPr="00B97F1F">
        <w:rPr>
          <w:rFonts w:ascii="Calibri" w:eastAsia="Times New Roman" w:hAnsi="Calibri" w:cs="Calibri"/>
          <w:color w:val="000000" w:themeColor="text1"/>
          <w:lang w:eastAsia="fr-FR"/>
        </w:rPr>
        <w:t>nt pas sur une planification démocratique efficace, une supervision indépendante et une participation significative</w:t>
      </w:r>
      <w:r w:rsidR="00380681">
        <w:rPr>
          <w:rStyle w:val="Appelnotedebasdep"/>
          <w:rFonts w:ascii="Calibri" w:eastAsia="Times New Roman" w:hAnsi="Calibri" w:cs="Calibri"/>
          <w:color w:val="000000" w:themeColor="text1"/>
          <w:lang w:eastAsia="fr-FR"/>
        </w:rPr>
        <w:footnoteReference w:id="264"/>
      </w:r>
      <w:r>
        <w:rPr>
          <w:rFonts w:ascii="Calibri" w:eastAsia="Times New Roman" w:hAnsi="Calibri" w:cs="Calibri"/>
          <w:color w:val="000000" w:themeColor="text1"/>
          <w:lang w:eastAsia="fr-FR"/>
        </w:rPr>
        <w:t>.</w:t>
      </w:r>
    </w:p>
    <w:p w14:paraId="0AAECADE" w14:textId="77777777" w:rsidR="00B97F1F" w:rsidRDefault="00B97F1F" w:rsidP="00134A85">
      <w:pPr>
        <w:spacing w:after="0" w:line="240" w:lineRule="auto"/>
        <w:jc w:val="both"/>
      </w:pPr>
    </w:p>
    <w:p w14:paraId="7CB5C476" w14:textId="755614F7" w:rsidR="0016436B" w:rsidRDefault="0016436B" w:rsidP="0016436B">
      <w:pPr>
        <w:pStyle w:val="Titre1"/>
      </w:pPr>
      <w:bookmarkStart w:id="340" w:name="_Toc139181631"/>
      <w:r>
        <w:t>Souveraineté alimentaire et économique</w:t>
      </w:r>
      <w:bookmarkEnd w:id="340"/>
    </w:p>
    <w:p w14:paraId="026F301C" w14:textId="6492C996" w:rsidR="0016436B" w:rsidRDefault="0016436B" w:rsidP="00134A85">
      <w:pPr>
        <w:spacing w:after="0" w:line="240" w:lineRule="auto"/>
        <w:jc w:val="both"/>
      </w:pPr>
    </w:p>
    <w:p w14:paraId="6E4C6ED5" w14:textId="14D0A628" w:rsidR="001505E5" w:rsidRDefault="001505E5" w:rsidP="00134A85">
      <w:pPr>
        <w:spacing w:after="0" w:line="240" w:lineRule="auto"/>
        <w:jc w:val="both"/>
      </w:pPr>
      <w:r>
        <w:t>Cette information, ci-dessous, montre que les économies des pays en voie de développement restent encore très vulnérables, face à n’importe quelle forme de crises économiques :</w:t>
      </w:r>
    </w:p>
    <w:p w14:paraId="6EB95D27" w14:textId="404B66E9" w:rsidR="001505E5" w:rsidRDefault="001505E5" w:rsidP="00134A85">
      <w:pPr>
        <w:spacing w:after="0" w:line="240" w:lineRule="auto"/>
        <w:jc w:val="both"/>
      </w:pPr>
    </w:p>
    <w:p w14:paraId="27B7C97E" w14:textId="246FED25" w:rsidR="001505E5" w:rsidRDefault="001505E5" w:rsidP="00134A85">
      <w:pPr>
        <w:spacing w:after="0" w:line="240" w:lineRule="auto"/>
        <w:jc w:val="both"/>
      </w:pPr>
      <w:r>
        <w:t>« </w:t>
      </w:r>
      <w:r w:rsidRPr="001505E5">
        <w:rPr>
          <w:i/>
          <w:iCs/>
        </w:rPr>
        <w:t>La pandémie a accéléré les fuites de capitaux des pays en développement de 90 Md$ de début février à mi-avril, dont d’Afrique, alors que les investissements directs étrangers (IDE) ont beaucoup faibli</w:t>
      </w:r>
      <w:r>
        <w:t> »</w:t>
      </w:r>
      <w:r>
        <w:rPr>
          <w:rStyle w:val="Appelnotedebasdep"/>
        </w:rPr>
        <w:footnoteReference w:id="265"/>
      </w:r>
      <w:r w:rsidRPr="001505E5">
        <w:t>.</w:t>
      </w:r>
    </w:p>
    <w:p w14:paraId="3E16284F" w14:textId="77777777" w:rsidR="001505E5" w:rsidRDefault="001505E5" w:rsidP="00134A85">
      <w:pPr>
        <w:spacing w:after="0" w:line="240" w:lineRule="auto"/>
        <w:jc w:val="both"/>
      </w:pPr>
    </w:p>
    <w:p w14:paraId="6A78EE46" w14:textId="43517189" w:rsidR="00154AE1" w:rsidRDefault="00BB395B" w:rsidP="0050712E">
      <w:pPr>
        <w:pStyle w:val="Titre2"/>
      </w:pPr>
      <w:bookmarkStart w:id="341" w:name="_Toc139181632"/>
      <w:r w:rsidRPr="00BB395B">
        <w:t xml:space="preserve">Reconquérir sa </w:t>
      </w:r>
      <w:r>
        <w:t>s</w:t>
      </w:r>
      <w:r w:rsidR="00154AE1">
        <w:t>ouveraineté économique</w:t>
      </w:r>
      <w:bookmarkEnd w:id="341"/>
    </w:p>
    <w:p w14:paraId="5CC87A5E" w14:textId="77777777" w:rsidR="00154AE1" w:rsidRDefault="00154AE1" w:rsidP="00134A85">
      <w:pPr>
        <w:spacing w:after="0" w:line="240" w:lineRule="auto"/>
        <w:jc w:val="both"/>
      </w:pPr>
    </w:p>
    <w:p w14:paraId="422BD12B" w14:textId="4F4BC381" w:rsidR="0016436B" w:rsidRDefault="00453814" w:rsidP="00134A85">
      <w:pPr>
        <w:spacing w:after="0" w:line="240" w:lineRule="auto"/>
        <w:jc w:val="both"/>
      </w:pPr>
      <w:r>
        <w:t>A cause de la balance commerciale constamment déficitaire, au niveau de leurs échanges avec les pays riches, les pays en voie de développement recherchent désespérément des devises, pour tenter de réduire leur dette envers les pays riches, par exemple, en exportant les productions alimentaires du pays</w:t>
      </w:r>
      <w:r w:rsidR="004C0A51">
        <w:t xml:space="preserve"> (ou en louant leurs terres agricoles à des pays étrangers en général riches)</w:t>
      </w:r>
      <w:r>
        <w:t>, quitte à augmenter l</w:t>
      </w:r>
      <w:r w:rsidR="004C0A51">
        <w:t>e niveau de</w:t>
      </w:r>
      <w:r>
        <w:t xml:space="preserve"> malnutrition d’une partie de leurs concitoyens. </w:t>
      </w:r>
    </w:p>
    <w:p w14:paraId="28981823" w14:textId="5170124E" w:rsidR="00FF0F80" w:rsidRDefault="00FF0F80" w:rsidP="00134A85">
      <w:pPr>
        <w:spacing w:after="0" w:line="240" w:lineRule="auto"/>
        <w:jc w:val="both"/>
      </w:pPr>
      <w:r>
        <w:t>Et cette politique ne permet de résoudre qu’une partie de la dette.</w:t>
      </w:r>
    </w:p>
    <w:p w14:paraId="35F7BD9C" w14:textId="77777777" w:rsidR="00BB395B" w:rsidRDefault="00BB395B" w:rsidP="00134A85">
      <w:pPr>
        <w:spacing w:after="0" w:line="240" w:lineRule="auto"/>
        <w:jc w:val="both"/>
      </w:pPr>
    </w:p>
    <w:p w14:paraId="2C493720" w14:textId="267D74D4" w:rsidR="00154AE1" w:rsidRDefault="0050712E" w:rsidP="00134A85">
      <w:pPr>
        <w:spacing w:after="0" w:line="240" w:lineRule="auto"/>
        <w:jc w:val="both"/>
      </w:pPr>
      <w:r>
        <w:t>La persistance de la dette, envers les pays riches, empêchent beaucoup de pays pauvres de recouvrir leur souveraineté économique. En apparence, cet état de fait semble</w:t>
      </w:r>
      <w:r w:rsidR="00B21097">
        <w:t xml:space="preserve"> constituer</w:t>
      </w:r>
      <w:r>
        <w:t xml:space="preserve"> un cercle vicieux négatif sans fin.</w:t>
      </w:r>
    </w:p>
    <w:p w14:paraId="1F1F41E8" w14:textId="77777777" w:rsidR="0057071A" w:rsidRDefault="0057071A" w:rsidP="00134A85">
      <w:pPr>
        <w:spacing w:after="0" w:line="240" w:lineRule="auto"/>
        <w:jc w:val="both"/>
      </w:pPr>
    </w:p>
    <w:p w14:paraId="28CA9F44" w14:textId="0A43AED5" w:rsidR="0085235C" w:rsidRDefault="0085235C" w:rsidP="00134A85">
      <w:pPr>
        <w:spacing w:after="0" w:line="240" w:lineRule="auto"/>
        <w:jc w:val="both"/>
      </w:pPr>
      <w:r>
        <w:t>Plusieurs facteurs semblent entretenir cette dette</w:t>
      </w:r>
      <w:r w:rsidR="00BB395B">
        <w:t xml:space="preserve"> chronique</w:t>
      </w:r>
      <w:r>
        <w:t> :</w:t>
      </w:r>
    </w:p>
    <w:p w14:paraId="5833ED69" w14:textId="07F9AB01" w:rsidR="0085235C" w:rsidRDefault="0085235C" w:rsidP="00134A85">
      <w:pPr>
        <w:spacing w:after="0" w:line="240" w:lineRule="auto"/>
        <w:jc w:val="both"/>
      </w:pPr>
    </w:p>
    <w:p w14:paraId="1021ED01" w14:textId="1FF252EA" w:rsidR="00651436" w:rsidRDefault="00651436" w:rsidP="0057071A">
      <w:pPr>
        <w:pStyle w:val="Paragraphedeliste"/>
        <w:numPr>
          <w:ilvl w:val="0"/>
          <w:numId w:val="120"/>
        </w:numPr>
        <w:spacing w:after="0" w:line="240" w:lineRule="auto"/>
        <w:ind w:left="426"/>
        <w:jc w:val="both"/>
      </w:pPr>
      <w:r>
        <w:t xml:space="preserve">La corruption et la </w:t>
      </w:r>
      <w:r w:rsidRPr="009156B2">
        <w:rPr>
          <w:b/>
          <w:bCs/>
        </w:rPr>
        <w:t>fuite de grosses quantité d’argent vers des paradis fiscaux</w:t>
      </w:r>
      <w:r w:rsidR="009156B2">
        <w:rPr>
          <w:b/>
          <w:bCs/>
        </w:rPr>
        <w:t xml:space="preserve"> (à la fiscalité réduite)</w:t>
      </w:r>
      <w:r w:rsidR="002F4554" w:rsidRPr="009156B2">
        <w:rPr>
          <w:b/>
          <w:bCs/>
        </w:rPr>
        <w:t xml:space="preserve"> et dans les pays riches</w:t>
      </w:r>
      <w:r w:rsidR="0057071A">
        <w:t xml:space="preserve"> (</w:t>
      </w:r>
      <w:r w:rsidR="009156B2">
        <w:t xml:space="preserve">i.e. </w:t>
      </w:r>
      <w:r w:rsidR="0057071A" w:rsidRPr="009156B2">
        <w:t>évasion fiscale</w:t>
      </w:r>
      <w:r w:rsidR="0057071A">
        <w:t>)</w:t>
      </w:r>
      <w:r>
        <w:t>, qui aurait pu servir au développement d</w:t>
      </w:r>
      <w:r w:rsidR="009156B2">
        <w:t>es</w:t>
      </w:r>
      <w:r>
        <w:t xml:space="preserve"> pays</w:t>
      </w:r>
      <w:r w:rsidR="009156B2">
        <w:t xml:space="preserve"> pauvres, lésés</w:t>
      </w:r>
      <w:r w:rsidR="00142D92">
        <w:t xml:space="preserve"> par cette évasion fiscale</w:t>
      </w:r>
      <w:r>
        <w:rPr>
          <w:rStyle w:val="Appelnotedebasdep"/>
        </w:rPr>
        <w:footnoteReference w:id="266"/>
      </w:r>
      <w:r>
        <w:t>.</w:t>
      </w:r>
    </w:p>
    <w:p w14:paraId="57F4EF70" w14:textId="42AFC0D7" w:rsidR="00F937BC" w:rsidRDefault="00F937BC" w:rsidP="0057071A">
      <w:pPr>
        <w:pStyle w:val="Paragraphedeliste"/>
        <w:numPr>
          <w:ilvl w:val="0"/>
          <w:numId w:val="120"/>
        </w:numPr>
        <w:spacing w:after="0" w:line="240" w:lineRule="auto"/>
        <w:ind w:left="426"/>
        <w:jc w:val="both"/>
      </w:pPr>
      <w:r>
        <w:t xml:space="preserve">Les </w:t>
      </w:r>
      <w:r w:rsidRPr="00F937BC">
        <w:rPr>
          <w:b/>
          <w:bCs/>
        </w:rPr>
        <w:t>subvention agricoles</w:t>
      </w:r>
      <w:r>
        <w:t xml:space="preserve"> à l’exportation des produits agricoles européens et américains, constituant une forme de dumping face aux productions des pays pauvres, ces dernières ne parvenant plus à être compétitifs.</w:t>
      </w:r>
    </w:p>
    <w:p w14:paraId="6B85E294" w14:textId="6EC9F21A" w:rsidR="00F937BC" w:rsidRDefault="00F937BC" w:rsidP="0057071A">
      <w:pPr>
        <w:pStyle w:val="Paragraphedeliste"/>
        <w:numPr>
          <w:ilvl w:val="0"/>
          <w:numId w:val="120"/>
        </w:numPr>
        <w:spacing w:after="0" w:line="240" w:lineRule="auto"/>
        <w:ind w:left="426"/>
        <w:jc w:val="both"/>
      </w:pPr>
      <w:r>
        <w:t>Des accords douaniers entre pays riches et pays pauvres, finalement désavantageux, ne permettant à ces derniers de résorber leur dette.</w:t>
      </w:r>
    </w:p>
    <w:p w14:paraId="5459D2F2" w14:textId="4ED3552A" w:rsidR="00F937BC" w:rsidRDefault="00F937BC" w:rsidP="0057071A">
      <w:pPr>
        <w:pStyle w:val="Paragraphedeliste"/>
        <w:numPr>
          <w:ilvl w:val="0"/>
          <w:numId w:val="120"/>
        </w:numPr>
        <w:spacing w:after="0" w:line="240" w:lineRule="auto"/>
        <w:ind w:left="426"/>
        <w:jc w:val="both"/>
      </w:pPr>
      <w:r>
        <w:t>La conviction que tous les produits fabriqués dans les pays riches (USA, Europe, Japon …) sont de meilleure qualité que ceux fabriqués en Afrique (y compris pour les produits issus de l’élevage et de l’agriculture locales !).</w:t>
      </w:r>
    </w:p>
    <w:p w14:paraId="1C76FCCF" w14:textId="587B8320" w:rsidR="00F937BC" w:rsidRDefault="009B29BE" w:rsidP="0057071A">
      <w:pPr>
        <w:pStyle w:val="Paragraphedeliste"/>
        <w:numPr>
          <w:ilvl w:val="0"/>
          <w:numId w:val="120"/>
        </w:numPr>
        <w:spacing w:after="0" w:line="240" w:lineRule="auto"/>
        <w:ind w:left="426"/>
        <w:jc w:val="both"/>
      </w:pPr>
      <w:r>
        <w:t>Une certaine paresse intellectuelle</w:t>
      </w:r>
      <w:r w:rsidR="00E64924">
        <w:t xml:space="preserve">, dont le recours trop fréquent à la dette, a) pour de bonnes raisons, éviter les explosions sociales, b) pour de mauvaises raisons, l’espoir que les pays créanciers apureront la dette des pays débiteurs [envers ces les pays créanciers] et trop endettés. </w:t>
      </w:r>
    </w:p>
    <w:p w14:paraId="15624562" w14:textId="681FC60F" w:rsidR="009156B2" w:rsidRDefault="009156B2" w:rsidP="0057071A">
      <w:pPr>
        <w:pStyle w:val="Paragraphedeliste"/>
        <w:numPr>
          <w:ilvl w:val="0"/>
          <w:numId w:val="120"/>
        </w:numPr>
        <w:spacing w:after="0" w:line="240" w:lineRule="auto"/>
        <w:ind w:left="426"/>
        <w:jc w:val="both"/>
      </w:pPr>
      <w:r>
        <w:t>En Afrique, l’idée tenance que le statut d’agriculteur est dévalorisant (socialement),  contrairement au statut de fonctionnaire (ce dernier pourtant ne générant aucune richesse ou développement économique pour le pays).</w:t>
      </w:r>
    </w:p>
    <w:p w14:paraId="25FE26E9" w14:textId="09670E85" w:rsidR="00D74E3E" w:rsidRDefault="00D74E3E" w:rsidP="0057071A">
      <w:pPr>
        <w:pStyle w:val="Paragraphedeliste"/>
        <w:numPr>
          <w:ilvl w:val="0"/>
          <w:numId w:val="120"/>
        </w:numPr>
        <w:spacing w:after="0" w:line="240" w:lineRule="auto"/>
        <w:ind w:left="426"/>
        <w:jc w:val="both"/>
      </w:pPr>
      <w:r>
        <w:t>La dépendance envers des produits (baguettes de pain …), dont les ingrédients (blé…) sont importés. Les effets de mode pour des produits considérés comme luxueux, parce que venant de l’étranger et de pays riches.</w:t>
      </w:r>
    </w:p>
    <w:p w14:paraId="51A4C3EE" w14:textId="528F3E1F" w:rsidR="004C7515" w:rsidRDefault="004C7515" w:rsidP="0057071A">
      <w:pPr>
        <w:pStyle w:val="Paragraphedeliste"/>
        <w:numPr>
          <w:ilvl w:val="0"/>
          <w:numId w:val="120"/>
        </w:numPr>
        <w:spacing w:after="0" w:line="240" w:lineRule="auto"/>
        <w:ind w:left="426"/>
        <w:jc w:val="both"/>
      </w:pPr>
      <w:r>
        <w:t xml:space="preserve">L’absence d’unité et </w:t>
      </w:r>
      <w:r w:rsidR="00DB0805">
        <w:t>« </w:t>
      </w:r>
      <w:r>
        <w:t>d’OPEP</w:t>
      </w:r>
      <w:r w:rsidR="00DB0805">
        <w:t> »</w:t>
      </w:r>
      <w:r>
        <w:t xml:space="preserve"> entre les pays producteurs de matières premières agricoles (cacao, café …).</w:t>
      </w:r>
    </w:p>
    <w:p w14:paraId="5C4F1D3A" w14:textId="1471C7B6" w:rsidR="004B777D" w:rsidRDefault="004B777D" w:rsidP="0057071A">
      <w:pPr>
        <w:pStyle w:val="Paragraphedeliste"/>
        <w:numPr>
          <w:ilvl w:val="0"/>
          <w:numId w:val="120"/>
        </w:numPr>
        <w:spacing w:after="0" w:line="240" w:lineRule="auto"/>
        <w:ind w:left="426"/>
        <w:jc w:val="both"/>
      </w:pPr>
      <w:r>
        <w:t>Le manque de formations qualifiantes et de personnes qualifiés issus de ces formations, afin de faciliter l’installation, avec l’aide d’investisseurs étrangers, d’usines ou d’entreprises, nécessitant ce personnel qualifié, dans le pays même.</w:t>
      </w:r>
    </w:p>
    <w:p w14:paraId="5A7A8838" w14:textId="6B7F7ADB" w:rsidR="0016436B" w:rsidRDefault="0016436B" w:rsidP="00134A85">
      <w:pPr>
        <w:spacing w:after="0" w:line="240" w:lineRule="auto"/>
        <w:jc w:val="both"/>
      </w:pPr>
    </w:p>
    <w:p w14:paraId="1499215E" w14:textId="0DD94091" w:rsidR="00D74E3E" w:rsidRDefault="00D74E3E" w:rsidP="00134A85">
      <w:pPr>
        <w:spacing w:after="0" w:line="240" w:lineRule="auto"/>
        <w:jc w:val="both"/>
      </w:pPr>
      <w:r>
        <w:t xml:space="preserve">Pourtant, </w:t>
      </w:r>
      <w:r w:rsidR="00F03D6E">
        <w:t>des matières premières de qualités (cacao …) pourraient être transformés en produits secondaires de qualité (chocolats …) et exportés.</w:t>
      </w:r>
      <w:r w:rsidR="00187111">
        <w:t xml:space="preserve"> </w:t>
      </w:r>
      <w:r w:rsidR="00D42FDE">
        <w:t xml:space="preserve"> Car i</w:t>
      </w:r>
      <w:r w:rsidR="00187111">
        <w:t>l existe pourtant des produits transformés de qualité mais insuffisamment exportés (comme le Chocolat Robert</w:t>
      </w:r>
      <w:r w:rsidR="00D42FDE">
        <w:t>, les fruits de la passions, les physalis (</w:t>
      </w:r>
      <w:r w:rsidR="00267FBD">
        <w:t>« </w:t>
      </w:r>
      <w:r w:rsidR="00D42FDE">
        <w:t>poc-poc</w:t>
      </w:r>
      <w:r w:rsidR="00267FBD">
        <w:t> »</w:t>
      </w:r>
      <w:r w:rsidR="00D42FDE">
        <w:t>)</w:t>
      </w:r>
      <w:r w:rsidR="00267FBD">
        <w:t xml:space="preserve"> et autres fruits tropicaux délicieux</w:t>
      </w:r>
      <w:r w:rsidR="00D42FDE">
        <w:t xml:space="preserve"> …</w:t>
      </w:r>
      <w:r w:rsidR="00187111">
        <w:t xml:space="preserve"> à Madagascar</w:t>
      </w:r>
      <w:r w:rsidR="00267FBD">
        <w:t xml:space="preserve">, </w:t>
      </w:r>
      <w:r w:rsidR="00267FBD" w:rsidRPr="00267FBD">
        <w:t>les crevettes géantes tigrées de Madagascar Label rouge, etc.</w:t>
      </w:r>
      <w:r w:rsidR="00187111">
        <w:t xml:space="preserve"> …).</w:t>
      </w:r>
    </w:p>
    <w:p w14:paraId="36C2EB64" w14:textId="77777777" w:rsidR="002D2DA5" w:rsidRDefault="002D2DA5" w:rsidP="00134A85">
      <w:pPr>
        <w:spacing w:after="0" w:line="240" w:lineRule="auto"/>
        <w:jc w:val="both"/>
      </w:pPr>
    </w:p>
    <w:p w14:paraId="76A63D9E" w14:textId="13B52A37" w:rsidR="00187111" w:rsidRDefault="00FA1D8A" w:rsidP="00134A85">
      <w:pPr>
        <w:spacing w:after="0" w:line="240" w:lineRule="auto"/>
        <w:jc w:val="both"/>
      </w:pPr>
      <w:r>
        <w:t xml:space="preserve">En luttant contre </w:t>
      </w:r>
      <w:r w:rsidR="00347D4B">
        <w:t>un manque de confiance en soi concernant la qualité des produits élaborés sur place (produits laitiers, plats ou produits agricoles transformés, …) et en incitant à une forme de « patriotisme économique », l’on pourrait aider à développer un marché intérieur, résistant à la concurrences des produits venant des pays riches</w:t>
      </w:r>
      <w:r w:rsidR="00347D4B">
        <w:rPr>
          <w:rStyle w:val="Appelnotedebasdep"/>
        </w:rPr>
        <w:footnoteReference w:id="267"/>
      </w:r>
      <w:r w:rsidR="00347D4B">
        <w:t xml:space="preserve">. </w:t>
      </w:r>
    </w:p>
    <w:p w14:paraId="282130C3" w14:textId="579EF8AE" w:rsidR="00707796" w:rsidRDefault="00707796" w:rsidP="00134A85">
      <w:pPr>
        <w:spacing w:after="0" w:line="240" w:lineRule="auto"/>
        <w:jc w:val="both"/>
      </w:pPr>
    </w:p>
    <w:p w14:paraId="08B7183C" w14:textId="7EDD2D28" w:rsidR="00406C0F" w:rsidRPr="004B777D" w:rsidRDefault="004B777D" w:rsidP="00134A85">
      <w:pPr>
        <w:spacing w:after="0" w:line="240" w:lineRule="auto"/>
        <w:jc w:val="both"/>
      </w:pPr>
      <w:r>
        <w:t>Il peut être aussi bon d’u</w:t>
      </w:r>
      <w:r w:rsidR="00406C0F" w:rsidRPr="004B777D">
        <w:t>tiliser certains mécanismes d’aides</w:t>
      </w:r>
      <w:r>
        <w:t xml:space="preserve"> européens au</w:t>
      </w:r>
      <w:r w:rsidR="00406C0F" w:rsidRPr="004B777D">
        <w:t xml:space="preserve"> développement des exportations</w:t>
      </w:r>
      <w:r>
        <w:t xml:space="preserve"> de pays en voie de développement vers l’UE</w:t>
      </w:r>
      <w:r w:rsidR="008B7D6F">
        <w:t xml:space="preserve"> _ favorisant l’autonomie économique des pays en voie de développement</w:t>
      </w:r>
      <w:r>
        <w:t xml:space="preserve"> (voir ci-après) :</w:t>
      </w:r>
    </w:p>
    <w:p w14:paraId="02BA1C9F" w14:textId="28420291" w:rsidR="00FE39A3" w:rsidRDefault="00FE39A3" w:rsidP="00134A85">
      <w:pPr>
        <w:spacing w:after="0" w:line="240" w:lineRule="auto"/>
        <w:jc w:val="both"/>
      </w:pPr>
    </w:p>
    <w:p w14:paraId="076940F5" w14:textId="2CEF1276" w:rsidR="00406C0F" w:rsidRDefault="00182D75" w:rsidP="00182D75">
      <w:pPr>
        <w:pStyle w:val="Titre3"/>
      </w:pPr>
      <w:bookmarkStart w:id="342" w:name="_Toc139181633"/>
      <w:r w:rsidRPr="00182D75">
        <w:lastRenderedPageBreak/>
        <w:t>Le Programme de la Compétitivité de l’Afrique de l’Ouest (WACOMP)</w:t>
      </w:r>
      <w:bookmarkEnd w:id="342"/>
    </w:p>
    <w:p w14:paraId="71724D8F" w14:textId="77777777" w:rsidR="00182D75" w:rsidRDefault="00182D75" w:rsidP="00134A85">
      <w:pPr>
        <w:spacing w:after="0" w:line="240" w:lineRule="auto"/>
        <w:jc w:val="both"/>
      </w:pPr>
    </w:p>
    <w:p w14:paraId="54C61F17" w14:textId="01FDC998" w:rsidR="00FE39A3" w:rsidRDefault="00ED4A90" w:rsidP="00134A85">
      <w:pPr>
        <w:spacing w:after="0" w:line="240" w:lineRule="auto"/>
        <w:jc w:val="both"/>
      </w:pPr>
      <w:r w:rsidRPr="00ED4A90">
        <w:t xml:space="preserve">Doté d'un fond d'un montant total de € 120 millions, financé par l'Union Européenne </w:t>
      </w:r>
      <w:r>
        <w:t xml:space="preserve">_ </w:t>
      </w:r>
      <w:r w:rsidRPr="00ED4A90">
        <w:t>issu du Fonds Européen de Développement (FED)</w:t>
      </w:r>
      <w:r>
        <w:t xml:space="preserve"> _</w:t>
      </w:r>
      <w:r w:rsidRPr="00ED4A90">
        <w:t>, le Programme de la Compétitivité de l’Afrique de l’Ouest (WACOMP) vise à soutenir un certain nombre de chaînes de valeur aux niveaux national et régional pour promouvoir la transformation structurelle et un meilleur accès aux marchés régionaux et internationaux, tout en tenant compte des préoccupations sociales et environnementales.</w:t>
      </w:r>
      <w:r>
        <w:t xml:space="preserve"> </w:t>
      </w:r>
      <w:r w:rsidRPr="00ED4A90">
        <w:t>Il a pour objectif de renforcer la compétitivité des pays ouest-africains, face à</w:t>
      </w:r>
      <w:r w:rsidR="00957489">
        <w:t xml:space="preserve"> la</w:t>
      </w:r>
      <w:r w:rsidRPr="00ED4A90">
        <w:t xml:space="preserve"> </w:t>
      </w:r>
      <w:r w:rsidR="00957489">
        <w:t>« </w:t>
      </w:r>
      <w:r w:rsidRPr="00ED4A90">
        <w:t>mondialisation</w:t>
      </w:r>
      <w:r w:rsidR="00957489">
        <w:t> » économique</w:t>
      </w:r>
      <w:r w:rsidRPr="00ED4A90">
        <w:t>.</w:t>
      </w:r>
    </w:p>
    <w:p w14:paraId="206CD139" w14:textId="77777777" w:rsidR="00957489" w:rsidRDefault="00957489" w:rsidP="00ED4A90">
      <w:pPr>
        <w:pStyle w:val="NormalWeb"/>
        <w:shd w:val="clear" w:color="auto" w:fill="FFFFFF"/>
        <w:spacing w:before="0" w:beforeAutospacing="0" w:after="0" w:afterAutospacing="0"/>
        <w:jc w:val="both"/>
        <w:rPr>
          <w:rFonts w:ascii="Calibri" w:hAnsi="Calibri" w:cs="Calibri"/>
          <w:color w:val="000000" w:themeColor="text1"/>
          <w:sz w:val="22"/>
          <w:szCs w:val="22"/>
        </w:rPr>
      </w:pPr>
    </w:p>
    <w:p w14:paraId="6E12F61E" w14:textId="7A13E296" w:rsidR="00ED4A90" w:rsidRPr="00ED4A90" w:rsidRDefault="00ED4A90" w:rsidP="00ED4A90">
      <w:pPr>
        <w:pStyle w:val="NormalWeb"/>
        <w:shd w:val="clear" w:color="auto" w:fill="FFFFFF"/>
        <w:spacing w:before="0" w:beforeAutospacing="0" w:after="0" w:afterAutospacing="0"/>
        <w:jc w:val="both"/>
        <w:rPr>
          <w:rFonts w:ascii="Calibri" w:hAnsi="Calibri" w:cs="Calibri"/>
          <w:color w:val="4C4C4C"/>
          <w:sz w:val="22"/>
          <w:szCs w:val="22"/>
        </w:rPr>
      </w:pPr>
      <w:r w:rsidRPr="00ED4A90">
        <w:rPr>
          <w:rFonts w:ascii="Calibri" w:hAnsi="Calibri" w:cs="Calibri"/>
          <w:color w:val="000000" w:themeColor="text1"/>
          <w:sz w:val="22"/>
          <w:szCs w:val="22"/>
        </w:rPr>
        <w:t>Le programme – qui s’aligne avec les priorités des politiques et programmes ouest-africains, y compris la </w:t>
      </w:r>
      <w:hyperlink r:id="rId3687" w:history="1">
        <w:r w:rsidRPr="00ED4A90">
          <w:rPr>
            <w:rStyle w:val="lev"/>
            <w:rFonts w:ascii="Calibri" w:hAnsi="Calibri" w:cs="Calibri"/>
            <w:color w:val="000838"/>
            <w:sz w:val="22"/>
            <w:szCs w:val="22"/>
          </w:rPr>
          <w:t>Politique industrielle commune de l’Afrique de l’Ouest (PICAO)</w:t>
        </w:r>
      </w:hyperlink>
      <w:r w:rsidRPr="00ED4A90">
        <w:rPr>
          <w:rFonts w:ascii="Calibri" w:hAnsi="Calibri" w:cs="Calibri"/>
          <w:color w:val="4C4C4C"/>
          <w:sz w:val="22"/>
          <w:szCs w:val="22"/>
        </w:rPr>
        <w:t>, le </w:t>
      </w:r>
      <w:hyperlink r:id="rId3688" w:history="1">
        <w:r w:rsidRPr="00ED4A90">
          <w:rPr>
            <w:rStyle w:val="lev"/>
            <w:rFonts w:ascii="Calibri" w:hAnsi="Calibri" w:cs="Calibri"/>
            <w:color w:val="000838"/>
            <w:sz w:val="22"/>
            <w:szCs w:val="22"/>
          </w:rPr>
          <w:t>Programme de système de qualité pour l’Afrique de l’Ouest (PSQAO)</w:t>
        </w:r>
      </w:hyperlink>
      <w:r w:rsidRPr="00ED4A90">
        <w:rPr>
          <w:rFonts w:ascii="Calibri" w:hAnsi="Calibri" w:cs="Calibri"/>
          <w:color w:val="4C4C4C"/>
          <w:sz w:val="22"/>
          <w:szCs w:val="22"/>
        </w:rPr>
        <w:t> </w:t>
      </w:r>
      <w:r w:rsidRPr="00ED4A90">
        <w:rPr>
          <w:rFonts w:ascii="Calibri" w:hAnsi="Calibri" w:cs="Calibri"/>
          <w:color w:val="000000" w:themeColor="text1"/>
          <w:sz w:val="22"/>
          <w:szCs w:val="22"/>
        </w:rPr>
        <w:t>et la </w:t>
      </w:r>
      <w:r w:rsidRPr="00ED4A90">
        <w:rPr>
          <w:rStyle w:val="lev"/>
          <w:rFonts w:ascii="Calibri" w:hAnsi="Calibri" w:cs="Calibri"/>
          <w:color w:val="000000" w:themeColor="text1"/>
          <w:sz w:val="22"/>
          <w:szCs w:val="22"/>
        </w:rPr>
        <w:t>Stratégie de développement du secteur privé de la CEDEAO</w:t>
      </w:r>
      <w:r w:rsidR="006C195F">
        <w:rPr>
          <w:rStyle w:val="Appelnotedebasdep"/>
          <w:rFonts w:ascii="Calibri" w:hAnsi="Calibri" w:cs="Calibri"/>
          <w:b/>
          <w:bCs/>
          <w:color w:val="000000" w:themeColor="text1"/>
          <w:sz w:val="22"/>
          <w:szCs w:val="22"/>
        </w:rPr>
        <w:footnoteReference w:id="268"/>
      </w:r>
      <w:r w:rsidRPr="00ED4A90">
        <w:rPr>
          <w:rFonts w:ascii="Calibri" w:hAnsi="Calibri" w:cs="Calibri"/>
          <w:color w:val="000000" w:themeColor="text1"/>
          <w:sz w:val="22"/>
          <w:szCs w:val="22"/>
        </w:rPr>
        <w:t> – contribuera à créer les bases et à promouvoir l’accès des pays d’Afrique de l’Ouest au </w:t>
      </w:r>
      <w:hyperlink r:id="rId3689" w:history="1">
        <w:r w:rsidRPr="00ED4A90">
          <w:rPr>
            <w:rStyle w:val="lev"/>
            <w:rFonts w:ascii="Calibri" w:hAnsi="Calibri" w:cs="Calibri"/>
            <w:color w:val="000838"/>
            <w:sz w:val="22"/>
            <w:szCs w:val="22"/>
          </w:rPr>
          <w:t>plan d’investissement extérieur (PIE) de l’UE</w:t>
        </w:r>
      </w:hyperlink>
      <w:r w:rsidRPr="00ED4A90">
        <w:rPr>
          <w:rFonts w:ascii="Calibri" w:hAnsi="Calibri" w:cs="Calibri"/>
          <w:color w:val="4C4C4C"/>
          <w:sz w:val="22"/>
          <w:szCs w:val="22"/>
        </w:rPr>
        <w:t>.</w:t>
      </w:r>
    </w:p>
    <w:p w14:paraId="6878CFE9" w14:textId="09A343EE" w:rsidR="00ED4A90" w:rsidRDefault="00ED4A90" w:rsidP="00ED4A90">
      <w:pPr>
        <w:pStyle w:val="NormalWeb"/>
        <w:shd w:val="clear" w:color="auto" w:fill="FFFFFF"/>
        <w:spacing w:before="0" w:beforeAutospacing="0" w:after="0" w:afterAutospacing="0"/>
        <w:jc w:val="both"/>
        <w:rPr>
          <w:rFonts w:ascii="Calibri" w:hAnsi="Calibri" w:cs="Calibri"/>
          <w:color w:val="000000" w:themeColor="text1"/>
          <w:sz w:val="22"/>
          <w:szCs w:val="22"/>
        </w:rPr>
      </w:pPr>
      <w:r w:rsidRPr="00ED4A90">
        <w:rPr>
          <w:rFonts w:ascii="Calibri" w:hAnsi="Calibri" w:cs="Calibri"/>
          <w:color w:val="000000" w:themeColor="text1"/>
          <w:sz w:val="22"/>
          <w:szCs w:val="22"/>
        </w:rPr>
        <w:t>Le Programme comporte 16 composantes nationales et une régionale. Chaque pays est individuellement responsable de la mise en œuvre de sa composante, tandis que la Commission Economique des Etats de l’Afrique de l’Ouest (CEDEAO), avec l’appui de la Commission de l’Union Economique et Monétaire Ouest-Africaine (UEMOA), se charge de la composante régionale et de la coordination du programme par le biais d’un comité de pilotage qui se réunit une fois par an. Des partenaires techniques soutiendront la mise en œuvre au niveau national et régional</w:t>
      </w:r>
      <w:r w:rsidR="00957489">
        <w:rPr>
          <w:rStyle w:val="Appelnotedebasdep"/>
          <w:rFonts w:ascii="Calibri" w:hAnsi="Calibri" w:cs="Calibri"/>
          <w:color w:val="000000" w:themeColor="text1"/>
          <w:sz w:val="22"/>
          <w:szCs w:val="22"/>
        </w:rPr>
        <w:footnoteReference w:id="269"/>
      </w:r>
      <w:r w:rsidRPr="00ED4A90">
        <w:rPr>
          <w:rFonts w:ascii="Calibri" w:hAnsi="Calibri" w:cs="Calibri"/>
          <w:color w:val="000000" w:themeColor="text1"/>
          <w:sz w:val="22"/>
          <w:szCs w:val="22"/>
        </w:rPr>
        <w:t>.</w:t>
      </w:r>
    </w:p>
    <w:p w14:paraId="78A1AA3C" w14:textId="77777777" w:rsidR="00F448E6" w:rsidRDefault="00F448E6" w:rsidP="00ED4A90">
      <w:pPr>
        <w:pStyle w:val="NormalWeb"/>
        <w:shd w:val="clear" w:color="auto" w:fill="FFFFFF"/>
        <w:spacing w:before="0" w:beforeAutospacing="0" w:after="0" w:afterAutospacing="0"/>
        <w:jc w:val="both"/>
        <w:rPr>
          <w:rFonts w:ascii="Calibri" w:hAnsi="Calibri" w:cs="Calibri"/>
          <w:color w:val="000000" w:themeColor="text1"/>
          <w:sz w:val="22"/>
          <w:szCs w:val="22"/>
        </w:rPr>
      </w:pPr>
    </w:p>
    <w:p w14:paraId="5771A96F" w14:textId="33155C37" w:rsidR="00957489" w:rsidRPr="00ED4A90" w:rsidRDefault="00957489" w:rsidP="00ED4A90">
      <w:pPr>
        <w:pStyle w:val="NormalWeb"/>
        <w:shd w:val="clear" w:color="auto" w:fill="FFFFFF"/>
        <w:spacing w:before="0" w:beforeAutospacing="0" w:after="0" w:afterAutospacing="0"/>
        <w:jc w:val="both"/>
        <w:rPr>
          <w:rFonts w:ascii="Calibri" w:hAnsi="Calibri" w:cs="Calibri"/>
          <w:color w:val="000000" w:themeColor="text1"/>
          <w:sz w:val="22"/>
          <w:szCs w:val="22"/>
        </w:rPr>
      </w:pPr>
      <w:r>
        <w:rPr>
          <w:rFonts w:ascii="Calibri" w:hAnsi="Calibri" w:cs="Calibri"/>
          <w:color w:val="000000" w:themeColor="text1"/>
          <w:sz w:val="22"/>
          <w:szCs w:val="22"/>
        </w:rPr>
        <w:t>Ces programmes aident</w:t>
      </w:r>
      <w:r w:rsidR="00F448E6">
        <w:rPr>
          <w:rFonts w:ascii="Calibri" w:hAnsi="Calibri" w:cs="Calibri"/>
          <w:color w:val="000000" w:themeColor="text1"/>
          <w:sz w:val="22"/>
          <w:szCs w:val="22"/>
        </w:rPr>
        <w:t>, par exemple,</w:t>
      </w:r>
      <w:r>
        <w:rPr>
          <w:rFonts w:ascii="Calibri" w:hAnsi="Calibri" w:cs="Calibri"/>
          <w:color w:val="000000" w:themeColor="text1"/>
          <w:sz w:val="22"/>
          <w:szCs w:val="22"/>
        </w:rPr>
        <w:t xml:space="preserve"> à mettre en place les systèmes de traçabilité, de contrôle qualité, pour une filière donnée, afin que les produits de cette filière puissent satisfaire aux normes de qualités, qu’ils doivent respecter </w:t>
      </w:r>
      <w:r w:rsidR="00BE51CE">
        <w:rPr>
          <w:rFonts w:ascii="Calibri" w:hAnsi="Calibri" w:cs="Calibri"/>
          <w:color w:val="000000" w:themeColor="text1"/>
          <w:sz w:val="22"/>
          <w:szCs w:val="22"/>
        </w:rPr>
        <w:t>afin de</w:t>
      </w:r>
      <w:r>
        <w:rPr>
          <w:rFonts w:ascii="Calibri" w:hAnsi="Calibri" w:cs="Calibri"/>
          <w:color w:val="000000" w:themeColor="text1"/>
          <w:sz w:val="22"/>
          <w:szCs w:val="22"/>
        </w:rPr>
        <w:t xml:space="preserve"> pouvoir entrer dans le marché de l’Union Européenne (UE) (la filière ananas de Côte d’Ivoire a</w:t>
      </w:r>
      <w:r w:rsidR="00864115">
        <w:rPr>
          <w:rFonts w:ascii="Calibri" w:hAnsi="Calibri" w:cs="Calibri"/>
          <w:color w:val="000000" w:themeColor="text1"/>
          <w:sz w:val="22"/>
          <w:szCs w:val="22"/>
        </w:rPr>
        <w:t xml:space="preserve"> ou aurait</w:t>
      </w:r>
      <w:r>
        <w:rPr>
          <w:rFonts w:ascii="Calibri" w:hAnsi="Calibri" w:cs="Calibri"/>
          <w:color w:val="000000" w:themeColor="text1"/>
          <w:sz w:val="22"/>
          <w:szCs w:val="22"/>
        </w:rPr>
        <w:t xml:space="preserve"> bénéficié de cette aide, afin de permettre l’entrée des produits de cette filière dans l’UE</w:t>
      </w:r>
      <w:r>
        <w:rPr>
          <w:rStyle w:val="Appelnotedebasdep"/>
          <w:rFonts w:ascii="Calibri" w:hAnsi="Calibri" w:cs="Calibri"/>
          <w:color w:val="000000" w:themeColor="text1"/>
          <w:sz w:val="22"/>
          <w:szCs w:val="22"/>
        </w:rPr>
        <w:footnoteReference w:id="270"/>
      </w:r>
      <w:r>
        <w:rPr>
          <w:rFonts w:ascii="Calibri" w:hAnsi="Calibri" w:cs="Calibri"/>
          <w:color w:val="000000" w:themeColor="text1"/>
          <w:sz w:val="22"/>
          <w:szCs w:val="22"/>
        </w:rPr>
        <w:t>).</w:t>
      </w:r>
    </w:p>
    <w:p w14:paraId="0728574E" w14:textId="2B8654FC" w:rsidR="00ED4A90" w:rsidRDefault="00ED4A90" w:rsidP="00134A85">
      <w:pPr>
        <w:spacing w:after="0" w:line="240" w:lineRule="auto"/>
        <w:jc w:val="both"/>
      </w:pPr>
    </w:p>
    <w:p w14:paraId="41574559" w14:textId="77777777" w:rsidR="00470E76" w:rsidRDefault="004B777D" w:rsidP="00134A85">
      <w:pPr>
        <w:spacing w:after="0" w:line="240" w:lineRule="auto"/>
        <w:jc w:val="both"/>
        <w:rPr>
          <w:i/>
          <w:iCs/>
        </w:rPr>
      </w:pPr>
      <w:r>
        <w:t xml:space="preserve">Via sa </w:t>
      </w:r>
      <w:r w:rsidRPr="003529F6">
        <w:rPr>
          <w:i/>
          <w:iCs/>
        </w:rPr>
        <w:t>stratégie de développement du secteur privé</w:t>
      </w:r>
      <w:r>
        <w:t>, l</w:t>
      </w:r>
      <w:r w:rsidR="00B96284">
        <w:t xml:space="preserve">a CEDEAO soutient aussi les </w:t>
      </w:r>
      <w:r w:rsidR="00B96284" w:rsidRPr="00F448E6">
        <w:rPr>
          <w:i/>
          <w:iCs/>
        </w:rPr>
        <w:t xml:space="preserve">Centres d’Excellence </w:t>
      </w:r>
    </w:p>
    <w:p w14:paraId="0F241007" w14:textId="77777777" w:rsidR="00470E76" w:rsidRDefault="00B96284" w:rsidP="00134A85">
      <w:pPr>
        <w:spacing w:after="0" w:line="240" w:lineRule="auto"/>
        <w:jc w:val="both"/>
      </w:pPr>
      <w:r w:rsidRPr="00F448E6">
        <w:rPr>
          <w:i/>
          <w:iCs/>
        </w:rPr>
        <w:t>(centres de formation) pour les projets d’entreprenariat agricoles</w:t>
      </w:r>
      <w:r>
        <w:t xml:space="preserve"> </w:t>
      </w:r>
      <w:r w:rsidR="00F448E6">
        <w:t>en Afrique de l’Ouest</w:t>
      </w:r>
      <w:r>
        <w:t xml:space="preserve"> </w:t>
      </w:r>
    </w:p>
    <w:p w14:paraId="5B770968" w14:textId="4C0C4E48" w:rsidR="00B96284" w:rsidRDefault="00B96284" w:rsidP="00134A85">
      <w:pPr>
        <w:spacing w:after="0" w:line="240" w:lineRule="auto"/>
        <w:jc w:val="both"/>
      </w:pPr>
      <w:r>
        <w:t>(</w:t>
      </w:r>
      <w:r w:rsidR="0085473D">
        <w:t>comme</w:t>
      </w:r>
      <w:r>
        <w:t xml:space="preserve"> le Centre </w:t>
      </w:r>
      <w:r w:rsidRPr="00B96284">
        <w:t>d’Excellence</w:t>
      </w:r>
      <w:r>
        <w:t xml:space="preserve"> Songhaï au Bénin</w:t>
      </w:r>
      <w:r w:rsidR="0013437B">
        <w:rPr>
          <w:rStyle w:val="Appelnotedebasdep"/>
        </w:rPr>
        <w:footnoteReference w:id="271"/>
      </w:r>
      <w:r>
        <w:t>).</w:t>
      </w:r>
    </w:p>
    <w:p w14:paraId="615268E4" w14:textId="318ED67C" w:rsidR="00F628F0" w:rsidRDefault="00F628F0" w:rsidP="00134A85">
      <w:pPr>
        <w:spacing w:after="0" w:line="240" w:lineRule="auto"/>
        <w:jc w:val="both"/>
      </w:pPr>
    </w:p>
    <w:p w14:paraId="4FC71CDA" w14:textId="41249C34" w:rsidR="00F628F0" w:rsidRDefault="00F628F0" w:rsidP="00134A85">
      <w:pPr>
        <w:spacing w:after="0" w:line="240" w:lineRule="auto"/>
        <w:jc w:val="both"/>
      </w:pPr>
      <w:r>
        <w:t xml:space="preserve">Il existe des organisations reposant sur un modèle économique en même temps capitaliste, solidaire et circulaire </w:t>
      </w:r>
      <w:r w:rsidR="00BE51CE">
        <w:t xml:space="preserve">_ </w:t>
      </w:r>
      <w:r>
        <w:t>reposant sur un recyclage (récupération) maximum</w:t>
      </w:r>
      <w:r w:rsidR="00BE51CE">
        <w:t xml:space="preserve"> _</w:t>
      </w:r>
      <w:r>
        <w:t xml:space="preserve">, comme les </w:t>
      </w:r>
      <w:r w:rsidRPr="00320681">
        <w:rPr>
          <w:i/>
          <w:iCs/>
        </w:rPr>
        <w:t>onze centres Songhaï en Afrique</w:t>
      </w:r>
      <w:r>
        <w:t>.</w:t>
      </w:r>
      <w:r w:rsidR="00236FCF">
        <w:t xml:space="preserve"> Encore faut-il être certain qu’ils sont bien économiquement bénéficiaires (dégageant du profit, financièrement autonomes) et qu’ils ne reposent pas sur l’aide permanente de donateurs</w:t>
      </w:r>
      <w:r w:rsidR="00287048">
        <w:t xml:space="preserve"> étrangers</w:t>
      </w:r>
      <w:r w:rsidR="00236FCF">
        <w:t xml:space="preserve"> (rend</w:t>
      </w:r>
      <w:r w:rsidR="00287048">
        <w:t>ant alors</w:t>
      </w:r>
      <w:r w:rsidR="00320681">
        <w:t xml:space="preserve"> artificiellement</w:t>
      </w:r>
      <w:r w:rsidR="00236FCF">
        <w:t xml:space="preserve"> </w:t>
      </w:r>
      <w:r w:rsidR="00287048">
        <w:t>l</w:t>
      </w:r>
      <w:r w:rsidR="00236FCF">
        <w:t>es comptes de trésorerie positifs).</w:t>
      </w:r>
    </w:p>
    <w:p w14:paraId="7F6F1E9B" w14:textId="77777777" w:rsidR="003B5A93" w:rsidRDefault="003B5A93" w:rsidP="00134A85">
      <w:pPr>
        <w:spacing w:after="0" w:line="240" w:lineRule="auto"/>
        <w:jc w:val="both"/>
      </w:pPr>
    </w:p>
    <w:p w14:paraId="6471CE3E" w14:textId="29147EBF" w:rsidR="003B5A93" w:rsidRDefault="003B5A93" w:rsidP="00134A85">
      <w:pPr>
        <w:spacing w:after="0" w:line="240" w:lineRule="auto"/>
        <w:jc w:val="both"/>
      </w:pPr>
      <w:r>
        <w:t xml:space="preserve">Quand </w:t>
      </w:r>
      <w:r w:rsidR="00BE51CE">
        <w:t>d</w:t>
      </w:r>
      <w:r>
        <w:t xml:space="preserve">es pays en voie de développement pourront sortir de la spirale négative de la dette, </w:t>
      </w:r>
      <w:r w:rsidR="00BE51CE">
        <w:t>revenir</w:t>
      </w:r>
      <w:r>
        <w:t xml:space="preserve"> vers une balance commerciale positive ou équilibré et la fin de la dépendance envers les pays riches et le FMI</w:t>
      </w:r>
      <w:r w:rsidR="00BE51CE">
        <w:t xml:space="preserve">, </w:t>
      </w:r>
      <w:r>
        <w:t>alors</w:t>
      </w:r>
      <w:r w:rsidR="00BE51CE">
        <w:t xml:space="preserve"> l’</w:t>
      </w:r>
      <w:r w:rsidR="00BE51CE" w:rsidRPr="00BE51CE">
        <w:t xml:space="preserve"> </w:t>
      </w:r>
      <w:r w:rsidR="00BE51CE">
        <w:t>atteinte de ces objectifs (d’indépendance / d’autonomie financière) sera</w:t>
      </w:r>
      <w:r>
        <w:t xml:space="preserve"> </w:t>
      </w:r>
      <w:r w:rsidRPr="003B5A93">
        <w:rPr>
          <w:i/>
          <w:iCs/>
        </w:rPr>
        <w:t>source de fierté</w:t>
      </w:r>
      <w:r>
        <w:t xml:space="preserve"> pour </w:t>
      </w:r>
      <w:r w:rsidR="00BE51CE">
        <w:t>c</w:t>
      </w:r>
      <w:r>
        <w:t>es pays.</w:t>
      </w:r>
      <w:r w:rsidR="002516D3">
        <w:t xml:space="preserve"> Mais i</w:t>
      </w:r>
      <w:r w:rsidR="002516D3" w:rsidRPr="002516D3">
        <w:t>l ne faut pas, non plus, que la recherche de ce but puisse mener à une politique d'autarcie et de fermeture nationaliste (chauvine) alors que</w:t>
      </w:r>
      <w:r w:rsidR="002516D3">
        <w:t xml:space="preserve"> l’on sait que</w:t>
      </w:r>
      <w:r w:rsidR="002516D3" w:rsidRPr="002516D3">
        <w:t xml:space="preserve"> les échanges internationaux (équilibrés) sont nécessaires pour le développement économique global du monde entier</w:t>
      </w:r>
      <w:r w:rsidR="00810A6E">
        <w:t>, y compris</w:t>
      </w:r>
      <w:r w:rsidR="00BE51CE">
        <w:t xml:space="preserve"> pour</w:t>
      </w:r>
      <w:r w:rsidR="00810A6E">
        <w:t xml:space="preserve"> </w:t>
      </w:r>
      <w:r w:rsidR="00D65077">
        <w:t xml:space="preserve">celui </w:t>
      </w:r>
      <w:r w:rsidR="00810A6E">
        <w:t>des pays en voie de développement</w:t>
      </w:r>
      <w:r w:rsidR="00D65077">
        <w:rPr>
          <w:rStyle w:val="Appelnotedebasdep"/>
        </w:rPr>
        <w:footnoteReference w:id="272"/>
      </w:r>
      <w:r w:rsidR="002516D3" w:rsidRPr="002516D3">
        <w:t>.</w:t>
      </w:r>
    </w:p>
    <w:p w14:paraId="243C1006" w14:textId="77777777" w:rsidR="00182D75" w:rsidRDefault="00182D75" w:rsidP="00134A85">
      <w:pPr>
        <w:spacing w:after="0" w:line="240" w:lineRule="auto"/>
        <w:jc w:val="both"/>
      </w:pPr>
    </w:p>
    <w:p w14:paraId="77FF300B" w14:textId="5E5C2FF5" w:rsidR="00BB395B" w:rsidRDefault="00BB395B" w:rsidP="00236FCF">
      <w:pPr>
        <w:pStyle w:val="Titre2"/>
      </w:pPr>
      <w:bookmarkStart w:id="343" w:name="_Toc139181634"/>
      <w:r>
        <w:t>Reconquérir sa souveraineté alimentaire</w:t>
      </w:r>
      <w:r w:rsidR="00DC4284">
        <w:t xml:space="preserve"> (exemple)</w:t>
      </w:r>
      <w:bookmarkEnd w:id="343"/>
    </w:p>
    <w:p w14:paraId="081F14B6" w14:textId="1E5F80CB" w:rsidR="00D74E3E" w:rsidRDefault="00D74E3E" w:rsidP="00134A85">
      <w:pPr>
        <w:spacing w:after="0" w:line="240" w:lineRule="auto"/>
        <w:jc w:val="both"/>
      </w:pPr>
    </w:p>
    <w:p w14:paraId="50DCAD02" w14:textId="28080205" w:rsidR="00204BCC" w:rsidRPr="00204BCC" w:rsidRDefault="00204BCC" w:rsidP="00134A85">
      <w:pPr>
        <w:spacing w:after="0" w:line="240" w:lineRule="auto"/>
        <w:jc w:val="both"/>
        <w:rPr>
          <w:rFonts w:ascii="Calibri" w:hAnsi="Calibri" w:cs="Calibri"/>
        </w:rPr>
      </w:pPr>
      <w:r>
        <w:rPr>
          <w:rStyle w:val="Accentuation"/>
          <w:rFonts w:ascii="Calibri" w:hAnsi="Calibri" w:cs="Calibri"/>
          <w:color w:val="000000" w:themeColor="text1"/>
        </w:rPr>
        <w:t>« </w:t>
      </w:r>
      <w:r w:rsidRPr="00204BCC">
        <w:rPr>
          <w:rStyle w:val="Accentuation"/>
          <w:rFonts w:ascii="Calibri" w:hAnsi="Calibri" w:cs="Calibri"/>
          <w:color w:val="000000" w:themeColor="text1"/>
        </w:rPr>
        <w:t>La souveraineté alimentaire est le droit des peuples à une alimentation saine et culturellement appropriée produite avec des méthodes durables, et le droit des peuples de définir leurs propres systèmes agricoles et alimentaires</w:t>
      </w:r>
      <w:r>
        <w:rPr>
          <w:rStyle w:val="Accentuation"/>
          <w:rFonts w:ascii="Calibri" w:hAnsi="Calibri" w:cs="Calibri"/>
          <w:color w:val="000000" w:themeColor="text1"/>
        </w:rPr>
        <w:t xml:space="preserve">. </w:t>
      </w:r>
      <w:r w:rsidRPr="00204BCC">
        <w:rPr>
          <w:rStyle w:val="Accentuation"/>
          <w:rFonts w:ascii="Calibri" w:hAnsi="Calibri" w:cs="Calibri"/>
          <w:color w:val="000000" w:themeColor="text1"/>
        </w:rPr>
        <w:t>La sécurité alimentaire est un but, alors que la souveraineté alimentaire décrit les moyens d’y parvenir.</w:t>
      </w:r>
      <w:r>
        <w:rPr>
          <w:rStyle w:val="Accentuation"/>
          <w:rFonts w:ascii="Calibri" w:hAnsi="Calibri" w:cs="Calibri"/>
          <w:color w:val="000000" w:themeColor="text1"/>
        </w:rPr>
        <w:t> »</w:t>
      </w:r>
      <w:r w:rsidRPr="00204BCC">
        <w:rPr>
          <w:rStyle w:val="Accentuation"/>
          <w:rFonts w:ascii="Calibri" w:hAnsi="Calibri" w:cs="Calibri"/>
          <w:color w:val="000000" w:themeColor="text1"/>
        </w:rPr>
        <w:t xml:space="preserve">, </w:t>
      </w:r>
      <w:r w:rsidRPr="00204BCC">
        <w:rPr>
          <w:rStyle w:val="Accentuation"/>
          <w:rFonts w:ascii="Calibri" w:hAnsi="Calibri" w:cs="Calibri"/>
          <w:i w:val="0"/>
          <w:iCs w:val="0"/>
          <w:color w:val="000000" w:themeColor="text1"/>
        </w:rPr>
        <w:t>selon l’ONG </w:t>
      </w:r>
      <w:hyperlink r:id="rId3690" w:tgtFrame="_blank" w:history="1">
        <w:r w:rsidRPr="00204BCC">
          <w:rPr>
            <w:rStyle w:val="Lienhypertexte"/>
            <w:rFonts w:ascii="Calibri" w:hAnsi="Calibri" w:cs="Calibri"/>
            <w:color w:val="008189"/>
          </w:rPr>
          <w:t>La Via Campesina</w:t>
        </w:r>
      </w:hyperlink>
      <w:r>
        <w:rPr>
          <w:rStyle w:val="Appelnotedebasdep"/>
          <w:rFonts w:ascii="Calibri" w:hAnsi="Calibri" w:cs="Calibri"/>
        </w:rPr>
        <w:footnoteReference w:id="273"/>
      </w:r>
      <w:r w:rsidRPr="00204BCC">
        <w:rPr>
          <w:rFonts w:ascii="Calibri" w:hAnsi="Calibri" w:cs="Calibri"/>
        </w:rPr>
        <w:t>.</w:t>
      </w:r>
      <w:r>
        <w:rPr>
          <w:rFonts w:ascii="Calibri" w:hAnsi="Calibri" w:cs="Calibri"/>
        </w:rPr>
        <w:t xml:space="preserve"> </w:t>
      </w:r>
    </w:p>
    <w:p w14:paraId="5FBDC182" w14:textId="252A8348" w:rsidR="00204BCC" w:rsidRDefault="00204BCC" w:rsidP="00134A85">
      <w:pPr>
        <w:spacing w:after="0" w:line="240" w:lineRule="auto"/>
        <w:jc w:val="both"/>
        <w:rPr>
          <w:rFonts w:ascii="Calibri" w:hAnsi="Calibri" w:cs="Calibri"/>
          <w:color w:val="202122"/>
          <w:shd w:val="clear" w:color="auto" w:fill="FFFFFF"/>
        </w:rPr>
      </w:pPr>
      <w:r w:rsidRPr="00204BCC">
        <w:rPr>
          <w:rFonts w:ascii="Calibri" w:hAnsi="Calibri" w:cs="Calibri"/>
          <w:color w:val="000000" w:themeColor="text1"/>
          <w:shd w:val="clear" w:color="auto" w:fill="FFFFFF"/>
        </w:rPr>
        <w:t xml:space="preserve">La souveraineté alimentaire privilégie des techniques agricoles qui favorisent l'autonomie des paysans. Elle est donc favorable à </w:t>
      </w:r>
      <w:r w:rsidRPr="00204BCC">
        <w:rPr>
          <w:rFonts w:ascii="Calibri" w:hAnsi="Calibri" w:cs="Calibri"/>
          <w:color w:val="202122"/>
          <w:shd w:val="clear" w:color="auto" w:fill="FFFFFF"/>
        </w:rPr>
        <w:t>l'</w:t>
      </w:r>
      <w:hyperlink r:id="rId3691" w:tooltip="Agriculture biologique" w:history="1">
        <w:r w:rsidRPr="00204BCC">
          <w:rPr>
            <w:rStyle w:val="Lienhypertexte"/>
            <w:rFonts w:ascii="Calibri" w:hAnsi="Calibri" w:cs="Calibri"/>
            <w:color w:val="0645AD"/>
            <w:shd w:val="clear" w:color="auto" w:fill="FFFFFF"/>
          </w:rPr>
          <w:t>agriculture biologique</w:t>
        </w:r>
      </w:hyperlink>
      <w:r w:rsidR="0060695B">
        <w:rPr>
          <w:rFonts w:ascii="Calibri" w:hAnsi="Calibri" w:cs="Calibri"/>
          <w:color w:val="202122"/>
          <w:shd w:val="clear" w:color="auto" w:fill="FFFFFF"/>
        </w:rPr>
        <w:t>,</w:t>
      </w:r>
      <w:r w:rsidRPr="00204BCC">
        <w:rPr>
          <w:rFonts w:ascii="Calibri" w:hAnsi="Calibri" w:cs="Calibri"/>
          <w:color w:val="000000" w:themeColor="text1"/>
          <w:shd w:val="clear" w:color="auto" w:fill="FFFFFF"/>
        </w:rPr>
        <w:t xml:space="preserve"> à</w:t>
      </w:r>
      <w:r w:rsidRPr="00204BCC">
        <w:rPr>
          <w:rFonts w:ascii="Calibri" w:hAnsi="Calibri" w:cs="Calibri"/>
          <w:color w:val="202122"/>
          <w:shd w:val="clear" w:color="auto" w:fill="FFFFFF"/>
        </w:rPr>
        <w:t xml:space="preserve"> l'</w:t>
      </w:r>
      <w:hyperlink r:id="rId3692" w:tooltip="Agriculture paysanne" w:history="1">
        <w:r w:rsidRPr="00204BCC">
          <w:rPr>
            <w:rStyle w:val="Lienhypertexte"/>
            <w:rFonts w:ascii="Calibri" w:hAnsi="Calibri" w:cs="Calibri"/>
            <w:color w:val="0645AD"/>
            <w:shd w:val="clear" w:color="auto" w:fill="FFFFFF"/>
          </w:rPr>
          <w:t>agriculture paysanne</w:t>
        </w:r>
      </w:hyperlink>
      <w:r w:rsidR="0060695B">
        <w:rPr>
          <w:rFonts w:ascii="Calibri" w:hAnsi="Calibri" w:cs="Calibri"/>
        </w:rPr>
        <w:t xml:space="preserve"> et à la biodiversité locale</w:t>
      </w:r>
      <w:r w:rsidRPr="00204BCC">
        <w:rPr>
          <w:rFonts w:ascii="Calibri" w:hAnsi="Calibri" w:cs="Calibri"/>
          <w:color w:val="202122"/>
          <w:shd w:val="clear" w:color="auto" w:fill="FFFFFF"/>
        </w:rPr>
        <w:t xml:space="preserve">. </w:t>
      </w:r>
      <w:r w:rsidRPr="00204BCC">
        <w:rPr>
          <w:rFonts w:ascii="Calibri" w:hAnsi="Calibri" w:cs="Calibri"/>
          <w:i/>
          <w:iCs/>
          <w:color w:val="000000" w:themeColor="text1"/>
          <w:shd w:val="clear" w:color="auto" w:fill="FFFFFF"/>
        </w:rPr>
        <w:t>Mais elle refuse l'utilisation des plantes </w:t>
      </w:r>
      <w:hyperlink r:id="rId3693" w:tooltip="Organisme génétiquement modifié" w:history="1">
        <w:r w:rsidRPr="00204BCC">
          <w:rPr>
            <w:rStyle w:val="Lienhypertexte"/>
            <w:rFonts w:ascii="Calibri" w:hAnsi="Calibri" w:cs="Calibri"/>
            <w:i/>
            <w:iCs/>
            <w:color w:val="0645AD"/>
            <w:shd w:val="clear" w:color="auto" w:fill="FFFFFF"/>
          </w:rPr>
          <w:t>transgéniques</w:t>
        </w:r>
      </w:hyperlink>
      <w:r w:rsidRPr="00204BCC">
        <w:rPr>
          <w:rFonts w:ascii="Calibri" w:hAnsi="Calibri" w:cs="Calibri"/>
          <w:i/>
          <w:iCs/>
          <w:color w:val="202122"/>
          <w:shd w:val="clear" w:color="auto" w:fill="FFFFFF"/>
        </w:rPr>
        <w:t> </w:t>
      </w:r>
      <w:r w:rsidRPr="00204BCC">
        <w:rPr>
          <w:rFonts w:ascii="Calibri" w:hAnsi="Calibri" w:cs="Calibri"/>
          <w:i/>
          <w:iCs/>
          <w:color w:val="000000" w:themeColor="text1"/>
          <w:shd w:val="clear" w:color="auto" w:fill="FFFFFF"/>
        </w:rPr>
        <w:t>en agriculture</w:t>
      </w:r>
      <w:r>
        <w:rPr>
          <w:rFonts w:ascii="Calibri" w:hAnsi="Calibri" w:cs="Calibri"/>
          <w:color w:val="000000" w:themeColor="text1"/>
          <w:shd w:val="clear" w:color="auto" w:fill="FFFFFF"/>
        </w:rPr>
        <w:t xml:space="preserve"> (un dernier point de vue pouvant être critiquable, car ne reposant pas sur des arguments scientifiques prouvés)</w:t>
      </w:r>
      <w:r w:rsidRPr="00204BCC">
        <w:rPr>
          <w:rFonts w:ascii="Calibri" w:hAnsi="Calibri" w:cs="Calibri"/>
          <w:color w:val="202122"/>
          <w:shd w:val="clear" w:color="auto" w:fill="FFFFFF"/>
        </w:rPr>
        <w:t>.</w:t>
      </w:r>
    </w:p>
    <w:p w14:paraId="39CC1DCC" w14:textId="669FF03A" w:rsidR="0060695B" w:rsidRPr="0060695B" w:rsidRDefault="0060695B" w:rsidP="00134A85">
      <w:pPr>
        <w:spacing w:after="0" w:line="240" w:lineRule="auto"/>
        <w:jc w:val="both"/>
        <w:rPr>
          <w:rFonts w:ascii="Calibri" w:hAnsi="Calibri" w:cs="Calibri"/>
          <w:color w:val="000000" w:themeColor="text1"/>
          <w:shd w:val="clear" w:color="auto" w:fill="FFFFFF"/>
        </w:rPr>
      </w:pPr>
    </w:p>
    <w:p w14:paraId="20CFC819" w14:textId="3F2EAB80" w:rsidR="0060695B" w:rsidRPr="0060695B" w:rsidRDefault="0060695B" w:rsidP="00134A85">
      <w:pPr>
        <w:spacing w:after="0" w:line="240" w:lineRule="auto"/>
        <w:jc w:val="both"/>
        <w:rPr>
          <w:rFonts w:ascii="Calibri" w:hAnsi="Calibri" w:cs="Calibri"/>
          <w:color w:val="000000" w:themeColor="text1"/>
          <w:u w:val="single"/>
          <w:shd w:val="clear" w:color="auto" w:fill="FFFFFF"/>
        </w:rPr>
      </w:pPr>
      <w:r w:rsidRPr="0060695B">
        <w:rPr>
          <w:rFonts w:ascii="Calibri" w:hAnsi="Calibri" w:cs="Calibri"/>
          <w:color w:val="000000" w:themeColor="text1"/>
          <w:u w:val="single"/>
          <w:shd w:val="clear" w:color="auto" w:fill="FFFFFF"/>
        </w:rPr>
        <w:t>Craintes de perte de biodiversité avec la mondialisation, justifiées ou non ?</w:t>
      </w:r>
    </w:p>
    <w:p w14:paraId="7C7620BE" w14:textId="5AD311A8" w:rsidR="0060695B" w:rsidRDefault="0060695B" w:rsidP="00134A85">
      <w:pPr>
        <w:spacing w:after="0" w:line="240" w:lineRule="auto"/>
        <w:jc w:val="both"/>
        <w:rPr>
          <w:rFonts w:ascii="Calibri" w:hAnsi="Calibri" w:cs="Calibri"/>
          <w:color w:val="000000" w:themeColor="text1"/>
          <w:shd w:val="clear" w:color="auto" w:fill="FFFFFF"/>
        </w:rPr>
      </w:pPr>
    </w:p>
    <w:p w14:paraId="6E5944F4" w14:textId="3F557C3D" w:rsidR="0060695B" w:rsidRDefault="0060695B" w:rsidP="00134A85">
      <w:pPr>
        <w:spacing w:after="0" w:line="240" w:lineRule="auto"/>
        <w:jc w:val="both"/>
        <w:rPr>
          <w:rFonts w:ascii="Calibri" w:hAnsi="Calibri" w:cs="Calibri"/>
          <w:color w:val="000000" w:themeColor="text1"/>
          <w:shd w:val="clear" w:color="auto" w:fill="FFFFFF"/>
        </w:rPr>
      </w:pPr>
      <w:r w:rsidRPr="0060695B">
        <w:rPr>
          <w:rFonts w:ascii="Calibri" w:hAnsi="Calibri" w:cs="Calibri"/>
          <w:color w:val="000000" w:themeColor="text1"/>
          <w:u w:val="single"/>
          <w:shd w:val="clear" w:color="auto" w:fill="FFFFFF"/>
        </w:rPr>
        <w:t>Cas du maïs mexicain, face au maïs américain avec l’ALENA</w:t>
      </w:r>
      <w:r>
        <w:rPr>
          <w:rFonts w:ascii="Calibri" w:hAnsi="Calibri" w:cs="Calibri"/>
          <w:color w:val="000000" w:themeColor="text1"/>
          <w:shd w:val="clear" w:color="auto" w:fill="FFFFFF"/>
        </w:rPr>
        <w:t xml:space="preserve"> : </w:t>
      </w:r>
    </w:p>
    <w:p w14:paraId="13E81567" w14:textId="77777777" w:rsidR="0060695B" w:rsidRDefault="0060695B" w:rsidP="0060695B">
      <w:pPr>
        <w:spacing w:after="0" w:line="240" w:lineRule="auto"/>
        <w:jc w:val="both"/>
        <w:rPr>
          <w:rFonts w:ascii="Calibri" w:hAnsi="Calibri" w:cs="Calibri"/>
          <w:color w:val="000000" w:themeColor="text1"/>
        </w:rPr>
      </w:pPr>
    </w:p>
    <w:p w14:paraId="4D8C002F" w14:textId="5377E703" w:rsidR="0060695B" w:rsidRPr="0060695B" w:rsidRDefault="0060695B" w:rsidP="0060695B">
      <w:pPr>
        <w:spacing w:after="0" w:line="240" w:lineRule="auto"/>
        <w:jc w:val="both"/>
        <w:rPr>
          <w:rFonts w:ascii="Calibri" w:hAnsi="Calibri" w:cs="Calibri"/>
          <w:color w:val="000000" w:themeColor="text1"/>
        </w:rPr>
      </w:pPr>
      <w:r>
        <w:rPr>
          <w:rFonts w:ascii="Calibri" w:hAnsi="Calibri" w:cs="Calibri"/>
          <w:color w:val="000000" w:themeColor="text1"/>
        </w:rPr>
        <w:t>« </w:t>
      </w:r>
      <w:r w:rsidRPr="0060695B">
        <w:rPr>
          <w:rFonts w:ascii="Calibri" w:hAnsi="Calibri" w:cs="Calibri"/>
          <w:i/>
          <w:iCs/>
          <w:color w:val="000000" w:themeColor="text1"/>
        </w:rPr>
        <w:t>Avant son entrée dans l’ALENA (Accord de Libre Echange Nord</w:t>
      </w:r>
      <w:r w:rsidR="00272EF6">
        <w:rPr>
          <w:rFonts w:ascii="Calibri" w:hAnsi="Calibri" w:cs="Calibri"/>
          <w:i/>
          <w:iCs/>
          <w:color w:val="000000" w:themeColor="text1"/>
        </w:rPr>
        <w:t>-</w:t>
      </w:r>
      <w:r w:rsidRPr="0060695B">
        <w:rPr>
          <w:rFonts w:ascii="Calibri" w:hAnsi="Calibri" w:cs="Calibri"/>
          <w:i/>
          <w:iCs/>
          <w:color w:val="000000" w:themeColor="text1"/>
        </w:rPr>
        <w:t>Américain) en 1994, le pays protégeait son marché intérieur par des barrières douanières, garantissait des prix élevés à ses agriculteurs et subventionnait la consommation. Avec la libéralisation et l'arrêt du soutien des prix aux agriculteurs, de nombreuses études annonçaient un exode rural massif et l’abandon de la culture des variétés locales, donc une perte de la biodiversité. Finalement, ces conséquences ne se sont pas vérifiées, parce que 20 % des agriculteurs étaient déconnectés du marché, produisant pour leur usage personnel, et que d’autres agriculteurs étaient concurrentiels (donc non affectés par les changements de prix). Parmi les 40 % d’agriculteurs qui se situaient entre ces deux catégories, beaucoup ont poursuivi l'activité agricole et en particulier la culture des variétés locales, même s'ils l'ont réduite, car elle correspondait au goût du marché régional. Ils ont augmenté les surfaces en maïs hybride, pour s’adapter à des prix plus faibles. Contrairement aux attentes, la biodiversité a donc été préservée</w:t>
      </w:r>
      <w:r>
        <w:rPr>
          <w:rFonts w:ascii="Calibri" w:hAnsi="Calibri" w:cs="Calibri"/>
          <w:color w:val="000000" w:themeColor="text1"/>
        </w:rPr>
        <w:t> »</w:t>
      </w:r>
      <w:r w:rsidR="009955E5">
        <w:rPr>
          <w:rStyle w:val="Appelnotedebasdep"/>
          <w:rFonts w:ascii="Calibri" w:hAnsi="Calibri" w:cs="Calibri"/>
          <w:color w:val="000000" w:themeColor="text1"/>
        </w:rPr>
        <w:footnoteReference w:id="274"/>
      </w:r>
      <w:r w:rsidRPr="0060695B">
        <w:rPr>
          <w:rFonts w:ascii="Calibri" w:hAnsi="Calibri" w:cs="Calibri"/>
          <w:color w:val="000000" w:themeColor="text1"/>
        </w:rPr>
        <w:t>.</w:t>
      </w:r>
    </w:p>
    <w:p w14:paraId="72C91A6F" w14:textId="77777777" w:rsidR="00204BCC" w:rsidRPr="0060695B" w:rsidRDefault="00204BCC" w:rsidP="00134A85">
      <w:pPr>
        <w:spacing w:after="0" w:line="240" w:lineRule="auto"/>
        <w:jc w:val="both"/>
        <w:rPr>
          <w:color w:val="000000" w:themeColor="text1"/>
        </w:rPr>
      </w:pPr>
    </w:p>
    <w:p w14:paraId="6985329A" w14:textId="39E64FFB" w:rsidR="003B5A93" w:rsidRDefault="0085473D" w:rsidP="00134A85">
      <w:pPr>
        <w:spacing w:after="0" w:line="240" w:lineRule="auto"/>
        <w:jc w:val="both"/>
      </w:pPr>
      <w:r w:rsidRPr="0085473D">
        <w:t>Au Sénégal, le pain a remplacé la plupart des recettes locales pour le petit déjeuner, sa consommation est exponentielle. Mais puisqu’il est fabriqué à partir de farine de blé importée, le Sénégal dépend de cette importation. Le prix du blé peut évoluer, les boulangers ne sont donc pas à l’abri d’un choc, d’une hausse des prix. Remplacer le blé par des céréales locales permet d’avoir plus d’autonomie alimentaire.</w:t>
      </w:r>
    </w:p>
    <w:p w14:paraId="53972D9E" w14:textId="77777777" w:rsidR="00272EF6" w:rsidRDefault="00272EF6" w:rsidP="00134A85">
      <w:pPr>
        <w:spacing w:after="0" w:line="240" w:lineRule="auto"/>
        <w:jc w:val="both"/>
      </w:pPr>
    </w:p>
    <w:p w14:paraId="05E69E83" w14:textId="3DCADBE5" w:rsidR="0085473D" w:rsidRDefault="0085473D" w:rsidP="00134A85">
      <w:pPr>
        <w:spacing w:after="0" w:line="240" w:lineRule="auto"/>
        <w:jc w:val="both"/>
      </w:pPr>
      <w:r>
        <w:t xml:space="preserve">Grâce au </w:t>
      </w:r>
      <w:r w:rsidRPr="0085473D">
        <w:rPr>
          <w:rFonts w:ascii="Calibri" w:hAnsi="Calibri" w:cs="Calibri"/>
          <w:color w:val="000000"/>
          <w:spacing w:val="-1"/>
          <w:shd w:val="clear" w:color="auto" w:fill="FFFFFF"/>
        </w:rPr>
        <w:t>projet porté par l’association </w:t>
      </w:r>
      <w:hyperlink r:id="rId3694" w:tgtFrame="_blank" w:history="1">
        <w:r w:rsidRPr="0085473D">
          <w:rPr>
            <w:rStyle w:val="Lienhypertexte"/>
            <w:rFonts w:ascii="Calibri" w:hAnsi="Calibri" w:cs="Calibri"/>
            <w:color w:val="000000"/>
            <w:spacing w:val="-1"/>
            <w:shd w:val="clear" w:color="auto" w:fill="FFFFFF"/>
          </w:rPr>
          <w:t>SOL</w:t>
        </w:r>
      </w:hyperlink>
      <w:r w:rsidRPr="0085473D">
        <w:rPr>
          <w:rStyle w:val="Appelnotedebasdep"/>
          <w:rFonts w:ascii="Calibri" w:hAnsi="Calibri" w:cs="Calibri"/>
        </w:rPr>
        <w:footnoteReference w:id="275"/>
      </w:r>
      <w:r w:rsidRPr="0085473D">
        <w:rPr>
          <w:rFonts w:ascii="Calibri" w:hAnsi="Calibri" w:cs="Calibri"/>
          <w:color w:val="000000"/>
          <w:spacing w:val="-1"/>
          <w:shd w:val="clear" w:color="auto" w:fill="FFFFFF"/>
        </w:rPr>
        <w:t> et par la </w:t>
      </w:r>
      <w:hyperlink r:id="rId3695" w:tgtFrame="_blank" w:history="1">
        <w:r w:rsidRPr="0085473D">
          <w:rPr>
            <w:rStyle w:val="Lienhypertexte"/>
            <w:rFonts w:ascii="Calibri" w:hAnsi="Calibri" w:cs="Calibri"/>
            <w:color w:val="000000"/>
            <w:spacing w:val="-1"/>
            <w:shd w:val="clear" w:color="auto" w:fill="FFFFFF"/>
          </w:rPr>
          <w:t>FONGS</w:t>
        </w:r>
      </w:hyperlink>
      <w:r w:rsidRPr="0085473D">
        <w:rPr>
          <w:rFonts w:ascii="Calibri" w:hAnsi="Calibri" w:cs="Calibri"/>
          <w:color w:val="000000"/>
          <w:spacing w:val="-1"/>
          <w:shd w:val="clear" w:color="auto" w:fill="FFFFFF"/>
        </w:rPr>
        <w:t> (Fédération des Organisations Non-Gouvernementales du Sénégal)</w:t>
      </w:r>
      <w:r>
        <w:rPr>
          <w:rStyle w:val="Appelnotedebasdep"/>
          <w:rFonts w:ascii="Calibri" w:hAnsi="Calibri" w:cs="Calibri"/>
          <w:color w:val="000000"/>
          <w:spacing w:val="-1"/>
          <w:shd w:val="clear" w:color="auto" w:fill="FFFFFF"/>
        </w:rPr>
        <w:footnoteReference w:id="276"/>
      </w:r>
      <w:r w:rsidRPr="0085473D">
        <w:rPr>
          <w:rFonts w:ascii="Calibri" w:hAnsi="Calibri" w:cs="Calibri"/>
          <w:color w:val="000000"/>
          <w:spacing w:val="-1"/>
          <w:shd w:val="clear" w:color="auto" w:fill="FFFFFF"/>
        </w:rPr>
        <w:t> :</w:t>
      </w:r>
    </w:p>
    <w:p w14:paraId="14A5F479" w14:textId="77777777" w:rsidR="0085473D" w:rsidRDefault="0085473D" w:rsidP="0085473D">
      <w:pPr>
        <w:spacing w:after="0" w:line="240" w:lineRule="auto"/>
        <w:jc w:val="both"/>
      </w:pPr>
    </w:p>
    <w:p w14:paraId="3DA089C5" w14:textId="13552EB0" w:rsidR="0085473D" w:rsidRDefault="0085473D" w:rsidP="0085473D">
      <w:pPr>
        <w:pStyle w:val="Paragraphedeliste"/>
        <w:numPr>
          <w:ilvl w:val="0"/>
          <w:numId w:val="121"/>
        </w:numPr>
        <w:spacing w:after="0" w:line="240" w:lineRule="auto"/>
        <w:ind w:left="426"/>
        <w:jc w:val="both"/>
      </w:pPr>
      <w:r>
        <w:lastRenderedPageBreak/>
        <w:t>Les femmes sont facilement parvenues à remplacer la farine de blé par les céréales locales (mil et le maïs), dans leur alimentation.</w:t>
      </w:r>
    </w:p>
    <w:p w14:paraId="3BA35B5D" w14:textId="1039F571" w:rsidR="0085473D" w:rsidRDefault="0085473D" w:rsidP="0085473D">
      <w:pPr>
        <w:pStyle w:val="Paragraphedeliste"/>
        <w:numPr>
          <w:ilvl w:val="0"/>
          <w:numId w:val="121"/>
        </w:numPr>
        <w:spacing w:after="0" w:line="240" w:lineRule="auto"/>
        <w:ind w:left="426"/>
        <w:jc w:val="both"/>
      </w:pPr>
      <w:r>
        <w:t>Les boulangers arrivent à incorporer de 15 à 30% de céréales locales dans leurs produits.</w:t>
      </w:r>
    </w:p>
    <w:p w14:paraId="1A89AD45" w14:textId="484C298E" w:rsidR="0060695B" w:rsidRDefault="0060695B" w:rsidP="0060695B">
      <w:pPr>
        <w:spacing w:after="0" w:line="240" w:lineRule="auto"/>
        <w:ind w:left="66"/>
        <w:jc w:val="both"/>
      </w:pPr>
    </w:p>
    <w:p w14:paraId="2CE304B4" w14:textId="726409E8" w:rsidR="00B66C03" w:rsidRDefault="00B66C03" w:rsidP="0060695B">
      <w:pPr>
        <w:spacing w:after="0" w:line="240" w:lineRule="auto"/>
        <w:ind w:left="66"/>
        <w:jc w:val="both"/>
      </w:pPr>
      <w:r>
        <w:t>Le tout est de savoir si cette filière sera viable sur le long terme.</w:t>
      </w:r>
    </w:p>
    <w:p w14:paraId="33D28DF9" w14:textId="77777777" w:rsidR="00B66C03" w:rsidRDefault="00B66C03" w:rsidP="0060695B">
      <w:pPr>
        <w:spacing w:after="0" w:line="240" w:lineRule="auto"/>
        <w:ind w:left="66"/>
        <w:jc w:val="both"/>
      </w:pPr>
    </w:p>
    <w:p w14:paraId="0FCF79D9" w14:textId="4EE9D37C" w:rsidR="00B66C03" w:rsidRPr="00B66C03" w:rsidRDefault="00B66C03" w:rsidP="00B66C03">
      <w:pPr>
        <w:spacing w:after="0" w:line="240" w:lineRule="auto"/>
        <w:jc w:val="both"/>
        <w:rPr>
          <w:u w:val="single"/>
        </w:rPr>
      </w:pPr>
      <w:r w:rsidRPr="00B66C03">
        <w:rPr>
          <w:u w:val="single"/>
        </w:rPr>
        <w:t>Au Sénégal, gel de l’importation d’oignons étrangers pour protéger la production locale d’oignon</w:t>
      </w:r>
      <w:r>
        <w:rPr>
          <w:u w:val="single"/>
        </w:rPr>
        <w:t>s</w:t>
      </w:r>
    </w:p>
    <w:p w14:paraId="07BFB0E5" w14:textId="7B631BCD" w:rsidR="0060695B" w:rsidRDefault="0060695B" w:rsidP="0060695B">
      <w:pPr>
        <w:spacing w:after="0" w:line="240" w:lineRule="auto"/>
        <w:ind w:left="66"/>
        <w:jc w:val="both"/>
      </w:pPr>
    </w:p>
    <w:p w14:paraId="242E8CEC" w14:textId="769F5EE8" w:rsidR="00B66C03" w:rsidRDefault="00B66C03" w:rsidP="0060695B">
      <w:pPr>
        <w:spacing w:after="0" w:line="240" w:lineRule="auto"/>
        <w:ind w:left="66"/>
        <w:jc w:val="both"/>
      </w:pPr>
      <w:r>
        <w:t>« </w:t>
      </w:r>
      <w:r w:rsidRPr="00B66C03">
        <w:rPr>
          <w:i/>
          <w:iCs/>
        </w:rPr>
        <w:t>Au Sénégal, la production locale d’oignon était fortement concurrencée par les importations, surtout lors des pics de récolte. Des concertations au sein d’un comité oignon, initié par l’Agence de régulation des marchés, permettent de réduire cette concurrence, grâce à un gel temporaire des importations</w:t>
      </w:r>
      <w:r>
        <w:t> »</w:t>
      </w:r>
      <w:r>
        <w:rPr>
          <w:rStyle w:val="Appelnotedebasdep"/>
        </w:rPr>
        <w:footnoteReference w:id="277"/>
      </w:r>
      <w:r w:rsidRPr="00B66C03">
        <w:t>.</w:t>
      </w:r>
    </w:p>
    <w:p w14:paraId="5B08D162" w14:textId="7DF8CD02" w:rsidR="00B66C03" w:rsidRDefault="00B66C03" w:rsidP="0060695B">
      <w:pPr>
        <w:spacing w:after="0" w:line="240" w:lineRule="auto"/>
        <w:ind w:left="66"/>
        <w:jc w:val="both"/>
      </w:pPr>
      <w:r>
        <w:t>Hors de ces périodes, les oignons importés sont surtaxés à 20%</w:t>
      </w:r>
      <w:r w:rsidR="0070789F">
        <w:t xml:space="preserve"> (en 2019)</w:t>
      </w:r>
      <w:r w:rsidR="0070789F">
        <w:rPr>
          <w:rStyle w:val="Appelnotedebasdep"/>
        </w:rPr>
        <w:footnoteReference w:id="278"/>
      </w:r>
      <w:r>
        <w:t>.</w:t>
      </w:r>
    </w:p>
    <w:p w14:paraId="5052499B" w14:textId="507EDB85" w:rsidR="00B66C03" w:rsidRPr="00B66C03" w:rsidRDefault="00B66C03" w:rsidP="00B66C03">
      <w:pPr>
        <w:spacing w:after="0" w:line="240" w:lineRule="auto"/>
        <w:ind w:left="66"/>
        <w:jc w:val="both"/>
        <w:rPr>
          <w:i/>
          <w:iCs/>
        </w:rPr>
      </w:pPr>
      <w:r>
        <w:t>« </w:t>
      </w:r>
      <w:r w:rsidRPr="00B66C03">
        <w:rPr>
          <w:i/>
          <w:iCs/>
        </w:rPr>
        <w:t>Le gel des importations d’oignons [a permis] aux nombreux producteurs sénégalais d’écouler sans problèmes leur production qui arrive timidement sur le marché.</w:t>
      </w:r>
    </w:p>
    <w:p w14:paraId="2A56356C" w14:textId="2A5D138A" w:rsidR="00B66C03" w:rsidRDefault="00B66C03" w:rsidP="00B66C03">
      <w:pPr>
        <w:spacing w:after="0" w:line="240" w:lineRule="auto"/>
        <w:ind w:left="66"/>
        <w:jc w:val="both"/>
      </w:pPr>
      <w:r w:rsidRPr="00B66C03">
        <w:rPr>
          <w:i/>
          <w:iCs/>
        </w:rPr>
        <w:t>Cette mesure décidée depuis plusieurs années par les autorités a permis de booster la production d’oignons du Sénégal qui est passée de 40 000 tonnes en 2003 à 260 000 tonnes en 2013, soit une forte progression de 550%</w:t>
      </w:r>
      <w:r>
        <w:t> »</w:t>
      </w:r>
      <w:r>
        <w:rPr>
          <w:rStyle w:val="Appelnotedebasdep"/>
        </w:rPr>
        <w:footnoteReference w:id="279"/>
      </w:r>
      <w:r>
        <w:t>.</w:t>
      </w:r>
    </w:p>
    <w:p w14:paraId="15925895" w14:textId="5C0B788C" w:rsidR="00B66C03" w:rsidRDefault="00B66C03" w:rsidP="00B66C03">
      <w:pPr>
        <w:spacing w:after="0" w:line="240" w:lineRule="auto"/>
        <w:ind w:left="66"/>
        <w:jc w:val="both"/>
      </w:pPr>
    </w:p>
    <w:p w14:paraId="3F1C7BFC" w14:textId="52B69842" w:rsidR="0070789F" w:rsidRDefault="0070789F" w:rsidP="00B66C03">
      <w:pPr>
        <w:spacing w:after="0" w:line="240" w:lineRule="auto"/>
        <w:ind w:left="66"/>
        <w:jc w:val="both"/>
      </w:pPr>
      <w:r>
        <w:t>La Gambie applique le même type de mesure : « </w:t>
      </w:r>
      <w:r w:rsidRPr="0070789F">
        <w:rPr>
          <w:i/>
          <w:iCs/>
        </w:rPr>
        <w:t>Des droits à l'importation additionnels sont prélevés par la Gambie sur les oignons et les pommes de terre pendant la période de récolte, afin de protéger les producteurs locaux</w:t>
      </w:r>
      <w:r>
        <w:t> »</w:t>
      </w:r>
      <w:r>
        <w:rPr>
          <w:rStyle w:val="Appelnotedebasdep"/>
        </w:rPr>
        <w:footnoteReference w:id="280"/>
      </w:r>
      <w:r w:rsidRPr="0070789F">
        <w:t>.</w:t>
      </w:r>
    </w:p>
    <w:p w14:paraId="41FC003B" w14:textId="7C1F0165" w:rsidR="0070789F" w:rsidRDefault="0070789F" w:rsidP="00B66C03">
      <w:pPr>
        <w:spacing w:after="0" w:line="240" w:lineRule="auto"/>
        <w:ind w:left="66"/>
        <w:jc w:val="both"/>
      </w:pPr>
    </w:p>
    <w:p w14:paraId="4C858B0F" w14:textId="213BCC23" w:rsidR="00702479" w:rsidRDefault="00702479" w:rsidP="00702479">
      <w:pPr>
        <w:pStyle w:val="Titre2"/>
      </w:pPr>
      <w:bookmarkStart w:id="344" w:name="_Toc139181635"/>
      <w:r>
        <w:t>Conclusion partielle sur ce chapitre</w:t>
      </w:r>
      <w:bookmarkEnd w:id="344"/>
    </w:p>
    <w:p w14:paraId="0DE8AA63" w14:textId="77777777" w:rsidR="00702479" w:rsidRDefault="00702479" w:rsidP="00B66C03">
      <w:pPr>
        <w:spacing w:after="0" w:line="240" w:lineRule="auto"/>
        <w:ind w:left="66"/>
        <w:jc w:val="both"/>
      </w:pPr>
    </w:p>
    <w:p w14:paraId="495177F4" w14:textId="5E2EDF68" w:rsidR="00E0380F" w:rsidRDefault="00E0380F" w:rsidP="00B66C03">
      <w:pPr>
        <w:spacing w:after="0" w:line="240" w:lineRule="auto"/>
        <w:ind w:left="66"/>
        <w:jc w:val="both"/>
      </w:pPr>
      <w:r>
        <w:t xml:space="preserve">Nous ne pensons pas qu’il existe des solutions miracles et simples dans ces domaines. </w:t>
      </w:r>
    </w:p>
    <w:p w14:paraId="473D9264" w14:textId="50031398" w:rsidR="00E0380F" w:rsidRDefault="00E0380F" w:rsidP="00B66C03">
      <w:pPr>
        <w:spacing w:after="0" w:line="240" w:lineRule="auto"/>
        <w:ind w:left="66"/>
        <w:jc w:val="both"/>
      </w:pPr>
      <w:r>
        <w:t>Elever des droits de douane, autour d’un produit, peut aider à protéger sa production et ses agriculteurs, mais cette action peut</w:t>
      </w:r>
      <w:r w:rsidR="00BE1C70">
        <w:t xml:space="preserve"> aussi</w:t>
      </w:r>
      <w:r>
        <w:t xml:space="preserve"> provoquer des mesures de rétorsion</w:t>
      </w:r>
      <w:r w:rsidR="00BE1C70">
        <w:t xml:space="preserve">. C’est </w:t>
      </w:r>
      <w:r>
        <w:t>don</w:t>
      </w:r>
      <w:r w:rsidR="00BE1C70">
        <w:t>c</w:t>
      </w:r>
      <w:r>
        <w:t xml:space="preserve"> une mesure à utiliser avec pr</w:t>
      </w:r>
      <w:r w:rsidR="00992839">
        <w:t>u</w:t>
      </w:r>
      <w:r>
        <w:t>dence</w:t>
      </w:r>
      <w:r w:rsidR="00BE1C70">
        <w:t>. E</w:t>
      </w:r>
      <w:r w:rsidR="00992839">
        <w:t>t</w:t>
      </w:r>
      <w:r w:rsidR="00BE1C70">
        <w:t xml:space="preserve"> mieux vaut alors</w:t>
      </w:r>
      <w:r>
        <w:t xml:space="preserve"> en inform</w:t>
      </w:r>
      <w:r w:rsidR="00BE1C70">
        <w:t>er</w:t>
      </w:r>
      <w:r>
        <w:t xml:space="preserve"> </w:t>
      </w:r>
      <w:r w:rsidR="00992839">
        <w:t>éventuellement l’OMC et l’OCDE sur les raisons</w:t>
      </w:r>
      <w:r w:rsidR="00BE1C70">
        <w:t xml:space="preserve"> (le pourquoi)</w:t>
      </w:r>
      <w:r w:rsidR="00992839">
        <w:t xml:space="preserve"> de cette mesure</w:t>
      </w:r>
      <w:r w:rsidR="00DE4600">
        <w:t xml:space="preserve"> et sur son caractère </w:t>
      </w:r>
      <w:r w:rsidR="00DE4600" w:rsidRPr="00DE4600">
        <w:t>incontournab</w:t>
      </w:r>
      <w:r w:rsidR="00DE4600">
        <w:t>le (inévitable)</w:t>
      </w:r>
      <w:r w:rsidR="00992839">
        <w:t>.</w:t>
      </w:r>
    </w:p>
    <w:p w14:paraId="3D714526" w14:textId="3D76892A" w:rsidR="00DE4600" w:rsidRDefault="00DE4600" w:rsidP="00B66C03">
      <w:pPr>
        <w:spacing w:after="0" w:line="240" w:lineRule="auto"/>
        <w:ind w:left="66"/>
        <w:jc w:val="both"/>
      </w:pPr>
    </w:p>
    <w:p w14:paraId="1A36C774" w14:textId="77777777" w:rsidR="00272EF6" w:rsidRDefault="00E46969" w:rsidP="00DE4600">
      <w:pPr>
        <w:spacing w:after="0" w:line="240" w:lineRule="auto"/>
        <w:jc w:val="both"/>
      </w:pPr>
      <w:r>
        <w:t>Parfois, certains dictateurs ou politiciens, sans états d’âme, n’hésitent pas à vendre à l’export les productions agricoles locales, à augmenter durement les impôts, à supprimer les subvention agricoles aux petits paysans, afin de réduire la dette publique et le déficit de la balance commerciale</w:t>
      </w:r>
      <w:r>
        <w:rPr>
          <w:rStyle w:val="Appelnotedebasdep"/>
        </w:rPr>
        <w:footnoteReference w:id="281"/>
      </w:r>
      <w:r>
        <w:t>, au risque d’affamer la population et/ou de déclencher des émeutes</w:t>
      </w:r>
      <w:r w:rsidR="00606F0D">
        <w:rPr>
          <w:rStyle w:val="Appelnotedebasdep"/>
        </w:rPr>
        <w:footnoteReference w:id="282"/>
      </w:r>
      <w:r>
        <w:t xml:space="preserve">. </w:t>
      </w:r>
    </w:p>
    <w:p w14:paraId="6C6AD011" w14:textId="77777777" w:rsidR="00272EF6" w:rsidRDefault="00272EF6" w:rsidP="00DE4600">
      <w:pPr>
        <w:spacing w:after="0" w:line="240" w:lineRule="auto"/>
        <w:jc w:val="both"/>
      </w:pPr>
    </w:p>
    <w:p w14:paraId="5321992B" w14:textId="7315385D" w:rsidR="00E46969" w:rsidRDefault="00272EF6" w:rsidP="00DE4600">
      <w:pPr>
        <w:spacing w:after="0" w:line="240" w:lineRule="auto"/>
        <w:jc w:val="both"/>
      </w:pPr>
      <w:r>
        <w:t>E</w:t>
      </w:r>
      <w:r w:rsidR="00E46969">
        <w:t>n résumé, il n’existe pas de solutions simples, il y a lieu de s’adapter selon les circonstance et à faire constamment des compromis entre des objectifs souvent inconciliables.</w:t>
      </w:r>
    </w:p>
    <w:p w14:paraId="2A36FF13" w14:textId="1AE44CC1" w:rsidR="00231B39" w:rsidRDefault="00231B39" w:rsidP="00DE4600">
      <w:pPr>
        <w:spacing w:after="0" w:line="240" w:lineRule="auto"/>
        <w:jc w:val="both"/>
      </w:pPr>
    </w:p>
    <w:p w14:paraId="7BD83F82" w14:textId="77777777" w:rsidR="00231B39" w:rsidRDefault="00231B39" w:rsidP="00231B39">
      <w:pPr>
        <w:spacing w:after="0" w:line="240" w:lineRule="auto"/>
        <w:jc w:val="both"/>
        <w:rPr>
          <w:color w:val="000000" w:themeColor="text1"/>
        </w:rPr>
      </w:pPr>
      <w:r>
        <w:t xml:space="preserve">Il n’est pas toujours facile de déterminer quel </w:t>
      </w:r>
      <w:r w:rsidRPr="00231B39">
        <w:rPr>
          <w:color w:val="000000" w:themeColor="text1"/>
        </w:rPr>
        <w:t>modèle économique choisir </w:t>
      </w:r>
      <w:r>
        <w:rPr>
          <w:color w:val="000000" w:themeColor="text1"/>
        </w:rPr>
        <w:t>(</w:t>
      </w:r>
      <w:r w:rsidRPr="00231B39">
        <w:rPr>
          <w:color w:val="000000" w:themeColor="text1"/>
        </w:rPr>
        <w:t>?</w:t>
      </w:r>
      <w:r>
        <w:rPr>
          <w:color w:val="000000" w:themeColor="text1"/>
        </w:rPr>
        <w:t>) :</w:t>
      </w:r>
    </w:p>
    <w:p w14:paraId="2A4EE4B6" w14:textId="77777777" w:rsidR="00231B39" w:rsidRDefault="00231B39" w:rsidP="00231B39">
      <w:pPr>
        <w:spacing w:after="0" w:line="240" w:lineRule="auto"/>
        <w:jc w:val="both"/>
        <w:rPr>
          <w:color w:val="000000" w:themeColor="text1"/>
        </w:rPr>
      </w:pPr>
    </w:p>
    <w:p w14:paraId="484D3CE6" w14:textId="3DF83E92" w:rsidR="00231B39" w:rsidRPr="00231B39" w:rsidRDefault="00231B39" w:rsidP="00BA431F">
      <w:pPr>
        <w:pStyle w:val="Paragraphedeliste"/>
        <w:numPr>
          <w:ilvl w:val="0"/>
          <w:numId w:val="124"/>
        </w:numPr>
        <w:spacing w:after="0" w:line="240" w:lineRule="auto"/>
        <w:jc w:val="both"/>
        <w:rPr>
          <w:color w:val="000000" w:themeColor="text1"/>
        </w:rPr>
      </w:pPr>
      <w:r w:rsidRPr="00231B39">
        <w:rPr>
          <w:color w:val="000000" w:themeColor="text1"/>
        </w:rPr>
        <w:t>Grandes exploitations en agriculture intensive</w:t>
      </w:r>
      <w:r>
        <w:rPr>
          <w:color w:val="000000" w:themeColor="text1"/>
        </w:rPr>
        <w:t>.</w:t>
      </w:r>
    </w:p>
    <w:p w14:paraId="67321212" w14:textId="40450954" w:rsidR="00231B39" w:rsidRPr="00231B39" w:rsidRDefault="00231B39" w:rsidP="00BA431F">
      <w:pPr>
        <w:pStyle w:val="Paragraphedeliste"/>
        <w:numPr>
          <w:ilvl w:val="0"/>
          <w:numId w:val="124"/>
        </w:numPr>
        <w:spacing w:after="0" w:line="240" w:lineRule="auto"/>
        <w:jc w:val="both"/>
        <w:rPr>
          <w:color w:val="000000" w:themeColor="text1"/>
        </w:rPr>
      </w:pPr>
      <w:r w:rsidRPr="00231B39">
        <w:rPr>
          <w:color w:val="000000" w:themeColor="text1"/>
        </w:rPr>
        <w:t xml:space="preserve">Mosaïques d’exploitations familiales, modestes (de petites tailles), bio, mais bien gérées, </w:t>
      </w:r>
      <w:r w:rsidR="00272EF6">
        <w:rPr>
          <w:color w:val="000000" w:themeColor="text1"/>
        </w:rPr>
        <w:t>avec</w:t>
      </w:r>
      <w:r w:rsidRPr="00231B39">
        <w:rPr>
          <w:color w:val="000000" w:themeColor="text1"/>
        </w:rPr>
        <w:t xml:space="preserve"> utilisation de techniques culturales innovantes et performantes (SVG, agriculture bio, permaculture, synécoculture etc.).</w:t>
      </w:r>
    </w:p>
    <w:p w14:paraId="3477A67E" w14:textId="3AA14669" w:rsidR="00231B39" w:rsidRDefault="00231B39" w:rsidP="00BA431F">
      <w:pPr>
        <w:pStyle w:val="Paragraphedeliste"/>
        <w:numPr>
          <w:ilvl w:val="0"/>
          <w:numId w:val="124"/>
        </w:numPr>
        <w:spacing w:after="0" w:line="240" w:lineRule="auto"/>
        <w:jc w:val="both"/>
        <w:rPr>
          <w:color w:val="000000" w:themeColor="text1"/>
        </w:rPr>
      </w:pPr>
      <w:r>
        <w:rPr>
          <w:color w:val="000000" w:themeColor="text1"/>
        </w:rPr>
        <w:t>C</w:t>
      </w:r>
      <w:r w:rsidRPr="00231B39">
        <w:rPr>
          <w:color w:val="000000" w:themeColor="text1"/>
        </w:rPr>
        <w:t>ohabitation des deux modèles.</w:t>
      </w:r>
    </w:p>
    <w:p w14:paraId="5816FEE3" w14:textId="72CBA85F" w:rsidR="00231B39" w:rsidRDefault="00231B39" w:rsidP="00BA431F">
      <w:pPr>
        <w:pStyle w:val="Paragraphedeliste"/>
        <w:numPr>
          <w:ilvl w:val="0"/>
          <w:numId w:val="124"/>
        </w:numPr>
        <w:spacing w:after="0" w:line="240" w:lineRule="auto"/>
        <w:jc w:val="both"/>
        <w:rPr>
          <w:color w:val="000000" w:themeColor="text1"/>
        </w:rPr>
      </w:pPr>
      <w:r>
        <w:rPr>
          <w:color w:val="000000" w:themeColor="text1"/>
        </w:rPr>
        <w:t>Modèle Songhaï (capitaliste et</w:t>
      </w:r>
      <w:r w:rsidR="00272EF6">
        <w:rPr>
          <w:color w:val="000000" w:themeColor="text1"/>
        </w:rPr>
        <w:t xml:space="preserve"> en même temps</w:t>
      </w:r>
      <w:r>
        <w:rPr>
          <w:color w:val="000000" w:themeColor="text1"/>
        </w:rPr>
        <w:t xml:space="preserve"> solidaire).</w:t>
      </w:r>
    </w:p>
    <w:p w14:paraId="548AD82D" w14:textId="406343DF" w:rsidR="00231B39" w:rsidRPr="00231B39" w:rsidRDefault="00231B39" w:rsidP="00BA431F">
      <w:pPr>
        <w:pStyle w:val="Paragraphedeliste"/>
        <w:numPr>
          <w:ilvl w:val="0"/>
          <w:numId w:val="124"/>
        </w:numPr>
        <w:spacing w:after="0" w:line="240" w:lineRule="auto"/>
        <w:jc w:val="both"/>
        <w:rPr>
          <w:color w:val="000000" w:themeColor="text1"/>
        </w:rPr>
      </w:pPr>
      <w:r>
        <w:rPr>
          <w:color w:val="000000" w:themeColor="text1"/>
        </w:rPr>
        <w:t>Autres modèles.</w:t>
      </w:r>
    </w:p>
    <w:p w14:paraId="00FBFBF2" w14:textId="51D057D6" w:rsidR="00231B39" w:rsidRDefault="00231B39" w:rsidP="00DE4600">
      <w:pPr>
        <w:spacing w:after="0" w:line="240" w:lineRule="auto"/>
        <w:jc w:val="both"/>
      </w:pPr>
    </w:p>
    <w:p w14:paraId="40C69CAF" w14:textId="19FFC7BC" w:rsidR="00231B39" w:rsidRDefault="00231B39" w:rsidP="00DE4600">
      <w:pPr>
        <w:spacing w:after="0" w:line="240" w:lineRule="auto"/>
        <w:jc w:val="both"/>
      </w:pPr>
      <w:r>
        <w:t>Le choix se fait souvent en fonction du contexte et des conditions locales.</w:t>
      </w:r>
    </w:p>
    <w:p w14:paraId="432D658E" w14:textId="77777777" w:rsidR="00285BC7" w:rsidRDefault="00285BC7" w:rsidP="00285BC7">
      <w:pPr>
        <w:spacing w:after="0" w:line="240" w:lineRule="auto"/>
      </w:pPr>
    </w:p>
    <w:p w14:paraId="3F9DCCA8" w14:textId="4C5CAFAF" w:rsidR="00285BC7" w:rsidRDefault="00285BC7" w:rsidP="00D17954">
      <w:pPr>
        <w:pStyle w:val="Titre1"/>
      </w:pPr>
      <w:bookmarkStart w:id="345" w:name="_Toc139181636"/>
      <w:r>
        <w:t>L’importance des femmes dans les projets de développement</w:t>
      </w:r>
      <w:bookmarkEnd w:id="345"/>
    </w:p>
    <w:p w14:paraId="23C11B3B" w14:textId="77777777" w:rsidR="00285BC7" w:rsidRDefault="00285BC7" w:rsidP="00285BC7">
      <w:pPr>
        <w:spacing w:after="0" w:line="240" w:lineRule="auto"/>
      </w:pPr>
    </w:p>
    <w:p w14:paraId="423E63E0" w14:textId="77777777" w:rsidR="00285BC7" w:rsidRDefault="00285BC7" w:rsidP="00285BC7">
      <w:pPr>
        <w:spacing w:after="0" w:line="240" w:lineRule="auto"/>
        <w:jc w:val="both"/>
      </w:pPr>
      <w:r>
        <w:t>Dans beaucoup de sociétés de pays en voie de développement (et pas que), l’on constate que les femmes souvent travaillent plus que les hommes, s’occupant par exemple des enfants, de la cuisine, du ménage, de travaux dans des champs et jardins, des corvées (d’eau, de bois …), de gérer l’argent du foyer ... Et pourtant, elles restent mineures à vie, au niveau de leurs droits, dépendante de l’autorité (voire de l’arbitraire) des hommes mâles de leur communauté</w:t>
      </w:r>
      <w:r>
        <w:rPr>
          <w:rStyle w:val="Appelnotedebasdep"/>
        </w:rPr>
        <w:footnoteReference w:id="283"/>
      </w:r>
      <w:r>
        <w:t>.</w:t>
      </w:r>
    </w:p>
    <w:p w14:paraId="6E8A601D" w14:textId="77777777" w:rsidR="00285BC7" w:rsidRDefault="00285BC7" w:rsidP="00285BC7">
      <w:pPr>
        <w:spacing w:after="0" w:line="240" w:lineRule="auto"/>
        <w:jc w:val="both"/>
      </w:pPr>
    </w:p>
    <w:p w14:paraId="4D962D46" w14:textId="77777777" w:rsidR="00285BC7" w:rsidRDefault="00285BC7" w:rsidP="00285BC7">
      <w:pPr>
        <w:spacing w:after="0" w:line="240" w:lineRule="auto"/>
        <w:jc w:val="both"/>
      </w:pPr>
      <w:r>
        <w:t>Actuellement, dans le monde, 836 millions de personnes vivent dans une pauvreté extrême. Dans l’extrême pauvreté, il y a des plus mal loties, les femmes. Et parmi elles, les femmes noires, les femmes indigènes, les réfugiées, les immigrantes et les migrantes sont les plus marginalisées</w:t>
      </w:r>
      <w:r>
        <w:rPr>
          <w:rStyle w:val="Appelnotedebasdep"/>
        </w:rPr>
        <w:footnoteReference w:id="284"/>
      </w:r>
      <w:r>
        <w:t>.</w:t>
      </w:r>
    </w:p>
    <w:p w14:paraId="1553B046" w14:textId="77777777" w:rsidR="00285BC7" w:rsidRDefault="00285BC7" w:rsidP="00285BC7">
      <w:pPr>
        <w:spacing w:after="0" w:line="240" w:lineRule="auto"/>
        <w:jc w:val="both"/>
      </w:pPr>
      <w:r>
        <w:t>Plusieurs études récentes ont constaté que l'autonomisation économique des femmes était fondamentale pour la réduction de la pauvreté. La mise en place de coopératives des femmes productrices et transformatrices _ souvent par de jeunes femmes du monde rural, elles-mêmes _ aide à lutter contre l’exode rural et l’insécurité alimentaire et à améliorer leur niveau de vie et le niveau des revenus de leur famille (une augmentation des revenus pouvant permettre alors d’envoyer les filles et garçons à l’école).</w:t>
      </w:r>
    </w:p>
    <w:p w14:paraId="469E18BD" w14:textId="77777777" w:rsidR="00285BC7" w:rsidRDefault="00285BC7" w:rsidP="00285BC7">
      <w:pPr>
        <w:spacing w:after="0" w:line="240" w:lineRule="auto"/>
        <w:jc w:val="both"/>
      </w:pPr>
      <w:r>
        <w:t>Dans certains cas à cause des pesanteurs culturelles et sociologiques, l’autonomisation des femmes rurales est facilitée grâce à un ou plusieurs appui(s) extérieur(s), leur permettant de bénéficier de formations aux techniques agricoles, à l’amélioration des semences et à l’utilisation de machines permettant un gain de temps, tout en accordant des prêts et en encourageant l’épargne</w:t>
      </w:r>
      <w:r>
        <w:rPr>
          <w:rStyle w:val="Appelnotedebasdep"/>
        </w:rPr>
        <w:footnoteReference w:id="285"/>
      </w:r>
      <w:r>
        <w:t>.</w:t>
      </w:r>
    </w:p>
    <w:p w14:paraId="3A27E40D" w14:textId="77777777" w:rsidR="00285BC7" w:rsidRDefault="00285BC7" w:rsidP="00285BC7">
      <w:pPr>
        <w:spacing w:after="0" w:line="240" w:lineRule="auto"/>
        <w:jc w:val="both"/>
      </w:pPr>
      <w:r>
        <w:t>On observe que les femmes rurales, via leur coopératives sont souvent agent du changement au sein de leur communauté. Ce sont, par exemple, elles qui mettront en place un système de micro-crédit local, de transport, de silos, de banque de graines etc.</w:t>
      </w:r>
    </w:p>
    <w:p w14:paraId="276494F3" w14:textId="77777777" w:rsidR="00285BC7" w:rsidRDefault="00285BC7" w:rsidP="00285BC7">
      <w:pPr>
        <w:spacing w:after="0" w:line="240" w:lineRule="auto"/>
        <w:jc w:val="both"/>
      </w:pPr>
      <w:r>
        <w:lastRenderedPageBreak/>
        <w:t>Donc, il est important que les femmes aient toute leur place dans tous les projets de développement.</w:t>
      </w:r>
    </w:p>
    <w:p w14:paraId="049E2BD3" w14:textId="77777777" w:rsidR="00231B39" w:rsidRPr="00B66C03" w:rsidRDefault="00231B39" w:rsidP="00DE4600">
      <w:pPr>
        <w:spacing w:after="0" w:line="240" w:lineRule="auto"/>
        <w:jc w:val="both"/>
      </w:pPr>
    </w:p>
    <w:p w14:paraId="1BFA5A77" w14:textId="405433E2" w:rsidR="00EF1E24" w:rsidRDefault="00EF1E24" w:rsidP="00EF1E24">
      <w:pPr>
        <w:pStyle w:val="Titre1"/>
      </w:pPr>
      <w:bookmarkStart w:id="346" w:name="_Toc139181637"/>
      <w:r w:rsidRPr="00EF1E24">
        <w:t>Conclusion</w:t>
      </w:r>
      <w:r w:rsidR="00EA7131">
        <w:t xml:space="preserve"> générale</w:t>
      </w:r>
      <w:bookmarkEnd w:id="346"/>
    </w:p>
    <w:p w14:paraId="70F33218" w14:textId="29B1D15A" w:rsidR="00EF1E24" w:rsidRDefault="00EF1E24" w:rsidP="00134A85">
      <w:pPr>
        <w:spacing w:after="0" w:line="240" w:lineRule="auto"/>
        <w:jc w:val="both"/>
      </w:pPr>
    </w:p>
    <w:p w14:paraId="25B93EBE" w14:textId="0F56DEDE" w:rsidR="00C24114" w:rsidRDefault="00C24114" w:rsidP="00134A85">
      <w:pPr>
        <w:spacing w:after="0" w:line="240" w:lineRule="auto"/>
        <w:jc w:val="both"/>
      </w:pPr>
      <w:r>
        <w:t>Par les analyses contenues dans ce livre, on constate que la lutte contre la malnutrition</w:t>
      </w:r>
      <w:r w:rsidR="00F935DD">
        <w:t>, dans le monde,</w:t>
      </w:r>
      <w:r>
        <w:t xml:space="preserve"> est</w:t>
      </w:r>
      <w:r w:rsidR="00482849">
        <w:t xml:space="preserve"> un sujet</w:t>
      </w:r>
      <w:r>
        <w:t xml:space="preserve"> complexe et multifactoriel</w:t>
      </w:r>
      <w:r w:rsidR="00482849">
        <w:t xml:space="preserve"> et qu’il n’y a pas de solution miracle</w:t>
      </w:r>
      <w:r w:rsidR="00D40CD7">
        <w:t xml:space="preserve"> clé en main</w:t>
      </w:r>
      <w:r w:rsidR="00482849">
        <w:t>, simple et facile à mettre en œuvre</w:t>
      </w:r>
      <w:r>
        <w:t xml:space="preserve">. </w:t>
      </w:r>
      <w:r w:rsidR="00272EF6">
        <w:t>Alors</w:t>
      </w:r>
      <w:r w:rsidR="00DF15B9">
        <w:t xml:space="preserve"> que </w:t>
      </w:r>
      <w:r w:rsidR="00F935DD">
        <w:t>pourtant, les solutions existent</w:t>
      </w:r>
      <w:r>
        <w:t>.</w:t>
      </w:r>
    </w:p>
    <w:p w14:paraId="52D0EFDE" w14:textId="3E962EF6" w:rsidR="00482849" w:rsidRDefault="00E0752F" w:rsidP="00134A85">
      <w:pPr>
        <w:spacing w:after="0" w:line="240" w:lineRule="auto"/>
        <w:jc w:val="both"/>
      </w:pPr>
      <w:r>
        <w:t xml:space="preserve">Ce qui ne veut pas dire que ces solutions soient toujours aisées à mettre en place _ en raison de résistance des mentalités, </w:t>
      </w:r>
      <w:r w:rsidR="00DF15B9">
        <w:t xml:space="preserve">de facteurs </w:t>
      </w:r>
      <w:r>
        <w:t>d’instabilités politiques, de méfiances liées à des théories du complot très répandues en Afrique, de la corruption</w:t>
      </w:r>
      <w:r w:rsidR="009D04CC">
        <w:t>, de vols, du manque d’argent</w:t>
      </w:r>
      <w:r w:rsidR="009D04CC">
        <w:rPr>
          <w:rStyle w:val="Appelnotedebasdep"/>
        </w:rPr>
        <w:footnoteReference w:id="286"/>
      </w:r>
      <w:r w:rsidR="009D04CC">
        <w:t xml:space="preserve"> etc</w:t>
      </w:r>
      <w:r>
        <w:t>.</w:t>
      </w:r>
    </w:p>
    <w:p w14:paraId="3926668A" w14:textId="77777777" w:rsidR="009D04CC" w:rsidRDefault="009D04CC" w:rsidP="00134A85">
      <w:pPr>
        <w:spacing w:after="0" w:line="240" w:lineRule="auto"/>
        <w:jc w:val="both"/>
      </w:pPr>
    </w:p>
    <w:p w14:paraId="3F1B0A79" w14:textId="37F50C29" w:rsidR="00A34E65" w:rsidRDefault="00A34E65" w:rsidP="00134A85">
      <w:pPr>
        <w:spacing w:after="0" w:line="240" w:lineRule="auto"/>
        <w:jc w:val="both"/>
      </w:pPr>
      <w:r>
        <w:t xml:space="preserve">Pour aborder ces questions complexes, il faut les dans aborder au sein d’une vision « holistique », « systémique », </w:t>
      </w:r>
      <w:r w:rsidR="00482849">
        <w:t>au sein</w:t>
      </w:r>
      <w:r>
        <w:t xml:space="preserve"> un tout global, qui fait intervenir un bon nombre de solutions adaptées à un certain nombres de problèmes particuliers, décomposés en sous-ensembles ou sous-problèmes.</w:t>
      </w:r>
      <w:r w:rsidR="009D04CC">
        <w:t xml:space="preserve"> </w:t>
      </w:r>
      <w:r w:rsidR="00DF15B9">
        <w:t>De plus,</w:t>
      </w:r>
      <w:r w:rsidR="009D04CC">
        <w:t xml:space="preserve"> des solutions peuvent fonctionner à un endroit et dans un contexte donnés et ne pas fonctionner à un autre endroit.</w:t>
      </w:r>
    </w:p>
    <w:p w14:paraId="39C33F70" w14:textId="77777777" w:rsidR="00C24114" w:rsidRDefault="00C24114" w:rsidP="00134A85">
      <w:pPr>
        <w:spacing w:after="0" w:line="240" w:lineRule="auto"/>
        <w:jc w:val="both"/>
      </w:pPr>
    </w:p>
    <w:p w14:paraId="14A763C0" w14:textId="2B1F4B69" w:rsidR="00EF1E24" w:rsidRDefault="00EF1E24" w:rsidP="00EF1E24">
      <w:pPr>
        <w:spacing w:after="0" w:line="240" w:lineRule="auto"/>
        <w:jc w:val="both"/>
      </w:pPr>
      <w:r w:rsidRPr="00EF1E24">
        <w:t>Il ne suffit pas de mettre en place certains programmes agronomiques, culturaux et certains dispositifs d</w:t>
      </w:r>
      <w:r w:rsidR="00482849">
        <w:t>’économie (goutte à goutte …) et</w:t>
      </w:r>
      <w:r w:rsidRPr="00EF1E24">
        <w:t xml:space="preserve"> </w:t>
      </w:r>
      <w:r w:rsidR="00482849">
        <w:t xml:space="preserve">de </w:t>
      </w:r>
      <w:r w:rsidRPr="00EF1E24">
        <w:t>retenue</w:t>
      </w:r>
      <w:r w:rsidR="00482849">
        <w:t>s</w:t>
      </w:r>
      <w:r w:rsidRPr="00EF1E24">
        <w:t xml:space="preserve"> d’eau (johads indiens, limans israéliens …). Il faut aussi</w:t>
      </w:r>
      <w:r w:rsidR="00DF15B9">
        <w:t xml:space="preserve"> provoquer</w:t>
      </w:r>
      <w:r w:rsidRPr="00EF1E24">
        <w:t xml:space="preserve"> un changement de mentalité profond chez les populations bénéficiaires, leur permettant de comprendre que la préservation de l’environnement n’est pas un luxe ou une lubie occidentale, mais qu’elle garantit leur survie. Le développement durable est un tout (ou package) global, qui comprend de </w:t>
      </w:r>
      <w:r w:rsidR="008E37C5">
        <w:t>nombreux</w:t>
      </w:r>
      <w:r w:rsidRPr="00EF1E24">
        <w:t xml:space="preserve"> volets techniques. </w:t>
      </w:r>
    </w:p>
    <w:p w14:paraId="62F4816D" w14:textId="59162AA2" w:rsidR="006B674A" w:rsidRDefault="006B674A" w:rsidP="00EF1E24">
      <w:pPr>
        <w:spacing w:after="0" w:line="240" w:lineRule="auto"/>
        <w:jc w:val="both"/>
      </w:pPr>
    </w:p>
    <w:p w14:paraId="426E623E" w14:textId="17FB3692" w:rsidR="006B674A" w:rsidRDefault="00B96580" w:rsidP="00EF1E24">
      <w:pPr>
        <w:spacing w:after="0" w:line="240" w:lineRule="auto"/>
        <w:jc w:val="both"/>
      </w:pPr>
      <w:r>
        <w:t>Pour obtenir la réussite de projets de développement, il faut souvent faire preuve de</w:t>
      </w:r>
      <w:r w:rsidR="009C2E08">
        <w:t xml:space="preserve"> beaucoup</w:t>
      </w:r>
      <w:r>
        <w:t xml:space="preserve"> diplomatie, </w:t>
      </w:r>
      <w:r w:rsidR="00355985">
        <w:t>posséder, dans ses relations, déjà un réseau de personnes influentes, et</w:t>
      </w:r>
      <w:r w:rsidR="00DF15B9">
        <w:t>/ou</w:t>
      </w:r>
      <w:r w:rsidR="00355985">
        <w:t xml:space="preserve"> faire preuve de beaucoup de persévérance _ savoir affronter</w:t>
      </w:r>
      <w:r w:rsidR="00DF15B9">
        <w:t xml:space="preserve"> et résister à</w:t>
      </w:r>
      <w:r w:rsidR="00355985">
        <w:t xml:space="preserve"> de nombreuses épreuves, savoir remonter la pente après des épreuves</w:t>
      </w:r>
      <w:r w:rsidR="00DF15B9">
        <w:t xml:space="preserve"> particulièrement dures ou</w:t>
      </w:r>
      <w:r w:rsidR="00355985">
        <w:t xml:space="preserve"> destructrices et tenir sur le temps. </w:t>
      </w:r>
    </w:p>
    <w:p w14:paraId="0CCE5064" w14:textId="77777777" w:rsidR="00EF1E24" w:rsidRPr="00EF1E24" w:rsidRDefault="00EF1E24" w:rsidP="00EF1E24">
      <w:pPr>
        <w:spacing w:after="0" w:line="240" w:lineRule="auto"/>
        <w:jc w:val="both"/>
      </w:pPr>
    </w:p>
    <w:p w14:paraId="74AA723F" w14:textId="219418BD" w:rsidR="00EF1E24" w:rsidRPr="00EF1E24" w:rsidRDefault="00EF1E24" w:rsidP="00482849">
      <w:pPr>
        <w:pStyle w:val="Titre2"/>
      </w:pPr>
      <w:bookmarkStart w:id="347" w:name="_Toc139181638"/>
      <w:r w:rsidRPr="00EF1E24">
        <w:t>Préservation de l’environnement</w:t>
      </w:r>
      <w:bookmarkEnd w:id="347"/>
    </w:p>
    <w:p w14:paraId="2F2EC499" w14:textId="77777777" w:rsidR="00EF1E24" w:rsidRDefault="00EF1E24" w:rsidP="00EF1E24">
      <w:pPr>
        <w:spacing w:after="0" w:line="240" w:lineRule="auto"/>
        <w:jc w:val="both"/>
      </w:pPr>
    </w:p>
    <w:p w14:paraId="5584C19C" w14:textId="07F9E326" w:rsidR="001F1129" w:rsidRDefault="00EF1E24" w:rsidP="00482849">
      <w:pPr>
        <w:spacing w:after="0" w:line="240" w:lineRule="auto"/>
        <w:jc w:val="both"/>
      </w:pPr>
      <w:r w:rsidRPr="00EF1E24">
        <w:t>Quand il n’y en a pas assez d’arbres dans les régions arides, plutôt que de les couper, pour la construction des maisons, mieux vaut construire les maisons en boue séchée (par la technique de la voute nubienne</w:t>
      </w:r>
      <w:r w:rsidR="00C26FD6">
        <w:t xml:space="preserve"> _ voir image ci-après _</w:t>
      </w:r>
      <w:r w:rsidRPr="00EF1E24">
        <w:t xml:space="preserve"> etc.). </w:t>
      </w:r>
    </w:p>
    <w:p w14:paraId="49EDCF40" w14:textId="41DEBC7E" w:rsidR="00EF1E24" w:rsidRPr="00EF1E24" w:rsidRDefault="00355985" w:rsidP="00482849">
      <w:pPr>
        <w:spacing w:after="0" w:line="240" w:lineRule="auto"/>
        <w:jc w:val="both"/>
      </w:pPr>
      <w:r>
        <w:t>Avoir conscience q</w:t>
      </w:r>
      <w:r w:rsidR="001F1129">
        <w:t xml:space="preserve">u’il faut ne </w:t>
      </w:r>
      <w:r w:rsidR="00EF1E24" w:rsidRPr="00EF1E24">
        <w:t>pas</w:t>
      </w:r>
      <w:r>
        <w:t xml:space="preserve"> trop</w:t>
      </w:r>
      <w:r w:rsidR="00EF1E24" w:rsidRPr="00EF1E24">
        <w:t xml:space="preserve"> couper les arbres, leurs branches ou prélever leurs feuilles, au risque de les faire mourir. </w:t>
      </w:r>
      <w:r>
        <w:t xml:space="preserve">Qu’il faut savoir gérer raisonnablement la ressource ligneuse et savoir planter trois arbres, à la place de l’arbre que l’on vient de couper. Qu’il </w:t>
      </w:r>
      <w:r w:rsidR="006231E7">
        <w:t>est préférable</w:t>
      </w:r>
      <w:r>
        <w:t>, pour la cuisson, quand cela est possible, d</w:t>
      </w:r>
      <w:r w:rsidR="006231E7">
        <w:t>’utiliser des</w:t>
      </w:r>
      <w:r>
        <w:t xml:space="preserve"> cuiseurs solaires</w:t>
      </w:r>
      <w:r w:rsidR="006231E7">
        <w:t xml:space="preserve"> et</w:t>
      </w:r>
      <w:r w:rsidR="00B36751">
        <w:t>/ou</w:t>
      </w:r>
      <w:r>
        <w:t xml:space="preserve"> de la bouse de vache, que </w:t>
      </w:r>
      <w:r w:rsidR="00B36751">
        <w:t>de recourir</w:t>
      </w:r>
      <w:r w:rsidR="00272EF6">
        <w:t xml:space="preserve"> excessivement</w:t>
      </w:r>
      <w:r w:rsidR="00B36751">
        <w:t xml:space="preserve"> à du</w:t>
      </w:r>
      <w:r>
        <w:t xml:space="preserve"> bois coupé sur des arbres vivants.</w:t>
      </w:r>
    </w:p>
    <w:p w14:paraId="22E60840" w14:textId="16947A6F" w:rsidR="00EF1E24" w:rsidRDefault="00EF1E24" w:rsidP="00134A85">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6"/>
        <w:gridCol w:w="3415"/>
        <w:gridCol w:w="3455"/>
      </w:tblGrid>
      <w:tr w:rsidR="008433CE" w14:paraId="1EBE8389" w14:textId="77777777" w:rsidTr="00DF7535">
        <w:tc>
          <w:tcPr>
            <w:tcW w:w="3546" w:type="dxa"/>
          </w:tcPr>
          <w:p w14:paraId="70C61B65" w14:textId="43B69BFC" w:rsidR="008433CE" w:rsidRDefault="00DF7535" w:rsidP="008433CE">
            <w:pPr>
              <w:jc w:val="center"/>
            </w:pPr>
            <w:r w:rsidRPr="00DF7535">
              <w:rPr>
                <w:noProof/>
              </w:rPr>
              <w:lastRenderedPageBreak/>
              <w:drawing>
                <wp:inline distT="0" distB="0" distL="0" distR="0" wp14:anchorId="4F8AF946" wp14:editId="2189CD65">
                  <wp:extent cx="2105312" cy="1389506"/>
                  <wp:effectExtent l="0" t="0" r="9525" b="1270"/>
                  <wp:docPr id="3688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6"/>
                          <pic:cNvPicPr>
                            <a:picLocks noChangeAspect="1"/>
                          </pic:cNvPicPr>
                        </pic:nvPicPr>
                        <pic:blipFill>
                          <a:blip r:embed="rId3696">
                            <a:extLst>
                              <a:ext uri="{28A0092B-C50C-407E-A947-70E740481C1C}">
                                <a14:useLocalDpi xmlns:a14="http://schemas.microsoft.com/office/drawing/2010/main" val="0"/>
                              </a:ext>
                            </a:extLst>
                          </a:blip>
                          <a:stretch>
                            <a:fillRect/>
                          </a:stretch>
                        </pic:blipFill>
                        <pic:spPr>
                          <a:xfrm>
                            <a:off x="0" y="0"/>
                            <a:ext cx="2105312" cy="1389506"/>
                          </a:xfrm>
                          <a:prstGeom prst="rect">
                            <a:avLst/>
                          </a:prstGeom>
                        </pic:spPr>
                      </pic:pic>
                    </a:graphicData>
                  </a:graphic>
                </wp:inline>
              </w:drawing>
            </w:r>
          </w:p>
        </w:tc>
        <w:tc>
          <w:tcPr>
            <w:tcW w:w="3415" w:type="dxa"/>
          </w:tcPr>
          <w:p w14:paraId="7B15EA53" w14:textId="68E20C2C" w:rsidR="008433CE" w:rsidRDefault="00DF7535" w:rsidP="008433CE">
            <w:pPr>
              <w:jc w:val="center"/>
            </w:pPr>
            <w:r w:rsidRPr="00DF7535">
              <w:rPr>
                <w:noProof/>
              </w:rPr>
              <w:drawing>
                <wp:inline distT="0" distB="0" distL="0" distR="0" wp14:anchorId="42F9E341" wp14:editId="07900457">
                  <wp:extent cx="1836939" cy="1375931"/>
                  <wp:effectExtent l="0" t="0" r="0" b="0"/>
                  <wp:docPr id="36887"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8"/>
                          <pic:cNvPicPr>
                            <a:picLocks noChangeAspect="1"/>
                          </pic:cNvPicPr>
                        </pic:nvPicPr>
                        <pic:blipFill>
                          <a:blip r:embed="rId3697">
                            <a:extLst>
                              <a:ext uri="{28A0092B-C50C-407E-A947-70E740481C1C}">
                                <a14:useLocalDpi xmlns:a14="http://schemas.microsoft.com/office/drawing/2010/main" val="0"/>
                              </a:ext>
                            </a:extLst>
                          </a:blip>
                          <a:stretch>
                            <a:fillRect/>
                          </a:stretch>
                        </pic:blipFill>
                        <pic:spPr>
                          <a:xfrm>
                            <a:off x="0" y="0"/>
                            <a:ext cx="1836939" cy="1375931"/>
                          </a:xfrm>
                          <a:prstGeom prst="rect">
                            <a:avLst/>
                          </a:prstGeom>
                        </pic:spPr>
                      </pic:pic>
                    </a:graphicData>
                  </a:graphic>
                </wp:inline>
              </w:drawing>
            </w:r>
          </w:p>
        </w:tc>
        <w:tc>
          <w:tcPr>
            <w:tcW w:w="3455" w:type="dxa"/>
          </w:tcPr>
          <w:p w14:paraId="12CB5D14" w14:textId="0BB9F2E7" w:rsidR="008433CE" w:rsidRDefault="00DF7535" w:rsidP="008433CE">
            <w:pPr>
              <w:jc w:val="center"/>
            </w:pPr>
            <w:r w:rsidRPr="00DF7535">
              <w:rPr>
                <w:noProof/>
              </w:rPr>
              <w:drawing>
                <wp:inline distT="0" distB="0" distL="0" distR="0" wp14:anchorId="77A84595" wp14:editId="0D8251C7">
                  <wp:extent cx="1996653" cy="1340818"/>
                  <wp:effectExtent l="0" t="0" r="3810" b="0"/>
                  <wp:docPr id="36888"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9"/>
                          <pic:cNvPicPr>
                            <a:picLocks noChangeAspect="1"/>
                          </pic:cNvPicPr>
                        </pic:nvPicPr>
                        <pic:blipFill>
                          <a:blip r:embed="rId3698">
                            <a:extLst>
                              <a:ext uri="{28A0092B-C50C-407E-A947-70E740481C1C}">
                                <a14:useLocalDpi xmlns:a14="http://schemas.microsoft.com/office/drawing/2010/main" val="0"/>
                              </a:ext>
                            </a:extLst>
                          </a:blip>
                          <a:stretch>
                            <a:fillRect/>
                          </a:stretch>
                        </pic:blipFill>
                        <pic:spPr>
                          <a:xfrm>
                            <a:off x="0" y="0"/>
                            <a:ext cx="1996653" cy="1340818"/>
                          </a:xfrm>
                          <a:prstGeom prst="rect">
                            <a:avLst/>
                          </a:prstGeom>
                        </pic:spPr>
                      </pic:pic>
                    </a:graphicData>
                  </a:graphic>
                </wp:inline>
              </w:drawing>
            </w:r>
          </w:p>
        </w:tc>
      </w:tr>
    </w:tbl>
    <w:p w14:paraId="5929B5E3" w14:textId="28C69CF3" w:rsidR="008433CE" w:rsidRDefault="00DF7535" w:rsidP="00DF7535">
      <w:pPr>
        <w:spacing w:after="0" w:line="240" w:lineRule="auto"/>
        <w:jc w:val="center"/>
      </w:pPr>
      <w:r w:rsidRPr="00DF7535">
        <w:t xml:space="preserve">Maisons réalisées par la technique de la voute nubienne </w:t>
      </w:r>
      <w:r>
        <w:t>(qui conservent la fraicheur</w:t>
      </w:r>
      <w:r w:rsidR="00F32DAE">
        <w:t xml:space="preserve"> dans les pièces,</w:t>
      </w:r>
      <w:r>
        <w:t xml:space="preserve"> en son sein).</w:t>
      </w:r>
    </w:p>
    <w:p w14:paraId="26F724F3" w14:textId="3B86944B" w:rsidR="00DF7535" w:rsidRDefault="00DF7535" w:rsidP="00DF7535">
      <w:pPr>
        <w:spacing w:after="0" w:line="240" w:lineRule="auto"/>
      </w:pPr>
    </w:p>
    <w:p w14:paraId="0979548E" w14:textId="791C2AE4" w:rsidR="00992839" w:rsidRPr="00EF1E24" w:rsidRDefault="00992839" w:rsidP="00992839">
      <w:pPr>
        <w:spacing w:after="0" w:line="240" w:lineRule="auto"/>
        <w:jc w:val="both"/>
      </w:pPr>
      <w:r>
        <w:t>Qu’il faut (plutôt) p</w:t>
      </w:r>
      <w:r w:rsidRPr="00EF1E24">
        <w:t>lante</w:t>
      </w:r>
      <w:r>
        <w:t>r</w:t>
      </w:r>
      <w:r w:rsidRPr="00EF1E24">
        <w:t xml:space="preserve"> des arbres utiles adaptés à la sécheresse, servant de coupe-vent</w:t>
      </w:r>
      <w:r>
        <w:t>, de fixateur de dunes</w:t>
      </w:r>
      <w:r w:rsidRPr="00EF1E24">
        <w:t xml:space="preserve"> et limitant l’érosion et le ruissellement.</w:t>
      </w:r>
      <w:r>
        <w:t xml:space="preserve"> Et non pas des arbres</w:t>
      </w:r>
      <w:r w:rsidR="00272EF6">
        <w:t xml:space="preserve"> choisis</w:t>
      </w:r>
      <w:r>
        <w:t xml:space="preserve"> pour leur rentabilité financière en sylviculture, à pousse rapide, très consommateurs en eau.</w:t>
      </w:r>
    </w:p>
    <w:p w14:paraId="3141D9CB" w14:textId="77777777" w:rsidR="00272EF6" w:rsidRDefault="00272EF6" w:rsidP="00992839">
      <w:pPr>
        <w:spacing w:after="0" w:line="240" w:lineRule="auto"/>
        <w:jc w:val="both"/>
      </w:pPr>
    </w:p>
    <w:p w14:paraId="0EAD93D2" w14:textId="3E07D253" w:rsidR="00992839" w:rsidRPr="00EF1E24" w:rsidRDefault="00992839" w:rsidP="00992839">
      <w:pPr>
        <w:spacing w:after="0" w:line="240" w:lineRule="auto"/>
        <w:jc w:val="both"/>
      </w:pPr>
      <w:r>
        <w:t xml:space="preserve">Qu’il faudrait mettre en place une gestion rationnelle des pâturages, des parcours et des cheptels, avec l’aide des organisations d’éleveurs. </w:t>
      </w:r>
      <w:r w:rsidR="00272EF6">
        <w:t>Et q</w:t>
      </w:r>
      <w:r w:rsidRPr="00EF1E24">
        <w:t>uand il y a trop de chèvres ou de moutons</w:t>
      </w:r>
      <w:r>
        <w:t>, dans les zones de pâturage et de transhumance</w:t>
      </w:r>
      <w:r w:rsidRPr="00EF1E24">
        <w:t xml:space="preserve">, </w:t>
      </w:r>
      <w:r>
        <w:t>il y a alors la nécessité de</w:t>
      </w:r>
      <w:r w:rsidRPr="00EF1E24">
        <w:t xml:space="preserve"> </w:t>
      </w:r>
      <w:r>
        <w:t>réduire les</w:t>
      </w:r>
      <w:r w:rsidRPr="00EF1E24">
        <w:t xml:space="preserve"> troupeaux</w:t>
      </w:r>
      <w:r>
        <w:t xml:space="preserve"> et de se séparer de bêtes</w:t>
      </w:r>
      <w:r w:rsidRPr="00EF1E24">
        <w:t>.</w:t>
      </w:r>
    </w:p>
    <w:p w14:paraId="34F3D684" w14:textId="7A9A897B" w:rsidR="00992839" w:rsidRDefault="00992839" w:rsidP="00DF7535">
      <w:pPr>
        <w:spacing w:after="0" w:line="240" w:lineRule="auto"/>
      </w:pPr>
    </w:p>
    <w:p w14:paraId="15993337" w14:textId="7770CFEA" w:rsidR="00BE5EA0" w:rsidRDefault="00BE5EA0" w:rsidP="00272EF6">
      <w:pPr>
        <w:spacing w:after="0" w:line="240" w:lineRule="auto"/>
        <w:jc w:val="both"/>
        <w:rPr>
          <w:color w:val="000000" w:themeColor="text1"/>
        </w:rPr>
      </w:pPr>
      <w:r>
        <w:t xml:space="preserve">Le but principal de ce livre est de trouver de multiples solutions, face au changement climatique, dans les pays les plus pauvres et/ou les plus vulnérables, avec la </w:t>
      </w:r>
      <w:r w:rsidRPr="00F337F8">
        <w:rPr>
          <w:color w:val="000000" w:themeColor="text1"/>
        </w:rPr>
        <w:t xml:space="preserve">nécessité </w:t>
      </w:r>
      <w:r>
        <w:rPr>
          <w:color w:val="000000" w:themeColor="text1"/>
        </w:rPr>
        <w:t xml:space="preserve">(urgente) </w:t>
      </w:r>
      <w:r w:rsidRPr="00F337F8">
        <w:rPr>
          <w:color w:val="000000" w:themeColor="text1"/>
        </w:rPr>
        <w:t>de s’y adapter</w:t>
      </w:r>
      <w:r w:rsidR="002F5450">
        <w:rPr>
          <w:color w:val="000000" w:themeColor="text1"/>
        </w:rPr>
        <w:t xml:space="preserve"> (voir aussi</w:t>
      </w:r>
      <w:r w:rsidR="00272EF6">
        <w:rPr>
          <w:color w:val="000000" w:themeColor="text1"/>
        </w:rPr>
        <w:t xml:space="preserve"> le livre</w:t>
      </w:r>
      <w:r w:rsidR="002F5450">
        <w:rPr>
          <w:color w:val="000000" w:themeColor="text1"/>
        </w:rPr>
        <w:t xml:space="preserve"> [2])</w:t>
      </w:r>
      <w:r>
        <w:rPr>
          <w:color w:val="000000" w:themeColor="text1"/>
        </w:rPr>
        <w:t>.</w:t>
      </w:r>
    </w:p>
    <w:p w14:paraId="51C842D3" w14:textId="328E63F5" w:rsidR="002F5450" w:rsidRPr="002F5450" w:rsidRDefault="002F5450" w:rsidP="002F5450">
      <w:pPr>
        <w:spacing w:after="0" w:line="240" w:lineRule="auto"/>
        <w:jc w:val="both"/>
        <w:rPr>
          <w:color w:val="000000" w:themeColor="text1"/>
        </w:rPr>
      </w:pPr>
      <w:r w:rsidRPr="002F5450">
        <w:rPr>
          <w:color w:val="000000" w:themeColor="text1"/>
        </w:rPr>
        <w:t>Dans cet ouvrage, nous avons</w:t>
      </w:r>
      <w:r>
        <w:rPr>
          <w:color w:val="000000" w:themeColor="text1"/>
        </w:rPr>
        <w:t xml:space="preserve"> aussi</w:t>
      </w:r>
      <w:r w:rsidRPr="002F5450">
        <w:rPr>
          <w:color w:val="000000" w:themeColor="text1"/>
        </w:rPr>
        <w:t xml:space="preserve"> insisté sur l’importance de la préservation (protection) de la biodiversité et des semences paysannes</w:t>
      </w:r>
      <w:r w:rsidR="001E37B8">
        <w:rPr>
          <w:color w:val="000000" w:themeColor="text1"/>
        </w:rPr>
        <w:t xml:space="preserve"> </w:t>
      </w:r>
      <w:r w:rsidR="00272EF6">
        <w:rPr>
          <w:color w:val="000000" w:themeColor="text1"/>
        </w:rPr>
        <w:t>_</w:t>
      </w:r>
      <w:r>
        <w:rPr>
          <w:color w:val="000000" w:themeColor="text1"/>
        </w:rPr>
        <w:t xml:space="preserve">une solution pour rendre les cultures plus résilientes, face aux maladies et aléas climatiques, et pour ne pas être dépendant pieds et mains liés </w:t>
      </w:r>
      <w:r w:rsidR="00272EF6">
        <w:rPr>
          <w:color w:val="000000" w:themeColor="text1"/>
        </w:rPr>
        <w:t>envers</w:t>
      </w:r>
      <w:r>
        <w:rPr>
          <w:color w:val="000000" w:themeColor="text1"/>
        </w:rPr>
        <w:t xml:space="preserve"> des compagnies semencières</w:t>
      </w:r>
      <w:r w:rsidR="00231B39">
        <w:rPr>
          <w:rStyle w:val="Appelnotedebasdep"/>
          <w:color w:val="000000" w:themeColor="text1"/>
        </w:rPr>
        <w:footnoteReference w:id="287"/>
      </w:r>
      <w:r>
        <w:rPr>
          <w:color w:val="000000" w:themeColor="text1"/>
        </w:rPr>
        <w:t>.</w:t>
      </w:r>
      <w:r w:rsidRPr="002F5450">
        <w:rPr>
          <w:color w:val="000000" w:themeColor="text1"/>
        </w:rPr>
        <w:t xml:space="preserve"> </w:t>
      </w:r>
    </w:p>
    <w:p w14:paraId="2B55E7D5" w14:textId="77777777" w:rsidR="00BE5EA0" w:rsidRDefault="00BE5EA0" w:rsidP="00DF7535">
      <w:pPr>
        <w:spacing w:after="0" w:line="240" w:lineRule="auto"/>
      </w:pPr>
    </w:p>
    <w:p w14:paraId="12038F44" w14:textId="79155150" w:rsidR="00B5104D" w:rsidRDefault="00B5104D" w:rsidP="00B5104D">
      <w:pPr>
        <w:pStyle w:val="Titre2"/>
      </w:pPr>
      <w:bookmarkStart w:id="348" w:name="_Toc139181639"/>
      <w:r>
        <w:t>Lutte contre les maux endémiques en Afrique et certains pays en voie de développement</w:t>
      </w:r>
      <w:bookmarkEnd w:id="348"/>
    </w:p>
    <w:p w14:paraId="5077FBEA" w14:textId="77777777" w:rsidR="00B5104D" w:rsidRDefault="00B5104D" w:rsidP="00DF7535">
      <w:pPr>
        <w:spacing w:after="0" w:line="240" w:lineRule="auto"/>
      </w:pPr>
    </w:p>
    <w:p w14:paraId="4DE632B0" w14:textId="034F849A" w:rsidR="00A40CA8" w:rsidRDefault="00417232" w:rsidP="00417232">
      <w:pPr>
        <w:spacing w:after="0" w:line="240" w:lineRule="auto"/>
        <w:jc w:val="both"/>
      </w:pPr>
      <w:r>
        <w:t>Pour pouvoir mettre en œuvre tous idée, contenues dans ce livres, il faudrait</w:t>
      </w:r>
      <w:r w:rsidR="00E46969">
        <w:t xml:space="preserve"> déjà</w:t>
      </w:r>
      <w:r>
        <w:t xml:space="preserve"> résoudre les maux connues</w:t>
      </w:r>
      <w:r w:rsidR="0050313B">
        <w:t xml:space="preserve"> et</w:t>
      </w:r>
      <w:r>
        <w:t xml:space="preserve"> endémiques à l’Afrique (déjà décrits en 1962 par René Dumont</w:t>
      </w:r>
      <w:r w:rsidR="0050313B">
        <w:rPr>
          <w:rStyle w:val="Appelnotedebasdep"/>
        </w:rPr>
        <w:footnoteReference w:id="288"/>
      </w:r>
      <w:r>
        <w:t xml:space="preserve">) : </w:t>
      </w:r>
    </w:p>
    <w:p w14:paraId="2CB44D5D" w14:textId="0E06FF36" w:rsidR="0085202C" w:rsidRPr="009F0B1B" w:rsidRDefault="0085202C" w:rsidP="0081406A">
      <w:pPr>
        <w:spacing w:after="0" w:line="240" w:lineRule="auto"/>
        <w:jc w:val="both"/>
        <w:rPr>
          <w:color w:val="002060"/>
        </w:rPr>
      </w:pPr>
    </w:p>
    <w:p w14:paraId="65817404" w14:textId="0D712B3C" w:rsidR="00417232" w:rsidRPr="00F337F8" w:rsidRDefault="00417232" w:rsidP="0081406A">
      <w:pPr>
        <w:pStyle w:val="Paragraphedeliste"/>
        <w:numPr>
          <w:ilvl w:val="0"/>
          <w:numId w:val="122"/>
        </w:numPr>
        <w:spacing w:after="0" w:line="240" w:lineRule="auto"/>
        <w:jc w:val="both"/>
        <w:rPr>
          <w:color w:val="000000" w:themeColor="text1"/>
        </w:rPr>
      </w:pPr>
      <w:r w:rsidRPr="00F337F8">
        <w:rPr>
          <w:color w:val="000000" w:themeColor="text1"/>
        </w:rPr>
        <w:t>La corruption et le goût de l’argent facile (sans effort), à tous les niveaux (</w:t>
      </w:r>
      <w:r>
        <w:rPr>
          <w:color w:val="000000" w:themeColor="text1"/>
        </w:rPr>
        <w:t xml:space="preserve">via la </w:t>
      </w:r>
      <w:r w:rsidRPr="00F337F8">
        <w:rPr>
          <w:color w:val="000000" w:themeColor="text1"/>
        </w:rPr>
        <w:t>grande et</w:t>
      </w:r>
      <w:r>
        <w:rPr>
          <w:color w:val="000000" w:themeColor="text1"/>
        </w:rPr>
        <w:t xml:space="preserve"> la</w:t>
      </w:r>
      <w:r w:rsidRPr="00F337F8">
        <w:rPr>
          <w:color w:val="000000" w:themeColor="text1"/>
        </w:rPr>
        <w:t xml:space="preserve"> petite corruption)</w:t>
      </w:r>
      <w:r w:rsidR="00B5104D">
        <w:rPr>
          <w:color w:val="000000" w:themeColor="text1"/>
        </w:rPr>
        <w:t>, favorisant la pullulation des voleurs et escrocs (voir le chapitre a</w:t>
      </w:r>
      <w:r w:rsidR="00B5104D" w:rsidRPr="00B5104D">
        <w:rPr>
          <w:color w:val="000000" w:themeColor="text1"/>
        </w:rPr>
        <w:t xml:space="preserve">nnexe </w:t>
      </w:r>
      <w:r w:rsidR="00B5104D">
        <w:rPr>
          <w:color w:val="000000" w:themeColor="text1"/>
        </w:rPr>
        <w:t>« </w:t>
      </w:r>
      <w:r w:rsidR="00B5104D" w:rsidRPr="00B5104D">
        <w:rPr>
          <w:b/>
          <w:bCs/>
          <w:i/>
          <w:iCs/>
          <w:color w:val="000000" w:themeColor="text1"/>
        </w:rPr>
        <w:t>Préconisations pour lutter contre la corruption</w:t>
      </w:r>
      <w:r w:rsidR="00606F0D">
        <w:rPr>
          <w:rStyle w:val="Appelnotedebasdep"/>
          <w:b/>
          <w:bCs/>
          <w:i/>
          <w:iCs/>
          <w:color w:val="000000" w:themeColor="text1"/>
        </w:rPr>
        <w:footnoteReference w:id="289"/>
      </w:r>
      <w:r w:rsidR="00B5104D">
        <w:rPr>
          <w:color w:val="000000" w:themeColor="text1"/>
        </w:rPr>
        <w:t> », situé à la fin de ce document).</w:t>
      </w:r>
    </w:p>
    <w:p w14:paraId="121924D5" w14:textId="3C12CCF7" w:rsidR="00417232" w:rsidRPr="00F337F8" w:rsidRDefault="00417232" w:rsidP="0081406A">
      <w:pPr>
        <w:pStyle w:val="Paragraphedeliste"/>
        <w:numPr>
          <w:ilvl w:val="0"/>
          <w:numId w:val="122"/>
        </w:numPr>
        <w:spacing w:after="0" w:line="240" w:lineRule="auto"/>
        <w:jc w:val="both"/>
        <w:rPr>
          <w:color w:val="000000" w:themeColor="text1"/>
        </w:rPr>
      </w:pPr>
      <w:r w:rsidRPr="00F337F8">
        <w:rPr>
          <w:color w:val="000000" w:themeColor="text1"/>
        </w:rPr>
        <w:t>La mauvaise gouvernance</w:t>
      </w:r>
      <w:r>
        <w:rPr>
          <w:color w:val="000000" w:themeColor="text1"/>
        </w:rPr>
        <w:t xml:space="preserve"> (dont se plaignent unanimement tous les administrés, les ONG, les observateurs extérieurs)</w:t>
      </w:r>
      <w:r w:rsidR="0050313B">
        <w:rPr>
          <w:rStyle w:val="Appelnotedebasdep"/>
          <w:color w:val="000000" w:themeColor="text1"/>
        </w:rPr>
        <w:footnoteReference w:id="290"/>
      </w:r>
      <w:r>
        <w:rPr>
          <w:color w:val="000000" w:themeColor="text1"/>
        </w:rPr>
        <w:t>. Le manque de préoccupation du bien public, par le</w:t>
      </w:r>
      <w:r w:rsidR="002A7342">
        <w:rPr>
          <w:color w:val="000000" w:themeColor="text1"/>
        </w:rPr>
        <w:t>s</w:t>
      </w:r>
      <w:r>
        <w:rPr>
          <w:color w:val="000000" w:themeColor="text1"/>
        </w:rPr>
        <w:t xml:space="preserve"> politiciens</w:t>
      </w:r>
      <w:r w:rsidR="00B81782">
        <w:rPr>
          <w:color w:val="000000" w:themeColor="text1"/>
        </w:rPr>
        <w:t xml:space="preserve"> et militaires</w:t>
      </w:r>
      <w:r>
        <w:rPr>
          <w:color w:val="000000" w:themeColor="text1"/>
        </w:rPr>
        <w:t xml:space="preserve"> locaux</w:t>
      </w:r>
      <w:r w:rsidR="00B5104D">
        <w:rPr>
          <w:rStyle w:val="Appelnotedebasdep"/>
          <w:color w:val="000000" w:themeColor="text1"/>
        </w:rPr>
        <w:footnoteReference w:id="291"/>
      </w:r>
      <w:r w:rsidR="001D7605">
        <w:rPr>
          <w:color w:val="000000" w:themeColor="text1"/>
        </w:rPr>
        <w:t>.</w:t>
      </w:r>
    </w:p>
    <w:p w14:paraId="58ECC3B3" w14:textId="4C7EBC39" w:rsidR="00417232" w:rsidRPr="00F337F8" w:rsidRDefault="00417232" w:rsidP="0081406A">
      <w:pPr>
        <w:pStyle w:val="Paragraphedeliste"/>
        <w:numPr>
          <w:ilvl w:val="0"/>
          <w:numId w:val="122"/>
        </w:numPr>
        <w:spacing w:after="0" w:line="240" w:lineRule="auto"/>
        <w:jc w:val="both"/>
        <w:rPr>
          <w:color w:val="000000" w:themeColor="text1"/>
        </w:rPr>
      </w:pPr>
      <w:r w:rsidRPr="00F337F8">
        <w:rPr>
          <w:color w:val="000000" w:themeColor="text1"/>
        </w:rPr>
        <w:t>Le danger du populisme (</w:t>
      </w:r>
      <w:r>
        <w:rPr>
          <w:color w:val="000000" w:themeColor="text1"/>
        </w:rPr>
        <w:t xml:space="preserve">des joueurs de flûte d’Hamelin, </w:t>
      </w:r>
      <w:r w:rsidRPr="00F337F8">
        <w:rPr>
          <w:color w:val="000000" w:themeColor="text1"/>
        </w:rPr>
        <w:t xml:space="preserve">des chants des </w:t>
      </w:r>
      <w:r>
        <w:rPr>
          <w:color w:val="000000" w:themeColor="text1"/>
        </w:rPr>
        <w:t>s</w:t>
      </w:r>
      <w:r w:rsidRPr="00F337F8">
        <w:rPr>
          <w:color w:val="000000" w:themeColor="text1"/>
        </w:rPr>
        <w:t>irènes, qui désignent des boucs émissaires et promettent des miracles</w:t>
      </w:r>
      <w:r w:rsidR="00E35523">
        <w:rPr>
          <w:color w:val="000000" w:themeColor="text1"/>
        </w:rPr>
        <w:t>, des théories du complot</w:t>
      </w:r>
      <w:r w:rsidRPr="00F337F8">
        <w:rPr>
          <w:color w:val="000000" w:themeColor="text1"/>
        </w:rPr>
        <w:t>)</w:t>
      </w:r>
      <w:r w:rsidR="00B5104D">
        <w:rPr>
          <w:color w:val="000000" w:themeColor="text1"/>
        </w:rPr>
        <w:t>, face à des concitoyens peu instruits et donc crédules et manipulables</w:t>
      </w:r>
      <w:r w:rsidRPr="00F337F8">
        <w:rPr>
          <w:color w:val="000000" w:themeColor="text1"/>
        </w:rPr>
        <w:t>.</w:t>
      </w:r>
      <w:r w:rsidR="00B5104D">
        <w:rPr>
          <w:color w:val="000000" w:themeColor="text1"/>
        </w:rPr>
        <w:t xml:space="preserve"> L’éducation et l’instauration d’une vraie démocratie, avec une presse libre, peuvent y pallier.</w:t>
      </w:r>
    </w:p>
    <w:p w14:paraId="0E1C9AB9" w14:textId="4919A021" w:rsidR="00417232" w:rsidRPr="00F337F8" w:rsidRDefault="00417232" w:rsidP="0081406A">
      <w:pPr>
        <w:pStyle w:val="Paragraphedeliste"/>
        <w:numPr>
          <w:ilvl w:val="0"/>
          <w:numId w:val="122"/>
        </w:numPr>
        <w:spacing w:after="0" w:line="240" w:lineRule="auto"/>
        <w:jc w:val="both"/>
        <w:rPr>
          <w:color w:val="000000" w:themeColor="text1"/>
        </w:rPr>
      </w:pPr>
      <w:r w:rsidRPr="00F337F8">
        <w:rPr>
          <w:color w:val="000000" w:themeColor="text1"/>
        </w:rPr>
        <w:t>La faiblesse du système éducatif (et son manque de moyens chronique).</w:t>
      </w:r>
      <w:r w:rsidR="00B5104D">
        <w:rPr>
          <w:color w:val="000000" w:themeColor="text1"/>
        </w:rPr>
        <w:t xml:space="preserve"> Il faut y consacrer de l’argent. Il faut des enseignants bien formés et bien payés.</w:t>
      </w:r>
      <w:r w:rsidR="00765B0F">
        <w:rPr>
          <w:color w:val="000000" w:themeColor="text1"/>
        </w:rPr>
        <w:t xml:space="preserve"> Il fau</w:t>
      </w:r>
      <w:r w:rsidR="00272EF6">
        <w:rPr>
          <w:color w:val="000000" w:themeColor="text1"/>
        </w:rPr>
        <w:t>drai</w:t>
      </w:r>
      <w:r w:rsidR="00765B0F">
        <w:rPr>
          <w:color w:val="000000" w:themeColor="text1"/>
        </w:rPr>
        <w:t>t une ou plusieurs chaînes de télévision scolaire.</w:t>
      </w:r>
    </w:p>
    <w:p w14:paraId="30B158E6" w14:textId="5D1E8DC3" w:rsidR="0085202C" w:rsidRDefault="0085202C" w:rsidP="0081406A">
      <w:pPr>
        <w:pStyle w:val="Paragraphedeliste"/>
        <w:numPr>
          <w:ilvl w:val="0"/>
          <w:numId w:val="122"/>
        </w:numPr>
        <w:spacing w:after="0" w:line="240" w:lineRule="auto"/>
        <w:jc w:val="both"/>
        <w:rPr>
          <w:color w:val="000000" w:themeColor="text1"/>
        </w:rPr>
      </w:pPr>
      <w:r w:rsidRPr="00F337F8">
        <w:rPr>
          <w:color w:val="000000" w:themeColor="text1"/>
        </w:rPr>
        <w:lastRenderedPageBreak/>
        <w:t>Le problème du manque d’attractivité du métier d’agriculteur et de l’attractivité du métier de fonctionnaire (en Afrique).</w:t>
      </w:r>
      <w:r w:rsidR="00E46969">
        <w:rPr>
          <w:color w:val="000000" w:themeColor="text1"/>
        </w:rPr>
        <w:t xml:space="preserve"> Il faut que l’accès à la terre</w:t>
      </w:r>
      <w:r w:rsidR="0050313B">
        <w:rPr>
          <w:color w:val="000000" w:themeColor="text1"/>
        </w:rPr>
        <w:t>, à des crédits ou micro-crédits à taux zéro</w:t>
      </w:r>
      <w:r w:rsidR="00E46969">
        <w:rPr>
          <w:color w:val="000000" w:themeColor="text1"/>
        </w:rPr>
        <w:t xml:space="preserve"> et aux formations de qualité soient facilitées, aux personnes aux faibles ressources</w:t>
      </w:r>
      <w:r w:rsidR="0050313B">
        <w:rPr>
          <w:color w:val="000000" w:themeColor="text1"/>
        </w:rPr>
        <w:t>, intéressées par le métier</w:t>
      </w:r>
      <w:r w:rsidR="00E46969">
        <w:rPr>
          <w:color w:val="000000" w:themeColor="text1"/>
        </w:rPr>
        <w:t>.</w:t>
      </w:r>
      <w:r w:rsidR="0050313B">
        <w:rPr>
          <w:color w:val="000000" w:themeColor="text1"/>
        </w:rPr>
        <w:t xml:space="preserve"> Il faut sécuriser les filières face aux fluctuations du marché et celles climatiques.</w:t>
      </w:r>
    </w:p>
    <w:p w14:paraId="5E33634D" w14:textId="6DE8009E" w:rsidR="00E46969" w:rsidRDefault="00E46969" w:rsidP="0081406A">
      <w:pPr>
        <w:pStyle w:val="Paragraphedeliste"/>
        <w:numPr>
          <w:ilvl w:val="0"/>
          <w:numId w:val="122"/>
        </w:numPr>
        <w:spacing w:after="0" w:line="240" w:lineRule="auto"/>
        <w:jc w:val="both"/>
        <w:rPr>
          <w:color w:val="000000" w:themeColor="text1"/>
        </w:rPr>
      </w:pPr>
      <w:r w:rsidRPr="00F337F8">
        <w:rPr>
          <w:color w:val="000000" w:themeColor="text1"/>
        </w:rPr>
        <w:t>L</w:t>
      </w:r>
      <w:r>
        <w:rPr>
          <w:color w:val="000000" w:themeColor="text1"/>
        </w:rPr>
        <w:t>e problème ou l’</w:t>
      </w:r>
      <w:r w:rsidRPr="00F337F8">
        <w:rPr>
          <w:color w:val="000000" w:themeColor="text1"/>
        </w:rPr>
        <w:t>urgence démographique</w:t>
      </w:r>
      <w:r>
        <w:rPr>
          <w:color w:val="000000" w:themeColor="text1"/>
        </w:rPr>
        <w:t xml:space="preserve"> (dont la solution est </w:t>
      </w:r>
      <w:r w:rsidR="0050313B">
        <w:rPr>
          <w:color w:val="000000" w:themeColor="text1"/>
        </w:rPr>
        <w:t>certainement</w:t>
      </w:r>
      <w:r>
        <w:rPr>
          <w:color w:val="000000" w:themeColor="text1"/>
        </w:rPr>
        <w:t xml:space="preserve"> liée à l’éducation).</w:t>
      </w:r>
    </w:p>
    <w:p w14:paraId="786C9851" w14:textId="470A4A40" w:rsidR="00216052" w:rsidRDefault="00216052" w:rsidP="0081406A">
      <w:pPr>
        <w:pStyle w:val="Paragraphedeliste"/>
        <w:numPr>
          <w:ilvl w:val="0"/>
          <w:numId w:val="122"/>
        </w:numPr>
        <w:spacing w:after="0" w:line="240" w:lineRule="auto"/>
        <w:jc w:val="both"/>
        <w:rPr>
          <w:color w:val="000000" w:themeColor="text1"/>
        </w:rPr>
      </w:pPr>
      <w:r>
        <w:rPr>
          <w:color w:val="000000" w:themeColor="text1"/>
        </w:rPr>
        <w:t xml:space="preserve">Le problème de l’inégalité homme-femme et du statut de </w:t>
      </w:r>
      <w:r w:rsidRPr="00216052">
        <w:rPr>
          <w:i/>
          <w:iCs/>
          <w:color w:val="000000" w:themeColor="text1"/>
        </w:rPr>
        <w:t>mineure à vie</w:t>
      </w:r>
      <w:r>
        <w:rPr>
          <w:color w:val="000000" w:themeColor="text1"/>
        </w:rPr>
        <w:t xml:space="preserve"> des femmes, dans certaines sociétés.</w:t>
      </w:r>
    </w:p>
    <w:p w14:paraId="152B27CE" w14:textId="74E5F77B" w:rsidR="0085202C" w:rsidRDefault="0085202C" w:rsidP="00DF7535">
      <w:pPr>
        <w:spacing w:after="0" w:line="240" w:lineRule="auto"/>
      </w:pPr>
    </w:p>
    <w:p w14:paraId="35541D26" w14:textId="6F7293A5" w:rsidR="00231B39" w:rsidRDefault="00231B39" w:rsidP="00DF7535">
      <w:pPr>
        <w:spacing w:after="0" w:line="240" w:lineRule="auto"/>
      </w:pPr>
      <w:r>
        <w:t>Ressources documentaires :</w:t>
      </w:r>
    </w:p>
    <w:p w14:paraId="199704F9" w14:textId="53516490" w:rsidR="00231B39" w:rsidRDefault="00231B39" w:rsidP="00DF7535">
      <w:pPr>
        <w:spacing w:after="0" w:line="240" w:lineRule="auto"/>
      </w:pPr>
      <w:r>
        <w:t xml:space="preserve">a) </w:t>
      </w:r>
      <w:r w:rsidR="00765B0F" w:rsidRPr="002A33F9">
        <w:rPr>
          <w:i/>
          <w:iCs/>
        </w:rPr>
        <w:t>La lutte contre la corruption</w:t>
      </w:r>
      <w:r w:rsidR="00765B0F">
        <w:t xml:space="preserve">, </w:t>
      </w:r>
      <w:r w:rsidR="002A33F9" w:rsidRPr="002A33F9">
        <w:t>08/06/2015</w:t>
      </w:r>
      <w:r w:rsidR="002A33F9">
        <w:t xml:space="preserve">, 436 pages, </w:t>
      </w:r>
      <w:hyperlink r:id="rId3699" w:history="1">
        <w:r w:rsidR="002A33F9" w:rsidRPr="005F3F9F">
          <w:rPr>
            <w:rStyle w:val="Lienhypertexte"/>
          </w:rPr>
          <w:t>http://www.doc-developpement-durable.org/documents-pedagogiques-de-sensibilisation/LutteContreLaCorruption.pptx</w:t>
        </w:r>
      </w:hyperlink>
      <w:r w:rsidR="002A33F9">
        <w:t xml:space="preserve"> </w:t>
      </w:r>
    </w:p>
    <w:p w14:paraId="33898A5C" w14:textId="5CD517B4" w:rsidR="002A33F9" w:rsidRDefault="002A33F9" w:rsidP="00DF7535">
      <w:pPr>
        <w:spacing w:after="0" w:line="240" w:lineRule="auto"/>
      </w:pPr>
      <w:r>
        <w:t xml:space="preserve">b) version PDF : </w:t>
      </w:r>
      <w:hyperlink r:id="rId3700" w:history="1">
        <w:r w:rsidRPr="005F3F9F">
          <w:rPr>
            <w:rStyle w:val="Lienhypertexte"/>
          </w:rPr>
          <w:t>http://www.doc-developpement-durable.org/documents-pedagogiques-de-sensibilisation/LutteContreLaCorruption.pdf</w:t>
        </w:r>
      </w:hyperlink>
      <w:r>
        <w:t xml:space="preserve"> </w:t>
      </w:r>
    </w:p>
    <w:p w14:paraId="4B249A16" w14:textId="77777777" w:rsidR="00F10C12" w:rsidRPr="00134A85" w:rsidRDefault="00F10C12" w:rsidP="00F10C12">
      <w:pPr>
        <w:spacing w:after="0" w:line="240" w:lineRule="auto"/>
        <w:jc w:val="both"/>
      </w:pPr>
    </w:p>
    <w:p w14:paraId="46DCE901" w14:textId="3D452881" w:rsidR="00700580" w:rsidRDefault="00700580" w:rsidP="00700580">
      <w:pPr>
        <w:pStyle w:val="Titre1"/>
      </w:pPr>
      <w:bookmarkStart w:id="349" w:name="_Toc139181640"/>
      <w:r>
        <w:t>Bibliographie</w:t>
      </w:r>
      <w:bookmarkEnd w:id="349"/>
    </w:p>
    <w:p w14:paraId="13C0DBD1" w14:textId="5B24B988" w:rsidR="002E0298" w:rsidRDefault="002E0298" w:rsidP="00B0554A">
      <w:pPr>
        <w:spacing w:after="0" w:line="240" w:lineRule="auto"/>
      </w:pPr>
    </w:p>
    <w:p w14:paraId="2AEE8155" w14:textId="5CBEB440" w:rsidR="00103ABB" w:rsidRDefault="00103ABB" w:rsidP="00103ABB">
      <w:pPr>
        <w:pStyle w:val="Titre2"/>
      </w:pPr>
      <w:bookmarkStart w:id="350" w:name="_Toc139181641"/>
      <w:r>
        <w:t>Le réchauffement climatique</w:t>
      </w:r>
      <w:bookmarkEnd w:id="350"/>
    </w:p>
    <w:p w14:paraId="1B15D71D" w14:textId="2FEA4189" w:rsidR="00103ABB" w:rsidRDefault="00103ABB" w:rsidP="00B0554A">
      <w:pPr>
        <w:spacing w:after="0" w:line="240" w:lineRule="auto"/>
      </w:pPr>
    </w:p>
    <w:p w14:paraId="48E101FB" w14:textId="5BBB6F3F" w:rsidR="00103ABB" w:rsidRDefault="00103ABB" w:rsidP="00103ABB">
      <w:pPr>
        <w:spacing w:after="0" w:line="240" w:lineRule="auto"/>
        <w:jc w:val="both"/>
      </w:pPr>
      <w:r>
        <w:t xml:space="preserve">[1] </w:t>
      </w:r>
      <w:r w:rsidRPr="00103ABB">
        <w:rPr>
          <w:i/>
          <w:iCs/>
        </w:rPr>
        <w:t>Atlas du réchauffement climatique: un risque majeur pour la planète</w:t>
      </w:r>
      <w:r w:rsidRPr="00103ABB">
        <w:t>, Frédéric Denhez, Krystyna Mazoyer et Michel Petit, Éditeur ‏Autrement, 2009, 88 pages.</w:t>
      </w:r>
    </w:p>
    <w:p w14:paraId="40A7B88D" w14:textId="59539F4D" w:rsidR="00103ABB" w:rsidRDefault="00103ABB" w:rsidP="00103ABB">
      <w:pPr>
        <w:spacing w:after="0" w:line="240" w:lineRule="auto"/>
        <w:jc w:val="both"/>
      </w:pPr>
      <w:r>
        <w:t xml:space="preserve">[2] </w:t>
      </w:r>
      <w:r w:rsidRPr="003C7989">
        <w:rPr>
          <w:i/>
          <w:iCs/>
        </w:rPr>
        <w:t>L'atlas du changement climatique. Les causes et les conséquences. Des solutions pour agir</w:t>
      </w:r>
      <w:r w:rsidRPr="00103ABB">
        <w:t>, Collectif (Dan Hooke ...), Bruno Porlier (Traduction), Éditeur ‏Gallimard Jeunesse, 2021, 240 pages</w:t>
      </w:r>
      <w:r>
        <w:t xml:space="preserve"> (</w:t>
      </w:r>
      <w:r w:rsidR="003C7989">
        <w:t>âges de lecture</w:t>
      </w:r>
      <w:r>
        <w:t xml:space="preserve"> </w:t>
      </w:r>
      <w:r w:rsidR="003C7989">
        <w:t>9</w:t>
      </w:r>
      <w:r>
        <w:t>-18 ans)</w:t>
      </w:r>
      <w:r w:rsidRPr="00103ABB">
        <w:t>.</w:t>
      </w:r>
    </w:p>
    <w:p w14:paraId="135C9E18" w14:textId="77777777" w:rsidR="009D4FA3" w:rsidRDefault="009D4FA3" w:rsidP="009D4FA3">
      <w:pPr>
        <w:spacing w:after="0" w:line="240" w:lineRule="auto"/>
        <w:jc w:val="both"/>
      </w:pPr>
      <w:r>
        <w:t xml:space="preserve">[3] </w:t>
      </w:r>
      <w:r w:rsidRPr="009D4FA3">
        <w:rPr>
          <w:i/>
          <w:iCs/>
        </w:rPr>
        <w:t>Africa : Scientists sound the alarm over drought in East Africa: What must happen next</w:t>
      </w:r>
      <w:r>
        <w:t xml:space="preserve"> [Des scientifiques tirent la sonnette d'alarme sur la sécheresse en Afrique de l'Est : que doit-il se passer ensuite ?], Chris Funk, 05/10/2021,</w:t>
      </w:r>
    </w:p>
    <w:p w14:paraId="6329B198" w14:textId="51E3185A" w:rsidR="009D4FA3" w:rsidRDefault="00000000" w:rsidP="009D4FA3">
      <w:pPr>
        <w:spacing w:after="0" w:line="240" w:lineRule="auto"/>
        <w:jc w:val="both"/>
      </w:pPr>
      <w:hyperlink r:id="rId3701" w:history="1">
        <w:r w:rsidR="009D4FA3" w:rsidRPr="00073649">
          <w:rPr>
            <w:rStyle w:val="Lienhypertexte"/>
          </w:rPr>
          <w:t>https://www.downtoearth.org.in/blog/africa/scientists-sound-the-alarm-over-drought-in-east-africa-what-must-happen-next-79520</w:t>
        </w:r>
      </w:hyperlink>
      <w:r w:rsidR="009D4FA3">
        <w:t xml:space="preserve"> </w:t>
      </w:r>
    </w:p>
    <w:p w14:paraId="78132144" w14:textId="518EFADF" w:rsidR="009D4FA3" w:rsidRDefault="009D4FA3" w:rsidP="009D4FA3">
      <w:pPr>
        <w:spacing w:after="0" w:line="240" w:lineRule="auto"/>
        <w:jc w:val="both"/>
      </w:pPr>
      <w:r>
        <w:t>The next five years will very likely bring a strong El Niño causing more drought disasters [Les cinq prochaines années apporteront très probablement un fort El Niño provoquant davantage de catastrophes liées à la sécheresse].</w:t>
      </w:r>
    </w:p>
    <w:p w14:paraId="44A08069" w14:textId="77777777" w:rsidR="00103ABB" w:rsidRDefault="00103ABB" w:rsidP="00B0554A">
      <w:pPr>
        <w:spacing w:after="0" w:line="240" w:lineRule="auto"/>
      </w:pPr>
    </w:p>
    <w:p w14:paraId="733B57D0" w14:textId="2AB14D17" w:rsidR="00A168D7" w:rsidRDefault="00A168D7" w:rsidP="00A168D7">
      <w:pPr>
        <w:pStyle w:val="Titre2"/>
      </w:pPr>
      <w:bookmarkStart w:id="351" w:name="_Toc139181642"/>
      <w:r>
        <w:t>Salinisation des sols et augmentation du niveau des mers</w:t>
      </w:r>
      <w:bookmarkEnd w:id="351"/>
    </w:p>
    <w:p w14:paraId="36598DC4" w14:textId="77777777" w:rsidR="00A168D7" w:rsidRDefault="00A168D7" w:rsidP="00B0554A">
      <w:pPr>
        <w:spacing w:after="0" w:line="240" w:lineRule="auto"/>
      </w:pPr>
    </w:p>
    <w:p w14:paraId="5EBA4CEC" w14:textId="1DC5D97D" w:rsidR="00700580" w:rsidRDefault="002E0298" w:rsidP="00B0554A">
      <w:pPr>
        <w:spacing w:after="0" w:line="240" w:lineRule="auto"/>
      </w:pPr>
      <w:r>
        <w:t xml:space="preserve">[10] </w:t>
      </w:r>
      <w:r w:rsidR="00700580" w:rsidRPr="00700580">
        <w:rPr>
          <w:i/>
          <w:iCs/>
        </w:rPr>
        <w:t>Environmental issues in Florida</w:t>
      </w:r>
      <w:r w:rsidR="00700580" w:rsidRPr="00700580">
        <w:t xml:space="preserve"> [Problèmes environnementaux en Floride], </w:t>
      </w:r>
      <w:hyperlink r:id="rId3702" w:history="1">
        <w:r w:rsidR="00700580" w:rsidRPr="009A5570">
          <w:rPr>
            <w:rStyle w:val="Lienhypertexte"/>
          </w:rPr>
          <w:t>https://en.wikipedia.org/wiki/Environmental_issues_in_Florida</w:t>
        </w:r>
      </w:hyperlink>
      <w:r w:rsidR="00700580">
        <w:t xml:space="preserve"> </w:t>
      </w:r>
    </w:p>
    <w:p w14:paraId="37651736" w14:textId="1ACFC993" w:rsidR="00A168D7" w:rsidRDefault="00A168D7" w:rsidP="00B0554A">
      <w:pPr>
        <w:spacing w:after="0" w:line="240" w:lineRule="auto"/>
        <w:rPr>
          <w:i/>
          <w:iCs/>
        </w:rPr>
      </w:pPr>
    </w:p>
    <w:p w14:paraId="3074D5AF" w14:textId="104072EA" w:rsidR="00A168D7" w:rsidRPr="00A168D7" w:rsidRDefault="00A168D7" w:rsidP="00A168D7">
      <w:pPr>
        <w:pStyle w:val="Titre2"/>
      </w:pPr>
      <w:bookmarkStart w:id="352" w:name="_Toc139181643"/>
      <w:r>
        <w:t>Destruction des forêts</w:t>
      </w:r>
      <w:r w:rsidR="00812382">
        <w:t xml:space="preserve"> et des mangroves</w:t>
      </w:r>
      <w:bookmarkEnd w:id="352"/>
    </w:p>
    <w:p w14:paraId="5467525E" w14:textId="77777777" w:rsidR="00A168D7" w:rsidRDefault="00A168D7" w:rsidP="00B0554A">
      <w:pPr>
        <w:spacing w:after="0" w:line="240" w:lineRule="auto"/>
        <w:rPr>
          <w:i/>
          <w:iCs/>
        </w:rPr>
      </w:pPr>
    </w:p>
    <w:p w14:paraId="2D66AFCF" w14:textId="566B421D" w:rsidR="00A168D7" w:rsidRDefault="002E0298" w:rsidP="00B0554A">
      <w:pPr>
        <w:spacing w:after="0" w:line="240" w:lineRule="auto"/>
        <w:rPr>
          <w:rStyle w:val="Lienhypertexte"/>
        </w:rPr>
      </w:pPr>
      <w:r>
        <w:t xml:space="preserve">[20] </w:t>
      </w:r>
      <w:r w:rsidR="00310A0F" w:rsidRPr="00310A0F">
        <w:rPr>
          <w:i/>
          <w:iCs/>
        </w:rPr>
        <w:t>Les forêts tropicales détruites en 2018 font la superficie du Nicaragua</w:t>
      </w:r>
      <w:r w:rsidR="00310A0F" w:rsidRPr="00310A0F">
        <w:t xml:space="preserve">, </w:t>
      </w:r>
      <w:hyperlink r:id="rId3703" w:history="1">
        <w:r w:rsidR="00310A0F" w:rsidRPr="009A5570">
          <w:rPr>
            <w:rStyle w:val="Lienhypertexte"/>
          </w:rPr>
          <w:t>https://www.lexpress.fr/actualite/societe/environnement/les-forets-tropicales-detruites-en-2018-font-la-superficie-du-nicaragua_2074766.html</w:t>
        </w:r>
      </w:hyperlink>
    </w:p>
    <w:p w14:paraId="2D6F03F0" w14:textId="78DE525F" w:rsidR="00812382" w:rsidRDefault="00812382" w:rsidP="00812382">
      <w:pPr>
        <w:spacing w:after="0" w:line="240" w:lineRule="auto"/>
      </w:pPr>
      <w:r>
        <w:t>[21</w:t>
      </w:r>
      <w:r w:rsidRPr="00812382">
        <w:t xml:space="preserve">] </w:t>
      </w:r>
      <w:r>
        <w:rPr>
          <w:i/>
          <w:iCs/>
        </w:rPr>
        <w:t>E</w:t>
      </w:r>
      <w:r w:rsidRPr="00812382">
        <w:rPr>
          <w:i/>
          <w:iCs/>
        </w:rPr>
        <w:t>valuation des risques li</w:t>
      </w:r>
      <w:r>
        <w:rPr>
          <w:i/>
          <w:iCs/>
        </w:rPr>
        <w:t>é</w:t>
      </w:r>
      <w:r w:rsidRPr="00812382">
        <w:rPr>
          <w:i/>
          <w:iCs/>
        </w:rPr>
        <w:t xml:space="preserve">s aux mangroves face au changement climatique </w:t>
      </w:r>
      <w:r>
        <w:rPr>
          <w:i/>
          <w:iCs/>
        </w:rPr>
        <w:t>(Madagascar)</w:t>
      </w:r>
      <w:r w:rsidRPr="00812382">
        <w:t xml:space="preserve">, ANDRIANIAINA Rindra Tsiory Patrick, thèse, 11 mai 2018, </w:t>
      </w:r>
      <w:hyperlink r:id="rId3704" w:history="1">
        <w:r w:rsidRPr="00AF787D">
          <w:rPr>
            <w:rStyle w:val="Lienhypertexte"/>
          </w:rPr>
          <w:t>http://biblio.univ-antananarivo.mg/pdfs/andrianiainaRindraTP_PC_Lic_18.pdf</w:t>
        </w:r>
      </w:hyperlink>
      <w:r>
        <w:t xml:space="preserve"> </w:t>
      </w:r>
    </w:p>
    <w:p w14:paraId="040B0658" w14:textId="0883BDF2" w:rsidR="000442F8" w:rsidRPr="00E35AF5" w:rsidRDefault="000442F8" w:rsidP="003F7FED">
      <w:pPr>
        <w:spacing w:after="0" w:line="240" w:lineRule="auto"/>
        <w:jc w:val="both"/>
        <w:rPr>
          <w:lang w:val="es-AR"/>
        </w:rPr>
      </w:pPr>
      <w:r>
        <w:t xml:space="preserve">[22] </w:t>
      </w:r>
      <w:r w:rsidRPr="000442F8">
        <w:rPr>
          <w:i/>
          <w:iCs/>
        </w:rPr>
        <w:t>Etat des lieux des Mangroves de Madagascar</w:t>
      </w:r>
      <w:r>
        <w:t>,</w:t>
      </w:r>
      <w:r w:rsidRPr="000442F8">
        <w:t xml:space="preserve"> </w:t>
      </w:r>
      <w:r w:rsidR="00AB3EBE">
        <w:t>ministère de l’Environnement</w:t>
      </w:r>
      <w:r w:rsidRPr="000442F8">
        <w:t xml:space="preserve"> et du Développement Durable et</w:t>
      </w:r>
      <w:r w:rsidR="003F7FED">
        <w:t xml:space="preserve"> </w:t>
      </w:r>
      <w:r w:rsidR="00A95DE0" w:rsidRPr="000442F8">
        <w:t>ministère de l’Agriculture</w:t>
      </w:r>
      <w:r w:rsidRPr="000442F8">
        <w:t xml:space="preserve">, de l’Elevage et de la Pêche, 2019-2020. </w:t>
      </w:r>
      <w:r w:rsidRPr="000442F8">
        <w:rPr>
          <w:lang w:val="es-AR"/>
        </w:rPr>
        <w:t xml:space="preserve">Antananarivo, Madagascar. </w:t>
      </w:r>
      <w:r w:rsidRPr="00E35AF5">
        <w:rPr>
          <w:lang w:val="es-AR"/>
        </w:rPr>
        <w:t xml:space="preserve">224 pages, </w:t>
      </w:r>
      <w:hyperlink r:id="rId3705" w:history="1">
        <w:r w:rsidRPr="00E35AF5">
          <w:rPr>
            <w:rStyle w:val="Lienhypertexte"/>
            <w:lang w:val="es-AR"/>
          </w:rPr>
          <w:t>http://www.doc-developpement-durable.org/file/Culture/Arbres-Bois-de-Rapport-Reforestation/mangrove/etat_des_lieux_des_mangroves_madagascar_2020-01-29.pdf</w:t>
        </w:r>
      </w:hyperlink>
      <w:r w:rsidRPr="00E35AF5">
        <w:rPr>
          <w:lang w:val="es-AR"/>
        </w:rPr>
        <w:t xml:space="preserve"> </w:t>
      </w:r>
    </w:p>
    <w:p w14:paraId="1C9B4554" w14:textId="76463459" w:rsidR="00812382" w:rsidRPr="00E35AF5" w:rsidRDefault="00812382" w:rsidP="00B0554A">
      <w:pPr>
        <w:spacing w:after="0" w:line="240" w:lineRule="auto"/>
        <w:rPr>
          <w:rStyle w:val="Lienhypertexte"/>
          <w:lang w:val="es-AR"/>
        </w:rPr>
      </w:pPr>
    </w:p>
    <w:p w14:paraId="38B83EF6" w14:textId="7720FF54" w:rsidR="00A168D7" w:rsidRDefault="002E0298" w:rsidP="00A168D7">
      <w:pPr>
        <w:pStyle w:val="Titre2"/>
      </w:pPr>
      <w:bookmarkStart w:id="353" w:name="_Toc139181644"/>
      <w:r>
        <w:t>Sècheresses et a</w:t>
      </w:r>
      <w:r w:rsidR="00A168D7">
        <w:t>ssèchement</w:t>
      </w:r>
      <w:r w:rsidR="000E462C">
        <w:t xml:space="preserve"> de rivières et</w:t>
      </w:r>
      <w:r w:rsidR="00A168D7">
        <w:t xml:space="preserve"> de lacs</w:t>
      </w:r>
      <w:bookmarkEnd w:id="353"/>
    </w:p>
    <w:p w14:paraId="47E5A65C" w14:textId="77777777" w:rsidR="00A168D7" w:rsidRDefault="00A168D7" w:rsidP="00B0554A">
      <w:pPr>
        <w:spacing w:after="0" w:line="240" w:lineRule="auto"/>
      </w:pPr>
    </w:p>
    <w:p w14:paraId="689C9881" w14:textId="0F9AE813" w:rsidR="00310A0F" w:rsidRDefault="002E0298" w:rsidP="00B0554A">
      <w:pPr>
        <w:spacing w:after="0" w:line="240" w:lineRule="auto"/>
      </w:pPr>
      <w:r>
        <w:lastRenderedPageBreak/>
        <w:t xml:space="preserve">[30] </w:t>
      </w:r>
      <w:r w:rsidR="00095466" w:rsidRPr="00095466">
        <w:rPr>
          <w:i/>
          <w:iCs/>
        </w:rPr>
        <w:t>Assèchement des grands lacs et mers au XXe siècle</w:t>
      </w:r>
      <w:r w:rsidR="00095466" w:rsidRPr="00095466">
        <w:t xml:space="preserve">, </w:t>
      </w:r>
      <w:hyperlink r:id="rId3706" w:history="1">
        <w:r w:rsidR="00754D01" w:rsidRPr="00FF20F3">
          <w:rPr>
            <w:rStyle w:val="Lienhypertexte"/>
          </w:rPr>
          <w:t>https://fr.wikipedia.org/wiki/Ass%C3%A8chement_des_grands_lacs_et_mers_au_XXe_si%C3%A8cle</w:t>
        </w:r>
      </w:hyperlink>
    </w:p>
    <w:p w14:paraId="05F75928" w14:textId="768764BA" w:rsidR="00D8556F" w:rsidRDefault="002E0298" w:rsidP="00B0554A">
      <w:pPr>
        <w:spacing w:after="0" w:line="240" w:lineRule="auto"/>
        <w:rPr>
          <w:rStyle w:val="Lienhypertexte"/>
        </w:rPr>
      </w:pPr>
      <w:r>
        <w:t xml:space="preserve">[31] </w:t>
      </w:r>
      <w:r w:rsidR="00D8556F" w:rsidRPr="00D8556F">
        <w:rPr>
          <w:i/>
          <w:iCs/>
        </w:rPr>
        <w:t>Turquie : un millier de flamants roses sont morts dans un lac à cause de la sécheresse</w:t>
      </w:r>
      <w:r w:rsidR="00D8556F" w:rsidRPr="00D8556F">
        <w:t xml:space="preserve">, Chloé GURDJIAN, 20/07/2021, </w:t>
      </w:r>
      <w:hyperlink r:id="rId3707" w:history="1">
        <w:r w:rsidR="00754D01" w:rsidRPr="00FF20F3">
          <w:rPr>
            <w:rStyle w:val="Lienhypertexte"/>
          </w:rPr>
          <w:t>https://www.geo.fr/environnement/turquie-un-millier-de-flamants-roses-sont-morts-dans-un-lac-a-cause-de-la-secheresse-205552</w:t>
        </w:r>
      </w:hyperlink>
    </w:p>
    <w:p w14:paraId="1BBAFFE1" w14:textId="1BDE5036" w:rsidR="002E0298" w:rsidRDefault="002E0298" w:rsidP="00B0554A">
      <w:pPr>
        <w:spacing w:after="0" w:line="240" w:lineRule="auto"/>
      </w:pPr>
      <w:r>
        <w:t xml:space="preserve">[32] </w:t>
      </w:r>
      <w:r w:rsidRPr="002E0298">
        <w:rPr>
          <w:i/>
          <w:iCs/>
        </w:rPr>
        <w:t>Les larmes du Tigre, reportage le long du fleuve mésopotamien, alors que l’Irak vit une nouvelle période de sécheresse destructrice</w:t>
      </w:r>
      <w:r>
        <w:t>, 11/07/2021,</w:t>
      </w:r>
      <w:r w:rsidRPr="002E0298">
        <w:t xml:space="preserve"> Figaro Magazine, </w:t>
      </w:r>
      <w:hyperlink r:id="rId3708" w:history="1">
        <w:r w:rsidRPr="00313E03">
          <w:rPr>
            <w:rStyle w:val="Lienhypertexte"/>
          </w:rPr>
          <w:t>https://twitter.com/Aufildubosphore/status/1414127206322876416</w:t>
        </w:r>
      </w:hyperlink>
      <w:r>
        <w:t xml:space="preserve"> </w:t>
      </w:r>
    </w:p>
    <w:p w14:paraId="3AB7F133" w14:textId="47F026B0" w:rsidR="004F1C73" w:rsidRDefault="004F1C73" w:rsidP="00B0554A">
      <w:pPr>
        <w:spacing w:after="0" w:line="240" w:lineRule="auto"/>
      </w:pPr>
      <w:r>
        <w:t xml:space="preserve">[33] </w:t>
      </w:r>
      <w:r w:rsidRPr="004F1C73">
        <w:rPr>
          <w:i/>
          <w:iCs/>
        </w:rPr>
        <w:t>Sécheresse : l’indispensable adaptation des forêts françaises</w:t>
      </w:r>
      <w:r w:rsidRPr="004F1C73">
        <w:t xml:space="preserve">, 21/01/2020, </w:t>
      </w:r>
      <w:hyperlink r:id="rId3709" w:history="1">
        <w:r w:rsidRPr="007E3FFA">
          <w:rPr>
            <w:rStyle w:val="Lienhypertexte"/>
          </w:rPr>
          <w:t>https://theconversation.com/secheresse-lindispensable-adaptation-des-forets-francaises-128404</w:t>
        </w:r>
      </w:hyperlink>
      <w:r>
        <w:t xml:space="preserve"> </w:t>
      </w:r>
    </w:p>
    <w:p w14:paraId="6308FA70" w14:textId="3263FCEB" w:rsidR="000E462C" w:rsidRDefault="000E462C" w:rsidP="00B0554A">
      <w:pPr>
        <w:spacing w:after="0" w:line="240" w:lineRule="auto"/>
        <w:rPr>
          <w:lang w:val="en-GB"/>
        </w:rPr>
      </w:pPr>
      <w:r w:rsidRPr="000E462C">
        <w:rPr>
          <w:lang w:val="en-GB"/>
        </w:rPr>
        <w:t xml:space="preserve">[34] </w:t>
      </w:r>
      <w:r w:rsidRPr="000E462C">
        <w:rPr>
          <w:i/>
          <w:iCs/>
          <w:lang w:val="en-GB"/>
        </w:rPr>
        <w:t>'Desert': drying Euphrates threatens disaster in Syria</w:t>
      </w:r>
      <w:r w:rsidRPr="000E462C">
        <w:rPr>
          <w:lang w:val="en-GB"/>
        </w:rPr>
        <w:t xml:space="preserve">, Delil Souleiman &amp; Alice Hackman, 30/08/2021, </w:t>
      </w:r>
      <w:hyperlink r:id="rId3710" w:history="1">
        <w:r w:rsidR="00A1095F" w:rsidRPr="00224761">
          <w:rPr>
            <w:rStyle w:val="Lienhypertexte"/>
            <w:lang w:val="en-GB"/>
          </w:rPr>
          <w:t>https://news.yahoo.com/desert-drying-euphrates-threatens-disaster-020729928.html</w:t>
        </w:r>
      </w:hyperlink>
    </w:p>
    <w:p w14:paraId="1B6B09DB" w14:textId="2D43C50B" w:rsidR="00A1095F" w:rsidRPr="00A1095F" w:rsidRDefault="00A1095F" w:rsidP="00A1095F">
      <w:pPr>
        <w:spacing w:after="0" w:line="240" w:lineRule="auto"/>
      </w:pPr>
      <w:r w:rsidRPr="00A1095F">
        <w:t xml:space="preserve">[35] </w:t>
      </w:r>
      <w:r w:rsidRPr="00A31AFD">
        <w:rPr>
          <w:i/>
          <w:iCs/>
        </w:rPr>
        <w:t>Tout comprendre aux violences provoquées par la crise de l'eau en Iran</w:t>
      </w:r>
      <w:r w:rsidRPr="00A1095F">
        <w:t xml:space="preserve">, 21/07/2021, </w:t>
      </w:r>
      <w:hyperlink r:id="rId3711" w:history="1">
        <w:r w:rsidRPr="00224761">
          <w:rPr>
            <w:rStyle w:val="Lienhypertexte"/>
          </w:rPr>
          <w:t>https://www.lexpress.fr/actualite/monde/proche-moyen-orient/tout-comprendre-aux-violences-provoquees-par-la-crise-de-l-eau-en-iran_2155358.html</w:t>
        </w:r>
      </w:hyperlink>
      <w:r>
        <w:t xml:space="preserve"> </w:t>
      </w:r>
      <w:r w:rsidRPr="00A1095F">
        <w:t xml:space="preserve"> </w:t>
      </w:r>
    </w:p>
    <w:p w14:paraId="0600F6D8" w14:textId="1F7DCED7" w:rsidR="00A1095F" w:rsidRDefault="00A1095F" w:rsidP="00A1095F">
      <w:pPr>
        <w:spacing w:after="0" w:line="240" w:lineRule="auto"/>
      </w:pPr>
      <w:r w:rsidRPr="00A1095F">
        <w:t>Des médias en persan émettant de l'étranger ont parlé de manifestations réprimées par les forces de l'ordre au Khouzestan, frappé par une sécheresse.</w:t>
      </w:r>
    </w:p>
    <w:p w14:paraId="3874CDA5" w14:textId="41CDF370" w:rsidR="00EA698A" w:rsidRDefault="00EA698A" w:rsidP="00A1095F">
      <w:pPr>
        <w:spacing w:after="0" w:line="240" w:lineRule="auto"/>
      </w:pPr>
      <w:r>
        <w:t xml:space="preserve">[36] </w:t>
      </w:r>
      <w:r w:rsidRPr="00EA698A">
        <w:rPr>
          <w:i/>
          <w:iCs/>
        </w:rPr>
        <w:t>Réchauffement climatique : le Colorado bientôt à sec ?</w:t>
      </w:r>
      <w:r w:rsidRPr="00EA698A">
        <w:t xml:space="preserve"> 20/02/2020, </w:t>
      </w:r>
      <w:hyperlink r:id="rId3712" w:history="1">
        <w:r w:rsidRPr="00224761">
          <w:rPr>
            <w:rStyle w:val="Lienhypertexte"/>
          </w:rPr>
          <w:t>https://www.initiativesfleuves.org/actualites/rechauffement-climatique-colorado-bientot-a-sec/</w:t>
        </w:r>
      </w:hyperlink>
      <w:r>
        <w:t xml:space="preserve"> </w:t>
      </w:r>
    </w:p>
    <w:p w14:paraId="3483691C" w14:textId="2D6648B1" w:rsidR="002A5673" w:rsidRDefault="002A5673" w:rsidP="002A5673">
      <w:pPr>
        <w:spacing w:after="0" w:line="240" w:lineRule="auto"/>
      </w:pPr>
      <w:r>
        <w:t xml:space="preserve">[37] </w:t>
      </w:r>
      <w:r w:rsidRPr="002A5673">
        <w:rPr>
          <w:i/>
          <w:iCs/>
        </w:rPr>
        <w:t>Ces "guerres de l'eau" qui nous menacent</w:t>
      </w:r>
      <w:r>
        <w:t xml:space="preserve">, Richard Hiault, 30/08/2016, </w:t>
      </w:r>
      <w:hyperlink r:id="rId3713" w:history="1">
        <w:r w:rsidRPr="00224761">
          <w:rPr>
            <w:rStyle w:val="Lienhypertexte"/>
          </w:rPr>
          <w:t>https://www.lesechos.fr/2016/08/ces-guerres-de-leau-qui-nous-menacent-1112386</w:t>
        </w:r>
      </w:hyperlink>
      <w:r>
        <w:t xml:space="preserve"> </w:t>
      </w:r>
    </w:p>
    <w:p w14:paraId="1500D66C" w14:textId="2A6EFA10" w:rsidR="002A5673" w:rsidRPr="00A1095F" w:rsidRDefault="002A5673" w:rsidP="002A5673">
      <w:pPr>
        <w:spacing w:after="0" w:line="240" w:lineRule="auto"/>
        <w:jc w:val="both"/>
      </w:pPr>
      <w:r>
        <w:t>Réchauffement climatique, démographie galopante, urbanisation et industrialisation croissante... Ce cocktail explosif annonce à coup sûr une aggravation des tensions liées à l'approvisionnement en eau. Certains experts y voient le principal risque de conflits dans les années à venir.</w:t>
      </w:r>
    </w:p>
    <w:p w14:paraId="0D7E36E2" w14:textId="77777777" w:rsidR="00606F0D" w:rsidRPr="00A1095F" w:rsidRDefault="00606F0D" w:rsidP="00B0554A">
      <w:pPr>
        <w:spacing w:after="0" w:line="240" w:lineRule="auto"/>
      </w:pPr>
    </w:p>
    <w:p w14:paraId="77F4C3B3" w14:textId="18C32928" w:rsidR="00754D01" w:rsidRDefault="00A168D7" w:rsidP="00A168D7">
      <w:pPr>
        <w:pStyle w:val="Titre2"/>
      </w:pPr>
      <w:bookmarkStart w:id="354" w:name="_Toc139181645"/>
      <w:r>
        <w:t>Recul des glaciers</w:t>
      </w:r>
      <w:bookmarkEnd w:id="354"/>
    </w:p>
    <w:p w14:paraId="120E9882" w14:textId="54FD76D0" w:rsidR="00A168D7" w:rsidRDefault="00A168D7" w:rsidP="00B0554A">
      <w:pPr>
        <w:spacing w:after="0" w:line="240" w:lineRule="auto"/>
      </w:pPr>
    </w:p>
    <w:p w14:paraId="1AC3DD43" w14:textId="3218F44C" w:rsidR="00A168D7" w:rsidRDefault="00140E9A" w:rsidP="00B0554A">
      <w:pPr>
        <w:spacing w:after="0" w:line="240" w:lineRule="auto"/>
      </w:pPr>
      <w:r>
        <w:t xml:space="preserve">[40] </w:t>
      </w:r>
      <w:r w:rsidR="00A168D7" w:rsidRPr="00A168D7">
        <w:rPr>
          <w:i/>
          <w:iCs/>
        </w:rPr>
        <w:t>Réchauffement climatique : Ces photos virales d’un glacier à un siècle d’intervalle sont « l’illustration parfaite du recul des glaciers »,</w:t>
      </w:r>
      <w:r w:rsidR="00A168D7" w:rsidRPr="00A168D7">
        <w:t xml:space="preserve"> Mathilde Cousin, 21/07/21, </w:t>
      </w:r>
      <w:hyperlink r:id="rId3714" w:history="1">
        <w:r w:rsidR="00A168D7" w:rsidRPr="00D30831">
          <w:rPr>
            <w:rStyle w:val="Lienhypertexte"/>
          </w:rPr>
          <w:t>https://www.20minutes.fr/planete/3088055-20210721-rechauffement-climatique-photos-virales-glacier-siecle-intervalle-illustration-parfaite-recul-glaciers</w:t>
        </w:r>
      </w:hyperlink>
      <w:r w:rsidR="00A168D7">
        <w:t xml:space="preserve"> </w:t>
      </w:r>
    </w:p>
    <w:p w14:paraId="0260CDBF" w14:textId="7C1DF500" w:rsidR="00213772" w:rsidRDefault="00213772" w:rsidP="00B0554A">
      <w:pPr>
        <w:spacing w:after="0" w:line="240" w:lineRule="auto"/>
      </w:pPr>
      <w:r>
        <w:t xml:space="preserve">[41] </w:t>
      </w:r>
      <w:r w:rsidRPr="00213772">
        <w:t xml:space="preserve">Recul des glaciers depuis 1850, </w:t>
      </w:r>
      <w:hyperlink r:id="rId3715" w:history="1">
        <w:r w:rsidRPr="005A014B">
          <w:rPr>
            <w:rStyle w:val="Lienhypertexte"/>
          </w:rPr>
          <w:t>https://fr.wikipedia.org/wiki/Recul_des_glaciers_depuis_1850</w:t>
        </w:r>
      </w:hyperlink>
      <w:r>
        <w:t xml:space="preserve"> </w:t>
      </w:r>
    </w:p>
    <w:p w14:paraId="032C69D7" w14:textId="577FA106" w:rsidR="00213772" w:rsidRDefault="00213772" w:rsidP="00213772">
      <w:pPr>
        <w:spacing w:after="0" w:line="240" w:lineRule="auto"/>
        <w:jc w:val="both"/>
      </w:pPr>
      <w:r>
        <w:t xml:space="preserve">[42] </w:t>
      </w:r>
      <w:r w:rsidRPr="00213772">
        <w:rPr>
          <w:i/>
          <w:iCs/>
        </w:rPr>
        <w:t>La fonte des lacs glaciaires expose des milliers de personnes à des risques d’inondation</w:t>
      </w:r>
      <w:r>
        <w:t xml:space="preserve">, Nina Pareja, 02/05/2021, </w:t>
      </w:r>
      <w:hyperlink r:id="rId3716" w:history="1">
        <w:r w:rsidRPr="005A014B">
          <w:rPr>
            <w:rStyle w:val="Lienhypertexte"/>
          </w:rPr>
          <w:t>http://www.slate.fr/story/208313/fonte-lacs-glaciaires-expose-miliers-de-personnes-risques-inondation-climat-environnement-changement-climatique</w:t>
        </w:r>
      </w:hyperlink>
      <w:r>
        <w:t xml:space="preserve"> </w:t>
      </w:r>
    </w:p>
    <w:p w14:paraId="6D19685F" w14:textId="4D477C08" w:rsidR="00213772" w:rsidRDefault="00213772" w:rsidP="00213772">
      <w:pPr>
        <w:spacing w:after="0" w:line="240" w:lineRule="auto"/>
      </w:pPr>
      <w:r>
        <w:t>Plus de 12.000 décès dans le monde seraient d’ores et déjà liées aux inondations dues à la fonte de lacs glaciaires.</w:t>
      </w:r>
    </w:p>
    <w:p w14:paraId="6ED99852" w14:textId="4866A9F2" w:rsidR="00B21513" w:rsidRDefault="00B21513" w:rsidP="00B21513">
      <w:pPr>
        <w:spacing w:after="0" w:line="240" w:lineRule="auto"/>
        <w:jc w:val="both"/>
      </w:pPr>
      <w:r>
        <w:t xml:space="preserve">[43] </w:t>
      </w:r>
      <w:r w:rsidRPr="00B21513">
        <w:rPr>
          <w:i/>
          <w:iCs/>
        </w:rPr>
        <w:t>Planète Glace</w:t>
      </w:r>
      <w:r>
        <w:t>, Producteur délégué : Mona Lisa Production, Coproducteurs : Arte France, Universcience, Productions Nova Media, CNRS, IRD, Auteurs-réalisateurs : Thierry Berrod, Vincent Amouroux, Yanick Rose. Série de 4 documentaires de 52 mn : "</w:t>
      </w:r>
      <w:r w:rsidRPr="005F235F">
        <w:rPr>
          <w:i/>
          <w:iCs/>
        </w:rPr>
        <w:t>Groenland, le voyage sous la glace</w:t>
      </w:r>
      <w:r>
        <w:t>", "</w:t>
      </w:r>
      <w:r w:rsidRPr="005F235F">
        <w:rPr>
          <w:i/>
          <w:iCs/>
        </w:rPr>
        <w:t>Alpes, des glaciers sous haute surveillance</w:t>
      </w:r>
      <w:r>
        <w:t>", "</w:t>
      </w:r>
      <w:r w:rsidRPr="005F235F">
        <w:rPr>
          <w:i/>
          <w:iCs/>
        </w:rPr>
        <w:t>Andes, la fin des glaciers</w:t>
      </w:r>
      <w:r>
        <w:t xml:space="preserve"> ?", "</w:t>
      </w:r>
      <w:r w:rsidRPr="005F235F">
        <w:rPr>
          <w:i/>
          <w:iCs/>
        </w:rPr>
        <w:t>Himalaya, royaume des neiges</w:t>
      </w:r>
      <w:r>
        <w:t xml:space="preserve">". </w:t>
      </w:r>
      <w:hyperlink r:id="rId3717" w:history="1">
        <w:r w:rsidR="005F235F" w:rsidRPr="005A014B">
          <w:rPr>
            <w:rStyle w:val="Lienhypertexte"/>
          </w:rPr>
          <w:t>https://www.universcience.fr/fr/professionnels/catalogue-filmsmultimedias/fiches/planete-glace/</w:t>
        </w:r>
      </w:hyperlink>
      <w:r w:rsidR="005F235F">
        <w:t xml:space="preserve"> </w:t>
      </w:r>
    </w:p>
    <w:p w14:paraId="4A6E1094" w14:textId="6C814E3C" w:rsidR="00B21513" w:rsidRDefault="00B21513" w:rsidP="005F235F">
      <w:pPr>
        <w:spacing w:after="0" w:line="240" w:lineRule="auto"/>
        <w:jc w:val="both"/>
      </w:pPr>
      <w:r>
        <w:t xml:space="preserve">Les glaciers ont survécu pendant des millénaires, mais ont-ils encore un avenir ? Menacés par le réchauffement climatique, ils fondent à un rythme alarmant. </w:t>
      </w:r>
    </w:p>
    <w:p w14:paraId="1E6785CA" w14:textId="530E909B" w:rsidR="00FE2AC4" w:rsidRDefault="005F235F" w:rsidP="00FE2AC4">
      <w:pPr>
        <w:spacing w:after="0" w:line="240" w:lineRule="auto"/>
        <w:jc w:val="both"/>
      </w:pPr>
      <w:r>
        <w:t xml:space="preserve">[44] </w:t>
      </w:r>
      <w:r w:rsidR="00FE2AC4" w:rsidRPr="00FE2AC4">
        <w:rPr>
          <w:i/>
          <w:iCs/>
        </w:rPr>
        <w:t>Dans la Cordillère des Andes, les glaciers fondent, la menace augmente</w:t>
      </w:r>
      <w:r w:rsidR="00FE2AC4">
        <w:t xml:space="preserve">, Alan Loquet, 09/02/2021, </w:t>
      </w:r>
      <w:hyperlink r:id="rId3718" w:history="1">
        <w:r w:rsidR="00FE2AC4" w:rsidRPr="005A014B">
          <w:rPr>
            <w:rStyle w:val="Lienhypertexte"/>
          </w:rPr>
          <w:t>https://rennes.maville.com/actu/actudet_-dans-la-cordillere-des-andes-les-glaciers-fondent-la-menace-augmente_54135-4490985_actu.Htm</w:t>
        </w:r>
      </w:hyperlink>
      <w:r w:rsidR="00FE2AC4">
        <w:t xml:space="preserve"> </w:t>
      </w:r>
    </w:p>
    <w:p w14:paraId="37A34BC2" w14:textId="7F4F9D15" w:rsidR="005F235F" w:rsidRDefault="00FE2AC4" w:rsidP="00FE2AC4">
      <w:pPr>
        <w:spacing w:after="0" w:line="240" w:lineRule="auto"/>
        <w:jc w:val="both"/>
      </w:pPr>
      <w:r>
        <w:t>En Amérique du Sud, les vidanges brutales de lacs glaciaires</w:t>
      </w:r>
      <w:r w:rsidR="00981E76">
        <w:rPr>
          <w:rStyle w:val="Appelnotedebasdep"/>
        </w:rPr>
        <w:footnoteReference w:id="292"/>
      </w:r>
      <w:r>
        <w:t>, surnommés Glof par les scientifiques, se multiplient, réchauffement climatique oblige. Des centaines de milliers de personnes vivent dans des zones à risque</w:t>
      </w:r>
      <w:r w:rsidR="00981E76">
        <w:t xml:space="preserve"> </w:t>
      </w:r>
      <w:r>
        <w:t>.</w:t>
      </w:r>
    </w:p>
    <w:p w14:paraId="7DB5CFB9" w14:textId="6BF713D5" w:rsidR="008E5463" w:rsidRDefault="008E5463" w:rsidP="00B0554A">
      <w:pPr>
        <w:spacing w:after="0" w:line="240" w:lineRule="auto"/>
      </w:pPr>
    </w:p>
    <w:p w14:paraId="00C0C5D9" w14:textId="6F2CDB6E" w:rsidR="00E2695A" w:rsidRDefault="00E2695A" w:rsidP="00E2695A">
      <w:pPr>
        <w:pStyle w:val="Titre2"/>
      </w:pPr>
      <w:bookmarkStart w:id="355" w:name="_Toc139181646"/>
      <w:r>
        <w:lastRenderedPageBreak/>
        <w:t>Feux de forêts</w:t>
      </w:r>
      <w:bookmarkEnd w:id="355"/>
    </w:p>
    <w:p w14:paraId="141D7353" w14:textId="26EAFE34" w:rsidR="00E2695A" w:rsidRDefault="00E2695A" w:rsidP="00B0554A">
      <w:pPr>
        <w:spacing w:after="0" w:line="240" w:lineRule="auto"/>
      </w:pPr>
    </w:p>
    <w:p w14:paraId="2026D275" w14:textId="411F9B52" w:rsidR="00E2695A" w:rsidRDefault="00E2695A" w:rsidP="00B0554A">
      <w:pPr>
        <w:spacing w:after="0" w:line="240" w:lineRule="auto"/>
      </w:pPr>
      <w:r>
        <w:t xml:space="preserve">[50] </w:t>
      </w:r>
      <w:r w:rsidRPr="00E2695A">
        <w:rPr>
          <w:i/>
          <w:iCs/>
        </w:rPr>
        <w:t>Chronologie des grands incendies</w:t>
      </w:r>
      <w:r w:rsidRPr="00E2695A">
        <w:t xml:space="preserve">, </w:t>
      </w:r>
      <w:hyperlink r:id="rId3719" w:history="1">
        <w:r w:rsidRPr="00313E03">
          <w:rPr>
            <w:rStyle w:val="Lienhypertexte"/>
          </w:rPr>
          <w:t>https://fr.wikipedia.org/wiki/Chronologie_des_grands_incendies</w:t>
        </w:r>
      </w:hyperlink>
      <w:r>
        <w:t xml:space="preserve"> </w:t>
      </w:r>
    </w:p>
    <w:p w14:paraId="74967C11" w14:textId="7C4AF78C" w:rsidR="00167DAD" w:rsidRDefault="00167DAD" w:rsidP="00B0554A">
      <w:pPr>
        <w:spacing w:after="0" w:line="240" w:lineRule="auto"/>
      </w:pPr>
      <w:r>
        <w:t>[51</w:t>
      </w:r>
      <w:r w:rsidRPr="00167DAD">
        <w:rPr>
          <w:i/>
          <w:iCs/>
        </w:rPr>
        <w:t>] Incendie. Les séquoias géants de Californie résisteront-ils aux flammes ?</w:t>
      </w:r>
      <w:r w:rsidRPr="00167DAD">
        <w:t xml:space="preserve"> 17/09/2021, </w:t>
      </w:r>
      <w:hyperlink r:id="rId3720" w:history="1">
        <w:r w:rsidRPr="002B534E">
          <w:rPr>
            <w:rStyle w:val="Lienhypertexte"/>
          </w:rPr>
          <w:t>https://www.courrierinternational.com/article/incendie-les-sequoias-geants-de-californie-resisteront-ils-aux-flammes</w:t>
        </w:r>
      </w:hyperlink>
      <w:r>
        <w:t xml:space="preserve"> </w:t>
      </w:r>
    </w:p>
    <w:p w14:paraId="13F2C26F" w14:textId="77777777" w:rsidR="00E2695A" w:rsidRDefault="00E2695A" w:rsidP="00B0554A">
      <w:pPr>
        <w:spacing w:after="0" w:line="240" w:lineRule="auto"/>
      </w:pPr>
    </w:p>
    <w:p w14:paraId="3A5F944E" w14:textId="7CCE3835" w:rsidR="00E2695A" w:rsidRDefault="00E2695A" w:rsidP="00E2695A">
      <w:pPr>
        <w:pStyle w:val="Titre2"/>
      </w:pPr>
      <w:bookmarkStart w:id="356" w:name="_Toc139181647"/>
      <w:r>
        <w:t>Projets de reforestation</w:t>
      </w:r>
      <w:r w:rsidR="00BB7961">
        <w:t xml:space="preserve"> et jardins botaniques</w:t>
      </w:r>
      <w:bookmarkEnd w:id="356"/>
    </w:p>
    <w:p w14:paraId="0E9E88F1" w14:textId="613A52F8" w:rsidR="00E2695A" w:rsidRDefault="00E2695A" w:rsidP="00B0554A">
      <w:pPr>
        <w:spacing w:after="0" w:line="240" w:lineRule="auto"/>
      </w:pPr>
    </w:p>
    <w:p w14:paraId="6E95E697" w14:textId="2B9740CF" w:rsidR="00E2695A" w:rsidRDefault="00E2695A" w:rsidP="00E2695A">
      <w:pPr>
        <w:spacing w:after="0" w:line="240" w:lineRule="auto"/>
        <w:jc w:val="both"/>
      </w:pPr>
      <w:r>
        <w:t xml:space="preserve">[60] </w:t>
      </w:r>
      <w:r w:rsidRPr="00E2695A">
        <w:rPr>
          <w:i/>
          <w:iCs/>
        </w:rPr>
        <w:t>Réchauffement : un rapport préconise de planter un arbre par habitant pendant 30 ans pour adapter la forêt</w:t>
      </w:r>
      <w:r>
        <w:t xml:space="preserve">, AFP, 17.09.2020, </w:t>
      </w:r>
      <w:hyperlink r:id="rId3721" w:history="1">
        <w:r w:rsidRPr="00313E03">
          <w:rPr>
            <w:rStyle w:val="Lienhypertexte"/>
          </w:rPr>
          <w:t>https://www.sciencesetavenir.fr/nature-environnement/plantes-et-vegetaux/rechauffement-un-rapport-preconise-de-planter-un-arbre-par-habitant-pendant-30-ans-pour-adapter-la-foret_147473</w:t>
        </w:r>
      </w:hyperlink>
      <w:r>
        <w:t xml:space="preserve"> </w:t>
      </w:r>
    </w:p>
    <w:p w14:paraId="158DD5E1" w14:textId="5D686A2A" w:rsidR="00E2695A" w:rsidRDefault="00E2695A" w:rsidP="00E2695A">
      <w:pPr>
        <w:spacing w:after="0" w:line="240" w:lineRule="auto"/>
      </w:pPr>
      <w:r>
        <w:t xml:space="preserve">"Au-delà des régénérations naturelles, il nous faudra planter 70 millions d'arbres par an pendant 30 ans, soit un arbre par habitant", estime un rapport. </w:t>
      </w:r>
    </w:p>
    <w:p w14:paraId="09BDA740" w14:textId="462E45F8" w:rsidR="00740E5B" w:rsidRDefault="00740E5B" w:rsidP="00E2695A">
      <w:pPr>
        <w:spacing w:after="0" w:line="240" w:lineRule="auto"/>
        <w:rPr>
          <w:lang w:val="en-GB"/>
        </w:rPr>
      </w:pPr>
      <w:r w:rsidRPr="00740E5B">
        <w:rPr>
          <w:lang w:val="en-GB"/>
        </w:rPr>
        <w:t>[61</w:t>
      </w:r>
      <w:r w:rsidRPr="00082D9B">
        <w:rPr>
          <w:lang w:val="en-GB"/>
        </w:rPr>
        <w:t>]</w:t>
      </w:r>
      <w:r w:rsidRPr="00740E5B">
        <w:rPr>
          <w:i/>
          <w:iCs/>
          <w:lang w:val="en-GB"/>
        </w:rPr>
        <w:t xml:space="preserve"> The trees to plant or not</w:t>
      </w:r>
      <w:r w:rsidRPr="00740E5B">
        <w:rPr>
          <w:lang w:val="en-GB"/>
        </w:rPr>
        <w:t xml:space="preserve">, </w:t>
      </w:r>
      <w:hyperlink r:id="rId3722" w:history="1">
        <w:r w:rsidRPr="007E3FFA">
          <w:rPr>
            <w:rStyle w:val="Lienhypertexte"/>
            <w:lang w:val="en-GB"/>
          </w:rPr>
          <w:t>https://forestsnews.cifor.org/66150/trees-to-plant-or-not-to-plant</w:t>
        </w:r>
      </w:hyperlink>
      <w:r>
        <w:rPr>
          <w:lang w:val="en-GB"/>
        </w:rPr>
        <w:t xml:space="preserve"> </w:t>
      </w:r>
    </w:p>
    <w:p w14:paraId="2E54FA15" w14:textId="3596C352" w:rsidR="00082D9B" w:rsidRPr="00082D9B" w:rsidRDefault="00082D9B" w:rsidP="00082D9B">
      <w:pPr>
        <w:spacing w:after="0" w:line="240" w:lineRule="auto"/>
      </w:pPr>
      <w:r w:rsidRPr="00082D9B">
        <w:t xml:space="preserve">[62] </w:t>
      </w:r>
      <w:r w:rsidRPr="00082D9B">
        <w:rPr>
          <w:i/>
          <w:iCs/>
        </w:rPr>
        <w:t>Reboisement.</w:t>
      </w:r>
      <w:r w:rsidR="00A2021C">
        <w:rPr>
          <w:i/>
          <w:iCs/>
        </w:rPr>
        <w:t xml:space="preserve"> </w:t>
      </w:r>
      <w:r w:rsidRPr="00082D9B">
        <w:rPr>
          <w:i/>
          <w:iCs/>
        </w:rPr>
        <w:t>Environnement : planter des arbres, oui, mais pas n’importe comment</w:t>
      </w:r>
      <w:r w:rsidRPr="00082D9B">
        <w:t xml:space="preserve">, 23/06/2020, </w:t>
      </w:r>
      <w:hyperlink r:id="rId3723" w:history="1">
        <w:r w:rsidRPr="007E3FFA">
          <w:rPr>
            <w:rStyle w:val="Lienhypertexte"/>
          </w:rPr>
          <w:t>https://www.courrierinternational.com/article/reboisement-environnement-planter-des-arbres-oui-mais-pas-nimporte-comment</w:t>
        </w:r>
      </w:hyperlink>
      <w:r>
        <w:t xml:space="preserve"> </w:t>
      </w:r>
    </w:p>
    <w:p w14:paraId="783F1C93" w14:textId="179A95AA" w:rsidR="00082D9B" w:rsidRDefault="00082D9B" w:rsidP="00082D9B">
      <w:pPr>
        <w:spacing w:after="0" w:line="240" w:lineRule="auto"/>
      </w:pPr>
      <w:r w:rsidRPr="00082D9B">
        <w:t>Deux récentes études mettent en garde contre les programmes de reboisement conçus à la va-vite. Selon celles-ci, certaines forêts replantées constituent un risque pour la biodiversité et ne produiraient que des effets limités sur l’absorption de dioxyde de carbone.</w:t>
      </w:r>
    </w:p>
    <w:p w14:paraId="0CD6B064" w14:textId="0EE5E90E" w:rsidR="00D51674" w:rsidRDefault="00D51674" w:rsidP="00D51674">
      <w:pPr>
        <w:spacing w:after="0" w:line="240" w:lineRule="auto"/>
      </w:pPr>
      <w:r>
        <w:t xml:space="preserve">[63] </w:t>
      </w:r>
      <w:r w:rsidRPr="00D51674">
        <w:rPr>
          <w:i/>
          <w:iCs/>
        </w:rPr>
        <w:t>Inverser le cours de la déforestation pour préserver la biodiversité</w:t>
      </w:r>
      <w:r>
        <w:t xml:space="preserve">, Maxime Lefebvre, 21/06/2020, </w:t>
      </w:r>
      <w:hyperlink r:id="rId3724" w:history="1">
        <w:r w:rsidRPr="007E3FFA">
          <w:rPr>
            <w:rStyle w:val="Lienhypertexte"/>
          </w:rPr>
          <w:t>https://www.podcastjournal.net/Inverser-le-cours-de-la-deforestation-pour-preserver-la-biodiversite_a27910.html</w:t>
        </w:r>
      </w:hyperlink>
      <w:r>
        <w:t xml:space="preserve"> </w:t>
      </w:r>
    </w:p>
    <w:p w14:paraId="23399C5C" w14:textId="77777777" w:rsidR="00D51674" w:rsidRDefault="00D51674" w:rsidP="00D51674">
      <w:pPr>
        <w:spacing w:after="0" w:line="240" w:lineRule="auto"/>
      </w:pPr>
      <w:r>
        <w:t>Le dernier rapport sur la situation des forêts du monde, publié par le PNUE — le programme des Nations unies pour l’environnement —, fait état de niveaux élevés de déforestation et de dégradation. 420 millions d’hectares de forêts ont été perdus depuis 1990.</w:t>
      </w:r>
    </w:p>
    <w:p w14:paraId="15B0EC52" w14:textId="0BFC6FC6" w:rsidR="009E2241" w:rsidRDefault="009E2241" w:rsidP="009E2241">
      <w:pPr>
        <w:spacing w:after="0" w:line="240" w:lineRule="auto"/>
      </w:pPr>
      <w:r>
        <w:t xml:space="preserve">[64] </w:t>
      </w:r>
      <w:r w:rsidRPr="009E2241">
        <w:rPr>
          <w:i/>
          <w:iCs/>
        </w:rPr>
        <w:t>De Dakar à Saint-Louis, une forêt de filaos en rempart contre les assauts de la mer</w:t>
      </w:r>
      <w:r>
        <w:t xml:space="preserve">, Théa Ollivier (Dakar), 19 juin 2020, </w:t>
      </w:r>
      <w:hyperlink r:id="rId3725" w:history="1">
        <w:r w:rsidRPr="007E3FFA">
          <w:rPr>
            <w:rStyle w:val="Lienhypertexte"/>
          </w:rPr>
          <w:t>https://www.lemonde.fr/afrique/article/2020/06/19/de-dakar-a-saint-louis-une-foret-comme-rempart-contre-les-assauts-de-la-mer_6043380_3212.html</w:t>
        </w:r>
      </w:hyperlink>
      <w:r>
        <w:t xml:space="preserve"> </w:t>
      </w:r>
    </w:p>
    <w:p w14:paraId="206C50A2" w14:textId="5C9FA3F4" w:rsidR="00D51674" w:rsidRDefault="009E2241" w:rsidP="009E2241">
      <w:pPr>
        <w:spacing w:after="0" w:line="240" w:lineRule="auto"/>
      </w:pPr>
      <w:r>
        <w:t xml:space="preserve">Reverdir le Sahel (3). Les maraîchers de la côte des Niayes, menacée par l’érosion, bataillent pour préserver la bande d’arbres qui fixe les dunes de sable. </w:t>
      </w:r>
    </w:p>
    <w:p w14:paraId="02C62922" w14:textId="40A8BACF" w:rsidR="00E62710" w:rsidRPr="00E62710" w:rsidRDefault="00E62710" w:rsidP="00E62710">
      <w:pPr>
        <w:spacing w:after="0" w:line="240" w:lineRule="auto"/>
        <w:rPr>
          <w:lang w:val="en-GB"/>
        </w:rPr>
      </w:pPr>
      <w:r w:rsidRPr="00E62710">
        <w:rPr>
          <w:lang w:val="en-GB"/>
        </w:rPr>
        <w:t xml:space="preserve">[65] </w:t>
      </w:r>
      <w:r w:rsidRPr="00E62710">
        <w:rPr>
          <w:i/>
          <w:iCs/>
          <w:lang w:val="en-GB"/>
        </w:rPr>
        <w:t>Do forests function like 'biotic pumps' for rainfall</w:t>
      </w:r>
      <w:r w:rsidRPr="00E62710">
        <w:rPr>
          <w:lang w:val="en-GB"/>
        </w:rPr>
        <w:t xml:space="preserve">, 10/02/2014, </w:t>
      </w:r>
      <w:hyperlink r:id="rId3726" w:history="1">
        <w:r w:rsidRPr="007E3FFA">
          <w:rPr>
            <w:rStyle w:val="Lienhypertexte"/>
            <w:lang w:val="en-GB"/>
          </w:rPr>
          <w:t>http://alert-conservation.org/issues-research-highlights/2014/2/10/do-forests-function-like-biotic-pumps</w:t>
        </w:r>
      </w:hyperlink>
      <w:r>
        <w:rPr>
          <w:lang w:val="en-GB"/>
        </w:rPr>
        <w:t xml:space="preserve"> </w:t>
      </w:r>
    </w:p>
    <w:p w14:paraId="7361C24C" w14:textId="0E4F4B1C" w:rsidR="00E62710" w:rsidRDefault="00E62710" w:rsidP="0086122B">
      <w:pPr>
        <w:spacing w:after="0" w:line="240" w:lineRule="auto"/>
        <w:jc w:val="both"/>
      </w:pPr>
      <w:r>
        <w:t>L'une des hypothèses les plus frappantes et les plus controversées à émerger au cours de la dernière décennie est la notion selon laquelle des étendues de forêt intactes, s'étendant des régions côtières aux régions intérieures, peuvent aider à aspirer l'humidité océanique loin à l'intérieur des terres - fonctionnant comme une "pompe biotique" géante.</w:t>
      </w:r>
    </w:p>
    <w:p w14:paraId="5267861E" w14:textId="30A0AA24" w:rsidR="00BB7961" w:rsidRDefault="00BB7961" w:rsidP="00BB7961">
      <w:pPr>
        <w:spacing w:after="0" w:line="240" w:lineRule="auto"/>
        <w:jc w:val="both"/>
      </w:pPr>
      <w:r>
        <w:t xml:space="preserve">[66] </w:t>
      </w:r>
      <w:r w:rsidRPr="00BB7961">
        <w:rPr>
          <w:i/>
          <w:iCs/>
        </w:rPr>
        <w:t xml:space="preserve">La pionnière du </w:t>
      </w:r>
      <w:r w:rsidR="0046532C" w:rsidRPr="00BB7961">
        <w:rPr>
          <w:i/>
          <w:iCs/>
        </w:rPr>
        <w:t>Néguev</w:t>
      </w:r>
      <w:r w:rsidRPr="00BB7961">
        <w:rPr>
          <w:i/>
          <w:iCs/>
        </w:rPr>
        <w:t xml:space="preserve"> qui sème les graines qui défieront un avenir sec</w:t>
      </w:r>
      <w:r>
        <w:t xml:space="preserve">, Sue Surkes, 20 August 202, </w:t>
      </w:r>
      <w:hyperlink r:id="rId3727" w:history="1">
        <w:r w:rsidRPr="00AF787D">
          <w:rPr>
            <w:rStyle w:val="Lienhypertexte"/>
          </w:rPr>
          <w:t>https://fr.timesofisrael.com/la-pionniere-du-negev-qui-seme-les-graines-qui-defieront-un-avenir-sec/</w:t>
        </w:r>
      </w:hyperlink>
      <w:r>
        <w:t xml:space="preserve"> </w:t>
      </w:r>
    </w:p>
    <w:p w14:paraId="13011C69" w14:textId="6993283D" w:rsidR="00BB7961" w:rsidRDefault="00BB7961" w:rsidP="00BB7961">
      <w:pPr>
        <w:spacing w:after="0" w:line="240" w:lineRule="auto"/>
      </w:pPr>
      <w:r>
        <w:t>Après avoir planté les graines les plus vieilles du monde et apprivoisé l’arganier, Elaine Soloway réfléchit dorénavant à faire fleurir les déserts en pleine évolution.</w:t>
      </w:r>
    </w:p>
    <w:p w14:paraId="6B2A51CA" w14:textId="0906FFB5" w:rsidR="005D1024" w:rsidRPr="005D1024" w:rsidRDefault="005D1024" w:rsidP="005D1024">
      <w:pPr>
        <w:spacing w:after="0" w:line="240" w:lineRule="auto"/>
        <w:rPr>
          <w:lang w:val="en-GB"/>
        </w:rPr>
      </w:pPr>
      <w:r w:rsidRPr="005D1024">
        <w:rPr>
          <w:lang w:val="en-GB"/>
        </w:rPr>
        <w:t>[</w:t>
      </w:r>
      <w:r w:rsidR="00446B19">
        <w:rPr>
          <w:lang w:val="en-GB"/>
        </w:rPr>
        <w:t>6</w:t>
      </w:r>
      <w:r w:rsidRPr="005D1024">
        <w:rPr>
          <w:lang w:val="en-GB"/>
        </w:rPr>
        <w:t xml:space="preserve">6bis] </w:t>
      </w:r>
      <w:r w:rsidRPr="005D1024">
        <w:rPr>
          <w:i/>
          <w:iCs/>
          <w:lang w:val="en-GB"/>
        </w:rPr>
        <w:t>After reviving ancient dates, a Negev pioneer plants seeds against a dry future</w:t>
      </w:r>
      <w:r>
        <w:rPr>
          <w:lang w:val="en-GB"/>
        </w:rPr>
        <w:t xml:space="preserve">, </w:t>
      </w:r>
      <w:r w:rsidRPr="005D1024">
        <w:rPr>
          <w:lang w:val="en-GB"/>
        </w:rPr>
        <w:t xml:space="preserve">Sue Surkes, 12 May 2021, </w:t>
      </w:r>
      <w:hyperlink r:id="rId3728" w:history="1">
        <w:r w:rsidRPr="006437AE">
          <w:rPr>
            <w:rStyle w:val="Lienhypertexte"/>
            <w:lang w:val="en-GB"/>
          </w:rPr>
          <w:t>https://www.timesofisrael.com/after-reviving-ancient-dates-a-negev-pioneer-plants-seeds-against-a-dry-future/</w:t>
        </w:r>
      </w:hyperlink>
      <w:r>
        <w:rPr>
          <w:lang w:val="en-GB"/>
        </w:rPr>
        <w:t xml:space="preserve"> </w:t>
      </w:r>
    </w:p>
    <w:p w14:paraId="4D7B9549" w14:textId="4349AE76" w:rsidR="005D1024" w:rsidRDefault="005D1024" w:rsidP="005D1024">
      <w:pPr>
        <w:spacing w:after="0" w:line="240" w:lineRule="auto"/>
        <w:rPr>
          <w:lang w:val="en-GB"/>
        </w:rPr>
      </w:pPr>
      <w:r w:rsidRPr="005D1024">
        <w:rPr>
          <w:lang w:val="en-GB"/>
        </w:rPr>
        <w:t>Having germinated the world’s oldest seed and domesticated the argan oil tree, Elaine Soloway is now tinkering with how to keep a changing desert blooming</w:t>
      </w:r>
      <w:r w:rsidR="00446B19">
        <w:rPr>
          <w:lang w:val="en-GB"/>
        </w:rPr>
        <w:t>.</w:t>
      </w:r>
    </w:p>
    <w:p w14:paraId="73225D95" w14:textId="674C15DD" w:rsidR="00446B19" w:rsidRPr="00446B19" w:rsidRDefault="00446B19" w:rsidP="00446B19">
      <w:pPr>
        <w:spacing w:after="0" w:line="240" w:lineRule="auto"/>
      </w:pPr>
      <w:r w:rsidRPr="00446B19">
        <w:t xml:space="preserve">[67] </w:t>
      </w:r>
      <w:r w:rsidRPr="00446B19">
        <w:rPr>
          <w:i/>
          <w:iCs/>
        </w:rPr>
        <w:t>Groasis fait pousser des arbres dans le désert</w:t>
      </w:r>
      <w:r w:rsidRPr="00446B19">
        <w:t xml:space="preserve">, Pierre Fortin, 28/06/2021, </w:t>
      </w:r>
      <w:hyperlink r:id="rId3729" w:history="1">
        <w:r w:rsidRPr="000D09E3">
          <w:rPr>
            <w:rStyle w:val="Lienhypertexte"/>
          </w:rPr>
          <w:t>https://planete.lesechos.fr/solutions/groasis-fait-pousser-des-arbres-dans-le-desert-9770/</w:t>
        </w:r>
      </w:hyperlink>
      <w:r>
        <w:t xml:space="preserve"> </w:t>
      </w:r>
    </w:p>
    <w:p w14:paraId="7CB6B9E8" w14:textId="356D7E0A" w:rsidR="00446B19" w:rsidRDefault="00446B19" w:rsidP="00446B19">
      <w:pPr>
        <w:spacing w:after="0" w:line="240" w:lineRule="auto"/>
      </w:pPr>
      <w:r w:rsidRPr="00446B19">
        <w:t xml:space="preserve">Un horticulteur néerlandais a mis au point des cocons qui permettent aux arbustes de survivre dans les milieux les </w:t>
      </w:r>
      <w:r w:rsidRPr="009F587B">
        <w:t>plus arides. Son objectif : restaurer 2 milliards d’hectares de terres dégradées.</w:t>
      </w:r>
    </w:p>
    <w:p w14:paraId="44891AFA" w14:textId="4059E72D" w:rsidR="00D14116" w:rsidRPr="001562F1" w:rsidRDefault="00D14116" w:rsidP="00446B19">
      <w:pPr>
        <w:spacing w:after="0" w:line="240" w:lineRule="auto"/>
      </w:pPr>
      <w:r w:rsidRPr="001562F1">
        <w:t xml:space="preserve">[67bis] </w:t>
      </w:r>
      <w:r w:rsidRPr="001562F1">
        <w:rPr>
          <w:i/>
          <w:iCs/>
        </w:rPr>
        <w:t>Groasis Waterboxx</w:t>
      </w:r>
      <w:r w:rsidRPr="001562F1">
        <w:t xml:space="preserve">, </w:t>
      </w:r>
      <w:hyperlink r:id="rId3730" w:history="1">
        <w:r w:rsidRPr="001562F1">
          <w:rPr>
            <w:rStyle w:val="Lienhypertexte"/>
          </w:rPr>
          <w:t>https://en.wikipedia.org/wiki/Groasis_Waterboxx</w:t>
        </w:r>
      </w:hyperlink>
      <w:r w:rsidRPr="001562F1">
        <w:t xml:space="preserve"> </w:t>
      </w:r>
    </w:p>
    <w:p w14:paraId="3867EB36" w14:textId="77777777" w:rsidR="00036095" w:rsidRPr="001562F1" w:rsidRDefault="00036095" w:rsidP="00E2695A">
      <w:pPr>
        <w:spacing w:after="0" w:line="240" w:lineRule="auto"/>
      </w:pPr>
    </w:p>
    <w:p w14:paraId="3996676D" w14:textId="46EA51DB" w:rsidR="00DF67A3" w:rsidRDefault="00DF67A3" w:rsidP="00DF67A3">
      <w:pPr>
        <w:pStyle w:val="Titre2"/>
      </w:pPr>
      <w:bookmarkStart w:id="357" w:name="_Toc139181648"/>
      <w:r>
        <w:lastRenderedPageBreak/>
        <w:t>Espèces</w:t>
      </w:r>
      <w:r w:rsidR="00C61D79">
        <w:t xml:space="preserve"> de climats arides,</w:t>
      </w:r>
      <w:r>
        <w:t xml:space="preserve"> résistantes à la sècheresse et au sel</w:t>
      </w:r>
      <w:bookmarkEnd w:id="357"/>
    </w:p>
    <w:p w14:paraId="0745DEAC" w14:textId="1E7C2C40" w:rsidR="00DF67A3" w:rsidRDefault="00DF67A3" w:rsidP="00E2695A">
      <w:pPr>
        <w:spacing w:after="0" w:line="240" w:lineRule="auto"/>
      </w:pPr>
    </w:p>
    <w:p w14:paraId="1F067DFA" w14:textId="59BA5F82" w:rsidR="00DF67A3" w:rsidRDefault="00DF67A3" w:rsidP="00DF67A3">
      <w:pPr>
        <w:spacing w:after="0" w:line="240" w:lineRule="auto"/>
      </w:pPr>
      <w:r w:rsidRPr="00DF67A3">
        <w:t xml:space="preserve">[70] </w:t>
      </w:r>
      <w:r w:rsidRPr="00DF67A3">
        <w:rPr>
          <w:i/>
          <w:iCs/>
        </w:rPr>
        <w:t>Initiation à l'agroforesterie en zone sahélienne: les arbres des champs du plateau central au Burkina Faso</w:t>
      </w:r>
      <w:r>
        <w:t>, Daniel-Yves Alexandre, IRD Éditions/Karthala, 2002.</w:t>
      </w:r>
    </w:p>
    <w:p w14:paraId="571BA4FA" w14:textId="20A5A87D" w:rsidR="00DF67A3" w:rsidRDefault="00DF67A3" w:rsidP="00DF67A3">
      <w:pPr>
        <w:spacing w:after="0" w:line="240" w:lineRule="auto"/>
      </w:pPr>
      <w:r w:rsidRPr="00DF67A3">
        <w:t>[</w:t>
      </w:r>
      <w:r>
        <w:t>71</w:t>
      </w:r>
      <w:r w:rsidRPr="00DF67A3">
        <w:t xml:space="preserve">] </w:t>
      </w:r>
      <w:r w:rsidRPr="00DF67A3">
        <w:rPr>
          <w:i/>
          <w:iCs/>
        </w:rPr>
        <w:t>Arbres, arbustes et lianes des zones sèches d'Afrique de l'Ouest</w:t>
      </w:r>
      <w:r>
        <w:t>, Michel Arbonnier, Ed. QUAE, 2002.</w:t>
      </w:r>
    </w:p>
    <w:p w14:paraId="1CBA5CD5" w14:textId="536151FF" w:rsidR="00DF67A3" w:rsidRDefault="00DF67A3" w:rsidP="00DF67A3">
      <w:pPr>
        <w:spacing w:after="0" w:line="240" w:lineRule="auto"/>
      </w:pPr>
      <w:r w:rsidRPr="00DF67A3">
        <w:t>[</w:t>
      </w:r>
      <w:r>
        <w:t>72</w:t>
      </w:r>
      <w:r w:rsidRPr="00DF67A3">
        <w:t xml:space="preserve">] </w:t>
      </w:r>
      <w:r w:rsidRPr="00DF67A3">
        <w:rPr>
          <w:i/>
          <w:iCs/>
        </w:rPr>
        <w:t>Les plantes sauvages du Sahel malien: les stratégies d'adaptation à la sécheresse des Sahéliens</w:t>
      </w:r>
      <w:r>
        <w:t>, Gunnvor Berge, ‎Drissa Diallo, ‎Britt Hveem, Ed. Karthala, 2005.</w:t>
      </w:r>
    </w:p>
    <w:p w14:paraId="57939214" w14:textId="1611A6E8" w:rsidR="00233603" w:rsidRDefault="00233603" w:rsidP="00DF67A3">
      <w:pPr>
        <w:spacing w:after="0" w:line="240" w:lineRule="auto"/>
      </w:pPr>
      <w:r>
        <w:t xml:space="preserve">[73] </w:t>
      </w:r>
      <w:r w:rsidRPr="00233603">
        <w:rPr>
          <w:i/>
          <w:iCs/>
        </w:rPr>
        <w:t>Encyclopédie des Plantes Alimentaires</w:t>
      </w:r>
      <w:r w:rsidRPr="00233603">
        <w:t>, Michel Chauvet, Belin, 2018, 880 pages, 69€.</w:t>
      </w:r>
    </w:p>
    <w:p w14:paraId="3E3CC010" w14:textId="2FE31B91" w:rsidR="00EE24CF" w:rsidRDefault="00EE24CF" w:rsidP="00DF67A3">
      <w:pPr>
        <w:spacing w:after="0" w:line="240" w:lineRule="auto"/>
      </w:pPr>
      <w:r w:rsidRPr="00EE24CF">
        <w:t>Cette encyclopédie décrit environ 700 espèces de plantes alimentaires du monde entier</w:t>
      </w:r>
      <w:r>
        <w:t>.</w:t>
      </w:r>
    </w:p>
    <w:p w14:paraId="514F9560" w14:textId="77777777" w:rsidR="00C61D79" w:rsidRPr="00C61D79" w:rsidRDefault="00C61D79" w:rsidP="001F79EE">
      <w:pPr>
        <w:numPr>
          <w:ilvl w:val="0"/>
          <w:numId w:val="47"/>
        </w:numPr>
        <w:tabs>
          <w:tab w:val="clear" w:pos="720"/>
          <w:tab w:val="num" w:pos="360"/>
        </w:tabs>
        <w:spacing w:after="0" w:line="240" w:lineRule="auto"/>
        <w:ind w:left="426"/>
      </w:pPr>
      <w:r w:rsidRPr="00C61D79">
        <w:rPr>
          <w:i/>
          <w:iCs/>
        </w:rPr>
        <w:t>Rôle des acacias dans l'économie rurale des régions sèches d'Afrique</w:t>
      </w:r>
      <w:r w:rsidRPr="00C61D79">
        <w:t xml:space="preserve">, G.E. Wickens &amp; al., FAO, </w:t>
      </w:r>
      <w:hyperlink r:id="rId3731" w:history="1">
        <w:r w:rsidRPr="00C61D79">
          <w:rPr>
            <w:rStyle w:val="Lienhypertexte"/>
          </w:rPr>
          <w:t>http://www.fao.org/docrep/v5360f/v5360f00.HTM</w:t>
        </w:r>
      </w:hyperlink>
      <w:r w:rsidRPr="00C61D79">
        <w:t xml:space="preserve"> </w:t>
      </w:r>
    </w:p>
    <w:p w14:paraId="75225B2A" w14:textId="77777777" w:rsidR="00C61D79" w:rsidRPr="00C61D79" w:rsidRDefault="00C61D79" w:rsidP="001F79EE">
      <w:pPr>
        <w:numPr>
          <w:ilvl w:val="0"/>
          <w:numId w:val="47"/>
        </w:numPr>
        <w:tabs>
          <w:tab w:val="clear" w:pos="720"/>
          <w:tab w:val="num" w:pos="360"/>
        </w:tabs>
        <w:spacing w:after="0" w:line="240" w:lineRule="auto"/>
        <w:ind w:left="426"/>
      </w:pPr>
      <w:r w:rsidRPr="00C61D79">
        <w:rPr>
          <w:b/>
          <w:bCs/>
        </w:rPr>
        <w:t xml:space="preserve"> </w:t>
      </w:r>
      <w:r w:rsidRPr="00C61D79">
        <w:rPr>
          <w:i/>
          <w:iCs/>
        </w:rPr>
        <w:t xml:space="preserve">REVUE DU FAO : ACACIA (extraits), </w:t>
      </w:r>
      <w:r w:rsidRPr="00C61D79">
        <w:t>mercredi 1er mars 2006, </w:t>
      </w:r>
      <w:hyperlink r:id="rId3732" w:history="1">
        <w:r w:rsidRPr="00C61D79">
          <w:rPr>
            <w:rStyle w:val="Lienhypertexte"/>
          </w:rPr>
          <w:t xml:space="preserve">Sarah </w:t>
        </w:r>
      </w:hyperlink>
      <w:hyperlink r:id="rId3733" w:history="1">
        <w:r w:rsidRPr="00C61D79">
          <w:rPr>
            <w:rStyle w:val="Lienhypertexte"/>
          </w:rPr>
          <w:t>Toumi</w:t>
        </w:r>
      </w:hyperlink>
      <w:r w:rsidRPr="00C61D79">
        <w:t xml:space="preserve">, </w:t>
      </w:r>
      <w:hyperlink r:id="rId3734" w:history="1">
        <w:r w:rsidRPr="00C61D79">
          <w:rPr>
            <w:rStyle w:val="Lienhypertexte"/>
          </w:rPr>
          <w:t>http://satoumix.free.fr/paf/spip.php?article21</w:t>
        </w:r>
      </w:hyperlink>
      <w:r w:rsidRPr="00C61D79">
        <w:t xml:space="preserve"> </w:t>
      </w:r>
    </w:p>
    <w:p w14:paraId="42104B8D" w14:textId="4C290628" w:rsidR="00C61D79" w:rsidRDefault="00C61D79" w:rsidP="001F79EE">
      <w:pPr>
        <w:numPr>
          <w:ilvl w:val="0"/>
          <w:numId w:val="47"/>
        </w:numPr>
        <w:tabs>
          <w:tab w:val="clear" w:pos="720"/>
          <w:tab w:val="num" w:pos="360"/>
        </w:tabs>
        <w:spacing w:after="0" w:line="240" w:lineRule="auto"/>
        <w:ind w:left="426"/>
      </w:pPr>
      <w:r w:rsidRPr="00C61D79">
        <w:t xml:space="preserve"> </w:t>
      </w:r>
      <w:r w:rsidRPr="00C61D79">
        <w:rPr>
          <w:i/>
          <w:iCs/>
        </w:rPr>
        <w:t>Quelques espèces ligneuses et herbacées utilisées pour la fixation des dunes</w:t>
      </w:r>
      <w:r w:rsidRPr="00C61D79">
        <w:t xml:space="preserve">, FAO, </w:t>
      </w:r>
      <w:hyperlink r:id="rId3735" w:history="1">
        <w:r w:rsidRPr="00C61D79">
          <w:rPr>
            <w:rStyle w:val="Lienhypertexte"/>
          </w:rPr>
          <w:t>http://www.fao.org/docrep/012/i1488f/i1488f10.pdf</w:t>
        </w:r>
      </w:hyperlink>
      <w:r w:rsidRPr="00C61D79">
        <w:t xml:space="preserve"> </w:t>
      </w:r>
    </w:p>
    <w:p w14:paraId="5CDE1940" w14:textId="1A9AB144" w:rsidR="00C61D79" w:rsidRDefault="00ED7B63" w:rsidP="001F79EE">
      <w:pPr>
        <w:numPr>
          <w:ilvl w:val="0"/>
          <w:numId w:val="47"/>
        </w:numPr>
        <w:tabs>
          <w:tab w:val="clear" w:pos="720"/>
          <w:tab w:val="num" w:pos="360"/>
        </w:tabs>
        <w:spacing w:after="0" w:line="240" w:lineRule="auto"/>
        <w:ind w:left="426"/>
      </w:pPr>
      <w:r w:rsidRPr="00ED7B63">
        <w:rPr>
          <w:i/>
          <w:iCs/>
        </w:rPr>
        <w:t>Sélection d'espèces ligneuses adaptées à la fixation biologique de dunes au Niger</w:t>
      </w:r>
      <w:r w:rsidRPr="00ED7B63">
        <w:t xml:space="preserve">, LAMINOU MANZO O., CAMPANELLA B. &amp; PAUL R., Geo-Eco-Trop., 2009, 33, n.s. : 99 - 106, </w:t>
      </w:r>
      <w:hyperlink r:id="rId3736" w:history="1">
        <w:r w:rsidRPr="00EE130C">
          <w:rPr>
            <w:rStyle w:val="Lienhypertexte"/>
          </w:rPr>
          <w:t>https://geoecotrop.be/uploads/publications/pub_331_08.pdf</w:t>
        </w:r>
      </w:hyperlink>
      <w:r>
        <w:t xml:space="preserve"> </w:t>
      </w:r>
    </w:p>
    <w:p w14:paraId="2DBB6FEF" w14:textId="70B203F5" w:rsidR="00B141FC" w:rsidRPr="00B141FC" w:rsidRDefault="00B141FC" w:rsidP="001F79EE">
      <w:pPr>
        <w:numPr>
          <w:ilvl w:val="0"/>
          <w:numId w:val="47"/>
        </w:numPr>
        <w:tabs>
          <w:tab w:val="clear" w:pos="720"/>
          <w:tab w:val="num" w:pos="360"/>
        </w:tabs>
        <w:spacing w:after="0" w:line="240" w:lineRule="auto"/>
        <w:ind w:left="426" w:hanging="357"/>
        <w:rPr>
          <w:lang w:val="en-GB"/>
        </w:rPr>
      </w:pPr>
      <w:r w:rsidRPr="00B141FC">
        <w:t xml:space="preserve">AUBREVILLE, A. 1950. </w:t>
      </w:r>
      <w:r w:rsidRPr="00B141FC">
        <w:rPr>
          <w:i/>
          <w:iCs/>
        </w:rPr>
        <w:t>Flore Forestière Soudano-Guinéenne</w:t>
      </w:r>
      <w:r w:rsidRPr="00B141FC">
        <w:t xml:space="preserve">. </w:t>
      </w:r>
      <w:r w:rsidRPr="00B141FC">
        <w:rPr>
          <w:lang w:val="en-GB"/>
        </w:rPr>
        <w:t xml:space="preserve">A.O.F. - Cameroun - A.E.F. ORSTOM, 523 p. </w:t>
      </w:r>
    </w:p>
    <w:p w14:paraId="0AC1F0DB" w14:textId="784EC7E9" w:rsidR="00B141FC" w:rsidRPr="00B141FC" w:rsidRDefault="00B141FC" w:rsidP="001F79EE">
      <w:pPr>
        <w:numPr>
          <w:ilvl w:val="0"/>
          <w:numId w:val="47"/>
        </w:numPr>
        <w:tabs>
          <w:tab w:val="clear" w:pos="720"/>
          <w:tab w:val="num" w:pos="360"/>
        </w:tabs>
        <w:spacing w:after="0" w:line="240" w:lineRule="auto"/>
        <w:ind w:left="426" w:hanging="357"/>
      </w:pPr>
      <w:r w:rsidRPr="00B141FC">
        <w:t xml:space="preserve">WHITE, F. 1986. </w:t>
      </w:r>
      <w:r w:rsidRPr="00B141FC">
        <w:rPr>
          <w:i/>
          <w:iCs/>
        </w:rPr>
        <w:t>La végétation de l’Afrique. Mémoire accompagnant la carte de végétation de l’Afrique</w:t>
      </w:r>
      <w:r w:rsidRPr="00B141FC">
        <w:t xml:space="preserve">. UNESCO/AETFAT/UNSO. ORSTOM – UNESCO, 384 p. </w:t>
      </w:r>
    </w:p>
    <w:p w14:paraId="4D41AA8B" w14:textId="015823DE" w:rsidR="00B141FC" w:rsidRPr="00B141FC" w:rsidRDefault="00B141FC" w:rsidP="001F79EE">
      <w:pPr>
        <w:numPr>
          <w:ilvl w:val="0"/>
          <w:numId w:val="47"/>
        </w:numPr>
        <w:tabs>
          <w:tab w:val="clear" w:pos="720"/>
          <w:tab w:val="num" w:pos="360"/>
        </w:tabs>
        <w:spacing w:after="0" w:line="240" w:lineRule="auto"/>
        <w:ind w:left="426" w:hanging="357"/>
      </w:pPr>
      <w:r w:rsidRPr="00B141FC">
        <w:t xml:space="preserve">Von Maydell, H.-J. 1990. </w:t>
      </w:r>
      <w:r w:rsidRPr="00B141FC">
        <w:rPr>
          <w:i/>
          <w:iCs/>
        </w:rPr>
        <w:t>Arbres et arbustes du Sahel. Leurs caractéristiques et leurs utilisations</w:t>
      </w:r>
      <w:r w:rsidRPr="00B141FC">
        <w:t xml:space="preserve">. Verlag Josef Margraf, 531 p. </w:t>
      </w:r>
    </w:p>
    <w:p w14:paraId="6B387E0B" w14:textId="63174363" w:rsidR="00B141FC" w:rsidRPr="00B141FC" w:rsidRDefault="00B141FC" w:rsidP="001F79EE">
      <w:pPr>
        <w:numPr>
          <w:ilvl w:val="0"/>
          <w:numId w:val="47"/>
        </w:numPr>
        <w:tabs>
          <w:tab w:val="clear" w:pos="720"/>
          <w:tab w:val="num" w:pos="360"/>
        </w:tabs>
        <w:spacing w:after="0" w:line="240" w:lineRule="auto"/>
        <w:ind w:left="426" w:hanging="357"/>
        <w:rPr>
          <w:lang w:val="en-GB"/>
        </w:rPr>
      </w:pPr>
      <w:r w:rsidRPr="00B141FC">
        <w:rPr>
          <w:lang w:val="en-GB"/>
        </w:rPr>
        <w:t xml:space="preserve">Thulin M. 1993. </w:t>
      </w:r>
      <w:r w:rsidRPr="00B141FC">
        <w:rPr>
          <w:i/>
          <w:iCs/>
          <w:lang w:val="en-GB"/>
        </w:rPr>
        <w:t>Flora of Somalia</w:t>
      </w:r>
      <w:r w:rsidRPr="00B141FC">
        <w:rPr>
          <w:lang w:val="en-GB"/>
        </w:rPr>
        <w:t>. Vol. 1., Royal Botanical Garden Kew, 493 p.</w:t>
      </w:r>
    </w:p>
    <w:p w14:paraId="3B8F3167" w14:textId="0BBEA35E" w:rsidR="00C61D79" w:rsidRPr="00C61D79" w:rsidRDefault="00B141FC" w:rsidP="001F79EE">
      <w:pPr>
        <w:numPr>
          <w:ilvl w:val="0"/>
          <w:numId w:val="47"/>
        </w:numPr>
        <w:tabs>
          <w:tab w:val="clear" w:pos="720"/>
          <w:tab w:val="num" w:pos="360"/>
        </w:tabs>
        <w:spacing w:after="0" w:line="240" w:lineRule="auto"/>
        <w:ind w:left="426" w:hanging="357"/>
      </w:pPr>
      <w:r w:rsidRPr="00B141FC">
        <w:rPr>
          <w:i/>
          <w:iCs/>
        </w:rPr>
        <w:t>L'utilisation des eaux salées au Sahara</w:t>
      </w:r>
      <w:r w:rsidRPr="00B141FC">
        <w:t xml:space="preserve">, P. Simonneau, G. Aubert, Ann. agron., 1963, 14 (5), 859-872, page 866, </w:t>
      </w:r>
      <w:hyperlink r:id="rId3737" w:history="1">
        <w:r w:rsidRPr="00B141FC">
          <w:rPr>
            <w:rStyle w:val="Lienhypertexte"/>
          </w:rPr>
          <w:t>http://horizon.documentation.ird.fr/exl-doc/pleins_textes/pleins_textes_5/b_fdi_08-09/11033.pdf</w:t>
        </w:r>
      </w:hyperlink>
      <w:r w:rsidRPr="00B141FC">
        <w:t xml:space="preserve"> </w:t>
      </w:r>
    </w:p>
    <w:p w14:paraId="3279CB72" w14:textId="23537128" w:rsidR="00AF091D" w:rsidRDefault="00AF091D" w:rsidP="00DF67A3">
      <w:pPr>
        <w:spacing w:after="0" w:line="240" w:lineRule="auto"/>
      </w:pPr>
    </w:p>
    <w:p w14:paraId="7D2E09A8" w14:textId="2B9AA179" w:rsidR="0002408A" w:rsidRPr="0002408A" w:rsidRDefault="0002408A" w:rsidP="0002408A">
      <w:pPr>
        <w:pStyle w:val="Titre3"/>
      </w:pPr>
      <w:bookmarkStart w:id="358" w:name="_Toc139181649"/>
      <w:r w:rsidRPr="0002408A">
        <w:t>Plantes halophytes</w:t>
      </w:r>
      <w:bookmarkEnd w:id="358"/>
    </w:p>
    <w:p w14:paraId="66315727" w14:textId="77777777" w:rsidR="0002408A" w:rsidRPr="0002408A" w:rsidRDefault="0002408A" w:rsidP="0002408A">
      <w:pPr>
        <w:spacing w:after="0" w:line="240" w:lineRule="auto"/>
      </w:pPr>
    </w:p>
    <w:p w14:paraId="6A35789A" w14:textId="77777777" w:rsidR="0002408A" w:rsidRPr="0002408A" w:rsidRDefault="0002408A" w:rsidP="001F79EE">
      <w:pPr>
        <w:numPr>
          <w:ilvl w:val="0"/>
          <w:numId w:val="49"/>
        </w:numPr>
        <w:tabs>
          <w:tab w:val="clear" w:pos="720"/>
          <w:tab w:val="num" w:pos="360"/>
        </w:tabs>
        <w:spacing w:after="0" w:line="240" w:lineRule="auto"/>
        <w:ind w:left="426"/>
        <w:rPr>
          <w:lang w:val="en-GB"/>
        </w:rPr>
      </w:pPr>
      <w:r w:rsidRPr="0002408A">
        <w:rPr>
          <w:i/>
          <w:iCs/>
          <w:lang w:val="en-GB"/>
        </w:rPr>
        <w:t>Halophyte Database V 2.0</w:t>
      </w:r>
      <w:r w:rsidRPr="0002408A">
        <w:rPr>
          <w:lang w:val="en-GB"/>
        </w:rPr>
        <w:t xml:space="preserve"> - Springer, </w:t>
      </w:r>
      <w:hyperlink r:id="rId3738" w:history="1">
        <w:r w:rsidRPr="0002408A">
          <w:rPr>
            <w:rStyle w:val="Lienhypertexte"/>
            <w:lang w:val="en-GB"/>
          </w:rPr>
          <w:t>http://extras.springer.com/2003/978-90-481-6256-7/V2_update.pdf</w:t>
        </w:r>
      </w:hyperlink>
      <w:r w:rsidRPr="0002408A">
        <w:rPr>
          <w:lang w:val="en-GB"/>
        </w:rPr>
        <w:t xml:space="preserve"> </w:t>
      </w:r>
    </w:p>
    <w:p w14:paraId="20608E7A" w14:textId="74F47A2D" w:rsidR="0002408A" w:rsidRDefault="0002408A" w:rsidP="001F79EE">
      <w:pPr>
        <w:numPr>
          <w:ilvl w:val="0"/>
          <w:numId w:val="49"/>
        </w:numPr>
        <w:tabs>
          <w:tab w:val="clear" w:pos="720"/>
          <w:tab w:val="num" w:pos="360"/>
        </w:tabs>
        <w:spacing w:after="0" w:line="240" w:lineRule="auto"/>
        <w:ind w:left="426"/>
      </w:pPr>
      <w:r w:rsidRPr="0002408A">
        <w:rPr>
          <w:i/>
          <w:iCs/>
        </w:rPr>
        <w:t>Les arbustes qui supportent un sol salé</w:t>
      </w:r>
      <w:r w:rsidRPr="0002408A">
        <w:t xml:space="preserve">, </w:t>
      </w:r>
      <w:hyperlink r:id="rId3739" w:history="1">
        <w:r w:rsidRPr="0002408A">
          <w:rPr>
            <w:rStyle w:val="Lienhypertexte"/>
          </w:rPr>
          <w:t>http://fogeo.free.fr/flore/arbustes_halophiles.pdf</w:t>
        </w:r>
      </w:hyperlink>
      <w:r w:rsidRPr="0002408A">
        <w:t xml:space="preserve"> </w:t>
      </w:r>
    </w:p>
    <w:p w14:paraId="6200066F" w14:textId="77777777" w:rsidR="0002408A" w:rsidRPr="0002408A" w:rsidRDefault="0002408A" w:rsidP="0002408A">
      <w:pPr>
        <w:spacing w:after="0" w:line="240" w:lineRule="auto"/>
      </w:pPr>
    </w:p>
    <w:p w14:paraId="3346B2B1" w14:textId="50146AFB" w:rsidR="0002408A" w:rsidRPr="0002408A" w:rsidRDefault="0002408A" w:rsidP="0002408A">
      <w:pPr>
        <w:pStyle w:val="Titre3"/>
      </w:pPr>
      <w:bookmarkStart w:id="359" w:name="_Toc139181650"/>
      <w:r w:rsidRPr="0002408A">
        <w:t>Plantes xérophytes, de déserts</w:t>
      </w:r>
      <w:bookmarkEnd w:id="359"/>
    </w:p>
    <w:p w14:paraId="3A58F9FF" w14:textId="77777777" w:rsidR="0002408A" w:rsidRPr="0002408A" w:rsidRDefault="0002408A" w:rsidP="0002408A">
      <w:pPr>
        <w:spacing w:after="0" w:line="240" w:lineRule="auto"/>
      </w:pPr>
    </w:p>
    <w:p w14:paraId="3A41F802" w14:textId="77777777" w:rsidR="0002408A" w:rsidRPr="0002408A" w:rsidRDefault="0002408A" w:rsidP="001F79EE">
      <w:pPr>
        <w:numPr>
          <w:ilvl w:val="0"/>
          <w:numId w:val="50"/>
        </w:numPr>
        <w:tabs>
          <w:tab w:val="clear" w:pos="720"/>
          <w:tab w:val="num" w:pos="360"/>
        </w:tabs>
        <w:spacing w:after="0" w:line="240" w:lineRule="auto"/>
        <w:ind w:left="426"/>
      </w:pPr>
      <w:r w:rsidRPr="0002408A">
        <w:t xml:space="preserve">Écologie et régime hydrique de deux formations à </w:t>
      </w:r>
      <w:r w:rsidRPr="0002408A">
        <w:rPr>
          <w:i/>
          <w:iCs/>
        </w:rPr>
        <w:t xml:space="preserve">Acacia raddiana </w:t>
      </w:r>
      <w:r w:rsidRPr="0002408A">
        <w:t xml:space="preserve">au nord et au sud du Sahara (Tunisie, Sénégal), R. Pontanier, M. Diouf et M. S. Zaafouri, </w:t>
      </w:r>
      <w:hyperlink r:id="rId3740" w:history="1">
        <w:r w:rsidRPr="0002408A">
          <w:rPr>
            <w:rStyle w:val="Lienhypertexte"/>
          </w:rPr>
          <w:t>http://books.openedition.org/irdeditions/5263?lang=fr</w:t>
        </w:r>
      </w:hyperlink>
      <w:r w:rsidRPr="0002408A">
        <w:t xml:space="preserve"> </w:t>
      </w:r>
    </w:p>
    <w:p w14:paraId="0FD4380D" w14:textId="77777777" w:rsidR="0002408A" w:rsidRPr="0002408A" w:rsidRDefault="0002408A" w:rsidP="001F79EE">
      <w:pPr>
        <w:numPr>
          <w:ilvl w:val="0"/>
          <w:numId w:val="50"/>
        </w:numPr>
        <w:tabs>
          <w:tab w:val="clear" w:pos="720"/>
          <w:tab w:val="num" w:pos="360"/>
        </w:tabs>
        <w:spacing w:after="0" w:line="240" w:lineRule="auto"/>
        <w:ind w:left="426"/>
      </w:pPr>
      <w:r w:rsidRPr="0002408A">
        <w:rPr>
          <w:i/>
          <w:iCs/>
        </w:rPr>
        <w:t>Guide des Habitats Aride et Saharien - nature vivante</w:t>
      </w:r>
      <w:r w:rsidRPr="0002408A">
        <w:t xml:space="preserve">, </w:t>
      </w:r>
      <w:hyperlink r:id="rId3741" w:history="1">
        <w:r w:rsidRPr="0002408A">
          <w:rPr>
            <w:rStyle w:val="Lienhypertexte"/>
          </w:rPr>
          <w:t>http://www.naturevivante.org/documents/typologie.pdf</w:t>
        </w:r>
      </w:hyperlink>
      <w:r w:rsidRPr="0002408A">
        <w:t xml:space="preserve"> </w:t>
      </w:r>
    </w:p>
    <w:p w14:paraId="7085EE67" w14:textId="1279A890" w:rsidR="0002408A" w:rsidRDefault="0002408A" w:rsidP="00DF67A3">
      <w:pPr>
        <w:spacing w:after="0" w:line="240" w:lineRule="auto"/>
      </w:pPr>
    </w:p>
    <w:p w14:paraId="139C27A7" w14:textId="2ADFB0F6" w:rsidR="00E90046" w:rsidRDefault="00E90046" w:rsidP="00E90046">
      <w:pPr>
        <w:pStyle w:val="Titre3"/>
      </w:pPr>
      <w:bookmarkStart w:id="360" w:name="_Toc139181651"/>
      <w:r w:rsidRPr="00E90046">
        <w:t>Les techniques de culture de la salicorn</w:t>
      </w:r>
      <w:r>
        <w:t xml:space="preserve">e </w:t>
      </w:r>
      <w:r w:rsidRPr="00E90046">
        <w:t>et autres infos sur la plante</w:t>
      </w:r>
      <w:bookmarkEnd w:id="360"/>
    </w:p>
    <w:p w14:paraId="12935207" w14:textId="77777777" w:rsidR="00E90046" w:rsidRPr="00E90046" w:rsidRDefault="00E90046" w:rsidP="00E90046">
      <w:pPr>
        <w:spacing w:after="0" w:line="240" w:lineRule="auto"/>
        <w:jc w:val="both"/>
      </w:pPr>
    </w:p>
    <w:p w14:paraId="68A9EB10" w14:textId="77777777" w:rsidR="00E90046" w:rsidRPr="00E90046" w:rsidRDefault="00000000" w:rsidP="00545693">
      <w:pPr>
        <w:numPr>
          <w:ilvl w:val="0"/>
          <w:numId w:val="51"/>
        </w:numPr>
        <w:tabs>
          <w:tab w:val="clear" w:pos="720"/>
          <w:tab w:val="num" w:pos="360"/>
        </w:tabs>
        <w:spacing w:after="0" w:line="240" w:lineRule="auto"/>
        <w:ind w:left="284" w:hanging="142"/>
        <w:jc w:val="both"/>
      </w:pPr>
      <w:hyperlink r:id="rId3742" w:history="1">
        <w:r w:rsidR="00E90046" w:rsidRPr="00E90046">
          <w:rPr>
            <w:rStyle w:val="Lienhypertexte"/>
          </w:rPr>
          <w:t>http://jardinage.ooreka.fr/plante/voir/396/salicorne</w:t>
        </w:r>
      </w:hyperlink>
    </w:p>
    <w:p w14:paraId="59ABA3E5" w14:textId="77777777" w:rsidR="00E90046" w:rsidRPr="00E90046" w:rsidRDefault="00000000" w:rsidP="00545693">
      <w:pPr>
        <w:numPr>
          <w:ilvl w:val="0"/>
          <w:numId w:val="51"/>
        </w:numPr>
        <w:tabs>
          <w:tab w:val="clear" w:pos="720"/>
          <w:tab w:val="num" w:pos="360"/>
        </w:tabs>
        <w:spacing w:after="0" w:line="240" w:lineRule="auto"/>
        <w:ind w:left="284" w:hanging="142"/>
        <w:jc w:val="both"/>
      </w:pPr>
      <w:hyperlink r:id="rId3743" w:history="1">
        <w:r w:rsidR="00E90046" w:rsidRPr="00E90046">
          <w:rPr>
            <w:rStyle w:val="Lienhypertexte"/>
          </w:rPr>
          <w:t>http://algues.pagesperso-orange.fr/salicorne.htm</w:t>
        </w:r>
      </w:hyperlink>
    </w:p>
    <w:p w14:paraId="28BB754A" w14:textId="77777777" w:rsidR="00E90046" w:rsidRPr="00E90046" w:rsidRDefault="00000000" w:rsidP="00545693">
      <w:pPr>
        <w:numPr>
          <w:ilvl w:val="0"/>
          <w:numId w:val="51"/>
        </w:numPr>
        <w:tabs>
          <w:tab w:val="clear" w:pos="720"/>
          <w:tab w:val="num" w:pos="360"/>
        </w:tabs>
        <w:spacing w:after="0" w:line="240" w:lineRule="auto"/>
        <w:ind w:left="284" w:hanging="142"/>
        <w:jc w:val="both"/>
      </w:pPr>
      <w:hyperlink r:id="rId3744" w:history="1">
        <w:r w:rsidR="00E90046" w:rsidRPr="00E90046">
          <w:rPr>
            <w:rStyle w:val="Lienhypertexte"/>
          </w:rPr>
          <w:t>http://www.deco.fr/jardin-jardinage/plante-potagere/salicorne/</w:t>
        </w:r>
      </w:hyperlink>
    </w:p>
    <w:p w14:paraId="3A8F5D58" w14:textId="77777777" w:rsidR="00E90046" w:rsidRPr="00E90046" w:rsidRDefault="00000000" w:rsidP="00545693">
      <w:pPr>
        <w:numPr>
          <w:ilvl w:val="0"/>
          <w:numId w:val="51"/>
        </w:numPr>
        <w:tabs>
          <w:tab w:val="clear" w:pos="720"/>
          <w:tab w:val="num" w:pos="360"/>
        </w:tabs>
        <w:spacing w:after="0" w:line="240" w:lineRule="auto"/>
        <w:ind w:left="284" w:hanging="142"/>
        <w:jc w:val="both"/>
      </w:pPr>
      <w:hyperlink r:id="rId3745" w:history="1">
        <w:r w:rsidR="00E90046" w:rsidRPr="00E90046">
          <w:rPr>
            <w:rStyle w:val="Lienhypertexte"/>
          </w:rPr>
          <w:t>https://fr.wikipedia.org/wiki/Salicorne</w:t>
        </w:r>
      </w:hyperlink>
    </w:p>
    <w:p w14:paraId="75F963E0" w14:textId="77777777" w:rsidR="00545693" w:rsidRDefault="00E90046" w:rsidP="00545693">
      <w:pPr>
        <w:numPr>
          <w:ilvl w:val="0"/>
          <w:numId w:val="51"/>
        </w:numPr>
        <w:tabs>
          <w:tab w:val="clear" w:pos="720"/>
          <w:tab w:val="num" w:pos="360"/>
        </w:tabs>
        <w:spacing w:after="0" w:line="240" w:lineRule="auto"/>
        <w:ind w:left="284" w:hanging="142"/>
        <w:jc w:val="both"/>
      </w:pPr>
      <w:r w:rsidRPr="00E90046">
        <w:rPr>
          <w:i/>
          <w:iCs/>
        </w:rPr>
        <w:t>Les Salicornes et leur emploi dans l'alimentation</w:t>
      </w:r>
      <w:r w:rsidRPr="00E90046">
        <w:t xml:space="preserve">, </w:t>
      </w:r>
    </w:p>
    <w:p w14:paraId="28FCBB0F" w14:textId="061FC55E" w:rsidR="00E90046" w:rsidRPr="00545693" w:rsidRDefault="00000000" w:rsidP="00545693">
      <w:pPr>
        <w:spacing w:after="0" w:line="240" w:lineRule="auto"/>
        <w:ind w:left="284"/>
        <w:jc w:val="both"/>
        <w:rPr>
          <w:lang w:val="es-AR"/>
        </w:rPr>
      </w:pPr>
      <w:hyperlink r:id="rId3746" w:history="1">
        <w:r w:rsidR="00B12F02" w:rsidRPr="00570712">
          <w:rPr>
            <w:rStyle w:val="Lienhypertexte"/>
            <w:lang w:val="es-AR"/>
          </w:rPr>
          <w:t>http://www.persee.fr/docAsPDF/jatba_0370-3681_1922_num_2_16_1484.pdf</w:t>
        </w:r>
      </w:hyperlink>
      <w:r w:rsidR="00E90046" w:rsidRPr="00545693">
        <w:rPr>
          <w:lang w:val="es-AR"/>
        </w:rPr>
        <w:t xml:space="preserve">  (7,3 Mo).</w:t>
      </w:r>
    </w:p>
    <w:p w14:paraId="02A0E9DF" w14:textId="77777777" w:rsidR="00E90046" w:rsidRPr="00E90046" w:rsidRDefault="00E90046" w:rsidP="00545693">
      <w:pPr>
        <w:numPr>
          <w:ilvl w:val="0"/>
          <w:numId w:val="51"/>
        </w:numPr>
        <w:tabs>
          <w:tab w:val="clear" w:pos="720"/>
          <w:tab w:val="num" w:pos="360"/>
        </w:tabs>
        <w:spacing w:after="0" w:line="240" w:lineRule="auto"/>
        <w:ind w:left="284" w:hanging="142"/>
        <w:jc w:val="both"/>
      </w:pPr>
      <w:r w:rsidRPr="00E90046">
        <w:rPr>
          <w:i/>
          <w:iCs/>
        </w:rPr>
        <w:t>Salicorne, trésor nutritif et diététique</w:t>
      </w:r>
      <w:r w:rsidRPr="00E90046">
        <w:t xml:space="preserve">, </w:t>
      </w:r>
      <w:hyperlink r:id="rId3747" w:history="1">
        <w:r w:rsidRPr="00E90046">
          <w:rPr>
            <w:rStyle w:val="Lienhypertexte"/>
          </w:rPr>
          <w:t>http://www.mr-plantes.com/2014/04/tresor-nutritif-et-dietetique/</w:t>
        </w:r>
      </w:hyperlink>
      <w:r w:rsidRPr="00E90046">
        <w:t xml:space="preserve"> </w:t>
      </w:r>
    </w:p>
    <w:p w14:paraId="096133EA" w14:textId="77777777" w:rsidR="00E90046" w:rsidRDefault="00E90046" w:rsidP="00DF67A3">
      <w:pPr>
        <w:spacing w:after="0" w:line="240" w:lineRule="auto"/>
      </w:pPr>
    </w:p>
    <w:p w14:paraId="63AB766D" w14:textId="74FDB2BB" w:rsidR="00AF091D" w:rsidRDefault="00AF091D" w:rsidP="00AF091D">
      <w:pPr>
        <w:pStyle w:val="Titre2"/>
      </w:pPr>
      <w:bookmarkStart w:id="361" w:name="_Toc139181652"/>
      <w:r w:rsidRPr="00AF091D">
        <w:lastRenderedPageBreak/>
        <w:t>Etudes sur la résistance des plantes au sel</w:t>
      </w:r>
      <w:bookmarkEnd w:id="361"/>
    </w:p>
    <w:p w14:paraId="43BEA1E6" w14:textId="0355D90A" w:rsidR="00AF091D" w:rsidRDefault="00AF091D" w:rsidP="00DF67A3">
      <w:pPr>
        <w:spacing w:after="0" w:line="240" w:lineRule="auto"/>
      </w:pPr>
    </w:p>
    <w:p w14:paraId="017CB4A4" w14:textId="77777777" w:rsidR="00AF091D" w:rsidRPr="00AF091D" w:rsidRDefault="00AF091D" w:rsidP="0022016D">
      <w:pPr>
        <w:numPr>
          <w:ilvl w:val="0"/>
          <w:numId w:val="45"/>
        </w:numPr>
        <w:tabs>
          <w:tab w:val="clear" w:pos="720"/>
          <w:tab w:val="num" w:pos="360"/>
        </w:tabs>
        <w:spacing w:after="0" w:line="240" w:lineRule="auto"/>
        <w:ind w:left="426"/>
        <w:jc w:val="both"/>
        <w:rPr>
          <w:lang w:val="en-GB"/>
        </w:rPr>
      </w:pPr>
      <w:r w:rsidRPr="00AF091D">
        <w:rPr>
          <w:i/>
          <w:iCs/>
          <w:lang w:val="en-GB"/>
        </w:rPr>
        <w:t>Mechanisms of High Salinity Tolerance in Plants</w:t>
      </w:r>
      <w:r w:rsidRPr="00AF091D">
        <w:rPr>
          <w:lang w:val="en-GB"/>
        </w:rPr>
        <w:t>. Narendra Tuteja. Methods in Enzymology, Volume 428 (2007)</w:t>
      </w:r>
    </w:p>
    <w:p w14:paraId="282A9B78" w14:textId="77777777" w:rsidR="00AF091D" w:rsidRPr="00AF091D" w:rsidRDefault="00AF091D" w:rsidP="0022016D">
      <w:pPr>
        <w:numPr>
          <w:ilvl w:val="0"/>
          <w:numId w:val="45"/>
        </w:numPr>
        <w:tabs>
          <w:tab w:val="clear" w:pos="720"/>
          <w:tab w:val="num" w:pos="360"/>
        </w:tabs>
        <w:spacing w:after="0" w:line="240" w:lineRule="auto"/>
        <w:ind w:left="426"/>
        <w:jc w:val="both"/>
      </w:pPr>
      <w:r w:rsidRPr="00AF091D">
        <w:rPr>
          <w:i/>
          <w:iCs/>
          <w:lang w:val="en-GB"/>
        </w:rPr>
        <w:t xml:space="preserve"> Roles of glycine betaine and proline in improving plant abiotic stress resistance</w:t>
      </w:r>
      <w:r w:rsidRPr="00AF091D">
        <w:rPr>
          <w:lang w:val="en-GB"/>
        </w:rPr>
        <w:t xml:space="preserve">. </w:t>
      </w:r>
      <w:r w:rsidRPr="00AF091D">
        <w:t>M. Ashraf et al.,. Environmental and Experimental Botany 59 (2007) 206–216</w:t>
      </w:r>
    </w:p>
    <w:p w14:paraId="059B24AA" w14:textId="77777777" w:rsidR="00AF091D" w:rsidRPr="00AF091D" w:rsidRDefault="00AF091D" w:rsidP="0022016D">
      <w:pPr>
        <w:numPr>
          <w:ilvl w:val="0"/>
          <w:numId w:val="45"/>
        </w:numPr>
        <w:tabs>
          <w:tab w:val="clear" w:pos="720"/>
          <w:tab w:val="num" w:pos="360"/>
        </w:tabs>
        <w:spacing w:after="0" w:line="240" w:lineRule="auto"/>
        <w:ind w:left="426"/>
        <w:jc w:val="both"/>
      </w:pPr>
      <w:r w:rsidRPr="00AF091D">
        <w:rPr>
          <w:i/>
          <w:iCs/>
          <w:lang w:val="en-GB"/>
        </w:rPr>
        <w:t xml:space="preserve"> AtHKT1 is a salt tolerance determinant that controls Na</w:t>
      </w:r>
      <w:r w:rsidRPr="00AF091D">
        <w:rPr>
          <w:i/>
          <w:iCs/>
          <w:vertAlign w:val="superscript"/>
          <w:lang w:val="en-GB"/>
        </w:rPr>
        <w:t>+</w:t>
      </w:r>
      <w:r w:rsidRPr="00AF091D">
        <w:rPr>
          <w:i/>
          <w:iCs/>
          <w:lang w:val="en-GB"/>
        </w:rPr>
        <w:t xml:space="preserve"> entry into plant roots</w:t>
      </w:r>
      <w:r w:rsidRPr="00AF091D">
        <w:rPr>
          <w:lang w:val="en-GB"/>
        </w:rPr>
        <w:t xml:space="preserve">. </w:t>
      </w:r>
      <w:r w:rsidRPr="00AF091D">
        <w:t>Rus et al., PNAS, 2001. vol. 98 no. 24150–14155</w:t>
      </w:r>
    </w:p>
    <w:p w14:paraId="2BDA331C" w14:textId="77777777" w:rsidR="00AF091D" w:rsidRPr="00AF091D" w:rsidRDefault="00AF091D" w:rsidP="0022016D">
      <w:pPr>
        <w:numPr>
          <w:ilvl w:val="0"/>
          <w:numId w:val="45"/>
        </w:numPr>
        <w:tabs>
          <w:tab w:val="clear" w:pos="720"/>
          <w:tab w:val="num" w:pos="360"/>
        </w:tabs>
        <w:spacing w:after="0" w:line="240" w:lineRule="auto"/>
        <w:ind w:left="426"/>
        <w:jc w:val="both"/>
      </w:pPr>
      <w:r w:rsidRPr="00AF091D">
        <w:rPr>
          <w:i/>
          <w:iCs/>
          <w:lang w:val="en-GB"/>
        </w:rPr>
        <w:t xml:space="preserve"> Genes and salt tolerance: bringing them together</w:t>
      </w:r>
      <w:r w:rsidRPr="00AF091D">
        <w:rPr>
          <w:lang w:val="en-GB"/>
        </w:rPr>
        <w:t xml:space="preserve">. </w:t>
      </w:r>
      <w:r w:rsidRPr="00AF091D">
        <w:t>Munns et al., 2005. N. Phytol.167(3):645-63.</w:t>
      </w:r>
    </w:p>
    <w:p w14:paraId="6CE794D8" w14:textId="77777777" w:rsidR="00AF091D" w:rsidRPr="00AF091D" w:rsidRDefault="00AF091D" w:rsidP="0022016D">
      <w:pPr>
        <w:numPr>
          <w:ilvl w:val="0"/>
          <w:numId w:val="45"/>
        </w:numPr>
        <w:tabs>
          <w:tab w:val="clear" w:pos="720"/>
          <w:tab w:val="num" w:pos="360"/>
        </w:tabs>
        <w:spacing w:after="0" w:line="240" w:lineRule="auto"/>
        <w:ind w:left="426"/>
        <w:jc w:val="both"/>
      </w:pPr>
      <w:r w:rsidRPr="00AF091D">
        <w:rPr>
          <w:i/>
          <w:iCs/>
        </w:rPr>
        <w:t xml:space="preserve"> </w:t>
      </w:r>
      <w:r w:rsidRPr="00AF091D">
        <w:rPr>
          <w:i/>
          <w:iCs/>
          <w:lang w:val="en-GB"/>
        </w:rPr>
        <w:t>Expression of OsNHX1 gene in maize confers salt tolerance and promotes plant growth in the field</w:t>
      </w:r>
      <w:r w:rsidRPr="00AF091D">
        <w:rPr>
          <w:lang w:val="en-GB"/>
        </w:rPr>
        <w:t xml:space="preserve">. </w:t>
      </w:r>
      <w:r w:rsidRPr="00AF091D">
        <w:t>Chen et al., 2007. PLANT SOIL ENVIRON., 53, (11): 490–498.</w:t>
      </w:r>
    </w:p>
    <w:p w14:paraId="0B461899" w14:textId="77777777" w:rsidR="00AF091D" w:rsidRPr="00AF091D" w:rsidRDefault="00AF091D" w:rsidP="0022016D">
      <w:pPr>
        <w:numPr>
          <w:ilvl w:val="0"/>
          <w:numId w:val="45"/>
        </w:numPr>
        <w:tabs>
          <w:tab w:val="clear" w:pos="720"/>
          <w:tab w:val="num" w:pos="360"/>
        </w:tabs>
        <w:spacing w:after="0" w:line="240" w:lineRule="auto"/>
        <w:ind w:left="426"/>
        <w:jc w:val="both"/>
      </w:pPr>
      <w:r w:rsidRPr="00AF091D">
        <w:t xml:space="preserve"> </w:t>
      </w:r>
      <w:r w:rsidRPr="00AF091D">
        <w:rPr>
          <w:i/>
          <w:iCs/>
        </w:rPr>
        <w:t>Effet des contraintes hydrique et saline sur la germination de quelques acacias africains</w:t>
      </w:r>
      <w:r w:rsidRPr="00AF091D">
        <w:t xml:space="preserve">, Paul Ndour, Pascal Danthu, </w:t>
      </w:r>
      <w:hyperlink r:id="rId3748" w:history="1">
        <w:r w:rsidRPr="00AF091D">
          <w:rPr>
            <w:rStyle w:val="Lienhypertexte"/>
          </w:rPr>
          <w:t>http://horizon.documentation.ird.fr/exl-doc/pleins_textes/pleins_textes_7/divers2/010016071.pdf</w:t>
        </w:r>
      </w:hyperlink>
      <w:r w:rsidRPr="00AF091D">
        <w:t xml:space="preserve"> </w:t>
      </w:r>
    </w:p>
    <w:p w14:paraId="1B2A53AA" w14:textId="77777777" w:rsidR="00AF091D" w:rsidRPr="00AF091D" w:rsidRDefault="00AF091D" w:rsidP="0022016D">
      <w:pPr>
        <w:numPr>
          <w:ilvl w:val="0"/>
          <w:numId w:val="45"/>
        </w:numPr>
        <w:tabs>
          <w:tab w:val="clear" w:pos="720"/>
          <w:tab w:val="num" w:pos="360"/>
        </w:tabs>
        <w:spacing w:after="0" w:line="240" w:lineRule="auto"/>
        <w:ind w:left="426"/>
        <w:jc w:val="both"/>
      </w:pPr>
      <w:r w:rsidRPr="00AF091D">
        <w:t xml:space="preserve"> Glenn, E. P., et al. </w:t>
      </w:r>
      <w:r w:rsidRPr="00AF091D">
        <w:rPr>
          <w:lang w:val="en-GB"/>
        </w:rPr>
        <w:t>(1999). Salt tolerance and crop potential of halophytes. </w:t>
      </w:r>
      <w:r w:rsidRPr="00AF091D">
        <w:rPr>
          <w:i/>
          <w:iCs/>
        </w:rPr>
        <w:t>Critical Review in Plant Sciences</w:t>
      </w:r>
      <w:r w:rsidRPr="00AF091D">
        <w:t> 18(2), 227-55. </w:t>
      </w:r>
      <w:hyperlink r:id="rId3749" w:history="1">
        <w:r w:rsidRPr="00AF091D">
          <w:rPr>
            <w:rStyle w:val="Lienhypertexte"/>
          </w:rPr>
          <w:t>doi</w:t>
        </w:r>
      </w:hyperlink>
      <w:r w:rsidRPr="00AF091D">
        <w:t>:</w:t>
      </w:r>
      <w:hyperlink r:id="rId3750" w:history="1">
        <w:r w:rsidRPr="00AF091D">
          <w:rPr>
            <w:rStyle w:val="Lienhypertexte"/>
          </w:rPr>
          <w:t>10.1080/07352689991309207</w:t>
        </w:r>
      </w:hyperlink>
    </w:p>
    <w:p w14:paraId="41D86F6F" w14:textId="77777777" w:rsidR="00AF091D" w:rsidRPr="00AF091D" w:rsidRDefault="00AF091D" w:rsidP="0022016D">
      <w:pPr>
        <w:numPr>
          <w:ilvl w:val="0"/>
          <w:numId w:val="45"/>
        </w:numPr>
        <w:tabs>
          <w:tab w:val="clear" w:pos="720"/>
          <w:tab w:val="num" w:pos="360"/>
        </w:tabs>
        <w:spacing w:after="0" w:line="240" w:lineRule="auto"/>
        <w:ind w:left="426"/>
        <w:jc w:val="both"/>
        <w:rPr>
          <w:lang w:val="en-GB"/>
        </w:rPr>
      </w:pPr>
      <w:r w:rsidRPr="00AF091D">
        <w:rPr>
          <w:lang w:val="en-GB"/>
        </w:rPr>
        <w:t xml:space="preserve"> Glenn, E. P.; Brown, J. J.; O'Leary, J. W. (1998). </w:t>
      </w:r>
      <w:hyperlink r:id="rId3751" w:history="1">
        <w:r w:rsidRPr="00AF091D">
          <w:rPr>
            <w:rStyle w:val="Lienhypertexte"/>
            <w:lang w:val="en-GB"/>
          </w:rPr>
          <w:t>"</w:t>
        </w:r>
      </w:hyperlink>
      <w:hyperlink r:id="rId3752" w:history="1">
        <w:r w:rsidRPr="00AF091D">
          <w:rPr>
            <w:rStyle w:val="Lienhypertexte"/>
            <w:lang w:val="en-GB"/>
          </w:rPr>
          <w:t>Irrigating</w:t>
        </w:r>
      </w:hyperlink>
      <w:hyperlink r:id="rId3753" w:history="1">
        <w:r w:rsidRPr="00AF091D">
          <w:rPr>
            <w:rStyle w:val="Lienhypertexte"/>
            <w:lang w:val="en-GB"/>
          </w:rPr>
          <w:t xml:space="preserve"> </w:t>
        </w:r>
      </w:hyperlink>
      <w:hyperlink r:id="rId3754" w:history="1">
        <w:r w:rsidRPr="00AF091D">
          <w:rPr>
            <w:rStyle w:val="Lienhypertexte"/>
            <w:lang w:val="en-GB"/>
          </w:rPr>
          <w:t>Crops</w:t>
        </w:r>
      </w:hyperlink>
      <w:hyperlink r:id="rId3755" w:history="1">
        <w:r w:rsidRPr="00AF091D">
          <w:rPr>
            <w:rStyle w:val="Lienhypertexte"/>
            <w:lang w:val="en-GB"/>
          </w:rPr>
          <w:t xml:space="preserve"> </w:t>
        </w:r>
      </w:hyperlink>
      <w:hyperlink r:id="rId3756" w:history="1">
        <w:r w:rsidRPr="00AF091D">
          <w:rPr>
            <w:rStyle w:val="Lienhypertexte"/>
            <w:lang w:val="en-GB"/>
          </w:rPr>
          <w:t>with</w:t>
        </w:r>
      </w:hyperlink>
      <w:hyperlink r:id="rId3757" w:history="1">
        <w:r w:rsidRPr="00AF091D">
          <w:rPr>
            <w:rStyle w:val="Lienhypertexte"/>
            <w:lang w:val="en-GB"/>
          </w:rPr>
          <w:t xml:space="preserve"> </w:t>
        </w:r>
      </w:hyperlink>
      <w:hyperlink r:id="rId3758" w:history="1">
        <w:r w:rsidRPr="00AF091D">
          <w:rPr>
            <w:rStyle w:val="Lienhypertexte"/>
            <w:lang w:val="en-GB"/>
          </w:rPr>
          <w:t>Seawater</w:t>
        </w:r>
      </w:hyperlink>
      <w:hyperlink r:id="rId3759" w:history="1">
        <w:r w:rsidRPr="00AF091D">
          <w:rPr>
            <w:rStyle w:val="Lienhypertexte"/>
            <w:lang w:val="en-GB"/>
          </w:rPr>
          <w:t>",</w:t>
        </w:r>
      </w:hyperlink>
      <w:r w:rsidRPr="00AF091D">
        <w:rPr>
          <w:lang w:val="en-GB"/>
        </w:rPr>
        <w:t> </w:t>
      </w:r>
      <w:hyperlink r:id="rId3760" w:history="1">
        <w:r w:rsidRPr="00AF091D">
          <w:rPr>
            <w:rStyle w:val="Lienhypertexte"/>
            <w:i/>
            <w:iCs/>
            <w:lang w:val="en-GB"/>
          </w:rPr>
          <w:t>Scientific</w:t>
        </w:r>
      </w:hyperlink>
      <w:hyperlink r:id="rId3761" w:history="1">
        <w:r w:rsidRPr="00AF091D">
          <w:rPr>
            <w:rStyle w:val="Lienhypertexte"/>
            <w:i/>
            <w:iCs/>
            <w:lang w:val="en-GB"/>
          </w:rPr>
          <w:t xml:space="preserve"> American</w:t>
        </w:r>
      </w:hyperlink>
      <w:r w:rsidRPr="00AF091D">
        <w:rPr>
          <w:lang w:val="en-GB"/>
        </w:rPr>
        <w:t>, Vol. 279, no. 8, Aug. 1998, pp. 56-61.</w:t>
      </w:r>
    </w:p>
    <w:p w14:paraId="2737C486" w14:textId="77777777" w:rsidR="00AF091D" w:rsidRPr="00AF091D" w:rsidRDefault="00AF091D" w:rsidP="0022016D">
      <w:pPr>
        <w:numPr>
          <w:ilvl w:val="0"/>
          <w:numId w:val="45"/>
        </w:numPr>
        <w:tabs>
          <w:tab w:val="clear" w:pos="720"/>
          <w:tab w:val="num" w:pos="360"/>
        </w:tabs>
        <w:spacing w:after="0" w:line="240" w:lineRule="auto"/>
        <w:ind w:left="426"/>
        <w:jc w:val="both"/>
      </w:pPr>
      <w:r w:rsidRPr="00AF091D">
        <w:rPr>
          <w:lang w:val="en-GB"/>
        </w:rPr>
        <w:t xml:space="preserve"> Glenn, Edward P.; Brown, J. Jed; O'Leary, James W. (August 1998). </w:t>
      </w:r>
      <w:hyperlink r:id="rId3762" w:history="1">
        <w:r w:rsidRPr="00AF091D">
          <w:rPr>
            <w:rStyle w:val="Lienhypertexte"/>
            <w:lang w:val="en-GB"/>
          </w:rPr>
          <w:t>"</w:t>
        </w:r>
      </w:hyperlink>
      <w:hyperlink r:id="rId3763" w:history="1">
        <w:r w:rsidRPr="00AF091D">
          <w:rPr>
            <w:rStyle w:val="Lienhypertexte"/>
            <w:lang w:val="en-GB"/>
          </w:rPr>
          <w:t>Irrigating</w:t>
        </w:r>
      </w:hyperlink>
      <w:hyperlink r:id="rId3764" w:history="1">
        <w:r w:rsidRPr="00AF091D">
          <w:rPr>
            <w:rStyle w:val="Lienhypertexte"/>
            <w:lang w:val="en-GB"/>
          </w:rPr>
          <w:t xml:space="preserve"> </w:t>
        </w:r>
      </w:hyperlink>
      <w:hyperlink r:id="rId3765" w:history="1">
        <w:r w:rsidRPr="00AF091D">
          <w:rPr>
            <w:rStyle w:val="Lienhypertexte"/>
            <w:lang w:val="en-GB"/>
          </w:rPr>
          <w:t>Crops</w:t>
        </w:r>
      </w:hyperlink>
      <w:hyperlink r:id="rId3766" w:history="1">
        <w:r w:rsidRPr="00AF091D">
          <w:rPr>
            <w:rStyle w:val="Lienhypertexte"/>
            <w:lang w:val="en-GB"/>
          </w:rPr>
          <w:t xml:space="preserve"> </w:t>
        </w:r>
      </w:hyperlink>
      <w:hyperlink r:id="rId3767" w:history="1">
        <w:r w:rsidRPr="00AF091D">
          <w:rPr>
            <w:rStyle w:val="Lienhypertexte"/>
            <w:lang w:val="en-GB"/>
          </w:rPr>
          <w:t>with</w:t>
        </w:r>
      </w:hyperlink>
      <w:hyperlink r:id="rId3768" w:history="1">
        <w:r w:rsidRPr="00AF091D">
          <w:rPr>
            <w:rStyle w:val="Lienhypertexte"/>
            <w:lang w:val="en-GB"/>
          </w:rPr>
          <w:t xml:space="preserve"> </w:t>
        </w:r>
      </w:hyperlink>
      <w:hyperlink r:id="rId3769" w:history="1">
        <w:r w:rsidRPr="00AF091D">
          <w:rPr>
            <w:rStyle w:val="Lienhypertexte"/>
            <w:lang w:val="en-GB"/>
          </w:rPr>
          <w:t>Seawater</w:t>
        </w:r>
      </w:hyperlink>
      <w:hyperlink r:id="rId3770" w:history="1">
        <w:r w:rsidRPr="00AF091D">
          <w:rPr>
            <w:rStyle w:val="Lienhypertexte"/>
            <w:lang w:val="en-GB"/>
          </w:rPr>
          <w:t>"</w:t>
        </w:r>
      </w:hyperlink>
      <w:r w:rsidRPr="00AF091D">
        <w:rPr>
          <w:lang w:val="en-GB"/>
        </w:rPr>
        <w:t> (PDF). </w:t>
      </w:r>
      <w:hyperlink r:id="rId3771" w:history="1">
        <w:r w:rsidRPr="00AF091D">
          <w:rPr>
            <w:rStyle w:val="Lienhypertexte"/>
            <w:i/>
            <w:iCs/>
            <w:lang w:val="en-GB"/>
          </w:rPr>
          <w:t>Scientific</w:t>
        </w:r>
      </w:hyperlink>
      <w:hyperlink r:id="rId3772" w:history="1">
        <w:r w:rsidRPr="00AF091D">
          <w:rPr>
            <w:rStyle w:val="Lienhypertexte"/>
            <w:i/>
            <w:iCs/>
            <w:lang w:val="en-GB"/>
          </w:rPr>
          <w:t xml:space="preserve"> American</w:t>
        </w:r>
      </w:hyperlink>
      <w:r w:rsidRPr="00AF091D">
        <w:rPr>
          <w:lang w:val="en-GB"/>
        </w:rPr>
        <w:t xml:space="preserve"> (USA: Scientific American, Inc.) </w:t>
      </w:r>
      <w:r w:rsidRPr="00AF091D">
        <w:t>(August 1998): 76–81 [79]. Retrieved 2008-11-17.</w:t>
      </w:r>
    </w:p>
    <w:p w14:paraId="217B224C" w14:textId="77777777" w:rsidR="00AF091D" w:rsidRPr="00AF091D" w:rsidRDefault="00AF091D" w:rsidP="0022016D">
      <w:pPr>
        <w:numPr>
          <w:ilvl w:val="0"/>
          <w:numId w:val="45"/>
        </w:numPr>
        <w:tabs>
          <w:tab w:val="clear" w:pos="720"/>
          <w:tab w:val="num" w:pos="360"/>
        </w:tabs>
        <w:spacing w:after="0" w:line="240" w:lineRule="auto"/>
        <w:ind w:left="426"/>
        <w:jc w:val="both"/>
      </w:pPr>
      <w:r w:rsidRPr="00AF091D">
        <w:rPr>
          <w:lang w:val="en-GB"/>
        </w:rPr>
        <w:t xml:space="preserve">  </w:t>
      </w:r>
      <w:hyperlink r:id="rId3773" w:history="1">
        <w:r w:rsidRPr="00AF091D">
          <w:rPr>
            <w:rStyle w:val="Lienhypertexte"/>
            <w:lang w:val="en-GB"/>
          </w:rPr>
          <w:t>"</w:t>
        </w:r>
      </w:hyperlink>
      <w:hyperlink r:id="rId3774" w:history="1">
        <w:r w:rsidRPr="00AF091D">
          <w:rPr>
            <w:rStyle w:val="Lienhypertexte"/>
            <w:lang w:val="en-GB"/>
          </w:rPr>
          <w:t>Fact</w:t>
        </w:r>
      </w:hyperlink>
      <w:hyperlink r:id="rId3775" w:history="1">
        <w:r w:rsidRPr="00AF091D">
          <w:rPr>
            <w:rStyle w:val="Lienhypertexte"/>
            <w:lang w:val="en-GB"/>
          </w:rPr>
          <w:t xml:space="preserve"> </w:t>
        </w:r>
      </w:hyperlink>
      <w:hyperlink r:id="rId3776" w:history="1">
        <w:r w:rsidRPr="00AF091D">
          <w:rPr>
            <w:rStyle w:val="Lienhypertexte"/>
            <w:lang w:val="en-GB"/>
          </w:rPr>
          <w:t>Sheet</w:t>
        </w:r>
      </w:hyperlink>
      <w:hyperlink r:id="rId3777" w:history="1">
        <w:r w:rsidRPr="00AF091D">
          <w:rPr>
            <w:rStyle w:val="Lienhypertexte"/>
            <w:lang w:val="en-GB"/>
          </w:rPr>
          <w:t>: Alternative Fuels"</w:t>
        </w:r>
      </w:hyperlink>
      <w:r w:rsidRPr="00AF091D">
        <w:rPr>
          <w:lang w:val="en-GB"/>
        </w:rPr>
        <w:t>. </w:t>
      </w:r>
      <w:hyperlink r:id="rId3778" w:history="1">
        <w:r w:rsidRPr="00AF091D">
          <w:rPr>
            <w:rStyle w:val="Lienhypertexte"/>
            <w:lang w:val="en-GB"/>
          </w:rPr>
          <w:t>IATA</w:t>
        </w:r>
      </w:hyperlink>
      <w:r w:rsidRPr="00AF091D">
        <w:rPr>
          <w:lang w:val="en-GB"/>
        </w:rPr>
        <w:t xml:space="preserve">. </w:t>
      </w:r>
      <w:r w:rsidRPr="00AF091D">
        <w:t>December 2013. Retrieved 2014-01-28.</w:t>
      </w:r>
    </w:p>
    <w:p w14:paraId="0BDF7A61" w14:textId="77777777" w:rsidR="00AF091D" w:rsidRPr="00AF091D" w:rsidRDefault="00AF091D" w:rsidP="0022016D">
      <w:pPr>
        <w:numPr>
          <w:ilvl w:val="0"/>
          <w:numId w:val="45"/>
        </w:numPr>
        <w:tabs>
          <w:tab w:val="clear" w:pos="720"/>
          <w:tab w:val="num" w:pos="360"/>
        </w:tabs>
        <w:spacing w:after="0" w:line="240" w:lineRule="auto"/>
        <w:ind w:left="426"/>
        <w:jc w:val="both"/>
        <w:rPr>
          <w:lang w:val="en-GB"/>
        </w:rPr>
      </w:pPr>
      <w:r w:rsidRPr="00AF091D">
        <w:rPr>
          <w:lang w:val="en-GB"/>
        </w:rPr>
        <w:t xml:space="preserve"> </w:t>
      </w:r>
      <w:r w:rsidRPr="00AF091D">
        <w:rPr>
          <w:i/>
          <w:iCs/>
          <w:lang w:val="en-US"/>
        </w:rPr>
        <w:t>Plant Responses to drought and Salinity stress : Developments in a post-genomic era</w:t>
      </w:r>
      <w:r w:rsidRPr="00AF091D">
        <w:rPr>
          <w:lang w:val="en-US"/>
        </w:rPr>
        <w:t>, Ismaël Turkan, Academic Press,</w:t>
      </w:r>
    </w:p>
    <w:p w14:paraId="17669AA1" w14:textId="77777777" w:rsidR="00AF091D" w:rsidRPr="00AF091D" w:rsidRDefault="00AF091D" w:rsidP="0022016D">
      <w:pPr>
        <w:numPr>
          <w:ilvl w:val="0"/>
          <w:numId w:val="45"/>
        </w:numPr>
        <w:tabs>
          <w:tab w:val="clear" w:pos="720"/>
          <w:tab w:val="num" w:pos="360"/>
        </w:tabs>
        <w:spacing w:after="0" w:line="240" w:lineRule="auto"/>
        <w:ind w:left="426"/>
        <w:jc w:val="both"/>
        <w:rPr>
          <w:lang w:val="en-GB"/>
        </w:rPr>
      </w:pPr>
      <w:r w:rsidRPr="00AF091D">
        <w:rPr>
          <w:lang w:val="en-US"/>
        </w:rPr>
        <w:t xml:space="preserve"> </w:t>
      </w:r>
      <w:r w:rsidRPr="00AF091D">
        <w:rPr>
          <w:i/>
          <w:iCs/>
          <w:lang w:val="en-US"/>
        </w:rPr>
        <w:t>Ecophysiology of High Salinity Tolerant Plants</w:t>
      </w:r>
      <w:r w:rsidRPr="00AF091D">
        <w:rPr>
          <w:lang w:val="en-US"/>
        </w:rPr>
        <w:t>, M. Ajmal Khan, ‎Darrell J. Weber, Springer ‎Science, 2006.</w:t>
      </w:r>
    </w:p>
    <w:p w14:paraId="5646DF97" w14:textId="77777777" w:rsidR="00AF091D" w:rsidRPr="00AF091D" w:rsidRDefault="00AF091D" w:rsidP="0022016D">
      <w:pPr>
        <w:numPr>
          <w:ilvl w:val="0"/>
          <w:numId w:val="45"/>
        </w:numPr>
        <w:tabs>
          <w:tab w:val="clear" w:pos="720"/>
          <w:tab w:val="num" w:pos="360"/>
        </w:tabs>
        <w:spacing w:after="0" w:line="240" w:lineRule="auto"/>
        <w:ind w:left="426"/>
        <w:jc w:val="both"/>
        <w:rPr>
          <w:lang w:val="en-GB"/>
        </w:rPr>
      </w:pPr>
      <w:r w:rsidRPr="00AF091D">
        <w:rPr>
          <w:lang w:val="en-US"/>
        </w:rPr>
        <w:t xml:space="preserve"> </w:t>
      </w:r>
      <w:r w:rsidRPr="00AF091D">
        <w:rPr>
          <w:i/>
          <w:iCs/>
          <w:lang w:val="en-GB"/>
        </w:rPr>
        <w:t>Long term responses of olive trees to salinity</w:t>
      </w:r>
      <w:r w:rsidRPr="00AF091D">
        <w:rPr>
          <w:lang w:val="en-GB"/>
        </w:rPr>
        <w:t xml:space="preserve">, J.C. Melgar, Y. Mohamed, N. Serrano, P.A. García-Galavís, C. Navarro, M.A. Parra, M. Benlloch and R. Fernández-Escobar, </w:t>
      </w:r>
      <w:hyperlink r:id="rId3779" w:history="1">
        <w:r w:rsidRPr="00AF091D">
          <w:rPr>
            <w:rStyle w:val="Lienhypertexte"/>
            <w:lang w:val="en-GB"/>
          </w:rPr>
          <w:t>Agricultural Water Management</w:t>
        </w:r>
      </w:hyperlink>
      <w:r w:rsidRPr="00AF091D">
        <w:rPr>
          <w:lang w:val="en-GB"/>
        </w:rPr>
        <w:t>, 2009, vol. 96, issue 7, pages 1105-1113.</w:t>
      </w:r>
    </w:p>
    <w:p w14:paraId="77FC7A2B" w14:textId="77777777" w:rsidR="00AF091D" w:rsidRPr="00AF091D" w:rsidRDefault="00AF091D" w:rsidP="0022016D">
      <w:pPr>
        <w:numPr>
          <w:ilvl w:val="0"/>
          <w:numId w:val="45"/>
        </w:numPr>
        <w:tabs>
          <w:tab w:val="clear" w:pos="720"/>
          <w:tab w:val="num" w:pos="360"/>
        </w:tabs>
        <w:spacing w:after="0" w:line="240" w:lineRule="auto"/>
        <w:ind w:left="426"/>
        <w:jc w:val="both"/>
        <w:rPr>
          <w:lang w:val="en-GB"/>
        </w:rPr>
      </w:pPr>
      <w:r w:rsidRPr="00AF091D">
        <w:rPr>
          <w:lang w:val="en-GB"/>
        </w:rPr>
        <w:t xml:space="preserve"> </w:t>
      </w:r>
      <w:r w:rsidRPr="00AF091D">
        <w:rPr>
          <w:i/>
          <w:iCs/>
          <w:lang w:val="en-US"/>
        </w:rPr>
        <w:t>Best Management Practices for Saline and Sodic Turfgrass Soils: Assessment and reclamation</w:t>
      </w:r>
      <w:r w:rsidRPr="00AF091D">
        <w:rPr>
          <w:lang w:val="en-US"/>
        </w:rPr>
        <w:t xml:space="preserve">, Robert N. Carrow, Ronny R. Duncan, CRC Press, 2012. </w:t>
      </w:r>
    </w:p>
    <w:p w14:paraId="3F7F1113" w14:textId="77777777" w:rsidR="00AF091D" w:rsidRPr="00AF091D" w:rsidRDefault="00AF091D" w:rsidP="0022016D">
      <w:pPr>
        <w:numPr>
          <w:ilvl w:val="0"/>
          <w:numId w:val="45"/>
        </w:numPr>
        <w:tabs>
          <w:tab w:val="clear" w:pos="720"/>
          <w:tab w:val="num" w:pos="360"/>
        </w:tabs>
        <w:spacing w:after="0" w:line="240" w:lineRule="auto"/>
        <w:ind w:left="426"/>
        <w:jc w:val="both"/>
        <w:rPr>
          <w:lang w:val="en-GB"/>
        </w:rPr>
      </w:pPr>
      <w:r w:rsidRPr="00AF091D">
        <w:rPr>
          <w:lang w:val="en-GB"/>
        </w:rPr>
        <w:t>Shalhevet, Joseph, 1994. "</w:t>
      </w:r>
      <w:hyperlink r:id="rId3780" w:history="1">
        <w:r w:rsidRPr="00AF091D">
          <w:rPr>
            <w:rStyle w:val="Lienhypertexte"/>
            <w:i/>
            <w:iCs/>
            <w:lang w:val="en-GB"/>
          </w:rPr>
          <w:t>Using</w:t>
        </w:r>
      </w:hyperlink>
      <w:hyperlink r:id="rId3781" w:history="1">
        <w:r w:rsidRPr="00AF091D">
          <w:rPr>
            <w:rStyle w:val="Lienhypertexte"/>
            <w:i/>
            <w:iCs/>
            <w:lang w:val="en-GB"/>
          </w:rPr>
          <w:t xml:space="preserve"> water of marginal </w:t>
        </w:r>
      </w:hyperlink>
      <w:hyperlink r:id="rId3782" w:history="1">
        <w:r w:rsidRPr="00AF091D">
          <w:rPr>
            <w:rStyle w:val="Lienhypertexte"/>
            <w:i/>
            <w:iCs/>
            <w:lang w:val="en-GB"/>
          </w:rPr>
          <w:t>quality</w:t>
        </w:r>
      </w:hyperlink>
      <w:hyperlink r:id="rId3783" w:history="1">
        <w:r w:rsidRPr="00AF091D">
          <w:rPr>
            <w:rStyle w:val="Lienhypertexte"/>
            <w:i/>
            <w:iCs/>
            <w:lang w:val="en-GB"/>
          </w:rPr>
          <w:t xml:space="preserve"> for </w:t>
        </w:r>
      </w:hyperlink>
      <w:hyperlink r:id="rId3784" w:history="1">
        <w:r w:rsidRPr="00AF091D">
          <w:rPr>
            <w:rStyle w:val="Lienhypertexte"/>
            <w:i/>
            <w:iCs/>
            <w:lang w:val="en-GB"/>
          </w:rPr>
          <w:t>crop</w:t>
        </w:r>
      </w:hyperlink>
      <w:hyperlink r:id="rId3785" w:history="1">
        <w:r w:rsidRPr="00AF091D">
          <w:rPr>
            <w:rStyle w:val="Lienhypertexte"/>
            <w:i/>
            <w:iCs/>
            <w:lang w:val="en-GB"/>
          </w:rPr>
          <w:t xml:space="preserve"> production: major issues</w:t>
        </w:r>
      </w:hyperlink>
      <w:r w:rsidRPr="00AF091D">
        <w:rPr>
          <w:lang w:val="en-GB"/>
        </w:rPr>
        <w:t>," </w:t>
      </w:r>
      <w:hyperlink r:id="rId3786" w:history="1">
        <w:r w:rsidRPr="00AF091D">
          <w:rPr>
            <w:rStyle w:val="Lienhypertexte"/>
            <w:lang w:val="en-GB"/>
          </w:rPr>
          <w:t>Agricultural Water Management</w:t>
        </w:r>
      </w:hyperlink>
      <w:r w:rsidRPr="00AF091D">
        <w:rPr>
          <w:lang w:val="en-GB"/>
        </w:rPr>
        <w:t xml:space="preserve">, Elsevier, vol. 25(3), pages 233-269, July 901-904 (article payant). </w:t>
      </w:r>
    </w:p>
    <w:p w14:paraId="08BEDC00" w14:textId="77777777" w:rsidR="00AF091D" w:rsidRPr="00AF091D" w:rsidRDefault="00AF091D" w:rsidP="0022016D">
      <w:pPr>
        <w:numPr>
          <w:ilvl w:val="0"/>
          <w:numId w:val="45"/>
        </w:numPr>
        <w:tabs>
          <w:tab w:val="clear" w:pos="720"/>
          <w:tab w:val="num" w:pos="360"/>
        </w:tabs>
        <w:spacing w:after="0" w:line="240" w:lineRule="auto"/>
        <w:ind w:left="426"/>
        <w:jc w:val="both"/>
        <w:rPr>
          <w:lang w:val="en-GB"/>
        </w:rPr>
      </w:pPr>
      <w:r w:rsidRPr="00AF091D">
        <w:rPr>
          <w:lang w:val="en-GB"/>
        </w:rPr>
        <w:t xml:space="preserve"> Corwin, Dennis L. &amp; Rhoades, James D. &amp; Simunek, Jirka, 2007. "</w:t>
      </w:r>
      <w:hyperlink r:id="rId3787" w:history="1">
        <w:r w:rsidRPr="00AF091D">
          <w:rPr>
            <w:rStyle w:val="Lienhypertexte"/>
            <w:i/>
            <w:iCs/>
            <w:lang w:val="en-GB"/>
          </w:rPr>
          <w:t>Leaching</w:t>
        </w:r>
      </w:hyperlink>
      <w:hyperlink r:id="rId3788" w:history="1">
        <w:r w:rsidRPr="00AF091D">
          <w:rPr>
            <w:rStyle w:val="Lienhypertexte"/>
            <w:i/>
            <w:iCs/>
            <w:lang w:val="en-GB"/>
          </w:rPr>
          <w:t xml:space="preserve"> </w:t>
        </w:r>
      </w:hyperlink>
      <w:hyperlink r:id="rId3789" w:history="1">
        <w:r w:rsidRPr="00AF091D">
          <w:rPr>
            <w:rStyle w:val="Lienhypertexte"/>
            <w:i/>
            <w:iCs/>
            <w:lang w:val="en-GB"/>
          </w:rPr>
          <w:t>requirement</w:t>
        </w:r>
      </w:hyperlink>
      <w:hyperlink r:id="rId3790" w:history="1">
        <w:r w:rsidRPr="00AF091D">
          <w:rPr>
            <w:rStyle w:val="Lienhypertexte"/>
            <w:i/>
            <w:iCs/>
            <w:lang w:val="en-GB"/>
          </w:rPr>
          <w:t xml:space="preserve"> for </w:t>
        </w:r>
      </w:hyperlink>
      <w:hyperlink r:id="rId3791" w:history="1">
        <w:r w:rsidRPr="00AF091D">
          <w:rPr>
            <w:rStyle w:val="Lienhypertexte"/>
            <w:i/>
            <w:iCs/>
            <w:lang w:val="en-GB"/>
          </w:rPr>
          <w:t>soil</w:t>
        </w:r>
      </w:hyperlink>
      <w:hyperlink r:id="rId3792" w:history="1">
        <w:r w:rsidRPr="00AF091D">
          <w:rPr>
            <w:rStyle w:val="Lienhypertexte"/>
            <w:i/>
            <w:iCs/>
            <w:lang w:val="en-GB"/>
          </w:rPr>
          <w:t xml:space="preserve"> </w:t>
        </w:r>
      </w:hyperlink>
      <w:hyperlink r:id="rId3793" w:history="1">
        <w:r w:rsidRPr="00AF091D">
          <w:rPr>
            <w:rStyle w:val="Lienhypertexte"/>
            <w:i/>
            <w:iCs/>
            <w:lang w:val="en-GB"/>
          </w:rPr>
          <w:t>salinity</w:t>
        </w:r>
      </w:hyperlink>
      <w:hyperlink r:id="rId3794" w:history="1">
        <w:r w:rsidRPr="00AF091D">
          <w:rPr>
            <w:rStyle w:val="Lienhypertexte"/>
            <w:i/>
            <w:iCs/>
            <w:lang w:val="en-GB"/>
          </w:rPr>
          <w:t xml:space="preserve"> control: </w:t>
        </w:r>
      </w:hyperlink>
      <w:hyperlink r:id="rId3795" w:history="1">
        <w:r w:rsidRPr="00AF091D">
          <w:rPr>
            <w:rStyle w:val="Lienhypertexte"/>
            <w:i/>
            <w:iCs/>
            <w:lang w:val="en-GB"/>
          </w:rPr>
          <w:t>Steady</w:t>
        </w:r>
      </w:hyperlink>
      <w:hyperlink r:id="rId3796" w:history="1">
        <w:r w:rsidRPr="00AF091D">
          <w:rPr>
            <w:rStyle w:val="Lienhypertexte"/>
            <w:i/>
            <w:iCs/>
            <w:lang w:val="en-GB"/>
          </w:rPr>
          <w:t xml:space="preserve">-state versus </w:t>
        </w:r>
      </w:hyperlink>
      <w:hyperlink r:id="rId3797" w:history="1">
        <w:r w:rsidRPr="00AF091D">
          <w:rPr>
            <w:rStyle w:val="Lienhypertexte"/>
            <w:i/>
            <w:iCs/>
            <w:lang w:val="en-GB"/>
          </w:rPr>
          <w:t>transient</w:t>
        </w:r>
      </w:hyperlink>
      <w:hyperlink r:id="rId3798" w:history="1">
        <w:r w:rsidRPr="00AF091D">
          <w:rPr>
            <w:rStyle w:val="Lienhypertexte"/>
            <w:i/>
            <w:iCs/>
            <w:lang w:val="en-GB"/>
          </w:rPr>
          <w:t xml:space="preserve"> </w:t>
        </w:r>
      </w:hyperlink>
      <w:hyperlink r:id="rId3799" w:history="1">
        <w:r w:rsidRPr="00AF091D">
          <w:rPr>
            <w:rStyle w:val="Lienhypertexte"/>
            <w:i/>
            <w:iCs/>
            <w:lang w:val="en-GB"/>
          </w:rPr>
          <w:t>models</w:t>
        </w:r>
      </w:hyperlink>
      <w:r w:rsidRPr="00AF091D">
        <w:rPr>
          <w:lang w:val="en-GB"/>
        </w:rPr>
        <w:t>,"</w:t>
      </w:r>
      <w:hyperlink r:id="rId3800" w:history="1">
        <w:r w:rsidRPr="00AF091D">
          <w:rPr>
            <w:rStyle w:val="Lienhypertexte"/>
            <w:lang w:val="en-GB"/>
          </w:rPr>
          <w:t>Agricultural Water Management</w:t>
        </w:r>
      </w:hyperlink>
      <w:r w:rsidRPr="00AF091D">
        <w:rPr>
          <w:lang w:val="en-GB"/>
        </w:rPr>
        <w:t xml:space="preserve">, Elsevier, vol. 90(3), pages 165-180, June 901-904 (article payant). </w:t>
      </w:r>
    </w:p>
    <w:p w14:paraId="1D0A942A" w14:textId="77777777" w:rsidR="00AF091D" w:rsidRPr="00AF091D" w:rsidRDefault="00AF091D" w:rsidP="0022016D">
      <w:pPr>
        <w:numPr>
          <w:ilvl w:val="0"/>
          <w:numId w:val="45"/>
        </w:numPr>
        <w:tabs>
          <w:tab w:val="clear" w:pos="720"/>
          <w:tab w:val="num" w:pos="360"/>
        </w:tabs>
        <w:spacing w:after="0" w:line="240" w:lineRule="auto"/>
        <w:ind w:left="426"/>
        <w:jc w:val="both"/>
        <w:rPr>
          <w:lang w:val="en-GB"/>
        </w:rPr>
      </w:pPr>
      <w:r w:rsidRPr="00AF091D">
        <w:rPr>
          <w:lang w:val="en-GB"/>
        </w:rPr>
        <w:t xml:space="preserve"> Chartzoulakis, K.S., 2005. "</w:t>
      </w:r>
      <w:hyperlink r:id="rId3801" w:history="1">
        <w:r w:rsidRPr="00AF091D">
          <w:rPr>
            <w:rStyle w:val="Lienhypertexte"/>
            <w:i/>
            <w:iCs/>
            <w:lang w:val="en-GB"/>
          </w:rPr>
          <w:t>Salinity</w:t>
        </w:r>
      </w:hyperlink>
      <w:hyperlink r:id="rId3802" w:history="1">
        <w:r w:rsidRPr="00AF091D">
          <w:rPr>
            <w:rStyle w:val="Lienhypertexte"/>
            <w:i/>
            <w:iCs/>
            <w:lang w:val="en-GB"/>
          </w:rPr>
          <w:t xml:space="preserve"> and olive: </w:t>
        </w:r>
      </w:hyperlink>
      <w:hyperlink r:id="rId3803" w:history="1">
        <w:r w:rsidRPr="00AF091D">
          <w:rPr>
            <w:rStyle w:val="Lienhypertexte"/>
            <w:i/>
            <w:iCs/>
            <w:lang w:val="en-GB"/>
          </w:rPr>
          <w:t>Growth</w:t>
        </w:r>
      </w:hyperlink>
      <w:hyperlink r:id="rId3804" w:history="1">
        <w:r w:rsidRPr="00AF091D">
          <w:rPr>
            <w:rStyle w:val="Lienhypertexte"/>
            <w:i/>
            <w:iCs/>
            <w:lang w:val="en-GB"/>
          </w:rPr>
          <w:t xml:space="preserve">, </w:t>
        </w:r>
      </w:hyperlink>
      <w:hyperlink r:id="rId3805" w:history="1">
        <w:r w:rsidRPr="00AF091D">
          <w:rPr>
            <w:rStyle w:val="Lienhypertexte"/>
            <w:i/>
            <w:iCs/>
            <w:lang w:val="en-GB"/>
          </w:rPr>
          <w:t>salt</w:t>
        </w:r>
      </w:hyperlink>
      <w:hyperlink r:id="rId3806" w:history="1">
        <w:r w:rsidRPr="00AF091D">
          <w:rPr>
            <w:rStyle w:val="Lienhypertexte"/>
            <w:i/>
            <w:iCs/>
            <w:lang w:val="en-GB"/>
          </w:rPr>
          <w:t xml:space="preserve"> </w:t>
        </w:r>
      </w:hyperlink>
      <w:hyperlink r:id="rId3807" w:history="1">
        <w:r w:rsidRPr="00AF091D">
          <w:rPr>
            <w:rStyle w:val="Lienhypertexte"/>
            <w:i/>
            <w:iCs/>
            <w:lang w:val="en-GB"/>
          </w:rPr>
          <w:t>tolerance</w:t>
        </w:r>
      </w:hyperlink>
      <w:hyperlink r:id="rId3808" w:history="1">
        <w:r w:rsidRPr="00AF091D">
          <w:rPr>
            <w:rStyle w:val="Lienhypertexte"/>
            <w:i/>
            <w:iCs/>
            <w:lang w:val="en-GB"/>
          </w:rPr>
          <w:t xml:space="preserve">, </w:t>
        </w:r>
      </w:hyperlink>
      <w:hyperlink r:id="rId3809" w:history="1">
        <w:r w:rsidRPr="00AF091D">
          <w:rPr>
            <w:rStyle w:val="Lienhypertexte"/>
            <w:i/>
            <w:iCs/>
            <w:lang w:val="en-GB"/>
          </w:rPr>
          <w:t>photosynthesis</w:t>
        </w:r>
      </w:hyperlink>
      <w:hyperlink r:id="rId3810" w:history="1">
        <w:r w:rsidRPr="00AF091D">
          <w:rPr>
            <w:rStyle w:val="Lienhypertexte"/>
            <w:i/>
            <w:iCs/>
            <w:lang w:val="en-GB"/>
          </w:rPr>
          <w:t xml:space="preserve"> and </w:t>
        </w:r>
      </w:hyperlink>
      <w:hyperlink r:id="rId3811" w:history="1">
        <w:r w:rsidRPr="00AF091D">
          <w:rPr>
            <w:rStyle w:val="Lienhypertexte"/>
            <w:i/>
            <w:iCs/>
            <w:lang w:val="en-GB"/>
          </w:rPr>
          <w:t>yield</w:t>
        </w:r>
      </w:hyperlink>
      <w:r w:rsidRPr="00AF091D">
        <w:rPr>
          <w:lang w:val="en-GB"/>
        </w:rPr>
        <w:t>," </w:t>
      </w:r>
      <w:hyperlink r:id="rId3812" w:history="1">
        <w:r w:rsidRPr="00AF091D">
          <w:rPr>
            <w:rStyle w:val="Lienhypertexte"/>
            <w:lang w:val="en-GB"/>
          </w:rPr>
          <w:t>Agricultural Water Management</w:t>
        </w:r>
      </w:hyperlink>
      <w:r w:rsidRPr="00AF091D">
        <w:rPr>
          <w:lang w:val="en-GB"/>
        </w:rPr>
        <w:t xml:space="preserve">, Elsevier, vol. 78(1-2), pages 108-121, September 901-904 (article payant). </w:t>
      </w:r>
    </w:p>
    <w:p w14:paraId="39E2D085" w14:textId="77777777" w:rsidR="00AF091D" w:rsidRPr="00AF091D" w:rsidRDefault="00AF091D" w:rsidP="0022016D">
      <w:pPr>
        <w:numPr>
          <w:ilvl w:val="0"/>
          <w:numId w:val="45"/>
        </w:numPr>
        <w:tabs>
          <w:tab w:val="clear" w:pos="720"/>
          <w:tab w:val="num" w:pos="360"/>
        </w:tabs>
        <w:spacing w:after="0" w:line="240" w:lineRule="auto"/>
        <w:ind w:left="426"/>
        <w:jc w:val="both"/>
        <w:rPr>
          <w:lang w:val="en-GB"/>
        </w:rPr>
      </w:pPr>
      <w:r w:rsidRPr="00AF091D">
        <w:rPr>
          <w:lang w:val="en-GB"/>
        </w:rPr>
        <w:t xml:space="preserve"> Ghrab, Mohamed &amp; Gargouri, Kamel &amp; Bentaher, Hatem &amp; Chartzoulakis, Kostas &amp; Ayadi, Mohamed &amp; Ben Mimoun, Mehdi &amp; Masmoudi, Mohamed Moncef &amp; Ben Mechlia, Netij &amp; Psarras, Georgios, 2013. "</w:t>
      </w:r>
      <w:hyperlink r:id="rId3813" w:history="1">
        <w:r w:rsidRPr="00AF091D">
          <w:rPr>
            <w:rStyle w:val="Lienhypertexte"/>
            <w:i/>
            <w:iCs/>
            <w:lang w:val="en-GB"/>
          </w:rPr>
          <w:t xml:space="preserve">Water relations and </w:t>
        </w:r>
      </w:hyperlink>
      <w:hyperlink r:id="rId3814" w:history="1">
        <w:r w:rsidRPr="00AF091D">
          <w:rPr>
            <w:rStyle w:val="Lienhypertexte"/>
            <w:i/>
            <w:iCs/>
            <w:lang w:val="en-GB"/>
          </w:rPr>
          <w:t>yield</w:t>
        </w:r>
      </w:hyperlink>
      <w:hyperlink r:id="rId3815" w:history="1">
        <w:r w:rsidRPr="00AF091D">
          <w:rPr>
            <w:rStyle w:val="Lienhypertexte"/>
            <w:i/>
            <w:iCs/>
            <w:lang w:val="en-GB"/>
          </w:rPr>
          <w:t xml:space="preserve"> of olive </w:t>
        </w:r>
      </w:hyperlink>
      <w:hyperlink r:id="rId3816" w:history="1">
        <w:r w:rsidRPr="00AF091D">
          <w:rPr>
            <w:rStyle w:val="Lienhypertexte"/>
            <w:i/>
            <w:iCs/>
            <w:lang w:val="en-GB"/>
          </w:rPr>
          <w:t>tree</w:t>
        </w:r>
      </w:hyperlink>
      <w:hyperlink r:id="rId3817" w:history="1">
        <w:r w:rsidRPr="00AF091D">
          <w:rPr>
            <w:rStyle w:val="Lienhypertexte"/>
            <w:i/>
            <w:iCs/>
            <w:lang w:val="en-GB"/>
          </w:rPr>
          <w:t xml:space="preserve"> (cv. </w:t>
        </w:r>
      </w:hyperlink>
      <w:hyperlink r:id="rId3818" w:history="1">
        <w:r w:rsidRPr="00AF091D">
          <w:rPr>
            <w:rStyle w:val="Lienhypertexte"/>
            <w:i/>
            <w:iCs/>
            <w:lang w:val="en-GB"/>
          </w:rPr>
          <w:t>Chemlali</w:t>
        </w:r>
      </w:hyperlink>
      <w:hyperlink r:id="rId3819" w:history="1">
        <w:r w:rsidRPr="00AF091D">
          <w:rPr>
            <w:rStyle w:val="Lienhypertexte"/>
            <w:i/>
            <w:iCs/>
            <w:lang w:val="en-GB"/>
          </w:rPr>
          <w:t xml:space="preserve">) in </w:t>
        </w:r>
      </w:hyperlink>
      <w:hyperlink r:id="rId3820" w:history="1">
        <w:r w:rsidRPr="00AF091D">
          <w:rPr>
            <w:rStyle w:val="Lienhypertexte"/>
            <w:i/>
            <w:iCs/>
            <w:lang w:val="en-GB"/>
          </w:rPr>
          <w:t>response</w:t>
        </w:r>
      </w:hyperlink>
      <w:hyperlink r:id="rId3821" w:history="1">
        <w:r w:rsidRPr="00AF091D">
          <w:rPr>
            <w:rStyle w:val="Lienhypertexte"/>
            <w:i/>
            <w:iCs/>
            <w:lang w:val="en-GB"/>
          </w:rPr>
          <w:t xml:space="preserve"> to partial </w:t>
        </w:r>
      </w:hyperlink>
      <w:hyperlink r:id="rId3822" w:history="1">
        <w:r w:rsidRPr="00AF091D">
          <w:rPr>
            <w:rStyle w:val="Lienhypertexte"/>
            <w:i/>
            <w:iCs/>
            <w:lang w:val="en-GB"/>
          </w:rPr>
          <w:t>root</w:t>
        </w:r>
      </w:hyperlink>
      <w:hyperlink r:id="rId3823" w:history="1">
        <w:r w:rsidRPr="00AF091D">
          <w:rPr>
            <w:rStyle w:val="Lienhypertexte"/>
            <w:i/>
            <w:iCs/>
            <w:lang w:val="en-GB"/>
          </w:rPr>
          <w:t xml:space="preserve">-zone </w:t>
        </w:r>
      </w:hyperlink>
      <w:hyperlink r:id="rId3824" w:history="1">
        <w:r w:rsidRPr="00AF091D">
          <w:rPr>
            <w:rStyle w:val="Lienhypertexte"/>
            <w:i/>
            <w:iCs/>
            <w:lang w:val="en-GB"/>
          </w:rPr>
          <w:t>drying</w:t>
        </w:r>
      </w:hyperlink>
      <w:hyperlink r:id="rId3825" w:history="1">
        <w:r w:rsidRPr="00AF091D">
          <w:rPr>
            <w:rStyle w:val="Lienhypertexte"/>
            <w:i/>
            <w:iCs/>
            <w:lang w:val="en-GB"/>
          </w:rPr>
          <w:t xml:space="preserve"> (PRD) irrigation technique and </w:t>
        </w:r>
      </w:hyperlink>
      <w:hyperlink r:id="rId3826" w:history="1">
        <w:r w:rsidRPr="00AF091D">
          <w:rPr>
            <w:rStyle w:val="Lienhypertexte"/>
            <w:i/>
            <w:iCs/>
            <w:lang w:val="en-GB"/>
          </w:rPr>
          <w:t>salinity</w:t>
        </w:r>
      </w:hyperlink>
      <w:hyperlink r:id="rId3827" w:history="1">
        <w:r w:rsidRPr="00AF091D">
          <w:rPr>
            <w:rStyle w:val="Lienhypertexte"/>
            <w:i/>
            <w:iCs/>
            <w:lang w:val="en-GB"/>
          </w:rPr>
          <w:t xml:space="preserve"> </w:t>
        </w:r>
      </w:hyperlink>
      <w:hyperlink r:id="rId3828" w:history="1">
        <w:r w:rsidRPr="00AF091D">
          <w:rPr>
            <w:rStyle w:val="Lienhypertexte"/>
            <w:i/>
            <w:iCs/>
            <w:lang w:val="en-GB"/>
          </w:rPr>
          <w:t>under</w:t>
        </w:r>
      </w:hyperlink>
      <w:hyperlink r:id="rId3829" w:history="1">
        <w:r w:rsidRPr="00AF091D">
          <w:rPr>
            <w:rStyle w:val="Lienhypertexte"/>
            <w:i/>
            <w:iCs/>
            <w:lang w:val="en-GB"/>
          </w:rPr>
          <w:t xml:space="preserve"> </w:t>
        </w:r>
      </w:hyperlink>
      <w:hyperlink r:id="rId3830" w:history="1">
        <w:r w:rsidRPr="00AF091D">
          <w:rPr>
            <w:rStyle w:val="Lienhypertexte"/>
            <w:i/>
            <w:iCs/>
            <w:lang w:val="en-GB"/>
          </w:rPr>
          <w:t>arid</w:t>
        </w:r>
      </w:hyperlink>
      <w:hyperlink r:id="rId3831" w:history="1">
        <w:r w:rsidRPr="00AF091D">
          <w:rPr>
            <w:rStyle w:val="Lienhypertexte"/>
            <w:i/>
            <w:iCs/>
            <w:lang w:val="en-GB"/>
          </w:rPr>
          <w:t xml:space="preserve"> </w:t>
        </w:r>
      </w:hyperlink>
      <w:hyperlink r:id="rId3832" w:history="1">
        <w:r w:rsidRPr="00AF091D">
          <w:rPr>
            <w:rStyle w:val="Lienhypertexte"/>
            <w:i/>
            <w:iCs/>
            <w:lang w:val="en-GB"/>
          </w:rPr>
          <w:t>climat</w:t>
        </w:r>
      </w:hyperlink>
      <w:hyperlink r:id="rId3833" w:history="1">
        <w:r w:rsidRPr="00AF091D">
          <w:rPr>
            <w:rStyle w:val="Lienhypertexte"/>
            <w:lang w:val="en-GB"/>
          </w:rPr>
          <w:t>e</w:t>
        </w:r>
      </w:hyperlink>
      <w:r w:rsidRPr="00AF091D">
        <w:rPr>
          <w:lang w:val="en-GB"/>
        </w:rPr>
        <w:t>," </w:t>
      </w:r>
      <w:hyperlink r:id="rId3834" w:history="1">
        <w:r w:rsidRPr="00AF091D">
          <w:rPr>
            <w:rStyle w:val="Lienhypertexte"/>
            <w:lang w:val="en-GB"/>
          </w:rPr>
          <w:t>Agricultural Water Management</w:t>
        </w:r>
      </w:hyperlink>
      <w:r w:rsidRPr="00AF091D">
        <w:rPr>
          <w:lang w:val="en-GB"/>
        </w:rPr>
        <w:t xml:space="preserve">, Elsevier, vol. 123(C), pages 1-11 901-904 (article payant). </w:t>
      </w:r>
    </w:p>
    <w:p w14:paraId="4D66602C" w14:textId="77777777" w:rsidR="00AF091D" w:rsidRPr="00AF091D" w:rsidRDefault="00AF091D" w:rsidP="0022016D">
      <w:pPr>
        <w:numPr>
          <w:ilvl w:val="0"/>
          <w:numId w:val="45"/>
        </w:numPr>
        <w:tabs>
          <w:tab w:val="clear" w:pos="720"/>
          <w:tab w:val="num" w:pos="360"/>
        </w:tabs>
        <w:spacing w:after="0" w:line="240" w:lineRule="auto"/>
        <w:ind w:left="426"/>
        <w:jc w:val="both"/>
      </w:pPr>
      <w:r w:rsidRPr="00AF091D">
        <w:rPr>
          <w:lang w:val="en-GB"/>
        </w:rPr>
        <w:t xml:space="preserve"> </w:t>
      </w:r>
      <w:r w:rsidRPr="00AF091D">
        <w:rPr>
          <w:i/>
          <w:iCs/>
          <w:lang w:val="en-GB"/>
        </w:rPr>
        <w:t>Comparative Physiological Analysis of Salinity Effects in Six n Six Olive Genotypes</w:t>
      </w:r>
      <w:r w:rsidRPr="00AF091D">
        <w:rPr>
          <w:lang w:val="en-GB"/>
        </w:rPr>
        <w:t xml:space="preserve">, Carolina Aparicio, Miguel Urrestarazu, María del Pilar Cordovilla, HortScience July 2014 vol. 49 no. 7 901-904 (article payant). </w:t>
      </w:r>
      <w:hyperlink r:id="rId3835" w:history="1">
        <w:r w:rsidRPr="00AF091D">
          <w:rPr>
            <w:rStyle w:val="Lienhypertexte"/>
          </w:rPr>
          <w:t>http://hortsci.ashspublications.org/content/49/7/901.full.pdf+html</w:t>
        </w:r>
      </w:hyperlink>
      <w:r w:rsidRPr="00AF091D">
        <w:t xml:space="preserve"> </w:t>
      </w:r>
    </w:p>
    <w:p w14:paraId="6B845A5D" w14:textId="77777777" w:rsidR="00AF091D" w:rsidRPr="00AF091D" w:rsidRDefault="00AF091D" w:rsidP="0022016D">
      <w:pPr>
        <w:numPr>
          <w:ilvl w:val="0"/>
          <w:numId w:val="45"/>
        </w:numPr>
        <w:tabs>
          <w:tab w:val="clear" w:pos="720"/>
          <w:tab w:val="num" w:pos="360"/>
        </w:tabs>
        <w:spacing w:after="0" w:line="240" w:lineRule="auto"/>
        <w:ind w:left="426"/>
        <w:jc w:val="both"/>
      </w:pPr>
      <w:r w:rsidRPr="00AF091D">
        <w:t xml:space="preserve"> </w:t>
      </w:r>
      <w:r w:rsidRPr="00AF091D">
        <w:rPr>
          <w:i/>
          <w:iCs/>
        </w:rPr>
        <w:t>Exploitation durable des tannes nues et des prairies à halophytes : émergence de nouvelles filières alimentaires et non-alimentaires</w:t>
      </w:r>
      <w:r w:rsidRPr="00AF091D">
        <w:t xml:space="preserve">, </w:t>
      </w:r>
      <w:hyperlink r:id="rId3836" w:history="1">
        <w:r w:rsidRPr="00AF091D">
          <w:rPr>
            <w:rStyle w:val="Lienhypertexte"/>
          </w:rPr>
          <w:t>http://wwz.ifremer.fr/ncal/Biodiversite-et-ressources/Tannes-et-halophytes/Exploitation-durable-des-tannes-et-halophytes</w:t>
        </w:r>
      </w:hyperlink>
      <w:r w:rsidRPr="00AF091D">
        <w:t xml:space="preserve"> </w:t>
      </w:r>
    </w:p>
    <w:p w14:paraId="4F8B8E95" w14:textId="77777777" w:rsidR="00AF091D" w:rsidRPr="002A6A93" w:rsidRDefault="00AF091D" w:rsidP="0022016D">
      <w:pPr>
        <w:numPr>
          <w:ilvl w:val="0"/>
          <w:numId w:val="45"/>
        </w:numPr>
        <w:tabs>
          <w:tab w:val="clear" w:pos="720"/>
          <w:tab w:val="num" w:pos="360"/>
        </w:tabs>
        <w:spacing w:after="0" w:line="240" w:lineRule="auto"/>
        <w:ind w:left="426"/>
        <w:jc w:val="both"/>
        <w:rPr>
          <w:lang w:val="en-GB"/>
        </w:rPr>
      </w:pPr>
      <w:r w:rsidRPr="00AF091D">
        <w:t xml:space="preserve"> </w:t>
      </w:r>
      <w:r w:rsidRPr="00AF091D">
        <w:rPr>
          <w:lang w:val="es-AR"/>
        </w:rPr>
        <w:t>Toderich, K.,Yensen, N., Kawabata, Y., Grutsinov, V., Mardanova,G., 2006. </w:t>
      </w:r>
      <w:r w:rsidRPr="00AF091D">
        <w:rPr>
          <w:lang w:val="en-GB"/>
        </w:rPr>
        <w:t xml:space="preserve">Khujanazarov.,T., Gismatullina, L.,6. </w:t>
      </w:r>
      <w:r w:rsidRPr="00AF091D">
        <w:rPr>
          <w:i/>
          <w:iCs/>
          <w:lang w:val="en-GB"/>
        </w:rPr>
        <w:t>Phytoremediation Technologies: using plants to clean up the metal/salt Contaminated Desert Environments</w:t>
      </w:r>
      <w:r w:rsidRPr="00AF091D">
        <w:rPr>
          <w:lang w:val="en-GB"/>
        </w:rPr>
        <w:t xml:space="preserve">. </w:t>
      </w:r>
      <w:r w:rsidRPr="002A6A93">
        <w:rPr>
          <w:lang w:val="en-GB"/>
        </w:rPr>
        <w:t>J. Arid Land Studies: 15-4, pp. 455-458</w:t>
      </w:r>
    </w:p>
    <w:p w14:paraId="37E9BA14" w14:textId="77777777" w:rsidR="00AF091D" w:rsidRPr="00AF091D" w:rsidRDefault="00AF091D" w:rsidP="0022016D">
      <w:pPr>
        <w:numPr>
          <w:ilvl w:val="0"/>
          <w:numId w:val="45"/>
        </w:numPr>
        <w:tabs>
          <w:tab w:val="clear" w:pos="720"/>
          <w:tab w:val="num" w:pos="360"/>
        </w:tabs>
        <w:spacing w:after="0" w:line="240" w:lineRule="auto"/>
        <w:ind w:left="426"/>
        <w:jc w:val="both"/>
        <w:rPr>
          <w:lang w:val="en-GB"/>
        </w:rPr>
      </w:pPr>
      <w:r w:rsidRPr="00AF091D">
        <w:rPr>
          <w:lang w:val="en-GB"/>
        </w:rPr>
        <w:lastRenderedPageBreak/>
        <w:t xml:space="preserve"> Evaluation of Salinity Tolerance and Genetic Diversity of Thirty-Three Switchgrass (</w:t>
      </w:r>
      <w:r w:rsidRPr="00AF091D">
        <w:rPr>
          <w:i/>
          <w:iCs/>
          <w:lang w:val="en-GB"/>
        </w:rPr>
        <w:t>Panicum virgatum</w:t>
      </w:r>
      <w:r w:rsidRPr="00AF091D">
        <w:rPr>
          <w:lang w:val="en-GB"/>
        </w:rPr>
        <w:t xml:space="preserve">) Populations, Yiming Liu, Xunzhong Zhang, Jiamin Miao, Linkai Huang, Taylor Frazier, Bingyu Zhao, </w:t>
      </w:r>
      <w:hyperlink r:id="rId3837" w:history="1">
        <w:r w:rsidRPr="00AF091D">
          <w:rPr>
            <w:rStyle w:val="Lienhypertexte"/>
            <w:lang w:val="en-GB"/>
          </w:rPr>
          <w:t>BioEnergy</w:t>
        </w:r>
      </w:hyperlink>
      <w:hyperlink r:id="rId3838" w:history="1">
        <w:r w:rsidRPr="00AF091D">
          <w:rPr>
            <w:rStyle w:val="Lienhypertexte"/>
            <w:lang w:val="en-GB"/>
          </w:rPr>
          <w:t xml:space="preserve"> </w:t>
        </w:r>
      </w:hyperlink>
      <w:hyperlink r:id="rId3839" w:history="1">
        <w:r w:rsidRPr="00AF091D">
          <w:rPr>
            <w:rStyle w:val="Lienhypertexte"/>
            <w:lang w:val="en-GB"/>
          </w:rPr>
          <w:t>Research</w:t>
        </w:r>
      </w:hyperlink>
      <w:r w:rsidRPr="00AF091D">
        <w:rPr>
          <w:lang w:val="en-GB"/>
        </w:rPr>
        <w:t>, May 2014.</w:t>
      </w:r>
    </w:p>
    <w:p w14:paraId="5F1CED1A" w14:textId="77777777" w:rsidR="00AF091D" w:rsidRPr="00AF091D" w:rsidRDefault="00AF091D" w:rsidP="0022016D">
      <w:pPr>
        <w:numPr>
          <w:ilvl w:val="0"/>
          <w:numId w:val="45"/>
        </w:numPr>
        <w:tabs>
          <w:tab w:val="clear" w:pos="720"/>
          <w:tab w:val="num" w:pos="360"/>
        </w:tabs>
        <w:spacing w:after="0" w:line="240" w:lineRule="auto"/>
        <w:ind w:left="426"/>
        <w:jc w:val="both"/>
      </w:pPr>
      <w:r w:rsidRPr="00AF091D">
        <w:rPr>
          <w:lang w:val="en-GB"/>
        </w:rPr>
        <w:t>Abdelli C., Oztûrk M., Ashraf M., Grignon C., 2008. </w:t>
      </w:r>
      <w:r w:rsidRPr="00AF091D">
        <w:rPr>
          <w:i/>
          <w:iCs/>
          <w:lang w:val="en-GB"/>
        </w:rPr>
        <w:t>Biosaline agriculture and high salinity tolerance</w:t>
      </w:r>
      <w:r w:rsidRPr="00AF091D">
        <w:rPr>
          <w:lang w:val="en-GB"/>
        </w:rPr>
        <w:t xml:space="preserve">. </w:t>
      </w:r>
      <w:r w:rsidRPr="00AF091D">
        <w:t>Birkhauser Verlag. 367p.</w:t>
      </w:r>
    </w:p>
    <w:p w14:paraId="73C0E46B" w14:textId="77777777" w:rsidR="00AF091D" w:rsidRPr="00AF091D" w:rsidRDefault="00AF091D" w:rsidP="0022016D">
      <w:pPr>
        <w:numPr>
          <w:ilvl w:val="0"/>
          <w:numId w:val="45"/>
        </w:numPr>
        <w:tabs>
          <w:tab w:val="clear" w:pos="720"/>
          <w:tab w:val="num" w:pos="360"/>
        </w:tabs>
        <w:spacing w:after="0" w:line="240" w:lineRule="auto"/>
        <w:ind w:left="426"/>
        <w:jc w:val="both"/>
      </w:pPr>
      <w:r w:rsidRPr="00AF091D">
        <w:t>Chedly,A., Debez,A., Slama,Ines., Ghnaya,T., Barhoumi,Z., Grignon,C., 2006. </w:t>
      </w:r>
      <w:r w:rsidRPr="00AF091D">
        <w:rPr>
          <w:i/>
          <w:iCs/>
        </w:rPr>
        <w:t>Halophytes as a Bio Resource for Non Conventional Water Resource Valorisation and Saline Zone Rehabilitation</w:t>
      </w:r>
      <w:r w:rsidRPr="00AF091D">
        <w:t>. Journal of Arid Land Studies. Vol.15;n°4, pp.415-418.</w:t>
      </w:r>
    </w:p>
    <w:p w14:paraId="4A07E53E" w14:textId="77777777" w:rsidR="00AF091D" w:rsidRPr="00AF091D" w:rsidRDefault="00AF091D" w:rsidP="0022016D">
      <w:pPr>
        <w:numPr>
          <w:ilvl w:val="0"/>
          <w:numId w:val="45"/>
        </w:numPr>
        <w:tabs>
          <w:tab w:val="clear" w:pos="720"/>
          <w:tab w:val="num" w:pos="360"/>
        </w:tabs>
        <w:spacing w:after="0" w:line="240" w:lineRule="auto"/>
        <w:ind w:left="426"/>
        <w:jc w:val="both"/>
      </w:pPr>
      <w:r w:rsidRPr="00AF091D">
        <w:rPr>
          <w:lang w:val="es-AR"/>
        </w:rPr>
        <w:t>De la Lanza, G; Rodriguez-Medina, MA; Soto, LA., 1986. </w:t>
      </w:r>
      <w:r w:rsidRPr="00AF091D">
        <w:rPr>
          <w:lang w:val="en-GB"/>
        </w:rPr>
        <w:t xml:space="preserve">Experimental essay of detritus consumption of halophytes by the penneids shrimp </w:t>
      </w:r>
      <w:r w:rsidRPr="00AF091D">
        <w:rPr>
          <w:i/>
          <w:iCs/>
          <w:lang w:val="en-GB"/>
        </w:rPr>
        <w:t xml:space="preserve">Penaeus vannamei </w:t>
      </w:r>
      <w:r w:rsidRPr="00AF091D">
        <w:rPr>
          <w:lang w:val="en-GB"/>
        </w:rPr>
        <w:t xml:space="preserve">and </w:t>
      </w:r>
      <w:r w:rsidRPr="00AF091D">
        <w:rPr>
          <w:i/>
          <w:iCs/>
          <w:lang w:val="en-GB"/>
        </w:rPr>
        <w:t>P. stylirostris</w:t>
      </w:r>
      <w:r w:rsidRPr="00AF091D">
        <w:rPr>
          <w:lang w:val="en-GB"/>
        </w:rPr>
        <w:t xml:space="preserve">. </w:t>
      </w:r>
      <w:r w:rsidRPr="00AF091D">
        <w:rPr>
          <w:lang w:val="es-AR"/>
        </w:rPr>
        <w:t xml:space="preserve">Anales del Instituto de Biologia, Universidad Nacional Autonoma de Mexico. </w:t>
      </w:r>
      <w:r w:rsidRPr="00AF091D">
        <w:t>Serie zoologia. Mexico City. Vol. 57, no. 1, pp. 199-212.</w:t>
      </w:r>
    </w:p>
    <w:p w14:paraId="2BF2457B" w14:textId="77777777" w:rsidR="00AF091D" w:rsidRPr="00AF091D" w:rsidRDefault="00AF091D" w:rsidP="0022016D">
      <w:pPr>
        <w:numPr>
          <w:ilvl w:val="0"/>
          <w:numId w:val="45"/>
        </w:numPr>
        <w:tabs>
          <w:tab w:val="clear" w:pos="720"/>
          <w:tab w:val="num" w:pos="360"/>
        </w:tabs>
        <w:spacing w:after="0" w:line="240" w:lineRule="auto"/>
        <w:ind w:left="426"/>
        <w:jc w:val="both"/>
      </w:pPr>
      <w:r w:rsidRPr="00AF091D">
        <w:rPr>
          <w:lang w:val="en-GB"/>
        </w:rPr>
        <w:t>Glenn, EP, O'Leary, JW; Watson, MC; Thompson, TL; Kuehl, RO., 1991. </w:t>
      </w:r>
      <w:r w:rsidRPr="00AF091D">
        <w:rPr>
          <w:i/>
          <w:iCs/>
          <w:lang w:val="en-GB"/>
        </w:rPr>
        <w:t xml:space="preserve">Salicornia bigelovii </w:t>
      </w:r>
      <w:r w:rsidRPr="00AF091D">
        <w:rPr>
          <w:lang w:val="en-GB"/>
        </w:rPr>
        <w:t xml:space="preserve">Torr.: An oilseed halophyte for seawater irrigation. Science (Washington). </w:t>
      </w:r>
      <w:r w:rsidRPr="00AF091D">
        <w:t>Vol. 251, no. 4997, pp. 1065-1067.</w:t>
      </w:r>
    </w:p>
    <w:p w14:paraId="08603DE1" w14:textId="77777777" w:rsidR="00AF091D" w:rsidRPr="00AF091D" w:rsidRDefault="00AF091D" w:rsidP="0022016D">
      <w:pPr>
        <w:numPr>
          <w:ilvl w:val="0"/>
          <w:numId w:val="45"/>
        </w:numPr>
        <w:tabs>
          <w:tab w:val="clear" w:pos="720"/>
          <w:tab w:val="num" w:pos="360"/>
        </w:tabs>
        <w:spacing w:after="0" w:line="240" w:lineRule="auto"/>
        <w:ind w:left="426"/>
        <w:jc w:val="both"/>
      </w:pPr>
      <w:r w:rsidRPr="00AF091D">
        <w:t>Kauffmann, F. 2004. </w:t>
      </w:r>
      <w:r w:rsidRPr="00AF091D">
        <w:rPr>
          <w:i/>
          <w:iCs/>
        </w:rPr>
        <w:t>Le sel de la vie. Partenaires. Dossier eau et agriculture</w:t>
      </w:r>
      <w:r w:rsidRPr="00AF091D">
        <w:t>. Helvetas n°177., pp. 18-21</w:t>
      </w:r>
    </w:p>
    <w:p w14:paraId="6F328B12" w14:textId="77777777" w:rsidR="00AF091D" w:rsidRPr="00AF091D" w:rsidRDefault="00AF091D" w:rsidP="0022016D">
      <w:pPr>
        <w:numPr>
          <w:ilvl w:val="0"/>
          <w:numId w:val="45"/>
        </w:numPr>
        <w:tabs>
          <w:tab w:val="clear" w:pos="720"/>
          <w:tab w:val="num" w:pos="360"/>
        </w:tabs>
        <w:spacing w:after="0" w:line="240" w:lineRule="auto"/>
        <w:ind w:left="426"/>
        <w:jc w:val="both"/>
      </w:pPr>
      <w:r w:rsidRPr="00AF091D">
        <w:t>Le Goff F., 1999. </w:t>
      </w:r>
      <w:r w:rsidRPr="00AF091D">
        <w:rPr>
          <w:i/>
          <w:iCs/>
        </w:rPr>
        <w:t xml:space="preserve">Analyse des paramètres biotiques et abiotiques pour une exploitation maîtrisée des </w:t>
      </w:r>
      <w:r w:rsidRPr="00AF091D">
        <w:rPr>
          <w:b/>
          <w:bCs/>
          <w:i/>
          <w:iCs/>
        </w:rPr>
        <w:t>salicornes</w:t>
      </w:r>
      <w:r w:rsidRPr="00AF091D">
        <w:rPr>
          <w:i/>
          <w:iCs/>
        </w:rPr>
        <w:t xml:space="preserve"> : de la plante sauvage à la plante domestique</w:t>
      </w:r>
      <w:r w:rsidRPr="00AF091D">
        <w:t>. Thèse dr. Université Rennes. 241 p.</w:t>
      </w:r>
    </w:p>
    <w:p w14:paraId="010E236F" w14:textId="77777777" w:rsidR="00AF091D" w:rsidRPr="00AF091D" w:rsidRDefault="00AF091D" w:rsidP="0022016D">
      <w:pPr>
        <w:numPr>
          <w:ilvl w:val="0"/>
          <w:numId w:val="45"/>
        </w:numPr>
        <w:tabs>
          <w:tab w:val="clear" w:pos="720"/>
          <w:tab w:val="num" w:pos="360"/>
        </w:tabs>
        <w:spacing w:after="0" w:line="240" w:lineRule="auto"/>
        <w:ind w:left="426"/>
        <w:jc w:val="both"/>
      </w:pPr>
      <w:r w:rsidRPr="00AF091D">
        <w:rPr>
          <w:lang w:val="es-AR"/>
        </w:rPr>
        <w:t xml:space="preserve">Martinez-Palacios, CA; Olvera-Novoa, MA; Luz Vazquez, Made la; Parra, IAde la; Chavez-Sanchez, MaC; Ortega-Nieblas, M; Ross, LG., 2003. </w:t>
      </w:r>
      <w:r w:rsidRPr="00AF091D">
        <w:rPr>
          <w:lang w:val="en-GB"/>
        </w:rPr>
        <w:t xml:space="preserve">The use of halophytic beach-bean meal </w:t>
      </w:r>
      <w:r w:rsidRPr="00AF091D">
        <w:rPr>
          <w:i/>
          <w:iCs/>
          <w:lang w:val="en-GB"/>
        </w:rPr>
        <w:t>Canavalia maritima</w:t>
      </w:r>
      <w:r w:rsidRPr="00AF091D">
        <w:rPr>
          <w:lang w:val="en-GB"/>
        </w:rPr>
        <w:t>, as partial replacement for fishmeal in diets for juvenile Nile tilapia </w:t>
      </w:r>
      <w:r w:rsidRPr="00AF091D">
        <w:rPr>
          <w:i/>
          <w:iCs/>
          <w:lang w:val="en-GB"/>
        </w:rPr>
        <w:t>Oreochromis niloticus</w:t>
      </w:r>
      <w:r w:rsidRPr="00AF091D">
        <w:rPr>
          <w:lang w:val="en-GB"/>
        </w:rPr>
        <w:t xml:space="preserve"> (Linnaeus). </w:t>
      </w:r>
      <w:r w:rsidRPr="00AF091D">
        <w:t>Journal of aquaculture in the tropics. Vol. 18, no. 2, pp. 171-180.</w:t>
      </w:r>
    </w:p>
    <w:p w14:paraId="16721066" w14:textId="77777777" w:rsidR="00AF091D" w:rsidRPr="00AF091D" w:rsidRDefault="00AF091D" w:rsidP="0022016D">
      <w:pPr>
        <w:numPr>
          <w:ilvl w:val="0"/>
          <w:numId w:val="45"/>
        </w:numPr>
        <w:tabs>
          <w:tab w:val="clear" w:pos="720"/>
          <w:tab w:val="num" w:pos="360"/>
        </w:tabs>
        <w:spacing w:after="0" w:line="240" w:lineRule="auto"/>
        <w:ind w:left="426"/>
        <w:jc w:val="both"/>
      </w:pPr>
      <w:r w:rsidRPr="00AF091D">
        <w:rPr>
          <w:lang w:val="en-GB"/>
        </w:rPr>
        <w:t xml:space="preserve">Masters,D.G., Benes.,S.E., Norman., H.C., 2007. </w:t>
      </w:r>
      <w:r w:rsidRPr="00AF091D">
        <w:rPr>
          <w:i/>
          <w:iCs/>
          <w:lang w:val="en-GB"/>
        </w:rPr>
        <w:t>Biosaline agriculture for forage and livestock production</w:t>
      </w:r>
      <w:r w:rsidRPr="00AF091D">
        <w:rPr>
          <w:lang w:val="en-GB"/>
        </w:rPr>
        <w:t xml:space="preserve">. </w:t>
      </w:r>
      <w:r w:rsidRPr="00AF091D">
        <w:t>Agriculture, Ecosystems and Environments 119: pp . 234-248</w:t>
      </w:r>
    </w:p>
    <w:p w14:paraId="30EBDFF0" w14:textId="77777777" w:rsidR="00AF091D" w:rsidRPr="00AF091D" w:rsidRDefault="00AF091D" w:rsidP="0022016D">
      <w:pPr>
        <w:numPr>
          <w:ilvl w:val="0"/>
          <w:numId w:val="45"/>
        </w:numPr>
        <w:tabs>
          <w:tab w:val="clear" w:pos="720"/>
          <w:tab w:val="num" w:pos="360"/>
        </w:tabs>
        <w:spacing w:after="0" w:line="240" w:lineRule="auto"/>
        <w:ind w:left="426"/>
        <w:jc w:val="both"/>
      </w:pPr>
      <w:r w:rsidRPr="00AF091D">
        <w:rPr>
          <w:lang w:val="en-GB"/>
        </w:rPr>
        <w:t>Pei Qina, Min Xiea and Yunsheng Jiangb, 1998. </w:t>
      </w:r>
      <w:r w:rsidRPr="00AF091D">
        <w:rPr>
          <w:i/>
          <w:iCs/>
          <w:lang w:val="en-GB"/>
        </w:rPr>
        <w:t>Spartina green food ecological engineering</w:t>
      </w:r>
      <w:r w:rsidRPr="00AF091D">
        <w:rPr>
          <w:lang w:val="en-GB"/>
        </w:rPr>
        <w:t xml:space="preserve">. </w:t>
      </w:r>
      <w:r w:rsidRPr="00AF091D">
        <w:t>Ecological Engineering, Volume 11, Issues 1-4, pp. 147-156</w:t>
      </w:r>
    </w:p>
    <w:p w14:paraId="63FAD915" w14:textId="7720ED9F" w:rsidR="00AF091D" w:rsidRPr="00AF091D" w:rsidRDefault="00AF091D" w:rsidP="0022016D">
      <w:pPr>
        <w:numPr>
          <w:ilvl w:val="0"/>
          <w:numId w:val="45"/>
        </w:numPr>
        <w:tabs>
          <w:tab w:val="clear" w:pos="720"/>
          <w:tab w:val="num" w:pos="360"/>
        </w:tabs>
        <w:spacing w:after="0" w:line="240" w:lineRule="auto"/>
        <w:ind w:left="426"/>
        <w:jc w:val="both"/>
        <w:rPr>
          <w:lang w:val="en-GB"/>
        </w:rPr>
      </w:pPr>
      <w:r w:rsidRPr="00AF091D">
        <w:rPr>
          <w:lang w:val="en-GB"/>
        </w:rPr>
        <w:t>Shaer (El).,</w:t>
      </w:r>
      <w:r w:rsidR="00272EF6">
        <w:rPr>
          <w:lang w:val="en-GB"/>
        </w:rPr>
        <w:t xml:space="preserve"> </w:t>
      </w:r>
      <w:r w:rsidRPr="00AF091D">
        <w:rPr>
          <w:lang w:val="en-GB"/>
        </w:rPr>
        <w:t xml:space="preserve">H.M., 2006. </w:t>
      </w:r>
      <w:r w:rsidRPr="00AF091D">
        <w:rPr>
          <w:i/>
          <w:iCs/>
          <w:lang w:val="en-GB"/>
        </w:rPr>
        <w:t>Halophytes as cash crops for animal feeds in arid and semi-arid regions</w:t>
      </w:r>
      <w:r w:rsidRPr="00AF091D">
        <w:rPr>
          <w:lang w:val="en-GB"/>
        </w:rPr>
        <w:t>. In biosaline agriculture and salinity tolerance in plants. Ed. M.Oztürk, Y.Waisel, A. Khan &amp; G.Görk. pp. 89-100.</w:t>
      </w:r>
    </w:p>
    <w:p w14:paraId="0F73F801" w14:textId="11563C92" w:rsidR="00AF091D" w:rsidRPr="00AF091D" w:rsidRDefault="00AF091D" w:rsidP="00AF091D">
      <w:pPr>
        <w:spacing w:after="0" w:line="240" w:lineRule="auto"/>
        <w:jc w:val="both"/>
        <w:rPr>
          <w:lang w:val="en-GB"/>
        </w:rPr>
      </w:pPr>
    </w:p>
    <w:p w14:paraId="732B9E83" w14:textId="77777777" w:rsidR="00E90046" w:rsidRDefault="00AF091D" w:rsidP="00E90046">
      <w:pPr>
        <w:pStyle w:val="Titre3"/>
      </w:pPr>
      <w:bookmarkStart w:id="362" w:name="_Toc139181653"/>
      <w:r w:rsidRPr="00AF091D">
        <w:t>Utilisation de la bactérie « </w:t>
      </w:r>
      <w:r w:rsidRPr="00AF091D">
        <w:rPr>
          <w:i/>
          <w:iCs/>
        </w:rPr>
        <w:t>Pseudomonas extremorientalis</w:t>
      </w:r>
      <w:r w:rsidRPr="00AF091D">
        <w:t> »</w:t>
      </w:r>
      <w:bookmarkEnd w:id="362"/>
      <w:r w:rsidRPr="00AF091D">
        <w:t xml:space="preserve"> </w:t>
      </w:r>
    </w:p>
    <w:p w14:paraId="516361F9" w14:textId="77777777" w:rsidR="00E90046" w:rsidRDefault="00E90046" w:rsidP="00AF091D">
      <w:pPr>
        <w:spacing w:after="0" w:line="240" w:lineRule="auto"/>
        <w:jc w:val="both"/>
      </w:pPr>
    </w:p>
    <w:p w14:paraId="3D78F228" w14:textId="6CB26280" w:rsidR="00AF091D" w:rsidRDefault="00E90046" w:rsidP="00AF091D">
      <w:pPr>
        <w:spacing w:after="0" w:line="240" w:lineRule="auto"/>
        <w:jc w:val="both"/>
      </w:pPr>
      <w:r>
        <w:t>P</w:t>
      </w:r>
      <w:r w:rsidR="00AF091D" w:rsidRPr="00AF091D">
        <w:t>our rendre les plantes alimentaires plus résistantes au sel (travaux de Madame Dilfuza Egamberdieva &amp; al.) :</w:t>
      </w:r>
    </w:p>
    <w:p w14:paraId="6308A0DF" w14:textId="77777777" w:rsidR="00AF091D" w:rsidRPr="00AF091D" w:rsidRDefault="00AF091D" w:rsidP="00AF091D">
      <w:pPr>
        <w:spacing w:after="0" w:line="240" w:lineRule="auto"/>
        <w:jc w:val="both"/>
      </w:pPr>
    </w:p>
    <w:p w14:paraId="63EEC0DF" w14:textId="77777777" w:rsidR="00AF091D" w:rsidRPr="00AF091D" w:rsidRDefault="00AF091D" w:rsidP="0022016D">
      <w:pPr>
        <w:numPr>
          <w:ilvl w:val="0"/>
          <w:numId w:val="46"/>
        </w:numPr>
        <w:tabs>
          <w:tab w:val="clear" w:pos="720"/>
          <w:tab w:val="num" w:pos="360"/>
        </w:tabs>
        <w:spacing w:after="0" w:line="240" w:lineRule="auto"/>
        <w:ind w:left="426"/>
        <w:rPr>
          <w:lang w:val="en-GB"/>
        </w:rPr>
      </w:pPr>
      <w:r w:rsidRPr="00AF091D">
        <w:t xml:space="preserve"> </w:t>
      </w:r>
      <w:r w:rsidRPr="00AF091D">
        <w:rPr>
          <w:i/>
          <w:iCs/>
          <w:lang w:val="en-GB"/>
        </w:rPr>
        <w:t>Use of Plant Growth-Promoting Rhizobacteria to Alleviate Salinity Stress in Plants</w:t>
      </w:r>
      <w:r w:rsidRPr="00AF091D">
        <w:rPr>
          <w:lang w:val="en-GB"/>
        </w:rPr>
        <w:t xml:space="preserve">, Dilfuza Egamberdieva and Ben Lugtenberg, </w:t>
      </w:r>
      <w:hyperlink r:id="rId3840" w:history="1">
        <w:r w:rsidRPr="00AF091D">
          <w:rPr>
            <w:rStyle w:val="Lienhypertexte"/>
            <w:lang w:val="en-GB"/>
          </w:rPr>
          <w:t>http://www.academia.edu/attachments/34722450/download_file?st=MTQxMDc1MzU5MSw3OC4xOTMuMS41MCwyMjk3NzU4&amp;s=work_strip&amp;ct=MTQxMDc1Mjg1MCwxNDEwNzUzNzE2LDIyOTc3NTg</w:t>
        </w:r>
      </w:hyperlink>
      <w:r w:rsidRPr="00AF091D">
        <w:rPr>
          <w:lang w:val="en-GB"/>
        </w:rPr>
        <w:t xml:space="preserve">= </w:t>
      </w:r>
    </w:p>
    <w:p w14:paraId="596A0AC5" w14:textId="77777777" w:rsidR="00AF091D" w:rsidRPr="00AF091D" w:rsidRDefault="00AF091D" w:rsidP="0022016D">
      <w:pPr>
        <w:numPr>
          <w:ilvl w:val="0"/>
          <w:numId w:val="46"/>
        </w:numPr>
        <w:tabs>
          <w:tab w:val="clear" w:pos="720"/>
          <w:tab w:val="num" w:pos="360"/>
        </w:tabs>
        <w:spacing w:after="0" w:line="240" w:lineRule="auto"/>
        <w:ind w:left="426"/>
        <w:rPr>
          <w:lang w:val="en-GB"/>
        </w:rPr>
      </w:pPr>
      <w:r w:rsidRPr="00AF091D">
        <w:rPr>
          <w:lang w:val="en-GB"/>
        </w:rPr>
        <w:t xml:space="preserve"> </w:t>
      </w:r>
      <w:r w:rsidRPr="00AF091D">
        <w:rPr>
          <w:i/>
          <w:iCs/>
          <w:lang w:val="en-GB"/>
        </w:rPr>
        <w:t>Alleviation of Salt Stress in Legumes by Co-inoculation with Pseudomonas and Rhizobium</w:t>
      </w:r>
      <w:r w:rsidRPr="00AF091D">
        <w:rPr>
          <w:lang w:val="en-GB"/>
        </w:rPr>
        <w:t xml:space="preserve">, Dilfuza Egamberdieva, Dilfuza Jabborova and Stephan Wirth, </w:t>
      </w:r>
      <w:hyperlink r:id="rId3841" w:history="1">
        <w:r w:rsidRPr="00AF091D">
          <w:rPr>
            <w:rStyle w:val="Lienhypertexte"/>
            <w:lang w:val="en-GB"/>
          </w:rPr>
          <w:t>http://www.academia.edu/attachments/33108295/download_file?st=MTQxMDc1MzU5MSw3OC4xOTMuMS41MCwyMjk3NzU4&amp;s=work_strip&amp;ct=MTQxMDc1Mjg1MCwxNDEwNzUzODU0LDIyOTc3NTg</w:t>
        </w:r>
      </w:hyperlink>
      <w:r w:rsidRPr="00AF091D">
        <w:rPr>
          <w:lang w:val="en-GB"/>
        </w:rPr>
        <w:t xml:space="preserve">= </w:t>
      </w:r>
    </w:p>
    <w:p w14:paraId="542C06A6" w14:textId="77777777" w:rsidR="00AF091D" w:rsidRPr="00AF091D" w:rsidRDefault="00AF091D" w:rsidP="0022016D">
      <w:pPr>
        <w:numPr>
          <w:ilvl w:val="0"/>
          <w:numId w:val="46"/>
        </w:numPr>
        <w:tabs>
          <w:tab w:val="clear" w:pos="720"/>
          <w:tab w:val="num" w:pos="360"/>
        </w:tabs>
        <w:spacing w:after="0" w:line="240" w:lineRule="auto"/>
        <w:ind w:left="426"/>
        <w:rPr>
          <w:lang w:val="en-GB"/>
        </w:rPr>
      </w:pPr>
      <w:r w:rsidRPr="00AF091D">
        <w:rPr>
          <w:lang w:val="en-GB"/>
        </w:rPr>
        <w:t xml:space="preserve"> </w:t>
      </w:r>
      <w:r w:rsidRPr="00AF091D">
        <w:rPr>
          <w:i/>
          <w:iCs/>
          <w:lang w:val="en-GB"/>
        </w:rPr>
        <w:t>Growth and Symbiotic Performance of Chickpea (Cicer arietinum) Cultivars under Saline Soil Conditions</w:t>
      </w:r>
      <w:r w:rsidRPr="00AF091D">
        <w:rPr>
          <w:lang w:val="en-GB"/>
        </w:rPr>
        <w:t xml:space="preserve">, Dilfuza Egamberdieva, Vyacheslav Shurigin, Subramaniam Gopalakrishnan and Ram Sharma, J. Biol. Chem. Research, Volume 31 (1) 2014 Pages No. 333-341, </w:t>
      </w:r>
      <w:hyperlink r:id="rId3842" w:history="1">
        <w:r w:rsidRPr="00AF091D">
          <w:rPr>
            <w:rStyle w:val="Lienhypertexte"/>
            <w:lang w:val="en-GB"/>
          </w:rPr>
          <w:t>http://www.academia.edu/attachments/33065385/download_file?st=MTQxMDc1MzU5MSw3OC4xOTMuMS41MCwyMjk3NzU4&amp;s=work_strip</w:t>
        </w:r>
      </w:hyperlink>
      <w:r w:rsidRPr="00AF091D">
        <w:rPr>
          <w:lang w:val="en-GB"/>
        </w:rPr>
        <w:t xml:space="preserve"> </w:t>
      </w:r>
    </w:p>
    <w:p w14:paraId="3807FB67" w14:textId="77777777" w:rsidR="00AF091D" w:rsidRPr="00AF091D" w:rsidRDefault="00AF091D" w:rsidP="0022016D">
      <w:pPr>
        <w:numPr>
          <w:ilvl w:val="0"/>
          <w:numId w:val="46"/>
        </w:numPr>
        <w:tabs>
          <w:tab w:val="clear" w:pos="720"/>
          <w:tab w:val="num" w:pos="360"/>
        </w:tabs>
        <w:spacing w:after="0" w:line="240" w:lineRule="auto"/>
        <w:ind w:left="426"/>
        <w:rPr>
          <w:lang w:val="en-GB"/>
        </w:rPr>
      </w:pPr>
      <w:r w:rsidRPr="00AF091D">
        <w:rPr>
          <w:lang w:val="en-GB"/>
        </w:rPr>
        <w:t xml:space="preserve"> </w:t>
      </w:r>
      <w:r w:rsidRPr="00AF091D">
        <w:rPr>
          <w:i/>
          <w:iCs/>
          <w:lang w:val="en-US"/>
        </w:rPr>
        <w:t>Salt-tolerant bacteria improve crop yields</w:t>
      </w:r>
      <w:r w:rsidRPr="00AF091D">
        <w:rPr>
          <w:lang w:val="en-US"/>
        </w:rPr>
        <w:t xml:space="preserve">, TWAS, October 6, 2013, </w:t>
      </w:r>
      <w:hyperlink r:id="rId3843" w:history="1">
        <w:r w:rsidRPr="00AF091D">
          <w:rPr>
            <w:rStyle w:val="Lienhypertexte"/>
            <w:lang w:val="en-US"/>
          </w:rPr>
          <w:t>http://www.sciencedaily.com/releases/2013/10/131006142707.htm</w:t>
        </w:r>
      </w:hyperlink>
    </w:p>
    <w:p w14:paraId="254463E1" w14:textId="77777777" w:rsidR="00AF091D" w:rsidRPr="00AF091D" w:rsidRDefault="00AF091D" w:rsidP="0022016D">
      <w:pPr>
        <w:numPr>
          <w:ilvl w:val="0"/>
          <w:numId w:val="46"/>
        </w:numPr>
        <w:tabs>
          <w:tab w:val="clear" w:pos="720"/>
          <w:tab w:val="num" w:pos="360"/>
        </w:tabs>
        <w:spacing w:after="0" w:line="240" w:lineRule="auto"/>
        <w:ind w:left="426"/>
        <w:rPr>
          <w:lang w:val="en-GB"/>
        </w:rPr>
      </w:pPr>
      <w:r w:rsidRPr="00AF091D">
        <w:rPr>
          <w:lang w:val="en-US"/>
        </w:rPr>
        <w:t xml:space="preserve"> </w:t>
      </w:r>
      <w:r w:rsidRPr="00AF091D">
        <w:rPr>
          <w:i/>
          <w:iCs/>
          <w:lang w:val="en-US"/>
        </w:rPr>
        <w:t>Survival of Pseudomonas extremorientalis TSAU20 and P. chlororaphis TSAU13 in the rhizosphere of common bean (Phaseolus vulgaris) under saline conditions</w:t>
      </w:r>
      <w:r w:rsidRPr="00AF091D">
        <w:rPr>
          <w:lang w:val="en-US"/>
        </w:rPr>
        <w:t xml:space="preserve">, D. Egamberdieva, </w:t>
      </w:r>
      <w:hyperlink r:id="rId3844" w:history="1">
        <w:r w:rsidRPr="00AF091D">
          <w:rPr>
            <w:rStyle w:val="Lienhypertexte"/>
            <w:lang w:val="en-US"/>
          </w:rPr>
          <w:t>http://www.agriculturejournals.cz/publicFiles/36137.pdf</w:t>
        </w:r>
      </w:hyperlink>
      <w:r w:rsidRPr="00AF091D">
        <w:rPr>
          <w:lang w:val="en-US"/>
        </w:rPr>
        <w:t xml:space="preserve"> </w:t>
      </w:r>
    </w:p>
    <w:p w14:paraId="4BB870D3" w14:textId="77777777" w:rsidR="00AF091D" w:rsidRPr="00AF091D" w:rsidRDefault="00AF091D" w:rsidP="0022016D">
      <w:pPr>
        <w:numPr>
          <w:ilvl w:val="0"/>
          <w:numId w:val="46"/>
        </w:numPr>
        <w:tabs>
          <w:tab w:val="clear" w:pos="720"/>
          <w:tab w:val="num" w:pos="360"/>
        </w:tabs>
        <w:spacing w:after="0" w:line="240" w:lineRule="auto"/>
        <w:ind w:left="426"/>
        <w:jc w:val="both"/>
      </w:pPr>
      <w:r w:rsidRPr="00AF091D">
        <w:rPr>
          <w:lang w:val="en-US"/>
        </w:rPr>
        <w:t xml:space="preserve"> </w:t>
      </w:r>
      <w:r w:rsidRPr="00AF091D">
        <w:rPr>
          <w:lang w:val="en-GB"/>
        </w:rPr>
        <w:t xml:space="preserve"> </w:t>
      </w:r>
      <w:r w:rsidRPr="00AF091D">
        <w:rPr>
          <w:i/>
          <w:iCs/>
        </w:rPr>
        <w:t>Salinity: Environment — Plants — Molecules</w:t>
      </w:r>
      <w:r w:rsidRPr="00AF091D">
        <w:t>, André Läuchli,Ulrich Lüttge, Kluwer Academic Publishers, 2004.</w:t>
      </w:r>
    </w:p>
    <w:p w14:paraId="7D726883" w14:textId="7EA9D92E" w:rsidR="006E1FE5" w:rsidRDefault="006E1FE5" w:rsidP="00DF67A3">
      <w:pPr>
        <w:spacing w:after="0" w:line="240" w:lineRule="auto"/>
      </w:pPr>
    </w:p>
    <w:p w14:paraId="54FDB112" w14:textId="16DF222A" w:rsidR="002F7263" w:rsidRDefault="002F7263" w:rsidP="00E90046">
      <w:pPr>
        <w:pStyle w:val="Titre3"/>
      </w:pPr>
      <w:bookmarkStart w:id="363" w:name="_Toc139181654"/>
      <w:r w:rsidRPr="002F7263">
        <w:t>Résistance au sel de l'Orge (</w:t>
      </w:r>
      <w:r w:rsidRPr="00E90046">
        <w:rPr>
          <w:i/>
          <w:iCs/>
        </w:rPr>
        <w:t>Hordeum vulgare</w:t>
      </w:r>
      <w:r w:rsidRPr="002F7263">
        <w:t>)</w:t>
      </w:r>
      <w:bookmarkEnd w:id="363"/>
    </w:p>
    <w:p w14:paraId="6FFAAED4" w14:textId="7F11E15D" w:rsidR="002F7263" w:rsidRDefault="002F7263" w:rsidP="00DF67A3">
      <w:pPr>
        <w:spacing w:after="0" w:line="240" w:lineRule="auto"/>
      </w:pPr>
    </w:p>
    <w:p w14:paraId="62BB2756" w14:textId="77777777" w:rsidR="002F7263" w:rsidRPr="00043648" w:rsidRDefault="002F7263" w:rsidP="001F79EE">
      <w:pPr>
        <w:numPr>
          <w:ilvl w:val="0"/>
          <w:numId w:val="48"/>
        </w:numPr>
        <w:tabs>
          <w:tab w:val="clear" w:pos="720"/>
        </w:tabs>
        <w:spacing w:after="0" w:line="240" w:lineRule="auto"/>
        <w:ind w:left="426"/>
        <w:rPr>
          <w:lang w:val="en-GB"/>
        </w:rPr>
      </w:pPr>
      <w:r w:rsidRPr="002F7263">
        <w:rPr>
          <w:lang w:val="en-GB"/>
        </w:rPr>
        <w:t>Association mapping of salt tolerance in barley (</w:t>
      </w:r>
      <w:r w:rsidRPr="002F7263">
        <w:rPr>
          <w:i/>
          <w:iCs/>
          <w:lang w:val="en-GB"/>
        </w:rPr>
        <w:t xml:space="preserve">Hordeum vulgare </w:t>
      </w:r>
      <w:r w:rsidRPr="002F7263">
        <w:rPr>
          <w:lang w:val="en-GB"/>
        </w:rPr>
        <w:t xml:space="preserve">L.)., </w:t>
      </w:r>
      <w:hyperlink r:id="rId3845" w:history="1">
        <w:r w:rsidRPr="002F7263">
          <w:rPr>
            <w:rStyle w:val="Lienhypertexte"/>
            <w:lang w:val="en-GB"/>
          </w:rPr>
          <w:t>Long NV</w:t>
        </w:r>
      </w:hyperlink>
      <w:r w:rsidRPr="002F7263">
        <w:rPr>
          <w:vertAlign w:val="superscript"/>
          <w:lang w:val="en-GB"/>
        </w:rPr>
        <w:t>1</w:t>
      </w:r>
      <w:r w:rsidRPr="002F7263">
        <w:rPr>
          <w:lang w:val="en-GB"/>
        </w:rPr>
        <w:t>, </w:t>
      </w:r>
      <w:hyperlink r:id="rId3846" w:history="1">
        <w:r w:rsidRPr="002F7263">
          <w:rPr>
            <w:rStyle w:val="Lienhypertexte"/>
            <w:lang w:val="en-GB"/>
          </w:rPr>
          <w:t>Dolstra</w:t>
        </w:r>
      </w:hyperlink>
      <w:hyperlink r:id="rId3847" w:history="1">
        <w:r w:rsidRPr="002F7263">
          <w:rPr>
            <w:rStyle w:val="Lienhypertexte"/>
            <w:lang w:val="en-GB"/>
          </w:rPr>
          <w:t xml:space="preserve"> O</w:t>
        </w:r>
      </w:hyperlink>
      <w:r w:rsidRPr="002F7263">
        <w:rPr>
          <w:lang w:val="en-GB"/>
        </w:rPr>
        <w:t>, </w:t>
      </w:r>
      <w:hyperlink r:id="rId3848" w:history="1">
        <w:r w:rsidRPr="002F7263">
          <w:rPr>
            <w:rStyle w:val="Lienhypertexte"/>
            <w:lang w:val="en-GB"/>
          </w:rPr>
          <w:t>Malosetti</w:t>
        </w:r>
      </w:hyperlink>
      <w:hyperlink r:id="rId3849" w:history="1">
        <w:r w:rsidRPr="002F7263">
          <w:rPr>
            <w:rStyle w:val="Lienhypertexte"/>
            <w:lang w:val="en-GB"/>
          </w:rPr>
          <w:t xml:space="preserve"> M</w:t>
        </w:r>
      </w:hyperlink>
      <w:r w:rsidRPr="002F7263">
        <w:rPr>
          <w:lang w:val="en-GB"/>
        </w:rPr>
        <w:t>, </w:t>
      </w:r>
      <w:hyperlink r:id="rId3850" w:history="1">
        <w:r w:rsidRPr="002F7263">
          <w:rPr>
            <w:rStyle w:val="Lienhypertexte"/>
            <w:lang w:val="en-GB"/>
          </w:rPr>
          <w:t>Kilian B</w:t>
        </w:r>
      </w:hyperlink>
      <w:r w:rsidRPr="002F7263">
        <w:rPr>
          <w:lang w:val="en-GB"/>
        </w:rPr>
        <w:t>, </w:t>
      </w:r>
      <w:hyperlink r:id="rId3851" w:history="1">
        <w:r w:rsidRPr="002F7263">
          <w:rPr>
            <w:rStyle w:val="Lienhypertexte"/>
            <w:lang w:val="en-GB"/>
          </w:rPr>
          <w:t>Graner A</w:t>
        </w:r>
      </w:hyperlink>
      <w:r w:rsidRPr="002F7263">
        <w:rPr>
          <w:lang w:val="en-GB"/>
        </w:rPr>
        <w:t>, </w:t>
      </w:r>
      <w:hyperlink r:id="rId3852" w:history="1">
        <w:r w:rsidRPr="002F7263">
          <w:rPr>
            <w:rStyle w:val="Lienhypertexte"/>
            <w:lang w:val="en-GB"/>
          </w:rPr>
          <w:t>Visser RG</w:t>
        </w:r>
      </w:hyperlink>
      <w:r w:rsidRPr="002F7263">
        <w:rPr>
          <w:lang w:val="en-GB"/>
        </w:rPr>
        <w:t>, </w:t>
      </w:r>
      <w:hyperlink r:id="rId3853" w:history="1">
        <w:r w:rsidRPr="002F7263">
          <w:rPr>
            <w:rStyle w:val="Lienhypertexte"/>
            <w:lang w:val="en-GB"/>
          </w:rPr>
          <w:t>van der Linden CG</w:t>
        </w:r>
      </w:hyperlink>
      <w:r w:rsidRPr="002F7263">
        <w:rPr>
          <w:lang w:val="en-GB"/>
        </w:rPr>
        <w:t xml:space="preserve">, </w:t>
      </w:r>
      <w:hyperlink r:id="rId3854" w:history="1">
        <w:r w:rsidRPr="002F7263">
          <w:rPr>
            <w:rStyle w:val="Lienhypertexte"/>
            <w:lang w:val="en-GB"/>
          </w:rPr>
          <w:t>Theor</w:t>
        </w:r>
      </w:hyperlink>
      <w:hyperlink r:id="rId3855" w:history="1">
        <w:r w:rsidRPr="002F7263">
          <w:rPr>
            <w:rStyle w:val="Lienhypertexte"/>
            <w:lang w:val="en-GB"/>
          </w:rPr>
          <w:t xml:space="preserve"> </w:t>
        </w:r>
      </w:hyperlink>
      <w:hyperlink r:id="rId3856" w:history="1">
        <w:r w:rsidRPr="002F7263">
          <w:rPr>
            <w:rStyle w:val="Lienhypertexte"/>
            <w:lang w:val="en-GB"/>
          </w:rPr>
          <w:t>Appl</w:t>
        </w:r>
      </w:hyperlink>
      <w:hyperlink r:id="rId3857" w:history="1">
        <w:r w:rsidRPr="002F7263">
          <w:rPr>
            <w:rStyle w:val="Lienhypertexte"/>
            <w:lang w:val="en-GB"/>
          </w:rPr>
          <w:t xml:space="preserve"> Genet.</w:t>
        </w:r>
      </w:hyperlink>
      <w:r w:rsidRPr="002F7263">
        <w:rPr>
          <w:lang w:val="en-GB"/>
        </w:rPr>
        <w:t> </w:t>
      </w:r>
      <w:r w:rsidRPr="00043648">
        <w:rPr>
          <w:lang w:val="en-GB"/>
        </w:rPr>
        <w:t>2013 Sep;126(9):2335-51 (article payant).</w:t>
      </w:r>
    </w:p>
    <w:p w14:paraId="40E105D4" w14:textId="77777777" w:rsidR="002F7263" w:rsidRPr="002F7263" w:rsidRDefault="002F7263" w:rsidP="001F79EE">
      <w:pPr>
        <w:numPr>
          <w:ilvl w:val="0"/>
          <w:numId w:val="48"/>
        </w:numPr>
        <w:tabs>
          <w:tab w:val="clear" w:pos="720"/>
        </w:tabs>
        <w:spacing w:after="0" w:line="240" w:lineRule="auto"/>
        <w:ind w:left="426"/>
      </w:pPr>
      <w:r w:rsidRPr="002F7263">
        <w:rPr>
          <w:lang w:val="en-US"/>
        </w:rPr>
        <w:t xml:space="preserve"> </w:t>
      </w:r>
      <w:r w:rsidRPr="002F7263">
        <w:rPr>
          <w:i/>
          <w:iCs/>
          <w:lang w:val="en-US"/>
        </w:rPr>
        <w:t>The Study of Salt Tolerance of Iranian Barley Genotypes in Seedling Growth Stages</w:t>
      </w:r>
      <w:r w:rsidRPr="002F7263">
        <w:rPr>
          <w:lang w:val="en-US"/>
        </w:rPr>
        <w:t xml:space="preserve">, Farhad Taghipour and Mohammad Salehi, American-Eurasian J. Agric. &amp; Environ. Sci., 4 (5): 525-529, 2008, </w:t>
      </w:r>
      <w:hyperlink r:id="rId3858" w:history="1">
        <w:r w:rsidRPr="002F7263">
          <w:rPr>
            <w:rStyle w:val="Lienhypertexte"/>
            <w:lang w:val="en-US"/>
          </w:rPr>
          <w:t>http://www.idosi.org/aejaes/jaes4(5)/1.pdf</w:t>
        </w:r>
      </w:hyperlink>
      <w:r w:rsidRPr="002F7263">
        <w:rPr>
          <w:lang w:val="en-US"/>
        </w:rPr>
        <w:t xml:space="preserve"> </w:t>
      </w:r>
      <w:r w:rsidRPr="002F7263">
        <w:t xml:space="preserve"> </w:t>
      </w:r>
    </w:p>
    <w:p w14:paraId="5671585F" w14:textId="77777777" w:rsidR="002F7263" w:rsidRDefault="002F7263" w:rsidP="002F7263">
      <w:pPr>
        <w:spacing w:after="0" w:line="240" w:lineRule="auto"/>
      </w:pPr>
    </w:p>
    <w:p w14:paraId="55B2B1DC" w14:textId="3D3E6209" w:rsidR="006E1FE5" w:rsidRDefault="006E1FE5" w:rsidP="006E1FE5">
      <w:pPr>
        <w:pStyle w:val="Titre2"/>
      </w:pPr>
      <w:bookmarkStart w:id="364" w:name="_Toc139181655"/>
      <w:r>
        <w:t>Algoculture</w:t>
      </w:r>
      <w:bookmarkEnd w:id="364"/>
    </w:p>
    <w:p w14:paraId="1D43D56E" w14:textId="4E5F8E7D" w:rsidR="006E1FE5" w:rsidRDefault="006E1FE5" w:rsidP="00DF67A3">
      <w:pPr>
        <w:spacing w:after="0" w:line="240" w:lineRule="auto"/>
      </w:pPr>
    </w:p>
    <w:p w14:paraId="42EA2DB9" w14:textId="325802A1" w:rsidR="006E1FE5" w:rsidRPr="006E1FE5" w:rsidRDefault="006E1FE5" w:rsidP="006E1FE5">
      <w:pPr>
        <w:spacing w:after="0" w:line="240" w:lineRule="auto"/>
        <w:jc w:val="both"/>
      </w:pPr>
      <w:r>
        <w:t xml:space="preserve">[80] </w:t>
      </w:r>
      <w:r w:rsidRPr="006E1FE5">
        <w:rPr>
          <w:i/>
          <w:iCs/>
        </w:rPr>
        <w:t>Madagascar : Une algue marine comme matière première pour la production d’un bioplastique</w:t>
      </w:r>
      <w:r w:rsidRPr="006E1FE5">
        <w:t xml:space="preserve">, 18/11/2020, </w:t>
      </w:r>
      <w:hyperlink r:id="rId3859" w:history="1">
        <w:r w:rsidRPr="006437AE">
          <w:rPr>
            <w:rStyle w:val="Lienhypertexte"/>
          </w:rPr>
          <w:t>https://www.ares-ac.be/en/actualites/731-madagascar-une-algue-marine-comme-matiere-premiere-pour-la-production-d-un-bioplastique</w:t>
        </w:r>
      </w:hyperlink>
      <w:r>
        <w:t xml:space="preserve"> </w:t>
      </w:r>
    </w:p>
    <w:p w14:paraId="18BFA6A3" w14:textId="224C93DA" w:rsidR="006E1FE5" w:rsidRDefault="00E55D8D" w:rsidP="00E2695A">
      <w:pPr>
        <w:spacing w:after="0" w:line="240" w:lineRule="auto"/>
      </w:pPr>
      <w:r>
        <w:t xml:space="preserve">[81] </w:t>
      </w:r>
      <w:r w:rsidRPr="00E55D8D">
        <w:rPr>
          <w:i/>
          <w:iCs/>
        </w:rPr>
        <w:t>Culture d’algues rouges: Des avantages économiques et écologiques</w:t>
      </w:r>
      <w:r w:rsidRPr="00E55D8D">
        <w:t xml:space="preserve"> [à Madagascar], </w:t>
      </w:r>
      <w:hyperlink r:id="rId3860" w:history="1">
        <w:r w:rsidRPr="006437AE">
          <w:rPr>
            <w:rStyle w:val="Lienhypertexte"/>
          </w:rPr>
          <w:t>http://www.tresorpublic.mg/?p=30971</w:t>
        </w:r>
      </w:hyperlink>
      <w:r>
        <w:t xml:space="preserve"> </w:t>
      </w:r>
    </w:p>
    <w:p w14:paraId="6ED0C991" w14:textId="4C443D20" w:rsidR="00E55D8D" w:rsidRDefault="00E55D8D" w:rsidP="00E2695A">
      <w:pPr>
        <w:spacing w:after="0" w:line="240" w:lineRule="auto"/>
      </w:pPr>
    </w:p>
    <w:p w14:paraId="70E9D19C" w14:textId="6C40A124" w:rsidR="0060169D" w:rsidRDefault="0060169D" w:rsidP="0060169D">
      <w:pPr>
        <w:pStyle w:val="Titre2"/>
      </w:pPr>
      <w:bookmarkStart w:id="365" w:name="_Toc139181656"/>
      <w:r>
        <w:t>Mangroves et palétuviers</w:t>
      </w:r>
      <w:bookmarkEnd w:id="365"/>
    </w:p>
    <w:p w14:paraId="102BE2B8" w14:textId="0672E5B2" w:rsidR="0060169D" w:rsidRDefault="0060169D" w:rsidP="00E2695A">
      <w:pPr>
        <w:spacing w:after="0" w:line="240" w:lineRule="auto"/>
      </w:pPr>
    </w:p>
    <w:p w14:paraId="34B5F8E2" w14:textId="7D77806F" w:rsidR="0060169D" w:rsidRPr="0060169D" w:rsidRDefault="0060169D" w:rsidP="0060169D">
      <w:pPr>
        <w:spacing w:after="0" w:line="240" w:lineRule="auto"/>
      </w:pPr>
      <w:r w:rsidRPr="0060169D">
        <w:t>[</w:t>
      </w:r>
      <w:r>
        <w:t>9</w:t>
      </w:r>
      <w:r w:rsidRPr="0060169D">
        <w:t xml:space="preserve">1] </w:t>
      </w:r>
      <w:r w:rsidRPr="0060169D">
        <w:rPr>
          <w:i/>
          <w:iCs/>
        </w:rPr>
        <w:t>Espèces de palétuviers dans les mangroves de Toliara</w:t>
      </w:r>
      <w:r w:rsidRPr="0060169D">
        <w:t>, Serge Tostain, FORMAD ENVIRONNEMENT,</w:t>
      </w:r>
    </w:p>
    <w:p w14:paraId="4419C7C6" w14:textId="77777777" w:rsidR="0060169D" w:rsidRPr="0060169D" w:rsidRDefault="00000000" w:rsidP="0060169D">
      <w:pPr>
        <w:spacing w:after="0" w:line="240" w:lineRule="auto"/>
      </w:pPr>
      <w:hyperlink r:id="rId3861" w:history="1">
        <w:r w:rsidR="0060169D" w:rsidRPr="0060169D">
          <w:rPr>
            <w:rStyle w:val="Lienhypertexte"/>
          </w:rPr>
          <w:t>www.formad-environnement.org/paletuviers_29dec11.pdf</w:t>
        </w:r>
      </w:hyperlink>
      <w:r w:rsidR="0060169D" w:rsidRPr="0060169D">
        <w:t xml:space="preserve">  </w:t>
      </w:r>
    </w:p>
    <w:p w14:paraId="2C11D052" w14:textId="6C872A3E" w:rsidR="0060169D" w:rsidRPr="0060169D" w:rsidRDefault="0060169D" w:rsidP="0060169D">
      <w:pPr>
        <w:spacing w:after="0" w:line="240" w:lineRule="auto"/>
      </w:pPr>
      <w:r w:rsidRPr="0060169D">
        <w:t>[</w:t>
      </w:r>
      <w:r>
        <w:t>9</w:t>
      </w:r>
      <w:r w:rsidRPr="0060169D">
        <w:t xml:space="preserve">2] </w:t>
      </w:r>
      <w:r w:rsidRPr="0060169D">
        <w:rPr>
          <w:i/>
          <w:iCs/>
        </w:rPr>
        <w:t>Le Guide technique comment reboiser la mangrove ?</w:t>
      </w:r>
      <w:r w:rsidRPr="0060169D">
        <w:t xml:space="preserve">, Oceanium de Dakar, </w:t>
      </w:r>
      <w:hyperlink r:id="rId3862" w:history="1">
        <w:r w:rsidRPr="0060169D">
          <w:rPr>
            <w:rStyle w:val="Lienhypertexte"/>
          </w:rPr>
          <w:t>http://www.oceaniumdakar.org/IMG/pdf/bd_guide_technique_reboisement_mangrove.pdf</w:t>
        </w:r>
      </w:hyperlink>
      <w:r w:rsidRPr="0060169D">
        <w:t xml:space="preserve"> </w:t>
      </w:r>
    </w:p>
    <w:p w14:paraId="4271A804" w14:textId="186C798C" w:rsidR="0060169D" w:rsidRPr="0060169D" w:rsidRDefault="0060169D" w:rsidP="0060169D">
      <w:pPr>
        <w:spacing w:after="0" w:line="240" w:lineRule="auto"/>
      </w:pPr>
      <w:r w:rsidRPr="0060169D">
        <w:t>[</w:t>
      </w:r>
      <w:r>
        <w:t>9</w:t>
      </w:r>
      <w:r w:rsidRPr="0060169D">
        <w:t xml:space="preserve">3] </w:t>
      </w:r>
      <w:r w:rsidRPr="0060169D">
        <w:rPr>
          <w:i/>
          <w:iCs/>
        </w:rPr>
        <w:t>Structure et fonctionnement des écosystèmes benthiques marins</w:t>
      </w:r>
      <w:r w:rsidRPr="0060169D">
        <w:t xml:space="preserve">, Charles F. Boudouresque, Centre d'Océanologie de Marseille, </w:t>
      </w:r>
      <w:hyperlink r:id="rId3863" w:history="1">
        <w:r w:rsidRPr="0060169D">
          <w:rPr>
            <w:rStyle w:val="Lienhypertexte"/>
          </w:rPr>
          <w:t>http://www.com.univ-mrs.fr/~boudouresque/Documents_enseignement/Ecosystemes_MPO_4_Mangrove_web_2010.pdf</w:t>
        </w:r>
      </w:hyperlink>
      <w:r w:rsidRPr="0060169D">
        <w:t xml:space="preserve"> </w:t>
      </w:r>
    </w:p>
    <w:p w14:paraId="1D476D35" w14:textId="147FAE6D" w:rsidR="0060169D" w:rsidRPr="0060169D" w:rsidRDefault="0060169D" w:rsidP="0060169D">
      <w:pPr>
        <w:spacing w:after="0" w:line="240" w:lineRule="auto"/>
      </w:pPr>
      <w:r w:rsidRPr="0060169D">
        <w:t>[</w:t>
      </w:r>
      <w:r>
        <w:t>9</w:t>
      </w:r>
      <w:r w:rsidRPr="0060169D">
        <w:t xml:space="preserve">4] </w:t>
      </w:r>
      <w:r w:rsidRPr="0060169D">
        <w:rPr>
          <w:i/>
          <w:iCs/>
        </w:rPr>
        <w:t xml:space="preserve">Écologie de la Forêt de Palétuviers </w:t>
      </w:r>
      <w:r w:rsidRPr="0060169D">
        <w:t xml:space="preserve">[une introduction], </w:t>
      </w:r>
      <w:hyperlink r:id="rId3864" w:history="1">
        <w:r w:rsidRPr="0060169D">
          <w:rPr>
            <w:rStyle w:val="Lienhypertexte"/>
          </w:rPr>
          <w:t>http://sxm.sea.free.fr/sea-Mangrov-ecologie.htm</w:t>
        </w:r>
      </w:hyperlink>
      <w:r w:rsidRPr="0060169D">
        <w:t xml:space="preserve"> </w:t>
      </w:r>
    </w:p>
    <w:p w14:paraId="5835563B" w14:textId="4AC6ADDC" w:rsidR="0060169D" w:rsidRPr="0060169D" w:rsidRDefault="0060169D" w:rsidP="0060169D">
      <w:pPr>
        <w:spacing w:after="0" w:line="240" w:lineRule="auto"/>
      </w:pPr>
      <w:r w:rsidRPr="0060169D">
        <w:rPr>
          <w:lang w:val="it-IT"/>
        </w:rPr>
        <w:t>[</w:t>
      </w:r>
      <w:r>
        <w:rPr>
          <w:lang w:val="it-IT"/>
        </w:rPr>
        <w:t>95</w:t>
      </w:r>
      <w:r w:rsidRPr="0060169D">
        <w:rPr>
          <w:lang w:val="it-IT"/>
        </w:rPr>
        <w:t xml:space="preserve">] </w:t>
      </w:r>
      <w:r w:rsidRPr="0060169D">
        <w:rPr>
          <w:i/>
          <w:iCs/>
        </w:rPr>
        <w:t xml:space="preserve">The Code of Practice for Mangrove Harvesting </w:t>
      </w:r>
      <w:r w:rsidRPr="0060169D">
        <w:t xml:space="preserve">[règles des bonnes pratiques pour la gestion de la mangrove], </w:t>
      </w:r>
      <w:hyperlink r:id="rId3865" w:history="1">
        <w:r w:rsidRPr="0060169D">
          <w:rPr>
            <w:rStyle w:val="Lienhypertexte"/>
          </w:rPr>
          <w:t>http://www.gcca.eu/sites/default/files/catherine.paul/code_of_practice_for_mangrove_harvesting_2011.pdf</w:t>
        </w:r>
      </w:hyperlink>
      <w:r w:rsidRPr="0060169D">
        <w:t xml:space="preserve"> </w:t>
      </w:r>
    </w:p>
    <w:p w14:paraId="1139F652" w14:textId="497D766A" w:rsidR="0060169D" w:rsidRPr="0060169D" w:rsidRDefault="0060169D" w:rsidP="0060169D">
      <w:pPr>
        <w:spacing w:after="0" w:line="240" w:lineRule="auto"/>
      </w:pPr>
      <w:r w:rsidRPr="0060169D">
        <w:t>[</w:t>
      </w:r>
      <w:r>
        <w:t>96</w:t>
      </w:r>
      <w:r w:rsidRPr="0060169D">
        <w:t xml:space="preserve">] </w:t>
      </w:r>
      <w:r w:rsidRPr="0060169D">
        <w:rPr>
          <w:i/>
          <w:iCs/>
        </w:rPr>
        <w:t>Guyana Mangrove Nursery Manual,</w:t>
      </w:r>
      <w:r w:rsidRPr="0060169D">
        <w:t xml:space="preserve"> </w:t>
      </w:r>
      <w:r w:rsidRPr="0060169D">
        <w:rPr>
          <w:i/>
          <w:iCs/>
        </w:rPr>
        <w:t xml:space="preserve">March 2011 </w:t>
      </w:r>
      <w:r w:rsidRPr="0060169D">
        <w:t xml:space="preserve">[Manuel de plantation en pépinière des palétuviers, Guyana, mars 2011], </w:t>
      </w:r>
      <w:hyperlink r:id="rId3866" w:history="1">
        <w:r w:rsidRPr="0060169D">
          <w:rPr>
            <w:rStyle w:val="Lienhypertexte"/>
          </w:rPr>
          <w:t>http://www.gcca.eu/sites/default/files/catherine.paul/guyana_mangrove_nursery_manual_2011.pdf</w:t>
        </w:r>
      </w:hyperlink>
      <w:r w:rsidRPr="0060169D">
        <w:t xml:space="preserve"> </w:t>
      </w:r>
    </w:p>
    <w:p w14:paraId="77AB55F1" w14:textId="222979F9" w:rsidR="0060169D" w:rsidRPr="0060169D" w:rsidRDefault="0060169D" w:rsidP="0060169D">
      <w:pPr>
        <w:spacing w:after="0" w:line="240" w:lineRule="auto"/>
      </w:pPr>
      <w:r w:rsidRPr="0060169D">
        <w:t>[</w:t>
      </w:r>
      <w:r>
        <w:t>97</w:t>
      </w:r>
      <w:r w:rsidRPr="0060169D">
        <w:t xml:space="preserve">] </w:t>
      </w:r>
      <w:r w:rsidRPr="0060169D">
        <w:rPr>
          <w:i/>
          <w:iCs/>
        </w:rPr>
        <w:t xml:space="preserve">Community Involvement in Mangrove Restoration, Guyana, South America </w:t>
      </w:r>
      <w:r w:rsidRPr="0060169D">
        <w:t xml:space="preserve">[Participation de la Communauté à la restauration des mangroves, le Guyana, en Amérique du Sud], </w:t>
      </w:r>
      <w:hyperlink r:id="rId3867" w:history="1">
        <w:r w:rsidRPr="0060169D">
          <w:rPr>
            <w:rStyle w:val="Lienhypertexte"/>
          </w:rPr>
          <w:t>http://www.mangrovesgy.org/home/images/stories/Documents/MSc%20Dissertation_FINAL_Nov2010.pdf</w:t>
        </w:r>
      </w:hyperlink>
      <w:r w:rsidRPr="0060169D">
        <w:t xml:space="preserve"> </w:t>
      </w:r>
    </w:p>
    <w:p w14:paraId="030CFA90" w14:textId="2C38FAA8" w:rsidR="0060169D" w:rsidRPr="0060169D" w:rsidRDefault="0060169D" w:rsidP="0060169D">
      <w:pPr>
        <w:spacing w:after="0" w:line="240" w:lineRule="auto"/>
      </w:pPr>
      <w:r w:rsidRPr="0060169D">
        <w:t>[9</w:t>
      </w:r>
      <w:r>
        <w:t>8</w:t>
      </w:r>
      <w:r w:rsidRPr="0060169D">
        <w:t xml:space="preserve">] </w:t>
      </w:r>
      <w:r w:rsidRPr="0060169D">
        <w:rPr>
          <w:i/>
          <w:iCs/>
        </w:rPr>
        <w:t xml:space="preserve">Mangrove Forest Guide </w:t>
      </w:r>
      <w:r w:rsidRPr="0060169D">
        <w:t xml:space="preserve">[Guide de forêt de palétuviers], </w:t>
      </w:r>
      <w:hyperlink r:id="rId3868" w:history="1">
        <w:r w:rsidRPr="0060169D">
          <w:rPr>
            <w:rStyle w:val="Lienhypertexte"/>
          </w:rPr>
          <w:t>http://www.mangrovesgy.org/home/images/stories/Documents/Mangrove%20Forest%20Guide.pdf</w:t>
        </w:r>
      </w:hyperlink>
      <w:r w:rsidRPr="0060169D">
        <w:t xml:space="preserve"> </w:t>
      </w:r>
    </w:p>
    <w:p w14:paraId="23F50B1B" w14:textId="3CD30C62" w:rsidR="0060169D" w:rsidRPr="0060169D" w:rsidRDefault="0060169D" w:rsidP="0060169D">
      <w:pPr>
        <w:spacing w:after="0" w:line="240" w:lineRule="auto"/>
      </w:pPr>
      <w:r w:rsidRPr="0060169D">
        <w:t>[</w:t>
      </w:r>
      <w:r>
        <w:t>99</w:t>
      </w:r>
      <w:r w:rsidRPr="0060169D">
        <w:t xml:space="preserve">] </w:t>
      </w:r>
      <w:r w:rsidRPr="0060169D">
        <w:rPr>
          <w:i/>
          <w:iCs/>
        </w:rPr>
        <w:t xml:space="preserve">WHAT ABOUT the Guyana Mangrove Restoration Project </w:t>
      </w:r>
      <w:r w:rsidRPr="0060169D">
        <w:t xml:space="preserve">[Qu'est-ce que le projet de restauration des mangroves du Guyana ?], </w:t>
      </w:r>
      <w:hyperlink r:id="rId3869" w:history="1">
        <w:r w:rsidRPr="0060169D">
          <w:rPr>
            <w:rStyle w:val="Lienhypertexte"/>
          </w:rPr>
          <w:t>http://www.mangrovesgy.org/home/images/stories/Documents/Pc_Project%20brochure.pdf</w:t>
        </w:r>
      </w:hyperlink>
      <w:r w:rsidRPr="0060169D">
        <w:t xml:space="preserve"> </w:t>
      </w:r>
    </w:p>
    <w:p w14:paraId="0AB7C569" w14:textId="0FA33373" w:rsidR="0060169D" w:rsidRPr="0060169D" w:rsidRDefault="0060169D" w:rsidP="0060169D">
      <w:pPr>
        <w:spacing w:after="0" w:line="240" w:lineRule="auto"/>
      </w:pPr>
      <w:r w:rsidRPr="0060169D">
        <w:t>[1</w:t>
      </w:r>
      <w:r>
        <w:t>00</w:t>
      </w:r>
      <w:r w:rsidRPr="0060169D">
        <w:t xml:space="preserve">] </w:t>
      </w:r>
      <w:r w:rsidRPr="0060169D">
        <w:rPr>
          <w:i/>
          <w:iCs/>
        </w:rPr>
        <w:t xml:space="preserve">What Better Ways to Help Protect and Use Mangroves </w:t>
      </w:r>
      <w:r w:rsidRPr="0060169D">
        <w:t xml:space="preserve">[Quelles sont les meilleures façons pour aider à protéger et à utiliser les mangroves ?], </w:t>
      </w:r>
    </w:p>
    <w:p w14:paraId="471CF2E9" w14:textId="77777777" w:rsidR="0060169D" w:rsidRPr="0060169D" w:rsidRDefault="00000000" w:rsidP="0060169D">
      <w:pPr>
        <w:spacing w:after="0" w:line="240" w:lineRule="auto"/>
      </w:pPr>
      <w:hyperlink r:id="rId3870" w:history="1">
        <w:r w:rsidR="0060169D" w:rsidRPr="0060169D">
          <w:rPr>
            <w:rStyle w:val="Lienhypertexte"/>
          </w:rPr>
          <w:t>http://www.mangrovesgy.org/home/images/stories/Documents/Public%20Awareness/Do%20and%20dont%20with%20pics.pdf</w:t>
        </w:r>
      </w:hyperlink>
      <w:r w:rsidR="0060169D" w:rsidRPr="0060169D">
        <w:t xml:space="preserve"> </w:t>
      </w:r>
    </w:p>
    <w:p w14:paraId="3C9F9D1A" w14:textId="3BE6012A" w:rsidR="0060169D" w:rsidRPr="0060169D" w:rsidRDefault="0060169D" w:rsidP="0060169D">
      <w:pPr>
        <w:spacing w:after="0" w:line="240" w:lineRule="auto"/>
        <w:rPr>
          <w:lang w:val="en-GB"/>
        </w:rPr>
      </w:pPr>
      <w:r w:rsidRPr="0060169D">
        <w:rPr>
          <w:lang w:val="it-IT"/>
        </w:rPr>
        <w:t>[1</w:t>
      </w:r>
      <w:r>
        <w:rPr>
          <w:lang w:val="it-IT"/>
        </w:rPr>
        <w:t>01</w:t>
      </w:r>
      <w:r w:rsidRPr="0060169D">
        <w:rPr>
          <w:lang w:val="it-IT"/>
        </w:rPr>
        <w:t xml:space="preserve">] </w:t>
      </w:r>
      <w:r w:rsidRPr="0060169D">
        <w:rPr>
          <w:lang w:val="en-US"/>
        </w:rPr>
        <w:t xml:space="preserve">Ravishankar, T. and R. Ramasubramanian. 2004. </w:t>
      </w:r>
      <w:r w:rsidRPr="0060169D">
        <w:rPr>
          <w:i/>
          <w:iCs/>
          <w:lang w:val="en-US"/>
        </w:rPr>
        <w:t>Manual on mangrove nursery techniques</w:t>
      </w:r>
      <w:r w:rsidRPr="0060169D">
        <w:rPr>
          <w:lang w:val="en-US"/>
        </w:rPr>
        <w:t xml:space="preserve">. M.S., Swaminathan Research Foundation; Chennai, India. pp 48. India Canada Environment Facility </w:t>
      </w:r>
      <w:r w:rsidRPr="0060169D">
        <w:rPr>
          <w:lang w:val="en-GB"/>
        </w:rPr>
        <w:t xml:space="preserve">(ICEF), New Delhi, </w:t>
      </w:r>
      <w:hyperlink r:id="rId3871" w:history="1">
        <w:r w:rsidRPr="0060169D">
          <w:rPr>
            <w:rStyle w:val="Lienhypertexte"/>
            <w:lang w:val="en-GB"/>
          </w:rPr>
          <w:t>http://www.drcsc.org/VET/library/Nursery/Mangrove_Nursery_manual_HR.pdf</w:t>
        </w:r>
      </w:hyperlink>
      <w:r w:rsidRPr="0060169D">
        <w:rPr>
          <w:lang w:val="en-GB"/>
        </w:rPr>
        <w:t xml:space="preserve">  </w:t>
      </w:r>
    </w:p>
    <w:p w14:paraId="525ABAB9" w14:textId="65A5B486" w:rsidR="0060169D" w:rsidRDefault="0060169D" w:rsidP="0060169D">
      <w:pPr>
        <w:spacing w:after="0" w:line="240" w:lineRule="auto"/>
        <w:rPr>
          <w:lang w:val="it-IT"/>
        </w:rPr>
      </w:pPr>
      <w:r w:rsidRPr="0060169D">
        <w:t>[1</w:t>
      </w:r>
      <w:r>
        <w:t>02</w:t>
      </w:r>
      <w:r w:rsidRPr="0060169D">
        <w:t xml:space="preserve">] </w:t>
      </w:r>
      <w:r w:rsidRPr="0060169D">
        <w:rPr>
          <w:i/>
          <w:iCs/>
          <w:lang w:val="it-IT"/>
        </w:rPr>
        <w:t>Ecological Mangrove Rehabilitation - Mangrove Restoration</w:t>
      </w:r>
      <w:r w:rsidRPr="0060169D">
        <w:rPr>
          <w:lang w:val="it-IT"/>
        </w:rPr>
        <w:t xml:space="preserve">, </w:t>
      </w:r>
      <w:hyperlink r:id="rId3872" w:history="1">
        <w:r w:rsidRPr="0060169D">
          <w:rPr>
            <w:rStyle w:val="Lienhypertexte"/>
            <w:lang w:val="it-IT"/>
          </w:rPr>
          <w:t>http://www.mangroverestoration.com/pdfs/Final%20PDF%20-%20Whole%20EMR%20Manual.pdf</w:t>
        </w:r>
      </w:hyperlink>
      <w:r w:rsidRPr="0060169D">
        <w:rPr>
          <w:lang w:val="it-IT"/>
        </w:rPr>
        <w:t xml:space="preserve"> [manuel d’un niveau</w:t>
      </w:r>
      <w:r w:rsidR="0098690C">
        <w:rPr>
          <w:lang w:val="it-IT"/>
        </w:rPr>
        <w:t xml:space="preserve"> plutôt</w:t>
      </w:r>
      <w:r w:rsidRPr="0060169D">
        <w:rPr>
          <w:lang w:val="it-IT"/>
        </w:rPr>
        <w:t xml:space="preserve"> ardu].</w:t>
      </w:r>
    </w:p>
    <w:p w14:paraId="210B77FC" w14:textId="5006C953" w:rsidR="00FB70A6" w:rsidRDefault="00FB70A6" w:rsidP="0060169D">
      <w:pPr>
        <w:spacing w:after="0" w:line="240" w:lineRule="auto"/>
        <w:rPr>
          <w:lang w:val="it-IT"/>
        </w:rPr>
      </w:pPr>
    </w:p>
    <w:p w14:paraId="2F6659A2" w14:textId="47AD2177" w:rsidR="00FB70A6" w:rsidRDefault="00FB70A6" w:rsidP="0060169D">
      <w:pPr>
        <w:spacing w:after="0" w:line="240" w:lineRule="auto"/>
        <w:rPr>
          <w:lang w:val="it-IT"/>
        </w:rPr>
      </w:pPr>
      <w:r>
        <w:rPr>
          <w:lang w:val="it-IT"/>
        </w:rPr>
        <w:t>Menaces sur les mangroves :</w:t>
      </w:r>
    </w:p>
    <w:p w14:paraId="57E9AB18" w14:textId="3A55A1E5" w:rsidR="00FB70A6" w:rsidRDefault="00FB70A6" w:rsidP="0060169D">
      <w:pPr>
        <w:spacing w:after="0" w:line="240" w:lineRule="auto"/>
        <w:rPr>
          <w:lang w:val="it-IT"/>
        </w:rPr>
      </w:pPr>
    </w:p>
    <w:p w14:paraId="214CD556" w14:textId="16AC534D" w:rsidR="00FB70A6" w:rsidRPr="00FB70A6" w:rsidRDefault="00FB70A6" w:rsidP="00FB70A6">
      <w:pPr>
        <w:spacing w:after="0" w:line="240" w:lineRule="auto"/>
        <w:rPr>
          <w:lang w:val="it-IT"/>
        </w:rPr>
      </w:pPr>
      <w:r>
        <w:rPr>
          <w:lang w:val="it-IT"/>
        </w:rPr>
        <w:t xml:space="preserve">[103] </w:t>
      </w:r>
      <w:r w:rsidRPr="00FB70A6">
        <w:rPr>
          <w:i/>
          <w:iCs/>
          <w:lang w:val="it-IT"/>
        </w:rPr>
        <w:t>Wildlife &amp; biodiversity. Bhitarkanika will die if freshwater extraction by industries continues: Activist</w:t>
      </w:r>
      <w:r w:rsidRPr="00FB70A6">
        <w:rPr>
          <w:lang w:val="it-IT"/>
        </w:rPr>
        <w:t xml:space="preserve">, Ashis Senapati, 03/09/2021, </w:t>
      </w:r>
      <w:hyperlink r:id="rId3873" w:history="1">
        <w:r w:rsidRPr="00EF49E5">
          <w:rPr>
            <w:rStyle w:val="Lienhypertexte"/>
            <w:lang w:val="it-IT"/>
          </w:rPr>
          <w:t>https://www.downtoearth.org.in/news/wildlife-biodiversity/bhitarkanika-will-die-if-freshwater-extraction-by-industries-continues-activist-78828</w:t>
        </w:r>
      </w:hyperlink>
      <w:r>
        <w:rPr>
          <w:lang w:val="it-IT"/>
        </w:rPr>
        <w:t xml:space="preserve"> </w:t>
      </w:r>
    </w:p>
    <w:p w14:paraId="0230906F" w14:textId="51D2AAD2" w:rsidR="00FB70A6" w:rsidRDefault="00FB70A6" w:rsidP="00FB70A6">
      <w:pPr>
        <w:spacing w:after="0" w:line="240" w:lineRule="auto"/>
        <w:rPr>
          <w:lang w:val="it-IT"/>
        </w:rPr>
      </w:pPr>
      <w:r w:rsidRPr="00FB70A6">
        <w:rPr>
          <w:lang w:val="it-IT"/>
        </w:rPr>
        <w:t>Bhitarkanika, the second-largest mangrove forest in India will be destroyed if freshwater continues to be extracted from the Brahmani river basin</w:t>
      </w:r>
      <w:r w:rsidR="00B05E0C">
        <w:rPr>
          <w:lang w:val="it-IT"/>
        </w:rPr>
        <w:t>.</w:t>
      </w:r>
    </w:p>
    <w:p w14:paraId="19F00C43" w14:textId="2913353E" w:rsidR="00B05E0C" w:rsidRDefault="00B05E0C" w:rsidP="00FB70A6">
      <w:pPr>
        <w:spacing w:after="0" w:line="240" w:lineRule="auto"/>
        <w:rPr>
          <w:lang w:val="it-IT"/>
        </w:rPr>
      </w:pPr>
    </w:p>
    <w:p w14:paraId="60EE4943" w14:textId="793B854A" w:rsidR="00B05E0C" w:rsidRDefault="00B05E0C" w:rsidP="00B05E0C">
      <w:pPr>
        <w:pStyle w:val="Titre2"/>
        <w:rPr>
          <w:lang w:val="it-IT"/>
        </w:rPr>
      </w:pPr>
      <w:bookmarkStart w:id="366" w:name="_Toc139181657"/>
      <w:r>
        <w:rPr>
          <w:lang w:val="it-IT"/>
        </w:rPr>
        <w:t>Champignons, mycorrhyse et Mycorrhysation</w:t>
      </w:r>
      <w:bookmarkEnd w:id="366"/>
    </w:p>
    <w:p w14:paraId="1292C313" w14:textId="23527B0F" w:rsidR="00B05E0C" w:rsidRDefault="00B05E0C" w:rsidP="00FB70A6">
      <w:pPr>
        <w:spacing w:after="0" w:line="240" w:lineRule="auto"/>
        <w:rPr>
          <w:lang w:val="it-IT"/>
        </w:rPr>
      </w:pPr>
    </w:p>
    <w:p w14:paraId="7522F8CB" w14:textId="2EB29D79" w:rsidR="00B05E0C" w:rsidRDefault="00B05E0C" w:rsidP="00B05E0C">
      <w:pPr>
        <w:spacing w:after="0" w:line="240" w:lineRule="auto"/>
      </w:pPr>
      <w:r w:rsidRPr="00B05E0C">
        <w:rPr>
          <w:i/>
          <w:iCs/>
        </w:rPr>
        <w:t>Base de données sur les champignons, y compris pour les mycorhizes</w:t>
      </w:r>
      <w:r w:rsidRPr="00B05E0C">
        <w:rPr>
          <w:u w:val="single"/>
        </w:rPr>
        <w:t xml:space="preserve"> </w:t>
      </w:r>
      <w:r w:rsidRPr="00B05E0C">
        <w:t>:</w:t>
      </w:r>
    </w:p>
    <w:p w14:paraId="154FF118" w14:textId="77777777" w:rsidR="00B05E0C" w:rsidRPr="00B05E0C" w:rsidRDefault="00B05E0C" w:rsidP="00B05E0C">
      <w:pPr>
        <w:spacing w:after="0" w:line="240" w:lineRule="auto"/>
      </w:pPr>
    </w:p>
    <w:p w14:paraId="59AF6E38" w14:textId="77777777" w:rsidR="00B05E0C" w:rsidRPr="00B05E0C" w:rsidRDefault="00B05E0C" w:rsidP="00B05E0C">
      <w:pPr>
        <w:spacing w:after="0" w:line="240" w:lineRule="auto"/>
        <w:rPr>
          <w:lang w:val="en-GB"/>
        </w:rPr>
      </w:pPr>
      <w:r w:rsidRPr="00B05E0C">
        <w:rPr>
          <w:lang w:val="en-GB"/>
        </w:rPr>
        <w:t xml:space="preserve">CBS-KNAW Fungal Biodiversity Centre, </w:t>
      </w:r>
      <w:hyperlink r:id="rId3874" w:history="1">
        <w:r w:rsidRPr="00B05E0C">
          <w:rPr>
            <w:rStyle w:val="Lienhypertexte"/>
            <w:lang w:val="en-GB"/>
          </w:rPr>
          <w:t>http://www.cbs.knaw.nl/Collections/BioloMICS.aspx?Table=CBS%20strain%20database&amp;Rec=11092&amp;Fields=All</w:t>
        </w:r>
      </w:hyperlink>
      <w:r w:rsidRPr="00B05E0C">
        <w:rPr>
          <w:lang w:val="en-GB"/>
        </w:rPr>
        <w:t xml:space="preserve"> </w:t>
      </w:r>
    </w:p>
    <w:p w14:paraId="11222E91" w14:textId="1EDA071B" w:rsidR="00B05E0C" w:rsidRDefault="00B05E0C" w:rsidP="00FB70A6">
      <w:pPr>
        <w:spacing w:after="0" w:line="240" w:lineRule="auto"/>
        <w:rPr>
          <w:lang w:val="en-GB"/>
        </w:rPr>
      </w:pPr>
    </w:p>
    <w:p w14:paraId="572F1530" w14:textId="77777777" w:rsidR="00750795" w:rsidRDefault="00750795" w:rsidP="00750795">
      <w:pPr>
        <w:pStyle w:val="Titre2"/>
        <w:rPr>
          <w:rFonts w:eastAsiaTheme="minorEastAsia"/>
          <w:noProof/>
          <w:lang w:eastAsia="fr-FR"/>
        </w:rPr>
      </w:pPr>
      <w:bookmarkStart w:id="367" w:name="_Toc80876767"/>
      <w:bookmarkStart w:id="368" w:name="_Toc139181658"/>
      <w:r>
        <w:rPr>
          <w:rFonts w:eastAsiaTheme="minorEastAsia"/>
          <w:noProof/>
          <w:lang w:eastAsia="fr-FR"/>
        </w:rPr>
        <w:t>Base de données documentaire pour le développement durable de pays en voie de développement</w:t>
      </w:r>
      <w:bookmarkEnd w:id="367"/>
      <w:bookmarkEnd w:id="368"/>
    </w:p>
    <w:p w14:paraId="2D4F52FA" w14:textId="5D730CB6" w:rsidR="00750795" w:rsidRDefault="00750795" w:rsidP="00FB70A6">
      <w:pPr>
        <w:spacing w:after="0" w:line="240" w:lineRule="auto"/>
      </w:pPr>
    </w:p>
    <w:p w14:paraId="66A3F4D5" w14:textId="5080A0AC" w:rsidR="00750795" w:rsidRPr="005C0D3C" w:rsidRDefault="00750795" w:rsidP="00DA3C46">
      <w:pPr>
        <w:pStyle w:val="Paragraphedeliste"/>
        <w:numPr>
          <w:ilvl w:val="0"/>
          <w:numId w:val="84"/>
        </w:numPr>
        <w:spacing w:after="0" w:line="240" w:lineRule="auto"/>
        <w:ind w:left="426"/>
        <w:contextualSpacing w:val="0"/>
        <w:rPr>
          <w:rFonts w:ascii="Calibri" w:eastAsia="Times New Roman" w:hAnsi="Calibri" w:cs="Calibri"/>
          <w:lang w:eastAsia="fr-FR"/>
        </w:rPr>
      </w:pPr>
      <w:r>
        <w:rPr>
          <w:rFonts w:ascii="Calibri" w:eastAsia="Times New Roman" w:hAnsi="Calibri" w:cs="Calibri"/>
          <w:lang w:eastAsia="fr-FR"/>
        </w:rPr>
        <w:t>Adresse</w:t>
      </w:r>
      <w:r w:rsidRPr="005C0D3C">
        <w:rPr>
          <w:rFonts w:ascii="Calibri" w:eastAsia="Times New Roman" w:hAnsi="Calibri" w:cs="Calibri"/>
          <w:lang w:eastAsia="fr-FR"/>
        </w:rPr>
        <w:t xml:space="preserve"> URL Web </w:t>
      </w:r>
      <w:r>
        <w:rPr>
          <w:rFonts w:ascii="Calibri" w:eastAsia="Times New Roman" w:hAnsi="Calibri" w:cs="Calibri"/>
          <w:lang w:eastAsia="fr-FR"/>
        </w:rPr>
        <w:t xml:space="preserve">de </w:t>
      </w:r>
      <w:r w:rsidRPr="005C0D3C">
        <w:rPr>
          <w:rFonts w:ascii="Calibri" w:eastAsia="Times New Roman" w:hAnsi="Calibri" w:cs="Calibri"/>
          <w:lang w:eastAsia="fr-FR"/>
        </w:rPr>
        <w:t xml:space="preserve">cette Base de données: </w:t>
      </w:r>
      <w:hyperlink r:id="rId3875" w:history="1">
        <w:r w:rsidRPr="005C0D3C">
          <w:rPr>
            <w:rStyle w:val="Lienhypertexte"/>
            <w:rFonts w:ascii="Calibri" w:eastAsia="Times New Roman" w:hAnsi="Calibri" w:cs="Calibri"/>
            <w:color w:val="0000FF"/>
            <w:lang w:eastAsia="fr-FR"/>
          </w:rPr>
          <w:t>http://doc-developpement-durable.org/</w:t>
        </w:r>
      </w:hyperlink>
    </w:p>
    <w:p w14:paraId="3AF46AB8" w14:textId="48824860" w:rsidR="00750795" w:rsidRPr="005C0D3C" w:rsidRDefault="00750795" w:rsidP="00DA3C46">
      <w:pPr>
        <w:pStyle w:val="Paragraphedeliste"/>
        <w:numPr>
          <w:ilvl w:val="0"/>
          <w:numId w:val="84"/>
        </w:numPr>
        <w:spacing w:after="0" w:line="240" w:lineRule="auto"/>
        <w:ind w:left="426"/>
        <w:contextualSpacing w:val="0"/>
        <w:rPr>
          <w:rFonts w:ascii="Calibri" w:eastAsia="Times New Roman" w:hAnsi="Calibri" w:cs="Calibri"/>
          <w:lang w:eastAsia="fr-FR"/>
        </w:rPr>
      </w:pPr>
      <w:r>
        <w:rPr>
          <w:rFonts w:ascii="Calibri" w:eastAsia="Times New Roman" w:hAnsi="Calibri" w:cs="Calibri"/>
          <w:lang w:eastAsia="fr-FR"/>
        </w:rPr>
        <w:t xml:space="preserve">Accès URL des </w:t>
      </w:r>
      <w:r w:rsidRPr="005C0D3C">
        <w:rPr>
          <w:rFonts w:ascii="Calibri" w:eastAsia="Times New Roman" w:hAnsi="Calibri" w:cs="Calibri"/>
          <w:lang w:eastAsia="fr-FR"/>
        </w:rPr>
        <w:t>38 470 documents</w:t>
      </w:r>
      <w:r>
        <w:rPr>
          <w:rFonts w:ascii="Calibri" w:eastAsia="Times New Roman" w:hAnsi="Calibri" w:cs="Calibri"/>
          <w:lang w:eastAsia="fr-FR"/>
        </w:rPr>
        <w:t xml:space="preserve"> (un total de 75 Go)</w:t>
      </w:r>
      <w:r w:rsidRPr="005C0D3C">
        <w:rPr>
          <w:rFonts w:ascii="Calibri" w:eastAsia="Times New Roman" w:hAnsi="Calibri" w:cs="Calibri"/>
          <w:lang w:eastAsia="fr-FR"/>
        </w:rPr>
        <w:t>, classés en 2 050 thèmes différents</w:t>
      </w:r>
      <w:r>
        <w:rPr>
          <w:rFonts w:ascii="Calibri" w:eastAsia="Times New Roman" w:hAnsi="Calibri" w:cs="Calibri"/>
          <w:lang w:eastAsia="fr-FR"/>
        </w:rPr>
        <w:t>, de cette base</w:t>
      </w:r>
      <w:r w:rsidRPr="005C0D3C">
        <w:rPr>
          <w:rFonts w:ascii="Calibri" w:eastAsia="Times New Roman" w:hAnsi="Calibri" w:cs="Calibri"/>
          <w:lang w:eastAsia="fr-FR"/>
        </w:rPr>
        <w:t xml:space="preserve"> :  </w:t>
      </w:r>
      <w:hyperlink r:id="rId3876" w:history="1">
        <w:r w:rsidRPr="005C0D3C">
          <w:rPr>
            <w:rStyle w:val="Lienhypertexte"/>
            <w:rFonts w:ascii="Calibri" w:eastAsia="Times New Roman" w:hAnsi="Calibri" w:cs="Calibri"/>
            <w:color w:val="0000FF"/>
            <w:lang w:eastAsia="fr-FR"/>
          </w:rPr>
          <w:t>http://doc-developpement-durable.org/file/</w:t>
        </w:r>
      </w:hyperlink>
      <w:r w:rsidRPr="005C0D3C">
        <w:rPr>
          <w:rFonts w:ascii="Calibri" w:eastAsia="Times New Roman" w:hAnsi="Calibri" w:cs="Calibri"/>
          <w:lang w:eastAsia="fr-FR"/>
        </w:rPr>
        <w:t xml:space="preserve">  </w:t>
      </w:r>
    </w:p>
    <w:p w14:paraId="47B1C7A8" w14:textId="36AA472B" w:rsidR="00750795" w:rsidRPr="005C0D3C" w:rsidRDefault="00750795" w:rsidP="00DA3C46">
      <w:pPr>
        <w:pStyle w:val="Paragraphedeliste"/>
        <w:numPr>
          <w:ilvl w:val="0"/>
          <w:numId w:val="84"/>
        </w:numPr>
        <w:spacing w:after="0" w:line="240" w:lineRule="auto"/>
        <w:ind w:left="426"/>
        <w:contextualSpacing w:val="0"/>
        <w:rPr>
          <w:rFonts w:ascii="Calibri" w:eastAsia="Times New Roman" w:hAnsi="Calibri" w:cs="Calibri"/>
          <w:lang w:eastAsia="fr-FR"/>
        </w:rPr>
      </w:pPr>
      <w:r>
        <w:rPr>
          <w:rFonts w:ascii="Calibri" w:eastAsia="Times New Roman" w:hAnsi="Calibri" w:cs="Calibri"/>
          <w:lang w:eastAsia="fr-FR"/>
        </w:rPr>
        <w:t>Possibilité de</w:t>
      </w:r>
      <w:r w:rsidRPr="005C0D3C">
        <w:rPr>
          <w:rFonts w:ascii="Calibri" w:eastAsia="Times New Roman" w:hAnsi="Calibri" w:cs="Calibri"/>
          <w:lang w:eastAsia="fr-FR"/>
        </w:rPr>
        <w:t xml:space="preserve"> télécharger</w:t>
      </w:r>
      <w:r>
        <w:rPr>
          <w:rStyle w:val="Appelnotedebasdep"/>
          <w:rFonts w:ascii="Calibri" w:eastAsia="Times New Roman" w:hAnsi="Calibri" w:cs="Calibri"/>
          <w:lang w:eastAsia="fr-FR"/>
        </w:rPr>
        <w:footnoteReference w:id="293"/>
      </w:r>
      <w:r w:rsidRPr="005C0D3C">
        <w:rPr>
          <w:rFonts w:ascii="Calibri" w:eastAsia="Times New Roman" w:hAnsi="Calibri" w:cs="Calibri"/>
          <w:lang w:eastAsia="fr-FR"/>
        </w:rPr>
        <w:t xml:space="preserve"> l’intégralité de cette base de données, une copie de cette base de données </w:t>
      </w:r>
      <w:r>
        <w:rPr>
          <w:rFonts w:ascii="Calibri" w:eastAsia="Times New Roman" w:hAnsi="Calibri" w:cs="Calibri"/>
          <w:lang w:eastAsia="fr-FR"/>
        </w:rPr>
        <w:t>étant</w:t>
      </w:r>
      <w:r w:rsidRPr="005C0D3C">
        <w:rPr>
          <w:rFonts w:ascii="Calibri" w:eastAsia="Times New Roman" w:hAnsi="Calibri" w:cs="Calibri"/>
          <w:lang w:eastAsia="fr-FR"/>
        </w:rPr>
        <w:t xml:space="preserve"> stockée dans un partage Web (drive), via </w:t>
      </w:r>
      <w:r w:rsidRPr="005C0D3C">
        <w:rPr>
          <w:rFonts w:ascii="Calibri" w:eastAsia="Times New Roman" w:hAnsi="Calibri" w:cs="Calibri"/>
          <w:b/>
          <w:bCs/>
          <w:lang w:eastAsia="fr-FR"/>
        </w:rPr>
        <w:t>Google drive</w:t>
      </w:r>
      <w:r w:rsidRPr="005C0D3C">
        <w:rPr>
          <w:rFonts w:ascii="Calibri" w:eastAsia="Times New Roman" w:hAnsi="Calibri" w:cs="Calibri"/>
          <w:lang w:eastAsia="fr-FR"/>
        </w:rPr>
        <w:t xml:space="preserve">, </w:t>
      </w:r>
      <w:r>
        <w:rPr>
          <w:rFonts w:ascii="Calibri" w:eastAsia="Times New Roman" w:hAnsi="Calibri" w:cs="Calibri"/>
          <w:lang w:eastAsia="fr-FR"/>
        </w:rPr>
        <w:t>à cette adresse</w:t>
      </w:r>
      <w:r w:rsidRPr="005C0D3C">
        <w:rPr>
          <w:rFonts w:ascii="Calibri" w:eastAsia="Times New Roman" w:hAnsi="Calibri" w:cs="Calibri"/>
          <w:lang w:eastAsia="fr-FR"/>
        </w:rPr>
        <w:t xml:space="preserve"> URL </w:t>
      </w:r>
      <w:r>
        <w:rPr>
          <w:rFonts w:ascii="Calibri" w:eastAsia="Times New Roman" w:hAnsi="Calibri" w:cs="Calibri"/>
          <w:lang w:eastAsia="fr-FR"/>
        </w:rPr>
        <w:t>we</w:t>
      </w:r>
      <w:r w:rsidRPr="005C0D3C">
        <w:rPr>
          <w:rFonts w:ascii="Calibri" w:eastAsia="Times New Roman" w:hAnsi="Calibri" w:cs="Calibri"/>
          <w:lang w:eastAsia="fr-FR"/>
        </w:rPr>
        <w:t xml:space="preserve"> : </w:t>
      </w:r>
      <w:hyperlink r:id="rId3877" w:history="1">
        <w:r w:rsidRPr="005C0D3C">
          <w:rPr>
            <w:rStyle w:val="Lienhypertexte"/>
            <w:rFonts w:ascii="Calibri" w:eastAsia="Times New Roman" w:hAnsi="Calibri" w:cs="Calibri"/>
          </w:rPr>
          <w:t>https://drive.google.com/drive/folders/1N_RzNZoimczmtW_xUBv_NXp32tYpSrja?usp=sharing</w:t>
        </w:r>
      </w:hyperlink>
      <w:r w:rsidRPr="005C0D3C">
        <w:rPr>
          <w:rFonts w:ascii="Calibri" w:eastAsia="Times New Roman" w:hAnsi="Calibri" w:cs="Calibri"/>
        </w:rPr>
        <w:t xml:space="preserve"> </w:t>
      </w:r>
    </w:p>
    <w:p w14:paraId="0A454DC1" w14:textId="57FCC5E4" w:rsidR="00750795" w:rsidRPr="005C0D3C" w:rsidRDefault="00750795" w:rsidP="00DA3C46">
      <w:pPr>
        <w:pStyle w:val="Paragraphedeliste"/>
        <w:numPr>
          <w:ilvl w:val="0"/>
          <w:numId w:val="84"/>
        </w:numPr>
        <w:spacing w:after="0" w:line="240" w:lineRule="auto"/>
        <w:ind w:left="426"/>
        <w:contextualSpacing w:val="0"/>
        <w:rPr>
          <w:rFonts w:ascii="Calibri" w:eastAsia="Times New Roman" w:hAnsi="Calibri" w:cs="Calibri"/>
          <w:lang w:eastAsia="fr-FR"/>
        </w:rPr>
      </w:pPr>
      <w:r w:rsidRPr="005C0D3C">
        <w:rPr>
          <w:rFonts w:ascii="Calibri" w:eastAsia="Times New Roman" w:hAnsi="Calibri" w:cs="Calibri"/>
        </w:rPr>
        <w:t>250 documents et 60 diaporamas de sensibilisation,</w:t>
      </w:r>
      <w:r>
        <w:rPr>
          <w:rFonts w:ascii="Calibri" w:eastAsia="Times New Roman" w:hAnsi="Calibri" w:cs="Calibri"/>
        </w:rPr>
        <w:t xml:space="preserve"> rédigés par</w:t>
      </w:r>
      <w:r w:rsidRPr="005C0D3C">
        <w:rPr>
          <w:rFonts w:ascii="Calibri" w:eastAsia="Times New Roman" w:hAnsi="Calibri" w:cs="Calibri"/>
        </w:rPr>
        <w:t xml:space="preserve"> l’auteur.</w:t>
      </w:r>
    </w:p>
    <w:p w14:paraId="00E2800F" w14:textId="5D10848B" w:rsidR="0060169D" w:rsidRPr="00750795" w:rsidRDefault="0060169D" w:rsidP="00E2695A">
      <w:pPr>
        <w:spacing w:after="0" w:line="240" w:lineRule="auto"/>
      </w:pPr>
    </w:p>
    <w:p w14:paraId="5DB9BA29" w14:textId="578B1279" w:rsidR="00AF091D" w:rsidRDefault="00AF091D" w:rsidP="00AF091D">
      <w:pPr>
        <w:pStyle w:val="Titre2"/>
        <w:rPr>
          <w:lang w:val="en-GB"/>
        </w:rPr>
      </w:pPr>
      <w:bookmarkStart w:id="369" w:name="_Toc139181659"/>
      <w:r w:rsidRPr="00AF091D">
        <w:rPr>
          <w:lang w:val="en-GB"/>
        </w:rPr>
        <w:t>Techniques anti</w:t>
      </w:r>
      <w:r w:rsidR="002319B2">
        <w:rPr>
          <w:lang w:val="en-GB"/>
        </w:rPr>
        <w:t>-</w:t>
      </w:r>
      <w:r w:rsidRPr="00AF091D">
        <w:rPr>
          <w:lang w:val="en-GB"/>
        </w:rPr>
        <w:t>érosives</w:t>
      </w:r>
      <w:bookmarkEnd w:id="369"/>
    </w:p>
    <w:p w14:paraId="16BDF841" w14:textId="01BBD603" w:rsidR="00AF091D" w:rsidRDefault="00AF091D" w:rsidP="00AF091D">
      <w:pPr>
        <w:spacing w:after="0" w:line="240" w:lineRule="auto"/>
        <w:jc w:val="both"/>
        <w:rPr>
          <w:lang w:val="en-GB"/>
        </w:rPr>
      </w:pPr>
    </w:p>
    <w:p w14:paraId="0FD7D8A5" w14:textId="77777777" w:rsidR="00AF091D" w:rsidRPr="00AF091D" w:rsidRDefault="00AF091D" w:rsidP="00EA1BE0">
      <w:pPr>
        <w:spacing w:after="0" w:line="240" w:lineRule="auto"/>
        <w:ind w:left="66"/>
        <w:jc w:val="both"/>
        <w:rPr>
          <w:lang w:val="es-AR"/>
        </w:rPr>
      </w:pPr>
      <w:r w:rsidRPr="00AF091D">
        <w:rPr>
          <w:i/>
          <w:iCs/>
        </w:rPr>
        <w:t>La lutte contre la désertification dans les microprojets de développement dans le Sahel - Techniques et coûts associés, techniques d'adaptation aux changements climatiques</w:t>
      </w:r>
      <w:r w:rsidRPr="00AF091D">
        <w:t xml:space="preserve">, B. Reysset &amp; Ph. </w:t>
      </w:r>
      <w:r w:rsidRPr="00AF091D">
        <w:rPr>
          <w:lang w:val="es-AR"/>
        </w:rPr>
        <w:t xml:space="preserve">Zoungrana, ILSS/IREMLCD-2008, </w:t>
      </w:r>
      <w:hyperlink r:id="rId3878" w:history="1">
        <w:r w:rsidRPr="00AF091D">
          <w:rPr>
            <w:rStyle w:val="Lienhypertexte"/>
            <w:lang w:val="es-AR"/>
          </w:rPr>
          <w:t>http://www.cilss.bf/publications/upload/techniquesadaptationchangementsclimatiques.pdf</w:t>
        </w:r>
      </w:hyperlink>
      <w:r w:rsidRPr="00AF091D">
        <w:rPr>
          <w:lang w:val="es-AR"/>
        </w:rPr>
        <w:t xml:space="preserve"> </w:t>
      </w:r>
    </w:p>
    <w:p w14:paraId="669EE737" w14:textId="77777777" w:rsidR="00AF091D" w:rsidRPr="00AF091D" w:rsidRDefault="00AF091D" w:rsidP="00EA1BE0">
      <w:pPr>
        <w:spacing w:after="0" w:line="240" w:lineRule="auto"/>
        <w:ind w:left="66"/>
        <w:jc w:val="both"/>
      </w:pPr>
      <w:r w:rsidRPr="00AF091D">
        <w:rPr>
          <w:i/>
          <w:iCs/>
        </w:rPr>
        <w:t>Erosion hydrique</w:t>
      </w:r>
      <w:r w:rsidRPr="00AF091D">
        <w:t xml:space="preserve">, </w:t>
      </w:r>
      <w:hyperlink r:id="rId3879" w:history="1">
        <w:r w:rsidRPr="00AF091D">
          <w:rPr>
            <w:rStyle w:val="Lienhypertexte"/>
          </w:rPr>
          <w:t>http://www.ma.auf.org/erosion/chapitre1/VI.Lutte.html</w:t>
        </w:r>
      </w:hyperlink>
      <w:r w:rsidRPr="00AF091D">
        <w:t xml:space="preserve"> </w:t>
      </w:r>
    </w:p>
    <w:p w14:paraId="79190870" w14:textId="000DE3A7" w:rsidR="00AF091D" w:rsidRPr="00C61D79" w:rsidRDefault="00C61D79" w:rsidP="00EA1BE0">
      <w:pPr>
        <w:spacing w:after="0" w:line="240" w:lineRule="auto"/>
        <w:ind w:left="66"/>
        <w:jc w:val="both"/>
      </w:pPr>
      <w:r w:rsidRPr="00C61D79">
        <w:rPr>
          <w:i/>
          <w:iCs/>
        </w:rPr>
        <w:t>Dimensionnement d’une noue</w:t>
      </w:r>
      <w:r>
        <w:t>,</w:t>
      </w:r>
      <w:r w:rsidR="00AF091D" w:rsidRPr="00AF091D">
        <w:t xml:space="preserve"> </w:t>
      </w:r>
      <w:hyperlink r:id="rId3880" w:history="1">
        <w:r w:rsidR="00AF091D" w:rsidRPr="00AF091D">
          <w:rPr>
            <w:rStyle w:val="Lienhypertexte"/>
          </w:rPr>
          <w:t>http://www.arpentnourricier.org/dimensionnement-dune-noue-swale/</w:t>
        </w:r>
      </w:hyperlink>
      <w:r w:rsidR="00AF091D" w:rsidRPr="00AF091D">
        <w:t xml:space="preserve"> </w:t>
      </w:r>
    </w:p>
    <w:p w14:paraId="472C9760" w14:textId="1F28EC9F" w:rsidR="00EA7565" w:rsidRDefault="00EA7565" w:rsidP="00EA1BE0">
      <w:pPr>
        <w:spacing w:after="0" w:line="240" w:lineRule="auto"/>
        <w:ind w:left="66"/>
        <w:jc w:val="both"/>
      </w:pPr>
      <w:r w:rsidRPr="001F320F">
        <w:rPr>
          <w:i/>
          <w:iCs/>
        </w:rPr>
        <w:t>Les techniques traditionnelles de GCES et de restauration de la productivité des sols au Rwanda</w:t>
      </w:r>
      <w:r>
        <w:t xml:space="preserve">, François Ndayizigiye, </w:t>
      </w:r>
      <w:hyperlink r:id="rId3881" w:history="1">
        <w:r w:rsidR="001F320F" w:rsidRPr="00EE130C">
          <w:rPr>
            <w:rStyle w:val="Lienhypertexte"/>
          </w:rPr>
          <w:t>https://books.openedition.org/irdeditions/12893?lang=fr</w:t>
        </w:r>
      </w:hyperlink>
      <w:r w:rsidR="001F320F">
        <w:t xml:space="preserve"> </w:t>
      </w:r>
    </w:p>
    <w:p w14:paraId="14B80A61" w14:textId="530C2EDF" w:rsidR="00EA7565" w:rsidRDefault="00EA7565" w:rsidP="00EA1BE0">
      <w:pPr>
        <w:spacing w:after="0" w:line="240" w:lineRule="auto"/>
        <w:ind w:left="66"/>
        <w:jc w:val="both"/>
      </w:pPr>
      <w:r w:rsidRPr="001F320F">
        <w:rPr>
          <w:i/>
          <w:iCs/>
        </w:rPr>
        <w:t>Quelques techniques antiérosives appropriées aux régions tropicales</w:t>
      </w:r>
      <w:r>
        <w:t xml:space="preserve">, ROOSE (E.J.), ORSTOM &amp; IITA, Labo de pédologie, 4 juillet 1975, </w:t>
      </w:r>
      <w:hyperlink r:id="rId3882" w:history="1">
        <w:r w:rsidR="001F320F" w:rsidRPr="00EE130C">
          <w:rPr>
            <w:rStyle w:val="Lienhypertexte"/>
          </w:rPr>
          <w:t>https://core.ac.uk/download/pdf/39882097.pdf</w:t>
        </w:r>
      </w:hyperlink>
      <w:r w:rsidR="001F320F">
        <w:t xml:space="preserve"> </w:t>
      </w:r>
    </w:p>
    <w:p w14:paraId="7372F02B" w14:textId="0FFECF9E" w:rsidR="00EA7565" w:rsidRDefault="00EA7565" w:rsidP="00EA1BE0">
      <w:pPr>
        <w:spacing w:after="0" w:line="240" w:lineRule="auto"/>
        <w:ind w:left="66"/>
        <w:jc w:val="both"/>
      </w:pPr>
      <w:r w:rsidRPr="001F320F">
        <w:rPr>
          <w:i/>
          <w:iCs/>
        </w:rPr>
        <w:t>Les pratiques antiérosives</w:t>
      </w:r>
      <w:r>
        <w:t xml:space="preserve">, FAO, </w:t>
      </w:r>
      <w:hyperlink r:id="rId3883" w:history="1">
        <w:r w:rsidR="001F320F" w:rsidRPr="00EE130C">
          <w:rPr>
            <w:rStyle w:val="Lienhypertexte"/>
          </w:rPr>
          <w:t>http://www.fao.org/3/T1765F/t1765f0o.htm</w:t>
        </w:r>
      </w:hyperlink>
      <w:r w:rsidR="001F320F">
        <w:t xml:space="preserve"> </w:t>
      </w:r>
    </w:p>
    <w:p w14:paraId="1B74A606" w14:textId="2E00B445" w:rsidR="00EA7565" w:rsidRDefault="00EA7565" w:rsidP="00EA1BE0">
      <w:pPr>
        <w:spacing w:after="0" w:line="240" w:lineRule="auto"/>
        <w:ind w:left="66"/>
        <w:jc w:val="both"/>
      </w:pPr>
      <w:r w:rsidRPr="001F320F">
        <w:rPr>
          <w:i/>
          <w:iCs/>
        </w:rPr>
        <w:t>Valorisation des techniques anti-érosives traditionnelles en milieu sahélien : les micro-barrages en sacs de sable (Tahoua, Niger)</w:t>
      </w:r>
      <w:r>
        <w:t xml:space="preserve"> / The development of traditional anti-erosion techniques in the Sahel : micro-dams made of sand bags (Tahoua, Niger), Bouzou Moussan Revue de Géographie Alpine, Année 1997, 85-1, pp. 87-99, </w:t>
      </w:r>
      <w:hyperlink r:id="rId3884" w:history="1">
        <w:r w:rsidRPr="00EE130C">
          <w:rPr>
            <w:rStyle w:val="Lienhypertexte"/>
          </w:rPr>
          <w:t>https://www.persee.fr/doc/rga_0035-1121_1997_num_85_1_3902</w:t>
        </w:r>
      </w:hyperlink>
      <w:r>
        <w:t xml:space="preserve"> </w:t>
      </w:r>
    </w:p>
    <w:p w14:paraId="6511E628" w14:textId="37B06423" w:rsidR="00EA7565" w:rsidRDefault="00EA7565" w:rsidP="00EA1BE0">
      <w:pPr>
        <w:spacing w:after="0" w:line="240" w:lineRule="auto"/>
        <w:ind w:left="66"/>
        <w:jc w:val="both"/>
      </w:pPr>
      <w:r w:rsidRPr="001F320F">
        <w:rPr>
          <w:i/>
          <w:iCs/>
        </w:rPr>
        <w:t>STRATEGIES ET TECHNIQUES DE LUTTE ANTIEROSIVE DANS LES MONTAGNES DU PRERIF ORIENTAL (MAROC),</w:t>
      </w:r>
      <w:r>
        <w:t xml:space="preserve"> Abdellatif TRIBAK, </w:t>
      </w:r>
      <w:hyperlink r:id="rId3885" w:history="1">
        <w:r w:rsidR="001F320F" w:rsidRPr="00EE130C">
          <w:rPr>
            <w:rStyle w:val="Lienhypertexte"/>
          </w:rPr>
          <w:t>http://www.beep.ird.fr/collect/bre/index/assoc/HASH0161/1e60eddf.dir/21-045-055.pdf</w:t>
        </w:r>
      </w:hyperlink>
      <w:r w:rsidR="001F320F">
        <w:t xml:space="preserve"> </w:t>
      </w:r>
    </w:p>
    <w:p w14:paraId="7AB76C49" w14:textId="5D34BEDC" w:rsidR="00EA7565" w:rsidRDefault="00EA7565" w:rsidP="00EA1BE0">
      <w:pPr>
        <w:spacing w:after="0" w:line="240" w:lineRule="auto"/>
        <w:ind w:left="66"/>
        <w:jc w:val="both"/>
      </w:pPr>
      <w:r w:rsidRPr="001F320F">
        <w:rPr>
          <w:i/>
          <w:iCs/>
        </w:rPr>
        <w:lastRenderedPageBreak/>
        <w:t>Lutte antiérosive, réhabilitation des sols tropicaux et protection contre les pluies exceptionnelles</w:t>
      </w:r>
      <w:r>
        <w:t xml:space="preserve">, Eric ROOSE, Hervé DUCHAUFOUR et Georges DE NONI, IRD, 2012, 758 pages, </w:t>
      </w:r>
      <w:hyperlink r:id="rId3886" w:history="1">
        <w:r w:rsidRPr="00EE130C">
          <w:rPr>
            <w:rStyle w:val="Lienhypertexte"/>
          </w:rPr>
          <w:t>https://horizon.documentation.ird.fr/exl-doc/pleins_textes/divers14-01/010055520.pdf</w:t>
        </w:r>
      </w:hyperlink>
      <w:r>
        <w:t xml:space="preserve"> </w:t>
      </w:r>
    </w:p>
    <w:p w14:paraId="69C231F7" w14:textId="276C1554" w:rsidR="00EA7565" w:rsidRDefault="00EA7565" w:rsidP="00EA1BE0">
      <w:pPr>
        <w:spacing w:after="0" w:line="240" w:lineRule="auto"/>
        <w:ind w:left="66"/>
        <w:jc w:val="both"/>
      </w:pPr>
      <w:r w:rsidRPr="001F320F">
        <w:rPr>
          <w:i/>
          <w:iCs/>
        </w:rPr>
        <w:t xml:space="preserve">Les </w:t>
      </w:r>
      <w:r w:rsidR="001F320F" w:rsidRPr="001F320F">
        <w:rPr>
          <w:i/>
          <w:iCs/>
        </w:rPr>
        <w:t>techniques</w:t>
      </w:r>
      <w:r w:rsidRPr="001F320F">
        <w:rPr>
          <w:i/>
          <w:iCs/>
        </w:rPr>
        <w:t xml:space="preserve"> de </w:t>
      </w:r>
      <w:r w:rsidR="001F320F" w:rsidRPr="001F320F">
        <w:rPr>
          <w:i/>
          <w:iCs/>
        </w:rPr>
        <w:t>Correction</w:t>
      </w:r>
      <w:r w:rsidRPr="001F320F">
        <w:rPr>
          <w:i/>
          <w:iCs/>
        </w:rPr>
        <w:t xml:space="preserve"> des ravines et de Stabilisation des Lavaka</w:t>
      </w:r>
      <w:r>
        <w:t xml:space="preserve"> (Madagascar), BMZ, Solofo RAHARINAIVO, 2008, </w:t>
      </w:r>
      <w:hyperlink r:id="rId3887" w:history="1">
        <w:r w:rsidRPr="00EE130C">
          <w:rPr>
            <w:rStyle w:val="Lienhypertexte"/>
          </w:rPr>
          <w:t>https://wocatpedia.net/images/d/d9/Solofo_Raharinaivo_%282008%29_-_Les_techniques_de_Correction_des_ravines_et_de_Stabilisation_des_Lavaka_.pdf</w:t>
        </w:r>
      </w:hyperlink>
      <w:r>
        <w:t xml:space="preserve"> </w:t>
      </w:r>
    </w:p>
    <w:p w14:paraId="5A03BDE6" w14:textId="4CE39EB9" w:rsidR="00EA7565" w:rsidRDefault="00EA7565" w:rsidP="00EA1BE0">
      <w:pPr>
        <w:spacing w:after="0" w:line="240" w:lineRule="auto"/>
        <w:ind w:left="66"/>
        <w:jc w:val="both"/>
      </w:pPr>
      <w:r w:rsidRPr="001F320F">
        <w:rPr>
          <w:i/>
          <w:iCs/>
        </w:rPr>
        <w:t>FICHE TECHNIQUE n° 89b LUTTE ANTI–EROSIVE (LAE),</w:t>
      </w:r>
      <w:r>
        <w:t xml:space="preserve"> </w:t>
      </w:r>
      <w:hyperlink r:id="rId3888" w:history="1">
        <w:r w:rsidRPr="00EE130C">
          <w:rPr>
            <w:rStyle w:val="Lienhypertexte"/>
          </w:rPr>
          <w:t>http://louvaincooperation.org/sites/default/files/2019-03/89b-Fiche%20Techniques%20Agricole%20%28LUTTE%20ANTI%20%E2%80%93%20EROSIVE-LAE%29.pdf</w:t>
        </w:r>
      </w:hyperlink>
      <w:r>
        <w:t xml:space="preserve"> </w:t>
      </w:r>
    </w:p>
    <w:p w14:paraId="5C991358" w14:textId="6C8B880C" w:rsidR="00EA7565" w:rsidRDefault="00EA7565" w:rsidP="00EA1BE0">
      <w:pPr>
        <w:spacing w:after="0" w:line="240" w:lineRule="auto"/>
        <w:ind w:left="66"/>
        <w:jc w:val="both"/>
      </w:pPr>
      <w:r w:rsidRPr="001F320F">
        <w:rPr>
          <w:i/>
          <w:iCs/>
        </w:rPr>
        <w:t>Apport de la recherche à la lutte antiérosive. Bilan mitigé et nouvelle approche</w:t>
      </w:r>
      <w:r>
        <w:t xml:space="preserve">, E. Roose, G. de Noni, ORSTOM, 2017, </w:t>
      </w:r>
      <w:hyperlink r:id="rId3889" w:history="1">
        <w:r w:rsidR="001F320F" w:rsidRPr="00EE130C">
          <w:rPr>
            <w:rStyle w:val="Lienhypertexte"/>
          </w:rPr>
          <w:t>http://www.afes.fr/wp-content/uploads/2017/10/EGS_5_3_ROOSE.pdf</w:t>
        </w:r>
      </w:hyperlink>
      <w:r w:rsidR="001F320F">
        <w:t xml:space="preserve"> </w:t>
      </w:r>
    </w:p>
    <w:p w14:paraId="2B35F7CF" w14:textId="0CC24839" w:rsidR="00AF091D" w:rsidRPr="00AF091D" w:rsidRDefault="00EA7565" w:rsidP="00EA1BE0">
      <w:pPr>
        <w:spacing w:after="0" w:line="240" w:lineRule="auto"/>
        <w:ind w:left="66"/>
        <w:jc w:val="both"/>
      </w:pPr>
      <w:r w:rsidRPr="001F320F">
        <w:rPr>
          <w:i/>
          <w:iCs/>
        </w:rPr>
        <w:t>LES MOYENS DE LUTTE CONTRE L'EROSION DES SOLS</w:t>
      </w:r>
      <w:r>
        <w:t xml:space="preserve">, Daniel GAUVIN, 2000, </w:t>
      </w:r>
      <w:hyperlink r:id="rId3890" w:history="1">
        <w:r w:rsidRPr="00EE130C">
          <w:rPr>
            <w:rStyle w:val="Lienhypertexte"/>
          </w:rPr>
          <w:t>https://www.u-picardie.fr/beauchamp/duee/gauvin/gauvin.htm</w:t>
        </w:r>
      </w:hyperlink>
      <w:r>
        <w:t xml:space="preserve"> </w:t>
      </w:r>
    </w:p>
    <w:p w14:paraId="694E73C2" w14:textId="78D9D72C" w:rsidR="00AF091D" w:rsidRDefault="00AF091D" w:rsidP="00AF091D">
      <w:pPr>
        <w:spacing w:after="0" w:line="240" w:lineRule="auto"/>
        <w:jc w:val="both"/>
      </w:pPr>
    </w:p>
    <w:p w14:paraId="5820B6B5" w14:textId="10E2C34B" w:rsidR="005E3406" w:rsidRDefault="005E3406" w:rsidP="005E3406">
      <w:pPr>
        <w:pStyle w:val="Titre2"/>
      </w:pPr>
      <w:bookmarkStart w:id="370" w:name="_Toc139181660"/>
      <w:r w:rsidRPr="005E3406">
        <w:t>Méthodes d’irrigation</w:t>
      </w:r>
      <w:r w:rsidR="00E6174F">
        <w:t xml:space="preserve"> et économie de l’eau</w:t>
      </w:r>
      <w:bookmarkEnd w:id="370"/>
    </w:p>
    <w:p w14:paraId="0B8EDE2B" w14:textId="60C00C6A" w:rsidR="005E3406" w:rsidRDefault="005E3406" w:rsidP="00AF091D">
      <w:pPr>
        <w:spacing w:after="0" w:line="240" w:lineRule="auto"/>
        <w:jc w:val="both"/>
      </w:pPr>
    </w:p>
    <w:p w14:paraId="31B126CC" w14:textId="77777777" w:rsidR="005E3406" w:rsidRPr="005E3406" w:rsidRDefault="005E3406" w:rsidP="00EA1BE0">
      <w:pPr>
        <w:spacing w:after="0" w:line="240" w:lineRule="auto"/>
        <w:ind w:left="66"/>
      </w:pPr>
      <w:r w:rsidRPr="005E3406">
        <w:rPr>
          <w:i/>
          <w:iCs/>
        </w:rPr>
        <w:t>Irrigation Water Management: Irrigation Methods</w:t>
      </w:r>
      <w:r w:rsidRPr="005E3406">
        <w:t xml:space="preserve"> [Irrigation gestion de l'eau: méthodes d'irrigation], </w:t>
      </w:r>
      <w:hyperlink r:id="rId3891" w:history="1">
        <w:r w:rsidRPr="005E3406">
          <w:rPr>
            <w:rStyle w:val="Lienhypertexte"/>
          </w:rPr>
          <w:t>http://www.fao.org/docrep/s8684e/s8684e00.htm#Contents</w:t>
        </w:r>
      </w:hyperlink>
      <w:r w:rsidRPr="005E3406">
        <w:t xml:space="preserve"> </w:t>
      </w:r>
    </w:p>
    <w:p w14:paraId="742A1D2C" w14:textId="77777777" w:rsidR="005E3406" w:rsidRPr="005E3406" w:rsidRDefault="005E3406" w:rsidP="00EA1BE0">
      <w:pPr>
        <w:spacing w:after="0" w:line="240" w:lineRule="auto"/>
        <w:ind w:left="66"/>
        <w:rPr>
          <w:lang w:val="en-GB"/>
        </w:rPr>
      </w:pPr>
      <w:r w:rsidRPr="005E3406">
        <w:t xml:space="preserve"> </w:t>
      </w:r>
      <w:r w:rsidRPr="005E3406">
        <w:rPr>
          <w:i/>
          <w:iCs/>
          <w:lang w:val="en-US"/>
        </w:rPr>
        <w:t>Runoff farming, vital part of the Tunisian water management system</w:t>
      </w:r>
      <w:r w:rsidRPr="005E3406">
        <w:rPr>
          <w:lang w:val="en-US"/>
        </w:rPr>
        <w:t xml:space="preserve">, </w:t>
      </w:r>
      <w:hyperlink r:id="rId3892" w:history="1">
        <w:r w:rsidRPr="005E3406">
          <w:rPr>
            <w:rStyle w:val="Lienhypertexte"/>
            <w:lang w:val="en-GB"/>
          </w:rPr>
          <w:t>http://www.agriculturesnetwork.org/magazines/global/dry-land-management/runoff-farming-vital-part-of-the-tunisian-water</w:t>
        </w:r>
      </w:hyperlink>
      <w:r w:rsidRPr="005E3406">
        <w:rPr>
          <w:lang w:val="en-GB"/>
        </w:rPr>
        <w:t xml:space="preserve"> </w:t>
      </w:r>
    </w:p>
    <w:p w14:paraId="0EAE229D" w14:textId="77777777" w:rsidR="005E3406" w:rsidRPr="005E3406" w:rsidRDefault="005E3406" w:rsidP="00EA1BE0">
      <w:pPr>
        <w:spacing w:after="0" w:line="240" w:lineRule="auto"/>
        <w:ind w:left="66"/>
      </w:pPr>
      <w:r w:rsidRPr="005E3406">
        <w:rPr>
          <w:lang w:val="en-GB"/>
        </w:rPr>
        <w:t xml:space="preserve"> </w:t>
      </w:r>
      <w:r w:rsidRPr="005E3406">
        <w:rPr>
          <w:i/>
          <w:iCs/>
        </w:rPr>
        <w:t>Les techniques traditionnelles de gestion de l'eau, de la biomasse et de la fertilité des sols</w:t>
      </w:r>
      <w:r w:rsidRPr="005E3406">
        <w:t xml:space="preserve">, Mohamed Sabir, Éric Roose, Jomol Al Karkouri, in </w:t>
      </w:r>
      <w:r w:rsidRPr="005E3406">
        <w:rPr>
          <w:i/>
          <w:iCs/>
        </w:rPr>
        <w:t>Gestion durable des eaux et des sols au Maroc</w:t>
      </w:r>
      <w:r w:rsidRPr="005E3406">
        <w:t xml:space="preserve">, IRD, 2010, </w:t>
      </w:r>
      <w:hyperlink r:id="rId3893" w:history="1">
        <w:r w:rsidRPr="005E3406">
          <w:rPr>
            <w:rStyle w:val="Lienhypertexte"/>
          </w:rPr>
          <w:t>http://horizon.documentation.ird.fr/exl-doc/pleins_textes/divers12-09/010054917.pdf</w:t>
        </w:r>
      </w:hyperlink>
    </w:p>
    <w:p w14:paraId="42A91713" w14:textId="666AC6E5" w:rsidR="005E3406" w:rsidRDefault="005E3406" w:rsidP="00AF091D">
      <w:pPr>
        <w:spacing w:after="0" w:line="240" w:lineRule="auto"/>
        <w:jc w:val="both"/>
      </w:pPr>
    </w:p>
    <w:p w14:paraId="391710B7" w14:textId="3CFCB1A3" w:rsidR="00E6174F" w:rsidRPr="00E6174F" w:rsidRDefault="00E6174F" w:rsidP="00E6174F">
      <w:pPr>
        <w:pStyle w:val="Titre3"/>
      </w:pPr>
      <w:bookmarkStart w:id="371" w:name="_Toc139181661"/>
      <w:r w:rsidRPr="00E6174F">
        <w:t>Sensibilisation à l’économie de l’eau</w:t>
      </w:r>
      <w:bookmarkEnd w:id="371"/>
    </w:p>
    <w:p w14:paraId="453796AD" w14:textId="77777777" w:rsidR="00E6174F" w:rsidRPr="00E6174F" w:rsidRDefault="00E6174F" w:rsidP="00E6174F">
      <w:pPr>
        <w:spacing w:after="0" w:line="240" w:lineRule="auto"/>
        <w:jc w:val="both"/>
      </w:pPr>
    </w:p>
    <w:p w14:paraId="44E9034A" w14:textId="77777777" w:rsidR="00E6174F" w:rsidRPr="00E6174F" w:rsidRDefault="00E6174F" w:rsidP="00EA1BE0">
      <w:pPr>
        <w:spacing w:after="0" w:line="240" w:lineRule="auto"/>
        <w:ind w:left="66"/>
        <w:jc w:val="both"/>
      </w:pPr>
      <w:r w:rsidRPr="00E6174F">
        <w:rPr>
          <w:i/>
          <w:iCs/>
        </w:rPr>
        <w:t xml:space="preserve">IL ÉTAIT UNE FOIS... NOTRE TERRE, L'eau précieuse du Sahel (2009), </w:t>
      </w:r>
      <w:hyperlink r:id="rId3894" w:history="1">
        <w:r w:rsidRPr="00E6174F">
          <w:rPr>
            <w:rStyle w:val="Lienhypertexte"/>
          </w:rPr>
          <w:t>http://www.dailymotion.com/video/x2vqobj_il-etait-une-fois-notre-terre_tv</w:t>
        </w:r>
      </w:hyperlink>
    </w:p>
    <w:p w14:paraId="3A3005C6" w14:textId="77777777" w:rsidR="00E6174F" w:rsidRPr="00E6174F" w:rsidRDefault="00E6174F" w:rsidP="00EA1BE0">
      <w:pPr>
        <w:spacing w:after="0" w:line="240" w:lineRule="auto"/>
        <w:ind w:left="66"/>
        <w:jc w:val="both"/>
      </w:pPr>
      <w:r w:rsidRPr="00E6174F">
        <w:rPr>
          <w:i/>
          <w:iCs/>
        </w:rPr>
        <w:t>Il était une fois notre Terre. L'Eau précieuse en Inde</w:t>
      </w:r>
      <w:r w:rsidRPr="00E6174F">
        <w:t xml:space="preserve">, </w:t>
      </w:r>
      <w:hyperlink r:id="rId3895" w:history="1">
        <w:r w:rsidRPr="00E6174F">
          <w:rPr>
            <w:rStyle w:val="Lienhypertexte"/>
          </w:rPr>
          <w:t>http://www.dailymotion.com/video/x1z2kaq_il-etait-une-fois-notre-terre-03-l-eau-precieuse-en-inde_school</w:t>
        </w:r>
      </w:hyperlink>
      <w:r w:rsidRPr="00E6174F">
        <w:t xml:space="preserve">  </w:t>
      </w:r>
    </w:p>
    <w:p w14:paraId="5B76C5EB" w14:textId="77777777" w:rsidR="00E6174F" w:rsidRDefault="00E6174F" w:rsidP="00E6174F">
      <w:pPr>
        <w:spacing w:after="0" w:line="240" w:lineRule="auto"/>
        <w:jc w:val="both"/>
      </w:pPr>
    </w:p>
    <w:p w14:paraId="5F5A593D" w14:textId="1BA37949" w:rsidR="00E6174F" w:rsidRPr="00E6174F" w:rsidRDefault="00E6174F" w:rsidP="00E6174F">
      <w:pPr>
        <w:pStyle w:val="Titre3"/>
      </w:pPr>
      <w:bookmarkStart w:id="372" w:name="_Toc139181662"/>
      <w:r w:rsidRPr="00E6174F">
        <w:t>Les réseaux d’eau anciens</w:t>
      </w:r>
      <w:bookmarkEnd w:id="372"/>
    </w:p>
    <w:p w14:paraId="6970B83D" w14:textId="77777777" w:rsidR="00E6174F" w:rsidRPr="00E6174F" w:rsidRDefault="00E6174F" w:rsidP="00E6174F">
      <w:pPr>
        <w:spacing w:after="0" w:line="240" w:lineRule="auto"/>
        <w:jc w:val="both"/>
      </w:pPr>
    </w:p>
    <w:p w14:paraId="281E70F9" w14:textId="77777777" w:rsidR="00E6174F" w:rsidRPr="00E6174F" w:rsidRDefault="00E6174F" w:rsidP="00EA1BE0">
      <w:pPr>
        <w:spacing w:after="0" w:line="240" w:lineRule="auto"/>
        <w:ind w:left="66"/>
        <w:jc w:val="both"/>
      </w:pPr>
      <w:r w:rsidRPr="00E6174F">
        <w:rPr>
          <w:i/>
          <w:iCs/>
        </w:rPr>
        <w:t>Les réseaux d’eau anciens ressuscitent en Méditerranée</w:t>
      </w:r>
      <w:r w:rsidRPr="00E6174F">
        <w:t xml:space="preserve">, </w:t>
      </w:r>
      <w:hyperlink r:id="rId3896" w:history="1">
        <w:r w:rsidRPr="00E6174F">
          <w:rPr>
            <w:rStyle w:val="Lienhypertexte"/>
          </w:rPr>
          <w:t>https://www.ird.fr/la-mediatheque/fiches-d-actualite-scientifique/370-les-reseaux-d-eau-anciens-ressuscitent-en-mediterranee</w:t>
        </w:r>
      </w:hyperlink>
      <w:r w:rsidRPr="00E6174F">
        <w:t xml:space="preserve"> </w:t>
      </w:r>
    </w:p>
    <w:p w14:paraId="32E0C4F1" w14:textId="77777777" w:rsidR="00E6174F" w:rsidRPr="00E6174F" w:rsidRDefault="00E6174F" w:rsidP="00EA1BE0">
      <w:pPr>
        <w:spacing w:after="0" w:line="240" w:lineRule="auto"/>
        <w:ind w:left="66"/>
      </w:pPr>
      <w:r w:rsidRPr="00E6174F">
        <w:rPr>
          <w:i/>
          <w:iCs/>
        </w:rPr>
        <w:t xml:space="preserve">Les Foggara : "UN SYSTÈME D’IRRIGATION ORIGINAL: LES FOGGARA" </w:t>
      </w:r>
      <w:r w:rsidRPr="00E6174F">
        <w:t xml:space="preserve">(d'après J.Oliel , "Les juifs au sahara ; le Touat au moyen-âge" , CNRS-histoire, 1994), </w:t>
      </w:r>
      <w:hyperlink r:id="rId3897" w:history="1">
        <w:r w:rsidRPr="00E6174F">
          <w:rPr>
            <w:rStyle w:val="Lienhypertexte"/>
          </w:rPr>
          <w:t>http://zoumine.free.fr/tt/sahara/donnees_geo_climatiques/foggaras.html</w:t>
        </w:r>
      </w:hyperlink>
      <w:r w:rsidRPr="00E6174F">
        <w:t xml:space="preserve"> </w:t>
      </w:r>
    </w:p>
    <w:p w14:paraId="73F02C23" w14:textId="77777777" w:rsidR="00E6174F" w:rsidRPr="00E6174F" w:rsidRDefault="00E6174F" w:rsidP="00EA1BE0">
      <w:pPr>
        <w:spacing w:after="0" w:line="240" w:lineRule="auto"/>
        <w:ind w:left="66"/>
        <w:jc w:val="both"/>
        <w:rPr>
          <w:lang w:val="es-AR"/>
        </w:rPr>
      </w:pPr>
      <w:r w:rsidRPr="00E6174F">
        <w:rPr>
          <w:i/>
          <w:iCs/>
          <w:lang w:val="es-AR"/>
        </w:rPr>
        <w:t>Khettara</w:t>
      </w:r>
      <w:r w:rsidRPr="00E6174F">
        <w:rPr>
          <w:lang w:val="es-AR"/>
        </w:rPr>
        <w:t xml:space="preserve">, </w:t>
      </w:r>
      <w:hyperlink r:id="rId3898" w:history="1">
        <w:r w:rsidRPr="00E6174F">
          <w:rPr>
            <w:rStyle w:val="Lienhypertexte"/>
            <w:lang w:val="es-AR"/>
          </w:rPr>
          <w:t>http://www.l-eau-du-desert.com/ledd/khettaras</w:t>
        </w:r>
      </w:hyperlink>
      <w:r w:rsidRPr="00E6174F">
        <w:rPr>
          <w:lang w:val="es-AR"/>
        </w:rPr>
        <w:t xml:space="preserve"> </w:t>
      </w:r>
    </w:p>
    <w:p w14:paraId="5FDA2BB5" w14:textId="77777777" w:rsidR="00E6174F" w:rsidRPr="00E6174F" w:rsidRDefault="00E6174F" w:rsidP="00EA1BE0">
      <w:pPr>
        <w:spacing w:after="0" w:line="240" w:lineRule="auto"/>
        <w:ind w:left="66"/>
        <w:jc w:val="both"/>
      </w:pPr>
      <w:r w:rsidRPr="00E6174F">
        <w:rPr>
          <w:i/>
          <w:iCs/>
        </w:rPr>
        <w:t xml:space="preserve">Système d'irrigation "Les khettaras", </w:t>
      </w:r>
      <w:hyperlink r:id="rId3899" w:history="1">
        <w:r w:rsidRPr="00E6174F">
          <w:rPr>
            <w:rStyle w:val="Lienhypertexte"/>
          </w:rPr>
          <w:t>http://www.flowersway.com/article/systeme-d-irrigation-les-khettaras-1443</w:t>
        </w:r>
      </w:hyperlink>
      <w:r w:rsidRPr="00E6174F">
        <w:t xml:space="preserve"> </w:t>
      </w:r>
    </w:p>
    <w:p w14:paraId="4FCB954C" w14:textId="77777777" w:rsidR="00E6174F" w:rsidRPr="00E6174F" w:rsidRDefault="00E6174F" w:rsidP="00EA1BE0">
      <w:pPr>
        <w:spacing w:after="0" w:line="240" w:lineRule="auto"/>
        <w:ind w:left="66"/>
        <w:jc w:val="both"/>
      </w:pPr>
      <w:r w:rsidRPr="00E6174F">
        <w:rPr>
          <w:i/>
          <w:iCs/>
        </w:rPr>
        <w:t>Qanat</w:t>
      </w:r>
      <w:r w:rsidRPr="00E6174F">
        <w:t xml:space="preserve">, </w:t>
      </w:r>
      <w:hyperlink r:id="rId3900" w:history="1">
        <w:r w:rsidRPr="00E6174F">
          <w:rPr>
            <w:rStyle w:val="Lienhypertexte"/>
          </w:rPr>
          <w:t>https://fr.wikipedia.org/wiki/Qanat</w:t>
        </w:r>
      </w:hyperlink>
      <w:r w:rsidRPr="00E6174F">
        <w:t xml:space="preserve"> </w:t>
      </w:r>
    </w:p>
    <w:p w14:paraId="02246C80" w14:textId="77777777" w:rsidR="00E6174F" w:rsidRDefault="00E6174F" w:rsidP="00AF091D">
      <w:pPr>
        <w:spacing w:after="0" w:line="240" w:lineRule="auto"/>
        <w:jc w:val="both"/>
      </w:pPr>
    </w:p>
    <w:p w14:paraId="34111171" w14:textId="77777777" w:rsidR="001528F3" w:rsidRDefault="001528F3" w:rsidP="001528F3">
      <w:pPr>
        <w:pStyle w:val="Titre3"/>
      </w:pPr>
      <w:bookmarkStart w:id="373" w:name="_Toc139181663"/>
      <w:r w:rsidRPr="001528F3">
        <w:t>Filets capteurs de brouillard (de nuages, de rosée)</w:t>
      </w:r>
      <w:bookmarkEnd w:id="373"/>
    </w:p>
    <w:p w14:paraId="0DD6DE71" w14:textId="77777777" w:rsidR="001528F3" w:rsidRPr="001528F3" w:rsidRDefault="001528F3" w:rsidP="001528F3">
      <w:pPr>
        <w:spacing w:after="0" w:line="240" w:lineRule="auto"/>
        <w:jc w:val="both"/>
      </w:pPr>
    </w:p>
    <w:p w14:paraId="072045FC" w14:textId="77777777" w:rsidR="001528F3" w:rsidRPr="001528F3" w:rsidRDefault="001528F3" w:rsidP="00EA1BE0">
      <w:pPr>
        <w:spacing w:after="0" w:line="240" w:lineRule="auto"/>
        <w:ind w:left="66"/>
        <w:jc w:val="both"/>
      </w:pPr>
      <w:r w:rsidRPr="001528F3">
        <w:rPr>
          <w:i/>
          <w:iCs/>
        </w:rPr>
        <w:t>Comment recueillir de l’eau là où il ne pleut jamais ? Arbre fontaine, attrape-brouillard et oasis brumeuses</w:t>
      </w:r>
      <w:r w:rsidRPr="001528F3">
        <w:t xml:space="preserve">, Alain Gioda -IRD, Lima, Pérou, </w:t>
      </w:r>
      <w:hyperlink r:id="rId3901" w:history="1">
        <w:r w:rsidRPr="001528F3">
          <w:rPr>
            <w:rStyle w:val="Lienhypertexte"/>
          </w:rPr>
          <w:t>http://www.clubdesargonautes.org/faq/arbrefontaine.php</w:t>
        </w:r>
      </w:hyperlink>
      <w:r>
        <w:t xml:space="preserve"> </w:t>
      </w:r>
    </w:p>
    <w:p w14:paraId="7C29791C" w14:textId="77777777" w:rsidR="001528F3" w:rsidRPr="001528F3" w:rsidRDefault="001528F3" w:rsidP="00EA1BE0">
      <w:pPr>
        <w:spacing w:after="0" w:line="240" w:lineRule="auto"/>
        <w:ind w:left="66"/>
        <w:rPr>
          <w:lang w:val="es-AR"/>
        </w:rPr>
      </w:pPr>
      <w:r w:rsidRPr="001528F3">
        <w:rPr>
          <w:lang w:val="es-AR"/>
        </w:rPr>
        <w:t xml:space="preserve">EL ARBOL FUENTE, IRD, </w:t>
      </w:r>
      <w:hyperlink r:id="rId3902" w:history="1">
        <w:r w:rsidRPr="001528F3">
          <w:rPr>
            <w:rStyle w:val="Lienhypertexte"/>
            <w:lang w:val="es-AR"/>
          </w:rPr>
          <w:t>http://horizon.documentation.ird.fr/exl-doc/pleins_textes/pleins_textes_6/b_fdi_33-34/38215.pdf</w:t>
        </w:r>
      </w:hyperlink>
      <w:r w:rsidRPr="001528F3">
        <w:rPr>
          <w:lang w:val="es-AR"/>
        </w:rPr>
        <w:t xml:space="preserve"> </w:t>
      </w:r>
    </w:p>
    <w:p w14:paraId="5E181996" w14:textId="77777777" w:rsidR="001528F3" w:rsidRPr="001528F3" w:rsidRDefault="001528F3" w:rsidP="00EA1BE0">
      <w:pPr>
        <w:spacing w:after="0" w:line="240" w:lineRule="auto"/>
        <w:ind w:left="66"/>
      </w:pPr>
      <w:r w:rsidRPr="001528F3">
        <w:t xml:space="preserve">Des filets à nuages sur la crête d’El Tofo (Chili) [un mauvais choix], Stephen Dale, IDRC, </w:t>
      </w:r>
      <w:hyperlink r:id="rId3903" w:history="1">
        <w:r w:rsidRPr="001528F3">
          <w:rPr>
            <w:rStyle w:val="Lienhypertexte"/>
          </w:rPr>
          <w:t>http://www.idrc.ca/FR/Resources/Publications/Pages/ArticleDetails.aspx?PublicationID=686</w:t>
        </w:r>
      </w:hyperlink>
      <w:r w:rsidRPr="001528F3">
        <w:t xml:space="preserve"> </w:t>
      </w:r>
    </w:p>
    <w:p w14:paraId="5BF729F2" w14:textId="77777777" w:rsidR="001528F3" w:rsidRDefault="001528F3" w:rsidP="00AF091D">
      <w:pPr>
        <w:spacing w:after="0" w:line="240" w:lineRule="auto"/>
        <w:jc w:val="both"/>
      </w:pPr>
    </w:p>
    <w:p w14:paraId="258B2103" w14:textId="52BEE2D5" w:rsidR="001528F3" w:rsidRDefault="00160CE7" w:rsidP="001528F3">
      <w:pPr>
        <w:pStyle w:val="Titre2"/>
      </w:pPr>
      <w:bookmarkStart w:id="374" w:name="_Toc139181664"/>
      <w:r>
        <w:t>Techniques et p</w:t>
      </w:r>
      <w:r w:rsidR="001528F3">
        <w:t>rojets de reforestations, dans le monde</w:t>
      </w:r>
      <w:bookmarkEnd w:id="374"/>
    </w:p>
    <w:p w14:paraId="372C550D" w14:textId="0010DBDA" w:rsidR="001528F3" w:rsidRDefault="001528F3" w:rsidP="00AF091D">
      <w:pPr>
        <w:spacing w:after="0" w:line="240" w:lineRule="auto"/>
        <w:jc w:val="both"/>
      </w:pPr>
    </w:p>
    <w:p w14:paraId="21CEDED6" w14:textId="2BE5909E" w:rsidR="00160CE7" w:rsidRDefault="00160CE7" w:rsidP="00160CE7">
      <w:pPr>
        <w:pStyle w:val="Titre3"/>
      </w:pPr>
      <w:bookmarkStart w:id="375" w:name="_Toc139181665"/>
      <w:r>
        <w:t>Techniques de reforestation</w:t>
      </w:r>
      <w:bookmarkEnd w:id="375"/>
    </w:p>
    <w:p w14:paraId="20E9B7B2" w14:textId="4138E747" w:rsidR="00160CE7" w:rsidRDefault="00160CE7" w:rsidP="00AF091D">
      <w:pPr>
        <w:spacing w:after="0" w:line="240" w:lineRule="auto"/>
        <w:jc w:val="both"/>
      </w:pPr>
    </w:p>
    <w:p w14:paraId="2CB5C015" w14:textId="2893F4CA" w:rsidR="00160CE7" w:rsidRPr="009C3C6F" w:rsidRDefault="00160CE7" w:rsidP="00160CE7">
      <w:pPr>
        <w:spacing w:after="0" w:line="240" w:lineRule="auto"/>
        <w:jc w:val="both"/>
      </w:pPr>
      <w:r w:rsidRPr="00160CE7">
        <w:rPr>
          <w:i/>
          <w:iCs/>
        </w:rPr>
        <w:t>Restauration Des Forêts Tropicales: Un Guide Pratique</w:t>
      </w:r>
      <w:r>
        <w:t xml:space="preserve">. </w:t>
      </w:r>
      <w:r w:rsidRPr="009C3C6F">
        <w:t>Version papier A4 couleur, Kate Hardwick, David Blakesley, Stephen D. Elliott, Kew Publishing; French édition, 2013, 264 pages, 48€.</w:t>
      </w:r>
    </w:p>
    <w:p w14:paraId="37B460C9" w14:textId="2D474616" w:rsidR="00160CE7" w:rsidRDefault="00160CE7" w:rsidP="00160CE7">
      <w:pPr>
        <w:spacing w:after="0" w:line="240" w:lineRule="auto"/>
        <w:jc w:val="both"/>
      </w:pPr>
      <w:r>
        <w:t>Restaurer les forêts tropicales est un guide pratique basé sur des techniques éprouvées</w:t>
      </w:r>
      <w:r w:rsidR="00F56168">
        <w:t xml:space="preserve"> (dont la technique des arbres clés), </w:t>
      </w:r>
      <w:r>
        <w:t>permett</w:t>
      </w:r>
      <w:r w:rsidR="00F56168">
        <w:t>a</w:t>
      </w:r>
      <w:r>
        <w:t>nt aux lecteurs de prendre les bonnes décisions pour sauver ces précieuses zones.</w:t>
      </w:r>
      <w:r w:rsidR="009C3C6F">
        <w:t xml:space="preserve"> Il est aussi</w:t>
      </w:r>
      <w:r>
        <w:t xml:space="preserve"> disponible en anglais et en espagnol.</w:t>
      </w:r>
    </w:p>
    <w:p w14:paraId="0A131505" w14:textId="39A99845" w:rsidR="00160CE7" w:rsidRDefault="00F56168" w:rsidP="00F56168">
      <w:pPr>
        <w:spacing w:after="0" w:line="240" w:lineRule="auto"/>
      </w:pPr>
      <w:r w:rsidRPr="00F56168">
        <w:rPr>
          <w:u w:val="single"/>
        </w:rPr>
        <w:t>Note</w:t>
      </w:r>
      <w:r>
        <w:t xml:space="preserve"> : </w:t>
      </w:r>
      <w:r w:rsidR="00160CE7">
        <w:t xml:space="preserve">Vous pouvez trouver, à télécharger, la version PDF gratuite de ce guide, pour chacune de ces 3 langues, à cette adresse URL web : </w:t>
      </w:r>
      <w:hyperlink r:id="rId3904" w:history="1">
        <w:r w:rsidR="009C3C6F" w:rsidRPr="00BE2ABF">
          <w:rPr>
            <w:rStyle w:val="Lienhypertexte"/>
          </w:rPr>
          <w:t>http://www.doc-developpement-durable.org/file/Culture/Arbres-Bois-de-Rapport-Reforestation/forets-preservation-restoration/framework-species-method_Stephen-Elliot/</w:t>
        </w:r>
      </w:hyperlink>
    </w:p>
    <w:p w14:paraId="601087FA" w14:textId="1CFC02CD" w:rsidR="009C3C6F" w:rsidRDefault="009C3C6F" w:rsidP="009C3C6F">
      <w:pPr>
        <w:spacing w:after="0" w:line="240" w:lineRule="auto"/>
      </w:pPr>
      <w:r>
        <w:t xml:space="preserve">Version française : </w:t>
      </w:r>
      <w:hyperlink r:id="rId3905" w:history="1">
        <w:r w:rsidRPr="00BE2ABF">
          <w:rPr>
            <w:rStyle w:val="Lienhypertexte"/>
          </w:rPr>
          <w:t>http://www.doc-developpement-durable.org/file/Culture/Arbres-Bois-de-Rapport-Reforestation/forets-preservation-restoration/framework-species-method_Stephen-Elliot/Version-Francaise/</w:t>
        </w:r>
      </w:hyperlink>
      <w:r>
        <w:t xml:space="preserve"> </w:t>
      </w:r>
    </w:p>
    <w:p w14:paraId="0F7CC6E4" w14:textId="2F2EA24E" w:rsidR="009C3C6F" w:rsidRDefault="009C3C6F" w:rsidP="009C3C6F">
      <w:pPr>
        <w:spacing w:after="0" w:line="240" w:lineRule="auto"/>
      </w:pPr>
      <w:r>
        <w:t>Version anglaise :</w:t>
      </w:r>
      <w:r w:rsidR="00F56168">
        <w:t xml:space="preserve"> </w:t>
      </w:r>
      <w:hyperlink r:id="rId3906" w:history="1">
        <w:r w:rsidR="00F56168" w:rsidRPr="00BE2ABF">
          <w:rPr>
            <w:rStyle w:val="Lienhypertexte"/>
          </w:rPr>
          <w:t>http://www.doc-developpement-durable.org/file/Culture/Arbres-Bois-de-Rapport-Reforestation/forets-preservation-restoration/framework-species-method_Stephen-Elliot/english-version/</w:t>
        </w:r>
      </w:hyperlink>
      <w:r w:rsidR="00F56168">
        <w:t xml:space="preserve"> </w:t>
      </w:r>
    </w:p>
    <w:p w14:paraId="03E418DC" w14:textId="62A81540" w:rsidR="009C3C6F" w:rsidRDefault="009C3C6F" w:rsidP="009C3C6F">
      <w:pPr>
        <w:spacing w:after="0" w:line="240" w:lineRule="auto"/>
      </w:pPr>
      <w:r>
        <w:t xml:space="preserve">Version espagnole : </w:t>
      </w:r>
      <w:hyperlink r:id="rId3907" w:history="1">
        <w:r w:rsidR="00F2597D" w:rsidRPr="00BE2ABF">
          <w:rPr>
            <w:rStyle w:val="Lienhypertexte"/>
          </w:rPr>
          <w:t>http://www.doc-developpement-durable.org/file/Culture/Arbres-Bois-de-Rapport-Reforestation/forets-preservation-restoration/framework-species-method_Stephen-Elliot/version-espanola/</w:t>
        </w:r>
      </w:hyperlink>
      <w:r w:rsidR="00F2597D">
        <w:t xml:space="preserve"> </w:t>
      </w:r>
    </w:p>
    <w:p w14:paraId="2AB86161" w14:textId="77777777" w:rsidR="00750795" w:rsidRDefault="00750795" w:rsidP="00AF091D">
      <w:pPr>
        <w:spacing w:after="0" w:line="240" w:lineRule="auto"/>
        <w:jc w:val="both"/>
      </w:pPr>
    </w:p>
    <w:p w14:paraId="6841182D" w14:textId="6F214EF2" w:rsidR="001528F3" w:rsidRPr="001528F3" w:rsidRDefault="001528F3" w:rsidP="001528F3">
      <w:pPr>
        <w:pStyle w:val="Titre3"/>
      </w:pPr>
      <w:bookmarkStart w:id="376" w:name="_Toc139181666"/>
      <w:r>
        <w:t>Projets et s</w:t>
      </w:r>
      <w:r w:rsidRPr="001528F3">
        <w:t>olutions israéliennes</w:t>
      </w:r>
      <w:bookmarkEnd w:id="376"/>
    </w:p>
    <w:p w14:paraId="1808FD3B" w14:textId="77777777" w:rsidR="001528F3" w:rsidRPr="001528F3" w:rsidRDefault="001528F3" w:rsidP="001528F3">
      <w:pPr>
        <w:spacing w:after="0" w:line="240" w:lineRule="auto"/>
        <w:jc w:val="both"/>
      </w:pPr>
    </w:p>
    <w:p w14:paraId="24496B50" w14:textId="77777777" w:rsidR="001528F3" w:rsidRPr="001528F3" w:rsidRDefault="001528F3" w:rsidP="00EA1BE0">
      <w:pPr>
        <w:spacing w:after="0" w:line="240" w:lineRule="auto"/>
        <w:ind w:left="142"/>
        <w:jc w:val="both"/>
        <w:rPr>
          <w:lang w:val="en-GB"/>
        </w:rPr>
      </w:pPr>
      <w:r w:rsidRPr="001528F3">
        <w:rPr>
          <w:i/>
          <w:iCs/>
          <w:lang w:val="en-US"/>
        </w:rPr>
        <w:t>Water Harvesting in the Negev</w:t>
      </w:r>
      <w:r w:rsidRPr="001528F3">
        <w:rPr>
          <w:lang w:val="en-US"/>
        </w:rPr>
        <w:t xml:space="preserve">, Statler Waldorf, </w:t>
      </w:r>
      <w:hyperlink r:id="rId3908" w:history="1">
        <w:r w:rsidRPr="001528F3">
          <w:rPr>
            <w:rStyle w:val="Lienhypertexte"/>
            <w:lang w:val="en-US"/>
          </w:rPr>
          <w:t>https://www.youtube.com/watch?v=tjBugtV8GHc</w:t>
        </w:r>
      </w:hyperlink>
    </w:p>
    <w:p w14:paraId="2FA6A44B" w14:textId="77777777" w:rsidR="001528F3" w:rsidRPr="001528F3" w:rsidRDefault="001528F3" w:rsidP="00EA1BE0">
      <w:pPr>
        <w:spacing w:after="0" w:line="240" w:lineRule="auto"/>
        <w:ind w:left="142"/>
        <w:jc w:val="both"/>
        <w:rPr>
          <w:lang w:val="en-GB"/>
        </w:rPr>
      </w:pPr>
      <w:r w:rsidRPr="001528F3">
        <w:rPr>
          <w:i/>
          <w:iCs/>
          <w:lang w:val="en-US"/>
        </w:rPr>
        <w:t>Growing Forests in the Desert</w:t>
      </w:r>
      <w:r w:rsidRPr="001528F3">
        <w:rPr>
          <w:lang w:val="en-US"/>
        </w:rPr>
        <w:t xml:space="preserve"> (Fr), KKLJNFWorldwide, </w:t>
      </w:r>
      <w:hyperlink r:id="rId3909" w:history="1">
        <w:r w:rsidRPr="001528F3">
          <w:rPr>
            <w:rStyle w:val="Lienhypertexte"/>
            <w:lang w:val="en-US"/>
          </w:rPr>
          <w:t>https://www.youtube.com/watch?v=HEOzkiGqK-I</w:t>
        </w:r>
      </w:hyperlink>
    </w:p>
    <w:p w14:paraId="26F9AEFC" w14:textId="77777777" w:rsidR="001528F3" w:rsidRPr="001528F3" w:rsidRDefault="001528F3" w:rsidP="00EA1BE0">
      <w:pPr>
        <w:spacing w:after="0" w:line="240" w:lineRule="auto"/>
        <w:ind w:left="142"/>
        <w:jc w:val="both"/>
        <w:rPr>
          <w:lang w:val="en-GB"/>
        </w:rPr>
      </w:pPr>
      <w:r w:rsidRPr="001528F3">
        <w:rPr>
          <w:i/>
          <w:iCs/>
          <w:lang w:val="en-US"/>
        </w:rPr>
        <w:t>Growing Forests in the Desert</w:t>
      </w:r>
      <w:r w:rsidRPr="001528F3">
        <w:rPr>
          <w:lang w:val="en-US"/>
        </w:rPr>
        <w:t xml:space="preserve"> (English), KKL JNF, </w:t>
      </w:r>
      <w:hyperlink r:id="rId3910" w:history="1">
        <w:r w:rsidRPr="001528F3">
          <w:rPr>
            <w:rStyle w:val="Lienhypertexte"/>
            <w:lang w:val="en-US"/>
          </w:rPr>
          <w:t>https://www.youtube.com/watch?v=eK0nEV5dWBA</w:t>
        </w:r>
      </w:hyperlink>
      <w:r w:rsidRPr="001528F3">
        <w:rPr>
          <w:lang w:val="en-US"/>
        </w:rPr>
        <w:t xml:space="preserve">  </w:t>
      </w:r>
    </w:p>
    <w:p w14:paraId="53BAB5F0" w14:textId="77777777" w:rsidR="001528F3" w:rsidRPr="001528F3" w:rsidRDefault="001528F3" w:rsidP="00EA1BE0">
      <w:pPr>
        <w:spacing w:after="0" w:line="240" w:lineRule="auto"/>
        <w:ind w:left="142"/>
        <w:jc w:val="both"/>
        <w:rPr>
          <w:lang w:val="en-GB"/>
        </w:rPr>
      </w:pPr>
      <w:r w:rsidRPr="001528F3">
        <w:rPr>
          <w:lang w:val="en-US"/>
        </w:rPr>
        <w:t xml:space="preserve">The National Master Plan for Forests and Afforestation, </w:t>
      </w:r>
      <w:hyperlink r:id="rId3911" w:history="1">
        <w:r w:rsidRPr="001528F3">
          <w:rPr>
            <w:rStyle w:val="Lienhypertexte"/>
            <w:lang w:val="en-US"/>
          </w:rPr>
          <w:t>http://www.kkl.org.il/eng/forestry-and-ecology/afforestation-in-israel/national-master-plan-for-forests-and-afforestation/</w:t>
        </w:r>
      </w:hyperlink>
      <w:r w:rsidRPr="001528F3">
        <w:rPr>
          <w:lang w:val="en-US"/>
        </w:rPr>
        <w:t xml:space="preserve"> </w:t>
      </w:r>
    </w:p>
    <w:p w14:paraId="3CE2A176" w14:textId="77777777" w:rsidR="001528F3" w:rsidRPr="001528F3" w:rsidRDefault="001528F3" w:rsidP="00EA1BE0">
      <w:pPr>
        <w:spacing w:after="0" w:line="240" w:lineRule="auto"/>
        <w:ind w:left="142"/>
        <w:jc w:val="both"/>
      </w:pPr>
      <w:r w:rsidRPr="001528F3">
        <w:rPr>
          <w:i/>
          <w:iCs/>
        </w:rPr>
        <w:t>Plan directeur national</w:t>
      </w:r>
      <w:r w:rsidRPr="001528F3">
        <w:t xml:space="preserve"> (NOP 22),  </w:t>
      </w:r>
      <w:hyperlink r:id="rId3912" w:history="1">
        <w:r w:rsidRPr="001528F3">
          <w:rPr>
            <w:rStyle w:val="Lienhypertexte"/>
          </w:rPr>
          <w:t>http://www.kkl.org.il/eng/files/forests/tma/TAMA22_eng.pdf</w:t>
        </w:r>
      </w:hyperlink>
      <w:r w:rsidRPr="001528F3">
        <w:t xml:space="preserve"> </w:t>
      </w:r>
    </w:p>
    <w:p w14:paraId="5D590D92" w14:textId="77777777" w:rsidR="001528F3" w:rsidRPr="001528F3" w:rsidRDefault="001528F3" w:rsidP="00EA1BE0">
      <w:pPr>
        <w:spacing w:after="0" w:line="240" w:lineRule="auto"/>
        <w:ind w:left="142"/>
        <w:jc w:val="both"/>
        <w:rPr>
          <w:lang w:val="en-GB"/>
        </w:rPr>
      </w:pPr>
      <w:r w:rsidRPr="001528F3">
        <w:rPr>
          <w:i/>
          <w:iCs/>
          <w:lang w:val="en-US"/>
        </w:rPr>
        <w:t>Afforestation in Israel – reclaiming ecosystems and combating desertification</w:t>
      </w:r>
      <w:r w:rsidRPr="001528F3">
        <w:rPr>
          <w:lang w:val="en-US"/>
        </w:rPr>
        <w:t xml:space="preserve">, </w:t>
      </w:r>
      <w:hyperlink r:id="rId3913" w:history="1">
        <w:r w:rsidRPr="001528F3">
          <w:rPr>
            <w:rStyle w:val="Lienhypertexte"/>
            <w:lang w:val="en-US"/>
          </w:rPr>
          <w:t>http://www.kkl.org.il/eng/files/forests/afforestation-israel/UNFF-Afforestation-Israel.pdf</w:t>
        </w:r>
      </w:hyperlink>
      <w:r w:rsidRPr="001528F3">
        <w:rPr>
          <w:lang w:val="en-US"/>
        </w:rPr>
        <w:t xml:space="preserve"> </w:t>
      </w:r>
    </w:p>
    <w:p w14:paraId="3C6A94D9" w14:textId="1577C44C" w:rsidR="001528F3" w:rsidRPr="001528F3" w:rsidRDefault="001528F3" w:rsidP="00EA1BE0">
      <w:pPr>
        <w:spacing w:after="0" w:line="240" w:lineRule="auto"/>
        <w:ind w:left="142"/>
        <w:jc w:val="both"/>
        <w:rPr>
          <w:lang w:val="en-GB"/>
        </w:rPr>
      </w:pPr>
      <w:r w:rsidRPr="001528F3">
        <w:rPr>
          <w:lang w:val="en-US"/>
        </w:rPr>
        <w:t xml:space="preserve">Keren Kayemeth LeIsrael (KKL), </w:t>
      </w:r>
      <w:hyperlink r:id="rId3914" w:history="1">
        <w:r w:rsidRPr="001528F3">
          <w:rPr>
            <w:rStyle w:val="Lienhypertexte"/>
            <w:lang w:val="en-GB"/>
          </w:rPr>
          <w:t>http://www.kkl.org.il/eng/</w:t>
        </w:r>
      </w:hyperlink>
      <w:r w:rsidRPr="001528F3">
        <w:rPr>
          <w:lang w:val="en-US"/>
        </w:rPr>
        <w:t xml:space="preserve"> </w:t>
      </w:r>
    </w:p>
    <w:p w14:paraId="2EB24923" w14:textId="77777777" w:rsidR="001528F3" w:rsidRPr="001528F3" w:rsidRDefault="001528F3" w:rsidP="001528F3">
      <w:pPr>
        <w:spacing w:after="0" w:line="240" w:lineRule="auto"/>
        <w:jc w:val="both"/>
        <w:rPr>
          <w:lang w:val="en-GB"/>
        </w:rPr>
      </w:pPr>
    </w:p>
    <w:p w14:paraId="5FDD1781" w14:textId="510D3295" w:rsidR="001528F3" w:rsidRDefault="001528F3" w:rsidP="001528F3">
      <w:pPr>
        <w:pStyle w:val="Titre3"/>
      </w:pPr>
      <w:bookmarkStart w:id="377" w:name="_Toc139181667"/>
      <w:r>
        <w:t>Projets et</w:t>
      </w:r>
      <w:r w:rsidRPr="001528F3">
        <w:t xml:space="preserve"> solutions dans d’autres déserts</w:t>
      </w:r>
      <w:bookmarkEnd w:id="377"/>
    </w:p>
    <w:p w14:paraId="4C20D4CE" w14:textId="77777777" w:rsidR="001528F3" w:rsidRPr="001528F3" w:rsidRDefault="001528F3" w:rsidP="001528F3">
      <w:pPr>
        <w:spacing w:after="0" w:line="240" w:lineRule="auto"/>
        <w:jc w:val="both"/>
      </w:pPr>
    </w:p>
    <w:p w14:paraId="3FDBA56D" w14:textId="77777777" w:rsidR="001528F3" w:rsidRPr="001528F3" w:rsidRDefault="001528F3" w:rsidP="00EA1BE0">
      <w:pPr>
        <w:spacing w:after="0" w:line="240" w:lineRule="auto"/>
        <w:ind w:left="66"/>
        <w:jc w:val="both"/>
      </w:pPr>
      <w:r w:rsidRPr="00411177">
        <w:rPr>
          <w:i/>
          <w:iCs/>
        </w:rPr>
        <w:t>Permaculture Greening the Desert</w:t>
      </w:r>
      <w:r w:rsidRPr="00411177">
        <w:t xml:space="preserve">, Désert Jordanien, </w:t>
      </w:r>
      <w:hyperlink r:id="rId3915" w:history="1">
        <w:r w:rsidRPr="00411177">
          <w:rPr>
            <w:rStyle w:val="Lienhypertexte"/>
          </w:rPr>
          <w:t>https://www.youtube.com/watch?v=K1rKDXuZ8C0</w:t>
        </w:r>
      </w:hyperlink>
      <w:r w:rsidRPr="00411177">
        <w:t xml:space="preserve"> </w:t>
      </w:r>
    </w:p>
    <w:p w14:paraId="68662036" w14:textId="77777777" w:rsidR="001528F3" w:rsidRPr="001528F3" w:rsidRDefault="001528F3" w:rsidP="00EA1BE0">
      <w:pPr>
        <w:spacing w:after="0" w:line="240" w:lineRule="auto"/>
        <w:ind w:left="66"/>
        <w:jc w:val="both"/>
      </w:pPr>
      <w:r w:rsidRPr="001528F3">
        <w:t xml:space="preserve">&amp; </w:t>
      </w:r>
      <w:hyperlink r:id="rId3916" w:history="1">
        <w:r w:rsidRPr="001528F3">
          <w:rPr>
            <w:rStyle w:val="Lienhypertexte"/>
          </w:rPr>
          <w:t>http://www.geofflawton.com/fe/62176-desert-oasis</w:t>
        </w:r>
      </w:hyperlink>
    </w:p>
    <w:p w14:paraId="30EE9AC0" w14:textId="2611BA07" w:rsidR="001528F3" w:rsidRPr="001528F3" w:rsidRDefault="001528F3" w:rsidP="00EA1BE0">
      <w:pPr>
        <w:spacing w:after="0" w:line="240" w:lineRule="auto"/>
        <w:ind w:left="66"/>
        <w:jc w:val="both"/>
      </w:pPr>
      <w:r w:rsidRPr="001528F3">
        <w:rPr>
          <w:i/>
          <w:iCs/>
        </w:rPr>
        <w:t>Greening Nuweiba desert with food</w:t>
      </w:r>
      <w:r w:rsidRPr="001528F3">
        <w:t xml:space="preserve"> [Reverdir le désert à Nuweiba, Sud du Sinaï, </w:t>
      </w:r>
      <w:r w:rsidR="00EA7C76">
        <w:t>Égypte</w:t>
      </w:r>
      <w:r w:rsidRPr="001528F3">
        <w:t xml:space="preserve">], </w:t>
      </w:r>
    </w:p>
    <w:p w14:paraId="4CB37724" w14:textId="77777777" w:rsidR="001528F3" w:rsidRPr="00411177" w:rsidRDefault="00000000" w:rsidP="00EA1BE0">
      <w:pPr>
        <w:spacing w:after="0" w:line="240" w:lineRule="auto"/>
        <w:ind w:left="66"/>
        <w:jc w:val="both"/>
        <w:rPr>
          <w:lang w:val="en-GB"/>
        </w:rPr>
      </w:pPr>
      <w:hyperlink r:id="rId3917" w:history="1">
        <w:r w:rsidR="001528F3" w:rsidRPr="00411177">
          <w:rPr>
            <w:rStyle w:val="Lienhypertexte"/>
            <w:lang w:val="en-GB"/>
          </w:rPr>
          <w:t>https://habibaorganicfarm.wordpress.com/</w:t>
        </w:r>
      </w:hyperlink>
      <w:r w:rsidR="001528F3" w:rsidRPr="00411177">
        <w:rPr>
          <w:lang w:val="en-GB"/>
        </w:rPr>
        <w:t xml:space="preserve"> </w:t>
      </w:r>
    </w:p>
    <w:p w14:paraId="1BEE6D2F" w14:textId="4CD89924" w:rsidR="001528F3" w:rsidRDefault="001528F3" w:rsidP="00EA1BE0">
      <w:pPr>
        <w:spacing w:after="0" w:line="240" w:lineRule="auto"/>
        <w:ind w:left="66"/>
        <w:jc w:val="both"/>
        <w:rPr>
          <w:lang w:val="en-GB"/>
        </w:rPr>
      </w:pPr>
      <w:r w:rsidRPr="001528F3">
        <w:rPr>
          <w:i/>
          <w:iCs/>
          <w:lang w:val="en-GB"/>
        </w:rPr>
        <w:t>Landscape architecture</w:t>
      </w:r>
      <w:r w:rsidRPr="001528F3">
        <w:rPr>
          <w:lang w:val="en-GB"/>
        </w:rPr>
        <w:t xml:space="preserve">, </w:t>
      </w:r>
      <w:hyperlink r:id="rId3918" w:history="1">
        <w:r w:rsidRPr="001528F3">
          <w:rPr>
            <w:rStyle w:val="Lienhypertexte"/>
            <w:lang w:val="en-GB"/>
          </w:rPr>
          <w:t>https://pangeaexpress.wordpress.com/2015/02/13/desert-greening/</w:t>
        </w:r>
      </w:hyperlink>
      <w:r w:rsidRPr="001528F3">
        <w:rPr>
          <w:lang w:val="en-GB"/>
        </w:rPr>
        <w:t xml:space="preserve"> </w:t>
      </w:r>
    </w:p>
    <w:p w14:paraId="345CD1D9" w14:textId="4CC82792" w:rsidR="00EA1BE0" w:rsidRPr="00EA1BE0" w:rsidRDefault="00EA1BE0" w:rsidP="00EA1BE0">
      <w:pPr>
        <w:spacing w:after="0" w:line="240" w:lineRule="auto"/>
        <w:jc w:val="both"/>
        <w:rPr>
          <w:lang w:val="en-GB"/>
        </w:rPr>
      </w:pPr>
      <w:r w:rsidRPr="00EA1BE0">
        <w:rPr>
          <w:i/>
          <w:iCs/>
          <w:lang w:val="en-GB"/>
        </w:rPr>
        <w:t>This man changed the fortunes of a barren land using traditional water wisdom</w:t>
      </w:r>
      <w:r w:rsidRPr="00EA1BE0">
        <w:rPr>
          <w:lang w:val="en-GB"/>
        </w:rPr>
        <w:t xml:space="preserve">, 03/09/2021, </w:t>
      </w:r>
      <w:hyperlink r:id="rId3919" w:history="1">
        <w:r w:rsidRPr="00EE130C">
          <w:rPr>
            <w:rStyle w:val="Lienhypertexte"/>
            <w:lang w:val="en-GB"/>
          </w:rPr>
          <w:t>https://www.downtoearth.org.in/video/environment/this-man-changed-the-fortunes-of-a-barren-land-using-traditional-water-wisdom-78826</w:t>
        </w:r>
      </w:hyperlink>
      <w:r>
        <w:rPr>
          <w:lang w:val="en-GB"/>
        </w:rPr>
        <w:t xml:space="preserve"> </w:t>
      </w:r>
    </w:p>
    <w:p w14:paraId="2C77CA07" w14:textId="67EB39E9" w:rsidR="00EA1BE0" w:rsidRDefault="00EA1BE0" w:rsidP="00EA1BE0">
      <w:pPr>
        <w:spacing w:after="0" w:line="240" w:lineRule="auto"/>
        <w:jc w:val="both"/>
        <w:rPr>
          <w:lang w:val="en-GB"/>
        </w:rPr>
      </w:pPr>
      <w:r w:rsidRPr="00EA1BE0">
        <w:rPr>
          <w:lang w:val="en-GB"/>
        </w:rPr>
        <w:t>A flood-ravaged desert turned into a home for 120 species of birds, 70 species of native trees and thousands of animals</w:t>
      </w:r>
    </w:p>
    <w:p w14:paraId="25249036" w14:textId="55DB9C77" w:rsidR="001528F3" w:rsidRDefault="001528F3" w:rsidP="001528F3">
      <w:pPr>
        <w:spacing w:after="0" w:line="240" w:lineRule="auto"/>
        <w:jc w:val="both"/>
        <w:rPr>
          <w:lang w:val="en-GB"/>
        </w:rPr>
      </w:pPr>
    </w:p>
    <w:p w14:paraId="650E603D" w14:textId="3C2CBE85" w:rsidR="002627AD" w:rsidRPr="002627AD" w:rsidRDefault="002627AD" w:rsidP="002627AD">
      <w:pPr>
        <w:pStyle w:val="Titre2"/>
      </w:pPr>
      <w:bookmarkStart w:id="378" w:name="_Toc139181668"/>
      <w:r w:rsidRPr="002627AD">
        <w:t>Menaces sur la biodiversité</w:t>
      </w:r>
      <w:bookmarkEnd w:id="378"/>
    </w:p>
    <w:p w14:paraId="187C0338" w14:textId="1B95BDAC" w:rsidR="001528F3" w:rsidRDefault="001528F3" w:rsidP="00AF091D">
      <w:pPr>
        <w:spacing w:after="0" w:line="240" w:lineRule="auto"/>
        <w:jc w:val="both"/>
        <w:rPr>
          <w:lang w:val="en-GB"/>
        </w:rPr>
      </w:pPr>
    </w:p>
    <w:p w14:paraId="52136D02" w14:textId="6FE6AB3D" w:rsidR="001C6F1B" w:rsidRPr="001C6F1B" w:rsidRDefault="001C6F1B" w:rsidP="002627AD">
      <w:pPr>
        <w:spacing w:after="0" w:line="240" w:lineRule="auto"/>
        <w:jc w:val="both"/>
        <w:rPr>
          <w:lang w:val="en-GB"/>
        </w:rPr>
      </w:pPr>
      <w:r w:rsidRPr="001C6F1B">
        <w:rPr>
          <w:lang w:val="en-GB"/>
        </w:rPr>
        <w:t>"</w:t>
      </w:r>
      <w:r w:rsidRPr="001C6F1B">
        <w:rPr>
          <w:i/>
          <w:iCs/>
          <w:lang w:val="en-GB"/>
        </w:rPr>
        <w:t>Extinction risk of Mesoamerican crop wild relatives</w:t>
      </w:r>
      <w:r w:rsidRPr="001C6F1B">
        <w:rPr>
          <w:lang w:val="en-GB"/>
        </w:rPr>
        <w:t>" in "</w:t>
      </w:r>
      <w:r w:rsidRPr="001C6F1B">
        <w:rPr>
          <w:i/>
          <w:iCs/>
          <w:lang w:val="en-GB"/>
        </w:rPr>
        <w:t>Plants, People, Planet</w:t>
      </w:r>
      <w:r w:rsidRPr="001C6F1B">
        <w:rPr>
          <w:lang w:val="en-GB"/>
        </w:rPr>
        <w:t xml:space="preserve">", September 6, 2021, </w:t>
      </w:r>
      <w:hyperlink r:id="rId3920" w:history="1">
        <w:r w:rsidRPr="004817C6">
          <w:rPr>
            <w:rStyle w:val="Lienhypertexte"/>
            <w:lang w:val="en-GB"/>
          </w:rPr>
          <w:t>https://nph.onlinelibrary.wiley.com/doi/full/10.1002/ppp3.10225</w:t>
        </w:r>
      </w:hyperlink>
      <w:r>
        <w:rPr>
          <w:lang w:val="en-GB"/>
        </w:rPr>
        <w:t xml:space="preserve"> </w:t>
      </w:r>
    </w:p>
    <w:p w14:paraId="79BFB09E" w14:textId="1A87429E" w:rsidR="002627AD" w:rsidRPr="002627AD" w:rsidRDefault="001C6F1B" w:rsidP="002627AD">
      <w:pPr>
        <w:spacing w:after="0" w:line="240" w:lineRule="auto"/>
        <w:jc w:val="both"/>
      </w:pPr>
      <w:r w:rsidRPr="001C6F1B">
        <w:rPr>
          <w:i/>
          <w:iCs/>
        </w:rPr>
        <w:lastRenderedPageBreak/>
        <w:t xml:space="preserve">Mesoamerica, origin of several global crops, faces floristic biodiversity loss: Study </w:t>
      </w:r>
      <w:r>
        <w:rPr>
          <w:i/>
          <w:iCs/>
        </w:rPr>
        <w:t>[</w:t>
      </w:r>
      <w:r w:rsidR="002627AD" w:rsidRPr="002627AD">
        <w:rPr>
          <w:i/>
          <w:iCs/>
        </w:rPr>
        <w:t>La Méso-Amérique, origine de plusieurs cultures mondiales, fait face à une perte de biodiversité floristique : étud</w:t>
      </w:r>
      <w:r w:rsidR="002627AD" w:rsidRPr="002627AD">
        <w:t>e</w:t>
      </w:r>
      <w:r>
        <w:rPr>
          <w:i/>
          <w:iCs/>
        </w:rPr>
        <w:t>]</w:t>
      </w:r>
      <w:r w:rsidR="002627AD" w:rsidRPr="002627AD">
        <w:t xml:space="preserve">, Rajat Ghai, 08/09/2021, </w:t>
      </w:r>
      <w:hyperlink r:id="rId3921" w:history="1">
        <w:r w:rsidR="002627AD" w:rsidRPr="004817C6">
          <w:rPr>
            <w:rStyle w:val="Lienhypertexte"/>
          </w:rPr>
          <w:t>https://www.downtoearth.org.in/news/wildlife-biodiversity/mesoamerica-origin-of-several-global-crops-faces-floristic-biodiversity-loss-study-78895</w:t>
        </w:r>
      </w:hyperlink>
      <w:r w:rsidR="002627AD">
        <w:t xml:space="preserve"> </w:t>
      </w:r>
    </w:p>
    <w:p w14:paraId="5A9A42A7" w14:textId="0B3425B0" w:rsidR="002627AD" w:rsidRDefault="001C6F1B" w:rsidP="001C6F1B">
      <w:pPr>
        <w:spacing w:after="0" w:line="240" w:lineRule="auto"/>
        <w:jc w:val="both"/>
      </w:pPr>
      <w:r>
        <w:t>Mesoamerica, origin of several global crops, faces floristic biodiversity loss: Study [</w:t>
      </w:r>
      <w:r w:rsidR="002627AD" w:rsidRPr="002627AD">
        <w:t>La Méso-Amérique connaît un déclin des espèces sauvages apparentées aux pommes de terre, aux haricots, aux courges et au maïs en raison de la perte d'espaces sauvages et de la mécanisation de l'agriculture</w:t>
      </w:r>
      <w:r>
        <w:t>]</w:t>
      </w:r>
      <w:r w:rsidR="002627AD" w:rsidRPr="002627AD">
        <w:t>.</w:t>
      </w:r>
    </w:p>
    <w:p w14:paraId="098F3BDB" w14:textId="24A49D87" w:rsidR="0089104E" w:rsidRDefault="0089104E" w:rsidP="0089104E">
      <w:pPr>
        <w:spacing w:after="0" w:line="240" w:lineRule="auto"/>
      </w:pPr>
    </w:p>
    <w:p w14:paraId="5A3C0EF8" w14:textId="15BACFD7" w:rsidR="002A5673" w:rsidRDefault="002A5673" w:rsidP="002A5673">
      <w:pPr>
        <w:pStyle w:val="Titre1"/>
      </w:pPr>
      <w:bookmarkStart w:id="379" w:name="_Toc139181669"/>
      <w:r>
        <w:t>Annexe : Arbres et plantes invasives</w:t>
      </w:r>
      <w:r w:rsidR="00843E78">
        <w:t>,</w:t>
      </w:r>
      <w:r w:rsidR="00843E78" w:rsidRPr="00843E78">
        <w:t xml:space="preserve"> surtout</w:t>
      </w:r>
      <w:r w:rsidR="00843E78">
        <w:t xml:space="preserve"> à</w:t>
      </w:r>
      <w:r w:rsidR="00843E78" w:rsidRPr="00843E78">
        <w:t xml:space="preserve"> ne pas planter</w:t>
      </w:r>
      <w:bookmarkEnd w:id="379"/>
    </w:p>
    <w:p w14:paraId="767890B0" w14:textId="3AC437C2" w:rsidR="001E7E6E" w:rsidRDefault="001E7E6E" w:rsidP="00143F01">
      <w:pPr>
        <w:spacing w:after="0" w:line="240" w:lineRule="auto"/>
      </w:pPr>
    </w:p>
    <w:p w14:paraId="7112D82D" w14:textId="2CC26BA4" w:rsidR="00843E78" w:rsidRDefault="00843E78" w:rsidP="00616CE6">
      <w:pPr>
        <w:spacing w:after="0" w:line="240" w:lineRule="auto"/>
        <w:jc w:val="both"/>
      </w:pPr>
      <w:r>
        <w:t xml:space="preserve">Certains arbres et plantes peuvent être utiles, produire du bois, des aliments (fruits) et pourtant nous ne les recommandons pas, malgré leurs qualité, à cause de leur </w:t>
      </w:r>
      <w:r w:rsidRPr="0036786B">
        <w:rPr>
          <w:i/>
          <w:iCs/>
        </w:rPr>
        <w:t>caractère fortement invasif</w:t>
      </w:r>
      <w:r>
        <w:t>. Voici la liste de ces plantes :</w:t>
      </w:r>
    </w:p>
    <w:p w14:paraId="38A31286" w14:textId="39A84034" w:rsidR="00843E78" w:rsidRDefault="00843E78" w:rsidP="00143F01">
      <w:pPr>
        <w:spacing w:after="0" w:line="240" w:lineRule="auto"/>
      </w:pPr>
    </w:p>
    <w:p w14:paraId="6A2BEF54" w14:textId="5C2BFE37" w:rsidR="00843E78" w:rsidRPr="00A366B0" w:rsidRDefault="00843E78" w:rsidP="001F79EE">
      <w:pPr>
        <w:pStyle w:val="Paragraphedeliste"/>
        <w:numPr>
          <w:ilvl w:val="0"/>
          <w:numId w:val="53"/>
        </w:numPr>
        <w:spacing w:after="0" w:line="240" w:lineRule="auto"/>
      </w:pPr>
      <w:r w:rsidRPr="00411177">
        <w:rPr>
          <w:lang w:val="es-AR"/>
        </w:rPr>
        <w:t>Figuier de Barbarie (</w:t>
      </w:r>
      <w:r w:rsidRPr="00411177">
        <w:rPr>
          <w:i/>
          <w:iCs/>
          <w:lang w:val="es-AR"/>
        </w:rPr>
        <w:t>Opuntia ficus-indica etc.</w:t>
      </w:r>
      <w:r w:rsidRPr="00411177">
        <w:rPr>
          <w:lang w:val="es-AR"/>
        </w:rPr>
        <w:t xml:space="preserve">) </w:t>
      </w:r>
      <w:r w:rsidRPr="00A366B0">
        <w:t>(cactée arbustif).</w:t>
      </w:r>
    </w:p>
    <w:p w14:paraId="7ACCA20E" w14:textId="2BAE6380" w:rsidR="00A366B0" w:rsidRPr="00A366B0" w:rsidRDefault="00A366B0" w:rsidP="001F79EE">
      <w:pPr>
        <w:pStyle w:val="Paragraphedeliste"/>
        <w:numPr>
          <w:ilvl w:val="0"/>
          <w:numId w:val="53"/>
        </w:numPr>
        <w:spacing w:after="0" w:line="240" w:lineRule="auto"/>
      </w:pPr>
      <w:r w:rsidRPr="00A366B0">
        <w:t>Oponce stricte (</w:t>
      </w:r>
      <w:r w:rsidRPr="00526C15">
        <w:rPr>
          <w:i/>
          <w:iCs/>
        </w:rPr>
        <w:t>Opuntia stricta</w:t>
      </w:r>
      <w:r w:rsidRPr="00A366B0">
        <w:t>)</w:t>
      </w:r>
    </w:p>
    <w:p w14:paraId="32894681" w14:textId="1EC46038" w:rsidR="00843E78" w:rsidRPr="00A366B0" w:rsidRDefault="00843E78" w:rsidP="001F79EE">
      <w:pPr>
        <w:pStyle w:val="Paragraphedeliste"/>
        <w:numPr>
          <w:ilvl w:val="0"/>
          <w:numId w:val="53"/>
        </w:numPr>
        <w:spacing w:after="0" w:line="240" w:lineRule="auto"/>
      </w:pPr>
      <w:r w:rsidRPr="00411177">
        <w:rPr>
          <w:lang w:val="en-GB"/>
        </w:rPr>
        <w:t>Agave sisal (</w:t>
      </w:r>
      <w:hyperlink r:id="rId3922" w:history="1">
        <w:r w:rsidRPr="00411177">
          <w:rPr>
            <w:rStyle w:val="Lienhypertexte"/>
            <w:i/>
            <w:iCs/>
            <w:lang w:val="en-GB"/>
          </w:rPr>
          <w:t xml:space="preserve">Agave </w:t>
        </w:r>
      </w:hyperlink>
      <w:hyperlink r:id="rId3923" w:history="1">
        <w:r w:rsidRPr="00411177">
          <w:rPr>
            <w:rStyle w:val="Lienhypertexte"/>
            <w:i/>
            <w:iCs/>
            <w:lang w:val="en-GB"/>
          </w:rPr>
          <w:t>sisalana</w:t>
        </w:r>
      </w:hyperlink>
      <w:r w:rsidRPr="00411177">
        <w:rPr>
          <w:lang w:val="en-GB"/>
        </w:rPr>
        <w:t xml:space="preserve">, </w:t>
      </w:r>
      <w:r w:rsidRPr="00411177">
        <w:rPr>
          <w:i/>
          <w:iCs/>
          <w:lang w:val="en-GB"/>
        </w:rPr>
        <w:t xml:space="preserve">Agave ixtli </w:t>
      </w:r>
      <w:r w:rsidRPr="00411177">
        <w:rPr>
          <w:lang w:val="en-GB"/>
        </w:rPr>
        <w:t xml:space="preserve">etc.) </w:t>
      </w:r>
      <w:r w:rsidRPr="00A366B0">
        <w:t>(cactée arbustif).</w:t>
      </w:r>
    </w:p>
    <w:p w14:paraId="79C6FDBA" w14:textId="59C17D42" w:rsidR="00843E78" w:rsidRPr="00A366B0" w:rsidRDefault="00843E78" w:rsidP="001F79EE">
      <w:pPr>
        <w:pStyle w:val="Paragraphedeliste"/>
        <w:numPr>
          <w:ilvl w:val="0"/>
          <w:numId w:val="53"/>
        </w:numPr>
        <w:spacing w:after="0" w:line="240" w:lineRule="auto"/>
      </w:pPr>
      <w:r w:rsidRPr="00A366B0">
        <w:t>Bois de fer des marais (</w:t>
      </w:r>
      <w:r w:rsidRPr="00A366B0">
        <w:rPr>
          <w:i/>
          <w:iCs/>
        </w:rPr>
        <w:t>Casuarina glauca</w:t>
      </w:r>
      <w:r w:rsidRPr="00A366B0">
        <w:t>) (arbre, buisson).</w:t>
      </w:r>
    </w:p>
    <w:p w14:paraId="6200CCE4" w14:textId="6EEF2743" w:rsidR="00843E78" w:rsidRPr="00A366B0" w:rsidRDefault="00843E78" w:rsidP="001F79EE">
      <w:pPr>
        <w:pStyle w:val="Paragraphedeliste"/>
        <w:numPr>
          <w:ilvl w:val="0"/>
          <w:numId w:val="53"/>
        </w:numPr>
        <w:spacing w:after="0" w:line="240" w:lineRule="auto"/>
      </w:pPr>
      <w:r w:rsidRPr="00A366B0">
        <w:t>Filao (</w:t>
      </w:r>
      <w:r w:rsidRPr="00A366B0">
        <w:rPr>
          <w:i/>
          <w:iCs/>
        </w:rPr>
        <w:t>Casuarina equisetifolia</w:t>
      </w:r>
      <w:r w:rsidRPr="00A366B0">
        <w:t>) (arbre).</w:t>
      </w:r>
    </w:p>
    <w:p w14:paraId="43FFCB52" w14:textId="77777777" w:rsidR="0036786B" w:rsidRPr="0036786B" w:rsidRDefault="0036786B" w:rsidP="001F79EE">
      <w:pPr>
        <w:pStyle w:val="Paragraphedeliste"/>
        <w:numPr>
          <w:ilvl w:val="0"/>
          <w:numId w:val="53"/>
        </w:numPr>
        <w:spacing w:after="0" w:line="240" w:lineRule="auto"/>
        <w:rPr>
          <w:lang w:val="es-AR"/>
        </w:rPr>
      </w:pPr>
      <w:r w:rsidRPr="0036786B">
        <w:rPr>
          <w:lang w:val="es-AR"/>
        </w:rPr>
        <w:t>Acacia auriculé (</w:t>
      </w:r>
      <w:r w:rsidRPr="0036786B">
        <w:rPr>
          <w:i/>
          <w:iCs/>
          <w:lang w:val="es-AR"/>
        </w:rPr>
        <w:t>Acacia auriculiformis</w:t>
      </w:r>
      <w:r w:rsidRPr="0036786B">
        <w:rPr>
          <w:lang w:val="es-AR"/>
        </w:rPr>
        <w:t>) (arbre).</w:t>
      </w:r>
    </w:p>
    <w:p w14:paraId="53C13EA3" w14:textId="67C230D2" w:rsidR="00843E78" w:rsidRPr="00A366B0" w:rsidRDefault="00843E78" w:rsidP="001F79EE">
      <w:pPr>
        <w:pStyle w:val="Paragraphedeliste"/>
        <w:numPr>
          <w:ilvl w:val="0"/>
          <w:numId w:val="53"/>
        </w:numPr>
        <w:spacing w:after="0" w:line="240" w:lineRule="auto"/>
      </w:pPr>
      <w:r w:rsidRPr="00A366B0">
        <w:t>Acacia à bois noir ou Mimosa à bois noir (</w:t>
      </w:r>
      <w:r w:rsidRPr="00A366B0">
        <w:rPr>
          <w:i/>
          <w:iCs/>
        </w:rPr>
        <w:t>Acacia melanoxylon</w:t>
      </w:r>
      <w:r w:rsidRPr="00A366B0">
        <w:t>) (arbre).</w:t>
      </w:r>
    </w:p>
    <w:p w14:paraId="5D3A0E2C" w14:textId="77777777" w:rsidR="0036786B" w:rsidRPr="0036786B" w:rsidRDefault="0036786B" w:rsidP="001F79EE">
      <w:pPr>
        <w:pStyle w:val="Paragraphedeliste"/>
        <w:numPr>
          <w:ilvl w:val="0"/>
          <w:numId w:val="53"/>
        </w:numPr>
        <w:spacing w:after="0" w:line="240" w:lineRule="auto"/>
        <w:rPr>
          <w:lang w:val="es-AR"/>
        </w:rPr>
      </w:pPr>
      <w:r w:rsidRPr="0036786B">
        <w:rPr>
          <w:lang w:val="es-AR"/>
        </w:rPr>
        <w:t>Épine de Jérusalem (</w:t>
      </w:r>
      <w:r w:rsidRPr="0036786B">
        <w:rPr>
          <w:i/>
          <w:iCs/>
          <w:lang w:val="es-AR"/>
        </w:rPr>
        <w:t>Parkinsonia aculeata</w:t>
      </w:r>
      <w:r w:rsidRPr="0036786B">
        <w:rPr>
          <w:lang w:val="es-AR"/>
        </w:rPr>
        <w:t>) (arbre).</w:t>
      </w:r>
    </w:p>
    <w:p w14:paraId="378CDE10" w14:textId="466BC2D1" w:rsidR="00843E78" w:rsidRPr="00A366B0" w:rsidRDefault="00843E78" w:rsidP="001F79EE">
      <w:pPr>
        <w:pStyle w:val="Paragraphedeliste"/>
        <w:numPr>
          <w:ilvl w:val="0"/>
          <w:numId w:val="53"/>
        </w:numPr>
        <w:spacing w:after="0" w:line="240" w:lineRule="auto"/>
      </w:pPr>
      <w:r w:rsidRPr="00A366B0">
        <w:t>« Mesquite » (</w:t>
      </w:r>
      <w:r w:rsidRPr="00A366B0">
        <w:rPr>
          <w:i/>
          <w:iCs/>
        </w:rPr>
        <w:t>Prosopis juliflora</w:t>
      </w:r>
      <w:r w:rsidRPr="00A366B0">
        <w:t>) (arbre).</w:t>
      </w:r>
    </w:p>
    <w:p w14:paraId="72A6C80B" w14:textId="1AC37AB2" w:rsidR="00843E78" w:rsidRPr="00A366B0" w:rsidRDefault="00843E78" w:rsidP="001F79EE">
      <w:pPr>
        <w:pStyle w:val="Paragraphedeliste"/>
        <w:numPr>
          <w:ilvl w:val="0"/>
          <w:numId w:val="53"/>
        </w:numPr>
        <w:spacing w:after="0" w:line="240" w:lineRule="auto"/>
      </w:pPr>
      <w:r w:rsidRPr="00A366B0">
        <w:rPr>
          <w:i/>
          <w:iCs/>
        </w:rPr>
        <w:t>Atriplex sp.</w:t>
      </w:r>
      <w:r w:rsidRPr="00A366B0">
        <w:t xml:space="preserve"> (</w:t>
      </w:r>
      <w:r w:rsidR="00731BB9" w:rsidRPr="00A366B0">
        <w:t>Arbre</w:t>
      </w:r>
      <w:r w:rsidRPr="00A366B0">
        <w:t>).</w:t>
      </w:r>
    </w:p>
    <w:p w14:paraId="03554AE8" w14:textId="2A834862" w:rsidR="00843E78" w:rsidRPr="00A366B0" w:rsidRDefault="00843E78" w:rsidP="001F79EE">
      <w:pPr>
        <w:pStyle w:val="Paragraphedeliste"/>
        <w:numPr>
          <w:ilvl w:val="0"/>
          <w:numId w:val="53"/>
        </w:numPr>
        <w:spacing w:after="0" w:line="240" w:lineRule="auto"/>
      </w:pPr>
      <w:r w:rsidRPr="00A366B0">
        <w:rPr>
          <w:i/>
          <w:iCs/>
        </w:rPr>
        <w:t>Tamarix sp.</w:t>
      </w:r>
      <w:r w:rsidRPr="00A366B0">
        <w:t xml:space="preserve"> (</w:t>
      </w:r>
      <w:r w:rsidR="00731BB9" w:rsidRPr="00A366B0">
        <w:t>Arbre</w:t>
      </w:r>
      <w:r w:rsidRPr="00A366B0">
        <w:t>).</w:t>
      </w:r>
    </w:p>
    <w:p w14:paraId="7A2751F6" w14:textId="69C92395" w:rsidR="00843E78" w:rsidRPr="00A366B0" w:rsidRDefault="00843E78" w:rsidP="001F79EE">
      <w:pPr>
        <w:pStyle w:val="Paragraphedeliste"/>
        <w:numPr>
          <w:ilvl w:val="0"/>
          <w:numId w:val="53"/>
        </w:numPr>
        <w:spacing w:after="0" w:line="240" w:lineRule="auto"/>
      </w:pPr>
      <w:r w:rsidRPr="00A366B0">
        <w:t xml:space="preserve">Tamaris d'Afrique </w:t>
      </w:r>
      <w:r w:rsidRPr="00A366B0">
        <w:rPr>
          <w:i/>
          <w:iCs/>
        </w:rPr>
        <w:t>(Tamarix africana)</w:t>
      </w:r>
      <w:r w:rsidRPr="00A366B0">
        <w:t xml:space="preserve"> (arbre).</w:t>
      </w:r>
    </w:p>
    <w:p w14:paraId="5180469A" w14:textId="6466E916" w:rsidR="00843E78" w:rsidRPr="00A366B0" w:rsidRDefault="00843E78" w:rsidP="001F79EE">
      <w:pPr>
        <w:pStyle w:val="Paragraphedeliste"/>
        <w:numPr>
          <w:ilvl w:val="0"/>
          <w:numId w:val="53"/>
        </w:numPr>
        <w:spacing w:after="0" w:line="240" w:lineRule="auto"/>
      </w:pPr>
      <w:r w:rsidRPr="00A366B0">
        <w:t>Tamaris Athel (</w:t>
      </w:r>
      <w:r w:rsidRPr="00A366B0">
        <w:rPr>
          <w:i/>
          <w:iCs/>
        </w:rPr>
        <w:t xml:space="preserve">Tamarix aphylla </w:t>
      </w:r>
      <w:r w:rsidRPr="00A366B0">
        <w:t>ou </w:t>
      </w:r>
      <w:r w:rsidRPr="00A366B0">
        <w:rPr>
          <w:i/>
          <w:iCs/>
        </w:rPr>
        <w:t>Tamarix articulata</w:t>
      </w:r>
      <w:r w:rsidRPr="00A366B0">
        <w:t>) (arbre).</w:t>
      </w:r>
    </w:p>
    <w:p w14:paraId="5A4469BD" w14:textId="5B08E8A7" w:rsidR="00843E78" w:rsidRPr="00A366B0" w:rsidRDefault="00843E78" w:rsidP="001F79EE">
      <w:pPr>
        <w:pStyle w:val="Paragraphedeliste"/>
        <w:numPr>
          <w:ilvl w:val="0"/>
          <w:numId w:val="53"/>
        </w:numPr>
        <w:spacing w:after="0" w:line="240" w:lineRule="auto"/>
      </w:pPr>
      <w:r w:rsidRPr="00A366B0">
        <w:rPr>
          <w:i/>
          <w:iCs/>
        </w:rPr>
        <w:t xml:space="preserve">Tamarix tetandra </w:t>
      </w:r>
      <w:r w:rsidRPr="00A366B0">
        <w:t>(arbre).</w:t>
      </w:r>
    </w:p>
    <w:p w14:paraId="564F0B6B" w14:textId="77777777" w:rsidR="0036786B" w:rsidRPr="00A366B0" w:rsidRDefault="0036786B" w:rsidP="001F79EE">
      <w:pPr>
        <w:pStyle w:val="Paragraphedeliste"/>
        <w:numPr>
          <w:ilvl w:val="0"/>
          <w:numId w:val="53"/>
        </w:numPr>
        <w:spacing w:after="0" w:line="240" w:lineRule="auto"/>
      </w:pPr>
      <w:r w:rsidRPr="00A366B0">
        <w:t>Genêt blanc ou Retam blanc (</w:t>
      </w:r>
      <w:r w:rsidRPr="00A366B0">
        <w:rPr>
          <w:i/>
          <w:iCs/>
        </w:rPr>
        <w:t>Retama monosperma</w:t>
      </w:r>
      <w:r w:rsidRPr="00A366B0">
        <w:t>).</w:t>
      </w:r>
    </w:p>
    <w:p w14:paraId="74318C07" w14:textId="2EB3F4B9" w:rsidR="00843E78" w:rsidRPr="00A366B0" w:rsidRDefault="00843E78" w:rsidP="001F79EE">
      <w:pPr>
        <w:pStyle w:val="Paragraphedeliste"/>
        <w:numPr>
          <w:ilvl w:val="0"/>
          <w:numId w:val="53"/>
        </w:numPr>
        <w:spacing w:after="0" w:line="240" w:lineRule="auto"/>
      </w:pPr>
      <w:r w:rsidRPr="00A366B0">
        <w:t xml:space="preserve">Massette - </w:t>
      </w:r>
      <w:r w:rsidRPr="00A366B0">
        <w:rPr>
          <w:i/>
          <w:iCs/>
        </w:rPr>
        <w:t>Typha</w:t>
      </w:r>
      <w:r w:rsidRPr="00A366B0">
        <w:t>.</w:t>
      </w:r>
    </w:p>
    <w:p w14:paraId="111643AA" w14:textId="77777777" w:rsidR="0036786B" w:rsidRPr="00A366B0" w:rsidRDefault="0036786B" w:rsidP="001F79EE">
      <w:pPr>
        <w:pStyle w:val="Paragraphedeliste"/>
        <w:numPr>
          <w:ilvl w:val="0"/>
          <w:numId w:val="53"/>
        </w:numPr>
        <w:spacing w:after="0" w:line="240" w:lineRule="auto"/>
      </w:pPr>
      <w:r w:rsidRPr="00A366B0">
        <w:t>Kikuyu grass ou herbe kikuyu (</w:t>
      </w:r>
      <w:r w:rsidRPr="00A366B0">
        <w:rPr>
          <w:i/>
          <w:iCs/>
        </w:rPr>
        <w:t>Pennisetum clandestinum</w:t>
      </w:r>
      <w:r w:rsidRPr="00A366B0">
        <w:t>)</w:t>
      </w:r>
    </w:p>
    <w:p w14:paraId="7B8ACCD5" w14:textId="77777777" w:rsidR="0036786B" w:rsidRPr="0036786B" w:rsidRDefault="0036786B" w:rsidP="001F79EE">
      <w:pPr>
        <w:pStyle w:val="Paragraphedeliste"/>
        <w:numPr>
          <w:ilvl w:val="0"/>
          <w:numId w:val="53"/>
        </w:numPr>
        <w:spacing w:after="0" w:line="240" w:lineRule="auto"/>
        <w:rPr>
          <w:lang w:val="en-GB"/>
        </w:rPr>
      </w:pPr>
      <w:r w:rsidRPr="0036786B">
        <w:rPr>
          <w:lang w:val="en-GB"/>
        </w:rPr>
        <w:t>Texas blueweed (Texas vipérine) ou yerba parda (</w:t>
      </w:r>
      <w:r w:rsidRPr="0036786B">
        <w:rPr>
          <w:i/>
          <w:iCs/>
          <w:lang w:val="en-GB"/>
        </w:rPr>
        <w:t>Helianthus ciliaris</w:t>
      </w:r>
      <w:r w:rsidRPr="0036786B">
        <w:rPr>
          <w:lang w:val="en-GB"/>
        </w:rPr>
        <w:t>)</w:t>
      </w:r>
    </w:p>
    <w:p w14:paraId="5957EAB3" w14:textId="77777777" w:rsidR="00E5374E" w:rsidRPr="0036786B" w:rsidRDefault="00E5374E" w:rsidP="00D46BDD">
      <w:pPr>
        <w:spacing w:after="0" w:line="240" w:lineRule="auto"/>
        <w:jc w:val="both"/>
        <w:rPr>
          <w:lang w:val="en-GB"/>
        </w:rPr>
      </w:pPr>
    </w:p>
    <w:p w14:paraId="6AAE4FE6" w14:textId="5FE17FD5" w:rsidR="00E60557" w:rsidRDefault="00D46BDD" w:rsidP="00D46BDD">
      <w:pPr>
        <w:spacing w:after="0" w:line="240" w:lineRule="auto"/>
        <w:jc w:val="both"/>
      </w:pPr>
      <w:r w:rsidRPr="00D46BDD">
        <w:t xml:space="preserve">Tous les </w:t>
      </w:r>
      <w:r w:rsidRPr="00D46BDD">
        <w:rPr>
          <w:i/>
          <w:iCs/>
        </w:rPr>
        <w:t>Prosopis</w:t>
      </w:r>
      <w:r w:rsidRPr="00D46BDD">
        <w:t xml:space="preserve"> (P</w:t>
      </w:r>
      <w:r w:rsidRPr="00D46BDD">
        <w:rPr>
          <w:i/>
          <w:iCs/>
        </w:rPr>
        <w:t xml:space="preserve">. alba, P. nigra, P. pallida, P. chilensis, P. juliflora, P. glandulosa </w:t>
      </w:r>
      <w:r w:rsidRPr="00D46BDD">
        <w:t xml:space="preserve">et …) peuvent résister à un niveau élevé en sel </w:t>
      </w:r>
      <w:r w:rsidRPr="0036786B">
        <w:rPr>
          <w:i/>
          <w:iCs/>
        </w:rPr>
        <w:t>mais possèdent un potentiel invasif</w:t>
      </w:r>
      <w:r w:rsidRPr="00D46BDD">
        <w:t>.</w:t>
      </w:r>
      <w:r>
        <w:t xml:space="preserve"> </w:t>
      </w:r>
      <w:r w:rsidRPr="00D46BDD">
        <w:t xml:space="preserve">Idem pour tous les </w:t>
      </w:r>
      <w:r w:rsidRPr="00D46BDD">
        <w:rPr>
          <w:i/>
          <w:iCs/>
        </w:rPr>
        <w:t>Atriplex</w:t>
      </w:r>
      <w:r w:rsidRPr="00D46BDD">
        <w:t xml:space="preserve"> (A</w:t>
      </w:r>
      <w:r w:rsidRPr="00D46BDD">
        <w:rPr>
          <w:i/>
          <w:iCs/>
        </w:rPr>
        <w:t>. halimus, A. semibaccata</w:t>
      </w:r>
      <w:r>
        <w:rPr>
          <w:rStyle w:val="Appelnotedebasdep"/>
          <w:i/>
          <w:iCs/>
        </w:rPr>
        <w:footnoteReference w:id="294"/>
      </w:r>
      <w:r w:rsidRPr="00D46BDD">
        <w:t>, etc.)</w:t>
      </w:r>
      <w:r>
        <w:t>.</w:t>
      </w:r>
    </w:p>
    <w:p w14:paraId="68F1F268" w14:textId="24ED6C6E" w:rsidR="00165C89" w:rsidRDefault="00165C89" w:rsidP="00D46BDD">
      <w:pPr>
        <w:spacing w:after="0" w:line="240" w:lineRule="auto"/>
        <w:jc w:val="both"/>
      </w:pPr>
    </w:p>
    <w:p w14:paraId="1CD4FE56" w14:textId="08CA5472" w:rsidR="00165C89" w:rsidRDefault="00165C89" w:rsidP="00165C89">
      <w:pPr>
        <w:spacing w:after="0" w:line="240" w:lineRule="auto"/>
        <w:jc w:val="both"/>
      </w:pPr>
      <w:r w:rsidRPr="00165C89">
        <w:t xml:space="preserve">Score des risques invasifs pour les </w:t>
      </w:r>
      <w:r w:rsidRPr="00165C89">
        <w:rPr>
          <w:i/>
          <w:iCs/>
        </w:rPr>
        <w:t>oponces</w:t>
      </w:r>
      <w:r w:rsidRPr="00165C89">
        <w:t xml:space="preserve"> :</w:t>
      </w:r>
    </w:p>
    <w:p w14:paraId="55165847" w14:textId="77777777" w:rsidR="00165C89" w:rsidRPr="00165C89" w:rsidRDefault="00165C89" w:rsidP="00165C89">
      <w:pPr>
        <w:spacing w:after="0" w:line="240" w:lineRule="auto"/>
        <w:jc w:val="both"/>
      </w:pPr>
    </w:p>
    <w:p w14:paraId="322DF2BF" w14:textId="1AD4C452" w:rsidR="00165C89" w:rsidRPr="00165C89" w:rsidRDefault="00000000" w:rsidP="001F79EE">
      <w:pPr>
        <w:pStyle w:val="Paragraphedeliste"/>
        <w:numPr>
          <w:ilvl w:val="0"/>
          <w:numId w:val="55"/>
        </w:numPr>
        <w:spacing w:after="0" w:line="240" w:lineRule="auto"/>
        <w:jc w:val="both"/>
      </w:pPr>
      <w:hyperlink r:id="rId3924" w:history="1">
        <w:r w:rsidR="00165C89" w:rsidRPr="00165C89">
          <w:rPr>
            <w:rStyle w:val="Lienhypertexte"/>
            <w:i/>
            <w:iCs/>
          </w:rPr>
          <w:t>Opuntia ficus-</w:t>
        </w:r>
      </w:hyperlink>
      <w:hyperlink r:id="rId3925" w:history="1">
        <w:r w:rsidR="00165C89" w:rsidRPr="00165C89">
          <w:rPr>
            <w:rStyle w:val="Lienhypertexte"/>
            <w:i/>
            <w:iCs/>
          </w:rPr>
          <w:t>indica</w:t>
        </w:r>
      </w:hyperlink>
      <w:r w:rsidR="00165C89" w:rsidRPr="00165C89">
        <w:t>  : ?</w:t>
      </w:r>
      <w:r w:rsidR="00165C89">
        <w:t xml:space="preserve"> (Probablement, score : 20).</w:t>
      </w:r>
    </w:p>
    <w:p w14:paraId="27C66A7F" w14:textId="77777777" w:rsidR="00165C89" w:rsidRPr="00165C89" w:rsidRDefault="00000000" w:rsidP="001F79EE">
      <w:pPr>
        <w:pStyle w:val="Paragraphedeliste"/>
        <w:numPr>
          <w:ilvl w:val="0"/>
          <w:numId w:val="55"/>
        </w:numPr>
        <w:spacing w:after="0" w:line="240" w:lineRule="auto"/>
        <w:jc w:val="both"/>
      </w:pPr>
      <w:hyperlink r:id="rId3926" w:history="1">
        <w:r w:rsidR="00165C89" w:rsidRPr="00165C89">
          <w:rPr>
            <w:rStyle w:val="Lienhypertexte"/>
            <w:i/>
            <w:iCs/>
          </w:rPr>
          <w:t xml:space="preserve">Opuntia </w:t>
        </w:r>
      </w:hyperlink>
      <w:hyperlink r:id="rId3927" w:history="1">
        <w:r w:rsidR="00165C89" w:rsidRPr="00165C89">
          <w:rPr>
            <w:rStyle w:val="Lienhypertexte"/>
            <w:i/>
            <w:iCs/>
          </w:rPr>
          <w:t>monacantha</w:t>
        </w:r>
      </w:hyperlink>
      <w:r w:rsidR="00165C89" w:rsidRPr="00165C89">
        <w:t xml:space="preserve"> : à rejeter, score: 22.</w:t>
      </w:r>
    </w:p>
    <w:p w14:paraId="01F04D34" w14:textId="77777777" w:rsidR="00165C89" w:rsidRPr="00165C89" w:rsidRDefault="00000000" w:rsidP="001F79EE">
      <w:pPr>
        <w:pStyle w:val="Paragraphedeliste"/>
        <w:numPr>
          <w:ilvl w:val="0"/>
          <w:numId w:val="55"/>
        </w:numPr>
        <w:spacing w:after="0" w:line="240" w:lineRule="auto"/>
        <w:jc w:val="both"/>
      </w:pPr>
      <w:hyperlink r:id="rId3928" w:history="1">
        <w:r w:rsidR="00165C89" w:rsidRPr="00165C89">
          <w:rPr>
            <w:rStyle w:val="Lienhypertexte"/>
            <w:i/>
            <w:iCs/>
          </w:rPr>
          <w:t xml:space="preserve">Opuntia </w:t>
        </w:r>
      </w:hyperlink>
      <w:hyperlink r:id="rId3929" w:history="1">
        <w:r w:rsidR="00165C89" w:rsidRPr="00165C89">
          <w:rPr>
            <w:rStyle w:val="Lienhypertexte"/>
            <w:i/>
            <w:iCs/>
          </w:rPr>
          <w:t>stricta</w:t>
        </w:r>
      </w:hyperlink>
      <w:r w:rsidR="00165C89" w:rsidRPr="00165C89">
        <w:rPr>
          <w:i/>
          <w:iCs/>
        </w:rPr>
        <w:t xml:space="preserve"> </w:t>
      </w:r>
      <w:r w:rsidR="00165C89" w:rsidRPr="00165C89">
        <w:t>: à rejeter, score: 20.</w:t>
      </w:r>
    </w:p>
    <w:p w14:paraId="353B5DF5" w14:textId="77777777" w:rsidR="00E5374E" w:rsidRDefault="00E5374E" w:rsidP="00D46BDD">
      <w:pPr>
        <w:spacing w:after="0" w:line="240" w:lineRule="auto"/>
        <w:jc w:val="both"/>
      </w:pPr>
    </w:p>
    <w:p w14:paraId="3A22795C" w14:textId="5EC262B8" w:rsidR="00A3470A" w:rsidRPr="00EE1386" w:rsidRDefault="00EE1386" w:rsidP="00EE1386">
      <w:pPr>
        <w:pStyle w:val="Titre2"/>
      </w:pPr>
      <w:bookmarkStart w:id="380" w:name="_Toc139181670"/>
      <w:r w:rsidRPr="00EE1386">
        <w:t>Figuier de Barbarie</w:t>
      </w:r>
      <w:r w:rsidR="00D80556">
        <w:t xml:space="preserve"> ou cactus raquette</w:t>
      </w:r>
      <w:r w:rsidRPr="00EE1386">
        <w:t xml:space="preserve"> (</w:t>
      </w:r>
      <w:r w:rsidRPr="00EE1386">
        <w:rPr>
          <w:i/>
          <w:iCs/>
        </w:rPr>
        <w:t>Opuntia ficus-indica</w:t>
      </w:r>
      <w:r w:rsidRPr="00EE1386">
        <w:t xml:space="preserve"> etc.)</w:t>
      </w:r>
      <w:bookmarkEnd w:id="380"/>
    </w:p>
    <w:p w14:paraId="1326A47C" w14:textId="18ACB9D6" w:rsidR="00EE1386" w:rsidRDefault="00EE1386" w:rsidP="00D46BDD">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1"/>
        <w:gridCol w:w="3827"/>
        <w:gridCol w:w="1701"/>
        <w:gridCol w:w="258"/>
        <w:gridCol w:w="1379"/>
      </w:tblGrid>
      <w:tr w:rsidR="00DE60FE" w:rsidRPr="000B6BE3" w14:paraId="3E9ECE2F" w14:textId="77777777" w:rsidTr="002D4F6E">
        <w:tc>
          <w:tcPr>
            <w:tcW w:w="3261" w:type="dxa"/>
          </w:tcPr>
          <w:p w14:paraId="0DE82411" w14:textId="31328D0A" w:rsidR="00DE60FE" w:rsidRPr="00DE2C3A" w:rsidRDefault="00DE60FE" w:rsidP="003D7963">
            <w:pPr>
              <w:jc w:val="both"/>
              <w:rPr>
                <w:rFonts w:ascii="Calibri" w:hAnsi="Calibri" w:cs="Calibri"/>
                <w:bCs/>
              </w:rPr>
            </w:pPr>
            <w:r>
              <w:rPr>
                <w:rFonts w:ascii="Calibri" w:hAnsi="Calibri" w:cs="Calibri"/>
                <w:bCs/>
              </w:rPr>
              <w:lastRenderedPageBreak/>
              <w:t>(</w:t>
            </w:r>
            <w:r w:rsidRPr="00DE2C3A">
              <w:rPr>
                <w:rFonts w:ascii="Calibri" w:hAnsi="Calibri" w:cs="Calibri"/>
                <w:bCs/>
              </w:rPr>
              <w:t>Famille des</w:t>
            </w:r>
            <w:r>
              <w:rPr>
                <w:rFonts w:ascii="Calibri" w:hAnsi="Calibri" w:cs="Calibri"/>
              </w:rPr>
              <w:t xml:space="preserve"> </w:t>
            </w:r>
            <w:r w:rsidRPr="00DE60FE">
              <w:rPr>
                <w:i/>
                <w:iCs/>
              </w:rPr>
              <w:t>Cactaceae</w:t>
            </w:r>
            <w:r>
              <w:rPr>
                <w:rFonts w:ascii="Calibri" w:hAnsi="Calibri" w:cs="Calibri"/>
                <w:bCs/>
              </w:rPr>
              <w:t>)</w:t>
            </w:r>
            <w:r w:rsidRPr="00DE2C3A">
              <w:rPr>
                <w:rFonts w:ascii="Calibri" w:hAnsi="Calibri" w:cs="Calibri"/>
                <w:bCs/>
              </w:rPr>
              <w:t>.</w:t>
            </w:r>
          </w:p>
          <w:p w14:paraId="1DBC5873" w14:textId="77777777" w:rsidR="00DE60FE" w:rsidRPr="008F191E" w:rsidRDefault="00DE60FE" w:rsidP="003D7963">
            <w:pPr>
              <w:rPr>
                <w:rFonts w:ascii="Calibri" w:hAnsi="Calibri" w:cs="Calibri"/>
                <w:bCs/>
              </w:rPr>
            </w:pPr>
          </w:p>
          <w:p w14:paraId="5D99F710" w14:textId="525B5695" w:rsidR="00DE60FE" w:rsidRPr="000B6BE3" w:rsidRDefault="00DE60FE" w:rsidP="003D7963">
            <w:pPr>
              <w:rPr>
                <w:rFonts w:cstheme="minorHAnsi"/>
              </w:rPr>
            </w:pPr>
            <w:r w:rsidRPr="00DE60FE">
              <w:rPr>
                <w:rFonts w:cstheme="minorHAnsi"/>
                <w:b/>
                <w:bCs/>
                <w:color w:val="FF0000"/>
              </w:rPr>
              <w:t>A rejeter, score: 20.</w:t>
            </w:r>
            <w:r>
              <w:rPr>
                <w:rStyle w:val="Appelnotedebasdep"/>
                <w:rFonts w:cstheme="minorHAnsi"/>
                <w:b/>
                <w:bCs/>
                <w:color w:val="FF0000"/>
              </w:rPr>
              <w:footnoteReference w:id="295"/>
            </w:r>
          </w:p>
        </w:tc>
        <w:tc>
          <w:tcPr>
            <w:tcW w:w="3827" w:type="dxa"/>
          </w:tcPr>
          <w:p w14:paraId="76A7FEFF" w14:textId="6D5618AA" w:rsidR="00DE60FE" w:rsidRPr="000B6BE3" w:rsidRDefault="00DE60FE" w:rsidP="003D7963">
            <w:pPr>
              <w:rPr>
                <w:rFonts w:cstheme="minorHAnsi"/>
              </w:rPr>
            </w:pPr>
            <w:r w:rsidRPr="000B6BE3">
              <w:rPr>
                <w:rFonts w:cstheme="minorHAnsi"/>
                <w:noProof/>
              </w:rPr>
              <w:t xml:space="preserve">  </w:t>
            </w:r>
            <w:r>
              <w:rPr>
                <w:rFonts w:cstheme="minorHAnsi"/>
                <w:noProof/>
              </w:rPr>
              <w:t xml:space="preserve">     </w:t>
            </w:r>
            <w:r w:rsidRPr="005C50C9">
              <w:rPr>
                <w:rFonts w:cstheme="minorHAnsi"/>
                <w:noProof/>
              </w:rPr>
              <w:drawing>
                <wp:inline distT="0" distB="0" distL="0" distR="0" wp14:anchorId="6D58BB83" wp14:editId="001E73A6">
                  <wp:extent cx="495300" cy="666750"/>
                  <wp:effectExtent l="0" t="0" r="0" b="0"/>
                  <wp:docPr id="155654" name="Image 15"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8" name="Image 15" descr="logo aride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w:t>
            </w:r>
            <w:r w:rsidRPr="008F2681">
              <w:rPr>
                <w:rFonts w:cstheme="minorHAnsi"/>
                <w:noProof/>
              </w:rPr>
              <w:drawing>
                <wp:inline distT="0" distB="0" distL="0" distR="0" wp14:anchorId="2B475FE1" wp14:editId="6C35F388">
                  <wp:extent cx="463550" cy="661988"/>
                  <wp:effectExtent l="0" t="0" r="0" b="5080"/>
                  <wp:docPr id="155655"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r w:rsidR="002D4F6E">
              <w:rPr>
                <w:rFonts w:cstheme="minorHAnsi"/>
                <w:noProof/>
              </w:rPr>
              <w:t xml:space="preserve">  </w:t>
            </w:r>
            <w:r w:rsidR="002D4F6E" w:rsidRPr="00853ED0">
              <w:rPr>
                <w:noProof/>
              </w:rPr>
              <w:drawing>
                <wp:inline distT="0" distB="0" distL="0" distR="0" wp14:anchorId="76AEE736" wp14:editId="2EE8F988">
                  <wp:extent cx="400050" cy="352425"/>
                  <wp:effectExtent l="0" t="0" r="0" b="9525"/>
                  <wp:docPr id="156674" name="Image 21">
                    <a:extLst xmlns:a="http://schemas.openxmlformats.org/drawingml/2006/main">
                      <a:ext uri="{FF2B5EF4-FFF2-40B4-BE49-F238E27FC236}">
                        <a16:creationId xmlns:a16="http://schemas.microsoft.com/office/drawing/2014/main" id="{F52353B3-AA67-41AB-ACE3-C9465695F4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3" name="Image 21">
                            <a:extLst>
                              <a:ext uri="{FF2B5EF4-FFF2-40B4-BE49-F238E27FC236}">
                                <a16:creationId xmlns:a16="http://schemas.microsoft.com/office/drawing/2014/main" id="{F52353B3-AA67-41AB-ACE3-C9465695F4BE}"/>
                              </a:ext>
                            </a:extLst>
                          </pic:cNvPr>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701" w:type="dxa"/>
          </w:tcPr>
          <w:p w14:paraId="25EE62D7" w14:textId="2C459CD0" w:rsidR="00DE60FE" w:rsidRPr="002E01BB" w:rsidRDefault="00DE60FE" w:rsidP="003D7963">
            <w:pPr>
              <w:rPr>
                <w:rFonts w:eastAsia="+mn-ea" w:cstheme="minorHAnsi"/>
                <w:b/>
                <w:bCs/>
                <w:color w:val="008000"/>
                <w:kern w:val="24"/>
                <w:sz w:val="56"/>
                <w:szCs w:val="56"/>
              </w:rPr>
            </w:pPr>
            <w:r w:rsidRPr="00D1445E">
              <w:rPr>
                <w:rFonts w:eastAsia="+mn-ea" w:cstheme="minorHAnsi"/>
                <w:b/>
                <w:bCs/>
                <w:color w:val="008000"/>
                <w:kern w:val="24"/>
                <w:sz w:val="56"/>
                <w:szCs w:val="56"/>
              </w:rPr>
              <w:t>U</w:t>
            </w:r>
            <w:r>
              <w:rPr>
                <w:rFonts w:eastAsia="+mn-ea" w:cstheme="minorHAnsi"/>
                <w:b/>
                <w:bCs/>
                <w:color w:val="008000"/>
                <w:kern w:val="24"/>
                <w:sz w:val="56"/>
                <w:szCs w:val="56"/>
              </w:rPr>
              <w:t xml:space="preserve"> ↗↗</w:t>
            </w:r>
          </w:p>
          <w:p w14:paraId="4552A2A7" w14:textId="77777777" w:rsidR="00DE60FE" w:rsidRPr="000B6BE3" w:rsidRDefault="00DE60FE" w:rsidP="003D7963">
            <w:pPr>
              <w:textAlignment w:val="baseline"/>
              <w:rPr>
                <w:rFonts w:cstheme="minorHAnsi"/>
              </w:rPr>
            </w:pPr>
          </w:p>
        </w:tc>
        <w:tc>
          <w:tcPr>
            <w:tcW w:w="258" w:type="dxa"/>
          </w:tcPr>
          <w:p w14:paraId="0E36C4A0" w14:textId="77777777" w:rsidR="00DE60FE" w:rsidRPr="000B6BE3" w:rsidRDefault="00DE60FE" w:rsidP="003D7963">
            <w:pPr>
              <w:rPr>
                <w:rFonts w:cstheme="minorHAnsi"/>
              </w:rPr>
            </w:pPr>
          </w:p>
        </w:tc>
        <w:tc>
          <w:tcPr>
            <w:tcW w:w="1379" w:type="dxa"/>
          </w:tcPr>
          <w:p w14:paraId="6621ED70" w14:textId="20B3760C" w:rsidR="00DE60FE" w:rsidRPr="000B6BE3" w:rsidRDefault="00DE60FE" w:rsidP="003D7963">
            <w:pPr>
              <w:rPr>
                <w:rFonts w:cstheme="minorHAnsi"/>
              </w:rPr>
            </w:pPr>
            <w:r w:rsidRPr="00DE60FE">
              <w:rPr>
                <w:rFonts w:cstheme="minorHAnsi"/>
                <w:noProof/>
              </w:rPr>
              <w:drawing>
                <wp:inline distT="0" distB="0" distL="0" distR="0" wp14:anchorId="1FC45E96" wp14:editId="4B6D6B1F">
                  <wp:extent cx="457200" cy="457200"/>
                  <wp:effectExtent l="0" t="0" r="0" b="0"/>
                  <wp:docPr id="171026" name="Picture 16" descr="C:\Users\LISAN\Pictures\Plantes fourragères\logo invasive plants5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26" name="Picture 16" descr="C:\Users\LISAN\Pictures\Plantes fourragères\logo invasive plants5_s.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715E8020" w14:textId="51664216" w:rsidR="00EE1386" w:rsidRDefault="00EE1386" w:rsidP="00D46BDD">
      <w:pPr>
        <w:spacing w:after="0" w:line="240" w:lineRule="auto"/>
        <w:jc w:val="both"/>
      </w:pPr>
    </w:p>
    <w:p w14:paraId="77F0500D" w14:textId="77777777" w:rsidR="00EE1386" w:rsidRPr="00EE1386" w:rsidRDefault="00EE1386" w:rsidP="001F79EE">
      <w:pPr>
        <w:numPr>
          <w:ilvl w:val="0"/>
          <w:numId w:val="52"/>
        </w:numPr>
        <w:spacing w:after="0" w:line="240" w:lineRule="auto"/>
        <w:ind w:left="426"/>
        <w:jc w:val="both"/>
      </w:pPr>
      <w:r w:rsidRPr="00EE1386">
        <w:t>Le figuier de Barbarie ou Oponce préfère les zones arides sèches et supporte des périodes de sécheresse longues de 6 à 10 mois et des précipitations de 100 mm-300 mm.</w:t>
      </w:r>
    </w:p>
    <w:p w14:paraId="34972098" w14:textId="77777777" w:rsidR="00E03EB7" w:rsidRDefault="00EE1386" w:rsidP="001F79EE">
      <w:pPr>
        <w:numPr>
          <w:ilvl w:val="0"/>
          <w:numId w:val="52"/>
        </w:numPr>
        <w:spacing w:after="0" w:line="240" w:lineRule="auto"/>
        <w:ind w:left="426"/>
        <w:jc w:val="both"/>
      </w:pPr>
      <w:r w:rsidRPr="00EE1386">
        <w:t xml:space="preserve"> « </w:t>
      </w:r>
      <w:r w:rsidRPr="00EE1386">
        <w:rPr>
          <w:i/>
          <w:iCs/>
        </w:rPr>
        <w:t>Il se propage par graines et par voie végétative. Des fragments de souches délogés prennent facilement racine et régénèrent de nouvelles plantes. Un segment de tige unique est capable de construire un fourré dense. Les graines sont dispersées par les animaux</w:t>
      </w:r>
      <w:r w:rsidRPr="00EE1386">
        <w:t xml:space="preserve"> ».</w:t>
      </w:r>
      <w:r>
        <w:t xml:space="preserve"> </w:t>
      </w:r>
    </w:p>
    <w:p w14:paraId="2C7F2CC5" w14:textId="1B0812A8" w:rsidR="00EE1386" w:rsidRPr="00EE1386" w:rsidRDefault="00E5374E" w:rsidP="001F79EE">
      <w:pPr>
        <w:numPr>
          <w:ilvl w:val="0"/>
          <w:numId w:val="52"/>
        </w:numPr>
        <w:spacing w:after="0" w:line="240" w:lineRule="auto"/>
        <w:ind w:left="426"/>
        <w:jc w:val="both"/>
      </w:pPr>
      <w:r w:rsidRPr="00E5374E">
        <w:rPr>
          <w:u w:val="single"/>
        </w:rPr>
        <w:t>Espèce invasive</w:t>
      </w:r>
      <w:r>
        <w:t xml:space="preserve"> : </w:t>
      </w:r>
      <w:r w:rsidR="00EE1386" w:rsidRPr="00EE1386">
        <w:t>L'invasion la plus spectaculaire à Madagascar est représentée par plusieurs espèces d'</w:t>
      </w:r>
      <w:r w:rsidR="00EE1386" w:rsidRPr="00EE1386">
        <w:rPr>
          <w:i/>
          <w:iCs/>
        </w:rPr>
        <w:t>Opuntias</w:t>
      </w:r>
      <w:r w:rsidR="00EE1386" w:rsidRPr="00EE1386">
        <w:t>, introduites dès le 18° siècles par les Européens.</w:t>
      </w:r>
    </w:p>
    <w:p w14:paraId="19EB9816" w14:textId="6BE0B82D" w:rsidR="00EE1386" w:rsidRDefault="00EE1386" w:rsidP="001F79EE">
      <w:pPr>
        <w:pStyle w:val="Paragraphedeliste"/>
        <w:numPr>
          <w:ilvl w:val="0"/>
          <w:numId w:val="52"/>
        </w:numPr>
        <w:spacing w:after="0" w:line="240" w:lineRule="auto"/>
        <w:ind w:left="426"/>
        <w:jc w:val="both"/>
      </w:pPr>
      <w:r w:rsidRPr="00EE1386">
        <w:rPr>
          <w:i/>
          <w:iCs/>
        </w:rPr>
        <w:t>Opuntia stricta</w:t>
      </w:r>
      <w:r w:rsidRPr="00EE1386">
        <w:t xml:space="preserve"> envahit les herbages et les zones arbustives, les sites perturbés.  "</w:t>
      </w:r>
      <w:r w:rsidRPr="00EE1386">
        <w:rPr>
          <w:i/>
          <w:iCs/>
        </w:rPr>
        <w:t>La plante se propage rapidement en de vastes bosquets épineuses, entravant la faune et remplacent la végétation indigène</w:t>
      </w:r>
      <w:r w:rsidRPr="00EE1386">
        <w:t xml:space="preserve">" (Weber, 2003, P 291). </w:t>
      </w:r>
    </w:p>
    <w:p w14:paraId="6C4CC370" w14:textId="72541D56" w:rsidR="00E03EB7" w:rsidRPr="00E03EB7" w:rsidRDefault="00E03EB7" w:rsidP="001F79EE">
      <w:pPr>
        <w:pStyle w:val="Paragraphedeliste"/>
        <w:numPr>
          <w:ilvl w:val="0"/>
          <w:numId w:val="52"/>
        </w:numPr>
        <w:spacing w:after="0" w:line="240" w:lineRule="auto"/>
        <w:ind w:left="426"/>
        <w:jc w:val="both"/>
      </w:pPr>
      <w:r w:rsidRPr="00E03EB7">
        <w:t xml:space="preserve">Diverses espèces </w:t>
      </w:r>
      <w:r w:rsidRPr="00E03EB7">
        <w:rPr>
          <w:i/>
          <w:iCs/>
        </w:rPr>
        <w:t>d’Opuntias</w:t>
      </w:r>
      <w:r w:rsidRPr="00E03EB7">
        <w:t xml:space="preserve"> </w:t>
      </w:r>
      <w:r w:rsidR="009600A8">
        <w:t xml:space="preserve">sont </w:t>
      </w:r>
      <w:r w:rsidRPr="00E03EB7">
        <w:t xml:space="preserve">invasives : </w:t>
      </w:r>
      <w:r w:rsidRPr="00E03EB7">
        <w:rPr>
          <w:i/>
          <w:iCs/>
        </w:rPr>
        <w:t>O. ficus-indica,O. stricta</w:t>
      </w:r>
      <w:r w:rsidRPr="00E03EB7">
        <w:t xml:space="preserve"> …</w:t>
      </w:r>
    </w:p>
    <w:p w14:paraId="7CDFB6D9" w14:textId="77777777" w:rsidR="00E5374E" w:rsidRPr="00E03EB7" w:rsidRDefault="00E5374E" w:rsidP="001F79EE">
      <w:pPr>
        <w:pStyle w:val="Paragraphedeliste"/>
        <w:numPr>
          <w:ilvl w:val="0"/>
          <w:numId w:val="52"/>
        </w:numPr>
        <w:spacing w:after="0" w:line="240" w:lineRule="auto"/>
        <w:ind w:left="426"/>
        <w:jc w:val="both"/>
      </w:pPr>
      <w:r w:rsidRPr="00E03EB7">
        <w:t>Envahissement des régions arides, par des fourrés épineux d’</w:t>
      </w:r>
      <w:r w:rsidRPr="00E03EB7">
        <w:rPr>
          <w:i/>
          <w:iCs/>
        </w:rPr>
        <w:t>Opuntia spp</w:t>
      </w:r>
      <w:r w:rsidRPr="00E03EB7">
        <w:t>.</w:t>
      </w:r>
    </w:p>
    <w:p w14:paraId="57F285BD" w14:textId="6006500B" w:rsidR="00E03EB7" w:rsidRPr="00E03EB7" w:rsidRDefault="00E5374E" w:rsidP="001F79EE">
      <w:pPr>
        <w:pStyle w:val="Paragraphedeliste"/>
        <w:numPr>
          <w:ilvl w:val="0"/>
          <w:numId w:val="52"/>
        </w:numPr>
        <w:spacing w:after="0" w:line="240" w:lineRule="auto"/>
        <w:ind w:left="426"/>
        <w:jc w:val="both"/>
      </w:pPr>
      <w:r w:rsidRPr="00E5374E">
        <w:rPr>
          <w:u w:val="single"/>
        </w:rPr>
        <w:t>Usages</w:t>
      </w:r>
      <w:r>
        <w:t> :</w:t>
      </w:r>
      <w:r w:rsidR="00E03EB7" w:rsidRPr="00E03EB7">
        <w:t xml:space="preserve"> Tous les </w:t>
      </w:r>
      <w:r w:rsidR="00E03EB7" w:rsidRPr="00E03EB7">
        <w:rPr>
          <w:i/>
          <w:iCs/>
        </w:rPr>
        <w:t>Opuntias</w:t>
      </w:r>
      <w:r w:rsidR="00481D74">
        <w:rPr>
          <w:rStyle w:val="Appelnotedebasdep"/>
          <w:i/>
          <w:iCs/>
        </w:rPr>
        <w:footnoteReference w:id="296"/>
      </w:r>
      <w:r w:rsidR="00E03EB7" w:rsidRPr="00E03EB7">
        <w:rPr>
          <w:i/>
          <w:iCs/>
        </w:rPr>
        <w:t xml:space="preserve"> </w:t>
      </w:r>
      <w:r w:rsidR="00E03EB7" w:rsidRPr="00E03EB7">
        <w:t>produisent de fruits comestibles (figues de barbarie).</w:t>
      </w:r>
    </w:p>
    <w:p w14:paraId="0E018CCA" w14:textId="77777777" w:rsidR="00E03EB7" w:rsidRPr="00E03EB7" w:rsidRDefault="00E03EB7" w:rsidP="001F79EE">
      <w:pPr>
        <w:pStyle w:val="Paragraphedeliste"/>
        <w:numPr>
          <w:ilvl w:val="0"/>
          <w:numId w:val="52"/>
        </w:numPr>
        <w:spacing w:after="0" w:line="240" w:lineRule="auto"/>
        <w:ind w:left="426"/>
        <w:jc w:val="both"/>
      </w:pPr>
      <w:r w:rsidRPr="00E03EB7">
        <w:t xml:space="preserve"> Ils sont tous sources d’eau et de nourriture pour les animaux.</w:t>
      </w:r>
    </w:p>
    <w:p w14:paraId="6C82CEC9" w14:textId="0647F42F" w:rsidR="00E03EB7" w:rsidRDefault="00E03EB7" w:rsidP="001F79EE">
      <w:pPr>
        <w:pStyle w:val="Paragraphedeliste"/>
        <w:numPr>
          <w:ilvl w:val="0"/>
          <w:numId w:val="52"/>
        </w:numPr>
        <w:spacing w:after="0" w:line="240" w:lineRule="auto"/>
        <w:ind w:left="426"/>
        <w:jc w:val="both"/>
      </w:pPr>
      <w:r w:rsidRPr="00E03EB7">
        <w:t xml:space="preserve"> Ils permettent de construire des haies vives défensives</w:t>
      </w:r>
      <w:r w:rsidR="00274556">
        <w:t xml:space="preserve"> et de fixer les dunes</w:t>
      </w:r>
      <w:r w:rsidRPr="00E03EB7">
        <w:t>.</w:t>
      </w:r>
    </w:p>
    <w:p w14:paraId="7F1289EF" w14:textId="62A495AA" w:rsidR="00D80556" w:rsidRPr="00E03EB7" w:rsidRDefault="00D80556" w:rsidP="001F79EE">
      <w:pPr>
        <w:pStyle w:val="Paragraphedeliste"/>
        <w:numPr>
          <w:ilvl w:val="0"/>
          <w:numId w:val="52"/>
        </w:numPr>
        <w:spacing w:after="0" w:line="240" w:lineRule="auto"/>
        <w:ind w:left="426"/>
        <w:jc w:val="both"/>
      </w:pPr>
      <w:r>
        <w:t>Dans le Sud de Madagascar, ses raquettes</w:t>
      </w:r>
      <w:r w:rsidR="00274556">
        <w:t xml:space="preserve"> (son mucilage)</w:t>
      </w:r>
      <w:r>
        <w:t xml:space="preserve"> sert de nourriture, durant les période de soudure.</w:t>
      </w:r>
    </w:p>
    <w:p w14:paraId="4597408D" w14:textId="77777777" w:rsidR="00E03EB7" w:rsidRDefault="00E03EB7" w:rsidP="00D46BDD">
      <w:pPr>
        <w:spacing w:after="0" w:line="240" w:lineRule="auto"/>
        <w:jc w:val="both"/>
      </w:pPr>
    </w:p>
    <w:p w14:paraId="1E9BBDD9" w14:textId="77777777" w:rsidR="00027787" w:rsidRDefault="00E03EB7" w:rsidP="00E03EB7">
      <w:pPr>
        <w:spacing w:after="0" w:line="240" w:lineRule="auto"/>
        <w:jc w:val="both"/>
        <w:rPr>
          <w:lang w:val="en-GB"/>
        </w:rPr>
      </w:pPr>
      <w:r w:rsidRPr="00D80556">
        <w:rPr>
          <w:lang w:val="en-GB"/>
        </w:rPr>
        <w:t>Sources :</w:t>
      </w:r>
      <w:r w:rsidRPr="00E03EB7">
        <w:rPr>
          <w:lang w:val="en-GB"/>
        </w:rPr>
        <w:t xml:space="preserve"> </w:t>
      </w:r>
    </w:p>
    <w:p w14:paraId="5EB0D954" w14:textId="4E86A604" w:rsidR="00E03EB7" w:rsidRPr="00EE1386" w:rsidRDefault="00E03EB7" w:rsidP="00E03EB7">
      <w:pPr>
        <w:spacing w:after="0" w:line="240" w:lineRule="auto"/>
        <w:jc w:val="both"/>
        <w:rPr>
          <w:lang w:val="en-GB"/>
        </w:rPr>
      </w:pPr>
      <w:r w:rsidRPr="00EE1386">
        <w:rPr>
          <w:lang w:val="en-GB"/>
        </w:rPr>
        <w:t xml:space="preserve">a) </w:t>
      </w:r>
      <w:hyperlink r:id="rId3930" w:history="1">
        <w:r w:rsidR="00044676" w:rsidRPr="00D80556">
          <w:rPr>
            <w:rStyle w:val="Lienhypertexte"/>
            <w:lang w:val="en-GB"/>
          </w:rPr>
          <w:t>http://fr.wikipedia.org/wiki/Figuier_de_Barbarie</w:t>
        </w:r>
      </w:hyperlink>
      <w:r w:rsidR="00044676" w:rsidRPr="00D80556">
        <w:rPr>
          <w:lang w:val="en-GB"/>
        </w:rPr>
        <w:t>,</w:t>
      </w:r>
    </w:p>
    <w:p w14:paraId="418E56D0" w14:textId="5F31278F" w:rsidR="00E03EB7" w:rsidRPr="00F63552" w:rsidRDefault="00E03EB7" w:rsidP="00E03EB7">
      <w:pPr>
        <w:spacing w:after="0" w:line="240" w:lineRule="auto"/>
        <w:jc w:val="both"/>
        <w:rPr>
          <w:lang w:val="en-GB"/>
        </w:rPr>
      </w:pPr>
      <w:r w:rsidRPr="00EE1386">
        <w:rPr>
          <w:lang w:val="en-GB"/>
        </w:rPr>
        <w:t xml:space="preserve">b) </w:t>
      </w:r>
      <w:hyperlink r:id="rId3931" w:history="1">
        <w:r w:rsidRPr="00EE1386">
          <w:rPr>
            <w:rStyle w:val="Lienhypertexte"/>
            <w:lang w:val="en-US"/>
          </w:rPr>
          <w:t xml:space="preserve">Weber, </w:t>
        </w:r>
      </w:hyperlink>
      <w:hyperlink r:id="rId3932" w:history="1">
        <w:r w:rsidRPr="00EE1386">
          <w:rPr>
            <w:rStyle w:val="Lienhypertexte"/>
            <w:lang w:val="en-US"/>
          </w:rPr>
          <w:t>Ewald</w:t>
        </w:r>
      </w:hyperlink>
      <w:hyperlink r:id="rId3933" w:history="1">
        <w:r w:rsidRPr="00EE1386">
          <w:rPr>
            <w:rStyle w:val="Lienhypertexte"/>
            <w:lang w:val="en-US"/>
          </w:rPr>
          <w:t>. 2003.</w:t>
        </w:r>
      </w:hyperlink>
      <w:r w:rsidRPr="00EE1386">
        <w:rPr>
          <w:lang w:val="en-US"/>
        </w:rPr>
        <w:t> </w:t>
      </w:r>
      <w:r w:rsidRPr="00EE1386">
        <w:rPr>
          <w:i/>
          <w:iCs/>
          <w:lang w:val="en-US"/>
        </w:rPr>
        <w:t>Invasive plants of the World</w:t>
      </w:r>
      <w:r w:rsidRPr="00EE1386">
        <w:rPr>
          <w:lang w:val="en-US"/>
        </w:rPr>
        <w:t xml:space="preserve">. </w:t>
      </w:r>
      <w:r w:rsidRPr="00F63552">
        <w:rPr>
          <w:lang w:val="en-GB"/>
        </w:rPr>
        <w:t>CABI Publishing, CAB International, Wallingford, UK., page 290 (548 pp.).</w:t>
      </w:r>
    </w:p>
    <w:p w14:paraId="7BC78AC3" w14:textId="1C988904" w:rsidR="00E03EB7" w:rsidRPr="00EE1386" w:rsidRDefault="00E03EB7" w:rsidP="00E03EB7">
      <w:pPr>
        <w:spacing w:after="0" w:line="240" w:lineRule="auto"/>
        <w:jc w:val="both"/>
      </w:pPr>
      <w:r w:rsidRPr="00E03EB7">
        <w:t xml:space="preserve">c) </w:t>
      </w:r>
      <w:r w:rsidRPr="00EE1386">
        <w:rPr>
          <w:i/>
          <w:iCs/>
        </w:rPr>
        <w:t xml:space="preserve">Évaluation préliminaire des risques </w:t>
      </w:r>
      <w:r w:rsidRPr="00E03EB7">
        <w:rPr>
          <w:i/>
          <w:iCs/>
        </w:rPr>
        <w:t>d</w:t>
      </w:r>
      <w:r w:rsidRPr="00E03EB7">
        <w:rPr>
          <w:rFonts w:ascii="Calibri" w:hAnsi="Calibri" w:cs="Calibri"/>
          <w:i/>
          <w:iCs/>
        </w:rPr>
        <w:t>’</w:t>
      </w:r>
      <w:r w:rsidRPr="00E03EB7">
        <w:rPr>
          <w:i/>
          <w:iCs/>
        </w:rPr>
        <w:t>invasion</w:t>
      </w:r>
      <w:r w:rsidRPr="00EE1386">
        <w:rPr>
          <w:i/>
          <w:iCs/>
        </w:rPr>
        <w:t xml:space="preserve"> par les essences foresti</w:t>
      </w:r>
      <w:r w:rsidRPr="00EE1386">
        <w:rPr>
          <w:rFonts w:ascii="Calibri" w:hAnsi="Calibri" w:cs="Calibri"/>
          <w:i/>
          <w:iCs/>
        </w:rPr>
        <w:t>è</w:t>
      </w:r>
      <w:r w:rsidRPr="00EE1386">
        <w:rPr>
          <w:i/>
          <w:iCs/>
        </w:rPr>
        <w:t xml:space="preserve">res introduites </w:t>
      </w:r>
      <w:r w:rsidRPr="00EE1386">
        <w:rPr>
          <w:rFonts w:ascii="Calibri" w:hAnsi="Calibri" w:cs="Calibri"/>
          <w:i/>
          <w:iCs/>
        </w:rPr>
        <w:t>à</w:t>
      </w:r>
      <w:r w:rsidRPr="00EE1386">
        <w:rPr>
          <w:i/>
          <w:iCs/>
        </w:rPr>
        <w:t xml:space="preserve"> Madagascar</w:t>
      </w:r>
      <w:r w:rsidRPr="00EE1386">
        <w:t xml:space="preserve">.  </w:t>
      </w:r>
      <w:hyperlink r:id="rId3934" w:history="1">
        <w:r w:rsidRPr="00EE1386">
          <w:rPr>
            <w:rStyle w:val="Lienhypertexte"/>
          </w:rPr>
          <w:t>http://bft.revuesonline.com/gratuit/BFT63_299_3PtsTas299.pdf</w:t>
        </w:r>
      </w:hyperlink>
    </w:p>
    <w:p w14:paraId="1F679B4A" w14:textId="77777777" w:rsidR="00044676" w:rsidRDefault="00E03EB7" w:rsidP="00D46BDD">
      <w:pPr>
        <w:spacing w:after="0" w:line="240" w:lineRule="auto"/>
        <w:jc w:val="both"/>
      </w:pPr>
      <w:r w:rsidRPr="00E03EB7">
        <w:t xml:space="preserve">d) </w:t>
      </w:r>
      <w:hyperlink r:id="rId3935" w:history="1">
        <w:r w:rsidRPr="00EE1386">
          <w:rPr>
            <w:rStyle w:val="Lienhypertexte"/>
          </w:rPr>
          <w:t>http://www.hear.org/pier/species/opuntia_stricta.htm</w:t>
        </w:r>
      </w:hyperlink>
      <w:r w:rsidR="00044676">
        <w:t xml:space="preserve">, </w:t>
      </w:r>
    </w:p>
    <w:p w14:paraId="5B022693" w14:textId="37CA9678" w:rsidR="00EE1386" w:rsidRPr="00044676" w:rsidRDefault="00044676" w:rsidP="00D46BDD">
      <w:pPr>
        <w:spacing w:after="0" w:line="240" w:lineRule="auto"/>
        <w:jc w:val="both"/>
        <w:rPr>
          <w:lang w:val="es-AR"/>
        </w:rPr>
      </w:pPr>
      <w:r w:rsidRPr="00044676">
        <w:rPr>
          <w:lang w:val="es-AR"/>
        </w:rPr>
        <w:t xml:space="preserve">e) </w:t>
      </w:r>
      <w:hyperlink r:id="rId3936" w:history="1">
        <w:r w:rsidRPr="00EE1386">
          <w:rPr>
            <w:rStyle w:val="Lienhypertexte"/>
            <w:lang w:val="es-AR"/>
          </w:rPr>
          <w:t>http://www.hear.org/pier/species/opuntia_ficus_indica.htm</w:t>
        </w:r>
      </w:hyperlink>
      <w:r w:rsidRPr="00EE1386">
        <w:rPr>
          <w:lang w:val="es-AR"/>
        </w:rPr>
        <w:t xml:space="preserve">  </w:t>
      </w:r>
      <w:r w:rsidRPr="00044676">
        <w:rPr>
          <w:lang w:val="es-AR"/>
        </w:rPr>
        <w:t xml:space="preserve"> </w:t>
      </w:r>
    </w:p>
    <w:p w14:paraId="6E821818" w14:textId="50D46DB0" w:rsidR="00E03EB7" w:rsidRPr="00E03EB7" w:rsidRDefault="00044676" w:rsidP="00E03EB7">
      <w:pPr>
        <w:spacing w:after="0" w:line="240" w:lineRule="auto"/>
      </w:pPr>
      <w:r>
        <w:t>f</w:t>
      </w:r>
      <w:r w:rsidR="00E03EB7" w:rsidRPr="00044676">
        <w:t>)</w:t>
      </w:r>
      <w:r w:rsidR="00E03EB7" w:rsidRPr="00E03EB7">
        <w:t xml:space="preserve"> </w:t>
      </w:r>
      <w:r w:rsidR="00E03EB7" w:rsidRPr="00E03EB7">
        <w:rPr>
          <w:i/>
          <w:iCs/>
        </w:rPr>
        <w:t>Evaluation préliminaire des risques d’invasion par les essences forestières introduites à Madagasca</w:t>
      </w:r>
      <w:r w:rsidR="00E03EB7" w:rsidRPr="00E03EB7">
        <w:t xml:space="preserve">r, Jacques Tassin, Ronald Bellefontaine, Edmond Roger, Christian Kull, Mars 2009, </w:t>
      </w:r>
      <w:r w:rsidR="00E03EB7" w:rsidRPr="00E03EB7">
        <w:rPr>
          <w:i/>
          <w:iCs/>
        </w:rPr>
        <w:t>Bois et Forêts des Tropiques</w:t>
      </w:r>
      <w:r w:rsidR="00E03EB7" w:rsidRPr="00E03EB7">
        <w:t xml:space="preserve"> 299(299):27, </w:t>
      </w:r>
      <w:hyperlink r:id="rId3937" w:history="1">
        <w:r w:rsidR="00E03EB7" w:rsidRPr="00EE130C">
          <w:rPr>
            <w:rStyle w:val="Lienhypertexte"/>
          </w:rPr>
          <w:t>https://revues.cirad.fr/index.php/BFT/article/view/20420</w:t>
        </w:r>
      </w:hyperlink>
      <w:r w:rsidR="00E03EB7">
        <w:t xml:space="preserve"> </w:t>
      </w:r>
      <w:r w:rsidR="00E03EB7" w:rsidRPr="00E03EB7">
        <w:t xml:space="preserve">et </w:t>
      </w:r>
      <w:hyperlink r:id="rId3938" w:history="1">
        <w:r w:rsidR="00E03EB7" w:rsidRPr="00EE130C">
          <w:rPr>
            <w:rStyle w:val="Lienhypertexte"/>
          </w:rPr>
          <w:t>https://www.researchgate.net/publication/323213608_Evaluation_preliminaire_des_risques_d'invasion_par_les_essences_forestieres_introduites_a_Madagascar</w:t>
        </w:r>
      </w:hyperlink>
      <w:r w:rsidR="00E03EB7">
        <w:t xml:space="preserve"> </w:t>
      </w:r>
    </w:p>
    <w:p w14:paraId="175CC17C" w14:textId="6976E820" w:rsidR="004906F1" w:rsidRDefault="00D80556" w:rsidP="004906F1">
      <w:pPr>
        <w:spacing w:after="0" w:line="240" w:lineRule="auto"/>
      </w:pPr>
      <w:r>
        <w:t>g)</w:t>
      </w:r>
      <w:r w:rsidR="004906F1">
        <w:t xml:space="preserve"> </w:t>
      </w:r>
      <w:r w:rsidR="004906F1" w:rsidRPr="004906F1">
        <w:rPr>
          <w:i/>
          <w:iCs/>
        </w:rPr>
        <w:t>La valorisation du cactus pour le développement</w:t>
      </w:r>
      <w:r w:rsidR="004906F1" w:rsidRPr="004906F1">
        <w:t xml:space="preserve"> [à Madagascar], </w:t>
      </w:r>
      <w:hyperlink r:id="rId3939" w:history="1">
        <w:r w:rsidR="004906F1" w:rsidRPr="00EE130C">
          <w:rPr>
            <w:rStyle w:val="Lienhypertexte"/>
          </w:rPr>
          <w:t>https://www.unicef.org/madagascar/media/2721/file/La%20valorisation%20du%20cactus%20pour%20le%20d%C3%A9veloppement.pdf</w:t>
        </w:r>
      </w:hyperlink>
      <w:r w:rsidR="004906F1">
        <w:t xml:space="preserve"> </w:t>
      </w:r>
    </w:p>
    <w:p w14:paraId="7FD0EDA3" w14:textId="32FDB8D6" w:rsidR="00005B74" w:rsidRDefault="004906F1" w:rsidP="00274556">
      <w:pPr>
        <w:spacing w:after="0" w:line="240" w:lineRule="auto"/>
        <w:jc w:val="both"/>
      </w:pPr>
      <w:r>
        <w:t>h)</w:t>
      </w:r>
      <w:r w:rsidR="00D80556">
        <w:t xml:space="preserve"> </w:t>
      </w:r>
      <w:r w:rsidR="00D80556" w:rsidRPr="00D80556">
        <w:rPr>
          <w:i/>
          <w:iCs/>
        </w:rPr>
        <w:t>La disparition des Opuntia et les famines périodiques dans le Sud de Madagascar</w:t>
      </w:r>
      <w:r w:rsidR="00D80556" w:rsidRPr="00D80556">
        <w:t xml:space="preserve">, G. Petit, Bulletin de l'Association des Geographes Français, 03/1934, </w:t>
      </w:r>
      <w:hyperlink r:id="rId3940" w:history="1">
        <w:r w:rsidR="00D80556" w:rsidRPr="00EE130C">
          <w:rPr>
            <w:rStyle w:val="Lienhypertexte"/>
          </w:rPr>
          <w:t>https://arsie.mg/fr/metadata/la-disparition-des-opuntia-et-les-famines-periodiques-dans-le--597732</w:t>
        </w:r>
      </w:hyperlink>
      <w:r w:rsidR="00D80556">
        <w:t xml:space="preserve"> </w:t>
      </w:r>
    </w:p>
    <w:p w14:paraId="4AA8CA53" w14:textId="77777777" w:rsidR="00165C89" w:rsidRDefault="00165C89" w:rsidP="00274556">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16"/>
        <w:gridCol w:w="1904"/>
        <w:gridCol w:w="1538"/>
        <w:gridCol w:w="3468"/>
      </w:tblGrid>
      <w:tr w:rsidR="00005B74" w14:paraId="42695E88" w14:textId="77777777" w:rsidTr="003C368C">
        <w:tc>
          <w:tcPr>
            <w:tcW w:w="3516" w:type="dxa"/>
          </w:tcPr>
          <w:p w14:paraId="25E9936C" w14:textId="77777777" w:rsidR="00005B74" w:rsidRDefault="00005B74" w:rsidP="00005B74">
            <w:pPr>
              <w:jc w:val="center"/>
            </w:pPr>
            <w:r w:rsidRPr="00005B74">
              <w:rPr>
                <w:noProof/>
              </w:rPr>
              <w:lastRenderedPageBreak/>
              <w:drawing>
                <wp:inline distT="0" distB="0" distL="0" distR="0" wp14:anchorId="16F6A9D9" wp14:editId="0FDEA208">
                  <wp:extent cx="2085975" cy="2152650"/>
                  <wp:effectExtent l="0" t="0" r="9525" b="0"/>
                  <wp:docPr id="171015" name="Picture 2" descr="C:\Users\LISAN\Pictures\plantes invasives de Madagascar\Opuntia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15" name="Picture 2" descr="C:\Users\LISAN\Pictures\plantes invasives de Madagascar\Opuntia_s.jpg"/>
                          <pic:cNvPicPr>
                            <a:picLocks noChangeAspect="1" noChangeArrowheads="1"/>
                          </pic:cNvPicPr>
                        </pic:nvPicPr>
                        <pic:blipFill>
                          <a:blip r:embed="rId3941">
                            <a:extLst>
                              <a:ext uri="{28A0092B-C50C-407E-A947-70E740481C1C}">
                                <a14:useLocalDpi xmlns:a14="http://schemas.microsoft.com/office/drawing/2010/main" val="0"/>
                              </a:ext>
                            </a:extLst>
                          </a:blip>
                          <a:srcRect/>
                          <a:stretch>
                            <a:fillRect/>
                          </a:stretch>
                        </pic:blipFill>
                        <pic:spPr bwMode="auto">
                          <a:xfrm>
                            <a:off x="0" y="0"/>
                            <a:ext cx="2085975" cy="2152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63CD7A9E" w14:textId="3D555DF4" w:rsidR="00005B74" w:rsidRDefault="00005B74" w:rsidP="00005B74">
            <w:pPr>
              <w:jc w:val="center"/>
            </w:pPr>
            <w:r>
              <w:t>© J. Tassin.</w:t>
            </w:r>
          </w:p>
        </w:tc>
        <w:tc>
          <w:tcPr>
            <w:tcW w:w="3442" w:type="dxa"/>
            <w:gridSpan w:val="2"/>
          </w:tcPr>
          <w:p w14:paraId="58158BD1" w14:textId="77777777" w:rsidR="00005B74" w:rsidRDefault="008655CB" w:rsidP="00005B74">
            <w:pPr>
              <w:jc w:val="center"/>
            </w:pPr>
            <w:r w:rsidRPr="008655CB">
              <w:rPr>
                <w:noProof/>
              </w:rPr>
              <w:drawing>
                <wp:inline distT="0" distB="0" distL="0" distR="0" wp14:anchorId="5D575BA2" wp14:editId="7B633994">
                  <wp:extent cx="1533525" cy="1057275"/>
                  <wp:effectExtent l="0" t="0" r="9525" b="9525"/>
                  <wp:docPr id="171016" name="Picture 8" descr="C:\Users\LISAN\Pictures\plantes invasives de Madagascar\Opuntia spp_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16" name="Picture 8" descr="C:\Users\LISAN\Pictures\plantes invasives de Madagascar\Opuntia spp_s1.jpg"/>
                          <pic:cNvPicPr>
                            <a:picLocks noChangeAspect="1" noChangeArrowheads="1"/>
                          </pic:cNvPicPr>
                        </pic:nvPicPr>
                        <pic:blipFill>
                          <a:blip r:embed="rId3942">
                            <a:extLst>
                              <a:ext uri="{28A0092B-C50C-407E-A947-70E740481C1C}">
                                <a14:useLocalDpi xmlns:a14="http://schemas.microsoft.com/office/drawing/2010/main" val="0"/>
                              </a:ext>
                            </a:extLst>
                          </a:blip>
                          <a:srcRect/>
                          <a:stretch>
                            <a:fillRect/>
                          </a:stretch>
                        </pic:blipFill>
                        <pic:spPr bwMode="auto">
                          <a:xfrm>
                            <a:off x="0" y="0"/>
                            <a:ext cx="1533525" cy="1057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F5A44C7" w14:textId="77777777" w:rsidR="008655CB" w:rsidRDefault="008655CB" w:rsidP="00005B74">
            <w:pPr>
              <w:jc w:val="center"/>
            </w:pPr>
          </w:p>
          <w:p w14:paraId="5CE5F4CF" w14:textId="10C4CBB2" w:rsidR="008655CB" w:rsidRDefault="008655CB" w:rsidP="00005B74">
            <w:pPr>
              <w:jc w:val="center"/>
            </w:pPr>
            <w:r w:rsidRPr="008655CB">
              <w:rPr>
                <w:noProof/>
              </w:rPr>
              <w:drawing>
                <wp:inline distT="0" distB="0" distL="0" distR="0" wp14:anchorId="68C73624" wp14:editId="3D74F20C">
                  <wp:extent cx="1339850" cy="1006475"/>
                  <wp:effectExtent l="0" t="0" r="0" b="3175"/>
                  <wp:docPr id="171018" name="Picture 9" descr="C:\Users\LISAN\Pictures\plantes invasives de Madagascar\opuntia_ficus-ind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18" name="Picture 9" descr="C:\Users\LISAN\Pictures\plantes invasives de Madagascar\opuntia_ficus-indica.jpg"/>
                          <pic:cNvPicPr>
                            <a:picLocks noChangeAspect="1" noChangeArrowheads="1"/>
                          </pic:cNvPicPr>
                        </pic:nvPicPr>
                        <pic:blipFill>
                          <a:blip r:embed="rId3943">
                            <a:extLst>
                              <a:ext uri="{28A0092B-C50C-407E-A947-70E740481C1C}">
                                <a14:useLocalDpi xmlns:a14="http://schemas.microsoft.com/office/drawing/2010/main" val="0"/>
                              </a:ext>
                            </a:extLst>
                          </a:blip>
                          <a:srcRect/>
                          <a:stretch>
                            <a:fillRect/>
                          </a:stretch>
                        </pic:blipFill>
                        <pic:spPr bwMode="auto">
                          <a:xfrm>
                            <a:off x="0" y="0"/>
                            <a:ext cx="1339850" cy="1006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68" w:type="dxa"/>
          </w:tcPr>
          <w:p w14:paraId="471039FE" w14:textId="77777777" w:rsidR="00005B74" w:rsidRDefault="008655CB" w:rsidP="00005B74">
            <w:pPr>
              <w:jc w:val="center"/>
            </w:pPr>
            <w:r w:rsidRPr="008655CB">
              <w:rPr>
                <w:noProof/>
              </w:rPr>
              <w:drawing>
                <wp:inline distT="0" distB="0" distL="0" distR="0" wp14:anchorId="13B61DD2" wp14:editId="0B104E87">
                  <wp:extent cx="1846445" cy="1228725"/>
                  <wp:effectExtent l="0" t="0" r="1905" b="0"/>
                  <wp:docPr id="172039" name="Picture 7" descr="C:\Users\LISAN\Pictures\plantes invasives de Madagascar\Opuntia ficus-indic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39" name="Picture 7" descr="C:\Users\LISAN\Pictures\plantes invasives de Madagascar\Opuntia ficus-indica4.jpg"/>
                          <pic:cNvPicPr>
                            <a:picLocks noChangeAspect="1" noChangeArrowheads="1"/>
                          </pic:cNvPicPr>
                        </pic:nvPicPr>
                        <pic:blipFill>
                          <a:blip r:embed="rId3356">
                            <a:extLst>
                              <a:ext uri="{28A0092B-C50C-407E-A947-70E740481C1C}">
                                <a14:useLocalDpi xmlns:a14="http://schemas.microsoft.com/office/drawing/2010/main" val="0"/>
                              </a:ext>
                            </a:extLst>
                          </a:blip>
                          <a:srcRect/>
                          <a:stretch>
                            <a:fillRect/>
                          </a:stretch>
                        </pic:blipFill>
                        <pic:spPr bwMode="auto">
                          <a:xfrm>
                            <a:off x="0" y="0"/>
                            <a:ext cx="1849745" cy="1230921"/>
                          </a:xfrm>
                          <a:prstGeom prst="rect">
                            <a:avLst/>
                          </a:prstGeom>
                          <a:noFill/>
                          <a:ln>
                            <a:noFill/>
                          </a:ln>
                        </pic:spPr>
                      </pic:pic>
                    </a:graphicData>
                  </a:graphic>
                </wp:inline>
              </w:drawing>
            </w:r>
          </w:p>
          <w:p w14:paraId="5A6572F4" w14:textId="77777777" w:rsidR="008655CB" w:rsidRDefault="008655CB" w:rsidP="00005B74">
            <w:pPr>
              <w:jc w:val="center"/>
            </w:pPr>
          </w:p>
          <w:p w14:paraId="3FD2DBA9" w14:textId="77777777" w:rsidR="008655CB" w:rsidRDefault="008655CB" w:rsidP="00005B74">
            <w:pPr>
              <w:jc w:val="center"/>
            </w:pPr>
            <w:r w:rsidRPr="008655CB">
              <w:rPr>
                <w:noProof/>
              </w:rPr>
              <w:drawing>
                <wp:inline distT="0" distB="0" distL="0" distR="0" wp14:anchorId="37B775A5" wp14:editId="142919CE">
                  <wp:extent cx="1296987" cy="976313"/>
                  <wp:effectExtent l="0" t="0" r="0" b="0"/>
                  <wp:docPr id="172042" name="Picture 10" descr="C:\Users\LISAN\Pictures\plantes invasives de Madagascar\Opuntia_monacantha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42" name="Picture 10" descr="C:\Users\LISAN\Pictures\plantes invasives de Madagascar\Opuntia_monacantha_s.jpg"/>
                          <pic:cNvPicPr>
                            <a:picLocks noChangeAspect="1" noChangeArrowheads="1"/>
                          </pic:cNvPicPr>
                        </pic:nvPicPr>
                        <pic:blipFill>
                          <a:blip r:embed="rId3944">
                            <a:extLst>
                              <a:ext uri="{28A0092B-C50C-407E-A947-70E740481C1C}">
                                <a14:useLocalDpi xmlns:a14="http://schemas.microsoft.com/office/drawing/2010/main" val="0"/>
                              </a:ext>
                            </a:extLst>
                          </a:blip>
                          <a:srcRect/>
                          <a:stretch>
                            <a:fillRect/>
                          </a:stretch>
                        </pic:blipFill>
                        <pic:spPr bwMode="auto">
                          <a:xfrm>
                            <a:off x="0" y="0"/>
                            <a:ext cx="1296987" cy="9763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CED9B3D" w14:textId="35D83895" w:rsidR="008655CB" w:rsidRDefault="008655CB" w:rsidP="008655CB">
            <w:pPr>
              <w:jc w:val="center"/>
            </w:pPr>
            <w:r w:rsidRPr="008655CB">
              <w:rPr>
                <w:i/>
                <w:iCs/>
              </w:rPr>
              <w:t>Opuntias monacantha</w:t>
            </w:r>
            <w:r>
              <w:rPr>
                <w:i/>
                <w:iCs/>
              </w:rPr>
              <w:t>.</w:t>
            </w:r>
          </w:p>
        </w:tc>
      </w:tr>
      <w:tr w:rsidR="00005B74" w14:paraId="68985851" w14:textId="77777777" w:rsidTr="003C368C">
        <w:tc>
          <w:tcPr>
            <w:tcW w:w="3516" w:type="dxa"/>
          </w:tcPr>
          <w:p w14:paraId="5F6E388F" w14:textId="77777777" w:rsidR="00005B74" w:rsidRDefault="008655CB" w:rsidP="00005B74">
            <w:pPr>
              <w:jc w:val="center"/>
            </w:pPr>
            <w:r w:rsidRPr="008655CB">
              <w:rPr>
                <w:noProof/>
              </w:rPr>
              <w:drawing>
                <wp:inline distT="0" distB="0" distL="0" distR="0" wp14:anchorId="4026C4C1" wp14:editId="10BAC00D">
                  <wp:extent cx="1845525" cy="1228725"/>
                  <wp:effectExtent l="0" t="0" r="2540" b="0"/>
                  <wp:docPr id="172040" name="Picture 8" descr="C:\Users\LISAN\Pictures\plantes invasives de Madagascar\Opuntia ficus-indic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40" name="Picture 8" descr="C:\Users\LISAN\Pictures\plantes invasives de Madagascar\Opuntia ficus-indica1.jpg"/>
                          <pic:cNvPicPr>
                            <a:picLocks noChangeAspect="1" noChangeArrowheads="1"/>
                          </pic:cNvPicPr>
                        </pic:nvPicPr>
                        <pic:blipFill>
                          <a:blip r:embed="rId3945">
                            <a:extLst>
                              <a:ext uri="{28A0092B-C50C-407E-A947-70E740481C1C}">
                                <a14:useLocalDpi xmlns:a14="http://schemas.microsoft.com/office/drawing/2010/main" val="0"/>
                              </a:ext>
                            </a:extLst>
                          </a:blip>
                          <a:srcRect/>
                          <a:stretch>
                            <a:fillRect/>
                          </a:stretch>
                        </pic:blipFill>
                        <pic:spPr bwMode="auto">
                          <a:xfrm>
                            <a:off x="0" y="0"/>
                            <a:ext cx="1848330" cy="1230593"/>
                          </a:xfrm>
                          <a:prstGeom prst="rect">
                            <a:avLst/>
                          </a:prstGeom>
                          <a:noFill/>
                          <a:ln>
                            <a:noFill/>
                          </a:ln>
                        </pic:spPr>
                      </pic:pic>
                    </a:graphicData>
                  </a:graphic>
                </wp:inline>
              </w:drawing>
            </w:r>
          </w:p>
          <w:p w14:paraId="5F5C6C7C" w14:textId="15F8DC44" w:rsidR="008655CB" w:rsidRDefault="008655CB" w:rsidP="008655CB">
            <w:pPr>
              <w:jc w:val="center"/>
            </w:pPr>
            <w:r>
              <w:t>Fruits d’</w:t>
            </w:r>
            <w:r w:rsidRPr="008655CB">
              <w:rPr>
                <w:i/>
                <w:iCs/>
              </w:rPr>
              <w:t>Opuntia ficus-indica</w:t>
            </w:r>
            <w:r>
              <w:t>.</w:t>
            </w:r>
          </w:p>
        </w:tc>
        <w:tc>
          <w:tcPr>
            <w:tcW w:w="3442" w:type="dxa"/>
            <w:gridSpan w:val="2"/>
          </w:tcPr>
          <w:p w14:paraId="31531157" w14:textId="77777777" w:rsidR="00005B74" w:rsidRDefault="008655CB" w:rsidP="00005B74">
            <w:pPr>
              <w:jc w:val="center"/>
            </w:pPr>
            <w:r w:rsidRPr="008655CB">
              <w:rPr>
                <w:noProof/>
              </w:rPr>
              <w:drawing>
                <wp:inline distT="0" distB="0" distL="0" distR="0" wp14:anchorId="6C39266D" wp14:editId="493CE744">
                  <wp:extent cx="1374164" cy="1181100"/>
                  <wp:effectExtent l="0" t="0" r="0" b="0"/>
                  <wp:docPr id="172041" name="Picture 9" descr="C:\Users\LISAN\Pictures\plantes invasives de Madagascar\Opuntia ficus-indic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41" name="Picture 9" descr="C:\Users\LISAN\Pictures\plantes invasives de Madagascar\Opuntia ficus-indica2.jpg"/>
                          <pic:cNvPicPr>
                            <a:picLocks noChangeAspect="1" noChangeArrowheads="1"/>
                          </pic:cNvPicPr>
                        </pic:nvPicPr>
                        <pic:blipFill>
                          <a:blip r:embed="rId3946">
                            <a:extLst>
                              <a:ext uri="{28A0092B-C50C-407E-A947-70E740481C1C}">
                                <a14:useLocalDpi xmlns:a14="http://schemas.microsoft.com/office/drawing/2010/main" val="0"/>
                              </a:ext>
                            </a:extLst>
                          </a:blip>
                          <a:srcRect/>
                          <a:stretch>
                            <a:fillRect/>
                          </a:stretch>
                        </pic:blipFill>
                        <pic:spPr bwMode="auto">
                          <a:xfrm>
                            <a:off x="0" y="0"/>
                            <a:ext cx="1381412" cy="1187330"/>
                          </a:xfrm>
                          <a:prstGeom prst="rect">
                            <a:avLst/>
                          </a:prstGeom>
                          <a:noFill/>
                          <a:ln>
                            <a:noFill/>
                          </a:ln>
                        </pic:spPr>
                      </pic:pic>
                    </a:graphicData>
                  </a:graphic>
                </wp:inline>
              </w:drawing>
            </w:r>
          </w:p>
          <w:p w14:paraId="77BAAC28" w14:textId="6664C838" w:rsidR="008655CB" w:rsidRDefault="008655CB" w:rsidP="00005B74">
            <w:pPr>
              <w:jc w:val="center"/>
            </w:pPr>
            <w:r>
              <w:t>Fleurs.</w:t>
            </w:r>
          </w:p>
        </w:tc>
        <w:tc>
          <w:tcPr>
            <w:tcW w:w="3468" w:type="dxa"/>
          </w:tcPr>
          <w:p w14:paraId="5EAD04DF" w14:textId="77777777" w:rsidR="00005B74" w:rsidRDefault="00674F62" w:rsidP="00005B74">
            <w:pPr>
              <w:jc w:val="center"/>
            </w:pPr>
            <w:r w:rsidRPr="00674F62">
              <w:rPr>
                <w:noProof/>
              </w:rPr>
              <w:drawing>
                <wp:inline distT="0" distB="0" distL="0" distR="0" wp14:anchorId="4F2AEB74" wp14:editId="002671A2">
                  <wp:extent cx="1631839" cy="1228725"/>
                  <wp:effectExtent l="0" t="0" r="6985" b="0"/>
                  <wp:docPr id="173068" name="Picture 14" descr="C:\Users\LISAN\Pictures\plantes invasives de Madagascar\Opuntia monacantha2_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68" name="Picture 14" descr="C:\Users\LISAN\Pictures\plantes invasives de Madagascar\Opuntia monacantha2_s2.jpg"/>
                          <pic:cNvPicPr>
                            <a:picLocks noChangeAspect="1" noChangeArrowheads="1"/>
                          </pic:cNvPicPr>
                        </pic:nvPicPr>
                        <pic:blipFill>
                          <a:blip r:embed="rId3947">
                            <a:extLst>
                              <a:ext uri="{28A0092B-C50C-407E-A947-70E740481C1C}">
                                <a14:useLocalDpi xmlns:a14="http://schemas.microsoft.com/office/drawing/2010/main" val="0"/>
                              </a:ext>
                            </a:extLst>
                          </a:blip>
                          <a:srcRect/>
                          <a:stretch>
                            <a:fillRect/>
                          </a:stretch>
                        </pic:blipFill>
                        <pic:spPr bwMode="auto">
                          <a:xfrm>
                            <a:off x="0" y="0"/>
                            <a:ext cx="1634867" cy="1231005"/>
                          </a:xfrm>
                          <a:prstGeom prst="rect">
                            <a:avLst/>
                          </a:prstGeom>
                          <a:noFill/>
                          <a:ln>
                            <a:noFill/>
                          </a:ln>
                        </pic:spPr>
                      </pic:pic>
                    </a:graphicData>
                  </a:graphic>
                </wp:inline>
              </w:drawing>
            </w:r>
          </w:p>
          <w:p w14:paraId="7A948F56" w14:textId="77777777" w:rsidR="00674F62" w:rsidRDefault="00674F62" w:rsidP="00005B74">
            <w:pPr>
              <w:jc w:val="center"/>
              <w:rPr>
                <w:i/>
                <w:iCs/>
              </w:rPr>
            </w:pPr>
            <w:r w:rsidRPr="008655CB">
              <w:rPr>
                <w:i/>
                <w:iCs/>
              </w:rPr>
              <w:t>Opuntias monacantha</w:t>
            </w:r>
            <w:r>
              <w:rPr>
                <w:i/>
                <w:iCs/>
              </w:rPr>
              <w:t>.</w:t>
            </w:r>
          </w:p>
          <w:p w14:paraId="4F6B75F0" w14:textId="3EC3DA25" w:rsidR="00C878F5" w:rsidRDefault="00C878F5" w:rsidP="00005B74">
            <w:pPr>
              <w:jc w:val="center"/>
            </w:pPr>
          </w:p>
        </w:tc>
      </w:tr>
      <w:tr w:rsidR="00674F62" w14:paraId="2B87B0D4" w14:textId="77777777" w:rsidTr="003C368C">
        <w:tc>
          <w:tcPr>
            <w:tcW w:w="5420" w:type="dxa"/>
            <w:gridSpan w:val="2"/>
          </w:tcPr>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51"/>
              <w:gridCol w:w="1926"/>
            </w:tblGrid>
            <w:tr w:rsidR="00674F62" w14:paraId="13E01471" w14:textId="77777777" w:rsidTr="00165C89">
              <w:tc>
                <w:tcPr>
                  <w:tcW w:w="3251" w:type="dxa"/>
                </w:tcPr>
                <w:p w14:paraId="167CF358" w14:textId="77777777" w:rsidR="00674F62" w:rsidRDefault="00674F62" w:rsidP="00674F62">
                  <w:pPr>
                    <w:jc w:val="center"/>
                  </w:pPr>
                  <w:r w:rsidRPr="00674F62">
                    <w:rPr>
                      <w:noProof/>
                    </w:rPr>
                    <w:drawing>
                      <wp:inline distT="0" distB="0" distL="0" distR="0" wp14:anchorId="7ED8F32B" wp14:editId="005DE484">
                        <wp:extent cx="1569928" cy="2038985"/>
                        <wp:effectExtent l="0" t="0" r="0" b="0"/>
                        <wp:docPr id="173070" name="Image 14" descr="Opuntia_Madagascar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70" name="Image 14" descr="Opuntia_Madagascar_s.jpg"/>
                                <pic:cNvPicPr>
                                  <a:picLocks noChangeAspect="1"/>
                                </pic:cNvPicPr>
                              </pic:nvPicPr>
                              <pic:blipFill>
                                <a:blip r:embed="rId3948">
                                  <a:extLst>
                                    <a:ext uri="{28A0092B-C50C-407E-A947-70E740481C1C}">
                                      <a14:useLocalDpi xmlns:a14="http://schemas.microsoft.com/office/drawing/2010/main" val="0"/>
                                    </a:ext>
                                  </a:extLst>
                                </a:blip>
                                <a:srcRect/>
                                <a:stretch>
                                  <a:fillRect/>
                                </a:stretch>
                              </pic:blipFill>
                              <pic:spPr bwMode="auto">
                                <a:xfrm>
                                  <a:off x="0" y="0"/>
                                  <a:ext cx="1572437" cy="2042244"/>
                                </a:xfrm>
                                <a:prstGeom prst="rect">
                                  <a:avLst/>
                                </a:prstGeom>
                                <a:noFill/>
                                <a:ln>
                                  <a:noFill/>
                                </a:ln>
                              </pic:spPr>
                            </pic:pic>
                          </a:graphicData>
                        </a:graphic>
                      </wp:inline>
                    </w:drawing>
                  </w:r>
                </w:p>
                <w:p w14:paraId="37D1F7A1" w14:textId="0B77EA00" w:rsidR="00674F62" w:rsidRDefault="00674F62" w:rsidP="00674F62">
                  <w:pPr>
                    <w:jc w:val="center"/>
                  </w:pPr>
                  <w:r w:rsidRPr="00674F62">
                    <w:rPr>
                      <w:i/>
                      <w:iCs/>
                    </w:rPr>
                    <w:t>Opuntia spp</w:t>
                  </w:r>
                  <w:r w:rsidRPr="00674F62">
                    <w:t xml:space="preserve">. </w:t>
                  </w:r>
                  <w:r w:rsidR="00165C89">
                    <w:t>D</w:t>
                  </w:r>
                  <w:r w:rsidRPr="00674F62">
                    <w:t>ans le sud de Madagascar. © Per Larsson</w:t>
                  </w:r>
                </w:p>
              </w:tc>
              <w:tc>
                <w:tcPr>
                  <w:tcW w:w="1911" w:type="dxa"/>
                </w:tcPr>
                <w:p w14:paraId="4E6C56EE" w14:textId="77777777" w:rsidR="00674F62" w:rsidRDefault="00674F62" w:rsidP="00674F62">
                  <w:pPr>
                    <w:jc w:val="center"/>
                  </w:pPr>
                  <w:r w:rsidRPr="00674F62">
                    <w:rPr>
                      <w:noProof/>
                    </w:rPr>
                    <w:drawing>
                      <wp:inline distT="0" distB="0" distL="0" distR="0" wp14:anchorId="1D29780A" wp14:editId="5AEEEAE0">
                        <wp:extent cx="1428750" cy="1076325"/>
                        <wp:effectExtent l="4762" t="0" r="4763" b="4762"/>
                        <wp:docPr id="173071" name="Picture 15" descr="C:\Users\LISAN\Pictures\plantes invasives de Madagascar\Opuntia monacantha_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71" name="Picture 15" descr="C:\Users\LISAN\Pictures\plantes invasives de Madagascar\Opuntia monacantha_ss.jpg"/>
                                <pic:cNvPicPr>
                                  <a:picLocks noChangeAspect="1" noChangeArrowheads="1"/>
                                </pic:cNvPicPr>
                              </pic:nvPicPr>
                              <pic:blipFill>
                                <a:blip r:embed="rId3949">
                                  <a:extLst>
                                    <a:ext uri="{28A0092B-C50C-407E-A947-70E740481C1C}">
                                      <a14:useLocalDpi xmlns:a14="http://schemas.microsoft.com/office/drawing/2010/main" val="0"/>
                                    </a:ext>
                                  </a:extLst>
                                </a:blip>
                                <a:srcRect/>
                                <a:stretch>
                                  <a:fillRect/>
                                </a:stretch>
                              </pic:blipFill>
                              <pic:spPr bwMode="auto">
                                <a:xfrm rot="5400000">
                                  <a:off x="0" y="0"/>
                                  <a:ext cx="1428750" cy="1076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D15AED0" w14:textId="47E9823F" w:rsidR="00674F62" w:rsidRDefault="00674F62" w:rsidP="00674F62">
                  <w:pPr>
                    <w:jc w:val="center"/>
                  </w:pPr>
                  <w:r w:rsidRPr="008655CB">
                    <w:rPr>
                      <w:i/>
                      <w:iCs/>
                    </w:rPr>
                    <w:t>Opuntias monacantha</w:t>
                  </w:r>
                  <w:r>
                    <w:rPr>
                      <w:i/>
                      <w:iCs/>
                    </w:rPr>
                    <w:t>.</w:t>
                  </w:r>
                </w:p>
              </w:tc>
            </w:tr>
          </w:tbl>
          <w:p w14:paraId="47FCCDE8" w14:textId="2041ED04" w:rsidR="00674F62" w:rsidRDefault="00674F62" w:rsidP="00674F62">
            <w:pPr>
              <w:jc w:val="center"/>
            </w:pPr>
          </w:p>
        </w:tc>
        <w:tc>
          <w:tcPr>
            <w:tcW w:w="5006" w:type="dxa"/>
            <w:gridSpan w:val="2"/>
          </w:tcPr>
          <w:p w14:paraId="680A6372" w14:textId="77777777" w:rsidR="00674F62" w:rsidRDefault="00674F62" w:rsidP="00674F62">
            <w:pPr>
              <w:jc w:val="center"/>
            </w:pPr>
            <w:r w:rsidRPr="00674F62">
              <w:rPr>
                <w:noProof/>
              </w:rPr>
              <w:drawing>
                <wp:inline distT="0" distB="0" distL="0" distR="0" wp14:anchorId="6D9A4D7C" wp14:editId="7C6A2995">
                  <wp:extent cx="2582545" cy="1895190"/>
                  <wp:effectExtent l="0" t="0" r="8255" b="0"/>
                  <wp:docPr id="173062" name="Picture 2" descr="C:\Users\LISAN\Pictures\plantes invasives de Madagascar\opuntia_ficus_indica_03_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62" name="Picture 2" descr="C:\Users\LISAN\Pictures\plantes invasives de Madagascar\opuntia_ficus_indica_03_s1.jpg"/>
                          <pic:cNvPicPr>
                            <a:picLocks noChangeAspect="1" noChangeArrowheads="1"/>
                          </pic:cNvPicPr>
                        </pic:nvPicPr>
                        <pic:blipFill>
                          <a:blip r:embed="rId3950">
                            <a:extLst>
                              <a:ext uri="{28A0092B-C50C-407E-A947-70E740481C1C}">
                                <a14:useLocalDpi xmlns:a14="http://schemas.microsoft.com/office/drawing/2010/main" val="0"/>
                              </a:ext>
                            </a:extLst>
                          </a:blip>
                          <a:srcRect/>
                          <a:stretch>
                            <a:fillRect/>
                          </a:stretch>
                        </pic:blipFill>
                        <pic:spPr bwMode="auto">
                          <a:xfrm>
                            <a:off x="0" y="0"/>
                            <a:ext cx="2587859" cy="1899090"/>
                          </a:xfrm>
                          <a:prstGeom prst="rect">
                            <a:avLst/>
                          </a:prstGeom>
                          <a:noFill/>
                          <a:ln>
                            <a:noFill/>
                          </a:ln>
                        </pic:spPr>
                      </pic:pic>
                    </a:graphicData>
                  </a:graphic>
                </wp:inline>
              </w:drawing>
            </w:r>
          </w:p>
          <w:p w14:paraId="48742A4D" w14:textId="14FDE0D8" w:rsidR="00674F62" w:rsidRDefault="00674F62" w:rsidP="00674F62">
            <w:pPr>
              <w:jc w:val="center"/>
            </w:pPr>
            <w:r w:rsidRPr="00674F62">
              <w:rPr>
                <w:i/>
                <w:iCs/>
              </w:rPr>
              <w:t>Opuntia ficus-indica</w:t>
            </w:r>
            <w:r w:rsidRPr="00674F62">
              <w:t>, le figuier de barbarie inquiéta l'Australie au début du XXème siècle. Un exemple de plante ornementale et utile dans plusieurs domaines mais qui se révéla fortement envahissante</w:t>
            </w:r>
            <w:r>
              <w:rPr>
                <w:rStyle w:val="Appelnotedebasdep"/>
              </w:rPr>
              <w:footnoteReference w:id="297"/>
            </w:r>
            <w:r w:rsidRPr="00674F62">
              <w:t>.</w:t>
            </w:r>
          </w:p>
        </w:tc>
      </w:tr>
    </w:tbl>
    <w:p w14:paraId="65BFA3FE" w14:textId="77777777" w:rsidR="00481D74" w:rsidRDefault="00481D74" w:rsidP="00E03EB7">
      <w:pPr>
        <w:spacing w:after="0" w:line="240" w:lineRule="auto"/>
        <w:jc w:val="both"/>
      </w:pPr>
    </w:p>
    <w:p w14:paraId="5687B810" w14:textId="6D7DC095" w:rsidR="00F118EC" w:rsidRDefault="00F118EC" w:rsidP="00F118EC">
      <w:pPr>
        <w:pStyle w:val="Titre2"/>
      </w:pPr>
      <w:bookmarkStart w:id="381" w:name="_Toc139181671"/>
      <w:r w:rsidRPr="00F118EC">
        <w:t>Oponce stricte (</w:t>
      </w:r>
      <w:r w:rsidRPr="00F118EC">
        <w:rPr>
          <w:i/>
          <w:iCs/>
        </w:rPr>
        <w:t>Opuntia stricta</w:t>
      </w:r>
      <w:r w:rsidRPr="00F118EC">
        <w:t>)</w:t>
      </w:r>
      <w:bookmarkEnd w:id="381"/>
    </w:p>
    <w:p w14:paraId="0C51FE15" w14:textId="408D191C" w:rsidR="00F118EC" w:rsidRDefault="00F118EC" w:rsidP="00E03EB7">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8"/>
        <w:gridCol w:w="3260"/>
        <w:gridCol w:w="1701"/>
        <w:gridCol w:w="258"/>
        <w:gridCol w:w="1379"/>
      </w:tblGrid>
      <w:tr w:rsidR="00F118EC" w:rsidRPr="000B6BE3" w14:paraId="33321200" w14:textId="77777777" w:rsidTr="00D159CD">
        <w:tc>
          <w:tcPr>
            <w:tcW w:w="3828" w:type="dxa"/>
          </w:tcPr>
          <w:p w14:paraId="56388536" w14:textId="77777777" w:rsidR="00F118EC" w:rsidRDefault="00F118EC" w:rsidP="00F118EC">
            <w:pPr>
              <w:jc w:val="both"/>
              <w:rPr>
                <w:rFonts w:ascii="Calibri" w:hAnsi="Calibri" w:cs="Calibri"/>
                <w:bCs/>
              </w:rPr>
            </w:pPr>
            <w:r>
              <w:rPr>
                <w:rFonts w:ascii="Calibri" w:hAnsi="Calibri" w:cs="Calibri"/>
                <w:bCs/>
              </w:rPr>
              <w:t>(</w:t>
            </w:r>
            <w:r w:rsidRPr="00DE2C3A">
              <w:rPr>
                <w:rFonts w:ascii="Calibri" w:hAnsi="Calibri" w:cs="Calibri"/>
                <w:bCs/>
              </w:rPr>
              <w:t>Famille des</w:t>
            </w:r>
            <w:r>
              <w:rPr>
                <w:rFonts w:ascii="Calibri" w:hAnsi="Calibri" w:cs="Calibri"/>
              </w:rPr>
              <w:t xml:space="preserve"> </w:t>
            </w:r>
            <w:r w:rsidRPr="00DE60FE">
              <w:rPr>
                <w:i/>
                <w:iCs/>
              </w:rPr>
              <w:t>Cactaceae</w:t>
            </w:r>
            <w:r>
              <w:rPr>
                <w:rFonts w:ascii="Calibri" w:hAnsi="Calibri" w:cs="Calibri"/>
                <w:bCs/>
              </w:rPr>
              <w:t>)</w:t>
            </w:r>
            <w:r w:rsidRPr="00DE2C3A">
              <w:rPr>
                <w:rFonts w:ascii="Calibri" w:hAnsi="Calibri" w:cs="Calibri"/>
                <w:bCs/>
              </w:rPr>
              <w:t>.</w:t>
            </w:r>
          </w:p>
          <w:p w14:paraId="125DBEB1" w14:textId="77777777" w:rsidR="00F118EC" w:rsidRDefault="00F118EC" w:rsidP="00F118EC">
            <w:pPr>
              <w:jc w:val="both"/>
              <w:rPr>
                <w:rFonts w:cstheme="minorHAnsi"/>
                <w:b/>
                <w:bCs/>
                <w:color w:val="FF0000"/>
              </w:rPr>
            </w:pPr>
          </w:p>
          <w:p w14:paraId="50903441" w14:textId="15AFBFCC" w:rsidR="00F118EC" w:rsidRPr="000B6BE3" w:rsidRDefault="00F118EC" w:rsidP="00F118EC">
            <w:pPr>
              <w:jc w:val="both"/>
              <w:rPr>
                <w:rFonts w:cstheme="minorHAnsi"/>
              </w:rPr>
            </w:pPr>
            <w:r w:rsidRPr="00DE60FE">
              <w:rPr>
                <w:rFonts w:cstheme="minorHAnsi"/>
                <w:b/>
                <w:bCs/>
                <w:color w:val="FF0000"/>
              </w:rPr>
              <w:t>A rejeter, score: 20.</w:t>
            </w:r>
            <w:r>
              <w:rPr>
                <w:rStyle w:val="Appelnotedebasdep"/>
                <w:rFonts w:cstheme="minorHAnsi"/>
                <w:b/>
                <w:bCs/>
                <w:color w:val="FF0000"/>
              </w:rPr>
              <w:footnoteReference w:id="298"/>
            </w:r>
          </w:p>
        </w:tc>
        <w:tc>
          <w:tcPr>
            <w:tcW w:w="3260" w:type="dxa"/>
          </w:tcPr>
          <w:p w14:paraId="4731863E" w14:textId="463E8BDC" w:rsidR="00F118EC" w:rsidRPr="000B6BE3" w:rsidRDefault="00F118EC" w:rsidP="003D7963">
            <w:pPr>
              <w:rPr>
                <w:rFonts w:cstheme="minorHAnsi"/>
              </w:rPr>
            </w:pPr>
            <w:r w:rsidRPr="000B6BE3">
              <w:rPr>
                <w:rFonts w:cstheme="minorHAnsi"/>
                <w:noProof/>
              </w:rPr>
              <w:t xml:space="preserve">  </w:t>
            </w:r>
            <w:r>
              <w:rPr>
                <w:rFonts w:cstheme="minorHAnsi"/>
                <w:noProof/>
              </w:rPr>
              <w:t xml:space="preserve">     </w:t>
            </w:r>
            <w:r w:rsidRPr="005C50C9">
              <w:rPr>
                <w:rFonts w:cstheme="minorHAnsi"/>
                <w:noProof/>
              </w:rPr>
              <w:drawing>
                <wp:inline distT="0" distB="0" distL="0" distR="0" wp14:anchorId="22E94CC3" wp14:editId="6B32A89B">
                  <wp:extent cx="495300" cy="666750"/>
                  <wp:effectExtent l="0" t="0" r="0" b="0"/>
                  <wp:docPr id="101383" name="Image 15"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8" name="Image 15" descr="logo aride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w:t>
            </w:r>
            <w:r w:rsidRPr="008F2681">
              <w:rPr>
                <w:rFonts w:cstheme="minorHAnsi"/>
                <w:noProof/>
              </w:rPr>
              <w:drawing>
                <wp:inline distT="0" distB="0" distL="0" distR="0" wp14:anchorId="117B455D" wp14:editId="4120A86C">
                  <wp:extent cx="463550" cy="661988"/>
                  <wp:effectExtent l="0" t="0" r="0" b="5080"/>
                  <wp:docPr id="155656"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r w:rsidR="00D159CD">
              <w:rPr>
                <w:rFonts w:cstheme="minorHAnsi"/>
                <w:noProof/>
              </w:rPr>
              <w:t xml:space="preserve"> </w:t>
            </w:r>
            <w:r w:rsidR="00D159CD" w:rsidRPr="00853ED0">
              <w:rPr>
                <w:noProof/>
              </w:rPr>
              <w:drawing>
                <wp:inline distT="0" distB="0" distL="0" distR="0" wp14:anchorId="688861D8" wp14:editId="531E7D06">
                  <wp:extent cx="400050" cy="352425"/>
                  <wp:effectExtent l="0" t="0" r="0" b="9525"/>
                  <wp:docPr id="156675" name="Image 21">
                    <a:extLst xmlns:a="http://schemas.openxmlformats.org/drawingml/2006/main">
                      <a:ext uri="{FF2B5EF4-FFF2-40B4-BE49-F238E27FC236}">
                        <a16:creationId xmlns:a16="http://schemas.microsoft.com/office/drawing/2014/main" id="{F52353B3-AA67-41AB-ACE3-C9465695F4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3" name="Image 21">
                            <a:extLst>
                              <a:ext uri="{FF2B5EF4-FFF2-40B4-BE49-F238E27FC236}">
                                <a16:creationId xmlns:a16="http://schemas.microsoft.com/office/drawing/2014/main" id="{F52353B3-AA67-41AB-ACE3-C9465695F4BE}"/>
                              </a:ext>
                            </a:extLst>
                          </pic:cNvPr>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701" w:type="dxa"/>
          </w:tcPr>
          <w:p w14:paraId="51F7D030" w14:textId="77777777" w:rsidR="00F118EC" w:rsidRPr="002E01BB" w:rsidRDefault="00F118EC" w:rsidP="003D7963">
            <w:pPr>
              <w:rPr>
                <w:rFonts w:eastAsia="+mn-ea" w:cstheme="minorHAnsi"/>
                <w:b/>
                <w:bCs/>
                <w:color w:val="008000"/>
                <w:kern w:val="24"/>
                <w:sz w:val="56"/>
                <w:szCs w:val="56"/>
              </w:rPr>
            </w:pPr>
            <w:r w:rsidRPr="00D1445E">
              <w:rPr>
                <w:rFonts w:eastAsia="+mn-ea" w:cstheme="minorHAnsi"/>
                <w:b/>
                <w:bCs/>
                <w:color w:val="008000"/>
                <w:kern w:val="24"/>
                <w:sz w:val="56"/>
                <w:szCs w:val="56"/>
              </w:rPr>
              <w:t>U</w:t>
            </w:r>
            <w:r>
              <w:rPr>
                <w:rFonts w:eastAsia="+mn-ea" w:cstheme="minorHAnsi"/>
                <w:b/>
                <w:bCs/>
                <w:color w:val="008000"/>
                <w:kern w:val="24"/>
                <w:sz w:val="56"/>
                <w:szCs w:val="56"/>
              </w:rPr>
              <w:t xml:space="preserve"> ↗↗</w:t>
            </w:r>
          </w:p>
          <w:p w14:paraId="2AFAAF36" w14:textId="77777777" w:rsidR="00F118EC" w:rsidRPr="000B6BE3" w:rsidRDefault="00F118EC" w:rsidP="003D7963">
            <w:pPr>
              <w:textAlignment w:val="baseline"/>
              <w:rPr>
                <w:rFonts w:cstheme="minorHAnsi"/>
              </w:rPr>
            </w:pPr>
          </w:p>
        </w:tc>
        <w:tc>
          <w:tcPr>
            <w:tcW w:w="258" w:type="dxa"/>
          </w:tcPr>
          <w:p w14:paraId="6E206210" w14:textId="77777777" w:rsidR="00F118EC" w:rsidRPr="000B6BE3" w:rsidRDefault="00F118EC" w:rsidP="003D7963">
            <w:pPr>
              <w:rPr>
                <w:rFonts w:cstheme="minorHAnsi"/>
              </w:rPr>
            </w:pPr>
          </w:p>
        </w:tc>
        <w:tc>
          <w:tcPr>
            <w:tcW w:w="1379" w:type="dxa"/>
          </w:tcPr>
          <w:p w14:paraId="6B5EE989" w14:textId="77777777" w:rsidR="00F118EC" w:rsidRPr="000B6BE3" w:rsidRDefault="00F118EC" w:rsidP="003D7963">
            <w:pPr>
              <w:rPr>
                <w:rFonts w:cstheme="minorHAnsi"/>
              </w:rPr>
            </w:pPr>
            <w:r w:rsidRPr="00DE60FE">
              <w:rPr>
                <w:rFonts w:cstheme="minorHAnsi"/>
                <w:noProof/>
              </w:rPr>
              <w:drawing>
                <wp:inline distT="0" distB="0" distL="0" distR="0" wp14:anchorId="1CEA1473" wp14:editId="5B1F31C1">
                  <wp:extent cx="457200" cy="457200"/>
                  <wp:effectExtent l="0" t="0" r="0" b="0"/>
                  <wp:docPr id="155657" name="Picture 16" descr="C:\Users\LISAN\Pictures\Plantes fourragères\logo invasive plants5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26" name="Picture 16" descr="C:\Users\LISAN\Pictures\Plantes fourragères\logo invasive plants5_s.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342C5ACB" w14:textId="77777777" w:rsidR="00784E32" w:rsidRDefault="00784E32" w:rsidP="00E03EB7">
      <w:pPr>
        <w:spacing w:after="0" w:line="240" w:lineRule="auto"/>
        <w:jc w:val="both"/>
        <w:rPr>
          <w:rFonts w:ascii="Calibri" w:hAnsi="Calibri" w:cs="Calibri"/>
          <w:shd w:val="clear" w:color="auto" w:fill="FFFFFF"/>
        </w:rPr>
      </w:pPr>
    </w:p>
    <w:p w14:paraId="00092AD5" w14:textId="1D5854D4" w:rsidR="00F118EC" w:rsidRDefault="00F118EC" w:rsidP="00E03EB7">
      <w:pPr>
        <w:spacing w:after="0" w:line="240" w:lineRule="auto"/>
        <w:jc w:val="both"/>
        <w:rPr>
          <w:rFonts w:ascii="Calibri" w:hAnsi="Calibri" w:cs="Calibri"/>
        </w:rPr>
      </w:pPr>
      <w:r w:rsidRPr="00F118EC">
        <w:rPr>
          <w:rFonts w:ascii="Calibri" w:hAnsi="Calibri" w:cs="Calibri"/>
          <w:shd w:val="clear" w:color="auto" w:fill="FFFFFF"/>
        </w:rPr>
        <w:t xml:space="preserve">Originaire de </w:t>
      </w:r>
      <w:r w:rsidRPr="00F118EC">
        <w:rPr>
          <w:rFonts w:ascii="Calibri" w:hAnsi="Calibri" w:cs="Calibri"/>
          <w:color w:val="202122"/>
          <w:shd w:val="clear" w:color="auto" w:fill="FFFFFF"/>
        </w:rPr>
        <w:t>l'</w:t>
      </w:r>
      <w:hyperlink r:id="rId3951" w:tooltip="Amérique centrale" w:history="1">
        <w:r w:rsidRPr="00F118EC">
          <w:rPr>
            <w:rStyle w:val="Lienhypertexte"/>
            <w:rFonts w:ascii="Calibri" w:hAnsi="Calibri" w:cs="Calibri"/>
            <w:color w:val="0645AD"/>
            <w:shd w:val="clear" w:color="auto" w:fill="FFFFFF"/>
          </w:rPr>
          <w:t>Amérique centrale</w:t>
        </w:r>
      </w:hyperlink>
      <w:r w:rsidRPr="00F118EC">
        <w:rPr>
          <w:rFonts w:ascii="Calibri" w:hAnsi="Calibri" w:cs="Calibri"/>
          <w:color w:val="202122"/>
          <w:shd w:val="clear" w:color="auto" w:fill="FFFFFF"/>
        </w:rPr>
        <w:t> </w:t>
      </w:r>
      <w:r w:rsidRPr="00F118EC">
        <w:rPr>
          <w:rFonts w:ascii="Calibri" w:hAnsi="Calibri" w:cs="Calibri"/>
          <w:shd w:val="clear" w:color="auto" w:fill="FFFFFF"/>
        </w:rPr>
        <w:t>et du sud des </w:t>
      </w:r>
      <w:hyperlink r:id="rId3952" w:tooltip="États-Unis" w:history="1">
        <w:r w:rsidRPr="00F118EC">
          <w:rPr>
            <w:rStyle w:val="Lienhypertexte"/>
            <w:rFonts w:ascii="Calibri" w:hAnsi="Calibri" w:cs="Calibri"/>
            <w:color w:val="0645AD"/>
            <w:shd w:val="clear" w:color="auto" w:fill="FFFFFF"/>
          </w:rPr>
          <w:t>États-Unis</w:t>
        </w:r>
      </w:hyperlink>
      <w:r w:rsidRPr="00F118EC">
        <w:rPr>
          <w:rFonts w:ascii="Calibri" w:hAnsi="Calibri" w:cs="Calibri"/>
          <w:color w:val="202122"/>
          <w:shd w:val="clear" w:color="auto" w:fill="FFFFFF"/>
        </w:rPr>
        <w:t>,</w:t>
      </w:r>
      <w:r>
        <w:rPr>
          <w:rFonts w:ascii="Calibri" w:hAnsi="Calibri" w:cs="Calibri"/>
          <w:color w:val="202122"/>
          <w:shd w:val="clear" w:color="auto" w:fill="FFFFFF"/>
        </w:rPr>
        <w:t xml:space="preserve"> </w:t>
      </w:r>
      <w:r w:rsidRPr="00F118EC">
        <w:rPr>
          <w:rFonts w:ascii="Calibri" w:hAnsi="Calibri" w:cs="Calibri"/>
          <w:shd w:val="clear" w:color="auto" w:fill="FFFFFF"/>
        </w:rPr>
        <w:t>cette plante grasse, au port buissonnant, est devenue envahissante en</w:t>
      </w:r>
      <w:r w:rsidRPr="00F118EC">
        <w:rPr>
          <w:rFonts w:ascii="Calibri" w:hAnsi="Calibri" w:cs="Calibri"/>
          <w:color w:val="202122"/>
          <w:shd w:val="clear" w:color="auto" w:fill="FFFFFF"/>
        </w:rPr>
        <w:t> </w:t>
      </w:r>
      <w:hyperlink r:id="rId3953" w:tooltip="Afrique du Sud" w:history="1">
        <w:r w:rsidRPr="00F118EC">
          <w:rPr>
            <w:rStyle w:val="Lienhypertexte"/>
            <w:rFonts w:ascii="Calibri" w:hAnsi="Calibri" w:cs="Calibri"/>
            <w:color w:val="0645AD"/>
            <w:shd w:val="clear" w:color="auto" w:fill="FFFFFF"/>
          </w:rPr>
          <w:t>Afrique du Sud</w:t>
        </w:r>
      </w:hyperlink>
      <w:r w:rsidRPr="00F118EC">
        <w:rPr>
          <w:rFonts w:ascii="Calibri" w:hAnsi="Calibri" w:cs="Calibri"/>
          <w:color w:val="202122"/>
          <w:shd w:val="clear" w:color="auto" w:fill="FFFFFF"/>
        </w:rPr>
        <w:t>, en </w:t>
      </w:r>
      <w:hyperlink r:id="rId3954" w:tooltip="Australie" w:history="1">
        <w:r w:rsidRPr="00F118EC">
          <w:rPr>
            <w:rStyle w:val="Lienhypertexte"/>
            <w:rFonts w:ascii="Calibri" w:hAnsi="Calibri" w:cs="Calibri"/>
            <w:color w:val="0645AD"/>
            <w:shd w:val="clear" w:color="auto" w:fill="FFFFFF"/>
          </w:rPr>
          <w:t>Australie</w:t>
        </w:r>
      </w:hyperlink>
      <w:r w:rsidRPr="00F118EC">
        <w:rPr>
          <w:rFonts w:ascii="Calibri" w:hAnsi="Calibri" w:cs="Calibri"/>
          <w:color w:val="202122"/>
          <w:shd w:val="clear" w:color="auto" w:fill="FFFFFF"/>
        </w:rPr>
        <w:t> et en </w:t>
      </w:r>
      <w:hyperlink r:id="rId3955" w:tooltip="Nouvelle-Calédonie" w:history="1">
        <w:r w:rsidRPr="00F118EC">
          <w:rPr>
            <w:rStyle w:val="Lienhypertexte"/>
            <w:rFonts w:ascii="Calibri" w:hAnsi="Calibri" w:cs="Calibri"/>
            <w:color w:val="0645AD"/>
            <w:shd w:val="clear" w:color="auto" w:fill="FFFFFF"/>
          </w:rPr>
          <w:t>Nouvelle-Calédonie</w:t>
        </w:r>
      </w:hyperlink>
      <w:r w:rsidRPr="00F118EC">
        <w:rPr>
          <w:rFonts w:ascii="Calibri" w:hAnsi="Calibri" w:cs="Calibri"/>
        </w:rPr>
        <w:t>.</w:t>
      </w:r>
    </w:p>
    <w:p w14:paraId="3DE38859" w14:textId="5BB1963D" w:rsidR="00784E32" w:rsidRPr="00784E32" w:rsidRDefault="00784E32" w:rsidP="00E03EB7">
      <w:pPr>
        <w:spacing w:after="0" w:line="240" w:lineRule="auto"/>
        <w:jc w:val="both"/>
        <w:rPr>
          <w:rFonts w:ascii="Calibri" w:hAnsi="Calibri" w:cs="Calibri"/>
        </w:rPr>
      </w:pPr>
      <w:r w:rsidRPr="00784E32">
        <w:rPr>
          <w:rFonts w:ascii="Calibri" w:hAnsi="Calibri" w:cs="Calibri"/>
          <w:shd w:val="clear" w:color="auto" w:fill="FFFFFF"/>
        </w:rPr>
        <w:t xml:space="preserve">Les tiges, charnues et aplaties, forment des raquettes </w:t>
      </w:r>
      <w:r w:rsidRPr="00784E32">
        <w:rPr>
          <w:rFonts w:ascii="Calibri" w:hAnsi="Calibri" w:cs="Calibri"/>
          <w:color w:val="202122"/>
          <w:shd w:val="clear" w:color="auto" w:fill="FFFFFF"/>
        </w:rPr>
        <w:t>(</w:t>
      </w:r>
      <w:hyperlink r:id="rId3956" w:tooltip="Cladode" w:history="1">
        <w:r w:rsidRPr="00784E32">
          <w:rPr>
            <w:rStyle w:val="Lienhypertexte"/>
            <w:rFonts w:ascii="Calibri" w:hAnsi="Calibri" w:cs="Calibri"/>
            <w:color w:val="0645AD"/>
            <w:shd w:val="clear" w:color="auto" w:fill="FFFFFF"/>
          </w:rPr>
          <w:t>cladodes</w:t>
        </w:r>
      </w:hyperlink>
      <w:r w:rsidRPr="00784E32">
        <w:rPr>
          <w:rFonts w:ascii="Calibri" w:hAnsi="Calibri" w:cs="Calibri"/>
          <w:color w:val="202122"/>
          <w:shd w:val="clear" w:color="auto" w:fill="FFFFFF"/>
        </w:rPr>
        <w:t xml:space="preserve">) </w:t>
      </w:r>
      <w:r w:rsidRPr="00784E32">
        <w:rPr>
          <w:rFonts w:ascii="Calibri" w:hAnsi="Calibri" w:cs="Calibri"/>
          <w:shd w:val="clear" w:color="auto" w:fill="FFFFFF"/>
        </w:rPr>
        <w:t>mesurent moins de 20-25 </w:t>
      </w:r>
      <w:r w:rsidRPr="00784E32">
        <w:rPr>
          <w:rFonts w:ascii="Calibri" w:hAnsi="Calibri" w:cs="Calibri"/>
        </w:rPr>
        <w:t>cm.</w:t>
      </w:r>
    </w:p>
    <w:p w14:paraId="2267E5B1" w14:textId="2D7F90C8" w:rsidR="00F118EC" w:rsidRDefault="00784E32" w:rsidP="00E03EB7">
      <w:pPr>
        <w:spacing w:after="0" w:line="240" w:lineRule="auto"/>
        <w:jc w:val="both"/>
      </w:pPr>
      <w:r w:rsidRPr="00784E32">
        <w:t>Les fleurs sont solitaires, formées par de nombreuses pièces membraneuses, rougeâtres à jaune clair. Leur diamètre est de 6 à 7 centimètres. Elles sont éphémères et mellifères.</w:t>
      </w:r>
    </w:p>
    <w:p w14:paraId="11E2262B" w14:textId="65F28977" w:rsidR="00784E32" w:rsidRDefault="00784E32" w:rsidP="00E03EB7">
      <w:pPr>
        <w:spacing w:after="0" w:line="240" w:lineRule="auto"/>
        <w:jc w:val="both"/>
        <w:rPr>
          <w:rFonts w:ascii="Calibri" w:hAnsi="Calibri" w:cs="Calibri"/>
        </w:rPr>
      </w:pPr>
      <w:r w:rsidRPr="00784E32">
        <w:rPr>
          <w:rFonts w:ascii="Calibri" w:hAnsi="Calibri" w:cs="Calibri"/>
          <w:shd w:val="clear" w:color="auto" w:fill="FFFFFF"/>
        </w:rPr>
        <w:t>Les fruits sont plus ou moins </w:t>
      </w:r>
      <w:hyperlink r:id="rId3957" w:tooltip="Pyriforme" w:history="1">
        <w:r w:rsidRPr="00784E32">
          <w:rPr>
            <w:rStyle w:val="Lienhypertexte"/>
            <w:rFonts w:ascii="Calibri" w:hAnsi="Calibri" w:cs="Calibri"/>
            <w:color w:val="0645AD"/>
            <w:shd w:val="clear" w:color="auto" w:fill="FFFFFF"/>
          </w:rPr>
          <w:t>pyriformes</w:t>
        </w:r>
      </w:hyperlink>
      <w:r w:rsidRPr="00784E32">
        <w:rPr>
          <w:rFonts w:ascii="Calibri" w:hAnsi="Calibri" w:cs="Calibri"/>
          <w:color w:val="202122"/>
          <w:shd w:val="clear" w:color="auto" w:fill="FFFFFF"/>
        </w:rPr>
        <w:t xml:space="preserve">, </w:t>
      </w:r>
      <w:r w:rsidRPr="00784E32">
        <w:rPr>
          <w:rFonts w:ascii="Calibri" w:hAnsi="Calibri" w:cs="Calibri"/>
          <w:shd w:val="clear" w:color="auto" w:fill="FFFFFF"/>
        </w:rPr>
        <w:t>toujours de teinte pourpre. Ils mesurent 4 à 6 centimètres de longueur et contiennent de 60 à 180 graines (qui peuvent rester viables plus de 10 ans), jaune à marron clair, incorporées dans la pulpe du fruit. Les fruits étant appréciés par les oiseaux et les mammifères, leurs graines sont dispersées par</w:t>
      </w:r>
      <w:r w:rsidRPr="00784E32">
        <w:rPr>
          <w:rFonts w:ascii="Calibri" w:hAnsi="Calibri" w:cs="Calibri"/>
          <w:color w:val="202122"/>
          <w:shd w:val="clear" w:color="auto" w:fill="FFFFFF"/>
        </w:rPr>
        <w:t> </w:t>
      </w:r>
      <w:hyperlink r:id="rId3958" w:tooltip="Zoochorie" w:history="1">
        <w:r w:rsidRPr="00784E32">
          <w:rPr>
            <w:rStyle w:val="Lienhypertexte"/>
            <w:rFonts w:ascii="Calibri" w:hAnsi="Calibri" w:cs="Calibri"/>
            <w:color w:val="0645AD"/>
            <w:shd w:val="clear" w:color="auto" w:fill="FFFFFF"/>
          </w:rPr>
          <w:t>zoochorie</w:t>
        </w:r>
      </w:hyperlink>
      <w:r>
        <w:rPr>
          <w:rFonts w:ascii="Calibri" w:hAnsi="Calibri" w:cs="Calibri"/>
        </w:rPr>
        <w:t xml:space="preserve"> (par les animaux)</w:t>
      </w:r>
      <w:r w:rsidRPr="00784E32">
        <w:rPr>
          <w:rFonts w:ascii="Calibri" w:hAnsi="Calibri" w:cs="Calibri"/>
        </w:rPr>
        <w:t>.</w:t>
      </w:r>
      <w:r>
        <w:rPr>
          <w:rFonts w:ascii="Calibri" w:hAnsi="Calibri" w:cs="Calibri"/>
        </w:rPr>
        <w:t xml:space="preserve"> </w:t>
      </w:r>
    </w:p>
    <w:p w14:paraId="24907DAA" w14:textId="054F632E" w:rsidR="00784E32" w:rsidRDefault="00784E32" w:rsidP="00E03EB7">
      <w:pPr>
        <w:spacing w:after="0" w:line="240" w:lineRule="auto"/>
        <w:jc w:val="both"/>
        <w:rPr>
          <w:rFonts w:ascii="Calibri" w:hAnsi="Calibri" w:cs="Calibri"/>
        </w:rPr>
      </w:pPr>
      <w:r w:rsidRPr="00784E32">
        <w:rPr>
          <w:rFonts w:ascii="Calibri" w:hAnsi="Calibri" w:cs="Calibri"/>
          <w:u w:val="single"/>
        </w:rPr>
        <w:t>Usages</w:t>
      </w:r>
      <w:r>
        <w:rPr>
          <w:rFonts w:ascii="Calibri" w:hAnsi="Calibri" w:cs="Calibri"/>
        </w:rPr>
        <w:t xml:space="preserve"> : </w:t>
      </w:r>
      <w:r w:rsidRPr="00784E32">
        <w:rPr>
          <w:rFonts w:ascii="Calibri" w:hAnsi="Calibri" w:cs="Calibri"/>
        </w:rPr>
        <w:t>Ses fruits ont un mauvais goût mais constituent une nourriture d'appoint en cas de famine, notamment à Madagascar.</w:t>
      </w:r>
      <w:r>
        <w:rPr>
          <w:rFonts w:ascii="Calibri" w:hAnsi="Calibri" w:cs="Calibri"/>
        </w:rPr>
        <w:t xml:space="preserve"> </w:t>
      </w:r>
      <w:r w:rsidRPr="00784E32">
        <w:rPr>
          <w:rFonts w:ascii="Calibri" w:hAnsi="Calibri" w:cs="Calibri"/>
          <w:shd w:val="clear" w:color="auto" w:fill="FFFFFF"/>
        </w:rPr>
        <w:t>Le </w:t>
      </w:r>
      <w:hyperlink r:id="rId3959" w:tooltip="Mucilage" w:history="1">
        <w:r w:rsidRPr="00784E32">
          <w:rPr>
            <w:rStyle w:val="Lienhypertexte"/>
            <w:rFonts w:ascii="Calibri" w:hAnsi="Calibri" w:cs="Calibri"/>
            <w:color w:val="0645AD"/>
            <w:shd w:val="clear" w:color="auto" w:fill="FFFFFF"/>
          </w:rPr>
          <w:t>mucilage</w:t>
        </w:r>
      </w:hyperlink>
      <w:r w:rsidRPr="00784E32">
        <w:rPr>
          <w:rFonts w:ascii="Calibri" w:hAnsi="Calibri" w:cs="Calibri"/>
          <w:color w:val="202122"/>
          <w:shd w:val="clear" w:color="auto" w:fill="FFFFFF"/>
        </w:rPr>
        <w:t> </w:t>
      </w:r>
      <w:r w:rsidRPr="00784E32">
        <w:rPr>
          <w:rFonts w:ascii="Calibri" w:hAnsi="Calibri" w:cs="Calibri"/>
          <w:shd w:val="clear" w:color="auto" w:fill="FFFFFF"/>
        </w:rPr>
        <w:t>à l'intérieur des feuilles est utilisé pour soigner les brûlures et les abcès. Il est comestible au même titre que les fruits</w:t>
      </w:r>
      <w:r>
        <w:rPr>
          <w:rFonts w:ascii="Calibri" w:hAnsi="Calibri" w:cs="Calibri"/>
        </w:rPr>
        <w:t>.</w:t>
      </w:r>
      <w:r w:rsidR="00D0116B">
        <w:rPr>
          <w:rFonts w:ascii="Calibri" w:hAnsi="Calibri" w:cs="Calibri"/>
        </w:rPr>
        <w:t xml:space="preserve"> </w:t>
      </w:r>
      <w:r w:rsidR="00D0116B" w:rsidRPr="00D0116B">
        <w:rPr>
          <w:rFonts w:ascii="Calibri" w:hAnsi="Calibri" w:cs="Calibri"/>
        </w:rPr>
        <w:t>On peut incorporer ce cactus rouge broyé (</w:t>
      </w:r>
      <w:r w:rsidR="00D0116B" w:rsidRPr="00D0116B">
        <w:rPr>
          <w:rFonts w:ascii="Calibri" w:hAnsi="Calibri" w:cs="Calibri"/>
          <w:i/>
          <w:iCs/>
        </w:rPr>
        <w:t>Opuntia stricta</w:t>
      </w:r>
      <w:r w:rsidR="00D0116B" w:rsidRPr="00D0116B">
        <w:rPr>
          <w:rFonts w:ascii="Calibri" w:hAnsi="Calibri" w:cs="Calibri"/>
        </w:rPr>
        <w:t>) dans l’alimentation des caprins.</w:t>
      </w:r>
    </w:p>
    <w:p w14:paraId="519C84FF" w14:textId="2EDF286F" w:rsidR="00E5374E" w:rsidRDefault="00E5374E" w:rsidP="00E03EB7">
      <w:pPr>
        <w:spacing w:after="0" w:line="240" w:lineRule="auto"/>
        <w:jc w:val="both"/>
        <w:rPr>
          <w:rFonts w:ascii="Calibri" w:hAnsi="Calibri" w:cs="Calibri"/>
        </w:rPr>
      </w:pPr>
      <w:r w:rsidRPr="00E5374E">
        <w:rPr>
          <w:rFonts w:ascii="Calibri" w:hAnsi="Calibri" w:cs="Calibri"/>
        </w:rPr>
        <w:t>Mêmes usages qu'</w:t>
      </w:r>
      <w:r w:rsidRPr="00E5374E">
        <w:rPr>
          <w:rFonts w:ascii="Calibri" w:hAnsi="Calibri" w:cs="Calibri"/>
          <w:i/>
          <w:iCs/>
        </w:rPr>
        <w:t>Opuntia ficus-indica</w:t>
      </w:r>
      <w:r w:rsidRPr="00E5374E">
        <w:rPr>
          <w:rFonts w:ascii="Calibri" w:hAnsi="Calibri" w:cs="Calibri"/>
        </w:rPr>
        <w:t>.</w:t>
      </w:r>
    </w:p>
    <w:p w14:paraId="01135856" w14:textId="597F4E39" w:rsidR="00784E32" w:rsidRDefault="00784E32" w:rsidP="00784E32">
      <w:pPr>
        <w:spacing w:after="0" w:line="240" w:lineRule="auto"/>
        <w:jc w:val="both"/>
        <w:rPr>
          <w:rFonts w:ascii="Calibri" w:hAnsi="Calibri" w:cs="Calibri"/>
        </w:rPr>
      </w:pPr>
      <w:r w:rsidRPr="00784E32">
        <w:rPr>
          <w:rFonts w:ascii="Calibri" w:hAnsi="Calibri" w:cs="Calibri"/>
          <w:u w:val="single"/>
        </w:rPr>
        <w:t>Espèces envahissantes (invasives)</w:t>
      </w:r>
      <w:r w:rsidRPr="00784E32">
        <w:rPr>
          <w:rFonts w:ascii="Calibri" w:hAnsi="Calibri" w:cs="Calibri"/>
        </w:rPr>
        <w:t xml:space="preserve"> : </w:t>
      </w:r>
      <w:r w:rsidRPr="00784E32">
        <w:rPr>
          <w:rFonts w:ascii="Calibri" w:hAnsi="Calibri" w:cs="Calibri"/>
          <w:shd w:val="clear" w:color="auto" w:fill="FFFFFF"/>
        </w:rPr>
        <w:t>L'espèce est devenue envahissante dans de nombreuses zones géographiques, et figure dans la liste de l'IUCN des</w:t>
      </w:r>
      <w:r w:rsidRPr="00784E32">
        <w:rPr>
          <w:rFonts w:ascii="Calibri" w:hAnsi="Calibri" w:cs="Calibri"/>
          <w:color w:val="202122"/>
          <w:shd w:val="clear" w:color="auto" w:fill="FFFFFF"/>
        </w:rPr>
        <w:t> </w:t>
      </w:r>
      <w:hyperlink r:id="rId3960" w:history="1">
        <w:r w:rsidRPr="00784E32">
          <w:rPr>
            <w:rStyle w:val="Lienhypertexte"/>
            <w:rFonts w:ascii="Calibri" w:hAnsi="Calibri" w:cs="Calibri"/>
            <w:color w:val="0645AD"/>
            <w:shd w:val="clear" w:color="auto" w:fill="FFFFFF"/>
          </w:rPr>
          <w:t>100 espèces parmi les plus envahissantes au monde</w:t>
        </w:r>
      </w:hyperlink>
      <w:r w:rsidRPr="00784E32">
        <w:rPr>
          <w:rFonts w:ascii="Calibri" w:hAnsi="Calibri" w:cs="Calibri"/>
        </w:rPr>
        <w:t>.</w:t>
      </w:r>
      <w:r>
        <w:rPr>
          <w:rFonts w:ascii="Calibri" w:hAnsi="Calibri" w:cs="Calibri"/>
        </w:rPr>
        <w:t xml:space="preserve"> </w:t>
      </w:r>
      <w:r w:rsidRPr="00784E32">
        <w:rPr>
          <w:rFonts w:ascii="Calibri" w:hAnsi="Calibri" w:cs="Calibri"/>
        </w:rPr>
        <w:t xml:space="preserve">En Australie, cette espèce a </w:t>
      </w:r>
      <w:r w:rsidRPr="00274556">
        <w:rPr>
          <w:rFonts w:ascii="Calibri" w:hAnsi="Calibri" w:cs="Calibri"/>
        </w:rPr>
        <w:t xml:space="preserve">couvert jusqu'à 24 millions d'hectares en Australie en 1920. A Madagascar, Cet </w:t>
      </w:r>
      <w:r w:rsidRPr="00274556">
        <w:rPr>
          <w:rFonts w:ascii="Calibri" w:hAnsi="Calibri" w:cs="Calibri"/>
          <w:i/>
          <w:iCs/>
        </w:rPr>
        <w:t>Opuntia</w:t>
      </w:r>
      <w:r w:rsidRPr="00274556">
        <w:rPr>
          <w:rFonts w:ascii="Calibri" w:hAnsi="Calibri" w:cs="Calibri"/>
        </w:rPr>
        <w:t xml:space="preserve"> (noms malgaches </w:t>
      </w:r>
      <w:r w:rsidRPr="00274556">
        <w:rPr>
          <w:rFonts w:ascii="Calibri" w:hAnsi="Calibri" w:cs="Calibri"/>
          <w:i/>
          <w:iCs/>
        </w:rPr>
        <w:t xml:space="preserve">raketamena, </w:t>
      </w:r>
      <w:r w:rsidRPr="00784E32">
        <w:rPr>
          <w:rFonts w:ascii="Calibri" w:hAnsi="Calibri" w:cs="Calibri"/>
          <w:i/>
          <w:iCs/>
        </w:rPr>
        <w:t>raketadambo, mavozoloky, raketakendretevo</w:t>
      </w:r>
      <w:r w:rsidRPr="00784E32">
        <w:rPr>
          <w:rFonts w:ascii="Calibri" w:hAnsi="Calibri" w:cs="Calibri"/>
        </w:rPr>
        <w:t>) pose un problème à Madagascar où il a été introduit et propagé. Il envahit rapidement les champs abandonnés où il a servi de clôture vivante. Il fait maintenant l'objet d'un programme d'éradication syst</w:t>
      </w:r>
      <w:r>
        <w:rPr>
          <w:rFonts w:ascii="Calibri" w:hAnsi="Calibri" w:cs="Calibri"/>
        </w:rPr>
        <w:t>é</w:t>
      </w:r>
      <w:r w:rsidRPr="00784E32">
        <w:rPr>
          <w:rFonts w:ascii="Calibri" w:hAnsi="Calibri" w:cs="Calibri"/>
        </w:rPr>
        <w:t>matique par des moyens mécaniques.</w:t>
      </w:r>
      <w:r w:rsidR="006300D1">
        <w:rPr>
          <w:rFonts w:ascii="Calibri" w:hAnsi="Calibri" w:cs="Calibri"/>
        </w:rPr>
        <w:t xml:space="preserve"> </w:t>
      </w:r>
      <w:r w:rsidR="006300D1" w:rsidRPr="006300D1">
        <w:rPr>
          <w:rFonts w:ascii="Calibri" w:hAnsi="Calibri" w:cs="Calibri"/>
        </w:rPr>
        <w:t>En Nouvelle-Calédonie, le Code de l'environnement de la Province Sud interdit l’introduction dans la nature de cette espèce ainsi que sa production, son transport, son utilisation, son colportage, sa cession, sa mise en vente, sa vente ou son achat.</w:t>
      </w:r>
    </w:p>
    <w:p w14:paraId="7313C3FD" w14:textId="03E8D17A" w:rsidR="00784E32" w:rsidRDefault="00784E32" w:rsidP="00784E32">
      <w:pPr>
        <w:spacing w:after="0" w:line="240" w:lineRule="auto"/>
        <w:jc w:val="both"/>
        <w:rPr>
          <w:rFonts w:ascii="Calibri" w:hAnsi="Calibri" w:cs="Calibri"/>
        </w:rPr>
      </w:pPr>
      <w:r w:rsidRPr="00784E32">
        <w:rPr>
          <w:rFonts w:ascii="Calibri" w:hAnsi="Calibri" w:cs="Calibri"/>
          <w:u w:val="single"/>
        </w:rPr>
        <w:t>Lutte biologique</w:t>
      </w:r>
      <w:r w:rsidRPr="00784E32">
        <w:rPr>
          <w:rFonts w:ascii="Calibri" w:hAnsi="Calibri" w:cs="Calibri"/>
        </w:rPr>
        <w:t xml:space="preserve"> : </w:t>
      </w:r>
      <w:r w:rsidRPr="00784E32">
        <w:rPr>
          <w:rFonts w:ascii="Arial" w:hAnsi="Arial" w:cs="Arial"/>
          <w:sz w:val="21"/>
          <w:szCs w:val="21"/>
          <w:shd w:val="clear" w:color="auto" w:fill="FFFFFF"/>
        </w:rPr>
        <w:t>La lutte biologique avec la cochenille </w:t>
      </w:r>
      <w:hyperlink r:id="rId3961" w:tooltip="Cactoblastis cactorum" w:history="1">
        <w:r>
          <w:rPr>
            <w:rStyle w:val="Lienhypertexte"/>
            <w:rFonts w:ascii="Arial" w:hAnsi="Arial" w:cs="Arial"/>
            <w:i/>
            <w:iCs/>
            <w:color w:val="0645AD"/>
            <w:sz w:val="21"/>
            <w:szCs w:val="21"/>
            <w:shd w:val="clear" w:color="auto" w:fill="FFFFFF"/>
          </w:rPr>
          <w:t>Cactoblastis cactorum</w:t>
        </w:r>
      </w:hyperlink>
      <w:r>
        <w:rPr>
          <w:rFonts w:ascii="Arial" w:hAnsi="Arial" w:cs="Arial"/>
          <w:color w:val="202122"/>
          <w:sz w:val="21"/>
          <w:szCs w:val="21"/>
          <w:shd w:val="clear" w:color="auto" w:fill="FFFFFF"/>
        </w:rPr>
        <w:t> </w:t>
      </w:r>
      <w:r w:rsidRPr="00784E32">
        <w:rPr>
          <w:rFonts w:ascii="Arial" w:hAnsi="Arial" w:cs="Arial"/>
          <w:sz w:val="21"/>
          <w:szCs w:val="21"/>
          <w:shd w:val="clear" w:color="auto" w:fill="FFFFFF"/>
        </w:rPr>
        <w:t>a donné de bons résultats, les larves détruisant la plante en y creusant des tunnels, ouvrant la voie à des organismes pathogènes</w:t>
      </w:r>
      <w:r>
        <w:rPr>
          <w:rFonts w:ascii="Calibri" w:hAnsi="Calibri" w:cs="Calibri"/>
        </w:rPr>
        <w:t xml:space="preserve">. </w:t>
      </w:r>
      <w:r w:rsidRPr="00784E32">
        <w:rPr>
          <w:rFonts w:ascii="Calibri" w:hAnsi="Calibri" w:cs="Calibri"/>
        </w:rPr>
        <w:t>Dans le Nord de la Nouvelle-Calédonie, la larve d'un lépidoptère permet de contrôler certains peuplements.</w:t>
      </w:r>
    </w:p>
    <w:p w14:paraId="15B8F6F6" w14:textId="5F5D8A44" w:rsidR="006300D1" w:rsidRPr="00784E32" w:rsidRDefault="006300D1" w:rsidP="00784E32">
      <w:pPr>
        <w:spacing w:after="0" w:line="240" w:lineRule="auto"/>
        <w:jc w:val="both"/>
        <w:rPr>
          <w:rFonts w:ascii="Calibri" w:hAnsi="Calibri" w:cs="Calibri"/>
        </w:rPr>
      </w:pPr>
      <w:r>
        <w:rPr>
          <w:rFonts w:ascii="Calibri" w:hAnsi="Calibri" w:cs="Calibri"/>
        </w:rPr>
        <w:t xml:space="preserve">Source : </w:t>
      </w:r>
      <w:hyperlink r:id="rId3962" w:history="1">
        <w:r w:rsidRPr="00EE130C">
          <w:rPr>
            <w:rStyle w:val="Lienhypertexte"/>
            <w:rFonts w:ascii="Calibri" w:hAnsi="Calibri" w:cs="Calibri"/>
          </w:rPr>
          <w:t>https://fr.wikipedia.org/wiki/Opuntia_stricta</w:t>
        </w:r>
      </w:hyperlink>
      <w:r>
        <w:rPr>
          <w:rFonts w:ascii="Calibri" w:hAnsi="Calibri" w:cs="Calibri"/>
        </w:rPr>
        <w:t xml:space="preserve"> </w:t>
      </w:r>
    </w:p>
    <w:p w14:paraId="2714AA3C" w14:textId="28F194B9" w:rsidR="00784E32" w:rsidRDefault="00784E32" w:rsidP="00E03EB7">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A366B0" w14:paraId="77A08B3D" w14:textId="77777777" w:rsidTr="00A366B0">
        <w:tc>
          <w:tcPr>
            <w:tcW w:w="5208" w:type="dxa"/>
          </w:tcPr>
          <w:p w14:paraId="4BAE6CC3" w14:textId="77777777" w:rsidR="00A366B0" w:rsidRDefault="00A366B0" w:rsidP="00A366B0">
            <w:pPr>
              <w:jc w:val="center"/>
            </w:pPr>
            <w:r>
              <w:rPr>
                <w:noProof/>
              </w:rPr>
              <w:drawing>
                <wp:inline distT="0" distB="0" distL="0" distR="0" wp14:anchorId="361A24EA" wp14:editId="20F00567">
                  <wp:extent cx="2448315" cy="1838325"/>
                  <wp:effectExtent l="0" t="0" r="9525" b="0"/>
                  <wp:docPr id="155658" name="Image 155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63">
                            <a:extLst>
                              <a:ext uri="{28A0092B-C50C-407E-A947-70E740481C1C}">
                                <a14:useLocalDpi xmlns:a14="http://schemas.microsoft.com/office/drawing/2010/main" val="0"/>
                              </a:ext>
                            </a:extLst>
                          </a:blip>
                          <a:srcRect/>
                          <a:stretch>
                            <a:fillRect/>
                          </a:stretch>
                        </pic:blipFill>
                        <pic:spPr bwMode="auto">
                          <a:xfrm>
                            <a:off x="0" y="0"/>
                            <a:ext cx="2450942" cy="1840298"/>
                          </a:xfrm>
                          <a:prstGeom prst="rect">
                            <a:avLst/>
                          </a:prstGeom>
                          <a:noFill/>
                          <a:ln>
                            <a:noFill/>
                          </a:ln>
                        </pic:spPr>
                      </pic:pic>
                    </a:graphicData>
                  </a:graphic>
                </wp:inline>
              </w:drawing>
            </w:r>
          </w:p>
          <w:p w14:paraId="1A6E8A6B" w14:textId="77777777" w:rsidR="00A366B0" w:rsidRDefault="00A366B0" w:rsidP="00A366B0">
            <w:pPr>
              <w:jc w:val="center"/>
              <w:rPr>
                <w:i/>
                <w:iCs/>
              </w:rPr>
            </w:pPr>
            <w:r w:rsidRPr="00A366B0">
              <w:t>Fruits et raquettes d’</w:t>
            </w:r>
            <w:r w:rsidRPr="00A366B0">
              <w:rPr>
                <w:i/>
                <w:iCs/>
              </w:rPr>
              <w:t>Opuntia stricta</w:t>
            </w:r>
            <w:r w:rsidR="00165C89">
              <w:rPr>
                <w:i/>
                <w:iCs/>
              </w:rPr>
              <w:t>.</w:t>
            </w:r>
          </w:p>
          <w:p w14:paraId="192F2078" w14:textId="530FA660" w:rsidR="00165C89" w:rsidRDefault="00165C89" w:rsidP="00A366B0">
            <w:pPr>
              <w:jc w:val="center"/>
            </w:pPr>
          </w:p>
        </w:tc>
        <w:tc>
          <w:tcPr>
            <w:tcW w:w="5208" w:type="dxa"/>
          </w:tcPr>
          <w:p w14:paraId="4E38CCF6" w14:textId="77777777" w:rsidR="00A366B0" w:rsidRDefault="00A366B0" w:rsidP="00A366B0">
            <w:pPr>
              <w:jc w:val="center"/>
            </w:pPr>
            <w:r>
              <w:rPr>
                <w:noProof/>
              </w:rPr>
              <w:drawing>
                <wp:inline distT="0" distB="0" distL="0" distR="0" wp14:anchorId="42A99F21" wp14:editId="5EC72119">
                  <wp:extent cx="1838325" cy="1838325"/>
                  <wp:effectExtent l="0" t="0" r="9525" b="9525"/>
                  <wp:docPr id="155660" name="Image 155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64">
                            <a:extLst>
                              <a:ext uri="{28A0092B-C50C-407E-A947-70E740481C1C}">
                                <a14:useLocalDpi xmlns:a14="http://schemas.microsoft.com/office/drawing/2010/main" val="0"/>
                              </a:ext>
                            </a:extLst>
                          </a:blip>
                          <a:srcRect/>
                          <a:stretch>
                            <a:fillRect/>
                          </a:stretch>
                        </pic:blipFill>
                        <pic:spPr bwMode="auto">
                          <a:xfrm>
                            <a:off x="0" y="0"/>
                            <a:ext cx="1838325" cy="1838325"/>
                          </a:xfrm>
                          <a:prstGeom prst="rect">
                            <a:avLst/>
                          </a:prstGeom>
                          <a:noFill/>
                          <a:ln>
                            <a:noFill/>
                          </a:ln>
                        </pic:spPr>
                      </pic:pic>
                    </a:graphicData>
                  </a:graphic>
                </wp:inline>
              </w:drawing>
            </w:r>
          </w:p>
          <w:p w14:paraId="3FFD688C" w14:textId="541D6740" w:rsidR="00A366B0" w:rsidRDefault="00A366B0" w:rsidP="00A366B0">
            <w:pPr>
              <w:jc w:val="center"/>
            </w:pPr>
            <w:r>
              <w:t>Fleur</w:t>
            </w:r>
          </w:p>
        </w:tc>
      </w:tr>
      <w:tr w:rsidR="00A366B0" w14:paraId="31D303B9" w14:textId="77777777" w:rsidTr="00A366B0">
        <w:tc>
          <w:tcPr>
            <w:tcW w:w="5208" w:type="dxa"/>
          </w:tcPr>
          <w:p w14:paraId="5C05096B" w14:textId="77777777" w:rsidR="00A366B0" w:rsidRDefault="00A366B0" w:rsidP="00A366B0">
            <w:pPr>
              <w:jc w:val="center"/>
            </w:pPr>
            <w:r>
              <w:rPr>
                <w:noProof/>
              </w:rPr>
              <w:drawing>
                <wp:inline distT="0" distB="0" distL="0" distR="0" wp14:anchorId="1CC4504B" wp14:editId="383B1DA0">
                  <wp:extent cx="2303318" cy="1447800"/>
                  <wp:effectExtent l="0" t="0" r="1905" b="0"/>
                  <wp:docPr id="155661" name="Image 155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65">
                            <a:extLst>
                              <a:ext uri="{28A0092B-C50C-407E-A947-70E740481C1C}">
                                <a14:useLocalDpi xmlns:a14="http://schemas.microsoft.com/office/drawing/2010/main" val="0"/>
                              </a:ext>
                            </a:extLst>
                          </a:blip>
                          <a:srcRect/>
                          <a:stretch>
                            <a:fillRect/>
                          </a:stretch>
                        </pic:blipFill>
                        <pic:spPr bwMode="auto">
                          <a:xfrm>
                            <a:off x="0" y="0"/>
                            <a:ext cx="2322215" cy="1459678"/>
                          </a:xfrm>
                          <a:prstGeom prst="rect">
                            <a:avLst/>
                          </a:prstGeom>
                          <a:noFill/>
                          <a:ln>
                            <a:noFill/>
                          </a:ln>
                        </pic:spPr>
                      </pic:pic>
                    </a:graphicData>
                  </a:graphic>
                </wp:inline>
              </w:drawing>
            </w:r>
          </w:p>
          <w:p w14:paraId="650A8ED5" w14:textId="501F6C79" w:rsidR="00A366B0" w:rsidRDefault="00A366B0" w:rsidP="00A366B0">
            <w:pPr>
              <w:jc w:val="center"/>
            </w:pPr>
            <w:r w:rsidRPr="00A366B0">
              <w:rPr>
                <w:i/>
                <w:iCs/>
              </w:rPr>
              <w:t>Opuntia stricta</w:t>
            </w:r>
            <w:r w:rsidRPr="00A366B0">
              <w:t xml:space="preserve"> avec des fruits, Sète, France.</w:t>
            </w:r>
          </w:p>
        </w:tc>
        <w:tc>
          <w:tcPr>
            <w:tcW w:w="5208" w:type="dxa"/>
          </w:tcPr>
          <w:p w14:paraId="430B614A" w14:textId="77777777" w:rsidR="00A366B0" w:rsidRDefault="00A366B0" w:rsidP="00A366B0">
            <w:pPr>
              <w:jc w:val="center"/>
            </w:pPr>
            <w:r>
              <w:rPr>
                <w:noProof/>
              </w:rPr>
              <w:drawing>
                <wp:inline distT="0" distB="0" distL="0" distR="0" wp14:anchorId="56CD4C80" wp14:editId="48AE8F01">
                  <wp:extent cx="2209800" cy="1245524"/>
                  <wp:effectExtent l="0" t="0" r="0" b="0"/>
                  <wp:docPr id="155663" name="Image 155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66">
                            <a:extLst>
                              <a:ext uri="{28A0092B-C50C-407E-A947-70E740481C1C}">
                                <a14:useLocalDpi xmlns:a14="http://schemas.microsoft.com/office/drawing/2010/main" val="0"/>
                              </a:ext>
                            </a:extLst>
                          </a:blip>
                          <a:srcRect/>
                          <a:stretch>
                            <a:fillRect/>
                          </a:stretch>
                        </pic:blipFill>
                        <pic:spPr bwMode="auto">
                          <a:xfrm>
                            <a:off x="0" y="0"/>
                            <a:ext cx="2211564" cy="1246518"/>
                          </a:xfrm>
                          <a:prstGeom prst="rect">
                            <a:avLst/>
                          </a:prstGeom>
                          <a:noFill/>
                          <a:ln>
                            <a:noFill/>
                          </a:ln>
                        </pic:spPr>
                      </pic:pic>
                    </a:graphicData>
                  </a:graphic>
                </wp:inline>
              </w:drawing>
            </w:r>
          </w:p>
          <w:p w14:paraId="5D0DCD55" w14:textId="77777777" w:rsidR="00A366B0" w:rsidRDefault="00A366B0" w:rsidP="00A366B0">
            <w:pPr>
              <w:jc w:val="center"/>
            </w:pPr>
            <w:r w:rsidRPr="00A366B0">
              <w:t xml:space="preserve">Cladodes en train de pourrir à la suite de l'action de </w:t>
            </w:r>
            <w:r w:rsidRPr="00A366B0">
              <w:rPr>
                <w:i/>
                <w:iCs/>
              </w:rPr>
              <w:t>Cactoblastis cactorum</w:t>
            </w:r>
            <w:r w:rsidRPr="00A366B0">
              <w:t>.</w:t>
            </w:r>
          </w:p>
          <w:p w14:paraId="61165BF7" w14:textId="25AF9C59" w:rsidR="00165C89" w:rsidRDefault="00165C89" w:rsidP="00A366B0">
            <w:pPr>
              <w:jc w:val="center"/>
            </w:pPr>
          </w:p>
        </w:tc>
      </w:tr>
    </w:tbl>
    <w:p w14:paraId="56E357F2" w14:textId="377643ED" w:rsidR="00A366B0" w:rsidRDefault="00165C89" w:rsidP="00A366B0">
      <w:pPr>
        <w:spacing w:after="0" w:line="240" w:lineRule="auto"/>
        <w:jc w:val="center"/>
      </w:pPr>
      <w:r w:rsidRPr="00165C89">
        <w:rPr>
          <w:noProof/>
        </w:rPr>
        <w:lastRenderedPageBreak/>
        <w:drawing>
          <wp:inline distT="0" distB="0" distL="0" distR="0" wp14:anchorId="69CE625F" wp14:editId="6A0893E4">
            <wp:extent cx="2686050" cy="1992154"/>
            <wp:effectExtent l="0" t="0" r="0" b="8255"/>
            <wp:docPr id="173065" name="Picture 9" descr="C:\Users\LISAN\Pictures\plantes invasives de Madagascar\Opuntia strict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65" name="Picture 9" descr="C:\Users\LISAN\Pictures\plantes invasives de Madagascar\Opuntia stricta2.jpg"/>
                    <pic:cNvPicPr>
                      <a:picLocks noChangeAspect="1" noChangeArrowheads="1"/>
                    </pic:cNvPicPr>
                  </pic:nvPicPr>
                  <pic:blipFill>
                    <a:blip r:embed="rId3967">
                      <a:extLst>
                        <a:ext uri="{28A0092B-C50C-407E-A947-70E740481C1C}">
                          <a14:useLocalDpi xmlns:a14="http://schemas.microsoft.com/office/drawing/2010/main" val="0"/>
                        </a:ext>
                      </a:extLst>
                    </a:blip>
                    <a:srcRect/>
                    <a:stretch>
                      <a:fillRect/>
                    </a:stretch>
                  </pic:blipFill>
                  <pic:spPr bwMode="auto">
                    <a:xfrm>
                      <a:off x="0" y="0"/>
                      <a:ext cx="2687443" cy="1993187"/>
                    </a:xfrm>
                    <a:prstGeom prst="rect">
                      <a:avLst/>
                    </a:prstGeom>
                    <a:noFill/>
                    <a:ln>
                      <a:noFill/>
                    </a:ln>
                  </pic:spPr>
                </pic:pic>
              </a:graphicData>
            </a:graphic>
          </wp:inline>
        </w:drawing>
      </w:r>
    </w:p>
    <w:p w14:paraId="4F18A3DA" w14:textId="26297E3E" w:rsidR="00165C89" w:rsidRDefault="00165C89" w:rsidP="00A366B0">
      <w:pPr>
        <w:spacing w:after="0" w:line="240" w:lineRule="auto"/>
        <w:jc w:val="center"/>
      </w:pPr>
      <w:r w:rsidRPr="00A366B0">
        <w:rPr>
          <w:i/>
          <w:iCs/>
        </w:rPr>
        <w:t>Opuntia stricta</w:t>
      </w:r>
      <w:r>
        <w:rPr>
          <w:i/>
          <w:iCs/>
        </w:rPr>
        <w:t>.</w:t>
      </w:r>
    </w:p>
    <w:p w14:paraId="11412BDB" w14:textId="77777777" w:rsidR="00A366B0" w:rsidRDefault="00A366B0" w:rsidP="00E03EB7">
      <w:pPr>
        <w:spacing w:after="0" w:line="240" w:lineRule="auto"/>
        <w:jc w:val="both"/>
      </w:pPr>
    </w:p>
    <w:p w14:paraId="7AFE626D" w14:textId="499563CA" w:rsidR="00E84281" w:rsidRPr="00C26225" w:rsidRDefault="00C26225" w:rsidP="00C26225">
      <w:pPr>
        <w:pStyle w:val="Titre2"/>
        <w:rPr>
          <w:lang w:val="en-GB"/>
        </w:rPr>
      </w:pPr>
      <w:bookmarkStart w:id="382" w:name="_Toc139181672"/>
      <w:r w:rsidRPr="00C26225">
        <w:rPr>
          <w:lang w:val="en-GB"/>
        </w:rPr>
        <w:t>Agave sisal (</w:t>
      </w:r>
      <w:r w:rsidRPr="00C26225">
        <w:rPr>
          <w:i/>
          <w:iCs/>
          <w:lang w:val="en-GB"/>
        </w:rPr>
        <w:t>Agave sisalana</w:t>
      </w:r>
      <w:r w:rsidRPr="00C26225">
        <w:rPr>
          <w:lang w:val="en-GB"/>
        </w:rPr>
        <w:t xml:space="preserve">, </w:t>
      </w:r>
      <w:r w:rsidRPr="00C26225">
        <w:rPr>
          <w:i/>
          <w:iCs/>
          <w:lang w:val="en-GB"/>
        </w:rPr>
        <w:t>Agave ixtli</w:t>
      </w:r>
      <w:r w:rsidRPr="00C26225">
        <w:rPr>
          <w:lang w:val="en-GB"/>
        </w:rPr>
        <w:t xml:space="preserve"> etc.)</w:t>
      </w:r>
      <w:bookmarkEnd w:id="382"/>
    </w:p>
    <w:p w14:paraId="6BD10921" w14:textId="6585DD78" w:rsidR="00C26225" w:rsidRDefault="00C26225" w:rsidP="00E03EB7">
      <w:pPr>
        <w:spacing w:after="0" w:line="240" w:lineRule="auto"/>
        <w:jc w:val="both"/>
        <w:rPr>
          <w:lang w:val="en-G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3"/>
        <w:gridCol w:w="1985"/>
        <w:gridCol w:w="1701"/>
        <w:gridCol w:w="258"/>
        <w:gridCol w:w="1379"/>
      </w:tblGrid>
      <w:tr w:rsidR="00C26225" w:rsidRPr="000B6BE3" w14:paraId="46BADA3B" w14:textId="77777777" w:rsidTr="003D7963">
        <w:tc>
          <w:tcPr>
            <w:tcW w:w="5103" w:type="dxa"/>
          </w:tcPr>
          <w:p w14:paraId="792C2330" w14:textId="3A3A7D04" w:rsidR="00C26225" w:rsidRDefault="00C26225" w:rsidP="003D7963">
            <w:pPr>
              <w:jc w:val="both"/>
              <w:rPr>
                <w:rFonts w:ascii="Calibri" w:hAnsi="Calibri" w:cs="Calibri"/>
                <w:bCs/>
              </w:rPr>
            </w:pPr>
            <w:r>
              <w:rPr>
                <w:rFonts w:ascii="Calibri" w:hAnsi="Calibri" w:cs="Calibri"/>
                <w:bCs/>
              </w:rPr>
              <w:t>(</w:t>
            </w:r>
            <w:r w:rsidRPr="00DE2C3A">
              <w:rPr>
                <w:rFonts w:ascii="Calibri" w:hAnsi="Calibri" w:cs="Calibri"/>
                <w:bCs/>
              </w:rPr>
              <w:t>Famille des</w:t>
            </w:r>
            <w:r>
              <w:rPr>
                <w:rFonts w:ascii="Calibri" w:hAnsi="Calibri" w:cs="Calibri"/>
              </w:rPr>
              <w:t xml:space="preserve"> </w:t>
            </w:r>
            <w:hyperlink r:id="rId3968" w:history="1">
              <w:r w:rsidR="00511025" w:rsidRPr="00C26225">
                <w:rPr>
                  <w:rStyle w:val="Lienhypertexte"/>
                  <w:i/>
                  <w:iCs/>
                </w:rPr>
                <w:t>Agavaceae</w:t>
              </w:r>
            </w:hyperlink>
            <w:r>
              <w:rPr>
                <w:rFonts w:ascii="Calibri" w:hAnsi="Calibri" w:cs="Calibri"/>
                <w:bCs/>
              </w:rPr>
              <w:t>)</w:t>
            </w:r>
            <w:r w:rsidRPr="00DE2C3A">
              <w:rPr>
                <w:rFonts w:ascii="Calibri" w:hAnsi="Calibri" w:cs="Calibri"/>
                <w:bCs/>
              </w:rPr>
              <w:t>.</w:t>
            </w:r>
          </w:p>
          <w:p w14:paraId="2D4ECE44" w14:textId="77777777" w:rsidR="00C26225" w:rsidRDefault="00C26225" w:rsidP="003D7963">
            <w:pPr>
              <w:jc w:val="both"/>
              <w:rPr>
                <w:rFonts w:cstheme="minorHAnsi"/>
                <w:b/>
                <w:bCs/>
                <w:color w:val="FF0000"/>
              </w:rPr>
            </w:pPr>
          </w:p>
          <w:p w14:paraId="434BDAD9" w14:textId="603E0F10" w:rsidR="00C26225" w:rsidRPr="000B6BE3" w:rsidRDefault="00C26225" w:rsidP="003D7963">
            <w:pPr>
              <w:jc w:val="both"/>
              <w:rPr>
                <w:rFonts w:cstheme="minorHAnsi"/>
              </w:rPr>
            </w:pPr>
            <w:r w:rsidRPr="00DE60FE">
              <w:rPr>
                <w:rFonts w:cstheme="minorHAnsi"/>
                <w:b/>
                <w:bCs/>
                <w:color w:val="FF0000"/>
              </w:rPr>
              <w:t xml:space="preserve">A rejeter, score: </w:t>
            </w:r>
            <w:r>
              <w:rPr>
                <w:rFonts w:cstheme="minorHAnsi"/>
                <w:b/>
                <w:bCs/>
                <w:color w:val="FF0000"/>
              </w:rPr>
              <w:t>14</w:t>
            </w:r>
            <w:r w:rsidRPr="00DE60FE">
              <w:rPr>
                <w:rFonts w:cstheme="minorHAnsi"/>
                <w:b/>
                <w:bCs/>
                <w:color w:val="FF0000"/>
              </w:rPr>
              <w:t>.</w:t>
            </w:r>
          </w:p>
        </w:tc>
        <w:tc>
          <w:tcPr>
            <w:tcW w:w="1985" w:type="dxa"/>
          </w:tcPr>
          <w:p w14:paraId="50178FFF" w14:textId="77777777" w:rsidR="00C26225" w:rsidRPr="000B6BE3" w:rsidRDefault="00C26225" w:rsidP="003D7963">
            <w:pPr>
              <w:rPr>
                <w:rFonts w:cstheme="minorHAnsi"/>
              </w:rPr>
            </w:pPr>
            <w:r w:rsidRPr="000B6BE3">
              <w:rPr>
                <w:rFonts w:cstheme="minorHAnsi"/>
                <w:noProof/>
              </w:rPr>
              <w:t xml:space="preserve">  </w:t>
            </w:r>
            <w:r>
              <w:rPr>
                <w:rFonts w:cstheme="minorHAnsi"/>
                <w:noProof/>
              </w:rPr>
              <w:t xml:space="preserve">     </w:t>
            </w:r>
            <w:r w:rsidRPr="005C50C9">
              <w:rPr>
                <w:rFonts w:cstheme="minorHAnsi"/>
                <w:noProof/>
              </w:rPr>
              <w:drawing>
                <wp:inline distT="0" distB="0" distL="0" distR="0" wp14:anchorId="0952E766" wp14:editId="4C83DEFD">
                  <wp:extent cx="495300" cy="666750"/>
                  <wp:effectExtent l="0" t="0" r="0" b="0"/>
                  <wp:docPr id="155664" name="Image 15"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8" name="Image 15" descr="logo aride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w:t>
            </w:r>
            <w:r w:rsidRPr="008F2681">
              <w:rPr>
                <w:rFonts w:cstheme="minorHAnsi"/>
                <w:noProof/>
              </w:rPr>
              <w:drawing>
                <wp:inline distT="0" distB="0" distL="0" distR="0" wp14:anchorId="7A0E6CD1" wp14:editId="1671971F">
                  <wp:extent cx="463550" cy="661988"/>
                  <wp:effectExtent l="0" t="0" r="0" b="5080"/>
                  <wp:docPr id="155665"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p>
        </w:tc>
        <w:tc>
          <w:tcPr>
            <w:tcW w:w="1701" w:type="dxa"/>
          </w:tcPr>
          <w:p w14:paraId="32FC0952" w14:textId="77777777" w:rsidR="00C26225" w:rsidRPr="002E01BB" w:rsidRDefault="00C26225" w:rsidP="003D7963">
            <w:pPr>
              <w:rPr>
                <w:rFonts w:eastAsia="+mn-ea" w:cstheme="minorHAnsi"/>
                <w:b/>
                <w:bCs/>
                <w:color w:val="008000"/>
                <w:kern w:val="24"/>
                <w:sz w:val="56"/>
                <w:szCs w:val="56"/>
              </w:rPr>
            </w:pPr>
            <w:r w:rsidRPr="00D1445E">
              <w:rPr>
                <w:rFonts w:eastAsia="+mn-ea" w:cstheme="minorHAnsi"/>
                <w:b/>
                <w:bCs/>
                <w:color w:val="008000"/>
                <w:kern w:val="24"/>
                <w:sz w:val="56"/>
                <w:szCs w:val="56"/>
              </w:rPr>
              <w:t>U</w:t>
            </w:r>
            <w:r>
              <w:rPr>
                <w:rFonts w:eastAsia="+mn-ea" w:cstheme="minorHAnsi"/>
                <w:b/>
                <w:bCs/>
                <w:color w:val="008000"/>
                <w:kern w:val="24"/>
                <w:sz w:val="56"/>
                <w:szCs w:val="56"/>
              </w:rPr>
              <w:t xml:space="preserve"> ↗↗</w:t>
            </w:r>
          </w:p>
          <w:p w14:paraId="09FE66E9" w14:textId="77777777" w:rsidR="00C26225" w:rsidRPr="000B6BE3" w:rsidRDefault="00C26225" w:rsidP="003D7963">
            <w:pPr>
              <w:textAlignment w:val="baseline"/>
              <w:rPr>
                <w:rFonts w:cstheme="minorHAnsi"/>
              </w:rPr>
            </w:pPr>
          </w:p>
        </w:tc>
        <w:tc>
          <w:tcPr>
            <w:tcW w:w="258" w:type="dxa"/>
          </w:tcPr>
          <w:p w14:paraId="7FBE9D22" w14:textId="77777777" w:rsidR="00C26225" w:rsidRPr="000B6BE3" w:rsidRDefault="00C26225" w:rsidP="003D7963">
            <w:pPr>
              <w:rPr>
                <w:rFonts w:cstheme="minorHAnsi"/>
              </w:rPr>
            </w:pPr>
          </w:p>
        </w:tc>
        <w:tc>
          <w:tcPr>
            <w:tcW w:w="1379" w:type="dxa"/>
          </w:tcPr>
          <w:p w14:paraId="4E9F0CCC" w14:textId="77777777" w:rsidR="00C26225" w:rsidRPr="000B6BE3" w:rsidRDefault="00C26225" w:rsidP="003D7963">
            <w:pPr>
              <w:rPr>
                <w:rFonts w:cstheme="minorHAnsi"/>
              </w:rPr>
            </w:pPr>
            <w:r w:rsidRPr="00DE60FE">
              <w:rPr>
                <w:rFonts w:cstheme="minorHAnsi"/>
                <w:noProof/>
              </w:rPr>
              <w:drawing>
                <wp:inline distT="0" distB="0" distL="0" distR="0" wp14:anchorId="1EBF4A38" wp14:editId="2B8F0489">
                  <wp:extent cx="457200" cy="457200"/>
                  <wp:effectExtent l="0" t="0" r="0" b="0"/>
                  <wp:docPr id="155666" name="Picture 16" descr="C:\Users\LISAN\Pictures\Plantes fourragères\logo invasive plants5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26" name="Picture 16" descr="C:\Users\LISAN\Pictures\Plantes fourragères\logo invasive plants5_s.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5B8E324A" w14:textId="77777777" w:rsidR="00C26225" w:rsidRDefault="00C26225" w:rsidP="00E03EB7">
      <w:pPr>
        <w:spacing w:after="0" w:line="240" w:lineRule="auto"/>
        <w:jc w:val="both"/>
        <w:rPr>
          <w:lang w:val="en-GB"/>
        </w:rPr>
      </w:pPr>
    </w:p>
    <w:p w14:paraId="6F3AF9EC" w14:textId="70DAE7D4" w:rsidR="00C26225" w:rsidRDefault="00C26225" w:rsidP="00C26225">
      <w:pPr>
        <w:spacing w:after="0" w:line="240" w:lineRule="auto"/>
        <w:jc w:val="both"/>
      </w:pPr>
      <w:r w:rsidRPr="00C26225">
        <w:t>Originaire de l'est du </w:t>
      </w:r>
      <w:hyperlink r:id="rId3969" w:history="1">
        <w:r w:rsidRPr="00C26225">
          <w:rPr>
            <w:rStyle w:val="Lienhypertexte"/>
          </w:rPr>
          <w:t>Mexique</w:t>
        </w:r>
      </w:hyperlink>
      <w:r w:rsidRPr="00C26225">
        <w:t xml:space="preserve">, est une plante succulente vivace, à rhizome, aimant les endroits secs, désormais présente dans de nombreux pays tropicaux et subtropicaux. </w:t>
      </w:r>
    </w:p>
    <w:p w14:paraId="27EFE9A3" w14:textId="27B24967" w:rsidR="00C26225" w:rsidRPr="00C26225" w:rsidRDefault="00C26225" w:rsidP="00C26225">
      <w:pPr>
        <w:spacing w:after="0" w:line="240" w:lineRule="auto"/>
        <w:jc w:val="both"/>
      </w:pPr>
      <w:r w:rsidRPr="00C26225">
        <w:rPr>
          <w:u w:val="single"/>
        </w:rPr>
        <w:t>Usage</w:t>
      </w:r>
      <w:r>
        <w:t xml:space="preserve"> : </w:t>
      </w:r>
      <w:r w:rsidRPr="00C26225">
        <w:t>De ses feuilles de laquelle est extrait la </w:t>
      </w:r>
      <w:hyperlink r:id="rId3970" w:history="1">
        <w:r w:rsidRPr="00C26225">
          <w:rPr>
            <w:rStyle w:val="Lienhypertexte"/>
          </w:rPr>
          <w:t>fibre</w:t>
        </w:r>
      </w:hyperlink>
      <w:r w:rsidRPr="00C26225">
        <w:t xml:space="preserve"> résistante, nommée </w:t>
      </w:r>
      <w:r w:rsidRPr="00C26225">
        <w:rPr>
          <w:i/>
          <w:iCs/>
        </w:rPr>
        <w:t>sisal</w:t>
      </w:r>
      <w:r w:rsidRPr="00C26225">
        <w:t>, servant à la fabrication de cordage, de </w:t>
      </w:r>
      <w:hyperlink r:id="rId3971" w:history="1">
        <w:r w:rsidRPr="00C26225">
          <w:rPr>
            <w:rStyle w:val="Lienhypertexte"/>
          </w:rPr>
          <w:t>tissus</w:t>
        </w:r>
      </w:hyperlink>
      <w:r w:rsidRPr="00C26225">
        <w:t> grossiers et de </w:t>
      </w:r>
      <w:hyperlink r:id="rId3972" w:history="1">
        <w:r w:rsidRPr="00C26225">
          <w:rPr>
            <w:rStyle w:val="Lienhypertexte"/>
          </w:rPr>
          <w:t>tapis</w:t>
        </w:r>
      </w:hyperlink>
      <w:r w:rsidRPr="00C26225">
        <w:t>. Le sisal occupe la 6</w:t>
      </w:r>
      <w:r w:rsidRPr="00C26225">
        <w:rPr>
          <w:vertAlign w:val="superscript"/>
        </w:rPr>
        <w:t>e</w:t>
      </w:r>
      <w:r w:rsidRPr="00C26225">
        <w:t> place parmi les plantes à fibres, soit 2% de la production mondiale de fibres végétales.</w:t>
      </w:r>
    </w:p>
    <w:p w14:paraId="39E2C7B7" w14:textId="77777777" w:rsidR="00C26225" w:rsidRPr="00C26225" w:rsidRDefault="00C26225" w:rsidP="00C26225">
      <w:pPr>
        <w:spacing w:after="0" w:line="240" w:lineRule="auto"/>
        <w:jc w:val="both"/>
      </w:pPr>
      <w:r w:rsidRPr="00C26225">
        <w:t xml:space="preserve"> Le sisal se multiplie par voie végétative grâce à des bulbilles ou des drageons.</w:t>
      </w:r>
    </w:p>
    <w:p w14:paraId="4A519CE5" w14:textId="05B8D007" w:rsidR="00C26225" w:rsidRPr="00C26225" w:rsidRDefault="00C26225" w:rsidP="00C26225">
      <w:pPr>
        <w:spacing w:after="0" w:line="240" w:lineRule="auto"/>
        <w:jc w:val="both"/>
      </w:pPr>
      <w:r w:rsidRPr="00C26225">
        <w:rPr>
          <w:i/>
          <w:iCs/>
        </w:rPr>
        <w:t xml:space="preserve">A. sisalana </w:t>
      </w:r>
      <w:r w:rsidRPr="00C26225">
        <w:t xml:space="preserve">s'adapte grande variété d'habitats. </w:t>
      </w:r>
    </w:p>
    <w:p w14:paraId="0CE86636" w14:textId="47528389" w:rsidR="00C26225" w:rsidRDefault="00C26225" w:rsidP="00C26225">
      <w:pPr>
        <w:spacing w:after="0" w:line="240" w:lineRule="auto"/>
        <w:jc w:val="both"/>
      </w:pPr>
      <w:r w:rsidRPr="00C26225">
        <w:rPr>
          <w:u w:val="single"/>
        </w:rPr>
        <w:t>Plante invasive</w:t>
      </w:r>
      <w:r>
        <w:t> :</w:t>
      </w:r>
      <w:r w:rsidRPr="00C26225">
        <w:t xml:space="preserve"> Dans l’état du Queensland, en Australie, l’</w:t>
      </w:r>
      <w:r w:rsidRPr="00C26225">
        <w:rPr>
          <w:i/>
          <w:iCs/>
        </w:rPr>
        <w:t xml:space="preserve">A. sisalana </w:t>
      </w:r>
      <w:r w:rsidRPr="00C26225">
        <w:t xml:space="preserve">est considéré comme l'une des 35 plantes invasives les plus nuisibles. </w:t>
      </w:r>
    </w:p>
    <w:p w14:paraId="4AA5CE9A" w14:textId="7BD3C2E9" w:rsidR="00C26225" w:rsidRDefault="00C26225" w:rsidP="00C26225">
      <w:pPr>
        <w:spacing w:after="0" w:line="240" w:lineRule="auto"/>
        <w:jc w:val="both"/>
      </w:pPr>
      <w:r w:rsidRPr="00C26225">
        <w:t>Source</w:t>
      </w:r>
      <w:r>
        <w:t>s</w:t>
      </w:r>
      <w:r w:rsidRPr="00C26225">
        <w:t xml:space="preserve"> :</w:t>
      </w:r>
      <w:r>
        <w:t xml:space="preserve"> a)</w:t>
      </w:r>
      <w:r w:rsidRPr="00C26225">
        <w:t xml:space="preserve"> </w:t>
      </w:r>
      <w:hyperlink r:id="rId3973" w:history="1">
        <w:r w:rsidRPr="00C26225">
          <w:rPr>
            <w:rStyle w:val="Lienhypertexte"/>
          </w:rPr>
          <w:t>http://en.wikipedia.org/wiki/Sisal</w:t>
        </w:r>
      </w:hyperlink>
      <w:r w:rsidRPr="00C26225">
        <w:t xml:space="preserve"> </w:t>
      </w:r>
    </w:p>
    <w:p w14:paraId="52B6F952" w14:textId="7ABD4913" w:rsidR="00C26225" w:rsidRPr="00411177" w:rsidRDefault="00C26225" w:rsidP="00C26225">
      <w:pPr>
        <w:spacing w:after="0" w:line="240" w:lineRule="auto"/>
        <w:jc w:val="both"/>
      </w:pPr>
      <w:r w:rsidRPr="00411177">
        <w:t xml:space="preserve">b) </w:t>
      </w:r>
      <w:hyperlink r:id="rId3974" w:history="1">
        <w:r w:rsidRPr="00411177">
          <w:rPr>
            <w:rStyle w:val="Lienhypertexte"/>
          </w:rPr>
          <w:t>http://www.prota4u.org/protav8.asp?fr=1&amp;g=pe&amp;p=Agave+sisalana+Perrine</w:t>
        </w:r>
      </w:hyperlink>
      <w:r w:rsidRPr="00411177">
        <w:t xml:space="preserve"> </w:t>
      </w:r>
    </w:p>
    <w:p w14:paraId="37FCD588" w14:textId="20653634" w:rsidR="00C26225" w:rsidRPr="00411177" w:rsidRDefault="00C26225" w:rsidP="00C26225">
      <w:pPr>
        <w:spacing w:after="0" w:line="240" w:lineRule="auto"/>
        <w:jc w:val="both"/>
      </w:pPr>
      <w:r w:rsidRPr="00411177">
        <w:t xml:space="preserve">c) </w:t>
      </w:r>
      <w:hyperlink r:id="rId3975" w:history="1">
        <w:r w:rsidRPr="00411177">
          <w:rPr>
            <w:rStyle w:val="Lienhypertexte"/>
          </w:rPr>
          <w:t>http://www.cabi.org/isc/datasheet/3855</w:t>
        </w:r>
      </w:hyperlink>
      <w:r w:rsidRPr="00411177">
        <w:t xml:space="preserve"> </w:t>
      </w:r>
    </w:p>
    <w:p w14:paraId="74325CE7" w14:textId="3C0A26E4" w:rsidR="00C26225" w:rsidRPr="00C26225" w:rsidRDefault="00C26225" w:rsidP="00C26225">
      <w:pPr>
        <w:spacing w:after="0" w:line="240" w:lineRule="auto"/>
        <w:jc w:val="both"/>
      </w:pPr>
      <w:r w:rsidRPr="00C26225">
        <w:rPr>
          <w:u w:val="single"/>
        </w:rPr>
        <w:t>Note</w:t>
      </w:r>
      <w:r w:rsidRPr="00C26225">
        <w:t xml:space="preserve"> : </w:t>
      </w:r>
      <w:r w:rsidRPr="00C26225">
        <w:rPr>
          <w:i/>
          <w:iCs/>
        </w:rPr>
        <w:t xml:space="preserve">Agave Vivipara est </w:t>
      </w:r>
      <w:r w:rsidRPr="00C26225">
        <w:t>synonyme d</w:t>
      </w:r>
      <w:r>
        <w:t>’</w:t>
      </w:r>
      <w:r w:rsidRPr="00C26225">
        <w:rPr>
          <w:i/>
          <w:iCs/>
        </w:rPr>
        <w:t>Agave ixtli</w:t>
      </w:r>
      <w:r w:rsidRPr="00C26225">
        <w:t>.</w:t>
      </w:r>
    </w:p>
    <w:p w14:paraId="4F1CEA79" w14:textId="175B5415" w:rsidR="00C26225" w:rsidRDefault="00C26225" w:rsidP="00E03EB7">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76"/>
        <w:gridCol w:w="3149"/>
        <w:gridCol w:w="3401"/>
      </w:tblGrid>
      <w:tr w:rsidR="007B561E" w14:paraId="0BF212CB" w14:textId="77777777" w:rsidTr="007B561E">
        <w:tc>
          <w:tcPr>
            <w:tcW w:w="3472" w:type="dxa"/>
          </w:tcPr>
          <w:p w14:paraId="16C3D2F5" w14:textId="4F614069" w:rsidR="007B561E" w:rsidRDefault="007B561E" w:rsidP="007B561E">
            <w:pPr>
              <w:jc w:val="center"/>
            </w:pPr>
            <w:r w:rsidRPr="007B561E">
              <w:rPr>
                <w:noProof/>
              </w:rPr>
              <w:drawing>
                <wp:inline distT="0" distB="0" distL="0" distR="0" wp14:anchorId="60F0E950" wp14:editId="24AFC3B3">
                  <wp:extent cx="2318791" cy="1543050"/>
                  <wp:effectExtent l="0" t="0" r="5715" b="0"/>
                  <wp:docPr id="174088" name="Picture 8" descr="C:\Users\LISAN\Pictures\plantes invasives de Madagascar\Agave sisalan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88" name="Picture 8" descr="C:\Users\LISAN\Pictures\plantes invasives de Madagascar\Agave sisalana1.jpg"/>
                          <pic:cNvPicPr>
                            <a:picLocks noChangeAspect="1" noChangeArrowheads="1"/>
                          </pic:cNvPicPr>
                        </pic:nvPicPr>
                        <pic:blipFill>
                          <a:blip r:embed="rId3976">
                            <a:extLst>
                              <a:ext uri="{28A0092B-C50C-407E-A947-70E740481C1C}">
                                <a14:useLocalDpi xmlns:a14="http://schemas.microsoft.com/office/drawing/2010/main" val="0"/>
                              </a:ext>
                            </a:extLst>
                          </a:blip>
                          <a:srcRect/>
                          <a:stretch>
                            <a:fillRect/>
                          </a:stretch>
                        </pic:blipFill>
                        <pic:spPr bwMode="auto">
                          <a:xfrm>
                            <a:off x="0" y="0"/>
                            <a:ext cx="2321013" cy="1544529"/>
                          </a:xfrm>
                          <a:prstGeom prst="rect">
                            <a:avLst/>
                          </a:prstGeom>
                          <a:noFill/>
                          <a:ln>
                            <a:noFill/>
                          </a:ln>
                        </pic:spPr>
                      </pic:pic>
                    </a:graphicData>
                  </a:graphic>
                </wp:inline>
              </w:drawing>
            </w:r>
          </w:p>
        </w:tc>
        <w:tc>
          <w:tcPr>
            <w:tcW w:w="3472" w:type="dxa"/>
          </w:tcPr>
          <w:p w14:paraId="7180B022" w14:textId="0F62348A" w:rsidR="007B561E" w:rsidRDefault="007B561E" w:rsidP="007B561E">
            <w:pPr>
              <w:jc w:val="center"/>
            </w:pPr>
            <w:r w:rsidRPr="007B561E">
              <w:rPr>
                <w:noProof/>
              </w:rPr>
              <w:drawing>
                <wp:inline distT="0" distB="0" distL="0" distR="0" wp14:anchorId="458656C4" wp14:editId="4DBB85BA">
                  <wp:extent cx="1847850" cy="2466975"/>
                  <wp:effectExtent l="0" t="0" r="0" b="9525"/>
                  <wp:docPr id="174087" name="Picture 7" descr="C:\Users\LISAN\Pictures\plantes invasives de Madagascar\Agave sisalan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87" name="Picture 7" descr="C:\Users\LISAN\Pictures\plantes invasives de Madagascar\Agave sisalana4.jpg"/>
                          <pic:cNvPicPr>
                            <a:picLocks noChangeAspect="1" noChangeArrowheads="1"/>
                          </pic:cNvPicPr>
                        </pic:nvPicPr>
                        <pic:blipFill>
                          <a:blip r:embed="rId3977">
                            <a:extLst>
                              <a:ext uri="{28A0092B-C50C-407E-A947-70E740481C1C}">
                                <a14:useLocalDpi xmlns:a14="http://schemas.microsoft.com/office/drawing/2010/main" val="0"/>
                              </a:ext>
                            </a:extLst>
                          </a:blip>
                          <a:srcRect/>
                          <a:stretch>
                            <a:fillRect/>
                          </a:stretch>
                        </pic:blipFill>
                        <pic:spPr bwMode="auto">
                          <a:xfrm>
                            <a:off x="0" y="0"/>
                            <a:ext cx="1847850" cy="2466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70F1EBDB" w14:textId="468754DB" w:rsidR="007B561E" w:rsidRDefault="007B561E" w:rsidP="007B561E">
            <w:pPr>
              <w:jc w:val="center"/>
            </w:pPr>
            <w:r w:rsidRPr="007B561E">
              <w:rPr>
                <w:noProof/>
              </w:rPr>
              <w:drawing>
                <wp:inline distT="0" distB="0" distL="0" distR="0" wp14:anchorId="50CF3AA3" wp14:editId="0C69F857">
                  <wp:extent cx="2015061" cy="1323975"/>
                  <wp:effectExtent l="0" t="0" r="4445" b="0"/>
                  <wp:docPr id="174089" name="Picture 9" descr="C:\Users\LISAN\Pictures\plantes invasives de Madagascar\Agave sisalan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89" name="Picture 9" descr="C:\Users\LISAN\Pictures\plantes invasives de Madagascar\Agave sisalana3.jpg"/>
                          <pic:cNvPicPr>
                            <a:picLocks noChangeAspect="1" noChangeArrowheads="1"/>
                          </pic:cNvPicPr>
                        </pic:nvPicPr>
                        <pic:blipFill>
                          <a:blip r:embed="rId3978">
                            <a:extLst>
                              <a:ext uri="{28A0092B-C50C-407E-A947-70E740481C1C}">
                                <a14:useLocalDpi xmlns:a14="http://schemas.microsoft.com/office/drawing/2010/main" val="0"/>
                              </a:ext>
                            </a:extLst>
                          </a:blip>
                          <a:srcRect/>
                          <a:stretch>
                            <a:fillRect/>
                          </a:stretch>
                        </pic:blipFill>
                        <pic:spPr bwMode="auto">
                          <a:xfrm>
                            <a:off x="0" y="0"/>
                            <a:ext cx="2020320" cy="1327430"/>
                          </a:xfrm>
                          <a:prstGeom prst="rect">
                            <a:avLst/>
                          </a:prstGeom>
                          <a:noFill/>
                          <a:ln>
                            <a:noFill/>
                          </a:ln>
                        </pic:spPr>
                      </pic:pic>
                    </a:graphicData>
                  </a:graphic>
                </wp:inline>
              </w:drawing>
            </w:r>
          </w:p>
        </w:tc>
      </w:tr>
    </w:tbl>
    <w:p w14:paraId="1E427F66" w14:textId="781E3A80" w:rsidR="009521CB" w:rsidRDefault="009521CB" w:rsidP="00511025">
      <w:pPr>
        <w:spacing w:after="0" w:line="240" w:lineRule="auto"/>
      </w:pPr>
    </w:p>
    <w:p w14:paraId="3AB74785" w14:textId="10C316F9" w:rsidR="009521CB" w:rsidRDefault="00E0724C" w:rsidP="00E0724C">
      <w:pPr>
        <w:pStyle w:val="Titre2"/>
      </w:pPr>
      <w:bookmarkStart w:id="383" w:name="_Toc139181673"/>
      <w:r w:rsidRPr="00E0724C">
        <w:t>Bois de fer des marais (</w:t>
      </w:r>
      <w:r w:rsidRPr="00E0724C">
        <w:rPr>
          <w:i/>
          <w:iCs/>
        </w:rPr>
        <w:t>Casuarina glauca</w:t>
      </w:r>
      <w:r w:rsidRPr="00E0724C">
        <w:t>)</w:t>
      </w:r>
      <w:bookmarkEnd w:id="383"/>
    </w:p>
    <w:p w14:paraId="61F97A40" w14:textId="0619E076" w:rsidR="009521CB" w:rsidRDefault="009521CB" w:rsidP="00E03EB7">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3"/>
        <w:gridCol w:w="1985"/>
        <w:gridCol w:w="1701"/>
        <w:gridCol w:w="258"/>
        <w:gridCol w:w="1379"/>
      </w:tblGrid>
      <w:tr w:rsidR="00317687" w:rsidRPr="000B6BE3" w14:paraId="1E6AD94D" w14:textId="77777777" w:rsidTr="003D7963">
        <w:tc>
          <w:tcPr>
            <w:tcW w:w="5103" w:type="dxa"/>
          </w:tcPr>
          <w:p w14:paraId="1676CE91" w14:textId="712B9668" w:rsidR="00317687" w:rsidRDefault="00317687" w:rsidP="003D7963">
            <w:pPr>
              <w:jc w:val="both"/>
              <w:rPr>
                <w:rFonts w:ascii="Calibri" w:hAnsi="Calibri" w:cs="Calibri"/>
                <w:bCs/>
              </w:rPr>
            </w:pPr>
            <w:r>
              <w:rPr>
                <w:rFonts w:ascii="Calibri" w:hAnsi="Calibri" w:cs="Calibri"/>
                <w:bCs/>
              </w:rPr>
              <w:t>(</w:t>
            </w:r>
            <w:r w:rsidRPr="00DE2C3A">
              <w:rPr>
                <w:rFonts w:ascii="Calibri" w:hAnsi="Calibri" w:cs="Calibri"/>
                <w:bCs/>
              </w:rPr>
              <w:t>Famille des</w:t>
            </w:r>
            <w:r>
              <w:rPr>
                <w:rFonts w:ascii="Calibri" w:hAnsi="Calibri" w:cs="Calibri"/>
              </w:rPr>
              <w:t xml:space="preserve"> </w:t>
            </w:r>
            <w:hyperlink r:id="rId3979" w:history="1">
              <w:r w:rsidRPr="00317687">
                <w:rPr>
                  <w:rStyle w:val="Lienhypertexte"/>
                  <w:i/>
                  <w:iCs/>
                </w:rPr>
                <w:t>Casuarina</w:t>
              </w:r>
            </w:hyperlink>
            <w:r>
              <w:rPr>
                <w:rFonts w:ascii="Calibri" w:hAnsi="Calibri" w:cs="Calibri"/>
                <w:bCs/>
              </w:rPr>
              <w:t>)</w:t>
            </w:r>
            <w:r w:rsidRPr="00DE2C3A">
              <w:rPr>
                <w:rFonts w:ascii="Calibri" w:hAnsi="Calibri" w:cs="Calibri"/>
                <w:bCs/>
              </w:rPr>
              <w:t>.</w:t>
            </w:r>
          </w:p>
          <w:p w14:paraId="0E7B1125" w14:textId="77777777" w:rsidR="00317687" w:rsidRDefault="00317687" w:rsidP="00317687">
            <w:pPr>
              <w:rPr>
                <w:rFonts w:ascii="Calibri" w:hAnsi="Calibri" w:cs="Calibri"/>
                <w:bCs/>
              </w:rPr>
            </w:pPr>
          </w:p>
          <w:p w14:paraId="30360ED1" w14:textId="0F996364" w:rsidR="00317687" w:rsidRDefault="00317687" w:rsidP="00317687">
            <w:pPr>
              <w:rPr>
                <w:rFonts w:ascii="Calibri" w:hAnsi="Calibri" w:cs="Calibri"/>
                <w:bCs/>
              </w:rPr>
            </w:pPr>
            <w:r w:rsidRPr="00317687">
              <w:rPr>
                <w:rFonts w:ascii="Calibri" w:hAnsi="Calibri" w:cs="Calibri"/>
                <w:bCs/>
              </w:rPr>
              <w:t>De la même famille que le Filao</w:t>
            </w:r>
            <w:r>
              <w:rPr>
                <w:rFonts w:ascii="Calibri" w:hAnsi="Calibri" w:cs="Calibri"/>
                <w:bCs/>
              </w:rPr>
              <w:t xml:space="preserve"> </w:t>
            </w:r>
            <w:r w:rsidRPr="00317687">
              <w:rPr>
                <w:rFonts w:ascii="Calibri" w:hAnsi="Calibri" w:cs="Calibri"/>
                <w:bCs/>
              </w:rPr>
              <w:t>(</w:t>
            </w:r>
            <w:hyperlink r:id="rId3980" w:history="1">
              <w:r w:rsidRPr="00317687">
                <w:rPr>
                  <w:rStyle w:val="Lienhypertexte"/>
                  <w:rFonts w:ascii="Calibri" w:hAnsi="Calibri" w:cs="Calibri"/>
                  <w:bCs/>
                  <w:i/>
                  <w:iCs/>
                </w:rPr>
                <w:t>Casuarina</w:t>
              </w:r>
            </w:hyperlink>
            <w:r w:rsidRPr="00317687">
              <w:rPr>
                <w:rFonts w:ascii="Calibri" w:hAnsi="Calibri" w:cs="Calibri"/>
                <w:bCs/>
                <w:i/>
                <w:iCs/>
              </w:rPr>
              <w:t> equisetifolia</w:t>
            </w:r>
            <w:r w:rsidRPr="00317687">
              <w:rPr>
                <w:rFonts w:ascii="Calibri" w:hAnsi="Calibri" w:cs="Calibri"/>
                <w:bCs/>
              </w:rPr>
              <w:t>).</w:t>
            </w:r>
          </w:p>
          <w:p w14:paraId="66DF475F" w14:textId="77777777" w:rsidR="00317687" w:rsidRDefault="00317687" w:rsidP="003D7963">
            <w:pPr>
              <w:jc w:val="both"/>
              <w:rPr>
                <w:rFonts w:cstheme="minorHAnsi"/>
                <w:b/>
                <w:bCs/>
                <w:color w:val="FF0000"/>
              </w:rPr>
            </w:pPr>
          </w:p>
          <w:p w14:paraId="1EC1F848" w14:textId="40DF8303" w:rsidR="00317687" w:rsidRPr="000B6BE3" w:rsidRDefault="00317687" w:rsidP="003D7963">
            <w:pPr>
              <w:jc w:val="both"/>
              <w:rPr>
                <w:rFonts w:cstheme="minorHAnsi"/>
              </w:rPr>
            </w:pPr>
            <w:r w:rsidRPr="00DE60FE">
              <w:rPr>
                <w:rFonts w:cstheme="minorHAnsi"/>
                <w:b/>
                <w:bCs/>
                <w:color w:val="FF0000"/>
              </w:rPr>
              <w:t xml:space="preserve">A rejeter, score: </w:t>
            </w:r>
            <w:r>
              <w:rPr>
                <w:rFonts w:cstheme="minorHAnsi"/>
                <w:b/>
                <w:bCs/>
                <w:color w:val="FF0000"/>
              </w:rPr>
              <w:t>20.</w:t>
            </w:r>
          </w:p>
        </w:tc>
        <w:tc>
          <w:tcPr>
            <w:tcW w:w="1985" w:type="dxa"/>
          </w:tcPr>
          <w:p w14:paraId="125EA3CC" w14:textId="77777777" w:rsidR="00317687" w:rsidRPr="000B6BE3" w:rsidRDefault="00317687" w:rsidP="003D7963">
            <w:pPr>
              <w:rPr>
                <w:rFonts w:cstheme="minorHAnsi"/>
              </w:rPr>
            </w:pPr>
            <w:r w:rsidRPr="000B6BE3">
              <w:rPr>
                <w:rFonts w:cstheme="minorHAnsi"/>
                <w:noProof/>
              </w:rPr>
              <w:t xml:space="preserve">  </w:t>
            </w:r>
            <w:r>
              <w:rPr>
                <w:rFonts w:cstheme="minorHAnsi"/>
                <w:noProof/>
              </w:rPr>
              <w:t xml:space="preserve">     </w:t>
            </w:r>
            <w:r w:rsidRPr="005C50C9">
              <w:rPr>
                <w:rFonts w:cstheme="minorHAnsi"/>
                <w:noProof/>
              </w:rPr>
              <w:drawing>
                <wp:inline distT="0" distB="0" distL="0" distR="0" wp14:anchorId="041F2243" wp14:editId="39721C2A">
                  <wp:extent cx="495300" cy="666750"/>
                  <wp:effectExtent l="0" t="0" r="0" b="0"/>
                  <wp:docPr id="155670" name="Image 15"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8" name="Image 15" descr="logo aride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w:t>
            </w:r>
            <w:r w:rsidRPr="008F2681">
              <w:rPr>
                <w:rFonts w:cstheme="minorHAnsi"/>
                <w:noProof/>
              </w:rPr>
              <w:drawing>
                <wp:inline distT="0" distB="0" distL="0" distR="0" wp14:anchorId="69AF3718" wp14:editId="01E18AA2">
                  <wp:extent cx="463550" cy="661988"/>
                  <wp:effectExtent l="0" t="0" r="0" b="5080"/>
                  <wp:docPr id="155671"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p>
        </w:tc>
        <w:tc>
          <w:tcPr>
            <w:tcW w:w="1701" w:type="dxa"/>
          </w:tcPr>
          <w:p w14:paraId="53BE8114" w14:textId="6B6C367D" w:rsidR="00317687" w:rsidRPr="002E01BB" w:rsidRDefault="00317687" w:rsidP="003D7963">
            <w:pPr>
              <w:rPr>
                <w:rFonts w:eastAsia="+mn-ea" w:cstheme="minorHAnsi"/>
                <w:b/>
                <w:bCs/>
                <w:color w:val="008000"/>
                <w:kern w:val="24"/>
                <w:sz w:val="56"/>
                <w:szCs w:val="56"/>
              </w:rPr>
            </w:pPr>
            <w:r>
              <w:rPr>
                <w:rFonts w:eastAsia="+mn-ea" w:cstheme="minorHAnsi"/>
                <w:b/>
                <w:bCs/>
                <w:color w:val="008000"/>
                <w:kern w:val="24"/>
                <w:sz w:val="56"/>
                <w:szCs w:val="56"/>
              </w:rPr>
              <w:t>↗↗</w:t>
            </w:r>
          </w:p>
          <w:p w14:paraId="4E6AD067" w14:textId="77777777" w:rsidR="00317687" w:rsidRPr="000B6BE3" w:rsidRDefault="00317687" w:rsidP="003D7963">
            <w:pPr>
              <w:textAlignment w:val="baseline"/>
              <w:rPr>
                <w:rFonts w:cstheme="minorHAnsi"/>
              </w:rPr>
            </w:pPr>
          </w:p>
        </w:tc>
        <w:tc>
          <w:tcPr>
            <w:tcW w:w="258" w:type="dxa"/>
          </w:tcPr>
          <w:p w14:paraId="72C9EE16" w14:textId="77777777" w:rsidR="00317687" w:rsidRPr="000B6BE3" w:rsidRDefault="00317687" w:rsidP="003D7963">
            <w:pPr>
              <w:rPr>
                <w:rFonts w:cstheme="minorHAnsi"/>
              </w:rPr>
            </w:pPr>
          </w:p>
        </w:tc>
        <w:tc>
          <w:tcPr>
            <w:tcW w:w="1379" w:type="dxa"/>
          </w:tcPr>
          <w:p w14:paraId="47BFA6B2" w14:textId="77777777" w:rsidR="00317687" w:rsidRPr="000B6BE3" w:rsidRDefault="00317687" w:rsidP="003D7963">
            <w:pPr>
              <w:rPr>
                <w:rFonts w:cstheme="minorHAnsi"/>
              </w:rPr>
            </w:pPr>
            <w:r w:rsidRPr="00DE60FE">
              <w:rPr>
                <w:rFonts w:cstheme="minorHAnsi"/>
                <w:noProof/>
              </w:rPr>
              <w:drawing>
                <wp:inline distT="0" distB="0" distL="0" distR="0" wp14:anchorId="44902671" wp14:editId="691FA2BB">
                  <wp:extent cx="457200" cy="457200"/>
                  <wp:effectExtent l="0" t="0" r="0" b="0"/>
                  <wp:docPr id="155672" name="Picture 16" descr="C:\Users\LISAN\Pictures\Plantes fourragères\logo invasive plants5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26" name="Picture 16" descr="C:\Users\LISAN\Pictures\Plantes fourragères\logo invasive plants5_s.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29C4B349" w14:textId="7A1EB5A2" w:rsidR="00317687" w:rsidRDefault="00317687" w:rsidP="00E03EB7">
      <w:pPr>
        <w:spacing w:after="0" w:line="240" w:lineRule="auto"/>
        <w:jc w:val="both"/>
      </w:pPr>
    </w:p>
    <w:p w14:paraId="39D5B1E9" w14:textId="5BD2C2A7" w:rsidR="00317687" w:rsidRPr="00317687" w:rsidRDefault="00317687" w:rsidP="00317687">
      <w:pPr>
        <w:spacing w:after="0" w:line="240" w:lineRule="auto"/>
        <w:jc w:val="both"/>
      </w:pPr>
      <w:r w:rsidRPr="00317687">
        <w:t>Communément appelé le </w:t>
      </w:r>
      <w:r w:rsidRPr="00317687">
        <w:rPr>
          <w:b/>
          <w:bCs/>
        </w:rPr>
        <w:t>chêne des marais, chêne gris</w:t>
      </w:r>
      <w:r w:rsidRPr="00317687">
        <w:t xml:space="preserve"> ou</w:t>
      </w:r>
      <w:r w:rsidRPr="00317687">
        <w:rPr>
          <w:b/>
          <w:bCs/>
        </w:rPr>
        <w:t xml:space="preserve"> chêne</w:t>
      </w:r>
      <w:r w:rsidRPr="00317687">
        <w:t> </w:t>
      </w:r>
      <w:r w:rsidRPr="00317687">
        <w:rPr>
          <w:b/>
          <w:bCs/>
        </w:rPr>
        <w:t>de rivière</w:t>
      </w:r>
      <w:r w:rsidRPr="00317687">
        <w:t>, originaire de la côte est de l'Australie, cette espèce s'est naturalisé dans les </w:t>
      </w:r>
      <w:hyperlink r:id="rId3981" w:history="1">
        <w:r w:rsidRPr="00317687">
          <w:rPr>
            <w:rStyle w:val="Lienhypertexte"/>
          </w:rPr>
          <w:t>Everglades</w:t>
        </w:r>
      </w:hyperlink>
      <w:r w:rsidRPr="00317687">
        <w:t xml:space="preserve"> en Floride, où il est considéré comme une </w:t>
      </w:r>
      <w:r>
        <w:t>plante invasive</w:t>
      </w:r>
      <w:r w:rsidRPr="00317687">
        <w:t>.</w:t>
      </w:r>
    </w:p>
    <w:p w14:paraId="5616FB61" w14:textId="01FFE60E" w:rsidR="00317687" w:rsidRPr="00317687" w:rsidRDefault="00317687" w:rsidP="00317687">
      <w:pPr>
        <w:spacing w:after="0" w:line="240" w:lineRule="auto"/>
        <w:jc w:val="both"/>
      </w:pPr>
      <w:r w:rsidRPr="00317687">
        <w:t>Il se présente soit sous forme d'arbre, soit sous forme de buisson, soit sous forme de plante rampante.</w:t>
      </w:r>
    </w:p>
    <w:p w14:paraId="71ADBB15" w14:textId="77777777" w:rsidR="00EB7DBC" w:rsidRDefault="00317687" w:rsidP="00317687">
      <w:pPr>
        <w:spacing w:after="0" w:line="240" w:lineRule="auto"/>
        <w:jc w:val="both"/>
        <w:rPr>
          <w:i/>
          <w:iCs/>
        </w:rPr>
      </w:pPr>
      <w:r w:rsidRPr="00317687">
        <w:rPr>
          <w:u w:val="single"/>
        </w:rPr>
        <w:t>Habitat / écologie</w:t>
      </w:r>
      <w:r>
        <w:rPr>
          <w:u w:val="single"/>
        </w:rPr>
        <w:t xml:space="preserve"> / Plante invasive</w:t>
      </w:r>
      <w:r w:rsidRPr="00317687">
        <w:t xml:space="preserve"> : Cette espèce est très semblable à </w:t>
      </w:r>
      <w:hyperlink r:id="rId3982" w:history="1">
        <w:r w:rsidRPr="00317687">
          <w:rPr>
            <w:rStyle w:val="Lienhypertexte"/>
            <w:i/>
            <w:iCs/>
          </w:rPr>
          <w:t xml:space="preserve">Casuarina </w:t>
        </w:r>
      </w:hyperlink>
      <w:hyperlink r:id="rId3983" w:history="1">
        <w:r w:rsidRPr="00317687">
          <w:rPr>
            <w:rStyle w:val="Lienhypertexte"/>
            <w:i/>
            <w:iCs/>
          </w:rPr>
          <w:t>equisetifolia</w:t>
        </w:r>
      </w:hyperlink>
      <w:r w:rsidRPr="00317687">
        <w:t> (Filao). </w:t>
      </w:r>
      <w:r>
        <w:t>Elle</w:t>
      </w:r>
      <w:r w:rsidRPr="00317687">
        <w:t xml:space="preserve"> forme des stolons prolifiques, produisant des peuplements denses. C'est le « bois de fer » le plus agressif à Hawaii (Smith, 1985</w:t>
      </w:r>
      <w:r>
        <w:t>, p</w:t>
      </w:r>
      <w:r w:rsidRPr="00317687">
        <w:t xml:space="preserve"> 187).</w:t>
      </w:r>
      <w:r>
        <w:t xml:space="preserve"> </w:t>
      </w:r>
      <w:r w:rsidRPr="00317687">
        <w:t>« </w:t>
      </w:r>
      <w:r w:rsidRPr="00317687">
        <w:rPr>
          <w:i/>
          <w:iCs/>
        </w:rPr>
        <w:t xml:space="preserve">Plages côtières, bancs de sable. Dans la zone d'origine, cet arbre se reproduit dans les zones salines marécageuses, les plaines inondables des estuaires, les forêts des zones humides et le long de marais salants. </w:t>
      </w:r>
    </w:p>
    <w:p w14:paraId="5F581D31" w14:textId="77777777" w:rsidR="00EB7DBC" w:rsidRDefault="00317687" w:rsidP="00317687">
      <w:pPr>
        <w:spacing w:after="0" w:line="240" w:lineRule="auto"/>
        <w:jc w:val="both"/>
        <w:rPr>
          <w:i/>
          <w:iCs/>
        </w:rPr>
      </w:pPr>
      <w:r w:rsidRPr="00317687">
        <w:rPr>
          <w:i/>
          <w:iCs/>
        </w:rPr>
        <w:t xml:space="preserve">L'arbre fixe l'azote mais n’est pas si tolérante au sel comme Casuarina equisetifolia. L'arbre produit une litière </w:t>
      </w:r>
    </w:p>
    <w:p w14:paraId="3258DB97" w14:textId="30EF1728" w:rsidR="00317687" w:rsidRDefault="00317687" w:rsidP="00317687">
      <w:pPr>
        <w:spacing w:after="0" w:line="240" w:lineRule="auto"/>
        <w:jc w:val="both"/>
      </w:pPr>
      <w:r w:rsidRPr="00317687">
        <w:rPr>
          <w:i/>
          <w:iCs/>
        </w:rPr>
        <w:t>épaisse [en grande quantité] qui empêchent la croissance et la création d'espèces indigènes</w:t>
      </w:r>
      <w:r w:rsidRPr="00317687">
        <w:t xml:space="preserve"> »</w:t>
      </w:r>
      <w:r>
        <w:t xml:space="preserve"> </w:t>
      </w:r>
      <w:r w:rsidRPr="00317687">
        <w:t>(Weber, 2003</w:t>
      </w:r>
      <w:r>
        <w:t>,</w:t>
      </w:r>
      <w:r w:rsidRPr="00317687">
        <w:t xml:space="preserve"> p 89).</w:t>
      </w:r>
    </w:p>
    <w:p w14:paraId="00E36327" w14:textId="2E225904" w:rsidR="00317687" w:rsidRDefault="00317687" w:rsidP="00317687">
      <w:pPr>
        <w:spacing w:after="0" w:line="240" w:lineRule="auto"/>
        <w:jc w:val="both"/>
      </w:pPr>
      <w:r w:rsidRPr="00317687">
        <w:t>Ses racines possèdent des nodules fixateurs d'azote (</w:t>
      </w:r>
      <w:r w:rsidRPr="00317687">
        <w:rPr>
          <w:i/>
          <w:iCs/>
        </w:rPr>
        <w:t>actinorhizes</w:t>
      </w:r>
      <w:r w:rsidRPr="00317687">
        <w:t>) qui, en symbiose avec une bactérie du sol (</w:t>
      </w:r>
      <w:r w:rsidRPr="00317687">
        <w:rPr>
          <w:i/>
          <w:iCs/>
        </w:rPr>
        <w:t>Frankia</w:t>
      </w:r>
      <w:r w:rsidRPr="00317687">
        <w:t xml:space="preserve">), assimilent l’azote de l’air. </w:t>
      </w:r>
    </w:p>
    <w:p w14:paraId="768D0734" w14:textId="2BB604D0" w:rsidR="00317687" w:rsidRPr="00317687" w:rsidRDefault="00317687" w:rsidP="00317687">
      <w:pPr>
        <w:spacing w:after="0" w:line="240" w:lineRule="auto"/>
        <w:jc w:val="both"/>
      </w:pPr>
      <w:r w:rsidRPr="00317687">
        <w:rPr>
          <w:u w:val="single"/>
        </w:rPr>
        <w:t>Propagation</w:t>
      </w:r>
      <w:r w:rsidRPr="00317687">
        <w:t xml:space="preserve"> :  graines portés par le vent et stolons à profusion.</w:t>
      </w:r>
    </w:p>
    <w:p w14:paraId="072AF7F3" w14:textId="77777777" w:rsidR="00317687" w:rsidRDefault="00317687" w:rsidP="00E03EB7">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6"/>
        <w:gridCol w:w="3486"/>
        <w:gridCol w:w="2824"/>
      </w:tblGrid>
      <w:tr w:rsidR="00317687" w14:paraId="3B5CCC8D" w14:textId="77777777" w:rsidTr="00317687">
        <w:tc>
          <w:tcPr>
            <w:tcW w:w="3472" w:type="dxa"/>
          </w:tcPr>
          <w:p w14:paraId="79EFA7CC" w14:textId="77777777" w:rsidR="00317687" w:rsidRDefault="00317687" w:rsidP="00317687">
            <w:pPr>
              <w:jc w:val="center"/>
            </w:pPr>
            <w:r w:rsidRPr="00317687">
              <w:rPr>
                <w:noProof/>
              </w:rPr>
              <w:drawing>
                <wp:inline distT="0" distB="0" distL="0" distR="0" wp14:anchorId="0B26F7A9" wp14:editId="70F7D5A6">
                  <wp:extent cx="2466975" cy="1847850"/>
                  <wp:effectExtent l="0" t="0" r="9525" b="0"/>
                  <wp:docPr id="176135" name="Picture 2" descr="C:\Users\LISAN\Pictures\plantes invasives de Madagascar\Casuarina glauc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35" name="Picture 2" descr="C:\Users\LISAN\Pictures\plantes invasives de Madagascar\Casuarina glauca4.jpg"/>
                          <pic:cNvPicPr>
                            <a:picLocks noChangeAspect="1" noChangeArrowheads="1"/>
                          </pic:cNvPicPr>
                        </pic:nvPicPr>
                        <pic:blipFill>
                          <a:blip r:embed="rId3984">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EA18053" w14:textId="77777777" w:rsidR="00317687" w:rsidRDefault="00317687" w:rsidP="00317687">
            <w:pPr>
              <w:jc w:val="center"/>
            </w:pPr>
            <w:r w:rsidRPr="00317687">
              <w:t xml:space="preserve">Invasion de </w:t>
            </w:r>
            <w:r w:rsidRPr="00317687">
              <w:rPr>
                <w:i/>
                <w:iCs/>
              </w:rPr>
              <w:t xml:space="preserve">Casuarina glauca </w:t>
            </w:r>
            <w:r w:rsidRPr="00317687">
              <w:t>à Hawaï.</w:t>
            </w:r>
          </w:p>
          <w:p w14:paraId="5A77C9B0" w14:textId="590CE45C" w:rsidR="003454B1" w:rsidRDefault="003454B1" w:rsidP="00317687">
            <w:pPr>
              <w:jc w:val="center"/>
            </w:pPr>
          </w:p>
        </w:tc>
        <w:tc>
          <w:tcPr>
            <w:tcW w:w="3472" w:type="dxa"/>
          </w:tcPr>
          <w:p w14:paraId="40814C30" w14:textId="0D31AC8F" w:rsidR="00317687" w:rsidRDefault="00317687" w:rsidP="00317687">
            <w:pPr>
              <w:jc w:val="center"/>
            </w:pPr>
            <w:r w:rsidRPr="00317687">
              <w:rPr>
                <w:noProof/>
              </w:rPr>
              <w:drawing>
                <wp:inline distT="0" distB="0" distL="0" distR="0" wp14:anchorId="45B5A6CA" wp14:editId="64CC801A">
                  <wp:extent cx="1296987" cy="1735138"/>
                  <wp:effectExtent l="0" t="0" r="0" b="0"/>
                  <wp:docPr id="176136" name="Picture 3" descr="C:\Users\LISAN\Pictures\plantes invasives de Madagascar\Casuarina glau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36" name="Picture 3" descr="C:\Users\LISAN\Pictures\plantes invasives de Madagascar\Casuarina glauca.jpg"/>
                          <pic:cNvPicPr>
                            <a:picLocks noChangeAspect="1" noChangeArrowheads="1"/>
                          </pic:cNvPicPr>
                        </pic:nvPicPr>
                        <pic:blipFill>
                          <a:blip r:embed="rId3985">
                            <a:extLst>
                              <a:ext uri="{28A0092B-C50C-407E-A947-70E740481C1C}">
                                <a14:useLocalDpi xmlns:a14="http://schemas.microsoft.com/office/drawing/2010/main" val="0"/>
                              </a:ext>
                            </a:extLst>
                          </a:blip>
                          <a:srcRect/>
                          <a:stretch>
                            <a:fillRect/>
                          </a:stretch>
                        </pic:blipFill>
                        <pic:spPr bwMode="auto">
                          <a:xfrm>
                            <a:off x="0" y="0"/>
                            <a:ext cx="1296987" cy="17351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3B54B2D1" w14:textId="47F2644F" w:rsidR="00317687" w:rsidRDefault="00317687" w:rsidP="00317687">
            <w:pPr>
              <w:jc w:val="center"/>
            </w:pPr>
            <w:r w:rsidRPr="00317687">
              <w:rPr>
                <w:noProof/>
              </w:rPr>
              <w:drawing>
                <wp:inline distT="0" distB="0" distL="0" distR="0" wp14:anchorId="38FF0297" wp14:editId="2A13372B">
                  <wp:extent cx="1397000" cy="1054100"/>
                  <wp:effectExtent l="0" t="0" r="0" b="0"/>
                  <wp:docPr id="176140" name="Picture 11" descr="C:\Users\LISAN\Pictures\plantes invasives de Madagascar\Casuarina_glauca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40" name="Picture 11" descr="C:\Users\LISAN\Pictures\plantes invasives de Madagascar\Casuarina_glauca_s.jpg"/>
                          <pic:cNvPicPr>
                            <a:picLocks noChangeAspect="1" noChangeArrowheads="1"/>
                          </pic:cNvPicPr>
                        </pic:nvPicPr>
                        <pic:blipFill>
                          <a:blip r:embed="rId3986">
                            <a:extLst>
                              <a:ext uri="{28A0092B-C50C-407E-A947-70E740481C1C}">
                                <a14:useLocalDpi xmlns:a14="http://schemas.microsoft.com/office/drawing/2010/main" val="0"/>
                              </a:ext>
                            </a:extLst>
                          </a:blip>
                          <a:srcRect/>
                          <a:stretch>
                            <a:fillRect/>
                          </a:stretch>
                        </pic:blipFill>
                        <pic:spPr bwMode="auto">
                          <a:xfrm>
                            <a:off x="0" y="0"/>
                            <a:ext cx="1397000" cy="1054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317687" w14:paraId="3C5EF512" w14:textId="77777777" w:rsidTr="00317687">
        <w:tc>
          <w:tcPr>
            <w:tcW w:w="3472" w:type="dxa"/>
          </w:tcPr>
          <w:p w14:paraId="722001C8" w14:textId="765DCF9A" w:rsidR="00317687" w:rsidRDefault="00317687" w:rsidP="00317687">
            <w:pPr>
              <w:jc w:val="center"/>
            </w:pPr>
            <w:r w:rsidRPr="00317687">
              <w:rPr>
                <w:noProof/>
              </w:rPr>
              <w:drawing>
                <wp:inline distT="0" distB="0" distL="0" distR="0" wp14:anchorId="32776E6E" wp14:editId="2AD4449C">
                  <wp:extent cx="2274888" cy="1703387"/>
                  <wp:effectExtent l="0" t="0" r="0" b="0"/>
                  <wp:docPr id="176137" name="Picture 4" descr="C:\Users\LISAN\Pictures\plantes invasives de Madagascar\Casuarina glauc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37" name="Picture 4" descr="C:\Users\LISAN\Pictures\plantes invasives de Madagascar\Casuarina glauca2.jpg"/>
                          <pic:cNvPicPr>
                            <a:picLocks noChangeAspect="1" noChangeArrowheads="1"/>
                          </pic:cNvPicPr>
                        </pic:nvPicPr>
                        <pic:blipFill>
                          <a:blip r:embed="rId3987">
                            <a:extLst>
                              <a:ext uri="{28A0092B-C50C-407E-A947-70E740481C1C}">
                                <a14:useLocalDpi xmlns:a14="http://schemas.microsoft.com/office/drawing/2010/main" val="0"/>
                              </a:ext>
                            </a:extLst>
                          </a:blip>
                          <a:srcRect/>
                          <a:stretch>
                            <a:fillRect/>
                          </a:stretch>
                        </pic:blipFill>
                        <pic:spPr bwMode="auto">
                          <a:xfrm>
                            <a:off x="0" y="0"/>
                            <a:ext cx="2274888" cy="17033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t xml:space="preserve"> </w:t>
            </w:r>
          </w:p>
        </w:tc>
        <w:tc>
          <w:tcPr>
            <w:tcW w:w="3472" w:type="dxa"/>
          </w:tcPr>
          <w:p w14:paraId="50F13736" w14:textId="1B24EDA6" w:rsidR="00317687" w:rsidRDefault="00317687" w:rsidP="00317687">
            <w:pPr>
              <w:jc w:val="center"/>
            </w:pPr>
            <w:r w:rsidRPr="00317687">
              <w:rPr>
                <w:noProof/>
              </w:rPr>
              <w:drawing>
                <wp:inline distT="0" distB="0" distL="0" distR="0" wp14:anchorId="72BDBC5D" wp14:editId="73F02B6D">
                  <wp:extent cx="2074862" cy="1368425"/>
                  <wp:effectExtent l="0" t="0" r="1905" b="3175"/>
                  <wp:docPr id="176138" name="Picture 5" descr="C:\Users\LISAN\Pictures\plantes invasives de Madagascar\Casuarina glauc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38" name="Picture 5" descr="C:\Users\LISAN\Pictures\plantes invasives de Madagascar\Casuarina glauca3.jpg"/>
                          <pic:cNvPicPr>
                            <a:picLocks noChangeAspect="1" noChangeArrowheads="1"/>
                          </pic:cNvPicPr>
                        </pic:nvPicPr>
                        <pic:blipFill>
                          <a:blip r:embed="rId3988">
                            <a:extLst>
                              <a:ext uri="{28A0092B-C50C-407E-A947-70E740481C1C}">
                                <a14:useLocalDpi xmlns:a14="http://schemas.microsoft.com/office/drawing/2010/main" val="0"/>
                              </a:ext>
                            </a:extLst>
                          </a:blip>
                          <a:srcRect/>
                          <a:stretch>
                            <a:fillRect/>
                          </a:stretch>
                        </pic:blipFill>
                        <pic:spPr bwMode="auto">
                          <a:xfrm>
                            <a:off x="0" y="0"/>
                            <a:ext cx="2074862" cy="1368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50DFFFA3" w14:textId="77777777" w:rsidR="00317687" w:rsidRDefault="00317687" w:rsidP="00317687">
            <w:pPr>
              <w:jc w:val="center"/>
            </w:pPr>
          </w:p>
        </w:tc>
      </w:tr>
    </w:tbl>
    <w:p w14:paraId="03887BE1" w14:textId="4E6A872D" w:rsidR="00E0724C" w:rsidRDefault="00E0724C" w:rsidP="00317687">
      <w:pPr>
        <w:spacing w:after="0" w:line="240" w:lineRule="auto"/>
        <w:jc w:val="both"/>
      </w:pPr>
    </w:p>
    <w:p w14:paraId="67D0AC2D" w14:textId="1CC33B80" w:rsidR="00317687" w:rsidRDefault="007D25C1" w:rsidP="007D25C1">
      <w:pPr>
        <w:pStyle w:val="Titre2"/>
      </w:pPr>
      <w:bookmarkStart w:id="384" w:name="_Toc139181674"/>
      <w:r w:rsidRPr="007D25C1">
        <w:t>Filao (</w:t>
      </w:r>
      <w:r w:rsidRPr="007D25C1">
        <w:rPr>
          <w:i/>
          <w:iCs/>
        </w:rPr>
        <w:t>Casuarina equisetifolia</w:t>
      </w:r>
      <w:r w:rsidRPr="007D25C1">
        <w:t>)</w:t>
      </w:r>
      <w:bookmarkEnd w:id="384"/>
    </w:p>
    <w:p w14:paraId="42F0C071" w14:textId="0CC5D85E" w:rsidR="00317687" w:rsidRDefault="00317687" w:rsidP="00317687">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3"/>
        <w:gridCol w:w="1985"/>
        <w:gridCol w:w="1701"/>
        <w:gridCol w:w="258"/>
        <w:gridCol w:w="1379"/>
      </w:tblGrid>
      <w:tr w:rsidR="003454B1" w:rsidRPr="000B6BE3" w14:paraId="73DA569E" w14:textId="77777777" w:rsidTr="003D7963">
        <w:tc>
          <w:tcPr>
            <w:tcW w:w="5103" w:type="dxa"/>
          </w:tcPr>
          <w:p w14:paraId="30084BD4" w14:textId="41EC4592" w:rsidR="003454B1" w:rsidRDefault="003454B1" w:rsidP="003D7963">
            <w:pPr>
              <w:jc w:val="both"/>
              <w:rPr>
                <w:rFonts w:ascii="Calibri" w:hAnsi="Calibri" w:cs="Calibri"/>
                <w:bCs/>
              </w:rPr>
            </w:pPr>
            <w:r>
              <w:rPr>
                <w:rFonts w:ascii="Calibri" w:hAnsi="Calibri" w:cs="Calibri"/>
                <w:bCs/>
              </w:rPr>
              <w:lastRenderedPageBreak/>
              <w:t>(</w:t>
            </w:r>
            <w:r w:rsidRPr="00DE2C3A">
              <w:rPr>
                <w:rFonts w:ascii="Calibri" w:hAnsi="Calibri" w:cs="Calibri"/>
                <w:bCs/>
              </w:rPr>
              <w:t>Famille des</w:t>
            </w:r>
            <w:r>
              <w:rPr>
                <w:rFonts w:ascii="Calibri" w:hAnsi="Calibri" w:cs="Calibri"/>
              </w:rPr>
              <w:t xml:space="preserve"> </w:t>
            </w:r>
            <w:hyperlink r:id="rId3989" w:history="1">
              <w:r w:rsidRPr="00317687">
                <w:rPr>
                  <w:rStyle w:val="Lienhypertexte"/>
                  <w:i/>
                  <w:iCs/>
                </w:rPr>
                <w:t>Casuarina</w:t>
              </w:r>
            </w:hyperlink>
            <w:r w:rsidR="00831733">
              <w:t xml:space="preserve"> ou </w:t>
            </w:r>
            <w:r w:rsidR="00831733" w:rsidRPr="00831733">
              <w:t>des </w:t>
            </w:r>
            <w:hyperlink r:id="rId3990" w:history="1">
              <w:r w:rsidR="00831733" w:rsidRPr="00831733">
                <w:rPr>
                  <w:rStyle w:val="Lienhypertexte"/>
                  <w:i/>
                  <w:iCs/>
                </w:rPr>
                <w:t>Casuarinacées</w:t>
              </w:r>
            </w:hyperlink>
            <w:r>
              <w:rPr>
                <w:rFonts w:ascii="Calibri" w:hAnsi="Calibri" w:cs="Calibri"/>
                <w:bCs/>
              </w:rPr>
              <w:t>)</w:t>
            </w:r>
            <w:r w:rsidRPr="00DE2C3A">
              <w:rPr>
                <w:rFonts w:ascii="Calibri" w:hAnsi="Calibri" w:cs="Calibri"/>
                <w:bCs/>
              </w:rPr>
              <w:t>.</w:t>
            </w:r>
          </w:p>
          <w:p w14:paraId="46D7B4FA" w14:textId="77777777" w:rsidR="003454B1" w:rsidRDefault="003454B1" w:rsidP="003D7963">
            <w:pPr>
              <w:jc w:val="both"/>
              <w:rPr>
                <w:rFonts w:cstheme="minorHAnsi"/>
                <w:b/>
                <w:bCs/>
                <w:color w:val="FF0000"/>
              </w:rPr>
            </w:pPr>
          </w:p>
          <w:p w14:paraId="5C46C12C" w14:textId="54143A39" w:rsidR="003454B1" w:rsidRPr="000B6BE3" w:rsidRDefault="003454B1" w:rsidP="003D7963">
            <w:pPr>
              <w:jc w:val="both"/>
              <w:rPr>
                <w:rFonts w:cstheme="minorHAnsi"/>
              </w:rPr>
            </w:pPr>
            <w:r w:rsidRPr="00DE60FE">
              <w:rPr>
                <w:rFonts w:cstheme="minorHAnsi"/>
                <w:b/>
                <w:bCs/>
                <w:color w:val="FF0000"/>
              </w:rPr>
              <w:t xml:space="preserve">A rejeter, score: </w:t>
            </w:r>
            <w:r>
              <w:rPr>
                <w:rFonts w:cstheme="minorHAnsi"/>
                <w:b/>
                <w:bCs/>
                <w:color w:val="FF0000"/>
              </w:rPr>
              <w:t>21.</w:t>
            </w:r>
          </w:p>
        </w:tc>
        <w:tc>
          <w:tcPr>
            <w:tcW w:w="1985" w:type="dxa"/>
          </w:tcPr>
          <w:p w14:paraId="216D9379" w14:textId="77777777" w:rsidR="003454B1" w:rsidRPr="000B6BE3" w:rsidRDefault="003454B1" w:rsidP="003D7963">
            <w:pPr>
              <w:rPr>
                <w:rFonts w:cstheme="minorHAnsi"/>
              </w:rPr>
            </w:pPr>
            <w:r w:rsidRPr="000B6BE3">
              <w:rPr>
                <w:rFonts w:cstheme="minorHAnsi"/>
                <w:noProof/>
              </w:rPr>
              <w:t xml:space="preserve">  </w:t>
            </w:r>
            <w:r>
              <w:rPr>
                <w:rFonts w:cstheme="minorHAnsi"/>
                <w:noProof/>
              </w:rPr>
              <w:t xml:space="preserve">     </w:t>
            </w:r>
            <w:r w:rsidRPr="005C50C9">
              <w:rPr>
                <w:rFonts w:cstheme="minorHAnsi"/>
                <w:noProof/>
              </w:rPr>
              <w:drawing>
                <wp:inline distT="0" distB="0" distL="0" distR="0" wp14:anchorId="1A39D44D" wp14:editId="37924CD7">
                  <wp:extent cx="495300" cy="666750"/>
                  <wp:effectExtent l="0" t="0" r="0" b="0"/>
                  <wp:docPr id="155673" name="Image 15"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8" name="Image 15" descr="logo aride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w:t>
            </w:r>
            <w:r w:rsidRPr="008F2681">
              <w:rPr>
                <w:rFonts w:cstheme="minorHAnsi"/>
                <w:noProof/>
              </w:rPr>
              <w:drawing>
                <wp:inline distT="0" distB="0" distL="0" distR="0" wp14:anchorId="029A96CC" wp14:editId="7F97B68B">
                  <wp:extent cx="463550" cy="661988"/>
                  <wp:effectExtent l="0" t="0" r="0" b="5080"/>
                  <wp:docPr id="155674"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p>
        </w:tc>
        <w:tc>
          <w:tcPr>
            <w:tcW w:w="1701" w:type="dxa"/>
          </w:tcPr>
          <w:p w14:paraId="03BF3E4F" w14:textId="77777777" w:rsidR="003454B1" w:rsidRPr="002E01BB" w:rsidRDefault="003454B1" w:rsidP="003D7963">
            <w:pPr>
              <w:rPr>
                <w:rFonts w:eastAsia="+mn-ea" w:cstheme="minorHAnsi"/>
                <w:b/>
                <w:bCs/>
                <w:color w:val="008000"/>
                <w:kern w:val="24"/>
                <w:sz w:val="56"/>
                <w:szCs w:val="56"/>
              </w:rPr>
            </w:pPr>
            <w:r>
              <w:rPr>
                <w:rFonts w:eastAsia="+mn-ea" w:cstheme="minorHAnsi"/>
                <w:b/>
                <w:bCs/>
                <w:color w:val="008000"/>
                <w:kern w:val="24"/>
                <w:sz w:val="56"/>
                <w:szCs w:val="56"/>
              </w:rPr>
              <w:t>↗↗</w:t>
            </w:r>
          </w:p>
          <w:p w14:paraId="5AC61CC3" w14:textId="77777777" w:rsidR="003454B1" w:rsidRPr="000B6BE3" w:rsidRDefault="003454B1" w:rsidP="003D7963">
            <w:pPr>
              <w:textAlignment w:val="baseline"/>
              <w:rPr>
                <w:rFonts w:cstheme="minorHAnsi"/>
              </w:rPr>
            </w:pPr>
          </w:p>
        </w:tc>
        <w:tc>
          <w:tcPr>
            <w:tcW w:w="258" w:type="dxa"/>
          </w:tcPr>
          <w:p w14:paraId="7D4A4A4A" w14:textId="77777777" w:rsidR="003454B1" w:rsidRPr="000B6BE3" w:rsidRDefault="003454B1" w:rsidP="003D7963">
            <w:pPr>
              <w:rPr>
                <w:rFonts w:cstheme="minorHAnsi"/>
              </w:rPr>
            </w:pPr>
          </w:p>
        </w:tc>
        <w:tc>
          <w:tcPr>
            <w:tcW w:w="1379" w:type="dxa"/>
          </w:tcPr>
          <w:p w14:paraId="2610F6D7" w14:textId="77777777" w:rsidR="003454B1" w:rsidRPr="000B6BE3" w:rsidRDefault="003454B1" w:rsidP="003D7963">
            <w:pPr>
              <w:rPr>
                <w:rFonts w:cstheme="minorHAnsi"/>
              </w:rPr>
            </w:pPr>
            <w:r w:rsidRPr="00DE60FE">
              <w:rPr>
                <w:rFonts w:cstheme="minorHAnsi"/>
                <w:noProof/>
              </w:rPr>
              <w:drawing>
                <wp:inline distT="0" distB="0" distL="0" distR="0" wp14:anchorId="7A42F9AA" wp14:editId="7670F9BF">
                  <wp:extent cx="457200" cy="457200"/>
                  <wp:effectExtent l="0" t="0" r="0" b="0"/>
                  <wp:docPr id="155675" name="Picture 16" descr="C:\Users\LISAN\Pictures\Plantes fourragères\logo invasive plants5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26" name="Picture 16" descr="C:\Users\LISAN\Pictures\Plantes fourragères\logo invasive plants5_s.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1D0A5269" w14:textId="2990940B" w:rsidR="003454B1" w:rsidRDefault="003454B1" w:rsidP="00317687">
      <w:pPr>
        <w:spacing w:after="0" w:line="240" w:lineRule="auto"/>
        <w:jc w:val="both"/>
      </w:pPr>
    </w:p>
    <w:p w14:paraId="2D8ED574" w14:textId="77777777" w:rsidR="00831733" w:rsidRDefault="00831733" w:rsidP="00831733">
      <w:pPr>
        <w:spacing w:after="0" w:line="240" w:lineRule="auto"/>
        <w:jc w:val="both"/>
      </w:pPr>
      <w:r w:rsidRPr="00831733">
        <w:t>Le </w:t>
      </w:r>
      <w:r w:rsidRPr="00831733">
        <w:rPr>
          <w:b/>
          <w:bCs/>
        </w:rPr>
        <w:t xml:space="preserve">Filao </w:t>
      </w:r>
      <w:r w:rsidRPr="00831733">
        <w:t xml:space="preserve">ou </w:t>
      </w:r>
      <w:r w:rsidRPr="00831733">
        <w:rPr>
          <w:b/>
          <w:bCs/>
        </w:rPr>
        <w:t>bois de fer</w:t>
      </w:r>
      <w:r w:rsidRPr="00831733">
        <w:t>, à cause de la dureté de son bois difficile à travailler, est un arbre d'origine </w:t>
      </w:r>
      <w:hyperlink r:id="rId3991" w:history="1">
        <w:r w:rsidRPr="00831733">
          <w:rPr>
            <w:rStyle w:val="Lienhypertexte"/>
          </w:rPr>
          <w:t>australienne</w:t>
        </w:r>
      </w:hyperlink>
      <w:r w:rsidRPr="00831733">
        <w:t>, présent également sur les côtes d'</w:t>
      </w:r>
      <w:hyperlink r:id="rId3992" w:history="1">
        <w:r w:rsidRPr="00831733">
          <w:rPr>
            <w:rStyle w:val="Lienhypertexte"/>
          </w:rPr>
          <w:t>Indonésie</w:t>
        </w:r>
      </w:hyperlink>
      <w:r w:rsidRPr="00831733">
        <w:t>, de </w:t>
      </w:r>
      <w:hyperlink r:id="rId3993" w:history="1">
        <w:r w:rsidRPr="00831733">
          <w:rPr>
            <w:rStyle w:val="Lienhypertexte"/>
          </w:rPr>
          <w:t>Malaisie</w:t>
        </w:r>
      </w:hyperlink>
      <w:r w:rsidRPr="00831733">
        <w:t>, des îles du </w:t>
      </w:r>
      <w:hyperlink r:id="rId3994" w:history="1">
        <w:r w:rsidRPr="00831733">
          <w:rPr>
            <w:rStyle w:val="Lienhypertexte"/>
          </w:rPr>
          <w:t>Pacifique</w:t>
        </w:r>
      </w:hyperlink>
      <w:r w:rsidRPr="00831733">
        <w:t> et des </w:t>
      </w:r>
      <w:hyperlink r:id="rId3995" w:history="1">
        <w:r w:rsidRPr="00831733">
          <w:rPr>
            <w:rStyle w:val="Lienhypertexte"/>
          </w:rPr>
          <w:t>Mascareignes</w:t>
        </w:r>
      </w:hyperlink>
      <w:r w:rsidRPr="00831733">
        <w:t> ainsi qu'aux </w:t>
      </w:r>
      <w:hyperlink r:id="rId3996" w:history="1">
        <w:r w:rsidRPr="00831733">
          <w:rPr>
            <w:rStyle w:val="Lienhypertexte"/>
          </w:rPr>
          <w:t>Antilles</w:t>
        </w:r>
      </w:hyperlink>
      <w:r w:rsidRPr="00831733">
        <w:t>. On le trouve aussi au </w:t>
      </w:r>
      <w:hyperlink r:id="rId3997" w:history="1">
        <w:r w:rsidRPr="00831733">
          <w:rPr>
            <w:rStyle w:val="Lienhypertexte"/>
          </w:rPr>
          <w:t>Sénégal</w:t>
        </w:r>
      </w:hyperlink>
      <w:r w:rsidRPr="00831733">
        <w:t xml:space="preserve">, notamment en bord de mer. </w:t>
      </w:r>
    </w:p>
    <w:p w14:paraId="0060E52E" w14:textId="22FF0C7D" w:rsidR="00831733" w:rsidRPr="00831733" w:rsidRDefault="00831733" w:rsidP="00831733">
      <w:pPr>
        <w:spacing w:after="0" w:line="240" w:lineRule="auto"/>
        <w:jc w:val="both"/>
      </w:pPr>
      <w:r w:rsidRPr="00831733">
        <w:t>Il peut atteindre plus de trente mètres de hauteur pour les vieux spécimens.</w:t>
      </w:r>
    </w:p>
    <w:p w14:paraId="2044D793" w14:textId="5B9F85E6" w:rsidR="00831733" w:rsidRPr="00831733" w:rsidRDefault="00831733" w:rsidP="00831733">
      <w:pPr>
        <w:spacing w:after="0" w:line="240" w:lineRule="auto"/>
        <w:jc w:val="both"/>
      </w:pPr>
      <w:r w:rsidRPr="00831733">
        <w:t xml:space="preserve">Le filao est un </w:t>
      </w:r>
      <w:r w:rsidRPr="00831733">
        <w:rPr>
          <w:i/>
          <w:iCs/>
        </w:rPr>
        <w:t>arbre pionnier</w:t>
      </w:r>
      <w:r w:rsidRPr="00831733">
        <w:t xml:space="preserve">, capable de coloniser des sols très pauvres en éléments minéraux. </w:t>
      </w:r>
      <w:r w:rsidRPr="00831733">
        <w:rPr>
          <w:i/>
          <w:iCs/>
        </w:rPr>
        <w:t>Dans les zones salines, il évacue le surplus salé par ses feuilles, rendant le sol à son pied infertile pour les autres espèce</w:t>
      </w:r>
      <w:r w:rsidRPr="00831733">
        <w:t>s.</w:t>
      </w:r>
    </w:p>
    <w:p w14:paraId="33FE6CF5" w14:textId="13ADB173" w:rsidR="00831733" w:rsidRPr="00831733" w:rsidRDefault="00831733" w:rsidP="00831733">
      <w:pPr>
        <w:spacing w:after="0" w:line="240" w:lineRule="auto"/>
        <w:jc w:val="both"/>
      </w:pPr>
      <w:r w:rsidRPr="00831733">
        <w:rPr>
          <w:u w:val="single"/>
        </w:rPr>
        <w:t>Usages</w:t>
      </w:r>
      <w:r>
        <w:t xml:space="preserve"> : </w:t>
      </w:r>
      <w:r w:rsidRPr="00831733">
        <w:t>Il est très utilisé comme bois de feu ou pour fabriquer du charbon de bois. Il est résistant au feu.</w:t>
      </w:r>
    </w:p>
    <w:p w14:paraId="42A6B7A3" w14:textId="6CE3ECAD" w:rsidR="00831733" w:rsidRPr="00831733" w:rsidRDefault="00831733" w:rsidP="00831733">
      <w:pPr>
        <w:spacing w:after="0" w:line="240" w:lineRule="auto"/>
        <w:jc w:val="both"/>
      </w:pPr>
      <w:r w:rsidRPr="00831733">
        <w:rPr>
          <w:u w:val="single"/>
        </w:rPr>
        <w:t>Plante invasive</w:t>
      </w:r>
      <w:r>
        <w:t> :</w:t>
      </w:r>
      <w:r w:rsidRPr="00831733">
        <w:t xml:space="preserve"> Là où il est invasif, il forme des peuplements mono-spécifiques, excluant les autres espèces.</w:t>
      </w:r>
    </w:p>
    <w:p w14:paraId="10DFD0BE" w14:textId="11E0C2B1" w:rsidR="00831733" w:rsidRPr="00831733" w:rsidRDefault="00831733" w:rsidP="00831733">
      <w:pPr>
        <w:spacing w:after="0" w:line="240" w:lineRule="auto"/>
        <w:jc w:val="both"/>
      </w:pPr>
      <w:r w:rsidRPr="00831733">
        <w:t>Dans les basses terres arides des îles Galápagos « </w:t>
      </w:r>
      <w:r w:rsidRPr="00831733">
        <w:rPr>
          <w:i/>
          <w:iCs/>
        </w:rPr>
        <w:t>il supprime la croissance des autres plantes sous son couvert</w:t>
      </w:r>
      <w:r w:rsidRPr="00831733">
        <w:t> » (Motooka </w:t>
      </w:r>
      <w:r w:rsidRPr="00831733">
        <w:rPr>
          <w:i/>
          <w:iCs/>
        </w:rPr>
        <w:t>et al</w:t>
      </w:r>
      <w:r w:rsidRPr="00831733">
        <w:t> ., 2003) (McMullen, 1999, p 95).</w:t>
      </w:r>
    </w:p>
    <w:p w14:paraId="7557CB68" w14:textId="7699B69F" w:rsidR="00831733" w:rsidRPr="00831733" w:rsidRDefault="00831733" w:rsidP="00831733">
      <w:pPr>
        <w:spacing w:after="0" w:line="240" w:lineRule="auto"/>
        <w:jc w:val="both"/>
      </w:pPr>
      <w:r w:rsidRPr="00831733">
        <w:t>Ses racines possèdent des nodules fixateurs d'azote (actinorhizes) qui, en symbiose avec une bactérie du sol (Frankia), assimilent l’azote de l’air.</w:t>
      </w:r>
    </w:p>
    <w:p w14:paraId="44235270" w14:textId="77777777" w:rsidR="00831733" w:rsidRPr="00831733" w:rsidRDefault="00831733" w:rsidP="00831733">
      <w:pPr>
        <w:spacing w:after="0" w:line="240" w:lineRule="auto"/>
        <w:jc w:val="both"/>
      </w:pPr>
      <w:r w:rsidRPr="00831733">
        <w:t xml:space="preserve">Sources :  a) </w:t>
      </w:r>
      <w:hyperlink r:id="rId3998" w:history="1">
        <w:r w:rsidRPr="00831733">
          <w:rPr>
            <w:rStyle w:val="Lienhypertexte"/>
          </w:rPr>
          <w:t>http://fr.wikipedia.org/wiki/Filao</w:t>
        </w:r>
      </w:hyperlink>
      <w:r w:rsidRPr="00831733">
        <w:t xml:space="preserve">, b) </w:t>
      </w:r>
      <w:hyperlink r:id="rId3999" w:history="1">
        <w:r w:rsidRPr="00831733">
          <w:rPr>
            <w:rStyle w:val="Lienhypertexte"/>
          </w:rPr>
          <w:t>http://en.wikipedia.org/wiki/Casuarina_equisetifolia</w:t>
        </w:r>
      </w:hyperlink>
      <w:r w:rsidRPr="00831733">
        <w:t xml:space="preserve"> </w:t>
      </w:r>
    </w:p>
    <w:p w14:paraId="1A1E5DB2" w14:textId="77777777" w:rsidR="00831733" w:rsidRPr="00831733" w:rsidRDefault="00831733" w:rsidP="00831733">
      <w:pPr>
        <w:spacing w:after="0" w:line="240" w:lineRule="auto"/>
        <w:jc w:val="both"/>
      </w:pPr>
      <w:r w:rsidRPr="00831733">
        <w:t xml:space="preserve">c) </w:t>
      </w:r>
      <w:hyperlink r:id="rId4000" w:history="1">
        <w:r w:rsidRPr="00831733">
          <w:rPr>
            <w:rStyle w:val="Lienhypertexte"/>
          </w:rPr>
          <w:t>http://www.hear.org/pier/species/casuarina_equisetifolia.htm</w:t>
        </w:r>
      </w:hyperlink>
      <w:r w:rsidRPr="00831733">
        <w:t xml:space="preserve"> </w:t>
      </w:r>
    </w:p>
    <w:p w14:paraId="2A8C3261" w14:textId="77777777" w:rsidR="00831733" w:rsidRDefault="00831733" w:rsidP="00317687">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86"/>
        <w:gridCol w:w="3248"/>
        <w:gridCol w:w="3092"/>
      </w:tblGrid>
      <w:tr w:rsidR="00831733" w14:paraId="6F9D4E0B" w14:textId="77777777" w:rsidTr="00133487">
        <w:tc>
          <w:tcPr>
            <w:tcW w:w="4086" w:type="dxa"/>
          </w:tcPr>
          <w:p w14:paraId="5DF43E74" w14:textId="04858DE0" w:rsidR="00831733" w:rsidRDefault="00831733" w:rsidP="00831733">
            <w:pPr>
              <w:jc w:val="center"/>
            </w:pPr>
            <w:r w:rsidRPr="00831733">
              <w:rPr>
                <w:noProof/>
              </w:rPr>
              <w:drawing>
                <wp:inline distT="0" distB="0" distL="0" distR="0" wp14:anchorId="12A087BF" wp14:editId="338454CC">
                  <wp:extent cx="2447925" cy="1628775"/>
                  <wp:effectExtent l="0" t="0" r="9525" b="9525"/>
                  <wp:docPr id="177159" name="Picture 5" descr="C:\Users\LISAN\Pictures\plantes invasives de Madagascar\Casuarina equisetifolia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59" name="Picture 5" descr="C:\Users\LISAN\Pictures\plantes invasives de Madagascar\Casuarina equisetifolia6.jpg"/>
                          <pic:cNvPicPr>
                            <a:picLocks noChangeAspect="1" noChangeArrowheads="1"/>
                          </pic:cNvPicPr>
                        </pic:nvPicPr>
                        <pic:blipFill>
                          <a:blip r:embed="rId4001">
                            <a:extLst>
                              <a:ext uri="{28A0092B-C50C-407E-A947-70E740481C1C}">
                                <a14:useLocalDpi xmlns:a14="http://schemas.microsoft.com/office/drawing/2010/main" val="0"/>
                              </a:ext>
                            </a:extLst>
                          </a:blip>
                          <a:srcRect/>
                          <a:stretch>
                            <a:fillRect/>
                          </a:stretch>
                        </pic:blipFill>
                        <pic:spPr bwMode="auto">
                          <a:xfrm>
                            <a:off x="0" y="0"/>
                            <a:ext cx="2447925" cy="162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248" w:type="dxa"/>
          </w:tcPr>
          <w:p w14:paraId="7E0CD109" w14:textId="54CDB300" w:rsidR="00831733" w:rsidRDefault="00831733" w:rsidP="00831733">
            <w:pPr>
              <w:jc w:val="center"/>
            </w:pPr>
            <w:r w:rsidRPr="00831733">
              <w:rPr>
                <w:noProof/>
              </w:rPr>
              <w:drawing>
                <wp:inline distT="0" distB="0" distL="0" distR="0" wp14:anchorId="7258DD04" wp14:editId="5623D05F">
                  <wp:extent cx="1381125" cy="1844675"/>
                  <wp:effectExtent l="0" t="0" r="9525" b="3175"/>
                  <wp:docPr id="177161" name="Picture 7" descr="C:\Users\LISAN\Pictures\plantes invasives de Madagascar\Casuarina equisetifoli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61" name="Picture 7" descr="C:\Users\LISAN\Pictures\plantes invasives de Madagascar\Casuarina equisetifolia2.jpg"/>
                          <pic:cNvPicPr>
                            <a:picLocks noChangeAspect="1" noChangeArrowheads="1"/>
                          </pic:cNvPicPr>
                        </pic:nvPicPr>
                        <pic:blipFill>
                          <a:blip r:embed="rId4002">
                            <a:extLst>
                              <a:ext uri="{28A0092B-C50C-407E-A947-70E740481C1C}">
                                <a14:useLocalDpi xmlns:a14="http://schemas.microsoft.com/office/drawing/2010/main" val="0"/>
                              </a:ext>
                            </a:extLst>
                          </a:blip>
                          <a:srcRect/>
                          <a:stretch>
                            <a:fillRect/>
                          </a:stretch>
                        </pic:blipFill>
                        <pic:spPr bwMode="auto">
                          <a:xfrm>
                            <a:off x="0" y="0"/>
                            <a:ext cx="1381125" cy="1844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092" w:type="dxa"/>
          </w:tcPr>
          <w:p w14:paraId="4CBC51DC" w14:textId="538DA821" w:rsidR="00831733" w:rsidRDefault="00831733" w:rsidP="00831733">
            <w:pPr>
              <w:jc w:val="center"/>
            </w:pPr>
            <w:r w:rsidRPr="00831733">
              <w:rPr>
                <w:noProof/>
              </w:rPr>
              <w:drawing>
                <wp:inline distT="0" distB="0" distL="0" distR="0" wp14:anchorId="7C77E8A7" wp14:editId="1F2559BD">
                  <wp:extent cx="1143000" cy="1524000"/>
                  <wp:effectExtent l="0" t="0" r="0" b="0"/>
                  <wp:docPr id="177163" name="Picture 10" descr="C:\Users\LISAN\Pictures\plantes invasives de Madagascar\Casuarina_equisetifolia_leav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63" name="Picture 10" descr="C:\Users\LISAN\Pictures\plantes invasives de Madagascar\Casuarina_equisetifolia_leaves.jpg"/>
                          <pic:cNvPicPr>
                            <a:picLocks noChangeAspect="1" noChangeArrowheads="1"/>
                          </pic:cNvPicPr>
                        </pic:nvPicPr>
                        <pic:blipFill>
                          <a:blip r:embed="rId4003">
                            <a:extLst>
                              <a:ext uri="{28A0092B-C50C-407E-A947-70E740481C1C}">
                                <a14:useLocalDpi xmlns:a14="http://schemas.microsoft.com/office/drawing/2010/main" val="0"/>
                              </a:ext>
                            </a:extLst>
                          </a:blip>
                          <a:srcRect/>
                          <a:stretch>
                            <a:fillRect/>
                          </a:stretch>
                        </pic:blipFill>
                        <pic:spPr bwMode="auto">
                          <a:xfrm>
                            <a:off x="0" y="0"/>
                            <a:ext cx="1143000" cy="152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831733" w14:paraId="2A8D7F75" w14:textId="77777777" w:rsidTr="00133487">
        <w:tc>
          <w:tcPr>
            <w:tcW w:w="4086" w:type="dxa"/>
          </w:tcPr>
          <w:p w14:paraId="00C7F622" w14:textId="5BB37605" w:rsidR="00831733" w:rsidRDefault="00831733" w:rsidP="00831733">
            <w:pPr>
              <w:jc w:val="center"/>
            </w:pPr>
            <w:r w:rsidRPr="00831733">
              <w:rPr>
                <w:noProof/>
              </w:rPr>
              <w:drawing>
                <wp:inline distT="0" distB="0" distL="0" distR="0" wp14:anchorId="0EC39614" wp14:editId="00614533">
                  <wp:extent cx="2251075" cy="1685925"/>
                  <wp:effectExtent l="0" t="0" r="0" b="9525"/>
                  <wp:docPr id="177160" name="Picture 6" descr="C:\Users\LISAN\Pictures\plantes invasives de Madagascar\Casuarina equisetifol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60" name="Picture 6" descr="C:\Users\LISAN\Pictures\plantes invasives de Madagascar\Casuarina equisetifolia.jpg"/>
                          <pic:cNvPicPr>
                            <a:picLocks noChangeAspect="1" noChangeArrowheads="1"/>
                          </pic:cNvPicPr>
                        </pic:nvPicPr>
                        <pic:blipFill>
                          <a:blip r:embed="rId4004">
                            <a:extLst>
                              <a:ext uri="{28A0092B-C50C-407E-A947-70E740481C1C}">
                                <a14:useLocalDpi xmlns:a14="http://schemas.microsoft.com/office/drawing/2010/main" val="0"/>
                              </a:ext>
                            </a:extLst>
                          </a:blip>
                          <a:srcRect/>
                          <a:stretch>
                            <a:fillRect/>
                          </a:stretch>
                        </pic:blipFill>
                        <pic:spPr bwMode="auto">
                          <a:xfrm>
                            <a:off x="0" y="0"/>
                            <a:ext cx="2251075" cy="1685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248" w:type="dxa"/>
          </w:tcPr>
          <w:p w14:paraId="123A2CD4" w14:textId="2AC55BB1" w:rsidR="00831733" w:rsidRDefault="00831733" w:rsidP="00831733">
            <w:pPr>
              <w:jc w:val="center"/>
            </w:pPr>
            <w:r w:rsidRPr="00831733">
              <w:rPr>
                <w:noProof/>
              </w:rPr>
              <w:drawing>
                <wp:inline distT="0" distB="0" distL="0" distR="0" wp14:anchorId="705B5CDB" wp14:editId="7C06294D">
                  <wp:extent cx="1514475" cy="2276475"/>
                  <wp:effectExtent l="0" t="0" r="9525" b="9525"/>
                  <wp:docPr id="177162" name="Picture 8" descr="C:\Users\LISAN\Pictures\plantes invasives de Madagascar\Casuarina equisetifoli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62" name="Picture 8" descr="C:\Users\LISAN\Pictures\plantes invasives de Madagascar\Casuarina equisetifolia3.jpg"/>
                          <pic:cNvPicPr>
                            <a:picLocks noChangeAspect="1" noChangeArrowheads="1"/>
                          </pic:cNvPicPr>
                        </pic:nvPicPr>
                        <pic:blipFill>
                          <a:blip r:embed="rId4005">
                            <a:extLst>
                              <a:ext uri="{28A0092B-C50C-407E-A947-70E740481C1C}">
                                <a14:useLocalDpi xmlns:a14="http://schemas.microsoft.com/office/drawing/2010/main" val="0"/>
                              </a:ext>
                            </a:extLst>
                          </a:blip>
                          <a:srcRect/>
                          <a:stretch>
                            <a:fillRect/>
                          </a:stretch>
                        </pic:blipFill>
                        <pic:spPr bwMode="auto">
                          <a:xfrm>
                            <a:off x="0" y="0"/>
                            <a:ext cx="1514475" cy="2276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092" w:type="dxa"/>
          </w:tcPr>
          <w:p w14:paraId="5CD67684" w14:textId="77777777" w:rsidR="00831733" w:rsidRDefault="00831733" w:rsidP="00831733">
            <w:pPr>
              <w:jc w:val="center"/>
            </w:pPr>
          </w:p>
        </w:tc>
      </w:tr>
    </w:tbl>
    <w:p w14:paraId="5A32B937" w14:textId="77777777" w:rsidR="00133487" w:rsidRDefault="00133487" w:rsidP="00133487">
      <w:pPr>
        <w:spacing w:after="0" w:line="240" w:lineRule="auto"/>
      </w:pPr>
    </w:p>
    <w:p w14:paraId="66F8683E" w14:textId="77777777" w:rsidR="00133487" w:rsidRDefault="00133487" w:rsidP="0054530B">
      <w:pPr>
        <w:pStyle w:val="Titre2"/>
      </w:pPr>
      <w:bookmarkStart w:id="385" w:name="_Toc139181675"/>
      <w:r w:rsidRPr="007B561E">
        <w:t>Acacia auriculé (</w:t>
      </w:r>
      <w:r w:rsidRPr="0054530B">
        <w:rPr>
          <w:i/>
          <w:iCs/>
        </w:rPr>
        <w:t>Acacia auriculiformis</w:t>
      </w:r>
      <w:r w:rsidRPr="007B561E">
        <w:t>)</w:t>
      </w:r>
      <w:bookmarkEnd w:id="385"/>
    </w:p>
    <w:p w14:paraId="62C3F6A0" w14:textId="77777777" w:rsidR="00133487" w:rsidRDefault="00133487" w:rsidP="00133487">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2126"/>
        <w:gridCol w:w="2268"/>
        <w:gridCol w:w="258"/>
        <w:gridCol w:w="1379"/>
      </w:tblGrid>
      <w:tr w:rsidR="00133487" w:rsidRPr="000B6BE3" w14:paraId="0F7F6338" w14:textId="77777777" w:rsidTr="003D7963">
        <w:tc>
          <w:tcPr>
            <w:tcW w:w="4395" w:type="dxa"/>
          </w:tcPr>
          <w:p w14:paraId="12D94BBE" w14:textId="77777777" w:rsidR="00133487" w:rsidRDefault="00133487" w:rsidP="003D7963">
            <w:pPr>
              <w:jc w:val="both"/>
              <w:rPr>
                <w:rFonts w:ascii="Calibri" w:hAnsi="Calibri" w:cs="Calibri"/>
                <w:bCs/>
              </w:rPr>
            </w:pPr>
            <w:r>
              <w:rPr>
                <w:rFonts w:ascii="Calibri" w:hAnsi="Calibri" w:cs="Calibri"/>
                <w:bCs/>
              </w:rPr>
              <w:t>(</w:t>
            </w:r>
            <w:r w:rsidRPr="00DE2C3A">
              <w:rPr>
                <w:rFonts w:ascii="Calibri" w:hAnsi="Calibri" w:cs="Calibri"/>
                <w:bCs/>
              </w:rPr>
              <w:t>Famille des</w:t>
            </w:r>
            <w:r>
              <w:rPr>
                <w:rFonts w:ascii="Calibri" w:hAnsi="Calibri" w:cs="Calibri"/>
              </w:rPr>
              <w:t xml:space="preserve"> </w:t>
            </w:r>
            <w:r w:rsidRPr="00511025">
              <w:rPr>
                <w:rFonts w:ascii="Calibri" w:hAnsi="Calibri" w:cs="Calibri"/>
                <w:i/>
                <w:iCs/>
              </w:rPr>
              <w:t>Fabaceae</w:t>
            </w:r>
            <w:r>
              <w:rPr>
                <w:rFonts w:ascii="Calibri" w:hAnsi="Calibri" w:cs="Calibri"/>
                <w:bCs/>
              </w:rPr>
              <w:t>)</w:t>
            </w:r>
            <w:r w:rsidRPr="00DE2C3A">
              <w:rPr>
                <w:rFonts w:ascii="Calibri" w:hAnsi="Calibri" w:cs="Calibri"/>
                <w:bCs/>
              </w:rPr>
              <w:t>.</w:t>
            </w:r>
          </w:p>
          <w:p w14:paraId="353B75EA" w14:textId="77777777" w:rsidR="00133487" w:rsidRDefault="00133487" w:rsidP="003D7963">
            <w:pPr>
              <w:jc w:val="both"/>
              <w:rPr>
                <w:rFonts w:cstheme="minorHAnsi"/>
                <w:b/>
                <w:bCs/>
                <w:color w:val="FF0000"/>
              </w:rPr>
            </w:pPr>
          </w:p>
          <w:p w14:paraId="45276D32" w14:textId="77777777" w:rsidR="00133487" w:rsidRPr="000B6BE3" w:rsidRDefault="00133487" w:rsidP="003D7963">
            <w:pPr>
              <w:jc w:val="both"/>
              <w:rPr>
                <w:rFonts w:cstheme="minorHAnsi"/>
              </w:rPr>
            </w:pPr>
            <w:r w:rsidRPr="00DE60FE">
              <w:rPr>
                <w:rFonts w:cstheme="minorHAnsi"/>
                <w:b/>
                <w:bCs/>
                <w:color w:val="FF0000"/>
              </w:rPr>
              <w:t xml:space="preserve">A rejeter, score: </w:t>
            </w:r>
            <w:r>
              <w:rPr>
                <w:rFonts w:cstheme="minorHAnsi"/>
                <w:b/>
                <w:bCs/>
                <w:color w:val="FF0000"/>
              </w:rPr>
              <w:t>13</w:t>
            </w:r>
            <w:r w:rsidRPr="00DE60FE">
              <w:rPr>
                <w:rFonts w:cstheme="minorHAnsi"/>
                <w:b/>
                <w:bCs/>
                <w:color w:val="FF0000"/>
              </w:rPr>
              <w:t>.</w:t>
            </w:r>
          </w:p>
        </w:tc>
        <w:tc>
          <w:tcPr>
            <w:tcW w:w="2126" w:type="dxa"/>
          </w:tcPr>
          <w:p w14:paraId="1494F32E" w14:textId="77777777" w:rsidR="00133487" w:rsidRPr="000B6BE3" w:rsidRDefault="00133487" w:rsidP="003D7963">
            <w:pPr>
              <w:rPr>
                <w:rFonts w:cstheme="minorHAnsi"/>
              </w:rPr>
            </w:pPr>
            <w:r w:rsidRPr="000B6BE3">
              <w:rPr>
                <w:rFonts w:cstheme="minorHAnsi"/>
                <w:noProof/>
              </w:rPr>
              <w:t xml:space="preserve">  </w:t>
            </w:r>
            <w:r>
              <w:rPr>
                <w:rFonts w:cstheme="minorHAnsi"/>
                <w:noProof/>
              </w:rPr>
              <w:t xml:space="preserve">      </w:t>
            </w:r>
            <w:r>
              <w:rPr>
                <w:rFonts w:cstheme="minorHAnsi"/>
                <w:b/>
                <w:bCs/>
                <w:noProof/>
              </w:rPr>
              <w:t>(</w:t>
            </w:r>
            <w:r w:rsidRPr="008F2681">
              <w:rPr>
                <w:rFonts w:cstheme="minorHAnsi"/>
                <w:noProof/>
              </w:rPr>
              <w:drawing>
                <wp:inline distT="0" distB="0" distL="0" distR="0" wp14:anchorId="1A9B99BC" wp14:editId="5E656F9A">
                  <wp:extent cx="463550" cy="661988"/>
                  <wp:effectExtent l="0" t="0" r="0" b="5080"/>
                  <wp:docPr id="155668"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 </w:t>
            </w:r>
          </w:p>
        </w:tc>
        <w:tc>
          <w:tcPr>
            <w:tcW w:w="2268" w:type="dxa"/>
          </w:tcPr>
          <w:p w14:paraId="3141E149" w14:textId="77777777" w:rsidR="00133487" w:rsidRPr="002E01BB" w:rsidRDefault="00133487" w:rsidP="003D7963">
            <w:pPr>
              <w:rPr>
                <w:rFonts w:eastAsia="+mn-ea" w:cstheme="minorHAnsi"/>
                <w:b/>
                <w:bCs/>
                <w:color w:val="008000"/>
                <w:kern w:val="24"/>
                <w:sz w:val="56"/>
                <w:szCs w:val="56"/>
              </w:rPr>
            </w:pPr>
            <w:r w:rsidRPr="009521CB">
              <w:rPr>
                <w:rFonts w:eastAsia="+mn-ea" w:cstheme="minorHAnsi"/>
                <w:b/>
                <w:bCs/>
                <w:color w:val="008000"/>
                <w:kern w:val="24"/>
                <w:sz w:val="72"/>
                <w:szCs w:val="72"/>
              </w:rPr>
              <w:t>U</w:t>
            </w:r>
            <w:r>
              <w:rPr>
                <w:rFonts w:eastAsia="+mn-ea" w:cstheme="minorHAnsi"/>
                <w:b/>
                <w:bCs/>
                <w:color w:val="008000"/>
                <w:kern w:val="24"/>
                <w:sz w:val="56"/>
                <w:szCs w:val="56"/>
              </w:rPr>
              <w:t xml:space="preserve"> ↗↗</w:t>
            </w:r>
          </w:p>
          <w:p w14:paraId="476C827D" w14:textId="77777777" w:rsidR="00133487" w:rsidRPr="000B6BE3" w:rsidRDefault="00133487" w:rsidP="003D7963">
            <w:pPr>
              <w:textAlignment w:val="baseline"/>
              <w:rPr>
                <w:rFonts w:cstheme="minorHAnsi"/>
              </w:rPr>
            </w:pPr>
          </w:p>
        </w:tc>
        <w:tc>
          <w:tcPr>
            <w:tcW w:w="258" w:type="dxa"/>
          </w:tcPr>
          <w:p w14:paraId="28D6CE80" w14:textId="77777777" w:rsidR="00133487" w:rsidRPr="000B6BE3" w:rsidRDefault="00133487" w:rsidP="003D7963">
            <w:pPr>
              <w:rPr>
                <w:rFonts w:cstheme="minorHAnsi"/>
              </w:rPr>
            </w:pPr>
          </w:p>
        </w:tc>
        <w:tc>
          <w:tcPr>
            <w:tcW w:w="1379" w:type="dxa"/>
          </w:tcPr>
          <w:p w14:paraId="53BCDD37" w14:textId="77777777" w:rsidR="00133487" w:rsidRPr="000B6BE3" w:rsidRDefault="00133487" w:rsidP="003D7963">
            <w:pPr>
              <w:rPr>
                <w:rFonts w:cstheme="minorHAnsi"/>
              </w:rPr>
            </w:pPr>
            <w:r w:rsidRPr="00DE60FE">
              <w:rPr>
                <w:rFonts w:cstheme="minorHAnsi"/>
                <w:noProof/>
              </w:rPr>
              <w:drawing>
                <wp:inline distT="0" distB="0" distL="0" distR="0" wp14:anchorId="74774A86" wp14:editId="1F72DFE2">
                  <wp:extent cx="457200" cy="457200"/>
                  <wp:effectExtent l="0" t="0" r="0" b="0"/>
                  <wp:docPr id="155669" name="Picture 16" descr="C:\Users\LISAN\Pictures\Plantes fourragères\logo invasive plants5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26" name="Picture 16" descr="C:\Users\LISAN\Pictures\Plantes fourragères\logo invasive plants5_s.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250E25D3" w14:textId="77777777" w:rsidR="00133487" w:rsidRDefault="00133487" w:rsidP="00133487">
      <w:pPr>
        <w:spacing w:after="0" w:line="240" w:lineRule="auto"/>
        <w:jc w:val="both"/>
      </w:pPr>
    </w:p>
    <w:p w14:paraId="2ACDD842" w14:textId="77777777" w:rsidR="00133487" w:rsidRPr="009521CB" w:rsidRDefault="00133487" w:rsidP="00133487">
      <w:pPr>
        <w:spacing w:after="0" w:line="240" w:lineRule="auto"/>
        <w:jc w:val="both"/>
      </w:pPr>
      <w:r w:rsidRPr="009521CB">
        <w:t>Originaire d'</w:t>
      </w:r>
      <w:hyperlink r:id="rId4006" w:history="1">
        <w:r w:rsidRPr="009521CB">
          <w:rPr>
            <w:rStyle w:val="Lienhypertexte"/>
          </w:rPr>
          <w:t>Australie</w:t>
        </w:r>
      </w:hyperlink>
      <w:r w:rsidRPr="009521CB">
        <w:t>, d’</w:t>
      </w:r>
      <w:hyperlink r:id="rId4007" w:history="1">
        <w:r w:rsidRPr="009521CB">
          <w:rPr>
            <w:rStyle w:val="Lienhypertexte"/>
          </w:rPr>
          <w:t>Indonésie</w:t>
        </w:r>
      </w:hyperlink>
      <w:r w:rsidRPr="009521CB">
        <w:t xml:space="preserve"> et de </w:t>
      </w:r>
      <w:hyperlink r:id="rId4008" w:history="1">
        <w:r w:rsidRPr="009521CB">
          <w:rPr>
            <w:rStyle w:val="Lienhypertexte"/>
          </w:rPr>
          <w:t>Papouasie-Nouvelle-Guinée</w:t>
        </w:r>
      </w:hyperlink>
      <w:r w:rsidRPr="009521CB">
        <w:t xml:space="preserve">, cet arbre forestier, largement plantée, </w:t>
      </w:r>
      <w:r w:rsidRPr="009521CB">
        <w:rPr>
          <w:i/>
          <w:iCs/>
        </w:rPr>
        <w:t>à croissance rapide</w:t>
      </w:r>
      <w:r w:rsidRPr="009521CB">
        <w:t xml:space="preserve">, pousse jusqu'à 30m de haut. </w:t>
      </w:r>
    </w:p>
    <w:p w14:paraId="35EE3631" w14:textId="77777777" w:rsidR="00133487" w:rsidRPr="009521CB" w:rsidRDefault="00133487" w:rsidP="00133487">
      <w:pPr>
        <w:spacing w:after="0" w:line="240" w:lineRule="auto"/>
        <w:jc w:val="both"/>
      </w:pPr>
      <w:r w:rsidRPr="009521CB">
        <w:t xml:space="preserve">Son feuillage dense, vert foncé, qui le reste tout au long de la saison sèche, en font un excellent arbre d'ombrage. </w:t>
      </w:r>
    </w:p>
    <w:p w14:paraId="0EA1C3F4" w14:textId="77777777" w:rsidR="00133487" w:rsidRPr="009521CB" w:rsidRDefault="00133487" w:rsidP="00133487">
      <w:pPr>
        <w:spacing w:after="0" w:line="240" w:lineRule="auto"/>
        <w:jc w:val="both"/>
      </w:pPr>
      <w:r w:rsidRPr="009521CB">
        <w:t xml:space="preserve"> Il se multiple par semences. Il produit beaucoup de semences. Dans un kg de graines, il y a ~ 47.000 graines.</w:t>
      </w:r>
    </w:p>
    <w:p w14:paraId="6EE72C6C" w14:textId="77777777" w:rsidR="00133487" w:rsidRPr="009521CB" w:rsidRDefault="00133487" w:rsidP="00133487">
      <w:pPr>
        <w:spacing w:after="0" w:line="240" w:lineRule="auto"/>
        <w:jc w:val="both"/>
      </w:pPr>
      <w:r w:rsidRPr="009521CB">
        <w:rPr>
          <w:u w:val="single"/>
        </w:rPr>
        <w:t>Usages</w:t>
      </w:r>
      <w:r>
        <w:t> :</w:t>
      </w:r>
      <w:r w:rsidRPr="009521CB">
        <w:t xml:space="preserve"> Son bois a une densité élevée (500-650 kg/m³), ​​un grain fin, un joli poli et finition.</w:t>
      </w:r>
    </w:p>
    <w:p w14:paraId="35A021B2" w14:textId="77777777" w:rsidR="00133487" w:rsidRPr="009521CB" w:rsidRDefault="00133487" w:rsidP="00133487">
      <w:pPr>
        <w:spacing w:after="0" w:line="240" w:lineRule="auto"/>
        <w:jc w:val="both"/>
      </w:pPr>
      <w:r w:rsidRPr="009521CB">
        <w:t xml:space="preserve"> Son bois est largement utilisé pour la pâte à papier.</w:t>
      </w:r>
    </w:p>
    <w:p w14:paraId="5B398A3F" w14:textId="77777777" w:rsidR="00133487" w:rsidRPr="009521CB" w:rsidRDefault="00133487" w:rsidP="00133487">
      <w:pPr>
        <w:spacing w:after="0" w:line="240" w:lineRule="auto"/>
        <w:jc w:val="both"/>
      </w:pPr>
      <w:r w:rsidRPr="009521CB">
        <w:t xml:space="preserve"> Son charbon de bois, brulant sans fumée et étincelle, est de bonne qualité.</w:t>
      </w:r>
    </w:p>
    <w:p w14:paraId="497971E5" w14:textId="77777777" w:rsidR="00133487" w:rsidRPr="009521CB" w:rsidRDefault="00133487" w:rsidP="00133487">
      <w:pPr>
        <w:spacing w:after="0" w:line="240" w:lineRule="auto"/>
        <w:jc w:val="both"/>
      </w:pPr>
      <w:r w:rsidRPr="009521CB">
        <w:t xml:space="preserve">Son système racinaire superficiel, dense, étendu, emmêlé, sa croissance rapide même sur les terres stériles, </w:t>
      </w:r>
      <w:r w:rsidRPr="009521CB">
        <w:rPr>
          <w:i/>
          <w:iCs/>
        </w:rPr>
        <w:t>le rend approprié pour stabiliser les terres érodées</w:t>
      </w:r>
      <w:r w:rsidRPr="009521CB">
        <w:t>.</w:t>
      </w:r>
    </w:p>
    <w:p w14:paraId="53134451" w14:textId="77777777" w:rsidR="00133487" w:rsidRPr="009521CB" w:rsidRDefault="00133487" w:rsidP="00133487">
      <w:pPr>
        <w:spacing w:after="0" w:line="240" w:lineRule="auto"/>
        <w:jc w:val="both"/>
      </w:pPr>
      <w:r w:rsidRPr="009521CB">
        <w:t>Cet arbre améliore la fertilité des sols. Sa germination est réduite dès que la concentration saline atteint 4,6 g.</w:t>
      </w:r>
      <w:r>
        <w:t>L</w:t>
      </w:r>
      <w:r w:rsidRPr="009521CB">
        <w:rPr>
          <w:vertAlign w:val="superscript"/>
        </w:rPr>
        <w:t>-1</w:t>
      </w:r>
      <w:r>
        <w:t>.</w:t>
      </w:r>
    </w:p>
    <w:p w14:paraId="2530C75F" w14:textId="77777777" w:rsidR="00133487" w:rsidRPr="009521CB" w:rsidRDefault="00133487" w:rsidP="00133487">
      <w:pPr>
        <w:spacing w:after="0" w:line="240" w:lineRule="auto"/>
        <w:jc w:val="both"/>
      </w:pPr>
      <w:r w:rsidRPr="009521CB">
        <w:rPr>
          <w:u w:val="single"/>
        </w:rPr>
        <w:t>Plante invasive</w:t>
      </w:r>
      <w:r>
        <w:t> :</w:t>
      </w:r>
      <w:r w:rsidRPr="009521CB">
        <w:t xml:space="preserve"> Il est considéré comme envahissant en Floride (Hammer, 1996. P 24), à Hawaï, dans les Tonga, Bahamas, au Bangladesh, Singapour ... </w:t>
      </w:r>
    </w:p>
    <w:p w14:paraId="5B5D4939" w14:textId="77777777" w:rsidR="00133487" w:rsidRPr="009521CB" w:rsidRDefault="00133487" w:rsidP="00133487">
      <w:pPr>
        <w:spacing w:after="0" w:line="240" w:lineRule="auto"/>
        <w:jc w:val="both"/>
      </w:pPr>
      <w:r w:rsidRPr="009521CB">
        <w:t xml:space="preserve">Sources : a) </w:t>
      </w:r>
      <w:hyperlink r:id="rId4009" w:history="1">
        <w:r w:rsidRPr="009521CB">
          <w:rPr>
            <w:rStyle w:val="Lienhypertexte"/>
          </w:rPr>
          <w:t>http://en.wikipedia.org/wiki/Acacia_auriculiformis</w:t>
        </w:r>
      </w:hyperlink>
      <w:r w:rsidRPr="009521CB">
        <w:t xml:space="preserve">, b) </w:t>
      </w:r>
      <w:hyperlink r:id="rId4010" w:history="1">
        <w:r w:rsidRPr="009521CB">
          <w:rPr>
            <w:rStyle w:val="Lienhypertexte"/>
          </w:rPr>
          <w:t>http://www.cabi.org/isc/datasheet/2157</w:t>
        </w:r>
      </w:hyperlink>
      <w:r w:rsidRPr="009521CB">
        <w:t xml:space="preserve">, </w:t>
      </w:r>
    </w:p>
    <w:p w14:paraId="24CEF503" w14:textId="77777777" w:rsidR="00133487" w:rsidRPr="009521CB" w:rsidRDefault="00133487" w:rsidP="00133487">
      <w:pPr>
        <w:spacing w:after="0" w:line="240" w:lineRule="auto"/>
        <w:jc w:val="both"/>
      </w:pPr>
      <w:r w:rsidRPr="009521CB">
        <w:t xml:space="preserve">c) </w:t>
      </w:r>
      <w:hyperlink r:id="rId4011" w:history="1">
        <w:r w:rsidRPr="009521CB">
          <w:rPr>
            <w:rStyle w:val="Lienhypertexte"/>
          </w:rPr>
          <w:t>http://www.hear.org/pier/species/acacia_auriculiformis.htm</w:t>
        </w:r>
      </w:hyperlink>
      <w:r w:rsidRPr="009521CB">
        <w:t xml:space="preserve">   </w:t>
      </w:r>
    </w:p>
    <w:p w14:paraId="329A3DBF" w14:textId="77777777" w:rsidR="00133487" w:rsidRPr="009521CB" w:rsidRDefault="00133487" w:rsidP="00133487">
      <w:pPr>
        <w:spacing w:after="0" w:line="240" w:lineRule="auto"/>
        <w:jc w:val="both"/>
      </w:pPr>
      <w:r w:rsidRPr="009521CB">
        <w:t>(</w:t>
      </w:r>
      <w:r>
        <w:t>d</w:t>
      </w:r>
      <w:r w:rsidRPr="009521CB">
        <w:t xml:space="preserve">) </w:t>
      </w:r>
      <w:r w:rsidRPr="009521CB">
        <w:rPr>
          <w:i/>
          <w:iCs/>
        </w:rPr>
        <w:t>Effet des contraintes hydrique et saline sur la germination de quelques acacias africains</w:t>
      </w:r>
      <w:r w:rsidRPr="009521CB">
        <w:t xml:space="preserve">, </w:t>
      </w:r>
      <w:hyperlink r:id="rId4012" w:history="1">
        <w:r w:rsidRPr="009521CB">
          <w:rPr>
            <w:rStyle w:val="Lienhypertexte"/>
          </w:rPr>
          <w:t>http://horizon.documentation.ird.fr/exl-doc/pleins_textes/pleins_textes_7/divers2/010016071.pdf</w:t>
        </w:r>
      </w:hyperlink>
      <w:r w:rsidRPr="009521CB">
        <w:t xml:space="preserve"> </w:t>
      </w:r>
    </w:p>
    <w:p w14:paraId="623F9111" w14:textId="77777777" w:rsidR="00133487" w:rsidRDefault="00133487" w:rsidP="00133487">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133487" w14:paraId="3FC56CDE" w14:textId="77777777" w:rsidTr="003D7963">
        <w:tc>
          <w:tcPr>
            <w:tcW w:w="3472" w:type="dxa"/>
          </w:tcPr>
          <w:p w14:paraId="3BAD1A5C" w14:textId="77777777" w:rsidR="00133487" w:rsidRDefault="00133487" w:rsidP="003D7963">
            <w:pPr>
              <w:jc w:val="center"/>
            </w:pPr>
            <w:r w:rsidRPr="009521CB">
              <w:rPr>
                <w:noProof/>
              </w:rPr>
              <w:drawing>
                <wp:inline distT="0" distB="0" distL="0" distR="0" wp14:anchorId="1503957B" wp14:editId="458A41E3">
                  <wp:extent cx="1308100" cy="1746250"/>
                  <wp:effectExtent l="0" t="0" r="6350" b="6350"/>
                  <wp:docPr id="175111" name="Picture 2" descr="C:\Users\LISAN\Pictures\plantes invasives de Madagascar\Acacia auriculiformis4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11" name="Picture 2" descr="C:\Users\LISAN\Pictures\plantes invasives de Madagascar\Acacia auriculiformis4_s.jpg"/>
                          <pic:cNvPicPr>
                            <a:picLocks noChangeAspect="1" noChangeArrowheads="1"/>
                          </pic:cNvPicPr>
                        </pic:nvPicPr>
                        <pic:blipFill>
                          <a:blip r:embed="rId4013">
                            <a:extLst>
                              <a:ext uri="{28A0092B-C50C-407E-A947-70E740481C1C}">
                                <a14:useLocalDpi xmlns:a14="http://schemas.microsoft.com/office/drawing/2010/main" val="0"/>
                              </a:ext>
                            </a:extLst>
                          </a:blip>
                          <a:srcRect/>
                          <a:stretch>
                            <a:fillRect/>
                          </a:stretch>
                        </pic:blipFill>
                        <pic:spPr bwMode="auto">
                          <a:xfrm>
                            <a:off x="0" y="0"/>
                            <a:ext cx="1308100" cy="1746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AD90573" w14:textId="77777777" w:rsidR="00133487" w:rsidRDefault="00133487" w:rsidP="003D7963">
            <w:pPr>
              <w:jc w:val="center"/>
            </w:pPr>
          </w:p>
        </w:tc>
        <w:tc>
          <w:tcPr>
            <w:tcW w:w="3472" w:type="dxa"/>
          </w:tcPr>
          <w:p w14:paraId="72B2F84C" w14:textId="77777777" w:rsidR="00133487" w:rsidRDefault="00133487" w:rsidP="003D7963">
            <w:pPr>
              <w:jc w:val="center"/>
            </w:pPr>
            <w:r w:rsidRPr="009521CB">
              <w:rPr>
                <w:noProof/>
              </w:rPr>
              <w:drawing>
                <wp:inline distT="0" distB="0" distL="0" distR="0" wp14:anchorId="640E6FC3" wp14:editId="18E284ED">
                  <wp:extent cx="1664074" cy="1543050"/>
                  <wp:effectExtent l="0" t="0" r="0" b="0"/>
                  <wp:docPr id="175112" name="Picture 3" descr="C:\Users\LISAN\Pictures\plantes invasives de Madagascar\Acacia auriculiformis_Flowers_&amp;_leaves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12" name="Picture 3" descr="C:\Users\LISAN\Pictures\plantes invasives de Madagascar\Acacia auriculiformis_Flowers_&amp;_leaves_s.jpg"/>
                          <pic:cNvPicPr>
                            <a:picLocks noChangeAspect="1" noChangeArrowheads="1"/>
                          </pic:cNvPicPr>
                        </pic:nvPicPr>
                        <pic:blipFill>
                          <a:blip r:embed="rId4014">
                            <a:extLst>
                              <a:ext uri="{28A0092B-C50C-407E-A947-70E740481C1C}">
                                <a14:useLocalDpi xmlns:a14="http://schemas.microsoft.com/office/drawing/2010/main" val="0"/>
                              </a:ext>
                            </a:extLst>
                          </a:blip>
                          <a:srcRect/>
                          <a:stretch>
                            <a:fillRect/>
                          </a:stretch>
                        </pic:blipFill>
                        <pic:spPr bwMode="auto">
                          <a:xfrm>
                            <a:off x="0" y="0"/>
                            <a:ext cx="1665952" cy="1544792"/>
                          </a:xfrm>
                          <a:prstGeom prst="rect">
                            <a:avLst/>
                          </a:prstGeom>
                          <a:noFill/>
                          <a:ln>
                            <a:noFill/>
                          </a:ln>
                        </pic:spPr>
                      </pic:pic>
                    </a:graphicData>
                  </a:graphic>
                </wp:inline>
              </w:drawing>
            </w:r>
          </w:p>
          <w:p w14:paraId="56EC6EA0" w14:textId="77777777" w:rsidR="00133487" w:rsidRDefault="00133487" w:rsidP="003D7963">
            <w:pPr>
              <w:jc w:val="center"/>
            </w:pPr>
            <w:r>
              <w:t>Fleurs</w:t>
            </w:r>
          </w:p>
        </w:tc>
        <w:tc>
          <w:tcPr>
            <w:tcW w:w="3472" w:type="dxa"/>
          </w:tcPr>
          <w:p w14:paraId="475CC312" w14:textId="77777777" w:rsidR="00133487" w:rsidRDefault="00133487" w:rsidP="003D7963">
            <w:pPr>
              <w:jc w:val="center"/>
            </w:pPr>
            <w:r w:rsidRPr="009521CB">
              <w:rPr>
                <w:noProof/>
              </w:rPr>
              <w:drawing>
                <wp:inline distT="0" distB="0" distL="0" distR="0" wp14:anchorId="45123FF4" wp14:editId="682C54E5">
                  <wp:extent cx="1152525" cy="1309687"/>
                  <wp:effectExtent l="0" t="0" r="0" b="5080"/>
                  <wp:docPr id="175113" name="Picture 4" descr="C:\Users\LISAN\Pictures\plantes invasives de Madagascar\Acacia auriculiformis_graines_bis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13" name="Picture 4" descr="C:\Users\LISAN\Pictures\plantes invasives de Madagascar\Acacia auriculiformis_graines_bis_s.jpg"/>
                          <pic:cNvPicPr>
                            <a:picLocks noChangeAspect="1" noChangeArrowheads="1"/>
                          </pic:cNvPicPr>
                        </pic:nvPicPr>
                        <pic:blipFill>
                          <a:blip r:embed="rId4015">
                            <a:extLst>
                              <a:ext uri="{28A0092B-C50C-407E-A947-70E740481C1C}">
                                <a14:useLocalDpi xmlns:a14="http://schemas.microsoft.com/office/drawing/2010/main" val="0"/>
                              </a:ext>
                            </a:extLst>
                          </a:blip>
                          <a:srcRect/>
                          <a:stretch>
                            <a:fillRect/>
                          </a:stretch>
                        </pic:blipFill>
                        <pic:spPr bwMode="auto">
                          <a:xfrm>
                            <a:off x="0" y="0"/>
                            <a:ext cx="1152525" cy="13096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CB4664D" w14:textId="77777777" w:rsidR="00133487" w:rsidRDefault="00133487" w:rsidP="003D7963">
            <w:pPr>
              <w:jc w:val="center"/>
            </w:pPr>
            <w:r w:rsidRPr="009521CB">
              <w:t>Gousses spiralées (comme celles d’</w:t>
            </w:r>
            <w:r w:rsidRPr="009521CB">
              <w:rPr>
                <w:i/>
                <w:iCs/>
              </w:rPr>
              <w:t>A</w:t>
            </w:r>
            <w:r>
              <w:rPr>
                <w:i/>
                <w:iCs/>
              </w:rPr>
              <w:t>cacia</w:t>
            </w:r>
            <w:r w:rsidRPr="009521CB">
              <w:rPr>
                <w:i/>
                <w:iCs/>
              </w:rPr>
              <w:t xml:space="preserve"> mangium</w:t>
            </w:r>
            <w:r w:rsidRPr="009521CB">
              <w:t>).</w:t>
            </w:r>
          </w:p>
        </w:tc>
      </w:tr>
      <w:tr w:rsidR="00133487" w14:paraId="61371E8B" w14:textId="77777777" w:rsidTr="003D7963">
        <w:tc>
          <w:tcPr>
            <w:tcW w:w="3472" w:type="dxa"/>
          </w:tcPr>
          <w:p w14:paraId="13EE52C6" w14:textId="77777777" w:rsidR="00133487" w:rsidRDefault="00133487" w:rsidP="003D7963">
            <w:pPr>
              <w:jc w:val="center"/>
            </w:pPr>
            <w:r w:rsidRPr="009521CB">
              <w:rPr>
                <w:noProof/>
              </w:rPr>
              <w:drawing>
                <wp:inline distT="0" distB="0" distL="0" distR="0" wp14:anchorId="07C1CC8E" wp14:editId="30D124A0">
                  <wp:extent cx="1636713" cy="1227138"/>
                  <wp:effectExtent l="0" t="0" r="1905" b="0"/>
                  <wp:docPr id="175114" name="Picture 5" descr="C:\Users\LISAN\Pictures\plantes invasives de Madagascar\Acacia auriculiformis0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14" name="Picture 5" descr="C:\Users\LISAN\Pictures\plantes invasives de Madagascar\Acacia auriculiformis0_s.jpg"/>
                          <pic:cNvPicPr>
                            <a:picLocks noChangeAspect="1" noChangeArrowheads="1"/>
                          </pic:cNvPicPr>
                        </pic:nvPicPr>
                        <pic:blipFill>
                          <a:blip r:embed="rId4016">
                            <a:extLst>
                              <a:ext uri="{28A0092B-C50C-407E-A947-70E740481C1C}">
                                <a14:useLocalDpi xmlns:a14="http://schemas.microsoft.com/office/drawing/2010/main" val="0"/>
                              </a:ext>
                            </a:extLst>
                          </a:blip>
                          <a:srcRect/>
                          <a:stretch>
                            <a:fillRect/>
                          </a:stretch>
                        </pic:blipFill>
                        <pic:spPr bwMode="auto">
                          <a:xfrm>
                            <a:off x="0" y="0"/>
                            <a:ext cx="1636713" cy="12271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38EA2C67" w14:textId="77777777" w:rsidR="00133487" w:rsidRDefault="00133487" w:rsidP="003D7963">
            <w:pPr>
              <w:jc w:val="center"/>
            </w:pPr>
            <w:r w:rsidRPr="009521CB">
              <w:rPr>
                <w:i/>
                <w:iCs/>
              </w:rPr>
              <w:t>A</w:t>
            </w:r>
            <w:r>
              <w:rPr>
                <w:i/>
                <w:iCs/>
              </w:rPr>
              <w:t>cacia</w:t>
            </w:r>
            <w:r w:rsidRPr="009521CB">
              <w:rPr>
                <w:i/>
                <w:iCs/>
              </w:rPr>
              <w:t xml:space="preserve"> auriculiformis </w:t>
            </w:r>
            <w:r w:rsidRPr="009521CB">
              <w:t xml:space="preserve">devenant envahissant à Tsarasoa (Andringitra, Fianarantsoa), Madagascar </w:t>
            </w:r>
          </w:p>
          <w:p w14:paraId="0AB64749" w14:textId="77777777" w:rsidR="00133487" w:rsidRDefault="00133487" w:rsidP="003D7963">
            <w:pPr>
              <w:jc w:val="center"/>
            </w:pPr>
            <w:r w:rsidRPr="009521CB">
              <w:t>© Gilles Gautier</w:t>
            </w:r>
            <w:r>
              <w:t>.</w:t>
            </w:r>
          </w:p>
        </w:tc>
        <w:tc>
          <w:tcPr>
            <w:tcW w:w="3472" w:type="dxa"/>
          </w:tcPr>
          <w:p w14:paraId="0DD96329" w14:textId="77777777" w:rsidR="00133487" w:rsidRDefault="00133487" w:rsidP="003D7963">
            <w:pPr>
              <w:jc w:val="center"/>
            </w:pPr>
            <w:r w:rsidRPr="009521CB">
              <w:rPr>
                <w:noProof/>
              </w:rPr>
              <w:drawing>
                <wp:inline distT="0" distB="0" distL="0" distR="0" wp14:anchorId="6276DB13" wp14:editId="04BF56A6">
                  <wp:extent cx="1828800" cy="1371600"/>
                  <wp:effectExtent l="0" t="0" r="0" b="0"/>
                  <wp:docPr id="175115" name="Picture 6" descr="C:\Users\LISAN\Pictures\plantes invasives de Madagascar\Acacia auriculiformis1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15" name="Picture 6" descr="C:\Users\LISAN\Pictures\plantes invasives de Madagascar\Acacia auriculiformis1_s.jpg"/>
                          <pic:cNvPicPr>
                            <a:picLocks noChangeAspect="1" noChangeArrowheads="1"/>
                          </pic:cNvPicPr>
                        </pic:nvPicPr>
                        <pic:blipFill>
                          <a:blip r:embed="rId4017">
                            <a:extLst>
                              <a:ext uri="{28A0092B-C50C-407E-A947-70E740481C1C}">
                                <a14:useLocalDpi xmlns:a14="http://schemas.microsoft.com/office/drawing/2010/main" val="0"/>
                              </a:ext>
                            </a:extLst>
                          </a:blip>
                          <a:srcRect/>
                          <a:stretch>
                            <a:fillRect/>
                          </a:stretch>
                        </pic:blipFill>
                        <pic:spPr bwMode="auto">
                          <a:xfrm>
                            <a:off x="0" y="0"/>
                            <a:ext cx="1828800" cy="137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67BDD2BD" w14:textId="77777777" w:rsidR="00133487" w:rsidRDefault="00133487" w:rsidP="003D7963">
            <w:pPr>
              <w:jc w:val="center"/>
            </w:pPr>
            <w:r w:rsidRPr="009521CB">
              <w:t>© Gilles Gautier</w:t>
            </w:r>
            <w:r>
              <w:t>.</w:t>
            </w:r>
          </w:p>
        </w:tc>
        <w:tc>
          <w:tcPr>
            <w:tcW w:w="3472" w:type="dxa"/>
          </w:tcPr>
          <w:p w14:paraId="784A9B5C" w14:textId="77777777" w:rsidR="00133487" w:rsidRDefault="00133487" w:rsidP="003D7963">
            <w:pPr>
              <w:jc w:val="center"/>
            </w:pPr>
          </w:p>
        </w:tc>
      </w:tr>
    </w:tbl>
    <w:p w14:paraId="6FC2E472" w14:textId="48B1E4DF" w:rsidR="007D25C1" w:rsidRDefault="007D25C1" w:rsidP="00831733">
      <w:pPr>
        <w:spacing w:after="0" w:line="240" w:lineRule="auto"/>
      </w:pPr>
    </w:p>
    <w:p w14:paraId="6BA60AFD" w14:textId="700F0D07" w:rsidR="00831733" w:rsidRDefault="00E31768" w:rsidP="00E31768">
      <w:pPr>
        <w:pStyle w:val="Titre2"/>
      </w:pPr>
      <w:bookmarkStart w:id="386" w:name="_Toc139181676"/>
      <w:r w:rsidRPr="00E31768">
        <w:t>Acacia à bois noir ou Mimosa à bois noir (</w:t>
      </w:r>
      <w:r w:rsidRPr="00E31768">
        <w:rPr>
          <w:i/>
          <w:iCs/>
        </w:rPr>
        <w:t>Acacia melanoxylon</w:t>
      </w:r>
      <w:r w:rsidRPr="00E31768">
        <w:t>)</w:t>
      </w:r>
      <w:bookmarkEnd w:id="386"/>
    </w:p>
    <w:p w14:paraId="1ACCF491" w14:textId="6B3C5F32" w:rsidR="00831733" w:rsidRDefault="00831733" w:rsidP="00831733">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2409"/>
        <w:gridCol w:w="1985"/>
        <w:gridCol w:w="258"/>
        <w:gridCol w:w="1379"/>
      </w:tblGrid>
      <w:tr w:rsidR="00E31768" w:rsidRPr="000B6BE3" w14:paraId="5481425D" w14:textId="77777777" w:rsidTr="00E31768">
        <w:tc>
          <w:tcPr>
            <w:tcW w:w="4395" w:type="dxa"/>
          </w:tcPr>
          <w:p w14:paraId="1C9760B3" w14:textId="7A0091D1" w:rsidR="00E31768" w:rsidRDefault="00E31768" w:rsidP="003D7963">
            <w:pPr>
              <w:jc w:val="both"/>
              <w:rPr>
                <w:rFonts w:ascii="Calibri" w:hAnsi="Calibri" w:cs="Calibri"/>
                <w:bCs/>
              </w:rPr>
            </w:pPr>
            <w:r>
              <w:rPr>
                <w:rFonts w:ascii="Calibri" w:hAnsi="Calibri" w:cs="Calibri"/>
                <w:bCs/>
              </w:rPr>
              <w:t>(</w:t>
            </w:r>
            <w:r w:rsidRPr="00DE2C3A">
              <w:rPr>
                <w:rFonts w:ascii="Calibri" w:hAnsi="Calibri" w:cs="Calibri"/>
                <w:bCs/>
              </w:rPr>
              <w:t>Famille des</w:t>
            </w:r>
            <w:r>
              <w:rPr>
                <w:rFonts w:ascii="Calibri" w:hAnsi="Calibri" w:cs="Calibri"/>
              </w:rPr>
              <w:t xml:space="preserve"> </w:t>
            </w:r>
            <w:hyperlink r:id="rId4018" w:history="1">
              <w:r w:rsidRPr="00E31768">
                <w:rPr>
                  <w:rStyle w:val="Lienhypertexte"/>
                  <w:rFonts w:ascii="Calibri" w:hAnsi="Calibri" w:cs="Calibri"/>
                  <w:i/>
                  <w:iCs/>
                </w:rPr>
                <w:t>Mimosaceae</w:t>
              </w:r>
            </w:hyperlink>
            <w:r w:rsidRPr="00E31768">
              <w:rPr>
                <w:rFonts w:ascii="Calibri" w:hAnsi="Calibri" w:cs="Calibri"/>
                <w:i/>
                <w:iCs/>
              </w:rPr>
              <w:t xml:space="preserve"> ou des </w:t>
            </w:r>
            <w:hyperlink r:id="rId4019" w:history="1">
              <w:r w:rsidRPr="00E31768">
                <w:rPr>
                  <w:rStyle w:val="Lienhypertexte"/>
                  <w:rFonts w:ascii="Calibri" w:hAnsi="Calibri" w:cs="Calibri"/>
                  <w:i/>
                  <w:iCs/>
                </w:rPr>
                <w:t>Fabaceae</w:t>
              </w:r>
            </w:hyperlink>
            <w:r w:rsidRPr="00E31768">
              <w:rPr>
                <w:rFonts w:ascii="Calibri" w:hAnsi="Calibri" w:cs="Calibri"/>
                <w:i/>
                <w:iCs/>
              </w:rPr>
              <w:t> selon la classification phylogénétique</w:t>
            </w:r>
            <w:r>
              <w:rPr>
                <w:rFonts w:ascii="Calibri" w:hAnsi="Calibri" w:cs="Calibri"/>
                <w:bCs/>
              </w:rPr>
              <w:t>)</w:t>
            </w:r>
            <w:r w:rsidRPr="00DE2C3A">
              <w:rPr>
                <w:rFonts w:ascii="Calibri" w:hAnsi="Calibri" w:cs="Calibri"/>
                <w:bCs/>
              </w:rPr>
              <w:t>.</w:t>
            </w:r>
          </w:p>
          <w:p w14:paraId="7665824C" w14:textId="77777777" w:rsidR="00E31768" w:rsidRDefault="00E31768" w:rsidP="003D7963">
            <w:pPr>
              <w:jc w:val="both"/>
              <w:rPr>
                <w:rFonts w:cstheme="minorHAnsi"/>
                <w:b/>
                <w:bCs/>
                <w:color w:val="FF0000"/>
              </w:rPr>
            </w:pPr>
          </w:p>
          <w:p w14:paraId="2F44A48E" w14:textId="6C21199B" w:rsidR="00E31768" w:rsidRPr="000B6BE3" w:rsidRDefault="00E31768" w:rsidP="003D7963">
            <w:pPr>
              <w:jc w:val="both"/>
              <w:rPr>
                <w:rFonts w:cstheme="minorHAnsi"/>
              </w:rPr>
            </w:pPr>
            <w:r w:rsidRPr="00DE60FE">
              <w:rPr>
                <w:rFonts w:cstheme="minorHAnsi"/>
                <w:b/>
                <w:bCs/>
                <w:color w:val="FF0000"/>
              </w:rPr>
              <w:t xml:space="preserve">A rejeter, score: </w:t>
            </w:r>
            <w:r>
              <w:rPr>
                <w:rFonts w:cstheme="minorHAnsi"/>
                <w:b/>
                <w:bCs/>
                <w:color w:val="FF0000"/>
              </w:rPr>
              <w:t>12</w:t>
            </w:r>
            <w:r w:rsidRPr="00DE60FE">
              <w:rPr>
                <w:rFonts w:cstheme="minorHAnsi"/>
                <w:b/>
                <w:bCs/>
                <w:color w:val="FF0000"/>
              </w:rPr>
              <w:t>.</w:t>
            </w:r>
          </w:p>
        </w:tc>
        <w:tc>
          <w:tcPr>
            <w:tcW w:w="2409" w:type="dxa"/>
          </w:tcPr>
          <w:p w14:paraId="7769BAAB" w14:textId="4C7A2553" w:rsidR="00E31768" w:rsidRPr="000B6BE3" w:rsidRDefault="00E31768" w:rsidP="003D7963">
            <w:pPr>
              <w:rPr>
                <w:rFonts w:cstheme="minorHAnsi"/>
              </w:rPr>
            </w:pPr>
            <w:r w:rsidRPr="000B6BE3">
              <w:rPr>
                <w:rFonts w:cstheme="minorHAnsi"/>
                <w:noProof/>
              </w:rPr>
              <w:t xml:space="preserve">  </w:t>
            </w:r>
            <w:r>
              <w:rPr>
                <w:rFonts w:cstheme="minorHAnsi"/>
                <w:noProof/>
              </w:rPr>
              <w:t xml:space="preserve">      </w:t>
            </w:r>
            <w:r w:rsidRPr="005C50C9">
              <w:rPr>
                <w:rFonts w:cstheme="minorHAnsi"/>
                <w:noProof/>
              </w:rPr>
              <w:drawing>
                <wp:inline distT="0" distB="0" distL="0" distR="0" wp14:anchorId="68CA2FC5" wp14:editId="2F978D28">
                  <wp:extent cx="495300" cy="666750"/>
                  <wp:effectExtent l="0" t="0" r="0" b="0"/>
                  <wp:docPr id="155678" name="Image 15"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8" name="Image 15" descr="logo aride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r w:rsidRPr="008F2681">
              <w:rPr>
                <w:rFonts w:cstheme="minorHAnsi"/>
                <w:noProof/>
              </w:rPr>
              <w:drawing>
                <wp:inline distT="0" distB="0" distL="0" distR="0" wp14:anchorId="7DDBDAB3" wp14:editId="7661FAF6">
                  <wp:extent cx="463550" cy="661988"/>
                  <wp:effectExtent l="0" t="0" r="0" b="5080"/>
                  <wp:docPr id="155676"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w:t>
            </w:r>
          </w:p>
        </w:tc>
        <w:tc>
          <w:tcPr>
            <w:tcW w:w="1985" w:type="dxa"/>
          </w:tcPr>
          <w:p w14:paraId="2E2B1F38" w14:textId="77777777" w:rsidR="00E31768" w:rsidRPr="002E01BB" w:rsidRDefault="00E31768" w:rsidP="003D7963">
            <w:pPr>
              <w:rPr>
                <w:rFonts w:eastAsia="+mn-ea" w:cstheme="minorHAnsi"/>
                <w:b/>
                <w:bCs/>
                <w:color w:val="008000"/>
                <w:kern w:val="24"/>
                <w:sz w:val="56"/>
                <w:szCs w:val="56"/>
              </w:rPr>
            </w:pPr>
            <w:r w:rsidRPr="009521CB">
              <w:rPr>
                <w:rFonts w:eastAsia="+mn-ea" w:cstheme="minorHAnsi"/>
                <w:b/>
                <w:bCs/>
                <w:color w:val="008000"/>
                <w:kern w:val="24"/>
                <w:sz w:val="72"/>
                <w:szCs w:val="72"/>
              </w:rPr>
              <w:t>U</w:t>
            </w:r>
            <w:r>
              <w:rPr>
                <w:rFonts w:eastAsia="+mn-ea" w:cstheme="minorHAnsi"/>
                <w:b/>
                <w:bCs/>
                <w:color w:val="008000"/>
                <w:kern w:val="24"/>
                <w:sz w:val="56"/>
                <w:szCs w:val="56"/>
              </w:rPr>
              <w:t xml:space="preserve"> ↗↗</w:t>
            </w:r>
          </w:p>
          <w:p w14:paraId="47596CCD" w14:textId="77777777" w:rsidR="00E31768" w:rsidRPr="000B6BE3" w:rsidRDefault="00E31768" w:rsidP="003D7963">
            <w:pPr>
              <w:textAlignment w:val="baseline"/>
              <w:rPr>
                <w:rFonts w:cstheme="minorHAnsi"/>
              </w:rPr>
            </w:pPr>
          </w:p>
        </w:tc>
        <w:tc>
          <w:tcPr>
            <w:tcW w:w="258" w:type="dxa"/>
          </w:tcPr>
          <w:p w14:paraId="4CAFDCEC" w14:textId="77777777" w:rsidR="00E31768" w:rsidRPr="000B6BE3" w:rsidRDefault="00E31768" w:rsidP="003D7963">
            <w:pPr>
              <w:rPr>
                <w:rFonts w:cstheme="minorHAnsi"/>
              </w:rPr>
            </w:pPr>
          </w:p>
        </w:tc>
        <w:tc>
          <w:tcPr>
            <w:tcW w:w="1379" w:type="dxa"/>
          </w:tcPr>
          <w:p w14:paraId="11BB2B85" w14:textId="77777777" w:rsidR="00E31768" w:rsidRPr="000B6BE3" w:rsidRDefault="00E31768" w:rsidP="003D7963">
            <w:pPr>
              <w:rPr>
                <w:rFonts w:cstheme="minorHAnsi"/>
              </w:rPr>
            </w:pPr>
            <w:r w:rsidRPr="00DE60FE">
              <w:rPr>
                <w:rFonts w:cstheme="minorHAnsi"/>
                <w:noProof/>
              </w:rPr>
              <w:drawing>
                <wp:inline distT="0" distB="0" distL="0" distR="0" wp14:anchorId="27E5ABFA" wp14:editId="31034BFF">
                  <wp:extent cx="457200" cy="457200"/>
                  <wp:effectExtent l="0" t="0" r="0" b="0"/>
                  <wp:docPr id="155677" name="Picture 16" descr="C:\Users\LISAN\Pictures\Plantes fourragères\logo invasive plants5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26" name="Picture 16" descr="C:\Users\LISAN\Pictures\Plantes fourragères\logo invasive plants5_s.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061CDEAE" w14:textId="77777777" w:rsidR="00E31768" w:rsidRDefault="00E31768" w:rsidP="00831733">
      <w:pPr>
        <w:spacing w:after="0" w:line="240" w:lineRule="auto"/>
      </w:pPr>
    </w:p>
    <w:p w14:paraId="52D7EFF7" w14:textId="30CA5D13" w:rsidR="00C17BAA" w:rsidRPr="00C17BAA" w:rsidRDefault="00C17BAA" w:rsidP="00C17BAA">
      <w:pPr>
        <w:spacing w:after="0" w:line="240" w:lineRule="auto"/>
        <w:jc w:val="both"/>
      </w:pPr>
      <w:r w:rsidRPr="00C17BAA">
        <w:t>Originaire de l'est de l'</w:t>
      </w:r>
      <w:hyperlink r:id="rId4020" w:history="1">
        <w:r w:rsidRPr="00C17BAA">
          <w:rPr>
            <w:rStyle w:val="Lienhypertexte"/>
          </w:rPr>
          <w:t>Australie</w:t>
        </w:r>
      </w:hyperlink>
      <w:r w:rsidRPr="00C17BAA">
        <w:t xml:space="preserve">, c'est un arbre à croissance rapide, pouvant atteindre 45 mètres de haut. </w:t>
      </w:r>
      <w:r>
        <w:t>Son</w:t>
      </w:r>
      <w:r w:rsidRPr="00C17BAA">
        <w:t xml:space="preserve"> tronc droit a une couronne dense, pyramidale à cylindrique, voire étalée.</w:t>
      </w:r>
    </w:p>
    <w:p w14:paraId="411DC852" w14:textId="02EA6C49" w:rsidR="00C17BAA" w:rsidRPr="00C17BAA" w:rsidRDefault="00C17BAA" w:rsidP="00C17BAA">
      <w:pPr>
        <w:spacing w:after="0" w:line="240" w:lineRule="auto"/>
        <w:jc w:val="both"/>
      </w:pPr>
      <w:r w:rsidRPr="00C17BAA">
        <w:rPr>
          <w:u w:val="single"/>
        </w:rPr>
        <w:t>Habitat / écologie</w:t>
      </w:r>
      <w:r>
        <w:t xml:space="preserve"> : </w:t>
      </w:r>
      <w:r w:rsidRPr="00C17BAA">
        <w:t xml:space="preserve">Il possède un système radiculaire superficiel dense. Il s'adapte à de nombreux milieux et de climats, mais il préfère les climats frais. </w:t>
      </w:r>
      <w:r w:rsidRPr="00C17BAA">
        <w:rPr>
          <w:b/>
          <w:bCs/>
        </w:rPr>
        <w:t>Il tolère la sécheresse</w:t>
      </w:r>
      <w:r w:rsidRPr="00C17BAA">
        <w:t xml:space="preserve">, un mauvais drainage, tous les sols, </w:t>
      </w:r>
      <w:r w:rsidRPr="00C17BAA">
        <w:rPr>
          <w:b/>
          <w:bCs/>
        </w:rPr>
        <w:t>l'air salin</w:t>
      </w:r>
      <w:r w:rsidRPr="00C17BAA">
        <w:t xml:space="preserve">, les rafales, les vents froids, le brouillard, les températures extrêmes, le soleil ou l’ombre. Il se reproduit dans les estuaires, forêts naturelles, plantations forestières, plages, savanes, prairies, zones </w:t>
      </w:r>
      <w:hyperlink r:id="rId4021" w:history="1">
        <w:r w:rsidRPr="00C17BAA">
          <w:rPr>
            <w:rStyle w:val="Lienhypertexte"/>
          </w:rPr>
          <w:t>humides</w:t>
        </w:r>
      </w:hyperlink>
      <w:r w:rsidRPr="00C17BAA">
        <w:t>, </w:t>
      </w:r>
      <w:hyperlink r:id="rId4022" w:history="1">
        <w:r w:rsidRPr="00C17BAA">
          <w:rPr>
            <w:rStyle w:val="Lienhypertexte"/>
          </w:rPr>
          <w:t>riveraines</w:t>
        </w:r>
      </w:hyperlink>
      <w:r w:rsidRPr="00C17BAA">
        <w:t>, côtières, agricoles, urbaines, perturbées …</w:t>
      </w:r>
    </w:p>
    <w:p w14:paraId="5D731295" w14:textId="26489979" w:rsidR="00C17BAA" w:rsidRDefault="00C17BAA" w:rsidP="00C17BAA">
      <w:pPr>
        <w:spacing w:after="0" w:line="240" w:lineRule="auto"/>
        <w:jc w:val="both"/>
      </w:pPr>
      <w:r w:rsidRPr="00C17BAA">
        <w:rPr>
          <w:u w:val="single"/>
        </w:rPr>
        <w:t>Plante invasive</w:t>
      </w:r>
      <w:r>
        <w:t> :</w:t>
      </w:r>
      <w:r w:rsidRPr="00C17BAA">
        <w:t xml:space="preserve"> Le contrôle de sa prolifération dans les exploitations forestières est très onéreux, </w:t>
      </w:r>
    </w:p>
    <w:p w14:paraId="2E9AD9B7" w14:textId="59960277" w:rsidR="00C17BAA" w:rsidRPr="00C17BAA" w:rsidRDefault="00C17BAA" w:rsidP="00C17BAA">
      <w:pPr>
        <w:spacing w:after="0" w:line="240" w:lineRule="auto"/>
        <w:jc w:val="both"/>
      </w:pPr>
      <w:r w:rsidRPr="00C17BAA">
        <w:rPr>
          <w:u w:val="single"/>
        </w:rPr>
        <w:t>Usage</w:t>
      </w:r>
      <w:r>
        <w:t xml:space="preserve"> : </w:t>
      </w:r>
      <w:r w:rsidRPr="00C17BAA">
        <w:t>mais la valeur de son bois, sa facilité de culture et de mise en valeur sont</w:t>
      </w:r>
      <w:r>
        <w:t>,</w:t>
      </w:r>
      <w:r w:rsidRPr="00C17BAA">
        <w:t xml:space="preserve"> par contre</w:t>
      </w:r>
      <w:r>
        <w:t>,</w:t>
      </w:r>
      <w:r w:rsidRPr="00C17BAA">
        <w:t xml:space="preserve"> un avantage important.</w:t>
      </w:r>
    </w:p>
    <w:p w14:paraId="059F18DA" w14:textId="77777777" w:rsidR="00C17BAA" w:rsidRPr="00C17BAA" w:rsidRDefault="00C17BAA" w:rsidP="00C17BAA">
      <w:pPr>
        <w:spacing w:after="0" w:line="240" w:lineRule="auto"/>
      </w:pPr>
      <w:r w:rsidRPr="00C17BAA">
        <w:t xml:space="preserve">Source : a) </w:t>
      </w:r>
      <w:hyperlink r:id="rId4023" w:history="1">
        <w:r w:rsidRPr="00C17BAA">
          <w:rPr>
            <w:rStyle w:val="Lienhypertexte"/>
          </w:rPr>
          <w:t>http://fr.wikipedia.org/wiki/Mimosa_%C3%A0_bois_noir</w:t>
        </w:r>
      </w:hyperlink>
      <w:r w:rsidRPr="00C17BAA">
        <w:t xml:space="preserve">, b) </w:t>
      </w:r>
      <w:hyperlink r:id="rId4024" w:history="1">
        <w:r w:rsidRPr="00C17BAA">
          <w:rPr>
            <w:rStyle w:val="Lienhypertexte"/>
          </w:rPr>
          <w:t>http://en.wikipedia.org/wiki/Acacia_melanoxylon</w:t>
        </w:r>
      </w:hyperlink>
      <w:r w:rsidRPr="00C17BAA">
        <w:t xml:space="preserve">, </w:t>
      </w:r>
    </w:p>
    <w:p w14:paraId="43890EBB" w14:textId="77777777" w:rsidR="00C17BAA" w:rsidRPr="00C17BAA" w:rsidRDefault="00C17BAA" w:rsidP="00C17BAA">
      <w:pPr>
        <w:spacing w:after="0" w:line="240" w:lineRule="auto"/>
      </w:pPr>
      <w:r w:rsidRPr="00C17BAA">
        <w:t xml:space="preserve">c) </w:t>
      </w:r>
      <w:hyperlink r:id="rId4025" w:history="1">
        <w:r w:rsidRPr="00C17BAA">
          <w:rPr>
            <w:rStyle w:val="Lienhypertexte"/>
          </w:rPr>
          <w:t>http://www.hear.org/pier/species/acacia_melanoxylon.htm</w:t>
        </w:r>
      </w:hyperlink>
      <w:r w:rsidRPr="00C17BAA">
        <w:t xml:space="preserve"> </w:t>
      </w:r>
    </w:p>
    <w:p w14:paraId="4DFABECA" w14:textId="04F6C629" w:rsidR="00E31768" w:rsidRDefault="00E31768" w:rsidP="00831733">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C17BAA" w14:paraId="32708F72" w14:textId="77777777" w:rsidTr="00C17BAA">
        <w:tc>
          <w:tcPr>
            <w:tcW w:w="3472" w:type="dxa"/>
          </w:tcPr>
          <w:p w14:paraId="6520791A" w14:textId="306F7A97" w:rsidR="00C17BAA" w:rsidRDefault="00C17BAA" w:rsidP="00C17BAA">
            <w:pPr>
              <w:jc w:val="center"/>
            </w:pPr>
            <w:r w:rsidRPr="00C17BAA">
              <w:rPr>
                <w:noProof/>
              </w:rPr>
              <w:drawing>
                <wp:inline distT="0" distB="0" distL="0" distR="0" wp14:anchorId="3FBEBB9C" wp14:editId="133037D3">
                  <wp:extent cx="1333500" cy="1543050"/>
                  <wp:effectExtent l="0" t="0" r="0" b="0"/>
                  <wp:docPr id="178189" name="Picture 9" descr="C:\Users\LISAN\Pictures\plantes invasives de Madagascar\Acacia melanoxylon bis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89" name="Picture 9" descr="C:\Users\LISAN\Pictures\plantes invasives de Madagascar\Acacia melanoxylon bis_s.jpg"/>
                          <pic:cNvPicPr>
                            <a:picLocks noChangeAspect="1" noChangeArrowheads="1"/>
                          </pic:cNvPicPr>
                        </pic:nvPicPr>
                        <pic:blipFill>
                          <a:blip r:embed="rId4026">
                            <a:extLst>
                              <a:ext uri="{28A0092B-C50C-407E-A947-70E740481C1C}">
                                <a14:useLocalDpi xmlns:a14="http://schemas.microsoft.com/office/drawing/2010/main" val="0"/>
                              </a:ext>
                            </a:extLst>
                          </a:blip>
                          <a:srcRect/>
                          <a:stretch>
                            <a:fillRect/>
                          </a:stretch>
                        </pic:blipFill>
                        <pic:spPr bwMode="auto">
                          <a:xfrm>
                            <a:off x="0" y="0"/>
                            <a:ext cx="1333500" cy="1543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3FABBB1B" w14:textId="77777777" w:rsidR="00C17BAA" w:rsidRDefault="00C17BAA" w:rsidP="00C17BAA">
            <w:pPr>
              <w:jc w:val="center"/>
            </w:pPr>
            <w:r w:rsidRPr="00C17BAA">
              <w:rPr>
                <w:noProof/>
              </w:rPr>
              <w:drawing>
                <wp:inline distT="0" distB="0" distL="0" distR="0" wp14:anchorId="3F6EB77C" wp14:editId="1581DAAE">
                  <wp:extent cx="1143000" cy="1524000"/>
                  <wp:effectExtent l="0" t="0" r="0" b="0"/>
                  <wp:docPr id="178184" name="Picture 4" descr="C:\Users\LISAN\Pictures\plantes invasives de Madagascar\Acacia melanoxylon_(Flow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84" name="Picture 4" descr="C:\Users\LISAN\Pictures\plantes invasives de Madagascar\Acacia melanoxylon_(Flowers).jpg"/>
                          <pic:cNvPicPr>
                            <a:picLocks noChangeAspect="1" noChangeArrowheads="1"/>
                          </pic:cNvPicPr>
                        </pic:nvPicPr>
                        <pic:blipFill>
                          <a:blip r:embed="rId4027">
                            <a:extLst>
                              <a:ext uri="{28A0092B-C50C-407E-A947-70E740481C1C}">
                                <a14:useLocalDpi xmlns:a14="http://schemas.microsoft.com/office/drawing/2010/main" val="0"/>
                              </a:ext>
                            </a:extLst>
                          </a:blip>
                          <a:srcRect/>
                          <a:stretch>
                            <a:fillRect/>
                          </a:stretch>
                        </pic:blipFill>
                        <pic:spPr bwMode="auto">
                          <a:xfrm>
                            <a:off x="0" y="0"/>
                            <a:ext cx="1143000" cy="152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9D2BF13" w14:textId="17D2E39D" w:rsidR="00C17BAA" w:rsidRDefault="000248A6" w:rsidP="00C17BAA">
            <w:pPr>
              <w:jc w:val="center"/>
            </w:pPr>
            <w:r>
              <w:t>Fleurs</w:t>
            </w:r>
          </w:p>
        </w:tc>
        <w:tc>
          <w:tcPr>
            <w:tcW w:w="3472" w:type="dxa"/>
          </w:tcPr>
          <w:p w14:paraId="0DD80153" w14:textId="66713CE7" w:rsidR="00C17BAA" w:rsidRDefault="00C17BAA" w:rsidP="00C17BAA">
            <w:pPr>
              <w:jc w:val="center"/>
            </w:pPr>
            <w:r w:rsidRPr="00C17BAA">
              <w:rPr>
                <w:noProof/>
              </w:rPr>
              <w:drawing>
                <wp:inline distT="0" distB="0" distL="0" distR="0" wp14:anchorId="38512F18" wp14:editId="1D887454">
                  <wp:extent cx="1690688" cy="1123950"/>
                  <wp:effectExtent l="0" t="0" r="5080" b="0"/>
                  <wp:docPr id="178187" name="Picture 7" descr="C:\Users\LISAN\Pictures\plantes invasives de Madagascar\Acacia melanoxylon_gouss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87" name="Picture 7" descr="C:\Users\LISAN\Pictures\plantes invasives de Madagascar\Acacia melanoxylon_gousses.jpg"/>
                          <pic:cNvPicPr>
                            <a:picLocks noChangeAspect="1" noChangeArrowheads="1"/>
                          </pic:cNvPicPr>
                        </pic:nvPicPr>
                        <pic:blipFill>
                          <a:blip r:embed="rId4028">
                            <a:extLst>
                              <a:ext uri="{28A0092B-C50C-407E-A947-70E740481C1C}">
                                <a14:useLocalDpi xmlns:a14="http://schemas.microsoft.com/office/drawing/2010/main" val="0"/>
                              </a:ext>
                            </a:extLst>
                          </a:blip>
                          <a:srcRect/>
                          <a:stretch>
                            <a:fillRect/>
                          </a:stretch>
                        </pic:blipFill>
                        <pic:spPr bwMode="auto">
                          <a:xfrm>
                            <a:off x="0" y="0"/>
                            <a:ext cx="1690688" cy="1123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13A531F" w14:textId="77777777" w:rsidR="001C5653" w:rsidRDefault="001C5653" w:rsidP="00C17BAA">
            <w:pPr>
              <w:jc w:val="center"/>
            </w:pPr>
          </w:p>
          <w:p w14:paraId="3CB7BD76" w14:textId="77777777" w:rsidR="00C17BAA" w:rsidRDefault="00C17BAA" w:rsidP="00C17BAA">
            <w:pPr>
              <w:jc w:val="center"/>
            </w:pPr>
            <w:r w:rsidRPr="00C17BAA">
              <w:rPr>
                <w:noProof/>
              </w:rPr>
              <w:drawing>
                <wp:inline distT="0" distB="0" distL="0" distR="0" wp14:anchorId="5872DBEB" wp14:editId="496BA382">
                  <wp:extent cx="1143000" cy="857250"/>
                  <wp:effectExtent l="0" t="0" r="0" b="0"/>
                  <wp:docPr id="178188" name="Picture 8" descr="C:\Users\LISAN\Pictures\plantes invasives de Madagascar\Acacia melanoxylon_seeds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88" name="Picture 8" descr="C:\Users\LISAN\Pictures\plantes invasives de Madagascar\Acacia melanoxylon_seeds_1.jpg"/>
                          <pic:cNvPicPr>
                            <a:picLocks noChangeAspect="1" noChangeArrowheads="1"/>
                          </pic:cNvPicPr>
                        </pic:nvPicPr>
                        <pic:blipFill>
                          <a:blip r:embed="rId4029">
                            <a:extLst>
                              <a:ext uri="{28A0092B-C50C-407E-A947-70E740481C1C}">
                                <a14:useLocalDpi xmlns:a14="http://schemas.microsoft.com/office/drawing/2010/main" val="0"/>
                              </a:ext>
                            </a:extLst>
                          </a:blip>
                          <a:srcRect/>
                          <a:stretch>
                            <a:fillRect/>
                          </a:stretch>
                        </pic:blipFill>
                        <pic:spPr bwMode="auto">
                          <a:xfrm>
                            <a:off x="0" y="0"/>
                            <a:ext cx="1143000" cy="857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4F91392" w14:textId="2FE3D966" w:rsidR="00C17BAA" w:rsidRDefault="00C17BAA" w:rsidP="00C17BAA">
            <w:pPr>
              <w:jc w:val="center"/>
            </w:pPr>
            <w:r>
              <w:t>Gousses</w:t>
            </w:r>
          </w:p>
        </w:tc>
      </w:tr>
      <w:tr w:rsidR="00C17BAA" w14:paraId="057B099F" w14:textId="77777777" w:rsidTr="00C17BAA">
        <w:tc>
          <w:tcPr>
            <w:tcW w:w="3472" w:type="dxa"/>
          </w:tcPr>
          <w:p w14:paraId="233BE63A" w14:textId="18736D4A" w:rsidR="00C17BAA" w:rsidRDefault="00C17BAA" w:rsidP="00C17BAA">
            <w:pPr>
              <w:jc w:val="center"/>
            </w:pPr>
            <w:r w:rsidRPr="00C17BAA">
              <w:rPr>
                <w:noProof/>
              </w:rPr>
              <w:drawing>
                <wp:inline distT="0" distB="0" distL="0" distR="0" wp14:anchorId="1BCA90DC" wp14:editId="452411BA">
                  <wp:extent cx="792162" cy="1422400"/>
                  <wp:effectExtent l="0" t="0" r="8255" b="6350"/>
                  <wp:docPr id="178183" name="Picture 2" descr="C:\Users\LISAN\Pictures\plantes invasives de Madagascar\Acacia melanoxylon-b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83" name="Picture 2" descr="C:\Users\LISAN\Pictures\plantes invasives de Madagascar\Acacia melanoxylon-bark.jpg"/>
                          <pic:cNvPicPr>
                            <a:picLocks noChangeAspect="1" noChangeArrowheads="1"/>
                          </pic:cNvPicPr>
                        </pic:nvPicPr>
                        <pic:blipFill>
                          <a:blip r:embed="rId4030">
                            <a:extLst>
                              <a:ext uri="{28A0092B-C50C-407E-A947-70E740481C1C}">
                                <a14:useLocalDpi xmlns:a14="http://schemas.microsoft.com/office/drawing/2010/main" val="0"/>
                              </a:ext>
                            </a:extLst>
                          </a:blip>
                          <a:srcRect/>
                          <a:stretch>
                            <a:fillRect/>
                          </a:stretch>
                        </pic:blipFill>
                        <pic:spPr bwMode="auto">
                          <a:xfrm>
                            <a:off x="0" y="0"/>
                            <a:ext cx="792162" cy="142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t xml:space="preserve"> Tronc</w:t>
            </w:r>
          </w:p>
        </w:tc>
        <w:tc>
          <w:tcPr>
            <w:tcW w:w="3472" w:type="dxa"/>
          </w:tcPr>
          <w:p w14:paraId="1BA679A5" w14:textId="77777777" w:rsidR="00C17BAA" w:rsidRDefault="00C17BAA" w:rsidP="00C17BAA">
            <w:pPr>
              <w:jc w:val="center"/>
            </w:pPr>
            <w:r w:rsidRPr="00C17BAA">
              <w:rPr>
                <w:noProof/>
              </w:rPr>
              <w:drawing>
                <wp:inline distT="0" distB="0" distL="0" distR="0" wp14:anchorId="577D2522" wp14:editId="77066EBA">
                  <wp:extent cx="1646238" cy="1095375"/>
                  <wp:effectExtent l="0" t="0" r="0" b="0"/>
                  <wp:docPr id="178186" name="Picture 6" descr="C:\Users\LISAN\Pictures\plantes invasives de Madagascar\Acacia melanoxylon_fleu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86" name="Picture 6" descr="C:\Users\LISAN\Pictures\plantes invasives de Madagascar\Acacia melanoxylon_fleurs.jpg"/>
                          <pic:cNvPicPr>
                            <a:picLocks noChangeAspect="1" noChangeArrowheads="1"/>
                          </pic:cNvPicPr>
                        </pic:nvPicPr>
                        <pic:blipFill>
                          <a:blip r:embed="rId4031">
                            <a:extLst>
                              <a:ext uri="{28A0092B-C50C-407E-A947-70E740481C1C}">
                                <a14:useLocalDpi xmlns:a14="http://schemas.microsoft.com/office/drawing/2010/main" val="0"/>
                              </a:ext>
                            </a:extLst>
                          </a:blip>
                          <a:srcRect/>
                          <a:stretch>
                            <a:fillRect/>
                          </a:stretch>
                        </pic:blipFill>
                        <pic:spPr bwMode="auto">
                          <a:xfrm>
                            <a:off x="0" y="0"/>
                            <a:ext cx="1646238" cy="1095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BFC026E" w14:textId="3ACB6FF4" w:rsidR="00C17BAA" w:rsidRDefault="00C17BAA" w:rsidP="00C17BAA">
            <w:pPr>
              <w:jc w:val="center"/>
            </w:pPr>
            <w:r>
              <w:t>Fleurs</w:t>
            </w:r>
          </w:p>
        </w:tc>
        <w:tc>
          <w:tcPr>
            <w:tcW w:w="3472" w:type="dxa"/>
          </w:tcPr>
          <w:p w14:paraId="60D2AE96" w14:textId="77777777" w:rsidR="00C17BAA" w:rsidRDefault="00C17BAA" w:rsidP="00C17BAA">
            <w:pPr>
              <w:jc w:val="center"/>
            </w:pPr>
            <w:r w:rsidRPr="00C17BAA">
              <w:rPr>
                <w:noProof/>
              </w:rPr>
              <w:drawing>
                <wp:inline distT="0" distB="0" distL="0" distR="0" wp14:anchorId="2801F2E3" wp14:editId="6DCFACE1">
                  <wp:extent cx="1524000" cy="1143000"/>
                  <wp:effectExtent l="0" t="0" r="0" b="0"/>
                  <wp:docPr id="178185" name="Picture 5" descr="C:\Users\LISAN\Pictures\plantes invasives de Madagascar\Acacia melanoxylon_bran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85" name="Picture 5" descr="C:\Users\LISAN\Pictures\plantes invasives de Madagascar\Acacia melanoxylon_branch.jpg"/>
                          <pic:cNvPicPr>
                            <a:picLocks noChangeAspect="1" noChangeArrowheads="1"/>
                          </pic:cNvPicPr>
                        </pic:nvPicPr>
                        <pic:blipFill>
                          <a:blip r:embed="rId4032">
                            <a:extLst>
                              <a:ext uri="{28A0092B-C50C-407E-A947-70E740481C1C}">
                                <a14:useLocalDpi xmlns:a14="http://schemas.microsoft.com/office/drawing/2010/main" val="0"/>
                              </a:ext>
                            </a:extLst>
                          </a:blip>
                          <a:srcRect/>
                          <a:stretch>
                            <a:fillRect/>
                          </a:stretch>
                        </pic:blipFill>
                        <pic:spPr bwMode="auto">
                          <a:xfrm>
                            <a:off x="0" y="0"/>
                            <a:ext cx="1524000" cy="1143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DF61B1E" w14:textId="1072B629" w:rsidR="00C17BAA" w:rsidRDefault="00C17BAA" w:rsidP="00C17BAA">
            <w:pPr>
              <w:jc w:val="center"/>
            </w:pPr>
            <w:r>
              <w:t>Feui</w:t>
            </w:r>
            <w:r w:rsidR="000248A6">
              <w:t>l</w:t>
            </w:r>
            <w:r>
              <w:t>les</w:t>
            </w:r>
          </w:p>
        </w:tc>
      </w:tr>
    </w:tbl>
    <w:p w14:paraId="0A1CC0AE" w14:textId="77F58DC4" w:rsidR="00E31768" w:rsidRDefault="00E31768" w:rsidP="00C17BAA">
      <w:pPr>
        <w:spacing w:after="0" w:line="240" w:lineRule="auto"/>
      </w:pPr>
    </w:p>
    <w:p w14:paraId="224C8035" w14:textId="53EC4356" w:rsidR="00C17BAA" w:rsidRDefault="000167BC" w:rsidP="000167BC">
      <w:pPr>
        <w:pStyle w:val="Titre2"/>
      </w:pPr>
      <w:bookmarkStart w:id="387" w:name="_Toc139181677"/>
      <w:r w:rsidRPr="000167BC">
        <w:t>Coojong (</w:t>
      </w:r>
      <w:r w:rsidRPr="000167BC">
        <w:rPr>
          <w:i/>
          <w:iCs/>
        </w:rPr>
        <w:t>Acacia saligna</w:t>
      </w:r>
      <w:r w:rsidRPr="000167BC">
        <w:t>)</w:t>
      </w:r>
      <w:bookmarkEnd w:id="387"/>
    </w:p>
    <w:p w14:paraId="5AECFC79" w14:textId="29E0107C" w:rsidR="000167BC" w:rsidRDefault="000167BC" w:rsidP="000167BC">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2409"/>
        <w:gridCol w:w="1985"/>
        <w:gridCol w:w="258"/>
        <w:gridCol w:w="1379"/>
      </w:tblGrid>
      <w:tr w:rsidR="009A3C5B" w:rsidRPr="000B6BE3" w14:paraId="203D5905" w14:textId="77777777" w:rsidTr="003D7963">
        <w:tc>
          <w:tcPr>
            <w:tcW w:w="4395" w:type="dxa"/>
          </w:tcPr>
          <w:p w14:paraId="4935DE20" w14:textId="64CC76BC" w:rsidR="009A3C5B" w:rsidRDefault="009A3C5B" w:rsidP="003D7963">
            <w:pPr>
              <w:jc w:val="both"/>
              <w:rPr>
                <w:rFonts w:ascii="Calibri" w:hAnsi="Calibri" w:cs="Calibri"/>
                <w:bCs/>
              </w:rPr>
            </w:pPr>
            <w:r>
              <w:rPr>
                <w:rFonts w:ascii="Calibri" w:hAnsi="Calibri" w:cs="Calibri"/>
                <w:bCs/>
              </w:rPr>
              <w:t>(</w:t>
            </w:r>
            <w:r w:rsidRPr="00DE2C3A">
              <w:rPr>
                <w:rFonts w:ascii="Calibri" w:hAnsi="Calibri" w:cs="Calibri"/>
                <w:bCs/>
              </w:rPr>
              <w:t xml:space="preserve">Famille </w:t>
            </w:r>
            <w:r w:rsidRPr="00E31768">
              <w:rPr>
                <w:rFonts w:ascii="Calibri" w:hAnsi="Calibri" w:cs="Calibri"/>
                <w:i/>
                <w:iCs/>
              </w:rPr>
              <w:t>des </w:t>
            </w:r>
            <w:hyperlink r:id="rId4033" w:history="1">
              <w:r w:rsidRPr="00E31768">
                <w:rPr>
                  <w:rStyle w:val="Lienhypertexte"/>
                  <w:rFonts w:ascii="Calibri" w:hAnsi="Calibri" w:cs="Calibri"/>
                  <w:i/>
                  <w:iCs/>
                </w:rPr>
                <w:t>Fabaceae</w:t>
              </w:r>
            </w:hyperlink>
            <w:r>
              <w:rPr>
                <w:rFonts w:ascii="Calibri" w:hAnsi="Calibri" w:cs="Calibri"/>
                <w:bCs/>
              </w:rPr>
              <w:t>)</w:t>
            </w:r>
            <w:r w:rsidRPr="00DE2C3A">
              <w:rPr>
                <w:rFonts w:ascii="Calibri" w:hAnsi="Calibri" w:cs="Calibri"/>
                <w:bCs/>
              </w:rPr>
              <w:t>.</w:t>
            </w:r>
          </w:p>
          <w:p w14:paraId="3297507C" w14:textId="77777777" w:rsidR="009A3C5B" w:rsidRDefault="009A3C5B" w:rsidP="003D7963">
            <w:pPr>
              <w:jc w:val="both"/>
              <w:rPr>
                <w:rFonts w:cstheme="minorHAnsi"/>
                <w:b/>
                <w:bCs/>
                <w:color w:val="FF0000"/>
              </w:rPr>
            </w:pPr>
          </w:p>
          <w:p w14:paraId="71F77D3C" w14:textId="70245093" w:rsidR="009A3C5B" w:rsidRPr="000B6BE3" w:rsidRDefault="009A3C5B" w:rsidP="003D7963">
            <w:pPr>
              <w:jc w:val="both"/>
              <w:rPr>
                <w:rFonts w:cstheme="minorHAnsi"/>
              </w:rPr>
            </w:pPr>
            <w:r w:rsidRPr="009A3C5B">
              <w:rPr>
                <w:rFonts w:cstheme="minorHAnsi"/>
                <w:b/>
                <w:bCs/>
                <w:color w:val="FF0000"/>
              </w:rPr>
              <w:t>Risque élevé, score: 17 (source HEAR)</w:t>
            </w:r>
            <w:r w:rsidRPr="00DE60FE">
              <w:rPr>
                <w:rFonts w:cstheme="minorHAnsi"/>
                <w:b/>
                <w:bCs/>
                <w:color w:val="FF0000"/>
              </w:rPr>
              <w:t>.</w:t>
            </w:r>
          </w:p>
        </w:tc>
        <w:tc>
          <w:tcPr>
            <w:tcW w:w="2409" w:type="dxa"/>
          </w:tcPr>
          <w:p w14:paraId="3E8C5EFB" w14:textId="77777777" w:rsidR="009A3C5B" w:rsidRPr="000B6BE3" w:rsidRDefault="009A3C5B" w:rsidP="003D7963">
            <w:pPr>
              <w:rPr>
                <w:rFonts w:cstheme="minorHAnsi"/>
              </w:rPr>
            </w:pPr>
            <w:r w:rsidRPr="000B6BE3">
              <w:rPr>
                <w:rFonts w:cstheme="minorHAnsi"/>
                <w:noProof/>
              </w:rPr>
              <w:t xml:space="preserve">  </w:t>
            </w:r>
            <w:r>
              <w:rPr>
                <w:rFonts w:cstheme="minorHAnsi"/>
                <w:noProof/>
              </w:rPr>
              <w:t xml:space="preserve">      </w:t>
            </w:r>
            <w:r w:rsidRPr="005C50C9">
              <w:rPr>
                <w:rFonts w:cstheme="minorHAnsi"/>
                <w:noProof/>
              </w:rPr>
              <w:drawing>
                <wp:inline distT="0" distB="0" distL="0" distR="0" wp14:anchorId="6C8CC6B7" wp14:editId="6FB059A2">
                  <wp:extent cx="495300" cy="666750"/>
                  <wp:effectExtent l="0" t="0" r="0" b="0"/>
                  <wp:docPr id="155679" name="Image 15"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8" name="Image 15" descr="logo aride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r w:rsidRPr="008F2681">
              <w:rPr>
                <w:rFonts w:cstheme="minorHAnsi"/>
                <w:noProof/>
              </w:rPr>
              <w:drawing>
                <wp:inline distT="0" distB="0" distL="0" distR="0" wp14:anchorId="5B6B7F21" wp14:editId="45F908C1">
                  <wp:extent cx="463550" cy="661988"/>
                  <wp:effectExtent l="0" t="0" r="0" b="5080"/>
                  <wp:docPr id="166912"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w:t>
            </w:r>
          </w:p>
        </w:tc>
        <w:tc>
          <w:tcPr>
            <w:tcW w:w="1985" w:type="dxa"/>
          </w:tcPr>
          <w:p w14:paraId="2A24AA83" w14:textId="77777777" w:rsidR="009A3C5B" w:rsidRPr="002E01BB" w:rsidRDefault="009A3C5B" w:rsidP="003D7963">
            <w:pPr>
              <w:rPr>
                <w:rFonts w:eastAsia="+mn-ea" w:cstheme="minorHAnsi"/>
                <w:b/>
                <w:bCs/>
                <w:color w:val="008000"/>
                <w:kern w:val="24"/>
                <w:sz w:val="56"/>
                <w:szCs w:val="56"/>
              </w:rPr>
            </w:pPr>
            <w:r w:rsidRPr="009521CB">
              <w:rPr>
                <w:rFonts w:eastAsia="+mn-ea" w:cstheme="minorHAnsi"/>
                <w:b/>
                <w:bCs/>
                <w:color w:val="008000"/>
                <w:kern w:val="24"/>
                <w:sz w:val="72"/>
                <w:szCs w:val="72"/>
              </w:rPr>
              <w:t>U</w:t>
            </w:r>
            <w:r>
              <w:rPr>
                <w:rFonts w:eastAsia="+mn-ea" w:cstheme="minorHAnsi"/>
                <w:b/>
                <w:bCs/>
                <w:color w:val="008000"/>
                <w:kern w:val="24"/>
                <w:sz w:val="56"/>
                <w:szCs w:val="56"/>
              </w:rPr>
              <w:t xml:space="preserve"> ↗↗</w:t>
            </w:r>
          </w:p>
          <w:p w14:paraId="5BAE2992" w14:textId="77777777" w:rsidR="009A3C5B" w:rsidRPr="000B6BE3" w:rsidRDefault="009A3C5B" w:rsidP="003D7963">
            <w:pPr>
              <w:textAlignment w:val="baseline"/>
              <w:rPr>
                <w:rFonts w:cstheme="minorHAnsi"/>
              </w:rPr>
            </w:pPr>
          </w:p>
        </w:tc>
        <w:tc>
          <w:tcPr>
            <w:tcW w:w="258" w:type="dxa"/>
          </w:tcPr>
          <w:p w14:paraId="437DB8E7" w14:textId="77777777" w:rsidR="009A3C5B" w:rsidRPr="000B6BE3" w:rsidRDefault="009A3C5B" w:rsidP="003D7963">
            <w:pPr>
              <w:rPr>
                <w:rFonts w:cstheme="minorHAnsi"/>
              </w:rPr>
            </w:pPr>
          </w:p>
        </w:tc>
        <w:tc>
          <w:tcPr>
            <w:tcW w:w="1379" w:type="dxa"/>
          </w:tcPr>
          <w:p w14:paraId="492B6137" w14:textId="77777777" w:rsidR="009A3C5B" w:rsidRPr="000B6BE3" w:rsidRDefault="009A3C5B" w:rsidP="003D7963">
            <w:pPr>
              <w:rPr>
                <w:rFonts w:cstheme="minorHAnsi"/>
              </w:rPr>
            </w:pPr>
            <w:r w:rsidRPr="00DE60FE">
              <w:rPr>
                <w:rFonts w:cstheme="minorHAnsi"/>
                <w:noProof/>
              </w:rPr>
              <w:drawing>
                <wp:inline distT="0" distB="0" distL="0" distR="0" wp14:anchorId="7DD19FF0" wp14:editId="6DF1B37E">
                  <wp:extent cx="457200" cy="457200"/>
                  <wp:effectExtent l="0" t="0" r="0" b="0"/>
                  <wp:docPr id="166913" name="Picture 16" descr="C:\Users\LISAN\Pictures\Plantes fourragères\logo invasive plants5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26" name="Picture 16" descr="C:\Users\LISAN\Pictures\Plantes fourragères\logo invasive plants5_s.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13E54183" w14:textId="121E63DA" w:rsidR="000167BC" w:rsidRDefault="000167BC" w:rsidP="000167BC">
      <w:pPr>
        <w:spacing w:after="0" w:line="240" w:lineRule="auto"/>
        <w:jc w:val="both"/>
      </w:pPr>
    </w:p>
    <w:p w14:paraId="4DCAE5A5" w14:textId="77777777" w:rsidR="00FA0DEE" w:rsidRPr="00FA0DEE" w:rsidRDefault="00FA0DEE" w:rsidP="00FA0DEE">
      <w:pPr>
        <w:spacing w:after="0" w:line="240" w:lineRule="auto"/>
        <w:jc w:val="both"/>
      </w:pPr>
      <w:r w:rsidRPr="00FA0DEE">
        <w:rPr>
          <w:i/>
          <w:iCs/>
        </w:rPr>
        <w:t xml:space="preserve">Acacia saligna </w:t>
      </w:r>
      <w:r w:rsidRPr="00FA0DEE">
        <w:t>est un petit arbre, originaire d'Australie, au port retombant (pleureur) décoratif et très dense, atteignant jusqu'à 8 m de hauteur.</w:t>
      </w:r>
    </w:p>
    <w:p w14:paraId="5CDFF24D" w14:textId="77777777" w:rsidR="009A3C5B" w:rsidRDefault="00FA0DEE" w:rsidP="00FA0DEE">
      <w:pPr>
        <w:spacing w:after="0" w:line="240" w:lineRule="auto"/>
        <w:jc w:val="both"/>
      </w:pPr>
      <w:r w:rsidRPr="00FA0DEE">
        <w:t xml:space="preserve">Il a une floraison abondante de gros glomérules jaune souffré à orangé. Multiplication par semis et drageons. Croissance très rapide. Résistant au calcaire, </w:t>
      </w:r>
      <w:r w:rsidRPr="00FA0DEE">
        <w:rPr>
          <w:i/>
          <w:iCs/>
        </w:rPr>
        <w:t>il supporte très bien la proximité de la mer et des embruns marins</w:t>
      </w:r>
      <w:r w:rsidRPr="00FA0DEE">
        <w:t xml:space="preserve">. A la base de chaque </w:t>
      </w:r>
      <w:hyperlink r:id="rId4034" w:history="1">
        <w:r w:rsidRPr="00FA0DEE">
          <w:rPr>
            <w:rStyle w:val="Lienhypertexte"/>
          </w:rPr>
          <w:t>phyllode</w:t>
        </w:r>
      </w:hyperlink>
      <w:r w:rsidRPr="00FA0DEE">
        <w:t>, il y a un </w:t>
      </w:r>
      <w:hyperlink r:id="rId4035" w:history="1">
        <w:r w:rsidRPr="00FA0DEE">
          <w:rPr>
            <w:rStyle w:val="Lienhypertexte"/>
          </w:rPr>
          <w:t>nectaire</w:t>
        </w:r>
      </w:hyperlink>
      <w:r w:rsidRPr="00FA0DEE">
        <w:t> </w:t>
      </w:r>
      <w:hyperlink r:id="rId4036" w:history="1">
        <w:r w:rsidRPr="00FA0DEE">
          <w:rPr>
            <w:rStyle w:val="Lienhypertexte"/>
          </w:rPr>
          <w:t>glande</w:t>
        </w:r>
      </w:hyperlink>
      <w:r w:rsidRPr="00FA0DEE">
        <w:t> qui sécrète un liquide sucré, attirant les </w:t>
      </w:r>
      <w:hyperlink r:id="rId4037" w:history="1">
        <w:r w:rsidRPr="00FA0DEE">
          <w:rPr>
            <w:rStyle w:val="Lienhypertexte"/>
          </w:rPr>
          <w:t>fourmis</w:t>
        </w:r>
      </w:hyperlink>
      <w:r w:rsidRPr="00FA0DEE">
        <w:t>. Le Coojong a tendance à croître partout où le sol a été perturbé, aux côtés de nouvelles routes … Il est extrêmement vigoureux quand il est jeune, croissant souvent de plus d'un mètre, par an (jusqu’à 3 m).</w:t>
      </w:r>
    </w:p>
    <w:p w14:paraId="229F3DE8" w14:textId="77777777" w:rsidR="009A3C5B" w:rsidRDefault="009A3C5B" w:rsidP="00FA0DEE">
      <w:pPr>
        <w:spacing w:after="0" w:line="240" w:lineRule="auto"/>
        <w:jc w:val="both"/>
      </w:pPr>
      <w:r w:rsidRPr="009A3C5B">
        <w:rPr>
          <w:u w:val="single"/>
        </w:rPr>
        <w:t>Usages</w:t>
      </w:r>
      <w:r>
        <w:t> :</w:t>
      </w:r>
      <w:r w:rsidR="00FA0DEE" w:rsidRPr="00FA0DEE">
        <w:t xml:space="preserve"> Il a été utilisé pour le tannage, la végétalisation, le fourrage pour les animaux, la réhabilitation des sites miniers, le bois de chauffage, le </w:t>
      </w:r>
      <w:hyperlink r:id="rId4038" w:history="1">
        <w:r w:rsidR="00FA0DEE" w:rsidRPr="00FA0DEE">
          <w:rPr>
            <w:rStyle w:val="Lienhypertexte"/>
          </w:rPr>
          <w:t>paillis</w:t>
        </w:r>
      </w:hyperlink>
      <w:r w:rsidR="00FA0DEE" w:rsidRPr="00FA0DEE">
        <w:t>, l'agroforesterie et comme arbre décoratif. Il a été planté abondamment dans les zones semi-arides de l'Afrique, l'Amérique du Sud et au Moyen-Orient comme </w:t>
      </w:r>
      <w:hyperlink r:id="rId4039" w:history="1">
        <w:r w:rsidR="00FA0DEE" w:rsidRPr="00FA0DEE">
          <w:rPr>
            <w:rStyle w:val="Lienhypertexte"/>
          </w:rPr>
          <w:t>brise</w:t>
        </w:r>
      </w:hyperlink>
      <w:r w:rsidR="00FA0DEE" w:rsidRPr="00FA0DEE">
        <w:t>-</w:t>
      </w:r>
      <w:hyperlink r:id="rId4040" w:history="1">
        <w:r w:rsidR="00FA0DEE" w:rsidRPr="00FA0DEE">
          <w:rPr>
            <w:rStyle w:val="Lienhypertexte"/>
          </w:rPr>
          <w:t>vent</w:t>
        </w:r>
      </w:hyperlink>
      <w:r w:rsidR="00FA0DEE" w:rsidRPr="00FA0DEE">
        <w:t xml:space="preserve"> et pour la stabilisation des dunes de sable ou pour lutter contre l'érosion. </w:t>
      </w:r>
      <w:r w:rsidR="00FA0DEE" w:rsidRPr="00FA0DEE">
        <w:rPr>
          <w:i/>
          <w:iCs/>
        </w:rPr>
        <w:t>Il fixe l’azote</w:t>
      </w:r>
      <w:r w:rsidR="00FA0DEE" w:rsidRPr="00FA0DEE">
        <w:t xml:space="preserve">. Il a un système racinaire étendu. Ses semences, </w:t>
      </w:r>
      <w:r w:rsidR="00FA0DEE" w:rsidRPr="00FA0DEE">
        <w:rPr>
          <w:i/>
          <w:iCs/>
        </w:rPr>
        <w:t>très abondantes</w:t>
      </w:r>
      <w:r w:rsidR="00FA0DEE" w:rsidRPr="00FA0DEE">
        <w:t xml:space="preserve">, survivent au feu. </w:t>
      </w:r>
    </w:p>
    <w:p w14:paraId="32C5A64D" w14:textId="338D7E2A" w:rsidR="009A3C5B" w:rsidRDefault="009A3C5B" w:rsidP="00FA0DEE">
      <w:pPr>
        <w:spacing w:after="0" w:line="240" w:lineRule="auto"/>
        <w:jc w:val="both"/>
      </w:pPr>
      <w:r w:rsidRPr="009A3C5B">
        <w:rPr>
          <w:u w:val="single"/>
        </w:rPr>
        <w:t>Plante invasive</w:t>
      </w:r>
      <w:r>
        <w:t xml:space="preserve"> : </w:t>
      </w:r>
      <w:r w:rsidR="00FA0DEE" w:rsidRPr="00FA0DEE">
        <w:t xml:space="preserve">Il est devenu une </w:t>
      </w:r>
      <w:r w:rsidR="00FA0DEE" w:rsidRPr="00FA0DEE">
        <w:rPr>
          <w:i/>
          <w:iCs/>
        </w:rPr>
        <w:t>espèce envahissante</w:t>
      </w:r>
      <w:r>
        <w:rPr>
          <w:b/>
          <w:bCs/>
        </w:rPr>
        <w:t xml:space="preserve">, </w:t>
      </w:r>
      <w:r w:rsidR="00FA0DEE" w:rsidRPr="00FA0DEE">
        <w:t xml:space="preserve">hors de son aire de répartition naturelle (Afrique du Sud …). </w:t>
      </w:r>
    </w:p>
    <w:p w14:paraId="7BD8CFDE" w14:textId="5F466979" w:rsidR="00FA0DEE" w:rsidRPr="00FA0DEE" w:rsidRDefault="00FA0DEE" w:rsidP="00FA0DEE">
      <w:pPr>
        <w:spacing w:after="0" w:line="240" w:lineRule="auto"/>
        <w:jc w:val="both"/>
        <w:rPr>
          <w:lang w:val="en-GB"/>
        </w:rPr>
      </w:pPr>
      <w:r w:rsidRPr="00411177">
        <w:rPr>
          <w:u w:val="single"/>
          <w:lang w:val="en-GB"/>
        </w:rPr>
        <w:t xml:space="preserve">Noms </w:t>
      </w:r>
      <w:r w:rsidR="009A3C5B" w:rsidRPr="00411177">
        <w:rPr>
          <w:u w:val="single"/>
          <w:lang w:val="en-GB"/>
        </w:rPr>
        <w:t>anglais</w:t>
      </w:r>
      <w:r w:rsidR="009A3C5B">
        <w:rPr>
          <w:lang w:val="en-GB"/>
        </w:rPr>
        <w:t xml:space="preserve"> </w:t>
      </w:r>
      <w:r w:rsidRPr="00FA0DEE">
        <w:rPr>
          <w:lang w:val="en-GB"/>
        </w:rPr>
        <w:t xml:space="preserve">: </w:t>
      </w:r>
      <w:r w:rsidRPr="00FA0DEE">
        <w:rPr>
          <w:lang w:val="en-US"/>
        </w:rPr>
        <w:t>coojong, golden wreath wattle, orange wattle, blue-leafed wattle, Western Australian golden wattle, et en Afrique, Port Jackson willow.</w:t>
      </w:r>
      <w:r w:rsidRPr="00FA0DEE">
        <w:rPr>
          <w:b/>
          <w:bCs/>
          <w:lang w:val="en-US"/>
        </w:rPr>
        <w:t xml:space="preserve"> </w:t>
      </w:r>
      <w:r w:rsidRPr="00FA0DEE">
        <w:rPr>
          <w:lang w:val="en-US"/>
        </w:rPr>
        <w:t xml:space="preserve">Source : </w:t>
      </w:r>
      <w:hyperlink r:id="rId4041" w:history="1">
        <w:r w:rsidRPr="00FA0DEE">
          <w:rPr>
            <w:rStyle w:val="Lienhypertexte"/>
            <w:lang w:val="en-US"/>
          </w:rPr>
          <w:t>https://en.wikipedia.org/wiki/Acacia_saligna</w:t>
        </w:r>
      </w:hyperlink>
      <w:r w:rsidRPr="00FA0DEE">
        <w:rPr>
          <w:lang w:val="en-US"/>
        </w:rPr>
        <w:t xml:space="preserve"> </w:t>
      </w:r>
    </w:p>
    <w:p w14:paraId="32E94B55" w14:textId="77777777" w:rsidR="00FA0DEE" w:rsidRPr="009A3C5B" w:rsidRDefault="00FA0DEE" w:rsidP="000167BC">
      <w:pPr>
        <w:spacing w:after="0" w:line="240" w:lineRule="auto"/>
        <w:jc w:val="both"/>
        <w:rPr>
          <w:lang w:val="en-G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2"/>
        <w:gridCol w:w="4184"/>
      </w:tblGrid>
      <w:tr w:rsidR="009A3C5B" w14:paraId="0C13D1DF" w14:textId="77777777" w:rsidTr="009A3C5B">
        <w:tc>
          <w:tcPr>
            <w:tcW w:w="6232" w:type="dxa"/>
          </w:tcPr>
          <w:p w14:paraId="52950131" w14:textId="6BA65C0B" w:rsidR="009A3C5B" w:rsidRDefault="009A3C5B" w:rsidP="009A3C5B">
            <w:pPr>
              <w:jc w:val="center"/>
              <w:rPr>
                <w:lang w:val="en-GB"/>
              </w:rPr>
            </w:pPr>
            <w:r w:rsidRPr="009A3C5B">
              <w:rPr>
                <w:noProof/>
              </w:rPr>
              <w:drawing>
                <wp:inline distT="0" distB="0" distL="0" distR="0" wp14:anchorId="3952B0C3" wp14:editId="00D995BA">
                  <wp:extent cx="2690943" cy="1790700"/>
                  <wp:effectExtent l="0" t="0" r="0" b="0"/>
                  <wp:docPr id="166914"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6"/>
                          <pic:cNvPicPr>
                            <a:picLocks noChangeAspect="1"/>
                          </pic:cNvPicPr>
                        </pic:nvPicPr>
                        <pic:blipFill>
                          <a:blip r:embed="rId4042">
                            <a:extLst>
                              <a:ext uri="{28A0092B-C50C-407E-A947-70E740481C1C}">
                                <a14:useLocalDpi xmlns:a14="http://schemas.microsoft.com/office/drawing/2010/main" val="0"/>
                              </a:ext>
                            </a:extLst>
                          </a:blip>
                          <a:stretch>
                            <a:fillRect/>
                          </a:stretch>
                        </pic:blipFill>
                        <pic:spPr>
                          <a:xfrm>
                            <a:off x="0" y="0"/>
                            <a:ext cx="2698195" cy="1795526"/>
                          </a:xfrm>
                          <a:prstGeom prst="rect">
                            <a:avLst/>
                          </a:prstGeom>
                        </pic:spPr>
                      </pic:pic>
                    </a:graphicData>
                  </a:graphic>
                </wp:inline>
              </w:drawing>
            </w:r>
            <w:r>
              <w:rPr>
                <w:lang w:val="en-GB"/>
              </w:rPr>
              <w:t xml:space="preserve">  </w:t>
            </w:r>
            <w:r w:rsidRPr="009A3C5B">
              <w:rPr>
                <w:noProof/>
              </w:rPr>
              <w:drawing>
                <wp:inline distT="0" distB="0" distL="0" distR="0" wp14:anchorId="585026D7" wp14:editId="15EEF6F3">
                  <wp:extent cx="1015138" cy="1224136"/>
                  <wp:effectExtent l="0" t="0" r="0" b="0"/>
                  <wp:docPr id="166916"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3"/>
                          <pic:cNvPicPr>
                            <a:picLocks noChangeAspect="1"/>
                          </pic:cNvPicPr>
                        </pic:nvPicPr>
                        <pic:blipFill>
                          <a:blip r:embed="rId4043">
                            <a:extLst>
                              <a:ext uri="{28A0092B-C50C-407E-A947-70E740481C1C}">
                                <a14:useLocalDpi xmlns:a14="http://schemas.microsoft.com/office/drawing/2010/main" val="0"/>
                              </a:ext>
                            </a:extLst>
                          </a:blip>
                          <a:stretch>
                            <a:fillRect/>
                          </a:stretch>
                        </pic:blipFill>
                        <pic:spPr>
                          <a:xfrm>
                            <a:off x="0" y="0"/>
                            <a:ext cx="1015138" cy="1224136"/>
                          </a:xfrm>
                          <a:prstGeom prst="rect">
                            <a:avLst/>
                          </a:prstGeom>
                        </pic:spPr>
                      </pic:pic>
                    </a:graphicData>
                  </a:graphic>
                </wp:inline>
              </w:drawing>
            </w:r>
          </w:p>
        </w:tc>
        <w:tc>
          <w:tcPr>
            <w:tcW w:w="4184" w:type="dxa"/>
          </w:tcPr>
          <w:p w14:paraId="395BA69E" w14:textId="5585E61D" w:rsidR="009A3C5B" w:rsidRDefault="009A3C5B" w:rsidP="009A3C5B">
            <w:pPr>
              <w:jc w:val="center"/>
              <w:rPr>
                <w:lang w:val="en-GB"/>
              </w:rPr>
            </w:pPr>
            <w:r w:rsidRPr="009A3C5B">
              <w:rPr>
                <w:noProof/>
              </w:rPr>
              <w:drawing>
                <wp:inline distT="0" distB="0" distL="0" distR="0" wp14:anchorId="0CD9C65F" wp14:editId="199BEA34">
                  <wp:extent cx="2390775" cy="1914525"/>
                  <wp:effectExtent l="0" t="0" r="9525" b="9525"/>
                  <wp:docPr id="1669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5"/>
                          <pic:cNvPicPr>
                            <a:picLocks noChangeAspect="1"/>
                          </pic:cNvPicPr>
                        </pic:nvPicPr>
                        <pic:blipFill>
                          <a:blip r:embed="rId4044">
                            <a:extLst>
                              <a:ext uri="{28A0092B-C50C-407E-A947-70E740481C1C}">
                                <a14:useLocalDpi xmlns:a14="http://schemas.microsoft.com/office/drawing/2010/main" val="0"/>
                              </a:ext>
                            </a:extLst>
                          </a:blip>
                          <a:stretch>
                            <a:fillRect/>
                          </a:stretch>
                        </pic:blipFill>
                        <pic:spPr>
                          <a:xfrm>
                            <a:off x="0" y="0"/>
                            <a:ext cx="2390775" cy="1914525"/>
                          </a:xfrm>
                          <a:prstGeom prst="rect">
                            <a:avLst/>
                          </a:prstGeom>
                        </pic:spPr>
                      </pic:pic>
                    </a:graphicData>
                  </a:graphic>
                </wp:inline>
              </w:drawing>
            </w:r>
          </w:p>
        </w:tc>
      </w:tr>
      <w:tr w:rsidR="009A3C5B" w:rsidRPr="009A3C5B" w14:paraId="1A04F4AB" w14:textId="77777777" w:rsidTr="009A3C5B">
        <w:tc>
          <w:tcPr>
            <w:tcW w:w="6232" w:type="dxa"/>
          </w:tcPr>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3"/>
              <w:gridCol w:w="3003"/>
            </w:tblGrid>
            <w:tr w:rsidR="009A3C5B" w:rsidRPr="009A3C5B" w14:paraId="098D5B28" w14:textId="77777777" w:rsidTr="009A3C5B">
              <w:tc>
                <w:tcPr>
                  <w:tcW w:w="3003" w:type="dxa"/>
                </w:tcPr>
                <w:p w14:paraId="3189AE84" w14:textId="77777777" w:rsidR="009A3C5B" w:rsidRDefault="009A3C5B" w:rsidP="009A3C5B">
                  <w:pPr>
                    <w:jc w:val="center"/>
                  </w:pPr>
                  <w:r w:rsidRPr="009A3C5B">
                    <w:rPr>
                      <w:noProof/>
                    </w:rPr>
                    <w:drawing>
                      <wp:inline distT="0" distB="0" distL="0" distR="0" wp14:anchorId="4A617405" wp14:editId="17ACC1B4">
                        <wp:extent cx="1143000" cy="857250"/>
                        <wp:effectExtent l="0" t="0" r="0" b="0"/>
                        <wp:docPr id="166917"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19"/>
                                <pic:cNvPicPr>
                                  <a:picLocks noChangeAspect="1"/>
                                </pic:cNvPicPr>
                              </pic:nvPicPr>
                              <pic:blipFill>
                                <a:blip r:embed="rId4045">
                                  <a:extLst>
                                    <a:ext uri="{28A0092B-C50C-407E-A947-70E740481C1C}">
                                      <a14:useLocalDpi xmlns:a14="http://schemas.microsoft.com/office/drawing/2010/main" val="0"/>
                                    </a:ext>
                                  </a:extLst>
                                </a:blip>
                                <a:stretch>
                                  <a:fillRect/>
                                </a:stretch>
                              </pic:blipFill>
                              <pic:spPr>
                                <a:xfrm>
                                  <a:off x="0" y="0"/>
                                  <a:ext cx="1143000" cy="857250"/>
                                </a:xfrm>
                                <a:prstGeom prst="rect">
                                  <a:avLst/>
                                </a:prstGeom>
                              </pic:spPr>
                            </pic:pic>
                          </a:graphicData>
                        </a:graphic>
                      </wp:inline>
                    </w:drawing>
                  </w:r>
                </w:p>
                <w:p w14:paraId="7CC7B0F3" w14:textId="10FF69C7" w:rsidR="009A3C5B" w:rsidRPr="009A3C5B" w:rsidRDefault="009A3C5B" w:rsidP="009A3C5B">
                  <w:pPr>
                    <w:jc w:val="center"/>
                  </w:pPr>
                  <w:r w:rsidRPr="009A3C5B">
                    <w:t>On peut lutter contre sa prolifération, par un champignon de type galle (</w:t>
                  </w:r>
                  <w:hyperlink r:id="rId4046" w:history="1">
                    <w:r w:rsidRPr="009A3C5B">
                      <w:rPr>
                        <w:rStyle w:val="Lienhypertexte"/>
                        <w:i/>
                        <w:iCs/>
                      </w:rPr>
                      <w:t>Uromycladium</w:t>
                    </w:r>
                  </w:hyperlink>
                  <w:hyperlink r:id="rId4047" w:history="1">
                    <w:r w:rsidRPr="009A3C5B">
                      <w:rPr>
                        <w:rStyle w:val="Lienhypertexte"/>
                        <w:i/>
                        <w:iCs/>
                      </w:rPr>
                      <w:t xml:space="preserve"> </w:t>
                    </w:r>
                  </w:hyperlink>
                  <w:hyperlink r:id="rId4048" w:history="1">
                    <w:r w:rsidRPr="009A3C5B">
                      <w:rPr>
                        <w:rStyle w:val="Lienhypertexte"/>
                        <w:i/>
                        <w:iCs/>
                      </w:rPr>
                      <w:t>tepperianum</w:t>
                    </w:r>
                  </w:hyperlink>
                  <w:r w:rsidRPr="009A3C5B">
                    <w:t>)</w:t>
                  </w:r>
                </w:p>
              </w:tc>
              <w:tc>
                <w:tcPr>
                  <w:tcW w:w="3003" w:type="dxa"/>
                </w:tcPr>
                <w:p w14:paraId="5D08ABB8" w14:textId="77777777" w:rsidR="009A3C5B" w:rsidRDefault="009A3C5B" w:rsidP="009A3C5B">
                  <w:pPr>
                    <w:jc w:val="center"/>
                  </w:pPr>
                  <w:r w:rsidRPr="009A3C5B">
                    <w:rPr>
                      <w:noProof/>
                    </w:rPr>
                    <w:drawing>
                      <wp:inline distT="0" distB="0" distL="0" distR="0" wp14:anchorId="2AE9FE4E" wp14:editId="6DCDC648">
                        <wp:extent cx="893412" cy="702817"/>
                        <wp:effectExtent l="0" t="0" r="2540" b="2540"/>
                        <wp:docPr id="166918"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 20"/>
                                <pic:cNvPicPr>
                                  <a:picLocks noChangeAspect="1"/>
                                </pic:cNvPicPr>
                              </pic:nvPicPr>
                              <pic:blipFill>
                                <a:blip r:embed="rId4049">
                                  <a:extLst>
                                    <a:ext uri="{28A0092B-C50C-407E-A947-70E740481C1C}">
                                      <a14:useLocalDpi xmlns:a14="http://schemas.microsoft.com/office/drawing/2010/main" val="0"/>
                                    </a:ext>
                                  </a:extLst>
                                </a:blip>
                                <a:stretch>
                                  <a:fillRect/>
                                </a:stretch>
                              </pic:blipFill>
                              <pic:spPr>
                                <a:xfrm>
                                  <a:off x="0" y="0"/>
                                  <a:ext cx="893412" cy="702817"/>
                                </a:xfrm>
                                <a:prstGeom prst="rect">
                                  <a:avLst/>
                                </a:prstGeom>
                              </pic:spPr>
                            </pic:pic>
                          </a:graphicData>
                        </a:graphic>
                      </wp:inline>
                    </w:drawing>
                  </w:r>
                </w:p>
                <w:p w14:paraId="13DC67F8" w14:textId="2A781E3A" w:rsidR="009A3C5B" w:rsidRPr="009A3C5B" w:rsidRDefault="009A3C5B" w:rsidP="009A3C5B">
                  <w:pPr>
                    <w:jc w:val="center"/>
                  </w:pPr>
                  <w:r w:rsidRPr="009A3C5B">
                    <w:t>et par un charançon</w:t>
                  </w:r>
                  <w:r>
                    <w:t>,</w:t>
                  </w:r>
                  <w:r w:rsidRPr="009A3C5B">
                    <w:t xml:space="preserve"> qui s’attaque à sa graine (</w:t>
                  </w:r>
                  <w:hyperlink r:id="rId4050" w:history="1">
                    <w:r w:rsidRPr="009A3C5B">
                      <w:rPr>
                        <w:rStyle w:val="Lienhypertexte"/>
                        <w:i/>
                        <w:iCs/>
                      </w:rPr>
                      <w:t>Melanterius</w:t>
                    </w:r>
                  </w:hyperlink>
                  <w:r w:rsidRPr="009A3C5B">
                    <w:t> </w:t>
                  </w:r>
                  <w:r w:rsidRPr="009A3C5B">
                    <w:rPr>
                      <w:i/>
                      <w:iCs/>
                    </w:rPr>
                    <w:t>sp.</w:t>
                  </w:r>
                  <w:r w:rsidRPr="009A3C5B">
                    <w:t>)</w:t>
                  </w:r>
                </w:p>
              </w:tc>
            </w:tr>
          </w:tbl>
          <w:p w14:paraId="6F66FCA6" w14:textId="3651B1F3" w:rsidR="009A3C5B" w:rsidRPr="009A3C5B" w:rsidRDefault="009A3C5B" w:rsidP="009A3C5B">
            <w:pPr>
              <w:jc w:val="center"/>
            </w:pPr>
          </w:p>
        </w:tc>
        <w:tc>
          <w:tcPr>
            <w:tcW w:w="4184" w:type="dxa"/>
          </w:tcPr>
          <w:p w14:paraId="5CF765B0" w14:textId="5FCFABF1" w:rsidR="009A3C5B" w:rsidRPr="009A3C5B" w:rsidRDefault="009A3C5B" w:rsidP="009A3C5B">
            <w:pPr>
              <w:jc w:val="center"/>
            </w:pPr>
            <w:r>
              <w:rPr>
                <w:noProof/>
              </w:rPr>
              <w:drawing>
                <wp:inline distT="0" distB="0" distL="0" distR="0" wp14:anchorId="35E9CA2D" wp14:editId="7E3EF2B9">
                  <wp:extent cx="2365375" cy="1419225"/>
                  <wp:effectExtent l="0" t="0" r="0" b="9525"/>
                  <wp:docPr id="166921" name="Image 166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51">
                            <a:extLst>
                              <a:ext uri="{28A0092B-C50C-407E-A947-70E740481C1C}">
                                <a14:useLocalDpi xmlns:a14="http://schemas.microsoft.com/office/drawing/2010/main" val="0"/>
                              </a:ext>
                            </a:extLst>
                          </a:blip>
                          <a:srcRect/>
                          <a:stretch>
                            <a:fillRect/>
                          </a:stretch>
                        </pic:blipFill>
                        <pic:spPr bwMode="auto">
                          <a:xfrm>
                            <a:off x="0" y="0"/>
                            <a:ext cx="2365375" cy="1419225"/>
                          </a:xfrm>
                          <a:prstGeom prst="rect">
                            <a:avLst/>
                          </a:prstGeom>
                          <a:noFill/>
                          <a:ln>
                            <a:noFill/>
                          </a:ln>
                        </pic:spPr>
                      </pic:pic>
                    </a:graphicData>
                  </a:graphic>
                </wp:inline>
              </w:drawing>
            </w:r>
          </w:p>
        </w:tc>
      </w:tr>
    </w:tbl>
    <w:p w14:paraId="2A570630" w14:textId="2A6E0EDD" w:rsidR="009A3C5B" w:rsidRDefault="009A3C5B" w:rsidP="00AF7711">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51"/>
        <w:gridCol w:w="4075"/>
      </w:tblGrid>
      <w:tr w:rsidR="009A3C5B" w14:paraId="4DA149CA" w14:textId="77777777" w:rsidTr="00AF7711">
        <w:tc>
          <w:tcPr>
            <w:tcW w:w="5208" w:type="dxa"/>
          </w:tcPr>
          <w:p w14:paraId="7EBEA094" w14:textId="5D8FB1D5" w:rsidR="009A3C5B" w:rsidRPr="009A3C5B" w:rsidRDefault="009A3C5B" w:rsidP="00EC7965">
            <w:pPr>
              <w:jc w:val="center"/>
            </w:pPr>
            <w:r w:rsidRPr="009A3C5B">
              <w:rPr>
                <w:noProof/>
              </w:rPr>
              <w:drawing>
                <wp:inline distT="0" distB="0" distL="0" distR="0" wp14:anchorId="6CA62B51" wp14:editId="22337A91">
                  <wp:extent cx="3895725" cy="2921794"/>
                  <wp:effectExtent l="0" t="0" r="0" b="0"/>
                  <wp:docPr id="166920" name="Image 17" descr="Une image contenant texte, différent,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20" name="Image 17" descr="Une image contenant texte, différent, plante&#10;&#10;Description générée automatiquement"/>
                          <pic:cNvPicPr>
                            <a:picLocks noChangeAspect="1"/>
                          </pic:cNvPicPr>
                        </pic:nvPicPr>
                        <pic:blipFill>
                          <a:blip r:embed="rId4052">
                            <a:extLst>
                              <a:ext uri="{28A0092B-C50C-407E-A947-70E740481C1C}">
                                <a14:useLocalDpi xmlns:a14="http://schemas.microsoft.com/office/drawing/2010/main" val="0"/>
                              </a:ext>
                            </a:extLst>
                          </a:blip>
                          <a:stretch>
                            <a:fillRect/>
                          </a:stretch>
                        </pic:blipFill>
                        <pic:spPr>
                          <a:xfrm>
                            <a:off x="0" y="0"/>
                            <a:ext cx="3898570" cy="2923928"/>
                          </a:xfrm>
                          <a:prstGeom prst="rect">
                            <a:avLst/>
                          </a:prstGeom>
                        </pic:spPr>
                      </pic:pic>
                    </a:graphicData>
                  </a:graphic>
                </wp:inline>
              </w:drawing>
            </w:r>
          </w:p>
        </w:tc>
        <w:tc>
          <w:tcPr>
            <w:tcW w:w="5208" w:type="dxa"/>
          </w:tcPr>
          <w:p w14:paraId="3CC51D0E" w14:textId="77777777" w:rsidR="009A3C5B" w:rsidRDefault="009A3C5B" w:rsidP="00EC7965">
            <w:pPr>
              <w:jc w:val="center"/>
            </w:pPr>
            <w:r>
              <w:rPr>
                <w:noProof/>
              </w:rPr>
              <w:drawing>
                <wp:inline distT="0" distB="0" distL="0" distR="0" wp14:anchorId="19188026" wp14:editId="1ECC52B9">
                  <wp:extent cx="2381250" cy="2867025"/>
                  <wp:effectExtent l="0" t="0" r="0" b="9525"/>
                  <wp:docPr id="166922" name="Image 166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53">
                            <a:extLst>
                              <a:ext uri="{28A0092B-C50C-407E-A947-70E740481C1C}">
                                <a14:useLocalDpi xmlns:a14="http://schemas.microsoft.com/office/drawing/2010/main" val="0"/>
                              </a:ext>
                            </a:extLst>
                          </a:blip>
                          <a:srcRect/>
                          <a:stretch>
                            <a:fillRect/>
                          </a:stretch>
                        </pic:blipFill>
                        <pic:spPr bwMode="auto">
                          <a:xfrm>
                            <a:off x="0" y="0"/>
                            <a:ext cx="2381250" cy="2867025"/>
                          </a:xfrm>
                          <a:prstGeom prst="rect">
                            <a:avLst/>
                          </a:prstGeom>
                          <a:noFill/>
                          <a:ln>
                            <a:noFill/>
                          </a:ln>
                        </pic:spPr>
                      </pic:pic>
                    </a:graphicData>
                  </a:graphic>
                </wp:inline>
              </w:drawing>
            </w:r>
          </w:p>
          <w:p w14:paraId="722341D4" w14:textId="48B2A077" w:rsidR="00AF7711" w:rsidRDefault="00AF7711" w:rsidP="00EC7965">
            <w:pPr>
              <w:jc w:val="center"/>
            </w:pPr>
            <w:r>
              <w:t>Feuilles et fleurs.</w:t>
            </w:r>
          </w:p>
        </w:tc>
      </w:tr>
    </w:tbl>
    <w:p w14:paraId="5B3CFAF1" w14:textId="76E5B955" w:rsidR="009A3C5B" w:rsidRDefault="009A3C5B" w:rsidP="00EC7965">
      <w:pPr>
        <w:spacing w:after="0" w:line="240" w:lineRule="auto"/>
      </w:pPr>
    </w:p>
    <w:p w14:paraId="6603F35A" w14:textId="5FCA657C" w:rsidR="00EC7965" w:rsidRPr="00EC7965" w:rsidRDefault="00EC7965" w:rsidP="00EC7965">
      <w:pPr>
        <w:pStyle w:val="Titre2"/>
        <w:rPr>
          <w:lang w:val="es-AR"/>
        </w:rPr>
      </w:pPr>
      <w:bookmarkStart w:id="388" w:name="_Toc139181678"/>
      <w:r w:rsidRPr="00EC7965">
        <w:rPr>
          <w:lang w:val="es-AR"/>
        </w:rPr>
        <w:t>Épine de Jérusalem</w:t>
      </w:r>
      <w:r w:rsidR="0031251F">
        <w:rPr>
          <w:lang w:val="es-AR"/>
        </w:rPr>
        <w:t xml:space="preserve"> ou Palo verde</w:t>
      </w:r>
      <w:r w:rsidRPr="00EC7965">
        <w:rPr>
          <w:lang w:val="es-AR"/>
        </w:rPr>
        <w:t xml:space="preserve"> (</w:t>
      </w:r>
      <w:r w:rsidRPr="00EC7965">
        <w:rPr>
          <w:i/>
          <w:iCs/>
          <w:lang w:val="es-AR"/>
        </w:rPr>
        <w:t>Parkinsonia aculeata</w:t>
      </w:r>
      <w:r w:rsidRPr="00EC7965">
        <w:rPr>
          <w:lang w:val="es-AR"/>
        </w:rPr>
        <w:t>)</w:t>
      </w:r>
      <w:bookmarkEnd w:id="388"/>
    </w:p>
    <w:p w14:paraId="3B5EA738" w14:textId="6180CEEC" w:rsidR="009A3C5B" w:rsidRDefault="009A3C5B" w:rsidP="00EC7965">
      <w:pPr>
        <w:spacing w:after="0" w:line="240" w:lineRule="auto"/>
        <w:jc w:val="both"/>
        <w:rPr>
          <w:lang w:val="es-AR"/>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1"/>
        <w:gridCol w:w="3119"/>
        <w:gridCol w:w="1984"/>
        <w:gridCol w:w="954"/>
      </w:tblGrid>
      <w:tr w:rsidR="000F4D22" w:rsidRPr="000B6BE3" w14:paraId="3CDAAD32" w14:textId="77777777" w:rsidTr="000F4D22">
        <w:tc>
          <w:tcPr>
            <w:tcW w:w="4111" w:type="dxa"/>
          </w:tcPr>
          <w:p w14:paraId="7FB767A7" w14:textId="77777777" w:rsidR="000F4D22" w:rsidRDefault="000F4D22" w:rsidP="003D7963">
            <w:pPr>
              <w:jc w:val="both"/>
              <w:rPr>
                <w:rFonts w:ascii="Calibri" w:hAnsi="Calibri" w:cs="Calibri"/>
                <w:bCs/>
              </w:rPr>
            </w:pPr>
            <w:r>
              <w:rPr>
                <w:rFonts w:ascii="Calibri" w:hAnsi="Calibri" w:cs="Calibri"/>
                <w:bCs/>
              </w:rPr>
              <w:t>(</w:t>
            </w:r>
            <w:r w:rsidRPr="00DE2C3A">
              <w:rPr>
                <w:rFonts w:ascii="Calibri" w:hAnsi="Calibri" w:cs="Calibri"/>
                <w:bCs/>
              </w:rPr>
              <w:t xml:space="preserve">Famille </w:t>
            </w:r>
            <w:r w:rsidRPr="00E31768">
              <w:rPr>
                <w:rFonts w:ascii="Calibri" w:hAnsi="Calibri" w:cs="Calibri"/>
                <w:i/>
                <w:iCs/>
              </w:rPr>
              <w:t>des </w:t>
            </w:r>
            <w:hyperlink r:id="rId4054" w:history="1">
              <w:r w:rsidRPr="00E31768">
                <w:rPr>
                  <w:rStyle w:val="Lienhypertexte"/>
                  <w:rFonts w:ascii="Calibri" w:hAnsi="Calibri" w:cs="Calibri"/>
                  <w:i/>
                  <w:iCs/>
                </w:rPr>
                <w:t>Fabaceae</w:t>
              </w:r>
            </w:hyperlink>
            <w:r>
              <w:rPr>
                <w:rFonts w:ascii="Calibri" w:hAnsi="Calibri" w:cs="Calibri"/>
                <w:bCs/>
              </w:rPr>
              <w:t>)</w:t>
            </w:r>
            <w:r w:rsidRPr="00DE2C3A">
              <w:rPr>
                <w:rFonts w:ascii="Calibri" w:hAnsi="Calibri" w:cs="Calibri"/>
                <w:bCs/>
              </w:rPr>
              <w:t>.</w:t>
            </w:r>
          </w:p>
          <w:p w14:paraId="3A10686E" w14:textId="77777777" w:rsidR="000F4D22" w:rsidRDefault="000F4D22" w:rsidP="003D7963">
            <w:pPr>
              <w:jc w:val="both"/>
              <w:rPr>
                <w:rFonts w:cstheme="minorHAnsi"/>
                <w:b/>
                <w:bCs/>
                <w:color w:val="FF0000"/>
              </w:rPr>
            </w:pPr>
          </w:p>
          <w:p w14:paraId="22831A0E" w14:textId="0887572C" w:rsidR="000F4D22" w:rsidRPr="000B6BE3" w:rsidRDefault="000F4D22" w:rsidP="003D7963">
            <w:pPr>
              <w:jc w:val="both"/>
              <w:rPr>
                <w:rFonts w:cstheme="minorHAnsi"/>
              </w:rPr>
            </w:pPr>
            <w:r w:rsidRPr="009A3C5B">
              <w:rPr>
                <w:rFonts w:cstheme="minorHAnsi"/>
                <w:b/>
                <w:bCs/>
                <w:color w:val="FF0000"/>
              </w:rPr>
              <w:t>Risque élevé, score: 1</w:t>
            </w:r>
            <w:r>
              <w:rPr>
                <w:rFonts w:cstheme="minorHAnsi"/>
                <w:b/>
                <w:bCs/>
                <w:color w:val="FF0000"/>
              </w:rPr>
              <w:t>5-20</w:t>
            </w:r>
            <w:r w:rsidRPr="009A3C5B">
              <w:rPr>
                <w:rFonts w:cstheme="minorHAnsi"/>
                <w:b/>
                <w:bCs/>
                <w:color w:val="FF0000"/>
              </w:rPr>
              <w:t xml:space="preserve"> (source HEAR)</w:t>
            </w:r>
            <w:r w:rsidRPr="00DE60FE">
              <w:rPr>
                <w:rFonts w:cstheme="minorHAnsi"/>
                <w:b/>
                <w:bCs/>
                <w:color w:val="FF0000"/>
              </w:rPr>
              <w:t>.</w:t>
            </w:r>
          </w:p>
        </w:tc>
        <w:tc>
          <w:tcPr>
            <w:tcW w:w="3119" w:type="dxa"/>
          </w:tcPr>
          <w:p w14:paraId="1A8B599D" w14:textId="3BDCE494" w:rsidR="000F4D22" w:rsidRPr="000B6BE3" w:rsidRDefault="000F4D22" w:rsidP="003D7963">
            <w:pPr>
              <w:rPr>
                <w:rFonts w:cstheme="minorHAnsi"/>
              </w:rPr>
            </w:pPr>
            <w:r w:rsidRPr="000B6BE3">
              <w:rPr>
                <w:rFonts w:cstheme="minorHAnsi"/>
                <w:noProof/>
              </w:rPr>
              <w:t xml:space="preserve">  </w:t>
            </w:r>
            <w:r>
              <w:rPr>
                <w:rFonts w:cstheme="minorHAnsi"/>
                <w:noProof/>
              </w:rPr>
              <w:t xml:space="preserve">      </w:t>
            </w:r>
            <w:r w:rsidRPr="005C50C9">
              <w:rPr>
                <w:rFonts w:cstheme="minorHAnsi"/>
                <w:noProof/>
              </w:rPr>
              <w:drawing>
                <wp:inline distT="0" distB="0" distL="0" distR="0" wp14:anchorId="2C33265D" wp14:editId="41539766">
                  <wp:extent cx="495300" cy="666750"/>
                  <wp:effectExtent l="0" t="0" r="0" b="0"/>
                  <wp:docPr id="166923" name="Image 15"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8" name="Image 15" descr="logo aride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r w:rsidRPr="008F2681">
              <w:rPr>
                <w:rFonts w:cstheme="minorHAnsi"/>
                <w:noProof/>
              </w:rPr>
              <w:drawing>
                <wp:inline distT="0" distB="0" distL="0" distR="0" wp14:anchorId="3EE4072F" wp14:editId="4CF47BD4">
                  <wp:extent cx="463550" cy="661988"/>
                  <wp:effectExtent l="0" t="0" r="0" b="5080"/>
                  <wp:docPr id="166924"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r w:rsidRPr="00853ED0">
              <w:rPr>
                <w:noProof/>
              </w:rPr>
              <w:drawing>
                <wp:inline distT="0" distB="0" distL="0" distR="0" wp14:anchorId="295B144F" wp14:editId="2626EB19">
                  <wp:extent cx="400050" cy="352425"/>
                  <wp:effectExtent l="0" t="0" r="0" b="9525"/>
                  <wp:docPr id="156676" name="Image 21">
                    <a:extLst xmlns:a="http://schemas.openxmlformats.org/drawingml/2006/main">
                      <a:ext uri="{FF2B5EF4-FFF2-40B4-BE49-F238E27FC236}">
                        <a16:creationId xmlns:a16="http://schemas.microsoft.com/office/drawing/2014/main" id="{F52353B3-AA67-41AB-ACE3-C9465695F4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3" name="Image 21">
                            <a:extLst>
                              <a:ext uri="{FF2B5EF4-FFF2-40B4-BE49-F238E27FC236}">
                                <a16:creationId xmlns:a16="http://schemas.microsoft.com/office/drawing/2014/main" id="{F52353B3-AA67-41AB-ACE3-C9465695F4BE}"/>
                              </a:ext>
                            </a:extLst>
                          </pic:cNvPr>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984" w:type="dxa"/>
          </w:tcPr>
          <w:p w14:paraId="6EF99D4C" w14:textId="77777777" w:rsidR="000F4D22" w:rsidRPr="002E01BB" w:rsidRDefault="000F4D22" w:rsidP="003D7963">
            <w:pPr>
              <w:rPr>
                <w:rFonts w:eastAsia="+mn-ea" w:cstheme="minorHAnsi"/>
                <w:b/>
                <w:bCs/>
                <w:color w:val="008000"/>
                <w:kern w:val="24"/>
                <w:sz w:val="56"/>
                <w:szCs w:val="56"/>
              </w:rPr>
            </w:pPr>
            <w:r w:rsidRPr="009521CB">
              <w:rPr>
                <w:rFonts w:eastAsia="+mn-ea" w:cstheme="minorHAnsi"/>
                <w:b/>
                <w:bCs/>
                <w:color w:val="008000"/>
                <w:kern w:val="24"/>
                <w:sz w:val="72"/>
                <w:szCs w:val="72"/>
              </w:rPr>
              <w:t>U</w:t>
            </w:r>
            <w:r>
              <w:rPr>
                <w:rFonts w:eastAsia="+mn-ea" w:cstheme="minorHAnsi"/>
                <w:b/>
                <w:bCs/>
                <w:color w:val="008000"/>
                <w:kern w:val="24"/>
                <w:sz w:val="56"/>
                <w:szCs w:val="56"/>
              </w:rPr>
              <w:t xml:space="preserve"> ↗↗</w:t>
            </w:r>
          </w:p>
          <w:p w14:paraId="79144E76" w14:textId="77777777" w:rsidR="000F4D22" w:rsidRPr="000B6BE3" w:rsidRDefault="000F4D22" w:rsidP="003D7963">
            <w:pPr>
              <w:textAlignment w:val="baseline"/>
              <w:rPr>
                <w:rFonts w:cstheme="minorHAnsi"/>
              </w:rPr>
            </w:pPr>
          </w:p>
        </w:tc>
        <w:tc>
          <w:tcPr>
            <w:tcW w:w="954" w:type="dxa"/>
          </w:tcPr>
          <w:p w14:paraId="4503C649" w14:textId="77777777" w:rsidR="000F4D22" w:rsidRPr="000B6BE3" w:rsidRDefault="000F4D22" w:rsidP="003D7963">
            <w:pPr>
              <w:rPr>
                <w:rFonts w:cstheme="minorHAnsi"/>
              </w:rPr>
            </w:pPr>
            <w:r w:rsidRPr="00DE60FE">
              <w:rPr>
                <w:rFonts w:cstheme="minorHAnsi"/>
                <w:noProof/>
              </w:rPr>
              <w:drawing>
                <wp:inline distT="0" distB="0" distL="0" distR="0" wp14:anchorId="5A3F411E" wp14:editId="47B1F237">
                  <wp:extent cx="457200" cy="457200"/>
                  <wp:effectExtent l="0" t="0" r="0" b="0"/>
                  <wp:docPr id="166925" name="Picture 16" descr="C:\Users\LISAN\Pictures\Plantes fourragères\logo invasive plants5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26" name="Picture 16" descr="C:\Users\LISAN\Pictures\Plantes fourragères\logo invasive plants5_s.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258F2627" w14:textId="589FBD6B" w:rsidR="0031251F" w:rsidRDefault="0031251F" w:rsidP="00EC7965">
      <w:pPr>
        <w:spacing w:after="0" w:line="240" w:lineRule="auto"/>
        <w:jc w:val="both"/>
        <w:rPr>
          <w:lang w:val="es-AR"/>
        </w:rPr>
      </w:pPr>
    </w:p>
    <w:p w14:paraId="0332A1D1" w14:textId="72A41CE3" w:rsidR="0031251F" w:rsidRDefault="0031251F" w:rsidP="00EC7965">
      <w:pPr>
        <w:spacing w:after="0" w:line="240" w:lineRule="auto"/>
        <w:jc w:val="both"/>
      </w:pPr>
      <w:r w:rsidRPr="0031251F">
        <w:t>C’est u</w:t>
      </w:r>
      <w:r>
        <w:t xml:space="preserve">n petit arbre </w:t>
      </w:r>
      <w:r w:rsidRPr="000F4D22">
        <w:rPr>
          <w:i/>
          <w:iCs/>
        </w:rPr>
        <w:t>épineux</w:t>
      </w:r>
      <w:r>
        <w:t xml:space="preserve">, de </w:t>
      </w:r>
      <w:r w:rsidRPr="0031251F">
        <w:t>2 à 8 m (6,6 à 26,2 pi) de haut, avec une hauteur maximale de 10 mètres (33 pi).</w:t>
      </w:r>
    </w:p>
    <w:p w14:paraId="01F2125D" w14:textId="441F5E5E" w:rsidR="0031251F" w:rsidRDefault="0031251F" w:rsidP="0031251F">
      <w:pPr>
        <w:pStyle w:val="NormalWeb"/>
        <w:shd w:val="clear" w:color="auto" w:fill="FFFFFF"/>
        <w:spacing w:before="0" w:beforeAutospacing="0" w:after="0" w:afterAutospacing="0"/>
        <w:jc w:val="both"/>
        <w:rPr>
          <w:rFonts w:ascii="Calibri" w:hAnsi="Calibri" w:cs="Calibri"/>
          <w:sz w:val="22"/>
          <w:szCs w:val="22"/>
        </w:rPr>
      </w:pPr>
      <w:r w:rsidRPr="0031251F">
        <w:rPr>
          <w:rFonts w:ascii="Calibri" w:hAnsi="Calibri" w:cs="Calibri"/>
          <w:sz w:val="22"/>
          <w:szCs w:val="22"/>
          <w:u w:val="single"/>
        </w:rPr>
        <w:t>Description</w:t>
      </w:r>
      <w:r w:rsidRPr="0031251F">
        <w:rPr>
          <w:rFonts w:ascii="Calibri" w:hAnsi="Calibri" w:cs="Calibri"/>
          <w:sz w:val="22"/>
          <w:szCs w:val="22"/>
        </w:rPr>
        <w:t> : Palo verde peut avoir des tiges simples ou multiples et de nombreuses branches avec des feuilles pendantes. Les </w:t>
      </w:r>
      <w:hyperlink r:id="rId4055" w:tooltip="Feuille" w:history="1">
        <w:r w:rsidRPr="0031251F">
          <w:rPr>
            <w:rStyle w:val="Lienhypertexte"/>
            <w:rFonts w:ascii="Calibri" w:hAnsi="Calibri" w:cs="Calibri"/>
            <w:color w:val="0645AD"/>
            <w:sz w:val="22"/>
            <w:szCs w:val="22"/>
            <w:u w:val="none"/>
          </w:rPr>
          <w:t>feuilles</w:t>
        </w:r>
      </w:hyperlink>
      <w:r w:rsidRPr="0031251F">
        <w:rPr>
          <w:rFonts w:ascii="Calibri" w:hAnsi="Calibri" w:cs="Calibri"/>
          <w:color w:val="202122"/>
          <w:sz w:val="22"/>
          <w:szCs w:val="22"/>
        </w:rPr>
        <w:t> </w:t>
      </w:r>
      <w:r w:rsidRPr="0031251F">
        <w:rPr>
          <w:rFonts w:ascii="Calibri" w:hAnsi="Calibri" w:cs="Calibri"/>
          <w:sz w:val="22"/>
          <w:szCs w:val="22"/>
        </w:rPr>
        <w:t>et les tiges sont </w:t>
      </w:r>
      <w:hyperlink r:id="rId4056" w:tooltip="Trichome" w:history="1">
        <w:r w:rsidRPr="0031251F">
          <w:rPr>
            <w:rStyle w:val="Lienhypertexte"/>
            <w:rFonts w:ascii="Calibri" w:hAnsi="Calibri" w:cs="Calibri"/>
            <w:color w:val="0645AD"/>
            <w:sz w:val="22"/>
            <w:szCs w:val="22"/>
            <w:u w:val="none"/>
          </w:rPr>
          <w:t>glabres</w:t>
        </w:r>
      </w:hyperlink>
      <w:r w:rsidRPr="0031251F">
        <w:rPr>
          <w:rFonts w:ascii="Calibri" w:hAnsi="Calibri" w:cs="Calibri"/>
          <w:color w:val="202122"/>
          <w:sz w:val="22"/>
          <w:szCs w:val="22"/>
        </w:rPr>
        <w:t>. </w:t>
      </w:r>
      <w:r w:rsidRPr="0031251F">
        <w:rPr>
          <w:rFonts w:ascii="Calibri" w:hAnsi="Calibri" w:cs="Calibri"/>
          <w:sz w:val="22"/>
          <w:szCs w:val="22"/>
        </w:rPr>
        <w:t>Les feuilles sont alternes et pennées (15 à 20 cm de long). Le </w:t>
      </w:r>
      <w:hyperlink r:id="rId4057" w:tooltip="Pétiole (botanique)" w:history="1">
        <w:r w:rsidRPr="0031251F">
          <w:rPr>
            <w:rStyle w:val="Lienhypertexte"/>
            <w:rFonts w:ascii="Calibri" w:hAnsi="Calibri" w:cs="Calibri"/>
            <w:color w:val="auto"/>
            <w:sz w:val="22"/>
            <w:szCs w:val="22"/>
            <w:u w:val="none"/>
          </w:rPr>
          <w:t>pétiole</w:t>
        </w:r>
      </w:hyperlink>
      <w:r w:rsidRPr="0031251F">
        <w:rPr>
          <w:rFonts w:ascii="Calibri" w:hAnsi="Calibri" w:cs="Calibri"/>
          <w:sz w:val="22"/>
          <w:szCs w:val="22"/>
        </w:rPr>
        <w:t> </w:t>
      </w:r>
      <w:r w:rsidRPr="0031251F">
        <w:rPr>
          <w:rFonts w:ascii="Calibri" w:hAnsi="Calibri" w:cs="Calibri"/>
          <w:color w:val="202122"/>
          <w:sz w:val="22"/>
          <w:szCs w:val="22"/>
        </w:rPr>
        <w:t>aplati est bordé par deux rangées de 25 à 30 minuscules folioles ovales ; les folioles sont rapidement </w:t>
      </w:r>
      <w:hyperlink r:id="rId4058" w:tooltip="À feuilles caduques" w:history="1">
        <w:r w:rsidRPr="0031251F">
          <w:rPr>
            <w:rStyle w:val="Lienhypertexte"/>
            <w:rFonts w:ascii="Calibri" w:hAnsi="Calibri" w:cs="Calibri"/>
            <w:color w:val="0645AD"/>
            <w:sz w:val="22"/>
            <w:szCs w:val="22"/>
            <w:u w:val="none"/>
          </w:rPr>
          <w:t>caduques</w:t>
        </w:r>
      </w:hyperlink>
      <w:r w:rsidRPr="0031251F">
        <w:rPr>
          <w:rFonts w:ascii="Calibri" w:hAnsi="Calibri" w:cs="Calibri"/>
          <w:color w:val="202122"/>
          <w:sz w:val="22"/>
          <w:szCs w:val="22"/>
        </w:rPr>
        <w:t> </w:t>
      </w:r>
      <w:r w:rsidRPr="0031251F">
        <w:rPr>
          <w:rFonts w:ascii="Calibri" w:hAnsi="Calibri" w:cs="Calibri"/>
          <w:sz w:val="22"/>
          <w:szCs w:val="22"/>
        </w:rPr>
        <w:t>par temps sec (et pendant l'hiver dans certaines régions) laissant les pétioles verts et les branches faire la </w:t>
      </w:r>
      <w:hyperlink r:id="rId4059" w:tooltip="Photosynthèse" w:history="1">
        <w:r w:rsidRPr="0031251F">
          <w:rPr>
            <w:rStyle w:val="Lienhypertexte"/>
            <w:rFonts w:ascii="Calibri" w:hAnsi="Calibri" w:cs="Calibri"/>
            <w:color w:val="0645AD"/>
            <w:sz w:val="22"/>
            <w:szCs w:val="22"/>
            <w:u w:val="none"/>
          </w:rPr>
          <w:t>photosynthèse</w:t>
        </w:r>
      </w:hyperlink>
      <w:r w:rsidRPr="0031251F">
        <w:rPr>
          <w:rFonts w:ascii="Calibri" w:hAnsi="Calibri" w:cs="Calibri"/>
          <w:color w:val="202122"/>
          <w:sz w:val="22"/>
          <w:szCs w:val="22"/>
        </w:rPr>
        <w:t>.</w:t>
      </w:r>
      <w:r>
        <w:rPr>
          <w:rFonts w:ascii="Calibri" w:hAnsi="Calibri" w:cs="Calibri"/>
          <w:color w:val="202122"/>
          <w:sz w:val="22"/>
          <w:szCs w:val="22"/>
        </w:rPr>
        <w:t xml:space="preserve"> </w:t>
      </w:r>
      <w:r w:rsidRPr="0031251F">
        <w:rPr>
          <w:rFonts w:ascii="Calibri" w:hAnsi="Calibri" w:cs="Calibri"/>
          <w:sz w:val="22"/>
          <w:szCs w:val="22"/>
        </w:rPr>
        <w:t>Les branches poussent des </w:t>
      </w:r>
      <w:hyperlink r:id="rId4060" w:tooltip="Épines, épines et piquants" w:history="1">
        <w:r w:rsidRPr="0031251F">
          <w:rPr>
            <w:rStyle w:val="Lienhypertexte"/>
            <w:rFonts w:ascii="Calibri" w:hAnsi="Calibri" w:cs="Calibri"/>
            <w:color w:val="0645AD"/>
            <w:sz w:val="22"/>
            <w:szCs w:val="22"/>
            <w:u w:val="none"/>
          </w:rPr>
          <w:t>épines</w:t>
        </w:r>
      </w:hyperlink>
      <w:r w:rsidRPr="0031251F">
        <w:rPr>
          <w:rFonts w:ascii="Calibri" w:hAnsi="Calibri" w:cs="Calibri"/>
          <w:color w:val="202122"/>
          <w:sz w:val="22"/>
          <w:szCs w:val="22"/>
        </w:rPr>
        <w:t> </w:t>
      </w:r>
      <w:r w:rsidRPr="0031251F">
        <w:rPr>
          <w:rFonts w:ascii="Calibri" w:hAnsi="Calibri" w:cs="Calibri"/>
          <w:sz w:val="22"/>
          <w:szCs w:val="22"/>
        </w:rPr>
        <w:t>doubles ou triples de 7 à 12 mm (0,28 à 0,47 po) de long à l'aisselle des feuilles.</w:t>
      </w:r>
      <w:r w:rsidRPr="0031251F">
        <w:rPr>
          <w:rFonts w:ascii="Calibri" w:hAnsi="Calibri" w:cs="Calibri"/>
          <w:color w:val="202122"/>
          <w:sz w:val="22"/>
          <w:szCs w:val="22"/>
        </w:rPr>
        <w:t> </w:t>
      </w:r>
      <w:r w:rsidRPr="0031251F">
        <w:rPr>
          <w:rFonts w:ascii="Calibri" w:hAnsi="Calibri" w:cs="Calibri"/>
          <w:sz w:val="22"/>
          <w:szCs w:val="22"/>
        </w:rPr>
        <w:t>Les </w:t>
      </w:r>
      <w:hyperlink r:id="rId4061" w:tooltip="Fleur" w:history="1">
        <w:r w:rsidRPr="0031251F">
          <w:rPr>
            <w:rStyle w:val="Lienhypertexte"/>
            <w:rFonts w:ascii="Calibri" w:hAnsi="Calibri" w:cs="Calibri"/>
            <w:color w:val="0645AD"/>
            <w:sz w:val="22"/>
            <w:szCs w:val="22"/>
            <w:u w:val="none"/>
          </w:rPr>
          <w:t>fleurs</w:t>
        </w:r>
      </w:hyperlink>
      <w:r w:rsidRPr="0031251F">
        <w:rPr>
          <w:rFonts w:ascii="Calibri" w:hAnsi="Calibri" w:cs="Calibri"/>
          <w:color w:val="202122"/>
          <w:sz w:val="22"/>
          <w:szCs w:val="22"/>
        </w:rPr>
        <w:t> </w:t>
      </w:r>
      <w:r w:rsidRPr="0031251F">
        <w:rPr>
          <w:rFonts w:ascii="Calibri" w:hAnsi="Calibri" w:cs="Calibri"/>
          <w:sz w:val="22"/>
          <w:szCs w:val="22"/>
        </w:rPr>
        <w:t xml:space="preserve">sont jaune-orange et </w:t>
      </w:r>
      <w:r w:rsidRPr="0031251F">
        <w:rPr>
          <w:rFonts w:ascii="Calibri" w:hAnsi="Calibri" w:cs="Calibri"/>
          <w:i/>
          <w:iCs/>
          <w:sz w:val="22"/>
          <w:szCs w:val="22"/>
        </w:rPr>
        <w:t>parfumées</w:t>
      </w:r>
      <w:r w:rsidRPr="0031251F">
        <w:rPr>
          <w:rFonts w:ascii="Calibri" w:hAnsi="Calibri" w:cs="Calibri"/>
          <w:sz w:val="22"/>
          <w:szCs w:val="22"/>
        </w:rPr>
        <w:t xml:space="preserve">, 20 mm (0,79 in) de diamètre, poussant à partir d'une longue tige mince en groupes de huit à dix. Ils ont cinq sépales et cinq pétales, dont quatre plus clairs et ovales rhomboïdes, le cinquième allongé, avec des taches jaunes et violettes plus chaudes à la base. La période de floraison se situe au milieu du printemps (mars-avril ou septembre-octobre). Les fleurs sont pollinisées par les </w:t>
      </w:r>
      <w:r w:rsidRPr="0031251F">
        <w:rPr>
          <w:rFonts w:ascii="Calibri" w:hAnsi="Calibri" w:cs="Calibri"/>
          <w:color w:val="202122"/>
          <w:sz w:val="22"/>
          <w:szCs w:val="22"/>
        </w:rPr>
        <w:t>abeilles. Le </w:t>
      </w:r>
      <w:hyperlink r:id="rId4062" w:tooltip="Fruit" w:history="1">
        <w:r w:rsidRPr="0031251F">
          <w:rPr>
            <w:rStyle w:val="Lienhypertexte"/>
            <w:rFonts w:ascii="Calibri" w:hAnsi="Calibri" w:cs="Calibri"/>
            <w:color w:val="0645AD"/>
            <w:sz w:val="22"/>
            <w:szCs w:val="22"/>
            <w:u w:val="none"/>
          </w:rPr>
          <w:t>fruit</w:t>
        </w:r>
      </w:hyperlink>
      <w:r w:rsidRPr="0031251F">
        <w:rPr>
          <w:rFonts w:ascii="Calibri" w:hAnsi="Calibri" w:cs="Calibri"/>
          <w:color w:val="202122"/>
          <w:sz w:val="22"/>
          <w:szCs w:val="22"/>
        </w:rPr>
        <w:t> est une </w:t>
      </w:r>
      <w:hyperlink r:id="rId4063" w:tooltip="Légumineuse" w:history="1">
        <w:r w:rsidRPr="0031251F">
          <w:rPr>
            <w:rStyle w:val="Lienhypertexte"/>
            <w:rFonts w:ascii="Calibri" w:hAnsi="Calibri" w:cs="Calibri"/>
            <w:color w:val="0645AD"/>
            <w:sz w:val="22"/>
            <w:szCs w:val="22"/>
            <w:u w:val="none"/>
          </w:rPr>
          <w:t>gousse</w:t>
        </w:r>
      </w:hyperlink>
      <w:r w:rsidRPr="0031251F">
        <w:rPr>
          <w:rFonts w:ascii="Calibri" w:hAnsi="Calibri" w:cs="Calibri"/>
          <w:color w:val="202122"/>
          <w:sz w:val="22"/>
          <w:szCs w:val="22"/>
        </w:rPr>
        <w:t xml:space="preserve">, </w:t>
      </w:r>
      <w:r w:rsidRPr="0031251F">
        <w:rPr>
          <w:rFonts w:ascii="Calibri" w:hAnsi="Calibri" w:cs="Calibri"/>
          <w:sz w:val="22"/>
          <w:szCs w:val="22"/>
        </w:rPr>
        <w:t>d'aspect coriace, brun clair à maturité.</w:t>
      </w:r>
    </w:p>
    <w:p w14:paraId="02741624" w14:textId="699A14AD" w:rsidR="005649F7" w:rsidRPr="0031251F" w:rsidRDefault="005649F7" w:rsidP="0031251F">
      <w:pPr>
        <w:pStyle w:val="NormalWeb"/>
        <w:shd w:val="clear" w:color="auto" w:fill="FFFFFF"/>
        <w:spacing w:before="0" w:beforeAutospacing="0" w:after="0" w:afterAutospacing="0"/>
        <w:jc w:val="both"/>
        <w:rPr>
          <w:rFonts w:ascii="Calibri" w:hAnsi="Calibri" w:cs="Calibri"/>
          <w:sz w:val="22"/>
          <w:szCs w:val="22"/>
        </w:rPr>
      </w:pPr>
      <w:r w:rsidRPr="005649F7">
        <w:rPr>
          <w:rFonts w:ascii="Calibri" w:hAnsi="Calibri" w:cs="Calibri"/>
          <w:sz w:val="22"/>
          <w:szCs w:val="22"/>
          <w:u w:val="single"/>
        </w:rPr>
        <w:t>Habitat</w:t>
      </w:r>
      <w:r>
        <w:rPr>
          <w:rFonts w:ascii="Calibri" w:hAnsi="Calibri" w:cs="Calibri"/>
          <w:sz w:val="22"/>
          <w:szCs w:val="22"/>
        </w:rPr>
        <w:t xml:space="preserve"> : </w:t>
      </w:r>
      <w:r w:rsidRPr="005649F7">
        <w:rPr>
          <w:rFonts w:ascii="Calibri" w:hAnsi="Calibri" w:cs="Calibri"/>
          <w:i/>
          <w:iCs/>
          <w:sz w:val="22"/>
          <w:szCs w:val="22"/>
        </w:rPr>
        <w:t>L’arbre a une grande tolérance à la sécheresse</w:t>
      </w:r>
      <w:r w:rsidRPr="005649F7">
        <w:rPr>
          <w:rFonts w:ascii="Calibri" w:hAnsi="Calibri" w:cs="Calibri"/>
          <w:sz w:val="22"/>
          <w:szCs w:val="22"/>
        </w:rPr>
        <w:t xml:space="preserve">, atteignant simplement une taille </w:t>
      </w:r>
      <w:r>
        <w:rPr>
          <w:rFonts w:ascii="Calibri" w:hAnsi="Calibri" w:cs="Calibri"/>
          <w:sz w:val="22"/>
          <w:szCs w:val="22"/>
        </w:rPr>
        <w:t>plus petite</w:t>
      </w:r>
      <w:r w:rsidRPr="005649F7">
        <w:rPr>
          <w:rFonts w:ascii="Calibri" w:hAnsi="Calibri" w:cs="Calibri"/>
          <w:sz w:val="22"/>
          <w:szCs w:val="22"/>
        </w:rPr>
        <w:t>. Dans les environnements humides et riches en humus, il devient un arbre d'ombrage plus grand et étalé. Cette plante préfère une exposition au plein soleil, mais peut pousser sur une large gamme de sols secs (dunes de sable, sols argileux, alcalins et calcaires, etc.), à une altitude de 0 à 1 500 mètres (0 à 4 921 pieds) au-dessus du niveau de la mer.</w:t>
      </w:r>
    </w:p>
    <w:p w14:paraId="70BDE88B" w14:textId="763D1C01" w:rsidR="00AE0A59" w:rsidRDefault="00B91AEE" w:rsidP="00EC7965">
      <w:pPr>
        <w:spacing w:after="0" w:line="240" w:lineRule="auto"/>
        <w:jc w:val="both"/>
      </w:pPr>
      <w:r>
        <w:rPr>
          <w:u w:val="single"/>
        </w:rPr>
        <w:t xml:space="preserve">Ecologie / </w:t>
      </w:r>
      <w:r w:rsidR="0031251F" w:rsidRPr="0031251F">
        <w:rPr>
          <w:u w:val="single"/>
        </w:rPr>
        <w:t>Espèce invasive</w:t>
      </w:r>
      <w:r w:rsidR="0031251F">
        <w:t xml:space="preserve"> : </w:t>
      </w:r>
      <w:r w:rsidR="000A1AAF" w:rsidRPr="000A1AAF">
        <w:t>Elle prospère dans les zones tropicales semi-arides à subhumides.</w:t>
      </w:r>
      <w:r w:rsidR="000A1AAF">
        <w:t xml:space="preserve"> </w:t>
      </w:r>
      <w:r w:rsidR="0010374B">
        <w:t>Elle</w:t>
      </w:r>
      <w:r w:rsidR="0010374B" w:rsidRPr="0010374B">
        <w:t xml:space="preserve"> est une espèce envahissante majeure en Australie, dans certaines parties de l'Afrique tropicale, Hawaï et d'autres îles de l'océan Pacifique telle que la Nouvelle-Calédonie. </w:t>
      </w:r>
      <w:r w:rsidR="00AE0A59" w:rsidRPr="00AE0A59">
        <w:t>En Nouvelle-Calédonie, le Code de l'environnement de la Province Sud interdit l’introduction dans la nature de cette espèce ainsi que sa production, son transport, son utilisation, son colportage, sa cession, sa mise en vente, sa vente ou son achat.</w:t>
      </w:r>
    </w:p>
    <w:p w14:paraId="1CF51E50" w14:textId="022E1D8B" w:rsidR="0031251F" w:rsidRDefault="0010374B" w:rsidP="00EC7965">
      <w:pPr>
        <w:spacing w:after="0" w:line="240" w:lineRule="auto"/>
        <w:jc w:val="both"/>
      </w:pPr>
      <w:r w:rsidRPr="0010374B">
        <w:t xml:space="preserve">L’Épine de Jérusalem forme des fourrés denses, empêchant l'accès des cours d'eau aux humains, aux animaux indigènes et au bétail. </w:t>
      </w:r>
      <w:r w:rsidR="00AE0A59" w:rsidRPr="00AE0A59">
        <w:t xml:space="preserve">Le feuillage est rarement brouté par le bétail en raison des </w:t>
      </w:r>
      <w:r w:rsidR="00AE0A59" w:rsidRPr="000F4D22">
        <w:rPr>
          <w:i/>
          <w:iCs/>
        </w:rPr>
        <w:t>épines</w:t>
      </w:r>
      <w:r w:rsidR="00AE0A59" w:rsidRPr="00AE0A59">
        <w:t xml:space="preserve">. </w:t>
      </w:r>
      <w:r w:rsidRPr="0010374B">
        <w:t>Le gousses flottent et la plante se propage par la chute des gousses dans l'eau qui s'étalent en aval lors des inondations saisonnières.</w:t>
      </w:r>
    </w:p>
    <w:p w14:paraId="5E4962A5" w14:textId="42D1DF4C" w:rsidR="00AE0A59" w:rsidRPr="0031251F" w:rsidRDefault="00AE0A59" w:rsidP="00EC7965">
      <w:pPr>
        <w:spacing w:after="0" w:line="240" w:lineRule="auto"/>
        <w:jc w:val="both"/>
      </w:pPr>
      <w:r w:rsidRPr="00784E32">
        <w:rPr>
          <w:rFonts w:ascii="Calibri" w:hAnsi="Calibri" w:cs="Calibri"/>
          <w:u w:val="single"/>
        </w:rPr>
        <w:t>Lutte biologique</w:t>
      </w:r>
      <w:r w:rsidRPr="00784E32">
        <w:rPr>
          <w:rFonts w:ascii="Calibri" w:hAnsi="Calibri" w:cs="Calibri"/>
        </w:rPr>
        <w:t> :</w:t>
      </w:r>
      <w:r>
        <w:rPr>
          <w:rFonts w:ascii="Calibri" w:hAnsi="Calibri" w:cs="Calibri"/>
        </w:rPr>
        <w:t xml:space="preserve"> </w:t>
      </w:r>
      <w:r w:rsidRPr="00AE0A59">
        <w:rPr>
          <w:rFonts w:ascii="Calibri" w:hAnsi="Calibri" w:cs="Calibri"/>
          <w:shd w:val="clear" w:color="auto" w:fill="FFFFFF"/>
        </w:rPr>
        <w:t>Plusieurs méthodes de contrôle sont utilisées pour réduire la population existante et la propagation de </w:t>
      </w:r>
      <w:r w:rsidRPr="00AE0A59">
        <w:rPr>
          <w:rFonts w:ascii="Calibri" w:hAnsi="Calibri" w:cs="Calibri"/>
          <w:i/>
          <w:iCs/>
          <w:shd w:val="clear" w:color="auto" w:fill="FFFFFF"/>
        </w:rPr>
        <w:t>P. aculeata</w:t>
      </w:r>
      <w:r w:rsidRPr="00AE0A59">
        <w:rPr>
          <w:rFonts w:ascii="Calibri" w:hAnsi="Calibri" w:cs="Calibri"/>
          <w:shd w:val="clear" w:color="auto" w:fill="FFFFFF"/>
        </w:rPr>
        <w:t> en Australie. Trois insectes y ont été introduits pour la lutte biologique : les </w:t>
      </w:r>
      <w:hyperlink r:id="rId4064" w:tooltip="Bruchinae" w:history="1">
        <w:r w:rsidRPr="00AE0A59">
          <w:rPr>
            <w:rStyle w:val="Lienhypertexte"/>
            <w:rFonts w:ascii="Calibri" w:hAnsi="Calibri" w:cs="Calibri"/>
            <w:color w:val="0645AD"/>
            <w:shd w:val="clear" w:color="auto" w:fill="FFFFFF"/>
          </w:rPr>
          <w:t>bruches</w:t>
        </w:r>
      </w:hyperlink>
      <w:r w:rsidRPr="00AE0A59">
        <w:rPr>
          <w:rFonts w:ascii="Calibri" w:hAnsi="Calibri" w:cs="Calibri"/>
          <w:color w:val="202122"/>
          <w:shd w:val="clear" w:color="auto" w:fill="FFFFFF"/>
        </w:rPr>
        <w:t> </w:t>
      </w:r>
      <w:r w:rsidRPr="00AE0A59">
        <w:rPr>
          <w:rFonts w:ascii="Calibri" w:hAnsi="Calibri" w:cs="Calibri"/>
          <w:shd w:val="clear" w:color="auto" w:fill="FFFFFF"/>
        </w:rPr>
        <w:t>du </w:t>
      </w:r>
      <w:r w:rsidRPr="00AE0A59">
        <w:rPr>
          <w:rFonts w:ascii="Calibri" w:hAnsi="Calibri" w:cs="Calibri"/>
          <w:i/>
          <w:iCs/>
          <w:shd w:val="clear" w:color="auto" w:fill="FFFFFF"/>
        </w:rPr>
        <w:t>Parkinsonia</w:t>
      </w:r>
      <w:r w:rsidRPr="00AE0A59">
        <w:rPr>
          <w:rFonts w:ascii="Calibri" w:hAnsi="Calibri" w:cs="Calibri"/>
          <w:shd w:val="clear" w:color="auto" w:fill="FFFFFF"/>
        </w:rPr>
        <w:t> : </w:t>
      </w:r>
      <w:hyperlink r:id="rId4065" w:tooltip="Penthobruchus germaini (page inexistante)" w:history="1">
        <w:r w:rsidRPr="00AE0A59">
          <w:rPr>
            <w:rStyle w:val="Lienhypertexte"/>
            <w:rFonts w:ascii="Calibri" w:hAnsi="Calibri" w:cs="Calibri"/>
            <w:i/>
            <w:iCs/>
            <w:color w:val="DD3333"/>
            <w:shd w:val="clear" w:color="auto" w:fill="FFFFFF"/>
          </w:rPr>
          <w:t>Penthobruchus germaini</w:t>
        </w:r>
      </w:hyperlink>
      <w:r w:rsidRPr="00AE0A59">
        <w:rPr>
          <w:rFonts w:ascii="Calibri" w:hAnsi="Calibri" w:cs="Calibri"/>
          <w:color w:val="202122"/>
          <w:shd w:val="clear" w:color="auto" w:fill="FFFFFF"/>
        </w:rPr>
        <w:t> et </w:t>
      </w:r>
      <w:hyperlink r:id="rId4066" w:tooltip="Mimosestes ulkei (page inexistante)" w:history="1">
        <w:r w:rsidRPr="00AE0A59">
          <w:rPr>
            <w:rStyle w:val="Lienhypertexte"/>
            <w:rFonts w:ascii="Calibri" w:hAnsi="Calibri" w:cs="Calibri"/>
            <w:i/>
            <w:iCs/>
            <w:color w:val="DD3333"/>
            <w:shd w:val="clear" w:color="auto" w:fill="FFFFFF"/>
          </w:rPr>
          <w:t>Mimosestes ulkei</w:t>
        </w:r>
      </w:hyperlink>
      <w:r w:rsidRPr="00AE0A59">
        <w:rPr>
          <w:rFonts w:ascii="Calibri" w:hAnsi="Calibri" w:cs="Calibri"/>
          <w:color w:val="202122"/>
          <w:shd w:val="clear" w:color="auto" w:fill="FFFFFF"/>
        </w:rPr>
        <w:t xml:space="preserve">, </w:t>
      </w:r>
      <w:r w:rsidRPr="00AE0A59">
        <w:rPr>
          <w:rFonts w:ascii="Calibri" w:hAnsi="Calibri" w:cs="Calibri"/>
          <w:shd w:val="clear" w:color="auto" w:fill="FFFFFF"/>
        </w:rPr>
        <w:t>dont les larves mangent spécifiquement les graines de Parkinsonia et se révèlent être un outil de gestion utile, et la punaise des feuilles de </w:t>
      </w:r>
      <w:r w:rsidRPr="00AE0A59">
        <w:rPr>
          <w:rFonts w:ascii="Calibri" w:hAnsi="Calibri" w:cs="Calibri"/>
          <w:i/>
          <w:iCs/>
          <w:shd w:val="clear" w:color="auto" w:fill="FFFFFF"/>
        </w:rPr>
        <w:t>Parkinsonia</w:t>
      </w:r>
      <w:r w:rsidRPr="00AE0A59">
        <w:rPr>
          <w:rFonts w:ascii="Calibri" w:hAnsi="Calibri" w:cs="Calibri"/>
          <w:color w:val="202122"/>
          <w:shd w:val="clear" w:color="auto" w:fill="FFFFFF"/>
        </w:rPr>
        <w:t>, </w:t>
      </w:r>
      <w:hyperlink r:id="rId4067" w:tooltip="Rhinacloa callicrate (page inexistante)" w:history="1">
        <w:r w:rsidRPr="00AE0A59">
          <w:rPr>
            <w:rStyle w:val="Lienhypertexte"/>
            <w:rFonts w:ascii="Calibri" w:hAnsi="Calibri" w:cs="Calibri"/>
            <w:i/>
            <w:iCs/>
            <w:color w:val="DD3333"/>
            <w:shd w:val="clear" w:color="auto" w:fill="FFFFFF"/>
          </w:rPr>
          <w:t>Rhinacloa callicrate</w:t>
        </w:r>
      </w:hyperlink>
      <w:r w:rsidRPr="00AE0A59">
        <w:rPr>
          <w:rFonts w:ascii="Calibri" w:hAnsi="Calibri" w:cs="Calibri"/>
          <w:color w:val="202122"/>
          <w:shd w:val="clear" w:color="auto" w:fill="FFFFFF"/>
        </w:rPr>
        <w:t xml:space="preserve">, </w:t>
      </w:r>
      <w:r w:rsidRPr="00AE0A59">
        <w:rPr>
          <w:rFonts w:ascii="Calibri" w:hAnsi="Calibri" w:cs="Calibri"/>
          <w:shd w:val="clear" w:color="auto" w:fill="FFFFFF"/>
        </w:rPr>
        <w:t>qui détruit les tissus photosynthétiques mais n'a aucun impact sur les mauvaises herbes. Le feu est efficace pour détruire les jeunes arbres ; l'enlèvement mécanique et les herbicides sont également utilisés</w:t>
      </w:r>
      <w:r w:rsidRPr="00AE0A59">
        <w:rPr>
          <w:rFonts w:ascii="Calibri" w:hAnsi="Calibri" w:cs="Calibri"/>
          <w:color w:val="202122"/>
          <w:shd w:val="clear" w:color="auto" w:fill="FFFFFF"/>
        </w:rPr>
        <w:t>.</w:t>
      </w:r>
    </w:p>
    <w:p w14:paraId="13B39543" w14:textId="1228E93B" w:rsidR="0010374B" w:rsidRDefault="0031251F" w:rsidP="00EC7965">
      <w:pPr>
        <w:spacing w:after="0" w:line="240" w:lineRule="auto"/>
        <w:jc w:val="both"/>
      </w:pPr>
      <w:r w:rsidRPr="0031251F">
        <w:t>Sources : a)</w:t>
      </w:r>
      <w:r w:rsidR="0010374B">
        <w:t xml:space="preserve"> </w:t>
      </w:r>
      <w:hyperlink r:id="rId4068" w:history="1">
        <w:r w:rsidR="0010374B" w:rsidRPr="00EE130C">
          <w:rPr>
            <w:rStyle w:val="Lienhypertexte"/>
          </w:rPr>
          <w:t>https://fr.wikipedia.org/wiki/%C3%89pine_de_J%C3%A9rusalem</w:t>
        </w:r>
      </w:hyperlink>
      <w:r w:rsidRPr="0031251F">
        <w:t>,</w:t>
      </w:r>
    </w:p>
    <w:p w14:paraId="4D109668" w14:textId="4B27D6E0" w:rsidR="0031251F" w:rsidRPr="00CF271D" w:rsidRDefault="0031251F" w:rsidP="00EC7965">
      <w:pPr>
        <w:spacing w:after="0" w:line="240" w:lineRule="auto"/>
        <w:jc w:val="both"/>
      </w:pPr>
      <w:r w:rsidRPr="00CF271D">
        <w:t xml:space="preserve">b) </w:t>
      </w:r>
      <w:hyperlink r:id="rId4069" w:history="1">
        <w:r w:rsidRPr="00CF271D">
          <w:rPr>
            <w:rStyle w:val="Lienhypertexte"/>
          </w:rPr>
          <w:t>https://en.wikipedia.org/wiki/Parkinsonia_aculeata</w:t>
        </w:r>
      </w:hyperlink>
    </w:p>
    <w:p w14:paraId="526B2970" w14:textId="336A51FB" w:rsidR="00CF271D" w:rsidRPr="00CF271D" w:rsidRDefault="00CF271D" w:rsidP="00EC7965">
      <w:pPr>
        <w:spacing w:after="0" w:line="240" w:lineRule="auto"/>
        <w:jc w:val="both"/>
      </w:pPr>
      <w:r>
        <w:t xml:space="preserve">c) </w:t>
      </w:r>
      <w:hyperlink r:id="rId4070" w:history="1">
        <w:r w:rsidRPr="00EE130C">
          <w:rPr>
            <w:rStyle w:val="Lienhypertexte"/>
          </w:rPr>
          <w:t>http://www.hear.org/pier/species/parkinsonia_aculeata.htm</w:t>
        </w:r>
      </w:hyperlink>
      <w:r>
        <w:t xml:space="preserve"> </w:t>
      </w:r>
    </w:p>
    <w:p w14:paraId="31CFE0ED" w14:textId="6084E033" w:rsidR="0031251F" w:rsidRPr="00CF271D" w:rsidRDefault="0031251F" w:rsidP="00EC7965">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4D29E8" w14:paraId="5D0A3DAE" w14:textId="77777777" w:rsidTr="004D29E8">
        <w:tc>
          <w:tcPr>
            <w:tcW w:w="5208" w:type="dxa"/>
          </w:tcPr>
          <w:p w14:paraId="6628E10B" w14:textId="59ADC94B" w:rsidR="004D29E8" w:rsidRDefault="004D29E8" w:rsidP="004D29E8">
            <w:pPr>
              <w:jc w:val="center"/>
              <w:rPr>
                <w:lang w:val="en-GB"/>
              </w:rPr>
            </w:pPr>
            <w:r>
              <w:rPr>
                <w:noProof/>
              </w:rPr>
              <w:drawing>
                <wp:inline distT="0" distB="0" distL="0" distR="0" wp14:anchorId="67A7C8AC" wp14:editId="621C3146">
                  <wp:extent cx="2343150" cy="3124200"/>
                  <wp:effectExtent l="0" t="0" r="0" b="0"/>
                  <wp:docPr id="166926" name="Image 166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71">
                            <a:extLst>
                              <a:ext uri="{28A0092B-C50C-407E-A947-70E740481C1C}">
                                <a14:useLocalDpi xmlns:a14="http://schemas.microsoft.com/office/drawing/2010/main" val="0"/>
                              </a:ext>
                            </a:extLst>
                          </a:blip>
                          <a:srcRect/>
                          <a:stretch>
                            <a:fillRect/>
                          </a:stretch>
                        </pic:blipFill>
                        <pic:spPr bwMode="auto">
                          <a:xfrm>
                            <a:off x="0" y="0"/>
                            <a:ext cx="2344704" cy="3126272"/>
                          </a:xfrm>
                          <a:prstGeom prst="rect">
                            <a:avLst/>
                          </a:prstGeom>
                          <a:noFill/>
                          <a:ln>
                            <a:noFill/>
                          </a:ln>
                        </pic:spPr>
                      </pic:pic>
                    </a:graphicData>
                  </a:graphic>
                </wp:inline>
              </w:drawing>
            </w:r>
          </w:p>
        </w:tc>
        <w:tc>
          <w:tcPr>
            <w:tcW w:w="5208" w:type="dxa"/>
          </w:tcPr>
          <w:p w14:paraId="33831FA8" w14:textId="6BB159FC" w:rsidR="004D29E8" w:rsidRDefault="004D29E8" w:rsidP="004D29E8">
            <w:pPr>
              <w:jc w:val="center"/>
              <w:rPr>
                <w:lang w:val="en-GB"/>
              </w:rPr>
            </w:pPr>
            <w:r>
              <w:rPr>
                <w:noProof/>
              </w:rPr>
              <w:drawing>
                <wp:inline distT="0" distB="0" distL="0" distR="0" wp14:anchorId="003138BE" wp14:editId="1624739A">
                  <wp:extent cx="2276913" cy="3038475"/>
                  <wp:effectExtent l="0" t="0" r="9525" b="0"/>
                  <wp:docPr id="166927" name="Image 166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72">
                            <a:extLst>
                              <a:ext uri="{28A0092B-C50C-407E-A947-70E740481C1C}">
                                <a14:useLocalDpi xmlns:a14="http://schemas.microsoft.com/office/drawing/2010/main" val="0"/>
                              </a:ext>
                            </a:extLst>
                          </a:blip>
                          <a:srcRect/>
                          <a:stretch>
                            <a:fillRect/>
                          </a:stretch>
                        </pic:blipFill>
                        <pic:spPr bwMode="auto">
                          <a:xfrm>
                            <a:off x="0" y="0"/>
                            <a:ext cx="2279404" cy="3041800"/>
                          </a:xfrm>
                          <a:prstGeom prst="rect">
                            <a:avLst/>
                          </a:prstGeom>
                          <a:noFill/>
                          <a:ln>
                            <a:noFill/>
                          </a:ln>
                        </pic:spPr>
                      </pic:pic>
                    </a:graphicData>
                  </a:graphic>
                </wp:inline>
              </w:drawing>
            </w:r>
          </w:p>
          <w:p w14:paraId="494E5471" w14:textId="1C5DD08F" w:rsidR="004D29E8" w:rsidRPr="004D29E8" w:rsidRDefault="004D29E8" w:rsidP="004D29E8">
            <w:pPr>
              <w:jc w:val="center"/>
            </w:pPr>
            <w:r w:rsidRPr="004D29E8">
              <w:t>Fleurs, feuilles et gousses</w:t>
            </w:r>
          </w:p>
        </w:tc>
      </w:tr>
    </w:tbl>
    <w:p w14:paraId="6499EB8D" w14:textId="6E9B3593" w:rsidR="004D29E8" w:rsidRDefault="004D29E8" w:rsidP="004D29E8">
      <w:pPr>
        <w:spacing w:after="0" w:line="240" w:lineRule="auto"/>
        <w:jc w:val="center"/>
        <w:rPr>
          <w:lang w:val="en-G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04"/>
        <w:gridCol w:w="2603"/>
        <w:gridCol w:w="2616"/>
        <w:gridCol w:w="2603"/>
      </w:tblGrid>
      <w:tr w:rsidR="004D29E8" w:rsidRPr="004D29E8" w14:paraId="080D4F7E" w14:textId="77777777" w:rsidTr="00FC7AF4">
        <w:tc>
          <w:tcPr>
            <w:tcW w:w="5208" w:type="dxa"/>
            <w:gridSpan w:val="2"/>
          </w:tcPr>
          <w:p w14:paraId="488A83F4" w14:textId="77777777" w:rsidR="004D29E8" w:rsidRDefault="004D29E8" w:rsidP="004D29E8">
            <w:pPr>
              <w:jc w:val="center"/>
              <w:rPr>
                <w:lang w:val="en-GB"/>
              </w:rPr>
            </w:pPr>
            <w:r>
              <w:rPr>
                <w:noProof/>
              </w:rPr>
              <w:drawing>
                <wp:inline distT="0" distB="0" distL="0" distR="0" wp14:anchorId="181EC7AF" wp14:editId="2D053B32">
                  <wp:extent cx="2962275" cy="2658970"/>
                  <wp:effectExtent l="0" t="0" r="0" b="8255"/>
                  <wp:docPr id="166928" name="Image 166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073">
                            <a:extLst>
                              <a:ext uri="{28A0092B-C50C-407E-A947-70E740481C1C}">
                                <a14:useLocalDpi xmlns:a14="http://schemas.microsoft.com/office/drawing/2010/main" val="0"/>
                              </a:ext>
                            </a:extLst>
                          </a:blip>
                          <a:srcRect/>
                          <a:stretch>
                            <a:fillRect/>
                          </a:stretch>
                        </pic:blipFill>
                        <pic:spPr bwMode="auto">
                          <a:xfrm>
                            <a:off x="0" y="0"/>
                            <a:ext cx="2963892" cy="2660421"/>
                          </a:xfrm>
                          <a:prstGeom prst="rect">
                            <a:avLst/>
                          </a:prstGeom>
                          <a:noFill/>
                          <a:ln>
                            <a:noFill/>
                          </a:ln>
                        </pic:spPr>
                      </pic:pic>
                    </a:graphicData>
                  </a:graphic>
                </wp:inline>
              </w:drawing>
            </w:r>
          </w:p>
          <w:p w14:paraId="5A523476" w14:textId="77777777" w:rsidR="004D29E8" w:rsidRDefault="004D29E8" w:rsidP="004D29E8">
            <w:pPr>
              <w:jc w:val="center"/>
              <w:rPr>
                <w:i/>
                <w:iCs/>
              </w:rPr>
            </w:pPr>
            <w:r w:rsidRPr="004D29E8">
              <w:t xml:space="preserve">Gros plan sur les fleurs de </w:t>
            </w:r>
            <w:r w:rsidRPr="004D29E8">
              <w:rPr>
                <w:i/>
                <w:iCs/>
              </w:rPr>
              <w:t>Parkinsonia aculeata</w:t>
            </w:r>
          </w:p>
          <w:p w14:paraId="41D85BE6" w14:textId="6110BDE7" w:rsidR="00C878F5" w:rsidRPr="004D29E8" w:rsidRDefault="00C878F5" w:rsidP="004D29E8">
            <w:pPr>
              <w:jc w:val="center"/>
            </w:pPr>
          </w:p>
        </w:tc>
        <w:tc>
          <w:tcPr>
            <w:tcW w:w="2604" w:type="dxa"/>
          </w:tcPr>
          <w:p w14:paraId="70E260DB" w14:textId="77777777" w:rsidR="004D29E8" w:rsidRDefault="004D29E8" w:rsidP="004D29E8">
            <w:pPr>
              <w:jc w:val="center"/>
            </w:pPr>
            <w:r>
              <w:rPr>
                <w:noProof/>
              </w:rPr>
              <w:drawing>
                <wp:inline distT="0" distB="0" distL="0" distR="0" wp14:anchorId="4F2554D0" wp14:editId="06338AE7">
                  <wp:extent cx="1524000" cy="1447800"/>
                  <wp:effectExtent l="0" t="0" r="0" b="0"/>
                  <wp:docPr id="166929" name="Image 166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074">
                            <a:extLst>
                              <a:ext uri="{28A0092B-C50C-407E-A947-70E740481C1C}">
                                <a14:useLocalDpi xmlns:a14="http://schemas.microsoft.com/office/drawing/2010/main" val="0"/>
                              </a:ext>
                            </a:extLst>
                          </a:blip>
                          <a:srcRect/>
                          <a:stretch>
                            <a:fillRect/>
                          </a:stretch>
                        </pic:blipFill>
                        <pic:spPr bwMode="auto">
                          <a:xfrm>
                            <a:off x="0" y="0"/>
                            <a:ext cx="1524000" cy="1447800"/>
                          </a:xfrm>
                          <a:prstGeom prst="rect">
                            <a:avLst/>
                          </a:prstGeom>
                          <a:noFill/>
                          <a:ln>
                            <a:noFill/>
                          </a:ln>
                        </pic:spPr>
                      </pic:pic>
                    </a:graphicData>
                  </a:graphic>
                </wp:inline>
              </w:drawing>
            </w:r>
          </w:p>
          <w:p w14:paraId="11B56E63" w14:textId="7743E47D" w:rsidR="004D29E8" w:rsidRDefault="004D29E8" w:rsidP="004D29E8">
            <w:pPr>
              <w:jc w:val="center"/>
              <w:rPr>
                <w:i/>
                <w:iCs/>
              </w:rPr>
            </w:pPr>
            <w:r w:rsidRPr="004D29E8">
              <w:rPr>
                <w:i/>
                <w:iCs/>
              </w:rPr>
              <w:t>Parkinsonia aculeata</w:t>
            </w:r>
          </w:p>
          <w:p w14:paraId="02A18EB8" w14:textId="77777777" w:rsidR="004D29E8" w:rsidRDefault="004D29E8" w:rsidP="004D29E8">
            <w:pPr>
              <w:jc w:val="center"/>
              <w:rPr>
                <w:i/>
                <w:iCs/>
              </w:rPr>
            </w:pPr>
          </w:p>
          <w:p w14:paraId="1D210223" w14:textId="77777777" w:rsidR="004D29E8" w:rsidRDefault="004D29E8" w:rsidP="004D29E8">
            <w:pPr>
              <w:jc w:val="center"/>
              <w:rPr>
                <w:i/>
                <w:iCs/>
              </w:rPr>
            </w:pPr>
            <w:r>
              <w:rPr>
                <w:noProof/>
              </w:rPr>
              <w:drawing>
                <wp:inline distT="0" distB="0" distL="0" distR="0" wp14:anchorId="09E60E6A" wp14:editId="3F8B1C23">
                  <wp:extent cx="1181100" cy="885825"/>
                  <wp:effectExtent l="0" t="0" r="0" b="9525"/>
                  <wp:docPr id="166930" name="Image 166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075">
                            <a:extLst>
                              <a:ext uri="{28A0092B-C50C-407E-A947-70E740481C1C}">
                                <a14:useLocalDpi xmlns:a14="http://schemas.microsoft.com/office/drawing/2010/main" val="0"/>
                              </a:ext>
                            </a:extLst>
                          </a:blip>
                          <a:srcRect/>
                          <a:stretch>
                            <a:fillRect/>
                          </a:stretch>
                        </pic:blipFill>
                        <pic:spPr bwMode="auto">
                          <a:xfrm>
                            <a:off x="0" y="0"/>
                            <a:ext cx="1181100" cy="885825"/>
                          </a:xfrm>
                          <a:prstGeom prst="rect">
                            <a:avLst/>
                          </a:prstGeom>
                          <a:noFill/>
                          <a:ln>
                            <a:noFill/>
                          </a:ln>
                        </pic:spPr>
                      </pic:pic>
                    </a:graphicData>
                  </a:graphic>
                </wp:inline>
              </w:drawing>
            </w:r>
          </w:p>
          <w:p w14:paraId="244A644B" w14:textId="7660B670" w:rsidR="004D29E8" w:rsidRPr="004D29E8" w:rsidRDefault="004D29E8" w:rsidP="004D29E8">
            <w:pPr>
              <w:jc w:val="center"/>
            </w:pPr>
            <w:r>
              <w:t>Fleurs</w:t>
            </w:r>
          </w:p>
        </w:tc>
        <w:tc>
          <w:tcPr>
            <w:tcW w:w="2604" w:type="dxa"/>
          </w:tcPr>
          <w:p w14:paraId="46F1F16B" w14:textId="77777777" w:rsidR="00FC7AF4" w:rsidRDefault="00FC7AF4" w:rsidP="004D29E8">
            <w:pPr>
              <w:jc w:val="center"/>
            </w:pPr>
            <w:r>
              <w:rPr>
                <w:noProof/>
              </w:rPr>
              <w:drawing>
                <wp:inline distT="0" distB="0" distL="0" distR="0" wp14:anchorId="318566BB" wp14:editId="52E03D2E">
                  <wp:extent cx="1410201" cy="1847850"/>
                  <wp:effectExtent l="0" t="0" r="0" b="0"/>
                  <wp:docPr id="166935" name="Image 166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076" cstate="print">
                            <a:extLst>
                              <a:ext uri="{28A0092B-C50C-407E-A947-70E740481C1C}">
                                <a14:useLocalDpi xmlns:a14="http://schemas.microsoft.com/office/drawing/2010/main" val="0"/>
                              </a:ext>
                            </a:extLst>
                          </a:blip>
                          <a:srcRect/>
                          <a:stretch>
                            <a:fillRect/>
                          </a:stretch>
                        </pic:blipFill>
                        <pic:spPr bwMode="auto">
                          <a:xfrm>
                            <a:off x="0" y="0"/>
                            <a:ext cx="1420815" cy="1861758"/>
                          </a:xfrm>
                          <a:prstGeom prst="rect">
                            <a:avLst/>
                          </a:prstGeom>
                          <a:noFill/>
                          <a:ln>
                            <a:noFill/>
                          </a:ln>
                        </pic:spPr>
                      </pic:pic>
                    </a:graphicData>
                  </a:graphic>
                </wp:inline>
              </w:drawing>
            </w:r>
          </w:p>
          <w:p w14:paraId="54F64DA3" w14:textId="4AC75E8D" w:rsidR="00FC7AF4" w:rsidRPr="004D29E8" w:rsidRDefault="00FC7AF4" w:rsidP="004D29E8">
            <w:pPr>
              <w:jc w:val="center"/>
            </w:pPr>
            <w:r w:rsidRPr="004D29E8">
              <w:t>Épines sur Parkinsonia acul</w:t>
            </w:r>
            <w:r w:rsidRPr="004D29E8">
              <w:rPr>
                <w:i/>
                <w:iCs/>
              </w:rPr>
              <w:t>eata</w:t>
            </w:r>
          </w:p>
        </w:tc>
      </w:tr>
      <w:tr w:rsidR="004D29E8" w:rsidRPr="004D29E8" w14:paraId="69EAD8FD" w14:textId="77777777" w:rsidTr="00FC7AF4">
        <w:tc>
          <w:tcPr>
            <w:tcW w:w="2604" w:type="dxa"/>
          </w:tcPr>
          <w:p w14:paraId="7375E4A8" w14:textId="77777777" w:rsidR="004D29E8" w:rsidRDefault="004D29E8" w:rsidP="004D29E8">
            <w:pPr>
              <w:jc w:val="center"/>
            </w:pPr>
            <w:r>
              <w:rPr>
                <w:noProof/>
              </w:rPr>
              <w:drawing>
                <wp:inline distT="0" distB="0" distL="0" distR="0" wp14:anchorId="6CEFD3E3" wp14:editId="1623C996">
                  <wp:extent cx="1311852" cy="962025"/>
                  <wp:effectExtent l="0" t="0" r="3175" b="0"/>
                  <wp:docPr id="166933" name="Image 166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077">
                            <a:extLst>
                              <a:ext uri="{28A0092B-C50C-407E-A947-70E740481C1C}">
                                <a14:useLocalDpi xmlns:a14="http://schemas.microsoft.com/office/drawing/2010/main" val="0"/>
                              </a:ext>
                            </a:extLst>
                          </a:blip>
                          <a:srcRect/>
                          <a:stretch>
                            <a:fillRect/>
                          </a:stretch>
                        </pic:blipFill>
                        <pic:spPr bwMode="auto">
                          <a:xfrm>
                            <a:off x="0" y="0"/>
                            <a:ext cx="1320194" cy="968142"/>
                          </a:xfrm>
                          <a:prstGeom prst="rect">
                            <a:avLst/>
                          </a:prstGeom>
                          <a:noFill/>
                          <a:ln>
                            <a:noFill/>
                          </a:ln>
                        </pic:spPr>
                      </pic:pic>
                    </a:graphicData>
                  </a:graphic>
                </wp:inline>
              </w:drawing>
            </w:r>
          </w:p>
          <w:p w14:paraId="01AF501F" w14:textId="1615C199" w:rsidR="004D29E8" w:rsidRPr="004D29E8" w:rsidRDefault="004D29E8" w:rsidP="004D29E8">
            <w:pPr>
              <w:jc w:val="center"/>
            </w:pPr>
            <w:r>
              <w:t>Arbuste.</w:t>
            </w:r>
          </w:p>
        </w:tc>
        <w:tc>
          <w:tcPr>
            <w:tcW w:w="2604" w:type="dxa"/>
          </w:tcPr>
          <w:p w14:paraId="7BA91C24" w14:textId="77777777" w:rsidR="004D29E8" w:rsidRDefault="004D29E8" w:rsidP="004D29E8">
            <w:pPr>
              <w:jc w:val="center"/>
            </w:pPr>
            <w:r>
              <w:rPr>
                <w:noProof/>
              </w:rPr>
              <w:drawing>
                <wp:inline distT="0" distB="0" distL="0" distR="0" wp14:anchorId="475FC4AD" wp14:editId="06E22935">
                  <wp:extent cx="1143000" cy="876300"/>
                  <wp:effectExtent l="0" t="0" r="0" b="0"/>
                  <wp:docPr id="166934" name="Image 166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078">
                            <a:extLst>
                              <a:ext uri="{28A0092B-C50C-407E-A947-70E740481C1C}">
                                <a14:useLocalDpi xmlns:a14="http://schemas.microsoft.com/office/drawing/2010/main" val="0"/>
                              </a:ext>
                            </a:extLst>
                          </a:blip>
                          <a:srcRect/>
                          <a:stretch>
                            <a:fillRect/>
                          </a:stretch>
                        </pic:blipFill>
                        <pic:spPr bwMode="auto">
                          <a:xfrm>
                            <a:off x="0" y="0"/>
                            <a:ext cx="1152420" cy="883522"/>
                          </a:xfrm>
                          <a:prstGeom prst="rect">
                            <a:avLst/>
                          </a:prstGeom>
                          <a:noFill/>
                          <a:ln>
                            <a:noFill/>
                          </a:ln>
                        </pic:spPr>
                      </pic:pic>
                    </a:graphicData>
                  </a:graphic>
                </wp:inline>
              </w:drawing>
            </w:r>
          </w:p>
          <w:p w14:paraId="3DA16358" w14:textId="5A8526FB" w:rsidR="004D29E8" w:rsidRPr="004D29E8" w:rsidRDefault="004D29E8" w:rsidP="004D29E8">
            <w:pPr>
              <w:jc w:val="center"/>
            </w:pPr>
            <w:r w:rsidRPr="000F4D22">
              <w:rPr>
                <w:i/>
                <w:iCs/>
              </w:rPr>
              <w:t>Épines</w:t>
            </w:r>
            <w:r w:rsidRPr="004D29E8">
              <w:t xml:space="preserve"> sur Parkinsonia acul</w:t>
            </w:r>
            <w:r w:rsidRPr="004D29E8">
              <w:rPr>
                <w:i/>
                <w:iCs/>
              </w:rPr>
              <w:t>eata</w:t>
            </w:r>
          </w:p>
        </w:tc>
        <w:tc>
          <w:tcPr>
            <w:tcW w:w="2604" w:type="dxa"/>
          </w:tcPr>
          <w:p w14:paraId="74E1F744" w14:textId="77777777" w:rsidR="004D29E8" w:rsidRDefault="00FC7AF4" w:rsidP="004D29E8">
            <w:pPr>
              <w:jc w:val="center"/>
            </w:pPr>
            <w:r>
              <w:rPr>
                <w:noProof/>
              </w:rPr>
              <w:drawing>
                <wp:inline distT="0" distB="0" distL="0" distR="0" wp14:anchorId="53C65AAE" wp14:editId="7B91B5D3">
                  <wp:extent cx="1347216" cy="990600"/>
                  <wp:effectExtent l="0" t="0" r="5715" b="0"/>
                  <wp:docPr id="166931" name="Image 166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079">
                            <a:extLst>
                              <a:ext uri="{28A0092B-C50C-407E-A947-70E740481C1C}">
                                <a14:useLocalDpi xmlns:a14="http://schemas.microsoft.com/office/drawing/2010/main" val="0"/>
                              </a:ext>
                            </a:extLst>
                          </a:blip>
                          <a:srcRect/>
                          <a:stretch>
                            <a:fillRect/>
                          </a:stretch>
                        </pic:blipFill>
                        <pic:spPr bwMode="auto">
                          <a:xfrm>
                            <a:off x="0" y="0"/>
                            <a:ext cx="1351574" cy="993805"/>
                          </a:xfrm>
                          <a:prstGeom prst="rect">
                            <a:avLst/>
                          </a:prstGeom>
                          <a:noFill/>
                          <a:ln>
                            <a:noFill/>
                          </a:ln>
                        </pic:spPr>
                      </pic:pic>
                    </a:graphicData>
                  </a:graphic>
                </wp:inline>
              </w:drawing>
            </w:r>
          </w:p>
          <w:p w14:paraId="736CF5A5" w14:textId="04B2794E" w:rsidR="00FC7AF4" w:rsidRPr="004D29E8" w:rsidRDefault="00FC7AF4" w:rsidP="004D29E8">
            <w:pPr>
              <w:jc w:val="center"/>
            </w:pPr>
            <w:r>
              <w:t>Feuilles</w:t>
            </w:r>
          </w:p>
        </w:tc>
        <w:tc>
          <w:tcPr>
            <w:tcW w:w="2604" w:type="dxa"/>
          </w:tcPr>
          <w:p w14:paraId="4A70096B" w14:textId="77777777" w:rsidR="00FC7AF4" w:rsidRDefault="00FC7AF4" w:rsidP="00FC7AF4">
            <w:pPr>
              <w:jc w:val="center"/>
            </w:pPr>
            <w:r>
              <w:rPr>
                <w:noProof/>
              </w:rPr>
              <w:drawing>
                <wp:inline distT="0" distB="0" distL="0" distR="0" wp14:anchorId="1C4A3440" wp14:editId="65C34188">
                  <wp:extent cx="1428750" cy="1047750"/>
                  <wp:effectExtent l="0" t="0" r="0" b="0"/>
                  <wp:docPr id="166932" name="Image 166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080">
                            <a:extLst>
                              <a:ext uri="{28A0092B-C50C-407E-A947-70E740481C1C}">
                                <a14:useLocalDpi xmlns:a14="http://schemas.microsoft.com/office/drawing/2010/main" val="0"/>
                              </a:ext>
                            </a:extLst>
                          </a:blip>
                          <a:srcRect/>
                          <a:stretch>
                            <a:fillRect/>
                          </a:stretch>
                        </pic:blipFill>
                        <pic:spPr bwMode="auto">
                          <a:xfrm>
                            <a:off x="0" y="0"/>
                            <a:ext cx="1441323" cy="1056970"/>
                          </a:xfrm>
                          <a:prstGeom prst="rect">
                            <a:avLst/>
                          </a:prstGeom>
                          <a:noFill/>
                          <a:ln>
                            <a:noFill/>
                          </a:ln>
                        </pic:spPr>
                      </pic:pic>
                    </a:graphicData>
                  </a:graphic>
                </wp:inline>
              </w:drawing>
            </w:r>
          </w:p>
          <w:p w14:paraId="3618A125" w14:textId="0EB5E6C9" w:rsidR="004D29E8" w:rsidRPr="00FC7AF4" w:rsidRDefault="00FC7AF4" w:rsidP="00FC7AF4">
            <w:pPr>
              <w:jc w:val="center"/>
            </w:pPr>
            <w:r>
              <w:t>Feuilles</w:t>
            </w:r>
          </w:p>
        </w:tc>
      </w:tr>
    </w:tbl>
    <w:p w14:paraId="53633EDD" w14:textId="77777777" w:rsidR="004D29E8" w:rsidRPr="004D29E8" w:rsidRDefault="004D29E8" w:rsidP="00BE644D">
      <w:pPr>
        <w:spacing w:after="0" w:line="240" w:lineRule="auto"/>
      </w:pPr>
    </w:p>
    <w:p w14:paraId="7A5A576F" w14:textId="1E37AC2D" w:rsidR="004D29E8" w:rsidRDefault="00BE644D" w:rsidP="00BE644D">
      <w:pPr>
        <w:pStyle w:val="Titre2"/>
      </w:pPr>
      <w:bookmarkStart w:id="389" w:name="_Toc139181679"/>
      <w:r w:rsidRPr="00BE644D">
        <w:t>« Mesquite » (</w:t>
      </w:r>
      <w:r w:rsidRPr="00BE644D">
        <w:rPr>
          <w:i/>
          <w:iCs/>
        </w:rPr>
        <w:t>Prosopis juliflora</w:t>
      </w:r>
      <w:r w:rsidRPr="00BE644D">
        <w:t>)</w:t>
      </w:r>
      <w:bookmarkEnd w:id="389"/>
    </w:p>
    <w:p w14:paraId="29027288" w14:textId="62F35BD1" w:rsidR="00BE644D" w:rsidRDefault="00BE644D" w:rsidP="00EC7965">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2976"/>
        <w:gridCol w:w="1843"/>
        <w:gridCol w:w="954"/>
      </w:tblGrid>
      <w:tr w:rsidR="000F4D22" w:rsidRPr="000B6BE3" w14:paraId="3FC0B6DA" w14:textId="77777777" w:rsidTr="000F4D22">
        <w:tc>
          <w:tcPr>
            <w:tcW w:w="4395" w:type="dxa"/>
          </w:tcPr>
          <w:p w14:paraId="4D628EA0" w14:textId="239E9558" w:rsidR="000F4D22" w:rsidRDefault="000F4D22" w:rsidP="003D7963">
            <w:pPr>
              <w:jc w:val="both"/>
              <w:rPr>
                <w:rFonts w:ascii="Calibri" w:hAnsi="Calibri" w:cs="Calibri"/>
                <w:bCs/>
              </w:rPr>
            </w:pPr>
            <w:r>
              <w:rPr>
                <w:rFonts w:ascii="Calibri" w:hAnsi="Calibri" w:cs="Calibri"/>
                <w:bCs/>
              </w:rPr>
              <w:t>(</w:t>
            </w:r>
            <w:r w:rsidRPr="00DE2C3A">
              <w:rPr>
                <w:rFonts w:ascii="Calibri" w:hAnsi="Calibri" w:cs="Calibri"/>
                <w:bCs/>
              </w:rPr>
              <w:t xml:space="preserve">Famille </w:t>
            </w:r>
            <w:r w:rsidRPr="00E31768">
              <w:rPr>
                <w:rFonts w:ascii="Calibri" w:hAnsi="Calibri" w:cs="Calibri"/>
                <w:i/>
                <w:iCs/>
              </w:rPr>
              <w:t>des </w:t>
            </w:r>
            <w:hyperlink r:id="rId4081" w:history="1">
              <w:r w:rsidRPr="00E31768">
                <w:rPr>
                  <w:rStyle w:val="Lienhypertexte"/>
                  <w:rFonts w:ascii="Calibri" w:hAnsi="Calibri" w:cs="Calibri"/>
                  <w:i/>
                  <w:iCs/>
                </w:rPr>
                <w:t>Fabaceae</w:t>
              </w:r>
            </w:hyperlink>
            <w:r w:rsidRPr="00074F01">
              <w:t xml:space="preserve"> ou des </w:t>
            </w:r>
            <w:hyperlink r:id="rId4082" w:history="1">
              <w:r w:rsidRPr="00074F01">
                <w:rPr>
                  <w:rStyle w:val="Lienhypertexte"/>
                  <w:i/>
                  <w:iCs/>
                </w:rPr>
                <w:t>Mimosoideae</w:t>
              </w:r>
            </w:hyperlink>
            <w:r w:rsidRPr="00074F01">
              <w:rPr>
                <w:i/>
                <w:iCs/>
              </w:rPr>
              <w:t xml:space="preserve">, </w:t>
            </w:r>
            <w:r w:rsidRPr="00074F01">
              <w:t>selon la classification choisie</w:t>
            </w:r>
            <w:r>
              <w:rPr>
                <w:rFonts w:ascii="Calibri" w:hAnsi="Calibri" w:cs="Calibri"/>
                <w:bCs/>
              </w:rPr>
              <w:t>)</w:t>
            </w:r>
            <w:r w:rsidRPr="00DE2C3A">
              <w:rPr>
                <w:rFonts w:ascii="Calibri" w:hAnsi="Calibri" w:cs="Calibri"/>
                <w:bCs/>
              </w:rPr>
              <w:t>.</w:t>
            </w:r>
          </w:p>
          <w:p w14:paraId="59068097" w14:textId="77777777" w:rsidR="000F4D22" w:rsidRDefault="000F4D22" w:rsidP="003D7963">
            <w:pPr>
              <w:jc w:val="both"/>
              <w:rPr>
                <w:rFonts w:cstheme="minorHAnsi"/>
                <w:b/>
                <w:bCs/>
                <w:color w:val="FF0000"/>
              </w:rPr>
            </w:pPr>
          </w:p>
          <w:p w14:paraId="69801358" w14:textId="4BB2D911" w:rsidR="000F4D22" w:rsidRPr="000B6BE3" w:rsidRDefault="000F4D22" w:rsidP="003D7963">
            <w:pPr>
              <w:jc w:val="both"/>
              <w:rPr>
                <w:rFonts w:cstheme="minorHAnsi"/>
              </w:rPr>
            </w:pPr>
            <w:r w:rsidRPr="009A3C5B">
              <w:rPr>
                <w:rFonts w:cstheme="minorHAnsi"/>
                <w:b/>
                <w:bCs/>
                <w:color w:val="FF0000"/>
              </w:rPr>
              <w:t>Risque élevé, score: 1</w:t>
            </w:r>
            <w:r>
              <w:rPr>
                <w:rFonts w:cstheme="minorHAnsi"/>
                <w:b/>
                <w:bCs/>
                <w:color w:val="FF0000"/>
              </w:rPr>
              <w:t>9</w:t>
            </w:r>
            <w:r w:rsidRPr="009A3C5B">
              <w:rPr>
                <w:rFonts w:cstheme="minorHAnsi"/>
                <w:b/>
                <w:bCs/>
                <w:color w:val="FF0000"/>
              </w:rPr>
              <w:t xml:space="preserve"> (source HEAR)</w:t>
            </w:r>
            <w:r w:rsidRPr="00DE60FE">
              <w:rPr>
                <w:rFonts w:cstheme="minorHAnsi"/>
                <w:b/>
                <w:bCs/>
                <w:color w:val="FF0000"/>
              </w:rPr>
              <w:t>.</w:t>
            </w:r>
          </w:p>
        </w:tc>
        <w:tc>
          <w:tcPr>
            <w:tcW w:w="2976" w:type="dxa"/>
          </w:tcPr>
          <w:p w14:paraId="717305C9" w14:textId="155C00BD" w:rsidR="000F4D22" w:rsidRPr="000B6BE3" w:rsidRDefault="000F4D22" w:rsidP="003D7963">
            <w:pPr>
              <w:rPr>
                <w:rFonts w:cstheme="minorHAnsi"/>
              </w:rPr>
            </w:pPr>
            <w:r w:rsidRPr="000B6BE3">
              <w:rPr>
                <w:rFonts w:cstheme="minorHAnsi"/>
                <w:noProof/>
              </w:rPr>
              <w:t xml:space="preserve">  </w:t>
            </w:r>
            <w:r>
              <w:rPr>
                <w:rFonts w:cstheme="minorHAnsi"/>
                <w:noProof/>
              </w:rPr>
              <w:t xml:space="preserve">      </w:t>
            </w:r>
            <w:r w:rsidRPr="005C50C9">
              <w:rPr>
                <w:rFonts w:cstheme="minorHAnsi"/>
                <w:noProof/>
              </w:rPr>
              <w:drawing>
                <wp:inline distT="0" distB="0" distL="0" distR="0" wp14:anchorId="5F339672" wp14:editId="591F77AB">
                  <wp:extent cx="495300" cy="666750"/>
                  <wp:effectExtent l="0" t="0" r="0" b="0"/>
                  <wp:docPr id="166936" name="Image 15"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8" name="Image 15" descr="logo aride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r w:rsidRPr="008F2681">
              <w:rPr>
                <w:rFonts w:cstheme="minorHAnsi"/>
                <w:noProof/>
              </w:rPr>
              <w:drawing>
                <wp:inline distT="0" distB="0" distL="0" distR="0" wp14:anchorId="273EB650" wp14:editId="2BE4D0B6">
                  <wp:extent cx="463550" cy="661988"/>
                  <wp:effectExtent l="0" t="0" r="0" b="5080"/>
                  <wp:docPr id="166937"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r w:rsidRPr="00853ED0">
              <w:rPr>
                <w:noProof/>
              </w:rPr>
              <w:drawing>
                <wp:inline distT="0" distB="0" distL="0" distR="0" wp14:anchorId="5D20E588" wp14:editId="52126B7F">
                  <wp:extent cx="400050" cy="352425"/>
                  <wp:effectExtent l="0" t="0" r="0" b="9525"/>
                  <wp:docPr id="156677" name="Image 21">
                    <a:extLst xmlns:a="http://schemas.openxmlformats.org/drawingml/2006/main">
                      <a:ext uri="{FF2B5EF4-FFF2-40B4-BE49-F238E27FC236}">
                        <a16:creationId xmlns:a16="http://schemas.microsoft.com/office/drawing/2014/main" id="{F52353B3-AA67-41AB-ACE3-C9465695F4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3" name="Image 21">
                            <a:extLst>
                              <a:ext uri="{FF2B5EF4-FFF2-40B4-BE49-F238E27FC236}">
                                <a16:creationId xmlns:a16="http://schemas.microsoft.com/office/drawing/2014/main" id="{F52353B3-AA67-41AB-ACE3-C9465695F4BE}"/>
                              </a:ext>
                            </a:extLst>
                          </pic:cNvPr>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843" w:type="dxa"/>
          </w:tcPr>
          <w:p w14:paraId="64B1E2A8" w14:textId="77777777" w:rsidR="000F4D22" w:rsidRPr="002E01BB" w:rsidRDefault="000F4D22" w:rsidP="003D7963">
            <w:pPr>
              <w:rPr>
                <w:rFonts w:eastAsia="+mn-ea" w:cstheme="minorHAnsi"/>
                <w:b/>
                <w:bCs/>
                <w:color w:val="008000"/>
                <w:kern w:val="24"/>
                <w:sz w:val="56"/>
                <w:szCs w:val="56"/>
              </w:rPr>
            </w:pPr>
            <w:r w:rsidRPr="009521CB">
              <w:rPr>
                <w:rFonts w:eastAsia="+mn-ea" w:cstheme="minorHAnsi"/>
                <w:b/>
                <w:bCs/>
                <w:color w:val="008000"/>
                <w:kern w:val="24"/>
                <w:sz w:val="72"/>
                <w:szCs w:val="72"/>
              </w:rPr>
              <w:t>U</w:t>
            </w:r>
            <w:r>
              <w:rPr>
                <w:rFonts w:eastAsia="+mn-ea" w:cstheme="minorHAnsi"/>
                <w:b/>
                <w:bCs/>
                <w:color w:val="008000"/>
                <w:kern w:val="24"/>
                <w:sz w:val="56"/>
                <w:szCs w:val="56"/>
              </w:rPr>
              <w:t xml:space="preserve"> ↗↗</w:t>
            </w:r>
          </w:p>
          <w:p w14:paraId="175143F1" w14:textId="77777777" w:rsidR="000F4D22" w:rsidRPr="000B6BE3" w:rsidRDefault="000F4D22" w:rsidP="003D7963">
            <w:pPr>
              <w:textAlignment w:val="baseline"/>
              <w:rPr>
                <w:rFonts w:cstheme="minorHAnsi"/>
              </w:rPr>
            </w:pPr>
          </w:p>
        </w:tc>
        <w:tc>
          <w:tcPr>
            <w:tcW w:w="954" w:type="dxa"/>
          </w:tcPr>
          <w:p w14:paraId="03E693CC" w14:textId="77777777" w:rsidR="000F4D22" w:rsidRPr="000B6BE3" w:rsidRDefault="000F4D22" w:rsidP="003D7963">
            <w:pPr>
              <w:rPr>
                <w:rFonts w:cstheme="minorHAnsi"/>
              </w:rPr>
            </w:pPr>
            <w:r w:rsidRPr="00DE60FE">
              <w:rPr>
                <w:rFonts w:cstheme="minorHAnsi"/>
                <w:noProof/>
              </w:rPr>
              <w:drawing>
                <wp:inline distT="0" distB="0" distL="0" distR="0" wp14:anchorId="0427B20F" wp14:editId="01E6980F">
                  <wp:extent cx="457200" cy="457200"/>
                  <wp:effectExtent l="0" t="0" r="0" b="0"/>
                  <wp:docPr id="166938" name="Picture 16" descr="C:\Users\LISAN\Pictures\Plantes fourragères\logo invasive plants5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26" name="Picture 16" descr="C:\Users\LISAN\Pictures\Plantes fourragères\logo invasive plants5_s.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2D16590A" w14:textId="77777777" w:rsidR="00074F01" w:rsidRDefault="00074F01" w:rsidP="00EC7965">
      <w:pPr>
        <w:spacing w:after="0" w:line="240" w:lineRule="auto"/>
        <w:jc w:val="both"/>
      </w:pPr>
    </w:p>
    <w:p w14:paraId="1CFD2FE1" w14:textId="48798F41" w:rsidR="00074F01" w:rsidRDefault="00074F01" w:rsidP="00074F01">
      <w:pPr>
        <w:spacing w:after="0" w:line="240" w:lineRule="auto"/>
        <w:jc w:val="both"/>
      </w:pPr>
      <w:r w:rsidRPr="00074F01">
        <w:t>Arbuste ou arbre</w:t>
      </w:r>
      <w:r w:rsidR="00BE2BDC">
        <w:t xml:space="preserve"> </w:t>
      </w:r>
      <w:r w:rsidR="00BE2BDC" w:rsidRPr="000F4D22">
        <w:rPr>
          <w:i/>
          <w:iCs/>
        </w:rPr>
        <w:t>épineux</w:t>
      </w:r>
      <w:r>
        <w:t>,</w:t>
      </w:r>
      <w:r w:rsidRPr="00074F01">
        <w:t xml:space="preserve"> originaire du </w:t>
      </w:r>
      <w:hyperlink r:id="rId4083" w:history="1">
        <w:r w:rsidR="00BE2BDC">
          <w:rPr>
            <w:rStyle w:val="Lienhypertexte"/>
          </w:rPr>
          <w:t>Mexique</w:t>
        </w:r>
      </w:hyperlink>
      <w:r w:rsidRPr="00074F01">
        <w:t>, d</w:t>
      </w:r>
      <w:r w:rsidR="00BE2BDC">
        <w:t>’</w:t>
      </w:r>
      <w:hyperlink r:id="rId4084" w:history="1">
        <w:r w:rsidRPr="00074F01">
          <w:rPr>
            <w:rStyle w:val="Lienhypertexte"/>
          </w:rPr>
          <w:t>Amérique du Sud</w:t>
        </w:r>
      </w:hyperlink>
      <w:r w:rsidRPr="00074F01">
        <w:t> et des </w:t>
      </w:r>
      <w:hyperlink r:id="rId4085" w:history="1">
        <w:r w:rsidRPr="00074F01">
          <w:rPr>
            <w:rStyle w:val="Lienhypertexte"/>
          </w:rPr>
          <w:t>Caraïbes</w:t>
        </w:r>
      </w:hyperlink>
      <w:r w:rsidRPr="00074F01">
        <w:t>, il peut atteindre une hauteur de 12 m et son tronc peut atteindre un diamètre supérieur à 1,2 m.</w:t>
      </w:r>
    </w:p>
    <w:p w14:paraId="64C2569C" w14:textId="160AC4EC" w:rsidR="00074F01" w:rsidRPr="00074F01" w:rsidRDefault="00074F01" w:rsidP="00074F01">
      <w:pPr>
        <w:spacing w:after="0" w:line="240" w:lineRule="auto"/>
        <w:jc w:val="both"/>
      </w:pPr>
      <w:r w:rsidRPr="00074F01">
        <w:rPr>
          <w:u w:val="single"/>
        </w:rPr>
        <w:t>Note</w:t>
      </w:r>
      <w:r w:rsidR="00BE2BDC">
        <w:t> </w:t>
      </w:r>
      <w:r>
        <w:t xml:space="preserve">: </w:t>
      </w:r>
      <w:r w:rsidRPr="00074F01">
        <w:t>Appelé</w:t>
      </w:r>
      <w:r w:rsidR="002672DF">
        <w:t>,</w:t>
      </w:r>
      <w:r w:rsidRPr="00074F01">
        <w:t xml:space="preserve"> en </w:t>
      </w:r>
      <w:hyperlink r:id="rId4086" w:history="1">
        <w:r w:rsidRPr="00074F01">
          <w:rPr>
            <w:rStyle w:val="Lienhypertexte"/>
          </w:rPr>
          <w:t>espagnol</w:t>
        </w:r>
      </w:hyperlink>
      <w:r w:rsidR="002672DF">
        <w:t>,</w:t>
      </w:r>
      <w:r w:rsidRPr="00074F01">
        <w:t> </w:t>
      </w:r>
      <w:r w:rsidRPr="00074F01">
        <w:rPr>
          <w:i/>
          <w:iCs/>
        </w:rPr>
        <w:t>bayahonda blanca</w:t>
      </w:r>
      <w:r w:rsidRPr="00074F01">
        <w:t xml:space="preserve"> ou </w:t>
      </w:r>
      <w:hyperlink r:id="rId4087" w:history="1">
        <w:r w:rsidRPr="00074F01">
          <w:rPr>
            <w:rStyle w:val="Lienhypertexte"/>
          </w:rPr>
          <w:t>mesquite</w:t>
        </w:r>
      </w:hyperlink>
      <w:r w:rsidRPr="00074F01">
        <w:t xml:space="preserve"> (nom pour plusieurs espèces de plantes </w:t>
      </w:r>
      <w:hyperlink r:id="rId4088" w:history="1">
        <w:r w:rsidRPr="00074F01">
          <w:rPr>
            <w:rStyle w:val="Lienhypertexte"/>
          </w:rPr>
          <w:t>légumineuses</w:t>
        </w:r>
      </w:hyperlink>
      <w:r w:rsidRPr="00074F01">
        <w:t> du genre </w:t>
      </w:r>
      <w:hyperlink r:id="rId4089" w:history="1">
        <w:r w:rsidRPr="00074F01">
          <w:rPr>
            <w:rStyle w:val="Lienhypertexte"/>
            <w:i/>
            <w:iCs/>
          </w:rPr>
          <w:t>Prosopis</w:t>
        </w:r>
      </w:hyperlink>
      <w:r w:rsidRPr="00074F01">
        <w:rPr>
          <w:i/>
          <w:iCs/>
        </w:rPr>
        <w:t xml:space="preserve"> </w:t>
      </w:r>
      <w:r w:rsidRPr="00074F01">
        <w:t>des</w:t>
      </w:r>
      <w:r w:rsidRPr="00074F01">
        <w:rPr>
          <w:i/>
          <w:iCs/>
        </w:rPr>
        <w:t xml:space="preserve"> </w:t>
      </w:r>
      <w:r w:rsidRPr="00074F01">
        <w:t>zones arides et semi-arides du sud des USA</w:t>
      </w:r>
      <w:r w:rsidR="002672DF">
        <w:t>,</w:t>
      </w:r>
      <w:r w:rsidRPr="00074F01">
        <w:t xml:space="preserve"> du </w:t>
      </w:r>
      <w:r w:rsidR="00BE2BDC">
        <w:t>Mexique</w:t>
      </w:r>
      <w:r w:rsidRPr="00074F01">
        <w:t xml:space="preserve"> et du sud et de l</w:t>
      </w:r>
      <w:r w:rsidR="00BE2BDC">
        <w:t>’</w:t>
      </w:r>
      <w:r w:rsidRPr="00074F01">
        <w:t>ouest de </w:t>
      </w:r>
      <w:hyperlink r:id="rId4090" w:history="1">
        <w:r w:rsidRPr="00074F01">
          <w:rPr>
            <w:rStyle w:val="Lienhypertexte"/>
          </w:rPr>
          <w:t>l</w:t>
        </w:r>
        <w:r w:rsidR="00BE2BDC">
          <w:rPr>
            <w:rStyle w:val="Lienhypertexte"/>
          </w:rPr>
          <w:t>’</w:t>
        </w:r>
        <w:r w:rsidRPr="00074F01">
          <w:rPr>
            <w:rStyle w:val="Lienhypertexte"/>
          </w:rPr>
          <w:t>Amérique du Sud</w:t>
        </w:r>
      </w:hyperlink>
      <w:r w:rsidRPr="00074F01">
        <w:t>)</w:t>
      </w:r>
      <w:r w:rsidRPr="00074F01">
        <w:rPr>
          <w:i/>
          <w:iCs/>
        </w:rPr>
        <w:t>.</w:t>
      </w:r>
    </w:p>
    <w:p w14:paraId="2D760B07" w14:textId="1F550AF5" w:rsidR="00074F01" w:rsidRPr="00074F01" w:rsidRDefault="00074F01" w:rsidP="00074F01">
      <w:pPr>
        <w:spacing w:after="0" w:line="240" w:lineRule="auto"/>
        <w:jc w:val="both"/>
      </w:pPr>
      <w:r w:rsidRPr="00074F01">
        <w:rPr>
          <w:u w:val="single"/>
        </w:rPr>
        <w:t>Espèce invasive</w:t>
      </w:r>
      <w:r w:rsidR="00BE2BDC">
        <w:t> </w:t>
      </w:r>
      <w:r>
        <w:t xml:space="preserve">: </w:t>
      </w:r>
      <w:r w:rsidRPr="00074F01">
        <w:t>Il est devenu une </w:t>
      </w:r>
      <w:hyperlink r:id="rId4091" w:history="1">
        <w:r w:rsidRPr="00074F01">
          <w:rPr>
            <w:rStyle w:val="Lienhypertexte"/>
          </w:rPr>
          <w:t>plante envahissante</w:t>
        </w:r>
      </w:hyperlink>
      <w:r w:rsidRPr="00074F01">
        <w:t> en </w:t>
      </w:r>
      <w:hyperlink r:id="rId4092" w:history="1">
        <w:r w:rsidRPr="00074F01">
          <w:rPr>
            <w:rStyle w:val="Lienhypertexte"/>
          </w:rPr>
          <w:t>Afrique</w:t>
        </w:r>
      </w:hyperlink>
      <w:r w:rsidRPr="00074F01">
        <w:t>, </w:t>
      </w:r>
      <w:hyperlink r:id="rId4093" w:history="1">
        <w:r w:rsidRPr="00074F01">
          <w:rPr>
            <w:rStyle w:val="Lienhypertexte"/>
          </w:rPr>
          <w:t>Asie</w:t>
        </w:r>
      </w:hyperlink>
      <w:r w:rsidRPr="00074F01">
        <w:t>, </w:t>
      </w:r>
      <w:hyperlink r:id="rId4094" w:history="1">
        <w:r w:rsidRPr="00074F01">
          <w:rPr>
            <w:rStyle w:val="Lienhypertexte"/>
          </w:rPr>
          <w:t>Australie</w:t>
        </w:r>
      </w:hyperlink>
      <w:r w:rsidRPr="00074F01">
        <w:t> et ailleurs.</w:t>
      </w:r>
    </w:p>
    <w:p w14:paraId="1F3AADAF" w14:textId="2DD26FDE" w:rsidR="00074F01" w:rsidRPr="00074F01" w:rsidRDefault="00074F01" w:rsidP="00074F01">
      <w:pPr>
        <w:spacing w:after="0" w:line="240" w:lineRule="auto"/>
        <w:jc w:val="both"/>
      </w:pPr>
      <w:r w:rsidRPr="00074F01">
        <w:t>La prolifération des « </w:t>
      </w:r>
      <w:r w:rsidRPr="00074F01">
        <w:rPr>
          <w:i/>
          <w:iCs/>
        </w:rPr>
        <w:t>mesquites</w:t>
      </w:r>
      <w:r w:rsidRPr="00074F01">
        <w:t xml:space="preserve"> » est accusée de contribuer à l’abaissement du niveau de la </w:t>
      </w:r>
      <w:hyperlink r:id="rId4095" w:history="1">
        <w:r w:rsidRPr="00074F01">
          <w:rPr>
            <w:rStyle w:val="Lienhypertexte"/>
          </w:rPr>
          <w:t>nappe phréatique</w:t>
        </w:r>
      </w:hyperlink>
      <w:r w:rsidRPr="00074F01">
        <w:t>. Pour cette raison, un procédé de gestion de la perte de l’eau, dans les zones arides, est l</w:t>
      </w:r>
      <w:r w:rsidR="00BE2BDC">
        <w:t>’</w:t>
      </w:r>
      <w:r w:rsidRPr="00074F01">
        <w:t>élimination des « </w:t>
      </w:r>
      <w:r w:rsidRPr="00074F01">
        <w:rPr>
          <w:i/>
          <w:iCs/>
        </w:rPr>
        <w:t>mesquites</w:t>
      </w:r>
      <w:r w:rsidRPr="00074F01">
        <w:t> ».</w:t>
      </w:r>
    </w:p>
    <w:p w14:paraId="2FC2F0EF" w14:textId="206AF8CF" w:rsidR="00074F01" w:rsidRPr="00074F01" w:rsidRDefault="00074F01" w:rsidP="00074F01">
      <w:pPr>
        <w:spacing w:after="0" w:line="240" w:lineRule="auto"/>
        <w:jc w:val="both"/>
      </w:pPr>
      <w:r w:rsidRPr="00074F01">
        <w:rPr>
          <w:u w:val="single"/>
        </w:rPr>
        <w:t>Habitat / écologie</w:t>
      </w:r>
      <w:r w:rsidR="00BE2BDC">
        <w:t> </w:t>
      </w:r>
      <w:r w:rsidRPr="00074F01">
        <w:t>: Le « </w:t>
      </w:r>
      <w:r w:rsidRPr="00074F01">
        <w:rPr>
          <w:i/>
          <w:iCs/>
        </w:rPr>
        <w:t>mesquite</w:t>
      </w:r>
      <w:r w:rsidRPr="00074F01">
        <w:t> » est extrêmement robuste. Il est tolérant à la </w:t>
      </w:r>
      <w:hyperlink r:id="rId4096" w:history="1">
        <w:r w:rsidRPr="00074F01">
          <w:rPr>
            <w:rStyle w:val="Lienhypertexte"/>
          </w:rPr>
          <w:t>sécheresse</w:t>
        </w:r>
      </w:hyperlink>
      <w:r w:rsidRPr="00074F01">
        <w:t>, pouvant tirer </w:t>
      </w:r>
      <w:hyperlink r:id="rId4097" w:history="1">
        <w:r w:rsidRPr="00074F01">
          <w:rPr>
            <w:rStyle w:val="Lienhypertexte"/>
          </w:rPr>
          <w:t>l</w:t>
        </w:r>
        <w:r w:rsidR="00BE2BDC">
          <w:rPr>
            <w:rStyle w:val="Lienhypertexte"/>
          </w:rPr>
          <w:t>’</w:t>
        </w:r>
        <w:r w:rsidRPr="00074F01">
          <w:rPr>
            <w:rStyle w:val="Lienhypertexte"/>
          </w:rPr>
          <w:t>eau</w:t>
        </w:r>
      </w:hyperlink>
      <w:r w:rsidRPr="00074F01">
        <w:t> de la </w:t>
      </w:r>
      <w:hyperlink r:id="rId4098" w:history="1">
        <w:r w:rsidRPr="00074F01">
          <w:rPr>
            <w:rStyle w:val="Lienhypertexte"/>
          </w:rPr>
          <w:t>nappe phréatique</w:t>
        </w:r>
      </w:hyperlink>
      <w:r w:rsidRPr="00074F01">
        <w:t> (</w:t>
      </w:r>
      <w:hyperlink r:id="rId4099" w:history="1">
        <w:r w:rsidRPr="00074F01">
          <w:rPr>
            <w:rStyle w:val="Lienhypertexte"/>
          </w:rPr>
          <w:t>phreatophyte</w:t>
        </w:r>
      </w:hyperlink>
      <w:r w:rsidRPr="00074F01">
        <w:t>) grâce à sa longue </w:t>
      </w:r>
      <w:hyperlink r:id="rId4100" w:history="1">
        <w:r w:rsidRPr="00074F01">
          <w:rPr>
            <w:rStyle w:val="Lienhypertexte"/>
          </w:rPr>
          <w:t>racine pivotante</w:t>
        </w:r>
      </w:hyperlink>
      <w:r w:rsidRPr="00074F01">
        <w:t xml:space="preserve"> (enregistré jusqu</w:t>
      </w:r>
      <w:r w:rsidR="00BE2BDC">
        <w:t>’</w:t>
      </w:r>
      <w:r w:rsidRPr="00074F01">
        <w:t>à 58 m de profondeur). Il peut également utiliser de l</w:t>
      </w:r>
      <w:r w:rsidR="00BE2BDC">
        <w:t>’</w:t>
      </w:r>
      <w:r w:rsidRPr="00074F01">
        <w:t>eau dans la partie supérieure du sol, en fonction de sa disponibilité et peut facilement passer d</w:t>
      </w:r>
      <w:r w:rsidR="00BE2BDC">
        <w:t>’</w:t>
      </w:r>
      <w:r w:rsidRPr="00074F01">
        <w:t>une source d</w:t>
      </w:r>
      <w:r w:rsidR="00BE2BDC">
        <w:t>’</w:t>
      </w:r>
      <w:r w:rsidRPr="00074F01">
        <w:t>eau à l</w:t>
      </w:r>
      <w:r w:rsidR="00BE2BDC">
        <w:t>’</w:t>
      </w:r>
      <w:r w:rsidRPr="00074F01">
        <w:t>autre.</w:t>
      </w:r>
      <w:r w:rsidR="002672DF">
        <w:t xml:space="preserve"> </w:t>
      </w:r>
      <w:r w:rsidRPr="00074F01">
        <w:t>« </w:t>
      </w:r>
      <w:r>
        <w:rPr>
          <w:i/>
          <w:iCs/>
        </w:rPr>
        <w:t>P</w:t>
      </w:r>
      <w:r w:rsidRPr="00074F01">
        <w:rPr>
          <w:i/>
          <w:iCs/>
        </w:rPr>
        <w:t>rairies, zones arbustives, forêts sèches. Cet arbre, résistant à la sécheresse, aux sols gorgés d</w:t>
      </w:r>
      <w:r w:rsidR="00BE2BDC">
        <w:rPr>
          <w:i/>
          <w:iCs/>
        </w:rPr>
        <w:t>’</w:t>
      </w:r>
      <w:r w:rsidRPr="00074F01">
        <w:rPr>
          <w:i/>
          <w:iCs/>
        </w:rPr>
        <w:t>eau, et au sel, fixe l</w:t>
      </w:r>
      <w:r w:rsidR="00BE2BDC">
        <w:rPr>
          <w:i/>
          <w:iCs/>
        </w:rPr>
        <w:t>’</w:t>
      </w:r>
      <w:r w:rsidRPr="00074F01">
        <w:rPr>
          <w:i/>
          <w:iCs/>
        </w:rPr>
        <w:t>azote. Il a des racines profondes. Il forme rapidement des fourrés épineux denses qui réduisent la richesse des espèces indigènes. Il envahit les prairies qui sont transformées en forêts et espaces boisés. La perte de la couverture herbeuse sous son couvert peut favoriser l</w:t>
      </w:r>
      <w:r w:rsidR="00BE2BDC">
        <w:rPr>
          <w:i/>
          <w:iCs/>
        </w:rPr>
        <w:t>’</w:t>
      </w:r>
      <w:r w:rsidRPr="00074F01">
        <w:rPr>
          <w:i/>
          <w:iCs/>
        </w:rPr>
        <w:t xml:space="preserve">érosion des sols. Il supporte bien les dommages [résiste à la mutilation] </w:t>
      </w:r>
      <w:r w:rsidRPr="00074F01">
        <w:t>»(Weber, 2003</w:t>
      </w:r>
      <w:r>
        <w:t>,</w:t>
      </w:r>
      <w:r w:rsidRPr="00074F01">
        <w:t xml:space="preserve"> p 344).</w:t>
      </w:r>
    </w:p>
    <w:p w14:paraId="64A1C562" w14:textId="7183C544" w:rsidR="00074F01" w:rsidRPr="00074F01" w:rsidRDefault="00074F01" w:rsidP="00074F01">
      <w:pPr>
        <w:spacing w:after="0" w:line="240" w:lineRule="auto"/>
        <w:jc w:val="both"/>
      </w:pPr>
      <w:r w:rsidRPr="00074F01">
        <w:t xml:space="preserve"> « </w:t>
      </w:r>
      <w:r w:rsidRPr="00074F01">
        <w:rPr>
          <w:i/>
          <w:iCs/>
        </w:rPr>
        <w:t>Producteur prolifique de semences, ses graines sont dispersées par l</w:t>
      </w:r>
      <w:r w:rsidR="00BE2BDC">
        <w:rPr>
          <w:i/>
          <w:iCs/>
        </w:rPr>
        <w:t>’</w:t>
      </w:r>
      <w:r w:rsidRPr="00074F01">
        <w:rPr>
          <w:i/>
          <w:iCs/>
        </w:rPr>
        <w:t>eau et les animaux</w:t>
      </w:r>
      <w:r w:rsidRPr="00074F01">
        <w:t> » (Weber, 2003</w:t>
      </w:r>
      <w:r w:rsidR="00BE2BDC">
        <w:t> </w:t>
      </w:r>
      <w:r w:rsidRPr="00074F01">
        <w:t>; p. 344).</w:t>
      </w:r>
    </w:p>
    <w:p w14:paraId="2D1E2229" w14:textId="4621845C" w:rsidR="00074F01" w:rsidRDefault="00074F01" w:rsidP="00074F01">
      <w:pPr>
        <w:spacing w:after="0" w:line="240" w:lineRule="auto"/>
        <w:jc w:val="both"/>
      </w:pPr>
      <w:r w:rsidRPr="00074F01">
        <w:t xml:space="preserve">  Le verger à graines de Mitsinjo, région Sud</w:t>
      </w:r>
      <w:r>
        <w:t>-</w:t>
      </w:r>
      <w:r w:rsidRPr="00074F01">
        <w:t xml:space="preserve">Ouest de Madagascar, possède du </w:t>
      </w:r>
      <w:r w:rsidRPr="00074F01">
        <w:rPr>
          <w:i/>
          <w:iCs/>
        </w:rPr>
        <w:t>Prosopis juliflora</w:t>
      </w:r>
      <w:r w:rsidRPr="00074F01">
        <w:t xml:space="preserve"> (source</w:t>
      </w:r>
      <w:r w:rsidR="00BE2BDC">
        <w:t> </w:t>
      </w:r>
      <w:r w:rsidRPr="00074F01">
        <w:t>: FOFIFA).</w:t>
      </w:r>
    </w:p>
    <w:p w14:paraId="78114566" w14:textId="53D98771" w:rsidR="00074F01" w:rsidRPr="00074F01" w:rsidRDefault="00074F01" w:rsidP="00074F01">
      <w:pPr>
        <w:spacing w:after="0" w:line="240" w:lineRule="auto"/>
        <w:jc w:val="both"/>
      </w:pPr>
      <w:r w:rsidRPr="00074F01">
        <w:rPr>
          <w:u w:val="single"/>
        </w:rPr>
        <w:t>Usages</w:t>
      </w:r>
      <w:r w:rsidR="00BE2BDC">
        <w:t> </w:t>
      </w:r>
      <w:r>
        <w:t>:</w:t>
      </w:r>
      <w:r w:rsidRPr="00074F01">
        <w:t xml:space="preserve"> </w:t>
      </w:r>
      <w:r w:rsidR="00646BD0">
        <w:t>L’espèce</w:t>
      </w:r>
      <w:r w:rsidRPr="00074F01">
        <w:t xml:space="preserve"> est source de fourrage, de bois et utilisé pour fixer les dunes et fertiliser les sols.</w:t>
      </w:r>
      <w:r w:rsidR="00646BD0">
        <w:t xml:space="preserve"> </w:t>
      </w:r>
      <w:r w:rsidR="00646BD0" w:rsidRPr="00646BD0">
        <w:t>Les gousses sucrées sont comestibles et nutritives, et ont été une source de nourriture pour les peuples autochtones du Pérou, du Chili et de la Californie. Elles peuvent être</w:t>
      </w:r>
      <w:r w:rsidR="00646BD0">
        <w:t xml:space="preserve"> </w:t>
      </w:r>
      <w:r w:rsidR="00646BD0" w:rsidRPr="00646BD0">
        <w:t>stockés</w:t>
      </w:r>
      <w:r w:rsidR="00646BD0">
        <w:t>,</w:t>
      </w:r>
      <w:r w:rsidR="00646BD0" w:rsidRPr="00646BD0">
        <w:t xml:space="preserve"> consommés crus, bouillis ou fermentés pour en faire une boisson légèrement alcoolisée.</w:t>
      </w:r>
      <w:r w:rsidR="00646BD0">
        <w:t xml:space="preserve"> </w:t>
      </w:r>
      <w:r w:rsidRPr="00074F01">
        <w:t>Ses fleurs fournissent une </w:t>
      </w:r>
      <w:hyperlink r:id="rId4101" w:history="1">
        <w:r w:rsidRPr="00074F01">
          <w:rPr>
            <w:rStyle w:val="Lienhypertexte"/>
          </w:rPr>
          <w:t>source de nectar</w:t>
        </w:r>
      </w:hyperlink>
      <w:r w:rsidRPr="00074F01">
        <w:t xml:space="preserve"> avec lequel les abeilles font le </w:t>
      </w:r>
      <w:r w:rsidRPr="00074F01">
        <w:rPr>
          <w:i/>
          <w:iCs/>
        </w:rPr>
        <w:t>miel de mesquite</w:t>
      </w:r>
      <w:r w:rsidRPr="00074F01">
        <w:t>, à la saveur caractéristique.</w:t>
      </w:r>
    </w:p>
    <w:p w14:paraId="60AAF230" w14:textId="568CE46A" w:rsidR="00074F01" w:rsidRDefault="00074F01" w:rsidP="00074F01">
      <w:pPr>
        <w:spacing w:after="0" w:line="240" w:lineRule="auto"/>
      </w:pPr>
      <w:r w:rsidRPr="00074F01">
        <w:t>Sources</w:t>
      </w:r>
      <w:r w:rsidR="00BE2BDC">
        <w:t> </w:t>
      </w:r>
      <w:r w:rsidRPr="00074F01">
        <w:t xml:space="preserve">: a) </w:t>
      </w:r>
      <w:hyperlink r:id="rId4102" w:history="1">
        <w:r w:rsidRPr="00074F01">
          <w:rPr>
            <w:rStyle w:val="Lienhypertexte"/>
          </w:rPr>
          <w:t>http</w:t>
        </w:r>
        <w:r w:rsidR="00BE2BDC">
          <w:rPr>
            <w:rStyle w:val="Lienhypertexte"/>
          </w:rPr>
          <w:t> </w:t>
        </w:r>
        <w:r w:rsidRPr="00074F01">
          <w:rPr>
            <w:rStyle w:val="Lienhypertexte"/>
          </w:rPr>
          <w:t>://fr.wikipedia.org/wiki/Prosopis_juliflora</w:t>
        </w:r>
      </w:hyperlink>
      <w:r w:rsidRPr="00074F01">
        <w:t xml:space="preserve">, b) </w:t>
      </w:r>
      <w:hyperlink r:id="rId4103" w:history="1">
        <w:r w:rsidRPr="00074F01">
          <w:rPr>
            <w:rStyle w:val="Lienhypertexte"/>
          </w:rPr>
          <w:t>http</w:t>
        </w:r>
        <w:r w:rsidR="00BE2BDC">
          <w:rPr>
            <w:rStyle w:val="Lienhypertexte"/>
          </w:rPr>
          <w:t> </w:t>
        </w:r>
        <w:r w:rsidRPr="00074F01">
          <w:rPr>
            <w:rStyle w:val="Lienhypertexte"/>
          </w:rPr>
          <w:t>://en.wikipedia.org/wiki/Prosopis_juliflora</w:t>
        </w:r>
      </w:hyperlink>
      <w:r w:rsidRPr="00074F01">
        <w:t xml:space="preserve">, </w:t>
      </w:r>
    </w:p>
    <w:p w14:paraId="49A05756" w14:textId="0D4ADB59" w:rsidR="00074F01" w:rsidRPr="00074F01" w:rsidRDefault="00074F01" w:rsidP="00074F01">
      <w:pPr>
        <w:spacing w:after="0" w:line="240" w:lineRule="auto"/>
      </w:pPr>
      <w:r w:rsidRPr="00074F01">
        <w:t xml:space="preserve">c) </w:t>
      </w:r>
      <w:hyperlink r:id="rId4104" w:history="1">
        <w:r w:rsidRPr="00074F01">
          <w:rPr>
            <w:rStyle w:val="Lienhypertexte"/>
          </w:rPr>
          <w:t>http</w:t>
        </w:r>
        <w:r w:rsidR="00BE2BDC">
          <w:rPr>
            <w:rStyle w:val="Lienhypertexte"/>
          </w:rPr>
          <w:t> </w:t>
        </w:r>
        <w:r w:rsidRPr="00074F01">
          <w:rPr>
            <w:rStyle w:val="Lienhypertexte"/>
          </w:rPr>
          <w:t>://www.fofifa.mg/presentation_drfp.php</w:t>
        </w:r>
      </w:hyperlink>
      <w:r w:rsidRPr="00074F01">
        <w:t>,</w:t>
      </w:r>
    </w:p>
    <w:p w14:paraId="1547E66E" w14:textId="0BCDA10E" w:rsidR="00074F01" w:rsidRPr="00074F01" w:rsidRDefault="00074F01" w:rsidP="00074F01">
      <w:pPr>
        <w:spacing w:after="0" w:line="240" w:lineRule="auto"/>
      </w:pPr>
      <w:r w:rsidRPr="00074F01">
        <w:t xml:space="preserve">d) </w:t>
      </w:r>
      <w:hyperlink r:id="rId4105" w:history="1">
        <w:r w:rsidRPr="00074F01">
          <w:rPr>
            <w:rStyle w:val="Lienhypertexte"/>
          </w:rPr>
          <w:t>http</w:t>
        </w:r>
        <w:r w:rsidR="00BE2BDC">
          <w:rPr>
            <w:rStyle w:val="Lienhypertexte"/>
          </w:rPr>
          <w:t> </w:t>
        </w:r>
        <w:r w:rsidRPr="00074F01">
          <w:rPr>
            <w:rStyle w:val="Lienhypertexte"/>
          </w:rPr>
          <w:t>://www.fao.org/docrep/006/ad317e/AD317E02.htm</w:t>
        </w:r>
      </w:hyperlink>
      <w:r>
        <w:t>,</w:t>
      </w:r>
    </w:p>
    <w:p w14:paraId="27434CB2" w14:textId="1919FE92" w:rsidR="00074F01" w:rsidRPr="00074F01" w:rsidRDefault="00074F01" w:rsidP="00074F01">
      <w:pPr>
        <w:spacing w:after="0" w:line="240" w:lineRule="auto"/>
        <w:rPr>
          <w:lang w:val="es-AR"/>
        </w:rPr>
      </w:pPr>
      <w:r w:rsidRPr="00074F01">
        <w:rPr>
          <w:lang w:val="es-AR"/>
        </w:rPr>
        <w:t xml:space="preserve">e) </w:t>
      </w:r>
      <w:hyperlink r:id="rId4106" w:history="1">
        <w:r w:rsidRPr="00074F01">
          <w:rPr>
            <w:rStyle w:val="Lienhypertexte"/>
            <w:lang w:val="es-AR"/>
          </w:rPr>
          <w:t>http://www.hear.org/pier/species/prosopis_juliflora.htm</w:t>
        </w:r>
      </w:hyperlink>
      <w:r w:rsidRPr="00074F01">
        <w:rPr>
          <w:lang w:val="es-AR"/>
        </w:rPr>
        <w:t xml:space="preserve">, f) </w:t>
      </w:r>
      <w:hyperlink r:id="rId4107" w:history="1">
        <w:r w:rsidRPr="00074F01">
          <w:rPr>
            <w:rStyle w:val="Lienhypertexte"/>
            <w:lang w:val="es-AR"/>
          </w:rPr>
          <w:t>http://en.wikipedia.org/wiki/Mesquite</w:t>
        </w:r>
      </w:hyperlink>
    </w:p>
    <w:p w14:paraId="6E96B1E4" w14:textId="273E2E0B" w:rsidR="00BE644D" w:rsidRPr="00074F01" w:rsidRDefault="00BE644D" w:rsidP="00EC7965">
      <w:pPr>
        <w:spacing w:after="0" w:line="240" w:lineRule="auto"/>
        <w:jc w:val="both"/>
        <w:rPr>
          <w:lang w:val="es-AR"/>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1"/>
        <w:gridCol w:w="3412"/>
        <w:gridCol w:w="2773"/>
      </w:tblGrid>
      <w:tr w:rsidR="00BE2BDC" w14:paraId="508DAF70" w14:textId="77777777" w:rsidTr="00BE2BDC">
        <w:tc>
          <w:tcPr>
            <w:tcW w:w="3472" w:type="dxa"/>
          </w:tcPr>
          <w:p w14:paraId="7535A756" w14:textId="696CD181" w:rsidR="00BE2BDC" w:rsidRDefault="00BE2BDC" w:rsidP="00BE2BDC">
            <w:pPr>
              <w:jc w:val="center"/>
              <w:rPr>
                <w:lang w:val="es-AR"/>
              </w:rPr>
            </w:pPr>
            <w:r w:rsidRPr="00BE2BDC">
              <w:rPr>
                <w:noProof/>
              </w:rPr>
              <w:drawing>
                <wp:inline distT="0" distB="0" distL="0" distR="0" wp14:anchorId="0EAE4358" wp14:editId="4E5A35A6">
                  <wp:extent cx="2555875" cy="1533525"/>
                  <wp:effectExtent l="0" t="0" r="0" b="9525"/>
                  <wp:docPr id="179207" name="Picture 3" descr="C:\Users\LISAN\Pictures\plantes invasives de Madagascar\prosopis juliflora_invasio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07" name="Picture 3" descr="C:\Users\LISAN\Pictures\plantes invasives de Madagascar\prosopis juliflora_invasion2.jpg"/>
                          <pic:cNvPicPr>
                            <a:picLocks noChangeAspect="1" noChangeArrowheads="1"/>
                          </pic:cNvPicPr>
                        </pic:nvPicPr>
                        <pic:blipFill>
                          <a:blip r:embed="rId4108">
                            <a:extLst>
                              <a:ext uri="{28A0092B-C50C-407E-A947-70E740481C1C}">
                                <a14:useLocalDpi xmlns:a14="http://schemas.microsoft.com/office/drawing/2010/main" val="0"/>
                              </a:ext>
                            </a:extLst>
                          </a:blip>
                          <a:srcRect/>
                          <a:stretch>
                            <a:fillRect/>
                          </a:stretch>
                        </pic:blipFill>
                        <pic:spPr bwMode="auto">
                          <a:xfrm>
                            <a:off x="0" y="0"/>
                            <a:ext cx="2555875" cy="1533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2F4C7DFC" w14:textId="77777777" w:rsidR="00BE2BDC" w:rsidRDefault="00BE2BDC" w:rsidP="00BE2BDC">
            <w:pPr>
              <w:jc w:val="center"/>
              <w:rPr>
                <w:lang w:val="es-AR"/>
              </w:rPr>
            </w:pPr>
            <w:r w:rsidRPr="00BE2BDC">
              <w:rPr>
                <w:noProof/>
              </w:rPr>
              <w:drawing>
                <wp:inline distT="0" distB="0" distL="0" distR="0" wp14:anchorId="0B9FFDCC" wp14:editId="13D83ACD">
                  <wp:extent cx="1905000" cy="1524000"/>
                  <wp:effectExtent l="0" t="0" r="0" b="0"/>
                  <wp:docPr id="179210" name="Picture 6" descr="C:\Users\LISAN\Pictures\plantes invasives de Madagascar\Prosopis_juliflora-inflorescenc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10" name="Picture 6" descr="C:\Users\LISAN\Pictures\plantes invasives de Madagascar\Prosopis_juliflora-inflorescence2.jpg"/>
                          <pic:cNvPicPr>
                            <a:picLocks noChangeAspect="1" noChangeArrowheads="1"/>
                          </pic:cNvPicPr>
                        </pic:nvPicPr>
                        <pic:blipFill>
                          <a:blip r:embed="rId4109">
                            <a:extLst>
                              <a:ext uri="{28A0092B-C50C-407E-A947-70E740481C1C}">
                                <a14:useLocalDpi xmlns:a14="http://schemas.microsoft.com/office/drawing/2010/main" val="0"/>
                              </a:ext>
                            </a:extLst>
                          </a:blip>
                          <a:srcRect/>
                          <a:stretch>
                            <a:fillRect/>
                          </a:stretch>
                        </pic:blipFill>
                        <pic:spPr bwMode="auto">
                          <a:xfrm>
                            <a:off x="0" y="0"/>
                            <a:ext cx="1905000" cy="152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6618827" w14:textId="70FE2E6A" w:rsidR="00E74F18" w:rsidRPr="00CF271D" w:rsidRDefault="00000000" w:rsidP="00BE2BDC">
            <w:pPr>
              <w:jc w:val="center"/>
              <w:rPr>
                <w:rFonts w:ascii="Calibri" w:hAnsi="Calibri" w:cs="Calibri"/>
              </w:rPr>
            </w:pPr>
            <w:hyperlink r:id="rId4110" w:history="1">
              <w:r w:rsidR="00CF271D" w:rsidRPr="00CF271D">
                <w:rPr>
                  <w:rStyle w:val="Lienhypertexte"/>
                  <w:rFonts w:ascii="Calibri" w:hAnsi="Calibri" w:cs="Calibri"/>
                  <w:color w:val="0645AD"/>
                  <w:shd w:val="clear" w:color="auto" w:fill="F8F9FA"/>
                </w:rPr>
                <w:t>Inflorescences</w:t>
              </w:r>
            </w:hyperlink>
            <w:r w:rsidR="00CF271D" w:rsidRPr="00CF271D">
              <w:rPr>
                <w:rFonts w:ascii="Calibri" w:hAnsi="Calibri" w:cs="Calibri"/>
                <w:color w:val="202122"/>
                <w:shd w:val="clear" w:color="auto" w:fill="F8F9FA"/>
              </w:rPr>
              <w:t> et feuilles de </w:t>
            </w:r>
            <w:r w:rsidR="00CF271D" w:rsidRPr="00CF271D">
              <w:rPr>
                <w:rFonts w:ascii="Calibri" w:hAnsi="Calibri" w:cs="Calibri"/>
                <w:i/>
                <w:iCs/>
                <w:color w:val="202122"/>
                <w:shd w:val="clear" w:color="auto" w:fill="F8F9FA"/>
              </w:rPr>
              <w:t>P</w:t>
            </w:r>
            <w:r w:rsidR="00CF271D">
              <w:rPr>
                <w:rFonts w:ascii="Calibri" w:hAnsi="Calibri" w:cs="Calibri"/>
                <w:i/>
                <w:iCs/>
                <w:color w:val="202122"/>
                <w:shd w:val="clear" w:color="auto" w:fill="F8F9FA"/>
              </w:rPr>
              <w:t>.</w:t>
            </w:r>
            <w:r w:rsidR="00CF271D" w:rsidRPr="00CF271D">
              <w:rPr>
                <w:rFonts w:ascii="Calibri" w:hAnsi="Calibri" w:cs="Calibri"/>
                <w:i/>
                <w:iCs/>
                <w:color w:val="202122"/>
                <w:shd w:val="clear" w:color="auto" w:fill="F8F9FA"/>
              </w:rPr>
              <w:t xml:space="preserve"> juliflora</w:t>
            </w:r>
            <w:r w:rsidR="00CF271D" w:rsidRPr="00CF271D">
              <w:rPr>
                <w:rFonts w:ascii="Calibri" w:hAnsi="Calibri" w:cs="Calibri"/>
                <w:color w:val="202122"/>
                <w:shd w:val="clear" w:color="auto" w:fill="F8F9FA"/>
              </w:rPr>
              <w:t>, </w:t>
            </w:r>
            <w:hyperlink r:id="rId4111" w:tooltip="Sanctuaire de la faune de Krishna" w:history="1">
              <w:r w:rsidR="00CF271D" w:rsidRPr="00CF271D">
                <w:rPr>
                  <w:rStyle w:val="Lienhypertexte"/>
                  <w:rFonts w:ascii="Calibri" w:hAnsi="Calibri" w:cs="Calibri"/>
                  <w:color w:val="0645AD"/>
                  <w:shd w:val="clear" w:color="auto" w:fill="F8F9FA"/>
                </w:rPr>
                <w:t>Krishna Wildlife Sanctuary</w:t>
              </w:r>
            </w:hyperlink>
            <w:r w:rsidR="00CF271D" w:rsidRPr="00CF271D">
              <w:rPr>
                <w:rFonts w:ascii="Calibri" w:hAnsi="Calibri" w:cs="Calibri"/>
                <w:color w:val="202122"/>
                <w:shd w:val="clear" w:color="auto" w:fill="F8F9FA"/>
              </w:rPr>
              <w:t> (Andhra Pradesh, Inde).</w:t>
            </w:r>
          </w:p>
        </w:tc>
        <w:tc>
          <w:tcPr>
            <w:tcW w:w="3472" w:type="dxa"/>
          </w:tcPr>
          <w:p w14:paraId="35849042" w14:textId="77777777" w:rsidR="00BE2BDC" w:rsidRDefault="00BE2BDC" w:rsidP="00BE2BDC">
            <w:pPr>
              <w:jc w:val="center"/>
              <w:rPr>
                <w:lang w:val="es-AR"/>
              </w:rPr>
            </w:pPr>
            <w:r w:rsidRPr="00BE2BDC">
              <w:rPr>
                <w:noProof/>
              </w:rPr>
              <w:drawing>
                <wp:inline distT="0" distB="0" distL="0" distR="0" wp14:anchorId="38F2D265" wp14:editId="6C3679C4">
                  <wp:extent cx="1305100" cy="981075"/>
                  <wp:effectExtent l="0" t="0" r="9525" b="0"/>
                  <wp:docPr id="179211" name="Picture 7" descr="C:\Users\LISAN\Pictures\plantes invasives de Madagascar\Mesquite_epi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11" name="Picture 7" descr="C:\Users\LISAN\Pictures\plantes invasives de Madagascar\Mesquite_epines.jpg"/>
                          <pic:cNvPicPr>
                            <a:picLocks noChangeAspect="1" noChangeArrowheads="1"/>
                          </pic:cNvPicPr>
                        </pic:nvPicPr>
                        <pic:blipFill>
                          <a:blip r:embed="rId4112">
                            <a:extLst>
                              <a:ext uri="{28A0092B-C50C-407E-A947-70E740481C1C}">
                                <a14:useLocalDpi xmlns:a14="http://schemas.microsoft.com/office/drawing/2010/main" val="0"/>
                              </a:ext>
                            </a:extLst>
                          </a:blip>
                          <a:srcRect/>
                          <a:stretch>
                            <a:fillRect/>
                          </a:stretch>
                        </pic:blipFill>
                        <pic:spPr bwMode="auto">
                          <a:xfrm>
                            <a:off x="0" y="0"/>
                            <a:ext cx="1306688" cy="982269"/>
                          </a:xfrm>
                          <a:prstGeom prst="rect">
                            <a:avLst/>
                          </a:prstGeom>
                          <a:noFill/>
                          <a:ln>
                            <a:noFill/>
                          </a:ln>
                        </pic:spPr>
                      </pic:pic>
                    </a:graphicData>
                  </a:graphic>
                </wp:inline>
              </w:drawing>
            </w:r>
          </w:p>
          <w:p w14:paraId="06B10807" w14:textId="4506D363" w:rsidR="00BE2BDC" w:rsidRPr="00646BD0" w:rsidRDefault="00BE2BDC" w:rsidP="00BE2BDC">
            <w:pPr>
              <w:jc w:val="center"/>
            </w:pPr>
            <w:r w:rsidRPr="00646BD0">
              <w:t>Epines</w:t>
            </w:r>
          </w:p>
        </w:tc>
      </w:tr>
      <w:tr w:rsidR="00BE2BDC" w14:paraId="6DE7C74F" w14:textId="77777777" w:rsidTr="00BE2BDC">
        <w:tc>
          <w:tcPr>
            <w:tcW w:w="3472" w:type="dxa"/>
          </w:tcPr>
          <w:p w14:paraId="3ADF014F" w14:textId="77777777" w:rsidR="00BE2BDC" w:rsidRDefault="00BE2BDC" w:rsidP="00BE2BDC">
            <w:pPr>
              <w:jc w:val="center"/>
              <w:rPr>
                <w:lang w:val="es-AR"/>
              </w:rPr>
            </w:pPr>
            <w:r w:rsidRPr="00BE2BDC">
              <w:rPr>
                <w:noProof/>
              </w:rPr>
              <w:drawing>
                <wp:inline distT="0" distB="0" distL="0" distR="0" wp14:anchorId="1ABCC386" wp14:editId="56A5A2BE">
                  <wp:extent cx="2039937" cy="1530350"/>
                  <wp:effectExtent l="0" t="0" r="0" b="0"/>
                  <wp:docPr id="179208" name="Picture 4" descr="C:\Users\LISAN\Pictures\plantes invasives de Madagascar\Prosopis_juliflora_invas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08" name="Picture 4" descr="C:\Users\LISAN\Pictures\plantes invasives de Madagascar\Prosopis_juliflora_invasion.JPG"/>
                          <pic:cNvPicPr>
                            <a:picLocks noChangeAspect="1" noChangeArrowheads="1"/>
                          </pic:cNvPicPr>
                        </pic:nvPicPr>
                        <pic:blipFill>
                          <a:blip r:embed="rId4113">
                            <a:extLst>
                              <a:ext uri="{28A0092B-C50C-407E-A947-70E740481C1C}">
                                <a14:useLocalDpi xmlns:a14="http://schemas.microsoft.com/office/drawing/2010/main" val="0"/>
                              </a:ext>
                            </a:extLst>
                          </a:blip>
                          <a:srcRect/>
                          <a:stretch>
                            <a:fillRect/>
                          </a:stretch>
                        </pic:blipFill>
                        <pic:spPr bwMode="auto">
                          <a:xfrm>
                            <a:off x="0" y="0"/>
                            <a:ext cx="2039937" cy="1530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66902CAF" w14:textId="20E9A644" w:rsidR="00CF271D" w:rsidRPr="00CF271D" w:rsidRDefault="00CF271D" w:rsidP="00BE2BDC">
            <w:pPr>
              <w:jc w:val="center"/>
              <w:rPr>
                <w:rFonts w:ascii="Calibri" w:hAnsi="Calibri" w:cs="Calibri"/>
              </w:rPr>
            </w:pPr>
            <w:r w:rsidRPr="00CF271D">
              <w:rPr>
                <w:rFonts w:ascii="Calibri" w:hAnsi="Calibri" w:cs="Calibri"/>
                <w:i/>
                <w:iCs/>
                <w:color w:val="202122"/>
                <w:shd w:val="clear" w:color="auto" w:fill="F8F9FA"/>
              </w:rPr>
              <w:t>P</w:t>
            </w:r>
            <w:r>
              <w:rPr>
                <w:rFonts w:ascii="Calibri" w:hAnsi="Calibri" w:cs="Calibri"/>
                <w:i/>
                <w:iCs/>
                <w:color w:val="202122"/>
                <w:shd w:val="clear" w:color="auto" w:fill="F8F9FA"/>
              </w:rPr>
              <w:t>rosopis</w:t>
            </w:r>
            <w:r w:rsidRPr="00CF271D">
              <w:rPr>
                <w:rFonts w:ascii="Calibri" w:hAnsi="Calibri" w:cs="Calibri"/>
                <w:i/>
                <w:iCs/>
                <w:color w:val="202122"/>
                <w:shd w:val="clear" w:color="auto" w:fill="F8F9FA"/>
              </w:rPr>
              <w:t xml:space="preserve"> juliflora</w:t>
            </w:r>
            <w:r w:rsidRPr="00CF271D">
              <w:rPr>
                <w:rFonts w:ascii="Calibri" w:hAnsi="Calibri" w:cs="Calibri"/>
                <w:color w:val="202122"/>
                <w:shd w:val="clear" w:color="auto" w:fill="F8F9FA"/>
              </w:rPr>
              <w:t> envahissant dans le </w:t>
            </w:r>
            <w:hyperlink r:id="rId4114" w:tooltip="Tamil Nadu" w:history="1">
              <w:r w:rsidRPr="00CF271D">
                <w:rPr>
                  <w:rStyle w:val="Lienhypertexte"/>
                  <w:rFonts w:ascii="Calibri" w:hAnsi="Calibri" w:cs="Calibri"/>
                  <w:color w:val="0645AD"/>
                  <w:shd w:val="clear" w:color="auto" w:fill="F8F9FA"/>
                </w:rPr>
                <w:t>Tamil Nadu</w:t>
              </w:r>
            </w:hyperlink>
            <w:r w:rsidRPr="00CF271D">
              <w:rPr>
                <w:rFonts w:ascii="Calibri" w:hAnsi="Calibri" w:cs="Calibri"/>
                <w:color w:val="202122"/>
                <w:shd w:val="clear" w:color="auto" w:fill="F8F9FA"/>
              </w:rPr>
              <w:t>, Inde.</w:t>
            </w:r>
          </w:p>
        </w:tc>
        <w:tc>
          <w:tcPr>
            <w:tcW w:w="3472" w:type="dxa"/>
          </w:tcPr>
          <w:p w14:paraId="0B87DC94" w14:textId="77777777" w:rsidR="00BE2BDC" w:rsidRPr="00CF271D" w:rsidRDefault="00BE2BDC" w:rsidP="00BE2BDC">
            <w:pPr>
              <w:jc w:val="center"/>
            </w:pPr>
          </w:p>
          <w:p w14:paraId="440F1CFA" w14:textId="57344AC9" w:rsidR="00646BD0" w:rsidRDefault="00646BD0" w:rsidP="00BE2BDC">
            <w:pPr>
              <w:jc w:val="center"/>
              <w:rPr>
                <w:lang w:val="es-AR"/>
              </w:rPr>
            </w:pPr>
            <w:r>
              <w:rPr>
                <w:noProof/>
              </w:rPr>
              <w:drawing>
                <wp:inline distT="0" distB="0" distL="0" distR="0" wp14:anchorId="779C19CA" wp14:editId="7A24E4E6">
                  <wp:extent cx="2003893" cy="1333500"/>
                  <wp:effectExtent l="0" t="0" r="0" b="0"/>
                  <wp:docPr id="166939" name="Image 166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115">
                            <a:extLst>
                              <a:ext uri="{28A0092B-C50C-407E-A947-70E740481C1C}">
                                <a14:useLocalDpi xmlns:a14="http://schemas.microsoft.com/office/drawing/2010/main" val="0"/>
                              </a:ext>
                            </a:extLst>
                          </a:blip>
                          <a:srcRect/>
                          <a:stretch>
                            <a:fillRect/>
                          </a:stretch>
                        </pic:blipFill>
                        <pic:spPr bwMode="auto">
                          <a:xfrm>
                            <a:off x="0" y="0"/>
                            <a:ext cx="2016950" cy="1342189"/>
                          </a:xfrm>
                          <a:prstGeom prst="rect">
                            <a:avLst/>
                          </a:prstGeom>
                          <a:noFill/>
                          <a:ln>
                            <a:noFill/>
                          </a:ln>
                        </pic:spPr>
                      </pic:pic>
                    </a:graphicData>
                  </a:graphic>
                </wp:inline>
              </w:drawing>
            </w:r>
          </w:p>
        </w:tc>
        <w:tc>
          <w:tcPr>
            <w:tcW w:w="3472" w:type="dxa"/>
          </w:tcPr>
          <w:p w14:paraId="7950D762" w14:textId="77777777" w:rsidR="00BE2BDC" w:rsidRDefault="00ED7487" w:rsidP="00BE2BDC">
            <w:pPr>
              <w:jc w:val="center"/>
              <w:rPr>
                <w:lang w:val="es-AR"/>
              </w:rPr>
            </w:pPr>
            <w:r w:rsidRPr="00BE2BDC">
              <w:rPr>
                <w:noProof/>
              </w:rPr>
              <w:drawing>
                <wp:inline distT="0" distB="0" distL="0" distR="0" wp14:anchorId="64E938C9" wp14:editId="623454E7">
                  <wp:extent cx="1127125" cy="1504950"/>
                  <wp:effectExtent l="0" t="0" r="0" b="0"/>
                  <wp:docPr id="179209" name="Picture 5" descr="C:\Users\LISAN\Pictures\plantes invasives de Madagascar\Prosopis_juliflora-gouss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09" name="Picture 5" descr="C:\Users\LISAN\Pictures\plantes invasives de Madagascar\Prosopis_juliflora-gousses.jpg"/>
                          <pic:cNvPicPr>
                            <a:picLocks noChangeAspect="1" noChangeArrowheads="1"/>
                          </pic:cNvPicPr>
                        </pic:nvPicPr>
                        <pic:blipFill>
                          <a:blip r:embed="rId4116">
                            <a:extLst>
                              <a:ext uri="{28A0092B-C50C-407E-A947-70E740481C1C}">
                                <a14:useLocalDpi xmlns:a14="http://schemas.microsoft.com/office/drawing/2010/main" val="0"/>
                              </a:ext>
                            </a:extLst>
                          </a:blip>
                          <a:srcRect/>
                          <a:stretch>
                            <a:fillRect/>
                          </a:stretch>
                        </pic:blipFill>
                        <pic:spPr bwMode="auto">
                          <a:xfrm>
                            <a:off x="0" y="0"/>
                            <a:ext cx="1127125" cy="1504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2D76FC6" w14:textId="069BF8F7" w:rsidR="00CF271D" w:rsidRPr="006D3D11" w:rsidRDefault="00CF271D" w:rsidP="00BE2BDC">
            <w:pPr>
              <w:jc w:val="center"/>
            </w:pPr>
            <w:r w:rsidRPr="006D3D11">
              <w:t>Gousses</w:t>
            </w:r>
          </w:p>
        </w:tc>
      </w:tr>
      <w:tr w:rsidR="00CF271D" w14:paraId="2AD11735" w14:textId="77777777" w:rsidTr="00BE2BDC">
        <w:tc>
          <w:tcPr>
            <w:tcW w:w="3472" w:type="dxa"/>
          </w:tcPr>
          <w:p w14:paraId="2A4596A8" w14:textId="77777777" w:rsidR="00CF271D" w:rsidRDefault="00CF271D" w:rsidP="00BE2BDC">
            <w:pPr>
              <w:jc w:val="center"/>
            </w:pPr>
          </w:p>
          <w:p w14:paraId="6B25CA86" w14:textId="77777777" w:rsidR="00CF271D" w:rsidRDefault="00CF271D" w:rsidP="00BE2BDC">
            <w:pPr>
              <w:jc w:val="center"/>
            </w:pPr>
            <w:r>
              <w:rPr>
                <w:noProof/>
              </w:rPr>
              <w:drawing>
                <wp:inline distT="0" distB="0" distL="0" distR="0" wp14:anchorId="2DB3B11E" wp14:editId="0BB247D7">
                  <wp:extent cx="1902835" cy="1428750"/>
                  <wp:effectExtent l="0" t="0" r="2540" b="0"/>
                  <wp:docPr id="166940" name="Image 166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117">
                            <a:extLst>
                              <a:ext uri="{28A0092B-C50C-407E-A947-70E740481C1C}">
                                <a14:useLocalDpi xmlns:a14="http://schemas.microsoft.com/office/drawing/2010/main" val="0"/>
                              </a:ext>
                            </a:extLst>
                          </a:blip>
                          <a:srcRect/>
                          <a:stretch>
                            <a:fillRect/>
                          </a:stretch>
                        </pic:blipFill>
                        <pic:spPr bwMode="auto">
                          <a:xfrm>
                            <a:off x="0" y="0"/>
                            <a:ext cx="1907161" cy="1431998"/>
                          </a:xfrm>
                          <a:prstGeom prst="rect">
                            <a:avLst/>
                          </a:prstGeom>
                          <a:noFill/>
                          <a:ln>
                            <a:noFill/>
                          </a:ln>
                        </pic:spPr>
                      </pic:pic>
                    </a:graphicData>
                  </a:graphic>
                </wp:inline>
              </w:drawing>
            </w:r>
          </w:p>
          <w:p w14:paraId="6DC0AD81" w14:textId="6E47679E" w:rsidR="00CF271D" w:rsidRPr="00BE2BDC" w:rsidRDefault="00CF271D" w:rsidP="00BE2BDC">
            <w:pPr>
              <w:jc w:val="center"/>
            </w:pPr>
            <w:r>
              <w:t>Jeune arbre.</w:t>
            </w:r>
          </w:p>
        </w:tc>
        <w:tc>
          <w:tcPr>
            <w:tcW w:w="3472" w:type="dxa"/>
          </w:tcPr>
          <w:p w14:paraId="13CD16B1" w14:textId="340F209A" w:rsidR="00CF271D" w:rsidRDefault="004A0BD4" w:rsidP="00BE2BDC">
            <w:pPr>
              <w:jc w:val="center"/>
              <w:rPr>
                <w:lang w:val="es-AR"/>
              </w:rPr>
            </w:pPr>
            <w:r>
              <w:rPr>
                <w:noProof/>
              </w:rPr>
              <w:drawing>
                <wp:inline distT="0" distB="0" distL="0" distR="0" wp14:anchorId="00D93ACE" wp14:editId="608B81BC">
                  <wp:extent cx="1228725" cy="1625698"/>
                  <wp:effectExtent l="0" t="0" r="0" b="0"/>
                  <wp:docPr id="166941" name="Image 166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118">
                            <a:extLst>
                              <a:ext uri="{28A0092B-C50C-407E-A947-70E740481C1C}">
                                <a14:useLocalDpi xmlns:a14="http://schemas.microsoft.com/office/drawing/2010/main" val="0"/>
                              </a:ext>
                            </a:extLst>
                          </a:blip>
                          <a:srcRect/>
                          <a:stretch>
                            <a:fillRect/>
                          </a:stretch>
                        </pic:blipFill>
                        <pic:spPr bwMode="auto">
                          <a:xfrm>
                            <a:off x="0" y="0"/>
                            <a:ext cx="1234323" cy="1633104"/>
                          </a:xfrm>
                          <a:prstGeom prst="rect">
                            <a:avLst/>
                          </a:prstGeom>
                          <a:noFill/>
                          <a:ln>
                            <a:noFill/>
                          </a:ln>
                        </pic:spPr>
                      </pic:pic>
                    </a:graphicData>
                  </a:graphic>
                </wp:inline>
              </w:drawing>
            </w:r>
          </w:p>
        </w:tc>
        <w:tc>
          <w:tcPr>
            <w:tcW w:w="3472" w:type="dxa"/>
          </w:tcPr>
          <w:p w14:paraId="30E7CFA6" w14:textId="77777777" w:rsidR="00CF271D" w:rsidRDefault="004A0BD4" w:rsidP="00BE2BDC">
            <w:pPr>
              <w:jc w:val="center"/>
            </w:pPr>
            <w:r>
              <w:rPr>
                <w:noProof/>
              </w:rPr>
              <w:drawing>
                <wp:inline distT="0" distB="0" distL="0" distR="0" wp14:anchorId="73757E7D" wp14:editId="194F17EF">
                  <wp:extent cx="1162933" cy="1552575"/>
                  <wp:effectExtent l="0" t="0" r="0" b="0"/>
                  <wp:docPr id="166942" name="Image 166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119">
                            <a:extLst>
                              <a:ext uri="{28A0092B-C50C-407E-A947-70E740481C1C}">
                                <a14:useLocalDpi xmlns:a14="http://schemas.microsoft.com/office/drawing/2010/main" val="0"/>
                              </a:ext>
                            </a:extLst>
                          </a:blip>
                          <a:srcRect/>
                          <a:stretch>
                            <a:fillRect/>
                          </a:stretch>
                        </pic:blipFill>
                        <pic:spPr bwMode="auto">
                          <a:xfrm>
                            <a:off x="0" y="0"/>
                            <a:ext cx="1172165" cy="1564900"/>
                          </a:xfrm>
                          <a:prstGeom prst="rect">
                            <a:avLst/>
                          </a:prstGeom>
                          <a:noFill/>
                          <a:ln>
                            <a:noFill/>
                          </a:ln>
                        </pic:spPr>
                      </pic:pic>
                    </a:graphicData>
                  </a:graphic>
                </wp:inline>
              </w:drawing>
            </w:r>
          </w:p>
          <w:p w14:paraId="3DEC3C46" w14:textId="4815E234" w:rsidR="006D3D11" w:rsidRPr="00BE2BDC" w:rsidRDefault="006D3D11" w:rsidP="00BE2BDC">
            <w:pPr>
              <w:jc w:val="center"/>
            </w:pPr>
            <w:r w:rsidRPr="006D3D11">
              <w:t>Gousses</w:t>
            </w:r>
          </w:p>
        </w:tc>
      </w:tr>
    </w:tbl>
    <w:p w14:paraId="1779347D" w14:textId="3EABD4B8" w:rsidR="00C878F5" w:rsidRDefault="00C878F5" w:rsidP="00BE2BDC">
      <w:pPr>
        <w:spacing w:after="0" w:line="240" w:lineRule="auto"/>
        <w:rPr>
          <w:lang w:val="es-AR"/>
        </w:rPr>
      </w:pPr>
    </w:p>
    <w:p w14:paraId="610C5D20" w14:textId="77777777" w:rsidR="00C878F5" w:rsidRDefault="00C878F5">
      <w:pPr>
        <w:rPr>
          <w:lang w:val="es-AR"/>
        </w:rPr>
      </w:pPr>
      <w:r>
        <w:rPr>
          <w:lang w:val="es-AR"/>
        </w:rPr>
        <w:br w:type="page"/>
      </w:r>
    </w:p>
    <w:p w14:paraId="67944870" w14:textId="77777777" w:rsidR="00074F01" w:rsidRDefault="00074F01" w:rsidP="00BE2BDC">
      <w:pPr>
        <w:spacing w:after="0" w:line="240" w:lineRule="auto"/>
        <w:rPr>
          <w:lang w:val="es-AR"/>
        </w:rPr>
      </w:pPr>
    </w:p>
    <w:p w14:paraId="2C08D0E5" w14:textId="4F8542B0" w:rsidR="00BE2BDC" w:rsidRPr="00B15568" w:rsidRDefault="00B15568" w:rsidP="00B15568">
      <w:pPr>
        <w:pStyle w:val="Titre2"/>
        <w:rPr>
          <w:i/>
          <w:iCs/>
          <w:lang w:val="es-AR"/>
        </w:rPr>
      </w:pPr>
      <w:bookmarkStart w:id="390" w:name="_Toc139181680"/>
      <w:r w:rsidRPr="00B15568">
        <w:rPr>
          <w:i/>
          <w:iCs/>
          <w:lang w:val="es-AR"/>
        </w:rPr>
        <w:t>Prosopis chilensis</w:t>
      </w:r>
      <w:bookmarkEnd w:id="390"/>
    </w:p>
    <w:p w14:paraId="53C4DA60" w14:textId="465C3ECA" w:rsidR="00BE2BDC" w:rsidRDefault="00BE2BDC" w:rsidP="00BE2BDC">
      <w:pPr>
        <w:spacing w:after="0" w:line="240" w:lineRule="auto"/>
        <w:rPr>
          <w:lang w:val="es-AR"/>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0"/>
        <w:gridCol w:w="2407"/>
        <w:gridCol w:w="1983"/>
        <w:gridCol w:w="1378"/>
      </w:tblGrid>
      <w:tr w:rsidR="00B15568" w:rsidRPr="000B6BE3" w14:paraId="78684A65" w14:textId="77777777" w:rsidTr="00B15568">
        <w:tc>
          <w:tcPr>
            <w:tcW w:w="4390" w:type="dxa"/>
          </w:tcPr>
          <w:p w14:paraId="6586C02C" w14:textId="77777777" w:rsidR="00B15568" w:rsidRDefault="00B15568" w:rsidP="003D7963">
            <w:pPr>
              <w:jc w:val="both"/>
              <w:rPr>
                <w:rFonts w:ascii="Calibri" w:hAnsi="Calibri" w:cs="Calibri"/>
                <w:bCs/>
              </w:rPr>
            </w:pPr>
            <w:r>
              <w:rPr>
                <w:rFonts w:ascii="Calibri" w:hAnsi="Calibri" w:cs="Calibri"/>
                <w:bCs/>
              </w:rPr>
              <w:t>(</w:t>
            </w:r>
            <w:r w:rsidRPr="00DE2C3A">
              <w:rPr>
                <w:rFonts w:ascii="Calibri" w:hAnsi="Calibri" w:cs="Calibri"/>
                <w:bCs/>
              </w:rPr>
              <w:t xml:space="preserve">Famille </w:t>
            </w:r>
            <w:r w:rsidRPr="00E31768">
              <w:rPr>
                <w:rFonts w:ascii="Calibri" w:hAnsi="Calibri" w:cs="Calibri"/>
                <w:i/>
                <w:iCs/>
              </w:rPr>
              <w:t>des </w:t>
            </w:r>
            <w:hyperlink r:id="rId4120" w:history="1">
              <w:r w:rsidRPr="00E31768">
                <w:rPr>
                  <w:rStyle w:val="Lienhypertexte"/>
                  <w:rFonts w:ascii="Calibri" w:hAnsi="Calibri" w:cs="Calibri"/>
                  <w:i/>
                  <w:iCs/>
                </w:rPr>
                <w:t>Fabaceae</w:t>
              </w:r>
            </w:hyperlink>
            <w:r w:rsidRPr="00074F01">
              <w:t xml:space="preserve"> ou des </w:t>
            </w:r>
            <w:hyperlink r:id="rId4121" w:history="1">
              <w:r w:rsidRPr="00074F01">
                <w:rPr>
                  <w:rStyle w:val="Lienhypertexte"/>
                  <w:i/>
                  <w:iCs/>
                </w:rPr>
                <w:t>Mimosoideae</w:t>
              </w:r>
            </w:hyperlink>
            <w:r w:rsidRPr="00074F01">
              <w:rPr>
                <w:i/>
                <w:iCs/>
              </w:rPr>
              <w:t xml:space="preserve">, </w:t>
            </w:r>
            <w:r w:rsidRPr="00074F01">
              <w:t>selon la classification choisie</w:t>
            </w:r>
            <w:r>
              <w:rPr>
                <w:rFonts w:ascii="Calibri" w:hAnsi="Calibri" w:cs="Calibri"/>
                <w:bCs/>
              </w:rPr>
              <w:t>)</w:t>
            </w:r>
            <w:r w:rsidRPr="00DE2C3A">
              <w:rPr>
                <w:rFonts w:ascii="Calibri" w:hAnsi="Calibri" w:cs="Calibri"/>
                <w:bCs/>
              </w:rPr>
              <w:t>.</w:t>
            </w:r>
          </w:p>
          <w:p w14:paraId="7D874587" w14:textId="77777777" w:rsidR="00B15568" w:rsidRDefault="00B15568" w:rsidP="003D7963">
            <w:pPr>
              <w:jc w:val="both"/>
              <w:rPr>
                <w:rFonts w:cstheme="minorHAnsi"/>
                <w:b/>
                <w:bCs/>
                <w:color w:val="FF0000"/>
              </w:rPr>
            </w:pPr>
          </w:p>
          <w:p w14:paraId="49833B50" w14:textId="487A6802" w:rsidR="00B15568" w:rsidRPr="000B6BE3" w:rsidRDefault="00B15568" w:rsidP="003D7963">
            <w:pPr>
              <w:jc w:val="both"/>
              <w:rPr>
                <w:rFonts w:cstheme="minorHAnsi"/>
              </w:rPr>
            </w:pPr>
            <w:r w:rsidRPr="009A3C5B">
              <w:rPr>
                <w:rFonts w:cstheme="minorHAnsi"/>
                <w:b/>
                <w:bCs/>
                <w:color w:val="FF0000"/>
              </w:rPr>
              <w:t>Risque élevé</w:t>
            </w:r>
            <w:r>
              <w:rPr>
                <w:rFonts w:cstheme="minorHAnsi"/>
                <w:b/>
                <w:bCs/>
                <w:color w:val="FF0000"/>
              </w:rPr>
              <w:t>.</w:t>
            </w:r>
          </w:p>
        </w:tc>
        <w:tc>
          <w:tcPr>
            <w:tcW w:w="2407" w:type="dxa"/>
          </w:tcPr>
          <w:p w14:paraId="4A873BDC" w14:textId="77777777" w:rsidR="00B15568" w:rsidRPr="000B6BE3" w:rsidRDefault="00B15568" w:rsidP="003D7963">
            <w:pPr>
              <w:rPr>
                <w:rFonts w:cstheme="minorHAnsi"/>
              </w:rPr>
            </w:pPr>
            <w:r w:rsidRPr="000B6BE3">
              <w:rPr>
                <w:rFonts w:cstheme="minorHAnsi"/>
                <w:noProof/>
              </w:rPr>
              <w:t xml:space="preserve">  </w:t>
            </w:r>
            <w:r>
              <w:rPr>
                <w:rFonts w:cstheme="minorHAnsi"/>
                <w:noProof/>
              </w:rPr>
              <w:t xml:space="preserve">      </w:t>
            </w:r>
            <w:r w:rsidRPr="005C50C9">
              <w:rPr>
                <w:rFonts w:cstheme="minorHAnsi"/>
                <w:noProof/>
              </w:rPr>
              <w:drawing>
                <wp:inline distT="0" distB="0" distL="0" distR="0" wp14:anchorId="53FAF71B" wp14:editId="5DE6AEBC">
                  <wp:extent cx="495300" cy="666750"/>
                  <wp:effectExtent l="0" t="0" r="0" b="0"/>
                  <wp:docPr id="166943" name="Image 15"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8" name="Image 15" descr="logo aride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r w:rsidRPr="008F2681">
              <w:rPr>
                <w:rFonts w:cstheme="minorHAnsi"/>
                <w:noProof/>
              </w:rPr>
              <w:drawing>
                <wp:inline distT="0" distB="0" distL="0" distR="0" wp14:anchorId="75CA39A9" wp14:editId="6A1300A7">
                  <wp:extent cx="463550" cy="661988"/>
                  <wp:effectExtent l="0" t="0" r="0" b="5080"/>
                  <wp:docPr id="109568"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w:t>
            </w:r>
          </w:p>
        </w:tc>
        <w:tc>
          <w:tcPr>
            <w:tcW w:w="1983" w:type="dxa"/>
          </w:tcPr>
          <w:p w14:paraId="2A238CE6" w14:textId="7A45C120" w:rsidR="00B15568" w:rsidRPr="000B6BE3" w:rsidRDefault="00B15568" w:rsidP="00B15568">
            <w:pPr>
              <w:rPr>
                <w:rFonts w:cstheme="minorHAnsi"/>
              </w:rPr>
            </w:pPr>
            <w:r w:rsidRPr="009521CB">
              <w:rPr>
                <w:rFonts w:eastAsia="+mn-ea" w:cstheme="minorHAnsi"/>
                <w:b/>
                <w:bCs/>
                <w:color w:val="008000"/>
                <w:kern w:val="24"/>
                <w:sz w:val="72"/>
                <w:szCs w:val="72"/>
              </w:rPr>
              <w:t>U</w:t>
            </w:r>
            <w:r>
              <w:rPr>
                <w:rFonts w:eastAsia="+mn-ea" w:cstheme="minorHAnsi"/>
                <w:b/>
                <w:bCs/>
                <w:color w:val="008000"/>
                <w:kern w:val="24"/>
                <w:sz w:val="56"/>
                <w:szCs w:val="56"/>
              </w:rPr>
              <w:t xml:space="preserve"> ↗↗</w:t>
            </w:r>
          </w:p>
        </w:tc>
        <w:tc>
          <w:tcPr>
            <w:tcW w:w="1378" w:type="dxa"/>
          </w:tcPr>
          <w:p w14:paraId="461395D8" w14:textId="77777777" w:rsidR="00B15568" w:rsidRPr="000B6BE3" w:rsidRDefault="00B15568" w:rsidP="003D7963">
            <w:pPr>
              <w:rPr>
                <w:rFonts w:cstheme="minorHAnsi"/>
              </w:rPr>
            </w:pPr>
            <w:r w:rsidRPr="00DE60FE">
              <w:rPr>
                <w:rFonts w:cstheme="minorHAnsi"/>
                <w:noProof/>
              </w:rPr>
              <w:drawing>
                <wp:inline distT="0" distB="0" distL="0" distR="0" wp14:anchorId="760CF509" wp14:editId="6A214976">
                  <wp:extent cx="457200" cy="457200"/>
                  <wp:effectExtent l="0" t="0" r="0" b="0"/>
                  <wp:docPr id="109569" name="Picture 16" descr="C:\Users\LISAN\Pictures\Plantes fourragères\logo invasive plants5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26" name="Picture 16" descr="C:\Users\LISAN\Pictures\Plantes fourragères\logo invasive plants5_s.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265E8A99" w14:textId="5577D215" w:rsidR="00B15568" w:rsidRPr="00B15568" w:rsidRDefault="00B15568" w:rsidP="00B15568">
      <w:pPr>
        <w:spacing w:after="0" w:line="240" w:lineRule="auto"/>
        <w:jc w:val="both"/>
      </w:pPr>
      <w:r w:rsidRPr="00B15568">
        <w:rPr>
          <w:i/>
          <w:iCs/>
        </w:rPr>
        <w:t>Prosopis chilensis</w:t>
      </w:r>
      <w:r w:rsidRPr="00B15568">
        <w:t>, </w:t>
      </w:r>
      <w:r w:rsidRPr="00B15568">
        <w:rPr>
          <w:i/>
          <w:iCs/>
        </w:rPr>
        <w:t>Prosopis juliflora</w:t>
      </w:r>
      <w:r w:rsidRPr="00B15568">
        <w:t> et </w:t>
      </w:r>
      <w:r w:rsidRPr="00B15568">
        <w:rPr>
          <w:i/>
          <w:iCs/>
        </w:rPr>
        <w:t>Prosopis pallida</w:t>
      </w:r>
      <w:r w:rsidRPr="00B15568">
        <w:t> ont été largement introduit dans les zones arides tropicales, où ils sont devenus naturalisés et envahissants.</w:t>
      </w:r>
      <w:r>
        <w:t xml:space="preserve"> </w:t>
      </w:r>
      <w:r w:rsidRPr="00B15568">
        <w:t xml:space="preserve">Il ne toléré pas bien le </w:t>
      </w:r>
      <w:hyperlink r:id="rId4122" w:history="1">
        <w:r w:rsidRPr="00B15568">
          <w:rPr>
            <w:rStyle w:val="Lienhypertexte"/>
          </w:rPr>
          <w:t>gel</w:t>
        </w:r>
      </w:hyperlink>
      <w:r w:rsidRPr="00B15568">
        <w:t>.</w:t>
      </w:r>
    </w:p>
    <w:p w14:paraId="20BB79C6" w14:textId="004387AE" w:rsidR="00B15568" w:rsidRDefault="00B15568" w:rsidP="00B15568">
      <w:pPr>
        <w:spacing w:after="0" w:line="240" w:lineRule="auto"/>
        <w:jc w:val="both"/>
      </w:pPr>
      <w:r w:rsidRPr="00B15568">
        <w:rPr>
          <w:u w:val="single"/>
        </w:rPr>
        <w:t>Espèce envahissante</w:t>
      </w:r>
      <w:r>
        <w:t xml:space="preserve"> : </w:t>
      </w:r>
      <w:r w:rsidRPr="00B15568">
        <w:rPr>
          <w:i/>
          <w:iCs/>
        </w:rPr>
        <w:t>Prosopis chilensis</w:t>
      </w:r>
      <w:r w:rsidRPr="00B15568">
        <w:t>, atteignant 18 m, peut croître de 3 mètres de haut par an et tend à rapidement coloniser toutes les plaines du Nord au Sud de la </w:t>
      </w:r>
      <w:hyperlink r:id="rId4123" w:history="1">
        <w:r w:rsidRPr="00B15568">
          <w:rPr>
            <w:rStyle w:val="Lienhypertexte"/>
          </w:rPr>
          <w:t>Corne de l'Afrique</w:t>
        </w:r>
      </w:hyperlink>
      <w:r w:rsidRPr="00B15568">
        <w:t>, menaçant en une vingtaine d'années les activités </w:t>
      </w:r>
      <w:hyperlink r:id="rId4124" w:history="1">
        <w:r w:rsidRPr="00B15568">
          <w:rPr>
            <w:rStyle w:val="Lienhypertexte"/>
          </w:rPr>
          <w:t>nomades</w:t>
        </w:r>
      </w:hyperlink>
      <w:r w:rsidRPr="00B15568">
        <w:t> et </w:t>
      </w:r>
      <w:hyperlink r:id="rId4125" w:history="1">
        <w:r w:rsidRPr="00B15568">
          <w:rPr>
            <w:rStyle w:val="Lienhypertexte"/>
          </w:rPr>
          <w:t>maraîchères</w:t>
        </w:r>
      </w:hyperlink>
      <w:r w:rsidRPr="00B15568">
        <w:t>. Cette espèce progresse depuis rapidement en Afrique de l'Est, au détriment de l'</w:t>
      </w:r>
      <w:hyperlink r:id="rId4126" w:history="1">
        <w:r w:rsidRPr="00B15568">
          <w:rPr>
            <w:rStyle w:val="Lienhypertexte"/>
          </w:rPr>
          <w:t>acacia</w:t>
        </w:r>
      </w:hyperlink>
      <w:r w:rsidRPr="00B15568">
        <w:t> qui abritait une partie importante de la </w:t>
      </w:r>
      <w:hyperlink r:id="rId4127" w:history="1">
        <w:r w:rsidRPr="00B15568">
          <w:rPr>
            <w:rStyle w:val="Lienhypertexte"/>
          </w:rPr>
          <w:t>biodiversité</w:t>
        </w:r>
      </w:hyperlink>
      <w:r w:rsidRPr="00B15568">
        <w:t xml:space="preserve"> de ces régions. </w:t>
      </w:r>
    </w:p>
    <w:p w14:paraId="13F7E381" w14:textId="684F1D64" w:rsidR="00B15568" w:rsidRPr="00B15568" w:rsidRDefault="00B15568" w:rsidP="00B15568">
      <w:pPr>
        <w:spacing w:after="0" w:line="240" w:lineRule="auto"/>
        <w:jc w:val="both"/>
      </w:pPr>
      <w:r w:rsidRPr="00B15568">
        <w:rPr>
          <w:u w:val="single"/>
        </w:rPr>
        <w:t>Usages</w:t>
      </w:r>
      <w:r>
        <w:t xml:space="preserve"> : </w:t>
      </w:r>
      <w:r w:rsidRPr="00B15568">
        <w:t>Certains plants vis</w:t>
      </w:r>
      <w:r>
        <w:t>an</w:t>
      </w:r>
      <w:r w:rsidRPr="00B15568">
        <w:t>t à freiner </w:t>
      </w:r>
      <w:hyperlink r:id="rId4128" w:history="1">
        <w:r w:rsidRPr="00B15568">
          <w:rPr>
            <w:rStyle w:val="Lienhypertexte"/>
          </w:rPr>
          <w:t>l'avancée du désert</w:t>
        </w:r>
      </w:hyperlink>
      <w:r w:rsidRPr="00B15568">
        <w:t xml:space="preserve"> ont été importés du Chili (à </w:t>
      </w:r>
      <w:hyperlink r:id="rId4129" w:history="1">
        <w:r w:rsidRPr="00B15568">
          <w:rPr>
            <w:rStyle w:val="Lienhypertexte"/>
          </w:rPr>
          <w:t>Hanlé</w:t>
        </w:r>
      </w:hyperlink>
      <w:r w:rsidRPr="00B15568">
        <w:t> à </w:t>
      </w:r>
      <w:hyperlink r:id="rId4130" w:history="1">
        <w:r w:rsidRPr="00B15568">
          <w:rPr>
            <w:rStyle w:val="Lienhypertexte"/>
          </w:rPr>
          <w:t>Djibouti</w:t>
        </w:r>
      </w:hyperlink>
      <w:r w:rsidRPr="00B15568">
        <w:t> par exemple).</w:t>
      </w:r>
      <w:r>
        <w:t xml:space="preserve"> </w:t>
      </w:r>
      <w:r w:rsidRPr="00B15568">
        <w:t>Les ONG </w:t>
      </w:r>
      <w:hyperlink r:id="rId4131" w:history="1">
        <w:r w:rsidRPr="00B15568">
          <w:rPr>
            <w:rStyle w:val="Lienhypertexte"/>
          </w:rPr>
          <w:t>Djibouti Nature</w:t>
        </w:r>
      </w:hyperlink>
      <w:r w:rsidRPr="00B15568">
        <w:t> et </w:t>
      </w:r>
      <w:hyperlink r:id="rId4132" w:history="1">
        <w:r w:rsidRPr="00B15568">
          <w:rPr>
            <w:rStyle w:val="Lienhypertexte"/>
          </w:rPr>
          <w:t>Decan</w:t>
        </w:r>
      </w:hyperlink>
      <w:r w:rsidRPr="00B15568">
        <w:t> tentent d'en abattre de grandes quantités pour en faire du charbon de bois. Il produit des fruits dans les années de sécheresse. Son fruit est sucré et riche en </w:t>
      </w:r>
      <w:hyperlink r:id="rId4133" w:history="1">
        <w:r w:rsidRPr="00B15568">
          <w:rPr>
            <w:rStyle w:val="Lienhypertexte"/>
          </w:rPr>
          <w:t>vitamines</w:t>
        </w:r>
      </w:hyperlink>
      <w:r w:rsidRPr="00B15568">
        <w:t>, mais n'est pas ou mal digéré en l'état par les herbivores en raison de sa cuticule résistante. Il est question d'en faire une </w:t>
      </w:r>
      <w:hyperlink r:id="rId4134" w:history="1">
        <w:r w:rsidRPr="00B15568">
          <w:rPr>
            <w:rStyle w:val="Lienhypertexte"/>
          </w:rPr>
          <w:t>farine</w:t>
        </w:r>
      </w:hyperlink>
      <w:r w:rsidRPr="00B15568">
        <w:t> pour l'</w:t>
      </w:r>
      <w:hyperlink r:id="rId4135" w:history="1">
        <w:r w:rsidRPr="00B15568">
          <w:rPr>
            <w:rStyle w:val="Lienhypertexte"/>
          </w:rPr>
          <w:t>alimentation</w:t>
        </w:r>
      </w:hyperlink>
      <w:r w:rsidRPr="00B15568">
        <w:t> humaine. L'</w:t>
      </w:r>
      <w:hyperlink r:id="rId4136" w:history="1">
        <w:r w:rsidRPr="00B15568">
          <w:rPr>
            <w:rStyle w:val="Lienhypertexte"/>
          </w:rPr>
          <w:t>Éthiopie</w:t>
        </w:r>
      </w:hyperlink>
      <w:r w:rsidRPr="00B15568">
        <w:t> envisage de le tester comme </w:t>
      </w:r>
      <w:hyperlink r:id="rId4137" w:history="1">
        <w:r w:rsidRPr="00B15568">
          <w:rPr>
            <w:rStyle w:val="Lienhypertexte"/>
          </w:rPr>
          <w:t>agrocarburant</w:t>
        </w:r>
      </w:hyperlink>
      <w:hyperlink r:id="rId4138" w:history="1">
        <w:r w:rsidRPr="00B15568">
          <w:rPr>
            <w:rStyle w:val="Lienhypertexte"/>
            <w:vertAlign w:val="superscript"/>
          </w:rPr>
          <w:t>2</w:t>
        </w:r>
      </w:hyperlink>
      <w:r w:rsidRPr="00B15568">
        <w:t>. Son </w:t>
      </w:r>
      <w:hyperlink r:id="rId4139" w:history="1">
        <w:r w:rsidRPr="00B15568">
          <w:rPr>
            <w:rStyle w:val="Lienhypertexte"/>
          </w:rPr>
          <w:t>bois</w:t>
        </w:r>
      </w:hyperlink>
      <w:r w:rsidRPr="00B15568">
        <w:t xml:space="preserve"> dense (</w:t>
      </w:r>
      <w:hyperlink r:id="rId4140" w:history="1">
        <w:r w:rsidRPr="00B15568">
          <w:rPr>
            <w:rStyle w:val="Lienhypertexte"/>
          </w:rPr>
          <w:t>densité</w:t>
        </w:r>
      </w:hyperlink>
      <w:r w:rsidRPr="00B15568">
        <w:t> = 0,76), difficile à travailler, est utilisé pour les portes et les planchers. On fait de farine avec ses fruits. On fait du sirop et des boissons alcoolisées, avec ses fruits écrasé.</w:t>
      </w:r>
    </w:p>
    <w:p w14:paraId="46A8E14F" w14:textId="77777777" w:rsidR="00B15568" w:rsidRPr="00B15568" w:rsidRDefault="00B15568" w:rsidP="00B15568">
      <w:pPr>
        <w:spacing w:after="0" w:line="240" w:lineRule="auto"/>
        <w:jc w:val="both"/>
      </w:pPr>
      <w:r w:rsidRPr="00B15568">
        <w:rPr>
          <w:u w:val="single"/>
        </w:rPr>
        <w:t>Note</w:t>
      </w:r>
      <w:r w:rsidRPr="00B15568">
        <w:t xml:space="preserve"> : En Amérique du Sud, il est souvent appelé « caroubier » (algarrobo), en raison de sa ressemblance avec ce dernier, alors que ces deux espèces sont bien distinctes.</w:t>
      </w:r>
    </w:p>
    <w:p w14:paraId="57D86AB1" w14:textId="77777777" w:rsidR="00B15568" w:rsidRPr="00B15568" w:rsidRDefault="00B15568" w:rsidP="00B15568">
      <w:pPr>
        <w:spacing w:after="0" w:line="240" w:lineRule="auto"/>
        <w:jc w:val="both"/>
      </w:pPr>
      <w:r w:rsidRPr="00B15568">
        <w:t xml:space="preserve">Sources : a) </w:t>
      </w:r>
      <w:hyperlink r:id="rId4141" w:history="1">
        <w:r w:rsidRPr="00B15568">
          <w:rPr>
            <w:rStyle w:val="Lienhypertexte"/>
          </w:rPr>
          <w:t>http://fr.wikipedia.org/wiki/Prosopis</w:t>
        </w:r>
      </w:hyperlink>
      <w:r w:rsidRPr="00B15568">
        <w:t xml:space="preserve">, b) </w:t>
      </w:r>
      <w:hyperlink r:id="rId4142" w:history="1">
        <w:r w:rsidRPr="00B15568">
          <w:rPr>
            <w:rStyle w:val="Lienhypertexte"/>
          </w:rPr>
          <w:t>http://es.wikipedia.org/wiki/Prosopis_chilensis</w:t>
        </w:r>
      </w:hyperlink>
      <w:r w:rsidRPr="00B15568">
        <w:t xml:space="preserve"> </w:t>
      </w:r>
    </w:p>
    <w:p w14:paraId="5BE1B7F4" w14:textId="12FA9DC4" w:rsidR="00B15568" w:rsidRDefault="00B15568" w:rsidP="00B15568">
      <w:pPr>
        <w:spacing w:after="0" w:line="240" w:lineRule="auto"/>
        <w:jc w:val="both"/>
        <w:rPr>
          <w:lang w:val="es-AR"/>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16"/>
        <w:gridCol w:w="2149"/>
        <w:gridCol w:w="2451"/>
        <w:gridCol w:w="2310"/>
      </w:tblGrid>
      <w:tr w:rsidR="00B15568" w14:paraId="3EEC1C5C" w14:textId="77777777" w:rsidTr="0034575C">
        <w:tc>
          <w:tcPr>
            <w:tcW w:w="2604" w:type="dxa"/>
          </w:tcPr>
          <w:p w14:paraId="6F583471" w14:textId="4F1DB98A" w:rsidR="00B15568" w:rsidRDefault="00B15568" w:rsidP="00B15568">
            <w:pPr>
              <w:jc w:val="center"/>
              <w:rPr>
                <w:lang w:val="es-AR"/>
              </w:rPr>
            </w:pPr>
            <w:r w:rsidRPr="00B15568">
              <w:rPr>
                <w:noProof/>
              </w:rPr>
              <w:drawing>
                <wp:inline distT="0" distB="0" distL="0" distR="0" wp14:anchorId="4263BEEC" wp14:editId="07A02AC5">
                  <wp:extent cx="2089150" cy="1408112"/>
                  <wp:effectExtent l="0" t="0" r="6350" b="1905"/>
                  <wp:docPr id="180236" name="Picture 3" descr="C:\Users\LISAN\Pictures\plantes-halophytes-xerophiles\Prosopis chilensi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36" name="Picture 3" descr="C:\Users\LISAN\Pictures\plantes-halophytes-xerophiles\Prosopis chilensis2.jpg"/>
                          <pic:cNvPicPr>
                            <a:picLocks noChangeAspect="1" noChangeArrowheads="1"/>
                          </pic:cNvPicPr>
                        </pic:nvPicPr>
                        <pic:blipFill>
                          <a:blip r:embed="rId4143">
                            <a:extLst>
                              <a:ext uri="{28A0092B-C50C-407E-A947-70E740481C1C}">
                                <a14:useLocalDpi xmlns:a14="http://schemas.microsoft.com/office/drawing/2010/main" val="0"/>
                              </a:ext>
                            </a:extLst>
                          </a:blip>
                          <a:srcRect/>
                          <a:stretch>
                            <a:fillRect/>
                          </a:stretch>
                        </pic:blipFill>
                        <pic:spPr bwMode="auto">
                          <a:xfrm>
                            <a:off x="0" y="0"/>
                            <a:ext cx="2089150" cy="14081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2604" w:type="dxa"/>
          </w:tcPr>
          <w:p w14:paraId="25E0D8A6" w14:textId="2E318D53" w:rsidR="00B15568" w:rsidRDefault="00B15568" w:rsidP="00B15568">
            <w:pPr>
              <w:jc w:val="center"/>
              <w:rPr>
                <w:lang w:val="es-AR"/>
              </w:rPr>
            </w:pPr>
            <w:r w:rsidRPr="00B15568">
              <w:rPr>
                <w:noProof/>
              </w:rPr>
              <w:drawing>
                <wp:inline distT="0" distB="0" distL="0" distR="0" wp14:anchorId="3E077714" wp14:editId="3F701082">
                  <wp:extent cx="1079500" cy="1795463"/>
                  <wp:effectExtent l="0" t="0" r="6350" b="0"/>
                  <wp:docPr id="180237" name="Picture 4" descr="C:\Users\LISAN\Pictures\plantes-halophytes-xerophiles\Prosopis chilensis3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37" name="Picture 4" descr="C:\Users\LISAN\Pictures\plantes-halophytes-xerophiles\Prosopis chilensis3_s.jpg"/>
                          <pic:cNvPicPr>
                            <a:picLocks noChangeAspect="1" noChangeArrowheads="1"/>
                          </pic:cNvPicPr>
                        </pic:nvPicPr>
                        <pic:blipFill>
                          <a:blip r:embed="rId4144">
                            <a:extLst>
                              <a:ext uri="{28A0092B-C50C-407E-A947-70E740481C1C}">
                                <a14:useLocalDpi xmlns:a14="http://schemas.microsoft.com/office/drawing/2010/main" val="0"/>
                              </a:ext>
                            </a:extLst>
                          </a:blip>
                          <a:srcRect/>
                          <a:stretch>
                            <a:fillRect/>
                          </a:stretch>
                        </pic:blipFill>
                        <pic:spPr bwMode="auto">
                          <a:xfrm>
                            <a:off x="0" y="0"/>
                            <a:ext cx="1079500" cy="17954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2604" w:type="dxa"/>
          </w:tcPr>
          <w:p w14:paraId="0F2685EF" w14:textId="77777777" w:rsidR="00B15568" w:rsidRDefault="00B15568" w:rsidP="00B15568">
            <w:pPr>
              <w:jc w:val="center"/>
              <w:rPr>
                <w:lang w:val="es-AR"/>
              </w:rPr>
            </w:pPr>
            <w:r w:rsidRPr="00B15568">
              <w:rPr>
                <w:noProof/>
              </w:rPr>
              <w:drawing>
                <wp:inline distT="0" distB="0" distL="0" distR="0" wp14:anchorId="7B20B5A2" wp14:editId="30E4F240">
                  <wp:extent cx="1370013" cy="1347787"/>
                  <wp:effectExtent l="0" t="0" r="1905" b="5080"/>
                  <wp:docPr id="180238" name="Picture 5" descr="C:\Users\LISAN\Pictures\plantes-halophytes-xerophiles\Prosopis chilensi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38" name="Picture 5" descr="C:\Users\LISAN\Pictures\plantes-halophytes-xerophiles\Prosopis chilensis4.jpg"/>
                          <pic:cNvPicPr>
                            <a:picLocks noChangeAspect="1" noChangeArrowheads="1"/>
                          </pic:cNvPicPr>
                        </pic:nvPicPr>
                        <pic:blipFill>
                          <a:blip r:embed="rId4145">
                            <a:extLst>
                              <a:ext uri="{28A0092B-C50C-407E-A947-70E740481C1C}">
                                <a14:useLocalDpi xmlns:a14="http://schemas.microsoft.com/office/drawing/2010/main" val="0"/>
                              </a:ext>
                            </a:extLst>
                          </a:blip>
                          <a:srcRect/>
                          <a:stretch>
                            <a:fillRect/>
                          </a:stretch>
                        </pic:blipFill>
                        <pic:spPr bwMode="auto">
                          <a:xfrm>
                            <a:off x="0" y="0"/>
                            <a:ext cx="1370013" cy="13477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3DE42D0D" w14:textId="64307460" w:rsidR="0034575C" w:rsidRDefault="0034575C" w:rsidP="00B15568">
            <w:pPr>
              <w:jc w:val="center"/>
              <w:rPr>
                <w:lang w:val="es-AR"/>
              </w:rPr>
            </w:pPr>
            <w:r w:rsidRPr="0034575C">
              <w:t>Inflorescences</w:t>
            </w:r>
            <w:r>
              <w:rPr>
                <w:lang w:val="es-AR"/>
              </w:rPr>
              <w:t>.</w:t>
            </w:r>
          </w:p>
        </w:tc>
        <w:tc>
          <w:tcPr>
            <w:tcW w:w="2604" w:type="dxa"/>
          </w:tcPr>
          <w:p w14:paraId="4FD615A1" w14:textId="77777777" w:rsidR="00B15568" w:rsidRDefault="0034575C" w:rsidP="00B15568">
            <w:pPr>
              <w:jc w:val="center"/>
              <w:rPr>
                <w:lang w:val="es-AR"/>
              </w:rPr>
            </w:pPr>
            <w:r w:rsidRPr="0034575C">
              <w:rPr>
                <w:noProof/>
              </w:rPr>
              <w:drawing>
                <wp:inline distT="0" distB="0" distL="0" distR="0" wp14:anchorId="7098CAB0" wp14:editId="30A4C3F0">
                  <wp:extent cx="1231900" cy="1362075"/>
                  <wp:effectExtent l="0" t="0" r="6350" b="9525"/>
                  <wp:docPr id="180235" name="Picture 2" descr="C:\Users\LISAN\Pictures\plantes-halophytes-xerophiles\Prosopis chilensi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35" name="Picture 2" descr="C:\Users\LISAN\Pictures\plantes-halophytes-xerophiles\Prosopis chilensis5.jpg"/>
                          <pic:cNvPicPr>
                            <a:picLocks noChangeAspect="1" noChangeArrowheads="1"/>
                          </pic:cNvPicPr>
                        </pic:nvPicPr>
                        <pic:blipFill>
                          <a:blip r:embed="rId4146">
                            <a:extLst>
                              <a:ext uri="{28A0092B-C50C-407E-A947-70E740481C1C}">
                                <a14:useLocalDpi xmlns:a14="http://schemas.microsoft.com/office/drawing/2010/main" val="0"/>
                              </a:ext>
                            </a:extLst>
                          </a:blip>
                          <a:srcRect/>
                          <a:stretch>
                            <a:fillRect/>
                          </a:stretch>
                        </pic:blipFill>
                        <pic:spPr bwMode="auto">
                          <a:xfrm>
                            <a:off x="0" y="0"/>
                            <a:ext cx="1231900" cy="1362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5A10FE8" w14:textId="77B5BA92" w:rsidR="0034575C" w:rsidRPr="0034575C" w:rsidRDefault="0034575C" w:rsidP="00B15568">
            <w:pPr>
              <w:jc w:val="center"/>
            </w:pPr>
            <w:r w:rsidRPr="0034575C">
              <w:t>Gousses</w:t>
            </w:r>
          </w:p>
        </w:tc>
      </w:tr>
    </w:tbl>
    <w:p w14:paraId="21AF6858" w14:textId="6142B7A8" w:rsidR="00B15568" w:rsidRDefault="00B15568" w:rsidP="00125E6F">
      <w:pPr>
        <w:spacing w:after="0" w:line="240" w:lineRule="auto"/>
        <w:rPr>
          <w:lang w:val="es-AR"/>
        </w:rPr>
      </w:pPr>
    </w:p>
    <w:p w14:paraId="578C9101" w14:textId="0CB0EE03" w:rsidR="00B15568" w:rsidRPr="00125E6F" w:rsidRDefault="00125E6F" w:rsidP="00125E6F">
      <w:pPr>
        <w:pStyle w:val="Titre2"/>
        <w:rPr>
          <w:i/>
          <w:iCs/>
          <w:lang w:val="es-AR"/>
        </w:rPr>
      </w:pPr>
      <w:bookmarkStart w:id="391" w:name="_Toc139181681"/>
      <w:r w:rsidRPr="00125E6F">
        <w:rPr>
          <w:i/>
          <w:iCs/>
          <w:lang w:val="es-AR"/>
        </w:rPr>
        <w:t>Prosopis pallida</w:t>
      </w:r>
      <w:bookmarkEnd w:id="391"/>
    </w:p>
    <w:p w14:paraId="7AA79DE9" w14:textId="5C12C87F" w:rsidR="00125E6F" w:rsidRDefault="00125E6F" w:rsidP="00B15568">
      <w:pPr>
        <w:spacing w:after="0" w:line="240" w:lineRule="auto"/>
        <w:jc w:val="both"/>
        <w:rPr>
          <w:lang w:val="es-AR"/>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0"/>
        <w:gridCol w:w="2981"/>
        <w:gridCol w:w="1985"/>
        <w:gridCol w:w="936"/>
      </w:tblGrid>
      <w:tr w:rsidR="00125E6F" w:rsidRPr="000B6BE3" w14:paraId="411422F9" w14:textId="77777777" w:rsidTr="000F4D22">
        <w:tc>
          <w:tcPr>
            <w:tcW w:w="4390" w:type="dxa"/>
          </w:tcPr>
          <w:p w14:paraId="1209E831" w14:textId="77777777" w:rsidR="00125E6F" w:rsidRDefault="00125E6F" w:rsidP="003D7963">
            <w:pPr>
              <w:jc w:val="both"/>
              <w:rPr>
                <w:rFonts w:ascii="Calibri" w:hAnsi="Calibri" w:cs="Calibri"/>
                <w:bCs/>
              </w:rPr>
            </w:pPr>
            <w:r>
              <w:rPr>
                <w:rFonts w:ascii="Calibri" w:hAnsi="Calibri" w:cs="Calibri"/>
                <w:bCs/>
              </w:rPr>
              <w:t>(</w:t>
            </w:r>
            <w:r w:rsidRPr="00DE2C3A">
              <w:rPr>
                <w:rFonts w:ascii="Calibri" w:hAnsi="Calibri" w:cs="Calibri"/>
                <w:bCs/>
              </w:rPr>
              <w:t xml:space="preserve">Famille </w:t>
            </w:r>
            <w:r w:rsidRPr="00E31768">
              <w:rPr>
                <w:rFonts w:ascii="Calibri" w:hAnsi="Calibri" w:cs="Calibri"/>
                <w:i/>
                <w:iCs/>
              </w:rPr>
              <w:t>des </w:t>
            </w:r>
            <w:hyperlink r:id="rId4147" w:history="1">
              <w:r w:rsidRPr="00E31768">
                <w:rPr>
                  <w:rStyle w:val="Lienhypertexte"/>
                  <w:rFonts w:ascii="Calibri" w:hAnsi="Calibri" w:cs="Calibri"/>
                  <w:i/>
                  <w:iCs/>
                </w:rPr>
                <w:t>Fabaceae</w:t>
              </w:r>
            </w:hyperlink>
            <w:r w:rsidRPr="00074F01">
              <w:t xml:space="preserve"> ou des </w:t>
            </w:r>
            <w:hyperlink r:id="rId4148" w:history="1">
              <w:r w:rsidRPr="00074F01">
                <w:rPr>
                  <w:rStyle w:val="Lienhypertexte"/>
                  <w:i/>
                  <w:iCs/>
                </w:rPr>
                <w:t>Mimosoideae</w:t>
              </w:r>
            </w:hyperlink>
            <w:r w:rsidRPr="00074F01">
              <w:rPr>
                <w:i/>
                <w:iCs/>
              </w:rPr>
              <w:t xml:space="preserve">, </w:t>
            </w:r>
            <w:r w:rsidRPr="00074F01">
              <w:t>selon la classification choisie</w:t>
            </w:r>
            <w:r>
              <w:rPr>
                <w:rFonts w:ascii="Calibri" w:hAnsi="Calibri" w:cs="Calibri"/>
                <w:bCs/>
              </w:rPr>
              <w:t>)</w:t>
            </w:r>
            <w:r w:rsidRPr="00DE2C3A">
              <w:rPr>
                <w:rFonts w:ascii="Calibri" w:hAnsi="Calibri" w:cs="Calibri"/>
                <w:bCs/>
              </w:rPr>
              <w:t>.</w:t>
            </w:r>
          </w:p>
          <w:p w14:paraId="211D69AF" w14:textId="77777777" w:rsidR="00125E6F" w:rsidRDefault="00125E6F" w:rsidP="003D7963">
            <w:pPr>
              <w:jc w:val="both"/>
              <w:rPr>
                <w:rFonts w:cstheme="minorHAnsi"/>
                <w:b/>
                <w:bCs/>
                <w:color w:val="FF0000"/>
              </w:rPr>
            </w:pPr>
          </w:p>
          <w:p w14:paraId="006C15CD" w14:textId="25A5A91C" w:rsidR="00125E6F" w:rsidRPr="000B6BE3" w:rsidRDefault="00125E6F" w:rsidP="003D7963">
            <w:pPr>
              <w:jc w:val="both"/>
              <w:rPr>
                <w:rFonts w:cstheme="minorHAnsi"/>
              </w:rPr>
            </w:pPr>
            <w:r w:rsidRPr="009A3C5B">
              <w:rPr>
                <w:rFonts w:cstheme="minorHAnsi"/>
                <w:b/>
                <w:bCs/>
                <w:color w:val="FF0000"/>
              </w:rPr>
              <w:t>Risque élevé</w:t>
            </w:r>
            <w:r>
              <w:rPr>
                <w:rFonts w:cstheme="minorHAnsi"/>
                <w:b/>
                <w:bCs/>
                <w:color w:val="FF0000"/>
              </w:rPr>
              <w:t xml:space="preserve">, </w:t>
            </w:r>
            <w:r w:rsidRPr="00125E6F">
              <w:rPr>
                <w:rFonts w:cstheme="minorHAnsi"/>
                <w:b/>
                <w:bCs/>
                <w:color w:val="FF0000"/>
              </w:rPr>
              <w:t>à rejeter, score: 20</w:t>
            </w:r>
            <w:r>
              <w:rPr>
                <w:rFonts w:cstheme="minorHAnsi"/>
                <w:b/>
                <w:bCs/>
                <w:color w:val="FF0000"/>
              </w:rPr>
              <w:t>.</w:t>
            </w:r>
          </w:p>
        </w:tc>
        <w:tc>
          <w:tcPr>
            <w:tcW w:w="2981" w:type="dxa"/>
          </w:tcPr>
          <w:p w14:paraId="4D8D07ED" w14:textId="5042E0AC" w:rsidR="00125E6F" w:rsidRPr="000B6BE3" w:rsidRDefault="00125E6F" w:rsidP="003D7963">
            <w:pPr>
              <w:rPr>
                <w:rFonts w:cstheme="minorHAnsi"/>
              </w:rPr>
            </w:pPr>
            <w:r w:rsidRPr="000B6BE3">
              <w:rPr>
                <w:rFonts w:cstheme="minorHAnsi"/>
                <w:noProof/>
              </w:rPr>
              <w:t xml:space="preserve">  </w:t>
            </w:r>
            <w:r>
              <w:rPr>
                <w:rFonts w:cstheme="minorHAnsi"/>
                <w:noProof/>
              </w:rPr>
              <w:t xml:space="preserve">      </w:t>
            </w:r>
            <w:r w:rsidRPr="005C50C9">
              <w:rPr>
                <w:rFonts w:cstheme="minorHAnsi"/>
                <w:noProof/>
              </w:rPr>
              <w:drawing>
                <wp:inline distT="0" distB="0" distL="0" distR="0" wp14:anchorId="3C8E91A2" wp14:editId="4475D243">
                  <wp:extent cx="495300" cy="666750"/>
                  <wp:effectExtent l="0" t="0" r="0" b="0"/>
                  <wp:docPr id="109570" name="Image 15"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8" name="Image 15" descr="logo aride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r w:rsidRPr="008F2681">
              <w:rPr>
                <w:rFonts w:cstheme="minorHAnsi"/>
                <w:noProof/>
              </w:rPr>
              <w:drawing>
                <wp:inline distT="0" distB="0" distL="0" distR="0" wp14:anchorId="77102915" wp14:editId="4204F52D">
                  <wp:extent cx="463550" cy="661988"/>
                  <wp:effectExtent l="0" t="0" r="0" b="5080"/>
                  <wp:docPr id="109571"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w:t>
            </w:r>
            <w:r w:rsidR="000F4D22">
              <w:rPr>
                <w:rFonts w:cstheme="minorHAnsi"/>
                <w:noProof/>
              </w:rPr>
              <w:t xml:space="preserve"> </w:t>
            </w:r>
            <w:r w:rsidR="000F4D22" w:rsidRPr="00853ED0">
              <w:rPr>
                <w:noProof/>
              </w:rPr>
              <w:drawing>
                <wp:inline distT="0" distB="0" distL="0" distR="0" wp14:anchorId="72F042F0" wp14:editId="0644D67F">
                  <wp:extent cx="400050" cy="352425"/>
                  <wp:effectExtent l="0" t="0" r="0" b="9525"/>
                  <wp:docPr id="156679" name="Image 21">
                    <a:extLst xmlns:a="http://schemas.openxmlformats.org/drawingml/2006/main">
                      <a:ext uri="{FF2B5EF4-FFF2-40B4-BE49-F238E27FC236}">
                        <a16:creationId xmlns:a16="http://schemas.microsoft.com/office/drawing/2014/main" id="{F52353B3-AA67-41AB-ACE3-C9465695F4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3" name="Image 21">
                            <a:extLst>
                              <a:ext uri="{FF2B5EF4-FFF2-40B4-BE49-F238E27FC236}">
                                <a16:creationId xmlns:a16="http://schemas.microsoft.com/office/drawing/2014/main" id="{F52353B3-AA67-41AB-ACE3-C9465695F4BE}"/>
                              </a:ext>
                            </a:extLst>
                          </pic:cNvPr>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985" w:type="dxa"/>
          </w:tcPr>
          <w:p w14:paraId="3676009E" w14:textId="77777777" w:rsidR="00125E6F" w:rsidRPr="000B6BE3" w:rsidRDefault="00125E6F" w:rsidP="003D7963">
            <w:pPr>
              <w:rPr>
                <w:rFonts w:cstheme="minorHAnsi"/>
              </w:rPr>
            </w:pPr>
            <w:r w:rsidRPr="009521CB">
              <w:rPr>
                <w:rFonts w:eastAsia="+mn-ea" w:cstheme="minorHAnsi"/>
                <w:b/>
                <w:bCs/>
                <w:color w:val="008000"/>
                <w:kern w:val="24"/>
                <w:sz w:val="72"/>
                <w:szCs w:val="72"/>
              </w:rPr>
              <w:t>U</w:t>
            </w:r>
            <w:r>
              <w:rPr>
                <w:rFonts w:eastAsia="+mn-ea" w:cstheme="minorHAnsi"/>
                <w:b/>
                <w:bCs/>
                <w:color w:val="008000"/>
                <w:kern w:val="24"/>
                <w:sz w:val="56"/>
                <w:szCs w:val="56"/>
              </w:rPr>
              <w:t xml:space="preserve"> ↗↗</w:t>
            </w:r>
          </w:p>
        </w:tc>
        <w:tc>
          <w:tcPr>
            <w:tcW w:w="936" w:type="dxa"/>
          </w:tcPr>
          <w:p w14:paraId="68027374" w14:textId="77777777" w:rsidR="00125E6F" w:rsidRPr="000B6BE3" w:rsidRDefault="00125E6F" w:rsidP="003D7963">
            <w:pPr>
              <w:rPr>
                <w:rFonts w:cstheme="minorHAnsi"/>
              </w:rPr>
            </w:pPr>
            <w:r w:rsidRPr="00DE60FE">
              <w:rPr>
                <w:rFonts w:cstheme="minorHAnsi"/>
                <w:noProof/>
              </w:rPr>
              <w:drawing>
                <wp:inline distT="0" distB="0" distL="0" distR="0" wp14:anchorId="533EA493" wp14:editId="253C8474">
                  <wp:extent cx="457200" cy="457200"/>
                  <wp:effectExtent l="0" t="0" r="0" b="0"/>
                  <wp:docPr id="109572" name="Picture 16" descr="C:\Users\LISAN\Pictures\Plantes fourragères\logo invasive plants5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26" name="Picture 16" descr="C:\Users\LISAN\Pictures\Plantes fourragères\logo invasive plants5_s.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57A28D0C" w14:textId="77777777" w:rsidR="00125E6F" w:rsidRDefault="00125E6F" w:rsidP="00B15568">
      <w:pPr>
        <w:spacing w:after="0" w:line="240" w:lineRule="auto"/>
        <w:jc w:val="both"/>
        <w:rPr>
          <w:lang w:val="es-AR"/>
        </w:rPr>
      </w:pPr>
    </w:p>
    <w:p w14:paraId="3E688A76" w14:textId="0D826AB5" w:rsidR="00125E6F" w:rsidRPr="00125E6F" w:rsidRDefault="00125E6F" w:rsidP="00125E6F">
      <w:pPr>
        <w:spacing w:after="0" w:line="240" w:lineRule="auto"/>
        <w:jc w:val="both"/>
      </w:pPr>
      <w:r w:rsidRPr="00125E6F">
        <w:t xml:space="preserve">Arbre </w:t>
      </w:r>
      <w:r w:rsidRPr="00125E6F">
        <w:rPr>
          <w:i/>
          <w:iCs/>
        </w:rPr>
        <w:t>épineux</w:t>
      </w:r>
      <w:r w:rsidRPr="00125E6F">
        <w:t xml:space="preserve"> des zones les plus sèches, proches la côte Sud-Américaine. </w:t>
      </w:r>
    </w:p>
    <w:p w14:paraId="5014FEAC" w14:textId="77777777" w:rsidR="00125E6F" w:rsidRDefault="00125E6F" w:rsidP="00125E6F">
      <w:pPr>
        <w:spacing w:after="0" w:line="240" w:lineRule="auto"/>
        <w:jc w:val="both"/>
      </w:pPr>
      <w:r w:rsidRPr="00125E6F">
        <w:rPr>
          <w:u w:val="single"/>
        </w:rPr>
        <w:t>Usages</w:t>
      </w:r>
      <w:r>
        <w:t xml:space="preserve"> : </w:t>
      </w:r>
      <w:r w:rsidRPr="00125E6F">
        <w:rPr>
          <w:i/>
          <w:iCs/>
        </w:rPr>
        <w:t xml:space="preserve">Prosopis pallida </w:t>
      </w:r>
      <w:r w:rsidRPr="00125E6F">
        <w:t>est une bonne plante apicole. Son bois est utilisable comme matériau, ainsi que dans la fabrication de charbon de bois. Les fruits très nutritifs et sucrés, permettent la fabrication d'un sirop, appelé </w:t>
      </w:r>
      <w:hyperlink r:id="rId4149" w:history="1">
        <w:r w:rsidRPr="00125E6F">
          <w:rPr>
            <w:rStyle w:val="Lienhypertexte"/>
          </w:rPr>
          <w:t>algarrobina</w:t>
        </w:r>
      </w:hyperlink>
      <w:r w:rsidRPr="00125E6F">
        <w:t xml:space="preserve">, utilisé dans la cuisine Péruvienne. Son feuillage peut servir de fourrage pour le bétail. </w:t>
      </w:r>
    </w:p>
    <w:p w14:paraId="4B94A6CF" w14:textId="5CC31373" w:rsidR="00125E6F" w:rsidRPr="00125E6F" w:rsidRDefault="00125E6F" w:rsidP="00125E6F">
      <w:pPr>
        <w:spacing w:after="0" w:line="240" w:lineRule="auto"/>
        <w:jc w:val="both"/>
      </w:pPr>
      <w:r w:rsidRPr="00125E6F">
        <w:t>Comme beaucoup d'espèces du genre </w:t>
      </w:r>
      <w:hyperlink r:id="rId4150" w:history="1">
        <w:r w:rsidRPr="00125E6F">
          <w:rPr>
            <w:rStyle w:val="Lienhypertexte"/>
            <w:i/>
            <w:iCs/>
          </w:rPr>
          <w:t>Prosopis</w:t>
        </w:r>
      </w:hyperlink>
      <w:r w:rsidRPr="00125E6F">
        <w:t>, cette espèce pousse vite et facilement et peut vivre pendant plus d'un millénaire. Elle permet de repeupler un milieu. Il fait un bon arbre d'ombrage, et son bois dur est une source de bois de chauffage et de </w:t>
      </w:r>
      <w:hyperlink r:id="rId4151" w:history="1">
        <w:r w:rsidRPr="00125E6F">
          <w:rPr>
            <w:rStyle w:val="Lienhypertexte"/>
          </w:rPr>
          <w:t>charbon de bois</w:t>
        </w:r>
      </w:hyperlink>
      <w:r w:rsidRPr="00125E6F">
        <w:t>. Ses gousses peuvent être utilisés comme fourrage par le </w:t>
      </w:r>
      <w:hyperlink r:id="rId4152" w:history="1">
        <w:r w:rsidRPr="00125E6F">
          <w:rPr>
            <w:rStyle w:val="Lienhypertexte"/>
          </w:rPr>
          <w:t>bétail</w:t>
        </w:r>
      </w:hyperlink>
      <w:r w:rsidRPr="00125E6F">
        <w:t>, farine ou être transformées en </w:t>
      </w:r>
      <w:hyperlink r:id="rId4153" w:history="1">
        <w:r w:rsidRPr="00125E6F">
          <w:rPr>
            <w:rStyle w:val="Lienhypertexte"/>
          </w:rPr>
          <w:t>mélasse</w:t>
        </w:r>
      </w:hyperlink>
      <w:r w:rsidRPr="00125E6F">
        <w:t> ou utilisés pour faire de la </w:t>
      </w:r>
      <w:hyperlink r:id="rId4154" w:history="1">
        <w:r w:rsidRPr="00125E6F">
          <w:rPr>
            <w:rStyle w:val="Lienhypertexte"/>
          </w:rPr>
          <w:t>bière</w:t>
        </w:r>
      </w:hyperlink>
      <w:r w:rsidRPr="00125E6F">
        <w:t>. Ses fleurs jaunes lumineuses attirent </w:t>
      </w:r>
      <w:hyperlink r:id="rId4155" w:history="1">
        <w:r w:rsidRPr="00125E6F">
          <w:rPr>
            <w:rStyle w:val="Lienhypertexte"/>
          </w:rPr>
          <w:t>les abeilles</w:t>
        </w:r>
      </w:hyperlink>
      <w:r w:rsidRPr="00125E6F">
        <w:t>, qui produisent un </w:t>
      </w:r>
      <w:hyperlink r:id="rId4156" w:history="1">
        <w:r w:rsidRPr="00125E6F">
          <w:rPr>
            <w:rStyle w:val="Lienhypertexte"/>
          </w:rPr>
          <w:t>miel</w:t>
        </w:r>
      </w:hyperlink>
      <w:r w:rsidRPr="00125E6F">
        <w:t> blanc convoité.</w:t>
      </w:r>
    </w:p>
    <w:p w14:paraId="20D03A27" w14:textId="5DBDCF42" w:rsidR="00125E6F" w:rsidRPr="00125E6F" w:rsidRDefault="00125E6F" w:rsidP="00125E6F">
      <w:pPr>
        <w:spacing w:after="0" w:line="240" w:lineRule="auto"/>
        <w:jc w:val="both"/>
      </w:pPr>
      <w:r w:rsidRPr="00125E6F">
        <w:rPr>
          <w:u w:val="single"/>
        </w:rPr>
        <w:t>Espèce envahissante</w:t>
      </w:r>
      <w:r>
        <w:t xml:space="preserve"> : </w:t>
      </w:r>
      <w:r w:rsidRPr="00125E6F">
        <w:t>"</w:t>
      </w:r>
      <w:r w:rsidRPr="00125E6F">
        <w:rPr>
          <w:i/>
          <w:iCs/>
        </w:rPr>
        <w:t>Par ses épines et de ses branches tombantes, P. pallida peuvent aussi bloquer physiquement le passage des personnes et des animaux. Ses racines profondes privent d'eau, les plantes à racines peu profondes</w:t>
      </w:r>
      <w:r w:rsidRPr="00125E6F">
        <w:t>" (Motooka </w:t>
      </w:r>
      <w:r w:rsidRPr="00125E6F">
        <w:rPr>
          <w:i/>
          <w:iCs/>
        </w:rPr>
        <w:t>et al</w:t>
      </w:r>
      <w:r w:rsidRPr="00125E6F">
        <w:t> ., 2003 ). C’est un producteur prolifique de semences. P</w:t>
      </w:r>
      <w:r w:rsidRPr="00125E6F">
        <w:rPr>
          <w:i/>
          <w:iCs/>
        </w:rPr>
        <w:t xml:space="preserve">. pallida </w:t>
      </w:r>
      <w:r w:rsidRPr="00125E6F">
        <w:t xml:space="preserve">est une </w:t>
      </w:r>
      <w:hyperlink r:id="rId4157" w:history="1">
        <w:r w:rsidRPr="00125E6F">
          <w:rPr>
            <w:rStyle w:val="Lienhypertexte"/>
          </w:rPr>
          <w:t>plante envahissante</w:t>
        </w:r>
      </w:hyperlink>
      <w:r w:rsidRPr="00125E6F">
        <w:t>, dans plusieurs endroits dans le monde (en particulier en Afrique).</w:t>
      </w:r>
    </w:p>
    <w:p w14:paraId="6F53B3AC" w14:textId="2993012E" w:rsidR="00125E6F" w:rsidRPr="00125E6F" w:rsidRDefault="00125E6F" w:rsidP="00125E6F">
      <w:pPr>
        <w:spacing w:after="0" w:line="240" w:lineRule="auto"/>
        <w:jc w:val="both"/>
      </w:pPr>
      <w:r w:rsidRPr="00125E6F">
        <w:rPr>
          <w:u w:val="single"/>
        </w:rPr>
        <w:t>Autres noms</w:t>
      </w:r>
      <w:r w:rsidRPr="00125E6F">
        <w:t xml:space="preserve"> : kiawe commun, caroube huarango et caroube américain. En Amérique du Sud, il est souvent appelé « caroubier » (algarrobo), en raison de sa ressemblance avec ce dernier, alors que ces deux espèces sont bien distinctes.</w:t>
      </w:r>
    </w:p>
    <w:p w14:paraId="01205F0A" w14:textId="77777777" w:rsidR="00125E6F" w:rsidRDefault="00125E6F" w:rsidP="00125E6F">
      <w:pPr>
        <w:spacing w:after="0" w:line="240" w:lineRule="auto"/>
        <w:jc w:val="both"/>
      </w:pPr>
      <w:r w:rsidRPr="00125E6F">
        <w:t xml:space="preserve">Sources : a) </w:t>
      </w:r>
      <w:hyperlink r:id="rId4158" w:history="1">
        <w:r w:rsidRPr="00125E6F">
          <w:rPr>
            <w:rStyle w:val="Lienhypertexte"/>
          </w:rPr>
          <w:t>http://www.hear.org/pier/species/prosopis_pallida.htm</w:t>
        </w:r>
      </w:hyperlink>
      <w:r w:rsidRPr="00125E6F">
        <w:t xml:space="preserve"> , </w:t>
      </w:r>
    </w:p>
    <w:p w14:paraId="7920AE97" w14:textId="55C4FCBA" w:rsidR="00125E6F" w:rsidRPr="00411177" w:rsidRDefault="00125E6F" w:rsidP="00125E6F">
      <w:pPr>
        <w:spacing w:after="0" w:line="240" w:lineRule="auto"/>
        <w:jc w:val="both"/>
      </w:pPr>
      <w:r w:rsidRPr="00411177">
        <w:t xml:space="preserve">b) </w:t>
      </w:r>
      <w:hyperlink r:id="rId4159" w:history="1">
        <w:r w:rsidRPr="00411177">
          <w:rPr>
            <w:rStyle w:val="Lienhypertexte"/>
          </w:rPr>
          <w:t>http://fr.wikipedia.org/wiki/Prosopis_pallida</w:t>
        </w:r>
      </w:hyperlink>
      <w:r w:rsidRPr="00411177">
        <w:t xml:space="preserve">, </w:t>
      </w:r>
    </w:p>
    <w:p w14:paraId="75D6C047" w14:textId="77777777" w:rsidR="00125E6F" w:rsidRPr="00125E6F" w:rsidRDefault="00125E6F" w:rsidP="00125E6F">
      <w:pPr>
        <w:spacing w:after="0" w:line="240" w:lineRule="auto"/>
        <w:jc w:val="both"/>
      </w:pPr>
      <w:r w:rsidRPr="00125E6F">
        <w:t xml:space="preserve">c) </w:t>
      </w:r>
      <w:hyperlink r:id="rId4160" w:history="1">
        <w:r w:rsidRPr="00125E6F">
          <w:rPr>
            <w:rStyle w:val="Lienhypertexte"/>
          </w:rPr>
          <w:t>http://en.wikipedia.org/wiki/Prosopis_pallida</w:t>
        </w:r>
      </w:hyperlink>
      <w:r w:rsidRPr="00125E6F">
        <w:t xml:space="preserve"> </w:t>
      </w:r>
    </w:p>
    <w:p w14:paraId="4827F9C1" w14:textId="427C901A" w:rsidR="00125E6F" w:rsidRDefault="00125E6F" w:rsidP="00B15568">
      <w:pPr>
        <w:spacing w:after="0" w:line="240" w:lineRule="auto"/>
        <w:jc w:val="both"/>
      </w:pP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6"/>
        <w:gridCol w:w="3036"/>
        <w:gridCol w:w="3396"/>
      </w:tblGrid>
      <w:tr w:rsidR="00125E6F" w14:paraId="7A431941" w14:textId="77777777" w:rsidTr="00125E6F">
        <w:trPr>
          <w:jc w:val="center"/>
        </w:trPr>
        <w:tc>
          <w:tcPr>
            <w:tcW w:w="3006" w:type="dxa"/>
          </w:tcPr>
          <w:p w14:paraId="2FFF518D" w14:textId="152B7B30" w:rsidR="00125E6F" w:rsidRDefault="00125E6F" w:rsidP="00125E6F">
            <w:pPr>
              <w:jc w:val="center"/>
            </w:pPr>
            <w:r w:rsidRPr="00125E6F">
              <w:rPr>
                <w:noProof/>
              </w:rPr>
              <w:drawing>
                <wp:inline distT="0" distB="0" distL="0" distR="0" wp14:anchorId="4021AF43" wp14:editId="674D7A79">
                  <wp:extent cx="1763713" cy="1320800"/>
                  <wp:effectExtent l="0" t="0" r="8255" b="0"/>
                  <wp:docPr id="181260" name="Picture 3" descr="C:\Users\LISAN\Pictures\plantes-halophytes-xerophiles\Prosopis palli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60" name="Picture 3" descr="C:\Users\LISAN\Pictures\plantes-halophytes-xerophiles\Prosopis pallida.jpg"/>
                          <pic:cNvPicPr>
                            <a:picLocks noChangeAspect="1" noChangeArrowheads="1"/>
                          </pic:cNvPicPr>
                        </pic:nvPicPr>
                        <pic:blipFill>
                          <a:blip r:embed="rId4161">
                            <a:extLst>
                              <a:ext uri="{28A0092B-C50C-407E-A947-70E740481C1C}">
                                <a14:useLocalDpi xmlns:a14="http://schemas.microsoft.com/office/drawing/2010/main" val="0"/>
                              </a:ext>
                            </a:extLst>
                          </a:blip>
                          <a:srcRect/>
                          <a:stretch>
                            <a:fillRect/>
                          </a:stretch>
                        </pic:blipFill>
                        <pic:spPr bwMode="auto">
                          <a:xfrm>
                            <a:off x="0" y="0"/>
                            <a:ext cx="1763713" cy="1320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036" w:type="dxa"/>
          </w:tcPr>
          <w:p w14:paraId="70E86A15" w14:textId="01B7BEFD" w:rsidR="00125E6F" w:rsidRDefault="00125E6F" w:rsidP="00125E6F">
            <w:pPr>
              <w:jc w:val="center"/>
            </w:pPr>
            <w:r w:rsidRPr="00125E6F">
              <w:rPr>
                <w:noProof/>
              </w:rPr>
              <w:drawing>
                <wp:inline distT="0" distB="0" distL="0" distR="0" wp14:anchorId="0126B227" wp14:editId="448D2529">
                  <wp:extent cx="1782762" cy="1560512"/>
                  <wp:effectExtent l="0" t="0" r="8255" b="1905"/>
                  <wp:docPr id="181262" name="Picture 5" descr="C:\Users\LISAN\Pictures\plantes-halophytes-xerophiles\Prosopis pallid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62" name="Picture 5" descr="C:\Users\LISAN\Pictures\plantes-halophytes-xerophiles\Prosopis pallida3.jpg"/>
                          <pic:cNvPicPr>
                            <a:picLocks noChangeAspect="1" noChangeArrowheads="1"/>
                          </pic:cNvPicPr>
                        </pic:nvPicPr>
                        <pic:blipFill>
                          <a:blip r:embed="rId4162">
                            <a:extLst>
                              <a:ext uri="{28A0092B-C50C-407E-A947-70E740481C1C}">
                                <a14:useLocalDpi xmlns:a14="http://schemas.microsoft.com/office/drawing/2010/main" val="0"/>
                              </a:ext>
                            </a:extLst>
                          </a:blip>
                          <a:srcRect/>
                          <a:stretch>
                            <a:fillRect/>
                          </a:stretch>
                        </pic:blipFill>
                        <pic:spPr bwMode="auto">
                          <a:xfrm>
                            <a:off x="0" y="0"/>
                            <a:ext cx="1782762" cy="15605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396" w:type="dxa"/>
          </w:tcPr>
          <w:p w14:paraId="1F3A9BFF" w14:textId="63A54187" w:rsidR="00125E6F" w:rsidRDefault="00125E6F" w:rsidP="00125E6F">
            <w:pPr>
              <w:jc w:val="center"/>
            </w:pPr>
            <w:r w:rsidRPr="00125E6F">
              <w:rPr>
                <w:noProof/>
              </w:rPr>
              <w:drawing>
                <wp:inline distT="0" distB="0" distL="0" distR="0" wp14:anchorId="55CFC836" wp14:editId="1F40963D">
                  <wp:extent cx="2016125" cy="1458912"/>
                  <wp:effectExtent l="0" t="0" r="3175" b="8255"/>
                  <wp:docPr id="181264" name="Picture 7" descr="C:\Users\LISAN\Pictures\plantes-halophytes-xerophiles\Prosopis pallida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64" name="Picture 7" descr="C:\Users\LISAN\Pictures\plantes-halophytes-xerophiles\Prosopis pallida6.jpg"/>
                          <pic:cNvPicPr>
                            <a:picLocks noChangeAspect="1" noChangeArrowheads="1"/>
                          </pic:cNvPicPr>
                        </pic:nvPicPr>
                        <pic:blipFill>
                          <a:blip r:embed="rId4163">
                            <a:extLst>
                              <a:ext uri="{28A0092B-C50C-407E-A947-70E740481C1C}">
                                <a14:useLocalDpi xmlns:a14="http://schemas.microsoft.com/office/drawing/2010/main" val="0"/>
                              </a:ext>
                            </a:extLst>
                          </a:blip>
                          <a:srcRect/>
                          <a:stretch>
                            <a:fillRect/>
                          </a:stretch>
                        </pic:blipFill>
                        <pic:spPr bwMode="auto">
                          <a:xfrm>
                            <a:off x="0" y="0"/>
                            <a:ext cx="2016125" cy="14589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125E6F" w14:paraId="24058448" w14:textId="77777777" w:rsidTr="00125E6F">
        <w:trPr>
          <w:jc w:val="center"/>
        </w:trPr>
        <w:tc>
          <w:tcPr>
            <w:tcW w:w="3006" w:type="dxa"/>
          </w:tcPr>
          <w:p w14:paraId="7B2CD49C" w14:textId="02E34F92" w:rsidR="00125E6F" w:rsidRDefault="00125E6F" w:rsidP="00125E6F">
            <w:pPr>
              <w:jc w:val="center"/>
            </w:pPr>
            <w:r w:rsidRPr="00125E6F">
              <w:rPr>
                <w:noProof/>
              </w:rPr>
              <w:drawing>
                <wp:inline distT="0" distB="0" distL="0" distR="0" wp14:anchorId="65703BC0" wp14:editId="794F3A46">
                  <wp:extent cx="1714500" cy="1225578"/>
                  <wp:effectExtent l="0" t="0" r="0" b="0"/>
                  <wp:docPr id="181263" name="Picture 6" descr="C:\Users\LISAN\Pictures\plantes-halophytes-xerophiles\Prosopis pallid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63" name="Picture 6" descr="C:\Users\LISAN\Pictures\plantes-halophytes-xerophiles\Prosopis pallida4.jpg"/>
                          <pic:cNvPicPr>
                            <a:picLocks noChangeAspect="1" noChangeArrowheads="1"/>
                          </pic:cNvPicPr>
                        </pic:nvPicPr>
                        <pic:blipFill>
                          <a:blip r:embed="rId4164">
                            <a:extLst>
                              <a:ext uri="{28A0092B-C50C-407E-A947-70E740481C1C}">
                                <a14:useLocalDpi xmlns:a14="http://schemas.microsoft.com/office/drawing/2010/main" val="0"/>
                              </a:ext>
                            </a:extLst>
                          </a:blip>
                          <a:srcRect/>
                          <a:stretch>
                            <a:fillRect/>
                          </a:stretch>
                        </pic:blipFill>
                        <pic:spPr bwMode="auto">
                          <a:xfrm>
                            <a:off x="0" y="0"/>
                            <a:ext cx="1718758" cy="1228622"/>
                          </a:xfrm>
                          <a:prstGeom prst="rect">
                            <a:avLst/>
                          </a:prstGeom>
                          <a:noFill/>
                          <a:ln>
                            <a:noFill/>
                          </a:ln>
                        </pic:spPr>
                      </pic:pic>
                    </a:graphicData>
                  </a:graphic>
                </wp:inline>
              </w:drawing>
            </w:r>
          </w:p>
        </w:tc>
        <w:tc>
          <w:tcPr>
            <w:tcW w:w="3036" w:type="dxa"/>
          </w:tcPr>
          <w:p w14:paraId="6F748603" w14:textId="77777777" w:rsidR="00125E6F" w:rsidRDefault="00125E6F" w:rsidP="00125E6F">
            <w:pPr>
              <w:jc w:val="center"/>
            </w:pPr>
          </w:p>
          <w:p w14:paraId="40F3E1AC" w14:textId="1DE1833D" w:rsidR="00125E6F" w:rsidRDefault="00125E6F" w:rsidP="00125E6F">
            <w:pPr>
              <w:jc w:val="center"/>
            </w:pPr>
            <w:r w:rsidRPr="00125E6F">
              <w:rPr>
                <w:noProof/>
              </w:rPr>
              <w:drawing>
                <wp:inline distT="0" distB="0" distL="0" distR="0" wp14:anchorId="57522B32" wp14:editId="0F88B2C9">
                  <wp:extent cx="1619250" cy="1212109"/>
                  <wp:effectExtent l="0" t="0" r="0" b="7620"/>
                  <wp:docPr id="181259" name="Picture 2" descr="C:\Users\LISAN\Pictures\plantes-halophytes-xerophiles\Prosopis pallid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59" name="Picture 2" descr="C:\Users\LISAN\Pictures\plantes-halophytes-xerophiles\Prosopis pallida8.jpg"/>
                          <pic:cNvPicPr>
                            <a:picLocks noChangeAspect="1" noChangeArrowheads="1"/>
                          </pic:cNvPicPr>
                        </pic:nvPicPr>
                        <pic:blipFill>
                          <a:blip r:embed="rId4165">
                            <a:extLst>
                              <a:ext uri="{28A0092B-C50C-407E-A947-70E740481C1C}">
                                <a14:useLocalDpi xmlns:a14="http://schemas.microsoft.com/office/drawing/2010/main" val="0"/>
                              </a:ext>
                            </a:extLst>
                          </a:blip>
                          <a:srcRect/>
                          <a:stretch>
                            <a:fillRect/>
                          </a:stretch>
                        </pic:blipFill>
                        <pic:spPr bwMode="auto">
                          <a:xfrm>
                            <a:off x="0" y="0"/>
                            <a:ext cx="1622778" cy="1214750"/>
                          </a:xfrm>
                          <a:prstGeom prst="rect">
                            <a:avLst/>
                          </a:prstGeom>
                          <a:noFill/>
                          <a:ln>
                            <a:noFill/>
                          </a:ln>
                        </pic:spPr>
                      </pic:pic>
                    </a:graphicData>
                  </a:graphic>
                </wp:inline>
              </w:drawing>
            </w:r>
          </w:p>
          <w:p w14:paraId="01E56A93" w14:textId="32254395" w:rsidR="00125E6F" w:rsidRDefault="00125E6F" w:rsidP="00125E6F">
            <w:pPr>
              <w:jc w:val="center"/>
            </w:pPr>
            <w:r>
              <w:t xml:space="preserve">Grume de </w:t>
            </w:r>
            <w:r w:rsidRPr="00125E6F">
              <w:rPr>
                <w:i/>
                <w:iCs/>
              </w:rPr>
              <w:t>P</w:t>
            </w:r>
            <w:r>
              <w:rPr>
                <w:i/>
                <w:iCs/>
              </w:rPr>
              <w:t>.</w:t>
            </w:r>
            <w:r w:rsidRPr="00125E6F">
              <w:rPr>
                <w:i/>
                <w:iCs/>
              </w:rPr>
              <w:t xml:space="preserve"> pallida</w:t>
            </w:r>
            <w:r>
              <w:t xml:space="preserve"> (Pérou).</w:t>
            </w:r>
          </w:p>
        </w:tc>
        <w:tc>
          <w:tcPr>
            <w:tcW w:w="3396" w:type="dxa"/>
          </w:tcPr>
          <w:p w14:paraId="59362D4B" w14:textId="14E91C29" w:rsidR="00125E6F" w:rsidRDefault="00125E6F" w:rsidP="00125E6F">
            <w:pPr>
              <w:jc w:val="center"/>
            </w:pPr>
            <w:r w:rsidRPr="00125E6F">
              <w:rPr>
                <w:noProof/>
              </w:rPr>
              <w:drawing>
                <wp:inline distT="0" distB="0" distL="0" distR="0" wp14:anchorId="4DEA19CD" wp14:editId="28EC9D33">
                  <wp:extent cx="1905000" cy="1428750"/>
                  <wp:effectExtent l="0" t="0" r="0" b="0"/>
                  <wp:docPr id="181261" name="Picture 4" descr="C:\Users\LISAN\Pictures\plantes-halophytes-xerophiles\Prosopis pallid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61" name="Picture 4" descr="C:\Users\LISAN\Pictures\plantes-halophytes-xerophiles\Prosopis pallida1.jpg"/>
                          <pic:cNvPicPr>
                            <a:picLocks noChangeAspect="1" noChangeArrowheads="1"/>
                          </pic:cNvPicPr>
                        </pic:nvPicPr>
                        <pic:blipFill>
                          <a:blip r:embed="rId4166">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7A2CA5CC" w14:textId="77777777" w:rsidR="00125E6F" w:rsidRDefault="00125E6F" w:rsidP="00125E6F">
      <w:pPr>
        <w:spacing w:after="0" w:line="240" w:lineRule="auto"/>
        <w:jc w:val="center"/>
      </w:pPr>
    </w:p>
    <w:p w14:paraId="3FB1004D" w14:textId="5769353F" w:rsidR="00125E6F" w:rsidRPr="00125E6F" w:rsidRDefault="00125E6F" w:rsidP="00125E6F">
      <w:pPr>
        <w:spacing w:after="0" w:line="240" w:lineRule="auto"/>
        <w:jc w:val="center"/>
      </w:pPr>
      <w:r w:rsidRPr="00125E6F">
        <w:rPr>
          <w:noProof/>
        </w:rPr>
        <w:drawing>
          <wp:inline distT="0" distB="0" distL="0" distR="0" wp14:anchorId="1C12A15E" wp14:editId="11C553F7">
            <wp:extent cx="2990850" cy="1524000"/>
            <wp:effectExtent l="0" t="0" r="0" b="0"/>
            <wp:docPr id="181265" name="Picture 8" descr="C:\Users\LISAN\Pictures\plantes-halophytes-xerophiles\Prosopis pallid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65" name="Picture 8" descr="C:\Users\LISAN\Pictures\plantes-halophytes-xerophiles\Prosopis pallida7.jpg"/>
                    <pic:cNvPicPr>
                      <a:picLocks noChangeAspect="1" noChangeArrowheads="1"/>
                    </pic:cNvPicPr>
                  </pic:nvPicPr>
                  <pic:blipFill>
                    <a:blip r:embed="rId4167">
                      <a:extLst>
                        <a:ext uri="{28A0092B-C50C-407E-A947-70E740481C1C}">
                          <a14:useLocalDpi xmlns:a14="http://schemas.microsoft.com/office/drawing/2010/main" val="0"/>
                        </a:ext>
                      </a:extLst>
                    </a:blip>
                    <a:srcRect/>
                    <a:stretch>
                      <a:fillRect/>
                    </a:stretch>
                  </pic:blipFill>
                  <pic:spPr bwMode="auto">
                    <a:xfrm>
                      <a:off x="0" y="0"/>
                      <a:ext cx="2990850" cy="152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33BBD81F" w14:textId="7ABDBFE9" w:rsidR="008D70EB" w:rsidRPr="008D70EB" w:rsidRDefault="008D70EB" w:rsidP="00EF2E52">
      <w:pPr>
        <w:spacing w:after="0" w:line="240" w:lineRule="auto"/>
        <w:rPr>
          <w:lang w:val="en-GB"/>
        </w:rPr>
      </w:pPr>
    </w:p>
    <w:p w14:paraId="5C78400F" w14:textId="4AB0A562" w:rsidR="008D70EB" w:rsidRPr="00EF2E52" w:rsidRDefault="00EF2E52" w:rsidP="00EF2E52">
      <w:pPr>
        <w:pStyle w:val="Titre2"/>
        <w:rPr>
          <w:i/>
          <w:iCs/>
          <w:lang w:val="en-GB"/>
        </w:rPr>
      </w:pPr>
      <w:bookmarkStart w:id="392" w:name="_Toc139181682"/>
      <w:r w:rsidRPr="00EF2E52">
        <w:rPr>
          <w:i/>
          <w:iCs/>
          <w:lang w:val="en-GB"/>
        </w:rPr>
        <w:t>Atriplex sp.</w:t>
      </w:r>
      <w:bookmarkEnd w:id="392"/>
    </w:p>
    <w:p w14:paraId="18C72A09" w14:textId="1C940A42" w:rsidR="00EF2E52" w:rsidRDefault="00EF2E52" w:rsidP="00EF2E52">
      <w:pPr>
        <w:spacing w:after="0" w:line="240" w:lineRule="auto"/>
        <w:jc w:val="both"/>
        <w:rPr>
          <w:lang w:val="en-G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0"/>
        <w:gridCol w:w="2407"/>
        <w:gridCol w:w="1983"/>
        <w:gridCol w:w="1378"/>
      </w:tblGrid>
      <w:tr w:rsidR="00A47184" w:rsidRPr="000B6BE3" w14:paraId="1A1A3334" w14:textId="77777777" w:rsidTr="003D7963">
        <w:tc>
          <w:tcPr>
            <w:tcW w:w="4390" w:type="dxa"/>
          </w:tcPr>
          <w:p w14:paraId="7E0A6C6E" w14:textId="77B21A87" w:rsidR="00A47184" w:rsidRDefault="00A47184" w:rsidP="003D7963">
            <w:pPr>
              <w:jc w:val="both"/>
              <w:rPr>
                <w:rFonts w:ascii="Calibri" w:hAnsi="Calibri" w:cs="Calibri"/>
                <w:bCs/>
              </w:rPr>
            </w:pPr>
            <w:r>
              <w:rPr>
                <w:rFonts w:ascii="Calibri" w:hAnsi="Calibri" w:cs="Calibri"/>
                <w:bCs/>
              </w:rPr>
              <w:t>(</w:t>
            </w:r>
            <w:r w:rsidRPr="00DE2C3A">
              <w:rPr>
                <w:rFonts w:ascii="Calibri" w:hAnsi="Calibri" w:cs="Calibri"/>
                <w:bCs/>
              </w:rPr>
              <w:t xml:space="preserve">Famille </w:t>
            </w:r>
            <w:r w:rsidRPr="00E31768">
              <w:rPr>
                <w:rFonts w:ascii="Calibri" w:hAnsi="Calibri" w:cs="Calibri"/>
                <w:i/>
                <w:iCs/>
              </w:rPr>
              <w:t>des </w:t>
            </w:r>
            <w:hyperlink r:id="rId4168" w:tooltip="Amaranthaceae" w:history="1">
              <w:r w:rsidRPr="00EF2E52">
                <w:rPr>
                  <w:rStyle w:val="Lienhypertexte"/>
                  <w:rFonts w:ascii="Calibri" w:hAnsi="Calibri" w:cs="Calibri"/>
                  <w:i/>
                  <w:iCs/>
                  <w:color w:val="0645AD"/>
                  <w:shd w:val="clear" w:color="auto" w:fill="FFFFFF"/>
                </w:rPr>
                <w:t>Amaranthaceae</w:t>
              </w:r>
            </w:hyperlink>
            <w:r>
              <w:rPr>
                <w:rFonts w:ascii="Calibri" w:hAnsi="Calibri" w:cs="Calibri"/>
                <w:bCs/>
              </w:rPr>
              <w:t>)</w:t>
            </w:r>
            <w:r w:rsidRPr="00DE2C3A">
              <w:rPr>
                <w:rFonts w:ascii="Calibri" w:hAnsi="Calibri" w:cs="Calibri"/>
                <w:bCs/>
              </w:rPr>
              <w:t>.</w:t>
            </w:r>
          </w:p>
          <w:p w14:paraId="70EEB829" w14:textId="77777777" w:rsidR="00A47184" w:rsidRDefault="00A47184" w:rsidP="003D7963">
            <w:pPr>
              <w:jc w:val="both"/>
              <w:rPr>
                <w:rFonts w:cstheme="minorHAnsi"/>
                <w:b/>
                <w:bCs/>
                <w:color w:val="FF0000"/>
              </w:rPr>
            </w:pPr>
          </w:p>
          <w:p w14:paraId="111BF502" w14:textId="77777777" w:rsidR="00A47184" w:rsidRPr="000B6BE3" w:rsidRDefault="00A47184" w:rsidP="003D7963">
            <w:pPr>
              <w:jc w:val="both"/>
              <w:rPr>
                <w:rFonts w:cstheme="minorHAnsi"/>
              </w:rPr>
            </w:pPr>
            <w:r w:rsidRPr="009A3C5B">
              <w:rPr>
                <w:rFonts w:cstheme="minorHAnsi"/>
                <w:b/>
                <w:bCs/>
                <w:color w:val="FF0000"/>
              </w:rPr>
              <w:t>Risque élevé</w:t>
            </w:r>
            <w:r>
              <w:rPr>
                <w:rFonts w:cstheme="minorHAnsi"/>
                <w:b/>
                <w:bCs/>
                <w:color w:val="FF0000"/>
              </w:rPr>
              <w:t>.</w:t>
            </w:r>
          </w:p>
        </w:tc>
        <w:tc>
          <w:tcPr>
            <w:tcW w:w="2407" w:type="dxa"/>
          </w:tcPr>
          <w:p w14:paraId="789307CB" w14:textId="77777777" w:rsidR="00A47184" w:rsidRPr="000B6BE3" w:rsidRDefault="00A47184" w:rsidP="003D7963">
            <w:pPr>
              <w:rPr>
                <w:rFonts w:cstheme="minorHAnsi"/>
              </w:rPr>
            </w:pPr>
            <w:r w:rsidRPr="000B6BE3">
              <w:rPr>
                <w:rFonts w:cstheme="minorHAnsi"/>
                <w:noProof/>
              </w:rPr>
              <w:t xml:space="preserve">  </w:t>
            </w:r>
            <w:r>
              <w:rPr>
                <w:rFonts w:cstheme="minorHAnsi"/>
                <w:noProof/>
              </w:rPr>
              <w:t xml:space="preserve">      </w:t>
            </w:r>
            <w:r w:rsidRPr="005C50C9">
              <w:rPr>
                <w:rFonts w:cstheme="minorHAnsi"/>
                <w:noProof/>
              </w:rPr>
              <w:drawing>
                <wp:inline distT="0" distB="0" distL="0" distR="0" wp14:anchorId="7A2B1267" wp14:editId="616DE251">
                  <wp:extent cx="495300" cy="666750"/>
                  <wp:effectExtent l="0" t="0" r="0" b="0"/>
                  <wp:docPr id="109582" name="Image 15"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8" name="Image 15" descr="logo aride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r w:rsidRPr="008F2681">
              <w:rPr>
                <w:rFonts w:cstheme="minorHAnsi"/>
                <w:noProof/>
              </w:rPr>
              <w:drawing>
                <wp:inline distT="0" distB="0" distL="0" distR="0" wp14:anchorId="4F9022A7" wp14:editId="678E49B7">
                  <wp:extent cx="463550" cy="661988"/>
                  <wp:effectExtent l="0" t="0" r="0" b="5080"/>
                  <wp:docPr id="109583"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w:t>
            </w:r>
          </w:p>
        </w:tc>
        <w:tc>
          <w:tcPr>
            <w:tcW w:w="1983" w:type="dxa"/>
          </w:tcPr>
          <w:p w14:paraId="3B9EEE2F" w14:textId="77777777" w:rsidR="00A47184" w:rsidRPr="00A47184" w:rsidRDefault="00A47184" w:rsidP="003D7963">
            <w:pPr>
              <w:rPr>
                <w:rFonts w:cstheme="minorHAnsi"/>
                <w:sz w:val="40"/>
                <w:szCs w:val="40"/>
              </w:rPr>
            </w:pPr>
            <w:r w:rsidRPr="00A47184">
              <w:rPr>
                <w:rFonts w:eastAsia="+mn-ea" w:cstheme="minorHAnsi"/>
                <w:b/>
                <w:bCs/>
                <w:color w:val="008000"/>
                <w:kern w:val="24"/>
                <w:sz w:val="40"/>
                <w:szCs w:val="40"/>
              </w:rPr>
              <w:t>↗</w:t>
            </w:r>
          </w:p>
        </w:tc>
        <w:tc>
          <w:tcPr>
            <w:tcW w:w="1378" w:type="dxa"/>
          </w:tcPr>
          <w:p w14:paraId="5B24493B" w14:textId="77777777" w:rsidR="00A47184" w:rsidRPr="000B6BE3" w:rsidRDefault="00A47184" w:rsidP="003D7963">
            <w:pPr>
              <w:rPr>
                <w:rFonts w:cstheme="minorHAnsi"/>
              </w:rPr>
            </w:pPr>
            <w:r w:rsidRPr="00DE60FE">
              <w:rPr>
                <w:rFonts w:cstheme="minorHAnsi"/>
                <w:noProof/>
              </w:rPr>
              <w:drawing>
                <wp:inline distT="0" distB="0" distL="0" distR="0" wp14:anchorId="58AEE4A5" wp14:editId="48866EC0">
                  <wp:extent cx="457200" cy="457200"/>
                  <wp:effectExtent l="0" t="0" r="0" b="0"/>
                  <wp:docPr id="109584" name="Picture 16" descr="C:\Users\LISAN\Pictures\Plantes fourragères\logo invasive plants5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26" name="Picture 16" descr="C:\Users\LISAN\Pictures\Plantes fourragères\logo invasive plants5_s.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765A375A" w14:textId="77777777" w:rsidR="00A47184" w:rsidRDefault="00A47184" w:rsidP="00EF2E52">
      <w:pPr>
        <w:spacing w:after="0" w:line="240" w:lineRule="auto"/>
        <w:jc w:val="both"/>
        <w:rPr>
          <w:lang w:val="en-GB"/>
        </w:rPr>
      </w:pPr>
    </w:p>
    <w:p w14:paraId="6E2D26A6" w14:textId="43211990" w:rsidR="00EF2E52" w:rsidRDefault="00EF2E52" w:rsidP="00EF2E52">
      <w:pPr>
        <w:spacing w:after="0" w:line="240" w:lineRule="auto"/>
        <w:jc w:val="both"/>
      </w:pPr>
      <w:r w:rsidRPr="00EF2E52">
        <w:t>La plupart des espèces d’</w:t>
      </w:r>
      <w:r w:rsidRPr="00EF2E52">
        <w:rPr>
          <w:i/>
          <w:iCs/>
        </w:rPr>
        <w:t>Atriplex</w:t>
      </w:r>
      <w:r w:rsidRPr="00EF2E52">
        <w:t xml:space="preserve"> résistent à la sècheresse et à la salinité, mais beaucoup sont invasives, comme celles-ci-dessous. Et donc elles ne sont pas ou ne seraient pas à recommander :</w:t>
      </w:r>
    </w:p>
    <w:p w14:paraId="1369917D" w14:textId="77777777" w:rsidR="00EF2E52" w:rsidRPr="00EF2E52" w:rsidRDefault="00EF2E52" w:rsidP="00EF2E52">
      <w:pPr>
        <w:spacing w:after="0" w:line="240" w:lineRule="auto"/>
        <w:jc w:val="both"/>
      </w:pPr>
    </w:p>
    <w:p w14:paraId="5530A045" w14:textId="77777777" w:rsidR="00EF2E52" w:rsidRPr="00EF2E52" w:rsidRDefault="00000000" w:rsidP="00EF2E52">
      <w:pPr>
        <w:spacing w:after="0" w:line="240" w:lineRule="auto"/>
        <w:jc w:val="both"/>
      </w:pPr>
      <w:hyperlink r:id="rId4169" w:history="1">
        <w:r w:rsidR="00EF2E52" w:rsidRPr="00EF2E52">
          <w:rPr>
            <w:rStyle w:val="Lienhypertexte"/>
            <w:i/>
            <w:iCs/>
          </w:rPr>
          <w:t xml:space="preserve"> </w:t>
        </w:r>
      </w:hyperlink>
      <w:hyperlink r:id="rId4170" w:history="1">
        <w:r w:rsidR="00EF2E52" w:rsidRPr="00EF2E52">
          <w:rPr>
            <w:rStyle w:val="Lienhypertexte"/>
            <w:i/>
            <w:iCs/>
          </w:rPr>
          <w:t>Atriplex</w:t>
        </w:r>
      </w:hyperlink>
      <w:hyperlink r:id="rId4171" w:history="1">
        <w:r w:rsidR="00EF2E52" w:rsidRPr="00EF2E52">
          <w:rPr>
            <w:rStyle w:val="Lienhypertexte"/>
            <w:i/>
            <w:iCs/>
          </w:rPr>
          <w:t xml:space="preserve"> </w:t>
        </w:r>
      </w:hyperlink>
      <w:hyperlink r:id="rId4172" w:history="1">
        <w:r w:rsidR="00EF2E52" w:rsidRPr="00EF2E52">
          <w:rPr>
            <w:rStyle w:val="Lienhypertexte"/>
            <w:i/>
            <w:iCs/>
          </w:rPr>
          <w:t>aucheri</w:t>
        </w:r>
      </w:hyperlink>
    </w:p>
    <w:p w14:paraId="45815B8C" w14:textId="77777777" w:rsidR="00EF2E52" w:rsidRPr="00EF2E52" w:rsidRDefault="00EF2E52" w:rsidP="00EF2E52">
      <w:pPr>
        <w:spacing w:after="0" w:line="240" w:lineRule="auto"/>
        <w:jc w:val="both"/>
      </w:pPr>
      <w:r w:rsidRPr="00EF2E52">
        <w:rPr>
          <w:i/>
          <w:iCs/>
        </w:rPr>
        <w:t xml:space="preserve"> </w:t>
      </w:r>
      <w:hyperlink r:id="rId4173" w:history="1">
        <w:r w:rsidRPr="00EF2E52">
          <w:rPr>
            <w:rStyle w:val="Lienhypertexte"/>
            <w:i/>
            <w:iCs/>
          </w:rPr>
          <w:t>Atriplex</w:t>
        </w:r>
      </w:hyperlink>
      <w:hyperlink r:id="rId4174" w:history="1">
        <w:r w:rsidRPr="00EF2E52">
          <w:rPr>
            <w:rStyle w:val="Lienhypertexte"/>
            <w:i/>
            <w:iCs/>
          </w:rPr>
          <w:t xml:space="preserve"> </w:t>
        </w:r>
      </w:hyperlink>
      <w:hyperlink r:id="rId4175" w:history="1">
        <w:r w:rsidRPr="00EF2E52">
          <w:rPr>
            <w:rStyle w:val="Lienhypertexte"/>
            <w:i/>
            <w:iCs/>
          </w:rPr>
          <w:t>centralasiatica</w:t>
        </w:r>
      </w:hyperlink>
    </w:p>
    <w:p w14:paraId="0EA1D398" w14:textId="77777777" w:rsidR="00EF2E52" w:rsidRPr="00EF2E52" w:rsidRDefault="00EF2E52" w:rsidP="00EF2E52">
      <w:pPr>
        <w:spacing w:after="0" w:line="240" w:lineRule="auto"/>
        <w:jc w:val="both"/>
      </w:pPr>
      <w:r w:rsidRPr="00EF2E52">
        <w:rPr>
          <w:i/>
          <w:iCs/>
        </w:rPr>
        <w:t xml:space="preserve"> </w:t>
      </w:r>
      <w:hyperlink r:id="rId4176" w:history="1">
        <w:r w:rsidRPr="00EF2E52">
          <w:rPr>
            <w:rStyle w:val="Lienhypertexte"/>
            <w:i/>
            <w:iCs/>
          </w:rPr>
          <w:t>Atriplex</w:t>
        </w:r>
      </w:hyperlink>
      <w:hyperlink r:id="rId4177" w:history="1">
        <w:r w:rsidRPr="00EF2E52">
          <w:rPr>
            <w:rStyle w:val="Lienhypertexte"/>
            <w:i/>
            <w:iCs/>
          </w:rPr>
          <w:t xml:space="preserve"> </w:t>
        </w:r>
      </w:hyperlink>
      <w:hyperlink r:id="rId4178" w:history="1">
        <w:r w:rsidRPr="00EF2E52">
          <w:rPr>
            <w:rStyle w:val="Lienhypertexte"/>
            <w:i/>
            <w:iCs/>
          </w:rPr>
          <w:t>dimorphostegia</w:t>
        </w:r>
      </w:hyperlink>
    </w:p>
    <w:p w14:paraId="713F1780" w14:textId="77777777" w:rsidR="00EF2E52" w:rsidRPr="00EF2E52" w:rsidRDefault="00EF2E52" w:rsidP="00EF2E52">
      <w:pPr>
        <w:spacing w:after="0" w:line="240" w:lineRule="auto"/>
        <w:jc w:val="both"/>
      </w:pPr>
      <w:r w:rsidRPr="00EF2E52">
        <w:rPr>
          <w:i/>
          <w:iCs/>
        </w:rPr>
        <w:t xml:space="preserve"> </w:t>
      </w:r>
      <w:hyperlink r:id="rId4179" w:history="1">
        <w:r w:rsidRPr="00EF2E52">
          <w:rPr>
            <w:rStyle w:val="Lienhypertexte"/>
            <w:i/>
            <w:iCs/>
          </w:rPr>
          <w:t>Atriplex</w:t>
        </w:r>
      </w:hyperlink>
      <w:hyperlink r:id="rId4180" w:history="1">
        <w:r w:rsidRPr="00EF2E52">
          <w:rPr>
            <w:rStyle w:val="Lienhypertexte"/>
            <w:i/>
            <w:iCs/>
          </w:rPr>
          <w:t xml:space="preserve"> </w:t>
        </w:r>
      </w:hyperlink>
      <w:hyperlink r:id="rId4181" w:history="1">
        <w:r w:rsidRPr="00EF2E52">
          <w:rPr>
            <w:rStyle w:val="Lienhypertexte"/>
            <w:i/>
            <w:iCs/>
          </w:rPr>
          <w:t>eardleyae</w:t>
        </w:r>
      </w:hyperlink>
    </w:p>
    <w:p w14:paraId="1C758CED" w14:textId="77777777" w:rsidR="00EF2E52" w:rsidRPr="00EF2E52" w:rsidRDefault="00EF2E52" w:rsidP="00EF2E52">
      <w:pPr>
        <w:spacing w:after="0" w:line="240" w:lineRule="auto"/>
        <w:jc w:val="both"/>
      </w:pPr>
      <w:r w:rsidRPr="00EF2E52">
        <w:rPr>
          <w:i/>
          <w:iCs/>
        </w:rPr>
        <w:t xml:space="preserve"> </w:t>
      </w:r>
      <w:hyperlink r:id="rId4182" w:history="1">
        <w:r w:rsidRPr="00EF2E52">
          <w:rPr>
            <w:rStyle w:val="Lienhypertexte"/>
            <w:i/>
            <w:iCs/>
          </w:rPr>
          <w:t>Atriplex</w:t>
        </w:r>
      </w:hyperlink>
      <w:hyperlink r:id="rId4183" w:history="1">
        <w:r w:rsidRPr="00EF2E52">
          <w:rPr>
            <w:rStyle w:val="Lienhypertexte"/>
            <w:i/>
            <w:iCs/>
          </w:rPr>
          <w:t xml:space="preserve"> fera</w:t>
        </w:r>
      </w:hyperlink>
    </w:p>
    <w:p w14:paraId="64AC2AA6" w14:textId="77777777" w:rsidR="00EF2E52" w:rsidRPr="00EF2E52" w:rsidRDefault="00EF2E52" w:rsidP="00EF2E52">
      <w:pPr>
        <w:spacing w:after="0" w:line="240" w:lineRule="auto"/>
        <w:jc w:val="both"/>
      </w:pPr>
      <w:r w:rsidRPr="00EF2E52">
        <w:rPr>
          <w:i/>
          <w:iCs/>
        </w:rPr>
        <w:t xml:space="preserve"> </w:t>
      </w:r>
      <w:hyperlink r:id="rId4184" w:history="1">
        <w:r w:rsidRPr="00EF2E52">
          <w:rPr>
            <w:rStyle w:val="Lienhypertexte"/>
            <w:i/>
            <w:iCs/>
          </w:rPr>
          <w:t>Atriplex</w:t>
        </w:r>
      </w:hyperlink>
      <w:hyperlink r:id="rId4185" w:history="1">
        <w:r w:rsidRPr="00EF2E52">
          <w:rPr>
            <w:rStyle w:val="Lienhypertexte"/>
            <w:i/>
            <w:iCs/>
          </w:rPr>
          <w:t xml:space="preserve"> </w:t>
        </w:r>
      </w:hyperlink>
      <w:hyperlink r:id="rId4186" w:history="1">
        <w:r w:rsidRPr="00EF2E52">
          <w:rPr>
            <w:rStyle w:val="Lienhypertexte"/>
            <w:i/>
            <w:iCs/>
          </w:rPr>
          <w:t>holocarpa</w:t>
        </w:r>
      </w:hyperlink>
    </w:p>
    <w:p w14:paraId="3BED183E" w14:textId="77777777" w:rsidR="00EF2E52" w:rsidRPr="00EF2E52" w:rsidRDefault="00EF2E52" w:rsidP="00EF2E52">
      <w:pPr>
        <w:spacing w:after="0" w:line="240" w:lineRule="auto"/>
        <w:jc w:val="both"/>
      </w:pPr>
      <w:r w:rsidRPr="00EF2E52">
        <w:rPr>
          <w:i/>
          <w:iCs/>
        </w:rPr>
        <w:t xml:space="preserve"> </w:t>
      </w:r>
      <w:hyperlink r:id="rId4187" w:history="1">
        <w:r w:rsidRPr="00EF2E52">
          <w:rPr>
            <w:rStyle w:val="Lienhypertexte"/>
            <w:i/>
            <w:iCs/>
          </w:rPr>
          <w:t>Atriplex</w:t>
        </w:r>
      </w:hyperlink>
      <w:hyperlink r:id="rId4188" w:history="1">
        <w:r w:rsidRPr="00EF2E52">
          <w:rPr>
            <w:rStyle w:val="Lienhypertexte"/>
            <w:i/>
            <w:iCs/>
          </w:rPr>
          <w:t xml:space="preserve"> </w:t>
        </w:r>
      </w:hyperlink>
      <w:hyperlink r:id="rId4189" w:history="1">
        <w:r w:rsidRPr="00EF2E52">
          <w:rPr>
            <w:rStyle w:val="Lienhypertexte"/>
            <w:i/>
            <w:iCs/>
          </w:rPr>
          <w:t>hortense</w:t>
        </w:r>
      </w:hyperlink>
    </w:p>
    <w:p w14:paraId="11C7D89F" w14:textId="77777777" w:rsidR="00EF2E52" w:rsidRPr="00EF2E52" w:rsidRDefault="00EF2E52" w:rsidP="00EF2E52">
      <w:pPr>
        <w:spacing w:after="0" w:line="240" w:lineRule="auto"/>
        <w:jc w:val="both"/>
      </w:pPr>
      <w:r w:rsidRPr="00EF2E52">
        <w:rPr>
          <w:i/>
          <w:iCs/>
        </w:rPr>
        <w:t xml:space="preserve"> </w:t>
      </w:r>
      <w:hyperlink r:id="rId4190" w:history="1">
        <w:r w:rsidRPr="00EF2E52">
          <w:rPr>
            <w:rStyle w:val="Lienhypertexte"/>
            <w:i/>
            <w:iCs/>
          </w:rPr>
          <w:t>Atriplex</w:t>
        </w:r>
      </w:hyperlink>
      <w:hyperlink r:id="rId4191" w:history="1">
        <w:r w:rsidRPr="00EF2E52">
          <w:rPr>
            <w:rStyle w:val="Lienhypertexte"/>
            <w:i/>
            <w:iCs/>
          </w:rPr>
          <w:t xml:space="preserve"> </w:t>
        </w:r>
      </w:hyperlink>
      <w:hyperlink r:id="rId4192" w:history="1">
        <w:r w:rsidRPr="00EF2E52">
          <w:rPr>
            <w:rStyle w:val="Lienhypertexte"/>
            <w:i/>
            <w:iCs/>
          </w:rPr>
          <w:t>leptocarpa</w:t>
        </w:r>
      </w:hyperlink>
    </w:p>
    <w:p w14:paraId="3ACDF3ED" w14:textId="77777777" w:rsidR="00EF2E52" w:rsidRPr="00EF2E52" w:rsidRDefault="00EF2E52" w:rsidP="00EF2E52">
      <w:pPr>
        <w:spacing w:after="0" w:line="240" w:lineRule="auto"/>
        <w:jc w:val="both"/>
      </w:pPr>
      <w:r w:rsidRPr="00EF2E52">
        <w:rPr>
          <w:i/>
          <w:iCs/>
        </w:rPr>
        <w:t xml:space="preserve"> </w:t>
      </w:r>
      <w:hyperlink r:id="rId4193" w:history="1">
        <w:r w:rsidRPr="00EF2E52">
          <w:rPr>
            <w:rStyle w:val="Lienhypertexte"/>
            <w:i/>
            <w:iCs/>
          </w:rPr>
          <w:t>Atriplex</w:t>
        </w:r>
      </w:hyperlink>
      <w:hyperlink r:id="rId4194" w:history="1">
        <w:r w:rsidRPr="00EF2E52">
          <w:rPr>
            <w:rStyle w:val="Lienhypertexte"/>
            <w:i/>
            <w:iCs/>
          </w:rPr>
          <w:t xml:space="preserve"> </w:t>
        </w:r>
      </w:hyperlink>
      <w:hyperlink r:id="rId4195" w:history="1">
        <w:r w:rsidRPr="00EF2E52">
          <w:rPr>
            <w:rStyle w:val="Lienhypertexte"/>
            <w:i/>
            <w:iCs/>
          </w:rPr>
          <w:t>micrantha</w:t>
        </w:r>
      </w:hyperlink>
    </w:p>
    <w:p w14:paraId="0A138C5D" w14:textId="77777777" w:rsidR="00EF2E52" w:rsidRPr="00EF2E52" w:rsidRDefault="00EF2E52" w:rsidP="00EF2E52">
      <w:pPr>
        <w:spacing w:after="0" w:line="240" w:lineRule="auto"/>
        <w:jc w:val="both"/>
      </w:pPr>
      <w:r w:rsidRPr="00EF2E52">
        <w:rPr>
          <w:i/>
          <w:iCs/>
        </w:rPr>
        <w:t xml:space="preserve"> </w:t>
      </w:r>
      <w:hyperlink r:id="rId4196" w:history="1">
        <w:r w:rsidRPr="00EF2E52">
          <w:rPr>
            <w:rStyle w:val="Lienhypertexte"/>
            <w:i/>
            <w:iCs/>
          </w:rPr>
          <w:t>Atriplex</w:t>
        </w:r>
      </w:hyperlink>
      <w:hyperlink r:id="rId4197" w:history="1">
        <w:r w:rsidRPr="00EF2E52">
          <w:rPr>
            <w:rStyle w:val="Lienhypertexte"/>
            <w:i/>
            <w:iCs/>
          </w:rPr>
          <w:t xml:space="preserve"> </w:t>
        </w:r>
      </w:hyperlink>
      <w:hyperlink r:id="rId4198" w:history="1">
        <w:r w:rsidRPr="00EF2E52">
          <w:rPr>
            <w:rStyle w:val="Lienhypertexte"/>
            <w:i/>
            <w:iCs/>
          </w:rPr>
          <w:t>muelleri</w:t>
        </w:r>
      </w:hyperlink>
    </w:p>
    <w:p w14:paraId="2AFC8748" w14:textId="77777777" w:rsidR="00EF2E52" w:rsidRPr="00EF2E52" w:rsidRDefault="00EF2E52" w:rsidP="00EF2E52">
      <w:pPr>
        <w:spacing w:after="0" w:line="240" w:lineRule="auto"/>
        <w:jc w:val="both"/>
      </w:pPr>
      <w:r w:rsidRPr="00EF2E52">
        <w:rPr>
          <w:i/>
          <w:iCs/>
        </w:rPr>
        <w:t xml:space="preserve"> </w:t>
      </w:r>
      <w:hyperlink r:id="rId4199" w:history="1">
        <w:r w:rsidRPr="00EF2E52">
          <w:rPr>
            <w:rStyle w:val="Lienhypertexte"/>
            <w:i/>
            <w:iCs/>
          </w:rPr>
          <w:t>Atriplex</w:t>
        </w:r>
      </w:hyperlink>
      <w:hyperlink r:id="rId4200" w:history="1">
        <w:r w:rsidRPr="00EF2E52">
          <w:rPr>
            <w:rStyle w:val="Lienhypertexte"/>
            <w:i/>
            <w:iCs/>
          </w:rPr>
          <w:t xml:space="preserve"> </w:t>
        </w:r>
      </w:hyperlink>
      <w:hyperlink r:id="rId4201" w:history="1">
        <w:r w:rsidRPr="00EF2E52">
          <w:rPr>
            <w:rStyle w:val="Lienhypertexte"/>
            <w:i/>
            <w:iCs/>
          </w:rPr>
          <w:t>oblongifolia</w:t>
        </w:r>
      </w:hyperlink>
    </w:p>
    <w:p w14:paraId="34DE912D" w14:textId="77777777" w:rsidR="00EF2E52" w:rsidRPr="00EF2E52" w:rsidRDefault="00EF2E52" w:rsidP="00EF2E52">
      <w:pPr>
        <w:spacing w:after="0" w:line="240" w:lineRule="auto"/>
        <w:jc w:val="both"/>
      </w:pPr>
      <w:r w:rsidRPr="00EF2E52">
        <w:rPr>
          <w:i/>
          <w:iCs/>
        </w:rPr>
        <w:t xml:space="preserve"> </w:t>
      </w:r>
      <w:hyperlink r:id="rId4202" w:history="1">
        <w:r w:rsidRPr="00EF2E52">
          <w:rPr>
            <w:rStyle w:val="Lienhypertexte"/>
            <w:i/>
            <w:iCs/>
          </w:rPr>
          <w:t>Atriplex</w:t>
        </w:r>
      </w:hyperlink>
      <w:hyperlink r:id="rId4203" w:history="1">
        <w:r w:rsidRPr="00EF2E52">
          <w:rPr>
            <w:rStyle w:val="Lienhypertexte"/>
            <w:i/>
            <w:iCs/>
          </w:rPr>
          <w:t xml:space="preserve"> patens</w:t>
        </w:r>
      </w:hyperlink>
    </w:p>
    <w:p w14:paraId="597431C7" w14:textId="77777777" w:rsidR="00EF2E52" w:rsidRPr="00EF2E52" w:rsidRDefault="00EF2E52" w:rsidP="00EF2E52">
      <w:pPr>
        <w:spacing w:after="0" w:line="240" w:lineRule="auto"/>
        <w:jc w:val="both"/>
      </w:pPr>
      <w:r w:rsidRPr="00EF2E52">
        <w:rPr>
          <w:i/>
          <w:iCs/>
        </w:rPr>
        <w:t xml:space="preserve"> </w:t>
      </w:r>
      <w:hyperlink r:id="rId4204" w:history="1">
        <w:r w:rsidRPr="00EF2E52">
          <w:rPr>
            <w:rStyle w:val="Lienhypertexte"/>
            <w:i/>
            <w:iCs/>
          </w:rPr>
          <w:t>Atriplex</w:t>
        </w:r>
      </w:hyperlink>
      <w:hyperlink r:id="rId4205" w:history="1">
        <w:r w:rsidRPr="00EF2E52">
          <w:rPr>
            <w:rStyle w:val="Lienhypertexte"/>
            <w:i/>
            <w:iCs/>
          </w:rPr>
          <w:t xml:space="preserve"> </w:t>
        </w:r>
      </w:hyperlink>
      <w:hyperlink r:id="rId4206" w:history="1">
        <w:r w:rsidRPr="00EF2E52">
          <w:rPr>
            <w:rStyle w:val="Lienhypertexte"/>
            <w:i/>
            <w:iCs/>
          </w:rPr>
          <w:t>polonica</w:t>
        </w:r>
      </w:hyperlink>
    </w:p>
    <w:p w14:paraId="59A6959A" w14:textId="77777777" w:rsidR="00EF2E52" w:rsidRPr="00EF2E52" w:rsidRDefault="00EF2E52" w:rsidP="00EF2E52">
      <w:pPr>
        <w:spacing w:after="0" w:line="240" w:lineRule="auto"/>
        <w:jc w:val="both"/>
      </w:pPr>
      <w:r w:rsidRPr="00EF2E52">
        <w:rPr>
          <w:i/>
          <w:iCs/>
        </w:rPr>
        <w:t xml:space="preserve"> </w:t>
      </w:r>
      <w:hyperlink r:id="rId4207" w:history="1">
        <w:r w:rsidRPr="00EF2E52">
          <w:rPr>
            <w:rStyle w:val="Lienhypertexte"/>
            <w:i/>
            <w:iCs/>
          </w:rPr>
          <w:t>Atriplex</w:t>
        </w:r>
      </w:hyperlink>
      <w:hyperlink r:id="rId4208" w:history="1">
        <w:r w:rsidRPr="00EF2E52">
          <w:rPr>
            <w:rStyle w:val="Lienhypertexte"/>
            <w:i/>
            <w:iCs/>
          </w:rPr>
          <w:t xml:space="preserve"> </w:t>
        </w:r>
      </w:hyperlink>
      <w:hyperlink r:id="rId4209" w:history="1">
        <w:r w:rsidRPr="00EF2E52">
          <w:rPr>
            <w:rStyle w:val="Lienhypertexte"/>
            <w:i/>
            <w:iCs/>
          </w:rPr>
          <w:t>portulacoides</w:t>
        </w:r>
      </w:hyperlink>
    </w:p>
    <w:p w14:paraId="66C62DE1" w14:textId="77777777" w:rsidR="00EF2E52" w:rsidRPr="00EF2E52" w:rsidRDefault="00EF2E52" w:rsidP="00EF2E52">
      <w:pPr>
        <w:spacing w:after="0" w:line="240" w:lineRule="auto"/>
        <w:jc w:val="both"/>
      </w:pPr>
      <w:r w:rsidRPr="00EF2E52">
        <w:rPr>
          <w:i/>
          <w:iCs/>
        </w:rPr>
        <w:t xml:space="preserve"> </w:t>
      </w:r>
      <w:hyperlink r:id="rId4210" w:history="1">
        <w:r w:rsidRPr="00EF2E52">
          <w:rPr>
            <w:rStyle w:val="Lienhypertexte"/>
            <w:i/>
            <w:iCs/>
          </w:rPr>
          <w:t>Atriplex</w:t>
        </w:r>
      </w:hyperlink>
      <w:hyperlink r:id="rId4211" w:history="1">
        <w:r w:rsidRPr="00EF2E52">
          <w:rPr>
            <w:rStyle w:val="Lienhypertexte"/>
            <w:i/>
            <w:iCs/>
          </w:rPr>
          <w:t xml:space="preserve"> </w:t>
        </w:r>
      </w:hyperlink>
      <w:hyperlink r:id="rId4212" w:history="1">
        <w:r w:rsidRPr="00EF2E52">
          <w:rPr>
            <w:rStyle w:val="Lienhypertexte"/>
            <w:i/>
            <w:iCs/>
          </w:rPr>
          <w:t>prostrata</w:t>
        </w:r>
      </w:hyperlink>
    </w:p>
    <w:p w14:paraId="5BDAF105" w14:textId="77777777" w:rsidR="00EF2E52" w:rsidRPr="00EF2E52" w:rsidRDefault="00EF2E52" w:rsidP="00EF2E52">
      <w:pPr>
        <w:spacing w:after="0" w:line="240" w:lineRule="auto"/>
        <w:jc w:val="both"/>
      </w:pPr>
      <w:r w:rsidRPr="00EF2E52">
        <w:rPr>
          <w:i/>
          <w:iCs/>
        </w:rPr>
        <w:t xml:space="preserve"> </w:t>
      </w:r>
      <w:hyperlink r:id="rId4213" w:history="1">
        <w:r w:rsidRPr="00EF2E52">
          <w:rPr>
            <w:rStyle w:val="Lienhypertexte"/>
            <w:i/>
            <w:iCs/>
          </w:rPr>
          <w:t>Atriplex</w:t>
        </w:r>
      </w:hyperlink>
      <w:hyperlink r:id="rId4214" w:history="1">
        <w:r w:rsidRPr="00EF2E52">
          <w:rPr>
            <w:rStyle w:val="Lienhypertexte"/>
            <w:i/>
            <w:iCs/>
          </w:rPr>
          <w:t xml:space="preserve"> </w:t>
        </w:r>
      </w:hyperlink>
      <w:hyperlink r:id="rId4215" w:history="1">
        <w:r w:rsidRPr="00EF2E52">
          <w:rPr>
            <w:rStyle w:val="Lienhypertexte"/>
            <w:i/>
            <w:iCs/>
          </w:rPr>
          <w:t>pseudocampanulata</w:t>
        </w:r>
      </w:hyperlink>
    </w:p>
    <w:p w14:paraId="795D3650" w14:textId="7F66E9C3" w:rsidR="00EF2E52" w:rsidRPr="00EF2E52" w:rsidRDefault="00EF2E52" w:rsidP="00EF2E52">
      <w:pPr>
        <w:spacing w:after="0" w:line="240" w:lineRule="auto"/>
        <w:jc w:val="both"/>
      </w:pPr>
      <w:r w:rsidRPr="00EF2E52">
        <w:rPr>
          <w:i/>
          <w:iCs/>
        </w:rPr>
        <w:t xml:space="preserve"> </w:t>
      </w:r>
      <w:hyperlink r:id="rId4216" w:history="1">
        <w:r w:rsidRPr="00EF2E52">
          <w:rPr>
            <w:rStyle w:val="Lienhypertexte"/>
            <w:i/>
            <w:iCs/>
          </w:rPr>
          <w:t>Atriplex</w:t>
        </w:r>
      </w:hyperlink>
      <w:hyperlink r:id="rId4217" w:history="1">
        <w:r w:rsidRPr="00EF2E52">
          <w:rPr>
            <w:rStyle w:val="Lienhypertexte"/>
            <w:i/>
            <w:iCs/>
          </w:rPr>
          <w:t xml:space="preserve"> </w:t>
        </w:r>
      </w:hyperlink>
      <w:hyperlink r:id="rId4218" w:history="1">
        <w:r w:rsidRPr="00EF2E52">
          <w:rPr>
            <w:rStyle w:val="Lienhypertexte"/>
            <w:i/>
            <w:iCs/>
          </w:rPr>
          <w:t>rosea</w:t>
        </w:r>
      </w:hyperlink>
      <w:hyperlink r:id="rId4219" w:history="1">
        <w:r w:rsidRPr="00EF2E52">
          <w:rPr>
            <w:rStyle w:val="Lienhypertexte"/>
            <w:i/>
            <w:iCs/>
          </w:rPr>
          <w:t xml:space="preserve"> </w:t>
        </w:r>
      </w:hyperlink>
      <w:r w:rsidRPr="00EF2E52">
        <w:t>(arroche rouge)</w:t>
      </w:r>
      <w:r>
        <w:t>.</w:t>
      </w:r>
    </w:p>
    <w:p w14:paraId="07F991AE" w14:textId="77777777" w:rsidR="00EF2E52" w:rsidRPr="00EF2E52" w:rsidRDefault="00EF2E52" w:rsidP="00EF2E52">
      <w:pPr>
        <w:spacing w:after="0" w:line="240" w:lineRule="auto"/>
        <w:jc w:val="both"/>
      </w:pPr>
      <w:r w:rsidRPr="00EF2E52">
        <w:rPr>
          <w:i/>
          <w:iCs/>
        </w:rPr>
        <w:t xml:space="preserve"> </w:t>
      </w:r>
      <w:hyperlink r:id="rId4220" w:history="1">
        <w:r w:rsidRPr="00EF2E52">
          <w:rPr>
            <w:rStyle w:val="Lienhypertexte"/>
            <w:i/>
            <w:iCs/>
          </w:rPr>
          <w:t>Atriplex</w:t>
        </w:r>
      </w:hyperlink>
      <w:hyperlink r:id="rId4221" w:history="1">
        <w:r w:rsidRPr="00EF2E52">
          <w:rPr>
            <w:rStyle w:val="Lienhypertexte"/>
            <w:i/>
            <w:iCs/>
          </w:rPr>
          <w:t xml:space="preserve"> </w:t>
        </w:r>
      </w:hyperlink>
      <w:hyperlink r:id="rId4222" w:history="1">
        <w:r w:rsidRPr="00EF2E52">
          <w:rPr>
            <w:rStyle w:val="Lienhypertexte"/>
            <w:i/>
            <w:iCs/>
          </w:rPr>
          <w:t>schugnanica</w:t>
        </w:r>
      </w:hyperlink>
    </w:p>
    <w:p w14:paraId="0C566202" w14:textId="77777777" w:rsidR="00EF2E52" w:rsidRPr="00EF2E52" w:rsidRDefault="00EF2E52" w:rsidP="00EF2E52">
      <w:pPr>
        <w:spacing w:after="0" w:line="240" w:lineRule="auto"/>
        <w:jc w:val="both"/>
      </w:pPr>
      <w:r w:rsidRPr="00EF2E52">
        <w:rPr>
          <w:i/>
          <w:iCs/>
        </w:rPr>
        <w:t xml:space="preserve"> </w:t>
      </w:r>
      <w:hyperlink r:id="rId4223" w:history="1">
        <w:r w:rsidRPr="00EF2E52">
          <w:rPr>
            <w:rStyle w:val="Lienhypertexte"/>
            <w:i/>
            <w:iCs/>
          </w:rPr>
          <w:t>Atriplex</w:t>
        </w:r>
      </w:hyperlink>
      <w:hyperlink r:id="rId4224" w:history="1">
        <w:r w:rsidRPr="00EF2E52">
          <w:rPr>
            <w:rStyle w:val="Lienhypertexte"/>
            <w:i/>
            <w:iCs/>
          </w:rPr>
          <w:t xml:space="preserve"> </w:t>
        </w:r>
      </w:hyperlink>
      <w:hyperlink r:id="rId4225" w:history="1">
        <w:r w:rsidRPr="00EF2E52">
          <w:rPr>
            <w:rStyle w:val="Lienhypertexte"/>
            <w:i/>
            <w:iCs/>
          </w:rPr>
          <w:t>semilunaris</w:t>
        </w:r>
      </w:hyperlink>
    </w:p>
    <w:p w14:paraId="68FA9721" w14:textId="77777777" w:rsidR="00EF2E52" w:rsidRPr="00EF2E52" w:rsidRDefault="00EF2E52" w:rsidP="00EF2E52">
      <w:pPr>
        <w:spacing w:after="0" w:line="240" w:lineRule="auto"/>
        <w:jc w:val="both"/>
      </w:pPr>
      <w:r w:rsidRPr="00EF2E52">
        <w:rPr>
          <w:i/>
          <w:iCs/>
        </w:rPr>
        <w:t xml:space="preserve"> </w:t>
      </w:r>
      <w:hyperlink r:id="rId4226" w:history="1">
        <w:r w:rsidRPr="00EF2E52">
          <w:rPr>
            <w:rStyle w:val="Lienhypertexte"/>
            <w:i/>
            <w:iCs/>
          </w:rPr>
          <w:t>Atriplex</w:t>
        </w:r>
      </w:hyperlink>
      <w:hyperlink r:id="rId4227" w:history="1">
        <w:r w:rsidRPr="00EF2E52">
          <w:rPr>
            <w:rStyle w:val="Lienhypertexte"/>
            <w:i/>
            <w:iCs/>
          </w:rPr>
          <w:t xml:space="preserve"> </w:t>
        </w:r>
      </w:hyperlink>
      <w:hyperlink r:id="rId4228" w:history="1">
        <w:r w:rsidRPr="00EF2E52">
          <w:rPr>
            <w:rStyle w:val="Lienhypertexte"/>
            <w:i/>
            <w:iCs/>
          </w:rPr>
          <w:t>sibirica</w:t>
        </w:r>
      </w:hyperlink>
    </w:p>
    <w:p w14:paraId="7084B3DD" w14:textId="77777777" w:rsidR="00EF2E52" w:rsidRPr="00EF2E52" w:rsidRDefault="00EF2E52" w:rsidP="00EF2E52">
      <w:pPr>
        <w:spacing w:after="0" w:line="240" w:lineRule="auto"/>
        <w:jc w:val="both"/>
      </w:pPr>
      <w:r w:rsidRPr="00EF2E52">
        <w:rPr>
          <w:i/>
          <w:iCs/>
        </w:rPr>
        <w:t xml:space="preserve"> </w:t>
      </w:r>
      <w:hyperlink r:id="rId4229" w:history="1">
        <w:r w:rsidRPr="00EF2E52">
          <w:rPr>
            <w:rStyle w:val="Lienhypertexte"/>
            <w:i/>
            <w:iCs/>
          </w:rPr>
          <w:t>Atriplex</w:t>
        </w:r>
      </w:hyperlink>
      <w:hyperlink r:id="rId4230" w:history="1">
        <w:r w:rsidRPr="00EF2E52">
          <w:rPr>
            <w:rStyle w:val="Lienhypertexte"/>
            <w:i/>
            <w:iCs/>
          </w:rPr>
          <w:t xml:space="preserve"> </w:t>
        </w:r>
      </w:hyperlink>
      <w:hyperlink r:id="rId4231" w:history="1">
        <w:r w:rsidRPr="00EF2E52">
          <w:rPr>
            <w:rStyle w:val="Lienhypertexte"/>
            <w:i/>
            <w:iCs/>
          </w:rPr>
          <w:t>sphaeromorpha</w:t>
        </w:r>
      </w:hyperlink>
    </w:p>
    <w:p w14:paraId="2DF50E30" w14:textId="77777777" w:rsidR="00EF2E52" w:rsidRPr="00EF2E52" w:rsidRDefault="00EF2E52" w:rsidP="00EF2E52">
      <w:pPr>
        <w:spacing w:after="0" w:line="240" w:lineRule="auto"/>
        <w:jc w:val="both"/>
      </w:pPr>
      <w:r w:rsidRPr="00EF2E52">
        <w:rPr>
          <w:i/>
          <w:iCs/>
        </w:rPr>
        <w:t xml:space="preserve"> </w:t>
      </w:r>
      <w:hyperlink r:id="rId4232" w:history="1">
        <w:r w:rsidRPr="00EF2E52">
          <w:rPr>
            <w:rStyle w:val="Lienhypertexte"/>
            <w:i/>
            <w:iCs/>
          </w:rPr>
          <w:t>Atriplex</w:t>
        </w:r>
      </w:hyperlink>
      <w:hyperlink r:id="rId4233" w:history="1">
        <w:r w:rsidRPr="00EF2E52">
          <w:rPr>
            <w:rStyle w:val="Lienhypertexte"/>
            <w:i/>
            <w:iCs/>
          </w:rPr>
          <w:t xml:space="preserve"> </w:t>
        </w:r>
      </w:hyperlink>
      <w:hyperlink r:id="rId4234" w:history="1">
        <w:r w:rsidRPr="00EF2E52">
          <w:rPr>
            <w:rStyle w:val="Lienhypertexte"/>
            <w:i/>
            <w:iCs/>
          </w:rPr>
          <w:t>suberecta</w:t>
        </w:r>
      </w:hyperlink>
      <w:hyperlink r:id="rId4235" w:history="1">
        <w:r w:rsidRPr="00EF2E52">
          <w:rPr>
            <w:rStyle w:val="Lienhypertexte"/>
            <w:i/>
            <w:iCs/>
          </w:rPr>
          <w:t xml:space="preserve"> (</w:t>
        </w:r>
      </w:hyperlink>
      <w:hyperlink r:id="rId4236" w:history="1">
        <w:r w:rsidRPr="00EF2E52">
          <w:rPr>
            <w:rStyle w:val="Lienhypertexte"/>
            <w:i/>
            <w:iCs/>
          </w:rPr>
          <w:t>peregrine</w:t>
        </w:r>
      </w:hyperlink>
      <w:hyperlink r:id="rId4237" w:history="1">
        <w:r w:rsidRPr="00EF2E52">
          <w:rPr>
            <w:rStyle w:val="Lienhypertexte"/>
            <w:i/>
            <w:iCs/>
          </w:rPr>
          <w:t xml:space="preserve"> </w:t>
        </w:r>
      </w:hyperlink>
      <w:hyperlink r:id="rId4238" w:history="1">
        <w:r w:rsidRPr="00EF2E52">
          <w:rPr>
            <w:rStyle w:val="Lienhypertexte"/>
            <w:i/>
            <w:iCs/>
          </w:rPr>
          <w:t>saltbush</w:t>
        </w:r>
      </w:hyperlink>
      <w:hyperlink r:id="rId4239" w:history="1">
        <w:r w:rsidRPr="00EF2E52">
          <w:rPr>
            <w:rStyle w:val="Lienhypertexte"/>
            <w:i/>
            <w:iCs/>
          </w:rPr>
          <w:t>)</w:t>
        </w:r>
      </w:hyperlink>
    </w:p>
    <w:p w14:paraId="2D2E064E" w14:textId="77777777" w:rsidR="00EF2E52" w:rsidRPr="00EF2E52" w:rsidRDefault="00EF2E52" w:rsidP="00EF2E52">
      <w:pPr>
        <w:spacing w:after="0" w:line="240" w:lineRule="auto"/>
        <w:jc w:val="both"/>
      </w:pPr>
      <w:r w:rsidRPr="00EF2E52">
        <w:rPr>
          <w:i/>
          <w:iCs/>
        </w:rPr>
        <w:t xml:space="preserve"> </w:t>
      </w:r>
      <w:hyperlink r:id="rId4240" w:history="1">
        <w:r w:rsidRPr="00EF2E52">
          <w:rPr>
            <w:rStyle w:val="Lienhypertexte"/>
            <w:i/>
            <w:iCs/>
          </w:rPr>
          <w:t>Atriplex</w:t>
        </w:r>
      </w:hyperlink>
      <w:hyperlink r:id="rId4241" w:history="1">
        <w:r w:rsidRPr="00EF2E52">
          <w:rPr>
            <w:rStyle w:val="Lienhypertexte"/>
            <w:i/>
            <w:iCs/>
          </w:rPr>
          <w:t xml:space="preserve"> </w:t>
        </w:r>
      </w:hyperlink>
      <w:hyperlink r:id="rId4242" w:history="1">
        <w:r w:rsidRPr="00EF2E52">
          <w:rPr>
            <w:rStyle w:val="Lienhypertexte"/>
            <w:i/>
            <w:iCs/>
          </w:rPr>
          <w:t>sagittata</w:t>
        </w:r>
      </w:hyperlink>
    </w:p>
    <w:p w14:paraId="59B4A105" w14:textId="77777777" w:rsidR="00EF2E52" w:rsidRPr="00EF2E52" w:rsidRDefault="00EF2E52" w:rsidP="00EF2E52">
      <w:pPr>
        <w:spacing w:after="0" w:line="240" w:lineRule="auto"/>
        <w:jc w:val="both"/>
      </w:pPr>
      <w:r w:rsidRPr="00EF2E52">
        <w:rPr>
          <w:i/>
          <w:iCs/>
        </w:rPr>
        <w:t xml:space="preserve"> </w:t>
      </w:r>
      <w:hyperlink r:id="rId4243" w:history="1">
        <w:r w:rsidRPr="00EF2E52">
          <w:rPr>
            <w:rStyle w:val="Lienhypertexte"/>
            <w:i/>
            <w:iCs/>
          </w:rPr>
          <w:t>Atriplex</w:t>
        </w:r>
      </w:hyperlink>
      <w:hyperlink r:id="rId4244" w:history="1">
        <w:r w:rsidRPr="00EF2E52">
          <w:rPr>
            <w:rStyle w:val="Lienhypertexte"/>
            <w:i/>
            <w:iCs/>
          </w:rPr>
          <w:t xml:space="preserve"> </w:t>
        </w:r>
      </w:hyperlink>
      <w:hyperlink r:id="rId4245" w:history="1">
        <w:r w:rsidRPr="00EF2E52">
          <w:rPr>
            <w:rStyle w:val="Lienhypertexte"/>
            <w:i/>
            <w:iCs/>
          </w:rPr>
          <w:t>tatarica</w:t>
        </w:r>
      </w:hyperlink>
    </w:p>
    <w:p w14:paraId="00F3F611" w14:textId="77777777" w:rsidR="00EF2E52" w:rsidRDefault="00EF2E52" w:rsidP="00EF2E52">
      <w:pPr>
        <w:spacing w:after="0" w:line="240" w:lineRule="auto"/>
        <w:jc w:val="both"/>
      </w:pPr>
    </w:p>
    <w:p w14:paraId="01922FFC" w14:textId="53FF3729" w:rsidR="00EF2E52" w:rsidRPr="00EF2E52" w:rsidRDefault="00EF2E52" w:rsidP="00EF2E52">
      <w:pPr>
        <w:spacing w:after="0" w:line="240" w:lineRule="auto"/>
        <w:jc w:val="both"/>
      </w:pPr>
      <w:r w:rsidRPr="00EF2E52">
        <w:t xml:space="preserve">Source : </w:t>
      </w:r>
      <w:hyperlink r:id="rId4246" w:history="1">
        <w:r w:rsidRPr="00EF2E52">
          <w:rPr>
            <w:rStyle w:val="Lienhypertexte"/>
          </w:rPr>
          <w:t>http://www.cabi.org/isc/search/?q=Atriplex&amp;page=3&amp;s0=0&amp;s1=10</w:t>
        </w:r>
      </w:hyperlink>
    </w:p>
    <w:p w14:paraId="34A0AB18" w14:textId="2A22D341" w:rsidR="00EF2E52" w:rsidRDefault="00EF2E52" w:rsidP="00EF2E52">
      <w:pPr>
        <w:spacing w:after="0" w:line="240" w:lineRule="auto"/>
        <w:jc w:val="both"/>
      </w:pPr>
    </w:p>
    <w:p w14:paraId="150F305E" w14:textId="76792188" w:rsidR="00EF2E52" w:rsidRDefault="00EF2E52" w:rsidP="00EF2E52">
      <w:pPr>
        <w:spacing w:after="0" w:line="240" w:lineRule="auto"/>
        <w:jc w:val="both"/>
      </w:pPr>
      <w:r w:rsidRPr="00EF2E52">
        <w:rPr>
          <w:u w:val="single"/>
        </w:rPr>
        <w:t>Note</w:t>
      </w:r>
      <w:r>
        <w:t xml:space="preserve"> : Mais </w:t>
      </w:r>
      <w:r w:rsidRPr="00EF2E52">
        <w:t>l'arroche halime, pourpier de mer ou arroche marine (</w:t>
      </w:r>
      <w:r w:rsidRPr="00EF2E52">
        <w:rPr>
          <w:i/>
          <w:iCs/>
        </w:rPr>
        <w:t>Atriplex halimus</w:t>
      </w:r>
      <w:r w:rsidRPr="00EF2E52">
        <w:t>)</w:t>
      </w:r>
      <w:r w:rsidR="00800AA9">
        <w:t xml:space="preserve"> et </w:t>
      </w:r>
      <w:r w:rsidR="00800AA9" w:rsidRPr="00800AA9">
        <w:rPr>
          <w:i/>
          <w:iCs/>
        </w:rPr>
        <w:t>Atriplex lentiformis</w:t>
      </w:r>
      <w:r w:rsidRPr="00EF2E52">
        <w:t>, que nous avons décrit</w:t>
      </w:r>
      <w:r w:rsidR="00800AA9">
        <w:t>s</w:t>
      </w:r>
      <w:r w:rsidRPr="00EF2E52">
        <w:t>, plus haut dans notre ouvrage, comme plante</w:t>
      </w:r>
      <w:r w:rsidR="00800AA9">
        <w:t>s</w:t>
      </w:r>
      <w:r w:rsidRPr="00EF2E52">
        <w:t xml:space="preserve"> utile</w:t>
      </w:r>
      <w:r w:rsidR="00800AA9">
        <w:t>s</w:t>
      </w:r>
      <w:r w:rsidRPr="00EF2E52">
        <w:t>, n</w:t>
      </w:r>
      <w:r w:rsidR="00800AA9">
        <w:t>e sont</w:t>
      </w:r>
      <w:r w:rsidRPr="00EF2E52">
        <w:t xml:space="preserve"> pas considérée</w:t>
      </w:r>
      <w:r w:rsidR="00800AA9">
        <w:t>s</w:t>
      </w:r>
      <w:r w:rsidRPr="00EF2E52">
        <w:t xml:space="preserve"> comme envahissante</w:t>
      </w:r>
      <w:r w:rsidR="00800AA9">
        <w:t>s</w:t>
      </w:r>
      <w:r w:rsidRPr="00EF2E52">
        <w:t>.</w:t>
      </w:r>
    </w:p>
    <w:p w14:paraId="00BE7683" w14:textId="77777777" w:rsidR="00EF2E52" w:rsidRDefault="00EF2E52" w:rsidP="00EF2E52">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EF2E52" w14:paraId="5C9D36A1" w14:textId="77777777" w:rsidTr="00EF2E52">
        <w:tc>
          <w:tcPr>
            <w:tcW w:w="5208" w:type="dxa"/>
          </w:tcPr>
          <w:p w14:paraId="46BE0C0E" w14:textId="77777777" w:rsidR="00EF2E52" w:rsidRDefault="00EF2E52" w:rsidP="00EF2E52">
            <w:pPr>
              <w:jc w:val="center"/>
            </w:pPr>
            <w:r w:rsidRPr="00EF2E52">
              <w:rPr>
                <w:noProof/>
              </w:rPr>
              <w:drawing>
                <wp:inline distT="0" distB="0" distL="0" distR="0" wp14:anchorId="5F06BBA0" wp14:editId="2058CB5C">
                  <wp:extent cx="1143000" cy="857250"/>
                  <wp:effectExtent l="0" t="0" r="0" b="0"/>
                  <wp:docPr id="109581" name="Picture 2" descr="D:\Users\blisan\Pictures\perso\plantes halophytes milieux salins\Atriplex semibacca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2" descr="D:\Users\blisan\Pictures\perso\plantes halophytes milieux salins\Atriplex semibaccata.jpg"/>
                          <pic:cNvPicPr>
                            <a:picLocks noChangeAspect="1" noChangeArrowheads="1"/>
                          </pic:cNvPicPr>
                        </pic:nvPicPr>
                        <pic:blipFill>
                          <a:blip r:embed="rId4247">
                            <a:extLst>
                              <a:ext uri="{28A0092B-C50C-407E-A947-70E740481C1C}">
                                <a14:useLocalDpi xmlns:a14="http://schemas.microsoft.com/office/drawing/2010/main" val="0"/>
                              </a:ext>
                            </a:extLst>
                          </a:blip>
                          <a:srcRect/>
                          <a:stretch>
                            <a:fillRect/>
                          </a:stretch>
                        </pic:blipFill>
                        <pic:spPr bwMode="auto">
                          <a:xfrm>
                            <a:off x="0" y="0"/>
                            <a:ext cx="1143000" cy="85725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02B70C67" w14:textId="2B98E41A" w:rsidR="00EF2E52" w:rsidRDefault="00EF2E52" w:rsidP="00EF2E52">
            <w:pPr>
              <w:jc w:val="center"/>
            </w:pPr>
            <w:r w:rsidRPr="00EF2E52">
              <w:rPr>
                <w:i/>
                <w:iCs/>
              </w:rPr>
              <w:t>Atriplex semibaccata</w:t>
            </w:r>
            <w:r w:rsidRPr="00EF2E52">
              <w:t xml:space="preserve"> </w:t>
            </w:r>
          </w:p>
        </w:tc>
        <w:tc>
          <w:tcPr>
            <w:tcW w:w="5208" w:type="dxa"/>
          </w:tcPr>
          <w:p w14:paraId="0133B1AD" w14:textId="77777777" w:rsidR="00EF2E52" w:rsidRDefault="00EF2E52" w:rsidP="00EF2E52">
            <w:pPr>
              <w:jc w:val="center"/>
            </w:pPr>
            <w:r w:rsidRPr="00EF2E52">
              <w:rPr>
                <w:noProof/>
              </w:rPr>
              <w:drawing>
                <wp:inline distT="0" distB="0" distL="0" distR="0" wp14:anchorId="5202C969" wp14:editId="4FF5A8C5">
                  <wp:extent cx="2628900" cy="1400175"/>
                  <wp:effectExtent l="0" t="0" r="0" b="9525"/>
                  <wp:docPr id="183308" name="Picture 12" descr="C:\Users\LISAN\Documents\DVD-DevDurable\eau\eau-Potabilisation-GestionDeLEau-Irrigation\irrigation-stockage-eau\images\Semi-circular bunds planted with Atriplex halimus collected additional water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08" name="Picture 12" descr="C:\Users\LISAN\Documents\DVD-DevDurable\eau\eau-Potabilisation-GestionDeLEau-Irrigation\irrigation-stockage-eau\images\Semi-circular bunds planted with Atriplex halimus collected additional water_s.jpg"/>
                          <pic:cNvPicPr>
                            <a:picLocks noChangeAspect="1" noChangeArrowheads="1"/>
                          </pic:cNvPicPr>
                        </pic:nvPicPr>
                        <pic:blipFill>
                          <a:blip r:embed="rId4248">
                            <a:extLst>
                              <a:ext uri="{28A0092B-C50C-407E-A947-70E740481C1C}">
                                <a14:useLocalDpi xmlns:a14="http://schemas.microsoft.com/office/drawing/2010/main" val="0"/>
                              </a:ext>
                            </a:extLst>
                          </a:blip>
                          <a:srcRect/>
                          <a:stretch>
                            <a:fillRect/>
                          </a:stretch>
                        </pic:blipFill>
                        <pic:spPr bwMode="auto">
                          <a:xfrm>
                            <a:off x="0" y="0"/>
                            <a:ext cx="2628900" cy="1400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3638975" w14:textId="0269F7CB" w:rsidR="00EF2E52" w:rsidRDefault="00EF2E52" w:rsidP="00EF2E52">
            <w:pPr>
              <w:jc w:val="center"/>
            </w:pPr>
            <w:r w:rsidRPr="00EF2E52">
              <w:t xml:space="preserve">Cuvettes semi-circulaires plantées </w:t>
            </w:r>
            <w:r w:rsidRPr="00EF2E52">
              <w:rPr>
                <w:i/>
                <w:iCs/>
              </w:rPr>
              <w:t>d’Atriplex halimus</w:t>
            </w:r>
            <w:r w:rsidRPr="00EF2E52">
              <w:t>.</w:t>
            </w:r>
          </w:p>
        </w:tc>
      </w:tr>
    </w:tbl>
    <w:p w14:paraId="188D28D8" w14:textId="1DD2CAC7" w:rsidR="00EF2E52" w:rsidRDefault="00EF2E52" w:rsidP="00A47184">
      <w:pPr>
        <w:spacing w:after="0" w:line="240" w:lineRule="auto"/>
      </w:pPr>
    </w:p>
    <w:p w14:paraId="3AB9EBF7" w14:textId="24A9E632" w:rsidR="00A47184" w:rsidRPr="00A47184" w:rsidRDefault="00A47184" w:rsidP="00A47184">
      <w:pPr>
        <w:pStyle w:val="Titre2"/>
        <w:rPr>
          <w:i/>
          <w:iCs/>
        </w:rPr>
      </w:pPr>
      <w:bookmarkStart w:id="393" w:name="_Toc139181683"/>
      <w:r w:rsidRPr="00A47184">
        <w:rPr>
          <w:i/>
          <w:iCs/>
        </w:rPr>
        <w:t>Tamarix sp.</w:t>
      </w:r>
      <w:bookmarkEnd w:id="393"/>
    </w:p>
    <w:p w14:paraId="5A50DCD7" w14:textId="24F0D525" w:rsidR="00EF2E52" w:rsidRDefault="00EF2E52" w:rsidP="00EF2E52">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0"/>
        <w:gridCol w:w="2407"/>
        <w:gridCol w:w="1983"/>
        <w:gridCol w:w="1378"/>
      </w:tblGrid>
      <w:tr w:rsidR="00A47184" w:rsidRPr="000B6BE3" w14:paraId="373924FA" w14:textId="77777777" w:rsidTr="003D7963">
        <w:tc>
          <w:tcPr>
            <w:tcW w:w="4390" w:type="dxa"/>
          </w:tcPr>
          <w:p w14:paraId="772BFDD4" w14:textId="18BE0784" w:rsidR="00A47184" w:rsidRDefault="00A47184" w:rsidP="003D7963">
            <w:pPr>
              <w:jc w:val="both"/>
              <w:rPr>
                <w:rFonts w:ascii="Calibri" w:hAnsi="Calibri" w:cs="Calibri"/>
                <w:bCs/>
              </w:rPr>
            </w:pPr>
            <w:r>
              <w:rPr>
                <w:rFonts w:ascii="Calibri" w:hAnsi="Calibri" w:cs="Calibri"/>
                <w:bCs/>
              </w:rPr>
              <w:t>(</w:t>
            </w:r>
            <w:r w:rsidRPr="00DE2C3A">
              <w:rPr>
                <w:rFonts w:ascii="Calibri" w:hAnsi="Calibri" w:cs="Calibri"/>
                <w:bCs/>
              </w:rPr>
              <w:t xml:space="preserve">Famille </w:t>
            </w:r>
            <w:r w:rsidRPr="00E31768">
              <w:rPr>
                <w:rFonts w:ascii="Calibri" w:hAnsi="Calibri" w:cs="Calibri"/>
                <w:i/>
                <w:iCs/>
              </w:rPr>
              <w:t>des </w:t>
            </w:r>
            <w:hyperlink r:id="rId4249" w:history="1">
              <w:r w:rsidRPr="00A47184">
                <w:rPr>
                  <w:rStyle w:val="Lienhypertexte"/>
                  <w:rFonts w:ascii="Calibri" w:hAnsi="Calibri" w:cs="Calibri"/>
                  <w:i/>
                  <w:iCs/>
                  <w:color w:val="0645AD"/>
                  <w:shd w:val="clear" w:color="auto" w:fill="FFFFFF"/>
                </w:rPr>
                <w:t>Tamaricacées</w:t>
              </w:r>
            </w:hyperlink>
            <w:r>
              <w:rPr>
                <w:rFonts w:ascii="Calibri" w:hAnsi="Calibri" w:cs="Calibri"/>
                <w:bCs/>
              </w:rPr>
              <w:t>)</w:t>
            </w:r>
            <w:r w:rsidRPr="00DE2C3A">
              <w:rPr>
                <w:rFonts w:ascii="Calibri" w:hAnsi="Calibri" w:cs="Calibri"/>
                <w:bCs/>
              </w:rPr>
              <w:t>.</w:t>
            </w:r>
          </w:p>
          <w:p w14:paraId="6DB5A5AC" w14:textId="77777777" w:rsidR="00A47184" w:rsidRDefault="00A47184" w:rsidP="003D7963">
            <w:pPr>
              <w:jc w:val="both"/>
              <w:rPr>
                <w:rFonts w:cstheme="minorHAnsi"/>
                <w:b/>
                <w:bCs/>
                <w:color w:val="FF0000"/>
              </w:rPr>
            </w:pPr>
          </w:p>
          <w:p w14:paraId="6CA1BAD5" w14:textId="77777777" w:rsidR="00A47184" w:rsidRPr="000B6BE3" w:rsidRDefault="00A47184" w:rsidP="003D7963">
            <w:pPr>
              <w:jc w:val="both"/>
              <w:rPr>
                <w:rFonts w:cstheme="minorHAnsi"/>
              </w:rPr>
            </w:pPr>
            <w:r w:rsidRPr="009A3C5B">
              <w:rPr>
                <w:rFonts w:cstheme="minorHAnsi"/>
                <w:b/>
                <w:bCs/>
                <w:color w:val="FF0000"/>
              </w:rPr>
              <w:t>Risque élevé</w:t>
            </w:r>
            <w:r>
              <w:rPr>
                <w:rFonts w:cstheme="minorHAnsi"/>
                <w:b/>
                <w:bCs/>
                <w:color w:val="FF0000"/>
              </w:rPr>
              <w:t>.</w:t>
            </w:r>
          </w:p>
        </w:tc>
        <w:tc>
          <w:tcPr>
            <w:tcW w:w="2407" w:type="dxa"/>
          </w:tcPr>
          <w:p w14:paraId="13896741" w14:textId="77777777" w:rsidR="00A47184" w:rsidRPr="000B6BE3" w:rsidRDefault="00A47184" w:rsidP="003D7963">
            <w:pPr>
              <w:rPr>
                <w:rFonts w:cstheme="minorHAnsi"/>
              </w:rPr>
            </w:pPr>
            <w:r w:rsidRPr="000B6BE3">
              <w:rPr>
                <w:rFonts w:cstheme="minorHAnsi"/>
                <w:noProof/>
              </w:rPr>
              <w:t xml:space="preserve">  </w:t>
            </w:r>
            <w:r>
              <w:rPr>
                <w:rFonts w:cstheme="minorHAnsi"/>
                <w:noProof/>
              </w:rPr>
              <w:t xml:space="preserve">      </w:t>
            </w:r>
            <w:r w:rsidRPr="005C50C9">
              <w:rPr>
                <w:rFonts w:cstheme="minorHAnsi"/>
                <w:noProof/>
              </w:rPr>
              <w:drawing>
                <wp:inline distT="0" distB="0" distL="0" distR="0" wp14:anchorId="264C64A9" wp14:editId="5BBE7911">
                  <wp:extent cx="495300" cy="666750"/>
                  <wp:effectExtent l="0" t="0" r="0" b="0"/>
                  <wp:docPr id="109585" name="Image 15"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8" name="Image 15" descr="logo aride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r w:rsidRPr="008F2681">
              <w:rPr>
                <w:rFonts w:cstheme="minorHAnsi"/>
                <w:noProof/>
              </w:rPr>
              <w:drawing>
                <wp:inline distT="0" distB="0" distL="0" distR="0" wp14:anchorId="35375A91" wp14:editId="279A3AE7">
                  <wp:extent cx="463550" cy="661988"/>
                  <wp:effectExtent l="0" t="0" r="0" b="5080"/>
                  <wp:docPr id="109586"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w:t>
            </w:r>
          </w:p>
        </w:tc>
        <w:tc>
          <w:tcPr>
            <w:tcW w:w="1983" w:type="dxa"/>
          </w:tcPr>
          <w:p w14:paraId="194AF56B" w14:textId="77777777" w:rsidR="00A47184" w:rsidRPr="00A47184" w:rsidRDefault="00A47184" w:rsidP="003D7963">
            <w:pPr>
              <w:rPr>
                <w:rFonts w:cstheme="minorHAnsi"/>
                <w:sz w:val="40"/>
                <w:szCs w:val="40"/>
              </w:rPr>
            </w:pPr>
            <w:r w:rsidRPr="00A47184">
              <w:rPr>
                <w:rFonts w:eastAsia="+mn-ea" w:cstheme="minorHAnsi"/>
                <w:b/>
                <w:bCs/>
                <w:color w:val="008000"/>
                <w:kern w:val="24"/>
                <w:sz w:val="40"/>
                <w:szCs w:val="40"/>
              </w:rPr>
              <w:t>↗</w:t>
            </w:r>
          </w:p>
        </w:tc>
        <w:tc>
          <w:tcPr>
            <w:tcW w:w="1378" w:type="dxa"/>
          </w:tcPr>
          <w:p w14:paraId="6BB5C450" w14:textId="77777777" w:rsidR="00A47184" w:rsidRPr="000B6BE3" w:rsidRDefault="00A47184" w:rsidP="003D7963">
            <w:pPr>
              <w:rPr>
                <w:rFonts w:cstheme="minorHAnsi"/>
              </w:rPr>
            </w:pPr>
            <w:r w:rsidRPr="00DE60FE">
              <w:rPr>
                <w:rFonts w:cstheme="minorHAnsi"/>
                <w:noProof/>
              </w:rPr>
              <w:drawing>
                <wp:inline distT="0" distB="0" distL="0" distR="0" wp14:anchorId="62D27BAB" wp14:editId="3FDF4176">
                  <wp:extent cx="457200" cy="457200"/>
                  <wp:effectExtent l="0" t="0" r="0" b="0"/>
                  <wp:docPr id="109587" name="Picture 16" descr="C:\Users\LISAN\Pictures\Plantes fourragères\logo invasive plants5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26" name="Picture 16" descr="C:\Users\LISAN\Pictures\Plantes fourragères\logo invasive plants5_s.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663A831A" w14:textId="77777777" w:rsidR="00390E18" w:rsidRDefault="00390E18" w:rsidP="00EF2E52">
      <w:pPr>
        <w:spacing w:after="0" w:line="240" w:lineRule="auto"/>
        <w:jc w:val="both"/>
      </w:pPr>
    </w:p>
    <w:p w14:paraId="462DC322" w14:textId="194A1492" w:rsidR="00A47184" w:rsidRPr="00390E18" w:rsidRDefault="00390E18" w:rsidP="00EF2E52">
      <w:pPr>
        <w:spacing w:after="0" w:line="240" w:lineRule="auto"/>
        <w:jc w:val="both"/>
        <w:rPr>
          <w:rFonts w:ascii="Calibri" w:hAnsi="Calibri" w:cs="Calibri"/>
        </w:rPr>
      </w:pPr>
      <w:r w:rsidRPr="00390E18">
        <w:rPr>
          <w:rFonts w:ascii="Calibri" w:hAnsi="Calibri" w:cs="Calibri"/>
          <w:shd w:val="clear" w:color="auto" w:fill="FFFFFF"/>
        </w:rPr>
        <w:t>Le genre </w:t>
      </w:r>
      <w:r w:rsidRPr="00390E18">
        <w:rPr>
          <w:rFonts w:ascii="Calibri" w:hAnsi="Calibri" w:cs="Calibri"/>
          <w:i/>
          <w:iCs/>
          <w:shd w:val="clear" w:color="auto" w:fill="FFFFFF"/>
        </w:rPr>
        <w:t>Tamarix</w:t>
      </w:r>
      <w:r w:rsidRPr="00390E18">
        <w:rPr>
          <w:rFonts w:ascii="Calibri" w:hAnsi="Calibri" w:cs="Calibri"/>
          <w:shd w:val="clear" w:color="auto" w:fill="FFFFFF"/>
        </w:rPr>
        <w:t> (de tamaris, cèdre salé) est composé d'environ 50 à 60 espèces de </w:t>
      </w:r>
      <w:hyperlink r:id="rId4250" w:tooltip="Plante à fleurs" w:history="1">
        <w:r w:rsidRPr="00390E18">
          <w:rPr>
            <w:rStyle w:val="Lienhypertexte"/>
            <w:rFonts w:ascii="Calibri" w:hAnsi="Calibri" w:cs="Calibri"/>
            <w:color w:val="0645AD"/>
            <w:shd w:val="clear" w:color="auto" w:fill="FFFFFF"/>
          </w:rPr>
          <w:t>plantes à fleurs</w:t>
        </w:r>
      </w:hyperlink>
      <w:r w:rsidRPr="00390E18">
        <w:rPr>
          <w:rFonts w:ascii="Calibri" w:hAnsi="Calibri" w:cs="Calibri"/>
          <w:color w:val="202122"/>
          <w:shd w:val="clear" w:color="auto" w:fill="FFFFFF"/>
        </w:rPr>
        <w:t> </w:t>
      </w:r>
      <w:r w:rsidRPr="00390E18">
        <w:rPr>
          <w:rFonts w:ascii="Calibri" w:hAnsi="Calibri" w:cs="Calibri"/>
          <w:shd w:val="clear" w:color="auto" w:fill="FFFFFF"/>
        </w:rPr>
        <w:t>de la famille des</w:t>
      </w:r>
      <w:r w:rsidRPr="00390E18">
        <w:rPr>
          <w:rFonts w:ascii="Calibri" w:hAnsi="Calibri" w:cs="Calibri"/>
          <w:color w:val="202122"/>
          <w:shd w:val="clear" w:color="auto" w:fill="FFFFFF"/>
        </w:rPr>
        <w:t> </w:t>
      </w:r>
      <w:hyperlink r:id="rId4251" w:tooltip="Tamaricacées" w:history="1">
        <w:r w:rsidRPr="00390E18">
          <w:rPr>
            <w:rStyle w:val="Lienhypertexte"/>
            <w:rFonts w:ascii="Calibri" w:hAnsi="Calibri" w:cs="Calibri"/>
            <w:i/>
            <w:iCs/>
            <w:color w:val="0645AD"/>
            <w:shd w:val="clear" w:color="auto" w:fill="FFFFFF"/>
          </w:rPr>
          <w:t>Tamaricaceae</w:t>
        </w:r>
      </w:hyperlink>
      <w:r w:rsidRPr="00390E18">
        <w:rPr>
          <w:rFonts w:ascii="Calibri" w:hAnsi="Calibri" w:cs="Calibri"/>
          <w:color w:val="202122"/>
          <w:shd w:val="clear" w:color="auto" w:fill="FFFFFF"/>
        </w:rPr>
        <w:t xml:space="preserve">, </w:t>
      </w:r>
      <w:r w:rsidRPr="00390E18">
        <w:rPr>
          <w:rFonts w:ascii="Calibri" w:hAnsi="Calibri" w:cs="Calibri"/>
          <w:shd w:val="clear" w:color="auto" w:fill="FFFFFF"/>
        </w:rPr>
        <w:t>originaires des régions plus sèches d</w:t>
      </w:r>
      <w:r w:rsidRPr="00390E18">
        <w:rPr>
          <w:rFonts w:ascii="Calibri" w:hAnsi="Calibri" w:cs="Calibri"/>
          <w:color w:val="202122"/>
          <w:shd w:val="clear" w:color="auto" w:fill="FFFFFF"/>
        </w:rPr>
        <w:t>'</w:t>
      </w:r>
      <w:hyperlink r:id="rId4252" w:tooltip="Eurasie" w:history="1">
        <w:r w:rsidRPr="00390E18">
          <w:rPr>
            <w:rStyle w:val="Lienhypertexte"/>
            <w:rFonts w:ascii="Calibri" w:hAnsi="Calibri" w:cs="Calibri"/>
            <w:color w:val="0645AD"/>
            <w:shd w:val="clear" w:color="auto" w:fill="FFFFFF"/>
          </w:rPr>
          <w:t>Eurasie</w:t>
        </w:r>
      </w:hyperlink>
      <w:r w:rsidRPr="00390E18">
        <w:rPr>
          <w:rFonts w:ascii="Calibri" w:hAnsi="Calibri" w:cs="Calibri"/>
          <w:color w:val="202122"/>
          <w:shd w:val="clear" w:color="auto" w:fill="FFFFFF"/>
        </w:rPr>
        <w:t> </w:t>
      </w:r>
      <w:r w:rsidRPr="00390E18">
        <w:rPr>
          <w:rFonts w:ascii="Calibri" w:hAnsi="Calibri" w:cs="Calibri"/>
          <w:shd w:val="clear" w:color="auto" w:fill="FFFFFF"/>
        </w:rPr>
        <w:t>et d</w:t>
      </w:r>
      <w:r w:rsidRPr="00390E18">
        <w:rPr>
          <w:rFonts w:ascii="Calibri" w:hAnsi="Calibri" w:cs="Calibri"/>
          <w:color w:val="202122"/>
          <w:shd w:val="clear" w:color="auto" w:fill="FFFFFF"/>
        </w:rPr>
        <w:t>'</w:t>
      </w:r>
      <w:hyperlink r:id="rId4253" w:history="1">
        <w:r w:rsidRPr="00390E18">
          <w:rPr>
            <w:rStyle w:val="Lienhypertexte"/>
            <w:rFonts w:ascii="Calibri" w:hAnsi="Calibri" w:cs="Calibri"/>
            <w:color w:val="0645AD"/>
            <w:shd w:val="clear" w:color="auto" w:fill="FFFFFF"/>
          </w:rPr>
          <w:t>Afrique</w:t>
        </w:r>
      </w:hyperlink>
      <w:r w:rsidRPr="00390E18">
        <w:rPr>
          <w:rFonts w:ascii="Calibri" w:hAnsi="Calibri" w:cs="Calibri"/>
        </w:rPr>
        <w:t>.</w:t>
      </w:r>
      <w:r>
        <w:rPr>
          <w:rFonts w:ascii="Calibri" w:hAnsi="Calibri" w:cs="Calibri"/>
        </w:rPr>
        <w:t xml:space="preserve"> </w:t>
      </w:r>
      <w:r w:rsidR="00A47184" w:rsidRPr="00A47184">
        <w:t>La plupart des espèces de</w:t>
      </w:r>
      <w:r w:rsidR="00A47184">
        <w:t xml:space="preserve"> tamaris</w:t>
      </w:r>
      <w:r>
        <w:t xml:space="preserve"> _</w:t>
      </w:r>
      <w:r w:rsidR="00A47184">
        <w:t xml:space="preserve"> </w:t>
      </w:r>
      <w:r>
        <w:t xml:space="preserve">de petits arbres ou arbustes, </w:t>
      </w:r>
      <w:r w:rsidR="00A47184">
        <w:t>souvent décoratifs</w:t>
      </w:r>
      <w:r>
        <w:t xml:space="preserve"> _</w:t>
      </w:r>
      <w:r w:rsidR="00A47184" w:rsidRPr="00A47184">
        <w:t xml:space="preserve"> résistent à la sècheresse et à la salinité, mais beaucoup sont invasives, comme celles-ci-dessous. Et donc elles ne sont pas ou ne seraient pas à recommander</w:t>
      </w:r>
      <w:r w:rsidR="00A47184">
        <w:t> :</w:t>
      </w:r>
    </w:p>
    <w:p w14:paraId="57657195" w14:textId="69C33E56" w:rsidR="00A47184" w:rsidRDefault="00A47184" w:rsidP="00EF2E52">
      <w:pPr>
        <w:spacing w:after="0" w:line="240" w:lineRule="auto"/>
        <w:jc w:val="both"/>
      </w:pPr>
    </w:p>
    <w:p w14:paraId="5B3AA3BB" w14:textId="77777777" w:rsidR="00A47184" w:rsidRPr="00A47184" w:rsidRDefault="00000000" w:rsidP="001F79EE">
      <w:pPr>
        <w:pStyle w:val="Paragraphedeliste"/>
        <w:numPr>
          <w:ilvl w:val="0"/>
          <w:numId w:val="56"/>
        </w:numPr>
        <w:spacing w:after="0" w:line="240" w:lineRule="auto"/>
        <w:jc w:val="both"/>
      </w:pPr>
      <w:hyperlink r:id="rId4254" w:history="1">
        <w:r w:rsidR="00A47184" w:rsidRPr="00A47184">
          <w:rPr>
            <w:rStyle w:val="Lienhypertexte"/>
            <w:i/>
            <w:iCs/>
          </w:rPr>
          <w:t xml:space="preserve">Tamarix </w:t>
        </w:r>
      </w:hyperlink>
      <w:hyperlink r:id="rId4255" w:history="1">
        <w:r w:rsidR="00A47184" w:rsidRPr="00A47184">
          <w:rPr>
            <w:rStyle w:val="Lienhypertexte"/>
            <w:i/>
            <w:iCs/>
          </w:rPr>
          <w:t>parviflora</w:t>
        </w:r>
      </w:hyperlink>
      <w:hyperlink r:id="rId4256" w:history="1">
        <w:r w:rsidR="00A47184" w:rsidRPr="00390E18">
          <w:rPr>
            <w:rStyle w:val="Lienhypertexte"/>
          </w:rPr>
          <w:t xml:space="preserve"> (tamaris </w:t>
        </w:r>
      </w:hyperlink>
      <w:r w:rsidR="00A47184" w:rsidRPr="00390E18">
        <w:t xml:space="preserve">à </w:t>
      </w:r>
      <w:hyperlink r:id="rId4257" w:history="1">
        <w:r w:rsidR="00A47184" w:rsidRPr="00390E18">
          <w:rPr>
            <w:rStyle w:val="Lienhypertexte"/>
          </w:rPr>
          <w:t>petite fleur)</w:t>
        </w:r>
      </w:hyperlink>
    </w:p>
    <w:p w14:paraId="73A83125" w14:textId="50B528C6" w:rsidR="00A47184" w:rsidRPr="00A47184" w:rsidRDefault="00000000" w:rsidP="001F79EE">
      <w:pPr>
        <w:pStyle w:val="Paragraphedeliste"/>
        <w:numPr>
          <w:ilvl w:val="0"/>
          <w:numId w:val="56"/>
        </w:numPr>
        <w:spacing w:after="0" w:line="240" w:lineRule="auto"/>
        <w:jc w:val="both"/>
      </w:pPr>
      <w:hyperlink r:id="rId4258" w:history="1">
        <w:r w:rsidR="00A47184" w:rsidRPr="00A47184">
          <w:rPr>
            <w:rStyle w:val="Lienhypertexte"/>
            <w:i/>
            <w:iCs/>
          </w:rPr>
          <w:t xml:space="preserve">Tamarix </w:t>
        </w:r>
      </w:hyperlink>
      <w:hyperlink r:id="rId4259" w:history="1">
        <w:r w:rsidR="00A47184" w:rsidRPr="00A47184">
          <w:rPr>
            <w:rStyle w:val="Lienhypertexte"/>
            <w:i/>
            <w:iCs/>
          </w:rPr>
          <w:t>canariensis</w:t>
        </w:r>
      </w:hyperlink>
      <w:hyperlink r:id="rId4260" w:history="1">
        <w:r w:rsidR="00A47184" w:rsidRPr="00390E18">
          <w:rPr>
            <w:rStyle w:val="Lienhypertexte"/>
          </w:rPr>
          <w:t xml:space="preserve"> (tamaris </w:t>
        </w:r>
      </w:hyperlink>
      <w:r w:rsidR="00A47184" w:rsidRPr="00390E18">
        <w:t xml:space="preserve">des </w:t>
      </w:r>
      <w:hyperlink r:id="rId4261" w:history="1">
        <w:r w:rsidR="00A47184" w:rsidRPr="00390E18">
          <w:rPr>
            <w:rStyle w:val="Lienhypertexte"/>
          </w:rPr>
          <w:t>Iles Canaries)</w:t>
        </w:r>
      </w:hyperlink>
    </w:p>
    <w:p w14:paraId="16724E15" w14:textId="7424D640" w:rsidR="00A47184" w:rsidRPr="00A47184" w:rsidRDefault="00000000" w:rsidP="001F79EE">
      <w:pPr>
        <w:pStyle w:val="Paragraphedeliste"/>
        <w:numPr>
          <w:ilvl w:val="0"/>
          <w:numId w:val="56"/>
        </w:numPr>
        <w:spacing w:after="0" w:line="240" w:lineRule="auto"/>
        <w:jc w:val="both"/>
      </w:pPr>
      <w:hyperlink r:id="rId4262" w:history="1">
        <w:r w:rsidR="00A47184" w:rsidRPr="00A47184">
          <w:rPr>
            <w:rStyle w:val="Lienhypertexte"/>
            <w:i/>
            <w:iCs/>
          </w:rPr>
          <w:t xml:space="preserve">Tamarix </w:t>
        </w:r>
      </w:hyperlink>
      <w:hyperlink r:id="rId4263" w:history="1">
        <w:r w:rsidR="00A47184" w:rsidRPr="00A47184">
          <w:rPr>
            <w:rStyle w:val="Lienhypertexte"/>
            <w:i/>
            <w:iCs/>
          </w:rPr>
          <w:t>gallica</w:t>
        </w:r>
      </w:hyperlink>
      <w:hyperlink r:id="rId4264" w:history="1">
        <w:r w:rsidR="00A47184" w:rsidRPr="00390E18">
          <w:rPr>
            <w:rStyle w:val="Lienhypertexte"/>
          </w:rPr>
          <w:t xml:space="preserve"> (tamaris commun</w:t>
        </w:r>
        <w:r w:rsidR="00E344E9">
          <w:rPr>
            <w:rStyle w:val="Lienhypertexte"/>
          </w:rPr>
          <w:t xml:space="preserve"> ou tamaris de France</w:t>
        </w:r>
        <w:r w:rsidR="00A47184" w:rsidRPr="00390E18">
          <w:rPr>
            <w:rStyle w:val="Lienhypertexte"/>
          </w:rPr>
          <w:t>)</w:t>
        </w:r>
      </w:hyperlink>
    </w:p>
    <w:p w14:paraId="3A2A3600" w14:textId="3F35E3B2" w:rsidR="00A47184" w:rsidRPr="00A47184" w:rsidRDefault="00000000" w:rsidP="001F79EE">
      <w:pPr>
        <w:pStyle w:val="Paragraphedeliste"/>
        <w:numPr>
          <w:ilvl w:val="0"/>
          <w:numId w:val="56"/>
        </w:numPr>
        <w:spacing w:after="0" w:line="240" w:lineRule="auto"/>
        <w:jc w:val="both"/>
      </w:pPr>
      <w:hyperlink r:id="rId4265" w:history="1">
        <w:r w:rsidR="00A47184" w:rsidRPr="00A47184">
          <w:rPr>
            <w:rStyle w:val="Lienhypertexte"/>
            <w:i/>
            <w:iCs/>
          </w:rPr>
          <w:t xml:space="preserve">Tamarix </w:t>
        </w:r>
      </w:hyperlink>
      <w:hyperlink r:id="rId4266" w:history="1">
        <w:r w:rsidR="00A47184" w:rsidRPr="00A47184">
          <w:rPr>
            <w:rStyle w:val="Lienhypertexte"/>
            <w:i/>
            <w:iCs/>
          </w:rPr>
          <w:t>chinensis</w:t>
        </w:r>
      </w:hyperlink>
      <w:hyperlink r:id="rId4267" w:history="1">
        <w:r w:rsidR="00A47184" w:rsidRPr="00390E18">
          <w:rPr>
            <w:rStyle w:val="Lienhypertexte"/>
          </w:rPr>
          <w:t xml:space="preserve"> (tamaris </w:t>
        </w:r>
      </w:hyperlink>
      <w:r w:rsidR="00A47184" w:rsidRPr="00390E18">
        <w:t xml:space="preserve">à </w:t>
      </w:r>
      <w:hyperlink r:id="rId4268" w:history="1">
        <w:r w:rsidR="00A47184" w:rsidRPr="00390E18">
          <w:rPr>
            <w:rStyle w:val="Lienhypertexte"/>
          </w:rPr>
          <w:t>cinq étamines)</w:t>
        </w:r>
      </w:hyperlink>
    </w:p>
    <w:p w14:paraId="00666496" w14:textId="116CECF2" w:rsidR="00A47184" w:rsidRPr="00A47184" w:rsidRDefault="00000000" w:rsidP="001F79EE">
      <w:pPr>
        <w:pStyle w:val="Paragraphedeliste"/>
        <w:numPr>
          <w:ilvl w:val="0"/>
          <w:numId w:val="56"/>
        </w:numPr>
        <w:spacing w:after="0" w:line="240" w:lineRule="auto"/>
        <w:jc w:val="both"/>
        <w:rPr>
          <w:lang w:val="es-AR"/>
        </w:rPr>
      </w:pPr>
      <w:hyperlink r:id="rId4269" w:history="1">
        <w:r w:rsidR="00A47184" w:rsidRPr="00A47184">
          <w:rPr>
            <w:rStyle w:val="Lienhypertexte"/>
            <w:i/>
            <w:iCs/>
            <w:lang w:val="es-AR"/>
          </w:rPr>
          <w:t xml:space="preserve">Tamarix </w:t>
        </w:r>
      </w:hyperlink>
      <w:hyperlink r:id="rId4270" w:history="1">
        <w:r w:rsidR="00A47184" w:rsidRPr="00A47184">
          <w:rPr>
            <w:rStyle w:val="Lienhypertexte"/>
            <w:i/>
            <w:iCs/>
            <w:lang w:val="es-AR"/>
          </w:rPr>
          <w:t>ramosissima</w:t>
        </w:r>
      </w:hyperlink>
      <w:hyperlink r:id="rId4271" w:history="1">
        <w:r w:rsidR="00A47184" w:rsidRPr="00390E18">
          <w:rPr>
            <w:rStyle w:val="Lienhypertexte"/>
            <w:lang w:val="es-AR"/>
          </w:rPr>
          <w:t xml:space="preserve"> (</w:t>
        </w:r>
      </w:hyperlink>
      <w:hyperlink r:id="rId4272" w:history="1">
        <w:r w:rsidR="00A47184" w:rsidRPr="00390E18">
          <w:rPr>
            <w:rStyle w:val="Lienhypertexte"/>
            <w:lang w:val="es-AR"/>
          </w:rPr>
          <w:t>Saltcedar</w:t>
        </w:r>
      </w:hyperlink>
      <w:hyperlink r:id="rId4273" w:history="1">
        <w:r w:rsidR="00A47184" w:rsidRPr="00390E18">
          <w:rPr>
            <w:rStyle w:val="Lienhypertexte"/>
            <w:lang w:val="es-AR"/>
          </w:rPr>
          <w:t>)</w:t>
        </w:r>
      </w:hyperlink>
      <w:r w:rsidR="00A47184" w:rsidRPr="00A47184">
        <w:rPr>
          <w:i/>
          <w:iCs/>
          <w:lang w:val="es-AR"/>
        </w:rPr>
        <w:t xml:space="preserve"> </w:t>
      </w:r>
      <w:r w:rsidR="00A47184" w:rsidRPr="00A47184">
        <w:rPr>
          <w:lang w:val="es-AR"/>
        </w:rPr>
        <w:t>(</w:t>
      </w:r>
      <w:r w:rsidR="00A47184" w:rsidRPr="00411177">
        <w:rPr>
          <w:lang w:val="es-AR"/>
        </w:rPr>
        <w:t>Tamaris d’été</w:t>
      </w:r>
      <w:r w:rsidR="00A47184" w:rsidRPr="00A47184">
        <w:rPr>
          <w:lang w:val="es-AR"/>
        </w:rPr>
        <w:t>).</w:t>
      </w:r>
    </w:p>
    <w:p w14:paraId="732D8603" w14:textId="6B7891F6" w:rsidR="00A47184" w:rsidRPr="00A47184" w:rsidRDefault="00000000" w:rsidP="001F79EE">
      <w:pPr>
        <w:pStyle w:val="Paragraphedeliste"/>
        <w:numPr>
          <w:ilvl w:val="0"/>
          <w:numId w:val="56"/>
        </w:numPr>
        <w:spacing w:after="0" w:line="240" w:lineRule="auto"/>
        <w:jc w:val="both"/>
      </w:pPr>
      <w:hyperlink r:id="rId4274" w:history="1">
        <w:r w:rsidR="00A47184" w:rsidRPr="00A47184">
          <w:rPr>
            <w:rStyle w:val="Lienhypertexte"/>
            <w:i/>
            <w:iCs/>
          </w:rPr>
          <w:t xml:space="preserve">Tamarix </w:t>
        </w:r>
      </w:hyperlink>
      <w:hyperlink r:id="rId4275" w:history="1">
        <w:r w:rsidR="00A47184" w:rsidRPr="00A47184">
          <w:rPr>
            <w:rStyle w:val="Lienhypertexte"/>
            <w:i/>
            <w:iCs/>
          </w:rPr>
          <w:t>aphylla</w:t>
        </w:r>
      </w:hyperlink>
      <w:hyperlink r:id="rId4276" w:history="1">
        <w:r w:rsidR="00A47184" w:rsidRPr="00A47184">
          <w:rPr>
            <w:rStyle w:val="Lienhypertexte"/>
            <w:i/>
            <w:iCs/>
          </w:rPr>
          <w:t xml:space="preserve"> (</w:t>
        </w:r>
      </w:hyperlink>
      <w:hyperlink r:id="rId4277" w:history="1">
        <w:r w:rsidR="00A47184" w:rsidRPr="00A47184">
          <w:rPr>
            <w:rStyle w:val="Lienhypertexte"/>
            <w:i/>
            <w:iCs/>
          </w:rPr>
          <w:t>Athel</w:t>
        </w:r>
      </w:hyperlink>
      <w:hyperlink r:id="rId4278" w:history="1">
        <w:r w:rsidR="00A47184" w:rsidRPr="00A47184">
          <w:rPr>
            <w:rStyle w:val="Lienhypertexte"/>
            <w:i/>
            <w:iCs/>
          </w:rPr>
          <w:t>)</w:t>
        </w:r>
      </w:hyperlink>
      <w:r w:rsidR="00A47184" w:rsidRPr="00A47184">
        <w:t xml:space="preserve"> (voir </w:t>
      </w:r>
      <w:r w:rsidR="00A47184">
        <w:t>ci-dessous</w:t>
      </w:r>
      <w:r w:rsidR="00A47184" w:rsidRPr="00A47184">
        <w:t>).</w:t>
      </w:r>
    </w:p>
    <w:p w14:paraId="023B67F3" w14:textId="5C1B4633" w:rsidR="00A47184" w:rsidRDefault="00A47184" w:rsidP="00EF2E52">
      <w:pPr>
        <w:spacing w:after="0" w:line="240" w:lineRule="auto"/>
        <w:jc w:val="both"/>
      </w:pPr>
    </w:p>
    <w:p w14:paraId="173DE635" w14:textId="77777777" w:rsidR="00A47184" w:rsidRPr="00A47184" w:rsidRDefault="00A47184" w:rsidP="00A47184">
      <w:pPr>
        <w:spacing w:after="0" w:line="240" w:lineRule="auto"/>
        <w:jc w:val="both"/>
      </w:pPr>
      <w:r w:rsidRPr="00A47184">
        <w:t xml:space="preserve">Source : </w:t>
      </w:r>
      <w:hyperlink r:id="rId4279" w:history="1">
        <w:r w:rsidRPr="00A47184">
          <w:rPr>
            <w:rStyle w:val="Lienhypertexte"/>
          </w:rPr>
          <w:t>http://www.cabi.org/isc/search/?q=Tamarix</w:t>
        </w:r>
      </w:hyperlink>
      <w:r w:rsidRPr="00A47184">
        <w:t xml:space="preserve"> </w:t>
      </w:r>
    </w:p>
    <w:p w14:paraId="1D610B77" w14:textId="39CCA99B" w:rsidR="00A47184" w:rsidRDefault="00A47184" w:rsidP="00EF2E52">
      <w:pPr>
        <w:spacing w:after="0" w:line="240" w:lineRule="auto"/>
        <w:jc w:val="both"/>
      </w:pPr>
    </w:p>
    <w:p w14:paraId="7B9360DE" w14:textId="165CE40C" w:rsidR="00A47184" w:rsidRDefault="00A47184" w:rsidP="00EF2E52">
      <w:pPr>
        <w:spacing w:after="0" w:line="240" w:lineRule="auto"/>
        <w:jc w:val="both"/>
      </w:pPr>
      <w:r w:rsidRPr="00A47184">
        <w:rPr>
          <w:u w:val="single"/>
        </w:rPr>
        <w:t>Notes</w:t>
      </w:r>
      <w:r>
        <w:t xml:space="preserve"> : a) </w:t>
      </w:r>
      <w:r w:rsidRPr="00A47184">
        <w:t xml:space="preserve">On peut trouver le </w:t>
      </w:r>
      <w:r w:rsidRPr="00A47184">
        <w:rPr>
          <w:i/>
          <w:iCs/>
        </w:rPr>
        <w:t>Tamarix galica</w:t>
      </w:r>
      <w:r w:rsidRPr="00A47184">
        <w:t>, avec ses fleurs blanches, au bords des oueds (en Algérie etc.).</w:t>
      </w:r>
      <w:r>
        <w:t xml:space="preserve"> </w:t>
      </w:r>
    </w:p>
    <w:p w14:paraId="43E2F1A8" w14:textId="41CB3D79" w:rsidR="00A47184" w:rsidRDefault="00A47184" w:rsidP="00EF2E52">
      <w:pPr>
        <w:spacing w:after="0" w:line="240" w:lineRule="auto"/>
        <w:jc w:val="both"/>
      </w:pPr>
      <w:r>
        <w:t xml:space="preserve">b) </w:t>
      </w:r>
      <w:r w:rsidRPr="00A47184">
        <w:t xml:space="preserve">Les espèces suivantes </w:t>
      </w:r>
      <w:r w:rsidRPr="00A47184">
        <w:rPr>
          <w:i/>
          <w:iCs/>
        </w:rPr>
        <w:t>Tamarix balansae, Tamarix pauciovulata, Tamarix articulata, Tamarix gallica ssp. nilotica,</w:t>
      </w:r>
      <w:r w:rsidRPr="00A47184">
        <w:t xml:space="preserve"> à l'état adulte, </w:t>
      </w:r>
      <w:r w:rsidRPr="00A47184">
        <w:rPr>
          <w:i/>
          <w:iCs/>
        </w:rPr>
        <w:t>supportent, sur des sols sableux, des eaux présentant une teneur en Cl correspondant à 10 gr Na</w:t>
      </w:r>
      <w:r w:rsidR="00390E18">
        <w:rPr>
          <w:i/>
          <w:iCs/>
        </w:rPr>
        <w:t>Cl</w:t>
      </w:r>
      <w:r w:rsidRPr="00A47184">
        <w:rPr>
          <w:i/>
          <w:iCs/>
        </w:rPr>
        <w:t>/litr</w:t>
      </w:r>
      <w:r w:rsidRPr="00A47184">
        <w:t>e.</w:t>
      </w:r>
    </w:p>
    <w:p w14:paraId="1E2E2B7E" w14:textId="03B1A046" w:rsidR="00356847" w:rsidRDefault="00F5138F" w:rsidP="00A47184">
      <w:pPr>
        <w:spacing w:after="0" w:line="240" w:lineRule="auto"/>
        <w:jc w:val="both"/>
      </w:pPr>
      <w:r>
        <w:t>c)</w:t>
      </w:r>
      <w:r w:rsidR="00356847">
        <w:t xml:space="preserve"> les </w:t>
      </w:r>
      <w:r w:rsidR="00356847" w:rsidRPr="00356847">
        <w:rPr>
          <w:i/>
          <w:iCs/>
        </w:rPr>
        <w:t>Tamarix</w:t>
      </w:r>
      <w:r w:rsidR="00356847">
        <w:t xml:space="preserve"> génèrent souvent des écosystèmes sources de vie dans le déserts.</w:t>
      </w:r>
    </w:p>
    <w:p w14:paraId="68232FF6" w14:textId="102A0D23" w:rsidR="00A47184" w:rsidRDefault="00356847" w:rsidP="00A47184">
      <w:pPr>
        <w:spacing w:after="0" w:line="240" w:lineRule="auto"/>
        <w:jc w:val="both"/>
      </w:pPr>
      <w:r>
        <w:t>d)</w:t>
      </w:r>
      <w:r w:rsidR="00F5138F">
        <w:t xml:space="preserve"> </w:t>
      </w:r>
      <w:r w:rsidR="00F5138F" w:rsidRPr="00F5138F">
        <w:t xml:space="preserve">Une population de chacune des deux espèces, </w:t>
      </w:r>
      <w:r w:rsidR="00F5138F" w:rsidRPr="00F5138F">
        <w:rPr>
          <w:i/>
          <w:iCs/>
        </w:rPr>
        <w:t>T. aphylla</w:t>
      </w:r>
      <w:r w:rsidR="00F5138F" w:rsidRPr="00F5138F">
        <w:t xml:space="preserve"> et </w:t>
      </w:r>
      <w:r w:rsidR="00F5138F" w:rsidRPr="00F5138F">
        <w:rPr>
          <w:i/>
          <w:iCs/>
        </w:rPr>
        <w:t>T. meyeri</w:t>
      </w:r>
      <w:r w:rsidR="00F5138F" w:rsidRPr="00F5138F">
        <w:t xml:space="preserve"> et des plantes provenant de cinq spécimens de T</w:t>
      </w:r>
      <w:r w:rsidR="00F5138F" w:rsidRPr="00F5138F">
        <w:rPr>
          <w:i/>
          <w:iCs/>
        </w:rPr>
        <w:t>. gallica</w:t>
      </w:r>
      <w:r w:rsidR="00F5138F" w:rsidRPr="00F5138F">
        <w:t xml:space="preserve"> réussis ont été comparés. Les taux de croissance et la capacité de survie d'un clone de </w:t>
      </w:r>
      <w:r w:rsidR="00F5138F" w:rsidRPr="00F5138F">
        <w:rPr>
          <w:i/>
          <w:iCs/>
        </w:rPr>
        <w:t>Tamarix gallica</w:t>
      </w:r>
      <w:r w:rsidR="00F5138F" w:rsidRPr="00F5138F">
        <w:t xml:space="preserve"> étaient plus élevés que dans les autres clones tous testés . La hauteur moyenne des plantes du clone de celle-ci était d'environ 60% supérieure à celle des autres clones. </w:t>
      </w:r>
      <w:r w:rsidR="00F5138F" w:rsidRPr="00F5138F">
        <w:rPr>
          <w:i/>
          <w:iCs/>
        </w:rPr>
        <w:t>Tamarix gallica</w:t>
      </w:r>
      <w:r w:rsidR="00F5138F" w:rsidRPr="00F5138F">
        <w:t xml:space="preserve"> comprenait également des variétés avec une capacité de survie plus élevé. Trois ans après la plantation, 73% des plantes de l'un de ses clones ont survécu, alors que la survie des autres clones tous se situait entre 23,1 et 46,2%. Source : </w:t>
      </w:r>
      <w:r w:rsidR="00F5138F" w:rsidRPr="00F5138F">
        <w:rPr>
          <w:i/>
          <w:iCs/>
        </w:rPr>
        <w:t>Biology of halophytes</w:t>
      </w:r>
      <w:r w:rsidR="00F5138F" w:rsidRPr="00F5138F">
        <w:t xml:space="preserve">, Yoav Waisel, Academic Press, 1972. </w:t>
      </w:r>
    </w:p>
    <w:p w14:paraId="3D07A380" w14:textId="1132338B" w:rsidR="00347156" w:rsidRPr="00347156" w:rsidRDefault="00347156" w:rsidP="00A47184">
      <w:pPr>
        <w:spacing w:after="0" w:line="240" w:lineRule="auto"/>
        <w:jc w:val="both"/>
        <w:rPr>
          <w:rFonts w:ascii="Calibri" w:hAnsi="Calibri" w:cs="Calibri"/>
        </w:rPr>
      </w:pPr>
      <w:r w:rsidRPr="00347156">
        <w:rPr>
          <w:rFonts w:ascii="Calibri" w:hAnsi="Calibri" w:cs="Calibri"/>
          <w:u w:val="single"/>
        </w:rPr>
        <w:t>Plante invasive</w:t>
      </w:r>
      <w:r w:rsidRPr="00347156">
        <w:rPr>
          <w:rFonts w:ascii="Calibri" w:hAnsi="Calibri" w:cs="Calibri"/>
        </w:rPr>
        <w:t xml:space="preserve"> (exemple) : </w:t>
      </w:r>
      <w:hyperlink r:id="rId4280" w:tooltip="Tamarix ramosissima" w:history="1">
        <w:r w:rsidRPr="00347156">
          <w:rPr>
            <w:rStyle w:val="Lienhypertexte"/>
            <w:rFonts w:ascii="Calibri" w:hAnsi="Calibri" w:cs="Calibri"/>
            <w:i/>
            <w:iCs/>
            <w:color w:val="0645AD"/>
            <w:shd w:val="clear" w:color="auto" w:fill="FFFFFF"/>
          </w:rPr>
          <w:t>Tamarix ramosissima</w:t>
        </w:r>
      </w:hyperlink>
      <w:r w:rsidRPr="00347156">
        <w:rPr>
          <w:rFonts w:ascii="Calibri" w:hAnsi="Calibri" w:cs="Calibri"/>
          <w:i/>
          <w:iCs/>
          <w:color w:val="202122"/>
          <w:shd w:val="clear" w:color="auto" w:fill="FFFFFF"/>
        </w:rPr>
        <w:t xml:space="preserve">, </w:t>
      </w:r>
      <w:hyperlink r:id="rId4281" w:tooltip="Naturalisation (biologie)" w:history="1">
        <w:r w:rsidRPr="00347156">
          <w:rPr>
            <w:rStyle w:val="Lienhypertexte"/>
            <w:rFonts w:ascii="Calibri" w:hAnsi="Calibri" w:cs="Calibri"/>
            <w:color w:val="0645AD"/>
            <w:shd w:val="clear" w:color="auto" w:fill="FFFFFF"/>
          </w:rPr>
          <w:t>naturalisé</w:t>
        </w:r>
      </w:hyperlink>
      <w:r w:rsidRPr="00347156">
        <w:rPr>
          <w:rFonts w:ascii="Calibri" w:hAnsi="Calibri" w:cs="Calibri"/>
          <w:color w:val="202122"/>
          <w:shd w:val="clear" w:color="auto" w:fill="FFFFFF"/>
        </w:rPr>
        <w:t> </w:t>
      </w:r>
      <w:r w:rsidRPr="00347156">
        <w:rPr>
          <w:rFonts w:ascii="Calibri" w:hAnsi="Calibri" w:cs="Calibri"/>
          <w:shd w:val="clear" w:color="auto" w:fill="FFFFFF"/>
        </w:rPr>
        <w:t xml:space="preserve">et devenu une importante </w:t>
      </w:r>
      <w:hyperlink r:id="rId4282" w:tooltip="Les espèces envahissantes" w:history="1">
        <w:r w:rsidRPr="00347156">
          <w:rPr>
            <w:rStyle w:val="Lienhypertexte"/>
            <w:rFonts w:ascii="Calibri" w:hAnsi="Calibri" w:cs="Calibri"/>
            <w:color w:val="0645AD"/>
            <w:shd w:val="clear" w:color="auto" w:fill="FFFFFF"/>
          </w:rPr>
          <w:t>espèce végétale envahissante</w:t>
        </w:r>
      </w:hyperlink>
      <w:r w:rsidRPr="00347156">
        <w:rPr>
          <w:rFonts w:ascii="Calibri" w:hAnsi="Calibri" w:cs="Calibri"/>
          <w:color w:val="202122"/>
          <w:shd w:val="clear" w:color="auto" w:fill="FFFFFF"/>
        </w:rPr>
        <w:t> </w:t>
      </w:r>
      <w:r w:rsidRPr="00347156">
        <w:rPr>
          <w:rFonts w:ascii="Calibri" w:hAnsi="Calibri" w:cs="Calibri"/>
          <w:shd w:val="clear" w:color="auto" w:fill="FFFFFF"/>
        </w:rPr>
        <w:t xml:space="preserve">dans les </w:t>
      </w:r>
      <w:hyperlink r:id="rId4283" w:tooltip="Habitat" w:history="1">
        <w:r w:rsidRPr="00347156">
          <w:rPr>
            <w:rStyle w:val="Lienhypertexte"/>
            <w:rFonts w:ascii="Calibri" w:hAnsi="Calibri" w:cs="Calibri"/>
            <w:color w:val="0645AD"/>
            <w:shd w:val="clear" w:color="auto" w:fill="FFFFFF"/>
          </w:rPr>
          <w:t>habitats </w:t>
        </w:r>
      </w:hyperlink>
      <w:hyperlink r:id="rId4284" w:tooltip="Riverain" w:history="1">
        <w:r w:rsidRPr="00347156">
          <w:rPr>
            <w:rStyle w:val="Lienhypertexte"/>
            <w:rFonts w:ascii="Calibri" w:hAnsi="Calibri" w:cs="Calibri"/>
            <w:color w:val="0645AD"/>
            <w:shd w:val="clear" w:color="auto" w:fill="FFFFFF"/>
          </w:rPr>
          <w:t>riverains</w:t>
        </w:r>
      </w:hyperlink>
      <w:r w:rsidRPr="00347156">
        <w:rPr>
          <w:rFonts w:ascii="Calibri" w:hAnsi="Calibri" w:cs="Calibri"/>
          <w:color w:val="202122"/>
          <w:shd w:val="clear" w:color="auto" w:fill="FFFFFF"/>
        </w:rPr>
        <w:t> </w:t>
      </w:r>
      <w:r w:rsidRPr="00347156">
        <w:rPr>
          <w:rFonts w:ascii="Calibri" w:hAnsi="Calibri" w:cs="Calibri"/>
          <w:shd w:val="clear" w:color="auto" w:fill="FFFFFF"/>
        </w:rPr>
        <w:t xml:space="preserve">spécifiques du </w:t>
      </w:r>
      <w:hyperlink r:id="rId4285" w:tooltip="Southwestern United States" w:history="1">
        <w:r w:rsidRPr="00347156">
          <w:rPr>
            <w:rStyle w:val="Lienhypertexte"/>
            <w:rFonts w:ascii="Calibri" w:hAnsi="Calibri" w:cs="Calibri"/>
            <w:color w:val="0645AD"/>
            <w:shd w:val="clear" w:color="auto" w:fill="FFFFFF"/>
          </w:rPr>
          <w:t>sud-ouest des États-Unis</w:t>
        </w:r>
      </w:hyperlink>
      <w:r w:rsidRPr="00347156">
        <w:rPr>
          <w:rFonts w:ascii="Calibri" w:hAnsi="Calibri" w:cs="Calibri"/>
          <w:color w:val="202122"/>
          <w:shd w:val="clear" w:color="auto" w:fill="FFFFFF"/>
        </w:rPr>
        <w:t> </w:t>
      </w:r>
      <w:r w:rsidRPr="00347156">
        <w:rPr>
          <w:rFonts w:ascii="Calibri" w:hAnsi="Calibri" w:cs="Calibri"/>
          <w:shd w:val="clear" w:color="auto" w:fill="FFFFFF"/>
        </w:rPr>
        <w:t xml:space="preserve">et de la </w:t>
      </w:r>
      <w:hyperlink r:id="rId4286" w:tooltip="California" w:history="1">
        <w:r w:rsidRPr="00347156">
          <w:rPr>
            <w:rStyle w:val="Lienhypertexte"/>
            <w:rFonts w:ascii="Calibri" w:hAnsi="Calibri" w:cs="Calibri"/>
            <w:color w:val="0645AD"/>
            <w:shd w:val="clear" w:color="auto" w:fill="FFFFFF"/>
          </w:rPr>
          <w:t>Californie</w:t>
        </w:r>
      </w:hyperlink>
      <w:r w:rsidRPr="00347156">
        <w:rPr>
          <w:rFonts w:ascii="Calibri" w:hAnsi="Calibri" w:cs="Calibri"/>
          <w:color w:val="202122"/>
          <w:shd w:val="clear" w:color="auto" w:fill="FFFFFF"/>
        </w:rPr>
        <w:t xml:space="preserve">, </w:t>
      </w:r>
      <w:r w:rsidRPr="00347156">
        <w:rPr>
          <w:rFonts w:ascii="Calibri" w:hAnsi="Calibri" w:cs="Calibri"/>
          <w:shd w:val="clear" w:color="auto" w:fill="FFFFFF"/>
        </w:rPr>
        <w:t>peut modifier le régime des crues par les grands barrages.</w:t>
      </w:r>
    </w:p>
    <w:p w14:paraId="36F4B891" w14:textId="0291BC81" w:rsidR="00A47184" w:rsidRPr="00A47184" w:rsidRDefault="00A47184" w:rsidP="00A47184">
      <w:pPr>
        <w:spacing w:after="0" w:line="240" w:lineRule="auto"/>
        <w:jc w:val="both"/>
      </w:pPr>
      <w:r w:rsidRPr="00A47184">
        <w:rPr>
          <w:u w:val="single"/>
        </w:rPr>
        <w:t>Usages</w:t>
      </w:r>
      <w:r>
        <w:t xml:space="preserve"> : </w:t>
      </w:r>
      <w:r w:rsidRPr="00A47184">
        <w:t xml:space="preserve">La plupart des espèces de </w:t>
      </w:r>
      <w:r w:rsidRPr="00A47184">
        <w:rPr>
          <w:i/>
          <w:iCs/>
        </w:rPr>
        <w:t xml:space="preserve">Tamarix sp. résistent au vent, brouillard salin, </w:t>
      </w:r>
      <w:r>
        <w:rPr>
          <w:i/>
          <w:iCs/>
        </w:rPr>
        <w:t xml:space="preserve">aux tempêtes </w:t>
      </w:r>
      <w:r w:rsidRPr="00A47184">
        <w:rPr>
          <w:i/>
          <w:iCs/>
        </w:rPr>
        <w:t>de sable</w:t>
      </w:r>
      <w:r w:rsidRPr="00A47184">
        <w:t xml:space="preserve">, et peuvent servir comme un </w:t>
      </w:r>
      <w:r w:rsidRPr="00A47184">
        <w:rPr>
          <w:i/>
          <w:iCs/>
        </w:rPr>
        <w:t>brise-vent efficace</w:t>
      </w:r>
      <w:r w:rsidRPr="00A47184">
        <w:t xml:space="preserve">. Source : </w:t>
      </w:r>
      <w:r w:rsidRPr="00A47184">
        <w:rPr>
          <w:i/>
          <w:iCs/>
        </w:rPr>
        <w:t>Biology of halophytes</w:t>
      </w:r>
      <w:r w:rsidRPr="00A47184">
        <w:t xml:space="preserve">, Yoav Waisel, Academic Press, 1972. </w:t>
      </w:r>
    </w:p>
    <w:p w14:paraId="65595D74" w14:textId="47BAC1E8" w:rsidR="00A47184" w:rsidRPr="00A47184" w:rsidRDefault="00A47184" w:rsidP="00A47184">
      <w:pPr>
        <w:spacing w:after="0" w:line="240" w:lineRule="auto"/>
        <w:jc w:val="both"/>
      </w:pPr>
      <w:r w:rsidRPr="00A47184">
        <w:t xml:space="preserve">Ils fournissent un </w:t>
      </w:r>
      <w:r w:rsidRPr="00A47184">
        <w:rPr>
          <w:i/>
          <w:iCs/>
        </w:rPr>
        <w:t>bon bois de feu</w:t>
      </w:r>
      <w:r w:rsidRPr="00A47184">
        <w:t>. Il suffit de les tailler régulièrement. Il faut une bonne gestion du bois de feu, avec une rotation des coupes pour faire durer la ressource en bois (</w:t>
      </w:r>
      <w:r w:rsidR="00347156">
        <w:t xml:space="preserve">et donc </w:t>
      </w:r>
      <w:r w:rsidRPr="00A47184">
        <w:t xml:space="preserve">la rendre durable). </w:t>
      </w:r>
    </w:p>
    <w:p w14:paraId="3CFCD3FB" w14:textId="2BD887F8" w:rsidR="00390E18" w:rsidRDefault="00A47184" w:rsidP="00A47184">
      <w:pPr>
        <w:spacing w:after="0" w:line="240" w:lineRule="auto"/>
        <w:jc w:val="both"/>
      </w:pPr>
      <w:r w:rsidRPr="00A47184">
        <w:t>Source</w:t>
      </w:r>
      <w:r w:rsidR="0063569E">
        <w:t>s</w:t>
      </w:r>
      <w:r w:rsidRPr="00A47184">
        <w:t xml:space="preserve"> :</w:t>
      </w:r>
      <w:r w:rsidR="00390E18">
        <w:t xml:space="preserve"> a) </w:t>
      </w:r>
      <w:hyperlink r:id="rId4287" w:history="1">
        <w:r w:rsidR="0063569E" w:rsidRPr="00EE130C">
          <w:rPr>
            <w:rStyle w:val="Lienhypertexte"/>
          </w:rPr>
          <w:t>https://fr.wikipedia.org/wiki/Tamarix</w:t>
        </w:r>
      </w:hyperlink>
      <w:r w:rsidR="00390E18">
        <w:t>,</w:t>
      </w:r>
      <w:r w:rsidR="0063569E">
        <w:t xml:space="preserve"> </w:t>
      </w:r>
      <w:r w:rsidR="00390E18">
        <w:t xml:space="preserve">b) </w:t>
      </w:r>
      <w:hyperlink r:id="rId4288" w:history="1">
        <w:r w:rsidR="00390E18" w:rsidRPr="00EE130C">
          <w:rPr>
            <w:rStyle w:val="Lienhypertexte"/>
          </w:rPr>
          <w:t>https://en.wikipedia.org/wiki/Tamarix</w:t>
        </w:r>
      </w:hyperlink>
      <w:r w:rsidR="00390E18">
        <w:t xml:space="preserve">, </w:t>
      </w:r>
    </w:p>
    <w:p w14:paraId="4BB1CCB3" w14:textId="14A5E98E" w:rsidR="00A47184" w:rsidRDefault="00390E18" w:rsidP="00A47184">
      <w:pPr>
        <w:spacing w:after="0" w:line="240" w:lineRule="auto"/>
        <w:jc w:val="both"/>
      </w:pPr>
      <w:r>
        <w:t>c)</w:t>
      </w:r>
      <w:r w:rsidR="00A47184" w:rsidRPr="00A47184">
        <w:t xml:space="preserve"> </w:t>
      </w:r>
      <w:r w:rsidR="00A47184" w:rsidRPr="00A47184">
        <w:rPr>
          <w:i/>
          <w:iCs/>
        </w:rPr>
        <w:t>L’utilisation des eaux salées au Sahara</w:t>
      </w:r>
      <w:r w:rsidR="00A47184" w:rsidRPr="00A47184">
        <w:t xml:space="preserve">, P. Simonneau, G. Aubert, Ann. agron., 1963, 14 (5), 859-872, page 866, </w:t>
      </w:r>
      <w:hyperlink r:id="rId4289" w:history="1">
        <w:r w:rsidR="00A47184" w:rsidRPr="00A47184">
          <w:rPr>
            <w:rStyle w:val="Lienhypertexte"/>
          </w:rPr>
          <w:t>http://horizon.documentation.ird.fr/exl-doc/pleins_textes/pleins_textes_5/b_fdi_08-09/11033.pdf</w:t>
        </w:r>
      </w:hyperlink>
      <w:r w:rsidR="00A47184" w:rsidRPr="00A47184">
        <w:t xml:space="preserve"> </w:t>
      </w:r>
    </w:p>
    <w:p w14:paraId="3BFDB977" w14:textId="6DFAA440" w:rsidR="00356847" w:rsidRPr="00A47184" w:rsidRDefault="00356847" w:rsidP="00A47184">
      <w:pPr>
        <w:spacing w:after="0" w:line="240" w:lineRule="auto"/>
        <w:jc w:val="both"/>
      </w:pPr>
      <w:r>
        <w:t xml:space="preserve">d) </w:t>
      </w:r>
      <w:r w:rsidRPr="00356847">
        <w:rPr>
          <w:i/>
          <w:iCs/>
        </w:rPr>
        <w:t>Désert Libyque : Genèse d'un écosystème autour de Tamarix</w:t>
      </w:r>
      <w:r w:rsidRPr="00356847">
        <w:t xml:space="preserve">, </w:t>
      </w:r>
      <w:hyperlink r:id="rId4290" w:history="1">
        <w:r w:rsidRPr="00EE130C">
          <w:rPr>
            <w:rStyle w:val="Lienhypertexte"/>
          </w:rPr>
          <w:t>http://naturnet.free.fr/html/desert/Tamaris.html</w:t>
        </w:r>
      </w:hyperlink>
      <w:r>
        <w:t xml:space="preserve"> </w:t>
      </w:r>
    </w:p>
    <w:p w14:paraId="7B5303FE" w14:textId="443C3B61" w:rsidR="00A47184" w:rsidRDefault="00A47184" w:rsidP="00EF2E52">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2"/>
        <w:gridCol w:w="3686"/>
        <w:gridCol w:w="3758"/>
      </w:tblGrid>
      <w:tr w:rsidR="00E344E9" w14:paraId="6673BDC9" w14:textId="77777777" w:rsidTr="00E344E9">
        <w:tc>
          <w:tcPr>
            <w:tcW w:w="2972" w:type="dxa"/>
          </w:tcPr>
          <w:p w14:paraId="43A3EB49" w14:textId="77777777" w:rsidR="00E344E9" w:rsidRDefault="00E344E9" w:rsidP="00E344E9">
            <w:pPr>
              <w:jc w:val="center"/>
            </w:pPr>
            <w:r w:rsidRPr="00390E18">
              <w:rPr>
                <w:noProof/>
              </w:rPr>
              <w:drawing>
                <wp:inline distT="0" distB="0" distL="0" distR="0" wp14:anchorId="69805625" wp14:editId="7B75BF00">
                  <wp:extent cx="1729928" cy="1297446"/>
                  <wp:effectExtent l="0" t="0" r="3810" b="0"/>
                  <wp:docPr id="109588"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7"/>
                          <pic:cNvPicPr>
                            <a:picLocks noChangeAspect="1"/>
                          </pic:cNvPicPr>
                        </pic:nvPicPr>
                        <pic:blipFill>
                          <a:blip r:embed="rId4291">
                            <a:extLst>
                              <a:ext uri="{28A0092B-C50C-407E-A947-70E740481C1C}">
                                <a14:useLocalDpi xmlns:a14="http://schemas.microsoft.com/office/drawing/2010/main" val="0"/>
                              </a:ext>
                            </a:extLst>
                          </a:blip>
                          <a:stretch>
                            <a:fillRect/>
                          </a:stretch>
                        </pic:blipFill>
                        <pic:spPr>
                          <a:xfrm>
                            <a:off x="0" y="0"/>
                            <a:ext cx="1729928" cy="1297446"/>
                          </a:xfrm>
                          <a:prstGeom prst="rect">
                            <a:avLst/>
                          </a:prstGeom>
                        </pic:spPr>
                      </pic:pic>
                    </a:graphicData>
                  </a:graphic>
                </wp:inline>
              </w:drawing>
            </w:r>
          </w:p>
          <w:p w14:paraId="0286344D" w14:textId="77777777" w:rsidR="00E344E9" w:rsidRPr="00390E18" w:rsidRDefault="00E344E9" w:rsidP="00E344E9">
            <w:pPr>
              <w:jc w:val="center"/>
            </w:pPr>
            <w:r w:rsidRPr="00390E18">
              <w:rPr>
                <w:i/>
                <w:iCs/>
              </w:rPr>
              <w:t>Tamarix gallica</w:t>
            </w:r>
            <w:r w:rsidRPr="00390E18">
              <w:t xml:space="preserve"> en fleur.</w:t>
            </w:r>
          </w:p>
          <w:p w14:paraId="61970B57" w14:textId="71912D36" w:rsidR="00E344E9" w:rsidRDefault="00E344E9" w:rsidP="00E344E9">
            <w:pPr>
              <w:jc w:val="center"/>
            </w:pPr>
            <w:r w:rsidRPr="00390E18">
              <w:t>Source : Wikipedia</w:t>
            </w:r>
          </w:p>
        </w:tc>
        <w:tc>
          <w:tcPr>
            <w:tcW w:w="3686" w:type="dxa"/>
          </w:tcPr>
          <w:p w14:paraId="453E9679" w14:textId="77777777" w:rsidR="00E344E9" w:rsidRDefault="00E344E9" w:rsidP="00E344E9">
            <w:pPr>
              <w:jc w:val="center"/>
            </w:pPr>
            <w:r>
              <w:rPr>
                <w:noProof/>
              </w:rPr>
              <w:drawing>
                <wp:inline distT="0" distB="0" distL="0" distR="0" wp14:anchorId="218ABAE1" wp14:editId="5B2B4F24">
                  <wp:extent cx="2098200" cy="1571625"/>
                  <wp:effectExtent l="0" t="0" r="0" b="0"/>
                  <wp:docPr id="109590" name="Image 109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292">
                            <a:extLst>
                              <a:ext uri="{28A0092B-C50C-407E-A947-70E740481C1C}">
                                <a14:useLocalDpi xmlns:a14="http://schemas.microsoft.com/office/drawing/2010/main" val="0"/>
                              </a:ext>
                            </a:extLst>
                          </a:blip>
                          <a:srcRect/>
                          <a:stretch>
                            <a:fillRect/>
                          </a:stretch>
                        </pic:blipFill>
                        <pic:spPr bwMode="auto">
                          <a:xfrm>
                            <a:off x="0" y="0"/>
                            <a:ext cx="2103341" cy="1575476"/>
                          </a:xfrm>
                          <a:prstGeom prst="rect">
                            <a:avLst/>
                          </a:prstGeom>
                          <a:noFill/>
                          <a:ln>
                            <a:noFill/>
                          </a:ln>
                        </pic:spPr>
                      </pic:pic>
                    </a:graphicData>
                  </a:graphic>
                </wp:inline>
              </w:drawing>
            </w:r>
          </w:p>
          <w:p w14:paraId="7A494D63" w14:textId="77777777" w:rsidR="00E344E9" w:rsidRDefault="00E344E9" w:rsidP="0036786B">
            <w:pPr>
              <w:jc w:val="center"/>
              <w:rPr>
                <w:lang w:val="es-AR"/>
              </w:rPr>
            </w:pPr>
            <w:r w:rsidRPr="00390E18">
              <w:rPr>
                <w:i/>
                <w:iCs/>
                <w:lang w:val="es-AR"/>
              </w:rPr>
              <w:t>T</w:t>
            </w:r>
            <w:r w:rsidR="0036786B">
              <w:rPr>
                <w:i/>
                <w:iCs/>
                <w:lang w:val="es-AR"/>
              </w:rPr>
              <w:t>.</w:t>
            </w:r>
            <w:r w:rsidRPr="00390E18">
              <w:rPr>
                <w:i/>
                <w:iCs/>
                <w:lang w:val="es-AR"/>
              </w:rPr>
              <w:t xml:space="preserve"> gallica</w:t>
            </w:r>
            <w:r w:rsidRPr="00390E18">
              <w:rPr>
                <w:lang w:val="es-AR"/>
              </w:rPr>
              <w:t xml:space="preserve"> en fleur.</w:t>
            </w:r>
            <w:r w:rsidR="0036786B" w:rsidRPr="0036786B">
              <w:rPr>
                <w:lang w:val="es-AR"/>
              </w:rPr>
              <w:t xml:space="preserve"> </w:t>
            </w:r>
            <w:r w:rsidR="0036786B">
              <w:rPr>
                <w:lang w:val="es-AR"/>
              </w:rPr>
              <w:t xml:space="preserve">© </w:t>
            </w:r>
            <w:r w:rsidRPr="0036786B">
              <w:rPr>
                <w:lang w:val="es-AR"/>
              </w:rPr>
              <w:t>Wikispecies</w:t>
            </w:r>
            <w:r w:rsidR="0036786B" w:rsidRPr="0036786B">
              <w:rPr>
                <w:lang w:val="es-AR"/>
              </w:rPr>
              <w:t>.</w:t>
            </w:r>
          </w:p>
          <w:p w14:paraId="7A9AE703" w14:textId="2E25C6D3" w:rsidR="0036786B" w:rsidRPr="0036786B" w:rsidRDefault="0036786B" w:rsidP="0036786B">
            <w:pPr>
              <w:jc w:val="center"/>
              <w:rPr>
                <w:lang w:val="es-AR"/>
              </w:rPr>
            </w:pPr>
          </w:p>
        </w:tc>
        <w:tc>
          <w:tcPr>
            <w:tcW w:w="3758" w:type="dxa"/>
          </w:tcPr>
          <w:p w14:paraId="19A1F7D8" w14:textId="77777777" w:rsidR="00E344E9" w:rsidRDefault="00E344E9" w:rsidP="00E344E9">
            <w:pPr>
              <w:jc w:val="center"/>
            </w:pPr>
            <w:r w:rsidRPr="00390E18">
              <w:rPr>
                <w:noProof/>
              </w:rPr>
              <w:drawing>
                <wp:inline distT="0" distB="0" distL="0" distR="0" wp14:anchorId="7F6C3988" wp14:editId="75E81C00">
                  <wp:extent cx="2152650" cy="1162050"/>
                  <wp:effectExtent l="0" t="0" r="0" b="0"/>
                  <wp:docPr id="109591"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pic:cNvPicPr>
                            <a:picLocks noChangeAspect="1"/>
                          </pic:cNvPicPr>
                        </pic:nvPicPr>
                        <pic:blipFill>
                          <a:blip r:embed="rId4293">
                            <a:extLst>
                              <a:ext uri="{28A0092B-C50C-407E-A947-70E740481C1C}">
                                <a14:useLocalDpi xmlns:a14="http://schemas.microsoft.com/office/drawing/2010/main" val="0"/>
                              </a:ext>
                            </a:extLst>
                          </a:blip>
                          <a:stretch>
                            <a:fillRect/>
                          </a:stretch>
                        </pic:blipFill>
                        <pic:spPr>
                          <a:xfrm>
                            <a:off x="0" y="0"/>
                            <a:ext cx="2152650" cy="1162050"/>
                          </a:xfrm>
                          <a:prstGeom prst="rect">
                            <a:avLst/>
                          </a:prstGeom>
                        </pic:spPr>
                      </pic:pic>
                    </a:graphicData>
                  </a:graphic>
                </wp:inline>
              </w:drawing>
            </w:r>
          </w:p>
          <w:p w14:paraId="239D5933" w14:textId="75ADC7B2" w:rsidR="00E344E9" w:rsidRDefault="00E344E9" w:rsidP="00E344E9">
            <w:pPr>
              <w:jc w:val="center"/>
            </w:pPr>
            <w:r w:rsidRPr="00390E18">
              <w:t>Un </w:t>
            </w:r>
            <w:hyperlink r:id="rId4294" w:history="1">
              <w:r w:rsidRPr="00390E18">
                <w:rPr>
                  <w:rStyle w:val="Lienhypertexte"/>
                  <w:i/>
                  <w:iCs/>
                </w:rPr>
                <w:t xml:space="preserve">Tamarix </w:t>
              </w:r>
            </w:hyperlink>
            <w:hyperlink r:id="rId4295" w:history="1">
              <w:r w:rsidRPr="00390E18">
                <w:rPr>
                  <w:rStyle w:val="Lienhypertexte"/>
                  <w:i/>
                  <w:iCs/>
                </w:rPr>
                <w:t>aphylla</w:t>
              </w:r>
            </w:hyperlink>
            <w:r w:rsidRPr="00390E18">
              <w:t>  dans son habitat naturel en </w:t>
            </w:r>
            <w:hyperlink r:id="rId4296" w:history="1">
              <w:r w:rsidRPr="00390E18">
                <w:rPr>
                  <w:rStyle w:val="Lienhypertexte"/>
                </w:rPr>
                <w:t>Algérie</w:t>
              </w:r>
            </w:hyperlink>
            <w:r w:rsidRPr="00390E18">
              <w:t xml:space="preserve">. Source : </w:t>
            </w:r>
            <w:hyperlink r:id="rId4297" w:history="1">
              <w:r w:rsidRPr="00390E18">
                <w:rPr>
                  <w:rStyle w:val="Lienhypertexte"/>
                </w:rPr>
                <w:t>https://en.wikipedia.org/wiki/Tamarix</w:t>
              </w:r>
            </w:hyperlink>
          </w:p>
        </w:tc>
      </w:tr>
    </w:tbl>
    <w:p w14:paraId="2C7163CF" w14:textId="34F7BA85" w:rsidR="00E344E9" w:rsidRDefault="00E344E9" w:rsidP="00E344E9">
      <w:pPr>
        <w:spacing w:after="0" w:line="240" w:lineRule="auto"/>
        <w:jc w:val="center"/>
      </w:pPr>
      <w:r>
        <w:rPr>
          <w:noProof/>
        </w:rPr>
        <w:drawing>
          <wp:inline distT="0" distB="0" distL="0" distR="0" wp14:anchorId="6080FC4D" wp14:editId="724C6BEF">
            <wp:extent cx="1905000" cy="1428750"/>
            <wp:effectExtent l="0" t="0" r="0" b="0"/>
            <wp:docPr id="109592" name="Image 109592" descr="Une image contenant ciel, extérieur, plante, ar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92" name="Image 109592" descr="Une image contenant ciel, extérieur, plante, arbre&#10;&#10;Description générée automatiquement"/>
                    <pic:cNvPicPr>
                      <a:picLocks noChangeAspect="1" noChangeArrowheads="1"/>
                    </pic:cNvPicPr>
                  </pic:nvPicPr>
                  <pic:blipFill>
                    <a:blip r:embed="rId4298">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inline>
        </w:drawing>
      </w:r>
    </w:p>
    <w:p w14:paraId="1EBB56B6" w14:textId="25AA6F24" w:rsidR="00E344E9" w:rsidRDefault="00E344E9" w:rsidP="00E344E9">
      <w:pPr>
        <w:spacing w:after="0" w:line="240" w:lineRule="auto"/>
        <w:jc w:val="center"/>
      </w:pPr>
      <w:r w:rsidRPr="00390E18">
        <w:rPr>
          <w:i/>
          <w:iCs/>
        </w:rPr>
        <w:t>Tamarix gallica</w:t>
      </w:r>
      <w:r w:rsidRPr="00390E18">
        <w:t xml:space="preserve"> en fleur</w:t>
      </w:r>
      <w:r w:rsidRPr="00E344E9">
        <w:t>, sur des</w:t>
      </w:r>
      <w:r>
        <w:t xml:space="preserve"> dunes en bord de mer © </w:t>
      </w:r>
      <w:r w:rsidRPr="00E344E9">
        <w:t>Meneerke Bloem.</w:t>
      </w:r>
    </w:p>
    <w:p w14:paraId="167688EE" w14:textId="77777777" w:rsidR="00F5138F" w:rsidRPr="00E344E9" w:rsidRDefault="00F5138F" w:rsidP="00E344E9">
      <w:pPr>
        <w:spacing w:after="0" w:line="240" w:lineRule="auto"/>
        <w:jc w:val="center"/>
      </w:pPr>
    </w:p>
    <w:p w14:paraId="1F42EA32" w14:textId="1F24152C" w:rsidR="00E344E9" w:rsidRDefault="00F5138F" w:rsidP="00F5138F">
      <w:pPr>
        <w:pStyle w:val="Titre2"/>
      </w:pPr>
      <w:bookmarkStart w:id="394" w:name="_Toc139181684"/>
      <w:r w:rsidRPr="00F5138F">
        <w:t>Tamaris d'Afrique</w:t>
      </w:r>
      <w:r>
        <w:t xml:space="preserve"> ou </w:t>
      </w:r>
      <w:r w:rsidRPr="00F5138F">
        <w:t>Tamaris de printemps (</w:t>
      </w:r>
      <w:r w:rsidRPr="00F5138F">
        <w:rPr>
          <w:i/>
          <w:iCs/>
        </w:rPr>
        <w:t>Tamarix africana</w:t>
      </w:r>
      <w:r>
        <w:t xml:space="preserve"> ou</w:t>
      </w:r>
      <w:r>
        <w:rPr>
          <w:i/>
          <w:iCs/>
        </w:rPr>
        <w:t xml:space="preserve"> </w:t>
      </w:r>
      <w:r w:rsidRPr="00F5138F">
        <w:rPr>
          <w:i/>
          <w:iCs/>
        </w:rPr>
        <w:t>Tamarix tetrandra</w:t>
      </w:r>
      <w:r w:rsidRPr="00F5138F">
        <w:t>)</w:t>
      </w:r>
      <w:bookmarkEnd w:id="394"/>
    </w:p>
    <w:p w14:paraId="74659256" w14:textId="77ABE99F" w:rsidR="00F5138F" w:rsidRDefault="00F5138F" w:rsidP="00EF2E52">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0"/>
        <w:gridCol w:w="2407"/>
        <w:gridCol w:w="1983"/>
        <w:gridCol w:w="1378"/>
      </w:tblGrid>
      <w:tr w:rsidR="00F5138F" w:rsidRPr="000B6BE3" w14:paraId="1804A397" w14:textId="77777777" w:rsidTr="003D7963">
        <w:tc>
          <w:tcPr>
            <w:tcW w:w="4390" w:type="dxa"/>
          </w:tcPr>
          <w:p w14:paraId="6382A9A6" w14:textId="77777777" w:rsidR="00F5138F" w:rsidRDefault="00F5138F" w:rsidP="003D7963">
            <w:pPr>
              <w:jc w:val="both"/>
              <w:rPr>
                <w:rFonts w:ascii="Calibri" w:hAnsi="Calibri" w:cs="Calibri"/>
                <w:bCs/>
              </w:rPr>
            </w:pPr>
            <w:r>
              <w:rPr>
                <w:rFonts w:ascii="Calibri" w:hAnsi="Calibri" w:cs="Calibri"/>
                <w:bCs/>
              </w:rPr>
              <w:t>(</w:t>
            </w:r>
            <w:r w:rsidRPr="00DE2C3A">
              <w:rPr>
                <w:rFonts w:ascii="Calibri" w:hAnsi="Calibri" w:cs="Calibri"/>
                <w:bCs/>
              </w:rPr>
              <w:t xml:space="preserve">Famille </w:t>
            </w:r>
            <w:r w:rsidRPr="00E31768">
              <w:rPr>
                <w:rFonts w:ascii="Calibri" w:hAnsi="Calibri" w:cs="Calibri"/>
                <w:i/>
                <w:iCs/>
              </w:rPr>
              <w:t>des </w:t>
            </w:r>
            <w:hyperlink r:id="rId4299" w:history="1">
              <w:r w:rsidRPr="00A47184">
                <w:rPr>
                  <w:rStyle w:val="Lienhypertexte"/>
                  <w:rFonts w:ascii="Calibri" w:hAnsi="Calibri" w:cs="Calibri"/>
                  <w:i/>
                  <w:iCs/>
                  <w:color w:val="0645AD"/>
                  <w:shd w:val="clear" w:color="auto" w:fill="FFFFFF"/>
                </w:rPr>
                <w:t>Tamaricacées</w:t>
              </w:r>
            </w:hyperlink>
            <w:r>
              <w:rPr>
                <w:rFonts w:ascii="Calibri" w:hAnsi="Calibri" w:cs="Calibri"/>
                <w:bCs/>
              </w:rPr>
              <w:t>)</w:t>
            </w:r>
            <w:r w:rsidRPr="00DE2C3A">
              <w:rPr>
                <w:rFonts w:ascii="Calibri" w:hAnsi="Calibri" w:cs="Calibri"/>
                <w:bCs/>
              </w:rPr>
              <w:t>.</w:t>
            </w:r>
          </w:p>
          <w:p w14:paraId="26B33C5E" w14:textId="77777777" w:rsidR="00F5138F" w:rsidRDefault="00F5138F" w:rsidP="003D7963">
            <w:pPr>
              <w:jc w:val="both"/>
              <w:rPr>
                <w:rFonts w:cstheme="minorHAnsi"/>
                <w:b/>
                <w:bCs/>
                <w:color w:val="FF0000"/>
              </w:rPr>
            </w:pPr>
          </w:p>
          <w:p w14:paraId="451FADAD" w14:textId="77777777" w:rsidR="00F5138F" w:rsidRPr="000B6BE3" w:rsidRDefault="00F5138F" w:rsidP="003D7963">
            <w:pPr>
              <w:jc w:val="both"/>
              <w:rPr>
                <w:rFonts w:cstheme="minorHAnsi"/>
              </w:rPr>
            </w:pPr>
            <w:r w:rsidRPr="009A3C5B">
              <w:rPr>
                <w:rFonts w:cstheme="minorHAnsi"/>
                <w:b/>
                <w:bCs/>
                <w:color w:val="FF0000"/>
              </w:rPr>
              <w:t>Risque élevé</w:t>
            </w:r>
            <w:r>
              <w:rPr>
                <w:rFonts w:cstheme="minorHAnsi"/>
                <w:b/>
                <w:bCs/>
                <w:color w:val="FF0000"/>
              </w:rPr>
              <w:t>.</w:t>
            </w:r>
          </w:p>
        </w:tc>
        <w:tc>
          <w:tcPr>
            <w:tcW w:w="2407" w:type="dxa"/>
          </w:tcPr>
          <w:p w14:paraId="6B56A348" w14:textId="77777777" w:rsidR="00F5138F" w:rsidRPr="000B6BE3" w:rsidRDefault="00F5138F" w:rsidP="003D7963">
            <w:pPr>
              <w:rPr>
                <w:rFonts w:cstheme="minorHAnsi"/>
              </w:rPr>
            </w:pPr>
            <w:r w:rsidRPr="000B6BE3">
              <w:rPr>
                <w:rFonts w:cstheme="minorHAnsi"/>
                <w:noProof/>
              </w:rPr>
              <w:t xml:space="preserve">  </w:t>
            </w:r>
            <w:r>
              <w:rPr>
                <w:rFonts w:cstheme="minorHAnsi"/>
                <w:noProof/>
              </w:rPr>
              <w:t xml:space="preserve">      </w:t>
            </w:r>
            <w:r w:rsidRPr="005C50C9">
              <w:rPr>
                <w:rFonts w:cstheme="minorHAnsi"/>
                <w:noProof/>
              </w:rPr>
              <w:drawing>
                <wp:inline distT="0" distB="0" distL="0" distR="0" wp14:anchorId="050492C1" wp14:editId="1B7EA0C0">
                  <wp:extent cx="495300" cy="666750"/>
                  <wp:effectExtent l="0" t="0" r="0" b="0"/>
                  <wp:docPr id="109593" name="Image 15"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8" name="Image 15" descr="logo aride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r w:rsidRPr="008F2681">
              <w:rPr>
                <w:rFonts w:cstheme="minorHAnsi"/>
                <w:noProof/>
              </w:rPr>
              <w:drawing>
                <wp:inline distT="0" distB="0" distL="0" distR="0" wp14:anchorId="63E9A6C9" wp14:editId="15B06056">
                  <wp:extent cx="463550" cy="661988"/>
                  <wp:effectExtent l="0" t="0" r="0" b="5080"/>
                  <wp:docPr id="109594"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w:t>
            </w:r>
          </w:p>
        </w:tc>
        <w:tc>
          <w:tcPr>
            <w:tcW w:w="1983" w:type="dxa"/>
          </w:tcPr>
          <w:p w14:paraId="75C2EE66" w14:textId="77777777" w:rsidR="00F5138F" w:rsidRPr="00A47184" w:rsidRDefault="00F5138F" w:rsidP="003D7963">
            <w:pPr>
              <w:rPr>
                <w:rFonts w:cstheme="minorHAnsi"/>
                <w:sz w:val="40"/>
                <w:szCs w:val="40"/>
              </w:rPr>
            </w:pPr>
            <w:r w:rsidRPr="00A47184">
              <w:rPr>
                <w:rFonts w:eastAsia="+mn-ea" w:cstheme="minorHAnsi"/>
                <w:b/>
                <w:bCs/>
                <w:color w:val="008000"/>
                <w:kern w:val="24"/>
                <w:sz w:val="40"/>
                <w:szCs w:val="40"/>
              </w:rPr>
              <w:t>↗</w:t>
            </w:r>
          </w:p>
        </w:tc>
        <w:tc>
          <w:tcPr>
            <w:tcW w:w="1378" w:type="dxa"/>
          </w:tcPr>
          <w:p w14:paraId="5240B8F6" w14:textId="77777777" w:rsidR="00F5138F" w:rsidRPr="000B6BE3" w:rsidRDefault="00F5138F" w:rsidP="003D7963">
            <w:pPr>
              <w:rPr>
                <w:rFonts w:cstheme="minorHAnsi"/>
              </w:rPr>
            </w:pPr>
            <w:r w:rsidRPr="00DE60FE">
              <w:rPr>
                <w:rFonts w:cstheme="minorHAnsi"/>
                <w:noProof/>
              </w:rPr>
              <w:drawing>
                <wp:inline distT="0" distB="0" distL="0" distR="0" wp14:anchorId="2A6C8BA0" wp14:editId="21353E70">
                  <wp:extent cx="457200" cy="457200"/>
                  <wp:effectExtent l="0" t="0" r="0" b="0"/>
                  <wp:docPr id="109595" name="Picture 16" descr="C:\Users\LISAN\Pictures\Plantes fourragères\logo invasive plants5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26" name="Picture 16" descr="C:\Users\LISAN\Pictures\Plantes fourragères\logo invasive plants5_s.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192E66AF" w14:textId="24260D09" w:rsidR="00F5138F" w:rsidRDefault="00F5138F" w:rsidP="00EF2E52">
      <w:pPr>
        <w:spacing w:after="0" w:line="240" w:lineRule="auto"/>
        <w:jc w:val="both"/>
      </w:pPr>
    </w:p>
    <w:p w14:paraId="06D32AD6" w14:textId="0AD82E31" w:rsidR="00F5138F" w:rsidRPr="00F5138F" w:rsidRDefault="00356847" w:rsidP="00F5138F">
      <w:pPr>
        <w:spacing w:after="0" w:line="240" w:lineRule="auto"/>
        <w:jc w:val="both"/>
      </w:pPr>
      <w:r w:rsidRPr="009F0417">
        <w:rPr>
          <w:color w:val="FF0000"/>
        </w:rPr>
        <w:t>Taxon à vérifier</w:t>
      </w:r>
      <w:r>
        <w:t xml:space="preserve">. </w:t>
      </w:r>
      <w:r w:rsidR="00F5138F" w:rsidRPr="00F5138F">
        <w:t xml:space="preserve">Synonyme : </w:t>
      </w:r>
      <w:r w:rsidR="00F5138F" w:rsidRPr="00F5138F">
        <w:rPr>
          <w:i/>
          <w:iCs/>
        </w:rPr>
        <w:t>Tamarix gallica ssp. Nilotica</w:t>
      </w:r>
      <w:r w:rsidR="00F5138F" w:rsidRPr="00F5138F">
        <w:t xml:space="preserve"> </w:t>
      </w:r>
      <w:r w:rsidR="009F0417">
        <w:t>(à vérifier).</w:t>
      </w:r>
    </w:p>
    <w:p w14:paraId="6E1F03C5" w14:textId="136AF644" w:rsidR="00F5138F" w:rsidRPr="00F5138F" w:rsidRDefault="00F5138F" w:rsidP="00F5138F">
      <w:pPr>
        <w:spacing w:after="0" w:line="240" w:lineRule="auto"/>
        <w:jc w:val="both"/>
        <w:rPr>
          <w:rFonts w:ascii="Calibri" w:hAnsi="Calibri" w:cs="Calibri"/>
        </w:rPr>
      </w:pPr>
      <w:r w:rsidRPr="00F5138F">
        <w:rPr>
          <w:rFonts w:ascii="Calibri" w:hAnsi="Calibri" w:cs="Calibri"/>
          <w:shd w:val="clear" w:color="auto" w:fill="FFFFFF"/>
        </w:rPr>
        <w:t xml:space="preserve">Poussant jusqu'à 3 m (10 pi) de haut et de large, c'est un petit </w:t>
      </w:r>
      <w:hyperlink r:id="rId4300" w:tooltip="Tree" w:history="1">
        <w:r w:rsidRPr="00F5138F">
          <w:rPr>
            <w:rStyle w:val="Lienhypertexte"/>
            <w:rFonts w:ascii="Calibri" w:hAnsi="Calibri" w:cs="Calibri"/>
            <w:color w:val="0645AD"/>
            <w:shd w:val="clear" w:color="auto" w:fill="FFFFFF"/>
          </w:rPr>
          <w:t>arbre à </w:t>
        </w:r>
      </w:hyperlink>
      <w:hyperlink r:id="rId4301" w:tooltip="À feuilles caduques" w:history="1">
        <w:r w:rsidRPr="00F5138F">
          <w:rPr>
            <w:rStyle w:val="Lienhypertexte"/>
            <w:rFonts w:ascii="Calibri" w:hAnsi="Calibri" w:cs="Calibri"/>
            <w:color w:val="0645AD"/>
            <w:shd w:val="clear" w:color="auto" w:fill="FFFFFF"/>
          </w:rPr>
          <w:t>feuilles </w:t>
        </w:r>
      </w:hyperlink>
      <w:hyperlink r:id="rId4302" w:tooltip="Arbre" w:history="1">
        <w:r w:rsidRPr="00F5138F">
          <w:rPr>
            <w:rStyle w:val="Lienhypertexte"/>
            <w:rFonts w:ascii="Calibri" w:hAnsi="Calibri" w:cs="Calibri"/>
            <w:color w:val="0645AD"/>
            <w:shd w:val="clear" w:color="auto" w:fill="FFFFFF"/>
          </w:rPr>
          <w:t>caduques</w:t>
        </w:r>
      </w:hyperlink>
      <w:r w:rsidRPr="00F5138F">
        <w:rPr>
          <w:rFonts w:ascii="Calibri" w:hAnsi="Calibri" w:cs="Calibri"/>
          <w:color w:val="202122"/>
          <w:shd w:val="clear" w:color="auto" w:fill="FFFFFF"/>
        </w:rPr>
        <w:t> </w:t>
      </w:r>
      <w:r w:rsidRPr="00F5138F">
        <w:rPr>
          <w:rFonts w:ascii="Calibri" w:hAnsi="Calibri" w:cs="Calibri"/>
          <w:shd w:val="clear" w:color="auto" w:fill="FFFFFF"/>
        </w:rPr>
        <w:t>avec des branches arquées presque noires et de minuscules feuilles ressemblant à des écailles disposées le long des branches. Des grappes de fleurs rose pâle sont produites à la fin du printemps.</w:t>
      </w:r>
      <w:r>
        <w:rPr>
          <w:rFonts w:ascii="Calibri" w:hAnsi="Calibri" w:cs="Calibri"/>
          <w:shd w:val="clear" w:color="auto" w:fill="FFFFFF"/>
        </w:rPr>
        <w:t xml:space="preserve"> </w:t>
      </w:r>
      <w:r w:rsidRPr="00F5138F">
        <w:rPr>
          <w:rFonts w:ascii="Calibri" w:hAnsi="Calibri" w:cs="Calibri"/>
          <w:shd w:val="clear" w:color="auto" w:fill="FFFFFF"/>
        </w:rPr>
        <w:t>Cette plante est particulièrement associée aux zones côtières tempérées, mais peut également être cultivée à l'intérieur des terres dans une position ensoleillée avec une protection contre les vents d'hiver.</w:t>
      </w:r>
      <w:r>
        <w:rPr>
          <w:rFonts w:ascii="Calibri" w:hAnsi="Calibri" w:cs="Calibri"/>
        </w:rPr>
        <w:t xml:space="preserve"> </w:t>
      </w:r>
      <w:r w:rsidRPr="00F5138F">
        <w:t>Il supporte le sel, les sols pauvres et sablonneux.</w:t>
      </w:r>
      <w:r w:rsidR="009F0417">
        <w:t xml:space="preserve"> Présent en région PACA, France.</w:t>
      </w:r>
    </w:p>
    <w:p w14:paraId="11BEE089" w14:textId="338CC7FF" w:rsidR="00F5138F" w:rsidRDefault="00F5138F" w:rsidP="00F5138F">
      <w:pPr>
        <w:spacing w:after="0" w:line="240" w:lineRule="auto"/>
        <w:jc w:val="both"/>
      </w:pPr>
      <w:r>
        <w:t xml:space="preserve">Sources : a) </w:t>
      </w:r>
      <w:hyperlink r:id="rId4303" w:history="1">
        <w:r w:rsidRPr="00EE130C">
          <w:rPr>
            <w:rStyle w:val="Lienhypertexte"/>
          </w:rPr>
          <w:t>https://en.wikipedia.org/wiki/Tamarix_tetrandra</w:t>
        </w:r>
      </w:hyperlink>
      <w:r>
        <w:t>,</w:t>
      </w:r>
    </w:p>
    <w:p w14:paraId="4AB25987" w14:textId="351E4AF1" w:rsidR="00F5138F" w:rsidRPr="009F0417" w:rsidRDefault="00F5138F" w:rsidP="00F5138F">
      <w:pPr>
        <w:spacing w:after="0" w:line="240" w:lineRule="auto"/>
        <w:jc w:val="both"/>
      </w:pPr>
      <w:r w:rsidRPr="009F0417">
        <w:t>b)</w:t>
      </w:r>
      <w:r w:rsidR="009F0417" w:rsidRPr="009F0417">
        <w:t xml:space="preserve"> Tamaris d’Afrique</w:t>
      </w:r>
      <w:r w:rsidR="009F0417">
        <w:t>,</w:t>
      </w:r>
      <w:r w:rsidRPr="009F0417">
        <w:t xml:space="preserve"> </w:t>
      </w:r>
      <w:hyperlink r:id="rId4304" w:history="1">
        <w:r w:rsidRPr="00F5138F">
          <w:rPr>
            <w:rStyle w:val="Lienhypertexte"/>
          </w:rPr>
          <w:t>http://nature.jardin.free.fr/arbuste/ft_tamarix_af.html</w:t>
        </w:r>
      </w:hyperlink>
      <w:r w:rsidR="009F0417" w:rsidRPr="009F0417">
        <w:t>,</w:t>
      </w:r>
    </w:p>
    <w:p w14:paraId="1AA67F8B" w14:textId="05CEDBF7" w:rsidR="009F0417" w:rsidRPr="00F5138F" w:rsidRDefault="009F0417" w:rsidP="00F5138F">
      <w:pPr>
        <w:spacing w:after="0" w:line="240" w:lineRule="auto"/>
        <w:jc w:val="both"/>
      </w:pPr>
      <w:r w:rsidRPr="009F0417">
        <w:t>c) Tamaris d’Afrique (</w:t>
      </w:r>
      <w:r w:rsidRPr="009F0417">
        <w:rPr>
          <w:i/>
          <w:iCs/>
        </w:rPr>
        <w:t>Tamarix africana</w:t>
      </w:r>
      <w:r w:rsidRPr="009F0417">
        <w:t xml:space="preserve">), </w:t>
      </w:r>
      <w:hyperlink r:id="rId4305" w:history="1">
        <w:r w:rsidRPr="009F0417">
          <w:rPr>
            <w:rStyle w:val="Lienhypertexte"/>
          </w:rPr>
          <w:t>https://inpn.mnhn.fr/espece/cd_nom/125412</w:t>
        </w:r>
      </w:hyperlink>
      <w:r w:rsidRPr="009F0417">
        <w:t xml:space="preserve"> </w:t>
      </w:r>
    </w:p>
    <w:p w14:paraId="62CED45B" w14:textId="77777777" w:rsidR="00F5138F" w:rsidRPr="009F0417" w:rsidRDefault="00F5138F" w:rsidP="00EF2E52">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F5138F" w14:paraId="74BF68CC" w14:textId="77777777" w:rsidTr="00356847">
        <w:tc>
          <w:tcPr>
            <w:tcW w:w="3472" w:type="dxa"/>
          </w:tcPr>
          <w:p w14:paraId="72AF6D7B" w14:textId="77777777" w:rsidR="00F5138F" w:rsidRDefault="00F5138F" w:rsidP="00F5138F">
            <w:pPr>
              <w:jc w:val="center"/>
            </w:pPr>
            <w:r w:rsidRPr="00F5138F">
              <w:rPr>
                <w:noProof/>
              </w:rPr>
              <w:drawing>
                <wp:inline distT="0" distB="0" distL="0" distR="0" wp14:anchorId="00E23CBB" wp14:editId="02406FFC">
                  <wp:extent cx="2028825" cy="2857500"/>
                  <wp:effectExtent l="0" t="0" r="9525" b="0"/>
                  <wp:docPr id="109596"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 20"/>
                          <pic:cNvPicPr>
                            <a:picLocks noChangeAspect="1"/>
                          </pic:cNvPicPr>
                        </pic:nvPicPr>
                        <pic:blipFill>
                          <a:blip r:embed="rId4306">
                            <a:extLst>
                              <a:ext uri="{28A0092B-C50C-407E-A947-70E740481C1C}">
                                <a14:useLocalDpi xmlns:a14="http://schemas.microsoft.com/office/drawing/2010/main" val="0"/>
                              </a:ext>
                            </a:extLst>
                          </a:blip>
                          <a:stretch>
                            <a:fillRect/>
                          </a:stretch>
                        </pic:blipFill>
                        <pic:spPr>
                          <a:xfrm>
                            <a:off x="0" y="0"/>
                            <a:ext cx="2028825" cy="2857500"/>
                          </a:xfrm>
                          <a:prstGeom prst="rect">
                            <a:avLst/>
                          </a:prstGeom>
                        </pic:spPr>
                      </pic:pic>
                    </a:graphicData>
                  </a:graphic>
                </wp:inline>
              </w:drawing>
            </w:r>
          </w:p>
          <w:p w14:paraId="4EF2439D" w14:textId="6136A09A" w:rsidR="00F5138F" w:rsidRDefault="00F5138F" w:rsidP="00F5138F">
            <w:pPr>
              <w:jc w:val="center"/>
            </w:pPr>
            <w:r w:rsidRPr="00F5138F">
              <w:rPr>
                <w:i/>
                <w:iCs/>
              </w:rPr>
              <w:t>Tamarix africa</w:t>
            </w:r>
            <w:r w:rsidRPr="00F5138F">
              <w:t xml:space="preserve"> en fleur</w:t>
            </w:r>
            <w:r w:rsidR="00356847">
              <w:rPr>
                <w:rStyle w:val="Appelnotedebasdep"/>
              </w:rPr>
              <w:footnoteReference w:id="299"/>
            </w:r>
            <w:r w:rsidRPr="00F5138F">
              <w:t>.</w:t>
            </w:r>
          </w:p>
        </w:tc>
        <w:tc>
          <w:tcPr>
            <w:tcW w:w="3472" w:type="dxa"/>
          </w:tcPr>
          <w:p w14:paraId="50186EC3" w14:textId="77777777" w:rsidR="00F5138F" w:rsidRDefault="00356847" w:rsidP="00F5138F">
            <w:pPr>
              <w:jc w:val="center"/>
            </w:pPr>
            <w:r w:rsidRPr="00356847">
              <w:rPr>
                <w:noProof/>
              </w:rPr>
              <w:drawing>
                <wp:inline distT="0" distB="0" distL="0" distR="0" wp14:anchorId="3EEBDDCC" wp14:editId="6E23114F">
                  <wp:extent cx="1975266" cy="1314450"/>
                  <wp:effectExtent l="0" t="0" r="6350" b="0"/>
                  <wp:docPr id="109597"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3"/>
                          <pic:cNvPicPr>
                            <a:picLocks noChangeAspect="1"/>
                          </pic:cNvPicPr>
                        </pic:nvPicPr>
                        <pic:blipFill>
                          <a:blip r:embed="rId4307">
                            <a:extLst>
                              <a:ext uri="{28A0092B-C50C-407E-A947-70E740481C1C}">
                                <a14:useLocalDpi xmlns:a14="http://schemas.microsoft.com/office/drawing/2010/main" val="0"/>
                              </a:ext>
                            </a:extLst>
                          </a:blip>
                          <a:stretch>
                            <a:fillRect/>
                          </a:stretch>
                        </pic:blipFill>
                        <pic:spPr>
                          <a:xfrm>
                            <a:off x="0" y="0"/>
                            <a:ext cx="1978759" cy="1316774"/>
                          </a:xfrm>
                          <a:prstGeom prst="rect">
                            <a:avLst/>
                          </a:prstGeom>
                        </pic:spPr>
                      </pic:pic>
                    </a:graphicData>
                  </a:graphic>
                </wp:inline>
              </w:drawing>
            </w:r>
          </w:p>
          <w:p w14:paraId="3F18C37D" w14:textId="65834233" w:rsidR="00356847" w:rsidRDefault="00356847" w:rsidP="00F5138F">
            <w:pPr>
              <w:jc w:val="center"/>
            </w:pPr>
            <w:r w:rsidRPr="00F5138F">
              <w:rPr>
                <w:i/>
                <w:iCs/>
              </w:rPr>
              <w:t>Tamarix africa</w:t>
            </w:r>
            <w:r w:rsidRPr="00F5138F">
              <w:t xml:space="preserve"> en fleur</w:t>
            </w:r>
            <w:r>
              <w:t xml:space="preserve"> (© Nature jardin)</w:t>
            </w:r>
            <w:r w:rsidRPr="00F5138F">
              <w:t>.</w:t>
            </w:r>
          </w:p>
        </w:tc>
        <w:tc>
          <w:tcPr>
            <w:tcW w:w="3472" w:type="dxa"/>
          </w:tcPr>
          <w:p w14:paraId="67DCBB11" w14:textId="61CDB2C8" w:rsidR="00F5138F" w:rsidRDefault="00356847" w:rsidP="00F5138F">
            <w:pPr>
              <w:jc w:val="center"/>
            </w:pPr>
            <w:r w:rsidRPr="00356847">
              <w:rPr>
                <w:noProof/>
              </w:rPr>
              <w:drawing>
                <wp:inline distT="0" distB="0" distL="0" distR="0" wp14:anchorId="2B507B86" wp14:editId="499F877D">
                  <wp:extent cx="2028825" cy="2428875"/>
                  <wp:effectExtent l="0" t="0" r="9525" b="9525"/>
                  <wp:docPr id="109598"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7"/>
                          <pic:cNvPicPr>
                            <a:picLocks noChangeAspect="1"/>
                          </pic:cNvPicPr>
                        </pic:nvPicPr>
                        <pic:blipFill>
                          <a:blip r:embed="rId4308">
                            <a:extLst>
                              <a:ext uri="{28A0092B-C50C-407E-A947-70E740481C1C}">
                                <a14:useLocalDpi xmlns:a14="http://schemas.microsoft.com/office/drawing/2010/main" val="0"/>
                              </a:ext>
                            </a:extLst>
                          </a:blip>
                          <a:stretch>
                            <a:fillRect/>
                          </a:stretch>
                        </pic:blipFill>
                        <pic:spPr>
                          <a:xfrm>
                            <a:off x="0" y="0"/>
                            <a:ext cx="2028825" cy="2428875"/>
                          </a:xfrm>
                          <a:prstGeom prst="rect">
                            <a:avLst/>
                          </a:prstGeom>
                        </pic:spPr>
                      </pic:pic>
                    </a:graphicData>
                  </a:graphic>
                </wp:inline>
              </w:drawing>
            </w:r>
          </w:p>
          <w:p w14:paraId="34106A01" w14:textId="17A95E5C" w:rsidR="00356847" w:rsidRDefault="00356847" w:rsidP="00F5138F">
            <w:pPr>
              <w:jc w:val="center"/>
            </w:pPr>
            <w:r w:rsidRPr="00F5138F">
              <w:rPr>
                <w:i/>
                <w:iCs/>
              </w:rPr>
              <w:t>Tamarix africa</w:t>
            </w:r>
            <w:r w:rsidRPr="00F5138F">
              <w:t xml:space="preserve"> en fleur</w:t>
            </w:r>
            <w:r>
              <w:t xml:space="preserve"> </w:t>
            </w:r>
            <w:r w:rsidRPr="00F5138F">
              <w:t>fleur</w:t>
            </w:r>
            <w:r>
              <w:t xml:space="preserve"> (© Nature jardin)</w:t>
            </w:r>
            <w:r w:rsidRPr="00F5138F">
              <w:t>.</w:t>
            </w:r>
          </w:p>
        </w:tc>
      </w:tr>
    </w:tbl>
    <w:p w14:paraId="08316C98" w14:textId="0F1C4E27" w:rsidR="00A47184" w:rsidRDefault="00A47184" w:rsidP="00F5138F">
      <w:pPr>
        <w:spacing w:after="0" w:line="240" w:lineRule="auto"/>
        <w:jc w:val="center"/>
      </w:pPr>
    </w:p>
    <w:p w14:paraId="4BEEEFCE" w14:textId="0D151FB6" w:rsidR="00356847" w:rsidRDefault="00356847" w:rsidP="00F5138F">
      <w:pPr>
        <w:spacing w:after="0" w:line="240" w:lineRule="auto"/>
        <w:jc w:val="center"/>
      </w:pPr>
      <w:r w:rsidRPr="00356847">
        <w:rPr>
          <w:noProof/>
        </w:rPr>
        <w:drawing>
          <wp:inline distT="0" distB="0" distL="0" distR="0" wp14:anchorId="279C8CFC" wp14:editId="3BD97018">
            <wp:extent cx="6181725" cy="2324100"/>
            <wp:effectExtent l="0" t="0" r="9525" b="0"/>
            <wp:docPr id="109599" name="Image 2" descr="Une image contenant arbre, extérieur, plante, salet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99" name="Image 2" descr="Une image contenant arbre, extérieur, plante, saleté&#10;&#10;Description générée automatiquement"/>
                    <pic:cNvPicPr>
                      <a:picLocks noChangeAspect="1"/>
                    </pic:cNvPicPr>
                  </pic:nvPicPr>
                  <pic:blipFill>
                    <a:blip r:embed="rId4309">
                      <a:extLst>
                        <a:ext uri="{28A0092B-C50C-407E-A947-70E740481C1C}">
                          <a14:useLocalDpi xmlns:a14="http://schemas.microsoft.com/office/drawing/2010/main" val="0"/>
                        </a:ext>
                      </a:extLst>
                    </a:blip>
                    <a:stretch>
                      <a:fillRect/>
                    </a:stretch>
                  </pic:blipFill>
                  <pic:spPr>
                    <a:xfrm>
                      <a:off x="0" y="0"/>
                      <a:ext cx="6181725" cy="2324100"/>
                    </a:xfrm>
                    <a:prstGeom prst="rect">
                      <a:avLst/>
                    </a:prstGeom>
                  </pic:spPr>
                </pic:pic>
              </a:graphicData>
            </a:graphic>
          </wp:inline>
        </w:drawing>
      </w:r>
    </w:p>
    <w:p w14:paraId="7E6E36D2" w14:textId="42986257" w:rsidR="00356847" w:rsidRPr="00E344E9" w:rsidRDefault="00356847" w:rsidP="00356847">
      <w:pPr>
        <w:spacing w:after="0" w:line="240" w:lineRule="auto"/>
        <w:jc w:val="center"/>
      </w:pPr>
      <w:r w:rsidRPr="00356847">
        <w:rPr>
          <w:i/>
          <w:iCs/>
        </w:rPr>
        <w:t xml:space="preserve">Tamarix africa </w:t>
      </w:r>
      <w:r w:rsidRPr="00356847">
        <w:t>(</w:t>
      </w:r>
      <w:r w:rsidR="009F0417">
        <w:t xml:space="preserve">à vérifier </w:t>
      </w:r>
      <w:r w:rsidRPr="00356847">
        <w:t>?) situé à Diama à St-Louis, au Sénégal, sur un milieu aride et sec.</w:t>
      </w:r>
    </w:p>
    <w:p w14:paraId="4400122A" w14:textId="097649FA" w:rsidR="00390E18" w:rsidRDefault="00390E18" w:rsidP="00EF2E52">
      <w:pPr>
        <w:spacing w:after="0" w:line="240" w:lineRule="auto"/>
        <w:jc w:val="both"/>
      </w:pPr>
    </w:p>
    <w:p w14:paraId="1A00A2EF" w14:textId="27CE0198" w:rsidR="009F0417" w:rsidRDefault="00BD0621" w:rsidP="00BD0621">
      <w:pPr>
        <w:pStyle w:val="Titre2"/>
      </w:pPr>
      <w:bookmarkStart w:id="395" w:name="_Toc139181685"/>
      <w:r w:rsidRPr="00BD0621">
        <w:t>Tamaris Athel (</w:t>
      </w:r>
      <w:r w:rsidRPr="00BD0621">
        <w:rPr>
          <w:i/>
          <w:iCs/>
        </w:rPr>
        <w:t>Tamarix aphylla</w:t>
      </w:r>
      <w:r w:rsidRPr="00BD0621">
        <w:t xml:space="preserve"> ou </w:t>
      </w:r>
      <w:r w:rsidRPr="00BD0621">
        <w:rPr>
          <w:i/>
          <w:iCs/>
        </w:rPr>
        <w:t>Tamarix articulata</w:t>
      </w:r>
      <w:r w:rsidRPr="00BD0621">
        <w:t>)</w:t>
      </w:r>
      <w:bookmarkEnd w:id="395"/>
    </w:p>
    <w:p w14:paraId="1F4007A9" w14:textId="4F31EEFF" w:rsidR="00BD0621" w:rsidRDefault="00BD0621" w:rsidP="00EF2E52">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0"/>
        <w:gridCol w:w="2407"/>
        <w:gridCol w:w="1983"/>
        <w:gridCol w:w="1378"/>
      </w:tblGrid>
      <w:tr w:rsidR="00BD0621" w:rsidRPr="000B6BE3" w14:paraId="0327DEA2" w14:textId="77777777" w:rsidTr="003D7963">
        <w:tc>
          <w:tcPr>
            <w:tcW w:w="4390" w:type="dxa"/>
          </w:tcPr>
          <w:p w14:paraId="1C3200AF" w14:textId="77777777" w:rsidR="00BD0621" w:rsidRDefault="00BD0621" w:rsidP="003D7963">
            <w:pPr>
              <w:jc w:val="both"/>
              <w:rPr>
                <w:rFonts w:ascii="Calibri" w:hAnsi="Calibri" w:cs="Calibri"/>
                <w:bCs/>
              </w:rPr>
            </w:pPr>
            <w:r>
              <w:rPr>
                <w:rFonts w:ascii="Calibri" w:hAnsi="Calibri" w:cs="Calibri"/>
                <w:bCs/>
              </w:rPr>
              <w:t>(</w:t>
            </w:r>
            <w:r w:rsidRPr="00DE2C3A">
              <w:rPr>
                <w:rFonts w:ascii="Calibri" w:hAnsi="Calibri" w:cs="Calibri"/>
                <w:bCs/>
              </w:rPr>
              <w:t xml:space="preserve">Famille </w:t>
            </w:r>
            <w:r w:rsidRPr="00E31768">
              <w:rPr>
                <w:rFonts w:ascii="Calibri" w:hAnsi="Calibri" w:cs="Calibri"/>
                <w:i/>
                <w:iCs/>
              </w:rPr>
              <w:t>des </w:t>
            </w:r>
            <w:hyperlink r:id="rId4310" w:history="1">
              <w:r w:rsidRPr="00A47184">
                <w:rPr>
                  <w:rStyle w:val="Lienhypertexte"/>
                  <w:rFonts w:ascii="Calibri" w:hAnsi="Calibri" w:cs="Calibri"/>
                  <w:i/>
                  <w:iCs/>
                  <w:color w:val="0645AD"/>
                  <w:shd w:val="clear" w:color="auto" w:fill="FFFFFF"/>
                </w:rPr>
                <w:t>Tamaricacées</w:t>
              </w:r>
            </w:hyperlink>
            <w:r>
              <w:rPr>
                <w:rFonts w:ascii="Calibri" w:hAnsi="Calibri" w:cs="Calibri"/>
                <w:bCs/>
              </w:rPr>
              <w:t>)</w:t>
            </w:r>
            <w:r w:rsidRPr="00DE2C3A">
              <w:rPr>
                <w:rFonts w:ascii="Calibri" w:hAnsi="Calibri" w:cs="Calibri"/>
                <w:bCs/>
              </w:rPr>
              <w:t>.</w:t>
            </w:r>
          </w:p>
          <w:p w14:paraId="4550F30B" w14:textId="2F6F9E18" w:rsidR="00BD0621" w:rsidRPr="00BD0621" w:rsidRDefault="00BD0621" w:rsidP="003D7963">
            <w:pPr>
              <w:jc w:val="both"/>
              <w:rPr>
                <w:rFonts w:cstheme="minorHAnsi"/>
              </w:rPr>
            </w:pPr>
            <w:r>
              <w:rPr>
                <w:rFonts w:cstheme="minorHAnsi"/>
              </w:rPr>
              <w:t xml:space="preserve">(Genre </w:t>
            </w:r>
            <w:hyperlink r:id="rId4311" w:history="1">
              <w:r w:rsidRPr="00BD0621">
                <w:rPr>
                  <w:rStyle w:val="Lienhypertexte"/>
                  <w:i/>
                  <w:iCs/>
                </w:rPr>
                <w:t>Tamarix</w:t>
              </w:r>
            </w:hyperlink>
            <w:r>
              <w:rPr>
                <w:rFonts w:cstheme="minorHAnsi"/>
              </w:rPr>
              <w:t>).</w:t>
            </w:r>
          </w:p>
          <w:p w14:paraId="78AE5FED" w14:textId="77777777" w:rsidR="00BD0621" w:rsidRDefault="00BD0621" w:rsidP="003D7963">
            <w:pPr>
              <w:jc w:val="both"/>
              <w:rPr>
                <w:rFonts w:cstheme="minorHAnsi"/>
                <w:b/>
                <w:bCs/>
                <w:color w:val="FF0000"/>
              </w:rPr>
            </w:pPr>
          </w:p>
          <w:p w14:paraId="4D88D30C" w14:textId="77777777" w:rsidR="00BD0621" w:rsidRPr="000B6BE3" w:rsidRDefault="00BD0621" w:rsidP="003D7963">
            <w:pPr>
              <w:jc w:val="both"/>
              <w:rPr>
                <w:rFonts w:cstheme="minorHAnsi"/>
              </w:rPr>
            </w:pPr>
            <w:r w:rsidRPr="009A3C5B">
              <w:rPr>
                <w:rFonts w:cstheme="minorHAnsi"/>
                <w:b/>
                <w:bCs/>
                <w:color w:val="FF0000"/>
              </w:rPr>
              <w:t>Risque élevé</w:t>
            </w:r>
            <w:r>
              <w:rPr>
                <w:rFonts w:cstheme="minorHAnsi"/>
                <w:b/>
                <w:bCs/>
                <w:color w:val="FF0000"/>
              </w:rPr>
              <w:t>.</w:t>
            </w:r>
          </w:p>
        </w:tc>
        <w:tc>
          <w:tcPr>
            <w:tcW w:w="2407" w:type="dxa"/>
          </w:tcPr>
          <w:p w14:paraId="15155C56" w14:textId="77777777" w:rsidR="00BD0621" w:rsidRPr="000B6BE3" w:rsidRDefault="00BD0621" w:rsidP="003D7963">
            <w:pPr>
              <w:rPr>
                <w:rFonts w:cstheme="minorHAnsi"/>
              </w:rPr>
            </w:pPr>
            <w:r w:rsidRPr="000B6BE3">
              <w:rPr>
                <w:rFonts w:cstheme="minorHAnsi"/>
                <w:noProof/>
              </w:rPr>
              <w:t xml:space="preserve">  </w:t>
            </w:r>
            <w:r>
              <w:rPr>
                <w:rFonts w:cstheme="minorHAnsi"/>
                <w:noProof/>
              </w:rPr>
              <w:t xml:space="preserve">      </w:t>
            </w:r>
            <w:r w:rsidRPr="005C50C9">
              <w:rPr>
                <w:rFonts w:cstheme="minorHAnsi"/>
                <w:noProof/>
              </w:rPr>
              <w:drawing>
                <wp:inline distT="0" distB="0" distL="0" distR="0" wp14:anchorId="2B94AABE" wp14:editId="01671638">
                  <wp:extent cx="495300" cy="666750"/>
                  <wp:effectExtent l="0" t="0" r="0" b="0"/>
                  <wp:docPr id="52224" name="Image 15"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8" name="Image 15" descr="logo aride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r w:rsidRPr="008F2681">
              <w:rPr>
                <w:rFonts w:cstheme="minorHAnsi"/>
                <w:noProof/>
              </w:rPr>
              <w:drawing>
                <wp:inline distT="0" distB="0" distL="0" distR="0" wp14:anchorId="6ACC08A1" wp14:editId="307401BA">
                  <wp:extent cx="463550" cy="661988"/>
                  <wp:effectExtent l="0" t="0" r="0" b="5080"/>
                  <wp:docPr id="52225"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w:t>
            </w:r>
          </w:p>
        </w:tc>
        <w:tc>
          <w:tcPr>
            <w:tcW w:w="1983" w:type="dxa"/>
          </w:tcPr>
          <w:p w14:paraId="6F841513" w14:textId="77777777" w:rsidR="00BD0621" w:rsidRPr="00A47184" w:rsidRDefault="00BD0621" w:rsidP="003D7963">
            <w:pPr>
              <w:rPr>
                <w:rFonts w:cstheme="minorHAnsi"/>
                <w:sz w:val="40"/>
                <w:szCs w:val="40"/>
              </w:rPr>
            </w:pPr>
            <w:r w:rsidRPr="00A47184">
              <w:rPr>
                <w:rFonts w:eastAsia="+mn-ea" w:cstheme="minorHAnsi"/>
                <w:b/>
                <w:bCs/>
                <w:color w:val="008000"/>
                <w:kern w:val="24"/>
                <w:sz w:val="40"/>
                <w:szCs w:val="40"/>
              </w:rPr>
              <w:t>↗</w:t>
            </w:r>
          </w:p>
        </w:tc>
        <w:tc>
          <w:tcPr>
            <w:tcW w:w="1378" w:type="dxa"/>
          </w:tcPr>
          <w:p w14:paraId="39295ED5" w14:textId="77777777" w:rsidR="00BD0621" w:rsidRPr="000B6BE3" w:rsidRDefault="00BD0621" w:rsidP="003D7963">
            <w:pPr>
              <w:rPr>
                <w:rFonts w:cstheme="minorHAnsi"/>
              </w:rPr>
            </w:pPr>
            <w:r w:rsidRPr="00DE60FE">
              <w:rPr>
                <w:rFonts w:cstheme="minorHAnsi"/>
                <w:noProof/>
              </w:rPr>
              <w:drawing>
                <wp:inline distT="0" distB="0" distL="0" distR="0" wp14:anchorId="6D72F789" wp14:editId="6E8F4119">
                  <wp:extent cx="457200" cy="457200"/>
                  <wp:effectExtent l="0" t="0" r="0" b="0"/>
                  <wp:docPr id="52226" name="Picture 16" descr="C:\Users\LISAN\Pictures\Plantes fourragères\logo invasive plants5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26" name="Picture 16" descr="C:\Users\LISAN\Pictures\Plantes fourragères\logo invasive plants5_s.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7903A731" w14:textId="77777777" w:rsidR="00BD0621" w:rsidRDefault="00BD0621" w:rsidP="00EF2E52">
      <w:pPr>
        <w:spacing w:after="0" w:line="240" w:lineRule="auto"/>
        <w:jc w:val="both"/>
      </w:pPr>
    </w:p>
    <w:p w14:paraId="2F2F1317" w14:textId="3A486F1B" w:rsidR="00BD0621" w:rsidRPr="00BD0621" w:rsidRDefault="00BD0621" w:rsidP="00BD0621">
      <w:pPr>
        <w:spacing w:after="0" w:line="240" w:lineRule="auto"/>
        <w:jc w:val="both"/>
      </w:pPr>
      <w:r w:rsidRPr="00BD0621">
        <w:t>C’est un arbre à feuilles persistantes, à couronne étalée dense, 8 - 12 mètres de haut, voire 18 m. Son tronc peut avoir 60-80 cm de diamètre.</w:t>
      </w:r>
    </w:p>
    <w:p w14:paraId="55955337" w14:textId="409E8FC0" w:rsidR="00BD0621" w:rsidRPr="00BD0621" w:rsidRDefault="00BD0621" w:rsidP="00BD0621">
      <w:pPr>
        <w:spacing w:after="0" w:line="240" w:lineRule="auto"/>
        <w:jc w:val="both"/>
      </w:pPr>
      <w:r w:rsidRPr="00BD0621">
        <w:rPr>
          <w:u w:val="single"/>
        </w:rPr>
        <w:t>Aire de répartition</w:t>
      </w:r>
      <w:r w:rsidRPr="00BD0621">
        <w:t> : Il est répandu en Afrique, dans les zones plus sèches de la Mauritanie et du Sénégal à travers l'Afrique du Nord à la Somalie et au Kenya. Mais aussi dans la Péninsule arabique, au Pakistan et en Inde. </w:t>
      </w:r>
    </w:p>
    <w:p w14:paraId="049B63C1" w14:textId="70E3C082" w:rsidR="00BD0621" w:rsidRDefault="00BD0621" w:rsidP="00BD0621">
      <w:pPr>
        <w:spacing w:after="0" w:line="240" w:lineRule="auto"/>
        <w:jc w:val="both"/>
      </w:pPr>
      <w:r w:rsidRPr="00BD0621">
        <w:rPr>
          <w:u w:val="single"/>
        </w:rPr>
        <w:t>Habitats</w:t>
      </w:r>
      <w:r>
        <w:rPr>
          <w:u w:val="single"/>
        </w:rPr>
        <w:t xml:space="preserve"> / écologie</w:t>
      </w:r>
      <w:r w:rsidRPr="00BD0621">
        <w:t xml:space="preserve"> : Garrigue côtière dans des </w:t>
      </w:r>
      <w:r w:rsidRPr="00BD0621">
        <w:rPr>
          <w:i/>
          <w:iCs/>
        </w:rPr>
        <w:t>sols salins</w:t>
      </w:r>
      <w:r w:rsidRPr="00BD0621">
        <w:t xml:space="preserve">. Oueds dans les régions désertiques chaudes, dans les </w:t>
      </w:r>
      <w:r w:rsidRPr="00BD0621">
        <w:rPr>
          <w:i/>
          <w:iCs/>
        </w:rPr>
        <w:t>habitats salés</w:t>
      </w:r>
      <w:r w:rsidRPr="00BD0621">
        <w:rPr>
          <w:b/>
          <w:bCs/>
        </w:rPr>
        <w:t xml:space="preserve"> </w:t>
      </w:r>
      <w:r w:rsidRPr="00BD0621">
        <w:t xml:space="preserve">et non salés. Sol et dunes de sable, sebkha, canaux, bords de rivières, </w:t>
      </w:r>
      <w:r w:rsidRPr="00BD0621">
        <w:rPr>
          <w:i/>
          <w:iCs/>
        </w:rPr>
        <w:t>désert salé</w:t>
      </w:r>
      <w:r w:rsidRPr="00BD0621">
        <w:t>, champs, à des altitudes de 200 à 400 mètres. Un arbre des régions tropicales et subtropicales arides et semi-arides, où il se trouve jusqu'à une altitude de 1400 mètres. Il pousse mieux dans les régions où les températures diurnes annuelles vont de 27 à 40 °C, mais il peut tolérer 8-50 °C.</w:t>
      </w:r>
      <w:r>
        <w:t xml:space="preserve"> </w:t>
      </w:r>
      <w:r w:rsidRPr="00BD0621">
        <w:t>Les jeunes pousses peuvent être gravement endommagé à -1 °C. Il préfère une pluviométrie annuelle moyenne de l'ordre de 300 - 400 mm, mais tolère 200 - 500 mm. Il préfère un pH dans la gamme 6.5 à 7.5, mais il tolère 6 à 8,5. Ces arbres produisent un système racinaire profond et étendu, allant d'environ 10 mètres de profondeur et 34 mètres horizontalement.</w:t>
      </w:r>
      <w:r>
        <w:t xml:space="preserve"> </w:t>
      </w:r>
      <w:r w:rsidRPr="00BD0621">
        <w:t xml:space="preserve">Il pousse bien dans les sols argileux lourds ainsi que dans les sables et même dans les galets. Il pousse plus vigoureusement sur des terres exposées aux inondations occasionnelles, que sur les terres jamais inondées. </w:t>
      </w:r>
      <w:r w:rsidRPr="00BD0621">
        <w:rPr>
          <w:i/>
          <w:iCs/>
        </w:rPr>
        <w:t>Il résiste au feu</w:t>
      </w:r>
      <w:r w:rsidRPr="00BD0621">
        <w:t>.</w:t>
      </w:r>
    </w:p>
    <w:p w14:paraId="70042AAA" w14:textId="43A5E1D0" w:rsidR="00BD0621" w:rsidRPr="00BD0621" w:rsidRDefault="00BD0621" w:rsidP="00BD0621">
      <w:pPr>
        <w:spacing w:after="0" w:line="240" w:lineRule="auto"/>
        <w:jc w:val="both"/>
      </w:pPr>
      <w:r w:rsidRPr="00BD0621">
        <w:rPr>
          <w:u w:val="single"/>
        </w:rPr>
        <w:t>Usage</w:t>
      </w:r>
      <w:r>
        <w:rPr>
          <w:u w:val="single"/>
        </w:rPr>
        <w:t>s</w:t>
      </w:r>
      <w:r>
        <w:t xml:space="preserve"> : </w:t>
      </w:r>
      <w:r w:rsidRPr="00BD0621">
        <w:t>L’arbre, à l'état sauvage, est récoltée pour la nourriture, la médecine, les tanins et le bois, utilisés localement. Il est parfois cultivé pour fournir un abri près de la côte et également comme plante ornementale. Il peut servir de pare-feu.</w:t>
      </w:r>
    </w:p>
    <w:p w14:paraId="68F7034D" w14:textId="55E33C76" w:rsidR="00BD0621" w:rsidRPr="00BD0621" w:rsidRDefault="00BD0621" w:rsidP="00BD0621">
      <w:pPr>
        <w:spacing w:after="0" w:line="240" w:lineRule="auto"/>
        <w:jc w:val="both"/>
      </w:pPr>
      <w:r w:rsidRPr="00BD0621">
        <w:rPr>
          <w:u w:val="single"/>
        </w:rPr>
        <w:t>Plante invasive</w:t>
      </w:r>
      <w:r>
        <w:t xml:space="preserve"> : </w:t>
      </w:r>
      <w:r w:rsidRPr="00BD0621">
        <w:rPr>
          <w:i/>
          <w:iCs/>
        </w:rPr>
        <w:t xml:space="preserve">T. aphylla </w:t>
      </w:r>
      <w:r w:rsidRPr="00BD0621">
        <w:t>peut produire de nombreuses graines qui peuvent se propager sur une grande étendue, par le vent et l'eau. </w:t>
      </w:r>
      <w:r>
        <w:t xml:space="preserve"> </w:t>
      </w:r>
      <w:r w:rsidRPr="00BD0621">
        <w:t>Il peut se propager rapidement et former des fourrés étendus et denses. Il peut évincer les espèces riveraines indigènes, diminuer l'habitat de début de succession, et réduire les nappes phréatiques et interférer avec le processus hydrologique.</w:t>
      </w:r>
      <w:r>
        <w:t xml:space="preserve"> </w:t>
      </w:r>
      <w:r w:rsidRPr="00BD0621">
        <w:t>Il excrète du sel qui élimine les plantes indigènes sous les peuplements de cet arbre. Très invasif en Australie.</w:t>
      </w:r>
    </w:p>
    <w:p w14:paraId="2A6DC500" w14:textId="77777777" w:rsidR="00BD0621" w:rsidRDefault="00BD0621" w:rsidP="00BD0621">
      <w:pPr>
        <w:spacing w:after="0" w:line="240" w:lineRule="auto"/>
      </w:pPr>
      <w:r w:rsidRPr="00BD0621">
        <w:t xml:space="preserve">Sources : a) </w:t>
      </w:r>
      <w:hyperlink r:id="rId4312" w:history="1">
        <w:r w:rsidRPr="00BD0621">
          <w:rPr>
            <w:rStyle w:val="Lienhypertexte"/>
          </w:rPr>
          <w:t>http://tropical.theferns.info/viewtropical.php?id=Tamarix+aphylla</w:t>
        </w:r>
      </w:hyperlink>
      <w:r w:rsidRPr="00BD0621">
        <w:t xml:space="preserve">, </w:t>
      </w:r>
    </w:p>
    <w:p w14:paraId="674688F9" w14:textId="58756342" w:rsidR="00BD0621" w:rsidRPr="00BD0621" w:rsidRDefault="00BD0621" w:rsidP="00BD0621">
      <w:pPr>
        <w:spacing w:after="0" w:line="240" w:lineRule="auto"/>
        <w:rPr>
          <w:lang w:val="en-GB"/>
        </w:rPr>
      </w:pPr>
      <w:r w:rsidRPr="00BD0621">
        <w:rPr>
          <w:lang w:val="en-GB"/>
        </w:rPr>
        <w:t xml:space="preserve">b) </w:t>
      </w:r>
      <w:hyperlink r:id="rId4313" w:history="1">
        <w:r w:rsidRPr="00BD0621">
          <w:rPr>
            <w:rStyle w:val="Lienhypertexte"/>
            <w:lang w:val="en-GB"/>
          </w:rPr>
          <w:t>http://www.cabi.org/isc/datasheet/52483</w:t>
        </w:r>
      </w:hyperlink>
      <w:r w:rsidRPr="00BD0621">
        <w:rPr>
          <w:lang w:val="en-GB"/>
        </w:rPr>
        <w:t xml:space="preserve">,  </w:t>
      </w:r>
    </w:p>
    <w:p w14:paraId="180196CB" w14:textId="77777777" w:rsidR="00BD0621" w:rsidRPr="00411177" w:rsidRDefault="00BD0621" w:rsidP="00BD0621">
      <w:pPr>
        <w:spacing w:after="0" w:line="240" w:lineRule="auto"/>
        <w:rPr>
          <w:lang w:val="en-GB"/>
        </w:rPr>
      </w:pPr>
      <w:r w:rsidRPr="00411177">
        <w:rPr>
          <w:lang w:val="en-GB"/>
        </w:rPr>
        <w:t xml:space="preserve">c) </w:t>
      </w:r>
      <w:hyperlink r:id="rId4314" w:history="1">
        <w:r w:rsidRPr="00411177">
          <w:rPr>
            <w:rStyle w:val="Lienhypertexte"/>
            <w:lang w:val="en-GB"/>
          </w:rPr>
          <w:t>http://www.hear.org/pier/species/tamarix_aphylla.htm</w:t>
        </w:r>
      </w:hyperlink>
      <w:r w:rsidRPr="00411177">
        <w:rPr>
          <w:lang w:val="en-GB"/>
        </w:rPr>
        <w:t xml:space="preserve">, d) </w:t>
      </w:r>
      <w:hyperlink r:id="rId4315" w:history="1">
        <w:r w:rsidRPr="00411177">
          <w:rPr>
            <w:rStyle w:val="Lienhypertexte"/>
            <w:lang w:val="en-GB"/>
          </w:rPr>
          <w:t>http://en.wikipedia.org/wiki/Tamarix_aphylla</w:t>
        </w:r>
      </w:hyperlink>
      <w:r w:rsidRPr="00411177">
        <w:rPr>
          <w:lang w:val="en-GB"/>
        </w:rPr>
        <w:t xml:space="preserve"> </w:t>
      </w:r>
    </w:p>
    <w:p w14:paraId="1F61E7D4" w14:textId="77777777" w:rsidR="00BD0621" w:rsidRPr="00411177" w:rsidRDefault="00BD0621" w:rsidP="00EF2E52">
      <w:pPr>
        <w:spacing w:after="0" w:line="240" w:lineRule="auto"/>
        <w:jc w:val="both"/>
        <w:rPr>
          <w:lang w:val="en-G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67"/>
        <w:gridCol w:w="2646"/>
        <w:gridCol w:w="2796"/>
        <w:gridCol w:w="2417"/>
      </w:tblGrid>
      <w:tr w:rsidR="00BD0621" w14:paraId="20794F43" w14:textId="77777777" w:rsidTr="00BD0621">
        <w:tc>
          <w:tcPr>
            <w:tcW w:w="2604" w:type="dxa"/>
          </w:tcPr>
          <w:p w14:paraId="644C4454" w14:textId="77777777" w:rsidR="00BD0621" w:rsidRDefault="00BD0621" w:rsidP="00BD0621">
            <w:pPr>
              <w:jc w:val="center"/>
            </w:pPr>
            <w:r w:rsidRPr="00BD0621">
              <w:rPr>
                <w:noProof/>
              </w:rPr>
              <w:drawing>
                <wp:inline distT="0" distB="0" distL="0" distR="0" wp14:anchorId="773359AA" wp14:editId="147B40D9">
                  <wp:extent cx="1452697" cy="1019175"/>
                  <wp:effectExtent l="0" t="0" r="0" b="0"/>
                  <wp:docPr id="185359" name="Picture 5" descr="C:\Users\LISAN\Pictures\plantes-halophytes-xerophiles\Tamarix aphyll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59" name="Picture 5" descr="C:\Users\LISAN\Pictures\plantes-halophytes-xerophiles\Tamarix aphylla3.jpg"/>
                          <pic:cNvPicPr>
                            <a:picLocks noChangeAspect="1" noChangeArrowheads="1"/>
                          </pic:cNvPicPr>
                        </pic:nvPicPr>
                        <pic:blipFill>
                          <a:blip r:embed="rId4316">
                            <a:extLst>
                              <a:ext uri="{28A0092B-C50C-407E-A947-70E740481C1C}">
                                <a14:useLocalDpi xmlns:a14="http://schemas.microsoft.com/office/drawing/2010/main" val="0"/>
                              </a:ext>
                            </a:extLst>
                          </a:blip>
                          <a:srcRect/>
                          <a:stretch>
                            <a:fillRect/>
                          </a:stretch>
                        </pic:blipFill>
                        <pic:spPr bwMode="auto">
                          <a:xfrm>
                            <a:off x="0" y="0"/>
                            <a:ext cx="1455978" cy="1021477"/>
                          </a:xfrm>
                          <a:prstGeom prst="rect">
                            <a:avLst/>
                          </a:prstGeom>
                          <a:noFill/>
                          <a:ln>
                            <a:noFill/>
                          </a:ln>
                        </pic:spPr>
                      </pic:pic>
                    </a:graphicData>
                  </a:graphic>
                </wp:inline>
              </w:drawing>
            </w:r>
          </w:p>
          <w:p w14:paraId="0063C69F" w14:textId="0AF355F9" w:rsidR="00BD0621" w:rsidRDefault="00BD0621" w:rsidP="00BD0621">
            <w:pPr>
              <w:jc w:val="center"/>
            </w:pPr>
            <w:r w:rsidRPr="00BD0621">
              <w:rPr>
                <w:noProof/>
              </w:rPr>
              <w:drawing>
                <wp:inline distT="0" distB="0" distL="0" distR="0" wp14:anchorId="3435DE7D" wp14:editId="11A5419F">
                  <wp:extent cx="1116012" cy="711200"/>
                  <wp:effectExtent l="0" t="0" r="8255" b="0"/>
                  <wp:docPr id="185362" name="Picture 7" descr="C:\Users\LISAN\Pictures\plantes-halophytes-xerophiles\tamaph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62" name="Picture 7" descr="C:\Users\LISAN\Pictures\plantes-halophytes-xerophiles\tamaph8.jpg"/>
                          <pic:cNvPicPr>
                            <a:picLocks noChangeAspect="1" noChangeArrowheads="1"/>
                          </pic:cNvPicPr>
                        </pic:nvPicPr>
                        <pic:blipFill>
                          <a:blip r:embed="rId4317">
                            <a:extLst>
                              <a:ext uri="{28A0092B-C50C-407E-A947-70E740481C1C}">
                                <a14:useLocalDpi xmlns:a14="http://schemas.microsoft.com/office/drawing/2010/main" val="0"/>
                              </a:ext>
                            </a:extLst>
                          </a:blip>
                          <a:srcRect/>
                          <a:stretch>
                            <a:fillRect/>
                          </a:stretch>
                        </pic:blipFill>
                        <pic:spPr bwMode="auto">
                          <a:xfrm>
                            <a:off x="0" y="0"/>
                            <a:ext cx="1116012" cy="711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2604" w:type="dxa"/>
          </w:tcPr>
          <w:p w14:paraId="0EC781E7" w14:textId="29509BAA" w:rsidR="00BD0621" w:rsidRDefault="00BD0621" w:rsidP="00BD0621">
            <w:pPr>
              <w:jc w:val="center"/>
            </w:pPr>
            <w:r w:rsidRPr="00BD0621">
              <w:rPr>
                <w:noProof/>
              </w:rPr>
              <w:drawing>
                <wp:inline distT="0" distB="0" distL="0" distR="0" wp14:anchorId="1470A1DA" wp14:editId="2904EA61">
                  <wp:extent cx="1543050" cy="1155668"/>
                  <wp:effectExtent l="0" t="0" r="0" b="6985"/>
                  <wp:docPr id="185357" name="Picture 3" descr="C:\Users\LISAN\Pictures\plantes-halophytes-xerophiles\Tamarix aphyll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57" name="Picture 3" descr="C:\Users\LISAN\Pictures\plantes-halophytes-xerophiles\Tamarix aphylla1.jpg"/>
                          <pic:cNvPicPr>
                            <a:picLocks noChangeAspect="1" noChangeArrowheads="1"/>
                          </pic:cNvPicPr>
                        </pic:nvPicPr>
                        <pic:blipFill>
                          <a:blip r:embed="rId4318">
                            <a:extLst>
                              <a:ext uri="{28A0092B-C50C-407E-A947-70E740481C1C}">
                                <a14:useLocalDpi xmlns:a14="http://schemas.microsoft.com/office/drawing/2010/main" val="0"/>
                              </a:ext>
                            </a:extLst>
                          </a:blip>
                          <a:srcRect/>
                          <a:stretch>
                            <a:fillRect/>
                          </a:stretch>
                        </pic:blipFill>
                        <pic:spPr bwMode="auto">
                          <a:xfrm>
                            <a:off x="0" y="0"/>
                            <a:ext cx="1547604" cy="1159079"/>
                          </a:xfrm>
                          <a:prstGeom prst="rect">
                            <a:avLst/>
                          </a:prstGeom>
                          <a:noFill/>
                          <a:ln>
                            <a:noFill/>
                          </a:ln>
                        </pic:spPr>
                      </pic:pic>
                    </a:graphicData>
                  </a:graphic>
                </wp:inline>
              </w:drawing>
            </w:r>
          </w:p>
        </w:tc>
        <w:tc>
          <w:tcPr>
            <w:tcW w:w="2604" w:type="dxa"/>
          </w:tcPr>
          <w:p w14:paraId="16CF40FB" w14:textId="1671672A" w:rsidR="00BD0621" w:rsidRDefault="00BD0621" w:rsidP="00BD0621">
            <w:pPr>
              <w:jc w:val="center"/>
            </w:pPr>
            <w:r w:rsidRPr="00BD0621">
              <w:rPr>
                <w:noProof/>
              </w:rPr>
              <w:drawing>
                <wp:inline distT="0" distB="0" distL="0" distR="0" wp14:anchorId="178F7294" wp14:editId="3DCBAA34">
                  <wp:extent cx="1633237" cy="1228725"/>
                  <wp:effectExtent l="0" t="0" r="5080" b="0"/>
                  <wp:docPr id="185356" name="Picture 2" descr="C:\Users\LISAN\Pictures\plantes-halophytes-xerophiles\Tamarix_articula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56" name="Picture 2" descr="C:\Users\LISAN\Pictures\plantes-halophytes-xerophiles\Tamarix_articulata.jpg"/>
                          <pic:cNvPicPr>
                            <a:picLocks noChangeAspect="1" noChangeArrowheads="1"/>
                          </pic:cNvPicPr>
                        </pic:nvPicPr>
                        <pic:blipFill>
                          <a:blip r:embed="rId4319">
                            <a:extLst>
                              <a:ext uri="{28A0092B-C50C-407E-A947-70E740481C1C}">
                                <a14:useLocalDpi xmlns:a14="http://schemas.microsoft.com/office/drawing/2010/main" val="0"/>
                              </a:ext>
                            </a:extLst>
                          </a:blip>
                          <a:srcRect/>
                          <a:stretch>
                            <a:fillRect/>
                          </a:stretch>
                        </pic:blipFill>
                        <pic:spPr bwMode="auto">
                          <a:xfrm>
                            <a:off x="0" y="0"/>
                            <a:ext cx="1635442" cy="1230384"/>
                          </a:xfrm>
                          <a:prstGeom prst="rect">
                            <a:avLst/>
                          </a:prstGeom>
                          <a:noFill/>
                          <a:ln>
                            <a:noFill/>
                          </a:ln>
                        </pic:spPr>
                      </pic:pic>
                    </a:graphicData>
                  </a:graphic>
                </wp:inline>
              </w:drawing>
            </w:r>
          </w:p>
        </w:tc>
        <w:tc>
          <w:tcPr>
            <w:tcW w:w="2604" w:type="dxa"/>
          </w:tcPr>
          <w:p w14:paraId="27FC98A9" w14:textId="7AC4413F" w:rsidR="00BD0621" w:rsidRDefault="00BD0621" w:rsidP="00BD0621">
            <w:pPr>
              <w:jc w:val="center"/>
            </w:pPr>
            <w:r w:rsidRPr="00BD0621">
              <w:rPr>
                <w:noProof/>
              </w:rPr>
              <w:drawing>
                <wp:inline distT="0" distB="0" distL="0" distR="0" wp14:anchorId="5607FEA7" wp14:editId="0BC134BF">
                  <wp:extent cx="1187450" cy="1585912"/>
                  <wp:effectExtent l="0" t="0" r="0" b="0"/>
                  <wp:docPr id="185358" name="Picture 4" descr="C:\Users\LISAN\Pictures\plantes-halophytes-xerophiles\Tamarix aphyll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58" name="Picture 4" descr="C:\Users\LISAN\Pictures\plantes-halophytes-xerophiles\Tamarix aphylla2.jpg"/>
                          <pic:cNvPicPr>
                            <a:picLocks noChangeAspect="1" noChangeArrowheads="1"/>
                          </pic:cNvPicPr>
                        </pic:nvPicPr>
                        <pic:blipFill>
                          <a:blip r:embed="rId4320">
                            <a:extLst>
                              <a:ext uri="{28A0092B-C50C-407E-A947-70E740481C1C}">
                                <a14:useLocalDpi xmlns:a14="http://schemas.microsoft.com/office/drawing/2010/main" val="0"/>
                              </a:ext>
                            </a:extLst>
                          </a:blip>
                          <a:srcRect/>
                          <a:stretch>
                            <a:fillRect/>
                          </a:stretch>
                        </pic:blipFill>
                        <pic:spPr bwMode="auto">
                          <a:xfrm>
                            <a:off x="0" y="0"/>
                            <a:ext cx="1187450" cy="15859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5386D954" w14:textId="118ED119" w:rsidR="001841A9" w:rsidRDefault="001841A9" w:rsidP="00E3395B">
      <w:pPr>
        <w:spacing w:after="0" w:line="240" w:lineRule="auto"/>
      </w:pPr>
    </w:p>
    <w:p w14:paraId="2EF86BB3" w14:textId="04F85463" w:rsidR="00E3395B" w:rsidRDefault="00E3395B" w:rsidP="00E3395B">
      <w:pPr>
        <w:pStyle w:val="Titre2"/>
      </w:pPr>
      <w:bookmarkStart w:id="396" w:name="_Toc139181686"/>
      <w:r w:rsidRPr="00E3395B">
        <w:t>Genêt blanc ou Retam blanc (</w:t>
      </w:r>
      <w:r w:rsidRPr="00E3395B">
        <w:rPr>
          <w:i/>
          <w:iCs/>
        </w:rPr>
        <w:t>Retama monosperma</w:t>
      </w:r>
      <w:r w:rsidRPr="00E3395B">
        <w:t>)</w:t>
      </w:r>
      <w:bookmarkEnd w:id="396"/>
    </w:p>
    <w:p w14:paraId="2A26F3DC" w14:textId="3C6FC18A" w:rsidR="00E3395B" w:rsidRDefault="00E3395B" w:rsidP="00E3395B">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0"/>
        <w:gridCol w:w="2407"/>
        <w:gridCol w:w="1983"/>
        <w:gridCol w:w="1378"/>
      </w:tblGrid>
      <w:tr w:rsidR="00E3395B" w:rsidRPr="000B6BE3" w14:paraId="3E39192E" w14:textId="77777777" w:rsidTr="003D7963">
        <w:tc>
          <w:tcPr>
            <w:tcW w:w="4390" w:type="dxa"/>
          </w:tcPr>
          <w:p w14:paraId="631EC7B7" w14:textId="10EA7351" w:rsidR="00E3395B" w:rsidRDefault="00E3395B" w:rsidP="003D7963">
            <w:pPr>
              <w:jc w:val="both"/>
              <w:rPr>
                <w:rFonts w:ascii="Calibri" w:hAnsi="Calibri" w:cs="Calibri"/>
                <w:bCs/>
              </w:rPr>
            </w:pPr>
            <w:r>
              <w:rPr>
                <w:rFonts w:ascii="Calibri" w:hAnsi="Calibri" w:cs="Calibri"/>
                <w:bCs/>
              </w:rPr>
              <w:t>(</w:t>
            </w:r>
            <w:r w:rsidRPr="00DE2C3A">
              <w:rPr>
                <w:rFonts w:ascii="Calibri" w:hAnsi="Calibri" w:cs="Calibri"/>
                <w:bCs/>
              </w:rPr>
              <w:t xml:space="preserve">Famille </w:t>
            </w:r>
            <w:r w:rsidRPr="00E31768">
              <w:rPr>
                <w:rFonts w:ascii="Calibri" w:hAnsi="Calibri" w:cs="Calibri"/>
                <w:i/>
                <w:iCs/>
              </w:rPr>
              <w:t>des </w:t>
            </w:r>
            <w:hyperlink r:id="rId4321" w:history="1">
              <w:r w:rsidRPr="00E3395B">
                <w:rPr>
                  <w:rStyle w:val="Lienhypertexte"/>
                  <w:i/>
                  <w:iCs/>
                </w:rPr>
                <w:t>Fabaceae</w:t>
              </w:r>
            </w:hyperlink>
            <w:r>
              <w:rPr>
                <w:rFonts w:ascii="Calibri" w:hAnsi="Calibri" w:cs="Calibri"/>
                <w:bCs/>
              </w:rPr>
              <w:t>)</w:t>
            </w:r>
            <w:r w:rsidRPr="00DE2C3A">
              <w:rPr>
                <w:rFonts w:ascii="Calibri" w:hAnsi="Calibri" w:cs="Calibri"/>
                <w:bCs/>
              </w:rPr>
              <w:t>.</w:t>
            </w:r>
          </w:p>
          <w:p w14:paraId="2EE0A840" w14:textId="77777777" w:rsidR="00E3395B" w:rsidRDefault="00E3395B" w:rsidP="003D7963">
            <w:pPr>
              <w:jc w:val="both"/>
              <w:rPr>
                <w:rFonts w:cstheme="minorHAnsi"/>
                <w:b/>
                <w:bCs/>
                <w:color w:val="FF0000"/>
              </w:rPr>
            </w:pPr>
          </w:p>
          <w:p w14:paraId="7BA360E2" w14:textId="77777777" w:rsidR="00E3395B" w:rsidRPr="000B6BE3" w:rsidRDefault="00E3395B" w:rsidP="003D7963">
            <w:pPr>
              <w:jc w:val="both"/>
              <w:rPr>
                <w:rFonts w:cstheme="minorHAnsi"/>
              </w:rPr>
            </w:pPr>
            <w:r w:rsidRPr="009A3C5B">
              <w:rPr>
                <w:rFonts w:cstheme="minorHAnsi"/>
                <w:b/>
                <w:bCs/>
                <w:color w:val="FF0000"/>
              </w:rPr>
              <w:t>Risque élevé</w:t>
            </w:r>
            <w:r>
              <w:rPr>
                <w:rFonts w:cstheme="minorHAnsi"/>
                <w:b/>
                <w:bCs/>
                <w:color w:val="FF0000"/>
              </w:rPr>
              <w:t>.</w:t>
            </w:r>
          </w:p>
        </w:tc>
        <w:tc>
          <w:tcPr>
            <w:tcW w:w="2407" w:type="dxa"/>
          </w:tcPr>
          <w:p w14:paraId="45C8C2CD" w14:textId="77777777" w:rsidR="00E3395B" w:rsidRPr="000B6BE3" w:rsidRDefault="00E3395B" w:rsidP="003D7963">
            <w:pPr>
              <w:rPr>
                <w:rFonts w:cstheme="minorHAnsi"/>
              </w:rPr>
            </w:pPr>
            <w:r w:rsidRPr="000B6BE3">
              <w:rPr>
                <w:rFonts w:cstheme="minorHAnsi"/>
                <w:noProof/>
              </w:rPr>
              <w:t xml:space="preserve">  </w:t>
            </w:r>
            <w:r>
              <w:rPr>
                <w:rFonts w:cstheme="minorHAnsi"/>
                <w:noProof/>
              </w:rPr>
              <w:t xml:space="preserve">      </w:t>
            </w:r>
            <w:r w:rsidRPr="005C50C9">
              <w:rPr>
                <w:rFonts w:cstheme="minorHAnsi"/>
                <w:noProof/>
              </w:rPr>
              <w:drawing>
                <wp:inline distT="0" distB="0" distL="0" distR="0" wp14:anchorId="2F87D8B9" wp14:editId="0991F0FA">
                  <wp:extent cx="495300" cy="666750"/>
                  <wp:effectExtent l="0" t="0" r="0" b="0"/>
                  <wp:docPr id="52230" name="Image 15"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8" name="Image 15" descr="logo aride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r w:rsidRPr="008F2681">
              <w:rPr>
                <w:rFonts w:cstheme="minorHAnsi"/>
                <w:noProof/>
              </w:rPr>
              <w:drawing>
                <wp:inline distT="0" distB="0" distL="0" distR="0" wp14:anchorId="3ED64A09" wp14:editId="3DE32358">
                  <wp:extent cx="463550" cy="661988"/>
                  <wp:effectExtent l="0" t="0" r="0" b="5080"/>
                  <wp:docPr id="52232"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w:t>
            </w:r>
          </w:p>
        </w:tc>
        <w:tc>
          <w:tcPr>
            <w:tcW w:w="1983" w:type="dxa"/>
          </w:tcPr>
          <w:p w14:paraId="41E60053" w14:textId="5C760EAD" w:rsidR="00E3395B" w:rsidRPr="00A47184" w:rsidRDefault="00E3395B" w:rsidP="003D7963">
            <w:pPr>
              <w:rPr>
                <w:rFonts w:cstheme="minorHAnsi"/>
                <w:sz w:val="40"/>
                <w:szCs w:val="40"/>
              </w:rPr>
            </w:pPr>
            <w:r w:rsidRPr="00A47184">
              <w:rPr>
                <w:rFonts w:eastAsia="+mn-ea" w:cstheme="minorHAnsi"/>
                <w:b/>
                <w:bCs/>
                <w:color w:val="008000"/>
                <w:kern w:val="24"/>
                <w:sz w:val="40"/>
                <w:szCs w:val="40"/>
              </w:rPr>
              <w:t>↗</w:t>
            </w:r>
            <w:r>
              <w:rPr>
                <w:rFonts w:eastAsia="+mn-ea" w:cstheme="minorHAnsi"/>
                <w:b/>
                <w:bCs/>
                <w:color w:val="008000"/>
                <w:kern w:val="24"/>
                <w:sz w:val="40"/>
                <w:szCs w:val="40"/>
              </w:rPr>
              <w:t xml:space="preserve"> </w:t>
            </w:r>
            <w:r w:rsidRPr="00E3395B">
              <w:rPr>
                <w:rFonts w:eastAsia="+mn-ea" w:cstheme="minorHAnsi"/>
                <w:b/>
                <w:bCs/>
                <w:noProof/>
                <w:color w:val="008000"/>
                <w:kern w:val="24"/>
                <w:sz w:val="40"/>
                <w:szCs w:val="40"/>
              </w:rPr>
              <w:drawing>
                <wp:inline distT="0" distB="0" distL="0" distR="0" wp14:anchorId="381DF7F6" wp14:editId="70BE6E88">
                  <wp:extent cx="285750" cy="358775"/>
                  <wp:effectExtent l="0" t="0" r="0" b="3175"/>
                  <wp:docPr id="187414" name="Picture 2" descr="toxic-2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14" name="Picture 2" descr="toxic-2ss"/>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85750"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378" w:type="dxa"/>
          </w:tcPr>
          <w:p w14:paraId="2FA73F6E" w14:textId="77777777" w:rsidR="00E3395B" w:rsidRPr="000B6BE3" w:rsidRDefault="00E3395B" w:rsidP="003D7963">
            <w:pPr>
              <w:rPr>
                <w:rFonts w:cstheme="minorHAnsi"/>
              </w:rPr>
            </w:pPr>
            <w:r w:rsidRPr="00DE60FE">
              <w:rPr>
                <w:rFonts w:cstheme="minorHAnsi"/>
                <w:noProof/>
              </w:rPr>
              <w:drawing>
                <wp:inline distT="0" distB="0" distL="0" distR="0" wp14:anchorId="4DCFCC45" wp14:editId="37DC6316">
                  <wp:extent cx="457200" cy="457200"/>
                  <wp:effectExtent l="0" t="0" r="0" b="0"/>
                  <wp:docPr id="52233" name="Picture 16" descr="C:\Users\LISAN\Pictures\Plantes fourragères\logo invasive plants5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26" name="Picture 16" descr="C:\Users\LISAN\Pictures\Plantes fourragères\logo invasive plants5_s.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26609AC9" w14:textId="77777777" w:rsidR="00E3395B" w:rsidRDefault="00E3395B" w:rsidP="00E3395B">
      <w:pPr>
        <w:spacing w:after="0" w:line="240" w:lineRule="auto"/>
      </w:pPr>
    </w:p>
    <w:p w14:paraId="12DE0DCA" w14:textId="7DFF2C05" w:rsidR="00E3395B" w:rsidRPr="00E3395B" w:rsidRDefault="00E3395B" w:rsidP="00E3395B">
      <w:pPr>
        <w:spacing w:after="0" w:line="240" w:lineRule="auto"/>
        <w:jc w:val="both"/>
      </w:pPr>
      <w:r w:rsidRPr="00E3395B">
        <w:rPr>
          <w:u w:val="single"/>
        </w:rPr>
        <w:t>Description</w:t>
      </w:r>
      <w:r>
        <w:t> : Encore appelé</w:t>
      </w:r>
      <w:r w:rsidRPr="00E3395B">
        <w:t> </w:t>
      </w:r>
      <w:r w:rsidRPr="00E3395B">
        <w:rPr>
          <w:i/>
          <w:iCs/>
        </w:rPr>
        <w:t>Rtem</w:t>
      </w:r>
      <w:r w:rsidRPr="00E3395B">
        <w:t> (en arabe)</w:t>
      </w:r>
      <w:r>
        <w:t>,</w:t>
      </w:r>
      <w:r w:rsidRPr="00E3395B">
        <w:t xml:space="preserve"> </w:t>
      </w:r>
      <w:r>
        <w:t>c’</w:t>
      </w:r>
      <w:r w:rsidRPr="00E3395B">
        <w:t>est un arbuste monoïque pouvant former d'épais buissons et atteindre 6 m de haut.</w:t>
      </w:r>
      <w:r>
        <w:t xml:space="preserve"> </w:t>
      </w:r>
      <w:r w:rsidRPr="00E3395B">
        <w:t>Les jeunes sont soyeux d'un vert argenté à gris argenté. Une nuée de minuscules fleurs blanches (+ ou -1cm) semblables à des fleurs de pois sont réparties sur de courts </w:t>
      </w:r>
      <w:hyperlink r:id="rId4322" w:history="1">
        <w:r w:rsidRPr="00E3395B">
          <w:rPr>
            <w:rStyle w:val="Lienhypertexte"/>
          </w:rPr>
          <w:t>racèmes</w:t>
        </w:r>
      </w:hyperlink>
      <w:r w:rsidRPr="00E3395B">
        <w:t> (grappes). La floraison est longue : elle va de la fin hiver à début du printemps selon le climat (et le lieu), très parfumée. Le fruit est un petit légume (une </w:t>
      </w:r>
      <w:hyperlink r:id="rId4323" w:history="1">
        <w:r w:rsidRPr="00E3395B">
          <w:rPr>
            <w:rStyle w:val="Lienhypertexte"/>
          </w:rPr>
          <w:t>gousse</w:t>
        </w:r>
      </w:hyperlink>
      <w:r w:rsidRPr="00E3395B">
        <w:t xml:space="preserve">) court, </w:t>
      </w:r>
      <w:r w:rsidRPr="00E3395B">
        <w:rPr>
          <w:i/>
          <w:iCs/>
        </w:rPr>
        <w:t>contenant une graine toxique, parfois deux. Elles contiennent de la </w:t>
      </w:r>
      <w:hyperlink r:id="rId4324" w:history="1">
        <w:r w:rsidRPr="00E3395B">
          <w:rPr>
            <w:rStyle w:val="Lienhypertexte"/>
            <w:i/>
            <w:iCs/>
          </w:rPr>
          <w:t>cytisine</w:t>
        </w:r>
      </w:hyperlink>
      <w:r w:rsidRPr="00E3395B">
        <w:rPr>
          <w:i/>
          <w:iCs/>
        </w:rPr>
        <w:t>, un </w:t>
      </w:r>
      <w:hyperlink r:id="rId4325" w:history="1">
        <w:r w:rsidRPr="00E3395B">
          <w:rPr>
            <w:rStyle w:val="Lienhypertexte"/>
            <w:i/>
            <w:iCs/>
          </w:rPr>
          <w:t>alcaloïde</w:t>
        </w:r>
      </w:hyperlink>
      <w:r w:rsidRPr="00E3395B">
        <w:rPr>
          <w:i/>
          <w:iCs/>
        </w:rPr>
        <w:t> toxique</w:t>
      </w:r>
      <w:r w:rsidRPr="00E3395B">
        <w:t>.</w:t>
      </w:r>
    </w:p>
    <w:p w14:paraId="6BC3BA40" w14:textId="6851C8E6" w:rsidR="00E3395B" w:rsidRPr="00E3395B" w:rsidRDefault="0017084C" w:rsidP="00E3395B">
      <w:pPr>
        <w:spacing w:after="0" w:line="240" w:lineRule="auto"/>
        <w:jc w:val="both"/>
      </w:pPr>
      <w:r w:rsidRPr="0017084C">
        <w:rPr>
          <w:u w:val="single"/>
        </w:rPr>
        <w:t>Plante invasive</w:t>
      </w:r>
      <w:r w:rsidRPr="0017084C">
        <w:t xml:space="preserve"> : </w:t>
      </w:r>
      <w:r w:rsidR="00E3395B" w:rsidRPr="00E3395B">
        <w:t>Hors de son aire méditerranéenne, c'est une </w:t>
      </w:r>
      <w:hyperlink r:id="rId4326" w:history="1">
        <w:r w:rsidR="00E3395B" w:rsidRPr="00E3395B">
          <w:rPr>
            <w:rStyle w:val="Lienhypertexte"/>
          </w:rPr>
          <w:t>espèce envahissante</w:t>
        </w:r>
      </w:hyperlink>
      <w:r>
        <w:t>,</w:t>
      </w:r>
      <w:r w:rsidR="00E3395B" w:rsidRPr="00E3395B">
        <w:t xml:space="preserve"> interdite dans certains pays (Australie, Etats-Unis).</w:t>
      </w:r>
    </w:p>
    <w:p w14:paraId="4ECD081C" w14:textId="7ACDFFEE" w:rsidR="00E3395B" w:rsidRPr="00E3395B" w:rsidRDefault="00E3395B" w:rsidP="00E3395B">
      <w:pPr>
        <w:spacing w:after="0" w:line="240" w:lineRule="auto"/>
        <w:jc w:val="both"/>
      </w:pPr>
      <w:r w:rsidRPr="00E3395B">
        <w:rPr>
          <w:u w:val="single"/>
        </w:rPr>
        <w:t>Habitat / écologie</w:t>
      </w:r>
      <w:r>
        <w:t xml:space="preserve"> : </w:t>
      </w:r>
      <w:r w:rsidRPr="00E3395B">
        <w:t xml:space="preserve">Il affectionne les sols pauvres (grâce aux nodosités à </w:t>
      </w:r>
      <w:r w:rsidRPr="00E3395B">
        <w:rPr>
          <w:i/>
          <w:iCs/>
        </w:rPr>
        <w:t>Rhizobium</w:t>
      </w:r>
      <w:r w:rsidRPr="00E3395B">
        <w:t xml:space="preserve">, il synthétise des composés azotés). Il demande un sol surtout très bien drainé même sablonneux </w:t>
      </w:r>
      <w:r w:rsidRPr="00E3395B">
        <w:rPr>
          <w:b/>
          <w:bCs/>
        </w:rPr>
        <w:t>à forte salinité</w:t>
      </w:r>
      <w:r w:rsidRPr="00E3395B">
        <w:t xml:space="preserve">. C'est un végétal couramment utilisé pour fixer les dunes. C'est une plante de soleil, voire de mi-ombre. Cette plante ne tolère pas le gel, sauf de courtes expositions ne dépassant pas - 6 °C. Ceci l'exclut de la région méditerranéenne française comme plante fixatrice de dunes de sable. </w:t>
      </w:r>
    </w:p>
    <w:p w14:paraId="2ABCF284" w14:textId="7EE59CFA" w:rsidR="00E3395B" w:rsidRPr="00E3395B" w:rsidRDefault="00E3395B" w:rsidP="00E3395B">
      <w:pPr>
        <w:spacing w:after="0" w:line="240" w:lineRule="auto"/>
        <w:jc w:val="both"/>
      </w:pPr>
      <w:r w:rsidRPr="00E3395B">
        <w:rPr>
          <w:u w:val="single"/>
        </w:rPr>
        <w:t>Usage</w:t>
      </w:r>
      <w:r>
        <w:t xml:space="preserve"> : </w:t>
      </w:r>
      <w:r w:rsidRPr="00E3395B">
        <w:t>Ses belles fleurs blanches en ont fait un arbre recherché par les fleuristes. Il faut chercher là l'origine de sa dispersion mondiale et de son introduction comme plante d'ornement. Plante adaptée aux jardins secs.</w:t>
      </w:r>
    </w:p>
    <w:p w14:paraId="2DB06B5A" w14:textId="77777777" w:rsidR="00E3395B" w:rsidRPr="00E3395B" w:rsidRDefault="00E3395B" w:rsidP="00E3395B">
      <w:pPr>
        <w:spacing w:after="0" w:line="240" w:lineRule="auto"/>
      </w:pPr>
      <w:r w:rsidRPr="00E3395B">
        <w:t xml:space="preserve">Sources : a) </w:t>
      </w:r>
      <w:hyperlink r:id="rId4327" w:history="1">
        <w:r w:rsidRPr="00E3395B">
          <w:rPr>
            <w:rStyle w:val="Lienhypertexte"/>
          </w:rPr>
          <w:t>http://fr.wikipedia.org/wiki/Retama_monosperma</w:t>
        </w:r>
      </w:hyperlink>
      <w:r w:rsidRPr="00E3395B">
        <w:t xml:space="preserve">, b) </w:t>
      </w:r>
      <w:hyperlink r:id="rId4328" w:history="1">
        <w:r w:rsidRPr="00E3395B">
          <w:rPr>
            <w:rStyle w:val="Lienhypertexte"/>
          </w:rPr>
          <w:t>https://www6.sophia.inra.fr/jardin_thuret/Visite-virtuelle/Parcours-Plantes-aromatiques/Plantes-a-parfum/Retama-monosperma</w:t>
        </w:r>
      </w:hyperlink>
      <w:r w:rsidRPr="00E3395B">
        <w:t xml:space="preserve">  </w:t>
      </w:r>
    </w:p>
    <w:p w14:paraId="6F12DF89" w14:textId="1CD20BAD" w:rsidR="00E3395B" w:rsidRDefault="00E3395B" w:rsidP="00E3395B">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56"/>
        <w:gridCol w:w="3486"/>
        <w:gridCol w:w="2884"/>
      </w:tblGrid>
      <w:tr w:rsidR="0017084C" w14:paraId="32C366E2" w14:textId="77777777" w:rsidTr="0017084C">
        <w:tc>
          <w:tcPr>
            <w:tcW w:w="3472" w:type="dxa"/>
          </w:tcPr>
          <w:p w14:paraId="633F200B" w14:textId="11B5314B" w:rsidR="0017084C" w:rsidRDefault="0017084C" w:rsidP="0017084C">
            <w:pPr>
              <w:jc w:val="center"/>
            </w:pPr>
            <w:r w:rsidRPr="0017084C">
              <w:rPr>
                <w:noProof/>
              </w:rPr>
              <w:drawing>
                <wp:inline distT="0" distB="0" distL="0" distR="0" wp14:anchorId="6F30D120" wp14:editId="3ED3B262">
                  <wp:extent cx="2430463" cy="1631950"/>
                  <wp:effectExtent l="0" t="0" r="8255" b="6350"/>
                  <wp:docPr id="187413" name="Picture 11" descr="C:\Users\LISAN\Pictures\Plantes fourragères\Retama monosperm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13" name="Picture 11" descr="C:\Users\LISAN\Pictures\Plantes fourragères\Retama monosperma2.jpg"/>
                          <pic:cNvPicPr>
                            <a:picLocks noChangeAspect="1" noChangeArrowheads="1"/>
                          </pic:cNvPicPr>
                        </pic:nvPicPr>
                        <pic:blipFill>
                          <a:blip r:embed="rId4329">
                            <a:extLst>
                              <a:ext uri="{28A0092B-C50C-407E-A947-70E740481C1C}">
                                <a14:useLocalDpi xmlns:a14="http://schemas.microsoft.com/office/drawing/2010/main" val="0"/>
                              </a:ext>
                            </a:extLst>
                          </a:blip>
                          <a:srcRect/>
                          <a:stretch>
                            <a:fillRect/>
                          </a:stretch>
                        </pic:blipFill>
                        <pic:spPr bwMode="auto">
                          <a:xfrm>
                            <a:off x="0" y="0"/>
                            <a:ext cx="2430463" cy="163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010274C6" w14:textId="77777777" w:rsidR="0017084C" w:rsidRDefault="0017084C" w:rsidP="0017084C">
            <w:pPr>
              <w:jc w:val="center"/>
            </w:pPr>
            <w:r w:rsidRPr="0017084C">
              <w:rPr>
                <w:noProof/>
              </w:rPr>
              <w:drawing>
                <wp:inline distT="0" distB="0" distL="0" distR="0" wp14:anchorId="6F0DA1BC" wp14:editId="7902AAB2">
                  <wp:extent cx="1781175" cy="2205037"/>
                  <wp:effectExtent l="0" t="0" r="0" b="5080"/>
                  <wp:docPr id="187409" name="Picture 6" descr="C:\Users\LISAN\Pictures\Plantes fourragères\Retama monosperm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09" name="Picture 6" descr="C:\Users\LISAN\Pictures\Plantes fourragères\Retama monosperma7.jpg"/>
                          <pic:cNvPicPr>
                            <a:picLocks noChangeAspect="1" noChangeArrowheads="1"/>
                          </pic:cNvPicPr>
                        </pic:nvPicPr>
                        <pic:blipFill>
                          <a:blip r:embed="rId4330">
                            <a:extLst>
                              <a:ext uri="{28A0092B-C50C-407E-A947-70E740481C1C}">
                                <a14:useLocalDpi xmlns:a14="http://schemas.microsoft.com/office/drawing/2010/main" val="0"/>
                              </a:ext>
                            </a:extLst>
                          </a:blip>
                          <a:srcRect/>
                          <a:stretch>
                            <a:fillRect/>
                          </a:stretch>
                        </pic:blipFill>
                        <pic:spPr bwMode="auto">
                          <a:xfrm>
                            <a:off x="0" y="0"/>
                            <a:ext cx="1781175" cy="22050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7BD400F" w14:textId="3BD1F721" w:rsidR="0017084C" w:rsidRDefault="0017084C" w:rsidP="0017084C">
            <w:pPr>
              <w:jc w:val="center"/>
            </w:pPr>
          </w:p>
        </w:tc>
        <w:tc>
          <w:tcPr>
            <w:tcW w:w="3472" w:type="dxa"/>
          </w:tcPr>
          <w:p w14:paraId="578EEBCA" w14:textId="77777777" w:rsidR="0017084C" w:rsidRDefault="0017084C" w:rsidP="0017084C">
            <w:pPr>
              <w:jc w:val="center"/>
            </w:pPr>
            <w:r w:rsidRPr="0017084C">
              <w:rPr>
                <w:noProof/>
              </w:rPr>
              <w:drawing>
                <wp:inline distT="0" distB="0" distL="0" distR="0" wp14:anchorId="05B6BA7C" wp14:editId="4E1CECA8">
                  <wp:extent cx="1541462" cy="1155700"/>
                  <wp:effectExtent l="0" t="0" r="1905" b="6350"/>
                  <wp:docPr id="187412" name="Picture 10" descr="C:\Users\LISAN\Pictures\Plantes fourragères\Retama monosperm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12" name="Picture 10" descr="C:\Users\LISAN\Pictures\Plantes fourragères\Retama monosperma3.jpg"/>
                          <pic:cNvPicPr>
                            <a:picLocks noChangeAspect="1" noChangeArrowheads="1"/>
                          </pic:cNvPicPr>
                        </pic:nvPicPr>
                        <pic:blipFill>
                          <a:blip r:embed="rId4331">
                            <a:extLst>
                              <a:ext uri="{28A0092B-C50C-407E-A947-70E740481C1C}">
                                <a14:useLocalDpi xmlns:a14="http://schemas.microsoft.com/office/drawing/2010/main" val="0"/>
                              </a:ext>
                            </a:extLst>
                          </a:blip>
                          <a:srcRect/>
                          <a:stretch>
                            <a:fillRect/>
                          </a:stretch>
                        </pic:blipFill>
                        <pic:spPr bwMode="auto">
                          <a:xfrm>
                            <a:off x="0" y="0"/>
                            <a:ext cx="1541462" cy="1155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24F2ECF" w14:textId="676CE4B5" w:rsidR="0017084C" w:rsidRDefault="0017084C" w:rsidP="0017084C">
            <w:pPr>
              <w:jc w:val="center"/>
            </w:pPr>
          </w:p>
        </w:tc>
      </w:tr>
      <w:tr w:rsidR="0017084C" w14:paraId="24A2C2FF" w14:textId="77777777" w:rsidTr="0017084C">
        <w:tc>
          <w:tcPr>
            <w:tcW w:w="3472" w:type="dxa"/>
          </w:tcPr>
          <w:p w14:paraId="6A3D3DAD" w14:textId="77777777" w:rsidR="0017084C" w:rsidRDefault="0017084C" w:rsidP="0017084C">
            <w:pPr>
              <w:jc w:val="center"/>
            </w:pPr>
            <w:r w:rsidRPr="0017084C">
              <w:rPr>
                <w:noProof/>
              </w:rPr>
              <w:drawing>
                <wp:inline distT="0" distB="0" distL="0" distR="0" wp14:anchorId="22ABA521" wp14:editId="2DEAA227">
                  <wp:extent cx="2232025" cy="1671637"/>
                  <wp:effectExtent l="0" t="0" r="0" b="5080"/>
                  <wp:docPr id="187411" name="Picture 9" descr="C:\Users\LISAN\Pictures\Plantes fourragères\Retama monosperm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11" name="Picture 9" descr="C:\Users\LISAN\Pictures\Plantes fourragères\Retama monosperma4.jpg"/>
                          <pic:cNvPicPr>
                            <a:picLocks noChangeAspect="1" noChangeArrowheads="1"/>
                          </pic:cNvPicPr>
                        </pic:nvPicPr>
                        <pic:blipFill>
                          <a:blip r:embed="rId4332">
                            <a:extLst>
                              <a:ext uri="{28A0092B-C50C-407E-A947-70E740481C1C}">
                                <a14:useLocalDpi xmlns:a14="http://schemas.microsoft.com/office/drawing/2010/main" val="0"/>
                              </a:ext>
                            </a:extLst>
                          </a:blip>
                          <a:srcRect/>
                          <a:stretch>
                            <a:fillRect/>
                          </a:stretch>
                        </pic:blipFill>
                        <pic:spPr bwMode="auto">
                          <a:xfrm>
                            <a:off x="0" y="0"/>
                            <a:ext cx="2232025" cy="1671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D4EC1FA" w14:textId="564683DB" w:rsidR="0017084C" w:rsidRDefault="0017084C" w:rsidP="0017084C">
            <w:pPr>
              <w:jc w:val="center"/>
            </w:pPr>
          </w:p>
        </w:tc>
        <w:tc>
          <w:tcPr>
            <w:tcW w:w="3472" w:type="dxa"/>
          </w:tcPr>
          <w:p w14:paraId="21743E15" w14:textId="0A475637" w:rsidR="0017084C" w:rsidRDefault="0017084C" w:rsidP="0017084C">
            <w:pPr>
              <w:jc w:val="center"/>
            </w:pPr>
            <w:r w:rsidRPr="0017084C">
              <w:rPr>
                <w:noProof/>
              </w:rPr>
              <w:drawing>
                <wp:inline distT="0" distB="0" distL="0" distR="0" wp14:anchorId="6DC3361F" wp14:editId="750041AA">
                  <wp:extent cx="2068512" cy="1557337"/>
                  <wp:effectExtent l="0" t="0" r="8255" b="5080"/>
                  <wp:docPr id="187410" name="Picture 8" descr="C:\Users\LISAN\Pictures\Plantes fourragères\Retama monosperm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10" name="Picture 8" descr="C:\Users\LISAN\Pictures\Plantes fourragères\Retama monosperma5.jpg"/>
                          <pic:cNvPicPr>
                            <a:picLocks noChangeAspect="1" noChangeArrowheads="1"/>
                          </pic:cNvPicPr>
                        </pic:nvPicPr>
                        <pic:blipFill>
                          <a:blip r:embed="rId4333">
                            <a:extLst>
                              <a:ext uri="{28A0092B-C50C-407E-A947-70E740481C1C}">
                                <a14:useLocalDpi xmlns:a14="http://schemas.microsoft.com/office/drawing/2010/main" val="0"/>
                              </a:ext>
                            </a:extLst>
                          </a:blip>
                          <a:srcRect/>
                          <a:stretch>
                            <a:fillRect/>
                          </a:stretch>
                        </pic:blipFill>
                        <pic:spPr bwMode="auto">
                          <a:xfrm>
                            <a:off x="0" y="0"/>
                            <a:ext cx="2068512" cy="15573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037E7031" w14:textId="5FB98439" w:rsidR="0017084C" w:rsidRDefault="0017084C" w:rsidP="0017084C">
            <w:pPr>
              <w:jc w:val="center"/>
            </w:pPr>
            <w:r w:rsidRPr="0017084C">
              <w:rPr>
                <w:noProof/>
              </w:rPr>
              <w:drawing>
                <wp:inline distT="0" distB="0" distL="0" distR="0" wp14:anchorId="6B127B16" wp14:editId="3F08E8EA">
                  <wp:extent cx="1646238" cy="1093788"/>
                  <wp:effectExtent l="0" t="0" r="0" b="0"/>
                  <wp:docPr id="187407" name="Picture 4" descr="C:\Users\LISAN\Pictures\Plantes fourragères\Retama monosperma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07" name="Picture 4" descr="C:\Users\LISAN\Pictures\Plantes fourragères\Retama monosperma9.jpg"/>
                          <pic:cNvPicPr>
                            <a:picLocks noChangeAspect="1" noChangeArrowheads="1"/>
                          </pic:cNvPicPr>
                        </pic:nvPicPr>
                        <pic:blipFill>
                          <a:blip r:embed="rId4334">
                            <a:extLst>
                              <a:ext uri="{28A0092B-C50C-407E-A947-70E740481C1C}">
                                <a14:useLocalDpi xmlns:a14="http://schemas.microsoft.com/office/drawing/2010/main" val="0"/>
                              </a:ext>
                            </a:extLst>
                          </a:blip>
                          <a:srcRect/>
                          <a:stretch>
                            <a:fillRect/>
                          </a:stretch>
                        </pic:blipFill>
                        <pic:spPr bwMode="auto">
                          <a:xfrm>
                            <a:off x="0" y="0"/>
                            <a:ext cx="1646238" cy="10937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17084C" w14:paraId="619F6BAB" w14:textId="77777777" w:rsidTr="0017084C">
        <w:tc>
          <w:tcPr>
            <w:tcW w:w="3472" w:type="dxa"/>
          </w:tcPr>
          <w:p w14:paraId="131F7726" w14:textId="5044D8A1" w:rsidR="0017084C" w:rsidRDefault="0017084C" w:rsidP="0017084C">
            <w:pPr>
              <w:jc w:val="center"/>
            </w:pPr>
            <w:r w:rsidRPr="0017084C">
              <w:rPr>
                <w:noProof/>
              </w:rPr>
              <w:drawing>
                <wp:inline distT="0" distB="0" distL="0" distR="0" wp14:anchorId="7C3765F7" wp14:editId="744F9E87">
                  <wp:extent cx="1692275" cy="1268413"/>
                  <wp:effectExtent l="0" t="0" r="3175" b="8255"/>
                  <wp:docPr id="187405" name="Picture 2" descr="C:\Users\LISAN\Pictures\Plantes fourragères\Retama monosperm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05" name="Picture 2" descr="C:\Users\LISAN\Pictures\Plantes fourragères\Retama monosperma1.jpg"/>
                          <pic:cNvPicPr>
                            <a:picLocks noChangeAspect="1" noChangeArrowheads="1"/>
                          </pic:cNvPicPr>
                        </pic:nvPicPr>
                        <pic:blipFill>
                          <a:blip r:embed="rId4335">
                            <a:extLst>
                              <a:ext uri="{28A0092B-C50C-407E-A947-70E740481C1C}">
                                <a14:useLocalDpi xmlns:a14="http://schemas.microsoft.com/office/drawing/2010/main" val="0"/>
                              </a:ext>
                            </a:extLst>
                          </a:blip>
                          <a:srcRect/>
                          <a:stretch>
                            <a:fillRect/>
                          </a:stretch>
                        </pic:blipFill>
                        <pic:spPr bwMode="auto">
                          <a:xfrm>
                            <a:off x="0" y="0"/>
                            <a:ext cx="1692275" cy="12684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392A9D5C" w14:textId="7DCC88CC" w:rsidR="0017084C" w:rsidRDefault="0017084C" w:rsidP="0017084C">
            <w:pPr>
              <w:jc w:val="center"/>
            </w:pPr>
            <w:r w:rsidRPr="0017084C">
              <w:rPr>
                <w:noProof/>
              </w:rPr>
              <w:drawing>
                <wp:inline distT="0" distB="0" distL="0" distR="0" wp14:anchorId="2AA8FBE3" wp14:editId="2FD3FE05">
                  <wp:extent cx="1511300" cy="1006475"/>
                  <wp:effectExtent l="0" t="0" r="0" b="3175"/>
                  <wp:docPr id="187408" name="Picture 5" descr="C:\Users\LISAN\Pictures\Plantes fourragères\Retama monosperm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08" name="Picture 5" descr="C:\Users\LISAN\Pictures\Plantes fourragères\Retama monosperma8.jpg"/>
                          <pic:cNvPicPr>
                            <a:picLocks noChangeAspect="1" noChangeArrowheads="1"/>
                          </pic:cNvPicPr>
                        </pic:nvPicPr>
                        <pic:blipFill>
                          <a:blip r:embed="rId4336">
                            <a:extLst>
                              <a:ext uri="{28A0092B-C50C-407E-A947-70E740481C1C}">
                                <a14:useLocalDpi xmlns:a14="http://schemas.microsoft.com/office/drawing/2010/main" val="0"/>
                              </a:ext>
                            </a:extLst>
                          </a:blip>
                          <a:srcRect/>
                          <a:stretch>
                            <a:fillRect/>
                          </a:stretch>
                        </pic:blipFill>
                        <pic:spPr bwMode="auto">
                          <a:xfrm>
                            <a:off x="0" y="0"/>
                            <a:ext cx="1511300" cy="1006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32E3A0DF" w14:textId="45ABD367" w:rsidR="0017084C" w:rsidRDefault="0017084C" w:rsidP="0017084C">
            <w:pPr>
              <w:jc w:val="center"/>
            </w:pPr>
            <w:r w:rsidRPr="0017084C">
              <w:rPr>
                <w:noProof/>
              </w:rPr>
              <w:drawing>
                <wp:inline distT="0" distB="0" distL="0" distR="0" wp14:anchorId="6BD9FA85" wp14:editId="246CB3EF">
                  <wp:extent cx="1368425" cy="909637"/>
                  <wp:effectExtent l="0" t="0" r="3175" b="5080"/>
                  <wp:docPr id="187406" name="Picture 3" descr="C:\Users\LISAN\Pictures\Plantes fourragères\Retama monosperma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06" name="Picture 3" descr="C:\Users\LISAN\Pictures\Plantes fourragères\Retama monosperma10.jpg"/>
                          <pic:cNvPicPr>
                            <a:picLocks noChangeAspect="1" noChangeArrowheads="1"/>
                          </pic:cNvPicPr>
                        </pic:nvPicPr>
                        <pic:blipFill>
                          <a:blip r:embed="rId4337">
                            <a:extLst>
                              <a:ext uri="{28A0092B-C50C-407E-A947-70E740481C1C}">
                                <a14:useLocalDpi xmlns:a14="http://schemas.microsoft.com/office/drawing/2010/main" val="0"/>
                              </a:ext>
                            </a:extLst>
                          </a:blip>
                          <a:srcRect/>
                          <a:stretch>
                            <a:fillRect/>
                          </a:stretch>
                        </pic:blipFill>
                        <pic:spPr bwMode="auto">
                          <a:xfrm>
                            <a:off x="0" y="0"/>
                            <a:ext cx="1368425" cy="909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4116A6AB" w14:textId="555D36EE" w:rsidR="00E3395B" w:rsidRDefault="00E3395B" w:rsidP="0017084C">
      <w:pPr>
        <w:spacing w:after="0" w:line="240" w:lineRule="auto"/>
      </w:pPr>
    </w:p>
    <w:p w14:paraId="74113DDF" w14:textId="429A0569" w:rsidR="0017084C" w:rsidRDefault="008B4E7B" w:rsidP="008B4E7B">
      <w:pPr>
        <w:pStyle w:val="Titre2"/>
      </w:pPr>
      <w:bookmarkStart w:id="397" w:name="_Toc139181687"/>
      <w:r w:rsidRPr="008B4E7B">
        <w:t>Typha ou massette (</w:t>
      </w:r>
      <w:r w:rsidRPr="008B4E7B">
        <w:rPr>
          <w:i/>
          <w:iCs/>
        </w:rPr>
        <w:t>Typha sp</w:t>
      </w:r>
      <w:r w:rsidRPr="008B4E7B">
        <w:t>.)</w:t>
      </w:r>
      <w:bookmarkEnd w:id="397"/>
    </w:p>
    <w:p w14:paraId="0C5E7A94" w14:textId="29CE7380" w:rsidR="008B4E7B" w:rsidRDefault="008B4E7B" w:rsidP="008B4E7B">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0"/>
        <w:gridCol w:w="2407"/>
        <w:gridCol w:w="1983"/>
        <w:gridCol w:w="1378"/>
      </w:tblGrid>
      <w:tr w:rsidR="008B4E7B" w:rsidRPr="000B6BE3" w14:paraId="5EDDC0C5" w14:textId="77777777" w:rsidTr="003D7963">
        <w:tc>
          <w:tcPr>
            <w:tcW w:w="4390" w:type="dxa"/>
          </w:tcPr>
          <w:p w14:paraId="2B92A7F7" w14:textId="6AC6F333" w:rsidR="008B4E7B" w:rsidRDefault="008B4E7B" w:rsidP="003D7963">
            <w:pPr>
              <w:jc w:val="both"/>
              <w:rPr>
                <w:rFonts w:ascii="Calibri" w:hAnsi="Calibri" w:cs="Calibri"/>
                <w:bCs/>
              </w:rPr>
            </w:pPr>
            <w:r>
              <w:rPr>
                <w:rFonts w:ascii="Calibri" w:hAnsi="Calibri" w:cs="Calibri"/>
                <w:bCs/>
              </w:rPr>
              <w:t>(</w:t>
            </w:r>
            <w:r w:rsidRPr="00DE2C3A">
              <w:rPr>
                <w:rFonts w:ascii="Calibri" w:hAnsi="Calibri" w:cs="Calibri"/>
                <w:bCs/>
              </w:rPr>
              <w:t xml:space="preserve">Famille </w:t>
            </w:r>
            <w:r w:rsidRPr="00E31768">
              <w:rPr>
                <w:rFonts w:ascii="Calibri" w:hAnsi="Calibri" w:cs="Calibri"/>
                <w:i/>
                <w:iCs/>
              </w:rPr>
              <w:t>des </w:t>
            </w:r>
            <w:hyperlink r:id="rId4338" w:history="1">
              <w:r w:rsidRPr="008B4E7B">
                <w:rPr>
                  <w:rStyle w:val="Lienhypertexte"/>
                  <w:rFonts w:ascii="Calibri" w:hAnsi="Calibri" w:cs="Calibri"/>
                  <w:i/>
                  <w:iCs/>
                  <w:color w:val="0645AD"/>
                  <w:shd w:val="clear" w:color="auto" w:fill="F9F9F9"/>
                </w:rPr>
                <w:t>Typhaceae</w:t>
              </w:r>
            </w:hyperlink>
            <w:r w:rsidRPr="008B4E7B">
              <w:rPr>
                <w:rFonts w:ascii="Calibri" w:hAnsi="Calibri" w:cs="Calibri"/>
                <w:bCs/>
              </w:rPr>
              <w:t>)</w:t>
            </w:r>
            <w:r w:rsidRPr="00DE2C3A">
              <w:rPr>
                <w:rFonts w:ascii="Calibri" w:hAnsi="Calibri" w:cs="Calibri"/>
                <w:bCs/>
              </w:rPr>
              <w:t>.</w:t>
            </w:r>
          </w:p>
          <w:p w14:paraId="6D6CEB0E" w14:textId="021EA44B" w:rsidR="008B4E7B" w:rsidRDefault="008B4E7B" w:rsidP="003D7963">
            <w:pPr>
              <w:jc w:val="both"/>
              <w:rPr>
                <w:rFonts w:ascii="Calibri" w:hAnsi="Calibri" w:cs="Calibri"/>
                <w:bCs/>
              </w:rPr>
            </w:pPr>
            <w:r>
              <w:rPr>
                <w:rFonts w:ascii="Calibri" w:hAnsi="Calibri" w:cs="Calibri"/>
                <w:bCs/>
              </w:rPr>
              <w:t xml:space="preserve">(Genre </w:t>
            </w:r>
            <w:hyperlink r:id="rId4339" w:history="1">
              <w:r w:rsidRPr="008B4E7B">
                <w:rPr>
                  <w:rStyle w:val="Lienhypertexte"/>
                  <w:rFonts w:ascii="Calibri" w:hAnsi="Calibri" w:cs="Calibri"/>
                  <w:bCs/>
                  <w:i/>
                  <w:iCs/>
                </w:rPr>
                <w:t>Typha</w:t>
              </w:r>
            </w:hyperlink>
            <w:r>
              <w:rPr>
                <w:rFonts w:ascii="Calibri" w:hAnsi="Calibri" w:cs="Calibri"/>
                <w:bCs/>
              </w:rPr>
              <w:t>).</w:t>
            </w:r>
          </w:p>
          <w:p w14:paraId="34427996" w14:textId="77777777" w:rsidR="008B4E7B" w:rsidRDefault="008B4E7B" w:rsidP="003D7963">
            <w:pPr>
              <w:jc w:val="both"/>
              <w:rPr>
                <w:rFonts w:cstheme="minorHAnsi"/>
                <w:b/>
                <w:bCs/>
                <w:color w:val="FF0000"/>
              </w:rPr>
            </w:pPr>
          </w:p>
          <w:p w14:paraId="753F3493" w14:textId="77777777" w:rsidR="008B4E7B" w:rsidRPr="000B6BE3" w:rsidRDefault="008B4E7B" w:rsidP="003D7963">
            <w:pPr>
              <w:jc w:val="both"/>
              <w:rPr>
                <w:rFonts w:cstheme="minorHAnsi"/>
              </w:rPr>
            </w:pPr>
            <w:r w:rsidRPr="009A3C5B">
              <w:rPr>
                <w:rFonts w:cstheme="minorHAnsi"/>
                <w:b/>
                <w:bCs/>
                <w:color w:val="FF0000"/>
              </w:rPr>
              <w:t>Risque élevé</w:t>
            </w:r>
            <w:r>
              <w:rPr>
                <w:rFonts w:cstheme="minorHAnsi"/>
                <w:b/>
                <w:bCs/>
                <w:color w:val="FF0000"/>
              </w:rPr>
              <w:t>.</w:t>
            </w:r>
          </w:p>
        </w:tc>
        <w:tc>
          <w:tcPr>
            <w:tcW w:w="2407" w:type="dxa"/>
          </w:tcPr>
          <w:p w14:paraId="14D0D761" w14:textId="77777777" w:rsidR="008B4E7B" w:rsidRPr="000B6BE3" w:rsidRDefault="008B4E7B" w:rsidP="003D7963">
            <w:pPr>
              <w:rPr>
                <w:rFonts w:cstheme="minorHAnsi"/>
              </w:rPr>
            </w:pPr>
            <w:r w:rsidRPr="000B6BE3">
              <w:rPr>
                <w:rFonts w:cstheme="minorHAnsi"/>
                <w:noProof/>
              </w:rPr>
              <w:t xml:space="preserve">  </w:t>
            </w:r>
            <w:r>
              <w:rPr>
                <w:rFonts w:cstheme="minorHAnsi"/>
                <w:noProof/>
              </w:rPr>
              <w:t xml:space="preserve">      </w:t>
            </w:r>
            <w:r w:rsidRPr="005C50C9">
              <w:rPr>
                <w:rFonts w:cstheme="minorHAnsi"/>
                <w:noProof/>
              </w:rPr>
              <w:drawing>
                <wp:inline distT="0" distB="0" distL="0" distR="0" wp14:anchorId="7C392FE3" wp14:editId="38EF0E01">
                  <wp:extent cx="495300" cy="666750"/>
                  <wp:effectExtent l="0" t="0" r="0" b="0"/>
                  <wp:docPr id="52236" name="Image 15"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8" name="Image 15" descr="logo aride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r w:rsidRPr="008F2681">
              <w:rPr>
                <w:rFonts w:cstheme="minorHAnsi"/>
                <w:noProof/>
              </w:rPr>
              <w:drawing>
                <wp:inline distT="0" distB="0" distL="0" distR="0" wp14:anchorId="45F8FDA0" wp14:editId="7C26C4FA">
                  <wp:extent cx="463550" cy="661988"/>
                  <wp:effectExtent l="0" t="0" r="0" b="5080"/>
                  <wp:docPr id="52237"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w:t>
            </w:r>
          </w:p>
        </w:tc>
        <w:tc>
          <w:tcPr>
            <w:tcW w:w="1983" w:type="dxa"/>
          </w:tcPr>
          <w:p w14:paraId="2AE34DFA" w14:textId="1B30FAC2" w:rsidR="008B4E7B" w:rsidRPr="00A47184" w:rsidRDefault="008B4E7B" w:rsidP="003D7963">
            <w:pPr>
              <w:rPr>
                <w:rFonts w:cstheme="minorHAnsi"/>
                <w:sz w:val="40"/>
                <w:szCs w:val="40"/>
              </w:rPr>
            </w:pPr>
            <w:r w:rsidRPr="00A47184">
              <w:rPr>
                <w:rFonts w:eastAsia="+mn-ea" w:cstheme="minorHAnsi"/>
                <w:b/>
                <w:bCs/>
                <w:color w:val="008000"/>
                <w:kern w:val="24"/>
                <w:sz w:val="40"/>
                <w:szCs w:val="40"/>
              </w:rPr>
              <w:t>↗</w:t>
            </w:r>
            <w:r>
              <w:rPr>
                <w:rFonts w:eastAsia="+mn-ea" w:cstheme="minorHAnsi"/>
                <w:b/>
                <w:bCs/>
                <w:color w:val="008000"/>
                <w:kern w:val="24"/>
                <w:sz w:val="40"/>
                <w:szCs w:val="40"/>
              </w:rPr>
              <w:t xml:space="preserve"> </w:t>
            </w:r>
          </w:p>
        </w:tc>
        <w:tc>
          <w:tcPr>
            <w:tcW w:w="1378" w:type="dxa"/>
          </w:tcPr>
          <w:p w14:paraId="6D3329F6" w14:textId="77777777" w:rsidR="008B4E7B" w:rsidRPr="000B6BE3" w:rsidRDefault="008B4E7B" w:rsidP="003D7963">
            <w:pPr>
              <w:rPr>
                <w:rFonts w:cstheme="minorHAnsi"/>
              </w:rPr>
            </w:pPr>
            <w:r w:rsidRPr="00DE60FE">
              <w:rPr>
                <w:rFonts w:cstheme="minorHAnsi"/>
                <w:noProof/>
              </w:rPr>
              <w:drawing>
                <wp:inline distT="0" distB="0" distL="0" distR="0" wp14:anchorId="3B0D4A11" wp14:editId="07DF4399">
                  <wp:extent cx="457200" cy="457200"/>
                  <wp:effectExtent l="0" t="0" r="0" b="0"/>
                  <wp:docPr id="52239" name="Picture 16" descr="C:\Users\LISAN\Pictures\Plantes fourragères\logo invasive plants5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26" name="Picture 16" descr="C:\Users\LISAN\Pictures\Plantes fourragères\logo invasive plants5_s.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7031AD9E" w14:textId="77777777" w:rsidR="008B4E7B" w:rsidRDefault="008B4E7B" w:rsidP="008B4E7B">
      <w:pPr>
        <w:spacing w:after="0" w:line="240" w:lineRule="auto"/>
        <w:jc w:val="both"/>
      </w:pPr>
    </w:p>
    <w:p w14:paraId="7B731B9B" w14:textId="4C6B1FD7" w:rsidR="00807979" w:rsidRDefault="008B4E7B" w:rsidP="008B4E7B">
      <w:pPr>
        <w:spacing w:after="0" w:line="240" w:lineRule="auto"/>
        <w:jc w:val="both"/>
      </w:pPr>
      <w:r w:rsidRPr="008B4E7B">
        <w:t xml:space="preserve">La </w:t>
      </w:r>
      <w:r w:rsidRPr="008B4E7B">
        <w:rPr>
          <w:i/>
          <w:iCs/>
        </w:rPr>
        <w:t>typha</w:t>
      </w:r>
      <w:r w:rsidRPr="008B4E7B">
        <w:t xml:space="preserve"> est un </w:t>
      </w:r>
      <w:r w:rsidR="00807979">
        <w:t>« </w:t>
      </w:r>
      <w:r w:rsidRPr="008B4E7B">
        <w:t>roseau</w:t>
      </w:r>
      <w:r w:rsidR="00807979">
        <w:t> »</w:t>
      </w:r>
      <w:r w:rsidR="00D3366E">
        <w:t xml:space="preserve"> (une massette), jusqu’à 2,5 m de hauteur,</w:t>
      </w:r>
      <w:r w:rsidRPr="008B4E7B">
        <w:t xml:space="preserve"> pouss</w:t>
      </w:r>
      <w:r w:rsidR="00807979">
        <w:t>ant</w:t>
      </w:r>
      <w:r w:rsidRPr="008B4E7B">
        <w:t xml:space="preserve"> en abondance sur les rives de certains fleuves africains</w:t>
      </w:r>
      <w:r w:rsidR="00D3366E">
        <w:t>.</w:t>
      </w:r>
    </w:p>
    <w:p w14:paraId="44B1559E" w14:textId="1C2C0CC2" w:rsidR="00E90B0B" w:rsidRDefault="00E90B0B" w:rsidP="008B4E7B">
      <w:pPr>
        <w:spacing w:after="0" w:line="240" w:lineRule="auto"/>
        <w:jc w:val="both"/>
      </w:pPr>
      <w:r w:rsidRPr="00E90B0B">
        <w:rPr>
          <w:i/>
          <w:iCs/>
        </w:rPr>
        <w:t>Typha domingensis</w:t>
      </w:r>
      <w:r w:rsidRPr="00E90B0B">
        <w:t xml:space="preserve"> (ou </w:t>
      </w:r>
      <w:r w:rsidRPr="00E90B0B">
        <w:rPr>
          <w:i/>
          <w:iCs/>
        </w:rPr>
        <w:t>Typha autralis</w:t>
      </w:r>
      <w:r w:rsidRPr="00E90B0B">
        <w:t xml:space="preserve">) se </w:t>
      </w:r>
      <w:r w:rsidRPr="00E90B0B">
        <w:rPr>
          <w:rFonts w:ascii="Calibri" w:hAnsi="Calibri" w:cs="Calibri"/>
          <w:shd w:val="clear" w:color="auto" w:fill="FFFFFF"/>
        </w:rPr>
        <w:t>trouve parfois en tant qu'associé sous-dominant dans les </w:t>
      </w:r>
      <w:hyperlink r:id="rId4340" w:tooltip="Mangroves" w:history="1">
        <w:r w:rsidRPr="00E90B0B">
          <w:rPr>
            <w:rStyle w:val="Lienhypertexte"/>
            <w:rFonts w:ascii="Calibri" w:hAnsi="Calibri" w:cs="Calibri"/>
            <w:color w:val="0645AD"/>
            <w:shd w:val="clear" w:color="auto" w:fill="FFFFFF"/>
          </w:rPr>
          <w:t>écosystèmes de mangroves</w:t>
        </w:r>
      </w:hyperlink>
      <w:r w:rsidRPr="00E90B0B">
        <w:rPr>
          <w:rFonts w:ascii="Calibri" w:hAnsi="Calibri" w:cs="Calibri"/>
          <w:color w:val="202122"/>
          <w:shd w:val="clear" w:color="auto" w:fill="FFFFFF"/>
        </w:rPr>
        <w:t> </w:t>
      </w:r>
      <w:r w:rsidRPr="00E90B0B">
        <w:rPr>
          <w:rFonts w:ascii="Calibri" w:hAnsi="Calibri" w:cs="Calibri"/>
          <w:shd w:val="clear" w:color="auto" w:fill="FFFFFF"/>
        </w:rPr>
        <w:t>tels que l'écorégion de </w:t>
      </w:r>
      <w:hyperlink r:id="rId4341" w:tooltip="Mangroves du Petène" w:history="1">
        <w:r w:rsidRPr="00E90B0B">
          <w:rPr>
            <w:rStyle w:val="Lienhypertexte"/>
            <w:rFonts w:ascii="Calibri" w:hAnsi="Calibri" w:cs="Calibri"/>
            <w:color w:val="0645AD"/>
            <w:shd w:val="clear" w:color="auto" w:fill="FFFFFF"/>
          </w:rPr>
          <w:t>mangroves Petenes</w:t>
        </w:r>
      </w:hyperlink>
      <w:r w:rsidRPr="00E90B0B">
        <w:rPr>
          <w:rFonts w:ascii="Calibri" w:hAnsi="Calibri" w:cs="Calibri"/>
          <w:color w:val="202122"/>
          <w:shd w:val="clear" w:color="auto" w:fill="FFFFFF"/>
        </w:rPr>
        <w:t> du </w:t>
      </w:r>
      <w:hyperlink r:id="rId4342" w:tooltip="Yucatán (État)" w:history="1">
        <w:r w:rsidRPr="00E90B0B">
          <w:rPr>
            <w:rStyle w:val="Lienhypertexte"/>
            <w:rFonts w:ascii="Calibri" w:hAnsi="Calibri" w:cs="Calibri"/>
            <w:color w:val="0645AD"/>
            <w:shd w:val="clear" w:color="auto" w:fill="FFFFFF"/>
          </w:rPr>
          <w:t>Yucatán</w:t>
        </w:r>
      </w:hyperlink>
      <w:r>
        <w:t>.</w:t>
      </w:r>
    </w:p>
    <w:p w14:paraId="60F23C7A" w14:textId="78664D36" w:rsidR="00E90B0B" w:rsidRDefault="00E90B0B" w:rsidP="008B4E7B">
      <w:pPr>
        <w:spacing w:after="0" w:line="240" w:lineRule="auto"/>
        <w:jc w:val="both"/>
      </w:pPr>
      <w:r>
        <w:t>Plusieurs espèces de</w:t>
      </w:r>
      <w:r w:rsidRPr="008B4E7B">
        <w:t xml:space="preserve"> </w:t>
      </w:r>
      <w:r w:rsidRPr="008B4E7B">
        <w:rPr>
          <w:i/>
          <w:iCs/>
        </w:rPr>
        <w:t>Typha</w:t>
      </w:r>
      <w:r w:rsidRPr="008B4E7B">
        <w:t xml:space="preserve"> résistent bien au sel : </w:t>
      </w:r>
      <w:r w:rsidRPr="008B4E7B">
        <w:rPr>
          <w:i/>
          <w:iCs/>
        </w:rPr>
        <w:t>Typha angustifolia</w:t>
      </w:r>
      <w:r w:rsidRPr="008B4E7B">
        <w:t xml:space="preserve"> </w:t>
      </w:r>
      <w:r>
        <w:t>(</w:t>
      </w:r>
      <w:r w:rsidRPr="00807979">
        <w:t>Massette à feuilles étroites</w:t>
      </w:r>
      <w:r>
        <w:t>),</w:t>
      </w:r>
      <w:r w:rsidRPr="008B4E7B">
        <w:t xml:space="preserve"> </w:t>
      </w:r>
      <w:r w:rsidRPr="008B4E7B">
        <w:rPr>
          <w:i/>
          <w:iCs/>
        </w:rPr>
        <w:t>Typha latifolia</w:t>
      </w:r>
      <w:r>
        <w:t xml:space="preserve"> (massette à large de feuille)</w:t>
      </w:r>
      <w:r>
        <w:rPr>
          <w:i/>
          <w:iCs/>
        </w:rPr>
        <w:t xml:space="preserve">, </w:t>
      </w:r>
      <w:r w:rsidRPr="00E90B0B">
        <w:rPr>
          <w:i/>
          <w:iCs/>
        </w:rPr>
        <w:t>Typha domingensis</w:t>
      </w:r>
      <w:r>
        <w:rPr>
          <w:i/>
          <w:iCs/>
        </w:rPr>
        <w:t xml:space="preserve"> …</w:t>
      </w:r>
    </w:p>
    <w:p w14:paraId="2E8DAFE9" w14:textId="6BCE0750" w:rsidR="00D3366E" w:rsidRPr="00D3366E" w:rsidRDefault="00D3366E" w:rsidP="008B4E7B">
      <w:pPr>
        <w:spacing w:after="0" w:line="240" w:lineRule="auto"/>
        <w:jc w:val="both"/>
      </w:pPr>
      <w:r w:rsidRPr="00D3366E">
        <w:rPr>
          <w:u w:val="single"/>
        </w:rPr>
        <w:t>Caractère invasif</w:t>
      </w:r>
      <w:r>
        <w:t xml:space="preserve"> : </w:t>
      </w:r>
      <w:r w:rsidR="00E90B0B" w:rsidRPr="00E90B0B">
        <w:t>L</w:t>
      </w:r>
      <w:r w:rsidRPr="00E90B0B">
        <w:t>e</w:t>
      </w:r>
      <w:r>
        <w:rPr>
          <w:i/>
          <w:iCs/>
        </w:rPr>
        <w:t xml:space="preserve"> Typha autralis </w:t>
      </w:r>
      <w:r w:rsidRPr="00E90B0B">
        <w:t>(ou</w:t>
      </w:r>
      <w:r>
        <w:rPr>
          <w:i/>
          <w:iCs/>
        </w:rPr>
        <w:t xml:space="preserve"> </w:t>
      </w:r>
      <w:r w:rsidRPr="00D3366E">
        <w:rPr>
          <w:i/>
          <w:iCs/>
        </w:rPr>
        <w:t>Typha domingensis</w:t>
      </w:r>
      <w:r>
        <w:rPr>
          <w:i/>
          <w:iCs/>
        </w:rPr>
        <w:t>)</w:t>
      </w:r>
      <w:r w:rsidR="00E90B0B">
        <w:rPr>
          <w:i/>
          <w:iCs/>
        </w:rPr>
        <w:t xml:space="preserve"> </w:t>
      </w:r>
      <w:r w:rsidR="00E90B0B" w:rsidRPr="00E90B0B">
        <w:t>est</w:t>
      </w:r>
      <w:r w:rsidRPr="008B4E7B">
        <w:t xml:space="preserve"> invasif</w:t>
      </w:r>
      <w:r w:rsidRPr="00E90B0B">
        <w:t xml:space="preserve"> sur le fleuve Sénégal,</w:t>
      </w:r>
      <w:r w:rsidR="00E90B0B">
        <w:t xml:space="preserve"> en Mauritanie,</w:t>
      </w:r>
      <w:r w:rsidRPr="00E90B0B">
        <w:t xml:space="preserve"> en Nouvelle-Calédonie</w:t>
      </w:r>
      <w:r w:rsidRPr="00D3366E">
        <w:t xml:space="preserve"> (son introduction y est interdite) etc. </w:t>
      </w:r>
    </w:p>
    <w:p w14:paraId="1A0A3705" w14:textId="312D8B4B" w:rsidR="00807979" w:rsidRDefault="008B4E7B" w:rsidP="008B4E7B">
      <w:pPr>
        <w:spacing w:after="0" w:line="240" w:lineRule="auto"/>
        <w:jc w:val="both"/>
      </w:pPr>
      <w:r w:rsidRPr="008B4E7B">
        <w:rPr>
          <w:u w:val="single"/>
        </w:rPr>
        <w:t>Usage</w:t>
      </w:r>
      <w:r>
        <w:t xml:space="preserve"> : </w:t>
      </w:r>
      <w:r w:rsidR="00807979">
        <w:t xml:space="preserve">a) </w:t>
      </w:r>
      <w:r w:rsidR="00807979" w:rsidRPr="00807979">
        <w:t>Les massettes sont comestibles, en particulier son rhizome charnu cru (salade, confit dans le vinaigre) ou cuit après avoir été pelé, et ses très jeunes pousses.</w:t>
      </w:r>
    </w:p>
    <w:p w14:paraId="6D2B59D8" w14:textId="53C58824" w:rsidR="008B4E7B" w:rsidRPr="008B4E7B" w:rsidRDefault="00807979" w:rsidP="008B4E7B">
      <w:pPr>
        <w:spacing w:after="0" w:line="240" w:lineRule="auto"/>
        <w:jc w:val="both"/>
      </w:pPr>
      <w:r>
        <w:t xml:space="preserve">b) </w:t>
      </w:r>
      <w:r w:rsidR="008B4E7B">
        <w:t xml:space="preserve">Production de </w:t>
      </w:r>
      <w:r w:rsidRPr="00807979">
        <w:t>"charbon de typha"</w:t>
      </w:r>
      <w:r w:rsidR="008B4E7B">
        <w:t xml:space="preserve"> : </w:t>
      </w:r>
      <w:r w:rsidR="008B4E7B" w:rsidRPr="008B4E7B">
        <w:t xml:space="preserve">A Saint-Louis, le </w:t>
      </w:r>
      <w:r w:rsidR="008B4E7B" w:rsidRPr="008B4E7B">
        <w:rPr>
          <w:i/>
          <w:iCs/>
        </w:rPr>
        <w:t>Bureau de Recherche et d’Action pour le Développement Solidaire</w:t>
      </w:r>
      <w:r w:rsidR="008B4E7B" w:rsidRPr="008B4E7B">
        <w:t xml:space="preserve"> (BRADES), développe un projet de fabrication de briquettes de </w:t>
      </w:r>
      <w:r w:rsidR="008B4E7B" w:rsidRPr="008B4E7B">
        <w:rPr>
          <w:i/>
          <w:iCs/>
        </w:rPr>
        <w:t>biocharbon</w:t>
      </w:r>
      <w:r w:rsidR="008B4E7B" w:rsidRPr="008B4E7B">
        <w:t xml:space="preserve"> à partir de Typha. Celle-ci est ramassé puis brûlé et réduit en poussière de charbon. Cette poussière de charbon est ensuite mélangée avec un rotor à de l’eau et à de l’argile, pour en faire un combustible qui ressemble en tous points à du charbon de bois. Après avoir séché durant deux à trois jours, il est ensuite vendu par des associations de femmes de Saint-Louis sur les marchés.</w:t>
      </w:r>
    </w:p>
    <w:p w14:paraId="529BFE87" w14:textId="60A0F44C" w:rsidR="008B4E7B" w:rsidRDefault="008B4E7B" w:rsidP="008B4E7B">
      <w:pPr>
        <w:spacing w:after="0" w:line="240" w:lineRule="auto"/>
        <w:jc w:val="both"/>
      </w:pPr>
      <w:r w:rsidRPr="008B4E7B">
        <w:t xml:space="preserve">A l’achat, ce biocharbon est deux fois moins cher que le charbon de bois. Il coûte 150 francs CFA, soit 0,23 € le kilo. Sa combustion est plus longue que celle du charbon conventionnel. Mais la population éprouve encore quelques réserves sur ce nouveau produit, commercialisé depuis novembre dernier : plus difficile à allumer que son prédécesseur, le </w:t>
      </w:r>
      <w:r w:rsidRPr="008B4E7B">
        <w:rPr>
          <w:i/>
          <w:iCs/>
        </w:rPr>
        <w:t>biocharbon</w:t>
      </w:r>
      <w:r w:rsidRPr="008B4E7B">
        <w:t xml:space="preserve"> ne fait pas encore l’unanimité. Des campagnes d’informations seront donc lancées au cours de l’année 2009. </w:t>
      </w:r>
      <w:r w:rsidR="00807979">
        <w:t>c)</w:t>
      </w:r>
      <w:r w:rsidRPr="008B4E7B">
        <w:t xml:space="preserve"> En plus, le </w:t>
      </w:r>
      <w:r w:rsidRPr="008B4E7B">
        <w:rPr>
          <w:i/>
          <w:iCs/>
        </w:rPr>
        <w:t>biochar</w:t>
      </w:r>
      <w:r w:rsidRPr="008B4E7B">
        <w:t xml:space="preserve"> (le charbon vert ou biocharbon) </w:t>
      </w:r>
      <w:r w:rsidRPr="008B4E7B">
        <w:rPr>
          <w:i/>
          <w:iCs/>
        </w:rPr>
        <w:t>peut aider à fertiliser les sols</w:t>
      </w:r>
      <w:r w:rsidRPr="008B4E7B">
        <w:t xml:space="preserve"> (quand il est mélangé à la terre).</w:t>
      </w:r>
      <w:r w:rsidR="00807979">
        <w:t xml:space="preserve"> d) </w:t>
      </w:r>
      <w:r w:rsidR="00807979" w:rsidRPr="008B4E7B">
        <w:t xml:space="preserve">La </w:t>
      </w:r>
      <w:r w:rsidR="00807979" w:rsidRPr="008B4E7B">
        <w:rPr>
          <w:i/>
          <w:iCs/>
        </w:rPr>
        <w:t>typha</w:t>
      </w:r>
      <w:r w:rsidR="00807979" w:rsidRPr="008B4E7B">
        <w:t xml:space="preserve"> peut aussi servir de </w:t>
      </w:r>
      <w:r w:rsidR="00807979" w:rsidRPr="008B4E7B">
        <w:rPr>
          <w:i/>
          <w:iCs/>
        </w:rPr>
        <w:t>matériau d’isolation</w:t>
      </w:r>
      <w:r w:rsidR="00807979" w:rsidRPr="008B4E7B">
        <w:t>.</w:t>
      </w:r>
      <w:r w:rsidR="00807979">
        <w:t xml:space="preserve"> e) Elle peut servir à la phyto-épuration d’eaux polluées. </w:t>
      </w:r>
    </w:p>
    <w:p w14:paraId="19C8F5FB" w14:textId="415C27E1" w:rsidR="00807979" w:rsidRPr="008B4E7B" w:rsidRDefault="00807979" w:rsidP="008B4E7B">
      <w:pPr>
        <w:spacing w:after="0" w:line="240" w:lineRule="auto"/>
        <w:jc w:val="both"/>
      </w:pPr>
      <w:r>
        <w:t>f) Elle sert de refuge à un certains animaux (oiseaux …).</w:t>
      </w:r>
    </w:p>
    <w:p w14:paraId="45806140" w14:textId="719D2991" w:rsidR="008B4E7B" w:rsidRPr="008B4E7B" w:rsidRDefault="008B4E7B" w:rsidP="008B4E7B">
      <w:pPr>
        <w:spacing w:after="0" w:line="240" w:lineRule="auto"/>
        <w:jc w:val="both"/>
      </w:pPr>
      <w:r w:rsidRPr="008B4E7B">
        <w:rPr>
          <w:u w:val="single"/>
        </w:rPr>
        <w:t>Note</w:t>
      </w:r>
      <w:r>
        <w:t xml:space="preserve"> : </w:t>
      </w:r>
      <w:r w:rsidRPr="008B4E7B">
        <w:t xml:space="preserve"> Adresse de BRADES, directeur Mr Nthié DIARRA, Quartier Ndiolofène Sor, Saint- Louis, Tel : 776412149. Email : </w:t>
      </w:r>
      <w:hyperlink r:id="rId4343" w:history="1">
        <w:r w:rsidRPr="008B4E7B">
          <w:rPr>
            <w:rStyle w:val="Lienhypertexte"/>
          </w:rPr>
          <w:t>bradesenegal@yahoo.fr</w:t>
        </w:r>
      </w:hyperlink>
      <w:r w:rsidRPr="008B4E7B">
        <w:t xml:space="preserve"> </w:t>
      </w:r>
    </w:p>
    <w:p w14:paraId="0D87F171" w14:textId="257B5273" w:rsidR="008B4E7B" w:rsidRDefault="008B4E7B" w:rsidP="008B4E7B">
      <w:pPr>
        <w:spacing w:after="0" w:line="240" w:lineRule="auto"/>
        <w:jc w:val="both"/>
      </w:pPr>
      <w:r w:rsidRPr="008B4E7B">
        <w:t>Sources : a)</w:t>
      </w:r>
      <w:r>
        <w:t xml:space="preserve"> </w:t>
      </w:r>
      <w:hyperlink r:id="rId4344" w:history="1">
        <w:r w:rsidRPr="00EE130C">
          <w:rPr>
            <w:rStyle w:val="Lienhypertexte"/>
          </w:rPr>
          <w:t>https://fr.wikipedia.org/wiki/Typha</w:t>
        </w:r>
      </w:hyperlink>
      <w:r>
        <w:t xml:space="preserve">, </w:t>
      </w:r>
    </w:p>
    <w:p w14:paraId="0716C5EB" w14:textId="43750957" w:rsidR="00807979" w:rsidRPr="00411177" w:rsidRDefault="00807979" w:rsidP="008B4E7B">
      <w:pPr>
        <w:spacing w:after="0" w:line="240" w:lineRule="auto"/>
        <w:jc w:val="both"/>
        <w:rPr>
          <w:lang w:val="en-GB"/>
        </w:rPr>
      </w:pPr>
      <w:r w:rsidRPr="00411177">
        <w:rPr>
          <w:lang w:val="en-GB"/>
        </w:rPr>
        <w:t xml:space="preserve">b) </w:t>
      </w:r>
      <w:hyperlink r:id="rId4345" w:history="1">
        <w:r w:rsidRPr="00411177">
          <w:rPr>
            <w:rStyle w:val="Lienhypertexte"/>
            <w:lang w:val="en-GB"/>
          </w:rPr>
          <w:t>https://fr.wikipedia.org/wiki/Massette_%C3%A0_larges_feuilles</w:t>
        </w:r>
      </w:hyperlink>
      <w:r w:rsidRPr="00411177">
        <w:rPr>
          <w:lang w:val="en-GB"/>
        </w:rPr>
        <w:t xml:space="preserve">, </w:t>
      </w:r>
    </w:p>
    <w:p w14:paraId="7BF4199B" w14:textId="123771AD" w:rsidR="00807979" w:rsidRPr="00411177" w:rsidRDefault="00807979" w:rsidP="008B4E7B">
      <w:pPr>
        <w:spacing w:after="0" w:line="240" w:lineRule="auto"/>
        <w:jc w:val="both"/>
        <w:rPr>
          <w:lang w:val="en-GB"/>
        </w:rPr>
      </w:pPr>
      <w:r w:rsidRPr="00411177">
        <w:rPr>
          <w:lang w:val="en-GB"/>
        </w:rPr>
        <w:t xml:space="preserve">c) </w:t>
      </w:r>
      <w:hyperlink r:id="rId4346" w:history="1">
        <w:r w:rsidRPr="00411177">
          <w:rPr>
            <w:rStyle w:val="Lienhypertexte"/>
            <w:lang w:val="en-GB"/>
          </w:rPr>
          <w:t>https://fr.wikipedia.org/wiki/Massette_%C3%A0_feuilles_%C3%A9troites</w:t>
        </w:r>
      </w:hyperlink>
      <w:r w:rsidRPr="00411177">
        <w:rPr>
          <w:lang w:val="en-GB"/>
        </w:rPr>
        <w:t xml:space="preserve">, </w:t>
      </w:r>
    </w:p>
    <w:p w14:paraId="7410C18D" w14:textId="21717EC0" w:rsidR="00D3366E" w:rsidRPr="00E90B0B" w:rsidRDefault="00D3366E" w:rsidP="008B4E7B">
      <w:pPr>
        <w:spacing w:after="0" w:line="240" w:lineRule="auto"/>
        <w:jc w:val="both"/>
        <w:rPr>
          <w:lang w:val="es-AR"/>
        </w:rPr>
      </w:pPr>
      <w:r w:rsidRPr="00E90B0B">
        <w:rPr>
          <w:lang w:val="es-AR"/>
        </w:rPr>
        <w:t xml:space="preserve">d) </w:t>
      </w:r>
      <w:hyperlink r:id="rId4347" w:history="1">
        <w:r w:rsidRPr="00E90B0B">
          <w:rPr>
            <w:rStyle w:val="Lienhypertexte"/>
            <w:lang w:val="es-AR"/>
          </w:rPr>
          <w:t>https://fr.wikipedia.org/wiki/Typha_domingensis</w:t>
        </w:r>
      </w:hyperlink>
      <w:r w:rsidRPr="00E90B0B">
        <w:rPr>
          <w:lang w:val="es-AR"/>
        </w:rPr>
        <w:t xml:space="preserve">, </w:t>
      </w:r>
      <w:r w:rsidR="00E90B0B" w:rsidRPr="00E90B0B">
        <w:rPr>
          <w:lang w:val="es-AR"/>
        </w:rPr>
        <w:t>e)</w:t>
      </w:r>
      <w:r w:rsidR="00E90B0B">
        <w:rPr>
          <w:lang w:val="es-AR"/>
        </w:rPr>
        <w:t xml:space="preserve"> </w:t>
      </w:r>
      <w:hyperlink r:id="rId4348" w:history="1">
        <w:r w:rsidR="00E90B0B" w:rsidRPr="00EE130C">
          <w:rPr>
            <w:rStyle w:val="Lienhypertexte"/>
            <w:lang w:val="es-AR"/>
          </w:rPr>
          <w:t>https://en.wikipedia.org/wiki/Typha_domingensis</w:t>
        </w:r>
      </w:hyperlink>
      <w:r w:rsidR="00E90B0B">
        <w:rPr>
          <w:lang w:val="es-AR"/>
        </w:rPr>
        <w:t xml:space="preserve">, </w:t>
      </w:r>
    </w:p>
    <w:p w14:paraId="00B3EB08" w14:textId="09518A18" w:rsidR="008B4E7B" w:rsidRPr="008B4E7B" w:rsidRDefault="00E90B0B" w:rsidP="008B4E7B">
      <w:pPr>
        <w:spacing w:after="0" w:line="240" w:lineRule="auto"/>
        <w:jc w:val="both"/>
        <w:rPr>
          <w:lang w:val="en-GB"/>
        </w:rPr>
      </w:pPr>
      <w:r w:rsidRPr="00E90B0B">
        <w:rPr>
          <w:lang w:val="en-GB"/>
        </w:rPr>
        <w:t>f</w:t>
      </w:r>
      <w:r w:rsidR="00D3366E" w:rsidRPr="00E90B0B">
        <w:rPr>
          <w:lang w:val="en-GB"/>
        </w:rPr>
        <w:t>)</w:t>
      </w:r>
      <w:r w:rsidR="008B4E7B" w:rsidRPr="008B4E7B">
        <w:rPr>
          <w:lang w:val="en-GB"/>
        </w:rPr>
        <w:t xml:space="preserve"> </w:t>
      </w:r>
      <w:hyperlink r:id="rId4349" w:history="1">
        <w:r w:rsidR="008B4E7B" w:rsidRPr="008B4E7B">
          <w:rPr>
            <w:rStyle w:val="Lienhypertexte"/>
            <w:lang w:val="en-GB"/>
          </w:rPr>
          <w:t>http://www.transition-energie.com/senegal-du-charbon-vert-a-partir-dun-roseau/</w:t>
        </w:r>
      </w:hyperlink>
      <w:r w:rsidR="00807979" w:rsidRPr="00E90B0B">
        <w:rPr>
          <w:lang w:val="en-GB"/>
        </w:rPr>
        <w:t>,</w:t>
      </w:r>
      <w:r w:rsidR="008B4E7B" w:rsidRPr="008B4E7B">
        <w:rPr>
          <w:lang w:val="en-GB"/>
        </w:rPr>
        <w:t xml:space="preserve"> </w:t>
      </w:r>
    </w:p>
    <w:p w14:paraId="3356F193" w14:textId="622FD16A" w:rsidR="008B4E7B" w:rsidRPr="008B4E7B" w:rsidRDefault="00E90B0B" w:rsidP="008B4E7B">
      <w:pPr>
        <w:spacing w:after="0" w:line="240" w:lineRule="auto"/>
        <w:jc w:val="both"/>
        <w:rPr>
          <w:lang w:val="en-GB"/>
        </w:rPr>
      </w:pPr>
      <w:r>
        <w:rPr>
          <w:lang w:val="en-GB"/>
        </w:rPr>
        <w:t>g</w:t>
      </w:r>
      <w:r w:rsidR="008B4E7B" w:rsidRPr="008B4E7B">
        <w:rPr>
          <w:lang w:val="en-GB"/>
        </w:rPr>
        <w:t xml:space="preserve">) </w:t>
      </w:r>
      <w:hyperlink r:id="rId4350" w:history="1">
        <w:r w:rsidR="008B4E7B" w:rsidRPr="008B4E7B">
          <w:rPr>
            <w:rStyle w:val="Lienhypertexte"/>
            <w:lang w:val="en-GB"/>
          </w:rPr>
          <w:t>http://www.lemonde.fr/planete/article/2015/09/09/en-mauritanie-une-plante-nuisible-devient-source-d-energie_4750054_3244.html</w:t>
        </w:r>
      </w:hyperlink>
      <w:r w:rsidR="00807979" w:rsidRPr="00D3366E">
        <w:rPr>
          <w:lang w:val="en-GB"/>
        </w:rPr>
        <w:t>,</w:t>
      </w:r>
      <w:r w:rsidR="008B4E7B" w:rsidRPr="008B4E7B">
        <w:rPr>
          <w:lang w:val="en-GB"/>
        </w:rPr>
        <w:t xml:space="preserve"> </w:t>
      </w:r>
      <w:r>
        <w:rPr>
          <w:lang w:val="en-GB"/>
        </w:rPr>
        <w:t>h</w:t>
      </w:r>
      <w:r w:rsidR="008B4E7B" w:rsidRPr="008B4E7B">
        <w:rPr>
          <w:lang w:val="en-GB"/>
        </w:rPr>
        <w:t xml:space="preserve">) </w:t>
      </w:r>
      <w:hyperlink r:id="rId4351" w:history="1">
        <w:r w:rsidR="008B4E7B" w:rsidRPr="008B4E7B">
          <w:rPr>
            <w:rStyle w:val="Lienhypertexte"/>
            <w:lang w:val="en-GB"/>
          </w:rPr>
          <w:t>http://www.agenceecofin.com/innovation/1208-31313-senegal-vers-un-destin-dans-le-batiment-pour-3-milliards-de-tonnes-de-typha</w:t>
        </w:r>
      </w:hyperlink>
      <w:r w:rsidR="00807979" w:rsidRPr="00D3366E">
        <w:rPr>
          <w:lang w:val="en-GB"/>
        </w:rPr>
        <w:t>,</w:t>
      </w:r>
      <w:r w:rsidR="008B4E7B" w:rsidRPr="008B4E7B">
        <w:rPr>
          <w:lang w:val="en-GB"/>
        </w:rPr>
        <w:t xml:space="preserve"> </w:t>
      </w:r>
    </w:p>
    <w:p w14:paraId="297E52C8" w14:textId="0EC010AF" w:rsidR="008B4E7B" w:rsidRPr="008B4E7B" w:rsidRDefault="00E90B0B" w:rsidP="008B4E7B">
      <w:pPr>
        <w:spacing w:after="0" w:line="240" w:lineRule="auto"/>
        <w:jc w:val="both"/>
        <w:rPr>
          <w:lang w:val="en-GB"/>
        </w:rPr>
      </w:pPr>
      <w:r>
        <w:rPr>
          <w:lang w:val="en-GB"/>
        </w:rPr>
        <w:t>i</w:t>
      </w:r>
      <w:r w:rsidR="008B4E7B" w:rsidRPr="008B4E7B">
        <w:rPr>
          <w:lang w:val="en-GB"/>
        </w:rPr>
        <w:t xml:space="preserve">) </w:t>
      </w:r>
      <w:hyperlink r:id="rId4352" w:history="1">
        <w:r w:rsidR="008B4E7B" w:rsidRPr="008B4E7B">
          <w:rPr>
            <w:rStyle w:val="Lienhypertexte"/>
            <w:lang w:val="en-GB"/>
          </w:rPr>
          <w:t>http://www1.rfi.fr/sciencefr/articles/115/article_82336.asp</w:t>
        </w:r>
      </w:hyperlink>
      <w:r w:rsidR="00807979" w:rsidRPr="00807979">
        <w:rPr>
          <w:lang w:val="en-GB"/>
        </w:rPr>
        <w:t>,</w:t>
      </w:r>
      <w:r w:rsidR="008B4E7B" w:rsidRPr="008B4E7B">
        <w:rPr>
          <w:lang w:val="en-GB"/>
        </w:rPr>
        <w:t xml:space="preserve"> </w:t>
      </w:r>
    </w:p>
    <w:p w14:paraId="6E3A9197" w14:textId="12A6AEBF" w:rsidR="008B4E7B" w:rsidRPr="008B4E7B" w:rsidRDefault="00E90B0B" w:rsidP="008B4E7B">
      <w:pPr>
        <w:spacing w:after="0" w:line="240" w:lineRule="auto"/>
        <w:jc w:val="both"/>
      </w:pPr>
      <w:r w:rsidRPr="00E90B0B">
        <w:t>j</w:t>
      </w:r>
      <w:r w:rsidR="008B4E7B" w:rsidRPr="008B4E7B">
        <w:t xml:space="preserve">) </w:t>
      </w:r>
      <w:hyperlink r:id="rId4353" w:history="1">
        <w:r w:rsidR="008B4E7B" w:rsidRPr="008B4E7B">
          <w:rPr>
            <w:rStyle w:val="Lienhypertexte"/>
          </w:rPr>
          <w:t>http://www.peracod.sn/?Le-BRADES-entreprise-basee-a-Saint</w:t>
        </w:r>
      </w:hyperlink>
      <w:r w:rsidR="008B4E7B" w:rsidRPr="008B4E7B">
        <w:t xml:space="preserve"> </w:t>
      </w:r>
    </w:p>
    <w:p w14:paraId="3B468C3F" w14:textId="23BF34C8" w:rsidR="0017084C" w:rsidRDefault="00E90B0B" w:rsidP="008B4E7B">
      <w:pPr>
        <w:spacing w:after="0" w:line="240" w:lineRule="auto"/>
        <w:jc w:val="both"/>
      </w:pPr>
      <w:r>
        <w:t>k</w:t>
      </w:r>
      <w:r w:rsidR="008B4E7B" w:rsidRPr="008B4E7B">
        <w:t xml:space="preserve">) </w:t>
      </w:r>
      <w:hyperlink r:id="rId4354" w:history="1">
        <w:r w:rsidR="008B4E7B" w:rsidRPr="008B4E7B">
          <w:rPr>
            <w:rStyle w:val="Lienhypertexte"/>
          </w:rPr>
          <w:t>http://www.nepad.org/system/files/BRADES.pdf</w:t>
        </w:r>
      </w:hyperlink>
      <w:r w:rsidR="008B4E7B" w:rsidRPr="008B4E7B">
        <w:t xml:space="preserve">  (taille 991 Ko).</w:t>
      </w:r>
    </w:p>
    <w:p w14:paraId="24448E67" w14:textId="5CFC0C27" w:rsidR="008B4E7B" w:rsidRPr="00E90B0B" w:rsidRDefault="00E90B0B" w:rsidP="008B4E7B">
      <w:pPr>
        <w:spacing w:after="0" w:line="240" w:lineRule="auto"/>
        <w:jc w:val="both"/>
      </w:pPr>
      <w:r>
        <w:t>l</w:t>
      </w:r>
      <w:r w:rsidR="00D3366E" w:rsidRPr="00E90B0B">
        <w:t xml:space="preserve">) </w:t>
      </w:r>
      <w:hyperlink r:id="rId4355" w:history="1">
        <w:r w:rsidR="00D3366E" w:rsidRPr="00E90B0B">
          <w:rPr>
            <w:rStyle w:val="Lienhypertexte"/>
          </w:rPr>
          <w:t>http://www.gt-ibma.eu/wp-content/uploads/2020/02/2019_rapport_etat-des-lieux_methodes-lutte-typha-dfs-002.pdf</w:t>
        </w:r>
      </w:hyperlink>
      <w:r w:rsidR="00D3366E" w:rsidRPr="00E90B0B">
        <w:t xml:space="preserv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96"/>
        <w:gridCol w:w="4330"/>
      </w:tblGrid>
      <w:tr w:rsidR="00133487" w14:paraId="546FD4C6" w14:textId="77777777" w:rsidTr="00133487">
        <w:tc>
          <w:tcPr>
            <w:tcW w:w="6096" w:type="dxa"/>
          </w:tcPr>
          <w:p w14:paraId="0102793A" w14:textId="77777777" w:rsidR="00133487" w:rsidRDefault="00133487" w:rsidP="00133487">
            <w:pPr>
              <w:jc w:val="center"/>
            </w:pPr>
            <w:r w:rsidRPr="00133487">
              <w:rPr>
                <w:noProof/>
              </w:rPr>
              <w:drawing>
                <wp:inline distT="0" distB="0" distL="0" distR="0" wp14:anchorId="2E197D4C" wp14:editId="22E89F42">
                  <wp:extent cx="2619375" cy="1743075"/>
                  <wp:effectExtent l="0" t="0" r="9525" b="9525"/>
                  <wp:docPr id="52240"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3"/>
                          <pic:cNvPicPr>
                            <a:picLocks noChangeAspect="1"/>
                          </pic:cNvPicPr>
                        </pic:nvPicPr>
                        <pic:blipFill>
                          <a:blip r:embed="rId4356">
                            <a:extLst>
                              <a:ext uri="{28A0092B-C50C-407E-A947-70E740481C1C}">
                                <a14:useLocalDpi xmlns:a14="http://schemas.microsoft.com/office/drawing/2010/main" val="0"/>
                              </a:ext>
                            </a:extLst>
                          </a:blip>
                          <a:stretch>
                            <a:fillRect/>
                          </a:stretch>
                        </pic:blipFill>
                        <pic:spPr>
                          <a:xfrm>
                            <a:off x="0" y="0"/>
                            <a:ext cx="2619375" cy="1743075"/>
                          </a:xfrm>
                          <a:prstGeom prst="rect">
                            <a:avLst/>
                          </a:prstGeom>
                        </pic:spPr>
                      </pic:pic>
                    </a:graphicData>
                  </a:graphic>
                </wp:inline>
              </w:drawing>
            </w:r>
          </w:p>
          <w:p w14:paraId="3624790C" w14:textId="165E2A33" w:rsidR="00133487" w:rsidRDefault="00133487" w:rsidP="00133487">
            <w:pPr>
              <w:jc w:val="center"/>
            </w:pPr>
            <w:r w:rsidRPr="00133487">
              <w:t>Invasion d</w:t>
            </w:r>
            <w:r>
              <w:t>e la</w:t>
            </w:r>
            <w:r w:rsidRPr="00133487">
              <w:t xml:space="preserve"> </w:t>
            </w:r>
            <w:r w:rsidRPr="00133487">
              <w:rPr>
                <w:i/>
                <w:iCs/>
              </w:rPr>
              <w:t>Typha</w:t>
            </w:r>
            <w:r w:rsidRPr="00133487">
              <w:t>, depuis la mise en service, en 1986, du barrage sur le fleuve Sénégal.</w:t>
            </w:r>
          </w:p>
        </w:tc>
        <w:tc>
          <w:tcPr>
            <w:tcW w:w="4330" w:type="dxa"/>
          </w:tcPr>
          <w:p w14:paraId="5B08E87A" w14:textId="77777777" w:rsidR="00133487" w:rsidRDefault="00133487" w:rsidP="00133487">
            <w:pPr>
              <w:jc w:val="center"/>
            </w:pPr>
            <w:r w:rsidRPr="00133487">
              <w:rPr>
                <w:noProof/>
              </w:rPr>
              <w:drawing>
                <wp:inline distT="0" distB="0" distL="0" distR="0" wp14:anchorId="3BE30C5F" wp14:editId="105E6EC2">
                  <wp:extent cx="2047875" cy="1924050"/>
                  <wp:effectExtent l="0" t="0" r="9525" b="0"/>
                  <wp:docPr id="52241"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8"/>
                          <pic:cNvPicPr>
                            <a:picLocks noChangeAspect="1"/>
                          </pic:cNvPicPr>
                        </pic:nvPicPr>
                        <pic:blipFill>
                          <a:blip r:embed="rId4357">
                            <a:extLst>
                              <a:ext uri="{28A0092B-C50C-407E-A947-70E740481C1C}">
                                <a14:useLocalDpi xmlns:a14="http://schemas.microsoft.com/office/drawing/2010/main" val="0"/>
                              </a:ext>
                            </a:extLst>
                          </a:blip>
                          <a:stretch>
                            <a:fillRect/>
                          </a:stretch>
                        </pic:blipFill>
                        <pic:spPr>
                          <a:xfrm>
                            <a:off x="0" y="0"/>
                            <a:ext cx="2047875" cy="1924050"/>
                          </a:xfrm>
                          <a:prstGeom prst="rect">
                            <a:avLst/>
                          </a:prstGeom>
                        </pic:spPr>
                      </pic:pic>
                    </a:graphicData>
                  </a:graphic>
                </wp:inline>
              </w:drawing>
            </w:r>
          </w:p>
          <w:p w14:paraId="3044A4B7" w14:textId="42CB7A87" w:rsidR="00133487" w:rsidRDefault="00133487" w:rsidP="00133487">
            <w:pPr>
              <w:jc w:val="center"/>
            </w:pPr>
            <w:r w:rsidRPr="00133487">
              <w:t>Production du biocharbon avec le Rotor Presstype (© Brades)</w:t>
            </w:r>
            <w:r>
              <w:t xml:space="preserve"> </w:t>
            </w:r>
            <w:r w:rsidRPr="00133487">
              <w:t>(un compacteur ou presse).</w:t>
            </w:r>
          </w:p>
        </w:tc>
      </w:tr>
      <w:tr w:rsidR="00133487" w14:paraId="34736033" w14:textId="77777777" w:rsidTr="00133487">
        <w:tc>
          <w:tcPr>
            <w:tcW w:w="6096" w:type="dxa"/>
          </w:tcPr>
          <w:p w14:paraId="310601ED" w14:textId="77777777" w:rsidR="00133487" w:rsidRDefault="00133487" w:rsidP="00133487">
            <w:pPr>
              <w:jc w:val="center"/>
            </w:pPr>
            <w:r w:rsidRPr="00133487">
              <w:rPr>
                <w:noProof/>
              </w:rPr>
              <w:drawing>
                <wp:inline distT="0" distB="0" distL="0" distR="0" wp14:anchorId="6617A37C" wp14:editId="33E7BDCA">
                  <wp:extent cx="3733800" cy="1600200"/>
                  <wp:effectExtent l="0" t="0" r="0" b="0"/>
                  <wp:docPr id="52242"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 20"/>
                          <pic:cNvPicPr>
                            <a:picLocks noChangeAspect="1"/>
                          </pic:cNvPicPr>
                        </pic:nvPicPr>
                        <pic:blipFill>
                          <a:blip r:embed="rId4358">
                            <a:extLst>
                              <a:ext uri="{28A0092B-C50C-407E-A947-70E740481C1C}">
                                <a14:useLocalDpi xmlns:a14="http://schemas.microsoft.com/office/drawing/2010/main" val="0"/>
                              </a:ext>
                            </a:extLst>
                          </a:blip>
                          <a:stretch>
                            <a:fillRect/>
                          </a:stretch>
                        </pic:blipFill>
                        <pic:spPr>
                          <a:xfrm>
                            <a:off x="0" y="0"/>
                            <a:ext cx="3733800" cy="1600200"/>
                          </a:xfrm>
                          <a:prstGeom prst="rect">
                            <a:avLst/>
                          </a:prstGeom>
                        </pic:spPr>
                      </pic:pic>
                    </a:graphicData>
                  </a:graphic>
                </wp:inline>
              </w:drawing>
            </w:r>
          </w:p>
          <w:p w14:paraId="61429708" w14:textId="1D78EE60" w:rsidR="00133487" w:rsidRDefault="00133487" w:rsidP="00133487">
            <w:pPr>
              <w:jc w:val="center"/>
            </w:pPr>
            <w:r w:rsidRPr="00133487">
              <w:t>Deux technologies pour la pyrolyse</w:t>
            </w:r>
            <w:r>
              <w:t xml:space="preserve"> de la </w:t>
            </w:r>
            <w:r w:rsidRPr="00133487">
              <w:rPr>
                <w:i/>
                <w:iCs/>
              </w:rPr>
              <w:t>Typha</w:t>
            </w:r>
            <w:r w:rsidRPr="00133487">
              <w:t>. © ARTI-TZ</w:t>
            </w:r>
            <w:r>
              <w:t>.</w:t>
            </w:r>
          </w:p>
        </w:tc>
        <w:tc>
          <w:tcPr>
            <w:tcW w:w="4330" w:type="dxa"/>
          </w:tcPr>
          <w:p w14:paraId="52A8E559" w14:textId="270FD565" w:rsidR="00133487" w:rsidRDefault="00133487" w:rsidP="00133487">
            <w:pPr>
              <w:jc w:val="center"/>
            </w:pPr>
            <w:r w:rsidRPr="00133487">
              <w:rPr>
                <w:noProof/>
              </w:rPr>
              <w:drawing>
                <wp:inline distT="0" distB="0" distL="0" distR="0" wp14:anchorId="257A5118" wp14:editId="54C52096">
                  <wp:extent cx="1628775" cy="1223991"/>
                  <wp:effectExtent l="0" t="0" r="0" b="0"/>
                  <wp:docPr id="52243"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 22"/>
                          <pic:cNvPicPr>
                            <a:picLocks noChangeAspect="1"/>
                          </pic:cNvPicPr>
                        </pic:nvPicPr>
                        <pic:blipFill>
                          <a:blip r:embed="rId4359">
                            <a:extLst>
                              <a:ext uri="{28A0092B-C50C-407E-A947-70E740481C1C}">
                                <a14:useLocalDpi xmlns:a14="http://schemas.microsoft.com/office/drawing/2010/main" val="0"/>
                              </a:ext>
                            </a:extLst>
                          </a:blip>
                          <a:stretch>
                            <a:fillRect/>
                          </a:stretch>
                        </pic:blipFill>
                        <pic:spPr>
                          <a:xfrm>
                            <a:off x="0" y="0"/>
                            <a:ext cx="1631535" cy="1226065"/>
                          </a:xfrm>
                          <a:prstGeom prst="rect">
                            <a:avLst/>
                          </a:prstGeom>
                        </pic:spPr>
                      </pic:pic>
                    </a:graphicData>
                  </a:graphic>
                </wp:inline>
              </w:drawing>
            </w:r>
          </w:p>
        </w:tc>
      </w:tr>
    </w:tbl>
    <w:p w14:paraId="12563825" w14:textId="77777777" w:rsidR="00133487" w:rsidRDefault="00133487" w:rsidP="00133487">
      <w:pPr>
        <w:spacing w:after="0" w:line="240" w:lineRule="auto"/>
        <w:jc w:val="both"/>
      </w:pPr>
    </w:p>
    <w:p w14:paraId="10B49A24" w14:textId="77777777" w:rsidR="00133487" w:rsidRDefault="00133487" w:rsidP="004710A1">
      <w:pPr>
        <w:pStyle w:val="Titre2"/>
      </w:pPr>
      <w:bookmarkStart w:id="398" w:name="_Toc139181688"/>
      <w:r w:rsidRPr="001841A9">
        <w:t>Kikuyu grass ou herbe kikuyu (</w:t>
      </w:r>
      <w:r w:rsidRPr="00133487">
        <w:rPr>
          <w:i/>
          <w:iCs/>
        </w:rPr>
        <w:t>Pennisetum clandestinum</w:t>
      </w:r>
      <w:r w:rsidRPr="001841A9">
        <w:t>)</w:t>
      </w:r>
      <w:bookmarkEnd w:id="398"/>
    </w:p>
    <w:p w14:paraId="7B8A217B" w14:textId="77777777" w:rsidR="00133487" w:rsidRDefault="00133487" w:rsidP="00133487">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0"/>
        <w:gridCol w:w="2407"/>
        <w:gridCol w:w="1983"/>
        <w:gridCol w:w="1378"/>
      </w:tblGrid>
      <w:tr w:rsidR="00133487" w:rsidRPr="000B6BE3" w14:paraId="59E266E4" w14:textId="77777777" w:rsidTr="003D7963">
        <w:tc>
          <w:tcPr>
            <w:tcW w:w="4390" w:type="dxa"/>
          </w:tcPr>
          <w:p w14:paraId="7D3353AE" w14:textId="77777777" w:rsidR="00133487" w:rsidRDefault="00133487" w:rsidP="003D7963">
            <w:pPr>
              <w:jc w:val="both"/>
              <w:rPr>
                <w:rFonts w:ascii="Calibri" w:hAnsi="Calibri" w:cs="Calibri"/>
                <w:bCs/>
              </w:rPr>
            </w:pPr>
            <w:r>
              <w:rPr>
                <w:rFonts w:ascii="Calibri" w:hAnsi="Calibri" w:cs="Calibri"/>
                <w:bCs/>
              </w:rPr>
              <w:t>(</w:t>
            </w:r>
            <w:r w:rsidRPr="00DE2C3A">
              <w:rPr>
                <w:rFonts w:ascii="Calibri" w:hAnsi="Calibri" w:cs="Calibri"/>
                <w:bCs/>
              </w:rPr>
              <w:t xml:space="preserve">Famille </w:t>
            </w:r>
            <w:r w:rsidRPr="00E31768">
              <w:rPr>
                <w:rFonts w:ascii="Calibri" w:hAnsi="Calibri" w:cs="Calibri"/>
                <w:i/>
                <w:iCs/>
              </w:rPr>
              <w:t>des </w:t>
            </w:r>
            <w:hyperlink r:id="rId4360" w:history="1">
              <w:r w:rsidRPr="001841A9">
                <w:rPr>
                  <w:rStyle w:val="Lienhypertexte"/>
                  <w:rFonts w:ascii="Calibri" w:hAnsi="Calibri" w:cs="Calibri"/>
                  <w:i/>
                  <w:iCs/>
                </w:rPr>
                <w:t>Poaceae</w:t>
              </w:r>
            </w:hyperlink>
            <w:r>
              <w:rPr>
                <w:rFonts w:ascii="Calibri" w:hAnsi="Calibri" w:cs="Calibri"/>
                <w:bCs/>
              </w:rPr>
              <w:t>)</w:t>
            </w:r>
            <w:r w:rsidRPr="00DE2C3A">
              <w:rPr>
                <w:rFonts w:ascii="Calibri" w:hAnsi="Calibri" w:cs="Calibri"/>
                <w:bCs/>
              </w:rPr>
              <w:t>.</w:t>
            </w:r>
          </w:p>
          <w:p w14:paraId="351E3EE9" w14:textId="77777777" w:rsidR="00133487" w:rsidRDefault="00133487" w:rsidP="003D7963">
            <w:pPr>
              <w:jc w:val="both"/>
              <w:rPr>
                <w:rFonts w:cstheme="minorHAnsi"/>
                <w:b/>
                <w:bCs/>
                <w:color w:val="FF0000"/>
              </w:rPr>
            </w:pPr>
          </w:p>
          <w:p w14:paraId="64603E7E" w14:textId="77777777" w:rsidR="00133487" w:rsidRPr="000B6BE3" w:rsidRDefault="00133487" w:rsidP="003D7963">
            <w:pPr>
              <w:jc w:val="both"/>
              <w:rPr>
                <w:rFonts w:cstheme="minorHAnsi"/>
              </w:rPr>
            </w:pPr>
            <w:r w:rsidRPr="009A3C5B">
              <w:rPr>
                <w:rFonts w:cstheme="minorHAnsi"/>
                <w:b/>
                <w:bCs/>
                <w:color w:val="FF0000"/>
              </w:rPr>
              <w:t>Risque élevé</w:t>
            </w:r>
            <w:r>
              <w:rPr>
                <w:rFonts w:cstheme="minorHAnsi"/>
                <w:b/>
                <w:bCs/>
                <w:color w:val="FF0000"/>
              </w:rPr>
              <w:t>.</w:t>
            </w:r>
          </w:p>
        </w:tc>
        <w:tc>
          <w:tcPr>
            <w:tcW w:w="2407" w:type="dxa"/>
          </w:tcPr>
          <w:p w14:paraId="5B4A5D69" w14:textId="77777777" w:rsidR="00133487" w:rsidRPr="000B6BE3" w:rsidRDefault="00133487" w:rsidP="003D7963">
            <w:pPr>
              <w:rPr>
                <w:rFonts w:cstheme="minorHAnsi"/>
              </w:rPr>
            </w:pPr>
            <w:r w:rsidRPr="000B6BE3">
              <w:rPr>
                <w:rFonts w:cstheme="minorHAnsi"/>
                <w:noProof/>
              </w:rPr>
              <w:t xml:space="preserve">  </w:t>
            </w:r>
            <w:r>
              <w:rPr>
                <w:rFonts w:cstheme="minorHAnsi"/>
                <w:noProof/>
              </w:rPr>
              <w:t xml:space="preserve">      </w:t>
            </w:r>
            <w:r w:rsidRPr="005C50C9">
              <w:rPr>
                <w:rFonts w:cstheme="minorHAnsi"/>
                <w:noProof/>
              </w:rPr>
              <w:drawing>
                <wp:inline distT="0" distB="0" distL="0" distR="0" wp14:anchorId="7F4B93E4" wp14:editId="11758B4A">
                  <wp:extent cx="495300" cy="666750"/>
                  <wp:effectExtent l="0" t="0" r="0" b="0"/>
                  <wp:docPr id="52227" name="Image 15"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8" name="Image 15" descr="logo aride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r w:rsidRPr="008F2681">
              <w:rPr>
                <w:rFonts w:cstheme="minorHAnsi"/>
                <w:noProof/>
              </w:rPr>
              <w:drawing>
                <wp:inline distT="0" distB="0" distL="0" distR="0" wp14:anchorId="656D5A4A" wp14:editId="2F2DC2DE">
                  <wp:extent cx="463550" cy="661988"/>
                  <wp:effectExtent l="0" t="0" r="0" b="5080"/>
                  <wp:docPr id="52228"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w:t>
            </w:r>
          </w:p>
        </w:tc>
        <w:tc>
          <w:tcPr>
            <w:tcW w:w="1983" w:type="dxa"/>
          </w:tcPr>
          <w:p w14:paraId="4EEE65BA" w14:textId="77777777" w:rsidR="00133487" w:rsidRPr="00A47184" w:rsidRDefault="00133487" w:rsidP="003D7963">
            <w:pPr>
              <w:rPr>
                <w:rFonts w:cstheme="minorHAnsi"/>
                <w:sz w:val="40"/>
                <w:szCs w:val="40"/>
              </w:rPr>
            </w:pPr>
            <w:r w:rsidRPr="00A47184">
              <w:rPr>
                <w:rFonts w:eastAsia="+mn-ea" w:cstheme="minorHAnsi"/>
                <w:b/>
                <w:bCs/>
                <w:color w:val="008000"/>
                <w:kern w:val="24"/>
                <w:sz w:val="40"/>
                <w:szCs w:val="40"/>
              </w:rPr>
              <w:t>↗</w:t>
            </w:r>
          </w:p>
        </w:tc>
        <w:tc>
          <w:tcPr>
            <w:tcW w:w="1378" w:type="dxa"/>
          </w:tcPr>
          <w:p w14:paraId="2AC16F95" w14:textId="77777777" w:rsidR="00133487" w:rsidRPr="000B6BE3" w:rsidRDefault="00133487" w:rsidP="003D7963">
            <w:pPr>
              <w:rPr>
                <w:rFonts w:cstheme="minorHAnsi"/>
              </w:rPr>
            </w:pPr>
            <w:r w:rsidRPr="00DE60FE">
              <w:rPr>
                <w:rFonts w:cstheme="minorHAnsi"/>
                <w:noProof/>
              </w:rPr>
              <w:drawing>
                <wp:inline distT="0" distB="0" distL="0" distR="0" wp14:anchorId="09998D67" wp14:editId="62D25838">
                  <wp:extent cx="457200" cy="457200"/>
                  <wp:effectExtent l="0" t="0" r="0" b="0"/>
                  <wp:docPr id="52229" name="Picture 16" descr="C:\Users\LISAN\Pictures\Plantes fourragères\logo invasive plants5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26" name="Picture 16" descr="C:\Users\LISAN\Pictures\Plantes fourragères\logo invasive plants5_s.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5D9228C5" w14:textId="77777777" w:rsidR="00133487" w:rsidRDefault="00133487" w:rsidP="00133487">
      <w:pPr>
        <w:spacing w:after="0" w:line="240" w:lineRule="auto"/>
        <w:jc w:val="both"/>
      </w:pPr>
    </w:p>
    <w:p w14:paraId="4B32F5A4" w14:textId="79EEF93C" w:rsidR="00133487" w:rsidRPr="001841A9" w:rsidRDefault="00E90B0B" w:rsidP="00133487">
      <w:pPr>
        <w:spacing w:after="0" w:line="240" w:lineRule="auto"/>
        <w:jc w:val="both"/>
      </w:pPr>
      <w:r>
        <w:t>C</w:t>
      </w:r>
      <w:r w:rsidRPr="001841A9">
        <w:t>ette graminée  tropicale vivace</w:t>
      </w:r>
      <w:r>
        <w:t xml:space="preserve"> est o</w:t>
      </w:r>
      <w:r w:rsidR="00133487" w:rsidRPr="001841A9">
        <w:t>riginaire des hautes terres de </w:t>
      </w:r>
      <w:hyperlink r:id="rId4361" w:history="1">
        <w:r w:rsidR="00133487" w:rsidRPr="001841A9">
          <w:rPr>
            <w:rStyle w:val="Lienhypertexte"/>
          </w:rPr>
          <w:t>l'Afrique orientale</w:t>
        </w:r>
      </w:hyperlink>
      <w:r w:rsidR="00133487" w:rsidRPr="001841A9">
        <w:t>.</w:t>
      </w:r>
    </w:p>
    <w:p w14:paraId="7D0679E1" w14:textId="77777777" w:rsidR="00133487" w:rsidRDefault="00133487" w:rsidP="00133487">
      <w:pPr>
        <w:spacing w:after="0" w:line="240" w:lineRule="auto"/>
        <w:jc w:val="both"/>
      </w:pPr>
      <w:r w:rsidRPr="001841A9">
        <w:rPr>
          <w:u w:val="single"/>
        </w:rPr>
        <w:t>Plante invasive</w:t>
      </w:r>
      <w:r>
        <w:t xml:space="preserve"> : </w:t>
      </w:r>
      <w:r w:rsidRPr="001841A9">
        <w:t xml:space="preserve">Elle forme un tapis vert, doux et dense. En raison de sa croissance rapide et de sa nature agressive, elle est classée comme une </w:t>
      </w:r>
      <w:hyperlink r:id="rId4362" w:history="1">
        <w:r w:rsidRPr="001841A9">
          <w:rPr>
            <w:rStyle w:val="Lienhypertexte"/>
          </w:rPr>
          <w:t>mauvaise herbe nuisible</w:t>
        </w:r>
      </w:hyperlink>
      <w:r w:rsidRPr="001841A9">
        <w:t> dans certaines régions (Hawaï …</w:t>
      </w:r>
      <w:r>
        <w:t>)</w:t>
      </w:r>
      <w:r w:rsidRPr="001841A9">
        <w:t>. À Hawaii "</w:t>
      </w:r>
      <w:r w:rsidRPr="001841A9">
        <w:rPr>
          <w:i/>
          <w:iCs/>
        </w:rPr>
        <w:t>son étouffement, sa croissance dense, empêche pratiquement tout nouvel établissement de semis</w:t>
      </w:r>
      <w:r w:rsidRPr="001841A9">
        <w:t>" (Wagner et al , 1999;. pp. 1578-1579).</w:t>
      </w:r>
    </w:p>
    <w:p w14:paraId="7C7E9CC1" w14:textId="77777777" w:rsidR="00133487" w:rsidRDefault="00133487" w:rsidP="00133487">
      <w:pPr>
        <w:spacing w:after="0" w:line="240" w:lineRule="auto"/>
        <w:jc w:val="both"/>
      </w:pPr>
      <w:r w:rsidRPr="001841A9">
        <w:rPr>
          <w:u w:val="single"/>
        </w:rPr>
        <w:t>Usages</w:t>
      </w:r>
      <w:r>
        <w:t xml:space="preserve"> : </w:t>
      </w:r>
      <w:r w:rsidRPr="001841A9">
        <w:t>Cependant, elle est aussi populaire pour les </w:t>
      </w:r>
      <w:hyperlink r:id="rId4363" w:history="1">
        <w:r w:rsidRPr="001841A9">
          <w:rPr>
            <w:rStyle w:val="Lienhypertexte"/>
          </w:rPr>
          <w:t>pelouses</w:t>
        </w:r>
      </w:hyperlink>
      <w:r w:rsidRPr="001841A9">
        <w:t> de jardin en </w:t>
      </w:r>
      <w:hyperlink r:id="rId4364" w:history="1">
        <w:r w:rsidRPr="001841A9">
          <w:rPr>
            <w:rStyle w:val="Lienhypertexte"/>
          </w:rPr>
          <w:t>Australie</w:t>
        </w:r>
      </w:hyperlink>
      <w:r w:rsidRPr="001841A9">
        <w:t>, </w:t>
      </w:r>
      <w:hyperlink r:id="rId4365" w:history="1">
        <w:r w:rsidRPr="001841A9">
          <w:rPr>
            <w:rStyle w:val="Lienhypertexte"/>
          </w:rPr>
          <w:t>Afrique du Sud</w:t>
        </w:r>
      </w:hyperlink>
      <w:r w:rsidRPr="001841A9">
        <w:t xml:space="preserve"> et en Californie du Sud, car </w:t>
      </w:r>
      <w:r w:rsidRPr="001841A9">
        <w:rPr>
          <w:i/>
          <w:iCs/>
        </w:rPr>
        <w:t>elle est bon marché et tolérant à la sécheresse</w:t>
      </w:r>
      <w:r w:rsidRPr="001841A9">
        <w:t>. Elle est très utilisée comme </w:t>
      </w:r>
      <w:hyperlink r:id="rId4366" w:history="1">
        <w:r w:rsidRPr="001841A9">
          <w:rPr>
            <w:rStyle w:val="Lienhypertexte"/>
          </w:rPr>
          <w:t>gazon</w:t>
        </w:r>
      </w:hyperlink>
      <w:r w:rsidRPr="001841A9">
        <w:t> dans la région </w:t>
      </w:r>
      <w:hyperlink r:id="rId4367" w:history="1">
        <w:r w:rsidRPr="001841A9">
          <w:rPr>
            <w:rStyle w:val="Lienhypertexte"/>
          </w:rPr>
          <w:t>méditerranéenne</w:t>
        </w:r>
      </w:hyperlink>
      <w:r w:rsidRPr="001841A9">
        <w:t>. En outre, elle est utile comme fourrage d’excellente qualité pour le bétail et sert de source de nourriture pour de nombreuses espèces d'oiseaux, dont l</w:t>
      </w:r>
      <w:hyperlink r:id="rId4368" w:history="1">
        <w:r w:rsidRPr="001841A9">
          <w:rPr>
            <w:rStyle w:val="Lienhypertexte"/>
          </w:rPr>
          <w:t>’</w:t>
        </w:r>
      </w:hyperlink>
      <w:hyperlink r:id="rId4369" w:history="1">
        <w:r w:rsidRPr="001841A9">
          <w:rPr>
            <w:rStyle w:val="Lienhypertexte"/>
          </w:rPr>
          <w:t>Euplecte à longue queue</w:t>
        </w:r>
      </w:hyperlink>
      <w:r w:rsidRPr="001841A9">
        <w:t>. </w:t>
      </w:r>
    </w:p>
    <w:p w14:paraId="2050873C" w14:textId="77777777" w:rsidR="00133487" w:rsidRPr="001841A9" w:rsidRDefault="00133487" w:rsidP="00133487">
      <w:pPr>
        <w:spacing w:after="0" w:line="240" w:lineRule="auto"/>
        <w:jc w:val="both"/>
      </w:pPr>
      <w:r w:rsidRPr="001841A9">
        <w:rPr>
          <w:u w:val="single"/>
        </w:rPr>
        <w:t>Description</w:t>
      </w:r>
      <w:r>
        <w:t xml:space="preserve"> : </w:t>
      </w:r>
      <w:r w:rsidRPr="001841A9">
        <w:t>Les tiges de fleurs sont très courtes et « cachées » dans les feuilles, ce qui explique qu’on a donné, à cette espèce, son épithète spécifique</w:t>
      </w:r>
      <w:r w:rsidRPr="001841A9">
        <w:rPr>
          <w:i/>
          <w:iCs/>
        </w:rPr>
        <w:t xml:space="preserve"> (clandestinum</w:t>
      </w:r>
      <w:r w:rsidRPr="001841A9">
        <w:t xml:space="preserve">). L’important système racinaire de cette plante, la propagation par ses puissants </w:t>
      </w:r>
      <w:hyperlink r:id="rId4370" w:history="1">
        <w:r w:rsidRPr="001841A9">
          <w:rPr>
            <w:rStyle w:val="Lienhypertexte"/>
          </w:rPr>
          <w:t>rhizomes</w:t>
        </w:r>
      </w:hyperlink>
      <w:r w:rsidRPr="001841A9">
        <w:t xml:space="preserve"> sous terre, en particulier par de longs stolons sous le sol, et par ses graines la rend très envahissante, mais très utile pour la fixation des sols et permet aussi le bouturage. Sa pousse est lente la première année, ce qui favorise le développement des mauvaises </w:t>
      </w:r>
      <w:hyperlink r:id="rId4371" w:history="1">
        <w:r w:rsidRPr="001841A9">
          <w:rPr>
            <w:rStyle w:val="Lienhypertexte"/>
          </w:rPr>
          <w:t>herbes</w:t>
        </w:r>
      </w:hyperlink>
      <w:r w:rsidRPr="001841A9">
        <w:t>, mais une fois installée, elle monopolise la totalité du terrain et devient envahissante, surtout quand elle se plait sur un terrain. Sa </w:t>
      </w:r>
      <w:hyperlink r:id="rId4372" w:history="1">
        <w:r w:rsidRPr="001841A9">
          <w:rPr>
            <w:rStyle w:val="Lienhypertexte"/>
          </w:rPr>
          <w:t>dormance</w:t>
        </w:r>
      </w:hyperlink>
      <w:r w:rsidRPr="001841A9">
        <w:t> hivernale lui donne une apparence de </w:t>
      </w:r>
      <w:hyperlink r:id="rId4373" w:history="1">
        <w:r w:rsidRPr="001841A9">
          <w:rPr>
            <w:rStyle w:val="Lienhypertexte"/>
          </w:rPr>
          <w:t>paille</w:t>
        </w:r>
      </w:hyperlink>
      <w:r w:rsidRPr="001841A9">
        <w:t> séchée (jaunit l'hiver). Apparenté au </w:t>
      </w:r>
      <w:hyperlink r:id="rId4374" w:history="1">
        <w:r w:rsidRPr="001841A9">
          <w:rPr>
            <w:rStyle w:val="Lienhypertexte"/>
          </w:rPr>
          <w:t>chiendent</w:t>
        </w:r>
      </w:hyperlink>
      <w:r w:rsidRPr="001841A9">
        <w:t xml:space="preserve">, il ne pousse que dans les régions où la température estivale est élevée. Elle s'adapte très bien en bordure de mer et </w:t>
      </w:r>
      <w:r w:rsidRPr="001841A9">
        <w:rPr>
          <w:i/>
          <w:iCs/>
        </w:rPr>
        <w:t xml:space="preserve">supporte un </w:t>
      </w:r>
      <w:r>
        <w:rPr>
          <w:i/>
          <w:iCs/>
        </w:rPr>
        <w:t>environnement</w:t>
      </w:r>
      <w:r w:rsidRPr="001841A9">
        <w:rPr>
          <w:i/>
          <w:iCs/>
        </w:rPr>
        <w:t xml:space="preserve"> salin</w:t>
      </w:r>
      <w:r w:rsidRPr="001841A9">
        <w:t>.</w:t>
      </w:r>
    </w:p>
    <w:p w14:paraId="4C60CAA9" w14:textId="77777777" w:rsidR="00133487" w:rsidRDefault="00133487" w:rsidP="00133487">
      <w:pPr>
        <w:spacing w:after="0" w:line="240" w:lineRule="auto"/>
      </w:pPr>
      <w:r w:rsidRPr="001841A9">
        <w:t xml:space="preserve">Sources : a) </w:t>
      </w:r>
      <w:hyperlink r:id="rId4375" w:history="1">
        <w:r w:rsidRPr="001841A9">
          <w:rPr>
            <w:rStyle w:val="Lienhypertexte"/>
          </w:rPr>
          <w:t>http://fr.wikipedia.org/wiki/Pennisetum_clandestinum</w:t>
        </w:r>
      </w:hyperlink>
      <w:r w:rsidRPr="001841A9">
        <w:t xml:space="preserve">, </w:t>
      </w:r>
    </w:p>
    <w:p w14:paraId="384B8246" w14:textId="77777777" w:rsidR="00133487" w:rsidRPr="001841A9" w:rsidRDefault="00133487" w:rsidP="00133487">
      <w:pPr>
        <w:spacing w:after="0" w:line="240" w:lineRule="auto"/>
      </w:pPr>
      <w:r w:rsidRPr="001841A9">
        <w:t xml:space="preserve">b) </w:t>
      </w:r>
      <w:hyperlink r:id="rId4376" w:history="1">
        <w:r w:rsidRPr="001841A9">
          <w:rPr>
            <w:rStyle w:val="Lienhypertexte"/>
          </w:rPr>
          <w:t>http://en.wikipedia.org/wiki/Pennisetum_clandestinum</w:t>
        </w:r>
      </w:hyperlink>
      <w:r w:rsidRPr="001841A9">
        <w:t xml:space="preserve">, </w:t>
      </w:r>
    </w:p>
    <w:p w14:paraId="5615BFE6" w14:textId="5FDC753F" w:rsidR="00133487" w:rsidRPr="00411177" w:rsidRDefault="00133487" w:rsidP="00E90B0B">
      <w:pPr>
        <w:spacing w:after="0" w:line="240" w:lineRule="auto"/>
      </w:pPr>
      <w:r w:rsidRPr="00411177">
        <w:t xml:space="preserve">c) </w:t>
      </w:r>
      <w:hyperlink r:id="rId4377" w:history="1">
        <w:r w:rsidRPr="00411177">
          <w:rPr>
            <w:rStyle w:val="Lienhypertexte"/>
          </w:rPr>
          <w:t>http://www.cabi.org/isc/datasheet/39765</w:t>
        </w:r>
      </w:hyperlink>
      <w:r w:rsidRPr="00411177">
        <w:t xml:space="preserve">, d) </w:t>
      </w:r>
      <w:hyperlink r:id="rId4378" w:history="1">
        <w:r w:rsidRPr="00411177">
          <w:rPr>
            <w:rStyle w:val="Lienhypertexte"/>
          </w:rPr>
          <w:t>http://www.hear.org/pier/species/pennisetum_clandestinum.htm</w:t>
        </w:r>
      </w:hyperlink>
      <w:r w:rsidRPr="00411177">
        <w:t xml:space="preserve">, e) </w:t>
      </w:r>
      <w:hyperlink r:id="rId4379" w:history="1">
        <w:r w:rsidRPr="00411177">
          <w:rPr>
            <w:rStyle w:val="Lienhypertexte"/>
          </w:rPr>
          <w:t>http://agroecologie.cirad.fr/content/download/7957/40543/file/Fiche%20technique%20GSDM%20342%20kikuyu%20v%202012%2004%2025%20finale.pdf</w:t>
        </w:r>
      </w:hyperlink>
      <w:r w:rsidRPr="00411177">
        <w:t xml:space="preserve">  </w:t>
      </w:r>
    </w:p>
    <w:p w14:paraId="278AD4DE" w14:textId="77777777" w:rsidR="00E90B0B" w:rsidRPr="00411177" w:rsidRDefault="00E90B0B" w:rsidP="00E90B0B">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133487" w14:paraId="49BE95A1" w14:textId="77777777" w:rsidTr="003D7963">
        <w:tc>
          <w:tcPr>
            <w:tcW w:w="3472" w:type="dxa"/>
          </w:tcPr>
          <w:p w14:paraId="2773D7D9" w14:textId="7F9BEF5B" w:rsidR="00133487" w:rsidRDefault="00E90B0B" w:rsidP="003D7963">
            <w:pPr>
              <w:jc w:val="center"/>
            </w:pPr>
            <w:r w:rsidRPr="00E3395B">
              <w:rPr>
                <w:noProof/>
              </w:rPr>
              <w:drawing>
                <wp:inline distT="0" distB="0" distL="0" distR="0" wp14:anchorId="2BD45548" wp14:editId="0BD86F92">
                  <wp:extent cx="1885950" cy="1266825"/>
                  <wp:effectExtent l="0" t="0" r="0" b="9525"/>
                  <wp:docPr id="186380" name="Picture 3" descr="C:\Users\LISAN\Pictures\plantes-halophytes-xerophiles\Pennisetum clandestinum3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80" name="Picture 3" descr="C:\Users\LISAN\Pictures\plantes-halophytes-xerophiles\Pennisetum clandestinum3_s.jpg"/>
                          <pic:cNvPicPr>
                            <a:picLocks noChangeAspect="1" noChangeArrowheads="1"/>
                          </pic:cNvPicPr>
                        </pic:nvPicPr>
                        <pic:blipFill>
                          <a:blip r:embed="rId4380">
                            <a:extLst>
                              <a:ext uri="{28A0092B-C50C-407E-A947-70E740481C1C}">
                                <a14:useLocalDpi xmlns:a14="http://schemas.microsoft.com/office/drawing/2010/main" val="0"/>
                              </a:ext>
                            </a:extLst>
                          </a:blip>
                          <a:srcRect/>
                          <a:stretch>
                            <a:fillRect/>
                          </a:stretch>
                        </pic:blipFill>
                        <pic:spPr bwMode="auto">
                          <a:xfrm>
                            <a:off x="0" y="0"/>
                            <a:ext cx="1885950" cy="1266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222C68BD" w14:textId="4726BA77" w:rsidR="00E90B0B" w:rsidRDefault="00E90B0B" w:rsidP="003D7963">
            <w:pPr>
              <w:jc w:val="center"/>
            </w:pPr>
            <w:r w:rsidRPr="00E3395B">
              <w:rPr>
                <w:noProof/>
              </w:rPr>
              <w:drawing>
                <wp:inline distT="0" distB="0" distL="0" distR="0" wp14:anchorId="33CC5394" wp14:editId="40AF2145">
                  <wp:extent cx="1223963" cy="1223963"/>
                  <wp:effectExtent l="0" t="0" r="0" b="0"/>
                  <wp:docPr id="186383" name="Picture 6" descr="C:\Users\LISAN\Pictures\plantes-halophytes-xerophiles\Pennisetum clandestinum4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83" name="Picture 6" descr="C:\Users\LISAN\Pictures\plantes-halophytes-xerophiles\Pennisetum clandestinum4_s.jpg"/>
                          <pic:cNvPicPr>
                            <a:picLocks noChangeAspect="1" noChangeArrowheads="1"/>
                          </pic:cNvPicPr>
                        </pic:nvPicPr>
                        <pic:blipFill>
                          <a:blip r:embed="rId4381">
                            <a:extLst>
                              <a:ext uri="{28A0092B-C50C-407E-A947-70E740481C1C}">
                                <a14:useLocalDpi xmlns:a14="http://schemas.microsoft.com/office/drawing/2010/main" val="0"/>
                              </a:ext>
                            </a:extLst>
                          </a:blip>
                          <a:srcRect/>
                          <a:stretch>
                            <a:fillRect/>
                          </a:stretch>
                        </pic:blipFill>
                        <pic:spPr bwMode="auto">
                          <a:xfrm>
                            <a:off x="0" y="0"/>
                            <a:ext cx="1223963" cy="12239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274A98CF" w14:textId="77777777" w:rsidR="00E90B0B" w:rsidRDefault="00E90B0B" w:rsidP="00E90B0B">
            <w:pPr>
              <w:jc w:val="center"/>
            </w:pPr>
            <w:r w:rsidRPr="00E3395B">
              <w:rPr>
                <w:noProof/>
              </w:rPr>
              <w:drawing>
                <wp:inline distT="0" distB="0" distL="0" distR="0" wp14:anchorId="506EB17A" wp14:editId="419B7A40">
                  <wp:extent cx="1655763" cy="1677988"/>
                  <wp:effectExtent l="0" t="0" r="1905" b="0"/>
                  <wp:docPr id="186384" name="Picture 7" descr="C:\Users\LISAN\Pictures\plantes-halophytes-xerophiles\Soja sur couverture vive de kikuy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84" name="Picture 7" descr="C:\Users\LISAN\Pictures\plantes-halophytes-xerophiles\Soja sur couverture vive de kikuyu.jpg"/>
                          <pic:cNvPicPr>
                            <a:picLocks noChangeAspect="1" noChangeArrowheads="1"/>
                          </pic:cNvPicPr>
                        </pic:nvPicPr>
                        <pic:blipFill>
                          <a:blip r:embed="rId4382">
                            <a:extLst>
                              <a:ext uri="{28A0092B-C50C-407E-A947-70E740481C1C}">
                                <a14:useLocalDpi xmlns:a14="http://schemas.microsoft.com/office/drawing/2010/main" val="0"/>
                              </a:ext>
                            </a:extLst>
                          </a:blip>
                          <a:srcRect/>
                          <a:stretch>
                            <a:fillRect/>
                          </a:stretch>
                        </pic:blipFill>
                        <pic:spPr bwMode="auto">
                          <a:xfrm>
                            <a:off x="0" y="0"/>
                            <a:ext cx="1655763" cy="1677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CBAEA63" w14:textId="73D5140A" w:rsidR="00133487" w:rsidRDefault="00E90B0B" w:rsidP="00E90B0B">
            <w:pPr>
              <w:jc w:val="center"/>
            </w:pPr>
            <w:r w:rsidRPr="00E3395B">
              <w:t>Soja sur couverture vive de kikuyu</w:t>
            </w:r>
            <w:r>
              <w:t>.</w:t>
            </w:r>
          </w:p>
        </w:tc>
      </w:tr>
    </w:tbl>
    <w:p w14:paraId="2F7F2E23" w14:textId="77777777" w:rsidR="00133487" w:rsidRDefault="00133487" w:rsidP="00133487">
      <w:pPr>
        <w:spacing w:after="0" w:line="240" w:lineRule="auto"/>
        <w:jc w:val="cente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133487" w14:paraId="43110723" w14:textId="77777777" w:rsidTr="003D7963">
        <w:tc>
          <w:tcPr>
            <w:tcW w:w="5208" w:type="dxa"/>
          </w:tcPr>
          <w:p w14:paraId="3D19B6BA" w14:textId="77777777" w:rsidR="00133487" w:rsidRDefault="00133487" w:rsidP="003D7963">
            <w:pPr>
              <w:jc w:val="center"/>
            </w:pPr>
            <w:r w:rsidRPr="00E3395B">
              <w:rPr>
                <w:noProof/>
              </w:rPr>
              <w:drawing>
                <wp:inline distT="0" distB="0" distL="0" distR="0" wp14:anchorId="7D9A1CBD" wp14:editId="3FE85E46">
                  <wp:extent cx="2171700" cy="1629800"/>
                  <wp:effectExtent l="0" t="0" r="0" b="8890"/>
                  <wp:docPr id="186381" name="Picture 4" descr="C:\Users\LISAN\Pictures\plantes-halophytes-xerophiles\Pennisetum_clandestin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81" name="Picture 4" descr="C:\Users\LISAN\Pictures\plantes-halophytes-xerophiles\Pennisetum_clandestinum.jpg"/>
                          <pic:cNvPicPr>
                            <a:picLocks noChangeAspect="1" noChangeArrowheads="1"/>
                          </pic:cNvPicPr>
                        </pic:nvPicPr>
                        <pic:blipFill>
                          <a:blip r:embed="rId4383">
                            <a:extLst>
                              <a:ext uri="{28A0092B-C50C-407E-A947-70E740481C1C}">
                                <a14:useLocalDpi xmlns:a14="http://schemas.microsoft.com/office/drawing/2010/main" val="0"/>
                              </a:ext>
                            </a:extLst>
                          </a:blip>
                          <a:srcRect/>
                          <a:stretch>
                            <a:fillRect/>
                          </a:stretch>
                        </pic:blipFill>
                        <pic:spPr bwMode="auto">
                          <a:xfrm>
                            <a:off x="0" y="0"/>
                            <a:ext cx="2175726" cy="1632822"/>
                          </a:xfrm>
                          <a:prstGeom prst="rect">
                            <a:avLst/>
                          </a:prstGeom>
                          <a:noFill/>
                          <a:ln>
                            <a:noFill/>
                          </a:ln>
                        </pic:spPr>
                      </pic:pic>
                    </a:graphicData>
                  </a:graphic>
                </wp:inline>
              </w:drawing>
            </w:r>
          </w:p>
        </w:tc>
        <w:tc>
          <w:tcPr>
            <w:tcW w:w="5208" w:type="dxa"/>
          </w:tcPr>
          <w:p w14:paraId="1E83D863" w14:textId="77777777" w:rsidR="00133487" w:rsidRDefault="00133487" w:rsidP="003D7963">
            <w:pPr>
              <w:jc w:val="center"/>
            </w:pPr>
            <w:r w:rsidRPr="00E3395B">
              <w:rPr>
                <w:noProof/>
              </w:rPr>
              <w:drawing>
                <wp:inline distT="0" distB="0" distL="0" distR="0" wp14:anchorId="612BB6EF" wp14:editId="39521ED6">
                  <wp:extent cx="2066925" cy="1547544"/>
                  <wp:effectExtent l="0" t="0" r="0" b="0"/>
                  <wp:docPr id="186382" name="Picture 5" descr="C:\Users\LISAN\Pictures\plantes-halophytes-xerophiles\Pennisetum clandestinum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82" name="Picture 5" descr="C:\Users\LISAN\Pictures\plantes-halophytes-xerophiles\Pennisetum clandestinum2_s.jpg"/>
                          <pic:cNvPicPr>
                            <a:picLocks noChangeAspect="1" noChangeArrowheads="1"/>
                          </pic:cNvPicPr>
                        </pic:nvPicPr>
                        <pic:blipFill>
                          <a:blip r:embed="rId4384">
                            <a:extLst>
                              <a:ext uri="{28A0092B-C50C-407E-A947-70E740481C1C}">
                                <a14:useLocalDpi xmlns:a14="http://schemas.microsoft.com/office/drawing/2010/main" val="0"/>
                              </a:ext>
                            </a:extLst>
                          </a:blip>
                          <a:srcRect/>
                          <a:stretch>
                            <a:fillRect/>
                          </a:stretch>
                        </pic:blipFill>
                        <pic:spPr bwMode="auto">
                          <a:xfrm>
                            <a:off x="0" y="0"/>
                            <a:ext cx="2068834" cy="1548973"/>
                          </a:xfrm>
                          <a:prstGeom prst="rect">
                            <a:avLst/>
                          </a:prstGeom>
                          <a:noFill/>
                          <a:ln>
                            <a:noFill/>
                          </a:ln>
                        </pic:spPr>
                      </pic:pic>
                    </a:graphicData>
                  </a:graphic>
                </wp:inline>
              </w:drawing>
            </w:r>
          </w:p>
        </w:tc>
      </w:tr>
    </w:tbl>
    <w:p w14:paraId="07501F9F" w14:textId="77777777" w:rsidR="00133487" w:rsidRDefault="00133487" w:rsidP="00133487">
      <w:pPr>
        <w:spacing w:after="0" w:line="240" w:lineRule="auto"/>
        <w:jc w:val="both"/>
      </w:pPr>
    </w:p>
    <w:p w14:paraId="27D9C153" w14:textId="77777777" w:rsidR="00133487" w:rsidRPr="00133487" w:rsidRDefault="00133487" w:rsidP="004710A1">
      <w:pPr>
        <w:pStyle w:val="Titre2"/>
        <w:rPr>
          <w:lang w:val="en-GB"/>
        </w:rPr>
      </w:pPr>
      <w:bookmarkStart w:id="399" w:name="_Toc139181689"/>
      <w:r w:rsidRPr="00133487">
        <w:rPr>
          <w:lang w:val="en-GB"/>
        </w:rPr>
        <w:t>Texas blueweed ou yerba parda (</w:t>
      </w:r>
      <w:r w:rsidRPr="00133487">
        <w:rPr>
          <w:i/>
          <w:iCs/>
          <w:lang w:val="en-GB"/>
        </w:rPr>
        <w:t>Helianthus ciliaris</w:t>
      </w:r>
      <w:r w:rsidRPr="00133487">
        <w:rPr>
          <w:lang w:val="en-GB"/>
        </w:rPr>
        <w:t>)</w:t>
      </w:r>
      <w:bookmarkEnd w:id="399"/>
    </w:p>
    <w:p w14:paraId="67DA4738" w14:textId="77777777" w:rsidR="00133487" w:rsidRDefault="00133487" w:rsidP="00133487">
      <w:pPr>
        <w:spacing w:after="0" w:line="240" w:lineRule="auto"/>
        <w:jc w:val="both"/>
        <w:rPr>
          <w:lang w:val="en-G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0"/>
        <w:gridCol w:w="2407"/>
        <w:gridCol w:w="1983"/>
        <w:gridCol w:w="1378"/>
      </w:tblGrid>
      <w:tr w:rsidR="00133487" w:rsidRPr="000B6BE3" w14:paraId="1FB25AAA" w14:textId="77777777" w:rsidTr="003D7963">
        <w:tc>
          <w:tcPr>
            <w:tcW w:w="4390" w:type="dxa"/>
          </w:tcPr>
          <w:p w14:paraId="3BEB26C8" w14:textId="77777777" w:rsidR="00133487" w:rsidRDefault="00133487" w:rsidP="003D7963">
            <w:pPr>
              <w:jc w:val="both"/>
              <w:rPr>
                <w:rFonts w:ascii="Calibri" w:hAnsi="Calibri" w:cs="Calibri"/>
                <w:bCs/>
              </w:rPr>
            </w:pPr>
            <w:r>
              <w:rPr>
                <w:rFonts w:ascii="Calibri" w:hAnsi="Calibri" w:cs="Calibri"/>
                <w:bCs/>
              </w:rPr>
              <w:t>(</w:t>
            </w:r>
            <w:r w:rsidRPr="00DE2C3A">
              <w:rPr>
                <w:rFonts w:ascii="Calibri" w:hAnsi="Calibri" w:cs="Calibri"/>
                <w:bCs/>
              </w:rPr>
              <w:t xml:space="preserve">Famille </w:t>
            </w:r>
            <w:r w:rsidRPr="00E31768">
              <w:rPr>
                <w:rFonts w:ascii="Calibri" w:hAnsi="Calibri" w:cs="Calibri"/>
                <w:i/>
                <w:iCs/>
              </w:rPr>
              <w:t>des </w:t>
            </w:r>
            <w:hyperlink r:id="rId4385" w:history="1">
              <w:r w:rsidRPr="00E31768">
                <w:rPr>
                  <w:rStyle w:val="Lienhypertexte"/>
                  <w:rFonts w:ascii="Calibri" w:hAnsi="Calibri" w:cs="Calibri"/>
                  <w:i/>
                  <w:iCs/>
                </w:rPr>
                <w:t>Fabaceae</w:t>
              </w:r>
            </w:hyperlink>
            <w:r w:rsidRPr="00074F01">
              <w:t xml:space="preserve"> ou des </w:t>
            </w:r>
            <w:hyperlink r:id="rId4386" w:history="1">
              <w:r w:rsidRPr="00074F01">
                <w:rPr>
                  <w:rStyle w:val="Lienhypertexte"/>
                  <w:i/>
                  <w:iCs/>
                </w:rPr>
                <w:t>Mimosoideae</w:t>
              </w:r>
            </w:hyperlink>
            <w:r w:rsidRPr="00074F01">
              <w:rPr>
                <w:i/>
                <w:iCs/>
              </w:rPr>
              <w:t xml:space="preserve">, </w:t>
            </w:r>
            <w:r w:rsidRPr="00074F01">
              <w:t>selon la classification choisie</w:t>
            </w:r>
            <w:r>
              <w:rPr>
                <w:rFonts w:ascii="Calibri" w:hAnsi="Calibri" w:cs="Calibri"/>
                <w:bCs/>
              </w:rPr>
              <w:t>)</w:t>
            </w:r>
            <w:r w:rsidRPr="00DE2C3A">
              <w:rPr>
                <w:rFonts w:ascii="Calibri" w:hAnsi="Calibri" w:cs="Calibri"/>
                <w:bCs/>
              </w:rPr>
              <w:t>.</w:t>
            </w:r>
          </w:p>
          <w:p w14:paraId="473B8EAA" w14:textId="77777777" w:rsidR="00133487" w:rsidRDefault="00133487" w:rsidP="003D7963">
            <w:pPr>
              <w:jc w:val="both"/>
              <w:rPr>
                <w:rFonts w:cstheme="minorHAnsi"/>
                <w:b/>
                <w:bCs/>
                <w:color w:val="FF0000"/>
              </w:rPr>
            </w:pPr>
          </w:p>
          <w:p w14:paraId="52DCD896" w14:textId="77777777" w:rsidR="00133487" w:rsidRPr="000B6BE3" w:rsidRDefault="00133487" w:rsidP="003D7963">
            <w:pPr>
              <w:jc w:val="both"/>
              <w:rPr>
                <w:rFonts w:cstheme="minorHAnsi"/>
              </w:rPr>
            </w:pPr>
            <w:r w:rsidRPr="009A3C5B">
              <w:rPr>
                <w:rFonts w:cstheme="minorHAnsi"/>
                <w:b/>
                <w:bCs/>
                <w:color w:val="FF0000"/>
              </w:rPr>
              <w:t>Risque élevé</w:t>
            </w:r>
            <w:r>
              <w:rPr>
                <w:rFonts w:cstheme="minorHAnsi"/>
                <w:b/>
                <w:bCs/>
                <w:color w:val="FF0000"/>
              </w:rPr>
              <w:t>.</w:t>
            </w:r>
          </w:p>
        </w:tc>
        <w:tc>
          <w:tcPr>
            <w:tcW w:w="2407" w:type="dxa"/>
          </w:tcPr>
          <w:p w14:paraId="7D6DE19B" w14:textId="77777777" w:rsidR="00133487" w:rsidRPr="000B6BE3" w:rsidRDefault="00133487" w:rsidP="003D7963">
            <w:pPr>
              <w:rPr>
                <w:rFonts w:cstheme="minorHAnsi"/>
              </w:rPr>
            </w:pPr>
            <w:r w:rsidRPr="000B6BE3">
              <w:rPr>
                <w:rFonts w:cstheme="minorHAnsi"/>
                <w:noProof/>
              </w:rPr>
              <w:t xml:space="preserve">  </w:t>
            </w:r>
            <w:r>
              <w:rPr>
                <w:rFonts w:cstheme="minorHAnsi"/>
                <w:noProof/>
              </w:rPr>
              <w:t xml:space="preserve">      </w:t>
            </w:r>
            <w:r w:rsidRPr="005C50C9">
              <w:rPr>
                <w:rFonts w:cstheme="minorHAnsi"/>
                <w:noProof/>
              </w:rPr>
              <w:drawing>
                <wp:inline distT="0" distB="0" distL="0" distR="0" wp14:anchorId="5DA1F6A9" wp14:editId="298099D9">
                  <wp:extent cx="495300" cy="666750"/>
                  <wp:effectExtent l="0" t="0" r="0" b="0"/>
                  <wp:docPr id="109573" name="Image 15"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8" name="Image 15" descr="logo aride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r w:rsidRPr="008F2681">
              <w:rPr>
                <w:rFonts w:cstheme="minorHAnsi"/>
                <w:noProof/>
              </w:rPr>
              <w:drawing>
                <wp:inline distT="0" distB="0" distL="0" distR="0" wp14:anchorId="459AD540" wp14:editId="5FF3D3A9">
                  <wp:extent cx="463550" cy="661988"/>
                  <wp:effectExtent l="0" t="0" r="0" b="5080"/>
                  <wp:docPr id="109574"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w:t>
            </w:r>
          </w:p>
        </w:tc>
        <w:tc>
          <w:tcPr>
            <w:tcW w:w="1983" w:type="dxa"/>
          </w:tcPr>
          <w:p w14:paraId="7B7505D2" w14:textId="77777777" w:rsidR="00133487" w:rsidRPr="000B6BE3" w:rsidRDefault="00133487" w:rsidP="003D7963">
            <w:pPr>
              <w:rPr>
                <w:rFonts w:cstheme="minorHAnsi"/>
              </w:rPr>
            </w:pPr>
            <w:r>
              <w:rPr>
                <w:rFonts w:eastAsia="+mn-ea" w:cstheme="minorHAnsi"/>
                <w:b/>
                <w:bCs/>
                <w:color w:val="008000"/>
                <w:kern w:val="24"/>
                <w:sz w:val="56"/>
                <w:szCs w:val="56"/>
              </w:rPr>
              <w:t>↗</w:t>
            </w:r>
          </w:p>
        </w:tc>
        <w:tc>
          <w:tcPr>
            <w:tcW w:w="1378" w:type="dxa"/>
          </w:tcPr>
          <w:p w14:paraId="536D35B6" w14:textId="77777777" w:rsidR="00133487" w:rsidRPr="000B6BE3" w:rsidRDefault="00133487" w:rsidP="003D7963">
            <w:pPr>
              <w:rPr>
                <w:rFonts w:cstheme="minorHAnsi"/>
              </w:rPr>
            </w:pPr>
            <w:r w:rsidRPr="00DE60FE">
              <w:rPr>
                <w:rFonts w:cstheme="minorHAnsi"/>
                <w:noProof/>
              </w:rPr>
              <w:drawing>
                <wp:inline distT="0" distB="0" distL="0" distR="0" wp14:anchorId="280BEB50" wp14:editId="6C4F2BA2">
                  <wp:extent cx="457200" cy="457200"/>
                  <wp:effectExtent l="0" t="0" r="0" b="0"/>
                  <wp:docPr id="109580" name="Picture 16" descr="C:\Users\LISAN\Pictures\Plantes fourragères\logo invasive plants5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26" name="Picture 16" descr="C:\Users\LISAN\Pictures\Plantes fourragères\logo invasive plants5_s.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184CF38B" w14:textId="77777777" w:rsidR="00133487" w:rsidRDefault="00133487" w:rsidP="00133487">
      <w:pPr>
        <w:spacing w:after="0" w:line="240" w:lineRule="auto"/>
        <w:jc w:val="both"/>
        <w:rPr>
          <w:lang w:val="en-GB"/>
        </w:rPr>
      </w:pPr>
    </w:p>
    <w:p w14:paraId="5B27CF6C" w14:textId="77777777" w:rsidR="00133487" w:rsidRPr="008D70EB" w:rsidRDefault="00133487" w:rsidP="00133487">
      <w:pPr>
        <w:spacing w:after="0" w:line="240" w:lineRule="auto"/>
        <w:jc w:val="both"/>
      </w:pPr>
      <w:r w:rsidRPr="008D70EB">
        <w:t>Herbacée érigée, vivace, à rhizome, de 0,7 m de haut, avec un feuillage bleu-vert et racines traçantes. Les nouvelles pousses de bourgeons racinaires</w:t>
      </w:r>
      <w:r>
        <w:t xml:space="preserve"> [</w:t>
      </w:r>
      <w:r w:rsidRPr="008D70EB">
        <w:t>rhizome</w:t>
      </w:r>
      <w:r>
        <w:t>s]</w:t>
      </w:r>
      <w:r w:rsidRPr="008D70EB">
        <w:t xml:space="preserve"> créent souvent des taches denses de plantes.</w:t>
      </w:r>
    </w:p>
    <w:p w14:paraId="214D375B" w14:textId="77777777" w:rsidR="00133487" w:rsidRPr="008D70EB" w:rsidRDefault="00133487" w:rsidP="00133487">
      <w:pPr>
        <w:spacing w:after="0" w:line="240" w:lineRule="auto"/>
        <w:jc w:val="both"/>
      </w:pPr>
      <w:r w:rsidRPr="008D70EB">
        <w:rPr>
          <w:u w:val="single"/>
        </w:rPr>
        <w:t>Habitats</w:t>
      </w:r>
      <w:r>
        <w:t> </w:t>
      </w:r>
      <w:r w:rsidRPr="008D70EB">
        <w:t>: bords des routes, champs irrigués, cours d</w:t>
      </w:r>
      <w:r>
        <w:t>’</w:t>
      </w:r>
      <w:r w:rsidRPr="008D70EB">
        <w:t xml:space="preserve">eau, zones humides, fossés de drainage. Il pousse le mieux sur les sols cultivés et </w:t>
      </w:r>
      <w:r w:rsidRPr="008D70EB">
        <w:rPr>
          <w:b/>
          <w:bCs/>
        </w:rPr>
        <w:t>infeste souvent les sols alcalins ou salins</w:t>
      </w:r>
      <w:r w:rsidRPr="008D70EB">
        <w:t xml:space="preserve">, poussant plus facilement dans les zones perturbées, sur les terres cultivées, et le long de la route. Il persiste naturellement en faibles densités dans les prairies indigènes, </w:t>
      </w:r>
      <w:r w:rsidRPr="008D70EB">
        <w:rPr>
          <w:b/>
          <w:bCs/>
        </w:rPr>
        <w:t>mais se développe dans les zones cultivées ou fortement perturbés</w:t>
      </w:r>
      <w:r w:rsidRPr="008D70EB">
        <w:t xml:space="preserve">. </w:t>
      </w:r>
    </w:p>
    <w:p w14:paraId="2A515EB9" w14:textId="77777777" w:rsidR="00133487" w:rsidRPr="008D70EB" w:rsidRDefault="00133487" w:rsidP="00133487">
      <w:pPr>
        <w:spacing w:after="0" w:line="240" w:lineRule="auto"/>
        <w:jc w:val="both"/>
      </w:pPr>
      <w:r w:rsidRPr="008D70EB">
        <w:rPr>
          <w:u w:val="single"/>
        </w:rPr>
        <w:t>Plante envahissante</w:t>
      </w:r>
      <w:r>
        <w:t xml:space="preserve"> : </w:t>
      </w:r>
      <w:r w:rsidRPr="008D70EB">
        <w:t xml:space="preserve">C’est souvent une </w:t>
      </w:r>
      <w:hyperlink r:id="rId4387" w:history="1">
        <w:r w:rsidRPr="008D70EB">
          <w:rPr>
            <w:rStyle w:val="Lienhypertexte"/>
          </w:rPr>
          <w:t>mauvaise herbe nuisible</w:t>
        </w:r>
      </w:hyperlink>
      <w:r w:rsidRPr="008D70EB">
        <w:t>, un tournesol agressif, même dans une grande partie de son aire d</w:t>
      </w:r>
      <w:r>
        <w:t>’</w:t>
      </w:r>
      <w:r w:rsidRPr="008D70EB">
        <w:t>origine _</w:t>
      </w:r>
      <w:r>
        <w:t xml:space="preserve"> les</w:t>
      </w:r>
      <w:r w:rsidRPr="008D70EB">
        <w:t xml:space="preserve"> prairies du centre-sud des États-Unis et nord du </w:t>
      </w:r>
      <w:r>
        <w:t>Mexique</w:t>
      </w:r>
      <w:r w:rsidRPr="008D70EB">
        <w:t xml:space="preserve">. </w:t>
      </w:r>
    </w:p>
    <w:p w14:paraId="0EABAFAF" w14:textId="77777777" w:rsidR="00133487" w:rsidRDefault="00133487" w:rsidP="00133487">
      <w:pPr>
        <w:spacing w:after="0" w:line="240" w:lineRule="auto"/>
        <w:jc w:val="both"/>
      </w:pPr>
      <w:r w:rsidRPr="008D70EB">
        <w:t>La « vipérine</w:t>
      </w:r>
      <w:r>
        <w:t xml:space="preserve"> texane</w:t>
      </w:r>
      <w:r w:rsidRPr="008D70EB">
        <w:t> »</w:t>
      </w:r>
      <w:r>
        <w:t xml:space="preserve"> [ou herbe bleu texan]</w:t>
      </w:r>
      <w:r w:rsidRPr="008D70EB">
        <w:t xml:space="preserve"> est très concurrentielle d</w:t>
      </w:r>
      <w:r>
        <w:t>e</w:t>
      </w:r>
      <w:r w:rsidRPr="008D70EB">
        <w:t xml:space="preserve"> plusieurs cultures et systèmes de culture y compris le coton, le blé et le sorgho. </w:t>
      </w:r>
      <w:r>
        <w:t>Elle</w:t>
      </w:r>
      <w:r w:rsidRPr="008D70EB">
        <w:t xml:space="preserve"> est une </w:t>
      </w:r>
      <w:r>
        <w:t>« </w:t>
      </w:r>
      <w:r w:rsidRPr="008D70EB">
        <w:t>classe A</w:t>
      </w:r>
      <w:r>
        <w:t> »</w:t>
      </w:r>
      <w:r w:rsidRPr="008D70EB">
        <w:t xml:space="preserve"> de mauvaises herbes nuisibles en Californie.</w:t>
      </w:r>
    </w:p>
    <w:p w14:paraId="6B7F8332" w14:textId="77777777" w:rsidR="00133487" w:rsidRPr="008D70EB" w:rsidRDefault="00133487" w:rsidP="00133487">
      <w:pPr>
        <w:spacing w:after="0" w:line="240" w:lineRule="auto"/>
        <w:jc w:val="both"/>
      </w:pPr>
      <w:r w:rsidRPr="005A093B">
        <w:rPr>
          <w:u w:val="single"/>
        </w:rPr>
        <w:t>Lutte</w:t>
      </w:r>
      <w:r>
        <w:t xml:space="preserve"> (non biologique) : </w:t>
      </w:r>
      <w:r w:rsidRPr="005A093B">
        <w:t xml:space="preserve">La lutte contre la plante se fait souvent avec l'herbicide Dicamba ou </w:t>
      </w:r>
      <w:r>
        <w:t>le</w:t>
      </w:r>
      <w:r w:rsidRPr="005A093B">
        <w:t xml:space="preserve"> N-nitrosodiméthylamine (NDMA)</w:t>
      </w:r>
      <w:r>
        <w:rPr>
          <w:rStyle w:val="Appelnotedebasdep"/>
        </w:rPr>
        <w:footnoteReference w:id="300"/>
      </w:r>
      <w:r>
        <w:t>.</w:t>
      </w:r>
    </w:p>
    <w:p w14:paraId="15D8FEF7" w14:textId="77777777" w:rsidR="00133487" w:rsidRDefault="00133487" w:rsidP="00133487">
      <w:pPr>
        <w:spacing w:after="0" w:line="240" w:lineRule="auto"/>
        <w:jc w:val="both"/>
      </w:pPr>
      <w:r w:rsidRPr="008D70EB">
        <w:rPr>
          <w:u w:val="single"/>
        </w:rPr>
        <w:t>Reproduction</w:t>
      </w:r>
      <w:r>
        <w:t> </w:t>
      </w:r>
      <w:r w:rsidRPr="008D70EB">
        <w:t>: Sa stratégie de reproduction est principalement végétative, par des bourgeons racinaires</w:t>
      </w:r>
      <w:r>
        <w:t xml:space="preserve"> [rhizomes]</w:t>
      </w:r>
      <w:r w:rsidRPr="008D70EB">
        <w:t xml:space="preserve"> sur les racines latérales. Les études de semences d</w:t>
      </w:r>
      <w:r>
        <w:t>e la « vipérine</w:t>
      </w:r>
      <w:r w:rsidRPr="008D70EB">
        <w:t xml:space="preserve"> </w:t>
      </w:r>
      <w:r>
        <w:t xml:space="preserve">du </w:t>
      </w:r>
      <w:r w:rsidRPr="008D70EB">
        <w:t>Texas</w:t>
      </w:r>
      <w:r>
        <w:t> »</w:t>
      </w:r>
      <w:r w:rsidRPr="008D70EB">
        <w:t xml:space="preserve"> ont montré moins de 1% du total des graines produites sont viables. Néanmoins, les semences vipérine ont peut-être atteint la Californie, via des luzernes et de l’avoine contaminées, cultivées au Texas. </w:t>
      </w:r>
    </w:p>
    <w:p w14:paraId="40BA0F7D" w14:textId="77777777" w:rsidR="00133487" w:rsidRPr="008D70EB" w:rsidRDefault="00133487" w:rsidP="00133487">
      <w:pPr>
        <w:spacing w:after="0" w:line="240" w:lineRule="auto"/>
        <w:jc w:val="both"/>
      </w:pPr>
      <w:r w:rsidRPr="005A093B">
        <w:rPr>
          <w:u w:val="single"/>
        </w:rPr>
        <w:t>Confusion possible</w:t>
      </w:r>
      <w:r>
        <w:t xml:space="preserve"> : </w:t>
      </w:r>
      <w:r w:rsidRPr="005A093B">
        <w:t>A ne pas confondre avec le tournesol de l'Arizona (</w:t>
      </w:r>
      <w:r w:rsidRPr="005A093B">
        <w:rPr>
          <w:i/>
          <w:iCs/>
        </w:rPr>
        <w:t>Helianthus arizonensis</w:t>
      </w:r>
      <w:r w:rsidRPr="005A093B">
        <w:t xml:space="preserve">), </w:t>
      </w:r>
      <w:r>
        <w:t xml:space="preserve">une </w:t>
      </w:r>
      <w:r w:rsidRPr="005A093B">
        <w:t xml:space="preserve">plante </w:t>
      </w:r>
      <w:r>
        <w:t xml:space="preserve">mal connue (source : </w:t>
      </w:r>
      <w:hyperlink r:id="rId4388" w:history="1">
        <w:r w:rsidRPr="00EE130C">
          <w:rPr>
            <w:rStyle w:val="Lienhypertexte"/>
          </w:rPr>
          <w:t>https://nmrareplants.unm.edu/node/94</w:t>
        </w:r>
      </w:hyperlink>
      <w:r>
        <w:t>)</w:t>
      </w:r>
      <w:r w:rsidRPr="005A093B">
        <w:t>.</w:t>
      </w:r>
    </w:p>
    <w:p w14:paraId="3CF10C5F" w14:textId="77777777" w:rsidR="00133487" w:rsidRDefault="00133487" w:rsidP="00133487">
      <w:pPr>
        <w:spacing w:after="0" w:line="240" w:lineRule="auto"/>
        <w:jc w:val="both"/>
      </w:pPr>
      <w:r w:rsidRPr="008D70EB">
        <w:t>Sources</w:t>
      </w:r>
      <w:r>
        <w:t> </w:t>
      </w:r>
      <w:r w:rsidRPr="008D70EB">
        <w:t xml:space="preserve">: a) </w:t>
      </w:r>
      <w:hyperlink r:id="rId4389" w:history="1">
        <w:r w:rsidRPr="008D70EB">
          <w:rPr>
            <w:rStyle w:val="Lienhypertexte"/>
          </w:rPr>
          <w:t>http</w:t>
        </w:r>
        <w:r>
          <w:rPr>
            <w:rStyle w:val="Lienhypertexte"/>
          </w:rPr>
          <w:t> </w:t>
        </w:r>
        <w:r w:rsidRPr="008D70EB">
          <w:rPr>
            <w:rStyle w:val="Lienhypertexte"/>
          </w:rPr>
          <w:t>://en.wikipedia.org/wiki/Helianthus_ciliaris</w:t>
        </w:r>
      </w:hyperlink>
      <w:r w:rsidRPr="008D70EB">
        <w:t xml:space="preserve">, </w:t>
      </w:r>
    </w:p>
    <w:p w14:paraId="067469D0" w14:textId="77777777" w:rsidR="00133487" w:rsidRPr="008D70EB" w:rsidRDefault="00133487" w:rsidP="00133487">
      <w:pPr>
        <w:spacing w:after="0" w:line="240" w:lineRule="auto"/>
        <w:jc w:val="both"/>
      </w:pPr>
      <w:r w:rsidRPr="008D70EB">
        <w:t xml:space="preserve">b) </w:t>
      </w:r>
      <w:hyperlink r:id="rId4390" w:history="1">
        <w:r w:rsidRPr="008D70EB">
          <w:rPr>
            <w:rStyle w:val="Lienhypertexte"/>
          </w:rPr>
          <w:t>http://www.cdfa.ca.gov/plant/ipc/weedinfo/helianthus.htm</w:t>
        </w:r>
      </w:hyperlink>
      <w:r w:rsidRPr="008D70EB">
        <w:rPr>
          <w:u w:val="single"/>
        </w:rPr>
        <w:t>,</w:t>
      </w:r>
    </w:p>
    <w:p w14:paraId="3B0C071C" w14:textId="77777777" w:rsidR="00133487" w:rsidRPr="008D70EB" w:rsidRDefault="00133487" w:rsidP="00133487">
      <w:pPr>
        <w:spacing w:after="0" w:line="240" w:lineRule="auto"/>
        <w:jc w:val="both"/>
      </w:pPr>
      <w:r w:rsidRPr="008D70EB">
        <w:t xml:space="preserve">c) </w:t>
      </w:r>
      <w:hyperlink r:id="rId4391" w:history="1">
        <w:r w:rsidRPr="008D70EB">
          <w:rPr>
            <w:rStyle w:val="Lienhypertexte"/>
          </w:rPr>
          <w:t>http</w:t>
        </w:r>
        <w:r w:rsidRPr="00133487">
          <w:rPr>
            <w:rStyle w:val="Lienhypertexte"/>
          </w:rPr>
          <w:t> </w:t>
        </w:r>
        <w:r w:rsidRPr="008D70EB">
          <w:rPr>
            <w:rStyle w:val="Lienhypertexte"/>
          </w:rPr>
          <w:t>://www.cabi.org/isc/datasheet/26715</w:t>
        </w:r>
      </w:hyperlink>
      <w:r w:rsidRPr="008D70EB">
        <w:t xml:space="preserve"> </w:t>
      </w:r>
    </w:p>
    <w:p w14:paraId="5779A000" w14:textId="77777777" w:rsidR="00133487" w:rsidRPr="00133487" w:rsidRDefault="00133487" w:rsidP="00133487">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82"/>
        <w:gridCol w:w="2970"/>
        <w:gridCol w:w="3174"/>
      </w:tblGrid>
      <w:tr w:rsidR="00133487" w14:paraId="6912BD71" w14:textId="77777777" w:rsidTr="003D7963">
        <w:tc>
          <w:tcPr>
            <w:tcW w:w="4298" w:type="dxa"/>
          </w:tcPr>
          <w:p w14:paraId="6FFC103D" w14:textId="77777777" w:rsidR="00133487" w:rsidRDefault="00133487" w:rsidP="003D7963">
            <w:pPr>
              <w:jc w:val="center"/>
              <w:rPr>
                <w:lang w:val="en-GB"/>
              </w:rPr>
            </w:pPr>
            <w:r w:rsidRPr="008D70EB">
              <w:rPr>
                <w:noProof/>
              </w:rPr>
              <w:drawing>
                <wp:inline distT="0" distB="0" distL="0" distR="0" wp14:anchorId="3449E24F" wp14:editId="117BBF4D">
                  <wp:extent cx="2592388" cy="1320800"/>
                  <wp:effectExtent l="0" t="0" r="0" b="0"/>
                  <wp:docPr id="182282" name="Picture 5" descr="C:\Users\LISAN\Pictures\plantes-halophytes-xerophiles\Helianthus ciliari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82" name="Picture 5" descr="C:\Users\LISAN\Pictures\plantes-halophytes-xerophiles\Helianthus ciliaris3.jpg"/>
                          <pic:cNvPicPr>
                            <a:picLocks noChangeAspect="1" noChangeArrowheads="1"/>
                          </pic:cNvPicPr>
                        </pic:nvPicPr>
                        <pic:blipFill>
                          <a:blip r:embed="rId4392">
                            <a:extLst>
                              <a:ext uri="{28A0092B-C50C-407E-A947-70E740481C1C}">
                                <a14:useLocalDpi xmlns:a14="http://schemas.microsoft.com/office/drawing/2010/main" val="0"/>
                              </a:ext>
                            </a:extLst>
                          </a:blip>
                          <a:srcRect/>
                          <a:stretch>
                            <a:fillRect/>
                          </a:stretch>
                        </pic:blipFill>
                        <pic:spPr bwMode="auto">
                          <a:xfrm>
                            <a:off x="0" y="0"/>
                            <a:ext cx="2592388" cy="1320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05" w:type="dxa"/>
          </w:tcPr>
          <w:p w14:paraId="3407F81C" w14:textId="77777777" w:rsidR="00133487" w:rsidRDefault="00133487" w:rsidP="003D7963">
            <w:pPr>
              <w:jc w:val="center"/>
              <w:rPr>
                <w:lang w:val="en-GB"/>
              </w:rPr>
            </w:pPr>
            <w:r w:rsidRPr="008D70EB">
              <w:rPr>
                <w:noProof/>
              </w:rPr>
              <w:drawing>
                <wp:inline distT="0" distB="0" distL="0" distR="0" wp14:anchorId="5366B534" wp14:editId="264269A1">
                  <wp:extent cx="1185863" cy="790575"/>
                  <wp:effectExtent l="0" t="0" r="0" b="0"/>
                  <wp:docPr id="182284" name="Picture 7" descr="C:\Users\LISAN\Pictures\plantes-halophytes-xerophiles\Helianthus ciliaris_graine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84" name="Picture 7" descr="C:\Users\LISAN\Pictures\plantes-halophytes-xerophiles\Helianthus ciliaris_graines3.jpg"/>
                          <pic:cNvPicPr>
                            <a:picLocks noChangeAspect="1" noChangeArrowheads="1"/>
                          </pic:cNvPicPr>
                        </pic:nvPicPr>
                        <pic:blipFill>
                          <a:blip r:embed="rId4393">
                            <a:extLst>
                              <a:ext uri="{28A0092B-C50C-407E-A947-70E740481C1C}">
                                <a14:useLocalDpi xmlns:a14="http://schemas.microsoft.com/office/drawing/2010/main" val="0"/>
                              </a:ext>
                            </a:extLst>
                          </a:blip>
                          <a:srcRect/>
                          <a:stretch>
                            <a:fillRect/>
                          </a:stretch>
                        </pic:blipFill>
                        <pic:spPr bwMode="auto">
                          <a:xfrm>
                            <a:off x="0" y="0"/>
                            <a:ext cx="1185863" cy="790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30C61F11" w14:textId="77777777" w:rsidR="00133487" w:rsidRDefault="00133487" w:rsidP="003D7963">
            <w:pPr>
              <w:jc w:val="center"/>
              <w:rPr>
                <w:lang w:val="en-GB"/>
              </w:rPr>
            </w:pPr>
            <w:r>
              <w:rPr>
                <w:lang w:val="en-GB"/>
              </w:rPr>
              <w:t>Graines</w:t>
            </w:r>
          </w:p>
        </w:tc>
        <w:tc>
          <w:tcPr>
            <w:tcW w:w="2713" w:type="dxa"/>
            <w:vMerge w:val="restart"/>
          </w:tcPr>
          <w:p w14:paraId="3BA2A14C" w14:textId="77777777" w:rsidR="00133487" w:rsidRDefault="00133487" w:rsidP="003D7963">
            <w:pPr>
              <w:jc w:val="center"/>
              <w:rPr>
                <w:lang w:val="en-GB"/>
              </w:rPr>
            </w:pPr>
            <w:r w:rsidRPr="008D70EB">
              <w:rPr>
                <w:noProof/>
              </w:rPr>
              <w:drawing>
                <wp:inline distT="0" distB="0" distL="0" distR="0" wp14:anchorId="5CDB01E1" wp14:editId="58E3FE03">
                  <wp:extent cx="1885950" cy="2419350"/>
                  <wp:effectExtent l="0" t="0" r="0" b="0"/>
                  <wp:docPr id="182283" name="Picture 6" descr="C:\Users\LISAN\Pictures\plantes-halophytes-xerophiles\Helianthus ciliari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83" name="Picture 6" descr="C:\Users\LISAN\Pictures\plantes-halophytes-xerophiles\Helianthus ciliaris4.jpg"/>
                          <pic:cNvPicPr>
                            <a:picLocks noChangeAspect="1" noChangeArrowheads="1"/>
                          </pic:cNvPicPr>
                        </pic:nvPicPr>
                        <pic:blipFill>
                          <a:blip r:embed="rId4394">
                            <a:extLst>
                              <a:ext uri="{28A0092B-C50C-407E-A947-70E740481C1C}">
                                <a14:useLocalDpi xmlns:a14="http://schemas.microsoft.com/office/drawing/2010/main" val="0"/>
                              </a:ext>
                            </a:extLst>
                          </a:blip>
                          <a:srcRect/>
                          <a:stretch>
                            <a:fillRect/>
                          </a:stretch>
                        </pic:blipFill>
                        <pic:spPr bwMode="auto">
                          <a:xfrm>
                            <a:off x="0" y="0"/>
                            <a:ext cx="1885950" cy="2419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133487" w14:paraId="1EF5FAC4" w14:textId="77777777" w:rsidTr="003D7963">
        <w:tc>
          <w:tcPr>
            <w:tcW w:w="4298" w:type="dxa"/>
          </w:tcPr>
          <w:p w14:paraId="0EFA9A48" w14:textId="77777777" w:rsidR="00133487" w:rsidRDefault="00133487" w:rsidP="003D7963">
            <w:pPr>
              <w:jc w:val="center"/>
              <w:rPr>
                <w:lang w:val="en-GB"/>
              </w:rPr>
            </w:pPr>
          </w:p>
          <w:p w14:paraId="3EFD63CB" w14:textId="77777777" w:rsidR="00133487" w:rsidRDefault="00133487" w:rsidP="003D7963">
            <w:pPr>
              <w:jc w:val="center"/>
              <w:rPr>
                <w:lang w:val="en-GB"/>
              </w:rPr>
            </w:pPr>
            <w:r w:rsidRPr="008D70EB">
              <w:rPr>
                <w:noProof/>
              </w:rPr>
              <w:drawing>
                <wp:inline distT="0" distB="0" distL="0" distR="0" wp14:anchorId="3D949ACC" wp14:editId="0903588F">
                  <wp:extent cx="2390775" cy="1914525"/>
                  <wp:effectExtent l="0" t="0" r="9525" b="9525"/>
                  <wp:docPr id="182279" name="Picture 2" descr="C:\Users\LISAN\Pictures\plantes-halophytes-xerophiles\Helianthus ciliari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79" name="Picture 2" descr="C:\Users\LISAN\Pictures\plantes-halophytes-xerophiles\Helianthus ciliaris5.jpg"/>
                          <pic:cNvPicPr>
                            <a:picLocks noChangeAspect="1" noChangeArrowheads="1"/>
                          </pic:cNvPicPr>
                        </pic:nvPicPr>
                        <pic:blipFill>
                          <a:blip r:embed="rId4395">
                            <a:extLst>
                              <a:ext uri="{28A0092B-C50C-407E-A947-70E740481C1C}">
                                <a14:useLocalDpi xmlns:a14="http://schemas.microsoft.com/office/drawing/2010/main" val="0"/>
                              </a:ext>
                            </a:extLst>
                          </a:blip>
                          <a:srcRect/>
                          <a:stretch>
                            <a:fillRect/>
                          </a:stretch>
                        </pic:blipFill>
                        <pic:spPr bwMode="auto">
                          <a:xfrm>
                            <a:off x="0" y="0"/>
                            <a:ext cx="2390775" cy="1914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05" w:type="dxa"/>
          </w:tcPr>
          <w:p w14:paraId="19EA3FF6" w14:textId="77777777" w:rsidR="00133487" w:rsidRDefault="00133487" w:rsidP="003D7963">
            <w:pPr>
              <w:jc w:val="center"/>
              <w:rPr>
                <w:lang w:val="en-GB"/>
              </w:rPr>
            </w:pPr>
            <w:r w:rsidRPr="008D70EB">
              <w:rPr>
                <w:noProof/>
              </w:rPr>
              <w:drawing>
                <wp:inline distT="0" distB="0" distL="0" distR="0" wp14:anchorId="60690E42" wp14:editId="3954EF8A">
                  <wp:extent cx="1755775" cy="1168400"/>
                  <wp:effectExtent l="0" t="0" r="0" b="0"/>
                  <wp:docPr id="182281" name="Picture 4" descr="C:\Users\LISAN\Pictures\plantes-halophytes-xerophiles\Helianthus ciliari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81" name="Picture 4" descr="C:\Users\LISAN\Pictures\plantes-halophytes-xerophiles\Helianthus ciliaris2.jpg"/>
                          <pic:cNvPicPr>
                            <a:picLocks noChangeAspect="1" noChangeArrowheads="1"/>
                          </pic:cNvPicPr>
                        </pic:nvPicPr>
                        <pic:blipFill>
                          <a:blip r:embed="rId4396">
                            <a:extLst>
                              <a:ext uri="{28A0092B-C50C-407E-A947-70E740481C1C}">
                                <a14:useLocalDpi xmlns:a14="http://schemas.microsoft.com/office/drawing/2010/main" val="0"/>
                              </a:ext>
                            </a:extLst>
                          </a:blip>
                          <a:srcRect/>
                          <a:stretch>
                            <a:fillRect/>
                          </a:stretch>
                        </pic:blipFill>
                        <pic:spPr bwMode="auto">
                          <a:xfrm>
                            <a:off x="0" y="0"/>
                            <a:ext cx="1755775" cy="1168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AA47258" w14:textId="77777777" w:rsidR="00133487" w:rsidRDefault="00133487" w:rsidP="003D7963">
            <w:pPr>
              <w:jc w:val="center"/>
              <w:rPr>
                <w:lang w:val="en-GB"/>
              </w:rPr>
            </w:pPr>
          </w:p>
          <w:p w14:paraId="21C379BB" w14:textId="77777777" w:rsidR="00133487" w:rsidRDefault="00133487" w:rsidP="003D7963">
            <w:pPr>
              <w:jc w:val="center"/>
              <w:rPr>
                <w:lang w:val="en-GB"/>
              </w:rPr>
            </w:pPr>
            <w:r w:rsidRPr="008D70EB">
              <w:rPr>
                <w:noProof/>
              </w:rPr>
              <w:drawing>
                <wp:inline distT="0" distB="0" distL="0" distR="0" wp14:anchorId="0A765AC0" wp14:editId="79843483">
                  <wp:extent cx="1592263" cy="1193800"/>
                  <wp:effectExtent l="0" t="0" r="8255" b="6350"/>
                  <wp:docPr id="182280" name="Picture 3" descr="C:\Users\LISAN\Pictures\plantes-halophytes-xerophiles\Helianthus ciliar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80" name="Picture 3" descr="C:\Users\LISAN\Pictures\plantes-halophytes-xerophiles\Helianthus ciliaris.jpg"/>
                          <pic:cNvPicPr>
                            <a:picLocks noChangeAspect="1" noChangeArrowheads="1"/>
                          </pic:cNvPicPr>
                        </pic:nvPicPr>
                        <pic:blipFill>
                          <a:blip r:embed="rId4397">
                            <a:extLst>
                              <a:ext uri="{28A0092B-C50C-407E-A947-70E740481C1C}">
                                <a14:useLocalDpi xmlns:a14="http://schemas.microsoft.com/office/drawing/2010/main" val="0"/>
                              </a:ext>
                            </a:extLst>
                          </a:blip>
                          <a:srcRect/>
                          <a:stretch>
                            <a:fillRect/>
                          </a:stretch>
                        </pic:blipFill>
                        <pic:spPr bwMode="auto">
                          <a:xfrm>
                            <a:off x="0" y="0"/>
                            <a:ext cx="1592263" cy="1193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2713" w:type="dxa"/>
            <w:vMerge/>
          </w:tcPr>
          <w:p w14:paraId="6321B3A7" w14:textId="77777777" w:rsidR="00133487" w:rsidRDefault="00133487" w:rsidP="003D7963">
            <w:pPr>
              <w:jc w:val="center"/>
              <w:rPr>
                <w:lang w:val="en-GB"/>
              </w:rPr>
            </w:pPr>
          </w:p>
        </w:tc>
      </w:tr>
    </w:tbl>
    <w:p w14:paraId="48D49865" w14:textId="77777777" w:rsidR="00133487" w:rsidRPr="00E344E9" w:rsidRDefault="00133487" w:rsidP="00133487">
      <w:pPr>
        <w:spacing w:after="0" w:line="240" w:lineRule="auto"/>
      </w:pPr>
    </w:p>
    <w:p w14:paraId="609279E4" w14:textId="5ABCB918" w:rsidR="00580152" w:rsidRDefault="00580152" w:rsidP="00580152">
      <w:pPr>
        <w:pStyle w:val="Titre1"/>
      </w:pPr>
      <w:bookmarkStart w:id="400" w:name="_Toc139181690"/>
      <w:r>
        <w:t>Annexe : Maladies fongiques liées à l’arrosage</w:t>
      </w:r>
      <w:bookmarkEnd w:id="400"/>
    </w:p>
    <w:p w14:paraId="340BFC94" w14:textId="63C7AAE0" w:rsidR="00580152" w:rsidRDefault="00580152" w:rsidP="00143F01">
      <w:pPr>
        <w:spacing w:after="0" w:line="240" w:lineRule="auto"/>
      </w:pPr>
    </w:p>
    <w:p w14:paraId="77846CD8" w14:textId="77777777" w:rsidR="00580152" w:rsidRPr="00580152" w:rsidRDefault="00580152" w:rsidP="00580152">
      <w:pPr>
        <w:spacing w:after="0" w:line="240" w:lineRule="auto"/>
      </w:pPr>
      <w:r w:rsidRPr="00580152">
        <w:rPr>
          <w:b/>
          <w:bCs/>
        </w:rPr>
        <w:t>Fonte des semis</w:t>
      </w:r>
    </w:p>
    <w:p w14:paraId="0070D104" w14:textId="77777777" w:rsidR="00D5121D" w:rsidRDefault="00D5121D" w:rsidP="00580152">
      <w:pPr>
        <w:spacing w:after="0" w:line="240" w:lineRule="auto"/>
        <w:jc w:val="both"/>
      </w:pPr>
    </w:p>
    <w:p w14:paraId="64AF5136" w14:textId="0928E1F3" w:rsidR="00580152" w:rsidRPr="00580152" w:rsidRDefault="00580152" w:rsidP="00580152">
      <w:pPr>
        <w:spacing w:after="0" w:line="240" w:lineRule="auto"/>
        <w:jc w:val="both"/>
      </w:pPr>
      <w:r w:rsidRPr="00580152">
        <w:t xml:space="preserve">C’est probablement la maladie de pépinière la plus connue, qui est causée par plusieurs espèces de champignons, particulièrement le </w:t>
      </w:r>
      <w:r w:rsidRPr="00580152">
        <w:rPr>
          <w:i/>
          <w:iCs/>
        </w:rPr>
        <w:t>Pythium</w:t>
      </w:r>
      <w:r w:rsidRPr="00580152">
        <w:t xml:space="preserve">, les </w:t>
      </w:r>
      <w:r w:rsidRPr="00580152">
        <w:rPr>
          <w:i/>
          <w:iCs/>
        </w:rPr>
        <w:t>Rhizoctonia</w:t>
      </w:r>
      <w:r w:rsidRPr="00580152">
        <w:t xml:space="preserve">, les </w:t>
      </w:r>
      <w:r w:rsidRPr="00580152">
        <w:rPr>
          <w:i/>
          <w:iCs/>
        </w:rPr>
        <w:t xml:space="preserve">Phytophthora </w:t>
      </w:r>
      <w:r w:rsidRPr="00580152">
        <w:t xml:space="preserve">et le </w:t>
      </w:r>
      <w:r w:rsidRPr="00580152">
        <w:rPr>
          <w:i/>
          <w:iCs/>
        </w:rPr>
        <w:t>Fusarium</w:t>
      </w:r>
      <w:r w:rsidRPr="00580152">
        <w:t>. La fonte des semis peut apparaître sur la graine avant la germination ou sur les jeunes plants.</w:t>
      </w:r>
    </w:p>
    <w:p w14:paraId="34CB83B2" w14:textId="77777777" w:rsidR="00580152" w:rsidRPr="00580152" w:rsidRDefault="00580152" w:rsidP="00580152">
      <w:pPr>
        <w:spacing w:after="0" w:line="240" w:lineRule="auto"/>
        <w:jc w:val="both"/>
      </w:pPr>
      <w:r w:rsidRPr="00580152">
        <w:t>Quand cela se produit, la tige de la plantule est réduite juste au-dessus de la surface du substrat de germination ; alors, la plantule tombe et meurt. (Des fois ceci peut se passer sans qu’il y ait présence d’un champignon, par exemple, avec des températures élevées du milieu de propagation). Il y a souvent (mais pas toujours) dommage à la plante en dessous de la surface du sol.</w:t>
      </w:r>
    </w:p>
    <w:p w14:paraId="7E881FE6" w14:textId="77777777" w:rsidR="00580152" w:rsidRPr="00580152" w:rsidRDefault="00580152" w:rsidP="00580152">
      <w:pPr>
        <w:spacing w:after="0" w:line="240" w:lineRule="auto"/>
        <w:jc w:val="both"/>
      </w:pPr>
      <w:r w:rsidRPr="00580152">
        <w:t>La raison des symptômes apparaissant à la surface du sol n’est pas bien connue, mais ceci peut être lié au point où les plants commencent à photosynthétiser ou peut-être dû aux conditions aérobiques et/ou anaérobiques conduisant aux stages les plus virulents du cycle de vie du champignon.</w:t>
      </w:r>
    </w:p>
    <w:p w14:paraId="7DF33D52" w14:textId="6E3637B4" w:rsidR="00580152" w:rsidRDefault="00580152" w:rsidP="00580152">
      <w:pPr>
        <w:spacing w:after="0" w:line="240" w:lineRule="auto"/>
        <w:jc w:val="both"/>
      </w:pPr>
      <w:r w:rsidRPr="00580152">
        <w:t>Les pathogènes qui causent la fonte des semis, particu</w:t>
      </w:r>
      <w:r w:rsidRPr="00580152">
        <w:softHyphen/>
        <w:t xml:space="preserve">lièrement le </w:t>
      </w:r>
      <w:r w:rsidRPr="00580152">
        <w:rPr>
          <w:i/>
          <w:iCs/>
        </w:rPr>
        <w:t>Pythium</w:t>
      </w:r>
      <w:r w:rsidRPr="00580152">
        <w:t xml:space="preserve">, les </w:t>
      </w:r>
      <w:r w:rsidRPr="00580152">
        <w:rPr>
          <w:i/>
          <w:iCs/>
        </w:rPr>
        <w:t xml:space="preserve">Rhizoctonia </w:t>
      </w:r>
      <w:r w:rsidRPr="00580152">
        <w:t xml:space="preserve">et les </w:t>
      </w:r>
      <w:r w:rsidRPr="00580152">
        <w:rPr>
          <w:i/>
          <w:iCs/>
        </w:rPr>
        <w:t>Phy</w:t>
      </w:r>
      <w:r w:rsidRPr="00580152">
        <w:rPr>
          <w:i/>
          <w:iCs/>
        </w:rPr>
        <w:softHyphen/>
        <w:t>tophthora</w:t>
      </w:r>
      <w:r w:rsidRPr="00580152">
        <w:t>, peuvent se répandre dans l’eau d’irrigation. La densité élevée des plantes, l’excès d’arrosage et l’excès d’ombrage favorisent la propagation de la maladie et doivent être évités.</w:t>
      </w:r>
    </w:p>
    <w:p w14:paraId="3103F558" w14:textId="7FE7FBAB" w:rsidR="00580152" w:rsidRDefault="00580152" w:rsidP="00580152">
      <w:pPr>
        <w:spacing w:after="0" w:line="240" w:lineRule="auto"/>
        <w:jc w:val="both"/>
      </w:pPr>
    </w:p>
    <w:p w14:paraId="2AE14E7D" w14:textId="77777777" w:rsidR="00580152" w:rsidRPr="00580152" w:rsidRDefault="00580152" w:rsidP="00580152">
      <w:pPr>
        <w:spacing w:after="0" w:line="240" w:lineRule="auto"/>
        <w:jc w:val="both"/>
      </w:pPr>
      <w:r w:rsidRPr="00580152">
        <w:rPr>
          <w:b/>
          <w:bCs/>
        </w:rPr>
        <w:t>Eau d’arrosage</w:t>
      </w:r>
    </w:p>
    <w:p w14:paraId="57949129" w14:textId="63E0A3B1" w:rsidR="00580152" w:rsidRDefault="00580152" w:rsidP="00580152">
      <w:pPr>
        <w:spacing w:after="0" w:line="240" w:lineRule="auto"/>
        <w:jc w:val="both"/>
      </w:pPr>
      <w:r w:rsidRPr="00580152">
        <w:t xml:space="preserve">L’eau pour l’arrosage en pépinière vient souvent d’un barrage, un puits ou une citerne remplie d’eau de pluie. Ces réservoirs où l’eau stagne offrent des conditions excellentes pour le développement de champignons de moisissure d’eau, comme les espèces de Pythium et de Phytophthora, qui sont souvent associées à la fonte des semis. </w:t>
      </w:r>
    </w:p>
    <w:p w14:paraId="3BF4AD52" w14:textId="77777777" w:rsidR="00580152" w:rsidRPr="00580152" w:rsidRDefault="00580152" w:rsidP="00580152">
      <w:pPr>
        <w:spacing w:after="0" w:line="240" w:lineRule="auto"/>
        <w:jc w:val="both"/>
      </w:pPr>
    </w:p>
    <w:p w14:paraId="7991A7D6" w14:textId="77777777" w:rsidR="00580152" w:rsidRDefault="00580152" w:rsidP="00580152">
      <w:pPr>
        <w:spacing w:after="0" w:line="240" w:lineRule="auto"/>
        <w:jc w:val="both"/>
      </w:pPr>
      <w:r w:rsidRPr="00580152">
        <w:t>Une petite quantité de chlore pour obtenir une concentration de 1 ppm pendant au moins 30 minutes peut être ajoutée à l’eau d’arrosage pour contrôler les champignons. (L’eau de piscine a une concentration maximale de 8 ppm de chlore disponible).</w:t>
      </w:r>
    </w:p>
    <w:p w14:paraId="01AED300" w14:textId="77777777" w:rsidR="00580152" w:rsidRDefault="00580152" w:rsidP="00580152">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94"/>
        <w:gridCol w:w="6932"/>
      </w:tblGrid>
      <w:tr w:rsidR="00580152" w:rsidRPr="007448EF" w14:paraId="399E0BB1" w14:textId="77777777" w:rsidTr="00580152">
        <w:tc>
          <w:tcPr>
            <w:tcW w:w="2263" w:type="dxa"/>
          </w:tcPr>
          <w:p w14:paraId="006DCBCB" w14:textId="3453441A" w:rsidR="00580152" w:rsidRDefault="00580152" w:rsidP="00143F01">
            <w:r w:rsidRPr="00580152">
              <w:rPr>
                <w:noProof/>
              </w:rPr>
              <w:drawing>
                <wp:inline distT="0" distB="0" distL="0" distR="0" wp14:anchorId="79686B57" wp14:editId="35EAE267">
                  <wp:extent cx="2217737" cy="3668712"/>
                  <wp:effectExtent l="0" t="0" r="0" b="8255"/>
                  <wp:docPr id="166919" name="Image 9" descr="fonte-des-semis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19" name="Image 9" descr="fonte-des-semis_s.jpg"/>
                          <pic:cNvPicPr>
                            <a:picLocks noChangeAspect="1"/>
                          </pic:cNvPicPr>
                        </pic:nvPicPr>
                        <pic:blipFill>
                          <a:blip r:embed="rId4398">
                            <a:extLst>
                              <a:ext uri="{28A0092B-C50C-407E-A947-70E740481C1C}">
                                <a14:useLocalDpi xmlns:a14="http://schemas.microsoft.com/office/drawing/2010/main" val="0"/>
                              </a:ext>
                            </a:extLst>
                          </a:blip>
                          <a:srcRect/>
                          <a:stretch>
                            <a:fillRect/>
                          </a:stretch>
                        </pic:blipFill>
                        <pic:spPr bwMode="auto">
                          <a:xfrm>
                            <a:off x="0" y="0"/>
                            <a:ext cx="2217737" cy="36687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8153" w:type="dxa"/>
          </w:tcPr>
          <w:p w14:paraId="0CCF92D5" w14:textId="77777777" w:rsidR="00580152" w:rsidRPr="00580152" w:rsidRDefault="00580152" w:rsidP="00580152">
            <w:pPr>
              <w:jc w:val="both"/>
            </w:pPr>
            <w:r w:rsidRPr="00580152">
              <w:rPr>
                <w:b/>
                <w:bCs/>
              </w:rPr>
              <w:t>Désinfecter l’eau d’arrosage</w:t>
            </w:r>
          </w:p>
          <w:p w14:paraId="12409DEB" w14:textId="77777777" w:rsidR="00580152" w:rsidRDefault="00580152" w:rsidP="00580152">
            <w:pPr>
              <w:jc w:val="both"/>
            </w:pPr>
          </w:p>
          <w:p w14:paraId="53F7099D" w14:textId="77777777" w:rsidR="00580152" w:rsidRPr="00580152" w:rsidRDefault="00580152" w:rsidP="00580152">
            <w:pPr>
              <w:jc w:val="both"/>
            </w:pPr>
            <w:r w:rsidRPr="00580152">
              <w:t>L’eau de javel a habituellement une concentration de 3,5 %, soit 35 000 ppm de NaOCL. Elle contient 24 000 ppm de chlore (Cl</w:t>
            </w:r>
            <w:r w:rsidRPr="00580152">
              <w:rPr>
                <w:vertAlign w:val="subscript"/>
              </w:rPr>
              <w:t>2</w:t>
            </w:r>
            <w:r w:rsidRPr="00580152">
              <w:t>). Pour faire 1L de dilution de 1 ppm de Cl</w:t>
            </w:r>
            <w:r w:rsidRPr="00580152">
              <w:rPr>
                <w:vertAlign w:val="subscript"/>
              </w:rPr>
              <w:t>2</w:t>
            </w:r>
            <w:r w:rsidRPr="00580152">
              <w:t>, on a besoin de 0,042 ml (ou 42 ml) d’eau de javel ménagère. Pour un seau de 20 L, il faut 20 x 0, 042 = 0, 84 ml. Une citerne de 10 000 litres aura besoin de 420 ml. Si l’eau contient beaucoup de sédiments ou d’autres particules sales, on aura besoin du double d’eau de javel ménagère. Dans tous les cas, la quantité dont on a besoin pour traiter l’eau d’arrosage pour contrôler les maladies comme la fonte des semis est très faible, ce qui rend l’hygiène de la pépinière peu coûteuse et simple.</w:t>
            </w:r>
          </w:p>
          <w:p w14:paraId="4738A7EF" w14:textId="77777777" w:rsidR="00580152" w:rsidRDefault="00580152" w:rsidP="00580152">
            <w:pPr>
              <w:jc w:val="both"/>
            </w:pPr>
          </w:p>
          <w:p w14:paraId="638F6087" w14:textId="77777777" w:rsidR="00580152" w:rsidRPr="00580152" w:rsidRDefault="00580152" w:rsidP="00580152">
            <w:pPr>
              <w:jc w:val="both"/>
              <w:rPr>
                <w:lang w:val="en-GB"/>
              </w:rPr>
            </w:pPr>
            <w:r w:rsidRPr="00580152">
              <w:t xml:space="preserve">Source : </w:t>
            </w:r>
            <w:r w:rsidRPr="00580152">
              <w:rPr>
                <w:i/>
                <w:iCs/>
              </w:rPr>
              <w:t>Bonnes pratiques de culture en pépinière forestière. Directives pratiques pour les pépinières de recherche</w:t>
            </w:r>
            <w:r w:rsidRPr="00580152">
              <w:t xml:space="preserve">. </w:t>
            </w:r>
            <w:r w:rsidRPr="00580152">
              <w:rPr>
                <w:lang w:val="en-GB"/>
              </w:rPr>
              <w:t xml:space="preserve">MANUEL TECHNIQUE n°3,  Hannah JAENICKE, WORLD AGROFORESTRY CENTRE (ICRAF), </w:t>
            </w:r>
            <w:hyperlink r:id="rId4399" w:history="1">
              <w:r w:rsidRPr="00580152">
                <w:rPr>
                  <w:rStyle w:val="Lienhypertexte"/>
                  <w:lang w:val="en-GB"/>
                </w:rPr>
                <w:t>http://www.worldagroforestry.org/downloads/publications/PDFs/mn14474.pd</w:t>
              </w:r>
            </w:hyperlink>
            <w:hyperlink r:id="rId4400" w:history="1">
              <w:r w:rsidRPr="00580152">
                <w:rPr>
                  <w:rStyle w:val="Lienhypertexte"/>
                  <w:lang w:val="en-GB"/>
                </w:rPr>
                <w:t>f</w:t>
              </w:r>
            </w:hyperlink>
          </w:p>
          <w:p w14:paraId="0F2FD8D5" w14:textId="063CC113" w:rsidR="00580152" w:rsidRPr="00580152" w:rsidRDefault="00580152" w:rsidP="00580152">
            <w:pPr>
              <w:jc w:val="both"/>
              <w:rPr>
                <w:lang w:val="en-GB"/>
              </w:rPr>
            </w:pPr>
          </w:p>
        </w:tc>
      </w:tr>
    </w:tbl>
    <w:p w14:paraId="07F318DB" w14:textId="0E76F9AE" w:rsidR="00580152" w:rsidRDefault="00580152" w:rsidP="00143F01">
      <w:pPr>
        <w:spacing w:after="0" w:line="240" w:lineRule="auto"/>
        <w:rPr>
          <w:lang w:val="en-GB"/>
        </w:rPr>
      </w:pPr>
    </w:p>
    <w:p w14:paraId="05554B80" w14:textId="77777777" w:rsidR="00580152" w:rsidRPr="00580152" w:rsidRDefault="00580152" w:rsidP="00143F01">
      <w:pPr>
        <w:spacing w:after="0" w:line="240" w:lineRule="auto"/>
        <w:rPr>
          <w:lang w:val="en-GB"/>
        </w:rPr>
      </w:pPr>
    </w:p>
    <w:p w14:paraId="271E70B2" w14:textId="4A6D1925" w:rsidR="00143F01" w:rsidRPr="00143F01" w:rsidRDefault="00143F01" w:rsidP="00143F01">
      <w:pPr>
        <w:pStyle w:val="Titre1"/>
      </w:pPr>
      <w:bookmarkStart w:id="401" w:name="_Toc139181691"/>
      <w:r>
        <w:t xml:space="preserve">Annexe : </w:t>
      </w:r>
      <w:r w:rsidRPr="00143F01">
        <w:t>Lexique botanique</w:t>
      </w:r>
      <w:bookmarkEnd w:id="401"/>
    </w:p>
    <w:p w14:paraId="509CEC89" w14:textId="12929FB3" w:rsidR="00143F01" w:rsidRDefault="00143F01" w:rsidP="00143F01">
      <w:pPr>
        <w:spacing w:after="0" w:line="240" w:lineRule="auto"/>
      </w:pPr>
    </w:p>
    <w:p w14:paraId="5437E6C5" w14:textId="77777777" w:rsidR="00143F01" w:rsidRPr="00143F01" w:rsidRDefault="00143F01" w:rsidP="00143F01">
      <w:pPr>
        <w:spacing w:after="0" w:line="240" w:lineRule="auto"/>
        <w:jc w:val="both"/>
      </w:pPr>
      <w:r w:rsidRPr="00143F01">
        <w:rPr>
          <w:b/>
          <w:bCs/>
          <w:i/>
          <w:iCs/>
        </w:rPr>
        <w:t>Acidiphile</w:t>
      </w:r>
      <w:r w:rsidRPr="00143F01">
        <w:t xml:space="preserve"> : Qualifie une espèce ou une végétation se développant sur des sols acides.</w:t>
      </w:r>
    </w:p>
    <w:p w14:paraId="7F9CE59C" w14:textId="77777777" w:rsidR="00143F01" w:rsidRPr="00143F01" w:rsidRDefault="00000000" w:rsidP="00143F01">
      <w:pPr>
        <w:spacing w:after="0" w:line="240" w:lineRule="auto"/>
        <w:jc w:val="both"/>
      </w:pPr>
      <w:hyperlink r:id="rId4401" w:history="1">
        <w:r w:rsidR="00143F01" w:rsidRPr="00143F01">
          <w:rPr>
            <w:rStyle w:val="Lienhypertexte"/>
            <w:b/>
            <w:bCs/>
            <w:i/>
            <w:iCs/>
          </w:rPr>
          <w:t>Allochtone</w:t>
        </w:r>
      </w:hyperlink>
      <w:r w:rsidR="00143F01" w:rsidRPr="00143F01">
        <w:t> : désigne des </w:t>
      </w:r>
      <w:hyperlink r:id="rId4402" w:history="1">
        <w:r w:rsidR="00143F01" w:rsidRPr="00143F01">
          <w:rPr>
            <w:rStyle w:val="Lienhypertexte"/>
          </w:rPr>
          <w:t>espèces</w:t>
        </w:r>
      </w:hyperlink>
      <w:r w:rsidR="00143F01" w:rsidRPr="00143F01">
        <w:t> d'origine étrangère au </w:t>
      </w:r>
      <w:hyperlink r:id="rId4403" w:history="1">
        <w:r w:rsidR="00143F01" w:rsidRPr="00143F01">
          <w:rPr>
            <w:rStyle w:val="Lienhypertexte"/>
          </w:rPr>
          <w:t>biome</w:t>
        </w:r>
      </w:hyperlink>
      <w:r w:rsidR="00143F01" w:rsidRPr="00143F01">
        <w:t> local. Il s'agit le plus souvent d'organismes introduits par l'homme, soit volontairement, dans une perspective économique ou esthétique, soit accidentellement. Terme opposé à celui d'</w:t>
      </w:r>
      <w:hyperlink r:id="rId4404" w:history="1">
        <w:r w:rsidR="00143F01" w:rsidRPr="00143F01">
          <w:rPr>
            <w:rStyle w:val="Lienhypertexte"/>
          </w:rPr>
          <w:t>autochtone</w:t>
        </w:r>
      </w:hyperlink>
      <w:r w:rsidR="00143F01" w:rsidRPr="00143F01">
        <w:t>.</w:t>
      </w:r>
    </w:p>
    <w:p w14:paraId="41218DE7" w14:textId="77777777" w:rsidR="00143F01" w:rsidRPr="00143F01" w:rsidRDefault="00143F01" w:rsidP="00143F01">
      <w:pPr>
        <w:spacing w:after="0" w:line="240" w:lineRule="auto"/>
        <w:jc w:val="both"/>
      </w:pPr>
      <w:r w:rsidRPr="00143F01">
        <w:rPr>
          <w:b/>
          <w:bCs/>
          <w:i/>
          <w:iCs/>
        </w:rPr>
        <w:t>Anémochore</w:t>
      </w:r>
      <w:r w:rsidRPr="00143F01">
        <w:t xml:space="preserve"> : Qualifie un mode de </w:t>
      </w:r>
      <w:hyperlink r:id="rId4405" w:history="1">
        <w:r w:rsidRPr="00143F01">
          <w:rPr>
            <w:rStyle w:val="Lienhypertexte"/>
          </w:rPr>
          <w:t>dispersion</w:t>
        </w:r>
      </w:hyperlink>
      <w:r w:rsidRPr="00143F01">
        <w:t> des </w:t>
      </w:r>
      <w:hyperlink r:id="rId4406" w:history="1">
        <w:r w:rsidRPr="00143F01">
          <w:rPr>
            <w:rStyle w:val="Lienhypertexte"/>
          </w:rPr>
          <w:t>graines</w:t>
        </w:r>
      </w:hyperlink>
      <w:r w:rsidRPr="00143F01">
        <w:t> par le </w:t>
      </w:r>
      <w:hyperlink r:id="rId4407" w:history="1">
        <w:r w:rsidRPr="00143F01">
          <w:rPr>
            <w:rStyle w:val="Lienhypertexte"/>
          </w:rPr>
          <w:t>vent</w:t>
        </w:r>
      </w:hyperlink>
      <w:r w:rsidRPr="00143F01">
        <w:t xml:space="preserve"> (pissenlit …).</w:t>
      </w:r>
    </w:p>
    <w:p w14:paraId="3F4DB70D" w14:textId="77777777" w:rsidR="00143F01" w:rsidRPr="00143F01" w:rsidRDefault="00143F01" w:rsidP="00143F01">
      <w:pPr>
        <w:spacing w:after="0" w:line="240" w:lineRule="auto"/>
        <w:jc w:val="both"/>
      </w:pPr>
      <w:r w:rsidRPr="00143F01">
        <w:rPr>
          <w:b/>
          <w:bCs/>
          <w:i/>
          <w:iCs/>
        </w:rPr>
        <w:t>Autochtone</w:t>
      </w:r>
      <w:r w:rsidRPr="00143F01">
        <w:t xml:space="preserve"> : Au sens courant, autochtone qualifie ce qui habite en son lieu d'origine. Il désigne le caractère local d'une espèce (animale, végétale, fongique…). Equivalent à « </w:t>
      </w:r>
      <w:hyperlink r:id="rId4408" w:history="1">
        <w:r w:rsidRPr="00143F01">
          <w:rPr>
            <w:rStyle w:val="Lienhypertexte"/>
          </w:rPr>
          <w:t>indigène</w:t>
        </w:r>
      </w:hyperlink>
      <w:r w:rsidRPr="00143F01">
        <w:t> ».</w:t>
      </w:r>
    </w:p>
    <w:p w14:paraId="23744949" w14:textId="1DCE88B5" w:rsidR="00143F01" w:rsidRPr="00143F01" w:rsidRDefault="00143F01" w:rsidP="00143F01">
      <w:pPr>
        <w:spacing w:after="0" w:line="240" w:lineRule="auto"/>
        <w:jc w:val="both"/>
      </w:pPr>
      <w:r w:rsidRPr="00143F01">
        <w:rPr>
          <w:b/>
          <w:bCs/>
          <w:i/>
          <w:iCs/>
        </w:rPr>
        <w:t>Biome</w:t>
      </w:r>
      <w:r w:rsidRPr="00143F01">
        <w:t xml:space="preserve"> : ensemble d'</w:t>
      </w:r>
      <w:hyperlink r:id="rId4409" w:history="1">
        <w:r w:rsidRPr="00143F01">
          <w:rPr>
            <w:rStyle w:val="Lienhypertexte"/>
          </w:rPr>
          <w:t>écosystèmes</w:t>
        </w:r>
      </w:hyperlink>
      <w:r w:rsidRPr="00143F01">
        <w:t> caractéristique d'une aire biogéographique et nommé à partir de la </w:t>
      </w:r>
      <w:hyperlink r:id="rId4410" w:history="1">
        <w:r w:rsidRPr="00143F01">
          <w:rPr>
            <w:rStyle w:val="Lienhypertexte"/>
          </w:rPr>
          <w:t>végétation</w:t>
        </w:r>
      </w:hyperlink>
      <w:r w:rsidRPr="00143F01">
        <w:t> et des espèces </w:t>
      </w:r>
      <w:hyperlink r:id="rId4411" w:history="1">
        <w:r w:rsidRPr="00143F01">
          <w:rPr>
            <w:rStyle w:val="Lienhypertexte"/>
          </w:rPr>
          <w:t>animales</w:t>
        </w:r>
      </w:hyperlink>
      <w:r w:rsidRPr="00143F01">
        <w:t> qui y prédominent et y sont adaptées.</w:t>
      </w:r>
      <w:r>
        <w:t xml:space="preserve"> </w:t>
      </w:r>
      <w:r w:rsidRPr="00143F01">
        <w:t>Il est appelé aussi macro</w:t>
      </w:r>
      <w:r>
        <w:t>-</w:t>
      </w:r>
      <w:r w:rsidRPr="00143F01">
        <w:t>écosystème, aire biotique, écozone ou </w:t>
      </w:r>
      <w:hyperlink r:id="rId4412" w:history="1">
        <w:r w:rsidRPr="00143F01">
          <w:rPr>
            <w:rStyle w:val="Lienhypertexte"/>
          </w:rPr>
          <w:t>écorégion</w:t>
        </w:r>
      </w:hyperlink>
      <w:r w:rsidRPr="00143F01">
        <w:t>.</w:t>
      </w:r>
    </w:p>
    <w:p w14:paraId="3F2C4E03" w14:textId="77777777" w:rsidR="00143F01" w:rsidRPr="00143F01" w:rsidRDefault="00143F01" w:rsidP="00143F01">
      <w:pPr>
        <w:spacing w:after="0" w:line="240" w:lineRule="auto"/>
        <w:jc w:val="both"/>
      </w:pPr>
      <w:r w:rsidRPr="00143F01">
        <w:rPr>
          <w:b/>
          <w:bCs/>
          <w:i/>
          <w:iCs/>
        </w:rPr>
        <w:t>Caduc</w:t>
      </w:r>
      <w:r w:rsidRPr="00143F01">
        <w:rPr>
          <w:i/>
          <w:iCs/>
        </w:rPr>
        <w:t xml:space="preserve"> : (Botanique)</w:t>
      </w:r>
      <w:r w:rsidRPr="00143F01">
        <w:t> Se dit d’un </w:t>
      </w:r>
      <w:hyperlink r:id="rId4413" w:history="1">
        <w:r w:rsidRPr="00143F01">
          <w:rPr>
            <w:rStyle w:val="Lienhypertexte"/>
          </w:rPr>
          <w:t>organe</w:t>
        </w:r>
      </w:hyperlink>
      <w:r w:rsidRPr="00143F01">
        <w:t xml:space="preserve"> (</w:t>
      </w:r>
      <w:hyperlink r:id="rId4414" w:history="1">
        <w:r w:rsidRPr="00143F01">
          <w:rPr>
            <w:rStyle w:val="Lienhypertexte"/>
          </w:rPr>
          <w:t>feuilles</w:t>
        </w:r>
      </w:hyperlink>
      <w:r w:rsidRPr="00143F01">
        <w:t xml:space="preserve"> …) se </w:t>
      </w:r>
      <w:hyperlink r:id="rId4415" w:history="1">
        <w:r w:rsidRPr="00143F01">
          <w:rPr>
            <w:rStyle w:val="Lienhypertexte"/>
          </w:rPr>
          <w:t>détachant</w:t>
        </w:r>
      </w:hyperlink>
      <w:r w:rsidRPr="00143F01">
        <w:t> et </w:t>
      </w:r>
      <w:hyperlink r:id="rId4416" w:history="1">
        <w:r w:rsidRPr="00143F01">
          <w:rPr>
            <w:rStyle w:val="Lienhypertexte"/>
          </w:rPr>
          <w:t>tombant</w:t>
        </w:r>
      </w:hyperlink>
      <w:r w:rsidRPr="00143F01">
        <w:t> chaque </w:t>
      </w:r>
      <w:hyperlink r:id="rId4417" w:history="1">
        <w:r w:rsidRPr="00143F01">
          <w:rPr>
            <w:rStyle w:val="Lienhypertexte"/>
          </w:rPr>
          <w:t>année</w:t>
        </w:r>
      </w:hyperlink>
      <w:r w:rsidRPr="00143F01">
        <w:t>.</w:t>
      </w:r>
    </w:p>
    <w:p w14:paraId="21B9906C" w14:textId="77777777" w:rsidR="00143F01" w:rsidRPr="00143F01" w:rsidRDefault="00143F01" w:rsidP="00143F01">
      <w:pPr>
        <w:spacing w:after="0" w:line="240" w:lineRule="auto"/>
        <w:jc w:val="both"/>
      </w:pPr>
      <w:r w:rsidRPr="00143F01">
        <w:rPr>
          <w:b/>
          <w:bCs/>
          <w:i/>
          <w:iCs/>
        </w:rPr>
        <w:t>Calcicole</w:t>
      </w:r>
      <w:r w:rsidRPr="00143F01">
        <w:t xml:space="preserve"> ou </w:t>
      </w:r>
      <w:r w:rsidRPr="00143F01">
        <w:rPr>
          <w:b/>
          <w:bCs/>
          <w:i/>
          <w:iCs/>
        </w:rPr>
        <w:t>calcicline</w:t>
      </w:r>
      <w:r w:rsidRPr="00143F01">
        <w:t xml:space="preserve"> ou </w:t>
      </w:r>
      <w:r w:rsidRPr="00143F01">
        <w:rPr>
          <w:b/>
          <w:bCs/>
          <w:i/>
          <w:iCs/>
        </w:rPr>
        <w:t>calcaricole</w:t>
      </w:r>
      <w:r w:rsidRPr="00143F01">
        <w:t xml:space="preserve"> : plantes préférant les sols calcaires (Origan …).</w:t>
      </w:r>
    </w:p>
    <w:p w14:paraId="66E65613" w14:textId="77777777" w:rsidR="00143F01" w:rsidRPr="00143F01" w:rsidRDefault="00143F01" w:rsidP="00143F01">
      <w:pPr>
        <w:spacing w:after="0" w:line="240" w:lineRule="auto"/>
        <w:jc w:val="both"/>
      </w:pPr>
      <w:r w:rsidRPr="00143F01">
        <w:rPr>
          <w:b/>
          <w:bCs/>
          <w:i/>
          <w:iCs/>
        </w:rPr>
        <w:t xml:space="preserve">Cortège floristique </w:t>
      </w:r>
      <w:r w:rsidRPr="00143F01">
        <w:t xml:space="preserve">: Ensemble des espèces de plantes caractérisant un habitat donné. </w:t>
      </w:r>
    </w:p>
    <w:p w14:paraId="2D8104C0" w14:textId="77777777" w:rsidR="00143F01" w:rsidRPr="00143F01" w:rsidRDefault="00143F01" w:rsidP="00143F01">
      <w:pPr>
        <w:spacing w:after="0" w:line="240" w:lineRule="auto"/>
        <w:jc w:val="both"/>
      </w:pPr>
      <w:r w:rsidRPr="00143F01">
        <w:rPr>
          <w:b/>
          <w:bCs/>
          <w:i/>
          <w:iCs/>
        </w:rPr>
        <w:t>Décidu</w:t>
      </w:r>
      <w:r w:rsidRPr="00143F01">
        <w:t xml:space="preserve"> : </w:t>
      </w:r>
      <w:r w:rsidRPr="00143F01">
        <w:rPr>
          <w:i/>
          <w:iCs/>
        </w:rPr>
        <w:t>(Botanique)</w:t>
      </w:r>
      <w:r w:rsidRPr="00143F01">
        <w:t> Synonyme de </w:t>
      </w:r>
      <w:hyperlink r:id="rId4418" w:history="1">
        <w:r w:rsidRPr="00143F01">
          <w:rPr>
            <w:rStyle w:val="Lienhypertexte"/>
          </w:rPr>
          <w:t>caduc</w:t>
        </w:r>
      </w:hyperlink>
      <w:r w:rsidRPr="00143F01">
        <w:t>.</w:t>
      </w:r>
    </w:p>
    <w:p w14:paraId="499FF82A" w14:textId="77777777" w:rsidR="00143F01" w:rsidRPr="00143F01" w:rsidRDefault="00143F01" w:rsidP="00143F01">
      <w:pPr>
        <w:spacing w:after="0" w:line="240" w:lineRule="auto"/>
        <w:jc w:val="both"/>
      </w:pPr>
      <w:r w:rsidRPr="00143F01">
        <w:rPr>
          <w:b/>
          <w:bCs/>
          <w:i/>
          <w:iCs/>
        </w:rPr>
        <w:t>Edaphique</w:t>
      </w:r>
      <w:r w:rsidRPr="00143F01">
        <w:t xml:space="preserve"> : ce qui a trait à un facteur écologique lié au sol (pH, humidité, etc.). Ce qui se rapporte au sol.</w:t>
      </w:r>
    </w:p>
    <w:p w14:paraId="190048DD" w14:textId="77777777" w:rsidR="00143F01" w:rsidRPr="00143F01" w:rsidRDefault="00143F01" w:rsidP="00143F01">
      <w:pPr>
        <w:spacing w:after="0" w:line="240" w:lineRule="auto"/>
        <w:jc w:val="both"/>
      </w:pPr>
      <w:r w:rsidRPr="00143F01">
        <w:rPr>
          <w:b/>
          <w:bCs/>
          <w:i/>
          <w:iCs/>
        </w:rPr>
        <w:t>Euryèce</w:t>
      </w:r>
      <w:r w:rsidRPr="00143F01">
        <w:t xml:space="preserve"> : plante pouvant supporter d'importantes variations vis-à-vis de facteurs écologiques, tels que la </w:t>
      </w:r>
      <w:hyperlink r:id="rId4419" w:history="1">
        <w:r w:rsidRPr="00143F01">
          <w:rPr>
            <w:rStyle w:val="Lienhypertexte"/>
          </w:rPr>
          <w:t>température</w:t>
        </w:r>
      </w:hyperlink>
      <w:r w:rsidRPr="00143F01">
        <w:t> (on dit que l'</w:t>
      </w:r>
      <w:hyperlink r:id="rId4420" w:history="1">
        <w:r w:rsidRPr="00143F01">
          <w:rPr>
            <w:rStyle w:val="Lienhypertexte"/>
          </w:rPr>
          <w:t>espèce</w:t>
        </w:r>
      </w:hyperlink>
      <w:r w:rsidRPr="00143F01">
        <w:t> est </w:t>
      </w:r>
      <w:r w:rsidRPr="00143F01">
        <w:rPr>
          <w:i/>
          <w:iCs/>
        </w:rPr>
        <w:t>eurytherme</w:t>
      </w:r>
      <w:r w:rsidRPr="00143F01">
        <w:t>), ou la salinité (</w:t>
      </w:r>
      <w:r w:rsidRPr="00143F01">
        <w:rPr>
          <w:i/>
          <w:iCs/>
        </w:rPr>
        <w:t>euryhalin</w:t>
      </w:r>
      <w:r w:rsidRPr="00143F01">
        <w:t>)...</w:t>
      </w:r>
    </w:p>
    <w:p w14:paraId="3AF80573" w14:textId="77777777" w:rsidR="00143F01" w:rsidRPr="00143F01" w:rsidRDefault="00143F01" w:rsidP="00143F01">
      <w:pPr>
        <w:spacing w:after="0" w:line="240" w:lineRule="auto"/>
        <w:jc w:val="both"/>
      </w:pPr>
      <w:r w:rsidRPr="00143F01">
        <w:rPr>
          <w:b/>
          <w:bCs/>
          <w:i/>
          <w:iCs/>
        </w:rPr>
        <w:t>Eutrophe</w:t>
      </w:r>
      <w:r w:rsidRPr="00143F01">
        <w:t xml:space="preserve"> : Milieu riche en éléments nutritifs minéraux.</w:t>
      </w:r>
    </w:p>
    <w:p w14:paraId="57F5EB56" w14:textId="77777777" w:rsidR="00143F01" w:rsidRPr="00143F01" w:rsidRDefault="00143F01" w:rsidP="00143F01">
      <w:pPr>
        <w:spacing w:after="0" w:line="240" w:lineRule="auto"/>
        <w:jc w:val="both"/>
      </w:pPr>
      <w:r w:rsidRPr="00143F01">
        <w:rPr>
          <w:b/>
          <w:bCs/>
          <w:i/>
          <w:iCs/>
        </w:rPr>
        <w:t>Exogène</w:t>
      </w:r>
      <w:r w:rsidRPr="00143F01">
        <w:t xml:space="preserve"> : Qui </w:t>
      </w:r>
      <w:hyperlink r:id="rId4421" w:history="1">
        <w:r w:rsidRPr="00143F01">
          <w:rPr>
            <w:rStyle w:val="Lienhypertexte"/>
          </w:rPr>
          <w:t>provient</w:t>
        </w:r>
      </w:hyperlink>
      <w:r w:rsidRPr="00143F01">
        <w:t> de l’</w:t>
      </w:r>
      <w:hyperlink r:id="rId4422" w:history="1">
        <w:r w:rsidRPr="00143F01">
          <w:rPr>
            <w:rStyle w:val="Lienhypertexte"/>
          </w:rPr>
          <w:t>extérieur</w:t>
        </w:r>
      </w:hyperlink>
      <w:r w:rsidRPr="00143F01">
        <w:t>, du dehors (Wiktionary). Le terme exogène est parfois utilisé dans le </w:t>
      </w:r>
      <w:hyperlink r:id="rId4423" w:history="1">
        <w:r w:rsidRPr="00143F01">
          <w:rPr>
            <w:rStyle w:val="Lienhypertexte"/>
          </w:rPr>
          <w:t>langage courant</w:t>
        </w:r>
      </w:hyperlink>
      <w:r w:rsidRPr="00143F01">
        <w:t> comme synonyme d'</w:t>
      </w:r>
      <w:r w:rsidRPr="00143F01">
        <w:rPr>
          <w:i/>
          <w:iCs/>
        </w:rPr>
        <w:t>étranger</w:t>
      </w:r>
      <w:r w:rsidRPr="00143F01">
        <w:t>, par opposition à </w:t>
      </w:r>
      <w:hyperlink r:id="rId4424" w:history="1">
        <w:r w:rsidRPr="00143F01">
          <w:rPr>
            <w:rStyle w:val="Lienhypertexte"/>
            <w:i/>
            <w:iCs/>
          </w:rPr>
          <w:t>indigène</w:t>
        </w:r>
      </w:hyperlink>
      <w:r w:rsidRPr="00143F01">
        <w:t xml:space="preserve"> (Wikipedia).</w:t>
      </w:r>
    </w:p>
    <w:p w14:paraId="105224ED" w14:textId="77777777" w:rsidR="00143F01" w:rsidRPr="00143F01" w:rsidRDefault="00143F01" w:rsidP="00143F01">
      <w:pPr>
        <w:spacing w:after="0" w:line="240" w:lineRule="auto"/>
        <w:jc w:val="both"/>
      </w:pPr>
      <w:r w:rsidRPr="00143F01">
        <w:rPr>
          <w:b/>
          <w:bCs/>
          <w:i/>
          <w:iCs/>
        </w:rPr>
        <w:t>Halophile</w:t>
      </w:r>
      <w:r w:rsidRPr="00143F01">
        <w:t>: plante tolérante à l'air marin. Qui pousse naturellement dans les terrains imprégnés de sel.</w:t>
      </w:r>
    </w:p>
    <w:p w14:paraId="3A5F540A" w14:textId="77777777" w:rsidR="00143F01" w:rsidRPr="00143F01" w:rsidRDefault="00143F01" w:rsidP="00143F01">
      <w:pPr>
        <w:spacing w:after="0" w:line="240" w:lineRule="auto"/>
        <w:jc w:val="both"/>
      </w:pPr>
      <w:r w:rsidRPr="00143F01">
        <w:rPr>
          <w:b/>
          <w:bCs/>
          <w:i/>
          <w:iCs/>
        </w:rPr>
        <w:t>Héliophile</w:t>
      </w:r>
      <w:r w:rsidRPr="00143F01">
        <w:t xml:space="preserve"> : plante ayant besoin de lumière. </w:t>
      </w:r>
      <w:r w:rsidRPr="00143F01">
        <w:rPr>
          <w:u w:val="single"/>
        </w:rPr>
        <w:t>Note</w:t>
      </w:r>
      <w:r w:rsidRPr="00143F01">
        <w:t xml:space="preserve"> : la plupart des plantes invasives sont </w:t>
      </w:r>
      <w:r w:rsidRPr="00143F01">
        <w:rPr>
          <w:i/>
          <w:iCs/>
        </w:rPr>
        <w:t>héliophiles</w:t>
      </w:r>
      <w:r w:rsidRPr="00143F01">
        <w:t>.</w:t>
      </w:r>
    </w:p>
    <w:p w14:paraId="7627E975" w14:textId="77777777" w:rsidR="00143F01" w:rsidRPr="00143F01" w:rsidRDefault="00143F01" w:rsidP="00143F01">
      <w:pPr>
        <w:spacing w:after="0" w:line="240" w:lineRule="auto"/>
        <w:jc w:val="both"/>
      </w:pPr>
      <w:r w:rsidRPr="00143F01">
        <w:rPr>
          <w:b/>
          <w:bCs/>
          <w:i/>
          <w:iCs/>
        </w:rPr>
        <w:t>Hygrophile</w:t>
      </w:r>
      <w:r w:rsidRPr="00143F01">
        <w:t xml:space="preserve"> : plante se développant de préférence dans des milieux humides.</w:t>
      </w:r>
    </w:p>
    <w:p w14:paraId="00BD9B47" w14:textId="77777777" w:rsidR="00143F01" w:rsidRPr="00143F01" w:rsidRDefault="00143F01" w:rsidP="00143F01">
      <w:pPr>
        <w:spacing w:after="0" w:line="240" w:lineRule="auto"/>
        <w:jc w:val="both"/>
      </w:pPr>
      <w:r w:rsidRPr="00143F01">
        <w:rPr>
          <w:b/>
          <w:bCs/>
          <w:i/>
          <w:iCs/>
        </w:rPr>
        <w:t>Indigène</w:t>
      </w:r>
      <w:r w:rsidRPr="00143F01">
        <w:t xml:space="preserve"> : caractère plus ou moins </w:t>
      </w:r>
      <w:r w:rsidRPr="00143F01">
        <w:rPr>
          <w:i/>
          <w:iCs/>
        </w:rPr>
        <w:t>autochtone</w:t>
      </w:r>
      <w:r w:rsidRPr="00143F01">
        <w:t> ou non d'une espèce ou d'un taxon (genre, famille…). Selon une définition stricte, ne seraient pas indigènes toutes les espèces qui n’auraient jamais pu atteindre la région étudiée, sans les activités humaines (Pyšek, 1995).</w:t>
      </w:r>
    </w:p>
    <w:p w14:paraId="04FAAF1D" w14:textId="77777777" w:rsidR="00143F01" w:rsidRPr="00143F01" w:rsidRDefault="00143F01" w:rsidP="00143F01">
      <w:pPr>
        <w:spacing w:after="0" w:line="240" w:lineRule="auto"/>
        <w:jc w:val="both"/>
      </w:pPr>
      <w:r w:rsidRPr="00143F01">
        <w:rPr>
          <w:b/>
          <w:bCs/>
          <w:i/>
          <w:iCs/>
        </w:rPr>
        <w:t>Nitrophile</w:t>
      </w:r>
      <w:r w:rsidRPr="00143F01">
        <w:t xml:space="preserve"> : Qualifie une espèce végétale croissant préférentiellement sur des sols riches en éléments azotés (Ortie …). </w:t>
      </w:r>
    </w:p>
    <w:p w14:paraId="201CA77B" w14:textId="77777777" w:rsidR="00143F01" w:rsidRPr="00143F01" w:rsidRDefault="00143F01" w:rsidP="00143F01">
      <w:pPr>
        <w:spacing w:after="0" w:line="240" w:lineRule="auto"/>
        <w:jc w:val="both"/>
      </w:pPr>
      <w:r w:rsidRPr="00143F01">
        <w:rPr>
          <w:b/>
          <w:bCs/>
          <w:i/>
          <w:iCs/>
        </w:rPr>
        <w:t>Ombrophile</w:t>
      </w:r>
      <w:r w:rsidRPr="00143F01">
        <w:t xml:space="preserve"> : voir </w:t>
      </w:r>
      <w:r w:rsidRPr="00143F01">
        <w:rPr>
          <w:i/>
          <w:iCs/>
        </w:rPr>
        <w:t>sciaphile</w:t>
      </w:r>
      <w:r w:rsidRPr="00143F01">
        <w:t>.</w:t>
      </w:r>
    </w:p>
    <w:p w14:paraId="0651E4A6" w14:textId="77777777" w:rsidR="00143F01" w:rsidRPr="00143F01" w:rsidRDefault="00143F01" w:rsidP="00143F01">
      <w:pPr>
        <w:spacing w:after="0" w:line="240" w:lineRule="auto"/>
        <w:jc w:val="both"/>
      </w:pPr>
      <w:r w:rsidRPr="00143F01">
        <w:rPr>
          <w:b/>
          <w:bCs/>
          <w:i/>
          <w:iCs/>
        </w:rPr>
        <w:t>Pionnière</w:t>
      </w:r>
      <w:r w:rsidRPr="00143F01">
        <w:t xml:space="preserve"> (</w:t>
      </w:r>
      <w:r w:rsidRPr="00143F01">
        <w:rPr>
          <w:i/>
          <w:iCs/>
        </w:rPr>
        <w:t>Espèce</w:t>
      </w:r>
      <w:r w:rsidRPr="00143F01">
        <w:t xml:space="preserve">) : espèce capable de coloniser un milieu instable, très pauvre en matière organique et aux conditions édaphiques et climatiques difficiles : sol très fin ou inexistant, absence d’eau, forte chaleur, etc. </w:t>
      </w:r>
      <w:r w:rsidRPr="00143F01">
        <w:rPr>
          <w:u w:val="single"/>
        </w:rPr>
        <w:t>Note</w:t>
      </w:r>
      <w:r w:rsidRPr="00143F01">
        <w:t xml:space="preserve"> : Presque toutes les plantes invasives sont </w:t>
      </w:r>
      <w:r w:rsidRPr="00143F01">
        <w:rPr>
          <w:i/>
          <w:iCs/>
        </w:rPr>
        <w:t>pionnières</w:t>
      </w:r>
      <w:r w:rsidRPr="00143F01">
        <w:t>.</w:t>
      </w:r>
    </w:p>
    <w:p w14:paraId="0EBD6905" w14:textId="77777777" w:rsidR="00143F01" w:rsidRPr="00143F01" w:rsidRDefault="00143F01" w:rsidP="00143F01">
      <w:pPr>
        <w:spacing w:after="0" w:line="240" w:lineRule="auto"/>
        <w:jc w:val="both"/>
      </w:pPr>
      <w:r w:rsidRPr="00143F01">
        <w:rPr>
          <w:b/>
          <w:bCs/>
          <w:i/>
          <w:iCs/>
        </w:rPr>
        <w:t>Plante parasitaire non-chlorophyllienne</w:t>
      </w:r>
      <w:r w:rsidRPr="00143F01">
        <w:t xml:space="preserve"> : Qualifie une plante ne produisant pas sa propre matière organique par le biais de la photosynthèse mais parasitant d’autres individus pour la lui fournir. </w:t>
      </w:r>
    </w:p>
    <w:p w14:paraId="1372A332" w14:textId="77777777" w:rsidR="00143F01" w:rsidRPr="00143F01" w:rsidRDefault="00143F01" w:rsidP="00143F01">
      <w:pPr>
        <w:spacing w:after="0" w:line="240" w:lineRule="auto"/>
        <w:jc w:val="both"/>
      </w:pPr>
      <w:r w:rsidRPr="00143F01">
        <w:rPr>
          <w:b/>
          <w:bCs/>
          <w:i/>
          <w:iCs/>
        </w:rPr>
        <w:t>Sempervirent</w:t>
      </w:r>
      <w:r w:rsidRPr="00143F01">
        <w:t xml:space="preserve"> : « à feuillage persistant », qui reste toujours vert ou toujours fleuri.</w:t>
      </w:r>
    </w:p>
    <w:p w14:paraId="2FEB841A" w14:textId="77777777" w:rsidR="00143F01" w:rsidRPr="00143F01" w:rsidRDefault="00143F01" w:rsidP="00143F01">
      <w:pPr>
        <w:spacing w:after="0" w:line="240" w:lineRule="auto"/>
        <w:jc w:val="both"/>
      </w:pPr>
      <w:r w:rsidRPr="00143F01">
        <w:rPr>
          <w:b/>
          <w:bCs/>
          <w:i/>
          <w:iCs/>
        </w:rPr>
        <w:t>Sciaphile</w:t>
      </w:r>
      <w:r w:rsidRPr="00143F01">
        <w:t xml:space="preserve"> : plante qui supportent l'ombre.</w:t>
      </w:r>
    </w:p>
    <w:p w14:paraId="7937ADD9" w14:textId="77777777" w:rsidR="00143F01" w:rsidRPr="00143F01" w:rsidRDefault="00143F01" w:rsidP="00143F01">
      <w:pPr>
        <w:spacing w:after="0" w:line="240" w:lineRule="auto"/>
        <w:jc w:val="both"/>
      </w:pPr>
      <w:r w:rsidRPr="00143F01">
        <w:rPr>
          <w:b/>
          <w:bCs/>
          <w:i/>
          <w:iCs/>
        </w:rPr>
        <w:t>Syntaxon</w:t>
      </w:r>
      <w:r w:rsidRPr="00143F01">
        <w:t xml:space="preserve"> : Unité de classification phytosociologique.</w:t>
      </w:r>
    </w:p>
    <w:p w14:paraId="68156291" w14:textId="77777777" w:rsidR="00143F01" w:rsidRPr="00143F01" w:rsidRDefault="00143F01" w:rsidP="00143F01">
      <w:pPr>
        <w:spacing w:after="0" w:line="240" w:lineRule="auto"/>
        <w:jc w:val="both"/>
      </w:pPr>
      <w:r w:rsidRPr="00143F01">
        <w:rPr>
          <w:b/>
          <w:bCs/>
          <w:i/>
          <w:iCs/>
        </w:rPr>
        <w:t>Ubiquiste</w:t>
      </w:r>
      <w:r w:rsidRPr="00143F01">
        <w:t xml:space="preserve"> : Se dit des espèces animales et végétales que l'on rencontre dans des milieux écologiques très différents (Larousse).</w:t>
      </w:r>
    </w:p>
    <w:p w14:paraId="17733928" w14:textId="77777777" w:rsidR="00143F01" w:rsidRPr="00143F01" w:rsidRDefault="00143F01" w:rsidP="00143F01">
      <w:pPr>
        <w:spacing w:after="0" w:line="240" w:lineRule="auto"/>
        <w:jc w:val="both"/>
      </w:pPr>
      <w:r w:rsidRPr="00143F01">
        <w:rPr>
          <w:b/>
          <w:bCs/>
          <w:i/>
          <w:iCs/>
        </w:rPr>
        <w:t>Xérophile</w:t>
      </w:r>
      <w:r w:rsidRPr="00143F01">
        <w:t xml:space="preserve"> : plante adaptée à la sécheresse.</w:t>
      </w:r>
    </w:p>
    <w:p w14:paraId="1E055F4F" w14:textId="47471201" w:rsidR="00143F01" w:rsidRDefault="00143F01" w:rsidP="00143F01">
      <w:pPr>
        <w:spacing w:after="0" w:line="240" w:lineRule="auto"/>
        <w:jc w:val="both"/>
      </w:pPr>
    </w:p>
    <w:p w14:paraId="6F9E391B" w14:textId="77777777" w:rsidR="00143F01" w:rsidRPr="00143F01" w:rsidRDefault="00143F01" w:rsidP="00143F01">
      <w:pPr>
        <w:spacing w:after="0" w:line="240" w:lineRule="auto"/>
        <w:jc w:val="both"/>
      </w:pPr>
      <w:r w:rsidRPr="00143F01">
        <w:t xml:space="preserve">Sources : « </w:t>
      </w:r>
      <w:r w:rsidRPr="00143F01">
        <w:rPr>
          <w:i/>
          <w:iCs/>
        </w:rPr>
        <w:t xml:space="preserve">Dictionnaire de sociologie et synécologie végétales </w:t>
      </w:r>
      <w:r w:rsidRPr="00143F01">
        <w:t>», Jean-Marie Géhu, 2006.</w:t>
      </w:r>
    </w:p>
    <w:p w14:paraId="2401BD91" w14:textId="77777777" w:rsidR="00143F01" w:rsidRPr="00143F01" w:rsidRDefault="00143F01" w:rsidP="00143F01">
      <w:pPr>
        <w:spacing w:after="0" w:line="240" w:lineRule="auto"/>
        <w:jc w:val="both"/>
      </w:pPr>
      <w:r w:rsidRPr="00143F01">
        <w:t xml:space="preserve">Les sols et l'habitat, les arbres, </w:t>
      </w:r>
      <w:hyperlink r:id="rId4425" w:history="1">
        <w:r w:rsidRPr="00143F01">
          <w:rPr>
            <w:rStyle w:val="Lienhypertexte"/>
          </w:rPr>
          <w:t>http://www.lesarbres.fr/sol.php</w:t>
        </w:r>
      </w:hyperlink>
      <w:r w:rsidRPr="00143F01">
        <w:t xml:space="preserve"> </w:t>
      </w:r>
    </w:p>
    <w:p w14:paraId="0C8A95AB" w14:textId="175F4A71" w:rsidR="00143F01" w:rsidRDefault="00143F01" w:rsidP="00143F01">
      <w:pPr>
        <w:spacing w:after="0" w:line="240" w:lineRule="auto"/>
        <w:jc w:val="both"/>
      </w:pPr>
    </w:p>
    <w:p w14:paraId="3DB79DDA" w14:textId="16362CA3" w:rsidR="00143F01" w:rsidRDefault="00143F01" w:rsidP="00143F01">
      <w:pPr>
        <w:pStyle w:val="Titre1"/>
      </w:pPr>
      <w:bookmarkStart w:id="402" w:name="_Toc139181692"/>
      <w:r w:rsidRPr="00143F01">
        <w:t>Annexe : Glossaire sur l'irrigation et le stockage de l’eau</w:t>
      </w:r>
      <w:bookmarkEnd w:id="402"/>
    </w:p>
    <w:p w14:paraId="375B205D" w14:textId="3DF55DA3" w:rsidR="00143F01" w:rsidRDefault="00143F01" w:rsidP="00143F01">
      <w:pPr>
        <w:spacing w:after="0" w:line="240" w:lineRule="auto"/>
        <w:jc w:val="both"/>
      </w:pPr>
    </w:p>
    <w:p w14:paraId="438C58AD" w14:textId="1EE7DDCC" w:rsidR="00592363" w:rsidRDefault="00592363" w:rsidP="00592363">
      <w:pPr>
        <w:spacing w:after="0" w:line="240" w:lineRule="auto"/>
        <w:jc w:val="both"/>
      </w:pPr>
      <w:r w:rsidRPr="00592363">
        <w:rPr>
          <w:b/>
          <w:bCs/>
          <w:i/>
          <w:iCs/>
        </w:rPr>
        <w:t xml:space="preserve">Alignement de pierres </w:t>
      </w:r>
      <w:r w:rsidRPr="00592363">
        <w:t>: seule rangée de pierres plantées dans le sol pour ralentir le ruissellement, piéger des particules (limon et matière organique) transportées par le ruissellement, ainsi que des sables éoliens.</w:t>
      </w:r>
    </w:p>
    <w:p w14:paraId="4034A058" w14:textId="2C92A0F9" w:rsidR="00DD5F27" w:rsidRPr="00592363" w:rsidRDefault="00DD5F27" w:rsidP="00592363">
      <w:pPr>
        <w:spacing w:after="0" w:line="240" w:lineRule="auto"/>
        <w:jc w:val="both"/>
      </w:pPr>
      <w:r w:rsidRPr="00DD5F27">
        <w:rPr>
          <w:b/>
          <w:bCs/>
          <w:i/>
          <w:iCs/>
        </w:rPr>
        <w:t>Baissière</w:t>
      </w:r>
      <w:r w:rsidRPr="00DD5F27">
        <w:t xml:space="preserve"> (ou swale ou noue d'infiltration) : sorte de fossé peu profond et large, végétalisé, tracé le long des courbes de niveau et qui recueille provisoirement de l’eau. Cet ouvrage permet de capter les eaux de ruissèlement et de les infiltrer dans le sol progressivement pour les y stocker. Les talus de celles-ci sont plantés d’arbres (forêt fruitière et même quelques légumes) qui bénéficient de la présence d’eau quasi-constante en sous-sol. Source : </w:t>
      </w:r>
      <w:hyperlink r:id="rId4426" w:history="1">
        <w:r w:rsidRPr="00DD5F27">
          <w:rPr>
            <w:rStyle w:val="Lienhypertexte"/>
          </w:rPr>
          <w:t>https://chemincueillant.wordpress.com/tag/fruitiers/</w:t>
        </w:r>
      </w:hyperlink>
      <w:r w:rsidRPr="00DD5F27">
        <w:t xml:space="preserve"> </w:t>
      </w:r>
    </w:p>
    <w:p w14:paraId="7A32B338" w14:textId="4CA14EAD" w:rsidR="00592363" w:rsidRPr="00592363" w:rsidRDefault="00592363" w:rsidP="00592363">
      <w:pPr>
        <w:spacing w:after="0" w:line="240" w:lineRule="auto"/>
        <w:jc w:val="both"/>
      </w:pPr>
      <w:r w:rsidRPr="00592363">
        <w:rPr>
          <w:b/>
          <w:bCs/>
          <w:i/>
          <w:iCs/>
        </w:rPr>
        <w:t xml:space="preserve">Banquette anti-érosive </w:t>
      </w:r>
      <w:r w:rsidRPr="00592363">
        <w:t xml:space="preserve">: très grande </w:t>
      </w:r>
      <w:r w:rsidR="00DD5F27" w:rsidRPr="00592363">
        <w:t>demi-lune</w:t>
      </w:r>
      <w:r w:rsidRPr="00592363">
        <w:t>, présentant un bourrelet non franchissable, un gradin et un fossé. La banquette finie mesure 80 ml et 70 cm de profondeur.</w:t>
      </w:r>
    </w:p>
    <w:p w14:paraId="06126B66" w14:textId="77777777" w:rsidR="00592363" w:rsidRPr="00592363" w:rsidRDefault="00592363" w:rsidP="00592363">
      <w:pPr>
        <w:spacing w:after="0" w:line="240" w:lineRule="auto"/>
        <w:jc w:val="both"/>
      </w:pPr>
      <w:r w:rsidRPr="00592363">
        <w:rPr>
          <w:b/>
          <w:bCs/>
          <w:i/>
          <w:iCs/>
        </w:rPr>
        <w:t>Billon</w:t>
      </w:r>
      <w:r w:rsidRPr="00592363">
        <w:t xml:space="preserve"> (Agriculture) : Ados plus ou moins large et bombé qu’on forme dans un terrain avec la charrue. Bourrelet de terre.</w:t>
      </w:r>
    </w:p>
    <w:p w14:paraId="0BAEEBDE" w14:textId="77777777" w:rsidR="00592363" w:rsidRPr="00592363" w:rsidRDefault="00592363" w:rsidP="00592363">
      <w:pPr>
        <w:spacing w:after="0" w:line="240" w:lineRule="auto"/>
        <w:jc w:val="both"/>
      </w:pPr>
      <w:r w:rsidRPr="00592363">
        <w:rPr>
          <w:b/>
          <w:bCs/>
          <w:i/>
          <w:iCs/>
        </w:rPr>
        <w:t>Citerne</w:t>
      </w:r>
      <w:r w:rsidRPr="00592363">
        <w:t xml:space="preserve"> : Une </w:t>
      </w:r>
      <w:r w:rsidRPr="00592363">
        <w:rPr>
          <w:b/>
          <w:bCs/>
        </w:rPr>
        <w:t>citerne</w:t>
      </w:r>
      <w:r w:rsidRPr="00592363">
        <w:t> est un aménagement, généralement souterrain, destiné à la collecte des </w:t>
      </w:r>
      <w:hyperlink r:id="rId4427" w:history="1">
        <w:r w:rsidRPr="00592363">
          <w:rPr>
            <w:rStyle w:val="Lienhypertexte"/>
          </w:rPr>
          <w:t>eaux de pluie</w:t>
        </w:r>
      </w:hyperlink>
      <w:r w:rsidRPr="00592363">
        <w:t> et à leur rétention afin d'en permettre une utilisation régulière, quotidienne (bien souvent domestique à l'origine), ou une exploitation plus exceptionnelle en cas de </w:t>
      </w:r>
      <w:hyperlink r:id="rId4428" w:history="1">
        <w:r w:rsidRPr="00592363">
          <w:rPr>
            <w:rStyle w:val="Lienhypertexte"/>
          </w:rPr>
          <w:t>sécheresse</w:t>
        </w:r>
      </w:hyperlink>
      <w:r w:rsidRPr="00592363">
        <w:t> ou d'incendie. Lorsqu'il est à l'air libre on parle aussi de réservoir.</w:t>
      </w:r>
    </w:p>
    <w:p w14:paraId="509B65E2" w14:textId="77777777" w:rsidR="00592363" w:rsidRPr="00592363" w:rsidRDefault="00592363" w:rsidP="00592363">
      <w:pPr>
        <w:spacing w:after="0" w:line="240" w:lineRule="auto"/>
        <w:jc w:val="both"/>
      </w:pPr>
      <w:r w:rsidRPr="00592363">
        <w:rPr>
          <w:b/>
          <w:bCs/>
          <w:i/>
          <w:iCs/>
        </w:rPr>
        <w:t xml:space="preserve">Cordons pierreux </w:t>
      </w:r>
      <w:r w:rsidRPr="00592363">
        <w:t>: petits murets de pierre de 25 cm de haut construits suivant les courbes de niveau de la parcelle.</w:t>
      </w:r>
    </w:p>
    <w:p w14:paraId="74A07ED1" w14:textId="77777777" w:rsidR="00592363" w:rsidRPr="00592363" w:rsidRDefault="00592363" w:rsidP="00592363">
      <w:pPr>
        <w:spacing w:after="0" w:line="240" w:lineRule="auto"/>
        <w:jc w:val="both"/>
      </w:pPr>
      <w:r w:rsidRPr="00592363">
        <w:rPr>
          <w:b/>
          <w:bCs/>
          <w:i/>
          <w:iCs/>
        </w:rPr>
        <w:t xml:space="preserve">Déversoir </w:t>
      </w:r>
      <w:r w:rsidRPr="00592363">
        <w:t>ou</w:t>
      </w:r>
      <w:r w:rsidRPr="00592363">
        <w:rPr>
          <w:b/>
          <w:bCs/>
          <w:i/>
          <w:iCs/>
        </w:rPr>
        <w:t xml:space="preserve"> </w:t>
      </w:r>
      <w:hyperlink r:id="rId4429" w:history="1">
        <w:r w:rsidRPr="00592363">
          <w:rPr>
            <w:rStyle w:val="Lienhypertexte"/>
            <w:b/>
            <w:bCs/>
            <w:i/>
            <w:iCs/>
          </w:rPr>
          <w:t>Exutoire</w:t>
        </w:r>
      </w:hyperlink>
      <w:r w:rsidRPr="00592363">
        <w:t xml:space="preserve"> : a) </w:t>
      </w:r>
      <w:hyperlink r:id="rId4430" w:history="1">
        <w:r w:rsidRPr="00592363">
          <w:rPr>
            <w:rStyle w:val="Lienhypertexte"/>
          </w:rPr>
          <w:t>Orifice</w:t>
        </w:r>
      </w:hyperlink>
      <w:r w:rsidRPr="00592363">
        <w:t> par où </w:t>
      </w:r>
      <w:hyperlink r:id="rId4431" w:history="1">
        <w:r w:rsidRPr="00592363">
          <w:rPr>
            <w:rStyle w:val="Lienhypertexte"/>
          </w:rPr>
          <w:t>s’écoule</w:t>
        </w:r>
      </w:hyperlink>
      <w:r w:rsidRPr="00592363">
        <w:t> le </w:t>
      </w:r>
      <w:hyperlink r:id="rId4432" w:history="1">
        <w:r w:rsidRPr="00592363">
          <w:rPr>
            <w:rStyle w:val="Lienhypertexte"/>
          </w:rPr>
          <w:t>trop-plein</w:t>
        </w:r>
      </w:hyperlink>
      <w:r w:rsidRPr="00592363">
        <w:t> d’une </w:t>
      </w:r>
      <w:hyperlink r:id="rId4433" w:history="1">
        <w:r w:rsidRPr="00592363">
          <w:rPr>
            <w:rStyle w:val="Lienhypertexte"/>
          </w:rPr>
          <w:t>conduite</w:t>
        </w:r>
      </w:hyperlink>
      <w:r w:rsidRPr="00592363">
        <w:t> ou d’un </w:t>
      </w:r>
      <w:hyperlink r:id="rId4434" w:history="1">
        <w:r w:rsidRPr="00592363">
          <w:rPr>
            <w:rStyle w:val="Lienhypertexte"/>
          </w:rPr>
          <w:t>réservoir</w:t>
        </w:r>
      </w:hyperlink>
      <w:r w:rsidRPr="00592363">
        <w:t> d’</w:t>
      </w:r>
      <w:hyperlink r:id="rId4435" w:history="1">
        <w:r w:rsidRPr="00592363">
          <w:rPr>
            <w:rStyle w:val="Lienhypertexte"/>
          </w:rPr>
          <w:t>eau</w:t>
        </w:r>
      </w:hyperlink>
      <w:r w:rsidRPr="00592363">
        <w:t>. b) Tout </w:t>
      </w:r>
      <w:hyperlink r:id="rId4436" w:history="1">
        <w:r w:rsidRPr="00592363">
          <w:rPr>
            <w:rStyle w:val="Lienhypertexte"/>
          </w:rPr>
          <w:t>dispositif</w:t>
        </w:r>
      </w:hyperlink>
      <w:r w:rsidRPr="00592363">
        <w:t> qui sert à </w:t>
      </w:r>
      <w:hyperlink r:id="rId4437" w:history="1">
        <w:r w:rsidRPr="00592363">
          <w:rPr>
            <w:rStyle w:val="Lienhypertexte"/>
          </w:rPr>
          <w:t>juguler</w:t>
        </w:r>
      </w:hyperlink>
      <w:r w:rsidRPr="00592363">
        <w:t> un </w:t>
      </w:r>
      <w:hyperlink r:id="rId4438" w:history="1">
        <w:r w:rsidRPr="00592363">
          <w:rPr>
            <w:rStyle w:val="Lienhypertexte"/>
          </w:rPr>
          <w:t>excédent</w:t>
        </w:r>
      </w:hyperlink>
      <w:r w:rsidRPr="00592363">
        <w:t>. c) Ouvrage au-dessus duquel s'écoulent les eaux d'un canal, d'un cours d'eau, d'un barrage, etc. (Larousse).</w:t>
      </w:r>
    </w:p>
    <w:p w14:paraId="4C2E1176" w14:textId="77777777" w:rsidR="00592363" w:rsidRPr="00592363" w:rsidRDefault="00592363" w:rsidP="00592363">
      <w:pPr>
        <w:spacing w:after="0" w:line="240" w:lineRule="auto"/>
        <w:jc w:val="both"/>
      </w:pPr>
      <w:r w:rsidRPr="00592363">
        <w:rPr>
          <w:b/>
          <w:bCs/>
          <w:i/>
          <w:iCs/>
        </w:rPr>
        <w:t xml:space="preserve">Digues filtrantes </w:t>
      </w:r>
      <w:r w:rsidRPr="00592363">
        <w:t xml:space="preserve">: Ouvrage pierreux, poreux, construit au travers d’une zone de ruissellement fort, permettant l’épandage des crues et la protection des terres situées en aval. </w:t>
      </w:r>
    </w:p>
    <w:p w14:paraId="1E60A753" w14:textId="77777777" w:rsidR="00592363" w:rsidRPr="00592363" w:rsidRDefault="00592363" w:rsidP="00592363">
      <w:pPr>
        <w:spacing w:after="0" w:line="240" w:lineRule="auto"/>
        <w:jc w:val="both"/>
      </w:pPr>
      <w:r w:rsidRPr="00592363">
        <w:rPr>
          <w:b/>
          <w:bCs/>
          <w:i/>
          <w:iCs/>
        </w:rPr>
        <w:t>Demi-lune</w:t>
      </w:r>
      <w:r w:rsidRPr="00592363">
        <w:t xml:space="preserve"> (demi-cuvette) : diguette en forme de demi-lune (diamètre de 2 m à 6 m) qui permet de concentrer le ruissellement et sa charge en suspension sur des arbustes ou des cultures en poquets. </w:t>
      </w:r>
    </w:p>
    <w:p w14:paraId="7CFFCB41" w14:textId="77777777" w:rsidR="00592363" w:rsidRPr="00592363" w:rsidRDefault="00592363" w:rsidP="00592363">
      <w:pPr>
        <w:spacing w:after="0" w:line="240" w:lineRule="auto"/>
        <w:jc w:val="both"/>
      </w:pPr>
      <w:r w:rsidRPr="00592363">
        <w:rPr>
          <w:b/>
          <w:bCs/>
          <w:i/>
          <w:iCs/>
        </w:rPr>
        <w:t>Foggara</w:t>
      </w:r>
      <w:r w:rsidRPr="00592363">
        <w:t xml:space="preserve"> : canalisation souterraine construite pour alimenter les jardins dans les palmeraies, lorsqu’il n’est pas possible de creuser des puits.</w:t>
      </w:r>
    </w:p>
    <w:p w14:paraId="7C256DFA" w14:textId="77777777" w:rsidR="00592363" w:rsidRPr="00592363" w:rsidRDefault="00592363" w:rsidP="00592363">
      <w:pPr>
        <w:spacing w:after="0" w:line="240" w:lineRule="auto"/>
        <w:jc w:val="both"/>
      </w:pPr>
      <w:r w:rsidRPr="00592363">
        <w:rPr>
          <w:b/>
          <w:bCs/>
          <w:i/>
          <w:iCs/>
        </w:rPr>
        <w:t>Gabions</w:t>
      </w:r>
      <w:r w:rsidRPr="00592363">
        <w:t xml:space="preserve"> : cages métalliques remplies de pierres. Le but de cette technique est de combattre l’érosion hydrique en laissant passer à travers ces structures l’eau tout en retenant les matières contenues dans le sol. C’est une barrière semi-perméable qui, placée en aval d’une ravine, empêche l’érosion hydrique. De plus, leur souplesse leur permet d’éviter les cassures.</w:t>
      </w:r>
    </w:p>
    <w:p w14:paraId="42F90947" w14:textId="77777777" w:rsidR="00592363" w:rsidRPr="00592363" w:rsidRDefault="00592363" w:rsidP="00592363">
      <w:pPr>
        <w:spacing w:after="0" w:line="240" w:lineRule="auto"/>
        <w:jc w:val="both"/>
      </w:pPr>
      <w:r w:rsidRPr="00592363">
        <w:rPr>
          <w:b/>
          <w:bCs/>
          <w:i/>
          <w:iCs/>
        </w:rPr>
        <w:t>Impluvium</w:t>
      </w:r>
      <w:r w:rsidRPr="00592363">
        <w:t xml:space="preserve"> : système de captage et de stockage des eaux pluviales, composé d'une </w:t>
      </w:r>
      <w:r w:rsidRPr="00592363">
        <w:rPr>
          <w:i/>
          <w:iCs/>
        </w:rPr>
        <w:t>aire de captage</w:t>
      </w:r>
      <w:r w:rsidRPr="00592363">
        <w:t>, d'un </w:t>
      </w:r>
      <w:r w:rsidRPr="00592363">
        <w:rPr>
          <w:i/>
          <w:iCs/>
        </w:rPr>
        <w:t>système de transport</w:t>
      </w:r>
      <w:r w:rsidRPr="00592363">
        <w:t>, d'une « </w:t>
      </w:r>
      <w:r w:rsidRPr="00592363">
        <w:rPr>
          <w:i/>
          <w:iCs/>
        </w:rPr>
        <w:t>réserve</w:t>
      </w:r>
      <w:r w:rsidRPr="00592363">
        <w:t> » enterrée ou hors sol (bassin, réservoir, cuve, citerne, etc.).</w:t>
      </w:r>
    </w:p>
    <w:p w14:paraId="72F15499" w14:textId="77777777" w:rsidR="00592363" w:rsidRPr="00592363" w:rsidRDefault="00592363" w:rsidP="00592363">
      <w:pPr>
        <w:spacing w:after="0" w:line="240" w:lineRule="auto"/>
        <w:jc w:val="both"/>
      </w:pPr>
      <w:r w:rsidRPr="00592363">
        <w:rPr>
          <w:b/>
          <w:bCs/>
          <w:i/>
          <w:iCs/>
        </w:rPr>
        <w:t>Jessour</w:t>
      </w:r>
      <w:r w:rsidRPr="00592363">
        <w:t xml:space="preserve"> (singulier </w:t>
      </w:r>
      <w:r w:rsidRPr="00592363">
        <w:rPr>
          <w:i/>
          <w:iCs/>
        </w:rPr>
        <w:t>jesser</w:t>
      </w:r>
      <w:r w:rsidRPr="00592363">
        <w:t xml:space="preserve">) : petites digues en terre (ou en pierre), construites en série dans les vallées secondaires pour capter le ruissellement et sa charge solide. </w:t>
      </w:r>
    </w:p>
    <w:p w14:paraId="2F476067" w14:textId="77777777" w:rsidR="00592363" w:rsidRPr="00592363" w:rsidRDefault="00592363" w:rsidP="00592363">
      <w:pPr>
        <w:spacing w:after="0" w:line="240" w:lineRule="auto"/>
        <w:jc w:val="both"/>
      </w:pPr>
      <w:r w:rsidRPr="00592363">
        <w:rPr>
          <w:b/>
          <w:bCs/>
          <w:i/>
          <w:iCs/>
        </w:rPr>
        <w:t>Johad</w:t>
      </w:r>
      <w:r w:rsidRPr="00592363">
        <w:t xml:space="preserve"> : cuvette de stockage des eaux de pluie, recueillant et stockant l'eau tout au long de l'année, à des fins de consommation par les humains et le bétail. </w:t>
      </w:r>
    </w:p>
    <w:p w14:paraId="604A1BC5" w14:textId="77777777" w:rsidR="00592363" w:rsidRPr="00592363" w:rsidRDefault="00592363" w:rsidP="00592363">
      <w:pPr>
        <w:spacing w:after="0" w:line="240" w:lineRule="auto"/>
        <w:jc w:val="both"/>
      </w:pPr>
      <w:r w:rsidRPr="00592363">
        <w:rPr>
          <w:b/>
          <w:bCs/>
          <w:i/>
          <w:iCs/>
        </w:rPr>
        <w:t>Joub</w:t>
      </w:r>
      <w:r w:rsidRPr="00592363">
        <w:t xml:space="preserve"> : réservoir souterrain.</w:t>
      </w:r>
    </w:p>
    <w:p w14:paraId="161831EE" w14:textId="77777777" w:rsidR="00592363" w:rsidRPr="00592363" w:rsidRDefault="00592363" w:rsidP="00592363">
      <w:pPr>
        <w:spacing w:after="0" w:line="240" w:lineRule="auto"/>
        <w:jc w:val="both"/>
      </w:pPr>
      <w:r w:rsidRPr="00592363">
        <w:rPr>
          <w:b/>
          <w:bCs/>
          <w:i/>
          <w:iCs/>
        </w:rPr>
        <w:t>Lavogne</w:t>
      </w:r>
      <w:r w:rsidRPr="00592363">
        <w:t xml:space="preserve"> : </w:t>
      </w:r>
      <w:hyperlink r:id="rId4439" w:history="1">
        <w:r w:rsidRPr="00592363">
          <w:rPr>
            <w:rStyle w:val="Lienhypertexte"/>
          </w:rPr>
          <w:t>dépression</w:t>
        </w:r>
      </w:hyperlink>
      <w:r w:rsidRPr="00592363">
        <w:t> sur les terres de </w:t>
      </w:r>
      <w:hyperlink r:id="rId4440" w:history="1">
        <w:r w:rsidRPr="00592363">
          <w:rPr>
            <w:rStyle w:val="Lienhypertexte"/>
            <w:i/>
            <w:iCs/>
          </w:rPr>
          <w:t>causses</w:t>
        </w:r>
      </w:hyperlink>
      <w:r w:rsidRPr="00592363">
        <w:t> (au sens de terres « calcaires ») qui permet de boire aux animaux d'</w:t>
      </w:r>
      <w:hyperlink r:id="rId4441" w:history="1">
        <w:r w:rsidRPr="00592363">
          <w:rPr>
            <w:rStyle w:val="Lienhypertexte"/>
          </w:rPr>
          <w:t>élevage</w:t>
        </w:r>
      </w:hyperlink>
      <w:r w:rsidRPr="00592363">
        <w:t>. Ceux-ci ont aménagé des creux naturels (les </w:t>
      </w:r>
      <w:hyperlink r:id="rId4442" w:history="1">
        <w:r w:rsidRPr="00592363">
          <w:rPr>
            <w:rStyle w:val="Lienhypertexte"/>
            <w:i/>
            <w:iCs/>
          </w:rPr>
          <w:t>sotchs</w:t>
        </w:r>
      </w:hyperlink>
      <w:r w:rsidRPr="00592363">
        <w:t>) en les étanchant par un tapis argileux et en les pavant de pierres calcaires pour capter et retenir les eaux de </w:t>
      </w:r>
      <w:hyperlink r:id="rId4443" w:history="1">
        <w:r w:rsidRPr="00592363">
          <w:rPr>
            <w:rStyle w:val="Lienhypertexte"/>
          </w:rPr>
          <w:t>ruissellement</w:t>
        </w:r>
      </w:hyperlink>
      <w:r w:rsidRPr="00592363">
        <w:t xml:space="preserve">. </w:t>
      </w:r>
      <w:r w:rsidRPr="00592363">
        <w:rPr>
          <w:b/>
          <w:bCs/>
          <w:i/>
          <w:iCs/>
        </w:rPr>
        <w:t>Khettara</w:t>
      </w:r>
      <w:r w:rsidRPr="00592363">
        <w:t xml:space="preserve"> : ensemble du dispositif de mobilisation des eaux souterraines (Tunisie …).</w:t>
      </w:r>
    </w:p>
    <w:p w14:paraId="39403760" w14:textId="77777777" w:rsidR="00592363" w:rsidRPr="00592363" w:rsidRDefault="00592363" w:rsidP="00592363">
      <w:pPr>
        <w:spacing w:after="0" w:line="240" w:lineRule="auto"/>
        <w:jc w:val="both"/>
      </w:pPr>
      <w:r w:rsidRPr="00592363">
        <w:rPr>
          <w:b/>
          <w:bCs/>
          <w:i/>
          <w:iCs/>
        </w:rPr>
        <w:t>Liman</w:t>
      </w:r>
      <w:r w:rsidRPr="00592363">
        <w:t xml:space="preserve"> (en Israël) : levée (digue) artificielle de terre, souvent en demi-lune, servant à recueillir les eaux de crue d'un oued du désert, équipé d’un déversoir ou exutoire et d'une vanne, régulant le niveau de l'eau. </w:t>
      </w:r>
    </w:p>
    <w:p w14:paraId="6F993563" w14:textId="77777777" w:rsidR="00592363" w:rsidRPr="00592363" w:rsidRDefault="00592363" w:rsidP="00592363">
      <w:pPr>
        <w:spacing w:after="0" w:line="240" w:lineRule="auto"/>
        <w:jc w:val="both"/>
      </w:pPr>
      <w:r w:rsidRPr="00592363">
        <w:rPr>
          <w:b/>
          <w:bCs/>
          <w:i/>
          <w:iCs/>
        </w:rPr>
        <w:t>Mankaa</w:t>
      </w:r>
      <w:r w:rsidRPr="00592363">
        <w:rPr>
          <w:i/>
          <w:iCs/>
        </w:rPr>
        <w:t xml:space="preserve"> </w:t>
      </w:r>
      <w:r w:rsidRPr="00592363">
        <w:t xml:space="preserve"> : terrasses de culture.</w:t>
      </w:r>
    </w:p>
    <w:p w14:paraId="63A21D29" w14:textId="77777777" w:rsidR="00592363" w:rsidRPr="00592363" w:rsidRDefault="00592363" w:rsidP="00592363">
      <w:pPr>
        <w:spacing w:after="0" w:line="240" w:lineRule="auto"/>
        <w:jc w:val="both"/>
      </w:pPr>
      <w:r w:rsidRPr="00592363">
        <w:rPr>
          <w:b/>
          <w:bCs/>
          <w:i/>
          <w:iCs/>
        </w:rPr>
        <w:t>Meskat</w:t>
      </w:r>
      <w:r w:rsidRPr="00592363">
        <w:t xml:space="preserve"> : système composée de l'impluvium ou "</w:t>
      </w:r>
      <w:r w:rsidRPr="00592363">
        <w:rPr>
          <w:i/>
          <w:iCs/>
        </w:rPr>
        <w:t>Meskat</w:t>
      </w:r>
      <w:r w:rsidRPr="00592363">
        <w:t>", qui récolte l'eau de pluie, la superficie cultivée ou "Mankaa", constituées de terrasses, séparées par des barrages en terre avec déversoirs de pierres.</w:t>
      </w:r>
    </w:p>
    <w:p w14:paraId="5D459405" w14:textId="77777777" w:rsidR="00592363" w:rsidRPr="00592363" w:rsidRDefault="00592363" w:rsidP="00592363">
      <w:pPr>
        <w:spacing w:after="0" w:line="240" w:lineRule="auto"/>
        <w:jc w:val="both"/>
      </w:pPr>
      <w:r w:rsidRPr="00592363">
        <w:rPr>
          <w:b/>
          <w:bCs/>
          <w:i/>
          <w:iCs/>
        </w:rPr>
        <w:t>Mgoud</w:t>
      </w:r>
      <w:r w:rsidRPr="00592363">
        <w:t xml:space="preserve"> : saignée destinée à détourner tout ou une partie des eaux de ruissellement d’un bassin versant vers des champs</w:t>
      </w:r>
    </w:p>
    <w:p w14:paraId="514C73C2" w14:textId="77777777" w:rsidR="00592363" w:rsidRPr="00592363" w:rsidRDefault="00592363" w:rsidP="00592363">
      <w:pPr>
        <w:spacing w:after="0" w:line="240" w:lineRule="auto"/>
        <w:jc w:val="both"/>
      </w:pPr>
      <w:r w:rsidRPr="00592363">
        <w:rPr>
          <w:b/>
          <w:bCs/>
          <w:i/>
          <w:iCs/>
        </w:rPr>
        <w:t>Murets</w:t>
      </w:r>
      <w:r w:rsidRPr="00592363">
        <w:t xml:space="preserve"> ou </w:t>
      </w:r>
      <w:r w:rsidRPr="00592363">
        <w:rPr>
          <w:b/>
          <w:bCs/>
          <w:i/>
          <w:iCs/>
        </w:rPr>
        <w:t>murettes</w:t>
      </w:r>
      <w:r w:rsidRPr="00592363">
        <w:t xml:space="preserve"> : deux à trois niveaux de pierres solidaires, de 10 à 50 cm de hauteur, disposés en courbe de niveau tous les 10 à 50 m.</w:t>
      </w:r>
    </w:p>
    <w:p w14:paraId="7D01C18C" w14:textId="103641E8" w:rsidR="00592363" w:rsidRDefault="00592363" w:rsidP="00592363">
      <w:pPr>
        <w:spacing w:after="0" w:line="240" w:lineRule="auto"/>
        <w:jc w:val="both"/>
      </w:pPr>
      <w:r w:rsidRPr="00592363">
        <w:rPr>
          <w:b/>
          <w:bCs/>
          <w:i/>
          <w:iCs/>
        </w:rPr>
        <w:t>Negarim</w:t>
      </w:r>
      <w:r w:rsidRPr="00592363">
        <w:t xml:space="preserve"> : micro-bassins versants, en forme de diamant, fermés par de petites digues de terre, avec un puits d'infiltration dans le coin le plus bas.</w:t>
      </w:r>
    </w:p>
    <w:p w14:paraId="51F36511" w14:textId="77777777" w:rsidR="00DD5F27" w:rsidRPr="00DD5F27" w:rsidRDefault="00DD5F27" w:rsidP="00DD5F27">
      <w:pPr>
        <w:spacing w:after="0" w:line="240" w:lineRule="auto"/>
        <w:jc w:val="both"/>
      </w:pPr>
      <w:r w:rsidRPr="00DD5F27">
        <w:rPr>
          <w:b/>
          <w:bCs/>
          <w:i/>
          <w:iCs/>
        </w:rPr>
        <w:t>Noue</w:t>
      </w:r>
      <w:r w:rsidRPr="00DD5F27">
        <w:t> (ou </w:t>
      </w:r>
      <w:r w:rsidRPr="00DD5F27">
        <w:rPr>
          <w:b/>
          <w:bCs/>
          <w:i/>
          <w:iCs/>
        </w:rPr>
        <w:t>baissière</w:t>
      </w:r>
      <w:r w:rsidRPr="00DD5F27">
        <w:t> en </w:t>
      </w:r>
      <w:hyperlink r:id="rId4444" w:history="1">
        <w:r w:rsidRPr="00DD5F27">
          <w:rPr>
            <w:rStyle w:val="Lienhypertexte"/>
          </w:rPr>
          <w:t>québécois</w:t>
        </w:r>
      </w:hyperlink>
      <w:r w:rsidRPr="00DD5F27">
        <w:t>) : sorte de </w:t>
      </w:r>
      <w:hyperlink r:id="rId4445" w:history="1">
        <w:r w:rsidRPr="00DD5F27">
          <w:rPr>
            <w:rStyle w:val="Lienhypertexte"/>
          </w:rPr>
          <w:t>fossé</w:t>
        </w:r>
      </w:hyperlink>
      <w:r w:rsidRPr="00DD5F27">
        <w:t> peu profond et large, végétalisé, qui recueille provisoirement de l'eau, soit pour l'évacuer via un </w:t>
      </w:r>
      <w:hyperlink r:id="rId4446" w:history="1">
        <w:r w:rsidRPr="00DD5F27">
          <w:rPr>
            <w:rStyle w:val="Lienhypertexte"/>
          </w:rPr>
          <w:t>trop-plein</w:t>
        </w:r>
      </w:hyperlink>
      <w:r w:rsidRPr="00DD5F27">
        <w:t>, soit pour l'évaporer (</w:t>
      </w:r>
      <w:hyperlink r:id="rId4447" w:history="1">
        <w:r w:rsidRPr="00DD5F27">
          <w:rPr>
            <w:rStyle w:val="Lienhypertexte"/>
          </w:rPr>
          <w:t>évapotranspiration</w:t>
        </w:r>
      </w:hyperlink>
      <w:r w:rsidRPr="00DD5F27">
        <w:t>) ou pour l'infiltrer sur place permettant ainsi la reconstitution les </w:t>
      </w:r>
      <w:hyperlink r:id="rId4448" w:history="1">
        <w:r w:rsidRPr="00DD5F27">
          <w:rPr>
            <w:rStyle w:val="Lienhypertexte"/>
          </w:rPr>
          <w:t>nappes phréatiques</w:t>
        </w:r>
      </w:hyperlink>
      <w:hyperlink r:id="rId4449" w:history="1">
        <w:r w:rsidRPr="00DD5F27">
          <w:rPr>
            <w:rStyle w:val="Lienhypertexte"/>
            <w:vertAlign w:val="superscript"/>
          </w:rPr>
          <w:t>1</w:t>
        </w:r>
      </w:hyperlink>
      <w:r w:rsidRPr="00DD5F27">
        <w:t xml:space="preserve">. </w:t>
      </w:r>
    </w:p>
    <w:p w14:paraId="0C8B25C5" w14:textId="740C4D61" w:rsidR="00DD5F27" w:rsidRPr="00592363" w:rsidRDefault="00DD5F27" w:rsidP="00592363">
      <w:pPr>
        <w:spacing w:after="0" w:line="240" w:lineRule="auto"/>
        <w:jc w:val="both"/>
      </w:pPr>
      <w:r w:rsidRPr="00DD5F27">
        <w:t xml:space="preserve">Source : </w:t>
      </w:r>
      <w:hyperlink r:id="rId4450" w:history="1">
        <w:r w:rsidRPr="00DD5F27">
          <w:rPr>
            <w:rStyle w:val="Lienhypertexte"/>
          </w:rPr>
          <w:t>http://fr.wikipedia.org/wiki/Noue_%28foss%C3%A9%29</w:t>
        </w:r>
      </w:hyperlink>
      <w:r w:rsidRPr="00DD5F27">
        <w:t xml:space="preserve"> </w:t>
      </w:r>
    </w:p>
    <w:p w14:paraId="476B2387" w14:textId="77777777" w:rsidR="00592363" w:rsidRPr="00592363" w:rsidRDefault="00592363" w:rsidP="00592363">
      <w:pPr>
        <w:spacing w:after="0" w:line="240" w:lineRule="auto"/>
        <w:jc w:val="both"/>
      </w:pPr>
      <w:r w:rsidRPr="00592363">
        <w:rPr>
          <w:b/>
          <w:bCs/>
          <w:i/>
          <w:iCs/>
        </w:rPr>
        <w:t>Qanat</w:t>
      </w:r>
      <w:r w:rsidRPr="00592363">
        <w:t xml:space="preserve"> : ouvrage (de type minier) destiné à la captation d'une nappe d'eau souterraine et l'adduction d'eau vers l'extérieur.</w:t>
      </w:r>
    </w:p>
    <w:p w14:paraId="743EBBB2" w14:textId="77777777" w:rsidR="00592363" w:rsidRPr="00592363" w:rsidRDefault="00592363" w:rsidP="00592363">
      <w:pPr>
        <w:spacing w:after="0" w:line="240" w:lineRule="auto"/>
        <w:jc w:val="both"/>
      </w:pPr>
      <w:r w:rsidRPr="00592363">
        <w:rPr>
          <w:b/>
          <w:bCs/>
          <w:i/>
          <w:iCs/>
        </w:rPr>
        <w:t xml:space="preserve">Retenue ou lac collinaire </w:t>
      </w:r>
      <w:r w:rsidRPr="00592363">
        <w:t>: Les </w:t>
      </w:r>
      <w:r w:rsidRPr="00592363">
        <w:rPr>
          <w:b/>
          <w:bCs/>
        </w:rPr>
        <w:t>retenues collinaires</w:t>
      </w:r>
      <w:r w:rsidRPr="00592363">
        <w:t> sont des ouvrages de stockage de l'eau qui sont remplies par les eaux de surface, les eaux de ruissellement. Elles peuvent être assimilées à des micro-</w:t>
      </w:r>
      <w:hyperlink r:id="rId4451" w:history="1">
        <w:r w:rsidRPr="00592363">
          <w:rPr>
            <w:rStyle w:val="Lienhypertexte"/>
          </w:rPr>
          <w:t>barrages</w:t>
        </w:r>
      </w:hyperlink>
      <w:r w:rsidRPr="00592363">
        <w:t>.</w:t>
      </w:r>
    </w:p>
    <w:p w14:paraId="25B38AB6" w14:textId="77777777" w:rsidR="00592363" w:rsidRPr="00592363" w:rsidRDefault="00592363" w:rsidP="00592363">
      <w:pPr>
        <w:spacing w:after="0" w:line="240" w:lineRule="auto"/>
        <w:jc w:val="both"/>
      </w:pPr>
      <w:r w:rsidRPr="00592363">
        <w:rPr>
          <w:b/>
          <w:bCs/>
          <w:i/>
          <w:iCs/>
        </w:rPr>
        <w:t>Tabia</w:t>
      </w:r>
      <w:r w:rsidRPr="00592363">
        <w:t xml:space="preserve"> : tout type de diguette en terre, construite soit sur les versants, soit dans les ravins et les vallées pour capter le ruissellement et sa charge solide en vue de stabiliser les terres et d'intensifier la production des cultures. Ou barrage (en général en pierre).</w:t>
      </w:r>
    </w:p>
    <w:p w14:paraId="68265F47" w14:textId="77777777" w:rsidR="00592363" w:rsidRPr="00592363" w:rsidRDefault="00592363" w:rsidP="00592363">
      <w:pPr>
        <w:spacing w:after="0" w:line="240" w:lineRule="auto"/>
        <w:jc w:val="both"/>
      </w:pPr>
      <w:r w:rsidRPr="00592363">
        <w:rPr>
          <w:b/>
          <w:bCs/>
          <w:i/>
          <w:iCs/>
        </w:rPr>
        <w:t>Zaï</w:t>
      </w:r>
      <w:r w:rsidRPr="00592363">
        <w:t xml:space="preserve"> ou </w:t>
      </w:r>
      <w:r w:rsidRPr="00592363">
        <w:rPr>
          <w:b/>
          <w:bCs/>
          <w:i/>
          <w:iCs/>
        </w:rPr>
        <w:t xml:space="preserve">culture en poquets </w:t>
      </w:r>
      <w:r w:rsidRPr="00592363">
        <w:t>: cuvette (20 cm à 40 cm de diamètre et 10 cm à 15 cm de profondeur), captant le ruissellement à partir d’un impluvium de 5 à 20 fois la surface travaillée.</w:t>
      </w:r>
    </w:p>
    <w:p w14:paraId="26D63BEB" w14:textId="66B8C035" w:rsidR="00143F01" w:rsidRDefault="00143F01" w:rsidP="00143F01">
      <w:pPr>
        <w:spacing w:after="0" w:line="240" w:lineRule="auto"/>
      </w:pPr>
    </w:p>
    <w:p w14:paraId="58B291E9" w14:textId="3896F976" w:rsidR="007A3CC4" w:rsidRDefault="007A3CC4" w:rsidP="007A3CC4">
      <w:pPr>
        <w:pStyle w:val="Titre1"/>
      </w:pPr>
      <w:bookmarkStart w:id="403" w:name="_Toc139181693"/>
      <w:r w:rsidRPr="007A3CC4">
        <w:t>Annexe : Plantes recommandées pour la fixation des dunes mobiles</w:t>
      </w:r>
      <w:bookmarkEnd w:id="403"/>
    </w:p>
    <w:p w14:paraId="6A3B13DE" w14:textId="28A14A4F" w:rsidR="007A3CC4" w:rsidRDefault="007A3CC4" w:rsidP="00143F01">
      <w:pPr>
        <w:spacing w:after="0" w:line="240" w:lineRule="auto"/>
      </w:pPr>
    </w:p>
    <w:p w14:paraId="5E9E4003" w14:textId="77777777" w:rsidR="007A3CC4" w:rsidRPr="007A3CC4" w:rsidRDefault="007A3CC4" w:rsidP="001F79EE">
      <w:pPr>
        <w:numPr>
          <w:ilvl w:val="0"/>
          <w:numId w:val="62"/>
        </w:numPr>
        <w:spacing w:after="0" w:line="240" w:lineRule="auto"/>
      </w:pPr>
      <w:r w:rsidRPr="007A3CC4">
        <w:rPr>
          <w:i/>
          <w:iCs/>
        </w:rPr>
        <w:t>Acacia cyanophylla</w:t>
      </w:r>
    </w:p>
    <w:p w14:paraId="780A9DC9" w14:textId="77777777" w:rsidR="007A3CC4" w:rsidRPr="007A3CC4" w:rsidRDefault="007A3CC4" w:rsidP="001F79EE">
      <w:pPr>
        <w:numPr>
          <w:ilvl w:val="0"/>
          <w:numId w:val="62"/>
        </w:numPr>
        <w:spacing w:after="0" w:line="240" w:lineRule="auto"/>
      </w:pPr>
      <w:r w:rsidRPr="007A3CC4">
        <w:rPr>
          <w:i/>
          <w:iCs/>
        </w:rPr>
        <w:t>Acacia cyclops</w:t>
      </w:r>
    </w:p>
    <w:p w14:paraId="4A541B09" w14:textId="77777777" w:rsidR="007A3CC4" w:rsidRPr="007A3CC4" w:rsidRDefault="007A3CC4" w:rsidP="001F79EE">
      <w:pPr>
        <w:numPr>
          <w:ilvl w:val="0"/>
          <w:numId w:val="62"/>
        </w:numPr>
        <w:spacing w:after="0" w:line="240" w:lineRule="auto"/>
      </w:pPr>
      <w:r w:rsidRPr="007A3CC4">
        <w:rPr>
          <w:i/>
          <w:iCs/>
        </w:rPr>
        <w:t>Acacia salicina</w:t>
      </w:r>
    </w:p>
    <w:p w14:paraId="179DFB38" w14:textId="77777777" w:rsidR="007A3CC4" w:rsidRPr="007A3CC4" w:rsidRDefault="007A3CC4" w:rsidP="001F79EE">
      <w:pPr>
        <w:numPr>
          <w:ilvl w:val="0"/>
          <w:numId w:val="62"/>
        </w:numPr>
        <w:spacing w:after="0" w:line="240" w:lineRule="auto"/>
      </w:pPr>
      <w:r w:rsidRPr="007A3CC4">
        <w:rPr>
          <w:i/>
          <w:iCs/>
        </w:rPr>
        <w:t>Acacia ligulata</w:t>
      </w:r>
    </w:p>
    <w:p w14:paraId="22BB49BE" w14:textId="77777777" w:rsidR="007A3CC4" w:rsidRPr="007A3CC4" w:rsidRDefault="007A3CC4" w:rsidP="001F79EE">
      <w:pPr>
        <w:numPr>
          <w:ilvl w:val="0"/>
          <w:numId w:val="62"/>
        </w:numPr>
        <w:spacing w:after="0" w:line="240" w:lineRule="auto"/>
      </w:pPr>
      <w:r w:rsidRPr="007A3CC4">
        <w:rPr>
          <w:i/>
          <w:iCs/>
        </w:rPr>
        <w:t>Acacia horrida</w:t>
      </w:r>
    </w:p>
    <w:p w14:paraId="0608D2EC" w14:textId="77777777" w:rsidR="007A3CC4" w:rsidRPr="007A3CC4" w:rsidRDefault="007A3CC4" w:rsidP="001F79EE">
      <w:pPr>
        <w:numPr>
          <w:ilvl w:val="0"/>
          <w:numId w:val="62"/>
        </w:numPr>
        <w:spacing w:after="0" w:line="240" w:lineRule="auto"/>
      </w:pPr>
      <w:r w:rsidRPr="007A3CC4">
        <w:rPr>
          <w:i/>
          <w:iCs/>
        </w:rPr>
        <w:t>Acacia tortilis</w:t>
      </w:r>
    </w:p>
    <w:p w14:paraId="1B90537F" w14:textId="77777777" w:rsidR="007A3CC4" w:rsidRPr="007A3CC4" w:rsidRDefault="007A3CC4" w:rsidP="001F79EE">
      <w:pPr>
        <w:numPr>
          <w:ilvl w:val="0"/>
          <w:numId w:val="62"/>
        </w:numPr>
        <w:spacing w:after="0" w:line="240" w:lineRule="auto"/>
      </w:pPr>
      <w:r w:rsidRPr="007A3CC4">
        <w:rPr>
          <w:i/>
          <w:iCs/>
        </w:rPr>
        <w:t>Lycium arabicum</w:t>
      </w:r>
    </w:p>
    <w:p w14:paraId="0ADFE59D" w14:textId="77777777" w:rsidR="007A3CC4" w:rsidRPr="007A3CC4" w:rsidRDefault="007A3CC4" w:rsidP="001F79EE">
      <w:pPr>
        <w:numPr>
          <w:ilvl w:val="0"/>
          <w:numId w:val="62"/>
        </w:numPr>
        <w:spacing w:after="0" w:line="240" w:lineRule="auto"/>
      </w:pPr>
      <w:r w:rsidRPr="007A3CC4">
        <w:rPr>
          <w:i/>
          <w:iCs/>
        </w:rPr>
        <w:t>Retama raetam</w:t>
      </w:r>
    </w:p>
    <w:p w14:paraId="4A786D89" w14:textId="77777777" w:rsidR="007A3CC4" w:rsidRPr="007A3CC4" w:rsidRDefault="007A3CC4" w:rsidP="001F79EE">
      <w:pPr>
        <w:numPr>
          <w:ilvl w:val="0"/>
          <w:numId w:val="62"/>
        </w:numPr>
        <w:spacing w:after="0" w:line="240" w:lineRule="auto"/>
      </w:pPr>
      <w:r w:rsidRPr="007A3CC4">
        <w:rPr>
          <w:i/>
          <w:iCs/>
        </w:rPr>
        <w:t>Rhus tripartitum</w:t>
      </w:r>
    </w:p>
    <w:p w14:paraId="090EEEC6" w14:textId="77777777" w:rsidR="007A3CC4" w:rsidRPr="007A3CC4" w:rsidRDefault="007A3CC4" w:rsidP="001F79EE">
      <w:pPr>
        <w:numPr>
          <w:ilvl w:val="0"/>
          <w:numId w:val="62"/>
        </w:numPr>
        <w:spacing w:after="0" w:line="240" w:lineRule="auto"/>
      </w:pPr>
      <w:r w:rsidRPr="007A3CC4">
        <w:rPr>
          <w:i/>
          <w:iCs/>
        </w:rPr>
        <w:t>Calligonum azel</w:t>
      </w:r>
    </w:p>
    <w:p w14:paraId="1CEAD8C8" w14:textId="77777777" w:rsidR="007A3CC4" w:rsidRPr="007A3CC4" w:rsidRDefault="007A3CC4" w:rsidP="001F79EE">
      <w:pPr>
        <w:numPr>
          <w:ilvl w:val="0"/>
          <w:numId w:val="62"/>
        </w:numPr>
        <w:spacing w:after="0" w:line="240" w:lineRule="auto"/>
      </w:pPr>
      <w:r w:rsidRPr="007A3CC4">
        <w:rPr>
          <w:i/>
          <w:iCs/>
        </w:rPr>
        <w:t xml:space="preserve">Prosopis juliflora </w:t>
      </w:r>
      <w:r w:rsidRPr="007A3CC4">
        <w:t>(arbre très invasif).</w:t>
      </w:r>
    </w:p>
    <w:p w14:paraId="788B22A1" w14:textId="77777777" w:rsidR="007A3CC4" w:rsidRPr="007A3CC4" w:rsidRDefault="007A3CC4" w:rsidP="001F79EE">
      <w:pPr>
        <w:numPr>
          <w:ilvl w:val="0"/>
          <w:numId w:val="62"/>
        </w:numPr>
        <w:spacing w:after="0" w:line="240" w:lineRule="auto"/>
      </w:pPr>
      <w:r w:rsidRPr="007A3CC4">
        <w:rPr>
          <w:i/>
          <w:iCs/>
        </w:rPr>
        <w:t>Parkinsonia aculeata</w:t>
      </w:r>
    </w:p>
    <w:p w14:paraId="0CBC809D" w14:textId="77777777" w:rsidR="007A3CC4" w:rsidRPr="007A3CC4" w:rsidRDefault="007A3CC4" w:rsidP="001F79EE">
      <w:pPr>
        <w:numPr>
          <w:ilvl w:val="0"/>
          <w:numId w:val="62"/>
        </w:numPr>
        <w:spacing w:after="0" w:line="240" w:lineRule="auto"/>
      </w:pPr>
      <w:r w:rsidRPr="007A3CC4">
        <w:rPr>
          <w:i/>
          <w:iCs/>
        </w:rPr>
        <w:t>Eucalyptus occidentallis</w:t>
      </w:r>
    </w:p>
    <w:p w14:paraId="369EBFE8" w14:textId="77777777" w:rsidR="007A3CC4" w:rsidRPr="007A3CC4" w:rsidRDefault="007A3CC4" w:rsidP="001F79EE">
      <w:pPr>
        <w:numPr>
          <w:ilvl w:val="0"/>
          <w:numId w:val="62"/>
        </w:numPr>
        <w:spacing w:after="0" w:line="240" w:lineRule="auto"/>
      </w:pPr>
      <w:r w:rsidRPr="007A3CC4">
        <w:rPr>
          <w:i/>
          <w:iCs/>
        </w:rPr>
        <w:t>Eucalyptus torquata</w:t>
      </w:r>
    </w:p>
    <w:p w14:paraId="0334FBF4" w14:textId="77777777" w:rsidR="007A3CC4" w:rsidRPr="007A3CC4" w:rsidRDefault="007A3CC4" w:rsidP="001F79EE">
      <w:pPr>
        <w:numPr>
          <w:ilvl w:val="0"/>
          <w:numId w:val="62"/>
        </w:numPr>
        <w:spacing w:after="0" w:line="240" w:lineRule="auto"/>
      </w:pPr>
      <w:r w:rsidRPr="007A3CC4">
        <w:rPr>
          <w:i/>
          <w:iCs/>
        </w:rPr>
        <w:t>Eucalyptus astringina</w:t>
      </w:r>
    </w:p>
    <w:p w14:paraId="57019DC9" w14:textId="77777777" w:rsidR="007A3CC4" w:rsidRDefault="007A3CC4" w:rsidP="001F79EE">
      <w:pPr>
        <w:numPr>
          <w:ilvl w:val="0"/>
          <w:numId w:val="62"/>
        </w:numPr>
        <w:spacing w:after="0" w:line="240" w:lineRule="auto"/>
      </w:pPr>
      <w:r w:rsidRPr="007A3CC4">
        <w:rPr>
          <w:i/>
          <w:iCs/>
        </w:rPr>
        <w:t>Atriplex halimus</w:t>
      </w:r>
      <w:r w:rsidRPr="007A3CC4">
        <w:t xml:space="preserve"> (arroche halime)</w:t>
      </w:r>
    </w:p>
    <w:p w14:paraId="4EAC8E44" w14:textId="3FB67DB7" w:rsidR="007A3CC4" w:rsidRDefault="007A3CC4" w:rsidP="001F79EE">
      <w:pPr>
        <w:numPr>
          <w:ilvl w:val="0"/>
          <w:numId w:val="62"/>
        </w:numPr>
        <w:spacing w:after="0" w:line="240" w:lineRule="auto"/>
      </w:pPr>
      <w:r w:rsidRPr="007A3CC4">
        <w:rPr>
          <w:i/>
          <w:iCs/>
        </w:rPr>
        <w:t>Euphorbia basalmifera</w:t>
      </w:r>
    </w:p>
    <w:p w14:paraId="0A242B64" w14:textId="740F0CB8" w:rsidR="007A3CC4" w:rsidRDefault="007A3CC4" w:rsidP="00143F01">
      <w:pPr>
        <w:spacing w:after="0" w:line="240" w:lineRule="auto"/>
      </w:pPr>
    </w:p>
    <w:p w14:paraId="1EDFDF6B" w14:textId="6F6D84DC" w:rsidR="007A3CC4" w:rsidRPr="007A3CC4" w:rsidRDefault="007A3CC4" w:rsidP="007A3CC4">
      <w:pPr>
        <w:spacing w:after="0" w:line="240" w:lineRule="auto"/>
      </w:pPr>
      <w:r w:rsidRPr="007A3CC4">
        <w:t xml:space="preserve">Source : </w:t>
      </w:r>
      <w:r w:rsidRPr="007A3CC4">
        <w:rPr>
          <w:i/>
          <w:iCs/>
        </w:rPr>
        <w:t>Gestion durable des terres en Tunisie. Bonnes pratiques agricoles</w:t>
      </w:r>
      <w:r w:rsidRPr="007A3CC4">
        <w:t xml:space="preserve">, TAAMALLAH Houcine, avec la contribution de OULED BELGACEM Azaiez, HAMROUNI Hédi, NAGAZ Kameleddine, OUCHI Hammouda, LAKHDHAR Hichem, Juin 2010, </w:t>
      </w:r>
      <w:hyperlink r:id="rId4452" w:history="1">
        <w:r w:rsidRPr="007A3CC4">
          <w:rPr>
            <w:rStyle w:val="Lienhypertexte"/>
          </w:rPr>
          <w:t>https://www.wocat.net/fileadmin/user_upload/documents/Books/Best_Practices_Tunisia.pdf</w:t>
        </w:r>
      </w:hyperlink>
      <w:r w:rsidRPr="007A3CC4">
        <w:t xml:space="preserve"> </w:t>
      </w:r>
    </w:p>
    <w:p w14:paraId="0067F3D8" w14:textId="3B3CF50F" w:rsidR="007A3CC4" w:rsidRDefault="007A3CC4" w:rsidP="00143F01">
      <w:pPr>
        <w:spacing w:after="0" w:line="240" w:lineRule="auto"/>
      </w:pPr>
    </w:p>
    <w:p w14:paraId="2C92114C" w14:textId="479BEB05" w:rsidR="007A3CC4" w:rsidRDefault="007A3CC4" w:rsidP="007A3CC4">
      <w:pPr>
        <w:spacing w:after="0" w:line="240" w:lineRule="auto"/>
        <w:jc w:val="center"/>
      </w:pPr>
      <w:r w:rsidRPr="007A3CC4">
        <w:rPr>
          <w:noProof/>
        </w:rPr>
        <w:drawing>
          <wp:inline distT="0" distB="0" distL="0" distR="0" wp14:anchorId="73B828EC" wp14:editId="7B06E4A9">
            <wp:extent cx="2438400" cy="1828800"/>
            <wp:effectExtent l="0" t="0" r="0" b="0"/>
            <wp:docPr id="211977" name="Picture 2" descr="C:\Users\LISAN\Documents\DVD-DevDurable\eau\eau-Potabilisation-GestionDeLEau-Irrigation\irrigation-stockage-eau\images\Fixation des dunes avec Euphorbia basalmifera_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77" name="Picture 2" descr="C:\Users\LISAN\Documents\DVD-DevDurable\eau\eau-Potabilisation-GestionDeLEau-Irrigation\irrigation-stockage-eau\images\Fixation des dunes avec Euphorbia basalmifera_ss.jpg"/>
                    <pic:cNvPicPr>
                      <a:picLocks noChangeAspect="1" noChangeArrowheads="1"/>
                    </pic:cNvPicPr>
                  </pic:nvPicPr>
                  <pic:blipFill>
                    <a:blip r:embed="rId4453">
                      <a:extLst>
                        <a:ext uri="{28A0092B-C50C-407E-A947-70E740481C1C}">
                          <a14:useLocalDpi xmlns:a14="http://schemas.microsoft.com/office/drawing/2010/main" val="0"/>
                        </a:ext>
                      </a:extLst>
                    </a:blip>
                    <a:srcRect/>
                    <a:stretch>
                      <a:fillRect/>
                    </a:stretch>
                  </pic:blipFill>
                  <pic:spPr bwMode="auto">
                    <a:xfrm>
                      <a:off x="0" y="0"/>
                      <a:ext cx="2438400" cy="182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CCA902A" w14:textId="77777777" w:rsidR="007A3CC4" w:rsidRPr="007A3CC4" w:rsidRDefault="007A3CC4" w:rsidP="007A3CC4">
      <w:pPr>
        <w:spacing w:after="0" w:line="240" w:lineRule="auto"/>
        <w:jc w:val="center"/>
      </w:pPr>
      <w:r w:rsidRPr="007A3CC4">
        <w:t xml:space="preserve">Fixation des dunes avec </w:t>
      </w:r>
      <w:r w:rsidRPr="007A3CC4">
        <w:rPr>
          <w:i/>
          <w:iCs/>
        </w:rPr>
        <w:t>Euphorbia basalmifera</w:t>
      </w:r>
    </w:p>
    <w:p w14:paraId="43940206" w14:textId="37935FB5" w:rsidR="007A3CC4" w:rsidRDefault="007A3CC4" w:rsidP="007A3CC4">
      <w:pPr>
        <w:spacing w:after="0" w:line="240" w:lineRule="auto"/>
      </w:pPr>
    </w:p>
    <w:p w14:paraId="2BCB7806" w14:textId="32964E34" w:rsidR="007A3CC4" w:rsidRDefault="007A3CC4" w:rsidP="007A3CC4">
      <w:pPr>
        <w:pStyle w:val="Titre1"/>
      </w:pPr>
      <w:bookmarkStart w:id="404" w:name="_Toc139181694"/>
      <w:r w:rsidRPr="007A3CC4">
        <w:t>Annexe : Espèces pastorales recommandées pour le rétablissement des parcours en milieux arides</w:t>
      </w:r>
      <w:bookmarkEnd w:id="404"/>
    </w:p>
    <w:p w14:paraId="4B42DD48" w14:textId="7E581990" w:rsidR="007A3CC4" w:rsidRDefault="007A3CC4" w:rsidP="007A3CC4">
      <w:pPr>
        <w:spacing w:after="0" w:line="240" w:lineRule="auto"/>
      </w:pPr>
    </w:p>
    <w:p w14:paraId="5EE83E32" w14:textId="77777777" w:rsidR="007A3CC4" w:rsidRPr="007A3CC4" w:rsidRDefault="007A3CC4" w:rsidP="001F79EE">
      <w:pPr>
        <w:numPr>
          <w:ilvl w:val="0"/>
          <w:numId w:val="63"/>
        </w:numPr>
        <w:spacing w:after="0" w:line="240" w:lineRule="auto"/>
      </w:pPr>
      <w:r w:rsidRPr="007A3CC4">
        <w:rPr>
          <w:i/>
          <w:iCs/>
        </w:rPr>
        <w:t>Argyrolobium uniflorum</w:t>
      </w:r>
    </w:p>
    <w:p w14:paraId="0EA6FC21" w14:textId="77777777" w:rsidR="007A3CC4" w:rsidRPr="007A3CC4" w:rsidRDefault="007A3CC4" w:rsidP="001F79EE">
      <w:pPr>
        <w:numPr>
          <w:ilvl w:val="0"/>
          <w:numId w:val="63"/>
        </w:numPr>
        <w:spacing w:after="0" w:line="240" w:lineRule="auto"/>
      </w:pPr>
      <w:r w:rsidRPr="007A3CC4">
        <w:rPr>
          <w:i/>
          <w:iCs/>
        </w:rPr>
        <w:t>Hedysarum coronarium</w:t>
      </w:r>
    </w:p>
    <w:p w14:paraId="37232A0C" w14:textId="77777777" w:rsidR="007A3CC4" w:rsidRPr="007A3CC4" w:rsidRDefault="007A3CC4" w:rsidP="001F79EE">
      <w:pPr>
        <w:numPr>
          <w:ilvl w:val="0"/>
          <w:numId w:val="63"/>
        </w:numPr>
        <w:spacing w:after="0" w:line="240" w:lineRule="auto"/>
      </w:pPr>
      <w:r w:rsidRPr="007A3CC4">
        <w:rPr>
          <w:i/>
          <w:iCs/>
        </w:rPr>
        <w:t>Hedysarum carnosum</w:t>
      </w:r>
    </w:p>
    <w:p w14:paraId="5B10E0B4" w14:textId="77777777" w:rsidR="007A3CC4" w:rsidRPr="007A3CC4" w:rsidRDefault="007A3CC4" w:rsidP="001F79EE">
      <w:pPr>
        <w:numPr>
          <w:ilvl w:val="0"/>
          <w:numId w:val="63"/>
        </w:numPr>
        <w:spacing w:after="0" w:line="240" w:lineRule="auto"/>
      </w:pPr>
      <w:r w:rsidRPr="007A3CC4">
        <w:rPr>
          <w:i/>
          <w:iCs/>
        </w:rPr>
        <w:t>Stipa lagascae</w:t>
      </w:r>
    </w:p>
    <w:p w14:paraId="31894B22" w14:textId="77777777" w:rsidR="007A3CC4" w:rsidRPr="007A3CC4" w:rsidRDefault="007A3CC4" w:rsidP="001F79EE">
      <w:pPr>
        <w:numPr>
          <w:ilvl w:val="0"/>
          <w:numId w:val="63"/>
        </w:numPr>
        <w:spacing w:after="0" w:line="240" w:lineRule="auto"/>
      </w:pPr>
      <w:r w:rsidRPr="007A3CC4">
        <w:rPr>
          <w:i/>
          <w:iCs/>
        </w:rPr>
        <w:t xml:space="preserve">Plantago albicans </w:t>
      </w:r>
      <w:r w:rsidRPr="007A3CC4">
        <w:t>(Plantain blanchissant)</w:t>
      </w:r>
    </w:p>
    <w:p w14:paraId="7B1426D9" w14:textId="77777777" w:rsidR="007A3CC4" w:rsidRPr="007A3CC4" w:rsidRDefault="007A3CC4" w:rsidP="001F79EE">
      <w:pPr>
        <w:numPr>
          <w:ilvl w:val="0"/>
          <w:numId w:val="63"/>
        </w:numPr>
        <w:spacing w:after="0" w:line="240" w:lineRule="auto"/>
      </w:pPr>
      <w:r w:rsidRPr="007A3CC4">
        <w:rPr>
          <w:i/>
          <w:iCs/>
        </w:rPr>
        <w:t>Rhanterium suaveolens</w:t>
      </w:r>
    </w:p>
    <w:p w14:paraId="4F234852" w14:textId="7CB1E2BF" w:rsidR="007A3CC4" w:rsidRPr="007A3CC4" w:rsidRDefault="007A3CC4" w:rsidP="001F79EE">
      <w:pPr>
        <w:numPr>
          <w:ilvl w:val="0"/>
          <w:numId w:val="63"/>
        </w:numPr>
        <w:spacing w:after="0" w:line="240" w:lineRule="auto"/>
      </w:pPr>
      <w:r w:rsidRPr="007A3CC4">
        <w:rPr>
          <w:i/>
          <w:iCs/>
        </w:rPr>
        <w:t xml:space="preserve">Peganum harmal  ? </w:t>
      </w:r>
      <w:r w:rsidRPr="007A3CC4">
        <w:t>(</w:t>
      </w:r>
      <w:r w:rsidR="002458D9" w:rsidRPr="007A3CC4">
        <w:t>Harmal</w:t>
      </w:r>
      <w:r w:rsidRPr="007A3CC4">
        <w:t xml:space="preserve"> ou rue de Syrie).</w:t>
      </w:r>
    </w:p>
    <w:p w14:paraId="14D99E5A" w14:textId="77777777" w:rsidR="007A3CC4" w:rsidRDefault="007A3CC4" w:rsidP="007A3CC4">
      <w:pPr>
        <w:spacing w:after="0" w:line="240" w:lineRule="auto"/>
      </w:pPr>
    </w:p>
    <w:p w14:paraId="4EF3E9AB" w14:textId="06C74B10" w:rsidR="007A3CC4" w:rsidRDefault="007A3CC4" w:rsidP="007A3CC4">
      <w:pPr>
        <w:spacing w:after="0" w:line="240" w:lineRule="auto"/>
        <w:jc w:val="both"/>
      </w:pPr>
      <w:r w:rsidRPr="007A3CC4">
        <w:rPr>
          <w:u w:val="single"/>
        </w:rPr>
        <w:t>Note</w:t>
      </w:r>
      <w:r>
        <w:t xml:space="preserve"> : </w:t>
      </w:r>
      <w:r w:rsidRPr="007A3CC4">
        <w:rPr>
          <w:i/>
          <w:iCs/>
        </w:rPr>
        <w:t xml:space="preserve">Peganum harmal </w:t>
      </w:r>
      <w:r w:rsidRPr="007A3CC4">
        <w:t>est une</w:t>
      </w:r>
      <w:r>
        <w:rPr>
          <w:i/>
          <w:iCs/>
        </w:rPr>
        <w:t xml:space="preserve"> </w:t>
      </w:r>
      <w:r>
        <w:t>p</w:t>
      </w:r>
      <w:r w:rsidRPr="007A3CC4">
        <w:t>lante stupéfiante _ ses graines renferment 3-4 % d'alcaloïdes psychotropes (harmine, harmol, harmaline et dérivés voisins) _ et pouvant être toxique pour certains animaux</w:t>
      </w:r>
      <w:r>
        <w:t>. Info à vérifier (!).</w:t>
      </w:r>
    </w:p>
    <w:p w14:paraId="5A1A8A52" w14:textId="3B76D95C" w:rsidR="007A3CC4" w:rsidRDefault="007A3CC4" w:rsidP="007A3CC4">
      <w:pPr>
        <w:spacing w:after="0" w:line="240" w:lineRule="auto"/>
      </w:pPr>
    </w:p>
    <w:p w14:paraId="597D70D7" w14:textId="13CA1094" w:rsidR="007A3CC4" w:rsidRDefault="007A3CC4" w:rsidP="007A3CC4">
      <w:pPr>
        <w:spacing w:after="0" w:line="240" w:lineRule="auto"/>
      </w:pPr>
      <w:r w:rsidRPr="007A3CC4">
        <w:t xml:space="preserve">Source : </w:t>
      </w:r>
      <w:r w:rsidRPr="007A3CC4">
        <w:rPr>
          <w:i/>
          <w:iCs/>
        </w:rPr>
        <w:t>Gestion durable des terres en Tunisie. Bonnes pratiques agricoles</w:t>
      </w:r>
      <w:r w:rsidRPr="007A3CC4">
        <w:t>,</w:t>
      </w:r>
      <w:r>
        <w:t xml:space="preserve"> ibid.</w:t>
      </w:r>
    </w:p>
    <w:p w14:paraId="49EAC253" w14:textId="77777777" w:rsidR="007A3CC4" w:rsidRDefault="007A3CC4" w:rsidP="007A3CC4">
      <w:pPr>
        <w:spacing w:after="0" w:line="240" w:lineRule="auto"/>
      </w:pPr>
    </w:p>
    <w:p w14:paraId="2569E06F" w14:textId="23D69D9D" w:rsidR="007D7307" w:rsidRDefault="007D7307" w:rsidP="007D7307">
      <w:pPr>
        <w:pStyle w:val="Titre1"/>
      </w:pPr>
      <w:bookmarkStart w:id="405" w:name="_Toc139181695"/>
      <w:r>
        <w:t>Annexe : Niveaux de résistance au sel de certaines plantes</w:t>
      </w:r>
      <w:bookmarkEnd w:id="405"/>
    </w:p>
    <w:p w14:paraId="34C24051" w14:textId="123E3405" w:rsidR="007D7307" w:rsidRDefault="007D7307" w:rsidP="007D7307">
      <w:pPr>
        <w:spacing w:after="0" w:line="240" w:lineRule="auto"/>
        <w:jc w:val="both"/>
      </w:pPr>
    </w:p>
    <w:p w14:paraId="725B73CE" w14:textId="0A705080" w:rsidR="007D7307" w:rsidRDefault="007D7307" w:rsidP="007D7307">
      <w:pPr>
        <w:spacing w:after="0" w:line="240" w:lineRule="auto"/>
        <w:jc w:val="both"/>
      </w:pPr>
      <w:r w:rsidRPr="007D7307">
        <w:t xml:space="preserve">1) </w:t>
      </w:r>
      <w:r w:rsidRPr="007D7307">
        <w:rPr>
          <w:u w:val="single"/>
        </w:rPr>
        <w:t>Plantes</w:t>
      </w:r>
      <w:r>
        <w:rPr>
          <w:u w:val="single"/>
        </w:rPr>
        <w:t xml:space="preserve"> herbacées</w:t>
      </w:r>
      <w:r w:rsidRPr="007D7307">
        <w:rPr>
          <w:u w:val="single"/>
        </w:rPr>
        <w:t xml:space="preserve"> ayant une résistance élevée au sel</w:t>
      </w:r>
      <w:r w:rsidRPr="007D7307">
        <w:t xml:space="preserve">, supportant des concentrations salines comprises entre 6 et 8 g de chlorures totaux par litre : </w:t>
      </w:r>
      <w:r w:rsidRPr="007D7307">
        <w:rPr>
          <w:b/>
          <w:bCs/>
        </w:rPr>
        <w:t>Aubergine, Artichaut, Carde, Chou, Chou-fleur, Carotte, Navet, Bette, Épinard, Piment, Poivron, Pomme de terre, Tomate, Maïs, Fève, Pois chiche</w:t>
      </w:r>
      <w:r w:rsidRPr="007D7307">
        <w:t>.</w:t>
      </w:r>
    </w:p>
    <w:p w14:paraId="11CCFD11" w14:textId="77777777" w:rsidR="007D7307" w:rsidRPr="007D7307" w:rsidRDefault="007D7307" w:rsidP="007D7307">
      <w:pPr>
        <w:spacing w:after="0" w:line="240" w:lineRule="auto"/>
        <w:jc w:val="both"/>
      </w:pPr>
    </w:p>
    <w:p w14:paraId="39768BBD" w14:textId="7D94CFD9" w:rsidR="007D7307" w:rsidRDefault="007D7307" w:rsidP="007D7307">
      <w:pPr>
        <w:spacing w:after="0" w:line="240" w:lineRule="auto"/>
        <w:jc w:val="both"/>
      </w:pPr>
      <w:r w:rsidRPr="007D7307">
        <w:t xml:space="preserve">2) </w:t>
      </w:r>
      <w:r w:rsidRPr="007D7307">
        <w:rPr>
          <w:u w:val="single"/>
        </w:rPr>
        <w:t>Plantes</w:t>
      </w:r>
      <w:r>
        <w:rPr>
          <w:u w:val="single"/>
        </w:rPr>
        <w:t xml:space="preserve"> herbacées</w:t>
      </w:r>
      <w:r w:rsidRPr="007D7307">
        <w:rPr>
          <w:u w:val="single"/>
        </w:rPr>
        <w:t xml:space="preserve"> très résistantes au s</w:t>
      </w:r>
      <w:r>
        <w:rPr>
          <w:u w:val="single"/>
        </w:rPr>
        <w:t>e</w:t>
      </w:r>
      <w:r w:rsidRPr="007D7307">
        <w:rPr>
          <w:u w:val="single"/>
        </w:rPr>
        <w:t>l</w:t>
      </w:r>
      <w:r>
        <w:t xml:space="preserve"> e</w:t>
      </w:r>
      <w:r w:rsidRPr="007D7307">
        <w:t xml:space="preserve">t tolérantes, quoiqu’assez mal, à des concentrations salines variant de 9 à 11 g de chlorures totaux par litre : </w:t>
      </w:r>
      <w:r w:rsidRPr="007D7307">
        <w:rPr>
          <w:b/>
          <w:bCs/>
        </w:rPr>
        <w:t>Asperge, Betterave rouge, Ail, Oignon, Radis, Poireau</w:t>
      </w:r>
      <w:r w:rsidRPr="007D7307">
        <w:t>.</w:t>
      </w:r>
    </w:p>
    <w:p w14:paraId="1AD07BF3" w14:textId="77777777" w:rsidR="007D7307" w:rsidRDefault="007D7307" w:rsidP="007D7307">
      <w:pPr>
        <w:spacing w:after="0" w:line="240" w:lineRule="auto"/>
        <w:jc w:val="both"/>
      </w:pPr>
    </w:p>
    <w:p w14:paraId="5757743B" w14:textId="48F5DA9C" w:rsidR="007D7307" w:rsidRDefault="007D7307" w:rsidP="007D7307">
      <w:pPr>
        <w:spacing w:after="0" w:line="240" w:lineRule="auto"/>
        <w:jc w:val="both"/>
      </w:pPr>
      <w:r>
        <w:t xml:space="preserve">3) </w:t>
      </w:r>
      <w:r w:rsidRPr="007D7307">
        <w:rPr>
          <w:u w:val="single"/>
        </w:rPr>
        <w:t>Arbres et arbustes résistants au sel</w:t>
      </w:r>
      <w:r>
        <w:t xml:space="preserve"> : </w:t>
      </w:r>
    </w:p>
    <w:p w14:paraId="1F4F0809" w14:textId="77777777" w:rsidR="007D7307" w:rsidRDefault="007D7307" w:rsidP="007D7307">
      <w:pPr>
        <w:spacing w:after="0" w:line="240" w:lineRule="auto"/>
        <w:jc w:val="both"/>
      </w:pPr>
      <w:r>
        <w:t xml:space="preserve">a) </w:t>
      </w:r>
      <w:r w:rsidRPr="007D7307">
        <w:t xml:space="preserve">Au Sahara, il semble que les arbres fruitiers puissent être classés ainsi par ordre décroissant de tolérance aux sels : </w:t>
      </w:r>
      <w:r w:rsidRPr="007D7307">
        <w:rPr>
          <w:b/>
          <w:bCs/>
        </w:rPr>
        <w:t xml:space="preserve">Palmier-dattier, Grenadier, Figuier, Olivier </w:t>
      </w:r>
      <w:r w:rsidRPr="007D7307">
        <w:t>...</w:t>
      </w:r>
    </w:p>
    <w:p w14:paraId="04FCAC36" w14:textId="77777777" w:rsidR="007D7307" w:rsidRDefault="007D7307" w:rsidP="007D7307">
      <w:pPr>
        <w:spacing w:after="0" w:line="240" w:lineRule="auto"/>
        <w:jc w:val="both"/>
      </w:pPr>
    </w:p>
    <w:p w14:paraId="3DA9E75D" w14:textId="4B2FD49F" w:rsidR="007D7307" w:rsidRDefault="007D7307" w:rsidP="007D7307">
      <w:pPr>
        <w:spacing w:after="0" w:line="240" w:lineRule="auto"/>
        <w:jc w:val="both"/>
      </w:pPr>
      <w:r w:rsidRPr="007D7307">
        <w:t xml:space="preserve">En particulier, le palmier-dattier supporte des salures élevées, mais le rendement et la qualité des fruits — dans le cas de la variété </w:t>
      </w:r>
      <w:r w:rsidRPr="007D7307">
        <w:rPr>
          <w:i/>
          <w:iCs/>
        </w:rPr>
        <w:t xml:space="preserve">Deglet Nour </w:t>
      </w:r>
      <w:r w:rsidRPr="007D7307">
        <w:t>— diminuent déjà lorsqu'en terrain sableux il est irrigué avec des eaux à 5 g de résidu sec ; l'olivier est assez résistant (3 à 5 g de résidu sec dans la solution du sol en surface, et un peu plus en profondeur).</w:t>
      </w:r>
    </w:p>
    <w:p w14:paraId="7B069D00" w14:textId="38A45C8A" w:rsidR="007D7307" w:rsidRPr="007D7307" w:rsidRDefault="007D7307" w:rsidP="007D7307">
      <w:pPr>
        <w:spacing w:after="0" w:line="240" w:lineRule="auto"/>
        <w:jc w:val="both"/>
      </w:pPr>
      <w:r>
        <w:t xml:space="preserve">b) </w:t>
      </w:r>
      <w:r w:rsidRPr="007D7307">
        <w:t xml:space="preserve">Les espèces introduites </w:t>
      </w:r>
      <w:r w:rsidRPr="007D7307">
        <w:rPr>
          <w:i/>
          <w:iCs/>
        </w:rPr>
        <w:t>Haloxylon aphyllum, Eucalyptus occidedalis, Eleagnus angustifolius, Salsola Richteri, Parkinsonia aculeata</w:t>
      </w:r>
      <w:r w:rsidRPr="007D7307">
        <w:t>, expérimentées à Igli et à Adrar, ces essences ont germé et évolué normalement sur des sols salins sableux irrigués avec des eaux renfermant jusqu’à 7 g de chlorures par litre (Cl exprimé en NaCl).</w:t>
      </w:r>
    </w:p>
    <w:p w14:paraId="18F922BB" w14:textId="2BA350EA" w:rsidR="007D7307" w:rsidRDefault="007D7307" w:rsidP="007D7307">
      <w:pPr>
        <w:spacing w:after="0" w:line="240" w:lineRule="auto"/>
        <w:jc w:val="both"/>
      </w:pPr>
    </w:p>
    <w:p w14:paraId="3363FE72" w14:textId="4C151B70" w:rsidR="00DF758B" w:rsidRPr="00DF758B" w:rsidRDefault="00DF758B" w:rsidP="007D7307">
      <w:pPr>
        <w:spacing w:after="0" w:line="240" w:lineRule="auto"/>
        <w:jc w:val="both"/>
      </w:pPr>
      <w:r>
        <w:t xml:space="preserve">4) </w:t>
      </w:r>
      <w:r w:rsidRPr="00DF758B">
        <w:rPr>
          <w:u w:val="single"/>
        </w:rPr>
        <w:t>Résistance au sels de certaines variétés d’acacias</w:t>
      </w:r>
      <w:r>
        <w:t> :</w:t>
      </w:r>
    </w:p>
    <w:p w14:paraId="11A19102" w14:textId="60CA7B1E" w:rsidR="00DF758B" w:rsidRDefault="00DF758B" w:rsidP="007D7307">
      <w:pPr>
        <w:spacing w:after="0" w:line="240" w:lineRule="auto"/>
        <w:jc w:val="both"/>
      </w:pPr>
    </w:p>
    <w:tbl>
      <w:tblPr>
        <w:tblW w:w="9600" w:type="dxa"/>
        <w:tblCellMar>
          <w:left w:w="0" w:type="dxa"/>
          <w:right w:w="0" w:type="dxa"/>
        </w:tblCellMar>
        <w:tblLook w:val="0600" w:firstRow="0" w:lastRow="0" w:firstColumn="0" w:lastColumn="0" w:noHBand="1" w:noVBand="1"/>
      </w:tblPr>
      <w:tblGrid>
        <w:gridCol w:w="2400"/>
        <w:gridCol w:w="2400"/>
        <w:gridCol w:w="2400"/>
        <w:gridCol w:w="2400"/>
      </w:tblGrid>
      <w:tr w:rsidR="009C7E73" w:rsidRPr="009C7E73" w14:paraId="0FF84091" w14:textId="77777777" w:rsidTr="009C7E73">
        <w:trPr>
          <w:trHeight w:val="276"/>
        </w:trPr>
        <w:tc>
          <w:tcPr>
            <w:tcW w:w="2400"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14:paraId="49CE5EA8" w14:textId="77777777" w:rsidR="009C7E73" w:rsidRPr="009C7E73" w:rsidRDefault="009C7E73" w:rsidP="009C7E73">
            <w:pPr>
              <w:spacing w:after="0" w:line="240" w:lineRule="auto"/>
              <w:jc w:val="both"/>
            </w:pPr>
          </w:p>
        </w:tc>
        <w:tc>
          <w:tcPr>
            <w:tcW w:w="2400" w:type="dxa"/>
            <w:tcBorders>
              <w:top w:val="single" w:sz="8" w:space="0" w:color="000000"/>
              <w:left w:val="single" w:sz="8" w:space="0" w:color="000000"/>
              <w:bottom w:val="single" w:sz="8" w:space="0" w:color="000000"/>
              <w:right w:val="nil"/>
            </w:tcBorders>
            <w:shd w:val="clear" w:color="auto" w:fill="auto"/>
            <w:tcMar>
              <w:top w:w="15" w:type="dxa"/>
              <w:left w:w="98" w:type="dxa"/>
              <w:bottom w:w="0" w:type="dxa"/>
              <w:right w:w="98" w:type="dxa"/>
            </w:tcMar>
            <w:hideMark/>
          </w:tcPr>
          <w:p w14:paraId="0D123D5C" w14:textId="77777777" w:rsidR="009C7E73" w:rsidRPr="009C7E73" w:rsidRDefault="009C7E73" w:rsidP="009C7E73">
            <w:pPr>
              <w:spacing w:after="0" w:line="240" w:lineRule="auto"/>
              <w:jc w:val="both"/>
            </w:pPr>
          </w:p>
        </w:tc>
        <w:tc>
          <w:tcPr>
            <w:tcW w:w="2400" w:type="dxa"/>
            <w:tcBorders>
              <w:top w:val="single" w:sz="8" w:space="0" w:color="000000"/>
              <w:left w:val="nil"/>
              <w:bottom w:val="single" w:sz="8" w:space="0" w:color="000000"/>
              <w:right w:val="nil"/>
            </w:tcBorders>
            <w:shd w:val="clear" w:color="auto" w:fill="auto"/>
            <w:tcMar>
              <w:top w:w="15" w:type="dxa"/>
              <w:left w:w="98" w:type="dxa"/>
              <w:bottom w:w="0" w:type="dxa"/>
              <w:right w:w="98" w:type="dxa"/>
            </w:tcMar>
            <w:hideMark/>
          </w:tcPr>
          <w:p w14:paraId="0FC89C3C" w14:textId="77777777" w:rsidR="009C7E73" w:rsidRPr="009C7E73" w:rsidRDefault="009C7E73" w:rsidP="009C7E73">
            <w:pPr>
              <w:spacing w:after="0" w:line="240" w:lineRule="auto"/>
              <w:jc w:val="both"/>
            </w:pPr>
            <w:r w:rsidRPr="009C7E73">
              <w:rPr>
                <w:b/>
                <w:bCs/>
              </w:rPr>
              <w:t>Tolérance mesurée</w:t>
            </w:r>
          </w:p>
        </w:tc>
        <w:tc>
          <w:tcPr>
            <w:tcW w:w="2400" w:type="dxa"/>
            <w:tcBorders>
              <w:top w:val="single" w:sz="8" w:space="0" w:color="000000"/>
              <w:left w:val="nil"/>
              <w:bottom w:val="single" w:sz="8" w:space="0" w:color="000000"/>
              <w:right w:val="single" w:sz="8" w:space="0" w:color="000000"/>
            </w:tcBorders>
            <w:shd w:val="clear" w:color="auto" w:fill="auto"/>
            <w:tcMar>
              <w:top w:w="15" w:type="dxa"/>
              <w:left w:w="98" w:type="dxa"/>
              <w:bottom w:w="0" w:type="dxa"/>
              <w:right w:w="98" w:type="dxa"/>
            </w:tcMar>
            <w:hideMark/>
          </w:tcPr>
          <w:p w14:paraId="1E1E6AE9" w14:textId="77777777" w:rsidR="009C7E73" w:rsidRPr="009C7E73" w:rsidRDefault="009C7E73" w:rsidP="009C7E73">
            <w:pPr>
              <w:spacing w:after="0" w:line="240" w:lineRule="auto"/>
              <w:jc w:val="both"/>
            </w:pPr>
          </w:p>
        </w:tc>
      </w:tr>
      <w:tr w:rsidR="009C7E73" w:rsidRPr="009C7E73" w14:paraId="06B1A033" w14:textId="77777777" w:rsidTr="009C7E73">
        <w:trPr>
          <w:trHeight w:val="276"/>
        </w:trPr>
        <w:tc>
          <w:tcPr>
            <w:tcW w:w="2400"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14:paraId="41D1BEF0" w14:textId="77777777" w:rsidR="009C7E73" w:rsidRPr="009C7E73" w:rsidRDefault="009C7E73" w:rsidP="009C7E73">
            <w:pPr>
              <w:spacing w:after="0" w:line="240" w:lineRule="auto"/>
              <w:jc w:val="both"/>
            </w:pPr>
            <w:r w:rsidRPr="009C7E73">
              <w:rPr>
                <w:b/>
                <w:bCs/>
              </w:rPr>
              <w:t>Contrainte</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14:paraId="2696C2DF" w14:textId="77777777" w:rsidR="009C7E73" w:rsidRPr="009C7E73" w:rsidRDefault="009C7E73" w:rsidP="009C7E73">
            <w:pPr>
              <w:spacing w:after="0" w:line="240" w:lineRule="auto"/>
              <w:jc w:val="both"/>
            </w:pPr>
            <w:r w:rsidRPr="009C7E73">
              <w:rPr>
                <w:b/>
                <w:bCs/>
              </w:rPr>
              <w:t>Élevée</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14:paraId="00BEBC02" w14:textId="77777777" w:rsidR="009C7E73" w:rsidRPr="009C7E73" w:rsidRDefault="009C7E73" w:rsidP="009C7E73">
            <w:pPr>
              <w:spacing w:after="0" w:line="240" w:lineRule="auto"/>
              <w:jc w:val="both"/>
            </w:pPr>
            <w:r w:rsidRPr="009C7E73">
              <w:rPr>
                <w:b/>
                <w:bCs/>
              </w:rPr>
              <w:t>Moyenne</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14:paraId="303F47C8" w14:textId="77777777" w:rsidR="009C7E73" w:rsidRPr="009C7E73" w:rsidRDefault="009C7E73" w:rsidP="009C7E73">
            <w:pPr>
              <w:spacing w:after="0" w:line="240" w:lineRule="auto"/>
              <w:jc w:val="both"/>
            </w:pPr>
            <w:r w:rsidRPr="009C7E73">
              <w:rPr>
                <w:b/>
                <w:bCs/>
              </w:rPr>
              <w:t>Faible</w:t>
            </w:r>
          </w:p>
        </w:tc>
      </w:tr>
      <w:tr w:rsidR="009C7E73" w:rsidRPr="009C7E73" w14:paraId="29BBC84C" w14:textId="77777777" w:rsidTr="009C7E73">
        <w:trPr>
          <w:trHeight w:val="276"/>
        </w:trPr>
        <w:tc>
          <w:tcPr>
            <w:tcW w:w="2400" w:type="dxa"/>
            <w:tcBorders>
              <w:top w:val="single" w:sz="8" w:space="0" w:color="000000"/>
              <w:left w:val="single" w:sz="8" w:space="0" w:color="000000"/>
              <w:bottom w:val="nil"/>
              <w:right w:val="single" w:sz="8" w:space="0" w:color="000000"/>
            </w:tcBorders>
            <w:shd w:val="clear" w:color="auto" w:fill="auto"/>
            <w:tcMar>
              <w:top w:w="15" w:type="dxa"/>
              <w:left w:w="98" w:type="dxa"/>
              <w:bottom w:w="0" w:type="dxa"/>
              <w:right w:w="98" w:type="dxa"/>
            </w:tcMar>
            <w:hideMark/>
          </w:tcPr>
          <w:p w14:paraId="675B69A7" w14:textId="77777777" w:rsidR="009C7E73" w:rsidRPr="009C7E73" w:rsidRDefault="009C7E73" w:rsidP="009C7E73">
            <w:pPr>
              <w:spacing w:after="0" w:line="240" w:lineRule="auto"/>
              <w:jc w:val="both"/>
            </w:pPr>
            <w:r w:rsidRPr="009C7E73">
              <w:rPr>
                <w:b/>
                <w:bCs/>
              </w:rPr>
              <w:t>Sel</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14:paraId="38F118CD" w14:textId="77777777" w:rsidR="009C7E73" w:rsidRPr="009C7E73" w:rsidRDefault="009C7E73" w:rsidP="009C7E73">
            <w:pPr>
              <w:spacing w:after="0" w:line="240" w:lineRule="auto"/>
              <w:jc w:val="both"/>
            </w:pPr>
            <w:r w:rsidRPr="009C7E73">
              <w:rPr>
                <w:i/>
                <w:iCs/>
              </w:rPr>
              <w:t>A. albida</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14:paraId="14514CA3" w14:textId="77777777" w:rsidR="009C7E73" w:rsidRPr="009C7E73" w:rsidRDefault="009C7E73" w:rsidP="009C7E73">
            <w:pPr>
              <w:spacing w:after="0" w:line="240" w:lineRule="auto"/>
              <w:jc w:val="both"/>
            </w:pPr>
            <w:r w:rsidRPr="009C7E73">
              <w:rPr>
                <w:i/>
                <w:iCs/>
              </w:rPr>
              <w:t>A. sieberiana</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14:paraId="0DF5CCBB" w14:textId="77777777" w:rsidR="009C7E73" w:rsidRPr="009C7E73" w:rsidRDefault="009C7E73" w:rsidP="009C7E73">
            <w:pPr>
              <w:spacing w:after="0" w:line="240" w:lineRule="auto"/>
              <w:jc w:val="both"/>
            </w:pPr>
            <w:r w:rsidRPr="009C7E73">
              <w:rPr>
                <w:i/>
                <w:iCs/>
              </w:rPr>
              <w:t>A. nilotica adansonii</w:t>
            </w:r>
          </w:p>
        </w:tc>
      </w:tr>
      <w:tr w:rsidR="009C7E73" w:rsidRPr="009C7E73" w14:paraId="296FE696" w14:textId="77777777" w:rsidTr="009C7E73">
        <w:trPr>
          <w:trHeight w:val="276"/>
        </w:trPr>
        <w:tc>
          <w:tcPr>
            <w:tcW w:w="2400" w:type="dxa"/>
            <w:tcBorders>
              <w:top w:val="nil"/>
              <w:left w:val="single" w:sz="8" w:space="0" w:color="000000"/>
              <w:bottom w:val="nil"/>
              <w:right w:val="single" w:sz="8" w:space="0" w:color="000000"/>
            </w:tcBorders>
            <w:shd w:val="clear" w:color="auto" w:fill="auto"/>
            <w:tcMar>
              <w:top w:w="15" w:type="dxa"/>
              <w:left w:w="98" w:type="dxa"/>
              <w:bottom w:w="0" w:type="dxa"/>
              <w:right w:w="98" w:type="dxa"/>
            </w:tcMar>
            <w:hideMark/>
          </w:tcPr>
          <w:p w14:paraId="23FFE573" w14:textId="77777777" w:rsidR="009C7E73" w:rsidRPr="009C7E73" w:rsidRDefault="009C7E73" w:rsidP="009C7E73">
            <w:pPr>
              <w:spacing w:after="0" w:line="240" w:lineRule="auto"/>
              <w:jc w:val="both"/>
            </w:pP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14:paraId="2B123E73" w14:textId="77777777" w:rsidR="009C7E73" w:rsidRPr="009C7E73" w:rsidRDefault="009C7E73" w:rsidP="009C7E73">
            <w:pPr>
              <w:spacing w:after="0" w:line="240" w:lineRule="auto"/>
              <w:jc w:val="both"/>
            </w:pPr>
            <w:r w:rsidRPr="009C7E73">
              <w:rPr>
                <w:i/>
                <w:iCs/>
              </w:rPr>
              <w:t>A. dugeoni</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14:paraId="75F29B2A" w14:textId="77777777" w:rsidR="009C7E73" w:rsidRPr="009C7E73" w:rsidRDefault="009C7E73" w:rsidP="009C7E73">
            <w:pPr>
              <w:spacing w:after="0" w:line="240" w:lineRule="auto"/>
              <w:jc w:val="both"/>
            </w:pPr>
            <w:r w:rsidRPr="009C7E73">
              <w:rPr>
                <w:i/>
                <w:iCs/>
              </w:rPr>
              <w:t>A. seyal</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14:paraId="77378ED8" w14:textId="77777777" w:rsidR="009C7E73" w:rsidRPr="009C7E73" w:rsidRDefault="009C7E73" w:rsidP="009C7E73">
            <w:pPr>
              <w:spacing w:after="0" w:line="240" w:lineRule="auto"/>
              <w:jc w:val="both"/>
            </w:pPr>
            <w:r w:rsidRPr="009C7E73">
              <w:rPr>
                <w:i/>
                <w:iCs/>
              </w:rPr>
              <w:t>A. nilotica tomentosa</w:t>
            </w:r>
          </w:p>
        </w:tc>
      </w:tr>
      <w:tr w:rsidR="009C7E73" w:rsidRPr="009C7E73" w14:paraId="46225D11" w14:textId="77777777" w:rsidTr="009C7E73">
        <w:trPr>
          <w:trHeight w:val="276"/>
        </w:trPr>
        <w:tc>
          <w:tcPr>
            <w:tcW w:w="2400" w:type="dxa"/>
            <w:tcBorders>
              <w:top w:val="nil"/>
              <w:left w:val="single" w:sz="8" w:space="0" w:color="000000"/>
              <w:bottom w:val="nil"/>
              <w:right w:val="single" w:sz="8" w:space="0" w:color="000000"/>
            </w:tcBorders>
            <w:shd w:val="clear" w:color="auto" w:fill="auto"/>
            <w:tcMar>
              <w:top w:w="15" w:type="dxa"/>
              <w:left w:w="98" w:type="dxa"/>
              <w:bottom w:w="0" w:type="dxa"/>
              <w:right w:w="98" w:type="dxa"/>
            </w:tcMar>
            <w:hideMark/>
          </w:tcPr>
          <w:p w14:paraId="44EDD48B" w14:textId="77777777" w:rsidR="009C7E73" w:rsidRPr="009C7E73" w:rsidRDefault="009C7E73" w:rsidP="009C7E73">
            <w:pPr>
              <w:spacing w:after="0" w:line="240" w:lineRule="auto"/>
              <w:jc w:val="both"/>
            </w:pP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14:paraId="72FFC058" w14:textId="77777777" w:rsidR="009C7E73" w:rsidRPr="009C7E73" w:rsidRDefault="009C7E73" w:rsidP="009C7E73">
            <w:pPr>
              <w:spacing w:after="0" w:line="240" w:lineRule="auto"/>
              <w:jc w:val="both"/>
            </w:pPr>
            <w:r w:rsidRPr="009C7E73">
              <w:rPr>
                <w:i/>
                <w:iCs/>
              </w:rPr>
              <w:t>A. erhenbegiana</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14:paraId="5882E6BB" w14:textId="77777777" w:rsidR="009C7E73" w:rsidRPr="009C7E73" w:rsidRDefault="009C7E73" w:rsidP="009C7E73">
            <w:pPr>
              <w:spacing w:after="0" w:line="240" w:lineRule="auto"/>
              <w:jc w:val="both"/>
            </w:pP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14:paraId="30DA6A07" w14:textId="77777777" w:rsidR="009C7E73" w:rsidRPr="009C7E73" w:rsidRDefault="009C7E73" w:rsidP="009C7E73">
            <w:pPr>
              <w:spacing w:after="0" w:line="240" w:lineRule="auto"/>
              <w:jc w:val="both"/>
            </w:pPr>
          </w:p>
        </w:tc>
      </w:tr>
      <w:tr w:rsidR="009C7E73" w:rsidRPr="009C7E73" w14:paraId="302918DC" w14:textId="77777777" w:rsidTr="009C7E73">
        <w:trPr>
          <w:trHeight w:val="276"/>
        </w:trPr>
        <w:tc>
          <w:tcPr>
            <w:tcW w:w="2400" w:type="dxa"/>
            <w:tcBorders>
              <w:top w:val="nil"/>
              <w:left w:val="single" w:sz="8" w:space="0" w:color="000000"/>
              <w:bottom w:val="nil"/>
              <w:right w:val="single" w:sz="8" w:space="0" w:color="000000"/>
            </w:tcBorders>
            <w:shd w:val="clear" w:color="auto" w:fill="auto"/>
            <w:tcMar>
              <w:top w:w="15" w:type="dxa"/>
              <w:left w:w="98" w:type="dxa"/>
              <w:bottom w:w="0" w:type="dxa"/>
              <w:right w:w="98" w:type="dxa"/>
            </w:tcMar>
            <w:hideMark/>
          </w:tcPr>
          <w:p w14:paraId="2F593CCE" w14:textId="77777777" w:rsidR="009C7E73" w:rsidRPr="009C7E73" w:rsidRDefault="009C7E73" w:rsidP="009C7E73">
            <w:pPr>
              <w:spacing w:after="0" w:line="240" w:lineRule="auto"/>
              <w:jc w:val="both"/>
            </w:pP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14:paraId="0D7E6655" w14:textId="77777777" w:rsidR="009C7E73" w:rsidRPr="009C7E73" w:rsidRDefault="009C7E73" w:rsidP="009C7E73">
            <w:pPr>
              <w:spacing w:after="0" w:line="240" w:lineRule="auto"/>
              <w:jc w:val="both"/>
            </w:pPr>
            <w:r w:rsidRPr="009C7E73">
              <w:rPr>
                <w:b/>
                <w:bCs/>
                <w:i/>
                <w:iCs/>
              </w:rPr>
              <w:t>A. raddiana</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14:paraId="452886E5" w14:textId="77777777" w:rsidR="009C7E73" w:rsidRPr="009C7E73" w:rsidRDefault="009C7E73" w:rsidP="009C7E73">
            <w:pPr>
              <w:spacing w:after="0" w:line="240" w:lineRule="auto"/>
              <w:jc w:val="both"/>
            </w:pP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14:paraId="3ECBEBFD" w14:textId="77777777" w:rsidR="009C7E73" w:rsidRPr="009C7E73" w:rsidRDefault="009C7E73" w:rsidP="009C7E73">
            <w:pPr>
              <w:spacing w:after="0" w:line="240" w:lineRule="auto"/>
              <w:jc w:val="both"/>
            </w:pPr>
          </w:p>
        </w:tc>
      </w:tr>
      <w:tr w:rsidR="009C7E73" w:rsidRPr="009C7E73" w14:paraId="32BBA11B" w14:textId="77777777" w:rsidTr="009C7E73">
        <w:trPr>
          <w:trHeight w:val="276"/>
        </w:trPr>
        <w:tc>
          <w:tcPr>
            <w:tcW w:w="2400" w:type="dxa"/>
            <w:tcBorders>
              <w:top w:val="nil"/>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14:paraId="33AB827E" w14:textId="77777777" w:rsidR="009C7E73" w:rsidRPr="009C7E73" w:rsidRDefault="009C7E73" w:rsidP="009C7E73">
            <w:pPr>
              <w:spacing w:after="0" w:line="240" w:lineRule="auto"/>
              <w:jc w:val="both"/>
            </w:pP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14:paraId="55B9FC0E" w14:textId="77777777" w:rsidR="009C7E73" w:rsidRPr="009C7E73" w:rsidRDefault="009C7E73" w:rsidP="009C7E73">
            <w:pPr>
              <w:spacing w:after="0" w:line="240" w:lineRule="auto"/>
              <w:jc w:val="both"/>
            </w:pPr>
            <w:r w:rsidRPr="009C7E73">
              <w:rPr>
                <w:b/>
                <w:bCs/>
                <w:i/>
                <w:iCs/>
              </w:rPr>
              <w:t>A. senegal</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14:paraId="5B078E95" w14:textId="77777777" w:rsidR="009C7E73" w:rsidRPr="009C7E73" w:rsidRDefault="009C7E73" w:rsidP="009C7E73">
            <w:pPr>
              <w:spacing w:after="0" w:line="240" w:lineRule="auto"/>
              <w:jc w:val="both"/>
            </w:pP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14:paraId="4BF5E0BD" w14:textId="77777777" w:rsidR="009C7E73" w:rsidRPr="009C7E73" w:rsidRDefault="009C7E73" w:rsidP="009C7E73">
            <w:pPr>
              <w:spacing w:after="0" w:line="240" w:lineRule="auto"/>
              <w:jc w:val="both"/>
            </w:pPr>
          </w:p>
        </w:tc>
      </w:tr>
      <w:tr w:rsidR="009C7E73" w:rsidRPr="009C7E73" w14:paraId="5507C6A5" w14:textId="77777777" w:rsidTr="009C7E73">
        <w:trPr>
          <w:trHeight w:val="276"/>
        </w:trPr>
        <w:tc>
          <w:tcPr>
            <w:tcW w:w="2400" w:type="dxa"/>
            <w:tcBorders>
              <w:top w:val="single" w:sz="8" w:space="0" w:color="000000"/>
              <w:left w:val="single" w:sz="8" w:space="0" w:color="000000"/>
              <w:bottom w:val="nil"/>
              <w:right w:val="single" w:sz="8" w:space="0" w:color="000000"/>
            </w:tcBorders>
            <w:shd w:val="clear" w:color="auto" w:fill="auto"/>
            <w:tcMar>
              <w:top w:w="15" w:type="dxa"/>
              <w:left w:w="98" w:type="dxa"/>
              <w:bottom w:w="0" w:type="dxa"/>
              <w:right w:w="98" w:type="dxa"/>
            </w:tcMar>
            <w:hideMark/>
          </w:tcPr>
          <w:p w14:paraId="6320589B" w14:textId="77777777" w:rsidR="009C7E73" w:rsidRPr="009C7E73" w:rsidRDefault="009C7E73" w:rsidP="009C7E73">
            <w:pPr>
              <w:spacing w:after="0" w:line="240" w:lineRule="auto"/>
              <w:jc w:val="both"/>
            </w:pPr>
            <w:r w:rsidRPr="009C7E73">
              <w:rPr>
                <w:b/>
                <w:bCs/>
              </w:rPr>
              <w:t>Naturelle (in situ)</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14:paraId="6AF41D4E" w14:textId="77777777" w:rsidR="009C7E73" w:rsidRPr="009C7E73" w:rsidRDefault="009C7E73" w:rsidP="009C7E73">
            <w:pPr>
              <w:spacing w:after="0" w:line="240" w:lineRule="auto"/>
              <w:jc w:val="both"/>
            </w:pPr>
            <w:r w:rsidRPr="009C7E73">
              <w:rPr>
                <w:b/>
                <w:bCs/>
                <w:i/>
                <w:iCs/>
              </w:rPr>
              <w:t>A. erhenbergiana</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14:paraId="321521DD" w14:textId="77777777" w:rsidR="009C7E73" w:rsidRPr="009C7E73" w:rsidRDefault="009C7E73" w:rsidP="009C7E73">
            <w:pPr>
              <w:spacing w:after="0" w:line="240" w:lineRule="auto"/>
              <w:jc w:val="both"/>
            </w:pPr>
            <w:r w:rsidRPr="009C7E73">
              <w:rPr>
                <w:i/>
                <w:iCs/>
              </w:rPr>
              <w:t>A. albida</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14:paraId="6FC0DDBE" w14:textId="77777777" w:rsidR="009C7E73" w:rsidRPr="009C7E73" w:rsidRDefault="009C7E73" w:rsidP="009C7E73">
            <w:pPr>
              <w:spacing w:after="0" w:line="240" w:lineRule="auto"/>
              <w:jc w:val="both"/>
            </w:pPr>
            <w:r w:rsidRPr="009C7E73">
              <w:rPr>
                <w:i/>
                <w:iCs/>
              </w:rPr>
              <w:t>A. dudgeoni</w:t>
            </w:r>
          </w:p>
        </w:tc>
      </w:tr>
      <w:tr w:rsidR="009C7E73" w:rsidRPr="009C7E73" w14:paraId="426C76EB" w14:textId="77777777" w:rsidTr="009C7E73">
        <w:trPr>
          <w:trHeight w:val="276"/>
        </w:trPr>
        <w:tc>
          <w:tcPr>
            <w:tcW w:w="2400" w:type="dxa"/>
            <w:tcBorders>
              <w:top w:val="nil"/>
              <w:left w:val="single" w:sz="8" w:space="0" w:color="000000"/>
              <w:bottom w:val="nil"/>
              <w:right w:val="single" w:sz="8" w:space="0" w:color="000000"/>
            </w:tcBorders>
            <w:shd w:val="clear" w:color="auto" w:fill="auto"/>
            <w:tcMar>
              <w:top w:w="15" w:type="dxa"/>
              <w:left w:w="98" w:type="dxa"/>
              <w:bottom w:w="0" w:type="dxa"/>
              <w:right w:w="98" w:type="dxa"/>
            </w:tcMar>
            <w:hideMark/>
          </w:tcPr>
          <w:p w14:paraId="265C9544" w14:textId="77777777" w:rsidR="009C7E73" w:rsidRPr="009C7E73" w:rsidRDefault="009C7E73" w:rsidP="009C7E73">
            <w:pPr>
              <w:spacing w:after="0" w:line="240" w:lineRule="auto"/>
              <w:jc w:val="both"/>
            </w:pP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14:paraId="48D705B4" w14:textId="77777777" w:rsidR="009C7E73" w:rsidRPr="009C7E73" w:rsidRDefault="009C7E73" w:rsidP="009C7E73">
            <w:pPr>
              <w:spacing w:after="0" w:line="240" w:lineRule="auto"/>
              <w:jc w:val="both"/>
            </w:pPr>
            <w:r w:rsidRPr="009C7E73">
              <w:rPr>
                <w:b/>
                <w:bCs/>
                <w:i/>
                <w:iCs/>
              </w:rPr>
              <w:t>A. raddiana</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14:paraId="7C02A679" w14:textId="77777777" w:rsidR="009C7E73" w:rsidRPr="009C7E73" w:rsidRDefault="009C7E73" w:rsidP="009C7E73">
            <w:pPr>
              <w:spacing w:after="0" w:line="240" w:lineRule="auto"/>
              <w:jc w:val="both"/>
            </w:pPr>
            <w:r w:rsidRPr="009C7E73">
              <w:rPr>
                <w:i/>
                <w:iCs/>
              </w:rPr>
              <w:t>A. nilotica adansonii</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14:paraId="0CB9793B" w14:textId="77777777" w:rsidR="009C7E73" w:rsidRPr="009C7E73" w:rsidRDefault="009C7E73" w:rsidP="009C7E73">
            <w:pPr>
              <w:spacing w:after="0" w:line="240" w:lineRule="auto"/>
              <w:jc w:val="both"/>
            </w:pPr>
            <w:r w:rsidRPr="009C7E73">
              <w:rPr>
                <w:i/>
                <w:iCs/>
              </w:rPr>
              <w:t>A. sieberiana</w:t>
            </w:r>
          </w:p>
        </w:tc>
      </w:tr>
      <w:tr w:rsidR="009C7E73" w:rsidRPr="009C7E73" w14:paraId="332C1EF1" w14:textId="77777777" w:rsidTr="009C7E73">
        <w:trPr>
          <w:trHeight w:val="276"/>
        </w:trPr>
        <w:tc>
          <w:tcPr>
            <w:tcW w:w="2400" w:type="dxa"/>
            <w:tcBorders>
              <w:top w:val="nil"/>
              <w:left w:val="single" w:sz="8" w:space="0" w:color="000000"/>
              <w:bottom w:val="nil"/>
              <w:right w:val="single" w:sz="8" w:space="0" w:color="000000"/>
            </w:tcBorders>
            <w:shd w:val="clear" w:color="auto" w:fill="auto"/>
            <w:tcMar>
              <w:top w:w="15" w:type="dxa"/>
              <w:left w:w="98" w:type="dxa"/>
              <w:bottom w:w="0" w:type="dxa"/>
              <w:right w:w="98" w:type="dxa"/>
            </w:tcMar>
            <w:hideMark/>
          </w:tcPr>
          <w:p w14:paraId="561AEED6" w14:textId="77777777" w:rsidR="009C7E73" w:rsidRPr="009C7E73" w:rsidRDefault="009C7E73" w:rsidP="009C7E73">
            <w:pPr>
              <w:spacing w:after="0" w:line="240" w:lineRule="auto"/>
              <w:jc w:val="both"/>
            </w:pP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14:paraId="62495CEF" w14:textId="77777777" w:rsidR="009C7E73" w:rsidRPr="009C7E73" w:rsidRDefault="009C7E73" w:rsidP="009C7E73">
            <w:pPr>
              <w:spacing w:after="0" w:line="240" w:lineRule="auto"/>
              <w:jc w:val="both"/>
            </w:pP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14:paraId="337F2AD2" w14:textId="77777777" w:rsidR="009C7E73" w:rsidRPr="009C7E73" w:rsidRDefault="009C7E73" w:rsidP="009C7E73">
            <w:pPr>
              <w:spacing w:after="0" w:line="240" w:lineRule="auto"/>
              <w:jc w:val="both"/>
            </w:pPr>
            <w:r w:rsidRPr="009C7E73">
              <w:rPr>
                <w:i/>
                <w:iCs/>
              </w:rPr>
              <w:t>A. nilotica tomentosa</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14:paraId="309A86A4" w14:textId="77777777" w:rsidR="009C7E73" w:rsidRPr="009C7E73" w:rsidRDefault="009C7E73" w:rsidP="009C7E73">
            <w:pPr>
              <w:spacing w:after="0" w:line="240" w:lineRule="auto"/>
              <w:jc w:val="both"/>
            </w:pPr>
          </w:p>
        </w:tc>
      </w:tr>
      <w:tr w:rsidR="009C7E73" w:rsidRPr="009C7E73" w14:paraId="39D433AB" w14:textId="77777777" w:rsidTr="009C7E73">
        <w:trPr>
          <w:trHeight w:val="276"/>
        </w:trPr>
        <w:tc>
          <w:tcPr>
            <w:tcW w:w="2400" w:type="dxa"/>
            <w:tcBorders>
              <w:top w:val="nil"/>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14:paraId="3EABC377" w14:textId="77777777" w:rsidR="009C7E73" w:rsidRPr="009C7E73" w:rsidRDefault="009C7E73" w:rsidP="009C7E73">
            <w:pPr>
              <w:spacing w:after="0" w:line="240" w:lineRule="auto"/>
              <w:jc w:val="both"/>
            </w:pP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14:paraId="5E7683BF" w14:textId="77777777" w:rsidR="009C7E73" w:rsidRPr="009C7E73" w:rsidRDefault="009C7E73" w:rsidP="009C7E73">
            <w:pPr>
              <w:spacing w:after="0" w:line="240" w:lineRule="auto"/>
              <w:jc w:val="both"/>
            </w:pP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14:paraId="03A91639" w14:textId="77777777" w:rsidR="009C7E73" w:rsidRPr="009C7E73" w:rsidRDefault="009C7E73" w:rsidP="009C7E73">
            <w:pPr>
              <w:spacing w:after="0" w:line="240" w:lineRule="auto"/>
              <w:jc w:val="both"/>
            </w:pPr>
            <w:r w:rsidRPr="009C7E73">
              <w:rPr>
                <w:i/>
                <w:iCs/>
              </w:rPr>
              <w:t>A. senegal</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14:paraId="08C64866" w14:textId="77777777" w:rsidR="009C7E73" w:rsidRPr="009C7E73" w:rsidRDefault="009C7E73" w:rsidP="009C7E73">
            <w:pPr>
              <w:spacing w:after="0" w:line="240" w:lineRule="auto"/>
              <w:jc w:val="both"/>
            </w:pPr>
          </w:p>
        </w:tc>
      </w:tr>
    </w:tbl>
    <w:p w14:paraId="52E20929" w14:textId="4A097DDC" w:rsidR="00DF758B" w:rsidRDefault="00DF758B" w:rsidP="007D7307">
      <w:pPr>
        <w:spacing w:after="0" w:line="240" w:lineRule="auto"/>
        <w:jc w:val="both"/>
      </w:pPr>
    </w:p>
    <w:p w14:paraId="1DF64C46" w14:textId="77777777" w:rsidR="009C7E73" w:rsidRPr="009C7E73" w:rsidRDefault="009C7E73" w:rsidP="009C7E73">
      <w:pPr>
        <w:spacing w:after="0" w:line="240" w:lineRule="auto"/>
        <w:jc w:val="both"/>
      </w:pPr>
      <w:r w:rsidRPr="009C7E73">
        <w:t xml:space="preserve">Tableau du classement des différentes espèces d'acacia en fonction de leur faculté à germer sous une contrainte hydrique ou saline simulée et de leur écologie (résistance à la sécheresse in situ). </w:t>
      </w:r>
    </w:p>
    <w:p w14:paraId="760C28AE" w14:textId="77777777" w:rsidR="009C7E73" w:rsidRDefault="009C7E73" w:rsidP="009C7E73">
      <w:pPr>
        <w:spacing w:after="0" w:line="240" w:lineRule="auto"/>
        <w:jc w:val="both"/>
      </w:pPr>
    </w:p>
    <w:p w14:paraId="0CD8CA83" w14:textId="6A8E742F" w:rsidR="009C7E73" w:rsidRPr="009C7E73" w:rsidRDefault="009C7E73" w:rsidP="009C7E73">
      <w:pPr>
        <w:spacing w:after="0" w:line="240" w:lineRule="auto"/>
        <w:jc w:val="both"/>
      </w:pPr>
      <w:r w:rsidRPr="009C7E73">
        <w:t xml:space="preserve">Les espèces d’acacias les plus tolérantes au sel : </w:t>
      </w:r>
      <w:r w:rsidRPr="009C7E73">
        <w:rPr>
          <w:i/>
          <w:iCs/>
        </w:rPr>
        <w:t>A. raddiana, A. senegal et A. sieberiana.</w:t>
      </w:r>
    </w:p>
    <w:p w14:paraId="73DDB617" w14:textId="77777777" w:rsidR="009C7E73" w:rsidRPr="009C7E73" w:rsidRDefault="009C7E73" w:rsidP="009C7E73">
      <w:pPr>
        <w:spacing w:after="0" w:line="240" w:lineRule="auto"/>
        <w:jc w:val="both"/>
      </w:pPr>
      <w:r w:rsidRPr="009C7E73">
        <w:t xml:space="preserve">Les espèces de sensibilité intermédiaire : A. </w:t>
      </w:r>
      <w:r w:rsidRPr="009C7E73">
        <w:rPr>
          <w:i/>
          <w:iCs/>
        </w:rPr>
        <w:t xml:space="preserve">albida, A. dudgeoni, A. erhenbergiana </w:t>
      </w:r>
      <w:r w:rsidRPr="009C7E73">
        <w:t xml:space="preserve">et A. </w:t>
      </w:r>
      <w:r w:rsidRPr="009C7E73">
        <w:rPr>
          <w:i/>
          <w:iCs/>
        </w:rPr>
        <w:t>seyal.</w:t>
      </w:r>
    </w:p>
    <w:p w14:paraId="3848008E" w14:textId="77777777" w:rsidR="009C7E73" w:rsidRDefault="009C7E73" w:rsidP="009C7E73">
      <w:pPr>
        <w:spacing w:after="0" w:line="240" w:lineRule="auto"/>
        <w:jc w:val="both"/>
      </w:pPr>
    </w:p>
    <w:p w14:paraId="1B9F7A88" w14:textId="2525DACF" w:rsidR="009C7E73" w:rsidRPr="009C7E73" w:rsidRDefault="009C7E73" w:rsidP="009C7E73">
      <w:pPr>
        <w:spacing w:after="0" w:line="240" w:lineRule="auto"/>
        <w:jc w:val="both"/>
      </w:pPr>
      <w:r w:rsidRPr="009C7E73">
        <w:t>Certaines de leurs graines parviennent même à germer en présence d'une solution saline de concentration proche de celle de l'eau de mer (35 g.1</w:t>
      </w:r>
      <w:r w:rsidRPr="009C7E73">
        <w:rPr>
          <w:vertAlign w:val="superscript"/>
        </w:rPr>
        <w:t>-1</w:t>
      </w:r>
      <w:r w:rsidRPr="009C7E73">
        <w:t xml:space="preserve">, soit -2,1 MPa) : 1 % des graines d'A. </w:t>
      </w:r>
      <w:r w:rsidRPr="009C7E73">
        <w:rPr>
          <w:i/>
          <w:iCs/>
        </w:rPr>
        <w:t xml:space="preserve">raddiana </w:t>
      </w:r>
      <w:r w:rsidRPr="009C7E73">
        <w:t xml:space="preserve">et 3 % des graines d'A. </w:t>
      </w:r>
      <w:r w:rsidRPr="009C7E73">
        <w:rPr>
          <w:i/>
          <w:iCs/>
        </w:rPr>
        <w:t>senegal.</w:t>
      </w:r>
    </w:p>
    <w:p w14:paraId="5EF14FC7" w14:textId="77777777" w:rsidR="009C7E73" w:rsidRDefault="009C7E73" w:rsidP="009C7E73">
      <w:pPr>
        <w:spacing w:after="0" w:line="240" w:lineRule="auto"/>
        <w:jc w:val="both"/>
      </w:pPr>
    </w:p>
    <w:p w14:paraId="502C75B8" w14:textId="3D4A1AC2" w:rsidR="009C7E73" w:rsidRPr="009C7E73" w:rsidRDefault="009C7E73" w:rsidP="009C7E73">
      <w:pPr>
        <w:spacing w:after="0" w:line="240" w:lineRule="auto"/>
        <w:jc w:val="both"/>
      </w:pPr>
      <w:r w:rsidRPr="009C7E73">
        <w:t xml:space="preserve">Les valeurs limites sont très supérieures à celles publiées par Totey </w:t>
      </w:r>
      <w:r w:rsidRPr="009C7E73">
        <w:rPr>
          <w:i/>
          <w:iCs/>
        </w:rPr>
        <w:t xml:space="preserve">et al. </w:t>
      </w:r>
      <w:r w:rsidRPr="009C7E73">
        <w:t xml:space="preserve">(1987) pour </w:t>
      </w:r>
      <w:r w:rsidRPr="009C7E73">
        <w:rPr>
          <w:i/>
          <w:iCs/>
        </w:rPr>
        <w:t xml:space="preserve">Acacia auriculiformis </w:t>
      </w:r>
      <w:r w:rsidRPr="009C7E73">
        <w:t>(dont la germination est réduite dès que la concentration saline atteint 4,6 g.1</w:t>
      </w:r>
      <w:r w:rsidRPr="009C7E73">
        <w:rPr>
          <w:vertAlign w:val="superscript"/>
        </w:rPr>
        <w:t>-1</w:t>
      </w:r>
      <w:r w:rsidRPr="009C7E73">
        <w:t xml:space="preserve">), par Kayani </w:t>
      </w:r>
      <w:r w:rsidRPr="009C7E73">
        <w:rPr>
          <w:i/>
          <w:iCs/>
        </w:rPr>
        <w:t xml:space="preserve">et al. </w:t>
      </w:r>
      <w:r w:rsidRPr="009C7E73">
        <w:t>(1990) pour le jojoba (réduction de 50 % de la capacité germinative à 5 g.1</w:t>
      </w:r>
      <w:r w:rsidRPr="009C7E73">
        <w:rPr>
          <w:vertAlign w:val="superscript"/>
        </w:rPr>
        <w:t>-1</w:t>
      </w:r>
      <w:r w:rsidRPr="009C7E73">
        <w:t>).</w:t>
      </w:r>
    </w:p>
    <w:p w14:paraId="7C38ABDB" w14:textId="77777777" w:rsidR="009C7E73" w:rsidRDefault="009C7E73" w:rsidP="009C7E73">
      <w:pPr>
        <w:spacing w:after="0" w:line="240" w:lineRule="auto"/>
        <w:jc w:val="both"/>
      </w:pPr>
    </w:p>
    <w:p w14:paraId="54ACE42A" w14:textId="427E2405" w:rsidR="009C7E73" w:rsidRPr="009C7E73" w:rsidRDefault="009C7E73" w:rsidP="009C7E73">
      <w:pPr>
        <w:spacing w:after="0" w:line="240" w:lineRule="auto"/>
        <w:jc w:val="both"/>
      </w:pPr>
      <w:r w:rsidRPr="009C7E73">
        <w:t xml:space="preserve">Source : </w:t>
      </w:r>
      <w:r w:rsidRPr="009C7E73">
        <w:rPr>
          <w:i/>
          <w:iCs/>
        </w:rPr>
        <w:t>Effet des contraintes hydrique et saline sur la germination de quelques acacias africains</w:t>
      </w:r>
      <w:r w:rsidRPr="009C7E73">
        <w:t xml:space="preserve">, Paul Ndour, Pascal Danthu, </w:t>
      </w:r>
      <w:hyperlink r:id="rId4454" w:history="1">
        <w:r w:rsidRPr="009C7E73">
          <w:rPr>
            <w:rStyle w:val="Lienhypertexte"/>
          </w:rPr>
          <w:t>http://horizon.documentation.ird.fr/exl-doc/pleins_textes/pleins_textes_7/divers2/010016071.pdf</w:t>
        </w:r>
      </w:hyperlink>
      <w:r w:rsidRPr="009C7E73">
        <w:t xml:space="preserve"> </w:t>
      </w:r>
    </w:p>
    <w:p w14:paraId="6F400530" w14:textId="77777777" w:rsidR="00DF758B" w:rsidRDefault="00DF758B" w:rsidP="007D7307">
      <w:pPr>
        <w:spacing w:after="0" w:line="240" w:lineRule="auto"/>
        <w:jc w:val="both"/>
      </w:pPr>
    </w:p>
    <w:p w14:paraId="6EF3BE47" w14:textId="26371EBF" w:rsidR="007D7307" w:rsidRPr="007D7307" w:rsidRDefault="00DF758B" w:rsidP="007D7307">
      <w:pPr>
        <w:spacing w:after="0" w:line="240" w:lineRule="auto"/>
        <w:jc w:val="both"/>
      </w:pPr>
      <w:r>
        <w:t>5</w:t>
      </w:r>
      <w:r w:rsidR="007D7307">
        <w:t xml:space="preserve">) </w:t>
      </w:r>
      <w:r w:rsidR="007D7307" w:rsidRPr="007D7307">
        <w:rPr>
          <w:u w:val="single"/>
        </w:rPr>
        <w:t>Céréales résistantes au sel</w:t>
      </w:r>
      <w:r w:rsidR="007D7307">
        <w:t xml:space="preserve"> : </w:t>
      </w:r>
      <w:r w:rsidR="007D7307" w:rsidRPr="007D7307">
        <w:t xml:space="preserve">Observées dans les cultures locales et dans les Centres d’Etudes d’irrigation, elles ont été classées ainsi par ordre décroissant de tolérance aux sels : Mélilot </w:t>
      </w:r>
      <w:r w:rsidR="007D7307" w:rsidRPr="007D7307">
        <w:rPr>
          <w:i/>
          <w:iCs/>
        </w:rPr>
        <w:t>(Melilotus alba amua), Luzerne (Medicago sativa), Cotonnier, Blé, Orge, Sorgho.</w:t>
      </w:r>
    </w:p>
    <w:p w14:paraId="2E76020C" w14:textId="17D7917F" w:rsidR="007D7307" w:rsidRPr="007D7307" w:rsidRDefault="007D7307" w:rsidP="007D7307">
      <w:pPr>
        <w:spacing w:after="0" w:line="240" w:lineRule="auto"/>
        <w:jc w:val="both"/>
      </w:pPr>
    </w:p>
    <w:p w14:paraId="2931891A" w14:textId="397C40C0" w:rsidR="007D7307" w:rsidRDefault="007D7307" w:rsidP="007D7307">
      <w:pPr>
        <w:spacing w:after="0" w:line="240" w:lineRule="auto"/>
        <w:jc w:val="both"/>
      </w:pPr>
      <w:r w:rsidRPr="007D7307">
        <w:t xml:space="preserve">Source : </w:t>
      </w:r>
      <w:r w:rsidRPr="007D7307">
        <w:rPr>
          <w:i/>
          <w:iCs/>
        </w:rPr>
        <w:t>L'utilisation des eaux salées au Sahara</w:t>
      </w:r>
      <w:r w:rsidRPr="007D7307">
        <w:t xml:space="preserve">, P. Simonneau, G. Aubert, agron., 1963, 14 (5), 859-872, </w:t>
      </w:r>
      <w:hyperlink r:id="rId4455" w:history="1">
        <w:r w:rsidRPr="007D7307">
          <w:rPr>
            <w:rStyle w:val="Lienhypertexte"/>
          </w:rPr>
          <w:t>http://horizon.documentation.ird.fr/exl-doc/pleins_textes/pleins_textes_5/b_fdi_08-09/11033.pdf</w:t>
        </w:r>
      </w:hyperlink>
      <w:r w:rsidRPr="007D7307">
        <w:t xml:space="preserve"> </w:t>
      </w:r>
    </w:p>
    <w:p w14:paraId="6ECCDEFD" w14:textId="19499B05" w:rsidR="007C7D6F" w:rsidRDefault="007C7D6F">
      <w:r>
        <w:br w:type="page"/>
      </w:r>
    </w:p>
    <w:p w14:paraId="37CCDF71" w14:textId="77777777" w:rsidR="000029C9" w:rsidRDefault="000029C9" w:rsidP="007D7307">
      <w:pPr>
        <w:spacing w:after="0" w:line="240" w:lineRule="auto"/>
        <w:jc w:val="both"/>
      </w:pPr>
    </w:p>
    <w:p w14:paraId="0ABCF9C1" w14:textId="5C88F151" w:rsidR="00D600DF" w:rsidRDefault="001E55BA" w:rsidP="00D600DF">
      <w:pPr>
        <w:pStyle w:val="Titre1"/>
      </w:pPr>
      <w:bookmarkStart w:id="406" w:name="_Toc139181696"/>
      <w:r>
        <w:t xml:space="preserve">Annexe : </w:t>
      </w:r>
      <w:r w:rsidR="00D600DF">
        <w:t>Serres à l’eau de mer</w:t>
      </w:r>
      <w:bookmarkEnd w:id="406"/>
    </w:p>
    <w:p w14:paraId="0EC6138B" w14:textId="77777777" w:rsidR="00D600DF" w:rsidRDefault="00D600DF" w:rsidP="00D600DF">
      <w:pPr>
        <w:spacing w:after="0" w:line="240" w:lineRule="auto"/>
      </w:pPr>
    </w:p>
    <w:p w14:paraId="5FE87856" w14:textId="6E90636F" w:rsidR="00D600DF" w:rsidRDefault="00D600DF" w:rsidP="007C7D6F">
      <w:pPr>
        <w:spacing w:after="0" w:line="240" w:lineRule="auto"/>
        <w:ind w:firstLine="426"/>
      </w:pPr>
      <w:r>
        <w:t>Nous n’en faisons qu’une mention, la rentabilité de son modèle économique n’</w:t>
      </w:r>
      <w:r w:rsidR="005D6DEC">
        <w:t>étan</w:t>
      </w:r>
      <w:r>
        <w:t>t pas encore démontrée.</w:t>
      </w:r>
    </w:p>
    <w:p w14:paraId="0D045FC7" w14:textId="77777777" w:rsidR="007C7D6F" w:rsidRDefault="007C7D6F" w:rsidP="00D600DF">
      <w:pPr>
        <w:spacing w:after="0" w:line="240" w:lineRule="auto"/>
      </w:pPr>
    </w:p>
    <w:p w14:paraId="3E6A37B6" w14:textId="77777777" w:rsidR="00D600DF" w:rsidRDefault="00D600DF" w:rsidP="00D600DF">
      <w:pPr>
        <w:pStyle w:val="Titre2"/>
      </w:pPr>
      <w:bookmarkStart w:id="407" w:name="_Toc139181697"/>
      <w:r>
        <w:t>Processus et principes généraux</w:t>
      </w:r>
      <w:bookmarkEnd w:id="407"/>
    </w:p>
    <w:p w14:paraId="0BE817F6" w14:textId="77777777" w:rsidR="00D600DF" w:rsidRDefault="00D600DF" w:rsidP="00D600DF">
      <w:pPr>
        <w:spacing w:after="0" w:line="240" w:lineRule="auto"/>
      </w:pPr>
    </w:p>
    <w:p w14:paraId="61EBFFD9" w14:textId="77777777" w:rsidR="00D600DF" w:rsidRDefault="00D600DF" w:rsidP="007C7D6F">
      <w:pPr>
        <w:spacing w:after="0" w:line="240" w:lineRule="auto"/>
        <w:ind w:firstLine="426"/>
        <w:jc w:val="both"/>
      </w:pPr>
      <w:r>
        <w:t>Une serre d'eau de mer utilise le milieu environnant pour cultiver des plantes de cultures tempérées et produire de l'eau douce. Une serre conventionnelle utilise la chaleur solaire pour créer un environnement plus chaud permettant une température de croissance adéquate, tandis que la serre d'eau de mer fait le contraire en créant un environnement plus frais. Le toit emprisonne la chaleur infrarouge, tout en laissant passer la lumière visible pour favoriser la photosynthèse.</w:t>
      </w:r>
    </w:p>
    <w:p w14:paraId="35C30C9D" w14:textId="77777777" w:rsidR="00D600DF" w:rsidRDefault="00D600DF" w:rsidP="007C7D6F">
      <w:pPr>
        <w:spacing w:after="0" w:line="240" w:lineRule="auto"/>
        <w:ind w:firstLine="426"/>
        <w:jc w:val="both"/>
      </w:pPr>
      <w:r>
        <w:t>La conception du refroidissement du microclimat de la serre consiste principalement en un processus de dessalement par humidification et déshumidification (HD) ou une humidification à effets multiples.</w:t>
      </w:r>
    </w:p>
    <w:p w14:paraId="16C7A247" w14:textId="77777777" w:rsidR="00D600DF" w:rsidRDefault="00D600DF" w:rsidP="007C7D6F">
      <w:pPr>
        <w:spacing w:after="0" w:line="240" w:lineRule="auto"/>
        <w:ind w:firstLine="426"/>
        <w:jc w:val="both"/>
      </w:pPr>
      <w:r>
        <w:t>Une simple serre d'eau de mer se compose de deux refroidisseurs par évaporation (évaporateurs), d'un condenseur, de ventilateurs, de conduites d'eau de mer et d'eau distillée et de cultures entre les deux évaporateurs. Ceci est illustré dans les figures schématiques 1 et 2.</w:t>
      </w:r>
    </w:p>
    <w:p w14:paraId="03A93CF6" w14:textId="77777777" w:rsidR="00D600DF" w:rsidRDefault="00D600DF" w:rsidP="00D600DF">
      <w:pPr>
        <w:spacing w:after="0" w:line="240" w:lineRule="auto"/>
      </w:pPr>
    </w:p>
    <w:p w14:paraId="0E946191" w14:textId="77777777" w:rsidR="00D600DF" w:rsidRDefault="00D600DF" w:rsidP="00D600DF">
      <w:pPr>
        <w:pStyle w:val="Titre2"/>
      </w:pPr>
      <w:bookmarkStart w:id="408" w:name="_Toc139181698"/>
      <w:r>
        <w:t>Principes techniques de la serre à l’eau de mer de Charlie Patton</w:t>
      </w:r>
      <w:bookmarkEnd w:id="408"/>
    </w:p>
    <w:p w14:paraId="6D6FB3FE" w14:textId="77777777" w:rsidR="00D600DF" w:rsidRDefault="00D600DF" w:rsidP="00D600DF">
      <w:pPr>
        <w:spacing w:after="0" w:line="240" w:lineRule="auto"/>
        <w:jc w:val="both"/>
      </w:pPr>
    </w:p>
    <w:p w14:paraId="7158F994" w14:textId="77777777" w:rsidR="00D600DF" w:rsidRDefault="00D600DF" w:rsidP="007C7D6F">
      <w:pPr>
        <w:spacing w:after="0" w:line="240" w:lineRule="auto"/>
        <w:ind w:firstLine="426"/>
        <w:jc w:val="both"/>
      </w:pPr>
      <w:r>
        <w:t>La « s</w:t>
      </w:r>
      <w:r w:rsidRPr="00345AA8">
        <w:t xml:space="preserve">erre </w:t>
      </w:r>
      <w:r>
        <w:t>à l</w:t>
      </w:r>
      <w:r w:rsidRPr="00345AA8">
        <w:t>'eau de mer</w:t>
      </w:r>
      <w:r>
        <w:t> »</w:t>
      </w:r>
      <w:r w:rsidRPr="00345AA8">
        <w:t xml:space="preserve"> est une technologie qui permet la croissance des cultures dans les zones arides, en utilisant </w:t>
      </w:r>
      <w:r>
        <w:t>une</w:t>
      </w:r>
      <w:r w:rsidRPr="00345AA8">
        <w:t xml:space="preserve"> serre, l'eau de mer et de l'énergie solaire</w:t>
      </w:r>
      <w:r>
        <w:t>, qui évapore l’eau de mer</w:t>
      </w:r>
      <w:r w:rsidRPr="00345AA8">
        <w:t>. La technique implique le pompage de l'eau de mer (ou son écoulement par gravité si</w:t>
      </w:r>
      <w:r>
        <w:t xml:space="preserve"> la serre est située</w:t>
      </w:r>
      <w:r w:rsidRPr="00345AA8">
        <w:t xml:space="preserve"> au-dessous du niveau de la mer) dans un des emplacements arides et son utilisation pour refroidir et humidifier l'air. </w:t>
      </w:r>
      <w:r>
        <w:t>La</w:t>
      </w:r>
      <w:r w:rsidRPr="00345AA8">
        <w:t xml:space="preserve"> vapeur d'eau produit par le chauffage solaire est alors </w:t>
      </w:r>
      <w:r>
        <w:t>refroidie et condensée</w:t>
      </w:r>
      <w:r w:rsidRPr="00345AA8">
        <w:t xml:space="preserve"> pour produire </w:t>
      </w:r>
      <w:r>
        <w:t>de l’</w:t>
      </w:r>
      <w:r w:rsidRPr="00345AA8">
        <w:t>eau</w:t>
      </w:r>
      <w:r>
        <w:t xml:space="preserve"> douce</w:t>
      </w:r>
      <w:r w:rsidRPr="00345AA8">
        <w:t>.</w:t>
      </w:r>
    </w:p>
    <w:p w14:paraId="7D6B8897" w14:textId="77777777" w:rsidR="00D600DF" w:rsidRDefault="00D600DF" w:rsidP="007C7D6F">
      <w:pPr>
        <w:spacing w:after="0" w:line="240" w:lineRule="auto"/>
        <w:ind w:firstLine="708"/>
        <w:jc w:val="both"/>
      </w:pPr>
      <w:r>
        <w:t>Grâce à un système de tuyaux qui prélèvent l'eau froide à des profondeurs maximales et la font couler sous terre, l'eau arrive dans la serre et, par le contraste des températures, réduit le "point de rosée".</w:t>
      </w:r>
    </w:p>
    <w:p w14:paraId="2164035E" w14:textId="77777777" w:rsidR="00D600DF" w:rsidRDefault="00D600DF" w:rsidP="00D600DF">
      <w:pPr>
        <w:spacing w:after="0" w:line="240" w:lineRule="auto"/>
        <w:jc w:val="both"/>
      </w:pPr>
      <w:r>
        <w:t>Seule la puissance de refroidissement de l'eau de mer est utilisée, tandis que l'eau à proprement parler est "extraite" de l'air qui entre dans la serre, pleine d'humidité, grâce à l'évaporateur alvéolaire.</w:t>
      </w:r>
    </w:p>
    <w:p w14:paraId="14E1E007" w14:textId="77777777" w:rsidR="00D600DF" w:rsidRDefault="00D600DF" w:rsidP="00D600DF">
      <w:pPr>
        <w:spacing w:after="0" w:line="240" w:lineRule="auto"/>
        <w:jc w:val="both"/>
      </w:pPr>
      <w:r w:rsidRPr="00345AA8">
        <w:t>Enfin, l'air humidifié restant est expulsé de la serre et utilisé pour améliorer les conditions de croissance des plantes d'extérieur. L'eau de mer salée plus concentrée peut encore être évaporé pour produire du sel et d'autres éléments, ou rejetée à la mer.</w:t>
      </w:r>
    </w:p>
    <w:p w14:paraId="385C2CD5" w14:textId="77777777" w:rsidR="00D600DF" w:rsidRDefault="00D600DF" w:rsidP="007C7D6F">
      <w:pPr>
        <w:spacing w:after="0" w:line="240" w:lineRule="auto"/>
        <w:ind w:firstLine="426"/>
      </w:pPr>
      <w:r w:rsidRPr="00840A4E">
        <w:t>L'effet combiné de la réduction de la température et de l'augmentation de l'humidité, associé à la création d'un environnement protégé pour les cultures, entraîne une réduction jusqu'à 90 % de l'évapotranspiration. Cela réduit considérablement les besoins en irrigation, qui peuvent être fournis par le dessalement, et améliorent les conditions de croissance.</w:t>
      </w:r>
    </w:p>
    <w:p w14:paraId="3F911D1A" w14:textId="77777777" w:rsidR="00D600DF" w:rsidRDefault="00D600DF" w:rsidP="007C7D6F">
      <w:pPr>
        <w:spacing w:after="0" w:line="240" w:lineRule="auto"/>
        <w:ind w:firstLine="426"/>
        <w:jc w:val="both"/>
      </w:pPr>
      <w:r w:rsidRPr="00581937">
        <w:t xml:space="preserve">La technologie a été créée par l'inventeur britannique Charlie Patton au début des années 1990 et développée par sa compagnie en Angleterre, </w:t>
      </w:r>
      <w:r w:rsidRPr="009539D7">
        <w:rPr>
          <w:b/>
          <w:bCs/>
        </w:rPr>
        <w:t>Seawater Greenhouse Ltd</w:t>
      </w:r>
      <w:r w:rsidRPr="00581937">
        <w:t xml:space="preserve">. </w:t>
      </w:r>
    </w:p>
    <w:p w14:paraId="3D16565F" w14:textId="77777777" w:rsidR="00D600DF" w:rsidRDefault="00D600DF" w:rsidP="00D600DF">
      <w:pPr>
        <w:spacing w:after="0" w:line="240" w:lineRule="auto"/>
        <w:jc w:val="both"/>
      </w:pPr>
    </w:p>
    <w:p w14:paraId="1CFC51E1" w14:textId="77777777" w:rsidR="00D600DF" w:rsidRDefault="00D600DF" w:rsidP="00D600DF">
      <w:pPr>
        <w:pStyle w:val="Titre2"/>
      </w:pPr>
      <w:bookmarkStart w:id="409" w:name="_Toc139181699"/>
      <w:r>
        <w:t>La ferme solaire de Sundrop Farms en Australie</w:t>
      </w:r>
      <w:bookmarkEnd w:id="409"/>
    </w:p>
    <w:p w14:paraId="16DDF6A3" w14:textId="77777777" w:rsidR="00D600DF" w:rsidRDefault="00D600DF" w:rsidP="00D600DF">
      <w:pPr>
        <w:spacing w:after="0" w:line="240" w:lineRule="auto"/>
        <w:jc w:val="both"/>
      </w:pPr>
    </w:p>
    <w:p w14:paraId="5C4B9325" w14:textId="4549B966" w:rsidR="00D600DF" w:rsidRDefault="00D600DF" w:rsidP="007C7D6F">
      <w:pPr>
        <w:spacing w:after="0" w:line="240" w:lineRule="auto"/>
        <w:ind w:firstLine="426"/>
        <w:jc w:val="both"/>
      </w:pPr>
      <w:r>
        <w:t>La société néerlandaise Van der Hoeven, via son concept nommé « éco-serres », et le danois Al Borg Company ont créé l</w:t>
      </w:r>
      <w:r w:rsidR="005D6DEC">
        <w:t>a</w:t>
      </w:r>
      <w:r>
        <w:t xml:space="preserve"> ferme solaire de Sundrop Farms en Australie, de 200.000 mètres carrés de serres de verre, entourée de 22.000 miroirs. Ils attirent les rayons du soleil en les concentrant au sommet d'une tour, sorte de bouilloire géante.</w:t>
      </w:r>
    </w:p>
    <w:p w14:paraId="5A58DAAA" w14:textId="77777777" w:rsidR="00D600DF" w:rsidRDefault="00D600DF" w:rsidP="007C7D6F">
      <w:pPr>
        <w:spacing w:after="0" w:line="240" w:lineRule="auto"/>
        <w:ind w:firstLine="426"/>
        <w:jc w:val="both"/>
      </w:pPr>
      <w:r>
        <w:t xml:space="preserve">Portée à 800 degrés, l'eau de mer se dessale. La vapeur d'eau, sans cesse réutilisée, sert aussi bien à alimenter une turbine qui génère de l'électricité, qu'à rafraîchir la serre et à irriguer les plantes. Celles-ci grandissent, </w:t>
      </w:r>
      <w:r w:rsidRPr="00A66886">
        <w:t>sans énergie fossile, sans insecticide chimique, sans eau douce extérieure</w:t>
      </w:r>
      <w:r>
        <w:t>, sur des substrats de fibres de noix de coco ou de roche volcanique enrichis d'éléments nutritifs.</w:t>
      </w:r>
    </w:p>
    <w:p w14:paraId="1DC99F00" w14:textId="77777777" w:rsidR="00D600DF" w:rsidRDefault="00D600DF" w:rsidP="00D600DF">
      <w:pPr>
        <w:spacing w:after="0" w:line="240" w:lineRule="auto"/>
        <w:jc w:val="both"/>
      </w:pPr>
      <w:r w:rsidRPr="00550716">
        <w:t>Quasi-hermétique, l'intérieur est maintenu en surpression, ce qui freine les entrées d'insectes extérieurs, ravageurs des plantes.</w:t>
      </w:r>
    </w:p>
    <w:p w14:paraId="1E67AE2B" w14:textId="77777777" w:rsidR="007C7D6F" w:rsidRDefault="007C7D6F" w:rsidP="00D600DF">
      <w:pPr>
        <w:spacing w:after="0" w:line="240" w:lineRule="auto"/>
        <w:jc w:val="both"/>
      </w:pPr>
    </w:p>
    <w:p w14:paraId="32159FF0" w14:textId="77777777" w:rsidR="00D600DF" w:rsidRDefault="00D600DF" w:rsidP="00D600DF">
      <w:pPr>
        <w:pStyle w:val="Titre2"/>
      </w:pPr>
      <w:bookmarkStart w:id="410" w:name="_Toc139181700"/>
      <w:r>
        <w:t>Intérêt, avantages</w:t>
      </w:r>
      <w:bookmarkEnd w:id="410"/>
    </w:p>
    <w:p w14:paraId="02A59455" w14:textId="77777777" w:rsidR="00D600DF" w:rsidRDefault="00D600DF" w:rsidP="00D600DF">
      <w:pPr>
        <w:spacing w:after="0" w:line="240" w:lineRule="auto"/>
        <w:jc w:val="both"/>
      </w:pPr>
    </w:p>
    <w:p w14:paraId="253821B3" w14:textId="4B9476A1" w:rsidR="00D600DF" w:rsidRDefault="00D600DF" w:rsidP="00D600DF">
      <w:pPr>
        <w:spacing w:after="0" w:line="240" w:lineRule="auto"/>
        <w:jc w:val="both"/>
      </w:pPr>
      <w:r w:rsidRPr="001A0B5D">
        <w:t>Les régions arides constituent environ un tiers de la superficie terrestre. Cette technique peut répondre à la pénurie mondiale d'eau</w:t>
      </w:r>
      <w:r w:rsidR="0089218D">
        <w:t xml:space="preserve"> douce</w:t>
      </w:r>
      <w:r w:rsidRPr="001A0B5D">
        <w:t xml:space="preserve"> et</w:t>
      </w:r>
      <w:r w:rsidR="00044015">
        <w:t xml:space="preserve"> permettre de</w:t>
      </w:r>
      <w:r w:rsidRPr="001A0B5D">
        <w:t xml:space="preserve"> </w:t>
      </w:r>
      <w:r w:rsidR="00044015">
        <w:t>lutter contre</w:t>
      </w:r>
      <w:r w:rsidRPr="001A0B5D">
        <w:t xml:space="preserve"> la salinisation des sols.</w:t>
      </w:r>
    </w:p>
    <w:p w14:paraId="2204EF8E" w14:textId="77777777" w:rsidR="00D600DF" w:rsidRDefault="00D600DF" w:rsidP="007C7D6F">
      <w:pPr>
        <w:spacing w:after="0" w:line="240" w:lineRule="auto"/>
        <w:ind w:firstLine="360"/>
        <w:jc w:val="both"/>
      </w:pPr>
      <w:r>
        <w:t>Selon Seawater Greenhouse Ltd., les avantages de cette technologie sont :</w:t>
      </w:r>
    </w:p>
    <w:p w14:paraId="3266CF43" w14:textId="77777777" w:rsidR="00D600DF" w:rsidRDefault="00D600DF" w:rsidP="00D600DF">
      <w:pPr>
        <w:spacing w:after="0" w:line="240" w:lineRule="auto"/>
        <w:jc w:val="both"/>
      </w:pPr>
    </w:p>
    <w:p w14:paraId="2D2A0B6B" w14:textId="77777777" w:rsidR="00D600DF" w:rsidRDefault="00D600DF" w:rsidP="00D600DF">
      <w:pPr>
        <w:pStyle w:val="Paragraphedeliste"/>
        <w:numPr>
          <w:ilvl w:val="0"/>
          <w:numId w:val="127"/>
        </w:numPr>
        <w:spacing w:after="0" w:line="240" w:lineRule="auto"/>
        <w:jc w:val="both"/>
      </w:pPr>
      <w:r>
        <w:t>Créer des emplois dans des zones désertiques : Le système peut prospérer même dans les conditions les plus difficiles et offre une protection contre la sécheresse aux industries en croissance locales et régionales.</w:t>
      </w:r>
    </w:p>
    <w:p w14:paraId="4104C5B0" w14:textId="139BFE79" w:rsidR="00D600DF" w:rsidRDefault="00D600DF" w:rsidP="00D600DF">
      <w:pPr>
        <w:pStyle w:val="Paragraphedeliste"/>
        <w:numPr>
          <w:ilvl w:val="0"/>
          <w:numId w:val="127"/>
        </w:numPr>
        <w:spacing w:after="0" w:line="240" w:lineRule="auto"/>
        <w:jc w:val="both"/>
      </w:pPr>
      <w:r>
        <w:t>Création d'un microclimat favorable : En réhydratant le paysage à l'aide de vapeur d'eau issue de l'eau de mer,</w:t>
      </w:r>
      <w:r w:rsidR="001E55BA">
        <w:t xml:space="preserve"> </w:t>
      </w:r>
      <w:bookmarkStart w:id="411" w:name="_Hlk116886152"/>
      <w:r>
        <w:t>notre technologie cré</w:t>
      </w:r>
      <w:r w:rsidR="00527DCD">
        <w:t>é</w:t>
      </w:r>
      <w:r>
        <w:t xml:space="preserve">e un microclimat humide </w:t>
      </w:r>
      <w:bookmarkEnd w:id="411"/>
      <w:r>
        <w:t>qui favorise la croissance des plantes tant à l'intérieur qu'à l'extérieur de la serre.</w:t>
      </w:r>
    </w:p>
    <w:p w14:paraId="6F20C528" w14:textId="77777777" w:rsidR="00D600DF" w:rsidRDefault="00D600DF" w:rsidP="00D600DF">
      <w:pPr>
        <w:pStyle w:val="Paragraphedeliste"/>
        <w:numPr>
          <w:ilvl w:val="0"/>
          <w:numId w:val="127"/>
        </w:numPr>
        <w:spacing w:after="0" w:line="240" w:lineRule="auto"/>
        <w:jc w:val="both"/>
      </w:pPr>
      <w:r>
        <w:t>Coût d'exploitation réduit : Une serre d'eau de mer fournit toute l'énergie et l'eau dont elle a besoin, ce qui signifie qu'elle est à l'abri des fluctuations de prix des intrants de combustibles fossiles</w:t>
      </w:r>
      <w:r>
        <w:rPr>
          <w:rStyle w:val="Appelnotedebasdep"/>
        </w:rPr>
        <w:footnoteReference w:id="301"/>
      </w:r>
      <w:r>
        <w:t>.</w:t>
      </w:r>
    </w:p>
    <w:p w14:paraId="57386FAA" w14:textId="77777777" w:rsidR="00D600DF" w:rsidRDefault="00D600DF" w:rsidP="00D600DF">
      <w:pPr>
        <w:spacing w:after="0" w:line="240" w:lineRule="auto"/>
        <w:jc w:val="both"/>
      </w:pPr>
    </w:p>
    <w:p w14:paraId="2B20A866" w14:textId="77777777" w:rsidR="00D600DF" w:rsidRDefault="00D600DF" w:rsidP="00D600DF">
      <w:pPr>
        <w:pStyle w:val="Titre2"/>
      </w:pPr>
      <w:bookmarkStart w:id="412" w:name="_Toc139181701"/>
      <w:r>
        <w:t>Lieux où la technique pourrait être utilisée</w:t>
      </w:r>
      <w:bookmarkEnd w:id="412"/>
    </w:p>
    <w:p w14:paraId="1EE90A27" w14:textId="77777777" w:rsidR="00D600DF" w:rsidRDefault="00D600DF" w:rsidP="00D600DF">
      <w:pPr>
        <w:spacing w:after="0" w:line="240" w:lineRule="auto"/>
        <w:jc w:val="both"/>
      </w:pPr>
    </w:p>
    <w:p w14:paraId="6D373D60" w14:textId="54EE5042" w:rsidR="00D600DF" w:rsidRDefault="00D600DF" w:rsidP="00D600DF">
      <w:pPr>
        <w:spacing w:after="0" w:line="240" w:lineRule="auto"/>
        <w:jc w:val="both"/>
      </w:pPr>
      <w:r w:rsidRPr="00581937">
        <w:t>La technique est applicable aux sites de régions arides en bord de mer</w:t>
      </w:r>
      <w:r>
        <w:t xml:space="preserve"> (normalement, à deux kilomètres au maximum de la mer)</w:t>
      </w:r>
      <w:r w:rsidRPr="00581937">
        <w:t>. La distance et la hauteur de la mer doivent être évaluées en tenant compte de l'énergie nécessaire pour pomper l'eau sur le site. Il y a beaucoup d'endroits appropriés sur la côte, d'autres sont en dessous du niveau de la mer, comme la mer Morte et la dépression de Qattara</w:t>
      </w:r>
      <w:r>
        <w:t xml:space="preserve"> (</w:t>
      </w:r>
      <w:r w:rsidR="00E36914">
        <w:t>Égypte</w:t>
      </w:r>
      <w:r>
        <w:t>)</w:t>
      </w:r>
      <w:r w:rsidRPr="00581937">
        <w:t xml:space="preserve">, </w:t>
      </w:r>
      <w:r w:rsidRPr="005D5C63">
        <w:t xml:space="preserve">où </w:t>
      </w:r>
      <w:r>
        <w:t>d</w:t>
      </w:r>
      <w:r w:rsidRPr="005D5C63">
        <w:t xml:space="preserve">es centrales hydroélectriques ont été proposées pour tirer profit de la pression hydraulique pour produire de l'énergie, comme pour </w:t>
      </w:r>
      <w:r>
        <w:t>le futur</w:t>
      </w:r>
      <w:r w:rsidRPr="00581937">
        <w:t xml:space="preserve"> canal de la mer Rouge à la mer Morte</w:t>
      </w:r>
      <w:r>
        <w:t>. On encore pour éviter la catastrophe écologique d’Alméria (Espagne), avec l’épuisement des nappes phréatiques</w:t>
      </w:r>
      <w:r>
        <w:rPr>
          <w:rStyle w:val="Appelnotedebasdep"/>
        </w:rPr>
        <w:footnoteReference w:id="302"/>
      </w:r>
      <w:r>
        <w:t>.</w:t>
      </w:r>
    </w:p>
    <w:p w14:paraId="7B3A8974" w14:textId="77777777" w:rsidR="00D600DF" w:rsidRDefault="00D600DF" w:rsidP="00D600DF">
      <w:pPr>
        <w:spacing w:after="0" w:line="240" w:lineRule="auto"/>
        <w:jc w:val="both"/>
      </w:pPr>
    </w:p>
    <w:p w14:paraId="0FB81178" w14:textId="77777777" w:rsidR="00D600DF" w:rsidRDefault="00D600DF" w:rsidP="00D600DF">
      <w:pPr>
        <w:pStyle w:val="Titre2"/>
      </w:pPr>
      <w:bookmarkStart w:id="413" w:name="_Toc139181702"/>
      <w:r>
        <w:t>Une technique intéressante, mais peut-être non encore compétitive</w:t>
      </w:r>
      <w:bookmarkEnd w:id="413"/>
    </w:p>
    <w:p w14:paraId="2382D27B" w14:textId="77777777" w:rsidR="00D600DF" w:rsidRDefault="00D600DF" w:rsidP="00D600DF">
      <w:pPr>
        <w:spacing w:after="0" w:line="240" w:lineRule="auto"/>
        <w:jc w:val="both"/>
      </w:pPr>
    </w:p>
    <w:p w14:paraId="6CD180C3" w14:textId="66857506" w:rsidR="00D600DF" w:rsidRPr="00A33908" w:rsidRDefault="00D600DF" w:rsidP="00D600DF">
      <w:pPr>
        <w:spacing w:after="0" w:line="240" w:lineRule="auto"/>
        <w:jc w:val="both"/>
        <w:rPr>
          <w:b/>
          <w:bCs/>
          <w:color w:val="FF0000"/>
        </w:rPr>
      </w:pPr>
      <w:r w:rsidRPr="00CF42E5">
        <w:t xml:space="preserve">Pour garantir </w:t>
      </w:r>
      <w:r>
        <w:t>l</w:t>
      </w:r>
      <w:r w:rsidRPr="00CF42E5">
        <w:t>e projet</w:t>
      </w:r>
      <w:r>
        <w:t xml:space="preserve"> de </w:t>
      </w:r>
      <w:r w:rsidRPr="00CF42E5">
        <w:t xml:space="preserve">Sundrop Farms, les investisseurs ont dû obtenir d'un des clients de Sundrop Farms un engagement sur </w:t>
      </w:r>
      <w:r w:rsidRPr="00A33908">
        <w:rPr>
          <w:color w:val="FF0000"/>
        </w:rPr>
        <w:t xml:space="preserve">le </w:t>
      </w:r>
      <w:r w:rsidRPr="00A33908">
        <w:rPr>
          <w:b/>
          <w:bCs/>
          <w:color w:val="FF0000"/>
        </w:rPr>
        <w:t>prix de gros des tomates à trois dollars le kilo</w:t>
      </w:r>
      <w:r w:rsidRPr="00A33908">
        <w:rPr>
          <w:color w:val="FF0000"/>
        </w:rPr>
        <w:t xml:space="preserve"> </w:t>
      </w:r>
      <w:r w:rsidRPr="00CF42E5">
        <w:t>sur 10 ans, a confié un proche des négociations. Ce qui est impensable en Europe, où le prix de base est plutôt calé sur une fourchette entre 1 et 1,50 euro</w:t>
      </w:r>
      <w:r w:rsidR="00E36914">
        <w:t>s</w:t>
      </w:r>
      <w:r w:rsidRPr="00CF42E5">
        <w:t>.</w:t>
      </w:r>
      <w:r>
        <w:t xml:space="preserve"> Le bémol : </w:t>
      </w:r>
      <w:r w:rsidRPr="00A33908">
        <w:rPr>
          <w:b/>
          <w:bCs/>
          <w:color w:val="FF0000"/>
        </w:rPr>
        <w:t>La ferme Sundrop Farms a coûté 100 millions d'euros, soit un million d'euros d'investissement par hectare.</w:t>
      </w:r>
    </w:p>
    <w:p w14:paraId="3C45AF01" w14:textId="77777777" w:rsidR="00D600DF" w:rsidRDefault="00D600DF" w:rsidP="00D600DF">
      <w:pPr>
        <w:spacing w:after="0" w:line="240" w:lineRule="auto"/>
        <w:jc w:val="both"/>
      </w:pPr>
    </w:p>
    <w:p w14:paraId="58577E12" w14:textId="77777777" w:rsidR="00D600DF" w:rsidRPr="00193C78" w:rsidRDefault="00D600DF" w:rsidP="00D600DF">
      <w:pPr>
        <w:pStyle w:val="Titre2"/>
        <w:rPr>
          <w:lang w:val="en-GB"/>
        </w:rPr>
      </w:pPr>
      <w:bookmarkStart w:id="414" w:name="_Toc139181703"/>
      <w:r w:rsidRPr="00193C78">
        <w:rPr>
          <w:lang w:val="en-GB"/>
        </w:rPr>
        <w:t>B</w:t>
      </w:r>
      <w:r>
        <w:rPr>
          <w:lang w:val="en-GB"/>
        </w:rPr>
        <w:t>ibliographie</w:t>
      </w:r>
      <w:bookmarkEnd w:id="414"/>
    </w:p>
    <w:p w14:paraId="2F8C6809" w14:textId="77777777" w:rsidR="00D600DF" w:rsidRPr="00193C78" w:rsidRDefault="00D600DF" w:rsidP="00D600DF">
      <w:pPr>
        <w:spacing w:after="0" w:line="240" w:lineRule="auto"/>
        <w:rPr>
          <w:lang w:val="en-GB"/>
        </w:rPr>
      </w:pPr>
    </w:p>
    <w:p w14:paraId="387FDF89" w14:textId="77777777" w:rsidR="00D600DF" w:rsidRPr="00193C78" w:rsidRDefault="00D600DF" w:rsidP="00D600DF">
      <w:pPr>
        <w:spacing w:after="0" w:line="240" w:lineRule="auto"/>
        <w:rPr>
          <w:lang w:val="en-GB"/>
        </w:rPr>
      </w:pPr>
      <w:r w:rsidRPr="00193C78">
        <w:rPr>
          <w:lang w:val="en-GB"/>
        </w:rPr>
        <w:t xml:space="preserve">a) », </w:t>
      </w:r>
      <w:hyperlink r:id="rId4456" w:history="1">
        <w:r w:rsidRPr="00193C78">
          <w:rPr>
            <w:rStyle w:val="Lienhypertexte"/>
            <w:lang w:val="en-GB"/>
          </w:rPr>
          <w:t>https://fr.wikipedia.org/wiki/Serre_%C3%A0_eau_de_mer</w:t>
        </w:r>
      </w:hyperlink>
      <w:r w:rsidRPr="00193C78">
        <w:rPr>
          <w:lang w:val="en-GB"/>
        </w:rPr>
        <w:t xml:space="preserve">, </w:t>
      </w:r>
    </w:p>
    <w:p w14:paraId="1CAF6270" w14:textId="77777777" w:rsidR="00D600DF" w:rsidRPr="00D600DF" w:rsidRDefault="00D600DF" w:rsidP="00D600DF">
      <w:pPr>
        <w:spacing w:after="0" w:line="240" w:lineRule="auto"/>
        <w:rPr>
          <w:lang w:val="en-GB"/>
        </w:rPr>
      </w:pPr>
      <w:r w:rsidRPr="00D600DF">
        <w:rPr>
          <w:lang w:val="en-GB"/>
        </w:rPr>
        <w:t xml:space="preserve">b) </w:t>
      </w:r>
      <w:hyperlink r:id="rId4457" w:history="1">
        <w:r w:rsidRPr="00D600DF">
          <w:rPr>
            <w:rStyle w:val="Lienhypertexte"/>
            <w:lang w:val="en-GB"/>
          </w:rPr>
          <w:t>https://en.wikipedia.org/wiki/Seawater_greenhouse</w:t>
        </w:r>
      </w:hyperlink>
      <w:r w:rsidRPr="00D600DF">
        <w:rPr>
          <w:lang w:val="en-GB"/>
        </w:rPr>
        <w:t xml:space="preserve"> </w:t>
      </w:r>
    </w:p>
    <w:p w14:paraId="0F602A19" w14:textId="77777777" w:rsidR="00D600DF" w:rsidRPr="00D600DF" w:rsidRDefault="00D600DF" w:rsidP="00D600DF">
      <w:pPr>
        <w:spacing w:after="0" w:line="240" w:lineRule="auto"/>
        <w:rPr>
          <w:lang w:val="en-GB"/>
        </w:rPr>
      </w:pPr>
      <w:r w:rsidRPr="00D600DF">
        <w:rPr>
          <w:lang w:val="en-GB"/>
        </w:rPr>
        <w:t xml:space="preserve">c) </w:t>
      </w:r>
      <w:hyperlink r:id="rId4458" w:history="1">
        <w:r w:rsidRPr="00D600DF">
          <w:rPr>
            <w:rStyle w:val="Lienhypertexte"/>
            <w:lang w:val="en-GB"/>
          </w:rPr>
          <w:t>https://boowiki.info/art/serre/l-eau-de-mer-serra.html</w:t>
        </w:r>
      </w:hyperlink>
      <w:r w:rsidRPr="00D600DF">
        <w:rPr>
          <w:lang w:val="en-GB"/>
        </w:rPr>
        <w:t xml:space="preserve"> </w:t>
      </w:r>
    </w:p>
    <w:p w14:paraId="773BB887" w14:textId="77777777" w:rsidR="00D600DF" w:rsidRPr="00F33120" w:rsidRDefault="00D600DF" w:rsidP="00D600DF">
      <w:pPr>
        <w:spacing w:after="0" w:line="240" w:lineRule="auto"/>
        <w:rPr>
          <w:lang w:val="en-GB"/>
        </w:rPr>
      </w:pPr>
      <w:r w:rsidRPr="00F33120">
        <w:rPr>
          <w:lang w:val="en-GB"/>
        </w:rPr>
        <w:t xml:space="preserve">d) </w:t>
      </w:r>
      <w:hyperlink r:id="rId4459" w:history="1">
        <w:r w:rsidRPr="00F33120">
          <w:rPr>
            <w:rStyle w:val="Lienhypertexte"/>
            <w:lang w:val="en-GB"/>
          </w:rPr>
          <w:t>https://www.huffingtonpost.fr/c-est-demain/article/dans-les-serres-du-futur-des-tomates-nourries-a-l-eau-de-mer_94976.html</w:t>
        </w:r>
      </w:hyperlink>
      <w:r w:rsidRPr="00F33120">
        <w:rPr>
          <w:lang w:val="en-GB"/>
        </w:rPr>
        <w:t xml:space="preserve"> </w:t>
      </w:r>
    </w:p>
    <w:p w14:paraId="4922FCC4" w14:textId="77777777" w:rsidR="00D600DF" w:rsidRDefault="00D600DF" w:rsidP="00D600DF">
      <w:pPr>
        <w:spacing w:after="0" w:line="240" w:lineRule="auto"/>
        <w:rPr>
          <w:lang w:val="es-AR"/>
        </w:rPr>
      </w:pPr>
      <w:r w:rsidRPr="00983F24">
        <w:rPr>
          <w:lang w:val="es-AR"/>
        </w:rPr>
        <w:t xml:space="preserve">e) </w:t>
      </w:r>
      <w:hyperlink r:id="rId4460" w:history="1">
        <w:r w:rsidRPr="00A068B9">
          <w:rPr>
            <w:rStyle w:val="Lienhypertexte"/>
            <w:lang w:val="es-AR"/>
          </w:rPr>
          <w:t>https://www.curioctopus.fr/read/17204/cultiver-dans-le-desert-sans-avoir-besoin-d-eau-:-les-serres-revolutionnaires-de-charlie-paton</w:t>
        </w:r>
      </w:hyperlink>
      <w:r>
        <w:rPr>
          <w:lang w:val="es-AR"/>
        </w:rPr>
        <w:t xml:space="preserve"> </w:t>
      </w:r>
    </w:p>
    <w:p w14:paraId="5E47D06E" w14:textId="77777777" w:rsidR="00D600DF" w:rsidRPr="001B6E4B" w:rsidRDefault="00D600DF" w:rsidP="00D600DF">
      <w:pPr>
        <w:spacing w:after="0" w:line="240" w:lineRule="auto"/>
      </w:pPr>
      <w:r w:rsidRPr="001B6E4B">
        <w:t xml:space="preserve">f) Akinaga, T, et al. </w:t>
      </w:r>
      <w:r w:rsidRPr="001B6E4B">
        <w:rPr>
          <w:lang w:val="en-GB"/>
        </w:rPr>
        <w:t>“</w:t>
      </w:r>
      <w:r w:rsidRPr="001B6E4B">
        <w:rPr>
          <w:i/>
          <w:iCs/>
          <w:lang w:val="en-GB"/>
        </w:rPr>
        <w:t>Brine Utilisation for Cooling and Salt Production in Wind-Driven Seawater Greenhouses: Design and Modelling.”</w:t>
      </w:r>
      <w:r w:rsidRPr="001B6E4B">
        <w:rPr>
          <w:lang w:val="en-GB"/>
        </w:rPr>
        <w:t xml:space="preserve"> </w:t>
      </w:r>
      <w:r w:rsidRPr="001B6E4B">
        <w:t xml:space="preserve">Desalination, vol. 426, 2018, pp. 135–154. [Utilisation de la saumure pour le refroidissement et la production de sel dans les serres d'eau de mer éoliennes : conception et modélisation." Dessalement], vol. 426, 2018, p. 135–154.  </w:t>
      </w:r>
      <w:hyperlink r:id="rId4461" w:history="1">
        <w:r w:rsidRPr="001B6E4B">
          <w:rPr>
            <w:rStyle w:val="Lienhypertexte"/>
          </w:rPr>
          <w:t>https://www.sciencedirect.com/science/article/pii/S0011916417302400</w:t>
        </w:r>
      </w:hyperlink>
      <w:r w:rsidRPr="001B6E4B">
        <w:t xml:space="preserve"> </w:t>
      </w:r>
    </w:p>
    <w:p w14:paraId="0413F504" w14:textId="77777777" w:rsidR="00D600DF" w:rsidRPr="001034AF" w:rsidRDefault="00D600DF" w:rsidP="00D600DF">
      <w:pPr>
        <w:spacing w:after="0" w:line="240" w:lineRule="auto"/>
      </w:pPr>
      <w:r w:rsidRPr="001034AF">
        <w:t xml:space="preserve">g) Serres flottantes : cultiver avec l’eau de mer et l’eau de pluie [pour mention], Emilie Dubois, 07/11/2021, </w:t>
      </w:r>
      <w:hyperlink r:id="rId4462" w:history="1">
        <w:r w:rsidRPr="001034AF">
          <w:rPr>
            <w:rStyle w:val="Lienhypertexte"/>
          </w:rPr>
          <w:t>https://www.linformatique.org/serres-flottantes-eau-mer-pluie.html</w:t>
        </w:r>
      </w:hyperlink>
      <w:r w:rsidRPr="001034AF">
        <w:t xml:space="preserve">  </w:t>
      </w:r>
    </w:p>
    <w:p w14:paraId="0CAB40E5" w14:textId="77777777" w:rsidR="00D600DF" w:rsidRDefault="00D600DF" w:rsidP="00D600DF">
      <w:pPr>
        <w:spacing w:after="0" w:line="240" w:lineRule="auto"/>
        <w:rPr>
          <w:lang w:val="en-GB"/>
        </w:rPr>
      </w:pPr>
      <w:r>
        <w:rPr>
          <w:lang w:val="en-GB"/>
        </w:rPr>
        <w:t xml:space="preserve">i) </w:t>
      </w:r>
      <w:r w:rsidRPr="00193C78">
        <w:rPr>
          <w:lang w:val="en-GB"/>
        </w:rPr>
        <w:t xml:space="preserve">Aston University - Research with Sea Water, </w:t>
      </w:r>
      <w:hyperlink r:id="rId4463" w:history="1">
        <w:r w:rsidRPr="00A068B9">
          <w:rPr>
            <w:rStyle w:val="Lienhypertexte"/>
            <w:lang w:val="en-GB"/>
          </w:rPr>
          <w:t>https://www.youtube.com/watch?v=a3b4bDwaF3w</w:t>
        </w:r>
      </w:hyperlink>
      <w:r>
        <w:rPr>
          <w:lang w:val="en-GB"/>
        </w:rPr>
        <w:t xml:space="preserve"> </w:t>
      </w:r>
    </w:p>
    <w:p w14:paraId="20E54BA3" w14:textId="77777777" w:rsidR="00D600DF" w:rsidRDefault="00D600DF" w:rsidP="00D600DF">
      <w:pPr>
        <w:spacing w:after="0" w:line="240" w:lineRule="auto"/>
        <w:rPr>
          <w:lang w:val="en-GB"/>
        </w:rPr>
      </w:pPr>
    </w:p>
    <w:p w14:paraId="179379C5" w14:textId="77777777" w:rsidR="00D600DF" w:rsidRDefault="00D600DF" w:rsidP="00D600DF">
      <w:pPr>
        <w:pStyle w:val="Titre2"/>
        <w:rPr>
          <w:lang w:val="en-GB"/>
        </w:rPr>
      </w:pPr>
      <w:bookmarkStart w:id="415" w:name="_Toc139181704"/>
      <w:r w:rsidRPr="00F05842">
        <w:rPr>
          <w:lang w:val="en-GB"/>
        </w:rPr>
        <w:t>Contacts</w:t>
      </w:r>
      <w:bookmarkEnd w:id="415"/>
    </w:p>
    <w:p w14:paraId="0FB32DF8" w14:textId="77777777" w:rsidR="00D600DF" w:rsidRDefault="00D600DF" w:rsidP="00D600DF">
      <w:pPr>
        <w:spacing w:after="0" w:line="240" w:lineRule="auto"/>
        <w:rPr>
          <w:lang w:val="en-GB"/>
        </w:rPr>
      </w:pPr>
    </w:p>
    <w:p w14:paraId="67F74DCC" w14:textId="77777777" w:rsidR="00D600DF" w:rsidRPr="00A51C4E" w:rsidRDefault="00D600DF" w:rsidP="00D600DF">
      <w:pPr>
        <w:spacing w:after="0" w:line="240" w:lineRule="auto"/>
        <w:rPr>
          <w:lang w:val="en-GB"/>
        </w:rPr>
      </w:pPr>
      <w:r>
        <w:rPr>
          <w:lang w:val="en-GB"/>
        </w:rPr>
        <w:t xml:space="preserve">a) </w:t>
      </w:r>
      <w:r w:rsidRPr="00A51C4E">
        <w:rPr>
          <w:b/>
          <w:bCs/>
          <w:lang w:val="en-GB"/>
        </w:rPr>
        <w:t>Seawater Greenhouse Ltd</w:t>
      </w:r>
      <w:r w:rsidRPr="00A51C4E">
        <w:rPr>
          <w:lang w:val="en-GB"/>
        </w:rPr>
        <w:t xml:space="preserve">., Site : </w:t>
      </w:r>
      <w:hyperlink r:id="rId4464" w:history="1">
        <w:r w:rsidRPr="003E05A0">
          <w:rPr>
            <w:rStyle w:val="Lienhypertexte"/>
            <w:lang w:val="en-GB"/>
          </w:rPr>
          <w:t>https://seawatergreenhouse.com/</w:t>
        </w:r>
      </w:hyperlink>
      <w:r>
        <w:rPr>
          <w:lang w:val="en-GB"/>
        </w:rPr>
        <w:t xml:space="preserve"> </w:t>
      </w:r>
    </w:p>
    <w:p w14:paraId="1570689F" w14:textId="77777777" w:rsidR="00D600DF" w:rsidRDefault="00D600DF" w:rsidP="00D600DF">
      <w:pPr>
        <w:spacing w:after="0" w:line="240" w:lineRule="auto"/>
        <w:rPr>
          <w:lang w:val="en-GB"/>
        </w:rPr>
      </w:pPr>
      <w:r>
        <w:rPr>
          <w:lang w:val="en-GB"/>
        </w:rPr>
        <w:t xml:space="preserve">Seawater Greenhouse Somaliland, </w:t>
      </w:r>
      <w:hyperlink r:id="rId4465" w:history="1">
        <w:r w:rsidRPr="003E05A0">
          <w:rPr>
            <w:rStyle w:val="Lienhypertexte"/>
            <w:lang w:val="en-GB"/>
          </w:rPr>
          <w:t>https://www.sgsomaliland.com/</w:t>
        </w:r>
      </w:hyperlink>
      <w:r>
        <w:rPr>
          <w:lang w:val="en-GB"/>
        </w:rPr>
        <w:t xml:space="preserve"> </w:t>
      </w:r>
    </w:p>
    <w:p w14:paraId="146A699D" w14:textId="77777777" w:rsidR="00D600DF" w:rsidRPr="005C2A08" w:rsidRDefault="00D600DF" w:rsidP="00D600DF">
      <w:pPr>
        <w:spacing w:after="0" w:line="240" w:lineRule="auto"/>
      </w:pPr>
      <w:r w:rsidRPr="005C2A08">
        <w:t xml:space="preserve">Email : </w:t>
      </w:r>
      <w:hyperlink r:id="rId4466" w:history="1">
        <w:r w:rsidRPr="005C2A08">
          <w:rPr>
            <w:rStyle w:val="Lienhypertexte"/>
          </w:rPr>
          <w:t>info@seawatergreenhouse.com</w:t>
        </w:r>
      </w:hyperlink>
      <w:r w:rsidRPr="005C2A08">
        <w:t xml:space="preserve"> ,</w:t>
      </w:r>
      <w:r>
        <w:t xml:space="preserve"> </w:t>
      </w:r>
      <w:r w:rsidRPr="005C2A08">
        <w:t>Tél : +44 (0) 20 7249 3627</w:t>
      </w:r>
    </w:p>
    <w:p w14:paraId="51627B4F" w14:textId="77777777" w:rsidR="00D600DF" w:rsidRDefault="00D600DF" w:rsidP="00D600DF">
      <w:pPr>
        <w:spacing w:after="0" w:line="240" w:lineRule="auto"/>
        <w:rPr>
          <w:lang w:val="en-GB"/>
        </w:rPr>
      </w:pPr>
      <w:r w:rsidRPr="00A51C4E">
        <w:rPr>
          <w:lang w:val="en-GB"/>
        </w:rPr>
        <w:t>Adresse : 2A Greenwood Road, London E8 1AB, Royaume-Uni</w:t>
      </w:r>
    </w:p>
    <w:p w14:paraId="4A216648" w14:textId="77777777" w:rsidR="00D600DF" w:rsidRDefault="00D600DF" w:rsidP="00D600DF">
      <w:pPr>
        <w:spacing w:after="0" w:line="240" w:lineRule="auto"/>
        <w:rPr>
          <w:lang w:val="en-GB"/>
        </w:rPr>
      </w:pPr>
      <w:r>
        <w:rPr>
          <w:lang w:val="en-GB"/>
        </w:rPr>
        <w:t xml:space="preserve">b) </w:t>
      </w:r>
      <w:r w:rsidRPr="00A51C4E">
        <w:rPr>
          <w:b/>
          <w:bCs/>
          <w:lang w:val="en-GB"/>
        </w:rPr>
        <w:t>Aston University</w:t>
      </w:r>
      <w:r w:rsidRPr="00F05842">
        <w:rPr>
          <w:lang w:val="en-GB"/>
        </w:rPr>
        <w:t xml:space="preserve">, </w:t>
      </w:r>
      <w:hyperlink r:id="rId4467" w:history="1">
        <w:r w:rsidRPr="00A068B9">
          <w:rPr>
            <w:rStyle w:val="Lienhypertexte"/>
            <w:lang w:val="en-GB"/>
          </w:rPr>
          <w:t>business@aston.ac.uk</w:t>
        </w:r>
      </w:hyperlink>
      <w:r w:rsidRPr="00F05842">
        <w:rPr>
          <w:lang w:val="en-GB"/>
        </w:rPr>
        <w:t xml:space="preserve">, </w:t>
      </w:r>
      <w:r>
        <w:rPr>
          <w:lang w:val="en-GB"/>
        </w:rPr>
        <w:t>T</w:t>
      </w:r>
      <w:r w:rsidRPr="00F05842">
        <w:rPr>
          <w:lang w:val="en-GB"/>
        </w:rPr>
        <w:t>el : 0121 204 4242</w:t>
      </w:r>
    </w:p>
    <w:p w14:paraId="7E5DB729" w14:textId="77777777" w:rsidR="00D600DF" w:rsidRPr="009E7D82" w:rsidRDefault="00D600DF" w:rsidP="00D600DF">
      <w:pPr>
        <w:spacing w:after="0" w:line="240" w:lineRule="auto"/>
        <w:rPr>
          <w:lang w:val="en-GB"/>
        </w:rPr>
      </w:pPr>
      <w:r>
        <w:rPr>
          <w:lang w:val="en-GB"/>
        </w:rPr>
        <w:t xml:space="preserve">c) </w:t>
      </w:r>
      <w:r w:rsidRPr="009E7D82">
        <w:rPr>
          <w:b/>
          <w:bCs/>
          <w:lang w:val="en-GB"/>
        </w:rPr>
        <w:t>Van der Hoeven Horticultural Projects Company</w:t>
      </w:r>
      <w:r w:rsidRPr="009E7D82">
        <w:rPr>
          <w:lang w:val="en-GB"/>
        </w:rPr>
        <w:t xml:space="preserve">, Site : </w:t>
      </w:r>
      <w:hyperlink r:id="rId4468" w:history="1">
        <w:r w:rsidRPr="003E05A0">
          <w:rPr>
            <w:rStyle w:val="Lienhypertexte"/>
            <w:lang w:val="en-GB"/>
          </w:rPr>
          <w:t>https://www.vanderhoeven.nl/</w:t>
        </w:r>
      </w:hyperlink>
      <w:r>
        <w:rPr>
          <w:lang w:val="en-GB"/>
        </w:rPr>
        <w:t xml:space="preserve"> </w:t>
      </w:r>
    </w:p>
    <w:p w14:paraId="6C48AC62" w14:textId="77777777" w:rsidR="00D600DF" w:rsidRPr="009E7D82" w:rsidRDefault="00D600DF" w:rsidP="00D600DF">
      <w:pPr>
        <w:spacing w:after="0" w:line="240" w:lineRule="auto"/>
      </w:pPr>
      <w:r w:rsidRPr="009E7D82">
        <w:t>Adresse : Vrij-Harnasch 124, 2635 BZ Den Hoorn, Pays-Bas</w:t>
      </w:r>
    </w:p>
    <w:p w14:paraId="3B0A1B9F" w14:textId="77777777" w:rsidR="00D600DF" w:rsidRPr="009E7D82" w:rsidRDefault="00D600DF" w:rsidP="00D600DF">
      <w:pPr>
        <w:spacing w:after="0" w:line="240" w:lineRule="auto"/>
      </w:pPr>
      <w:r w:rsidRPr="009E7D82">
        <w:t xml:space="preserve">Tél : +31 88 262 66 66, email : </w:t>
      </w:r>
      <w:hyperlink r:id="rId4469" w:history="1">
        <w:r w:rsidRPr="003E05A0">
          <w:rPr>
            <w:rStyle w:val="Lienhypertexte"/>
          </w:rPr>
          <w:t>info@vanderhoeven.nl</w:t>
        </w:r>
      </w:hyperlink>
      <w:r>
        <w:t xml:space="preserve"> </w:t>
      </w:r>
    </w:p>
    <w:p w14:paraId="0DD26B85" w14:textId="77777777" w:rsidR="00D600DF" w:rsidRPr="009E7D82" w:rsidRDefault="00D600DF" w:rsidP="00D600DF">
      <w:pPr>
        <w:spacing w:after="0" w:line="240" w:lineRule="auto"/>
      </w:pPr>
    </w:p>
    <w:p w14:paraId="5C738F1A" w14:textId="77777777" w:rsidR="00D600DF" w:rsidRDefault="00D600DF" w:rsidP="00D600DF">
      <w:pPr>
        <w:pStyle w:val="Titre2"/>
        <w:rPr>
          <w:lang w:val="en-GB"/>
        </w:rPr>
      </w:pPr>
      <w:bookmarkStart w:id="416" w:name="_Toc139181705"/>
      <w:r>
        <w:rPr>
          <w:lang w:val="en-GB"/>
        </w:rPr>
        <w:t>Images</w:t>
      </w:r>
      <w:bookmarkEnd w:id="416"/>
    </w:p>
    <w:p w14:paraId="5845C4B7" w14:textId="77777777" w:rsidR="00D600DF" w:rsidRDefault="00D600DF" w:rsidP="00D600DF">
      <w:pPr>
        <w:spacing w:after="0" w:line="240" w:lineRule="auto"/>
        <w:rPr>
          <w:lang w:val="en-GB"/>
        </w:rPr>
      </w:pPr>
    </w:p>
    <w:p w14:paraId="07988C62" w14:textId="77777777" w:rsidR="00D600DF" w:rsidRDefault="00D600DF" w:rsidP="00D600DF">
      <w:pPr>
        <w:spacing w:after="0" w:line="240" w:lineRule="auto"/>
        <w:jc w:val="center"/>
        <w:rPr>
          <w:lang w:val="en-GB"/>
        </w:rPr>
      </w:pPr>
      <w:r>
        <w:rPr>
          <w:noProof/>
        </w:rPr>
        <w:drawing>
          <wp:inline distT="0" distB="0" distL="0" distR="0" wp14:anchorId="6487291F" wp14:editId="304187EB">
            <wp:extent cx="6477000" cy="1295400"/>
            <wp:effectExtent l="0" t="0" r="0" b="0"/>
            <wp:docPr id="36" name="Image 36" descr="Une image contenant texte, stad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4" descr="Une image contenant texte, stade&#10;&#10;Description générée automatiquement"/>
                    <pic:cNvPicPr>
                      <a:picLocks noChangeAspect="1" noChangeArrowheads="1"/>
                    </pic:cNvPicPr>
                  </pic:nvPicPr>
                  <pic:blipFill>
                    <a:blip r:embed="rId4470">
                      <a:extLst>
                        <a:ext uri="{28A0092B-C50C-407E-A947-70E740481C1C}">
                          <a14:useLocalDpi xmlns:a14="http://schemas.microsoft.com/office/drawing/2010/main" val="0"/>
                        </a:ext>
                      </a:extLst>
                    </a:blip>
                    <a:srcRect/>
                    <a:stretch>
                      <a:fillRect/>
                    </a:stretch>
                  </pic:blipFill>
                  <pic:spPr bwMode="auto">
                    <a:xfrm>
                      <a:off x="0" y="0"/>
                      <a:ext cx="6478502" cy="1295700"/>
                    </a:xfrm>
                    <a:prstGeom prst="rect">
                      <a:avLst/>
                    </a:prstGeom>
                    <a:noFill/>
                    <a:ln>
                      <a:noFill/>
                    </a:ln>
                  </pic:spPr>
                </pic:pic>
              </a:graphicData>
            </a:graphic>
          </wp:inline>
        </w:drawing>
      </w:r>
    </w:p>
    <w:p w14:paraId="024E2E4C" w14:textId="46976F71" w:rsidR="00D600DF" w:rsidRPr="001034AF" w:rsidRDefault="00D600DF" w:rsidP="00D600DF">
      <w:pPr>
        <w:spacing w:after="0" w:line="240" w:lineRule="auto"/>
        <w:jc w:val="both"/>
        <w:rPr>
          <w:sz w:val="20"/>
          <w:szCs w:val="20"/>
        </w:rPr>
      </w:pPr>
      <w:r w:rsidRPr="001034AF">
        <w:rPr>
          <w:sz w:val="20"/>
          <w:szCs w:val="20"/>
        </w:rPr>
        <w:t>Evaporator Walls [Parois de l'évaporateur]     45°C            Resulting Oasis Effect Disperses [L'effet Oasis résultant se disperse].</w:t>
      </w:r>
    </w:p>
    <w:p w14:paraId="0C52D0E9" w14:textId="53E2B2C3" w:rsidR="00D600DF" w:rsidRPr="001034AF" w:rsidRDefault="00D600DF" w:rsidP="00D600DF">
      <w:pPr>
        <w:spacing w:after="0" w:line="240" w:lineRule="auto"/>
        <w:jc w:val="both"/>
        <w:rPr>
          <w:sz w:val="20"/>
          <w:szCs w:val="20"/>
        </w:rPr>
      </w:pPr>
      <w:r w:rsidRPr="001034AF">
        <w:rPr>
          <w:sz w:val="20"/>
          <w:szCs w:val="20"/>
        </w:rPr>
        <w:t>Soaked in Brine [Trempé dans la saumure]     30°C            Beyond Seawater Greenhouse [Au-delà de la Serre].</w:t>
      </w:r>
    </w:p>
    <w:p w14:paraId="60253012" w14:textId="77777777" w:rsidR="00D600DF" w:rsidRPr="001034AF" w:rsidRDefault="00D600DF" w:rsidP="00D600DF">
      <w:pPr>
        <w:spacing w:after="0" w:line="240" w:lineRule="auto"/>
        <w:jc w:val="both"/>
        <w:rPr>
          <w:sz w:val="20"/>
          <w:szCs w:val="20"/>
        </w:rPr>
      </w:pPr>
      <w:r w:rsidRPr="001034AF">
        <w:rPr>
          <w:sz w:val="20"/>
          <w:szCs w:val="20"/>
        </w:rPr>
        <w:t>RO Reject Brine Input [Entrée du rejet de la saumure].</w:t>
      </w:r>
    </w:p>
    <w:p w14:paraId="0DB20091" w14:textId="77777777" w:rsidR="00D600DF" w:rsidRPr="001034AF" w:rsidRDefault="00D600DF" w:rsidP="00D600DF">
      <w:pPr>
        <w:spacing w:after="0" w:line="240" w:lineRule="auto"/>
        <w:jc w:val="both"/>
        <w:rPr>
          <w:sz w:val="20"/>
          <w:szCs w:val="20"/>
        </w:rPr>
      </w:pPr>
      <w:r w:rsidRPr="001034AF">
        <w:rPr>
          <w:sz w:val="20"/>
          <w:szCs w:val="20"/>
        </w:rPr>
        <w:t>Maiden Brine Output [Sortie de la saumure].</w:t>
      </w:r>
    </w:p>
    <w:p w14:paraId="00CC83A9" w14:textId="77777777" w:rsidR="00D600DF" w:rsidRPr="001034AF" w:rsidRDefault="00D600DF" w:rsidP="00D600DF">
      <w:pPr>
        <w:spacing w:after="0" w:line="240" w:lineRule="auto"/>
        <w:jc w:val="both"/>
        <w:rPr>
          <w:sz w:val="20"/>
          <w:szCs w:val="20"/>
        </w:rPr>
      </w:pPr>
      <w:r w:rsidRPr="001034AF">
        <w:rPr>
          <w:sz w:val="20"/>
          <w:szCs w:val="20"/>
        </w:rPr>
        <w:t>Irrigation Water Input [Entrée de l'eau d'irrigation]</w:t>
      </w:r>
    </w:p>
    <w:p w14:paraId="40E39AB9" w14:textId="77777777" w:rsidR="00D600DF" w:rsidRPr="001034AF" w:rsidRDefault="00D600DF" w:rsidP="00D600DF">
      <w:pPr>
        <w:spacing w:after="0" w:line="240" w:lineRule="auto"/>
        <w:rPr>
          <w:sz w:val="20"/>
          <w:szCs w:val="20"/>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10"/>
        <w:gridCol w:w="5316"/>
      </w:tblGrid>
      <w:tr w:rsidR="00D600DF" w:rsidRPr="00620BD3" w14:paraId="1C6BD58F" w14:textId="77777777" w:rsidTr="00F8111F">
        <w:tc>
          <w:tcPr>
            <w:tcW w:w="5151" w:type="dxa"/>
          </w:tcPr>
          <w:p w14:paraId="76B38B1D" w14:textId="77777777" w:rsidR="00D600DF" w:rsidRPr="00620BD3" w:rsidRDefault="00D600DF" w:rsidP="00F8111F">
            <w:pPr>
              <w:jc w:val="center"/>
              <w:rPr>
                <w:sz w:val="20"/>
                <w:szCs w:val="20"/>
                <w:lang w:val="en-GB"/>
              </w:rPr>
            </w:pPr>
            <w:r w:rsidRPr="00620BD3">
              <w:rPr>
                <w:noProof/>
                <w:sz w:val="20"/>
                <w:szCs w:val="20"/>
              </w:rPr>
              <w:drawing>
                <wp:inline distT="0" distB="0" distL="0" distR="0" wp14:anchorId="5D080D4C" wp14:editId="18F30F07">
                  <wp:extent cx="3071495" cy="2303621"/>
                  <wp:effectExtent l="0" t="0" r="0" b="1905"/>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71" cstate="print">
                            <a:extLst>
                              <a:ext uri="{28A0092B-C50C-407E-A947-70E740481C1C}">
                                <a14:useLocalDpi xmlns:a14="http://schemas.microsoft.com/office/drawing/2010/main" val="0"/>
                              </a:ext>
                            </a:extLst>
                          </a:blip>
                          <a:srcRect/>
                          <a:stretch>
                            <a:fillRect/>
                          </a:stretch>
                        </pic:blipFill>
                        <pic:spPr bwMode="auto">
                          <a:xfrm>
                            <a:off x="0" y="0"/>
                            <a:ext cx="3077419" cy="2308064"/>
                          </a:xfrm>
                          <a:prstGeom prst="rect">
                            <a:avLst/>
                          </a:prstGeom>
                          <a:noFill/>
                          <a:ln>
                            <a:noFill/>
                          </a:ln>
                        </pic:spPr>
                      </pic:pic>
                    </a:graphicData>
                  </a:graphic>
                </wp:inline>
              </w:drawing>
            </w:r>
          </w:p>
          <w:p w14:paraId="60ECD005" w14:textId="77777777" w:rsidR="00D600DF" w:rsidRPr="00620BD3" w:rsidRDefault="00D600DF" w:rsidP="00F8111F">
            <w:pPr>
              <w:jc w:val="both"/>
              <w:rPr>
                <w:sz w:val="20"/>
                <w:szCs w:val="20"/>
              </w:rPr>
            </w:pPr>
            <w:r w:rsidRPr="00620BD3">
              <w:rPr>
                <w:sz w:val="20"/>
                <w:szCs w:val="20"/>
              </w:rPr>
              <w:t>Figure 1. A l'intérieur de la serre – évaporation : L’eau de mer, à évaporer, est pompée dans le panneau de nid d'abeilles en treillis (appelé panneau d’évaporation).</w:t>
            </w:r>
          </w:p>
        </w:tc>
        <w:tc>
          <w:tcPr>
            <w:tcW w:w="5151" w:type="dxa"/>
          </w:tcPr>
          <w:p w14:paraId="77F52CA6" w14:textId="77777777" w:rsidR="00D600DF" w:rsidRPr="00620BD3" w:rsidRDefault="00D600DF" w:rsidP="00F8111F">
            <w:pPr>
              <w:jc w:val="center"/>
              <w:rPr>
                <w:sz w:val="20"/>
                <w:szCs w:val="20"/>
              </w:rPr>
            </w:pPr>
            <w:r w:rsidRPr="00620BD3">
              <w:rPr>
                <w:noProof/>
                <w:sz w:val="20"/>
                <w:szCs w:val="20"/>
              </w:rPr>
              <w:drawing>
                <wp:inline distT="0" distB="0" distL="0" distR="0" wp14:anchorId="3F944108" wp14:editId="358FA04E">
                  <wp:extent cx="3233420" cy="2425065"/>
                  <wp:effectExtent l="0" t="0" r="5080" b="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72" cstate="print">
                            <a:extLst>
                              <a:ext uri="{28A0092B-C50C-407E-A947-70E740481C1C}">
                                <a14:useLocalDpi xmlns:a14="http://schemas.microsoft.com/office/drawing/2010/main" val="0"/>
                              </a:ext>
                            </a:extLst>
                          </a:blip>
                          <a:srcRect/>
                          <a:stretch>
                            <a:fillRect/>
                          </a:stretch>
                        </pic:blipFill>
                        <pic:spPr bwMode="auto">
                          <a:xfrm>
                            <a:off x="0" y="0"/>
                            <a:ext cx="3234340" cy="2425755"/>
                          </a:xfrm>
                          <a:prstGeom prst="rect">
                            <a:avLst/>
                          </a:prstGeom>
                          <a:noFill/>
                          <a:ln>
                            <a:noFill/>
                          </a:ln>
                        </pic:spPr>
                      </pic:pic>
                    </a:graphicData>
                  </a:graphic>
                </wp:inline>
              </w:drawing>
            </w:r>
          </w:p>
          <w:p w14:paraId="13BEDE88" w14:textId="77777777" w:rsidR="00D600DF" w:rsidRPr="00620BD3" w:rsidRDefault="00D600DF" w:rsidP="00F8111F">
            <w:pPr>
              <w:jc w:val="both"/>
              <w:rPr>
                <w:sz w:val="20"/>
                <w:szCs w:val="20"/>
              </w:rPr>
            </w:pPr>
            <w:r w:rsidRPr="00620BD3">
              <w:rPr>
                <w:sz w:val="20"/>
                <w:szCs w:val="20"/>
              </w:rPr>
              <w:t>Figure 2. A l'intérieur de la serre – condensation : la vapeur d'eau est produite en utilisant l'eau de mer chauffée par le soleil et par la suite elle est condensée sur des tubes contenant de l'eau de mer froide.</w:t>
            </w:r>
          </w:p>
        </w:tc>
      </w:tr>
      <w:tr w:rsidR="00D600DF" w:rsidRPr="00807CBC" w14:paraId="4E6D64D0" w14:textId="77777777" w:rsidTr="00F8111F">
        <w:tc>
          <w:tcPr>
            <w:tcW w:w="5151" w:type="dxa"/>
          </w:tcPr>
          <w:p w14:paraId="6FEC93BB" w14:textId="77777777" w:rsidR="00D600DF" w:rsidRDefault="00D600DF" w:rsidP="00F8111F">
            <w:pPr>
              <w:jc w:val="center"/>
            </w:pPr>
            <w:r>
              <w:rPr>
                <w:noProof/>
              </w:rPr>
              <w:drawing>
                <wp:inline distT="0" distB="0" distL="0" distR="0" wp14:anchorId="6205A65A" wp14:editId="0DCBB89E">
                  <wp:extent cx="3048000" cy="1296186"/>
                  <wp:effectExtent l="0" t="0" r="0" b="0"/>
                  <wp:docPr id="39" name="Image 39" descr="Une image contenant ex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 39" descr="Une image contenant extérieur&#10;&#10;Description générée automatiquement"/>
                          <pic:cNvPicPr>
                            <a:picLocks noChangeAspect="1" noChangeArrowheads="1"/>
                          </pic:cNvPicPr>
                        </pic:nvPicPr>
                        <pic:blipFill>
                          <a:blip r:embed="rId4473">
                            <a:extLst>
                              <a:ext uri="{28A0092B-C50C-407E-A947-70E740481C1C}">
                                <a14:useLocalDpi xmlns:a14="http://schemas.microsoft.com/office/drawing/2010/main" val="0"/>
                              </a:ext>
                            </a:extLst>
                          </a:blip>
                          <a:srcRect/>
                          <a:stretch>
                            <a:fillRect/>
                          </a:stretch>
                        </pic:blipFill>
                        <pic:spPr bwMode="auto">
                          <a:xfrm>
                            <a:off x="0" y="0"/>
                            <a:ext cx="3052866" cy="1298255"/>
                          </a:xfrm>
                          <a:prstGeom prst="rect">
                            <a:avLst/>
                          </a:prstGeom>
                          <a:noFill/>
                          <a:ln>
                            <a:noFill/>
                          </a:ln>
                        </pic:spPr>
                      </pic:pic>
                    </a:graphicData>
                  </a:graphic>
                </wp:inline>
              </w:drawing>
            </w:r>
          </w:p>
          <w:p w14:paraId="61EC6365" w14:textId="77777777" w:rsidR="00D600DF" w:rsidRPr="00AA5AD2" w:rsidRDefault="00D600DF" w:rsidP="00F8111F">
            <w:pPr>
              <w:jc w:val="center"/>
            </w:pPr>
            <w:r w:rsidRPr="00AA5AD2">
              <w:t>Figure 3. La zone autour de la serre, Tenerife , peu après l'installation, 22 août 2011.</w:t>
            </w:r>
          </w:p>
        </w:tc>
        <w:tc>
          <w:tcPr>
            <w:tcW w:w="5151" w:type="dxa"/>
          </w:tcPr>
          <w:p w14:paraId="44ADFA46" w14:textId="77777777" w:rsidR="00D600DF" w:rsidRDefault="00D600DF" w:rsidP="00F8111F">
            <w:pPr>
              <w:jc w:val="center"/>
            </w:pPr>
            <w:r>
              <w:rPr>
                <w:noProof/>
              </w:rPr>
              <w:drawing>
                <wp:inline distT="0" distB="0" distL="0" distR="0" wp14:anchorId="5B764AC8" wp14:editId="641FBC23">
                  <wp:extent cx="3208591" cy="1381125"/>
                  <wp:effectExtent l="0" t="0" r="0" b="0"/>
                  <wp:docPr id="40" name="Image 40" descr="Une image contenant herbe, ex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 40" descr="Une image contenant herbe, extérieur&#10;&#10;Description générée automatiquement"/>
                          <pic:cNvPicPr>
                            <a:picLocks noChangeAspect="1" noChangeArrowheads="1"/>
                          </pic:cNvPicPr>
                        </pic:nvPicPr>
                        <pic:blipFill>
                          <a:blip r:embed="rId4474">
                            <a:extLst>
                              <a:ext uri="{28A0092B-C50C-407E-A947-70E740481C1C}">
                                <a14:useLocalDpi xmlns:a14="http://schemas.microsoft.com/office/drawing/2010/main" val="0"/>
                              </a:ext>
                            </a:extLst>
                          </a:blip>
                          <a:srcRect/>
                          <a:stretch>
                            <a:fillRect/>
                          </a:stretch>
                        </pic:blipFill>
                        <pic:spPr bwMode="auto">
                          <a:xfrm>
                            <a:off x="0" y="0"/>
                            <a:ext cx="3226528" cy="1388846"/>
                          </a:xfrm>
                          <a:prstGeom prst="rect">
                            <a:avLst/>
                          </a:prstGeom>
                          <a:noFill/>
                          <a:ln>
                            <a:noFill/>
                          </a:ln>
                        </pic:spPr>
                      </pic:pic>
                    </a:graphicData>
                  </a:graphic>
                </wp:inline>
              </w:drawing>
            </w:r>
          </w:p>
          <w:p w14:paraId="61672E70" w14:textId="77777777" w:rsidR="00D600DF" w:rsidRDefault="00D600DF" w:rsidP="00F8111F">
            <w:pPr>
              <w:jc w:val="center"/>
            </w:pPr>
            <w:r w:rsidRPr="00AA5AD2">
              <w:t>Figure 4. La même zone deux ans plus tard</w:t>
            </w:r>
            <w:r>
              <w:t>.</w:t>
            </w:r>
          </w:p>
        </w:tc>
      </w:tr>
      <w:tr w:rsidR="00D600DF" w:rsidRPr="00807CBC" w14:paraId="19DEEAA5" w14:textId="77777777" w:rsidTr="00F8111F">
        <w:tc>
          <w:tcPr>
            <w:tcW w:w="5151" w:type="dxa"/>
          </w:tcPr>
          <w:p w14:paraId="55C16F81" w14:textId="77777777" w:rsidR="00D600DF" w:rsidRDefault="00D600DF" w:rsidP="00F8111F">
            <w:pPr>
              <w:jc w:val="center"/>
            </w:pPr>
            <w:r>
              <w:rPr>
                <w:noProof/>
              </w:rPr>
              <w:drawing>
                <wp:inline distT="0" distB="0" distL="0" distR="0" wp14:anchorId="3081709E" wp14:editId="70CA386F">
                  <wp:extent cx="3043218" cy="1724025"/>
                  <wp:effectExtent l="0" t="0" r="5080" b="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75">
                            <a:extLst>
                              <a:ext uri="{28A0092B-C50C-407E-A947-70E740481C1C}">
                                <a14:useLocalDpi xmlns:a14="http://schemas.microsoft.com/office/drawing/2010/main" val="0"/>
                              </a:ext>
                            </a:extLst>
                          </a:blip>
                          <a:srcRect/>
                          <a:stretch>
                            <a:fillRect/>
                          </a:stretch>
                        </pic:blipFill>
                        <pic:spPr bwMode="auto">
                          <a:xfrm>
                            <a:off x="0" y="0"/>
                            <a:ext cx="3050551" cy="1728179"/>
                          </a:xfrm>
                          <a:prstGeom prst="rect">
                            <a:avLst/>
                          </a:prstGeom>
                          <a:noFill/>
                          <a:ln>
                            <a:noFill/>
                          </a:ln>
                        </pic:spPr>
                      </pic:pic>
                    </a:graphicData>
                  </a:graphic>
                </wp:inline>
              </w:drawing>
            </w:r>
          </w:p>
          <w:p w14:paraId="78DF8FEF" w14:textId="77777777" w:rsidR="00D600DF" w:rsidRDefault="00D600DF" w:rsidP="00F8111F">
            <w:pPr>
              <w:jc w:val="center"/>
            </w:pPr>
            <w:r>
              <w:t>Figure 5. Panneau alvéolaire (en carton) sur lequel l’eau de mer circule et s’évapore.</w:t>
            </w:r>
          </w:p>
        </w:tc>
        <w:tc>
          <w:tcPr>
            <w:tcW w:w="5151" w:type="dxa"/>
          </w:tcPr>
          <w:p w14:paraId="33A1CF7E" w14:textId="77777777" w:rsidR="00D600DF" w:rsidRDefault="00D600DF" w:rsidP="00F8111F">
            <w:pPr>
              <w:jc w:val="center"/>
            </w:pPr>
            <w:r>
              <w:rPr>
                <w:noProof/>
              </w:rPr>
              <w:drawing>
                <wp:inline distT="0" distB="0" distL="0" distR="0" wp14:anchorId="18E3EEC4" wp14:editId="7B4B932A">
                  <wp:extent cx="3185795" cy="1764051"/>
                  <wp:effectExtent l="0" t="0" r="0" b="7620"/>
                  <wp:docPr id="42" name="Image 42" descr="Une image contenant ciel, extérieur, bâtime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 42" descr="Une image contenant ciel, extérieur, bâtiment&#10;&#10;Description générée automatiquement"/>
                          <pic:cNvPicPr>
                            <a:picLocks noChangeAspect="1" noChangeArrowheads="1"/>
                          </pic:cNvPicPr>
                        </pic:nvPicPr>
                        <pic:blipFill>
                          <a:blip r:embed="rId4476" cstate="print">
                            <a:extLst>
                              <a:ext uri="{28A0092B-C50C-407E-A947-70E740481C1C}">
                                <a14:useLocalDpi xmlns:a14="http://schemas.microsoft.com/office/drawing/2010/main" val="0"/>
                              </a:ext>
                            </a:extLst>
                          </a:blip>
                          <a:srcRect/>
                          <a:stretch>
                            <a:fillRect/>
                          </a:stretch>
                        </pic:blipFill>
                        <pic:spPr bwMode="auto">
                          <a:xfrm>
                            <a:off x="0" y="0"/>
                            <a:ext cx="3207021" cy="1775804"/>
                          </a:xfrm>
                          <a:prstGeom prst="rect">
                            <a:avLst/>
                          </a:prstGeom>
                          <a:noFill/>
                          <a:ln>
                            <a:noFill/>
                          </a:ln>
                        </pic:spPr>
                      </pic:pic>
                    </a:graphicData>
                  </a:graphic>
                </wp:inline>
              </w:drawing>
            </w:r>
          </w:p>
          <w:p w14:paraId="61A1DE6D" w14:textId="77777777" w:rsidR="00D600DF" w:rsidRPr="008913AE" w:rsidRDefault="00D600DF" w:rsidP="00F8111F">
            <w:pPr>
              <w:jc w:val="center"/>
              <w:rPr>
                <w:rFonts w:cstheme="minorHAnsi"/>
              </w:rPr>
            </w:pPr>
            <w:r>
              <w:t xml:space="preserve">Figure 6. </w:t>
            </w:r>
            <w:r w:rsidRPr="008913AE">
              <w:rPr>
                <w:rFonts w:cstheme="minorHAnsi"/>
              </w:rPr>
              <w:t>Image fournie par la</w:t>
            </w:r>
            <w:r w:rsidRPr="008913AE">
              <w:rPr>
                <w:rFonts w:cstheme="minorHAnsi"/>
                <w:color w:val="222222"/>
                <w:bdr w:val="none" w:sz="0" w:space="0" w:color="auto" w:frame="1"/>
                <w:shd w:val="clear" w:color="auto" w:fill="FFFFFF"/>
              </w:rPr>
              <w:t xml:space="preserve"> société britannique </w:t>
            </w:r>
            <w:hyperlink r:id="rId4477" w:tgtFrame="_blank" w:history="1">
              <w:r w:rsidRPr="008913AE">
                <w:rPr>
                  <w:rStyle w:val="Lienhypertexte"/>
                  <w:rFonts w:cstheme="minorHAnsi"/>
                  <w:bdr w:val="none" w:sz="0" w:space="0" w:color="auto" w:frame="1"/>
                  <w:shd w:val="clear" w:color="auto" w:fill="FFFFFF"/>
                </w:rPr>
                <w:t>Seawater Greenhouse</w:t>
              </w:r>
            </w:hyperlink>
          </w:p>
        </w:tc>
      </w:tr>
      <w:tr w:rsidR="00D600DF" w:rsidRPr="00807CBC" w14:paraId="0094A417" w14:textId="77777777" w:rsidTr="00F8111F">
        <w:tc>
          <w:tcPr>
            <w:tcW w:w="5151" w:type="dxa"/>
          </w:tcPr>
          <w:p w14:paraId="17DC76C3" w14:textId="77777777" w:rsidR="00D600DF" w:rsidRDefault="00D600DF" w:rsidP="00F8111F">
            <w:pPr>
              <w:jc w:val="center"/>
              <w:rPr>
                <w:noProof/>
              </w:rPr>
            </w:pPr>
            <w:r>
              <w:rPr>
                <w:noProof/>
              </w:rPr>
              <w:drawing>
                <wp:inline distT="0" distB="0" distL="0" distR="0" wp14:anchorId="1D59BAC8" wp14:editId="165F3C56">
                  <wp:extent cx="2895600" cy="1447800"/>
                  <wp:effectExtent l="0" t="0" r="0" b="0"/>
                  <wp:docPr id="43" name="Image 43" descr="Une image contenant ciel, herbe, extérieur, riv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 43" descr="Une image contenant ciel, herbe, extérieur, rive&#10;&#10;Description générée automatiquement"/>
                          <pic:cNvPicPr>
                            <a:picLocks noChangeAspect="1" noChangeArrowheads="1"/>
                          </pic:cNvPicPr>
                        </pic:nvPicPr>
                        <pic:blipFill>
                          <a:blip r:embed="rId4478">
                            <a:extLst>
                              <a:ext uri="{28A0092B-C50C-407E-A947-70E740481C1C}">
                                <a14:useLocalDpi xmlns:a14="http://schemas.microsoft.com/office/drawing/2010/main" val="0"/>
                              </a:ext>
                            </a:extLst>
                          </a:blip>
                          <a:srcRect/>
                          <a:stretch>
                            <a:fillRect/>
                          </a:stretch>
                        </pic:blipFill>
                        <pic:spPr bwMode="auto">
                          <a:xfrm>
                            <a:off x="0" y="0"/>
                            <a:ext cx="2903358" cy="1451679"/>
                          </a:xfrm>
                          <a:prstGeom prst="rect">
                            <a:avLst/>
                          </a:prstGeom>
                          <a:noFill/>
                          <a:ln>
                            <a:noFill/>
                          </a:ln>
                        </pic:spPr>
                      </pic:pic>
                    </a:graphicData>
                  </a:graphic>
                </wp:inline>
              </w:drawing>
            </w:r>
          </w:p>
          <w:p w14:paraId="7FC4E0DE" w14:textId="77777777" w:rsidR="00D600DF" w:rsidRDefault="00D600DF" w:rsidP="00F8111F">
            <w:pPr>
              <w:jc w:val="center"/>
              <w:rPr>
                <w:noProof/>
              </w:rPr>
            </w:pPr>
            <w:r>
              <w:t xml:space="preserve">Figure 7. </w:t>
            </w:r>
            <w:r w:rsidRPr="00A90E04">
              <w:rPr>
                <w:noProof/>
              </w:rPr>
              <w:t>Ferme solaire de Sundrop Farms en Australie, construite par la société néerlandaise Van der Hoeven, lancée fin 2016, faisant sortir des tomates du désert grâce au soleil et l'eau de mer.</w:t>
            </w:r>
          </w:p>
        </w:tc>
        <w:tc>
          <w:tcPr>
            <w:tcW w:w="5151" w:type="dxa"/>
          </w:tcPr>
          <w:p w14:paraId="3EF3902C" w14:textId="77777777" w:rsidR="00D600DF" w:rsidRDefault="00D600DF" w:rsidP="00F8111F">
            <w:pPr>
              <w:jc w:val="center"/>
              <w:rPr>
                <w:noProof/>
              </w:rPr>
            </w:pPr>
            <w:r>
              <w:rPr>
                <w:noProof/>
              </w:rPr>
              <w:drawing>
                <wp:inline distT="0" distB="0" distL="0" distR="0" wp14:anchorId="5E9A7320" wp14:editId="663F8231">
                  <wp:extent cx="3147695" cy="1902597"/>
                  <wp:effectExtent l="0" t="0" r="0" b="2540"/>
                  <wp:docPr id="44" name="Image 44" descr="Une image contenant rive, nature, stad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 44" descr="Une image contenant rive, nature, stade&#10;&#10;Description générée automatiquement"/>
                          <pic:cNvPicPr>
                            <a:picLocks noChangeAspect="1" noChangeArrowheads="1"/>
                          </pic:cNvPicPr>
                        </pic:nvPicPr>
                        <pic:blipFill>
                          <a:blip r:embed="rId4479">
                            <a:extLst>
                              <a:ext uri="{28A0092B-C50C-407E-A947-70E740481C1C}">
                                <a14:useLocalDpi xmlns:a14="http://schemas.microsoft.com/office/drawing/2010/main" val="0"/>
                              </a:ext>
                            </a:extLst>
                          </a:blip>
                          <a:srcRect/>
                          <a:stretch>
                            <a:fillRect/>
                          </a:stretch>
                        </pic:blipFill>
                        <pic:spPr bwMode="auto">
                          <a:xfrm>
                            <a:off x="0" y="0"/>
                            <a:ext cx="3154545" cy="1906737"/>
                          </a:xfrm>
                          <a:prstGeom prst="rect">
                            <a:avLst/>
                          </a:prstGeom>
                          <a:noFill/>
                          <a:ln>
                            <a:noFill/>
                          </a:ln>
                        </pic:spPr>
                      </pic:pic>
                    </a:graphicData>
                  </a:graphic>
                </wp:inline>
              </w:drawing>
            </w:r>
          </w:p>
          <w:p w14:paraId="20EEB4A3" w14:textId="77777777" w:rsidR="00D600DF" w:rsidRDefault="00D600DF" w:rsidP="00F8111F">
            <w:pPr>
              <w:jc w:val="center"/>
              <w:rPr>
                <w:noProof/>
              </w:rPr>
            </w:pPr>
            <w:r>
              <w:t xml:space="preserve">Figure 8. </w:t>
            </w:r>
            <w:r w:rsidRPr="008913AE">
              <w:rPr>
                <w:rFonts w:cstheme="minorHAnsi"/>
              </w:rPr>
              <w:t>Image fournie par la</w:t>
            </w:r>
            <w:r w:rsidRPr="008913AE">
              <w:rPr>
                <w:rFonts w:cstheme="minorHAnsi"/>
                <w:color w:val="222222"/>
                <w:bdr w:val="none" w:sz="0" w:space="0" w:color="auto" w:frame="1"/>
                <w:shd w:val="clear" w:color="auto" w:fill="FFFFFF"/>
              </w:rPr>
              <w:t xml:space="preserve"> société britannique </w:t>
            </w:r>
            <w:hyperlink r:id="rId4480" w:tgtFrame="_blank" w:history="1">
              <w:r w:rsidRPr="008913AE">
                <w:rPr>
                  <w:rStyle w:val="Lienhypertexte"/>
                  <w:rFonts w:cstheme="minorHAnsi"/>
                  <w:bdr w:val="none" w:sz="0" w:space="0" w:color="auto" w:frame="1"/>
                  <w:shd w:val="clear" w:color="auto" w:fill="FFFFFF"/>
                </w:rPr>
                <w:t>Seawater Greenhouse</w:t>
              </w:r>
            </w:hyperlink>
          </w:p>
        </w:tc>
      </w:tr>
    </w:tbl>
    <w:p w14:paraId="6167B5C9" w14:textId="77777777" w:rsidR="00D600DF" w:rsidRPr="00807CBC" w:rsidRDefault="00D600DF" w:rsidP="00D600DF">
      <w:pPr>
        <w:spacing w:after="0" w:line="240" w:lineRule="auto"/>
      </w:pPr>
    </w:p>
    <w:p w14:paraId="62B5B909" w14:textId="77777777" w:rsidR="00D600DF" w:rsidRDefault="00D600DF" w:rsidP="00D600DF">
      <w:pPr>
        <w:pStyle w:val="Titre2"/>
      </w:pPr>
      <w:bookmarkStart w:id="417" w:name="_Toc139181706"/>
      <w:r>
        <w:t>Etudes et modélisations</w:t>
      </w:r>
      <w:bookmarkEnd w:id="417"/>
    </w:p>
    <w:p w14:paraId="70886B7A" w14:textId="77777777" w:rsidR="00D600DF" w:rsidRDefault="00D600DF" w:rsidP="00D600DF">
      <w:pPr>
        <w:spacing w:after="0" w:line="240" w:lineRule="auto"/>
      </w:pPr>
    </w:p>
    <w:p w14:paraId="3C902606" w14:textId="77777777" w:rsidR="00D600DF" w:rsidRDefault="00D600DF" w:rsidP="00D600DF">
      <w:pPr>
        <w:spacing w:after="0" w:line="240" w:lineRule="auto"/>
        <w:jc w:val="both"/>
      </w:pPr>
      <w:r>
        <w:t>En 1996, Paton et Davies ont utilisé la boîte à outils Simulink sous MATLAB pour modéliser la ventilation forcée de la serre à Tenerife, au Cap-Vert, en Namibie et à Oman. La serre est assistée par le vent dominant, le refroidissement par évaporation, la transpiration, le chauffage solaire, le transfert de chaleur à travers les murs et le toit et la condensation qui est analysée dans l'étude. Ils ont constaté que la quantité d'eau requise par les usines est réduite de 80 % et que 2,6 à 6,4 kWh d'énergie électrique sont nécessaires pour les m3 d'eau douce produits.</w:t>
      </w:r>
    </w:p>
    <w:p w14:paraId="010F9404" w14:textId="77777777" w:rsidR="00D600DF" w:rsidRDefault="00D600DF" w:rsidP="00D600DF">
      <w:pPr>
        <w:spacing w:after="0" w:line="240" w:lineRule="auto"/>
        <w:jc w:val="both"/>
      </w:pPr>
      <w:r>
        <w:t xml:space="preserve">En 2005, Paton et Davis ont évalué les options de conception avec modélisation thermique en utilisant le modèle des Émirats arabes unis comme référence. Ils ont étudié trois options : un écran perforé, un chemin d'air en forme de C et un réseau de tuyaux, pour trouver un meilleur circuit d'eau de mer pour refroidir l'environnement et produire le plus d'eau douce. L'étude a révélé qu'un réseau de canalisations donnait les meilleurs résultats : une diminution de la température de l'air de 1 °C, une diminution moyenne de la température radiante de 7,5 °C et une augmentation de la production d'eau douce de 63 %. Cela peut être mis en œuvre pour améliorer les serres d'eau de mer dans les régions chaudes et arides, comme le deuxième projet pilote aux Émirats arabes unis. </w:t>
      </w:r>
    </w:p>
    <w:p w14:paraId="4DAE1D24" w14:textId="77777777" w:rsidR="00D600DF" w:rsidRDefault="00D600DF" w:rsidP="00D600DF">
      <w:pPr>
        <w:spacing w:after="0" w:line="240" w:lineRule="auto"/>
        <w:jc w:val="both"/>
      </w:pPr>
      <w:r>
        <w:t>En 2018, Paton et Davis ont étudié l'utilisation de la saumure pour le refroidissement et la production de sel dans des serres d'eau de mer éoliennes pour la concevoir et la modéliser. La saumure éliminée par le dessalement de l'eau de mer peut perturber l'écosystème car la même quantité de saumure est produite que l'eau douce. En utilisant la méthode de valorisation de la saumure du flux d'air entraîné par le vent en refroidissant la serre avec l'évaporation de l'eau de mer, le sel peut être produit comme le montre la figure 4. Cette saumure est le sous-produit de la production d'eau douce, mais peut également être l'ingrédient pour faire du sel, en le transformant en un produit qui peut être commercialisé.</w:t>
      </w:r>
    </w:p>
    <w:p w14:paraId="2BA0D70E" w14:textId="77777777" w:rsidR="00D600DF" w:rsidRDefault="00D600DF" w:rsidP="00D600DF">
      <w:pPr>
        <w:spacing w:after="0" w:line="240" w:lineRule="auto"/>
      </w:pPr>
    </w:p>
    <w:p w14:paraId="54670562" w14:textId="77777777" w:rsidR="00D600DF" w:rsidRDefault="00D600DF" w:rsidP="00D600DF">
      <w:pPr>
        <w:spacing w:after="0" w:line="240" w:lineRule="auto"/>
        <w:jc w:val="center"/>
      </w:pPr>
      <w:r>
        <w:rPr>
          <w:noProof/>
        </w:rPr>
        <w:drawing>
          <wp:inline distT="0" distB="0" distL="0" distR="0" wp14:anchorId="2D727D66" wp14:editId="1C41859A">
            <wp:extent cx="4572000" cy="2362200"/>
            <wp:effectExtent l="0" t="0" r="0" b="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81">
                      <a:extLst>
                        <a:ext uri="{28A0092B-C50C-407E-A947-70E740481C1C}">
                          <a14:useLocalDpi xmlns:a14="http://schemas.microsoft.com/office/drawing/2010/main" val="0"/>
                        </a:ext>
                      </a:extLst>
                    </a:blip>
                    <a:srcRect/>
                    <a:stretch>
                      <a:fillRect/>
                    </a:stretch>
                  </pic:blipFill>
                  <pic:spPr bwMode="auto">
                    <a:xfrm>
                      <a:off x="0" y="0"/>
                      <a:ext cx="4572000" cy="2362200"/>
                    </a:xfrm>
                    <a:prstGeom prst="rect">
                      <a:avLst/>
                    </a:prstGeom>
                    <a:noFill/>
                    <a:ln>
                      <a:noFill/>
                    </a:ln>
                  </pic:spPr>
                </pic:pic>
              </a:graphicData>
            </a:graphic>
          </wp:inline>
        </w:drawing>
      </w:r>
    </w:p>
    <w:p w14:paraId="0F465D84" w14:textId="77777777" w:rsidR="00D600DF" w:rsidRDefault="00D600DF" w:rsidP="00D600DF">
      <w:pPr>
        <w:spacing w:after="0" w:line="240" w:lineRule="auto"/>
        <w:jc w:val="cente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26"/>
        <w:gridCol w:w="3700"/>
      </w:tblGrid>
      <w:tr w:rsidR="00D600DF" w14:paraId="1235739E" w14:textId="77777777" w:rsidTr="00F8111F">
        <w:tc>
          <w:tcPr>
            <w:tcW w:w="5151" w:type="dxa"/>
          </w:tcPr>
          <w:p w14:paraId="197E4D6C" w14:textId="77777777" w:rsidR="00D600DF" w:rsidRDefault="00D600DF" w:rsidP="00F8111F">
            <w:pPr>
              <w:jc w:val="center"/>
            </w:pPr>
            <w:r>
              <w:rPr>
                <w:noProof/>
              </w:rPr>
              <w:drawing>
                <wp:inline distT="0" distB="0" distL="0" distR="0" wp14:anchorId="18AF2CBB" wp14:editId="1353B5DD">
                  <wp:extent cx="4124325" cy="3409950"/>
                  <wp:effectExtent l="0" t="0" r="9525" b="0"/>
                  <wp:docPr id="47122" name="Image 47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82">
                            <a:extLst>
                              <a:ext uri="{28A0092B-C50C-407E-A947-70E740481C1C}">
                                <a14:useLocalDpi xmlns:a14="http://schemas.microsoft.com/office/drawing/2010/main" val="0"/>
                              </a:ext>
                            </a:extLst>
                          </a:blip>
                          <a:srcRect/>
                          <a:stretch>
                            <a:fillRect/>
                          </a:stretch>
                        </pic:blipFill>
                        <pic:spPr bwMode="auto">
                          <a:xfrm>
                            <a:off x="0" y="0"/>
                            <a:ext cx="4124325" cy="3409950"/>
                          </a:xfrm>
                          <a:prstGeom prst="rect">
                            <a:avLst/>
                          </a:prstGeom>
                          <a:noFill/>
                          <a:ln>
                            <a:noFill/>
                          </a:ln>
                        </pic:spPr>
                      </pic:pic>
                    </a:graphicData>
                  </a:graphic>
                </wp:inline>
              </w:drawing>
            </w:r>
          </w:p>
          <w:p w14:paraId="1D6CF21E" w14:textId="77777777" w:rsidR="00D600DF" w:rsidRDefault="00D600DF" w:rsidP="00F8111F">
            <w:pPr>
              <w:jc w:val="center"/>
            </w:pPr>
            <w:r w:rsidRPr="001B6E4B">
              <w:t xml:space="preserve">Figure </w:t>
            </w:r>
            <w:r>
              <w:t>8</w:t>
            </w:r>
            <w:r w:rsidRPr="001B6E4B">
              <w:t xml:space="preserve"> : concept de base de serre d'eau de mer pour l'utilisation de l'eau saumâtre.</w:t>
            </w:r>
          </w:p>
        </w:tc>
        <w:tc>
          <w:tcPr>
            <w:tcW w:w="5151" w:type="dxa"/>
          </w:tcPr>
          <w:p w14:paraId="7791201E" w14:textId="77777777" w:rsidR="00D600DF" w:rsidRDefault="00D600DF" w:rsidP="00F8111F">
            <w:pPr>
              <w:jc w:val="center"/>
            </w:pPr>
            <w:r>
              <w:rPr>
                <w:noProof/>
              </w:rPr>
              <w:drawing>
                <wp:inline distT="0" distB="0" distL="0" distR="0" wp14:anchorId="0D748E0B" wp14:editId="4B79FCA9">
                  <wp:extent cx="1085850" cy="1562100"/>
                  <wp:effectExtent l="0" t="0" r="0" b="0"/>
                  <wp:docPr id="47123" name="Image 47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83"/>
                          <a:stretch>
                            <a:fillRect/>
                          </a:stretch>
                        </pic:blipFill>
                        <pic:spPr>
                          <a:xfrm>
                            <a:off x="0" y="0"/>
                            <a:ext cx="1085850" cy="1562100"/>
                          </a:xfrm>
                          <a:prstGeom prst="rect">
                            <a:avLst/>
                          </a:prstGeom>
                        </pic:spPr>
                      </pic:pic>
                    </a:graphicData>
                  </a:graphic>
                </wp:inline>
              </w:drawing>
            </w:r>
          </w:p>
          <w:p w14:paraId="158A1A15" w14:textId="77777777" w:rsidR="00D600DF" w:rsidRDefault="00D600DF" w:rsidP="00F8111F">
            <w:pPr>
              <w:jc w:val="center"/>
            </w:pPr>
            <w:r>
              <w:rPr>
                <w:noProof/>
              </w:rPr>
              <w:drawing>
                <wp:inline distT="0" distB="0" distL="0" distR="0" wp14:anchorId="21DEAFDF" wp14:editId="770DB4A2">
                  <wp:extent cx="2162175" cy="2200275"/>
                  <wp:effectExtent l="0" t="0" r="9525" b="9525"/>
                  <wp:docPr id="47124" name="Image 47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84"/>
                          <a:stretch>
                            <a:fillRect/>
                          </a:stretch>
                        </pic:blipFill>
                        <pic:spPr>
                          <a:xfrm>
                            <a:off x="0" y="0"/>
                            <a:ext cx="2162175" cy="2200275"/>
                          </a:xfrm>
                          <a:prstGeom prst="rect">
                            <a:avLst/>
                          </a:prstGeom>
                        </pic:spPr>
                      </pic:pic>
                    </a:graphicData>
                  </a:graphic>
                </wp:inline>
              </w:drawing>
            </w:r>
          </w:p>
          <w:p w14:paraId="6E1762C8" w14:textId="77777777" w:rsidR="00D600DF" w:rsidRDefault="00D600DF" w:rsidP="00F8111F">
            <w:pPr>
              <w:jc w:val="both"/>
            </w:pPr>
            <w:r w:rsidRPr="001B6E4B">
              <w:t xml:space="preserve">Figure </w:t>
            </w:r>
            <w:r>
              <w:t>10</w:t>
            </w:r>
            <w:r w:rsidRPr="001B6E4B">
              <w:t xml:space="preserve"> : Modèle géométrique du filet d'ombrage pour la détermination de la chute de pression montrant (a) le système de coordonnées local et (b) les plans de symétrie (lignes pointillées) utilisés pour simplifier la modélisation.</w:t>
            </w:r>
          </w:p>
        </w:tc>
      </w:tr>
    </w:tbl>
    <w:p w14:paraId="4CC7200B" w14:textId="77777777" w:rsidR="00DB38BD" w:rsidRDefault="00DB38BD" w:rsidP="007D7307">
      <w:pPr>
        <w:spacing w:after="0" w:line="240" w:lineRule="auto"/>
        <w:jc w:val="both"/>
      </w:pPr>
    </w:p>
    <w:p w14:paraId="68384674" w14:textId="784260F3" w:rsidR="000029C9" w:rsidRDefault="000029C9" w:rsidP="000029C9">
      <w:pPr>
        <w:pStyle w:val="Titre1"/>
      </w:pPr>
      <w:bookmarkStart w:id="418" w:name="_Toc139181707"/>
      <w:r w:rsidRPr="000029C9">
        <w:t>Annexe : Dispositions agroforestières</w:t>
      </w:r>
      <w:bookmarkEnd w:id="418"/>
    </w:p>
    <w:p w14:paraId="258E3B7F" w14:textId="5C8D3C4B" w:rsidR="000029C9" w:rsidRDefault="000029C9" w:rsidP="007D7307">
      <w:pPr>
        <w:spacing w:after="0" w:line="240" w:lineRule="auto"/>
        <w:jc w:val="both"/>
      </w:pPr>
    </w:p>
    <w:p w14:paraId="68A68352" w14:textId="382DEDA8" w:rsidR="000029C9" w:rsidRDefault="000029C9" w:rsidP="007C7D6F">
      <w:pPr>
        <w:spacing w:after="0" w:line="240" w:lineRule="auto"/>
        <w:jc w:val="both"/>
      </w:pPr>
      <w:r w:rsidRPr="000029C9">
        <w:rPr>
          <w:b/>
          <w:bCs/>
          <w:i/>
          <w:iCs/>
        </w:rPr>
        <w:t>Agroforesterie</w:t>
      </w:r>
      <w:r w:rsidRPr="000029C9">
        <w:t> : 1) mode d’exploitation des terres agricoles associant des plantations d'arbres dans des cultures ou des pâturages. 2) Association d'arbres et de cultures ou d'animaux sur une même parcelle. </w:t>
      </w:r>
    </w:p>
    <w:p w14:paraId="550305A6" w14:textId="77777777" w:rsidR="007C7D6F" w:rsidRDefault="007C7D6F" w:rsidP="007C7D6F">
      <w:pPr>
        <w:spacing w:after="0" w:line="240" w:lineRule="auto"/>
        <w:jc w:val="both"/>
      </w:pPr>
    </w:p>
    <w:p w14:paraId="15E6A5AF" w14:textId="77777777" w:rsidR="000029C9" w:rsidRPr="000029C9" w:rsidRDefault="000029C9" w:rsidP="000029C9">
      <w:pPr>
        <w:spacing w:after="0" w:line="240" w:lineRule="auto"/>
        <w:jc w:val="center"/>
      </w:pPr>
      <w:r w:rsidRPr="000029C9">
        <w:t>↙ palmiers dattiers ↘</w:t>
      </w:r>
    </w:p>
    <w:p w14:paraId="068A888B" w14:textId="0B3FA0D6" w:rsidR="000029C9" w:rsidRDefault="000029C9" w:rsidP="000029C9">
      <w:pPr>
        <w:spacing w:after="0" w:line="240" w:lineRule="auto"/>
        <w:jc w:val="center"/>
      </w:pPr>
      <w:r w:rsidRPr="000029C9">
        <w:rPr>
          <w:noProof/>
        </w:rPr>
        <w:drawing>
          <wp:inline distT="0" distB="0" distL="0" distR="0" wp14:anchorId="2E315B67" wp14:editId="7DEC2824">
            <wp:extent cx="5304616" cy="2276475"/>
            <wp:effectExtent l="0" t="0" r="0" b="0"/>
            <wp:docPr id="52255" name="Image 2" descr="Une image contenant texte, reptile, dessin au trai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55" name="Image 2" descr="Une image contenant texte, reptile, dessin au trait&#10;&#10;Description générée automatiquement"/>
                    <pic:cNvPicPr>
                      <a:picLocks noChangeAspect="1"/>
                    </pic:cNvPicPr>
                  </pic:nvPicPr>
                  <pic:blipFill>
                    <a:blip r:embed="rId4485">
                      <a:extLst>
                        <a:ext uri="{28A0092B-C50C-407E-A947-70E740481C1C}">
                          <a14:useLocalDpi xmlns:a14="http://schemas.microsoft.com/office/drawing/2010/main" val="0"/>
                        </a:ext>
                      </a:extLst>
                    </a:blip>
                    <a:stretch>
                      <a:fillRect/>
                    </a:stretch>
                  </pic:blipFill>
                  <pic:spPr>
                    <a:xfrm>
                      <a:off x="0" y="0"/>
                      <a:ext cx="5307741" cy="2277816"/>
                    </a:xfrm>
                    <a:prstGeom prst="rect">
                      <a:avLst/>
                    </a:prstGeom>
                  </pic:spPr>
                </pic:pic>
              </a:graphicData>
            </a:graphic>
          </wp:inline>
        </w:drawing>
      </w:r>
    </w:p>
    <w:p w14:paraId="2309F03C" w14:textId="595D5C7F" w:rsidR="000029C9" w:rsidRDefault="000029C9" w:rsidP="000029C9">
      <w:pPr>
        <w:spacing w:after="0" w:line="240" w:lineRule="auto"/>
        <w:jc w:val="center"/>
      </w:pPr>
      <w:r w:rsidRPr="000029C9">
        <w:t xml:space="preserve">Les palmiers procurent de l'ombre aux autres arbres (figuier, olivier, grenadier …) et cultures (blé, artichauts …). Source : Source : </w:t>
      </w:r>
      <w:r w:rsidRPr="000029C9">
        <w:rPr>
          <w:i/>
          <w:iCs/>
        </w:rPr>
        <w:t>Introduction à la permaculture</w:t>
      </w:r>
      <w:r w:rsidRPr="000029C9">
        <w:t>, Bill Mollison, Ed. Passerelle eco, 2012, page 152.</w:t>
      </w:r>
    </w:p>
    <w:p w14:paraId="6DB25F48" w14:textId="6EFE439E" w:rsidR="000029C9" w:rsidRDefault="000029C9" w:rsidP="000029C9">
      <w:pPr>
        <w:spacing w:after="0" w:line="240" w:lineRule="auto"/>
        <w:jc w:val="center"/>
      </w:pPr>
    </w:p>
    <w:p w14:paraId="2B74E4FC" w14:textId="097DE337" w:rsidR="000029C9" w:rsidRDefault="000029C9" w:rsidP="000029C9">
      <w:pPr>
        <w:spacing w:after="0" w:line="240" w:lineRule="auto"/>
        <w:jc w:val="center"/>
      </w:pPr>
      <w:r w:rsidRPr="000029C9">
        <w:rPr>
          <w:noProof/>
        </w:rPr>
        <w:drawing>
          <wp:inline distT="0" distB="0" distL="0" distR="0" wp14:anchorId="2E4D94C2" wp14:editId="3FF38B05">
            <wp:extent cx="6620510" cy="2733675"/>
            <wp:effectExtent l="0" t="0" r="8890" b="9525"/>
            <wp:docPr id="104448" name="Image 4"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48" name="Image 4" descr="Une image contenant texte&#10;&#10;Description générée automatiquement"/>
                    <pic:cNvPicPr>
                      <a:picLocks noChangeAspect="1"/>
                    </pic:cNvPicPr>
                  </pic:nvPicPr>
                  <pic:blipFill>
                    <a:blip r:embed="rId4486">
                      <a:extLst>
                        <a:ext uri="{28A0092B-C50C-407E-A947-70E740481C1C}">
                          <a14:useLocalDpi xmlns:a14="http://schemas.microsoft.com/office/drawing/2010/main" val="0"/>
                        </a:ext>
                      </a:extLst>
                    </a:blip>
                    <a:stretch>
                      <a:fillRect/>
                    </a:stretch>
                  </pic:blipFill>
                  <pic:spPr>
                    <a:xfrm>
                      <a:off x="0" y="0"/>
                      <a:ext cx="6620510" cy="2733675"/>
                    </a:xfrm>
                    <a:prstGeom prst="rect">
                      <a:avLst/>
                    </a:prstGeom>
                  </pic:spPr>
                </pic:pic>
              </a:graphicData>
            </a:graphic>
          </wp:inline>
        </w:drawing>
      </w:r>
    </w:p>
    <w:p w14:paraId="3D827438" w14:textId="29DF47A6" w:rsidR="000029C9" w:rsidRDefault="000029C9" w:rsidP="000029C9">
      <w:pPr>
        <w:spacing w:after="0" w:line="240" w:lineRule="auto"/>
        <w:jc w:val="center"/>
      </w:pPr>
      <w:r w:rsidRPr="000029C9">
        <w:rPr>
          <w:i/>
          <w:iCs/>
        </w:rPr>
        <w:t xml:space="preserve">Une suite de plantations sur le littoral [climat tropical sec à méditerranéen, sans gel]. </w:t>
      </w:r>
      <w:r w:rsidRPr="000029C9">
        <w:t xml:space="preserve">Source : Source : </w:t>
      </w:r>
      <w:r w:rsidRPr="000029C9">
        <w:rPr>
          <w:i/>
          <w:iCs/>
        </w:rPr>
        <w:t>Introduction à la permaculture</w:t>
      </w:r>
      <w:r w:rsidRPr="000029C9">
        <w:t>, Bill Mollison, Ed. Passerelle eco, 2012, page 64.</w:t>
      </w:r>
    </w:p>
    <w:p w14:paraId="75CC61C6" w14:textId="3CCFEB28" w:rsidR="000029C9" w:rsidRDefault="000029C9" w:rsidP="000029C9">
      <w:pPr>
        <w:spacing w:after="0" w:line="240" w:lineRule="auto"/>
        <w:jc w:val="center"/>
      </w:pPr>
    </w:p>
    <w:p w14:paraId="3AEDB6B6" w14:textId="729CA8CB" w:rsidR="000029C9" w:rsidRPr="000029C9" w:rsidRDefault="000029C9" w:rsidP="000029C9">
      <w:pPr>
        <w:spacing w:after="0" w:line="240" w:lineRule="auto"/>
        <w:jc w:val="both"/>
      </w:pPr>
      <w:r w:rsidRPr="000029C9">
        <w:rPr>
          <w:b/>
          <w:bCs/>
          <w:i/>
          <w:iCs/>
        </w:rPr>
        <w:t>Agroforêt</w:t>
      </w:r>
      <w:r w:rsidRPr="000029C9">
        <w:t xml:space="preserve"> ou « </w:t>
      </w:r>
      <w:r w:rsidRPr="000029C9">
        <w:rPr>
          <w:b/>
          <w:bCs/>
          <w:i/>
          <w:iCs/>
        </w:rPr>
        <w:t>système agroforestier</w:t>
      </w:r>
      <w:r w:rsidRPr="000029C9">
        <w:t> » : Il s'agit d'une </w:t>
      </w:r>
      <w:hyperlink r:id="rId4487" w:history="1">
        <w:r w:rsidRPr="000029C9">
          <w:rPr>
            <w:rStyle w:val="Lienhypertexte"/>
          </w:rPr>
          <w:t>forêt</w:t>
        </w:r>
      </w:hyperlink>
      <w:r w:rsidRPr="000029C9">
        <w:t> dont la composition </w:t>
      </w:r>
      <w:hyperlink r:id="rId4488" w:history="1">
        <w:r w:rsidRPr="000029C9">
          <w:rPr>
            <w:rStyle w:val="Lienhypertexte"/>
          </w:rPr>
          <w:t>faunistique</w:t>
        </w:r>
      </w:hyperlink>
      <w:r w:rsidRPr="000029C9">
        <w:t> et </w:t>
      </w:r>
      <w:hyperlink r:id="rId4489" w:history="1">
        <w:r w:rsidRPr="000029C9">
          <w:rPr>
            <w:rStyle w:val="Lienhypertexte"/>
          </w:rPr>
          <w:t>floristique</w:t>
        </w:r>
      </w:hyperlink>
      <w:r w:rsidRPr="000029C9">
        <w:t xml:space="preserve"> sont le fruit d'une gestion par la ou les populations locales. L'intérêt de ces populations est la constitution d'un cadre de vie satisfaisant leurs divers besoins, en termes d'alimentation, de matériaux de construction, d'artisanats variés, d'énergie, de produits médicinaux, et toutes activités sociales. Les écosystèmes désignés comme </w:t>
      </w:r>
      <w:r w:rsidRPr="000029C9">
        <w:rPr>
          <w:i/>
          <w:iCs/>
        </w:rPr>
        <w:t>agroforêts</w:t>
      </w:r>
      <w:r w:rsidRPr="000029C9">
        <w:t xml:space="preserve"> sont en général situés en zone intertropicale.</w:t>
      </w:r>
    </w:p>
    <w:p w14:paraId="0F7D2BAF" w14:textId="4960D6D2" w:rsidR="000029C9" w:rsidRDefault="000029C9" w:rsidP="000029C9">
      <w:pPr>
        <w:spacing w:after="0" w:line="240" w:lineRule="auto"/>
        <w:jc w:val="both"/>
      </w:pPr>
    </w:p>
    <w:p w14:paraId="231E1646" w14:textId="0BA37D95" w:rsidR="00374DAA" w:rsidRDefault="00374DAA" w:rsidP="00374DAA">
      <w:pPr>
        <w:spacing w:after="0" w:line="240" w:lineRule="auto"/>
        <w:jc w:val="center"/>
      </w:pPr>
      <w:r w:rsidRPr="00374DAA">
        <w:rPr>
          <w:noProof/>
        </w:rPr>
        <w:drawing>
          <wp:inline distT="0" distB="0" distL="0" distR="0" wp14:anchorId="66E712E1" wp14:editId="49CC3C78">
            <wp:extent cx="6324600" cy="2924175"/>
            <wp:effectExtent l="0" t="0" r="0" b="9525"/>
            <wp:docPr id="104449" name="Image 1" descr="Une image contenant text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49" name="Image 1" descr="Une image contenant texte, carte&#10;&#10;Description générée automatiquement"/>
                    <pic:cNvPicPr>
                      <a:picLocks noChangeAspect="1"/>
                    </pic:cNvPicPr>
                  </pic:nvPicPr>
                  <pic:blipFill>
                    <a:blip r:embed="rId4490">
                      <a:extLst>
                        <a:ext uri="{28A0092B-C50C-407E-A947-70E740481C1C}">
                          <a14:useLocalDpi xmlns:a14="http://schemas.microsoft.com/office/drawing/2010/main" val="0"/>
                        </a:ext>
                      </a:extLst>
                    </a:blip>
                    <a:stretch>
                      <a:fillRect/>
                    </a:stretch>
                  </pic:blipFill>
                  <pic:spPr>
                    <a:xfrm>
                      <a:off x="0" y="0"/>
                      <a:ext cx="6324600" cy="2924175"/>
                    </a:xfrm>
                    <a:prstGeom prst="rect">
                      <a:avLst/>
                    </a:prstGeom>
                  </pic:spPr>
                </pic:pic>
              </a:graphicData>
            </a:graphic>
          </wp:inline>
        </w:drawing>
      </w:r>
    </w:p>
    <w:p w14:paraId="1A1585AA" w14:textId="4F69A8CE" w:rsidR="00374DAA" w:rsidRDefault="00374DAA" w:rsidP="00374DAA">
      <w:pPr>
        <w:spacing w:after="0" w:line="240" w:lineRule="auto"/>
        <w:jc w:val="center"/>
      </w:pPr>
      <w:r w:rsidRPr="00374DAA">
        <w:rPr>
          <w:i/>
          <w:iCs/>
        </w:rPr>
        <w:t>Défense contre les incendies, avec plantations et animaux, pour petite ville ou hameau.</w:t>
      </w:r>
      <w:r w:rsidRPr="00374DAA">
        <w:t xml:space="preserve"> Source : </w:t>
      </w:r>
      <w:r w:rsidRPr="00374DAA">
        <w:rPr>
          <w:i/>
          <w:iCs/>
        </w:rPr>
        <w:t>Introduction à la permaculture</w:t>
      </w:r>
      <w:r w:rsidRPr="00374DAA">
        <w:t>, Bill Mollison, Ed. Passerelle eco, 2012, page 82.</w:t>
      </w:r>
    </w:p>
    <w:p w14:paraId="237DD2F6" w14:textId="2D12DEF7" w:rsidR="00374DAA" w:rsidRDefault="00374DAA" w:rsidP="00374DAA">
      <w:pPr>
        <w:spacing w:after="0" w:line="240" w:lineRule="auto"/>
        <w:jc w:val="center"/>
      </w:pPr>
    </w:p>
    <w:p w14:paraId="0A032325" w14:textId="77777777" w:rsidR="00374DAA" w:rsidRPr="00374DAA" w:rsidRDefault="00374DAA" w:rsidP="00374DAA">
      <w:pPr>
        <w:spacing w:after="0" w:line="240" w:lineRule="auto"/>
        <w:jc w:val="both"/>
      </w:pPr>
      <w:r w:rsidRPr="00374DAA">
        <w:rPr>
          <w:b/>
          <w:bCs/>
          <w:i/>
          <w:iCs/>
        </w:rPr>
        <w:t xml:space="preserve">Jardin-forêt </w:t>
      </w:r>
      <w:r w:rsidRPr="00374DAA">
        <w:t>: Un mélange d’arbres, arbustes, arbrisseaux, plantes grimpantes, légumes annuels, biannuels et vivaces, de champignons cultivés, qui produisent fruits, légumes, plantes aromatiques et médicinales, bois de chauffage etc.</w:t>
      </w:r>
    </w:p>
    <w:p w14:paraId="3567F039" w14:textId="77777777" w:rsidR="00374DAA" w:rsidRPr="00374DAA" w:rsidRDefault="00374DAA" w:rsidP="00374DAA">
      <w:pPr>
        <w:spacing w:after="0" w:line="240" w:lineRule="auto"/>
        <w:jc w:val="both"/>
      </w:pPr>
      <w:r w:rsidRPr="00374DAA">
        <w:rPr>
          <w:b/>
          <w:bCs/>
          <w:i/>
          <w:iCs/>
        </w:rPr>
        <w:t>Jardin-verger</w:t>
      </w:r>
      <w:r w:rsidRPr="00374DAA">
        <w:t xml:space="preserve"> : endroit créé et préservé par l’homme, source de vie et de bien-être, et constitué d’un ensemble multi-étagé d’espèces végétales utiles principalement pour l’alimentation. Il existe différentes dénominations pour parler de jardin-verger comme jardin-forêt, forêt-jardin, forêt fruitière, forêt comestible, etc. </w:t>
      </w:r>
    </w:p>
    <w:p w14:paraId="48007B07" w14:textId="77777777" w:rsidR="00374DAA" w:rsidRDefault="00374DAA" w:rsidP="00374DAA">
      <w:pPr>
        <w:spacing w:after="0" w:line="240" w:lineRule="auto"/>
        <w:jc w:val="both"/>
      </w:pPr>
    </w:p>
    <w:p w14:paraId="5337C260" w14:textId="00A7DA5B" w:rsidR="000029C9" w:rsidRDefault="000B485F" w:rsidP="000B485F">
      <w:pPr>
        <w:spacing w:after="0" w:line="240" w:lineRule="auto"/>
        <w:jc w:val="center"/>
      </w:pPr>
      <w:r w:rsidRPr="000B485F">
        <w:rPr>
          <w:noProof/>
        </w:rPr>
        <w:drawing>
          <wp:inline distT="0" distB="0" distL="0" distR="0" wp14:anchorId="7F57C509" wp14:editId="652EF6E8">
            <wp:extent cx="5587572" cy="3532788"/>
            <wp:effectExtent l="0" t="0" r="0" b="0"/>
            <wp:docPr id="104450"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pic:cNvPicPr>
                      <a:picLocks noChangeAspect="1"/>
                    </pic:cNvPicPr>
                  </pic:nvPicPr>
                  <pic:blipFill>
                    <a:blip r:embed="rId4491">
                      <a:extLst>
                        <a:ext uri="{28A0092B-C50C-407E-A947-70E740481C1C}">
                          <a14:useLocalDpi xmlns:a14="http://schemas.microsoft.com/office/drawing/2010/main" val="0"/>
                        </a:ext>
                      </a:extLst>
                    </a:blip>
                    <a:stretch>
                      <a:fillRect/>
                    </a:stretch>
                  </pic:blipFill>
                  <pic:spPr>
                    <a:xfrm>
                      <a:off x="0" y="0"/>
                      <a:ext cx="5587572" cy="3532788"/>
                    </a:xfrm>
                    <a:prstGeom prst="rect">
                      <a:avLst/>
                    </a:prstGeom>
                  </pic:spPr>
                </pic:pic>
              </a:graphicData>
            </a:graphic>
          </wp:inline>
        </w:drawing>
      </w:r>
    </w:p>
    <w:p w14:paraId="42707581" w14:textId="19505D8A" w:rsidR="000B485F" w:rsidRDefault="000B485F" w:rsidP="000B485F">
      <w:pPr>
        <w:spacing w:after="0" w:line="240" w:lineRule="auto"/>
        <w:jc w:val="center"/>
      </w:pPr>
      <w:r w:rsidRPr="000B485F">
        <w:rPr>
          <w:i/>
          <w:iCs/>
        </w:rPr>
        <w:t>Une maison en climat aride, avec des murs épais, des cours intérieures et des tonnelles de plantes grimpantes.</w:t>
      </w:r>
      <w:r w:rsidRPr="000B485F">
        <w:t xml:space="preserve"> Source : </w:t>
      </w:r>
      <w:r w:rsidRPr="000B485F">
        <w:rPr>
          <w:i/>
          <w:iCs/>
        </w:rPr>
        <w:t>Introduction à la permaculture</w:t>
      </w:r>
      <w:r w:rsidRPr="000B485F">
        <w:t>, Bill Mollison, Ed. Passerelle eco, 2012, page 104.</w:t>
      </w:r>
    </w:p>
    <w:p w14:paraId="0E51BDEE" w14:textId="5058C00F" w:rsidR="000B485F" w:rsidRDefault="000B485F" w:rsidP="007D7307">
      <w:pPr>
        <w:spacing w:after="0" w:line="240" w:lineRule="auto"/>
        <w:jc w:val="both"/>
      </w:pPr>
    </w:p>
    <w:p w14:paraId="0220EDBB" w14:textId="77777777" w:rsidR="000B485F" w:rsidRPr="000B485F" w:rsidRDefault="000B485F" w:rsidP="000B485F">
      <w:pPr>
        <w:spacing w:after="0" w:line="240" w:lineRule="auto"/>
        <w:jc w:val="both"/>
      </w:pPr>
      <w:r w:rsidRPr="000B485F">
        <w:rPr>
          <w:b/>
          <w:bCs/>
          <w:i/>
          <w:iCs/>
        </w:rPr>
        <w:t>Permaculture</w:t>
      </w:r>
      <w:r w:rsidRPr="000B485F">
        <w:t xml:space="preserve"> : Forme d’</w:t>
      </w:r>
      <w:hyperlink r:id="rId4492" w:history="1">
        <w:r w:rsidRPr="000B485F">
          <w:rPr>
            <w:rStyle w:val="Lienhypertexte"/>
          </w:rPr>
          <w:t>agriculture</w:t>
        </w:r>
      </w:hyperlink>
      <w:r w:rsidRPr="000B485F">
        <w:t>, créée dans les années soixante-dix en Australie par Bill Molisson et David Holmgren,  nécessitant peu d’</w:t>
      </w:r>
      <w:hyperlink r:id="rId4493" w:history="1">
        <w:r w:rsidRPr="000B485F">
          <w:rPr>
            <w:rStyle w:val="Lienhypertexte"/>
          </w:rPr>
          <w:t>entretien</w:t>
        </w:r>
      </w:hyperlink>
      <w:r w:rsidRPr="000B485F">
        <w:t>, grâce à l’</w:t>
      </w:r>
      <w:hyperlink r:id="rId4494" w:history="1">
        <w:r w:rsidRPr="000B485F">
          <w:rPr>
            <w:rStyle w:val="Lienhypertexte"/>
          </w:rPr>
          <w:t>utilisation</w:t>
        </w:r>
      </w:hyperlink>
      <w:r w:rsidRPr="000B485F">
        <w:t> de nombreuses </w:t>
      </w:r>
      <w:hyperlink r:id="rId4495" w:history="1">
        <w:r w:rsidRPr="000B485F">
          <w:rPr>
            <w:rStyle w:val="Lienhypertexte"/>
          </w:rPr>
          <w:t>espèces</w:t>
        </w:r>
      </w:hyperlink>
      <w:r w:rsidRPr="000B485F">
        <w:t> de </w:t>
      </w:r>
      <w:hyperlink r:id="rId4496" w:history="1">
        <w:r w:rsidRPr="000B485F">
          <w:rPr>
            <w:rStyle w:val="Lienhypertexte"/>
          </w:rPr>
          <w:t>plantes</w:t>
        </w:r>
      </w:hyperlink>
      <w:r w:rsidRPr="000B485F">
        <w:t> </w:t>
      </w:r>
      <w:hyperlink r:id="rId4497" w:history="1">
        <w:r w:rsidRPr="000B485F">
          <w:rPr>
            <w:rStyle w:val="Lienhypertexte"/>
          </w:rPr>
          <w:t>complémentaires</w:t>
        </w:r>
      </w:hyperlink>
      <w:r w:rsidRPr="000B485F">
        <w:t> et à l’aide des animaux sauvages, pour reconstituer un </w:t>
      </w:r>
      <w:hyperlink r:id="rId4498" w:history="1">
        <w:r w:rsidRPr="000B485F">
          <w:rPr>
            <w:rStyle w:val="Lienhypertexte"/>
          </w:rPr>
          <w:t>écosystème</w:t>
        </w:r>
      </w:hyperlink>
      <w:r w:rsidRPr="000B485F">
        <w:t> gérable à échelle humaine. Elle signifie culture permanente et durable. Elle est un ensemble de pratiques et de principes visant à créer une production agricole </w:t>
      </w:r>
      <w:hyperlink r:id="rId4499" w:history="1">
        <w:r w:rsidRPr="000B485F">
          <w:rPr>
            <w:rStyle w:val="Lienhypertexte"/>
          </w:rPr>
          <w:t>durable</w:t>
        </w:r>
      </w:hyperlink>
      <w:r w:rsidRPr="000B485F">
        <w:t>, prenant en considération la biodiversité des écosystèmes</w:t>
      </w:r>
      <w:hyperlink r:id="rId4500" w:history="1">
        <w:r w:rsidRPr="000B485F">
          <w:rPr>
            <w:rStyle w:val="Lienhypertexte"/>
            <w:vertAlign w:val="superscript"/>
          </w:rPr>
          <w:t>1</w:t>
        </w:r>
      </w:hyperlink>
      <w:r w:rsidRPr="000B485F">
        <w:rPr>
          <w:vertAlign w:val="superscript"/>
        </w:rPr>
        <w:t>,</w:t>
      </w:r>
      <w:hyperlink r:id="rId4501" w:history="1">
        <w:r w:rsidRPr="000B485F">
          <w:rPr>
            <w:rStyle w:val="Lienhypertexte"/>
            <w:vertAlign w:val="superscript"/>
          </w:rPr>
          <w:t>2</w:t>
        </w:r>
      </w:hyperlink>
      <w:r w:rsidRPr="000B485F">
        <w:t>, respectueuse des êtres vivants et de leurs relations réciproques. Elle vise à créer un écosystème productif en nourriture ainsi qu'en d'autres ressources utiles, tout en laissant à la nature « sauvage » le plus de place possible.</w:t>
      </w:r>
    </w:p>
    <w:p w14:paraId="77CCE31A" w14:textId="350EF2ED" w:rsidR="000B485F" w:rsidRDefault="000B485F" w:rsidP="007D7307">
      <w:pPr>
        <w:spacing w:after="0" w:line="240" w:lineRule="auto"/>
        <w:jc w:val="both"/>
      </w:pPr>
    </w:p>
    <w:p w14:paraId="66C8ECF2" w14:textId="49272263" w:rsidR="00110464" w:rsidRDefault="00110464" w:rsidP="00110464">
      <w:pPr>
        <w:pStyle w:val="Titre1"/>
      </w:pPr>
      <w:bookmarkStart w:id="419" w:name="_Toc139181708"/>
      <w:r w:rsidRPr="00AC5B1F">
        <w:t>Annexe : Stratégies</w:t>
      </w:r>
      <w:r>
        <w:t xml:space="preserve"> préventives</w:t>
      </w:r>
      <w:r w:rsidRPr="00AC5B1F">
        <w:t xml:space="preserve"> de lutte contre les plantes invasives</w:t>
      </w:r>
      <w:bookmarkEnd w:id="419"/>
    </w:p>
    <w:p w14:paraId="198A3967" w14:textId="2911A9E7" w:rsidR="00110464" w:rsidRDefault="00110464" w:rsidP="007D7307">
      <w:pPr>
        <w:spacing w:after="0" w:line="240" w:lineRule="auto"/>
        <w:jc w:val="both"/>
      </w:pPr>
    </w:p>
    <w:p w14:paraId="25AFDBC9" w14:textId="31934602" w:rsidR="002E0A47" w:rsidRDefault="002E0A47" w:rsidP="002E0A47">
      <w:pPr>
        <w:pStyle w:val="Titre2"/>
      </w:pPr>
      <w:bookmarkStart w:id="420" w:name="_Toc139181709"/>
      <w:r>
        <w:t>Contrôle aux frontières</w:t>
      </w:r>
      <w:bookmarkEnd w:id="420"/>
    </w:p>
    <w:p w14:paraId="280EBA9E" w14:textId="79F1814E" w:rsidR="002E0A47" w:rsidRDefault="002E0A47" w:rsidP="007D7307">
      <w:pPr>
        <w:spacing w:after="0" w:line="240" w:lineRule="auto"/>
        <w:jc w:val="both"/>
      </w:pPr>
    </w:p>
    <w:p w14:paraId="1AC32423" w14:textId="77777777" w:rsidR="002E0A47" w:rsidRDefault="002E0A47" w:rsidP="002E0A47">
      <w:pPr>
        <w:spacing w:after="0" w:line="240" w:lineRule="auto"/>
        <w:jc w:val="both"/>
      </w:pPr>
      <w:r>
        <w:t>Il faut un contrôle aux frontières, par les douanes, des importations des animaleries, pépiniéristes, aquacultures, parc animaliers, zoos, de particuliers.</w:t>
      </w:r>
    </w:p>
    <w:p w14:paraId="63DFC631" w14:textId="77777777" w:rsidR="002E0A47" w:rsidRDefault="002E0A47" w:rsidP="007D7307">
      <w:pPr>
        <w:spacing w:after="0" w:line="240" w:lineRule="auto"/>
        <w:jc w:val="both"/>
      </w:pPr>
    </w:p>
    <w:p w14:paraId="109F4785" w14:textId="77777777" w:rsidR="009F0CA6" w:rsidRDefault="009F0CA6" w:rsidP="009F0CA6">
      <w:pPr>
        <w:pStyle w:val="Titre2"/>
      </w:pPr>
      <w:bookmarkStart w:id="421" w:name="_Toc139181710"/>
      <w:r>
        <w:t>Campagnes de sensibilisation</w:t>
      </w:r>
      <w:bookmarkEnd w:id="421"/>
    </w:p>
    <w:p w14:paraId="49876839" w14:textId="0864F8C0" w:rsidR="009F0CA6" w:rsidRDefault="009F0CA6" w:rsidP="009F0CA6">
      <w:pPr>
        <w:spacing w:after="0" w:line="240" w:lineRule="auto"/>
        <w:jc w:val="both"/>
      </w:pPr>
    </w:p>
    <w:p w14:paraId="24A79593" w14:textId="500348EE" w:rsidR="002E0A47" w:rsidRDefault="002E0A47" w:rsidP="002E0A47">
      <w:pPr>
        <w:spacing w:after="0" w:line="240" w:lineRule="auto"/>
        <w:jc w:val="both"/>
      </w:pPr>
      <w:r>
        <w:t>Il faut une communication, éducation, sensibilisation, formation face au problème, en particulier auprès des associations et du grand public.</w:t>
      </w:r>
    </w:p>
    <w:p w14:paraId="4BD76312" w14:textId="77777777" w:rsidR="002E0A47" w:rsidRDefault="002E0A47" w:rsidP="009F0CA6">
      <w:pPr>
        <w:spacing w:after="0" w:line="240" w:lineRule="auto"/>
        <w:jc w:val="both"/>
      </w:pPr>
    </w:p>
    <w:p w14:paraId="6A73E051" w14:textId="35AEEAF7" w:rsidR="009F0CA6" w:rsidRPr="00405E91" w:rsidRDefault="009F0CA6" w:rsidP="009F0CA6">
      <w:pPr>
        <w:spacing w:after="0" w:line="240" w:lineRule="auto"/>
        <w:jc w:val="both"/>
        <w:rPr>
          <w:i/>
          <w:iCs/>
        </w:rPr>
      </w:pPr>
      <w:r w:rsidRPr="00405E91">
        <w:rPr>
          <w:i/>
          <w:iCs/>
        </w:rPr>
        <w:t>Conseils à donner au grand public, face aux plantes invasives :</w:t>
      </w:r>
    </w:p>
    <w:p w14:paraId="3763D3A1" w14:textId="0BBAAA52" w:rsidR="009F0CA6" w:rsidRDefault="009F0CA6" w:rsidP="009F0CA6">
      <w:pPr>
        <w:spacing w:after="0" w:line="240" w:lineRule="auto"/>
        <w:jc w:val="both"/>
      </w:pPr>
    </w:p>
    <w:p w14:paraId="58B3354F" w14:textId="6E11095D" w:rsidR="00405E91" w:rsidRDefault="00405E91" w:rsidP="001F79EE">
      <w:pPr>
        <w:pStyle w:val="Paragraphedeliste"/>
        <w:numPr>
          <w:ilvl w:val="0"/>
          <w:numId w:val="65"/>
        </w:numPr>
        <w:spacing w:after="0" w:line="240" w:lineRule="auto"/>
        <w:ind w:left="426"/>
        <w:jc w:val="both"/>
      </w:pPr>
      <w:r>
        <w:t>Se renseigner avant sur les caractéristiques de ces plantes.</w:t>
      </w:r>
    </w:p>
    <w:p w14:paraId="37948753" w14:textId="10990075" w:rsidR="009F0CA6" w:rsidRPr="009F0CA6" w:rsidRDefault="009F0CA6" w:rsidP="001F79EE">
      <w:pPr>
        <w:pStyle w:val="Paragraphedeliste"/>
        <w:numPr>
          <w:ilvl w:val="0"/>
          <w:numId w:val="65"/>
        </w:numPr>
        <w:spacing w:after="0" w:line="240" w:lineRule="auto"/>
        <w:ind w:left="426"/>
        <w:jc w:val="both"/>
      </w:pPr>
      <w:r w:rsidRPr="009F0CA6">
        <w:t>Ne pas les acheter.</w:t>
      </w:r>
      <w:r w:rsidR="00405E91">
        <w:t xml:space="preserve"> </w:t>
      </w:r>
    </w:p>
    <w:p w14:paraId="58183C7D" w14:textId="077F5273" w:rsidR="009F0CA6" w:rsidRPr="009F0CA6" w:rsidRDefault="009F0CA6" w:rsidP="001F79EE">
      <w:pPr>
        <w:pStyle w:val="Paragraphedeliste"/>
        <w:numPr>
          <w:ilvl w:val="0"/>
          <w:numId w:val="65"/>
        </w:numPr>
        <w:spacing w:after="0" w:line="240" w:lineRule="auto"/>
        <w:ind w:left="426"/>
        <w:jc w:val="both"/>
      </w:pPr>
      <w:r w:rsidRPr="009F0CA6">
        <w:t>Ne pas les planter : préférer les plantes locales.</w:t>
      </w:r>
    </w:p>
    <w:p w14:paraId="34D5703C" w14:textId="42298AFC" w:rsidR="009F0CA6" w:rsidRPr="009F0CA6" w:rsidRDefault="009F0CA6" w:rsidP="001F79EE">
      <w:pPr>
        <w:pStyle w:val="Paragraphedeliste"/>
        <w:numPr>
          <w:ilvl w:val="0"/>
          <w:numId w:val="65"/>
        </w:numPr>
        <w:spacing w:after="0" w:line="240" w:lineRule="auto"/>
        <w:ind w:left="426"/>
        <w:jc w:val="both"/>
      </w:pPr>
      <w:r w:rsidRPr="009F0CA6">
        <w:t>Les arracher.</w:t>
      </w:r>
    </w:p>
    <w:p w14:paraId="7B3F8C0E" w14:textId="53D1ECC2" w:rsidR="009F0CA6" w:rsidRPr="009F0CA6" w:rsidRDefault="009F0CA6" w:rsidP="001F79EE">
      <w:pPr>
        <w:pStyle w:val="Paragraphedeliste"/>
        <w:numPr>
          <w:ilvl w:val="0"/>
          <w:numId w:val="65"/>
        </w:numPr>
        <w:spacing w:after="0" w:line="240" w:lineRule="auto"/>
        <w:ind w:left="426"/>
        <w:jc w:val="both"/>
      </w:pPr>
      <w:r w:rsidRPr="009F0CA6">
        <w:t>Les couper régulièrement à la base, les tailler avant floraison.</w:t>
      </w:r>
    </w:p>
    <w:p w14:paraId="4FECE241" w14:textId="02AA4625" w:rsidR="009F0CA6" w:rsidRPr="009F0CA6" w:rsidRDefault="009F0CA6" w:rsidP="001F79EE">
      <w:pPr>
        <w:pStyle w:val="Paragraphedeliste"/>
        <w:numPr>
          <w:ilvl w:val="0"/>
          <w:numId w:val="65"/>
        </w:numPr>
        <w:spacing w:after="0" w:line="240" w:lineRule="auto"/>
        <w:ind w:left="426"/>
        <w:jc w:val="both"/>
      </w:pPr>
      <w:r w:rsidRPr="009F0CA6">
        <w:t>Faire sécher les résidus avant de les incinérer.</w:t>
      </w:r>
    </w:p>
    <w:p w14:paraId="4DB0CA7A" w14:textId="408C325D" w:rsidR="009F0CA6" w:rsidRPr="009F0CA6" w:rsidRDefault="009F0CA6" w:rsidP="001F79EE">
      <w:pPr>
        <w:pStyle w:val="Paragraphedeliste"/>
        <w:numPr>
          <w:ilvl w:val="0"/>
          <w:numId w:val="65"/>
        </w:numPr>
        <w:spacing w:after="0" w:line="240" w:lineRule="auto"/>
        <w:ind w:left="426"/>
        <w:jc w:val="both"/>
      </w:pPr>
      <w:r w:rsidRPr="009F0CA6">
        <w:t xml:space="preserve">Ne pas jeter le contenu des aquariums et les déchets verts dans les milieux naturels pour ne pas les propager. </w:t>
      </w:r>
    </w:p>
    <w:p w14:paraId="1254959F" w14:textId="5EB61D4F" w:rsidR="009F0CA6" w:rsidRPr="009F0CA6" w:rsidRDefault="009F0CA6" w:rsidP="001F79EE">
      <w:pPr>
        <w:pStyle w:val="Paragraphedeliste"/>
        <w:numPr>
          <w:ilvl w:val="0"/>
          <w:numId w:val="65"/>
        </w:numPr>
        <w:spacing w:after="0" w:line="240" w:lineRule="auto"/>
        <w:ind w:left="426"/>
        <w:jc w:val="both"/>
      </w:pPr>
      <w:r w:rsidRPr="009F0CA6">
        <w:t>Les déposer en déchèterie.</w:t>
      </w:r>
    </w:p>
    <w:p w14:paraId="51FCAC6F" w14:textId="300F9CB1" w:rsidR="009F0CA6" w:rsidRPr="009F0CA6" w:rsidRDefault="009F0CA6" w:rsidP="001F79EE">
      <w:pPr>
        <w:pStyle w:val="Paragraphedeliste"/>
        <w:numPr>
          <w:ilvl w:val="0"/>
          <w:numId w:val="65"/>
        </w:numPr>
        <w:spacing w:after="0" w:line="240" w:lineRule="auto"/>
        <w:ind w:left="426"/>
        <w:jc w:val="both"/>
      </w:pPr>
      <w:r w:rsidRPr="009F0CA6">
        <w:t>Informer votre entourage des risques liés aux plantes invasives (qui sont souvent jolies et ornementales).</w:t>
      </w:r>
    </w:p>
    <w:p w14:paraId="1BA27010" w14:textId="77777777" w:rsidR="009F0CA6" w:rsidRDefault="009F0CA6" w:rsidP="009F0CA6">
      <w:pPr>
        <w:spacing w:after="0" w:line="240" w:lineRule="auto"/>
        <w:jc w:val="both"/>
      </w:pPr>
    </w:p>
    <w:p w14:paraId="656FF696" w14:textId="41B1DAE6" w:rsidR="009F0CA6" w:rsidRPr="009F0CA6" w:rsidRDefault="009F0CA6" w:rsidP="009F0CA6">
      <w:pPr>
        <w:spacing w:after="0" w:line="240" w:lineRule="auto"/>
        <w:jc w:val="both"/>
      </w:pPr>
      <w:r w:rsidRPr="009F0CA6">
        <w:t xml:space="preserve">Source : </w:t>
      </w:r>
      <w:r w:rsidRPr="009F0CA6">
        <w:rPr>
          <w:i/>
          <w:iCs/>
        </w:rPr>
        <w:t>Je lutte contre les plantes invasives !</w:t>
      </w:r>
      <w:r w:rsidRPr="009F0CA6">
        <w:t xml:space="preserve"> </w:t>
      </w:r>
      <w:hyperlink r:id="rId4502" w:history="1">
        <w:r w:rsidRPr="009F0CA6">
          <w:rPr>
            <w:rStyle w:val="Lienhypertexte"/>
          </w:rPr>
          <w:t>http://www.morbihan.fr/userfile/file/a_votre_service/envir/plantes-invas_3mo.pdf</w:t>
        </w:r>
      </w:hyperlink>
      <w:r w:rsidRPr="009F0CA6">
        <w:t xml:space="preserve"> </w:t>
      </w:r>
    </w:p>
    <w:p w14:paraId="1324D5AC" w14:textId="4B4E207D" w:rsidR="009F0CA6" w:rsidRDefault="009F0CA6" w:rsidP="009F0CA6">
      <w:pPr>
        <w:spacing w:after="0" w:line="240" w:lineRule="auto"/>
        <w:jc w:val="both"/>
      </w:pPr>
    </w:p>
    <w:p w14:paraId="5CF15DC5" w14:textId="77777777" w:rsidR="0059136C" w:rsidRDefault="002E0A47" w:rsidP="009F0CA6">
      <w:pPr>
        <w:spacing w:after="0" w:line="240" w:lineRule="auto"/>
        <w:jc w:val="both"/>
        <w:rPr>
          <w:i/>
          <w:iCs/>
        </w:rPr>
      </w:pPr>
      <w:r>
        <w:t>Malheureusement, dans la plupart des pays, « </w:t>
      </w:r>
      <w:r w:rsidRPr="002E0A47">
        <w:rPr>
          <w:i/>
          <w:iCs/>
        </w:rPr>
        <w:t xml:space="preserve">la prévention de ce problème est encore "insuffisante", </w:t>
      </w:r>
    </w:p>
    <w:p w14:paraId="51DFCE4A" w14:textId="77777777" w:rsidR="0059136C" w:rsidRDefault="002E0A47" w:rsidP="009F0CA6">
      <w:pPr>
        <w:spacing w:after="0" w:line="240" w:lineRule="auto"/>
        <w:jc w:val="both"/>
        <w:rPr>
          <w:i/>
          <w:iCs/>
        </w:rPr>
      </w:pPr>
      <w:r w:rsidRPr="002E0A47">
        <w:rPr>
          <w:i/>
          <w:iCs/>
        </w:rPr>
        <w:t xml:space="preserve">que ce soit du fait de manques de financements, de carence dans la coordination entre la recherche scientifique </w:t>
      </w:r>
    </w:p>
    <w:p w14:paraId="36691775" w14:textId="77777777" w:rsidR="0059136C" w:rsidRDefault="002E0A47" w:rsidP="009F0CA6">
      <w:pPr>
        <w:spacing w:after="0" w:line="240" w:lineRule="auto"/>
        <w:jc w:val="both"/>
        <w:rPr>
          <w:i/>
          <w:iCs/>
        </w:rPr>
      </w:pPr>
      <w:r w:rsidRPr="002E0A47">
        <w:rPr>
          <w:i/>
          <w:iCs/>
        </w:rPr>
        <w:t xml:space="preserve">et les acteurs de terrain ou le manque de sensibilisation du grand public. La détection du caractère invasif </w:t>
      </w:r>
    </w:p>
    <w:p w14:paraId="0F414A15" w14:textId="11F9C78D" w:rsidR="002E0A47" w:rsidRDefault="002E0A47" w:rsidP="009F0CA6">
      <w:pPr>
        <w:spacing w:after="0" w:line="240" w:lineRule="auto"/>
        <w:jc w:val="both"/>
      </w:pPr>
      <w:r w:rsidRPr="002E0A47">
        <w:rPr>
          <w:i/>
          <w:iCs/>
        </w:rPr>
        <w:t>d’une espèce est souvent trop tardive</w:t>
      </w:r>
      <w:r>
        <w:t> »</w:t>
      </w:r>
      <w:r w:rsidRPr="002E0A47">
        <w:t>.</w:t>
      </w:r>
      <w:r>
        <w:t xml:space="preserve"> </w:t>
      </w:r>
      <w:r w:rsidRPr="002E0A47">
        <w:t>Source : Anne Lenormand / Localtis, Ibid.</w:t>
      </w:r>
    </w:p>
    <w:p w14:paraId="2F8E99BB" w14:textId="77777777" w:rsidR="002E0A47" w:rsidRDefault="002E0A47" w:rsidP="009F0CA6">
      <w:pPr>
        <w:spacing w:after="0" w:line="240" w:lineRule="auto"/>
        <w:jc w:val="both"/>
      </w:pPr>
    </w:p>
    <w:p w14:paraId="30E9F0FD" w14:textId="15162DA3" w:rsidR="00110464" w:rsidRDefault="00405E91" w:rsidP="007D7307">
      <w:pPr>
        <w:spacing w:after="0" w:line="240" w:lineRule="auto"/>
        <w:jc w:val="both"/>
      </w:pPr>
      <w:r w:rsidRPr="00405E91">
        <w:rPr>
          <w:i/>
          <w:iCs/>
        </w:rPr>
        <w:t xml:space="preserve">Face à ces plantes, </w:t>
      </w:r>
      <w:r w:rsidR="002E0A47">
        <w:rPr>
          <w:i/>
          <w:iCs/>
        </w:rPr>
        <w:t xml:space="preserve">il faut </w:t>
      </w:r>
      <w:r w:rsidRPr="00405E91">
        <w:rPr>
          <w:i/>
          <w:iCs/>
        </w:rPr>
        <w:t>utiliser</w:t>
      </w:r>
      <w:r>
        <w:rPr>
          <w:i/>
          <w:iCs/>
        </w:rPr>
        <w:t xml:space="preserve">, auprès du </w:t>
      </w:r>
      <w:r w:rsidRPr="00405E91">
        <w:rPr>
          <w:i/>
          <w:iCs/>
        </w:rPr>
        <w:t>grand public</w:t>
      </w:r>
      <w:r>
        <w:rPr>
          <w:i/>
          <w:iCs/>
        </w:rPr>
        <w:t>,</w:t>
      </w:r>
      <w:r w:rsidRPr="00405E91">
        <w:rPr>
          <w:i/>
          <w:iCs/>
        </w:rPr>
        <w:t xml:space="preserve"> l'image d'un feu à combattre</w:t>
      </w:r>
      <w:r w:rsidRPr="00405E91">
        <w:t xml:space="preserve"> </w:t>
      </w:r>
      <w:r w:rsidR="004921CC">
        <w:t xml:space="preserve">(voir image ci-dessous) </w:t>
      </w:r>
      <w:r w:rsidRPr="00405E91">
        <w:t>:</w:t>
      </w:r>
    </w:p>
    <w:p w14:paraId="70D5CEBC" w14:textId="77777777" w:rsidR="00F006B3" w:rsidRDefault="00F006B3" w:rsidP="004921CC">
      <w:pPr>
        <w:spacing w:after="0" w:line="240" w:lineRule="auto"/>
        <w:jc w:val="both"/>
      </w:pPr>
    </w:p>
    <w:p w14:paraId="3C3B6496" w14:textId="2E042A41" w:rsidR="004921CC" w:rsidRPr="004921CC" w:rsidRDefault="002E0A47" w:rsidP="004921CC">
      <w:pPr>
        <w:spacing w:after="0" w:line="240" w:lineRule="auto"/>
        <w:jc w:val="both"/>
      </w:pPr>
      <w:r>
        <w:t>Il faut faire comprendre qu’</w:t>
      </w:r>
      <w:r>
        <w:rPr>
          <w:b/>
          <w:bCs/>
          <w:u w:val="single"/>
        </w:rPr>
        <w:t>i</w:t>
      </w:r>
      <w:r w:rsidR="004921CC" w:rsidRPr="004921CC">
        <w:rPr>
          <w:b/>
          <w:bCs/>
          <w:u w:val="single"/>
        </w:rPr>
        <w:t>l faut réagir vite !</w:t>
      </w:r>
      <w:r w:rsidR="004921CC" w:rsidRPr="004921CC">
        <w:t xml:space="preserve"> A l'image d'un départ de feu où que tout se joue dans les premières minutes _ pour stopper un incendie, il faut un verre d'eau la première seconde, un seau la première minute et… une tonne d'eau au-delà de 10 minutes ! _, de même </w:t>
      </w:r>
      <w:r w:rsidR="004921CC" w:rsidRPr="004921CC">
        <w:rPr>
          <w:b/>
          <w:bCs/>
        </w:rPr>
        <w:t xml:space="preserve">si l'on tarde à enrayer l'infestation </w:t>
      </w:r>
      <w:r w:rsidR="004921CC">
        <w:rPr>
          <w:b/>
          <w:bCs/>
        </w:rPr>
        <w:t>d</w:t>
      </w:r>
      <w:r w:rsidR="004921CC" w:rsidRPr="004921CC">
        <w:rPr>
          <w:b/>
          <w:bCs/>
        </w:rPr>
        <w:t>'une invasive, plus les dégâts _ sur la nature, les récoltes etc. _ seront considérables et coûteux.</w:t>
      </w:r>
    </w:p>
    <w:p w14:paraId="543C7F74" w14:textId="5568FB4E" w:rsidR="004921CC" w:rsidRDefault="004921CC" w:rsidP="007D7307">
      <w:pPr>
        <w:spacing w:after="0" w:line="240" w:lineRule="auto"/>
        <w:jc w:val="both"/>
      </w:pPr>
    </w:p>
    <w:p w14:paraId="377DC6AA" w14:textId="6F3B2DBD" w:rsidR="00F006B3" w:rsidRDefault="00F006B3" w:rsidP="007D7307">
      <w:pPr>
        <w:spacing w:after="0" w:line="240" w:lineRule="auto"/>
        <w:jc w:val="both"/>
      </w:pPr>
    </w:p>
    <w:p w14:paraId="4C569E86" w14:textId="77777777" w:rsidR="00F006B3" w:rsidRDefault="00F006B3" w:rsidP="007D7307">
      <w:pPr>
        <w:spacing w:after="0" w:line="240" w:lineRule="auto"/>
        <w:jc w:val="both"/>
      </w:pPr>
    </w:p>
    <w:tbl>
      <w:tblPr>
        <w:tblW w:w="0" w:type="auto"/>
        <w:tblCellMar>
          <w:left w:w="0" w:type="dxa"/>
          <w:right w:w="0" w:type="dxa"/>
        </w:tblCellMar>
        <w:tblLook w:val="0600" w:firstRow="0" w:lastRow="0" w:firstColumn="0" w:lastColumn="0" w:noHBand="1" w:noVBand="1"/>
      </w:tblPr>
      <w:tblGrid>
        <w:gridCol w:w="2852"/>
        <w:gridCol w:w="6207"/>
        <w:gridCol w:w="1347"/>
      </w:tblGrid>
      <w:tr w:rsidR="00AB3E55" w:rsidRPr="00AB3E55" w14:paraId="72A6A593" w14:textId="77777777" w:rsidTr="00AB3E55">
        <w:trPr>
          <w:trHeight w:val="300"/>
          <w:tblHeader/>
        </w:trPr>
        <w:tc>
          <w:tcPr>
            <w:tcW w:w="0" w:type="auto"/>
            <w:tcBorders>
              <w:top w:val="single" w:sz="8" w:space="0" w:color="000000"/>
              <w:left w:val="single" w:sz="8" w:space="0" w:color="000000"/>
              <w:bottom w:val="single" w:sz="8" w:space="0" w:color="000000"/>
              <w:right w:val="single" w:sz="8" w:space="0" w:color="000000"/>
            </w:tcBorders>
            <w:shd w:val="clear" w:color="auto" w:fill="D9D9D9"/>
            <w:tcMar>
              <w:top w:w="15" w:type="dxa"/>
              <w:left w:w="15" w:type="dxa"/>
              <w:bottom w:w="0" w:type="dxa"/>
              <w:right w:w="15" w:type="dxa"/>
            </w:tcMar>
            <w:vAlign w:val="center"/>
            <w:hideMark/>
          </w:tcPr>
          <w:p w14:paraId="7A9B88CB" w14:textId="77777777" w:rsidR="00AB3E55" w:rsidRPr="00AB3E55" w:rsidRDefault="00AB3E55" w:rsidP="00AB3E55">
            <w:pPr>
              <w:kinsoku w:val="0"/>
              <w:overflowPunct w:val="0"/>
              <w:spacing w:before="113" w:after="0" w:line="190" w:lineRule="exact"/>
              <w:jc w:val="center"/>
              <w:textAlignment w:val="baseline"/>
              <w:rPr>
                <w:rFonts w:ascii="Calibri" w:eastAsia="Times New Roman" w:hAnsi="Calibri" w:cs="Calibri"/>
                <w:lang w:eastAsia="fr-FR"/>
              </w:rPr>
            </w:pPr>
            <w:r w:rsidRPr="00AB3E55">
              <w:rPr>
                <w:rFonts w:ascii="Calibri" w:eastAsia="Times New Roman" w:hAnsi="Calibri" w:cs="Calibri"/>
                <w:color w:val="000000"/>
                <w:kern w:val="24"/>
                <w:lang w:eastAsia="fr-FR"/>
              </w:rPr>
              <w:t>Stade d'invasion</w:t>
            </w:r>
          </w:p>
        </w:tc>
        <w:tc>
          <w:tcPr>
            <w:tcW w:w="0" w:type="auto"/>
            <w:tcBorders>
              <w:top w:val="single" w:sz="8" w:space="0" w:color="000000"/>
              <w:left w:val="single" w:sz="8" w:space="0" w:color="000000"/>
              <w:bottom w:val="single" w:sz="8" w:space="0" w:color="000000"/>
              <w:right w:val="single" w:sz="8" w:space="0" w:color="000000"/>
            </w:tcBorders>
            <w:shd w:val="clear" w:color="auto" w:fill="D9D9D9"/>
            <w:tcMar>
              <w:top w:w="15" w:type="dxa"/>
              <w:left w:w="15" w:type="dxa"/>
              <w:bottom w:w="0" w:type="dxa"/>
              <w:right w:w="15" w:type="dxa"/>
            </w:tcMar>
            <w:vAlign w:val="center"/>
            <w:hideMark/>
          </w:tcPr>
          <w:p w14:paraId="3BDBCCFB" w14:textId="77777777" w:rsidR="00AB3E55" w:rsidRPr="00AB3E55" w:rsidRDefault="00AB3E55" w:rsidP="00AB3E55">
            <w:pPr>
              <w:kinsoku w:val="0"/>
              <w:overflowPunct w:val="0"/>
              <w:spacing w:before="113" w:after="0" w:line="190" w:lineRule="exact"/>
              <w:jc w:val="center"/>
              <w:textAlignment w:val="baseline"/>
              <w:rPr>
                <w:rFonts w:ascii="Calibri" w:eastAsia="Times New Roman" w:hAnsi="Calibri" w:cs="Calibri"/>
                <w:lang w:eastAsia="fr-FR"/>
              </w:rPr>
            </w:pPr>
            <w:r w:rsidRPr="00AB3E55">
              <w:rPr>
                <w:rFonts w:ascii="Calibri" w:eastAsia="Times New Roman" w:hAnsi="Calibri" w:cs="Calibri"/>
                <w:color w:val="000000"/>
                <w:kern w:val="24"/>
                <w:lang w:eastAsia="fr-FR"/>
              </w:rPr>
              <w:t>Mode de gestion</w:t>
            </w:r>
          </w:p>
        </w:tc>
        <w:tc>
          <w:tcPr>
            <w:tcW w:w="0" w:type="auto"/>
            <w:tcBorders>
              <w:top w:val="single" w:sz="8" w:space="0" w:color="000000"/>
              <w:left w:val="single" w:sz="8" w:space="0" w:color="000000"/>
              <w:bottom w:val="single" w:sz="8" w:space="0" w:color="000000"/>
              <w:right w:val="single" w:sz="8" w:space="0" w:color="000000"/>
            </w:tcBorders>
            <w:shd w:val="clear" w:color="auto" w:fill="D9D9D9"/>
            <w:tcMar>
              <w:top w:w="15" w:type="dxa"/>
              <w:left w:w="15" w:type="dxa"/>
              <w:bottom w:w="0" w:type="dxa"/>
              <w:right w:w="15" w:type="dxa"/>
            </w:tcMar>
            <w:vAlign w:val="center"/>
            <w:hideMark/>
          </w:tcPr>
          <w:p w14:paraId="7A538F20" w14:textId="77777777" w:rsidR="00AB3E55" w:rsidRPr="00AB3E55" w:rsidRDefault="00AB3E55" w:rsidP="00AB3E55">
            <w:pPr>
              <w:kinsoku w:val="0"/>
              <w:overflowPunct w:val="0"/>
              <w:spacing w:before="113" w:after="0" w:line="190" w:lineRule="exact"/>
              <w:jc w:val="center"/>
              <w:textAlignment w:val="baseline"/>
              <w:rPr>
                <w:rFonts w:ascii="Calibri" w:eastAsia="Times New Roman" w:hAnsi="Calibri" w:cs="Calibri"/>
                <w:lang w:eastAsia="fr-FR"/>
              </w:rPr>
            </w:pPr>
            <w:r w:rsidRPr="00AB3E55">
              <w:rPr>
                <w:rFonts w:ascii="Calibri" w:eastAsia="Times New Roman" w:hAnsi="Calibri" w:cs="Calibri"/>
                <w:color w:val="000000"/>
                <w:kern w:val="24"/>
                <w:lang w:eastAsia="fr-FR"/>
              </w:rPr>
              <w:t>GRAVITE</w:t>
            </w:r>
          </w:p>
        </w:tc>
      </w:tr>
      <w:tr w:rsidR="00AB3E55" w:rsidRPr="00AB3E55" w14:paraId="0A0F384C" w14:textId="77777777" w:rsidTr="00AB3E55">
        <w:trPr>
          <w:trHeight w:val="864"/>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7E2AE86B" w14:textId="77777777" w:rsidR="00AB3E55" w:rsidRPr="00AB3E55" w:rsidRDefault="00AB3E55" w:rsidP="00AB3E55">
            <w:pPr>
              <w:tabs>
                <w:tab w:val="left" w:pos="1080"/>
                <w:tab w:val="right" w:pos="2520"/>
              </w:tabs>
              <w:kinsoku w:val="0"/>
              <w:overflowPunct w:val="0"/>
              <w:spacing w:after="0" w:line="240" w:lineRule="auto"/>
              <w:ind w:left="72"/>
              <w:textAlignment w:val="baseline"/>
              <w:rPr>
                <w:rFonts w:ascii="Calibri" w:eastAsia="Times New Roman" w:hAnsi="Calibri" w:cs="Calibri"/>
                <w:lang w:eastAsia="fr-FR"/>
              </w:rPr>
            </w:pPr>
            <w:r w:rsidRPr="00AB3E55">
              <w:rPr>
                <w:rFonts w:ascii="Calibri" w:eastAsia="Times New Roman" w:hAnsi="Calibri" w:cs="Calibri"/>
                <w:color w:val="984807"/>
                <w:kern w:val="24"/>
                <w:lang w:eastAsia="fr-FR"/>
              </w:rPr>
              <w:t>Invasion</w:t>
            </w:r>
            <w:r w:rsidRPr="00AB3E55">
              <w:rPr>
                <w:rFonts w:ascii="Calibri" w:eastAsia="Times New Roman" w:hAnsi="Calibri" w:cs="Calibri"/>
                <w:color w:val="984807"/>
                <w:kern w:val="24"/>
                <w:lang w:eastAsia="fr-FR"/>
              </w:rPr>
              <w:tab/>
              <w:t>présentant une</w:t>
            </w:r>
          </w:p>
          <w:p w14:paraId="4F233FFD" w14:textId="041D43E7" w:rsidR="00AB3E55" w:rsidRPr="00AB3E55" w:rsidRDefault="00AB3E55" w:rsidP="00AB3E55">
            <w:pPr>
              <w:tabs>
                <w:tab w:val="left" w:pos="1080"/>
                <w:tab w:val="right" w:pos="2520"/>
              </w:tabs>
              <w:kinsoku w:val="0"/>
              <w:overflowPunct w:val="0"/>
              <w:spacing w:after="0" w:line="240" w:lineRule="auto"/>
              <w:ind w:left="72"/>
              <w:textAlignment w:val="baseline"/>
              <w:rPr>
                <w:rFonts w:ascii="Calibri" w:eastAsia="Times New Roman" w:hAnsi="Calibri" w:cs="Calibri"/>
                <w:lang w:eastAsia="fr-FR"/>
              </w:rPr>
            </w:pPr>
            <w:r w:rsidRPr="00AB3E55">
              <w:rPr>
                <w:rFonts w:ascii="Calibri" w:eastAsia="Times New Roman" w:hAnsi="Calibri" w:cs="Calibri"/>
                <w:color w:val="984807"/>
                <w:kern w:val="24"/>
                <w:lang w:eastAsia="fr-FR"/>
              </w:rPr>
              <w:t>(</w:t>
            </w:r>
            <w:r w:rsidR="00D12C5E" w:rsidRPr="00AB3E55">
              <w:rPr>
                <w:rFonts w:ascii="Calibri" w:eastAsia="Times New Roman" w:hAnsi="Calibri" w:cs="Calibri"/>
                <w:color w:val="984807"/>
                <w:kern w:val="24"/>
                <w:lang w:eastAsia="fr-FR"/>
              </w:rPr>
              <w:t>Distribution</w:t>
            </w:r>
            <w:r w:rsidRPr="00AB3E55">
              <w:rPr>
                <w:rFonts w:ascii="Calibri" w:eastAsia="Times New Roman" w:hAnsi="Calibri" w:cs="Calibri"/>
                <w:color w:val="984807"/>
                <w:kern w:val="24"/>
                <w:lang w:eastAsia="fr-FR"/>
              </w:rPr>
              <w:t xml:space="preserve"> ponctuelle, extension réduite)</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165AB523" w14:textId="77777777" w:rsidR="00AB3E55" w:rsidRPr="00AB3E55" w:rsidRDefault="00AB3E55" w:rsidP="001F79EE">
            <w:pPr>
              <w:numPr>
                <w:ilvl w:val="0"/>
                <w:numId w:val="66"/>
              </w:numPr>
              <w:kinsoku w:val="0"/>
              <w:overflowPunct w:val="0"/>
              <w:spacing w:after="0" w:line="240" w:lineRule="auto"/>
              <w:ind w:left="792"/>
              <w:contextualSpacing/>
              <w:textAlignment w:val="baseline"/>
              <w:rPr>
                <w:rFonts w:ascii="Calibri" w:eastAsia="Times New Roman" w:hAnsi="Calibri" w:cs="Calibri"/>
                <w:lang w:eastAsia="fr-FR"/>
              </w:rPr>
            </w:pPr>
            <w:r w:rsidRPr="00AB3E55">
              <w:rPr>
                <w:rFonts w:ascii="Calibri" w:eastAsia="Times New Roman" w:hAnsi="Calibri" w:cs="Calibri"/>
                <w:color w:val="984807"/>
                <w:kern w:val="24"/>
                <w:lang w:eastAsia="fr-FR"/>
              </w:rPr>
              <w:t xml:space="preserve"> Action d’éradication envisageable</w:t>
            </w:r>
          </w:p>
          <w:p w14:paraId="30E3CC98" w14:textId="77777777" w:rsidR="00AB3E55" w:rsidRPr="00AB3E55" w:rsidRDefault="00AB3E55" w:rsidP="001F79EE">
            <w:pPr>
              <w:numPr>
                <w:ilvl w:val="0"/>
                <w:numId w:val="66"/>
              </w:numPr>
              <w:kinsoku w:val="0"/>
              <w:overflowPunct w:val="0"/>
              <w:spacing w:after="0" w:line="240" w:lineRule="auto"/>
              <w:ind w:left="792"/>
              <w:contextualSpacing/>
              <w:textAlignment w:val="baseline"/>
              <w:rPr>
                <w:rFonts w:ascii="Calibri" w:eastAsia="Times New Roman" w:hAnsi="Calibri" w:cs="Calibri"/>
                <w:lang w:eastAsia="fr-FR"/>
              </w:rPr>
            </w:pPr>
            <w:r w:rsidRPr="00AB3E55">
              <w:rPr>
                <w:rFonts w:ascii="Calibri" w:eastAsia="Times New Roman" w:hAnsi="Calibri" w:cs="Calibri"/>
                <w:color w:val="984807"/>
                <w:kern w:val="24"/>
                <w:lang w:eastAsia="fr-FR"/>
              </w:rPr>
              <w:t xml:space="preserve"> Interventions complémentaires de prévention mises en place pour éviter son retour</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2E2CA4A2" w14:textId="77777777" w:rsidR="00AB3E55" w:rsidRPr="00AB3E55" w:rsidRDefault="00AB3E55" w:rsidP="00AB3E55">
            <w:pPr>
              <w:kinsoku w:val="0"/>
              <w:overflowPunct w:val="0"/>
              <w:spacing w:after="0" w:line="240" w:lineRule="auto"/>
              <w:ind w:left="72"/>
              <w:jc w:val="center"/>
              <w:textAlignment w:val="baseline"/>
              <w:rPr>
                <w:rFonts w:ascii="Calibri" w:eastAsia="Times New Roman" w:hAnsi="Calibri" w:cs="Calibri"/>
                <w:lang w:eastAsia="fr-FR"/>
              </w:rPr>
            </w:pPr>
            <w:r w:rsidRPr="00AB3E55">
              <w:rPr>
                <w:rFonts w:ascii="Calibri" w:eastAsia="Times New Roman" w:hAnsi="Calibri" w:cs="Calibri"/>
                <w:color w:val="984807"/>
                <w:kern w:val="24"/>
                <w:lang w:eastAsia="fr-FR"/>
              </w:rPr>
              <w:t>Gravité faible</w:t>
            </w:r>
          </w:p>
          <w:p w14:paraId="01B4A449" w14:textId="77777777" w:rsidR="00AB3E55" w:rsidRPr="00AB3E55" w:rsidRDefault="00AB3E55" w:rsidP="00AB3E55">
            <w:pPr>
              <w:kinsoku w:val="0"/>
              <w:overflowPunct w:val="0"/>
              <w:spacing w:after="0" w:line="240" w:lineRule="auto"/>
              <w:ind w:left="72"/>
              <w:jc w:val="center"/>
              <w:textAlignment w:val="baseline"/>
              <w:rPr>
                <w:rFonts w:ascii="Calibri" w:eastAsia="Times New Roman" w:hAnsi="Calibri" w:cs="Calibri"/>
                <w:lang w:eastAsia="fr-FR"/>
              </w:rPr>
            </w:pPr>
            <w:r w:rsidRPr="00AB3E55">
              <w:rPr>
                <w:rFonts w:ascii="Calibri" w:eastAsia="Times New Roman" w:hAnsi="Calibri" w:cs="Calibri"/>
                <w:color w:val="984807"/>
                <w:kern w:val="24"/>
                <w:lang w:eastAsia="fr-FR"/>
              </w:rPr>
              <w:t>!</w:t>
            </w:r>
          </w:p>
        </w:tc>
      </w:tr>
      <w:tr w:rsidR="00AB3E55" w:rsidRPr="00AB3E55" w14:paraId="5C352807" w14:textId="77777777" w:rsidTr="00AB3E55">
        <w:trPr>
          <w:trHeight w:val="1152"/>
        </w:trPr>
        <w:tc>
          <w:tcPr>
            <w:tcW w:w="0" w:type="auto"/>
            <w:tcBorders>
              <w:top w:val="single" w:sz="8" w:space="0" w:color="000000"/>
              <w:left w:val="single" w:sz="8" w:space="0" w:color="000000"/>
              <w:bottom w:val="single" w:sz="8" w:space="0" w:color="000000"/>
              <w:right w:val="single" w:sz="8" w:space="0" w:color="000000"/>
            </w:tcBorders>
            <w:shd w:val="clear" w:color="auto" w:fill="F2DCDB"/>
            <w:tcMar>
              <w:top w:w="15" w:type="dxa"/>
              <w:left w:w="15" w:type="dxa"/>
              <w:bottom w:w="0" w:type="dxa"/>
              <w:right w:w="15" w:type="dxa"/>
            </w:tcMar>
            <w:hideMark/>
          </w:tcPr>
          <w:p w14:paraId="04EF82CC" w14:textId="77777777" w:rsidR="00AB3E55" w:rsidRPr="00AB3E55" w:rsidRDefault="00AB3E55" w:rsidP="00AB3E55">
            <w:pPr>
              <w:kinsoku w:val="0"/>
              <w:overflowPunct w:val="0"/>
              <w:spacing w:after="0" w:line="240" w:lineRule="auto"/>
              <w:ind w:left="115"/>
              <w:textAlignment w:val="baseline"/>
              <w:rPr>
                <w:rFonts w:ascii="Calibri" w:eastAsia="Times New Roman" w:hAnsi="Calibri" w:cs="Calibri"/>
                <w:lang w:eastAsia="fr-FR"/>
              </w:rPr>
            </w:pPr>
            <w:r w:rsidRPr="00AB3E55">
              <w:rPr>
                <w:rFonts w:ascii="Calibri" w:eastAsia="Times New Roman" w:hAnsi="Calibri" w:cs="Calibri"/>
                <w:color w:val="C00000"/>
                <w:kern w:val="24"/>
                <w:lang w:eastAsia="fr-FR"/>
              </w:rPr>
              <w:t>Invasion localement distribuée</w:t>
            </w:r>
          </w:p>
        </w:tc>
        <w:tc>
          <w:tcPr>
            <w:tcW w:w="0" w:type="auto"/>
            <w:tcBorders>
              <w:top w:val="single" w:sz="8" w:space="0" w:color="000000"/>
              <w:left w:val="single" w:sz="8" w:space="0" w:color="000000"/>
              <w:bottom w:val="single" w:sz="8" w:space="0" w:color="000000"/>
              <w:right w:val="single" w:sz="8" w:space="0" w:color="000000"/>
            </w:tcBorders>
            <w:shd w:val="clear" w:color="auto" w:fill="F2DCDB"/>
            <w:tcMar>
              <w:top w:w="15" w:type="dxa"/>
              <w:left w:w="15" w:type="dxa"/>
              <w:bottom w:w="0" w:type="dxa"/>
              <w:right w:w="15" w:type="dxa"/>
            </w:tcMar>
            <w:hideMark/>
          </w:tcPr>
          <w:p w14:paraId="737985A4" w14:textId="77777777" w:rsidR="00AB3E55" w:rsidRPr="00AB3E55" w:rsidRDefault="00AB3E55" w:rsidP="001F79EE">
            <w:pPr>
              <w:numPr>
                <w:ilvl w:val="0"/>
                <w:numId w:val="67"/>
              </w:numPr>
              <w:kinsoku w:val="0"/>
              <w:overflowPunct w:val="0"/>
              <w:spacing w:after="0" w:line="240" w:lineRule="auto"/>
              <w:ind w:left="792"/>
              <w:contextualSpacing/>
              <w:textAlignment w:val="baseline"/>
              <w:rPr>
                <w:rFonts w:ascii="Calibri" w:eastAsia="Times New Roman" w:hAnsi="Calibri" w:cs="Calibri"/>
                <w:lang w:eastAsia="fr-FR"/>
              </w:rPr>
            </w:pPr>
            <w:r w:rsidRPr="00AB3E55">
              <w:rPr>
                <w:rFonts w:ascii="Calibri" w:eastAsia="Times New Roman" w:hAnsi="Calibri" w:cs="Calibri"/>
                <w:color w:val="C00000"/>
                <w:kern w:val="24"/>
                <w:lang w:eastAsia="fr-FR"/>
              </w:rPr>
              <w:t xml:space="preserve"> Eradication impossible</w:t>
            </w:r>
          </w:p>
          <w:p w14:paraId="1808E8B5" w14:textId="77777777" w:rsidR="00AB3E55" w:rsidRPr="00AB3E55" w:rsidRDefault="00AB3E55" w:rsidP="001F79EE">
            <w:pPr>
              <w:numPr>
                <w:ilvl w:val="0"/>
                <w:numId w:val="67"/>
              </w:numPr>
              <w:kinsoku w:val="0"/>
              <w:overflowPunct w:val="0"/>
              <w:spacing w:after="0" w:line="240" w:lineRule="auto"/>
              <w:ind w:left="792"/>
              <w:contextualSpacing/>
              <w:textAlignment w:val="baseline"/>
              <w:rPr>
                <w:rFonts w:ascii="Calibri" w:eastAsia="Times New Roman" w:hAnsi="Calibri" w:cs="Calibri"/>
                <w:lang w:eastAsia="fr-FR"/>
              </w:rPr>
            </w:pPr>
            <w:r w:rsidRPr="00AB3E55">
              <w:rPr>
                <w:rFonts w:ascii="Calibri" w:eastAsia="Times New Roman" w:hAnsi="Calibri" w:cs="Calibri"/>
                <w:color w:val="C00000"/>
                <w:kern w:val="24"/>
                <w:lang w:eastAsia="fr-FR"/>
              </w:rPr>
              <w:t xml:space="preserve"> Action de contrôle à privilégier</w:t>
            </w:r>
          </w:p>
          <w:p w14:paraId="28D42B91" w14:textId="77777777" w:rsidR="00AB3E55" w:rsidRPr="00AB3E55" w:rsidRDefault="00AB3E55" w:rsidP="001F79EE">
            <w:pPr>
              <w:numPr>
                <w:ilvl w:val="0"/>
                <w:numId w:val="67"/>
              </w:numPr>
              <w:kinsoku w:val="0"/>
              <w:overflowPunct w:val="0"/>
              <w:spacing w:after="0" w:line="240" w:lineRule="auto"/>
              <w:ind w:left="792"/>
              <w:contextualSpacing/>
              <w:textAlignment w:val="baseline"/>
              <w:rPr>
                <w:rFonts w:ascii="Calibri" w:eastAsia="Times New Roman" w:hAnsi="Calibri" w:cs="Calibri"/>
                <w:lang w:eastAsia="fr-FR"/>
              </w:rPr>
            </w:pPr>
            <w:r w:rsidRPr="00AB3E55">
              <w:rPr>
                <w:rFonts w:ascii="Calibri" w:eastAsia="Times New Roman" w:hAnsi="Calibri" w:cs="Calibri"/>
                <w:color w:val="C00000"/>
                <w:kern w:val="24"/>
                <w:lang w:eastAsia="fr-FR"/>
              </w:rPr>
              <w:t xml:space="preserve"> Limitation de la progression de l’espèce par un contrôle des fronts de colonisation</w:t>
            </w:r>
          </w:p>
        </w:tc>
        <w:tc>
          <w:tcPr>
            <w:tcW w:w="0" w:type="auto"/>
            <w:tcBorders>
              <w:top w:val="single" w:sz="8" w:space="0" w:color="000000"/>
              <w:left w:val="single" w:sz="8" w:space="0" w:color="000000"/>
              <w:bottom w:val="single" w:sz="8" w:space="0" w:color="000000"/>
              <w:right w:val="single" w:sz="8" w:space="0" w:color="000000"/>
            </w:tcBorders>
            <w:shd w:val="clear" w:color="auto" w:fill="F2DCDB"/>
            <w:tcMar>
              <w:top w:w="15" w:type="dxa"/>
              <w:left w:w="15" w:type="dxa"/>
              <w:bottom w:w="0" w:type="dxa"/>
              <w:right w:w="15" w:type="dxa"/>
            </w:tcMar>
            <w:vAlign w:val="center"/>
            <w:hideMark/>
          </w:tcPr>
          <w:p w14:paraId="6E981BE9" w14:textId="77777777" w:rsidR="00AB3E55" w:rsidRPr="00AB3E55" w:rsidRDefault="00AB3E55" w:rsidP="00AB3E55">
            <w:pPr>
              <w:tabs>
                <w:tab w:val="left" w:pos="1008"/>
                <w:tab w:val="left" w:pos="1368"/>
                <w:tab w:val="left" w:pos="1655"/>
                <w:tab w:val="left" w:pos="2735"/>
                <w:tab w:val="left" w:pos="3095"/>
                <w:tab w:val="left" w:pos="3888"/>
                <w:tab w:val="right" w:pos="4463"/>
              </w:tabs>
              <w:kinsoku w:val="0"/>
              <w:overflowPunct w:val="0"/>
              <w:spacing w:after="0" w:line="240" w:lineRule="auto"/>
              <w:ind w:left="72"/>
              <w:jc w:val="center"/>
              <w:textAlignment w:val="baseline"/>
              <w:rPr>
                <w:rFonts w:ascii="Calibri" w:eastAsia="Times New Roman" w:hAnsi="Calibri" w:cs="Calibri"/>
                <w:lang w:eastAsia="fr-FR"/>
              </w:rPr>
            </w:pPr>
            <w:r w:rsidRPr="00AB3E55">
              <w:rPr>
                <w:rFonts w:ascii="Calibri" w:eastAsia="Times New Roman" w:hAnsi="Calibri" w:cs="Calibri"/>
                <w:color w:val="C00000"/>
                <w:kern w:val="24"/>
                <w:lang w:eastAsia="fr-FR"/>
              </w:rPr>
              <w:t>Gravité moyenne</w:t>
            </w:r>
          </w:p>
          <w:p w14:paraId="5C73A95C" w14:textId="77777777" w:rsidR="00AB3E55" w:rsidRPr="00AB3E55" w:rsidRDefault="00AB3E55" w:rsidP="00AB3E55">
            <w:pPr>
              <w:tabs>
                <w:tab w:val="left" w:pos="1008"/>
                <w:tab w:val="left" w:pos="1368"/>
                <w:tab w:val="left" w:pos="1655"/>
                <w:tab w:val="left" w:pos="2735"/>
                <w:tab w:val="left" w:pos="3095"/>
                <w:tab w:val="left" w:pos="3888"/>
                <w:tab w:val="right" w:pos="4463"/>
              </w:tabs>
              <w:kinsoku w:val="0"/>
              <w:overflowPunct w:val="0"/>
              <w:spacing w:after="0" w:line="240" w:lineRule="auto"/>
              <w:ind w:left="72"/>
              <w:jc w:val="center"/>
              <w:textAlignment w:val="baseline"/>
              <w:rPr>
                <w:rFonts w:ascii="Calibri" w:eastAsia="Times New Roman" w:hAnsi="Calibri" w:cs="Calibri"/>
                <w:lang w:eastAsia="fr-FR"/>
              </w:rPr>
            </w:pPr>
            <w:r w:rsidRPr="00AB3E55">
              <w:rPr>
                <w:rFonts w:ascii="Calibri" w:eastAsia="Times New Roman" w:hAnsi="Calibri" w:cs="Calibri"/>
                <w:color w:val="C00000"/>
                <w:kern w:val="24"/>
                <w:lang w:eastAsia="fr-FR"/>
              </w:rPr>
              <w:t>!!</w:t>
            </w:r>
          </w:p>
        </w:tc>
      </w:tr>
      <w:tr w:rsidR="00AB3E55" w:rsidRPr="00AB3E55" w14:paraId="56D08CE1" w14:textId="77777777" w:rsidTr="00AB3E55">
        <w:trPr>
          <w:trHeight w:val="2016"/>
        </w:trPr>
        <w:tc>
          <w:tcPr>
            <w:tcW w:w="0" w:type="auto"/>
            <w:tcBorders>
              <w:top w:val="single" w:sz="8" w:space="0" w:color="000000"/>
              <w:left w:val="single" w:sz="8" w:space="0" w:color="000000"/>
              <w:bottom w:val="single" w:sz="8" w:space="0" w:color="000000"/>
              <w:right w:val="single" w:sz="8" w:space="0" w:color="000000"/>
            </w:tcBorders>
            <w:shd w:val="clear" w:color="auto" w:fill="E6B9B8"/>
            <w:tcMar>
              <w:top w:w="15" w:type="dxa"/>
              <w:left w:w="15" w:type="dxa"/>
              <w:bottom w:w="0" w:type="dxa"/>
              <w:right w:w="15" w:type="dxa"/>
            </w:tcMar>
            <w:hideMark/>
          </w:tcPr>
          <w:p w14:paraId="7E4D8D2D" w14:textId="77777777" w:rsidR="00AB3E55" w:rsidRPr="00AB3E55" w:rsidRDefault="00AB3E55" w:rsidP="00AB3E55">
            <w:pPr>
              <w:kinsoku w:val="0"/>
              <w:overflowPunct w:val="0"/>
              <w:spacing w:after="0" w:line="240" w:lineRule="auto"/>
              <w:ind w:left="115"/>
              <w:textAlignment w:val="baseline"/>
              <w:rPr>
                <w:rFonts w:ascii="Calibri" w:eastAsia="Times New Roman" w:hAnsi="Calibri" w:cs="Calibri"/>
                <w:lang w:eastAsia="fr-FR"/>
              </w:rPr>
            </w:pPr>
            <w:r w:rsidRPr="00AB3E55">
              <w:rPr>
                <w:rFonts w:ascii="Calibri" w:eastAsia="Times New Roman" w:hAnsi="Calibri" w:cs="Calibri"/>
                <w:color w:val="FF0000"/>
                <w:kern w:val="24"/>
                <w:lang w:eastAsia="fr-FR"/>
              </w:rPr>
              <w:t>Invasion largement distribuée</w:t>
            </w:r>
          </w:p>
        </w:tc>
        <w:tc>
          <w:tcPr>
            <w:tcW w:w="0" w:type="auto"/>
            <w:tcBorders>
              <w:top w:val="single" w:sz="8" w:space="0" w:color="000000"/>
              <w:left w:val="single" w:sz="8" w:space="0" w:color="000000"/>
              <w:bottom w:val="single" w:sz="8" w:space="0" w:color="000000"/>
              <w:right w:val="single" w:sz="8" w:space="0" w:color="000000"/>
            </w:tcBorders>
            <w:shd w:val="clear" w:color="auto" w:fill="E6B9B8"/>
            <w:tcMar>
              <w:top w:w="15" w:type="dxa"/>
              <w:left w:w="15" w:type="dxa"/>
              <w:bottom w:w="0" w:type="dxa"/>
              <w:right w:w="15" w:type="dxa"/>
            </w:tcMar>
            <w:hideMark/>
          </w:tcPr>
          <w:p w14:paraId="002DE220" w14:textId="77777777" w:rsidR="00AB3E55" w:rsidRPr="00AB3E55" w:rsidRDefault="00AB3E55" w:rsidP="001F79EE">
            <w:pPr>
              <w:numPr>
                <w:ilvl w:val="0"/>
                <w:numId w:val="68"/>
              </w:numPr>
              <w:kinsoku w:val="0"/>
              <w:overflowPunct w:val="0"/>
              <w:spacing w:after="0" w:line="240" w:lineRule="auto"/>
              <w:ind w:left="792"/>
              <w:contextualSpacing/>
              <w:textAlignment w:val="baseline"/>
              <w:rPr>
                <w:rFonts w:ascii="Calibri" w:eastAsia="Times New Roman" w:hAnsi="Calibri" w:cs="Calibri"/>
                <w:lang w:eastAsia="fr-FR"/>
              </w:rPr>
            </w:pPr>
            <w:r w:rsidRPr="00AB3E55">
              <w:rPr>
                <w:rFonts w:ascii="Calibri" w:eastAsia="Times New Roman" w:hAnsi="Calibri" w:cs="Calibri"/>
                <w:color w:val="FF0000"/>
                <w:kern w:val="24"/>
                <w:lang w:eastAsia="fr-FR"/>
              </w:rPr>
              <w:t xml:space="preserve"> Eradication impossible</w:t>
            </w:r>
          </w:p>
          <w:p w14:paraId="7B4892F4" w14:textId="77777777" w:rsidR="00AB3E55" w:rsidRPr="00AB3E55" w:rsidRDefault="00AB3E55" w:rsidP="001F79EE">
            <w:pPr>
              <w:numPr>
                <w:ilvl w:val="0"/>
                <w:numId w:val="68"/>
              </w:numPr>
              <w:kinsoku w:val="0"/>
              <w:overflowPunct w:val="0"/>
              <w:spacing w:after="0" w:line="240" w:lineRule="auto"/>
              <w:ind w:left="792"/>
              <w:contextualSpacing/>
              <w:textAlignment w:val="baseline"/>
              <w:rPr>
                <w:rFonts w:ascii="Calibri" w:eastAsia="Times New Roman" w:hAnsi="Calibri" w:cs="Calibri"/>
                <w:lang w:eastAsia="fr-FR"/>
              </w:rPr>
            </w:pPr>
            <w:r w:rsidRPr="00AB3E55">
              <w:rPr>
                <w:rFonts w:ascii="Calibri" w:eastAsia="Times New Roman" w:hAnsi="Calibri" w:cs="Calibri"/>
                <w:color w:val="FF0000"/>
                <w:kern w:val="24"/>
                <w:lang w:eastAsia="fr-FR"/>
              </w:rPr>
              <w:t xml:space="preserve"> Action de contrôle à privilégier</w:t>
            </w:r>
          </w:p>
          <w:p w14:paraId="2A3A96BA" w14:textId="77777777" w:rsidR="00AB3E55" w:rsidRPr="00AB3E55" w:rsidRDefault="00AB3E55" w:rsidP="001F79EE">
            <w:pPr>
              <w:numPr>
                <w:ilvl w:val="0"/>
                <w:numId w:val="68"/>
              </w:numPr>
              <w:kinsoku w:val="0"/>
              <w:overflowPunct w:val="0"/>
              <w:spacing w:after="0" w:line="240" w:lineRule="auto"/>
              <w:ind w:left="792"/>
              <w:contextualSpacing/>
              <w:textAlignment w:val="baseline"/>
              <w:rPr>
                <w:rFonts w:ascii="Calibri" w:eastAsia="Times New Roman" w:hAnsi="Calibri" w:cs="Calibri"/>
                <w:lang w:eastAsia="fr-FR"/>
              </w:rPr>
            </w:pPr>
            <w:r w:rsidRPr="00AB3E55">
              <w:rPr>
                <w:rFonts w:ascii="Calibri" w:eastAsia="Times New Roman" w:hAnsi="Calibri" w:cs="Calibri"/>
                <w:color w:val="FF0000"/>
                <w:kern w:val="24"/>
                <w:lang w:eastAsia="fr-FR"/>
              </w:rPr>
              <w:t xml:space="preserve"> Gestion de manière continue de l’espèce</w:t>
            </w:r>
          </w:p>
          <w:p w14:paraId="24B517A4" w14:textId="77777777" w:rsidR="00AB3E55" w:rsidRPr="00AB3E55" w:rsidRDefault="00AB3E55" w:rsidP="001F79EE">
            <w:pPr>
              <w:numPr>
                <w:ilvl w:val="0"/>
                <w:numId w:val="68"/>
              </w:numPr>
              <w:kinsoku w:val="0"/>
              <w:overflowPunct w:val="0"/>
              <w:spacing w:after="0" w:line="240" w:lineRule="auto"/>
              <w:ind w:left="792"/>
              <w:contextualSpacing/>
              <w:textAlignment w:val="baseline"/>
              <w:rPr>
                <w:rFonts w:ascii="Calibri" w:eastAsia="Times New Roman" w:hAnsi="Calibri" w:cs="Calibri"/>
                <w:lang w:eastAsia="fr-FR"/>
              </w:rPr>
            </w:pPr>
            <w:r w:rsidRPr="00AB3E55">
              <w:rPr>
                <w:rFonts w:ascii="Calibri" w:eastAsia="Times New Roman" w:hAnsi="Calibri" w:cs="Calibri"/>
                <w:color w:val="FF0000"/>
                <w:kern w:val="24"/>
                <w:lang w:eastAsia="fr-FR"/>
              </w:rPr>
              <w:t xml:space="preserve"> Réduction des populations à des</w:t>
            </w:r>
            <w:r w:rsidRPr="00AB3E55">
              <w:rPr>
                <w:rFonts w:ascii="Calibri" w:eastAsia="Times New Roman" w:hAnsi="Calibri" w:cs="Calibri"/>
                <w:color w:val="FF0000"/>
                <w:kern w:val="24"/>
                <w:lang w:eastAsia="fr-FR"/>
              </w:rPr>
              <w:tab/>
              <w:t xml:space="preserve"> niveaux de nuisances acceptables ou non significatifs</w:t>
            </w:r>
          </w:p>
          <w:p w14:paraId="5258BFA6" w14:textId="77777777" w:rsidR="00AB3E55" w:rsidRPr="00AB3E55" w:rsidRDefault="00AB3E55" w:rsidP="001F79EE">
            <w:pPr>
              <w:numPr>
                <w:ilvl w:val="0"/>
                <w:numId w:val="68"/>
              </w:numPr>
              <w:kinsoku w:val="0"/>
              <w:overflowPunct w:val="0"/>
              <w:spacing w:after="0" w:line="240" w:lineRule="auto"/>
              <w:ind w:left="792"/>
              <w:contextualSpacing/>
              <w:textAlignment w:val="baseline"/>
              <w:rPr>
                <w:rFonts w:ascii="Calibri" w:eastAsia="Times New Roman" w:hAnsi="Calibri" w:cs="Calibri"/>
                <w:lang w:eastAsia="fr-FR"/>
              </w:rPr>
            </w:pPr>
            <w:r w:rsidRPr="00AB3E55">
              <w:rPr>
                <w:rFonts w:ascii="Calibri" w:eastAsia="Times New Roman" w:hAnsi="Calibri" w:cs="Calibri"/>
                <w:color w:val="FF0000"/>
                <w:kern w:val="24"/>
                <w:lang w:eastAsia="fr-FR"/>
              </w:rPr>
              <w:t xml:space="preserve"> Interventions devant s’intégrer à la gestion courante de l’espace</w:t>
            </w:r>
          </w:p>
          <w:p w14:paraId="31BD31AD" w14:textId="77777777" w:rsidR="00AB3E55" w:rsidRPr="00AB3E55" w:rsidRDefault="00AB3E55" w:rsidP="001F79EE">
            <w:pPr>
              <w:numPr>
                <w:ilvl w:val="0"/>
                <w:numId w:val="68"/>
              </w:numPr>
              <w:kinsoku w:val="0"/>
              <w:overflowPunct w:val="0"/>
              <w:spacing w:after="0" w:line="240" w:lineRule="auto"/>
              <w:ind w:left="792"/>
              <w:contextualSpacing/>
              <w:textAlignment w:val="baseline"/>
              <w:rPr>
                <w:rFonts w:ascii="Calibri" w:eastAsia="Times New Roman" w:hAnsi="Calibri" w:cs="Calibri"/>
                <w:lang w:eastAsia="fr-FR"/>
              </w:rPr>
            </w:pPr>
            <w:r w:rsidRPr="00AB3E55">
              <w:rPr>
                <w:rFonts w:ascii="Calibri" w:eastAsia="Times New Roman" w:hAnsi="Calibri" w:cs="Calibri"/>
                <w:color w:val="FF0000"/>
                <w:kern w:val="24"/>
                <w:lang w:eastAsia="fr-FR"/>
              </w:rPr>
              <w:t xml:space="preserve"> Opération de lutte active sur les sites à enjeux</w:t>
            </w:r>
          </w:p>
        </w:tc>
        <w:tc>
          <w:tcPr>
            <w:tcW w:w="0" w:type="auto"/>
            <w:tcBorders>
              <w:top w:val="single" w:sz="8" w:space="0" w:color="000000"/>
              <w:left w:val="single" w:sz="8" w:space="0" w:color="000000"/>
              <w:bottom w:val="single" w:sz="8" w:space="0" w:color="000000"/>
              <w:right w:val="single" w:sz="8" w:space="0" w:color="000000"/>
            </w:tcBorders>
            <w:shd w:val="clear" w:color="auto" w:fill="E6B9B8"/>
            <w:tcMar>
              <w:top w:w="15" w:type="dxa"/>
              <w:left w:w="15" w:type="dxa"/>
              <w:bottom w:w="0" w:type="dxa"/>
              <w:right w:w="15" w:type="dxa"/>
            </w:tcMar>
            <w:vAlign w:val="center"/>
            <w:hideMark/>
          </w:tcPr>
          <w:p w14:paraId="422782AE" w14:textId="77777777" w:rsidR="00AB3E55" w:rsidRPr="00AB3E55" w:rsidRDefault="00AB3E55" w:rsidP="00AB3E55">
            <w:pPr>
              <w:kinsoku w:val="0"/>
              <w:overflowPunct w:val="0"/>
              <w:spacing w:after="0" w:line="240" w:lineRule="auto"/>
              <w:ind w:left="72"/>
              <w:jc w:val="center"/>
              <w:textAlignment w:val="baseline"/>
              <w:rPr>
                <w:rFonts w:ascii="Calibri" w:eastAsia="Times New Roman" w:hAnsi="Calibri" w:cs="Calibri"/>
                <w:lang w:eastAsia="fr-FR"/>
              </w:rPr>
            </w:pPr>
            <w:r w:rsidRPr="00AB3E55">
              <w:rPr>
                <w:rFonts w:ascii="Calibri" w:eastAsia="Times New Roman" w:hAnsi="Calibri" w:cs="Calibri"/>
                <w:color w:val="FF0000"/>
                <w:kern w:val="24"/>
                <w:lang w:eastAsia="fr-FR"/>
              </w:rPr>
              <w:t>Gravité forte</w:t>
            </w:r>
          </w:p>
          <w:p w14:paraId="00CD15F8" w14:textId="77777777" w:rsidR="00AB3E55" w:rsidRPr="00AB3E55" w:rsidRDefault="00AB3E55" w:rsidP="00AB3E55">
            <w:pPr>
              <w:kinsoku w:val="0"/>
              <w:overflowPunct w:val="0"/>
              <w:spacing w:after="0" w:line="240" w:lineRule="auto"/>
              <w:ind w:left="72"/>
              <w:jc w:val="center"/>
              <w:textAlignment w:val="baseline"/>
              <w:rPr>
                <w:rFonts w:ascii="Calibri" w:eastAsia="Times New Roman" w:hAnsi="Calibri" w:cs="Calibri"/>
                <w:lang w:eastAsia="fr-FR"/>
              </w:rPr>
            </w:pPr>
            <w:r w:rsidRPr="00AB3E55">
              <w:rPr>
                <w:rFonts w:ascii="Calibri" w:eastAsia="Times New Roman" w:hAnsi="Calibri" w:cs="Calibri"/>
                <w:color w:val="FF0000"/>
                <w:kern w:val="24"/>
                <w:lang w:eastAsia="fr-FR"/>
              </w:rPr>
              <w:t>!!!</w:t>
            </w:r>
          </w:p>
        </w:tc>
      </w:tr>
    </w:tbl>
    <w:p w14:paraId="280B9EEB" w14:textId="77777777" w:rsidR="00AB3E55" w:rsidRDefault="00AB3E55" w:rsidP="00AB3E55">
      <w:pPr>
        <w:spacing w:after="0" w:line="240" w:lineRule="auto"/>
        <w:jc w:val="center"/>
      </w:pPr>
    </w:p>
    <w:p w14:paraId="79F8BF12" w14:textId="325D7D00" w:rsidR="00405E91" w:rsidRDefault="004921CC" w:rsidP="00C878F5">
      <w:pPr>
        <w:spacing w:after="0" w:line="240" w:lineRule="auto"/>
        <w:jc w:val="center"/>
      </w:pPr>
      <w:r>
        <w:rPr>
          <w:noProof/>
        </w:rPr>
        <w:drawing>
          <wp:inline distT="0" distB="0" distL="0" distR="0" wp14:anchorId="7C0839B4" wp14:editId="0E48D653">
            <wp:extent cx="6620510" cy="3604895"/>
            <wp:effectExtent l="0" t="0" r="8890" b="0"/>
            <wp:docPr id="156688" name="Image 156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503">
                      <a:extLst>
                        <a:ext uri="{28A0092B-C50C-407E-A947-70E740481C1C}">
                          <a14:useLocalDpi xmlns:a14="http://schemas.microsoft.com/office/drawing/2010/main" val="0"/>
                        </a:ext>
                      </a:extLst>
                    </a:blip>
                    <a:srcRect/>
                    <a:stretch>
                      <a:fillRect/>
                    </a:stretch>
                  </pic:blipFill>
                  <pic:spPr bwMode="auto">
                    <a:xfrm>
                      <a:off x="0" y="0"/>
                      <a:ext cx="6620510" cy="3604895"/>
                    </a:xfrm>
                    <a:prstGeom prst="rect">
                      <a:avLst/>
                    </a:prstGeom>
                    <a:noFill/>
                    <a:ln>
                      <a:noFill/>
                    </a:ln>
                  </pic:spPr>
                </pic:pic>
              </a:graphicData>
            </a:graphic>
          </wp:inline>
        </w:drawing>
      </w:r>
    </w:p>
    <w:p w14:paraId="479143D0" w14:textId="79C49A3A" w:rsidR="00C878F5" w:rsidRDefault="00C878F5" w:rsidP="00C878F5">
      <w:pPr>
        <w:spacing w:after="0" w:line="240" w:lineRule="auto"/>
        <w:jc w:val="center"/>
      </w:pPr>
      <w:r>
        <w:t>Image de l’invasion pour les invasives, en utilisant l’image choc du feu qui se propage et qu’on ne peut plus éteindre.</w:t>
      </w:r>
    </w:p>
    <w:p w14:paraId="351300B5" w14:textId="77777777" w:rsidR="00110464" w:rsidRDefault="00110464" w:rsidP="007D7307">
      <w:pPr>
        <w:spacing w:after="0" w:line="240" w:lineRule="auto"/>
        <w:jc w:val="both"/>
      </w:pPr>
    </w:p>
    <w:p w14:paraId="30EF43F9" w14:textId="3991779B" w:rsidR="009C7E73" w:rsidRDefault="00AC5B1F" w:rsidP="00AC5B1F">
      <w:pPr>
        <w:pStyle w:val="Titre1"/>
      </w:pPr>
      <w:bookmarkStart w:id="422" w:name="_Toc139181711"/>
      <w:r w:rsidRPr="00AC5B1F">
        <w:t>Annexe : Stratégies</w:t>
      </w:r>
      <w:r w:rsidR="00110464">
        <w:t xml:space="preserve"> palliatives</w:t>
      </w:r>
      <w:r w:rsidRPr="00AC5B1F">
        <w:t xml:space="preserve"> de lutte contre les plantes invasives</w:t>
      </w:r>
      <w:bookmarkEnd w:id="422"/>
    </w:p>
    <w:p w14:paraId="2B386FBD" w14:textId="2F237F0D" w:rsidR="00AC5B1F" w:rsidRDefault="00AC5B1F" w:rsidP="007D7307">
      <w:pPr>
        <w:spacing w:after="0" w:line="240" w:lineRule="auto"/>
        <w:jc w:val="both"/>
      </w:pPr>
    </w:p>
    <w:p w14:paraId="25EE884F" w14:textId="3EBDBB96" w:rsidR="00110464" w:rsidRDefault="00110464" w:rsidP="00110464">
      <w:pPr>
        <w:spacing w:after="0" w:line="240" w:lineRule="auto"/>
        <w:jc w:val="both"/>
      </w:pPr>
      <w:r w:rsidRPr="00110464">
        <w:t>Les stratégies de luttes, exposées ci-après, concernent</w:t>
      </w:r>
      <w:r>
        <w:t xml:space="preserve"> surtout</w:t>
      </w:r>
      <w:r w:rsidRPr="00110464">
        <w:t xml:space="preserve"> les plantes </w:t>
      </w:r>
      <w:r w:rsidRPr="00110464">
        <w:rPr>
          <w:i/>
          <w:iCs/>
        </w:rPr>
        <w:t>aquatiques</w:t>
      </w:r>
      <w:r w:rsidRPr="00110464">
        <w:t xml:space="preserve"> invasives</w:t>
      </w:r>
      <w:r>
        <w:t>.</w:t>
      </w:r>
    </w:p>
    <w:p w14:paraId="22F1EE8E" w14:textId="77777777" w:rsidR="00110464" w:rsidRPr="00110464" w:rsidRDefault="00110464" w:rsidP="00110464">
      <w:pPr>
        <w:spacing w:after="0" w:line="240" w:lineRule="auto"/>
        <w:jc w:val="both"/>
      </w:pPr>
    </w:p>
    <w:p w14:paraId="4AEFFA91" w14:textId="365981FF" w:rsidR="00110464" w:rsidRPr="00110464" w:rsidRDefault="00000000" w:rsidP="00110464">
      <w:pPr>
        <w:spacing w:after="0" w:line="240" w:lineRule="auto"/>
        <w:jc w:val="both"/>
      </w:pPr>
      <w:hyperlink r:id="rId4504" w:history="1">
        <w:r w:rsidR="00110464" w:rsidRPr="00110464">
          <w:rPr>
            <w:rStyle w:val="Lienhypertexte"/>
          </w:rPr>
          <w:t>Lutte chimique</w:t>
        </w:r>
      </w:hyperlink>
    </w:p>
    <w:p w14:paraId="736C6B88" w14:textId="0FA09DBB" w:rsidR="00110464" w:rsidRDefault="00110464" w:rsidP="00110464">
      <w:pPr>
        <w:spacing w:after="0" w:line="240" w:lineRule="auto"/>
        <w:jc w:val="both"/>
      </w:pPr>
      <w:r w:rsidRPr="00110464">
        <w:t>Il n’est plus à démontrer que les herbicides (glyphosate …) ont un impact non négligeable sur la biodiversité indigène. Et souvent, les plantes invasives reviennent.</w:t>
      </w:r>
    </w:p>
    <w:p w14:paraId="1FCFBEBD" w14:textId="71C2AEE9" w:rsidR="00110464" w:rsidRDefault="00110464" w:rsidP="00110464">
      <w:pPr>
        <w:spacing w:after="0" w:line="240" w:lineRule="auto"/>
        <w:jc w:val="both"/>
      </w:pPr>
    </w:p>
    <w:p w14:paraId="54BD111C" w14:textId="77777777" w:rsidR="00D12C5E" w:rsidRPr="00110464" w:rsidRDefault="00D12C5E" w:rsidP="00110464">
      <w:pPr>
        <w:spacing w:after="0" w:line="240" w:lineRule="auto"/>
        <w:jc w:val="both"/>
      </w:pPr>
    </w:p>
    <w:p w14:paraId="21663EF6" w14:textId="22DCE742" w:rsidR="00110464" w:rsidRPr="00110464" w:rsidRDefault="00000000" w:rsidP="00110464">
      <w:pPr>
        <w:spacing w:after="0" w:line="240" w:lineRule="auto"/>
        <w:jc w:val="both"/>
      </w:pPr>
      <w:hyperlink r:id="rId4505" w:history="1">
        <w:r w:rsidR="00110464" w:rsidRPr="00110464">
          <w:rPr>
            <w:rStyle w:val="Lienhypertexte"/>
          </w:rPr>
          <w:t>Lutte biologique</w:t>
        </w:r>
      </w:hyperlink>
    </w:p>
    <w:p w14:paraId="6A8A3543" w14:textId="73DF62AB" w:rsidR="00110464" w:rsidRDefault="00110464" w:rsidP="00110464">
      <w:pPr>
        <w:spacing w:after="0" w:line="240" w:lineRule="auto"/>
        <w:jc w:val="both"/>
      </w:pPr>
      <w:r w:rsidRPr="00110464">
        <w:t>Il existe des obstacles non négligeables à l’utilisation d’agents de lutte biologique en Europe. Ainsi, une grande majorité des agents de lutte est originaire des continents origines des espèces invasives, et représente un risque en termes d’invasion</w:t>
      </w:r>
      <w:r>
        <w:t xml:space="preserve"> [dans leur nouvel environnement]</w:t>
      </w:r>
      <w:r w:rsidRPr="00110464">
        <w:t xml:space="preserve">.  </w:t>
      </w:r>
      <w:r>
        <w:t>N</w:t>
      </w:r>
      <w:r w:rsidRPr="00110464">
        <w:t>éanmoins</w:t>
      </w:r>
      <w:r>
        <w:t>, i</w:t>
      </w:r>
      <w:r w:rsidRPr="00110464">
        <w:t>l ne faut pas exclure que l’utilisation d’un agent de lutte biologique puisse offrir une solution efficace à l’avenir pour lutter contre certaines espèces.</w:t>
      </w:r>
    </w:p>
    <w:p w14:paraId="305871AD" w14:textId="77777777" w:rsidR="00110464" w:rsidRPr="00110464" w:rsidRDefault="00110464" w:rsidP="00110464">
      <w:pPr>
        <w:spacing w:after="0" w:line="240" w:lineRule="auto"/>
        <w:jc w:val="both"/>
      </w:pPr>
    </w:p>
    <w:p w14:paraId="532A39A2" w14:textId="4C0DB5B7" w:rsidR="00110464" w:rsidRPr="00110464" w:rsidRDefault="00000000" w:rsidP="00110464">
      <w:pPr>
        <w:spacing w:after="0" w:line="240" w:lineRule="auto"/>
        <w:jc w:val="both"/>
      </w:pPr>
      <w:hyperlink r:id="rId4506" w:history="1">
        <w:r w:rsidR="00110464" w:rsidRPr="00110464">
          <w:rPr>
            <w:rStyle w:val="Lienhypertexte"/>
          </w:rPr>
          <w:t>Lutte mécanique</w:t>
        </w:r>
      </w:hyperlink>
    </w:p>
    <w:p w14:paraId="15F1E414" w14:textId="0FD22C68" w:rsidR="00110464" w:rsidRDefault="00110464" w:rsidP="00110464">
      <w:pPr>
        <w:spacing w:after="0" w:line="240" w:lineRule="auto"/>
        <w:jc w:val="both"/>
      </w:pPr>
      <w:r w:rsidRPr="00110464">
        <w:t>L’arrachage mécanique, suivi de plusieurs finitions manuelles, a permis d’éradiquer certaines espèces. L’application de ce scénario semble relativement simple, mais les réalités de terrain (inaccessibilité des sites pour les engins lourds, difficulté d’observer l’espèce) peuvent fortement en compromettre la faisabilité. Une autre méthode de lutte mécanique a montré un niveau d’efficacité partiel, il s’agit de l’excavation des berges à l’aide d’une déplaqueuse de gazon ou « </w:t>
      </w:r>
      <w:r w:rsidRPr="00110464">
        <w:rPr>
          <w:i/>
          <w:iCs/>
        </w:rPr>
        <w:t>turf cutter </w:t>
      </w:r>
      <w:r w:rsidRPr="00110464">
        <w:t>».</w:t>
      </w:r>
    </w:p>
    <w:p w14:paraId="0CFE4D21" w14:textId="12E19912" w:rsidR="00110464" w:rsidRDefault="00110464" w:rsidP="00110464">
      <w:pPr>
        <w:spacing w:after="0" w:line="240" w:lineRule="auto"/>
        <w:jc w:val="both"/>
      </w:pPr>
    </w:p>
    <w:p w14:paraId="5A1E0192" w14:textId="42A6F763" w:rsidR="00110464" w:rsidRPr="00110464" w:rsidRDefault="00000000" w:rsidP="00110464">
      <w:pPr>
        <w:spacing w:after="0" w:line="240" w:lineRule="auto"/>
        <w:jc w:val="both"/>
      </w:pPr>
      <w:hyperlink r:id="rId4507" w:history="1">
        <w:r w:rsidR="00110464" w:rsidRPr="00110464">
          <w:rPr>
            <w:rStyle w:val="Lienhypertexte"/>
          </w:rPr>
          <w:t>Lutte environnementale</w:t>
        </w:r>
      </w:hyperlink>
    </w:p>
    <w:p w14:paraId="4C2F2EA8" w14:textId="06C465D9" w:rsidR="00110464" w:rsidRDefault="00110464" w:rsidP="00110464">
      <w:pPr>
        <w:spacing w:after="0" w:line="240" w:lineRule="auto"/>
        <w:jc w:val="both"/>
      </w:pPr>
      <w:r w:rsidRPr="00110464">
        <w:t>La mise en assec et l’inondation prolongées (5 à 9 mois) ont montré un niveau d’efficacité total pour certaines plantes aquatiques, mais dans des conditions difficilement généralisables (assèchement complet des boues, salinité élevée). Le paillage plastique  (bâche en polythène) peut étouffer la plantes, mais il faut le laisser au moins 10 ans.</w:t>
      </w:r>
    </w:p>
    <w:p w14:paraId="3783F4EC" w14:textId="77777777" w:rsidR="00110464" w:rsidRPr="00110464" w:rsidRDefault="00110464" w:rsidP="00110464">
      <w:pPr>
        <w:spacing w:after="0" w:line="240" w:lineRule="auto"/>
        <w:jc w:val="both"/>
      </w:pPr>
    </w:p>
    <w:p w14:paraId="491DBD18" w14:textId="1A6D79CB" w:rsidR="00110464" w:rsidRPr="00110464" w:rsidRDefault="00000000" w:rsidP="00110464">
      <w:pPr>
        <w:spacing w:after="0" w:line="240" w:lineRule="auto"/>
        <w:jc w:val="both"/>
      </w:pPr>
      <w:hyperlink r:id="rId4508" w:history="1">
        <w:r w:rsidR="00110464" w:rsidRPr="00110464">
          <w:rPr>
            <w:rStyle w:val="Lienhypertexte"/>
          </w:rPr>
          <w:t>Méthodes de lutte dites « Autres »</w:t>
        </w:r>
      </w:hyperlink>
    </w:p>
    <w:p w14:paraId="14EC284C" w14:textId="511FC96E" w:rsidR="00110464" w:rsidRDefault="00110464" w:rsidP="00110464">
      <w:pPr>
        <w:spacing w:after="0" w:line="240" w:lineRule="auto"/>
        <w:jc w:val="both"/>
      </w:pPr>
      <w:r w:rsidRPr="00110464">
        <w:t xml:space="preserve">Plusieurs méthodes de lutte alternatives _ </w:t>
      </w:r>
      <w:r w:rsidRPr="00110464">
        <w:rPr>
          <w:lang w:val="pt-BR"/>
        </w:rPr>
        <w:t>azote liquide, H</w:t>
      </w:r>
      <w:r w:rsidRPr="00110464">
        <w:rPr>
          <w:vertAlign w:val="subscript"/>
          <w:lang w:val="pt-BR"/>
        </w:rPr>
        <w:t>2</w:t>
      </w:r>
      <w:r w:rsidRPr="00110464">
        <w:rPr>
          <w:lang w:val="pt-BR"/>
        </w:rPr>
        <w:t>O</w:t>
      </w:r>
      <w:r w:rsidRPr="00110464">
        <w:rPr>
          <w:vertAlign w:val="subscript"/>
          <w:lang w:val="pt-BR"/>
        </w:rPr>
        <w:t>2</w:t>
      </w:r>
      <w:r w:rsidRPr="00110464">
        <w:rPr>
          <w:lang w:val="pt-BR"/>
        </w:rPr>
        <w:t>, lance-flamme, Waipuna</w:t>
      </w:r>
      <w:r w:rsidR="00EE0407">
        <w:rPr>
          <w:lang w:val="pt-BR"/>
        </w:rPr>
        <w:t>, vapeur d’eau chaude</w:t>
      </w:r>
      <w:r w:rsidRPr="00110464">
        <w:rPr>
          <w:lang w:val="pt-BR"/>
        </w:rPr>
        <w:t xml:space="preserve"> </w:t>
      </w:r>
      <w:r w:rsidRPr="00110464">
        <w:t xml:space="preserve">_ ont été aussi utilisées mais n’ont donné que des niveaux d’efficacité modérés sur certaines plantes. </w:t>
      </w:r>
      <w:r>
        <w:t>L</w:t>
      </w:r>
      <w:r w:rsidRPr="00110464">
        <w:t>es recherches plus approfondies sont nécessaires pour connaitre le réel potentiel de ces méthodes.</w:t>
      </w:r>
    </w:p>
    <w:p w14:paraId="31392BF5" w14:textId="77777777" w:rsidR="00110464" w:rsidRPr="00110464" w:rsidRDefault="00110464" w:rsidP="00110464">
      <w:pPr>
        <w:spacing w:after="0" w:line="240" w:lineRule="auto"/>
        <w:jc w:val="both"/>
      </w:pPr>
    </w:p>
    <w:p w14:paraId="42D2B8A3" w14:textId="74E618A4" w:rsidR="00110464" w:rsidRPr="00110464" w:rsidRDefault="00000000" w:rsidP="00110464">
      <w:pPr>
        <w:spacing w:after="0" w:line="240" w:lineRule="auto"/>
        <w:jc w:val="both"/>
      </w:pPr>
      <w:hyperlink r:id="rId4509" w:history="1">
        <w:r w:rsidR="00110464" w:rsidRPr="00110464">
          <w:rPr>
            <w:rStyle w:val="Lienhypertexte"/>
          </w:rPr>
          <w:t>Combinaison de méthodes de lutte</w:t>
        </w:r>
      </w:hyperlink>
    </w:p>
    <w:p w14:paraId="29021491" w14:textId="3A4C38C0" w:rsidR="00110464" w:rsidRDefault="00110464" w:rsidP="00110464">
      <w:pPr>
        <w:spacing w:after="0" w:line="240" w:lineRule="auto"/>
        <w:jc w:val="both"/>
      </w:pPr>
      <w:r w:rsidRPr="00110464">
        <w:t>Une étude (UNIMA, 2001) rapporte que la combinaison d’un traitement chimique, d’un arrachage mécanique et d’une finition manuelle est le scénario de gestion donnant un niveau d’efficacité partiel le plus élevé sur certaines plantes.</w:t>
      </w:r>
    </w:p>
    <w:p w14:paraId="1345CCE6" w14:textId="77D24587" w:rsidR="00110464" w:rsidRDefault="00110464" w:rsidP="00110464">
      <w:pPr>
        <w:spacing w:after="0" w:line="240" w:lineRule="auto"/>
        <w:jc w:val="both"/>
      </w:pPr>
    </w:p>
    <w:p w14:paraId="11AE7C6B" w14:textId="19CEF420" w:rsidR="00110464" w:rsidRDefault="00110464" w:rsidP="00110464">
      <w:pPr>
        <w:spacing w:after="0" w:line="240" w:lineRule="auto"/>
      </w:pPr>
      <w:r>
        <w:t xml:space="preserve">Source : </w:t>
      </w:r>
      <w:r w:rsidRPr="00110464">
        <w:rPr>
          <w:i/>
          <w:iCs/>
        </w:rPr>
        <w:t>Efficacité des méthodes de lutte contre le développement de cinq espèces de plantes invasives amphibies : Crassula helmsii, Hydrocotyle ranunculoides, Ludwigia grandiflora, Ludwigia peploides et Myriophyllum aquaticum</w:t>
      </w:r>
      <w:r w:rsidRPr="00110464">
        <w:t xml:space="preserve">, Emmanuel Delbart, Grégory Mahy &amp; Arnaud Monty, </w:t>
      </w:r>
      <w:hyperlink r:id="rId4510" w:history="1">
        <w:r w:rsidRPr="00110464">
          <w:rPr>
            <w:rStyle w:val="Lienhypertexte"/>
          </w:rPr>
          <w:t>http://popups.ulg.ac.be/1780-4507/index.php?id=9586#tocto2n8</w:t>
        </w:r>
      </w:hyperlink>
      <w:r w:rsidRPr="00110464">
        <w:t xml:space="preserve"> </w:t>
      </w:r>
    </w:p>
    <w:p w14:paraId="33783DC7" w14:textId="26E6C014" w:rsidR="00110464" w:rsidRDefault="00110464" w:rsidP="00110464">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110464" w14:paraId="2888F8DC" w14:textId="77777777" w:rsidTr="009F0CA6">
        <w:tc>
          <w:tcPr>
            <w:tcW w:w="5208" w:type="dxa"/>
          </w:tcPr>
          <w:p w14:paraId="34DC3C4E" w14:textId="77777777" w:rsidR="00110464" w:rsidRDefault="00110464" w:rsidP="00110464">
            <w:pPr>
              <w:jc w:val="center"/>
            </w:pPr>
            <w:r w:rsidRPr="00110464">
              <w:rPr>
                <w:noProof/>
              </w:rPr>
              <w:drawing>
                <wp:inline distT="0" distB="0" distL="0" distR="0" wp14:anchorId="3D8B1A65" wp14:editId="3F7C8037">
                  <wp:extent cx="2992030" cy="1457325"/>
                  <wp:effectExtent l="0" t="0" r="0" b="0"/>
                  <wp:docPr id="156681" name="Image 10" descr="fauchage_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48" name="Image 10" descr="fauchage_ss.jpg"/>
                          <pic:cNvPicPr>
                            <a:picLocks noChangeAspect="1"/>
                          </pic:cNvPicPr>
                        </pic:nvPicPr>
                        <pic:blipFill>
                          <a:blip r:embed="rId4511">
                            <a:extLst>
                              <a:ext uri="{28A0092B-C50C-407E-A947-70E740481C1C}">
                                <a14:useLocalDpi xmlns:a14="http://schemas.microsoft.com/office/drawing/2010/main" val="0"/>
                              </a:ext>
                            </a:extLst>
                          </a:blip>
                          <a:srcRect/>
                          <a:stretch>
                            <a:fillRect/>
                          </a:stretch>
                        </pic:blipFill>
                        <pic:spPr bwMode="auto">
                          <a:xfrm>
                            <a:off x="0" y="0"/>
                            <a:ext cx="2997093" cy="1459791"/>
                          </a:xfrm>
                          <a:prstGeom prst="rect">
                            <a:avLst/>
                          </a:prstGeom>
                          <a:noFill/>
                          <a:ln>
                            <a:noFill/>
                          </a:ln>
                        </pic:spPr>
                      </pic:pic>
                    </a:graphicData>
                  </a:graphic>
                </wp:inline>
              </w:drawing>
            </w:r>
          </w:p>
          <w:p w14:paraId="2CB2F70E" w14:textId="63761C85" w:rsidR="00110464" w:rsidRDefault="00110464" w:rsidP="00110464">
            <w:pPr>
              <w:jc w:val="center"/>
            </w:pPr>
            <w:r w:rsidRPr="00110464">
              <w:t>Fauchage de l’Ambroisie</w:t>
            </w:r>
          </w:p>
        </w:tc>
        <w:tc>
          <w:tcPr>
            <w:tcW w:w="5208" w:type="dxa"/>
          </w:tcPr>
          <w:p w14:paraId="2416B086" w14:textId="77777777" w:rsidR="00110464" w:rsidRDefault="00110464" w:rsidP="00110464">
            <w:pPr>
              <w:jc w:val="center"/>
            </w:pPr>
            <w:r w:rsidRPr="00110464">
              <w:rPr>
                <w:noProof/>
              </w:rPr>
              <w:drawing>
                <wp:inline distT="0" distB="0" distL="0" distR="0" wp14:anchorId="5E5602B6" wp14:editId="0C1CBCF1">
                  <wp:extent cx="2362200" cy="1762565"/>
                  <wp:effectExtent l="0" t="0" r="0" b="9525"/>
                  <wp:docPr id="156682" name="Image 12" descr="faucard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50" name="Image 12" descr="faucardage.jpg"/>
                          <pic:cNvPicPr>
                            <a:picLocks noChangeAspect="1"/>
                          </pic:cNvPicPr>
                        </pic:nvPicPr>
                        <pic:blipFill>
                          <a:blip r:embed="rId4512">
                            <a:extLst>
                              <a:ext uri="{28A0092B-C50C-407E-A947-70E740481C1C}">
                                <a14:useLocalDpi xmlns:a14="http://schemas.microsoft.com/office/drawing/2010/main" val="0"/>
                              </a:ext>
                            </a:extLst>
                          </a:blip>
                          <a:srcRect/>
                          <a:stretch>
                            <a:fillRect/>
                          </a:stretch>
                        </pic:blipFill>
                        <pic:spPr bwMode="auto">
                          <a:xfrm>
                            <a:off x="0" y="0"/>
                            <a:ext cx="2364947" cy="1764615"/>
                          </a:xfrm>
                          <a:prstGeom prst="rect">
                            <a:avLst/>
                          </a:prstGeom>
                          <a:noFill/>
                          <a:ln>
                            <a:noFill/>
                          </a:ln>
                        </pic:spPr>
                      </pic:pic>
                    </a:graphicData>
                  </a:graphic>
                </wp:inline>
              </w:drawing>
            </w:r>
          </w:p>
          <w:p w14:paraId="579628A0" w14:textId="77777777" w:rsidR="00110464" w:rsidRDefault="00110464" w:rsidP="00110464">
            <w:pPr>
              <w:jc w:val="center"/>
            </w:pPr>
            <w:r w:rsidRPr="00110464">
              <w:t>Faucardage (avec une faucardeuse)</w:t>
            </w:r>
            <w:r>
              <w:t> : fauchage ou arrachage d’une plante aquatique envahissante.</w:t>
            </w:r>
          </w:p>
          <w:p w14:paraId="68BCA814" w14:textId="2DA61591" w:rsidR="009F0CA6" w:rsidRDefault="009F0CA6" w:rsidP="00110464">
            <w:pPr>
              <w:jc w:val="center"/>
            </w:pPr>
          </w:p>
        </w:tc>
      </w:tr>
      <w:tr w:rsidR="00EE0407" w14:paraId="7152BE96" w14:textId="77777777" w:rsidTr="009F0CA6">
        <w:tc>
          <w:tcPr>
            <w:tcW w:w="5208" w:type="dxa"/>
          </w:tcPr>
          <w:p w14:paraId="3EFEA041" w14:textId="77777777" w:rsidR="00EE0407" w:rsidRDefault="00EE0407" w:rsidP="00110464">
            <w:pPr>
              <w:jc w:val="center"/>
            </w:pPr>
            <w:r w:rsidRPr="00EE0407">
              <w:rPr>
                <w:noProof/>
              </w:rPr>
              <w:drawing>
                <wp:inline distT="0" distB="0" distL="0" distR="0" wp14:anchorId="1D635E43" wp14:editId="0824053D">
                  <wp:extent cx="2466975" cy="1847850"/>
                  <wp:effectExtent l="0" t="0" r="9525" b="0"/>
                  <wp:docPr id="113670" name="Image 6" descr="désherbage thermiq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70" name="Image 6" descr="désherbage thermique.jpg"/>
                          <pic:cNvPicPr>
                            <a:picLocks noChangeAspect="1"/>
                          </pic:cNvPicPr>
                        </pic:nvPicPr>
                        <pic:blipFill>
                          <a:blip r:embed="rId4513">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3A1E8B8F" w14:textId="44D2D383" w:rsidR="00EE0407" w:rsidRPr="00110464" w:rsidRDefault="00EE0407" w:rsidP="00110464">
            <w:pPr>
              <w:jc w:val="center"/>
            </w:pPr>
            <w:r>
              <w:t>Désherbage thermique.</w:t>
            </w:r>
          </w:p>
        </w:tc>
        <w:tc>
          <w:tcPr>
            <w:tcW w:w="5208" w:type="dxa"/>
          </w:tcPr>
          <w:p w14:paraId="40BB53C6" w14:textId="77777777" w:rsidR="00EE0407" w:rsidRDefault="00EE0407" w:rsidP="00110464">
            <w:pPr>
              <w:jc w:val="center"/>
            </w:pPr>
            <w:r w:rsidRPr="00EE0407">
              <w:rPr>
                <w:noProof/>
              </w:rPr>
              <w:drawing>
                <wp:inline distT="0" distB="0" distL="0" distR="0" wp14:anchorId="2B7F776F" wp14:editId="6978C9B4">
                  <wp:extent cx="1866900" cy="1866900"/>
                  <wp:effectExtent l="0" t="0" r="0" b="0"/>
                  <wp:docPr id="156685" name="Image 7" descr="désherbage thermiqu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71" name="Image 7" descr="désherbage thermique2.jpg"/>
                          <pic:cNvPicPr>
                            <a:picLocks noChangeAspect="1"/>
                          </pic:cNvPicPr>
                        </pic:nvPicPr>
                        <pic:blipFill>
                          <a:blip r:embed="rId4514">
                            <a:extLst>
                              <a:ext uri="{28A0092B-C50C-407E-A947-70E740481C1C}">
                                <a14:useLocalDpi xmlns:a14="http://schemas.microsoft.com/office/drawing/2010/main" val="0"/>
                              </a:ext>
                            </a:extLst>
                          </a:blip>
                          <a:srcRect/>
                          <a:stretch>
                            <a:fillRect/>
                          </a:stretch>
                        </pic:blipFill>
                        <pic:spPr bwMode="auto">
                          <a:xfrm>
                            <a:off x="0" y="0"/>
                            <a:ext cx="1866900" cy="1866900"/>
                          </a:xfrm>
                          <a:prstGeom prst="rect">
                            <a:avLst/>
                          </a:prstGeom>
                          <a:noFill/>
                          <a:ln>
                            <a:noFill/>
                          </a:ln>
                        </pic:spPr>
                      </pic:pic>
                    </a:graphicData>
                  </a:graphic>
                </wp:inline>
              </w:drawing>
            </w:r>
          </w:p>
          <w:p w14:paraId="74098E54" w14:textId="77777777" w:rsidR="00EE0407" w:rsidRDefault="00EE0407" w:rsidP="00110464">
            <w:pPr>
              <w:jc w:val="center"/>
            </w:pPr>
            <w:r>
              <w:t>Désherbage thermique.</w:t>
            </w:r>
          </w:p>
          <w:p w14:paraId="40DCCA89" w14:textId="55A347E2" w:rsidR="009F0CA6" w:rsidRPr="00110464" w:rsidRDefault="009F0CA6" w:rsidP="00110464">
            <w:pPr>
              <w:jc w:val="center"/>
            </w:pPr>
          </w:p>
        </w:tc>
      </w:tr>
      <w:tr w:rsidR="00EE0407" w14:paraId="5F25D16D" w14:textId="77777777" w:rsidTr="009F0CA6">
        <w:tc>
          <w:tcPr>
            <w:tcW w:w="5208" w:type="dxa"/>
          </w:tcPr>
          <w:p w14:paraId="09B96211" w14:textId="77777777" w:rsidR="00EE0407" w:rsidRDefault="00EE0407" w:rsidP="00110464">
            <w:pPr>
              <w:jc w:val="center"/>
            </w:pPr>
            <w:r w:rsidRPr="00EE0407">
              <w:rPr>
                <w:noProof/>
              </w:rPr>
              <w:drawing>
                <wp:inline distT="0" distB="0" distL="0" distR="0" wp14:anchorId="0B435260" wp14:editId="30BBE825">
                  <wp:extent cx="2160588" cy="1620837"/>
                  <wp:effectExtent l="0" t="0" r="0" b="0"/>
                  <wp:docPr id="156686" name="Image 9" descr="Waipu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73" name="Image 9" descr="Waipuna.jpg"/>
                          <pic:cNvPicPr>
                            <a:picLocks noChangeAspect="1"/>
                          </pic:cNvPicPr>
                        </pic:nvPicPr>
                        <pic:blipFill>
                          <a:blip r:embed="rId4515">
                            <a:extLst>
                              <a:ext uri="{28A0092B-C50C-407E-A947-70E740481C1C}">
                                <a14:useLocalDpi xmlns:a14="http://schemas.microsoft.com/office/drawing/2010/main" val="0"/>
                              </a:ext>
                            </a:extLst>
                          </a:blip>
                          <a:srcRect/>
                          <a:stretch>
                            <a:fillRect/>
                          </a:stretch>
                        </pic:blipFill>
                        <pic:spPr bwMode="auto">
                          <a:xfrm>
                            <a:off x="0" y="0"/>
                            <a:ext cx="2160588" cy="16208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t xml:space="preserve"> </w:t>
            </w:r>
          </w:p>
          <w:p w14:paraId="195D6925" w14:textId="2C86BD6D" w:rsidR="00EE0407" w:rsidRPr="00EE0407" w:rsidRDefault="00EE0407" w:rsidP="00EE0407">
            <w:pPr>
              <w:jc w:val="center"/>
            </w:pPr>
            <w:r w:rsidRPr="00EE0407">
              <w:t xml:space="preserve">La société </w:t>
            </w:r>
            <w:r w:rsidRPr="00EE0407">
              <w:rPr>
                <w:i/>
                <w:iCs/>
              </w:rPr>
              <w:t>Waipuna</w:t>
            </w:r>
            <w:r w:rsidRPr="00EE0407">
              <w:t xml:space="preserve"> fabrique et commercialise du matériel de désherbage à </w:t>
            </w:r>
            <w:r w:rsidRPr="00EE0407">
              <w:rPr>
                <w:i/>
                <w:iCs/>
              </w:rPr>
              <w:t>mousse chaude</w:t>
            </w:r>
            <w:r w:rsidRPr="00EE0407">
              <w:t>.</w:t>
            </w:r>
          </w:p>
        </w:tc>
        <w:tc>
          <w:tcPr>
            <w:tcW w:w="5208" w:type="dxa"/>
          </w:tcPr>
          <w:p w14:paraId="1FA61610" w14:textId="77777777" w:rsidR="00EE0407" w:rsidRDefault="00EE0407" w:rsidP="00110464">
            <w:pPr>
              <w:jc w:val="center"/>
            </w:pPr>
            <w:r w:rsidRPr="00EE0407">
              <w:rPr>
                <w:noProof/>
              </w:rPr>
              <w:drawing>
                <wp:inline distT="0" distB="0" distL="0" distR="0" wp14:anchorId="2C31C1E5" wp14:editId="0BE84137">
                  <wp:extent cx="2647950" cy="1724025"/>
                  <wp:effectExtent l="0" t="0" r="0" b="9525"/>
                  <wp:docPr id="156687" name="Image 11" descr="bâche en polythène désherb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75" name="Image 11" descr="bâche en polythène désherbage.jpg"/>
                          <pic:cNvPicPr>
                            <a:picLocks noChangeAspect="1"/>
                          </pic:cNvPicPr>
                        </pic:nvPicPr>
                        <pic:blipFill>
                          <a:blip r:embed="rId4516">
                            <a:extLst>
                              <a:ext uri="{28A0092B-C50C-407E-A947-70E740481C1C}">
                                <a14:useLocalDpi xmlns:a14="http://schemas.microsoft.com/office/drawing/2010/main" val="0"/>
                              </a:ext>
                            </a:extLst>
                          </a:blip>
                          <a:srcRect/>
                          <a:stretch>
                            <a:fillRect/>
                          </a:stretch>
                        </pic:blipFill>
                        <pic:spPr bwMode="auto">
                          <a:xfrm>
                            <a:off x="0" y="0"/>
                            <a:ext cx="2647950" cy="1724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F976C63" w14:textId="317AA258" w:rsidR="00EE0407" w:rsidRPr="00EE0407" w:rsidRDefault="00EE0407" w:rsidP="009F0CA6">
            <w:pPr>
              <w:jc w:val="center"/>
            </w:pPr>
            <w:r>
              <w:t xml:space="preserve">« Paillage plastique » : </w:t>
            </w:r>
            <w:r w:rsidR="009F0CA6" w:rsidRPr="009F0CA6">
              <w:t>Bâche en polythène utilisé pour le désherbage</w:t>
            </w:r>
          </w:p>
        </w:tc>
      </w:tr>
    </w:tbl>
    <w:p w14:paraId="7FCDE3F2" w14:textId="6E141521" w:rsidR="00AC5B1F" w:rsidRDefault="00AC5B1F" w:rsidP="007D7307">
      <w:pPr>
        <w:spacing w:after="0" w:line="240" w:lineRule="auto"/>
        <w:jc w:val="both"/>
      </w:pPr>
    </w:p>
    <w:p w14:paraId="06FE4E39" w14:textId="73115A8B" w:rsidR="007C18F9" w:rsidRDefault="007C18F9" w:rsidP="007C18F9">
      <w:pPr>
        <w:pStyle w:val="Titre1"/>
      </w:pPr>
      <w:bookmarkStart w:id="423" w:name="_Toc139181712"/>
      <w:r>
        <w:t>Annexe : M</w:t>
      </w:r>
      <w:r w:rsidRPr="00D37D64">
        <w:t>écanismes intrinsèques</w:t>
      </w:r>
      <w:r>
        <w:t xml:space="preserve"> des </w:t>
      </w:r>
      <w:r w:rsidRPr="00D37D64">
        <w:t>plante</w:t>
      </w:r>
      <w:r>
        <w:t>s invasives,</w:t>
      </w:r>
      <w:r w:rsidRPr="00D37D64">
        <w:t xml:space="preserve"> expliquant l</w:t>
      </w:r>
      <w:r>
        <w:t xml:space="preserve">eur </w:t>
      </w:r>
      <w:r w:rsidRPr="00AC5B1F">
        <w:rPr>
          <w:i/>
          <w:iCs/>
        </w:rPr>
        <w:t>invasivité</w:t>
      </w:r>
      <w:bookmarkEnd w:id="423"/>
    </w:p>
    <w:p w14:paraId="650B9D3F" w14:textId="77777777" w:rsidR="007C18F9" w:rsidRDefault="007C18F9" w:rsidP="007C18F9">
      <w:pPr>
        <w:spacing w:after="0" w:line="240" w:lineRule="auto"/>
        <w:jc w:val="both"/>
        <w:rPr>
          <w:rFonts w:ascii="Calibri" w:hAnsi="Calibri" w:cs="Calibri"/>
        </w:rPr>
      </w:pPr>
    </w:p>
    <w:p w14:paraId="099C711A" w14:textId="77777777" w:rsidR="007C18F9" w:rsidRPr="00FA71E6" w:rsidRDefault="007C18F9" w:rsidP="001F79EE">
      <w:pPr>
        <w:numPr>
          <w:ilvl w:val="0"/>
          <w:numId w:val="64"/>
        </w:numPr>
        <w:shd w:val="clear" w:color="auto" w:fill="FFFFFF"/>
        <w:tabs>
          <w:tab w:val="clear" w:pos="720"/>
          <w:tab w:val="num" w:pos="426"/>
        </w:tabs>
        <w:spacing w:after="0" w:line="240" w:lineRule="auto"/>
        <w:ind w:left="426"/>
        <w:jc w:val="both"/>
        <w:rPr>
          <w:rFonts w:ascii="Calibri" w:hAnsi="Calibri" w:cs="Calibri"/>
          <w:color w:val="000000" w:themeColor="text1"/>
        </w:rPr>
      </w:pPr>
      <w:r w:rsidRPr="00FA71E6">
        <w:rPr>
          <w:rFonts w:ascii="Calibri" w:hAnsi="Calibri" w:cs="Calibri"/>
          <w:color w:val="000000" w:themeColor="text1"/>
        </w:rPr>
        <w:t>La plante introduite n'est plus, dans son nouveau milieu, confronté à ses « ennemis » naturels, qui contrôlaient antérieurement la croissance de sa population ;</w:t>
      </w:r>
    </w:p>
    <w:p w14:paraId="51ABA58C" w14:textId="77777777" w:rsidR="007C18F9" w:rsidRPr="00FA71E6" w:rsidRDefault="007C18F9" w:rsidP="001F79EE">
      <w:pPr>
        <w:numPr>
          <w:ilvl w:val="0"/>
          <w:numId w:val="64"/>
        </w:numPr>
        <w:shd w:val="clear" w:color="auto" w:fill="FFFFFF"/>
        <w:tabs>
          <w:tab w:val="clear" w:pos="720"/>
          <w:tab w:val="num" w:pos="426"/>
        </w:tabs>
        <w:spacing w:after="0" w:line="240" w:lineRule="auto"/>
        <w:ind w:left="426"/>
        <w:jc w:val="both"/>
        <w:rPr>
          <w:rFonts w:ascii="Calibri" w:hAnsi="Calibri" w:cs="Calibri"/>
          <w:color w:val="000000" w:themeColor="text1"/>
        </w:rPr>
      </w:pPr>
      <w:r w:rsidRPr="00FA71E6">
        <w:rPr>
          <w:rFonts w:ascii="Calibri" w:hAnsi="Calibri" w:cs="Calibri"/>
          <w:color w:val="000000" w:themeColor="text1"/>
        </w:rPr>
        <w:t>Beaucoup de plantes sécrètent, par leurs </w:t>
      </w:r>
      <w:hyperlink r:id="rId4517" w:tooltip="Feuille (botanique)" w:history="1">
        <w:r w:rsidRPr="00EE731D">
          <w:rPr>
            <w:rStyle w:val="Lienhypertexte"/>
            <w:rFonts w:ascii="Calibri" w:hAnsi="Calibri" w:cs="Calibri"/>
            <w:color w:val="0645AD"/>
          </w:rPr>
          <w:t>feuilles</w:t>
        </w:r>
      </w:hyperlink>
      <w:r w:rsidRPr="00EE731D">
        <w:rPr>
          <w:rFonts w:ascii="Calibri" w:hAnsi="Calibri" w:cs="Calibri"/>
          <w:color w:val="202122"/>
        </w:rPr>
        <w:t> </w:t>
      </w:r>
      <w:r w:rsidRPr="00FA71E6">
        <w:rPr>
          <w:rFonts w:ascii="Calibri" w:hAnsi="Calibri" w:cs="Calibri"/>
          <w:color w:val="000000" w:themeColor="text1"/>
        </w:rPr>
        <w:t>et/ou </w:t>
      </w:r>
      <w:hyperlink r:id="rId4518" w:tooltip="Racine (botanique)" w:history="1">
        <w:r w:rsidRPr="00EE731D">
          <w:rPr>
            <w:rStyle w:val="Lienhypertexte"/>
            <w:rFonts w:ascii="Calibri" w:hAnsi="Calibri" w:cs="Calibri"/>
            <w:color w:val="0645AD"/>
          </w:rPr>
          <w:t>racines</w:t>
        </w:r>
      </w:hyperlink>
      <w:r w:rsidRPr="00EE731D">
        <w:rPr>
          <w:rFonts w:ascii="Calibri" w:hAnsi="Calibri" w:cs="Calibri"/>
          <w:color w:val="202122"/>
        </w:rPr>
        <w:t> </w:t>
      </w:r>
      <w:r w:rsidRPr="00FA71E6">
        <w:rPr>
          <w:rFonts w:ascii="Calibri" w:hAnsi="Calibri" w:cs="Calibri"/>
          <w:color w:val="000000" w:themeColor="text1"/>
        </w:rPr>
        <w:t>ou </w:t>
      </w:r>
      <w:hyperlink r:id="rId4519" w:tooltip="Rhizome" w:history="1">
        <w:r w:rsidRPr="00EE731D">
          <w:rPr>
            <w:rStyle w:val="Lienhypertexte"/>
            <w:rFonts w:ascii="Calibri" w:hAnsi="Calibri" w:cs="Calibri"/>
            <w:color w:val="0645AD"/>
          </w:rPr>
          <w:t>rhizomes</w:t>
        </w:r>
      </w:hyperlink>
      <w:r>
        <w:rPr>
          <w:rFonts w:ascii="Calibri" w:hAnsi="Calibri" w:cs="Calibri"/>
          <w:color w:val="202122"/>
        </w:rPr>
        <w:t>,</w:t>
      </w:r>
      <w:r w:rsidRPr="00EE731D">
        <w:rPr>
          <w:rFonts w:ascii="Calibri" w:hAnsi="Calibri" w:cs="Calibri"/>
          <w:color w:val="202122"/>
        </w:rPr>
        <w:t> </w:t>
      </w:r>
      <w:r w:rsidRPr="00FA71E6">
        <w:rPr>
          <w:rFonts w:ascii="Calibri" w:hAnsi="Calibri" w:cs="Calibri"/>
          <w:color w:val="000000" w:themeColor="text1"/>
        </w:rPr>
        <w:t>des composés organiques dits</w:t>
      </w:r>
      <w:r w:rsidRPr="00EE731D">
        <w:rPr>
          <w:rFonts w:ascii="Calibri" w:hAnsi="Calibri" w:cs="Calibri"/>
          <w:color w:val="202122"/>
        </w:rPr>
        <w:t> </w:t>
      </w:r>
      <w:hyperlink r:id="rId4520" w:tooltip="Allélopathique" w:history="1">
        <w:r w:rsidRPr="00EE731D">
          <w:rPr>
            <w:rStyle w:val="Lienhypertexte"/>
            <w:rFonts w:ascii="Calibri" w:hAnsi="Calibri" w:cs="Calibri"/>
            <w:color w:val="0645AD"/>
          </w:rPr>
          <w:t>allélopathiques</w:t>
        </w:r>
      </w:hyperlink>
      <w:r w:rsidRPr="00EE731D">
        <w:rPr>
          <w:rFonts w:ascii="Calibri" w:hAnsi="Calibri" w:cs="Calibri"/>
          <w:color w:val="202122"/>
        </w:rPr>
        <w:t> </w:t>
      </w:r>
      <w:r w:rsidRPr="00FA71E6">
        <w:rPr>
          <w:rFonts w:ascii="Calibri" w:hAnsi="Calibri" w:cs="Calibri"/>
          <w:color w:val="000000" w:themeColor="text1"/>
        </w:rPr>
        <w:t>(molécules ayant des effets inhibiteurs à franchement phytotoxiques selon les cas) pour les espèces de la communauté végétale réceptrice (c'est le cas par exemple pour </w:t>
      </w:r>
      <w:hyperlink r:id="rId4521" w:tooltip="Artemisia absinthium" w:history="1">
        <w:r w:rsidRPr="00EE731D">
          <w:rPr>
            <w:rStyle w:val="Lienhypertexte"/>
            <w:rFonts w:ascii="Calibri" w:hAnsi="Calibri" w:cs="Calibri"/>
            <w:i/>
            <w:iCs/>
            <w:color w:val="0645AD"/>
          </w:rPr>
          <w:t>Artemisia absinthium</w:t>
        </w:r>
      </w:hyperlink>
      <w:r w:rsidRPr="00EE731D">
        <w:rPr>
          <w:rFonts w:ascii="Calibri" w:hAnsi="Calibri" w:cs="Calibri"/>
          <w:color w:val="202122"/>
        </w:rPr>
        <w:t> </w:t>
      </w:r>
      <w:r w:rsidRPr="00FA71E6">
        <w:rPr>
          <w:rFonts w:ascii="Calibri" w:hAnsi="Calibri" w:cs="Calibri"/>
          <w:color w:val="000000" w:themeColor="text1"/>
        </w:rPr>
        <w:t>ou </w:t>
      </w:r>
      <w:hyperlink r:id="rId4522" w:tooltip="Centaurea diffusa (page inexistante)" w:history="1">
        <w:r w:rsidRPr="00EE731D">
          <w:rPr>
            <w:rStyle w:val="Lienhypertexte"/>
            <w:rFonts w:ascii="Calibri" w:hAnsi="Calibri" w:cs="Calibri"/>
            <w:i/>
            <w:iCs/>
            <w:color w:val="DD3333"/>
          </w:rPr>
          <w:t>Centaurea diffusa</w:t>
        </w:r>
      </w:hyperlink>
      <w:r w:rsidRPr="00EE731D">
        <w:rPr>
          <w:rFonts w:ascii="Calibri" w:hAnsi="Calibri" w:cs="Calibri"/>
          <w:color w:val="202122"/>
        </w:rPr>
        <w:t> </w:t>
      </w:r>
      <w:r w:rsidRPr="00FA71E6">
        <w:rPr>
          <w:rFonts w:ascii="Calibri" w:hAnsi="Calibri" w:cs="Calibri"/>
          <w:color w:val="000000" w:themeColor="text1"/>
        </w:rPr>
        <w:t>qui ne posent pas de problèmes en Eurasie, mais qui sont devenue envahissante en Amérique du Nord). Des expériences faites sur </w:t>
      </w:r>
      <w:r w:rsidRPr="00FA71E6">
        <w:rPr>
          <w:rFonts w:ascii="Calibri" w:hAnsi="Calibri" w:cs="Calibri"/>
          <w:i/>
          <w:iCs/>
          <w:color w:val="000000" w:themeColor="text1"/>
        </w:rPr>
        <w:t>Centaurea diffusa</w:t>
      </w:r>
      <w:r w:rsidRPr="00FA71E6">
        <w:rPr>
          <w:rFonts w:ascii="Calibri" w:hAnsi="Calibri" w:cs="Calibri"/>
          <w:color w:val="000000" w:themeColor="text1"/>
        </w:rPr>
        <w:t xml:space="preserve"> laissent penser que cette </w:t>
      </w:r>
      <w:r w:rsidRPr="00FA71E6">
        <w:rPr>
          <w:rFonts w:ascii="Calibri" w:hAnsi="Calibri" w:cs="Calibri"/>
          <w:i/>
          <w:iCs/>
          <w:color w:val="000000" w:themeColor="text1"/>
        </w:rPr>
        <w:t>invasive</w:t>
      </w:r>
      <w:r w:rsidRPr="00FA71E6">
        <w:rPr>
          <w:rFonts w:ascii="Calibri" w:hAnsi="Calibri" w:cs="Calibri"/>
          <w:color w:val="000000" w:themeColor="text1"/>
        </w:rPr>
        <w:t xml:space="preserve"> utilise des composés chimiques pour inhiber ou éliminer les plantes qui la concurrencent. Ses voisins eurasiens de longue date s'étaient adaptés à ces molécules au cours d'une longue </w:t>
      </w:r>
      <w:hyperlink r:id="rId4523" w:tooltip="Convolution" w:history="1">
        <w:r w:rsidRPr="00EE731D">
          <w:rPr>
            <w:rStyle w:val="Lienhypertexte"/>
            <w:rFonts w:ascii="Calibri" w:hAnsi="Calibri" w:cs="Calibri"/>
            <w:color w:val="0645AD"/>
          </w:rPr>
          <w:t>convolution</w:t>
        </w:r>
      </w:hyperlink>
      <w:r>
        <w:rPr>
          <w:rStyle w:val="Appelnotedebasdep"/>
          <w:rFonts w:ascii="Calibri" w:hAnsi="Calibri" w:cs="Calibri"/>
          <w:color w:val="202122"/>
        </w:rPr>
        <w:footnoteReference w:id="303"/>
      </w:r>
      <w:r w:rsidRPr="00EE731D">
        <w:rPr>
          <w:rFonts w:ascii="Calibri" w:hAnsi="Calibri" w:cs="Calibri"/>
          <w:color w:val="202122"/>
        </w:rPr>
        <w:t xml:space="preserve">, </w:t>
      </w:r>
      <w:r w:rsidRPr="00FA71E6">
        <w:rPr>
          <w:rFonts w:ascii="Calibri" w:hAnsi="Calibri" w:cs="Calibri"/>
          <w:color w:val="000000" w:themeColor="text1"/>
        </w:rPr>
        <w:t xml:space="preserve">mais de nouveaux voisins nord-américains, en l'occurrence, de </w:t>
      </w:r>
      <w:r w:rsidRPr="00FA71E6">
        <w:rPr>
          <w:rFonts w:ascii="Calibri" w:hAnsi="Calibri" w:cs="Calibri"/>
          <w:i/>
          <w:iCs/>
          <w:color w:val="000000" w:themeColor="text1"/>
        </w:rPr>
        <w:t>Centaurea diffusa</w:t>
      </w:r>
      <w:r w:rsidRPr="00FA71E6">
        <w:rPr>
          <w:rFonts w:ascii="Calibri" w:hAnsi="Calibri" w:cs="Calibri"/>
          <w:color w:val="000000" w:themeColor="text1"/>
        </w:rPr>
        <w:t xml:space="preserve"> sont très sensibles à ces molécules, face auxquelles ces plantes locales ne sont pas armées.</w:t>
      </w:r>
    </w:p>
    <w:p w14:paraId="40FAC10E" w14:textId="77777777" w:rsidR="007C18F9" w:rsidRPr="00FA71E6" w:rsidRDefault="007C18F9" w:rsidP="001F79EE">
      <w:pPr>
        <w:numPr>
          <w:ilvl w:val="0"/>
          <w:numId w:val="64"/>
        </w:numPr>
        <w:shd w:val="clear" w:color="auto" w:fill="FFFFFF"/>
        <w:tabs>
          <w:tab w:val="clear" w:pos="720"/>
          <w:tab w:val="num" w:pos="426"/>
        </w:tabs>
        <w:spacing w:after="0" w:line="240" w:lineRule="auto"/>
        <w:ind w:left="426"/>
        <w:jc w:val="both"/>
        <w:rPr>
          <w:rFonts w:ascii="Calibri" w:hAnsi="Calibri" w:cs="Calibri"/>
          <w:color w:val="000000" w:themeColor="text1"/>
        </w:rPr>
      </w:pPr>
      <w:r w:rsidRPr="00FA71E6">
        <w:rPr>
          <w:rFonts w:ascii="Calibri" w:hAnsi="Calibri" w:cs="Calibri"/>
          <w:color w:val="000000" w:themeColor="text1"/>
        </w:rPr>
        <w:t>Parfois, le climat ou les conditions</w:t>
      </w:r>
      <w:r w:rsidRPr="00EE731D">
        <w:rPr>
          <w:rFonts w:ascii="Calibri" w:hAnsi="Calibri" w:cs="Calibri"/>
          <w:color w:val="202122"/>
        </w:rPr>
        <w:t> </w:t>
      </w:r>
      <w:hyperlink r:id="rId4524" w:tooltip="Édaphique" w:history="1">
        <w:r w:rsidRPr="00EE731D">
          <w:rPr>
            <w:rStyle w:val="Lienhypertexte"/>
            <w:rFonts w:ascii="Calibri" w:hAnsi="Calibri" w:cs="Calibri"/>
            <w:color w:val="0645AD"/>
          </w:rPr>
          <w:t>édaphiques</w:t>
        </w:r>
      </w:hyperlink>
      <w:r>
        <w:rPr>
          <w:rStyle w:val="Appelnotedebasdep"/>
          <w:rFonts w:ascii="Calibri" w:hAnsi="Calibri" w:cs="Calibri"/>
          <w:color w:val="202122"/>
        </w:rPr>
        <w:footnoteReference w:id="304"/>
      </w:r>
      <w:r w:rsidRPr="00EE731D">
        <w:rPr>
          <w:rFonts w:ascii="Calibri" w:hAnsi="Calibri" w:cs="Calibri"/>
          <w:color w:val="202122"/>
        </w:rPr>
        <w:t> </w:t>
      </w:r>
      <w:r w:rsidRPr="00FA71E6">
        <w:rPr>
          <w:rFonts w:ascii="Calibri" w:hAnsi="Calibri" w:cs="Calibri"/>
          <w:color w:val="000000" w:themeColor="text1"/>
        </w:rPr>
        <w:t>nouvelles peuvent être plus propices que dans le milieu d'origine ;</w:t>
      </w:r>
    </w:p>
    <w:p w14:paraId="6ECCFDB7" w14:textId="5A375A7B" w:rsidR="007C18F9" w:rsidRPr="00FA71E6" w:rsidRDefault="007C18F9" w:rsidP="001F79EE">
      <w:pPr>
        <w:numPr>
          <w:ilvl w:val="0"/>
          <w:numId w:val="64"/>
        </w:numPr>
        <w:shd w:val="clear" w:color="auto" w:fill="FFFFFF"/>
        <w:tabs>
          <w:tab w:val="clear" w:pos="720"/>
          <w:tab w:val="num" w:pos="426"/>
        </w:tabs>
        <w:spacing w:after="0" w:line="240" w:lineRule="auto"/>
        <w:ind w:left="426"/>
        <w:jc w:val="both"/>
        <w:rPr>
          <w:rFonts w:ascii="Calibri" w:hAnsi="Calibri" w:cs="Calibri"/>
          <w:color w:val="000000" w:themeColor="text1"/>
        </w:rPr>
      </w:pPr>
      <w:r w:rsidRPr="00FA71E6">
        <w:rPr>
          <w:rFonts w:ascii="Calibri" w:hAnsi="Calibri" w:cs="Calibri"/>
          <w:color w:val="000000" w:themeColor="text1"/>
        </w:rPr>
        <w:t>Chez certaines plantes, on a montré que la production de molécules allopathiques augmente en période chaude et se réduit ou perd de son efficacité sous la </w:t>
      </w:r>
      <w:hyperlink r:id="rId4525" w:tooltip="Pluie" w:history="1">
        <w:r w:rsidRPr="00EE731D">
          <w:rPr>
            <w:rStyle w:val="Lienhypertexte"/>
            <w:rFonts w:ascii="Calibri" w:hAnsi="Calibri" w:cs="Calibri"/>
            <w:color w:val="0645AD"/>
          </w:rPr>
          <w:t>pluie</w:t>
        </w:r>
      </w:hyperlink>
      <w:r w:rsidRPr="00EE731D">
        <w:rPr>
          <w:rFonts w:ascii="Calibri" w:hAnsi="Calibri" w:cs="Calibri"/>
          <w:color w:val="202122"/>
        </w:rPr>
        <w:t> </w:t>
      </w:r>
      <w:r w:rsidRPr="00FA71E6">
        <w:rPr>
          <w:rFonts w:ascii="Calibri" w:hAnsi="Calibri" w:cs="Calibri"/>
          <w:color w:val="000000" w:themeColor="text1"/>
        </w:rPr>
        <w:t>ou par temps froid. Le </w:t>
      </w:r>
      <w:hyperlink r:id="rId4526" w:tooltip="Réchauffement climatique" w:history="1">
        <w:r w:rsidRPr="00EE731D">
          <w:rPr>
            <w:rStyle w:val="Lienhypertexte"/>
            <w:rFonts w:ascii="Calibri" w:hAnsi="Calibri" w:cs="Calibri"/>
            <w:color w:val="0645AD"/>
          </w:rPr>
          <w:t>réchauffement climatique</w:t>
        </w:r>
      </w:hyperlink>
      <w:r w:rsidRPr="00EE731D">
        <w:rPr>
          <w:rFonts w:ascii="Calibri" w:hAnsi="Calibri" w:cs="Calibri"/>
          <w:color w:val="202122"/>
        </w:rPr>
        <w:t> </w:t>
      </w:r>
      <w:r w:rsidRPr="00FA71E6">
        <w:rPr>
          <w:rFonts w:ascii="Calibri" w:hAnsi="Calibri" w:cs="Calibri"/>
          <w:color w:val="000000" w:themeColor="text1"/>
        </w:rPr>
        <w:t>pourrait donc exacerber le caractère allélopathique et invasif de certaines plantes, introduites et devenues invasives</w:t>
      </w:r>
      <w:r>
        <w:rPr>
          <w:rStyle w:val="Appelnotedebasdep"/>
          <w:rFonts w:ascii="Calibri" w:hAnsi="Calibri" w:cs="Calibri"/>
          <w:color w:val="000000" w:themeColor="text1"/>
        </w:rPr>
        <w:footnoteReference w:id="305"/>
      </w:r>
      <w:r w:rsidRPr="00FA71E6">
        <w:rPr>
          <w:rFonts w:ascii="Calibri" w:hAnsi="Calibri" w:cs="Calibri"/>
          <w:color w:val="000000" w:themeColor="text1"/>
        </w:rPr>
        <w:t>.</w:t>
      </w:r>
    </w:p>
    <w:p w14:paraId="137B948B" w14:textId="34B83899" w:rsidR="007C18F9" w:rsidRDefault="007C18F9" w:rsidP="007D7307">
      <w:pPr>
        <w:spacing w:after="0" w:line="240" w:lineRule="auto"/>
        <w:jc w:val="both"/>
      </w:pPr>
    </w:p>
    <w:p w14:paraId="1A8AA98F" w14:textId="267704A5" w:rsidR="00D35A43" w:rsidRDefault="00D35A43" w:rsidP="00D35A43">
      <w:pPr>
        <w:spacing w:after="0" w:line="240" w:lineRule="auto"/>
        <w:jc w:val="both"/>
        <w:rPr>
          <w:i/>
          <w:iCs/>
        </w:rPr>
      </w:pPr>
      <w:r w:rsidRPr="00D35A43">
        <w:rPr>
          <w:i/>
          <w:iCs/>
        </w:rPr>
        <w:t>Le secret du succès des espèces invasives</w:t>
      </w:r>
      <w:r>
        <w:rPr>
          <w:i/>
          <w:iCs/>
        </w:rPr>
        <w:t> :</w:t>
      </w:r>
    </w:p>
    <w:p w14:paraId="3EF9FDE4" w14:textId="77777777" w:rsidR="00D35A43" w:rsidRPr="00D35A43" w:rsidRDefault="00D35A43" w:rsidP="00D35A43">
      <w:pPr>
        <w:spacing w:after="0" w:line="240" w:lineRule="auto"/>
        <w:jc w:val="both"/>
        <w:rPr>
          <w:i/>
          <w:iCs/>
        </w:rPr>
      </w:pPr>
    </w:p>
    <w:p w14:paraId="54978DEB" w14:textId="178DE667" w:rsidR="00D35A43" w:rsidRDefault="00D35A43" w:rsidP="00D35A43">
      <w:pPr>
        <w:spacing w:after="0" w:line="240" w:lineRule="auto"/>
        <w:jc w:val="both"/>
      </w:pPr>
      <w:r w:rsidRPr="00D35A43">
        <w:t>Leurs atouts compétitifs :</w:t>
      </w:r>
    </w:p>
    <w:p w14:paraId="39CCB757" w14:textId="77777777" w:rsidR="00D35A43" w:rsidRPr="00D35A43" w:rsidRDefault="00D35A43" w:rsidP="00D35A43">
      <w:pPr>
        <w:spacing w:after="0" w:line="240" w:lineRule="auto"/>
        <w:jc w:val="both"/>
      </w:pPr>
    </w:p>
    <w:p w14:paraId="552C4856" w14:textId="77777777" w:rsidR="00D35A43" w:rsidRPr="00D35A43" w:rsidRDefault="00D35A43" w:rsidP="001F79EE">
      <w:pPr>
        <w:numPr>
          <w:ilvl w:val="0"/>
          <w:numId w:val="70"/>
        </w:numPr>
        <w:spacing w:after="0" w:line="240" w:lineRule="auto"/>
        <w:jc w:val="both"/>
      </w:pPr>
      <w:r w:rsidRPr="00D35A43">
        <w:t>Elles n’ont que peu de prédateurs (dans leur nouvel environnement).</w:t>
      </w:r>
    </w:p>
    <w:p w14:paraId="1EDFEE86" w14:textId="0D1613EF" w:rsidR="00D35A43" w:rsidRPr="00D35A43" w:rsidRDefault="00D35A43" w:rsidP="001F79EE">
      <w:pPr>
        <w:numPr>
          <w:ilvl w:val="0"/>
          <w:numId w:val="70"/>
        </w:numPr>
        <w:spacing w:after="0" w:line="240" w:lineRule="auto"/>
        <w:jc w:val="both"/>
      </w:pPr>
      <w:r w:rsidRPr="00D35A43">
        <w:t>Elles sont très adaptables à tout type de sol _ y compris les sols pauvres, dégradés _, de milieux</w:t>
      </w:r>
      <w:r w:rsidR="00896F7D">
        <w:t xml:space="preserve"> (arides, salins …)</w:t>
      </w:r>
      <w:r w:rsidRPr="00D35A43">
        <w:t xml:space="preserve">, de climats … (voire elles peuvent évoluer facilement). </w:t>
      </w:r>
    </w:p>
    <w:p w14:paraId="0FCE5802" w14:textId="77777777" w:rsidR="00D35A43" w:rsidRPr="00D35A43" w:rsidRDefault="00D35A43" w:rsidP="001F79EE">
      <w:pPr>
        <w:numPr>
          <w:ilvl w:val="0"/>
          <w:numId w:val="70"/>
        </w:numPr>
        <w:spacing w:after="0" w:line="240" w:lineRule="auto"/>
        <w:jc w:val="both"/>
      </w:pPr>
      <w:r w:rsidRPr="00D35A43">
        <w:t>Elles sont hors-compétition pour la nourriture et l'habitat (souvent, elles n’ont pas de concurrent, dans leur nouveau milieu) .</w:t>
      </w:r>
    </w:p>
    <w:p w14:paraId="7A130995" w14:textId="2307708C" w:rsidR="00D35A43" w:rsidRDefault="00D35A43" w:rsidP="001F79EE">
      <w:pPr>
        <w:numPr>
          <w:ilvl w:val="0"/>
          <w:numId w:val="70"/>
        </w:numPr>
        <w:spacing w:after="0" w:line="240" w:lineRule="auto"/>
        <w:jc w:val="both"/>
      </w:pPr>
      <w:r w:rsidRPr="00D35A43">
        <w:t xml:space="preserve">Elles sont souvent agressives par rapports aux espèces autochtones, par les toxines qu’elles libèrent (par leurs </w:t>
      </w:r>
      <w:r w:rsidRPr="00D35A43">
        <w:rPr>
          <w:i/>
          <w:iCs/>
        </w:rPr>
        <w:t>effets allélopathiques</w:t>
      </w:r>
      <w:r w:rsidRPr="00D35A43">
        <w:t>) inhibant souvent le développement des autres espèces, par la grande densité de leur système racinaire …</w:t>
      </w:r>
    </w:p>
    <w:p w14:paraId="6F757197" w14:textId="6C4BDE7C" w:rsidR="00D35A43" w:rsidRPr="00D35A43" w:rsidRDefault="00896F7D" w:rsidP="001F79EE">
      <w:pPr>
        <w:numPr>
          <w:ilvl w:val="0"/>
          <w:numId w:val="70"/>
        </w:numPr>
        <w:spacing w:after="0" w:line="240" w:lineRule="auto"/>
        <w:jc w:val="both"/>
      </w:pPr>
      <w:r w:rsidRPr="00896F7D">
        <w:t>Par leurs fourrés très denses, les plantes invasives ont tendance à étouffer toute la végétation concurrente</w:t>
      </w:r>
      <w:r>
        <w:t>.</w:t>
      </w:r>
    </w:p>
    <w:p w14:paraId="4763968F" w14:textId="77777777" w:rsidR="00D35A43" w:rsidRPr="00D35A43" w:rsidRDefault="00D35A43" w:rsidP="001F79EE">
      <w:pPr>
        <w:numPr>
          <w:ilvl w:val="0"/>
          <w:numId w:val="70"/>
        </w:numPr>
        <w:spacing w:after="0" w:line="240" w:lineRule="auto"/>
        <w:jc w:val="both"/>
      </w:pPr>
      <w:r w:rsidRPr="00D35A43">
        <w:t>Elles prospèrent dans les systèmes perturbés. Ce sont souvent des plantes pionnières.</w:t>
      </w:r>
    </w:p>
    <w:p w14:paraId="5293C87C" w14:textId="77777777" w:rsidR="00D35A43" w:rsidRPr="00D35A43" w:rsidRDefault="00D35A43" w:rsidP="001F79EE">
      <w:pPr>
        <w:numPr>
          <w:ilvl w:val="0"/>
          <w:numId w:val="70"/>
        </w:numPr>
        <w:spacing w:after="0" w:line="240" w:lineRule="auto"/>
        <w:jc w:val="both"/>
      </w:pPr>
      <w:r w:rsidRPr="00D35A43">
        <w:t>Elles se reproduisent rapidement et produisent souvent d’énorme quantités de graines.</w:t>
      </w:r>
    </w:p>
    <w:p w14:paraId="55A71445" w14:textId="77777777" w:rsidR="00D35A43" w:rsidRDefault="00D35A43" w:rsidP="00D35A43">
      <w:pPr>
        <w:spacing w:after="0" w:line="240" w:lineRule="auto"/>
        <w:jc w:val="both"/>
      </w:pPr>
    </w:p>
    <w:p w14:paraId="4A7DDE8A" w14:textId="1FB929D2" w:rsidR="00D35A43" w:rsidRPr="00D35A43" w:rsidRDefault="00D35A43" w:rsidP="00D35A43">
      <w:pPr>
        <w:spacing w:after="0" w:line="240" w:lineRule="auto"/>
        <w:jc w:val="both"/>
      </w:pPr>
      <w:r w:rsidRPr="00D35A43">
        <w:t xml:space="preserve">La majorité des plantes mettent plus de 150 ans pour s’acclimater et devenir autochtone dans leur nouveau milieu (et par exemple, pour quitter et se propager naturellement à partir du jardin botaniques, où elles étaient en cours d’acclimatation). </w:t>
      </w:r>
      <w:r>
        <w:t xml:space="preserve"> </w:t>
      </w:r>
      <w:r w:rsidRPr="00D35A43">
        <w:t>Or les plantes invasives mettent souvent moins de 70 ans, via le même processus.</w:t>
      </w:r>
    </w:p>
    <w:p w14:paraId="1A600A12" w14:textId="1D861BDB" w:rsidR="00D35A43" w:rsidRDefault="00D35A43" w:rsidP="007D7307">
      <w:pPr>
        <w:spacing w:after="0" w:line="240" w:lineRule="auto"/>
        <w:jc w:val="both"/>
      </w:pPr>
    </w:p>
    <w:p w14:paraId="3CE76DBC" w14:textId="607139AE" w:rsidR="00D35A43" w:rsidRDefault="00D35A43" w:rsidP="007D7307">
      <w:pPr>
        <w:spacing w:after="0" w:line="240" w:lineRule="auto"/>
        <w:jc w:val="both"/>
      </w:pPr>
      <w:r>
        <w:t xml:space="preserve">Source : </w:t>
      </w:r>
      <w:hyperlink r:id="rId4527" w:history="1">
        <w:r w:rsidRPr="00D35A43">
          <w:rPr>
            <w:rStyle w:val="Lienhypertexte"/>
          </w:rPr>
          <w:t>http://www.invadingspecies.com/invaders/</w:t>
        </w:r>
      </w:hyperlink>
    </w:p>
    <w:p w14:paraId="72BEC530" w14:textId="77777777" w:rsidR="00D35A43" w:rsidRDefault="00D35A43" w:rsidP="007D7307">
      <w:pPr>
        <w:spacing w:after="0" w:line="240" w:lineRule="auto"/>
        <w:jc w:val="both"/>
      </w:pPr>
    </w:p>
    <w:p w14:paraId="7B50D989" w14:textId="35149B4B" w:rsidR="00AB3E55" w:rsidRDefault="00AB3E55" w:rsidP="00AB3E55">
      <w:pPr>
        <w:pStyle w:val="Titre1"/>
      </w:pPr>
      <w:bookmarkStart w:id="424" w:name="_Toc139181713"/>
      <w:r w:rsidRPr="00AB3E55">
        <w:t>Annexe : Modes de propagation des espèces invasives</w:t>
      </w:r>
      <w:bookmarkEnd w:id="424"/>
    </w:p>
    <w:p w14:paraId="72965F57" w14:textId="0DD4774F" w:rsidR="00AB3E55" w:rsidRDefault="00AB3E55" w:rsidP="007D7307">
      <w:pPr>
        <w:spacing w:after="0" w:line="240" w:lineRule="auto"/>
        <w:jc w:val="both"/>
      </w:pPr>
    </w:p>
    <w:p w14:paraId="1E993696" w14:textId="74D039D7" w:rsidR="00AB3E55" w:rsidRDefault="00AB3E55" w:rsidP="00AB3E55">
      <w:pPr>
        <w:spacing w:after="0" w:line="240" w:lineRule="auto"/>
        <w:jc w:val="both"/>
      </w:pPr>
      <w:r w:rsidRPr="00AB3E55">
        <w:t>Les espèces envahissantes sont capables d'être mis en place et se propager via différents moyens et médias, y compris:</w:t>
      </w:r>
    </w:p>
    <w:p w14:paraId="344086BC" w14:textId="77777777" w:rsidR="00AB3E55" w:rsidRPr="00AB3E55" w:rsidRDefault="00AB3E55" w:rsidP="00AB3E55">
      <w:pPr>
        <w:spacing w:after="0" w:line="240" w:lineRule="auto"/>
        <w:jc w:val="both"/>
      </w:pPr>
    </w:p>
    <w:p w14:paraId="76CFE9F0" w14:textId="6B9CC1CA" w:rsidR="00AB3E55" w:rsidRPr="00AB3E55" w:rsidRDefault="00AB3E55" w:rsidP="001F79EE">
      <w:pPr>
        <w:pStyle w:val="Paragraphedeliste"/>
        <w:numPr>
          <w:ilvl w:val="0"/>
          <w:numId w:val="69"/>
        </w:numPr>
        <w:spacing w:after="0" w:line="240" w:lineRule="auto"/>
        <w:ind w:left="426"/>
        <w:jc w:val="both"/>
      </w:pPr>
      <w:r w:rsidRPr="00AB3E55">
        <w:t>Les conteneurs et les navires de la flotte maritimes (via leur ballast, coque, cale …).</w:t>
      </w:r>
    </w:p>
    <w:p w14:paraId="214E870A" w14:textId="06BFF057" w:rsidR="00AB3E55" w:rsidRPr="00AB3E55" w:rsidRDefault="00AB3E55" w:rsidP="001F79EE">
      <w:pPr>
        <w:pStyle w:val="Paragraphedeliste"/>
        <w:numPr>
          <w:ilvl w:val="0"/>
          <w:numId w:val="69"/>
        </w:numPr>
        <w:spacing w:after="0" w:line="240" w:lineRule="auto"/>
        <w:ind w:left="426"/>
        <w:jc w:val="both"/>
      </w:pPr>
      <w:r w:rsidRPr="00AB3E55">
        <w:t>La navigation de plaisance et commerciale.</w:t>
      </w:r>
    </w:p>
    <w:p w14:paraId="5C9F3F02" w14:textId="000FDD73" w:rsidR="00AB3E55" w:rsidRPr="00AB3E55" w:rsidRDefault="00AB3E55" w:rsidP="001F79EE">
      <w:pPr>
        <w:pStyle w:val="Paragraphedeliste"/>
        <w:numPr>
          <w:ilvl w:val="0"/>
          <w:numId w:val="69"/>
        </w:numPr>
        <w:spacing w:after="0" w:line="240" w:lineRule="auto"/>
        <w:ind w:left="426"/>
        <w:jc w:val="both"/>
      </w:pPr>
      <w:r w:rsidRPr="00AB3E55">
        <w:t>Le mouvement et la libération d'appâts vivants.</w:t>
      </w:r>
    </w:p>
    <w:p w14:paraId="6441084A" w14:textId="3D76FBB2" w:rsidR="00AB3E55" w:rsidRPr="00AB3E55" w:rsidRDefault="00AB3E55" w:rsidP="001F79EE">
      <w:pPr>
        <w:pStyle w:val="Paragraphedeliste"/>
        <w:numPr>
          <w:ilvl w:val="0"/>
          <w:numId w:val="69"/>
        </w:numPr>
        <w:spacing w:after="0" w:line="240" w:lineRule="auto"/>
        <w:ind w:left="426"/>
        <w:jc w:val="both"/>
      </w:pPr>
      <w:r w:rsidRPr="00AB3E55">
        <w:t>Le commerce des aquariums , des jardins et plantes aquatiques.</w:t>
      </w:r>
    </w:p>
    <w:p w14:paraId="2DE7F38C" w14:textId="4FFF0B0B" w:rsidR="00AB3E55" w:rsidRPr="00AB3E55" w:rsidRDefault="00AB3E55" w:rsidP="001F79EE">
      <w:pPr>
        <w:pStyle w:val="Paragraphedeliste"/>
        <w:numPr>
          <w:ilvl w:val="0"/>
          <w:numId w:val="69"/>
        </w:numPr>
        <w:spacing w:after="0" w:line="240" w:lineRule="auto"/>
        <w:ind w:left="426"/>
        <w:jc w:val="both"/>
      </w:pPr>
      <w:r w:rsidRPr="00AB3E55">
        <w:t>Le commerce de poissons vivants destiné à l’alimentation.</w:t>
      </w:r>
    </w:p>
    <w:p w14:paraId="36771495" w14:textId="4CE382F5" w:rsidR="00AB3E55" w:rsidRPr="00AB3E55" w:rsidRDefault="00AB3E55" w:rsidP="001F79EE">
      <w:pPr>
        <w:pStyle w:val="Paragraphedeliste"/>
        <w:numPr>
          <w:ilvl w:val="0"/>
          <w:numId w:val="69"/>
        </w:numPr>
        <w:spacing w:after="0" w:line="240" w:lineRule="auto"/>
        <w:ind w:left="426"/>
        <w:jc w:val="both"/>
      </w:pPr>
      <w:r w:rsidRPr="00AB3E55">
        <w:t>Les introductions non autorisées.</w:t>
      </w:r>
    </w:p>
    <w:p w14:paraId="115D5FFD" w14:textId="0DEC7587" w:rsidR="00AB3E55" w:rsidRPr="00AB3E55" w:rsidRDefault="00AB3E55" w:rsidP="001F79EE">
      <w:pPr>
        <w:pStyle w:val="Paragraphedeliste"/>
        <w:numPr>
          <w:ilvl w:val="0"/>
          <w:numId w:val="69"/>
        </w:numPr>
        <w:spacing w:after="0" w:line="240" w:lineRule="auto"/>
        <w:ind w:left="426"/>
        <w:jc w:val="both"/>
      </w:pPr>
      <w:r w:rsidRPr="00AB3E55">
        <w:t>Les canaux artificiels.</w:t>
      </w:r>
    </w:p>
    <w:p w14:paraId="463827CE" w14:textId="20A7D29C" w:rsidR="00AB3E55" w:rsidRPr="00AB3E55" w:rsidRDefault="00AB3E55" w:rsidP="001F79EE">
      <w:pPr>
        <w:pStyle w:val="Paragraphedeliste"/>
        <w:numPr>
          <w:ilvl w:val="0"/>
          <w:numId w:val="69"/>
        </w:numPr>
        <w:spacing w:after="0" w:line="240" w:lineRule="auto"/>
        <w:ind w:left="426"/>
        <w:jc w:val="both"/>
      </w:pPr>
      <w:r w:rsidRPr="00AB3E55">
        <w:t>L’horticulture et le jardinage.</w:t>
      </w:r>
    </w:p>
    <w:p w14:paraId="735BDAD5" w14:textId="620EB3AB" w:rsidR="00AB3E55" w:rsidRPr="00AB3E55" w:rsidRDefault="00AB3E55" w:rsidP="001F79EE">
      <w:pPr>
        <w:pStyle w:val="Paragraphedeliste"/>
        <w:numPr>
          <w:ilvl w:val="0"/>
          <w:numId w:val="69"/>
        </w:numPr>
        <w:spacing w:after="0" w:line="240" w:lineRule="auto"/>
        <w:ind w:left="426"/>
        <w:jc w:val="both"/>
      </w:pPr>
      <w:r w:rsidRPr="00AB3E55">
        <w:t>Les mélanges de semences.</w:t>
      </w:r>
    </w:p>
    <w:p w14:paraId="25E704C8" w14:textId="339F2E51" w:rsidR="00AB3E55" w:rsidRPr="00AB3E55" w:rsidRDefault="00AB3E55" w:rsidP="001F79EE">
      <w:pPr>
        <w:pStyle w:val="Paragraphedeliste"/>
        <w:numPr>
          <w:ilvl w:val="0"/>
          <w:numId w:val="69"/>
        </w:numPr>
        <w:spacing w:after="0" w:line="240" w:lineRule="auto"/>
        <w:ind w:left="426"/>
        <w:jc w:val="both"/>
      </w:pPr>
      <w:r w:rsidRPr="00AB3E55">
        <w:t>La faune, le bétail, les humains et les animaux.</w:t>
      </w:r>
    </w:p>
    <w:p w14:paraId="2AAF399C" w14:textId="0AC83DAA" w:rsidR="00AB3E55" w:rsidRPr="00AB3E55" w:rsidRDefault="00AB3E55" w:rsidP="001F79EE">
      <w:pPr>
        <w:pStyle w:val="Paragraphedeliste"/>
        <w:numPr>
          <w:ilvl w:val="0"/>
          <w:numId w:val="69"/>
        </w:numPr>
        <w:spacing w:after="0" w:line="240" w:lineRule="auto"/>
        <w:ind w:left="426"/>
        <w:jc w:val="both"/>
      </w:pPr>
      <w:r w:rsidRPr="00AB3E55">
        <w:t>L’augmentation du commerce et des voyages internationaux, nationaux et régionaux.</w:t>
      </w:r>
    </w:p>
    <w:p w14:paraId="1F41DE0E" w14:textId="408218B0" w:rsidR="00AB3E55" w:rsidRPr="00AB3E55" w:rsidRDefault="00AB3E55" w:rsidP="001F79EE">
      <w:pPr>
        <w:pStyle w:val="Paragraphedeliste"/>
        <w:numPr>
          <w:ilvl w:val="0"/>
          <w:numId w:val="69"/>
        </w:numPr>
        <w:spacing w:after="0" w:line="240" w:lineRule="auto"/>
        <w:ind w:left="426"/>
        <w:jc w:val="both"/>
      </w:pPr>
      <w:r w:rsidRPr="00AB3E55">
        <w:t>Le bois de chauffage.</w:t>
      </w:r>
    </w:p>
    <w:p w14:paraId="25265263" w14:textId="77777777" w:rsidR="00AB3E55" w:rsidRDefault="00AB3E55" w:rsidP="00AB3E55">
      <w:pPr>
        <w:spacing w:after="0" w:line="240" w:lineRule="auto"/>
        <w:jc w:val="both"/>
      </w:pPr>
    </w:p>
    <w:p w14:paraId="3CF08465" w14:textId="7347D0E8" w:rsidR="00AB3E55" w:rsidRPr="00AB3E55" w:rsidRDefault="00AB3E55" w:rsidP="00AB3E55">
      <w:pPr>
        <w:spacing w:after="0" w:line="240" w:lineRule="auto"/>
        <w:jc w:val="both"/>
      </w:pPr>
      <w:r w:rsidRPr="00AB3E55">
        <w:t xml:space="preserve">Les espèces envahissantes sont souvent extrêmement difficile, voire impossible à enlever une fois établie dans un nouvel environnement. </w:t>
      </w:r>
      <w:r w:rsidRPr="00AB3E55">
        <w:rPr>
          <w:i/>
          <w:iCs/>
        </w:rPr>
        <w:t>Il est important de prévenir l'introduction et / ou la propagation des espèces envahissantes.</w:t>
      </w:r>
    </w:p>
    <w:p w14:paraId="4127FD5D" w14:textId="544FFF5A" w:rsidR="002820DA" w:rsidRPr="002820DA" w:rsidRDefault="00AB3E55" w:rsidP="002820DA">
      <w:pPr>
        <w:spacing w:after="0" w:line="240" w:lineRule="auto"/>
        <w:jc w:val="both"/>
        <w:rPr>
          <w:color w:val="0563C1" w:themeColor="hyperlink"/>
          <w:u w:val="single"/>
        </w:rPr>
      </w:pPr>
      <w:r>
        <w:t xml:space="preserve">Source : </w:t>
      </w:r>
      <w:hyperlink r:id="rId4528" w:history="1">
        <w:r w:rsidRPr="00AB3E55">
          <w:rPr>
            <w:rStyle w:val="Lienhypertexte"/>
          </w:rPr>
          <w:t>http://www.invadingspecies.com/invaders/</w:t>
        </w:r>
      </w:hyperlink>
    </w:p>
    <w:p w14:paraId="7E46F593" w14:textId="744651BC" w:rsidR="00D12C5E" w:rsidRDefault="00D12C5E">
      <w:r>
        <w:br w:type="page"/>
      </w:r>
    </w:p>
    <w:p w14:paraId="48BA8F15" w14:textId="77777777" w:rsidR="002B0EA7" w:rsidRDefault="002B0EA7" w:rsidP="007D7307">
      <w:pPr>
        <w:spacing w:after="0" w:line="240" w:lineRule="auto"/>
        <w:jc w:val="both"/>
      </w:pPr>
    </w:p>
    <w:tbl>
      <w:tblPr>
        <w:tblW w:w="0" w:type="auto"/>
        <w:tblCellMar>
          <w:left w:w="0" w:type="dxa"/>
          <w:right w:w="0" w:type="dxa"/>
        </w:tblCellMar>
        <w:tblLook w:val="0600" w:firstRow="0" w:lastRow="0" w:firstColumn="0" w:lastColumn="0" w:noHBand="1" w:noVBand="1"/>
      </w:tblPr>
      <w:tblGrid>
        <w:gridCol w:w="3528"/>
        <w:gridCol w:w="3109"/>
        <w:gridCol w:w="3769"/>
      </w:tblGrid>
      <w:tr w:rsidR="002B0EA7" w:rsidRPr="002B0EA7" w14:paraId="44A65A3B" w14:textId="77777777" w:rsidTr="002B0EA7">
        <w:trPr>
          <w:trHeight w:val="321"/>
        </w:trPr>
        <w:tc>
          <w:tcPr>
            <w:tcW w:w="0" w:type="auto"/>
            <w:gridSpan w:val="2"/>
            <w:tcBorders>
              <w:top w:val="single" w:sz="8" w:space="0" w:color="000000"/>
              <w:left w:val="single" w:sz="8" w:space="0" w:color="000000"/>
              <w:bottom w:val="single" w:sz="8" w:space="0" w:color="000000"/>
              <w:right w:val="single" w:sz="8" w:space="0" w:color="000000"/>
            </w:tcBorders>
            <w:shd w:val="clear" w:color="auto" w:fill="D9DADB"/>
            <w:tcMar>
              <w:top w:w="15" w:type="dxa"/>
              <w:left w:w="15" w:type="dxa"/>
              <w:bottom w:w="0" w:type="dxa"/>
              <w:right w:w="15" w:type="dxa"/>
            </w:tcMar>
            <w:vAlign w:val="center"/>
            <w:hideMark/>
          </w:tcPr>
          <w:p w14:paraId="1962B0EE" w14:textId="77777777" w:rsidR="002B0EA7" w:rsidRPr="002B0EA7" w:rsidRDefault="002B0EA7" w:rsidP="002B0EA7">
            <w:pPr>
              <w:spacing w:after="0" w:line="240" w:lineRule="auto"/>
              <w:jc w:val="both"/>
              <w:rPr>
                <w:rFonts w:ascii="Calibri" w:hAnsi="Calibri" w:cs="Calibri"/>
              </w:rPr>
            </w:pPr>
            <w:r w:rsidRPr="002B0EA7">
              <w:rPr>
                <w:rFonts w:ascii="Calibri" w:hAnsi="Calibri" w:cs="Calibri"/>
                <w:b/>
                <w:bCs/>
              </w:rPr>
              <w:t>Introductions volontaires</w:t>
            </w:r>
            <w:r w:rsidRPr="002B0EA7">
              <w:rPr>
                <w:rFonts w:ascii="Calibri" w:hAnsi="Calibri" w:cs="Calibri"/>
              </w:rPr>
              <w:t xml:space="preserve"> </w:t>
            </w:r>
          </w:p>
        </w:tc>
        <w:tc>
          <w:tcPr>
            <w:tcW w:w="0" w:type="auto"/>
            <w:tcBorders>
              <w:top w:val="single" w:sz="8" w:space="0" w:color="000000"/>
              <w:left w:val="single" w:sz="8" w:space="0" w:color="000000"/>
              <w:bottom w:val="single" w:sz="8" w:space="0" w:color="000000"/>
              <w:right w:val="single" w:sz="8" w:space="0" w:color="000000"/>
            </w:tcBorders>
            <w:shd w:val="clear" w:color="auto" w:fill="D9DADB"/>
            <w:tcMar>
              <w:top w:w="15" w:type="dxa"/>
              <w:left w:w="15" w:type="dxa"/>
              <w:bottom w:w="0" w:type="dxa"/>
              <w:right w:w="15" w:type="dxa"/>
            </w:tcMar>
            <w:vAlign w:val="center"/>
            <w:hideMark/>
          </w:tcPr>
          <w:p w14:paraId="7A2A525B" w14:textId="77777777" w:rsidR="002B0EA7" w:rsidRPr="002B0EA7" w:rsidRDefault="002B0EA7" w:rsidP="002B0EA7">
            <w:pPr>
              <w:spacing w:after="0" w:line="240" w:lineRule="auto"/>
              <w:jc w:val="both"/>
              <w:rPr>
                <w:rFonts w:ascii="Calibri" w:hAnsi="Calibri" w:cs="Calibri"/>
              </w:rPr>
            </w:pPr>
            <w:r w:rsidRPr="002B0EA7">
              <w:rPr>
                <w:rFonts w:ascii="Calibri" w:hAnsi="Calibri" w:cs="Calibri"/>
                <w:b/>
                <w:bCs/>
              </w:rPr>
              <w:t>Introductions accidentelles</w:t>
            </w:r>
          </w:p>
        </w:tc>
      </w:tr>
      <w:tr w:rsidR="002B0EA7" w:rsidRPr="002B0EA7" w14:paraId="23C017E0" w14:textId="77777777" w:rsidTr="002B0EA7">
        <w:trPr>
          <w:trHeight w:val="452"/>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3CE055F0" w14:textId="77777777" w:rsidR="002B0EA7" w:rsidRPr="002B0EA7" w:rsidRDefault="002B0EA7" w:rsidP="002B0EA7">
            <w:pPr>
              <w:spacing w:after="0" w:line="240" w:lineRule="auto"/>
              <w:jc w:val="both"/>
              <w:rPr>
                <w:rFonts w:ascii="Calibri" w:hAnsi="Calibri" w:cs="Calibri"/>
              </w:rPr>
            </w:pPr>
            <w:r w:rsidRPr="002B0EA7">
              <w:rPr>
                <w:rFonts w:ascii="Calibri" w:hAnsi="Calibri" w:cs="Calibri"/>
                <w:b/>
                <w:bCs/>
              </w:rPr>
              <w:t>Introductions directes dans l’environnement</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054D9D20" w14:textId="77777777" w:rsidR="002B0EA7" w:rsidRPr="002B0EA7" w:rsidRDefault="002B0EA7" w:rsidP="002B0EA7">
            <w:pPr>
              <w:spacing w:after="0" w:line="240" w:lineRule="auto"/>
              <w:jc w:val="both"/>
              <w:rPr>
                <w:rFonts w:ascii="Calibri" w:hAnsi="Calibri" w:cs="Calibri"/>
              </w:rPr>
            </w:pPr>
            <w:r w:rsidRPr="002B0EA7">
              <w:rPr>
                <w:rFonts w:ascii="Calibri" w:hAnsi="Calibri" w:cs="Calibri"/>
                <w:b/>
                <w:bCs/>
              </w:rPr>
              <w:t>Introductions après culture ou captivité</w:t>
            </w:r>
          </w:p>
        </w:tc>
        <w:tc>
          <w:tcPr>
            <w:tcW w:w="0" w:type="auto"/>
            <w:tcBorders>
              <w:top w:val="single" w:sz="8" w:space="0" w:color="000000"/>
              <w:left w:val="single" w:sz="8" w:space="0" w:color="000000"/>
              <w:bottom w:val="nil"/>
              <w:right w:val="single" w:sz="8" w:space="0" w:color="000000"/>
            </w:tcBorders>
            <w:shd w:val="clear" w:color="auto" w:fill="auto"/>
            <w:tcMar>
              <w:top w:w="15" w:type="dxa"/>
              <w:left w:w="15" w:type="dxa"/>
              <w:bottom w:w="0" w:type="dxa"/>
              <w:right w:w="15" w:type="dxa"/>
            </w:tcMar>
            <w:hideMark/>
          </w:tcPr>
          <w:p w14:paraId="0D918C4D" w14:textId="77777777" w:rsidR="002B0EA7" w:rsidRPr="002B0EA7" w:rsidRDefault="002B0EA7" w:rsidP="002B0EA7">
            <w:pPr>
              <w:spacing w:after="0" w:line="240" w:lineRule="auto"/>
              <w:jc w:val="both"/>
              <w:rPr>
                <w:rFonts w:ascii="Calibri" w:hAnsi="Calibri" w:cs="Calibri"/>
              </w:rPr>
            </w:pPr>
          </w:p>
        </w:tc>
      </w:tr>
      <w:tr w:rsidR="002B0EA7" w:rsidRPr="002B0EA7" w14:paraId="3F14AFD6" w14:textId="77777777" w:rsidTr="002B0EA7">
        <w:trPr>
          <w:trHeight w:val="452"/>
        </w:trPr>
        <w:tc>
          <w:tcPr>
            <w:tcW w:w="0" w:type="auto"/>
            <w:tcBorders>
              <w:top w:val="single" w:sz="8" w:space="0" w:color="000000"/>
              <w:left w:val="single" w:sz="8" w:space="0" w:color="000000"/>
              <w:bottom w:val="nil"/>
              <w:right w:val="single" w:sz="8" w:space="0" w:color="000000"/>
            </w:tcBorders>
            <w:shd w:val="clear" w:color="auto" w:fill="auto"/>
            <w:tcMar>
              <w:top w:w="15" w:type="dxa"/>
              <w:left w:w="15" w:type="dxa"/>
              <w:bottom w:w="0" w:type="dxa"/>
              <w:right w:w="15" w:type="dxa"/>
            </w:tcMar>
            <w:vAlign w:val="center"/>
            <w:hideMark/>
          </w:tcPr>
          <w:p w14:paraId="1B60C52B" w14:textId="77777777" w:rsidR="002B0EA7" w:rsidRPr="002B0EA7" w:rsidRDefault="002B0EA7" w:rsidP="002B0EA7">
            <w:pPr>
              <w:spacing w:after="0" w:line="240" w:lineRule="auto"/>
              <w:jc w:val="both"/>
              <w:rPr>
                <w:rFonts w:ascii="Calibri" w:hAnsi="Calibri" w:cs="Calibri"/>
              </w:rPr>
            </w:pPr>
            <w:r w:rsidRPr="002B0EA7">
              <w:rPr>
                <w:rFonts w:ascii="Calibri" w:hAnsi="Calibri" w:cs="Calibri"/>
              </w:rPr>
              <w:t>Agriculture</w:t>
            </w:r>
          </w:p>
        </w:tc>
        <w:tc>
          <w:tcPr>
            <w:tcW w:w="0" w:type="auto"/>
            <w:tcBorders>
              <w:top w:val="single" w:sz="8" w:space="0" w:color="000000"/>
              <w:left w:val="single" w:sz="8" w:space="0" w:color="000000"/>
              <w:bottom w:val="nil"/>
              <w:right w:val="single" w:sz="8" w:space="0" w:color="000000"/>
            </w:tcBorders>
            <w:shd w:val="clear" w:color="auto" w:fill="auto"/>
            <w:tcMar>
              <w:top w:w="15" w:type="dxa"/>
              <w:left w:w="15" w:type="dxa"/>
              <w:bottom w:w="0" w:type="dxa"/>
              <w:right w:w="15" w:type="dxa"/>
            </w:tcMar>
            <w:vAlign w:val="center"/>
            <w:hideMark/>
          </w:tcPr>
          <w:p w14:paraId="6A78BF76" w14:textId="77777777" w:rsidR="002B0EA7" w:rsidRPr="002B0EA7" w:rsidRDefault="002B0EA7" w:rsidP="002B0EA7">
            <w:pPr>
              <w:spacing w:after="0" w:line="240" w:lineRule="auto"/>
              <w:jc w:val="both"/>
              <w:rPr>
                <w:rFonts w:ascii="Calibri" w:hAnsi="Calibri" w:cs="Calibri"/>
              </w:rPr>
            </w:pPr>
            <w:r w:rsidRPr="002B0EA7">
              <w:rPr>
                <w:rFonts w:ascii="Calibri" w:hAnsi="Calibri" w:cs="Calibri"/>
              </w:rPr>
              <w:t>Evasions de jardins botaniques</w:t>
            </w:r>
          </w:p>
        </w:tc>
        <w:tc>
          <w:tcPr>
            <w:tcW w:w="0" w:type="auto"/>
            <w:tcBorders>
              <w:top w:val="nil"/>
              <w:left w:val="single" w:sz="8" w:space="0" w:color="000000"/>
              <w:bottom w:val="nil"/>
              <w:right w:val="single" w:sz="8" w:space="0" w:color="000000"/>
            </w:tcBorders>
            <w:shd w:val="clear" w:color="auto" w:fill="auto"/>
            <w:tcMar>
              <w:top w:w="15" w:type="dxa"/>
              <w:left w:w="15" w:type="dxa"/>
              <w:bottom w:w="0" w:type="dxa"/>
              <w:right w:w="15" w:type="dxa"/>
            </w:tcMar>
            <w:vAlign w:val="center"/>
            <w:hideMark/>
          </w:tcPr>
          <w:p w14:paraId="3555FE97" w14:textId="77777777" w:rsidR="002B0EA7" w:rsidRPr="002B0EA7" w:rsidRDefault="002B0EA7" w:rsidP="002B0EA7">
            <w:pPr>
              <w:spacing w:after="0" w:line="240" w:lineRule="auto"/>
              <w:jc w:val="both"/>
              <w:rPr>
                <w:rFonts w:ascii="Calibri" w:hAnsi="Calibri" w:cs="Calibri"/>
              </w:rPr>
            </w:pPr>
            <w:r w:rsidRPr="002B0EA7">
              <w:rPr>
                <w:rFonts w:ascii="Calibri" w:hAnsi="Calibri" w:cs="Calibri"/>
              </w:rPr>
              <w:t>Fret maritime et aérien</w:t>
            </w:r>
          </w:p>
        </w:tc>
      </w:tr>
      <w:tr w:rsidR="002B0EA7" w:rsidRPr="002B0EA7" w14:paraId="45AFF3FF" w14:textId="77777777" w:rsidTr="002B0EA7">
        <w:trPr>
          <w:trHeight w:val="252"/>
        </w:trPr>
        <w:tc>
          <w:tcPr>
            <w:tcW w:w="0" w:type="auto"/>
            <w:tcBorders>
              <w:top w:val="nil"/>
              <w:left w:val="single" w:sz="8" w:space="0" w:color="000000"/>
              <w:bottom w:val="nil"/>
              <w:right w:val="single" w:sz="8" w:space="0" w:color="000000"/>
            </w:tcBorders>
            <w:shd w:val="clear" w:color="auto" w:fill="auto"/>
            <w:tcMar>
              <w:top w:w="15" w:type="dxa"/>
              <w:left w:w="15" w:type="dxa"/>
              <w:bottom w:w="0" w:type="dxa"/>
              <w:right w:w="15" w:type="dxa"/>
            </w:tcMar>
            <w:vAlign w:val="center"/>
            <w:hideMark/>
          </w:tcPr>
          <w:p w14:paraId="17AA7B70" w14:textId="77777777" w:rsidR="002B0EA7" w:rsidRPr="002B0EA7" w:rsidRDefault="002B0EA7" w:rsidP="002B0EA7">
            <w:pPr>
              <w:spacing w:after="0" w:line="240" w:lineRule="auto"/>
              <w:jc w:val="both"/>
              <w:rPr>
                <w:rFonts w:ascii="Calibri" w:hAnsi="Calibri" w:cs="Calibri"/>
              </w:rPr>
            </w:pPr>
            <w:r w:rsidRPr="002B0EA7">
              <w:rPr>
                <w:rFonts w:ascii="Calibri" w:hAnsi="Calibri" w:cs="Calibri"/>
              </w:rPr>
              <w:t>Foresterie</w:t>
            </w:r>
          </w:p>
        </w:tc>
        <w:tc>
          <w:tcPr>
            <w:tcW w:w="0" w:type="auto"/>
            <w:tcBorders>
              <w:top w:val="nil"/>
              <w:left w:val="single" w:sz="8" w:space="0" w:color="000000"/>
              <w:bottom w:val="nil"/>
              <w:right w:val="single" w:sz="8" w:space="0" w:color="000000"/>
            </w:tcBorders>
            <w:shd w:val="clear" w:color="auto" w:fill="auto"/>
            <w:tcMar>
              <w:top w:w="15" w:type="dxa"/>
              <w:left w:w="15" w:type="dxa"/>
              <w:bottom w:w="0" w:type="dxa"/>
              <w:right w:w="15" w:type="dxa"/>
            </w:tcMar>
            <w:vAlign w:val="center"/>
            <w:hideMark/>
          </w:tcPr>
          <w:p w14:paraId="024E313D" w14:textId="77777777" w:rsidR="002B0EA7" w:rsidRPr="002B0EA7" w:rsidRDefault="002B0EA7" w:rsidP="002B0EA7">
            <w:pPr>
              <w:spacing w:after="0" w:line="240" w:lineRule="auto"/>
              <w:jc w:val="both"/>
              <w:rPr>
                <w:rFonts w:ascii="Calibri" w:hAnsi="Calibri" w:cs="Calibri"/>
              </w:rPr>
            </w:pPr>
            <w:r w:rsidRPr="002B0EA7">
              <w:rPr>
                <w:rFonts w:ascii="Calibri" w:hAnsi="Calibri" w:cs="Calibri"/>
              </w:rPr>
              <w:t>Jardins privés</w:t>
            </w:r>
          </w:p>
        </w:tc>
        <w:tc>
          <w:tcPr>
            <w:tcW w:w="0" w:type="auto"/>
            <w:tcBorders>
              <w:top w:val="nil"/>
              <w:left w:val="single" w:sz="8" w:space="0" w:color="000000"/>
              <w:bottom w:val="nil"/>
              <w:right w:val="single" w:sz="8" w:space="0" w:color="000000"/>
            </w:tcBorders>
            <w:shd w:val="clear" w:color="auto" w:fill="auto"/>
            <w:tcMar>
              <w:top w:w="15" w:type="dxa"/>
              <w:left w:w="15" w:type="dxa"/>
              <w:bottom w:w="0" w:type="dxa"/>
              <w:right w:w="15" w:type="dxa"/>
            </w:tcMar>
            <w:vAlign w:val="center"/>
            <w:hideMark/>
          </w:tcPr>
          <w:p w14:paraId="0CC39175" w14:textId="77777777" w:rsidR="002B0EA7" w:rsidRPr="002B0EA7" w:rsidRDefault="002B0EA7" w:rsidP="002B0EA7">
            <w:pPr>
              <w:spacing w:after="0" w:line="240" w:lineRule="auto"/>
              <w:jc w:val="both"/>
              <w:rPr>
                <w:rFonts w:ascii="Calibri" w:hAnsi="Calibri" w:cs="Calibri"/>
              </w:rPr>
            </w:pPr>
            <w:r w:rsidRPr="002B0EA7">
              <w:rPr>
                <w:rFonts w:ascii="Calibri" w:hAnsi="Calibri" w:cs="Calibri"/>
              </w:rPr>
              <w:t>Eaux de ballast</w:t>
            </w:r>
          </w:p>
        </w:tc>
      </w:tr>
      <w:tr w:rsidR="002B0EA7" w:rsidRPr="002B0EA7" w14:paraId="39AA6886" w14:textId="77777777" w:rsidTr="002B0EA7">
        <w:trPr>
          <w:trHeight w:val="312"/>
        </w:trPr>
        <w:tc>
          <w:tcPr>
            <w:tcW w:w="0" w:type="auto"/>
            <w:tcBorders>
              <w:top w:val="nil"/>
              <w:left w:val="single" w:sz="8" w:space="0" w:color="000000"/>
              <w:bottom w:val="nil"/>
              <w:right w:val="single" w:sz="8" w:space="0" w:color="000000"/>
            </w:tcBorders>
            <w:shd w:val="clear" w:color="auto" w:fill="auto"/>
            <w:tcMar>
              <w:top w:w="15" w:type="dxa"/>
              <w:left w:w="15" w:type="dxa"/>
              <w:bottom w:w="0" w:type="dxa"/>
              <w:right w:w="15" w:type="dxa"/>
            </w:tcMar>
            <w:hideMark/>
          </w:tcPr>
          <w:p w14:paraId="0A305AD7" w14:textId="77777777" w:rsidR="002B0EA7" w:rsidRPr="002B0EA7" w:rsidRDefault="002B0EA7" w:rsidP="002B0EA7">
            <w:pPr>
              <w:spacing w:after="0" w:line="240" w:lineRule="auto"/>
              <w:jc w:val="both"/>
              <w:rPr>
                <w:rFonts w:ascii="Calibri" w:hAnsi="Calibri" w:cs="Calibri"/>
              </w:rPr>
            </w:pPr>
          </w:p>
        </w:tc>
        <w:tc>
          <w:tcPr>
            <w:tcW w:w="0" w:type="auto"/>
            <w:tcBorders>
              <w:top w:val="nil"/>
              <w:left w:val="single" w:sz="8" w:space="0" w:color="000000"/>
              <w:bottom w:val="nil"/>
              <w:right w:val="single" w:sz="8" w:space="0" w:color="000000"/>
            </w:tcBorders>
            <w:shd w:val="clear" w:color="auto" w:fill="auto"/>
            <w:tcMar>
              <w:top w:w="15" w:type="dxa"/>
              <w:left w:w="15" w:type="dxa"/>
              <w:bottom w:w="0" w:type="dxa"/>
              <w:right w:w="15" w:type="dxa"/>
            </w:tcMar>
            <w:hideMark/>
          </w:tcPr>
          <w:p w14:paraId="7C19B328" w14:textId="77777777" w:rsidR="002B0EA7" w:rsidRPr="002B0EA7" w:rsidRDefault="002B0EA7" w:rsidP="002B0EA7">
            <w:pPr>
              <w:spacing w:after="0" w:line="240" w:lineRule="auto"/>
              <w:jc w:val="both"/>
              <w:rPr>
                <w:rFonts w:ascii="Calibri" w:hAnsi="Calibri" w:cs="Calibri"/>
              </w:rPr>
            </w:pPr>
          </w:p>
        </w:tc>
        <w:tc>
          <w:tcPr>
            <w:tcW w:w="0" w:type="auto"/>
            <w:tcBorders>
              <w:top w:val="nil"/>
              <w:left w:val="single" w:sz="8" w:space="0" w:color="000000"/>
              <w:bottom w:val="nil"/>
              <w:right w:val="single" w:sz="8" w:space="0" w:color="000000"/>
            </w:tcBorders>
            <w:shd w:val="clear" w:color="auto" w:fill="auto"/>
            <w:tcMar>
              <w:top w:w="15" w:type="dxa"/>
              <w:left w:w="15" w:type="dxa"/>
              <w:bottom w:w="0" w:type="dxa"/>
              <w:right w:w="15" w:type="dxa"/>
            </w:tcMar>
            <w:hideMark/>
          </w:tcPr>
          <w:p w14:paraId="00FB098F" w14:textId="77777777" w:rsidR="002B0EA7" w:rsidRPr="002B0EA7" w:rsidRDefault="002B0EA7" w:rsidP="002B0EA7">
            <w:pPr>
              <w:spacing w:after="0" w:line="240" w:lineRule="auto"/>
              <w:jc w:val="both"/>
              <w:rPr>
                <w:rFonts w:ascii="Calibri" w:hAnsi="Calibri" w:cs="Calibri"/>
              </w:rPr>
            </w:pPr>
          </w:p>
        </w:tc>
      </w:tr>
      <w:tr w:rsidR="002B0EA7" w:rsidRPr="002B0EA7" w14:paraId="2174A04B" w14:textId="77777777" w:rsidTr="002B0EA7">
        <w:trPr>
          <w:trHeight w:val="159"/>
        </w:trPr>
        <w:tc>
          <w:tcPr>
            <w:tcW w:w="0" w:type="auto"/>
            <w:tcBorders>
              <w:top w:val="nil"/>
              <w:left w:val="single" w:sz="8" w:space="0" w:color="000000"/>
              <w:bottom w:val="nil"/>
              <w:right w:val="single" w:sz="8" w:space="0" w:color="000000"/>
            </w:tcBorders>
            <w:shd w:val="clear" w:color="auto" w:fill="auto"/>
            <w:tcMar>
              <w:top w:w="15" w:type="dxa"/>
              <w:left w:w="15" w:type="dxa"/>
              <w:bottom w:w="0" w:type="dxa"/>
              <w:right w:w="15" w:type="dxa"/>
            </w:tcMar>
            <w:vAlign w:val="center"/>
            <w:hideMark/>
          </w:tcPr>
          <w:p w14:paraId="5978B1A6" w14:textId="77777777" w:rsidR="002B0EA7" w:rsidRPr="002B0EA7" w:rsidRDefault="002B0EA7" w:rsidP="002B0EA7">
            <w:pPr>
              <w:spacing w:after="0" w:line="240" w:lineRule="auto"/>
              <w:jc w:val="both"/>
              <w:rPr>
                <w:rFonts w:ascii="Calibri" w:hAnsi="Calibri" w:cs="Calibri"/>
              </w:rPr>
            </w:pPr>
            <w:r w:rsidRPr="002B0EA7">
              <w:rPr>
                <w:rFonts w:ascii="Calibri" w:hAnsi="Calibri" w:cs="Calibri"/>
              </w:rPr>
              <w:t>Horticulture</w:t>
            </w:r>
          </w:p>
        </w:tc>
        <w:tc>
          <w:tcPr>
            <w:tcW w:w="0" w:type="auto"/>
            <w:tcBorders>
              <w:top w:val="nil"/>
              <w:left w:val="single" w:sz="8" w:space="0" w:color="000000"/>
              <w:bottom w:val="nil"/>
              <w:right w:val="single" w:sz="8" w:space="0" w:color="000000"/>
            </w:tcBorders>
            <w:shd w:val="clear" w:color="auto" w:fill="auto"/>
            <w:tcMar>
              <w:top w:w="15" w:type="dxa"/>
              <w:left w:w="15" w:type="dxa"/>
              <w:bottom w:w="0" w:type="dxa"/>
              <w:right w:w="15" w:type="dxa"/>
            </w:tcMar>
            <w:vAlign w:val="center"/>
            <w:hideMark/>
          </w:tcPr>
          <w:p w14:paraId="064411DD" w14:textId="77777777" w:rsidR="002B0EA7" w:rsidRPr="002B0EA7" w:rsidRDefault="002B0EA7" w:rsidP="002B0EA7">
            <w:pPr>
              <w:spacing w:after="0" w:line="240" w:lineRule="auto"/>
              <w:jc w:val="both"/>
              <w:rPr>
                <w:rFonts w:ascii="Calibri" w:hAnsi="Calibri" w:cs="Calibri"/>
              </w:rPr>
            </w:pPr>
            <w:r w:rsidRPr="002B0EA7">
              <w:rPr>
                <w:rFonts w:ascii="Calibri" w:hAnsi="Calibri" w:cs="Calibri"/>
              </w:rPr>
              <w:t>Jardineries</w:t>
            </w:r>
          </w:p>
        </w:tc>
        <w:tc>
          <w:tcPr>
            <w:tcW w:w="0" w:type="auto"/>
            <w:tcBorders>
              <w:top w:val="nil"/>
              <w:left w:val="single" w:sz="8" w:space="0" w:color="000000"/>
              <w:bottom w:val="nil"/>
              <w:right w:val="single" w:sz="8" w:space="0" w:color="000000"/>
            </w:tcBorders>
            <w:shd w:val="clear" w:color="auto" w:fill="auto"/>
            <w:tcMar>
              <w:top w:w="15" w:type="dxa"/>
              <w:left w:w="15" w:type="dxa"/>
              <w:bottom w:w="0" w:type="dxa"/>
              <w:right w:w="15" w:type="dxa"/>
            </w:tcMar>
            <w:vAlign w:val="center"/>
            <w:hideMark/>
          </w:tcPr>
          <w:p w14:paraId="7C6DF59E" w14:textId="77777777" w:rsidR="002B0EA7" w:rsidRPr="002B0EA7" w:rsidRDefault="002B0EA7" w:rsidP="002B0EA7">
            <w:pPr>
              <w:spacing w:after="0" w:line="240" w:lineRule="auto"/>
              <w:jc w:val="both"/>
              <w:rPr>
                <w:rFonts w:ascii="Calibri" w:hAnsi="Calibri" w:cs="Calibri"/>
              </w:rPr>
            </w:pPr>
            <w:r w:rsidRPr="002B0EA7">
              <w:rPr>
                <w:rFonts w:ascii="Calibri" w:hAnsi="Calibri" w:cs="Calibri"/>
              </w:rPr>
              <w:t>Coque des navires</w:t>
            </w:r>
          </w:p>
        </w:tc>
      </w:tr>
      <w:tr w:rsidR="002B0EA7" w:rsidRPr="002B0EA7" w14:paraId="011620F3" w14:textId="77777777" w:rsidTr="002B0EA7">
        <w:trPr>
          <w:trHeight w:val="247"/>
        </w:trPr>
        <w:tc>
          <w:tcPr>
            <w:tcW w:w="0" w:type="auto"/>
            <w:tcBorders>
              <w:top w:val="nil"/>
              <w:left w:val="single" w:sz="8" w:space="0" w:color="000000"/>
              <w:bottom w:val="nil"/>
              <w:right w:val="single" w:sz="8" w:space="0" w:color="000000"/>
            </w:tcBorders>
            <w:shd w:val="clear" w:color="auto" w:fill="auto"/>
            <w:tcMar>
              <w:top w:w="15" w:type="dxa"/>
              <w:left w:w="15" w:type="dxa"/>
              <w:bottom w:w="0" w:type="dxa"/>
              <w:right w:w="15" w:type="dxa"/>
            </w:tcMar>
            <w:vAlign w:val="center"/>
            <w:hideMark/>
          </w:tcPr>
          <w:p w14:paraId="12361452" w14:textId="77777777" w:rsidR="002B0EA7" w:rsidRPr="002B0EA7" w:rsidRDefault="002B0EA7" w:rsidP="002B0EA7">
            <w:pPr>
              <w:spacing w:after="0" w:line="240" w:lineRule="auto"/>
              <w:jc w:val="both"/>
              <w:rPr>
                <w:rFonts w:ascii="Calibri" w:hAnsi="Calibri" w:cs="Calibri"/>
              </w:rPr>
            </w:pPr>
            <w:r w:rsidRPr="002B0EA7">
              <w:rPr>
                <w:rFonts w:ascii="Calibri" w:hAnsi="Calibri" w:cs="Calibri"/>
              </w:rPr>
              <w:t>Elevage</w:t>
            </w:r>
          </w:p>
        </w:tc>
        <w:tc>
          <w:tcPr>
            <w:tcW w:w="0" w:type="auto"/>
            <w:tcBorders>
              <w:top w:val="nil"/>
              <w:left w:val="single" w:sz="8" w:space="0" w:color="000000"/>
              <w:bottom w:val="nil"/>
              <w:right w:val="single" w:sz="8" w:space="0" w:color="000000"/>
            </w:tcBorders>
            <w:shd w:val="clear" w:color="auto" w:fill="auto"/>
            <w:tcMar>
              <w:top w:w="15" w:type="dxa"/>
              <w:left w:w="15" w:type="dxa"/>
              <w:bottom w:w="0" w:type="dxa"/>
              <w:right w:w="15" w:type="dxa"/>
            </w:tcMar>
            <w:vAlign w:val="center"/>
            <w:hideMark/>
          </w:tcPr>
          <w:p w14:paraId="3FB654AC" w14:textId="77777777" w:rsidR="002B0EA7" w:rsidRPr="002B0EA7" w:rsidRDefault="002B0EA7" w:rsidP="002B0EA7">
            <w:pPr>
              <w:spacing w:after="0" w:line="240" w:lineRule="auto"/>
              <w:jc w:val="both"/>
              <w:rPr>
                <w:rFonts w:ascii="Calibri" w:hAnsi="Calibri" w:cs="Calibri"/>
              </w:rPr>
            </w:pPr>
            <w:r w:rsidRPr="002B0EA7">
              <w:rPr>
                <w:rFonts w:ascii="Calibri" w:hAnsi="Calibri" w:cs="Calibri"/>
              </w:rPr>
              <w:t>Zoos</w:t>
            </w:r>
          </w:p>
        </w:tc>
        <w:tc>
          <w:tcPr>
            <w:tcW w:w="0" w:type="auto"/>
            <w:tcBorders>
              <w:top w:val="nil"/>
              <w:left w:val="single" w:sz="8" w:space="0" w:color="000000"/>
              <w:bottom w:val="nil"/>
              <w:right w:val="single" w:sz="8" w:space="0" w:color="000000"/>
            </w:tcBorders>
            <w:shd w:val="clear" w:color="auto" w:fill="auto"/>
            <w:tcMar>
              <w:top w:w="15" w:type="dxa"/>
              <w:left w:w="15" w:type="dxa"/>
              <w:bottom w:w="0" w:type="dxa"/>
              <w:right w:w="15" w:type="dxa"/>
            </w:tcMar>
            <w:vAlign w:val="center"/>
            <w:hideMark/>
          </w:tcPr>
          <w:p w14:paraId="50DB1DE1" w14:textId="77777777" w:rsidR="002B0EA7" w:rsidRPr="002B0EA7" w:rsidRDefault="002B0EA7" w:rsidP="002B0EA7">
            <w:pPr>
              <w:spacing w:after="0" w:line="240" w:lineRule="auto"/>
              <w:jc w:val="both"/>
              <w:rPr>
                <w:rFonts w:ascii="Calibri" w:hAnsi="Calibri" w:cs="Calibri"/>
              </w:rPr>
            </w:pPr>
            <w:r w:rsidRPr="002B0EA7">
              <w:rPr>
                <w:rFonts w:ascii="Calibri" w:hAnsi="Calibri" w:cs="Calibri"/>
              </w:rPr>
              <w:t>Véhicules personnels</w:t>
            </w:r>
          </w:p>
        </w:tc>
      </w:tr>
      <w:tr w:rsidR="002B0EA7" w:rsidRPr="002B0EA7" w14:paraId="19B0DC1B" w14:textId="77777777" w:rsidTr="002B0EA7">
        <w:trPr>
          <w:trHeight w:val="247"/>
        </w:trPr>
        <w:tc>
          <w:tcPr>
            <w:tcW w:w="0" w:type="auto"/>
            <w:tcBorders>
              <w:top w:val="nil"/>
              <w:left w:val="single" w:sz="8" w:space="0" w:color="000000"/>
              <w:bottom w:val="nil"/>
              <w:right w:val="single" w:sz="8" w:space="0" w:color="000000"/>
            </w:tcBorders>
            <w:shd w:val="clear" w:color="auto" w:fill="auto"/>
            <w:tcMar>
              <w:top w:w="15" w:type="dxa"/>
              <w:left w:w="15" w:type="dxa"/>
              <w:bottom w:w="0" w:type="dxa"/>
              <w:right w:w="15" w:type="dxa"/>
            </w:tcMar>
            <w:vAlign w:val="center"/>
            <w:hideMark/>
          </w:tcPr>
          <w:p w14:paraId="48FAC672" w14:textId="77777777" w:rsidR="002B0EA7" w:rsidRPr="002B0EA7" w:rsidRDefault="002B0EA7" w:rsidP="002B0EA7">
            <w:pPr>
              <w:spacing w:after="0" w:line="240" w:lineRule="auto"/>
              <w:jc w:val="both"/>
              <w:rPr>
                <w:rFonts w:ascii="Calibri" w:hAnsi="Calibri" w:cs="Calibri"/>
              </w:rPr>
            </w:pPr>
            <w:r w:rsidRPr="002B0EA7">
              <w:rPr>
                <w:rFonts w:ascii="Calibri" w:hAnsi="Calibri" w:cs="Calibri"/>
              </w:rPr>
              <w:t>Lâcher de poissons</w:t>
            </w:r>
          </w:p>
        </w:tc>
        <w:tc>
          <w:tcPr>
            <w:tcW w:w="0" w:type="auto"/>
            <w:tcBorders>
              <w:top w:val="nil"/>
              <w:left w:val="single" w:sz="8" w:space="0" w:color="000000"/>
              <w:bottom w:val="nil"/>
              <w:right w:val="single" w:sz="8" w:space="0" w:color="000000"/>
            </w:tcBorders>
            <w:shd w:val="clear" w:color="auto" w:fill="auto"/>
            <w:tcMar>
              <w:top w:w="15" w:type="dxa"/>
              <w:left w:w="15" w:type="dxa"/>
              <w:bottom w:w="0" w:type="dxa"/>
              <w:right w:w="15" w:type="dxa"/>
            </w:tcMar>
            <w:vAlign w:val="center"/>
            <w:hideMark/>
          </w:tcPr>
          <w:p w14:paraId="579BD7C9" w14:textId="77777777" w:rsidR="002B0EA7" w:rsidRPr="002B0EA7" w:rsidRDefault="002B0EA7" w:rsidP="002B0EA7">
            <w:pPr>
              <w:spacing w:after="0" w:line="240" w:lineRule="auto"/>
              <w:jc w:val="both"/>
              <w:rPr>
                <w:rFonts w:ascii="Calibri" w:hAnsi="Calibri" w:cs="Calibri"/>
              </w:rPr>
            </w:pPr>
            <w:r w:rsidRPr="002B0EA7">
              <w:rPr>
                <w:rFonts w:ascii="Calibri" w:hAnsi="Calibri" w:cs="Calibri"/>
              </w:rPr>
              <w:t>Elevages d’animaux</w:t>
            </w:r>
          </w:p>
        </w:tc>
        <w:tc>
          <w:tcPr>
            <w:tcW w:w="0" w:type="auto"/>
            <w:tcBorders>
              <w:top w:val="nil"/>
              <w:left w:val="single" w:sz="8" w:space="0" w:color="000000"/>
              <w:bottom w:val="nil"/>
              <w:right w:val="single" w:sz="8" w:space="0" w:color="000000"/>
            </w:tcBorders>
            <w:shd w:val="clear" w:color="auto" w:fill="auto"/>
            <w:tcMar>
              <w:top w:w="15" w:type="dxa"/>
              <w:left w:w="15" w:type="dxa"/>
              <w:bottom w:w="0" w:type="dxa"/>
              <w:right w:w="15" w:type="dxa"/>
            </w:tcMar>
            <w:vAlign w:val="center"/>
            <w:hideMark/>
          </w:tcPr>
          <w:p w14:paraId="10B20D31" w14:textId="77777777" w:rsidR="002B0EA7" w:rsidRPr="002B0EA7" w:rsidRDefault="002B0EA7" w:rsidP="002B0EA7">
            <w:pPr>
              <w:spacing w:after="0" w:line="240" w:lineRule="auto"/>
              <w:jc w:val="both"/>
              <w:rPr>
                <w:rFonts w:ascii="Calibri" w:hAnsi="Calibri" w:cs="Calibri"/>
              </w:rPr>
            </w:pPr>
            <w:r w:rsidRPr="002B0EA7">
              <w:rPr>
                <w:rFonts w:ascii="Calibri" w:hAnsi="Calibri" w:cs="Calibri"/>
              </w:rPr>
              <w:t>Engins de transport et de</w:t>
            </w:r>
          </w:p>
        </w:tc>
      </w:tr>
      <w:tr w:rsidR="002B0EA7" w:rsidRPr="002B0EA7" w14:paraId="48C8A501" w14:textId="77777777" w:rsidTr="002B0EA7">
        <w:trPr>
          <w:trHeight w:val="247"/>
        </w:trPr>
        <w:tc>
          <w:tcPr>
            <w:tcW w:w="0" w:type="auto"/>
            <w:tcBorders>
              <w:top w:val="nil"/>
              <w:left w:val="single" w:sz="8" w:space="0" w:color="000000"/>
              <w:bottom w:val="nil"/>
              <w:right w:val="single" w:sz="8" w:space="0" w:color="000000"/>
            </w:tcBorders>
            <w:shd w:val="clear" w:color="auto" w:fill="auto"/>
            <w:tcMar>
              <w:top w:w="15" w:type="dxa"/>
              <w:left w:w="15" w:type="dxa"/>
              <w:bottom w:w="0" w:type="dxa"/>
              <w:right w:w="15" w:type="dxa"/>
            </w:tcMar>
            <w:vAlign w:val="center"/>
            <w:hideMark/>
          </w:tcPr>
          <w:p w14:paraId="30F8C057" w14:textId="77777777" w:rsidR="002B0EA7" w:rsidRPr="002B0EA7" w:rsidRDefault="002B0EA7" w:rsidP="002B0EA7">
            <w:pPr>
              <w:spacing w:after="0" w:line="240" w:lineRule="auto"/>
              <w:jc w:val="both"/>
              <w:rPr>
                <w:rFonts w:ascii="Calibri" w:hAnsi="Calibri" w:cs="Calibri"/>
              </w:rPr>
            </w:pPr>
            <w:r w:rsidRPr="002B0EA7">
              <w:rPr>
                <w:rFonts w:ascii="Calibri" w:hAnsi="Calibri" w:cs="Calibri"/>
              </w:rPr>
              <w:t>Lâcher de mammifères</w:t>
            </w:r>
          </w:p>
        </w:tc>
        <w:tc>
          <w:tcPr>
            <w:tcW w:w="0" w:type="auto"/>
            <w:tcBorders>
              <w:top w:val="nil"/>
              <w:left w:val="single" w:sz="8" w:space="0" w:color="000000"/>
              <w:bottom w:val="nil"/>
              <w:right w:val="single" w:sz="8" w:space="0" w:color="000000"/>
            </w:tcBorders>
            <w:shd w:val="clear" w:color="auto" w:fill="auto"/>
            <w:tcMar>
              <w:top w:w="15" w:type="dxa"/>
              <w:left w:w="15" w:type="dxa"/>
              <w:bottom w:w="0" w:type="dxa"/>
              <w:right w:w="15" w:type="dxa"/>
            </w:tcMar>
            <w:vAlign w:val="center"/>
            <w:hideMark/>
          </w:tcPr>
          <w:p w14:paraId="51F79CDA" w14:textId="77777777" w:rsidR="002B0EA7" w:rsidRPr="002B0EA7" w:rsidRDefault="002B0EA7" w:rsidP="002B0EA7">
            <w:pPr>
              <w:spacing w:after="0" w:line="240" w:lineRule="auto"/>
              <w:jc w:val="both"/>
              <w:rPr>
                <w:rFonts w:ascii="Calibri" w:hAnsi="Calibri" w:cs="Calibri"/>
              </w:rPr>
            </w:pPr>
            <w:r w:rsidRPr="002B0EA7">
              <w:rPr>
                <w:rFonts w:ascii="Calibri" w:hAnsi="Calibri" w:cs="Calibri"/>
              </w:rPr>
              <w:t>Apiculture</w:t>
            </w:r>
          </w:p>
        </w:tc>
        <w:tc>
          <w:tcPr>
            <w:tcW w:w="0" w:type="auto"/>
            <w:tcBorders>
              <w:top w:val="nil"/>
              <w:left w:val="single" w:sz="8" w:space="0" w:color="000000"/>
              <w:bottom w:val="nil"/>
              <w:right w:val="single" w:sz="8" w:space="0" w:color="000000"/>
            </w:tcBorders>
            <w:shd w:val="clear" w:color="auto" w:fill="auto"/>
            <w:tcMar>
              <w:top w:w="15" w:type="dxa"/>
              <w:left w:w="15" w:type="dxa"/>
              <w:bottom w:w="0" w:type="dxa"/>
              <w:right w:w="15" w:type="dxa"/>
            </w:tcMar>
            <w:vAlign w:val="center"/>
            <w:hideMark/>
          </w:tcPr>
          <w:p w14:paraId="23492978" w14:textId="315A47AD" w:rsidR="002B0EA7" w:rsidRPr="002B0EA7" w:rsidRDefault="002B0EA7" w:rsidP="002B0EA7">
            <w:pPr>
              <w:spacing w:after="0" w:line="240" w:lineRule="auto"/>
              <w:jc w:val="both"/>
              <w:rPr>
                <w:rFonts w:ascii="Calibri" w:hAnsi="Calibri" w:cs="Calibri"/>
              </w:rPr>
            </w:pPr>
            <w:r w:rsidRPr="002B0EA7">
              <w:rPr>
                <w:rFonts w:ascii="Calibri" w:hAnsi="Calibri" w:cs="Calibri"/>
              </w:rPr>
              <w:t>Construction</w:t>
            </w:r>
            <w:r>
              <w:rPr>
                <w:rFonts w:ascii="Calibri" w:hAnsi="Calibri" w:cs="Calibri"/>
              </w:rPr>
              <w:t>.</w:t>
            </w:r>
          </w:p>
        </w:tc>
      </w:tr>
      <w:tr w:rsidR="002B0EA7" w:rsidRPr="002B0EA7" w14:paraId="54E690C9" w14:textId="77777777" w:rsidTr="002B0EA7">
        <w:trPr>
          <w:trHeight w:val="247"/>
        </w:trPr>
        <w:tc>
          <w:tcPr>
            <w:tcW w:w="0" w:type="auto"/>
            <w:tcBorders>
              <w:top w:val="nil"/>
              <w:left w:val="single" w:sz="8" w:space="0" w:color="000000"/>
              <w:bottom w:val="nil"/>
              <w:right w:val="single" w:sz="8" w:space="0" w:color="000000"/>
            </w:tcBorders>
            <w:shd w:val="clear" w:color="auto" w:fill="auto"/>
            <w:tcMar>
              <w:top w:w="15" w:type="dxa"/>
              <w:left w:w="15" w:type="dxa"/>
              <w:bottom w:w="0" w:type="dxa"/>
              <w:right w:w="15" w:type="dxa"/>
            </w:tcMar>
            <w:vAlign w:val="center"/>
            <w:hideMark/>
          </w:tcPr>
          <w:p w14:paraId="546EEAFB" w14:textId="77777777" w:rsidR="002B0EA7" w:rsidRPr="002B0EA7" w:rsidRDefault="002B0EA7" w:rsidP="002B0EA7">
            <w:pPr>
              <w:spacing w:after="0" w:line="240" w:lineRule="auto"/>
              <w:jc w:val="both"/>
              <w:rPr>
                <w:rFonts w:ascii="Calibri" w:hAnsi="Calibri" w:cs="Calibri"/>
              </w:rPr>
            </w:pPr>
            <w:r w:rsidRPr="002B0EA7">
              <w:rPr>
                <w:rFonts w:ascii="Calibri" w:hAnsi="Calibri" w:cs="Calibri"/>
              </w:rPr>
              <w:t>Chasse</w:t>
            </w:r>
          </w:p>
        </w:tc>
        <w:tc>
          <w:tcPr>
            <w:tcW w:w="0" w:type="auto"/>
            <w:tcBorders>
              <w:top w:val="nil"/>
              <w:left w:val="single" w:sz="8" w:space="0" w:color="000000"/>
              <w:bottom w:val="nil"/>
              <w:right w:val="single" w:sz="8" w:space="0" w:color="000000"/>
            </w:tcBorders>
            <w:shd w:val="clear" w:color="auto" w:fill="auto"/>
            <w:tcMar>
              <w:top w:w="15" w:type="dxa"/>
              <w:left w:w="15" w:type="dxa"/>
              <w:bottom w:w="0" w:type="dxa"/>
              <w:right w:w="15" w:type="dxa"/>
            </w:tcMar>
            <w:vAlign w:val="center"/>
            <w:hideMark/>
          </w:tcPr>
          <w:p w14:paraId="3E39944C" w14:textId="77777777" w:rsidR="002B0EA7" w:rsidRPr="002B0EA7" w:rsidRDefault="002B0EA7" w:rsidP="002B0EA7">
            <w:pPr>
              <w:spacing w:after="0" w:line="240" w:lineRule="auto"/>
              <w:jc w:val="both"/>
              <w:rPr>
                <w:rFonts w:ascii="Calibri" w:hAnsi="Calibri" w:cs="Calibri"/>
              </w:rPr>
            </w:pPr>
            <w:r w:rsidRPr="002B0EA7">
              <w:rPr>
                <w:rFonts w:ascii="Calibri" w:hAnsi="Calibri" w:cs="Calibri"/>
              </w:rPr>
              <w:t>Aquaculture</w:t>
            </w:r>
          </w:p>
        </w:tc>
        <w:tc>
          <w:tcPr>
            <w:tcW w:w="0" w:type="auto"/>
            <w:tcBorders>
              <w:top w:val="nil"/>
              <w:left w:val="single" w:sz="8" w:space="0" w:color="000000"/>
              <w:bottom w:val="nil"/>
              <w:right w:val="single" w:sz="8" w:space="0" w:color="000000"/>
            </w:tcBorders>
            <w:shd w:val="clear" w:color="auto" w:fill="auto"/>
            <w:tcMar>
              <w:top w:w="15" w:type="dxa"/>
              <w:left w:w="15" w:type="dxa"/>
              <w:bottom w:w="0" w:type="dxa"/>
              <w:right w:w="15" w:type="dxa"/>
            </w:tcMar>
            <w:vAlign w:val="center"/>
            <w:hideMark/>
          </w:tcPr>
          <w:p w14:paraId="41FAFDC7" w14:textId="77777777" w:rsidR="002B0EA7" w:rsidRPr="002B0EA7" w:rsidRDefault="002B0EA7" w:rsidP="002B0EA7">
            <w:pPr>
              <w:spacing w:after="0" w:line="240" w:lineRule="auto"/>
              <w:jc w:val="both"/>
              <w:rPr>
                <w:rFonts w:ascii="Calibri" w:hAnsi="Calibri" w:cs="Calibri"/>
              </w:rPr>
            </w:pPr>
            <w:r w:rsidRPr="002B0EA7">
              <w:rPr>
                <w:rFonts w:ascii="Calibri" w:hAnsi="Calibri" w:cs="Calibri"/>
              </w:rPr>
              <w:t>Denrées agricoles</w:t>
            </w:r>
          </w:p>
        </w:tc>
      </w:tr>
      <w:tr w:rsidR="002B0EA7" w:rsidRPr="002B0EA7" w14:paraId="1B63F20E" w14:textId="77777777" w:rsidTr="002B0EA7">
        <w:trPr>
          <w:trHeight w:val="247"/>
        </w:trPr>
        <w:tc>
          <w:tcPr>
            <w:tcW w:w="0" w:type="auto"/>
            <w:tcBorders>
              <w:top w:val="nil"/>
              <w:left w:val="single" w:sz="8" w:space="0" w:color="000000"/>
              <w:bottom w:val="nil"/>
              <w:right w:val="single" w:sz="8" w:space="0" w:color="000000"/>
            </w:tcBorders>
            <w:shd w:val="clear" w:color="auto" w:fill="auto"/>
            <w:tcMar>
              <w:top w:w="15" w:type="dxa"/>
              <w:left w:w="15" w:type="dxa"/>
              <w:bottom w:w="0" w:type="dxa"/>
              <w:right w:w="15" w:type="dxa"/>
            </w:tcMar>
            <w:vAlign w:val="center"/>
            <w:hideMark/>
          </w:tcPr>
          <w:p w14:paraId="2C4D5287" w14:textId="77777777" w:rsidR="002B0EA7" w:rsidRPr="002B0EA7" w:rsidRDefault="002B0EA7" w:rsidP="002B0EA7">
            <w:pPr>
              <w:spacing w:after="0" w:line="240" w:lineRule="auto"/>
              <w:jc w:val="both"/>
              <w:rPr>
                <w:rFonts w:ascii="Calibri" w:hAnsi="Calibri" w:cs="Calibri"/>
              </w:rPr>
            </w:pPr>
            <w:r w:rsidRPr="002B0EA7">
              <w:rPr>
                <w:rFonts w:ascii="Calibri" w:hAnsi="Calibri" w:cs="Calibri"/>
              </w:rPr>
              <w:t>Contrôle biologique</w:t>
            </w:r>
          </w:p>
        </w:tc>
        <w:tc>
          <w:tcPr>
            <w:tcW w:w="0" w:type="auto"/>
            <w:tcBorders>
              <w:top w:val="nil"/>
              <w:left w:val="single" w:sz="8" w:space="0" w:color="000000"/>
              <w:bottom w:val="nil"/>
              <w:right w:val="single" w:sz="8" w:space="0" w:color="000000"/>
            </w:tcBorders>
            <w:shd w:val="clear" w:color="auto" w:fill="auto"/>
            <w:tcMar>
              <w:top w:w="15" w:type="dxa"/>
              <w:left w:w="15" w:type="dxa"/>
              <w:bottom w:w="0" w:type="dxa"/>
              <w:right w:w="15" w:type="dxa"/>
            </w:tcMar>
            <w:vAlign w:val="center"/>
            <w:hideMark/>
          </w:tcPr>
          <w:p w14:paraId="2D63C0EA" w14:textId="77777777" w:rsidR="002B0EA7" w:rsidRPr="002B0EA7" w:rsidRDefault="002B0EA7" w:rsidP="002B0EA7">
            <w:pPr>
              <w:spacing w:after="0" w:line="240" w:lineRule="auto"/>
              <w:jc w:val="both"/>
              <w:rPr>
                <w:rFonts w:ascii="Calibri" w:hAnsi="Calibri" w:cs="Calibri"/>
              </w:rPr>
            </w:pPr>
            <w:r w:rsidRPr="002B0EA7">
              <w:rPr>
                <w:rFonts w:ascii="Calibri" w:hAnsi="Calibri" w:cs="Calibri"/>
              </w:rPr>
              <w:t>Aquariums</w:t>
            </w:r>
          </w:p>
        </w:tc>
        <w:tc>
          <w:tcPr>
            <w:tcW w:w="0" w:type="auto"/>
            <w:tcBorders>
              <w:top w:val="nil"/>
              <w:left w:val="single" w:sz="8" w:space="0" w:color="000000"/>
              <w:bottom w:val="nil"/>
              <w:right w:val="single" w:sz="8" w:space="0" w:color="000000"/>
            </w:tcBorders>
            <w:shd w:val="clear" w:color="auto" w:fill="auto"/>
            <w:tcMar>
              <w:top w:w="15" w:type="dxa"/>
              <w:left w:w="15" w:type="dxa"/>
              <w:bottom w:w="0" w:type="dxa"/>
              <w:right w:w="15" w:type="dxa"/>
            </w:tcMar>
            <w:vAlign w:val="center"/>
            <w:hideMark/>
          </w:tcPr>
          <w:p w14:paraId="66EC8980" w14:textId="77777777" w:rsidR="002B0EA7" w:rsidRPr="002B0EA7" w:rsidRDefault="002B0EA7" w:rsidP="002B0EA7">
            <w:pPr>
              <w:spacing w:after="0" w:line="240" w:lineRule="auto"/>
              <w:jc w:val="both"/>
              <w:rPr>
                <w:rFonts w:ascii="Calibri" w:hAnsi="Calibri" w:cs="Calibri"/>
              </w:rPr>
            </w:pPr>
            <w:r w:rsidRPr="002B0EA7">
              <w:rPr>
                <w:rFonts w:ascii="Calibri" w:hAnsi="Calibri" w:cs="Calibri"/>
              </w:rPr>
              <w:t>Semences</w:t>
            </w:r>
          </w:p>
        </w:tc>
      </w:tr>
      <w:tr w:rsidR="002B0EA7" w:rsidRPr="002B0EA7" w14:paraId="52A92EAF" w14:textId="77777777" w:rsidTr="002B0EA7">
        <w:trPr>
          <w:trHeight w:val="452"/>
        </w:trPr>
        <w:tc>
          <w:tcPr>
            <w:tcW w:w="0" w:type="auto"/>
            <w:tcBorders>
              <w:top w:val="nil"/>
              <w:left w:val="single" w:sz="8" w:space="0" w:color="000000"/>
              <w:bottom w:val="nil"/>
              <w:right w:val="single" w:sz="8" w:space="0" w:color="000000"/>
            </w:tcBorders>
            <w:shd w:val="clear" w:color="auto" w:fill="auto"/>
            <w:tcMar>
              <w:top w:w="15" w:type="dxa"/>
              <w:left w:w="15" w:type="dxa"/>
              <w:bottom w:w="0" w:type="dxa"/>
              <w:right w:w="15" w:type="dxa"/>
            </w:tcMar>
            <w:vAlign w:val="center"/>
            <w:hideMark/>
          </w:tcPr>
          <w:p w14:paraId="6449D4E8" w14:textId="77777777" w:rsidR="002B0EA7" w:rsidRPr="002B0EA7" w:rsidRDefault="002B0EA7" w:rsidP="002B0EA7">
            <w:pPr>
              <w:spacing w:after="0" w:line="240" w:lineRule="auto"/>
              <w:jc w:val="both"/>
              <w:rPr>
                <w:rFonts w:ascii="Calibri" w:hAnsi="Calibri" w:cs="Calibri"/>
              </w:rPr>
            </w:pPr>
            <w:r w:rsidRPr="002B0EA7">
              <w:rPr>
                <w:rFonts w:ascii="Calibri" w:hAnsi="Calibri" w:cs="Calibri"/>
              </w:rPr>
              <w:t>Amélioration des sols</w:t>
            </w:r>
          </w:p>
        </w:tc>
        <w:tc>
          <w:tcPr>
            <w:tcW w:w="0" w:type="auto"/>
            <w:tcBorders>
              <w:top w:val="nil"/>
              <w:left w:val="single" w:sz="8" w:space="0" w:color="000000"/>
              <w:bottom w:val="nil"/>
              <w:right w:val="single" w:sz="8" w:space="0" w:color="000000"/>
            </w:tcBorders>
            <w:shd w:val="clear" w:color="auto" w:fill="auto"/>
            <w:tcMar>
              <w:top w:w="15" w:type="dxa"/>
              <w:left w:w="15" w:type="dxa"/>
              <w:bottom w:w="0" w:type="dxa"/>
              <w:right w:w="15" w:type="dxa"/>
            </w:tcMar>
            <w:vAlign w:val="center"/>
            <w:hideMark/>
          </w:tcPr>
          <w:p w14:paraId="7F79AF9B" w14:textId="77777777" w:rsidR="002B0EA7" w:rsidRPr="002B0EA7" w:rsidRDefault="002B0EA7" w:rsidP="002B0EA7">
            <w:pPr>
              <w:spacing w:after="0" w:line="240" w:lineRule="auto"/>
              <w:jc w:val="both"/>
              <w:rPr>
                <w:rFonts w:ascii="Calibri" w:hAnsi="Calibri" w:cs="Calibri"/>
              </w:rPr>
            </w:pPr>
            <w:r w:rsidRPr="002B0EA7">
              <w:rPr>
                <w:rFonts w:ascii="Calibri" w:hAnsi="Calibri" w:cs="Calibri"/>
              </w:rPr>
              <w:t>Nouveaux animaux de compagnie</w:t>
            </w:r>
          </w:p>
        </w:tc>
        <w:tc>
          <w:tcPr>
            <w:tcW w:w="0" w:type="auto"/>
            <w:tcBorders>
              <w:top w:val="nil"/>
              <w:left w:val="single" w:sz="8" w:space="0" w:color="000000"/>
              <w:bottom w:val="nil"/>
              <w:right w:val="single" w:sz="8" w:space="0" w:color="000000"/>
            </w:tcBorders>
            <w:shd w:val="clear" w:color="auto" w:fill="auto"/>
            <w:tcMar>
              <w:top w:w="15" w:type="dxa"/>
              <w:left w:w="15" w:type="dxa"/>
              <w:bottom w:w="0" w:type="dxa"/>
              <w:right w:w="15" w:type="dxa"/>
            </w:tcMar>
            <w:vAlign w:val="center"/>
            <w:hideMark/>
          </w:tcPr>
          <w:p w14:paraId="7A52B9A7" w14:textId="05033E7C" w:rsidR="002B0EA7" w:rsidRPr="002B0EA7" w:rsidRDefault="002B0EA7" w:rsidP="002B0EA7">
            <w:pPr>
              <w:spacing w:after="0" w:line="240" w:lineRule="auto"/>
              <w:jc w:val="both"/>
              <w:rPr>
                <w:rFonts w:ascii="Calibri" w:hAnsi="Calibri" w:cs="Calibri"/>
              </w:rPr>
            </w:pPr>
            <w:r w:rsidRPr="002B0EA7">
              <w:rPr>
                <w:rFonts w:ascii="Calibri" w:hAnsi="Calibri" w:cs="Calibri"/>
              </w:rPr>
              <w:t>Matériaux de construction (terre, gravier, sable...)</w:t>
            </w:r>
          </w:p>
        </w:tc>
      </w:tr>
      <w:tr w:rsidR="002B0EA7" w:rsidRPr="002B0EA7" w14:paraId="7BAD2803" w14:textId="77777777" w:rsidTr="002B0EA7">
        <w:trPr>
          <w:trHeight w:val="252"/>
        </w:trPr>
        <w:tc>
          <w:tcPr>
            <w:tcW w:w="0" w:type="auto"/>
            <w:tcBorders>
              <w:top w:val="nil"/>
              <w:left w:val="single" w:sz="8" w:space="0" w:color="000000"/>
              <w:bottom w:val="nil"/>
              <w:right w:val="single" w:sz="8" w:space="0" w:color="000000"/>
            </w:tcBorders>
            <w:shd w:val="clear" w:color="auto" w:fill="auto"/>
            <w:tcMar>
              <w:top w:w="15" w:type="dxa"/>
              <w:left w:w="15" w:type="dxa"/>
              <w:bottom w:w="0" w:type="dxa"/>
              <w:right w:w="15" w:type="dxa"/>
            </w:tcMar>
            <w:vAlign w:val="center"/>
            <w:hideMark/>
          </w:tcPr>
          <w:p w14:paraId="3F70C285" w14:textId="77777777" w:rsidR="002B0EA7" w:rsidRPr="002B0EA7" w:rsidRDefault="002B0EA7" w:rsidP="002B0EA7">
            <w:pPr>
              <w:spacing w:after="0" w:line="240" w:lineRule="auto"/>
              <w:jc w:val="both"/>
              <w:rPr>
                <w:rFonts w:ascii="Calibri" w:hAnsi="Calibri" w:cs="Calibri"/>
              </w:rPr>
            </w:pPr>
            <w:r w:rsidRPr="002B0EA7">
              <w:rPr>
                <w:rFonts w:ascii="Calibri" w:hAnsi="Calibri" w:cs="Calibri"/>
              </w:rPr>
              <w:t>Développement agricole</w:t>
            </w:r>
          </w:p>
        </w:tc>
        <w:tc>
          <w:tcPr>
            <w:tcW w:w="0" w:type="auto"/>
            <w:tcBorders>
              <w:top w:val="nil"/>
              <w:left w:val="single" w:sz="8" w:space="0" w:color="000000"/>
              <w:bottom w:val="nil"/>
              <w:right w:val="single" w:sz="8" w:space="0" w:color="000000"/>
            </w:tcBorders>
            <w:shd w:val="clear" w:color="auto" w:fill="auto"/>
            <w:tcMar>
              <w:top w:w="15" w:type="dxa"/>
              <w:left w:w="15" w:type="dxa"/>
              <w:bottom w:w="0" w:type="dxa"/>
              <w:right w:w="15" w:type="dxa"/>
            </w:tcMar>
            <w:vAlign w:val="center"/>
            <w:hideMark/>
          </w:tcPr>
          <w:p w14:paraId="63E34513" w14:textId="77777777" w:rsidR="002B0EA7" w:rsidRPr="002B0EA7" w:rsidRDefault="002B0EA7" w:rsidP="002B0EA7">
            <w:pPr>
              <w:spacing w:after="0" w:line="240" w:lineRule="auto"/>
              <w:jc w:val="both"/>
              <w:rPr>
                <w:rFonts w:ascii="Calibri" w:hAnsi="Calibri" w:cs="Calibri"/>
              </w:rPr>
            </w:pPr>
            <w:r w:rsidRPr="002B0EA7">
              <w:rPr>
                <w:rFonts w:ascii="Calibri" w:hAnsi="Calibri" w:cs="Calibri"/>
              </w:rPr>
              <w:t>Unités de recherche</w:t>
            </w:r>
          </w:p>
        </w:tc>
        <w:tc>
          <w:tcPr>
            <w:tcW w:w="0" w:type="auto"/>
            <w:tcBorders>
              <w:top w:val="nil"/>
              <w:left w:val="single" w:sz="8" w:space="0" w:color="000000"/>
              <w:bottom w:val="nil"/>
              <w:right w:val="single" w:sz="8" w:space="0" w:color="000000"/>
            </w:tcBorders>
            <w:shd w:val="clear" w:color="auto" w:fill="auto"/>
            <w:tcMar>
              <w:top w:w="15" w:type="dxa"/>
              <w:left w:w="15" w:type="dxa"/>
              <w:bottom w:w="0" w:type="dxa"/>
              <w:right w:w="15" w:type="dxa"/>
            </w:tcMar>
            <w:vAlign w:val="center"/>
            <w:hideMark/>
          </w:tcPr>
          <w:p w14:paraId="20DDE529" w14:textId="45217221" w:rsidR="002B0EA7" w:rsidRPr="002B0EA7" w:rsidRDefault="002B0EA7" w:rsidP="002B0EA7">
            <w:pPr>
              <w:spacing w:after="0" w:line="240" w:lineRule="auto"/>
              <w:jc w:val="both"/>
              <w:rPr>
                <w:rFonts w:ascii="Calibri" w:hAnsi="Calibri" w:cs="Calibri"/>
              </w:rPr>
            </w:pPr>
            <w:r w:rsidRPr="002B0EA7">
              <w:rPr>
                <w:rFonts w:ascii="Calibri" w:hAnsi="Calibri" w:cs="Calibri"/>
              </w:rPr>
              <w:t>Bois</w:t>
            </w:r>
          </w:p>
        </w:tc>
      </w:tr>
      <w:tr w:rsidR="002B0EA7" w:rsidRPr="002B0EA7" w14:paraId="7FFCAE10" w14:textId="77777777" w:rsidTr="002B0EA7">
        <w:trPr>
          <w:trHeight w:val="312"/>
        </w:trPr>
        <w:tc>
          <w:tcPr>
            <w:tcW w:w="0" w:type="auto"/>
            <w:tcBorders>
              <w:top w:val="nil"/>
              <w:left w:val="single" w:sz="8" w:space="0" w:color="000000"/>
              <w:bottom w:val="nil"/>
              <w:right w:val="single" w:sz="8" w:space="0" w:color="000000"/>
            </w:tcBorders>
            <w:shd w:val="clear" w:color="auto" w:fill="auto"/>
            <w:tcMar>
              <w:top w:w="15" w:type="dxa"/>
              <w:left w:w="15" w:type="dxa"/>
              <w:bottom w:w="0" w:type="dxa"/>
              <w:right w:w="15" w:type="dxa"/>
            </w:tcMar>
            <w:hideMark/>
          </w:tcPr>
          <w:p w14:paraId="3CE4FE4A" w14:textId="77777777" w:rsidR="002B0EA7" w:rsidRPr="002B0EA7" w:rsidRDefault="002B0EA7" w:rsidP="002B0EA7">
            <w:pPr>
              <w:spacing w:after="0" w:line="240" w:lineRule="auto"/>
              <w:jc w:val="both"/>
              <w:rPr>
                <w:rFonts w:ascii="Calibri" w:hAnsi="Calibri" w:cs="Calibri"/>
              </w:rPr>
            </w:pPr>
          </w:p>
        </w:tc>
        <w:tc>
          <w:tcPr>
            <w:tcW w:w="0" w:type="auto"/>
            <w:tcBorders>
              <w:top w:val="nil"/>
              <w:left w:val="single" w:sz="8" w:space="0" w:color="000000"/>
              <w:bottom w:val="nil"/>
              <w:right w:val="single" w:sz="8" w:space="0" w:color="000000"/>
            </w:tcBorders>
            <w:shd w:val="clear" w:color="auto" w:fill="auto"/>
            <w:tcMar>
              <w:top w:w="15" w:type="dxa"/>
              <w:left w:w="15" w:type="dxa"/>
              <w:bottom w:w="0" w:type="dxa"/>
              <w:right w:w="15" w:type="dxa"/>
            </w:tcMar>
            <w:hideMark/>
          </w:tcPr>
          <w:p w14:paraId="37FC38D2" w14:textId="77777777" w:rsidR="002B0EA7" w:rsidRPr="002B0EA7" w:rsidRDefault="002B0EA7" w:rsidP="002B0EA7">
            <w:pPr>
              <w:spacing w:after="0" w:line="240" w:lineRule="auto"/>
              <w:jc w:val="both"/>
              <w:rPr>
                <w:rFonts w:ascii="Calibri" w:hAnsi="Calibri" w:cs="Calibri"/>
              </w:rPr>
            </w:pPr>
          </w:p>
        </w:tc>
        <w:tc>
          <w:tcPr>
            <w:tcW w:w="0" w:type="auto"/>
            <w:tcBorders>
              <w:top w:val="nil"/>
              <w:left w:val="single" w:sz="8" w:space="0" w:color="000000"/>
              <w:bottom w:val="nil"/>
              <w:right w:val="single" w:sz="8" w:space="0" w:color="000000"/>
            </w:tcBorders>
            <w:shd w:val="clear" w:color="auto" w:fill="auto"/>
            <w:tcMar>
              <w:top w:w="15" w:type="dxa"/>
              <w:left w:w="15" w:type="dxa"/>
              <w:bottom w:w="0" w:type="dxa"/>
              <w:right w:w="15" w:type="dxa"/>
            </w:tcMar>
            <w:vAlign w:val="center"/>
          </w:tcPr>
          <w:p w14:paraId="621CA542" w14:textId="2F242498" w:rsidR="002B0EA7" w:rsidRPr="002B0EA7" w:rsidRDefault="002B0EA7" w:rsidP="002B0EA7">
            <w:pPr>
              <w:spacing w:after="0" w:line="240" w:lineRule="auto"/>
              <w:jc w:val="both"/>
              <w:rPr>
                <w:rFonts w:ascii="Calibri" w:hAnsi="Calibri" w:cs="Calibri"/>
              </w:rPr>
            </w:pPr>
            <w:r w:rsidRPr="002B0EA7">
              <w:rPr>
                <w:rFonts w:ascii="Calibri" w:hAnsi="Calibri" w:cs="Calibri"/>
              </w:rPr>
              <w:t>Matériaux d’emballage</w:t>
            </w:r>
          </w:p>
        </w:tc>
      </w:tr>
      <w:tr w:rsidR="002B0EA7" w:rsidRPr="002B0EA7" w14:paraId="604CB4A3" w14:textId="77777777" w:rsidTr="002B0EA7">
        <w:trPr>
          <w:trHeight w:val="312"/>
        </w:trPr>
        <w:tc>
          <w:tcPr>
            <w:tcW w:w="0" w:type="auto"/>
            <w:tcBorders>
              <w:top w:val="nil"/>
              <w:left w:val="single" w:sz="8" w:space="0" w:color="000000"/>
              <w:bottom w:val="nil"/>
              <w:right w:val="single" w:sz="8" w:space="0" w:color="000000"/>
            </w:tcBorders>
            <w:shd w:val="clear" w:color="auto" w:fill="auto"/>
            <w:tcMar>
              <w:top w:w="15" w:type="dxa"/>
              <w:left w:w="15" w:type="dxa"/>
              <w:bottom w:w="0" w:type="dxa"/>
              <w:right w:w="15" w:type="dxa"/>
            </w:tcMar>
            <w:hideMark/>
          </w:tcPr>
          <w:p w14:paraId="1BAE9AE5" w14:textId="77777777" w:rsidR="002B0EA7" w:rsidRPr="002B0EA7" w:rsidRDefault="002B0EA7" w:rsidP="002B0EA7">
            <w:pPr>
              <w:spacing w:after="0" w:line="240" w:lineRule="auto"/>
              <w:jc w:val="both"/>
              <w:rPr>
                <w:rFonts w:ascii="Calibri" w:hAnsi="Calibri" w:cs="Calibri"/>
              </w:rPr>
            </w:pPr>
          </w:p>
        </w:tc>
        <w:tc>
          <w:tcPr>
            <w:tcW w:w="0" w:type="auto"/>
            <w:tcBorders>
              <w:top w:val="nil"/>
              <w:left w:val="single" w:sz="8" w:space="0" w:color="000000"/>
              <w:bottom w:val="nil"/>
              <w:right w:val="single" w:sz="8" w:space="0" w:color="000000"/>
            </w:tcBorders>
            <w:shd w:val="clear" w:color="auto" w:fill="auto"/>
            <w:tcMar>
              <w:top w:w="15" w:type="dxa"/>
              <w:left w:w="15" w:type="dxa"/>
              <w:bottom w:w="0" w:type="dxa"/>
              <w:right w:w="15" w:type="dxa"/>
            </w:tcMar>
            <w:hideMark/>
          </w:tcPr>
          <w:p w14:paraId="1478F911" w14:textId="77777777" w:rsidR="002B0EA7" w:rsidRPr="002B0EA7" w:rsidRDefault="002B0EA7" w:rsidP="002B0EA7">
            <w:pPr>
              <w:spacing w:after="0" w:line="240" w:lineRule="auto"/>
              <w:jc w:val="both"/>
              <w:rPr>
                <w:rFonts w:ascii="Calibri" w:hAnsi="Calibri" w:cs="Calibri"/>
              </w:rPr>
            </w:pPr>
          </w:p>
        </w:tc>
        <w:tc>
          <w:tcPr>
            <w:tcW w:w="0" w:type="auto"/>
            <w:tcBorders>
              <w:top w:val="nil"/>
              <w:left w:val="single" w:sz="8" w:space="0" w:color="000000"/>
              <w:bottom w:val="nil"/>
              <w:right w:val="single" w:sz="8" w:space="0" w:color="000000"/>
            </w:tcBorders>
            <w:shd w:val="clear" w:color="auto" w:fill="auto"/>
            <w:tcMar>
              <w:top w:w="15" w:type="dxa"/>
              <w:left w:w="15" w:type="dxa"/>
              <w:bottom w:w="0" w:type="dxa"/>
              <w:right w:w="15" w:type="dxa"/>
            </w:tcMar>
            <w:vAlign w:val="center"/>
          </w:tcPr>
          <w:p w14:paraId="7FF7CBA7" w14:textId="189CB56F" w:rsidR="002B0EA7" w:rsidRPr="002B0EA7" w:rsidRDefault="002B0EA7" w:rsidP="002B0EA7">
            <w:pPr>
              <w:spacing w:after="0" w:line="240" w:lineRule="auto"/>
              <w:jc w:val="both"/>
              <w:rPr>
                <w:rFonts w:ascii="Calibri" w:hAnsi="Calibri" w:cs="Calibri"/>
              </w:rPr>
            </w:pPr>
            <w:r w:rsidRPr="002B0EA7">
              <w:rPr>
                <w:rFonts w:ascii="Calibri" w:hAnsi="Calibri" w:cs="Calibri"/>
              </w:rPr>
              <w:t>Courrier postal</w:t>
            </w:r>
          </w:p>
        </w:tc>
      </w:tr>
      <w:tr w:rsidR="002B0EA7" w:rsidRPr="002B0EA7" w14:paraId="78679517" w14:textId="77777777" w:rsidTr="002B0EA7">
        <w:trPr>
          <w:trHeight w:val="312"/>
        </w:trPr>
        <w:tc>
          <w:tcPr>
            <w:tcW w:w="0" w:type="auto"/>
            <w:tcBorders>
              <w:top w:val="nil"/>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7D11A357" w14:textId="77777777" w:rsidR="002B0EA7" w:rsidRPr="002B0EA7" w:rsidRDefault="002B0EA7" w:rsidP="002B0EA7">
            <w:pPr>
              <w:spacing w:after="0" w:line="240" w:lineRule="auto"/>
              <w:jc w:val="both"/>
              <w:rPr>
                <w:rFonts w:ascii="Calibri" w:hAnsi="Calibri" w:cs="Calibri"/>
              </w:rPr>
            </w:pPr>
          </w:p>
        </w:tc>
        <w:tc>
          <w:tcPr>
            <w:tcW w:w="0" w:type="auto"/>
            <w:tcBorders>
              <w:top w:val="nil"/>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28B42A68" w14:textId="77777777" w:rsidR="002B0EA7" w:rsidRPr="002B0EA7" w:rsidRDefault="002B0EA7" w:rsidP="002B0EA7">
            <w:pPr>
              <w:spacing w:after="0" w:line="240" w:lineRule="auto"/>
              <w:jc w:val="both"/>
              <w:rPr>
                <w:rFonts w:ascii="Calibri" w:hAnsi="Calibri" w:cs="Calibri"/>
              </w:rPr>
            </w:pPr>
          </w:p>
        </w:tc>
        <w:tc>
          <w:tcPr>
            <w:tcW w:w="0" w:type="auto"/>
            <w:tcBorders>
              <w:top w:val="nil"/>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22CB9D8B" w14:textId="77A15DC9" w:rsidR="002B0EA7" w:rsidRPr="002B0EA7" w:rsidRDefault="002B0EA7" w:rsidP="002B0EA7">
            <w:pPr>
              <w:spacing w:after="0" w:line="240" w:lineRule="auto"/>
              <w:jc w:val="both"/>
              <w:rPr>
                <w:rFonts w:ascii="Calibri" w:hAnsi="Calibri" w:cs="Calibri"/>
              </w:rPr>
            </w:pPr>
            <w:r w:rsidRPr="002B0EA7">
              <w:rPr>
                <w:rFonts w:ascii="Calibri" w:hAnsi="Calibri" w:cs="Calibri"/>
              </w:rPr>
              <w:t>Déchets</w:t>
            </w:r>
          </w:p>
        </w:tc>
      </w:tr>
    </w:tbl>
    <w:p w14:paraId="7ECF44D9" w14:textId="1C03F471" w:rsidR="002B0EA7" w:rsidRDefault="00C76444" w:rsidP="00D12C5E">
      <w:pPr>
        <w:spacing w:after="0" w:line="240" w:lineRule="auto"/>
        <w:jc w:val="both"/>
        <w:rPr>
          <w:rStyle w:val="Lienhypertexte"/>
        </w:rPr>
      </w:pPr>
      <w:r w:rsidRPr="00C76444">
        <w:rPr>
          <w:i/>
          <w:iCs/>
        </w:rPr>
        <w:t>Exemples de voies et de vecteurs d’introduction volontaires et accidentels</w:t>
      </w:r>
      <w:r w:rsidRPr="00C76444">
        <w:t xml:space="preserve">. Source : </w:t>
      </w:r>
      <w:r w:rsidRPr="00C76444">
        <w:rPr>
          <w:i/>
          <w:iCs/>
        </w:rPr>
        <w:t>Tableau 2, Espèces exotiques envahissantes dans les collectivités françaises d’outre-mer. Etat des lieux et recommandations</w:t>
      </w:r>
      <w:r w:rsidRPr="00C76444">
        <w:t>, Yohann Soubeyran, Planète Nature</w:t>
      </w:r>
      <w:r>
        <w:t>,</w:t>
      </w:r>
      <w:r w:rsidRPr="00C76444">
        <w:t xml:space="preserve"> Groupe outre-mer, UICN Comité Français, juillet 2008, </w:t>
      </w:r>
      <w:hyperlink r:id="rId4529" w:history="1">
        <w:r w:rsidRPr="00C76444">
          <w:rPr>
            <w:rStyle w:val="Lienhypertexte"/>
          </w:rPr>
          <w:t>http://especes-envahissantes-outremer.fr/pdf/synthese_generale.pdf</w:t>
        </w:r>
      </w:hyperlink>
    </w:p>
    <w:p w14:paraId="33C7049F" w14:textId="77777777" w:rsidR="00EA7131" w:rsidRDefault="00EA7131" w:rsidP="00EA7131">
      <w:pPr>
        <w:spacing w:after="0" w:line="240" w:lineRule="auto"/>
        <w:jc w:val="both"/>
      </w:pPr>
    </w:p>
    <w:p w14:paraId="7509153C" w14:textId="35CD9EE0" w:rsidR="00EA7131" w:rsidRDefault="00EA7131" w:rsidP="00EA7131">
      <w:pPr>
        <w:pStyle w:val="Titre1"/>
      </w:pPr>
      <w:bookmarkStart w:id="425" w:name="_Toc139181714"/>
      <w:r>
        <w:t>Annexe : Que faire quand vous devenez insensible moralement, en raison de traumatismes ?</w:t>
      </w:r>
      <w:bookmarkEnd w:id="425"/>
    </w:p>
    <w:p w14:paraId="788097F4" w14:textId="77777777" w:rsidR="00EA7131" w:rsidRDefault="00EA7131" w:rsidP="00EA7131">
      <w:pPr>
        <w:spacing w:after="0" w:line="240" w:lineRule="auto"/>
        <w:jc w:val="both"/>
      </w:pPr>
    </w:p>
    <w:p w14:paraId="785260E6" w14:textId="77777777" w:rsidR="00EA7131" w:rsidRDefault="00EA7131" w:rsidP="00EA7131">
      <w:pPr>
        <w:spacing w:after="0" w:line="240" w:lineRule="auto"/>
        <w:jc w:val="both"/>
      </w:pPr>
      <w:r>
        <w:t>Si votre traumatisme est une atteinte, une lésion du lobe frontal, centre des émotions et de la raison, le problème est quasiment insoluble. Certains, qui avaient des valeurs morales avant leur trauma, s en ont conscience et font tout pour agir comme un être sensible auprès de leur familles et amis.</w:t>
      </w:r>
    </w:p>
    <w:p w14:paraId="0B5C621A" w14:textId="77777777" w:rsidR="00EA7131" w:rsidRDefault="00EA7131" w:rsidP="00EA7131">
      <w:pPr>
        <w:spacing w:after="0" w:line="240" w:lineRule="auto"/>
        <w:jc w:val="both"/>
      </w:pPr>
    </w:p>
    <w:p w14:paraId="722C2D60" w14:textId="77777777" w:rsidR="00EA7131" w:rsidRDefault="00EA7131" w:rsidP="00EA7131">
      <w:pPr>
        <w:spacing w:after="0" w:line="240" w:lineRule="auto"/>
        <w:jc w:val="both"/>
      </w:pPr>
      <w:r>
        <w:t>Nous avons aussi le cas de cette perte de sensibilité, en raison de syndromes de stress post-traumatiques, liés :</w:t>
      </w:r>
    </w:p>
    <w:p w14:paraId="23D5A2FA" w14:textId="77777777" w:rsidR="00EA7131" w:rsidRDefault="00EA7131" w:rsidP="00EA7131">
      <w:pPr>
        <w:spacing w:after="0" w:line="240" w:lineRule="auto"/>
        <w:jc w:val="both"/>
      </w:pPr>
    </w:p>
    <w:p w14:paraId="55DA2843" w14:textId="77777777" w:rsidR="00EA7131" w:rsidRDefault="00EA7131" w:rsidP="00EA7131">
      <w:pPr>
        <w:pStyle w:val="Paragraphedeliste"/>
        <w:numPr>
          <w:ilvl w:val="0"/>
          <w:numId w:val="100"/>
        </w:numPr>
        <w:spacing w:after="0" w:line="240" w:lineRule="auto"/>
        <w:jc w:val="both"/>
      </w:pPr>
      <w:r>
        <w:t>A une enfance dysfonctionnelle (maltraitances psychologiques et carences affectives graves, comme dans le cas des tueurs en série (à qui l’on n’a pas fourni de garde-fous moraux). Mais heureusement, tous les enfants maltraités et carencés et/ou sans garde-fou, ne deviennent pas tueurs en série).</w:t>
      </w:r>
    </w:p>
    <w:p w14:paraId="2D476B35" w14:textId="77777777" w:rsidR="00EA7131" w:rsidRDefault="00EA7131" w:rsidP="00EA7131">
      <w:pPr>
        <w:pStyle w:val="Paragraphedeliste"/>
        <w:numPr>
          <w:ilvl w:val="0"/>
          <w:numId w:val="100"/>
        </w:numPr>
        <w:spacing w:after="0" w:line="240" w:lineRule="auto"/>
        <w:jc w:val="both"/>
      </w:pPr>
      <w:r>
        <w:t>A une guerre, à une agression, à un attentat terroriste. Il y a, dans ces derniers cas, des possibilités de réparations psychologiques et de résilience. Une longue thérapie psy et des valeurs morales peuvent y aider.</w:t>
      </w:r>
    </w:p>
    <w:p w14:paraId="21B4E522" w14:textId="73092341" w:rsidR="00EA7131" w:rsidRDefault="00EA7131">
      <w:pPr>
        <w:rPr>
          <w:rStyle w:val="Lienhypertexte"/>
        </w:rPr>
      </w:pPr>
    </w:p>
    <w:p w14:paraId="7D194EC8" w14:textId="1DDDA134" w:rsidR="00E31215" w:rsidRDefault="00E31215" w:rsidP="00E31215">
      <w:pPr>
        <w:pStyle w:val="Titre1"/>
      </w:pPr>
      <w:bookmarkStart w:id="426" w:name="_Toc53729885"/>
      <w:bookmarkStart w:id="427" w:name="_Toc139181715"/>
      <w:r>
        <w:t>Annexe : Préconisations pour lutter contre la corruption</w:t>
      </w:r>
      <w:bookmarkEnd w:id="426"/>
      <w:bookmarkEnd w:id="427"/>
    </w:p>
    <w:p w14:paraId="4EF03D1A" w14:textId="77777777" w:rsidR="00E31215" w:rsidRDefault="00E31215" w:rsidP="00E31215">
      <w:pPr>
        <w:spacing w:after="0" w:line="240" w:lineRule="auto"/>
        <w:jc w:val="both"/>
      </w:pPr>
    </w:p>
    <w:p w14:paraId="7164DE64" w14:textId="77777777" w:rsidR="00E31215" w:rsidRDefault="00E31215" w:rsidP="00E31215">
      <w:pPr>
        <w:spacing w:after="0" w:line="240" w:lineRule="auto"/>
      </w:pPr>
      <w:r>
        <w:t>Pour lutter contre la corruption, il faut (selon l’auteur) :</w:t>
      </w:r>
    </w:p>
    <w:p w14:paraId="45B49B43" w14:textId="77777777" w:rsidR="00E31215" w:rsidRDefault="00E31215" w:rsidP="00E31215">
      <w:pPr>
        <w:spacing w:after="0" w:line="240" w:lineRule="auto"/>
      </w:pPr>
    </w:p>
    <w:p w14:paraId="3CB539C6" w14:textId="18BDE294" w:rsidR="00E31215" w:rsidRDefault="00E31215" w:rsidP="00BA431F">
      <w:pPr>
        <w:pStyle w:val="Paragraphedeliste"/>
        <w:numPr>
          <w:ilvl w:val="0"/>
          <w:numId w:val="123"/>
        </w:numPr>
        <w:spacing w:after="0" w:line="240" w:lineRule="auto"/>
        <w:contextualSpacing w:val="0"/>
        <w:rPr>
          <w:rFonts w:eastAsia="Times New Roman"/>
        </w:rPr>
      </w:pPr>
      <w:r>
        <w:rPr>
          <w:rFonts w:eastAsia="Times New Roman"/>
        </w:rPr>
        <w:t>L’indépendance de la justice (du pouvoir judiciaire) (par rapport au pouvoir exécutif, législatif),</w:t>
      </w:r>
    </w:p>
    <w:p w14:paraId="0F763201" w14:textId="77777777" w:rsidR="00E31215" w:rsidRDefault="00E31215" w:rsidP="00BA431F">
      <w:pPr>
        <w:pStyle w:val="Paragraphedeliste"/>
        <w:numPr>
          <w:ilvl w:val="0"/>
          <w:numId w:val="123"/>
        </w:numPr>
        <w:spacing w:after="0" w:line="240" w:lineRule="auto"/>
        <w:contextualSpacing w:val="0"/>
        <w:rPr>
          <w:rFonts w:eastAsia="Times New Roman"/>
        </w:rPr>
      </w:pPr>
      <w:r>
        <w:rPr>
          <w:rFonts w:eastAsia="Times New Roman"/>
        </w:rPr>
        <w:t>L’indépendance de la presse et des médias (par rapport au pouvoir),</w:t>
      </w:r>
    </w:p>
    <w:p w14:paraId="4469185F" w14:textId="77777777" w:rsidR="00E31215" w:rsidRDefault="00E31215" w:rsidP="00BA431F">
      <w:pPr>
        <w:pStyle w:val="Paragraphedeliste"/>
        <w:numPr>
          <w:ilvl w:val="0"/>
          <w:numId w:val="123"/>
        </w:numPr>
        <w:spacing w:after="0" w:line="240" w:lineRule="auto"/>
        <w:contextualSpacing w:val="0"/>
        <w:rPr>
          <w:rFonts w:eastAsia="Times New Roman"/>
        </w:rPr>
      </w:pPr>
      <w:r>
        <w:rPr>
          <w:rFonts w:eastAsia="Times New Roman"/>
        </w:rPr>
        <w:t>Il faut donc la liberté d’expression (garantie par la loi) et une vraie démocratie pluraliste,</w:t>
      </w:r>
    </w:p>
    <w:p w14:paraId="0ED8BD58" w14:textId="77777777" w:rsidR="00E31215" w:rsidRDefault="00E31215" w:rsidP="00BA431F">
      <w:pPr>
        <w:pStyle w:val="Paragraphedeliste"/>
        <w:numPr>
          <w:ilvl w:val="0"/>
          <w:numId w:val="123"/>
        </w:numPr>
        <w:spacing w:after="0" w:line="240" w:lineRule="auto"/>
        <w:contextualSpacing w:val="0"/>
        <w:rPr>
          <w:rFonts w:eastAsia="Times New Roman"/>
        </w:rPr>
      </w:pPr>
      <w:r>
        <w:rPr>
          <w:rFonts w:eastAsia="Times New Roman"/>
        </w:rPr>
        <w:t>Des journalistes d’investigation,</w:t>
      </w:r>
    </w:p>
    <w:p w14:paraId="2BE4A1BA" w14:textId="77777777" w:rsidR="00E31215" w:rsidRDefault="00E31215" w:rsidP="00BA431F">
      <w:pPr>
        <w:pStyle w:val="Paragraphedeliste"/>
        <w:numPr>
          <w:ilvl w:val="0"/>
          <w:numId w:val="123"/>
        </w:numPr>
        <w:spacing w:after="0" w:line="240" w:lineRule="auto"/>
        <w:contextualSpacing w:val="0"/>
        <w:rPr>
          <w:rFonts w:eastAsia="Times New Roman"/>
        </w:rPr>
      </w:pPr>
      <w:r>
        <w:rPr>
          <w:rFonts w:eastAsia="Times New Roman"/>
        </w:rPr>
        <w:t>Il faut la transparence des salaires, des possessions (biens matériels, financiers …) et des dépenses des députés, visibles, consultables par tous les électeurs, sur le/un site web du gouvernement,</w:t>
      </w:r>
    </w:p>
    <w:p w14:paraId="7D1D1E5B" w14:textId="55BE2E5B" w:rsidR="00E31215" w:rsidRDefault="00E31215" w:rsidP="00BA431F">
      <w:pPr>
        <w:pStyle w:val="Paragraphedeliste"/>
        <w:numPr>
          <w:ilvl w:val="0"/>
          <w:numId w:val="123"/>
        </w:numPr>
        <w:spacing w:after="0" w:line="240" w:lineRule="auto"/>
        <w:contextualSpacing w:val="0"/>
        <w:rPr>
          <w:rFonts w:eastAsia="Times New Roman"/>
        </w:rPr>
      </w:pPr>
      <w:r>
        <w:rPr>
          <w:rFonts w:eastAsia="Times New Roman"/>
        </w:rPr>
        <w:t>Une formation de qualité des magistrats au niveau de l’école de la magistrature (indépendante par rapport au pouvoir)</w:t>
      </w:r>
      <w:r w:rsidR="00EE391A">
        <w:rPr>
          <w:rFonts w:eastAsia="Times New Roman"/>
        </w:rPr>
        <w:t>. Idem pour les policiers. Il faut aussi que les magistrats et policiers soient payés en conséquence.</w:t>
      </w:r>
    </w:p>
    <w:p w14:paraId="61227554" w14:textId="6FA4BC6D" w:rsidR="00E31215" w:rsidRDefault="00E31215" w:rsidP="00BA431F">
      <w:pPr>
        <w:pStyle w:val="Paragraphedeliste"/>
        <w:numPr>
          <w:ilvl w:val="0"/>
          <w:numId w:val="123"/>
        </w:numPr>
        <w:spacing w:after="0" w:line="240" w:lineRule="auto"/>
        <w:contextualSpacing w:val="0"/>
        <w:rPr>
          <w:rFonts w:eastAsia="Times New Roman"/>
        </w:rPr>
      </w:pPr>
      <w:r>
        <w:rPr>
          <w:rFonts w:eastAsia="Times New Roman"/>
        </w:rPr>
        <w:t>Une formation</w:t>
      </w:r>
      <w:r w:rsidR="00EE391A">
        <w:rPr>
          <w:rFonts w:eastAsia="Times New Roman"/>
        </w:rPr>
        <w:t xml:space="preserve"> des enfants</w:t>
      </w:r>
      <w:r>
        <w:rPr>
          <w:rFonts w:eastAsia="Times New Roman"/>
        </w:rPr>
        <w:t>, très tôt, dans les écoles à l’esprit civique, à l’honnêteté, au goût de l’effort.</w:t>
      </w:r>
    </w:p>
    <w:p w14:paraId="01FC037E" w14:textId="77777777" w:rsidR="00E31215" w:rsidRDefault="00E31215" w:rsidP="00BA431F">
      <w:pPr>
        <w:pStyle w:val="Paragraphedeliste"/>
        <w:numPr>
          <w:ilvl w:val="0"/>
          <w:numId w:val="123"/>
        </w:numPr>
        <w:spacing w:after="0" w:line="240" w:lineRule="auto"/>
        <w:contextualSpacing w:val="0"/>
        <w:rPr>
          <w:rFonts w:eastAsia="Times New Roman"/>
        </w:rPr>
      </w:pPr>
      <w:r>
        <w:rPr>
          <w:rFonts w:eastAsia="Times New Roman"/>
        </w:rPr>
        <w:t>Il faut favoriser les ONG de lutte contre la corruption : ANTICOR, Transparency International …</w:t>
      </w:r>
    </w:p>
    <w:p w14:paraId="409A5E1D" w14:textId="77777777" w:rsidR="00E31215" w:rsidRDefault="00E31215">
      <w:pPr>
        <w:rPr>
          <w:rStyle w:val="Lienhypertexte"/>
        </w:rPr>
      </w:pPr>
    </w:p>
    <w:p w14:paraId="751DE4A8" w14:textId="77777777" w:rsidR="00C345E1" w:rsidRDefault="00C345E1" w:rsidP="00C345E1">
      <w:pPr>
        <w:pStyle w:val="Titre1"/>
      </w:pPr>
      <w:bookmarkStart w:id="428" w:name="_Toc139181716"/>
      <w:r>
        <w:t>Associations, organisations, ONG</w:t>
      </w:r>
      <w:bookmarkEnd w:id="428"/>
    </w:p>
    <w:p w14:paraId="16DA09C7" w14:textId="77777777" w:rsidR="00C345E1" w:rsidRDefault="00C345E1" w:rsidP="00C345E1">
      <w:pPr>
        <w:spacing w:after="0" w:line="240" w:lineRule="auto"/>
      </w:pPr>
    </w:p>
    <w:p w14:paraId="45B5DDCD" w14:textId="77777777" w:rsidR="00C345E1" w:rsidRPr="004A5725" w:rsidRDefault="00C345E1" w:rsidP="00C345E1">
      <w:pPr>
        <w:spacing w:after="0" w:line="240" w:lineRule="auto"/>
        <w:rPr>
          <w:lang w:val="en-GB"/>
        </w:rPr>
      </w:pPr>
      <w:r w:rsidRPr="004A5725">
        <w:rPr>
          <w:lang w:val="en-GB"/>
        </w:rPr>
        <w:t>[</w:t>
      </w:r>
      <w:r>
        <w:rPr>
          <w:lang w:val="en-GB"/>
        </w:rPr>
        <w:t>200</w:t>
      </w:r>
      <w:r w:rsidRPr="004A5725">
        <w:rPr>
          <w:lang w:val="en-GB"/>
        </w:rPr>
        <w:t>]</w:t>
      </w:r>
      <w:r>
        <w:rPr>
          <w:lang w:val="en-GB"/>
        </w:rPr>
        <w:t xml:space="preserve"> a)</w:t>
      </w:r>
      <w:r w:rsidRPr="004A5725">
        <w:rPr>
          <w:lang w:val="en-GB"/>
        </w:rPr>
        <w:t xml:space="preserve"> </w:t>
      </w:r>
      <w:r w:rsidRPr="00C345E1">
        <w:rPr>
          <w:b/>
          <w:bCs/>
          <w:lang w:val="en-GB"/>
        </w:rPr>
        <w:t>World Agroforestry Centre</w:t>
      </w:r>
      <w:r>
        <w:rPr>
          <w:lang w:val="en-GB"/>
        </w:rPr>
        <w:t>, Kenya</w:t>
      </w:r>
      <w:r w:rsidRPr="004A5725">
        <w:rPr>
          <w:lang w:val="en-GB"/>
        </w:rPr>
        <w:t>,</w:t>
      </w:r>
      <w:r>
        <w:rPr>
          <w:lang w:val="en-GB"/>
        </w:rPr>
        <w:t xml:space="preserve"> site :</w:t>
      </w:r>
      <w:r w:rsidRPr="004A5725">
        <w:rPr>
          <w:lang w:val="en-GB"/>
        </w:rPr>
        <w:t xml:space="preserve"> </w:t>
      </w:r>
      <w:hyperlink r:id="rId4530" w:history="1">
        <w:r w:rsidRPr="00313E03">
          <w:rPr>
            <w:rStyle w:val="Lienhypertexte"/>
            <w:lang w:val="en-GB"/>
          </w:rPr>
          <w:t>https://www.worldagroforestry.org/</w:t>
        </w:r>
      </w:hyperlink>
      <w:r>
        <w:rPr>
          <w:lang w:val="en-GB"/>
        </w:rPr>
        <w:t xml:space="preserve"> </w:t>
      </w:r>
    </w:p>
    <w:p w14:paraId="6D0AD863" w14:textId="77777777" w:rsidR="00C345E1" w:rsidRPr="00253750" w:rsidRDefault="00C345E1" w:rsidP="00C345E1">
      <w:pPr>
        <w:spacing w:after="0" w:line="240" w:lineRule="auto"/>
      </w:pPr>
      <w:r>
        <w:t>b)</w:t>
      </w:r>
      <w:r w:rsidRPr="00253750">
        <w:t xml:space="preserve"> Projet Drylands transform [Transformation des terres arides] (Kenya , Ouganda, 01/2020-12/2024), </w:t>
      </w:r>
      <w:hyperlink r:id="rId4531" w:history="1">
        <w:r w:rsidRPr="00313E03">
          <w:rPr>
            <w:rStyle w:val="Lienhypertexte"/>
          </w:rPr>
          <w:t>https://www.worldagroforestry.org/project/drylands-transform</w:t>
        </w:r>
      </w:hyperlink>
      <w:r>
        <w:t xml:space="preserve"> </w:t>
      </w:r>
    </w:p>
    <w:p w14:paraId="541C42C7" w14:textId="77777777" w:rsidR="00C345E1" w:rsidRDefault="00C345E1" w:rsidP="00C345E1">
      <w:pPr>
        <w:spacing w:after="0" w:line="240" w:lineRule="auto"/>
        <w:rPr>
          <w:lang w:val="es-AR"/>
        </w:rPr>
      </w:pPr>
      <w:r w:rsidRPr="00C91D8E">
        <w:rPr>
          <w:lang w:val="es-AR"/>
        </w:rPr>
        <w:t>[</w:t>
      </w:r>
      <w:r>
        <w:rPr>
          <w:lang w:val="es-AR"/>
        </w:rPr>
        <w:t>201</w:t>
      </w:r>
      <w:r w:rsidRPr="00C91D8E">
        <w:rPr>
          <w:lang w:val="es-AR"/>
        </w:rPr>
        <w:t>]</w:t>
      </w:r>
      <w:r>
        <w:rPr>
          <w:lang w:val="es-AR"/>
        </w:rPr>
        <w:t>a)</w:t>
      </w:r>
      <w:r w:rsidRPr="00C91D8E">
        <w:rPr>
          <w:lang w:val="es-AR"/>
        </w:rPr>
        <w:t xml:space="preserve"> </w:t>
      </w:r>
      <w:r w:rsidRPr="00C345E1">
        <w:rPr>
          <w:b/>
          <w:bCs/>
          <w:lang w:val="es-AR"/>
        </w:rPr>
        <w:t>SOS Sahel</w:t>
      </w:r>
      <w:r w:rsidRPr="00C91D8E">
        <w:rPr>
          <w:lang w:val="es-AR"/>
        </w:rPr>
        <w:t xml:space="preserve">, </w:t>
      </w:r>
      <w:r>
        <w:rPr>
          <w:lang w:val="es-AR"/>
        </w:rPr>
        <w:t>t</w:t>
      </w:r>
      <w:r w:rsidRPr="001562F1">
        <w:rPr>
          <w:lang w:val="es-AR"/>
        </w:rPr>
        <w:t>él :</w:t>
      </w:r>
      <w:r w:rsidRPr="00C91D8E">
        <w:rPr>
          <w:lang w:val="es-AR"/>
        </w:rPr>
        <w:t xml:space="preserve"> 01 46 88 93 70,</w:t>
      </w:r>
      <w:r>
        <w:rPr>
          <w:lang w:val="es-AR"/>
        </w:rPr>
        <w:t xml:space="preserve"> site :</w:t>
      </w:r>
      <w:r w:rsidRPr="00C91D8E">
        <w:rPr>
          <w:lang w:val="es-AR"/>
        </w:rPr>
        <w:t xml:space="preserve">  </w:t>
      </w:r>
      <w:hyperlink r:id="rId4532" w:history="1">
        <w:r w:rsidRPr="007E3FFA">
          <w:rPr>
            <w:rStyle w:val="Lienhypertexte"/>
            <w:lang w:val="es-AR"/>
          </w:rPr>
          <w:t>http://www.sossahel.org</w:t>
        </w:r>
      </w:hyperlink>
      <w:r>
        <w:rPr>
          <w:lang w:val="es-AR"/>
        </w:rPr>
        <w:t xml:space="preserve"> </w:t>
      </w:r>
    </w:p>
    <w:p w14:paraId="5B3AAD06" w14:textId="77777777" w:rsidR="00C345E1" w:rsidRDefault="00C345E1" w:rsidP="00C345E1">
      <w:pPr>
        <w:spacing w:after="0" w:line="240" w:lineRule="auto"/>
      </w:pPr>
      <w:r w:rsidRPr="00C345E1">
        <w:t xml:space="preserve">b) </w:t>
      </w:r>
      <w:r w:rsidRPr="007C5D20">
        <w:t>SOS Sahel GB (Sue Cavanna), tél : +44 (0)1865 403305</w:t>
      </w:r>
      <w:r>
        <w:t xml:space="preserve">, </w:t>
      </w:r>
      <w:r w:rsidRPr="007C5D20">
        <w:t xml:space="preserve">Courriel : </w:t>
      </w:r>
      <w:hyperlink r:id="rId4533" w:history="1">
        <w:r w:rsidRPr="005F3F9F">
          <w:rPr>
            <w:rStyle w:val="Lienhypertexte"/>
          </w:rPr>
          <w:t>mail@sahel.org.uk</w:t>
        </w:r>
      </w:hyperlink>
      <w:r>
        <w:t xml:space="preserve">, </w:t>
      </w:r>
      <w:r w:rsidRPr="007C5D20">
        <w:t xml:space="preserve">Site : </w:t>
      </w:r>
      <w:hyperlink r:id="rId4534" w:history="1">
        <w:r w:rsidRPr="005F3F9F">
          <w:rPr>
            <w:rStyle w:val="Lienhypertexte"/>
          </w:rPr>
          <w:t>www.sahel.org.uk</w:t>
        </w:r>
      </w:hyperlink>
    </w:p>
    <w:p w14:paraId="750CAC1F" w14:textId="77777777" w:rsidR="00C345E1" w:rsidRPr="00C345E1" w:rsidRDefault="00C345E1" w:rsidP="00C345E1">
      <w:pPr>
        <w:spacing w:after="0" w:line="240" w:lineRule="auto"/>
        <w:rPr>
          <w:lang w:val="en-GB"/>
        </w:rPr>
      </w:pPr>
      <w:r w:rsidRPr="00C345E1">
        <w:rPr>
          <w:lang w:val="en-GB"/>
        </w:rPr>
        <w:t>[202] a) International Institute for Environment and Development (</w:t>
      </w:r>
      <w:r w:rsidRPr="00C345E1">
        <w:rPr>
          <w:b/>
          <w:bCs/>
          <w:lang w:val="en-GB"/>
        </w:rPr>
        <w:t>IIED</w:t>
      </w:r>
      <w:r w:rsidRPr="00C345E1">
        <w:rPr>
          <w:lang w:val="en-GB"/>
        </w:rPr>
        <w:t xml:space="preserve">), 235 High Holborn, Holborn, London WC1V 7DN, UK, Tel: +44 (0)20 3463 7399, site : </w:t>
      </w:r>
      <w:hyperlink r:id="rId4535" w:history="1">
        <w:r w:rsidRPr="005F3F9F">
          <w:rPr>
            <w:rStyle w:val="Lienhypertexte"/>
            <w:lang w:val="en-GB"/>
          </w:rPr>
          <w:t>www.iied.org</w:t>
        </w:r>
      </w:hyperlink>
      <w:r>
        <w:rPr>
          <w:lang w:val="en-GB"/>
        </w:rPr>
        <w:t xml:space="preserve"> </w:t>
      </w:r>
    </w:p>
    <w:p w14:paraId="02342584" w14:textId="77777777" w:rsidR="00C345E1" w:rsidRDefault="00C345E1" w:rsidP="00C345E1">
      <w:pPr>
        <w:spacing w:after="0" w:line="240" w:lineRule="auto"/>
      </w:pPr>
      <w:r>
        <w:t xml:space="preserve">b) Programme Zones Arides (Ced Hesse), tél : + 44 (0)131 624 7043, courriel : </w:t>
      </w:r>
      <w:hyperlink r:id="rId4536" w:history="1">
        <w:r w:rsidRPr="005F3F9F">
          <w:rPr>
            <w:rStyle w:val="Lienhypertexte"/>
          </w:rPr>
          <w:t>Ced.Hesse@iied.org</w:t>
        </w:r>
      </w:hyperlink>
      <w:r>
        <w:t xml:space="preserve">,  </w:t>
      </w:r>
    </w:p>
    <w:p w14:paraId="258FDCFF" w14:textId="77777777" w:rsidR="00C345E1" w:rsidRPr="007C5D20" w:rsidRDefault="00C345E1" w:rsidP="00C345E1">
      <w:pPr>
        <w:spacing w:after="0" w:line="240" w:lineRule="auto"/>
      </w:pPr>
      <w:r>
        <w:t xml:space="preserve">Site : </w:t>
      </w:r>
      <w:hyperlink r:id="rId4537" w:history="1">
        <w:r w:rsidRPr="005F3F9F">
          <w:rPr>
            <w:rStyle w:val="Lienhypertexte"/>
          </w:rPr>
          <w:t>www.iied.org/NR/drylands</w:t>
        </w:r>
      </w:hyperlink>
      <w:r>
        <w:t xml:space="preserve"> </w:t>
      </w:r>
    </w:p>
    <w:p w14:paraId="1B1DE447" w14:textId="77777777" w:rsidR="00C345E1" w:rsidRDefault="00C345E1" w:rsidP="00C345E1">
      <w:pPr>
        <w:spacing w:after="0" w:line="240" w:lineRule="auto"/>
      </w:pPr>
      <w:r w:rsidRPr="00592CF7">
        <w:t>[</w:t>
      </w:r>
      <w:r>
        <w:t>203</w:t>
      </w:r>
      <w:r w:rsidRPr="00592CF7">
        <w:t>]</w:t>
      </w:r>
      <w:r>
        <w:t xml:space="preserve"> </w:t>
      </w:r>
      <w:r w:rsidRPr="00592CF7">
        <w:t>Unité de recherche sur la restauration forestière de l'Université de Chiang Mai</w:t>
      </w:r>
      <w:r>
        <w:t xml:space="preserve">, Thaïlande, </w:t>
      </w:r>
      <w:r w:rsidRPr="00C345E1">
        <w:rPr>
          <w:b/>
          <w:bCs/>
        </w:rPr>
        <w:t>FORRU-CMU</w:t>
      </w:r>
      <w:r w:rsidRPr="00592CF7">
        <w:t xml:space="preserve">, </w:t>
      </w:r>
      <w:hyperlink r:id="rId4538" w:history="1">
        <w:r w:rsidRPr="00224761">
          <w:rPr>
            <w:rStyle w:val="Lienhypertexte"/>
          </w:rPr>
          <w:t>https://www.forru.org/</w:t>
        </w:r>
      </w:hyperlink>
      <w:r>
        <w:t xml:space="preserve"> </w:t>
      </w:r>
    </w:p>
    <w:p w14:paraId="4F1EFE3C" w14:textId="27BBA2BD" w:rsidR="00E02639" w:rsidRDefault="00E02639" w:rsidP="00E02639">
      <w:pPr>
        <w:spacing w:after="0" w:line="240" w:lineRule="auto"/>
        <w:jc w:val="both"/>
      </w:pPr>
      <w:r>
        <w:t xml:space="preserve">[204] </w:t>
      </w:r>
      <w:r w:rsidRPr="00774B0C">
        <w:t>Fond Français pour l'Environnement Mondial</w:t>
      </w:r>
      <w:r>
        <w:t xml:space="preserve"> (</w:t>
      </w:r>
      <w:r w:rsidRPr="00B01318">
        <w:rPr>
          <w:b/>
          <w:bCs/>
        </w:rPr>
        <w:t>FFEM</w:t>
      </w:r>
      <w:r>
        <w:t xml:space="preserve">), AFD, 5 Rue de Roland Barthes, 75598 PARIS CEDEX 12, France, Site : </w:t>
      </w:r>
      <w:hyperlink r:id="rId4539" w:history="1">
        <w:r w:rsidRPr="005F3F9F">
          <w:rPr>
            <w:rStyle w:val="Lienhypertexte"/>
          </w:rPr>
          <w:t>https://www.ffem.fr/</w:t>
        </w:r>
      </w:hyperlink>
      <w:r>
        <w:t xml:space="preserve"> </w:t>
      </w:r>
    </w:p>
    <w:p w14:paraId="64CB46C4" w14:textId="22516D70" w:rsidR="00C345E1" w:rsidRPr="00E02639" w:rsidRDefault="00E02639" w:rsidP="00E02639">
      <w:pPr>
        <w:spacing w:after="0" w:line="240" w:lineRule="auto"/>
        <w:rPr>
          <w:lang w:val="en-GB"/>
        </w:rPr>
      </w:pPr>
      <w:r w:rsidRPr="00E02639">
        <w:rPr>
          <w:lang w:val="en-GB"/>
        </w:rPr>
        <w:t xml:space="preserve">b) </w:t>
      </w:r>
      <w:hyperlink r:id="rId4540" w:history="1">
        <w:r w:rsidRPr="005F3F9F">
          <w:rPr>
            <w:rStyle w:val="Lienhypertexte"/>
            <w:lang w:val="en-GB"/>
          </w:rPr>
          <w:t>https://www.ffem.fr/fr/carte-des-projets/lutte-contre-la-desertification-par-lappui-au-pastoralisme-dans-le-ferlo</w:t>
        </w:r>
      </w:hyperlink>
      <w:r>
        <w:rPr>
          <w:lang w:val="en-GB"/>
        </w:rPr>
        <w:t xml:space="preserve"> </w:t>
      </w:r>
    </w:p>
    <w:p w14:paraId="0E61D24F" w14:textId="627E1C7C" w:rsidR="00E02639" w:rsidRPr="00774B0C" w:rsidRDefault="00B01318" w:rsidP="00C345E1">
      <w:pPr>
        <w:spacing w:after="0" w:line="240" w:lineRule="auto"/>
      </w:pPr>
      <w:r w:rsidRPr="00774B0C">
        <w:t xml:space="preserve">[205] </w:t>
      </w:r>
      <w:r w:rsidRPr="00774B0C">
        <w:rPr>
          <w:b/>
          <w:bCs/>
        </w:rPr>
        <w:t>WACOMP</w:t>
      </w:r>
      <w:r w:rsidR="00774B0C" w:rsidRPr="00774B0C">
        <w:t xml:space="preserve"> (Programme de la Compétitivité de l’Afrique de l’Ouest)</w:t>
      </w:r>
      <w:r w:rsidRPr="00774B0C">
        <w:t xml:space="preserve">, 101 Yakubu Gowon Crescent Asoroko District, P.M.B. 401, Abuja, Nigeria, courriel : </w:t>
      </w:r>
      <w:hyperlink r:id="rId4541" w:history="1">
        <w:r w:rsidRPr="00774B0C">
          <w:rPr>
            <w:rStyle w:val="Lienhypertexte"/>
          </w:rPr>
          <w:t>info-wacomp@ecowas.int</w:t>
        </w:r>
      </w:hyperlink>
      <w:r w:rsidRPr="00774B0C">
        <w:t xml:space="preserve">, site : </w:t>
      </w:r>
      <w:hyperlink r:id="rId4542" w:history="1">
        <w:r w:rsidRPr="00774B0C">
          <w:rPr>
            <w:rStyle w:val="Lienhypertexte"/>
          </w:rPr>
          <w:t>www.wacomp.ecowas.int</w:t>
        </w:r>
      </w:hyperlink>
    </w:p>
    <w:p w14:paraId="68D9B024" w14:textId="77777777" w:rsidR="00B01318" w:rsidRPr="00774B0C" w:rsidRDefault="00B01318" w:rsidP="00C345E1">
      <w:pPr>
        <w:spacing w:after="0" w:line="240" w:lineRule="auto"/>
      </w:pPr>
    </w:p>
    <w:p w14:paraId="6566B846" w14:textId="77777777" w:rsidR="00C345E1" w:rsidRDefault="00C345E1" w:rsidP="00C345E1">
      <w:pPr>
        <w:pStyle w:val="Titre1"/>
      </w:pPr>
      <w:bookmarkStart w:id="429" w:name="_Toc139181717"/>
      <w:r w:rsidRPr="00972EE8">
        <w:t>Instituts spécialisés et contacts</w:t>
      </w:r>
      <w:bookmarkEnd w:id="429"/>
    </w:p>
    <w:p w14:paraId="30B844ED" w14:textId="77777777" w:rsidR="00C345E1" w:rsidRDefault="00C345E1" w:rsidP="00C345E1">
      <w:pPr>
        <w:spacing w:after="0" w:line="240" w:lineRule="auto"/>
      </w:pPr>
    </w:p>
    <w:p w14:paraId="2838F65D" w14:textId="77777777" w:rsidR="00C345E1" w:rsidRPr="00972EE8" w:rsidRDefault="00000000" w:rsidP="00C345E1">
      <w:pPr>
        <w:spacing w:after="0" w:line="240" w:lineRule="auto"/>
        <w:jc w:val="both"/>
        <w:rPr>
          <w:lang w:val="en-GB"/>
        </w:rPr>
      </w:pPr>
      <w:hyperlink r:id="rId4543" w:history="1">
        <w:r w:rsidR="00C345E1" w:rsidRPr="004A5725">
          <w:rPr>
            <w:lang w:val="en-GB"/>
          </w:rPr>
          <w:t>[</w:t>
        </w:r>
        <w:r w:rsidR="00C345E1">
          <w:rPr>
            <w:lang w:val="en-GB"/>
          </w:rPr>
          <w:t>300</w:t>
        </w:r>
        <w:r w:rsidR="00C345E1" w:rsidRPr="004A5725">
          <w:rPr>
            <w:lang w:val="en-GB"/>
          </w:rPr>
          <w:t xml:space="preserve">] </w:t>
        </w:r>
        <w:r w:rsidR="00C345E1" w:rsidRPr="00972EE8">
          <w:rPr>
            <w:rStyle w:val="Lienhypertexte"/>
            <w:lang w:val="en-US"/>
          </w:rPr>
          <w:t>Arid Forest Research Institute</w:t>
        </w:r>
      </w:hyperlink>
      <w:r w:rsidR="00C345E1" w:rsidRPr="00972EE8">
        <w:rPr>
          <w:lang w:val="en-US"/>
        </w:rPr>
        <w:t xml:space="preserve"> (AFRI), </w:t>
      </w:r>
      <w:hyperlink r:id="rId4544" w:history="1">
        <w:r w:rsidR="00C345E1" w:rsidRPr="00972EE8">
          <w:rPr>
            <w:rStyle w:val="Lienhypertexte"/>
            <w:lang w:val="en-US"/>
          </w:rPr>
          <w:t>http://afri.res.in</w:t>
        </w:r>
      </w:hyperlink>
      <w:r w:rsidR="00C345E1" w:rsidRPr="00972EE8">
        <w:rPr>
          <w:lang w:val="en-US"/>
        </w:rPr>
        <w:t xml:space="preserve"> </w:t>
      </w:r>
    </w:p>
    <w:p w14:paraId="2C502574" w14:textId="77777777" w:rsidR="00C345E1" w:rsidRPr="00972EE8" w:rsidRDefault="00C345E1" w:rsidP="00C345E1">
      <w:pPr>
        <w:spacing w:after="0" w:line="240" w:lineRule="auto"/>
        <w:jc w:val="both"/>
      </w:pPr>
      <w:r w:rsidRPr="00972EE8">
        <w:t>[30</w:t>
      </w:r>
      <w:r>
        <w:t>1</w:t>
      </w:r>
      <w:r w:rsidRPr="00972EE8">
        <w:t>]</w:t>
      </w:r>
      <w:r>
        <w:t xml:space="preserve"> </w:t>
      </w:r>
      <w:r w:rsidRPr="00972EE8">
        <w:t xml:space="preserve">Comité permanent Inter-Etats de Lutte contre la Sécheresse dans le Sahel (CILSS), </w:t>
      </w:r>
      <w:hyperlink r:id="rId4545" w:history="1">
        <w:r w:rsidRPr="00972EE8">
          <w:rPr>
            <w:rStyle w:val="Lienhypertexte"/>
          </w:rPr>
          <w:t>http://www.cilss.bf/htm/lcd.htm</w:t>
        </w:r>
      </w:hyperlink>
    </w:p>
    <w:p w14:paraId="19B99A8D" w14:textId="77777777" w:rsidR="00C345E1" w:rsidRDefault="00C345E1" w:rsidP="00C345E1">
      <w:pPr>
        <w:spacing w:after="0" w:line="240" w:lineRule="auto"/>
        <w:jc w:val="both"/>
        <w:rPr>
          <w:lang w:val="en-GB"/>
        </w:rPr>
      </w:pPr>
      <w:r w:rsidRPr="00972EE8">
        <w:rPr>
          <w:lang w:val="en-GB"/>
        </w:rPr>
        <w:t>[30</w:t>
      </w:r>
      <w:r>
        <w:rPr>
          <w:lang w:val="en-GB"/>
        </w:rPr>
        <w:t>2</w:t>
      </w:r>
      <w:r w:rsidRPr="00C152D0">
        <w:rPr>
          <w:i/>
          <w:iCs/>
          <w:lang w:val="en-GB"/>
        </w:rPr>
        <w:t xml:space="preserve">] </w:t>
      </w:r>
      <w:r w:rsidRPr="00972EE8">
        <w:rPr>
          <w:i/>
          <w:iCs/>
          <w:lang w:val="en-GB"/>
        </w:rPr>
        <w:t xml:space="preserve"> Jacob Blaustein Institute for Desert Research</w:t>
      </w:r>
      <w:r w:rsidRPr="00972EE8">
        <w:rPr>
          <w:lang w:val="en-GB"/>
        </w:rPr>
        <w:t>,</w:t>
      </w:r>
      <w:r>
        <w:rPr>
          <w:lang w:val="en-GB"/>
        </w:rPr>
        <w:t xml:space="preserve"> a)</w:t>
      </w:r>
      <w:r w:rsidRPr="00972EE8">
        <w:rPr>
          <w:lang w:val="en-GB"/>
        </w:rPr>
        <w:t xml:space="preserve"> </w:t>
      </w:r>
      <w:hyperlink r:id="rId4546" w:history="1">
        <w:r w:rsidRPr="00972EE8">
          <w:rPr>
            <w:rStyle w:val="Lienhypertexte"/>
            <w:lang w:val="en-GB"/>
          </w:rPr>
          <w:t>http://in.bgu.ac.il/en/bidr/Pages/default.aspx</w:t>
        </w:r>
      </w:hyperlink>
      <w:r w:rsidRPr="00C66D23">
        <w:rPr>
          <w:lang w:val="en-GB"/>
        </w:rPr>
        <w:t xml:space="preserve">, </w:t>
      </w:r>
    </w:p>
    <w:p w14:paraId="006ACAAC" w14:textId="77777777" w:rsidR="00C345E1" w:rsidRPr="00972EE8" w:rsidRDefault="00C345E1" w:rsidP="00C345E1">
      <w:pPr>
        <w:spacing w:after="0" w:line="240" w:lineRule="auto"/>
        <w:jc w:val="both"/>
        <w:rPr>
          <w:lang w:val="en-GB"/>
        </w:rPr>
      </w:pPr>
      <w:r>
        <w:rPr>
          <w:lang w:val="en-GB"/>
        </w:rPr>
        <w:t xml:space="preserve">b) </w:t>
      </w:r>
      <w:hyperlink r:id="rId4547" w:history="1">
        <w:r w:rsidRPr="00EE130C">
          <w:rPr>
            <w:rStyle w:val="Lienhypertexte"/>
            <w:lang w:val="en-GB"/>
          </w:rPr>
          <w:t>https://en.wikipedia.org/wiki/Jacob_Blaustein_Institutes_for_Desert_Research</w:t>
        </w:r>
      </w:hyperlink>
      <w:r>
        <w:rPr>
          <w:lang w:val="en-GB"/>
        </w:rPr>
        <w:t xml:space="preserve"> </w:t>
      </w:r>
      <w:r w:rsidRPr="00972EE8">
        <w:rPr>
          <w:lang w:val="en-GB"/>
        </w:rPr>
        <w:t xml:space="preserve">  </w:t>
      </w:r>
    </w:p>
    <w:p w14:paraId="1BEDEBD9" w14:textId="77777777" w:rsidR="00C345E1" w:rsidRDefault="00C345E1" w:rsidP="00C345E1">
      <w:pPr>
        <w:spacing w:after="0" w:line="240" w:lineRule="auto"/>
        <w:jc w:val="both"/>
        <w:rPr>
          <w:lang w:val="en-GB"/>
        </w:rPr>
      </w:pPr>
      <w:r w:rsidRPr="00972EE8">
        <w:rPr>
          <w:lang w:val="en-GB"/>
        </w:rPr>
        <w:t>[30</w:t>
      </w:r>
      <w:r>
        <w:rPr>
          <w:lang w:val="en-GB"/>
        </w:rPr>
        <w:t>3</w:t>
      </w:r>
      <w:r w:rsidRPr="00972EE8">
        <w:rPr>
          <w:lang w:val="en-GB"/>
        </w:rPr>
        <w:t xml:space="preserve">] </w:t>
      </w:r>
      <w:r w:rsidRPr="00C152D0">
        <w:rPr>
          <w:i/>
          <w:iCs/>
          <w:lang w:val="en-GB"/>
        </w:rPr>
        <w:t>Ben-Gurion University</w:t>
      </w:r>
      <w:r w:rsidRPr="00C152D0">
        <w:rPr>
          <w:lang w:val="en-GB"/>
        </w:rPr>
        <w:t xml:space="preserve"> ou </w:t>
      </w:r>
      <w:r w:rsidRPr="00C152D0">
        <w:rPr>
          <w:i/>
          <w:iCs/>
          <w:lang w:val="en-GB"/>
        </w:rPr>
        <w:t>BGU</w:t>
      </w:r>
      <w:r w:rsidRPr="00C152D0">
        <w:rPr>
          <w:lang w:val="en-GB"/>
        </w:rPr>
        <w:t xml:space="preserve"> (</w:t>
      </w:r>
      <w:r>
        <w:rPr>
          <w:lang w:val="en-GB"/>
        </w:rPr>
        <w:t>U</w:t>
      </w:r>
      <w:r w:rsidRPr="00C152D0">
        <w:rPr>
          <w:lang w:val="en-GB"/>
        </w:rPr>
        <w:t>niversité Ben Gourion du Néguev (אוניברסיטת בן גוריון בנגב)),</w:t>
      </w:r>
    </w:p>
    <w:p w14:paraId="117DA2A0" w14:textId="77777777" w:rsidR="00C345E1" w:rsidRDefault="00C345E1" w:rsidP="00C345E1">
      <w:pPr>
        <w:spacing w:after="0" w:line="240" w:lineRule="auto"/>
        <w:jc w:val="both"/>
        <w:rPr>
          <w:lang w:val="en-GB"/>
        </w:rPr>
      </w:pPr>
      <w:r>
        <w:rPr>
          <w:lang w:val="en-GB"/>
        </w:rPr>
        <w:t>a)</w:t>
      </w:r>
      <w:r w:rsidRPr="00C152D0">
        <w:rPr>
          <w:lang w:val="en-GB"/>
        </w:rPr>
        <w:t xml:space="preserve"> </w:t>
      </w:r>
      <w:hyperlink r:id="rId4548" w:history="1">
        <w:r w:rsidRPr="00EE130C">
          <w:rPr>
            <w:rStyle w:val="Lienhypertexte"/>
            <w:lang w:val="en-GB"/>
          </w:rPr>
          <w:t>http://www.bgu.ac.il/</w:t>
        </w:r>
      </w:hyperlink>
      <w:r>
        <w:rPr>
          <w:lang w:val="en-GB"/>
        </w:rPr>
        <w:t xml:space="preserve"> , b) </w:t>
      </w:r>
      <w:hyperlink r:id="rId4549" w:history="1">
        <w:r w:rsidRPr="00EE130C">
          <w:rPr>
            <w:rStyle w:val="Lienhypertexte"/>
            <w:lang w:val="en-GB"/>
          </w:rPr>
          <w:t>https://fr.wikipedia.org/wiki/Universit%C3%A9_Ben_Gourion_du_N%C3%A9guev</w:t>
        </w:r>
      </w:hyperlink>
      <w:r>
        <w:rPr>
          <w:lang w:val="en-GB"/>
        </w:rPr>
        <w:t xml:space="preserve"> </w:t>
      </w:r>
      <w:r w:rsidRPr="00972EE8">
        <w:rPr>
          <w:lang w:val="en-GB"/>
        </w:rPr>
        <w:t xml:space="preserve"> </w:t>
      </w:r>
    </w:p>
    <w:p w14:paraId="1BD49B59" w14:textId="77777777" w:rsidR="00C345E1" w:rsidRPr="00972EE8" w:rsidRDefault="00C345E1" w:rsidP="00C345E1">
      <w:pPr>
        <w:spacing w:after="0" w:line="240" w:lineRule="auto"/>
        <w:jc w:val="both"/>
      </w:pPr>
      <w:r>
        <w:rPr>
          <w:lang w:val="en-GB"/>
        </w:rPr>
        <w:t xml:space="preserve">[304] </w:t>
      </w:r>
      <w:r w:rsidRPr="00972EE8">
        <w:rPr>
          <w:lang w:val="en-GB"/>
        </w:rPr>
        <w:t xml:space="preserve">Salt Farm Texel, </w:t>
      </w:r>
      <w:r w:rsidRPr="00972EE8">
        <w:rPr>
          <w:lang w:val="nl-NL"/>
        </w:rPr>
        <w:t xml:space="preserve">Hoornderweg 42, 1797RA, Den Hoorn, Pays-Bas (The Netherlands). Contact : Arjen de Vos.  Tél. 0031 (0) 6 513 279 51. Email : </w:t>
      </w:r>
      <w:hyperlink r:id="rId4550" w:history="1">
        <w:r w:rsidRPr="00972EE8">
          <w:rPr>
            <w:rStyle w:val="Lienhypertexte"/>
            <w:lang w:val="nl-NL"/>
          </w:rPr>
          <w:t>info@saltfarmtexel.com</w:t>
        </w:r>
      </w:hyperlink>
      <w:r w:rsidRPr="00972EE8">
        <w:rPr>
          <w:lang w:val="nl-NL"/>
        </w:rPr>
        <w:t xml:space="preserve">, site : </w:t>
      </w:r>
      <w:hyperlink r:id="rId4551" w:history="1">
        <w:r w:rsidRPr="00972EE8">
          <w:rPr>
            <w:rStyle w:val="Lienhypertexte"/>
            <w:lang w:val="nl-NL"/>
          </w:rPr>
          <w:t>http://www.saltfarmtexel.com/</w:t>
        </w:r>
      </w:hyperlink>
      <w:r w:rsidRPr="00972EE8">
        <w:rPr>
          <w:lang w:val="nl-NL"/>
        </w:rPr>
        <w:t xml:space="preserve"> </w:t>
      </w:r>
    </w:p>
    <w:p w14:paraId="5EC5573C" w14:textId="5337438D" w:rsidR="00D007FB" w:rsidRDefault="00D007FB">
      <w:pPr>
        <w:rPr>
          <w:rStyle w:val="Lienhypertexte"/>
        </w:rPr>
      </w:pPr>
    </w:p>
    <w:p w14:paraId="0A2762C6" w14:textId="03B83322" w:rsidR="00A06332" w:rsidRDefault="00A06332">
      <w:pPr>
        <w:rPr>
          <w:rStyle w:val="Lienhypertexte"/>
        </w:rPr>
      </w:pPr>
    </w:p>
    <w:p w14:paraId="4C8E591F" w14:textId="4F70CAC6" w:rsidR="00A06332" w:rsidRDefault="00A06332">
      <w:pPr>
        <w:rPr>
          <w:rStyle w:val="Lienhypertexte"/>
        </w:rPr>
      </w:pPr>
    </w:p>
    <w:p w14:paraId="351FE4C6" w14:textId="77777777" w:rsidR="00A06332" w:rsidRDefault="00A06332">
      <w:pPr>
        <w:rPr>
          <w:rStyle w:val="Lienhypertexte"/>
        </w:rPr>
      </w:pPr>
    </w:p>
    <w:p w14:paraId="354E59EC" w14:textId="77777777" w:rsidR="00D007FB" w:rsidRPr="0012160C" w:rsidRDefault="00D007FB" w:rsidP="00D007FB">
      <w:pPr>
        <w:pStyle w:val="Titre1"/>
      </w:pPr>
      <w:bookmarkStart w:id="430" w:name="_Toc26293796"/>
      <w:bookmarkStart w:id="431" w:name="_Toc139181718"/>
      <w:r w:rsidRPr="0012160C">
        <w:rPr>
          <w:rFonts w:eastAsia="Times New Roman"/>
        </w:rPr>
        <w:t>Contact pour plus d’informations</w:t>
      </w:r>
      <w:bookmarkEnd w:id="430"/>
      <w:bookmarkEnd w:id="431"/>
    </w:p>
    <w:p w14:paraId="19DC9485" w14:textId="77777777" w:rsidR="00D007FB" w:rsidRDefault="00D007FB" w:rsidP="00D007FB">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57"/>
        <w:gridCol w:w="2397"/>
      </w:tblGrid>
      <w:tr w:rsidR="00D007FB" w14:paraId="0AED5B72" w14:textId="77777777" w:rsidTr="006B4BA8">
        <w:tc>
          <w:tcPr>
            <w:tcW w:w="3557" w:type="dxa"/>
          </w:tcPr>
          <w:p w14:paraId="3E3A675E" w14:textId="77777777" w:rsidR="00D007FB" w:rsidRPr="0012160C" w:rsidRDefault="00D007FB" w:rsidP="00D007FB">
            <w:r w:rsidRPr="0012160C">
              <w:rPr>
                <w:b/>
                <w:bCs/>
              </w:rPr>
              <w:t>Benjamin LISAN</w:t>
            </w:r>
          </w:p>
          <w:p w14:paraId="619C4BB3" w14:textId="77777777" w:rsidR="00D007FB" w:rsidRPr="0012160C" w:rsidRDefault="00D007FB" w:rsidP="00D007FB">
            <w:r w:rsidRPr="0012160C">
              <w:t>16 rue de la Fontaine du But</w:t>
            </w:r>
          </w:p>
          <w:p w14:paraId="441107F7" w14:textId="77777777" w:rsidR="00D007FB" w:rsidRPr="0012160C" w:rsidRDefault="00D007FB" w:rsidP="00D007FB">
            <w:r w:rsidRPr="0012160C">
              <w:t xml:space="preserve">75018 PARIS, France. </w:t>
            </w:r>
          </w:p>
          <w:p w14:paraId="5C6B64D2" w14:textId="77777777" w:rsidR="00D007FB" w:rsidRPr="0012160C" w:rsidRDefault="00D007FB" w:rsidP="00D007FB">
            <w:r w:rsidRPr="0012160C">
              <w:t>Tél.: 01.42.62.49.65 / GSM: 06.16.55.09.84</w:t>
            </w:r>
          </w:p>
          <w:p w14:paraId="1F07C12E" w14:textId="77777777" w:rsidR="00D007FB" w:rsidRPr="0012160C" w:rsidRDefault="00D007FB" w:rsidP="00D007FB">
            <w:r w:rsidRPr="0012160C">
              <w:t xml:space="preserve">E-mail: </w:t>
            </w:r>
            <w:hyperlink r:id="rId4552" w:history="1">
              <w:r w:rsidRPr="0012160C">
                <w:rPr>
                  <w:rStyle w:val="Lienhypertexte"/>
                </w:rPr>
                <w:t>benjamin.lisan@free.fr</w:t>
              </w:r>
            </w:hyperlink>
          </w:p>
          <w:p w14:paraId="078AC2FA" w14:textId="77777777" w:rsidR="00D007FB" w:rsidRDefault="00D007FB" w:rsidP="00D007FB"/>
        </w:tc>
        <w:tc>
          <w:tcPr>
            <w:tcW w:w="2397" w:type="dxa"/>
          </w:tcPr>
          <w:p w14:paraId="7166AC50" w14:textId="77777777" w:rsidR="00D007FB" w:rsidRDefault="00D007FB" w:rsidP="00D007FB">
            <w:pPr>
              <w:jc w:val="center"/>
            </w:pPr>
            <w:r w:rsidRPr="0012160C">
              <w:rPr>
                <w:noProof/>
              </w:rPr>
              <w:drawing>
                <wp:inline distT="0" distB="0" distL="0" distR="0" wp14:anchorId="05C23FB7" wp14:editId="08131505">
                  <wp:extent cx="1219200" cy="1547813"/>
                  <wp:effectExtent l="0" t="0" r="0" b="0"/>
                  <wp:docPr id="89089" name="Picture 5" descr="C:\Documents and Settings\LISAN\Copie de mes documents\CV_plus_recherche_emploi\photos\PhotoLisan2.jpg">
                    <a:extLst xmlns:a="http://schemas.openxmlformats.org/drawingml/2006/main">
                      <a:ext uri="{FF2B5EF4-FFF2-40B4-BE49-F238E27FC236}">
                        <a16:creationId xmlns:a16="http://schemas.microsoft.com/office/drawing/2014/main" id="{8A83B925-67F6-440A-98D5-73A91FC13C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29" name="Picture 5" descr="C:\Documents and Settings\LISAN\Copie de mes documents\CV_plus_recherche_emploi\photos\PhotoLisan2.jpg">
                            <a:extLst>
                              <a:ext uri="{FF2B5EF4-FFF2-40B4-BE49-F238E27FC236}">
                                <a16:creationId xmlns:a16="http://schemas.microsoft.com/office/drawing/2014/main" id="{8A83B925-67F6-440A-98D5-73A91FC13CC0}"/>
                              </a:ext>
                            </a:extLst>
                          </pic:cNvPr>
                          <pic:cNvPicPr>
                            <a:picLocks noChangeAspect="1" noChangeArrowheads="1"/>
                          </pic:cNvPicPr>
                        </pic:nvPicPr>
                        <pic:blipFill>
                          <a:blip r:embed="rId4553">
                            <a:extLst>
                              <a:ext uri="{28A0092B-C50C-407E-A947-70E740481C1C}">
                                <a14:useLocalDpi xmlns:a14="http://schemas.microsoft.com/office/drawing/2010/main" val="0"/>
                              </a:ext>
                            </a:extLst>
                          </a:blip>
                          <a:srcRect/>
                          <a:stretch>
                            <a:fillRect/>
                          </a:stretch>
                        </pic:blipFill>
                        <pic:spPr bwMode="auto">
                          <a:xfrm>
                            <a:off x="0" y="0"/>
                            <a:ext cx="1219200" cy="15478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043B731F" w14:textId="77777777" w:rsidR="00D007FB" w:rsidRPr="0012160C" w:rsidRDefault="00D007FB" w:rsidP="00D007FB">
      <w:pPr>
        <w:spacing w:after="0" w:line="240" w:lineRule="auto"/>
      </w:pPr>
    </w:p>
    <w:p w14:paraId="77BC268E" w14:textId="77777777" w:rsidR="00D007FB" w:rsidRDefault="00D007FB" w:rsidP="00E02639">
      <w:pPr>
        <w:pStyle w:val="Titre2"/>
      </w:pPr>
      <w:bookmarkStart w:id="432" w:name="_Toc26293797"/>
      <w:bookmarkStart w:id="433" w:name="_Toc139181719"/>
      <w:r w:rsidRPr="0012160C">
        <w:rPr>
          <w:rFonts w:eastAsia="Times New Roman"/>
        </w:rPr>
        <w:t>Sites Internet</w:t>
      </w:r>
      <w:r>
        <w:t xml:space="preserve"> de l’auteur</w:t>
      </w:r>
      <w:bookmarkEnd w:id="432"/>
      <w:bookmarkEnd w:id="433"/>
    </w:p>
    <w:p w14:paraId="081FFB91" w14:textId="77777777" w:rsidR="00D007FB" w:rsidRDefault="00D007FB" w:rsidP="00D007FB">
      <w:pPr>
        <w:spacing w:after="0" w:line="240" w:lineRule="auto"/>
      </w:pPr>
    </w:p>
    <w:p w14:paraId="69423B77" w14:textId="77777777" w:rsidR="00D007FB" w:rsidRPr="0012160C" w:rsidRDefault="00D007FB" w:rsidP="00322369">
      <w:pPr>
        <w:numPr>
          <w:ilvl w:val="0"/>
          <w:numId w:val="110"/>
        </w:numPr>
        <w:tabs>
          <w:tab w:val="clear" w:pos="720"/>
          <w:tab w:val="num" w:pos="426"/>
        </w:tabs>
        <w:spacing w:after="0" w:line="240" w:lineRule="auto"/>
        <w:ind w:left="426"/>
      </w:pPr>
      <w:r w:rsidRPr="0012160C">
        <w:t>Site de téléchargement de documents agroécologiques et de sensibilisation environnementale</w:t>
      </w:r>
      <w:r>
        <w:t xml:space="preserve"> </w:t>
      </w:r>
      <w:r w:rsidRPr="0012160C">
        <w:t xml:space="preserve">: </w:t>
      </w:r>
      <w:hyperlink r:id="rId4554" w:history="1">
        <w:r w:rsidRPr="0012160C">
          <w:rPr>
            <w:rStyle w:val="Lienhypertexte"/>
          </w:rPr>
          <w:t>http://doc-developpement-durable.org/</w:t>
        </w:r>
      </w:hyperlink>
    </w:p>
    <w:p w14:paraId="2CF03BAB" w14:textId="64EECF00" w:rsidR="00D007FB" w:rsidRDefault="00D007FB" w:rsidP="00322369">
      <w:pPr>
        <w:numPr>
          <w:ilvl w:val="0"/>
          <w:numId w:val="110"/>
        </w:numPr>
        <w:tabs>
          <w:tab w:val="clear" w:pos="720"/>
          <w:tab w:val="num" w:pos="426"/>
        </w:tabs>
        <w:spacing w:after="0" w:line="240" w:lineRule="auto"/>
        <w:ind w:left="426"/>
      </w:pPr>
      <w:r w:rsidRPr="0012160C">
        <w:t>Base de données documentaire (de téléchargement) de documents agroécologiques et de sensibilisation</w:t>
      </w:r>
      <w:r>
        <w:t xml:space="preserve"> </w:t>
      </w:r>
      <w:r w:rsidRPr="0012160C">
        <w:t xml:space="preserve">environnementale : </w:t>
      </w:r>
      <w:hyperlink r:id="rId4555" w:history="1">
        <w:r w:rsidRPr="0012160C">
          <w:rPr>
            <w:rStyle w:val="Lienhypertexte"/>
          </w:rPr>
          <w:t>http://doc-developpement-durable.org/file/</w:t>
        </w:r>
      </w:hyperlink>
    </w:p>
    <w:p w14:paraId="04AE626F" w14:textId="77777777" w:rsidR="00D007FB" w:rsidRPr="0012160C" w:rsidRDefault="00D007FB" w:rsidP="00322369">
      <w:pPr>
        <w:numPr>
          <w:ilvl w:val="0"/>
          <w:numId w:val="110"/>
        </w:numPr>
        <w:tabs>
          <w:tab w:val="clear" w:pos="720"/>
          <w:tab w:val="num" w:pos="426"/>
        </w:tabs>
        <w:spacing w:after="0" w:line="240" w:lineRule="auto"/>
        <w:ind w:left="426"/>
      </w:pPr>
      <w:r w:rsidRPr="0012160C">
        <w:t xml:space="preserve">Site d’aide aux projets de reforestation : </w:t>
      </w:r>
      <w:hyperlink r:id="rId4556" w:history="1">
        <w:r w:rsidRPr="0012160C">
          <w:rPr>
            <w:rStyle w:val="Lienhypertexte"/>
          </w:rPr>
          <w:t>http://benjamin.lisan.free.fr/projetsreforestation/menuReforestation.htm</w:t>
        </w:r>
      </w:hyperlink>
      <w:r w:rsidRPr="0012160C">
        <w:t xml:space="preserve"> </w:t>
      </w:r>
    </w:p>
    <w:p w14:paraId="3102DF9E" w14:textId="77777777" w:rsidR="00D007FB" w:rsidRPr="0012160C" w:rsidRDefault="00D007FB" w:rsidP="00322369">
      <w:pPr>
        <w:numPr>
          <w:ilvl w:val="0"/>
          <w:numId w:val="110"/>
        </w:numPr>
        <w:tabs>
          <w:tab w:val="clear" w:pos="720"/>
          <w:tab w:val="num" w:pos="426"/>
        </w:tabs>
        <w:spacing w:after="0" w:line="240" w:lineRule="auto"/>
        <w:ind w:left="426"/>
      </w:pPr>
      <w:r w:rsidRPr="0012160C">
        <w:t xml:space="preserve">Site d’aide aux projets de développement durable : </w:t>
      </w:r>
      <w:hyperlink r:id="rId4557" w:history="1">
        <w:r w:rsidRPr="0012160C">
          <w:rPr>
            <w:rStyle w:val="Lienhypertexte"/>
          </w:rPr>
          <w:t>http://benjamin.lisan.free.fr/developpementdurable/menuDevDurable.htm</w:t>
        </w:r>
      </w:hyperlink>
      <w:r w:rsidRPr="0012160C">
        <w:t xml:space="preserve"> </w:t>
      </w:r>
    </w:p>
    <w:p w14:paraId="172DD721" w14:textId="77777777" w:rsidR="00D007FB" w:rsidRDefault="00D007FB" w:rsidP="00221688">
      <w:pPr>
        <w:spacing w:after="0" w:line="240" w:lineRule="auto"/>
        <w:ind w:left="66"/>
      </w:pPr>
    </w:p>
    <w:p w14:paraId="54A2D5D1" w14:textId="6FB1459E" w:rsidR="00D007FB" w:rsidRDefault="00D007FB" w:rsidP="00221688">
      <w:pPr>
        <w:spacing w:after="0" w:line="240" w:lineRule="auto"/>
        <w:ind w:left="66"/>
        <w:jc w:val="both"/>
      </w:pPr>
      <w:r>
        <w:t>Vous trouverez</w:t>
      </w:r>
      <w:r w:rsidR="006F3C41">
        <w:t xml:space="preserve"> : a) </w:t>
      </w:r>
      <w:r>
        <w:t>une version électronique</w:t>
      </w:r>
      <w:r w:rsidR="00BC12CD">
        <w:t xml:space="preserve"> PDF</w:t>
      </w:r>
      <w:r>
        <w:t xml:space="preserve"> gratuite de ce livre, à cette adresse Internet</w:t>
      </w:r>
      <w:r w:rsidR="006F3C41">
        <w:t xml:space="preserve"> (17 Mo)</w:t>
      </w:r>
      <w:r>
        <w:t> :</w:t>
      </w:r>
    </w:p>
    <w:p w14:paraId="05F1A20C" w14:textId="2335E1A5" w:rsidR="00D007FB" w:rsidRDefault="00000000" w:rsidP="00D007FB">
      <w:pPr>
        <w:spacing w:after="0" w:line="240" w:lineRule="auto"/>
        <w:ind w:left="66"/>
      </w:pPr>
      <w:hyperlink r:id="rId4558" w:history="1">
        <w:r w:rsidR="00765732" w:rsidRPr="008244FA">
          <w:rPr>
            <w:rStyle w:val="Lienhypertexte"/>
          </w:rPr>
          <w:t>http://www.doc-developpement-durable.org/livres/planter_en_conditions_arides_et_salines.pdf</w:t>
        </w:r>
      </w:hyperlink>
      <w:r w:rsidR="00765732">
        <w:t xml:space="preserve"> </w:t>
      </w:r>
    </w:p>
    <w:p w14:paraId="651E2E29" w14:textId="350226A1" w:rsidR="00F84CC5" w:rsidRDefault="006F3C41" w:rsidP="00D007FB">
      <w:pPr>
        <w:spacing w:after="0" w:line="240" w:lineRule="auto"/>
        <w:ind w:left="66"/>
      </w:pPr>
      <w:r>
        <w:t>b)</w:t>
      </w:r>
      <w:r w:rsidR="00F84CC5">
        <w:t xml:space="preserve"> sa version diaporama Powerpoint</w:t>
      </w:r>
      <w:r>
        <w:t xml:space="preserve"> (18 Mo</w:t>
      </w:r>
      <w:r w:rsidR="008E7AE9">
        <w:t>, 2</w:t>
      </w:r>
      <w:r w:rsidR="00A510D7">
        <w:t>6</w:t>
      </w:r>
      <w:r w:rsidR="008E7AE9">
        <w:t>7 pages</w:t>
      </w:r>
      <w:r>
        <w:t>)</w:t>
      </w:r>
      <w:r w:rsidR="00F84CC5">
        <w:t xml:space="preserve"> : </w:t>
      </w:r>
      <w:hyperlink r:id="rId4559" w:history="1">
        <w:r w:rsidRPr="005F3F9F">
          <w:rPr>
            <w:rStyle w:val="Lienhypertexte"/>
          </w:rPr>
          <w:t>https://www.doc-developpement-durable.org/documents-agronomiques/Planter-en-conditions-arides-salines.pptx</w:t>
        </w:r>
      </w:hyperlink>
      <w:r>
        <w:t xml:space="preserve"> </w:t>
      </w:r>
    </w:p>
    <w:p w14:paraId="46B40FB5" w14:textId="77777777" w:rsidR="00E02639" w:rsidRDefault="006F3C41" w:rsidP="006F3C41">
      <w:pPr>
        <w:spacing w:after="0" w:line="240" w:lineRule="auto"/>
        <w:ind w:left="66"/>
      </w:pPr>
      <w:r>
        <w:t xml:space="preserve">c) b) sa version diaporama PDF (17 Mo) : </w:t>
      </w:r>
      <w:hyperlink r:id="rId4560" w:history="1">
        <w:r w:rsidRPr="005F3F9F">
          <w:rPr>
            <w:rStyle w:val="Lienhypertexte"/>
          </w:rPr>
          <w:t>https://www.doc-developpement-durable.org/documents-agronomiques/Planter-en-conditions-arides-salines.pdf</w:t>
        </w:r>
      </w:hyperlink>
      <w:r>
        <w:t xml:space="preserve"> </w:t>
      </w:r>
    </w:p>
    <w:p w14:paraId="115F744F" w14:textId="77777777" w:rsidR="00D007FB" w:rsidRDefault="00D007FB" w:rsidP="00D12C5E">
      <w:pPr>
        <w:spacing w:after="0" w:line="240" w:lineRule="auto"/>
        <w:jc w:val="both"/>
        <w:rPr>
          <w:rStyle w:val="Lienhypertexte"/>
        </w:rPr>
      </w:pPr>
    </w:p>
    <w:sdt>
      <w:sdtPr>
        <w:rPr>
          <w:rFonts w:asciiTheme="minorHAnsi" w:eastAsiaTheme="minorHAnsi" w:hAnsiTheme="minorHAnsi" w:cstheme="minorBidi"/>
          <w:color w:val="0563C1" w:themeColor="hyperlink"/>
          <w:sz w:val="22"/>
          <w:szCs w:val="22"/>
          <w:u w:val="single"/>
          <w:lang w:eastAsia="en-US"/>
        </w:rPr>
        <w:id w:val="-1983684891"/>
        <w:docPartObj>
          <w:docPartGallery w:val="Table of Contents"/>
          <w:docPartUnique/>
        </w:docPartObj>
      </w:sdtPr>
      <w:sdtEndPr>
        <w:rPr>
          <w:b/>
          <w:bCs/>
          <w:color w:val="auto"/>
          <w:u w:val="none"/>
        </w:rPr>
      </w:sdtEndPr>
      <w:sdtContent>
        <w:p w14:paraId="2926BFB8" w14:textId="58747D2C" w:rsidR="00397487" w:rsidRDefault="00397487">
          <w:pPr>
            <w:pStyle w:val="En-ttedetabledesmatires"/>
          </w:pPr>
          <w:r>
            <w:t>Table des matières</w:t>
          </w:r>
        </w:p>
        <w:p w14:paraId="61C2802F" w14:textId="64A4C01C" w:rsidR="005C47A4" w:rsidRDefault="00397487">
          <w:pPr>
            <w:pStyle w:val="TM1"/>
            <w:tabs>
              <w:tab w:val="left" w:pos="440"/>
              <w:tab w:val="right" w:leader="dot" w:pos="10416"/>
            </w:tabs>
            <w:rPr>
              <w:rFonts w:eastAsiaTheme="minorEastAsia"/>
              <w:noProof/>
              <w:kern w:val="2"/>
              <w:lang w:eastAsia="fr-FR"/>
              <w14:ligatures w14:val="standardContextual"/>
            </w:rPr>
          </w:pPr>
          <w:r>
            <w:fldChar w:fldCharType="begin"/>
          </w:r>
          <w:r>
            <w:instrText xml:space="preserve"> TOC \o "1-3" \h \z \u </w:instrText>
          </w:r>
          <w:r>
            <w:fldChar w:fldCharType="separate"/>
          </w:r>
          <w:hyperlink w:anchor="_Toc139181293" w:history="1">
            <w:r w:rsidR="005C47A4" w:rsidRPr="006B7CE2">
              <w:rPr>
                <w:rStyle w:val="Lienhypertexte"/>
                <w:noProof/>
              </w:rPr>
              <w:t>1</w:t>
            </w:r>
            <w:r w:rsidR="005C47A4">
              <w:rPr>
                <w:rFonts w:eastAsiaTheme="minorEastAsia"/>
                <w:noProof/>
                <w:kern w:val="2"/>
                <w:lang w:eastAsia="fr-FR"/>
                <w14:ligatures w14:val="standardContextual"/>
              </w:rPr>
              <w:tab/>
            </w:r>
            <w:r w:rsidR="005C47A4" w:rsidRPr="006B7CE2">
              <w:rPr>
                <w:rStyle w:val="Lienhypertexte"/>
                <w:noProof/>
              </w:rPr>
              <w:t>Avant-propos</w:t>
            </w:r>
            <w:r w:rsidR="005C47A4">
              <w:rPr>
                <w:noProof/>
                <w:webHidden/>
              </w:rPr>
              <w:tab/>
            </w:r>
            <w:r w:rsidR="005C47A4">
              <w:rPr>
                <w:noProof/>
                <w:webHidden/>
              </w:rPr>
              <w:fldChar w:fldCharType="begin"/>
            </w:r>
            <w:r w:rsidR="005C47A4">
              <w:rPr>
                <w:noProof/>
                <w:webHidden/>
              </w:rPr>
              <w:instrText xml:space="preserve"> PAGEREF _Toc139181293 \h </w:instrText>
            </w:r>
            <w:r w:rsidR="005C47A4">
              <w:rPr>
                <w:noProof/>
                <w:webHidden/>
              </w:rPr>
            </w:r>
            <w:r w:rsidR="005C47A4">
              <w:rPr>
                <w:noProof/>
                <w:webHidden/>
              </w:rPr>
              <w:fldChar w:fldCharType="separate"/>
            </w:r>
            <w:r w:rsidR="004D7B96">
              <w:rPr>
                <w:noProof/>
                <w:webHidden/>
              </w:rPr>
              <w:t>6</w:t>
            </w:r>
            <w:r w:rsidR="005C47A4">
              <w:rPr>
                <w:noProof/>
                <w:webHidden/>
              </w:rPr>
              <w:fldChar w:fldCharType="end"/>
            </w:r>
          </w:hyperlink>
        </w:p>
        <w:p w14:paraId="7DBC843B" w14:textId="6146680F"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294" w:history="1">
            <w:r w:rsidR="005C47A4" w:rsidRPr="006B7CE2">
              <w:rPr>
                <w:rStyle w:val="Lienhypertexte"/>
                <w:noProof/>
              </w:rPr>
              <w:t>1.1</w:t>
            </w:r>
            <w:r w:rsidR="005C47A4">
              <w:rPr>
                <w:rFonts w:eastAsiaTheme="minorEastAsia"/>
                <w:noProof/>
                <w:kern w:val="2"/>
                <w:lang w:eastAsia="fr-FR"/>
                <w14:ligatures w14:val="standardContextual"/>
              </w:rPr>
              <w:tab/>
            </w:r>
            <w:r w:rsidR="005C47A4" w:rsidRPr="006B7CE2">
              <w:rPr>
                <w:rStyle w:val="Lienhypertexte"/>
                <w:noProof/>
              </w:rPr>
              <w:t>Partis pris</w:t>
            </w:r>
            <w:r w:rsidR="005C47A4">
              <w:rPr>
                <w:noProof/>
                <w:webHidden/>
              </w:rPr>
              <w:tab/>
            </w:r>
            <w:r w:rsidR="005C47A4">
              <w:rPr>
                <w:noProof/>
                <w:webHidden/>
              </w:rPr>
              <w:fldChar w:fldCharType="begin"/>
            </w:r>
            <w:r w:rsidR="005C47A4">
              <w:rPr>
                <w:noProof/>
                <w:webHidden/>
              </w:rPr>
              <w:instrText xml:space="preserve"> PAGEREF _Toc139181294 \h </w:instrText>
            </w:r>
            <w:r w:rsidR="005C47A4">
              <w:rPr>
                <w:noProof/>
                <w:webHidden/>
              </w:rPr>
            </w:r>
            <w:r w:rsidR="005C47A4">
              <w:rPr>
                <w:noProof/>
                <w:webHidden/>
              </w:rPr>
              <w:fldChar w:fldCharType="separate"/>
            </w:r>
            <w:r w:rsidR="004D7B96">
              <w:rPr>
                <w:noProof/>
                <w:webHidden/>
              </w:rPr>
              <w:t>6</w:t>
            </w:r>
            <w:r w:rsidR="005C47A4">
              <w:rPr>
                <w:noProof/>
                <w:webHidden/>
              </w:rPr>
              <w:fldChar w:fldCharType="end"/>
            </w:r>
          </w:hyperlink>
        </w:p>
        <w:p w14:paraId="4429C09F" w14:textId="230E6664"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295" w:history="1">
            <w:r w:rsidR="005C47A4" w:rsidRPr="006B7CE2">
              <w:rPr>
                <w:rStyle w:val="Lienhypertexte"/>
                <w:noProof/>
              </w:rPr>
              <w:t>1.2</w:t>
            </w:r>
            <w:r w:rsidR="005C47A4">
              <w:rPr>
                <w:rFonts w:eastAsiaTheme="minorEastAsia"/>
                <w:noProof/>
                <w:kern w:val="2"/>
                <w:lang w:eastAsia="fr-FR"/>
                <w14:ligatures w14:val="standardContextual"/>
              </w:rPr>
              <w:tab/>
            </w:r>
            <w:r w:rsidR="005C47A4" w:rsidRPr="006B7CE2">
              <w:rPr>
                <w:rStyle w:val="Lienhypertexte"/>
                <w:noProof/>
              </w:rPr>
              <w:t>Invitation à participer à l’amélioration de cet ouvrage</w:t>
            </w:r>
            <w:r w:rsidR="005C47A4">
              <w:rPr>
                <w:noProof/>
                <w:webHidden/>
              </w:rPr>
              <w:tab/>
            </w:r>
            <w:r w:rsidR="005C47A4">
              <w:rPr>
                <w:noProof/>
                <w:webHidden/>
              </w:rPr>
              <w:fldChar w:fldCharType="begin"/>
            </w:r>
            <w:r w:rsidR="005C47A4">
              <w:rPr>
                <w:noProof/>
                <w:webHidden/>
              </w:rPr>
              <w:instrText xml:space="preserve"> PAGEREF _Toc139181295 \h </w:instrText>
            </w:r>
            <w:r w:rsidR="005C47A4">
              <w:rPr>
                <w:noProof/>
                <w:webHidden/>
              </w:rPr>
            </w:r>
            <w:r w:rsidR="005C47A4">
              <w:rPr>
                <w:noProof/>
                <w:webHidden/>
              </w:rPr>
              <w:fldChar w:fldCharType="separate"/>
            </w:r>
            <w:r w:rsidR="004D7B96">
              <w:rPr>
                <w:noProof/>
                <w:webHidden/>
              </w:rPr>
              <w:t>7</w:t>
            </w:r>
            <w:r w:rsidR="005C47A4">
              <w:rPr>
                <w:noProof/>
                <w:webHidden/>
              </w:rPr>
              <w:fldChar w:fldCharType="end"/>
            </w:r>
          </w:hyperlink>
        </w:p>
        <w:p w14:paraId="10CF70E7" w14:textId="5262F2E9" w:rsidR="005C47A4" w:rsidRDefault="00000000">
          <w:pPr>
            <w:pStyle w:val="TM1"/>
            <w:tabs>
              <w:tab w:val="left" w:pos="440"/>
              <w:tab w:val="right" w:leader="dot" w:pos="10416"/>
            </w:tabs>
            <w:rPr>
              <w:rFonts w:eastAsiaTheme="minorEastAsia"/>
              <w:noProof/>
              <w:kern w:val="2"/>
              <w:lang w:eastAsia="fr-FR"/>
              <w14:ligatures w14:val="standardContextual"/>
            </w:rPr>
          </w:pPr>
          <w:hyperlink w:anchor="_Toc139181296" w:history="1">
            <w:r w:rsidR="005C47A4" w:rsidRPr="006B7CE2">
              <w:rPr>
                <w:rStyle w:val="Lienhypertexte"/>
                <w:noProof/>
              </w:rPr>
              <w:t>2</w:t>
            </w:r>
            <w:r w:rsidR="005C47A4">
              <w:rPr>
                <w:rFonts w:eastAsiaTheme="minorEastAsia"/>
                <w:noProof/>
                <w:kern w:val="2"/>
                <w:lang w:eastAsia="fr-FR"/>
                <w14:ligatures w14:val="standardContextual"/>
              </w:rPr>
              <w:tab/>
            </w:r>
            <w:r w:rsidR="005C47A4" w:rsidRPr="006B7CE2">
              <w:rPr>
                <w:rStyle w:val="Lienhypertexte"/>
                <w:noProof/>
              </w:rPr>
              <w:t>Introduction</w:t>
            </w:r>
            <w:r w:rsidR="005C47A4">
              <w:rPr>
                <w:noProof/>
                <w:webHidden/>
              </w:rPr>
              <w:tab/>
            </w:r>
            <w:r w:rsidR="005C47A4">
              <w:rPr>
                <w:noProof/>
                <w:webHidden/>
              </w:rPr>
              <w:fldChar w:fldCharType="begin"/>
            </w:r>
            <w:r w:rsidR="005C47A4">
              <w:rPr>
                <w:noProof/>
                <w:webHidden/>
              </w:rPr>
              <w:instrText xml:space="preserve"> PAGEREF _Toc139181296 \h </w:instrText>
            </w:r>
            <w:r w:rsidR="005C47A4">
              <w:rPr>
                <w:noProof/>
                <w:webHidden/>
              </w:rPr>
            </w:r>
            <w:r w:rsidR="005C47A4">
              <w:rPr>
                <w:noProof/>
                <w:webHidden/>
              </w:rPr>
              <w:fldChar w:fldCharType="separate"/>
            </w:r>
            <w:r w:rsidR="004D7B96">
              <w:rPr>
                <w:noProof/>
                <w:webHidden/>
              </w:rPr>
              <w:t>7</w:t>
            </w:r>
            <w:r w:rsidR="005C47A4">
              <w:rPr>
                <w:noProof/>
                <w:webHidden/>
              </w:rPr>
              <w:fldChar w:fldCharType="end"/>
            </w:r>
          </w:hyperlink>
        </w:p>
        <w:p w14:paraId="012AF8EE" w14:textId="5FDCBAD5"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297" w:history="1">
            <w:r w:rsidR="005C47A4" w:rsidRPr="006B7CE2">
              <w:rPr>
                <w:rStyle w:val="Lienhypertexte"/>
                <w:noProof/>
              </w:rPr>
              <w:t>2.1</w:t>
            </w:r>
            <w:r w:rsidR="005C47A4">
              <w:rPr>
                <w:rFonts w:eastAsiaTheme="minorEastAsia"/>
                <w:noProof/>
                <w:kern w:val="2"/>
                <w:lang w:eastAsia="fr-FR"/>
                <w14:ligatures w14:val="standardContextual"/>
              </w:rPr>
              <w:tab/>
            </w:r>
            <w:r w:rsidR="005C47A4" w:rsidRPr="006B7CE2">
              <w:rPr>
                <w:rStyle w:val="Lienhypertexte"/>
                <w:noProof/>
              </w:rPr>
              <w:t>Le réchauffement climatique permanent de la Terre, depuis 1850</w:t>
            </w:r>
            <w:r w:rsidR="005C47A4">
              <w:rPr>
                <w:noProof/>
                <w:webHidden/>
              </w:rPr>
              <w:tab/>
            </w:r>
            <w:r w:rsidR="005C47A4">
              <w:rPr>
                <w:noProof/>
                <w:webHidden/>
              </w:rPr>
              <w:fldChar w:fldCharType="begin"/>
            </w:r>
            <w:r w:rsidR="005C47A4">
              <w:rPr>
                <w:noProof/>
                <w:webHidden/>
              </w:rPr>
              <w:instrText xml:space="preserve"> PAGEREF _Toc139181297 \h </w:instrText>
            </w:r>
            <w:r w:rsidR="005C47A4">
              <w:rPr>
                <w:noProof/>
                <w:webHidden/>
              </w:rPr>
            </w:r>
            <w:r w:rsidR="005C47A4">
              <w:rPr>
                <w:noProof/>
                <w:webHidden/>
              </w:rPr>
              <w:fldChar w:fldCharType="separate"/>
            </w:r>
            <w:r w:rsidR="004D7B96">
              <w:rPr>
                <w:noProof/>
                <w:webHidden/>
              </w:rPr>
              <w:t>7</w:t>
            </w:r>
            <w:r w:rsidR="005C47A4">
              <w:rPr>
                <w:noProof/>
                <w:webHidden/>
              </w:rPr>
              <w:fldChar w:fldCharType="end"/>
            </w:r>
          </w:hyperlink>
        </w:p>
        <w:p w14:paraId="689C7FFA" w14:textId="24109926"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298" w:history="1">
            <w:r w:rsidR="005C47A4" w:rsidRPr="006B7CE2">
              <w:rPr>
                <w:rStyle w:val="Lienhypertexte"/>
                <w:noProof/>
              </w:rPr>
              <w:t>2.2</w:t>
            </w:r>
            <w:r w:rsidR="005C47A4">
              <w:rPr>
                <w:rFonts w:eastAsiaTheme="minorEastAsia"/>
                <w:noProof/>
                <w:kern w:val="2"/>
                <w:lang w:eastAsia="fr-FR"/>
                <w14:ligatures w14:val="standardContextual"/>
              </w:rPr>
              <w:tab/>
            </w:r>
            <w:r w:rsidR="005C47A4" w:rsidRPr="006B7CE2">
              <w:rPr>
                <w:rStyle w:val="Lienhypertexte"/>
                <w:noProof/>
              </w:rPr>
              <w:t>Un constat inquiétant sur la désertification et la salinisation croissante des terres</w:t>
            </w:r>
            <w:r w:rsidR="005C47A4">
              <w:rPr>
                <w:noProof/>
                <w:webHidden/>
              </w:rPr>
              <w:tab/>
            </w:r>
            <w:r w:rsidR="005C47A4">
              <w:rPr>
                <w:noProof/>
                <w:webHidden/>
              </w:rPr>
              <w:fldChar w:fldCharType="begin"/>
            </w:r>
            <w:r w:rsidR="005C47A4">
              <w:rPr>
                <w:noProof/>
                <w:webHidden/>
              </w:rPr>
              <w:instrText xml:space="preserve"> PAGEREF _Toc139181298 \h </w:instrText>
            </w:r>
            <w:r w:rsidR="005C47A4">
              <w:rPr>
                <w:noProof/>
                <w:webHidden/>
              </w:rPr>
            </w:r>
            <w:r w:rsidR="005C47A4">
              <w:rPr>
                <w:noProof/>
                <w:webHidden/>
              </w:rPr>
              <w:fldChar w:fldCharType="separate"/>
            </w:r>
            <w:r w:rsidR="004D7B96">
              <w:rPr>
                <w:noProof/>
                <w:webHidden/>
              </w:rPr>
              <w:t>8</w:t>
            </w:r>
            <w:r w:rsidR="005C47A4">
              <w:rPr>
                <w:noProof/>
                <w:webHidden/>
              </w:rPr>
              <w:fldChar w:fldCharType="end"/>
            </w:r>
          </w:hyperlink>
        </w:p>
        <w:p w14:paraId="56E67888" w14:textId="681A0749" w:rsidR="005C47A4" w:rsidRDefault="00000000">
          <w:pPr>
            <w:pStyle w:val="TM3"/>
            <w:tabs>
              <w:tab w:val="left" w:pos="1320"/>
              <w:tab w:val="right" w:leader="dot" w:pos="10416"/>
            </w:tabs>
            <w:rPr>
              <w:rFonts w:eastAsiaTheme="minorEastAsia"/>
              <w:noProof/>
              <w:kern w:val="2"/>
              <w:lang w:eastAsia="fr-FR"/>
              <w14:ligatures w14:val="standardContextual"/>
            </w:rPr>
          </w:pPr>
          <w:hyperlink w:anchor="_Toc139181299" w:history="1">
            <w:r w:rsidR="005C47A4" w:rsidRPr="006B7CE2">
              <w:rPr>
                <w:rStyle w:val="Lienhypertexte"/>
                <w:noProof/>
              </w:rPr>
              <w:t>2.2.1</w:t>
            </w:r>
            <w:r w:rsidR="005C47A4">
              <w:rPr>
                <w:rFonts w:eastAsiaTheme="minorEastAsia"/>
                <w:noProof/>
                <w:kern w:val="2"/>
                <w:lang w:eastAsia="fr-FR"/>
                <w14:ligatures w14:val="standardContextual"/>
              </w:rPr>
              <w:tab/>
            </w:r>
            <w:r w:rsidR="005C47A4" w:rsidRPr="006B7CE2">
              <w:rPr>
                <w:rStyle w:val="Lienhypertexte"/>
                <w:noProof/>
              </w:rPr>
              <w:t>Augmentation des périodes de sècheresse et de canicule et aridification des terres</w:t>
            </w:r>
            <w:r w:rsidR="005C47A4">
              <w:rPr>
                <w:noProof/>
                <w:webHidden/>
              </w:rPr>
              <w:tab/>
            </w:r>
            <w:r w:rsidR="005C47A4">
              <w:rPr>
                <w:noProof/>
                <w:webHidden/>
              </w:rPr>
              <w:fldChar w:fldCharType="begin"/>
            </w:r>
            <w:r w:rsidR="005C47A4">
              <w:rPr>
                <w:noProof/>
                <w:webHidden/>
              </w:rPr>
              <w:instrText xml:space="preserve"> PAGEREF _Toc139181299 \h </w:instrText>
            </w:r>
            <w:r w:rsidR="005C47A4">
              <w:rPr>
                <w:noProof/>
                <w:webHidden/>
              </w:rPr>
            </w:r>
            <w:r w:rsidR="005C47A4">
              <w:rPr>
                <w:noProof/>
                <w:webHidden/>
              </w:rPr>
              <w:fldChar w:fldCharType="separate"/>
            </w:r>
            <w:r w:rsidR="004D7B96">
              <w:rPr>
                <w:noProof/>
                <w:webHidden/>
              </w:rPr>
              <w:t>8</w:t>
            </w:r>
            <w:r w:rsidR="005C47A4">
              <w:rPr>
                <w:noProof/>
                <w:webHidden/>
              </w:rPr>
              <w:fldChar w:fldCharType="end"/>
            </w:r>
          </w:hyperlink>
        </w:p>
        <w:p w14:paraId="62AACF1F" w14:textId="2CF2BB6F" w:rsidR="005C47A4" w:rsidRDefault="00000000">
          <w:pPr>
            <w:pStyle w:val="TM3"/>
            <w:tabs>
              <w:tab w:val="left" w:pos="1320"/>
              <w:tab w:val="right" w:leader="dot" w:pos="10416"/>
            </w:tabs>
            <w:rPr>
              <w:rFonts w:eastAsiaTheme="minorEastAsia"/>
              <w:noProof/>
              <w:kern w:val="2"/>
              <w:lang w:eastAsia="fr-FR"/>
              <w14:ligatures w14:val="standardContextual"/>
            </w:rPr>
          </w:pPr>
          <w:hyperlink w:anchor="_Toc139181300" w:history="1">
            <w:r w:rsidR="005C47A4" w:rsidRPr="006B7CE2">
              <w:rPr>
                <w:rStyle w:val="Lienhypertexte"/>
                <w:noProof/>
              </w:rPr>
              <w:t>2.2.2</w:t>
            </w:r>
            <w:r w:rsidR="005C47A4">
              <w:rPr>
                <w:rFonts w:eastAsiaTheme="minorEastAsia"/>
                <w:noProof/>
                <w:kern w:val="2"/>
                <w:lang w:eastAsia="fr-FR"/>
                <w14:ligatures w14:val="standardContextual"/>
              </w:rPr>
              <w:tab/>
            </w:r>
            <w:r w:rsidR="005C47A4" w:rsidRPr="006B7CE2">
              <w:rPr>
                <w:rStyle w:val="Lienhypertexte"/>
                <w:noProof/>
              </w:rPr>
              <w:t>Augmentation des feux de forêts de grande ampleur dans le monde</w:t>
            </w:r>
            <w:r w:rsidR="005C47A4">
              <w:rPr>
                <w:noProof/>
                <w:webHidden/>
              </w:rPr>
              <w:tab/>
            </w:r>
            <w:r w:rsidR="005C47A4">
              <w:rPr>
                <w:noProof/>
                <w:webHidden/>
              </w:rPr>
              <w:fldChar w:fldCharType="begin"/>
            </w:r>
            <w:r w:rsidR="005C47A4">
              <w:rPr>
                <w:noProof/>
                <w:webHidden/>
              </w:rPr>
              <w:instrText xml:space="preserve"> PAGEREF _Toc139181300 \h </w:instrText>
            </w:r>
            <w:r w:rsidR="005C47A4">
              <w:rPr>
                <w:noProof/>
                <w:webHidden/>
              </w:rPr>
            </w:r>
            <w:r w:rsidR="005C47A4">
              <w:rPr>
                <w:noProof/>
                <w:webHidden/>
              </w:rPr>
              <w:fldChar w:fldCharType="separate"/>
            </w:r>
            <w:r w:rsidR="004D7B96">
              <w:rPr>
                <w:noProof/>
                <w:webHidden/>
              </w:rPr>
              <w:t>9</w:t>
            </w:r>
            <w:r w:rsidR="005C47A4">
              <w:rPr>
                <w:noProof/>
                <w:webHidden/>
              </w:rPr>
              <w:fldChar w:fldCharType="end"/>
            </w:r>
          </w:hyperlink>
        </w:p>
        <w:p w14:paraId="4DD8D0AC" w14:textId="54AD6BC7" w:rsidR="005C47A4" w:rsidRDefault="00000000">
          <w:pPr>
            <w:pStyle w:val="TM3"/>
            <w:tabs>
              <w:tab w:val="left" w:pos="1320"/>
              <w:tab w:val="right" w:leader="dot" w:pos="10416"/>
            </w:tabs>
            <w:rPr>
              <w:rFonts w:eastAsiaTheme="minorEastAsia"/>
              <w:noProof/>
              <w:kern w:val="2"/>
              <w:lang w:eastAsia="fr-FR"/>
              <w14:ligatures w14:val="standardContextual"/>
            </w:rPr>
          </w:pPr>
          <w:hyperlink w:anchor="_Toc139181301" w:history="1">
            <w:r w:rsidR="005C47A4" w:rsidRPr="006B7CE2">
              <w:rPr>
                <w:rStyle w:val="Lienhypertexte"/>
                <w:noProof/>
              </w:rPr>
              <w:t>2.2.3</w:t>
            </w:r>
            <w:r w:rsidR="005C47A4">
              <w:rPr>
                <w:rFonts w:eastAsiaTheme="minorEastAsia"/>
                <w:noProof/>
                <w:kern w:val="2"/>
                <w:lang w:eastAsia="fr-FR"/>
                <w14:ligatures w14:val="standardContextual"/>
              </w:rPr>
              <w:tab/>
            </w:r>
            <w:r w:rsidR="005C47A4" w:rsidRPr="006B7CE2">
              <w:rPr>
                <w:rStyle w:val="Lienhypertexte"/>
                <w:noProof/>
              </w:rPr>
              <w:t>Les reculs des glaciers depuis 1850 et leurs impacts négatifs</w:t>
            </w:r>
            <w:r w:rsidR="005C47A4">
              <w:rPr>
                <w:noProof/>
                <w:webHidden/>
              </w:rPr>
              <w:tab/>
            </w:r>
            <w:r w:rsidR="005C47A4">
              <w:rPr>
                <w:noProof/>
                <w:webHidden/>
              </w:rPr>
              <w:fldChar w:fldCharType="begin"/>
            </w:r>
            <w:r w:rsidR="005C47A4">
              <w:rPr>
                <w:noProof/>
                <w:webHidden/>
              </w:rPr>
              <w:instrText xml:space="preserve"> PAGEREF _Toc139181301 \h </w:instrText>
            </w:r>
            <w:r w:rsidR="005C47A4">
              <w:rPr>
                <w:noProof/>
                <w:webHidden/>
              </w:rPr>
            </w:r>
            <w:r w:rsidR="005C47A4">
              <w:rPr>
                <w:noProof/>
                <w:webHidden/>
              </w:rPr>
              <w:fldChar w:fldCharType="separate"/>
            </w:r>
            <w:r w:rsidR="004D7B96">
              <w:rPr>
                <w:noProof/>
                <w:webHidden/>
              </w:rPr>
              <w:t>12</w:t>
            </w:r>
            <w:r w:rsidR="005C47A4">
              <w:rPr>
                <w:noProof/>
                <w:webHidden/>
              </w:rPr>
              <w:fldChar w:fldCharType="end"/>
            </w:r>
          </w:hyperlink>
        </w:p>
        <w:p w14:paraId="11CA2C5B" w14:textId="2C7B3866" w:rsidR="005C47A4" w:rsidRDefault="00000000">
          <w:pPr>
            <w:pStyle w:val="TM3"/>
            <w:tabs>
              <w:tab w:val="left" w:pos="1320"/>
              <w:tab w:val="right" w:leader="dot" w:pos="10416"/>
            </w:tabs>
            <w:rPr>
              <w:rFonts w:eastAsiaTheme="minorEastAsia"/>
              <w:noProof/>
              <w:kern w:val="2"/>
              <w:lang w:eastAsia="fr-FR"/>
              <w14:ligatures w14:val="standardContextual"/>
            </w:rPr>
          </w:pPr>
          <w:hyperlink w:anchor="_Toc139181302" w:history="1">
            <w:r w:rsidR="005C47A4" w:rsidRPr="006B7CE2">
              <w:rPr>
                <w:rStyle w:val="Lienhypertexte"/>
                <w:noProof/>
              </w:rPr>
              <w:t>2.2.4</w:t>
            </w:r>
            <w:r w:rsidR="005C47A4">
              <w:rPr>
                <w:rFonts w:eastAsiaTheme="minorEastAsia"/>
                <w:noProof/>
                <w:kern w:val="2"/>
                <w:lang w:eastAsia="fr-FR"/>
                <w14:ligatures w14:val="standardContextual"/>
              </w:rPr>
              <w:tab/>
            </w:r>
            <w:r w:rsidR="005C47A4" w:rsidRPr="006B7CE2">
              <w:rPr>
                <w:rStyle w:val="Lienhypertexte"/>
                <w:noProof/>
              </w:rPr>
              <w:t>Sècheresses accrues dans des régions. Assèchement des rivières, de lacs et de mers intérieures</w:t>
            </w:r>
            <w:r w:rsidR="005C47A4">
              <w:rPr>
                <w:noProof/>
                <w:webHidden/>
              </w:rPr>
              <w:tab/>
            </w:r>
            <w:r w:rsidR="005C47A4">
              <w:rPr>
                <w:noProof/>
                <w:webHidden/>
              </w:rPr>
              <w:fldChar w:fldCharType="begin"/>
            </w:r>
            <w:r w:rsidR="005C47A4">
              <w:rPr>
                <w:noProof/>
                <w:webHidden/>
              </w:rPr>
              <w:instrText xml:space="preserve"> PAGEREF _Toc139181302 \h </w:instrText>
            </w:r>
            <w:r w:rsidR="005C47A4">
              <w:rPr>
                <w:noProof/>
                <w:webHidden/>
              </w:rPr>
            </w:r>
            <w:r w:rsidR="005C47A4">
              <w:rPr>
                <w:noProof/>
                <w:webHidden/>
              </w:rPr>
              <w:fldChar w:fldCharType="separate"/>
            </w:r>
            <w:r w:rsidR="004D7B96">
              <w:rPr>
                <w:noProof/>
                <w:webHidden/>
              </w:rPr>
              <w:t>16</w:t>
            </w:r>
            <w:r w:rsidR="005C47A4">
              <w:rPr>
                <w:noProof/>
                <w:webHidden/>
              </w:rPr>
              <w:fldChar w:fldCharType="end"/>
            </w:r>
          </w:hyperlink>
        </w:p>
        <w:p w14:paraId="141458AE" w14:textId="4C3A4F81" w:rsidR="005C47A4" w:rsidRDefault="00000000">
          <w:pPr>
            <w:pStyle w:val="TM3"/>
            <w:tabs>
              <w:tab w:val="left" w:pos="1320"/>
              <w:tab w:val="right" w:leader="dot" w:pos="10416"/>
            </w:tabs>
            <w:rPr>
              <w:rFonts w:eastAsiaTheme="minorEastAsia"/>
              <w:noProof/>
              <w:kern w:val="2"/>
              <w:lang w:eastAsia="fr-FR"/>
              <w14:ligatures w14:val="standardContextual"/>
            </w:rPr>
          </w:pPr>
          <w:hyperlink w:anchor="_Toc139181303" w:history="1">
            <w:r w:rsidR="005C47A4" w:rsidRPr="006B7CE2">
              <w:rPr>
                <w:rStyle w:val="Lienhypertexte"/>
                <w:noProof/>
              </w:rPr>
              <w:t>2.2.5</w:t>
            </w:r>
            <w:r w:rsidR="005C47A4">
              <w:rPr>
                <w:rFonts w:eastAsiaTheme="minorEastAsia"/>
                <w:noProof/>
                <w:kern w:val="2"/>
                <w:lang w:eastAsia="fr-FR"/>
                <w14:ligatures w14:val="standardContextual"/>
              </w:rPr>
              <w:tab/>
            </w:r>
            <w:r w:rsidR="005C47A4" w:rsidRPr="006B7CE2">
              <w:rPr>
                <w:rStyle w:val="Lienhypertexte"/>
                <w:noProof/>
              </w:rPr>
              <w:t>L’augmentation des tempêtes de sable</w:t>
            </w:r>
            <w:r w:rsidR="005C47A4">
              <w:rPr>
                <w:noProof/>
                <w:webHidden/>
              </w:rPr>
              <w:tab/>
            </w:r>
            <w:r w:rsidR="005C47A4">
              <w:rPr>
                <w:noProof/>
                <w:webHidden/>
              </w:rPr>
              <w:fldChar w:fldCharType="begin"/>
            </w:r>
            <w:r w:rsidR="005C47A4">
              <w:rPr>
                <w:noProof/>
                <w:webHidden/>
              </w:rPr>
              <w:instrText xml:space="preserve"> PAGEREF _Toc139181303 \h </w:instrText>
            </w:r>
            <w:r w:rsidR="005C47A4">
              <w:rPr>
                <w:noProof/>
                <w:webHidden/>
              </w:rPr>
            </w:r>
            <w:r w:rsidR="005C47A4">
              <w:rPr>
                <w:noProof/>
                <w:webHidden/>
              </w:rPr>
              <w:fldChar w:fldCharType="separate"/>
            </w:r>
            <w:r w:rsidR="004D7B96">
              <w:rPr>
                <w:noProof/>
                <w:webHidden/>
              </w:rPr>
              <w:t>19</w:t>
            </w:r>
            <w:r w:rsidR="005C47A4">
              <w:rPr>
                <w:noProof/>
                <w:webHidden/>
              </w:rPr>
              <w:fldChar w:fldCharType="end"/>
            </w:r>
          </w:hyperlink>
        </w:p>
        <w:p w14:paraId="6B9AD8D6" w14:textId="1474004E" w:rsidR="005C47A4" w:rsidRDefault="00000000">
          <w:pPr>
            <w:pStyle w:val="TM3"/>
            <w:tabs>
              <w:tab w:val="left" w:pos="1320"/>
              <w:tab w:val="right" w:leader="dot" w:pos="10416"/>
            </w:tabs>
            <w:rPr>
              <w:rFonts w:eastAsiaTheme="minorEastAsia"/>
              <w:noProof/>
              <w:kern w:val="2"/>
              <w:lang w:eastAsia="fr-FR"/>
              <w14:ligatures w14:val="standardContextual"/>
            </w:rPr>
          </w:pPr>
          <w:hyperlink w:anchor="_Toc139181304" w:history="1">
            <w:r w:rsidR="005C47A4" w:rsidRPr="006B7CE2">
              <w:rPr>
                <w:rStyle w:val="Lienhypertexte"/>
                <w:noProof/>
              </w:rPr>
              <w:t>2.2.6</w:t>
            </w:r>
            <w:r w:rsidR="005C47A4">
              <w:rPr>
                <w:rFonts w:eastAsiaTheme="minorEastAsia"/>
                <w:noProof/>
                <w:kern w:val="2"/>
                <w:lang w:eastAsia="fr-FR"/>
                <w14:ligatures w14:val="standardContextual"/>
              </w:rPr>
              <w:tab/>
            </w:r>
            <w:r w:rsidR="005C47A4" w:rsidRPr="006B7CE2">
              <w:rPr>
                <w:rStyle w:val="Lienhypertexte"/>
                <w:noProof/>
              </w:rPr>
              <w:t>Le rôle croissant des terres arides dans le monde</w:t>
            </w:r>
            <w:r w:rsidR="005C47A4">
              <w:rPr>
                <w:noProof/>
                <w:webHidden/>
              </w:rPr>
              <w:tab/>
            </w:r>
            <w:r w:rsidR="005C47A4">
              <w:rPr>
                <w:noProof/>
                <w:webHidden/>
              </w:rPr>
              <w:fldChar w:fldCharType="begin"/>
            </w:r>
            <w:r w:rsidR="005C47A4">
              <w:rPr>
                <w:noProof/>
                <w:webHidden/>
              </w:rPr>
              <w:instrText xml:space="preserve"> PAGEREF _Toc139181304 \h </w:instrText>
            </w:r>
            <w:r w:rsidR="005C47A4">
              <w:rPr>
                <w:noProof/>
                <w:webHidden/>
              </w:rPr>
            </w:r>
            <w:r w:rsidR="005C47A4">
              <w:rPr>
                <w:noProof/>
                <w:webHidden/>
              </w:rPr>
              <w:fldChar w:fldCharType="separate"/>
            </w:r>
            <w:r w:rsidR="004D7B96">
              <w:rPr>
                <w:noProof/>
                <w:webHidden/>
              </w:rPr>
              <w:t>20</w:t>
            </w:r>
            <w:r w:rsidR="005C47A4">
              <w:rPr>
                <w:noProof/>
                <w:webHidden/>
              </w:rPr>
              <w:fldChar w:fldCharType="end"/>
            </w:r>
          </w:hyperlink>
        </w:p>
        <w:p w14:paraId="2E7D6A7A" w14:textId="47F2D006"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305" w:history="1">
            <w:r w:rsidR="005C47A4" w:rsidRPr="006B7CE2">
              <w:rPr>
                <w:rStyle w:val="Lienhypertexte"/>
                <w:noProof/>
              </w:rPr>
              <w:t>2.3</w:t>
            </w:r>
            <w:r w:rsidR="005C47A4">
              <w:rPr>
                <w:rFonts w:eastAsiaTheme="minorEastAsia"/>
                <w:noProof/>
                <w:kern w:val="2"/>
                <w:lang w:eastAsia="fr-FR"/>
                <w14:ligatures w14:val="standardContextual"/>
              </w:rPr>
              <w:tab/>
            </w:r>
            <w:r w:rsidR="005C47A4" w:rsidRPr="006B7CE2">
              <w:rPr>
                <w:rStyle w:val="Lienhypertexte"/>
                <w:noProof/>
              </w:rPr>
              <w:t>Dégradation et augmentation de l’aridité des sols</w:t>
            </w:r>
            <w:r w:rsidR="005C47A4">
              <w:rPr>
                <w:noProof/>
                <w:webHidden/>
              </w:rPr>
              <w:tab/>
            </w:r>
            <w:r w:rsidR="005C47A4">
              <w:rPr>
                <w:noProof/>
                <w:webHidden/>
              </w:rPr>
              <w:fldChar w:fldCharType="begin"/>
            </w:r>
            <w:r w:rsidR="005C47A4">
              <w:rPr>
                <w:noProof/>
                <w:webHidden/>
              </w:rPr>
              <w:instrText xml:space="preserve"> PAGEREF _Toc139181305 \h </w:instrText>
            </w:r>
            <w:r w:rsidR="005C47A4">
              <w:rPr>
                <w:noProof/>
                <w:webHidden/>
              </w:rPr>
            </w:r>
            <w:r w:rsidR="005C47A4">
              <w:rPr>
                <w:noProof/>
                <w:webHidden/>
              </w:rPr>
              <w:fldChar w:fldCharType="separate"/>
            </w:r>
            <w:r w:rsidR="004D7B96">
              <w:rPr>
                <w:noProof/>
                <w:webHidden/>
              </w:rPr>
              <w:t>20</w:t>
            </w:r>
            <w:r w:rsidR="005C47A4">
              <w:rPr>
                <w:noProof/>
                <w:webHidden/>
              </w:rPr>
              <w:fldChar w:fldCharType="end"/>
            </w:r>
          </w:hyperlink>
        </w:p>
        <w:p w14:paraId="1C6A90FB" w14:textId="6A3D676F" w:rsidR="005C47A4" w:rsidRDefault="00000000">
          <w:pPr>
            <w:pStyle w:val="TM3"/>
            <w:tabs>
              <w:tab w:val="left" w:pos="1320"/>
              <w:tab w:val="right" w:leader="dot" w:pos="10416"/>
            </w:tabs>
            <w:rPr>
              <w:rFonts w:eastAsiaTheme="minorEastAsia"/>
              <w:noProof/>
              <w:kern w:val="2"/>
              <w:lang w:eastAsia="fr-FR"/>
              <w14:ligatures w14:val="standardContextual"/>
            </w:rPr>
          </w:pPr>
          <w:hyperlink w:anchor="_Toc139181306" w:history="1">
            <w:r w:rsidR="005C47A4" w:rsidRPr="006B7CE2">
              <w:rPr>
                <w:rStyle w:val="Lienhypertexte"/>
                <w:noProof/>
              </w:rPr>
              <w:t>2.3.1</w:t>
            </w:r>
            <w:r w:rsidR="005C47A4">
              <w:rPr>
                <w:rFonts w:eastAsiaTheme="minorEastAsia"/>
                <w:noProof/>
                <w:kern w:val="2"/>
                <w:lang w:eastAsia="fr-FR"/>
                <w14:ligatures w14:val="standardContextual"/>
              </w:rPr>
              <w:tab/>
            </w:r>
            <w:r w:rsidR="005C47A4" w:rsidRPr="006B7CE2">
              <w:rPr>
                <w:rStyle w:val="Lienhypertexte"/>
                <w:noProof/>
              </w:rPr>
              <w:t>Dégradation des sols, par l’érosion et la désertification</w:t>
            </w:r>
            <w:r w:rsidR="005C47A4">
              <w:rPr>
                <w:noProof/>
                <w:webHidden/>
              </w:rPr>
              <w:tab/>
            </w:r>
            <w:r w:rsidR="005C47A4">
              <w:rPr>
                <w:noProof/>
                <w:webHidden/>
              </w:rPr>
              <w:fldChar w:fldCharType="begin"/>
            </w:r>
            <w:r w:rsidR="005C47A4">
              <w:rPr>
                <w:noProof/>
                <w:webHidden/>
              </w:rPr>
              <w:instrText xml:space="preserve"> PAGEREF _Toc139181306 \h </w:instrText>
            </w:r>
            <w:r w:rsidR="005C47A4">
              <w:rPr>
                <w:noProof/>
                <w:webHidden/>
              </w:rPr>
            </w:r>
            <w:r w:rsidR="005C47A4">
              <w:rPr>
                <w:noProof/>
                <w:webHidden/>
              </w:rPr>
              <w:fldChar w:fldCharType="separate"/>
            </w:r>
            <w:r w:rsidR="004D7B96">
              <w:rPr>
                <w:noProof/>
                <w:webHidden/>
              </w:rPr>
              <w:t>20</w:t>
            </w:r>
            <w:r w:rsidR="005C47A4">
              <w:rPr>
                <w:noProof/>
                <w:webHidden/>
              </w:rPr>
              <w:fldChar w:fldCharType="end"/>
            </w:r>
          </w:hyperlink>
        </w:p>
        <w:p w14:paraId="3F48ABAD" w14:textId="72CA4A5E" w:rsidR="005C47A4" w:rsidRDefault="00000000">
          <w:pPr>
            <w:pStyle w:val="TM3"/>
            <w:tabs>
              <w:tab w:val="left" w:pos="1320"/>
              <w:tab w:val="right" w:leader="dot" w:pos="10416"/>
            </w:tabs>
            <w:rPr>
              <w:rFonts w:eastAsiaTheme="minorEastAsia"/>
              <w:noProof/>
              <w:kern w:val="2"/>
              <w:lang w:eastAsia="fr-FR"/>
              <w14:ligatures w14:val="standardContextual"/>
            </w:rPr>
          </w:pPr>
          <w:hyperlink w:anchor="_Toc139181307" w:history="1">
            <w:r w:rsidR="005C47A4" w:rsidRPr="006B7CE2">
              <w:rPr>
                <w:rStyle w:val="Lienhypertexte"/>
                <w:noProof/>
              </w:rPr>
              <w:t>2.3.2</w:t>
            </w:r>
            <w:r w:rsidR="005C47A4">
              <w:rPr>
                <w:rFonts w:eastAsiaTheme="minorEastAsia"/>
                <w:noProof/>
                <w:kern w:val="2"/>
                <w:lang w:eastAsia="fr-FR"/>
                <w14:ligatures w14:val="standardContextual"/>
              </w:rPr>
              <w:tab/>
            </w:r>
            <w:r w:rsidR="005C47A4" w:rsidRPr="006B7CE2">
              <w:rPr>
                <w:rStyle w:val="Lienhypertexte"/>
                <w:noProof/>
              </w:rPr>
              <w:t>Les causes des augmentations des épisodes de sécheresses</w:t>
            </w:r>
            <w:r w:rsidR="005C47A4">
              <w:rPr>
                <w:noProof/>
                <w:webHidden/>
              </w:rPr>
              <w:tab/>
            </w:r>
            <w:r w:rsidR="005C47A4">
              <w:rPr>
                <w:noProof/>
                <w:webHidden/>
              </w:rPr>
              <w:fldChar w:fldCharType="begin"/>
            </w:r>
            <w:r w:rsidR="005C47A4">
              <w:rPr>
                <w:noProof/>
                <w:webHidden/>
              </w:rPr>
              <w:instrText xml:space="preserve"> PAGEREF _Toc139181307 \h </w:instrText>
            </w:r>
            <w:r w:rsidR="005C47A4">
              <w:rPr>
                <w:noProof/>
                <w:webHidden/>
              </w:rPr>
            </w:r>
            <w:r w:rsidR="005C47A4">
              <w:rPr>
                <w:noProof/>
                <w:webHidden/>
              </w:rPr>
              <w:fldChar w:fldCharType="separate"/>
            </w:r>
            <w:r w:rsidR="004D7B96">
              <w:rPr>
                <w:noProof/>
                <w:webHidden/>
              </w:rPr>
              <w:t>21</w:t>
            </w:r>
            <w:r w:rsidR="005C47A4">
              <w:rPr>
                <w:noProof/>
                <w:webHidden/>
              </w:rPr>
              <w:fldChar w:fldCharType="end"/>
            </w:r>
          </w:hyperlink>
        </w:p>
        <w:p w14:paraId="61EED20E" w14:textId="27D6B004" w:rsidR="005C47A4" w:rsidRDefault="00000000">
          <w:pPr>
            <w:pStyle w:val="TM3"/>
            <w:tabs>
              <w:tab w:val="left" w:pos="1320"/>
              <w:tab w:val="right" w:leader="dot" w:pos="10416"/>
            </w:tabs>
            <w:rPr>
              <w:rFonts w:eastAsiaTheme="minorEastAsia"/>
              <w:noProof/>
              <w:kern w:val="2"/>
              <w:lang w:eastAsia="fr-FR"/>
              <w14:ligatures w14:val="standardContextual"/>
            </w:rPr>
          </w:pPr>
          <w:hyperlink w:anchor="_Toc139181308" w:history="1">
            <w:r w:rsidR="005C47A4" w:rsidRPr="006B7CE2">
              <w:rPr>
                <w:rStyle w:val="Lienhypertexte"/>
                <w:noProof/>
              </w:rPr>
              <w:t>2.3.3</w:t>
            </w:r>
            <w:r w:rsidR="005C47A4">
              <w:rPr>
                <w:rFonts w:eastAsiaTheme="minorEastAsia"/>
                <w:noProof/>
                <w:kern w:val="2"/>
                <w:lang w:eastAsia="fr-FR"/>
                <w14:ligatures w14:val="standardContextual"/>
              </w:rPr>
              <w:tab/>
            </w:r>
            <w:r w:rsidR="005C47A4" w:rsidRPr="006B7CE2">
              <w:rPr>
                <w:rStyle w:val="Lienhypertexte"/>
                <w:noProof/>
              </w:rPr>
              <w:t>Augmentation de la salinisation des sols</w:t>
            </w:r>
            <w:r w:rsidR="005C47A4">
              <w:rPr>
                <w:noProof/>
                <w:webHidden/>
              </w:rPr>
              <w:tab/>
            </w:r>
            <w:r w:rsidR="005C47A4">
              <w:rPr>
                <w:noProof/>
                <w:webHidden/>
              </w:rPr>
              <w:fldChar w:fldCharType="begin"/>
            </w:r>
            <w:r w:rsidR="005C47A4">
              <w:rPr>
                <w:noProof/>
                <w:webHidden/>
              </w:rPr>
              <w:instrText xml:space="preserve"> PAGEREF _Toc139181308 \h </w:instrText>
            </w:r>
            <w:r w:rsidR="005C47A4">
              <w:rPr>
                <w:noProof/>
                <w:webHidden/>
              </w:rPr>
            </w:r>
            <w:r w:rsidR="005C47A4">
              <w:rPr>
                <w:noProof/>
                <w:webHidden/>
              </w:rPr>
              <w:fldChar w:fldCharType="separate"/>
            </w:r>
            <w:r w:rsidR="004D7B96">
              <w:rPr>
                <w:noProof/>
                <w:webHidden/>
              </w:rPr>
              <w:t>21</w:t>
            </w:r>
            <w:r w:rsidR="005C47A4">
              <w:rPr>
                <w:noProof/>
                <w:webHidden/>
              </w:rPr>
              <w:fldChar w:fldCharType="end"/>
            </w:r>
          </w:hyperlink>
        </w:p>
        <w:p w14:paraId="21FD447F" w14:textId="007CA040"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309" w:history="1">
            <w:r w:rsidR="005C47A4" w:rsidRPr="006B7CE2">
              <w:rPr>
                <w:rStyle w:val="Lienhypertexte"/>
                <w:noProof/>
              </w:rPr>
              <w:t>2.4</w:t>
            </w:r>
            <w:r w:rsidR="005C47A4">
              <w:rPr>
                <w:rFonts w:eastAsiaTheme="minorEastAsia"/>
                <w:noProof/>
                <w:kern w:val="2"/>
                <w:lang w:eastAsia="fr-FR"/>
                <w14:ligatures w14:val="standardContextual"/>
              </w:rPr>
              <w:tab/>
            </w:r>
            <w:r w:rsidR="005C47A4" w:rsidRPr="006B7CE2">
              <w:rPr>
                <w:rStyle w:val="Lienhypertexte"/>
                <w:noProof/>
              </w:rPr>
              <w:t>Submersions et transgressions marines</w:t>
            </w:r>
            <w:r w:rsidR="005C47A4">
              <w:rPr>
                <w:noProof/>
                <w:webHidden/>
              </w:rPr>
              <w:tab/>
            </w:r>
            <w:r w:rsidR="005C47A4">
              <w:rPr>
                <w:noProof/>
                <w:webHidden/>
              </w:rPr>
              <w:fldChar w:fldCharType="begin"/>
            </w:r>
            <w:r w:rsidR="005C47A4">
              <w:rPr>
                <w:noProof/>
                <w:webHidden/>
              </w:rPr>
              <w:instrText xml:space="preserve"> PAGEREF _Toc139181309 \h </w:instrText>
            </w:r>
            <w:r w:rsidR="005C47A4">
              <w:rPr>
                <w:noProof/>
                <w:webHidden/>
              </w:rPr>
            </w:r>
            <w:r w:rsidR="005C47A4">
              <w:rPr>
                <w:noProof/>
                <w:webHidden/>
              </w:rPr>
              <w:fldChar w:fldCharType="separate"/>
            </w:r>
            <w:r w:rsidR="004D7B96">
              <w:rPr>
                <w:noProof/>
                <w:webHidden/>
              </w:rPr>
              <w:t>21</w:t>
            </w:r>
            <w:r w:rsidR="005C47A4">
              <w:rPr>
                <w:noProof/>
                <w:webHidden/>
              </w:rPr>
              <w:fldChar w:fldCharType="end"/>
            </w:r>
          </w:hyperlink>
        </w:p>
        <w:p w14:paraId="0C3974B6" w14:textId="01FB587E"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310" w:history="1">
            <w:r w:rsidR="005C47A4" w:rsidRPr="006B7CE2">
              <w:rPr>
                <w:rStyle w:val="Lienhypertexte"/>
                <w:noProof/>
              </w:rPr>
              <w:t>2.5</w:t>
            </w:r>
            <w:r w:rsidR="005C47A4">
              <w:rPr>
                <w:rFonts w:eastAsiaTheme="minorEastAsia"/>
                <w:noProof/>
                <w:kern w:val="2"/>
                <w:lang w:eastAsia="fr-FR"/>
                <w14:ligatures w14:val="standardContextual"/>
              </w:rPr>
              <w:tab/>
            </w:r>
            <w:r w:rsidR="005C47A4" w:rsidRPr="006B7CE2">
              <w:rPr>
                <w:rStyle w:val="Lienhypertexte"/>
                <w:noProof/>
              </w:rPr>
              <w:t>Le non-contrôle strict de la démographie mondiale</w:t>
            </w:r>
            <w:r w:rsidR="005C47A4">
              <w:rPr>
                <w:noProof/>
                <w:webHidden/>
              </w:rPr>
              <w:tab/>
            </w:r>
            <w:r w:rsidR="005C47A4">
              <w:rPr>
                <w:noProof/>
                <w:webHidden/>
              </w:rPr>
              <w:fldChar w:fldCharType="begin"/>
            </w:r>
            <w:r w:rsidR="005C47A4">
              <w:rPr>
                <w:noProof/>
                <w:webHidden/>
              </w:rPr>
              <w:instrText xml:space="preserve"> PAGEREF _Toc139181310 \h </w:instrText>
            </w:r>
            <w:r w:rsidR="005C47A4">
              <w:rPr>
                <w:noProof/>
                <w:webHidden/>
              </w:rPr>
            </w:r>
            <w:r w:rsidR="005C47A4">
              <w:rPr>
                <w:noProof/>
                <w:webHidden/>
              </w:rPr>
              <w:fldChar w:fldCharType="separate"/>
            </w:r>
            <w:r w:rsidR="004D7B96">
              <w:rPr>
                <w:noProof/>
                <w:webHidden/>
              </w:rPr>
              <w:t>23</w:t>
            </w:r>
            <w:r w:rsidR="005C47A4">
              <w:rPr>
                <w:noProof/>
                <w:webHidden/>
              </w:rPr>
              <w:fldChar w:fldCharType="end"/>
            </w:r>
          </w:hyperlink>
        </w:p>
        <w:p w14:paraId="133F22EA" w14:textId="6D48330D"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311" w:history="1">
            <w:r w:rsidR="005C47A4" w:rsidRPr="006B7CE2">
              <w:rPr>
                <w:rStyle w:val="Lienhypertexte"/>
                <w:noProof/>
              </w:rPr>
              <w:t>2.6</w:t>
            </w:r>
            <w:r w:rsidR="005C47A4">
              <w:rPr>
                <w:rFonts w:eastAsiaTheme="minorEastAsia"/>
                <w:noProof/>
                <w:kern w:val="2"/>
                <w:lang w:eastAsia="fr-FR"/>
                <w14:ligatures w14:val="standardContextual"/>
              </w:rPr>
              <w:tab/>
            </w:r>
            <w:r w:rsidR="005C47A4" w:rsidRPr="006B7CE2">
              <w:rPr>
                <w:rStyle w:val="Lienhypertexte"/>
                <w:noProof/>
              </w:rPr>
              <w:t>Crises économiques, cours des denrées de base trop hauts, émeutes de la faim</w:t>
            </w:r>
            <w:r w:rsidR="005C47A4">
              <w:rPr>
                <w:noProof/>
                <w:webHidden/>
              </w:rPr>
              <w:tab/>
            </w:r>
            <w:r w:rsidR="005C47A4">
              <w:rPr>
                <w:noProof/>
                <w:webHidden/>
              </w:rPr>
              <w:fldChar w:fldCharType="begin"/>
            </w:r>
            <w:r w:rsidR="005C47A4">
              <w:rPr>
                <w:noProof/>
                <w:webHidden/>
              </w:rPr>
              <w:instrText xml:space="preserve"> PAGEREF _Toc139181311 \h </w:instrText>
            </w:r>
            <w:r w:rsidR="005C47A4">
              <w:rPr>
                <w:noProof/>
                <w:webHidden/>
              </w:rPr>
            </w:r>
            <w:r w:rsidR="005C47A4">
              <w:rPr>
                <w:noProof/>
                <w:webHidden/>
              </w:rPr>
              <w:fldChar w:fldCharType="separate"/>
            </w:r>
            <w:r w:rsidR="004D7B96">
              <w:rPr>
                <w:noProof/>
                <w:webHidden/>
              </w:rPr>
              <w:t>24</w:t>
            </w:r>
            <w:r w:rsidR="005C47A4">
              <w:rPr>
                <w:noProof/>
                <w:webHidden/>
              </w:rPr>
              <w:fldChar w:fldCharType="end"/>
            </w:r>
          </w:hyperlink>
        </w:p>
        <w:p w14:paraId="782B38B5" w14:textId="4B7A7D8A"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312" w:history="1">
            <w:r w:rsidR="005C47A4" w:rsidRPr="006B7CE2">
              <w:rPr>
                <w:rStyle w:val="Lienhypertexte"/>
                <w:noProof/>
              </w:rPr>
              <w:t>2.1</w:t>
            </w:r>
            <w:r w:rsidR="005C47A4">
              <w:rPr>
                <w:rFonts w:eastAsiaTheme="minorEastAsia"/>
                <w:noProof/>
                <w:kern w:val="2"/>
                <w:lang w:eastAsia="fr-FR"/>
                <w14:ligatures w14:val="standardContextual"/>
              </w:rPr>
              <w:tab/>
            </w:r>
            <w:r w:rsidR="005C47A4" w:rsidRPr="006B7CE2">
              <w:rPr>
                <w:rStyle w:val="Lienhypertexte"/>
                <w:noProof/>
              </w:rPr>
              <w:t>Réflexes égoïstes et guerres de l’eau</w:t>
            </w:r>
            <w:r w:rsidR="005C47A4">
              <w:rPr>
                <w:noProof/>
                <w:webHidden/>
              </w:rPr>
              <w:tab/>
            </w:r>
            <w:r w:rsidR="005C47A4">
              <w:rPr>
                <w:noProof/>
                <w:webHidden/>
              </w:rPr>
              <w:fldChar w:fldCharType="begin"/>
            </w:r>
            <w:r w:rsidR="005C47A4">
              <w:rPr>
                <w:noProof/>
                <w:webHidden/>
              </w:rPr>
              <w:instrText xml:space="preserve"> PAGEREF _Toc139181312 \h </w:instrText>
            </w:r>
            <w:r w:rsidR="005C47A4">
              <w:rPr>
                <w:noProof/>
                <w:webHidden/>
              </w:rPr>
            </w:r>
            <w:r w:rsidR="005C47A4">
              <w:rPr>
                <w:noProof/>
                <w:webHidden/>
              </w:rPr>
              <w:fldChar w:fldCharType="separate"/>
            </w:r>
            <w:r w:rsidR="004D7B96">
              <w:rPr>
                <w:noProof/>
                <w:webHidden/>
              </w:rPr>
              <w:t>25</w:t>
            </w:r>
            <w:r w:rsidR="005C47A4">
              <w:rPr>
                <w:noProof/>
                <w:webHidden/>
              </w:rPr>
              <w:fldChar w:fldCharType="end"/>
            </w:r>
          </w:hyperlink>
        </w:p>
        <w:p w14:paraId="2D2B5F75" w14:textId="667A5FA2"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313" w:history="1">
            <w:r w:rsidR="005C47A4" w:rsidRPr="006B7CE2">
              <w:rPr>
                <w:rStyle w:val="Lienhypertexte"/>
                <w:noProof/>
              </w:rPr>
              <w:t>2.2</w:t>
            </w:r>
            <w:r w:rsidR="005C47A4">
              <w:rPr>
                <w:rFonts w:eastAsiaTheme="minorEastAsia"/>
                <w:noProof/>
                <w:kern w:val="2"/>
                <w:lang w:eastAsia="fr-FR"/>
                <w14:ligatures w14:val="standardContextual"/>
              </w:rPr>
              <w:tab/>
            </w:r>
            <w:r w:rsidR="005C47A4" w:rsidRPr="006B7CE2">
              <w:rPr>
                <w:rStyle w:val="Lienhypertexte"/>
                <w:noProof/>
              </w:rPr>
              <w:t>Terrorisme, guerres</w:t>
            </w:r>
            <w:r w:rsidR="005C47A4">
              <w:rPr>
                <w:noProof/>
                <w:webHidden/>
              </w:rPr>
              <w:tab/>
            </w:r>
            <w:r w:rsidR="005C47A4">
              <w:rPr>
                <w:noProof/>
                <w:webHidden/>
              </w:rPr>
              <w:fldChar w:fldCharType="begin"/>
            </w:r>
            <w:r w:rsidR="005C47A4">
              <w:rPr>
                <w:noProof/>
                <w:webHidden/>
              </w:rPr>
              <w:instrText xml:space="preserve"> PAGEREF _Toc139181313 \h </w:instrText>
            </w:r>
            <w:r w:rsidR="005C47A4">
              <w:rPr>
                <w:noProof/>
                <w:webHidden/>
              </w:rPr>
            </w:r>
            <w:r w:rsidR="005C47A4">
              <w:rPr>
                <w:noProof/>
                <w:webHidden/>
              </w:rPr>
              <w:fldChar w:fldCharType="separate"/>
            </w:r>
            <w:r w:rsidR="004D7B96">
              <w:rPr>
                <w:noProof/>
                <w:webHidden/>
              </w:rPr>
              <w:t>25</w:t>
            </w:r>
            <w:r w:rsidR="005C47A4">
              <w:rPr>
                <w:noProof/>
                <w:webHidden/>
              </w:rPr>
              <w:fldChar w:fldCharType="end"/>
            </w:r>
          </w:hyperlink>
        </w:p>
        <w:p w14:paraId="73F9CDF6" w14:textId="2D364576" w:rsidR="005C47A4" w:rsidRDefault="00000000">
          <w:pPr>
            <w:pStyle w:val="TM1"/>
            <w:tabs>
              <w:tab w:val="left" w:pos="440"/>
              <w:tab w:val="right" w:leader="dot" w:pos="10416"/>
            </w:tabs>
            <w:rPr>
              <w:rFonts w:eastAsiaTheme="minorEastAsia"/>
              <w:noProof/>
              <w:kern w:val="2"/>
              <w:lang w:eastAsia="fr-FR"/>
              <w14:ligatures w14:val="standardContextual"/>
            </w:rPr>
          </w:pPr>
          <w:hyperlink w:anchor="_Toc139181314" w:history="1">
            <w:r w:rsidR="005C47A4" w:rsidRPr="006B7CE2">
              <w:rPr>
                <w:rStyle w:val="Lienhypertexte"/>
                <w:noProof/>
              </w:rPr>
              <w:t>3</w:t>
            </w:r>
            <w:r w:rsidR="005C47A4">
              <w:rPr>
                <w:rFonts w:eastAsiaTheme="minorEastAsia"/>
                <w:noProof/>
                <w:kern w:val="2"/>
                <w:lang w:eastAsia="fr-FR"/>
                <w14:ligatures w14:val="standardContextual"/>
              </w:rPr>
              <w:tab/>
            </w:r>
            <w:r w:rsidR="005C47A4" w:rsidRPr="006B7CE2">
              <w:rPr>
                <w:rStyle w:val="Lienhypertexte"/>
                <w:noProof/>
              </w:rPr>
              <w:t>Biosécurité</w:t>
            </w:r>
            <w:r w:rsidR="005C47A4">
              <w:rPr>
                <w:noProof/>
                <w:webHidden/>
              </w:rPr>
              <w:tab/>
            </w:r>
            <w:r w:rsidR="005C47A4">
              <w:rPr>
                <w:noProof/>
                <w:webHidden/>
              </w:rPr>
              <w:fldChar w:fldCharType="begin"/>
            </w:r>
            <w:r w:rsidR="005C47A4">
              <w:rPr>
                <w:noProof/>
                <w:webHidden/>
              </w:rPr>
              <w:instrText xml:space="preserve"> PAGEREF _Toc139181314 \h </w:instrText>
            </w:r>
            <w:r w:rsidR="005C47A4">
              <w:rPr>
                <w:noProof/>
                <w:webHidden/>
              </w:rPr>
            </w:r>
            <w:r w:rsidR="005C47A4">
              <w:rPr>
                <w:noProof/>
                <w:webHidden/>
              </w:rPr>
              <w:fldChar w:fldCharType="separate"/>
            </w:r>
            <w:r w:rsidR="004D7B96">
              <w:rPr>
                <w:noProof/>
                <w:webHidden/>
              </w:rPr>
              <w:t>26</w:t>
            </w:r>
            <w:r w:rsidR="005C47A4">
              <w:rPr>
                <w:noProof/>
                <w:webHidden/>
              </w:rPr>
              <w:fldChar w:fldCharType="end"/>
            </w:r>
          </w:hyperlink>
        </w:p>
        <w:p w14:paraId="515F5AFD" w14:textId="06282705" w:rsidR="005C47A4" w:rsidRDefault="00000000">
          <w:pPr>
            <w:pStyle w:val="TM1"/>
            <w:tabs>
              <w:tab w:val="left" w:pos="440"/>
              <w:tab w:val="right" w:leader="dot" w:pos="10416"/>
            </w:tabs>
            <w:rPr>
              <w:rFonts w:eastAsiaTheme="minorEastAsia"/>
              <w:noProof/>
              <w:kern w:val="2"/>
              <w:lang w:eastAsia="fr-FR"/>
              <w14:ligatures w14:val="standardContextual"/>
            </w:rPr>
          </w:pPr>
          <w:hyperlink w:anchor="_Toc139181315" w:history="1">
            <w:r w:rsidR="005C47A4" w:rsidRPr="006B7CE2">
              <w:rPr>
                <w:rStyle w:val="Lienhypertexte"/>
                <w:noProof/>
              </w:rPr>
              <w:t>4</w:t>
            </w:r>
            <w:r w:rsidR="005C47A4">
              <w:rPr>
                <w:rFonts w:eastAsiaTheme="minorEastAsia"/>
                <w:noProof/>
                <w:kern w:val="2"/>
                <w:lang w:eastAsia="fr-FR"/>
                <w14:ligatures w14:val="standardContextual"/>
              </w:rPr>
              <w:tab/>
            </w:r>
            <w:r w:rsidR="005C47A4" w:rsidRPr="006B7CE2">
              <w:rPr>
                <w:rStyle w:val="Lienhypertexte"/>
                <w:noProof/>
              </w:rPr>
              <w:t>Bien réfléchir avant d’introduire une plante dans une région donnée (le problème des plantes invasives)</w:t>
            </w:r>
            <w:r w:rsidR="005C47A4">
              <w:rPr>
                <w:noProof/>
                <w:webHidden/>
              </w:rPr>
              <w:tab/>
            </w:r>
            <w:r w:rsidR="005C47A4">
              <w:rPr>
                <w:noProof/>
                <w:webHidden/>
              </w:rPr>
              <w:fldChar w:fldCharType="begin"/>
            </w:r>
            <w:r w:rsidR="005C47A4">
              <w:rPr>
                <w:noProof/>
                <w:webHidden/>
              </w:rPr>
              <w:instrText xml:space="preserve"> PAGEREF _Toc139181315 \h </w:instrText>
            </w:r>
            <w:r w:rsidR="005C47A4">
              <w:rPr>
                <w:noProof/>
                <w:webHidden/>
              </w:rPr>
            </w:r>
            <w:r w:rsidR="005C47A4">
              <w:rPr>
                <w:noProof/>
                <w:webHidden/>
              </w:rPr>
              <w:fldChar w:fldCharType="separate"/>
            </w:r>
            <w:r w:rsidR="004D7B96">
              <w:rPr>
                <w:noProof/>
                <w:webHidden/>
              </w:rPr>
              <w:t>26</w:t>
            </w:r>
            <w:r w:rsidR="005C47A4">
              <w:rPr>
                <w:noProof/>
                <w:webHidden/>
              </w:rPr>
              <w:fldChar w:fldCharType="end"/>
            </w:r>
          </w:hyperlink>
        </w:p>
        <w:p w14:paraId="5232893B" w14:textId="01B4B10B"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316" w:history="1">
            <w:r w:rsidR="005C47A4" w:rsidRPr="006B7CE2">
              <w:rPr>
                <w:rStyle w:val="Lienhypertexte"/>
                <w:noProof/>
              </w:rPr>
              <w:t>4.1</w:t>
            </w:r>
            <w:r w:rsidR="005C47A4">
              <w:rPr>
                <w:rFonts w:eastAsiaTheme="minorEastAsia"/>
                <w:noProof/>
                <w:kern w:val="2"/>
                <w:lang w:eastAsia="fr-FR"/>
                <w14:ligatures w14:val="standardContextual"/>
              </w:rPr>
              <w:tab/>
            </w:r>
            <w:r w:rsidR="005C47A4" w:rsidRPr="006B7CE2">
              <w:rPr>
                <w:rStyle w:val="Lienhypertexte"/>
                <w:noProof/>
              </w:rPr>
              <w:t>L’introduction de l’eucalyptus (réflexions sur)</w:t>
            </w:r>
            <w:r w:rsidR="005C47A4">
              <w:rPr>
                <w:noProof/>
                <w:webHidden/>
              </w:rPr>
              <w:tab/>
            </w:r>
            <w:r w:rsidR="005C47A4">
              <w:rPr>
                <w:noProof/>
                <w:webHidden/>
              </w:rPr>
              <w:fldChar w:fldCharType="begin"/>
            </w:r>
            <w:r w:rsidR="005C47A4">
              <w:rPr>
                <w:noProof/>
                <w:webHidden/>
              </w:rPr>
              <w:instrText xml:space="preserve"> PAGEREF _Toc139181316 \h </w:instrText>
            </w:r>
            <w:r w:rsidR="005C47A4">
              <w:rPr>
                <w:noProof/>
                <w:webHidden/>
              </w:rPr>
            </w:r>
            <w:r w:rsidR="005C47A4">
              <w:rPr>
                <w:noProof/>
                <w:webHidden/>
              </w:rPr>
              <w:fldChar w:fldCharType="separate"/>
            </w:r>
            <w:r w:rsidR="004D7B96">
              <w:rPr>
                <w:noProof/>
                <w:webHidden/>
              </w:rPr>
              <w:t>26</w:t>
            </w:r>
            <w:r w:rsidR="005C47A4">
              <w:rPr>
                <w:noProof/>
                <w:webHidden/>
              </w:rPr>
              <w:fldChar w:fldCharType="end"/>
            </w:r>
          </w:hyperlink>
        </w:p>
        <w:p w14:paraId="77C776CB" w14:textId="5BBE5126"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317" w:history="1">
            <w:r w:rsidR="005C47A4" w:rsidRPr="006B7CE2">
              <w:rPr>
                <w:rStyle w:val="Lienhypertexte"/>
                <w:noProof/>
              </w:rPr>
              <w:t>4.1</w:t>
            </w:r>
            <w:r w:rsidR="005C47A4">
              <w:rPr>
                <w:rFonts w:eastAsiaTheme="minorEastAsia"/>
                <w:noProof/>
                <w:kern w:val="2"/>
                <w:lang w:eastAsia="fr-FR"/>
                <w14:ligatures w14:val="standardContextual"/>
              </w:rPr>
              <w:tab/>
            </w:r>
            <w:r w:rsidR="005C47A4" w:rsidRPr="006B7CE2">
              <w:rPr>
                <w:rStyle w:val="Lienhypertexte"/>
                <w:noProof/>
              </w:rPr>
              <w:t>L’introduction des plantes invasives</w:t>
            </w:r>
            <w:r w:rsidR="005C47A4">
              <w:rPr>
                <w:noProof/>
                <w:webHidden/>
              </w:rPr>
              <w:tab/>
            </w:r>
            <w:r w:rsidR="005C47A4">
              <w:rPr>
                <w:noProof/>
                <w:webHidden/>
              </w:rPr>
              <w:fldChar w:fldCharType="begin"/>
            </w:r>
            <w:r w:rsidR="005C47A4">
              <w:rPr>
                <w:noProof/>
                <w:webHidden/>
              </w:rPr>
              <w:instrText xml:space="preserve"> PAGEREF _Toc139181317 \h </w:instrText>
            </w:r>
            <w:r w:rsidR="005C47A4">
              <w:rPr>
                <w:noProof/>
                <w:webHidden/>
              </w:rPr>
            </w:r>
            <w:r w:rsidR="005C47A4">
              <w:rPr>
                <w:noProof/>
                <w:webHidden/>
              </w:rPr>
              <w:fldChar w:fldCharType="separate"/>
            </w:r>
            <w:r w:rsidR="004D7B96">
              <w:rPr>
                <w:noProof/>
                <w:webHidden/>
              </w:rPr>
              <w:t>27</w:t>
            </w:r>
            <w:r w:rsidR="005C47A4">
              <w:rPr>
                <w:noProof/>
                <w:webHidden/>
              </w:rPr>
              <w:fldChar w:fldCharType="end"/>
            </w:r>
          </w:hyperlink>
        </w:p>
        <w:p w14:paraId="3A254C32" w14:textId="2D7E87EB" w:rsidR="005C47A4" w:rsidRDefault="00000000">
          <w:pPr>
            <w:pStyle w:val="TM3"/>
            <w:tabs>
              <w:tab w:val="left" w:pos="1320"/>
              <w:tab w:val="right" w:leader="dot" w:pos="10416"/>
            </w:tabs>
            <w:rPr>
              <w:rFonts w:eastAsiaTheme="minorEastAsia"/>
              <w:noProof/>
              <w:kern w:val="2"/>
              <w:lang w:eastAsia="fr-FR"/>
              <w14:ligatures w14:val="standardContextual"/>
            </w:rPr>
          </w:pPr>
          <w:hyperlink w:anchor="_Toc139181318" w:history="1">
            <w:r w:rsidR="005C47A4" w:rsidRPr="006B7CE2">
              <w:rPr>
                <w:rStyle w:val="Lienhypertexte"/>
                <w:noProof/>
              </w:rPr>
              <w:t>4.1.1</w:t>
            </w:r>
            <w:r w:rsidR="005C47A4">
              <w:rPr>
                <w:rFonts w:eastAsiaTheme="minorEastAsia"/>
                <w:noProof/>
                <w:kern w:val="2"/>
                <w:lang w:eastAsia="fr-FR"/>
                <w14:ligatures w14:val="standardContextual"/>
              </w:rPr>
              <w:tab/>
            </w:r>
            <w:r w:rsidR="005C47A4" w:rsidRPr="006B7CE2">
              <w:rPr>
                <w:rStyle w:val="Lienhypertexte"/>
                <w:noProof/>
              </w:rPr>
              <w:t>Définition ou caractéristiques des plantes invasives</w:t>
            </w:r>
            <w:r w:rsidR="005C47A4">
              <w:rPr>
                <w:noProof/>
                <w:webHidden/>
              </w:rPr>
              <w:tab/>
            </w:r>
            <w:r w:rsidR="005C47A4">
              <w:rPr>
                <w:noProof/>
                <w:webHidden/>
              </w:rPr>
              <w:fldChar w:fldCharType="begin"/>
            </w:r>
            <w:r w:rsidR="005C47A4">
              <w:rPr>
                <w:noProof/>
                <w:webHidden/>
              </w:rPr>
              <w:instrText xml:space="preserve"> PAGEREF _Toc139181318 \h </w:instrText>
            </w:r>
            <w:r w:rsidR="005C47A4">
              <w:rPr>
                <w:noProof/>
                <w:webHidden/>
              </w:rPr>
            </w:r>
            <w:r w:rsidR="005C47A4">
              <w:rPr>
                <w:noProof/>
                <w:webHidden/>
              </w:rPr>
              <w:fldChar w:fldCharType="separate"/>
            </w:r>
            <w:r w:rsidR="004D7B96">
              <w:rPr>
                <w:noProof/>
                <w:webHidden/>
              </w:rPr>
              <w:t>27</w:t>
            </w:r>
            <w:r w:rsidR="005C47A4">
              <w:rPr>
                <w:noProof/>
                <w:webHidden/>
              </w:rPr>
              <w:fldChar w:fldCharType="end"/>
            </w:r>
          </w:hyperlink>
        </w:p>
        <w:p w14:paraId="43E8FD25" w14:textId="76DDCEC3" w:rsidR="005C47A4" w:rsidRDefault="00000000">
          <w:pPr>
            <w:pStyle w:val="TM3"/>
            <w:tabs>
              <w:tab w:val="left" w:pos="1320"/>
              <w:tab w:val="right" w:leader="dot" w:pos="10416"/>
            </w:tabs>
            <w:rPr>
              <w:rFonts w:eastAsiaTheme="minorEastAsia"/>
              <w:noProof/>
              <w:kern w:val="2"/>
              <w:lang w:eastAsia="fr-FR"/>
              <w14:ligatures w14:val="standardContextual"/>
            </w:rPr>
          </w:pPr>
          <w:hyperlink w:anchor="_Toc139181319" w:history="1">
            <w:r w:rsidR="005C47A4" w:rsidRPr="006B7CE2">
              <w:rPr>
                <w:rStyle w:val="Lienhypertexte"/>
                <w:noProof/>
              </w:rPr>
              <w:t>4.1.2</w:t>
            </w:r>
            <w:r w:rsidR="005C47A4">
              <w:rPr>
                <w:rFonts w:eastAsiaTheme="minorEastAsia"/>
                <w:noProof/>
                <w:kern w:val="2"/>
                <w:lang w:eastAsia="fr-FR"/>
                <w14:ligatures w14:val="standardContextual"/>
              </w:rPr>
              <w:tab/>
            </w:r>
            <w:r w:rsidR="005C47A4" w:rsidRPr="006B7CE2">
              <w:rPr>
                <w:rStyle w:val="Lienhypertexte"/>
                <w:noProof/>
              </w:rPr>
              <w:t>Manque de méfiance de tout un chacun face aux plantes invasives</w:t>
            </w:r>
            <w:r w:rsidR="005C47A4">
              <w:rPr>
                <w:noProof/>
                <w:webHidden/>
              </w:rPr>
              <w:tab/>
            </w:r>
            <w:r w:rsidR="005C47A4">
              <w:rPr>
                <w:noProof/>
                <w:webHidden/>
              </w:rPr>
              <w:fldChar w:fldCharType="begin"/>
            </w:r>
            <w:r w:rsidR="005C47A4">
              <w:rPr>
                <w:noProof/>
                <w:webHidden/>
              </w:rPr>
              <w:instrText xml:space="preserve"> PAGEREF _Toc139181319 \h </w:instrText>
            </w:r>
            <w:r w:rsidR="005C47A4">
              <w:rPr>
                <w:noProof/>
                <w:webHidden/>
              </w:rPr>
            </w:r>
            <w:r w:rsidR="005C47A4">
              <w:rPr>
                <w:noProof/>
                <w:webHidden/>
              </w:rPr>
              <w:fldChar w:fldCharType="separate"/>
            </w:r>
            <w:r w:rsidR="004D7B96">
              <w:rPr>
                <w:noProof/>
                <w:webHidden/>
              </w:rPr>
              <w:t>27</w:t>
            </w:r>
            <w:r w:rsidR="005C47A4">
              <w:rPr>
                <w:noProof/>
                <w:webHidden/>
              </w:rPr>
              <w:fldChar w:fldCharType="end"/>
            </w:r>
          </w:hyperlink>
        </w:p>
        <w:p w14:paraId="5C444C42" w14:textId="05F540B7" w:rsidR="005C47A4" w:rsidRDefault="00000000">
          <w:pPr>
            <w:pStyle w:val="TM3"/>
            <w:tabs>
              <w:tab w:val="left" w:pos="1320"/>
              <w:tab w:val="right" w:leader="dot" w:pos="10416"/>
            </w:tabs>
            <w:rPr>
              <w:rFonts w:eastAsiaTheme="minorEastAsia"/>
              <w:noProof/>
              <w:kern w:val="2"/>
              <w:lang w:eastAsia="fr-FR"/>
              <w14:ligatures w14:val="standardContextual"/>
            </w:rPr>
          </w:pPr>
          <w:hyperlink w:anchor="_Toc139181320" w:history="1">
            <w:r w:rsidR="005C47A4" w:rsidRPr="006B7CE2">
              <w:rPr>
                <w:rStyle w:val="Lienhypertexte"/>
                <w:noProof/>
              </w:rPr>
              <w:t>4.1.3</w:t>
            </w:r>
            <w:r w:rsidR="005C47A4">
              <w:rPr>
                <w:rFonts w:eastAsiaTheme="minorEastAsia"/>
                <w:noProof/>
                <w:kern w:val="2"/>
                <w:lang w:eastAsia="fr-FR"/>
                <w14:ligatures w14:val="standardContextual"/>
              </w:rPr>
              <w:tab/>
            </w:r>
            <w:r w:rsidR="005C47A4" w:rsidRPr="006B7CE2">
              <w:rPr>
                <w:rStyle w:val="Lienhypertexte"/>
                <w:noProof/>
              </w:rPr>
              <w:t>Coûts économiques et écologiques causées par les espèces invasives</w:t>
            </w:r>
            <w:r w:rsidR="005C47A4">
              <w:rPr>
                <w:noProof/>
                <w:webHidden/>
              </w:rPr>
              <w:tab/>
            </w:r>
            <w:r w:rsidR="005C47A4">
              <w:rPr>
                <w:noProof/>
                <w:webHidden/>
              </w:rPr>
              <w:fldChar w:fldCharType="begin"/>
            </w:r>
            <w:r w:rsidR="005C47A4">
              <w:rPr>
                <w:noProof/>
                <w:webHidden/>
              </w:rPr>
              <w:instrText xml:space="preserve"> PAGEREF _Toc139181320 \h </w:instrText>
            </w:r>
            <w:r w:rsidR="005C47A4">
              <w:rPr>
                <w:noProof/>
                <w:webHidden/>
              </w:rPr>
            </w:r>
            <w:r w:rsidR="005C47A4">
              <w:rPr>
                <w:noProof/>
                <w:webHidden/>
              </w:rPr>
              <w:fldChar w:fldCharType="separate"/>
            </w:r>
            <w:r w:rsidR="004D7B96">
              <w:rPr>
                <w:noProof/>
                <w:webHidden/>
              </w:rPr>
              <w:t>27</w:t>
            </w:r>
            <w:r w:rsidR="005C47A4">
              <w:rPr>
                <w:noProof/>
                <w:webHidden/>
              </w:rPr>
              <w:fldChar w:fldCharType="end"/>
            </w:r>
          </w:hyperlink>
        </w:p>
        <w:p w14:paraId="432E5552" w14:textId="698D3E6D" w:rsidR="005C47A4" w:rsidRDefault="00000000">
          <w:pPr>
            <w:pStyle w:val="TM1"/>
            <w:tabs>
              <w:tab w:val="left" w:pos="440"/>
              <w:tab w:val="right" w:leader="dot" w:pos="10416"/>
            </w:tabs>
            <w:rPr>
              <w:rFonts w:eastAsiaTheme="minorEastAsia"/>
              <w:noProof/>
              <w:kern w:val="2"/>
              <w:lang w:eastAsia="fr-FR"/>
              <w14:ligatures w14:val="standardContextual"/>
            </w:rPr>
          </w:pPr>
          <w:hyperlink w:anchor="_Toc139181321" w:history="1">
            <w:r w:rsidR="005C47A4" w:rsidRPr="006B7CE2">
              <w:rPr>
                <w:rStyle w:val="Lienhypertexte"/>
                <w:noProof/>
              </w:rPr>
              <w:t>5</w:t>
            </w:r>
            <w:r w:rsidR="005C47A4">
              <w:rPr>
                <w:rFonts w:eastAsiaTheme="minorEastAsia"/>
                <w:noProof/>
                <w:kern w:val="2"/>
                <w:lang w:eastAsia="fr-FR"/>
                <w14:ligatures w14:val="standardContextual"/>
              </w:rPr>
              <w:tab/>
            </w:r>
            <w:r w:rsidR="005C47A4" w:rsidRPr="006B7CE2">
              <w:rPr>
                <w:rStyle w:val="Lienhypertexte"/>
                <w:noProof/>
              </w:rPr>
              <w:t>La résistance au stress biotique et abiotique d’une plante</w:t>
            </w:r>
            <w:r w:rsidR="005C47A4">
              <w:rPr>
                <w:noProof/>
                <w:webHidden/>
              </w:rPr>
              <w:tab/>
            </w:r>
            <w:r w:rsidR="005C47A4">
              <w:rPr>
                <w:noProof/>
                <w:webHidden/>
              </w:rPr>
              <w:fldChar w:fldCharType="begin"/>
            </w:r>
            <w:r w:rsidR="005C47A4">
              <w:rPr>
                <w:noProof/>
                <w:webHidden/>
              </w:rPr>
              <w:instrText xml:space="preserve"> PAGEREF _Toc139181321 \h </w:instrText>
            </w:r>
            <w:r w:rsidR="005C47A4">
              <w:rPr>
                <w:noProof/>
                <w:webHidden/>
              </w:rPr>
            </w:r>
            <w:r w:rsidR="005C47A4">
              <w:rPr>
                <w:noProof/>
                <w:webHidden/>
              </w:rPr>
              <w:fldChar w:fldCharType="separate"/>
            </w:r>
            <w:r w:rsidR="004D7B96">
              <w:rPr>
                <w:noProof/>
                <w:webHidden/>
              </w:rPr>
              <w:t>28</w:t>
            </w:r>
            <w:r w:rsidR="005C47A4">
              <w:rPr>
                <w:noProof/>
                <w:webHidden/>
              </w:rPr>
              <w:fldChar w:fldCharType="end"/>
            </w:r>
          </w:hyperlink>
        </w:p>
        <w:p w14:paraId="638C005B" w14:textId="359C15FC"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322" w:history="1">
            <w:r w:rsidR="005C47A4" w:rsidRPr="006B7CE2">
              <w:rPr>
                <w:rStyle w:val="Lienhypertexte"/>
                <w:noProof/>
              </w:rPr>
              <w:t>5.1</w:t>
            </w:r>
            <w:r w:rsidR="005C47A4">
              <w:rPr>
                <w:rFonts w:eastAsiaTheme="minorEastAsia"/>
                <w:noProof/>
                <w:kern w:val="2"/>
                <w:lang w:eastAsia="fr-FR"/>
                <w14:ligatures w14:val="standardContextual"/>
              </w:rPr>
              <w:tab/>
            </w:r>
            <w:r w:rsidR="005C47A4" w:rsidRPr="006B7CE2">
              <w:rPr>
                <w:rStyle w:val="Lienhypertexte"/>
                <w:noProof/>
              </w:rPr>
              <w:t>Définition stress biotique et abiotique</w:t>
            </w:r>
            <w:r w:rsidR="005C47A4">
              <w:rPr>
                <w:noProof/>
                <w:webHidden/>
              </w:rPr>
              <w:tab/>
            </w:r>
            <w:r w:rsidR="005C47A4">
              <w:rPr>
                <w:noProof/>
                <w:webHidden/>
              </w:rPr>
              <w:fldChar w:fldCharType="begin"/>
            </w:r>
            <w:r w:rsidR="005C47A4">
              <w:rPr>
                <w:noProof/>
                <w:webHidden/>
              </w:rPr>
              <w:instrText xml:space="preserve"> PAGEREF _Toc139181322 \h </w:instrText>
            </w:r>
            <w:r w:rsidR="005C47A4">
              <w:rPr>
                <w:noProof/>
                <w:webHidden/>
              </w:rPr>
            </w:r>
            <w:r w:rsidR="005C47A4">
              <w:rPr>
                <w:noProof/>
                <w:webHidden/>
              </w:rPr>
              <w:fldChar w:fldCharType="separate"/>
            </w:r>
            <w:r w:rsidR="004D7B96">
              <w:rPr>
                <w:noProof/>
                <w:webHidden/>
              </w:rPr>
              <w:t>28</w:t>
            </w:r>
            <w:r w:rsidR="005C47A4">
              <w:rPr>
                <w:noProof/>
                <w:webHidden/>
              </w:rPr>
              <w:fldChar w:fldCharType="end"/>
            </w:r>
          </w:hyperlink>
        </w:p>
        <w:p w14:paraId="0CF68D89" w14:textId="7D86D162"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323" w:history="1">
            <w:r w:rsidR="005C47A4" w:rsidRPr="006B7CE2">
              <w:rPr>
                <w:rStyle w:val="Lienhypertexte"/>
                <w:noProof/>
              </w:rPr>
              <w:t>5.2</w:t>
            </w:r>
            <w:r w:rsidR="005C47A4">
              <w:rPr>
                <w:rFonts w:eastAsiaTheme="minorEastAsia"/>
                <w:noProof/>
                <w:kern w:val="2"/>
                <w:lang w:eastAsia="fr-FR"/>
                <w14:ligatures w14:val="standardContextual"/>
              </w:rPr>
              <w:tab/>
            </w:r>
            <w:r w:rsidR="005C47A4" w:rsidRPr="006B7CE2">
              <w:rPr>
                <w:rStyle w:val="Lienhypertexte"/>
                <w:noProof/>
              </w:rPr>
              <w:t>Différences de résistances de plantes à certains stress</w:t>
            </w:r>
            <w:r w:rsidR="005C47A4">
              <w:rPr>
                <w:noProof/>
                <w:webHidden/>
              </w:rPr>
              <w:tab/>
            </w:r>
            <w:r w:rsidR="005C47A4">
              <w:rPr>
                <w:noProof/>
                <w:webHidden/>
              </w:rPr>
              <w:fldChar w:fldCharType="begin"/>
            </w:r>
            <w:r w:rsidR="005C47A4">
              <w:rPr>
                <w:noProof/>
                <w:webHidden/>
              </w:rPr>
              <w:instrText xml:space="preserve"> PAGEREF _Toc139181323 \h </w:instrText>
            </w:r>
            <w:r w:rsidR="005C47A4">
              <w:rPr>
                <w:noProof/>
                <w:webHidden/>
              </w:rPr>
            </w:r>
            <w:r w:rsidR="005C47A4">
              <w:rPr>
                <w:noProof/>
                <w:webHidden/>
              </w:rPr>
              <w:fldChar w:fldCharType="separate"/>
            </w:r>
            <w:r w:rsidR="004D7B96">
              <w:rPr>
                <w:noProof/>
                <w:webHidden/>
              </w:rPr>
              <w:t>29</w:t>
            </w:r>
            <w:r w:rsidR="005C47A4">
              <w:rPr>
                <w:noProof/>
                <w:webHidden/>
              </w:rPr>
              <w:fldChar w:fldCharType="end"/>
            </w:r>
          </w:hyperlink>
        </w:p>
        <w:p w14:paraId="69A07884" w14:textId="16F3B5A8" w:rsidR="005C47A4" w:rsidRDefault="00000000">
          <w:pPr>
            <w:pStyle w:val="TM1"/>
            <w:tabs>
              <w:tab w:val="left" w:pos="440"/>
              <w:tab w:val="right" w:leader="dot" w:pos="10416"/>
            </w:tabs>
            <w:rPr>
              <w:rFonts w:eastAsiaTheme="minorEastAsia"/>
              <w:noProof/>
              <w:kern w:val="2"/>
              <w:lang w:eastAsia="fr-FR"/>
              <w14:ligatures w14:val="standardContextual"/>
            </w:rPr>
          </w:pPr>
          <w:hyperlink w:anchor="_Toc139181324" w:history="1">
            <w:r w:rsidR="005C47A4" w:rsidRPr="006B7CE2">
              <w:rPr>
                <w:rStyle w:val="Lienhypertexte"/>
                <w:noProof/>
              </w:rPr>
              <w:t>6</w:t>
            </w:r>
            <w:r w:rsidR="005C47A4">
              <w:rPr>
                <w:rFonts w:eastAsiaTheme="minorEastAsia"/>
                <w:noProof/>
                <w:kern w:val="2"/>
                <w:lang w:eastAsia="fr-FR"/>
                <w14:ligatures w14:val="standardContextual"/>
              </w:rPr>
              <w:tab/>
            </w:r>
            <w:r w:rsidR="005C47A4" w:rsidRPr="006B7CE2">
              <w:rPr>
                <w:rStyle w:val="Lienhypertexte"/>
                <w:noProof/>
              </w:rPr>
              <w:t>Signalétique</w:t>
            </w:r>
            <w:r w:rsidR="005C47A4">
              <w:rPr>
                <w:noProof/>
                <w:webHidden/>
              </w:rPr>
              <w:tab/>
            </w:r>
            <w:r w:rsidR="005C47A4">
              <w:rPr>
                <w:noProof/>
                <w:webHidden/>
              </w:rPr>
              <w:fldChar w:fldCharType="begin"/>
            </w:r>
            <w:r w:rsidR="005C47A4">
              <w:rPr>
                <w:noProof/>
                <w:webHidden/>
              </w:rPr>
              <w:instrText xml:space="preserve"> PAGEREF _Toc139181324 \h </w:instrText>
            </w:r>
            <w:r w:rsidR="005C47A4">
              <w:rPr>
                <w:noProof/>
                <w:webHidden/>
              </w:rPr>
            </w:r>
            <w:r w:rsidR="005C47A4">
              <w:rPr>
                <w:noProof/>
                <w:webHidden/>
              </w:rPr>
              <w:fldChar w:fldCharType="separate"/>
            </w:r>
            <w:r w:rsidR="004D7B96">
              <w:rPr>
                <w:noProof/>
                <w:webHidden/>
              </w:rPr>
              <w:t>29</w:t>
            </w:r>
            <w:r w:rsidR="005C47A4">
              <w:rPr>
                <w:noProof/>
                <w:webHidden/>
              </w:rPr>
              <w:fldChar w:fldCharType="end"/>
            </w:r>
          </w:hyperlink>
        </w:p>
        <w:p w14:paraId="4C3C3F30" w14:textId="15CED660" w:rsidR="005C47A4" w:rsidRDefault="00000000">
          <w:pPr>
            <w:pStyle w:val="TM1"/>
            <w:tabs>
              <w:tab w:val="left" w:pos="440"/>
              <w:tab w:val="right" w:leader="dot" w:pos="10416"/>
            </w:tabs>
            <w:rPr>
              <w:rFonts w:eastAsiaTheme="minorEastAsia"/>
              <w:noProof/>
              <w:kern w:val="2"/>
              <w:lang w:eastAsia="fr-FR"/>
              <w14:ligatures w14:val="standardContextual"/>
            </w:rPr>
          </w:pPr>
          <w:hyperlink w:anchor="_Toc139181325" w:history="1">
            <w:r w:rsidR="005C47A4" w:rsidRPr="006B7CE2">
              <w:rPr>
                <w:rStyle w:val="Lienhypertexte"/>
                <w:noProof/>
              </w:rPr>
              <w:t>7</w:t>
            </w:r>
            <w:r w:rsidR="005C47A4">
              <w:rPr>
                <w:rFonts w:eastAsiaTheme="minorEastAsia"/>
                <w:noProof/>
                <w:kern w:val="2"/>
                <w:lang w:eastAsia="fr-FR"/>
                <w14:ligatures w14:val="standardContextual"/>
              </w:rPr>
              <w:tab/>
            </w:r>
            <w:r w:rsidR="005C47A4" w:rsidRPr="006B7CE2">
              <w:rPr>
                <w:rStyle w:val="Lienhypertexte"/>
                <w:noProof/>
              </w:rPr>
              <w:t>Rêver de reverdir le désert</w:t>
            </w:r>
            <w:r w:rsidR="005C47A4">
              <w:rPr>
                <w:noProof/>
                <w:webHidden/>
              </w:rPr>
              <w:tab/>
            </w:r>
            <w:r w:rsidR="005C47A4">
              <w:rPr>
                <w:noProof/>
                <w:webHidden/>
              </w:rPr>
              <w:fldChar w:fldCharType="begin"/>
            </w:r>
            <w:r w:rsidR="005C47A4">
              <w:rPr>
                <w:noProof/>
                <w:webHidden/>
              </w:rPr>
              <w:instrText xml:space="preserve"> PAGEREF _Toc139181325 \h </w:instrText>
            </w:r>
            <w:r w:rsidR="005C47A4">
              <w:rPr>
                <w:noProof/>
                <w:webHidden/>
              </w:rPr>
            </w:r>
            <w:r w:rsidR="005C47A4">
              <w:rPr>
                <w:noProof/>
                <w:webHidden/>
              </w:rPr>
              <w:fldChar w:fldCharType="separate"/>
            </w:r>
            <w:r w:rsidR="004D7B96">
              <w:rPr>
                <w:noProof/>
                <w:webHidden/>
              </w:rPr>
              <w:t>30</w:t>
            </w:r>
            <w:r w:rsidR="005C47A4">
              <w:rPr>
                <w:noProof/>
                <w:webHidden/>
              </w:rPr>
              <w:fldChar w:fldCharType="end"/>
            </w:r>
          </w:hyperlink>
        </w:p>
        <w:p w14:paraId="3E50E91B" w14:textId="754341C1" w:rsidR="005C47A4" w:rsidRDefault="00000000">
          <w:pPr>
            <w:pStyle w:val="TM1"/>
            <w:tabs>
              <w:tab w:val="left" w:pos="440"/>
              <w:tab w:val="right" w:leader="dot" w:pos="10416"/>
            </w:tabs>
            <w:rPr>
              <w:rFonts w:eastAsiaTheme="minorEastAsia"/>
              <w:noProof/>
              <w:kern w:val="2"/>
              <w:lang w:eastAsia="fr-FR"/>
              <w14:ligatures w14:val="standardContextual"/>
            </w:rPr>
          </w:pPr>
          <w:hyperlink w:anchor="_Toc139181326" w:history="1">
            <w:r w:rsidR="005C47A4" w:rsidRPr="006B7CE2">
              <w:rPr>
                <w:rStyle w:val="Lienhypertexte"/>
                <w:noProof/>
              </w:rPr>
              <w:t>8</w:t>
            </w:r>
            <w:r w:rsidR="005C47A4">
              <w:rPr>
                <w:rFonts w:eastAsiaTheme="minorEastAsia"/>
                <w:noProof/>
                <w:kern w:val="2"/>
                <w:lang w:eastAsia="fr-FR"/>
                <w14:ligatures w14:val="standardContextual"/>
              </w:rPr>
              <w:tab/>
            </w:r>
            <w:r w:rsidR="005C47A4" w:rsidRPr="006B7CE2">
              <w:rPr>
                <w:rStyle w:val="Lienhypertexte"/>
                <w:noProof/>
              </w:rPr>
              <w:t>Cartes des zones arides, des sols et de la pénurie d’eau dans le monde</w:t>
            </w:r>
            <w:r w:rsidR="005C47A4">
              <w:rPr>
                <w:noProof/>
                <w:webHidden/>
              </w:rPr>
              <w:tab/>
            </w:r>
            <w:r w:rsidR="005C47A4">
              <w:rPr>
                <w:noProof/>
                <w:webHidden/>
              </w:rPr>
              <w:fldChar w:fldCharType="begin"/>
            </w:r>
            <w:r w:rsidR="005C47A4">
              <w:rPr>
                <w:noProof/>
                <w:webHidden/>
              </w:rPr>
              <w:instrText xml:space="preserve"> PAGEREF _Toc139181326 \h </w:instrText>
            </w:r>
            <w:r w:rsidR="005C47A4">
              <w:rPr>
                <w:noProof/>
                <w:webHidden/>
              </w:rPr>
            </w:r>
            <w:r w:rsidR="005C47A4">
              <w:rPr>
                <w:noProof/>
                <w:webHidden/>
              </w:rPr>
              <w:fldChar w:fldCharType="separate"/>
            </w:r>
            <w:r w:rsidR="004D7B96">
              <w:rPr>
                <w:noProof/>
                <w:webHidden/>
              </w:rPr>
              <w:t>36</w:t>
            </w:r>
            <w:r w:rsidR="005C47A4">
              <w:rPr>
                <w:noProof/>
                <w:webHidden/>
              </w:rPr>
              <w:fldChar w:fldCharType="end"/>
            </w:r>
          </w:hyperlink>
        </w:p>
        <w:p w14:paraId="410B9463" w14:textId="68D66960" w:rsidR="005C47A4" w:rsidRDefault="00000000">
          <w:pPr>
            <w:pStyle w:val="TM1"/>
            <w:tabs>
              <w:tab w:val="left" w:pos="440"/>
              <w:tab w:val="right" w:leader="dot" w:pos="10416"/>
            </w:tabs>
            <w:rPr>
              <w:rFonts w:eastAsiaTheme="minorEastAsia"/>
              <w:noProof/>
              <w:kern w:val="2"/>
              <w:lang w:eastAsia="fr-FR"/>
              <w14:ligatures w14:val="standardContextual"/>
            </w:rPr>
          </w:pPr>
          <w:hyperlink w:anchor="_Toc139181327" w:history="1">
            <w:r w:rsidR="005C47A4" w:rsidRPr="006B7CE2">
              <w:rPr>
                <w:rStyle w:val="Lienhypertexte"/>
                <w:noProof/>
              </w:rPr>
              <w:t>9</w:t>
            </w:r>
            <w:r w:rsidR="005C47A4">
              <w:rPr>
                <w:rFonts w:eastAsiaTheme="minorEastAsia"/>
                <w:noProof/>
                <w:kern w:val="2"/>
                <w:lang w:eastAsia="fr-FR"/>
                <w14:ligatures w14:val="standardContextual"/>
              </w:rPr>
              <w:tab/>
            </w:r>
            <w:r w:rsidR="005C47A4" w:rsidRPr="006B7CE2">
              <w:rPr>
                <w:rStyle w:val="Lienhypertexte"/>
                <w:noProof/>
              </w:rPr>
              <w:t>Définitions</w:t>
            </w:r>
            <w:r w:rsidR="005C47A4">
              <w:rPr>
                <w:noProof/>
                <w:webHidden/>
              </w:rPr>
              <w:tab/>
            </w:r>
            <w:r w:rsidR="005C47A4">
              <w:rPr>
                <w:noProof/>
                <w:webHidden/>
              </w:rPr>
              <w:fldChar w:fldCharType="begin"/>
            </w:r>
            <w:r w:rsidR="005C47A4">
              <w:rPr>
                <w:noProof/>
                <w:webHidden/>
              </w:rPr>
              <w:instrText xml:space="preserve"> PAGEREF _Toc139181327 \h </w:instrText>
            </w:r>
            <w:r w:rsidR="005C47A4">
              <w:rPr>
                <w:noProof/>
                <w:webHidden/>
              </w:rPr>
            </w:r>
            <w:r w:rsidR="005C47A4">
              <w:rPr>
                <w:noProof/>
                <w:webHidden/>
              </w:rPr>
              <w:fldChar w:fldCharType="separate"/>
            </w:r>
            <w:r w:rsidR="004D7B96">
              <w:rPr>
                <w:noProof/>
                <w:webHidden/>
              </w:rPr>
              <w:t>40</w:t>
            </w:r>
            <w:r w:rsidR="005C47A4">
              <w:rPr>
                <w:noProof/>
                <w:webHidden/>
              </w:rPr>
              <w:fldChar w:fldCharType="end"/>
            </w:r>
          </w:hyperlink>
        </w:p>
        <w:p w14:paraId="74488329" w14:textId="771C5E3D" w:rsidR="005C47A4" w:rsidRDefault="00000000">
          <w:pPr>
            <w:pStyle w:val="TM1"/>
            <w:tabs>
              <w:tab w:val="left" w:pos="660"/>
              <w:tab w:val="right" w:leader="dot" w:pos="10416"/>
            </w:tabs>
            <w:rPr>
              <w:rFonts w:eastAsiaTheme="minorEastAsia"/>
              <w:noProof/>
              <w:kern w:val="2"/>
              <w:lang w:eastAsia="fr-FR"/>
              <w14:ligatures w14:val="standardContextual"/>
            </w:rPr>
          </w:pPr>
          <w:hyperlink w:anchor="_Toc139181328" w:history="1">
            <w:r w:rsidR="005C47A4" w:rsidRPr="006B7CE2">
              <w:rPr>
                <w:rStyle w:val="Lienhypertexte"/>
                <w:noProof/>
              </w:rPr>
              <w:t>10</w:t>
            </w:r>
            <w:r w:rsidR="005C47A4">
              <w:rPr>
                <w:rFonts w:eastAsiaTheme="minorEastAsia"/>
                <w:noProof/>
                <w:kern w:val="2"/>
                <w:lang w:eastAsia="fr-FR"/>
                <w14:ligatures w14:val="standardContextual"/>
              </w:rPr>
              <w:tab/>
            </w:r>
            <w:r w:rsidR="005C47A4" w:rsidRPr="006B7CE2">
              <w:rPr>
                <w:rStyle w:val="Lienhypertexte"/>
                <w:noProof/>
              </w:rPr>
              <w:t>Introduction sur la salinité des sols</w:t>
            </w:r>
            <w:r w:rsidR="005C47A4">
              <w:rPr>
                <w:noProof/>
                <w:webHidden/>
              </w:rPr>
              <w:tab/>
            </w:r>
            <w:r w:rsidR="005C47A4">
              <w:rPr>
                <w:noProof/>
                <w:webHidden/>
              </w:rPr>
              <w:fldChar w:fldCharType="begin"/>
            </w:r>
            <w:r w:rsidR="005C47A4">
              <w:rPr>
                <w:noProof/>
                <w:webHidden/>
              </w:rPr>
              <w:instrText xml:space="preserve"> PAGEREF _Toc139181328 \h </w:instrText>
            </w:r>
            <w:r w:rsidR="005C47A4">
              <w:rPr>
                <w:noProof/>
                <w:webHidden/>
              </w:rPr>
            </w:r>
            <w:r w:rsidR="005C47A4">
              <w:rPr>
                <w:noProof/>
                <w:webHidden/>
              </w:rPr>
              <w:fldChar w:fldCharType="separate"/>
            </w:r>
            <w:r w:rsidR="004D7B96">
              <w:rPr>
                <w:noProof/>
                <w:webHidden/>
              </w:rPr>
              <w:t>40</w:t>
            </w:r>
            <w:r w:rsidR="005C47A4">
              <w:rPr>
                <w:noProof/>
                <w:webHidden/>
              </w:rPr>
              <w:fldChar w:fldCharType="end"/>
            </w:r>
          </w:hyperlink>
        </w:p>
        <w:p w14:paraId="1CDCBD00" w14:textId="50ABABAD"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329" w:history="1">
            <w:r w:rsidR="005C47A4" w:rsidRPr="006B7CE2">
              <w:rPr>
                <w:rStyle w:val="Lienhypertexte"/>
                <w:noProof/>
              </w:rPr>
              <w:t>10.1</w:t>
            </w:r>
            <w:r w:rsidR="005C47A4">
              <w:rPr>
                <w:rFonts w:eastAsiaTheme="minorEastAsia"/>
                <w:noProof/>
                <w:kern w:val="2"/>
                <w:lang w:eastAsia="fr-FR"/>
                <w14:ligatures w14:val="standardContextual"/>
              </w:rPr>
              <w:tab/>
            </w:r>
            <w:r w:rsidR="005C47A4" w:rsidRPr="006B7CE2">
              <w:rPr>
                <w:rStyle w:val="Lienhypertexte"/>
                <w:noProof/>
              </w:rPr>
              <w:t>Exemples de plantes de sols salins</w:t>
            </w:r>
            <w:r w:rsidR="005C47A4">
              <w:rPr>
                <w:noProof/>
                <w:webHidden/>
              </w:rPr>
              <w:tab/>
            </w:r>
            <w:r w:rsidR="005C47A4">
              <w:rPr>
                <w:noProof/>
                <w:webHidden/>
              </w:rPr>
              <w:fldChar w:fldCharType="begin"/>
            </w:r>
            <w:r w:rsidR="005C47A4">
              <w:rPr>
                <w:noProof/>
                <w:webHidden/>
              </w:rPr>
              <w:instrText xml:space="preserve"> PAGEREF _Toc139181329 \h </w:instrText>
            </w:r>
            <w:r w:rsidR="005C47A4">
              <w:rPr>
                <w:noProof/>
                <w:webHidden/>
              </w:rPr>
            </w:r>
            <w:r w:rsidR="005C47A4">
              <w:rPr>
                <w:noProof/>
                <w:webHidden/>
              </w:rPr>
              <w:fldChar w:fldCharType="separate"/>
            </w:r>
            <w:r w:rsidR="004D7B96">
              <w:rPr>
                <w:noProof/>
                <w:webHidden/>
              </w:rPr>
              <w:t>41</w:t>
            </w:r>
            <w:r w:rsidR="005C47A4">
              <w:rPr>
                <w:noProof/>
                <w:webHidden/>
              </w:rPr>
              <w:fldChar w:fldCharType="end"/>
            </w:r>
          </w:hyperlink>
        </w:p>
        <w:p w14:paraId="5B4B5B47" w14:textId="64F0E85B" w:rsidR="005C47A4" w:rsidRDefault="00000000">
          <w:pPr>
            <w:pStyle w:val="TM3"/>
            <w:tabs>
              <w:tab w:val="left" w:pos="1320"/>
              <w:tab w:val="right" w:leader="dot" w:pos="10416"/>
            </w:tabs>
            <w:rPr>
              <w:rFonts w:eastAsiaTheme="minorEastAsia"/>
              <w:noProof/>
              <w:kern w:val="2"/>
              <w:lang w:eastAsia="fr-FR"/>
              <w14:ligatures w14:val="standardContextual"/>
            </w:rPr>
          </w:pPr>
          <w:hyperlink w:anchor="_Toc139181330" w:history="1">
            <w:r w:rsidR="005C47A4" w:rsidRPr="006B7CE2">
              <w:rPr>
                <w:rStyle w:val="Lienhypertexte"/>
                <w:i/>
                <w:iCs/>
                <w:noProof/>
              </w:rPr>
              <w:t>10.1.1</w:t>
            </w:r>
            <w:r w:rsidR="005C47A4">
              <w:rPr>
                <w:rFonts w:eastAsiaTheme="minorEastAsia"/>
                <w:noProof/>
                <w:kern w:val="2"/>
                <w:lang w:eastAsia="fr-FR"/>
                <w14:ligatures w14:val="standardContextual"/>
              </w:rPr>
              <w:tab/>
            </w:r>
            <w:r w:rsidR="005C47A4" w:rsidRPr="006B7CE2">
              <w:rPr>
                <w:rStyle w:val="Lienhypertexte"/>
                <w:i/>
                <w:iCs/>
                <w:noProof/>
              </w:rPr>
              <w:t>Acanthus ilicifolius</w:t>
            </w:r>
            <w:r w:rsidR="005C47A4">
              <w:rPr>
                <w:noProof/>
                <w:webHidden/>
              </w:rPr>
              <w:tab/>
            </w:r>
            <w:r w:rsidR="005C47A4">
              <w:rPr>
                <w:noProof/>
                <w:webHidden/>
              </w:rPr>
              <w:fldChar w:fldCharType="begin"/>
            </w:r>
            <w:r w:rsidR="005C47A4">
              <w:rPr>
                <w:noProof/>
                <w:webHidden/>
              </w:rPr>
              <w:instrText xml:space="preserve"> PAGEREF _Toc139181330 \h </w:instrText>
            </w:r>
            <w:r w:rsidR="005C47A4">
              <w:rPr>
                <w:noProof/>
                <w:webHidden/>
              </w:rPr>
            </w:r>
            <w:r w:rsidR="005C47A4">
              <w:rPr>
                <w:noProof/>
                <w:webHidden/>
              </w:rPr>
              <w:fldChar w:fldCharType="separate"/>
            </w:r>
            <w:r w:rsidR="004D7B96">
              <w:rPr>
                <w:noProof/>
                <w:webHidden/>
              </w:rPr>
              <w:t>41</w:t>
            </w:r>
            <w:r w:rsidR="005C47A4">
              <w:rPr>
                <w:noProof/>
                <w:webHidden/>
              </w:rPr>
              <w:fldChar w:fldCharType="end"/>
            </w:r>
          </w:hyperlink>
        </w:p>
        <w:p w14:paraId="74F9880F" w14:textId="17AFD134" w:rsidR="005C47A4" w:rsidRDefault="00000000">
          <w:pPr>
            <w:pStyle w:val="TM3"/>
            <w:tabs>
              <w:tab w:val="left" w:pos="1320"/>
              <w:tab w:val="right" w:leader="dot" w:pos="10416"/>
            </w:tabs>
            <w:rPr>
              <w:rFonts w:eastAsiaTheme="minorEastAsia"/>
              <w:noProof/>
              <w:kern w:val="2"/>
              <w:lang w:eastAsia="fr-FR"/>
              <w14:ligatures w14:val="standardContextual"/>
            </w:rPr>
          </w:pPr>
          <w:hyperlink w:anchor="_Toc139181331" w:history="1">
            <w:r w:rsidR="005C47A4" w:rsidRPr="006B7CE2">
              <w:rPr>
                <w:rStyle w:val="Lienhypertexte"/>
                <w:noProof/>
              </w:rPr>
              <w:t>10.1.2</w:t>
            </w:r>
            <w:r w:rsidR="005C47A4">
              <w:rPr>
                <w:rFonts w:eastAsiaTheme="minorEastAsia"/>
                <w:noProof/>
                <w:kern w:val="2"/>
                <w:lang w:eastAsia="fr-FR"/>
                <w14:ligatures w14:val="standardContextual"/>
              </w:rPr>
              <w:tab/>
            </w:r>
            <w:r w:rsidR="005C47A4" w:rsidRPr="006B7CE2">
              <w:rPr>
                <w:rStyle w:val="Lienhypertexte"/>
                <w:noProof/>
              </w:rPr>
              <w:t>Saligne à balai (Haloxylon scoparium ou Hammada scoparia)</w:t>
            </w:r>
            <w:r w:rsidR="005C47A4">
              <w:rPr>
                <w:noProof/>
                <w:webHidden/>
              </w:rPr>
              <w:tab/>
            </w:r>
            <w:r w:rsidR="005C47A4">
              <w:rPr>
                <w:noProof/>
                <w:webHidden/>
              </w:rPr>
              <w:fldChar w:fldCharType="begin"/>
            </w:r>
            <w:r w:rsidR="005C47A4">
              <w:rPr>
                <w:noProof/>
                <w:webHidden/>
              </w:rPr>
              <w:instrText xml:space="preserve"> PAGEREF _Toc139181331 \h </w:instrText>
            </w:r>
            <w:r w:rsidR="005C47A4">
              <w:rPr>
                <w:noProof/>
                <w:webHidden/>
              </w:rPr>
            </w:r>
            <w:r w:rsidR="005C47A4">
              <w:rPr>
                <w:noProof/>
                <w:webHidden/>
              </w:rPr>
              <w:fldChar w:fldCharType="separate"/>
            </w:r>
            <w:r w:rsidR="004D7B96">
              <w:rPr>
                <w:noProof/>
                <w:webHidden/>
              </w:rPr>
              <w:t>41</w:t>
            </w:r>
            <w:r w:rsidR="005C47A4">
              <w:rPr>
                <w:noProof/>
                <w:webHidden/>
              </w:rPr>
              <w:fldChar w:fldCharType="end"/>
            </w:r>
          </w:hyperlink>
        </w:p>
        <w:p w14:paraId="23E59C6A" w14:textId="5195E6F3" w:rsidR="005C47A4" w:rsidRDefault="00000000">
          <w:pPr>
            <w:pStyle w:val="TM3"/>
            <w:tabs>
              <w:tab w:val="left" w:pos="1320"/>
              <w:tab w:val="right" w:leader="dot" w:pos="10416"/>
            </w:tabs>
            <w:rPr>
              <w:rFonts w:eastAsiaTheme="minorEastAsia"/>
              <w:noProof/>
              <w:kern w:val="2"/>
              <w:lang w:eastAsia="fr-FR"/>
              <w14:ligatures w14:val="standardContextual"/>
            </w:rPr>
          </w:pPr>
          <w:hyperlink w:anchor="_Toc139181332" w:history="1">
            <w:r w:rsidR="005C47A4" w:rsidRPr="006B7CE2">
              <w:rPr>
                <w:rStyle w:val="Lienhypertexte"/>
                <w:noProof/>
              </w:rPr>
              <w:t>10.1.3</w:t>
            </w:r>
            <w:r w:rsidR="005C47A4">
              <w:rPr>
                <w:rFonts w:eastAsiaTheme="minorEastAsia"/>
                <w:noProof/>
                <w:kern w:val="2"/>
                <w:lang w:eastAsia="fr-FR"/>
                <w14:ligatures w14:val="standardContextual"/>
              </w:rPr>
              <w:tab/>
            </w:r>
            <w:r w:rsidR="005C47A4" w:rsidRPr="006B7CE2">
              <w:rPr>
                <w:rStyle w:val="Lienhypertexte"/>
                <w:noProof/>
              </w:rPr>
              <w:t>Ficoïde glaciale (</w:t>
            </w:r>
            <w:r w:rsidR="005C47A4" w:rsidRPr="006B7CE2">
              <w:rPr>
                <w:rStyle w:val="Lienhypertexte"/>
                <w:i/>
                <w:iCs/>
                <w:noProof/>
              </w:rPr>
              <w:t>Mesembryanthemum cristallinum</w:t>
            </w:r>
            <w:r w:rsidR="005C47A4" w:rsidRPr="006B7CE2">
              <w:rPr>
                <w:rStyle w:val="Lienhypertexte"/>
                <w:noProof/>
              </w:rPr>
              <w:t>) &amp; Orge maritime (</w:t>
            </w:r>
            <w:r w:rsidR="005C47A4" w:rsidRPr="006B7CE2">
              <w:rPr>
                <w:rStyle w:val="Lienhypertexte"/>
                <w:i/>
                <w:iCs/>
                <w:noProof/>
              </w:rPr>
              <w:t>Hordeum marinum</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_Toc139181332 \h </w:instrText>
            </w:r>
            <w:r w:rsidR="005C47A4">
              <w:rPr>
                <w:noProof/>
                <w:webHidden/>
              </w:rPr>
            </w:r>
            <w:r w:rsidR="005C47A4">
              <w:rPr>
                <w:noProof/>
                <w:webHidden/>
              </w:rPr>
              <w:fldChar w:fldCharType="separate"/>
            </w:r>
            <w:r w:rsidR="004D7B96">
              <w:rPr>
                <w:noProof/>
                <w:webHidden/>
              </w:rPr>
              <w:t>42</w:t>
            </w:r>
            <w:r w:rsidR="005C47A4">
              <w:rPr>
                <w:noProof/>
                <w:webHidden/>
              </w:rPr>
              <w:fldChar w:fldCharType="end"/>
            </w:r>
          </w:hyperlink>
        </w:p>
        <w:p w14:paraId="3AAE56D0" w14:textId="201B743C" w:rsidR="005C47A4" w:rsidRDefault="00000000">
          <w:pPr>
            <w:pStyle w:val="TM3"/>
            <w:tabs>
              <w:tab w:val="left" w:pos="1320"/>
              <w:tab w:val="right" w:leader="dot" w:pos="10416"/>
            </w:tabs>
            <w:rPr>
              <w:rFonts w:eastAsiaTheme="minorEastAsia"/>
              <w:noProof/>
              <w:kern w:val="2"/>
              <w:lang w:eastAsia="fr-FR"/>
              <w14:ligatures w14:val="standardContextual"/>
            </w:rPr>
          </w:pPr>
          <w:hyperlink w:anchor="_Toc139181333" w:history="1">
            <w:r w:rsidR="005C47A4" w:rsidRPr="006B7CE2">
              <w:rPr>
                <w:rStyle w:val="Lienhypertexte"/>
                <w:noProof/>
              </w:rPr>
              <w:t>10.1.4</w:t>
            </w:r>
            <w:r w:rsidR="005C47A4">
              <w:rPr>
                <w:rFonts w:eastAsiaTheme="minorEastAsia"/>
                <w:noProof/>
                <w:kern w:val="2"/>
                <w:lang w:eastAsia="fr-FR"/>
                <w14:ligatures w14:val="standardContextual"/>
              </w:rPr>
              <w:tab/>
            </w:r>
            <w:r w:rsidR="005C47A4" w:rsidRPr="006B7CE2">
              <w:rPr>
                <w:rStyle w:val="Lienhypertexte"/>
                <w:noProof/>
              </w:rPr>
              <w:t>Aster maritime ou oreille de cochon (</w:t>
            </w:r>
            <w:r w:rsidR="005C47A4" w:rsidRPr="006B7CE2">
              <w:rPr>
                <w:rStyle w:val="Lienhypertexte"/>
                <w:i/>
                <w:iCs/>
                <w:noProof/>
              </w:rPr>
              <w:t>Aster tripolium</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_Toc139181333 \h </w:instrText>
            </w:r>
            <w:r w:rsidR="005C47A4">
              <w:rPr>
                <w:noProof/>
                <w:webHidden/>
              </w:rPr>
            </w:r>
            <w:r w:rsidR="005C47A4">
              <w:rPr>
                <w:noProof/>
                <w:webHidden/>
              </w:rPr>
              <w:fldChar w:fldCharType="separate"/>
            </w:r>
            <w:r w:rsidR="004D7B96">
              <w:rPr>
                <w:noProof/>
                <w:webHidden/>
              </w:rPr>
              <w:t>42</w:t>
            </w:r>
            <w:r w:rsidR="005C47A4">
              <w:rPr>
                <w:noProof/>
                <w:webHidden/>
              </w:rPr>
              <w:fldChar w:fldCharType="end"/>
            </w:r>
          </w:hyperlink>
        </w:p>
        <w:p w14:paraId="4D454E44" w14:textId="349DFFFE" w:rsidR="005C47A4" w:rsidRDefault="00000000">
          <w:pPr>
            <w:pStyle w:val="TM3"/>
            <w:tabs>
              <w:tab w:val="left" w:pos="1320"/>
              <w:tab w:val="right" w:leader="dot" w:pos="10416"/>
            </w:tabs>
            <w:rPr>
              <w:rFonts w:eastAsiaTheme="minorEastAsia"/>
              <w:noProof/>
              <w:kern w:val="2"/>
              <w:lang w:eastAsia="fr-FR"/>
              <w14:ligatures w14:val="standardContextual"/>
            </w:rPr>
          </w:pPr>
          <w:hyperlink w:anchor="_Toc139181334" w:history="1">
            <w:r w:rsidR="005C47A4" w:rsidRPr="006B7CE2">
              <w:rPr>
                <w:rStyle w:val="Lienhypertexte"/>
                <w:rFonts w:eastAsia="+mn-ea"/>
                <w:noProof/>
              </w:rPr>
              <w:t>10.1.5</w:t>
            </w:r>
            <w:r w:rsidR="005C47A4">
              <w:rPr>
                <w:rFonts w:eastAsiaTheme="minorEastAsia"/>
                <w:noProof/>
                <w:kern w:val="2"/>
                <w:lang w:eastAsia="fr-FR"/>
                <w14:ligatures w14:val="standardContextual"/>
              </w:rPr>
              <w:tab/>
            </w:r>
            <w:r w:rsidR="005C47A4" w:rsidRPr="006B7CE2">
              <w:rPr>
                <w:rStyle w:val="Lienhypertexte"/>
                <w:rFonts w:eastAsia="+mn-ea"/>
                <w:noProof/>
              </w:rPr>
              <w:t xml:space="preserve">Genres </w:t>
            </w:r>
            <w:r w:rsidR="005C47A4" w:rsidRPr="006B7CE2">
              <w:rPr>
                <w:rStyle w:val="Lienhypertexte"/>
                <w:rFonts w:eastAsia="+mn-ea"/>
                <w:i/>
                <w:iCs/>
                <w:noProof/>
              </w:rPr>
              <w:t>Salicornia</w:t>
            </w:r>
            <w:r w:rsidR="005C47A4" w:rsidRPr="006B7CE2">
              <w:rPr>
                <w:rStyle w:val="Lienhypertexte"/>
                <w:rFonts w:eastAsia="+mn-ea"/>
                <w:noProof/>
              </w:rPr>
              <w:t xml:space="preserve">, </w:t>
            </w:r>
            <w:r w:rsidR="005C47A4" w:rsidRPr="006B7CE2">
              <w:rPr>
                <w:rStyle w:val="Lienhypertexte"/>
                <w:rFonts w:eastAsia="+mn-ea"/>
                <w:i/>
                <w:iCs/>
                <w:noProof/>
              </w:rPr>
              <w:t>Suaeda</w:t>
            </w:r>
            <w:r w:rsidR="005C47A4" w:rsidRPr="006B7CE2">
              <w:rPr>
                <w:rStyle w:val="Lienhypertexte"/>
                <w:rFonts w:eastAsia="+mn-ea"/>
                <w:noProof/>
              </w:rPr>
              <w:t>, palétuviers, autres plantes halophytes</w:t>
            </w:r>
            <w:r w:rsidR="005C47A4">
              <w:rPr>
                <w:noProof/>
                <w:webHidden/>
              </w:rPr>
              <w:tab/>
            </w:r>
            <w:r w:rsidR="005C47A4">
              <w:rPr>
                <w:noProof/>
                <w:webHidden/>
              </w:rPr>
              <w:fldChar w:fldCharType="begin"/>
            </w:r>
            <w:r w:rsidR="005C47A4">
              <w:rPr>
                <w:noProof/>
                <w:webHidden/>
              </w:rPr>
              <w:instrText xml:space="preserve"> PAGEREF _Toc139181334 \h </w:instrText>
            </w:r>
            <w:r w:rsidR="005C47A4">
              <w:rPr>
                <w:noProof/>
                <w:webHidden/>
              </w:rPr>
            </w:r>
            <w:r w:rsidR="005C47A4">
              <w:rPr>
                <w:noProof/>
                <w:webHidden/>
              </w:rPr>
              <w:fldChar w:fldCharType="separate"/>
            </w:r>
            <w:r w:rsidR="004D7B96">
              <w:rPr>
                <w:noProof/>
                <w:webHidden/>
              </w:rPr>
              <w:t>43</w:t>
            </w:r>
            <w:r w:rsidR="005C47A4">
              <w:rPr>
                <w:noProof/>
                <w:webHidden/>
              </w:rPr>
              <w:fldChar w:fldCharType="end"/>
            </w:r>
          </w:hyperlink>
        </w:p>
        <w:p w14:paraId="76D86556" w14:textId="41C4A166" w:rsidR="005C47A4" w:rsidRDefault="00000000">
          <w:pPr>
            <w:pStyle w:val="TM1"/>
            <w:tabs>
              <w:tab w:val="left" w:pos="660"/>
              <w:tab w:val="right" w:leader="dot" w:pos="10416"/>
            </w:tabs>
            <w:rPr>
              <w:rFonts w:eastAsiaTheme="minorEastAsia"/>
              <w:noProof/>
              <w:kern w:val="2"/>
              <w:lang w:eastAsia="fr-FR"/>
              <w14:ligatures w14:val="standardContextual"/>
            </w:rPr>
          </w:pPr>
          <w:hyperlink w:anchor="_Toc139181335" w:history="1">
            <w:r w:rsidR="005C47A4" w:rsidRPr="006B7CE2">
              <w:rPr>
                <w:rStyle w:val="Lienhypertexte"/>
                <w:noProof/>
              </w:rPr>
              <w:t>11</w:t>
            </w:r>
            <w:r w:rsidR="005C47A4">
              <w:rPr>
                <w:rFonts w:eastAsiaTheme="minorEastAsia"/>
                <w:noProof/>
                <w:kern w:val="2"/>
                <w:lang w:eastAsia="fr-FR"/>
                <w14:ligatures w14:val="standardContextual"/>
              </w:rPr>
              <w:tab/>
            </w:r>
            <w:r w:rsidR="005C47A4" w:rsidRPr="006B7CE2">
              <w:rPr>
                <w:rStyle w:val="Lienhypertexte"/>
                <w:noProof/>
              </w:rPr>
              <w:t>Arbres et arbustes fruitiers résistants au sel et/ou à l’aridité</w:t>
            </w:r>
            <w:r w:rsidR="005C47A4">
              <w:rPr>
                <w:noProof/>
                <w:webHidden/>
              </w:rPr>
              <w:tab/>
            </w:r>
            <w:r w:rsidR="005C47A4">
              <w:rPr>
                <w:noProof/>
                <w:webHidden/>
              </w:rPr>
              <w:fldChar w:fldCharType="begin"/>
            </w:r>
            <w:r w:rsidR="005C47A4">
              <w:rPr>
                <w:noProof/>
                <w:webHidden/>
              </w:rPr>
              <w:instrText xml:space="preserve"> PAGEREF _Toc139181335 \h </w:instrText>
            </w:r>
            <w:r w:rsidR="005C47A4">
              <w:rPr>
                <w:noProof/>
                <w:webHidden/>
              </w:rPr>
            </w:r>
            <w:r w:rsidR="005C47A4">
              <w:rPr>
                <w:noProof/>
                <w:webHidden/>
              </w:rPr>
              <w:fldChar w:fldCharType="separate"/>
            </w:r>
            <w:r w:rsidR="004D7B96">
              <w:rPr>
                <w:noProof/>
                <w:webHidden/>
              </w:rPr>
              <w:t>45</w:t>
            </w:r>
            <w:r w:rsidR="005C47A4">
              <w:rPr>
                <w:noProof/>
                <w:webHidden/>
              </w:rPr>
              <w:fldChar w:fldCharType="end"/>
            </w:r>
          </w:hyperlink>
        </w:p>
        <w:p w14:paraId="66B47DE4" w14:textId="0BBC0802"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336" w:history="1">
            <w:r w:rsidR="005C47A4" w:rsidRPr="006B7CE2">
              <w:rPr>
                <w:rStyle w:val="Lienhypertexte"/>
                <w:noProof/>
              </w:rPr>
              <w:t>11.1</w:t>
            </w:r>
            <w:r w:rsidR="005C47A4">
              <w:rPr>
                <w:rFonts w:eastAsiaTheme="minorEastAsia"/>
                <w:noProof/>
                <w:kern w:val="2"/>
                <w:lang w:eastAsia="fr-FR"/>
                <w14:ligatures w14:val="standardContextual"/>
              </w:rPr>
              <w:tab/>
            </w:r>
            <w:r w:rsidR="005C47A4" w:rsidRPr="006B7CE2">
              <w:rPr>
                <w:rStyle w:val="Lienhypertexte"/>
                <w:noProof/>
              </w:rPr>
              <w:t>Jujubier commun (</w:t>
            </w:r>
            <w:r w:rsidR="005C47A4" w:rsidRPr="006B7CE2">
              <w:rPr>
                <w:rStyle w:val="Lienhypertexte"/>
                <w:i/>
                <w:iCs/>
                <w:noProof/>
              </w:rPr>
              <w:t>Ziziphus jujuba</w:t>
            </w:r>
            <w:r w:rsidR="005C47A4" w:rsidRPr="006B7CE2">
              <w:rPr>
                <w:rStyle w:val="Lienhypertexte"/>
                <w:noProof/>
              </w:rPr>
              <w:t xml:space="preserve"> ou </w:t>
            </w:r>
            <w:r w:rsidR="005C47A4" w:rsidRPr="006B7CE2">
              <w:rPr>
                <w:rStyle w:val="Lienhypertexte"/>
                <w:i/>
                <w:iCs/>
                <w:noProof/>
              </w:rPr>
              <w:t>Ziziphus mauritania</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_Toc139181336 \h </w:instrText>
            </w:r>
            <w:r w:rsidR="005C47A4">
              <w:rPr>
                <w:noProof/>
                <w:webHidden/>
              </w:rPr>
            </w:r>
            <w:r w:rsidR="005C47A4">
              <w:rPr>
                <w:noProof/>
                <w:webHidden/>
              </w:rPr>
              <w:fldChar w:fldCharType="separate"/>
            </w:r>
            <w:r w:rsidR="004D7B96">
              <w:rPr>
                <w:noProof/>
                <w:webHidden/>
              </w:rPr>
              <w:t>45</w:t>
            </w:r>
            <w:r w:rsidR="005C47A4">
              <w:rPr>
                <w:noProof/>
                <w:webHidden/>
              </w:rPr>
              <w:fldChar w:fldCharType="end"/>
            </w:r>
          </w:hyperlink>
        </w:p>
        <w:p w14:paraId="354E722A" w14:textId="5F578D8A"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337" w:history="1">
            <w:r w:rsidR="005C47A4" w:rsidRPr="006B7CE2">
              <w:rPr>
                <w:rStyle w:val="Lienhypertexte"/>
                <w:noProof/>
              </w:rPr>
              <w:t>11.2</w:t>
            </w:r>
            <w:r w:rsidR="005C47A4">
              <w:rPr>
                <w:rFonts w:eastAsiaTheme="minorEastAsia"/>
                <w:noProof/>
                <w:kern w:val="2"/>
                <w:lang w:eastAsia="fr-FR"/>
                <w14:ligatures w14:val="standardContextual"/>
              </w:rPr>
              <w:tab/>
            </w:r>
            <w:r w:rsidR="005C47A4" w:rsidRPr="006B7CE2">
              <w:rPr>
                <w:rStyle w:val="Lienhypertexte"/>
                <w:noProof/>
              </w:rPr>
              <w:t>Jujubier épine du Christ (</w:t>
            </w:r>
            <w:r w:rsidR="005C47A4" w:rsidRPr="006B7CE2">
              <w:rPr>
                <w:rStyle w:val="Lienhypertexte"/>
                <w:i/>
                <w:iCs/>
                <w:noProof/>
              </w:rPr>
              <w:t>Ziziphus spina-christi</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_Toc139181337 \h </w:instrText>
            </w:r>
            <w:r w:rsidR="005C47A4">
              <w:rPr>
                <w:noProof/>
                <w:webHidden/>
              </w:rPr>
            </w:r>
            <w:r w:rsidR="005C47A4">
              <w:rPr>
                <w:noProof/>
                <w:webHidden/>
              </w:rPr>
              <w:fldChar w:fldCharType="separate"/>
            </w:r>
            <w:r w:rsidR="004D7B96">
              <w:rPr>
                <w:noProof/>
                <w:webHidden/>
              </w:rPr>
              <w:t>46</w:t>
            </w:r>
            <w:r w:rsidR="005C47A4">
              <w:rPr>
                <w:noProof/>
                <w:webHidden/>
              </w:rPr>
              <w:fldChar w:fldCharType="end"/>
            </w:r>
          </w:hyperlink>
        </w:p>
        <w:p w14:paraId="1D7E8309" w14:textId="273D28B6"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338" w:history="1">
            <w:r w:rsidR="005C47A4" w:rsidRPr="006B7CE2">
              <w:rPr>
                <w:rStyle w:val="Lienhypertexte"/>
                <w:noProof/>
              </w:rPr>
              <w:t>11.3</w:t>
            </w:r>
            <w:r w:rsidR="005C47A4">
              <w:rPr>
                <w:rFonts w:eastAsiaTheme="minorEastAsia"/>
                <w:noProof/>
                <w:kern w:val="2"/>
                <w:lang w:eastAsia="fr-FR"/>
                <w14:ligatures w14:val="standardContextual"/>
              </w:rPr>
              <w:tab/>
            </w:r>
            <w:r w:rsidR="005C47A4" w:rsidRPr="006B7CE2">
              <w:rPr>
                <w:rStyle w:val="Lienhypertexte"/>
                <w:noProof/>
              </w:rPr>
              <w:t>Tamarinier (</w:t>
            </w:r>
            <w:r w:rsidR="005C47A4" w:rsidRPr="006B7CE2">
              <w:rPr>
                <w:rStyle w:val="Lienhypertexte"/>
                <w:i/>
                <w:iCs/>
                <w:noProof/>
              </w:rPr>
              <w:t>Tamaridus indica</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_Toc139181338 \h </w:instrText>
            </w:r>
            <w:r w:rsidR="005C47A4">
              <w:rPr>
                <w:noProof/>
                <w:webHidden/>
              </w:rPr>
            </w:r>
            <w:r w:rsidR="005C47A4">
              <w:rPr>
                <w:noProof/>
                <w:webHidden/>
              </w:rPr>
              <w:fldChar w:fldCharType="separate"/>
            </w:r>
            <w:r w:rsidR="004D7B96">
              <w:rPr>
                <w:noProof/>
                <w:webHidden/>
              </w:rPr>
              <w:t>48</w:t>
            </w:r>
            <w:r w:rsidR="005C47A4">
              <w:rPr>
                <w:noProof/>
                <w:webHidden/>
              </w:rPr>
              <w:fldChar w:fldCharType="end"/>
            </w:r>
          </w:hyperlink>
        </w:p>
        <w:p w14:paraId="1975B894" w14:textId="36DAA27E"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339" w:history="1">
            <w:r w:rsidR="005C47A4" w:rsidRPr="006B7CE2">
              <w:rPr>
                <w:rStyle w:val="Lienhypertexte"/>
                <w:noProof/>
              </w:rPr>
              <w:t>11.4</w:t>
            </w:r>
            <w:r w:rsidR="005C47A4">
              <w:rPr>
                <w:rFonts w:eastAsiaTheme="minorEastAsia"/>
                <w:noProof/>
                <w:kern w:val="2"/>
                <w:lang w:eastAsia="fr-FR"/>
                <w14:ligatures w14:val="standardContextual"/>
              </w:rPr>
              <w:tab/>
            </w:r>
            <w:r w:rsidR="005C47A4" w:rsidRPr="006B7CE2">
              <w:rPr>
                <w:rStyle w:val="Lienhypertexte"/>
                <w:noProof/>
              </w:rPr>
              <w:t>Caroubier (</w:t>
            </w:r>
            <w:r w:rsidR="005C47A4" w:rsidRPr="006B7CE2">
              <w:rPr>
                <w:rStyle w:val="Lienhypertexte"/>
                <w:i/>
                <w:iCs/>
                <w:noProof/>
              </w:rPr>
              <w:t>Ceratonia siliqua</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_Toc139181339 \h </w:instrText>
            </w:r>
            <w:r w:rsidR="005C47A4">
              <w:rPr>
                <w:noProof/>
                <w:webHidden/>
              </w:rPr>
            </w:r>
            <w:r w:rsidR="005C47A4">
              <w:rPr>
                <w:noProof/>
                <w:webHidden/>
              </w:rPr>
              <w:fldChar w:fldCharType="separate"/>
            </w:r>
            <w:r w:rsidR="004D7B96">
              <w:rPr>
                <w:noProof/>
                <w:webHidden/>
              </w:rPr>
              <w:t>49</w:t>
            </w:r>
            <w:r w:rsidR="005C47A4">
              <w:rPr>
                <w:noProof/>
                <w:webHidden/>
              </w:rPr>
              <w:fldChar w:fldCharType="end"/>
            </w:r>
          </w:hyperlink>
        </w:p>
        <w:p w14:paraId="5436C41B" w14:textId="03F881FD"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340" w:history="1">
            <w:r w:rsidR="005C47A4" w:rsidRPr="006B7CE2">
              <w:rPr>
                <w:rStyle w:val="Lienhypertexte"/>
                <w:noProof/>
              </w:rPr>
              <w:t>11.5</w:t>
            </w:r>
            <w:r w:rsidR="005C47A4">
              <w:rPr>
                <w:rFonts w:eastAsiaTheme="minorEastAsia"/>
                <w:noProof/>
                <w:kern w:val="2"/>
                <w:lang w:eastAsia="fr-FR"/>
                <w14:ligatures w14:val="standardContextual"/>
              </w:rPr>
              <w:tab/>
            </w:r>
            <w:r w:rsidR="005C47A4" w:rsidRPr="006B7CE2">
              <w:rPr>
                <w:rStyle w:val="Lienhypertexte"/>
                <w:noProof/>
              </w:rPr>
              <w:t>Pistachier commun ou pistachier vrai (</w:t>
            </w:r>
            <w:r w:rsidR="005C47A4" w:rsidRPr="006B7CE2">
              <w:rPr>
                <w:rStyle w:val="Lienhypertexte"/>
                <w:i/>
                <w:iCs/>
                <w:noProof/>
              </w:rPr>
              <w:t>Pistacia vera</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_Toc139181340 \h </w:instrText>
            </w:r>
            <w:r w:rsidR="005C47A4">
              <w:rPr>
                <w:noProof/>
                <w:webHidden/>
              </w:rPr>
            </w:r>
            <w:r w:rsidR="005C47A4">
              <w:rPr>
                <w:noProof/>
                <w:webHidden/>
              </w:rPr>
              <w:fldChar w:fldCharType="separate"/>
            </w:r>
            <w:r w:rsidR="004D7B96">
              <w:rPr>
                <w:noProof/>
                <w:webHidden/>
              </w:rPr>
              <w:t>50</w:t>
            </w:r>
            <w:r w:rsidR="005C47A4">
              <w:rPr>
                <w:noProof/>
                <w:webHidden/>
              </w:rPr>
              <w:fldChar w:fldCharType="end"/>
            </w:r>
          </w:hyperlink>
        </w:p>
        <w:p w14:paraId="540E1E71" w14:textId="5363826E"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341" w:history="1">
            <w:r w:rsidR="005C47A4" w:rsidRPr="006B7CE2">
              <w:rPr>
                <w:rStyle w:val="Lienhypertexte"/>
                <w:noProof/>
              </w:rPr>
              <w:t>11.6</w:t>
            </w:r>
            <w:r w:rsidR="005C47A4">
              <w:rPr>
                <w:rFonts w:eastAsiaTheme="minorEastAsia"/>
                <w:noProof/>
                <w:kern w:val="2"/>
                <w:lang w:eastAsia="fr-FR"/>
                <w14:ligatures w14:val="standardContextual"/>
              </w:rPr>
              <w:tab/>
            </w:r>
            <w:r w:rsidR="005C47A4" w:rsidRPr="006B7CE2">
              <w:rPr>
                <w:rStyle w:val="Lienhypertexte"/>
                <w:noProof/>
              </w:rPr>
              <w:t>Pistachier lentisque (</w:t>
            </w:r>
            <w:r w:rsidR="005C47A4" w:rsidRPr="006B7CE2">
              <w:rPr>
                <w:rStyle w:val="Lienhypertexte"/>
                <w:i/>
                <w:iCs/>
                <w:noProof/>
              </w:rPr>
              <w:t>Pistacia lentiscus</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_Toc139181341 \h </w:instrText>
            </w:r>
            <w:r w:rsidR="005C47A4">
              <w:rPr>
                <w:noProof/>
                <w:webHidden/>
              </w:rPr>
            </w:r>
            <w:r w:rsidR="005C47A4">
              <w:rPr>
                <w:noProof/>
                <w:webHidden/>
              </w:rPr>
              <w:fldChar w:fldCharType="separate"/>
            </w:r>
            <w:r w:rsidR="004D7B96">
              <w:rPr>
                <w:noProof/>
                <w:webHidden/>
              </w:rPr>
              <w:t>52</w:t>
            </w:r>
            <w:r w:rsidR="005C47A4">
              <w:rPr>
                <w:noProof/>
                <w:webHidden/>
              </w:rPr>
              <w:fldChar w:fldCharType="end"/>
            </w:r>
          </w:hyperlink>
        </w:p>
        <w:p w14:paraId="3CB2BEB3" w14:textId="3F41697D"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342" w:history="1">
            <w:r w:rsidR="005C47A4" w:rsidRPr="006B7CE2">
              <w:rPr>
                <w:rStyle w:val="Lienhypertexte"/>
                <w:noProof/>
              </w:rPr>
              <w:t>11.7</w:t>
            </w:r>
            <w:r w:rsidR="005C47A4">
              <w:rPr>
                <w:rFonts w:eastAsiaTheme="minorEastAsia"/>
                <w:noProof/>
                <w:kern w:val="2"/>
                <w:lang w:eastAsia="fr-FR"/>
                <w14:ligatures w14:val="standardContextual"/>
              </w:rPr>
              <w:tab/>
            </w:r>
            <w:r w:rsidR="005C47A4" w:rsidRPr="006B7CE2">
              <w:rPr>
                <w:rStyle w:val="Lienhypertexte"/>
                <w:noProof/>
              </w:rPr>
              <w:t>Pistachier térébinthe (</w:t>
            </w:r>
            <w:r w:rsidR="005C47A4" w:rsidRPr="006B7CE2">
              <w:rPr>
                <w:rStyle w:val="Lienhypertexte"/>
                <w:i/>
                <w:iCs/>
                <w:noProof/>
              </w:rPr>
              <w:t>Pistacia terebinthus</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_Toc139181342 \h </w:instrText>
            </w:r>
            <w:r w:rsidR="005C47A4">
              <w:rPr>
                <w:noProof/>
                <w:webHidden/>
              </w:rPr>
            </w:r>
            <w:r w:rsidR="005C47A4">
              <w:rPr>
                <w:noProof/>
                <w:webHidden/>
              </w:rPr>
              <w:fldChar w:fldCharType="separate"/>
            </w:r>
            <w:r w:rsidR="004D7B96">
              <w:rPr>
                <w:noProof/>
                <w:webHidden/>
              </w:rPr>
              <w:t>54</w:t>
            </w:r>
            <w:r w:rsidR="005C47A4">
              <w:rPr>
                <w:noProof/>
                <w:webHidden/>
              </w:rPr>
              <w:fldChar w:fldCharType="end"/>
            </w:r>
          </w:hyperlink>
        </w:p>
        <w:p w14:paraId="304AB737" w14:textId="6F99D16C"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343" w:history="1">
            <w:r w:rsidR="005C47A4" w:rsidRPr="006B7CE2">
              <w:rPr>
                <w:rStyle w:val="Lienhypertexte"/>
                <w:noProof/>
              </w:rPr>
              <w:t>11.8</w:t>
            </w:r>
            <w:r w:rsidR="005C47A4">
              <w:rPr>
                <w:rFonts w:eastAsiaTheme="minorEastAsia"/>
                <w:noProof/>
                <w:kern w:val="2"/>
                <w:lang w:eastAsia="fr-FR"/>
                <w14:ligatures w14:val="standardContextual"/>
              </w:rPr>
              <w:tab/>
            </w:r>
            <w:r w:rsidR="005C47A4" w:rsidRPr="006B7CE2">
              <w:rPr>
                <w:rStyle w:val="Lienhypertexte"/>
                <w:noProof/>
              </w:rPr>
              <w:t>Grenadier commun (</w:t>
            </w:r>
            <w:r w:rsidR="005C47A4" w:rsidRPr="006B7CE2">
              <w:rPr>
                <w:rStyle w:val="Lienhypertexte"/>
                <w:i/>
                <w:iCs/>
                <w:noProof/>
              </w:rPr>
              <w:t>Punica granatum</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_Toc139181343 \h </w:instrText>
            </w:r>
            <w:r w:rsidR="005C47A4">
              <w:rPr>
                <w:noProof/>
                <w:webHidden/>
              </w:rPr>
            </w:r>
            <w:r w:rsidR="005C47A4">
              <w:rPr>
                <w:noProof/>
                <w:webHidden/>
              </w:rPr>
              <w:fldChar w:fldCharType="separate"/>
            </w:r>
            <w:r w:rsidR="004D7B96">
              <w:rPr>
                <w:noProof/>
                <w:webHidden/>
              </w:rPr>
              <w:t>55</w:t>
            </w:r>
            <w:r w:rsidR="005C47A4">
              <w:rPr>
                <w:noProof/>
                <w:webHidden/>
              </w:rPr>
              <w:fldChar w:fldCharType="end"/>
            </w:r>
          </w:hyperlink>
        </w:p>
        <w:p w14:paraId="3D6378D2" w14:textId="65EC5BA4"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344" w:history="1">
            <w:r w:rsidR="005C47A4" w:rsidRPr="006B7CE2">
              <w:rPr>
                <w:rStyle w:val="Lienhypertexte"/>
                <w:noProof/>
                <w:lang w:val="es-AR"/>
              </w:rPr>
              <w:t>11.9</w:t>
            </w:r>
            <w:r w:rsidR="005C47A4">
              <w:rPr>
                <w:rFonts w:eastAsiaTheme="minorEastAsia"/>
                <w:noProof/>
                <w:kern w:val="2"/>
                <w:lang w:eastAsia="fr-FR"/>
                <w14:ligatures w14:val="standardContextual"/>
              </w:rPr>
              <w:tab/>
            </w:r>
            <w:r w:rsidR="005C47A4" w:rsidRPr="006B7CE2">
              <w:rPr>
                <w:rStyle w:val="Lienhypertexte"/>
                <w:noProof/>
                <w:lang w:val="es-AR"/>
              </w:rPr>
              <w:t>Grenadier de Socotra (</w:t>
            </w:r>
            <w:r w:rsidR="005C47A4" w:rsidRPr="006B7CE2">
              <w:rPr>
                <w:rStyle w:val="Lienhypertexte"/>
                <w:i/>
                <w:iCs/>
                <w:noProof/>
                <w:lang w:val="es-AR"/>
              </w:rPr>
              <w:t>Punica protopunica</w:t>
            </w:r>
            <w:r w:rsidR="005C47A4" w:rsidRPr="006B7CE2">
              <w:rPr>
                <w:rStyle w:val="Lienhypertexte"/>
                <w:noProof/>
                <w:lang w:val="es-AR"/>
              </w:rPr>
              <w:t>)</w:t>
            </w:r>
            <w:r w:rsidR="005C47A4">
              <w:rPr>
                <w:noProof/>
                <w:webHidden/>
              </w:rPr>
              <w:tab/>
            </w:r>
            <w:r w:rsidR="005C47A4">
              <w:rPr>
                <w:noProof/>
                <w:webHidden/>
              </w:rPr>
              <w:fldChar w:fldCharType="begin"/>
            </w:r>
            <w:r w:rsidR="005C47A4">
              <w:rPr>
                <w:noProof/>
                <w:webHidden/>
              </w:rPr>
              <w:instrText xml:space="preserve"> PAGEREF _Toc139181344 \h </w:instrText>
            </w:r>
            <w:r w:rsidR="005C47A4">
              <w:rPr>
                <w:noProof/>
                <w:webHidden/>
              </w:rPr>
            </w:r>
            <w:r w:rsidR="005C47A4">
              <w:rPr>
                <w:noProof/>
                <w:webHidden/>
              </w:rPr>
              <w:fldChar w:fldCharType="separate"/>
            </w:r>
            <w:r w:rsidR="004D7B96">
              <w:rPr>
                <w:noProof/>
                <w:webHidden/>
              </w:rPr>
              <w:t>56</w:t>
            </w:r>
            <w:r w:rsidR="005C47A4">
              <w:rPr>
                <w:noProof/>
                <w:webHidden/>
              </w:rPr>
              <w:fldChar w:fldCharType="end"/>
            </w:r>
          </w:hyperlink>
        </w:p>
        <w:p w14:paraId="2C1EE0D7" w14:textId="752F324B" w:rsidR="005C47A4" w:rsidRDefault="00000000">
          <w:pPr>
            <w:pStyle w:val="TM2"/>
            <w:tabs>
              <w:tab w:val="left" w:pos="1100"/>
              <w:tab w:val="right" w:leader="dot" w:pos="10416"/>
            </w:tabs>
            <w:rPr>
              <w:rFonts w:eastAsiaTheme="minorEastAsia"/>
              <w:noProof/>
              <w:kern w:val="2"/>
              <w:lang w:eastAsia="fr-FR"/>
              <w14:ligatures w14:val="standardContextual"/>
            </w:rPr>
          </w:pPr>
          <w:hyperlink w:anchor="_Toc139181345" w:history="1">
            <w:r w:rsidR="005C47A4" w:rsidRPr="006B7CE2">
              <w:rPr>
                <w:rStyle w:val="Lienhypertexte"/>
                <w:noProof/>
              </w:rPr>
              <w:t>11.10</w:t>
            </w:r>
            <w:r w:rsidR="005C47A4">
              <w:rPr>
                <w:rFonts w:eastAsiaTheme="minorEastAsia"/>
                <w:noProof/>
                <w:kern w:val="2"/>
                <w:lang w:eastAsia="fr-FR"/>
                <w14:ligatures w14:val="standardContextual"/>
              </w:rPr>
              <w:tab/>
            </w:r>
            <w:r w:rsidR="005C47A4" w:rsidRPr="006B7CE2">
              <w:rPr>
                <w:rStyle w:val="Lienhypertexte"/>
                <w:noProof/>
              </w:rPr>
              <w:t>Vigne cultivée et sauvage (</w:t>
            </w:r>
            <w:r w:rsidR="005C47A4" w:rsidRPr="006B7CE2">
              <w:rPr>
                <w:rStyle w:val="Lienhypertexte"/>
                <w:i/>
                <w:iCs/>
                <w:noProof/>
              </w:rPr>
              <w:t>Vitis vinifera</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_Toc139181345 \h </w:instrText>
            </w:r>
            <w:r w:rsidR="005C47A4">
              <w:rPr>
                <w:noProof/>
                <w:webHidden/>
              </w:rPr>
            </w:r>
            <w:r w:rsidR="005C47A4">
              <w:rPr>
                <w:noProof/>
                <w:webHidden/>
              </w:rPr>
              <w:fldChar w:fldCharType="separate"/>
            </w:r>
            <w:r w:rsidR="004D7B96">
              <w:rPr>
                <w:noProof/>
                <w:webHidden/>
              </w:rPr>
              <w:t>57</w:t>
            </w:r>
            <w:r w:rsidR="005C47A4">
              <w:rPr>
                <w:noProof/>
                <w:webHidden/>
              </w:rPr>
              <w:fldChar w:fldCharType="end"/>
            </w:r>
          </w:hyperlink>
        </w:p>
        <w:p w14:paraId="37A455B3" w14:textId="3196D3AF" w:rsidR="005C47A4" w:rsidRDefault="00000000">
          <w:pPr>
            <w:pStyle w:val="TM2"/>
            <w:tabs>
              <w:tab w:val="left" w:pos="1100"/>
              <w:tab w:val="right" w:leader="dot" w:pos="10416"/>
            </w:tabs>
            <w:rPr>
              <w:rFonts w:eastAsiaTheme="minorEastAsia"/>
              <w:noProof/>
              <w:kern w:val="2"/>
              <w:lang w:eastAsia="fr-FR"/>
              <w14:ligatures w14:val="standardContextual"/>
            </w:rPr>
          </w:pPr>
          <w:hyperlink w:anchor="_Toc139181346" w:history="1">
            <w:r w:rsidR="005C47A4" w:rsidRPr="006B7CE2">
              <w:rPr>
                <w:rStyle w:val="Lienhypertexte"/>
                <w:noProof/>
              </w:rPr>
              <w:t>11.11</w:t>
            </w:r>
            <w:r w:rsidR="005C47A4">
              <w:rPr>
                <w:rFonts w:eastAsiaTheme="minorEastAsia"/>
                <w:noProof/>
                <w:kern w:val="2"/>
                <w:lang w:eastAsia="fr-FR"/>
                <w14:ligatures w14:val="standardContextual"/>
              </w:rPr>
              <w:tab/>
            </w:r>
            <w:r w:rsidR="005C47A4" w:rsidRPr="006B7CE2">
              <w:rPr>
                <w:rStyle w:val="Lienhypertexte"/>
                <w:noProof/>
              </w:rPr>
              <w:t>Arganier (</w:t>
            </w:r>
            <w:r w:rsidR="005C47A4" w:rsidRPr="006B7CE2">
              <w:rPr>
                <w:rStyle w:val="Lienhypertexte"/>
                <w:i/>
                <w:iCs/>
                <w:noProof/>
              </w:rPr>
              <w:t>Argania spinosa</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_Toc139181346 \h </w:instrText>
            </w:r>
            <w:r w:rsidR="005C47A4">
              <w:rPr>
                <w:noProof/>
                <w:webHidden/>
              </w:rPr>
            </w:r>
            <w:r w:rsidR="005C47A4">
              <w:rPr>
                <w:noProof/>
                <w:webHidden/>
              </w:rPr>
              <w:fldChar w:fldCharType="separate"/>
            </w:r>
            <w:r w:rsidR="004D7B96">
              <w:rPr>
                <w:noProof/>
                <w:webHidden/>
              </w:rPr>
              <w:t>60</w:t>
            </w:r>
            <w:r w:rsidR="005C47A4">
              <w:rPr>
                <w:noProof/>
                <w:webHidden/>
              </w:rPr>
              <w:fldChar w:fldCharType="end"/>
            </w:r>
          </w:hyperlink>
        </w:p>
        <w:p w14:paraId="36787358" w14:textId="79C3B827" w:rsidR="005C47A4" w:rsidRDefault="00000000">
          <w:pPr>
            <w:pStyle w:val="TM2"/>
            <w:tabs>
              <w:tab w:val="left" w:pos="1100"/>
              <w:tab w:val="right" w:leader="dot" w:pos="10416"/>
            </w:tabs>
            <w:rPr>
              <w:rFonts w:eastAsiaTheme="minorEastAsia"/>
              <w:noProof/>
              <w:kern w:val="2"/>
              <w:lang w:eastAsia="fr-FR"/>
              <w14:ligatures w14:val="standardContextual"/>
            </w:rPr>
          </w:pPr>
          <w:hyperlink w:anchor="_Toc139181347" w:history="1">
            <w:r w:rsidR="005C47A4" w:rsidRPr="006B7CE2">
              <w:rPr>
                <w:rStyle w:val="Lienhypertexte"/>
                <w:noProof/>
              </w:rPr>
              <w:t>11.12</w:t>
            </w:r>
            <w:r w:rsidR="005C47A4">
              <w:rPr>
                <w:rFonts w:eastAsiaTheme="minorEastAsia"/>
                <w:noProof/>
                <w:kern w:val="2"/>
                <w:lang w:eastAsia="fr-FR"/>
                <w14:ligatures w14:val="standardContextual"/>
              </w:rPr>
              <w:tab/>
            </w:r>
            <w:r w:rsidR="005C47A4" w:rsidRPr="006B7CE2">
              <w:rPr>
                <w:rStyle w:val="Lienhypertexte"/>
                <w:noProof/>
              </w:rPr>
              <w:t>Palmier-dattier (</w:t>
            </w:r>
            <w:r w:rsidR="005C47A4" w:rsidRPr="006B7CE2">
              <w:rPr>
                <w:rStyle w:val="Lienhypertexte"/>
                <w:i/>
                <w:iCs/>
                <w:noProof/>
              </w:rPr>
              <w:t>Phoenix dactylifera</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_Toc139181347 \h </w:instrText>
            </w:r>
            <w:r w:rsidR="005C47A4">
              <w:rPr>
                <w:noProof/>
                <w:webHidden/>
              </w:rPr>
            </w:r>
            <w:r w:rsidR="005C47A4">
              <w:rPr>
                <w:noProof/>
                <w:webHidden/>
              </w:rPr>
              <w:fldChar w:fldCharType="separate"/>
            </w:r>
            <w:r w:rsidR="004D7B96">
              <w:rPr>
                <w:noProof/>
                <w:webHidden/>
              </w:rPr>
              <w:t>61</w:t>
            </w:r>
            <w:r w:rsidR="005C47A4">
              <w:rPr>
                <w:noProof/>
                <w:webHidden/>
              </w:rPr>
              <w:fldChar w:fldCharType="end"/>
            </w:r>
          </w:hyperlink>
        </w:p>
        <w:p w14:paraId="45EDBD1A" w14:textId="1E113A91" w:rsidR="005C47A4" w:rsidRDefault="00000000">
          <w:pPr>
            <w:pStyle w:val="TM2"/>
            <w:tabs>
              <w:tab w:val="left" w:pos="1100"/>
              <w:tab w:val="right" w:leader="dot" w:pos="10416"/>
            </w:tabs>
            <w:rPr>
              <w:rFonts w:eastAsiaTheme="minorEastAsia"/>
              <w:noProof/>
              <w:kern w:val="2"/>
              <w:lang w:eastAsia="fr-FR"/>
              <w14:ligatures w14:val="standardContextual"/>
            </w:rPr>
          </w:pPr>
          <w:hyperlink w:anchor="_Toc139181348" w:history="1">
            <w:r w:rsidR="005C47A4" w:rsidRPr="006B7CE2">
              <w:rPr>
                <w:rStyle w:val="Lienhypertexte"/>
                <w:noProof/>
              </w:rPr>
              <w:t>11.13</w:t>
            </w:r>
            <w:r w:rsidR="005C47A4">
              <w:rPr>
                <w:rFonts w:eastAsiaTheme="minorEastAsia"/>
                <w:noProof/>
                <w:kern w:val="2"/>
                <w:lang w:eastAsia="fr-FR"/>
                <w14:ligatures w14:val="standardContextual"/>
              </w:rPr>
              <w:tab/>
            </w:r>
            <w:r w:rsidR="005C47A4" w:rsidRPr="006B7CE2">
              <w:rPr>
                <w:rStyle w:val="Lienhypertexte"/>
                <w:noProof/>
              </w:rPr>
              <w:t>Arbre de Josué ou Joshua tree (</w:t>
            </w:r>
            <w:r w:rsidR="005C47A4" w:rsidRPr="006B7CE2">
              <w:rPr>
                <w:rStyle w:val="Lienhypertexte"/>
                <w:i/>
                <w:iCs/>
                <w:noProof/>
              </w:rPr>
              <w:t>Yucca brevifolia</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_Toc139181348 \h </w:instrText>
            </w:r>
            <w:r w:rsidR="005C47A4">
              <w:rPr>
                <w:noProof/>
                <w:webHidden/>
              </w:rPr>
            </w:r>
            <w:r w:rsidR="005C47A4">
              <w:rPr>
                <w:noProof/>
                <w:webHidden/>
              </w:rPr>
              <w:fldChar w:fldCharType="separate"/>
            </w:r>
            <w:r w:rsidR="004D7B96">
              <w:rPr>
                <w:noProof/>
                <w:webHidden/>
              </w:rPr>
              <w:t>62</w:t>
            </w:r>
            <w:r w:rsidR="005C47A4">
              <w:rPr>
                <w:noProof/>
                <w:webHidden/>
              </w:rPr>
              <w:fldChar w:fldCharType="end"/>
            </w:r>
          </w:hyperlink>
        </w:p>
        <w:p w14:paraId="4C7C68E2" w14:textId="2E327378" w:rsidR="005C47A4" w:rsidRDefault="00000000">
          <w:pPr>
            <w:pStyle w:val="TM2"/>
            <w:tabs>
              <w:tab w:val="left" w:pos="1100"/>
              <w:tab w:val="right" w:leader="dot" w:pos="10416"/>
            </w:tabs>
            <w:rPr>
              <w:rFonts w:eastAsiaTheme="minorEastAsia"/>
              <w:noProof/>
              <w:kern w:val="2"/>
              <w:lang w:eastAsia="fr-FR"/>
              <w14:ligatures w14:val="standardContextual"/>
            </w:rPr>
          </w:pPr>
          <w:hyperlink w:anchor="_Toc139181349" w:history="1">
            <w:r w:rsidR="005C47A4" w:rsidRPr="006B7CE2">
              <w:rPr>
                <w:rStyle w:val="Lienhypertexte"/>
                <w:noProof/>
              </w:rPr>
              <w:t>11.14</w:t>
            </w:r>
            <w:r w:rsidR="005C47A4">
              <w:rPr>
                <w:rFonts w:eastAsiaTheme="minorEastAsia"/>
                <w:noProof/>
                <w:kern w:val="2"/>
                <w:lang w:eastAsia="fr-FR"/>
                <w14:ligatures w14:val="standardContextual"/>
              </w:rPr>
              <w:tab/>
            </w:r>
            <w:r w:rsidR="005C47A4" w:rsidRPr="006B7CE2">
              <w:rPr>
                <w:rStyle w:val="Lienhypertexte"/>
                <w:noProof/>
              </w:rPr>
              <w:t>"Palmier porcelaine" (</w:t>
            </w:r>
            <w:r w:rsidR="005C47A4" w:rsidRPr="006B7CE2">
              <w:rPr>
                <w:rStyle w:val="Lienhypertexte"/>
                <w:i/>
                <w:iCs/>
                <w:noProof/>
              </w:rPr>
              <w:t>Yucca filifera</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_Toc139181349 \h </w:instrText>
            </w:r>
            <w:r w:rsidR="005C47A4">
              <w:rPr>
                <w:noProof/>
                <w:webHidden/>
              </w:rPr>
            </w:r>
            <w:r w:rsidR="005C47A4">
              <w:rPr>
                <w:noProof/>
                <w:webHidden/>
              </w:rPr>
              <w:fldChar w:fldCharType="separate"/>
            </w:r>
            <w:r w:rsidR="004D7B96">
              <w:rPr>
                <w:noProof/>
                <w:webHidden/>
              </w:rPr>
              <w:t>63</w:t>
            </w:r>
            <w:r w:rsidR="005C47A4">
              <w:rPr>
                <w:noProof/>
                <w:webHidden/>
              </w:rPr>
              <w:fldChar w:fldCharType="end"/>
            </w:r>
          </w:hyperlink>
        </w:p>
        <w:p w14:paraId="5BD08928" w14:textId="57056770" w:rsidR="005C47A4" w:rsidRDefault="00000000">
          <w:pPr>
            <w:pStyle w:val="TM2"/>
            <w:tabs>
              <w:tab w:val="left" w:pos="1100"/>
              <w:tab w:val="right" w:leader="dot" w:pos="10416"/>
            </w:tabs>
            <w:rPr>
              <w:rFonts w:eastAsiaTheme="minorEastAsia"/>
              <w:noProof/>
              <w:kern w:val="2"/>
              <w:lang w:eastAsia="fr-FR"/>
              <w14:ligatures w14:val="standardContextual"/>
            </w:rPr>
          </w:pPr>
          <w:hyperlink w:anchor="_Toc139181350" w:history="1">
            <w:r w:rsidR="005C47A4" w:rsidRPr="006B7CE2">
              <w:rPr>
                <w:rStyle w:val="Lienhypertexte"/>
                <w:noProof/>
              </w:rPr>
              <w:t>11.15</w:t>
            </w:r>
            <w:r w:rsidR="005C47A4">
              <w:rPr>
                <w:rFonts w:eastAsiaTheme="minorEastAsia"/>
                <w:noProof/>
                <w:kern w:val="2"/>
                <w:lang w:eastAsia="fr-FR"/>
                <w14:ligatures w14:val="standardContextual"/>
              </w:rPr>
              <w:tab/>
            </w:r>
            <w:r w:rsidR="005C47A4" w:rsidRPr="006B7CE2">
              <w:rPr>
                <w:rStyle w:val="Lienhypertexte"/>
                <w:i/>
                <w:iCs/>
                <w:noProof/>
              </w:rPr>
              <w:t>Washingtonia sp.</w:t>
            </w:r>
            <w:r w:rsidR="005C47A4">
              <w:rPr>
                <w:noProof/>
                <w:webHidden/>
              </w:rPr>
              <w:tab/>
            </w:r>
            <w:r w:rsidR="005C47A4">
              <w:rPr>
                <w:noProof/>
                <w:webHidden/>
              </w:rPr>
              <w:fldChar w:fldCharType="begin"/>
            </w:r>
            <w:r w:rsidR="005C47A4">
              <w:rPr>
                <w:noProof/>
                <w:webHidden/>
              </w:rPr>
              <w:instrText xml:space="preserve"> PAGEREF _Toc139181350 \h </w:instrText>
            </w:r>
            <w:r w:rsidR="005C47A4">
              <w:rPr>
                <w:noProof/>
                <w:webHidden/>
              </w:rPr>
            </w:r>
            <w:r w:rsidR="005C47A4">
              <w:rPr>
                <w:noProof/>
                <w:webHidden/>
              </w:rPr>
              <w:fldChar w:fldCharType="separate"/>
            </w:r>
            <w:r w:rsidR="004D7B96">
              <w:rPr>
                <w:noProof/>
                <w:webHidden/>
              </w:rPr>
              <w:t>64</w:t>
            </w:r>
            <w:r w:rsidR="005C47A4">
              <w:rPr>
                <w:noProof/>
                <w:webHidden/>
              </w:rPr>
              <w:fldChar w:fldCharType="end"/>
            </w:r>
          </w:hyperlink>
        </w:p>
        <w:p w14:paraId="6A2AA250" w14:textId="088C73EE" w:rsidR="005C47A4" w:rsidRDefault="00000000">
          <w:pPr>
            <w:pStyle w:val="TM2"/>
            <w:tabs>
              <w:tab w:val="left" w:pos="1100"/>
              <w:tab w:val="right" w:leader="dot" w:pos="10416"/>
            </w:tabs>
            <w:rPr>
              <w:rFonts w:eastAsiaTheme="minorEastAsia"/>
              <w:noProof/>
              <w:kern w:val="2"/>
              <w:lang w:eastAsia="fr-FR"/>
              <w14:ligatures w14:val="standardContextual"/>
            </w:rPr>
          </w:pPr>
          <w:hyperlink w:anchor="_Toc139181351" w:history="1">
            <w:r w:rsidR="005C47A4" w:rsidRPr="006B7CE2">
              <w:rPr>
                <w:rStyle w:val="Lienhypertexte"/>
                <w:noProof/>
              </w:rPr>
              <w:t>11.16</w:t>
            </w:r>
            <w:r w:rsidR="005C47A4">
              <w:rPr>
                <w:rFonts w:eastAsiaTheme="minorEastAsia"/>
                <w:noProof/>
                <w:kern w:val="2"/>
                <w:lang w:eastAsia="fr-FR"/>
                <w14:ligatures w14:val="standardContextual"/>
              </w:rPr>
              <w:tab/>
            </w:r>
            <w:r w:rsidR="005C47A4" w:rsidRPr="006B7CE2">
              <w:rPr>
                <w:rStyle w:val="Lienhypertexte"/>
                <w:noProof/>
              </w:rPr>
              <w:t>Olivier (Olea europaea)</w:t>
            </w:r>
            <w:r w:rsidR="005C47A4">
              <w:rPr>
                <w:noProof/>
                <w:webHidden/>
              </w:rPr>
              <w:tab/>
            </w:r>
            <w:r w:rsidR="005C47A4">
              <w:rPr>
                <w:noProof/>
                <w:webHidden/>
              </w:rPr>
              <w:fldChar w:fldCharType="begin"/>
            </w:r>
            <w:r w:rsidR="005C47A4">
              <w:rPr>
                <w:noProof/>
                <w:webHidden/>
              </w:rPr>
              <w:instrText xml:space="preserve"> PAGEREF _Toc139181351 \h </w:instrText>
            </w:r>
            <w:r w:rsidR="005C47A4">
              <w:rPr>
                <w:noProof/>
                <w:webHidden/>
              </w:rPr>
            </w:r>
            <w:r w:rsidR="005C47A4">
              <w:rPr>
                <w:noProof/>
                <w:webHidden/>
              </w:rPr>
              <w:fldChar w:fldCharType="separate"/>
            </w:r>
            <w:r w:rsidR="004D7B96">
              <w:rPr>
                <w:noProof/>
                <w:webHidden/>
              </w:rPr>
              <w:t>65</w:t>
            </w:r>
            <w:r w:rsidR="005C47A4">
              <w:rPr>
                <w:noProof/>
                <w:webHidden/>
              </w:rPr>
              <w:fldChar w:fldCharType="end"/>
            </w:r>
          </w:hyperlink>
        </w:p>
        <w:p w14:paraId="00A1CEA7" w14:textId="5B9E954D" w:rsidR="005C47A4" w:rsidRDefault="00000000">
          <w:pPr>
            <w:pStyle w:val="TM2"/>
            <w:tabs>
              <w:tab w:val="left" w:pos="1100"/>
              <w:tab w:val="right" w:leader="dot" w:pos="10416"/>
            </w:tabs>
            <w:rPr>
              <w:rFonts w:eastAsiaTheme="minorEastAsia"/>
              <w:noProof/>
              <w:kern w:val="2"/>
              <w:lang w:eastAsia="fr-FR"/>
              <w14:ligatures w14:val="standardContextual"/>
            </w:rPr>
          </w:pPr>
          <w:hyperlink w:anchor="_Toc139181352" w:history="1">
            <w:r w:rsidR="005C47A4" w:rsidRPr="006B7CE2">
              <w:rPr>
                <w:rStyle w:val="Lienhypertexte"/>
                <w:noProof/>
              </w:rPr>
              <w:t>11.17</w:t>
            </w:r>
            <w:r w:rsidR="005C47A4">
              <w:rPr>
                <w:rFonts w:eastAsiaTheme="minorEastAsia"/>
                <w:noProof/>
                <w:kern w:val="2"/>
                <w:lang w:eastAsia="fr-FR"/>
                <w14:ligatures w14:val="standardContextual"/>
              </w:rPr>
              <w:tab/>
            </w:r>
            <w:r w:rsidR="005C47A4" w:rsidRPr="006B7CE2">
              <w:rPr>
                <w:rStyle w:val="Lienhypertexte"/>
                <w:noProof/>
              </w:rPr>
              <w:t>Amandier (</w:t>
            </w:r>
            <w:r w:rsidR="005C47A4" w:rsidRPr="006B7CE2">
              <w:rPr>
                <w:rStyle w:val="Lienhypertexte"/>
                <w:i/>
                <w:iCs/>
                <w:noProof/>
              </w:rPr>
              <w:t>Prunus dulcis</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_Toc139181352 \h </w:instrText>
            </w:r>
            <w:r w:rsidR="005C47A4">
              <w:rPr>
                <w:noProof/>
                <w:webHidden/>
              </w:rPr>
            </w:r>
            <w:r w:rsidR="005C47A4">
              <w:rPr>
                <w:noProof/>
                <w:webHidden/>
              </w:rPr>
              <w:fldChar w:fldCharType="separate"/>
            </w:r>
            <w:r w:rsidR="004D7B96">
              <w:rPr>
                <w:noProof/>
                <w:webHidden/>
              </w:rPr>
              <w:t>68</w:t>
            </w:r>
            <w:r w:rsidR="005C47A4">
              <w:rPr>
                <w:noProof/>
                <w:webHidden/>
              </w:rPr>
              <w:fldChar w:fldCharType="end"/>
            </w:r>
          </w:hyperlink>
        </w:p>
        <w:p w14:paraId="5A818C3F" w14:textId="41EA3DF7" w:rsidR="005C47A4" w:rsidRDefault="00000000">
          <w:pPr>
            <w:pStyle w:val="TM2"/>
            <w:tabs>
              <w:tab w:val="left" w:pos="1100"/>
              <w:tab w:val="right" w:leader="dot" w:pos="10416"/>
            </w:tabs>
            <w:rPr>
              <w:rFonts w:eastAsiaTheme="minorEastAsia"/>
              <w:noProof/>
              <w:kern w:val="2"/>
              <w:lang w:eastAsia="fr-FR"/>
              <w14:ligatures w14:val="standardContextual"/>
            </w:rPr>
          </w:pPr>
          <w:hyperlink w:anchor="_Toc139181353" w:history="1">
            <w:r w:rsidR="005C47A4" w:rsidRPr="006B7CE2">
              <w:rPr>
                <w:rStyle w:val="Lienhypertexte"/>
                <w:noProof/>
              </w:rPr>
              <w:t>11.18</w:t>
            </w:r>
            <w:r w:rsidR="005C47A4">
              <w:rPr>
                <w:rFonts w:eastAsiaTheme="minorEastAsia"/>
                <w:noProof/>
                <w:kern w:val="2"/>
                <w:lang w:eastAsia="fr-FR"/>
                <w14:ligatures w14:val="standardContextual"/>
              </w:rPr>
              <w:tab/>
            </w:r>
            <w:r w:rsidR="005C47A4" w:rsidRPr="006B7CE2">
              <w:rPr>
                <w:rStyle w:val="Lienhypertexte"/>
                <w:noProof/>
              </w:rPr>
              <w:t>Figuier commun (</w:t>
            </w:r>
            <w:r w:rsidR="005C47A4" w:rsidRPr="006B7CE2">
              <w:rPr>
                <w:rStyle w:val="Lienhypertexte"/>
                <w:i/>
                <w:iCs/>
                <w:noProof/>
              </w:rPr>
              <w:t>Ficus carica</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_Toc139181353 \h </w:instrText>
            </w:r>
            <w:r w:rsidR="005C47A4">
              <w:rPr>
                <w:noProof/>
                <w:webHidden/>
              </w:rPr>
            </w:r>
            <w:r w:rsidR="005C47A4">
              <w:rPr>
                <w:noProof/>
                <w:webHidden/>
              </w:rPr>
              <w:fldChar w:fldCharType="separate"/>
            </w:r>
            <w:r w:rsidR="004D7B96">
              <w:rPr>
                <w:noProof/>
                <w:webHidden/>
              </w:rPr>
              <w:t>70</w:t>
            </w:r>
            <w:r w:rsidR="005C47A4">
              <w:rPr>
                <w:noProof/>
                <w:webHidden/>
              </w:rPr>
              <w:fldChar w:fldCharType="end"/>
            </w:r>
          </w:hyperlink>
        </w:p>
        <w:p w14:paraId="36EE33D7" w14:textId="15E9E1C0" w:rsidR="005C47A4" w:rsidRDefault="00000000">
          <w:pPr>
            <w:pStyle w:val="TM2"/>
            <w:tabs>
              <w:tab w:val="left" w:pos="1100"/>
              <w:tab w:val="right" w:leader="dot" w:pos="10416"/>
            </w:tabs>
            <w:rPr>
              <w:rFonts w:eastAsiaTheme="minorEastAsia"/>
              <w:noProof/>
              <w:kern w:val="2"/>
              <w:lang w:eastAsia="fr-FR"/>
              <w14:ligatures w14:val="standardContextual"/>
            </w:rPr>
          </w:pPr>
          <w:hyperlink w:anchor="_Toc139181354" w:history="1">
            <w:r w:rsidR="005C47A4" w:rsidRPr="006B7CE2">
              <w:rPr>
                <w:rStyle w:val="Lienhypertexte"/>
                <w:noProof/>
              </w:rPr>
              <w:t>11.19</w:t>
            </w:r>
            <w:r w:rsidR="005C47A4">
              <w:rPr>
                <w:rFonts w:eastAsiaTheme="minorEastAsia"/>
                <w:noProof/>
                <w:kern w:val="2"/>
                <w:lang w:eastAsia="fr-FR"/>
                <w14:ligatures w14:val="standardContextual"/>
              </w:rPr>
              <w:tab/>
            </w:r>
            <w:r w:rsidR="005C47A4" w:rsidRPr="006B7CE2">
              <w:rPr>
                <w:rStyle w:val="Lienhypertexte"/>
                <w:noProof/>
              </w:rPr>
              <w:t>Figuier sycomore (</w:t>
            </w:r>
            <w:r w:rsidR="005C47A4" w:rsidRPr="006B7CE2">
              <w:rPr>
                <w:rStyle w:val="Lienhypertexte"/>
                <w:i/>
                <w:iCs/>
                <w:noProof/>
              </w:rPr>
              <w:t>Ficus sycomorus</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_Toc139181354 \h </w:instrText>
            </w:r>
            <w:r w:rsidR="005C47A4">
              <w:rPr>
                <w:noProof/>
                <w:webHidden/>
              </w:rPr>
            </w:r>
            <w:r w:rsidR="005C47A4">
              <w:rPr>
                <w:noProof/>
                <w:webHidden/>
              </w:rPr>
              <w:fldChar w:fldCharType="separate"/>
            </w:r>
            <w:r w:rsidR="004D7B96">
              <w:rPr>
                <w:noProof/>
                <w:webHidden/>
              </w:rPr>
              <w:t>71</w:t>
            </w:r>
            <w:r w:rsidR="005C47A4">
              <w:rPr>
                <w:noProof/>
                <w:webHidden/>
              </w:rPr>
              <w:fldChar w:fldCharType="end"/>
            </w:r>
          </w:hyperlink>
        </w:p>
        <w:p w14:paraId="6B479412" w14:textId="5EFAEAD4" w:rsidR="005C47A4" w:rsidRDefault="00000000">
          <w:pPr>
            <w:pStyle w:val="TM2"/>
            <w:tabs>
              <w:tab w:val="left" w:pos="1100"/>
              <w:tab w:val="right" w:leader="dot" w:pos="10416"/>
            </w:tabs>
            <w:rPr>
              <w:rFonts w:eastAsiaTheme="minorEastAsia"/>
              <w:noProof/>
              <w:kern w:val="2"/>
              <w:lang w:eastAsia="fr-FR"/>
              <w14:ligatures w14:val="standardContextual"/>
            </w:rPr>
          </w:pPr>
          <w:hyperlink w:anchor="_Toc139181355" w:history="1">
            <w:r w:rsidR="005C47A4" w:rsidRPr="006B7CE2">
              <w:rPr>
                <w:rStyle w:val="Lienhypertexte"/>
                <w:noProof/>
              </w:rPr>
              <w:t>11.20</w:t>
            </w:r>
            <w:r w:rsidR="005C47A4">
              <w:rPr>
                <w:rFonts w:eastAsiaTheme="minorEastAsia"/>
                <w:noProof/>
                <w:kern w:val="2"/>
                <w:lang w:eastAsia="fr-FR"/>
                <w14:ligatures w14:val="standardContextual"/>
              </w:rPr>
              <w:tab/>
            </w:r>
            <w:r w:rsidR="005C47A4" w:rsidRPr="006B7CE2">
              <w:rPr>
                <w:rStyle w:val="Lienhypertexte"/>
                <w:noProof/>
              </w:rPr>
              <w:t>Dattier du désert (</w:t>
            </w:r>
            <w:r w:rsidR="005C47A4" w:rsidRPr="006B7CE2">
              <w:rPr>
                <w:rStyle w:val="Lienhypertexte"/>
                <w:i/>
                <w:iCs/>
                <w:noProof/>
              </w:rPr>
              <w:t>Balanites aegyptiaca</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_Toc139181355 \h </w:instrText>
            </w:r>
            <w:r w:rsidR="005C47A4">
              <w:rPr>
                <w:noProof/>
                <w:webHidden/>
              </w:rPr>
            </w:r>
            <w:r w:rsidR="005C47A4">
              <w:rPr>
                <w:noProof/>
                <w:webHidden/>
              </w:rPr>
              <w:fldChar w:fldCharType="separate"/>
            </w:r>
            <w:r w:rsidR="004D7B96">
              <w:rPr>
                <w:noProof/>
                <w:webHidden/>
              </w:rPr>
              <w:t>72</w:t>
            </w:r>
            <w:r w:rsidR="005C47A4">
              <w:rPr>
                <w:noProof/>
                <w:webHidden/>
              </w:rPr>
              <w:fldChar w:fldCharType="end"/>
            </w:r>
          </w:hyperlink>
        </w:p>
        <w:p w14:paraId="340875FE" w14:textId="03B72AEC" w:rsidR="005C47A4" w:rsidRDefault="00000000">
          <w:pPr>
            <w:pStyle w:val="TM2"/>
            <w:tabs>
              <w:tab w:val="left" w:pos="1100"/>
              <w:tab w:val="right" w:leader="dot" w:pos="10416"/>
            </w:tabs>
            <w:rPr>
              <w:rFonts w:eastAsiaTheme="minorEastAsia"/>
              <w:noProof/>
              <w:kern w:val="2"/>
              <w:lang w:eastAsia="fr-FR"/>
              <w14:ligatures w14:val="standardContextual"/>
            </w:rPr>
          </w:pPr>
          <w:hyperlink w:anchor="_Toc139181356" w:history="1">
            <w:r w:rsidR="005C47A4" w:rsidRPr="006B7CE2">
              <w:rPr>
                <w:rStyle w:val="Lienhypertexte"/>
                <w:noProof/>
              </w:rPr>
              <w:t>11.21</w:t>
            </w:r>
            <w:r w:rsidR="005C47A4">
              <w:rPr>
                <w:rFonts w:eastAsiaTheme="minorEastAsia"/>
                <w:noProof/>
                <w:kern w:val="2"/>
                <w:lang w:eastAsia="fr-FR"/>
                <w14:ligatures w14:val="standardContextual"/>
              </w:rPr>
              <w:tab/>
            </w:r>
            <w:r w:rsidR="005C47A4" w:rsidRPr="006B7CE2">
              <w:rPr>
                <w:rStyle w:val="Lienhypertexte"/>
                <w:noProof/>
              </w:rPr>
              <w:t>Madd (</w:t>
            </w:r>
            <w:r w:rsidR="005C47A4" w:rsidRPr="006B7CE2">
              <w:rPr>
                <w:rStyle w:val="Lienhypertexte"/>
                <w:i/>
                <w:iCs/>
                <w:noProof/>
              </w:rPr>
              <w:t>Saba senegalensis</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_Toc139181356 \h </w:instrText>
            </w:r>
            <w:r w:rsidR="005C47A4">
              <w:rPr>
                <w:noProof/>
                <w:webHidden/>
              </w:rPr>
            </w:r>
            <w:r w:rsidR="005C47A4">
              <w:rPr>
                <w:noProof/>
                <w:webHidden/>
              </w:rPr>
              <w:fldChar w:fldCharType="separate"/>
            </w:r>
            <w:r w:rsidR="004D7B96">
              <w:rPr>
                <w:noProof/>
                <w:webHidden/>
              </w:rPr>
              <w:t>73</w:t>
            </w:r>
            <w:r w:rsidR="005C47A4">
              <w:rPr>
                <w:noProof/>
                <w:webHidden/>
              </w:rPr>
              <w:fldChar w:fldCharType="end"/>
            </w:r>
          </w:hyperlink>
        </w:p>
        <w:p w14:paraId="43A36A10" w14:textId="17B25E00" w:rsidR="005C47A4" w:rsidRDefault="00000000">
          <w:pPr>
            <w:pStyle w:val="TM2"/>
            <w:tabs>
              <w:tab w:val="left" w:pos="1100"/>
              <w:tab w:val="right" w:leader="dot" w:pos="10416"/>
            </w:tabs>
            <w:rPr>
              <w:rFonts w:eastAsiaTheme="minorEastAsia"/>
              <w:noProof/>
              <w:kern w:val="2"/>
              <w:lang w:eastAsia="fr-FR"/>
              <w14:ligatures w14:val="standardContextual"/>
            </w:rPr>
          </w:pPr>
          <w:hyperlink w:anchor="_Toc139181357" w:history="1">
            <w:r w:rsidR="005C47A4" w:rsidRPr="006B7CE2">
              <w:rPr>
                <w:rStyle w:val="Lienhypertexte"/>
                <w:noProof/>
                <w:lang w:val="es-AR"/>
              </w:rPr>
              <w:t>11.22</w:t>
            </w:r>
            <w:r w:rsidR="005C47A4">
              <w:rPr>
                <w:rFonts w:eastAsiaTheme="minorEastAsia"/>
                <w:noProof/>
                <w:kern w:val="2"/>
                <w:lang w:eastAsia="fr-FR"/>
                <w14:ligatures w14:val="standardContextual"/>
              </w:rPr>
              <w:tab/>
            </w:r>
            <w:r w:rsidR="005C47A4" w:rsidRPr="006B7CE2">
              <w:rPr>
                <w:rStyle w:val="Lienhypertexte"/>
                <w:noProof/>
                <w:lang w:val="es-AR"/>
              </w:rPr>
              <w:t>Bungo, mbungo ou vigne en caoutchouc (</w:t>
            </w:r>
            <w:r w:rsidR="005C47A4" w:rsidRPr="006B7CE2">
              <w:rPr>
                <w:rStyle w:val="Lienhypertexte"/>
                <w:i/>
                <w:iCs/>
                <w:noProof/>
                <w:lang w:val="es-AR"/>
              </w:rPr>
              <w:t>Saba comorensis</w:t>
            </w:r>
            <w:r w:rsidR="005C47A4" w:rsidRPr="006B7CE2">
              <w:rPr>
                <w:rStyle w:val="Lienhypertexte"/>
                <w:noProof/>
                <w:lang w:val="es-AR"/>
              </w:rPr>
              <w:t>)</w:t>
            </w:r>
            <w:r w:rsidR="005C47A4">
              <w:rPr>
                <w:noProof/>
                <w:webHidden/>
              </w:rPr>
              <w:tab/>
            </w:r>
            <w:r w:rsidR="005C47A4">
              <w:rPr>
                <w:noProof/>
                <w:webHidden/>
              </w:rPr>
              <w:fldChar w:fldCharType="begin"/>
            </w:r>
            <w:r w:rsidR="005C47A4">
              <w:rPr>
                <w:noProof/>
                <w:webHidden/>
              </w:rPr>
              <w:instrText xml:space="preserve"> PAGEREF _Toc139181357 \h </w:instrText>
            </w:r>
            <w:r w:rsidR="005C47A4">
              <w:rPr>
                <w:noProof/>
                <w:webHidden/>
              </w:rPr>
            </w:r>
            <w:r w:rsidR="005C47A4">
              <w:rPr>
                <w:noProof/>
                <w:webHidden/>
              </w:rPr>
              <w:fldChar w:fldCharType="separate"/>
            </w:r>
            <w:r w:rsidR="004D7B96">
              <w:rPr>
                <w:noProof/>
                <w:webHidden/>
              </w:rPr>
              <w:t>74</w:t>
            </w:r>
            <w:r w:rsidR="005C47A4">
              <w:rPr>
                <w:noProof/>
                <w:webHidden/>
              </w:rPr>
              <w:fldChar w:fldCharType="end"/>
            </w:r>
          </w:hyperlink>
        </w:p>
        <w:p w14:paraId="6F28CB04" w14:textId="3FE7D629"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358" w:history="1">
            <w:r w:rsidR="005C47A4" w:rsidRPr="006B7CE2">
              <w:rPr>
                <w:rStyle w:val="Lienhypertexte"/>
                <w:noProof/>
                <w:lang w:val="es-AR"/>
              </w:rPr>
              <w:t>11.1</w:t>
            </w:r>
            <w:r w:rsidR="005C47A4">
              <w:rPr>
                <w:rFonts w:eastAsiaTheme="minorEastAsia"/>
                <w:noProof/>
                <w:kern w:val="2"/>
                <w:lang w:eastAsia="fr-FR"/>
                <w14:ligatures w14:val="standardContextual"/>
              </w:rPr>
              <w:tab/>
            </w:r>
            <w:r w:rsidR="005C47A4" w:rsidRPr="006B7CE2">
              <w:rPr>
                <w:rStyle w:val="Lienhypertexte"/>
                <w:noProof/>
                <w:lang w:val="es-AR"/>
              </w:rPr>
              <w:t>Hanza ou aizen (</w:t>
            </w:r>
            <w:r w:rsidR="005C47A4" w:rsidRPr="006B7CE2">
              <w:rPr>
                <w:rStyle w:val="Lienhypertexte"/>
                <w:i/>
                <w:iCs/>
                <w:noProof/>
                <w:lang w:val="es-AR"/>
              </w:rPr>
              <w:t>Boscia senegalensis</w:t>
            </w:r>
            <w:r w:rsidR="005C47A4" w:rsidRPr="006B7CE2">
              <w:rPr>
                <w:rStyle w:val="Lienhypertexte"/>
                <w:noProof/>
                <w:lang w:val="es-AR"/>
              </w:rPr>
              <w:t>)</w:t>
            </w:r>
            <w:r w:rsidR="005C47A4">
              <w:rPr>
                <w:noProof/>
                <w:webHidden/>
              </w:rPr>
              <w:tab/>
            </w:r>
            <w:r w:rsidR="005C47A4">
              <w:rPr>
                <w:noProof/>
                <w:webHidden/>
              </w:rPr>
              <w:fldChar w:fldCharType="begin"/>
            </w:r>
            <w:r w:rsidR="005C47A4">
              <w:rPr>
                <w:noProof/>
                <w:webHidden/>
              </w:rPr>
              <w:instrText xml:space="preserve"> PAGEREF _Toc139181358 \h </w:instrText>
            </w:r>
            <w:r w:rsidR="005C47A4">
              <w:rPr>
                <w:noProof/>
                <w:webHidden/>
              </w:rPr>
            </w:r>
            <w:r w:rsidR="005C47A4">
              <w:rPr>
                <w:noProof/>
                <w:webHidden/>
              </w:rPr>
              <w:fldChar w:fldCharType="separate"/>
            </w:r>
            <w:r w:rsidR="004D7B96">
              <w:rPr>
                <w:noProof/>
                <w:webHidden/>
              </w:rPr>
              <w:t>75</w:t>
            </w:r>
            <w:r w:rsidR="005C47A4">
              <w:rPr>
                <w:noProof/>
                <w:webHidden/>
              </w:rPr>
              <w:fldChar w:fldCharType="end"/>
            </w:r>
          </w:hyperlink>
        </w:p>
        <w:p w14:paraId="0B01452D" w14:textId="44DEF1EA"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359" w:history="1">
            <w:r w:rsidR="005C47A4" w:rsidRPr="006B7CE2">
              <w:rPr>
                <w:rStyle w:val="Lienhypertexte"/>
                <w:noProof/>
              </w:rPr>
              <w:t>11.2</w:t>
            </w:r>
            <w:r w:rsidR="005C47A4">
              <w:rPr>
                <w:rFonts w:eastAsiaTheme="minorEastAsia"/>
                <w:noProof/>
                <w:kern w:val="2"/>
                <w:lang w:eastAsia="fr-FR"/>
                <w14:ligatures w14:val="standardContextual"/>
              </w:rPr>
              <w:tab/>
            </w:r>
            <w:r w:rsidR="005C47A4" w:rsidRPr="006B7CE2">
              <w:rPr>
                <w:rStyle w:val="Lienhypertexte"/>
                <w:noProof/>
              </w:rPr>
              <w:t>Ditax, ditakh, detar et « arbre à suif » (</w:t>
            </w:r>
            <w:r w:rsidR="005C47A4" w:rsidRPr="006B7CE2">
              <w:rPr>
                <w:rStyle w:val="Lienhypertexte"/>
                <w:i/>
                <w:iCs/>
                <w:noProof/>
              </w:rPr>
              <w:t>Detarium senegalense</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_Toc139181359 \h </w:instrText>
            </w:r>
            <w:r w:rsidR="005C47A4">
              <w:rPr>
                <w:noProof/>
                <w:webHidden/>
              </w:rPr>
            </w:r>
            <w:r w:rsidR="005C47A4">
              <w:rPr>
                <w:noProof/>
                <w:webHidden/>
              </w:rPr>
              <w:fldChar w:fldCharType="separate"/>
            </w:r>
            <w:r w:rsidR="004D7B96">
              <w:rPr>
                <w:noProof/>
                <w:webHidden/>
              </w:rPr>
              <w:t>76</w:t>
            </w:r>
            <w:r w:rsidR="005C47A4">
              <w:rPr>
                <w:noProof/>
                <w:webHidden/>
              </w:rPr>
              <w:fldChar w:fldCharType="end"/>
            </w:r>
          </w:hyperlink>
        </w:p>
        <w:p w14:paraId="4AC79867" w14:textId="125510FD"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360" w:history="1">
            <w:r w:rsidR="005C47A4" w:rsidRPr="006B7CE2">
              <w:rPr>
                <w:rStyle w:val="Lienhypertexte"/>
                <w:noProof/>
              </w:rPr>
              <w:t>11.3</w:t>
            </w:r>
            <w:r w:rsidR="005C47A4">
              <w:rPr>
                <w:rFonts w:eastAsiaTheme="minorEastAsia"/>
                <w:noProof/>
                <w:kern w:val="2"/>
                <w:lang w:eastAsia="fr-FR"/>
                <w14:ligatures w14:val="standardContextual"/>
              </w:rPr>
              <w:tab/>
            </w:r>
            <w:r w:rsidR="005C47A4" w:rsidRPr="006B7CE2">
              <w:rPr>
                <w:rStyle w:val="Lienhypertexte"/>
                <w:i/>
                <w:iCs/>
                <w:noProof/>
              </w:rPr>
              <w:t>Combretum glutinosum</w:t>
            </w:r>
            <w:r w:rsidR="005C47A4">
              <w:rPr>
                <w:noProof/>
                <w:webHidden/>
              </w:rPr>
              <w:tab/>
            </w:r>
            <w:r w:rsidR="005C47A4">
              <w:rPr>
                <w:noProof/>
                <w:webHidden/>
              </w:rPr>
              <w:fldChar w:fldCharType="begin"/>
            </w:r>
            <w:r w:rsidR="005C47A4">
              <w:rPr>
                <w:noProof/>
                <w:webHidden/>
              </w:rPr>
              <w:instrText xml:space="preserve"> PAGEREF _Toc139181360 \h </w:instrText>
            </w:r>
            <w:r w:rsidR="005C47A4">
              <w:rPr>
                <w:noProof/>
                <w:webHidden/>
              </w:rPr>
            </w:r>
            <w:r w:rsidR="005C47A4">
              <w:rPr>
                <w:noProof/>
                <w:webHidden/>
              </w:rPr>
              <w:fldChar w:fldCharType="separate"/>
            </w:r>
            <w:r w:rsidR="004D7B96">
              <w:rPr>
                <w:noProof/>
                <w:webHidden/>
              </w:rPr>
              <w:t>78</w:t>
            </w:r>
            <w:r w:rsidR="005C47A4">
              <w:rPr>
                <w:noProof/>
                <w:webHidden/>
              </w:rPr>
              <w:fldChar w:fldCharType="end"/>
            </w:r>
          </w:hyperlink>
        </w:p>
        <w:p w14:paraId="662E8514" w14:textId="249C5BA7" w:rsidR="005C47A4" w:rsidRDefault="00000000">
          <w:pPr>
            <w:pStyle w:val="TM1"/>
            <w:tabs>
              <w:tab w:val="left" w:pos="660"/>
              <w:tab w:val="right" w:leader="dot" w:pos="10416"/>
            </w:tabs>
            <w:rPr>
              <w:rFonts w:eastAsiaTheme="minorEastAsia"/>
              <w:noProof/>
              <w:kern w:val="2"/>
              <w:lang w:eastAsia="fr-FR"/>
              <w14:ligatures w14:val="standardContextual"/>
            </w:rPr>
          </w:pPr>
          <w:hyperlink w:anchor="_Toc139181361" w:history="1">
            <w:r w:rsidR="005C47A4" w:rsidRPr="006B7CE2">
              <w:rPr>
                <w:rStyle w:val="Lienhypertexte"/>
                <w:noProof/>
              </w:rPr>
              <w:t>12</w:t>
            </w:r>
            <w:r w:rsidR="005C47A4">
              <w:rPr>
                <w:rFonts w:eastAsiaTheme="minorEastAsia"/>
                <w:noProof/>
                <w:kern w:val="2"/>
                <w:lang w:eastAsia="fr-FR"/>
                <w14:ligatures w14:val="standardContextual"/>
              </w:rPr>
              <w:tab/>
            </w:r>
            <w:r w:rsidR="005C47A4" w:rsidRPr="006B7CE2">
              <w:rPr>
                <w:rStyle w:val="Lienhypertexte"/>
                <w:noProof/>
              </w:rPr>
              <w:t>Arbres utiles pour le fourrage, le bois et d’autres usages</w:t>
            </w:r>
            <w:r w:rsidR="005C47A4">
              <w:rPr>
                <w:noProof/>
                <w:webHidden/>
              </w:rPr>
              <w:tab/>
            </w:r>
            <w:r w:rsidR="005C47A4">
              <w:rPr>
                <w:noProof/>
                <w:webHidden/>
              </w:rPr>
              <w:fldChar w:fldCharType="begin"/>
            </w:r>
            <w:r w:rsidR="005C47A4">
              <w:rPr>
                <w:noProof/>
                <w:webHidden/>
              </w:rPr>
              <w:instrText xml:space="preserve"> PAGEREF _Toc139181361 \h </w:instrText>
            </w:r>
            <w:r w:rsidR="005C47A4">
              <w:rPr>
                <w:noProof/>
                <w:webHidden/>
              </w:rPr>
            </w:r>
            <w:r w:rsidR="005C47A4">
              <w:rPr>
                <w:noProof/>
                <w:webHidden/>
              </w:rPr>
              <w:fldChar w:fldCharType="separate"/>
            </w:r>
            <w:r w:rsidR="004D7B96">
              <w:rPr>
                <w:noProof/>
                <w:webHidden/>
              </w:rPr>
              <w:t>79</w:t>
            </w:r>
            <w:r w:rsidR="005C47A4">
              <w:rPr>
                <w:noProof/>
                <w:webHidden/>
              </w:rPr>
              <w:fldChar w:fldCharType="end"/>
            </w:r>
          </w:hyperlink>
        </w:p>
        <w:p w14:paraId="21B42C0E" w14:textId="25DC5087"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362" w:history="1">
            <w:r w:rsidR="005C47A4" w:rsidRPr="006B7CE2">
              <w:rPr>
                <w:rStyle w:val="Lienhypertexte"/>
                <w:noProof/>
              </w:rPr>
              <w:t>12.1</w:t>
            </w:r>
            <w:r w:rsidR="005C47A4">
              <w:rPr>
                <w:rFonts w:eastAsiaTheme="minorEastAsia"/>
                <w:noProof/>
                <w:kern w:val="2"/>
                <w:lang w:eastAsia="fr-FR"/>
                <w14:ligatures w14:val="standardContextual"/>
              </w:rPr>
              <w:tab/>
            </w:r>
            <w:r w:rsidR="005C47A4" w:rsidRPr="006B7CE2">
              <w:rPr>
                <w:rStyle w:val="Lienhypertexte"/>
                <w:noProof/>
              </w:rPr>
              <w:t>Khejri ou Ghaf (</w:t>
            </w:r>
            <w:r w:rsidR="005C47A4" w:rsidRPr="006B7CE2">
              <w:rPr>
                <w:rStyle w:val="Lienhypertexte"/>
                <w:i/>
                <w:iCs/>
                <w:noProof/>
              </w:rPr>
              <w:t>Prosopis cineraria</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_Toc139181362 \h </w:instrText>
            </w:r>
            <w:r w:rsidR="005C47A4">
              <w:rPr>
                <w:noProof/>
                <w:webHidden/>
              </w:rPr>
            </w:r>
            <w:r w:rsidR="005C47A4">
              <w:rPr>
                <w:noProof/>
                <w:webHidden/>
              </w:rPr>
              <w:fldChar w:fldCharType="separate"/>
            </w:r>
            <w:r w:rsidR="004D7B96">
              <w:rPr>
                <w:noProof/>
                <w:webHidden/>
              </w:rPr>
              <w:t>79</w:t>
            </w:r>
            <w:r w:rsidR="005C47A4">
              <w:rPr>
                <w:noProof/>
                <w:webHidden/>
              </w:rPr>
              <w:fldChar w:fldCharType="end"/>
            </w:r>
          </w:hyperlink>
        </w:p>
        <w:p w14:paraId="180ADC1F" w14:textId="6CA3ACE6"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363" w:history="1">
            <w:r w:rsidR="005C47A4" w:rsidRPr="006B7CE2">
              <w:rPr>
                <w:rStyle w:val="Lienhypertexte"/>
                <w:noProof/>
              </w:rPr>
              <w:t>12.2</w:t>
            </w:r>
            <w:r w:rsidR="005C47A4">
              <w:rPr>
                <w:rFonts w:eastAsiaTheme="minorEastAsia"/>
                <w:noProof/>
                <w:kern w:val="2"/>
                <w:lang w:eastAsia="fr-FR"/>
                <w14:ligatures w14:val="standardContextual"/>
              </w:rPr>
              <w:tab/>
            </w:r>
            <w:r w:rsidR="005C47A4" w:rsidRPr="006B7CE2">
              <w:rPr>
                <w:rStyle w:val="Lienhypertexte"/>
                <w:i/>
                <w:iCs/>
                <w:noProof/>
              </w:rPr>
              <w:t xml:space="preserve">Callitris tuberculata </w:t>
            </w:r>
            <w:r w:rsidR="005C47A4" w:rsidRPr="006B7CE2">
              <w:rPr>
                <w:rStyle w:val="Lienhypertexte"/>
                <w:noProof/>
              </w:rPr>
              <w:t>ou</w:t>
            </w:r>
            <w:r w:rsidR="005C47A4" w:rsidRPr="006B7CE2">
              <w:rPr>
                <w:rStyle w:val="Lienhypertexte"/>
                <w:i/>
                <w:iCs/>
                <w:noProof/>
              </w:rPr>
              <w:t xml:space="preserve"> Callitris preissii</w:t>
            </w:r>
            <w:r w:rsidR="005C47A4">
              <w:rPr>
                <w:noProof/>
                <w:webHidden/>
              </w:rPr>
              <w:tab/>
            </w:r>
            <w:r w:rsidR="005C47A4">
              <w:rPr>
                <w:noProof/>
                <w:webHidden/>
              </w:rPr>
              <w:fldChar w:fldCharType="begin"/>
            </w:r>
            <w:r w:rsidR="005C47A4">
              <w:rPr>
                <w:noProof/>
                <w:webHidden/>
              </w:rPr>
              <w:instrText xml:space="preserve"> PAGEREF _Toc139181363 \h </w:instrText>
            </w:r>
            <w:r w:rsidR="005C47A4">
              <w:rPr>
                <w:noProof/>
                <w:webHidden/>
              </w:rPr>
            </w:r>
            <w:r w:rsidR="005C47A4">
              <w:rPr>
                <w:noProof/>
                <w:webHidden/>
              </w:rPr>
              <w:fldChar w:fldCharType="separate"/>
            </w:r>
            <w:r w:rsidR="004D7B96">
              <w:rPr>
                <w:noProof/>
                <w:webHidden/>
              </w:rPr>
              <w:t>80</w:t>
            </w:r>
            <w:r w:rsidR="005C47A4">
              <w:rPr>
                <w:noProof/>
                <w:webHidden/>
              </w:rPr>
              <w:fldChar w:fldCharType="end"/>
            </w:r>
          </w:hyperlink>
        </w:p>
        <w:p w14:paraId="73AB4C3A" w14:textId="78AAE39B"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364" w:history="1">
            <w:r w:rsidR="005C47A4" w:rsidRPr="006B7CE2">
              <w:rPr>
                <w:rStyle w:val="Lienhypertexte"/>
                <w:noProof/>
              </w:rPr>
              <w:t>12.3</w:t>
            </w:r>
            <w:r w:rsidR="005C47A4">
              <w:rPr>
                <w:rFonts w:eastAsiaTheme="minorEastAsia"/>
                <w:noProof/>
                <w:kern w:val="2"/>
                <w:lang w:eastAsia="fr-FR"/>
                <w14:ligatures w14:val="standardContextual"/>
              </w:rPr>
              <w:tab/>
            </w:r>
            <w:r w:rsidR="005C47A4" w:rsidRPr="006B7CE2">
              <w:rPr>
                <w:rStyle w:val="Lienhypertexte"/>
                <w:i/>
                <w:iCs/>
                <w:noProof/>
              </w:rPr>
              <w:t>Pterocarpus angolensis</w:t>
            </w:r>
            <w:r w:rsidR="005C47A4">
              <w:rPr>
                <w:noProof/>
                <w:webHidden/>
              </w:rPr>
              <w:tab/>
            </w:r>
            <w:r w:rsidR="005C47A4">
              <w:rPr>
                <w:noProof/>
                <w:webHidden/>
              </w:rPr>
              <w:fldChar w:fldCharType="begin"/>
            </w:r>
            <w:r w:rsidR="005C47A4">
              <w:rPr>
                <w:noProof/>
                <w:webHidden/>
              </w:rPr>
              <w:instrText xml:space="preserve"> PAGEREF _Toc139181364 \h </w:instrText>
            </w:r>
            <w:r w:rsidR="005C47A4">
              <w:rPr>
                <w:noProof/>
                <w:webHidden/>
              </w:rPr>
            </w:r>
            <w:r w:rsidR="005C47A4">
              <w:rPr>
                <w:noProof/>
                <w:webHidden/>
              </w:rPr>
              <w:fldChar w:fldCharType="separate"/>
            </w:r>
            <w:r w:rsidR="004D7B96">
              <w:rPr>
                <w:noProof/>
                <w:webHidden/>
              </w:rPr>
              <w:t>81</w:t>
            </w:r>
            <w:r w:rsidR="005C47A4">
              <w:rPr>
                <w:noProof/>
                <w:webHidden/>
              </w:rPr>
              <w:fldChar w:fldCharType="end"/>
            </w:r>
          </w:hyperlink>
        </w:p>
        <w:p w14:paraId="0D984B67" w14:textId="1CB16007"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365" w:history="1">
            <w:r w:rsidR="005C47A4" w:rsidRPr="006B7CE2">
              <w:rPr>
                <w:rStyle w:val="Lienhypertexte"/>
                <w:noProof/>
              </w:rPr>
              <w:t>12.4</w:t>
            </w:r>
            <w:r w:rsidR="005C47A4">
              <w:rPr>
                <w:rFonts w:eastAsiaTheme="minorEastAsia"/>
                <w:noProof/>
                <w:kern w:val="2"/>
                <w:lang w:eastAsia="fr-FR"/>
                <w14:ligatures w14:val="standardContextual"/>
              </w:rPr>
              <w:tab/>
            </w:r>
            <w:r w:rsidR="005C47A4" w:rsidRPr="006B7CE2">
              <w:rPr>
                <w:rStyle w:val="Lienhypertexte"/>
                <w:noProof/>
              </w:rPr>
              <w:t>Lebbeck ou bois noir (</w:t>
            </w:r>
            <w:r w:rsidR="005C47A4" w:rsidRPr="006B7CE2">
              <w:rPr>
                <w:rStyle w:val="Lienhypertexte"/>
                <w:i/>
                <w:iCs/>
                <w:noProof/>
              </w:rPr>
              <w:t>Albizia lebbeck</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_Toc139181365 \h </w:instrText>
            </w:r>
            <w:r w:rsidR="005C47A4">
              <w:rPr>
                <w:noProof/>
                <w:webHidden/>
              </w:rPr>
            </w:r>
            <w:r w:rsidR="005C47A4">
              <w:rPr>
                <w:noProof/>
                <w:webHidden/>
              </w:rPr>
              <w:fldChar w:fldCharType="separate"/>
            </w:r>
            <w:r w:rsidR="004D7B96">
              <w:rPr>
                <w:noProof/>
                <w:webHidden/>
              </w:rPr>
              <w:t>84</w:t>
            </w:r>
            <w:r w:rsidR="005C47A4">
              <w:rPr>
                <w:noProof/>
                <w:webHidden/>
              </w:rPr>
              <w:fldChar w:fldCharType="end"/>
            </w:r>
          </w:hyperlink>
        </w:p>
        <w:p w14:paraId="26916B7D" w14:textId="14DBCF8D"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366" w:history="1">
            <w:r w:rsidR="005C47A4" w:rsidRPr="006B7CE2">
              <w:rPr>
                <w:rStyle w:val="Lienhypertexte"/>
                <w:noProof/>
              </w:rPr>
              <w:t>12.5</w:t>
            </w:r>
            <w:r w:rsidR="005C47A4">
              <w:rPr>
                <w:rFonts w:eastAsiaTheme="minorEastAsia"/>
                <w:noProof/>
                <w:kern w:val="2"/>
                <w:lang w:eastAsia="fr-FR"/>
                <w14:ligatures w14:val="standardContextual"/>
              </w:rPr>
              <w:tab/>
            </w:r>
            <w:r w:rsidR="005C47A4" w:rsidRPr="006B7CE2">
              <w:rPr>
                <w:rStyle w:val="Lienhypertexte"/>
                <w:noProof/>
              </w:rPr>
              <w:t>Cassier (</w:t>
            </w:r>
            <w:r w:rsidR="005C47A4" w:rsidRPr="006B7CE2">
              <w:rPr>
                <w:rStyle w:val="Lienhypertexte"/>
                <w:i/>
                <w:iCs/>
                <w:noProof/>
              </w:rPr>
              <w:t>Acacia farnesiana</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_Toc139181366 \h </w:instrText>
            </w:r>
            <w:r w:rsidR="005C47A4">
              <w:rPr>
                <w:noProof/>
                <w:webHidden/>
              </w:rPr>
            </w:r>
            <w:r w:rsidR="005C47A4">
              <w:rPr>
                <w:noProof/>
                <w:webHidden/>
              </w:rPr>
              <w:fldChar w:fldCharType="separate"/>
            </w:r>
            <w:r w:rsidR="004D7B96">
              <w:rPr>
                <w:noProof/>
                <w:webHidden/>
              </w:rPr>
              <w:t>85</w:t>
            </w:r>
            <w:r w:rsidR="005C47A4">
              <w:rPr>
                <w:noProof/>
                <w:webHidden/>
              </w:rPr>
              <w:fldChar w:fldCharType="end"/>
            </w:r>
          </w:hyperlink>
        </w:p>
        <w:p w14:paraId="33D54F50" w14:textId="177CF6BE"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367" w:history="1">
            <w:r w:rsidR="005C47A4" w:rsidRPr="006B7CE2">
              <w:rPr>
                <w:rStyle w:val="Lienhypertexte"/>
                <w:noProof/>
              </w:rPr>
              <w:t>12.6</w:t>
            </w:r>
            <w:r w:rsidR="005C47A4">
              <w:rPr>
                <w:rFonts w:eastAsiaTheme="minorEastAsia"/>
                <w:noProof/>
                <w:kern w:val="2"/>
                <w:lang w:eastAsia="fr-FR"/>
                <w14:ligatures w14:val="standardContextual"/>
              </w:rPr>
              <w:tab/>
            </w:r>
            <w:r w:rsidR="005C47A4" w:rsidRPr="006B7CE2">
              <w:rPr>
                <w:rStyle w:val="Lienhypertexte"/>
                <w:i/>
                <w:iCs/>
                <w:noProof/>
              </w:rPr>
              <w:t>Acacia seyal</w:t>
            </w:r>
            <w:r w:rsidR="005C47A4">
              <w:rPr>
                <w:noProof/>
                <w:webHidden/>
              </w:rPr>
              <w:tab/>
            </w:r>
            <w:r w:rsidR="005C47A4">
              <w:rPr>
                <w:noProof/>
                <w:webHidden/>
              </w:rPr>
              <w:fldChar w:fldCharType="begin"/>
            </w:r>
            <w:r w:rsidR="005C47A4">
              <w:rPr>
                <w:noProof/>
                <w:webHidden/>
              </w:rPr>
              <w:instrText xml:space="preserve"> PAGEREF _Toc139181367 \h </w:instrText>
            </w:r>
            <w:r w:rsidR="005C47A4">
              <w:rPr>
                <w:noProof/>
                <w:webHidden/>
              </w:rPr>
            </w:r>
            <w:r w:rsidR="005C47A4">
              <w:rPr>
                <w:noProof/>
                <w:webHidden/>
              </w:rPr>
              <w:fldChar w:fldCharType="separate"/>
            </w:r>
            <w:r w:rsidR="004D7B96">
              <w:rPr>
                <w:noProof/>
                <w:webHidden/>
              </w:rPr>
              <w:t>86</w:t>
            </w:r>
            <w:r w:rsidR="005C47A4">
              <w:rPr>
                <w:noProof/>
                <w:webHidden/>
              </w:rPr>
              <w:fldChar w:fldCharType="end"/>
            </w:r>
          </w:hyperlink>
        </w:p>
        <w:p w14:paraId="19506CAF" w14:textId="53D0B13B"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368" w:history="1">
            <w:r w:rsidR="005C47A4" w:rsidRPr="006B7CE2">
              <w:rPr>
                <w:rStyle w:val="Lienhypertexte"/>
                <w:noProof/>
                <w:lang w:val="es-AR"/>
              </w:rPr>
              <w:t>12.7</w:t>
            </w:r>
            <w:r w:rsidR="005C47A4">
              <w:rPr>
                <w:rFonts w:eastAsiaTheme="minorEastAsia"/>
                <w:noProof/>
                <w:kern w:val="2"/>
                <w:lang w:eastAsia="fr-FR"/>
                <w14:ligatures w14:val="standardContextual"/>
              </w:rPr>
              <w:tab/>
            </w:r>
            <w:r w:rsidR="005C47A4" w:rsidRPr="006B7CE2">
              <w:rPr>
                <w:rStyle w:val="Lienhypertexte"/>
                <w:i/>
                <w:iCs/>
                <w:noProof/>
                <w:lang w:val="es-AR"/>
              </w:rPr>
              <w:t>Faidherbia albida</w:t>
            </w:r>
            <w:r w:rsidR="005C47A4" w:rsidRPr="006B7CE2">
              <w:rPr>
                <w:rStyle w:val="Lienhypertexte"/>
                <w:noProof/>
                <w:lang w:val="es-AR"/>
              </w:rPr>
              <w:t> (Synonyme </w:t>
            </w:r>
            <w:r w:rsidR="005C47A4" w:rsidRPr="006B7CE2">
              <w:rPr>
                <w:rStyle w:val="Lienhypertexte"/>
                <w:i/>
                <w:iCs/>
                <w:noProof/>
                <w:lang w:val="es-AR"/>
              </w:rPr>
              <w:t>Acacia albida</w:t>
            </w:r>
            <w:r w:rsidR="005C47A4" w:rsidRPr="006B7CE2">
              <w:rPr>
                <w:rStyle w:val="Lienhypertexte"/>
                <w:noProof/>
                <w:lang w:val="es-AR"/>
              </w:rPr>
              <w:t>)</w:t>
            </w:r>
            <w:r w:rsidR="005C47A4">
              <w:rPr>
                <w:noProof/>
                <w:webHidden/>
              </w:rPr>
              <w:tab/>
            </w:r>
            <w:r w:rsidR="005C47A4">
              <w:rPr>
                <w:noProof/>
                <w:webHidden/>
              </w:rPr>
              <w:fldChar w:fldCharType="begin"/>
            </w:r>
            <w:r w:rsidR="005C47A4">
              <w:rPr>
                <w:noProof/>
                <w:webHidden/>
              </w:rPr>
              <w:instrText xml:space="preserve"> PAGEREF _Toc139181368 \h </w:instrText>
            </w:r>
            <w:r w:rsidR="005C47A4">
              <w:rPr>
                <w:noProof/>
                <w:webHidden/>
              </w:rPr>
            </w:r>
            <w:r w:rsidR="005C47A4">
              <w:rPr>
                <w:noProof/>
                <w:webHidden/>
              </w:rPr>
              <w:fldChar w:fldCharType="separate"/>
            </w:r>
            <w:r w:rsidR="004D7B96">
              <w:rPr>
                <w:noProof/>
                <w:webHidden/>
              </w:rPr>
              <w:t>87</w:t>
            </w:r>
            <w:r w:rsidR="005C47A4">
              <w:rPr>
                <w:noProof/>
                <w:webHidden/>
              </w:rPr>
              <w:fldChar w:fldCharType="end"/>
            </w:r>
          </w:hyperlink>
        </w:p>
        <w:p w14:paraId="3D662707" w14:textId="1A4AFAAA"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369" w:history="1">
            <w:r w:rsidR="005C47A4" w:rsidRPr="006B7CE2">
              <w:rPr>
                <w:rStyle w:val="Lienhypertexte"/>
                <w:noProof/>
              </w:rPr>
              <w:t>12.8</w:t>
            </w:r>
            <w:r w:rsidR="005C47A4">
              <w:rPr>
                <w:rFonts w:eastAsiaTheme="minorEastAsia"/>
                <w:noProof/>
                <w:kern w:val="2"/>
                <w:lang w:eastAsia="fr-FR"/>
                <w14:ligatures w14:val="standardContextual"/>
              </w:rPr>
              <w:tab/>
            </w:r>
            <w:r w:rsidR="005C47A4" w:rsidRPr="006B7CE2">
              <w:rPr>
                <w:rStyle w:val="Lienhypertexte"/>
                <w:i/>
                <w:iCs/>
                <w:noProof/>
              </w:rPr>
              <w:t>Acacia dudgeoni</w:t>
            </w:r>
            <w:r w:rsidR="005C47A4">
              <w:rPr>
                <w:noProof/>
                <w:webHidden/>
              </w:rPr>
              <w:tab/>
            </w:r>
            <w:r w:rsidR="005C47A4">
              <w:rPr>
                <w:noProof/>
                <w:webHidden/>
              </w:rPr>
              <w:fldChar w:fldCharType="begin"/>
            </w:r>
            <w:r w:rsidR="005C47A4">
              <w:rPr>
                <w:noProof/>
                <w:webHidden/>
              </w:rPr>
              <w:instrText xml:space="preserve"> PAGEREF _Toc139181369 \h </w:instrText>
            </w:r>
            <w:r w:rsidR="005C47A4">
              <w:rPr>
                <w:noProof/>
                <w:webHidden/>
              </w:rPr>
            </w:r>
            <w:r w:rsidR="005C47A4">
              <w:rPr>
                <w:noProof/>
                <w:webHidden/>
              </w:rPr>
              <w:fldChar w:fldCharType="separate"/>
            </w:r>
            <w:r w:rsidR="004D7B96">
              <w:rPr>
                <w:noProof/>
                <w:webHidden/>
              </w:rPr>
              <w:t>89</w:t>
            </w:r>
            <w:r w:rsidR="005C47A4">
              <w:rPr>
                <w:noProof/>
                <w:webHidden/>
              </w:rPr>
              <w:fldChar w:fldCharType="end"/>
            </w:r>
          </w:hyperlink>
        </w:p>
        <w:p w14:paraId="12F40CE4" w14:textId="2B906A40"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370" w:history="1">
            <w:r w:rsidR="005C47A4" w:rsidRPr="006B7CE2">
              <w:rPr>
                <w:rStyle w:val="Lienhypertexte"/>
                <w:noProof/>
              </w:rPr>
              <w:t>12.9</w:t>
            </w:r>
            <w:r w:rsidR="005C47A4">
              <w:rPr>
                <w:rFonts w:eastAsiaTheme="minorEastAsia"/>
                <w:noProof/>
                <w:kern w:val="2"/>
                <w:lang w:eastAsia="fr-FR"/>
                <w14:ligatures w14:val="standardContextual"/>
              </w:rPr>
              <w:tab/>
            </w:r>
            <w:r w:rsidR="005C47A4" w:rsidRPr="006B7CE2">
              <w:rPr>
                <w:rStyle w:val="Lienhypertexte"/>
                <w:i/>
                <w:iCs/>
                <w:noProof/>
              </w:rPr>
              <w:t>Acacia senegal</w:t>
            </w:r>
            <w:r w:rsidR="005C47A4" w:rsidRPr="006B7CE2">
              <w:rPr>
                <w:rStyle w:val="Lienhypertexte"/>
                <w:noProof/>
              </w:rPr>
              <w:t xml:space="preserve"> ou </w:t>
            </w:r>
            <w:r w:rsidR="005C47A4" w:rsidRPr="006B7CE2">
              <w:rPr>
                <w:rStyle w:val="Lienhypertexte"/>
                <w:i/>
                <w:iCs/>
                <w:noProof/>
              </w:rPr>
              <w:t>Senegalia senegal</w:t>
            </w:r>
            <w:r w:rsidR="005C47A4">
              <w:rPr>
                <w:noProof/>
                <w:webHidden/>
              </w:rPr>
              <w:tab/>
            </w:r>
            <w:r w:rsidR="005C47A4">
              <w:rPr>
                <w:noProof/>
                <w:webHidden/>
              </w:rPr>
              <w:fldChar w:fldCharType="begin"/>
            </w:r>
            <w:r w:rsidR="005C47A4">
              <w:rPr>
                <w:noProof/>
                <w:webHidden/>
              </w:rPr>
              <w:instrText xml:space="preserve"> PAGEREF _Toc139181370 \h </w:instrText>
            </w:r>
            <w:r w:rsidR="005C47A4">
              <w:rPr>
                <w:noProof/>
                <w:webHidden/>
              </w:rPr>
            </w:r>
            <w:r w:rsidR="005C47A4">
              <w:rPr>
                <w:noProof/>
                <w:webHidden/>
              </w:rPr>
              <w:fldChar w:fldCharType="separate"/>
            </w:r>
            <w:r w:rsidR="004D7B96">
              <w:rPr>
                <w:noProof/>
                <w:webHidden/>
              </w:rPr>
              <w:t>90</w:t>
            </w:r>
            <w:r w:rsidR="005C47A4">
              <w:rPr>
                <w:noProof/>
                <w:webHidden/>
              </w:rPr>
              <w:fldChar w:fldCharType="end"/>
            </w:r>
          </w:hyperlink>
        </w:p>
        <w:p w14:paraId="379F3609" w14:textId="2D3886D5" w:rsidR="005C47A4" w:rsidRDefault="00000000">
          <w:pPr>
            <w:pStyle w:val="TM2"/>
            <w:tabs>
              <w:tab w:val="left" w:pos="1100"/>
              <w:tab w:val="right" w:leader="dot" w:pos="10416"/>
            </w:tabs>
            <w:rPr>
              <w:rFonts w:eastAsiaTheme="minorEastAsia"/>
              <w:noProof/>
              <w:kern w:val="2"/>
              <w:lang w:eastAsia="fr-FR"/>
              <w14:ligatures w14:val="standardContextual"/>
            </w:rPr>
          </w:pPr>
          <w:hyperlink w:anchor="_Toc139181371" w:history="1">
            <w:r w:rsidR="005C47A4" w:rsidRPr="006B7CE2">
              <w:rPr>
                <w:rStyle w:val="Lienhypertexte"/>
                <w:noProof/>
                <w:lang w:val="en-GB"/>
              </w:rPr>
              <w:t>12.10</w:t>
            </w:r>
            <w:r w:rsidR="005C47A4">
              <w:rPr>
                <w:rFonts w:eastAsiaTheme="minorEastAsia"/>
                <w:noProof/>
                <w:kern w:val="2"/>
                <w:lang w:eastAsia="fr-FR"/>
                <w14:ligatures w14:val="standardContextual"/>
              </w:rPr>
              <w:tab/>
            </w:r>
            <w:r w:rsidR="005C47A4" w:rsidRPr="006B7CE2">
              <w:rPr>
                <w:rStyle w:val="Lienhypertexte"/>
                <w:noProof/>
                <w:lang w:val="en-GB"/>
              </w:rPr>
              <w:t>Arbre Salam (</w:t>
            </w:r>
            <w:r w:rsidR="005C47A4" w:rsidRPr="006B7CE2">
              <w:rPr>
                <w:rStyle w:val="Lienhypertexte"/>
                <w:i/>
                <w:iCs/>
                <w:noProof/>
                <w:lang w:val="en-GB"/>
              </w:rPr>
              <w:t>Acacia ehrenbergiana</w:t>
            </w:r>
            <w:r w:rsidR="005C47A4" w:rsidRPr="006B7CE2">
              <w:rPr>
                <w:rStyle w:val="Lienhypertexte"/>
                <w:noProof/>
                <w:lang w:val="en-GB"/>
              </w:rPr>
              <w:t>)</w:t>
            </w:r>
            <w:r w:rsidR="005C47A4">
              <w:rPr>
                <w:noProof/>
                <w:webHidden/>
              </w:rPr>
              <w:tab/>
            </w:r>
            <w:r w:rsidR="005C47A4">
              <w:rPr>
                <w:noProof/>
                <w:webHidden/>
              </w:rPr>
              <w:fldChar w:fldCharType="begin"/>
            </w:r>
            <w:r w:rsidR="005C47A4">
              <w:rPr>
                <w:noProof/>
                <w:webHidden/>
              </w:rPr>
              <w:instrText xml:space="preserve"> PAGEREF _Toc139181371 \h </w:instrText>
            </w:r>
            <w:r w:rsidR="005C47A4">
              <w:rPr>
                <w:noProof/>
                <w:webHidden/>
              </w:rPr>
            </w:r>
            <w:r w:rsidR="005C47A4">
              <w:rPr>
                <w:noProof/>
                <w:webHidden/>
              </w:rPr>
              <w:fldChar w:fldCharType="separate"/>
            </w:r>
            <w:r w:rsidR="004D7B96">
              <w:rPr>
                <w:noProof/>
                <w:webHidden/>
              </w:rPr>
              <w:t>91</w:t>
            </w:r>
            <w:r w:rsidR="005C47A4">
              <w:rPr>
                <w:noProof/>
                <w:webHidden/>
              </w:rPr>
              <w:fldChar w:fldCharType="end"/>
            </w:r>
          </w:hyperlink>
        </w:p>
        <w:p w14:paraId="71E8BB60" w14:textId="56619774" w:rsidR="005C47A4" w:rsidRDefault="00000000">
          <w:pPr>
            <w:pStyle w:val="TM2"/>
            <w:tabs>
              <w:tab w:val="left" w:pos="1100"/>
              <w:tab w:val="right" w:leader="dot" w:pos="10416"/>
            </w:tabs>
            <w:rPr>
              <w:rFonts w:eastAsiaTheme="minorEastAsia"/>
              <w:noProof/>
              <w:kern w:val="2"/>
              <w:lang w:eastAsia="fr-FR"/>
              <w14:ligatures w14:val="standardContextual"/>
            </w:rPr>
          </w:pPr>
          <w:hyperlink w:anchor="_Toc139181372" w:history="1">
            <w:r w:rsidR="005C47A4" w:rsidRPr="006B7CE2">
              <w:rPr>
                <w:rStyle w:val="Lienhypertexte"/>
                <w:noProof/>
              </w:rPr>
              <w:t>12.11</w:t>
            </w:r>
            <w:r w:rsidR="005C47A4">
              <w:rPr>
                <w:rFonts w:eastAsiaTheme="minorEastAsia"/>
                <w:noProof/>
                <w:kern w:val="2"/>
                <w:lang w:eastAsia="fr-FR"/>
                <w14:ligatures w14:val="standardContextual"/>
              </w:rPr>
              <w:tab/>
            </w:r>
            <w:r w:rsidR="005C47A4" w:rsidRPr="006B7CE2">
              <w:rPr>
                <w:rStyle w:val="Lienhypertexte"/>
                <w:i/>
                <w:iCs/>
                <w:noProof/>
              </w:rPr>
              <w:t>Acacia ampliceps</w:t>
            </w:r>
            <w:r w:rsidR="005C47A4">
              <w:rPr>
                <w:noProof/>
                <w:webHidden/>
              </w:rPr>
              <w:tab/>
            </w:r>
            <w:r w:rsidR="005C47A4">
              <w:rPr>
                <w:noProof/>
                <w:webHidden/>
              </w:rPr>
              <w:fldChar w:fldCharType="begin"/>
            </w:r>
            <w:r w:rsidR="005C47A4">
              <w:rPr>
                <w:noProof/>
                <w:webHidden/>
              </w:rPr>
              <w:instrText xml:space="preserve"> PAGEREF _Toc139181372 \h </w:instrText>
            </w:r>
            <w:r w:rsidR="005C47A4">
              <w:rPr>
                <w:noProof/>
                <w:webHidden/>
              </w:rPr>
            </w:r>
            <w:r w:rsidR="005C47A4">
              <w:rPr>
                <w:noProof/>
                <w:webHidden/>
              </w:rPr>
              <w:fldChar w:fldCharType="separate"/>
            </w:r>
            <w:r w:rsidR="004D7B96">
              <w:rPr>
                <w:noProof/>
                <w:webHidden/>
              </w:rPr>
              <w:t>92</w:t>
            </w:r>
            <w:r w:rsidR="005C47A4">
              <w:rPr>
                <w:noProof/>
                <w:webHidden/>
              </w:rPr>
              <w:fldChar w:fldCharType="end"/>
            </w:r>
          </w:hyperlink>
        </w:p>
        <w:p w14:paraId="0869565A" w14:textId="7C2C9448" w:rsidR="005C47A4" w:rsidRDefault="00000000">
          <w:pPr>
            <w:pStyle w:val="TM2"/>
            <w:tabs>
              <w:tab w:val="left" w:pos="1100"/>
              <w:tab w:val="right" w:leader="dot" w:pos="10416"/>
            </w:tabs>
            <w:rPr>
              <w:rFonts w:eastAsiaTheme="minorEastAsia"/>
              <w:noProof/>
              <w:kern w:val="2"/>
              <w:lang w:eastAsia="fr-FR"/>
              <w14:ligatures w14:val="standardContextual"/>
            </w:rPr>
          </w:pPr>
          <w:hyperlink w:anchor="_Toc139181373" w:history="1">
            <w:r w:rsidR="005C47A4" w:rsidRPr="006B7CE2">
              <w:rPr>
                <w:rStyle w:val="Lienhypertexte"/>
                <w:noProof/>
              </w:rPr>
              <w:t>12.12</w:t>
            </w:r>
            <w:r w:rsidR="005C47A4">
              <w:rPr>
                <w:rFonts w:eastAsiaTheme="minorEastAsia"/>
                <w:noProof/>
                <w:kern w:val="2"/>
                <w:lang w:eastAsia="fr-FR"/>
                <w14:ligatures w14:val="standardContextual"/>
              </w:rPr>
              <w:tab/>
            </w:r>
            <w:r w:rsidR="005C47A4" w:rsidRPr="006B7CE2">
              <w:rPr>
                <w:rStyle w:val="Lienhypertexte"/>
                <w:i/>
                <w:iCs/>
                <w:noProof/>
              </w:rPr>
              <w:t>Bauhinia rufescens</w:t>
            </w:r>
            <w:r w:rsidR="005C47A4">
              <w:rPr>
                <w:noProof/>
                <w:webHidden/>
              </w:rPr>
              <w:tab/>
            </w:r>
            <w:r w:rsidR="005C47A4">
              <w:rPr>
                <w:noProof/>
                <w:webHidden/>
              </w:rPr>
              <w:fldChar w:fldCharType="begin"/>
            </w:r>
            <w:r w:rsidR="005C47A4">
              <w:rPr>
                <w:noProof/>
                <w:webHidden/>
              </w:rPr>
              <w:instrText xml:space="preserve"> PAGEREF _Toc139181373 \h </w:instrText>
            </w:r>
            <w:r w:rsidR="005C47A4">
              <w:rPr>
                <w:noProof/>
                <w:webHidden/>
              </w:rPr>
            </w:r>
            <w:r w:rsidR="005C47A4">
              <w:rPr>
                <w:noProof/>
                <w:webHidden/>
              </w:rPr>
              <w:fldChar w:fldCharType="separate"/>
            </w:r>
            <w:r w:rsidR="004D7B96">
              <w:rPr>
                <w:noProof/>
                <w:webHidden/>
              </w:rPr>
              <w:t>93</w:t>
            </w:r>
            <w:r w:rsidR="005C47A4">
              <w:rPr>
                <w:noProof/>
                <w:webHidden/>
              </w:rPr>
              <w:fldChar w:fldCharType="end"/>
            </w:r>
          </w:hyperlink>
        </w:p>
        <w:p w14:paraId="4C227391" w14:textId="4C924D1A" w:rsidR="005C47A4" w:rsidRDefault="00000000">
          <w:pPr>
            <w:pStyle w:val="TM2"/>
            <w:tabs>
              <w:tab w:val="left" w:pos="1100"/>
              <w:tab w:val="right" w:leader="dot" w:pos="10416"/>
            </w:tabs>
            <w:rPr>
              <w:rFonts w:eastAsiaTheme="minorEastAsia"/>
              <w:noProof/>
              <w:kern w:val="2"/>
              <w:lang w:eastAsia="fr-FR"/>
              <w14:ligatures w14:val="standardContextual"/>
            </w:rPr>
          </w:pPr>
          <w:hyperlink w:anchor="_Toc139181374" w:history="1">
            <w:r w:rsidR="005C47A4" w:rsidRPr="006B7CE2">
              <w:rPr>
                <w:rStyle w:val="Lienhypertexte"/>
                <w:noProof/>
              </w:rPr>
              <w:t>12.13</w:t>
            </w:r>
            <w:r w:rsidR="005C47A4">
              <w:rPr>
                <w:rFonts w:eastAsiaTheme="minorEastAsia"/>
                <w:noProof/>
                <w:kern w:val="2"/>
                <w:lang w:eastAsia="fr-FR"/>
                <w14:ligatures w14:val="standardContextual"/>
              </w:rPr>
              <w:tab/>
            </w:r>
            <w:r w:rsidR="005C47A4" w:rsidRPr="006B7CE2">
              <w:rPr>
                <w:rStyle w:val="Lienhypertexte"/>
                <w:noProof/>
              </w:rPr>
              <w:t>Arbre pilon ou Casse du Sénégal (</w:t>
            </w:r>
            <w:r w:rsidR="005C47A4" w:rsidRPr="006B7CE2">
              <w:rPr>
                <w:rStyle w:val="Lienhypertexte"/>
                <w:i/>
                <w:iCs/>
                <w:noProof/>
              </w:rPr>
              <w:t>Cassia sieberiana</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_Toc139181374 \h </w:instrText>
            </w:r>
            <w:r w:rsidR="005C47A4">
              <w:rPr>
                <w:noProof/>
                <w:webHidden/>
              </w:rPr>
            </w:r>
            <w:r w:rsidR="005C47A4">
              <w:rPr>
                <w:noProof/>
                <w:webHidden/>
              </w:rPr>
              <w:fldChar w:fldCharType="separate"/>
            </w:r>
            <w:r w:rsidR="004D7B96">
              <w:rPr>
                <w:noProof/>
                <w:webHidden/>
              </w:rPr>
              <w:t>95</w:t>
            </w:r>
            <w:r w:rsidR="005C47A4">
              <w:rPr>
                <w:noProof/>
                <w:webHidden/>
              </w:rPr>
              <w:fldChar w:fldCharType="end"/>
            </w:r>
          </w:hyperlink>
        </w:p>
        <w:p w14:paraId="60B85658" w14:textId="0363A17F" w:rsidR="005C47A4" w:rsidRDefault="00000000">
          <w:pPr>
            <w:pStyle w:val="TM2"/>
            <w:tabs>
              <w:tab w:val="left" w:pos="1100"/>
              <w:tab w:val="right" w:leader="dot" w:pos="10416"/>
            </w:tabs>
            <w:rPr>
              <w:rFonts w:eastAsiaTheme="minorEastAsia"/>
              <w:noProof/>
              <w:kern w:val="2"/>
              <w:lang w:eastAsia="fr-FR"/>
              <w14:ligatures w14:val="standardContextual"/>
            </w:rPr>
          </w:pPr>
          <w:hyperlink w:anchor="_Toc139181375" w:history="1">
            <w:r w:rsidR="005C47A4" w:rsidRPr="006B7CE2">
              <w:rPr>
                <w:rStyle w:val="Lienhypertexte"/>
                <w:noProof/>
              </w:rPr>
              <w:t>12.14</w:t>
            </w:r>
            <w:r w:rsidR="005C47A4">
              <w:rPr>
                <w:rFonts w:eastAsiaTheme="minorEastAsia"/>
                <w:noProof/>
                <w:kern w:val="2"/>
                <w:lang w:eastAsia="fr-FR"/>
                <w14:ligatures w14:val="standardContextual"/>
              </w:rPr>
              <w:tab/>
            </w:r>
            <w:r w:rsidR="005C47A4" w:rsidRPr="006B7CE2">
              <w:rPr>
                <w:rStyle w:val="Lienhypertexte"/>
                <w:noProof/>
              </w:rPr>
              <w:t>Mopane ou Mopani (Colophospermum mopane)</w:t>
            </w:r>
            <w:r w:rsidR="005C47A4">
              <w:rPr>
                <w:noProof/>
                <w:webHidden/>
              </w:rPr>
              <w:tab/>
            </w:r>
            <w:r w:rsidR="005C47A4">
              <w:rPr>
                <w:noProof/>
                <w:webHidden/>
              </w:rPr>
              <w:fldChar w:fldCharType="begin"/>
            </w:r>
            <w:r w:rsidR="005C47A4">
              <w:rPr>
                <w:noProof/>
                <w:webHidden/>
              </w:rPr>
              <w:instrText xml:space="preserve"> PAGEREF _Toc139181375 \h </w:instrText>
            </w:r>
            <w:r w:rsidR="005C47A4">
              <w:rPr>
                <w:noProof/>
                <w:webHidden/>
              </w:rPr>
            </w:r>
            <w:r w:rsidR="005C47A4">
              <w:rPr>
                <w:noProof/>
                <w:webHidden/>
              </w:rPr>
              <w:fldChar w:fldCharType="separate"/>
            </w:r>
            <w:r w:rsidR="004D7B96">
              <w:rPr>
                <w:noProof/>
                <w:webHidden/>
              </w:rPr>
              <w:t>96</w:t>
            </w:r>
            <w:r w:rsidR="005C47A4">
              <w:rPr>
                <w:noProof/>
                <w:webHidden/>
              </w:rPr>
              <w:fldChar w:fldCharType="end"/>
            </w:r>
          </w:hyperlink>
        </w:p>
        <w:p w14:paraId="1AD5518D" w14:textId="7E78B3C0" w:rsidR="005C47A4" w:rsidRDefault="00000000">
          <w:pPr>
            <w:pStyle w:val="TM2"/>
            <w:tabs>
              <w:tab w:val="left" w:pos="1100"/>
              <w:tab w:val="right" w:leader="dot" w:pos="10416"/>
            </w:tabs>
            <w:rPr>
              <w:rFonts w:eastAsiaTheme="minorEastAsia"/>
              <w:noProof/>
              <w:kern w:val="2"/>
              <w:lang w:eastAsia="fr-FR"/>
              <w14:ligatures w14:val="standardContextual"/>
            </w:rPr>
          </w:pPr>
          <w:hyperlink w:anchor="_Toc139181376" w:history="1">
            <w:r w:rsidR="005C47A4" w:rsidRPr="006B7CE2">
              <w:rPr>
                <w:rStyle w:val="Lienhypertexte"/>
                <w:noProof/>
              </w:rPr>
              <w:t>12.15</w:t>
            </w:r>
            <w:r w:rsidR="005C47A4">
              <w:rPr>
                <w:rFonts w:eastAsiaTheme="minorEastAsia"/>
                <w:noProof/>
                <w:kern w:val="2"/>
                <w:lang w:eastAsia="fr-FR"/>
                <w14:ligatures w14:val="standardContextual"/>
              </w:rPr>
              <w:tab/>
            </w:r>
            <w:r w:rsidR="005C47A4" w:rsidRPr="006B7CE2">
              <w:rPr>
                <w:rStyle w:val="Lienhypertexte"/>
                <w:noProof/>
              </w:rPr>
              <w:t>Karanj ou arbre de pongolote (</w:t>
            </w:r>
            <w:r w:rsidR="005C47A4" w:rsidRPr="006B7CE2">
              <w:rPr>
                <w:rStyle w:val="Lienhypertexte"/>
                <w:i/>
                <w:iCs/>
                <w:noProof/>
              </w:rPr>
              <w:t>Millettia pinnata</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_Toc139181376 \h </w:instrText>
            </w:r>
            <w:r w:rsidR="005C47A4">
              <w:rPr>
                <w:noProof/>
                <w:webHidden/>
              </w:rPr>
            </w:r>
            <w:r w:rsidR="005C47A4">
              <w:rPr>
                <w:noProof/>
                <w:webHidden/>
              </w:rPr>
              <w:fldChar w:fldCharType="separate"/>
            </w:r>
            <w:r w:rsidR="004D7B96">
              <w:rPr>
                <w:noProof/>
                <w:webHidden/>
              </w:rPr>
              <w:t>97</w:t>
            </w:r>
            <w:r w:rsidR="005C47A4">
              <w:rPr>
                <w:noProof/>
                <w:webHidden/>
              </w:rPr>
              <w:fldChar w:fldCharType="end"/>
            </w:r>
          </w:hyperlink>
        </w:p>
        <w:p w14:paraId="04A65110" w14:textId="231A17DE" w:rsidR="005C47A4" w:rsidRDefault="00000000">
          <w:pPr>
            <w:pStyle w:val="TM2"/>
            <w:tabs>
              <w:tab w:val="left" w:pos="1100"/>
              <w:tab w:val="right" w:leader="dot" w:pos="10416"/>
            </w:tabs>
            <w:rPr>
              <w:rFonts w:eastAsiaTheme="minorEastAsia"/>
              <w:noProof/>
              <w:kern w:val="2"/>
              <w:lang w:eastAsia="fr-FR"/>
              <w14:ligatures w14:val="standardContextual"/>
            </w:rPr>
          </w:pPr>
          <w:hyperlink w:anchor="_Toc139181377" w:history="1">
            <w:r w:rsidR="005C47A4" w:rsidRPr="006B7CE2">
              <w:rPr>
                <w:rStyle w:val="Lienhypertexte"/>
                <w:noProof/>
                <w:lang w:val="es-AR"/>
              </w:rPr>
              <w:t>12.16</w:t>
            </w:r>
            <w:r w:rsidR="005C47A4">
              <w:rPr>
                <w:rFonts w:eastAsiaTheme="minorEastAsia"/>
                <w:noProof/>
                <w:kern w:val="2"/>
                <w:lang w:eastAsia="fr-FR"/>
                <w14:ligatures w14:val="standardContextual"/>
              </w:rPr>
              <w:tab/>
            </w:r>
            <w:r w:rsidR="005C47A4" w:rsidRPr="006B7CE2">
              <w:rPr>
                <w:rStyle w:val="Lienhypertexte"/>
                <w:noProof/>
                <w:lang w:val="es-AR"/>
              </w:rPr>
              <w:t>Paulownia hybride (</w:t>
            </w:r>
            <w:r w:rsidR="005C47A4" w:rsidRPr="006B7CE2">
              <w:rPr>
                <w:rStyle w:val="Lienhypertexte"/>
                <w:i/>
                <w:iCs/>
                <w:noProof/>
                <w:lang w:val="es-AR"/>
              </w:rPr>
              <w:t>Paulownia elongata</w:t>
            </w:r>
            <w:r w:rsidR="005C47A4" w:rsidRPr="006B7CE2">
              <w:rPr>
                <w:rStyle w:val="Lienhypertexte"/>
                <w:noProof/>
                <w:lang w:val="es-AR"/>
              </w:rPr>
              <w:t xml:space="preserve"> x </w:t>
            </w:r>
            <w:r w:rsidR="005C47A4" w:rsidRPr="006B7CE2">
              <w:rPr>
                <w:rStyle w:val="Lienhypertexte"/>
                <w:i/>
                <w:iCs/>
                <w:noProof/>
                <w:lang w:val="es-AR"/>
              </w:rPr>
              <w:t>fortunei</w:t>
            </w:r>
            <w:r w:rsidR="005C47A4" w:rsidRPr="006B7CE2">
              <w:rPr>
                <w:rStyle w:val="Lienhypertexte"/>
                <w:noProof/>
                <w:lang w:val="es-AR"/>
              </w:rPr>
              <w:t xml:space="preserve"> x </w:t>
            </w:r>
            <w:r w:rsidR="005C47A4" w:rsidRPr="006B7CE2">
              <w:rPr>
                <w:rStyle w:val="Lienhypertexte"/>
                <w:i/>
                <w:iCs/>
                <w:noProof/>
                <w:lang w:val="es-AR"/>
              </w:rPr>
              <w:t>elongata</w:t>
            </w:r>
            <w:r w:rsidR="005C47A4" w:rsidRPr="006B7CE2">
              <w:rPr>
                <w:rStyle w:val="Lienhypertexte"/>
                <w:noProof/>
                <w:lang w:val="es-AR"/>
              </w:rPr>
              <w:t>).</w:t>
            </w:r>
            <w:r w:rsidR="005C47A4">
              <w:rPr>
                <w:noProof/>
                <w:webHidden/>
              </w:rPr>
              <w:tab/>
            </w:r>
            <w:r w:rsidR="005C47A4">
              <w:rPr>
                <w:noProof/>
                <w:webHidden/>
              </w:rPr>
              <w:fldChar w:fldCharType="begin"/>
            </w:r>
            <w:r w:rsidR="005C47A4">
              <w:rPr>
                <w:noProof/>
                <w:webHidden/>
              </w:rPr>
              <w:instrText xml:space="preserve"> PAGEREF _Toc139181377 \h </w:instrText>
            </w:r>
            <w:r w:rsidR="005C47A4">
              <w:rPr>
                <w:noProof/>
                <w:webHidden/>
              </w:rPr>
            </w:r>
            <w:r w:rsidR="005C47A4">
              <w:rPr>
                <w:noProof/>
                <w:webHidden/>
              </w:rPr>
              <w:fldChar w:fldCharType="separate"/>
            </w:r>
            <w:r w:rsidR="004D7B96">
              <w:rPr>
                <w:noProof/>
                <w:webHidden/>
              </w:rPr>
              <w:t>98</w:t>
            </w:r>
            <w:r w:rsidR="005C47A4">
              <w:rPr>
                <w:noProof/>
                <w:webHidden/>
              </w:rPr>
              <w:fldChar w:fldCharType="end"/>
            </w:r>
          </w:hyperlink>
        </w:p>
        <w:p w14:paraId="7B80872F" w14:textId="4E138A5C" w:rsidR="005C47A4" w:rsidRDefault="00000000">
          <w:pPr>
            <w:pStyle w:val="TM1"/>
            <w:tabs>
              <w:tab w:val="left" w:pos="660"/>
              <w:tab w:val="right" w:leader="dot" w:pos="10416"/>
            </w:tabs>
            <w:rPr>
              <w:rFonts w:eastAsiaTheme="minorEastAsia"/>
              <w:noProof/>
              <w:kern w:val="2"/>
              <w:lang w:eastAsia="fr-FR"/>
              <w14:ligatures w14:val="standardContextual"/>
            </w:rPr>
          </w:pPr>
          <w:hyperlink w:anchor="_Toc139181378" w:history="1">
            <w:r w:rsidR="005C47A4" w:rsidRPr="006B7CE2">
              <w:rPr>
                <w:rStyle w:val="Lienhypertexte"/>
                <w:noProof/>
              </w:rPr>
              <w:t>13</w:t>
            </w:r>
            <w:r w:rsidR="005C47A4">
              <w:rPr>
                <w:rFonts w:eastAsiaTheme="minorEastAsia"/>
                <w:noProof/>
                <w:kern w:val="2"/>
                <w:lang w:eastAsia="fr-FR"/>
                <w14:ligatures w14:val="standardContextual"/>
              </w:rPr>
              <w:tab/>
            </w:r>
            <w:r w:rsidR="005C47A4" w:rsidRPr="006B7CE2">
              <w:rPr>
                <w:rStyle w:val="Lienhypertexte"/>
                <w:noProof/>
              </w:rPr>
              <w:t>Arbustes résistants à la sécheresse et/ou aux sols salins</w:t>
            </w:r>
            <w:r w:rsidR="005C47A4">
              <w:rPr>
                <w:noProof/>
                <w:webHidden/>
              </w:rPr>
              <w:tab/>
            </w:r>
            <w:r w:rsidR="005C47A4">
              <w:rPr>
                <w:noProof/>
                <w:webHidden/>
              </w:rPr>
              <w:fldChar w:fldCharType="begin"/>
            </w:r>
            <w:r w:rsidR="005C47A4">
              <w:rPr>
                <w:noProof/>
                <w:webHidden/>
              </w:rPr>
              <w:instrText xml:space="preserve"> PAGEREF _Toc139181378 \h </w:instrText>
            </w:r>
            <w:r w:rsidR="005C47A4">
              <w:rPr>
                <w:noProof/>
                <w:webHidden/>
              </w:rPr>
            </w:r>
            <w:r w:rsidR="005C47A4">
              <w:rPr>
                <w:noProof/>
                <w:webHidden/>
              </w:rPr>
              <w:fldChar w:fldCharType="separate"/>
            </w:r>
            <w:r w:rsidR="004D7B96">
              <w:rPr>
                <w:noProof/>
                <w:webHidden/>
              </w:rPr>
              <w:t>99</w:t>
            </w:r>
            <w:r w:rsidR="005C47A4">
              <w:rPr>
                <w:noProof/>
                <w:webHidden/>
              </w:rPr>
              <w:fldChar w:fldCharType="end"/>
            </w:r>
          </w:hyperlink>
        </w:p>
        <w:p w14:paraId="0CCF1502" w14:textId="17663611"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379" w:history="1">
            <w:r w:rsidR="005C47A4" w:rsidRPr="006B7CE2">
              <w:rPr>
                <w:rStyle w:val="Lienhypertexte"/>
                <w:noProof/>
              </w:rPr>
              <w:t>13.1</w:t>
            </w:r>
            <w:r w:rsidR="005C47A4">
              <w:rPr>
                <w:rFonts w:eastAsiaTheme="minorEastAsia"/>
                <w:noProof/>
                <w:kern w:val="2"/>
                <w:lang w:eastAsia="fr-FR"/>
                <w14:ligatures w14:val="standardContextual"/>
              </w:rPr>
              <w:tab/>
            </w:r>
            <w:r w:rsidR="005C47A4" w:rsidRPr="006B7CE2">
              <w:rPr>
                <w:rStyle w:val="Lienhypertexte"/>
                <w:noProof/>
              </w:rPr>
              <w:t>Jojoba (</w:t>
            </w:r>
            <w:r w:rsidR="005C47A4" w:rsidRPr="006B7CE2">
              <w:rPr>
                <w:rStyle w:val="Lienhypertexte"/>
                <w:i/>
                <w:iCs/>
                <w:noProof/>
              </w:rPr>
              <w:t>Simmondsia chinensis</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_Toc139181379 \h </w:instrText>
            </w:r>
            <w:r w:rsidR="005C47A4">
              <w:rPr>
                <w:noProof/>
                <w:webHidden/>
              </w:rPr>
            </w:r>
            <w:r w:rsidR="005C47A4">
              <w:rPr>
                <w:noProof/>
                <w:webHidden/>
              </w:rPr>
              <w:fldChar w:fldCharType="separate"/>
            </w:r>
            <w:r w:rsidR="004D7B96">
              <w:rPr>
                <w:noProof/>
                <w:webHidden/>
              </w:rPr>
              <w:t>99</w:t>
            </w:r>
            <w:r w:rsidR="005C47A4">
              <w:rPr>
                <w:noProof/>
                <w:webHidden/>
              </w:rPr>
              <w:fldChar w:fldCharType="end"/>
            </w:r>
          </w:hyperlink>
        </w:p>
        <w:p w14:paraId="7F6595CF" w14:textId="55137FB7"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380" w:history="1">
            <w:r w:rsidR="005C47A4" w:rsidRPr="006B7CE2">
              <w:rPr>
                <w:rStyle w:val="Lienhypertexte"/>
                <w:noProof/>
              </w:rPr>
              <w:t>13.2</w:t>
            </w:r>
            <w:r w:rsidR="005C47A4">
              <w:rPr>
                <w:rFonts w:eastAsiaTheme="minorEastAsia"/>
                <w:noProof/>
                <w:kern w:val="2"/>
                <w:lang w:eastAsia="fr-FR"/>
                <w14:ligatures w14:val="standardContextual"/>
              </w:rPr>
              <w:tab/>
            </w:r>
            <w:r w:rsidR="005C47A4" w:rsidRPr="006B7CE2">
              <w:rPr>
                <w:rStyle w:val="Lienhypertexte"/>
                <w:noProof/>
              </w:rPr>
              <w:t>Arroche halime, pourpier de mer ou arroche marine (</w:t>
            </w:r>
            <w:r w:rsidR="005C47A4" w:rsidRPr="006B7CE2">
              <w:rPr>
                <w:rStyle w:val="Lienhypertexte"/>
                <w:i/>
                <w:iCs/>
                <w:noProof/>
              </w:rPr>
              <w:t>Atriplex halimus</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_Toc139181380 \h </w:instrText>
            </w:r>
            <w:r w:rsidR="005C47A4">
              <w:rPr>
                <w:noProof/>
                <w:webHidden/>
              </w:rPr>
            </w:r>
            <w:r w:rsidR="005C47A4">
              <w:rPr>
                <w:noProof/>
                <w:webHidden/>
              </w:rPr>
              <w:fldChar w:fldCharType="separate"/>
            </w:r>
            <w:r w:rsidR="004D7B96">
              <w:rPr>
                <w:noProof/>
                <w:webHidden/>
              </w:rPr>
              <w:t>100</w:t>
            </w:r>
            <w:r w:rsidR="005C47A4">
              <w:rPr>
                <w:noProof/>
                <w:webHidden/>
              </w:rPr>
              <w:fldChar w:fldCharType="end"/>
            </w:r>
          </w:hyperlink>
        </w:p>
        <w:p w14:paraId="77312D38" w14:textId="65867C94"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381" w:history="1">
            <w:r w:rsidR="005C47A4" w:rsidRPr="006B7CE2">
              <w:rPr>
                <w:rStyle w:val="Lienhypertexte"/>
                <w:noProof/>
              </w:rPr>
              <w:t>13.3</w:t>
            </w:r>
            <w:r w:rsidR="005C47A4">
              <w:rPr>
                <w:rFonts w:eastAsiaTheme="minorEastAsia"/>
                <w:noProof/>
                <w:kern w:val="2"/>
                <w:lang w:eastAsia="fr-FR"/>
                <w14:ligatures w14:val="standardContextual"/>
              </w:rPr>
              <w:tab/>
            </w:r>
            <w:r w:rsidR="005C47A4" w:rsidRPr="006B7CE2">
              <w:rPr>
                <w:rStyle w:val="Lienhypertexte"/>
                <w:noProof/>
              </w:rPr>
              <w:t>Grande arroche (</w:t>
            </w:r>
            <w:r w:rsidR="005C47A4" w:rsidRPr="006B7CE2">
              <w:rPr>
                <w:rStyle w:val="Lienhypertexte"/>
                <w:i/>
                <w:iCs/>
                <w:noProof/>
              </w:rPr>
              <w:t>Atriplex lentiformis</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_Toc139181381 \h </w:instrText>
            </w:r>
            <w:r w:rsidR="005C47A4">
              <w:rPr>
                <w:noProof/>
                <w:webHidden/>
              </w:rPr>
            </w:r>
            <w:r w:rsidR="005C47A4">
              <w:rPr>
                <w:noProof/>
                <w:webHidden/>
              </w:rPr>
              <w:fldChar w:fldCharType="separate"/>
            </w:r>
            <w:r w:rsidR="004D7B96">
              <w:rPr>
                <w:noProof/>
                <w:webHidden/>
              </w:rPr>
              <w:t>101</w:t>
            </w:r>
            <w:r w:rsidR="005C47A4">
              <w:rPr>
                <w:noProof/>
                <w:webHidden/>
              </w:rPr>
              <w:fldChar w:fldCharType="end"/>
            </w:r>
          </w:hyperlink>
        </w:p>
        <w:p w14:paraId="34A0A379" w14:textId="3271C049"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382" w:history="1">
            <w:r w:rsidR="005C47A4" w:rsidRPr="006B7CE2">
              <w:rPr>
                <w:rStyle w:val="Lienhypertexte"/>
                <w:noProof/>
              </w:rPr>
              <w:t>13.4</w:t>
            </w:r>
            <w:r w:rsidR="005C47A4">
              <w:rPr>
                <w:rFonts w:eastAsiaTheme="minorEastAsia"/>
                <w:noProof/>
                <w:kern w:val="2"/>
                <w:lang w:eastAsia="fr-FR"/>
                <w14:ligatures w14:val="standardContextual"/>
              </w:rPr>
              <w:tab/>
            </w:r>
            <w:r w:rsidR="005C47A4" w:rsidRPr="006B7CE2">
              <w:rPr>
                <w:rStyle w:val="Lienhypertexte"/>
                <w:i/>
                <w:iCs/>
                <w:noProof/>
              </w:rPr>
              <w:t>Atriplex nummularia</w:t>
            </w:r>
            <w:r w:rsidR="005C47A4">
              <w:rPr>
                <w:noProof/>
                <w:webHidden/>
              </w:rPr>
              <w:tab/>
            </w:r>
            <w:r w:rsidR="005C47A4">
              <w:rPr>
                <w:noProof/>
                <w:webHidden/>
              </w:rPr>
              <w:fldChar w:fldCharType="begin"/>
            </w:r>
            <w:r w:rsidR="005C47A4">
              <w:rPr>
                <w:noProof/>
                <w:webHidden/>
              </w:rPr>
              <w:instrText xml:space="preserve"> PAGEREF _Toc139181382 \h </w:instrText>
            </w:r>
            <w:r w:rsidR="005C47A4">
              <w:rPr>
                <w:noProof/>
                <w:webHidden/>
              </w:rPr>
            </w:r>
            <w:r w:rsidR="005C47A4">
              <w:rPr>
                <w:noProof/>
                <w:webHidden/>
              </w:rPr>
              <w:fldChar w:fldCharType="separate"/>
            </w:r>
            <w:r w:rsidR="004D7B96">
              <w:rPr>
                <w:noProof/>
                <w:webHidden/>
              </w:rPr>
              <w:t>102</w:t>
            </w:r>
            <w:r w:rsidR="005C47A4">
              <w:rPr>
                <w:noProof/>
                <w:webHidden/>
              </w:rPr>
              <w:fldChar w:fldCharType="end"/>
            </w:r>
          </w:hyperlink>
        </w:p>
        <w:p w14:paraId="11AC229D" w14:textId="501E44DA"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383" w:history="1">
            <w:r w:rsidR="005C47A4" w:rsidRPr="006B7CE2">
              <w:rPr>
                <w:rStyle w:val="Lienhypertexte"/>
                <w:noProof/>
              </w:rPr>
              <w:t>13.5</w:t>
            </w:r>
            <w:r w:rsidR="005C47A4">
              <w:rPr>
                <w:rFonts w:eastAsiaTheme="minorEastAsia"/>
                <w:noProof/>
                <w:kern w:val="2"/>
                <w:lang w:eastAsia="fr-FR"/>
                <w14:ligatures w14:val="standardContextual"/>
              </w:rPr>
              <w:tab/>
            </w:r>
            <w:r w:rsidR="005C47A4" w:rsidRPr="006B7CE2">
              <w:rPr>
                <w:rStyle w:val="Lienhypertexte"/>
                <w:noProof/>
              </w:rPr>
              <w:t>Les soudes (genre Salsola sp.)</w:t>
            </w:r>
            <w:r w:rsidR="005C47A4">
              <w:rPr>
                <w:noProof/>
                <w:webHidden/>
              </w:rPr>
              <w:tab/>
            </w:r>
            <w:r w:rsidR="005C47A4">
              <w:rPr>
                <w:noProof/>
                <w:webHidden/>
              </w:rPr>
              <w:fldChar w:fldCharType="begin"/>
            </w:r>
            <w:r w:rsidR="005C47A4">
              <w:rPr>
                <w:noProof/>
                <w:webHidden/>
              </w:rPr>
              <w:instrText xml:space="preserve"> PAGEREF _Toc139181383 \h </w:instrText>
            </w:r>
            <w:r w:rsidR="005C47A4">
              <w:rPr>
                <w:noProof/>
                <w:webHidden/>
              </w:rPr>
            </w:r>
            <w:r w:rsidR="005C47A4">
              <w:rPr>
                <w:noProof/>
                <w:webHidden/>
              </w:rPr>
              <w:fldChar w:fldCharType="separate"/>
            </w:r>
            <w:r w:rsidR="004D7B96">
              <w:rPr>
                <w:noProof/>
                <w:webHidden/>
              </w:rPr>
              <w:t>104</w:t>
            </w:r>
            <w:r w:rsidR="005C47A4">
              <w:rPr>
                <w:noProof/>
                <w:webHidden/>
              </w:rPr>
              <w:fldChar w:fldCharType="end"/>
            </w:r>
          </w:hyperlink>
        </w:p>
        <w:p w14:paraId="13B8A9B8" w14:textId="3ACB033B"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384" w:history="1">
            <w:r w:rsidR="005C47A4" w:rsidRPr="006B7CE2">
              <w:rPr>
                <w:rStyle w:val="Lienhypertexte"/>
                <w:noProof/>
              </w:rPr>
              <w:t>13.6</w:t>
            </w:r>
            <w:r w:rsidR="005C47A4">
              <w:rPr>
                <w:rFonts w:eastAsiaTheme="minorEastAsia"/>
                <w:noProof/>
                <w:kern w:val="2"/>
                <w:lang w:eastAsia="fr-FR"/>
                <w14:ligatures w14:val="standardContextual"/>
              </w:rPr>
              <w:tab/>
            </w:r>
            <w:r w:rsidR="005C47A4" w:rsidRPr="006B7CE2">
              <w:rPr>
                <w:rStyle w:val="Lienhypertexte"/>
                <w:noProof/>
              </w:rPr>
              <w:t xml:space="preserve">Nitres, genre </w:t>
            </w:r>
            <w:r w:rsidR="005C47A4" w:rsidRPr="006B7CE2">
              <w:rPr>
                <w:rStyle w:val="Lienhypertexte"/>
                <w:i/>
                <w:iCs/>
                <w:noProof/>
              </w:rPr>
              <w:t>Nitraria sp.</w:t>
            </w:r>
            <w:r w:rsidR="005C47A4">
              <w:rPr>
                <w:noProof/>
                <w:webHidden/>
              </w:rPr>
              <w:tab/>
            </w:r>
            <w:r w:rsidR="005C47A4">
              <w:rPr>
                <w:noProof/>
                <w:webHidden/>
              </w:rPr>
              <w:fldChar w:fldCharType="begin"/>
            </w:r>
            <w:r w:rsidR="005C47A4">
              <w:rPr>
                <w:noProof/>
                <w:webHidden/>
              </w:rPr>
              <w:instrText xml:space="preserve"> PAGEREF _Toc139181384 \h </w:instrText>
            </w:r>
            <w:r w:rsidR="005C47A4">
              <w:rPr>
                <w:noProof/>
                <w:webHidden/>
              </w:rPr>
            </w:r>
            <w:r w:rsidR="005C47A4">
              <w:rPr>
                <w:noProof/>
                <w:webHidden/>
              </w:rPr>
              <w:fldChar w:fldCharType="separate"/>
            </w:r>
            <w:r w:rsidR="004D7B96">
              <w:rPr>
                <w:noProof/>
                <w:webHidden/>
              </w:rPr>
              <w:t>105</w:t>
            </w:r>
            <w:r w:rsidR="005C47A4">
              <w:rPr>
                <w:noProof/>
                <w:webHidden/>
              </w:rPr>
              <w:fldChar w:fldCharType="end"/>
            </w:r>
          </w:hyperlink>
        </w:p>
        <w:p w14:paraId="2E53B2AA" w14:textId="72A9EDCA"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385" w:history="1">
            <w:r w:rsidR="005C47A4" w:rsidRPr="006B7CE2">
              <w:rPr>
                <w:rStyle w:val="Lienhypertexte"/>
                <w:noProof/>
              </w:rPr>
              <w:t>13.7</w:t>
            </w:r>
            <w:r w:rsidR="005C47A4">
              <w:rPr>
                <w:rFonts w:eastAsiaTheme="minorEastAsia"/>
                <w:noProof/>
                <w:kern w:val="2"/>
                <w:lang w:eastAsia="fr-FR"/>
                <w14:ligatures w14:val="standardContextual"/>
              </w:rPr>
              <w:tab/>
            </w:r>
            <w:r w:rsidR="005C47A4" w:rsidRPr="006B7CE2">
              <w:rPr>
                <w:rStyle w:val="Lienhypertexte"/>
                <w:i/>
                <w:iCs/>
                <w:noProof/>
              </w:rPr>
              <w:t>Nitraria retusa</w:t>
            </w:r>
            <w:r w:rsidR="005C47A4">
              <w:rPr>
                <w:noProof/>
                <w:webHidden/>
              </w:rPr>
              <w:tab/>
            </w:r>
            <w:r w:rsidR="005C47A4">
              <w:rPr>
                <w:noProof/>
                <w:webHidden/>
              </w:rPr>
              <w:fldChar w:fldCharType="begin"/>
            </w:r>
            <w:r w:rsidR="005C47A4">
              <w:rPr>
                <w:noProof/>
                <w:webHidden/>
              </w:rPr>
              <w:instrText xml:space="preserve"> PAGEREF _Toc139181385 \h </w:instrText>
            </w:r>
            <w:r w:rsidR="005C47A4">
              <w:rPr>
                <w:noProof/>
                <w:webHidden/>
              </w:rPr>
            </w:r>
            <w:r w:rsidR="005C47A4">
              <w:rPr>
                <w:noProof/>
                <w:webHidden/>
              </w:rPr>
              <w:fldChar w:fldCharType="separate"/>
            </w:r>
            <w:r w:rsidR="004D7B96">
              <w:rPr>
                <w:noProof/>
                <w:webHidden/>
              </w:rPr>
              <w:t>106</w:t>
            </w:r>
            <w:r w:rsidR="005C47A4">
              <w:rPr>
                <w:noProof/>
                <w:webHidden/>
              </w:rPr>
              <w:fldChar w:fldCharType="end"/>
            </w:r>
          </w:hyperlink>
        </w:p>
        <w:p w14:paraId="5BF9EDC9" w14:textId="303363A5"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386" w:history="1">
            <w:r w:rsidR="005C47A4" w:rsidRPr="006B7CE2">
              <w:rPr>
                <w:rStyle w:val="Lienhypertexte"/>
                <w:noProof/>
              </w:rPr>
              <w:t>13.8</w:t>
            </w:r>
            <w:r w:rsidR="005C47A4">
              <w:rPr>
                <w:rFonts w:eastAsiaTheme="minorEastAsia"/>
                <w:noProof/>
                <w:kern w:val="2"/>
                <w:lang w:eastAsia="fr-FR"/>
                <w14:ligatures w14:val="standardContextual"/>
              </w:rPr>
              <w:tab/>
            </w:r>
            <w:r w:rsidR="005C47A4" w:rsidRPr="006B7CE2">
              <w:rPr>
                <w:rStyle w:val="Lienhypertexte"/>
                <w:noProof/>
              </w:rPr>
              <w:t>Saxaoul ou saxaul (</w:t>
            </w:r>
            <w:r w:rsidR="005C47A4" w:rsidRPr="006B7CE2">
              <w:rPr>
                <w:rStyle w:val="Lienhypertexte"/>
                <w:i/>
                <w:iCs/>
                <w:noProof/>
              </w:rPr>
              <w:t>Haloxylon ammodendron</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_Toc139181386 \h </w:instrText>
            </w:r>
            <w:r w:rsidR="005C47A4">
              <w:rPr>
                <w:noProof/>
                <w:webHidden/>
              </w:rPr>
            </w:r>
            <w:r w:rsidR="005C47A4">
              <w:rPr>
                <w:noProof/>
                <w:webHidden/>
              </w:rPr>
              <w:fldChar w:fldCharType="separate"/>
            </w:r>
            <w:r w:rsidR="004D7B96">
              <w:rPr>
                <w:noProof/>
                <w:webHidden/>
              </w:rPr>
              <w:t>108</w:t>
            </w:r>
            <w:r w:rsidR="005C47A4">
              <w:rPr>
                <w:noProof/>
                <w:webHidden/>
              </w:rPr>
              <w:fldChar w:fldCharType="end"/>
            </w:r>
          </w:hyperlink>
        </w:p>
        <w:p w14:paraId="1E24238B" w14:textId="2C83E0D6"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387" w:history="1">
            <w:r w:rsidR="005C47A4" w:rsidRPr="006B7CE2">
              <w:rPr>
                <w:rStyle w:val="Lienhypertexte"/>
                <w:noProof/>
              </w:rPr>
              <w:t>13.9</w:t>
            </w:r>
            <w:r w:rsidR="005C47A4">
              <w:rPr>
                <w:rFonts w:eastAsiaTheme="minorEastAsia"/>
                <w:noProof/>
                <w:kern w:val="2"/>
                <w:lang w:eastAsia="fr-FR"/>
                <w14:ligatures w14:val="standardContextual"/>
              </w:rPr>
              <w:tab/>
            </w:r>
            <w:r w:rsidR="005C47A4" w:rsidRPr="006B7CE2">
              <w:rPr>
                <w:rStyle w:val="Lienhypertexte"/>
                <w:noProof/>
              </w:rPr>
              <w:t>Taupata ou buisson miroir (</w:t>
            </w:r>
            <w:r w:rsidR="005C47A4" w:rsidRPr="006B7CE2">
              <w:rPr>
                <w:rStyle w:val="Lienhypertexte"/>
                <w:i/>
                <w:iCs/>
                <w:noProof/>
              </w:rPr>
              <w:t>Coprosma repens</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_Toc139181387 \h </w:instrText>
            </w:r>
            <w:r w:rsidR="005C47A4">
              <w:rPr>
                <w:noProof/>
                <w:webHidden/>
              </w:rPr>
            </w:r>
            <w:r w:rsidR="005C47A4">
              <w:rPr>
                <w:noProof/>
                <w:webHidden/>
              </w:rPr>
              <w:fldChar w:fldCharType="separate"/>
            </w:r>
            <w:r w:rsidR="004D7B96">
              <w:rPr>
                <w:noProof/>
                <w:webHidden/>
              </w:rPr>
              <w:t>110</w:t>
            </w:r>
            <w:r w:rsidR="005C47A4">
              <w:rPr>
                <w:noProof/>
                <w:webHidden/>
              </w:rPr>
              <w:fldChar w:fldCharType="end"/>
            </w:r>
          </w:hyperlink>
        </w:p>
        <w:p w14:paraId="6B745812" w14:textId="12F6FF30" w:rsidR="005C47A4" w:rsidRDefault="00000000">
          <w:pPr>
            <w:pStyle w:val="TM2"/>
            <w:tabs>
              <w:tab w:val="left" w:pos="1100"/>
              <w:tab w:val="right" w:leader="dot" w:pos="10416"/>
            </w:tabs>
            <w:rPr>
              <w:rFonts w:eastAsiaTheme="minorEastAsia"/>
              <w:noProof/>
              <w:kern w:val="2"/>
              <w:lang w:eastAsia="fr-FR"/>
              <w14:ligatures w14:val="standardContextual"/>
            </w:rPr>
          </w:pPr>
          <w:hyperlink w:anchor="_Toc139181388" w:history="1">
            <w:r w:rsidR="005C47A4" w:rsidRPr="006B7CE2">
              <w:rPr>
                <w:rStyle w:val="Lienhypertexte"/>
                <w:noProof/>
              </w:rPr>
              <w:t>13.10</w:t>
            </w:r>
            <w:r w:rsidR="005C47A4">
              <w:rPr>
                <w:rFonts w:eastAsiaTheme="minorEastAsia"/>
                <w:noProof/>
                <w:kern w:val="2"/>
                <w:lang w:eastAsia="fr-FR"/>
                <w14:ligatures w14:val="standardContextual"/>
              </w:rPr>
              <w:tab/>
            </w:r>
            <w:r w:rsidR="005C47A4" w:rsidRPr="006B7CE2">
              <w:rPr>
                <w:rStyle w:val="Lienhypertexte"/>
                <w:i/>
                <w:iCs/>
                <w:noProof/>
              </w:rPr>
              <w:t>Eleagnus sp.</w:t>
            </w:r>
            <w:r w:rsidR="005C47A4">
              <w:rPr>
                <w:noProof/>
                <w:webHidden/>
              </w:rPr>
              <w:tab/>
            </w:r>
            <w:r w:rsidR="005C47A4">
              <w:rPr>
                <w:noProof/>
                <w:webHidden/>
              </w:rPr>
              <w:fldChar w:fldCharType="begin"/>
            </w:r>
            <w:r w:rsidR="005C47A4">
              <w:rPr>
                <w:noProof/>
                <w:webHidden/>
              </w:rPr>
              <w:instrText xml:space="preserve"> PAGEREF _Toc139181388 \h </w:instrText>
            </w:r>
            <w:r w:rsidR="005C47A4">
              <w:rPr>
                <w:noProof/>
                <w:webHidden/>
              </w:rPr>
            </w:r>
            <w:r w:rsidR="005C47A4">
              <w:rPr>
                <w:noProof/>
                <w:webHidden/>
              </w:rPr>
              <w:fldChar w:fldCharType="separate"/>
            </w:r>
            <w:r w:rsidR="004D7B96">
              <w:rPr>
                <w:noProof/>
                <w:webHidden/>
              </w:rPr>
              <w:t>111</w:t>
            </w:r>
            <w:r w:rsidR="005C47A4">
              <w:rPr>
                <w:noProof/>
                <w:webHidden/>
              </w:rPr>
              <w:fldChar w:fldCharType="end"/>
            </w:r>
          </w:hyperlink>
        </w:p>
        <w:p w14:paraId="69639CCD" w14:textId="63E33425" w:rsidR="005C47A4" w:rsidRDefault="00000000">
          <w:pPr>
            <w:pStyle w:val="TM2"/>
            <w:tabs>
              <w:tab w:val="left" w:pos="1100"/>
              <w:tab w:val="right" w:leader="dot" w:pos="10416"/>
            </w:tabs>
            <w:rPr>
              <w:rFonts w:eastAsiaTheme="minorEastAsia"/>
              <w:noProof/>
              <w:kern w:val="2"/>
              <w:lang w:eastAsia="fr-FR"/>
              <w14:ligatures w14:val="standardContextual"/>
            </w:rPr>
          </w:pPr>
          <w:hyperlink w:anchor="_Toc139181389" w:history="1">
            <w:r w:rsidR="005C47A4" w:rsidRPr="006B7CE2">
              <w:rPr>
                <w:rStyle w:val="Lienhypertexte"/>
                <w:noProof/>
              </w:rPr>
              <w:t>13.11</w:t>
            </w:r>
            <w:r w:rsidR="005C47A4">
              <w:rPr>
                <w:rFonts w:eastAsiaTheme="minorEastAsia"/>
                <w:noProof/>
                <w:kern w:val="2"/>
                <w:lang w:eastAsia="fr-FR"/>
                <w14:ligatures w14:val="standardContextual"/>
              </w:rPr>
              <w:tab/>
            </w:r>
            <w:r w:rsidR="005C47A4" w:rsidRPr="006B7CE2">
              <w:rPr>
                <w:rStyle w:val="Lienhypertexte"/>
                <w:noProof/>
              </w:rPr>
              <w:t>Lyciets (</w:t>
            </w:r>
            <w:r w:rsidR="005C47A4" w:rsidRPr="006B7CE2">
              <w:rPr>
                <w:rStyle w:val="Lienhypertexte"/>
                <w:i/>
                <w:iCs/>
                <w:noProof/>
              </w:rPr>
              <w:t>Lycium sp</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_Toc139181389 \h </w:instrText>
            </w:r>
            <w:r w:rsidR="005C47A4">
              <w:rPr>
                <w:noProof/>
                <w:webHidden/>
              </w:rPr>
            </w:r>
            <w:r w:rsidR="005C47A4">
              <w:rPr>
                <w:noProof/>
                <w:webHidden/>
              </w:rPr>
              <w:fldChar w:fldCharType="separate"/>
            </w:r>
            <w:r w:rsidR="004D7B96">
              <w:rPr>
                <w:noProof/>
                <w:webHidden/>
              </w:rPr>
              <w:t>112</w:t>
            </w:r>
            <w:r w:rsidR="005C47A4">
              <w:rPr>
                <w:noProof/>
                <w:webHidden/>
              </w:rPr>
              <w:fldChar w:fldCharType="end"/>
            </w:r>
          </w:hyperlink>
        </w:p>
        <w:p w14:paraId="2D8364D4" w14:textId="249D0909" w:rsidR="005C47A4" w:rsidRDefault="00000000">
          <w:pPr>
            <w:pStyle w:val="TM2"/>
            <w:tabs>
              <w:tab w:val="left" w:pos="1100"/>
              <w:tab w:val="right" w:leader="dot" w:pos="10416"/>
            </w:tabs>
            <w:rPr>
              <w:rFonts w:eastAsiaTheme="minorEastAsia"/>
              <w:noProof/>
              <w:kern w:val="2"/>
              <w:lang w:eastAsia="fr-FR"/>
              <w14:ligatures w14:val="standardContextual"/>
            </w:rPr>
          </w:pPr>
          <w:hyperlink w:anchor="_Toc139181390" w:history="1">
            <w:r w:rsidR="005C47A4" w:rsidRPr="006B7CE2">
              <w:rPr>
                <w:rStyle w:val="Lienhypertexte"/>
                <w:noProof/>
              </w:rPr>
              <w:t>13.12</w:t>
            </w:r>
            <w:r w:rsidR="005C47A4">
              <w:rPr>
                <w:rFonts w:eastAsiaTheme="minorEastAsia"/>
                <w:noProof/>
                <w:kern w:val="2"/>
                <w:lang w:eastAsia="fr-FR"/>
                <w14:ligatures w14:val="standardContextual"/>
              </w:rPr>
              <w:tab/>
            </w:r>
            <w:r w:rsidR="005C47A4" w:rsidRPr="006B7CE2">
              <w:rPr>
                <w:rStyle w:val="Lienhypertexte"/>
                <w:noProof/>
              </w:rPr>
              <w:t>Neverdier, moringa ou ben ailé (</w:t>
            </w:r>
            <w:r w:rsidR="005C47A4" w:rsidRPr="006B7CE2">
              <w:rPr>
                <w:rStyle w:val="Lienhypertexte"/>
                <w:i/>
                <w:iCs/>
                <w:noProof/>
              </w:rPr>
              <w:t>Moringa oleifera</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_Toc139181390 \h </w:instrText>
            </w:r>
            <w:r w:rsidR="005C47A4">
              <w:rPr>
                <w:noProof/>
                <w:webHidden/>
              </w:rPr>
            </w:r>
            <w:r w:rsidR="005C47A4">
              <w:rPr>
                <w:noProof/>
                <w:webHidden/>
              </w:rPr>
              <w:fldChar w:fldCharType="separate"/>
            </w:r>
            <w:r w:rsidR="004D7B96">
              <w:rPr>
                <w:noProof/>
                <w:webHidden/>
              </w:rPr>
              <w:t>113</w:t>
            </w:r>
            <w:r w:rsidR="005C47A4">
              <w:rPr>
                <w:noProof/>
                <w:webHidden/>
              </w:rPr>
              <w:fldChar w:fldCharType="end"/>
            </w:r>
          </w:hyperlink>
        </w:p>
        <w:p w14:paraId="24BFD243" w14:textId="6C448F50" w:rsidR="005C47A4" w:rsidRDefault="00000000">
          <w:pPr>
            <w:pStyle w:val="TM2"/>
            <w:tabs>
              <w:tab w:val="left" w:pos="1100"/>
              <w:tab w:val="right" w:leader="dot" w:pos="10416"/>
            </w:tabs>
            <w:rPr>
              <w:rFonts w:eastAsiaTheme="minorEastAsia"/>
              <w:noProof/>
              <w:kern w:val="2"/>
              <w:lang w:eastAsia="fr-FR"/>
              <w14:ligatures w14:val="standardContextual"/>
            </w:rPr>
          </w:pPr>
          <w:hyperlink w:anchor="_Toc139181391" w:history="1">
            <w:r w:rsidR="005C47A4" w:rsidRPr="006B7CE2">
              <w:rPr>
                <w:rStyle w:val="Lienhypertexte"/>
                <w:noProof/>
              </w:rPr>
              <w:t>13.13</w:t>
            </w:r>
            <w:r w:rsidR="005C47A4">
              <w:rPr>
                <w:rFonts w:eastAsiaTheme="minorEastAsia"/>
                <w:noProof/>
                <w:kern w:val="2"/>
                <w:lang w:eastAsia="fr-FR"/>
                <w14:ligatures w14:val="standardContextual"/>
              </w:rPr>
              <w:tab/>
            </w:r>
            <w:r w:rsidR="005C47A4" w:rsidRPr="006B7CE2">
              <w:rPr>
                <w:rStyle w:val="Lienhypertexte"/>
                <w:noProof/>
              </w:rPr>
              <w:t>Ananambo (</w:t>
            </w:r>
            <w:r w:rsidR="005C47A4" w:rsidRPr="006B7CE2">
              <w:rPr>
                <w:rStyle w:val="Lienhypertexte"/>
                <w:i/>
                <w:iCs/>
                <w:noProof/>
              </w:rPr>
              <w:t>Moringa drouhardii</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_Toc139181391 \h </w:instrText>
            </w:r>
            <w:r w:rsidR="005C47A4">
              <w:rPr>
                <w:noProof/>
                <w:webHidden/>
              </w:rPr>
            </w:r>
            <w:r w:rsidR="005C47A4">
              <w:rPr>
                <w:noProof/>
                <w:webHidden/>
              </w:rPr>
              <w:fldChar w:fldCharType="separate"/>
            </w:r>
            <w:r w:rsidR="004D7B96">
              <w:rPr>
                <w:noProof/>
                <w:webHidden/>
              </w:rPr>
              <w:t>115</w:t>
            </w:r>
            <w:r w:rsidR="005C47A4">
              <w:rPr>
                <w:noProof/>
                <w:webHidden/>
              </w:rPr>
              <w:fldChar w:fldCharType="end"/>
            </w:r>
          </w:hyperlink>
        </w:p>
        <w:p w14:paraId="6DF2257C" w14:textId="77A4C385" w:rsidR="005C47A4" w:rsidRDefault="00000000">
          <w:pPr>
            <w:pStyle w:val="TM2"/>
            <w:tabs>
              <w:tab w:val="left" w:pos="1100"/>
              <w:tab w:val="right" w:leader="dot" w:pos="10416"/>
            </w:tabs>
            <w:rPr>
              <w:rFonts w:eastAsiaTheme="minorEastAsia"/>
              <w:noProof/>
              <w:kern w:val="2"/>
              <w:lang w:eastAsia="fr-FR"/>
              <w14:ligatures w14:val="standardContextual"/>
            </w:rPr>
          </w:pPr>
          <w:hyperlink w:anchor="_Toc139181392" w:history="1">
            <w:r w:rsidR="005C47A4" w:rsidRPr="006B7CE2">
              <w:rPr>
                <w:rStyle w:val="Lienhypertexte"/>
                <w:noProof/>
              </w:rPr>
              <w:t>13.14</w:t>
            </w:r>
            <w:r w:rsidR="005C47A4">
              <w:rPr>
                <w:rFonts w:eastAsiaTheme="minorEastAsia"/>
                <w:noProof/>
                <w:kern w:val="2"/>
                <w:lang w:eastAsia="fr-FR"/>
                <w14:ligatures w14:val="standardContextual"/>
              </w:rPr>
              <w:tab/>
            </w:r>
            <w:r w:rsidR="005C47A4" w:rsidRPr="006B7CE2">
              <w:rPr>
                <w:rStyle w:val="Lienhypertexte"/>
                <w:noProof/>
              </w:rPr>
              <w:t>Plantain des Indes, Ispaghul ou psyllium blond (</w:t>
            </w:r>
            <w:r w:rsidR="005C47A4" w:rsidRPr="006B7CE2">
              <w:rPr>
                <w:rStyle w:val="Lienhypertexte"/>
                <w:i/>
                <w:iCs/>
                <w:noProof/>
              </w:rPr>
              <w:t>Plantago ovata</w:t>
            </w:r>
            <w:r w:rsidR="005C47A4" w:rsidRPr="006B7CE2">
              <w:rPr>
                <w:rStyle w:val="Lienhypertexte"/>
                <w:noProof/>
              </w:rPr>
              <w:t xml:space="preserve">, famille des </w:t>
            </w:r>
            <w:r w:rsidR="005C47A4" w:rsidRPr="006B7CE2">
              <w:rPr>
                <w:rStyle w:val="Lienhypertexte"/>
                <w:i/>
                <w:iCs/>
                <w:noProof/>
              </w:rPr>
              <w:t>Plantaginaceae</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_Toc139181392 \h </w:instrText>
            </w:r>
            <w:r w:rsidR="005C47A4">
              <w:rPr>
                <w:noProof/>
                <w:webHidden/>
              </w:rPr>
            </w:r>
            <w:r w:rsidR="005C47A4">
              <w:rPr>
                <w:noProof/>
                <w:webHidden/>
              </w:rPr>
              <w:fldChar w:fldCharType="separate"/>
            </w:r>
            <w:r w:rsidR="004D7B96">
              <w:rPr>
                <w:noProof/>
                <w:webHidden/>
              </w:rPr>
              <w:t>116</w:t>
            </w:r>
            <w:r w:rsidR="005C47A4">
              <w:rPr>
                <w:noProof/>
                <w:webHidden/>
              </w:rPr>
              <w:fldChar w:fldCharType="end"/>
            </w:r>
          </w:hyperlink>
        </w:p>
        <w:p w14:paraId="7D94FB62" w14:textId="67021C34" w:rsidR="005C47A4" w:rsidRDefault="00000000">
          <w:pPr>
            <w:pStyle w:val="TM2"/>
            <w:tabs>
              <w:tab w:val="left" w:pos="1100"/>
              <w:tab w:val="right" w:leader="dot" w:pos="10416"/>
            </w:tabs>
            <w:rPr>
              <w:rFonts w:eastAsiaTheme="minorEastAsia"/>
              <w:noProof/>
              <w:kern w:val="2"/>
              <w:lang w:eastAsia="fr-FR"/>
              <w14:ligatures w14:val="standardContextual"/>
            </w:rPr>
          </w:pPr>
          <w:hyperlink w:anchor="_Toc139181393" w:history="1">
            <w:r w:rsidR="005C47A4" w:rsidRPr="006B7CE2">
              <w:rPr>
                <w:rStyle w:val="Lienhypertexte"/>
                <w:noProof/>
              </w:rPr>
              <w:t>13.15</w:t>
            </w:r>
            <w:r w:rsidR="005C47A4">
              <w:rPr>
                <w:rFonts w:eastAsiaTheme="minorEastAsia"/>
                <w:noProof/>
                <w:kern w:val="2"/>
                <w:lang w:eastAsia="fr-FR"/>
                <w14:ligatures w14:val="standardContextual"/>
              </w:rPr>
              <w:tab/>
            </w:r>
            <w:r w:rsidR="005C47A4" w:rsidRPr="006B7CE2">
              <w:rPr>
                <w:rStyle w:val="Lienhypertexte"/>
                <w:noProof/>
              </w:rPr>
              <w:t>Risques de confusions taxonomiques (sur le nom de l’espèce)</w:t>
            </w:r>
            <w:r w:rsidR="005C47A4">
              <w:rPr>
                <w:noProof/>
                <w:webHidden/>
              </w:rPr>
              <w:tab/>
            </w:r>
            <w:r w:rsidR="005C47A4">
              <w:rPr>
                <w:noProof/>
                <w:webHidden/>
              </w:rPr>
              <w:fldChar w:fldCharType="begin"/>
            </w:r>
            <w:r w:rsidR="005C47A4">
              <w:rPr>
                <w:noProof/>
                <w:webHidden/>
              </w:rPr>
              <w:instrText xml:space="preserve"> PAGEREF _Toc139181393 \h </w:instrText>
            </w:r>
            <w:r w:rsidR="005C47A4">
              <w:rPr>
                <w:noProof/>
                <w:webHidden/>
              </w:rPr>
            </w:r>
            <w:r w:rsidR="005C47A4">
              <w:rPr>
                <w:noProof/>
                <w:webHidden/>
              </w:rPr>
              <w:fldChar w:fldCharType="separate"/>
            </w:r>
            <w:r w:rsidR="004D7B96">
              <w:rPr>
                <w:noProof/>
                <w:webHidden/>
              </w:rPr>
              <w:t>117</w:t>
            </w:r>
            <w:r w:rsidR="005C47A4">
              <w:rPr>
                <w:noProof/>
                <w:webHidden/>
              </w:rPr>
              <w:fldChar w:fldCharType="end"/>
            </w:r>
          </w:hyperlink>
        </w:p>
        <w:p w14:paraId="577CC9D3" w14:textId="56097F75" w:rsidR="005C47A4" w:rsidRDefault="00000000">
          <w:pPr>
            <w:pStyle w:val="TM1"/>
            <w:tabs>
              <w:tab w:val="left" w:pos="660"/>
              <w:tab w:val="right" w:leader="dot" w:pos="10416"/>
            </w:tabs>
            <w:rPr>
              <w:rFonts w:eastAsiaTheme="minorEastAsia"/>
              <w:noProof/>
              <w:kern w:val="2"/>
              <w:lang w:eastAsia="fr-FR"/>
              <w14:ligatures w14:val="standardContextual"/>
            </w:rPr>
          </w:pPr>
          <w:hyperlink w:anchor="_Toc139181394" w:history="1">
            <w:r w:rsidR="005C47A4" w:rsidRPr="006B7CE2">
              <w:rPr>
                <w:rStyle w:val="Lienhypertexte"/>
                <w:noProof/>
              </w:rPr>
              <w:t>14</w:t>
            </w:r>
            <w:r w:rsidR="005C47A4">
              <w:rPr>
                <w:rFonts w:eastAsiaTheme="minorEastAsia"/>
                <w:noProof/>
                <w:kern w:val="2"/>
                <w:lang w:eastAsia="fr-FR"/>
                <w14:ligatures w14:val="standardContextual"/>
              </w:rPr>
              <w:tab/>
            </w:r>
            <w:r w:rsidR="005C47A4" w:rsidRPr="006B7CE2">
              <w:rPr>
                <w:rStyle w:val="Lienhypertexte"/>
                <w:noProof/>
              </w:rPr>
              <w:t>Plantes tropicale poussant dans l’eau salée</w:t>
            </w:r>
            <w:r w:rsidR="005C47A4">
              <w:rPr>
                <w:noProof/>
                <w:webHidden/>
              </w:rPr>
              <w:tab/>
            </w:r>
            <w:r w:rsidR="005C47A4">
              <w:rPr>
                <w:noProof/>
                <w:webHidden/>
              </w:rPr>
              <w:fldChar w:fldCharType="begin"/>
            </w:r>
            <w:r w:rsidR="005C47A4">
              <w:rPr>
                <w:noProof/>
                <w:webHidden/>
              </w:rPr>
              <w:instrText xml:space="preserve"> PAGEREF _Toc139181394 \h </w:instrText>
            </w:r>
            <w:r w:rsidR="005C47A4">
              <w:rPr>
                <w:noProof/>
                <w:webHidden/>
              </w:rPr>
            </w:r>
            <w:r w:rsidR="005C47A4">
              <w:rPr>
                <w:noProof/>
                <w:webHidden/>
              </w:rPr>
              <w:fldChar w:fldCharType="separate"/>
            </w:r>
            <w:r w:rsidR="004D7B96">
              <w:rPr>
                <w:noProof/>
                <w:webHidden/>
              </w:rPr>
              <w:t>119</w:t>
            </w:r>
            <w:r w:rsidR="005C47A4">
              <w:rPr>
                <w:noProof/>
                <w:webHidden/>
              </w:rPr>
              <w:fldChar w:fldCharType="end"/>
            </w:r>
          </w:hyperlink>
        </w:p>
        <w:p w14:paraId="69577ACB" w14:textId="4A2C2407"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395" w:history="1">
            <w:r w:rsidR="005C47A4" w:rsidRPr="006B7CE2">
              <w:rPr>
                <w:rStyle w:val="Lienhypertexte"/>
                <w:noProof/>
              </w:rPr>
              <w:t>14.1</w:t>
            </w:r>
            <w:r w:rsidR="005C47A4">
              <w:rPr>
                <w:rFonts w:eastAsiaTheme="minorEastAsia"/>
                <w:noProof/>
                <w:kern w:val="2"/>
                <w:lang w:eastAsia="fr-FR"/>
                <w14:ligatures w14:val="standardContextual"/>
              </w:rPr>
              <w:tab/>
            </w:r>
            <w:r w:rsidR="005C47A4" w:rsidRPr="006B7CE2">
              <w:rPr>
                <w:rStyle w:val="Lienhypertexte"/>
                <w:noProof/>
              </w:rPr>
              <w:t>Badamier (</w:t>
            </w:r>
            <w:r w:rsidR="005C47A4" w:rsidRPr="006B7CE2">
              <w:rPr>
                <w:rStyle w:val="Lienhypertexte"/>
                <w:i/>
                <w:iCs/>
                <w:noProof/>
              </w:rPr>
              <w:t>Terminalia catappa</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_Toc139181395 \h </w:instrText>
            </w:r>
            <w:r w:rsidR="005C47A4">
              <w:rPr>
                <w:noProof/>
                <w:webHidden/>
              </w:rPr>
            </w:r>
            <w:r w:rsidR="005C47A4">
              <w:rPr>
                <w:noProof/>
                <w:webHidden/>
              </w:rPr>
              <w:fldChar w:fldCharType="separate"/>
            </w:r>
            <w:r w:rsidR="004D7B96">
              <w:rPr>
                <w:noProof/>
                <w:webHidden/>
              </w:rPr>
              <w:t>119</w:t>
            </w:r>
            <w:r w:rsidR="005C47A4">
              <w:rPr>
                <w:noProof/>
                <w:webHidden/>
              </w:rPr>
              <w:fldChar w:fldCharType="end"/>
            </w:r>
          </w:hyperlink>
        </w:p>
        <w:p w14:paraId="5C0EA11A" w14:textId="2DAAFD3C"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396" w:history="1">
            <w:r w:rsidR="005C47A4" w:rsidRPr="006B7CE2">
              <w:rPr>
                <w:rStyle w:val="Lienhypertexte"/>
                <w:noProof/>
              </w:rPr>
              <w:t>14.2</w:t>
            </w:r>
            <w:r w:rsidR="005C47A4">
              <w:rPr>
                <w:rFonts w:eastAsiaTheme="minorEastAsia"/>
                <w:noProof/>
                <w:kern w:val="2"/>
                <w:lang w:eastAsia="fr-FR"/>
                <w14:ligatures w14:val="standardContextual"/>
              </w:rPr>
              <w:tab/>
            </w:r>
            <w:r w:rsidR="005C47A4" w:rsidRPr="006B7CE2">
              <w:rPr>
                <w:rStyle w:val="Lienhypertexte"/>
                <w:noProof/>
              </w:rPr>
              <w:t>Mancenillier ou arbre de la Mort (</w:t>
            </w:r>
            <w:r w:rsidR="005C47A4" w:rsidRPr="006B7CE2">
              <w:rPr>
                <w:rStyle w:val="Lienhypertexte"/>
                <w:i/>
                <w:iCs/>
                <w:noProof/>
              </w:rPr>
              <w:t>Hippomane mancinella</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_Toc139181396 \h </w:instrText>
            </w:r>
            <w:r w:rsidR="005C47A4">
              <w:rPr>
                <w:noProof/>
                <w:webHidden/>
              </w:rPr>
            </w:r>
            <w:r w:rsidR="005C47A4">
              <w:rPr>
                <w:noProof/>
                <w:webHidden/>
              </w:rPr>
              <w:fldChar w:fldCharType="separate"/>
            </w:r>
            <w:r w:rsidR="004D7B96">
              <w:rPr>
                <w:noProof/>
                <w:webHidden/>
              </w:rPr>
              <w:t>120</w:t>
            </w:r>
            <w:r w:rsidR="005C47A4">
              <w:rPr>
                <w:noProof/>
                <w:webHidden/>
              </w:rPr>
              <w:fldChar w:fldCharType="end"/>
            </w:r>
          </w:hyperlink>
        </w:p>
        <w:p w14:paraId="384736BE" w14:textId="06C68FE8"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397" w:history="1">
            <w:r w:rsidR="005C47A4" w:rsidRPr="006B7CE2">
              <w:rPr>
                <w:rStyle w:val="Lienhypertexte"/>
                <w:noProof/>
              </w:rPr>
              <w:t>14.3</w:t>
            </w:r>
            <w:r w:rsidR="005C47A4">
              <w:rPr>
                <w:rFonts w:eastAsiaTheme="minorEastAsia"/>
                <w:noProof/>
                <w:kern w:val="2"/>
                <w:lang w:eastAsia="fr-FR"/>
                <w14:ligatures w14:val="standardContextual"/>
              </w:rPr>
              <w:tab/>
            </w:r>
            <w:r w:rsidR="005C47A4" w:rsidRPr="006B7CE2">
              <w:rPr>
                <w:rStyle w:val="Lienhypertexte"/>
                <w:noProof/>
              </w:rPr>
              <w:t>Cocotier (</w:t>
            </w:r>
            <w:r w:rsidR="005C47A4" w:rsidRPr="006B7CE2">
              <w:rPr>
                <w:rStyle w:val="Lienhypertexte"/>
                <w:i/>
                <w:iCs/>
                <w:noProof/>
              </w:rPr>
              <w:t>Cocos nucifera</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_Toc139181397 \h </w:instrText>
            </w:r>
            <w:r w:rsidR="005C47A4">
              <w:rPr>
                <w:noProof/>
                <w:webHidden/>
              </w:rPr>
            </w:r>
            <w:r w:rsidR="005C47A4">
              <w:rPr>
                <w:noProof/>
                <w:webHidden/>
              </w:rPr>
              <w:fldChar w:fldCharType="separate"/>
            </w:r>
            <w:r w:rsidR="004D7B96">
              <w:rPr>
                <w:noProof/>
                <w:webHidden/>
              </w:rPr>
              <w:t>121</w:t>
            </w:r>
            <w:r w:rsidR="005C47A4">
              <w:rPr>
                <w:noProof/>
                <w:webHidden/>
              </w:rPr>
              <w:fldChar w:fldCharType="end"/>
            </w:r>
          </w:hyperlink>
        </w:p>
        <w:p w14:paraId="1F0BD7C4" w14:textId="1FD399F0"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398" w:history="1">
            <w:r w:rsidR="005C47A4" w:rsidRPr="006B7CE2">
              <w:rPr>
                <w:rStyle w:val="Lienhypertexte"/>
                <w:noProof/>
              </w:rPr>
              <w:t>14.4</w:t>
            </w:r>
            <w:r w:rsidR="005C47A4">
              <w:rPr>
                <w:rFonts w:eastAsiaTheme="minorEastAsia"/>
                <w:noProof/>
                <w:kern w:val="2"/>
                <w:lang w:eastAsia="fr-FR"/>
                <w14:ligatures w14:val="standardContextual"/>
              </w:rPr>
              <w:tab/>
            </w:r>
            <w:r w:rsidR="005C47A4" w:rsidRPr="006B7CE2">
              <w:rPr>
                <w:rStyle w:val="Lienhypertexte"/>
                <w:noProof/>
              </w:rPr>
              <w:t>Raisinier bord de mer (</w:t>
            </w:r>
            <w:r w:rsidR="005C47A4" w:rsidRPr="006B7CE2">
              <w:rPr>
                <w:rStyle w:val="Lienhypertexte"/>
                <w:i/>
                <w:iCs/>
                <w:noProof/>
              </w:rPr>
              <w:t>Coccoloba uvifera</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_Toc139181398 \h </w:instrText>
            </w:r>
            <w:r w:rsidR="005C47A4">
              <w:rPr>
                <w:noProof/>
                <w:webHidden/>
              </w:rPr>
            </w:r>
            <w:r w:rsidR="005C47A4">
              <w:rPr>
                <w:noProof/>
                <w:webHidden/>
              </w:rPr>
              <w:fldChar w:fldCharType="separate"/>
            </w:r>
            <w:r w:rsidR="004D7B96">
              <w:rPr>
                <w:noProof/>
                <w:webHidden/>
              </w:rPr>
              <w:t>122</w:t>
            </w:r>
            <w:r w:rsidR="005C47A4">
              <w:rPr>
                <w:noProof/>
                <w:webHidden/>
              </w:rPr>
              <w:fldChar w:fldCharType="end"/>
            </w:r>
          </w:hyperlink>
        </w:p>
        <w:p w14:paraId="24612B48" w14:textId="1397F25E"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399" w:history="1">
            <w:r w:rsidR="005C47A4" w:rsidRPr="006B7CE2">
              <w:rPr>
                <w:rStyle w:val="Lienhypertexte"/>
                <w:noProof/>
              </w:rPr>
              <w:t>14.5</w:t>
            </w:r>
            <w:r w:rsidR="005C47A4">
              <w:rPr>
                <w:rFonts w:eastAsiaTheme="minorEastAsia"/>
                <w:noProof/>
                <w:kern w:val="2"/>
                <w:lang w:eastAsia="fr-FR"/>
                <w14:ligatures w14:val="standardContextual"/>
              </w:rPr>
              <w:tab/>
            </w:r>
            <w:r w:rsidR="005C47A4" w:rsidRPr="006B7CE2">
              <w:rPr>
                <w:rStyle w:val="Lienhypertexte"/>
                <w:noProof/>
              </w:rPr>
              <w:t>Cachiman-cochon, Mamain ou Mammier (</w:t>
            </w:r>
            <w:r w:rsidR="005C47A4" w:rsidRPr="006B7CE2">
              <w:rPr>
                <w:rStyle w:val="Lienhypertexte"/>
                <w:i/>
                <w:iCs/>
                <w:noProof/>
              </w:rPr>
              <w:t>Annona glabra</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_Toc139181399 \h </w:instrText>
            </w:r>
            <w:r w:rsidR="005C47A4">
              <w:rPr>
                <w:noProof/>
                <w:webHidden/>
              </w:rPr>
            </w:r>
            <w:r w:rsidR="005C47A4">
              <w:rPr>
                <w:noProof/>
                <w:webHidden/>
              </w:rPr>
              <w:fldChar w:fldCharType="separate"/>
            </w:r>
            <w:r w:rsidR="004D7B96">
              <w:rPr>
                <w:noProof/>
                <w:webHidden/>
              </w:rPr>
              <w:t>123</w:t>
            </w:r>
            <w:r w:rsidR="005C47A4">
              <w:rPr>
                <w:noProof/>
                <w:webHidden/>
              </w:rPr>
              <w:fldChar w:fldCharType="end"/>
            </w:r>
          </w:hyperlink>
        </w:p>
        <w:p w14:paraId="3EC64206" w14:textId="0F9245ED"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400" w:history="1">
            <w:r w:rsidR="005C47A4" w:rsidRPr="006B7CE2">
              <w:rPr>
                <w:rStyle w:val="Lienhypertexte"/>
                <w:noProof/>
              </w:rPr>
              <w:t>14.6</w:t>
            </w:r>
            <w:r w:rsidR="005C47A4">
              <w:rPr>
                <w:rFonts w:eastAsiaTheme="minorEastAsia"/>
                <w:noProof/>
                <w:kern w:val="2"/>
                <w:lang w:eastAsia="fr-FR"/>
                <w14:ligatures w14:val="standardContextual"/>
              </w:rPr>
              <w:tab/>
            </w:r>
            <w:r w:rsidR="005C47A4" w:rsidRPr="006B7CE2">
              <w:rPr>
                <w:rStyle w:val="Lienhypertexte"/>
                <w:noProof/>
              </w:rPr>
              <w:t>Nypa buissonnant ou arbustif (</w:t>
            </w:r>
            <w:r w:rsidR="005C47A4" w:rsidRPr="006B7CE2">
              <w:rPr>
                <w:rStyle w:val="Lienhypertexte"/>
                <w:i/>
                <w:iCs/>
                <w:noProof/>
              </w:rPr>
              <w:t>Nypa fruticans</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_Toc139181400 \h </w:instrText>
            </w:r>
            <w:r w:rsidR="005C47A4">
              <w:rPr>
                <w:noProof/>
                <w:webHidden/>
              </w:rPr>
            </w:r>
            <w:r w:rsidR="005C47A4">
              <w:rPr>
                <w:noProof/>
                <w:webHidden/>
              </w:rPr>
              <w:fldChar w:fldCharType="separate"/>
            </w:r>
            <w:r w:rsidR="004D7B96">
              <w:rPr>
                <w:noProof/>
                <w:webHidden/>
              </w:rPr>
              <w:t>124</w:t>
            </w:r>
            <w:r w:rsidR="005C47A4">
              <w:rPr>
                <w:noProof/>
                <w:webHidden/>
              </w:rPr>
              <w:fldChar w:fldCharType="end"/>
            </w:r>
          </w:hyperlink>
        </w:p>
        <w:p w14:paraId="56DFA3FD" w14:textId="53F37416"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401" w:history="1">
            <w:r w:rsidR="005C47A4" w:rsidRPr="006B7CE2">
              <w:rPr>
                <w:rStyle w:val="Lienhypertexte"/>
                <w:noProof/>
              </w:rPr>
              <w:t>14.7</w:t>
            </w:r>
            <w:r w:rsidR="005C47A4">
              <w:rPr>
                <w:rFonts w:eastAsiaTheme="minorEastAsia"/>
                <w:noProof/>
                <w:kern w:val="2"/>
                <w:lang w:eastAsia="fr-FR"/>
                <w14:ligatures w14:val="standardContextual"/>
              </w:rPr>
              <w:tab/>
            </w:r>
            <w:r w:rsidR="005C47A4" w:rsidRPr="006B7CE2">
              <w:rPr>
                <w:rStyle w:val="Lienhypertexte"/>
                <w:noProof/>
              </w:rPr>
              <w:t>Mangle médaille, sang-dragon, mangle-rivière (</w:t>
            </w:r>
            <w:r w:rsidR="005C47A4" w:rsidRPr="006B7CE2">
              <w:rPr>
                <w:rStyle w:val="Lienhypertexte"/>
                <w:i/>
                <w:iCs/>
                <w:noProof/>
              </w:rPr>
              <w:t>Pterocarpus officinalis</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_Toc139181401 \h </w:instrText>
            </w:r>
            <w:r w:rsidR="005C47A4">
              <w:rPr>
                <w:noProof/>
                <w:webHidden/>
              </w:rPr>
            </w:r>
            <w:r w:rsidR="005C47A4">
              <w:rPr>
                <w:noProof/>
                <w:webHidden/>
              </w:rPr>
              <w:fldChar w:fldCharType="separate"/>
            </w:r>
            <w:r w:rsidR="004D7B96">
              <w:rPr>
                <w:noProof/>
                <w:webHidden/>
              </w:rPr>
              <w:t>125</w:t>
            </w:r>
            <w:r w:rsidR="005C47A4">
              <w:rPr>
                <w:noProof/>
                <w:webHidden/>
              </w:rPr>
              <w:fldChar w:fldCharType="end"/>
            </w:r>
          </w:hyperlink>
        </w:p>
        <w:p w14:paraId="5CA30982" w14:textId="0710508A" w:rsidR="005C47A4" w:rsidRDefault="00000000">
          <w:pPr>
            <w:pStyle w:val="TM1"/>
            <w:tabs>
              <w:tab w:val="left" w:pos="660"/>
              <w:tab w:val="right" w:leader="dot" w:pos="10416"/>
            </w:tabs>
            <w:rPr>
              <w:rFonts w:eastAsiaTheme="minorEastAsia"/>
              <w:noProof/>
              <w:kern w:val="2"/>
              <w:lang w:eastAsia="fr-FR"/>
              <w14:ligatures w14:val="standardContextual"/>
            </w:rPr>
          </w:pPr>
          <w:hyperlink w:anchor="_Toc139181402" w:history="1">
            <w:r w:rsidR="005C47A4" w:rsidRPr="006B7CE2">
              <w:rPr>
                <w:rStyle w:val="Lienhypertexte"/>
                <w:noProof/>
              </w:rPr>
              <w:t>15</w:t>
            </w:r>
            <w:r w:rsidR="005C47A4">
              <w:rPr>
                <w:rFonts w:eastAsiaTheme="minorEastAsia"/>
                <w:noProof/>
                <w:kern w:val="2"/>
                <w:lang w:eastAsia="fr-FR"/>
                <w14:ligatures w14:val="standardContextual"/>
              </w:rPr>
              <w:tab/>
            </w:r>
            <w:r w:rsidR="005C47A4" w:rsidRPr="006B7CE2">
              <w:rPr>
                <w:rStyle w:val="Lienhypertexte"/>
                <w:noProof/>
              </w:rPr>
              <w:t>Palétuviers</w:t>
            </w:r>
            <w:r w:rsidR="005C47A4">
              <w:rPr>
                <w:noProof/>
                <w:webHidden/>
              </w:rPr>
              <w:tab/>
            </w:r>
            <w:r w:rsidR="005C47A4">
              <w:rPr>
                <w:noProof/>
                <w:webHidden/>
              </w:rPr>
              <w:fldChar w:fldCharType="begin"/>
            </w:r>
            <w:r w:rsidR="005C47A4">
              <w:rPr>
                <w:noProof/>
                <w:webHidden/>
              </w:rPr>
              <w:instrText xml:space="preserve"> PAGEREF _Toc139181402 \h </w:instrText>
            </w:r>
            <w:r w:rsidR="005C47A4">
              <w:rPr>
                <w:noProof/>
                <w:webHidden/>
              </w:rPr>
            </w:r>
            <w:r w:rsidR="005C47A4">
              <w:rPr>
                <w:noProof/>
                <w:webHidden/>
              </w:rPr>
              <w:fldChar w:fldCharType="separate"/>
            </w:r>
            <w:r w:rsidR="004D7B96">
              <w:rPr>
                <w:noProof/>
                <w:webHidden/>
              </w:rPr>
              <w:t>126</w:t>
            </w:r>
            <w:r w:rsidR="005C47A4">
              <w:rPr>
                <w:noProof/>
                <w:webHidden/>
              </w:rPr>
              <w:fldChar w:fldCharType="end"/>
            </w:r>
          </w:hyperlink>
        </w:p>
        <w:p w14:paraId="75B0AFF1" w14:textId="31A5FE0D"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403" w:history="1">
            <w:r w:rsidR="005C47A4" w:rsidRPr="006B7CE2">
              <w:rPr>
                <w:rStyle w:val="Lienhypertexte"/>
                <w:noProof/>
              </w:rPr>
              <w:t>15.1</w:t>
            </w:r>
            <w:r w:rsidR="005C47A4">
              <w:rPr>
                <w:rFonts w:eastAsiaTheme="minorEastAsia"/>
                <w:noProof/>
                <w:kern w:val="2"/>
                <w:lang w:eastAsia="fr-FR"/>
                <w14:ligatures w14:val="standardContextual"/>
              </w:rPr>
              <w:tab/>
            </w:r>
            <w:r w:rsidR="005C47A4" w:rsidRPr="006B7CE2">
              <w:rPr>
                <w:rStyle w:val="Lienhypertexte"/>
                <w:noProof/>
              </w:rPr>
              <w:t>Définitions de la Mangrove</w:t>
            </w:r>
            <w:r w:rsidR="005C47A4">
              <w:rPr>
                <w:noProof/>
                <w:webHidden/>
              </w:rPr>
              <w:tab/>
            </w:r>
            <w:r w:rsidR="005C47A4">
              <w:rPr>
                <w:noProof/>
                <w:webHidden/>
              </w:rPr>
              <w:fldChar w:fldCharType="begin"/>
            </w:r>
            <w:r w:rsidR="005C47A4">
              <w:rPr>
                <w:noProof/>
                <w:webHidden/>
              </w:rPr>
              <w:instrText xml:space="preserve"> PAGEREF _Toc139181403 \h </w:instrText>
            </w:r>
            <w:r w:rsidR="005C47A4">
              <w:rPr>
                <w:noProof/>
                <w:webHidden/>
              </w:rPr>
            </w:r>
            <w:r w:rsidR="005C47A4">
              <w:rPr>
                <w:noProof/>
                <w:webHidden/>
              </w:rPr>
              <w:fldChar w:fldCharType="separate"/>
            </w:r>
            <w:r w:rsidR="004D7B96">
              <w:rPr>
                <w:noProof/>
                <w:webHidden/>
              </w:rPr>
              <w:t>129</w:t>
            </w:r>
            <w:r w:rsidR="005C47A4">
              <w:rPr>
                <w:noProof/>
                <w:webHidden/>
              </w:rPr>
              <w:fldChar w:fldCharType="end"/>
            </w:r>
          </w:hyperlink>
        </w:p>
        <w:p w14:paraId="165AAA16" w14:textId="2B2675AD"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404" w:history="1">
            <w:r w:rsidR="005C47A4" w:rsidRPr="006B7CE2">
              <w:rPr>
                <w:rStyle w:val="Lienhypertexte"/>
                <w:noProof/>
              </w:rPr>
              <w:t>15.1</w:t>
            </w:r>
            <w:r w:rsidR="005C47A4">
              <w:rPr>
                <w:rFonts w:eastAsiaTheme="minorEastAsia"/>
                <w:noProof/>
                <w:kern w:val="2"/>
                <w:lang w:eastAsia="fr-FR"/>
                <w14:ligatures w14:val="standardContextual"/>
              </w:rPr>
              <w:tab/>
            </w:r>
            <w:r w:rsidR="005C47A4" w:rsidRPr="006B7CE2">
              <w:rPr>
                <w:rStyle w:val="Lienhypertexte"/>
                <w:noProof/>
              </w:rPr>
              <w:t>Vocabulaire spécifique aux mangroves</w:t>
            </w:r>
            <w:r w:rsidR="005C47A4">
              <w:rPr>
                <w:noProof/>
                <w:webHidden/>
              </w:rPr>
              <w:tab/>
            </w:r>
            <w:r w:rsidR="005C47A4">
              <w:rPr>
                <w:noProof/>
                <w:webHidden/>
              </w:rPr>
              <w:fldChar w:fldCharType="begin"/>
            </w:r>
            <w:r w:rsidR="005C47A4">
              <w:rPr>
                <w:noProof/>
                <w:webHidden/>
              </w:rPr>
              <w:instrText xml:space="preserve"> PAGEREF _Toc139181404 \h </w:instrText>
            </w:r>
            <w:r w:rsidR="005C47A4">
              <w:rPr>
                <w:noProof/>
                <w:webHidden/>
              </w:rPr>
            </w:r>
            <w:r w:rsidR="005C47A4">
              <w:rPr>
                <w:noProof/>
                <w:webHidden/>
              </w:rPr>
              <w:fldChar w:fldCharType="separate"/>
            </w:r>
            <w:r w:rsidR="004D7B96">
              <w:rPr>
                <w:noProof/>
                <w:webHidden/>
              </w:rPr>
              <w:t>129</w:t>
            </w:r>
            <w:r w:rsidR="005C47A4">
              <w:rPr>
                <w:noProof/>
                <w:webHidden/>
              </w:rPr>
              <w:fldChar w:fldCharType="end"/>
            </w:r>
          </w:hyperlink>
        </w:p>
        <w:p w14:paraId="2F3BD972" w14:textId="48904F7E"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405" w:history="1">
            <w:r w:rsidR="005C47A4" w:rsidRPr="006B7CE2">
              <w:rPr>
                <w:rStyle w:val="Lienhypertexte"/>
                <w:noProof/>
              </w:rPr>
              <w:t>15.2</w:t>
            </w:r>
            <w:r w:rsidR="005C47A4">
              <w:rPr>
                <w:rFonts w:eastAsiaTheme="minorEastAsia"/>
                <w:noProof/>
                <w:kern w:val="2"/>
                <w:lang w:eastAsia="fr-FR"/>
                <w14:ligatures w14:val="standardContextual"/>
              </w:rPr>
              <w:tab/>
            </w:r>
            <w:r w:rsidR="005C47A4" w:rsidRPr="006B7CE2">
              <w:rPr>
                <w:rStyle w:val="Lienhypertexte"/>
                <w:noProof/>
              </w:rPr>
              <w:t>Caractéristiques et rôles écologiques de la mangrove</w:t>
            </w:r>
            <w:r w:rsidR="005C47A4">
              <w:rPr>
                <w:noProof/>
                <w:webHidden/>
              </w:rPr>
              <w:tab/>
            </w:r>
            <w:r w:rsidR="005C47A4">
              <w:rPr>
                <w:noProof/>
                <w:webHidden/>
              </w:rPr>
              <w:fldChar w:fldCharType="begin"/>
            </w:r>
            <w:r w:rsidR="005C47A4">
              <w:rPr>
                <w:noProof/>
                <w:webHidden/>
              </w:rPr>
              <w:instrText xml:space="preserve"> PAGEREF _Toc139181405 \h </w:instrText>
            </w:r>
            <w:r w:rsidR="005C47A4">
              <w:rPr>
                <w:noProof/>
                <w:webHidden/>
              </w:rPr>
            </w:r>
            <w:r w:rsidR="005C47A4">
              <w:rPr>
                <w:noProof/>
                <w:webHidden/>
              </w:rPr>
              <w:fldChar w:fldCharType="separate"/>
            </w:r>
            <w:r w:rsidR="004D7B96">
              <w:rPr>
                <w:noProof/>
                <w:webHidden/>
              </w:rPr>
              <w:t>130</w:t>
            </w:r>
            <w:r w:rsidR="005C47A4">
              <w:rPr>
                <w:noProof/>
                <w:webHidden/>
              </w:rPr>
              <w:fldChar w:fldCharType="end"/>
            </w:r>
          </w:hyperlink>
        </w:p>
        <w:p w14:paraId="2611C0E2" w14:textId="1E2B6470"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406" w:history="1">
            <w:r w:rsidR="005C47A4" w:rsidRPr="006B7CE2">
              <w:rPr>
                <w:rStyle w:val="Lienhypertexte"/>
                <w:noProof/>
              </w:rPr>
              <w:t>15.3</w:t>
            </w:r>
            <w:r w:rsidR="005C47A4">
              <w:rPr>
                <w:rFonts w:eastAsiaTheme="minorEastAsia"/>
                <w:noProof/>
                <w:kern w:val="2"/>
                <w:lang w:eastAsia="fr-FR"/>
                <w14:ligatures w14:val="standardContextual"/>
              </w:rPr>
              <w:tab/>
            </w:r>
            <w:r w:rsidR="005C47A4" w:rsidRPr="006B7CE2">
              <w:rPr>
                <w:rStyle w:val="Lienhypertexte"/>
                <w:noProof/>
              </w:rPr>
              <w:t>Zonations</w:t>
            </w:r>
            <w:r w:rsidR="005C47A4">
              <w:rPr>
                <w:noProof/>
                <w:webHidden/>
              </w:rPr>
              <w:tab/>
            </w:r>
            <w:r w:rsidR="005C47A4">
              <w:rPr>
                <w:noProof/>
                <w:webHidden/>
              </w:rPr>
              <w:fldChar w:fldCharType="begin"/>
            </w:r>
            <w:r w:rsidR="005C47A4">
              <w:rPr>
                <w:noProof/>
                <w:webHidden/>
              </w:rPr>
              <w:instrText xml:space="preserve"> PAGEREF _Toc139181406 \h </w:instrText>
            </w:r>
            <w:r w:rsidR="005C47A4">
              <w:rPr>
                <w:noProof/>
                <w:webHidden/>
              </w:rPr>
            </w:r>
            <w:r w:rsidR="005C47A4">
              <w:rPr>
                <w:noProof/>
                <w:webHidden/>
              </w:rPr>
              <w:fldChar w:fldCharType="separate"/>
            </w:r>
            <w:r w:rsidR="004D7B96">
              <w:rPr>
                <w:noProof/>
                <w:webHidden/>
              </w:rPr>
              <w:t>132</w:t>
            </w:r>
            <w:r w:rsidR="005C47A4">
              <w:rPr>
                <w:noProof/>
                <w:webHidden/>
              </w:rPr>
              <w:fldChar w:fldCharType="end"/>
            </w:r>
          </w:hyperlink>
        </w:p>
        <w:p w14:paraId="1221691C" w14:textId="2A4A6A9A"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407" w:history="1">
            <w:r w:rsidR="005C47A4" w:rsidRPr="006B7CE2">
              <w:rPr>
                <w:rStyle w:val="Lienhypertexte"/>
                <w:noProof/>
              </w:rPr>
              <w:t>15.4</w:t>
            </w:r>
            <w:r w:rsidR="005C47A4">
              <w:rPr>
                <w:rFonts w:eastAsiaTheme="minorEastAsia"/>
                <w:noProof/>
                <w:kern w:val="2"/>
                <w:lang w:eastAsia="fr-FR"/>
                <w14:ligatures w14:val="standardContextual"/>
              </w:rPr>
              <w:tab/>
            </w:r>
            <w:r w:rsidR="005C47A4" w:rsidRPr="006B7CE2">
              <w:rPr>
                <w:rStyle w:val="Lienhypertexte"/>
                <w:noProof/>
              </w:rPr>
              <w:t>Usages de la mangrove pour l’homme et la nature</w:t>
            </w:r>
            <w:r w:rsidR="005C47A4">
              <w:rPr>
                <w:noProof/>
                <w:webHidden/>
              </w:rPr>
              <w:tab/>
            </w:r>
            <w:r w:rsidR="005C47A4">
              <w:rPr>
                <w:noProof/>
                <w:webHidden/>
              </w:rPr>
              <w:fldChar w:fldCharType="begin"/>
            </w:r>
            <w:r w:rsidR="005C47A4">
              <w:rPr>
                <w:noProof/>
                <w:webHidden/>
              </w:rPr>
              <w:instrText xml:space="preserve"> PAGEREF _Toc139181407 \h </w:instrText>
            </w:r>
            <w:r w:rsidR="005C47A4">
              <w:rPr>
                <w:noProof/>
                <w:webHidden/>
              </w:rPr>
            </w:r>
            <w:r w:rsidR="005C47A4">
              <w:rPr>
                <w:noProof/>
                <w:webHidden/>
              </w:rPr>
              <w:fldChar w:fldCharType="separate"/>
            </w:r>
            <w:r w:rsidR="004D7B96">
              <w:rPr>
                <w:noProof/>
                <w:webHidden/>
              </w:rPr>
              <w:t>134</w:t>
            </w:r>
            <w:r w:rsidR="005C47A4">
              <w:rPr>
                <w:noProof/>
                <w:webHidden/>
              </w:rPr>
              <w:fldChar w:fldCharType="end"/>
            </w:r>
          </w:hyperlink>
        </w:p>
        <w:p w14:paraId="26CA03D5" w14:textId="0765D714"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408" w:history="1">
            <w:r w:rsidR="005C47A4" w:rsidRPr="006B7CE2">
              <w:rPr>
                <w:rStyle w:val="Lienhypertexte"/>
                <w:noProof/>
              </w:rPr>
              <w:t>15.5</w:t>
            </w:r>
            <w:r w:rsidR="005C47A4">
              <w:rPr>
                <w:rFonts w:eastAsiaTheme="minorEastAsia"/>
                <w:noProof/>
                <w:kern w:val="2"/>
                <w:lang w:eastAsia="fr-FR"/>
                <w14:ligatures w14:val="standardContextual"/>
              </w:rPr>
              <w:tab/>
            </w:r>
            <w:r w:rsidR="005C47A4" w:rsidRPr="006B7CE2">
              <w:rPr>
                <w:rStyle w:val="Lienhypertexte"/>
                <w:noProof/>
              </w:rPr>
              <w:t>Caractéristiques des plantes de la mangrove</w:t>
            </w:r>
            <w:r w:rsidR="005C47A4">
              <w:rPr>
                <w:noProof/>
                <w:webHidden/>
              </w:rPr>
              <w:tab/>
            </w:r>
            <w:r w:rsidR="005C47A4">
              <w:rPr>
                <w:noProof/>
                <w:webHidden/>
              </w:rPr>
              <w:fldChar w:fldCharType="begin"/>
            </w:r>
            <w:r w:rsidR="005C47A4">
              <w:rPr>
                <w:noProof/>
                <w:webHidden/>
              </w:rPr>
              <w:instrText xml:space="preserve"> PAGEREF _Toc139181408 \h </w:instrText>
            </w:r>
            <w:r w:rsidR="005C47A4">
              <w:rPr>
                <w:noProof/>
                <w:webHidden/>
              </w:rPr>
            </w:r>
            <w:r w:rsidR="005C47A4">
              <w:rPr>
                <w:noProof/>
                <w:webHidden/>
              </w:rPr>
              <w:fldChar w:fldCharType="separate"/>
            </w:r>
            <w:r w:rsidR="004D7B96">
              <w:rPr>
                <w:noProof/>
                <w:webHidden/>
              </w:rPr>
              <w:t>135</w:t>
            </w:r>
            <w:r w:rsidR="005C47A4">
              <w:rPr>
                <w:noProof/>
                <w:webHidden/>
              </w:rPr>
              <w:fldChar w:fldCharType="end"/>
            </w:r>
          </w:hyperlink>
        </w:p>
        <w:p w14:paraId="2F01BFBF" w14:textId="2A8134A3"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409" w:history="1">
            <w:r w:rsidR="005C47A4" w:rsidRPr="006B7CE2">
              <w:rPr>
                <w:rStyle w:val="Lienhypertexte"/>
                <w:noProof/>
              </w:rPr>
              <w:t>15.6</w:t>
            </w:r>
            <w:r w:rsidR="005C47A4">
              <w:rPr>
                <w:rFonts w:eastAsiaTheme="minorEastAsia"/>
                <w:noProof/>
                <w:kern w:val="2"/>
                <w:lang w:eastAsia="fr-FR"/>
                <w14:ligatures w14:val="standardContextual"/>
              </w:rPr>
              <w:tab/>
            </w:r>
            <w:r w:rsidR="005C47A4" w:rsidRPr="006B7CE2">
              <w:rPr>
                <w:rStyle w:val="Lienhypertexte"/>
                <w:noProof/>
              </w:rPr>
              <w:t>Productivité de l’océan et des mangroves</w:t>
            </w:r>
            <w:r w:rsidR="005C47A4">
              <w:rPr>
                <w:noProof/>
                <w:webHidden/>
              </w:rPr>
              <w:tab/>
            </w:r>
            <w:r w:rsidR="005C47A4">
              <w:rPr>
                <w:noProof/>
                <w:webHidden/>
              </w:rPr>
              <w:fldChar w:fldCharType="begin"/>
            </w:r>
            <w:r w:rsidR="005C47A4">
              <w:rPr>
                <w:noProof/>
                <w:webHidden/>
              </w:rPr>
              <w:instrText xml:space="preserve"> PAGEREF _Toc139181409 \h </w:instrText>
            </w:r>
            <w:r w:rsidR="005C47A4">
              <w:rPr>
                <w:noProof/>
                <w:webHidden/>
              </w:rPr>
            </w:r>
            <w:r w:rsidR="005C47A4">
              <w:rPr>
                <w:noProof/>
                <w:webHidden/>
              </w:rPr>
              <w:fldChar w:fldCharType="separate"/>
            </w:r>
            <w:r w:rsidR="004D7B96">
              <w:rPr>
                <w:noProof/>
                <w:webHidden/>
              </w:rPr>
              <w:t>135</w:t>
            </w:r>
            <w:r w:rsidR="005C47A4">
              <w:rPr>
                <w:noProof/>
                <w:webHidden/>
              </w:rPr>
              <w:fldChar w:fldCharType="end"/>
            </w:r>
          </w:hyperlink>
        </w:p>
        <w:p w14:paraId="7125D328" w14:textId="0F52A5C1"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410" w:history="1">
            <w:r w:rsidR="005C47A4" w:rsidRPr="006B7CE2">
              <w:rPr>
                <w:rStyle w:val="Lienhypertexte"/>
                <w:noProof/>
              </w:rPr>
              <w:t>15.7</w:t>
            </w:r>
            <w:r w:rsidR="005C47A4">
              <w:rPr>
                <w:rFonts w:eastAsiaTheme="minorEastAsia"/>
                <w:noProof/>
                <w:kern w:val="2"/>
                <w:lang w:eastAsia="fr-FR"/>
                <w14:ligatures w14:val="standardContextual"/>
              </w:rPr>
              <w:tab/>
            </w:r>
            <w:r w:rsidR="005C47A4" w:rsidRPr="006B7CE2">
              <w:rPr>
                <w:rStyle w:val="Lienhypertexte"/>
                <w:noProof/>
              </w:rPr>
              <w:t>Les chaînes alimentaires</w:t>
            </w:r>
            <w:r w:rsidR="005C47A4">
              <w:rPr>
                <w:noProof/>
                <w:webHidden/>
              </w:rPr>
              <w:tab/>
            </w:r>
            <w:r w:rsidR="005C47A4">
              <w:rPr>
                <w:noProof/>
                <w:webHidden/>
              </w:rPr>
              <w:fldChar w:fldCharType="begin"/>
            </w:r>
            <w:r w:rsidR="005C47A4">
              <w:rPr>
                <w:noProof/>
                <w:webHidden/>
              </w:rPr>
              <w:instrText xml:space="preserve"> PAGEREF _Toc139181410 \h </w:instrText>
            </w:r>
            <w:r w:rsidR="005C47A4">
              <w:rPr>
                <w:noProof/>
                <w:webHidden/>
              </w:rPr>
            </w:r>
            <w:r w:rsidR="005C47A4">
              <w:rPr>
                <w:noProof/>
                <w:webHidden/>
              </w:rPr>
              <w:fldChar w:fldCharType="separate"/>
            </w:r>
            <w:r w:rsidR="004D7B96">
              <w:rPr>
                <w:noProof/>
                <w:webHidden/>
              </w:rPr>
              <w:t>135</w:t>
            </w:r>
            <w:r w:rsidR="005C47A4">
              <w:rPr>
                <w:noProof/>
                <w:webHidden/>
              </w:rPr>
              <w:fldChar w:fldCharType="end"/>
            </w:r>
          </w:hyperlink>
        </w:p>
        <w:p w14:paraId="53229E64" w14:textId="4B99B929"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411" w:history="1">
            <w:r w:rsidR="005C47A4" w:rsidRPr="006B7CE2">
              <w:rPr>
                <w:rStyle w:val="Lienhypertexte"/>
                <w:noProof/>
              </w:rPr>
              <w:t>15.8</w:t>
            </w:r>
            <w:r w:rsidR="005C47A4">
              <w:rPr>
                <w:rFonts w:eastAsiaTheme="minorEastAsia"/>
                <w:noProof/>
                <w:kern w:val="2"/>
                <w:lang w:eastAsia="fr-FR"/>
                <w14:ligatures w14:val="standardContextual"/>
              </w:rPr>
              <w:tab/>
            </w:r>
            <w:r w:rsidR="005C47A4" w:rsidRPr="006B7CE2">
              <w:rPr>
                <w:rStyle w:val="Lienhypertexte"/>
                <w:noProof/>
              </w:rPr>
              <w:t>Où sont-elles localisées, dans le monde ?</w:t>
            </w:r>
            <w:r w:rsidR="005C47A4">
              <w:rPr>
                <w:noProof/>
                <w:webHidden/>
              </w:rPr>
              <w:tab/>
            </w:r>
            <w:r w:rsidR="005C47A4">
              <w:rPr>
                <w:noProof/>
                <w:webHidden/>
              </w:rPr>
              <w:fldChar w:fldCharType="begin"/>
            </w:r>
            <w:r w:rsidR="005C47A4">
              <w:rPr>
                <w:noProof/>
                <w:webHidden/>
              </w:rPr>
              <w:instrText xml:space="preserve"> PAGEREF _Toc139181411 \h </w:instrText>
            </w:r>
            <w:r w:rsidR="005C47A4">
              <w:rPr>
                <w:noProof/>
                <w:webHidden/>
              </w:rPr>
            </w:r>
            <w:r w:rsidR="005C47A4">
              <w:rPr>
                <w:noProof/>
                <w:webHidden/>
              </w:rPr>
              <w:fldChar w:fldCharType="separate"/>
            </w:r>
            <w:r w:rsidR="004D7B96">
              <w:rPr>
                <w:noProof/>
                <w:webHidden/>
              </w:rPr>
              <w:t>136</w:t>
            </w:r>
            <w:r w:rsidR="005C47A4">
              <w:rPr>
                <w:noProof/>
                <w:webHidden/>
              </w:rPr>
              <w:fldChar w:fldCharType="end"/>
            </w:r>
          </w:hyperlink>
        </w:p>
        <w:p w14:paraId="72233BB7" w14:textId="21D412F0"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412" w:history="1">
            <w:r w:rsidR="005C47A4" w:rsidRPr="006B7CE2">
              <w:rPr>
                <w:rStyle w:val="Lienhypertexte"/>
                <w:noProof/>
              </w:rPr>
              <w:t>15.9</w:t>
            </w:r>
            <w:r w:rsidR="005C47A4">
              <w:rPr>
                <w:rFonts w:eastAsiaTheme="minorEastAsia"/>
                <w:noProof/>
                <w:kern w:val="2"/>
                <w:lang w:eastAsia="fr-FR"/>
                <w14:ligatures w14:val="standardContextual"/>
              </w:rPr>
              <w:tab/>
            </w:r>
            <w:r w:rsidR="005C47A4" w:rsidRPr="006B7CE2">
              <w:rPr>
                <w:rStyle w:val="Lienhypertexte"/>
                <w:noProof/>
              </w:rPr>
              <w:t>Leur résistance au sel</w:t>
            </w:r>
            <w:r w:rsidR="005C47A4">
              <w:rPr>
                <w:noProof/>
                <w:webHidden/>
              </w:rPr>
              <w:tab/>
            </w:r>
            <w:r w:rsidR="005C47A4">
              <w:rPr>
                <w:noProof/>
                <w:webHidden/>
              </w:rPr>
              <w:fldChar w:fldCharType="begin"/>
            </w:r>
            <w:r w:rsidR="005C47A4">
              <w:rPr>
                <w:noProof/>
                <w:webHidden/>
              </w:rPr>
              <w:instrText xml:space="preserve"> PAGEREF _Toc139181412 \h </w:instrText>
            </w:r>
            <w:r w:rsidR="005C47A4">
              <w:rPr>
                <w:noProof/>
                <w:webHidden/>
              </w:rPr>
            </w:r>
            <w:r w:rsidR="005C47A4">
              <w:rPr>
                <w:noProof/>
                <w:webHidden/>
              </w:rPr>
              <w:fldChar w:fldCharType="separate"/>
            </w:r>
            <w:r w:rsidR="004D7B96">
              <w:rPr>
                <w:noProof/>
                <w:webHidden/>
              </w:rPr>
              <w:t>137</w:t>
            </w:r>
            <w:r w:rsidR="005C47A4">
              <w:rPr>
                <w:noProof/>
                <w:webHidden/>
              </w:rPr>
              <w:fldChar w:fldCharType="end"/>
            </w:r>
          </w:hyperlink>
        </w:p>
        <w:p w14:paraId="4CB6D012" w14:textId="47404860" w:rsidR="005C47A4" w:rsidRDefault="00000000">
          <w:pPr>
            <w:pStyle w:val="TM2"/>
            <w:tabs>
              <w:tab w:val="left" w:pos="1100"/>
              <w:tab w:val="right" w:leader="dot" w:pos="10416"/>
            </w:tabs>
            <w:rPr>
              <w:rFonts w:eastAsiaTheme="minorEastAsia"/>
              <w:noProof/>
              <w:kern w:val="2"/>
              <w:lang w:eastAsia="fr-FR"/>
              <w14:ligatures w14:val="standardContextual"/>
            </w:rPr>
          </w:pPr>
          <w:hyperlink w:anchor="_Toc139181413" w:history="1">
            <w:r w:rsidR="005C47A4" w:rsidRPr="006B7CE2">
              <w:rPr>
                <w:rStyle w:val="Lienhypertexte"/>
                <w:noProof/>
              </w:rPr>
              <w:t>15.10</w:t>
            </w:r>
            <w:r w:rsidR="005C47A4">
              <w:rPr>
                <w:rFonts w:eastAsiaTheme="minorEastAsia"/>
                <w:noProof/>
                <w:kern w:val="2"/>
                <w:lang w:eastAsia="fr-FR"/>
                <w14:ligatures w14:val="standardContextual"/>
              </w:rPr>
              <w:tab/>
            </w:r>
            <w:r w:rsidR="005C47A4" w:rsidRPr="006B7CE2">
              <w:rPr>
                <w:rStyle w:val="Lienhypertexte"/>
                <w:noProof/>
              </w:rPr>
              <w:t>Ecologie de la Mangrove</w:t>
            </w:r>
            <w:r w:rsidR="005C47A4">
              <w:rPr>
                <w:noProof/>
                <w:webHidden/>
              </w:rPr>
              <w:tab/>
            </w:r>
            <w:r w:rsidR="005C47A4">
              <w:rPr>
                <w:noProof/>
                <w:webHidden/>
              </w:rPr>
              <w:fldChar w:fldCharType="begin"/>
            </w:r>
            <w:r w:rsidR="005C47A4">
              <w:rPr>
                <w:noProof/>
                <w:webHidden/>
              </w:rPr>
              <w:instrText xml:space="preserve"> PAGEREF _Toc139181413 \h </w:instrText>
            </w:r>
            <w:r w:rsidR="005C47A4">
              <w:rPr>
                <w:noProof/>
                <w:webHidden/>
              </w:rPr>
            </w:r>
            <w:r w:rsidR="005C47A4">
              <w:rPr>
                <w:noProof/>
                <w:webHidden/>
              </w:rPr>
              <w:fldChar w:fldCharType="separate"/>
            </w:r>
            <w:r w:rsidR="004D7B96">
              <w:rPr>
                <w:noProof/>
                <w:webHidden/>
              </w:rPr>
              <w:t>137</w:t>
            </w:r>
            <w:r w:rsidR="005C47A4">
              <w:rPr>
                <w:noProof/>
                <w:webHidden/>
              </w:rPr>
              <w:fldChar w:fldCharType="end"/>
            </w:r>
          </w:hyperlink>
        </w:p>
        <w:p w14:paraId="1C590E4B" w14:textId="1AFAB029" w:rsidR="005C47A4" w:rsidRDefault="00000000">
          <w:pPr>
            <w:pStyle w:val="TM2"/>
            <w:tabs>
              <w:tab w:val="left" w:pos="1100"/>
              <w:tab w:val="right" w:leader="dot" w:pos="10416"/>
            </w:tabs>
            <w:rPr>
              <w:rFonts w:eastAsiaTheme="minorEastAsia"/>
              <w:noProof/>
              <w:kern w:val="2"/>
              <w:lang w:eastAsia="fr-FR"/>
              <w14:ligatures w14:val="standardContextual"/>
            </w:rPr>
          </w:pPr>
          <w:hyperlink w:anchor="_Toc139181414" w:history="1">
            <w:r w:rsidR="005C47A4" w:rsidRPr="006B7CE2">
              <w:rPr>
                <w:rStyle w:val="Lienhypertexte"/>
                <w:noProof/>
              </w:rPr>
              <w:t>15.11</w:t>
            </w:r>
            <w:r w:rsidR="005C47A4">
              <w:rPr>
                <w:rFonts w:eastAsiaTheme="minorEastAsia"/>
                <w:noProof/>
                <w:kern w:val="2"/>
                <w:lang w:eastAsia="fr-FR"/>
                <w14:ligatures w14:val="standardContextual"/>
              </w:rPr>
              <w:tab/>
            </w:r>
            <w:r w:rsidR="005C47A4" w:rsidRPr="006B7CE2">
              <w:rPr>
                <w:rStyle w:val="Lienhypertexte"/>
                <w:noProof/>
              </w:rPr>
              <w:t>Les facteurs physiques influençant la croissance et le développement des mangroves</w:t>
            </w:r>
            <w:r w:rsidR="005C47A4">
              <w:rPr>
                <w:noProof/>
                <w:webHidden/>
              </w:rPr>
              <w:tab/>
            </w:r>
            <w:r w:rsidR="005C47A4">
              <w:rPr>
                <w:noProof/>
                <w:webHidden/>
              </w:rPr>
              <w:fldChar w:fldCharType="begin"/>
            </w:r>
            <w:r w:rsidR="005C47A4">
              <w:rPr>
                <w:noProof/>
                <w:webHidden/>
              </w:rPr>
              <w:instrText xml:space="preserve"> PAGEREF _Toc139181414 \h </w:instrText>
            </w:r>
            <w:r w:rsidR="005C47A4">
              <w:rPr>
                <w:noProof/>
                <w:webHidden/>
              </w:rPr>
            </w:r>
            <w:r w:rsidR="005C47A4">
              <w:rPr>
                <w:noProof/>
                <w:webHidden/>
              </w:rPr>
              <w:fldChar w:fldCharType="separate"/>
            </w:r>
            <w:r w:rsidR="004D7B96">
              <w:rPr>
                <w:noProof/>
                <w:webHidden/>
              </w:rPr>
              <w:t>137</w:t>
            </w:r>
            <w:r w:rsidR="005C47A4">
              <w:rPr>
                <w:noProof/>
                <w:webHidden/>
              </w:rPr>
              <w:fldChar w:fldCharType="end"/>
            </w:r>
          </w:hyperlink>
        </w:p>
        <w:p w14:paraId="1F861F3A" w14:textId="4F437C22" w:rsidR="005C47A4" w:rsidRDefault="00000000">
          <w:pPr>
            <w:pStyle w:val="TM2"/>
            <w:tabs>
              <w:tab w:val="left" w:pos="1100"/>
              <w:tab w:val="right" w:leader="dot" w:pos="10416"/>
            </w:tabs>
            <w:rPr>
              <w:rFonts w:eastAsiaTheme="minorEastAsia"/>
              <w:noProof/>
              <w:kern w:val="2"/>
              <w:lang w:eastAsia="fr-FR"/>
              <w14:ligatures w14:val="standardContextual"/>
            </w:rPr>
          </w:pPr>
          <w:hyperlink w:anchor="_Toc139181415" w:history="1">
            <w:r w:rsidR="005C47A4" w:rsidRPr="006B7CE2">
              <w:rPr>
                <w:rStyle w:val="Lienhypertexte"/>
                <w:noProof/>
              </w:rPr>
              <w:t>15.12</w:t>
            </w:r>
            <w:r w:rsidR="005C47A4">
              <w:rPr>
                <w:rFonts w:eastAsiaTheme="minorEastAsia"/>
                <w:noProof/>
                <w:kern w:val="2"/>
                <w:lang w:eastAsia="fr-FR"/>
                <w14:ligatures w14:val="standardContextual"/>
              </w:rPr>
              <w:tab/>
            </w:r>
            <w:r w:rsidR="005C47A4" w:rsidRPr="006B7CE2">
              <w:rPr>
                <w:rStyle w:val="Lienhypertexte"/>
                <w:noProof/>
              </w:rPr>
              <w:t>Les facteurs de stress</w:t>
            </w:r>
            <w:r w:rsidR="005C47A4">
              <w:rPr>
                <w:noProof/>
                <w:webHidden/>
              </w:rPr>
              <w:tab/>
            </w:r>
            <w:r w:rsidR="005C47A4">
              <w:rPr>
                <w:noProof/>
                <w:webHidden/>
              </w:rPr>
              <w:fldChar w:fldCharType="begin"/>
            </w:r>
            <w:r w:rsidR="005C47A4">
              <w:rPr>
                <w:noProof/>
                <w:webHidden/>
              </w:rPr>
              <w:instrText xml:space="preserve"> PAGEREF _Toc139181415 \h </w:instrText>
            </w:r>
            <w:r w:rsidR="005C47A4">
              <w:rPr>
                <w:noProof/>
                <w:webHidden/>
              </w:rPr>
            </w:r>
            <w:r w:rsidR="005C47A4">
              <w:rPr>
                <w:noProof/>
                <w:webHidden/>
              </w:rPr>
              <w:fldChar w:fldCharType="separate"/>
            </w:r>
            <w:r w:rsidR="004D7B96">
              <w:rPr>
                <w:noProof/>
                <w:webHidden/>
              </w:rPr>
              <w:t>137</w:t>
            </w:r>
            <w:r w:rsidR="005C47A4">
              <w:rPr>
                <w:noProof/>
                <w:webHidden/>
              </w:rPr>
              <w:fldChar w:fldCharType="end"/>
            </w:r>
          </w:hyperlink>
        </w:p>
        <w:p w14:paraId="7768AE96" w14:textId="2CA5F421" w:rsidR="005C47A4" w:rsidRDefault="00000000">
          <w:pPr>
            <w:pStyle w:val="TM2"/>
            <w:tabs>
              <w:tab w:val="left" w:pos="1100"/>
              <w:tab w:val="right" w:leader="dot" w:pos="10416"/>
            </w:tabs>
            <w:rPr>
              <w:rFonts w:eastAsiaTheme="minorEastAsia"/>
              <w:noProof/>
              <w:kern w:val="2"/>
              <w:lang w:eastAsia="fr-FR"/>
              <w14:ligatures w14:val="standardContextual"/>
            </w:rPr>
          </w:pPr>
          <w:hyperlink w:anchor="_Toc139181416" w:history="1">
            <w:r w:rsidR="005C47A4" w:rsidRPr="006B7CE2">
              <w:rPr>
                <w:rStyle w:val="Lienhypertexte"/>
                <w:noProof/>
              </w:rPr>
              <w:t>15.13</w:t>
            </w:r>
            <w:r w:rsidR="005C47A4">
              <w:rPr>
                <w:rFonts w:eastAsiaTheme="minorEastAsia"/>
                <w:noProof/>
                <w:kern w:val="2"/>
                <w:lang w:eastAsia="fr-FR"/>
                <w14:ligatures w14:val="standardContextual"/>
              </w:rPr>
              <w:tab/>
            </w:r>
            <w:r w:rsidR="005C47A4" w:rsidRPr="006B7CE2">
              <w:rPr>
                <w:rStyle w:val="Lienhypertexte"/>
                <w:noProof/>
              </w:rPr>
              <w:t>Physiologie, reproduction</w:t>
            </w:r>
            <w:r w:rsidR="005C47A4">
              <w:rPr>
                <w:noProof/>
                <w:webHidden/>
              </w:rPr>
              <w:tab/>
            </w:r>
            <w:r w:rsidR="005C47A4">
              <w:rPr>
                <w:noProof/>
                <w:webHidden/>
              </w:rPr>
              <w:fldChar w:fldCharType="begin"/>
            </w:r>
            <w:r w:rsidR="005C47A4">
              <w:rPr>
                <w:noProof/>
                <w:webHidden/>
              </w:rPr>
              <w:instrText xml:space="preserve"> PAGEREF _Toc139181416 \h </w:instrText>
            </w:r>
            <w:r w:rsidR="005C47A4">
              <w:rPr>
                <w:noProof/>
                <w:webHidden/>
              </w:rPr>
            </w:r>
            <w:r w:rsidR="005C47A4">
              <w:rPr>
                <w:noProof/>
                <w:webHidden/>
              </w:rPr>
              <w:fldChar w:fldCharType="separate"/>
            </w:r>
            <w:r w:rsidR="004D7B96">
              <w:rPr>
                <w:noProof/>
                <w:webHidden/>
              </w:rPr>
              <w:t>138</w:t>
            </w:r>
            <w:r w:rsidR="005C47A4">
              <w:rPr>
                <w:noProof/>
                <w:webHidden/>
              </w:rPr>
              <w:fldChar w:fldCharType="end"/>
            </w:r>
          </w:hyperlink>
        </w:p>
        <w:p w14:paraId="05FEAB61" w14:textId="3366F300" w:rsidR="005C47A4" w:rsidRDefault="00000000">
          <w:pPr>
            <w:pStyle w:val="TM2"/>
            <w:tabs>
              <w:tab w:val="left" w:pos="1100"/>
              <w:tab w:val="right" w:leader="dot" w:pos="10416"/>
            </w:tabs>
            <w:rPr>
              <w:rFonts w:eastAsiaTheme="minorEastAsia"/>
              <w:noProof/>
              <w:kern w:val="2"/>
              <w:lang w:eastAsia="fr-FR"/>
              <w14:ligatures w14:val="standardContextual"/>
            </w:rPr>
          </w:pPr>
          <w:hyperlink w:anchor="_Toc139181417" w:history="1">
            <w:r w:rsidR="005C47A4" w:rsidRPr="006B7CE2">
              <w:rPr>
                <w:rStyle w:val="Lienhypertexte"/>
                <w:noProof/>
              </w:rPr>
              <w:t>15.14</w:t>
            </w:r>
            <w:r w:rsidR="005C47A4">
              <w:rPr>
                <w:rFonts w:eastAsiaTheme="minorEastAsia"/>
                <w:noProof/>
                <w:kern w:val="2"/>
                <w:lang w:eastAsia="fr-FR"/>
                <w14:ligatures w14:val="standardContextual"/>
              </w:rPr>
              <w:tab/>
            </w:r>
            <w:r w:rsidR="005C47A4" w:rsidRPr="006B7CE2">
              <w:rPr>
                <w:rStyle w:val="Lienhypertexte"/>
                <w:noProof/>
              </w:rPr>
              <w:t>Racines aériennes et pneumatophores</w:t>
            </w:r>
            <w:r w:rsidR="005C47A4">
              <w:rPr>
                <w:noProof/>
                <w:webHidden/>
              </w:rPr>
              <w:tab/>
            </w:r>
            <w:r w:rsidR="005C47A4">
              <w:rPr>
                <w:noProof/>
                <w:webHidden/>
              </w:rPr>
              <w:fldChar w:fldCharType="begin"/>
            </w:r>
            <w:r w:rsidR="005C47A4">
              <w:rPr>
                <w:noProof/>
                <w:webHidden/>
              </w:rPr>
              <w:instrText xml:space="preserve"> PAGEREF _Toc139181417 \h </w:instrText>
            </w:r>
            <w:r w:rsidR="005C47A4">
              <w:rPr>
                <w:noProof/>
                <w:webHidden/>
              </w:rPr>
            </w:r>
            <w:r w:rsidR="005C47A4">
              <w:rPr>
                <w:noProof/>
                <w:webHidden/>
              </w:rPr>
              <w:fldChar w:fldCharType="separate"/>
            </w:r>
            <w:r w:rsidR="004D7B96">
              <w:rPr>
                <w:noProof/>
                <w:webHidden/>
              </w:rPr>
              <w:t>138</w:t>
            </w:r>
            <w:r w:rsidR="005C47A4">
              <w:rPr>
                <w:noProof/>
                <w:webHidden/>
              </w:rPr>
              <w:fldChar w:fldCharType="end"/>
            </w:r>
          </w:hyperlink>
        </w:p>
        <w:p w14:paraId="16015785" w14:textId="7FB73BE1" w:rsidR="005C47A4" w:rsidRDefault="00000000">
          <w:pPr>
            <w:pStyle w:val="TM2"/>
            <w:tabs>
              <w:tab w:val="left" w:pos="1100"/>
              <w:tab w:val="right" w:leader="dot" w:pos="10416"/>
            </w:tabs>
            <w:rPr>
              <w:rFonts w:eastAsiaTheme="minorEastAsia"/>
              <w:noProof/>
              <w:kern w:val="2"/>
              <w:lang w:eastAsia="fr-FR"/>
              <w14:ligatures w14:val="standardContextual"/>
            </w:rPr>
          </w:pPr>
          <w:hyperlink w:anchor="_Toc139181418" w:history="1">
            <w:r w:rsidR="005C47A4" w:rsidRPr="006B7CE2">
              <w:rPr>
                <w:rStyle w:val="Lienhypertexte"/>
                <w:noProof/>
              </w:rPr>
              <w:t>15.15</w:t>
            </w:r>
            <w:r w:rsidR="005C47A4">
              <w:rPr>
                <w:rFonts w:eastAsiaTheme="minorEastAsia"/>
                <w:noProof/>
                <w:kern w:val="2"/>
                <w:lang w:eastAsia="fr-FR"/>
                <w14:ligatures w14:val="standardContextual"/>
              </w:rPr>
              <w:tab/>
            </w:r>
            <w:r w:rsidR="005C47A4" w:rsidRPr="006B7CE2">
              <w:rPr>
                <w:rStyle w:val="Lienhypertexte"/>
                <w:noProof/>
              </w:rPr>
              <w:t>Bilan de l'aménagement forestier des mangroves</w:t>
            </w:r>
            <w:r w:rsidR="005C47A4">
              <w:rPr>
                <w:noProof/>
                <w:webHidden/>
              </w:rPr>
              <w:tab/>
            </w:r>
            <w:r w:rsidR="005C47A4">
              <w:rPr>
                <w:noProof/>
                <w:webHidden/>
              </w:rPr>
              <w:fldChar w:fldCharType="begin"/>
            </w:r>
            <w:r w:rsidR="005C47A4">
              <w:rPr>
                <w:noProof/>
                <w:webHidden/>
              </w:rPr>
              <w:instrText xml:space="preserve"> PAGEREF _Toc139181418 \h </w:instrText>
            </w:r>
            <w:r w:rsidR="005C47A4">
              <w:rPr>
                <w:noProof/>
                <w:webHidden/>
              </w:rPr>
            </w:r>
            <w:r w:rsidR="005C47A4">
              <w:rPr>
                <w:noProof/>
                <w:webHidden/>
              </w:rPr>
              <w:fldChar w:fldCharType="separate"/>
            </w:r>
            <w:r w:rsidR="004D7B96">
              <w:rPr>
                <w:noProof/>
                <w:webHidden/>
              </w:rPr>
              <w:t>139</w:t>
            </w:r>
            <w:r w:rsidR="005C47A4">
              <w:rPr>
                <w:noProof/>
                <w:webHidden/>
              </w:rPr>
              <w:fldChar w:fldCharType="end"/>
            </w:r>
          </w:hyperlink>
        </w:p>
        <w:p w14:paraId="4C875465" w14:textId="7CE7FB7C" w:rsidR="005C47A4" w:rsidRDefault="00000000">
          <w:pPr>
            <w:pStyle w:val="TM2"/>
            <w:tabs>
              <w:tab w:val="left" w:pos="1100"/>
              <w:tab w:val="right" w:leader="dot" w:pos="10416"/>
            </w:tabs>
            <w:rPr>
              <w:rFonts w:eastAsiaTheme="minorEastAsia"/>
              <w:noProof/>
              <w:kern w:val="2"/>
              <w:lang w:eastAsia="fr-FR"/>
              <w14:ligatures w14:val="standardContextual"/>
            </w:rPr>
          </w:pPr>
          <w:hyperlink w:anchor="_Toc139181419" w:history="1">
            <w:r w:rsidR="005C47A4" w:rsidRPr="006B7CE2">
              <w:rPr>
                <w:rStyle w:val="Lienhypertexte"/>
                <w:noProof/>
              </w:rPr>
              <w:t>15.16</w:t>
            </w:r>
            <w:r w:rsidR="005C47A4">
              <w:rPr>
                <w:rFonts w:eastAsiaTheme="minorEastAsia"/>
                <w:noProof/>
                <w:kern w:val="2"/>
                <w:lang w:eastAsia="fr-FR"/>
                <w14:ligatures w14:val="standardContextual"/>
              </w:rPr>
              <w:tab/>
            </w:r>
            <w:r w:rsidR="005C47A4" w:rsidRPr="006B7CE2">
              <w:rPr>
                <w:rStyle w:val="Lienhypertexte"/>
                <w:noProof/>
              </w:rPr>
              <w:t>Menace sur les mangroves</w:t>
            </w:r>
            <w:r w:rsidR="005C47A4">
              <w:rPr>
                <w:noProof/>
                <w:webHidden/>
              </w:rPr>
              <w:tab/>
            </w:r>
            <w:r w:rsidR="005C47A4">
              <w:rPr>
                <w:noProof/>
                <w:webHidden/>
              </w:rPr>
              <w:fldChar w:fldCharType="begin"/>
            </w:r>
            <w:r w:rsidR="005C47A4">
              <w:rPr>
                <w:noProof/>
                <w:webHidden/>
              </w:rPr>
              <w:instrText xml:space="preserve"> PAGEREF _Toc139181419 \h </w:instrText>
            </w:r>
            <w:r w:rsidR="005C47A4">
              <w:rPr>
                <w:noProof/>
                <w:webHidden/>
              </w:rPr>
            </w:r>
            <w:r w:rsidR="005C47A4">
              <w:rPr>
                <w:noProof/>
                <w:webHidden/>
              </w:rPr>
              <w:fldChar w:fldCharType="separate"/>
            </w:r>
            <w:r w:rsidR="004D7B96">
              <w:rPr>
                <w:noProof/>
                <w:webHidden/>
              </w:rPr>
              <w:t>139</w:t>
            </w:r>
            <w:r w:rsidR="005C47A4">
              <w:rPr>
                <w:noProof/>
                <w:webHidden/>
              </w:rPr>
              <w:fldChar w:fldCharType="end"/>
            </w:r>
          </w:hyperlink>
        </w:p>
        <w:p w14:paraId="7EBD80AD" w14:textId="3F351309" w:rsidR="005C47A4" w:rsidRDefault="00000000">
          <w:pPr>
            <w:pStyle w:val="TM2"/>
            <w:tabs>
              <w:tab w:val="left" w:pos="1100"/>
              <w:tab w:val="right" w:leader="dot" w:pos="10416"/>
            </w:tabs>
            <w:rPr>
              <w:rFonts w:eastAsiaTheme="minorEastAsia"/>
              <w:noProof/>
              <w:kern w:val="2"/>
              <w:lang w:eastAsia="fr-FR"/>
              <w14:ligatures w14:val="standardContextual"/>
            </w:rPr>
          </w:pPr>
          <w:hyperlink w:anchor="_Toc139181420" w:history="1">
            <w:r w:rsidR="005C47A4" w:rsidRPr="006B7CE2">
              <w:rPr>
                <w:rStyle w:val="Lienhypertexte"/>
                <w:noProof/>
              </w:rPr>
              <w:t>15.17</w:t>
            </w:r>
            <w:r w:rsidR="005C47A4">
              <w:rPr>
                <w:rFonts w:eastAsiaTheme="minorEastAsia"/>
                <w:noProof/>
                <w:kern w:val="2"/>
                <w:lang w:eastAsia="fr-FR"/>
                <w14:ligatures w14:val="standardContextual"/>
              </w:rPr>
              <w:tab/>
            </w:r>
            <w:r w:rsidR="005C47A4" w:rsidRPr="006B7CE2">
              <w:rPr>
                <w:rStyle w:val="Lienhypertexte"/>
                <w:noProof/>
              </w:rPr>
              <w:t>Palétuvier noir / Palétuvier gris</w:t>
            </w:r>
            <w:r w:rsidR="005C47A4" w:rsidRPr="006B7CE2">
              <w:rPr>
                <w:rStyle w:val="Lienhypertexte"/>
                <w:b/>
                <w:bCs/>
                <w:noProof/>
              </w:rPr>
              <w:t xml:space="preserve"> </w:t>
            </w:r>
            <w:r w:rsidR="005C47A4" w:rsidRPr="006B7CE2">
              <w:rPr>
                <w:rStyle w:val="Lienhypertexte"/>
                <w:noProof/>
              </w:rPr>
              <w:t>(</w:t>
            </w:r>
            <w:r w:rsidR="005C47A4" w:rsidRPr="006B7CE2">
              <w:rPr>
                <w:rStyle w:val="Lienhypertexte"/>
                <w:i/>
                <w:iCs/>
                <w:noProof/>
              </w:rPr>
              <w:t>Avicennia marina</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_Toc139181420 \h </w:instrText>
            </w:r>
            <w:r w:rsidR="005C47A4">
              <w:rPr>
                <w:noProof/>
                <w:webHidden/>
              </w:rPr>
            </w:r>
            <w:r w:rsidR="005C47A4">
              <w:rPr>
                <w:noProof/>
                <w:webHidden/>
              </w:rPr>
              <w:fldChar w:fldCharType="separate"/>
            </w:r>
            <w:r w:rsidR="004D7B96">
              <w:rPr>
                <w:noProof/>
                <w:webHidden/>
              </w:rPr>
              <w:t>141</w:t>
            </w:r>
            <w:r w:rsidR="005C47A4">
              <w:rPr>
                <w:noProof/>
                <w:webHidden/>
              </w:rPr>
              <w:fldChar w:fldCharType="end"/>
            </w:r>
          </w:hyperlink>
        </w:p>
        <w:p w14:paraId="46FE72D2" w14:textId="098C7E2E" w:rsidR="005C47A4" w:rsidRDefault="00000000">
          <w:pPr>
            <w:pStyle w:val="TM2"/>
            <w:tabs>
              <w:tab w:val="left" w:pos="1100"/>
              <w:tab w:val="right" w:leader="dot" w:pos="10416"/>
            </w:tabs>
            <w:rPr>
              <w:rFonts w:eastAsiaTheme="minorEastAsia"/>
              <w:noProof/>
              <w:kern w:val="2"/>
              <w:lang w:eastAsia="fr-FR"/>
              <w14:ligatures w14:val="standardContextual"/>
            </w:rPr>
          </w:pPr>
          <w:hyperlink w:anchor="_Toc139181421" w:history="1">
            <w:r w:rsidR="005C47A4" w:rsidRPr="006B7CE2">
              <w:rPr>
                <w:rStyle w:val="Lienhypertexte"/>
                <w:noProof/>
              </w:rPr>
              <w:t>15.18</w:t>
            </w:r>
            <w:r w:rsidR="005C47A4">
              <w:rPr>
                <w:rFonts w:eastAsiaTheme="minorEastAsia"/>
                <w:noProof/>
                <w:kern w:val="2"/>
                <w:lang w:eastAsia="fr-FR"/>
                <w14:ligatures w14:val="standardContextual"/>
              </w:rPr>
              <w:tab/>
            </w:r>
            <w:r w:rsidR="005C47A4" w:rsidRPr="006B7CE2">
              <w:rPr>
                <w:rStyle w:val="Lienhypertexte"/>
                <w:noProof/>
              </w:rPr>
              <w:t>Palétuvier orange (</w:t>
            </w:r>
            <w:r w:rsidR="005C47A4" w:rsidRPr="006B7CE2">
              <w:rPr>
                <w:rStyle w:val="Lienhypertexte"/>
                <w:i/>
                <w:iCs/>
                <w:noProof/>
              </w:rPr>
              <w:t>Bruguiera gymnorrhiza</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_Toc139181421 \h </w:instrText>
            </w:r>
            <w:r w:rsidR="005C47A4">
              <w:rPr>
                <w:noProof/>
                <w:webHidden/>
              </w:rPr>
            </w:r>
            <w:r w:rsidR="005C47A4">
              <w:rPr>
                <w:noProof/>
                <w:webHidden/>
              </w:rPr>
              <w:fldChar w:fldCharType="separate"/>
            </w:r>
            <w:r w:rsidR="004D7B96">
              <w:rPr>
                <w:noProof/>
                <w:webHidden/>
              </w:rPr>
              <w:t>142</w:t>
            </w:r>
            <w:r w:rsidR="005C47A4">
              <w:rPr>
                <w:noProof/>
                <w:webHidden/>
              </w:rPr>
              <w:fldChar w:fldCharType="end"/>
            </w:r>
          </w:hyperlink>
        </w:p>
        <w:p w14:paraId="2A87B370" w14:textId="15FFD320" w:rsidR="005C47A4" w:rsidRDefault="00000000">
          <w:pPr>
            <w:pStyle w:val="TM2"/>
            <w:tabs>
              <w:tab w:val="left" w:pos="1100"/>
              <w:tab w:val="right" w:leader="dot" w:pos="10416"/>
            </w:tabs>
            <w:rPr>
              <w:rFonts w:eastAsiaTheme="minorEastAsia"/>
              <w:noProof/>
              <w:kern w:val="2"/>
              <w:lang w:eastAsia="fr-FR"/>
              <w14:ligatures w14:val="standardContextual"/>
            </w:rPr>
          </w:pPr>
          <w:hyperlink w:anchor="_Toc139181422" w:history="1">
            <w:r w:rsidR="005C47A4" w:rsidRPr="006B7CE2">
              <w:rPr>
                <w:rStyle w:val="Lienhypertexte"/>
                <w:noProof/>
                <w:lang w:val="en-GB"/>
              </w:rPr>
              <w:t>15.19</w:t>
            </w:r>
            <w:r w:rsidR="005C47A4">
              <w:rPr>
                <w:rFonts w:eastAsiaTheme="minorEastAsia"/>
                <w:noProof/>
                <w:kern w:val="2"/>
                <w:lang w:eastAsia="fr-FR"/>
                <w14:ligatures w14:val="standardContextual"/>
              </w:rPr>
              <w:tab/>
            </w:r>
            <w:r w:rsidR="005C47A4" w:rsidRPr="006B7CE2">
              <w:rPr>
                <w:rStyle w:val="Lienhypertexte"/>
                <w:noProof/>
                <w:lang w:val="en-GB"/>
              </w:rPr>
              <w:t>Palétuvier jaune (</w:t>
            </w:r>
            <w:r w:rsidR="005C47A4" w:rsidRPr="006B7CE2">
              <w:rPr>
                <w:rStyle w:val="Lienhypertexte"/>
                <w:i/>
                <w:iCs/>
                <w:noProof/>
                <w:lang w:val="en-GB"/>
              </w:rPr>
              <w:t>Ceriops tagal</w:t>
            </w:r>
            <w:r w:rsidR="005C47A4" w:rsidRPr="006B7CE2">
              <w:rPr>
                <w:rStyle w:val="Lienhypertexte"/>
                <w:noProof/>
                <w:lang w:val="en-GB"/>
              </w:rPr>
              <w:t>)</w:t>
            </w:r>
            <w:r w:rsidR="005C47A4">
              <w:rPr>
                <w:noProof/>
                <w:webHidden/>
              </w:rPr>
              <w:tab/>
            </w:r>
            <w:r w:rsidR="005C47A4">
              <w:rPr>
                <w:noProof/>
                <w:webHidden/>
              </w:rPr>
              <w:fldChar w:fldCharType="begin"/>
            </w:r>
            <w:r w:rsidR="005C47A4">
              <w:rPr>
                <w:noProof/>
                <w:webHidden/>
              </w:rPr>
              <w:instrText xml:space="preserve"> PAGEREF _Toc139181422 \h </w:instrText>
            </w:r>
            <w:r w:rsidR="005C47A4">
              <w:rPr>
                <w:noProof/>
                <w:webHidden/>
              </w:rPr>
            </w:r>
            <w:r w:rsidR="005C47A4">
              <w:rPr>
                <w:noProof/>
                <w:webHidden/>
              </w:rPr>
              <w:fldChar w:fldCharType="separate"/>
            </w:r>
            <w:r w:rsidR="004D7B96">
              <w:rPr>
                <w:noProof/>
                <w:webHidden/>
              </w:rPr>
              <w:t>143</w:t>
            </w:r>
            <w:r w:rsidR="005C47A4">
              <w:rPr>
                <w:noProof/>
                <w:webHidden/>
              </w:rPr>
              <w:fldChar w:fldCharType="end"/>
            </w:r>
          </w:hyperlink>
        </w:p>
        <w:p w14:paraId="32FB9EAA" w14:textId="1F16D503" w:rsidR="005C47A4" w:rsidRDefault="00000000">
          <w:pPr>
            <w:pStyle w:val="TM2"/>
            <w:tabs>
              <w:tab w:val="left" w:pos="1100"/>
              <w:tab w:val="right" w:leader="dot" w:pos="10416"/>
            </w:tabs>
            <w:rPr>
              <w:rFonts w:eastAsiaTheme="minorEastAsia"/>
              <w:noProof/>
              <w:kern w:val="2"/>
              <w:lang w:eastAsia="fr-FR"/>
              <w14:ligatures w14:val="standardContextual"/>
            </w:rPr>
          </w:pPr>
          <w:hyperlink w:anchor="_Toc139181423" w:history="1">
            <w:r w:rsidR="005C47A4" w:rsidRPr="006B7CE2">
              <w:rPr>
                <w:rStyle w:val="Lienhypertexte"/>
                <w:noProof/>
              </w:rPr>
              <w:t>15.20</w:t>
            </w:r>
            <w:r w:rsidR="005C47A4">
              <w:rPr>
                <w:rFonts w:eastAsiaTheme="minorEastAsia"/>
                <w:noProof/>
                <w:kern w:val="2"/>
                <w:lang w:eastAsia="fr-FR"/>
                <w14:ligatures w14:val="standardContextual"/>
              </w:rPr>
              <w:tab/>
            </w:r>
            <w:r w:rsidR="005C47A4" w:rsidRPr="006B7CE2">
              <w:rPr>
                <w:rStyle w:val="Lienhypertexte"/>
                <w:i/>
                <w:iCs/>
                <w:noProof/>
              </w:rPr>
              <w:t>Lumnitzera racemosa</w:t>
            </w:r>
            <w:r w:rsidR="005C47A4">
              <w:rPr>
                <w:noProof/>
                <w:webHidden/>
              </w:rPr>
              <w:tab/>
            </w:r>
            <w:r w:rsidR="005C47A4">
              <w:rPr>
                <w:noProof/>
                <w:webHidden/>
              </w:rPr>
              <w:fldChar w:fldCharType="begin"/>
            </w:r>
            <w:r w:rsidR="005C47A4">
              <w:rPr>
                <w:noProof/>
                <w:webHidden/>
              </w:rPr>
              <w:instrText xml:space="preserve"> PAGEREF _Toc139181423 \h </w:instrText>
            </w:r>
            <w:r w:rsidR="005C47A4">
              <w:rPr>
                <w:noProof/>
                <w:webHidden/>
              </w:rPr>
            </w:r>
            <w:r w:rsidR="005C47A4">
              <w:rPr>
                <w:noProof/>
                <w:webHidden/>
              </w:rPr>
              <w:fldChar w:fldCharType="separate"/>
            </w:r>
            <w:r w:rsidR="004D7B96">
              <w:rPr>
                <w:noProof/>
                <w:webHidden/>
              </w:rPr>
              <w:t>146</w:t>
            </w:r>
            <w:r w:rsidR="005C47A4">
              <w:rPr>
                <w:noProof/>
                <w:webHidden/>
              </w:rPr>
              <w:fldChar w:fldCharType="end"/>
            </w:r>
          </w:hyperlink>
        </w:p>
        <w:p w14:paraId="7A02A477" w14:textId="11E3D58A" w:rsidR="005C47A4" w:rsidRDefault="00000000">
          <w:pPr>
            <w:pStyle w:val="TM2"/>
            <w:tabs>
              <w:tab w:val="left" w:pos="1100"/>
              <w:tab w:val="right" w:leader="dot" w:pos="10416"/>
            </w:tabs>
            <w:rPr>
              <w:rFonts w:eastAsiaTheme="minorEastAsia"/>
              <w:noProof/>
              <w:kern w:val="2"/>
              <w:lang w:eastAsia="fr-FR"/>
              <w14:ligatures w14:val="standardContextual"/>
            </w:rPr>
          </w:pPr>
          <w:hyperlink w:anchor="_Toc139181424" w:history="1">
            <w:r w:rsidR="005C47A4" w:rsidRPr="006B7CE2">
              <w:rPr>
                <w:rStyle w:val="Lienhypertexte"/>
                <w:noProof/>
              </w:rPr>
              <w:t>15.21</w:t>
            </w:r>
            <w:r w:rsidR="005C47A4">
              <w:rPr>
                <w:rFonts w:eastAsiaTheme="minorEastAsia"/>
                <w:noProof/>
                <w:kern w:val="2"/>
                <w:lang w:eastAsia="fr-FR"/>
                <w14:ligatures w14:val="standardContextual"/>
              </w:rPr>
              <w:tab/>
            </w:r>
            <w:r w:rsidR="005C47A4" w:rsidRPr="006B7CE2">
              <w:rPr>
                <w:rStyle w:val="Lienhypertexte"/>
                <w:noProof/>
              </w:rPr>
              <w:t>Palétuvier rouge (</w:t>
            </w:r>
            <w:r w:rsidR="005C47A4" w:rsidRPr="006B7CE2">
              <w:rPr>
                <w:rStyle w:val="Lienhypertexte"/>
                <w:i/>
                <w:iCs/>
                <w:noProof/>
              </w:rPr>
              <w:t>Rhizophora mucronata</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_Toc139181424 \h </w:instrText>
            </w:r>
            <w:r w:rsidR="005C47A4">
              <w:rPr>
                <w:noProof/>
                <w:webHidden/>
              </w:rPr>
            </w:r>
            <w:r w:rsidR="005C47A4">
              <w:rPr>
                <w:noProof/>
                <w:webHidden/>
              </w:rPr>
              <w:fldChar w:fldCharType="separate"/>
            </w:r>
            <w:r w:rsidR="004D7B96">
              <w:rPr>
                <w:noProof/>
                <w:webHidden/>
              </w:rPr>
              <w:t>147</w:t>
            </w:r>
            <w:r w:rsidR="005C47A4">
              <w:rPr>
                <w:noProof/>
                <w:webHidden/>
              </w:rPr>
              <w:fldChar w:fldCharType="end"/>
            </w:r>
          </w:hyperlink>
        </w:p>
        <w:p w14:paraId="526C58B9" w14:textId="18968C46" w:rsidR="005C47A4" w:rsidRDefault="00000000">
          <w:pPr>
            <w:pStyle w:val="TM2"/>
            <w:tabs>
              <w:tab w:val="left" w:pos="1100"/>
              <w:tab w:val="right" w:leader="dot" w:pos="10416"/>
            </w:tabs>
            <w:rPr>
              <w:rFonts w:eastAsiaTheme="minorEastAsia"/>
              <w:noProof/>
              <w:kern w:val="2"/>
              <w:lang w:eastAsia="fr-FR"/>
              <w14:ligatures w14:val="standardContextual"/>
            </w:rPr>
          </w:pPr>
          <w:hyperlink w:anchor="_Toc139181425" w:history="1">
            <w:r w:rsidR="005C47A4" w:rsidRPr="006B7CE2">
              <w:rPr>
                <w:rStyle w:val="Lienhypertexte"/>
                <w:noProof/>
              </w:rPr>
              <w:t>15.22</w:t>
            </w:r>
            <w:r w:rsidR="005C47A4">
              <w:rPr>
                <w:rFonts w:eastAsiaTheme="minorEastAsia"/>
                <w:noProof/>
                <w:kern w:val="2"/>
                <w:lang w:eastAsia="fr-FR"/>
                <w14:ligatures w14:val="standardContextual"/>
              </w:rPr>
              <w:tab/>
            </w:r>
            <w:r w:rsidR="005C47A4" w:rsidRPr="006B7CE2">
              <w:rPr>
                <w:rStyle w:val="Lienhypertexte"/>
                <w:i/>
                <w:iCs/>
                <w:noProof/>
              </w:rPr>
              <w:t>Sonneratia alba</w:t>
            </w:r>
            <w:r w:rsidR="005C47A4">
              <w:rPr>
                <w:noProof/>
                <w:webHidden/>
              </w:rPr>
              <w:tab/>
            </w:r>
            <w:r w:rsidR="005C47A4">
              <w:rPr>
                <w:noProof/>
                <w:webHidden/>
              </w:rPr>
              <w:fldChar w:fldCharType="begin"/>
            </w:r>
            <w:r w:rsidR="005C47A4">
              <w:rPr>
                <w:noProof/>
                <w:webHidden/>
              </w:rPr>
              <w:instrText xml:space="preserve"> PAGEREF _Toc139181425 \h </w:instrText>
            </w:r>
            <w:r w:rsidR="005C47A4">
              <w:rPr>
                <w:noProof/>
                <w:webHidden/>
              </w:rPr>
            </w:r>
            <w:r w:rsidR="005C47A4">
              <w:rPr>
                <w:noProof/>
                <w:webHidden/>
              </w:rPr>
              <w:fldChar w:fldCharType="separate"/>
            </w:r>
            <w:r w:rsidR="004D7B96">
              <w:rPr>
                <w:noProof/>
                <w:webHidden/>
              </w:rPr>
              <w:t>148</w:t>
            </w:r>
            <w:r w:rsidR="005C47A4">
              <w:rPr>
                <w:noProof/>
                <w:webHidden/>
              </w:rPr>
              <w:fldChar w:fldCharType="end"/>
            </w:r>
          </w:hyperlink>
        </w:p>
        <w:p w14:paraId="219495D7" w14:textId="4D515AAD" w:rsidR="005C47A4" w:rsidRDefault="00000000">
          <w:pPr>
            <w:pStyle w:val="TM2"/>
            <w:tabs>
              <w:tab w:val="left" w:pos="1100"/>
              <w:tab w:val="right" w:leader="dot" w:pos="10416"/>
            </w:tabs>
            <w:rPr>
              <w:rFonts w:eastAsiaTheme="minorEastAsia"/>
              <w:noProof/>
              <w:kern w:val="2"/>
              <w:lang w:eastAsia="fr-FR"/>
              <w14:ligatures w14:val="standardContextual"/>
            </w:rPr>
          </w:pPr>
          <w:hyperlink w:anchor="_Toc139181426" w:history="1">
            <w:r w:rsidR="005C47A4" w:rsidRPr="006B7CE2">
              <w:rPr>
                <w:rStyle w:val="Lienhypertexte"/>
                <w:noProof/>
              </w:rPr>
              <w:t>15.23</w:t>
            </w:r>
            <w:r w:rsidR="005C47A4">
              <w:rPr>
                <w:rFonts w:eastAsiaTheme="minorEastAsia"/>
                <w:noProof/>
                <w:kern w:val="2"/>
                <w:lang w:eastAsia="fr-FR"/>
                <w14:ligatures w14:val="standardContextual"/>
              </w:rPr>
              <w:tab/>
            </w:r>
            <w:r w:rsidR="005C47A4" w:rsidRPr="006B7CE2">
              <w:rPr>
                <w:rStyle w:val="Lienhypertexte"/>
                <w:noProof/>
              </w:rPr>
              <w:t>Palétuvier casse-tête (</w:t>
            </w:r>
            <w:r w:rsidR="005C47A4" w:rsidRPr="006B7CE2">
              <w:rPr>
                <w:rStyle w:val="Lienhypertexte"/>
                <w:i/>
                <w:iCs/>
                <w:noProof/>
              </w:rPr>
              <w:t>Xylocarpus granatum</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_Toc139181426 \h </w:instrText>
            </w:r>
            <w:r w:rsidR="005C47A4">
              <w:rPr>
                <w:noProof/>
                <w:webHidden/>
              </w:rPr>
            </w:r>
            <w:r w:rsidR="005C47A4">
              <w:rPr>
                <w:noProof/>
                <w:webHidden/>
              </w:rPr>
              <w:fldChar w:fldCharType="separate"/>
            </w:r>
            <w:r w:rsidR="004D7B96">
              <w:rPr>
                <w:noProof/>
                <w:webHidden/>
              </w:rPr>
              <w:t>150</w:t>
            </w:r>
            <w:r w:rsidR="005C47A4">
              <w:rPr>
                <w:noProof/>
                <w:webHidden/>
              </w:rPr>
              <w:fldChar w:fldCharType="end"/>
            </w:r>
          </w:hyperlink>
        </w:p>
        <w:p w14:paraId="5C450A68" w14:textId="21F320A2" w:rsidR="005C47A4" w:rsidRDefault="00000000">
          <w:pPr>
            <w:pStyle w:val="TM2"/>
            <w:tabs>
              <w:tab w:val="left" w:pos="1100"/>
              <w:tab w:val="right" w:leader="dot" w:pos="10416"/>
            </w:tabs>
            <w:rPr>
              <w:rFonts w:eastAsiaTheme="minorEastAsia"/>
              <w:noProof/>
              <w:kern w:val="2"/>
              <w:lang w:eastAsia="fr-FR"/>
              <w14:ligatures w14:val="standardContextual"/>
            </w:rPr>
          </w:pPr>
          <w:hyperlink w:anchor="_Toc139181427" w:history="1">
            <w:r w:rsidR="005C47A4" w:rsidRPr="006B7CE2">
              <w:rPr>
                <w:rStyle w:val="Lienhypertexte"/>
                <w:noProof/>
              </w:rPr>
              <w:t>15.24</w:t>
            </w:r>
            <w:r w:rsidR="005C47A4">
              <w:rPr>
                <w:rFonts w:eastAsiaTheme="minorEastAsia"/>
                <w:noProof/>
                <w:kern w:val="2"/>
                <w:lang w:eastAsia="fr-FR"/>
                <w14:ligatures w14:val="standardContextual"/>
              </w:rPr>
              <w:tab/>
            </w:r>
            <w:r w:rsidR="005C47A4" w:rsidRPr="006B7CE2">
              <w:rPr>
                <w:rStyle w:val="Lienhypertexte"/>
                <w:noProof/>
              </w:rPr>
              <w:t>Palétuvier</w:t>
            </w:r>
            <w:r w:rsidR="005C47A4" w:rsidRPr="006B7CE2">
              <w:rPr>
                <w:rStyle w:val="Lienhypertexte"/>
                <w:i/>
                <w:iCs/>
                <w:noProof/>
              </w:rPr>
              <w:t xml:space="preserve"> </w:t>
            </w:r>
            <w:r w:rsidR="005C47A4" w:rsidRPr="006B7CE2">
              <w:rPr>
                <w:rStyle w:val="Lienhypertexte"/>
                <w:noProof/>
              </w:rPr>
              <w:t>Toto margot (</w:t>
            </w:r>
            <w:r w:rsidR="005C47A4" w:rsidRPr="006B7CE2">
              <w:rPr>
                <w:rStyle w:val="Lienhypertexte"/>
                <w:i/>
                <w:iCs/>
                <w:noProof/>
              </w:rPr>
              <w:t>Heritiera littoralis</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_Toc139181427 \h </w:instrText>
            </w:r>
            <w:r w:rsidR="005C47A4">
              <w:rPr>
                <w:noProof/>
                <w:webHidden/>
              </w:rPr>
            </w:r>
            <w:r w:rsidR="005C47A4">
              <w:rPr>
                <w:noProof/>
                <w:webHidden/>
              </w:rPr>
              <w:fldChar w:fldCharType="separate"/>
            </w:r>
            <w:r w:rsidR="004D7B96">
              <w:rPr>
                <w:noProof/>
                <w:webHidden/>
              </w:rPr>
              <w:t>152</w:t>
            </w:r>
            <w:r w:rsidR="005C47A4">
              <w:rPr>
                <w:noProof/>
                <w:webHidden/>
              </w:rPr>
              <w:fldChar w:fldCharType="end"/>
            </w:r>
          </w:hyperlink>
        </w:p>
        <w:p w14:paraId="5FAD258D" w14:textId="7BC952F1" w:rsidR="005C47A4" w:rsidRDefault="00000000">
          <w:pPr>
            <w:pStyle w:val="TM2"/>
            <w:tabs>
              <w:tab w:val="left" w:pos="1100"/>
              <w:tab w:val="right" w:leader="dot" w:pos="10416"/>
            </w:tabs>
            <w:rPr>
              <w:rFonts w:eastAsiaTheme="minorEastAsia"/>
              <w:noProof/>
              <w:kern w:val="2"/>
              <w:lang w:eastAsia="fr-FR"/>
              <w14:ligatures w14:val="standardContextual"/>
            </w:rPr>
          </w:pPr>
          <w:hyperlink w:anchor="_Toc139181428" w:history="1">
            <w:r w:rsidR="005C47A4" w:rsidRPr="006B7CE2">
              <w:rPr>
                <w:rStyle w:val="Lienhypertexte"/>
                <w:noProof/>
              </w:rPr>
              <w:t>15.25</w:t>
            </w:r>
            <w:r w:rsidR="005C47A4">
              <w:rPr>
                <w:rFonts w:eastAsiaTheme="minorEastAsia"/>
                <w:noProof/>
                <w:kern w:val="2"/>
                <w:lang w:eastAsia="fr-FR"/>
                <w14:ligatures w14:val="standardContextual"/>
              </w:rPr>
              <w:tab/>
            </w:r>
            <w:r w:rsidR="005C47A4" w:rsidRPr="006B7CE2">
              <w:rPr>
                <w:rStyle w:val="Lienhypertexte"/>
                <w:noProof/>
              </w:rPr>
              <w:t xml:space="preserve">Techniques de reboisement de la mangrove [pour </w:t>
            </w:r>
            <w:r w:rsidR="005C47A4" w:rsidRPr="006B7CE2">
              <w:rPr>
                <w:rStyle w:val="Lienhypertexte"/>
                <w:i/>
                <w:iCs/>
                <w:noProof/>
              </w:rPr>
              <w:t>Rhizophora sp</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_Toc139181428 \h </w:instrText>
            </w:r>
            <w:r w:rsidR="005C47A4">
              <w:rPr>
                <w:noProof/>
                <w:webHidden/>
              </w:rPr>
            </w:r>
            <w:r w:rsidR="005C47A4">
              <w:rPr>
                <w:noProof/>
                <w:webHidden/>
              </w:rPr>
              <w:fldChar w:fldCharType="separate"/>
            </w:r>
            <w:r w:rsidR="004D7B96">
              <w:rPr>
                <w:noProof/>
                <w:webHidden/>
              </w:rPr>
              <w:t>153</w:t>
            </w:r>
            <w:r w:rsidR="005C47A4">
              <w:rPr>
                <w:noProof/>
                <w:webHidden/>
              </w:rPr>
              <w:fldChar w:fldCharType="end"/>
            </w:r>
          </w:hyperlink>
        </w:p>
        <w:p w14:paraId="10867009" w14:textId="46C26AAC" w:rsidR="005C47A4" w:rsidRDefault="00000000">
          <w:pPr>
            <w:pStyle w:val="TM3"/>
            <w:tabs>
              <w:tab w:val="left" w:pos="1540"/>
              <w:tab w:val="right" w:leader="dot" w:pos="10416"/>
            </w:tabs>
            <w:rPr>
              <w:rFonts w:eastAsiaTheme="minorEastAsia"/>
              <w:noProof/>
              <w:kern w:val="2"/>
              <w:lang w:eastAsia="fr-FR"/>
              <w14:ligatures w14:val="standardContextual"/>
            </w:rPr>
          </w:pPr>
          <w:hyperlink w:anchor="_Toc139181429" w:history="1">
            <w:r w:rsidR="005C47A4" w:rsidRPr="006B7CE2">
              <w:rPr>
                <w:rStyle w:val="Lienhypertexte"/>
                <w:noProof/>
              </w:rPr>
              <w:t>15.25.1</w:t>
            </w:r>
            <w:r w:rsidR="005C47A4">
              <w:rPr>
                <w:rFonts w:eastAsiaTheme="minorEastAsia"/>
                <w:noProof/>
                <w:kern w:val="2"/>
                <w:lang w:eastAsia="fr-FR"/>
                <w14:ligatures w14:val="standardContextual"/>
              </w:rPr>
              <w:tab/>
            </w:r>
            <w:r w:rsidR="005C47A4" w:rsidRPr="006B7CE2">
              <w:rPr>
                <w:rStyle w:val="Lienhypertexte"/>
                <w:noProof/>
              </w:rPr>
              <w:t>Etape 1 : Organiser les équipes</w:t>
            </w:r>
            <w:r w:rsidR="005C47A4">
              <w:rPr>
                <w:noProof/>
                <w:webHidden/>
              </w:rPr>
              <w:tab/>
            </w:r>
            <w:r w:rsidR="005C47A4">
              <w:rPr>
                <w:noProof/>
                <w:webHidden/>
              </w:rPr>
              <w:fldChar w:fldCharType="begin"/>
            </w:r>
            <w:r w:rsidR="005C47A4">
              <w:rPr>
                <w:noProof/>
                <w:webHidden/>
              </w:rPr>
              <w:instrText xml:space="preserve"> PAGEREF _Toc139181429 \h </w:instrText>
            </w:r>
            <w:r w:rsidR="005C47A4">
              <w:rPr>
                <w:noProof/>
                <w:webHidden/>
              </w:rPr>
            </w:r>
            <w:r w:rsidR="005C47A4">
              <w:rPr>
                <w:noProof/>
                <w:webHidden/>
              </w:rPr>
              <w:fldChar w:fldCharType="separate"/>
            </w:r>
            <w:r w:rsidR="004D7B96">
              <w:rPr>
                <w:noProof/>
                <w:webHidden/>
              </w:rPr>
              <w:t>153</w:t>
            </w:r>
            <w:r w:rsidR="005C47A4">
              <w:rPr>
                <w:noProof/>
                <w:webHidden/>
              </w:rPr>
              <w:fldChar w:fldCharType="end"/>
            </w:r>
          </w:hyperlink>
        </w:p>
        <w:p w14:paraId="1084CCA2" w14:textId="5EEB714A" w:rsidR="005C47A4" w:rsidRDefault="00000000">
          <w:pPr>
            <w:pStyle w:val="TM3"/>
            <w:tabs>
              <w:tab w:val="left" w:pos="1540"/>
              <w:tab w:val="right" w:leader="dot" w:pos="10416"/>
            </w:tabs>
            <w:rPr>
              <w:rFonts w:eastAsiaTheme="minorEastAsia"/>
              <w:noProof/>
              <w:kern w:val="2"/>
              <w:lang w:eastAsia="fr-FR"/>
              <w14:ligatures w14:val="standardContextual"/>
            </w:rPr>
          </w:pPr>
          <w:hyperlink w:anchor="_Toc139181430" w:history="1">
            <w:r w:rsidR="005C47A4" w:rsidRPr="006B7CE2">
              <w:rPr>
                <w:rStyle w:val="Lienhypertexte"/>
                <w:noProof/>
              </w:rPr>
              <w:t>15.25.2</w:t>
            </w:r>
            <w:r w:rsidR="005C47A4">
              <w:rPr>
                <w:rFonts w:eastAsiaTheme="minorEastAsia"/>
                <w:noProof/>
                <w:kern w:val="2"/>
                <w:lang w:eastAsia="fr-FR"/>
                <w14:ligatures w14:val="standardContextual"/>
              </w:rPr>
              <w:tab/>
            </w:r>
            <w:r w:rsidR="005C47A4" w:rsidRPr="006B7CE2">
              <w:rPr>
                <w:rStyle w:val="Lienhypertexte"/>
                <w:noProof/>
              </w:rPr>
              <w:t>Etape 2 : Choisir la zone de reboisement</w:t>
            </w:r>
            <w:r w:rsidR="005C47A4">
              <w:rPr>
                <w:noProof/>
                <w:webHidden/>
              </w:rPr>
              <w:tab/>
            </w:r>
            <w:r w:rsidR="005C47A4">
              <w:rPr>
                <w:noProof/>
                <w:webHidden/>
              </w:rPr>
              <w:fldChar w:fldCharType="begin"/>
            </w:r>
            <w:r w:rsidR="005C47A4">
              <w:rPr>
                <w:noProof/>
                <w:webHidden/>
              </w:rPr>
              <w:instrText xml:space="preserve"> PAGEREF _Toc139181430 \h </w:instrText>
            </w:r>
            <w:r w:rsidR="005C47A4">
              <w:rPr>
                <w:noProof/>
                <w:webHidden/>
              </w:rPr>
            </w:r>
            <w:r w:rsidR="005C47A4">
              <w:rPr>
                <w:noProof/>
                <w:webHidden/>
              </w:rPr>
              <w:fldChar w:fldCharType="separate"/>
            </w:r>
            <w:r w:rsidR="004D7B96">
              <w:rPr>
                <w:noProof/>
                <w:webHidden/>
              </w:rPr>
              <w:t>154</w:t>
            </w:r>
            <w:r w:rsidR="005C47A4">
              <w:rPr>
                <w:noProof/>
                <w:webHidden/>
              </w:rPr>
              <w:fldChar w:fldCharType="end"/>
            </w:r>
          </w:hyperlink>
        </w:p>
        <w:p w14:paraId="51AB21A4" w14:textId="2D7ABD90" w:rsidR="005C47A4" w:rsidRDefault="00000000">
          <w:pPr>
            <w:pStyle w:val="TM3"/>
            <w:tabs>
              <w:tab w:val="left" w:pos="1540"/>
              <w:tab w:val="right" w:leader="dot" w:pos="10416"/>
            </w:tabs>
            <w:rPr>
              <w:rFonts w:eastAsiaTheme="minorEastAsia"/>
              <w:noProof/>
              <w:kern w:val="2"/>
              <w:lang w:eastAsia="fr-FR"/>
              <w14:ligatures w14:val="standardContextual"/>
            </w:rPr>
          </w:pPr>
          <w:hyperlink w:anchor="_Toc139181431" w:history="1">
            <w:r w:rsidR="005C47A4" w:rsidRPr="006B7CE2">
              <w:rPr>
                <w:rStyle w:val="Lienhypertexte"/>
                <w:noProof/>
              </w:rPr>
              <w:t>15.25.3</w:t>
            </w:r>
            <w:r w:rsidR="005C47A4">
              <w:rPr>
                <w:rFonts w:eastAsiaTheme="minorEastAsia"/>
                <w:noProof/>
                <w:kern w:val="2"/>
                <w:lang w:eastAsia="fr-FR"/>
                <w14:ligatures w14:val="standardContextual"/>
              </w:rPr>
              <w:tab/>
            </w:r>
            <w:r w:rsidR="005C47A4" w:rsidRPr="006B7CE2">
              <w:rPr>
                <w:rStyle w:val="Lienhypertexte"/>
                <w:noProof/>
              </w:rPr>
              <w:t>Etape 3 : Délimiter la zone de plantation</w:t>
            </w:r>
            <w:r w:rsidR="005C47A4">
              <w:rPr>
                <w:noProof/>
                <w:webHidden/>
              </w:rPr>
              <w:tab/>
            </w:r>
            <w:r w:rsidR="005C47A4">
              <w:rPr>
                <w:noProof/>
                <w:webHidden/>
              </w:rPr>
              <w:fldChar w:fldCharType="begin"/>
            </w:r>
            <w:r w:rsidR="005C47A4">
              <w:rPr>
                <w:noProof/>
                <w:webHidden/>
              </w:rPr>
              <w:instrText xml:space="preserve"> PAGEREF _Toc139181431 \h </w:instrText>
            </w:r>
            <w:r w:rsidR="005C47A4">
              <w:rPr>
                <w:noProof/>
                <w:webHidden/>
              </w:rPr>
            </w:r>
            <w:r w:rsidR="005C47A4">
              <w:rPr>
                <w:noProof/>
                <w:webHidden/>
              </w:rPr>
              <w:fldChar w:fldCharType="separate"/>
            </w:r>
            <w:r w:rsidR="004D7B96">
              <w:rPr>
                <w:noProof/>
                <w:webHidden/>
              </w:rPr>
              <w:t>155</w:t>
            </w:r>
            <w:r w:rsidR="005C47A4">
              <w:rPr>
                <w:noProof/>
                <w:webHidden/>
              </w:rPr>
              <w:fldChar w:fldCharType="end"/>
            </w:r>
          </w:hyperlink>
        </w:p>
        <w:p w14:paraId="2D3672A9" w14:textId="68124D60" w:rsidR="005C47A4" w:rsidRDefault="00000000">
          <w:pPr>
            <w:pStyle w:val="TM3"/>
            <w:tabs>
              <w:tab w:val="left" w:pos="1540"/>
              <w:tab w:val="right" w:leader="dot" w:pos="10416"/>
            </w:tabs>
            <w:rPr>
              <w:rFonts w:eastAsiaTheme="minorEastAsia"/>
              <w:noProof/>
              <w:kern w:val="2"/>
              <w:lang w:eastAsia="fr-FR"/>
              <w14:ligatures w14:val="standardContextual"/>
            </w:rPr>
          </w:pPr>
          <w:hyperlink w:anchor="_Toc139181432" w:history="1">
            <w:r w:rsidR="005C47A4" w:rsidRPr="006B7CE2">
              <w:rPr>
                <w:rStyle w:val="Lienhypertexte"/>
                <w:noProof/>
              </w:rPr>
              <w:t>15.25.4</w:t>
            </w:r>
            <w:r w:rsidR="005C47A4">
              <w:rPr>
                <w:rFonts w:eastAsiaTheme="minorEastAsia"/>
                <w:noProof/>
                <w:kern w:val="2"/>
                <w:lang w:eastAsia="fr-FR"/>
                <w14:ligatures w14:val="standardContextual"/>
              </w:rPr>
              <w:tab/>
            </w:r>
            <w:r w:rsidR="005C47A4" w:rsidRPr="006B7CE2">
              <w:rPr>
                <w:rStyle w:val="Lienhypertexte"/>
                <w:noProof/>
              </w:rPr>
              <w:t>Etape 4 : Récolter les propagules</w:t>
            </w:r>
            <w:r w:rsidR="005C47A4">
              <w:rPr>
                <w:noProof/>
                <w:webHidden/>
              </w:rPr>
              <w:tab/>
            </w:r>
            <w:r w:rsidR="005C47A4">
              <w:rPr>
                <w:noProof/>
                <w:webHidden/>
              </w:rPr>
              <w:fldChar w:fldCharType="begin"/>
            </w:r>
            <w:r w:rsidR="005C47A4">
              <w:rPr>
                <w:noProof/>
                <w:webHidden/>
              </w:rPr>
              <w:instrText xml:space="preserve"> PAGEREF _Toc139181432 \h </w:instrText>
            </w:r>
            <w:r w:rsidR="005C47A4">
              <w:rPr>
                <w:noProof/>
                <w:webHidden/>
              </w:rPr>
            </w:r>
            <w:r w:rsidR="005C47A4">
              <w:rPr>
                <w:noProof/>
                <w:webHidden/>
              </w:rPr>
              <w:fldChar w:fldCharType="separate"/>
            </w:r>
            <w:r w:rsidR="004D7B96">
              <w:rPr>
                <w:noProof/>
                <w:webHidden/>
              </w:rPr>
              <w:t>155</w:t>
            </w:r>
            <w:r w:rsidR="005C47A4">
              <w:rPr>
                <w:noProof/>
                <w:webHidden/>
              </w:rPr>
              <w:fldChar w:fldCharType="end"/>
            </w:r>
          </w:hyperlink>
        </w:p>
        <w:p w14:paraId="1CD98E52" w14:textId="2B9F79FB" w:rsidR="005C47A4" w:rsidRDefault="00000000">
          <w:pPr>
            <w:pStyle w:val="TM3"/>
            <w:tabs>
              <w:tab w:val="left" w:pos="1540"/>
              <w:tab w:val="right" w:leader="dot" w:pos="10416"/>
            </w:tabs>
            <w:rPr>
              <w:rFonts w:eastAsiaTheme="minorEastAsia"/>
              <w:noProof/>
              <w:kern w:val="2"/>
              <w:lang w:eastAsia="fr-FR"/>
              <w14:ligatures w14:val="standardContextual"/>
            </w:rPr>
          </w:pPr>
          <w:hyperlink w:anchor="_Toc139181433" w:history="1">
            <w:r w:rsidR="005C47A4" w:rsidRPr="006B7CE2">
              <w:rPr>
                <w:rStyle w:val="Lienhypertexte"/>
                <w:noProof/>
              </w:rPr>
              <w:t>15.25.5</w:t>
            </w:r>
            <w:r w:rsidR="005C47A4">
              <w:rPr>
                <w:rFonts w:eastAsiaTheme="minorEastAsia"/>
                <w:noProof/>
                <w:kern w:val="2"/>
                <w:lang w:eastAsia="fr-FR"/>
                <w14:ligatures w14:val="standardContextual"/>
              </w:rPr>
              <w:tab/>
            </w:r>
            <w:r w:rsidR="005C47A4" w:rsidRPr="006B7CE2">
              <w:rPr>
                <w:rStyle w:val="Lienhypertexte"/>
                <w:noProof/>
              </w:rPr>
              <w:t>Etape 5 : Trier les propagules</w:t>
            </w:r>
            <w:r w:rsidR="005C47A4">
              <w:rPr>
                <w:noProof/>
                <w:webHidden/>
              </w:rPr>
              <w:tab/>
            </w:r>
            <w:r w:rsidR="005C47A4">
              <w:rPr>
                <w:noProof/>
                <w:webHidden/>
              </w:rPr>
              <w:fldChar w:fldCharType="begin"/>
            </w:r>
            <w:r w:rsidR="005C47A4">
              <w:rPr>
                <w:noProof/>
                <w:webHidden/>
              </w:rPr>
              <w:instrText xml:space="preserve"> PAGEREF _Toc139181433 \h </w:instrText>
            </w:r>
            <w:r w:rsidR="005C47A4">
              <w:rPr>
                <w:noProof/>
                <w:webHidden/>
              </w:rPr>
            </w:r>
            <w:r w:rsidR="005C47A4">
              <w:rPr>
                <w:noProof/>
                <w:webHidden/>
              </w:rPr>
              <w:fldChar w:fldCharType="separate"/>
            </w:r>
            <w:r w:rsidR="004D7B96">
              <w:rPr>
                <w:noProof/>
                <w:webHidden/>
              </w:rPr>
              <w:t>156</w:t>
            </w:r>
            <w:r w:rsidR="005C47A4">
              <w:rPr>
                <w:noProof/>
                <w:webHidden/>
              </w:rPr>
              <w:fldChar w:fldCharType="end"/>
            </w:r>
          </w:hyperlink>
        </w:p>
        <w:p w14:paraId="613599DB" w14:textId="3BD1C849" w:rsidR="005C47A4" w:rsidRDefault="00000000">
          <w:pPr>
            <w:pStyle w:val="TM3"/>
            <w:tabs>
              <w:tab w:val="left" w:pos="1540"/>
              <w:tab w:val="right" w:leader="dot" w:pos="10416"/>
            </w:tabs>
            <w:rPr>
              <w:rFonts w:eastAsiaTheme="minorEastAsia"/>
              <w:noProof/>
              <w:kern w:val="2"/>
              <w:lang w:eastAsia="fr-FR"/>
              <w14:ligatures w14:val="standardContextual"/>
            </w:rPr>
          </w:pPr>
          <w:hyperlink w:anchor="_Toc139181434" w:history="1">
            <w:r w:rsidR="005C47A4" w:rsidRPr="006B7CE2">
              <w:rPr>
                <w:rStyle w:val="Lienhypertexte"/>
                <w:noProof/>
              </w:rPr>
              <w:t>15.25.6</w:t>
            </w:r>
            <w:r w:rsidR="005C47A4">
              <w:rPr>
                <w:rFonts w:eastAsiaTheme="minorEastAsia"/>
                <w:noProof/>
                <w:kern w:val="2"/>
                <w:lang w:eastAsia="fr-FR"/>
                <w14:ligatures w14:val="standardContextual"/>
              </w:rPr>
              <w:tab/>
            </w:r>
            <w:r w:rsidR="005C47A4" w:rsidRPr="006B7CE2">
              <w:rPr>
                <w:rStyle w:val="Lienhypertexte"/>
                <w:noProof/>
              </w:rPr>
              <w:t>Etape 6 : Quadriller / marquer le terrain</w:t>
            </w:r>
            <w:r w:rsidR="005C47A4">
              <w:rPr>
                <w:noProof/>
                <w:webHidden/>
              </w:rPr>
              <w:tab/>
            </w:r>
            <w:r w:rsidR="005C47A4">
              <w:rPr>
                <w:noProof/>
                <w:webHidden/>
              </w:rPr>
              <w:fldChar w:fldCharType="begin"/>
            </w:r>
            <w:r w:rsidR="005C47A4">
              <w:rPr>
                <w:noProof/>
                <w:webHidden/>
              </w:rPr>
              <w:instrText xml:space="preserve"> PAGEREF _Toc139181434 \h </w:instrText>
            </w:r>
            <w:r w:rsidR="005C47A4">
              <w:rPr>
                <w:noProof/>
                <w:webHidden/>
              </w:rPr>
            </w:r>
            <w:r w:rsidR="005C47A4">
              <w:rPr>
                <w:noProof/>
                <w:webHidden/>
              </w:rPr>
              <w:fldChar w:fldCharType="separate"/>
            </w:r>
            <w:r w:rsidR="004D7B96">
              <w:rPr>
                <w:noProof/>
                <w:webHidden/>
              </w:rPr>
              <w:t>157</w:t>
            </w:r>
            <w:r w:rsidR="005C47A4">
              <w:rPr>
                <w:noProof/>
                <w:webHidden/>
              </w:rPr>
              <w:fldChar w:fldCharType="end"/>
            </w:r>
          </w:hyperlink>
        </w:p>
        <w:p w14:paraId="605C5DFE" w14:textId="0ADF87AF" w:rsidR="005C47A4" w:rsidRDefault="00000000">
          <w:pPr>
            <w:pStyle w:val="TM3"/>
            <w:tabs>
              <w:tab w:val="left" w:pos="1540"/>
              <w:tab w:val="right" w:leader="dot" w:pos="10416"/>
            </w:tabs>
            <w:rPr>
              <w:rFonts w:eastAsiaTheme="minorEastAsia"/>
              <w:noProof/>
              <w:kern w:val="2"/>
              <w:lang w:eastAsia="fr-FR"/>
              <w14:ligatures w14:val="standardContextual"/>
            </w:rPr>
          </w:pPr>
          <w:hyperlink w:anchor="_Toc139181435" w:history="1">
            <w:r w:rsidR="005C47A4" w:rsidRPr="006B7CE2">
              <w:rPr>
                <w:rStyle w:val="Lienhypertexte"/>
                <w:noProof/>
              </w:rPr>
              <w:t>15.25.7</w:t>
            </w:r>
            <w:r w:rsidR="005C47A4">
              <w:rPr>
                <w:rFonts w:eastAsiaTheme="minorEastAsia"/>
                <w:noProof/>
                <w:kern w:val="2"/>
                <w:lang w:eastAsia="fr-FR"/>
                <w14:ligatures w14:val="standardContextual"/>
              </w:rPr>
              <w:tab/>
            </w:r>
            <w:r w:rsidR="005C47A4" w:rsidRPr="006B7CE2">
              <w:rPr>
                <w:rStyle w:val="Lienhypertexte"/>
                <w:noProof/>
              </w:rPr>
              <w:t>Etape 7 : Planter</w:t>
            </w:r>
            <w:r w:rsidR="005C47A4">
              <w:rPr>
                <w:noProof/>
                <w:webHidden/>
              </w:rPr>
              <w:tab/>
            </w:r>
            <w:r w:rsidR="005C47A4">
              <w:rPr>
                <w:noProof/>
                <w:webHidden/>
              </w:rPr>
              <w:fldChar w:fldCharType="begin"/>
            </w:r>
            <w:r w:rsidR="005C47A4">
              <w:rPr>
                <w:noProof/>
                <w:webHidden/>
              </w:rPr>
              <w:instrText xml:space="preserve"> PAGEREF _Toc139181435 \h </w:instrText>
            </w:r>
            <w:r w:rsidR="005C47A4">
              <w:rPr>
                <w:noProof/>
                <w:webHidden/>
              </w:rPr>
            </w:r>
            <w:r w:rsidR="005C47A4">
              <w:rPr>
                <w:noProof/>
                <w:webHidden/>
              </w:rPr>
              <w:fldChar w:fldCharType="separate"/>
            </w:r>
            <w:r w:rsidR="004D7B96">
              <w:rPr>
                <w:noProof/>
                <w:webHidden/>
              </w:rPr>
              <w:t>158</w:t>
            </w:r>
            <w:r w:rsidR="005C47A4">
              <w:rPr>
                <w:noProof/>
                <w:webHidden/>
              </w:rPr>
              <w:fldChar w:fldCharType="end"/>
            </w:r>
          </w:hyperlink>
        </w:p>
        <w:p w14:paraId="528EC7A4" w14:textId="095BD316" w:rsidR="005C47A4" w:rsidRDefault="00000000">
          <w:pPr>
            <w:pStyle w:val="TM3"/>
            <w:tabs>
              <w:tab w:val="left" w:pos="1540"/>
              <w:tab w:val="right" w:leader="dot" w:pos="10416"/>
            </w:tabs>
            <w:rPr>
              <w:rFonts w:eastAsiaTheme="minorEastAsia"/>
              <w:noProof/>
              <w:kern w:val="2"/>
              <w:lang w:eastAsia="fr-FR"/>
              <w14:ligatures w14:val="standardContextual"/>
            </w:rPr>
          </w:pPr>
          <w:hyperlink w:anchor="_Toc139181436" w:history="1">
            <w:r w:rsidR="005C47A4" w:rsidRPr="006B7CE2">
              <w:rPr>
                <w:rStyle w:val="Lienhypertexte"/>
                <w:noProof/>
              </w:rPr>
              <w:t>15.25.8</w:t>
            </w:r>
            <w:r w:rsidR="005C47A4">
              <w:rPr>
                <w:rFonts w:eastAsiaTheme="minorEastAsia"/>
                <w:noProof/>
                <w:kern w:val="2"/>
                <w:lang w:eastAsia="fr-FR"/>
                <w14:ligatures w14:val="standardContextual"/>
              </w:rPr>
              <w:tab/>
            </w:r>
            <w:r w:rsidR="005C47A4" w:rsidRPr="006B7CE2">
              <w:rPr>
                <w:rStyle w:val="Lienhypertexte"/>
                <w:noProof/>
              </w:rPr>
              <w:t>Etape 8 : Prendre soin des jeunes plants</w:t>
            </w:r>
            <w:r w:rsidR="005C47A4">
              <w:rPr>
                <w:noProof/>
                <w:webHidden/>
              </w:rPr>
              <w:tab/>
            </w:r>
            <w:r w:rsidR="005C47A4">
              <w:rPr>
                <w:noProof/>
                <w:webHidden/>
              </w:rPr>
              <w:fldChar w:fldCharType="begin"/>
            </w:r>
            <w:r w:rsidR="005C47A4">
              <w:rPr>
                <w:noProof/>
                <w:webHidden/>
              </w:rPr>
              <w:instrText xml:space="preserve"> PAGEREF _Toc139181436 \h </w:instrText>
            </w:r>
            <w:r w:rsidR="005C47A4">
              <w:rPr>
                <w:noProof/>
                <w:webHidden/>
              </w:rPr>
            </w:r>
            <w:r w:rsidR="005C47A4">
              <w:rPr>
                <w:noProof/>
                <w:webHidden/>
              </w:rPr>
              <w:fldChar w:fldCharType="separate"/>
            </w:r>
            <w:r w:rsidR="004D7B96">
              <w:rPr>
                <w:noProof/>
                <w:webHidden/>
              </w:rPr>
              <w:t>158</w:t>
            </w:r>
            <w:r w:rsidR="005C47A4">
              <w:rPr>
                <w:noProof/>
                <w:webHidden/>
              </w:rPr>
              <w:fldChar w:fldCharType="end"/>
            </w:r>
          </w:hyperlink>
        </w:p>
        <w:p w14:paraId="4A8DCDC5" w14:textId="621DCA74" w:rsidR="005C47A4" w:rsidRDefault="00000000">
          <w:pPr>
            <w:pStyle w:val="TM2"/>
            <w:tabs>
              <w:tab w:val="left" w:pos="1100"/>
              <w:tab w:val="right" w:leader="dot" w:pos="10416"/>
            </w:tabs>
            <w:rPr>
              <w:rFonts w:eastAsiaTheme="minorEastAsia"/>
              <w:noProof/>
              <w:kern w:val="2"/>
              <w:lang w:eastAsia="fr-FR"/>
              <w14:ligatures w14:val="standardContextual"/>
            </w:rPr>
          </w:pPr>
          <w:hyperlink w:anchor="_Toc139181437" w:history="1">
            <w:r w:rsidR="005C47A4" w:rsidRPr="006B7CE2">
              <w:rPr>
                <w:rStyle w:val="Lienhypertexte"/>
                <w:noProof/>
              </w:rPr>
              <w:t>15.26</w:t>
            </w:r>
            <w:r w:rsidR="005C47A4">
              <w:rPr>
                <w:rFonts w:eastAsiaTheme="minorEastAsia"/>
                <w:noProof/>
                <w:kern w:val="2"/>
                <w:lang w:eastAsia="fr-FR"/>
                <w14:ligatures w14:val="standardContextual"/>
              </w:rPr>
              <w:tab/>
            </w:r>
            <w:r w:rsidR="005C47A4" w:rsidRPr="006B7CE2">
              <w:rPr>
                <w:rStyle w:val="Lienhypertexte"/>
                <w:noProof/>
              </w:rPr>
              <w:t>Des projets de reboisement de mangroves dans le monde, sources d’inspiration</w:t>
            </w:r>
            <w:r w:rsidR="005C47A4">
              <w:rPr>
                <w:noProof/>
                <w:webHidden/>
              </w:rPr>
              <w:tab/>
            </w:r>
            <w:r w:rsidR="005C47A4">
              <w:rPr>
                <w:noProof/>
                <w:webHidden/>
              </w:rPr>
              <w:fldChar w:fldCharType="begin"/>
            </w:r>
            <w:r w:rsidR="005C47A4">
              <w:rPr>
                <w:noProof/>
                <w:webHidden/>
              </w:rPr>
              <w:instrText xml:space="preserve"> PAGEREF _Toc139181437 \h </w:instrText>
            </w:r>
            <w:r w:rsidR="005C47A4">
              <w:rPr>
                <w:noProof/>
                <w:webHidden/>
              </w:rPr>
            </w:r>
            <w:r w:rsidR="005C47A4">
              <w:rPr>
                <w:noProof/>
                <w:webHidden/>
              </w:rPr>
              <w:fldChar w:fldCharType="separate"/>
            </w:r>
            <w:r w:rsidR="004D7B96">
              <w:rPr>
                <w:noProof/>
                <w:webHidden/>
              </w:rPr>
              <w:t>159</w:t>
            </w:r>
            <w:r w:rsidR="005C47A4">
              <w:rPr>
                <w:noProof/>
                <w:webHidden/>
              </w:rPr>
              <w:fldChar w:fldCharType="end"/>
            </w:r>
          </w:hyperlink>
        </w:p>
        <w:p w14:paraId="3D1BEDB0" w14:textId="2F97F64E" w:rsidR="005C47A4" w:rsidRDefault="00000000">
          <w:pPr>
            <w:pStyle w:val="TM2"/>
            <w:tabs>
              <w:tab w:val="left" w:pos="1100"/>
              <w:tab w:val="right" w:leader="dot" w:pos="10416"/>
            </w:tabs>
            <w:rPr>
              <w:rFonts w:eastAsiaTheme="minorEastAsia"/>
              <w:noProof/>
              <w:kern w:val="2"/>
              <w:lang w:eastAsia="fr-FR"/>
              <w14:ligatures w14:val="standardContextual"/>
            </w:rPr>
          </w:pPr>
          <w:hyperlink w:anchor="_Toc139181438" w:history="1">
            <w:r w:rsidR="005C47A4" w:rsidRPr="006B7CE2">
              <w:rPr>
                <w:rStyle w:val="Lienhypertexte"/>
                <w:noProof/>
              </w:rPr>
              <w:t>15.27</w:t>
            </w:r>
            <w:r w:rsidR="005C47A4">
              <w:rPr>
                <w:rFonts w:eastAsiaTheme="minorEastAsia"/>
                <w:noProof/>
                <w:kern w:val="2"/>
                <w:lang w:eastAsia="fr-FR"/>
                <w14:ligatures w14:val="standardContextual"/>
              </w:rPr>
              <w:tab/>
            </w:r>
            <w:r w:rsidR="005C47A4" w:rsidRPr="006B7CE2">
              <w:rPr>
                <w:rStyle w:val="Lienhypertexte"/>
                <w:noProof/>
              </w:rPr>
              <w:t>Technique de culture en pépinière</w:t>
            </w:r>
            <w:r w:rsidR="005C47A4">
              <w:rPr>
                <w:noProof/>
                <w:webHidden/>
              </w:rPr>
              <w:tab/>
            </w:r>
            <w:r w:rsidR="005C47A4">
              <w:rPr>
                <w:noProof/>
                <w:webHidden/>
              </w:rPr>
              <w:fldChar w:fldCharType="begin"/>
            </w:r>
            <w:r w:rsidR="005C47A4">
              <w:rPr>
                <w:noProof/>
                <w:webHidden/>
              </w:rPr>
              <w:instrText xml:space="preserve"> PAGEREF _Toc139181438 \h </w:instrText>
            </w:r>
            <w:r w:rsidR="005C47A4">
              <w:rPr>
                <w:noProof/>
                <w:webHidden/>
              </w:rPr>
            </w:r>
            <w:r w:rsidR="005C47A4">
              <w:rPr>
                <w:noProof/>
                <w:webHidden/>
              </w:rPr>
              <w:fldChar w:fldCharType="separate"/>
            </w:r>
            <w:r w:rsidR="004D7B96">
              <w:rPr>
                <w:noProof/>
                <w:webHidden/>
              </w:rPr>
              <w:t>160</w:t>
            </w:r>
            <w:r w:rsidR="005C47A4">
              <w:rPr>
                <w:noProof/>
                <w:webHidden/>
              </w:rPr>
              <w:fldChar w:fldCharType="end"/>
            </w:r>
          </w:hyperlink>
        </w:p>
        <w:p w14:paraId="737A3AB9" w14:textId="2EAD2BF0" w:rsidR="005C47A4" w:rsidRDefault="00000000">
          <w:pPr>
            <w:pStyle w:val="TM3"/>
            <w:tabs>
              <w:tab w:val="left" w:pos="1540"/>
              <w:tab w:val="right" w:leader="dot" w:pos="10416"/>
            </w:tabs>
            <w:rPr>
              <w:rFonts w:eastAsiaTheme="minorEastAsia"/>
              <w:noProof/>
              <w:kern w:val="2"/>
              <w:lang w:eastAsia="fr-FR"/>
              <w14:ligatures w14:val="standardContextual"/>
            </w:rPr>
          </w:pPr>
          <w:hyperlink w:anchor="_Toc139181439" w:history="1">
            <w:r w:rsidR="005C47A4" w:rsidRPr="006B7CE2">
              <w:rPr>
                <w:rStyle w:val="Lienhypertexte"/>
                <w:noProof/>
              </w:rPr>
              <w:t>15.27.1</w:t>
            </w:r>
            <w:r w:rsidR="005C47A4">
              <w:rPr>
                <w:rFonts w:eastAsiaTheme="minorEastAsia"/>
                <w:noProof/>
                <w:kern w:val="2"/>
                <w:lang w:eastAsia="fr-FR"/>
                <w14:ligatures w14:val="standardContextual"/>
              </w:rPr>
              <w:tab/>
            </w:r>
            <w:r w:rsidR="005C47A4" w:rsidRPr="006B7CE2">
              <w:rPr>
                <w:rStyle w:val="Lienhypertexte"/>
                <w:noProof/>
              </w:rPr>
              <w:t>Soins et entretiens dans une pépinière</w:t>
            </w:r>
            <w:r w:rsidR="005C47A4">
              <w:rPr>
                <w:noProof/>
                <w:webHidden/>
              </w:rPr>
              <w:tab/>
            </w:r>
            <w:r w:rsidR="005C47A4">
              <w:rPr>
                <w:noProof/>
                <w:webHidden/>
              </w:rPr>
              <w:fldChar w:fldCharType="begin"/>
            </w:r>
            <w:r w:rsidR="005C47A4">
              <w:rPr>
                <w:noProof/>
                <w:webHidden/>
              </w:rPr>
              <w:instrText xml:space="preserve"> PAGEREF _Toc139181439 \h </w:instrText>
            </w:r>
            <w:r w:rsidR="005C47A4">
              <w:rPr>
                <w:noProof/>
                <w:webHidden/>
              </w:rPr>
            </w:r>
            <w:r w:rsidR="005C47A4">
              <w:rPr>
                <w:noProof/>
                <w:webHidden/>
              </w:rPr>
              <w:fldChar w:fldCharType="separate"/>
            </w:r>
            <w:r w:rsidR="004D7B96">
              <w:rPr>
                <w:noProof/>
                <w:webHidden/>
              </w:rPr>
              <w:t>162</w:t>
            </w:r>
            <w:r w:rsidR="005C47A4">
              <w:rPr>
                <w:noProof/>
                <w:webHidden/>
              </w:rPr>
              <w:fldChar w:fldCharType="end"/>
            </w:r>
          </w:hyperlink>
        </w:p>
        <w:p w14:paraId="332BB77B" w14:textId="4BD3AD41" w:rsidR="005C47A4" w:rsidRDefault="00000000">
          <w:pPr>
            <w:pStyle w:val="TM1"/>
            <w:tabs>
              <w:tab w:val="left" w:pos="660"/>
              <w:tab w:val="right" w:leader="dot" w:pos="10416"/>
            </w:tabs>
            <w:rPr>
              <w:rFonts w:eastAsiaTheme="minorEastAsia"/>
              <w:noProof/>
              <w:kern w:val="2"/>
              <w:lang w:eastAsia="fr-FR"/>
              <w14:ligatures w14:val="standardContextual"/>
            </w:rPr>
          </w:pPr>
          <w:hyperlink w:anchor="_Toc139181440" w:history="1">
            <w:r w:rsidR="005C47A4" w:rsidRPr="006B7CE2">
              <w:rPr>
                <w:rStyle w:val="Lienhypertexte"/>
                <w:noProof/>
              </w:rPr>
              <w:t>16</w:t>
            </w:r>
            <w:r w:rsidR="005C47A4">
              <w:rPr>
                <w:rFonts w:eastAsiaTheme="minorEastAsia"/>
                <w:noProof/>
                <w:kern w:val="2"/>
                <w:lang w:eastAsia="fr-FR"/>
                <w14:ligatures w14:val="standardContextual"/>
              </w:rPr>
              <w:tab/>
            </w:r>
            <w:r w:rsidR="005C47A4" w:rsidRPr="006B7CE2">
              <w:rPr>
                <w:rStyle w:val="Lienhypertexte"/>
                <w:noProof/>
              </w:rPr>
              <w:t>Plantes halophytes alimentaires du bord de mer</w:t>
            </w:r>
            <w:r w:rsidR="005C47A4">
              <w:rPr>
                <w:noProof/>
                <w:webHidden/>
              </w:rPr>
              <w:tab/>
            </w:r>
            <w:r w:rsidR="005C47A4">
              <w:rPr>
                <w:noProof/>
                <w:webHidden/>
              </w:rPr>
              <w:fldChar w:fldCharType="begin"/>
            </w:r>
            <w:r w:rsidR="005C47A4">
              <w:rPr>
                <w:noProof/>
                <w:webHidden/>
              </w:rPr>
              <w:instrText xml:space="preserve"> PAGEREF _Toc139181440 \h </w:instrText>
            </w:r>
            <w:r w:rsidR="005C47A4">
              <w:rPr>
                <w:noProof/>
                <w:webHidden/>
              </w:rPr>
            </w:r>
            <w:r w:rsidR="005C47A4">
              <w:rPr>
                <w:noProof/>
                <w:webHidden/>
              </w:rPr>
              <w:fldChar w:fldCharType="separate"/>
            </w:r>
            <w:r w:rsidR="004D7B96">
              <w:rPr>
                <w:noProof/>
                <w:webHidden/>
              </w:rPr>
              <w:t>166</w:t>
            </w:r>
            <w:r w:rsidR="005C47A4">
              <w:rPr>
                <w:noProof/>
                <w:webHidden/>
              </w:rPr>
              <w:fldChar w:fldCharType="end"/>
            </w:r>
          </w:hyperlink>
        </w:p>
        <w:p w14:paraId="2F2AAF4B" w14:textId="2E55B313"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441" w:history="1">
            <w:r w:rsidR="005C47A4" w:rsidRPr="006B7CE2">
              <w:rPr>
                <w:rStyle w:val="Lienhypertexte"/>
                <w:noProof/>
              </w:rPr>
              <w:t>16.1</w:t>
            </w:r>
            <w:r w:rsidR="005C47A4">
              <w:rPr>
                <w:rFonts w:eastAsiaTheme="minorEastAsia"/>
                <w:noProof/>
                <w:kern w:val="2"/>
                <w:lang w:eastAsia="fr-FR"/>
                <w14:ligatures w14:val="standardContextual"/>
              </w:rPr>
              <w:tab/>
            </w:r>
            <w:r w:rsidR="005C47A4" w:rsidRPr="006B7CE2">
              <w:rPr>
                <w:rStyle w:val="Lienhypertexte"/>
                <w:noProof/>
              </w:rPr>
              <w:t>Halophyte : définition</w:t>
            </w:r>
            <w:r w:rsidR="005C47A4">
              <w:rPr>
                <w:noProof/>
                <w:webHidden/>
              </w:rPr>
              <w:tab/>
            </w:r>
            <w:r w:rsidR="005C47A4">
              <w:rPr>
                <w:noProof/>
                <w:webHidden/>
              </w:rPr>
              <w:fldChar w:fldCharType="begin"/>
            </w:r>
            <w:r w:rsidR="005C47A4">
              <w:rPr>
                <w:noProof/>
                <w:webHidden/>
              </w:rPr>
              <w:instrText xml:space="preserve"> PAGEREF _Toc139181441 \h </w:instrText>
            </w:r>
            <w:r w:rsidR="005C47A4">
              <w:rPr>
                <w:noProof/>
                <w:webHidden/>
              </w:rPr>
            </w:r>
            <w:r w:rsidR="005C47A4">
              <w:rPr>
                <w:noProof/>
                <w:webHidden/>
              </w:rPr>
              <w:fldChar w:fldCharType="separate"/>
            </w:r>
            <w:r w:rsidR="004D7B96">
              <w:rPr>
                <w:noProof/>
                <w:webHidden/>
              </w:rPr>
              <w:t>166</w:t>
            </w:r>
            <w:r w:rsidR="005C47A4">
              <w:rPr>
                <w:noProof/>
                <w:webHidden/>
              </w:rPr>
              <w:fldChar w:fldCharType="end"/>
            </w:r>
          </w:hyperlink>
        </w:p>
        <w:p w14:paraId="1393A046" w14:textId="75CB15F0"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442" w:history="1">
            <w:r w:rsidR="005C47A4" w:rsidRPr="006B7CE2">
              <w:rPr>
                <w:rStyle w:val="Lienhypertexte"/>
                <w:noProof/>
              </w:rPr>
              <w:t>16.2</w:t>
            </w:r>
            <w:r w:rsidR="005C47A4">
              <w:rPr>
                <w:rFonts w:eastAsiaTheme="minorEastAsia"/>
                <w:noProof/>
                <w:kern w:val="2"/>
                <w:lang w:eastAsia="fr-FR"/>
                <w14:ligatures w14:val="standardContextual"/>
              </w:rPr>
              <w:tab/>
            </w:r>
            <w:r w:rsidR="005C47A4" w:rsidRPr="006B7CE2">
              <w:rPr>
                <w:rStyle w:val="Lienhypertexte"/>
                <w:noProof/>
              </w:rPr>
              <w:t>Salicornes (</w:t>
            </w:r>
            <w:r w:rsidR="005C47A4" w:rsidRPr="006B7CE2">
              <w:rPr>
                <w:rStyle w:val="Lienhypertexte"/>
                <w:i/>
                <w:iCs/>
                <w:noProof/>
              </w:rPr>
              <w:t>Salicornia sp</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_Toc139181442 \h </w:instrText>
            </w:r>
            <w:r w:rsidR="005C47A4">
              <w:rPr>
                <w:noProof/>
                <w:webHidden/>
              </w:rPr>
            </w:r>
            <w:r w:rsidR="005C47A4">
              <w:rPr>
                <w:noProof/>
                <w:webHidden/>
              </w:rPr>
              <w:fldChar w:fldCharType="separate"/>
            </w:r>
            <w:r w:rsidR="004D7B96">
              <w:rPr>
                <w:noProof/>
                <w:webHidden/>
              </w:rPr>
              <w:t>167</w:t>
            </w:r>
            <w:r w:rsidR="005C47A4">
              <w:rPr>
                <w:noProof/>
                <w:webHidden/>
              </w:rPr>
              <w:fldChar w:fldCharType="end"/>
            </w:r>
          </w:hyperlink>
        </w:p>
        <w:p w14:paraId="2178509C" w14:textId="53706982"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443" w:history="1">
            <w:r w:rsidR="005C47A4" w:rsidRPr="006B7CE2">
              <w:rPr>
                <w:rStyle w:val="Lienhypertexte"/>
                <w:noProof/>
              </w:rPr>
              <w:t>16.3</w:t>
            </w:r>
            <w:r w:rsidR="005C47A4">
              <w:rPr>
                <w:rFonts w:eastAsiaTheme="minorEastAsia"/>
                <w:noProof/>
                <w:kern w:val="2"/>
                <w:lang w:eastAsia="fr-FR"/>
                <w14:ligatures w14:val="standardContextual"/>
              </w:rPr>
              <w:tab/>
            </w:r>
            <w:r w:rsidR="005C47A4" w:rsidRPr="006B7CE2">
              <w:rPr>
                <w:rStyle w:val="Lienhypertexte"/>
                <w:noProof/>
              </w:rPr>
              <w:t>Salicornes de climats tropicaux</w:t>
            </w:r>
            <w:r w:rsidR="005C47A4">
              <w:rPr>
                <w:noProof/>
                <w:webHidden/>
              </w:rPr>
              <w:tab/>
            </w:r>
            <w:r w:rsidR="005C47A4">
              <w:rPr>
                <w:noProof/>
                <w:webHidden/>
              </w:rPr>
              <w:fldChar w:fldCharType="begin"/>
            </w:r>
            <w:r w:rsidR="005C47A4">
              <w:rPr>
                <w:noProof/>
                <w:webHidden/>
              </w:rPr>
              <w:instrText xml:space="preserve"> PAGEREF _Toc139181443 \h </w:instrText>
            </w:r>
            <w:r w:rsidR="005C47A4">
              <w:rPr>
                <w:noProof/>
                <w:webHidden/>
              </w:rPr>
            </w:r>
            <w:r w:rsidR="005C47A4">
              <w:rPr>
                <w:noProof/>
                <w:webHidden/>
              </w:rPr>
              <w:fldChar w:fldCharType="separate"/>
            </w:r>
            <w:r w:rsidR="004D7B96">
              <w:rPr>
                <w:noProof/>
                <w:webHidden/>
              </w:rPr>
              <w:t>168</w:t>
            </w:r>
            <w:r w:rsidR="005C47A4">
              <w:rPr>
                <w:noProof/>
                <w:webHidden/>
              </w:rPr>
              <w:fldChar w:fldCharType="end"/>
            </w:r>
          </w:hyperlink>
        </w:p>
        <w:p w14:paraId="1FB92679" w14:textId="1DABE7E3"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444" w:history="1">
            <w:r w:rsidR="005C47A4" w:rsidRPr="006B7CE2">
              <w:rPr>
                <w:rStyle w:val="Lienhypertexte"/>
                <w:noProof/>
              </w:rPr>
              <w:t>16.4</w:t>
            </w:r>
            <w:r w:rsidR="005C47A4">
              <w:rPr>
                <w:rFonts w:eastAsiaTheme="minorEastAsia"/>
                <w:noProof/>
                <w:kern w:val="2"/>
                <w:lang w:eastAsia="fr-FR"/>
                <w14:ligatures w14:val="standardContextual"/>
              </w:rPr>
              <w:tab/>
            </w:r>
            <w:r w:rsidR="005C47A4" w:rsidRPr="006B7CE2">
              <w:rPr>
                <w:rStyle w:val="Lienhypertexte"/>
                <w:noProof/>
              </w:rPr>
              <w:t>Salicorne naine (</w:t>
            </w:r>
            <w:r w:rsidR="005C47A4" w:rsidRPr="006B7CE2">
              <w:rPr>
                <w:rStyle w:val="Lienhypertexte"/>
                <w:i/>
                <w:iCs/>
                <w:noProof/>
              </w:rPr>
              <w:t>Salicornia bigelovii</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_Toc139181444 \h </w:instrText>
            </w:r>
            <w:r w:rsidR="005C47A4">
              <w:rPr>
                <w:noProof/>
                <w:webHidden/>
              </w:rPr>
            </w:r>
            <w:r w:rsidR="005C47A4">
              <w:rPr>
                <w:noProof/>
                <w:webHidden/>
              </w:rPr>
              <w:fldChar w:fldCharType="separate"/>
            </w:r>
            <w:r w:rsidR="004D7B96">
              <w:rPr>
                <w:noProof/>
                <w:webHidden/>
              </w:rPr>
              <w:t>169</w:t>
            </w:r>
            <w:r w:rsidR="005C47A4">
              <w:rPr>
                <w:noProof/>
                <w:webHidden/>
              </w:rPr>
              <w:fldChar w:fldCharType="end"/>
            </w:r>
          </w:hyperlink>
        </w:p>
        <w:p w14:paraId="1D05B378" w14:textId="7D68B495"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445" w:history="1">
            <w:r w:rsidR="005C47A4" w:rsidRPr="006B7CE2">
              <w:rPr>
                <w:rStyle w:val="Lienhypertexte"/>
                <w:noProof/>
              </w:rPr>
              <w:t>16.5</w:t>
            </w:r>
            <w:r w:rsidR="005C47A4">
              <w:rPr>
                <w:rFonts w:eastAsiaTheme="minorEastAsia"/>
                <w:noProof/>
                <w:kern w:val="2"/>
                <w:lang w:eastAsia="fr-FR"/>
                <w14:ligatures w14:val="standardContextual"/>
              </w:rPr>
              <w:tab/>
            </w:r>
            <w:r w:rsidR="005C47A4" w:rsidRPr="006B7CE2">
              <w:rPr>
                <w:rStyle w:val="Lienhypertexte"/>
                <w:noProof/>
              </w:rPr>
              <w:t>Zostère marine, herbe de mer, varech marin ou riz de mer (</w:t>
            </w:r>
            <w:r w:rsidR="005C47A4" w:rsidRPr="006B7CE2">
              <w:rPr>
                <w:rStyle w:val="Lienhypertexte"/>
                <w:i/>
                <w:iCs/>
                <w:noProof/>
              </w:rPr>
              <w:t>Zostera marina</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_Toc139181445 \h </w:instrText>
            </w:r>
            <w:r w:rsidR="005C47A4">
              <w:rPr>
                <w:noProof/>
                <w:webHidden/>
              </w:rPr>
            </w:r>
            <w:r w:rsidR="005C47A4">
              <w:rPr>
                <w:noProof/>
                <w:webHidden/>
              </w:rPr>
              <w:fldChar w:fldCharType="separate"/>
            </w:r>
            <w:r w:rsidR="004D7B96">
              <w:rPr>
                <w:noProof/>
                <w:webHidden/>
              </w:rPr>
              <w:t>170</w:t>
            </w:r>
            <w:r w:rsidR="005C47A4">
              <w:rPr>
                <w:noProof/>
                <w:webHidden/>
              </w:rPr>
              <w:fldChar w:fldCharType="end"/>
            </w:r>
          </w:hyperlink>
        </w:p>
        <w:p w14:paraId="7EC2CF51" w14:textId="470A34D5" w:rsidR="005C47A4" w:rsidRDefault="00000000">
          <w:pPr>
            <w:pStyle w:val="TM1"/>
            <w:tabs>
              <w:tab w:val="left" w:pos="660"/>
              <w:tab w:val="right" w:leader="dot" w:pos="10416"/>
            </w:tabs>
            <w:rPr>
              <w:rFonts w:eastAsiaTheme="minorEastAsia"/>
              <w:noProof/>
              <w:kern w:val="2"/>
              <w:lang w:eastAsia="fr-FR"/>
              <w14:ligatures w14:val="standardContextual"/>
            </w:rPr>
          </w:pPr>
          <w:hyperlink w:anchor="_Toc139181446" w:history="1">
            <w:r w:rsidR="005C47A4" w:rsidRPr="006B7CE2">
              <w:rPr>
                <w:rStyle w:val="Lienhypertexte"/>
                <w:noProof/>
              </w:rPr>
              <w:t>17</w:t>
            </w:r>
            <w:r w:rsidR="005C47A4">
              <w:rPr>
                <w:rFonts w:eastAsiaTheme="minorEastAsia"/>
                <w:noProof/>
                <w:kern w:val="2"/>
                <w:lang w:eastAsia="fr-FR"/>
                <w14:ligatures w14:val="standardContextual"/>
              </w:rPr>
              <w:tab/>
            </w:r>
            <w:r w:rsidR="005C47A4" w:rsidRPr="006B7CE2">
              <w:rPr>
                <w:rStyle w:val="Lienhypertexte"/>
                <w:noProof/>
              </w:rPr>
              <w:t>Plantes herbacées alimentaires pouvant supporter une certaine dose de sel</w:t>
            </w:r>
            <w:r w:rsidR="005C47A4">
              <w:rPr>
                <w:noProof/>
                <w:webHidden/>
              </w:rPr>
              <w:tab/>
            </w:r>
            <w:r w:rsidR="005C47A4">
              <w:rPr>
                <w:noProof/>
                <w:webHidden/>
              </w:rPr>
              <w:fldChar w:fldCharType="begin"/>
            </w:r>
            <w:r w:rsidR="005C47A4">
              <w:rPr>
                <w:noProof/>
                <w:webHidden/>
              </w:rPr>
              <w:instrText xml:space="preserve"> PAGEREF _Toc139181446 \h </w:instrText>
            </w:r>
            <w:r w:rsidR="005C47A4">
              <w:rPr>
                <w:noProof/>
                <w:webHidden/>
              </w:rPr>
            </w:r>
            <w:r w:rsidR="005C47A4">
              <w:rPr>
                <w:noProof/>
                <w:webHidden/>
              </w:rPr>
              <w:fldChar w:fldCharType="separate"/>
            </w:r>
            <w:r w:rsidR="004D7B96">
              <w:rPr>
                <w:noProof/>
                <w:webHidden/>
              </w:rPr>
              <w:t>171</w:t>
            </w:r>
            <w:r w:rsidR="005C47A4">
              <w:rPr>
                <w:noProof/>
                <w:webHidden/>
              </w:rPr>
              <w:fldChar w:fldCharType="end"/>
            </w:r>
          </w:hyperlink>
        </w:p>
        <w:p w14:paraId="129856A2" w14:textId="3C8D290A"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447" w:history="1">
            <w:r w:rsidR="005C47A4" w:rsidRPr="006B7CE2">
              <w:rPr>
                <w:rStyle w:val="Lienhypertexte"/>
                <w:noProof/>
              </w:rPr>
              <w:t>17.1</w:t>
            </w:r>
            <w:r w:rsidR="005C47A4">
              <w:rPr>
                <w:rFonts w:eastAsiaTheme="minorEastAsia"/>
                <w:noProof/>
                <w:kern w:val="2"/>
                <w:lang w:eastAsia="fr-FR"/>
                <w14:ligatures w14:val="standardContextual"/>
              </w:rPr>
              <w:tab/>
            </w:r>
            <w:r w:rsidR="005C47A4" w:rsidRPr="006B7CE2">
              <w:rPr>
                <w:rStyle w:val="Lienhypertexte"/>
                <w:noProof/>
              </w:rPr>
              <w:t>Asperge (</w:t>
            </w:r>
            <w:r w:rsidR="005C47A4" w:rsidRPr="006B7CE2">
              <w:rPr>
                <w:rStyle w:val="Lienhypertexte"/>
                <w:i/>
                <w:iCs/>
                <w:noProof/>
              </w:rPr>
              <w:t>Asparagus officinalis</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_Toc139181447 \h </w:instrText>
            </w:r>
            <w:r w:rsidR="005C47A4">
              <w:rPr>
                <w:noProof/>
                <w:webHidden/>
              </w:rPr>
            </w:r>
            <w:r w:rsidR="005C47A4">
              <w:rPr>
                <w:noProof/>
                <w:webHidden/>
              </w:rPr>
              <w:fldChar w:fldCharType="separate"/>
            </w:r>
            <w:r w:rsidR="004D7B96">
              <w:rPr>
                <w:noProof/>
                <w:webHidden/>
              </w:rPr>
              <w:t>171</w:t>
            </w:r>
            <w:r w:rsidR="005C47A4">
              <w:rPr>
                <w:noProof/>
                <w:webHidden/>
              </w:rPr>
              <w:fldChar w:fldCharType="end"/>
            </w:r>
          </w:hyperlink>
        </w:p>
        <w:p w14:paraId="7940303B" w14:textId="69FBB5BF"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448" w:history="1">
            <w:r w:rsidR="005C47A4" w:rsidRPr="006B7CE2">
              <w:rPr>
                <w:rStyle w:val="Lienhypertexte"/>
                <w:noProof/>
              </w:rPr>
              <w:t>17.2</w:t>
            </w:r>
            <w:r w:rsidR="005C47A4">
              <w:rPr>
                <w:rFonts w:eastAsiaTheme="minorEastAsia"/>
                <w:noProof/>
                <w:kern w:val="2"/>
                <w:lang w:eastAsia="fr-FR"/>
                <w14:ligatures w14:val="standardContextual"/>
              </w:rPr>
              <w:tab/>
            </w:r>
            <w:r w:rsidR="005C47A4" w:rsidRPr="006B7CE2">
              <w:rPr>
                <w:rStyle w:val="Lienhypertexte"/>
                <w:noProof/>
              </w:rPr>
              <w:t>Betterave (</w:t>
            </w:r>
            <w:r w:rsidR="005C47A4" w:rsidRPr="006B7CE2">
              <w:rPr>
                <w:rStyle w:val="Lienhypertexte"/>
                <w:i/>
                <w:iCs/>
                <w:noProof/>
              </w:rPr>
              <w:t>Beta vulgaris</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_Toc139181448 \h </w:instrText>
            </w:r>
            <w:r w:rsidR="005C47A4">
              <w:rPr>
                <w:noProof/>
                <w:webHidden/>
              </w:rPr>
            </w:r>
            <w:r w:rsidR="005C47A4">
              <w:rPr>
                <w:noProof/>
                <w:webHidden/>
              </w:rPr>
              <w:fldChar w:fldCharType="separate"/>
            </w:r>
            <w:r w:rsidR="004D7B96">
              <w:rPr>
                <w:noProof/>
                <w:webHidden/>
              </w:rPr>
              <w:t>173</w:t>
            </w:r>
            <w:r w:rsidR="005C47A4">
              <w:rPr>
                <w:noProof/>
                <w:webHidden/>
              </w:rPr>
              <w:fldChar w:fldCharType="end"/>
            </w:r>
          </w:hyperlink>
        </w:p>
        <w:p w14:paraId="2E874E28" w14:textId="3BC5620C"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449" w:history="1">
            <w:r w:rsidR="005C47A4" w:rsidRPr="006B7CE2">
              <w:rPr>
                <w:rStyle w:val="Lienhypertexte"/>
                <w:noProof/>
              </w:rPr>
              <w:t>17.3</w:t>
            </w:r>
            <w:r w:rsidR="005C47A4">
              <w:rPr>
                <w:rFonts w:eastAsiaTheme="minorEastAsia"/>
                <w:noProof/>
                <w:kern w:val="2"/>
                <w:lang w:eastAsia="fr-FR"/>
                <w14:ligatures w14:val="standardContextual"/>
              </w:rPr>
              <w:tab/>
            </w:r>
            <w:r w:rsidR="005C47A4" w:rsidRPr="006B7CE2">
              <w:rPr>
                <w:rStyle w:val="Lienhypertexte"/>
                <w:noProof/>
              </w:rPr>
              <w:t>Taro ou oreille d’éléphant (</w:t>
            </w:r>
            <w:r w:rsidR="005C47A4" w:rsidRPr="006B7CE2">
              <w:rPr>
                <w:rStyle w:val="Lienhypertexte"/>
                <w:i/>
                <w:iCs/>
                <w:noProof/>
              </w:rPr>
              <w:t>Colocasia esculenta</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_Toc139181449 \h </w:instrText>
            </w:r>
            <w:r w:rsidR="005C47A4">
              <w:rPr>
                <w:noProof/>
                <w:webHidden/>
              </w:rPr>
            </w:r>
            <w:r w:rsidR="005C47A4">
              <w:rPr>
                <w:noProof/>
                <w:webHidden/>
              </w:rPr>
              <w:fldChar w:fldCharType="separate"/>
            </w:r>
            <w:r w:rsidR="004D7B96">
              <w:rPr>
                <w:noProof/>
                <w:webHidden/>
              </w:rPr>
              <w:t>174</w:t>
            </w:r>
            <w:r w:rsidR="005C47A4">
              <w:rPr>
                <w:noProof/>
                <w:webHidden/>
              </w:rPr>
              <w:fldChar w:fldCharType="end"/>
            </w:r>
          </w:hyperlink>
        </w:p>
        <w:p w14:paraId="17CE1ECA" w14:textId="60B23DF5"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450" w:history="1">
            <w:r w:rsidR="005C47A4" w:rsidRPr="006B7CE2">
              <w:rPr>
                <w:rStyle w:val="Lienhypertexte"/>
                <w:noProof/>
              </w:rPr>
              <w:t>17.4</w:t>
            </w:r>
            <w:r w:rsidR="005C47A4">
              <w:rPr>
                <w:rFonts w:eastAsiaTheme="minorEastAsia"/>
                <w:noProof/>
                <w:kern w:val="2"/>
                <w:lang w:eastAsia="fr-FR"/>
                <w14:ligatures w14:val="standardContextual"/>
              </w:rPr>
              <w:tab/>
            </w:r>
            <w:r w:rsidR="005C47A4" w:rsidRPr="006B7CE2">
              <w:rPr>
                <w:rStyle w:val="Lienhypertexte"/>
                <w:noProof/>
              </w:rPr>
              <w:t>Orge commune (</w:t>
            </w:r>
            <w:r w:rsidR="005C47A4" w:rsidRPr="006B7CE2">
              <w:rPr>
                <w:rStyle w:val="Lienhypertexte"/>
                <w:i/>
                <w:iCs/>
                <w:noProof/>
              </w:rPr>
              <w:t>Hordeum vulgare</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_Toc139181450 \h </w:instrText>
            </w:r>
            <w:r w:rsidR="005C47A4">
              <w:rPr>
                <w:noProof/>
                <w:webHidden/>
              </w:rPr>
            </w:r>
            <w:r w:rsidR="005C47A4">
              <w:rPr>
                <w:noProof/>
                <w:webHidden/>
              </w:rPr>
              <w:fldChar w:fldCharType="separate"/>
            </w:r>
            <w:r w:rsidR="004D7B96">
              <w:rPr>
                <w:noProof/>
                <w:webHidden/>
              </w:rPr>
              <w:t>176</w:t>
            </w:r>
            <w:r w:rsidR="005C47A4">
              <w:rPr>
                <w:noProof/>
                <w:webHidden/>
              </w:rPr>
              <w:fldChar w:fldCharType="end"/>
            </w:r>
          </w:hyperlink>
        </w:p>
        <w:p w14:paraId="597FDF15" w14:textId="6007886E"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451" w:history="1">
            <w:r w:rsidR="005C47A4" w:rsidRPr="006B7CE2">
              <w:rPr>
                <w:rStyle w:val="Lienhypertexte"/>
                <w:noProof/>
              </w:rPr>
              <w:t>17.5</w:t>
            </w:r>
            <w:r w:rsidR="005C47A4">
              <w:rPr>
                <w:rFonts w:eastAsiaTheme="minorEastAsia"/>
                <w:noProof/>
                <w:kern w:val="2"/>
                <w:lang w:eastAsia="fr-FR"/>
                <w14:ligatures w14:val="standardContextual"/>
              </w:rPr>
              <w:tab/>
            </w:r>
            <w:r w:rsidR="005C47A4" w:rsidRPr="006B7CE2">
              <w:rPr>
                <w:rStyle w:val="Lienhypertexte"/>
                <w:noProof/>
              </w:rPr>
              <w:t>Nipa</w:t>
            </w:r>
            <w:r w:rsidR="005C47A4" w:rsidRPr="006B7CE2">
              <w:rPr>
                <w:rStyle w:val="Lienhypertexte"/>
                <w:b/>
                <w:bCs/>
                <w:noProof/>
              </w:rPr>
              <w:t xml:space="preserve"> </w:t>
            </w:r>
            <w:r w:rsidR="005C47A4" w:rsidRPr="006B7CE2">
              <w:rPr>
                <w:rStyle w:val="Lienhypertexte"/>
                <w:noProof/>
              </w:rPr>
              <w:t>(</w:t>
            </w:r>
            <w:r w:rsidR="005C47A4" w:rsidRPr="006B7CE2">
              <w:rPr>
                <w:rStyle w:val="Lienhypertexte"/>
                <w:i/>
                <w:iCs/>
                <w:noProof/>
              </w:rPr>
              <w:t>Distichlis palmeri</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_Toc139181451 \h </w:instrText>
            </w:r>
            <w:r w:rsidR="005C47A4">
              <w:rPr>
                <w:noProof/>
                <w:webHidden/>
              </w:rPr>
            </w:r>
            <w:r w:rsidR="005C47A4">
              <w:rPr>
                <w:noProof/>
                <w:webHidden/>
              </w:rPr>
              <w:fldChar w:fldCharType="separate"/>
            </w:r>
            <w:r w:rsidR="004D7B96">
              <w:rPr>
                <w:noProof/>
                <w:webHidden/>
              </w:rPr>
              <w:t>177</w:t>
            </w:r>
            <w:r w:rsidR="005C47A4">
              <w:rPr>
                <w:noProof/>
                <w:webHidden/>
              </w:rPr>
              <w:fldChar w:fldCharType="end"/>
            </w:r>
          </w:hyperlink>
        </w:p>
        <w:p w14:paraId="199E0F35" w14:textId="3D9229D5"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452" w:history="1">
            <w:r w:rsidR="005C47A4" w:rsidRPr="006B7CE2">
              <w:rPr>
                <w:rStyle w:val="Lienhypertexte"/>
                <w:noProof/>
              </w:rPr>
              <w:t>17.6</w:t>
            </w:r>
            <w:r w:rsidR="005C47A4">
              <w:rPr>
                <w:rFonts w:eastAsiaTheme="minorEastAsia"/>
                <w:noProof/>
                <w:kern w:val="2"/>
                <w:lang w:eastAsia="fr-FR"/>
                <w14:ligatures w14:val="standardContextual"/>
              </w:rPr>
              <w:tab/>
            </w:r>
            <w:r w:rsidR="005C47A4" w:rsidRPr="006B7CE2">
              <w:rPr>
                <w:rStyle w:val="Lienhypertexte"/>
                <w:noProof/>
              </w:rPr>
              <w:t>Riz résistant au sel (</w:t>
            </w:r>
            <w:r w:rsidR="005C47A4" w:rsidRPr="006B7CE2">
              <w:rPr>
                <w:rStyle w:val="Lienhypertexte"/>
                <w:i/>
                <w:iCs/>
                <w:noProof/>
              </w:rPr>
              <w:t xml:space="preserve">Oryza sativa </w:t>
            </w:r>
            <w:r w:rsidR="005C47A4" w:rsidRPr="006B7CE2">
              <w:rPr>
                <w:rStyle w:val="Lienhypertexte"/>
                <w:noProof/>
              </w:rPr>
              <w:t xml:space="preserve">x </w:t>
            </w:r>
            <w:r w:rsidR="005C47A4" w:rsidRPr="006B7CE2">
              <w:rPr>
                <w:rStyle w:val="Lienhypertexte"/>
                <w:i/>
                <w:iCs/>
                <w:noProof/>
              </w:rPr>
              <w:t xml:space="preserve">Oryza coarctata _ </w:t>
            </w:r>
            <w:r w:rsidR="005C47A4" w:rsidRPr="006B7CE2">
              <w:rPr>
                <w:rStyle w:val="Lienhypertexte"/>
                <w:noProof/>
              </w:rPr>
              <w:t>cultivar résistant au sel)</w:t>
            </w:r>
            <w:r w:rsidR="005C47A4">
              <w:rPr>
                <w:noProof/>
                <w:webHidden/>
              </w:rPr>
              <w:tab/>
            </w:r>
            <w:r w:rsidR="005C47A4">
              <w:rPr>
                <w:noProof/>
                <w:webHidden/>
              </w:rPr>
              <w:fldChar w:fldCharType="begin"/>
            </w:r>
            <w:r w:rsidR="005C47A4">
              <w:rPr>
                <w:noProof/>
                <w:webHidden/>
              </w:rPr>
              <w:instrText xml:space="preserve"> PAGEREF _Toc139181452 \h </w:instrText>
            </w:r>
            <w:r w:rsidR="005C47A4">
              <w:rPr>
                <w:noProof/>
                <w:webHidden/>
              </w:rPr>
            </w:r>
            <w:r w:rsidR="005C47A4">
              <w:rPr>
                <w:noProof/>
                <w:webHidden/>
              </w:rPr>
              <w:fldChar w:fldCharType="separate"/>
            </w:r>
            <w:r w:rsidR="004D7B96">
              <w:rPr>
                <w:noProof/>
                <w:webHidden/>
              </w:rPr>
              <w:t>178</w:t>
            </w:r>
            <w:r w:rsidR="005C47A4">
              <w:rPr>
                <w:noProof/>
                <w:webHidden/>
              </w:rPr>
              <w:fldChar w:fldCharType="end"/>
            </w:r>
          </w:hyperlink>
        </w:p>
        <w:p w14:paraId="5FBA3147" w14:textId="7813A733"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453" w:history="1">
            <w:r w:rsidR="005C47A4" w:rsidRPr="006B7CE2">
              <w:rPr>
                <w:rStyle w:val="Lienhypertexte"/>
                <w:noProof/>
              </w:rPr>
              <w:t>17.7</w:t>
            </w:r>
            <w:r w:rsidR="005C47A4">
              <w:rPr>
                <w:rFonts w:eastAsiaTheme="minorEastAsia"/>
                <w:noProof/>
                <w:kern w:val="2"/>
                <w:lang w:eastAsia="fr-FR"/>
                <w14:ligatures w14:val="standardContextual"/>
              </w:rPr>
              <w:tab/>
            </w:r>
            <w:r w:rsidR="005C47A4" w:rsidRPr="006B7CE2">
              <w:rPr>
                <w:rStyle w:val="Lienhypertexte"/>
                <w:noProof/>
              </w:rPr>
              <w:t>Blé dur résistant au sel (</w:t>
            </w:r>
            <w:r w:rsidR="005C47A4" w:rsidRPr="006B7CE2">
              <w:rPr>
                <w:rStyle w:val="Lienhypertexte"/>
                <w:i/>
                <w:iCs/>
                <w:noProof/>
                <w:lang w:val="pt-BR"/>
              </w:rPr>
              <w:t xml:space="preserve">Triticum turgidum L. subsp. Durum </w:t>
            </w:r>
            <w:r w:rsidR="005C47A4" w:rsidRPr="006B7CE2">
              <w:rPr>
                <w:rStyle w:val="Lienhypertexte"/>
                <w:i/>
                <w:iCs/>
                <w:noProof/>
              </w:rPr>
              <w:t xml:space="preserve">_ </w:t>
            </w:r>
            <w:r w:rsidR="005C47A4" w:rsidRPr="006B7CE2">
              <w:rPr>
                <w:rStyle w:val="Lienhypertexte"/>
                <w:noProof/>
              </w:rPr>
              <w:t>cultivar résistant au sel)</w:t>
            </w:r>
            <w:r w:rsidR="005C47A4">
              <w:rPr>
                <w:noProof/>
                <w:webHidden/>
              </w:rPr>
              <w:tab/>
            </w:r>
            <w:r w:rsidR="005C47A4">
              <w:rPr>
                <w:noProof/>
                <w:webHidden/>
              </w:rPr>
              <w:fldChar w:fldCharType="begin"/>
            </w:r>
            <w:r w:rsidR="005C47A4">
              <w:rPr>
                <w:noProof/>
                <w:webHidden/>
              </w:rPr>
              <w:instrText xml:space="preserve"> PAGEREF _Toc139181453 \h </w:instrText>
            </w:r>
            <w:r w:rsidR="005C47A4">
              <w:rPr>
                <w:noProof/>
                <w:webHidden/>
              </w:rPr>
            </w:r>
            <w:r w:rsidR="005C47A4">
              <w:rPr>
                <w:noProof/>
                <w:webHidden/>
              </w:rPr>
              <w:fldChar w:fldCharType="separate"/>
            </w:r>
            <w:r w:rsidR="004D7B96">
              <w:rPr>
                <w:noProof/>
                <w:webHidden/>
              </w:rPr>
              <w:t>179</w:t>
            </w:r>
            <w:r w:rsidR="005C47A4">
              <w:rPr>
                <w:noProof/>
                <w:webHidden/>
              </w:rPr>
              <w:fldChar w:fldCharType="end"/>
            </w:r>
          </w:hyperlink>
        </w:p>
        <w:p w14:paraId="05016682" w14:textId="64DC0920"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454" w:history="1">
            <w:r w:rsidR="005C47A4" w:rsidRPr="006B7CE2">
              <w:rPr>
                <w:rStyle w:val="Lienhypertexte"/>
                <w:noProof/>
              </w:rPr>
              <w:t>17.1</w:t>
            </w:r>
            <w:r w:rsidR="005C47A4">
              <w:rPr>
                <w:rFonts w:eastAsiaTheme="minorEastAsia"/>
                <w:noProof/>
                <w:kern w:val="2"/>
                <w:lang w:eastAsia="fr-FR"/>
                <w14:ligatures w14:val="standardContextual"/>
              </w:rPr>
              <w:tab/>
            </w:r>
            <w:r w:rsidR="005C47A4" w:rsidRPr="006B7CE2">
              <w:rPr>
                <w:rStyle w:val="Lienhypertexte"/>
                <w:noProof/>
              </w:rPr>
              <w:t>Blés développés par l’Institut sénégalais de recherche agricole (ISRA)</w:t>
            </w:r>
            <w:r w:rsidR="005C47A4">
              <w:rPr>
                <w:noProof/>
                <w:webHidden/>
              </w:rPr>
              <w:tab/>
            </w:r>
            <w:r w:rsidR="005C47A4">
              <w:rPr>
                <w:noProof/>
                <w:webHidden/>
              </w:rPr>
              <w:fldChar w:fldCharType="begin"/>
            </w:r>
            <w:r w:rsidR="005C47A4">
              <w:rPr>
                <w:noProof/>
                <w:webHidden/>
              </w:rPr>
              <w:instrText xml:space="preserve"> PAGEREF _Toc139181454 \h </w:instrText>
            </w:r>
            <w:r w:rsidR="005C47A4">
              <w:rPr>
                <w:noProof/>
                <w:webHidden/>
              </w:rPr>
            </w:r>
            <w:r w:rsidR="005C47A4">
              <w:rPr>
                <w:noProof/>
                <w:webHidden/>
              </w:rPr>
              <w:fldChar w:fldCharType="separate"/>
            </w:r>
            <w:r w:rsidR="004D7B96">
              <w:rPr>
                <w:noProof/>
                <w:webHidden/>
              </w:rPr>
              <w:t>180</w:t>
            </w:r>
            <w:r w:rsidR="005C47A4">
              <w:rPr>
                <w:noProof/>
                <w:webHidden/>
              </w:rPr>
              <w:fldChar w:fldCharType="end"/>
            </w:r>
          </w:hyperlink>
        </w:p>
        <w:p w14:paraId="21C64A6B" w14:textId="6E7E0E93"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455" w:history="1">
            <w:r w:rsidR="005C47A4" w:rsidRPr="006B7CE2">
              <w:rPr>
                <w:rStyle w:val="Lienhypertexte"/>
                <w:noProof/>
              </w:rPr>
              <w:t>17.2</w:t>
            </w:r>
            <w:r w:rsidR="005C47A4">
              <w:rPr>
                <w:rFonts w:eastAsiaTheme="minorEastAsia"/>
                <w:noProof/>
                <w:kern w:val="2"/>
                <w:lang w:eastAsia="fr-FR"/>
                <w14:ligatures w14:val="standardContextual"/>
              </w:rPr>
              <w:tab/>
            </w:r>
            <w:r w:rsidR="005C47A4" w:rsidRPr="006B7CE2">
              <w:rPr>
                <w:rStyle w:val="Lienhypertexte"/>
                <w:noProof/>
              </w:rPr>
              <w:t>Pomme de terre, cultivar pour eau salée</w:t>
            </w:r>
            <w:r w:rsidR="005C47A4">
              <w:rPr>
                <w:noProof/>
                <w:webHidden/>
              </w:rPr>
              <w:tab/>
            </w:r>
            <w:r w:rsidR="005C47A4">
              <w:rPr>
                <w:noProof/>
                <w:webHidden/>
              </w:rPr>
              <w:fldChar w:fldCharType="begin"/>
            </w:r>
            <w:r w:rsidR="005C47A4">
              <w:rPr>
                <w:noProof/>
                <w:webHidden/>
              </w:rPr>
              <w:instrText xml:space="preserve"> PAGEREF _Toc139181455 \h </w:instrText>
            </w:r>
            <w:r w:rsidR="005C47A4">
              <w:rPr>
                <w:noProof/>
                <w:webHidden/>
              </w:rPr>
            </w:r>
            <w:r w:rsidR="005C47A4">
              <w:rPr>
                <w:noProof/>
                <w:webHidden/>
              </w:rPr>
              <w:fldChar w:fldCharType="separate"/>
            </w:r>
            <w:r w:rsidR="004D7B96">
              <w:rPr>
                <w:noProof/>
                <w:webHidden/>
              </w:rPr>
              <w:t>182</w:t>
            </w:r>
            <w:r w:rsidR="005C47A4">
              <w:rPr>
                <w:noProof/>
                <w:webHidden/>
              </w:rPr>
              <w:fldChar w:fldCharType="end"/>
            </w:r>
          </w:hyperlink>
        </w:p>
        <w:p w14:paraId="4F219F65" w14:textId="6A93135F"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456" w:history="1">
            <w:r w:rsidR="005C47A4" w:rsidRPr="006B7CE2">
              <w:rPr>
                <w:rStyle w:val="Lienhypertexte"/>
                <w:noProof/>
              </w:rPr>
              <w:t>17.3</w:t>
            </w:r>
            <w:r w:rsidR="005C47A4">
              <w:rPr>
                <w:rFonts w:eastAsiaTheme="minorEastAsia"/>
                <w:noProof/>
                <w:kern w:val="2"/>
                <w:lang w:eastAsia="fr-FR"/>
                <w14:ligatures w14:val="standardContextual"/>
              </w:rPr>
              <w:tab/>
            </w:r>
            <w:r w:rsidR="005C47A4" w:rsidRPr="006B7CE2">
              <w:rPr>
                <w:rStyle w:val="Lienhypertexte"/>
                <w:noProof/>
              </w:rPr>
              <w:t>Moutarde d’Abyssinie</w:t>
            </w:r>
            <w:r w:rsidR="005C47A4" w:rsidRPr="006B7CE2">
              <w:rPr>
                <w:rStyle w:val="Lienhypertexte"/>
                <w:b/>
                <w:bCs/>
                <w:noProof/>
              </w:rPr>
              <w:t xml:space="preserve"> </w:t>
            </w:r>
            <w:r w:rsidR="005C47A4" w:rsidRPr="006B7CE2">
              <w:rPr>
                <w:rStyle w:val="Lienhypertexte"/>
                <w:noProof/>
              </w:rPr>
              <w:t>(</w:t>
            </w:r>
            <w:r w:rsidR="005C47A4" w:rsidRPr="006B7CE2">
              <w:rPr>
                <w:rStyle w:val="Lienhypertexte"/>
                <w:i/>
                <w:iCs/>
                <w:noProof/>
              </w:rPr>
              <w:t>Brassica carinata</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_Toc139181456 \h </w:instrText>
            </w:r>
            <w:r w:rsidR="005C47A4">
              <w:rPr>
                <w:noProof/>
                <w:webHidden/>
              </w:rPr>
            </w:r>
            <w:r w:rsidR="005C47A4">
              <w:rPr>
                <w:noProof/>
                <w:webHidden/>
              </w:rPr>
              <w:fldChar w:fldCharType="separate"/>
            </w:r>
            <w:r w:rsidR="004D7B96">
              <w:rPr>
                <w:noProof/>
                <w:webHidden/>
              </w:rPr>
              <w:t>183</w:t>
            </w:r>
            <w:r w:rsidR="005C47A4">
              <w:rPr>
                <w:noProof/>
                <w:webHidden/>
              </w:rPr>
              <w:fldChar w:fldCharType="end"/>
            </w:r>
          </w:hyperlink>
        </w:p>
        <w:p w14:paraId="57ECCC31" w14:textId="6A0F27D9"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457" w:history="1">
            <w:r w:rsidR="005C47A4" w:rsidRPr="006B7CE2">
              <w:rPr>
                <w:rStyle w:val="Lienhypertexte"/>
                <w:noProof/>
              </w:rPr>
              <w:t>17.4</w:t>
            </w:r>
            <w:r w:rsidR="005C47A4">
              <w:rPr>
                <w:rFonts w:eastAsiaTheme="minorEastAsia"/>
                <w:noProof/>
                <w:kern w:val="2"/>
                <w:lang w:eastAsia="fr-FR"/>
                <w14:ligatures w14:val="standardContextual"/>
              </w:rPr>
              <w:tab/>
            </w:r>
            <w:r w:rsidR="005C47A4" w:rsidRPr="006B7CE2">
              <w:rPr>
                <w:rStyle w:val="Lienhypertexte"/>
                <w:noProof/>
              </w:rPr>
              <w:t>Ficoïde glaciale (</w:t>
            </w:r>
            <w:r w:rsidR="005C47A4" w:rsidRPr="006B7CE2">
              <w:rPr>
                <w:rStyle w:val="Lienhypertexte"/>
                <w:i/>
                <w:iCs/>
                <w:noProof/>
              </w:rPr>
              <w:t>Mesembryanthemum crystallinum</w:t>
            </w:r>
            <w:r w:rsidR="005C47A4" w:rsidRPr="006B7CE2">
              <w:rPr>
                <w:rStyle w:val="Lienhypertexte"/>
                <w:noProof/>
              </w:rPr>
              <w:t xml:space="preserve"> ou </w:t>
            </w:r>
            <w:r w:rsidR="005C47A4" w:rsidRPr="006B7CE2">
              <w:rPr>
                <w:rStyle w:val="Lienhypertexte"/>
                <w:i/>
                <w:iCs/>
                <w:noProof/>
              </w:rPr>
              <w:t>Cryophytum cristallinum</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_Toc139181457 \h </w:instrText>
            </w:r>
            <w:r w:rsidR="005C47A4">
              <w:rPr>
                <w:noProof/>
                <w:webHidden/>
              </w:rPr>
            </w:r>
            <w:r w:rsidR="005C47A4">
              <w:rPr>
                <w:noProof/>
                <w:webHidden/>
              </w:rPr>
              <w:fldChar w:fldCharType="separate"/>
            </w:r>
            <w:r w:rsidR="004D7B96">
              <w:rPr>
                <w:noProof/>
                <w:webHidden/>
              </w:rPr>
              <w:t>184</w:t>
            </w:r>
            <w:r w:rsidR="005C47A4">
              <w:rPr>
                <w:noProof/>
                <w:webHidden/>
              </w:rPr>
              <w:fldChar w:fldCharType="end"/>
            </w:r>
          </w:hyperlink>
        </w:p>
        <w:p w14:paraId="32626039" w14:textId="45D616B1"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458" w:history="1">
            <w:r w:rsidR="005C47A4" w:rsidRPr="006B7CE2">
              <w:rPr>
                <w:rStyle w:val="Lienhypertexte"/>
                <w:noProof/>
              </w:rPr>
              <w:t>17.5</w:t>
            </w:r>
            <w:r w:rsidR="005C47A4">
              <w:rPr>
                <w:rFonts w:eastAsiaTheme="minorEastAsia"/>
                <w:noProof/>
                <w:kern w:val="2"/>
                <w:lang w:eastAsia="fr-FR"/>
                <w14:ligatures w14:val="standardContextual"/>
              </w:rPr>
              <w:tab/>
            </w:r>
            <w:r w:rsidR="005C47A4" w:rsidRPr="006B7CE2">
              <w:rPr>
                <w:rStyle w:val="Lienhypertexte"/>
                <w:noProof/>
              </w:rPr>
              <w:t xml:space="preserve">Crambé maritime ou chou marin </w:t>
            </w:r>
            <w:r w:rsidR="005C47A4" w:rsidRPr="006B7CE2">
              <w:rPr>
                <w:rStyle w:val="Lienhypertexte"/>
                <w:i/>
                <w:iCs/>
                <w:noProof/>
              </w:rPr>
              <w:t>(Crambe maritima</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_Toc139181458 \h </w:instrText>
            </w:r>
            <w:r w:rsidR="005C47A4">
              <w:rPr>
                <w:noProof/>
                <w:webHidden/>
              </w:rPr>
            </w:r>
            <w:r w:rsidR="005C47A4">
              <w:rPr>
                <w:noProof/>
                <w:webHidden/>
              </w:rPr>
              <w:fldChar w:fldCharType="separate"/>
            </w:r>
            <w:r w:rsidR="004D7B96">
              <w:rPr>
                <w:noProof/>
                <w:webHidden/>
              </w:rPr>
              <w:t>185</w:t>
            </w:r>
            <w:r w:rsidR="005C47A4">
              <w:rPr>
                <w:noProof/>
                <w:webHidden/>
              </w:rPr>
              <w:fldChar w:fldCharType="end"/>
            </w:r>
          </w:hyperlink>
        </w:p>
        <w:p w14:paraId="03123E2E" w14:textId="1BC1F61A"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459" w:history="1">
            <w:r w:rsidR="005C47A4" w:rsidRPr="006B7CE2">
              <w:rPr>
                <w:rStyle w:val="Lienhypertexte"/>
                <w:noProof/>
              </w:rPr>
              <w:t>17.6</w:t>
            </w:r>
            <w:r w:rsidR="005C47A4">
              <w:rPr>
                <w:rFonts w:eastAsiaTheme="minorEastAsia"/>
                <w:noProof/>
                <w:kern w:val="2"/>
                <w:lang w:eastAsia="fr-FR"/>
                <w14:ligatures w14:val="standardContextual"/>
              </w:rPr>
              <w:tab/>
            </w:r>
            <w:r w:rsidR="005C47A4" w:rsidRPr="006B7CE2">
              <w:rPr>
                <w:rStyle w:val="Lienhypertexte"/>
                <w:noProof/>
              </w:rPr>
              <w:t xml:space="preserve">Criste marine </w:t>
            </w:r>
            <w:r w:rsidR="005C47A4" w:rsidRPr="006B7CE2">
              <w:rPr>
                <w:rStyle w:val="Lienhypertexte"/>
                <w:i/>
                <w:iCs/>
                <w:noProof/>
              </w:rPr>
              <w:t>(Crithmum maritimum</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_Toc139181459 \h </w:instrText>
            </w:r>
            <w:r w:rsidR="005C47A4">
              <w:rPr>
                <w:noProof/>
                <w:webHidden/>
              </w:rPr>
            </w:r>
            <w:r w:rsidR="005C47A4">
              <w:rPr>
                <w:noProof/>
                <w:webHidden/>
              </w:rPr>
              <w:fldChar w:fldCharType="separate"/>
            </w:r>
            <w:r w:rsidR="004D7B96">
              <w:rPr>
                <w:noProof/>
                <w:webHidden/>
              </w:rPr>
              <w:t>186</w:t>
            </w:r>
            <w:r w:rsidR="005C47A4">
              <w:rPr>
                <w:noProof/>
                <w:webHidden/>
              </w:rPr>
              <w:fldChar w:fldCharType="end"/>
            </w:r>
          </w:hyperlink>
        </w:p>
        <w:p w14:paraId="6DE82B85" w14:textId="6EEECA8F"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460" w:history="1">
            <w:r w:rsidR="005C47A4" w:rsidRPr="006B7CE2">
              <w:rPr>
                <w:rStyle w:val="Lienhypertexte"/>
                <w:noProof/>
              </w:rPr>
              <w:t>17.7</w:t>
            </w:r>
            <w:r w:rsidR="005C47A4">
              <w:rPr>
                <w:rFonts w:eastAsiaTheme="minorEastAsia"/>
                <w:noProof/>
                <w:kern w:val="2"/>
                <w:lang w:eastAsia="fr-FR"/>
                <w14:ligatures w14:val="standardContextual"/>
              </w:rPr>
              <w:tab/>
            </w:r>
            <w:r w:rsidR="005C47A4" w:rsidRPr="006B7CE2">
              <w:rPr>
                <w:rStyle w:val="Lienhypertexte"/>
                <w:noProof/>
              </w:rPr>
              <w:t>Elaboration de plantes alimentaires OGM résistantes au sel</w:t>
            </w:r>
            <w:r w:rsidR="005C47A4">
              <w:rPr>
                <w:noProof/>
                <w:webHidden/>
              </w:rPr>
              <w:tab/>
            </w:r>
            <w:r w:rsidR="005C47A4">
              <w:rPr>
                <w:noProof/>
                <w:webHidden/>
              </w:rPr>
              <w:fldChar w:fldCharType="begin"/>
            </w:r>
            <w:r w:rsidR="005C47A4">
              <w:rPr>
                <w:noProof/>
                <w:webHidden/>
              </w:rPr>
              <w:instrText xml:space="preserve"> PAGEREF _Toc139181460 \h </w:instrText>
            </w:r>
            <w:r w:rsidR="005C47A4">
              <w:rPr>
                <w:noProof/>
                <w:webHidden/>
              </w:rPr>
            </w:r>
            <w:r w:rsidR="005C47A4">
              <w:rPr>
                <w:noProof/>
                <w:webHidden/>
              </w:rPr>
              <w:fldChar w:fldCharType="separate"/>
            </w:r>
            <w:r w:rsidR="004D7B96">
              <w:rPr>
                <w:noProof/>
                <w:webHidden/>
              </w:rPr>
              <w:t>186</w:t>
            </w:r>
            <w:r w:rsidR="005C47A4">
              <w:rPr>
                <w:noProof/>
                <w:webHidden/>
              </w:rPr>
              <w:fldChar w:fldCharType="end"/>
            </w:r>
          </w:hyperlink>
        </w:p>
        <w:p w14:paraId="7EDA9217" w14:textId="2B5F52BF" w:rsidR="005C47A4" w:rsidRDefault="00000000">
          <w:pPr>
            <w:pStyle w:val="TM1"/>
            <w:tabs>
              <w:tab w:val="left" w:pos="660"/>
              <w:tab w:val="right" w:leader="dot" w:pos="10416"/>
            </w:tabs>
            <w:rPr>
              <w:rFonts w:eastAsiaTheme="minorEastAsia"/>
              <w:noProof/>
              <w:kern w:val="2"/>
              <w:lang w:eastAsia="fr-FR"/>
              <w14:ligatures w14:val="standardContextual"/>
            </w:rPr>
          </w:pPr>
          <w:hyperlink w:anchor="_Toc139181461" w:history="1">
            <w:r w:rsidR="005C47A4" w:rsidRPr="006B7CE2">
              <w:rPr>
                <w:rStyle w:val="Lienhypertexte"/>
                <w:noProof/>
              </w:rPr>
              <w:t>18</w:t>
            </w:r>
            <w:r w:rsidR="005C47A4">
              <w:rPr>
                <w:rFonts w:eastAsiaTheme="minorEastAsia"/>
                <w:noProof/>
                <w:kern w:val="2"/>
                <w:lang w:eastAsia="fr-FR"/>
                <w14:ligatures w14:val="standardContextual"/>
              </w:rPr>
              <w:tab/>
            </w:r>
            <w:r w:rsidR="005C47A4" w:rsidRPr="006B7CE2">
              <w:rPr>
                <w:rStyle w:val="Lienhypertexte"/>
                <w:noProof/>
              </w:rPr>
              <w:t>Plantes alimentaires, pouvant résister à la sécheresse mais pas au stress salin</w:t>
            </w:r>
            <w:r w:rsidR="005C47A4">
              <w:rPr>
                <w:noProof/>
                <w:webHidden/>
              </w:rPr>
              <w:tab/>
            </w:r>
            <w:r w:rsidR="005C47A4">
              <w:rPr>
                <w:noProof/>
                <w:webHidden/>
              </w:rPr>
              <w:fldChar w:fldCharType="begin"/>
            </w:r>
            <w:r w:rsidR="005C47A4">
              <w:rPr>
                <w:noProof/>
                <w:webHidden/>
              </w:rPr>
              <w:instrText xml:space="preserve"> PAGEREF _Toc139181461 \h </w:instrText>
            </w:r>
            <w:r w:rsidR="005C47A4">
              <w:rPr>
                <w:noProof/>
                <w:webHidden/>
              </w:rPr>
            </w:r>
            <w:r w:rsidR="005C47A4">
              <w:rPr>
                <w:noProof/>
                <w:webHidden/>
              </w:rPr>
              <w:fldChar w:fldCharType="separate"/>
            </w:r>
            <w:r w:rsidR="004D7B96">
              <w:rPr>
                <w:noProof/>
                <w:webHidden/>
              </w:rPr>
              <w:t>188</w:t>
            </w:r>
            <w:r w:rsidR="005C47A4">
              <w:rPr>
                <w:noProof/>
                <w:webHidden/>
              </w:rPr>
              <w:fldChar w:fldCharType="end"/>
            </w:r>
          </w:hyperlink>
        </w:p>
        <w:p w14:paraId="2223682E" w14:textId="3B500752"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462" w:history="1">
            <w:r w:rsidR="005C47A4" w:rsidRPr="006B7CE2">
              <w:rPr>
                <w:rStyle w:val="Lienhypertexte"/>
                <w:noProof/>
              </w:rPr>
              <w:t>18.1</w:t>
            </w:r>
            <w:r w:rsidR="005C47A4">
              <w:rPr>
                <w:rFonts w:eastAsiaTheme="minorEastAsia"/>
                <w:noProof/>
                <w:kern w:val="2"/>
                <w:lang w:eastAsia="fr-FR"/>
                <w14:ligatures w14:val="standardContextual"/>
              </w:rPr>
              <w:tab/>
            </w:r>
            <w:r w:rsidR="005C47A4" w:rsidRPr="006B7CE2">
              <w:rPr>
                <w:rStyle w:val="Lienhypertexte"/>
                <w:noProof/>
              </w:rPr>
              <w:t>Tournesol (</w:t>
            </w:r>
            <w:r w:rsidR="005C47A4" w:rsidRPr="006B7CE2">
              <w:rPr>
                <w:rStyle w:val="Lienhypertexte"/>
                <w:i/>
                <w:iCs/>
                <w:noProof/>
              </w:rPr>
              <w:t>Helianthus annuus</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_Toc139181462 \h </w:instrText>
            </w:r>
            <w:r w:rsidR="005C47A4">
              <w:rPr>
                <w:noProof/>
                <w:webHidden/>
              </w:rPr>
            </w:r>
            <w:r w:rsidR="005C47A4">
              <w:rPr>
                <w:noProof/>
                <w:webHidden/>
              </w:rPr>
              <w:fldChar w:fldCharType="separate"/>
            </w:r>
            <w:r w:rsidR="004D7B96">
              <w:rPr>
                <w:noProof/>
                <w:webHidden/>
              </w:rPr>
              <w:t>189</w:t>
            </w:r>
            <w:r w:rsidR="005C47A4">
              <w:rPr>
                <w:noProof/>
                <w:webHidden/>
              </w:rPr>
              <w:fldChar w:fldCharType="end"/>
            </w:r>
          </w:hyperlink>
        </w:p>
        <w:p w14:paraId="43606EDF" w14:textId="10030D73"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463" w:history="1">
            <w:r w:rsidR="005C47A4" w:rsidRPr="006B7CE2">
              <w:rPr>
                <w:rStyle w:val="Lienhypertexte"/>
                <w:noProof/>
              </w:rPr>
              <w:t>18.2</w:t>
            </w:r>
            <w:r w:rsidR="005C47A4">
              <w:rPr>
                <w:rFonts w:eastAsiaTheme="minorEastAsia"/>
                <w:noProof/>
                <w:kern w:val="2"/>
                <w:lang w:eastAsia="fr-FR"/>
                <w14:ligatures w14:val="standardContextual"/>
              </w:rPr>
              <w:tab/>
            </w:r>
            <w:r w:rsidR="005C47A4" w:rsidRPr="006B7CE2">
              <w:rPr>
                <w:rStyle w:val="Lienhypertexte"/>
                <w:noProof/>
              </w:rPr>
              <w:t>Millet, Mil, Fonio</w:t>
            </w:r>
            <w:r w:rsidR="005C47A4">
              <w:rPr>
                <w:noProof/>
                <w:webHidden/>
              </w:rPr>
              <w:tab/>
            </w:r>
            <w:r w:rsidR="005C47A4">
              <w:rPr>
                <w:noProof/>
                <w:webHidden/>
              </w:rPr>
              <w:fldChar w:fldCharType="begin"/>
            </w:r>
            <w:r w:rsidR="005C47A4">
              <w:rPr>
                <w:noProof/>
                <w:webHidden/>
              </w:rPr>
              <w:instrText xml:space="preserve"> PAGEREF _Toc139181463 \h </w:instrText>
            </w:r>
            <w:r w:rsidR="005C47A4">
              <w:rPr>
                <w:noProof/>
                <w:webHidden/>
              </w:rPr>
            </w:r>
            <w:r w:rsidR="005C47A4">
              <w:rPr>
                <w:noProof/>
                <w:webHidden/>
              </w:rPr>
              <w:fldChar w:fldCharType="separate"/>
            </w:r>
            <w:r w:rsidR="004D7B96">
              <w:rPr>
                <w:noProof/>
                <w:webHidden/>
              </w:rPr>
              <w:t>189</w:t>
            </w:r>
            <w:r w:rsidR="005C47A4">
              <w:rPr>
                <w:noProof/>
                <w:webHidden/>
              </w:rPr>
              <w:fldChar w:fldCharType="end"/>
            </w:r>
          </w:hyperlink>
        </w:p>
        <w:p w14:paraId="658A49C2" w14:textId="6CA254F4" w:rsidR="005C47A4" w:rsidRDefault="00000000">
          <w:pPr>
            <w:pStyle w:val="TM3"/>
            <w:tabs>
              <w:tab w:val="left" w:pos="1320"/>
              <w:tab w:val="right" w:leader="dot" w:pos="10416"/>
            </w:tabs>
            <w:rPr>
              <w:rFonts w:eastAsiaTheme="minorEastAsia"/>
              <w:noProof/>
              <w:kern w:val="2"/>
              <w:lang w:eastAsia="fr-FR"/>
              <w14:ligatures w14:val="standardContextual"/>
            </w:rPr>
          </w:pPr>
          <w:hyperlink w:anchor="_Toc139181464" w:history="1">
            <w:r w:rsidR="005C47A4" w:rsidRPr="006B7CE2">
              <w:rPr>
                <w:rStyle w:val="Lienhypertexte"/>
                <w:noProof/>
              </w:rPr>
              <w:t>18.2.1</w:t>
            </w:r>
            <w:r w:rsidR="005C47A4">
              <w:rPr>
                <w:rFonts w:eastAsiaTheme="minorEastAsia"/>
                <w:noProof/>
                <w:kern w:val="2"/>
                <w:lang w:eastAsia="fr-FR"/>
                <w14:ligatures w14:val="standardContextual"/>
              </w:rPr>
              <w:tab/>
            </w:r>
            <w:r w:rsidR="005C47A4" w:rsidRPr="006B7CE2">
              <w:rPr>
                <w:rStyle w:val="Lienhypertexte"/>
                <w:noProof/>
              </w:rPr>
              <w:t>Éleusine ou « ragi » (</w:t>
            </w:r>
            <w:r w:rsidR="005C47A4" w:rsidRPr="006B7CE2">
              <w:rPr>
                <w:rStyle w:val="Lienhypertexte"/>
                <w:i/>
                <w:iCs/>
                <w:noProof/>
              </w:rPr>
              <w:t>Eleusine coracana</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_Toc139181464 \h </w:instrText>
            </w:r>
            <w:r w:rsidR="005C47A4">
              <w:rPr>
                <w:noProof/>
                <w:webHidden/>
              </w:rPr>
            </w:r>
            <w:r w:rsidR="005C47A4">
              <w:rPr>
                <w:noProof/>
                <w:webHidden/>
              </w:rPr>
              <w:fldChar w:fldCharType="separate"/>
            </w:r>
            <w:r w:rsidR="004D7B96">
              <w:rPr>
                <w:noProof/>
                <w:webHidden/>
              </w:rPr>
              <w:t>190</w:t>
            </w:r>
            <w:r w:rsidR="005C47A4">
              <w:rPr>
                <w:noProof/>
                <w:webHidden/>
              </w:rPr>
              <w:fldChar w:fldCharType="end"/>
            </w:r>
          </w:hyperlink>
        </w:p>
        <w:p w14:paraId="053C9523" w14:textId="2756F099" w:rsidR="005C47A4" w:rsidRDefault="00000000">
          <w:pPr>
            <w:pStyle w:val="TM3"/>
            <w:tabs>
              <w:tab w:val="left" w:pos="1320"/>
              <w:tab w:val="right" w:leader="dot" w:pos="10416"/>
            </w:tabs>
            <w:rPr>
              <w:rFonts w:eastAsiaTheme="minorEastAsia"/>
              <w:noProof/>
              <w:kern w:val="2"/>
              <w:lang w:eastAsia="fr-FR"/>
              <w14:ligatures w14:val="standardContextual"/>
            </w:rPr>
          </w:pPr>
          <w:hyperlink w:anchor="_Toc139181465" w:history="1">
            <w:r w:rsidR="005C47A4" w:rsidRPr="006B7CE2">
              <w:rPr>
                <w:rStyle w:val="Lienhypertexte"/>
                <w:noProof/>
              </w:rPr>
              <w:t>18.2.2</w:t>
            </w:r>
            <w:r w:rsidR="005C47A4">
              <w:rPr>
                <w:rFonts w:eastAsiaTheme="minorEastAsia"/>
                <w:noProof/>
                <w:kern w:val="2"/>
                <w:lang w:eastAsia="fr-FR"/>
                <w14:ligatures w14:val="standardContextual"/>
              </w:rPr>
              <w:tab/>
            </w:r>
            <w:r w:rsidR="005C47A4" w:rsidRPr="006B7CE2">
              <w:rPr>
                <w:rStyle w:val="Lienhypertexte"/>
                <w:noProof/>
              </w:rPr>
              <w:t>Fonio ou « mil africain »</w:t>
            </w:r>
            <w:r w:rsidR="005C47A4">
              <w:rPr>
                <w:noProof/>
                <w:webHidden/>
              </w:rPr>
              <w:tab/>
            </w:r>
            <w:r w:rsidR="005C47A4">
              <w:rPr>
                <w:noProof/>
                <w:webHidden/>
              </w:rPr>
              <w:fldChar w:fldCharType="begin"/>
            </w:r>
            <w:r w:rsidR="005C47A4">
              <w:rPr>
                <w:noProof/>
                <w:webHidden/>
              </w:rPr>
              <w:instrText xml:space="preserve"> PAGEREF _Toc139181465 \h </w:instrText>
            </w:r>
            <w:r w:rsidR="005C47A4">
              <w:rPr>
                <w:noProof/>
                <w:webHidden/>
              </w:rPr>
            </w:r>
            <w:r w:rsidR="005C47A4">
              <w:rPr>
                <w:noProof/>
                <w:webHidden/>
              </w:rPr>
              <w:fldChar w:fldCharType="separate"/>
            </w:r>
            <w:r w:rsidR="004D7B96">
              <w:rPr>
                <w:noProof/>
                <w:webHidden/>
              </w:rPr>
              <w:t>190</w:t>
            </w:r>
            <w:r w:rsidR="005C47A4">
              <w:rPr>
                <w:noProof/>
                <w:webHidden/>
              </w:rPr>
              <w:fldChar w:fldCharType="end"/>
            </w:r>
          </w:hyperlink>
        </w:p>
        <w:p w14:paraId="00320449" w14:textId="64479363" w:rsidR="005C47A4" w:rsidRDefault="00000000">
          <w:pPr>
            <w:pStyle w:val="TM3"/>
            <w:tabs>
              <w:tab w:val="left" w:pos="1320"/>
              <w:tab w:val="right" w:leader="dot" w:pos="10416"/>
            </w:tabs>
            <w:rPr>
              <w:rFonts w:eastAsiaTheme="minorEastAsia"/>
              <w:noProof/>
              <w:kern w:val="2"/>
              <w:lang w:eastAsia="fr-FR"/>
              <w14:ligatures w14:val="standardContextual"/>
            </w:rPr>
          </w:pPr>
          <w:hyperlink w:anchor="_Toc139181466" w:history="1">
            <w:r w:rsidR="005C47A4" w:rsidRPr="006B7CE2">
              <w:rPr>
                <w:rStyle w:val="Lienhypertexte"/>
                <w:noProof/>
              </w:rPr>
              <w:t>18.2.3</w:t>
            </w:r>
            <w:r w:rsidR="005C47A4">
              <w:rPr>
                <w:rFonts w:eastAsiaTheme="minorEastAsia"/>
                <w:noProof/>
                <w:kern w:val="2"/>
                <w:lang w:eastAsia="fr-FR"/>
                <w14:ligatures w14:val="standardContextual"/>
              </w:rPr>
              <w:tab/>
            </w:r>
            <w:r w:rsidR="005C47A4" w:rsidRPr="006B7CE2">
              <w:rPr>
                <w:rStyle w:val="Lienhypertexte"/>
                <w:noProof/>
              </w:rPr>
              <w:t>Millet commun, millet blanc ou millet à grappes (</w:t>
            </w:r>
            <w:r w:rsidR="005C47A4" w:rsidRPr="006B7CE2">
              <w:rPr>
                <w:rStyle w:val="Lienhypertexte"/>
                <w:i/>
                <w:iCs/>
                <w:noProof/>
              </w:rPr>
              <w:t>Panicum miliaceum</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_Toc139181466 \h </w:instrText>
            </w:r>
            <w:r w:rsidR="005C47A4">
              <w:rPr>
                <w:noProof/>
                <w:webHidden/>
              </w:rPr>
            </w:r>
            <w:r w:rsidR="005C47A4">
              <w:rPr>
                <w:noProof/>
                <w:webHidden/>
              </w:rPr>
              <w:fldChar w:fldCharType="separate"/>
            </w:r>
            <w:r w:rsidR="004D7B96">
              <w:rPr>
                <w:noProof/>
                <w:webHidden/>
              </w:rPr>
              <w:t>191</w:t>
            </w:r>
            <w:r w:rsidR="005C47A4">
              <w:rPr>
                <w:noProof/>
                <w:webHidden/>
              </w:rPr>
              <w:fldChar w:fldCharType="end"/>
            </w:r>
          </w:hyperlink>
        </w:p>
        <w:p w14:paraId="19DB0A36" w14:textId="515809B9" w:rsidR="005C47A4" w:rsidRDefault="00000000">
          <w:pPr>
            <w:pStyle w:val="TM3"/>
            <w:tabs>
              <w:tab w:val="left" w:pos="1320"/>
              <w:tab w:val="right" w:leader="dot" w:pos="10416"/>
            </w:tabs>
            <w:rPr>
              <w:rFonts w:eastAsiaTheme="minorEastAsia"/>
              <w:noProof/>
              <w:kern w:val="2"/>
              <w:lang w:eastAsia="fr-FR"/>
              <w14:ligatures w14:val="standardContextual"/>
            </w:rPr>
          </w:pPr>
          <w:hyperlink w:anchor="_Toc139181467" w:history="1">
            <w:r w:rsidR="005C47A4" w:rsidRPr="006B7CE2">
              <w:rPr>
                <w:rStyle w:val="Lienhypertexte"/>
                <w:noProof/>
              </w:rPr>
              <w:t>18.2.4</w:t>
            </w:r>
            <w:r w:rsidR="005C47A4">
              <w:rPr>
                <w:rFonts w:eastAsiaTheme="minorEastAsia"/>
                <w:noProof/>
                <w:kern w:val="2"/>
                <w:lang w:eastAsia="fr-FR"/>
                <w14:ligatures w14:val="standardContextual"/>
              </w:rPr>
              <w:tab/>
            </w:r>
            <w:r w:rsidR="005C47A4" w:rsidRPr="006B7CE2">
              <w:rPr>
                <w:rStyle w:val="Lienhypertexte"/>
                <w:noProof/>
              </w:rPr>
              <w:t>Millet des oiseaux, sétaire d'Italie, panis, petit mil» ou miliade (</w:t>
            </w:r>
            <w:r w:rsidR="005C47A4" w:rsidRPr="006B7CE2">
              <w:rPr>
                <w:rStyle w:val="Lienhypertexte"/>
                <w:i/>
                <w:iCs/>
                <w:noProof/>
              </w:rPr>
              <w:t>Setaria italica</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_Toc139181467 \h </w:instrText>
            </w:r>
            <w:r w:rsidR="005C47A4">
              <w:rPr>
                <w:noProof/>
                <w:webHidden/>
              </w:rPr>
            </w:r>
            <w:r w:rsidR="005C47A4">
              <w:rPr>
                <w:noProof/>
                <w:webHidden/>
              </w:rPr>
              <w:fldChar w:fldCharType="separate"/>
            </w:r>
            <w:r w:rsidR="004D7B96">
              <w:rPr>
                <w:noProof/>
                <w:webHidden/>
              </w:rPr>
              <w:t>191</w:t>
            </w:r>
            <w:r w:rsidR="005C47A4">
              <w:rPr>
                <w:noProof/>
                <w:webHidden/>
              </w:rPr>
              <w:fldChar w:fldCharType="end"/>
            </w:r>
          </w:hyperlink>
        </w:p>
        <w:p w14:paraId="03237B1C" w14:textId="12763521" w:rsidR="005C47A4" w:rsidRDefault="00000000">
          <w:pPr>
            <w:pStyle w:val="TM3"/>
            <w:tabs>
              <w:tab w:val="left" w:pos="1320"/>
              <w:tab w:val="right" w:leader="dot" w:pos="10416"/>
            </w:tabs>
            <w:rPr>
              <w:rFonts w:eastAsiaTheme="minorEastAsia"/>
              <w:noProof/>
              <w:kern w:val="2"/>
              <w:lang w:eastAsia="fr-FR"/>
              <w14:ligatures w14:val="standardContextual"/>
            </w:rPr>
          </w:pPr>
          <w:hyperlink w:anchor="_Toc139181468" w:history="1">
            <w:r w:rsidR="005C47A4" w:rsidRPr="006B7CE2">
              <w:rPr>
                <w:rStyle w:val="Lienhypertexte"/>
                <w:noProof/>
              </w:rPr>
              <w:t>18.2.5</w:t>
            </w:r>
            <w:r w:rsidR="005C47A4">
              <w:rPr>
                <w:rFonts w:eastAsiaTheme="minorEastAsia"/>
                <w:noProof/>
                <w:kern w:val="2"/>
                <w:lang w:eastAsia="fr-FR"/>
                <w14:ligatures w14:val="standardContextual"/>
              </w:rPr>
              <w:tab/>
            </w:r>
            <w:r w:rsidR="005C47A4" w:rsidRPr="006B7CE2">
              <w:rPr>
                <w:rStyle w:val="Lienhypertexte"/>
                <w:noProof/>
              </w:rPr>
              <w:t>Millet indien ou Éleusine des Indes (</w:t>
            </w:r>
            <w:r w:rsidR="005C47A4" w:rsidRPr="006B7CE2">
              <w:rPr>
                <w:rStyle w:val="Lienhypertexte"/>
                <w:i/>
                <w:iCs/>
                <w:noProof/>
              </w:rPr>
              <w:t>Panicum sumatrense</w:t>
            </w:r>
            <w:r w:rsidR="005C47A4" w:rsidRPr="006B7CE2">
              <w:rPr>
                <w:rStyle w:val="Lienhypertexte"/>
                <w:noProof/>
              </w:rPr>
              <w:t xml:space="preserve"> ou</w:t>
            </w:r>
            <w:r w:rsidR="005C47A4" w:rsidRPr="006B7CE2">
              <w:rPr>
                <w:rStyle w:val="Lienhypertexte"/>
                <w:i/>
                <w:iCs/>
                <w:noProof/>
              </w:rPr>
              <w:t xml:space="preserve"> Eleusine indica</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_Toc139181468 \h </w:instrText>
            </w:r>
            <w:r w:rsidR="005C47A4">
              <w:rPr>
                <w:noProof/>
                <w:webHidden/>
              </w:rPr>
            </w:r>
            <w:r w:rsidR="005C47A4">
              <w:rPr>
                <w:noProof/>
                <w:webHidden/>
              </w:rPr>
              <w:fldChar w:fldCharType="separate"/>
            </w:r>
            <w:r w:rsidR="004D7B96">
              <w:rPr>
                <w:noProof/>
                <w:webHidden/>
              </w:rPr>
              <w:t>191</w:t>
            </w:r>
            <w:r w:rsidR="005C47A4">
              <w:rPr>
                <w:noProof/>
                <w:webHidden/>
              </w:rPr>
              <w:fldChar w:fldCharType="end"/>
            </w:r>
          </w:hyperlink>
        </w:p>
        <w:p w14:paraId="03369994" w14:textId="5F520541" w:rsidR="005C47A4" w:rsidRDefault="00000000">
          <w:pPr>
            <w:pStyle w:val="TM3"/>
            <w:tabs>
              <w:tab w:val="left" w:pos="1320"/>
              <w:tab w:val="right" w:leader="dot" w:pos="10416"/>
            </w:tabs>
            <w:rPr>
              <w:rFonts w:eastAsiaTheme="minorEastAsia"/>
              <w:noProof/>
              <w:kern w:val="2"/>
              <w:lang w:eastAsia="fr-FR"/>
              <w14:ligatures w14:val="standardContextual"/>
            </w:rPr>
          </w:pPr>
          <w:hyperlink w:anchor="_Toc139181469" w:history="1">
            <w:r w:rsidR="005C47A4" w:rsidRPr="006B7CE2">
              <w:rPr>
                <w:rStyle w:val="Lienhypertexte"/>
                <w:noProof/>
              </w:rPr>
              <w:t>18.2.6</w:t>
            </w:r>
            <w:r w:rsidR="005C47A4">
              <w:rPr>
                <w:rFonts w:eastAsiaTheme="minorEastAsia"/>
                <w:noProof/>
                <w:kern w:val="2"/>
                <w:lang w:eastAsia="fr-FR"/>
                <w14:ligatures w14:val="standardContextual"/>
              </w:rPr>
              <w:tab/>
            </w:r>
            <w:r w:rsidR="005C47A4" w:rsidRPr="006B7CE2">
              <w:rPr>
                <w:rStyle w:val="Lienhypertexte"/>
                <w:noProof/>
              </w:rPr>
              <w:t>Millet japonais (</w:t>
            </w:r>
            <w:r w:rsidR="005C47A4" w:rsidRPr="006B7CE2">
              <w:rPr>
                <w:rStyle w:val="Lienhypertexte"/>
                <w:i/>
                <w:iCs/>
                <w:noProof/>
              </w:rPr>
              <w:t>Echinochloa esculenta</w:t>
            </w:r>
            <w:r w:rsidR="005C47A4" w:rsidRPr="006B7CE2">
              <w:rPr>
                <w:rStyle w:val="Lienhypertexte"/>
                <w:noProof/>
              </w:rPr>
              <w:t xml:space="preserve"> et </w:t>
            </w:r>
            <w:r w:rsidR="005C47A4" w:rsidRPr="006B7CE2">
              <w:rPr>
                <w:rStyle w:val="Lienhypertexte"/>
                <w:i/>
                <w:iCs/>
                <w:noProof/>
              </w:rPr>
              <w:t>Echinochloa frumentacea</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_Toc139181469 \h </w:instrText>
            </w:r>
            <w:r w:rsidR="005C47A4">
              <w:rPr>
                <w:noProof/>
                <w:webHidden/>
              </w:rPr>
            </w:r>
            <w:r w:rsidR="005C47A4">
              <w:rPr>
                <w:noProof/>
                <w:webHidden/>
              </w:rPr>
              <w:fldChar w:fldCharType="separate"/>
            </w:r>
            <w:r w:rsidR="004D7B96">
              <w:rPr>
                <w:noProof/>
                <w:webHidden/>
              </w:rPr>
              <w:t>192</w:t>
            </w:r>
            <w:r w:rsidR="005C47A4">
              <w:rPr>
                <w:noProof/>
                <w:webHidden/>
              </w:rPr>
              <w:fldChar w:fldCharType="end"/>
            </w:r>
          </w:hyperlink>
        </w:p>
        <w:p w14:paraId="60AE7579" w14:textId="6CC59C75" w:rsidR="005C47A4" w:rsidRDefault="00000000">
          <w:pPr>
            <w:pStyle w:val="TM3"/>
            <w:tabs>
              <w:tab w:val="left" w:pos="1320"/>
              <w:tab w:val="right" w:leader="dot" w:pos="10416"/>
            </w:tabs>
            <w:rPr>
              <w:rFonts w:eastAsiaTheme="minorEastAsia"/>
              <w:noProof/>
              <w:kern w:val="2"/>
              <w:lang w:eastAsia="fr-FR"/>
              <w14:ligatures w14:val="standardContextual"/>
            </w:rPr>
          </w:pPr>
          <w:hyperlink w:anchor="_Toc139181470" w:history="1">
            <w:r w:rsidR="005C47A4" w:rsidRPr="006B7CE2">
              <w:rPr>
                <w:rStyle w:val="Lienhypertexte"/>
                <w:noProof/>
              </w:rPr>
              <w:t>18.2.7</w:t>
            </w:r>
            <w:r w:rsidR="005C47A4">
              <w:rPr>
                <w:rFonts w:eastAsiaTheme="minorEastAsia"/>
                <w:noProof/>
                <w:kern w:val="2"/>
                <w:lang w:eastAsia="fr-FR"/>
                <w14:ligatures w14:val="standardContextual"/>
              </w:rPr>
              <w:tab/>
            </w:r>
            <w:r w:rsidR="005C47A4" w:rsidRPr="006B7CE2">
              <w:rPr>
                <w:rStyle w:val="Lienhypertexte"/>
                <w:noProof/>
              </w:rPr>
              <w:t>Millet perle, mil à chandelle, mil pénicillaire, petit mil ou mil (</w:t>
            </w:r>
            <w:r w:rsidR="005C47A4" w:rsidRPr="006B7CE2">
              <w:rPr>
                <w:rStyle w:val="Lienhypertexte"/>
                <w:i/>
                <w:iCs/>
                <w:noProof/>
              </w:rPr>
              <w:t>Pennisetum glaucum</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_Toc139181470 \h </w:instrText>
            </w:r>
            <w:r w:rsidR="005C47A4">
              <w:rPr>
                <w:noProof/>
                <w:webHidden/>
              </w:rPr>
            </w:r>
            <w:r w:rsidR="005C47A4">
              <w:rPr>
                <w:noProof/>
                <w:webHidden/>
              </w:rPr>
              <w:fldChar w:fldCharType="separate"/>
            </w:r>
            <w:r w:rsidR="004D7B96">
              <w:rPr>
                <w:noProof/>
                <w:webHidden/>
              </w:rPr>
              <w:t>193</w:t>
            </w:r>
            <w:r w:rsidR="005C47A4">
              <w:rPr>
                <w:noProof/>
                <w:webHidden/>
              </w:rPr>
              <w:fldChar w:fldCharType="end"/>
            </w:r>
          </w:hyperlink>
        </w:p>
        <w:p w14:paraId="1FDD9A85" w14:textId="2A0854DB" w:rsidR="005C47A4" w:rsidRDefault="00000000">
          <w:pPr>
            <w:pStyle w:val="TM3"/>
            <w:tabs>
              <w:tab w:val="left" w:pos="1320"/>
              <w:tab w:val="right" w:leader="dot" w:pos="10416"/>
            </w:tabs>
            <w:rPr>
              <w:rFonts w:eastAsiaTheme="minorEastAsia"/>
              <w:noProof/>
              <w:kern w:val="2"/>
              <w:lang w:eastAsia="fr-FR"/>
              <w14:ligatures w14:val="standardContextual"/>
            </w:rPr>
          </w:pPr>
          <w:hyperlink w:anchor="_Toc139181471" w:history="1">
            <w:r w:rsidR="005C47A4" w:rsidRPr="006B7CE2">
              <w:rPr>
                <w:rStyle w:val="Lienhypertexte"/>
                <w:noProof/>
              </w:rPr>
              <w:t>18.2.8</w:t>
            </w:r>
            <w:r w:rsidR="005C47A4">
              <w:rPr>
                <w:rFonts w:eastAsiaTheme="minorEastAsia"/>
                <w:noProof/>
                <w:kern w:val="2"/>
                <w:lang w:eastAsia="fr-FR"/>
                <w14:ligatures w14:val="standardContextual"/>
              </w:rPr>
              <w:tab/>
            </w:r>
            <w:r w:rsidR="005C47A4" w:rsidRPr="006B7CE2">
              <w:rPr>
                <w:rStyle w:val="Lienhypertexte"/>
                <w:noProof/>
              </w:rPr>
              <w:t>Teff (</w:t>
            </w:r>
            <w:r w:rsidR="005C47A4" w:rsidRPr="006B7CE2">
              <w:rPr>
                <w:rStyle w:val="Lienhypertexte"/>
                <w:i/>
                <w:iCs/>
                <w:noProof/>
              </w:rPr>
              <w:t>Eragrostis tef</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_Toc139181471 \h </w:instrText>
            </w:r>
            <w:r w:rsidR="005C47A4">
              <w:rPr>
                <w:noProof/>
                <w:webHidden/>
              </w:rPr>
            </w:r>
            <w:r w:rsidR="005C47A4">
              <w:rPr>
                <w:noProof/>
                <w:webHidden/>
              </w:rPr>
              <w:fldChar w:fldCharType="separate"/>
            </w:r>
            <w:r w:rsidR="004D7B96">
              <w:rPr>
                <w:noProof/>
                <w:webHidden/>
              </w:rPr>
              <w:t>193</w:t>
            </w:r>
            <w:r w:rsidR="005C47A4">
              <w:rPr>
                <w:noProof/>
                <w:webHidden/>
              </w:rPr>
              <w:fldChar w:fldCharType="end"/>
            </w:r>
          </w:hyperlink>
        </w:p>
        <w:p w14:paraId="137DB67D" w14:textId="0F6D69BD" w:rsidR="005C47A4" w:rsidRDefault="00000000">
          <w:pPr>
            <w:pStyle w:val="TM3"/>
            <w:tabs>
              <w:tab w:val="left" w:pos="1320"/>
              <w:tab w:val="right" w:leader="dot" w:pos="10416"/>
            </w:tabs>
            <w:rPr>
              <w:rFonts w:eastAsiaTheme="minorEastAsia"/>
              <w:noProof/>
              <w:kern w:val="2"/>
              <w:lang w:eastAsia="fr-FR"/>
              <w14:ligatures w14:val="standardContextual"/>
            </w:rPr>
          </w:pPr>
          <w:hyperlink w:anchor="_Toc139181472" w:history="1">
            <w:r w:rsidR="005C47A4" w:rsidRPr="006B7CE2">
              <w:rPr>
                <w:rStyle w:val="Lienhypertexte"/>
                <w:noProof/>
              </w:rPr>
              <w:t>18.2.9</w:t>
            </w:r>
            <w:r w:rsidR="005C47A4">
              <w:rPr>
                <w:rFonts w:eastAsiaTheme="minorEastAsia"/>
                <w:noProof/>
                <w:kern w:val="2"/>
                <w:lang w:eastAsia="fr-FR"/>
                <w14:ligatures w14:val="standardContextual"/>
              </w:rPr>
              <w:tab/>
            </w:r>
            <w:r w:rsidR="005C47A4" w:rsidRPr="006B7CE2">
              <w:rPr>
                <w:rStyle w:val="Lienhypertexte"/>
                <w:noProof/>
              </w:rPr>
              <w:t>Coix ou larme de Job (</w:t>
            </w:r>
            <w:r w:rsidR="005C47A4" w:rsidRPr="006B7CE2">
              <w:rPr>
                <w:rStyle w:val="Lienhypertexte"/>
                <w:i/>
                <w:iCs/>
                <w:noProof/>
              </w:rPr>
              <w:t>Coix lachryma-jobi</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_Toc139181472 \h </w:instrText>
            </w:r>
            <w:r w:rsidR="005C47A4">
              <w:rPr>
                <w:noProof/>
                <w:webHidden/>
              </w:rPr>
            </w:r>
            <w:r w:rsidR="005C47A4">
              <w:rPr>
                <w:noProof/>
                <w:webHidden/>
              </w:rPr>
              <w:fldChar w:fldCharType="separate"/>
            </w:r>
            <w:r w:rsidR="004D7B96">
              <w:rPr>
                <w:noProof/>
                <w:webHidden/>
              </w:rPr>
              <w:t>193</w:t>
            </w:r>
            <w:r w:rsidR="005C47A4">
              <w:rPr>
                <w:noProof/>
                <w:webHidden/>
              </w:rPr>
              <w:fldChar w:fldCharType="end"/>
            </w:r>
          </w:hyperlink>
        </w:p>
        <w:p w14:paraId="58CE888A" w14:textId="49527A82" w:rsidR="005C47A4" w:rsidRDefault="00000000">
          <w:pPr>
            <w:pStyle w:val="TM3"/>
            <w:tabs>
              <w:tab w:val="left" w:pos="1540"/>
              <w:tab w:val="right" w:leader="dot" w:pos="10416"/>
            </w:tabs>
            <w:rPr>
              <w:rFonts w:eastAsiaTheme="minorEastAsia"/>
              <w:noProof/>
              <w:kern w:val="2"/>
              <w:lang w:eastAsia="fr-FR"/>
              <w14:ligatures w14:val="standardContextual"/>
            </w:rPr>
          </w:pPr>
          <w:hyperlink w:anchor="_Toc139181473" w:history="1">
            <w:r w:rsidR="005C47A4" w:rsidRPr="006B7CE2">
              <w:rPr>
                <w:rStyle w:val="Lienhypertexte"/>
                <w:noProof/>
              </w:rPr>
              <w:t>18.2.10</w:t>
            </w:r>
            <w:r w:rsidR="005C47A4">
              <w:rPr>
                <w:rFonts w:eastAsiaTheme="minorEastAsia"/>
                <w:noProof/>
                <w:kern w:val="2"/>
                <w:lang w:eastAsia="fr-FR"/>
                <w14:ligatures w14:val="standardContextual"/>
              </w:rPr>
              <w:tab/>
            </w:r>
            <w:r w:rsidR="005C47A4" w:rsidRPr="006B7CE2">
              <w:rPr>
                <w:rStyle w:val="Lienhypertexte"/>
                <w:noProof/>
              </w:rPr>
              <w:t>Herbe à épée (</w:t>
            </w:r>
            <w:r w:rsidR="005C47A4" w:rsidRPr="006B7CE2">
              <w:rPr>
                <w:rStyle w:val="Lienhypertexte"/>
                <w:i/>
                <w:iCs/>
                <w:noProof/>
              </w:rPr>
              <w:t>Paspalum scrobiculatum</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_Toc139181473 \h </w:instrText>
            </w:r>
            <w:r w:rsidR="005C47A4">
              <w:rPr>
                <w:noProof/>
                <w:webHidden/>
              </w:rPr>
            </w:r>
            <w:r w:rsidR="005C47A4">
              <w:rPr>
                <w:noProof/>
                <w:webHidden/>
              </w:rPr>
              <w:fldChar w:fldCharType="separate"/>
            </w:r>
            <w:r w:rsidR="004D7B96">
              <w:rPr>
                <w:noProof/>
                <w:webHidden/>
              </w:rPr>
              <w:t>194</w:t>
            </w:r>
            <w:r w:rsidR="005C47A4">
              <w:rPr>
                <w:noProof/>
                <w:webHidden/>
              </w:rPr>
              <w:fldChar w:fldCharType="end"/>
            </w:r>
          </w:hyperlink>
        </w:p>
        <w:p w14:paraId="0658F9A4" w14:textId="3F8D79D9"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474" w:history="1">
            <w:r w:rsidR="005C47A4" w:rsidRPr="006B7CE2">
              <w:rPr>
                <w:rStyle w:val="Lienhypertexte"/>
                <w:noProof/>
              </w:rPr>
              <w:t>18.3</w:t>
            </w:r>
            <w:r w:rsidR="005C47A4">
              <w:rPr>
                <w:rFonts w:eastAsiaTheme="minorEastAsia"/>
                <w:noProof/>
                <w:kern w:val="2"/>
                <w:lang w:eastAsia="fr-FR"/>
                <w14:ligatures w14:val="standardContextual"/>
              </w:rPr>
              <w:tab/>
            </w:r>
            <w:r w:rsidR="005C47A4" w:rsidRPr="006B7CE2">
              <w:rPr>
                <w:rStyle w:val="Lienhypertexte"/>
                <w:noProof/>
              </w:rPr>
              <w:t>Sorgo (sorgho) commun, Millet à balai, « gros mil » ou Sorgho bicolore (</w:t>
            </w:r>
            <w:r w:rsidR="005C47A4" w:rsidRPr="006B7CE2">
              <w:rPr>
                <w:rStyle w:val="Lienhypertexte"/>
                <w:i/>
                <w:iCs/>
                <w:noProof/>
              </w:rPr>
              <w:t>Sorghum bicolor</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_Toc139181474 \h </w:instrText>
            </w:r>
            <w:r w:rsidR="005C47A4">
              <w:rPr>
                <w:noProof/>
                <w:webHidden/>
              </w:rPr>
            </w:r>
            <w:r w:rsidR="005C47A4">
              <w:rPr>
                <w:noProof/>
                <w:webHidden/>
              </w:rPr>
              <w:fldChar w:fldCharType="separate"/>
            </w:r>
            <w:r w:rsidR="004D7B96">
              <w:rPr>
                <w:noProof/>
                <w:webHidden/>
              </w:rPr>
              <w:t>194</w:t>
            </w:r>
            <w:r w:rsidR="005C47A4">
              <w:rPr>
                <w:noProof/>
                <w:webHidden/>
              </w:rPr>
              <w:fldChar w:fldCharType="end"/>
            </w:r>
          </w:hyperlink>
        </w:p>
        <w:p w14:paraId="1E6DC473" w14:textId="534CDE32"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475" w:history="1">
            <w:r w:rsidR="005C47A4" w:rsidRPr="006B7CE2">
              <w:rPr>
                <w:rStyle w:val="Lienhypertexte"/>
                <w:noProof/>
              </w:rPr>
              <w:t>18.4</w:t>
            </w:r>
            <w:r w:rsidR="005C47A4">
              <w:rPr>
                <w:rFonts w:eastAsiaTheme="minorEastAsia"/>
                <w:noProof/>
                <w:kern w:val="2"/>
                <w:lang w:eastAsia="fr-FR"/>
                <w14:ligatures w14:val="standardContextual"/>
              </w:rPr>
              <w:tab/>
            </w:r>
            <w:r w:rsidR="005C47A4" w:rsidRPr="006B7CE2">
              <w:rPr>
                <w:rStyle w:val="Lienhypertexte"/>
                <w:noProof/>
              </w:rPr>
              <w:t>Lentille cultivée (</w:t>
            </w:r>
            <w:r w:rsidR="005C47A4" w:rsidRPr="006B7CE2">
              <w:rPr>
                <w:rStyle w:val="Lienhypertexte"/>
                <w:i/>
                <w:iCs/>
                <w:noProof/>
              </w:rPr>
              <w:t>Lens culinaris (</w:t>
            </w:r>
            <w:r w:rsidR="005C47A4" w:rsidRPr="006B7CE2">
              <w:rPr>
                <w:rStyle w:val="Lienhypertexte"/>
                <w:noProof/>
              </w:rPr>
              <w:t>ou</w:t>
            </w:r>
            <w:r w:rsidR="005C47A4" w:rsidRPr="006B7CE2">
              <w:rPr>
                <w:rStyle w:val="Lienhypertexte"/>
                <w:i/>
                <w:iCs/>
                <w:noProof/>
              </w:rPr>
              <w:t xml:space="preserve"> Lens esculenta)</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_Toc139181475 \h </w:instrText>
            </w:r>
            <w:r w:rsidR="005C47A4">
              <w:rPr>
                <w:noProof/>
                <w:webHidden/>
              </w:rPr>
            </w:r>
            <w:r w:rsidR="005C47A4">
              <w:rPr>
                <w:noProof/>
                <w:webHidden/>
              </w:rPr>
              <w:fldChar w:fldCharType="separate"/>
            </w:r>
            <w:r w:rsidR="004D7B96">
              <w:rPr>
                <w:noProof/>
                <w:webHidden/>
              </w:rPr>
              <w:t>196</w:t>
            </w:r>
            <w:r w:rsidR="005C47A4">
              <w:rPr>
                <w:noProof/>
                <w:webHidden/>
              </w:rPr>
              <w:fldChar w:fldCharType="end"/>
            </w:r>
          </w:hyperlink>
        </w:p>
        <w:p w14:paraId="74162845" w14:textId="3E6E0D4C"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476" w:history="1">
            <w:r w:rsidR="005C47A4" w:rsidRPr="006B7CE2">
              <w:rPr>
                <w:rStyle w:val="Lienhypertexte"/>
                <w:noProof/>
              </w:rPr>
              <w:t>18.5</w:t>
            </w:r>
            <w:r w:rsidR="005C47A4">
              <w:rPr>
                <w:rFonts w:eastAsiaTheme="minorEastAsia"/>
                <w:noProof/>
                <w:kern w:val="2"/>
                <w:lang w:eastAsia="fr-FR"/>
                <w14:ligatures w14:val="standardContextual"/>
              </w:rPr>
              <w:tab/>
            </w:r>
            <w:r w:rsidR="005C47A4" w:rsidRPr="006B7CE2">
              <w:rPr>
                <w:rStyle w:val="Lienhypertexte"/>
                <w:noProof/>
                <w:shd w:val="clear" w:color="auto" w:fill="F8F9FA"/>
              </w:rPr>
              <w:t>Niébé (</w:t>
            </w:r>
            <w:r w:rsidR="005C47A4" w:rsidRPr="006B7CE2">
              <w:rPr>
                <w:rStyle w:val="Lienhypertexte"/>
                <w:i/>
                <w:iCs/>
                <w:noProof/>
                <w:shd w:val="clear" w:color="auto" w:fill="F8F9FA"/>
              </w:rPr>
              <w:t>Vigna unguiculata</w:t>
            </w:r>
            <w:r w:rsidR="005C47A4" w:rsidRPr="006B7CE2">
              <w:rPr>
                <w:rStyle w:val="Lienhypertexte"/>
                <w:noProof/>
                <w:shd w:val="clear" w:color="auto" w:fill="F8F9FA"/>
              </w:rPr>
              <w:t>)</w:t>
            </w:r>
            <w:r w:rsidR="005C47A4">
              <w:rPr>
                <w:noProof/>
                <w:webHidden/>
              </w:rPr>
              <w:tab/>
            </w:r>
            <w:r w:rsidR="005C47A4">
              <w:rPr>
                <w:noProof/>
                <w:webHidden/>
              </w:rPr>
              <w:fldChar w:fldCharType="begin"/>
            </w:r>
            <w:r w:rsidR="005C47A4">
              <w:rPr>
                <w:noProof/>
                <w:webHidden/>
              </w:rPr>
              <w:instrText xml:space="preserve"> PAGEREF _Toc139181476 \h </w:instrText>
            </w:r>
            <w:r w:rsidR="005C47A4">
              <w:rPr>
                <w:noProof/>
                <w:webHidden/>
              </w:rPr>
            </w:r>
            <w:r w:rsidR="005C47A4">
              <w:rPr>
                <w:noProof/>
                <w:webHidden/>
              </w:rPr>
              <w:fldChar w:fldCharType="separate"/>
            </w:r>
            <w:r w:rsidR="004D7B96">
              <w:rPr>
                <w:noProof/>
                <w:webHidden/>
              </w:rPr>
              <w:t>198</w:t>
            </w:r>
            <w:r w:rsidR="005C47A4">
              <w:rPr>
                <w:noProof/>
                <w:webHidden/>
              </w:rPr>
              <w:fldChar w:fldCharType="end"/>
            </w:r>
          </w:hyperlink>
        </w:p>
        <w:p w14:paraId="1113DDA0" w14:textId="010D01B3"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477" w:history="1">
            <w:r w:rsidR="005C47A4" w:rsidRPr="006B7CE2">
              <w:rPr>
                <w:rStyle w:val="Lienhypertexte"/>
                <w:noProof/>
              </w:rPr>
              <w:t>18.6</w:t>
            </w:r>
            <w:r w:rsidR="005C47A4">
              <w:rPr>
                <w:rFonts w:eastAsiaTheme="minorEastAsia"/>
                <w:noProof/>
                <w:kern w:val="2"/>
                <w:lang w:eastAsia="fr-FR"/>
                <w14:ligatures w14:val="standardContextual"/>
              </w:rPr>
              <w:tab/>
            </w:r>
            <w:r w:rsidR="005C47A4" w:rsidRPr="006B7CE2">
              <w:rPr>
                <w:rStyle w:val="Lienhypertexte"/>
                <w:noProof/>
              </w:rPr>
              <w:t>Arachide (</w:t>
            </w:r>
            <w:r w:rsidR="005C47A4" w:rsidRPr="006B7CE2">
              <w:rPr>
                <w:rStyle w:val="Lienhypertexte"/>
                <w:i/>
                <w:iCs/>
                <w:noProof/>
              </w:rPr>
              <w:t>Arachis hypogaea</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_Toc139181477 \h </w:instrText>
            </w:r>
            <w:r w:rsidR="005C47A4">
              <w:rPr>
                <w:noProof/>
                <w:webHidden/>
              </w:rPr>
            </w:r>
            <w:r w:rsidR="005C47A4">
              <w:rPr>
                <w:noProof/>
                <w:webHidden/>
              </w:rPr>
              <w:fldChar w:fldCharType="separate"/>
            </w:r>
            <w:r w:rsidR="004D7B96">
              <w:rPr>
                <w:noProof/>
                <w:webHidden/>
              </w:rPr>
              <w:t>202</w:t>
            </w:r>
            <w:r w:rsidR="005C47A4">
              <w:rPr>
                <w:noProof/>
                <w:webHidden/>
              </w:rPr>
              <w:fldChar w:fldCharType="end"/>
            </w:r>
          </w:hyperlink>
        </w:p>
        <w:p w14:paraId="4229EEA9" w14:textId="7F3F00F8"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478" w:history="1">
            <w:r w:rsidR="005C47A4" w:rsidRPr="006B7CE2">
              <w:rPr>
                <w:rStyle w:val="Lienhypertexte"/>
                <w:noProof/>
              </w:rPr>
              <w:t>18.7</w:t>
            </w:r>
            <w:r w:rsidR="005C47A4">
              <w:rPr>
                <w:rFonts w:eastAsiaTheme="minorEastAsia"/>
                <w:noProof/>
                <w:kern w:val="2"/>
                <w:lang w:eastAsia="fr-FR"/>
                <w14:ligatures w14:val="standardContextual"/>
              </w:rPr>
              <w:tab/>
            </w:r>
            <w:r w:rsidR="005C47A4" w:rsidRPr="006B7CE2">
              <w:rPr>
                <w:rStyle w:val="Lienhypertexte"/>
                <w:noProof/>
              </w:rPr>
              <w:t>Gesse commune, Pois carré, Lentille d'Espagne (</w:t>
            </w:r>
            <w:r w:rsidR="005C47A4" w:rsidRPr="006B7CE2">
              <w:rPr>
                <w:rStyle w:val="Lienhypertexte"/>
                <w:i/>
                <w:iCs/>
                <w:noProof/>
              </w:rPr>
              <w:t>Lathyrus sativus</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_Toc139181478 \h </w:instrText>
            </w:r>
            <w:r w:rsidR="005C47A4">
              <w:rPr>
                <w:noProof/>
                <w:webHidden/>
              </w:rPr>
            </w:r>
            <w:r w:rsidR="005C47A4">
              <w:rPr>
                <w:noProof/>
                <w:webHidden/>
              </w:rPr>
              <w:fldChar w:fldCharType="separate"/>
            </w:r>
            <w:r w:rsidR="004D7B96">
              <w:rPr>
                <w:noProof/>
                <w:webHidden/>
              </w:rPr>
              <w:t>205</w:t>
            </w:r>
            <w:r w:rsidR="005C47A4">
              <w:rPr>
                <w:noProof/>
                <w:webHidden/>
              </w:rPr>
              <w:fldChar w:fldCharType="end"/>
            </w:r>
          </w:hyperlink>
        </w:p>
        <w:p w14:paraId="5DB59153" w14:textId="586C49B8"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479" w:history="1">
            <w:r w:rsidR="005C47A4" w:rsidRPr="006B7CE2">
              <w:rPr>
                <w:rStyle w:val="Lienhypertexte"/>
                <w:noProof/>
              </w:rPr>
              <w:t>18.8</w:t>
            </w:r>
            <w:r w:rsidR="005C47A4">
              <w:rPr>
                <w:rFonts w:eastAsiaTheme="minorEastAsia"/>
                <w:noProof/>
                <w:kern w:val="2"/>
                <w:lang w:eastAsia="fr-FR"/>
                <w14:ligatures w14:val="standardContextual"/>
              </w:rPr>
              <w:tab/>
            </w:r>
            <w:r w:rsidR="005C47A4" w:rsidRPr="006B7CE2">
              <w:rPr>
                <w:rStyle w:val="Lienhypertexte"/>
                <w:noProof/>
              </w:rPr>
              <w:t>Quinoa (</w:t>
            </w:r>
            <w:r w:rsidR="005C47A4" w:rsidRPr="006B7CE2">
              <w:rPr>
                <w:rStyle w:val="Lienhypertexte"/>
                <w:i/>
                <w:iCs/>
                <w:noProof/>
              </w:rPr>
              <w:t>Chenopodium quinoa</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_Toc139181479 \h </w:instrText>
            </w:r>
            <w:r w:rsidR="005C47A4">
              <w:rPr>
                <w:noProof/>
                <w:webHidden/>
              </w:rPr>
            </w:r>
            <w:r w:rsidR="005C47A4">
              <w:rPr>
                <w:noProof/>
                <w:webHidden/>
              </w:rPr>
              <w:fldChar w:fldCharType="separate"/>
            </w:r>
            <w:r w:rsidR="004D7B96">
              <w:rPr>
                <w:noProof/>
                <w:webHidden/>
              </w:rPr>
              <w:t>207</w:t>
            </w:r>
            <w:r w:rsidR="005C47A4">
              <w:rPr>
                <w:noProof/>
                <w:webHidden/>
              </w:rPr>
              <w:fldChar w:fldCharType="end"/>
            </w:r>
          </w:hyperlink>
        </w:p>
        <w:p w14:paraId="19950561" w14:textId="51385C2E"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480" w:history="1">
            <w:r w:rsidR="005C47A4" w:rsidRPr="006B7CE2">
              <w:rPr>
                <w:rStyle w:val="Lienhypertexte"/>
                <w:noProof/>
              </w:rPr>
              <w:t>18.9</w:t>
            </w:r>
            <w:r w:rsidR="005C47A4">
              <w:rPr>
                <w:rFonts w:eastAsiaTheme="minorEastAsia"/>
                <w:noProof/>
                <w:kern w:val="2"/>
                <w:lang w:eastAsia="fr-FR"/>
                <w14:ligatures w14:val="standardContextual"/>
              </w:rPr>
              <w:tab/>
            </w:r>
            <w:r w:rsidR="005C47A4" w:rsidRPr="006B7CE2">
              <w:rPr>
                <w:rStyle w:val="Lienhypertexte"/>
                <w:noProof/>
              </w:rPr>
              <w:t>Aloès commun (</w:t>
            </w:r>
            <w:r w:rsidR="005C47A4" w:rsidRPr="006B7CE2">
              <w:rPr>
                <w:rStyle w:val="Lienhypertexte"/>
                <w:i/>
                <w:iCs/>
                <w:noProof/>
              </w:rPr>
              <w:t>Aloe vera</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_Toc139181480 \h </w:instrText>
            </w:r>
            <w:r w:rsidR="005C47A4">
              <w:rPr>
                <w:noProof/>
                <w:webHidden/>
              </w:rPr>
            </w:r>
            <w:r w:rsidR="005C47A4">
              <w:rPr>
                <w:noProof/>
                <w:webHidden/>
              </w:rPr>
              <w:fldChar w:fldCharType="separate"/>
            </w:r>
            <w:r w:rsidR="004D7B96">
              <w:rPr>
                <w:noProof/>
                <w:webHidden/>
              </w:rPr>
              <w:t>210</w:t>
            </w:r>
            <w:r w:rsidR="005C47A4">
              <w:rPr>
                <w:noProof/>
                <w:webHidden/>
              </w:rPr>
              <w:fldChar w:fldCharType="end"/>
            </w:r>
          </w:hyperlink>
        </w:p>
        <w:p w14:paraId="04FC271E" w14:textId="6893A804" w:rsidR="005C47A4" w:rsidRDefault="00000000">
          <w:pPr>
            <w:pStyle w:val="TM1"/>
            <w:tabs>
              <w:tab w:val="left" w:pos="660"/>
              <w:tab w:val="right" w:leader="dot" w:pos="10416"/>
            </w:tabs>
            <w:rPr>
              <w:rFonts w:eastAsiaTheme="minorEastAsia"/>
              <w:noProof/>
              <w:kern w:val="2"/>
              <w:lang w:eastAsia="fr-FR"/>
              <w14:ligatures w14:val="standardContextual"/>
            </w:rPr>
          </w:pPr>
          <w:hyperlink w:anchor="_Toc139181481" w:history="1">
            <w:r w:rsidR="005C47A4" w:rsidRPr="006B7CE2">
              <w:rPr>
                <w:rStyle w:val="Lienhypertexte"/>
                <w:noProof/>
              </w:rPr>
              <w:t>19</w:t>
            </w:r>
            <w:r w:rsidR="005C47A4">
              <w:rPr>
                <w:rFonts w:eastAsiaTheme="minorEastAsia"/>
                <w:noProof/>
                <w:kern w:val="2"/>
                <w:lang w:eastAsia="fr-FR"/>
                <w14:ligatures w14:val="standardContextual"/>
              </w:rPr>
              <w:tab/>
            </w:r>
            <w:r w:rsidR="005C47A4" w:rsidRPr="006B7CE2">
              <w:rPr>
                <w:rStyle w:val="Lienhypertexte"/>
                <w:noProof/>
              </w:rPr>
              <w:t>Plantes fourragères pouvant supporter une certaine dose de sel</w:t>
            </w:r>
            <w:r w:rsidR="005C47A4">
              <w:rPr>
                <w:noProof/>
                <w:webHidden/>
              </w:rPr>
              <w:tab/>
            </w:r>
            <w:r w:rsidR="005C47A4">
              <w:rPr>
                <w:noProof/>
                <w:webHidden/>
              </w:rPr>
              <w:fldChar w:fldCharType="begin"/>
            </w:r>
            <w:r w:rsidR="005C47A4">
              <w:rPr>
                <w:noProof/>
                <w:webHidden/>
              </w:rPr>
              <w:instrText xml:space="preserve"> PAGEREF _Toc139181481 \h </w:instrText>
            </w:r>
            <w:r w:rsidR="005C47A4">
              <w:rPr>
                <w:noProof/>
                <w:webHidden/>
              </w:rPr>
            </w:r>
            <w:r w:rsidR="005C47A4">
              <w:rPr>
                <w:noProof/>
                <w:webHidden/>
              </w:rPr>
              <w:fldChar w:fldCharType="separate"/>
            </w:r>
            <w:r w:rsidR="004D7B96">
              <w:rPr>
                <w:noProof/>
                <w:webHidden/>
              </w:rPr>
              <w:t>212</w:t>
            </w:r>
            <w:r w:rsidR="005C47A4">
              <w:rPr>
                <w:noProof/>
                <w:webHidden/>
              </w:rPr>
              <w:fldChar w:fldCharType="end"/>
            </w:r>
          </w:hyperlink>
        </w:p>
        <w:p w14:paraId="58756B4F" w14:textId="691FCE95"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482" w:history="1">
            <w:r w:rsidR="005C47A4" w:rsidRPr="006B7CE2">
              <w:rPr>
                <w:rStyle w:val="Lienhypertexte"/>
                <w:noProof/>
              </w:rPr>
              <w:t>19.1</w:t>
            </w:r>
            <w:r w:rsidR="005C47A4">
              <w:rPr>
                <w:rFonts w:eastAsiaTheme="minorEastAsia"/>
                <w:noProof/>
                <w:kern w:val="2"/>
                <w:lang w:eastAsia="fr-FR"/>
                <w14:ligatures w14:val="standardContextual"/>
              </w:rPr>
              <w:tab/>
            </w:r>
            <w:r w:rsidR="005C47A4" w:rsidRPr="006B7CE2">
              <w:rPr>
                <w:rStyle w:val="Lienhypertexte"/>
                <w:noProof/>
              </w:rPr>
              <w:t>Mélilot blanc (</w:t>
            </w:r>
            <w:r w:rsidR="005C47A4" w:rsidRPr="006B7CE2">
              <w:rPr>
                <w:rStyle w:val="Lienhypertexte"/>
                <w:i/>
                <w:iCs/>
                <w:noProof/>
              </w:rPr>
              <w:t>Melilotus albus</w:t>
            </w:r>
            <w:r w:rsidR="005C47A4" w:rsidRPr="006B7CE2">
              <w:rPr>
                <w:rStyle w:val="Lienhypertexte"/>
                <w:noProof/>
              </w:rPr>
              <w:t xml:space="preserve"> ou </w:t>
            </w:r>
            <w:r w:rsidR="005C47A4" w:rsidRPr="006B7CE2">
              <w:rPr>
                <w:rStyle w:val="Lienhypertexte"/>
                <w:i/>
                <w:iCs/>
                <w:noProof/>
              </w:rPr>
              <w:t>Melilotus alba</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_Toc139181482 \h </w:instrText>
            </w:r>
            <w:r w:rsidR="005C47A4">
              <w:rPr>
                <w:noProof/>
                <w:webHidden/>
              </w:rPr>
            </w:r>
            <w:r w:rsidR="005C47A4">
              <w:rPr>
                <w:noProof/>
                <w:webHidden/>
              </w:rPr>
              <w:fldChar w:fldCharType="separate"/>
            </w:r>
            <w:r w:rsidR="004D7B96">
              <w:rPr>
                <w:noProof/>
                <w:webHidden/>
              </w:rPr>
              <w:t>212</w:t>
            </w:r>
            <w:r w:rsidR="005C47A4">
              <w:rPr>
                <w:noProof/>
                <w:webHidden/>
              </w:rPr>
              <w:fldChar w:fldCharType="end"/>
            </w:r>
          </w:hyperlink>
        </w:p>
        <w:p w14:paraId="2BA2A57E" w14:textId="6A92E646"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483" w:history="1">
            <w:r w:rsidR="005C47A4" w:rsidRPr="006B7CE2">
              <w:rPr>
                <w:rStyle w:val="Lienhypertexte"/>
                <w:noProof/>
                <w:lang w:val="en-GB"/>
              </w:rPr>
              <w:t>19.2</w:t>
            </w:r>
            <w:r w:rsidR="005C47A4">
              <w:rPr>
                <w:rFonts w:eastAsiaTheme="minorEastAsia"/>
                <w:noProof/>
                <w:kern w:val="2"/>
                <w:lang w:eastAsia="fr-FR"/>
                <w14:ligatures w14:val="standardContextual"/>
              </w:rPr>
              <w:tab/>
            </w:r>
            <w:r w:rsidR="005C47A4" w:rsidRPr="006B7CE2">
              <w:rPr>
                <w:rStyle w:val="Lienhypertexte"/>
                <w:noProof/>
                <w:lang w:val="en-GB"/>
              </w:rPr>
              <w:t>Mélilot jaune (</w:t>
            </w:r>
            <w:r w:rsidR="005C47A4" w:rsidRPr="006B7CE2">
              <w:rPr>
                <w:rStyle w:val="Lienhypertexte"/>
                <w:i/>
                <w:iCs/>
                <w:noProof/>
                <w:lang w:val="en-GB"/>
              </w:rPr>
              <w:t>Melilotus indicus</w:t>
            </w:r>
            <w:r w:rsidR="005C47A4" w:rsidRPr="006B7CE2">
              <w:rPr>
                <w:rStyle w:val="Lienhypertexte"/>
                <w:noProof/>
                <w:lang w:val="en-GB"/>
              </w:rPr>
              <w:t>)</w:t>
            </w:r>
            <w:r w:rsidR="005C47A4">
              <w:rPr>
                <w:noProof/>
                <w:webHidden/>
              </w:rPr>
              <w:tab/>
            </w:r>
            <w:r w:rsidR="005C47A4">
              <w:rPr>
                <w:noProof/>
                <w:webHidden/>
              </w:rPr>
              <w:fldChar w:fldCharType="begin"/>
            </w:r>
            <w:r w:rsidR="005C47A4">
              <w:rPr>
                <w:noProof/>
                <w:webHidden/>
              </w:rPr>
              <w:instrText xml:space="preserve"> PAGEREF _Toc139181483 \h </w:instrText>
            </w:r>
            <w:r w:rsidR="005C47A4">
              <w:rPr>
                <w:noProof/>
                <w:webHidden/>
              </w:rPr>
            </w:r>
            <w:r w:rsidR="005C47A4">
              <w:rPr>
                <w:noProof/>
                <w:webHidden/>
              </w:rPr>
              <w:fldChar w:fldCharType="separate"/>
            </w:r>
            <w:r w:rsidR="004D7B96">
              <w:rPr>
                <w:noProof/>
                <w:webHidden/>
              </w:rPr>
              <w:t>213</w:t>
            </w:r>
            <w:r w:rsidR="005C47A4">
              <w:rPr>
                <w:noProof/>
                <w:webHidden/>
              </w:rPr>
              <w:fldChar w:fldCharType="end"/>
            </w:r>
          </w:hyperlink>
        </w:p>
        <w:p w14:paraId="19B3ACEA" w14:textId="2A93D532"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484" w:history="1">
            <w:r w:rsidR="005C47A4" w:rsidRPr="006B7CE2">
              <w:rPr>
                <w:rStyle w:val="Lienhypertexte"/>
                <w:noProof/>
              </w:rPr>
              <w:t>19.3</w:t>
            </w:r>
            <w:r w:rsidR="005C47A4">
              <w:rPr>
                <w:rFonts w:eastAsiaTheme="minorEastAsia"/>
                <w:noProof/>
                <w:kern w:val="2"/>
                <w:lang w:eastAsia="fr-FR"/>
                <w14:ligatures w14:val="standardContextual"/>
              </w:rPr>
              <w:tab/>
            </w:r>
            <w:r w:rsidR="005C47A4" w:rsidRPr="006B7CE2">
              <w:rPr>
                <w:rStyle w:val="Lienhypertexte"/>
                <w:noProof/>
              </w:rPr>
              <w:t>Luzerne cultivée résistante au sel (</w:t>
            </w:r>
            <w:r w:rsidR="005C47A4" w:rsidRPr="006B7CE2">
              <w:rPr>
                <w:rStyle w:val="Lienhypertexte"/>
                <w:i/>
                <w:iCs/>
                <w:noProof/>
              </w:rPr>
              <w:t>Medicago</w:t>
            </w:r>
            <w:r w:rsidR="005C47A4" w:rsidRPr="006B7CE2">
              <w:rPr>
                <w:rStyle w:val="Lienhypertexte"/>
                <w:noProof/>
              </w:rPr>
              <w:t xml:space="preserve"> </w:t>
            </w:r>
            <w:r w:rsidR="005C47A4" w:rsidRPr="006B7CE2">
              <w:rPr>
                <w:rStyle w:val="Lienhypertexte"/>
                <w:i/>
                <w:iCs/>
                <w:noProof/>
              </w:rPr>
              <w:t>sativa</w:t>
            </w:r>
            <w:r w:rsidR="005C47A4" w:rsidRPr="006B7CE2">
              <w:rPr>
                <w:rStyle w:val="Lienhypertexte"/>
                <w:noProof/>
              </w:rPr>
              <w:t xml:space="preserve"> var </w:t>
            </w:r>
            <w:r w:rsidR="005C47A4" w:rsidRPr="006B7CE2">
              <w:rPr>
                <w:rStyle w:val="Lienhypertexte"/>
                <w:i/>
                <w:iCs/>
                <w:noProof/>
              </w:rPr>
              <w:t>Tafilalet</w:t>
            </w:r>
            <w:r w:rsidR="005C47A4" w:rsidRPr="006B7CE2">
              <w:rPr>
                <w:rStyle w:val="Lienhypertexte"/>
                <w:noProof/>
              </w:rPr>
              <w:t xml:space="preserve"> et autres cultivars)</w:t>
            </w:r>
            <w:r w:rsidR="005C47A4">
              <w:rPr>
                <w:noProof/>
                <w:webHidden/>
              </w:rPr>
              <w:tab/>
            </w:r>
            <w:r w:rsidR="005C47A4">
              <w:rPr>
                <w:noProof/>
                <w:webHidden/>
              </w:rPr>
              <w:fldChar w:fldCharType="begin"/>
            </w:r>
            <w:r w:rsidR="005C47A4">
              <w:rPr>
                <w:noProof/>
                <w:webHidden/>
              </w:rPr>
              <w:instrText xml:space="preserve"> PAGEREF _Toc139181484 \h </w:instrText>
            </w:r>
            <w:r w:rsidR="005C47A4">
              <w:rPr>
                <w:noProof/>
                <w:webHidden/>
              </w:rPr>
            </w:r>
            <w:r w:rsidR="005C47A4">
              <w:rPr>
                <w:noProof/>
                <w:webHidden/>
              </w:rPr>
              <w:fldChar w:fldCharType="separate"/>
            </w:r>
            <w:r w:rsidR="004D7B96">
              <w:rPr>
                <w:noProof/>
                <w:webHidden/>
              </w:rPr>
              <w:t>214</w:t>
            </w:r>
            <w:r w:rsidR="005C47A4">
              <w:rPr>
                <w:noProof/>
                <w:webHidden/>
              </w:rPr>
              <w:fldChar w:fldCharType="end"/>
            </w:r>
          </w:hyperlink>
        </w:p>
        <w:p w14:paraId="1CFD5431" w14:textId="7424A969"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485" w:history="1">
            <w:r w:rsidR="005C47A4" w:rsidRPr="006B7CE2">
              <w:rPr>
                <w:rStyle w:val="Lienhypertexte"/>
                <w:noProof/>
              </w:rPr>
              <w:t>19.4</w:t>
            </w:r>
            <w:r w:rsidR="005C47A4">
              <w:rPr>
                <w:rFonts w:eastAsiaTheme="minorEastAsia"/>
                <w:noProof/>
                <w:kern w:val="2"/>
                <w:lang w:eastAsia="fr-FR"/>
                <w14:ligatures w14:val="standardContextual"/>
              </w:rPr>
              <w:tab/>
            </w:r>
            <w:r w:rsidR="005C47A4" w:rsidRPr="006B7CE2">
              <w:rPr>
                <w:rStyle w:val="Lienhypertexte"/>
                <w:noProof/>
              </w:rPr>
              <w:t>Vétiver (</w:t>
            </w:r>
            <w:r w:rsidR="005C47A4" w:rsidRPr="006B7CE2">
              <w:rPr>
                <w:rStyle w:val="Lienhypertexte"/>
                <w:i/>
                <w:iCs/>
                <w:noProof/>
              </w:rPr>
              <w:t>Chrysopogon sp.)</w:t>
            </w:r>
            <w:r w:rsidR="005C47A4">
              <w:rPr>
                <w:noProof/>
                <w:webHidden/>
              </w:rPr>
              <w:tab/>
            </w:r>
            <w:r w:rsidR="005C47A4">
              <w:rPr>
                <w:noProof/>
                <w:webHidden/>
              </w:rPr>
              <w:fldChar w:fldCharType="begin"/>
            </w:r>
            <w:r w:rsidR="005C47A4">
              <w:rPr>
                <w:noProof/>
                <w:webHidden/>
              </w:rPr>
              <w:instrText xml:space="preserve"> PAGEREF _Toc139181485 \h </w:instrText>
            </w:r>
            <w:r w:rsidR="005C47A4">
              <w:rPr>
                <w:noProof/>
                <w:webHidden/>
              </w:rPr>
            </w:r>
            <w:r w:rsidR="005C47A4">
              <w:rPr>
                <w:noProof/>
                <w:webHidden/>
              </w:rPr>
              <w:fldChar w:fldCharType="separate"/>
            </w:r>
            <w:r w:rsidR="004D7B96">
              <w:rPr>
                <w:noProof/>
                <w:webHidden/>
              </w:rPr>
              <w:t>215</w:t>
            </w:r>
            <w:r w:rsidR="005C47A4">
              <w:rPr>
                <w:noProof/>
                <w:webHidden/>
              </w:rPr>
              <w:fldChar w:fldCharType="end"/>
            </w:r>
          </w:hyperlink>
        </w:p>
        <w:p w14:paraId="3D93A4B5" w14:textId="10E36660"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486" w:history="1">
            <w:r w:rsidR="005C47A4" w:rsidRPr="006B7CE2">
              <w:rPr>
                <w:rStyle w:val="Lienhypertexte"/>
                <w:noProof/>
              </w:rPr>
              <w:t>19.5</w:t>
            </w:r>
            <w:r w:rsidR="005C47A4">
              <w:rPr>
                <w:rFonts w:eastAsiaTheme="minorEastAsia"/>
                <w:noProof/>
                <w:kern w:val="2"/>
                <w:lang w:eastAsia="fr-FR"/>
                <w14:ligatures w14:val="standardContextual"/>
              </w:rPr>
              <w:tab/>
            </w:r>
            <w:r w:rsidR="005C47A4" w:rsidRPr="006B7CE2">
              <w:rPr>
                <w:rStyle w:val="Lienhypertexte"/>
                <w:noProof/>
              </w:rPr>
              <w:t>Vétiver (</w:t>
            </w:r>
            <w:r w:rsidR="005C47A4" w:rsidRPr="006B7CE2">
              <w:rPr>
                <w:rStyle w:val="Lienhypertexte"/>
                <w:i/>
                <w:iCs/>
                <w:noProof/>
              </w:rPr>
              <w:t>Chrysopogon zizanioides</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_Toc139181486 \h </w:instrText>
            </w:r>
            <w:r w:rsidR="005C47A4">
              <w:rPr>
                <w:noProof/>
                <w:webHidden/>
              </w:rPr>
            </w:r>
            <w:r w:rsidR="005C47A4">
              <w:rPr>
                <w:noProof/>
                <w:webHidden/>
              </w:rPr>
              <w:fldChar w:fldCharType="separate"/>
            </w:r>
            <w:r w:rsidR="004D7B96">
              <w:rPr>
                <w:noProof/>
                <w:webHidden/>
              </w:rPr>
              <w:t>218</w:t>
            </w:r>
            <w:r w:rsidR="005C47A4">
              <w:rPr>
                <w:noProof/>
                <w:webHidden/>
              </w:rPr>
              <w:fldChar w:fldCharType="end"/>
            </w:r>
          </w:hyperlink>
        </w:p>
        <w:p w14:paraId="6422837A" w14:textId="3975B234"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487" w:history="1">
            <w:r w:rsidR="005C47A4" w:rsidRPr="006B7CE2">
              <w:rPr>
                <w:rStyle w:val="Lienhypertexte"/>
                <w:noProof/>
              </w:rPr>
              <w:t>19.6</w:t>
            </w:r>
            <w:r w:rsidR="005C47A4">
              <w:rPr>
                <w:rFonts w:eastAsiaTheme="minorEastAsia"/>
                <w:noProof/>
                <w:kern w:val="2"/>
                <w:lang w:eastAsia="fr-FR"/>
                <w14:ligatures w14:val="standardContextual"/>
              </w:rPr>
              <w:tab/>
            </w:r>
            <w:r w:rsidR="005C47A4" w:rsidRPr="006B7CE2">
              <w:rPr>
                <w:rStyle w:val="Lienhypertexte"/>
                <w:noProof/>
              </w:rPr>
              <w:t>Vétiver (</w:t>
            </w:r>
            <w:r w:rsidR="005C47A4" w:rsidRPr="006B7CE2">
              <w:rPr>
                <w:rStyle w:val="Lienhypertexte"/>
                <w:i/>
                <w:iCs/>
                <w:noProof/>
              </w:rPr>
              <w:t>Chrysopogon nigritanus</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_Toc139181487 \h </w:instrText>
            </w:r>
            <w:r w:rsidR="005C47A4">
              <w:rPr>
                <w:noProof/>
                <w:webHidden/>
              </w:rPr>
            </w:r>
            <w:r w:rsidR="005C47A4">
              <w:rPr>
                <w:noProof/>
                <w:webHidden/>
              </w:rPr>
              <w:fldChar w:fldCharType="separate"/>
            </w:r>
            <w:r w:rsidR="004D7B96">
              <w:rPr>
                <w:noProof/>
                <w:webHidden/>
              </w:rPr>
              <w:t>218</w:t>
            </w:r>
            <w:r w:rsidR="005C47A4">
              <w:rPr>
                <w:noProof/>
                <w:webHidden/>
              </w:rPr>
              <w:fldChar w:fldCharType="end"/>
            </w:r>
          </w:hyperlink>
        </w:p>
        <w:p w14:paraId="1B1AC35A" w14:textId="4F4F4A93"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488" w:history="1">
            <w:r w:rsidR="005C47A4" w:rsidRPr="006B7CE2">
              <w:rPr>
                <w:rStyle w:val="Lienhypertexte"/>
                <w:noProof/>
              </w:rPr>
              <w:t>19.7</w:t>
            </w:r>
            <w:r w:rsidR="005C47A4">
              <w:rPr>
                <w:rFonts w:eastAsiaTheme="minorEastAsia"/>
                <w:noProof/>
                <w:kern w:val="2"/>
                <w:lang w:eastAsia="fr-FR"/>
                <w14:ligatures w14:val="standardContextual"/>
              </w:rPr>
              <w:tab/>
            </w:r>
            <w:r w:rsidR="005C47A4" w:rsidRPr="006B7CE2">
              <w:rPr>
                <w:rStyle w:val="Lienhypertexte"/>
                <w:noProof/>
              </w:rPr>
              <w:t>Vétiver (</w:t>
            </w:r>
            <w:r w:rsidR="005C47A4" w:rsidRPr="006B7CE2">
              <w:rPr>
                <w:rStyle w:val="Lienhypertexte"/>
                <w:i/>
                <w:iCs/>
                <w:noProof/>
              </w:rPr>
              <w:t>Chrysopogon nemoralis</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_Toc139181488 \h </w:instrText>
            </w:r>
            <w:r w:rsidR="005C47A4">
              <w:rPr>
                <w:noProof/>
                <w:webHidden/>
              </w:rPr>
            </w:r>
            <w:r w:rsidR="005C47A4">
              <w:rPr>
                <w:noProof/>
                <w:webHidden/>
              </w:rPr>
              <w:fldChar w:fldCharType="separate"/>
            </w:r>
            <w:r w:rsidR="004D7B96">
              <w:rPr>
                <w:noProof/>
                <w:webHidden/>
              </w:rPr>
              <w:t>219</w:t>
            </w:r>
            <w:r w:rsidR="005C47A4">
              <w:rPr>
                <w:noProof/>
                <w:webHidden/>
              </w:rPr>
              <w:fldChar w:fldCharType="end"/>
            </w:r>
          </w:hyperlink>
        </w:p>
        <w:p w14:paraId="6CC519FA" w14:textId="295B6F93"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489" w:history="1">
            <w:r w:rsidR="005C47A4" w:rsidRPr="006B7CE2">
              <w:rPr>
                <w:rStyle w:val="Lienhypertexte"/>
                <w:noProof/>
              </w:rPr>
              <w:t>19.8</w:t>
            </w:r>
            <w:r w:rsidR="005C47A4">
              <w:rPr>
                <w:rFonts w:eastAsiaTheme="minorEastAsia"/>
                <w:noProof/>
                <w:kern w:val="2"/>
                <w:lang w:eastAsia="fr-FR"/>
                <w14:ligatures w14:val="standardContextual"/>
              </w:rPr>
              <w:tab/>
            </w:r>
            <w:r w:rsidR="005C47A4" w:rsidRPr="006B7CE2">
              <w:rPr>
                <w:rStyle w:val="Lienhypertexte"/>
                <w:noProof/>
              </w:rPr>
              <w:t>Panic érigé</w:t>
            </w:r>
            <w:r w:rsidR="005C47A4" w:rsidRPr="006B7CE2">
              <w:rPr>
                <w:rStyle w:val="Lienhypertexte"/>
                <w:b/>
                <w:bCs/>
                <w:noProof/>
              </w:rPr>
              <w:t xml:space="preserve"> </w:t>
            </w:r>
            <w:r w:rsidR="005C47A4" w:rsidRPr="006B7CE2">
              <w:rPr>
                <w:rStyle w:val="Lienhypertexte"/>
                <w:noProof/>
              </w:rPr>
              <w:t>(</w:t>
            </w:r>
            <w:r w:rsidR="005C47A4" w:rsidRPr="006B7CE2">
              <w:rPr>
                <w:rStyle w:val="Lienhypertexte"/>
                <w:i/>
                <w:iCs/>
                <w:noProof/>
                <w:lang w:val="la-Latn"/>
              </w:rPr>
              <w:t>Panicum virgatum</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_Toc139181489 \h </w:instrText>
            </w:r>
            <w:r w:rsidR="005C47A4">
              <w:rPr>
                <w:noProof/>
                <w:webHidden/>
              </w:rPr>
            </w:r>
            <w:r w:rsidR="005C47A4">
              <w:rPr>
                <w:noProof/>
                <w:webHidden/>
              </w:rPr>
              <w:fldChar w:fldCharType="separate"/>
            </w:r>
            <w:r w:rsidR="004D7B96">
              <w:rPr>
                <w:noProof/>
                <w:webHidden/>
              </w:rPr>
              <w:t>220</w:t>
            </w:r>
            <w:r w:rsidR="005C47A4">
              <w:rPr>
                <w:noProof/>
                <w:webHidden/>
              </w:rPr>
              <w:fldChar w:fldCharType="end"/>
            </w:r>
          </w:hyperlink>
        </w:p>
        <w:p w14:paraId="60827432" w14:textId="6EC8417C"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490" w:history="1">
            <w:r w:rsidR="005C47A4" w:rsidRPr="006B7CE2">
              <w:rPr>
                <w:rStyle w:val="Lienhypertexte"/>
                <w:noProof/>
              </w:rPr>
              <w:t>19.9</w:t>
            </w:r>
            <w:r w:rsidR="005C47A4">
              <w:rPr>
                <w:rFonts w:eastAsiaTheme="minorEastAsia"/>
                <w:noProof/>
                <w:kern w:val="2"/>
                <w:lang w:eastAsia="fr-FR"/>
                <w14:ligatures w14:val="standardContextual"/>
              </w:rPr>
              <w:tab/>
            </w:r>
            <w:r w:rsidR="005C47A4" w:rsidRPr="006B7CE2">
              <w:rPr>
                <w:rStyle w:val="Lienhypertexte"/>
                <w:noProof/>
              </w:rPr>
              <w:t>Panic amer</w:t>
            </w:r>
            <w:r w:rsidR="005C47A4" w:rsidRPr="006B7CE2">
              <w:rPr>
                <w:rStyle w:val="Lienhypertexte"/>
                <w:b/>
                <w:bCs/>
                <w:noProof/>
              </w:rPr>
              <w:t xml:space="preserve"> </w:t>
            </w:r>
            <w:r w:rsidR="005C47A4" w:rsidRPr="006B7CE2">
              <w:rPr>
                <w:rStyle w:val="Lienhypertexte"/>
                <w:noProof/>
              </w:rPr>
              <w:t>(</w:t>
            </w:r>
            <w:r w:rsidR="005C47A4" w:rsidRPr="006B7CE2">
              <w:rPr>
                <w:rStyle w:val="Lienhypertexte"/>
                <w:i/>
                <w:iCs/>
                <w:noProof/>
                <w:lang w:val="la-Latn"/>
              </w:rPr>
              <w:t xml:space="preserve">Panicum </w:t>
            </w:r>
            <w:r w:rsidR="005C47A4" w:rsidRPr="006B7CE2">
              <w:rPr>
                <w:rStyle w:val="Lienhypertexte"/>
                <w:i/>
                <w:iCs/>
                <w:noProof/>
              </w:rPr>
              <w:t>amarum</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_Toc139181490 \h </w:instrText>
            </w:r>
            <w:r w:rsidR="005C47A4">
              <w:rPr>
                <w:noProof/>
                <w:webHidden/>
              </w:rPr>
            </w:r>
            <w:r w:rsidR="005C47A4">
              <w:rPr>
                <w:noProof/>
                <w:webHidden/>
              </w:rPr>
              <w:fldChar w:fldCharType="separate"/>
            </w:r>
            <w:r w:rsidR="004D7B96">
              <w:rPr>
                <w:noProof/>
                <w:webHidden/>
              </w:rPr>
              <w:t>221</w:t>
            </w:r>
            <w:r w:rsidR="005C47A4">
              <w:rPr>
                <w:noProof/>
                <w:webHidden/>
              </w:rPr>
              <w:fldChar w:fldCharType="end"/>
            </w:r>
          </w:hyperlink>
        </w:p>
        <w:p w14:paraId="07B07D0E" w14:textId="78418EDB" w:rsidR="005C47A4" w:rsidRDefault="00000000">
          <w:pPr>
            <w:pStyle w:val="TM2"/>
            <w:tabs>
              <w:tab w:val="left" w:pos="1100"/>
              <w:tab w:val="right" w:leader="dot" w:pos="10416"/>
            </w:tabs>
            <w:rPr>
              <w:rFonts w:eastAsiaTheme="minorEastAsia"/>
              <w:noProof/>
              <w:kern w:val="2"/>
              <w:lang w:eastAsia="fr-FR"/>
              <w14:ligatures w14:val="standardContextual"/>
            </w:rPr>
          </w:pPr>
          <w:hyperlink w:anchor="_Toc139181491" w:history="1">
            <w:r w:rsidR="005C47A4" w:rsidRPr="006B7CE2">
              <w:rPr>
                <w:rStyle w:val="Lienhypertexte"/>
                <w:noProof/>
                <w:lang w:val="en-GB"/>
              </w:rPr>
              <w:t>19.10</w:t>
            </w:r>
            <w:r w:rsidR="005C47A4">
              <w:rPr>
                <w:rFonts w:eastAsiaTheme="minorEastAsia"/>
                <w:noProof/>
                <w:kern w:val="2"/>
                <w:lang w:eastAsia="fr-FR"/>
                <w14:ligatures w14:val="standardContextual"/>
              </w:rPr>
              <w:tab/>
            </w:r>
            <w:r w:rsidR="005C47A4" w:rsidRPr="006B7CE2">
              <w:rPr>
                <w:rStyle w:val="Lienhypertexte"/>
                <w:noProof/>
              </w:rPr>
              <w:t>Canne de Provence (</w:t>
            </w:r>
            <w:r w:rsidR="005C47A4" w:rsidRPr="006B7CE2">
              <w:rPr>
                <w:rStyle w:val="Lienhypertexte"/>
                <w:i/>
                <w:iCs/>
                <w:noProof/>
                <w:lang w:val="la-Latn"/>
              </w:rPr>
              <w:t>Arundo donax</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_Toc139181491 \h </w:instrText>
            </w:r>
            <w:r w:rsidR="005C47A4">
              <w:rPr>
                <w:noProof/>
                <w:webHidden/>
              </w:rPr>
            </w:r>
            <w:r w:rsidR="005C47A4">
              <w:rPr>
                <w:noProof/>
                <w:webHidden/>
              </w:rPr>
              <w:fldChar w:fldCharType="separate"/>
            </w:r>
            <w:r w:rsidR="004D7B96">
              <w:rPr>
                <w:noProof/>
                <w:webHidden/>
              </w:rPr>
              <w:t>222</w:t>
            </w:r>
            <w:r w:rsidR="005C47A4">
              <w:rPr>
                <w:noProof/>
                <w:webHidden/>
              </w:rPr>
              <w:fldChar w:fldCharType="end"/>
            </w:r>
          </w:hyperlink>
        </w:p>
        <w:p w14:paraId="18BA423A" w14:textId="0999A762" w:rsidR="005C47A4" w:rsidRDefault="00000000">
          <w:pPr>
            <w:pStyle w:val="TM1"/>
            <w:tabs>
              <w:tab w:val="left" w:pos="660"/>
              <w:tab w:val="right" w:leader="dot" w:pos="10416"/>
            </w:tabs>
            <w:rPr>
              <w:rFonts w:eastAsiaTheme="minorEastAsia"/>
              <w:noProof/>
              <w:kern w:val="2"/>
              <w:lang w:eastAsia="fr-FR"/>
              <w14:ligatures w14:val="standardContextual"/>
            </w:rPr>
          </w:pPr>
          <w:hyperlink w:anchor="_Toc139181492" w:history="1">
            <w:r w:rsidR="005C47A4" w:rsidRPr="006B7CE2">
              <w:rPr>
                <w:rStyle w:val="Lienhypertexte"/>
                <w:noProof/>
              </w:rPr>
              <w:t>20</w:t>
            </w:r>
            <w:r w:rsidR="005C47A4">
              <w:rPr>
                <w:rFonts w:eastAsiaTheme="minorEastAsia"/>
                <w:noProof/>
                <w:kern w:val="2"/>
                <w:lang w:eastAsia="fr-FR"/>
                <w14:ligatures w14:val="standardContextual"/>
              </w:rPr>
              <w:tab/>
            </w:r>
            <w:r w:rsidR="005C47A4" w:rsidRPr="006B7CE2">
              <w:rPr>
                <w:rStyle w:val="Lienhypertexte"/>
                <w:noProof/>
              </w:rPr>
              <w:t>Plantes fourragères et pour d’autres usages, pour zones arides</w:t>
            </w:r>
            <w:r w:rsidR="005C47A4">
              <w:rPr>
                <w:noProof/>
                <w:webHidden/>
              </w:rPr>
              <w:tab/>
            </w:r>
            <w:r w:rsidR="005C47A4">
              <w:rPr>
                <w:noProof/>
                <w:webHidden/>
              </w:rPr>
              <w:fldChar w:fldCharType="begin"/>
            </w:r>
            <w:r w:rsidR="005C47A4">
              <w:rPr>
                <w:noProof/>
                <w:webHidden/>
              </w:rPr>
              <w:instrText xml:space="preserve"> PAGEREF _Toc139181492 \h </w:instrText>
            </w:r>
            <w:r w:rsidR="005C47A4">
              <w:rPr>
                <w:noProof/>
                <w:webHidden/>
              </w:rPr>
            </w:r>
            <w:r w:rsidR="005C47A4">
              <w:rPr>
                <w:noProof/>
                <w:webHidden/>
              </w:rPr>
              <w:fldChar w:fldCharType="separate"/>
            </w:r>
            <w:r w:rsidR="004D7B96">
              <w:rPr>
                <w:noProof/>
                <w:webHidden/>
              </w:rPr>
              <w:t>223</w:t>
            </w:r>
            <w:r w:rsidR="005C47A4">
              <w:rPr>
                <w:noProof/>
                <w:webHidden/>
              </w:rPr>
              <w:fldChar w:fldCharType="end"/>
            </w:r>
          </w:hyperlink>
        </w:p>
        <w:p w14:paraId="3C8B7121" w14:textId="1808826A"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493" w:history="1">
            <w:r w:rsidR="005C47A4" w:rsidRPr="006B7CE2">
              <w:rPr>
                <w:rStyle w:val="Lienhypertexte"/>
                <w:noProof/>
              </w:rPr>
              <w:t>20.1</w:t>
            </w:r>
            <w:r w:rsidR="005C47A4">
              <w:rPr>
                <w:rFonts w:eastAsiaTheme="minorEastAsia"/>
                <w:noProof/>
                <w:kern w:val="2"/>
                <w:lang w:eastAsia="fr-FR"/>
                <w14:ligatures w14:val="standardContextual"/>
              </w:rPr>
              <w:tab/>
            </w:r>
            <w:r w:rsidR="005C47A4" w:rsidRPr="006B7CE2">
              <w:rPr>
                <w:rStyle w:val="Lienhypertexte"/>
                <w:noProof/>
              </w:rPr>
              <w:t>Alfa (</w:t>
            </w:r>
            <w:r w:rsidR="005C47A4" w:rsidRPr="006B7CE2">
              <w:rPr>
                <w:rStyle w:val="Lienhypertexte"/>
                <w:i/>
                <w:iCs/>
                <w:noProof/>
              </w:rPr>
              <w:t>Stipa tenacissima</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_Toc139181493 \h </w:instrText>
            </w:r>
            <w:r w:rsidR="005C47A4">
              <w:rPr>
                <w:noProof/>
                <w:webHidden/>
              </w:rPr>
            </w:r>
            <w:r w:rsidR="005C47A4">
              <w:rPr>
                <w:noProof/>
                <w:webHidden/>
              </w:rPr>
              <w:fldChar w:fldCharType="separate"/>
            </w:r>
            <w:r w:rsidR="004D7B96">
              <w:rPr>
                <w:noProof/>
                <w:webHidden/>
              </w:rPr>
              <w:t>223</w:t>
            </w:r>
            <w:r w:rsidR="005C47A4">
              <w:rPr>
                <w:noProof/>
                <w:webHidden/>
              </w:rPr>
              <w:fldChar w:fldCharType="end"/>
            </w:r>
          </w:hyperlink>
        </w:p>
        <w:p w14:paraId="4C7FD275" w14:textId="58AB1916" w:rsidR="005C47A4" w:rsidRDefault="00000000">
          <w:pPr>
            <w:pStyle w:val="TM1"/>
            <w:tabs>
              <w:tab w:val="left" w:pos="660"/>
              <w:tab w:val="right" w:leader="dot" w:pos="10416"/>
            </w:tabs>
            <w:rPr>
              <w:rFonts w:eastAsiaTheme="minorEastAsia"/>
              <w:noProof/>
              <w:kern w:val="2"/>
              <w:lang w:eastAsia="fr-FR"/>
              <w14:ligatures w14:val="standardContextual"/>
            </w:rPr>
          </w:pPr>
          <w:hyperlink w:anchor="_Toc139181494" w:history="1">
            <w:r w:rsidR="005C47A4" w:rsidRPr="006B7CE2">
              <w:rPr>
                <w:rStyle w:val="Lienhypertexte"/>
                <w:noProof/>
              </w:rPr>
              <w:t>21</w:t>
            </w:r>
            <w:r w:rsidR="005C47A4">
              <w:rPr>
                <w:rFonts w:eastAsiaTheme="minorEastAsia"/>
                <w:noProof/>
                <w:kern w:val="2"/>
                <w:lang w:eastAsia="fr-FR"/>
                <w14:ligatures w14:val="standardContextual"/>
              </w:rPr>
              <w:tab/>
            </w:r>
            <w:r w:rsidR="005C47A4" w:rsidRPr="006B7CE2">
              <w:rPr>
                <w:rStyle w:val="Lienhypertexte"/>
                <w:noProof/>
              </w:rPr>
              <w:t>Plantes herbacées de survie et de famine de climats secs et régions arides</w:t>
            </w:r>
            <w:r w:rsidR="005C47A4">
              <w:rPr>
                <w:noProof/>
                <w:webHidden/>
              </w:rPr>
              <w:tab/>
            </w:r>
            <w:r w:rsidR="005C47A4">
              <w:rPr>
                <w:noProof/>
                <w:webHidden/>
              </w:rPr>
              <w:fldChar w:fldCharType="begin"/>
            </w:r>
            <w:r w:rsidR="005C47A4">
              <w:rPr>
                <w:noProof/>
                <w:webHidden/>
              </w:rPr>
              <w:instrText xml:space="preserve"> PAGEREF _Toc139181494 \h </w:instrText>
            </w:r>
            <w:r w:rsidR="005C47A4">
              <w:rPr>
                <w:noProof/>
                <w:webHidden/>
              </w:rPr>
            </w:r>
            <w:r w:rsidR="005C47A4">
              <w:rPr>
                <w:noProof/>
                <w:webHidden/>
              </w:rPr>
              <w:fldChar w:fldCharType="separate"/>
            </w:r>
            <w:r w:rsidR="004D7B96">
              <w:rPr>
                <w:noProof/>
                <w:webHidden/>
              </w:rPr>
              <w:t>224</w:t>
            </w:r>
            <w:r w:rsidR="005C47A4">
              <w:rPr>
                <w:noProof/>
                <w:webHidden/>
              </w:rPr>
              <w:fldChar w:fldCharType="end"/>
            </w:r>
          </w:hyperlink>
        </w:p>
        <w:p w14:paraId="5EB9B9AE" w14:textId="6EBDD33E"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495" w:history="1">
            <w:r w:rsidR="005C47A4" w:rsidRPr="006B7CE2">
              <w:rPr>
                <w:rStyle w:val="Lienhypertexte"/>
                <w:noProof/>
              </w:rPr>
              <w:t>21.1</w:t>
            </w:r>
            <w:r w:rsidR="005C47A4">
              <w:rPr>
                <w:rFonts w:eastAsiaTheme="minorEastAsia"/>
                <w:noProof/>
                <w:kern w:val="2"/>
                <w:lang w:eastAsia="fr-FR"/>
                <w14:ligatures w14:val="standardContextual"/>
              </w:rPr>
              <w:tab/>
            </w:r>
            <w:r w:rsidR="005C47A4" w:rsidRPr="006B7CE2">
              <w:rPr>
                <w:rStyle w:val="Lienhypertexte"/>
                <w:noProof/>
              </w:rPr>
              <w:t>"Bec-de-héron velu" (</w:t>
            </w:r>
            <w:r w:rsidR="005C47A4" w:rsidRPr="006B7CE2">
              <w:rPr>
                <w:rStyle w:val="Lienhypertexte"/>
                <w:i/>
                <w:iCs/>
                <w:noProof/>
              </w:rPr>
              <w:t>Erodium crassifolium</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_Toc139181495 \h </w:instrText>
            </w:r>
            <w:r w:rsidR="005C47A4">
              <w:rPr>
                <w:noProof/>
                <w:webHidden/>
              </w:rPr>
            </w:r>
            <w:r w:rsidR="005C47A4">
              <w:rPr>
                <w:noProof/>
                <w:webHidden/>
              </w:rPr>
              <w:fldChar w:fldCharType="separate"/>
            </w:r>
            <w:r w:rsidR="004D7B96">
              <w:rPr>
                <w:noProof/>
                <w:webHidden/>
              </w:rPr>
              <w:t>224</w:t>
            </w:r>
            <w:r w:rsidR="005C47A4">
              <w:rPr>
                <w:noProof/>
                <w:webHidden/>
              </w:rPr>
              <w:fldChar w:fldCharType="end"/>
            </w:r>
          </w:hyperlink>
        </w:p>
        <w:p w14:paraId="161526A0" w14:textId="4571255B"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496" w:history="1">
            <w:r w:rsidR="005C47A4" w:rsidRPr="006B7CE2">
              <w:rPr>
                <w:rStyle w:val="Lienhypertexte"/>
                <w:noProof/>
              </w:rPr>
              <w:t>21.2</w:t>
            </w:r>
            <w:r w:rsidR="005C47A4">
              <w:rPr>
                <w:rFonts w:eastAsiaTheme="minorEastAsia"/>
                <w:noProof/>
                <w:kern w:val="2"/>
                <w:lang w:eastAsia="fr-FR"/>
                <w14:ligatures w14:val="standardContextual"/>
              </w:rPr>
              <w:tab/>
            </w:r>
            <w:r w:rsidR="005C47A4" w:rsidRPr="006B7CE2">
              <w:rPr>
                <w:rStyle w:val="Lienhypertexte"/>
                <w:noProof/>
              </w:rPr>
              <w:t>Nara, !nara ou melon du désert (</w:t>
            </w:r>
            <w:r w:rsidR="005C47A4" w:rsidRPr="006B7CE2">
              <w:rPr>
                <w:rStyle w:val="Lienhypertexte"/>
                <w:i/>
                <w:iCs/>
                <w:noProof/>
              </w:rPr>
              <w:t>Acanthosicyos horridus</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_Toc139181496 \h </w:instrText>
            </w:r>
            <w:r w:rsidR="005C47A4">
              <w:rPr>
                <w:noProof/>
                <w:webHidden/>
              </w:rPr>
            </w:r>
            <w:r w:rsidR="005C47A4">
              <w:rPr>
                <w:noProof/>
                <w:webHidden/>
              </w:rPr>
              <w:fldChar w:fldCharType="separate"/>
            </w:r>
            <w:r w:rsidR="004D7B96">
              <w:rPr>
                <w:noProof/>
                <w:webHidden/>
              </w:rPr>
              <w:t>225</w:t>
            </w:r>
            <w:r w:rsidR="005C47A4">
              <w:rPr>
                <w:noProof/>
                <w:webHidden/>
              </w:rPr>
              <w:fldChar w:fldCharType="end"/>
            </w:r>
          </w:hyperlink>
        </w:p>
        <w:p w14:paraId="44777681" w14:textId="0AC50916"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497" w:history="1">
            <w:r w:rsidR="005C47A4" w:rsidRPr="006B7CE2">
              <w:rPr>
                <w:rStyle w:val="Lienhypertexte"/>
                <w:noProof/>
              </w:rPr>
              <w:t>21.3</w:t>
            </w:r>
            <w:r w:rsidR="005C47A4">
              <w:rPr>
                <w:rFonts w:eastAsiaTheme="minorEastAsia"/>
                <w:noProof/>
                <w:kern w:val="2"/>
                <w:lang w:eastAsia="fr-FR"/>
                <w14:ligatures w14:val="standardContextual"/>
              </w:rPr>
              <w:tab/>
            </w:r>
            <w:r w:rsidR="005C47A4" w:rsidRPr="006B7CE2">
              <w:rPr>
                <w:rStyle w:val="Lienhypertexte"/>
                <w:noProof/>
              </w:rPr>
              <w:t>Lentille bâtarde</w:t>
            </w:r>
            <w:r w:rsidR="005C47A4" w:rsidRPr="006B7CE2">
              <w:rPr>
                <w:rStyle w:val="Lienhypertexte"/>
                <w:noProof/>
                <w:lang w:val="it-IT"/>
              </w:rPr>
              <w:t xml:space="preserve">, </w:t>
            </w:r>
            <w:r w:rsidR="005C47A4" w:rsidRPr="006B7CE2">
              <w:rPr>
                <w:rStyle w:val="Lienhypertexte"/>
                <w:noProof/>
              </w:rPr>
              <w:t>vesce amère ou ers</w:t>
            </w:r>
            <w:r w:rsidR="005C47A4" w:rsidRPr="006B7CE2">
              <w:rPr>
                <w:rStyle w:val="Lienhypertexte"/>
                <w:b/>
                <w:bCs/>
                <w:noProof/>
              </w:rPr>
              <w:t xml:space="preserve"> </w:t>
            </w:r>
            <w:r w:rsidR="005C47A4" w:rsidRPr="006B7CE2">
              <w:rPr>
                <w:rStyle w:val="Lienhypertexte"/>
                <w:noProof/>
                <w:lang w:val="it-IT"/>
              </w:rPr>
              <w:t>(</w:t>
            </w:r>
            <w:r w:rsidR="005C47A4" w:rsidRPr="006B7CE2">
              <w:rPr>
                <w:rStyle w:val="Lienhypertexte"/>
                <w:i/>
                <w:iCs/>
                <w:noProof/>
                <w:lang w:val="it-IT"/>
              </w:rPr>
              <w:t>Vicia ervilia</w:t>
            </w:r>
            <w:r w:rsidR="005C47A4" w:rsidRPr="006B7CE2">
              <w:rPr>
                <w:rStyle w:val="Lienhypertexte"/>
                <w:noProof/>
                <w:lang w:val="it-IT"/>
              </w:rPr>
              <w:t>)</w:t>
            </w:r>
            <w:r w:rsidR="005C47A4">
              <w:rPr>
                <w:noProof/>
                <w:webHidden/>
              </w:rPr>
              <w:tab/>
            </w:r>
            <w:r w:rsidR="005C47A4">
              <w:rPr>
                <w:noProof/>
                <w:webHidden/>
              </w:rPr>
              <w:fldChar w:fldCharType="begin"/>
            </w:r>
            <w:r w:rsidR="005C47A4">
              <w:rPr>
                <w:noProof/>
                <w:webHidden/>
              </w:rPr>
              <w:instrText xml:space="preserve"> PAGEREF _Toc139181497 \h </w:instrText>
            </w:r>
            <w:r w:rsidR="005C47A4">
              <w:rPr>
                <w:noProof/>
                <w:webHidden/>
              </w:rPr>
            </w:r>
            <w:r w:rsidR="005C47A4">
              <w:rPr>
                <w:noProof/>
                <w:webHidden/>
              </w:rPr>
              <w:fldChar w:fldCharType="separate"/>
            </w:r>
            <w:r w:rsidR="004D7B96">
              <w:rPr>
                <w:noProof/>
                <w:webHidden/>
              </w:rPr>
              <w:t>227</w:t>
            </w:r>
            <w:r w:rsidR="005C47A4">
              <w:rPr>
                <w:noProof/>
                <w:webHidden/>
              </w:rPr>
              <w:fldChar w:fldCharType="end"/>
            </w:r>
          </w:hyperlink>
        </w:p>
        <w:p w14:paraId="360A1D6A" w14:textId="714CF658" w:rsidR="005C47A4" w:rsidRDefault="00000000">
          <w:pPr>
            <w:pStyle w:val="TM1"/>
            <w:tabs>
              <w:tab w:val="left" w:pos="660"/>
              <w:tab w:val="right" w:leader="dot" w:pos="10416"/>
            </w:tabs>
            <w:rPr>
              <w:rFonts w:eastAsiaTheme="minorEastAsia"/>
              <w:noProof/>
              <w:kern w:val="2"/>
              <w:lang w:eastAsia="fr-FR"/>
              <w14:ligatures w14:val="standardContextual"/>
            </w:rPr>
          </w:pPr>
          <w:hyperlink w:anchor="_Toc139181498" w:history="1">
            <w:r w:rsidR="005C47A4" w:rsidRPr="006B7CE2">
              <w:rPr>
                <w:rStyle w:val="Lienhypertexte"/>
                <w:noProof/>
              </w:rPr>
              <w:t>22</w:t>
            </w:r>
            <w:r w:rsidR="005C47A4">
              <w:rPr>
                <w:rFonts w:eastAsiaTheme="minorEastAsia"/>
                <w:noProof/>
                <w:kern w:val="2"/>
                <w:lang w:eastAsia="fr-FR"/>
                <w14:ligatures w14:val="standardContextual"/>
              </w:rPr>
              <w:tab/>
            </w:r>
            <w:r w:rsidR="005C47A4" w:rsidRPr="006B7CE2">
              <w:rPr>
                <w:rStyle w:val="Lienhypertexte"/>
                <w:noProof/>
              </w:rPr>
              <w:t>Algoculture / culture des algues</w:t>
            </w:r>
            <w:r w:rsidR="005C47A4">
              <w:rPr>
                <w:noProof/>
                <w:webHidden/>
              </w:rPr>
              <w:tab/>
            </w:r>
            <w:r w:rsidR="005C47A4">
              <w:rPr>
                <w:noProof/>
                <w:webHidden/>
              </w:rPr>
              <w:fldChar w:fldCharType="begin"/>
            </w:r>
            <w:r w:rsidR="005C47A4">
              <w:rPr>
                <w:noProof/>
                <w:webHidden/>
              </w:rPr>
              <w:instrText xml:space="preserve"> PAGEREF _Toc139181498 \h </w:instrText>
            </w:r>
            <w:r w:rsidR="005C47A4">
              <w:rPr>
                <w:noProof/>
                <w:webHidden/>
              </w:rPr>
            </w:r>
            <w:r w:rsidR="005C47A4">
              <w:rPr>
                <w:noProof/>
                <w:webHidden/>
              </w:rPr>
              <w:fldChar w:fldCharType="separate"/>
            </w:r>
            <w:r w:rsidR="004D7B96">
              <w:rPr>
                <w:noProof/>
                <w:webHidden/>
              </w:rPr>
              <w:t>228</w:t>
            </w:r>
            <w:r w:rsidR="005C47A4">
              <w:rPr>
                <w:noProof/>
                <w:webHidden/>
              </w:rPr>
              <w:fldChar w:fldCharType="end"/>
            </w:r>
          </w:hyperlink>
        </w:p>
        <w:p w14:paraId="3D172A39" w14:textId="24DF410B"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499" w:history="1">
            <w:r w:rsidR="005C47A4" w:rsidRPr="006B7CE2">
              <w:rPr>
                <w:rStyle w:val="Lienhypertexte"/>
                <w:noProof/>
              </w:rPr>
              <w:t>22.1</w:t>
            </w:r>
            <w:r w:rsidR="005C47A4">
              <w:rPr>
                <w:rFonts w:eastAsiaTheme="minorEastAsia"/>
                <w:noProof/>
                <w:kern w:val="2"/>
                <w:lang w:eastAsia="fr-FR"/>
                <w14:ligatures w14:val="standardContextual"/>
              </w:rPr>
              <w:tab/>
            </w:r>
            <w:r w:rsidR="005C47A4" w:rsidRPr="006B7CE2">
              <w:rPr>
                <w:rStyle w:val="Lienhypertexte"/>
                <w:noProof/>
              </w:rPr>
              <w:t>Définition</w:t>
            </w:r>
            <w:r w:rsidR="005C47A4">
              <w:rPr>
                <w:noProof/>
                <w:webHidden/>
              </w:rPr>
              <w:tab/>
            </w:r>
            <w:r w:rsidR="005C47A4">
              <w:rPr>
                <w:noProof/>
                <w:webHidden/>
              </w:rPr>
              <w:fldChar w:fldCharType="begin"/>
            </w:r>
            <w:r w:rsidR="005C47A4">
              <w:rPr>
                <w:noProof/>
                <w:webHidden/>
              </w:rPr>
              <w:instrText xml:space="preserve"> PAGEREF _Toc139181499 \h </w:instrText>
            </w:r>
            <w:r w:rsidR="005C47A4">
              <w:rPr>
                <w:noProof/>
                <w:webHidden/>
              </w:rPr>
            </w:r>
            <w:r w:rsidR="005C47A4">
              <w:rPr>
                <w:noProof/>
                <w:webHidden/>
              </w:rPr>
              <w:fldChar w:fldCharType="separate"/>
            </w:r>
            <w:r w:rsidR="004D7B96">
              <w:rPr>
                <w:noProof/>
                <w:webHidden/>
              </w:rPr>
              <w:t>228</w:t>
            </w:r>
            <w:r w:rsidR="005C47A4">
              <w:rPr>
                <w:noProof/>
                <w:webHidden/>
              </w:rPr>
              <w:fldChar w:fldCharType="end"/>
            </w:r>
          </w:hyperlink>
        </w:p>
        <w:p w14:paraId="3CBBA7D2" w14:textId="5B55B221"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500" w:history="1">
            <w:r w:rsidR="005C47A4" w:rsidRPr="006B7CE2">
              <w:rPr>
                <w:rStyle w:val="Lienhypertexte"/>
                <w:noProof/>
              </w:rPr>
              <w:t>22.2</w:t>
            </w:r>
            <w:r w:rsidR="005C47A4">
              <w:rPr>
                <w:rFonts w:eastAsiaTheme="minorEastAsia"/>
                <w:noProof/>
                <w:kern w:val="2"/>
                <w:lang w:eastAsia="fr-FR"/>
                <w14:ligatures w14:val="standardContextual"/>
              </w:rPr>
              <w:tab/>
            </w:r>
            <w:r w:rsidR="005C47A4" w:rsidRPr="006B7CE2">
              <w:rPr>
                <w:rStyle w:val="Lienhypertexte"/>
                <w:noProof/>
              </w:rPr>
              <w:t>Importance de l’algoculture dans le monde</w:t>
            </w:r>
            <w:r w:rsidR="005C47A4">
              <w:rPr>
                <w:noProof/>
                <w:webHidden/>
              </w:rPr>
              <w:tab/>
            </w:r>
            <w:r w:rsidR="005C47A4">
              <w:rPr>
                <w:noProof/>
                <w:webHidden/>
              </w:rPr>
              <w:fldChar w:fldCharType="begin"/>
            </w:r>
            <w:r w:rsidR="005C47A4">
              <w:rPr>
                <w:noProof/>
                <w:webHidden/>
              </w:rPr>
              <w:instrText xml:space="preserve"> PAGEREF _Toc139181500 \h </w:instrText>
            </w:r>
            <w:r w:rsidR="005C47A4">
              <w:rPr>
                <w:noProof/>
                <w:webHidden/>
              </w:rPr>
            </w:r>
            <w:r w:rsidR="005C47A4">
              <w:rPr>
                <w:noProof/>
                <w:webHidden/>
              </w:rPr>
              <w:fldChar w:fldCharType="separate"/>
            </w:r>
            <w:r w:rsidR="004D7B96">
              <w:rPr>
                <w:noProof/>
                <w:webHidden/>
              </w:rPr>
              <w:t>228</w:t>
            </w:r>
            <w:r w:rsidR="005C47A4">
              <w:rPr>
                <w:noProof/>
                <w:webHidden/>
              </w:rPr>
              <w:fldChar w:fldCharType="end"/>
            </w:r>
          </w:hyperlink>
        </w:p>
        <w:p w14:paraId="0621F856" w14:textId="5EDF6785"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501" w:history="1">
            <w:r w:rsidR="005C47A4" w:rsidRPr="006B7CE2">
              <w:rPr>
                <w:rStyle w:val="Lienhypertexte"/>
                <w:noProof/>
              </w:rPr>
              <w:t>22.3</w:t>
            </w:r>
            <w:r w:rsidR="005C47A4">
              <w:rPr>
                <w:rFonts w:eastAsiaTheme="minorEastAsia"/>
                <w:noProof/>
                <w:kern w:val="2"/>
                <w:lang w:eastAsia="fr-FR"/>
                <w14:ligatures w14:val="standardContextual"/>
              </w:rPr>
              <w:tab/>
            </w:r>
            <w:r w:rsidR="005C47A4" w:rsidRPr="006B7CE2">
              <w:rPr>
                <w:rStyle w:val="Lienhypertexte"/>
                <w:noProof/>
                <w:shd w:val="clear" w:color="auto" w:fill="FFFFFF"/>
              </w:rPr>
              <w:t>L’importance écologique de l’algoculture</w:t>
            </w:r>
            <w:r w:rsidR="005C47A4">
              <w:rPr>
                <w:noProof/>
                <w:webHidden/>
              </w:rPr>
              <w:tab/>
            </w:r>
            <w:r w:rsidR="005C47A4">
              <w:rPr>
                <w:noProof/>
                <w:webHidden/>
              </w:rPr>
              <w:fldChar w:fldCharType="begin"/>
            </w:r>
            <w:r w:rsidR="005C47A4">
              <w:rPr>
                <w:noProof/>
                <w:webHidden/>
              </w:rPr>
              <w:instrText xml:space="preserve"> PAGEREF _Toc139181501 \h </w:instrText>
            </w:r>
            <w:r w:rsidR="005C47A4">
              <w:rPr>
                <w:noProof/>
                <w:webHidden/>
              </w:rPr>
            </w:r>
            <w:r w:rsidR="005C47A4">
              <w:rPr>
                <w:noProof/>
                <w:webHidden/>
              </w:rPr>
              <w:fldChar w:fldCharType="separate"/>
            </w:r>
            <w:r w:rsidR="004D7B96">
              <w:rPr>
                <w:noProof/>
                <w:webHidden/>
              </w:rPr>
              <w:t>229</w:t>
            </w:r>
            <w:r w:rsidR="005C47A4">
              <w:rPr>
                <w:noProof/>
                <w:webHidden/>
              </w:rPr>
              <w:fldChar w:fldCharType="end"/>
            </w:r>
          </w:hyperlink>
        </w:p>
        <w:p w14:paraId="6040B4EF" w14:textId="1C575D8E"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502" w:history="1">
            <w:r w:rsidR="005C47A4" w:rsidRPr="006B7CE2">
              <w:rPr>
                <w:rStyle w:val="Lienhypertexte"/>
                <w:noProof/>
              </w:rPr>
              <w:t>22.4</w:t>
            </w:r>
            <w:r w:rsidR="005C47A4">
              <w:rPr>
                <w:rFonts w:eastAsiaTheme="minorEastAsia"/>
                <w:noProof/>
                <w:kern w:val="2"/>
                <w:lang w:eastAsia="fr-FR"/>
                <w14:ligatures w14:val="standardContextual"/>
              </w:rPr>
              <w:tab/>
            </w:r>
            <w:r w:rsidR="005C47A4" w:rsidRPr="006B7CE2">
              <w:rPr>
                <w:rStyle w:val="Lienhypertexte"/>
                <w:noProof/>
              </w:rPr>
              <w:t>La culture d’algues et ses techniques</w:t>
            </w:r>
            <w:r w:rsidR="005C47A4">
              <w:rPr>
                <w:noProof/>
                <w:webHidden/>
              </w:rPr>
              <w:tab/>
            </w:r>
            <w:r w:rsidR="005C47A4">
              <w:rPr>
                <w:noProof/>
                <w:webHidden/>
              </w:rPr>
              <w:fldChar w:fldCharType="begin"/>
            </w:r>
            <w:r w:rsidR="005C47A4">
              <w:rPr>
                <w:noProof/>
                <w:webHidden/>
              </w:rPr>
              <w:instrText xml:space="preserve"> PAGEREF _Toc139181502 \h </w:instrText>
            </w:r>
            <w:r w:rsidR="005C47A4">
              <w:rPr>
                <w:noProof/>
                <w:webHidden/>
              </w:rPr>
            </w:r>
            <w:r w:rsidR="005C47A4">
              <w:rPr>
                <w:noProof/>
                <w:webHidden/>
              </w:rPr>
              <w:fldChar w:fldCharType="separate"/>
            </w:r>
            <w:r w:rsidR="004D7B96">
              <w:rPr>
                <w:noProof/>
                <w:webHidden/>
              </w:rPr>
              <w:t>229</w:t>
            </w:r>
            <w:r w:rsidR="005C47A4">
              <w:rPr>
                <w:noProof/>
                <w:webHidden/>
              </w:rPr>
              <w:fldChar w:fldCharType="end"/>
            </w:r>
          </w:hyperlink>
        </w:p>
        <w:p w14:paraId="2D6A2FC8" w14:textId="249FAED9"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503" w:history="1">
            <w:r w:rsidR="005C47A4" w:rsidRPr="006B7CE2">
              <w:rPr>
                <w:rStyle w:val="Lienhypertexte"/>
                <w:noProof/>
              </w:rPr>
              <w:t>22.5</w:t>
            </w:r>
            <w:r w:rsidR="005C47A4">
              <w:rPr>
                <w:rFonts w:eastAsiaTheme="minorEastAsia"/>
                <w:noProof/>
                <w:kern w:val="2"/>
                <w:lang w:eastAsia="fr-FR"/>
                <w14:ligatures w14:val="standardContextual"/>
              </w:rPr>
              <w:tab/>
            </w:r>
            <w:r w:rsidR="005C47A4" w:rsidRPr="006B7CE2">
              <w:rPr>
                <w:rStyle w:val="Lienhypertexte"/>
                <w:i/>
                <w:iCs/>
                <w:noProof/>
              </w:rPr>
              <w:t>Saccharina japonica</w:t>
            </w:r>
            <w:r w:rsidR="005C47A4">
              <w:rPr>
                <w:noProof/>
                <w:webHidden/>
              </w:rPr>
              <w:tab/>
            </w:r>
            <w:r w:rsidR="005C47A4">
              <w:rPr>
                <w:noProof/>
                <w:webHidden/>
              </w:rPr>
              <w:fldChar w:fldCharType="begin"/>
            </w:r>
            <w:r w:rsidR="005C47A4">
              <w:rPr>
                <w:noProof/>
                <w:webHidden/>
              </w:rPr>
              <w:instrText xml:space="preserve"> PAGEREF _Toc139181503 \h </w:instrText>
            </w:r>
            <w:r w:rsidR="005C47A4">
              <w:rPr>
                <w:noProof/>
                <w:webHidden/>
              </w:rPr>
            </w:r>
            <w:r w:rsidR="005C47A4">
              <w:rPr>
                <w:noProof/>
                <w:webHidden/>
              </w:rPr>
              <w:fldChar w:fldCharType="separate"/>
            </w:r>
            <w:r w:rsidR="004D7B96">
              <w:rPr>
                <w:noProof/>
                <w:webHidden/>
              </w:rPr>
              <w:t>229</w:t>
            </w:r>
            <w:r w:rsidR="005C47A4">
              <w:rPr>
                <w:noProof/>
                <w:webHidden/>
              </w:rPr>
              <w:fldChar w:fldCharType="end"/>
            </w:r>
          </w:hyperlink>
        </w:p>
        <w:p w14:paraId="5DB7E844" w14:textId="2C296AA4"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504" w:history="1">
            <w:r w:rsidR="005C47A4" w:rsidRPr="006B7CE2">
              <w:rPr>
                <w:rStyle w:val="Lienhypertexte"/>
                <w:noProof/>
              </w:rPr>
              <w:t>22.6</w:t>
            </w:r>
            <w:r w:rsidR="005C47A4">
              <w:rPr>
                <w:rFonts w:eastAsiaTheme="minorEastAsia"/>
                <w:noProof/>
                <w:kern w:val="2"/>
                <w:lang w:eastAsia="fr-FR"/>
                <w14:ligatures w14:val="standardContextual"/>
              </w:rPr>
              <w:tab/>
            </w:r>
            <w:r w:rsidR="005C47A4" w:rsidRPr="006B7CE2">
              <w:rPr>
                <w:rStyle w:val="Lienhypertexte"/>
                <w:noProof/>
              </w:rPr>
              <w:t>« Wakame » (</w:t>
            </w:r>
            <w:r w:rsidR="005C47A4" w:rsidRPr="006B7CE2">
              <w:rPr>
                <w:rStyle w:val="Lienhypertexte"/>
                <w:i/>
                <w:iCs/>
                <w:noProof/>
              </w:rPr>
              <w:t>Undaria pinnatifida</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_Toc139181504 \h </w:instrText>
            </w:r>
            <w:r w:rsidR="005C47A4">
              <w:rPr>
                <w:noProof/>
                <w:webHidden/>
              </w:rPr>
            </w:r>
            <w:r w:rsidR="005C47A4">
              <w:rPr>
                <w:noProof/>
                <w:webHidden/>
              </w:rPr>
              <w:fldChar w:fldCharType="separate"/>
            </w:r>
            <w:r w:rsidR="004D7B96">
              <w:rPr>
                <w:noProof/>
                <w:webHidden/>
              </w:rPr>
              <w:t>230</w:t>
            </w:r>
            <w:r w:rsidR="005C47A4">
              <w:rPr>
                <w:noProof/>
                <w:webHidden/>
              </w:rPr>
              <w:fldChar w:fldCharType="end"/>
            </w:r>
          </w:hyperlink>
        </w:p>
        <w:p w14:paraId="73566605" w14:textId="5BC66C40"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505" w:history="1">
            <w:r w:rsidR="005C47A4" w:rsidRPr="006B7CE2">
              <w:rPr>
                <w:rStyle w:val="Lienhypertexte"/>
                <w:noProof/>
              </w:rPr>
              <w:t>22.7</w:t>
            </w:r>
            <w:r w:rsidR="005C47A4">
              <w:rPr>
                <w:rFonts w:eastAsiaTheme="minorEastAsia"/>
                <w:noProof/>
                <w:kern w:val="2"/>
                <w:lang w:eastAsia="fr-FR"/>
                <w14:ligatures w14:val="standardContextual"/>
              </w:rPr>
              <w:tab/>
            </w:r>
            <w:r w:rsidR="005C47A4" w:rsidRPr="006B7CE2">
              <w:rPr>
                <w:rStyle w:val="Lienhypertexte"/>
                <w:noProof/>
              </w:rPr>
              <w:t>Gim ou nori (</w:t>
            </w:r>
            <w:r w:rsidR="005C47A4" w:rsidRPr="006B7CE2">
              <w:rPr>
                <w:rStyle w:val="Lienhypertexte"/>
                <w:i/>
                <w:iCs/>
                <w:noProof/>
              </w:rPr>
              <w:t xml:space="preserve">Pyropia tenera </w:t>
            </w:r>
            <w:r w:rsidR="005C47A4" w:rsidRPr="006B7CE2">
              <w:rPr>
                <w:rStyle w:val="Lienhypertexte"/>
                <w:noProof/>
              </w:rPr>
              <w:t>ou</w:t>
            </w:r>
            <w:r w:rsidR="005C47A4" w:rsidRPr="006B7CE2">
              <w:rPr>
                <w:rStyle w:val="Lienhypertexte"/>
                <w:i/>
                <w:iCs/>
                <w:noProof/>
              </w:rPr>
              <w:t xml:space="preserve"> Porphyra tenera</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_Toc139181505 \h </w:instrText>
            </w:r>
            <w:r w:rsidR="005C47A4">
              <w:rPr>
                <w:noProof/>
                <w:webHidden/>
              </w:rPr>
            </w:r>
            <w:r w:rsidR="005C47A4">
              <w:rPr>
                <w:noProof/>
                <w:webHidden/>
              </w:rPr>
              <w:fldChar w:fldCharType="separate"/>
            </w:r>
            <w:r w:rsidR="004D7B96">
              <w:rPr>
                <w:noProof/>
                <w:webHidden/>
              </w:rPr>
              <w:t>230</w:t>
            </w:r>
            <w:r w:rsidR="005C47A4">
              <w:rPr>
                <w:noProof/>
                <w:webHidden/>
              </w:rPr>
              <w:fldChar w:fldCharType="end"/>
            </w:r>
          </w:hyperlink>
        </w:p>
        <w:p w14:paraId="5494CE8B" w14:textId="6705A2B7"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506" w:history="1">
            <w:r w:rsidR="005C47A4" w:rsidRPr="006B7CE2">
              <w:rPr>
                <w:rStyle w:val="Lienhypertexte"/>
                <w:noProof/>
                <w:lang w:val="es-AR"/>
              </w:rPr>
              <w:t>22.8</w:t>
            </w:r>
            <w:r w:rsidR="005C47A4">
              <w:rPr>
                <w:rFonts w:eastAsiaTheme="minorEastAsia"/>
                <w:noProof/>
                <w:kern w:val="2"/>
                <w:lang w:eastAsia="fr-FR"/>
                <w14:ligatures w14:val="standardContextual"/>
              </w:rPr>
              <w:tab/>
            </w:r>
            <w:r w:rsidR="005C47A4" w:rsidRPr="006B7CE2">
              <w:rPr>
                <w:rStyle w:val="Lienhypertexte"/>
                <w:noProof/>
                <w:lang w:val="es-AR"/>
              </w:rPr>
              <w:t>Gusó</w:t>
            </w:r>
            <w:r w:rsidR="005C47A4" w:rsidRPr="006B7CE2">
              <w:rPr>
                <w:rStyle w:val="Lienhypertexte"/>
                <w:i/>
                <w:iCs/>
                <w:noProof/>
                <w:lang w:val="es-AR"/>
              </w:rPr>
              <w:t xml:space="preserve"> </w:t>
            </w:r>
            <w:r w:rsidR="005C47A4" w:rsidRPr="006B7CE2">
              <w:rPr>
                <w:rStyle w:val="Lienhypertexte"/>
                <w:noProof/>
                <w:lang w:val="es-AR"/>
              </w:rPr>
              <w:t>(</w:t>
            </w:r>
            <w:r w:rsidR="005C47A4" w:rsidRPr="006B7CE2">
              <w:rPr>
                <w:rStyle w:val="Lienhypertexte"/>
                <w:noProof/>
              </w:rPr>
              <w:t>Genre</w:t>
            </w:r>
            <w:r w:rsidR="005C47A4" w:rsidRPr="006B7CE2">
              <w:rPr>
                <w:rStyle w:val="Lienhypertexte"/>
                <w:i/>
                <w:iCs/>
                <w:noProof/>
                <w:lang w:val="es-AR"/>
              </w:rPr>
              <w:t xml:space="preserve"> Eucheuma</w:t>
            </w:r>
            <w:r w:rsidR="005C47A4" w:rsidRPr="006B7CE2">
              <w:rPr>
                <w:rStyle w:val="Lienhypertexte"/>
                <w:noProof/>
                <w:lang w:val="es-AR"/>
              </w:rPr>
              <w:t>)</w:t>
            </w:r>
            <w:r w:rsidR="005C47A4">
              <w:rPr>
                <w:noProof/>
                <w:webHidden/>
              </w:rPr>
              <w:tab/>
            </w:r>
            <w:r w:rsidR="005C47A4">
              <w:rPr>
                <w:noProof/>
                <w:webHidden/>
              </w:rPr>
              <w:fldChar w:fldCharType="begin"/>
            </w:r>
            <w:r w:rsidR="005C47A4">
              <w:rPr>
                <w:noProof/>
                <w:webHidden/>
              </w:rPr>
              <w:instrText xml:space="preserve"> PAGEREF _Toc139181506 \h </w:instrText>
            </w:r>
            <w:r w:rsidR="005C47A4">
              <w:rPr>
                <w:noProof/>
                <w:webHidden/>
              </w:rPr>
            </w:r>
            <w:r w:rsidR="005C47A4">
              <w:rPr>
                <w:noProof/>
                <w:webHidden/>
              </w:rPr>
              <w:fldChar w:fldCharType="separate"/>
            </w:r>
            <w:r w:rsidR="004D7B96">
              <w:rPr>
                <w:noProof/>
                <w:webHidden/>
              </w:rPr>
              <w:t>231</w:t>
            </w:r>
            <w:r w:rsidR="005C47A4">
              <w:rPr>
                <w:noProof/>
                <w:webHidden/>
              </w:rPr>
              <w:fldChar w:fldCharType="end"/>
            </w:r>
          </w:hyperlink>
        </w:p>
        <w:p w14:paraId="6BC486BB" w14:textId="6140CC20"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507" w:history="1">
            <w:r w:rsidR="005C47A4" w:rsidRPr="006B7CE2">
              <w:rPr>
                <w:rStyle w:val="Lienhypertexte"/>
                <w:noProof/>
              </w:rPr>
              <w:t>22.9</w:t>
            </w:r>
            <w:r w:rsidR="005C47A4">
              <w:rPr>
                <w:rFonts w:eastAsiaTheme="minorEastAsia"/>
                <w:noProof/>
                <w:kern w:val="2"/>
                <w:lang w:eastAsia="fr-FR"/>
                <w14:ligatures w14:val="standardContextual"/>
              </w:rPr>
              <w:tab/>
            </w:r>
            <w:r w:rsidR="005C47A4" w:rsidRPr="006B7CE2">
              <w:rPr>
                <w:rStyle w:val="Lienhypertexte"/>
                <w:noProof/>
              </w:rPr>
              <w:t xml:space="preserve">Ogonori ou gulaman (genre </w:t>
            </w:r>
            <w:r w:rsidR="005C47A4" w:rsidRPr="006B7CE2">
              <w:rPr>
                <w:rStyle w:val="Lienhypertexte"/>
                <w:i/>
                <w:iCs/>
                <w:noProof/>
              </w:rPr>
              <w:t>Gracilaria</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_Toc139181507 \h </w:instrText>
            </w:r>
            <w:r w:rsidR="005C47A4">
              <w:rPr>
                <w:noProof/>
                <w:webHidden/>
              </w:rPr>
            </w:r>
            <w:r w:rsidR="005C47A4">
              <w:rPr>
                <w:noProof/>
                <w:webHidden/>
              </w:rPr>
              <w:fldChar w:fldCharType="separate"/>
            </w:r>
            <w:r w:rsidR="004D7B96">
              <w:rPr>
                <w:noProof/>
                <w:webHidden/>
              </w:rPr>
              <w:t>233</w:t>
            </w:r>
            <w:r w:rsidR="005C47A4">
              <w:rPr>
                <w:noProof/>
                <w:webHidden/>
              </w:rPr>
              <w:fldChar w:fldCharType="end"/>
            </w:r>
          </w:hyperlink>
        </w:p>
        <w:p w14:paraId="6D71A4C6" w14:textId="795E9769" w:rsidR="005C47A4" w:rsidRDefault="00000000">
          <w:pPr>
            <w:pStyle w:val="TM2"/>
            <w:tabs>
              <w:tab w:val="left" w:pos="1100"/>
              <w:tab w:val="right" w:leader="dot" w:pos="10416"/>
            </w:tabs>
            <w:rPr>
              <w:rFonts w:eastAsiaTheme="minorEastAsia"/>
              <w:noProof/>
              <w:kern w:val="2"/>
              <w:lang w:eastAsia="fr-FR"/>
              <w14:ligatures w14:val="standardContextual"/>
            </w:rPr>
          </w:pPr>
          <w:hyperlink w:anchor="_Toc139181508" w:history="1">
            <w:r w:rsidR="005C47A4" w:rsidRPr="006B7CE2">
              <w:rPr>
                <w:rStyle w:val="Lienhypertexte"/>
                <w:noProof/>
              </w:rPr>
              <w:t>22.10</w:t>
            </w:r>
            <w:r w:rsidR="005C47A4">
              <w:rPr>
                <w:rFonts w:eastAsiaTheme="minorEastAsia"/>
                <w:noProof/>
                <w:kern w:val="2"/>
                <w:lang w:eastAsia="fr-FR"/>
                <w14:ligatures w14:val="standardContextual"/>
              </w:rPr>
              <w:tab/>
            </w:r>
            <w:r w:rsidR="005C47A4" w:rsidRPr="006B7CE2">
              <w:rPr>
                <w:rStyle w:val="Lienhypertexte"/>
                <w:noProof/>
              </w:rPr>
              <w:t>Goémon blanc ou crépu, mousse d'Irlande ou Carragheen (</w:t>
            </w:r>
            <w:r w:rsidR="005C47A4" w:rsidRPr="006B7CE2">
              <w:rPr>
                <w:rStyle w:val="Lienhypertexte"/>
                <w:i/>
                <w:iCs/>
                <w:noProof/>
              </w:rPr>
              <w:t>Chondrus crispus</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_Toc139181508 \h </w:instrText>
            </w:r>
            <w:r w:rsidR="005C47A4">
              <w:rPr>
                <w:noProof/>
                <w:webHidden/>
              </w:rPr>
            </w:r>
            <w:r w:rsidR="005C47A4">
              <w:rPr>
                <w:noProof/>
                <w:webHidden/>
              </w:rPr>
              <w:fldChar w:fldCharType="separate"/>
            </w:r>
            <w:r w:rsidR="004D7B96">
              <w:rPr>
                <w:noProof/>
                <w:webHidden/>
              </w:rPr>
              <w:t>233</w:t>
            </w:r>
            <w:r w:rsidR="005C47A4">
              <w:rPr>
                <w:noProof/>
                <w:webHidden/>
              </w:rPr>
              <w:fldChar w:fldCharType="end"/>
            </w:r>
          </w:hyperlink>
        </w:p>
        <w:p w14:paraId="3BCB2F0D" w14:textId="0265C0C1" w:rsidR="005C47A4" w:rsidRDefault="00000000">
          <w:pPr>
            <w:pStyle w:val="TM2"/>
            <w:tabs>
              <w:tab w:val="left" w:pos="1100"/>
              <w:tab w:val="right" w:leader="dot" w:pos="10416"/>
            </w:tabs>
            <w:rPr>
              <w:rFonts w:eastAsiaTheme="minorEastAsia"/>
              <w:noProof/>
              <w:kern w:val="2"/>
              <w:lang w:eastAsia="fr-FR"/>
              <w14:ligatures w14:val="standardContextual"/>
            </w:rPr>
          </w:pPr>
          <w:hyperlink w:anchor="_Toc139181509" w:history="1">
            <w:r w:rsidR="005C47A4" w:rsidRPr="006B7CE2">
              <w:rPr>
                <w:rStyle w:val="Lienhypertexte"/>
                <w:noProof/>
              </w:rPr>
              <w:t>22.11</w:t>
            </w:r>
            <w:r w:rsidR="005C47A4">
              <w:rPr>
                <w:rFonts w:eastAsiaTheme="minorEastAsia"/>
                <w:noProof/>
                <w:kern w:val="2"/>
                <w:lang w:eastAsia="fr-FR"/>
                <w14:ligatures w14:val="standardContextual"/>
              </w:rPr>
              <w:tab/>
            </w:r>
            <w:r w:rsidR="005C47A4" w:rsidRPr="006B7CE2">
              <w:rPr>
                <w:rStyle w:val="Lienhypertexte"/>
                <w:noProof/>
                <w:shd w:val="clear" w:color="auto" w:fill="F8F9FA"/>
              </w:rPr>
              <w:t>Mousse de mer (</w:t>
            </w:r>
            <w:r w:rsidR="005C47A4" w:rsidRPr="006B7CE2">
              <w:rPr>
                <w:rStyle w:val="Lienhypertexte"/>
                <w:i/>
                <w:iCs/>
                <w:noProof/>
                <w:shd w:val="clear" w:color="auto" w:fill="F8F9FA"/>
              </w:rPr>
              <w:t>Kappaphycus alvarezii</w:t>
            </w:r>
            <w:r w:rsidR="005C47A4" w:rsidRPr="006B7CE2">
              <w:rPr>
                <w:rStyle w:val="Lienhypertexte"/>
                <w:noProof/>
                <w:shd w:val="clear" w:color="auto" w:fill="F8F9FA"/>
              </w:rPr>
              <w:t>)</w:t>
            </w:r>
            <w:r w:rsidR="005C47A4">
              <w:rPr>
                <w:noProof/>
                <w:webHidden/>
              </w:rPr>
              <w:tab/>
            </w:r>
            <w:r w:rsidR="005C47A4">
              <w:rPr>
                <w:noProof/>
                <w:webHidden/>
              </w:rPr>
              <w:fldChar w:fldCharType="begin"/>
            </w:r>
            <w:r w:rsidR="005C47A4">
              <w:rPr>
                <w:noProof/>
                <w:webHidden/>
              </w:rPr>
              <w:instrText xml:space="preserve"> PAGEREF _Toc139181509 \h </w:instrText>
            </w:r>
            <w:r w:rsidR="005C47A4">
              <w:rPr>
                <w:noProof/>
                <w:webHidden/>
              </w:rPr>
            </w:r>
            <w:r w:rsidR="005C47A4">
              <w:rPr>
                <w:noProof/>
                <w:webHidden/>
              </w:rPr>
              <w:fldChar w:fldCharType="separate"/>
            </w:r>
            <w:r w:rsidR="004D7B96">
              <w:rPr>
                <w:noProof/>
                <w:webHidden/>
              </w:rPr>
              <w:t>235</w:t>
            </w:r>
            <w:r w:rsidR="005C47A4">
              <w:rPr>
                <w:noProof/>
                <w:webHidden/>
              </w:rPr>
              <w:fldChar w:fldCharType="end"/>
            </w:r>
          </w:hyperlink>
        </w:p>
        <w:p w14:paraId="7CD8C795" w14:textId="68DBC5E1" w:rsidR="005C47A4" w:rsidRDefault="00000000">
          <w:pPr>
            <w:pStyle w:val="TM2"/>
            <w:tabs>
              <w:tab w:val="left" w:pos="1100"/>
              <w:tab w:val="right" w:leader="dot" w:pos="10416"/>
            </w:tabs>
            <w:rPr>
              <w:rFonts w:eastAsiaTheme="minorEastAsia"/>
              <w:noProof/>
              <w:kern w:val="2"/>
              <w:lang w:eastAsia="fr-FR"/>
              <w14:ligatures w14:val="standardContextual"/>
            </w:rPr>
          </w:pPr>
          <w:hyperlink w:anchor="_Toc139181510" w:history="1">
            <w:r w:rsidR="005C47A4" w:rsidRPr="006B7CE2">
              <w:rPr>
                <w:rStyle w:val="Lienhypertexte"/>
                <w:noProof/>
              </w:rPr>
              <w:t>22.12</w:t>
            </w:r>
            <w:r w:rsidR="005C47A4">
              <w:rPr>
                <w:rFonts w:eastAsiaTheme="minorEastAsia"/>
                <w:noProof/>
                <w:kern w:val="2"/>
                <w:lang w:eastAsia="fr-FR"/>
                <w14:ligatures w14:val="standardContextual"/>
              </w:rPr>
              <w:tab/>
            </w:r>
            <w:r w:rsidR="005C47A4" w:rsidRPr="006B7CE2">
              <w:rPr>
                <w:rStyle w:val="Lienhypertexte"/>
                <w:noProof/>
              </w:rPr>
              <w:t>Spiruline alimentaire (</w:t>
            </w:r>
            <w:r w:rsidR="005C47A4" w:rsidRPr="006B7CE2">
              <w:rPr>
                <w:rStyle w:val="Lienhypertexte"/>
                <w:i/>
                <w:iCs/>
                <w:noProof/>
              </w:rPr>
              <w:t>Arthrospira platensis</w:t>
            </w:r>
            <w:r w:rsidR="005C47A4" w:rsidRPr="006B7CE2">
              <w:rPr>
                <w:rStyle w:val="Lienhypertexte"/>
                <w:noProof/>
              </w:rPr>
              <w:t xml:space="preserve"> et</w:t>
            </w:r>
            <w:r w:rsidR="005C47A4" w:rsidRPr="006B7CE2">
              <w:rPr>
                <w:rStyle w:val="Lienhypertexte"/>
                <w:i/>
                <w:iCs/>
                <w:noProof/>
              </w:rPr>
              <w:t xml:space="preserve"> Arthrospira maxima</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_Toc139181510 \h </w:instrText>
            </w:r>
            <w:r w:rsidR="005C47A4">
              <w:rPr>
                <w:noProof/>
                <w:webHidden/>
              </w:rPr>
            </w:r>
            <w:r w:rsidR="005C47A4">
              <w:rPr>
                <w:noProof/>
                <w:webHidden/>
              </w:rPr>
              <w:fldChar w:fldCharType="separate"/>
            </w:r>
            <w:r w:rsidR="004D7B96">
              <w:rPr>
                <w:noProof/>
                <w:webHidden/>
              </w:rPr>
              <w:t>236</w:t>
            </w:r>
            <w:r w:rsidR="005C47A4">
              <w:rPr>
                <w:noProof/>
                <w:webHidden/>
              </w:rPr>
              <w:fldChar w:fldCharType="end"/>
            </w:r>
          </w:hyperlink>
        </w:p>
        <w:p w14:paraId="236D925F" w14:textId="77F67261" w:rsidR="005C47A4" w:rsidRDefault="00000000">
          <w:pPr>
            <w:pStyle w:val="TM1"/>
            <w:tabs>
              <w:tab w:val="left" w:pos="660"/>
              <w:tab w:val="right" w:leader="dot" w:pos="10416"/>
            </w:tabs>
            <w:rPr>
              <w:rFonts w:eastAsiaTheme="minorEastAsia"/>
              <w:noProof/>
              <w:kern w:val="2"/>
              <w:lang w:eastAsia="fr-FR"/>
              <w14:ligatures w14:val="standardContextual"/>
            </w:rPr>
          </w:pPr>
          <w:hyperlink w:anchor="_Toc139181511" w:history="1">
            <w:r w:rsidR="005C47A4" w:rsidRPr="006B7CE2">
              <w:rPr>
                <w:rStyle w:val="Lienhypertexte"/>
                <w:noProof/>
              </w:rPr>
              <w:t>23</w:t>
            </w:r>
            <w:r w:rsidR="005C47A4">
              <w:rPr>
                <w:rFonts w:eastAsiaTheme="minorEastAsia"/>
                <w:noProof/>
                <w:kern w:val="2"/>
                <w:lang w:eastAsia="fr-FR"/>
                <w14:ligatures w14:val="standardContextual"/>
              </w:rPr>
              <w:tab/>
            </w:r>
            <w:r w:rsidR="005C47A4" w:rsidRPr="006B7CE2">
              <w:rPr>
                <w:rStyle w:val="Lienhypertexte"/>
                <w:noProof/>
              </w:rPr>
              <w:t>Plantes médicinales et aromatiques</w:t>
            </w:r>
            <w:r w:rsidR="005C47A4">
              <w:rPr>
                <w:noProof/>
                <w:webHidden/>
              </w:rPr>
              <w:tab/>
            </w:r>
            <w:r w:rsidR="005C47A4">
              <w:rPr>
                <w:noProof/>
                <w:webHidden/>
              </w:rPr>
              <w:fldChar w:fldCharType="begin"/>
            </w:r>
            <w:r w:rsidR="005C47A4">
              <w:rPr>
                <w:noProof/>
                <w:webHidden/>
              </w:rPr>
              <w:instrText xml:space="preserve"> PAGEREF _Toc139181511 \h </w:instrText>
            </w:r>
            <w:r w:rsidR="005C47A4">
              <w:rPr>
                <w:noProof/>
                <w:webHidden/>
              </w:rPr>
            </w:r>
            <w:r w:rsidR="005C47A4">
              <w:rPr>
                <w:noProof/>
                <w:webHidden/>
              </w:rPr>
              <w:fldChar w:fldCharType="separate"/>
            </w:r>
            <w:r w:rsidR="004D7B96">
              <w:rPr>
                <w:noProof/>
                <w:webHidden/>
              </w:rPr>
              <w:t>239</w:t>
            </w:r>
            <w:r w:rsidR="005C47A4">
              <w:rPr>
                <w:noProof/>
                <w:webHidden/>
              </w:rPr>
              <w:fldChar w:fldCharType="end"/>
            </w:r>
          </w:hyperlink>
        </w:p>
        <w:p w14:paraId="3D950813" w14:textId="388325CD"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512" w:history="1">
            <w:r w:rsidR="005C47A4" w:rsidRPr="006B7CE2">
              <w:rPr>
                <w:rStyle w:val="Lienhypertexte"/>
                <w:noProof/>
                <w:lang w:val="es-AR"/>
              </w:rPr>
              <w:t>23.1</w:t>
            </w:r>
            <w:r w:rsidR="005C47A4">
              <w:rPr>
                <w:rFonts w:eastAsiaTheme="minorEastAsia"/>
                <w:noProof/>
                <w:kern w:val="2"/>
                <w:lang w:eastAsia="fr-FR"/>
                <w14:ligatures w14:val="standardContextual"/>
              </w:rPr>
              <w:tab/>
            </w:r>
            <w:r w:rsidR="005C47A4" w:rsidRPr="006B7CE2">
              <w:rPr>
                <w:rStyle w:val="Lienhypertexte"/>
                <w:noProof/>
                <w:lang w:val="es-AR"/>
              </w:rPr>
              <w:t>Siwak ou miswak (</w:t>
            </w:r>
            <w:r w:rsidR="005C47A4" w:rsidRPr="006B7CE2">
              <w:rPr>
                <w:rStyle w:val="Lienhypertexte"/>
                <w:i/>
                <w:iCs/>
                <w:noProof/>
                <w:lang w:val="es-AR"/>
              </w:rPr>
              <w:t>Salvadora persica</w:t>
            </w:r>
            <w:r w:rsidR="005C47A4" w:rsidRPr="006B7CE2">
              <w:rPr>
                <w:rStyle w:val="Lienhypertexte"/>
                <w:noProof/>
                <w:lang w:val="es-AR"/>
              </w:rPr>
              <w:t>)</w:t>
            </w:r>
            <w:r w:rsidR="005C47A4">
              <w:rPr>
                <w:noProof/>
                <w:webHidden/>
              </w:rPr>
              <w:tab/>
            </w:r>
            <w:r w:rsidR="005C47A4">
              <w:rPr>
                <w:noProof/>
                <w:webHidden/>
              </w:rPr>
              <w:fldChar w:fldCharType="begin"/>
            </w:r>
            <w:r w:rsidR="005C47A4">
              <w:rPr>
                <w:noProof/>
                <w:webHidden/>
              </w:rPr>
              <w:instrText xml:space="preserve"> PAGEREF _Toc139181512 \h </w:instrText>
            </w:r>
            <w:r w:rsidR="005C47A4">
              <w:rPr>
                <w:noProof/>
                <w:webHidden/>
              </w:rPr>
            </w:r>
            <w:r w:rsidR="005C47A4">
              <w:rPr>
                <w:noProof/>
                <w:webHidden/>
              </w:rPr>
              <w:fldChar w:fldCharType="separate"/>
            </w:r>
            <w:r w:rsidR="004D7B96">
              <w:rPr>
                <w:noProof/>
                <w:webHidden/>
              </w:rPr>
              <w:t>239</w:t>
            </w:r>
            <w:r w:rsidR="005C47A4">
              <w:rPr>
                <w:noProof/>
                <w:webHidden/>
              </w:rPr>
              <w:fldChar w:fldCharType="end"/>
            </w:r>
          </w:hyperlink>
        </w:p>
        <w:p w14:paraId="19639845" w14:textId="3E68FFA8"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513" w:history="1">
            <w:r w:rsidR="005C47A4" w:rsidRPr="006B7CE2">
              <w:rPr>
                <w:rStyle w:val="Lienhypertexte"/>
                <w:noProof/>
              </w:rPr>
              <w:t>23.2</w:t>
            </w:r>
            <w:r w:rsidR="005C47A4">
              <w:rPr>
                <w:rFonts w:eastAsiaTheme="minorEastAsia"/>
                <w:noProof/>
                <w:kern w:val="2"/>
                <w:lang w:eastAsia="fr-FR"/>
                <w14:ligatures w14:val="standardContextual"/>
              </w:rPr>
              <w:tab/>
            </w:r>
            <w:r w:rsidR="005C47A4" w:rsidRPr="006B7CE2">
              <w:rPr>
                <w:rStyle w:val="Lienhypertexte"/>
                <w:noProof/>
              </w:rPr>
              <w:t>Arbre à myrrhe ou balsamier (</w:t>
            </w:r>
            <w:r w:rsidR="005C47A4" w:rsidRPr="006B7CE2">
              <w:rPr>
                <w:rStyle w:val="Lienhypertexte"/>
                <w:i/>
                <w:iCs/>
                <w:noProof/>
              </w:rPr>
              <w:t>Commiphora myrrha</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_Toc139181513 \h </w:instrText>
            </w:r>
            <w:r w:rsidR="005C47A4">
              <w:rPr>
                <w:noProof/>
                <w:webHidden/>
              </w:rPr>
            </w:r>
            <w:r w:rsidR="005C47A4">
              <w:rPr>
                <w:noProof/>
                <w:webHidden/>
              </w:rPr>
              <w:fldChar w:fldCharType="separate"/>
            </w:r>
            <w:r w:rsidR="004D7B96">
              <w:rPr>
                <w:noProof/>
                <w:webHidden/>
              </w:rPr>
              <w:t>240</w:t>
            </w:r>
            <w:r w:rsidR="005C47A4">
              <w:rPr>
                <w:noProof/>
                <w:webHidden/>
              </w:rPr>
              <w:fldChar w:fldCharType="end"/>
            </w:r>
          </w:hyperlink>
        </w:p>
        <w:p w14:paraId="1CD560F7" w14:textId="623C85B1"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514" w:history="1">
            <w:r w:rsidR="005C47A4" w:rsidRPr="006B7CE2">
              <w:rPr>
                <w:rStyle w:val="Lienhypertexte"/>
                <w:noProof/>
              </w:rPr>
              <w:t>23.3</w:t>
            </w:r>
            <w:r w:rsidR="005C47A4">
              <w:rPr>
                <w:rFonts w:eastAsiaTheme="minorEastAsia"/>
                <w:noProof/>
                <w:kern w:val="2"/>
                <w:lang w:eastAsia="fr-FR"/>
                <w14:ligatures w14:val="standardContextual"/>
              </w:rPr>
              <w:tab/>
            </w:r>
            <w:r w:rsidR="005C47A4" w:rsidRPr="006B7CE2">
              <w:rPr>
                <w:rStyle w:val="Lienhypertexte"/>
                <w:noProof/>
              </w:rPr>
              <w:t>Mukul, gugulon ou Guggulu (</w:t>
            </w:r>
            <w:r w:rsidR="005C47A4" w:rsidRPr="006B7CE2">
              <w:rPr>
                <w:rStyle w:val="Lienhypertexte"/>
                <w:i/>
                <w:iCs/>
                <w:noProof/>
              </w:rPr>
              <w:t>Commiphora wightii</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_Toc139181514 \h </w:instrText>
            </w:r>
            <w:r w:rsidR="005C47A4">
              <w:rPr>
                <w:noProof/>
                <w:webHidden/>
              </w:rPr>
            </w:r>
            <w:r w:rsidR="005C47A4">
              <w:rPr>
                <w:noProof/>
                <w:webHidden/>
              </w:rPr>
              <w:fldChar w:fldCharType="separate"/>
            </w:r>
            <w:r w:rsidR="004D7B96">
              <w:rPr>
                <w:noProof/>
                <w:webHidden/>
              </w:rPr>
              <w:t>242</w:t>
            </w:r>
            <w:r w:rsidR="005C47A4">
              <w:rPr>
                <w:noProof/>
                <w:webHidden/>
              </w:rPr>
              <w:fldChar w:fldCharType="end"/>
            </w:r>
          </w:hyperlink>
        </w:p>
        <w:p w14:paraId="40F5ABA9" w14:textId="5D2A0EAB"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515" w:history="1">
            <w:r w:rsidR="005C47A4" w:rsidRPr="006B7CE2">
              <w:rPr>
                <w:rStyle w:val="Lienhypertexte"/>
                <w:noProof/>
              </w:rPr>
              <w:t>23.4</w:t>
            </w:r>
            <w:r w:rsidR="005C47A4">
              <w:rPr>
                <w:rFonts w:eastAsiaTheme="minorEastAsia"/>
                <w:noProof/>
                <w:kern w:val="2"/>
                <w:lang w:eastAsia="fr-FR"/>
                <w14:ligatures w14:val="standardContextual"/>
              </w:rPr>
              <w:tab/>
            </w:r>
            <w:r w:rsidR="005C47A4" w:rsidRPr="006B7CE2">
              <w:rPr>
                <w:rStyle w:val="Lienhypertexte"/>
                <w:noProof/>
              </w:rPr>
              <w:t>Myrrhe africaine (</w:t>
            </w:r>
            <w:r w:rsidR="005C47A4" w:rsidRPr="006B7CE2">
              <w:rPr>
                <w:rStyle w:val="Lienhypertexte"/>
                <w:i/>
                <w:iCs/>
                <w:noProof/>
              </w:rPr>
              <w:t>Commiphora africana</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_Toc139181515 \h </w:instrText>
            </w:r>
            <w:r w:rsidR="005C47A4">
              <w:rPr>
                <w:noProof/>
                <w:webHidden/>
              </w:rPr>
            </w:r>
            <w:r w:rsidR="005C47A4">
              <w:rPr>
                <w:noProof/>
                <w:webHidden/>
              </w:rPr>
              <w:fldChar w:fldCharType="separate"/>
            </w:r>
            <w:r w:rsidR="004D7B96">
              <w:rPr>
                <w:noProof/>
                <w:webHidden/>
              </w:rPr>
              <w:t>243</w:t>
            </w:r>
            <w:r w:rsidR="005C47A4">
              <w:rPr>
                <w:noProof/>
                <w:webHidden/>
              </w:rPr>
              <w:fldChar w:fldCharType="end"/>
            </w:r>
          </w:hyperlink>
        </w:p>
        <w:p w14:paraId="2BC75A9F" w14:textId="553CE25A"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516" w:history="1">
            <w:r w:rsidR="005C47A4" w:rsidRPr="006B7CE2">
              <w:rPr>
                <w:rStyle w:val="Lienhypertexte"/>
                <w:noProof/>
              </w:rPr>
              <w:t>23.5</w:t>
            </w:r>
            <w:r w:rsidR="005C47A4">
              <w:rPr>
                <w:rFonts w:eastAsiaTheme="minorEastAsia"/>
                <w:noProof/>
                <w:kern w:val="2"/>
                <w:lang w:eastAsia="fr-FR"/>
                <w14:ligatures w14:val="standardContextual"/>
              </w:rPr>
              <w:tab/>
            </w:r>
            <w:r w:rsidR="005C47A4" w:rsidRPr="006B7CE2">
              <w:rPr>
                <w:rStyle w:val="Lienhypertexte"/>
                <w:noProof/>
              </w:rPr>
              <w:t>L'arbre à encens (</w:t>
            </w:r>
            <w:r w:rsidR="005C47A4" w:rsidRPr="006B7CE2">
              <w:rPr>
                <w:rStyle w:val="Lienhypertexte"/>
                <w:i/>
                <w:iCs/>
                <w:noProof/>
              </w:rPr>
              <w:t>Boswellia sacra</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_Toc139181516 \h </w:instrText>
            </w:r>
            <w:r w:rsidR="005C47A4">
              <w:rPr>
                <w:noProof/>
                <w:webHidden/>
              </w:rPr>
            </w:r>
            <w:r w:rsidR="005C47A4">
              <w:rPr>
                <w:noProof/>
                <w:webHidden/>
              </w:rPr>
              <w:fldChar w:fldCharType="separate"/>
            </w:r>
            <w:r w:rsidR="004D7B96">
              <w:rPr>
                <w:noProof/>
                <w:webHidden/>
              </w:rPr>
              <w:t>244</w:t>
            </w:r>
            <w:r w:rsidR="005C47A4">
              <w:rPr>
                <w:noProof/>
                <w:webHidden/>
              </w:rPr>
              <w:fldChar w:fldCharType="end"/>
            </w:r>
          </w:hyperlink>
        </w:p>
        <w:p w14:paraId="19EC52A4" w14:textId="5DF7FD15"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517" w:history="1">
            <w:r w:rsidR="005C47A4" w:rsidRPr="006B7CE2">
              <w:rPr>
                <w:rStyle w:val="Lienhypertexte"/>
                <w:noProof/>
              </w:rPr>
              <w:t>23.6</w:t>
            </w:r>
            <w:r w:rsidR="005C47A4">
              <w:rPr>
                <w:rFonts w:eastAsiaTheme="minorEastAsia"/>
                <w:noProof/>
                <w:kern w:val="2"/>
                <w:lang w:eastAsia="fr-FR"/>
                <w14:ligatures w14:val="standardContextual"/>
              </w:rPr>
              <w:tab/>
            </w:r>
            <w:r w:rsidR="005C47A4" w:rsidRPr="006B7CE2">
              <w:rPr>
                <w:rStyle w:val="Lienhypertexte"/>
                <w:noProof/>
              </w:rPr>
              <w:t xml:space="preserve">Salai ou Shallaki </w:t>
            </w:r>
            <w:r w:rsidR="005C47A4" w:rsidRPr="006B7CE2">
              <w:rPr>
                <w:rStyle w:val="Lienhypertexte"/>
                <w:i/>
                <w:iCs/>
                <w:noProof/>
              </w:rPr>
              <w:t>(Boswellia serrata</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_Toc139181517 \h </w:instrText>
            </w:r>
            <w:r w:rsidR="005C47A4">
              <w:rPr>
                <w:noProof/>
                <w:webHidden/>
              </w:rPr>
            </w:r>
            <w:r w:rsidR="005C47A4">
              <w:rPr>
                <w:noProof/>
                <w:webHidden/>
              </w:rPr>
              <w:fldChar w:fldCharType="separate"/>
            </w:r>
            <w:r w:rsidR="004D7B96">
              <w:rPr>
                <w:noProof/>
                <w:webHidden/>
              </w:rPr>
              <w:t>245</w:t>
            </w:r>
            <w:r w:rsidR="005C47A4">
              <w:rPr>
                <w:noProof/>
                <w:webHidden/>
              </w:rPr>
              <w:fldChar w:fldCharType="end"/>
            </w:r>
          </w:hyperlink>
        </w:p>
        <w:p w14:paraId="1A2B1EFE" w14:textId="7118EBD2"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518" w:history="1">
            <w:r w:rsidR="005C47A4" w:rsidRPr="006B7CE2">
              <w:rPr>
                <w:rStyle w:val="Lienhypertexte"/>
                <w:noProof/>
              </w:rPr>
              <w:t>23.7</w:t>
            </w:r>
            <w:r w:rsidR="005C47A4">
              <w:rPr>
                <w:rFonts w:eastAsiaTheme="minorEastAsia"/>
                <w:noProof/>
                <w:kern w:val="2"/>
                <w:lang w:eastAsia="fr-FR"/>
                <w14:ligatures w14:val="standardContextual"/>
              </w:rPr>
              <w:tab/>
            </w:r>
            <w:r w:rsidR="005C47A4" w:rsidRPr="006B7CE2">
              <w:rPr>
                <w:rStyle w:val="Lienhypertexte"/>
                <w:noProof/>
              </w:rPr>
              <w:t>Griffe du diable ou Harpagophyton (</w:t>
            </w:r>
            <w:r w:rsidR="005C47A4" w:rsidRPr="006B7CE2">
              <w:rPr>
                <w:rStyle w:val="Lienhypertexte"/>
                <w:i/>
                <w:iCs/>
                <w:noProof/>
              </w:rPr>
              <w:t>Harpagophytum procumbens</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_Toc139181518 \h </w:instrText>
            </w:r>
            <w:r w:rsidR="005C47A4">
              <w:rPr>
                <w:noProof/>
                <w:webHidden/>
              </w:rPr>
            </w:r>
            <w:r w:rsidR="005C47A4">
              <w:rPr>
                <w:noProof/>
                <w:webHidden/>
              </w:rPr>
              <w:fldChar w:fldCharType="separate"/>
            </w:r>
            <w:r w:rsidR="004D7B96">
              <w:rPr>
                <w:noProof/>
                <w:webHidden/>
              </w:rPr>
              <w:t>247</w:t>
            </w:r>
            <w:r w:rsidR="005C47A4">
              <w:rPr>
                <w:noProof/>
                <w:webHidden/>
              </w:rPr>
              <w:fldChar w:fldCharType="end"/>
            </w:r>
          </w:hyperlink>
        </w:p>
        <w:p w14:paraId="0350BFB5" w14:textId="1BFE64E6" w:rsidR="005C47A4" w:rsidRDefault="00000000">
          <w:pPr>
            <w:pStyle w:val="TM1"/>
            <w:tabs>
              <w:tab w:val="left" w:pos="660"/>
              <w:tab w:val="right" w:leader="dot" w:pos="10416"/>
            </w:tabs>
            <w:rPr>
              <w:rFonts w:eastAsiaTheme="minorEastAsia"/>
              <w:noProof/>
              <w:kern w:val="2"/>
              <w:lang w:eastAsia="fr-FR"/>
              <w14:ligatures w14:val="standardContextual"/>
            </w:rPr>
          </w:pPr>
          <w:hyperlink w:anchor="_Toc139181519" w:history="1">
            <w:r w:rsidR="005C47A4" w:rsidRPr="006B7CE2">
              <w:rPr>
                <w:rStyle w:val="Lienhypertexte"/>
                <w:noProof/>
              </w:rPr>
              <w:t>24</w:t>
            </w:r>
            <w:r w:rsidR="005C47A4">
              <w:rPr>
                <w:rFonts w:eastAsiaTheme="minorEastAsia"/>
                <w:noProof/>
                <w:kern w:val="2"/>
                <w:lang w:eastAsia="fr-FR"/>
                <w14:ligatures w14:val="standardContextual"/>
              </w:rPr>
              <w:tab/>
            </w:r>
            <w:r w:rsidR="005C47A4" w:rsidRPr="006B7CE2">
              <w:rPr>
                <w:rStyle w:val="Lienhypertexte"/>
                <w:noProof/>
              </w:rPr>
              <w:t>Méthodes d’irrigation, de rétention, d’économie et de conservation de l’eau</w:t>
            </w:r>
            <w:r w:rsidR="005C47A4">
              <w:rPr>
                <w:noProof/>
                <w:webHidden/>
              </w:rPr>
              <w:tab/>
            </w:r>
            <w:r w:rsidR="005C47A4">
              <w:rPr>
                <w:noProof/>
                <w:webHidden/>
              </w:rPr>
              <w:fldChar w:fldCharType="begin"/>
            </w:r>
            <w:r w:rsidR="005C47A4">
              <w:rPr>
                <w:noProof/>
                <w:webHidden/>
              </w:rPr>
              <w:instrText xml:space="preserve"> PAGEREF _Toc139181519 \h </w:instrText>
            </w:r>
            <w:r w:rsidR="005C47A4">
              <w:rPr>
                <w:noProof/>
                <w:webHidden/>
              </w:rPr>
            </w:r>
            <w:r w:rsidR="005C47A4">
              <w:rPr>
                <w:noProof/>
                <w:webHidden/>
              </w:rPr>
              <w:fldChar w:fldCharType="separate"/>
            </w:r>
            <w:r w:rsidR="004D7B96">
              <w:rPr>
                <w:noProof/>
                <w:webHidden/>
              </w:rPr>
              <w:t>248</w:t>
            </w:r>
            <w:r w:rsidR="005C47A4">
              <w:rPr>
                <w:noProof/>
                <w:webHidden/>
              </w:rPr>
              <w:fldChar w:fldCharType="end"/>
            </w:r>
          </w:hyperlink>
        </w:p>
        <w:p w14:paraId="4BD73687" w14:textId="63D5340C"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520" w:history="1">
            <w:r w:rsidR="005C47A4" w:rsidRPr="006B7CE2">
              <w:rPr>
                <w:rStyle w:val="Lienhypertexte"/>
                <w:noProof/>
              </w:rPr>
              <w:t>24.1</w:t>
            </w:r>
            <w:r w:rsidR="005C47A4">
              <w:rPr>
                <w:rFonts w:eastAsiaTheme="minorEastAsia"/>
                <w:noProof/>
                <w:kern w:val="2"/>
                <w:lang w:eastAsia="fr-FR"/>
                <w14:ligatures w14:val="standardContextual"/>
              </w:rPr>
              <w:tab/>
            </w:r>
            <w:r w:rsidR="005C47A4" w:rsidRPr="006B7CE2">
              <w:rPr>
                <w:rStyle w:val="Lienhypertexte"/>
                <w:noProof/>
              </w:rPr>
              <w:t>Liman israélien</w:t>
            </w:r>
            <w:r w:rsidR="005C47A4">
              <w:rPr>
                <w:noProof/>
                <w:webHidden/>
              </w:rPr>
              <w:tab/>
            </w:r>
            <w:r w:rsidR="005C47A4">
              <w:rPr>
                <w:noProof/>
                <w:webHidden/>
              </w:rPr>
              <w:fldChar w:fldCharType="begin"/>
            </w:r>
            <w:r w:rsidR="005C47A4">
              <w:rPr>
                <w:noProof/>
                <w:webHidden/>
              </w:rPr>
              <w:instrText xml:space="preserve"> PAGEREF _Toc139181520 \h </w:instrText>
            </w:r>
            <w:r w:rsidR="005C47A4">
              <w:rPr>
                <w:noProof/>
                <w:webHidden/>
              </w:rPr>
            </w:r>
            <w:r w:rsidR="005C47A4">
              <w:rPr>
                <w:noProof/>
                <w:webHidden/>
              </w:rPr>
              <w:fldChar w:fldCharType="separate"/>
            </w:r>
            <w:r w:rsidR="004D7B96">
              <w:rPr>
                <w:noProof/>
                <w:webHidden/>
              </w:rPr>
              <w:t>248</w:t>
            </w:r>
            <w:r w:rsidR="005C47A4">
              <w:rPr>
                <w:noProof/>
                <w:webHidden/>
              </w:rPr>
              <w:fldChar w:fldCharType="end"/>
            </w:r>
          </w:hyperlink>
        </w:p>
        <w:p w14:paraId="1A53C698" w14:textId="363E4560"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521" w:history="1">
            <w:r w:rsidR="005C47A4" w:rsidRPr="006B7CE2">
              <w:rPr>
                <w:rStyle w:val="Lienhypertexte"/>
                <w:noProof/>
              </w:rPr>
              <w:t>24.2</w:t>
            </w:r>
            <w:r w:rsidR="005C47A4">
              <w:rPr>
                <w:rFonts w:eastAsiaTheme="minorEastAsia"/>
                <w:noProof/>
                <w:kern w:val="2"/>
                <w:lang w:eastAsia="fr-FR"/>
                <w14:ligatures w14:val="standardContextual"/>
              </w:rPr>
              <w:tab/>
            </w:r>
            <w:r w:rsidR="005C47A4" w:rsidRPr="006B7CE2">
              <w:rPr>
                <w:rStyle w:val="Lienhypertexte"/>
                <w:noProof/>
              </w:rPr>
              <w:t>Système Meskat ou Meskal et tabias (Magrehb)</w:t>
            </w:r>
            <w:r w:rsidR="005C47A4">
              <w:rPr>
                <w:noProof/>
                <w:webHidden/>
              </w:rPr>
              <w:tab/>
            </w:r>
            <w:r w:rsidR="005C47A4">
              <w:rPr>
                <w:noProof/>
                <w:webHidden/>
              </w:rPr>
              <w:fldChar w:fldCharType="begin"/>
            </w:r>
            <w:r w:rsidR="005C47A4">
              <w:rPr>
                <w:noProof/>
                <w:webHidden/>
              </w:rPr>
              <w:instrText xml:space="preserve"> PAGEREF _Toc139181521 \h </w:instrText>
            </w:r>
            <w:r w:rsidR="005C47A4">
              <w:rPr>
                <w:noProof/>
                <w:webHidden/>
              </w:rPr>
            </w:r>
            <w:r w:rsidR="005C47A4">
              <w:rPr>
                <w:noProof/>
                <w:webHidden/>
              </w:rPr>
              <w:fldChar w:fldCharType="separate"/>
            </w:r>
            <w:r w:rsidR="004D7B96">
              <w:rPr>
                <w:noProof/>
                <w:webHidden/>
              </w:rPr>
              <w:t>250</w:t>
            </w:r>
            <w:r w:rsidR="005C47A4">
              <w:rPr>
                <w:noProof/>
                <w:webHidden/>
              </w:rPr>
              <w:fldChar w:fldCharType="end"/>
            </w:r>
          </w:hyperlink>
        </w:p>
        <w:p w14:paraId="1AF66EC4" w14:textId="0879E64A"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522" w:history="1">
            <w:r w:rsidR="005C47A4" w:rsidRPr="006B7CE2">
              <w:rPr>
                <w:rStyle w:val="Lienhypertexte"/>
                <w:noProof/>
              </w:rPr>
              <w:t>24.3</w:t>
            </w:r>
            <w:r w:rsidR="005C47A4">
              <w:rPr>
                <w:rFonts w:eastAsiaTheme="minorEastAsia"/>
                <w:noProof/>
                <w:kern w:val="2"/>
                <w:lang w:eastAsia="fr-FR"/>
                <w14:ligatures w14:val="standardContextual"/>
              </w:rPr>
              <w:tab/>
            </w:r>
            <w:r w:rsidR="005C47A4" w:rsidRPr="006B7CE2">
              <w:rPr>
                <w:rStyle w:val="Lienhypertexte"/>
                <w:noProof/>
              </w:rPr>
              <w:t>Foggara, khettara, qanat</w:t>
            </w:r>
            <w:r w:rsidR="005C47A4">
              <w:rPr>
                <w:noProof/>
                <w:webHidden/>
              </w:rPr>
              <w:tab/>
            </w:r>
            <w:r w:rsidR="005C47A4">
              <w:rPr>
                <w:noProof/>
                <w:webHidden/>
              </w:rPr>
              <w:fldChar w:fldCharType="begin"/>
            </w:r>
            <w:r w:rsidR="005C47A4">
              <w:rPr>
                <w:noProof/>
                <w:webHidden/>
              </w:rPr>
              <w:instrText xml:space="preserve"> PAGEREF _Toc139181522 \h </w:instrText>
            </w:r>
            <w:r w:rsidR="005C47A4">
              <w:rPr>
                <w:noProof/>
                <w:webHidden/>
              </w:rPr>
            </w:r>
            <w:r w:rsidR="005C47A4">
              <w:rPr>
                <w:noProof/>
                <w:webHidden/>
              </w:rPr>
              <w:fldChar w:fldCharType="separate"/>
            </w:r>
            <w:r w:rsidR="004D7B96">
              <w:rPr>
                <w:noProof/>
                <w:webHidden/>
              </w:rPr>
              <w:t>254</w:t>
            </w:r>
            <w:r w:rsidR="005C47A4">
              <w:rPr>
                <w:noProof/>
                <w:webHidden/>
              </w:rPr>
              <w:fldChar w:fldCharType="end"/>
            </w:r>
          </w:hyperlink>
        </w:p>
        <w:p w14:paraId="7B041BDB" w14:textId="38B21074"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523" w:history="1">
            <w:r w:rsidR="005C47A4" w:rsidRPr="006B7CE2">
              <w:rPr>
                <w:rStyle w:val="Lienhypertexte"/>
                <w:noProof/>
              </w:rPr>
              <w:t>24.4</w:t>
            </w:r>
            <w:r w:rsidR="005C47A4">
              <w:rPr>
                <w:rFonts w:eastAsiaTheme="minorEastAsia"/>
                <w:noProof/>
                <w:kern w:val="2"/>
                <w:lang w:eastAsia="fr-FR"/>
                <w14:ligatures w14:val="standardContextual"/>
              </w:rPr>
              <w:tab/>
            </w:r>
            <w:r w:rsidR="005C47A4" w:rsidRPr="006B7CE2">
              <w:rPr>
                <w:rStyle w:val="Lienhypertexte"/>
                <w:noProof/>
              </w:rPr>
              <w:t>Digues filtrantes, lignes de contours</w:t>
            </w:r>
            <w:r w:rsidR="005C47A4">
              <w:rPr>
                <w:noProof/>
                <w:webHidden/>
              </w:rPr>
              <w:tab/>
            </w:r>
            <w:r w:rsidR="005C47A4">
              <w:rPr>
                <w:noProof/>
                <w:webHidden/>
              </w:rPr>
              <w:fldChar w:fldCharType="begin"/>
            </w:r>
            <w:r w:rsidR="005C47A4">
              <w:rPr>
                <w:noProof/>
                <w:webHidden/>
              </w:rPr>
              <w:instrText xml:space="preserve"> PAGEREF _Toc139181523 \h </w:instrText>
            </w:r>
            <w:r w:rsidR="005C47A4">
              <w:rPr>
                <w:noProof/>
                <w:webHidden/>
              </w:rPr>
            </w:r>
            <w:r w:rsidR="005C47A4">
              <w:rPr>
                <w:noProof/>
                <w:webHidden/>
              </w:rPr>
              <w:fldChar w:fldCharType="separate"/>
            </w:r>
            <w:r w:rsidR="004D7B96">
              <w:rPr>
                <w:noProof/>
                <w:webHidden/>
              </w:rPr>
              <w:t>254</w:t>
            </w:r>
            <w:r w:rsidR="005C47A4">
              <w:rPr>
                <w:noProof/>
                <w:webHidden/>
              </w:rPr>
              <w:fldChar w:fldCharType="end"/>
            </w:r>
          </w:hyperlink>
        </w:p>
        <w:p w14:paraId="67ADABC6" w14:textId="57F3B75E"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524" w:history="1">
            <w:r w:rsidR="005C47A4" w:rsidRPr="006B7CE2">
              <w:rPr>
                <w:rStyle w:val="Lienhypertexte"/>
                <w:noProof/>
              </w:rPr>
              <w:t>24.5</w:t>
            </w:r>
            <w:r w:rsidR="005C47A4">
              <w:rPr>
                <w:rFonts w:eastAsiaTheme="minorEastAsia"/>
                <w:noProof/>
                <w:kern w:val="2"/>
                <w:lang w:eastAsia="fr-FR"/>
                <w14:ligatures w14:val="standardContextual"/>
              </w:rPr>
              <w:tab/>
            </w:r>
            <w:r w:rsidR="005C47A4" w:rsidRPr="006B7CE2">
              <w:rPr>
                <w:rStyle w:val="Lienhypertexte"/>
                <w:noProof/>
              </w:rPr>
              <w:t>Bourrelets suivant les courbes de niveau</w:t>
            </w:r>
            <w:r w:rsidR="005C47A4">
              <w:rPr>
                <w:noProof/>
                <w:webHidden/>
              </w:rPr>
              <w:tab/>
            </w:r>
            <w:r w:rsidR="005C47A4">
              <w:rPr>
                <w:noProof/>
                <w:webHidden/>
              </w:rPr>
              <w:fldChar w:fldCharType="begin"/>
            </w:r>
            <w:r w:rsidR="005C47A4">
              <w:rPr>
                <w:noProof/>
                <w:webHidden/>
              </w:rPr>
              <w:instrText xml:space="preserve"> PAGEREF _Toc139181524 \h </w:instrText>
            </w:r>
            <w:r w:rsidR="005C47A4">
              <w:rPr>
                <w:noProof/>
                <w:webHidden/>
              </w:rPr>
            </w:r>
            <w:r w:rsidR="005C47A4">
              <w:rPr>
                <w:noProof/>
                <w:webHidden/>
              </w:rPr>
              <w:fldChar w:fldCharType="separate"/>
            </w:r>
            <w:r w:rsidR="004D7B96">
              <w:rPr>
                <w:noProof/>
                <w:webHidden/>
              </w:rPr>
              <w:t>255</w:t>
            </w:r>
            <w:r w:rsidR="005C47A4">
              <w:rPr>
                <w:noProof/>
                <w:webHidden/>
              </w:rPr>
              <w:fldChar w:fldCharType="end"/>
            </w:r>
          </w:hyperlink>
        </w:p>
        <w:p w14:paraId="0CA3B7A7" w14:textId="7B9FFE69"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525" w:history="1">
            <w:r w:rsidR="005C47A4" w:rsidRPr="006B7CE2">
              <w:rPr>
                <w:rStyle w:val="Lienhypertexte"/>
                <w:noProof/>
              </w:rPr>
              <w:t>24.6</w:t>
            </w:r>
            <w:r w:rsidR="005C47A4">
              <w:rPr>
                <w:rFonts w:eastAsiaTheme="minorEastAsia"/>
                <w:noProof/>
                <w:kern w:val="2"/>
                <w:lang w:eastAsia="fr-FR"/>
                <w14:ligatures w14:val="standardContextual"/>
              </w:rPr>
              <w:tab/>
            </w:r>
            <w:r w:rsidR="005C47A4" w:rsidRPr="006B7CE2">
              <w:rPr>
                <w:rStyle w:val="Lienhypertexte"/>
                <w:noProof/>
              </w:rPr>
              <w:t>Plantation en tranchée</w:t>
            </w:r>
            <w:r w:rsidR="005C47A4">
              <w:rPr>
                <w:noProof/>
                <w:webHidden/>
              </w:rPr>
              <w:tab/>
            </w:r>
            <w:r w:rsidR="005C47A4">
              <w:rPr>
                <w:noProof/>
                <w:webHidden/>
              </w:rPr>
              <w:fldChar w:fldCharType="begin"/>
            </w:r>
            <w:r w:rsidR="005C47A4">
              <w:rPr>
                <w:noProof/>
                <w:webHidden/>
              </w:rPr>
              <w:instrText xml:space="preserve"> PAGEREF _Toc139181525 \h </w:instrText>
            </w:r>
            <w:r w:rsidR="005C47A4">
              <w:rPr>
                <w:noProof/>
                <w:webHidden/>
              </w:rPr>
            </w:r>
            <w:r w:rsidR="005C47A4">
              <w:rPr>
                <w:noProof/>
                <w:webHidden/>
              </w:rPr>
              <w:fldChar w:fldCharType="separate"/>
            </w:r>
            <w:r w:rsidR="004D7B96">
              <w:rPr>
                <w:noProof/>
                <w:webHidden/>
              </w:rPr>
              <w:t>256</w:t>
            </w:r>
            <w:r w:rsidR="005C47A4">
              <w:rPr>
                <w:noProof/>
                <w:webHidden/>
              </w:rPr>
              <w:fldChar w:fldCharType="end"/>
            </w:r>
          </w:hyperlink>
        </w:p>
        <w:p w14:paraId="7FC94AA5" w14:textId="6A297B8E"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526" w:history="1">
            <w:r w:rsidR="005C47A4" w:rsidRPr="006B7CE2">
              <w:rPr>
                <w:rStyle w:val="Lienhypertexte"/>
                <w:noProof/>
              </w:rPr>
              <w:t>24.7</w:t>
            </w:r>
            <w:r w:rsidR="005C47A4">
              <w:rPr>
                <w:rFonts w:eastAsiaTheme="minorEastAsia"/>
                <w:noProof/>
                <w:kern w:val="2"/>
                <w:lang w:eastAsia="fr-FR"/>
                <w14:ligatures w14:val="standardContextual"/>
              </w:rPr>
              <w:tab/>
            </w:r>
            <w:r w:rsidR="005C47A4" w:rsidRPr="006B7CE2">
              <w:rPr>
                <w:rStyle w:val="Lienhypertexte"/>
                <w:noProof/>
              </w:rPr>
              <w:t>Système Vallerini ou VALLERANI SYSTEM (VS)</w:t>
            </w:r>
            <w:r w:rsidR="005C47A4">
              <w:rPr>
                <w:noProof/>
                <w:webHidden/>
              </w:rPr>
              <w:tab/>
            </w:r>
            <w:r w:rsidR="005C47A4">
              <w:rPr>
                <w:noProof/>
                <w:webHidden/>
              </w:rPr>
              <w:fldChar w:fldCharType="begin"/>
            </w:r>
            <w:r w:rsidR="005C47A4">
              <w:rPr>
                <w:noProof/>
                <w:webHidden/>
              </w:rPr>
              <w:instrText xml:space="preserve"> PAGEREF _Toc139181526 \h </w:instrText>
            </w:r>
            <w:r w:rsidR="005C47A4">
              <w:rPr>
                <w:noProof/>
                <w:webHidden/>
              </w:rPr>
            </w:r>
            <w:r w:rsidR="005C47A4">
              <w:rPr>
                <w:noProof/>
                <w:webHidden/>
              </w:rPr>
              <w:fldChar w:fldCharType="separate"/>
            </w:r>
            <w:r w:rsidR="004D7B96">
              <w:rPr>
                <w:noProof/>
                <w:webHidden/>
              </w:rPr>
              <w:t>257</w:t>
            </w:r>
            <w:r w:rsidR="005C47A4">
              <w:rPr>
                <w:noProof/>
                <w:webHidden/>
              </w:rPr>
              <w:fldChar w:fldCharType="end"/>
            </w:r>
          </w:hyperlink>
        </w:p>
        <w:p w14:paraId="684198FF" w14:textId="4BCE9D76"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527" w:history="1">
            <w:r w:rsidR="005C47A4" w:rsidRPr="006B7CE2">
              <w:rPr>
                <w:rStyle w:val="Lienhypertexte"/>
                <w:noProof/>
              </w:rPr>
              <w:t>24.8</w:t>
            </w:r>
            <w:r w:rsidR="005C47A4">
              <w:rPr>
                <w:rFonts w:eastAsiaTheme="minorEastAsia"/>
                <w:noProof/>
                <w:kern w:val="2"/>
                <w:lang w:eastAsia="fr-FR"/>
                <w14:ligatures w14:val="standardContextual"/>
              </w:rPr>
              <w:tab/>
            </w:r>
            <w:r w:rsidR="005C47A4" w:rsidRPr="006B7CE2">
              <w:rPr>
                <w:rStyle w:val="Lienhypertexte"/>
                <w:noProof/>
              </w:rPr>
              <w:t>Barrages, Jessours, Tabia</w:t>
            </w:r>
            <w:r w:rsidR="005C47A4">
              <w:rPr>
                <w:noProof/>
                <w:webHidden/>
              </w:rPr>
              <w:tab/>
            </w:r>
            <w:r w:rsidR="005C47A4">
              <w:rPr>
                <w:noProof/>
                <w:webHidden/>
              </w:rPr>
              <w:fldChar w:fldCharType="begin"/>
            </w:r>
            <w:r w:rsidR="005C47A4">
              <w:rPr>
                <w:noProof/>
                <w:webHidden/>
              </w:rPr>
              <w:instrText xml:space="preserve"> PAGEREF _Toc139181527 \h </w:instrText>
            </w:r>
            <w:r w:rsidR="005C47A4">
              <w:rPr>
                <w:noProof/>
                <w:webHidden/>
              </w:rPr>
            </w:r>
            <w:r w:rsidR="005C47A4">
              <w:rPr>
                <w:noProof/>
                <w:webHidden/>
              </w:rPr>
              <w:fldChar w:fldCharType="separate"/>
            </w:r>
            <w:r w:rsidR="004D7B96">
              <w:rPr>
                <w:noProof/>
                <w:webHidden/>
              </w:rPr>
              <w:t>257</w:t>
            </w:r>
            <w:r w:rsidR="005C47A4">
              <w:rPr>
                <w:noProof/>
                <w:webHidden/>
              </w:rPr>
              <w:fldChar w:fldCharType="end"/>
            </w:r>
          </w:hyperlink>
        </w:p>
        <w:p w14:paraId="37974E9F" w14:textId="2F66805E"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528" w:history="1">
            <w:r w:rsidR="005C47A4" w:rsidRPr="006B7CE2">
              <w:rPr>
                <w:rStyle w:val="Lienhypertexte"/>
                <w:noProof/>
              </w:rPr>
              <w:t>24.9</w:t>
            </w:r>
            <w:r w:rsidR="005C47A4">
              <w:rPr>
                <w:rFonts w:eastAsiaTheme="minorEastAsia"/>
                <w:noProof/>
                <w:kern w:val="2"/>
                <w:lang w:eastAsia="fr-FR"/>
                <w14:ligatures w14:val="standardContextual"/>
              </w:rPr>
              <w:tab/>
            </w:r>
            <w:r w:rsidR="005C47A4" w:rsidRPr="006B7CE2">
              <w:rPr>
                <w:rStyle w:val="Lienhypertexte"/>
                <w:noProof/>
              </w:rPr>
              <w:t>Lavogne</w:t>
            </w:r>
            <w:r w:rsidR="005C47A4">
              <w:rPr>
                <w:noProof/>
                <w:webHidden/>
              </w:rPr>
              <w:tab/>
            </w:r>
            <w:r w:rsidR="005C47A4">
              <w:rPr>
                <w:noProof/>
                <w:webHidden/>
              </w:rPr>
              <w:fldChar w:fldCharType="begin"/>
            </w:r>
            <w:r w:rsidR="005C47A4">
              <w:rPr>
                <w:noProof/>
                <w:webHidden/>
              </w:rPr>
              <w:instrText xml:space="preserve"> PAGEREF _Toc139181528 \h </w:instrText>
            </w:r>
            <w:r w:rsidR="005C47A4">
              <w:rPr>
                <w:noProof/>
                <w:webHidden/>
              </w:rPr>
            </w:r>
            <w:r w:rsidR="005C47A4">
              <w:rPr>
                <w:noProof/>
                <w:webHidden/>
              </w:rPr>
              <w:fldChar w:fldCharType="separate"/>
            </w:r>
            <w:r w:rsidR="004D7B96">
              <w:rPr>
                <w:noProof/>
                <w:webHidden/>
              </w:rPr>
              <w:t>263</w:t>
            </w:r>
            <w:r w:rsidR="005C47A4">
              <w:rPr>
                <w:noProof/>
                <w:webHidden/>
              </w:rPr>
              <w:fldChar w:fldCharType="end"/>
            </w:r>
          </w:hyperlink>
        </w:p>
        <w:p w14:paraId="42AFF763" w14:textId="5522C918" w:rsidR="005C47A4" w:rsidRDefault="00000000">
          <w:pPr>
            <w:pStyle w:val="TM2"/>
            <w:tabs>
              <w:tab w:val="left" w:pos="1100"/>
              <w:tab w:val="right" w:leader="dot" w:pos="10416"/>
            </w:tabs>
            <w:rPr>
              <w:rFonts w:eastAsiaTheme="minorEastAsia"/>
              <w:noProof/>
              <w:kern w:val="2"/>
              <w:lang w:eastAsia="fr-FR"/>
              <w14:ligatures w14:val="standardContextual"/>
            </w:rPr>
          </w:pPr>
          <w:hyperlink w:anchor="_Toc139181529" w:history="1">
            <w:r w:rsidR="005C47A4" w:rsidRPr="006B7CE2">
              <w:rPr>
                <w:rStyle w:val="Lienhypertexte"/>
                <w:noProof/>
              </w:rPr>
              <w:t>24.10</w:t>
            </w:r>
            <w:r w:rsidR="005C47A4">
              <w:rPr>
                <w:rFonts w:eastAsiaTheme="minorEastAsia"/>
                <w:noProof/>
                <w:kern w:val="2"/>
                <w:lang w:eastAsia="fr-FR"/>
                <w14:ligatures w14:val="standardContextual"/>
              </w:rPr>
              <w:tab/>
            </w:r>
            <w:r w:rsidR="005C47A4" w:rsidRPr="006B7CE2">
              <w:rPr>
                <w:rStyle w:val="Lienhypertexte"/>
                <w:noProof/>
              </w:rPr>
              <w:t>Lac ou retenue collinaire</w:t>
            </w:r>
            <w:r w:rsidR="005C47A4">
              <w:rPr>
                <w:noProof/>
                <w:webHidden/>
              </w:rPr>
              <w:tab/>
            </w:r>
            <w:r w:rsidR="005C47A4">
              <w:rPr>
                <w:noProof/>
                <w:webHidden/>
              </w:rPr>
              <w:fldChar w:fldCharType="begin"/>
            </w:r>
            <w:r w:rsidR="005C47A4">
              <w:rPr>
                <w:noProof/>
                <w:webHidden/>
              </w:rPr>
              <w:instrText xml:space="preserve"> PAGEREF _Toc139181529 \h </w:instrText>
            </w:r>
            <w:r w:rsidR="005C47A4">
              <w:rPr>
                <w:noProof/>
                <w:webHidden/>
              </w:rPr>
            </w:r>
            <w:r w:rsidR="005C47A4">
              <w:rPr>
                <w:noProof/>
                <w:webHidden/>
              </w:rPr>
              <w:fldChar w:fldCharType="separate"/>
            </w:r>
            <w:r w:rsidR="004D7B96">
              <w:rPr>
                <w:noProof/>
                <w:webHidden/>
              </w:rPr>
              <w:t>264</w:t>
            </w:r>
            <w:r w:rsidR="005C47A4">
              <w:rPr>
                <w:noProof/>
                <w:webHidden/>
              </w:rPr>
              <w:fldChar w:fldCharType="end"/>
            </w:r>
          </w:hyperlink>
        </w:p>
        <w:p w14:paraId="73B271B2" w14:textId="5ECAD9F9" w:rsidR="005C47A4" w:rsidRDefault="00000000">
          <w:pPr>
            <w:pStyle w:val="TM2"/>
            <w:tabs>
              <w:tab w:val="left" w:pos="1100"/>
              <w:tab w:val="right" w:leader="dot" w:pos="10416"/>
            </w:tabs>
            <w:rPr>
              <w:rFonts w:eastAsiaTheme="minorEastAsia"/>
              <w:noProof/>
              <w:kern w:val="2"/>
              <w:lang w:eastAsia="fr-FR"/>
              <w14:ligatures w14:val="standardContextual"/>
            </w:rPr>
          </w:pPr>
          <w:hyperlink w:anchor="_Toc139181530" w:history="1">
            <w:r w:rsidR="005C47A4" w:rsidRPr="006B7CE2">
              <w:rPr>
                <w:rStyle w:val="Lienhypertexte"/>
                <w:noProof/>
              </w:rPr>
              <w:t>24.11</w:t>
            </w:r>
            <w:r w:rsidR="005C47A4">
              <w:rPr>
                <w:rFonts w:eastAsiaTheme="minorEastAsia"/>
                <w:noProof/>
                <w:kern w:val="2"/>
                <w:lang w:eastAsia="fr-FR"/>
                <w14:ligatures w14:val="standardContextual"/>
              </w:rPr>
              <w:tab/>
            </w:r>
            <w:r w:rsidR="005C47A4" w:rsidRPr="006B7CE2">
              <w:rPr>
                <w:rStyle w:val="Lienhypertexte"/>
                <w:noProof/>
              </w:rPr>
              <w:t>Déversoirs</w:t>
            </w:r>
            <w:r w:rsidR="005C47A4">
              <w:rPr>
                <w:noProof/>
                <w:webHidden/>
              </w:rPr>
              <w:tab/>
            </w:r>
            <w:r w:rsidR="005C47A4">
              <w:rPr>
                <w:noProof/>
                <w:webHidden/>
              </w:rPr>
              <w:fldChar w:fldCharType="begin"/>
            </w:r>
            <w:r w:rsidR="005C47A4">
              <w:rPr>
                <w:noProof/>
                <w:webHidden/>
              </w:rPr>
              <w:instrText xml:space="preserve"> PAGEREF _Toc139181530 \h </w:instrText>
            </w:r>
            <w:r w:rsidR="005C47A4">
              <w:rPr>
                <w:noProof/>
                <w:webHidden/>
              </w:rPr>
            </w:r>
            <w:r w:rsidR="005C47A4">
              <w:rPr>
                <w:noProof/>
                <w:webHidden/>
              </w:rPr>
              <w:fldChar w:fldCharType="separate"/>
            </w:r>
            <w:r w:rsidR="004D7B96">
              <w:rPr>
                <w:noProof/>
                <w:webHidden/>
              </w:rPr>
              <w:t>266</w:t>
            </w:r>
            <w:r w:rsidR="005C47A4">
              <w:rPr>
                <w:noProof/>
                <w:webHidden/>
              </w:rPr>
              <w:fldChar w:fldCharType="end"/>
            </w:r>
          </w:hyperlink>
        </w:p>
        <w:p w14:paraId="1FC0A69D" w14:textId="079EDA69" w:rsidR="005C47A4" w:rsidRDefault="00000000">
          <w:pPr>
            <w:pStyle w:val="TM2"/>
            <w:tabs>
              <w:tab w:val="left" w:pos="1100"/>
              <w:tab w:val="right" w:leader="dot" w:pos="10416"/>
            </w:tabs>
            <w:rPr>
              <w:rFonts w:eastAsiaTheme="minorEastAsia"/>
              <w:noProof/>
              <w:kern w:val="2"/>
              <w:lang w:eastAsia="fr-FR"/>
              <w14:ligatures w14:val="standardContextual"/>
            </w:rPr>
          </w:pPr>
          <w:hyperlink w:anchor="_Toc139181531" w:history="1">
            <w:r w:rsidR="005C47A4" w:rsidRPr="006B7CE2">
              <w:rPr>
                <w:rStyle w:val="Lienhypertexte"/>
                <w:noProof/>
              </w:rPr>
              <w:t>24.12</w:t>
            </w:r>
            <w:r w:rsidR="005C47A4">
              <w:rPr>
                <w:rFonts w:eastAsiaTheme="minorEastAsia"/>
                <w:noProof/>
                <w:kern w:val="2"/>
                <w:lang w:eastAsia="fr-FR"/>
                <w14:ligatures w14:val="standardContextual"/>
              </w:rPr>
              <w:tab/>
            </w:r>
            <w:r w:rsidR="005C47A4" w:rsidRPr="006B7CE2">
              <w:rPr>
                <w:rStyle w:val="Lienhypertexte"/>
                <w:noProof/>
              </w:rPr>
              <w:t>Gabion (fabrication etc.)</w:t>
            </w:r>
            <w:r w:rsidR="005C47A4">
              <w:rPr>
                <w:noProof/>
                <w:webHidden/>
              </w:rPr>
              <w:tab/>
            </w:r>
            <w:r w:rsidR="005C47A4">
              <w:rPr>
                <w:noProof/>
                <w:webHidden/>
              </w:rPr>
              <w:fldChar w:fldCharType="begin"/>
            </w:r>
            <w:r w:rsidR="005C47A4">
              <w:rPr>
                <w:noProof/>
                <w:webHidden/>
              </w:rPr>
              <w:instrText xml:space="preserve"> PAGEREF _Toc139181531 \h </w:instrText>
            </w:r>
            <w:r w:rsidR="005C47A4">
              <w:rPr>
                <w:noProof/>
                <w:webHidden/>
              </w:rPr>
            </w:r>
            <w:r w:rsidR="005C47A4">
              <w:rPr>
                <w:noProof/>
                <w:webHidden/>
              </w:rPr>
              <w:fldChar w:fldCharType="separate"/>
            </w:r>
            <w:r w:rsidR="004D7B96">
              <w:rPr>
                <w:noProof/>
                <w:webHidden/>
              </w:rPr>
              <w:t>267</w:t>
            </w:r>
            <w:r w:rsidR="005C47A4">
              <w:rPr>
                <w:noProof/>
                <w:webHidden/>
              </w:rPr>
              <w:fldChar w:fldCharType="end"/>
            </w:r>
          </w:hyperlink>
        </w:p>
        <w:p w14:paraId="3CC48CB5" w14:textId="169DF6ED" w:rsidR="005C47A4" w:rsidRDefault="00000000">
          <w:pPr>
            <w:pStyle w:val="TM2"/>
            <w:tabs>
              <w:tab w:val="left" w:pos="1100"/>
              <w:tab w:val="right" w:leader="dot" w:pos="10416"/>
            </w:tabs>
            <w:rPr>
              <w:rFonts w:eastAsiaTheme="minorEastAsia"/>
              <w:noProof/>
              <w:kern w:val="2"/>
              <w:lang w:eastAsia="fr-FR"/>
              <w14:ligatures w14:val="standardContextual"/>
            </w:rPr>
          </w:pPr>
          <w:hyperlink w:anchor="_Toc139181532" w:history="1">
            <w:r w:rsidR="005C47A4" w:rsidRPr="006B7CE2">
              <w:rPr>
                <w:rStyle w:val="Lienhypertexte"/>
                <w:noProof/>
              </w:rPr>
              <w:t>24.13</w:t>
            </w:r>
            <w:r w:rsidR="005C47A4">
              <w:rPr>
                <w:rFonts w:eastAsiaTheme="minorEastAsia"/>
                <w:noProof/>
                <w:kern w:val="2"/>
                <w:lang w:eastAsia="fr-FR"/>
                <w14:ligatures w14:val="standardContextual"/>
              </w:rPr>
              <w:tab/>
            </w:r>
            <w:r w:rsidR="005C47A4" w:rsidRPr="006B7CE2">
              <w:rPr>
                <w:rStyle w:val="Lienhypertexte"/>
                <w:noProof/>
              </w:rPr>
              <w:t>Citernes couvertes (matfia, joub ou notfia)</w:t>
            </w:r>
            <w:r w:rsidR="005C47A4">
              <w:rPr>
                <w:noProof/>
                <w:webHidden/>
              </w:rPr>
              <w:tab/>
            </w:r>
            <w:r w:rsidR="005C47A4">
              <w:rPr>
                <w:noProof/>
                <w:webHidden/>
              </w:rPr>
              <w:fldChar w:fldCharType="begin"/>
            </w:r>
            <w:r w:rsidR="005C47A4">
              <w:rPr>
                <w:noProof/>
                <w:webHidden/>
              </w:rPr>
              <w:instrText xml:space="preserve"> PAGEREF _Toc139181532 \h </w:instrText>
            </w:r>
            <w:r w:rsidR="005C47A4">
              <w:rPr>
                <w:noProof/>
                <w:webHidden/>
              </w:rPr>
            </w:r>
            <w:r w:rsidR="005C47A4">
              <w:rPr>
                <w:noProof/>
                <w:webHidden/>
              </w:rPr>
              <w:fldChar w:fldCharType="separate"/>
            </w:r>
            <w:r w:rsidR="004D7B96">
              <w:rPr>
                <w:noProof/>
                <w:webHidden/>
              </w:rPr>
              <w:t>268</w:t>
            </w:r>
            <w:r w:rsidR="005C47A4">
              <w:rPr>
                <w:noProof/>
                <w:webHidden/>
              </w:rPr>
              <w:fldChar w:fldCharType="end"/>
            </w:r>
          </w:hyperlink>
        </w:p>
        <w:p w14:paraId="5B56D405" w14:textId="10ED5DA0" w:rsidR="005C47A4" w:rsidRDefault="00000000">
          <w:pPr>
            <w:pStyle w:val="TM2"/>
            <w:tabs>
              <w:tab w:val="left" w:pos="1100"/>
              <w:tab w:val="right" w:leader="dot" w:pos="10416"/>
            </w:tabs>
            <w:rPr>
              <w:rFonts w:eastAsiaTheme="minorEastAsia"/>
              <w:noProof/>
              <w:kern w:val="2"/>
              <w:lang w:eastAsia="fr-FR"/>
              <w14:ligatures w14:val="standardContextual"/>
            </w:rPr>
          </w:pPr>
          <w:hyperlink w:anchor="_Toc139181533" w:history="1">
            <w:r w:rsidR="005C47A4" w:rsidRPr="006B7CE2">
              <w:rPr>
                <w:rStyle w:val="Lienhypertexte"/>
                <w:noProof/>
              </w:rPr>
              <w:t>24.14</w:t>
            </w:r>
            <w:r w:rsidR="005C47A4">
              <w:rPr>
                <w:rFonts w:eastAsiaTheme="minorEastAsia"/>
                <w:noProof/>
                <w:kern w:val="2"/>
                <w:lang w:eastAsia="fr-FR"/>
                <w14:ligatures w14:val="standardContextual"/>
              </w:rPr>
              <w:tab/>
            </w:r>
            <w:r w:rsidR="005C47A4" w:rsidRPr="006B7CE2">
              <w:rPr>
                <w:rStyle w:val="Lienhypertexte"/>
                <w:noProof/>
              </w:rPr>
              <w:t>Cuvettes en demi-lunes</w:t>
            </w:r>
            <w:r w:rsidR="005C47A4">
              <w:rPr>
                <w:noProof/>
                <w:webHidden/>
              </w:rPr>
              <w:tab/>
            </w:r>
            <w:r w:rsidR="005C47A4">
              <w:rPr>
                <w:noProof/>
                <w:webHidden/>
              </w:rPr>
              <w:fldChar w:fldCharType="begin"/>
            </w:r>
            <w:r w:rsidR="005C47A4">
              <w:rPr>
                <w:noProof/>
                <w:webHidden/>
              </w:rPr>
              <w:instrText xml:space="preserve"> PAGEREF _Toc139181533 \h </w:instrText>
            </w:r>
            <w:r w:rsidR="005C47A4">
              <w:rPr>
                <w:noProof/>
                <w:webHidden/>
              </w:rPr>
            </w:r>
            <w:r w:rsidR="005C47A4">
              <w:rPr>
                <w:noProof/>
                <w:webHidden/>
              </w:rPr>
              <w:fldChar w:fldCharType="separate"/>
            </w:r>
            <w:r w:rsidR="004D7B96">
              <w:rPr>
                <w:noProof/>
                <w:webHidden/>
              </w:rPr>
              <w:t>271</w:t>
            </w:r>
            <w:r w:rsidR="005C47A4">
              <w:rPr>
                <w:noProof/>
                <w:webHidden/>
              </w:rPr>
              <w:fldChar w:fldCharType="end"/>
            </w:r>
          </w:hyperlink>
        </w:p>
        <w:p w14:paraId="2D109C9C" w14:textId="5636EC14" w:rsidR="005C47A4" w:rsidRDefault="00000000">
          <w:pPr>
            <w:pStyle w:val="TM2"/>
            <w:tabs>
              <w:tab w:val="left" w:pos="1100"/>
              <w:tab w:val="right" w:leader="dot" w:pos="10416"/>
            </w:tabs>
            <w:rPr>
              <w:rFonts w:eastAsiaTheme="minorEastAsia"/>
              <w:noProof/>
              <w:kern w:val="2"/>
              <w:lang w:eastAsia="fr-FR"/>
              <w14:ligatures w14:val="standardContextual"/>
            </w:rPr>
          </w:pPr>
          <w:hyperlink w:anchor="_Toc139181534" w:history="1">
            <w:r w:rsidR="005C47A4" w:rsidRPr="006B7CE2">
              <w:rPr>
                <w:rStyle w:val="Lienhypertexte"/>
                <w:noProof/>
              </w:rPr>
              <w:t>24.15</w:t>
            </w:r>
            <w:r w:rsidR="005C47A4">
              <w:rPr>
                <w:rFonts w:eastAsiaTheme="minorEastAsia"/>
                <w:noProof/>
                <w:kern w:val="2"/>
                <w:lang w:eastAsia="fr-FR"/>
                <w14:ligatures w14:val="standardContextual"/>
              </w:rPr>
              <w:tab/>
            </w:r>
            <w:r w:rsidR="005C47A4" w:rsidRPr="006B7CE2">
              <w:rPr>
                <w:rStyle w:val="Lienhypertexte"/>
                <w:noProof/>
              </w:rPr>
              <w:t>Negarim</w:t>
            </w:r>
            <w:r w:rsidR="005C47A4">
              <w:rPr>
                <w:noProof/>
                <w:webHidden/>
              </w:rPr>
              <w:tab/>
            </w:r>
            <w:r w:rsidR="005C47A4">
              <w:rPr>
                <w:noProof/>
                <w:webHidden/>
              </w:rPr>
              <w:fldChar w:fldCharType="begin"/>
            </w:r>
            <w:r w:rsidR="005C47A4">
              <w:rPr>
                <w:noProof/>
                <w:webHidden/>
              </w:rPr>
              <w:instrText xml:space="preserve"> PAGEREF _Toc139181534 \h </w:instrText>
            </w:r>
            <w:r w:rsidR="005C47A4">
              <w:rPr>
                <w:noProof/>
                <w:webHidden/>
              </w:rPr>
            </w:r>
            <w:r w:rsidR="005C47A4">
              <w:rPr>
                <w:noProof/>
                <w:webHidden/>
              </w:rPr>
              <w:fldChar w:fldCharType="separate"/>
            </w:r>
            <w:r w:rsidR="004D7B96">
              <w:rPr>
                <w:noProof/>
                <w:webHidden/>
              </w:rPr>
              <w:t>272</w:t>
            </w:r>
            <w:r w:rsidR="005C47A4">
              <w:rPr>
                <w:noProof/>
                <w:webHidden/>
              </w:rPr>
              <w:fldChar w:fldCharType="end"/>
            </w:r>
          </w:hyperlink>
        </w:p>
        <w:p w14:paraId="7154C983" w14:textId="1DE7E184" w:rsidR="005C47A4" w:rsidRDefault="00000000">
          <w:pPr>
            <w:pStyle w:val="TM2"/>
            <w:tabs>
              <w:tab w:val="left" w:pos="1100"/>
              <w:tab w:val="right" w:leader="dot" w:pos="10416"/>
            </w:tabs>
            <w:rPr>
              <w:rFonts w:eastAsiaTheme="minorEastAsia"/>
              <w:noProof/>
              <w:kern w:val="2"/>
              <w:lang w:eastAsia="fr-FR"/>
              <w14:ligatures w14:val="standardContextual"/>
            </w:rPr>
          </w:pPr>
          <w:hyperlink w:anchor="_Toc139181535" w:history="1">
            <w:r w:rsidR="005C47A4" w:rsidRPr="006B7CE2">
              <w:rPr>
                <w:rStyle w:val="Lienhypertexte"/>
                <w:noProof/>
              </w:rPr>
              <w:t>24.16</w:t>
            </w:r>
            <w:r w:rsidR="005C47A4">
              <w:rPr>
                <w:rFonts w:eastAsiaTheme="minorEastAsia"/>
                <w:noProof/>
                <w:kern w:val="2"/>
                <w:lang w:eastAsia="fr-FR"/>
                <w14:ligatures w14:val="standardContextual"/>
              </w:rPr>
              <w:tab/>
            </w:r>
            <w:r w:rsidR="005C47A4" w:rsidRPr="006B7CE2">
              <w:rPr>
                <w:rStyle w:val="Lienhypertexte"/>
                <w:noProof/>
              </w:rPr>
              <w:t>Alignement de pierres, cordons pierreux et murettes</w:t>
            </w:r>
            <w:r w:rsidR="005C47A4">
              <w:rPr>
                <w:noProof/>
                <w:webHidden/>
              </w:rPr>
              <w:tab/>
            </w:r>
            <w:r w:rsidR="005C47A4">
              <w:rPr>
                <w:noProof/>
                <w:webHidden/>
              </w:rPr>
              <w:fldChar w:fldCharType="begin"/>
            </w:r>
            <w:r w:rsidR="005C47A4">
              <w:rPr>
                <w:noProof/>
                <w:webHidden/>
              </w:rPr>
              <w:instrText xml:space="preserve"> PAGEREF _Toc139181535 \h </w:instrText>
            </w:r>
            <w:r w:rsidR="005C47A4">
              <w:rPr>
                <w:noProof/>
                <w:webHidden/>
              </w:rPr>
            </w:r>
            <w:r w:rsidR="005C47A4">
              <w:rPr>
                <w:noProof/>
                <w:webHidden/>
              </w:rPr>
              <w:fldChar w:fldCharType="separate"/>
            </w:r>
            <w:r w:rsidR="004D7B96">
              <w:rPr>
                <w:noProof/>
                <w:webHidden/>
              </w:rPr>
              <w:t>273</w:t>
            </w:r>
            <w:r w:rsidR="005C47A4">
              <w:rPr>
                <w:noProof/>
                <w:webHidden/>
              </w:rPr>
              <w:fldChar w:fldCharType="end"/>
            </w:r>
          </w:hyperlink>
        </w:p>
        <w:p w14:paraId="5CC3934F" w14:textId="52EB6A8C" w:rsidR="005C47A4" w:rsidRDefault="00000000">
          <w:pPr>
            <w:pStyle w:val="TM2"/>
            <w:tabs>
              <w:tab w:val="left" w:pos="1100"/>
              <w:tab w:val="right" w:leader="dot" w:pos="10416"/>
            </w:tabs>
            <w:rPr>
              <w:rFonts w:eastAsiaTheme="minorEastAsia"/>
              <w:noProof/>
              <w:kern w:val="2"/>
              <w:lang w:eastAsia="fr-FR"/>
              <w14:ligatures w14:val="standardContextual"/>
            </w:rPr>
          </w:pPr>
          <w:hyperlink w:anchor="_Toc139181536" w:history="1">
            <w:r w:rsidR="005C47A4" w:rsidRPr="006B7CE2">
              <w:rPr>
                <w:rStyle w:val="Lienhypertexte"/>
                <w:noProof/>
              </w:rPr>
              <w:t>24.17</w:t>
            </w:r>
            <w:r w:rsidR="005C47A4">
              <w:rPr>
                <w:rFonts w:eastAsiaTheme="minorEastAsia"/>
                <w:noProof/>
                <w:kern w:val="2"/>
                <w:lang w:eastAsia="fr-FR"/>
                <w14:ligatures w14:val="standardContextual"/>
              </w:rPr>
              <w:tab/>
            </w:r>
            <w:r w:rsidR="005C47A4" w:rsidRPr="006B7CE2">
              <w:rPr>
                <w:rStyle w:val="Lienhypertexte"/>
                <w:noProof/>
              </w:rPr>
              <w:t>Zaï ou culture en poquets</w:t>
            </w:r>
            <w:r w:rsidR="005C47A4">
              <w:rPr>
                <w:noProof/>
                <w:webHidden/>
              </w:rPr>
              <w:tab/>
            </w:r>
            <w:r w:rsidR="005C47A4">
              <w:rPr>
                <w:noProof/>
                <w:webHidden/>
              </w:rPr>
              <w:fldChar w:fldCharType="begin"/>
            </w:r>
            <w:r w:rsidR="005C47A4">
              <w:rPr>
                <w:noProof/>
                <w:webHidden/>
              </w:rPr>
              <w:instrText xml:space="preserve"> PAGEREF _Toc139181536 \h </w:instrText>
            </w:r>
            <w:r w:rsidR="005C47A4">
              <w:rPr>
                <w:noProof/>
                <w:webHidden/>
              </w:rPr>
            </w:r>
            <w:r w:rsidR="005C47A4">
              <w:rPr>
                <w:noProof/>
                <w:webHidden/>
              </w:rPr>
              <w:fldChar w:fldCharType="separate"/>
            </w:r>
            <w:r w:rsidR="004D7B96">
              <w:rPr>
                <w:noProof/>
                <w:webHidden/>
              </w:rPr>
              <w:t>275</w:t>
            </w:r>
            <w:r w:rsidR="005C47A4">
              <w:rPr>
                <w:noProof/>
                <w:webHidden/>
              </w:rPr>
              <w:fldChar w:fldCharType="end"/>
            </w:r>
          </w:hyperlink>
        </w:p>
        <w:p w14:paraId="55F72D1E" w14:textId="7A695E0A" w:rsidR="005C47A4" w:rsidRDefault="00000000">
          <w:pPr>
            <w:pStyle w:val="TM2"/>
            <w:tabs>
              <w:tab w:val="left" w:pos="1100"/>
              <w:tab w:val="right" w:leader="dot" w:pos="10416"/>
            </w:tabs>
            <w:rPr>
              <w:rFonts w:eastAsiaTheme="minorEastAsia"/>
              <w:noProof/>
              <w:kern w:val="2"/>
              <w:lang w:eastAsia="fr-FR"/>
              <w14:ligatures w14:val="standardContextual"/>
            </w:rPr>
          </w:pPr>
          <w:hyperlink w:anchor="_Toc139181537" w:history="1">
            <w:r w:rsidR="005C47A4" w:rsidRPr="006B7CE2">
              <w:rPr>
                <w:rStyle w:val="Lienhypertexte"/>
                <w:noProof/>
              </w:rPr>
              <w:t>24.18</w:t>
            </w:r>
            <w:r w:rsidR="005C47A4">
              <w:rPr>
                <w:rFonts w:eastAsiaTheme="minorEastAsia"/>
                <w:noProof/>
                <w:kern w:val="2"/>
                <w:lang w:eastAsia="fr-FR"/>
                <w14:ligatures w14:val="standardContextual"/>
              </w:rPr>
              <w:tab/>
            </w:r>
            <w:r w:rsidR="005C47A4" w:rsidRPr="006B7CE2">
              <w:rPr>
                <w:rStyle w:val="Lienhypertexte"/>
                <w:noProof/>
              </w:rPr>
              <w:t>Irrigation</w:t>
            </w:r>
            <w:r w:rsidR="005C47A4">
              <w:rPr>
                <w:noProof/>
                <w:webHidden/>
              </w:rPr>
              <w:tab/>
            </w:r>
            <w:r w:rsidR="005C47A4">
              <w:rPr>
                <w:noProof/>
                <w:webHidden/>
              </w:rPr>
              <w:fldChar w:fldCharType="begin"/>
            </w:r>
            <w:r w:rsidR="005C47A4">
              <w:rPr>
                <w:noProof/>
                <w:webHidden/>
              </w:rPr>
              <w:instrText xml:space="preserve"> PAGEREF _Toc139181537 \h </w:instrText>
            </w:r>
            <w:r w:rsidR="005C47A4">
              <w:rPr>
                <w:noProof/>
                <w:webHidden/>
              </w:rPr>
            </w:r>
            <w:r w:rsidR="005C47A4">
              <w:rPr>
                <w:noProof/>
                <w:webHidden/>
              </w:rPr>
              <w:fldChar w:fldCharType="separate"/>
            </w:r>
            <w:r w:rsidR="004D7B96">
              <w:rPr>
                <w:noProof/>
                <w:webHidden/>
              </w:rPr>
              <w:t>276</w:t>
            </w:r>
            <w:r w:rsidR="005C47A4">
              <w:rPr>
                <w:noProof/>
                <w:webHidden/>
              </w:rPr>
              <w:fldChar w:fldCharType="end"/>
            </w:r>
          </w:hyperlink>
        </w:p>
        <w:p w14:paraId="068AB590" w14:textId="201E0C79" w:rsidR="005C47A4" w:rsidRDefault="00000000">
          <w:pPr>
            <w:pStyle w:val="TM2"/>
            <w:tabs>
              <w:tab w:val="left" w:pos="1100"/>
              <w:tab w:val="right" w:leader="dot" w:pos="10416"/>
            </w:tabs>
            <w:rPr>
              <w:rFonts w:eastAsiaTheme="minorEastAsia"/>
              <w:noProof/>
              <w:kern w:val="2"/>
              <w:lang w:eastAsia="fr-FR"/>
              <w14:ligatures w14:val="standardContextual"/>
            </w:rPr>
          </w:pPr>
          <w:hyperlink w:anchor="_Toc139181538" w:history="1">
            <w:r w:rsidR="005C47A4" w:rsidRPr="006B7CE2">
              <w:rPr>
                <w:rStyle w:val="Lienhypertexte"/>
                <w:noProof/>
              </w:rPr>
              <w:t>24.19</w:t>
            </w:r>
            <w:r w:rsidR="005C47A4">
              <w:rPr>
                <w:rFonts w:eastAsiaTheme="minorEastAsia"/>
                <w:noProof/>
                <w:kern w:val="2"/>
                <w:lang w:eastAsia="fr-FR"/>
                <w14:ligatures w14:val="standardContextual"/>
              </w:rPr>
              <w:tab/>
            </w:r>
            <w:r w:rsidR="005C47A4" w:rsidRPr="006B7CE2">
              <w:rPr>
                <w:rStyle w:val="Lienhypertexte"/>
                <w:noProof/>
              </w:rPr>
              <w:t>Economiser l’eau</w:t>
            </w:r>
            <w:r w:rsidR="005C47A4">
              <w:rPr>
                <w:noProof/>
                <w:webHidden/>
              </w:rPr>
              <w:tab/>
            </w:r>
            <w:r w:rsidR="005C47A4">
              <w:rPr>
                <w:noProof/>
                <w:webHidden/>
              </w:rPr>
              <w:fldChar w:fldCharType="begin"/>
            </w:r>
            <w:r w:rsidR="005C47A4">
              <w:rPr>
                <w:noProof/>
                <w:webHidden/>
              </w:rPr>
              <w:instrText xml:space="preserve"> PAGEREF _Toc139181538 \h </w:instrText>
            </w:r>
            <w:r w:rsidR="005C47A4">
              <w:rPr>
                <w:noProof/>
                <w:webHidden/>
              </w:rPr>
            </w:r>
            <w:r w:rsidR="005C47A4">
              <w:rPr>
                <w:noProof/>
                <w:webHidden/>
              </w:rPr>
              <w:fldChar w:fldCharType="separate"/>
            </w:r>
            <w:r w:rsidR="004D7B96">
              <w:rPr>
                <w:noProof/>
                <w:webHidden/>
              </w:rPr>
              <w:t>279</w:t>
            </w:r>
            <w:r w:rsidR="005C47A4">
              <w:rPr>
                <w:noProof/>
                <w:webHidden/>
              </w:rPr>
              <w:fldChar w:fldCharType="end"/>
            </w:r>
          </w:hyperlink>
        </w:p>
        <w:p w14:paraId="12640ABD" w14:textId="66507F3D" w:rsidR="005C47A4" w:rsidRDefault="00000000">
          <w:pPr>
            <w:pStyle w:val="TM2"/>
            <w:tabs>
              <w:tab w:val="left" w:pos="1100"/>
              <w:tab w:val="right" w:leader="dot" w:pos="10416"/>
            </w:tabs>
            <w:rPr>
              <w:rFonts w:eastAsiaTheme="minorEastAsia"/>
              <w:noProof/>
              <w:kern w:val="2"/>
              <w:lang w:eastAsia="fr-FR"/>
              <w14:ligatures w14:val="standardContextual"/>
            </w:rPr>
          </w:pPr>
          <w:hyperlink w:anchor="_Toc139181539" w:history="1">
            <w:r w:rsidR="005C47A4" w:rsidRPr="006B7CE2">
              <w:rPr>
                <w:rStyle w:val="Lienhypertexte"/>
                <w:noProof/>
              </w:rPr>
              <w:t>24.20</w:t>
            </w:r>
            <w:r w:rsidR="005C47A4">
              <w:rPr>
                <w:rFonts w:eastAsiaTheme="minorEastAsia"/>
                <w:noProof/>
                <w:kern w:val="2"/>
                <w:lang w:eastAsia="fr-FR"/>
                <w14:ligatures w14:val="standardContextual"/>
              </w:rPr>
              <w:tab/>
            </w:r>
            <w:r w:rsidR="005C47A4" w:rsidRPr="006B7CE2">
              <w:rPr>
                <w:rStyle w:val="Lienhypertexte"/>
                <w:noProof/>
              </w:rPr>
              <w:t>Le système d’irrigation goutte à goutte ou micro-irrigation</w:t>
            </w:r>
            <w:r w:rsidR="005C47A4">
              <w:rPr>
                <w:noProof/>
                <w:webHidden/>
              </w:rPr>
              <w:tab/>
            </w:r>
            <w:r w:rsidR="005C47A4">
              <w:rPr>
                <w:noProof/>
                <w:webHidden/>
              </w:rPr>
              <w:fldChar w:fldCharType="begin"/>
            </w:r>
            <w:r w:rsidR="005C47A4">
              <w:rPr>
                <w:noProof/>
                <w:webHidden/>
              </w:rPr>
              <w:instrText xml:space="preserve"> PAGEREF _Toc139181539 \h </w:instrText>
            </w:r>
            <w:r w:rsidR="005C47A4">
              <w:rPr>
                <w:noProof/>
                <w:webHidden/>
              </w:rPr>
            </w:r>
            <w:r w:rsidR="005C47A4">
              <w:rPr>
                <w:noProof/>
                <w:webHidden/>
              </w:rPr>
              <w:fldChar w:fldCharType="separate"/>
            </w:r>
            <w:r w:rsidR="004D7B96">
              <w:rPr>
                <w:noProof/>
                <w:webHidden/>
              </w:rPr>
              <w:t>280</w:t>
            </w:r>
            <w:r w:rsidR="005C47A4">
              <w:rPr>
                <w:noProof/>
                <w:webHidden/>
              </w:rPr>
              <w:fldChar w:fldCharType="end"/>
            </w:r>
          </w:hyperlink>
        </w:p>
        <w:p w14:paraId="22FCBBB2" w14:textId="3F2CAFB1" w:rsidR="005C47A4" w:rsidRDefault="00000000">
          <w:pPr>
            <w:pStyle w:val="TM2"/>
            <w:tabs>
              <w:tab w:val="left" w:pos="1100"/>
              <w:tab w:val="right" w:leader="dot" w:pos="10416"/>
            </w:tabs>
            <w:rPr>
              <w:rFonts w:eastAsiaTheme="minorEastAsia"/>
              <w:noProof/>
              <w:kern w:val="2"/>
              <w:lang w:eastAsia="fr-FR"/>
              <w14:ligatures w14:val="standardContextual"/>
            </w:rPr>
          </w:pPr>
          <w:hyperlink w:anchor="_Toc139181540" w:history="1">
            <w:r w:rsidR="005C47A4" w:rsidRPr="006B7CE2">
              <w:rPr>
                <w:rStyle w:val="Lienhypertexte"/>
                <w:noProof/>
              </w:rPr>
              <w:t>24.21</w:t>
            </w:r>
            <w:r w:rsidR="005C47A4">
              <w:rPr>
                <w:rFonts w:eastAsiaTheme="minorEastAsia"/>
                <w:noProof/>
                <w:kern w:val="2"/>
                <w:lang w:eastAsia="fr-FR"/>
                <w14:ligatures w14:val="standardContextual"/>
              </w:rPr>
              <w:tab/>
            </w:r>
            <w:r w:rsidR="005C47A4" w:rsidRPr="006B7CE2">
              <w:rPr>
                <w:rStyle w:val="Lienhypertexte"/>
                <w:noProof/>
              </w:rPr>
              <w:t>Filets capteur de brouillard (ou filets à nuages ou à rosée)</w:t>
            </w:r>
            <w:r w:rsidR="005C47A4">
              <w:rPr>
                <w:noProof/>
                <w:webHidden/>
              </w:rPr>
              <w:tab/>
            </w:r>
            <w:r w:rsidR="005C47A4">
              <w:rPr>
                <w:noProof/>
                <w:webHidden/>
              </w:rPr>
              <w:fldChar w:fldCharType="begin"/>
            </w:r>
            <w:r w:rsidR="005C47A4">
              <w:rPr>
                <w:noProof/>
                <w:webHidden/>
              </w:rPr>
              <w:instrText xml:space="preserve"> PAGEREF _Toc139181540 \h </w:instrText>
            </w:r>
            <w:r w:rsidR="005C47A4">
              <w:rPr>
                <w:noProof/>
                <w:webHidden/>
              </w:rPr>
            </w:r>
            <w:r w:rsidR="005C47A4">
              <w:rPr>
                <w:noProof/>
                <w:webHidden/>
              </w:rPr>
              <w:fldChar w:fldCharType="separate"/>
            </w:r>
            <w:r w:rsidR="004D7B96">
              <w:rPr>
                <w:noProof/>
                <w:webHidden/>
              </w:rPr>
              <w:t>285</w:t>
            </w:r>
            <w:r w:rsidR="005C47A4">
              <w:rPr>
                <w:noProof/>
                <w:webHidden/>
              </w:rPr>
              <w:fldChar w:fldCharType="end"/>
            </w:r>
          </w:hyperlink>
        </w:p>
        <w:p w14:paraId="54B956A2" w14:textId="77087358" w:rsidR="005C47A4" w:rsidRDefault="00000000">
          <w:pPr>
            <w:pStyle w:val="TM1"/>
            <w:tabs>
              <w:tab w:val="left" w:pos="660"/>
              <w:tab w:val="right" w:leader="dot" w:pos="10416"/>
            </w:tabs>
            <w:rPr>
              <w:rFonts w:eastAsiaTheme="minorEastAsia"/>
              <w:noProof/>
              <w:kern w:val="2"/>
              <w:lang w:eastAsia="fr-FR"/>
              <w14:ligatures w14:val="standardContextual"/>
            </w:rPr>
          </w:pPr>
          <w:hyperlink w:anchor="_Toc139181541" w:history="1">
            <w:r w:rsidR="005C47A4" w:rsidRPr="006B7CE2">
              <w:rPr>
                <w:rStyle w:val="Lienhypertexte"/>
                <w:noProof/>
              </w:rPr>
              <w:t>25</w:t>
            </w:r>
            <w:r w:rsidR="005C47A4">
              <w:rPr>
                <w:rFonts w:eastAsiaTheme="minorEastAsia"/>
                <w:noProof/>
                <w:kern w:val="2"/>
                <w:lang w:eastAsia="fr-FR"/>
                <w14:ligatures w14:val="standardContextual"/>
              </w:rPr>
              <w:tab/>
            </w:r>
            <w:r w:rsidR="005C47A4" w:rsidRPr="006B7CE2">
              <w:rPr>
                <w:rStyle w:val="Lienhypertexte"/>
                <w:noProof/>
              </w:rPr>
              <w:t>Processus de salinisation des sols</w:t>
            </w:r>
            <w:r w:rsidR="005C47A4">
              <w:rPr>
                <w:noProof/>
                <w:webHidden/>
              </w:rPr>
              <w:tab/>
            </w:r>
            <w:r w:rsidR="005C47A4">
              <w:rPr>
                <w:noProof/>
                <w:webHidden/>
              </w:rPr>
              <w:fldChar w:fldCharType="begin"/>
            </w:r>
            <w:r w:rsidR="005C47A4">
              <w:rPr>
                <w:noProof/>
                <w:webHidden/>
              </w:rPr>
              <w:instrText xml:space="preserve"> PAGEREF _Toc139181541 \h </w:instrText>
            </w:r>
            <w:r w:rsidR="005C47A4">
              <w:rPr>
                <w:noProof/>
                <w:webHidden/>
              </w:rPr>
            </w:r>
            <w:r w:rsidR="005C47A4">
              <w:rPr>
                <w:noProof/>
                <w:webHidden/>
              </w:rPr>
              <w:fldChar w:fldCharType="separate"/>
            </w:r>
            <w:r w:rsidR="004D7B96">
              <w:rPr>
                <w:noProof/>
                <w:webHidden/>
              </w:rPr>
              <w:t>287</w:t>
            </w:r>
            <w:r w:rsidR="005C47A4">
              <w:rPr>
                <w:noProof/>
                <w:webHidden/>
              </w:rPr>
              <w:fldChar w:fldCharType="end"/>
            </w:r>
          </w:hyperlink>
        </w:p>
        <w:p w14:paraId="653D5CD1" w14:textId="55D5C997" w:rsidR="005C47A4" w:rsidRDefault="00000000">
          <w:pPr>
            <w:pStyle w:val="TM1"/>
            <w:tabs>
              <w:tab w:val="left" w:pos="660"/>
              <w:tab w:val="right" w:leader="dot" w:pos="10416"/>
            </w:tabs>
            <w:rPr>
              <w:rFonts w:eastAsiaTheme="minorEastAsia"/>
              <w:noProof/>
              <w:kern w:val="2"/>
              <w:lang w:eastAsia="fr-FR"/>
              <w14:ligatures w14:val="standardContextual"/>
            </w:rPr>
          </w:pPr>
          <w:hyperlink w:anchor="_Toc139181542" w:history="1">
            <w:r w:rsidR="005C47A4" w:rsidRPr="006B7CE2">
              <w:rPr>
                <w:rStyle w:val="Lienhypertexte"/>
                <w:noProof/>
              </w:rPr>
              <w:t>26</w:t>
            </w:r>
            <w:r w:rsidR="005C47A4">
              <w:rPr>
                <w:rFonts w:eastAsiaTheme="minorEastAsia"/>
                <w:noProof/>
                <w:kern w:val="2"/>
                <w:lang w:eastAsia="fr-FR"/>
                <w14:ligatures w14:val="standardContextual"/>
              </w:rPr>
              <w:tab/>
            </w:r>
            <w:r w:rsidR="005C47A4" w:rsidRPr="006B7CE2">
              <w:rPr>
                <w:rStyle w:val="Lienhypertexte"/>
                <w:noProof/>
              </w:rPr>
              <w:t>Protection des plants, des pépinières, de la plantation des champs</w:t>
            </w:r>
            <w:r w:rsidR="005C47A4">
              <w:rPr>
                <w:noProof/>
                <w:webHidden/>
              </w:rPr>
              <w:tab/>
            </w:r>
            <w:r w:rsidR="005C47A4">
              <w:rPr>
                <w:noProof/>
                <w:webHidden/>
              </w:rPr>
              <w:fldChar w:fldCharType="begin"/>
            </w:r>
            <w:r w:rsidR="005C47A4">
              <w:rPr>
                <w:noProof/>
                <w:webHidden/>
              </w:rPr>
              <w:instrText xml:space="preserve"> PAGEREF _Toc139181542 \h </w:instrText>
            </w:r>
            <w:r w:rsidR="005C47A4">
              <w:rPr>
                <w:noProof/>
                <w:webHidden/>
              </w:rPr>
            </w:r>
            <w:r w:rsidR="005C47A4">
              <w:rPr>
                <w:noProof/>
                <w:webHidden/>
              </w:rPr>
              <w:fldChar w:fldCharType="separate"/>
            </w:r>
            <w:r w:rsidR="004D7B96">
              <w:rPr>
                <w:noProof/>
                <w:webHidden/>
              </w:rPr>
              <w:t>289</w:t>
            </w:r>
            <w:r w:rsidR="005C47A4">
              <w:rPr>
                <w:noProof/>
                <w:webHidden/>
              </w:rPr>
              <w:fldChar w:fldCharType="end"/>
            </w:r>
          </w:hyperlink>
        </w:p>
        <w:p w14:paraId="7E1EA134" w14:textId="6E46ABBC"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543" w:history="1">
            <w:r w:rsidR="005C47A4" w:rsidRPr="006B7CE2">
              <w:rPr>
                <w:rStyle w:val="Lienhypertexte"/>
                <w:noProof/>
              </w:rPr>
              <w:t>26.1</w:t>
            </w:r>
            <w:r w:rsidR="005C47A4">
              <w:rPr>
                <w:rFonts w:eastAsiaTheme="minorEastAsia"/>
                <w:noProof/>
                <w:kern w:val="2"/>
                <w:lang w:eastAsia="fr-FR"/>
                <w14:ligatures w14:val="standardContextual"/>
              </w:rPr>
              <w:tab/>
            </w:r>
            <w:r w:rsidR="005C47A4" w:rsidRPr="006B7CE2">
              <w:rPr>
                <w:rStyle w:val="Lienhypertexte"/>
                <w:noProof/>
              </w:rPr>
              <w:t>Haies vives : protection contre les vols, le broutage, délimitation de parcelles …</w:t>
            </w:r>
            <w:r w:rsidR="005C47A4">
              <w:rPr>
                <w:noProof/>
                <w:webHidden/>
              </w:rPr>
              <w:tab/>
            </w:r>
            <w:r w:rsidR="005C47A4">
              <w:rPr>
                <w:noProof/>
                <w:webHidden/>
              </w:rPr>
              <w:fldChar w:fldCharType="begin"/>
            </w:r>
            <w:r w:rsidR="005C47A4">
              <w:rPr>
                <w:noProof/>
                <w:webHidden/>
              </w:rPr>
              <w:instrText xml:space="preserve"> PAGEREF _Toc139181543 \h </w:instrText>
            </w:r>
            <w:r w:rsidR="005C47A4">
              <w:rPr>
                <w:noProof/>
                <w:webHidden/>
              </w:rPr>
            </w:r>
            <w:r w:rsidR="005C47A4">
              <w:rPr>
                <w:noProof/>
                <w:webHidden/>
              </w:rPr>
              <w:fldChar w:fldCharType="separate"/>
            </w:r>
            <w:r w:rsidR="004D7B96">
              <w:rPr>
                <w:noProof/>
                <w:webHidden/>
              </w:rPr>
              <w:t>289</w:t>
            </w:r>
            <w:r w:rsidR="005C47A4">
              <w:rPr>
                <w:noProof/>
                <w:webHidden/>
              </w:rPr>
              <w:fldChar w:fldCharType="end"/>
            </w:r>
          </w:hyperlink>
        </w:p>
        <w:p w14:paraId="781B3B94" w14:textId="6CA01BF0"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544" w:history="1">
            <w:r w:rsidR="005C47A4" w:rsidRPr="006B7CE2">
              <w:rPr>
                <w:rStyle w:val="Lienhypertexte"/>
                <w:noProof/>
              </w:rPr>
              <w:t>26.2</w:t>
            </w:r>
            <w:r w:rsidR="005C47A4">
              <w:rPr>
                <w:rFonts w:eastAsiaTheme="minorEastAsia"/>
                <w:noProof/>
                <w:kern w:val="2"/>
                <w:lang w:eastAsia="fr-FR"/>
                <w14:ligatures w14:val="standardContextual"/>
              </w:rPr>
              <w:tab/>
            </w:r>
            <w:r w:rsidR="005C47A4" w:rsidRPr="006B7CE2">
              <w:rPr>
                <w:rStyle w:val="Lienhypertexte"/>
                <w:noProof/>
              </w:rPr>
              <w:t>La régénération naturelle assistée d'espèces forestières locales</w:t>
            </w:r>
            <w:r w:rsidR="005C47A4">
              <w:rPr>
                <w:noProof/>
                <w:webHidden/>
              </w:rPr>
              <w:tab/>
            </w:r>
            <w:r w:rsidR="005C47A4">
              <w:rPr>
                <w:noProof/>
                <w:webHidden/>
              </w:rPr>
              <w:fldChar w:fldCharType="begin"/>
            </w:r>
            <w:r w:rsidR="005C47A4">
              <w:rPr>
                <w:noProof/>
                <w:webHidden/>
              </w:rPr>
              <w:instrText xml:space="preserve"> PAGEREF _Toc139181544 \h </w:instrText>
            </w:r>
            <w:r w:rsidR="005C47A4">
              <w:rPr>
                <w:noProof/>
                <w:webHidden/>
              </w:rPr>
            </w:r>
            <w:r w:rsidR="005C47A4">
              <w:rPr>
                <w:noProof/>
                <w:webHidden/>
              </w:rPr>
              <w:fldChar w:fldCharType="separate"/>
            </w:r>
            <w:r w:rsidR="004D7B96">
              <w:rPr>
                <w:noProof/>
                <w:webHidden/>
              </w:rPr>
              <w:t>293</w:t>
            </w:r>
            <w:r w:rsidR="005C47A4">
              <w:rPr>
                <w:noProof/>
                <w:webHidden/>
              </w:rPr>
              <w:fldChar w:fldCharType="end"/>
            </w:r>
          </w:hyperlink>
        </w:p>
        <w:p w14:paraId="47C987FD" w14:textId="5F318A51"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545" w:history="1">
            <w:r w:rsidR="005C47A4" w:rsidRPr="006B7CE2">
              <w:rPr>
                <w:rStyle w:val="Lienhypertexte"/>
                <w:noProof/>
              </w:rPr>
              <w:t>26.3</w:t>
            </w:r>
            <w:r w:rsidR="005C47A4">
              <w:rPr>
                <w:rFonts w:eastAsiaTheme="minorEastAsia"/>
                <w:noProof/>
                <w:kern w:val="2"/>
                <w:lang w:eastAsia="fr-FR"/>
                <w14:ligatures w14:val="standardContextual"/>
              </w:rPr>
              <w:tab/>
            </w:r>
            <w:r w:rsidR="005C47A4" w:rsidRPr="006B7CE2">
              <w:rPr>
                <w:rStyle w:val="Lienhypertexte"/>
                <w:noProof/>
              </w:rPr>
              <w:t>L’amélioration de la fertilité des sols par des moyens naturels</w:t>
            </w:r>
            <w:r w:rsidR="005C47A4">
              <w:rPr>
                <w:noProof/>
                <w:webHidden/>
              </w:rPr>
              <w:tab/>
            </w:r>
            <w:r w:rsidR="005C47A4">
              <w:rPr>
                <w:noProof/>
                <w:webHidden/>
              </w:rPr>
              <w:fldChar w:fldCharType="begin"/>
            </w:r>
            <w:r w:rsidR="005C47A4">
              <w:rPr>
                <w:noProof/>
                <w:webHidden/>
              </w:rPr>
              <w:instrText xml:space="preserve"> PAGEREF _Toc139181545 \h </w:instrText>
            </w:r>
            <w:r w:rsidR="005C47A4">
              <w:rPr>
                <w:noProof/>
                <w:webHidden/>
              </w:rPr>
            </w:r>
            <w:r w:rsidR="005C47A4">
              <w:rPr>
                <w:noProof/>
                <w:webHidden/>
              </w:rPr>
              <w:fldChar w:fldCharType="separate"/>
            </w:r>
            <w:r w:rsidR="004D7B96">
              <w:rPr>
                <w:noProof/>
                <w:webHidden/>
              </w:rPr>
              <w:t>293</w:t>
            </w:r>
            <w:r w:rsidR="005C47A4">
              <w:rPr>
                <w:noProof/>
                <w:webHidden/>
              </w:rPr>
              <w:fldChar w:fldCharType="end"/>
            </w:r>
          </w:hyperlink>
        </w:p>
        <w:p w14:paraId="1972CC0E" w14:textId="738836F2" w:rsidR="005C47A4" w:rsidRDefault="00000000">
          <w:pPr>
            <w:pStyle w:val="TM3"/>
            <w:tabs>
              <w:tab w:val="left" w:pos="1320"/>
              <w:tab w:val="right" w:leader="dot" w:pos="10416"/>
            </w:tabs>
            <w:rPr>
              <w:rFonts w:eastAsiaTheme="minorEastAsia"/>
              <w:noProof/>
              <w:kern w:val="2"/>
              <w:lang w:eastAsia="fr-FR"/>
              <w14:ligatures w14:val="standardContextual"/>
            </w:rPr>
          </w:pPr>
          <w:hyperlink w:anchor="_Toc139181546" w:history="1">
            <w:r w:rsidR="005C47A4" w:rsidRPr="006B7CE2">
              <w:rPr>
                <w:rStyle w:val="Lienhypertexte"/>
                <w:noProof/>
              </w:rPr>
              <w:t>26.3.1</w:t>
            </w:r>
            <w:r w:rsidR="005C47A4">
              <w:rPr>
                <w:rFonts w:eastAsiaTheme="minorEastAsia"/>
                <w:noProof/>
                <w:kern w:val="2"/>
                <w:lang w:eastAsia="fr-FR"/>
                <w14:ligatures w14:val="standardContextual"/>
              </w:rPr>
              <w:tab/>
            </w:r>
            <w:r w:rsidR="005C47A4" w:rsidRPr="006B7CE2">
              <w:rPr>
                <w:rStyle w:val="Lienhypertexte"/>
                <w:noProof/>
              </w:rPr>
              <w:t>Le compostage organique</w:t>
            </w:r>
            <w:r w:rsidR="005C47A4">
              <w:rPr>
                <w:noProof/>
                <w:webHidden/>
              </w:rPr>
              <w:tab/>
            </w:r>
            <w:r w:rsidR="005C47A4">
              <w:rPr>
                <w:noProof/>
                <w:webHidden/>
              </w:rPr>
              <w:fldChar w:fldCharType="begin"/>
            </w:r>
            <w:r w:rsidR="005C47A4">
              <w:rPr>
                <w:noProof/>
                <w:webHidden/>
              </w:rPr>
              <w:instrText xml:space="preserve"> PAGEREF _Toc139181546 \h </w:instrText>
            </w:r>
            <w:r w:rsidR="005C47A4">
              <w:rPr>
                <w:noProof/>
                <w:webHidden/>
              </w:rPr>
            </w:r>
            <w:r w:rsidR="005C47A4">
              <w:rPr>
                <w:noProof/>
                <w:webHidden/>
              </w:rPr>
              <w:fldChar w:fldCharType="separate"/>
            </w:r>
            <w:r w:rsidR="004D7B96">
              <w:rPr>
                <w:noProof/>
                <w:webHidden/>
              </w:rPr>
              <w:t>293</w:t>
            </w:r>
            <w:r w:rsidR="005C47A4">
              <w:rPr>
                <w:noProof/>
                <w:webHidden/>
              </w:rPr>
              <w:fldChar w:fldCharType="end"/>
            </w:r>
          </w:hyperlink>
        </w:p>
        <w:p w14:paraId="640AF213" w14:textId="588F70B8" w:rsidR="005C47A4" w:rsidRDefault="00000000">
          <w:pPr>
            <w:pStyle w:val="TM3"/>
            <w:tabs>
              <w:tab w:val="left" w:pos="1320"/>
              <w:tab w:val="right" w:leader="dot" w:pos="10416"/>
            </w:tabs>
            <w:rPr>
              <w:rFonts w:eastAsiaTheme="minorEastAsia"/>
              <w:noProof/>
              <w:kern w:val="2"/>
              <w:lang w:eastAsia="fr-FR"/>
              <w14:ligatures w14:val="standardContextual"/>
            </w:rPr>
          </w:pPr>
          <w:hyperlink w:anchor="_Toc139181547" w:history="1">
            <w:r w:rsidR="005C47A4" w:rsidRPr="006B7CE2">
              <w:rPr>
                <w:rStyle w:val="Lienhypertexte"/>
                <w:noProof/>
              </w:rPr>
              <w:t>26.3.2</w:t>
            </w:r>
            <w:r w:rsidR="005C47A4">
              <w:rPr>
                <w:rFonts w:eastAsiaTheme="minorEastAsia"/>
                <w:noProof/>
                <w:kern w:val="2"/>
                <w:lang w:eastAsia="fr-FR"/>
                <w14:ligatures w14:val="standardContextual"/>
              </w:rPr>
              <w:tab/>
            </w:r>
            <w:r w:rsidR="005C47A4" w:rsidRPr="006B7CE2">
              <w:rPr>
                <w:rStyle w:val="Lienhypertexte"/>
                <w:noProof/>
              </w:rPr>
              <w:t>Le paillage</w:t>
            </w:r>
            <w:r w:rsidR="005C47A4">
              <w:rPr>
                <w:noProof/>
                <w:webHidden/>
              </w:rPr>
              <w:tab/>
            </w:r>
            <w:r w:rsidR="005C47A4">
              <w:rPr>
                <w:noProof/>
                <w:webHidden/>
              </w:rPr>
              <w:fldChar w:fldCharType="begin"/>
            </w:r>
            <w:r w:rsidR="005C47A4">
              <w:rPr>
                <w:noProof/>
                <w:webHidden/>
              </w:rPr>
              <w:instrText xml:space="preserve"> PAGEREF _Toc139181547 \h </w:instrText>
            </w:r>
            <w:r w:rsidR="005C47A4">
              <w:rPr>
                <w:noProof/>
                <w:webHidden/>
              </w:rPr>
            </w:r>
            <w:r w:rsidR="005C47A4">
              <w:rPr>
                <w:noProof/>
                <w:webHidden/>
              </w:rPr>
              <w:fldChar w:fldCharType="separate"/>
            </w:r>
            <w:r w:rsidR="004D7B96">
              <w:rPr>
                <w:noProof/>
                <w:webHidden/>
              </w:rPr>
              <w:t>296</w:t>
            </w:r>
            <w:r w:rsidR="005C47A4">
              <w:rPr>
                <w:noProof/>
                <w:webHidden/>
              </w:rPr>
              <w:fldChar w:fldCharType="end"/>
            </w:r>
          </w:hyperlink>
        </w:p>
        <w:p w14:paraId="12F5BD90" w14:textId="7B12AA5E"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548" w:history="1">
            <w:r w:rsidR="005C47A4" w:rsidRPr="006B7CE2">
              <w:rPr>
                <w:rStyle w:val="Lienhypertexte"/>
                <w:noProof/>
              </w:rPr>
              <w:t>26.4</w:t>
            </w:r>
            <w:r w:rsidR="005C47A4">
              <w:rPr>
                <w:rFonts w:eastAsiaTheme="minorEastAsia"/>
                <w:noProof/>
                <w:kern w:val="2"/>
                <w:lang w:eastAsia="fr-FR"/>
                <w14:ligatures w14:val="standardContextual"/>
              </w:rPr>
              <w:tab/>
            </w:r>
            <w:r w:rsidR="005C47A4" w:rsidRPr="006B7CE2">
              <w:rPr>
                <w:rStyle w:val="Lienhypertexte"/>
                <w:noProof/>
              </w:rPr>
              <w:t>Protection "artificielle" des plants, des pépinières et de la plantation</w:t>
            </w:r>
            <w:r w:rsidR="005C47A4">
              <w:rPr>
                <w:noProof/>
                <w:webHidden/>
              </w:rPr>
              <w:tab/>
            </w:r>
            <w:r w:rsidR="005C47A4">
              <w:rPr>
                <w:noProof/>
                <w:webHidden/>
              </w:rPr>
              <w:fldChar w:fldCharType="begin"/>
            </w:r>
            <w:r w:rsidR="005C47A4">
              <w:rPr>
                <w:noProof/>
                <w:webHidden/>
              </w:rPr>
              <w:instrText xml:space="preserve"> PAGEREF _Toc139181548 \h </w:instrText>
            </w:r>
            <w:r w:rsidR="005C47A4">
              <w:rPr>
                <w:noProof/>
                <w:webHidden/>
              </w:rPr>
            </w:r>
            <w:r w:rsidR="005C47A4">
              <w:rPr>
                <w:noProof/>
                <w:webHidden/>
              </w:rPr>
              <w:fldChar w:fldCharType="separate"/>
            </w:r>
            <w:r w:rsidR="004D7B96">
              <w:rPr>
                <w:noProof/>
                <w:webHidden/>
              </w:rPr>
              <w:t>296</w:t>
            </w:r>
            <w:r w:rsidR="005C47A4">
              <w:rPr>
                <w:noProof/>
                <w:webHidden/>
              </w:rPr>
              <w:fldChar w:fldCharType="end"/>
            </w:r>
          </w:hyperlink>
        </w:p>
        <w:p w14:paraId="7875FE0C" w14:textId="36B83961" w:rsidR="005C47A4" w:rsidRDefault="00000000">
          <w:pPr>
            <w:pStyle w:val="TM3"/>
            <w:tabs>
              <w:tab w:val="left" w:pos="1320"/>
              <w:tab w:val="right" w:leader="dot" w:pos="10416"/>
            </w:tabs>
            <w:rPr>
              <w:rFonts w:eastAsiaTheme="minorEastAsia"/>
              <w:noProof/>
              <w:kern w:val="2"/>
              <w:lang w:eastAsia="fr-FR"/>
              <w14:ligatures w14:val="standardContextual"/>
            </w:rPr>
          </w:pPr>
          <w:hyperlink w:anchor="_Toc139181549" w:history="1">
            <w:r w:rsidR="005C47A4" w:rsidRPr="006B7CE2">
              <w:rPr>
                <w:rStyle w:val="Lienhypertexte"/>
                <w:noProof/>
              </w:rPr>
              <w:t>26.4.1</w:t>
            </w:r>
            <w:r w:rsidR="005C47A4">
              <w:rPr>
                <w:rFonts w:eastAsiaTheme="minorEastAsia"/>
                <w:noProof/>
                <w:kern w:val="2"/>
                <w:lang w:eastAsia="fr-FR"/>
                <w14:ligatures w14:val="standardContextual"/>
              </w:rPr>
              <w:tab/>
            </w:r>
            <w:r w:rsidR="005C47A4" w:rsidRPr="006B7CE2">
              <w:rPr>
                <w:rStyle w:val="Lienhypertexte"/>
                <w:noProof/>
              </w:rPr>
              <w:t>Barrière électrique ou simple</w:t>
            </w:r>
            <w:r w:rsidR="005C47A4">
              <w:rPr>
                <w:noProof/>
                <w:webHidden/>
              </w:rPr>
              <w:tab/>
            </w:r>
            <w:r w:rsidR="005C47A4">
              <w:rPr>
                <w:noProof/>
                <w:webHidden/>
              </w:rPr>
              <w:fldChar w:fldCharType="begin"/>
            </w:r>
            <w:r w:rsidR="005C47A4">
              <w:rPr>
                <w:noProof/>
                <w:webHidden/>
              </w:rPr>
              <w:instrText xml:space="preserve"> PAGEREF _Toc139181549 \h </w:instrText>
            </w:r>
            <w:r w:rsidR="005C47A4">
              <w:rPr>
                <w:noProof/>
                <w:webHidden/>
              </w:rPr>
            </w:r>
            <w:r w:rsidR="005C47A4">
              <w:rPr>
                <w:noProof/>
                <w:webHidden/>
              </w:rPr>
              <w:fldChar w:fldCharType="separate"/>
            </w:r>
            <w:r w:rsidR="004D7B96">
              <w:rPr>
                <w:noProof/>
                <w:webHidden/>
              </w:rPr>
              <w:t>296</w:t>
            </w:r>
            <w:r w:rsidR="005C47A4">
              <w:rPr>
                <w:noProof/>
                <w:webHidden/>
              </w:rPr>
              <w:fldChar w:fldCharType="end"/>
            </w:r>
          </w:hyperlink>
        </w:p>
        <w:p w14:paraId="61A0102A" w14:textId="0329B78E" w:rsidR="005C47A4" w:rsidRDefault="00000000">
          <w:pPr>
            <w:pStyle w:val="TM3"/>
            <w:tabs>
              <w:tab w:val="left" w:pos="1320"/>
              <w:tab w:val="right" w:leader="dot" w:pos="10416"/>
            </w:tabs>
            <w:rPr>
              <w:rFonts w:eastAsiaTheme="minorEastAsia"/>
              <w:noProof/>
              <w:kern w:val="2"/>
              <w:lang w:eastAsia="fr-FR"/>
              <w14:ligatures w14:val="standardContextual"/>
            </w:rPr>
          </w:pPr>
          <w:hyperlink w:anchor="_Toc139181550" w:history="1">
            <w:r w:rsidR="005C47A4" w:rsidRPr="006B7CE2">
              <w:rPr>
                <w:rStyle w:val="Lienhypertexte"/>
                <w:noProof/>
              </w:rPr>
              <w:t>26.4.2</w:t>
            </w:r>
            <w:r w:rsidR="005C47A4">
              <w:rPr>
                <w:rFonts w:eastAsiaTheme="minorEastAsia"/>
                <w:noProof/>
                <w:kern w:val="2"/>
                <w:lang w:eastAsia="fr-FR"/>
                <w14:ligatures w14:val="standardContextual"/>
              </w:rPr>
              <w:tab/>
            </w:r>
            <w:r w:rsidR="005C47A4" w:rsidRPr="006B7CE2">
              <w:rPr>
                <w:rStyle w:val="Lienhypertexte"/>
                <w:noProof/>
              </w:rPr>
              <w:t>Plantation d’une haie vive</w:t>
            </w:r>
            <w:r w:rsidR="005C47A4">
              <w:rPr>
                <w:noProof/>
                <w:webHidden/>
              </w:rPr>
              <w:tab/>
            </w:r>
            <w:r w:rsidR="005C47A4">
              <w:rPr>
                <w:noProof/>
                <w:webHidden/>
              </w:rPr>
              <w:fldChar w:fldCharType="begin"/>
            </w:r>
            <w:r w:rsidR="005C47A4">
              <w:rPr>
                <w:noProof/>
                <w:webHidden/>
              </w:rPr>
              <w:instrText xml:space="preserve"> PAGEREF _Toc139181550 \h </w:instrText>
            </w:r>
            <w:r w:rsidR="005C47A4">
              <w:rPr>
                <w:noProof/>
                <w:webHidden/>
              </w:rPr>
            </w:r>
            <w:r w:rsidR="005C47A4">
              <w:rPr>
                <w:noProof/>
                <w:webHidden/>
              </w:rPr>
              <w:fldChar w:fldCharType="separate"/>
            </w:r>
            <w:r w:rsidR="004D7B96">
              <w:rPr>
                <w:noProof/>
                <w:webHidden/>
              </w:rPr>
              <w:t>297</w:t>
            </w:r>
            <w:r w:rsidR="005C47A4">
              <w:rPr>
                <w:noProof/>
                <w:webHidden/>
              </w:rPr>
              <w:fldChar w:fldCharType="end"/>
            </w:r>
          </w:hyperlink>
        </w:p>
        <w:p w14:paraId="5498F432" w14:textId="533FED14"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551" w:history="1">
            <w:r w:rsidR="005C47A4" w:rsidRPr="006B7CE2">
              <w:rPr>
                <w:rStyle w:val="Lienhypertexte"/>
                <w:noProof/>
              </w:rPr>
              <w:t>26.5</w:t>
            </w:r>
            <w:r w:rsidR="005C47A4">
              <w:rPr>
                <w:rFonts w:eastAsiaTheme="minorEastAsia"/>
                <w:noProof/>
                <w:kern w:val="2"/>
                <w:lang w:eastAsia="fr-FR"/>
                <w14:ligatures w14:val="standardContextual"/>
              </w:rPr>
              <w:tab/>
            </w:r>
            <w:r w:rsidR="005C47A4" w:rsidRPr="006B7CE2">
              <w:rPr>
                <w:rStyle w:val="Lienhypertexte"/>
                <w:noProof/>
              </w:rPr>
              <w:t>Schéma d'implantation d'une pépinière</w:t>
            </w:r>
            <w:r w:rsidR="005C47A4">
              <w:rPr>
                <w:noProof/>
                <w:webHidden/>
              </w:rPr>
              <w:tab/>
            </w:r>
            <w:r w:rsidR="005C47A4">
              <w:rPr>
                <w:noProof/>
                <w:webHidden/>
              </w:rPr>
              <w:fldChar w:fldCharType="begin"/>
            </w:r>
            <w:r w:rsidR="005C47A4">
              <w:rPr>
                <w:noProof/>
                <w:webHidden/>
              </w:rPr>
              <w:instrText xml:space="preserve"> PAGEREF _Toc139181551 \h </w:instrText>
            </w:r>
            <w:r w:rsidR="005C47A4">
              <w:rPr>
                <w:noProof/>
                <w:webHidden/>
              </w:rPr>
            </w:r>
            <w:r w:rsidR="005C47A4">
              <w:rPr>
                <w:noProof/>
                <w:webHidden/>
              </w:rPr>
              <w:fldChar w:fldCharType="separate"/>
            </w:r>
            <w:r w:rsidR="004D7B96">
              <w:rPr>
                <w:noProof/>
                <w:webHidden/>
              </w:rPr>
              <w:t>297</w:t>
            </w:r>
            <w:r w:rsidR="005C47A4">
              <w:rPr>
                <w:noProof/>
                <w:webHidden/>
              </w:rPr>
              <w:fldChar w:fldCharType="end"/>
            </w:r>
          </w:hyperlink>
        </w:p>
        <w:p w14:paraId="0ADD134F" w14:textId="2FADDF64"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552" w:history="1">
            <w:r w:rsidR="005C47A4" w:rsidRPr="006B7CE2">
              <w:rPr>
                <w:rStyle w:val="Lienhypertexte"/>
                <w:noProof/>
              </w:rPr>
              <w:t>26.6</w:t>
            </w:r>
            <w:r w:rsidR="005C47A4">
              <w:rPr>
                <w:rFonts w:eastAsiaTheme="minorEastAsia"/>
                <w:noProof/>
                <w:kern w:val="2"/>
                <w:lang w:eastAsia="fr-FR"/>
                <w14:ligatures w14:val="standardContextual"/>
              </w:rPr>
              <w:tab/>
            </w:r>
            <w:r w:rsidR="005C47A4" w:rsidRPr="006B7CE2">
              <w:rPr>
                <w:rStyle w:val="Lienhypertexte"/>
                <w:noProof/>
              </w:rPr>
              <w:t>Devis approximatif pépinière (terrain gratuit) (exemple)</w:t>
            </w:r>
            <w:r w:rsidR="005C47A4">
              <w:rPr>
                <w:noProof/>
                <w:webHidden/>
              </w:rPr>
              <w:tab/>
            </w:r>
            <w:r w:rsidR="005C47A4">
              <w:rPr>
                <w:noProof/>
                <w:webHidden/>
              </w:rPr>
              <w:fldChar w:fldCharType="begin"/>
            </w:r>
            <w:r w:rsidR="005C47A4">
              <w:rPr>
                <w:noProof/>
                <w:webHidden/>
              </w:rPr>
              <w:instrText xml:space="preserve"> PAGEREF _Toc139181552 \h </w:instrText>
            </w:r>
            <w:r w:rsidR="005C47A4">
              <w:rPr>
                <w:noProof/>
                <w:webHidden/>
              </w:rPr>
            </w:r>
            <w:r w:rsidR="005C47A4">
              <w:rPr>
                <w:noProof/>
                <w:webHidden/>
              </w:rPr>
              <w:fldChar w:fldCharType="separate"/>
            </w:r>
            <w:r w:rsidR="004D7B96">
              <w:rPr>
                <w:noProof/>
                <w:webHidden/>
              </w:rPr>
              <w:t>298</w:t>
            </w:r>
            <w:r w:rsidR="005C47A4">
              <w:rPr>
                <w:noProof/>
                <w:webHidden/>
              </w:rPr>
              <w:fldChar w:fldCharType="end"/>
            </w:r>
          </w:hyperlink>
        </w:p>
        <w:p w14:paraId="5E3A7BD0" w14:textId="424F2CFC"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553" w:history="1">
            <w:r w:rsidR="005C47A4" w:rsidRPr="006B7CE2">
              <w:rPr>
                <w:rStyle w:val="Lienhypertexte"/>
                <w:noProof/>
              </w:rPr>
              <w:t>26.7</w:t>
            </w:r>
            <w:r w:rsidR="005C47A4">
              <w:rPr>
                <w:rFonts w:eastAsiaTheme="minorEastAsia"/>
                <w:noProof/>
                <w:kern w:val="2"/>
                <w:lang w:eastAsia="fr-FR"/>
                <w14:ligatures w14:val="standardContextual"/>
              </w:rPr>
              <w:tab/>
            </w:r>
            <w:r w:rsidR="005C47A4" w:rsidRPr="006B7CE2">
              <w:rPr>
                <w:rStyle w:val="Lienhypertexte"/>
                <w:noProof/>
              </w:rPr>
              <w:t>Construction de la pépinière</w:t>
            </w:r>
            <w:r w:rsidR="005C47A4">
              <w:rPr>
                <w:noProof/>
                <w:webHidden/>
              </w:rPr>
              <w:tab/>
            </w:r>
            <w:r w:rsidR="005C47A4">
              <w:rPr>
                <w:noProof/>
                <w:webHidden/>
              </w:rPr>
              <w:fldChar w:fldCharType="begin"/>
            </w:r>
            <w:r w:rsidR="005C47A4">
              <w:rPr>
                <w:noProof/>
                <w:webHidden/>
              </w:rPr>
              <w:instrText xml:space="preserve"> PAGEREF _Toc139181553 \h </w:instrText>
            </w:r>
            <w:r w:rsidR="005C47A4">
              <w:rPr>
                <w:noProof/>
                <w:webHidden/>
              </w:rPr>
            </w:r>
            <w:r w:rsidR="005C47A4">
              <w:rPr>
                <w:noProof/>
                <w:webHidden/>
              </w:rPr>
              <w:fldChar w:fldCharType="separate"/>
            </w:r>
            <w:r w:rsidR="004D7B96">
              <w:rPr>
                <w:noProof/>
                <w:webHidden/>
              </w:rPr>
              <w:t>299</w:t>
            </w:r>
            <w:r w:rsidR="005C47A4">
              <w:rPr>
                <w:noProof/>
                <w:webHidden/>
              </w:rPr>
              <w:fldChar w:fldCharType="end"/>
            </w:r>
          </w:hyperlink>
        </w:p>
        <w:p w14:paraId="04ACCAA9" w14:textId="5874F0FF" w:rsidR="005C47A4" w:rsidRDefault="00000000">
          <w:pPr>
            <w:pStyle w:val="TM1"/>
            <w:tabs>
              <w:tab w:val="left" w:pos="660"/>
              <w:tab w:val="right" w:leader="dot" w:pos="10416"/>
            </w:tabs>
            <w:rPr>
              <w:rFonts w:eastAsiaTheme="minorEastAsia"/>
              <w:noProof/>
              <w:kern w:val="2"/>
              <w:lang w:eastAsia="fr-FR"/>
              <w14:ligatures w14:val="standardContextual"/>
            </w:rPr>
          </w:pPr>
          <w:hyperlink w:anchor="_Toc139181554" w:history="1">
            <w:r w:rsidR="005C47A4" w:rsidRPr="006B7CE2">
              <w:rPr>
                <w:rStyle w:val="Lienhypertexte"/>
                <w:noProof/>
              </w:rPr>
              <w:t>27</w:t>
            </w:r>
            <w:r w:rsidR="005C47A4">
              <w:rPr>
                <w:rFonts w:eastAsiaTheme="minorEastAsia"/>
                <w:noProof/>
                <w:kern w:val="2"/>
                <w:lang w:eastAsia="fr-FR"/>
                <w14:ligatures w14:val="standardContextual"/>
              </w:rPr>
              <w:tab/>
            </w:r>
            <w:r w:rsidR="005C47A4" w:rsidRPr="006B7CE2">
              <w:rPr>
                <w:rStyle w:val="Lienhypertexte"/>
                <w:noProof/>
              </w:rPr>
              <w:t>La gestion des pâturages (gestion pastorale)</w:t>
            </w:r>
            <w:r w:rsidR="005C47A4">
              <w:rPr>
                <w:noProof/>
                <w:webHidden/>
              </w:rPr>
              <w:tab/>
            </w:r>
            <w:r w:rsidR="005C47A4">
              <w:rPr>
                <w:noProof/>
                <w:webHidden/>
              </w:rPr>
              <w:fldChar w:fldCharType="begin"/>
            </w:r>
            <w:r w:rsidR="005C47A4">
              <w:rPr>
                <w:noProof/>
                <w:webHidden/>
              </w:rPr>
              <w:instrText xml:space="preserve"> PAGEREF _Toc139181554 \h </w:instrText>
            </w:r>
            <w:r w:rsidR="005C47A4">
              <w:rPr>
                <w:noProof/>
                <w:webHidden/>
              </w:rPr>
            </w:r>
            <w:r w:rsidR="005C47A4">
              <w:rPr>
                <w:noProof/>
                <w:webHidden/>
              </w:rPr>
              <w:fldChar w:fldCharType="separate"/>
            </w:r>
            <w:r w:rsidR="004D7B96">
              <w:rPr>
                <w:noProof/>
                <w:webHidden/>
              </w:rPr>
              <w:t>300</w:t>
            </w:r>
            <w:r w:rsidR="005C47A4">
              <w:rPr>
                <w:noProof/>
                <w:webHidden/>
              </w:rPr>
              <w:fldChar w:fldCharType="end"/>
            </w:r>
          </w:hyperlink>
        </w:p>
        <w:p w14:paraId="73E75EAD" w14:textId="6BE3C4C8"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555" w:history="1">
            <w:r w:rsidR="005C47A4" w:rsidRPr="006B7CE2">
              <w:rPr>
                <w:rStyle w:val="Lienhypertexte"/>
                <w:noProof/>
              </w:rPr>
              <w:t>27.1</w:t>
            </w:r>
            <w:r w:rsidR="005C47A4">
              <w:rPr>
                <w:rFonts w:eastAsiaTheme="minorEastAsia"/>
                <w:noProof/>
                <w:kern w:val="2"/>
                <w:lang w:eastAsia="fr-FR"/>
                <w14:ligatures w14:val="standardContextual"/>
              </w:rPr>
              <w:tab/>
            </w:r>
            <w:r w:rsidR="005C47A4" w:rsidRPr="006B7CE2">
              <w:rPr>
                <w:rStyle w:val="Lienhypertexte"/>
                <w:noProof/>
              </w:rPr>
              <w:t>Données écologiques sur les zones pastorales</w:t>
            </w:r>
            <w:r w:rsidR="005C47A4">
              <w:rPr>
                <w:noProof/>
                <w:webHidden/>
              </w:rPr>
              <w:tab/>
            </w:r>
            <w:r w:rsidR="005C47A4">
              <w:rPr>
                <w:noProof/>
                <w:webHidden/>
              </w:rPr>
              <w:fldChar w:fldCharType="begin"/>
            </w:r>
            <w:r w:rsidR="005C47A4">
              <w:rPr>
                <w:noProof/>
                <w:webHidden/>
              </w:rPr>
              <w:instrText xml:space="preserve"> PAGEREF _Toc139181555 \h </w:instrText>
            </w:r>
            <w:r w:rsidR="005C47A4">
              <w:rPr>
                <w:noProof/>
                <w:webHidden/>
              </w:rPr>
            </w:r>
            <w:r w:rsidR="005C47A4">
              <w:rPr>
                <w:noProof/>
                <w:webHidden/>
              </w:rPr>
              <w:fldChar w:fldCharType="separate"/>
            </w:r>
            <w:r w:rsidR="004D7B96">
              <w:rPr>
                <w:noProof/>
                <w:webHidden/>
              </w:rPr>
              <w:t>300</w:t>
            </w:r>
            <w:r w:rsidR="005C47A4">
              <w:rPr>
                <w:noProof/>
                <w:webHidden/>
              </w:rPr>
              <w:fldChar w:fldCharType="end"/>
            </w:r>
          </w:hyperlink>
        </w:p>
        <w:p w14:paraId="0E281646" w14:textId="70852F4F"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556" w:history="1">
            <w:r w:rsidR="005C47A4" w:rsidRPr="006B7CE2">
              <w:rPr>
                <w:rStyle w:val="Lienhypertexte"/>
                <w:noProof/>
              </w:rPr>
              <w:t>27.2</w:t>
            </w:r>
            <w:r w:rsidR="005C47A4">
              <w:rPr>
                <w:rFonts w:eastAsiaTheme="minorEastAsia"/>
                <w:noProof/>
                <w:kern w:val="2"/>
                <w:lang w:eastAsia="fr-FR"/>
                <w14:ligatures w14:val="standardContextual"/>
              </w:rPr>
              <w:tab/>
            </w:r>
            <w:r w:rsidR="005C47A4" w:rsidRPr="006B7CE2">
              <w:rPr>
                <w:rStyle w:val="Lienhypertexte"/>
                <w:noProof/>
              </w:rPr>
              <w:t>Les avantages du pastoralisme dans ces zones</w:t>
            </w:r>
            <w:r w:rsidR="005C47A4">
              <w:rPr>
                <w:noProof/>
                <w:webHidden/>
              </w:rPr>
              <w:tab/>
            </w:r>
            <w:r w:rsidR="005C47A4">
              <w:rPr>
                <w:noProof/>
                <w:webHidden/>
              </w:rPr>
              <w:fldChar w:fldCharType="begin"/>
            </w:r>
            <w:r w:rsidR="005C47A4">
              <w:rPr>
                <w:noProof/>
                <w:webHidden/>
              </w:rPr>
              <w:instrText xml:space="preserve"> PAGEREF _Toc139181556 \h </w:instrText>
            </w:r>
            <w:r w:rsidR="005C47A4">
              <w:rPr>
                <w:noProof/>
                <w:webHidden/>
              </w:rPr>
            </w:r>
            <w:r w:rsidR="005C47A4">
              <w:rPr>
                <w:noProof/>
                <w:webHidden/>
              </w:rPr>
              <w:fldChar w:fldCharType="separate"/>
            </w:r>
            <w:r w:rsidR="004D7B96">
              <w:rPr>
                <w:noProof/>
                <w:webHidden/>
              </w:rPr>
              <w:t>300</w:t>
            </w:r>
            <w:r w:rsidR="005C47A4">
              <w:rPr>
                <w:noProof/>
                <w:webHidden/>
              </w:rPr>
              <w:fldChar w:fldCharType="end"/>
            </w:r>
          </w:hyperlink>
        </w:p>
        <w:p w14:paraId="32EB45FC" w14:textId="5EDC847F"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557" w:history="1">
            <w:r w:rsidR="005C47A4" w:rsidRPr="006B7CE2">
              <w:rPr>
                <w:rStyle w:val="Lienhypertexte"/>
                <w:noProof/>
              </w:rPr>
              <w:t>27.1</w:t>
            </w:r>
            <w:r w:rsidR="005C47A4">
              <w:rPr>
                <w:rFonts w:eastAsiaTheme="minorEastAsia"/>
                <w:noProof/>
                <w:kern w:val="2"/>
                <w:lang w:eastAsia="fr-FR"/>
                <w14:ligatures w14:val="standardContextual"/>
              </w:rPr>
              <w:tab/>
            </w:r>
            <w:r w:rsidR="005C47A4" w:rsidRPr="006B7CE2">
              <w:rPr>
                <w:rStyle w:val="Lienhypertexte"/>
                <w:noProof/>
              </w:rPr>
              <w:t>Évolution des transhumances, augmentation de la distance des parcours</w:t>
            </w:r>
            <w:r w:rsidR="005C47A4">
              <w:rPr>
                <w:noProof/>
                <w:webHidden/>
              </w:rPr>
              <w:tab/>
            </w:r>
            <w:r w:rsidR="005C47A4">
              <w:rPr>
                <w:noProof/>
                <w:webHidden/>
              </w:rPr>
              <w:fldChar w:fldCharType="begin"/>
            </w:r>
            <w:r w:rsidR="005C47A4">
              <w:rPr>
                <w:noProof/>
                <w:webHidden/>
              </w:rPr>
              <w:instrText xml:space="preserve"> PAGEREF _Toc139181557 \h </w:instrText>
            </w:r>
            <w:r w:rsidR="005C47A4">
              <w:rPr>
                <w:noProof/>
                <w:webHidden/>
              </w:rPr>
            </w:r>
            <w:r w:rsidR="005C47A4">
              <w:rPr>
                <w:noProof/>
                <w:webHidden/>
              </w:rPr>
              <w:fldChar w:fldCharType="separate"/>
            </w:r>
            <w:r w:rsidR="004D7B96">
              <w:rPr>
                <w:noProof/>
                <w:webHidden/>
              </w:rPr>
              <w:t>301</w:t>
            </w:r>
            <w:r w:rsidR="005C47A4">
              <w:rPr>
                <w:noProof/>
                <w:webHidden/>
              </w:rPr>
              <w:fldChar w:fldCharType="end"/>
            </w:r>
          </w:hyperlink>
        </w:p>
        <w:p w14:paraId="06E8A420" w14:textId="76ECBC2B"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558" w:history="1">
            <w:r w:rsidR="005C47A4" w:rsidRPr="006B7CE2">
              <w:rPr>
                <w:rStyle w:val="Lienhypertexte"/>
                <w:noProof/>
              </w:rPr>
              <w:t>27.2</w:t>
            </w:r>
            <w:r w:rsidR="005C47A4">
              <w:rPr>
                <w:rFonts w:eastAsiaTheme="minorEastAsia"/>
                <w:noProof/>
                <w:kern w:val="2"/>
                <w:lang w:eastAsia="fr-FR"/>
                <w14:ligatures w14:val="standardContextual"/>
              </w:rPr>
              <w:tab/>
            </w:r>
            <w:r w:rsidR="005C47A4" w:rsidRPr="006B7CE2">
              <w:rPr>
                <w:rStyle w:val="Lienhypertexte"/>
                <w:noProof/>
              </w:rPr>
              <w:t>L’effet pervers des forages pour créer des points d’eau pour le bétail</w:t>
            </w:r>
            <w:r w:rsidR="005C47A4">
              <w:rPr>
                <w:noProof/>
                <w:webHidden/>
              </w:rPr>
              <w:tab/>
            </w:r>
            <w:r w:rsidR="005C47A4">
              <w:rPr>
                <w:noProof/>
                <w:webHidden/>
              </w:rPr>
              <w:fldChar w:fldCharType="begin"/>
            </w:r>
            <w:r w:rsidR="005C47A4">
              <w:rPr>
                <w:noProof/>
                <w:webHidden/>
              </w:rPr>
              <w:instrText xml:space="preserve"> PAGEREF _Toc139181558 \h </w:instrText>
            </w:r>
            <w:r w:rsidR="005C47A4">
              <w:rPr>
                <w:noProof/>
                <w:webHidden/>
              </w:rPr>
            </w:r>
            <w:r w:rsidR="005C47A4">
              <w:rPr>
                <w:noProof/>
                <w:webHidden/>
              </w:rPr>
              <w:fldChar w:fldCharType="separate"/>
            </w:r>
            <w:r w:rsidR="004D7B96">
              <w:rPr>
                <w:noProof/>
                <w:webHidden/>
              </w:rPr>
              <w:t>301</w:t>
            </w:r>
            <w:r w:rsidR="005C47A4">
              <w:rPr>
                <w:noProof/>
                <w:webHidden/>
              </w:rPr>
              <w:fldChar w:fldCharType="end"/>
            </w:r>
          </w:hyperlink>
        </w:p>
        <w:p w14:paraId="25ED0F5B" w14:textId="3E3DFE5E"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559" w:history="1">
            <w:r w:rsidR="005C47A4" w:rsidRPr="006B7CE2">
              <w:rPr>
                <w:rStyle w:val="Lienhypertexte"/>
                <w:noProof/>
              </w:rPr>
              <w:t>27.3</w:t>
            </w:r>
            <w:r w:rsidR="005C47A4">
              <w:rPr>
                <w:rFonts w:eastAsiaTheme="minorEastAsia"/>
                <w:noProof/>
                <w:kern w:val="2"/>
                <w:lang w:eastAsia="fr-FR"/>
                <w14:ligatures w14:val="standardContextual"/>
              </w:rPr>
              <w:tab/>
            </w:r>
            <w:r w:rsidR="005C47A4" w:rsidRPr="006B7CE2">
              <w:rPr>
                <w:rStyle w:val="Lienhypertexte"/>
                <w:noProof/>
              </w:rPr>
              <w:t>Le difficile respect des lois édictées pour les itinéraires transhumants</w:t>
            </w:r>
            <w:r w:rsidR="005C47A4">
              <w:rPr>
                <w:noProof/>
                <w:webHidden/>
              </w:rPr>
              <w:tab/>
            </w:r>
            <w:r w:rsidR="005C47A4">
              <w:rPr>
                <w:noProof/>
                <w:webHidden/>
              </w:rPr>
              <w:fldChar w:fldCharType="begin"/>
            </w:r>
            <w:r w:rsidR="005C47A4">
              <w:rPr>
                <w:noProof/>
                <w:webHidden/>
              </w:rPr>
              <w:instrText xml:space="preserve"> PAGEREF _Toc139181559 \h </w:instrText>
            </w:r>
            <w:r w:rsidR="005C47A4">
              <w:rPr>
                <w:noProof/>
                <w:webHidden/>
              </w:rPr>
            </w:r>
            <w:r w:rsidR="005C47A4">
              <w:rPr>
                <w:noProof/>
                <w:webHidden/>
              </w:rPr>
              <w:fldChar w:fldCharType="separate"/>
            </w:r>
            <w:r w:rsidR="004D7B96">
              <w:rPr>
                <w:noProof/>
                <w:webHidden/>
              </w:rPr>
              <w:t>304</w:t>
            </w:r>
            <w:r w:rsidR="005C47A4">
              <w:rPr>
                <w:noProof/>
                <w:webHidden/>
              </w:rPr>
              <w:fldChar w:fldCharType="end"/>
            </w:r>
          </w:hyperlink>
        </w:p>
        <w:p w14:paraId="1272E496" w14:textId="19B070B0"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560" w:history="1">
            <w:r w:rsidR="005C47A4" w:rsidRPr="006B7CE2">
              <w:rPr>
                <w:rStyle w:val="Lienhypertexte"/>
                <w:noProof/>
              </w:rPr>
              <w:t>27.4</w:t>
            </w:r>
            <w:r w:rsidR="005C47A4">
              <w:rPr>
                <w:rFonts w:eastAsiaTheme="minorEastAsia"/>
                <w:noProof/>
                <w:kern w:val="2"/>
                <w:lang w:eastAsia="fr-FR"/>
                <w14:ligatures w14:val="standardContextual"/>
              </w:rPr>
              <w:tab/>
            </w:r>
            <w:r w:rsidR="005C47A4" w:rsidRPr="006B7CE2">
              <w:rPr>
                <w:rStyle w:val="Lienhypertexte"/>
                <w:noProof/>
              </w:rPr>
              <w:t>Les avantages réciproques de la coopération éleveurs agriculteurs</w:t>
            </w:r>
            <w:r w:rsidR="005C47A4">
              <w:rPr>
                <w:noProof/>
                <w:webHidden/>
              </w:rPr>
              <w:tab/>
            </w:r>
            <w:r w:rsidR="005C47A4">
              <w:rPr>
                <w:noProof/>
                <w:webHidden/>
              </w:rPr>
              <w:fldChar w:fldCharType="begin"/>
            </w:r>
            <w:r w:rsidR="005C47A4">
              <w:rPr>
                <w:noProof/>
                <w:webHidden/>
              </w:rPr>
              <w:instrText xml:space="preserve"> PAGEREF _Toc139181560 \h </w:instrText>
            </w:r>
            <w:r w:rsidR="005C47A4">
              <w:rPr>
                <w:noProof/>
                <w:webHidden/>
              </w:rPr>
            </w:r>
            <w:r w:rsidR="005C47A4">
              <w:rPr>
                <w:noProof/>
                <w:webHidden/>
              </w:rPr>
              <w:fldChar w:fldCharType="separate"/>
            </w:r>
            <w:r w:rsidR="004D7B96">
              <w:rPr>
                <w:noProof/>
                <w:webHidden/>
              </w:rPr>
              <w:t>305</w:t>
            </w:r>
            <w:r w:rsidR="005C47A4">
              <w:rPr>
                <w:noProof/>
                <w:webHidden/>
              </w:rPr>
              <w:fldChar w:fldCharType="end"/>
            </w:r>
          </w:hyperlink>
        </w:p>
        <w:p w14:paraId="5CB80FC1" w14:textId="43F983F0"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561" w:history="1">
            <w:r w:rsidR="005C47A4" w:rsidRPr="006B7CE2">
              <w:rPr>
                <w:rStyle w:val="Lienhypertexte"/>
                <w:noProof/>
              </w:rPr>
              <w:t>27.5</w:t>
            </w:r>
            <w:r w:rsidR="005C47A4">
              <w:rPr>
                <w:rFonts w:eastAsiaTheme="minorEastAsia"/>
                <w:noProof/>
                <w:kern w:val="2"/>
                <w:lang w:eastAsia="fr-FR"/>
                <w14:ligatures w14:val="standardContextual"/>
              </w:rPr>
              <w:tab/>
            </w:r>
            <w:r w:rsidR="005C47A4" w:rsidRPr="006B7CE2">
              <w:rPr>
                <w:rStyle w:val="Lienhypertexte"/>
                <w:noProof/>
              </w:rPr>
              <w:t>Les conflits entre cultivateurs et pasteurs</w:t>
            </w:r>
            <w:r w:rsidR="005C47A4">
              <w:rPr>
                <w:noProof/>
                <w:webHidden/>
              </w:rPr>
              <w:tab/>
            </w:r>
            <w:r w:rsidR="005C47A4">
              <w:rPr>
                <w:noProof/>
                <w:webHidden/>
              </w:rPr>
              <w:fldChar w:fldCharType="begin"/>
            </w:r>
            <w:r w:rsidR="005C47A4">
              <w:rPr>
                <w:noProof/>
                <w:webHidden/>
              </w:rPr>
              <w:instrText xml:space="preserve"> PAGEREF _Toc139181561 \h </w:instrText>
            </w:r>
            <w:r w:rsidR="005C47A4">
              <w:rPr>
                <w:noProof/>
                <w:webHidden/>
              </w:rPr>
            </w:r>
            <w:r w:rsidR="005C47A4">
              <w:rPr>
                <w:noProof/>
                <w:webHidden/>
              </w:rPr>
              <w:fldChar w:fldCharType="separate"/>
            </w:r>
            <w:r w:rsidR="004D7B96">
              <w:rPr>
                <w:noProof/>
                <w:webHidden/>
              </w:rPr>
              <w:t>305</w:t>
            </w:r>
            <w:r w:rsidR="005C47A4">
              <w:rPr>
                <w:noProof/>
                <w:webHidden/>
              </w:rPr>
              <w:fldChar w:fldCharType="end"/>
            </w:r>
          </w:hyperlink>
        </w:p>
        <w:p w14:paraId="1C4140F9" w14:textId="0C466807" w:rsidR="005C47A4" w:rsidRDefault="00000000">
          <w:pPr>
            <w:pStyle w:val="TM3"/>
            <w:tabs>
              <w:tab w:val="left" w:pos="1320"/>
              <w:tab w:val="right" w:leader="dot" w:pos="10416"/>
            </w:tabs>
            <w:rPr>
              <w:rFonts w:eastAsiaTheme="minorEastAsia"/>
              <w:noProof/>
              <w:kern w:val="2"/>
              <w:lang w:eastAsia="fr-FR"/>
              <w14:ligatures w14:val="standardContextual"/>
            </w:rPr>
          </w:pPr>
          <w:hyperlink w:anchor="_Toc139181562" w:history="1">
            <w:r w:rsidR="005C47A4" w:rsidRPr="006B7CE2">
              <w:rPr>
                <w:rStyle w:val="Lienhypertexte"/>
                <w:noProof/>
              </w:rPr>
              <w:t>27.5.1</w:t>
            </w:r>
            <w:r w:rsidR="005C47A4">
              <w:rPr>
                <w:rFonts w:eastAsiaTheme="minorEastAsia"/>
                <w:noProof/>
                <w:kern w:val="2"/>
                <w:lang w:eastAsia="fr-FR"/>
                <w14:ligatures w14:val="standardContextual"/>
              </w:rPr>
              <w:tab/>
            </w:r>
            <w:r w:rsidR="005C47A4" w:rsidRPr="006B7CE2">
              <w:rPr>
                <w:rStyle w:val="Lienhypertexte"/>
                <w:noProof/>
              </w:rPr>
              <w:t>Au sahel</w:t>
            </w:r>
            <w:r w:rsidR="005C47A4">
              <w:rPr>
                <w:noProof/>
                <w:webHidden/>
              </w:rPr>
              <w:tab/>
            </w:r>
            <w:r w:rsidR="005C47A4">
              <w:rPr>
                <w:noProof/>
                <w:webHidden/>
              </w:rPr>
              <w:fldChar w:fldCharType="begin"/>
            </w:r>
            <w:r w:rsidR="005C47A4">
              <w:rPr>
                <w:noProof/>
                <w:webHidden/>
              </w:rPr>
              <w:instrText xml:space="preserve"> PAGEREF _Toc139181562 \h </w:instrText>
            </w:r>
            <w:r w:rsidR="005C47A4">
              <w:rPr>
                <w:noProof/>
                <w:webHidden/>
              </w:rPr>
            </w:r>
            <w:r w:rsidR="005C47A4">
              <w:rPr>
                <w:noProof/>
                <w:webHidden/>
              </w:rPr>
              <w:fldChar w:fldCharType="separate"/>
            </w:r>
            <w:r w:rsidR="004D7B96">
              <w:rPr>
                <w:noProof/>
                <w:webHidden/>
              </w:rPr>
              <w:t>305</w:t>
            </w:r>
            <w:r w:rsidR="005C47A4">
              <w:rPr>
                <w:noProof/>
                <w:webHidden/>
              </w:rPr>
              <w:fldChar w:fldCharType="end"/>
            </w:r>
          </w:hyperlink>
        </w:p>
        <w:p w14:paraId="0E664C7A" w14:textId="327058E6"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563" w:history="1">
            <w:r w:rsidR="005C47A4" w:rsidRPr="006B7CE2">
              <w:rPr>
                <w:rStyle w:val="Lienhypertexte"/>
                <w:noProof/>
              </w:rPr>
              <w:t>27.6</w:t>
            </w:r>
            <w:r w:rsidR="005C47A4">
              <w:rPr>
                <w:rFonts w:eastAsiaTheme="minorEastAsia"/>
                <w:noProof/>
                <w:kern w:val="2"/>
                <w:lang w:eastAsia="fr-FR"/>
                <w14:ligatures w14:val="standardContextual"/>
              </w:rPr>
              <w:tab/>
            </w:r>
            <w:r w:rsidR="005C47A4" w:rsidRPr="006B7CE2">
              <w:rPr>
                <w:rStyle w:val="Lienhypertexte"/>
                <w:noProof/>
              </w:rPr>
              <w:t>La difficile gestion des prairies et steppes des zones arides</w:t>
            </w:r>
            <w:r w:rsidR="005C47A4">
              <w:rPr>
                <w:noProof/>
                <w:webHidden/>
              </w:rPr>
              <w:tab/>
            </w:r>
            <w:r w:rsidR="005C47A4">
              <w:rPr>
                <w:noProof/>
                <w:webHidden/>
              </w:rPr>
              <w:fldChar w:fldCharType="begin"/>
            </w:r>
            <w:r w:rsidR="005C47A4">
              <w:rPr>
                <w:noProof/>
                <w:webHidden/>
              </w:rPr>
              <w:instrText xml:space="preserve"> PAGEREF _Toc139181563 \h </w:instrText>
            </w:r>
            <w:r w:rsidR="005C47A4">
              <w:rPr>
                <w:noProof/>
                <w:webHidden/>
              </w:rPr>
            </w:r>
            <w:r w:rsidR="005C47A4">
              <w:rPr>
                <w:noProof/>
                <w:webHidden/>
              </w:rPr>
              <w:fldChar w:fldCharType="separate"/>
            </w:r>
            <w:r w:rsidR="004D7B96">
              <w:rPr>
                <w:noProof/>
                <w:webHidden/>
              </w:rPr>
              <w:t>307</w:t>
            </w:r>
            <w:r w:rsidR="005C47A4">
              <w:rPr>
                <w:noProof/>
                <w:webHidden/>
              </w:rPr>
              <w:fldChar w:fldCharType="end"/>
            </w:r>
          </w:hyperlink>
        </w:p>
        <w:p w14:paraId="0590AAC2" w14:textId="3406BECC" w:rsidR="005C47A4" w:rsidRDefault="00000000">
          <w:pPr>
            <w:pStyle w:val="TM3"/>
            <w:tabs>
              <w:tab w:val="left" w:pos="1320"/>
              <w:tab w:val="right" w:leader="dot" w:pos="10416"/>
            </w:tabs>
            <w:rPr>
              <w:rFonts w:eastAsiaTheme="minorEastAsia"/>
              <w:noProof/>
              <w:kern w:val="2"/>
              <w:lang w:eastAsia="fr-FR"/>
              <w14:ligatures w14:val="standardContextual"/>
            </w:rPr>
          </w:pPr>
          <w:hyperlink w:anchor="_Toc139181564" w:history="1">
            <w:r w:rsidR="005C47A4" w:rsidRPr="006B7CE2">
              <w:rPr>
                <w:rStyle w:val="Lienhypertexte"/>
                <w:noProof/>
              </w:rPr>
              <w:t>27.6.1</w:t>
            </w:r>
            <w:r w:rsidR="005C47A4">
              <w:rPr>
                <w:rFonts w:eastAsiaTheme="minorEastAsia"/>
                <w:noProof/>
                <w:kern w:val="2"/>
                <w:lang w:eastAsia="fr-FR"/>
                <w14:ligatures w14:val="standardContextual"/>
              </w:rPr>
              <w:tab/>
            </w:r>
            <w:r w:rsidR="005C47A4" w:rsidRPr="006B7CE2">
              <w:rPr>
                <w:rStyle w:val="Lienhypertexte"/>
                <w:noProof/>
              </w:rPr>
              <w:t>Constat</w:t>
            </w:r>
            <w:r w:rsidR="005C47A4">
              <w:rPr>
                <w:noProof/>
                <w:webHidden/>
              </w:rPr>
              <w:tab/>
            </w:r>
            <w:r w:rsidR="005C47A4">
              <w:rPr>
                <w:noProof/>
                <w:webHidden/>
              </w:rPr>
              <w:fldChar w:fldCharType="begin"/>
            </w:r>
            <w:r w:rsidR="005C47A4">
              <w:rPr>
                <w:noProof/>
                <w:webHidden/>
              </w:rPr>
              <w:instrText xml:space="preserve"> PAGEREF _Toc139181564 \h </w:instrText>
            </w:r>
            <w:r w:rsidR="005C47A4">
              <w:rPr>
                <w:noProof/>
                <w:webHidden/>
              </w:rPr>
            </w:r>
            <w:r w:rsidR="005C47A4">
              <w:rPr>
                <w:noProof/>
                <w:webHidden/>
              </w:rPr>
              <w:fldChar w:fldCharType="separate"/>
            </w:r>
            <w:r w:rsidR="004D7B96">
              <w:rPr>
                <w:noProof/>
                <w:webHidden/>
              </w:rPr>
              <w:t>307</w:t>
            </w:r>
            <w:r w:rsidR="005C47A4">
              <w:rPr>
                <w:noProof/>
                <w:webHidden/>
              </w:rPr>
              <w:fldChar w:fldCharType="end"/>
            </w:r>
          </w:hyperlink>
        </w:p>
        <w:p w14:paraId="19F37E10" w14:textId="7E8A6A0E" w:rsidR="005C47A4" w:rsidRDefault="00000000">
          <w:pPr>
            <w:pStyle w:val="TM3"/>
            <w:tabs>
              <w:tab w:val="left" w:pos="1320"/>
              <w:tab w:val="right" w:leader="dot" w:pos="10416"/>
            </w:tabs>
            <w:rPr>
              <w:rFonts w:eastAsiaTheme="minorEastAsia"/>
              <w:noProof/>
              <w:kern w:val="2"/>
              <w:lang w:eastAsia="fr-FR"/>
              <w14:ligatures w14:val="standardContextual"/>
            </w:rPr>
          </w:pPr>
          <w:hyperlink w:anchor="_Toc139181565" w:history="1">
            <w:r w:rsidR="005C47A4" w:rsidRPr="006B7CE2">
              <w:rPr>
                <w:rStyle w:val="Lienhypertexte"/>
                <w:noProof/>
              </w:rPr>
              <w:t>27.6.2</w:t>
            </w:r>
            <w:r w:rsidR="005C47A4">
              <w:rPr>
                <w:rFonts w:eastAsiaTheme="minorEastAsia"/>
                <w:noProof/>
                <w:kern w:val="2"/>
                <w:lang w:eastAsia="fr-FR"/>
                <w14:ligatures w14:val="standardContextual"/>
              </w:rPr>
              <w:tab/>
            </w:r>
            <w:r w:rsidR="005C47A4" w:rsidRPr="006B7CE2">
              <w:rPr>
                <w:rStyle w:val="Lienhypertexte"/>
                <w:noProof/>
              </w:rPr>
              <w:t>Résultats</w:t>
            </w:r>
            <w:r w:rsidR="005C47A4">
              <w:rPr>
                <w:noProof/>
                <w:webHidden/>
              </w:rPr>
              <w:tab/>
            </w:r>
            <w:r w:rsidR="005C47A4">
              <w:rPr>
                <w:noProof/>
                <w:webHidden/>
              </w:rPr>
              <w:fldChar w:fldCharType="begin"/>
            </w:r>
            <w:r w:rsidR="005C47A4">
              <w:rPr>
                <w:noProof/>
                <w:webHidden/>
              </w:rPr>
              <w:instrText xml:space="preserve"> PAGEREF _Toc139181565 \h </w:instrText>
            </w:r>
            <w:r w:rsidR="005C47A4">
              <w:rPr>
                <w:noProof/>
                <w:webHidden/>
              </w:rPr>
            </w:r>
            <w:r w:rsidR="005C47A4">
              <w:rPr>
                <w:noProof/>
                <w:webHidden/>
              </w:rPr>
              <w:fldChar w:fldCharType="separate"/>
            </w:r>
            <w:r w:rsidR="004D7B96">
              <w:rPr>
                <w:noProof/>
                <w:webHidden/>
              </w:rPr>
              <w:t>307</w:t>
            </w:r>
            <w:r w:rsidR="005C47A4">
              <w:rPr>
                <w:noProof/>
                <w:webHidden/>
              </w:rPr>
              <w:fldChar w:fldCharType="end"/>
            </w:r>
          </w:hyperlink>
        </w:p>
        <w:p w14:paraId="2D37FE63" w14:textId="4B483071" w:rsidR="005C47A4" w:rsidRDefault="00000000">
          <w:pPr>
            <w:pStyle w:val="TM3"/>
            <w:tabs>
              <w:tab w:val="left" w:pos="1320"/>
              <w:tab w:val="right" w:leader="dot" w:pos="10416"/>
            </w:tabs>
            <w:rPr>
              <w:rFonts w:eastAsiaTheme="minorEastAsia"/>
              <w:noProof/>
              <w:kern w:val="2"/>
              <w:lang w:eastAsia="fr-FR"/>
              <w14:ligatures w14:val="standardContextual"/>
            </w:rPr>
          </w:pPr>
          <w:hyperlink w:anchor="_Toc139181566" w:history="1">
            <w:r w:rsidR="005C47A4" w:rsidRPr="006B7CE2">
              <w:rPr>
                <w:rStyle w:val="Lienhypertexte"/>
                <w:noProof/>
              </w:rPr>
              <w:t>27.6.3</w:t>
            </w:r>
            <w:r w:rsidR="005C47A4">
              <w:rPr>
                <w:rFonts w:eastAsiaTheme="minorEastAsia"/>
                <w:noProof/>
                <w:kern w:val="2"/>
                <w:lang w:eastAsia="fr-FR"/>
                <w14:ligatures w14:val="standardContextual"/>
              </w:rPr>
              <w:tab/>
            </w:r>
            <w:r w:rsidR="005C47A4" w:rsidRPr="006B7CE2">
              <w:rPr>
                <w:rStyle w:val="Lienhypertexte"/>
                <w:noProof/>
              </w:rPr>
              <w:t>Quels étaient les buts de la politique des ZP ?</w:t>
            </w:r>
            <w:r w:rsidR="005C47A4">
              <w:rPr>
                <w:noProof/>
                <w:webHidden/>
              </w:rPr>
              <w:tab/>
            </w:r>
            <w:r w:rsidR="005C47A4">
              <w:rPr>
                <w:noProof/>
                <w:webHidden/>
              </w:rPr>
              <w:fldChar w:fldCharType="begin"/>
            </w:r>
            <w:r w:rsidR="005C47A4">
              <w:rPr>
                <w:noProof/>
                <w:webHidden/>
              </w:rPr>
              <w:instrText xml:space="preserve"> PAGEREF _Toc139181566 \h </w:instrText>
            </w:r>
            <w:r w:rsidR="005C47A4">
              <w:rPr>
                <w:noProof/>
                <w:webHidden/>
              </w:rPr>
            </w:r>
            <w:r w:rsidR="005C47A4">
              <w:rPr>
                <w:noProof/>
                <w:webHidden/>
              </w:rPr>
              <w:fldChar w:fldCharType="separate"/>
            </w:r>
            <w:r w:rsidR="004D7B96">
              <w:rPr>
                <w:noProof/>
                <w:webHidden/>
              </w:rPr>
              <w:t>308</w:t>
            </w:r>
            <w:r w:rsidR="005C47A4">
              <w:rPr>
                <w:noProof/>
                <w:webHidden/>
              </w:rPr>
              <w:fldChar w:fldCharType="end"/>
            </w:r>
          </w:hyperlink>
        </w:p>
        <w:p w14:paraId="5826D5E2" w14:textId="1735FB5B"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567" w:history="1">
            <w:r w:rsidR="005C47A4" w:rsidRPr="006B7CE2">
              <w:rPr>
                <w:rStyle w:val="Lienhypertexte"/>
                <w:noProof/>
              </w:rPr>
              <w:t>27.7</w:t>
            </w:r>
            <w:r w:rsidR="005C47A4">
              <w:rPr>
                <w:rFonts w:eastAsiaTheme="minorEastAsia"/>
                <w:noProof/>
                <w:kern w:val="2"/>
                <w:lang w:eastAsia="fr-FR"/>
                <w14:ligatures w14:val="standardContextual"/>
              </w:rPr>
              <w:tab/>
            </w:r>
            <w:r w:rsidR="005C47A4" w:rsidRPr="006B7CE2">
              <w:rPr>
                <w:rStyle w:val="Lienhypertexte"/>
                <w:noProof/>
              </w:rPr>
              <w:t>Quelles solutions ?</w:t>
            </w:r>
            <w:r w:rsidR="005C47A4">
              <w:rPr>
                <w:noProof/>
                <w:webHidden/>
              </w:rPr>
              <w:tab/>
            </w:r>
            <w:r w:rsidR="005C47A4">
              <w:rPr>
                <w:noProof/>
                <w:webHidden/>
              </w:rPr>
              <w:fldChar w:fldCharType="begin"/>
            </w:r>
            <w:r w:rsidR="005C47A4">
              <w:rPr>
                <w:noProof/>
                <w:webHidden/>
              </w:rPr>
              <w:instrText xml:space="preserve"> PAGEREF _Toc139181567 \h </w:instrText>
            </w:r>
            <w:r w:rsidR="005C47A4">
              <w:rPr>
                <w:noProof/>
                <w:webHidden/>
              </w:rPr>
            </w:r>
            <w:r w:rsidR="005C47A4">
              <w:rPr>
                <w:noProof/>
                <w:webHidden/>
              </w:rPr>
              <w:fldChar w:fldCharType="separate"/>
            </w:r>
            <w:r w:rsidR="004D7B96">
              <w:rPr>
                <w:noProof/>
                <w:webHidden/>
              </w:rPr>
              <w:t>308</w:t>
            </w:r>
            <w:r w:rsidR="005C47A4">
              <w:rPr>
                <w:noProof/>
                <w:webHidden/>
              </w:rPr>
              <w:fldChar w:fldCharType="end"/>
            </w:r>
          </w:hyperlink>
        </w:p>
        <w:p w14:paraId="64E82899" w14:textId="3912DD4F"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568" w:history="1">
            <w:r w:rsidR="005C47A4" w:rsidRPr="006B7CE2">
              <w:rPr>
                <w:rStyle w:val="Lienhypertexte"/>
                <w:noProof/>
              </w:rPr>
              <w:t>27.8</w:t>
            </w:r>
            <w:r w:rsidR="005C47A4">
              <w:rPr>
                <w:rFonts w:eastAsiaTheme="minorEastAsia"/>
                <w:noProof/>
                <w:kern w:val="2"/>
                <w:lang w:eastAsia="fr-FR"/>
                <w14:ligatures w14:val="standardContextual"/>
              </w:rPr>
              <w:tab/>
            </w:r>
            <w:r w:rsidR="005C47A4" w:rsidRPr="006B7CE2">
              <w:rPr>
                <w:rStyle w:val="Lienhypertexte"/>
                <w:noProof/>
              </w:rPr>
              <w:t>Solutions pour la bonne gestion des ressources et des conflits agriculteurs et éleveurs</w:t>
            </w:r>
            <w:r w:rsidR="005C47A4">
              <w:rPr>
                <w:noProof/>
                <w:webHidden/>
              </w:rPr>
              <w:tab/>
            </w:r>
            <w:r w:rsidR="005C47A4">
              <w:rPr>
                <w:noProof/>
                <w:webHidden/>
              </w:rPr>
              <w:fldChar w:fldCharType="begin"/>
            </w:r>
            <w:r w:rsidR="005C47A4">
              <w:rPr>
                <w:noProof/>
                <w:webHidden/>
              </w:rPr>
              <w:instrText xml:space="preserve"> PAGEREF _Toc139181568 \h </w:instrText>
            </w:r>
            <w:r w:rsidR="005C47A4">
              <w:rPr>
                <w:noProof/>
                <w:webHidden/>
              </w:rPr>
            </w:r>
            <w:r w:rsidR="005C47A4">
              <w:rPr>
                <w:noProof/>
                <w:webHidden/>
              </w:rPr>
              <w:fldChar w:fldCharType="separate"/>
            </w:r>
            <w:r w:rsidR="004D7B96">
              <w:rPr>
                <w:noProof/>
                <w:webHidden/>
              </w:rPr>
              <w:t>309</w:t>
            </w:r>
            <w:r w:rsidR="005C47A4">
              <w:rPr>
                <w:noProof/>
                <w:webHidden/>
              </w:rPr>
              <w:fldChar w:fldCharType="end"/>
            </w:r>
          </w:hyperlink>
        </w:p>
        <w:p w14:paraId="396A6C32" w14:textId="3A4F360B" w:rsidR="005C47A4" w:rsidRDefault="00000000">
          <w:pPr>
            <w:pStyle w:val="TM3"/>
            <w:tabs>
              <w:tab w:val="left" w:pos="1320"/>
              <w:tab w:val="right" w:leader="dot" w:pos="10416"/>
            </w:tabs>
            <w:rPr>
              <w:rFonts w:eastAsiaTheme="minorEastAsia"/>
              <w:noProof/>
              <w:kern w:val="2"/>
              <w:lang w:eastAsia="fr-FR"/>
              <w14:ligatures w14:val="standardContextual"/>
            </w:rPr>
          </w:pPr>
          <w:hyperlink w:anchor="_Toc139181569" w:history="1">
            <w:r w:rsidR="005C47A4" w:rsidRPr="006B7CE2">
              <w:rPr>
                <w:rStyle w:val="Lienhypertexte"/>
                <w:noProof/>
              </w:rPr>
              <w:t>27.8.1</w:t>
            </w:r>
            <w:r w:rsidR="005C47A4">
              <w:rPr>
                <w:rFonts w:eastAsiaTheme="minorEastAsia"/>
                <w:noProof/>
                <w:kern w:val="2"/>
                <w:lang w:eastAsia="fr-FR"/>
                <w14:ligatures w14:val="standardContextual"/>
              </w:rPr>
              <w:tab/>
            </w:r>
            <w:r w:rsidR="005C47A4" w:rsidRPr="006B7CE2">
              <w:rPr>
                <w:rStyle w:val="Lienhypertexte"/>
                <w:noProof/>
              </w:rPr>
              <w:t>Faire appel à la science</w:t>
            </w:r>
            <w:r w:rsidR="005C47A4">
              <w:rPr>
                <w:noProof/>
                <w:webHidden/>
              </w:rPr>
              <w:tab/>
            </w:r>
            <w:r w:rsidR="005C47A4">
              <w:rPr>
                <w:noProof/>
                <w:webHidden/>
              </w:rPr>
              <w:fldChar w:fldCharType="begin"/>
            </w:r>
            <w:r w:rsidR="005C47A4">
              <w:rPr>
                <w:noProof/>
                <w:webHidden/>
              </w:rPr>
              <w:instrText xml:space="preserve"> PAGEREF _Toc139181569 \h </w:instrText>
            </w:r>
            <w:r w:rsidR="005C47A4">
              <w:rPr>
                <w:noProof/>
                <w:webHidden/>
              </w:rPr>
            </w:r>
            <w:r w:rsidR="005C47A4">
              <w:rPr>
                <w:noProof/>
                <w:webHidden/>
              </w:rPr>
              <w:fldChar w:fldCharType="separate"/>
            </w:r>
            <w:r w:rsidR="004D7B96">
              <w:rPr>
                <w:noProof/>
                <w:webHidden/>
              </w:rPr>
              <w:t>309</w:t>
            </w:r>
            <w:r w:rsidR="005C47A4">
              <w:rPr>
                <w:noProof/>
                <w:webHidden/>
              </w:rPr>
              <w:fldChar w:fldCharType="end"/>
            </w:r>
          </w:hyperlink>
        </w:p>
        <w:p w14:paraId="42C5823F" w14:textId="21076730" w:rsidR="005C47A4" w:rsidRDefault="00000000">
          <w:pPr>
            <w:pStyle w:val="TM3"/>
            <w:tabs>
              <w:tab w:val="left" w:pos="1320"/>
              <w:tab w:val="right" w:leader="dot" w:pos="10416"/>
            </w:tabs>
            <w:rPr>
              <w:rFonts w:eastAsiaTheme="minorEastAsia"/>
              <w:noProof/>
              <w:kern w:val="2"/>
              <w:lang w:eastAsia="fr-FR"/>
              <w14:ligatures w14:val="standardContextual"/>
            </w:rPr>
          </w:pPr>
          <w:hyperlink w:anchor="_Toc139181570" w:history="1">
            <w:r w:rsidR="005C47A4" w:rsidRPr="006B7CE2">
              <w:rPr>
                <w:rStyle w:val="Lienhypertexte"/>
                <w:noProof/>
              </w:rPr>
              <w:t>27.8.2</w:t>
            </w:r>
            <w:r w:rsidR="005C47A4">
              <w:rPr>
                <w:rFonts w:eastAsiaTheme="minorEastAsia"/>
                <w:noProof/>
                <w:kern w:val="2"/>
                <w:lang w:eastAsia="fr-FR"/>
                <w14:ligatures w14:val="standardContextual"/>
              </w:rPr>
              <w:tab/>
            </w:r>
            <w:r w:rsidR="005C47A4" w:rsidRPr="006B7CE2">
              <w:rPr>
                <w:rStyle w:val="Lienhypertexte"/>
                <w:noProof/>
              </w:rPr>
              <w:t>Suggestions des ONG SOS Sahel, IIED</w:t>
            </w:r>
            <w:r w:rsidR="005C47A4">
              <w:rPr>
                <w:noProof/>
                <w:webHidden/>
              </w:rPr>
              <w:tab/>
            </w:r>
            <w:r w:rsidR="005C47A4">
              <w:rPr>
                <w:noProof/>
                <w:webHidden/>
              </w:rPr>
              <w:fldChar w:fldCharType="begin"/>
            </w:r>
            <w:r w:rsidR="005C47A4">
              <w:rPr>
                <w:noProof/>
                <w:webHidden/>
              </w:rPr>
              <w:instrText xml:space="preserve"> PAGEREF _Toc139181570 \h </w:instrText>
            </w:r>
            <w:r w:rsidR="005C47A4">
              <w:rPr>
                <w:noProof/>
                <w:webHidden/>
              </w:rPr>
            </w:r>
            <w:r w:rsidR="005C47A4">
              <w:rPr>
                <w:noProof/>
                <w:webHidden/>
              </w:rPr>
              <w:fldChar w:fldCharType="separate"/>
            </w:r>
            <w:r w:rsidR="004D7B96">
              <w:rPr>
                <w:noProof/>
                <w:webHidden/>
              </w:rPr>
              <w:t>310</w:t>
            </w:r>
            <w:r w:rsidR="005C47A4">
              <w:rPr>
                <w:noProof/>
                <w:webHidden/>
              </w:rPr>
              <w:fldChar w:fldCharType="end"/>
            </w:r>
          </w:hyperlink>
        </w:p>
        <w:p w14:paraId="2E227AB0" w14:textId="256726CF" w:rsidR="005C47A4" w:rsidRDefault="00000000">
          <w:pPr>
            <w:pStyle w:val="TM3"/>
            <w:tabs>
              <w:tab w:val="left" w:pos="1320"/>
              <w:tab w:val="right" w:leader="dot" w:pos="10416"/>
            </w:tabs>
            <w:rPr>
              <w:rFonts w:eastAsiaTheme="minorEastAsia"/>
              <w:noProof/>
              <w:kern w:val="2"/>
              <w:lang w:eastAsia="fr-FR"/>
              <w14:ligatures w14:val="standardContextual"/>
            </w:rPr>
          </w:pPr>
          <w:hyperlink w:anchor="_Toc139181571" w:history="1">
            <w:r w:rsidR="005C47A4" w:rsidRPr="006B7CE2">
              <w:rPr>
                <w:rStyle w:val="Lienhypertexte"/>
                <w:noProof/>
              </w:rPr>
              <w:t>27.8.3</w:t>
            </w:r>
            <w:r w:rsidR="005C47A4">
              <w:rPr>
                <w:rFonts w:eastAsiaTheme="minorEastAsia"/>
                <w:noProof/>
                <w:kern w:val="2"/>
                <w:lang w:eastAsia="fr-FR"/>
                <w14:ligatures w14:val="standardContextual"/>
              </w:rPr>
              <w:tab/>
            </w:r>
            <w:r w:rsidR="005C47A4" w:rsidRPr="006B7CE2">
              <w:rPr>
                <w:rStyle w:val="Lienhypertexte"/>
                <w:noProof/>
              </w:rPr>
              <w:t>Projet de lutte contre la désertification dans le Ferlo au Sénégal, soutenu par le FFEM</w:t>
            </w:r>
            <w:r w:rsidR="005C47A4">
              <w:rPr>
                <w:noProof/>
                <w:webHidden/>
              </w:rPr>
              <w:tab/>
            </w:r>
            <w:r w:rsidR="005C47A4">
              <w:rPr>
                <w:noProof/>
                <w:webHidden/>
              </w:rPr>
              <w:fldChar w:fldCharType="begin"/>
            </w:r>
            <w:r w:rsidR="005C47A4">
              <w:rPr>
                <w:noProof/>
                <w:webHidden/>
              </w:rPr>
              <w:instrText xml:space="preserve"> PAGEREF _Toc139181571 \h </w:instrText>
            </w:r>
            <w:r w:rsidR="005C47A4">
              <w:rPr>
                <w:noProof/>
                <w:webHidden/>
              </w:rPr>
            </w:r>
            <w:r w:rsidR="005C47A4">
              <w:rPr>
                <w:noProof/>
                <w:webHidden/>
              </w:rPr>
              <w:fldChar w:fldCharType="separate"/>
            </w:r>
            <w:r w:rsidR="004D7B96">
              <w:rPr>
                <w:noProof/>
                <w:webHidden/>
              </w:rPr>
              <w:t>310</w:t>
            </w:r>
            <w:r w:rsidR="005C47A4">
              <w:rPr>
                <w:noProof/>
                <w:webHidden/>
              </w:rPr>
              <w:fldChar w:fldCharType="end"/>
            </w:r>
          </w:hyperlink>
        </w:p>
        <w:p w14:paraId="7BC97692" w14:textId="5A09A27D" w:rsidR="005C47A4" w:rsidRDefault="00000000">
          <w:pPr>
            <w:pStyle w:val="TM3"/>
            <w:tabs>
              <w:tab w:val="left" w:pos="1320"/>
              <w:tab w:val="right" w:leader="dot" w:pos="10416"/>
            </w:tabs>
            <w:rPr>
              <w:rFonts w:eastAsiaTheme="minorEastAsia"/>
              <w:noProof/>
              <w:kern w:val="2"/>
              <w:lang w:eastAsia="fr-FR"/>
              <w14:ligatures w14:val="standardContextual"/>
            </w:rPr>
          </w:pPr>
          <w:hyperlink w:anchor="_Toc139181572" w:history="1">
            <w:r w:rsidR="005C47A4" w:rsidRPr="006B7CE2">
              <w:rPr>
                <w:rStyle w:val="Lienhypertexte"/>
                <w:noProof/>
              </w:rPr>
              <w:t>27.8.4</w:t>
            </w:r>
            <w:r w:rsidR="005C47A4">
              <w:rPr>
                <w:rFonts w:eastAsiaTheme="minorEastAsia"/>
                <w:noProof/>
                <w:kern w:val="2"/>
                <w:lang w:eastAsia="fr-FR"/>
                <w14:ligatures w14:val="standardContextual"/>
              </w:rPr>
              <w:tab/>
            </w:r>
            <w:r w:rsidR="005C47A4" w:rsidRPr="006B7CE2">
              <w:rPr>
                <w:rStyle w:val="Lienhypertexte"/>
                <w:noProof/>
              </w:rPr>
              <w:t>Exemple du Projet de développement rural intégré (PDRI) de la zone pastorale de Barani</w:t>
            </w:r>
            <w:r w:rsidR="005C47A4">
              <w:rPr>
                <w:noProof/>
                <w:webHidden/>
              </w:rPr>
              <w:tab/>
            </w:r>
            <w:r w:rsidR="005C47A4">
              <w:rPr>
                <w:noProof/>
                <w:webHidden/>
              </w:rPr>
              <w:fldChar w:fldCharType="begin"/>
            </w:r>
            <w:r w:rsidR="005C47A4">
              <w:rPr>
                <w:noProof/>
                <w:webHidden/>
              </w:rPr>
              <w:instrText xml:space="preserve"> PAGEREF _Toc139181572 \h </w:instrText>
            </w:r>
            <w:r w:rsidR="005C47A4">
              <w:rPr>
                <w:noProof/>
                <w:webHidden/>
              </w:rPr>
            </w:r>
            <w:r w:rsidR="005C47A4">
              <w:rPr>
                <w:noProof/>
                <w:webHidden/>
              </w:rPr>
              <w:fldChar w:fldCharType="separate"/>
            </w:r>
            <w:r w:rsidR="004D7B96">
              <w:rPr>
                <w:noProof/>
                <w:webHidden/>
              </w:rPr>
              <w:t>311</w:t>
            </w:r>
            <w:r w:rsidR="005C47A4">
              <w:rPr>
                <w:noProof/>
                <w:webHidden/>
              </w:rPr>
              <w:fldChar w:fldCharType="end"/>
            </w:r>
          </w:hyperlink>
        </w:p>
        <w:p w14:paraId="7AD6A790" w14:textId="5247E257" w:rsidR="005C47A4" w:rsidRDefault="00000000">
          <w:pPr>
            <w:pStyle w:val="TM3"/>
            <w:tabs>
              <w:tab w:val="left" w:pos="1320"/>
              <w:tab w:val="right" w:leader="dot" w:pos="10416"/>
            </w:tabs>
            <w:rPr>
              <w:rFonts w:eastAsiaTheme="minorEastAsia"/>
              <w:noProof/>
              <w:kern w:val="2"/>
              <w:lang w:eastAsia="fr-FR"/>
              <w14:ligatures w14:val="standardContextual"/>
            </w:rPr>
          </w:pPr>
          <w:hyperlink w:anchor="_Toc139181573" w:history="1">
            <w:r w:rsidR="005C47A4" w:rsidRPr="006B7CE2">
              <w:rPr>
                <w:rStyle w:val="Lienhypertexte"/>
                <w:noProof/>
              </w:rPr>
              <w:t>27.8.5</w:t>
            </w:r>
            <w:r w:rsidR="005C47A4">
              <w:rPr>
                <w:rFonts w:eastAsiaTheme="minorEastAsia"/>
                <w:noProof/>
                <w:kern w:val="2"/>
                <w:lang w:eastAsia="fr-FR"/>
                <w14:ligatures w14:val="standardContextual"/>
              </w:rPr>
              <w:tab/>
            </w:r>
            <w:r w:rsidR="005C47A4" w:rsidRPr="006B7CE2">
              <w:rPr>
                <w:rStyle w:val="Lienhypertexte"/>
                <w:noProof/>
              </w:rPr>
              <w:t>L’avis d’une actrice humanitaire</w:t>
            </w:r>
            <w:r w:rsidR="005C47A4">
              <w:rPr>
                <w:noProof/>
                <w:webHidden/>
              </w:rPr>
              <w:tab/>
            </w:r>
            <w:r w:rsidR="005C47A4">
              <w:rPr>
                <w:noProof/>
                <w:webHidden/>
              </w:rPr>
              <w:fldChar w:fldCharType="begin"/>
            </w:r>
            <w:r w:rsidR="005C47A4">
              <w:rPr>
                <w:noProof/>
                <w:webHidden/>
              </w:rPr>
              <w:instrText xml:space="preserve"> PAGEREF _Toc139181573 \h </w:instrText>
            </w:r>
            <w:r w:rsidR="005C47A4">
              <w:rPr>
                <w:noProof/>
                <w:webHidden/>
              </w:rPr>
            </w:r>
            <w:r w:rsidR="005C47A4">
              <w:rPr>
                <w:noProof/>
                <w:webHidden/>
              </w:rPr>
              <w:fldChar w:fldCharType="separate"/>
            </w:r>
            <w:r w:rsidR="004D7B96">
              <w:rPr>
                <w:noProof/>
                <w:webHidden/>
              </w:rPr>
              <w:t>314</w:t>
            </w:r>
            <w:r w:rsidR="005C47A4">
              <w:rPr>
                <w:noProof/>
                <w:webHidden/>
              </w:rPr>
              <w:fldChar w:fldCharType="end"/>
            </w:r>
          </w:hyperlink>
        </w:p>
        <w:p w14:paraId="17E72824" w14:textId="18E5E908" w:rsidR="005C47A4" w:rsidRDefault="00000000">
          <w:pPr>
            <w:pStyle w:val="TM3"/>
            <w:tabs>
              <w:tab w:val="left" w:pos="1320"/>
              <w:tab w:val="right" w:leader="dot" w:pos="10416"/>
            </w:tabs>
            <w:rPr>
              <w:rFonts w:eastAsiaTheme="minorEastAsia"/>
              <w:noProof/>
              <w:kern w:val="2"/>
              <w:lang w:eastAsia="fr-FR"/>
              <w14:ligatures w14:val="standardContextual"/>
            </w:rPr>
          </w:pPr>
          <w:hyperlink w:anchor="_Toc139181574" w:history="1">
            <w:r w:rsidR="005C47A4" w:rsidRPr="006B7CE2">
              <w:rPr>
                <w:rStyle w:val="Lienhypertexte"/>
                <w:noProof/>
              </w:rPr>
              <w:t>27.8.6</w:t>
            </w:r>
            <w:r w:rsidR="005C47A4">
              <w:rPr>
                <w:rFonts w:eastAsiaTheme="minorEastAsia"/>
                <w:noProof/>
                <w:kern w:val="2"/>
                <w:lang w:eastAsia="fr-FR"/>
                <w14:ligatures w14:val="standardContextual"/>
              </w:rPr>
              <w:tab/>
            </w:r>
            <w:r w:rsidR="005C47A4" w:rsidRPr="006B7CE2">
              <w:rPr>
                <w:rStyle w:val="Lienhypertexte"/>
                <w:noProof/>
              </w:rPr>
              <w:t>L'élaboration d'un code foncier du Sahel selon Sall Alioune</w:t>
            </w:r>
            <w:r w:rsidR="005C47A4">
              <w:rPr>
                <w:noProof/>
                <w:webHidden/>
              </w:rPr>
              <w:tab/>
            </w:r>
            <w:r w:rsidR="005C47A4">
              <w:rPr>
                <w:noProof/>
                <w:webHidden/>
              </w:rPr>
              <w:fldChar w:fldCharType="begin"/>
            </w:r>
            <w:r w:rsidR="005C47A4">
              <w:rPr>
                <w:noProof/>
                <w:webHidden/>
              </w:rPr>
              <w:instrText xml:space="preserve"> PAGEREF _Toc139181574 \h </w:instrText>
            </w:r>
            <w:r w:rsidR="005C47A4">
              <w:rPr>
                <w:noProof/>
                <w:webHidden/>
              </w:rPr>
            </w:r>
            <w:r w:rsidR="005C47A4">
              <w:rPr>
                <w:noProof/>
                <w:webHidden/>
              </w:rPr>
              <w:fldChar w:fldCharType="separate"/>
            </w:r>
            <w:r w:rsidR="004D7B96">
              <w:rPr>
                <w:noProof/>
                <w:webHidden/>
              </w:rPr>
              <w:t>316</w:t>
            </w:r>
            <w:r w:rsidR="005C47A4">
              <w:rPr>
                <w:noProof/>
                <w:webHidden/>
              </w:rPr>
              <w:fldChar w:fldCharType="end"/>
            </w:r>
          </w:hyperlink>
        </w:p>
        <w:p w14:paraId="19FBA50D" w14:textId="22F9DC10"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575" w:history="1">
            <w:r w:rsidR="005C47A4" w:rsidRPr="006B7CE2">
              <w:rPr>
                <w:rStyle w:val="Lienhypertexte"/>
                <w:noProof/>
              </w:rPr>
              <w:t>27.9</w:t>
            </w:r>
            <w:r w:rsidR="005C47A4">
              <w:rPr>
                <w:rFonts w:eastAsiaTheme="minorEastAsia"/>
                <w:noProof/>
                <w:kern w:val="2"/>
                <w:lang w:eastAsia="fr-FR"/>
                <w14:ligatures w14:val="standardContextual"/>
              </w:rPr>
              <w:tab/>
            </w:r>
            <w:r w:rsidR="005C47A4" w:rsidRPr="006B7CE2">
              <w:rPr>
                <w:rStyle w:val="Lienhypertexte"/>
                <w:noProof/>
              </w:rPr>
              <w:t>Ressources bibliographiques pour ce chapitre</w:t>
            </w:r>
            <w:r w:rsidR="005C47A4">
              <w:rPr>
                <w:noProof/>
                <w:webHidden/>
              </w:rPr>
              <w:tab/>
            </w:r>
            <w:r w:rsidR="005C47A4">
              <w:rPr>
                <w:noProof/>
                <w:webHidden/>
              </w:rPr>
              <w:fldChar w:fldCharType="begin"/>
            </w:r>
            <w:r w:rsidR="005C47A4">
              <w:rPr>
                <w:noProof/>
                <w:webHidden/>
              </w:rPr>
              <w:instrText xml:space="preserve"> PAGEREF _Toc139181575 \h </w:instrText>
            </w:r>
            <w:r w:rsidR="005C47A4">
              <w:rPr>
                <w:noProof/>
                <w:webHidden/>
              </w:rPr>
            </w:r>
            <w:r w:rsidR="005C47A4">
              <w:rPr>
                <w:noProof/>
                <w:webHidden/>
              </w:rPr>
              <w:fldChar w:fldCharType="separate"/>
            </w:r>
            <w:r w:rsidR="004D7B96">
              <w:rPr>
                <w:noProof/>
                <w:webHidden/>
              </w:rPr>
              <w:t>316</w:t>
            </w:r>
            <w:r w:rsidR="005C47A4">
              <w:rPr>
                <w:noProof/>
                <w:webHidden/>
              </w:rPr>
              <w:fldChar w:fldCharType="end"/>
            </w:r>
          </w:hyperlink>
        </w:p>
        <w:p w14:paraId="65F7B17F" w14:textId="441F3D4A" w:rsidR="005C47A4" w:rsidRDefault="00000000">
          <w:pPr>
            <w:pStyle w:val="TM1"/>
            <w:tabs>
              <w:tab w:val="left" w:pos="660"/>
              <w:tab w:val="right" w:leader="dot" w:pos="10416"/>
            </w:tabs>
            <w:rPr>
              <w:rFonts w:eastAsiaTheme="minorEastAsia"/>
              <w:noProof/>
              <w:kern w:val="2"/>
              <w:lang w:eastAsia="fr-FR"/>
              <w14:ligatures w14:val="standardContextual"/>
            </w:rPr>
          </w:pPr>
          <w:hyperlink w:anchor="_Toc139181576" w:history="1">
            <w:r w:rsidR="005C47A4" w:rsidRPr="006B7CE2">
              <w:rPr>
                <w:rStyle w:val="Lienhypertexte"/>
                <w:noProof/>
              </w:rPr>
              <w:t>28</w:t>
            </w:r>
            <w:r w:rsidR="005C47A4">
              <w:rPr>
                <w:rFonts w:eastAsiaTheme="minorEastAsia"/>
                <w:noProof/>
                <w:kern w:val="2"/>
                <w:lang w:eastAsia="fr-FR"/>
                <w14:ligatures w14:val="standardContextual"/>
              </w:rPr>
              <w:tab/>
            </w:r>
            <w:r w:rsidR="005C47A4" w:rsidRPr="006B7CE2">
              <w:rPr>
                <w:rStyle w:val="Lienhypertexte"/>
                <w:noProof/>
              </w:rPr>
              <w:t>Prévenir les feux de forêt et de brousse incontrôlés</w:t>
            </w:r>
            <w:r w:rsidR="005C47A4">
              <w:rPr>
                <w:noProof/>
                <w:webHidden/>
              </w:rPr>
              <w:tab/>
            </w:r>
            <w:r w:rsidR="005C47A4">
              <w:rPr>
                <w:noProof/>
                <w:webHidden/>
              </w:rPr>
              <w:fldChar w:fldCharType="begin"/>
            </w:r>
            <w:r w:rsidR="005C47A4">
              <w:rPr>
                <w:noProof/>
                <w:webHidden/>
              </w:rPr>
              <w:instrText xml:space="preserve"> PAGEREF _Toc139181576 \h </w:instrText>
            </w:r>
            <w:r w:rsidR="005C47A4">
              <w:rPr>
                <w:noProof/>
                <w:webHidden/>
              </w:rPr>
            </w:r>
            <w:r w:rsidR="005C47A4">
              <w:rPr>
                <w:noProof/>
                <w:webHidden/>
              </w:rPr>
              <w:fldChar w:fldCharType="separate"/>
            </w:r>
            <w:r w:rsidR="004D7B96">
              <w:rPr>
                <w:noProof/>
                <w:webHidden/>
              </w:rPr>
              <w:t>317</w:t>
            </w:r>
            <w:r w:rsidR="005C47A4">
              <w:rPr>
                <w:noProof/>
                <w:webHidden/>
              </w:rPr>
              <w:fldChar w:fldCharType="end"/>
            </w:r>
          </w:hyperlink>
        </w:p>
        <w:p w14:paraId="6A6143CE" w14:textId="0FA3248A"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577" w:history="1">
            <w:r w:rsidR="005C47A4" w:rsidRPr="006B7CE2">
              <w:rPr>
                <w:rStyle w:val="Lienhypertexte"/>
                <w:noProof/>
              </w:rPr>
              <w:t>28.1</w:t>
            </w:r>
            <w:r w:rsidR="005C47A4">
              <w:rPr>
                <w:rFonts w:eastAsiaTheme="minorEastAsia"/>
                <w:noProof/>
                <w:kern w:val="2"/>
                <w:lang w:eastAsia="fr-FR"/>
                <w14:ligatures w14:val="standardContextual"/>
              </w:rPr>
              <w:tab/>
            </w:r>
            <w:r w:rsidR="005C47A4" w:rsidRPr="006B7CE2">
              <w:rPr>
                <w:rStyle w:val="Lienhypertexte"/>
                <w:noProof/>
              </w:rPr>
              <w:t>Définitions</w:t>
            </w:r>
            <w:r w:rsidR="005C47A4">
              <w:rPr>
                <w:noProof/>
                <w:webHidden/>
              </w:rPr>
              <w:tab/>
            </w:r>
            <w:r w:rsidR="005C47A4">
              <w:rPr>
                <w:noProof/>
                <w:webHidden/>
              </w:rPr>
              <w:fldChar w:fldCharType="begin"/>
            </w:r>
            <w:r w:rsidR="005C47A4">
              <w:rPr>
                <w:noProof/>
                <w:webHidden/>
              </w:rPr>
              <w:instrText xml:space="preserve"> PAGEREF _Toc139181577 \h </w:instrText>
            </w:r>
            <w:r w:rsidR="005C47A4">
              <w:rPr>
                <w:noProof/>
                <w:webHidden/>
              </w:rPr>
            </w:r>
            <w:r w:rsidR="005C47A4">
              <w:rPr>
                <w:noProof/>
                <w:webHidden/>
              </w:rPr>
              <w:fldChar w:fldCharType="separate"/>
            </w:r>
            <w:r w:rsidR="004D7B96">
              <w:rPr>
                <w:noProof/>
                <w:webHidden/>
              </w:rPr>
              <w:t>317</w:t>
            </w:r>
            <w:r w:rsidR="005C47A4">
              <w:rPr>
                <w:noProof/>
                <w:webHidden/>
              </w:rPr>
              <w:fldChar w:fldCharType="end"/>
            </w:r>
          </w:hyperlink>
        </w:p>
        <w:p w14:paraId="30731A8A" w14:textId="7E86BCA7"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578" w:history="1">
            <w:r w:rsidR="005C47A4" w:rsidRPr="006B7CE2">
              <w:rPr>
                <w:rStyle w:val="Lienhypertexte"/>
                <w:noProof/>
              </w:rPr>
              <w:t>28.2</w:t>
            </w:r>
            <w:r w:rsidR="005C47A4">
              <w:rPr>
                <w:rFonts w:eastAsiaTheme="minorEastAsia"/>
                <w:noProof/>
                <w:kern w:val="2"/>
                <w:lang w:eastAsia="fr-FR"/>
                <w14:ligatures w14:val="standardContextual"/>
              </w:rPr>
              <w:tab/>
            </w:r>
            <w:r w:rsidR="005C47A4" w:rsidRPr="006B7CE2">
              <w:rPr>
                <w:rStyle w:val="Lienhypertexte"/>
                <w:noProof/>
              </w:rPr>
              <w:t>Les feux de brousse</w:t>
            </w:r>
            <w:r w:rsidR="005C47A4">
              <w:rPr>
                <w:noProof/>
                <w:webHidden/>
              </w:rPr>
              <w:tab/>
            </w:r>
            <w:r w:rsidR="005C47A4">
              <w:rPr>
                <w:noProof/>
                <w:webHidden/>
              </w:rPr>
              <w:fldChar w:fldCharType="begin"/>
            </w:r>
            <w:r w:rsidR="005C47A4">
              <w:rPr>
                <w:noProof/>
                <w:webHidden/>
              </w:rPr>
              <w:instrText xml:space="preserve"> PAGEREF _Toc139181578 \h </w:instrText>
            </w:r>
            <w:r w:rsidR="005C47A4">
              <w:rPr>
                <w:noProof/>
                <w:webHidden/>
              </w:rPr>
            </w:r>
            <w:r w:rsidR="005C47A4">
              <w:rPr>
                <w:noProof/>
                <w:webHidden/>
              </w:rPr>
              <w:fldChar w:fldCharType="separate"/>
            </w:r>
            <w:r w:rsidR="004D7B96">
              <w:rPr>
                <w:noProof/>
                <w:webHidden/>
              </w:rPr>
              <w:t>317</w:t>
            </w:r>
            <w:r w:rsidR="005C47A4">
              <w:rPr>
                <w:noProof/>
                <w:webHidden/>
              </w:rPr>
              <w:fldChar w:fldCharType="end"/>
            </w:r>
          </w:hyperlink>
        </w:p>
        <w:p w14:paraId="4ACDFEC4" w14:textId="2FDFE4AA"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579" w:history="1">
            <w:r w:rsidR="005C47A4" w:rsidRPr="006B7CE2">
              <w:rPr>
                <w:rStyle w:val="Lienhypertexte"/>
                <w:noProof/>
              </w:rPr>
              <w:t>28.3</w:t>
            </w:r>
            <w:r w:rsidR="005C47A4">
              <w:rPr>
                <w:rFonts w:eastAsiaTheme="minorEastAsia"/>
                <w:noProof/>
                <w:kern w:val="2"/>
                <w:lang w:eastAsia="fr-FR"/>
                <w14:ligatures w14:val="standardContextual"/>
              </w:rPr>
              <w:tab/>
            </w:r>
            <w:r w:rsidR="005C47A4" w:rsidRPr="006B7CE2">
              <w:rPr>
                <w:rStyle w:val="Lienhypertexte"/>
                <w:noProof/>
              </w:rPr>
              <w:t>Les feux de forêts</w:t>
            </w:r>
            <w:r w:rsidR="005C47A4">
              <w:rPr>
                <w:noProof/>
                <w:webHidden/>
              </w:rPr>
              <w:tab/>
            </w:r>
            <w:r w:rsidR="005C47A4">
              <w:rPr>
                <w:noProof/>
                <w:webHidden/>
              </w:rPr>
              <w:fldChar w:fldCharType="begin"/>
            </w:r>
            <w:r w:rsidR="005C47A4">
              <w:rPr>
                <w:noProof/>
                <w:webHidden/>
              </w:rPr>
              <w:instrText xml:space="preserve"> PAGEREF _Toc139181579 \h </w:instrText>
            </w:r>
            <w:r w:rsidR="005C47A4">
              <w:rPr>
                <w:noProof/>
                <w:webHidden/>
              </w:rPr>
            </w:r>
            <w:r w:rsidR="005C47A4">
              <w:rPr>
                <w:noProof/>
                <w:webHidden/>
              </w:rPr>
              <w:fldChar w:fldCharType="separate"/>
            </w:r>
            <w:r w:rsidR="004D7B96">
              <w:rPr>
                <w:noProof/>
                <w:webHidden/>
              </w:rPr>
              <w:t>319</w:t>
            </w:r>
            <w:r w:rsidR="005C47A4">
              <w:rPr>
                <w:noProof/>
                <w:webHidden/>
              </w:rPr>
              <w:fldChar w:fldCharType="end"/>
            </w:r>
          </w:hyperlink>
        </w:p>
        <w:p w14:paraId="5BB38EDA" w14:textId="2307B238"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580" w:history="1">
            <w:r w:rsidR="005C47A4" w:rsidRPr="006B7CE2">
              <w:rPr>
                <w:rStyle w:val="Lienhypertexte"/>
                <w:noProof/>
              </w:rPr>
              <w:t>28.4</w:t>
            </w:r>
            <w:r w:rsidR="005C47A4">
              <w:rPr>
                <w:rFonts w:eastAsiaTheme="minorEastAsia"/>
                <w:noProof/>
                <w:kern w:val="2"/>
                <w:lang w:eastAsia="fr-FR"/>
                <w14:ligatures w14:val="standardContextual"/>
              </w:rPr>
              <w:tab/>
            </w:r>
            <w:r w:rsidR="005C47A4" w:rsidRPr="006B7CE2">
              <w:rPr>
                <w:rStyle w:val="Lienhypertexte"/>
                <w:noProof/>
              </w:rPr>
              <w:t>Solutions / prévention collective (mesures visant à empêcher les feux de forêt)</w:t>
            </w:r>
            <w:r w:rsidR="005C47A4">
              <w:rPr>
                <w:noProof/>
                <w:webHidden/>
              </w:rPr>
              <w:tab/>
            </w:r>
            <w:r w:rsidR="005C47A4">
              <w:rPr>
                <w:noProof/>
                <w:webHidden/>
              </w:rPr>
              <w:fldChar w:fldCharType="begin"/>
            </w:r>
            <w:r w:rsidR="005C47A4">
              <w:rPr>
                <w:noProof/>
                <w:webHidden/>
              </w:rPr>
              <w:instrText xml:space="preserve"> PAGEREF _Toc139181580 \h </w:instrText>
            </w:r>
            <w:r w:rsidR="005C47A4">
              <w:rPr>
                <w:noProof/>
                <w:webHidden/>
              </w:rPr>
            </w:r>
            <w:r w:rsidR="005C47A4">
              <w:rPr>
                <w:noProof/>
                <w:webHidden/>
              </w:rPr>
              <w:fldChar w:fldCharType="separate"/>
            </w:r>
            <w:r w:rsidR="004D7B96">
              <w:rPr>
                <w:noProof/>
                <w:webHidden/>
              </w:rPr>
              <w:t>320</w:t>
            </w:r>
            <w:r w:rsidR="005C47A4">
              <w:rPr>
                <w:noProof/>
                <w:webHidden/>
              </w:rPr>
              <w:fldChar w:fldCharType="end"/>
            </w:r>
          </w:hyperlink>
        </w:p>
        <w:p w14:paraId="127C1F62" w14:textId="11BFBAF0"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581" w:history="1">
            <w:r w:rsidR="005C47A4" w:rsidRPr="006B7CE2">
              <w:rPr>
                <w:rStyle w:val="Lienhypertexte"/>
                <w:noProof/>
              </w:rPr>
              <w:t>28.5</w:t>
            </w:r>
            <w:r w:rsidR="005C47A4">
              <w:rPr>
                <w:rFonts w:eastAsiaTheme="minorEastAsia"/>
                <w:noProof/>
                <w:kern w:val="2"/>
                <w:lang w:eastAsia="fr-FR"/>
                <w14:ligatures w14:val="standardContextual"/>
              </w:rPr>
              <w:tab/>
            </w:r>
            <w:r w:rsidR="005C47A4" w:rsidRPr="006B7CE2">
              <w:rPr>
                <w:rStyle w:val="Lienhypertexte"/>
                <w:noProof/>
              </w:rPr>
              <w:t>Inconvénient des feux contrôlés</w:t>
            </w:r>
            <w:r w:rsidR="005C47A4">
              <w:rPr>
                <w:noProof/>
                <w:webHidden/>
              </w:rPr>
              <w:tab/>
            </w:r>
            <w:r w:rsidR="005C47A4">
              <w:rPr>
                <w:noProof/>
                <w:webHidden/>
              </w:rPr>
              <w:fldChar w:fldCharType="begin"/>
            </w:r>
            <w:r w:rsidR="005C47A4">
              <w:rPr>
                <w:noProof/>
                <w:webHidden/>
              </w:rPr>
              <w:instrText xml:space="preserve"> PAGEREF _Toc139181581 \h </w:instrText>
            </w:r>
            <w:r w:rsidR="005C47A4">
              <w:rPr>
                <w:noProof/>
                <w:webHidden/>
              </w:rPr>
            </w:r>
            <w:r w:rsidR="005C47A4">
              <w:rPr>
                <w:noProof/>
                <w:webHidden/>
              </w:rPr>
              <w:fldChar w:fldCharType="separate"/>
            </w:r>
            <w:r w:rsidR="004D7B96">
              <w:rPr>
                <w:noProof/>
                <w:webHidden/>
              </w:rPr>
              <w:t>320</w:t>
            </w:r>
            <w:r w:rsidR="005C47A4">
              <w:rPr>
                <w:noProof/>
                <w:webHidden/>
              </w:rPr>
              <w:fldChar w:fldCharType="end"/>
            </w:r>
          </w:hyperlink>
        </w:p>
        <w:p w14:paraId="3ECCB271" w14:textId="76EB176D"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582" w:history="1">
            <w:r w:rsidR="005C47A4" w:rsidRPr="006B7CE2">
              <w:rPr>
                <w:rStyle w:val="Lienhypertexte"/>
                <w:noProof/>
              </w:rPr>
              <w:t>28.6</w:t>
            </w:r>
            <w:r w:rsidR="005C47A4">
              <w:rPr>
                <w:rFonts w:eastAsiaTheme="minorEastAsia"/>
                <w:noProof/>
                <w:kern w:val="2"/>
                <w:lang w:eastAsia="fr-FR"/>
                <w14:ligatures w14:val="standardContextual"/>
              </w:rPr>
              <w:tab/>
            </w:r>
            <w:r w:rsidR="005C47A4" w:rsidRPr="006B7CE2">
              <w:rPr>
                <w:rStyle w:val="Lienhypertexte"/>
                <w:noProof/>
              </w:rPr>
              <w:t>Des solutions récentes pour pays riches (hors des moyens des pays en voie de développement)</w:t>
            </w:r>
            <w:r w:rsidR="005C47A4">
              <w:rPr>
                <w:noProof/>
                <w:webHidden/>
              </w:rPr>
              <w:tab/>
            </w:r>
            <w:r w:rsidR="005C47A4">
              <w:rPr>
                <w:noProof/>
                <w:webHidden/>
              </w:rPr>
              <w:fldChar w:fldCharType="begin"/>
            </w:r>
            <w:r w:rsidR="005C47A4">
              <w:rPr>
                <w:noProof/>
                <w:webHidden/>
              </w:rPr>
              <w:instrText xml:space="preserve"> PAGEREF _Toc139181582 \h </w:instrText>
            </w:r>
            <w:r w:rsidR="005C47A4">
              <w:rPr>
                <w:noProof/>
                <w:webHidden/>
              </w:rPr>
            </w:r>
            <w:r w:rsidR="005C47A4">
              <w:rPr>
                <w:noProof/>
                <w:webHidden/>
              </w:rPr>
              <w:fldChar w:fldCharType="separate"/>
            </w:r>
            <w:r w:rsidR="004D7B96">
              <w:rPr>
                <w:noProof/>
                <w:webHidden/>
              </w:rPr>
              <w:t>322</w:t>
            </w:r>
            <w:r w:rsidR="005C47A4">
              <w:rPr>
                <w:noProof/>
                <w:webHidden/>
              </w:rPr>
              <w:fldChar w:fldCharType="end"/>
            </w:r>
          </w:hyperlink>
        </w:p>
        <w:p w14:paraId="4DE66999" w14:textId="66F03AFE" w:rsidR="005C47A4" w:rsidRDefault="00000000">
          <w:pPr>
            <w:pStyle w:val="TM3"/>
            <w:tabs>
              <w:tab w:val="left" w:pos="1320"/>
              <w:tab w:val="right" w:leader="dot" w:pos="10416"/>
            </w:tabs>
            <w:rPr>
              <w:rFonts w:eastAsiaTheme="minorEastAsia"/>
              <w:noProof/>
              <w:kern w:val="2"/>
              <w:lang w:eastAsia="fr-FR"/>
              <w14:ligatures w14:val="standardContextual"/>
            </w:rPr>
          </w:pPr>
          <w:hyperlink w:anchor="_Toc139181583" w:history="1">
            <w:r w:rsidR="005C47A4" w:rsidRPr="006B7CE2">
              <w:rPr>
                <w:rStyle w:val="Lienhypertexte"/>
                <w:noProof/>
              </w:rPr>
              <w:t>28.6.1</w:t>
            </w:r>
            <w:r w:rsidR="005C47A4">
              <w:rPr>
                <w:rFonts w:eastAsiaTheme="minorEastAsia"/>
                <w:noProof/>
                <w:kern w:val="2"/>
                <w:lang w:eastAsia="fr-FR"/>
                <w14:ligatures w14:val="standardContextual"/>
              </w:rPr>
              <w:tab/>
            </w:r>
            <w:r w:rsidR="005C47A4" w:rsidRPr="006B7CE2">
              <w:rPr>
                <w:rStyle w:val="Lienhypertexte"/>
                <w:noProof/>
              </w:rPr>
              <w:t>Solution Pyro</w:t>
            </w:r>
            <w:r w:rsidR="005C47A4">
              <w:rPr>
                <w:noProof/>
                <w:webHidden/>
              </w:rPr>
              <w:tab/>
            </w:r>
            <w:r w:rsidR="005C47A4">
              <w:rPr>
                <w:noProof/>
                <w:webHidden/>
              </w:rPr>
              <w:fldChar w:fldCharType="begin"/>
            </w:r>
            <w:r w:rsidR="005C47A4">
              <w:rPr>
                <w:noProof/>
                <w:webHidden/>
              </w:rPr>
              <w:instrText xml:space="preserve"> PAGEREF _Toc139181583 \h </w:instrText>
            </w:r>
            <w:r w:rsidR="005C47A4">
              <w:rPr>
                <w:noProof/>
                <w:webHidden/>
              </w:rPr>
            </w:r>
            <w:r w:rsidR="005C47A4">
              <w:rPr>
                <w:noProof/>
                <w:webHidden/>
              </w:rPr>
              <w:fldChar w:fldCharType="separate"/>
            </w:r>
            <w:r w:rsidR="004D7B96">
              <w:rPr>
                <w:noProof/>
                <w:webHidden/>
              </w:rPr>
              <w:t>322</w:t>
            </w:r>
            <w:r w:rsidR="005C47A4">
              <w:rPr>
                <w:noProof/>
                <w:webHidden/>
              </w:rPr>
              <w:fldChar w:fldCharType="end"/>
            </w:r>
          </w:hyperlink>
        </w:p>
        <w:p w14:paraId="1B6DF68A" w14:textId="036A6048" w:rsidR="005C47A4" w:rsidRDefault="00000000">
          <w:pPr>
            <w:pStyle w:val="TM3"/>
            <w:tabs>
              <w:tab w:val="left" w:pos="1320"/>
              <w:tab w:val="right" w:leader="dot" w:pos="10416"/>
            </w:tabs>
            <w:rPr>
              <w:rFonts w:eastAsiaTheme="minorEastAsia"/>
              <w:noProof/>
              <w:kern w:val="2"/>
              <w:lang w:eastAsia="fr-FR"/>
              <w14:ligatures w14:val="standardContextual"/>
            </w:rPr>
          </w:pPr>
          <w:hyperlink w:anchor="_Toc139181584" w:history="1">
            <w:r w:rsidR="005C47A4" w:rsidRPr="006B7CE2">
              <w:rPr>
                <w:rStyle w:val="Lienhypertexte"/>
                <w:noProof/>
              </w:rPr>
              <w:t>28.6.2</w:t>
            </w:r>
            <w:r w:rsidR="005C47A4">
              <w:rPr>
                <w:rFonts w:eastAsiaTheme="minorEastAsia"/>
                <w:noProof/>
                <w:kern w:val="2"/>
                <w:lang w:eastAsia="fr-FR"/>
                <w14:ligatures w14:val="standardContextual"/>
              </w:rPr>
              <w:tab/>
            </w:r>
            <w:r w:rsidR="005C47A4" w:rsidRPr="006B7CE2">
              <w:rPr>
                <w:rStyle w:val="Lienhypertexte"/>
                <w:noProof/>
              </w:rPr>
              <w:t>Un drone du type "canadair"</w:t>
            </w:r>
            <w:r w:rsidR="005C47A4">
              <w:rPr>
                <w:noProof/>
                <w:webHidden/>
              </w:rPr>
              <w:tab/>
            </w:r>
            <w:r w:rsidR="005C47A4">
              <w:rPr>
                <w:noProof/>
                <w:webHidden/>
              </w:rPr>
              <w:fldChar w:fldCharType="begin"/>
            </w:r>
            <w:r w:rsidR="005C47A4">
              <w:rPr>
                <w:noProof/>
                <w:webHidden/>
              </w:rPr>
              <w:instrText xml:space="preserve"> PAGEREF _Toc139181584 \h </w:instrText>
            </w:r>
            <w:r w:rsidR="005C47A4">
              <w:rPr>
                <w:noProof/>
                <w:webHidden/>
              </w:rPr>
            </w:r>
            <w:r w:rsidR="005C47A4">
              <w:rPr>
                <w:noProof/>
                <w:webHidden/>
              </w:rPr>
              <w:fldChar w:fldCharType="separate"/>
            </w:r>
            <w:r w:rsidR="004D7B96">
              <w:rPr>
                <w:noProof/>
                <w:webHidden/>
              </w:rPr>
              <w:t>323</w:t>
            </w:r>
            <w:r w:rsidR="005C47A4">
              <w:rPr>
                <w:noProof/>
                <w:webHidden/>
              </w:rPr>
              <w:fldChar w:fldCharType="end"/>
            </w:r>
          </w:hyperlink>
        </w:p>
        <w:p w14:paraId="6497CB72" w14:textId="47BD74B8"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585" w:history="1">
            <w:r w:rsidR="005C47A4" w:rsidRPr="006B7CE2">
              <w:rPr>
                <w:rStyle w:val="Lienhypertexte"/>
                <w:noProof/>
              </w:rPr>
              <w:t>28.7</w:t>
            </w:r>
            <w:r w:rsidR="005C47A4">
              <w:rPr>
                <w:rFonts w:eastAsiaTheme="minorEastAsia"/>
                <w:noProof/>
                <w:kern w:val="2"/>
                <w:lang w:eastAsia="fr-FR"/>
                <w14:ligatures w14:val="standardContextual"/>
              </w:rPr>
              <w:tab/>
            </w:r>
            <w:r w:rsidR="005C47A4" w:rsidRPr="006B7CE2">
              <w:rPr>
                <w:rStyle w:val="Lienhypertexte"/>
                <w:noProof/>
              </w:rPr>
              <w:t>Développement d'une culture de la prévention</w:t>
            </w:r>
            <w:r w:rsidR="005C47A4">
              <w:rPr>
                <w:noProof/>
                <w:webHidden/>
              </w:rPr>
              <w:tab/>
            </w:r>
            <w:r w:rsidR="005C47A4">
              <w:rPr>
                <w:noProof/>
                <w:webHidden/>
              </w:rPr>
              <w:fldChar w:fldCharType="begin"/>
            </w:r>
            <w:r w:rsidR="005C47A4">
              <w:rPr>
                <w:noProof/>
                <w:webHidden/>
              </w:rPr>
              <w:instrText xml:space="preserve"> PAGEREF _Toc139181585 \h </w:instrText>
            </w:r>
            <w:r w:rsidR="005C47A4">
              <w:rPr>
                <w:noProof/>
                <w:webHidden/>
              </w:rPr>
            </w:r>
            <w:r w:rsidR="005C47A4">
              <w:rPr>
                <w:noProof/>
                <w:webHidden/>
              </w:rPr>
              <w:fldChar w:fldCharType="separate"/>
            </w:r>
            <w:r w:rsidR="004D7B96">
              <w:rPr>
                <w:noProof/>
                <w:webHidden/>
              </w:rPr>
              <w:t>323</w:t>
            </w:r>
            <w:r w:rsidR="005C47A4">
              <w:rPr>
                <w:noProof/>
                <w:webHidden/>
              </w:rPr>
              <w:fldChar w:fldCharType="end"/>
            </w:r>
          </w:hyperlink>
        </w:p>
        <w:p w14:paraId="2E64C0E9" w14:textId="394AA3D7"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586" w:history="1">
            <w:r w:rsidR="005C47A4" w:rsidRPr="006B7CE2">
              <w:rPr>
                <w:rStyle w:val="Lienhypertexte"/>
                <w:noProof/>
              </w:rPr>
              <w:t>28.8</w:t>
            </w:r>
            <w:r w:rsidR="005C47A4">
              <w:rPr>
                <w:rFonts w:eastAsiaTheme="minorEastAsia"/>
                <w:noProof/>
                <w:kern w:val="2"/>
                <w:lang w:eastAsia="fr-FR"/>
                <w14:ligatures w14:val="standardContextual"/>
              </w:rPr>
              <w:tab/>
            </w:r>
            <w:r w:rsidR="005C47A4" w:rsidRPr="006B7CE2">
              <w:rPr>
                <w:rStyle w:val="Lienhypertexte"/>
                <w:noProof/>
              </w:rPr>
              <w:t>Apprendre les bons gestes</w:t>
            </w:r>
            <w:r w:rsidR="005C47A4">
              <w:rPr>
                <w:noProof/>
                <w:webHidden/>
              </w:rPr>
              <w:tab/>
            </w:r>
            <w:r w:rsidR="005C47A4">
              <w:rPr>
                <w:noProof/>
                <w:webHidden/>
              </w:rPr>
              <w:fldChar w:fldCharType="begin"/>
            </w:r>
            <w:r w:rsidR="005C47A4">
              <w:rPr>
                <w:noProof/>
                <w:webHidden/>
              </w:rPr>
              <w:instrText xml:space="preserve"> PAGEREF _Toc139181586 \h </w:instrText>
            </w:r>
            <w:r w:rsidR="005C47A4">
              <w:rPr>
                <w:noProof/>
                <w:webHidden/>
              </w:rPr>
            </w:r>
            <w:r w:rsidR="005C47A4">
              <w:rPr>
                <w:noProof/>
                <w:webHidden/>
              </w:rPr>
              <w:fldChar w:fldCharType="separate"/>
            </w:r>
            <w:r w:rsidR="004D7B96">
              <w:rPr>
                <w:noProof/>
                <w:webHidden/>
              </w:rPr>
              <w:t>324</w:t>
            </w:r>
            <w:r w:rsidR="005C47A4">
              <w:rPr>
                <w:noProof/>
                <w:webHidden/>
              </w:rPr>
              <w:fldChar w:fldCharType="end"/>
            </w:r>
          </w:hyperlink>
        </w:p>
        <w:p w14:paraId="6A498515" w14:textId="5B697BB8"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587" w:history="1">
            <w:r w:rsidR="005C47A4" w:rsidRPr="006B7CE2">
              <w:rPr>
                <w:rStyle w:val="Lienhypertexte"/>
                <w:noProof/>
              </w:rPr>
              <w:t>28.9</w:t>
            </w:r>
            <w:r w:rsidR="005C47A4">
              <w:rPr>
                <w:rFonts w:eastAsiaTheme="minorEastAsia"/>
                <w:noProof/>
                <w:kern w:val="2"/>
                <w:lang w:eastAsia="fr-FR"/>
                <w14:ligatures w14:val="standardContextual"/>
              </w:rPr>
              <w:tab/>
            </w:r>
            <w:r w:rsidR="005C47A4" w:rsidRPr="006B7CE2">
              <w:rPr>
                <w:rStyle w:val="Lienhypertexte"/>
                <w:noProof/>
              </w:rPr>
              <w:t>La loi</w:t>
            </w:r>
            <w:r w:rsidR="005C47A4">
              <w:rPr>
                <w:noProof/>
                <w:webHidden/>
              </w:rPr>
              <w:tab/>
            </w:r>
            <w:r w:rsidR="005C47A4">
              <w:rPr>
                <w:noProof/>
                <w:webHidden/>
              </w:rPr>
              <w:fldChar w:fldCharType="begin"/>
            </w:r>
            <w:r w:rsidR="005C47A4">
              <w:rPr>
                <w:noProof/>
                <w:webHidden/>
              </w:rPr>
              <w:instrText xml:space="preserve"> PAGEREF _Toc139181587 \h </w:instrText>
            </w:r>
            <w:r w:rsidR="005C47A4">
              <w:rPr>
                <w:noProof/>
                <w:webHidden/>
              </w:rPr>
            </w:r>
            <w:r w:rsidR="005C47A4">
              <w:rPr>
                <w:noProof/>
                <w:webHidden/>
              </w:rPr>
              <w:fldChar w:fldCharType="separate"/>
            </w:r>
            <w:r w:rsidR="004D7B96">
              <w:rPr>
                <w:noProof/>
                <w:webHidden/>
              </w:rPr>
              <w:t>324</w:t>
            </w:r>
            <w:r w:rsidR="005C47A4">
              <w:rPr>
                <w:noProof/>
                <w:webHidden/>
              </w:rPr>
              <w:fldChar w:fldCharType="end"/>
            </w:r>
          </w:hyperlink>
        </w:p>
        <w:p w14:paraId="218359B0" w14:textId="639B98F3" w:rsidR="005C47A4" w:rsidRDefault="00000000">
          <w:pPr>
            <w:pStyle w:val="TM2"/>
            <w:tabs>
              <w:tab w:val="left" w:pos="1100"/>
              <w:tab w:val="right" w:leader="dot" w:pos="10416"/>
            </w:tabs>
            <w:rPr>
              <w:rFonts w:eastAsiaTheme="minorEastAsia"/>
              <w:noProof/>
              <w:kern w:val="2"/>
              <w:lang w:eastAsia="fr-FR"/>
              <w14:ligatures w14:val="standardContextual"/>
            </w:rPr>
          </w:pPr>
          <w:hyperlink w:anchor="_Toc139181588" w:history="1">
            <w:r w:rsidR="005C47A4" w:rsidRPr="006B7CE2">
              <w:rPr>
                <w:rStyle w:val="Lienhypertexte"/>
                <w:noProof/>
              </w:rPr>
              <w:t>28.10</w:t>
            </w:r>
            <w:r w:rsidR="005C47A4">
              <w:rPr>
                <w:rFonts w:eastAsiaTheme="minorEastAsia"/>
                <w:noProof/>
                <w:kern w:val="2"/>
                <w:lang w:eastAsia="fr-FR"/>
                <w14:ligatures w14:val="standardContextual"/>
              </w:rPr>
              <w:tab/>
            </w:r>
            <w:r w:rsidR="005C47A4" w:rsidRPr="006B7CE2">
              <w:rPr>
                <w:rStyle w:val="Lienhypertexte"/>
                <w:noProof/>
              </w:rPr>
              <w:t>Actions durant le feu</w:t>
            </w:r>
            <w:r w:rsidR="005C47A4">
              <w:rPr>
                <w:noProof/>
                <w:webHidden/>
              </w:rPr>
              <w:tab/>
            </w:r>
            <w:r w:rsidR="005C47A4">
              <w:rPr>
                <w:noProof/>
                <w:webHidden/>
              </w:rPr>
              <w:fldChar w:fldCharType="begin"/>
            </w:r>
            <w:r w:rsidR="005C47A4">
              <w:rPr>
                <w:noProof/>
                <w:webHidden/>
              </w:rPr>
              <w:instrText xml:space="preserve"> PAGEREF _Toc139181588 \h </w:instrText>
            </w:r>
            <w:r w:rsidR="005C47A4">
              <w:rPr>
                <w:noProof/>
                <w:webHidden/>
              </w:rPr>
            </w:r>
            <w:r w:rsidR="005C47A4">
              <w:rPr>
                <w:noProof/>
                <w:webHidden/>
              </w:rPr>
              <w:fldChar w:fldCharType="separate"/>
            </w:r>
            <w:r w:rsidR="004D7B96">
              <w:rPr>
                <w:noProof/>
                <w:webHidden/>
              </w:rPr>
              <w:t>324</w:t>
            </w:r>
            <w:r w:rsidR="005C47A4">
              <w:rPr>
                <w:noProof/>
                <w:webHidden/>
              </w:rPr>
              <w:fldChar w:fldCharType="end"/>
            </w:r>
          </w:hyperlink>
        </w:p>
        <w:p w14:paraId="47146D5C" w14:textId="4DB2A00C" w:rsidR="005C47A4" w:rsidRDefault="00000000">
          <w:pPr>
            <w:pStyle w:val="TM2"/>
            <w:tabs>
              <w:tab w:val="left" w:pos="1100"/>
              <w:tab w:val="right" w:leader="dot" w:pos="10416"/>
            </w:tabs>
            <w:rPr>
              <w:rFonts w:eastAsiaTheme="minorEastAsia"/>
              <w:noProof/>
              <w:kern w:val="2"/>
              <w:lang w:eastAsia="fr-FR"/>
              <w14:ligatures w14:val="standardContextual"/>
            </w:rPr>
          </w:pPr>
          <w:hyperlink w:anchor="_Toc139181589" w:history="1">
            <w:r w:rsidR="005C47A4" w:rsidRPr="006B7CE2">
              <w:rPr>
                <w:rStyle w:val="Lienhypertexte"/>
                <w:noProof/>
              </w:rPr>
              <w:t>28.11</w:t>
            </w:r>
            <w:r w:rsidR="005C47A4">
              <w:rPr>
                <w:rFonts w:eastAsiaTheme="minorEastAsia"/>
                <w:noProof/>
                <w:kern w:val="2"/>
                <w:lang w:eastAsia="fr-FR"/>
                <w14:ligatures w14:val="standardContextual"/>
              </w:rPr>
              <w:tab/>
            </w:r>
            <w:r w:rsidR="005C47A4" w:rsidRPr="006B7CE2">
              <w:rPr>
                <w:rStyle w:val="Lienhypertexte"/>
                <w:noProof/>
              </w:rPr>
              <w:t>Remise en état de la forêt après un incendie</w:t>
            </w:r>
            <w:r w:rsidR="005C47A4">
              <w:rPr>
                <w:noProof/>
                <w:webHidden/>
              </w:rPr>
              <w:tab/>
            </w:r>
            <w:r w:rsidR="005C47A4">
              <w:rPr>
                <w:noProof/>
                <w:webHidden/>
              </w:rPr>
              <w:fldChar w:fldCharType="begin"/>
            </w:r>
            <w:r w:rsidR="005C47A4">
              <w:rPr>
                <w:noProof/>
                <w:webHidden/>
              </w:rPr>
              <w:instrText xml:space="preserve"> PAGEREF _Toc139181589 \h </w:instrText>
            </w:r>
            <w:r w:rsidR="005C47A4">
              <w:rPr>
                <w:noProof/>
                <w:webHidden/>
              </w:rPr>
            </w:r>
            <w:r w:rsidR="005C47A4">
              <w:rPr>
                <w:noProof/>
                <w:webHidden/>
              </w:rPr>
              <w:fldChar w:fldCharType="separate"/>
            </w:r>
            <w:r w:rsidR="004D7B96">
              <w:rPr>
                <w:noProof/>
                <w:webHidden/>
              </w:rPr>
              <w:t>325</w:t>
            </w:r>
            <w:r w:rsidR="005C47A4">
              <w:rPr>
                <w:noProof/>
                <w:webHidden/>
              </w:rPr>
              <w:fldChar w:fldCharType="end"/>
            </w:r>
          </w:hyperlink>
        </w:p>
        <w:p w14:paraId="75B433A4" w14:textId="5BC6B714" w:rsidR="005C47A4" w:rsidRDefault="00000000">
          <w:pPr>
            <w:pStyle w:val="TM2"/>
            <w:tabs>
              <w:tab w:val="left" w:pos="1100"/>
              <w:tab w:val="right" w:leader="dot" w:pos="10416"/>
            </w:tabs>
            <w:rPr>
              <w:rFonts w:eastAsiaTheme="minorEastAsia"/>
              <w:noProof/>
              <w:kern w:val="2"/>
              <w:lang w:eastAsia="fr-FR"/>
              <w14:ligatures w14:val="standardContextual"/>
            </w:rPr>
          </w:pPr>
          <w:hyperlink w:anchor="_Toc139181590" w:history="1">
            <w:r w:rsidR="005C47A4" w:rsidRPr="006B7CE2">
              <w:rPr>
                <w:rStyle w:val="Lienhypertexte"/>
                <w:noProof/>
              </w:rPr>
              <w:t>28.12</w:t>
            </w:r>
            <w:r w:rsidR="005C47A4">
              <w:rPr>
                <w:rFonts w:eastAsiaTheme="minorEastAsia"/>
                <w:noProof/>
                <w:kern w:val="2"/>
                <w:lang w:eastAsia="fr-FR"/>
                <w14:ligatures w14:val="standardContextual"/>
              </w:rPr>
              <w:tab/>
            </w:r>
            <w:r w:rsidR="005C47A4" w:rsidRPr="006B7CE2">
              <w:rPr>
                <w:rStyle w:val="Lienhypertexte"/>
                <w:noProof/>
              </w:rPr>
              <w:t>Pare-feu (coupe-feu)</w:t>
            </w:r>
            <w:r w:rsidR="005C47A4">
              <w:rPr>
                <w:noProof/>
                <w:webHidden/>
              </w:rPr>
              <w:tab/>
            </w:r>
            <w:r w:rsidR="005C47A4">
              <w:rPr>
                <w:noProof/>
                <w:webHidden/>
              </w:rPr>
              <w:fldChar w:fldCharType="begin"/>
            </w:r>
            <w:r w:rsidR="005C47A4">
              <w:rPr>
                <w:noProof/>
                <w:webHidden/>
              </w:rPr>
              <w:instrText xml:space="preserve"> PAGEREF _Toc139181590 \h </w:instrText>
            </w:r>
            <w:r w:rsidR="005C47A4">
              <w:rPr>
                <w:noProof/>
                <w:webHidden/>
              </w:rPr>
            </w:r>
            <w:r w:rsidR="005C47A4">
              <w:rPr>
                <w:noProof/>
                <w:webHidden/>
              </w:rPr>
              <w:fldChar w:fldCharType="separate"/>
            </w:r>
            <w:r w:rsidR="004D7B96">
              <w:rPr>
                <w:noProof/>
                <w:webHidden/>
              </w:rPr>
              <w:t>325</w:t>
            </w:r>
            <w:r w:rsidR="005C47A4">
              <w:rPr>
                <w:noProof/>
                <w:webHidden/>
              </w:rPr>
              <w:fldChar w:fldCharType="end"/>
            </w:r>
          </w:hyperlink>
        </w:p>
        <w:p w14:paraId="1D2E16E3" w14:textId="1B0634FF" w:rsidR="005C47A4" w:rsidRDefault="00000000">
          <w:pPr>
            <w:pStyle w:val="TM2"/>
            <w:tabs>
              <w:tab w:val="left" w:pos="1100"/>
              <w:tab w:val="right" w:leader="dot" w:pos="10416"/>
            </w:tabs>
            <w:rPr>
              <w:rFonts w:eastAsiaTheme="minorEastAsia"/>
              <w:noProof/>
              <w:kern w:val="2"/>
              <w:lang w:eastAsia="fr-FR"/>
              <w14:ligatures w14:val="standardContextual"/>
            </w:rPr>
          </w:pPr>
          <w:hyperlink w:anchor="_Toc139181591" w:history="1">
            <w:r w:rsidR="005C47A4" w:rsidRPr="006B7CE2">
              <w:rPr>
                <w:rStyle w:val="Lienhypertexte"/>
                <w:noProof/>
              </w:rPr>
              <w:t>28.13</w:t>
            </w:r>
            <w:r w:rsidR="005C47A4">
              <w:rPr>
                <w:rFonts w:eastAsiaTheme="minorEastAsia"/>
                <w:noProof/>
                <w:kern w:val="2"/>
                <w:lang w:eastAsia="fr-FR"/>
                <w14:ligatures w14:val="standardContextual"/>
              </w:rPr>
              <w:tab/>
            </w:r>
            <w:r w:rsidR="005C47A4" w:rsidRPr="006B7CE2">
              <w:rPr>
                <w:rStyle w:val="Lienhypertexte"/>
                <w:noProof/>
              </w:rPr>
              <w:t>Valorisation des coupe-feux</w:t>
            </w:r>
            <w:r w:rsidR="005C47A4">
              <w:rPr>
                <w:noProof/>
                <w:webHidden/>
              </w:rPr>
              <w:tab/>
            </w:r>
            <w:r w:rsidR="005C47A4">
              <w:rPr>
                <w:noProof/>
                <w:webHidden/>
              </w:rPr>
              <w:fldChar w:fldCharType="begin"/>
            </w:r>
            <w:r w:rsidR="005C47A4">
              <w:rPr>
                <w:noProof/>
                <w:webHidden/>
              </w:rPr>
              <w:instrText xml:space="preserve"> PAGEREF _Toc139181591 \h </w:instrText>
            </w:r>
            <w:r w:rsidR="005C47A4">
              <w:rPr>
                <w:noProof/>
                <w:webHidden/>
              </w:rPr>
            </w:r>
            <w:r w:rsidR="005C47A4">
              <w:rPr>
                <w:noProof/>
                <w:webHidden/>
              </w:rPr>
              <w:fldChar w:fldCharType="separate"/>
            </w:r>
            <w:r w:rsidR="004D7B96">
              <w:rPr>
                <w:noProof/>
                <w:webHidden/>
              </w:rPr>
              <w:t>325</w:t>
            </w:r>
            <w:r w:rsidR="005C47A4">
              <w:rPr>
                <w:noProof/>
                <w:webHidden/>
              </w:rPr>
              <w:fldChar w:fldCharType="end"/>
            </w:r>
          </w:hyperlink>
        </w:p>
        <w:p w14:paraId="0C30C322" w14:textId="23C87D9F" w:rsidR="005C47A4" w:rsidRDefault="00000000">
          <w:pPr>
            <w:pStyle w:val="TM2"/>
            <w:tabs>
              <w:tab w:val="left" w:pos="1100"/>
              <w:tab w:val="right" w:leader="dot" w:pos="10416"/>
            </w:tabs>
            <w:rPr>
              <w:rFonts w:eastAsiaTheme="minorEastAsia"/>
              <w:noProof/>
              <w:kern w:val="2"/>
              <w:lang w:eastAsia="fr-FR"/>
              <w14:ligatures w14:val="standardContextual"/>
            </w:rPr>
          </w:pPr>
          <w:hyperlink w:anchor="_Toc139181592" w:history="1">
            <w:r w:rsidR="005C47A4" w:rsidRPr="006B7CE2">
              <w:rPr>
                <w:rStyle w:val="Lienhypertexte"/>
                <w:noProof/>
              </w:rPr>
              <w:t>28.14</w:t>
            </w:r>
            <w:r w:rsidR="005C47A4">
              <w:rPr>
                <w:rFonts w:eastAsiaTheme="minorEastAsia"/>
                <w:noProof/>
                <w:kern w:val="2"/>
                <w:lang w:eastAsia="fr-FR"/>
                <w14:ligatures w14:val="standardContextual"/>
              </w:rPr>
              <w:tab/>
            </w:r>
            <w:r w:rsidR="005C47A4" w:rsidRPr="006B7CE2">
              <w:rPr>
                <w:rStyle w:val="Lienhypertexte"/>
                <w:noProof/>
              </w:rPr>
              <w:t>Réservoirs</w:t>
            </w:r>
            <w:r w:rsidR="005C47A4">
              <w:rPr>
                <w:noProof/>
                <w:webHidden/>
              </w:rPr>
              <w:tab/>
            </w:r>
            <w:r w:rsidR="005C47A4">
              <w:rPr>
                <w:noProof/>
                <w:webHidden/>
              </w:rPr>
              <w:fldChar w:fldCharType="begin"/>
            </w:r>
            <w:r w:rsidR="005C47A4">
              <w:rPr>
                <w:noProof/>
                <w:webHidden/>
              </w:rPr>
              <w:instrText xml:space="preserve"> PAGEREF _Toc139181592 \h </w:instrText>
            </w:r>
            <w:r w:rsidR="005C47A4">
              <w:rPr>
                <w:noProof/>
                <w:webHidden/>
              </w:rPr>
            </w:r>
            <w:r w:rsidR="005C47A4">
              <w:rPr>
                <w:noProof/>
                <w:webHidden/>
              </w:rPr>
              <w:fldChar w:fldCharType="separate"/>
            </w:r>
            <w:r w:rsidR="004D7B96">
              <w:rPr>
                <w:noProof/>
                <w:webHidden/>
              </w:rPr>
              <w:t>325</w:t>
            </w:r>
            <w:r w:rsidR="005C47A4">
              <w:rPr>
                <w:noProof/>
                <w:webHidden/>
              </w:rPr>
              <w:fldChar w:fldCharType="end"/>
            </w:r>
          </w:hyperlink>
        </w:p>
        <w:p w14:paraId="45BA9976" w14:textId="47EC2E39" w:rsidR="005C47A4" w:rsidRDefault="00000000">
          <w:pPr>
            <w:pStyle w:val="TM1"/>
            <w:tabs>
              <w:tab w:val="left" w:pos="660"/>
              <w:tab w:val="right" w:leader="dot" w:pos="10416"/>
            </w:tabs>
            <w:rPr>
              <w:rFonts w:eastAsiaTheme="minorEastAsia"/>
              <w:noProof/>
              <w:kern w:val="2"/>
              <w:lang w:eastAsia="fr-FR"/>
              <w14:ligatures w14:val="standardContextual"/>
            </w:rPr>
          </w:pPr>
          <w:hyperlink w:anchor="_Toc139181593" w:history="1">
            <w:r w:rsidR="005C47A4" w:rsidRPr="006B7CE2">
              <w:rPr>
                <w:rStyle w:val="Lienhypertexte"/>
                <w:noProof/>
              </w:rPr>
              <w:t>29</w:t>
            </w:r>
            <w:r w:rsidR="005C47A4">
              <w:rPr>
                <w:rFonts w:eastAsiaTheme="minorEastAsia"/>
                <w:noProof/>
                <w:kern w:val="2"/>
                <w:lang w:eastAsia="fr-FR"/>
                <w14:ligatures w14:val="standardContextual"/>
              </w:rPr>
              <w:tab/>
            </w:r>
            <w:r w:rsidR="005C47A4" w:rsidRPr="006B7CE2">
              <w:rPr>
                <w:rStyle w:val="Lienhypertexte"/>
                <w:noProof/>
              </w:rPr>
              <w:t>Travail de sensibilisation</w:t>
            </w:r>
            <w:r w:rsidR="005C47A4">
              <w:rPr>
                <w:noProof/>
                <w:webHidden/>
              </w:rPr>
              <w:tab/>
            </w:r>
            <w:r w:rsidR="005C47A4">
              <w:rPr>
                <w:noProof/>
                <w:webHidden/>
              </w:rPr>
              <w:fldChar w:fldCharType="begin"/>
            </w:r>
            <w:r w:rsidR="005C47A4">
              <w:rPr>
                <w:noProof/>
                <w:webHidden/>
              </w:rPr>
              <w:instrText xml:space="preserve"> PAGEREF _Toc139181593 \h </w:instrText>
            </w:r>
            <w:r w:rsidR="005C47A4">
              <w:rPr>
                <w:noProof/>
                <w:webHidden/>
              </w:rPr>
            </w:r>
            <w:r w:rsidR="005C47A4">
              <w:rPr>
                <w:noProof/>
                <w:webHidden/>
              </w:rPr>
              <w:fldChar w:fldCharType="separate"/>
            </w:r>
            <w:r w:rsidR="004D7B96">
              <w:rPr>
                <w:noProof/>
                <w:webHidden/>
              </w:rPr>
              <w:t>326</w:t>
            </w:r>
            <w:r w:rsidR="005C47A4">
              <w:rPr>
                <w:noProof/>
                <w:webHidden/>
              </w:rPr>
              <w:fldChar w:fldCharType="end"/>
            </w:r>
          </w:hyperlink>
        </w:p>
        <w:p w14:paraId="229E20DB" w14:textId="45FA4BFB" w:rsidR="005C47A4" w:rsidRDefault="00000000">
          <w:pPr>
            <w:pStyle w:val="TM1"/>
            <w:tabs>
              <w:tab w:val="left" w:pos="660"/>
              <w:tab w:val="right" w:leader="dot" w:pos="10416"/>
            </w:tabs>
            <w:rPr>
              <w:rFonts w:eastAsiaTheme="minorEastAsia"/>
              <w:noProof/>
              <w:kern w:val="2"/>
              <w:lang w:eastAsia="fr-FR"/>
              <w14:ligatures w14:val="standardContextual"/>
            </w:rPr>
          </w:pPr>
          <w:hyperlink w:anchor="_Toc139181594" w:history="1">
            <w:r w:rsidR="005C47A4" w:rsidRPr="006B7CE2">
              <w:rPr>
                <w:rStyle w:val="Lienhypertexte"/>
                <w:noProof/>
              </w:rPr>
              <w:t>30</w:t>
            </w:r>
            <w:r w:rsidR="005C47A4">
              <w:rPr>
                <w:rFonts w:eastAsiaTheme="minorEastAsia"/>
                <w:noProof/>
                <w:kern w:val="2"/>
                <w:lang w:eastAsia="fr-FR"/>
                <w14:ligatures w14:val="standardContextual"/>
              </w:rPr>
              <w:tab/>
            </w:r>
            <w:r w:rsidR="005C47A4" w:rsidRPr="006B7CE2">
              <w:rPr>
                <w:rStyle w:val="Lienhypertexte"/>
                <w:noProof/>
              </w:rPr>
              <w:t>Création d’une banque de graines / semences</w:t>
            </w:r>
            <w:r w:rsidR="005C47A4">
              <w:rPr>
                <w:noProof/>
                <w:webHidden/>
              </w:rPr>
              <w:tab/>
            </w:r>
            <w:r w:rsidR="005C47A4">
              <w:rPr>
                <w:noProof/>
                <w:webHidden/>
              </w:rPr>
              <w:fldChar w:fldCharType="begin"/>
            </w:r>
            <w:r w:rsidR="005C47A4">
              <w:rPr>
                <w:noProof/>
                <w:webHidden/>
              </w:rPr>
              <w:instrText xml:space="preserve"> PAGEREF _Toc139181594 \h </w:instrText>
            </w:r>
            <w:r w:rsidR="005C47A4">
              <w:rPr>
                <w:noProof/>
                <w:webHidden/>
              </w:rPr>
            </w:r>
            <w:r w:rsidR="005C47A4">
              <w:rPr>
                <w:noProof/>
                <w:webHidden/>
              </w:rPr>
              <w:fldChar w:fldCharType="separate"/>
            </w:r>
            <w:r w:rsidR="004D7B96">
              <w:rPr>
                <w:noProof/>
                <w:webHidden/>
              </w:rPr>
              <w:t>327</w:t>
            </w:r>
            <w:r w:rsidR="005C47A4">
              <w:rPr>
                <w:noProof/>
                <w:webHidden/>
              </w:rPr>
              <w:fldChar w:fldCharType="end"/>
            </w:r>
          </w:hyperlink>
        </w:p>
        <w:p w14:paraId="275F34FF" w14:textId="2ADC8B40"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595" w:history="1">
            <w:r w:rsidR="005C47A4" w:rsidRPr="006B7CE2">
              <w:rPr>
                <w:rStyle w:val="Lienhypertexte"/>
                <w:noProof/>
              </w:rPr>
              <w:t>30.1</w:t>
            </w:r>
            <w:r w:rsidR="005C47A4">
              <w:rPr>
                <w:rFonts w:eastAsiaTheme="minorEastAsia"/>
                <w:noProof/>
                <w:kern w:val="2"/>
                <w:lang w:eastAsia="fr-FR"/>
                <w14:ligatures w14:val="standardContextual"/>
              </w:rPr>
              <w:tab/>
            </w:r>
            <w:r w:rsidR="005C47A4" w:rsidRPr="006B7CE2">
              <w:rPr>
                <w:rStyle w:val="Lienhypertexte"/>
                <w:noProof/>
              </w:rPr>
              <w:t>Où se procurer les jeunes pousses ou les graines ?</w:t>
            </w:r>
            <w:r w:rsidR="005C47A4">
              <w:rPr>
                <w:noProof/>
                <w:webHidden/>
              </w:rPr>
              <w:tab/>
            </w:r>
            <w:r w:rsidR="005C47A4">
              <w:rPr>
                <w:noProof/>
                <w:webHidden/>
              </w:rPr>
              <w:fldChar w:fldCharType="begin"/>
            </w:r>
            <w:r w:rsidR="005C47A4">
              <w:rPr>
                <w:noProof/>
                <w:webHidden/>
              </w:rPr>
              <w:instrText xml:space="preserve"> PAGEREF _Toc139181595 \h </w:instrText>
            </w:r>
            <w:r w:rsidR="005C47A4">
              <w:rPr>
                <w:noProof/>
                <w:webHidden/>
              </w:rPr>
            </w:r>
            <w:r w:rsidR="005C47A4">
              <w:rPr>
                <w:noProof/>
                <w:webHidden/>
              </w:rPr>
              <w:fldChar w:fldCharType="separate"/>
            </w:r>
            <w:r w:rsidR="004D7B96">
              <w:rPr>
                <w:noProof/>
                <w:webHidden/>
              </w:rPr>
              <w:t>327</w:t>
            </w:r>
            <w:r w:rsidR="005C47A4">
              <w:rPr>
                <w:noProof/>
                <w:webHidden/>
              </w:rPr>
              <w:fldChar w:fldCharType="end"/>
            </w:r>
          </w:hyperlink>
        </w:p>
        <w:p w14:paraId="0A80E066" w14:textId="710E2A57"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596" w:history="1">
            <w:r w:rsidR="005C47A4" w:rsidRPr="006B7CE2">
              <w:rPr>
                <w:rStyle w:val="Lienhypertexte"/>
                <w:noProof/>
              </w:rPr>
              <w:t>30.2</w:t>
            </w:r>
            <w:r w:rsidR="005C47A4">
              <w:rPr>
                <w:rFonts w:eastAsiaTheme="minorEastAsia"/>
                <w:noProof/>
                <w:kern w:val="2"/>
                <w:lang w:eastAsia="fr-FR"/>
                <w14:ligatures w14:val="standardContextual"/>
              </w:rPr>
              <w:tab/>
            </w:r>
            <w:r w:rsidR="005C47A4" w:rsidRPr="006B7CE2">
              <w:rPr>
                <w:rStyle w:val="Lienhypertexte"/>
                <w:noProof/>
              </w:rPr>
              <w:t>Comment conserver les graines ?</w:t>
            </w:r>
            <w:r w:rsidR="005C47A4">
              <w:rPr>
                <w:noProof/>
                <w:webHidden/>
              </w:rPr>
              <w:tab/>
            </w:r>
            <w:r w:rsidR="005C47A4">
              <w:rPr>
                <w:noProof/>
                <w:webHidden/>
              </w:rPr>
              <w:fldChar w:fldCharType="begin"/>
            </w:r>
            <w:r w:rsidR="005C47A4">
              <w:rPr>
                <w:noProof/>
                <w:webHidden/>
              </w:rPr>
              <w:instrText xml:space="preserve"> PAGEREF _Toc139181596 \h </w:instrText>
            </w:r>
            <w:r w:rsidR="005C47A4">
              <w:rPr>
                <w:noProof/>
                <w:webHidden/>
              </w:rPr>
            </w:r>
            <w:r w:rsidR="005C47A4">
              <w:rPr>
                <w:noProof/>
                <w:webHidden/>
              </w:rPr>
              <w:fldChar w:fldCharType="separate"/>
            </w:r>
            <w:r w:rsidR="004D7B96">
              <w:rPr>
                <w:noProof/>
                <w:webHidden/>
              </w:rPr>
              <w:t>327</w:t>
            </w:r>
            <w:r w:rsidR="005C47A4">
              <w:rPr>
                <w:noProof/>
                <w:webHidden/>
              </w:rPr>
              <w:fldChar w:fldCharType="end"/>
            </w:r>
          </w:hyperlink>
        </w:p>
        <w:p w14:paraId="0D2D60A8" w14:textId="60B34EF6"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597" w:history="1">
            <w:r w:rsidR="005C47A4" w:rsidRPr="006B7CE2">
              <w:rPr>
                <w:rStyle w:val="Lienhypertexte"/>
                <w:noProof/>
              </w:rPr>
              <w:t>30.3</w:t>
            </w:r>
            <w:r w:rsidR="005C47A4">
              <w:rPr>
                <w:rFonts w:eastAsiaTheme="minorEastAsia"/>
                <w:noProof/>
                <w:kern w:val="2"/>
                <w:lang w:eastAsia="fr-FR"/>
                <w14:ligatures w14:val="standardContextual"/>
              </w:rPr>
              <w:tab/>
            </w:r>
            <w:r w:rsidR="005C47A4" w:rsidRPr="006B7CE2">
              <w:rPr>
                <w:rStyle w:val="Lienhypertexte"/>
                <w:noProof/>
              </w:rPr>
              <w:t>Critères de qualité des semences</w:t>
            </w:r>
            <w:r w:rsidR="005C47A4">
              <w:rPr>
                <w:noProof/>
                <w:webHidden/>
              </w:rPr>
              <w:tab/>
            </w:r>
            <w:r w:rsidR="005C47A4">
              <w:rPr>
                <w:noProof/>
                <w:webHidden/>
              </w:rPr>
              <w:fldChar w:fldCharType="begin"/>
            </w:r>
            <w:r w:rsidR="005C47A4">
              <w:rPr>
                <w:noProof/>
                <w:webHidden/>
              </w:rPr>
              <w:instrText xml:space="preserve"> PAGEREF _Toc139181597 \h </w:instrText>
            </w:r>
            <w:r w:rsidR="005C47A4">
              <w:rPr>
                <w:noProof/>
                <w:webHidden/>
              </w:rPr>
            </w:r>
            <w:r w:rsidR="005C47A4">
              <w:rPr>
                <w:noProof/>
                <w:webHidden/>
              </w:rPr>
              <w:fldChar w:fldCharType="separate"/>
            </w:r>
            <w:r w:rsidR="004D7B96">
              <w:rPr>
                <w:noProof/>
                <w:webHidden/>
              </w:rPr>
              <w:t>327</w:t>
            </w:r>
            <w:r w:rsidR="005C47A4">
              <w:rPr>
                <w:noProof/>
                <w:webHidden/>
              </w:rPr>
              <w:fldChar w:fldCharType="end"/>
            </w:r>
          </w:hyperlink>
        </w:p>
        <w:p w14:paraId="20E1B7F8" w14:textId="5ECBC37B"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598" w:history="1">
            <w:r w:rsidR="005C47A4" w:rsidRPr="006B7CE2">
              <w:rPr>
                <w:rStyle w:val="Lienhypertexte"/>
                <w:noProof/>
              </w:rPr>
              <w:t>30.4</w:t>
            </w:r>
            <w:r w:rsidR="005C47A4">
              <w:rPr>
                <w:rFonts w:eastAsiaTheme="minorEastAsia"/>
                <w:noProof/>
                <w:kern w:val="2"/>
                <w:lang w:eastAsia="fr-FR"/>
                <w14:ligatures w14:val="standardContextual"/>
              </w:rPr>
              <w:tab/>
            </w:r>
            <w:r w:rsidR="005C47A4" w:rsidRPr="006B7CE2">
              <w:rPr>
                <w:rStyle w:val="Lienhypertexte"/>
                <w:noProof/>
              </w:rPr>
              <w:t>Les opérations pouvant être effectuées pour la conservation des semences</w:t>
            </w:r>
            <w:r w:rsidR="005C47A4">
              <w:rPr>
                <w:noProof/>
                <w:webHidden/>
              </w:rPr>
              <w:tab/>
            </w:r>
            <w:r w:rsidR="005C47A4">
              <w:rPr>
                <w:noProof/>
                <w:webHidden/>
              </w:rPr>
              <w:fldChar w:fldCharType="begin"/>
            </w:r>
            <w:r w:rsidR="005C47A4">
              <w:rPr>
                <w:noProof/>
                <w:webHidden/>
              </w:rPr>
              <w:instrText xml:space="preserve"> PAGEREF _Toc139181598 \h </w:instrText>
            </w:r>
            <w:r w:rsidR="005C47A4">
              <w:rPr>
                <w:noProof/>
                <w:webHidden/>
              </w:rPr>
            </w:r>
            <w:r w:rsidR="005C47A4">
              <w:rPr>
                <w:noProof/>
                <w:webHidden/>
              </w:rPr>
              <w:fldChar w:fldCharType="separate"/>
            </w:r>
            <w:r w:rsidR="004D7B96">
              <w:rPr>
                <w:noProof/>
                <w:webHidden/>
              </w:rPr>
              <w:t>327</w:t>
            </w:r>
            <w:r w:rsidR="005C47A4">
              <w:rPr>
                <w:noProof/>
                <w:webHidden/>
              </w:rPr>
              <w:fldChar w:fldCharType="end"/>
            </w:r>
          </w:hyperlink>
        </w:p>
        <w:p w14:paraId="0E5B5BA5" w14:textId="78121BF4"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599" w:history="1">
            <w:r w:rsidR="005C47A4" w:rsidRPr="006B7CE2">
              <w:rPr>
                <w:rStyle w:val="Lienhypertexte"/>
                <w:noProof/>
              </w:rPr>
              <w:t>30.5</w:t>
            </w:r>
            <w:r w:rsidR="005C47A4">
              <w:rPr>
                <w:rFonts w:eastAsiaTheme="minorEastAsia"/>
                <w:noProof/>
                <w:kern w:val="2"/>
                <w:lang w:eastAsia="fr-FR"/>
                <w14:ligatures w14:val="standardContextual"/>
              </w:rPr>
              <w:tab/>
            </w:r>
            <w:r w:rsidR="005C47A4" w:rsidRPr="006B7CE2">
              <w:rPr>
                <w:rStyle w:val="Lienhypertexte"/>
                <w:noProof/>
              </w:rPr>
              <w:t>Semences orthodoxes et récalcitrantes (voir ci-après)</w:t>
            </w:r>
            <w:r w:rsidR="005C47A4">
              <w:rPr>
                <w:noProof/>
                <w:webHidden/>
              </w:rPr>
              <w:tab/>
            </w:r>
            <w:r w:rsidR="005C47A4">
              <w:rPr>
                <w:noProof/>
                <w:webHidden/>
              </w:rPr>
              <w:fldChar w:fldCharType="begin"/>
            </w:r>
            <w:r w:rsidR="005C47A4">
              <w:rPr>
                <w:noProof/>
                <w:webHidden/>
              </w:rPr>
              <w:instrText xml:space="preserve"> PAGEREF _Toc139181599 \h </w:instrText>
            </w:r>
            <w:r w:rsidR="005C47A4">
              <w:rPr>
                <w:noProof/>
                <w:webHidden/>
              </w:rPr>
            </w:r>
            <w:r w:rsidR="005C47A4">
              <w:rPr>
                <w:noProof/>
                <w:webHidden/>
              </w:rPr>
              <w:fldChar w:fldCharType="separate"/>
            </w:r>
            <w:r w:rsidR="004D7B96">
              <w:rPr>
                <w:noProof/>
                <w:webHidden/>
              </w:rPr>
              <w:t>327</w:t>
            </w:r>
            <w:r w:rsidR="005C47A4">
              <w:rPr>
                <w:noProof/>
                <w:webHidden/>
              </w:rPr>
              <w:fldChar w:fldCharType="end"/>
            </w:r>
          </w:hyperlink>
        </w:p>
        <w:p w14:paraId="61D78568" w14:textId="22558064"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600" w:history="1">
            <w:r w:rsidR="005C47A4" w:rsidRPr="006B7CE2">
              <w:rPr>
                <w:rStyle w:val="Lienhypertexte"/>
                <w:noProof/>
              </w:rPr>
              <w:t>30.6</w:t>
            </w:r>
            <w:r w:rsidR="005C47A4">
              <w:rPr>
                <w:rFonts w:eastAsiaTheme="minorEastAsia"/>
                <w:noProof/>
                <w:kern w:val="2"/>
                <w:lang w:eastAsia="fr-FR"/>
                <w14:ligatures w14:val="standardContextual"/>
              </w:rPr>
              <w:tab/>
            </w:r>
            <w:r w:rsidR="005C47A4" w:rsidRPr="006B7CE2">
              <w:rPr>
                <w:rStyle w:val="Lienhypertexte"/>
                <w:noProof/>
              </w:rPr>
              <w:t>Exemple de la « semence-othèque » du Jardin des fraternités ouvrières de Mouscron (ASBL, Belgique)</w:t>
            </w:r>
            <w:r w:rsidR="005C47A4">
              <w:rPr>
                <w:noProof/>
                <w:webHidden/>
              </w:rPr>
              <w:tab/>
            </w:r>
            <w:r w:rsidR="005C47A4">
              <w:rPr>
                <w:noProof/>
                <w:webHidden/>
              </w:rPr>
              <w:fldChar w:fldCharType="begin"/>
            </w:r>
            <w:r w:rsidR="005C47A4">
              <w:rPr>
                <w:noProof/>
                <w:webHidden/>
              </w:rPr>
              <w:instrText xml:space="preserve"> PAGEREF _Toc139181600 \h </w:instrText>
            </w:r>
            <w:r w:rsidR="005C47A4">
              <w:rPr>
                <w:noProof/>
                <w:webHidden/>
              </w:rPr>
            </w:r>
            <w:r w:rsidR="005C47A4">
              <w:rPr>
                <w:noProof/>
                <w:webHidden/>
              </w:rPr>
              <w:fldChar w:fldCharType="separate"/>
            </w:r>
            <w:r w:rsidR="004D7B96">
              <w:rPr>
                <w:noProof/>
                <w:webHidden/>
              </w:rPr>
              <w:t>328</w:t>
            </w:r>
            <w:r w:rsidR="005C47A4">
              <w:rPr>
                <w:noProof/>
                <w:webHidden/>
              </w:rPr>
              <w:fldChar w:fldCharType="end"/>
            </w:r>
          </w:hyperlink>
        </w:p>
        <w:p w14:paraId="2425D707" w14:textId="27344839" w:rsidR="005C47A4" w:rsidRDefault="00000000">
          <w:pPr>
            <w:pStyle w:val="TM1"/>
            <w:tabs>
              <w:tab w:val="left" w:pos="660"/>
              <w:tab w:val="right" w:leader="dot" w:pos="10416"/>
            </w:tabs>
            <w:rPr>
              <w:rFonts w:eastAsiaTheme="minorEastAsia"/>
              <w:noProof/>
              <w:kern w:val="2"/>
              <w:lang w:eastAsia="fr-FR"/>
              <w14:ligatures w14:val="standardContextual"/>
            </w:rPr>
          </w:pPr>
          <w:hyperlink w:anchor="_Toc139181601" w:history="1">
            <w:r w:rsidR="005C47A4" w:rsidRPr="006B7CE2">
              <w:rPr>
                <w:rStyle w:val="Lienhypertexte"/>
                <w:noProof/>
              </w:rPr>
              <w:t>31</w:t>
            </w:r>
            <w:r w:rsidR="005C47A4">
              <w:rPr>
                <w:rFonts w:eastAsiaTheme="minorEastAsia"/>
                <w:noProof/>
                <w:kern w:val="2"/>
                <w:lang w:eastAsia="fr-FR"/>
                <w14:ligatures w14:val="standardContextual"/>
              </w:rPr>
              <w:tab/>
            </w:r>
            <w:r w:rsidR="005C47A4" w:rsidRPr="006B7CE2">
              <w:rPr>
                <w:rStyle w:val="Lienhypertexte"/>
                <w:noProof/>
              </w:rPr>
              <w:t>Projets de lutte contre la désertification (contre l’avancée des déserts)</w:t>
            </w:r>
            <w:r w:rsidR="005C47A4">
              <w:rPr>
                <w:noProof/>
                <w:webHidden/>
              </w:rPr>
              <w:tab/>
            </w:r>
            <w:r w:rsidR="005C47A4">
              <w:rPr>
                <w:noProof/>
                <w:webHidden/>
              </w:rPr>
              <w:fldChar w:fldCharType="begin"/>
            </w:r>
            <w:r w:rsidR="005C47A4">
              <w:rPr>
                <w:noProof/>
                <w:webHidden/>
              </w:rPr>
              <w:instrText xml:space="preserve"> PAGEREF _Toc139181601 \h </w:instrText>
            </w:r>
            <w:r w:rsidR="005C47A4">
              <w:rPr>
                <w:noProof/>
                <w:webHidden/>
              </w:rPr>
            </w:r>
            <w:r w:rsidR="005C47A4">
              <w:rPr>
                <w:noProof/>
                <w:webHidden/>
              </w:rPr>
              <w:fldChar w:fldCharType="separate"/>
            </w:r>
            <w:r w:rsidR="004D7B96">
              <w:rPr>
                <w:noProof/>
                <w:webHidden/>
              </w:rPr>
              <w:t>331</w:t>
            </w:r>
            <w:r w:rsidR="005C47A4">
              <w:rPr>
                <w:noProof/>
                <w:webHidden/>
              </w:rPr>
              <w:fldChar w:fldCharType="end"/>
            </w:r>
          </w:hyperlink>
        </w:p>
        <w:p w14:paraId="5AB6DEC4" w14:textId="340E3569"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602" w:history="1">
            <w:r w:rsidR="005C47A4" w:rsidRPr="006B7CE2">
              <w:rPr>
                <w:rStyle w:val="Lienhypertexte"/>
                <w:noProof/>
              </w:rPr>
              <w:t>31.1</w:t>
            </w:r>
            <w:r w:rsidR="005C47A4">
              <w:rPr>
                <w:rFonts w:eastAsiaTheme="minorEastAsia"/>
                <w:noProof/>
                <w:kern w:val="2"/>
                <w:lang w:eastAsia="fr-FR"/>
                <w14:ligatures w14:val="standardContextual"/>
              </w:rPr>
              <w:tab/>
            </w:r>
            <w:r w:rsidR="005C47A4" w:rsidRPr="006B7CE2">
              <w:rPr>
                <w:rStyle w:val="Lienhypertexte"/>
                <w:noProof/>
              </w:rPr>
              <w:t>Solution aux blizzards noirs, dans les grandes plaines, aux USA, dans les années 30</w:t>
            </w:r>
            <w:r w:rsidR="005C47A4">
              <w:rPr>
                <w:noProof/>
                <w:webHidden/>
              </w:rPr>
              <w:tab/>
            </w:r>
            <w:r w:rsidR="005C47A4">
              <w:rPr>
                <w:noProof/>
                <w:webHidden/>
              </w:rPr>
              <w:fldChar w:fldCharType="begin"/>
            </w:r>
            <w:r w:rsidR="005C47A4">
              <w:rPr>
                <w:noProof/>
                <w:webHidden/>
              </w:rPr>
              <w:instrText xml:space="preserve"> PAGEREF _Toc139181602 \h </w:instrText>
            </w:r>
            <w:r w:rsidR="005C47A4">
              <w:rPr>
                <w:noProof/>
                <w:webHidden/>
              </w:rPr>
            </w:r>
            <w:r w:rsidR="005C47A4">
              <w:rPr>
                <w:noProof/>
                <w:webHidden/>
              </w:rPr>
              <w:fldChar w:fldCharType="separate"/>
            </w:r>
            <w:r w:rsidR="004D7B96">
              <w:rPr>
                <w:noProof/>
                <w:webHidden/>
              </w:rPr>
              <w:t>331</w:t>
            </w:r>
            <w:r w:rsidR="005C47A4">
              <w:rPr>
                <w:noProof/>
                <w:webHidden/>
              </w:rPr>
              <w:fldChar w:fldCharType="end"/>
            </w:r>
          </w:hyperlink>
        </w:p>
        <w:p w14:paraId="348CDA06" w14:textId="15BFA3FA"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603" w:history="1">
            <w:r w:rsidR="005C47A4" w:rsidRPr="006B7CE2">
              <w:rPr>
                <w:rStyle w:val="Lienhypertexte"/>
                <w:noProof/>
              </w:rPr>
              <w:t>31.2</w:t>
            </w:r>
            <w:r w:rsidR="005C47A4">
              <w:rPr>
                <w:rFonts w:eastAsiaTheme="minorEastAsia"/>
                <w:noProof/>
                <w:kern w:val="2"/>
                <w:lang w:eastAsia="fr-FR"/>
                <w14:ligatures w14:val="standardContextual"/>
              </w:rPr>
              <w:tab/>
            </w:r>
            <w:r w:rsidR="005C47A4" w:rsidRPr="006B7CE2">
              <w:rPr>
                <w:rStyle w:val="Lienhypertexte"/>
                <w:noProof/>
              </w:rPr>
              <w:t>Grande muraille verte (Afrique)</w:t>
            </w:r>
            <w:r w:rsidR="005C47A4">
              <w:rPr>
                <w:noProof/>
                <w:webHidden/>
              </w:rPr>
              <w:tab/>
            </w:r>
            <w:r w:rsidR="005C47A4">
              <w:rPr>
                <w:noProof/>
                <w:webHidden/>
              </w:rPr>
              <w:fldChar w:fldCharType="begin"/>
            </w:r>
            <w:r w:rsidR="005C47A4">
              <w:rPr>
                <w:noProof/>
                <w:webHidden/>
              </w:rPr>
              <w:instrText xml:space="preserve"> PAGEREF _Toc139181603 \h </w:instrText>
            </w:r>
            <w:r w:rsidR="005C47A4">
              <w:rPr>
                <w:noProof/>
                <w:webHidden/>
              </w:rPr>
            </w:r>
            <w:r w:rsidR="005C47A4">
              <w:rPr>
                <w:noProof/>
                <w:webHidden/>
              </w:rPr>
              <w:fldChar w:fldCharType="separate"/>
            </w:r>
            <w:r w:rsidR="004D7B96">
              <w:rPr>
                <w:noProof/>
                <w:webHidden/>
              </w:rPr>
              <w:t>332</w:t>
            </w:r>
            <w:r w:rsidR="005C47A4">
              <w:rPr>
                <w:noProof/>
                <w:webHidden/>
              </w:rPr>
              <w:fldChar w:fldCharType="end"/>
            </w:r>
          </w:hyperlink>
        </w:p>
        <w:p w14:paraId="1A94E356" w14:textId="1D273215" w:rsidR="005C47A4" w:rsidRDefault="00000000">
          <w:pPr>
            <w:pStyle w:val="TM3"/>
            <w:tabs>
              <w:tab w:val="left" w:pos="1320"/>
              <w:tab w:val="right" w:leader="dot" w:pos="10416"/>
            </w:tabs>
            <w:rPr>
              <w:rFonts w:eastAsiaTheme="minorEastAsia"/>
              <w:noProof/>
              <w:kern w:val="2"/>
              <w:lang w:eastAsia="fr-FR"/>
              <w14:ligatures w14:val="standardContextual"/>
            </w:rPr>
          </w:pPr>
          <w:hyperlink w:anchor="_Toc139181604" w:history="1">
            <w:r w:rsidR="005C47A4" w:rsidRPr="006B7CE2">
              <w:rPr>
                <w:rStyle w:val="Lienhypertexte"/>
                <w:noProof/>
              </w:rPr>
              <w:t>31.2.1</w:t>
            </w:r>
            <w:r w:rsidR="005C47A4">
              <w:rPr>
                <w:rFonts w:eastAsiaTheme="minorEastAsia"/>
                <w:noProof/>
                <w:kern w:val="2"/>
                <w:lang w:eastAsia="fr-FR"/>
                <w14:ligatures w14:val="standardContextual"/>
              </w:rPr>
              <w:tab/>
            </w:r>
            <w:r w:rsidR="005C47A4" w:rsidRPr="006B7CE2">
              <w:rPr>
                <w:rStyle w:val="Lienhypertexte"/>
                <w:noProof/>
              </w:rPr>
              <w:t>Les controverses concernant ce projet</w:t>
            </w:r>
            <w:r w:rsidR="005C47A4">
              <w:rPr>
                <w:noProof/>
                <w:webHidden/>
              </w:rPr>
              <w:tab/>
            </w:r>
            <w:r w:rsidR="005C47A4">
              <w:rPr>
                <w:noProof/>
                <w:webHidden/>
              </w:rPr>
              <w:fldChar w:fldCharType="begin"/>
            </w:r>
            <w:r w:rsidR="005C47A4">
              <w:rPr>
                <w:noProof/>
                <w:webHidden/>
              </w:rPr>
              <w:instrText xml:space="preserve"> PAGEREF _Toc139181604 \h </w:instrText>
            </w:r>
            <w:r w:rsidR="005C47A4">
              <w:rPr>
                <w:noProof/>
                <w:webHidden/>
              </w:rPr>
            </w:r>
            <w:r w:rsidR="005C47A4">
              <w:rPr>
                <w:noProof/>
                <w:webHidden/>
              </w:rPr>
              <w:fldChar w:fldCharType="separate"/>
            </w:r>
            <w:r w:rsidR="004D7B96">
              <w:rPr>
                <w:noProof/>
                <w:webHidden/>
              </w:rPr>
              <w:t>334</w:t>
            </w:r>
            <w:r w:rsidR="005C47A4">
              <w:rPr>
                <w:noProof/>
                <w:webHidden/>
              </w:rPr>
              <w:fldChar w:fldCharType="end"/>
            </w:r>
          </w:hyperlink>
        </w:p>
        <w:p w14:paraId="5CE214D6" w14:textId="6D1D6471" w:rsidR="005C47A4" w:rsidRDefault="00000000">
          <w:pPr>
            <w:pStyle w:val="TM3"/>
            <w:tabs>
              <w:tab w:val="left" w:pos="1320"/>
              <w:tab w:val="right" w:leader="dot" w:pos="10416"/>
            </w:tabs>
            <w:rPr>
              <w:rFonts w:eastAsiaTheme="minorEastAsia"/>
              <w:noProof/>
              <w:kern w:val="2"/>
              <w:lang w:eastAsia="fr-FR"/>
              <w14:ligatures w14:val="standardContextual"/>
            </w:rPr>
          </w:pPr>
          <w:hyperlink w:anchor="_Toc139181605" w:history="1">
            <w:r w:rsidR="005C47A4" w:rsidRPr="006B7CE2">
              <w:rPr>
                <w:rStyle w:val="Lienhypertexte"/>
                <w:noProof/>
              </w:rPr>
              <w:t>31.2.2</w:t>
            </w:r>
            <w:r w:rsidR="005C47A4">
              <w:rPr>
                <w:rFonts w:eastAsiaTheme="minorEastAsia"/>
                <w:noProof/>
                <w:kern w:val="2"/>
                <w:lang w:eastAsia="fr-FR"/>
                <w14:ligatures w14:val="standardContextual"/>
              </w:rPr>
              <w:tab/>
            </w:r>
            <w:r w:rsidR="005C47A4" w:rsidRPr="006B7CE2">
              <w:rPr>
                <w:rStyle w:val="Lienhypertexte"/>
                <w:noProof/>
              </w:rPr>
              <w:t>Remise en cause du concept de désertification</w:t>
            </w:r>
            <w:r w:rsidR="005C47A4">
              <w:rPr>
                <w:noProof/>
                <w:webHidden/>
              </w:rPr>
              <w:tab/>
            </w:r>
            <w:r w:rsidR="005C47A4">
              <w:rPr>
                <w:noProof/>
                <w:webHidden/>
              </w:rPr>
              <w:fldChar w:fldCharType="begin"/>
            </w:r>
            <w:r w:rsidR="005C47A4">
              <w:rPr>
                <w:noProof/>
                <w:webHidden/>
              </w:rPr>
              <w:instrText xml:space="preserve"> PAGEREF _Toc139181605 \h </w:instrText>
            </w:r>
            <w:r w:rsidR="005C47A4">
              <w:rPr>
                <w:noProof/>
                <w:webHidden/>
              </w:rPr>
            </w:r>
            <w:r w:rsidR="005C47A4">
              <w:rPr>
                <w:noProof/>
                <w:webHidden/>
              </w:rPr>
              <w:fldChar w:fldCharType="separate"/>
            </w:r>
            <w:r w:rsidR="004D7B96">
              <w:rPr>
                <w:noProof/>
                <w:webHidden/>
              </w:rPr>
              <w:t>334</w:t>
            </w:r>
            <w:r w:rsidR="005C47A4">
              <w:rPr>
                <w:noProof/>
                <w:webHidden/>
              </w:rPr>
              <w:fldChar w:fldCharType="end"/>
            </w:r>
          </w:hyperlink>
        </w:p>
        <w:p w14:paraId="6846313A" w14:textId="5F6F3C58" w:rsidR="005C47A4" w:rsidRDefault="00000000">
          <w:pPr>
            <w:pStyle w:val="TM3"/>
            <w:tabs>
              <w:tab w:val="left" w:pos="1320"/>
              <w:tab w:val="right" w:leader="dot" w:pos="10416"/>
            </w:tabs>
            <w:rPr>
              <w:rFonts w:eastAsiaTheme="minorEastAsia"/>
              <w:noProof/>
              <w:kern w:val="2"/>
              <w:lang w:eastAsia="fr-FR"/>
              <w14:ligatures w14:val="standardContextual"/>
            </w:rPr>
          </w:pPr>
          <w:hyperlink w:anchor="_Toc139181606" w:history="1">
            <w:r w:rsidR="005C47A4" w:rsidRPr="006B7CE2">
              <w:rPr>
                <w:rStyle w:val="Lienhypertexte"/>
                <w:noProof/>
              </w:rPr>
              <w:t>31.2.3</w:t>
            </w:r>
            <w:r w:rsidR="005C47A4">
              <w:rPr>
                <w:rFonts w:eastAsiaTheme="minorEastAsia"/>
                <w:noProof/>
                <w:kern w:val="2"/>
                <w:lang w:eastAsia="fr-FR"/>
                <w14:ligatures w14:val="standardContextual"/>
              </w:rPr>
              <w:tab/>
            </w:r>
            <w:r w:rsidR="005C47A4" w:rsidRPr="006B7CE2">
              <w:rPr>
                <w:rStyle w:val="Lienhypertexte"/>
                <w:noProof/>
              </w:rPr>
              <w:t>Difficultés de mise en œuvre dans les régions instables (en guerre)</w:t>
            </w:r>
            <w:r w:rsidR="005C47A4">
              <w:rPr>
                <w:noProof/>
                <w:webHidden/>
              </w:rPr>
              <w:tab/>
            </w:r>
            <w:r w:rsidR="005C47A4">
              <w:rPr>
                <w:noProof/>
                <w:webHidden/>
              </w:rPr>
              <w:fldChar w:fldCharType="begin"/>
            </w:r>
            <w:r w:rsidR="005C47A4">
              <w:rPr>
                <w:noProof/>
                <w:webHidden/>
              </w:rPr>
              <w:instrText xml:space="preserve"> PAGEREF _Toc139181606 \h </w:instrText>
            </w:r>
            <w:r w:rsidR="005C47A4">
              <w:rPr>
                <w:noProof/>
                <w:webHidden/>
              </w:rPr>
            </w:r>
            <w:r w:rsidR="005C47A4">
              <w:rPr>
                <w:noProof/>
                <w:webHidden/>
              </w:rPr>
              <w:fldChar w:fldCharType="separate"/>
            </w:r>
            <w:r w:rsidR="004D7B96">
              <w:rPr>
                <w:noProof/>
                <w:webHidden/>
              </w:rPr>
              <w:t>334</w:t>
            </w:r>
            <w:r w:rsidR="005C47A4">
              <w:rPr>
                <w:noProof/>
                <w:webHidden/>
              </w:rPr>
              <w:fldChar w:fldCharType="end"/>
            </w:r>
          </w:hyperlink>
        </w:p>
        <w:p w14:paraId="67DB75F4" w14:textId="25147B4B"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607" w:history="1">
            <w:r w:rsidR="005C47A4" w:rsidRPr="006B7CE2">
              <w:rPr>
                <w:rStyle w:val="Lienhypertexte"/>
                <w:noProof/>
              </w:rPr>
              <w:t>31.3</w:t>
            </w:r>
            <w:r w:rsidR="005C47A4">
              <w:rPr>
                <w:rFonts w:eastAsiaTheme="minorEastAsia"/>
                <w:noProof/>
                <w:kern w:val="2"/>
                <w:lang w:eastAsia="fr-FR"/>
                <w14:ligatures w14:val="standardContextual"/>
              </w:rPr>
              <w:tab/>
            </w:r>
            <w:r w:rsidR="005C47A4" w:rsidRPr="006B7CE2">
              <w:rPr>
                <w:rStyle w:val="Lienhypertexte"/>
                <w:noProof/>
              </w:rPr>
              <w:t>Le barrage vert en Algérie</w:t>
            </w:r>
            <w:r w:rsidR="005C47A4">
              <w:rPr>
                <w:noProof/>
                <w:webHidden/>
              </w:rPr>
              <w:tab/>
            </w:r>
            <w:r w:rsidR="005C47A4">
              <w:rPr>
                <w:noProof/>
                <w:webHidden/>
              </w:rPr>
              <w:fldChar w:fldCharType="begin"/>
            </w:r>
            <w:r w:rsidR="005C47A4">
              <w:rPr>
                <w:noProof/>
                <w:webHidden/>
              </w:rPr>
              <w:instrText xml:space="preserve"> PAGEREF _Toc139181607 \h </w:instrText>
            </w:r>
            <w:r w:rsidR="005C47A4">
              <w:rPr>
                <w:noProof/>
                <w:webHidden/>
              </w:rPr>
            </w:r>
            <w:r w:rsidR="005C47A4">
              <w:rPr>
                <w:noProof/>
                <w:webHidden/>
              </w:rPr>
              <w:fldChar w:fldCharType="separate"/>
            </w:r>
            <w:r w:rsidR="004D7B96">
              <w:rPr>
                <w:noProof/>
                <w:webHidden/>
              </w:rPr>
              <w:t>335</w:t>
            </w:r>
            <w:r w:rsidR="005C47A4">
              <w:rPr>
                <w:noProof/>
                <w:webHidden/>
              </w:rPr>
              <w:fldChar w:fldCharType="end"/>
            </w:r>
          </w:hyperlink>
        </w:p>
        <w:p w14:paraId="69490374" w14:textId="02CB5D75"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608" w:history="1">
            <w:r w:rsidR="005C47A4" w:rsidRPr="006B7CE2">
              <w:rPr>
                <w:rStyle w:val="Lienhypertexte"/>
                <w:noProof/>
              </w:rPr>
              <w:t>31.4</w:t>
            </w:r>
            <w:r w:rsidR="005C47A4">
              <w:rPr>
                <w:rFonts w:eastAsiaTheme="minorEastAsia"/>
                <w:noProof/>
                <w:kern w:val="2"/>
                <w:lang w:eastAsia="fr-FR"/>
                <w14:ligatures w14:val="standardContextual"/>
              </w:rPr>
              <w:tab/>
            </w:r>
            <w:r w:rsidR="005C47A4" w:rsidRPr="006B7CE2">
              <w:rPr>
                <w:rStyle w:val="Lienhypertexte"/>
                <w:noProof/>
                <w:shd w:val="clear" w:color="auto" w:fill="FFFFFF"/>
              </w:rPr>
              <w:t>Le Mouvement de la ceinture verte (Green Belt Movement ou GBM)</w:t>
            </w:r>
            <w:r w:rsidR="005C47A4">
              <w:rPr>
                <w:noProof/>
                <w:webHidden/>
              </w:rPr>
              <w:tab/>
            </w:r>
            <w:r w:rsidR="005C47A4">
              <w:rPr>
                <w:noProof/>
                <w:webHidden/>
              </w:rPr>
              <w:fldChar w:fldCharType="begin"/>
            </w:r>
            <w:r w:rsidR="005C47A4">
              <w:rPr>
                <w:noProof/>
                <w:webHidden/>
              </w:rPr>
              <w:instrText xml:space="preserve"> PAGEREF _Toc139181608 \h </w:instrText>
            </w:r>
            <w:r w:rsidR="005C47A4">
              <w:rPr>
                <w:noProof/>
                <w:webHidden/>
              </w:rPr>
            </w:r>
            <w:r w:rsidR="005C47A4">
              <w:rPr>
                <w:noProof/>
                <w:webHidden/>
              </w:rPr>
              <w:fldChar w:fldCharType="separate"/>
            </w:r>
            <w:r w:rsidR="004D7B96">
              <w:rPr>
                <w:noProof/>
                <w:webHidden/>
              </w:rPr>
              <w:t>335</w:t>
            </w:r>
            <w:r w:rsidR="005C47A4">
              <w:rPr>
                <w:noProof/>
                <w:webHidden/>
              </w:rPr>
              <w:fldChar w:fldCharType="end"/>
            </w:r>
          </w:hyperlink>
        </w:p>
        <w:p w14:paraId="311675F9" w14:textId="2C41ABF8" w:rsidR="005C47A4" w:rsidRDefault="00000000">
          <w:pPr>
            <w:pStyle w:val="TM3"/>
            <w:tabs>
              <w:tab w:val="left" w:pos="1320"/>
              <w:tab w:val="right" w:leader="dot" w:pos="10416"/>
            </w:tabs>
            <w:rPr>
              <w:rFonts w:eastAsiaTheme="minorEastAsia"/>
              <w:noProof/>
              <w:kern w:val="2"/>
              <w:lang w:eastAsia="fr-FR"/>
              <w14:ligatures w14:val="standardContextual"/>
            </w:rPr>
          </w:pPr>
          <w:hyperlink w:anchor="_Toc139181609" w:history="1">
            <w:r w:rsidR="005C47A4" w:rsidRPr="006B7CE2">
              <w:rPr>
                <w:rStyle w:val="Lienhypertexte"/>
                <w:noProof/>
              </w:rPr>
              <w:t>31.4.1</w:t>
            </w:r>
            <w:r w:rsidR="005C47A4">
              <w:rPr>
                <w:rFonts w:eastAsiaTheme="minorEastAsia"/>
                <w:noProof/>
                <w:kern w:val="2"/>
                <w:lang w:eastAsia="fr-FR"/>
                <w14:ligatures w14:val="standardContextual"/>
              </w:rPr>
              <w:tab/>
            </w:r>
            <w:r w:rsidR="005C47A4" w:rsidRPr="006B7CE2">
              <w:rPr>
                <w:rStyle w:val="Lienhypertexte"/>
                <w:noProof/>
              </w:rPr>
              <w:t>Le brise-vent des Trois-Nord ou la Grande muraille verte (en Chine)</w:t>
            </w:r>
            <w:r w:rsidR="005C47A4">
              <w:rPr>
                <w:noProof/>
                <w:webHidden/>
              </w:rPr>
              <w:tab/>
            </w:r>
            <w:r w:rsidR="005C47A4">
              <w:rPr>
                <w:noProof/>
                <w:webHidden/>
              </w:rPr>
              <w:fldChar w:fldCharType="begin"/>
            </w:r>
            <w:r w:rsidR="005C47A4">
              <w:rPr>
                <w:noProof/>
                <w:webHidden/>
              </w:rPr>
              <w:instrText xml:space="preserve"> PAGEREF _Toc139181609 \h </w:instrText>
            </w:r>
            <w:r w:rsidR="005C47A4">
              <w:rPr>
                <w:noProof/>
                <w:webHidden/>
              </w:rPr>
            </w:r>
            <w:r w:rsidR="005C47A4">
              <w:rPr>
                <w:noProof/>
                <w:webHidden/>
              </w:rPr>
              <w:fldChar w:fldCharType="separate"/>
            </w:r>
            <w:r w:rsidR="004D7B96">
              <w:rPr>
                <w:noProof/>
                <w:webHidden/>
              </w:rPr>
              <w:t>336</w:t>
            </w:r>
            <w:r w:rsidR="005C47A4">
              <w:rPr>
                <w:noProof/>
                <w:webHidden/>
              </w:rPr>
              <w:fldChar w:fldCharType="end"/>
            </w:r>
          </w:hyperlink>
        </w:p>
        <w:p w14:paraId="45B89C76" w14:textId="362958B1" w:rsidR="005C47A4" w:rsidRDefault="00000000">
          <w:pPr>
            <w:pStyle w:val="TM3"/>
            <w:tabs>
              <w:tab w:val="left" w:pos="1320"/>
              <w:tab w:val="right" w:leader="dot" w:pos="10416"/>
            </w:tabs>
            <w:rPr>
              <w:rFonts w:eastAsiaTheme="minorEastAsia"/>
              <w:noProof/>
              <w:kern w:val="2"/>
              <w:lang w:eastAsia="fr-FR"/>
              <w14:ligatures w14:val="standardContextual"/>
            </w:rPr>
          </w:pPr>
          <w:hyperlink w:anchor="_Toc139181610" w:history="1">
            <w:r w:rsidR="005C47A4" w:rsidRPr="006B7CE2">
              <w:rPr>
                <w:rStyle w:val="Lienhypertexte"/>
                <w:noProof/>
              </w:rPr>
              <w:t>31.4.2</w:t>
            </w:r>
            <w:r w:rsidR="005C47A4">
              <w:rPr>
                <w:rFonts w:eastAsiaTheme="minorEastAsia"/>
                <w:noProof/>
                <w:kern w:val="2"/>
                <w:lang w:eastAsia="fr-FR"/>
                <w14:ligatures w14:val="standardContextual"/>
              </w:rPr>
              <w:tab/>
            </w:r>
            <w:r w:rsidR="005C47A4" w:rsidRPr="006B7CE2">
              <w:rPr>
                <w:rStyle w:val="Lienhypertexte"/>
                <w:noProof/>
              </w:rPr>
              <w:t>Problèmes environnementaux</w:t>
            </w:r>
            <w:r w:rsidR="005C47A4">
              <w:rPr>
                <w:noProof/>
                <w:webHidden/>
              </w:rPr>
              <w:tab/>
            </w:r>
            <w:r w:rsidR="005C47A4">
              <w:rPr>
                <w:noProof/>
                <w:webHidden/>
              </w:rPr>
              <w:fldChar w:fldCharType="begin"/>
            </w:r>
            <w:r w:rsidR="005C47A4">
              <w:rPr>
                <w:noProof/>
                <w:webHidden/>
              </w:rPr>
              <w:instrText xml:space="preserve"> PAGEREF _Toc139181610 \h </w:instrText>
            </w:r>
            <w:r w:rsidR="005C47A4">
              <w:rPr>
                <w:noProof/>
                <w:webHidden/>
              </w:rPr>
            </w:r>
            <w:r w:rsidR="005C47A4">
              <w:rPr>
                <w:noProof/>
                <w:webHidden/>
              </w:rPr>
              <w:fldChar w:fldCharType="separate"/>
            </w:r>
            <w:r w:rsidR="004D7B96">
              <w:rPr>
                <w:noProof/>
                <w:webHidden/>
              </w:rPr>
              <w:t>336</w:t>
            </w:r>
            <w:r w:rsidR="005C47A4">
              <w:rPr>
                <w:noProof/>
                <w:webHidden/>
              </w:rPr>
              <w:fldChar w:fldCharType="end"/>
            </w:r>
          </w:hyperlink>
        </w:p>
        <w:p w14:paraId="56572DE3" w14:textId="01A45612" w:rsidR="005C47A4" w:rsidRDefault="00000000">
          <w:pPr>
            <w:pStyle w:val="TM3"/>
            <w:tabs>
              <w:tab w:val="left" w:pos="1320"/>
              <w:tab w:val="right" w:leader="dot" w:pos="10416"/>
            </w:tabs>
            <w:rPr>
              <w:rFonts w:eastAsiaTheme="minorEastAsia"/>
              <w:noProof/>
              <w:kern w:val="2"/>
              <w:lang w:eastAsia="fr-FR"/>
              <w14:ligatures w14:val="standardContextual"/>
            </w:rPr>
          </w:pPr>
          <w:hyperlink w:anchor="_Toc139181611" w:history="1">
            <w:r w:rsidR="005C47A4" w:rsidRPr="006B7CE2">
              <w:rPr>
                <w:rStyle w:val="Lienhypertexte"/>
                <w:noProof/>
              </w:rPr>
              <w:t>31.4.3</w:t>
            </w:r>
            <w:r w:rsidR="005C47A4">
              <w:rPr>
                <w:rFonts w:eastAsiaTheme="minorEastAsia"/>
                <w:noProof/>
                <w:kern w:val="2"/>
                <w:lang w:eastAsia="fr-FR"/>
                <w14:ligatures w14:val="standardContextual"/>
              </w:rPr>
              <w:tab/>
            </w:r>
            <w:r w:rsidR="005C47A4" w:rsidRPr="006B7CE2">
              <w:rPr>
                <w:rStyle w:val="Lienhypertexte"/>
                <w:noProof/>
              </w:rPr>
              <w:t>Solutions innovantes pour le contrôle et fixation des déplacements du sable</w:t>
            </w:r>
            <w:r w:rsidR="005C47A4">
              <w:rPr>
                <w:noProof/>
                <w:webHidden/>
              </w:rPr>
              <w:tab/>
            </w:r>
            <w:r w:rsidR="005C47A4">
              <w:rPr>
                <w:noProof/>
                <w:webHidden/>
              </w:rPr>
              <w:fldChar w:fldCharType="begin"/>
            </w:r>
            <w:r w:rsidR="005C47A4">
              <w:rPr>
                <w:noProof/>
                <w:webHidden/>
              </w:rPr>
              <w:instrText xml:space="preserve"> PAGEREF _Toc139181611 \h </w:instrText>
            </w:r>
            <w:r w:rsidR="005C47A4">
              <w:rPr>
                <w:noProof/>
                <w:webHidden/>
              </w:rPr>
            </w:r>
            <w:r w:rsidR="005C47A4">
              <w:rPr>
                <w:noProof/>
                <w:webHidden/>
              </w:rPr>
              <w:fldChar w:fldCharType="separate"/>
            </w:r>
            <w:r w:rsidR="004D7B96">
              <w:rPr>
                <w:noProof/>
                <w:webHidden/>
              </w:rPr>
              <w:t>337</w:t>
            </w:r>
            <w:r w:rsidR="005C47A4">
              <w:rPr>
                <w:noProof/>
                <w:webHidden/>
              </w:rPr>
              <w:fldChar w:fldCharType="end"/>
            </w:r>
          </w:hyperlink>
        </w:p>
        <w:p w14:paraId="69884131" w14:textId="7E499667"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612" w:history="1">
            <w:r w:rsidR="005C47A4" w:rsidRPr="006B7CE2">
              <w:rPr>
                <w:rStyle w:val="Lienhypertexte"/>
                <w:noProof/>
                <w:lang w:val="en-GB"/>
              </w:rPr>
              <w:t>31.5</w:t>
            </w:r>
            <w:r w:rsidR="005C47A4">
              <w:rPr>
                <w:rFonts w:eastAsiaTheme="minorEastAsia"/>
                <w:noProof/>
                <w:kern w:val="2"/>
                <w:lang w:eastAsia="fr-FR"/>
                <w14:ligatures w14:val="standardContextual"/>
              </w:rPr>
              <w:tab/>
            </w:r>
            <w:r w:rsidR="005C47A4" w:rsidRPr="006B7CE2">
              <w:rPr>
                <w:rStyle w:val="Lienhypertexte"/>
                <w:noProof/>
                <w:lang w:val="en-GB"/>
              </w:rPr>
              <w:t>Projet Watershed Organization Trust (WOTR) (Inde)</w:t>
            </w:r>
            <w:r w:rsidR="005C47A4">
              <w:rPr>
                <w:noProof/>
                <w:webHidden/>
              </w:rPr>
              <w:tab/>
            </w:r>
            <w:r w:rsidR="005C47A4">
              <w:rPr>
                <w:noProof/>
                <w:webHidden/>
              </w:rPr>
              <w:fldChar w:fldCharType="begin"/>
            </w:r>
            <w:r w:rsidR="005C47A4">
              <w:rPr>
                <w:noProof/>
                <w:webHidden/>
              </w:rPr>
              <w:instrText xml:space="preserve"> PAGEREF _Toc139181612 \h </w:instrText>
            </w:r>
            <w:r w:rsidR="005C47A4">
              <w:rPr>
                <w:noProof/>
                <w:webHidden/>
              </w:rPr>
            </w:r>
            <w:r w:rsidR="005C47A4">
              <w:rPr>
                <w:noProof/>
                <w:webHidden/>
              </w:rPr>
              <w:fldChar w:fldCharType="separate"/>
            </w:r>
            <w:r w:rsidR="004D7B96">
              <w:rPr>
                <w:noProof/>
                <w:webHidden/>
              </w:rPr>
              <w:t>338</w:t>
            </w:r>
            <w:r w:rsidR="005C47A4">
              <w:rPr>
                <w:noProof/>
                <w:webHidden/>
              </w:rPr>
              <w:fldChar w:fldCharType="end"/>
            </w:r>
          </w:hyperlink>
        </w:p>
        <w:p w14:paraId="2B39EBF0" w14:textId="104E6772"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613" w:history="1">
            <w:r w:rsidR="005C47A4" w:rsidRPr="006B7CE2">
              <w:rPr>
                <w:rStyle w:val="Lienhypertexte"/>
                <w:noProof/>
              </w:rPr>
              <w:t>31.6</w:t>
            </w:r>
            <w:r w:rsidR="005C47A4">
              <w:rPr>
                <w:rFonts w:eastAsiaTheme="minorEastAsia"/>
                <w:noProof/>
                <w:kern w:val="2"/>
                <w:lang w:eastAsia="fr-FR"/>
                <w14:ligatures w14:val="standardContextual"/>
              </w:rPr>
              <w:tab/>
            </w:r>
            <w:r w:rsidR="005C47A4" w:rsidRPr="006B7CE2">
              <w:rPr>
                <w:rStyle w:val="Lienhypertexte"/>
                <w:noProof/>
              </w:rPr>
              <w:t>Création de variétés alimentaires résistantes au sels</w:t>
            </w:r>
            <w:r w:rsidR="005C47A4">
              <w:rPr>
                <w:noProof/>
                <w:webHidden/>
              </w:rPr>
              <w:tab/>
            </w:r>
            <w:r w:rsidR="005C47A4">
              <w:rPr>
                <w:noProof/>
                <w:webHidden/>
              </w:rPr>
              <w:fldChar w:fldCharType="begin"/>
            </w:r>
            <w:r w:rsidR="005C47A4">
              <w:rPr>
                <w:noProof/>
                <w:webHidden/>
              </w:rPr>
              <w:instrText xml:space="preserve"> PAGEREF _Toc139181613 \h </w:instrText>
            </w:r>
            <w:r w:rsidR="005C47A4">
              <w:rPr>
                <w:noProof/>
                <w:webHidden/>
              </w:rPr>
            </w:r>
            <w:r w:rsidR="005C47A4">
              <w:rPr>
                <w:noProof/>
                <w:webHidden/>
              </w:rPr>
              <w:fldChar w:fldCharType="separate"/>
            </w:r>
            <w:r w:rsidR="004D7B96">
              <w:rPr>
                <w:noProof/>
                <w:webHidden/>
              </w:rPr>
              <w:t>341</w:t>
            </w:r>
            <w:r w:rsidR="005C47A4">
              <w:rPr>
                <w:noProof/>
                <w:webHidden/>
              </w:rPr>
              <w:fldChar w:fldCharType="end"/>
            </w:r>
          </w:hyperlink>
        </w:p>
        <w:p w14:paraId="681D28AE" w14:textId="68F16782"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614" w:history="1">
            <w:r w:rsidR="005C47A4" w:rsidRPr="006B7CE2">
              <w:rPr>
                <w:rStyle w:val="Lienhypertexte"/>
                <w:noProof/>
              </w:rPr>
              <w:t>31.7</w:t>
            </w:r>
            <w:r w:rsidR="005C47A4">
              <w:rPr>
                <w:rFonts w:eastAsiaTheme="minorEastAsia"/>
                <w:noProof/>
                <w:kern w:val="2"/>
                <w:lang w:eastAsia="fr-FR"/>
                <w14:ligatures w14:val="standardContextual"/>
              </w:rPr>
              <w:tab/>
            </w:r>
            <w:r w:rsidR="005C47A4" w:rsidRPr="006B7CE2">
              <w:rPr>
                <w:rStyle w:val="Lienhypertexte"/>
                <w:noProof/>
              </w:rPr>
              <w:t xml:space="preserve">Utilisation de la bactérie </w:t>
            </w:r>
            <w:r w:rsidR="005C47A4" w:rsidRPr="006B7CE2">
              <w:rPr>
                <w:rStyle w:val="Lienhypertexte"/>
                <w:i/>
                <w:iCs/>
                <w:noProof/>
              </w:rPr>
              <w:t>Pseudomonas extremorientalis</w:t>
            </w:r>
            <w:r w:rsidR="005C47A4" w:rsidRPr="006B7CE2">
              <w:rPr>
                <w:rStyle w:val="Lienhypertexte"/>
                <w:noProof/>
              </w:rPr>
              <w:t xml:space="preserve"> pour améliorer la résistance des plantes au sel</w:t>
            </w:r>
            <w:r w:rsidR="005C47A4">
              <w:rPr>
                <w:noProof/>
                <w:webHidden/>
              </w:rPr>
              <w:tab/>
            </w:r>
            <w:r w:rsidR="005C47A4">
              <w:rPr>
                <w:noProof/>
                <w:webHidden/>
              </w:rPr>
              <w:fldChar w:fldCharType="begin"/>
            </w:r>
            <w:r w:rsidR="005C47A4">
              <w:rPr>
                <w:noProof/>
                <w:webHidden/>
              </w:rPr>
              <w:instrText xml:space="preserve"> PAGEREF _Toc139181614 \h </w:instrText>
            </w:r>
            <w:r w:rsidR="005C47A4">
              <w:rPr>
                <w:noProof/>
                <w:webHidden/>
              </w:rPr>
            </w:r>
            <w:r w:rsidR="005C47A4">
              <w:rPr>
                <w:noProof/>
                <w:webHidden/>
              </w:rPr>
              <w:fldChar w:fldCharType="separate"/>
            </w:r>
            <w:r w:rsidR="004D7B96">
              <w:rPr>
                <w:noProof/>
                <w:webHidden/>
              </w:rPr>
              <w:t>342</w:t>
            </w:r>
            <w:r w:rsidR="005C47A4">
              <w:rPr>
                <w:noProof/>
                <w:webHidden/>
              </w:rPr>
              <w:fldChar w:fldCharType="end"/>
            </w:r>
          </w:hyperlink>
        </w:p>
        <w:p w14:paraId="41AE9AE4" w14:textId="3BD5A8C5"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615" w:history="1">
            <w:r w:rsidR="005C47A4" w:rsidRPr="006B7CE2">
              <w:rPr>
                <w:rStyle w:val="Lienhypertexte"/>
                <w:noProof/>
              </w:rPr>
              <w:t>31.8</w:t>
            </w:r>
            <w:r w:rsidR="005C47A4">
              <w:rPr>
                <w:rFonts w:eastAsiaTheme="minorEastAsia"/>
                <w:noProof/>
                <w:kern w:val="2"/>
                <w:lang w:eastAsia="fr-FR"/>
                <w14:ligatures w14:val="standardContextual"/>
              </w:rPr>
              <w:tab/>
            </w:r>
            <w:r w:rsidR="005C47A4" w:rsidRPr="006B7CE2">
              <w:rPr>
                <w:rStyle w:val="Lienhypertexte"/>
                <w:noProof/>
              </w:rPr>
              <w:t>Les échecs dans le monde</w:t>
            </w:r>
            <w:r w:rsidR="005C47A4">
              <w:rPr>
                <w:noProof/>
                <w:webHidden/>
              </w:rPr>
              <w:tab/>
            </w:r>
            <w:r w:rsidR="005C47A4">
              <w:rPr>
                <w:noProof/>
                <w:webHidden/>
              </w:rPr>
              <w:fldChar w:fldCharType="begin"/>
            </w:r>
            <w:r w:rsidR="005C47A4">
              <w:rPr>
                <w:noProof/>
                <w:webHidden/>
              </w:rPr>
              <w:instrText xml:space="preserve"> PAGEREF _Toc139181615 \h </w:instrText>
            </w:r>
            <w:r w:rsidR="005C47A4">
              <w:rPr>
                <w:noProof/>
                <w:webHidden/>
              </w:rPr>
            </w:r>
            <w:r w:rsidR="005C47A4">
              <w:rPr>
                <w:noProof/>
                <w:webHidden/>
              </w:rPr>
              <w:fldChar w:fldCharType="separate"/>
            </w:r>
            <w:r w:rsidR="004D7B96">
              <w:rPr>
                <w:noProof/>
                <w:webHidden/>
              </w:rPr>
              <w:t>343</w:t>
            </w:r>
            <w:r w:rsidR="005C47A4">
              <w:rPr>
                <w:noProof/>
                <w:webHidden/>
              </w:rPr>
              <w:fldChar w:fldCharType="end"/>
            </w:r>
          </w:hyperlink>
        </w:p>
        <w:p w14:paraId="6278E415" w14:textId="506454FB" w:rsidR="005C47A4" w:rsidRDefault="00000000">
          <w:pPr>
            <w:pStyle w:val="TM3"/>
            <w:tabs>
              <w:tab w:val="left" w:pos="1320"/>
              <w:tab w:val="right" w:leader="dot" w:pos="10416"/>
            </w:tabs>
            <w:rPr>
              <w:rFonts w:eastAsiaTheme="minorEastAsia"/>
              <w:noProof/>
              <w:kern w:val="2"/>
              <w:lang w:eastAsia="fr-FR"/>
              <w14:ligatures w14:val="standardContextual"/>
            </w:rPr>
          </w:pPr>
          <w:hyperlink w:anchor="_Toc139181616" w:history="1">
            <w:r w:rsidR="005C47A4" w:rsidRPr="006B7CE2">
              <w:rPr>
                <w:rStyle w:val="Lienhypertexte"/>
                <w:noProof/>
              </w:rPr>
              <w:t>31.8.1</w:t>
            </w:r>
            <w:r w:rsidR="005C47A4">
              <w:rPr>
                <w:rFonts w:eastAsiaTheme="minorEastAsia"/>
                <w:noProof/>
                <w:kern w:val="2"/>
                <w:lang w:eastAsia="fr-FR"/>
                <w14:ligatures w14:val="standardContextual"/>
              </w:rPr>
              <w:tab/>
            </w:r>
            <w:r w:rsidR="005C47A4" w:rsidRPr="006B7CE2">
              <w:rPr>
                <w:rStyle w:val="Lienhypertexte"/>
                <w:noProof/>
              </w:rPr>
              <w:t>En Chine</w:t>
            </w:r>
            <w:r w:rsidR="005C47A4">
              <w:rPr>
                <w:noProof/>
                <w:webHidden/>
              </w:rPr>
              <w:tab/>
            </w:r>
            <w:r w:rsidR="005C47A4">
              <w:rPr>
                <w:noProof/>
                <w:webHidden/>
              </w:rPr>
              <w:fldChar w:fldCharType="begin"/>
            </w:r>
            <w:r w:rsidR="005C47A4">
              <w:rPr>
                <w:noProof/>
                <w:webHidden/>
              </w:rPr>
              <w:instrText xml:space="preserve"> PAGEREF _Toc139181616 \h </w:instrText>
            </w:r>
            <w:r w:rsidR="005C47A4">
              <w:rPr>
                <w:noProof/>
                <w:webHidden/>
              </w:rPr>
            </w:r>
            <w:r w:rsidR="005C47A4">
              <w:rPr>
                <w:noProof/>
                <w:webHidden/>
              </w:rPr>
              <w:fldChar w:fldCharType="separate"/>
            </w:r>
            <w:r w:rsidR="004D7B96">
              <w:rPr>
                <w:noProof/>
                <w:webHidden/>
              </w:rPr>
              <w:t>343</w:t>
            </w:r>
            <w:r w:rsidR="005C47A4">
              <w:rPr>
                <w:noProof/>
                <w:webHidden/>
              </w:rPr>
              <w:fldChar w:fldCharType="end"/>
            </w:r>
          </w:hyperlink>
        </w:p>
        <w:p w14:paraId="52D2EFDD" w14:textId="5AB0DA7E"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617" w:history="1">
            <w:r w:rsidR="005C47A4" w:rsidRPr="006B7CE2">
              <w:rPr>
                <w:rStyle w:val="Lienhypertexte"/>
                <w:noProof/>
              </w:rPr>
              <w:t>31.9</w:t>
            </w:r>
            <w:r w:rsidR="005C47A4">
              <w:rPr>
                <w:rFonts w:eastAsiaTheme="minorEastAsia"/>
                <w:noProof/>
                <w:kern w:val="2"/>
                <w:lang w:eastAsia="fr-FR"/>
                <w14:ligatures w14:val="standardContextual"/>
              </w:rPr>
              <w:tab/>
            </w:r>
            <w:r w:rsidR="005C47A4" w:rsidRPr="006B7CE2">
              <w:rPr>
                <w:rStyle w:val="Lienhypertexte"/>
                <w:noProof/>
              </w:rPr>
              <w:t>En Turquie</w:t>
            </w:r>
            <w:r w:rsidR="005C47A4">
              <w:rPr>
                <w:noProof/>
                <w:webHidden/>
              </w:rPr>
              <w:tab/>
            </w:r>
            <w:r w:rsidR="005C47A4">
              <w:rPr>
                <w:noProof/>
                <w:webHidden/>
              </w:rPr>
              <w:fldChar w:fldCharType="begin"/>
            </w:r>
            <w:r w:rsidR="005C47A4">
              <w:rPr>
                <w:noProof/>
                <w:webHidden/>
              </w:rPr>
              <w:instrText xml:space="preserve"> PAGEREF _Toc139181617 \h </w:instrText>
            </w:r>
            <w:r w:rsidR="005C47A4">
              <w:rPr>
                <w:noProof/>
                <w:webHidden/>
              </w:rPr>
            </w:r>
            <w:r w:rsidR="005C47A4">
              <w:rPr>
                <w:noProof/>
                <w:webHidden/>
              </w:rPr>
              <w:fldChar w:fldCharType="separate"/>
            </w:r>
            <w:r w:rsidR="004D7B96">
              <w:rPr>
                <w:noProof/>
                <w:webHidden/>
              </w:rPr>
              <w:t>343</w:t>
            </w:r>
            <w:r w:rsidR="005C47A4">
              <w:rPr>
                <w:noProof/>
                <w:webHidden/>
              </w:rPr>
              <w:fldChar w:fldCharType="end"/>
            </w:r>
          </w:hyperlink>
        </w:p>
        <w:p w14:paraId="0148E341" w14:textId="180C4845" w:rsidR="005C47A4" w:rsidRDefault="00000000">
          <w:pPr>
            <w:pStyle w:val="TM3"/>
            <w:tabs>
              <w:tab w:val="left" w:pos="1320"/>
              <w:tab w:val="right" w:leader="dot" w:pos="10416"/>
            </w:tabs>
            <w:rPr>
              <w:rFonts w:eastAsiaTheme="minorEastAsia"/>
              <w:noProof/>
              <w:kern w:val="2"/>
              <w:lang w:eastAsia="fr-FR"/>
              <w14:ligatures w14:val="standardContextual"/>
            </w:rPr>
          </w:pPr>
          <w:hyperlink w:anchor="_Toc139181618" w:history="1">
            <w:r w:rsidR="005C47A4" w:rsidRPr="006B7CE2">
              <w:rPr>
                <w:rStyle w:val="Lienhypertexte"/>
                <w:noProof/>
              </w:rPr>
              <w:t>31.9.1</w:t>
            </w:r>
            <w:r w:rsidR="005C47A4">
              <w:rPr>
                <w:rFonts w:eastAsiaTheme="minorEastAsia"/>
                <w:noProof/>
                <w:kern w:val="2"/>
                <w:lang w:eastAsia="fr-FR"/>
                <w14:ligatures w14:val="standardContextual"/>
              </w:rPr>
              <w:tab/>
            </w:r>
            <w:r w:rsidR="005C47A4" w:rsidRPr="006B7CE2">
              <w:rPr>
                <w:rStyle w:val="Lienhypertexte"/>
                <w:noProof/>
              </w:rPr>
              <w:t>Raisons de ces échecs</w:t>
            </w:r>
            <w:r w:rsidR="005C47A4">
              <w:rPr>
                <w:noProof/>
                <w:webHidden/>
              </w:rPr>
              <w:tab/>
            </w:r>
            <w:r w:rsidR="005C47A4">
              <w:rPr>
                <w:noProof/>
                <w:webHidden/>
              </w:rPr>
              <w:fldChar w:fldCharType="begin"/>
            </w:r>
            <w:r w:rsidR="005C47A4">
              <w:rPr>
                <w:noProof/>
                <w:webHidden/>
              </w:rPr>
              <w:instrText xml:space="preserve"> PAGEREF _Toc139181618 \h </w:instrText>
            </w:r>
            <w:r w:rsidR="005C47A4">
              <w:rPr>
                <w:noProof/>
                <w:webHidden/>
              </w:rPr>
            </w:r>
            <w:r w:rsidR="005C47A4">
              <w:rPr>
                <w:noProof/>
                <w:webHidden/>
              </w:rPr>
              <w:fldChar w:fldCharType="separate"/>
            </w:r>
            <w:r w:rsidR="004D7B96">
              <w:rPr>
                <w:noProof/>
                <w:webHidden/>
              </w:rPr>
              <w:t>343</w:t>
            </w:r>
            <w:r w:rsidR="005C47A4">
              <w:rPr>
                <w:noProof/>
                <w:webHidden/>
              </w:rPr>
              <w:fldChar w:fldCharType="end"/>
            </w:r>
          </w:hyperlink>
        </w:p>
        <w:p w14:paraId="6442F2A7" w14:textId="09A06679" w:rsidR="005C47A4" w:rsidRDefault="00000000">
          <w:pPr>
            <w:pStyle w:val="TM1"/>
            <w:tabs>
              <w:tab w:val="left" w:pos="660"/>
              <w:tab w:val="right" w:leader="dot" w:pos="10416"/>
            </w:tabs>
            <w:rPr>
              <w:rFonts w:eastAsiaTheme="minorEastAsia"/>
              <w:noProof/>
              <w:kern w:val="2"/>
              <w:lang w:eastAsia="fr-FR"/>
              <w14:ligatures w14:val="standardContextual"/>
            </w:rPr>
          </w:pPr>
          <w:hyperlink w:anchor="_Toc139181619" w:history="1">
            <w:r w:rsidR="005C47A4" w:rsidRPr="006B7CE2">
              <w:rPr>
                <w:rStyle w:val="Lienhypertexte"/>
                <w:noProof/>
              </w:rPr>
              <w:t>32</w:t>
            </w:r>
            <w:r w:rsidR="005C47A4">
              <w:rPr>
                <w:rFonts w:eastAsiaTheme="minorEastAsia"/>
                <w:noProof/>
                <w:kern w:val="2"/>
                <w:lang w:eastAsia="fr-FR"/>
                <w14:ligatures w14:val="standardContextual"/>
              </w:rPr>
              <w:tab/>
            </w:r>
            <w:r w:rsidR="005C47A4" w:rsidRPr="006B7CE2">
              <w:rPr>
                <w:rStyle w:val="Lienhypertexte"/>
                <w:noProof/>
              </w:rPr>
              <w:t>Les défis démographiques (en particulier au Sahel)</w:t>
            </w:r>
            <w:r w:rsidR="005C47A4">
              <w:rPr>
                <w:noProof/>
                <w:webHidden/>
              </w:rPr>
              <w:tab/>
            </w:r>
            <w:r w:rsidR="005C47A4">
              <w:rPr>
                <w:noProof/>
                <w:webHidden/>
              </w:rPr>
              <w:fldChar w:fldCharType="begin"/>
            </w:r>
            <w:r w:rsidR="005C47A4">
              <w:rPr>
                <w:noProof/>
                <w:webHidden/>
              </w:rPr>
              <w:instrText xml:space="preserve"> PAGEREF _Toc139181619 \h </w:instrText>
            </w:r>
            <w:r w:rsidR="005C47A4">
              <w:rPr>
                <w:noProof/>
                <w:webHidden/>
              </w:rPr>
            </w:r>
            <w:r w:rsidR="005C47A4">
              <w:rPr>
                <w:noProof/>
                <w:webHidden/>
              </w:rPr>
              <w:fldChar w:fldCharType="separate"/>
            </w:r>
            <w:r w:rsidR="004D7B96">
              <w:rPr>
                <w:noProof/>
                <w:webHidden/>
              </w:rPr>
              <w:t>344</w:t>
            </w:r>
            <w:r w:rsidR="005C47A4">
              <w:rPr>
                <w:noProof/>
                <w:webHidden/>
              </w:rPr>
              <w:fldChar w:fldCharType="end"/>
            </w:r>
          </w:hyperlink>
        </w:p>
        <w:p w14:paraId="7763D9CA" w14:textId="1CC84F86"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620" w:history="1">
            <w:r w:rsidR="005C47A4" w:rsidRPr="006B7CE2">
              <w:rPr>
                <w:rStyle w:val="Lienhypertexte"/>
                <w:noProof/>
              </w:rPr>
              <w:t>32.1</w:t>
            </w:r>
            <w:r w:rsidR="005C47A4">
              <w:rPr>
                <w:rFonts w:eastAsiaTheme="minorEastAsia"/>
                <w:noProof/>
                <w:kern w:val="2"/>
                <w:lang w:eastAsia="fr-FR"/>
                <w14:ligatures w14:val="standardContextual"/>
              </w:rPr>
              <w:tab/>
            </w:r>
            <w:r w:rsidR="005C47A4" w:rsidRPr="006B7CE2">
              <w:rPr>
                <w:rStyle w:val="Lienhypertexte"/>
                <w:noProof/>
                <w:shd w:val="clear" w:color="auto" w:fill="FFFFFF"/>
              </w:rPr>
              <w:t>Problèmes pratiques pour l’implantation des centres de planning familial</w:t>
            </w:r>
            <w:r w:rsidR="005C47A4">
              <w:rPr>
                <w:noProof/>
                <w:webHidden/>
              </w:rPr>
              <w:tab/>
            </w:r>
            <w:r w:rsidR="005C47A4">
              <w:rPr>
                <w:noProof/>
                <w:webHidden/>
              </w:rPr>
              <w:fldChar w:fldCharType="begin"/>
            </w:r>
            <w:r w:rsidR="005C47A4">
              <w:rPr>
                <w:noProof/>
                <w:webHidden/>
              </w:rPr>
              <w:instrText xml:space="preserve"> PAGEREF _Toc139181620 \h </w:instrText>
            </w:r>
            <w:r w:rsidR="005C47A4">
              <w:rPr>
                <w:noProof/>
                <w:webHidden/>
              </w:rPr>
            </w:r>
            <w:r w:rsidR="005C47A4">
              <w:rPr>
                <w:noProof/>
                <w:webHidden/>
              </w:rPr>
              <w:fldChar w:fldCharType="separate"/>
            </w:r>
            <w:r w:rsidR="004D7B96">
              <w:rPr>
                <w:noProof/>
                <w:webHidden/>
              </w:rPr>
              <w:t>345</w:t>
            </w:r>
            <w:r w:rsidR="005C47A4">
              <w:rPr>
                <w:noProof/>
                <w:webHidden/>
              </w:rPr>
              <w:fldChar w:fldCharType="end"/>
            </w:r>
          </w:hyperlink>
        </w:p>
        <w:p w14:paraId="4CA71FFB" w14:textId="44916DAC"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621" w:history="1">
            <w:r w:rsidR="005C47A4" w:rsidRPr="006B7CE2">
              <w:rPr>
                <w:rStyle w:val="Lienhypertexte"/>
                <w:noProof/>
              </w:rPr>
              <w:t>32.2</w:t>
            </w:r>
            <w:r w:rsidR="005C47A4">
              <w:rPr>
                <w:rFonts w:eastAsiaTheme="minorEastAsia"/>
                <w:noProof/>
                <w:kern w:val="2"/>
                <w:lang w:eastAsia="fr-FR"/>
                <w14:ligatures w14:val="standardContextual"/>
              </w:rPr>
              <w:tab/>
            </w:r>
            <w:r w:rsidR="005C47A4" w:rsidRPr="006B7CE2">
              <w:rPr>
                <w:rStyle w:val="Lienhypertexte"/>
                <w:noProof/>
                <w:shd w:val="clear" w:color="auto" w:fill="FFFFFF"/>
              </w:rPr>
              <w:t>Ralentir l’accroissement rapide de population, par l'éducation</w:t>
            </w:r>
            <w:r w:rsidR="005C47A4">
              <w:rPr>
                <w:noProof/>
                <w:webHidden/>
              </w:rPr>
              <w:tab/>
            </w:r>
            <w:r w:rsidR="005C47A4">
              <w:rPr>
                <w:noProof/>
                <w:webHidden/>
              </w:rPr>
              <w:fldChar w:fldCharType="begin"/>
            </w:r>
            <w:r w:rsidR="005C47A4">
              <w:rPr>
                <w:noProof/>
                <w:webHidden/>
              </w:rPr>
              <w:instrText xml:space="preserve"> PAGEREF _Toc139181621 \h </w:instrText>
            </w:r>
            <w:r w:rsidR="005C47A4">
              <w:rPr>
                <w:noProof/>
                <w:webHidden/>
              </w:rPr>
            </w:r>
            <w:r w:rsidR="005C47A4">
              <w:rPr>
                <w:noProof/>
                <w:webHidden/>
              </w:rPr>
              <w:fldChar w:fldCharType="separate"/>
            </w:r>
            <w:r w:rsidR="004D7B96">
              <w:rPr>
                <w:noProof/>
                <w:webHidden/>
              </w:rPr>
              <w:t>345</w:t>
            </w:r>
            <w:r w:rsidR="005C47A4">
              <w:rPr>
                <w:noProof/>
                <w:webHidden/>
              </w:rPr>
              <w:fldChar w:fldCharType="end"/>
            </w:r>
          </w:hyperlink>
        </w:p>
        <w:p w14:paraId="4282B4ED" w14:textId="39A5E10B"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622" w:history="1">
            <w:r w:rsidR="005C47A4" w:rsidRPr="006B7CE2">
              <w:rPr>
                <w:rStyle w:val="Lienhypertexte"/>
                <w:noProof/>
              </w:rPr>
              <w:t>32.3</w:t>
            </w:r>
            <w:r w:rsidR="005C47A4">
              <w:rPr>
                <w:rFonts w:eastAsiaTheme="minorEastAsia"/>
                <w:noProof/>
                <w:kern w:val="2"/>
                <w:lang w:eastAsia="fr-FR"/>
                <w14:ligatures w14:val="standardContextual"/>
              </w:rPr>
              <w:tab/>
            </w:r>
            <w:r w:rsidR="005C47A4" w:rsidRPr="006B7CE2">
              <w:rPr>
                <w:rStyle w:val="Lienhypertexte"/>
                <w:noProof/>
                <w:shd w:val="clear" w:color="auto" w:fill="FFFFFF"/>
              </w:rPr>
              <w:t>Faire participer les autorités religieuses locales à la promotion de la contraception</w:t>
            </w:r>
            <w:r w:rsidR="005C47A4">
              <w:rPr>
                <w:noProof/>
                <w:webHidden/>
              </w:rPr>
              <w:tab/>
            </w:r>
            <w:r w:rsidR="005C47A4">
              <w:rPr>
                <w:noProof/>
                <w:webHidden/>
              </w:rPr>
              <w:fldChar w:fldCharType="begin"/>
            </w:r>
            <w:r w:rsidR="005C47A4">
              <w:rPr>
                <w:noProof/>
                <w:webHidden/>
              </w:rPr>
              <w:instrText xml:space="preserve"> PAGEREF _Toc139181622 \h </w:instrText>
            </w:r>
            <w:r w:rsidR="005C47A4">
              <w:rPr>
                <w:noProof/>
                <w:webHidden/>
              </w:rPr>
            </w:r>
            <w:r w:rsidR="005C47A4">
              <w:rPr>
                <w:noProof/>
                <w:webHidden/>
              </w:rPr>
              <w:fldChar w:fldCharType="separate"/>
            </w:r>
            <w:r w:rsidR="004D7B96">
              <w:rPr>
                <w:noProof/>
                <w:webHidden/>
              </w:rPr>
              <w:t>346</w:t>
            </w:r>
            <w:r w:rsidR="005C47A4">
              <w:rPr>
                <w:noProof/>
                <w:webHidden/>
              </w:rPr>
              <w:fldChar w:fldCharType="end"/>
            </w:r>
          </w:hyperlink>
        </w:p>
        <w:p w14:paraId="2B63D2A6" w14:textId="2CA07234" w:rsidR="005C47A4" w:rsidRDefault="00000000">
          <w:pPr>
            <w:pStyle w:val="TM1"/>
            <w:tabs>
              <w:tab w:val="left" w:pos="660"/>
              <w:tab w:val="right" w:leader="dot" w:pos="10416"/>
            </w:tabs>
            <w:rPr>
              <w:rFonts w:eastAsiaTheme="minorEastAsia"/>
              <w:noProof/>
              <w:kern w:val="2"/>
              <w:lang w:eastAsia="fr-FR"/>
              <w14:ligatures w14:val="standardContextual"/>
            </w:rPr>
          </w:pPr>
          <w:hyperlink w:anchor="_Toc139181623" w:history="1">
            <w:r w:rsidR="005C47A4" w:rsidRPr="006B7CE2">
              <w:rPr>
                <w:rStyle w:val="Lienhypertexte"/>
                <w:noProof/>
              </w:rPr>
              <w:t>33</w:t>
            </w:r>
            <w:r w:rsidR="005C47A4">
              <w:rPr>
                <w:rFonts w:eastAsiaTheme="minorEastAsia"/>
                <w:noProof/>
                <w:kern w:val="2"/>
                <w:lang w:eastAsia="fr-FR"/>
                <w14:ligatures w14:val="standardContextual"/>
              </w:rPr>
              <w:tab/>
            </w:r>
            <w:r w:rsidR="005C47A4" w:rsidRPr="006B7CE2">
              <w:rPr>
                <w:rStyle w:val="Lienhypertexte"/>
                <w:noProof/>
              </w:rPr>
              <w:t>Problèmes posé par les discours populistes incitant à la guerre et au terrorisme</w:t>
            </w:r>
            <w:r w:rsidR="005C47A4">
              <w:rPr>
                <w:noProof/>
                <w:webHidden/>
              </w:rPr>
              <w:tab/>
            </w:r>
            <w:r w:rsidR="005C47A4">
              <w:rPr>
                <w:noProof/>
                <w:webHidden/>
              </w:rPr>
              <w:fldChar w:fldCharType="begin"/>
            </w:r>
            <w:r w:rsidR="005C47A4">
              <w:rPr>
                <w:noProof/>
                <w:webHidden/>
              </w:rPr>
              <w:instrText xml:space="preserve"> PAGEREF _Toc139181623 \h </w:instrText>
            </w:r>
            <w:r w:rsidR="005C47A4">
              <w:rPr>
                <w:noProof/>
                <w:webHidden/>
              </w:rPr>
            </w:r>
            <w:r w:rsidR="005C47A4">
              <w:rPr>
                <w:noProof/>
                <w:webHidden/>
              </w:rPr>
              <w:fldChar w:fldCharType="separate"/>
            </w:r>
            <w:r w:rsidR="004D7B96">
              <w:rPr>
                <w:noProof/>
                <w:webHidden/>
              </w:rPr>
              <w:t>347</w:t>
            </w:r>
            <w:r w:rsidR="005C47A4">
              <w:rPr>
                <w:noProof/>
                <w:webHidden/>
              </w:rPr>
              <w:fldChar w:fldCharType="end"/>
            </w:r>
          </w:hyperlink>
        </w:p>
        <w:p w14:paraId="2F94E905" w14:textId="0D7A553D"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624" w:history="1">
            <w:r w:rsidR="005C47A4" w:rsidRPr="006B7CE2">
              <w:rPr>
                <w:rStyle w:val="Lienhypertexte"/>
                <w:noProof/>
              </w:rPr>
              <w:t>33.1</w:t>
            </w:r>
            <w:r w:rsidR="005C47A4">
              <w:rPr>
                <w:rFonts w:eastAsiaTheme="minorEastAsia"/>
                <w:noProof/>
                <w:kern w:val="2"/>
                <w:lang w:eastAsia="fr-FR"/>
                <w14:ligatures w14:val="standardContextual"/>
              </w:rPr>
              <w:tab/>
            </w:r>
            <w:r w:rsidR="005C47A4" w:rsidRPr="006B7CE2">
              <w:rPr>
                <w:rStyle w:val="Lienhypertexte"/>
                <w:noProof/>
              </w:rPr>
              <w:t>Nature des discours populistes, extrémistes, incitant au terrorisme et à la guerre</w:t>
            </w:r>
            <w:r w:rsidR="005C47A4">
              <w:rPr>
                <w:noProof/>
                <w:webHidden/>
              </w:rPr>
              <w:tab/>
            </w:r>
            <w:r w:rsidR="005C47A4">
              <w:rPr>
                <w:noProof/>
                <w:webHidden/>
              </w:rPr>
              <w:fldChar w:fldCharType="begin"/>
            </w:r>
            <w:r w:rsidR="005C47A4">
              <w:rPr>
                <w:noProof/>
                <w:webHidden/>
              </w:rPr>
              <w:instrText xml:space="preserve"> PAGEREF _Toc139181624 \h </w:instrText>
            </w:r>
            <w:r w:rsidR="005C47A4">
              <w:rPr>
                <w:noProof/>
                <w:webHidden/>
              </w:rPr>
            </w:r>
            <w:r w:rsidR="005C47A4">
              <w:rPr>
                <w:noProof/>
                <w:webHidden/>
              </w:rPr>
              <w:fldChar w:fldCharType="separate"/>
            </w:r>
            <w:r w:rsidR="004D7B96">
              <w:rPr>
                <w:noProof/>
                <w:webHidden/>
              </w:rPr>
              <w:t>347</w:t>
            </w:r>
            <w:r w:rsidR="005C47A4">
              <w:rPr>
                <w:noProof/>
                <w:webHidden/>
              </w:rPr>
              <w:fldChar w:fldCharType="end"/>
            </w:r>
          </w:hyperlink>
        </w:p>
        <w:p w14:paraId="7EBC3FED" w14:textId="02AC214B"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625" w:history="1">
            <w:r w:rsidR="005C47A4" w:rsidRPr="006B7CE2">
              <w:rPr>
                <w:rStyle w:val="Lienhypertexte"/>
                <w:noProof/>
              </w:rPr>
              <w:t>33.2</w:t>
            </w:r>
            <w:r w:rsidR="005C47A4">
              <w:rPr>
                <w:rFonts w:eastAsiaTheme="minorEastAsia"/>
                <w:noProof/>
                <w:kern w:val="2"/>
                <w:lang w:eastAsia="fr-FR"/>
                <w14:ligatures w14:val="standardContextual"/>
              </w:rPr>
              <w:tab/>
            </w:r>
            <w:r w:rsidR="005C47A4" w:rsidRPr="006B7CE2">
              <w:rPr>
                <w:rStyle w:val="Lienhypertexte"/>
                <w:noProof/>
              </w:rPr>
              <w:t>Analyse et réfutation du discours présentant la guerre comme héroïque</w:t>
            </w:r>
            <w:r w:rsidR="005C47A4">
              <w:rPr>
                <w:noProof/>
                <w:webHidden/>
              </w:rPr>
              <w:tab/>
            </w:r>
            <w:r w:rsidR="005C47A4">
              <w:rPr>
                <w:noProof/>
                <w:webHidden/>
              </w:rPr>
              <w:fldChar w:fldCharType="begin"/>
            </w:r>
            <w:r w:rsidR="005C47A4">
              <w:rPr>
                <w:noProof/>
                <w:webHidden/>
              </w:rPr>
              <w:instrText xml:space="preserve"> PAGEREF _Toc139181625 \h </w:instrText>
            </w:r>
            <w:r w:rsidR="005C47A4">
              <w:rPr>
                <w:noProof/>
                <w:webHidden/>
              </w:rPr>
            </w:r>
            <w:r w:rsidR="005C47A4">
              <w:rPr>
                <w:noProof/>
                <w:webHidden/>
              </w:rPr>
              <w:fldChar w:fldCharType="separate"/>
            </w:r>
            <w:r w:rsidR="004D7B96">
              <w:rPr>
                <w:noProof/>
                <w:webHidden/>
              </w:rPr>
              <w:t>347</w:t>
            </w:r>
            <w:r w:rsidR="005C47A4">
              <w:rPr>
                <w:noProof/>
                <w:webHidden/>
              </w:rPr>
              <w:fldChar w:fldCharType="end"/>
            </w:r>
          </w:hyperlink>
        </w:p>
        <w:p w14:paraId="16ED6282" w14:textId="4D4580A6"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626" w:history="1">
            <w:r w:rsidR="005C47A4" w:rsidRPr="006B7CE2">
              <w:rPr>
                <w:rStyle w:val="Lienhypertexte"/>
                <w:noProof/>
              </w:rPr>
              <w:t>33.3</w:t>
            </w:r>
            <w:r w:rsidR="005C47A4">
              <w:rPr>
                <w:rFonts w:eastAsiaTheme="minorEastAsia"/>
                <w:noProof/>
                <w:kern w:val="2"/>
                <w:lang w:eastAsia="fr-FR"/>
                <w14:ligatures w14:val="standardContextual"/>
              </w:rPr>
              <w:tab/>
            </w:r>
            <w:r w:rsidR="005C47A4" w:rsidRPr="006B7CE2">
              <w:rPr>
                <w:rStyle w:val="Lienhypertexte"/>
                <w:noProof/>
              </w:rPr>
              <w:t>Le cas extrême du désir de vengeance extrême et inextinguible</w:t>
            </w:r>
            <w:r w:rsidR="005C47A4">
              <w:rPr>
                <w:noProof/>
                <w:webHidden/>
              </w:rPr>
              <w:tab/>
            </w:r>
            <w:r w:rsidR="005C47A4">
              <w:rPr>
                <w:noProof/>
                <w:webHidden/>
              </w:rPr>
              <w:fldChar w:fldCharType="begin"/>
            </w:r>
            <w:r w:rsidR="005C47A4">
              <w:rPr>
                <w:noProof/>
                <w:webHidden/>
              </w:rPr>
              <w:instrText xml:space="preserve"> PAGEREF _Toc139181626 \h </w:instrText>
            </w:r>
            <w:r w:rsidR="005C47A4">
              <w:rPr>
                <w:noProof/>
                <w:webHidden/>
              </w:rPr>
            </w:r>
            <w:r w:rsidR="005C47A4">
              <w:rPr>
                <w:noProof/>
                <w:webHidden/>
              </w:rPr>
              <w:fldChar w:fldCharType="separate"/>
            </w:r>
            <w:r w:rsidR="004D7B96">
              <w:rPr>
                <w:noProof/>
                <w:webHidden/>
              </w:rPr>
              <w:t>348</w:t>
            </w:r>
            <w:r w:rsidR="005C47A4">
              <w:rPr>
                <w:noProof/>
                <w:webHidden/>
              </w:rPr>
              <w:fldChar w:fldCharType="end"/>
            </w:r>
          </w:hyperlink>
        </w:p>
        <w:p w14:paraId="2BE8CEFF" w14:textId="0BE4B595"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627" w:history="1">
            <w:r w:rsidR="005C47A4" w:rsidRPr="006B7CE2">
              <w:rPr>
                <w:rStyle w:val="Lienhypertexte"/>
                <w:noProof/>
              </w:rPr>
              <w:t>33.4</w:t>
            </w:r>
            <w:r w:rsidR="005C47A4">
              <w:rPr>
                <w:rFonts w:eastAsiaTheme="minorEastAsia"/>
                <w:noProof/>
                <w:kern w:val="2"/>
                <w:lang w:eastAsia="fr-FR"/>
                <w14:ligatures w14:val="standardContextual"/>
              </w:rPr>
              <w:tab/>
            </w:r>
            <w:r w:rsidR="005C47A4" w:rsidRPr="006B7CE2">
              <w:rPr>
                <w:rStyle w:val="Lienhypertexte"/>
                <w:noProof/>
              </w:rPr>
              <w:t>Guerres, conflits, problèmes sécuritaires et conséquences</w:t>
            </w:r>
            <w:r w:rsidR="005C47A4">
              <w:rPr>
                <w:noProof/>
                <w:webHidden/>
              </w:rPr>
              <w:tab/>
            </w:r>
            <w:r w:rsidR="005C47A4">
              <w:rPr>
                <w:noProof/>
                <w:webHidden/>
              </w:rPr>
              <w:fldChar w:fldCharType="begin"/>
            </w:r>
            <w:r w:rsidR="005C47A4">
              <w:rPr>
                <w:noProof/>
                <w:webHidden/>
              </w:rPr>
              <w:instrText xml:space="preserve"> PAGEREF _Toc139181627 \h </w:instrText>
            </w:r>
            <w:r w:rsidR="005C47A4">
              <w:rPr>
                <w:noProof/>
                <w:webHidden/>
              </w:rPr>
            </w:r>
            <w:r w:rsidR="005C47A4">
              <w:rPr>
                <w:noProof/>
                <w:webHidden/>
              </w:rPr>
              <w:fldChar w:fldCharType="separate"/>
            </w:r>
            <w:r w:rsidR="004D7B96">
              <w:rPr>
                <w:noProof/>
                <w:webHidden/>
              </w:rPr>
              <w:t>349</w:t>
            </w:r>
            <w:r w:rsidR="005C47A4">
              <w:rPr>
                <w:noProof/>
                <w:webHidden/>
              </w:rPr>
              <w:fldChar w:fldCharType="end"/>
            </w:r>
          </w:hyperlink>
        </w:p>
        <w:p w14:paraId="1D59E834" w14:textId="672B9C2F" w:rsidR="005C47A4" w:rsidRDefault="00000000">
          <w:pPr>
            <w:pStyle w:val="TM3"/>
            <w:tabs>
              <w:tab w:val="left" w:pos="1320"/>
              <w:tab w:val="right" w:leader="dot" w:pos="10416"/>
            </w:tabs>
            <w:rPr>
              <w:rFonts w:eastAsiaTheme="minorEastAsia"/>
              <w:noProof/>
              <w:kern w:val="2"/>
              <w:lang w:eastAsia="fr-FR"/>
              <w14:ligatures w14:val="standardContextual"/>
            </w:rPr>
          </w:pPr>
          <w:hyperlink w:anchor="_Toc139181628" w:history="1">
            <w:r w:rsidR="005C47A4" w:rsidRPr="006B7CE2">
              <w:rPr>
                <w:rStyle w:val="Lienhypertexte"/>
                <w:noProof/>
              </w:rPr>
              <w:t>33.4.1</w:t>
            </w:r>
            <w:r w:rsidR="005C47A4">
              <w:rPr>
                <w:rFonts w:eastAsiaTheme="minorEastAsia"/>
                <w:noProof/>
                <w:kern w:val="2"/>
                <w:lang w:eastAsia="fr-FR"/>
                <w14:ligatures w14:val="standardContextual"/>
              </w:rPr>
              <w:tab/>
            </w:r>
            <w:r w:rsidR="005C47A4" w:rsidRPr="006B7CE2">
              <w:rPr>
                <w:rStyle w:val="Lienhypertexte"/>
                <w:noProof/>
              </w:rPr>
              <w:t>Au Sahel</w:t>
            </w:r>
            <w:r w:rsidR="005C47A4">
              <w:rPr>
                <w:noProof/>
                <w:webHidden/>
              </w:rPr>
              <w:tab/>
            </w:r>
            <w:r w:rsidR="005C47A4">
              <w:rPr>
                <w:noProof/>
                <w:webHidden/>
              </w:rPr>
              <w:fldChar w:fldCharType="begin"/>
            </w:r>
            <w:r w:rsidR="005C47A4">
              <w:rPr>
                <w:noProof/>
                <w:webHidden/>
              </w:rPr>
              <w:instrText xml:space="preserve"> PAGEREF _Toc139181628 \h </w:instrText>
            </w:r>
            <w:r w:rsidR="005C47A4">
              <w:rPr>
                <w:noProof/>
                <w:webHidden/>
              </w:rPr>
            </w:r>
            <w:r w:rsidR="005C47A4">
              <w:rPr>
                <w:noProof/>
                <w:webHidden/>
              </w:rPr>
              <w:fldChar w:fldCharType="separate"/>
            </w:r>
            <w:r w:rsidR="004D7B96">
              <w:rPr>
                <w:noProof/>
                <w:webHidden/>
              </w:rPr>
              <w:t>349</w:t>
            </w:r>
            <w:r w:rsidR="005C47A4">
              <w:rPr>
                <w:noProof/>
                <w:webHidden/>
              </w:rPr>
              <w:fldChar w:fldCharType="end"/>
            </w:r>
          </w:hyperlink>
        </w:p>
        <w:p w14:paraId="1D2DC505" w14:textId="7DF2E3EF"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629" w:history="1">
            <w:r w:rsidR="005C47A4" w:rsidRPr="006B7CE2">
              <w:rPr>
                <w:rStyle w:val="Lienhypertexte"/>
                <w:noProof/>
              </w:rPr>
              <w:t>33.1</w:t>
            </w:r>
            <w:r w:rsidR="005C47A4">
              <w:rPr>
                <w:rFonts w:eastAsiaTheme="minorEastAsia"/>
                <w:noProof/>
                <w:kern w:val="2"/>
                <w:lang w:eastAsia="fr-FR"/>
                <w14:ligatures w14:val="standardContextual"/>
              </w:rPr>
              <w:tab/>
            </w:r>
            <w:r w:rsidR="005C47A4" w:rsidRPr="006B7CE2">
              <w:rPr>
                <w:rStyle w:val="Lienhypertexte"/>
                <w:noProof/>
              </w:rPr>
              <w:t>En conclusion partielle</w:t>
            </w:r>
            <w:r w:rsidR="005C47A4">
              <w:rPr>
                <w:noProof/>
                <w:webHidden/>
              </w:rPr>
              <w:tab/>
            </w:r>
            <w:r w:rsidR="005C47A4">
              <w:rPr>
                <w:noProof/>
                <w:webHidden/>
              </w:rPr>
              <w:fldChar w:fldCharType="begin"/>
            </w:r>
            <w:r w:rsidR="005C47A4">
              <w:rPr>
                <w:noProof/>
                <w:webHidden/>
              </w:rPr>
              <w:instrText xml:space="preserve"> PAGEREF _Toc139181629 \h </w:instrText>
            </w:r>
            <w:r w:rsidR="005C47A4">
              <w:rPr>
                <w:noProof/>
                <w:webHidden/>
              </w:rPr>
            </w:r>
            <w:r w:rsidR="005C47A4">
              <w:rPr>
                <w:noProof/>
                <w:webHidden/>
              </w:rPr>
              <w:fldChar w:fldCharType="separate"/>
            </w:r>
            <w:r w:rsidR="004D7B96">
              <w:rPr>
                <w:noProof/>
                <w:webHidden/>
              </w:rPr>
              <w:t>351</w:t>
            </w:r>
            <w:r w:rsidR="005C47A4">
              <w:rPr>
                <w:noProof/>
                <w:webHidden/>
              </w:rPr>
              <w:fldChar w:fldCharType="end"/>
            </w:r>
          </w:hyperlink>
        </w:p>
        <w:p w14:paraId="7FEC1825" w14:textId="4B9F975C" w:rsidR="005C47A4" w:rsidRDefault="00000000">
          <w:pPr>
            <w:pStyle w:val="TM1"/>
            <w:tabs>
              <w:tab w:val="left" w:pos="660"/>
              <w:tab w:val="right" w:leader="dot" w:pos="10416"/>
            </w:tabs>
            <w:rPr>
              <w:rFonts w:eastAsiaTheme="minorEastAsia"/>
              <w:noProof/>
              <w:kern w:val="2"/>
              <w:lang w:eastAsia="fr-FR"/>
              <w14:ligatures w14:val="standardContextual"/>
            </w:rPr>
          </w:pPr>
          <w:hyperlink w:anchor="_Toc139181630" w:history="1">
            <w:r w:rsidR="005C47A4" w:rsidRPr="006B7CE2">
              <w:rPr>
                <w:rStyle w:val="Lienhypertexte"/>
                <w:noProof/>
              </w:rPr>
              <w:t>34</w:t>
            </w:r>
            <w:r w:rsidR="005C47A4">
              <w:rPr>
                <w:rFonts w:eastAsiaTheme="minorEastAsia"/>
                <w:noProof/>
                <w:kern w:val="2"/>
                <w:lang w:eastAsia="fr-FR"/>
                <w14:ligatures w14:val="standardContextual"/>
              </w:rPr>
              <w:tab/>
            </w:r>
            <w:r w:rsidR="005C47A4" w:rsidRPr="006B7CE2">
              <w:rPr>
                <w:rStyle w:val="Lienhypertexte"/>
                <w:noProof/>
              </w:rPr>
              <w:t>Accaparement des terres et de l’eau sans retombée pour les habitants locaux</w:t>
            </w:r>
            <w:r w:rsidR="005C47A4">
              <w:rPr>
                <w:noProof/>
                <w:webHidden/>
              </w:rPr>
              <w:tab/>
            </w:r>
            <w:r w:rsidR="005C47A4">
              <w:rPr>
                <w:noProof/>
                <w:webHidden/>
              </w:rPr>
              <w:fldChar w:fldCharType="begin"/>
            </w:r>
            <w:r w:rsidR="005C47A4">
              <w:rPr>
                <w:noProof/>
                <w:webHidden/>
              </w:rPr>
              <w:instrText xml:space="preserve"> PAGEREF _Toc139181630 \h </w:instrText>
            </w:r>
            <w:r w:rsidR="005C47A4">
              <w:rPr>
                <w:noProof/>
                <w:webHidden/>
              </w:rPr>
            </w:r>
            <w:r w:rsidR="005C47A4">
              <w:rPr>
                <w:noProof/>
                <w:webHidden/>
              </w:rPr>
              <w:fldChar w:fldCharType="separate"/>
            </w:r>
            <w:r w:rsidR="004D7B96">
              <w:rPr>
                <w:noProof/>
                <w:webHidden/>
              </w:rPr>
              <w:t>351</w:t>
            </w:r>
            <w:r w:rsidR="005C47A4">
              <w:rPr>
                <w:noProof/>
                <w:webHidden/>
              </w:rPr>
              <w:fldChar w:fldCharType="end"/>
            </w:r>
          </w:hyperlink>
        </w:p>
        <w:p w14:paraId="1F6740A6" w14:textId="45C12ADD" w:rsidR="005C47A4" w:rsidRDefault="00000000">
          <w:pPr>
            <w:pStyle w:val="TM1"/>
            <w:tabs>
              <w:tab w:val="left" w:pos="660"/>
              <w:tab w:val="right" w:leader="dot" w:pos="10416"/>
            </w:tabs>
            <w:rPr>
              <w:rFonts w:eastAsiaTheme="minorEastAsia"/>
              <w:noProof/>
              <w:kern w:val="2"/>
              <w:lang w:eastAsia="fr-FR"/>
              <w14:ligatures w14:val="standardContextual"/>
            </w:rPr>
          </w:pPr>
          <w:hyperlink w:anchor="_Toc139181631" w:history="1">
            <w:r w:rsidR="005C47A4" w:rsidRPr="006B7CE2">
              <w:rPr>
                <w:rStyle w:val="Lienhypertexte"/>
                <w:noProof/>
              </w:rPr>
              <w:t>35</w:t>
            </w:r>
            <w:r w:rsidR="005C47A4">
              <w:rPr>
                <w:rFonts w:eastAsiaTheme="minorEastAsia"/>
                <w:noProof/>
                <w:kern w:val="2"/>
                <w:lang w:eastAsia="fr-FR"/>
                <w14:ligatures w14:val="standardContextual"/>
              </w:rPr>
              <w:tab/>
            </w:r>
            <w:r w:rsidR="005C47A4" w:rsidRPr="006B7CE2">
              <w:rPr>
                <w:rStyle w:val="Lienhypertexte"/>
                <w:noProof/>
              </w:rPr>
              <w:t>Souveraineté alimentaire et économique</w:t>
            </w:r>
            <w:r w:rsidR="005C47A4">
              <w:rPr>
                <w:noProof/>
                <w:webHidden/>
              </w:rPr>
              <w:tab/>
            </w:r>
            <w:r w:rsidR="005C47A4">
              <w:rPr>
                <w:noProof/>
                <w:webHidden/>
              </w:rPr>
              <w:fldChar w:fldCharType="begin"/>
            </w:r>
            <w:r w:rsidR="005C47A4">
              <w:rPr>
                <w:noProof/>
                <w:webHidden/>
              </w:rPr>
              <w:instrText xml:space="preserve"> PAGEREF _Toc139181631 \h </w:instrText>
            </w:r>
            <w:r w:rsidR="005C47A4">
              <w:rPr>
                <w:noProof/>
                <w:webHidden/>
              </w:rPr>
            </w:r>
            <w:r w:rsidR="005C47A4">
              <w:rPr>
                <w:noProof/>
                <w:webHidden/>
              </w:rPr>
              <w:fldChar w:fldCharType="separate"/>
            </w:r>
            <w:r w:rsidR="004D7B96">
              <w:rPr>
                <w:noProof/>
                <w:webHidden/>
              </w:rPr>
              <w:t>353</w:t>
            </w:r>
            <w:r w:rsidR="005C47A4">
              <w:rPr>
                <w:noProof/>
                <w:webHidden/>
              </w:rPr>
              <w:fldChar w:fldCharType="end"/>
            </w:r>
          </w:hyperlink>
        </w:p>
        <w:p w14:paraId="5727E7DC" w14:textId="02DF1F35"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632" w:history="1">
            <w:r w:rsidR="005C47A4" w:rsidRPr="006B7CE2">
              <w:rPr>
                <w:rStyle w:val="Lienhypertexte"/>
                <w:noProof/>
              </w:rPr>
              <w:t>35.1</w:t>
            </w:r>
            <w:r w:rsidR="005C47A4">
              <w:rPr>
                <w:rFonts w:eastAsiaTheme="minorEastAsia"/>
                <w:noProof/>
                <w:kern w:val="2"/>
                <w:lang w:eastAsia="fr-FR"/>
                <w14:ligatures w14:val="standardContextual"/>
              </w:rPr>
              <w:tab/>
            </w:r>
            <w:r w:rsidR="005C47A4" w:rsidRPr="006B7CE2">
              <w:rPr>
                <w:rStyle w:val="Lienhypertexte"/>
                <w:noProof/>
              </w:rPr>
              <w:t>Reconquérir sa souveraineté économique</w:t>
            </w:r>
            <w:r w:rsidR="005C47A4">
              <w:rPr>
                <w:noProof/>
                <w:webHidden/>
              </w:rPr>
              <w:tab/>
            </w:r>
            <w:r w:rsidR="005C47A4">
              <w:rPr>
                <w:noProof/>
                <w:webHidden/>
              </w:rPr>
              <w:fldChar w:fldCharType="begin"/>
            </w:r>
            <w:r w:rsidR="005C47A4">
              <w:rPr>
                <w:noProof/>
                <w:webHidden/>
              </w:rPr>
              <w:instrText xml:space="preserve"> PAGEREF _Toc139181632 \h </w:instrText>
            </w:r>
            <w:r w:rsidR="005C47A4">
              <w:rPr>
                <w:noProof/>
                <w:webHidden/>
              </w:rPr>
            </w:r>
            <w:r w:rsidR="005C47A4">
              <w:rPr>
                <w:noProof/>
                <w:webHidden/>
              </w:rPr>
              <w:fldChar w:fldCharType="separate"/>
            </w:r>
            <w:r w:rsidR="004D7B96">
              <w:rPr>
                <w:noProof/>
                <w:webHidden/>
              </w:rPr>
              <w:t>353</w:t>
            </w:r>
            <w:r w:rsidR="005C47A4">
              <w:rPr>
                <w:noProof/>
                <w:webHidden/>
              </w:rPr>
              <w:fldChar w:fldCharType="end"/>
            </w:r>
          </w:hyperlink>
        </w:p>
        <w:p w14:paraId="30F6CEAC" w14:textId="1F3AD54A" w:rsidR="005C47A4" w:rsidRDefault="00000000">
          <w:pPr>
            <w:pStyle w:val="TM3"/>
            <w:tabs>
              <w:tab w:val="left" w:pos="1320"/>
              <w:tab w:val="right" w:leader="dot" w:pos="10416"/>
            </w:tabs>
            <w:rPr>
              <w:rFonts w:eastAsiaTheme="minorEastAsia"/>
              <w:noProof/>
              <w:kern w:val="2"/>
              <w:lang w:eastAsia="fr-FR"/>
              <w14:ligatures w14:val="standardContextual"/>
            </w:rPr>
          </w:pPr>
          <w:hyperlink w:anchor="_Toc139181633" w:history="1">
            <w:r w:rsidR="005C47A4" w:rsidRPr="006B7CE2">
              <w:rPr>
                <w:rStyle w:val="Lienhypertexte"/>
                <w:noProof/>
              </w:rPr>
              <w:t>35.1.1</w:t>
            </w:r>
            <w:r w:rsidR="005C47A4">
              <w:rPr>
                <w:rFonts w:eastAsiaTheme="minorEastAsia"/>
                <w:noProof/>
                <w:kern w:val="2"/>
                <w:lang w:eastAsia="fr-FR"/>
                <w14:ligatures w14:val="standardContextual"/>
              </w:rPr>
              <w:tab/>
            </w:r>
            <w:r w:rsidR="005C47A4" w:rsidRPr="006B7CE2">
              <w:rPr>
                <w:rStyle w:val="Lienhypertexte"/>
                <w:noProof/>
              </w:rPr>
              <w:t>Le Programme de la Compétitivité de l’Afrique de l’Ouest (WACOMP)</w:t>
            </w:r>
            <w:r w:rsidR="005C47A4">
              <w:rPr>
                <w:noProof/>
                <w:webHidden/>
              </w:rPr>
              <w:tab/>
            </w:r>
            <w:r w:rsidR="005C47A4">
              <w:rPr>
                <w:noProof/>
                <w:webHidden/>
              </w:rPr>
              <w:fldChar w:fldCharType="begin"/>
            </w:r>
            <w:r w:rsidR="005C47A4">
              <w:rPr>
                <w:noProof/>
                <w:webHidden/>
              </w:rPr>
              <w:instrText xml:space="preserve"> PAGEREF _Toc139181633 \h </w:instrText>
            </w:r>
            <w:r w:rsidR="005C47A4">
              <w:rPr>
                <w:noProof/>
                <w:webHidden/>
              </w:rPr>
            </w:r>
            <w:r w:rsidR="005C47A4">
              <w:rPr>
                <w:noProof/>
                <w:webHidden/>
              </w:rPr>
              <w:fldChar w:fldCharType="separate"/>
            </w:r>
            <w:r w:rsidR="004D7B96">
              <w:rPr>
                <w:noProof/>
                <w:webHidden/>
              </w:rPr>
              <w:t>355</w:t>
            </w:r>
            <w:r w:rsidR="005C47A4">
              <w:rPr>
                <w:noProof/>
                <w:webHidden/>
              </w:rPr>
              <w:fldChar w:fldCharType="end"/>
            </w:r>
          </w:hyperlink>
        </w:p>
        <w:p w14:paraId="0763579B" w14:textId="5D2F976F"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634" w:history="1">
            <w:r w:rsidR="005C47A4" w:rsidRPr="006B7CE2">
              <w:rPr>
                <w:rStyle w:val="Lienhypertexte"/>
                <w:noProof/>
              </w:rPr>
              <w:t>35.2</w:t>
            </w:r>
            <w:r w:rsidR="005C47A4">
              <w:rPr>
                <w:rFonts w:eastAsiaTheme="minorEastAsia"/>
                <w:noProof/>
                <w:kern w:val="2"/>
                <w:lang w:eastAsia="fr-FR"/>
                <w14:ligatures w14:val="standardContextual"/>
              </w:rPr>
              <w:tab/>
            </w:r>
            <w:r w:rsidR="005C47A4" w:rsidRPr="006B7CE2">
              <w:rPr>
                <w:rStyle w:val="Lienhypertexte"/>
                <w:noProof/>
              </w:rPr>
              <w:t>Reconquérir sa souveraineté alimentaire (exemple)</w:t>
            </w:r>
            <w:r w:rsidR="005C47A4">
              <w:rPr>
                <w:noProof/>
                <w:webHidden/>
              </w:rPr>
              <w:tab/>
            </w:r>
            <w:r w:rsidR="005C47A4">
              <w:rPr>
                <w:noProof/>
                <w:webHidden/>
              </w:rPr>
              <w:fldChar w:fldCharType="begin"/>
            </w:r>
            <w:r w:rsidR="005C47A4">
              <w:rPr>
                <w:noProof/>
                <w:webHidden/>
              </w:rPr>
              <w:instrText xml:space="preserve"> PAGEREF _Toc139181634 \h </w:instrText>
            </w:r>
            <w:r w:rsidR="005C47A4">
              <w:rPr>
                <w:noProof/>
                <w:webHidden/>
              </w:rPr>
            </w:r>
            <w:r w:rsidR="005C47A4">
              <w:rPr>
                <w:noProof/>
                <w:webHidden/>
              </w:rPr>
              <w:fldChar w:fldCharType="separate"/>
            </w:r>
            <w:r w:rsidR="004D7B96">
              <w:rPr>
                <w:noProof/>
                <w:webHidden/>
              </w:rPr>
              <w:t>356</w:t>
            </w:r>
            <w:r w:rsidR="005C47A4">
              <w:rPr>
                <w:noProof/>
                <w:webHidden/>
              </w:rPr>
              <w:fldChar w:fldCharType="end"/>
            </w:r>
          </w:hyperlink>
        </w:p>
        <w:p w14:paraId="092494DA" w14:textId="4C2EEABD"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635" w:history="1">
            <w:r w:rsidR="005C47A4" w:rsidRPr="006B7CE2">
              <w:rPr>
                <w:rStyle w:val="Lienhypertexte"/>
                <w:noProof/>
              </w:rPr>
              <w:t>35.3</w:t>
            </w:r>
            <w:r w:rsidR="005C47A4">
              <w:rPr>
                <w:rFonts w:eastAsiaTheme="minorEastAsia"/>
                <w:noProof/>
                <w:kern w:val="2"/>
                <w:lang w:eastAsia="fr-FR"/>
                <w14:ligatures w14:val="standardContextual"/>
              </w:rPr>
              <w:tab/>
            </w:r>
            <w:r w:rsidR="005C47A4" w:rsidRPr="006B7CE2">
              <w:rPr>
                <w:rStyle w:val="Lienhypertexte"/>
                <w:noProof/>
              </w:rPr>
              <w:t>Conclusion partielle sur ce chapitre</w:t>
            </w:r>
            <w:r w:rsidR="005C47A4">
              <w:rPr>
                <w:noProof/>
                <w:webHidden/>
              </w:rPr>
              <w:tab/>
            </w:r>
            <w:r w:rsidR="005C47A4">
              <w:rPr>
                <w:noProof/>
                <w:webHidden/>
              </w:rPr>
              <w:fldChar w:fldCharType="begin"/>
            </w:r>
            <w:r w:rsidR="005C47A4">
              <w:rPr>
                <w:noProof/>
                <w:webHidden/>
              </w:rPr>
              <w:instrText xml:space="preserve"> PAGEREF _Toc139181635 \h </w:instrText>
            </w:r>
            <w:r w:rsidR="005C47A4">
              <w:rPr>
                <w:noProof/>
                <w:webHidden/>
              </w:rPr>
            </w:r>
            <w:r w:rsidR="005C47A4">
              <w:rPr>
                <w:noProof/>
                <w:webHidden/>
              </w:rPr>
              <w:fldChar w:fldCharType="separate"/>
            </w:r>
            <w:r w:rsidR="004D7B96">
              <w:rPr>
                <w:noProof/>
                <w:webHidden/>
              </w:rPr>
              <w:t>357</w:t>
            </w:r>
            <w:r w:rsidR="005C47A4">
              <w:rPr>
                <w:noProof/>
                <w:webHidden/>
              </w:rPr>
              <w:fldChar w:fldCharType="end"/>
            </w:r>
          </w:hyperlink>
        </w:p>
        <w:p w14:paraId="5B6F23DE" w14:textId="1F62B41B" w:rsidR="005C47A4" w:rsidRDefault="00000000">
          <w:pPr>
            <w:pStyle w:val="TM1"/>
            <w:tabs>
              <w:tab w:val="left" w:pos="660"/>
              <w:tab w:val="right" w:leader="dot" w:pos="10416"/>
            </w:tabs>
            <w:rPr>
              <w:rFonts w:eastAsiaTheme="minorEastAsia"/>
              <w:noProof/>
              <w:kern w:val="2"/>
              <w:lang w:eastAsia="fr-FR"/>
              <w14:ligatures w14:val="standardContextual"/>
            </w:rPr>
          </w:pPr>
          <w:hyperlink w:anchor="_Toc139181636" w:history="1">
            <w:r w:rsidR="005C47A4" w:rsidRPr="006B7CE2">
              <w:rPr>
                <w:rStyle w:val="Lienhypertexte"/>
                <w:noProof/>
              </w:rPr>
              <w:t>36</w:t>
            </w:r>
            <w:r w:rsidR="005C47A4">
              <w:rPr>
                <w:rFonts w:eastAsiaTheme="minorEastAsia"/>
                <w:noProof/>
                <w:kern w:val="2"/>
                <w:lang w:eastAsia="fr-FR"/>
                <w14:ligatures w14:val="standardContextual"/>
              </w:rPr>
              <w:tab/>
            </w:r>
            <w:r w:rsidR="005C47A4" w:rsidRPr="006B7CE2">
              <w:rPr>
                <w:rStyle w:val="Lienhypertexte"/>
                <w:noProof/>
              </w:rPr>
              <w:t>L’importance des femmes dans les projets de développement</w:t>
            </w:r>
            <w:r w:rsidR="005C47A4">
              <w:rPr>
                <w:noProof/>
                <w:webHidden/>
              </w:rPr>
              <w:tab/>
            </w:r>
            <w:r w:rsidR="005C47A4">
              <w:rPr>
                <w:noProof/>
                <w:webHidden/>
              </w:rPr>
              <w:fldChar w:fldCharType="begin"/>
            </w:r>
            <w:r w:rsidR="005C47A4">
              <w:rPr>
                <w:noProof/>
                <w:webHidden/>
              </w:rPr>
              <w:instrText xml:space="preserve"> PAGEREF _Toc139181636 \h </w:instrText>
            </w:r>
            <w:r w:rsidR="005C47A4">
              <w:rPr>
                <w:noProof/>
                <w:webHidden/>
              </w:rPr>
            </w:r>
            <w:r w:rsidR="005C47A4">
              <w:rPr>
                <w:noProof/>
                <w:webHidden/>
              </w:rPr>
              <w:fldChar w:fldCharType="separate"/>
            </w:r>
            <w:r w:rsidR="004D7B96">
              <w:rPr>
                <w:noProof/>
                <w:webHidden/>
              </w:rPr>
              <w:t>358</w:t>
            </w:r>
            <w:r w:rsidR="005C47A4">
              <w:rPr>
                <w:noProof/>
                <w:webHidden/>
              </w:rPr>
              <w:fldChar w:fldCharType="end"/>
            </w:r>
          </w:hyperlink>
        </w:p>
        <w:p w14:paraId="51BFF016" w14:textId="3D772758" w:rsidR="005C47A4" w:rsidRDefault="00000000">
          <w:pPr>
            <w:pStyle w:val="TM1"/>
            <w:tabs>
              <w:tab w:val="left" w:pos="660"/>
              <w:tab w:val="right" w:leader="dot" w:pos="10416"/>
            </w:tabs>
            <w:rPr>
              <w:rFonts w:eastAsiaTheme="minorEastAsia"/>
              <w:noProof/>
              <w:kern w:val="2"/>
              <w:lang w:eastAsia="fr-FR"/>
              <w14:ligatures w14:val="standardContextual"/>
            </w:rPr>
          </w:pPr>
          <w:hyperlink w:anchor="_Toc139181637" w:history="1">
            <w:r w:rsidR="005C47A4" w:rsidRPr="006B7CE2">
              <w:rPr>
                <w:rStyle w:val="Lienhypertexte"/>
                <w:noProof/>
              </w:rPr>
              <w:t>37</w:t>
            </w:r>
            <w:r w:rsidR="005C47A4">
              <w:rPr>
                <w:rFonts w:eastAsiaTheme="minorEastAsia"/>
                <w:noProof/>
                <w:kern w:val="2"/>
                <w:lang w:eastAsia="fr-FR"/>
                <w14:ligatures w14:val="standardContextual"/>
              </w:rPr>
              <w:tab/>
            </w:r>
            <w:r w:rsidR="005C47A4" w:rsidRPr="006B7CE2">
              <w:rPr>
                <w:rStyle w:val="Lienhypertexte"/>
                <w:noProof/>
              </w:rPr>
              <w:t>Conclusion générale</w:t>
            </w:r>
            <w:r w:rsidR="005C47A4">
              <w:rPr>
                <w:noProof/>
                <w:webHidden/>
              </w:rPr>
              <w:tab/>
            </w:r>
            <w:r w:rsidR="005C47A4">
              <w:rPr>
                <w:noProof/>
                <w:webHidden/>
              </w:rPr>
              <w:fldChar w:fldCharType="begin"/>
            </w:r>
            <w:r w:rsidR="005C47A4">
              <w:rPr>
                <w:noProof/>
                <w:webHidden/>
              </w:rPr>
              <w:instrText xml:space="preserve"> PAGEREF _Toc139181637 \h </w:instrText>
            </w:r>
            <w:r w:rsidR="005C47A4">
              <w:rPr>
                <w:noProof/>
                <w:webHidden/>
              </w:rPr>
            </w:r>
            <w:r w:rsidR="005C47A4">
              <w:rPr>
                <w:noProof/>
                <w:webHidden/>
              </w:rPr>
              <w:fldChar w:fldCharType="separate"/>
            </w:r>
            <w:r w:rsidR="004D7B96">
              <w:rPr>
                <w:noProof/>
                <w:webHidden/>
              </w:rPr>
              <w:t>359</w:t>
            </w:r>
            <w:r w:rsidR="005C47A4">
              <w:rPr>
                <w:noProof/>
                <w:webHidden/>
              </w:rPr>
              <w:fldChar w:fldCharType="end"/>
            </w:r>
          </w:hyperlink>
        </w:p>
        <w:p w14:paraId="4B6A602C" w14:textId="25413002"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638" w:history="1">
            <w:r w:rsidR="005C47A4" w:rsidRPr="006B7CE2">
              <w:rPr>
                <w:rStyle w:val="Lienhypertexte"/>
                <w:noProof/>
              </w:rPr>
              <w:t>37.1</w:t>
            </w:r>
            <w:r w:rsidR="005C47A4">
              <w:rPr>
                <w:rFonts w:eastAsiaTheme="minorEastAsia"/>
                <w:noProof/>
                <w:kern w:val="2"/>
                <w:lang w:eastAsia="fr-FR"/>
                <w14:ligatures w14:val="standardContextual"/>
              </w:rPr>
              <w:tab/>
            </w:r>
            <w:r w:rsidR="005C47A4" w:rsidRPr="006B7CE2">
              <w:rPr>
                <w:rStyle w:val="Lienhypertexte"/>
                <w:noProof/>
              </w:rPr>
              <w:t>Préservation de l’environnement</w:t>
            </w:r>
            <w:r w:rsidR="005C47A4">
              <w:rPr>
                <w:noProof/>
                <w:webHidden/>
              </w:rPr>
              <w:tab/>
            </w:r>
            <w:r w:rsidR="005C47A4">
              <w:rPr>
                <w:noProof/>
                <w:webHidden/>
              </w:rPr>
              <w:fldChar w:fldCharType="begin"/>
            </w:r>
            <w:r w:rsidR="005C47A4">
              <w:rPr>
                <w:noProof/>
                <w:webHidden/>
              </w:rPr>
              <w:instrText xml:space="preserve"> PAGEREF _Toc139181638 \h </w:instrText>
            </w:r>
            <w:r w:rsidR="005C47A4">
              <w:rPr>
                <w:noProof/>
                <w:webHidden/>
              </w:rPr>
            </w:r>
            <w:r w:rsidR="005C47A4">
              <w:rPr>
                <w:noProof/>
                <w:webHidden/>
              </w:rPr>
              <w:fldChar w:fldCharType="separate"/>
            </w:r>
            <w:r w:rsidR="004D7B96">
              <w:rPr>
                <w:noProof/>
                <w:webHidden/>
              </w:rPr>
              <w:t>359</w:t>
            </w:r>
            <w:r w:rsidR="005C47A4">
              <w:rPr>
                <w:noProof/>
                <w:webHidden/>
              </w:rPr>
              <w:fldChar w:fldCharType="end"/>
            </w:r>
          </w:hyperlink>
        </w:p>
        <w:p w14:paraId="4AF84C34" w14:textId="12F84CAE"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639" w:history="1">
            <w:r w:rsidR="005C47A4" w:rsidRPr="006B7CE2">
              <w:rPr>
                <w:rStyle w:val="Lienhypertexte"/>
                <w:noProof/>
              </w:rPr>
              <w:t>37.2</w:t>
            </w:r>
            <w:r w:rsidR="005C47A4">
              <w:rPr>
                <w:rFonts w:eastAsiaTheme="minorEastAsia"/>
                <w:noProof/>
                <w:kern w:val="2"/>
                <w:lang w:eastAsia="fr-FR"/>
                <w14:ligatures w14:val="standardContextual"/>
              </w:rPr>
              <w:tab/>
            </w:r>
            <w:r w:rsidR="005C47A4" w:rsidRPr="006B7CE2">
              <w:rPr>
                <w:rStyle w:val="Lienhypertexte"/>
                <w:noProof/>
              </w:rPr>
              <w:t>Lutte contre les maux endémiques en Afrique et certains pays en voie de développement</w:t>
            </w:r>
            <w:r w:rsidR="005C47A4">
              <w:rPr>
                <w:noProof/>
                <w:webHidden/>
              </w:rPr>
              <w:tab/>
            </w:r>
            <w:r w:rsidR="005C47A4">
              <w:rPr>
                <w:noProof/>
                <w:webHidden/>
              </w:rPr>
              <w:fldChar w:fldCharType="begin"/>
            </w:r>
            <w:r w:rsidR="005C47A4">
              <w:rPr>
                <w:noProof/>
                <w:webHidden/>
              </w:rPr>
              <w:instrText xml:space="preserve"> PAGEREF _Toc139181639 \h </w:instrText>
            </w:r>
            <w:r w:rsidR="005C47A4">
              <w:rPr>
                <w:noProof/>
                <w:webHidden/>
              </w:rPr>
            </w:r>
            <w:r w:rsidR="005C47A4">
              <w:rPr>
                <w:noProof/>
                <w:webHidden/>
              </w:rPr>
              <w:fldChar w:fldCharType="separate"/>
            </w:r>
            <w:r w:rsidR="004D7B96">
              <w:rPr>
                <w:noProof/>
                <w:webHidden/>
              </w:rPr>
              <w:t>360</w:t>
            </w:r>
            <w:r w:rsidR="005C47A4">
              <w:rPr>
                <w:noProof/>
                <w:webHidden/>
              </w:rPr>
              <w:fldChar w:fldCharType="end"/>
            </w:r>
          </w:hyperlink>
        </w:p>
        <w:p w14:paraId="32904706" w14:textId="223DD0C9" w:rsidR="005C47A4" w:rsidRDefault="00000000">
          <w:pPr>
            <w:pStyle w:val="TM1"/>
            <w:tabs>
              <w:tab w:val="left" w:pos="660"/>
              <w:tab w:val="right" w:leader="dot" w:pos="10416"/>
            </w:tabs>
            <w:rPr>
              <w:rFonts w:eastAsiaTheme="minorEastAsia"/>
              <w:noProof/>
              <w:kern w:val="2"/>
              <w:lang w:eastAsia="fr-FR"/>
              <w14:ligatures w14:val="standardContextual"/>
            </w:rPr>
          </w:pPr>
          <w:hyperlink w:anchor="_Toc139181640" w:history="1">
            <w:r w:rsidR="005C47A4" w:rsidRPr="006B7CE2">
              <w:rPr>
                <w:rStyle w:val="Lienhypertexte"/>
                <w:noProof/>
              </w:rPr>
              <w:t>38</w:t>
            </w:r>
            <w:r w:rsidR="005C47A4">
              <w:rPr>
                <w:rFonts w:eastAsiaTheme="minorEastAsia"/>
                <w:noProof/>
                <w:kern w:val="2"/>
                <w:lang w:eastAsia="fr-FR"/>
                <w14:ligatures w14:val="standardContextual"/>
              </w:rPr>
              <w:tab/>
            </w:r>
            <w:r w:rsidR="005C47A4" w:rsidRPr="006B7CE2">
              <w:rPr>
                <w:rStyle w:val="Lienhypertexte"/>
                <w:noProof/>
              </w:rPr>
              <w:t>Bibliographie</w:t>
            </w:r>
            <w:r w:rsidR="005C47A4">
              <w:rPr>
                <w:noProof/>
                <w:webHidden/>
              </w:rPr>
              <w:tab/>
            </w:r>
            <w:r w:rsidR="005C47A4">
              <w:rPr>
                <w:noProof/>
                <w:webHidden/>
              </w:rPr>
              <w:fldChar w:fldCharType="begin"/>
            </w:r>
            <w:r w:rsidR="005C47A4">
              <w:rPr>
                <w:noProof/>
                <w:webHidden/>
              </w:rPr>
              <w:instrText xml:space="preserve"> PAGEREF _Toc139181640 \h </w:instrText>
            </w:r>
            <w:r w:rsidR="005C47A4">
              <w:rPr>
                <w:noProof/>
                <w:webHidden/>
              </w:rPr>
            </w:r>
            <w:r w:rsidR="005C47A4">
              <w:rPr>
                <w:noProof/>
                <w:webHidden/>
              </w:rPr>
              <w:fldChar w:fldCharType="separate"/>
            </w:r>
            <w:r w:rsidR="004D7B96">
              <w:rPr>
                <w:noProof/>
                <w:webHidden/>
              </w:rPr>
              <w:t>361</w:t>
            </w:r>
            <w:r w:rsidR="005C47A4">
              <w:rPr>
                <w:noProof/>
                <w:webHidden/>
              </w:rPr>
              <w:fldChar w:fldCharType="end"/>
            </w:r>
          </w:hyperlink>
        </w:p>
        <w:p w14:paraId="64018CBD" w14:textId="0B9620EE"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641" w:history="1">
            <w:r w:rsidR="005C47A4" w:rsidRPr="006B7CE2">
              <w:rPr>
                <w:rStyle w:val="Lienhypertexte"/>
                <w:noProof/>
              </w:rPr>
              <w:t>38.1</w:t>
            </w:r>
            <w:r w:rsidR="005C47A4">
              <w:rPr>
                <w:rFonts w:eastAsiaTheme="minorEastAsia"/>
                <w:noProof/>
                <w:kern w:val="2"/>
                <w:lang w:eastAsia="fr-FR"/>
                <w14:ligatures w14:val="standardContextual"/>
              </w:rPr>
              <w:tab/>
            </w:r>
            <w:r w:rsidR="005C47A4" w:rsidRPr="006B7CE2">
              <w:rPr>
                <w:rStyle w:val="Lienhypertexte"/>
                <w:noProof/>
              </w:rPr>
              <w:t>Le réchauffement climatique</w:t>
            </w:r>
            <w:r w:rsidR="005C47A4">
              <w:rPr>
                <w:noProof/>
                <w:webHidden/>
              </w:rPr>
              <w:tab/>
            </w:r>
            <w:r w:rsidR="005C47A4">
              <w:rPr>
                <w:noProof/>
                <w:webHidden/>
              </w:rPr>
              <w:fldChar w:fldCharType="begin"/>
            </w:r>
            <w:r w:rsidR="005C47A4">
              <w:rPr>
                <w:noProof/>
                <w:webHidden/>
              </w:rPr>
              <w:instrText xml:space="preserve"> PAGEREF _Toc139181641 \h </w:instrText>
            </w:r>
            <w:r w:rsidR="005C47A4">
              <w:rPr>
                <w:noProof/>
                <w:webHidden/>
              </w:rPr>
            </w:r>
            <w:r w:rsidR="005C47A4">
              <w:rPr>
                <w:noProof/>
                <w:webHidden/>
              </w:rPr>
              <w:fldChar w:fldCharType="separate"/>
            </w:r>
            <w:r w:rsidR="004D7B96">
              <w:rPr>
                <w:noProof/>
                <w:webHidden/>
              </w:rPr>
              <w:t>361</w:t>
            </w:r>
            <w:r w:rsidR="005C47A4">
              <w:rPr>
                <w:noProof/>
                <w:webHidden/>
              </w:rPr>
              <w:fldChar w:fldCharType="end"/>
            </w:r>
          </w:hyperlink>
        </w:p>
        <w:p w14:paraId="2A812D84" w14:textId="79D01DAE"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642" w:history="1">
            <w:r w:rsidR="005C47A4" w:rsidRPr="006B7CE2">
              <w:rPr>
                <w:rStyle w:val="Lienhypertexte"/>
                <w:noProof/>
              </w:rPr>
              <w:t>38.2</w:t>
            </w:r>
            <w:r w:rsidR="005C47A4">
              <w:rPr>
                <w:rFonts w:eastAsiaTheme="minorEastAsia"/>
                <w:noProof/>
                <w:kern w:val="2"/>
                <w:lang w:eastAsia="fr-FR"/>
                <w14:ligatures w14:val="standardContextual"/>
              </w:rPr>
              <w:tab/>
            </w:r>
            <w:r w:rsidR="005C47A4" w:rsidRPr="006B7CE2">
              <w:rPr>
                <w:rStyle w:val="Lienhypertexte"/>
                <w:noProof/>
              </w:rPr>
              <w:t>Salinisation des sols et augmentation du niveau des mers</w:t>
            </w:r>
            <w:r w:rsidR="005C47A4">
              <w:rPr>
                <w:noProof/>
                <w:webHidden/>
              </w:rPr>
              <w:tab/>
            </w:r>
            <w:r w:rsidR="005C47A4">
              <w:rPr>
                <w:noProof/>
                <w:webHidden/>
              </w:rPr>
              <w:fldChar w:fldCharType="begin"/>
            </w:r>
            <w:r w:rsidR="005C47A4">
              <w:rPr>
                <w:noProof/>
                <w:webHidden/>
              </w:rPr>
              <w:instrText xml:space="preserve"> PAGEREF _Toc139181642 \h </w:instrText>
            </w:r>
            <w:r w:rsidR="005C47A4">
              <w:rPr>
                <w:noProof/>
                <w:webHidden/>
              </w:rPr>
            </w:r>
            <w:r w:rsidR="005C47A4">
              <w:rPr>
                <w:noProof/>
                <w:webHidden/>
              </w:rPr>
              <w:fldChar w:fldCharType="separate"/>
            </w:r>
            <w:r w:rsidR="004D7B96">
              <w:rPr>
                <w:noProof/>
                <w:webHidden/>
              </w:rPr>
              <w:t>361</w:t>
            </w:r>
            <w:r w:rsidR="005C47A4">
              <w:rPr>
                <w:noProof/>
                <w:webHidden/>
              </w:rPr>
              <w:fldChar w:fldCharType="end"/>
            </w:r>
          </w:hyperlink>
        </w:p>
        <w:p w14:paraId="38BBE849" w14:textId="334390FF"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643" w:history="1">
            <w:r w:rsidR="005C47A4" w:rsidRPr="006B7CE2">
              <w:rPr>
                <w:rStyle w:val="Lienhypertexte"/>
                <w:noProof/>
              </w:rPr>
              <w:t>38.3</w:t>
            </w:r>
            <w:r w:rsidR="005C47A4">
              <w:rPr>
                <w:rFonts w:eastAsiaTheme="minorEastAsia"/>
                <w:noProof/>
                <w:kern w:val="2"/>
                <w:lang w:eastAsia="fr-FR"/>
                <w14:ligatures w14:val="standardContextual"/>
              </w:rPr>
              <w:tab/>
            </w:r>
            <w:r w:rsidR="005C47A4" w:rsidRPr="006B7CE2">
              <w:rPr>
                <w:rStyle w:val="Lienhypertexte"/>
                <w:noProof/>
              </w:rPr>
              <w:t>Destruction des forêts et des mangroves</w:t>
            </w:r>
            <w:r w:rsidR="005C47A4">
              <w:rPr>
                <w:noProof/>
                <w:webHidden/>
              </w:rPr>
              <w:tab/>
            </w:r>
            <w:r w:rsidR="005C47A4">
              <w:rPr>
                <w:noProof/>
                <w:webHidden/>
              </w:rPr>
              <w:fldChar w:fldCharType="begin"/>
            </w:r>
            <w:r w:rsidR="005C47A4">
              <w:rPr>
                <w:noProof/>
                <w:webHidden/>
              </w:rPr>
              <w:instrText xml:space="preserve"> PAGEREF _Toc139181643 \h </w:instrText>
            </w:r>
            <w:r w:rsidR="005C47A4">
              <w:rPr>
                <w:noProof/>
                <w:webHidden/>
              </w:rPr>
            </w:r>
            <w:r w:rsidR="005C47A4">
              <w:rPr>
                <w:noProof/>
                <w:webHidden/>
              </w:rPr>
              <w:fldChar w:fldCharType="separate"/>
            </w:r>
            <w:r w:rsidR="004D7B96">
              <w:rPr>
                <w:noProof/>
                <w:webHidden/>
              </w:rPr>
              <w:t>361</w:t>
            </w:r>
            <w:r w:rsidR="005C47A4">
              <w:rPr>
                <w:noProof/>
                <w:webHidden/>
              </w:rPr>
              <w:fldChar w:fldCharType="end"/>
            </w:r>
          </w:hyperlink>
        </w:p>
        <w:p w14:paraId="1BCB0F5D" w14:textId="1F7F7B7D"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644" w:history="1">
            <w:r w:rsidR="005C47A4" w:rsidRPr="006B7CE2">
              <w:rPr>
                <w:rStyle w:val="Lienhypertexte"/>
                <w:noProof/>
              </w:rPr>
              <w:t>38.4</w:t>
            </w:r>
            <w:r w:rsidR="005C47A4">
              <w:rPr>
                <w:rFonts w:eastAsiaTheme="minorEastAsia"/>
                <w:noProof/>
                <w:kern w:val="2"/>
                <w:lang w:eastAsia="fr-FR"/>
                <w14:ligatures w14:val="standardContextual"/>
              </w:rPr>
              <w:tab/>
            </w:r>
            <w:r w:rsidR="005C47A4" w:rsidRPr="006B7CE2">
              <w:rPr>
                <w:rStyle w:val="Lienhypertexte"/>
                <w:noProof/>
              </w:rPr>
              <w:t>Sècheresses et assèchement de rivières et de lacs</w:t>
            </w:r>
            <w:r w:rsidR="005C47A4">
              <w:rPr>
                <w:noProof/>
                <w:webHidden/>
              </w:rPr>
              <w:tab/>
            </w:r>
            <w:r w:rsidR="005C47A4">
              <w:rPr>
                <w:noProof/>
                <w:webHidden/>
              </w:rPr>
              <w:fldChar w:fldCharType="begin"/>
            </w:r>
            <w:r w:rsidR="005C47A4">
              <w:rPr>
                <w:noProof/>
                <w:webHidden/>
              </w:rPr>
              <w:instrText xml:space="preserve"> PAGEREF _Toc139181644 \h </w:instrText>
            </w:r>
            <w:r w:rsidR="005C47A4">
              <w:rPr>
                <w:noProof/>
                <w:webHidden/>
              </w:rPr>
            </w:r>
            <w:r w:rsidR="005C47A4">
              <w:rPr>
                <w:noProof/>
                <w:webHidden/>
              </w:rPr>
              <w:fldChar w:fldCharType="separate"/>
            </w:r>
            <w:r w:rsidR="004D7B96">
              <w:rPr>
                <w:noProof/>
                <w:webHidden/>
              </w:rPr>
              <w:t>361</w:t>
            </w:r>
            <w:r w:rsidR="005C47A4">
              <w:rPr>
                <w:noProof/>
                <w:webHidden/>
              </w:rPr>
              <w:fldChar w:fldCharType="end"/>
            </w:r>
          </w:hyperlink>
        </w:p>
        <w:p w14:paraId="58192A44" w14:textId="427D4977"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645" w:history="1">
            <w:r w:rsidR="005C47A4" w:rsidRPr="006B7CE2">
              <w:rPr>
                <w:rStyle w:val="Lienhypertexte"/>
                <w:noProof/>
              </w:rPr>
              <w:t>38.5</w:t>
            </w:r>
            <w:r w:rsidR="005C47A4">
              <w:rPr>
                <w:rFonts w:eastAsiaTheme="minorEastAsia"/>
                <w:noProof/>
                <w:kern w:val="2"/>
                <w:lang w:eastAsia="fr-FR"/>
                <w14:ligatures w14:val="standardContextual"/>
              </w:rPr>
              <w:tab/>
            </w:r>
            <w:r w:rsidR="005C47A4" w:rsidRPr="006B7CE2">
              <w:rPr>
                <w:rStyle w:val="Lienhypertexte"/>
                <w:noProof/>
              </w:rPr>
              <w:t>Recul des glaciers</w:t>
            </w:r>
            <w:r w:rsidR="005C47A4">
              <w:rPr>
                <w:noProof/>
                <w:webHidden/>
              </w:rPr>
              <w:tab/>
            </w:r>
            <w:r w:rsidR="005C47A4">
              <w:rPr>
                <w:noProof/>
                <w:webHidden/>
              </w:rPr>
              <w:fldChar w:fldCharType="begin"/>
            </w:r>
            <w:r w:rsidR="005C47A4">
              <w:rPr>
                <w:noProof/>
                <w:webHidden/>
              </w:rPr>
              <w:instrText xml:space="preserve"> PAGEREF _Toc139181645 \h </w:instrText>
            </w:r>
            <w:r w:rsidR="005C47A4">
              <w:rPr>
                <w:noProof/>
                <w:webHidden/>
              </w:rPr>
            </w:r>
            <w:r w:rsidR="005C47A4">
              <w:rPr>
                <w:noProof/>
                <w:webHidden/>
              </w:rPr>
              <w:fldChar w:fldCharType="separate"/>
            </w:r>
            <w:r w:rsidR="004D7B96">
              <w:rPr>
                <w:noProof/>
                <w:webHidden/>
              </w:rPr>
              <w:t>362</w:t>
            </w:r>
            <w:r w:rsidR="005C47A4">
              <w:rPr>
                <w:noProof/>
                <w:webHidden/>
              </w:rPr>
              <w:fldChar w:fldCharType="end"/>
            </w:r>
          </w:hyperlink>
        </w:p>
        <w:p w14:paraId="5877577B" w14:textId="2FCE0D0E"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646" w:history="1">
            <w:r w:rsidR="005C47A4" w:rsidRPr="006B7CE2">
              <w:rPr>
                <w:rStyle w:val="Lienhypertexte"/>
                <w:noProof/>
              </w:rPr>
              <w:t>38.6</w:t>
            </w:r>
            <w:r w:rsidR="005C47A4">
              <w:rPr>
                <w:rFonts w:eastAsiaTheme="minorEastAsia"/>
                <w:noProof/>
                <w:kern w:val="2"/>
                <w:lang w:eastAsia="fr-FR"/>
                <w14:ligatures w14:val="standardContextual"/>
              </w:rPr>
              <w:tab/>
            </w:r>
            <w:r w:rsidR="005C47A4" w:rsidRPr="006B7CE2">
              <w:rPr>
                <w:rStyle w:val="Lienhypertexte"/>
                <w:noProof/>
              </w:rPr>
              <w:t>Feux de forêts</w:t>
            </w:r>
            <w:r w:rsidR="005C47A4">
              <w:rPr>
                <w:noProof/>
                <w:webHidden/>
              </w:rPr>
              <w:tab/>
            </w:r>
            <w:r w:rsidR="005C47A4">
              <w:rPr>
                <w:noProof/>
                <w:webHidden/>
              </w:rPr>
              <w:fldChar w:fldCharType="begin"/>
            </w:r>
            <w:r w:rsidR="005C47A4">
              <w:rPr>
                <w:noProof/>
                <w:webHidden/>
              </w:rPr>
              <w:instrText xml:space="preserve"> PAGEREF _Toc139181646 \h </w:instrText>
            </w:r>
            <w:r w:rsidR="005C47A4">
              <w:rPr>
                <w:noProof/>
                <w:webHidden/>
              </w:rPr>
            </w:r>
            <w:r w:rsidR="005C47A4">
              <w:rPr>
                <w:noProof/>
                <w:webHidden/>
              </w:rPr>
              <w:fldChar w:fldCharType="separate"/>
            </w:r>
            <w:r w:rsidR="004D7B96">
              <w:rPr>
                <w:noProof/>
                <w:webHidden/>
              </w:rPr>
              <w:t>363</w:t>
            </w:r>
            <w:r w:rsidR="005C47A4">
              <w:rPr>
                <w:noProof/>
                <w:webHidden/>
              </w:rPr>
              <w:fldChar w:fldCharType="end"/>
            </w:r>
          </w:hyperlink>
        </w:p>
        <w:p w14:paraId="7563EF49" w14:textId="7FA41A87"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647" w:history="1">
            <w:r w:rsidR="005C47A4" w:rsidRPr="006B7CE2">
              <w:rPr>
                <w:rStyle w:val="Lienhypertexte"/>
                <w:noProof/>
              </w:rPr>
              <w:t>38.7</w:t>
            </w:r>
            <w:r w:rsidR="005C47A4">
              <w:rPr>
                <w:rFonts w:eastAsiaTheme="minorEastAsia"/>
                <w:noProof/>
                <w:kern w:val="2"/>
                <w:lang w:eastAsia="fr-FR"/>
                <w14:ligatures w14:val="standardContextual"/>
              </w:rPr>
              <w:tab/>
            </w:r>
            <w:r w:rsidR="005C47A4" w:rsidRPr="006B7CE2">
              <w:rPr>
                <w:rStyle w:val="Lienhypertexte"/>
                <w:noProof/>
              </w:rPr>
              <w:t>Projets de reforestation et jardins botaniques</w:t>
            </w:r>
            <w:r w:rsidR="005C47A4">
              <w:rPr>
                <w:noProof/>
                <w:webHidden/>
              </w:rPr>
              <w:tab/>
            </w:r>
            <w:r w:rsidR="005C47A4">
              <w:rPr>
                <w:noProof/>
                <w:webHidden/>
              </w:rPr>
              <w:fldChar w:fldCharType="begin"/>
            </w:r>
            <w:r w:rsidR="005C47A4">
              <w:rPr>
                <w:noProof/>
                <w:webHidden/>
              </w:rPr>
              <w:instrText xml:space="preserve"> PAGEREF _Toc139181647 \h </w:instrText>
            </w:r>
            <w:r w:rsidR="005C47A4">
              <w:rPr>
                <w:noProof/>
                <w:webHidden/>
              </w:rPr>
            </w:r>
            <w:r w:rsidR="005C47A4">
              <w:rPr>
                <w:noProof/>
                <w:webHidden/>
              </w:rPr>
              <w:fldChar w:fldCharType="separate"/>
            </w:r>
            <w:r w:rsidR="004D7B96">
              <w:rPr>
                <w:noProof/>
                <w:webHidden/>
              </w:rPr>
              <w:t>363</w:t>
            </w:r>
            <w:r w:rsidR="005C47A4">
              <w:rPr>
                <w:noProof/>
                <w:webHidden/>
              </w:rPr>
              <w:fldChar w:fldCharType="end"/>
            </w:r>
          </w:hyperlink>
        </w:p>
        <w:p w14:paraId="15DFA90D" w14:textId="2C004419"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648" w:history="1">
            <w:r w:rsidR="005C47A4" w:rsidRPr="006B7CE2">
              <w:rPr>
                <w:rStyle w:val="Lienhypertexte"/>
                <w:noProof/>
              </w:rPr>
              <w:t>38.8</w:t>
            </w:r>
            <w:r w:rsidR="005C47A4">
              <w:rPr>
                <w:rFonts w:eastAsiaTheme="minorEastAsia"/>
                <w:noProof/>
                <w:kern w:val="2"/>
                <w:lang w:eastAsia="fr-FR"/>
                <w14:ligatures w14:val="standardContextual"/>
              </w:rPr>
              <w:tab/>
            </w:r>
            <w:r w:rsidR="005C47A4" w:rsidRPr="006B7CE2">
              <w:rPr>
                <w:rStyle w:val="Lienhypertexte"/>
                <w:noProof/>
              </w:rPr>
              <w:t>Espèces de climats arides, résistantes à la sècheresse et au sel</w:t>
            </w:r>
            <w:r w:rsidR="005C47A4">
              <w:rPr>
                <w:noProof/>
                <w:webHidden/>
              </w:rPr>
              <w:tab/>
            </w:r>
            <w:r w:rsidR="005C47A4">
              <w:rPr>
                <w:noProof/>
                <w:webHidden/>
              </w:rPr>
              <w:fldChar w:fldCharType="begin"/>
            </w:r>
            <w:r w:rsidR="005C47A4">
              <w:rPr>
                <w:noProof/>
                <w:webHidden/>
              </w:rPr>
              <w:instrText xml:space="preserve"> PAGEREF _Toc139181648 \h </w:instrText>
            </w:r>
            <w:r w:rsidR="005C47A4">
              <w:rPr>
                <w:noProof/>
                <w:webHidden/>
              </w:rPr>
            </w:r>
            <w:r w:rsidR="005C47A4">
              <w:rPr>
                <w:noProof/>
                <w:webHidden/>
              </w:rPr>
              <w:fldChar w:fldCharType="separate"/>
            </w:r>
            <w:r w:rsidR="004D7B96">
              <w:rPr>
                <w:noProof/>
                <w:webHidden/>
              </w:rPr>
              <w:t>364</w:t>
            </w:r>
            <w:r w:rsidR="005C47A4">
              <w:rPr>
                <w:noProof/>
                <w:webHidden/>
              </w:rPr>
              <w:fldChar w:fldCharType="end"/>
            </w:r>
          </w:hyperlink>
        </w:p>
        <w:p w14:paraId="40650FFE" w14:textId="5F0044A0" w:rsidR="005C47A4" w:rsidRDefault="00000000">
          <w:pPr>
            <w:pStyle w:val="TM3"/>
            <w:tabs>
              <w:tab w:val="left" w:pos="1320"/>
              <w:tab w:val="right" w:leader="dot" w:pos="10416"/>
            </w:tabs>
            <w:rPr>
              <w:rFonts w:eastAsiaTheme="minorEastAsia"/>
              <w:noProof/>
              <w:kern w:val="2"/>
              <w:lang w:eastAsia="fr-FR"/>
              <w14:ligatures w14:val="standardContextual"/>
            </w:rPr>
          </w:pPr>
          <w:hyperlink w:anchor="_Toc139181649" w:history="1">
            <w:r w:rsidR="005C47A4" w:rsidRPr="006B7CE2">
              <w:rPr>
                <w:rStyle w:val="Lienhypertexte"/>
                <w:noProof/>
              </w:rPr>
              <w:t>38.8.1</w:t>
            </w:r>
            <w:r w:rsidR="005C47A4">
              <w:rPr>
                <w:rFonts w:eastAsiaTheme="minorEastAsia"/>
                <w:noProof/>
                <w:kern w:val="2"/>
                <w:lang w:eastAsia="fr-FR"/>
                <w14:ligatures w14:val="standardContextual"/>
              </w:rPr>
              <w:tab/>
            </w:r>
            <w:r w:rsidR="005C47A4" w:rsidRPr="006B7CE2">
              <w:rPr>
                <w:rStyle w:val="Lienhypertexte"/>
                <w:noProof/>
              </w:rPr>
              <w:t>Plantes halophytes</w:t>
            </w:r>
            <w:r w:rsidR="005C47A4">
              <w:rPr>
                <w:noProof/>
                <w:webHidden/>
              </w:rPr>
              <w:tab/>
            </w:r>
            <w:r w:rsidR="005C47A4">
              <w:rPr>
                <w:noProof/>
                <w:webHidden/>
              </w:rPr>
              <w:fldChar w:fldCharType="begin"/>
            </w:r>
            <w:r w:rsidR="005C47A4">
              <w:rPr>
                <w:noProof/>
                <w:webHidden/>
              </w:rPr>
              <w:instrText xml:space="preserve"> PAGEREF _Toc139181649 \h </w:instrText>
            </w:r>
            <w:r w:rsidR="005C47A4">
              <w:rPr>
                <w:noProof/>
                <w:webHidden/>
              </w:rPr>
            </w:r>
            <w:r w:rsidR="005C47A4">
              <w:rPr>
                <w:noProof/>
                <w:webHidden/>
              </w:rPr>
              <w:fldChar w:fldCharType="separate"/>
            </w:r>
            <w:r w:rsidR="004D7B96">
              <w:rPr>
                <w:noProof/>
                <w:webHidden/>
              </w:rPr>
              <w:t>364</w:t>
            </w:r>
            <w:r w:rsidR="005C47A4">
              <w:rPr>
                <w:noProof/>
                <w:webHidden/>
              </w:rPr>
              <w:fldChar w:fldCharType="end"/>
            </w:r>
          </w:hyperlink>
        </w:p>
        <w:p w14:paraId="00236CED" w14:textId="73EF04AB" w:rsidR="005C47A4" w:rsidRDefault="00000000">
          <w:pPr>
            <w:pStyle w:val="TM3"/>
            <w:tabs>
              <w:tab w:val="left" w:pos="1320"/>
              <w:tab w:val="right" w:leader="dot" w:pos="10416"/>
            </w:tabs>
            <w:rPr>
              <w:rFonts w:eastAsiaTheme="minorEastAsia"/>
              <w:noProof/>
              <w:kern w:val="2"/>
              <w:lang w:eastAsia="fr-FR"/>
              <w14:ligatures w14:val="standardContextual"/>
            </w:rPr>
          </w:pPr>
          <w:hyperlink w:anchor="_Toc139181650" w:history="1">
            <w:r w:rsidR="005C47A4" w:rsidRPr="006B7CE2">
              <w:rPr>
                <w:rStyle w:val="Lienhypertexte"/>
                <w:noProof/>
              </w:rPr>
              <w:t>38.8.2</w:t>
            </w:r>
            <w:r w:rsidR="005C47A4">
              <w:rPr>
                <w:rFonts w:eastAsiaTheme="minorEastAsia"/>
                <w:noProof/>
                <w:kern w:val="2"/>
                <w:lang w:eastAsia="fr-FR"/>
                <w14:ligatures w14:val="standardContextual"/>
              </w:rPr>
              <w:tab/>
            </w:r>
            <w:r w:rsidR="005C47A4" w:rsidRPr="006B7CE2">
              <w:rPr>
                <w:rStyle w:val="Lienhypertexte"/>
                <w:noProof/>
              </w:rPr>
              <w:t>Plantes xérophytes, de déserts</w:t>
            </w:r>
            <w:r w:rsidR="005C47A4">
              <w:rPr>
                <w:noProof/>
                <w:webHidden/>
              </w:rPr>
              <w:tab/>
            </w:r>
            <w:r w:rsidR="005C47A4">
              <w:rPr>
                <w:noProof/>
                <w:webHidden/>
              </w:rPr>
              <w:fldChar w:fldCharType="begin"/>
            </w:r>
            <w:r w:rsidR="005C47A4">
              <w:rPr>
                <w:noProof/>
                <w:webHidden/>
              </w:rPr>
              <w:instrText xml:space="preserve"> PAGEREF _Toc139181650 \h </w:instrText>
            </w:r>
            <w:r w:rsidR="005C47A4">
              <w:rPr>
                <w:noProof/>
                <w:webHidden/>
              </w:rPr>
            </w:r>
            <w:r w:rsidR="005C47A4">
              <w:rPr>
                <w:noProof/>
                <w:webHidden/>
              </w:rPr>
              <w:fldChar w:fldCharType="separate"/>
            </w:r>
            <w:r w:rsidR="004D7B96">
              <w:rPr>
                <w:noProof/>
                <w:webHidden/>
              </w:rPr>
              <w:t>364</w:t>
            </w:r>
            <w:r w:rsidR="005C47A4">
              <w:rPr>
                <w:noProof/>
                <w:webHidden/>
              </w:rPr>
              <w:fldChar w:fldCharType="end"/>
            </w:r>
          </w:hyperlink>
        </w:p>
        <w:p w14:paraId="6A1677EB" w14:textId="29D084BC" w:rsidR="005C47A4" w:rsidRDefault="00000000">
          <w:pPr>
            <w:pStyle w:val="TM3"/>
            <w:tabs>
              <w:tab w:val="left" w:pos="1320"/>
              <w:tab w:val="right" w:leader="dot" w:pos="10416"/>
            </w:tabs>
            <w:rPr>
              <w:rFonts w:eastAsiaTheme="minorEastAsia"/>
              <w:noProof/>
              <w:kern w:val="2"/>
              <w:lang w:eastAsia="fr-FR"/>
              <w14:ligatures w14:val="standardContextual"/>
            </w:rPr>
          </w:pPr>
          <w:hyperlink w:anchor="_Toc139181651" w:history="1">
            <w:r w:rsidR="005C47A4" w:rsidRPr="006B7CE2">
              <w:rPr>
                <w:rStyle w:val="Lienhypertexte"/>
                <w:noProof/>
              </w:rPr>
              <w:t>38.8.3</w:t>
            </w:r>
            <w:r w:rsidR="005C47A4">
              <w:rPr>
                <w:rFonts w:eastAsiaTheme="minorEastAsia"/>
                <w:noProof/>
                <w:kern w:val="2"/>
                <w:lang w:eastAsia="fr-FR"/>
                <w14:ligatures w14:val="standardContextual"/>
              </w:rPr>
              <w:tab/>
            </w:r>
            <w:r w:rsidR="005C47A4" w:rsidRPr="006B7CE2">
              <w:rPr>
                <w:rStyle w:val="Lienhypertexte"/>
                <w:noProof/>
              </w:rPr>
              <w:t>Les techniques de culture de la salicorne et autres infos sur la plante</w:t>
            </w:r>
            <w:r w:rsidR="005C47A4">
              <w:rPr>
                <w:noProof/>
                <w:webHidden/>
              </w:rPr>
              <w:tab/>
            </w:r>
            <w:r w:rsidR="005C47A4">
              <w:rPr>
                <w:noProof/>
                <w:webHidden/>
              </w:rPr>
              <w:fldChar w:fldCharType="begin"/>
            </w:r>
            <w:r w:rsidR="005C47A4">
              <w:rPr>
                <w:noProof/>
                <w:webHidden/>
              </w:rPr>
              <w:instrText xml:space="preserve"> PAGEREF _Toc139181651 \h </w:instrText>
            </w:r>
            <w:r w:rsidR="005C47A4">
              <w:rPr>
                <w:noProof/>
                <w:webHidden/>
              </w:rPr>
            </w:r>
            <w:r w:rsidR="005C47A4">
              <w:rPr>
                <w:noProof/>
                <w:webHidden/>
              </w:rPr>
              <w:fldChar w:fldCharType="separate"/>
            </w:r>
            <w:r w:rsidR="004D7B96">
              <w:rPr>
                <w:noProof/>
                <w:webHidden/>
              </w:rPr>
              <w:t>364</w:t>
            </w:r>
            <w:r w:rsidR="005C47A4">
              <w:rPr>
                <w:noProof/>
                <w:webHidden/>
              </w:rPr>
              <w:fldChar w:fldCharType="end"/>
            </w:r>
          </w:hyperlink>
        </w:p>
        <w:p w14:paraId="7B035892" w14:textId="501798C2"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652" w:history="1">
            <w:r w:rsidR="005C47A4" w:rsidRPr="006B7CE2">
              <w:rPr>
                <w:rStyle w:val="Lienhypertexte"/>
                <w:noProof/>
              </w:rPr>
              <w:t>38.9</w:t>
            </w:r>
            <w:r w:rsidR="005C47A4">
              <w:rPr>
                <w:rFonts w:eastAsiaTheme="minorEastAsia"/>
                <w:noProof/>
                <w:kern w:val="2"/>
                <w:lang w:eastAsia="fr-FR"/>
                <w14:ligatures w14:val="standardContextual"/>
              </w:rPr>
              <w:tab/>
            </w:r>
            <w:r w:rsidR="005C47A4" w:rsidRPr="006B7CE2">
              <w:rPr>
                <w:rStyle w:val="Lienhypertexte"/>
                <w:noProof/>
              </w:rPr>
              <w:t>Etudes sur la résistance des plantes au sel</w:t>
            </w:r>
            <w:r w:rsidR="005C47A4">
              <w:rPr>
                <w:noProof/>
                <w:webHidden/>
              </w:rPr>
              <w:tab/>
            </w:r>
            <w:r w:rsidR="005C47A4">
              <w:rPr>
                <w:noProof/>
                <w:webHidden/>
              </w:rPr>
              <w:fldChar w:fldCharType="begin"/>
            </w:r>
            <w:r w:rsidR="005C47A4">
              <w:rPr>
                <w:noProof/>
                <w:webHidden/>
              </w:rPr>
              <w:instrText xml:space="preserve"> PAGEREF _Toc139181652 \h </w:instrText>
            </w:r>
            <w:r w:rsidR="005C47A4">
              <w:rPr>
                <w:noProof/>
                <w:webHidden/>
              </w:rPr>
            </w:r>
            <w:r w:rsidR="005C47A4">
              <w:rPr>
                <w:noProof/>
                <w:webHidden/>
              </w:rPr>
              <w:fldChar w:fldCharType="separate"/>
            </w:r>
            <w:r w:rsidR="004D7B96">
              <w:rPr>
                <w:noProof/>
                <w:webHidden/>
              </w:rPr>
              <w:t>365</w:t>
            </w:r>
            <w:r w:rsidR="005C47A4">
              <w:rPr>
                <w:noProof/>
                <w:webHidden/>
              </w:rPr>
              <w:fldChar w:fldCharType="end"/>
            </w:r>
          </w:hyperlink>
        </w:p>
        <w:p w14:paraId="4A69DE56" w14:textId="6B644334" w:rsidR="005C47A4" w:rsidRDefault="00000000">
          <w:pPr>
            <w:pStyle w:val="TM3"/>
            <w:tabs>
              <w:tab w:val="left" w:pos="1320"/>
              <w:tab w:val="right" w:leader="dot" w:pos="10416"/>
            </w:tabs>
            <w:rPr>
              <w:rFonts w:eastAsiaTheme="minorEastAsia"/>
              <w:noProof/>
              <w:kern w:val="2"/>
              <w:lang w:eastAsia="fr-FR"/>
              <w14:ligatures w14:val="standardContextual"/>
            </w:rPr>
          </w:pPr>
          <w:hyperlink w:anchor="_Toc139181653" w:history="1">
            <w:r w:rsidR="005C47A4" w:rsidRPr="006B7CE2">
              <w:rPr>
                <w:rStyle w:val="Lienhypertexte"/>
                <w:noProof/>
              </w:rPr>
              <w:t>38.9.1</w:t>
            </w:r>
            <w:r w:rsidR="005C47A4">
              <w:rPr>
                <w:rFonts w:eastAsiaTheme="minorEastAsia"/>
                <w:noProof/>
                <w:kern w:val="2"/>
                <w:lang w:eastAsia="fr-FR"/>
                <w14:ligatures w14:val="standardContextual"/>
              </w:rPr>
              <w:tab/>
            </w:r>
            <w:r w:rsidR="005C47A4" w:rsidRPr="006B7CE2">
              <w:rPr>
                <w:rStyle w:val="Lienhypertexte"/>
                <w:noProof/>
              </w:rPr>
              <w:t>Utilisation de la bactérie « </w:t>
            </w:r>
            <w:r w:rsidR="005C47A4" w:rsidRPr="006B7CE2">
              <w:rPr>
                <w:rStyle w:val="Lienhypertexte"/>
                <w:i/>
                <w:iCs/>
                <w:noProof/>
              </w:rPr>
              <w:t>Pseudomonas extremorientalis</w:t>
            </w:r>
            <w:r w:rsidR="005C47A4" w:rsidRPr="006B7CE2">
              <w:rPr>
                <w:rStyle w:val="Lienhypertexte"/>
                <w:noProof/>
              </w:rPr>
              <w:t> »</w:t>
            </w:r>
            <w:r w:rsidR="005C47A4">
              <w:rPr>
                <w:noProof/>
                <w:webHidden/>
              </w:rPr>
              <w:tab/>
            </w:r>
            <w:r w:rsidR="005C47A4">
              <w:rPr>
                <w:noProof/>
                <w:webHidden/>
              </w:rPr>
              <w:fldChar w:fldCharType="begin"/>
            </w:r>
            <w:r w:rsidR="005C47A4">
              <w:rPr>
                <w:noProof/>
                <w:webHidden/>
              </w:rPr>
              <w:instrText xml:space="preserve"> PAGEREF _Toc139181653 \h </w:instrText>
            </w:r>
            <w:r w:rsidR="005C47A4">
              <w:rPr>
                <w:noProof/>
                <w:webHidden/>
              </w:rPr>
            </w:r>
            <w:r w:rsidR="005C47A4">
              <w:rPr>
                <w:noProof/>
                <w:webHidden/>
              </w:rPr>
              <w:fldChar w:fldCharType="separate"/>
            </w:r>
            <w:r w:rsidR="004D7B96">
              <w:rPr>
                <w:noProof/>
                <w:webHidden/>
              </w:rPr>
              <w:t>366</w:t>
            </w:r>
            <w:r w:rsidR="005C47A4">
              <w:rPr>
                <w:noProof/>
                <w:webHidden/>
              </w:rPr>
              <w:fldChar w:fldCharType="end"/>
            </w:r>
          </w:hyperlink>
        </w:p>
        <w:p w14:paraId="5A83687A" w14:textId="592404BE" w:rsidR="005C47A4" w:rsidRDefault="00000000">
          <w:pPr>
            <w:pStyle w:val="TM3"/>
            <w:tabs>
              <w:tab w:val="left" w:pos="1320"/>
              <w:tab w:val="right" w:leader="dot" w:pos="10416"/>
            </w:tabs>
            <w:rPr>
              <w:rFonts w:eastAsiaTheme="minorEastAsia"/>
              <w:noProof/>
              <w:kern w:val="2"/>
              <w:lang w:eastAsia="fr-FR"/>
              <w14:ligatures w14:val="standardContextual"/>
            </w:rPr>
          </w:pPr>
          <w:hyperlink w:anchor="_Toc139181654" w:history="1">
            <w:r w:rsidR="005C47A4" w:rsidRPr="006B7CE2">
              <w:rPr>
                <w:rStyle w:val="Lienhypertexte"/>
                <w:noProof/>
              </w:rPr>
              <w:t>38.9.2</w:t>
            </w:r>
            <w:r w:rsidR="005C47A4">
              <w:rPr>
                <w:rFonts w:eastAsiaTheme="minorEastAsia"/>
                <w:noProof/>
                <w:kern w:val="2"/>
                <w:lang w:eastAsia="fr-FR"/>
                <w14:ligatures w14:val="standardContextual"/>
              </w:rPr>
              <w:tab/>
            </w:r>
            <w:r w:rsidR="005C47A4" w:rsidRPr="006B7CE2">
              <w:rPr>
                <w:rStyle w:val="Lienhypertexte"/>
                <w:noProof/>
              </w:rPr>
              <w:t>Résistance au sel de l'Orge (</w:t>
            </w:r>
            <w:r w:rsidR="005C47A4" w:rsidRPr="006B7CE2">
              <w:rPr>
                <w:rStyle w:val="Lienhypertexte"/>
                <w:i/>
                <w:iCs/>
                <w:noProof/>
              </w:rPr>
              <w:t>Hordeum vulgare</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_Toc139181654 \h </w:instrText>
            </w:r>
            <w:r w:rsidR="005C47A4">
              <w:rPr>
                <w:noProof/>
                <w:webHidden/>
              </w:rPr>
            </w:r>
            <w:r w:rsidR="005C47A4">
              <w:rPr>
                <w:noProof/>
                <w:webHidden/>
              </w:rPr>
              <w:fldChar w:fldCharType="separate"/>
            </w:r>
            <w:r w:rsidR="004D7B96">
              <w:rPr>
                <w:noProof/>
                <w:webHidden/>
              </w:rPr>
              <w:t>367</w:t>
            </w:r>
            <w:r w:rsidR="005C47A4">
              <w:rPr>
                <w:noProof/>
                <w:webHidden/>
              </w:rPr>
              <w:fldChar w:fldCharType="end"/>
            </w:r>
          </w:hyperlink>
        </w:p>
        <w:p w14:paraId="7E4BE4FC" w14:textId="2C2A82D4" w:rsidR="005C47A4" w:rsidRDefault="00000000">
          <w:pPr>
            <w:pStyle w:val="TM2"/>
            <w:tabs>
              <w:tab w:val="left" w:pos="1100"/>
              <w:tab w:val="right" w:leader="dot" w:pos="10416"/>
            </w:tabs>
            <w:rPr>
              <w:rFonts w:eastAsiaTheme="minorEastAsia"/>
              <w:noProof/>
              <w:kern w:val="2"/>
              <w:lang w:eastAsia="fr-FR"/>
              <w14:ligatures w14:val="standardContextual"/>
            </w:rPr>
          </w:pPr>
          <w:hyperlink w:anchor="_Toc139181655" w:history="1">
            <w:r w:rsidR="005C47A4" w:rsidRPr="006B7CE2">
              <w:rPr>
                <w:rStyle w:val="Lienhypertexte"/>
                <w:noProof/>
              </w:rPr>
              <w:t>38.10</w:t>
            </w:r>
            <w:r w:rsidR="005C47A4">
              <w:rPr>
                <w:rFonts w:eastAsiaTheme="minorEastAsia"/>
                <w:noProof/>
                <w:kern w:val="2"/>
                <w:lang w:eastAsia="fr-FR"/>
                <w14:ligatures w14:val="standardContextual"/>
              </w:rPr>
              <w:tab/>
            </w:r>
            <w:r w:rsidR="005C47A4" w:rsidRPr="006B7CE2">
              <w:rPr>
                <w:rStyle w:val="Lienhypertexte"/>
                <w:noProof/>
              </w:rPr>
              <w:t>Algoculture</w:t>
            </w:r>
            <w:r w:rsidR="005C47A4">
              <w:rPr>
                <w:noProof/>
                <w:webHidden/>
              </w:rPr>
              <w:tab/>
            </w:r>
            <w:r w:rsidR="005C47A4">
              <w:rPr>
                <w:noProof/>
                <w:webHidden/>
              </w:rPr>
              <w:fldChar w:fldCharType="begin"/>
            </w:r>
            <w:r w:rsidR="005C47A4">
              <w:rPr>
                <w:noProof/>
                <w:webHidden/>
              </w:rPr>
              <w:instrText xml:space="preserve"> PAGEREF _Toc139181655 \h </w:instrText>
            </w:r>
            <w:r w:rsidR="005C47A4">
              <w:rPr>
                <w:noProof/>
                <w:webHidden/>
              </w:rPr>
            </w:r>
            <w:r w:rsidR="005C47A4">
              <w:rPr>
                <w:noProof/>
                <w:webHidden/>
              </w:rPr>
              <w:fldChar w:fldCharType="separate"/>
            </w:r>
            <w:r w:rsidR="004D7B96">
              <w:rPr>
                <w:noProof/>
                <w:webHidden/>
              </w:rPr>
              <w:t>367</w:t>
            </w:r>
            <w:r w:rsidR="005C47A4">
              <w:rPr>
                <w:noProof/>
                <w:webHidden/>
              </w:rPr>
              <w:fldChar w:fldCharType="end"/>
            </w:r>
          </w:hyperlink>
        </w:p>
        <w:p w14:paraId="409CA17D" w14:textId="232C0988" w:rsidR="005C47A4" w:rsidRDefault="00000000">
          <w:pPr>
            <w:pStyle w:val="TM2"/>
            <w:tabs>
              <w:tab w:val="left" w:pos="1100"/>
              <w:tab w:val="right" w:leader="dot" w:pos="10416"/>
            </w:tabs>
            <w:rPr>
              <w:rFonts w:eastAsiaTheme="minorEastAsia"/>
              <w:noProof/>
              <w:kern w:val="2"/>
              <w:lang w:eastAsia="fr-FR"/>
              <w14:ligatures w14:val="standardContextual"/>
            </w:rPr>
          </w:pPr>
          <w:hyperlink w:anchor="_Toc139181656" w:history="1">
            <w:r w:rsidR="005C47A4" w:rsidRPr="006B7CE2">
              <w:rPr>
                <w:rStyle w:val="Lienhypertexte"/>
                <w:noProof/>
              </w:rPr>
              <w:t>38.11</w:t>
            </w:r>
            <w:r w:rsidR="005C47A4">
              <w:rPr>
                <w:rFonts w:eastAsiaTheme="minorEastAsia"/>
                <w:noProof/>
                <w:kern w:val="2"/>
                <w:lang w:eastAsia="fr-FR"/>
                <w14:ligatures w14:val="standardContextual"/>
              </w:rPr>
              <w:tab/>
            </w:r>
            <w:r w:rsidR="005C47A4" w:rsidRPr="006B7CE2">
              <w:rPr>
                <w:rStyle w:val="Lienhypertexte"/>
                <w:noProof/>
              </w:rPr>
              <w:t>Mangroves et palétuviers</w:t>
            </w:r>
            <w:r w:rsidR="005C47A4">
              <w:rPr>
                <w:noProof/>
                <w:webHidden/>
              </w:rPr>
              <w:tab/>
            </w:r>
            <w:r w:rsidR="005C47A4">
              <w:rPr>
                <w:noProof/>
                <w:webHidden/>
              </w:rPr>
              <w:fldChar w:fldCharType="begin"/>
            </w:r>
            <w:r w:rsidR="005C47A4">
              <w:rPr>
                <w:noProof/>
                <w:webHidden/>
              </w:rPr>
              <w:instrText xml:space="preserve"> PAGEREF _Toc139181656 \h </w:instrText>
            </w:r>
            <w:r w:rsidR="005C47A4">
              <w:rPr>
                <w:noProof/>
                <w:webHidden/>
              </w:rPr>
            </w:r>
            <w:r w:rsidR="005C47A4">
              <w:rPr>
                <w:noProof/>
                <w:webHidden/>
              </w:rPr>
              <w:fldChar w:fldCharType="separate"/>
            </w:r>
            <w:r w:rsidR="004D7B96">
              <w:rPr>
                <w:noProof/>
                <w:webHidden/>
              </w:rPr>
              <w:t>367</w:t>
            </w:r>
            <w:r w:rsidR="005C47A4">
              <w:rPr>
                <w:noProof/>
                <w:webHidden/>
              </w:rPr>
              <w:fldChar w:fldCharType="end"/>
            </w:r>
          </w:hyperlink>
        </w:p>
        <w:p w14:paraId="53EC21AF" w14:textId="38F2674A" w:rsidR="005C47A4" w:rsidRDefault="00000000">
          <w:pPr>
            <w:pStyle w:val="TM2"/>
            <w:tabs>
              <w:tab w:val="left" w:pos="1100"/>
              <w:tab w:val="right" w:leader="dot" w:pos="10416"/>
            </w:tabs>
            <w:rPr>
              <w:rFonts w:eastAsiaTheme="minorEastAsia"/>
              <w:noProof/>
              <w:kern w:val="2"/>
              <w:lang w:eastAsia="fr-FR"/>
              <w14:ligatures w14:val="standardContextual"/>
            </w:rPr>
          </w:pPr>
          <w:hyperlink w:anchor="_Toc139181657" w:history="1">
            <w:r w:rsidR="005C47A4" w:rsidRPr="006B7CE2">
              <w:rPr>
                <w:rStyle w:val="Lienhypertexte"/>
                <w:noProof/>
                <w:lang w:val="it-IT"/>
              </w:rPr>
              <w:t>38.12</w:t>
            </w:r>
            <w:r w:rsidR="005C47A4">
              <w:rPr>
                <w:rFonts w:eastAsiaTheme="minorEastAsia"/>
                <w:noProof/>
                <w:kern w:val="2"/>
                <w:lang w:eastAsia="fr-FR"/>
                <w14:ligatures w14:val="standardContextual"/>
              </w:rPr>
              <w:tab/>
            </w:r>
            <w:r w:rsidR="005C47A4" w:rsidRPr="006B7CE2">
              <w:rPr>
                <w:rStyle w:val="Lienhypertexte"/>
                <w:noProof/>
                <w:lang w:val="it-IT"/>
              </w:rPr>
              <w:t>Champignons, mycorrhyse et Mycorrhysation</w:t>
            </w:r>
            <w:r w:rsidR="005C47A4">
              <w:rPr>
                <w:noProof/>
                <w:webHidden/>
              </w:rPr>
              <w:tab/>
            </w:r>
            <w:r w:rsidR="005C47A4">
              <w:rPr>
                <w:noProof/>
                <w:webHidden/>
              </w:rPr>
              <w:fldChar w:fldCharType="begin"/>
            </w:r>
            <w:r w:rsidR="005C47A4">
              <w:rPr>
                <w:noProof/>
                <w:webHidden/>
              </w:rPr>
              <w:instrText xml:space="preserve"> PAGEREF _Toc139181657 \h </w:instrText>
            </w:r>
            <w:r w:rsidR="005C47A4">
              <w:rPr>
                <w:noProof/>
                <w:webHidden/>
              </w:rPr>
            </w:r>
            <w:r w:rsidR="005C47A4">
              <w:rPr>
                <w:noProof/>
                <w:webHidden/>
              </w:rPr>
              <w:fldChar w:fldCharType="separate"/>
            </w:r>
            <w:r w:rsidR="004D7B96">
              <w:rPr>
                <w:noProof/>
                <w:webHidden/>
              </w:rPr>
              <w:t>368</w:t>
            </w:r>
            <w:r w:rsidR="005C47A4">
              <w:rPr>
                <w:noProof/>
                <w:webHidden/>
              </w:rPr>
              <w:fldChar w:fldCharType="end"/>
            </w:r>
          </w:hyperlink>
        </w:p>
        <w:p w14:paraId="24D51848" w14:textId="02F8BAFE" w:rsidR="005C47A4" w:rsidRDefault="00000000">
          <w:pPr>
            <w:pStyle w:val="TM2"/>
            <w:tabs>
              <w:tab w:val="left" w:pos="1100"/>
              <w:tab w:val="right" w:leader="dot" w:pos="10416"/>
            </w:tabs>
            <w:rPr>
              <w:rFonts w:eastAsiaTheme="minorEastAsia"/>
              <w:noProof/>
              <w:kern w:val="2"/>
              <w:lang w:eastAsia="fr-FR"/>
              <w14:ligatures w14:val="standardContextual"/>
            </w:rPr>
          </w:pPr>
          <w:hyperlink w:anchor="_Toc139181658" w:history="1">
            <w:r w:rsidR="005C47A4" w:rsidRPr="006B7CE2">
              <w:rPr>
                <w:rStyle w:val="Lienhypertexte"/>
                <w:noProof/>
                <w:lang w:eastAsia="fr-FR"/>
              </w:rPr>
              <w:t>38.13</w:t>
            </w:r>
            <w:r w:rsidR="005C47A4">
              <w:rPr>
                <w:rFonts w:eastAsiaTheme="minorEastAsia"/>
                <w:noProof/>
                <w:kern w:val="2"/>
                <w:lang w:eastAsia="fr-FR"/>
                <w14:ligatures w14:val="standardContextual"/>
              </w:rPr>
              <w:tab/>
            </w:r>
            <w:r w:rsidR="005C47A4" w:rsidRPr="006B7CE2">
              <w:rPr>
                <w:rStyle w:val="Lienhypertexte"/>
                <w:noProof/>
                <w:lang w:eastAsia="fr-FR"/>
              </w:rPr>
              <w:t>Base de données documentaire pour le développement durable de pays en voie de développement</w:t>
            </w:r>
            <w:r w:rsidR="005C47A4">
              <w:rPr>
                <w:noProof/>
                <w:webHidden/>
              </w:rPr>
              <w:tab/>
            </w:r>
            <w:r w:rsidR="005C47A4">
              <w:rPr>
                <w:noProof/>
                <w:webHidden/>
              </w:rPr>
              <w:fldChar w:fldCharType="begin"/>
            </w:r>
            <w:r w:rsidR="005C47A4">
              <w:rPr>
                <w:noProof/>
                <w:webHidden/>
              </w:rPr>
              <w:instrText xml:space="preserve"> PAGEREF _Toc139181658 \h </w:instrText>
            </w:r>
            <w:r w:rsidR="005C47A4">
              <w:rPr>
                <w:noProof/>
                <w:webHidden/>
              </w:rPr>
            </w:r>
            <w:r w:rsidR="005C47A4">
              <w:rPr>
                <w:noProof/>
                <w:webHidden/>
              </w:rPr>
              <w:fldChar w:fldCharType="separate"/>
            </w:r>
            <w:r w:rsidR="004D7B96">
              <w:rPr>
                <w:noProof/>
                <w:webHidden/>
              </w:rPr>
              <w:t>368</w:t>
            </w:r>
            <w:r w:rsidR="005C47A4">
              <w:rPr>
                <w:noProof/>
                <w:webHidden/>
              </w:rPr>
              <w:fldChar w:fldCharType="end"/>
            </w:r>
          </w:hyperlink>
        </w:p>
        <w:p w14:paraId="1E11569A" w14:textId="3F375A4F" w:rsidR="005C47A4" w:rsidRDefault="00000000">
          <w:pPr>
            <w:pStyle w:val="TM2"/>
            <w:tabs>
              <w:tab w:val="left" w:pos="1100"/>
              <w:tab w:val="right" w:leader="dot" w:pos="10416"/>
            </w:tabs>
            <w:rPr>
              <w:rFonts w:eastAsiaTheme="minorEastAsia"/>
              <w:noProof/>
              <w:kern w:val="2"/>
              <w:lang w:eastAsia="fr-FR"/>
              <w14:ligatures w14:val="standardContextual"/>
            </w:rPr>
          </w:pPr>
          <w:hyperlink w:anchor="_Toc139181659" w:history="1">
            <w:r w:rsidR="005C47A4" w:rsidRPr="006B7CE2">
              <w:rPr>
                <w:rStyle w:val="Lienhypertexte"/>
                <w:noProof/>
                <w:lang w:val="en-GB"/>
              </w:rPr>
              <w:t>38.14</w:t>
            </w:r>
            <w:r w:rsidR="005C47A4">
              <w:rPr>
                <w:rFonts w:eastAsiaTheme="minorEastAsia"/>
                <w:noProof/>
                <w:kern w:val="2"/>
                <w:lang w:eastAsia="fr-FR"/>
                <w14:ligatures w14:val="standardContextual"/>
              </w:rPr>
              <w:tab/>
            </w:r>
            <w:r w:rsidR="005C47A4" w:rsidRPr="006B7CE2">
              <w:rPr>
                <w:rStyle w:val="Lienhypertexte"/>
                <w:noProof/>
                <w:lang w:val="en-GB"/>
              </w:rPr>
              <w:t>Techniques anti-érosives</w:t>
            </w:r>
            <w:r w:rsidR="005C47A4">
              <w:rPr>
                <w:noProof/>
                <w:webHidden/>
              </w:rPr>
              <w:tab/>
            </w:r>
            <w:r w:rsidR="005C47A4">
              <w:rPr>
                <w:noProof/>
                <w:webHidden/>
              </w:rPr>
              <w:fldChar w:fldCharType="begin"/>
            </w:r>
            <w:r w:rsidR="005C47A4">
              <w:rPr>
                <w:noProof/>
                <w:webHidden/>
              </w:rPr>
              <w:instrText xml:space="preserve"> PAGEREF _Toc139181659 \h </w:instrText>
            </w:r>
            <w:r w:rsidR="005C47A4">
              <w:rPr>
                <w:noProof/>
                <w:webHidden/>
              </w:rPr>
            </w:r>
            <w:r w:rsidR="005C47A4">
              <w:rPr>
                <w:noProof/>
                <w:webHidden/>
              </w:rPr>
              <w:fldChar w:fldCharType="separate"/>
            </w:r>
            <w:r w:rsidR="004D7B96">
              <w:rPr>
                <w:noProof/>
                <w:webHidden/>
              </w:rPr>
              <w:t>368</w:t>
            </w:r>
            <w:r w:rsidR="005C47A4">
              <w:rPr>
                <w:noProof/>
                <w:webHidden/>
              </w:rPr>
              <w:fldChar w:fldCharType="end"/>
            </w:r>
          </w:hyperlink>
        </w:p>
        <w:p w14:paraId="1A34209F" w14:textId="41974B86" w:rsidR="005C47A4" w:rsidRDefault="00000000">
          <w:pPr>
            <w:pStyle w:val="TM2"/>
            <w:tabs>
              <w:tab w:val="left" w:pos="1100"/>
              <w:tab w:val="right" w:leader="dot" w:pos="10416"/>
            </w:tabs>
            <w:rPr>
              <w:rFonts w:eastAsiaTheme="minorEastAsia"/>
              <w:noProof/>
              <w:kern w:val="2"/>
              <w:lang w:eastAsia="fr-FR"/>
              <w14:ligatures w14:val="standardContextual"/>
            </w:rPr>
          </w:pPr>
          <w:hyperlink w:anchor="_Toc139181660" w:history="1">
            <w:r w:rsidR="005C47A4" w:rsidRPr="006B7CE2">
              <w:rPr>
                <w:rStyle w:val="Lienhypertexte"/>
                <w:noProof/>
              </w:rPr>
              <w:t>38.15</w:t>
            </w:r>
            <w:r w:rsidR="005C47A4">
              <w:rPr>
                <w:rFonts w:eastAsiaTheme="minorEastAsia"/>
                <w:noProof/>
                <w:kern w:val="2"/>
                <w:lang w:eastAsia="fr-FR"/>
                <w14:ligatures w14:val="standardContextual"/>
              </w:rPr>
              <w:tab/>
            </w:r>
            <w:r w:rsidR="005C47A4" w:rsidRPr="006B7CE2">
              <w:rPr>
                <w:rStyle w:val="Lienhypertexte"/>
                <w:noProof/>
              </w:rPr>
              <w:t>Méthodes d’irrigation et économie de l’eau</w:t>
            </w:r>
            <w:r w:rsidR="005C47A4">
              <w:rPr>
                <w:noProof/>
                <w:webHidden/>
              </w:rPr>
              <w:tab/>
            </w:r>
            <w:r w:rsidR="005C47A4">
              <w:rPr>
                <w:noProof/>
                <w:webHidden/>
              </w:rPr>
              <w:fldChar w:fldCharType="begin"/>
            </w:r>
            <w:r w:rsidR="005C47A4">
              <w:rPr>
                <w:noProof/>
                <w:webHidden/>
              </w:rPr>
              <w:instrText xml:space="preserve"> PAGEREF _Toc139181660 \h </w:instrText>
            </w:r>
            <w:r w:rsidR="005C47A4">
              <w:rPr>
                <w:noProof/>
                <w:webHidden/>
              </w:rPr>
            </w:r>
            <w:r w:rsidR="005C47A4">
              <w:rPr>
                <w:noProof/>
                <w:webHidden/>
              </w:rPr>
              <w:fldChar w:fldCharType="separate"/>
            </w:r>
            <w:r w:rsidR="004D7B96">
              <w:rPr>
                <w:noProof/>
                <w:webHidden/>
              </w:rPr>
              <w:t>369</w:t>
            </w:r>
            <w:r w:rsidR="005C47A4">
              <w:rPr>
                <w:noProof/>
                <w:webHidden/>
              </w:rPr>
              <w:fldChar w:fldCharType="end"/>
            </w:r>
          </w:hyperlink>
        </w:p>
        <w:p w14:paraId="5CD442F6" w14:textId="7EE20C83" w:rsidR="005C47A4" w:rsidRDefault="00000000">
          <w:pPr>
            <w:pStyle w:val="TM3"/>
            <w:tabs>
              <w:tab w:val="left" w:pos="1540"/>
              <w:tab w:val="right" w:leader="dot" w:pos="10416"/>
            </w:tabs>
            <w:rPr>
              <w:rFonts w:eastAsiaTheme="minorEastAsia"/>
              <w:noProof/>
              <w:kern w:val="2"/>
              <w:lang w:eastAsia="fr-FR"/>
              <w14:ligatures w14:val="standardContextual"/>
            </w:rPr>
          </w:pPr>
          <w:hyperlink w:anchor="_Toc139181661" w:history="1">
            <w:r w:rsidR="005C47A4" w:rsidRPr="006B7CE2">
              <w:rPr>
                <w:rStyle w:val="Lienhypertexte"/>
                <w:noProof/>
              </w:rPr>
              <w:t>38.15.1</w:t>
            </w:r>
            <w:r w:rsidR="005C47A4">
              <w:rPr>
                <w:rFonts w:eastAsiaTheme="minorEastAsia"/>
                <w:noProof/>
                <w:kern w:val="2"/>
                <w:lang w:eastAsia="fr-FR"/>
                <w14:ligatures w14:val="standardContextual"/>
              </w:rPr>
              <w:tab/>
            </w:r>
            <w:r w:rsidR="005C47A4" w:rsidRPr="006B7CE2">
              <w:rPr>
                <w:rStyle w:val="Lienhypertexte"/>
                <w:noProof/>
              </w:rPr>
              <w:t>Sensibilisation à l’économie de l’eau</w:t>
            </w:r>
            <w:r w:rsidR="005C47A4">
              <w:rPr>
                <w:noProof/>
                <w:webHidden/>
              </w:rPr>
              <w:tab/>
            </w:r>
            <w:r w:rsidR="005C47A4">
              <w:rPr>
                <w:noProof/>
                <w:webHidden/>
              </w:rPr>
              <w:fldChar w:fldCharType="begin"/>
            </w:r>
            <w:r w:rsidR="005C47A4">
              <w:rPr>
                <w:noProof/>
                <w:webHidden/>
              </w:rPr>
              <w:instrText xml:space="preserve"> PAGEREF _Toc139181661 \h </w:instrText>
            </w:r>
            <w:r w:rsidR="005C47A4">
              <w:rPr>
                <w:noProof/>
                <w:webHidden/>
              </w:rPr>
            </w:r>
            <w:r w:rsidR="005C47A4">
              <w:rPr>
                <w:noProof/>
                <w:webHidden/>
              </w:rPr>
              <w:fldChar w:fldCharType="separate"/>
            </w:r>
            <w:r w:rsidR="004D7B96">
              <w:rPr>
                <w:noProof/>
                <w:webHidden/>
              </w:rPr>
              <w:t>369</w:t>
            </w:r>
            <w:r w:rsidR="005C47A4">
              <w:rPr>
                <w:noProof/>
                <w:webHidden/>
              </w:rPr>
              <w:fldChar w:fldCharType="end"/>
            </w:r>
          </w:hyperlink>
        </w:p>
        <w:p w14:paraId="5619B0FB" w14:textId="4576B8BB" w:rsidR="005C47A4" w:rsidRDefault="00000000">
          <w:pPr>
            <w:pStyle w:val="TM3"/>
            <w:tabs>
              <w:tab w:val="left" w:pos="1540"/>
              <w:tab w:val="right" w:leader="dot" w:pos="10416"/>
            </w:tabs>
            <w:rPr>
              <w:rFonts w:eastAsiaTheme="minorEastAsia"/>
              <w:noProof/>
              <w:kern w:val="2"/>
              <w:lang w:eastAsia="fr-FR"/>
              <w14:ligatures w14:val="standardContextual"/>
            </w:rPr>
          </w:pPr>
          <w:hyperlink w:anchor="_Toc139181662" w:history="1">
            <w:r w:rsidR="005C47A4" w:rsidRPr="006B7CE2">
              <w:rPr>
                <w:rStyle w:val="Lienhypertexte"/>
                <w:noProof/>
              </w:rPr>
              <w:t>38.15.2</w:t>
            </w:r>
            <w:r w:rsidR="005C47A4">
              <w:rPr>
                <w:rFonts w:eastAsiaTheme="minorEastAsia"/>
                <w:noProof/>
                <w:kern w:val="2"/>
                <w:lang w:eastAsia="fr-FR"/>
                <w14:ligatures w14:val="standardContextual"/>
              </w:rPr>
              <w:tab/>
            </w:r>
            <w:r w:rsidR="005C47A4" w:rsidRPr="006B7CE2">
              <w:rPr>
                <w:rStyle w:val="Lienhypertexte"/>
                <w:noProof/>
              </w:rPr>
              <w:t>Les réseaux d’eau anciens</w:t>
            </w:r>
            <w:r w:rsidR="005C47A4">
              <w:rPr>
                <w:noProof/>
                <w:webHidden/>
              </w:rPr>
              <w:tab/>
            </w:r>
            <w:r w:rsidR="005C47A4">
              <w:rPr>
                <w:noProof/>
                <w:webHidden/>
              </w:rPr>
              <w:fldChar w:fldCharType="begin"/>
            </w:r>
            <w:r w:rsidR="005C47A4">
              <w:rPr>
                <w:noProof/>
                <w:webHidden/>
              </w:rPr>
              <w:instrText xml:space="preserve"> PAGEREF _Toc139181662 \h </w:instrText>
            </w:r>
            <w:r w:rsidR="005C47A4">
              <w:rPr>
                <w:noProof/>
                <w:webHidden/>
              </w:rPr>
            </w:r>
            <w:r w:rsidR="005C47A4">
              <w:rPr>
                <w:noProof/>
                <w:webHidden/>
              </w:rPr>
              <w:fldChar w:fldCharType="separate"/>
            </w:r>
            <w:r w:rsidR="004D7B96">
              <w:rPr>
                <w:noProof/>
                <w:webHidden/>
              </w:rPr>
              <w:t>369</w:t>
            </w:r>
            <w:r w:rsidR="005C47A4">
              <w:rPr>
                <w:noProof/>
                <w:webHidden/>
              </w:rPr>
              <w:fldChar w:fldCharType="end"/>
            </w:r>
          </w:hyperlink>
        </w:p>
        <w:p w14:paraId="32A77051" w14:textId="015A220C" w:rsidR="005C47A4" w:rsidRDefault="00000000">
          <w:pPr>
            <w:pStyle w:val="TM3"/>
            <w:tabs>
              <w:tab w:val="left" w:pos="1540"/>
              <w:tab w:val="right" w:leader="dot" w:pos="10416"/>
            </w:tabs>
            <w:rPr>
              <w:rFonts w:eastAsiaTheme="minorEastAsia"/>
              <w:noProof/>
              <w:kern w:val="2"/>
              <w:lang w:eastAsia="fr-FR"/>
              <w14:ligatures w14:val="standardContextual"/>
            </w:rPr>
          </w:pPr>
          <w:hyperlink w:anchor="_Toc139181663" w:history="1">
            <w:r w:rsidR="005C47A4" w:rsidRPr="006B7CE2">
              <w:rPr>
                <w:rStyle w:val="Lienhypertexte"/>
                <w:noProof/>
              </w:rPr>
              <w:t>38.15.3</w:t>
            </w:r>
            <w:r w:rsidR="005C47A4">
              <w:rPr>
                <w:rFonts w:eastAsiaTheme="minorEastAsia"/>
                <w:noProof/>
                <w:kern w:val="2"/>
                <w:lang w:eastAsia="fr-FR"/>
                <w14:ligatures w14:val="standardContextual"/>
              </w:rPr>
              <w:tab/>
            </w:r>
            <w:r w:rsidR="005C47A4" w:rsidRPr="006B7CE2">
              <w:rPr>
                <w:rStyle w:val="Lienhypertexte"/>
                <w:noProof/>
              </w:rPr>
              <w:t>Filets capteurs de brouillard (de nuages, de rosée)</w:t>
            </w:r>
            <w:r w:rsidR="005C47A4">
              <w:rPr>
                <w:noProof/>
                <w:webHidden/>
              </w:rPr>
              <w:tab/>
            </w:r>
            <w:r w:rsidR="005C47A4">
              <w:rPr>
                <w:noProof/>
                <w:webHidden/>
              </w:rPr>
              <w:fldChar w:fldCharType="begin"/>
            </w:r>
            <w:r w:rsidR="005C47A4">
              <w:rPr>
                <w:noProof/>
                <w:webHidden/>
              </w:rPr>
              <w:instrText xml:space="preserve"> PAGEREF _Toc139181663 \h </w:instrText>
            </w:r>
            <w:r w:rsidR="005C47A4">
              <w:rPr>
                <w:noProof/>
                <w:webHidden/>
              </w:rPr>
            </w:r>
            <w:r w:rsidR="005C47A4">
              <w:rPr>
                <w:noProof/>
                <w:webHidden/>
              </w:rPr>
              <w:fldChar w:fldCharType="separate"/>
            </w:r>
            <w:r w:rsidR="004D7B96">
              <w:rPr>
                <w:noProof/>
                <w:webHidden/>
              </w:rPr>
              <w:t>369</w:t>
            </w:r>
            <w:r w:rsidR="005C47A4">
              <w:rPr>
                <w:noProof/>
                <w:webHidden/>
              </w:rPr>
              <w:fldChar w:fldCharType="end"/>
            </w:r>
          </w:hyperlink>
        </w:p>
        <w:p w14:paraId="5C8C92D0" w14:textId="0E32838A" w:rsidR="005C47A4" w:rsidRDefault="00000000">
          <w:pPr>
            <w:pStyle w:val="TM2"/>
            <w:tabs>
              <w:tab w:val="left" w:pos="1100"/>
              <w:tab w:val="right" w:leader="dot" w:pos="10416"/>
            </w:tabs>
            <w:rPr>
              <w:rFonts w:eastAsiaTheme="minorEastAsia"/>
              <w:noProof/>
              <w:kern w:val="2"/>
              <w:lang w:eastAsia="fr-FR"/>
              <w14:ligatures w14:val="standardContextual"/>
            </w:rPr>
          </w:pPr>
          <w:hyperlink w:anchor="_Toc139181664" w:history="1">
            <w:r w:rsidR="005C47A4" w:rsidRPr="006B7CE2">
              <w:rPr>
                <w:rStyle w:val="Lienhypertexte"/>
                <w:noProof/>
              </w:rPr>
              <w:t>38.16</w:t>
            </w:r>
            <w:r w:rsidR="005C47A4">
              <w:rPr>
                <w:rFonts w:eastAsiaTheme="minorEastAsia"/>
                <w:noProof/>
                <w:kern w:val="2"/>
                <w:lang w:eastAsia="fr-FR"/>
                <w14:ligatures w14:val="standardContextual"/>
              </w:rPr>
              <w:tab/>
            </w:r>
            <w:r w:rsidR="005C47A4" w:rsidRPr="006B7CE2">
              <w:rPr>
                <w:rStyle w:val="Lienhypertexte"/>
                <w:noProof/>
              </w:rPr>
              <w:t>Techniques et projets de reforestations, dans le monde</w:t>
            </w:r>
            <w:r w:rsidR="005C47A4">
              <w:rPr>
                <w:noProof/>
                <w:webHidden/>
              </w:rPr>
              <w:tab/>
            </w:r>
            <w:r w:rsidR="005C47A4">
              <w:rPr>
                <w:noProof/>
                <w:webHidden/>
              </w:rPr>
              <w:fldChar w:fldCharType="begin"/>
            </w:r>
            <w:r w:rsidR="005C47A4">
              <w:rPr>
                <w:noProof/>
                <w:webHidden/>
              </w:rPr>
              <w:instrText xml:space="preserve"> PAGEREF _Toc139181664 \h </w:instrText>
            </w:r>
            <w:r w:rsidR="005C47A4">
              <w:rPr>
                <w:noProof/>
                <w:webHidden/>
              </w:rPr>
            </w:r>
            <w:r w:rsidR="005C47A4">
              <w:rPr>
                <w:noProof/>
                <w:webHidden/>
              </w:rPr>
              <w:fldChar w:fldCharType="separate"/>
            </w:r>
            <w:r w:rsidR="004D7B96">
              <w:rPr>
                <w:noProof/>
                <w:webHidden/>
              </w:rPr>
              <w:t>370</w:t>
            </w:r>
            <w:r w:rsidR="005C47A4">
              <w:rPr>
                <w:noProof/>
                <w:webHidden/>
              </w:rPr>
              <w:fldChar w:fldCharType="end"/>
            </w:r>
          </w:hyperlink>
        </w:p>
        <w:p w14:paraId="17E92908" w14:textId="1B12676E" w:rsidR="005C47A4" w:rsidRDefault="00000000">
          <w:pPr>
            <w:pStyle w:val="TM3"/>
            <w:tabs>
              <w:tab w:val="left" w:pos="1540"/>
              <w:tab w:val="right" w:leader="dot" w:pos="10416"/>
            </w:tabs>
            <w:rPr>
              <w:rFonts w:eastAsiaTheme="minorEastAsia"/>
              <w:noProof/>
              <w:kern w:val="2"/>
              <w:lang w:eastAsia="fr-FR"/>
              <w14:ligatures w14:val="standardContextual"/>
            </w:rPr>
          </w:pPr>
          <w:hyperlink w:anchor="_Toc139181665" w:history="1">
            <w:r w:rsidR="005C47A4" w:rsidRPr="006B7CE2">
              <w:rPr>
                <w:rStyle w:val="Lienhypertexte"/>
                <w:noProof/>
              </w:rPr>
              <w:t>38.16.1</w:t>
            </w:r>
            <w:r w:rsidR="005C47A4">
              <w:rPr>
                <w:rFonts w:eastAsiaTheme="minorEastAsia"/>
                <w:noProof/>
                <w:kern w:val="2"/>
                <w:lang w:eastAsia="fr-FR"/>
                <w14:ligatures w14:val="standardContextual"/>
              </w:rPr>
              <w:tab/>
            </w:r>
            <w:r w:rsidR="005C47A4" w:rsidRPr="006B7CE2">
              <w:rPr>
                <w:rStyle w:val="Lienhypertexte"/>
                <w:noProof/>
              </w:rPr>
              <w:t>Techniques de reforestation</w:t>
            </w:r>
            <w:r w:rsidR="005C47A4">
              <w:rPr>
                <w:noProof/>
                <w:webHidden/>
              </w:rPr>
              <w:tab/>
            </w:r>
            <w:r w:rsidR="005C47A4">
              <w:rPr>
                <w:noProof/>
                <w:webHidden/>
              </w:rPr>
              <w:fldChar w:fldCharType="begin"/>
            </w:r>
            <w:r w:rsidR="005C47A4">
              <w:rPr>
                <w:noProof/>
                <w:webHidden/>
              </w:rPr>
              <w:instrText xml:space="preserve"> PAGEREF _Toc139181665 \h </w:instrText>
            </w:r>
            <w:r w:rsidR="005C47A4">
              <w:rPr>
                <w:noProof/>
                <w:webHidden/>
              </w:rPr>
            </w:r>
            <w:r w:rsidR="005C47A4">
              <w:rPr>
                <w:noProof/>
                <w:webHidden/>
              </w:rPr>
              <w:fldChar w:fldCharType="separate"/>
            </w:r>
            <w:r w:rsidR="004D7B96">
              <w:rPr>
                <w:noProof/>
                <w:webHidden/>
              </w:rPr>
              <w:t>370</w:t>
            </w:r>
            <w:r w:rsidR="005C47A4">
              <w:rPr>
                <w:noProof/>
                <w:webHidden/>
              </w:rPr>
              <w:fldChar w:fldCharType="end"/>
            </w:r>
          </w:hyperlink>
        </w:p>
        <w:p w14:paraId="66D7C7DC" w14:textId="7A188D64" w:rsidR="005C47A4" w:rsidRDefault="00000000">
          <w:pPr>
            <w:pStyle w:val="TM3"/>
            <w:tabs>
              <w:tab w:val="left" w:pos="1540"/>
              <w:tab w:val="right" w:leader="dot" w:pos="10416"/>
            </w:tabs>
            <w:rPr>
              <w:rFonts w:eastAsiaTheme="minorEastAsia"/>
              <w:noProof/>
              <w:kern w:val="2"/>
              <w:lang w:eastAsia="fr-FR"/>
              <w14:ligatures w14:val="standardContextual"/>
            </w:rPr>
          </w:pPr>
          <w:hyperlink w:anchor="_Toc139181666" w:history="1">
            <w:r w:rsidR="005C47A4" w:rsidRPr="006B7CE2">
              <w:rPr>
                <w:rStyle w:val="Lienhypertexte"/>
                <w:noProof/>
              </w:rPr>
              <w:t>38.16.2</w:t>
            </w:r>
            <w:r w:rsidR="005C47A4">
              <w:rPr>
                <w:rFonts w:eastAsiaTheme="minorEastAsia"/>
                <w:noProof/>
                <w:kern w:val="2"/>
                <w:lang w:eastAsia="fr-FR"/>
                <w14:ligatures w14:val="standardContextual"/>
              </w:rPr>
              <w:tab/>
            </w:r>
            <w:r w:rsidR="005C47A4" w:rsidRPr="006B7CE2">
              <w:rPr>
                <w:rStyle w:val="Lienhypertexte"/>
                <w:noProof/>
              </w:rPr>
              <w:t>Projets et solutions israéliennes</w:t>
            </w:r>
            <w:r w:rsidR="005C47A4">
              <w:rPr>
                <w:noProof/>
                <w:webHidden/>
              </w:rPr>
              <w:tab/>
            </w:r>
            <w:r w:rsidR="005C47A4">
              <w:rPr>
                <w:noProof/>
                <w:webHidden/>
              </w:rPr>
              <w:fldChar w:fldCharType="begin"/>
            </w:r>
            <w:r w:rsidR="005C47A4">
              <w:rPr>
                <w:noProof/>
                <w:webHidden/>
              </w:rPr>
              <w:instrText xml:space="preserve"> PAGEREF _Toc139181666 \h </w:instrText>
            </w:r>
            <w:r w:rsidR="005C47A4">
              <w:rPr>
                <w:noProof/>
                <w:webHidden/>
              </w:rPr>
            </w:r>
            <w:r w:rsidR="005C47A4">
              <w:rPr>
                <w:noProof/>
                <w:webHidden/>
              </w:rPr>
              <w:fldChar w:fldCharType="separate"/>
            </w:r>
            <w:r w:rsidR="004D7B96">
              <w:rPr>
                <w:noProof/>
                <w:webHidden/>
              </w:rPr>
              <w:t>370</w:t>
            </w:r>
            <w:r w:rsidR="005C47A4">
              <w:rPr>
                <w:noProof/>
                <w:webHidden/>
              </w:rPr>
              <w:fldChar w:fldCharType="end"/>
            </w:r>
          </w:hyperlink>
        </w:p>
        <w:p w14:paraId="7F1B2659" w14:textId="4B333E3D" w:rsidR="005C47A4" w:rsidRDefault="00000000">
          <w:pPr>
            <w:pStyle w:val="TM3"/>
            <w:tabs>
              <w:tab w:val="left" w:pos="1540"/>
              <w:tab w:val="right" w:leader="dot" w:pos="10416"/>
            </w:tabs>
            <w:rPr>
              <w:rFonts w:eastAsiaTheme="minorEastAsia"/>
              <w:noProof/>
              <w:kern w:val="2"/>
              <w:lang w:eastAsia="fr-FR"/>
              <w14:ligatures w14:val="standardContextual"/>
            </w:rPr>
          </w:pPr>
          <w:hyperlink w:anchor="_Toc139181667" w:history="1">
            <w:r w:rsidR="005C47A4" w:rsidRPr="006B7CE2">
              <w:rPr>
                <w:rStyle w:val="Lienhypertexte"/>
                <w:noProof/>
              </w:rPr>
              <w:t>38.16.3</w:t>
            </w:r>
            <w:r w:rsidR="005C47A4">
              <w:rPr>
                <w:rFonts w:eastAsiaTheme="minorEastAsia"/>
                <w:noProof/>
                <w:kern w:val="2"/>
                <w:lang w:eastAsia="fr-FR"/>
                <w14:ligatures w14:val="standardContextual"/>
              </w:rPr>
              <w:tab/>
            </w:r>
            <w:r w:rsidR="005C47A4" w:rsidRPr="006B7CE2">
              <w:rPr>
                <w:rStyle w:val="Lienhypertexte"/>
                <w:noProof/>
              </w:rPr>
              <w:t>Projets et solutions dans d’autres déserts</w:t>
            </w:r>
            <w:r w:rsidR="005C47A4">
              <w:rPr>
                <w:noProof/>
                <w:webHidden/>
              </w:rPr>
              <w:tab/>
            </w:r>
            <w:r w:rsidR="005C47A4">
              <w:rPr>
                <w:noProof/>
                <w:webHidden/>
              </w:rPr>
              <w:fldChar w:fldCharType="begin"/>
            </w:r>
            <w:r w:rsidR="005C47A4">
              <w:rPr>
                <w:noProof/>
                <w:webHidden/>
              </w:rPr>
              <w:instrText xml:space="preserve"> PAGEREF _Toc139181667 \h </w:instrText>
            </w:r>
            <w:r w:rsidR="005C47A4">
              <w:rPr>
                <w:noProof/>
                <w:webHidden/>
              </w:rPr>
            </w:r>
            <w:r w:rsidR="005C47A4">
              <w:rPr>
                <w:noProof/>
                <w:webHidden/>
              </w:rPr>
              <w:fldChar w:fldCharType="separate"/>
            </w:r>
            <w:r w:rsidR="004D7B96">
              <w:rPr>
                <w:noProof/>
                <w:webHidden/>
              </w:rPr>
              <w:t>370</w:t>
            </w:r>
            <w:r w:rsidR="005C47A4">
              <w:rPr>
                <w:noProof/>
                <w:webHidden/>
              </w:rPr>
              <w:fldChar w:fldCharType="end"/>
            </w:r>
          </w:hyperlink>
        </w:p>
        <w:p w14:paraId="4F9B25F5" w14:textId="5AE78154" w:rsidR="005C47A4" w:rsidRDefault="00000000">
          <w:pPr>
            <w:pStyle w:val="TM2"/>
            <w:tabs>
              <w:tab w:val="left" w:pos="1100"/>
              <w:tab w:val="right" w:leader="dot" w:pos="10416"/>
            </w:tabs>
            <w:rPr>
              <w:rFonts w:eastAsiaTheme="minorEastAsia"/>
              <w:noProof/>
              <w:kern w:val="2"/>
              <w:lang w:eastAsia="fr-FR"/>
              <w14:ligatures w14:val="standardContextual"/>
            </w:rPr>
          </w:pPr>
          <w:hyperlink w:anchor="_Toc139181668" w:history="1">
            <w:r w:rsidR="005C47A4" w:rsidRPr="006B7CE2">
              <w:rPr>
                <w:rStyle w:val="Lienhypertexte"/>
                <w:noProof/>
              </w:rPr>
              <w:t>38.17</w:t>
            </w:r>
            <w:r w:rsidR="005C47A4">
              <w:rPr>
                <w:rFonts w:eastAsiaTheme="minorEastAsia"/>
                <w:noProof/>
                <w:kern w:val="2"/>
                <w:lang w:eastAsia="fr-FR"/>
                <w14:ligatures w14:val="standardContextual"/>
              </w:rPr>
              <w:tab/>
            </w:r>
            <w:r w:rsidR="005C47A4" w:rsidRPr="006B7CE2">
              <w:rPr>
                <w:rStyle w:val="Lienhypertexte"/>
                <w:noProof/>
              </w:rPr>
              <w:t>Menaces sur la biodiversité</w:t>
            </w:r>
            <w:r w:rsidR="005C47A4">
              <w:rPr>
                <w:noProof/>
                <w:webHidden/>
              </w:rPr>
              <w:tab/>
            </w:r>
            <w:r w:rsidR="005C47A4">
              <w:rPr>
                <w:noProof/>
                <w:webHidden/>
              </w:rPr>
              <w:fldChar w:fldCharType="begin"/>
            </w:r>
            <w:r w:rsidR="005C47A4">
              <w:rPr>
                <w:noProof/>
                <w:webHidden/>
              </w:rPr>
              <w:instrText xml:space="preserve"> PAGEREF _Toc139181668 \h </w:instrText>
            </w:r>
            <w:r w:rsidR="005C47A4">
              <w:rPr>
                <w:noProof/>
                <w:webHidden/>
              </w:rPr>
            </w:r>
            <w:r w:rsidR="005C47A4">
              <w:rPr>
                <w:noProof/>
                <w:webHidden/>
              </w:rPr>
              <w:fldChar w:fldCharType="separate"/>
            </w:r>
            <w:r w:rsidR="004D7B96">
              <w:rPr>
                <w:noProof/>
                <w:webHidden/>
              </w:rPr>
              <w:t>370</w:t>
            </w:r>
            <w:r w:rsidR="005C47A4">
              <w:rPr>
                <w:noProof/>
                <w:webHidden/>
              </w:rPr>
              <w:fldChar w:fldCharType="end"/>
            </w:r>
          </w:hyperlink>
        </w:p>
        <w:p w14:paraId="0E0C0B23" w14:textId="4796D894" w:rsidR="005C47A4" w:rsidRDefault="00000000">
          <w:pPr>
            <w:pStyle w:val="TM1"/>
            <w:tabs>
              <w:tab w:val="left" w:pos="660"/>
              <w:tab w:val="right" w:leader="dot" w:pos="10416"/>
            </w:tabs>
            <w:rPr>
              <w:rFonts w:eastAsiaTheme="minorEastAsia"/>
              <w:noProof/>
              <w:kern w:val="2"/>
              <w:lang w:eastAsia="fr-FR"/>
              <w14:ligatures w14:val="standardContextual"/>
            </w:rPr>
          </w:pPr>
          <w:hyperlink w:anchor="_Toc139181669" w:history="1">
            <w:r w:rsidR="005C47A4" w:rsidRPr="006B7CE2">
              <w:rPr>
                <w:rStyle w:val="Lienhypertexte"/>
                <w:noProof/>
              </w:rPr>
              <w:t>39</w:t>
            </w:r>
            <w:r w:rsidR="005C47A4">
              <w:rPr>
                <w:rFonts w:eastAsiaTheme="minorEastAsia"/>
                <w:noProof/>
                <w:kern w:val="2"/>
                <w:lang w:eastAsia="fr-FR"/>
                <w14:ligatures w14:val="standardContextual"/>
              </w:rPr>
              <w:tab/>
            </w:r>
            <w:r w:rsidR="005C47A4" w:rsidRPr="006B7CE2">
              <w:rPr>
                <w:rStyle w:val="Lienhypertexte"/>
                <w:noProof/>
              </w:rPr>
              <w:t>Annexe : Arbres et plantes invasives, surtout à ne pas planter</w:t>
            </w:r>
            <w:r w:rsidR="005C47A4">
              <w:rPr>
                <w:noProof/>
                <w:webHidden/>
              </w:rPr>
              <w:tab/>
            </w:r>
            <w:r w:rsidR="005C47A4">
              <w:rPr>
                <w:noProof/>
                <w:webHidden/>
              </w:rPr>
              <w:fldChar w:fldCharType="begin"/>
            </w:r>
            <w:r w:rsidR="005C47A4">
              <w:rPr>
                <w:noProof/>
                <w:webHidden/>
              </w:rPr>
              <w:instrText xml:space="preserve"> PAGEREF _Toc139181669 \h </w:instrText>
            </w:r>
            <w:r w:rsidR="005C47A4">
              <w:rPr>
                <w:noProof/>
                <w:webHidden/>
              </w:rPr>
            </w:r>
            <w:r w:rsidR="005C47A4">
              <w:rPr>
                <w:noProof/>
                <w:webHidden/>
              </w:rPr>
              <w:fldChar w:fldCharType="separate"/>
            </w:r>
            <w:r w:rsidR="004D7B96">
              <w:rPr>
                <w:noProof/>
                <w:webHidden/>
              </w:rPr>
              <w:t>371</w:t>
            </w:r>
            <w:r w:rsidR="005C47A4">
              <w:rPr>
                <w:noProof/>
                <w:webHidden/>
              </w:rPr>
              <w:fldChar w:fldCharType="end"/>
            </w:r>
          </w:hyperlink>
        </w:p>
        <w:p w14:paraId="7F13FD1A" w14:textId="63E37995"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670" w:history="1">
            <w:r w:rsidR="005C47A4" w:rsidRPr="006B7CE2">
              <w:rPr>
                <w:rStyle w:val="Lienhypertexte"/>
                <w:noProof/>
              </w:rPr>
              <w:t>39.1</w:t>
            </w:r>
            <w:r w:rsidR="005C47A4">
              <w:rPr>
                <w:rFonts w:eastAsiaTheme="minorEastAsia"/>
                <w:noProof/>
                <w:kern w:val="2"/>
                <w:lang w:eastAsia="fr-FR"/>
                <w14:ligatures w14:val="standardContextual"/>
              </w:rPr>
              <w:tab/>
            </w:r>
            <w:r w:rsidR="005C47A4" w:rsidRPr="006B7CE2">
              <w:rPr>
                <w:rStyle w:val="Lienhypertexte"/>
                <w:noProof/>
              </w:rPr>
              <w:t>Figuier de Barbarie ou cactus raquette (</w:t>
            </w:r>
            <w:r w:rsidR="005C47A4" w:rsidRPr="006B7CE2">
              <w:rPr>
                <w:rStyle w:val="Lienhypertexte"/>
                <w:i/>
                <w:iCs/>
                <w:noProof/>
              </w:rPr>
              <w:t>Opuntia ficus-indica</w:t>
            </w:r>
            <w:r w:rsidR="005C47A4" w:rsidRPr="006B7CE2">
              <w:rPr>
                <w:rStyle w:val="Lienhypertexte"/>
                <w:noProof/>
              </w:rPr>
              <w:t xml:space="preserve"> etc.)</w:t>
            </w:r>
            <w:r w:rsidR="005C47A4">
              <w:rPr>
                <w:noProof/>
                <w:webHidden/>
              </w:rPr>
              <w:tab/>
            </w:r>
            <w:r w:rsidR="005C47A4">
              <w:rPr>
                <w:noProof/>
                <w:webHidden/>
              </w:rPr>
              <w:fldChar w:fldCharType="begin"/>
            </w:r>
            <w:r w:rsidR="005C47A4">
              <w:rPr>
                <w:noProof/>
                <w:webHidden/>
              </w:rPr>
              <w:instrText xml:space="preserve"> PAGEREF _Toc139181670 \h </w:instrText>
            </w:r>
            <w:r w:rsidR="005C47A4">
              <w:rPr>
                <w:noProof/>
                <w:webHidden/>
              </w:rPr>
            </w:r>
            <w:r w:rsidR="005C47A4">
              <w:rPr>
                <w:noProof/>
                <w:webHidden/>
              </w:rPr>
              <w:fldChar w:fldCharType="separate"/>
            </w:r>
            <w:r w:rsidR="004D7B96">
              <w:rPr>
                <w:noProof/>
                <w:webHidden/>
              </w:rPr>
              <w:t>371</w:t>
            </w:r>
            <w:r w:rsidR="005C47A4">
              <w:rPr>
                <w:noProof/>
                <w:webHidden/>
              </w:rPr>
              <w:fldChar w:fldCharType="end"/>
            </w:r>
          </w:hyperlink>
        </w:p>
        <w:p w14:paraId="3CE1C1E9" w14:textId="592B2C77"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671" w:history="1">
            <w:r w:rsidR="005C47A4" w:rsidRPr="006B7CE2">
              <w:rPr>
                <w:rStyle w:val="Lienhypertexte"/>
                <w:noProof/>
              </w:rPr>
              <w:t>39.2</w:t>
            </w:r>
            <w:r w:rsidR="005C47A4">
              <w:rPr>
                <w:rFonts w:eastAsiaTheme="minorEastAsia"/>
                <w:noProof/>
                <w:kern w:val="2"/>
                <w:lang w:eastAsia="fr-FR"/>
                <w14:ligatures w14:val="standardContextual"/>
              </w:rPr>
              <w:tab/>
            </w:r>
            <w:r w:rsidR="005C47A4" w:rsidRPr="006B7CE2">
              <w:rPr>
                <w:rStyle w:val="Lienhypertexte"/>
                <w:noProof/>
              </w:rPr>
              <w:t>Oponce stricte (</w:t>
            </w:r>
            <w:r w:rsidR="005C47A4" w:rsidRPr="006B7CE2">
              <w:rPr>
                <w:rStyle w:val="Lienhypertexte"/>
                <w:i/>
                <w:iCs/>
                <w:noProof/>
              </w:rPr>
              <w:t>Opuntia stricta</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_Toc139181671 \h </w:instrText>
            </w:r>
            <w:r w:rsidR="005C47A4">
              <w:rPr>
                <w:noProof/>
                <w:webHidden/>
              </w:rPr>
            </w:r>
            <w:r w:rsidR="005C47A4">
              <w:rPr>
                <w:noProof/>
                <w:webHidden/>
              </w:rPr>
              <w:fldChar w:fldCharType="separate"/>
            </w:r>
            <w:r w:rsidR="004D7B96">
              <w:rPr>
                <w:noProof/>
                <w:webHidden/>
              </w:rPr>
              <w:t>373</w:t>
            </w:r>
            <w:r w:rsidR="005C47A4">
              <w:rPr>
                <w:noProof/>
                <w:webHidden/>
              </w:rPr>
              <w:fldChar w:fldCharType="end"/>
            </w:r>
          </w:hyperlink>
        </w:p>
        <w:p w14:paraId="3BD8DE0A" w14:textId="3948C672"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672" w:history="1">
            <w:r w:rsidR="005C47A4" w:rsidRPr="006B7CE2">
              <w:rPr>
                <w:rStyle w:val="Lienhypertexte"/>
                <w:noProof/>
                <w:lang w:val="en-GB"/>
              </w:rPr>
              <w:t>39.3</w:t>
            </w:r>
            <w:r w:rsidR="005C47A4">
              <w:rPr>
                <w:rFonts w:eastAsiaTheme="minorEastAsia"/>
                <w:noProof/>
                <w:kern w:val="2"/>
                <w:lang w:eastAsia="fr-FR"/>
                <w14:ligatures w14:val="standardContextual"/>
              </w:rPr>
              <w:tab/>
            </w:r>
            <w:r w:rsidR="005C47A4" w:rsidRPr="006B7CE2">
              <w:rPr>
                <w:rStyle w:val="Lienhypertexte"/>
                <w:noProof/>
                <w:lang w:val="en-GB"/>
              </w:rPr>
              <w:t>Agave sisal (</w:t>
            </w:r>
            <w:r w:rsidR="005C47A4" w:rsidRPr="006B7CE2">
              <w:rPr>
                <w:rStyle w:val="Lienhypertexte"/>
                <w:i/>
                <w:iCs/>
                <w:noProof/>
                <w:lang w:val="en-GB"/>
              </w:rPr>
              <w:t>Agave sisalana</w:t>
            </w:r>
            <w:r w:rsidR="005C47A4" w:rsidRPr="006B7CE2">
              <w:rPr>
                <w:rStyle w:val="Lienhypertexte"/>
                <w:noProof/>
                <w:lang w:val="en-GB"/>
              </w:rPr>
              <w:t xml:space="preserve">, </w:t>
            </w:r>
            <w:r w:rsidR="005C47A4" w:rsidRPr="006B7CE2">
              <w:rPr>
                <w:rStyle w:val="Lienhypertexte"/>
                <w:i/>
                <w:iCs/>
                <w:noProof/>
                <w:lang w:val="en-GB"/>
              </w:rPr>
              <w:t>Agave ixtli</w:t>
            </w:r>
            <w:r w:rsidR="005C47A4" w:rsidRPr="006B7CE2">
              <w:rPr>
                <w:rStyle w:val="Lienhypertexte"/>
                <w:noProof/>
                <w:lang w:val="en-GB"/>
              </w:rPr>
              <w:t xml:space="preserve"> etc.)</w:t>
            </w:r>
            <w:r w:rsidR="005C47A4">
              <w:rPr>
                <w:noProof/>
                <w:webHidden/>
              </w:rPr>
              <w:tab/>
            </w:r>
            <w:r w:rsidR="005C47A4">
              <w:rPr>
                <w:noProof/>
                <w:webHidden/>
              </w:rPr>
              <w:fldChar w:fldCharType="begin"/>
            </w:r>
            <w:r w:rsidR="005C47A4">
              <w:rPr>
                <w:noProof/>
                <w:webHidden/>
              </w:rPr>
              <w:instrText xml:space="preserve"> PAGEREF _Toc139181672 \h </w:instrText>
            </w:r>
            <w:r w:rsidR="005C47A4">
              <w:rPr>
                <w:noProof/>
                <w:webHidden/>
              </w:rPr>
            </w:r>
            <w:r w:rsidR="005C47A4">
              <w:rPr>
                <w:noProof/>
                <w:webHidden/>
              </w:rPr>
              <w:fldChar w:fldCharType="separate"/>
            </w:r>
            <w:r w:rsidR="004D7B96">
              <w:rPr>
                <w:noProof/>
                <w:webHidden/>
              </w:rPr>
              <w:t>375</w:t>
            </w:r>
            <w:r w:rsidR="005C47A4">
              <w:rPr>
                <w:noProof/>
                <w:webHidden/>
              </w:rPr>
              <w:fldChar w:fldCharType="end"/>
            </w:r>
          </w:hyperlink>
        </w:p>
        <w:p w14:paraId="09CAE9AC" w14:textId="52E1CDE2"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673" w:history="1">
            <w:r w:rsidR="005C47A4" w:rsidRPr="006B7CE2">
              <w:rPr>
                <w:rStyle w:val="Lienhypertexte"/>
                <w:noProof/>
              </w:rPr>
              <w:t>39.4</w:t>
            </w:r>
            <w:r w:rsidR="005C47A4">
              <w:rPr>
                <w:rFonts w:eastAsiaTheme="minorEastAsia"/>
                <w:noProof/>
                <w:kern w:val="2"/>
                <w:lang w:eastAsia="fr-FR"/>
                <w14:ligatures w14:val="standardContextual"/>
              </w:rPr>
              <w:tab/>
            </w:r>
            <w:r w:rsidR="005C47A4" w:rsidRPr="006B7CE2">
              <w:rPr>
                <w:rStyle w:val="Lienhypertexte"/>
                <w:noProof/>
              </w:rPr>
              <w:t>Bois de fer des marais (</w:t>
            </w:r>
            <w:r w:rsidR="005C47A4" w:rsidRPr="006B7CE2">
              <w:rPr>
                <w:rStyle w:val="Lienhypertexte"/>
                <w:i/>
                <w:iCs/>
                <w:noProof/>
              </w:rPr>
              <w:t>Casuarina glauca</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_Toc139181673 \h </w:instrText>
            </w:r>
            <w:r w:rsidR="005C47A4">
              <w:rPr>
                <w:noProof/>
                <w:webHidden/>
              </w:rPr>
            </w:r>
            <w:r w:rsidR="005C47A4">
              <w:rPr>
                <w:noProof/>
                <w:webHidden/>
              </w:rPr>
              <w:fldChar w:fldCharType="separate"/>
            </w:r>
            <w:r w:rsidR="004D7B96">
              <w:rPr>
                <w:noProof/>
                <w:webHidden/>
              </w:rPr>
              <w:t>376</w:t>
            </w:r>
            <w:r w:rsidR="005C47A4">
              <w:rPr>
                <w:noProof/>
                <w:webHidden/>
              </w:rPr>
              <w:fldChar w:fldCharType="end"/>
            </w:r>
          </w:hyperlink>
        </w:p>
        <w:p w14:paraId="48731C43" w14:textId="248C0402"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674" w:history="1">
            <w:r w:rsidR="005C47A4" w:rsidRPr="006B7CE2">
              <w:rPr>
                <w:rStyle w:val="Lienhypertexte"/>
                <w:noProof/>
              </w:rPr>
              <w:t>39.5</w:t>
            </w:r>
            <w:r w:rsidR="005C47A4">
              <w:rPr>
                <w:rFonts w:eastAsiaTheme="minorEastAsia"/>
                <w:noProof/>
                <w:kern w:val="2"/>
                <w:lang w:eastAsia="fr-FR"/>
                <w14:ligatures w14:val="standardContextual"/>
              </w:rPr>
              <w:tab/>
            </w:r>
            <w:r w:rsidR="005C47A4" w:rsidRPr="006B7CE2">
              <w:rPr>
                <w:rStyle w:val="Lienhypertexte"/>
                <w:noProof/>
              </w:rPr>
              <w:t>Filao (</w:t>
            </w:r>
            <w:r w:rsidR="005C47A4" w:rsidRPr="006B7CE2">
              <w:rPr>
                <w:rStyle w:val="Lienhypertexte"/>
                <w:i/>
                <w:iCs/>
                <w:noProof/>
              </w:rPr>
              <w:t>Casuarina equisetifolia</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_Toc139181674 \h </w:instrText>
            </w:r>
            <w:r w:rsidR="005C47A4">
              <w:rPr>
                <w:noProof/>
                <w:webHidden/>
              </w:rPr>
            </w:r>
            <w:r w:rsidR="005C47A4">
              <w:rPr>
                <w:noProof/>
                <w:webHidden/>
              </w:rPr>
              <w:fldChar w:fldCharType="separate"/>
            </w:r>
            <w:r w:rsidR="004D7B96">
              <w:rPr>
                <w:noProof/>
                <w:webHidden/>
              </w:rPr>
              <w:t>376</w:t>
            </w:r>
            <w:r w:rsidR="005C47A4">
              <w:rPr>
                <w:noProof/>
                <w:webHidden/>
              </w:rPr>
              <w:fldChar w:fldCharType="end"/>
            </w:r>
          </w:hyperlink>
        </w:p>
        <w:p w14:paraId="031019B3" w14:textId="6F39E0CD"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675" w:history="1">
            <w:r w:rsidR="005C47A4" w:rsidRPr="006B7CE2">
              <w:rPr>
                <w:rStyle w:val="Lienhypertexte"/>
                <w:noProof/>
              </w:rPr>
              <w:t>39.6</w:t>
            </w:r>
            <w:r w:rsidR="005C47A4">
              <w:rPr>
                <w:rFonts w:eastAsiaTheme="minorEastAsia"/>
                <w:noProof/>
                <w:kern w:val="2"/>
                <w:lang w:eastAsia="fr-FR"/>
                <w14:ligatures w14:val="standardContextual"/>
              </w:rPr>
              <w:tab/>
            </w:r>
            <w:r w:rsidR="005C47A4" w:rsidRPr="006B7CE2">
              <w:rPr>
                <w:rStyle w:val="Lienhypertexte"/>
                <w:noProof/>
              </w:rPr>
              <w:t>Acacia auriculé (</w:t>
            </w:r>
            <w:r w:rsidR="005C47A4" w:rsidRPr="006B7CE2">
              <w:rPr>
                <w:rStyle w:val="Lienhypertexte"/>
                <w:i/>
                <w:iCs/>
                <w:noProof/>
              </w:rPr>
              <w:t>Acacia auriculiformis</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_Toc139181675 \h </w:instrText>
            </w:r>
            <w:r w:rsidR="005C47A4">
              <w:rPr>
                <w:noProof/>
                <w:webHidden/>
              </w:rPr>
            </w:r>
            <w:r w:rsidR="005C47A4">
              <w:rPr>
                <w:noProof/>
                <w:webHidden/>
              </w:rPr>
              <w:fldChar w:fldCharType="separate"/>
            </w:r>
            <w:r w:rsidR="004D7B96">
              <w:rPr>
                <w:noProof/>
                <w:webHidden/>
              </w:rPr>
              <w:t>377</w:t>
            </w:r>
            <w:r w:rsidR="005C47A4">
              <w:rPr>
                <w:noProof/>
                <w:webHidden/>
              </w:rPr>
              <w:fldChar w:fldCharType="end"/>
            </w:r>
          </w:hyperlink>
        </w:p>
        <w:p w14:paraId="1BB695F6" w14:textId="265494BB"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676" w:history="1">
            <w:r w:rsidR="005C47A4" w:rsidRPr="006B7CE2">
              <w:rPr>
                <w:rStyle w:val="Lienhypertexte"/>
                <w:noProof/>
              </w:rPr>
              <w:t>39.7</w:t>
            </w:r>
            <w:r w:rsidR="005C47A4">
              <w:rPr>
                <w:rFonts w:eastAsiaTheme="minorEastAsia"/>
                <w:noProof/>
                <w:kern w:val="2"/>
                <w:lang w:eastAsia="fr-FR"/>
                <w14:ligatures w14:val="standardContextual"/>
              </w:rPr>
              <w:tab/>
            </w:r>
            <w:r w:rsidR="005C47A4" w:rsidRPr="006B7CE2">
              <w:rPr>
                <w:rStyle w:val="Lienhypertexte"/>
                <w:noProof/>
              </w:rPr>
              <w:t>Acacia à bois noir ou Mimosa à bois noir (</w:t>
            </w:r>
            <w:r w:rsidR="005C47A4" w:rsidRPr="006B7CE2">
              <w:rPr>
                <w:rStyle w:val="Lienhypertexte"/>
                <w:i/>
                <w:iCs/>
                <w:noProof/>
              </w:rPr>
              <w:t>Acacia melanoxylon</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_Toc139181676 \h </w:instrText>
            </w:r>
            <w:r w:rsidR="005C47A4">
              <w:rPr>
                <w:noProof/>
                <w:webHidden/>
              </w:rPr>
            </w:r>
            <w:r w:rsidR="005C47A4">
              <w:rPr>
                <w:noProof/>
                <w:webHidden/>
              </w:rPr>
              <w:fldChar w:fldCharType="separate"/>
            </w:r>
            <w:r w:rsidR="004D7B96">
              <w:rPr>
                <w:noProof/>
                <w:webHidden/>
              </w:rPr>
              <w:t>378</w:t>
            </w:r>
            <w:r w:rsidR="005C47A4">
              <w:rPr>
                <w:noProof/>
                <w:webHidden/>
              </w:rPr>
              <w:fldChar w:fldCharType="end"/>
            </w:r>
          </w:hyperlink>
        </w:p>
        <w:p w14:paraId="46A3BF1C" w14:textId="7E4B65CC"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677" w:history="1">
            <w:r w:rsidR="005C47A4" w:rsidRPr="006B7CE2">
              <w:rPr>
                <w:rStyle w:val="Lienhypertexte"/>
                <w:noProof/>
              </w:rPr>
              <w:t>39.8</w:t>
            </w:r>
            <w:r w:rsidR="005C47A4">
              <w:rPr>
                <w:rFonts w:eastAsiaTheme="minorEastAsia"/>
                <w:noProof/>
                <w:kern w:val="2"/>
                <w:lang w:eastAsia="fr-FR"/>
                <w14:ligatures w14:val="standardContextual"/>
              </w:rPr>
              <w:tab/>
            </w:r>
            <w:r w:rsidR="005C47A4" w:rsidRPr="006B7CE2">
              <w:rPr>
                <w:rStyle w:val="Lienhypertexte"/>
                <w:noProof/>
              </w:rPr>
              <w:t>Coojong (</w:t>
            </w:r>
            <w:r w:rsidR="005C47A4" w:rsidRPr="006B7CE2">
              <w:rPr>
                <w:rStyle w:val="Lienhypertexte"/>
                <w:i/>
                <w:iCs/>
                <w:noProof/>
              </w:rPr>
              <w:t>Acacia saligna</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_Toc139181677 \h </w:instrText>
            </w:r>
            <w:r w:rsidR="005C47A4">
              <w:rPr>
                <w:noProof/>
                <w:webHidden/>
              </w:rPr>
            </w:r>
            <w:r w:rsidR="005C47A4">
              <w:rPr>
                <w:noProof/>
                <w:webHidden/>
              </w:rPr>
              <w:fldChar w:fldCharType="separate"/>
            </w:r>
            <w:r w:rsidR="004D7B96">
              <w:rPr>
                <w:noProof/>
                <w:webHidden/>
              </w:rPr>
              <w:t>379</w:t>
            </w:r>
            <w:r w:rsidR="005C47A4">
              <w:rPr>
                <w:noProof/>
                <w:webHidden/>
              </w:rPr>
              <w:fldChar w:fldCharType="end"/>
            </w:r>
          </w:hyperlink>
        </w:p>
        <w:p w14:paraId="12E75D42" w14:textId="20F17380"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678" w:history="1">
            <w:r w:rsidR="005C47A4" w:rsidRPr="006B7CE2">
              <w:rPr>
                <w:rStyle w:val="Lienhypertexte"/>
                <w:noProof/>
                <w:lang w:val="es-AR"/>
              </w:rPr>
              <w:t>39.9</w:t>
            </w:r>
            <w:r w:rsidR="005C47A4">
              <w:rPr>
                <w:rFonts w:eastAsiaTheme="minorEastAsia"/>
                <w:noProof/>
                <w:kern w:val="2"/>
                <w:lang w:eastAsia="fr-FR"/>
                <w14:ligatures w14:val="standardContextual"/>
              </w:rPr>
              <w:tab/>
            </w:r>
            <w:r w:rsidR="005C47A4" w:rsidRPr="006B7CE2">
              <w:rPr>
                <w:rStyle w:val="Lienhypertexte"/>
                <w:noProof/>
                <w:lang w:val="es-AR"/>
              </w:rPr>
              <w:t>Épine de Jérusalem ou Palo verde (</w:t>
            </w:r>
            <w:r w:rsidR="005C47A4" w:rsidRPr="006B7CE2">
              <w:rPr>
                <w:rStyle w:val="Lienhypertexte"/>
                <w:i/>
                <w:iCs/>
                <w:noProof/>
                <w:lang w:val="es-AR"/>
              </w:rPr>
              <w:t>Parkinsonia aculeata</w:t>
            </w:r>
            <w:r w:rsidR="005C47A4" w:rsidRPr="006B7CE2">
              <w:rPr>
                <w:rStyle w:val="Lienhypertexte"/>
                <w:noProof/>
                <w:lang w:val="es-AR"/>
              </w:rPr>
              <w:t>)</w:t>
            </w:r>
            <w:r w:rsidR="005C47A4">
              <w:rPr>
                <w:noProof/>
                <w:webHidden/>
              </w:rPr>
              <w:tab/>
            </w:r>
            <w:r w:rsidR="005C47A4">
              <w:rPr>
                <w:noProof/>
                <w:webHidden/>
              </w:rPr>
              <w:fldChar w:fldCharType="begin"/>
            </w:r>
            <w:r w:rsidR="005C47A4">
              <w:rPr>
                <w:noProof/>
                <w:webHidden/>
              </w:rPr>
              <w:instrText xml:space="preserve"> PAGEREF _Toc139181678 \h </w:instrText>
            </w:r>
            <w:r w:rsidR="005C47A4">
              <w:rPr>
                <w:noProof/>
                <w:webHidden/>
              </w:rPr>
            </w:r>
            <w:r w:rsidR="005C47A4">
              <w:rPr>
                <w:noProof/>
                <w:webHidden/>
              </w:rPr>
              <w:fldChar w:fldCharType="separate"/>
            </w:r>
            <w:r w:rsidR="004D7B96">
              <w:rPr>
                <w:noProof/>
                <w:webHidden/>
              </w:rPr>
              <w:t>381</w:t>
            </w:r>
            <w:r w:rsidR="005C47A4">
              <w:rPr>
                <w:noProof/>
                <w:webHidden/>
              </w:rPr>
              <w:fldChar w:fldCharType="end"/>
            </w:r>
          </w:hyperlink>
        </w:p>
        <w:p w14:paraId="50F15669" w14:textId="227E38C1" w:rsidR="005C47A4" w:rsidRDefault="00000000">
          <w:pPr>
            <w:pStyle w:val="TM2"/>
            <w:tabs>
              <w:tab w:val="left" w:pos="1100"/>
              <w:tab w:val="right" w:leader="dot" w:pos="10416"/>
            </w:tabs>
            <w:rPr>
              <w:rFonts w:eastAsiaTheme="minorEastAsia"/>
              <w:noProof/>
              <w:kern w:val="2"/>
              <w:lang w:eastAsia="fr-FR"/>
              <w14:ligatures w14:val="standardContextual"/>
            </w:rPr>
          </w:pPr>
          <w:hyperlink w:anchor="_Toc139181679" w:history="1">
            <w:r w:rsidR="005C47A4" w:rsidRPr="006B7CE2">
              <w:rPr>
                <w:rStyle w:val="Lienhypertexte"/>
                <w:noProof/>
              </w:rPr>
              <w:t>39.10</w:t>
            </w:r>
            <w:r w:rsidR="005C47A4">
              <w:rPr>
                <w:rFonts w:eastAsiaTheme="minorEastAsia"/>
                <w:noProof/>
                <w:kern w:val="2"/>
                <w:lang w:eastAsia="fr-FR"/>
                <w14:ligatures w14:val="standardContextual"/>
              </w:rPr>
              <w:tab/>
            </w:r>
            <w:r w:rsidR="005C47A4" w:rsidRPr="006B7CE2">
              <w:rPr>
                <w:rStyle w:val="Lienhypertexte"/>
                <w:noProof/>
              </w:rPr>
              <w:t>« Mesquite » (</w:t>
            </w:r>
            <w:r w:rsidR="005C47A4" w:rsidRPr="006B7CE2">
              <w:rPr>
                <w:rStyle w:val="Lienhypertexte"/>
                <w:i/>
                <w:iCs/>
                <w:noProof/>
              </w:rPr>
              <w:t>Prosopis juliflora</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_Toc139181679 \h </w:instrText>
            </w:r>
            <w:r w:rsidR="005C47A4">
              <w:rPr>
                <w:noProof/>
                <w:webHidden/>
              </w:rPr>
            </w:r>
            <w:r w:rsidR="005C47A4">
              <w:rPr>
                <w:noProof/>
                <w:webHidden/>
              </w:rPr>
              <w:fldChar w:fldCharType="separate"/>
            </w:r>
            <w:r w:rsidR="004D7B96">
              <w:rPr>
                <w:noProof/>
                <w:webHidden/>
              </w:rPr>
              <w:t>383</w:t>
            </w:r>
            <w:r w:rsidR="005C47A4">
              <w:rPr>
                <w:noProof/>
                <w:webHidden/>
              </w:rPr>
              <w:fldChar w:fldCharType="end"/>
            </w:r>
          </w:hyperlink>
        </w:p>
        <w:p w14:paraId="558CE524" w14:textId="3744DFE0" w:rsidR="005C47A4" w:rsidRDefault="00000000">
          <w:pPr>
            <w:pStyle w:val="TM2"/>
            <w:tabs>
              <w:tab w:val="left" w:pos="1100"/>
              <w:tab w:val="right" w:leader="dot" w:pos="10416"/>
            </w:tabs>
            <w:rPr>
              <w:rFonts w:eastAsiaTheme="minorEastAsia"/>
              <w:noProof/>
              <w:kern w:val="2"/>
              <w:lang w:eastAsia="fr-FR"/>
              <w14:ligatures w14:val="standardContextual"/>
            </w:rPr>
          </w:pPr>
          <w:hyperlink w:anchor="_Toc139181680" w:history="1">
            <w:r w:rsidR="005C47A4" w:rsidRPr="006B7CE2">
              <w:rPr>
                <w:rStyle w:val="Lienhypertexte"/>
                <w:noProof/>
                <w:lang w:val="es-AR"/>
              </w:rPr>
              <w:t>39.11</w:t>
            </w:r>
            <w:r w:rsidR="005C47A4">
              <w:rPr>
                <w:rFonts w:eastAsiaTheme="minorEastAsia"/>
                <w:noProof/>
                <w:kern w:val="2"/>
                <w:lang w:eastAsia="fr-FR"/>
                <w14:ligatures w14:val="standardContextual"/>
              </w:rPr>
              <w:tab/>
            </w:r>
            <w:r w:rsidR="005C47A4" w:rsidRPr="006B7CE2">
              <w:rPr>
                <w:rStyle w:val="Lienhypertexte"/>
                <w:i/>
                <w:iCs/>
                <w:noProof/>
                <w:lang w:val="es-AR"/>
              </w:rPr>
              <w:t>Prosopis chilensis</w:t>
            </w:r>
            <w:r w:rsidR="005C47A4">
              <w:rPr>
                <w:noProof/>
                <w:webHidden/>
              </w:rPr>
              <w:tab/>
            </w:r>
            <w:r w:rsidR="005C47A4">
              <w:rPr>
                <w:noProof/>
                <w:webHidden/>
              </w:rPr>
              <w:fldChar w:fldCharType="begin"/>
            </w:r>
            <w:r w:rsidR="005C47A4">
              <w:rPr>
                <w:noProof/>
                <w:webHidden/>
              </w:rPr>
              <w:instrText xml:space="preserve"> PAGEREF _Toc139181680 \h </w:instrText>
            </w:r>
            <w:r w:rsidR="005C47A4">
              <w:rPr>
                <w:noProof/>
                <w:webHidden/>
              </w:rPr>
            </w:r>
            <w:r w:rsidR="005C47A4">
              <w:rPr>
                <w:noProof/>
                <w:webHidden/>
              </w:rPr>
              <w:fldChar w:fldCharType="separate"/>
            </w:r>
            <w:r w:rsidR="004D7B96">
              <w:rPr>
                <w:noProof/>
                <w:webHidden/>
              </w:rPr>
              <w:t>385</w:t>
            </w:r>
            <w:r w:rsidR="005C47A4">
              <w:rPr>
                <w:noProof/>
                <w:webHidden/>
              </w:rPr>
              <w:fldChar w:fldCharType="end"/>
            </w:r>
          </w:hyperlink>
        </w:p>
        <w:p w14:paraId="193F7E9B" w14:textId="7DEEA11F" w:rsidR="005C47A4" w:rsidRDefault="00000000">
          <w:pPr>
            <w:pStyle w:val="TM2"/>
            <w:tabs>
              <w:tab w:val="left" w:pos="1100"/>
              <w:tab w:val="right" w:leader="dot" w:pos="10416"/>
            </w:tabs>
            <w:rPr>
              <w:rFonts w:eastAsiaTheme="minorEastAsia"/>
              <w:noProof/>
              <w:kern w:val="2"/>
              <w:lang w:eastAsia="fr-FR"/>
              <w14:ligatures w14:val="standardContextual"/>
            </w:rPr>
          </w:pPr>
          <w:hyperlink w:anchor="_Toc139181681" w:history="1">
            <w:r w:rsidR="005C47A4" w:rsidRPr="006B7CE2">
              <w:rPr>
                <w:rStyle w:val="Lienhypertexte"/>
                <w:noProof/>
                <w:lang w:val="es-AR"/>
              </w:rPr>
              <w:t>39.12</w:t>
            </w:r>
            <w:r w:rsidR="005C47A4">
              <w:rPr>
                <w:rFonts w:eastAsiaTheme="minorEastAsia"/>
                <w:noProof/>
                <w:kern w:val="2"/>
                <w:lang w:eastAsia="fr-FR"/>
                <w14:ligatures w14:val="standardContextual"/>
              </w:rPr>
              <w:tab/>
            </w:r>
            <w:r w:rsidR="005C47A4" w:rsidRPr="006B7CE2">
              <w:rPr>
                <w:rStyle w:val="Lienhypertexte"/>
                <w:i/>
                <w:iCs/>
                <w:noProof/>
                <w:lang w:val="es-AR"/>
              </w:rPr>
              <w:t>Prosopis pallida</w:t>
            </w:r>
            <w:r w:rsidR="005C47A4">
              <w:rPr>
                <w:noProof/>
                <w:webHidden/>
              </w:rPr>
              <w:tab/>
            </w:r>
            <w:r w:rsidR="005C47A4">
              <w:rPr>
                <w:noProof/>
                <w:webHidden/>
              </w:rPr>
              <w:fldChar w:fldCharType="begin"/>
            </w:r>
            <w:r w:rsidR="005C47A4">
              <w:rPr>
                <w:noProof/>
                <w:webHidden/>
              </w:rPr>
              <w:instrText xml:space="preserve"> PAGEREF _Toc139181681 \h </w:instrText>
            </w:r>
            <w:r w:rsidR="005C47A4">
              <w:rPr>
                <w:noProof/>
                <w:webHidden/>
              </w:rPr>
            </w:r>
            <w:r w:rsidR="005C47A4">
              <w:rPr>
                <w:noProof/>
                <w:webHidden/>
              </w:rPr>
              <w:fldChar w:fldCharType="separate"/>
            </w:r>
            <w:r w:rsidR="004D7B96">
              <w:rPr>
                <w:noProof/>
                <w:webHidden/>
              </w:rPr>
              <w:t>385</w:t>
            </w:r>
            <w:r w:rsidR="005C47A4">
              <w:rPr>
                <w:noProof/>
                <w:webHidden/>
              </w:rPr>
              <w:fldChar w:fldCharType="end"/>
            </w:r>
          </w:hyperlink>
        </w:p>
        <w:p w14:paraId="33E8C2B2" w14:textId="3C8F51C6" w:rsidR="005C47A4" w:rsidRDefault="00000000">
          <w:pPr>
            <w:pStyle w:val="TM2"/>
            <w:tabs>
              <w:tab w:val="left" w:pos="1100"/>
              <w:tab w:val="right" w:leader="dot" w:pos="10416"/>
            </w:tabs>
            <w:rPr>
              <w:rFonts w:eastAsiaTheme="minorEastAsia"/>
              <w:noProof/>
              <w:kern w:val="2"/>
              <w:lang w:eastAsia="fr-FR"/>
              <w14:ligatures w14:val="standardContextual"/>
            </w:rPr>
          </w:pPr>
          <w:hyperlink w:anchor="_Toc139181682" w:history="1">
            <w:r w:rsidR="005C47A4" w:rsidRPr="006B7CE2">
              <w:rPr>
                <w:rStyle w:val="Lienhypertexte"/>
                <w:noProof/>
                <w:lang w:val="en-GB"/>
              </w:rPr>
              <w:t>39.13</w:t>
            </w:r>
            <w:r w:rsidR="005C47A4">
              <w:rPr>
                <w:rFonts w:eastAsiaTheme="minorEastAsia"/>
                <w:noProof/>
                <w:kern w:val="2"/>
                <w:lang w:eastAsia="fr-FR"/>
                <w14:ligatures w14:val="standardContextual"/>
              </w:rPr>
              <w:tab/>
            </w:r>
            <w:r w:rsidR="005C47A4" w:rsidRPr="006B7CE2">
              <w:rPr>
                <w:rStyle w:val="Lienhypertexte"/>
                <w:i/>
                <w:iCs/>
                <w:noProof/>
                <w:lang w:val="en-GB"/>
              </w:rPr>
              <w:t>Atriplex sp.</w:t>
            </w:r>
            <w:r w:rsidR="005C47A4">
              <w:rPr>
                <w:noProof/>
                <w:webHidden/>
              </w:rPr>
              <w:tab/>
            </w:r>
            <w:r w:rsidR="005C47A4">
              <w:rPr>
                <w:noProof/>
                <w:webHidden/>
              </w:rPr>
              <w:fldChar w:fldCharType="begin"/>
            </w:r>
            <w:r w:rsidR="005C47A4">
              <w:rPr>
                <w:noProof/>
                <w:webHidden/>
              </w:rPr>
              <w:instrText xml:space="preserve"> PAGEREF _Toc139181682 \h </w:instrText>
            </w:r>
            <w:r w:rsidR="005C47A4">
              <w:rPr>
                <w:noProof/>
                <w:webHidden/>
              </w:rPr>
            </w:r>
            <w:r w:rsidR="005C47A4">
              <w:rPr>
                <w:noProof/>
                <w:webHidden/>
              </w:rPr>
              <w:fldChar w:fldCharType="separate"/>
            </w:r>
            <w:r w:rsidR="004D7B96">
              <w:rPr>
                <w:noProof/>
                <w:webHidden/>
              </w:rPr>
              <w:t>386</w:t>
            </w:r>
            <w:r w:rsidR="005C47A4">
              <w:rPr>
                <w:noProof/>
                <w:webHidden/>
              </w:rPr>
              <w:fldChar w:fldCharType="end"/>
            </w:r>
          </w:hyperlink>
        </w:p>
        <w:p w14:paraId="0381FDF6" w14:textId="105887A7" w:rsidR="005C47A4" w:rsidRDefault="00000000">
          <w:pPr>
            <w:pStyle w:val="TM2"/>
            <w:tabs>
              <w:tab w:val="left" w:pos="1100"/>
              <w:tab w:val="right" w:leader="dot" w:pos="10416"/>
            </w:tabs>
            <w:rPr>
              <w:rFonts w:eastAsiaTheme="minorEastAsia"/>
              <w:noProof/>
              <w:kern w:val="2"/>
              <w:lang w:eastAsia="fr-FR"/>
              <w14:ligatures w14:val="standardContextual"/>
            </w:rPr>
          </w:pPr>
          <w:hyperlink w:anchor="_Toc139181683" w:history="1">
            <w:r w:rsidR="005C47A4" w:rsidRPr="006B7CE2">
              <w:rPr>
                <w:rStyle w:val="Lienhypertexte"/>
                <w:noProof/>
              </w:rPr>
              <w:t>39.14</w:t>
            </w:r>
            <w:r w:rsidR="005C47A4">
              <w:rPr>
                <w:rFonts w:eastAsiaTheme="minorEastAsia"/>
                <w:noProof/>
                <w:kern w:val="2"/>
                <w:lang w:eastAsia="fr-FR"/>
                <w14:ligatures w14:val="standardContextual"/>
              </w:rPr>
              <w:tab/>
            </w:r>
            <w:r w:rsidR="005C47A4" w:rsidRPr="006B7CE2">
              <w:rPr>
                <w:rStyle w:val="Lienhypertexte"/>
                <w:i/>
                <w:iCs/>
                <w:noProof/>
              </w:rPr>
              <w:t>Tamarix sp.</w:t>
            </w:r>
            <w:r w:rsidR="005C47A4">
              <w:rPr>
                <w:noProof/>
                <w:webHidden/>
              </w:rPr>
              <w:tab/>
            </w:r>
            <w:r w:rsidR="005C47A4">
              <w:rPr>
                <w:noProof/>
                <w:webHidden/>
              </w:rPr>
              <w:fldChar w:fldCharType="begin"/>
            </w:r>
            <w:r w:rsidR="005C47A4">
              <w:rPr>
                <w:noProof/>
                <w:webHidden/>
              </w:rPr>
              <w:instrText xml:space="preserve"> PAGEREF _Toc139181683 \h </w:instrText>
            </w:r>
            <w:r w:rsidR="005C47A4">
              <w:rPr>
                <w:noProof/>
                <w:webHidden/>
              </w:rPr>
            </w:r>
            <w:r w:rsidR="005C47A4">
              <w:rPr>
                <w:noProof/>
                <w:webHidden/>
              </w:rPr>
              <w:fldChar w:fldCharType="separate"/>
            </w:r>
            <w:r w:rsidR="004D7B96">
              <w:rPr>
                <w:noProof/>
                <w:webHidden/>
              </w:rPr>
              <w:t>387</w:t>
            </w:r>
            <w:r w:rsidR="005C47A4">
              <w:rPr>
                <w:noProof/>
                <w:webHidden/>
              </w:rPr>
              <w:fldChar w:fldCharType="end"/>
            </w:r>
          </w:hyperlink>
        </w:p>
        <w:p w14:paraId="2CF86AEF" w14:textId="7AF1D539" w:rsidR="005C47A4" w:rsidRDefault="00000000">
          <w:pPr>
            <w:pStyle w:val="TM2"/>
            <w:tabs>
              <w:tab w:val="left" w:pos="1100"/>
              <w:tab w:val="right" w:leader="dot" w:pos="10416"/>
            </w:tabs>
            <w:rPr>
              <w:rFonts w:eastAsiaTheme="minorEastAsia"/>
              <w:noProof/>
              <w:kern w:val="2"/>
              <w:lang w:eastAsia="fr-FR"/>
              <w14:ligatures w14:val="standardContextual"/>
            </w:rPr>
          </w:pPr>
          <w:hyperlink w:anchor="_Toc139181684" w:history="1">
            <w:r w:rsidR="005C47A4" w:rsidRPr="006B7CE2">
              <w:rPr>
                <w:rStyle w:val="Lienhypertexte"/>
                <w:noProof/>
              </w:rPr>
              <w:t>39.15</w:t>
            </w:r>
            <w:r w:rsidR="005C47A4">
              <w:rPr>
                <w:rFonts w:eastAsiaTheme="minorEastAsia"/>
                <w:noProof/>
                <w:kern w:val="2"/>
                <w:lang w:eastAsia="fr-FR"/>
                <w14:ligatures w14:val="standardContextual"/>
              </w:rPr>
              <w:tab/>
            </w:r>
            <w:r w:rsidR="005C47A4" w:rsidRPr="006B7CE2">
              <w:rPr>
                <w:rStyle w:val="Lienhypertexte"/>
                <w:noProof/>
              </w:rPr>
              <w:t>Tamaris d'Afrique ou Tamaris de printemps (</w:t>
            </w:r>
            <w:r w:rsidR="005C47A4" w:rsidRPr="006B7CE2">
              <w:rPr>
                <w:rStyle w:val="Lienhypertexte"/>
                <w:i/>
                <w:iCs/>
                <w:noProof/>
              </w:rPr>
              <w:t>Tamarix africana</w:t>
            </w:r>
            <w:r w:rsidR="005C47A4" w:rsidRPr="006B7CE2">
              <w:rPr>
                <w:rStyle w:val="Lienhypertexte"/>
                <w:noProof/>
              </w:rPr>
              <w:t xml:space="preserve"> ou</w:t>
            </w:r>
            <w:r w:rsidR="005C47A4" w:rsidRPr="006B7CE2">
              <w:rPr>
                <w:rStyle w:val="Lienhypertexte"/>
                <w:i/>
                <w:iCs/>
                <w:noProof/>
              </w:rPr>
              <w:t xml:space="preserve"> Tamarix tetrandra</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_Toc139181684 \h </w:instrText>
            </w:r>
            <w:r w:rsidR="005C47A4">
              <w:rPr>
                <w:noProof/>
                <w:webHidden/>
              </w:rPr>
            </w:r>
            <w:r w:rsidR="005C47A4">
              <w:rPr>
                <w:noProof/>
                <w:webHidden/>
              </w:rPr>
              <w:fldChar w:fldCharType="separate"/>
            </w:r>
            <w:r w:rsidR="004D7B96">
              <w:rPr>
                <w:noProof/>
                <w:webHidden/>
              </w:rPr>
              <w:t>389</w:t>
            </w:r>
            <w:r w:rsidR="005C47A4">
              <w:rPr>
                <w:noProof/>
                <w:webHidden/>
              </w:rPr>
              <w:fldChar w:fldCharType="end"/>
            </w:r>
          </w:hyperlink>
        </w:p>
        <w:p w14:paraId="512B1EE0" w14:textId="2107C253" w:rsidR="005C47A4" w:rsidRDefault="00000000">
          <w:pPr>
            <w:pStyle w:val="TM2"/>
            <w:tabs>
              <w:tab w:val="left" w:pos="1100"/>
              <w:tab w:val="right" w:leader="dot" w:pos="10416"/>
            </w:tabs>
            <w:rPr>
              <w:rFonts w:eastAsiaTheme="minorEastAsia"/>
              <w:noProof/>
              <w:kern w:val="2"/>
              <w:lang w:eastAsia="fr-FR"/>
              <w14:ligatures w14:val="standardContextual"/>
            </w:rPr>
          </w:pPr>
          <w:hyperlink w:anchor="_Toc139181685" w:history="1">
            <w:r w:rsidR="005C47A4" w:rsidRPr="006B7CE2">
              <w:rPr>
                <w:rStyle w:val="Lienhypertexte"/>
                <w:noProof/>
              </w:rPr>
              <w:t>39.16</w:t>
            </w:r>
            <w:r w:rsidR="005C47A4">
              <w:rPr>
                <w:rFonts w:eastAsiaTheme="minorEastAsia"/>
                <w:noProof/>
                <w:kern w:val="2"/>
                <w:lang w:eastAsia="fr-FR"/>
                <w14:ligatures w14:val="standardContextual"/>
              </w:rPr>
              <w:tab/>
            </w:r>
            <w:r w:rsidR="005C47A4" w:rsidRPr="006B7CE2">
              <w:rPr>
                <w:rStyle w:val="Lienhypertexte"/>
                <w:noProof/>
              </w:rPr>
              <w:t>Tamaris Athel (</w:t>
            </w:r>
            <w:r w:rsidR="005C47A4" w:rsidRPr="006B7CE2">
              <w:rPr>
                <w:rStyle w:val="Lienhypertexte"/>
                <w:i/>
                <w:iCs/>
                <w:noProof/>
              </w:rPr>
              <w:t>Tamarix aphylla</w:t>
            </w:r>
            <w:r w:rsidR="005C47A4" w:rsidRPr="006B7CE2">
              <w:rPr>
                <w:rStyle w:val="Lienhypertexte"/>
                <w:noProof/>
              </w:rPr>
              <w:t xml:space="preserve"> ou </w:t>
            </w:r>
            <w:r w:rsidR="005C47A4" w:rsidRPr="006B7CE2">
              <w:rPr>
                <w:rStyle w:val="Lienhypertexte"/>
                <w:i/>
                <w:iCs/>
                <w:noProof/>
              </w:rPr>
              <w:t>Tamarix articulata</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_Toc139181685 \h </w:instrText>
            </w:r>
            <w:r w:rsidR="005C47A4">
              <w:rPr>
                <w:noProof/>
                <w:webHidden/>
              </w:rPr>
            </w:r>
            <w:r w:rsidR="005C47A4">
              <w:rPr>
                <w:noProof/>
                <w:webHidden/>
              </w:rPr>
              <w:fldChar w:fldCharType="separate"/>
            </w:r>
            <w:r w:rsidR="004D7B96">
              <w:rPr>
                <w:noProof/>
                <w:webHidden/>
              </w:rPr>
              <w:t>390</w:t>
            </w:r>
            <w:r w:rsidR="005C47A4">
              <w:rPr>
                <w:noProof/>
                <w:webHidden/>
              </w:rPr>
              <w:fldChar w:fldCharType="end"/>
            </w:r>
          </w:hyperlink>
        </w:p>
        <w:p w14:paraId="7E4C5F39" w14:textId="160C1830" w:rsidR="005C47A4" w:rsidRDefault="00000000">
          <w:pPr>
            <w:pStyle w:val="TM2"/>
            <w:tabs>
              <w:tab w:val="left" w:pos="1100"/>
              <w:tab w:val="right" w:leader="dot" w:pos="10416"/>
            </w:tabs>
            <w:rPr>
              <w:rFonts w:eastAsiaTheme="minorEastAsia"/>
              <w:noProof/>
              <w:kern w:val="2"/>
              <w:lang w:eastAsia="fr-FR"/>
              <w14:ligatures w14:val="standardContextual"/>
            </w:rPr>
          </w:pPr>
          <w:hyperlink w:anchor="_Toc139181686" w:history="1">
            <w:r w:rsidR="005C47A4" w:rsidRPr="006B7CE2">
              <w:rPr>
                <w:rStyle w:val="Lienhypertexte"/>
                <w:noProof/>
              </w:rPr>
              <w:t>39.17</w:t>
            </w:r>
            <w:r w:rsidR="005C47A4">
              <w:rPr>
                <w:rFonts w:eastAsiaTheme="minorEastAsia"/>
                <w:noProof/>
                <w:kern w:val="2"/>
                <w:lang w:eastAsia="fr-FR"/>
                <w14:ligatures w14:val="standardContextual"/>
              </w:rPr>
              <w:tab/>
            </w:r>
            <w:r w:rsidR="005C47A4" w:rsidRPr="006B7CE2">
              <w:rPr>
                <w:rStyle w:val="Lienhypertexte"/>
                <w:noProof/>
              </w:rPr>
              <w:t>Genêt blanc ou Retam blanc (</w:t>
            </w:r>
            <w:r w:rsidR="005C47A4" w:rsidRPr="006B7CE2">
              <w:rPr>
                <w:rStyle w:val="Lienhypertexte"/>
                <w:i/>
                <w:iCs/>
                <w:noProof/>
              </w:rPr>
              <w:t>Retama monosperma</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_Toc139181686 \h </w:instrText>
            </w:r>
            <w:r w:rsidR="005C47A4">
              <w:rPr>
                <w:noProof/>
                <w:webHidden/>
              </w:rPr>
            </w:r>
            <w:r w:rsidR="005C47A4">
              <w:rPr>
                <w:noProof/>
                <w:webHidden/>
              </w:rPr>
              <w:fldChar w:fldCharType="separate"/>
            </w:r>
            <w:r w:rsidR="004D7B96">
              <w:rPr>
                <w:noProof/>
                <w:webHidden/>
              </w:rPr>
              <w:t>391</w:t>
            </w:r>
            <w:r w:rsidR="005C47A4">
              <w:rPr>
                <w:noProof/>
                <w:webHidden/>
              </w:rPr>
              <w:fldChar w:fldCharType="end"/>
            </w:r>
          </w:hyperlink>
        </w:p>
        <w:p w14:paraId="52EE0478" w14:textId="0D724C69" w:rsidR="005C47A4" w:rsidRDefault="00000000">
          <w:pPr>
            <w:pStyle w:val="TM2"/>
            <w:tabs>
              <w:tab w:val="left" w:pos="1100"/>
              <w:tab w:val="right" w:leader="dot" w:pos="10416"/>
            </w:tabs>
            <w:rPr>
              <w:rFonts w:eastAsiaTheme="minorEastAsia"/>
              <w:noProof/>
              <w:kern w:val="2"/>
              <w:lang w:eastAsia="fr-FR"/>
              <w14:ligatures w14:val="standardContextual"/>
            </w:rPr>
          </w:pPr>
          <w:hyperlink w:anchor="_Toc139181687" w:history="1">
            <w:r w:rsidR="005C47A4" w:rsidRPr="006B7CE2">
              <w:rPr>
                <w:rStyle w:val="Lienhypertexte"/>
                <w:noProof/>
              </w:rPr>
              <w:t>39.18</w:t>
            </w:r>
            <w:r w:rsidR="005C47A4">
              <w:rPr>
                <w:rFonts w:eastAsiaTheme="minorEastAsia"/>
                <w:noProof/>
                <w:kern w:val="2"/>
                <w:lang w:eastAsia="fr-FR"/>
                <w14:ligatures w14:val="standardContextual"/>
              </w:rPr>
              <w:tab/>
            </w:r>
            <w:r w:rsidR="005C47A4" w:rsidRPr="006B7CE2">
              <w:rPr>
                <w:rStyle w:val="Lienhypertexte"/>
                <w:noProof/>
              </w:rPr>
              <w:t>Typha ou massette (</w:t>
            </w:r>
            <w:r w:rsidR="005C47A4" w:rsidRPr="006B7CE2">
              <w:rPr>
                <w:rStyle w:val="Lienhypertexte"/>
                <w:i/>
                <w:iCs/>
                <w:noProof/>
              </w:rPr>
              <w:t>Typha sp</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_Toc139181687 \h </w:instrText>
            </w:r>
            <w:r w:rsidR="005C47A4">
              <w:rPr>
                <w:noProof/>
                <w:webHidden/>
              </w:rPr>
            </w:r>
            <w:r w:rsidR="005C47A4">
              <w:rPr>
                <w:noProof/>
                <w:webHidden/>
              </w:rPr>
              <w:fldChar w:fldCharType="separate"/>
            </w:r>
            <w:r w:rsidR="004D7B96">
              <w:rPr>
                <w:noProof/>
                <w:webHidden/>
              </w:rPr>
              <w:t>392</w:t>
            </w:r>
            <w:r w:rsidR="005C47A4">
              <w:rPr>
                <w:noProof/>
                <w:webHidden/>
              </w:rPr>
              <w:fldChar w:fldCharType="end"/>
            </w:r>
          </w:hyperlink>
        </w:p>
        <w:p w14:paraId="102E45B1" w14:textId="54CC21E7" w:rsidR="005C47A4" w:rsidRDefault="00000000">
          <w:pPr>
            <w:pStyle w:val="TM2"/>
            <w:tabs>
              <w:tab w:val="left" w:pos="1100"/>
              <w:tab w:val="right" w:leader="dot" w:pos="10416"/>
            </w:tabs>
            <w:rPr>
              <w:rFonts w:eastAsiaTheme="minorEastAsia"/>
              <w:noProof/>
              <w:kern w:val="2"/>
              <w:lang w:eastAsia="fr-FR"/>
              <w14:ligatures w14:val="standardContextual"/>
            </w:rPr>
          </w:pPr>
          <w:hyperlink w:anchor="_Toc139181688" w:history="1">
            <w:r w:rsidR="005C47A4" w:rsidRPr="006B7CE2">
              <w:rPr>
                <w:rStyle w:val="Lienhypertexte"/>
                <w:noProof/>
              </w:rPr>
              <w:t>39.19</w:t>
            </w:r>
            <w:r w:rsidR="005C47A4">
              <w:rPr>
                <w:rFonts w:eastAsiaTheme="minorEastAsia"/>
                <w:noProof/>
                <w:kern w:val="2"/>
                <w:lang w:eastAsia="fr-FR"/>
                <w14:ligatures w14:val="standardContextual"/>
              </w:rPr>
              <w:tab/>
            </w:r>
            <w:r w:rsidR="005C47A4" w:rsidRPr="006B7CE2">
              <w:rPr>
                <w:rStyle w:val="Lienhypertexte"/>
                <w:noProof/>
              </w:rPr>
              <w:t>Kikuyu grass ou herbe kikuyu (</w:t>
            </w:r>
            <w:r w:rsidR="005C47A4" w:rsidRPr="006B7CE2">
              <w:rPr>
                <w:rStyle w:val="Lienhypertexte"/>
                <w:i/>
                <w:iCs/>
                <w:noProof/>
              </w:rPr>
              <w:t>Pennisetum clandestinum</w:t>
            </w:r>
            <w:r w:rsidR="005C47A4" w:rsidRPr="006B7CE2">
              <w:rPr>
                <w:rStyle w:val="Lienhypertexte"/>
                <w:noProof/>
              </w:rPr>
              <w:t>)</w:t>
            </w:r>
            <w:r w:rsidR="005C47A4">
              <w:rPr>
                <w:noProof/>
                <w:webHidden/>
              </w:rPr>
              <w:tab/>
            </w:r>
            <w:r w:rsidR="005C47A4">
              <w:rPr>
                <w:noProof/>
                <w:webHidden/>
              </w:rPr>
              <w:fldChar w:fldCharType="begin"/>
            </w:r>
            <w:r w:rsidR="005C47A4">
              <w:rPr>
                <w:noProof/>
                <w:webHidden/>
              </w:rPr>
              <w:instrText xml:space="preserve"> PAGEREF _Toc139181688 \h </w:instrText>
            </w:r>
            <w:r w:rsidR="005C47A4">
              <w:rPr>
                <w:noProof/>
                <w:webHidden/>
              </w:rPr>
            </w:r>
            <w:r w:rsidR="005C47A4">
              <w:rPr>
                <w:noProof/>
                <w:webHidden/>
              </w:rPr>
              <w:fldChar w:fldCharType="separate"/>
            </w:r>
            <w:r w:rsidR="004D7B96">
              <w:rPr>
                <w:noProof/>
                <w:webHidden/>
              </w:rPr>
              <w:t>393</w:t>
            </w:r>
            <w:r w:rsidR="005C47A4">
              <w:rPr>
                <w:noProof/>
                <w:webHidden/>
              </w:rPr>
              <w:fldChar w:fldCharType="end"/>
            </w:r>
          </w:hyperlink>
        </w:p>
        <w:p w14:paraId="5A343F76" w14:textId="707B33B6" w:rsidR="005C47A4" w:rsidRDefault="00000000">
          <w:pPr>
            <w:pStyle w:val="TM2"/>
            <w:tabs>
              <w:tab w:val="left" w:pos="1100"/>
              <w:tab w:val="right" w:leader="dot" w:pos="10416"/>
            </w:tabs>
            <w:rPr>
              <w:rFonts w:eastAsiaTheme="minorEastAsia"/>
              <w:noProof/>
              <w:kern w:val="2"/>
              <w:lang w:eastAsia="fr-FR"/>
              <w14:ligatures w14:val="standardContextual"/>
            </w:rPr>
          </w:pPr>
          <w:hyperlink w:anchor="_Toc139181689" w:history="1">
            <w:r w:rsidR="005C47A4" w:rsidRPr="006B7CE2">
              <w:rPr>
                <w:rStyle w:val="Lienhypertexte"/>
                <w:noProof/>
                <w:lang w:val="en-GB"/>
              </w:rPr>
              <w:t>39.20</w:t>
            </w:r>
            <w:r w:rsidR="005C47A4">
              <w:rPr>
                <w:rFonts w:eastAsiaTheme="minorEastAsia"/>
                <w:noProof/>
                <w:kern w:val="2"/>
                <w:lang w:eastAsia="fr-FR"/>
                <w14:ligatures w14:val="standardContextual"/>
              </w:rPr>
              <w:tab/>
            </w:r>
            <w:r w:rsidR="005C47A4" w:rsidRPr="006B7CE2">
              <w:rPr>
                <w:rStyle w:val="Lienhypertexte"/>
                <w:noProof/>
                <w:lang w:val="en-GB"/>
              </w:rPr>
              <w:t>Texas blueweed ou yerba parda (</w:t>
            </w:r>
            <w:r w:rsidR="005C47A4" w:rsidRPr="006B7CE2">
              <w:rPr>
                <w:rStyle w:val="Lienhypertexte"/>
                <w:i/>
                <w:iCs/>
                <w:noProof/>
                <w:lang w:val="en-GB"/>
              </w:rPr>
              <w:t>Helianthus ciliaris</w:t>
            </w:r>
            <w:r w:rsidR="005C47A4" w:rsidRPr="006B7CE2">
              <w:rPr>
                <w:rStyle w:val="Lienhypertexte"/>
                <w:noProof/>
                <w:lang w:val="en-GB"/>
              </w:rPr>
              <w:t>)</w:t>
            </w:r>
            <w:r w:rsidR="005C47A4">
              <w:rPr>
                <w:noProof/>
                <w:webHidden/>
              </w:rPr>
              <w:tab/>
            </w:r>
            <w:r w:rsidR="005C47A4">
              <w:rPr>
                <w:noProof/>
                <w:webHidden/>
              </w:rPr>
              <w:fldChar w:fldCharType="begin"/>
            </w:r>
            <w:r w:rsidR="005C47A4">
              <w:rPr>
                <w:noProof/>
                <w:webHidden/>
              </w:rPr>
              <w:instrText xml:space="preserve"> PAGEREF _Toc139181689 \h </w:instrText>
            </w:r>
            <w:r w:rsidR="005C47A4">
              <w:rPr>
                <w:noProof/>
                <w:webHidden/>
              </w:rPr>
            </w:r>
            <w:r w:rsidR="005C47A4">
              <w:rPr>
                <w:noProof/>
                <w:webHidden/>
              </w:rPr>
              <w:fldChar w:fldCharType="separate"/>
            </w:r>
            <w:r w:rsidR="004D7B96">
              <w:rPr>
                <w:noProof/>
                <w:webHidden/>
              </w:rPr>
              <w:t>394</w:t>
            </w:r>
            <w:r w:rsidR="005C47A4">
              <w:rPr>
                <w:noProof/>
                <w:webHidden/>
              </w:rPr>
              <w:fldChar w:fldCharType="end"/>
            </w:r>
          </w:hyperlink>
        </w:p>
        <w:p w14:paraId="2173797F" w14:textId="45979380" w:rsidR="005C47A4" w:rsidRDefault="00000000">
          <w:pPr>
            <w:pStyle w:val="TM1"/>
            <w:tabs>
              <w:tab w:val="left" w:pos="660"/>
              <w:tab w:val="right" w:leader="dot" w:pos="10416"/>
            </w:tabs>
            <w:rPr>
              <w:rFonts w:eastAsiaTheme="minorEastAsia"/>
              <w:noProof/>
              <w:kern w:val="2"/>
              <w:lang w:eastAsia="fr-FR"/>
              <w14:ligatures w14:val="standardContextual"/>
            </w:rPr>
          </w:pPr>
          <w:hyperlink w:anchor="_Toc139181690" w:history="1">
            <w:r w:rsidR="005C47A4" w:rsidRPr="006B7CE2">
              <w:rPr>
                <w:rStyle w:val="Lienhypertexte"/>
                <w:noProof/>
              </w:rPr>
              <w:t>40</w:t>
            </w:r>
            <w:r w:rsidR="005C47A4">
              <w:rPr>
                <w:rFonts w:eastAsiaTheme="minorEastAsia"/>
                <w:noProof/>
                <w:kern w:val="2"/>
                <w:lang w:eastAsia="fr-FR"/>
                <w14:ligatures w14:val="standardContextual"/>
              </w:rPr>
              <w:tab/>
            </w:r>
            <w:r w:rsidR="005C47A4" w:rsidRPr="006B7CE2">
              <w:rPr>
                <w:rStyle w:val="Lienhypertexte"/>
                <w:noProof/>
              </w:rPr>
              <w:t>Annexe : Maladies fongiques liées à l’arrosage</w:t>
            </w:r>
            <w:r w:rsidR="005C47A4">
              <w:rPr>
                <w:noProof/>
                <w:webHidden/>
              </w:rPr>
              <w:tab/>
            </w:r>
            <w:r w:rsidR="005C47A4">
              <w:rPr>
                <w:noProof/>
                <w:webHidden/>
              </w:rPr>
              <w:fldChar w:fldCharType="begin"/>
            </w:r>
            <w:r w:rsidR="005C47A4">
              <w:rPr>
                <w:noProof/>
                <w:webHidden/>
              </w:rPr>
              <w:instrText xml:space="preserve"> PAGEREF _Toc139181690 \h </w:instrText>
            </w:r>
            <w:r w:rsidR="005C47A4">
              <w:rPr>
                <w:noProof/>
                <w:webHidden/>
              </w:rPr>
            </w:r>
            <w:r w:rsidR="005C47A4">
              <w:rPr>
                <w:noProof/>
                <w:webHidden/>
              </w:rPr>
              <w:fldChar w:fldCharType="separate"/>
            </w:r>
            <w:r w:rsidR="004D7B96">
              <w:rPr>
                <w:noProof/>
                <w:webHidden/>
              </w:rPr>
              <w:t>396</w:t>
            </w:r>
            <w:r w:rsidR="005C47A4">
              <w:rPr>
                <w:noProof/>
                <w:webHidden/>
              </w:rPr>
              <w:fldChar w:fldCharType="end"/>
            </w:r>
          </w:hyperlink>
        </w:p>
        <w:p w14:paraId="6608B8A1" w14:textId="713F39B6" w:rsidR="005C47A4" w:rsidRDefault="00000000">
          <w:pPr>
            <w:pStyle w:val="TM1"/>
            <w:tabs>
              <w:tab w:val="left" w:pos="660"/>
              <w:tab w:val="right" w:leader="dot" w:pos="10416"/>
            </w:tabs>
            <w:rPr>
              <w:rFonts w:eastAsiaTheme="minorEastAsia"/>
              <w:noProof/>
              <w:kern w:val="2"/>
              <w:lang w:eastAsia="fr-FR"/>
              <w14:ligatures w14:val="standardContextual"/>
            </w:rPr>
          </w:pPr>
          <w:hyperlink w:anchor="_Toc139181691" w:history="1">
            <w:r w:rsidR="005C47A4" w:rsidRPr="006B7CE2">
              <w:rPr>
                <w:rStyle w:val="Lienhypertexte"/>
                <w:noProof/>
              </w:rPr>
              <w:t>41</w:t>
            </w:r>
            <w:r w:rsidR="005C47A4">
              <w:rPr>
                <w:rFonts w:eastAsiaTheme="minorEastAsia"/>
                <w:noProof/>
                <w:kern w:val="2"/>
                <w:lang w:eastAsia="fr-FR"/>
                <w14:ligatures w14:val="standardContextual"/>
              </w:rPr>
              <w:tab/>
            </w:r>
            <w:r w:rsidR="005C47A4" w:rsidRPr="006B7CE2">
              <w:rPr>
                <w:rStyle w:val="Lienhypertexte"/>
                <w:noProof/>
              </w:rPr>
              <w:t>Annexe : Lexique botanique</w:t>
            </w:r>
            <w:r w:rsidR="005C47A4">
              <w:rPr>
                <w:noProof/>
                <w:webHidden/>
              </w:rPr>
              <w:tab/>
            </w:r>
            <w:r w:rsidR="005C47A4">
              <w:rPr>
                <w:noProof/>
                <w:webHidden/>
              </w:rPr>
              <w:fldChar w:fldCharType="begin"/>
            </w:r>
            <w:r w:rsidR="005C47A4">
              <w:rPr>
                <w:noProof/>
                <w:webHidden/>
              </w:rPr>
              <w:instrText xml:space="preserve"> PAGEREF _Toc139181691 \h </w:instrText>
            </w:r>
            <w:r w:rsidR="005C47A4">
              <w:rPr>
                <w:noProof/>
                <w:webHidden/>
              </w:rPr>
            </w:r>
            <w:r w:rsidR="005C47A4">
              <w:rPr>
                <w:noProof/>
                <w:webHidden/>
              </w:rPr>
              <w:fldChar w:fldCharType="separate"/>
            </w:r>
            <w:r w:rsidR="004D7B96">
              <w:rPr>
                <w:noProof/>
                <w:webHidden/>
              </w:rPr>
              <w:t>397</w:t>
            </w:r>
            <w:r w:rsidR="005C47A4">
              <w:rPr>
                <w:noProof/>
                <w:webHidden/>
              </w:rPr>
              <w:fldChar w:fldCharType="end"/>
            </w:r>
          </w:hyperlink>
        </w:p>
        <w:p w14:paraId="779FDADE" w14:textId="1150308B" w:rsidR="005C47A4" w:rsidRDefault="00000000">
          <w:pPr>
            <w:pStyle w:val="TM1"/>
            <w:tabs>
              <w:tab w:val="left" w:pos="660"/>
              <w:tab w:val="right" w:leader="dot" w:pos="10416"/>
            </w:tabs>
            <w:rPr>
              <w:rFonts w:eastAsiaTheme="minorEastAsia"/>
              <w:noProof/>
              <w:kern w:val="2"/>
              <w:lang w:eastAsia="fr-FR"/>
              <w14:ligatures w14:val="standardContextual"/>
            </w:rPr>
          </w:pPr>
          <w:hyperlink w:anchor="_Toc139181692" w:history="1">
            <w:r w:rsidR="005C47A4" w:rsidRPr="006B7CE2">
              <w:rPr>
                <w:rStyle w:val="Lienhypertexte"/>
                <w:noProof/>
              </w:rPr>
              <w:t>42</w:t>
            </w:r>
            <w:r w:rsidR="005C47A4">
              <w:rPr>
                <w:rFonts w:eastAsiaTheme="minorEastAsia"/>
                <w:noProof/>
                <w:kern w:val="2"/>
                <w:lang w:eastAsia="fr-FR"/>
                <w14:ligatures w14:val="standardContextual"/>
              </w:rPr>
              <w:tab/>
            </w:r>
            <w:r w:rsidR="005C47A4" w:rsidRPr="006B7CE2">
              <w:rPr>
                <w:rStyle w:val="Lienhypertexte"/>
                <w:noProof/>
              </w:rPr>
              <w:t>Annexe : Glossaire sur l'irrigation et le stockage de l’eau</w:t>
            </w:r>
            <w:r w:rsidR="005C47A4">
              <w:rPr>
                <w:noProof/>
                <w:webHidden/>
              </w:rPr>
              <w:tab/>
            </w:r>
            <w:r w:rsidR="005C47A4">
              <w:rPr>
                <w:noProof/>
                <w:webHidden/>
              </w:rPr>
              <w:fldChar w:fldCharType="begin"/>
            </w:r>
            <w:r w:rsidR="005C47A4">
              <w:rPr>
                <w:noProof/>
                <w:webHidden/>
              </w:rPr>
              <w:instrText xml:space="preserve"> PAGEREF _Toc139181692 \h </w:instrText>
            </w:r>
            <w:r w:rsidR="005C47A4">
              <w:rPr>
                <w:noProof/>
                <w:webHidden/>
              </w:rPr>
            </w:r>
            <w:r w:rsidR="005C47A4">
              <w:rPr>
                <w:noProof/>
                <w:webHidden/>
              </w:rPr>
              <w:fldChar w:fldCharType="separate"/>
            </w:r>
            <w:r w:rsidR="004D7B96">
              <w:rPr>
                <w:noProof/>
                <w:webHidden/>
              </w:rPr>
              <w:t>398</w:t>
            </w:r>
            <w:r w:rsidR="005C47A4">
              <w:rPr>
                <w:noProof/>
                <w:webHidden/>
              </w:rPr>
              <w:fldChar w:fldCharType="end"/>
            </w:r>
          </w:hyperlink>
        </w:p>
        <w:p w14:paraId="4A9C6372" w14:textId="0C067AAD" w:rsidR="005C47A4" w:rsidRDefault="00000000">
          <w:pPr>
            <w:pStyle w:val="TM1"/>
            <w:tabs>
              <w:tab w:val="left" w:pos="660"/>
              <w:tab w:val="right" w:leader="dot" w:pos="10416"/>
            </w:tabs>
            <w:rPr>
              <w:rFonts w:eastAsiaTheme="minorEastAsia"/>
              <w:noProof/>
              <w:kern w:val="2"/>
              <w:lang w:eastAsia="fr-FR"/>
              <w14:ligatures w14:val="standardContextual"/>
            </w:rPr>
          </w:pPr>
          <w:hyperlink w:anchor="_Toc139181693" w:history="1">
            <w:r w:rsidR="005C47A4" w:rsidRPr="006B7CE2">
              <w:rPr>
                <w:rStyle w:val="Lienhypertexte"/>
                <w:noProof/>
              </w:rPr>
              <w:t>43</w:t>
            </w:r>
            <w:r w:rsidR="005C47A4">
              <w:rPr>
                <w:rFonts w:eastAsiaTheme="minorEastAsia"/>
                <w:noProof/>
                <w:kern w:val="2"/>
                <w:lang w:eastAsia="fr-FR"/>
                <w14:ligatures w14:val="standardContextual"/>
              </w:rPr>
              <w:tab/>
            </w:r>
            <w:r w:rsidR="005C47A4" w:rsidRPr="006B7CE2">
              <w:rPr>
                <w:rStyle w:val="Lienhypertexte"/>
                <w:noProof/>
              </w:rPr>
              <w:t>Annexe : Plantes recommandées pour la fixation des dunes mobiles</w:t>
            </w:r>
            <w:r w:rsidR="005C47A4">
              <w:rPr>
                <w:noProof/>
                <w:webHidden/>
              </w:rPr>
              <w:tab/>
            </w:r>
            <w:r w:rsidR="005C47A4">
              <w:rPr>
                <w:noProof/>
                <w:webHidden/>
              </w:rPr>
              <w:fldChar w:fldCharType="begin"/>
            </w:r>
            <w:r w:rsidR="005C47A4">
              <w:rPr>
                <w:noProof/>
                <w:webHidden/>
              </w:rPr>
              <w:instrText xml:space="preserve"> PAGEREF _Toc139181693 \h </w:instrText>
            </w:r>
            <w:r w:rsidR="005C47A4">
              <w:rPr>
                <w:noProof/>
                <w:webHidden/>
              </w:rPr>
            </w:r>
            <w:r w:rsidR="005C47A4">
              <w:rPr>
                <w:noProof/>
                <w:webHidden/>
              </w:rPr>
              <w:fldChar w:fldCharType="separate"/>
            </w:r>
            <w:r w:rsidR="004D7B96">
              <w:rPr>
                <w:noProof/>
                <w:webHidden/>
              </w:rPr>
              <w:t>399</w:t>
            </w:r>
            <w:r w:rsidR="005C47A4">
              <w:rPr>
                <w:noProof/>
                <w:webHidden/>
              </w:rPr>
              <w:fldChar w:fldCharType="end"/>
            </w:r>
          </w:hyperlink>
        </w:p>
        <w:p w14:paraId="6C9FDC5C" w14:textId="72BB8F50" w:rsidR="005C47A4" w:rsidRDefault="00000000">
          <w:pPr>
            <w:pStyle w:val="TM1"/>
            <w:tabs>
              <w:tab w:val="left" w:pos="660"/>
              <w:tab w:val="right" w:leader="dot" w:pos="10416"/>
            </w:tabs>
            <w:rPr>
              <w:rFonts w:eastAsiaTheme="minorEastAsia"/>
              <w:noProof/>
              <w:kern w:val="2"/>
              <w:lang w:eastAsia="fr-FR"/>
              <w14:ligatures w14:val="standardContextual"/>
            </w:rPr>
          </w:pPr>
          <w:hyperlink w:anchor="_Toc139181694" w:history="1">
            <w:r w:rsidR="005C47A4" w:rsidRPr="006B7CE2">
              <w:rPr>
                <w:rStyle w:val="Lienhypertexte"/>
                <w:noProof/>
              </w:rPr>
              <w:t>44</w:t>
            </w:r>
            <w:r w:rsidR="005C47A4">
              <w:rPr>
                <w:rFonts w:eastAsiaTheme="minorEastAsia"/>
                <w:noProof/>
                <w:kern w:val="2"/>
                <w:lang w:eastAsia="fr-FR"/>
                <w14:ligatures w14:val="standardContextual"/>
              </w:rPr>
              <w:tab/>
            </w:r>
            <w:r w:rsidR="005C47A4" w:rsidRPr="006B7CE2">
              <w:rPr>
                <w:rStyle w:val="Lienhypertexte"/>
                <w:noProof/>
              </w:rPr>
              <w:t>Annexe : Espèces pastorales recommandées pour le rétablissement des parcours en milieux arides</w:t>
            </w:r>
            <w:r w:rsidR="005C47A4">
              <w:rPr>
                <w:noProof/>
                <w:webHidden/>
              </w:rPr>
              <w:tab/>
            </w:r>
            <w:r w:rsidR="005C47A4">
              <w:rPr>
                <w:noProof/>
                <w:webHidden/>
              </w:rPr>
              <w:fldChar w:fldCharType="begin"/>
            </w:r>
            <w:r w:rsidR="005C47A4">
              <w:rPr>
                <w:noProof/>
                <w:webHidden/>
              </w:rPr>
              <w:instrText xml:space="preserve"> PAGEREF _Toc139181694 \h </w:instrText>
            </w:r>
            <w:r w:rsidR="005C47A4">
              <w:rPr>
                <w:noProof/>
                <w:webHidden/>
              </w:rPr>
            </w:r>
            <w:r w:rsidR="005C47A4">
              <w:rPr>
                <w:noProof/>
                <w:webHidden/>
              </w:rPr>
              <w:fldChar w:fldCharType="separate"/>
            </w:r>
            <w:r w:rsidR="004D7B96">
              <w:rPr>
                <w:noProof/>
                <w:webHidden/>
              </w:rPr>
              <w:t>400</w:t>
            </w:r>
            <w:r w:rsidR="005C47A4">
              <w:rPr>
                <w:noProof/>
                <w:webHidden/>
              </w:rPr>
              <w:fldChar w:fldCharType="end"/>
            </w:r>
          </w:hyperlink>
        </w:p>
        <w:p w14:paraId="4BD5AE5B" w14:textId="66EE39B1" w:rsidR="005C47A4" w:rsidRDefault="00000000">
          <w:pPr>
            <w:pStyle w:val="TM1"/>
            <w:tabs>
              <w:tab w:val="left" w:pos="660"/>
              <w:tab w:val="right" w:leader="dot" w:pos="10416"/>
            </w:tabs>
            <w:rPr>
              <w:rFonts w:eastAsiaTheme="minorEastAsia"/>
              <w:noProof/>
              <w:kern w:val="2"/>
              <w:lang w:eastAsia="fr-FR"/>
              <w14:ligatures w14:val="standardContextual"/>
            </w:rPr>
          </w:pPr>
          <w:hyperlink w:anchor="_Toc139181695" w:history="1">
            <w:r w:rsidR="005C47A4" w:rsidRPr="006B7CE2">
              <w:rPr>
                <w:rStyle w:val="Lienhypertexte"/>
                <w:noProof/>
              </w:rPr>
              <w:t>45</w:t>
            </w:r>
            <w:r w:rsidR="005C47A4">
              <w:rPr>
                <w:rFonts w:eastAsiaTheme="minorEastAsia"/>
                <w:noProof/>
                <w:kern w:val="2"/>
                <w:lang w:eastAsia="fr-FR"/>
                <w14:ligatures w14:val="standardContextual"/>
              </w:rPr>
              <w:tab/>
            </w:r>
            <w:r w:rsidR="005C47A4" w:rsidRPr="006B7CE2">
              <w:rPr>
                <w:rStyle w:val="Lienhypertexte"/>
                <w:noProof/>
              </w:rPr>
              <w:t>Annexe : Niveaux de résistance au sel de certaines plantes</w:t>
            </w:r>
            <w:r w:rsidR="005C47A4">
              <w:rPr>
                <w:noProof/>
                <w:webHidden/>
              </w:rPr>
              <w:tab/>
            </w:r>
            <w:r w:rsidR="005C47A4">
              <w:rPr>
                <w:noProof/>
                <w:webHidden/>
              </w:rPr>
              <w:fldChar w:fldCharType="begin"/>
            </w:r>
            <w:r w:rsidR="005C47A4">
              <w:rPr>
                <w:noProof/>
                <w:webHidden/>
              </w:rPr>
              <w:instrText xml:space="preserve"> PAGEREF _Toc139181695 \h </w:instrText>
            </w:r>
            <w:r w:rsidR="005C47A4">
              <w:rPr>
                <w:noProof/>
                <w:webHidden/>
              </w:rPr>
            </w:r>
            <w:r w:rsidR="005C47A4">
              <w:rPr>
                <w:noProof/>
                <w:webHidden/>
              </w:rPr>
              <w:fldChar w:fldCharType="separate"/>
            </w:r>
            <w:r w:rsidR="004D7B96">
              <w:rPr>
                <w:noProof/>
                <w:webHidden/>
              </w:rPr>
              <w:t>400</w:t>
            </w:r>
            <w:r w:rsidR="005C47A4">
              <w:rPr>
                <w:noProof/>
                <w:webHidden/>
              </w:rPr>
              <w:fldChar w:fldCharType="end"/>
            </w:r>
          </w:hyperlink>
        </w:p>
        <w:p w14:paraId="5F8EB97D" w14:textId="09D0EB78" w:rsidR="005C47A4" w:rsidRDefault="00000000">
          <w:pPr>
            <w:pStyle w:val="TM1"/>
            <w:tabs>
              <w:tab w:val="left" w:pos="660"/>
              <w:tab w:val="right" w:leader="dot" w:pos="10416"/>
            </w:tabs>
            <w:rPr>
              <w:rFonts w:eastAsiaTheme="minorEastAsia"/>
              <w:noProof/>
              <w:kern w:val="2"/>
              <w:lang w:eastAsia="fr-FR"/>
              <w14:ligatures w14:val="standardContextual"/>
            </w:rPr>
          </w:pPr>
          <w:hyperlink w:anchor="_Toc139181696" w:history="1">
            <w:r w:rsidR="005C47A4" w:rsidRPr="006B7CE2">
              <w:rPr>
                <w:rStyle w:val="Lienhypertexte"/>
                <w:noProof/>
              </w:rPr>
              <w:t>46</w:t>
            </w:r>
            <w:r w:rsidR="005C47A4">
              <w:rPr>
                <w:rFonts w:eastAsiaTheme="minorEastAsia"/>
                <w:noProof/>
                <w:kern w:val="2"/>
                <w:lang w:eastAsia="fr-FR"/>
                <w14:ligatures w14:val="standardContextual"/>
              </w:rPr>
              <w:tab/>
            </w:r>
            <w:r w:rsidR="005C47A4" w:rsidRPr="006B7CE2">
              <w:rPr>
                <w:rStyle w:val="Lienhypertexte"/>
                <w:noProof/>
              </w:rPr>
              <w:t>Annexe : Serres à l’eau de mer</w:t>
            </w:r>
            <w:r w:rsidR="005C47A4">
              <w:rPr>
                <w:noProof/>
                <w:webHidden/>
              </w:rPr>
              <w:tab/>
            </w:r>
            <w:r w:rsidR="005C47A4">
              <w:rPr>
                <w:noProof/>
                <w:webHidden/>
              </w:rPr>
              <w:fldChar w:fldCharType="begin"/>
            </w:r>
            <w:r w:rsidR="005C47A4">
              <w:rPr>
                <w:noProof/>
                <w:webHidden/>
              </w:rPr>
              <w:instrText xml:space="preserve"> PAGEREF _Toc139181696 \h </w:instrText>
            </w:r>
            <w:r w:rsidR="005C47A4">
              <w:rPr>
                <w:noProof/>
                <w:webHidden/>
              </w:rPr>
            </w:r>
            <w:r w:rsidR="005C47A4">
              <w:rPr>
                <w:noProof/>
                <w:webHidden/>
              </w:rPr>
              <w:fldChar w:fldCharType="separate"/>
            </w:r>
            <w:r w:rsidR="004D7B96">
              <w:rPr>
                <w:noProof/>
                <w:webHidden/>
              </w:rPr>
              <w:t>402</w:t>
            </w:r>
            <w:r w:rsidR="005C47A4">
              <w:rPr>
                <w:noProof/>
                <w:webHidden/>
              </w:rPr>
              <w:fldChar w:fldCharType="end"/>
            </w:r>
          </w:hyperlink>
        </w:p>
        <w:p w14:paraId="016EE7DA" w14:textId="49778891"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697" w:history="1">
            <w:r w:rsidR="005C47A4" w:rsidRPr="006B7CE2">
              <w:rPr>
                <w:rStyle w:val="Lienhypertexte"/>
                <w:noProof/>
              </w:rPr>
              <w:t>46.1</w:t>
            </w:r>
            <w:r w:rsidR="005C47A4">
              <w:rPr>
                <w:rFonts w:eastAsiaTheme="minorEastAsia"/>
                <w:noProof/>
                <w:kern w:val="2"/>
                <w:lang w:eastAsia="fr-FR"/>
                <w14:ligatures w14:val="standardContextual"/>
              </w:rPr>
              <w:tab/>
            </w:r>
            <w:r w:rsidR="005C47A4" w:rsidRPr="006B7CE2">
              <w:rPr>
                <w:rStyle w:val="Lienhypertexte"/>
                <w:noProof/>
              </w:rPr>
              <w:t>Processus et principes généraux</w:t>
            </w:r>
            <w:r w:rsidR="005C47A4">
              <w:rPr>
                <w:noProof/>
                <w:webHidden/>
              </w:rPr>
              <w:tab/>
            </w:r>
            <w:r w:rsidR="005C47A4">
              <w:rPr>
                <w:noProof/>
                <w:webHidden/>
              </w:rPr>
              <w:fldChar w:fldCharType="begin"/>
            </w:r>
            <w:r w:rsidR="005C47A4">
              <w:rPr>
                <w:noProof/>
                <w:webHidden/>
              </w:rPr>
              <w:instrText xml:space="preserve"> PAGEREF _Toc139181697 \h </w:instrText>
            </w:r>
            <w:r w:rsidR="005C47A4">
              <w:rPr>
                <w:noProof/>
                <w:webHidden/>
              </w:rPr>
            </w:r>
            <w:r w:rsidR="005C47A4">
              <w:rPr>
                <w:noProof/>
                <w:webHidden/>
              </w:rPr>
              <w:fldChar w:fldCharType="separate"/>
            </w:r>
            <w:r w:rsidR="004D7B96">
              <w:rPr>
                <w:noProof/>
                <w:webHidden/>
              </w:rPr>
              <w:t>402</w:t>
            </w:r>
            <w:r w:rsidR="005C47A4">
              <w:rPr>
                <w:noProof/>
                <w:webHidden/>
              </w:rPr>
              <w:fldChar w:fldCharType="end"/>
            </w:r>
          </w:hyperlink>
        </w:p>
        <w:p w14:paraId="16C137D7" w14:textId="7E68CB71"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698" w:history="1">
            <w:r w:rsidR="005C47A4" w:rsidRPr="006B7CE2">
              <w:rPr>
                <w:rStyle w:val="Lienhypertexte"/>
                <w:noProof/>
              </w:rPr>
              <w:t>46.2</w:t>
            </w:r>
            <w:r w:rsidR="005C47A4">
              <w:rPr>
                <w:rFonts w:eastAsiaTheme="minorEastAsia"/>
                <w:noProof/>
                <w:kern w:val="2"/>
                <w:lang w:eastAsia="fr-FR"/>
                <w14:ligatures w14:val="standardContextual"/>
              </w:rPr>
              <w:tab/>
            </w:r>
            <w:r w:rsidR="005C47A4" w:rsidRPr="006B7CE2">
              <w:rPr>
                <w:rStyle w:val="Lienhypertexte"/>
                <w:noProof/>
              </w:rPr>
              <w:t>Principes techniques de la serre à l’eau de mer de Charlie Patton</w:t>
            </w:r>
            <w:r w:rsidR="005C47A4">
              <w:rPr>
                <w:noProof/>
                <w:webHidden/>
              </w:rPr>
              <w:tab/>
            </w:r>
            <w:r w:rsidR="005C47A4">
              <w:rPr>
                <w:noProof/>
                <w:webHidden/>
              </w:rPr>
              <w:fldChar w:fldCharType="begin"/>
            </w:r>
            <w:r w:rsidR="005C47A4">
              <w:rPr>
                <w:noProof/>
                <w:webHidden/>
              </w:rPr>
              <w:instrText xml:space="preserve"> PAGEREF _Toc139181698 \h </w:instrText>
            </w:r>
            <w:r w:rsidR="005C47A4">
              <w:rPr>
                <w:noProof/>
                <w:webHidden/>
              </w:rPr>
            </w:r>
            <w:r w:rsidR="005C47A4">
              <w:rPr>
                <w:noProof/>
                <w:webHidden/>
              </w:rPr>
              <w:fldChar w:fldCharType="separate"/>
            </w:r>
            <w:r w:rsidR="004D7B96">
              <w:rPr>
                <w:noProof/>
                <w:webHidden/>
              </w:rPr>
              <w:t>402</w:t>
            </w:r>
            <w:r w:rsidR="005C47A4">
              <w:rPr>
                <w:noProof/>
                <w:webHidden/>
              </w:rPr>
              <w:fldChar w:fldCharType="end"/>
            </w:r>
          </w:hyperlink>
        </w:p>
        <w:p w14:paraId="0D87FBF1" w14:textId="7891310D"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699" w:history="1">
            <w:r w:rsidR="005C47A4" w:rsidRPr="006B7CE2">
              <w:rPr>
                <w:rStyle w:val="Lienhypertexte"/>
                <w:noProof/>
              </w:rPr>
              <w:t>46.3</w:t>
            </w:r>
            <w:r w:rsidR="005C47A4">
              <w:rPr>
                <w:rFonts w:eastAsiaTheme="minorEastAsia"/>
                <w:noProof/>
                <w:kern w:val="2"/>
                <w:lang w:eastAsia="fr-FR"/>
                <w14:ligatures w14:val="standardContextual"/>
              </w:rPr>
              <w:tab/>
            </w:r>
            <w:r w:rsidR="005C47A4" w:rsidRPr="006B7CE2">
              <w:rPr>
                <w:rStyle w:val="Lienhypertexte"/>
                <w:noProof/>
              </w:rPr>
              <w:t>La ferme solaire de Sundrop Farms en Australie</w:t>
            </w:r>
            <w:r w:rsidR="005C47A4">
              <w:rPr>
                <w:noProof/>
                <w:webHidden/>
              </w:rPr>
              <w:tab/>
            </w:r>
            <w:r w:rsidR="005C47A4">
              <w:rPr>
                <w:noProof/>
                <w:webHidden/>
              </w:rPr>
              <w:fldChar w:fldCharType="begin"/>
            </w:r>
            <w:r w:rsidR="005C47A4">
              <w:rPr>
                <w:noProof/>
                <w:webHidden/>
              </w:rPr>
              <w:instrText xml:space="preserve"> PAGEREF _Toc139181699 \h </w:instrText>
            </w:r>
            <w:r w:rsidR="005C47A4">
              <w:rPr>
                <w:noProof/>
                <w:webHidden/>
              </w:rPr>
            </w:r>
            <w:r w:rsidR="005C47A4">
              <w:rPr>
                <w:noProof/>
                <w:webHidden/>
              </w:rPr>
              <w:fldChar w:fldCharType="separate"/>
            </w:r>
            <w:r w:rsidR="004D7B96">
              <w:rPr>
                <w:noProof/>
                <w:webHidden/>
              </w:rPr>
              <w:t>402</w:t>
            </w:r>
            <w:r w:rsidR="005C47A4">
              <w:rPr>
                <w:noProof/>
                <w:webHidden/>
              </w:rPr>
              <w:fldChar w:fldCharType="end"/>
            </w:r>
          </w:hyperlink>
        </w:p>
        <w:p w14:paraId="34D8FA72" w14:textId="105AE892"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700" w:history="1">
            <w:r w:rsidR="005C47A4" w:rsidRPr="006B7CE2">
              <w:rPr>
                <w:rStyle w:val="Lienhypertexte"/>
                <w:noProof/>
              </w:rPr>
              <w:t>46.4</w:t>
            </w:r>
            <w:r w:rsidR="005C47A4">
              <w:rPr>
                <w:rFonts w:eastAsiaTheme="minorEastAsia"/>
                <w:noProof/>
                <w:kern w:val="2"/>
                <w:lang w:eastAsia="fr-FR"/>
                <w14:ligatures w14:val="standardContextual"/>
              </w:rPr>
              <w:tab/>
            </w:r>
            <w:r w:rsidR="005C47A4" w:rsidRPr="006B7CE2">
              <w:rPr>
                <w:rStyle w:val="Lienhypertexte"/>
                <w:noProof/>
              </w:rPr>
              <w:t>Intérêt, avantages</w:t>
            </w:r>
            <w:r w:rsidR="005C47A4">
              <w:rPr>
                <w:noProof/>
                <w:webHidden/>
              </w:rPr>
              <w:tab/>
            </w:r>
            <w:r w:rsidR="005C47A4">
              <w:rPr>
                <w:noProof/>
                <w:webHidden/>
              </w:rPr>
              <w:fldChar w:fldCharType="begin"/>
            </w:r>
            <w:r w:rsidR="005C47A4">
              <w:rPr>
                <w:noProof/>
                <w:webHidden/>
              </w:rPr>
              <w:instrText xml:space="preserve"> PAGEREF _Toc139181700 \h </w:instrText>
            </w:r>
            <w:r w:rsidR="005C47A4">
              <w:rPr>
                <w:noProof/>
                <w:webHidden/>
              </w:rPr>
            </w:r>
            <w:r w:rsidR="005C47A4">
              <w:rPr>
                <w:noProof/>
                <w:webHidden/>
              </w:rPr>
              <w:fldChar w:fldCharType="separate"/>
            </w:r>
            <w:r w:rsidR="004D7B96">
              <w:rPr>
                <w:noProof/>
                <w:webHidden/>
              </w:rPr>
              <w:t>403</w:t>
            </w:r>
            <w:r w:rsidR="005C47A4">
              <w:rPr>
                <w:noProof/>
                <w:webHidden/>
              </w:rPr>
              <w:fldChar w:fldCharType="end"/>
            </w:r>
          </w:hyperlink>
        </w:p>
        <w:p w14:paraId="030CB7DB" w14:textId="2755EE59"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701" w:history="1">
            <w:r w:rsidR="005C47A4" w:rsidRPr="006B7CE2">
              <w:rPr>
                <w:rStyle w:val="Lienhypertexte"/>
                <w:noProof/>
              </w:rPr>
              <w:t>46.5</w:t>
            </w:r>
            <w:r w:rsidR="005C47A4">
              <w:rPr>
                <w:rFonts w:eastAsiaTheme="minorEastAsia"/>
                <w:noProof/>
                <w:kern w:val="2"/>
                <w:lang w:eastAsia="fr-FR"/>
                <w14:ligatures w14:val="standardContextual"/>
              </w:rPr>
              <w:tab/>
            </w:r>
            <w:r w:rsidR="005C47A4" w:rsidRPr="006B7CE2">
              <w:rPr>
                <w:rStyle w:val="Lienhypertexte"/>
                <w:noProof/>
              </w:rPr>
              <w:t>Lieux où la technique pourrait être utilisée</w:t>
            </w:r>
            <w:r w:rsidR="005C47A4">
              <w:rPr>
                <w:noProof/>
                <w:webHidden/>
              </w:rPr>
              <w:tab/>
            </w:r>
            <w:r w:rsidR="005C47A4">
              <w:rPr>
                <w:noProof/>
                <w:webHidden/>
              </w:rPr>
              <w:fldChar w:fldCharType="begin"/>
            </w:r>
            <w:r w:rsidR="005C47A4">
              <w:rPr>
                <w:noProof/>
                <w:webHidden/>
              </w:rPr>
              <w:instrText xml:space="preserve"> PAGEREF _Toc139181701 \h </w:instrText>
            </w:r>
            <w:r w:rsidR="005C47A4">
              <w:rPr>
                <w:noProof/>
                <w:webHidden/>
              </w:rPr>
            </w:r>
            <w:r w:rsidR="005C47A4">
              <w:rPr>
                <w:noProof/>
                <w:webHidden/>
              </w:rPr>
              <w:fldChar w:fldCharType="separate"/>
            </w:r>
            <w:r w:rsidR="004D7B96">
              <w:rPr>
                <w:noProof/>
                <w:webHidden/>
              </w:rPr>
              <w:t>403</w:t>
            </w:r>
            <w:r w:rsidR="005C47A4">
              <w:rPr>
                <w:noProof/>
                <w:webHidden/>
              </w:rPr>
              <w:fldChar w:fldCharType="end"/>
            </w:r>
          </w:hyperlink>
        </w:p>
        <w:p w14:paraId="19F5EC85" w14:textId="39E50EAD"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702" w:history="1">
            <w:r w:rsidR="005C47A4" w:rsidRPr="006B7CE2">
              <w:rPr>
                <w:rStyle w:val="Lienhypertexte"/>
                <w:noProof/>
              </w:rPr>
              <w:t>46.6</w:t>
            </w:r>
            <w:r w:rsidR="005C47A4">
              <w:rPr>
                <w:rFonts w:eastAsiaTheme="minorEastAsia"/>
                <w:noProof/>
                <w:kern w:val="2"/>
                <w:lang w:eastAsia="fr-FR"/>
                <w14:ligatures w14:val="standardContextual"/>
              </w:rPr>
              <w:tab/>
            </w:r>
            <w:r w:rsidR="005C47A4" w:rsidRPr="006B7CE2">
              <w:rPr>
                <w:rStyle w:val="Lienhypertexte"/>
                <w:noProof/>
              </w:rPr>
              <w:t>Une technique intéressante, mais peut-être non encore compétitive</w:t>
            </w:r>
            <w:r w:rsidR="005C47A4">
              <w:rPr>
                <w:noProof/>
                <w:webHidden/>
              </w:rPr>
              <w:tab/>
            </w:r>
            <w:r w:rsidR="005C47A4">
              <w:rPr>
                <w:noProof/>
                <w:webHidden/>
              </w:rPr>
              <w:fldChar w:fldCharType="begin"/>
            </w:r>
            <w:r w:rsidR="005C47A4">
              <w:rPr>
                <w:noProof/>
                <w:webHidden/>
              </w:rPr>
              <w:instrText xml:space="preserve"> PAGEREF _Toc139181702 \h </w:instrText>
            </w:r>
            <w:r w:rsidR="005C47A4">
              <w:rPr>
                <w:noProof/>
                <w:webHidden/>
              </w:rPr>
            </w:r>
            <w:r w:rsidR="005C47A4">
              <w:rPr>
                <w:noProof/>
                <w:webHidden/>
              </w:rPr>
              <w:fldChar w:fldCharType="separate"/>
            </w:r>
            <w:r w:rsidR="004D7B96">
              <w:rPr>
                <w:noProof/>
                <w:webHidden/>
              </w:rPr>
              <w:t>403</w:t>
            </w:r>
            <w:r w:rsidR="005C47A4">
              <w:rPr>
                <w:noProof/>
                <w:webHidden/>
              </w:rPr>
              <w:fldChar w:fldCharType="end"/>
            </w:r>
          </w:hyperlink>
        </w:p>
        <w:p w14:paraId="0A7F5CA3" w14:textId="3C70165E"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703" w:history="1">
            <w:r w:rsidR="005C47A4" w:rsidRPr="006B7CE2">
              <w:rPr>
                <w:rStyle w:val="Lienhypertexte"/>
                <w:noProof/>
                <w:lang w:val="en-GB"/>
              </w:rPr>
              <w:t>46.7</w:t>
            </w:r>
            <w:r w:rsidR="005C47A4">
              <w:rPr>
                <w:rFonts w:eastAsiaTheme="minorEastAsia"/>
                <w:noProof/>
                <w:kern w:val="2"/>
                <w:lang w:eastAsia="fr-FR"/>
                <w14:ligatures w14:val="standardContextual"/>
              </w:rPr>
              <w:tab/>
            </w:r>
            <w:r w:rsidR="005C47A4" w:rsidRPr="006B7CE2">
              <w:rPr>
                <w:rStyle w:val="Lienhypertexte"/>
                <w:noProof/>
                <w:lang w:val="en-GB"/>
              </w:rPr>
              <w:t>Bibliographie</w:t>
            </w:r>
            <w:r w:rsidR="005C47A4">
              <w:rPr>
                <w:noProof/>
                <w:webHidden/>
              </w:rPr>
              <w:tab/>
            </w:r>
            <w:r w:rsidR="005C47A4">
              <w:rPr>
                <w:noProof/>
                <w:webHidden/>
              </w:rPr>
              <w:fldChar w:fldCharType="begin"/>
            </w:r>
            <w:r w:rsidR="005C47A4">
              <w:rPr>
                <w:noProof/>
                <w:webHidden/>
              </w:rPr>
              <w:instrText xml:space="preserve"> PAGEREF _Toc139181703 \h </w:instrText>
            </w:r>
            <w:r w:rsidR="005C47A4">
              <w:rPr>
                <w:noProof/>
                <w:webHidden/>
              </w:rPr>
            </w:r>
            <w:r w:rsidR="005C47A4">
              <w:rPr>
                <w:noProof/>
                <w:webHidden/>
              </w:rPr>
              <w:fldChar w:fldCharType="separate"/>
            </w:r>
            <w:r w:rsidR="004D7B96">
              <w:rPr>
                <w:noProof/>
                <w:webHidden/>
              </w:rPr>
              <w:t>403</w:t>
            </w:r>
            <w:r w:rsidR="005C47A4">
              <w:rPr>
                <w:noProof/>
                <w:webHidden/>
              </w:rPr>
              <w:fldChar w:fldCharType="end"/>
            </w:r>
          </w:hyperlink>
        </w:p>
        <w:p w14:paraId="53118F6D" w14:textId="118C9665"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704" w:history="1">
            <w:r w:rsidR="005C47A4" w:rsidRPr="006B7CE2">
              <w:rPr>
                <w:rStyle w:val="Lienhypertexte"/>
                <w:noProof/>
                <w:lang w:val="en-GB"/>
              </w:rPr>
              <w:t>46.8</w:t>
            </w:r>
            <w:r w:rsidR="005C47A4">
              <w:rPr>
                <w:rFonts w:eastAsiaTheme="minorEastAsia"/>
                <w:noProof/>
                <w:kern w:val="2"/>
                <w:lang w:eastAsia="fr-FR"/>
                <w14:ligatures w14:val="standardContextual"/>
              </w:rPr>
              <w:tab/>
            </w:r>
            <w:r w:rsidR="005C47A4" w:rsidRPr="006B7CE2">
              <w:rPr>
                <w:rStyle w:val="Lienhypertexte"/>
                <w:noProof/>
                <w:lang w:val="en-GB"/>
              </w:rPr>
              <w:t>Contacts</w:t>
            </w:r>
            <w:r w:rsidR="005C47A4">
              <w:rPr>
                <w:noProof/>
                <w:webHidden/>
              </w:rPr>
              <w:tab/>
            </w:r>
            <w:r w:rsidR="005C47A4">
              <w:rPr>
                <w:noProof/>
                <w:webHidden/>
              </w:rPr>
              <w:fldChar w:fldCharType="begin"/>
            </w:r>
            <w:r w:rsidR="005C47A4">
              <w:rPr>
                <w:noProof/>
                <w:webHidden/>
              </w:rPr>
              <w:instrText xml:space="preserve"> PAGEREF _Toc139181704 \h </w:instrText>
            </w:r>
            <w:r w:rsidR="005C47A4">
              <w:rPr>
                <w:noProof/>
                <w:webHidden/>
              </w:rPr>
            </w:r>
            <w:r w:rsidR="005C47A4">
              <w:rPr>
                <w:noProof/>
                <w:webHidden/>
              </w:rPr>
              <w:fldChar w:fldCharType="separate"/>
            </w:r>
            <w:r w:rsidR="004D7B96">
              <w:rPr>
                <w:noProof/>
                <w:webHidden/>
              </w:rPr>
              <w:t>404</w:t>
            </w:r>
            <w:r w:rsidR="005C47A4">
              <w:rPr>
                <w:noProof/>
                <w:webHidden/>
              </w:rPr>
              <w:fldChar w:fldCharType="end"/>
            </w:r>
          </w:hyperlink>
        </w:p>
        <w:p w14:paraId="63B81F40" w14:textId="14E826B5"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705" w:history="1">
            <w:r w:rsidR="005C47A4" w:rsidRPr="006B7CE2">
              <w:rPr>
                <w:rStyle w:val="Lienhypertexte"/>
                <w:noProof/>
                <w:lang w:val="en-GB"/>
              </w:rPr>
              <w:t>46.9</w:t>
            </w:r>
            <w:r w:rsidR="005C47A4">
              <w:rPr>
                <w:rFonts w:eastAsiaTheme="minorEastAsia"/>
                <w:noProof/>
                <w:kern w:val="2"/>
                <w:lang w:eastAsia="fr-FR"/>
                <w14:ligatures w14:val="standardContextual"/>
              </w:rPr>
              <w:tab/>
            </w:r>
            <w:r w:rsidR="005C47A4" w:rsidRPr="006B7CE2">
              <w:rPr>
                <w:rStyle w:val="Lienhypertexte"/>
                <w:noProof/>
                <w:lang w:val="en-GB"/>
              </w:rPr>
              <w:t>Images</w:t>
            </w:r>
            <w:r w:rsidR="005C47A4">
              <w:rPr>
                <w:noProof/>
                <w:webHidden/>
              </w:rPr>
              <w:tab/>
            </w:r>
            <w:r w:rsidR="005C47A4">
              <w:rPr>
                <w:noProof/>
                <w:webHidden/>
              </w:rPr>
              <w:fldChar w:fldCharType="begin"/>
            </w:r>
            <w:r w:rsidR="005C47A4">
              <w:rPr>
                <w:noProof/>
                <w:webHidden/>
              </w:rPr>
              <w:instrText xml:space="preserve"> PAGEREF _Toc139181705 \h </w:instrText>
            </w:r>
            <w:r w:rsidR="005C47A4">
              <w:rPr>
                <w:noProof/>
                <w:webHidden/>
              </w:rPr>
            </w:r>
            <w:r w:rsidR="005C47A4">
              <w:rPr>
                <w:noProof/>
                <w:webHidden/>
              </w:rPr>
              <w:fldChar w:fldCharType="separate"/>
            </w:r>
            <w:r w:rsidR="004D7B96">
              <w:rPr>
                <w:noProof/>
                <w:webHidden/>
              </w:rPr>
              <w:t>404</w:t>
            </w:r>
            <w:r w:rsidR="005C47A4">
              <w:rPr>
                <w:noProof/>
                <w:webHidden/>
              </w:rPr>
              <w:fldChar w:fldCharType="end"/>
            </w:r>
          </w:hyperlink>
        </w:p>
        <w:p w14:paraId="2993C9E5" w14:textId="09BA6B8A" w:rsidR="005C47A4" w:rsidRDefault="00000000">
          <w:pPr>
            <w:pStyle w:val="TM2"/>
            <w:tabs>
              <w:tab w:val="left" w:pos="1100"/>
              <w:tab w:val="right" w:leader="dot" w:pos="10416"/>
            </w:tabs>
            <w:rPr>
              <w:rFonts w:eastAsiaTheme="minorEastAsia"/>
              <w:noProof/>
              <w:kern w:val="2"/>
              <w:lang w:eastAsia="fr-FR"/>
              <w14:ligatures w14:val="standardContextual"/>
            </w:rPr>
          </w:pPr>
          <w:hyperlink w:anchor="_Toc139181706" w:history="1">
            <w:r w:rsidR="005C47A4" w:rsidRPr="006B7CE2">
              <w:rPr>
                <w:rStyle w:val="Lienhypertexte"/>
                <w:noProof/>
              </w:rPr>
              <w:t>46.10</w:t>
            </w:r>
            <w:r w:rsidR="005C47A4">
              <w:rPr>
                <w:rFonts w:eastAsiaTheme="minorEastAsia"/>
                <w:noProof/>
                <w:kern w:val="2"/>
                <w:lang w:eastAsia="fr-FR"/>
                <w14:ligatures w14:val="standardContextual"/>
              </w:rPr>
              <w:tab/>
            </w:r>
            <w:r w:rsidR="005C47A4" w:rsidRPr="006B7CE2">
              <w:rPr>
                <w:rStyle w:val="Lienhypertexte"/>
                <w:noProof/>
              </w:rPr>
              <w:t>Etudes et modélisations</w:t>
            </w:r>
            <w:r w:rsidR="005C47A4">
              <w:rPr>
                <w:noProof/>
                <w:webHidden/>
              </w:rPr>
              <w:tab/>
            </w:r>
            <w:r w:rsidR="005C47A4">
              <w:rPr>
                <w:noProof/>
                <w:webHidden/>
              </w:rPr>
              <w:fldChar w:fldCharType="begin"/>
            </w:r>
            <w:r w:rsidR="005C47A4">
              <w:rPr>
                <w:noProof/>
                <w:webHidden/>
              </w:rPr>
              <w:instrText xml:space="preserve"> PAGEREF _Toc139181706 \h </w:instrText>
            </w:r>
            <w:r w:rsidR="005C47A4">
              <w:rPr>
                <w:noProof/>
                <w:webHidden/>
              </w:rPr>
            </w:r>
            <w:r w:rsidR="005C47A4">
              <w:rPr>
                <w:noProof/>
                <w:webHidden/>
              </w:rPr>
              <w:fldChar w:fldCharType="separate"/>
            </w:r>
            <w:r w:rsidR="004D7B96">
              <w:rPr>
                <w:noProof/>
                <w:webHidden/>
              </w:rPr>
              <w:t>406</w:t>
            </w:r>
            <w:r w:rsidR="005C47A4">
              <w:rPr>
                <w:noProof/>
                <w:webHidden/>
              </w:rPr>
              <w:fldChar w:fldCharType="end"/>
            </w:r>
          </w:hyperlink>
        </w:p>
        <w:p w14:paraId="25B52265" w14:textId="06E7513D" w:rsidR="005C47A4" w:rsidRDefault="00000000">
          <w:pPr>
            <w:pStyle w:val="TM1"/>
            <w:tabs>
              <w:tab w:val="left" w:pos="660"/>
              <w:tab w:val="right" w:leader="dot" w:pos="10416"/>
            </w:tabs>
            <w:rPr>
              <w:rFonts w:eastAsiaTheme="minorEastAsia"/>
              <w:noProof/>
              <w:kern w:val="2"/>
              <w:lang w:eastAsia="fr-FR"/>
              <w14:ligatures w14:val="standardContextual"/>
            </w:rPr>
          </w:pPr>
          <w:hyperlink w:anchor="_Toc139181707" w:history="1">
            <w:r w:rsidR="005C47A4" w:rsidRPr="006B7CE2">
              <w:rPr>
                <w:rStyle w:val="Lienhypertexte"/>
                <w:noProof/>
              </w:rPr>
              <w:t>47</w:t>
            </w:r>
            <w:r w:rsidR="005C47A4">
              <w:rPr>
                <w:rFonts w:eastAsiaTheme="minorEastAsia"/>
                <w:noProof/>
                <w:kern w:val="2"/>
                <w:lang w:eastAsia="fr-FR"/>
                <w14:ligatures w14:val="standardContextual"/>
              </w:rPr>
              <w:tab/>
            </w:r>
            <w:r w:rsidR="005C47A4" w:rsidRPr="006B7CE2">
              <w:rPr>
                <w:rStyle w:val="Lienhypertexte"/>
                <w:noProof/>
              </w:rPr>
              <w:t>Annexe : Dispositions agroforestières</w:t>
            </w:r>
            <w:r w:rsidR="005C47A4">
              <w:rPr>
                <w:noProof/>
                <w:webHidden/>
              </w:rPr>
              <w:tab/>
            </w:r>
            <w:r w:rsidR="005C47A4">
              <w:rPr>
                <w:noProof/>
                <w:webHidden/>
              </w:rPr>
              <w:fldChar w:fldCharType="begin"/>
            </w:r>
            <w:r w:rsidR="005C47A4">
              <w:rPr>
                <w:noProof/>
                <w:webHidden/>
              </w:rPr>
              <w:instrText xml:space="preserve"> PAGEREF _Toc139181707 \h </w:instrText>
            </w:r>
            <w:r w:rsidR="005C47A4">
              <w:rPr>
                <w:noProof/>
                <w:webHidden/>
              </w:rPr>
            </w:r>
            <w:r w:rsidR="005C47A4">
              <w:rPr>
                <w:noProof/>
                <w:webHidden/>
              </w:rPr>
              <w:fldChar w:fldCharType="separate"/>
            </w:r>
            <w:r w:rsidR="004D7B96">
              <w:rPr>
                <w:noProof/>
                <w:webHidden/>
              </w:rPr>
              <w:t>407</w:t>
            </w:r>
            <w:r w:rsidR="005C47A4">
              <w:rPr>
                <w:noProof/>
                <w:webHidden/>
              </w:rPr>
              <w:fldChar w:fldCharType="end"/>
            </w:r>
          </w:hyperlink>
        </w:p>
        <w:p w14:paraId="30F54C1E" w14:textId="5438928E" w:rsidR="005C47A4" w:rsidRDefault="00000000">
          <w:pPr>
            <w:pStyle w:val="TM1"/>
            <w:tabs>
              <w:tab w:val="left" w:pos="660"/>
              <w:tab w:val="right" w:leader="dot" w:pos="10416"/>
            </w:tabs>
            <w:rPr>
              <w:rFonts w:eastAsiaTheme="minorEastAsia"/>
              <w:noProof/>
              <w:kern w:val="2"/>
              <w:lang w:eastAsia="fr-FR"/>
              <w14:ligatures w14:val="standardContextual"/>
            </w:rPr>
          </w:pPr>
          <w:hyperlink w:anchor="_Toc139181708" w:history="1">
            <w:r w:rsidR="005C47A4" w:rsidRPr="006B7CE2">
              <w:rPr>
                <w:rStyle w:val="Lienhypertexte"/>
                <w:noProof/>
              </w:rPr>
              <w:t>48</w:t>
            </w:r>
            <w:r w:rsidR="005C47A4">
              <w:rPr>
                <w:rFonts w:eastAsiaTheme="minorEastAsia"/>
                <w:noProof/>
                <w:kern w:val="2"/>
                <w:lang w:eastAsia="fr-FR"/>
                <w14:ligatures w14:val="standardContextual"/>
              </w:rPr>
              <w:tab/>
            </w:r>
            <w:r w:rsidR="005C47A4" w:rsidRPr="006B7CE2">
              <w:rPr>
                <w:rStyle w:val="Lienhypertexte"/>
                <w:noProof/>
              </w:rPr>
              <w:t>Annexe : Stratégies préventives de lutte contre les plantes invasives</w:t>
            </w:r>
            <w:r w:rsidR="005C47A4">
              <w:rPr>
                <w:noProof/>
                <w:webHidden/>
              </w:rPr>
              <w:tab/>
            </w:r>
            <w:r w:rsidR="005C47A4">
              <w:rPr>
                <w:noProof/>
                <w:webHidden/>
              </w:rPr>
              <w:fldChar w:fldCharType="begin"/>
            </w:r>
            <w:r w:rsidR="005C47A4">
              <w:rPr>
                <w:noProof/>
                <w:webHidden/>
              </w:rPr>
              <w:instrText xml:space="preserve"> PAGEREF _Toc139181708 \h </w:instrText>
            </w:r>
            <w:r w:rsidR="005C47A4">
              <w:rPr>
                <w:noProof/>
                <w:webHidden/>
              </w:rPr>
            </w:r>
            <w:r w:rsidR="005C47A4">
              <w:rPr>
                <w:noProof/>
                <w:webHidden/>
              </w:rPr>
              <w:fldChar w:fldCharType="separate"/>
            </w:r>
            <w:r w:rsidR="004D7B96">
              <w:rPr>
                <w:noProof/>
                <w:webHidden/>
              </w:rPr>
              <w:t>409</w:t>
            </w:r>
            <w:r w:rsidR="005C47A4">
              <w:rPr>
                <w:noProof/>
                <w:webHidden/>
              </w:rPr>
              <w:fldChar w:fldCharType="end"/>
            </w:r>
          </w:hyperlink>
        </w:p>
        <w:p w14:paraId="4D75E30E" w14:textId="5A613D79"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709" w:history="1">
            <w:r w:rsidR="005C47A4" w:rsidRPr="006B7CE2">
              <w:rPr>
                <w:rStyle w:val="Lienhypertexte"/>
                <w:noProof/>
              </w:rPr>
              <w:t>48.1</w:t>
            </w:r>
            <w:r w:rsidR="005C47A4">
              <w:rPr>
                <w:rFonts w:eastAsiaTheme="minorEastAsia"/>
                <w:noProof/>
                <w:kern w:val="2"/>
                <w:lang w:eastAsia="fr-FR"/>
                <w14:ligatures w14:val="standardContextual"/>
              </w:rPr>
              <w:tab/>
            </w:r>
            <w:r w:rsidR="005C47A4" w:rsidRPr="006B7CE2">
              <w:rPr>
                <w:rStyle w:val="Lienhypertexte"/>
                <w:noProof/>
              </w:rPr>
              <w:t>Contrôle aux frontières</w:t>
            </w:r>
            <w:r w:rsidR="005C47A4">
              <w:rPr>
                <w:noProof/>
                <w:webHidden/>
              </w:rPr>
              <w:tab/>
            </w:r>
            <w:r w:rsidR="005C47A4">
              <w:rPr>
                <w:noProof/>
                <w:webHidden/>
              </w:rPr>
              <w:fldChar w:fldCharType="begin"/>
            </w:r>
            <w:r w:rsidR="005C47A4">
              <w:rPr>
                <w:noProof/>
                <w:webHidden/>
              </w:rPr>
              <w:instrText xml:space="preserve"> PAGEREF _Toc139181709 \h </w:instrText>
            </w:r>
            <w:r w:rsidR="005C47A4">
              <w:rPr>
                <w:noProof/>
                <w:webHidden/>
              </w:rPr>
            </w:r>
            <w:r w:rsidR="005C47A4">
              <w:rPr>
                <w:noProof/>
                <w:webHidden/>
              </w:rPr>
              <w:fldChar w:fldCharType="separate"/>
            </w:r>
            <w:r w:rsidR="004D7B96">
              <w:rPr>
                <w:noProof/>
                <w:webHidden/>
              </w:rPr>
              <w:t>409</w:t>
            </w:r>
            <w:r w:rsidR="005C47A4">
              <w:rPr>
                <w:noProof/>
                <w:webHidden/>
              </w:rPr>
              <w:fldChar w:fldCharType="end"/>
            </w:r>
          </w:hyperlink>
        </w:p>
        <w:p w14:paraId="3E9466DA" w14:textId="55FE8A84"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710" w:history="1">
            <w:r w:rsidR="005C47A4" w:rsidRPr="006B7CE2">
              <w:rPr>
                <w:rStyle w:val="Lienhypertexte"/>
                <w:noProof/>
              </w:rPr>
              <w:t>48.2</w:t>
            </w:r>
            <w:r w:rsidR="005C47A4">
              <w:rPr>
                <w:rFonts w:eastAsiaTheme="minorEastAsia"/>
                <w:noProof/>
                <w:kern w:val="2"/>
                <w:lang w:eastAsia="fr-FR"/>
                <w14:ligatures w14:val="standardContextual"/>
              </w:rPr>
              <w:tab/>
            </w:r>
            <w:r w:rsidR="005C47A4" w:rsidRPr="006B7CE2">
              <w:rPr>
                <w:rStyle w:val="Lienhypertexte"/>
                <w:noProof/>
              </w:rPr>
              <w:t>Campagnes de sensibilisation</w:t>
            </w:r>
            <w:r w:rsidR="005C47A4">
              <w:rPr>
                <w:noProof/>
                <w:webHidden/>
              </w:rPr>
              <w:tab/>
            </w:r>
            <w:r w:rsidR="005C47A4">
              <w:rPr>
                <w:noProof/>
                <w:webHidden/>
              </w:rPr>
              <w:fldChar w:fldCharType="begin"/>
            </w:r>
            <w:r w:rsidR="005C47A4">
              <w:rPr>
                <w:noProof/>
                <w:webHidden/>
              </w:rPr>
              <w:instrText xml:space="preserve"> PAGEREF _Toc139181710 \h </w:instrText>
            </w:r>
            <w:r w:rsidR="005C47A4">
              <w:rPr>
                <w:noProof/>
                <w:webHidden/>
              </w:rPr>
            </w:r>
            <w:r w:rsidR="005C47A4">
              <w:rPr>
                <w:noProof/>
                <w:webHidden/>
              </w:rPr>
              <w:fldChar w:fldCharType="separate"/>
            </w:r>
            <w:r w:rsidR="004D7B96">
              <w:rPr>
                <w:noProof/>
                <w:webHidden/>
              </w:rPr>
              <w:t>409</w:t>
            </w:r>
            <w:r w:rsidR="005C47A4">
              <w:rPr>
                <w:noProof/>
                <w:webHidden/>
              </w:rPr>
              <w:fldChar w:fldCharType="end"/>
            </w:r>
          </w:hyperlink>
        </w:p>
        <w:p w14:paraId="5E3AA012" w14:textId="36E6FA8E" w:rsidR="005C47A4" w:rsidRDefault="00000000">
          <w:pPr>
            <w:pStyle w:val="TM1"/>
            <w:tabs>
              <w:tab w:val="left" w:pos="660"/>
              <w:tab w:val="right" w:leader="dot" w:pos="10416"/>
            </w:tabs>
            <w:rPr>
              <w:rFonts w:eastAsiaTheme="minorEastAsia"/>
              <w:noProof/>
              <w:kern w:val="2"/>
              <w:lang w:eastAsia="fr-FR"/>
              <w14:ligatures w14:val="standardContextual"/>
            </w:rPr>
          </w:pPr>
          <w:hyperlink w:anchor="_Toc139181711" w:history="1">
            <w:r w:rsidR="005C47A4" w:rsidRPr="006B7CE2">
              <w:rPr>
                <w:rStyle w:val="Lienhypertexte"/>
                <w:noProof/>
              </w:rPr>
              <w:t>49</w:t>
            </w:r>
            <w:r w:rsidR="005C47A4">
              <w:rPr>
                <w:rFonts w:eastAsiaTheme="minorEastAsia"/>
                <w:noProof/>
                <w:kern w:val="2"/>
                <w:lang w:eastAsia="fr-FR"/>
                <w14:ligatures w14:val="standardContextual"/>
              </w:rPr>
              <w:tab/>
            </w:r>
            <w:r w:rsidR="005C47A4" w:rsidRPr="006B7CE2">
              <w:rPr>
                <w:rStyle w:val="Lienhypertexte"/>
                <w:noProof/>
              </w:rPr>
              <w:t>Annexe : Stratégies palliatives de lutte contre les plantes invasives</w:t>
            </w:r>
            <w:r w:rsidR="005C47A4">
              <w:rPr>
                <w:noProof/>
                <w:webHidden/>
              </w:rPr>
              <w:tab/>
            </w:r>
            <w:r w:rsidR="005C47A4">
              <w:rPr>
                <w:noProof/>
                <w:webHidden/>
              </w:rPr>
              <w:fldChar w:fldCharType="begin"/>
            </w:r>
            <w:r w:rsidR="005C47A4">
              <w:rPr>
                <w:noProof/>
                <w:webHidden/>
              </w:rPr>
              <w:instrText xml:space="preserve"> PAGEREF _Toc139181711 \h </w:instrText>
            </w:r>
            <w:r w:rsidR="005C47A4">
              <w:rPr>
                <w:noProof/>
                <w:webHidden/>
              </w:rPr>
            </w:r>
            <w:r w:rsidR="005C47A4">
              <w:rPr>
                <w:noProof/>
                <w:webHidden/>
              </w:rPr>
              <w:fldChar w:fldCharType="separate"/>
            </w:r>
            <w:r w:rsidR="004D7B96">
              <w:rPr>
                <w:noProof/>
                <w:webHidden/>
              </w:rPr>
              <w:t>411</w:t>
            </w:r>
            <w:r w:rsidR="005C47A4">
              <w:rPr>
                <w:noProof/>
                <w:webHidden/>
              </w:rPr>
              <w:fldChar w:fldCharType="end"/>
            </w:r>
          </w:hyperlink>
        </w:p>
        <w:p w14:paraId="0A1BBB71" w14:textId="2C7B4F1F" w:rsidR="005C47A4" w:rsidRDefault="00000000">
          <w:pPr>
            <w:pStyle w:val="TM1"/>
            <w:tabs>
              <w:tab w:val="left" w:pos="660"/>
              <w:tab w:val="right" w:leader="dot" w:pos="10416"/>
            </w:tabs>
            <w:rPr>
              <w:rFonts w:eastAsiaTheme="minorEastAsia"/>
              <w:noProof/>
              <w:kern w:val="2"/>
              <w:lang w:eastAsia="fr-FR"/>
              <w14:ligatures w14:val="standardContextual"/>
            </w:rPr>
          </w:pPr>
          <w:hyperlink w:anchor="_Toc139181712" w:history="1">
            <w:r w:rsidR="005C47A4" w:rsidRPr="006B7CE2">
              <w:rPr>
                <w:rStyle w:val="Lienhypertexte"/>
                <w:noProof/>
              </w:rPr>
              <w:t>50</w:t>
            </w:r>
            <w:r w:rsidR="005C47A4">
              <w:rPr>
                <w:rFonts w:eastAsiaTheme="minorEastAsia"/>
                <w:noProof/>
                <w:kern w:val="2"/>
                <w:lang w:eastAsia="fr-FR"/>
                <w14:ligatures w14:val="standardContextual"/>
              </w:rPr>
              <w:tab/>
            </w:r>
            <w:r w:rsidR="005C47A4" w:rsidRPr="006B7CE2">
              <w:rPr>
                <w:rStyle w:val="Lienhypertexte"/>
                <w:noProof/>
              </w:rPr>
              <w:t xml:space="preserve">Annexe : Mécanismes intrinsèques des plantes invasives, expliquant leur </w:t>
            </w:r>
            <w:r w:rsidR="005C47A4" w:rsidRPr="006B7CE2">
              <w:rPr>
                <w:rStyle w:val="Lienhypertexte"/>
                <w:i/>
                <w:iCs/>
                <w:noProof/>
              </w:rPr>
              <w:t>invasivité</w:t>
            </w:r>
            <w:r w:rsidR="005C47A4">
              <w:rPr>
                <w:noProof/>
                <w:webHidden/>
              </w:rPr>
              <w:tab/>
            </w:r>
            <w:r w:rsidR="005C47A4">
              <w:rPr>
                <w:noProof/>
                <w:webHidden/>
              </w:rPr>
              <w:fldChar w:fldCharType="begin"/>
            </w:r>
            <w:r w:rsidR="005C47A4">
              <w:rPr>
                <w:noProof/>
                <w:webHidden/>
              </w:rPr>
              <w:instrText xml:space="preserve"> PAGEREF _Toc139181712 \h </w:instrText>
            </w:r>
            <w:r w:rsidR="005C47A4">
              <w:rPr>
                <w:noProof/>
                <w:webHidden/>
              </w:rPr>
            </w:r>
            <w:r w:rsidR="005C47A4">
              <w:rPr>
                <w:noProof/>
                <w:webHidden/>
              </w:rPr>
              <w:fldChar w:fldCharType="separate"/>
            </w:r>
            <w:r w:rsidR="004D7B96">
              <w:rPr>
                <w:noProof/>
                <w:webHidden/>
              </w:rPr>
              <w:t>413</w:t>
            </w:r>
            <w:r w:rsidR="005C47A4">
              <w:rPr>
                <w:noProof/>
                <w:webHidden/>
              </w:rPr>
              <w:fldChar w:fldCharType="end"/>
            </w:r>
          </w:hyperlink>
        </w:p>
        <w:p w14:paraId="64F29CEA" w14:textId="6C3C9139" w:rsidR="005C47A4" w:rsidRDefault="00000000">
          <w:pPr>
            <w:pStyle w:val="TM1"/>
            <w:tabs>
              <w:tab w:val="left" w:pos="660"/>
              <w:tab w:val="right" w:leader="dot" w:pos="10416"/>
            </w:tabs>
            <w:rPr>
              <w:rFonts w:eastAsiaTheme="minorEastAsia"/>
              <w:noProof/>
              <w:kern w:val="2"/>
              <w:lang w:eastAsia="fr-FR"/>
              <w14:ligatures w14:val="standardContextual"/>
            </w:rPr>
          </w:pPr>
          <w:hyperlink w:anchor="_Toc139181713" w:history="1">
            <w:r w:rsidR="005C47A4" w:rsidRPr="006B7CE2">
              <w:rPr>
                <w:rStyle w:val="Lienhypertexte"/>
                <w:noProof/>
              </w:rPr>
              <w:t>51</w:t>
            </w:r>
            <w:r w:rsidR="005C47A4">
              <w:rPr>
                <w:rFonts w:eastAsiaTheme="minorEastAsia"/>
                <w:noProof/>
                <w:kern w:val="2"/>
                <w:lang w:eastAsia="fr-FR"/>
                <w14:ligatures w14:val="standardContextual"/>
              </w:rPr>
              <w:tab/>
            </w:r>
            <w:r w:rsidR="005C47A4" w:rsidRPr="006B7CE2">
              <w:rPr>
                <w:rStyle w:val="Lienhypertexte"/>
                <w:noProof/>
              </w:rPr>
              <w:t>Annexe : Modes de propagation des espèces invasives</w:t>
            </w:r>
            <w:r w:rsidR="005C47A4">
              <w:rPr>
                <w:noProof/>
                <w:webHidden/>
              </w:rPr>
              <w:tab/>
            </w:r>
            <w:r w:rsidR="005C47A4">
              <w:rPr>
                <w:noProof/>
                <w:webHidden/>
              </w:rPr>
              <w:fldChar w:fldCharType="begin"/>
            </w:r>
            <w:r w:rsidR="005C47A4">
              <w:rPr>
                <w:noProof/>
                <w:webHidden/>
              </w:rPr>
              <w:instrText xml:space="preserve"> PAGEREF _Toc139181713 \h </w:instrText>
            </w:r>
            <w:r w:rsidR="005C47A4">
              <w:rPr>
                <w:noProof/>
                <w:webHidden/>
              </w:rPr>
            </w:r>
            <w:r w:rsidR="005C47A4">
              <w:rPr>
                <w:noProof/>
                <w:webHidden/>
              </w:rPr>
              <w:fldChar w:fldCharType="separate"/>
            </w:r>
            <w:r w:rsidR="004D7B96">
              <w:rPr>
                <w:noProof/>
                <w:webHidden/>
              </w:rPr>
              <w:t>414</w:t>
            </w:r>
            <w:r w:rsidR="005C47A4">
              <w:rPr>
                <w:noProof/>
                <w:webHidden/>
              </w:rPr>
              <w:fldChar w:fldCharType="end"/>
            </w:r>
          </w:hyperlink>
        </w:p>
        <w:p w14:paraId="4A7AA60F" w14:textId="05CEFAC2" w:rsidR="005C47A4" w:rsidRDefault="00000000">
          <w:pPr>
            <w:pStyle w:val="TM1"/>
            <w:tabs>
              <w:tab w:val="left" w:pos="660"/>
              <w:tab w:val="right" w:leader="dot" w:pos="10416"/>
            </w:tabs>
            <w:rPr>
              <w:rFonts w:eastAsiaTheme="minorEastAsia"/>
              <w:noProof/>
              <w:kern w:val="2"/>
              <w:lang w:eastAsia="fr-FR"/>
              <w14:ligatures w14:val="standardContextual"/>
            </w:rPr>
          </w:pPr>
          <w:hyperlink w:anchor="_Toc139181714" w:history="1">
            <w:r w:rsidR="005C47A4" w:rsidRPr="006B7CE2">
              <w:rPr>
                <w:rStyle w:val="Lienhypertexte"/>
                <w:noProof/>
              </w:rPr>
              <w:t>52</w:t>
            </w:r>
            <w:r w:rsidR="005C47A4">
              <w:rPr>
                <w:rFonts w:eastAsiaTheme="minorEastAsia"/>
                <w:noProof/>
                <w:kern w:val="2"/>
                <w:lang w:eastAsia="fr-FR"/>
                <w14:ligatures w14:val="standardContextual"/>
              </w:rPr>
              <w:tab/>
            </w:r>
            <w:r w:rsidR="005C47A4" w:rsidRPr="006B7CE2">
              <w:rPr>
                <w:rStyle w:val="Lienhypertexte"/>
                <w:noProof/>
              </w:rPr>
              <w:t>Annexe : Que faire quand vous devenez insensible moralement, en raison de traumatismes ?</w:t>
            </w:r>
            <w:r w:rsidR="005C47A4">
              <w:rPr>
                <w:noProof/>
                <w:webHidden/>
              </w:rPr>
              <w:tab/>
            </w:r>
            <w:r w:rsidR="005C47A4">
              <w:rPr>
                <w:noProof/>
                <w:webHidden/>
              </w:rPr>
              <w:fldChar w:fldCharType="begin"/>
            </w:r>
            <w:r w:rsidR="005C47A4">
              <w:rPr>
                <w:noProof/>
                <w:webHidden/>
              </w:rPr>
              <w:instrText xml:space="preserve"> PAGEREF _Toc139181714 \h </w:instrText>
            </w:r>
            <w:r w:rsidR="005C47A4">
              <w:rPr>
                <w:noProof/>
                <w:webHidden/>
              </w:rPr>
            </w:r>
            <w:r w:rsidR="005C47A4">
              <w:rPr>
                <w:noProof/>
                <w:webHidden/>
              </w:rPr>
              <w:fldChar w:fldCharType="separate"/>
            </w:r>
            <w:r w:rsidR="004D7B96">
              <w:rPr>
                <w:noProof/>
                <w:webHidden/>
              </w:rPr>
              <w:t>415</w:t>
            </w:r>
            <w:r w:rsidR="005C47A4">
              <w:rPr>
                <w:noProof/>
                <w:webHidden/>
              </w:rPr>
              <w:fldChar w:fldCharType="end"/>
            </w:r>
          </w:hyperlink>
        </w:p>
        <w:p w14:paraId="5E415A40" w14:textId="10799FC6" w:rsidR="005C47A4" w:rsidRDefault="00000000">
          <w:pPr>
            <w:pStyle w:val="TM1"/>
            <w:tabs>
              <w:tab w:val="left" w:pos="660"/>
              <w:tab w:val="right" w:leader="dot" w:pos="10416"/>
            </w:tabs>
            <w:rPr>
              <w:rFonts w:eastAsiaTheme="minorEastAsia"/>
              <w:noProof/>
              <w:kern w:val="2"/>
              <w:lang w:eastAsia="fr-FR"/>
              <w14:ligatures w14:val="standardContextual"/>
            </w:rPr>
          </w:pPr>
          <w:hyperlink w:anchor="_Toc139181715" w:history="1">
            <w:r w:rsidR="005C47A4" w:rsidRPr="006B7CE2">
              <w:rPr>
                <w:rStyle w:val="Lienhypertexte"/>
                <w:noProof/>
              </w:rPr>
              <w:t>53</w:t>
            </w:r>
            <w:r w:rsidR="005C47A4">
              <w:rPr>
                <w:rFonts w:eastAsiaTheme="minorEastAsia"/>
                <w:noProof/>
                <w:kern w:val="2"/>
                <w:lang w:eastAsia="fr-FR"/>
                <w14:ligatures w14:val="standardContextual"/>
              </w:rPr>
              <w:tab/>
            </w:r>
            <w:r w:rsidR="005C47A4" w:rsidRPr="006B7CE2">
              <w:rPr>
                <w:rStyle w:val="Lienhypertexte"/>
                <w:noProof/>
              </w:rPr>
              <w:t>Annexe : Préconisations pour lutter contre la corruption</w:t>
            </w:r>
            <w:r w:rsidR="005C47A4">
              <w:rPr>
                <w:noProof/>
                <w:webHidden/>
              </w:rPr>
              <w:tab/>
            </w:r>
            <w:r w:rsidR="005C47A4">
              <w:rPr>
                <w:noProof/>
                <w:webHidden/>
              </w:rPr>
              <w:fldChar w:fldCharType="begin"/>
            </w:r>
            <w:r w:rsidR="005C47A4">
              <w:rPr>
                <w:noProof/>
                <w:webHidden/>
              </w:rPr>
              <w:instrText xml:space="preserve"> PAGEREF _Toc139181715 \h </w:instrText>
            </w:r>
            <w:r w:rsidR="005C47A4">
              <w:rPr>
                <w:noProof/>
                <w:webHidden/>
              </w:rPr>
            </w:r>
            <w:r w:rsidR="005C47A4">
              <w:rPr>
                <w:noProof/>
                <w:webHidden/>
              </w:rPr>
              <w:fldChar w:fldCharType="separate"/>
            </w:r>
            <w:r w:rsidR="004D7B96">
              <w:rPr>
                <w:noProof/>
                <w:webHidden/>
              </w:rPr>
              <w:t>415</w:t>
            </w:r>
            <w:r w:rsidR="005C47A4">
              <w:rPr>
                <w:noProof/>
                <w:webHidden/>
              </w:rPr>
              <w:fldChar w:fldCharType="end"/>
            </w:r>
          </w:hyperlink>
        </w:p>
        <w:p w14:paraId="0C302A10" w14:textId="1EA9BF63" w:rsidR="005C47A4" w:rsidRDefault="00000000">
          <w:pPr>
            <w:pStyle w:val="TM1"/>
            <w:tabs>
              <w:tab w:val="left" w:pos="660"/>
              <w:tab w:val="right" w:leader="dot" w:pos="10416"/>
            </w:tabs>
            <w:rPr>
              <w:rFonts w:eastAsiaTheme="minorEastAsia"/>
              <w:noProof/>
              <w:kern w:val="2"/>
              <w:lang w:eastAsia="fr-FR"/>
              <w14:ligatures w14:val="standardContextual"/>
            </w:rPr>
          </w:pPr>
          <w:hyperlink w:anchor="_Toc139181716" w:history="1">
            <w:r w:rsidR="005C47A4" w:rsidRPr="006B7CE2">
              <w:rPr>
                <w:rStyle w:val="Lienhypertexte"/>
                <w:noProof/>
              </w:rPr>
              <w:t>54</w:t>
            </w:r>
            <w:r w:rsidR="005C47A4">
              <w:rPr>
                <w:rFonts w:eastAsiaTheme="minorEastAsia"/>
                <w:noProof/>
                <w:kern w:val="2"/>
                <w:lang w:eastAsia="fr-FR"/>
                <w14:ligatures w14:val="standardContextual"/>
              </w:rPr>
              <w:tab/>
            </w:r>
            <w:r w:rsidR="005C47A4" w:rsidRPr="006B7CE2">
              <w:rPr>
                <w:rStyle w:val="Lienhypertexte"/>
                <w:noProof/>
              </w:rPr>
              <w:t>Associations, organisations, ONG</w:t>
            </w:r>
            <w:r w:rsidR="005C47A4">
              <w:rPr>
                <w:noProof/>
                <w:webHidden/>
              </w:rPr>
              <w:tab/>
            </w:r>
            <w:r w:rsidR="005C47A4">
              <w:rPr>
                <w:noProof/>
                <w:webHidden/>
              </w:rPr>
              <w:fldChar w:fldCharType="begin"/>
            </w:r>
            <w:r w:rsidR="005C47A4">
              <w:rPr>
                <w:noProof/>
                <w:webHidden/>
              </w:rPr>
              <w:instrText xml:space="preserve"> PAGEREF _Toc139181716 \h </w:instrText>
            </w:r>
            <w:r w:rsidR="005C47A4">
              <w:rPr>
                <w:noProof/>
                <w:webHidden/>
              </w:rPr>
            </w:r>
            <w:r w:rsidR="005C47A4">
              <w:rPr>
                <w:noProof/>
                <w:webHidden/>
              </w:rPr>
              <w:fldChar w:fldCharType="separate"/>
            </w:r>
            <w:r w:rsidR="004D7B96">
              <w:rPr>
                <w:noProof/>
                <w:webHidden/>
              </w:rPr>
              <w:t>416</w:t>
            </w:r>
            <w:r w:rsidR="005C47A4">
              <w:rPr>
                <w:noProof/>
                <w:webHidden/>
              </w:rPr>
              <w:fldChar w:fldCharType="end"/>
            </w:r>
          </w:hyperlink>
        </w:p>
        <w:p w14:paraId="2ECA4F00" w14:textId="724B2ADF" w:rsidR="005C47A4" w:rsidRDefault="00000000">
          <w:pPr>
            <w:pStyle w:val="TM1"/>
            <w:tabs>
              <w:tab w:val="left" w:pos="660"/>
              <w:tab w:val="right" w:leader="dot" w:pos="10416"/>
            </w:tabs>
            <w:rPr>
              <w:rFonts w:eastAsiaTheme="minorEastAsia"/>
              <w:noProof/>
              <w:kern w:val="2"/>
              <w:lang w:eastAsia="fr-FR"/>
              <w14:ligatures w14:val="standardContextual"/>
            </w:rPr>
          </w:pPr>
          <w:hyperlink w:anchor="_Toc139181717" w:history="1">
            <w:r w:rsidR="005C47A4" w:rsidRPr="006B7CE2">
              <w:rPr>
                <w:rStyle w:val="Lienhypertexte"/>
                <w:noProof/>
              </w:rPr>
              <w:t>55</w:t>
            </w:r>
            <w:r w:rsidR="005C47A4">
              <w:rPr>
                <w:rFonts w:eastAsiaTheme="minorEastAsia"/>
                <w:noProof/>
                <w:kern w:val="2"/>
                <w:lang w:eastAsia="fr-FR"/>
                <w14:ligatures w14:val="standardContextual"/>
              </w:rPr>
              <w:tab/>
            </w:r>
            <w:r w:rsidR="005C47A4" w:rsidRPr="006B7CE2">
              <w:rPr>
                <w:rStyle w:val="Lienhypertexte"/>
                <w:noProof/>
              </w:rPr>
              <w:t>Instituts spécialisés et contacts</w:t>
            </w:r>
            <w:r w:rsidR="005C47A4">
              <w:rPr>
                <w:noProof/>
                <w:webHidden/>
              </w:rPr>
              <w:tab/>
            </w:r>
            <w:r w:rsidR="005C47A4">
              <w:rPr>
                <w:noProof/>
                <w:webHidden/>
              </w:rPr>
              <w:fldChar w:fldCharType="begin"/>
            </w:r>
            <w:r w:rsidR="005C47A4">
              <w:rPr>
                <w:noProof/>
                <w:webHidden/>
              </w:rPr>
              <w:instrText xml:space="preserve"> PAGEREF _Toc139181717 \h </w:instrText>
            </w:r>
            <w:r w:rsidR="005C47A4">
              <w:rPr>
                <w:noProof/>
                <w:webHidden/>
              </w:rPr>
            </w:r>
            <w:r w:rsidR="005C47A4">
              <w:rPr>
                <w:noProof/>
                <w:webHidden/>
              </w:rPr>
              <w:fldChar w:fldCharType="separate"/>
            </w:r>
            <w:r w:rsidR="004D7B96">
              <w:rPr>
                <w:noProof/>
                <w:webHidden/>
              </w:rPr>
              <w:t>416</w:t>
            </w:r>
            <w:r w:rsidR="005C47A4">
              <w:rPr>
                <w:noProof/>
                <w:webHidden/>
              </w:rPr>
              <w:fldChar w:fldCharType="end"/>
            </w:r>
          </w:hyperlink>
        </w:p>
        <w:p w14:paraId="22458CC4" w14:textId="70CB5DDC" w:rsidR="005C47A4" w:rsidRDefault="00000000">
          <w:pPr>
            <w:pStyle w:val="TM1"/>
            <w:tabs>
              <w:tab w:val="left" w:pos="660"/>
              <w:tab w:val="right" w:leader="dot" w:pos="10416"/>
            </w:tabs>
            <w:rPr>
              <w:rFonts w:eastAsiaTheme="minorEastAsia"/>
              <w:noProof/>
              <w:kern w:val="2"/>
              <w:lang w:eastAsia="fr-FR"/>
              <w14:ligatures w14:val="standardContextual"/>
            </w:rPr>
          </w:pPr>
          <w:hyperlink w:anchor="_Toc139181718" w:history="1">
            <w:r w:rsidR="005C47A4" w:rsidRPr="006B7CE2">
              <w:rPr>
                <w:rStyle w:val="Lienhypertexte"/>
                <w:noProof/>
              </w:rPr>
              <w:t>56</w:t>
            </w:r>
            <w:r w:rsidR="005C47A4">
              <w:rPr>
                <w:rFonts w:eastAsiaTheme="minorEastAsia"/>
                <w:noProof/>
                <w:kern w:val="2"/>
                <w:lang w:eastAsia="fr-FR"/>
                <w14:ligatures w14:val="standardContextual"/>
              </w:rPr>
              <w:tab/>
            </w:r>
            <w:r w:rsidR="005C47A4" w:rsidRPr="006B7CE2">
              <w:rPr>
                <w:rStyle w:val="Lienhypertexte"/>
                <w:rFonts w:eastAsia="Times New Roman"/>
                <w:noProof/>
              </w:rPr>
              <w:t>Contact pour plus d’informations</w:t>
            </w:r>
            <w:r w:rsidR="005C47A4">
              <w:rPr>
                <w:noProof/>
                <w:webHidden/>
              </w:rPr>
              <w:tab/>
            </w:r>
            <w:r w:rsidR="005C47A4">
              <w:rPr>
                <w:noProof/>
                <w:webHidden/>
              </w:rPr>
              <w:fldChar w:fldCharType="begin"/>
            </w:r>
            <w:r w:rsidR="005C47A4">
              <w:rPr>
                <w:noProof/>
                <w:webHidden/>
              </w:rPr>
              <w:instrText xml:space="preserve"> PAGEREF _Toc139181718 \h </w:instrText>
            </w:r>
            <w:r w:rsidR="005C47A4">
              <w:rPr>
                <w:noProof/>
                <w:webHidden/>
              </w:rPr>
            </w:r>
            <w:r w:rsidR="005C47A4">
              <w:rPr>
                <w:noProof/>
                <w:webHidden/>
              </w:rPr>
              <w:fldChar w:fldCharType="separate"/>
            </w:r>
            <w:r w:rsidR="004D7B96">
              <w:rPr>
                <w:noProof/>
                <w:webHidden/>
              </w:rPr>
              <w:t>417</w:t>
            </w:r>
            <w:r w:rsidR="005C47A4">
              <w:rPr>
                <w:noProof/>
                <w:webHidden/>
              </w:rPr>
              <w:fldChar w:fldCharType="end"/>
            </w:r>
          </w:hyperlink>
        </w:p>
        <w:p w14:paraId="613605E8" w14:textId="64C150BF" w:rsidR="005C47A4" w:rsidRDefault="00000000">
          <w:pPr>
            <w:pStyle w:val="TM2"/>
            <w:tabs>
              <w:tab w:val="left" w:pos="880"/>
              <w:tab w:val="right" w:leader="dot" w:pos="10416"/>
            </w:tabs>
            <w:rPr>
              <w:rFonts w:eastAsiaTheme="minorEastAsia"/>
              <w:noProof/>
              <w:kern w:val="2"/>
              <w:lang w:eastAsia="fr-FR"/>
              <w14:ligatures w14:val="standardContextual"/>
            </w:rPr>
          </w:pPr>
          <w:hyperlink w:anchor="_Toc139181719" w:history="1">
            <w:r w:rsidR="005C47A4" w:rsidRPr="006B7CE2">
              <w:rPr>
                <w:rStyle w:val="Lienhypertexte"/>
                <w:noProof/>
              </w:rPr>
              <w:t>56.1</w:t>
            </w:r>
            <w:r w:rsidR="005C47A4">
              <w:rPr>
                <w:rFonts w:eastAsiaTheme="minorEastAsia"/>
                <w:noProof/>
                <w:kern w:val="2"/>
                <w:lang w:eastAsia="fr-FR"/>
                <w14:ligatures w14:val="standardContextual"/>
              </w:rPr>
              <w:tab/>
            </w:r>
            <w:r w:rsidR="005C47A4" w:rsidRPr="006B7CE2">
              <w:rPr>
                <w:rStyle w:val="Lienhypertexte"/>
                <w:rFonts w:eastAsia="Times New Roman"/>
                <w:noProof/>
              </w:rPr>
              <w:t>Sites Internet</w:t>
            </w:r>
            <w:r w:rsidR="005C47A4" w:rsidRPr="006B7CE2">
              <w:rPr>
                <w:rStyle w:val="Lienhypertexte"/>
                <w:noProof/>
              </w:rPr>
              <w:t xml:space="preserve"> de l’auteur</w:t>
            </w:r>
            <w:r w:rsidR="005C47A4">
              <w:rPr>
                <w:noProof/>
                <w:webHidden/>
              </w:rPr>
              <w:tab/>
            </w:r>
            <w:r w:rsidR="005C47A4">
              <w:rPr>
                <w:noProof/>
                <w:webHidden/>
              </w:rPr>
              <w:fldChar w:fldCharType="begin"/>
            </w:r>
            <w:r w:rsidR="005C47A4">
              <w:rPr>
                <w:noProof/>
                <w:webHidden/>
              </w:rPr>
              <w:instrText xml:space="preserve"> PAGEREF _Toc139181719 \h </w:instrText>
            </w:r>
            <w:r w:rsidR="005C47A4">
              <w:rPr>
                <w:noProof/>
                <w:webHidden/>
              </w:rPr>
            </w:r>
            <w:r w:rsidR="005C47A4">
              <w:rPr>
                <w:noProof/>
                <w:webHidden/>
              </w:rPr>
              <w:fldChar w:fldCharType="separate"/>
            </w:r>
            <w:r w:rsidR="004D7B96">
              <w:rPr>
                <w:noProof/>
                <w:webHidden/>
              </w:rPr>
              <w:t>417</w:t>
            </w:r>
            <w:r w:rsidR="005C47A4">
              <w:rPr>
                <w:noProof/>
                <w:webHidden/>
              </w:rPr>
              <w:fldChar w:fldCharType="end"/>
            </w:r>
          </w:hyperlink>
        </w:p>
        <w:p w14:paraId="4E95B5C2" w14:textId="708D72CA" w:rsidR="00397487" w:rsidRDefault="00397487">
          <w:r>
            <w:rPr>
              <w:b/>
              <w:bCs/>
            </w:rPr>
            <w:fldChar w:fldCharType="end"/>
          </w:r>
        </w:p>
      </w:sdtContent>
    </w:sdt>
    <w:p w14:paraId="35192456" w14:textId="77777777" w:rsidR="00397487" w:rsidRDefault="00397487" w:rsidP="00D12C5E">
      <w:pPr>
        <w:spacing w:after="0" w:line="240" w:lineRule="auto"/>
        <w:jc w:val="both"/>
        <w:rPr>
          <w:rStyle w:val="Lienhypertexte"/>
        </w:rPr>
      </w:pPr>
    </w:p>
    <w:sectPr w:rsidR="00397487" w:rsidSect="008578A8">
      <w:pgSz w:w="12240" w:h="15840"/>
      <w:pgMar w:top="907" w:right="907" w:bottom="907" w:left="90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DD28C5C" w14:textId="77777777" w:rsidR="00D15B8B" w:rsidRDefault="00D15B8B" w:rsidP="00CA7631">
      <w:pPr>
        <w:spacing w:after="0" w:line="240" w:lineRule="auto"/>
      </w:pPr>
      <w:r>
        <w:separator/>
      </w:r>
    </w:p>
  </w:endnote>
  <w:endnote w:type="continuationSeparator" w:id="0">
    <w:p w14:paraId="56C7944E" w14:textId="77777777" w:rsidR="00D15B8B" w:rsidRDefault="00D15B8B" w:rsidP="00CA763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n-ea">
    <w:panose1 w:val="00000000000000000000"/>
    <w:charset w:val="00"/>
    <w:family w:val="roman"/>
    <w:notTrueType/>
    <w:pitch w:val="default"/>
  </w:font>
  <w:font w:name="+mn-cs">
    <w:panose1 w:val="00000000000000000000"/>
    <w:charset w:val="00"/>
    <w:family w:val="roman"/>
    <w:notTrueType/>
    <w:pitch w:val="default"/>
  </w:font>
  <w:font w:name="Nirmala UI">
    <w:panose1 w:val="020B0502040204020203"/>
    <w:charset w:val="00"/>
    <w:family w:val="swiss"/>
    <w:pitch w:val="variable"/>
    <w:sig w:usb0="80FF8023" w:usb1="0200004A" w:usb2="00000200" w:usb3="00000000" w:csb0="00000001"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41672267"/>
      <w:docPartObj>
        <w:docPartGallery w:val="Page Numbers (Bottom of Page)"/>
        <w:docPartUnique/>
      </w:docPartObj>
    </w:sdtPr>
    <w:sdtContent>
      <w:p w14:paraId="2A0B0AE1" w14:textId="0095897D" w:rsidR="00CA7631" w:rsidRDefault="00CA7631">
        <w:pPr>
          <w:pStyle w:val="Pieddepage"/>
          <w:jc w:val="center"/>
        </w:pPr>
        <w:r>
          <w:fldChar w:fldCharType="begin"/>
        </w:r>
        <w:r>
          <w:instrText>PAGE   \* MERGEFORMAT</w:instrText>
        </w:r>
        <w:r>
          <w:fldChar w:fldCharType="separate"/>
        </w:r>
        <w:r>
          <w:t>2</w:t>
        </w:r>
        <w:r>
          <w:fldChar w:fldCharType="end"/>
        </w:r>
      </w:p>
    </w:sdtContent>
  </w:sdt>
  <w:p w14:paraId="727F7693" w14:textId="77777777" w:rsidR="00CA7631" w:rsidRDefault="00CA7631">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B5E7B22" w14:textId="77777777" w:rsidR="00D15B8B" w:rsidRDefault="00D15B8B" w:rsidP="00CA7631">
      <w:pPr>
        <w:spacing w:after="0" w:line="240" w:lineRule="auto"/>
      </w:pPr>
      <w:r>
        <w:separator/>
      </w:r>
    </w:p>
  </w:footnote>
  <w:footnote w:type="continuationSeparator" w:id="0">
    <w:p w14:paraId="2BE4B919" w14:textId="77777777" w:rsidR="00D15B8B" w:rsidRDefault="00D15B8B" w:rsidP="00CA7631">
      <w:pPr>
        <w:spacing w:after="0" w:line="240" w:lineRule="auto"/>
      </w:pPr>
      <w:r>
        <w:continuationSeparator/>
      </w:r>
    </w:p>
  </w:footnote>
  <w:footnote w:id="1">
    <w:p w14:paraId="317C9B78" w14:textId="2CCBAA13" w:rsidR="00C51CEB" w:rsidRDefault="00C51CEB">
      <w:pPr>
        <w:pStyle w:val="Notedebasdepage"/>
      </w:pPr>
      <w:r>
        <w:rPr>
          <w:rStyle w:val="Appelnotedebasdep"/>
        </w:rPr>
        <w:footnoteRef/>
      </w:r>
      <w:r>
        <w:t xml:space="preserve"> </w:t>
      </w:r>
      <w:r w:rsidRPr="00C51CEB">
        <w:t>Par exemple, Fondation GoodPlanet, Action contre la faim [Action Against Hunger],</w:t>
      </w:r>
      <w:r>
        <w:t xml:space="preserve"> Practical Answers</w:t>
      </w:r>
      <w:r w:rsidRPr="00C51CEB">
        <w:t xml:space="preserve"> etc.</w:t>
      </w:r>
    </w:p>
  </w:footnote>
  <w:footnote w:id="2">
    <w:p w14:paraId="4F907034" w14:textId="436A0C12" w:rsidR="00B243F9" w:rsidRDefault="00B243F9">
      <w:pPr>
        <w:pStyle w:val="Notedebasdepage"/>
      </w:pPr>
      <w:r>
        <w:rPr>
          <w:rStyle w:val="Appelnotedebasdep"/>
        </w:rPr>
        <w:footnoteRef/>
      </w:r>
      <w:r>
        <w:t xml:space="preserve"> Nous cherchons des traducteurs anglais et espagnol pour ce livre.</w:t>
      </w:r>
    </w:p>
  </w:footnote>
  <w:footnote w:id="3">
    <w:p w14:paraId="1B8E4C05" w14:textId="76A79DA8" w:rsidR="00D94BED" w:rsidRPr="00D94BED" w:rsidRDefault="00D94BED" w:rsidP="00D94BED">
      <w:pPr>
        <w:pStyle w:val="Notedebasdepage"/>
        <w:jc w:val="both"/>
        <w:rPr>
          <w:rFonts w:ascii="Calibri" w:hAnsi="Calibri" w:cs="Calibri"/>
        </w:rPr>
      </w:pPr>
      <w:r w:rsidRPr="00D94BED">
        <w:rPr>
          <w:rStyle w:val="Appelnotedebasdep"/>
          <w:rFonts w:ascii="Calibri" w:hAnsi="Calibri" w:cs="Calibri"/>
        </w:rPr>
        <w:footnoteRef/>
      </w:r>
      <w:r w:rsidRPr="00D94BED">
        <w:rPr>
          <w:rFonts w:ascii="Calibri" w:hAnsi="Calibri" w:cs="Calibri"/>
        </w:rPr>
        <w:t xml:space="preserve"> </w:t>
      </w:r>
      <w:r w:rsidRPr="00D94BED">
        <w:rPr>
          <w:rFonts w:ascii="Calibri" w:hAnsi="Calibri" w:cs="Calibri"/>
          <w:b/>
          <w:bCs/>
          <w:i/>
          <w:iCs/>
          <w:color w:val="202122"/>
          <w:shd w:val="clear" w:color="auto" w:fill="FFFFFF"/>
        </w:rPr>
        <w:t>Taxonomie</w:t>
      </w:r>
      <w:r w:rsidRPr="00D94BED">
        <w:rPr>
          <w:rFonts w:ascii="Calibri" w:hAnsi="Calibri" w:cs="Calibri"/>
          <w:color w:val="202122"/>
          <w:shd w:val="clear" w:color="auto" w:fill="FFFFFF"/>
        </w:rPr>
        <w:t> ou </w:t>
      </w:r>
      <w:r w:rsidRPr="00D94BED">
        <w:rPr>
          <w:rFonts w:ascii="Calibri" w:hAnsi="Calibri" w:cs="Calibri"/>
          <w:b/>
          <w:bCs/>
          <w:i/>
          <w:iCs/>
          <w:color w:val="202122"/>
          <w:shd w:val="clear" w:color="auto" w:fill="FFFFFF"/>
        </w:rPr>
        <w:t>taxinomie</w:t>
      </w:r>
      <w:r w:rsidRPr="00D94BED">
        <w:rPr>
          <w:rFonts w:ascii="Calibri" w:hAnsi="Calibri" w:cs="Calibri"/>
          <w:color w:val="202122"/>
          <w:shd w:val="clear" w:color="auto" w:fill="FFFFFF"/>
        </w:rPr>
        <w:t> : une branche des </w:t>
      </w:r>
      <w:hyperlink r:id="rId1" w:tooltip="Sciences naturelles" w:history="1">
        <w:r w:rsidRPr="00D94BED">
          <w:rPr>
            <w:rStyle w:val="Lienhypertexte"/>
            <w:rFonts w:ascii="Calibri" w:hAnsi="Calibri" w:cs="Calibri"/>
            <w:color w:val="0645AD"/>
            <w:shd w:val="clear" w:color="auto" w:fill="FFFFFF"/>
          </w:rPr>
          <w:t>sciences naturelles</w:t>
        </w:r>
      </w:hyperlink>
      <w:r w:rsidRPr="00D94BED">
        <w:rPr>
          <w:rFonts w:ascii="Calibri" w:hAnsi="Calibri" w:cs="Calibri"/>
          <w:color w:val="202122"/>
          <w:shd w:val="clear" w:color="auto" w:fill="FFFFFF"/>
        </w:rPr>
        <w:t> (rebaptisées </w:t>
      </w:r>
      <w:hyperlink r:id="rId2" w:tooltip="Biologie" w:history="1">
        <w:r w:rsidRPr="00D94BED">
          <w:rPr>
            <w:rStyle w:val="Lienhypertexte"/>
            <w:rFonts w:ascii="Calibri" w:hAnsi="Calibri" w:cs="Calibri"/>
            <w:color w:val="0645AD"/>
            <w:shd w:val="clear" w:color="auto" w:fill="FFFFFF"/>
          </w:rPr>
          <w:t>biologie</w:t>
        </w:r>
      </w:hyperlink>
      <w:r w:rsidRPr="00D94BED">
        <w:rPr>
          <w:rFonts w:ascii="Calibri" w:hAnsi="Calibri" w:cs="Calibri"/>
          <w:color w:val="202122"/>
          <w:shd w:val="clear" w:color="auto" w:fill="FFFFFF"/>
        </w:rPr>
        <w:t> au </w:t>
      </w:r>
      <w:r w:rsidRPr="00D94BED">
        <w:rPr>
          <w:rStyle w:val="romain"/>
          <w:rFonts w:ascii="Calibri" w:hAnsi="Calibri" w:cs="Calibri"/>
          <w:smallCaps/>
        </w:rPr>
        <w:t>xx</w:t>
      </w:r>
      <w:r w:rsidRPr="00D94BED">
        <w:rPr>
          <w:rFonts w:ascii="Calibri" w:hAnsi="Calibri" w:cs="Calibri"/>
          <w:vertAlign w:val="superscript"/>
        </w:rPr>
        <w:t>e</w:t>
      </w:r>
      <w:r w:rsidRPr="00D94BED">
        <w:rPr>
          <w:rFonts w:ascii="Calibri" w:hAnsi="Calibri" w:cs="Calibri"/>
          <w:color w:val="202122"/>
          <w:shd w:val="clear" w:color="auto" w:fill="FFFFFF"/>
        </w:rPr>
        <w:t> siècle), qui a pour objet de décrire la diversité des </w:t>
      </w:r>
      <w:hyperlink r:id="rId3" w:tooltip="Organisme (physiologie)" w:history="1">
        <w:r w:rsidRPr="00D94BED">
          <w:rPr>
            <w:rStyle w:val="Lienhypertexte"/>
            <w:rFonts w:ascii="Calibri" w:hAnsi="Calibri" w:cs="Calibri"/>
            <w:color w:val="0645AD"/>
            <w:shd w:val="clear" w:color="auto" w:fill="FFFFFF"/>
          </w:rPr>
          <w:t>organismes vivants</w:t>
        </w:r>
      </w:hyperlink>
      <w:r w:rsidRPr="00D94BED">
        <w:rPr>
          <w:rFonts w:ascii="Calibri" w:hAnsi="Calibri" w:cs="Calibri"/>
          <w:color w:val="202122"/>
          <w:shd w:val="clear" w:color="auto" w:fill="FFFFFF"/>
        </w:rPr>
        <w:t> et de les regrouper en entités appelées </w:t>
      </w:r>
      <w:hyperlink r:id="rId4" w:tooltip="Taxon" w:history="1">
        <w:r w:rsidRPr="00D94BED">
          <w:rPr>
            <w:rStyle w:val="Lienhypertexte"/>
            <w:rFonts w:ascii="Calibri" w:hAnsi="Calibri" w:cs="Calibri"/>
            <w:color w:val="0645AD"/>
            <w:shd w:val="clear" w:color="auto" w:fill="FFFFFF"/>
          </w:rPr>
          <w:t>taxons</w:t>
        </w:r>
      </w:hyperlink>
      <w:r w:rsidRPr="00D94BED">
        <w:rPr>
          <w:rFonts w:ascii="Calibri" w:hAnsi="Calibri" w:cs="Calibri"/>
          <w:color w:val="202122"/>
          <w:shd w:val="clear" w:color="auto" w:fill="FFFFFF"/>
        </w:rPr>
        <w:t> afin de les identifier (notamment grâce aux </w:t>
      </w:r>
      <w:hyperlink r:id="rId5" w:tooltip="Clé de détermination" w:history="1">
        <w:r w:rsidRPr="00D94BED">
          <w:rPr>
            <w:rStyle w:val="Lienhypertexte"/>
            <w:rFonts w:ascii="Calibri" w:hAnsi="Calibri" w:cs="Calibri"/>
            <w:color w:val="0645AD"/>
            <w:shd w:val="clear" w:color="auto" w:fill="FFFFFF"/>
          </w:rPr>
          <w:t>clés de détermination</w:t>
        </w:r>
      </w:hyperlink>
      <w:r w:rsidRPr="00D94BED">
        <w:rPr>
          <w:rFonts w:ascii="Calibri" w:hAnsi="Calibri" w:cs="Calibri"/>
          <w:color w:val="202122"/>
          <w:shd w:val="clear" w:color="auto" w:fill="FFFFFF"/>
        </w:rPr>
        <w:t>), les </w:t>
      </w:r>
      <w:hyperlink r:id="rId6" w:tooltip="Description des espèces" w:history="1">
        <w:r w:rsidRPr="00D94BED">
          <w:rPr>
            <w:rStyle w:val="Lienhypertexte"/>
            <w:rFonts w:ascii="Calibri" w:hAnsi="Calibri" w:cs="Calibri"/>
            <w:color w:val="0645AD"/>
            <w:shd w:val="clear" w:color="auto" w:fill="FFFFFF"/>
          </w:rPr>
          <w:t>décrire</w:t>
        </w:r>
      </w:hyperlink>
      <w:r w:rsidRPr="00D94BED">
        <w:rPr>
          <w:rFonts w:ascii="Calibri" w:hAnsi="Calibri" w:cs="Calibri"/>
          <w:color w:val="202122"/>
          <w:shd w:val="clear" w:color="auto" w:fill="FFFFFF"/>
        </w:rPr>
        <w:t>, les </w:t>
      </w:r>
      <w:hyperlink r:id="rId7" w:tooltip="Nomenclature" w:history="1">
        <w:r w:rsidRPr="00D94BED">
          <w:rPr>
            <w:rStyle w:val="Lienhypertexte"/>
            <w:rFonts w:ascii="Calibri" w:hAnsi="Calibri" w:cs="Calibri"/>
            <w:color w:val="0645AD"/>
            <w:shd w:val="clear" w:color="auto" w:fill="FFFFFF"/>
          </w:rPr>
          <w:t>nommer</w:t>
        </w:r>
      </w:hyperlink>
      <w:r w:rsidRPr="00D94BED">
        <w:rPr>
          <w:rFonts w:ascii="Calibri" w:hAnsi="Calibri" w:cs="Calibri"/>
          <w:color w:val="202122"/>
          <w:shd w:val="clear" w:color="auto" w:fill="FFFFFF"/>
        </w:rPr>
        <w:t> et les </w:t>
      </w:r>
      <w:hyperlink r:id="rId8" w:tooltip="Classification scientifique des espèces" w:history="1">
        <w:r w:rsidRPr="00D94BED">
          <w:rPr>
            <w:rStyle w:val="Lienhypertexte"/>
            <w:rFonts w:ascii="Calibri" w:hAnsi="Calibri" w:cs="Calibri"/>
            <w:color w:val="0645AD"/>
            <w:shd w:val="clear" w:color="auto" w:fill="FFFFFF"/>
          </w:rPr>
          <w:t>classer</w:t>
        </w:r>
      </w:hyperlink>
      <w:r w:rsidRPr="00D94BED">
        <w:rPr>
          <w:rFonts w:ascii="Calibri" w:hAnsi="Calibri" w:cs="Calibri"/>
        </w:rPr>
        <w:t>.</w:t>
      </w:r>
    </w:p>
  </w:footnote>
  <w:footnote w:id="4">
    <w:p w14:paraId="7E7EFBAE" w14:textId="7F4E82FB" w:rsidR="00D974AA" w:rsidRPr="00D974AA" w:rsidRDefault="00D974AA" w:rsidP="00D974AA">
      <w:pPr>
        <w:pStyle w:val="Notedebasdepage"/>
        <w:jc w:val="both"/>
      </w:pPr>
      <w:r w:rsidRPr="00D974AA">
        <w:rPr>
          <w:rStyle w:val="Appelnotedebasdep"/>
          <w:rFonts w:ascii="Calibri" w:hAnsi="Calibri" w:cs="Calibri"/>
        </w:rPr>
        <w:footnoteRef/>
      </w:r>
      <w:r w:rsidRPr="00D974AA">
        <w:rPr>
          <w:rFonts w:ascii="Calibri" w:hAnsi="Calibri" w:cs="Calibri"/>
        </w:rPr>
        <w:t xml:space="preserve"> </w:t>
      </w:r>
      <w:r w:rsidRPr="00D974AA">
        <w:rPr>
          <w:rFonts w:ascii="Calibri" w:hAnsi="Calibri" w:cs="Calibri"/>
          <w:b/>
          <w:bCs/>
          <w:i/>
          <w:iCs/>
          <w:color w:val="000000" w:themeColor="text1"/>
        </w:rPr>
        <w:t>Genre</w:t>
      </w:r>
      <w:r w:rsidRPr="00D974AA">
        <w:rPr>
          <w:rFonts w:ascii="Calibri" w:hAnsi="Calibri" w:cs="Calibri"/>
          <w:color w:val="000000" w:themeColor="text1"/>
        </w:rPr>
        <w:t xml:space="preserve"> : </w:t>
      </w:r>
      <w:r w:rsidRPr="00D974AA">
        <w:rPr>
          <w:rFonts w:ascii="Calibri" w:hAnsi="Calibri" w:cs="Calibri"/>
          <w:color w:val="000000" w:themeColor="text1"/>
          <w:shd w:val="clear" w:color="auto" w:fill="FFFFFF"/>
        </w:rPr>
        <w:t>un </w:t>
      </w:r>
      <w:hyperlink r:id="rId9" w:tooltip="Rang taxonomique" w:history="1">
        <w:r w:rsidRPr="00D974AA">
          <w:rPr>
            <w:rStyle w:val="Lienhypertexte"/>
            <w:rFonts w:ascii="Calibri" w:hAnsi="Calibri" w:cs="Calibri"/>
            <w:color w:val="0645AD"/>
            <w:shd w:val="clear" w:color="auto" w:fill="FFFFFF"/>
          </w:rPr>
          <w:t>rang taxinomique</w:t>
        </w:r>
      </w:hyperlink>
      <w:r w:rsidRPr="00D974AA">
        <w:rPr>
          <w:rFonts w:ascii="Calibri" w:hAnsi="Calibri" w:cs="Calibri"/>
          <w:color w:val="202122"/>
          <w:shd w:val="clear" w:color="auto" w:fill="FFFFFF"/>
        </w:rPr>
        <w:t> (</w:t>
      </w:r>
      <w:r w:rsidRPr="00D974AA">
        <w:rPr>
          <w:rFonts w:ascii="Calibri" w:hAnsi="Calibri" w:cs="Calibri"/>
          <w:color w:val="000000" w:themeColor="text1"/>
          <w:shd w:val="clear" w:color="auto" w:fill="FFFFFF"/>
        </w:rPr>
        <w:t>ou taxonomique) qui regroupe un ensemble d'</w:t>
      </w:r>
      <w:hyperlink r:id="rId10" w:tooltip="Espèce" w:history="1">
        <w:r w:rsidRPr="00D974AA">
          <w:rPr>
            <w:rStyle w:val="Lienhypertexte"/>
            <w:rFonts w:ascii="Calibri" w:hAnsi="Calibri" w:cs="Calibri"/>
            <w:color w:val="000000" w:themeColor="text1"/>
            <w:shd w:val="clear" w:color="auto" w:fill="FFFFFF"/>
          </w:rPr>
          <w:t>espèces</w:t>
        </w:r>
      </w:hyperlink>
      <w:r w:rsidRPr="00D974AA">
        <w:rPr>
          <w:rFonts w:ascii="Calibri" w:hAnsi="Calibri" w:cs="Calibri"/>
          <w:color w:val="000000" w:themeColor="text1"/>
        </w:rPr>
        <w:t xml:space="preserve"> vivantes</w:t>
      </w:r>
      <w:r w:rsidRPr="00D974AA">
        <w:rPr>
          <w:rFonts w:ascii="Calibri" w:hAnsi="Calibri" w:cs="Calibri"/>
          <w:color w:val="000000" w:themeColor="text1"/>
          <w:shd w:val="clear" w:color="auto" w:fill="FFFFFF"/>
        </w:rPr>
        <w:t> ayant en commun plusieurs caractères similaires. Le genre est le sixième rang principal de la systématique classique des espèces vivantes. On estime qu'environ 290 000 genres sont utilisés dans le </w:t>
      </w:r>
      <w:hyperlink r:id="rId11" w:history="1">
        <w:r w:rsidRPr="00D974AA">
          <w:rPr>
            <w:rStyle w:val="Lienhypertexte"/>
            <w:rFonts w:ascii="Calibri" w:hAnsi="Calibri" w:cs="Calibri"/>
            <w:color w:val="0645AD"/>
            <w:shd w:val="clear" w:color="auto" w:fill="FFFFFF"/>
          </w:rPr>
          <w:t>règne animal</w:t>
        </w:r>
      </w:hyperlink>
      <w:r w:rsidRPr="00D974AA">
        <w:rPr>
          <w:rFonts w:ascii="Calibri" w:hAnsi="Calibri" w:cs="Calibri"/>
        </w:rPr>
        <w:t>.</w:t>
      </w:r>
      <w:r>
        <w:rPr>
          <w:rFonts w:ascii="Calibri" w:hAnsi="Calibri" w:cs="Calibri"/>
        </w:rPr>
        <w:t xml:space="preserve"> </w:t>
      </w:r>
      <w:r w:rsidRPr="00D974AA">
        <w:rPr>
          <w:rFonts w:ascii="Calibri" w:hAnsi="Calibri" w:cs="Calibri"/>
          <w:color w:val="000000" w:themeColor="text1"/>
        </w:rPr>
        <w:t xml:space="preserve">Cf. </w:t>
      </w:r>
      <w:hyperlink r:id="rId12" w:history="1">
        <w:r w:rsidRPr="00224761">
          <w:rPr>
            <w:rStyle w:val="Lienhypertexte"/>
            <w:rFonts w:ascii="Calibri" w:hAnsi="Calibri" w:cs="Calibri"/>
          </w:rPr>
          <w:t>https://fr.wikipedia.org/wiki/Genre_(biologie)</w:t>
        </w:r>
      </w:hyperlink>
      <w:r>
        <w:rPr>
          <w:rFonts w:ascii="Calibri" w:hAnsi="Calibri" w:cs="Calibri"/>
        </w:rPr>
        <w:t xml:space="preserve"> </w:t>
      </w:r>
      <w:r>
        <w:t xml:space="preserve"> </w:t>
      </w:r>
    </w:p>
  </w:footnote>
  <w:footnote w:id="5">
    <w:p w14:paraId="56F75494" w14:textId="68C61A92" w:rsidR="00411177" w:rsidRDefault="00411177">
      <w:pPr>
        <w:pStyle w:val="Notedebasdepage"/>
      </w:pPr>
      <w:r>
        <w:rPr>
          <w:rStyle w:val="Appelnotedebasdep"/>
        </w:rPr>
        <w:footnoteRef/>
      </w:r>
      <w:r>
        <w:t xml:space="preserve"> </w:t>
      </w:r>
      <w:r w:rsidRPr="00411177">
        <w:rPr>
          <w:i/>
          <w:iCs/>
        </w:rPr>
        <w:t>Reforestation. La grande désillusion</w:t>
      </w:r>
      <w:r>
        <w:t>. Vincent Nouyrigat, Epsiloon, n°2, août 2021, pages 20 à 27.</w:t>
      </w:r>
    </w:p>
  </w:footnote>
  <w:footnote w:id="6">
    <w:p w14:paraId="102D363C" w14:textId="120CFEF3" w:rsidR="005C361C" w:rsidRDefault="00A36351" w:rsidP="004E6569">
      <w:pPr>
        <w:pStyle w:val="Notedebasdepage"/>
        <w:jc w:val="both"/>
      </w:pPr>
      <w:r>
        <w:rPr>
          <w:rStyle w:val="Appelnotedebasdep"/>
        </w:rPr>
        <w:footnoteRef/>
      </w:r>
      <w:r w:rsidR="005C361C">
        <w:t xml:space="preserve">a) Tout en tenant compte, malgré tout, du fait que certaines mangroves accumulent trois fois plus de carbone par hectare qu’une forêt tropicale. Cf. </w:t>
      </w:r>
      <w:r w:rsidR="005C361C" w:rsidRPr="00411177">
        <w:rPr>
          <w:i/>
          <w:iCs/>
        </w:rPr>
        <w:t>Reforestation. La grande désillusion</w:t>
      </w:r>
      <w:r w:rsidR="005C361C">
        <w:t xml:space="preserve">, ibid.  </w:t>
      </w:r>
    </w:p>
    <w:p w14:paraId="440D7834" w14:textId="16FD5832" w:rsidR="00A36351" w:rsidRDefault="005C361C" w:rsidP="004E6569">
      <w:pPr>
        <w:pStyle w:val="Notedebasdepage"/>
        <w:jc w:val="both"/>
      </w:pPr>
      <w:r>
        <w:t>b)</w:t>
      </w:r>
      <w:r w:rsidR="00A36351">
        <w:t xml:space="preserve"> Malheureusement, les mangroves ne protège</w:t>
      </w:r>
      <w:r w:rsidR="00754E6B">
        <w:t>ro</w:t>
      </w:r>
      <w:r w:rsidR="00A36351">
        <w:t xml:space="preserve">nt pas les côtes, face aux </w:t>
      </w:r>
      <w:r w:rsidR="00A36351" w:rsidRPr="00A36351">
        <w:t>tsunami</w:t>
      </w:r>
      <w:r w:rsidR="00A36351">
        <w:t xml:space="preserve">s de </w:t>
      </w:r>
      <w:r w:rsidR="00754E6B">
        <w:t>l’ampleur</w:t>
      </w:r>
      <w:r w:rsidR="00A36351">
        <w:t xml:space="preserve"> de celui</w:t>
      </w:r>
      <w:r w:rsidR="00A36351" w:rsidRPr="00A36351">
        <w:t xml:space="preserve"> du 26 décembre 2004</w:t>
      </w:r>
      <w:r w:rsidR="00A36351">
        <w:t>, dans</w:t>
      </w:r>
      <w:r w:rsidR="00FE7978">
        <w:t xml:space="preserve"> </w:t>
      </w:r>
      <w:r w:rsidR="00787D6A">
        <w:t>l’océan Indien</w:t>
      </w:r>
      <w:r w:rsidR="00A36351">
        <w:t>, chaque palétuvier se transformant en projectile</w:t>
      </w:r>
      <w:r w:rsidR="00754E6B">
        <w:t>s</w:t>
      </w:r>
      <w:r w:rsidR="00A36351">
        <w:t xml:space="preserve"> détruisant les habitations, situées derrière la mangrove.</w:t>
      </w:r>
    </w:p>
  </w:footnote>
  <w:footnote w:id="7">
    <w:p w14:paraId="1208C157" w14:textId="17E2B9BF" w:rsidR="004E6569" w:rsidRDefault="004E6569" w:rsidP="004E6569">
      <w:pPr>
        <w:pStyle w:val="Notedebasdepage"/>
        <w:jc w:val="both"/>
      </w:pPr>
      <w:r>
        <w:rPr>
          <w:rStyle w:val="Appelnotedebasdep"/>
        </w:rPr>
        <w:footnoteRef/>
      </w:r>
      <w:r>
        <w:t xml:space="preserve"> Les volcans ne contribuent qu'à 1% des gaz à effets de serre (GES). L'humanité y contribue 140 fois plus que les volcans. Selon Kevin Hamilton, professeur émérite des sciences de l'atmosphère, ancien directeur du Centre de recherche international du Pacifique (CIPR), </w:t>
      </w:r>
      <w:r w:rsidR="00D13854">
        <w:t>de l‘</w:t>
      </w:r>
      <w:r>
        <w:t>Université d'Hawaï à Manoa, le réchauffement climatique causée par l'humanité est une donnée scientifique incontestable et est mesurée depuis 56 ans.</w:t>
      </w:r>
      <w:r w:rsidR="00D13854">
        <w:t xml:space="preserve"> </w:t>
      </w:r>
      <w:r>
        <w:t xml:space="preserve">Pour la première fois dans l’histoire de la station de mesure bâtie en 1957 sur cette montagne, la concentration de dioxyde de carbone dans l’air qui y est mesurée quotidiennement par l’Observatoire de Mauna Loa (MLO) a dépassé par trois fois les 420 parties par million (ppm), avec notamment un pic à 421,21 ppm le 3 avril 2021. </w:t>
      </w:r>
    </w:p>
    <w:p w14:paraId="5CAB475D" w14:textId="429610A1" w:rsidR="004E6569" w:rsidRDefault="004E6569" w:rsidP="004E6569">
      <w:pPr>
        <w:pStyle w:val="Notedebasdepage"/>
        <w:jc w:val="both"/>
      </w:pPr>
      <w:r>
        <w:t>Sources : a) Episode : Hawaii - L'observatoire du climat. Émission : Entre Terre et Ciel, Réalisateur : Stéphane Corréa, 2014, 26mn.</w:t>
      </w:r>
    </w:p>
    <w:p w14:paraId="33157711" w14:textId="784E6F77" w:rsidR="004E6569" w:rsidRDefault="004E6569" w:rsidP="004E6569">
      <w:pPr>
        <w:pStyle w:val="Notedebasdepage"/>
        <w:jc w:val="both"/>
      </w:pPr>
      <w:r>
        <w:t xml:space="preserve">b) </w:t>
      </w:r>
      <w:r w:rsidRPr="004E6569">
        <w:rPr>
          <w:i/>
          <w:iCs/>
        </w:rPr>
        <w:t>Record de CO2 dans l’air : vers un retour en arrière de 15 millions d’années</w:t>
      </w:r>
      <w:r>
        <w:t xml:space="preserve">, Yves Sciama, 5 mai 2021, </w:t>
      </w:r>
      <w:hyperlink r:id="rId13" w:history="1">
        <w:r w:rsidRPr="009706D0">
          <w:rPr>
            <w:rStyle w:val="Lienhypertexte"/>
          </w:rPr>
          <w:t>https://reporterre.net/Record-de-CO2-dans-l-air-vers-un-retour-en-arriere-de-15-millions-d-annees</w:t>
        </w:r>
      </w:hyperlink>
      <w:r>
        <w:t xml:space="preserve"> </w:t>
      </w:r>
    </w:p>
  </w:footnote>
  <w:footnote w:id="8">
    <w:p w14:paraId="5F915A29" w14:textId="5B59664B" w:rsidR="00DE65C8" w:rsidRDefault="00DE65C8">
      <w:pPr>
        <w:pStyle w:val="Notedebasdepage"/>
      </w:pPr>
      <w:r>
        <w:rPr>
          <w:rStyle w:val="Appelnotedebasdep"/>
        </w:rPr>
        <w:footnoteRef/>
      </w:r>
      <w:r>
        <w:t xml:space="preserve"> </w:t>
      </w:r>
      <w:r w:rsidRPr="00DE65C8">
        <w:t>La plus grande zone humide de la planète, une plaine d'une superficie estimée entre 140 000 km2 et 195 000 km2</w:t>
      </w:r>
      <w:r>
        <w:t>.</w:t>
      </w:r>
    </w:p>
  </w:footnote>
  <w:footnote w:id="9">
    <w:p w14:paraId="5C3043FC" w14:textId="0A31EC19" w:rsidR="00173E95" w:rsidRPr="00173E95" w:rsidRDefault="00173E95">
      <w:pPr>
        <w:pStyle w:val="Notedebasdepage"/>
      </w:pPr>
      <w:r>
        <w:rPr>
          <w:rStyle w:val="Appelnotedebasdep"/>
        </w:rPr>
        <w:footnoteRef/>
      </w:r>
      <w:r w:rsidRPr="00173E95">
        <w:t xml:space="preserve"> Cf. </w:t>
      </w:r>
      <w:r w:rsidRPr="00173E95">
        <w:rPr>
          <w:i/>
          <w:iCs/>
        </w:rPr>
        <w:t>Recul des glaciers depuis 1850</w:t>
      </w:r>
      <w:r w:rsidRPr="00173E95">
        <w:t xml:space="preserve">, </w:t>
      </w:r>
      <w:hyperlink r:id="rId14" w:history="1">
        <w:r w:rsidRPr="009A5570">
          <w:rPr>
            <w:rStyle w:val="Lienhypertexte"/>
          </w:rPr>
          <w:t>https://fr.wikipedia.org/wiki/Recul_des_glaciers_depuis_1850</w:t>
        </w:r>
      </w:hyperlink>
      <w:r>
        <w:t xml:space="preserve"> </w:t>
      </w:r>
    </w:p>
  </w:footnote>
  <w:footnote w:id="10">
    <w:p w14:paraId="6A8D2617" w14:textId="4CECFB26" w:rsidR="00485EE0" w:rsidRPr="00485EE0" w:rsidRDefault="00485EE0">
      <w:pPr>
        <w:pStyle w:val="Notedebasdepage"/>
        <w:rPr>
          <w:lang w:val="en-GB"/>
        </w:rPr>
      </w:pPr>
      <w:r>
        <w:rPr>
          <w:rStyle w:val="Appelnotedebasdep"/>
        </w:rPr>
        <w:footnoteRef/>
      </w:r>
      <w:r w:rsidRPr="00485EE0">
        <w:rPr>
          <w:lang w:val="en-GB"/>
        </w:rPr>
        <w:t xml:space="preserve"> </w:t>
      </w:r>
      <w:r>
        <w:rPr>
          <w:lang w:val="en-GB"/>
        </w:rPr>
        <w:t xml:space="preserve">Cf. </w:t>
      </w:r>
      <w:r w:rsidRPr="00485EE0">
        <w:rPr>
          <w:i/>
          <w:iCs/>
          <w:lang w:val="en-GB"/>
        </w:rPr>
        <w:t>Lac Mono</w:t>
      </w:r>
      <w:r>
        <w:rPr>
          <w:lang w:val="en-GB"/>
        </w:rPr>
        <w:t xml:space="preserve">, </w:t>
      </w:r>
      <w:hyperlink r:id="rId15" w:anchor="Usages_et_devenir" w:history="1">
        <w:r w:rsidRPr="009A5570">
          <w:rPr>
            <w:rStyle w:val="Lienhypertexte"/>
            <w:lang w:val="en-GB"/>
          </w:rPr>
          <w:t>https://fr.wikipedia.org/wiki/Lac_Mono#Usages_et_devenir</w:t>
        </w:r>
      </w:hyperlink>
      <w:r>
        <w:rPr>
          <w:lang w:val="en-GB"/>
        </w:rPr>
        <w:t xml:space="preserve"> </w:t>
      </w:r>
    </w:p>
  </w:footnote>
  <w:footnote w:id="11">
    <w:p w14:paraId="68444641" w14:textId="388E6223" w:rsidR="004C69A7" w:rsidRPr="004C69A7" w:rsidRDefault="004C69A7">
      <w:pPr>
        <w:pStyle w:val="Notedebasdepage"/>
        <w:rPr>
          <w:lang w:val="en-GB"/>
        </w:rPr>
      </w:pPr>
      <w:r>
        <w:rPr>
          <w:rStyle w:val="Appelnotedebasdep"/>
        </w:rPr>
        <w:footnoteRef/>
      </w:r>
      <w:r w:rsidRPr="004C69A7">
        <w:rPr>
          <w:lang w:val="en-GB"/>
        </w:rPr>
        <w:t xml:space="preserve"> Cf.</w:t>
      </w:r>
      <w:r w:rsidR="00485EE0">
        <w:rPr>
          <w:lang w:val="en-GB"/>
        </w:rPr>
        <w:t xml:space="preserve"> </w:t>
      </w:r>
      <w:r w:rsidR="00485EE0" w:rsidRPr="00485EE0">
        <w:rPr>
          <w:i/>
          <w:iCs/>
          <w:lang w:val="en-GB"/>
        </w:rPr>
        <w:t>Lac Mead</w:t>
      </w:r>
      <w:r w:rsidR="00485EE0">
        <w:rPr>
          <w:lang w:val="en-GB"/>
        </w:rPr>
        <w:t>,</w:t>
      </w:r>
      <w:r w:rsidRPr="004C69A7">
        <w:rPr>
          <w:lang w:val="en-GB"/>
        </w:rPr>
        <w:t xml:space="preserve"> </w:t>
      </w:r>
      <w:hyperlink r:id="rId16" w:history="1">
        <w:r w:rsidRPr="009A5570">
          <w:rPr>
            <w:rStyle w:val="Lienhypertexte"/>
            <w:lang w:val="en-GB"/>
          </w:rPr>
          <w:t>https://fr.wikipedia.org/wiki/Lac_Mead</w:t>
        </w:r>
      </w:hyperlink>
      <w:r>
        <w:rPr>
          <w:lang w:val="en-GB"/>
        </w:rPr>
        <w:t xml:space="preserve"> </w:t>
      </w:r>
    </w:p>
  </w:footnote>
  <w:footnote w:id="12">
    <w:p w14:paraId="41CCC7C4" w14:textId="209CC667" w:rsidR="0048456A" w:rsidRPr="00712B10" w:rsidRDefault="0048456A">
      <w:pPr>
        <w:pStyle w:val="Notedebasdepage"/>
        <w:rPr>
          <w:lang w:val="en-GB"/>
        </w:rPr>
      </w:pPr>
      <w:r>
        <w:rPr>
          <w:rStyle w:val="Appelnotedebasdep"/>
        </w:rPr>
        <w:footnoteRef/>
      </w:r>
      <w:r w:rsidRPr="00712B10">
        <w:rPr>
          <w:lang w:val="en-GB"/>
        </w:rPr>
        <w:t xml:space="preserve"> Cf. </w:t>
      </w:r>
      <w:r w:rsidRPr="00712B10">
        <w:rPr>
          <w:i/>
          <w:iCs/>
          <w:lang w:val="en-GB"/>
        </w:rPr>
        <w:t>Lac Poyang</w:t>
      </w:r>
      <w:r w:rsidRPr="00712B10">
        <w:rPr>
          <w:lang w:val="en-GB"/>
        </w:rPr>
        <w:t xml:space="preserve">, </w:t>
      </w:r>
      <w:hyperlink r:id="rId17" w:history="1">
        <w:r w:rsidRPr="00712B10">
          <w:rPr>
            <w:rStyle w:val="Lienhypertexte"/>
            <w:lang w:val="en-GB"/>
          </w:rPr>
          <w:t>https://fr.wikipedia.org/wiki/Lac_Poyang</w:t>
        </w:r>
      </w:hyperlink>
      <w:r w:rsidRPr="00712B10">
        <w:rPr>
          <w:lang w:val="en-GB"/>
        </w:rPr>
        <w:t xml:space="preserve"> </w:t>
      </w:r>
    </w:p>
  </w:footnote>
  <w:footnote w:id="13">
    <w:p w14:paraId="72E59603" w14:textId="6BC11B8E" w:rsidR="007629B0" w:rsidRPr="00712B10" w:rsidRDefault="007629B0">
      <w:pPr>
        <w:pStyle w:val="Notedebasdepage"/>
        <w:rPr>
          <w:lang w:val="en-GB"/>
        </w:rPr>
      </w:pPr>
      <w:r>
        <w:rPr>
          <w:rStyle w:val="Appelnotedebasdep"/>
        </w:rPr>
        <w:footnoteRef/>
      </w:r>
      <w:r w:rsidRPr="00712B10">
        <w:rPr>
          <w:lang w:val="en-GB"/>
        </w:rPr>
        <w:t xml:space="preserve"> Cf. </w:t>
      </w:r>
      <w:r w:rsidRPr="00712B10">
        <w:rPr>
          <w:i/>
          <w:iCs/>
          <w:lang w:val="en-GB"/>
        </w:rPr>
        <w:t>Endoréisme</w:t>
      </w:r>
      <w:r w:rsidRPr="00712B10">
        <w:rPr>
          <w:lang w:val="en-GB"/>
        </w:rPr>
        <w:t xml:space="preserve">, </w:t>
      </w:r>
      <w:hyperlink r:id="rId18" w:history="1">
        <w:r w:rsidRPr="00712B10">
          <w:rPr>
            <w:rStyle w:val="Lienhypertexte"/>
            <w:lang w:val="en-GB"/>
          </w:rPr>
          <w:t>https://fr.wikipedia.org/wiki/Endor%C3%A9isme</w:t>
        </w:r>
      </w:hyperlink>
      <w:r w:rsidRPr="00712B10">
        <w:rPr>
          <w:lang w:val="en-GB"/>
        </w:rPr>
        <w:t xml:space="preserve"> </w:t>
      </w:r>
    </w:p>
  </w:footnote>
  <w:footnote w:id="14">
    <w:p w14:paraId="1FF62036" w14:textId="55B61088" w:rsidR="00A02E44" w:rsidRPr="00A02E44" w:rsidRDefault="00A02E44">
      <w:pPr>
        <w:pStyle w:val="Notedebasdepage"/>
        <w:rPr>
          <w:lang w:val="en-GB"/>
        </w:rPr>
      </w:pPr>
      <w:r>
        <w:rPr>
          <w:rStyle w:val="Appelnotedebasdep"/>
        </w:rPr>
        <w:footnoteRef/>
      </w:r>
      <w:r w:rsidRPr="00A02E44">
        <w:rPr>
          <w:lang w:val="en-GB"/>
        </w:rPr>
        <w:t xml:space="preserve"> Cf.</w:t>
      </w:r>
      <w:r>
        <w:rPr>
          <w:lang w:val="en-GB"/>
        </w:rPr>
        <w:t xml:space="preserve"> </w:t>
      </w:r>
      <w:r w:rsidRPr="00A02E44">
        <w:rPr>
          <w:i/>
          <w:iCs/>
          <w:lang w:val="en-GB"/>
        </w:rPr>
        <w:t>Lac Balkhach</w:t>
      </w:r>
      <w:r>
        <w:rPr>
          <w:lang w:val="en-GB"/>
        </w:rPr>
        <w:t>,</w:t>
      </w:r>
      <w:r w:rsidRPr="00A02E44">
        <w:rPr>
          <w:lang w:val="en-GB"/>
        </w:rPr>
        <w:t xml:space="preserve"> </w:t>
      </w:r>
      <w:hyperlink r:id="rId19" w:history="1">
        <w:r w:rsidRPr="009A5570">
          <w:rPr>
            <w:rStyle w:val="Lienhypertexte"/>
            <w:lang w:val="en-GB"/>
          </w:rPr>
          <w:t>https://fr.wikipedia.org/wiki/Lac_Balkhach</w:t>
        </w:r>
      </w:hyperlink>
      <w:r>
        <w:rPr>
          <w:lang w:val="en-GB"/>
        </w:rPr>
        <w:t xml:space="preserve"> </w:t>
      </w:r>
    </w:p>
  </w:footnote>
  <w:footnote w:id="15">
    <w:p w14:paraId="364BDCF7" w14:textId="0296EBBA" w:rsidR="00027D48" w:rsidRDefault="00027D48">
      <w:pPr>
        <w:pStyle w:val="Notedebasdepage"/>
      </w:pPr>
      <w:r>
        <w:rPr>
          <w:rStyle w:val="Appelnotedebasdep"/>
        </w:rPr>
        <w:footnoteRef/>
      </w:r>
      <w:r>
        <w:t xml:space="preserve"> </w:t>
      </w:r>
      <w:r w:rsidRPr="00027D48">
        <w:rPr>
          <w:i/>
          <w:iCs/>
        </w:rPr>
        <w:t>Environnement : ces rivières s'assèchent dangereusement</w:t>
      </w:r>
      <w:r w:rsidRPr="00027D48">
        <w:t xml:space="preserve">, mars 2019, </w:t>
      </w:r>
      <w:hyperlink r:id="rId20" w:history="1">
        <w:r w:rsidRPr="009A5570">
          <w:rPr>
            <w:rStyle w:val="Lienhypertexte"/>
          </w:rPr>
          <w:t>https://www.nationalgeographic.fr/photography/2019/03/environnement-ces-rivieres-sassechent-dangereusement?image=drawn-river-dry-river-341549-7607930</w:t>
        </w:r>
      </w:hyperlink>
      <w:r>
        <w:t xml:space="preserve"> </w:t>
      </w:r>
    </w:p>
  </w:footnote>
  <w:footnote w:id="16">
    <w:p w14:paraId="37C31D0F" w14:textId="77777777" w:rsidR="00DC41FC" w:rsidRDefault="00DC41FC" w:rsidP="00DC41FC">
      <w:pPr>
        <w:pStyle w:val="Notedebasdepage"/>
      </w:pPr>
      <w:r w:rsidRPr="00343F8F">
        <w:rPr>
          <w:rStyle w:val="Caractresdenotedebasdepage"/>
          <w:vertAlign w:val="superscript"/>
        </w:rPr>
        <w:footnoteRef/>
      </w:r>
      <w:r w:rsidRPr="00343F8F">
        <w:rPr>
          <w:vertAlign w:val="superscript"/>
        </w:rPr>
        <w:t xml:space="preserve"> </w:t>
      </w:r>
      <w:r>
        <w:t xml:space="preserve"> </w:t>
      </w:r>
      <w:r>
        <w:rPr>
          <w:i/>
          <w:iCs/>
        </w:rPr>
        <w:t>Incendies d'Indonésie de 2015</w:t>
      </w:r>
      <w:r>
        <w:t xml:space="preserve">, </w:t>
      </w:r>
      <w:hyperlink r:id="rId21">
        <w:r>
          <w:rPr>
            <w:rStyle w:val="LienInternet"/>
          </w:rPr>
          <w:t>https://fr.wikipedia.org/wiki/Incendies_d%27Indon%C3%A9sie_de_2015</w:t>
        </w:r>
      </w:hyperlink>
    </w:p>
  </w:footnote>
  <w:footnote w:id="17">
    <w:p w14:paraId="533EA1FD" w14:textId="77777777" w:rsidR="00DC41FC" w:rsidRDefault="00DC41FC" w:rsidP="00DC41FC">
      <w:pPr>
        <w:pStyle w:val="Notedebasdepage"/>
      </w:pPr>
      <w:r w:rsidRPr="00343F8F">
        <w:rPr>
          <w:rStyle w:val="Caractresdenotedebasdepage"/>
          <w:vertAlign w:val="superscript"/>
        </w:rPr>
        <w:footnoteRef/>
      </w:r>
      <w:r w:rsidRPr="00343F8F">
        <w:rPr>
          <w:vertAlign w:val="superscript"/>
        </w:rPr>
        <w:t xml:space="preserve"> </w:t>
      </w:r>
      <w:r>
        <w:rPr>
          <w:i/>
          <w:iCs/>
        </w:rPr>
        <w:t>Feux de forêt en Indonésie</w:t>
      </w:r>
      <w:r>
        <w:t xml:space="preserve"> [Sumatra, Bornéo], 18/09/2019, </w:t>
      </w:r>
      <w:hyperlink r:id="rId22">
        <w:r>
          <w:rPr>
            <w:rStyle w:val="LienInternet"/>
          </w:rPr>
          <w:t>https://www.lepoint.fr/video/feux-de-foret-en-indonesie-18-09-2019-2336455_738.php</w:t>
        </w:r>
      </w:hyperlink>
      <w:r>
        <w:t xml:space="preserve"> </w:t>
      </w:r>
    </w:p>
  </w:footnote>
  <w:footnote w:id="18">
    <w:p w14:paraId="4570830C" w14:textId="5DE70831" w:rsidR="006B419A" w:rsidRDefault="006B419A">
      <w:pPr>
        <w:pStyle w:val="Notedebasdepage"/>
      </w:pPr>
      <w:r>
        <w:rPr>
          <w:rStyle w:val="Appelnotedebasdep"/>
        </w:rPr>
        <w:footnoteRef/>
      </w:r>
      <w:r>
        <w:t xml:space="preserve"> </w:t>
      </w:r>
      <w:r w:rsidRPr="006B419A">
        <w:rPr>
          <w:i/>
          <w:iCs/>
        </w:rPr>
        <w:t>Incendie de Fort McMurray</w:t>
      </w:r>
      <w:r w:rsidRPr="006B419A">
        <w:t xml:space="preserve">, </w:t>
      </w:r>
      <w:hyperlink r:id="rId23" w:history="1">
        <w:r w:rsidRPr="007E3FFA">
          <w:rPr>
            <w:rStyle w:val="Lienhypertexte"/>
          </w:rPr>
          <w:t>https://fr.wikipedia.org/wiki/Incendie_de_Fort_McMurray</w:t>
        </w:r>
      </w:hyperlink>
      <w:r>
        <w:t xml:space="preserve"> </w:t>
      </w:r>
    </w:p>
  </w:footnote>
  <w:footnote w:id="19">
    <w:p w14:paraId="30CA66C8" w14:textId="7FF6E9D9" w:rsidR="006B419A" w:rsidRDefault="006B419A">
      <w:pPr>
        <w:pStyle w:val="Notedebasdepage"/>
      </w:pPr>
      <w:r>
        <w:rPr>
          <w:rStyle w:val="Appelnotedebasdep"/>
        </w:rPr>
        <w:footnoteRef/>
      </w:r>
      <w:r>
        <w:t xml:space="preserve"> </w:t>
      </w:r>
      <w:r w:rsidRPr="006B419A">
        <w:rPr>
          <w:i/>
          <w:iCs/>
        </w:rPr>
        <w:t>Feux de brousse de 2019-2020 en Australie</w:t>
      </w:r>
      <w:r w:rsidRPr="006B419A">
        <w:t xml:space="preserve">, </w:t>
      </w:r>
      <w:hyperlink r:id="rId24" w:history="1">
        <w:r w:rsidRPr="007E3FFA">
          <w:rPr>
            <w:rStyle w:val="Lienhypertexte"/>
          </w:rPr>
          <w:t>https://fr.wikipedia.org/wiki/Feux_de_brousse_de_2019-2020_en_Australie</w:t>
        </w:r>
      </w:hyperlink>
      <w:r>
        <w:t xml:space="preserve"> </w:t>
      </w:r>
    </w:p>
  </w:footnote>
  <w:footnote w:id="20">
    <w:p w14:paraId="24D94313" w14:textId="77777777" w:rsidR="00DC41FC" w:rsidRDefault="00DC41FC" w:rsidP="00DC41FC">
      <w:pPr>
        <w:pStyle w:val="Notedebasdepage"/>
      </w:pPr>
      <w:r>
        <w:rPr>
          <w:rStyle w:val="Appelnotedebasdep"/>
        </w:rPr>
        <w:footnoteRef/>
      </w:r>
      <w:r>
        <w:t xml:space="preserve"> </w:t>
      </w:r>
      <w:r w:rsidRPr="007B0697">
        <w:t>La plus grande zone humide de la planète, une plaine d'une superficie estimée entre 140 000 km2 et 195 000 km2</w:t>
      </w:r>
      <w:r>
        <w:t>.</w:t>
      </w:r>
    </w:p>
  </w:footnote>
  <w:footnote w:id="21">
    <w:p w14:paraId="3DEEF36A" w14:textId="77777777" w:rsidR="00DC41FC" w:rsidRDefault="00DC41FC" w:rsidP="00DC41FC">
      <w:pPr>
        <w:pStyle w:val="Notedebasdepage"/>
      </w:pPr>
      <w:r>
        <w:rPr>
          <w:rStyle w:val="Appelnotedebasdep"/>
        </w:rPr>
        <w:footnoteRef/>
      </w:r>
      <w:r>
        <w:t xml:space="preserve"> a) cf. </w:t>
      </w:r>
      <w:hyperlink r:id="rId25" w:anchor="Incendies_de_2020" w:history="1">
        <w:r w:rsidRPr="009A5570">
          <w:rPr>
            <w:rStyle w:val="Lienhypertexte"/>
          </w:rPr>
          <w:t>https://fr.wikipedia.org/wiki/Pantanal#Incendies_de_2020</w:t>
        </w:r>
      </w:hyperlink>
    </w:p>
    <w:p w14:paraId="12FCF63D" w14:textId="77777777" w:rsidR="00DC41FC" w:rsidRDefault="00DC41FC" w:rsidP="00DC41FC">
      <w:pPr>
        <w:pStyle w:val="Notedebasdepage"/>
      </w:pPr>
      <w:r>
        <w:t xml:space="preserve">b) </w:t>
      </w:r>
      <w:r w:rsidRPr="007B0697">
        <w:rPr>
          <w:i/>
          <w:iCs/>
        </w:rPr>
        <w:t>Le Pantanal, au Brésil, paradis de biodiversité ravagé par les flammes</w:t>
      </w:r>
      <w:r w:rsidRPr="007B0697">
        <w:t>, 29</w:t>
      </w:r>
      <w:r>
        <w:t>/09/</w:t>
      </w:r>
      <w:r w:rsidRPr="007B0697">
        <w:t xml:space="preserve">2020, </w:t>
      </w:r>
      <w:hyperlink r:id="rId26" w:history="1">
        <w:r w:rsidRPr="009A5570">
          <w:rPr>
            <w:rStyle w:val="Lienhypertexte"/>
          </w:rPr>
          <w:t>https://www.lemonde.fr/planete/article/2020/09/29/le-pantanal-paradis-de-biodiversite-ravage-par-les-flammes_6054087_3244.html</w:t>
        </w:r>
      </w:hyperlink>
      <w:r>
        <w:t xml:space="preserve"> </w:t>
      </w:r>
    </w:p>
  </w:footnote>
  <w:footnote w:id="22">
    <w:p w14:paraId="56C121DD" w14:textId="03477D5B" w:rsidR="006B419A" w:rsidRPr="006B419A" w:rsidRDefault="006B419A">
      <w:pPr>
        <w:pStyle w:val="Notedebasdepage"/>
        <w:rPr>
          <w:lang w:val="en-GB"/>
        </w:rPr>
      </w:pPr>
      <w:r>
        <w:rPr>
          <w:rStyle w:val="Appelnotedebasdep"/>
        </w:rPr>
        <w:footnoteRef/>
      </w:r>
      <w:r w:rsidRPr="006B419A">
        <w:rPr>
          <w:lang w:val="en-GB"/>
        </w:rPr>
        <w:t xml:space="preserve"> </w:t>
      </w:r>
      <w:r w:rsidRPr="006B419A">
        <w:rPr>
          <w:i/>
          <w:iCs/>
          <w:lang w:val="en-GB"/>
        </w:rPr>
        <w:t>Creek Fire (2020),</w:t>
      </w:r>
      <w:r w:rsidRPr="006B419A">
        <w:rPr>
          <w:lang w:val="en-GB"/>
        </w:rPr>
        <w:t xml:space="preserve"> </w:t>
      </w:r>
      <w:hyperlink r:id="rId27" w:history="1">
        <w:r w:rsidRPr="006B419A">
          <w:rPr>
            <w:rStyle w:val="Lienhypertexte"/>
            <w:lang w:val="en-GB"/>
          </w:rPr>
          <w:t>https://fr.wikipedia.org/wiki/Creek_Fire_(2020)</w:t>
        </w:r>
      </w:hyperlink>
      <w:r w:rsidRPr="006B419A">
        <w:rPr>
          <w:lang w:val="en-GB"/>
        </w:rPr>
        <w:t xml:space="preserve"> </w:t>
      </w:r>
    </w:p>
  </w:footnote>
  <w:footnote w:id="23">
    <w:p w14:paraId="788AABD5" w14:textId="128A76BF" w:rsidR="006B419A" w:rsidRPr="006B419A" w:rsidRDefault="006B419A">
      <w:pPr>
        <w:pStyle w:val="Notedebasdepage"/>
        <w:rPr>
          <w:lang w:val="es-AR"/>
        </w:rPr>
      </w:pPr>
      <w:r>
        <w:rPr>
          <w:rStyle w:val="Appelnotedebasdep"/>
        </w:rPr>
        <w:footnoteRef/>
      </w:r>
      <w:r w:rsidRPr="006B419A">
        <w:rPr>
          <w:lang w:val="es-AR"/>
        </w:rPr>
        <w:t xml:space="preserve"> </w:t>
      </w:r>
      <w:r w:rsidRPr="006B419A">
        <w:rPr>
          <w:i/>
          <w:iCs/>
          <w:lang w:val="es-AR"/>
        </w:rPr>
        <w:t>El Dorado Fire (2020),</w:t>
      </w:r>
      <w:r w:rsidRPr="006B419A">
        <w:rPr>
          <w:lang w:val="es-AR"/>
        </w:rPr>
        <w:t xml:space="preserve"> </w:t>
      </w:r>
      <w:hyperlink r:id="rId28" w:history="1">
        <w:r w:rsidRPr="007E3FFA">
          <w:rPr>
            <w:rStyle w:val="Lienhypertexte"/>
            <w:lang w:val="es-AR"/>
          </w:rPr>
          <w:t>https://fr.wikipedia.org/wiki/El_Dorado_Fire_(2020)</w:t>
        </w:r>
      </w:hyperlink>
      <w:r>
        <w:rPr>
          <w:lang w:val="es-AR"/>
        </w:rPr>
        <w:t xml:space="preserve"> </w:t>
      </w:r>
    </w:p>
  </w:footnote>
  <w:footnote w:id="24">
    <w:p w14:paraId="4A651103" w14:textId="728850C9" w:rsidR="00C2668F" w:rsidRPr="00C2668F" w:rsidRDefault="00C2668F">
      <w:pPr>
        <w:pStyle w:val="Notedebasdepage"/>
      </w:pPr>
      <w:r>
        <w:rPr>
          <w:rStyle w:val="Appelnotedebasdep"/>
        </w:rPr>
        <w:footnoteRef/>
      </w:r>
      <w:r w:rsidRPr="00C2668F">
        <w:t xml:space="preserve">  </w:t>
      </w:r>
      <w:r w:rsidRPr="00C2668F">
        <w:rPr>
          <w:i/>
          <w:iCs/>
        </w:rPr>
        <w:t>Incendies américains de 2020</w:t>
      </w:r>
      <w:r w:rsidRPr="00C2668F">
        <w:t xml:space="preserve">, </w:t>
      </w:r>
      <w:hyperlink r:id="rId29" w:history="1">
        <w:r w:rsidRPr="007E3FFA">
          <w:rPr>
            <w:rStyle w:val="Lienhypertexte"/>
          </w:rPr>
          <w:t>https://fr.wikipedia.org/wiki/Incendies_am%C3%A9ricains_de_2020</w:t>
        </w:r>
      </w:hyperlink>
      <w:r>
        <w:t xml:space="preserve"> </w:t>
      </w:r>
    </w:p>
  </w:footnote>
  <w:footnote w:id="25">
    <w:p w14:paraId="6E67D1FD" w14:textId="4BDE0C87" w:rsidR="006B419A" w:rsidRPr="006B419A" w:rsidRDefault="006B419A">
      <w:pPr>
        <w:pStyle w:val="Notedebasdepage"/>
        <w:rPr>
          <w:lang w:val="en-GB"/>
        </w:rPr>
      </w:pPr>
      <w:r>
        <w:rPr>
          <w:rStyle w:val="Appelnotedebasdep"/>
        </w:rPr>
        <w:footnoteRef/>
      </w:r>
      <w:r w:rsidRPr="006B419A">
        <w:rPr>
          <w:lang w:val="en-GB"/>
        </w:rPr>
        <w:t xml:space="preserve"> </w:t>
      </w:r>
      <w:r w:rsidRPr="006B419A">
        <w:rPr>
          <w:i/>
          <w:iCs/>
          <w:lang w:val="en-GB"/>
        </w:rPr>
        <w:t>Dixie Fire (2021),</w:t>
      </w:r>
      <w:r w:rsidRPr="006B419A">
        <w:rPr>
          <w:lang w:val="en-GB"/>
        </w:rPr>
        <w:t xml:space="preserve"> </w:t>
      </w:r>
      <w:hyperlink r:id="rId30" w:history="1">
        <w:r w:rsidRPr="007E3FFA">
          <w:rPr>
            <w:rStyle w:val="Lienhypertexte"/>
            <w:lang w:val="en-GB"/>
          </w:rPr>
          <w:t>https://en.wikipedia.org/wiki/Dixie_Fire</w:t>
        </w:r>
      </w:hyperlink>
      <w:r>
        <w:rPr>
          <w:lang w:val="en-GB"/>
        </w:rPr>
        <w:t xml:space="preserve"> </w:t>
      </w:r>
    </w:p>
  </w:footnote>
  <w:footnote w:id="26">
    <w:p w14:paraId="4BC5560D" w14:textId="006E615A" w:rsidR="00C2668F" w:rsidRPr="00C2668F" w:rsidRDefault="00C2668F">
      <w:pPr>
        <w:pStyle w:val="Notedebasdepage"/>
        <w:rPr>
          <w:lang w:val="en-GB"/>
        </w:rPr>
      </w:pPr>
      <w:r>
        <w:rPr>
          <w:rStyle w:val="Appelnotedebasdep"/>
        </w:rPr>
        <w:footnoteRef/>
      </w:r>
      <w:r w:rsidRPr="00C2668F">
        <w:rPr>
          <w:lang w:val="en-GB"/>
        </w:rPr>
        <w:t xml:space="preserve"> </w:t>
      </w:r>
      <w:r w:rsidRPr="00C2668F">
        <w:rPr>
          <w:i/>
          <w:iCs/>
          <w:lang w:val="en-GB"/>
        </w:rPr>
        <w:t>2021 California wildfires</w:t>
      </w:r>
      <w:r w:rsidRPr="00C2668F">
        <w:rPr>
          <w:lang w:val="en-GB"/>
        </w:rPr>
        <w:t xml:space="preserve">, </w:t>
      </w:r>
      <w:hyperlink r:id="rId31" w:history="1">
        <w:r w:rsidRPr="00C2668F">
          <w:rPr>
            <w:rStyle w:val="Lienhypertexte"/>
            <w:lang w:val="en-GB"/>
          </w:rPr>
          <w:t>https://en.wikipedia.org/wiki/2021_California_wildfires</w:t>
        </w:r>
      </w:hyperlink>
      <w:r w:rsidRPr="00C2668F">
        <w:rPr>
          <w:lang w:val="en-GB"/>
        </w:rPr>
        <w:t xml:space="preserve"> </w:t>
      </w:r>
    </w:p>
  </w:footnote>
  <w:footnote w:id="27">
    <w:p w14:paraId="423A5071" w14:textId="0FABF373" w:rsidR="003F5F30" w:rsidRPr="003F5F30" w:rsidRDefault="003F5F30">
      <w:pPr>
        <w:pStyle w:val="Notedebasdepage"/>
        <w:rPr>
          <w:rFonts w:ascii="Calibri" w:hAnsi="Calibri" w:cs="Calibri"/>
          <w:lang w:val="en-GB"/>
        </w:rPr>
      </w:pPr>
      <w:r w:rsidRPr="003F5F30">
        <w:rPr>
          <w:rStyle w:val="Appelnotedebasdep"/>
          <w:rFonts w:ascii="Calibri" w:hAnsi="Calibri" w:cs="Calibri"/>
        </w:rPr>
        <w:footnoteRef/>
      </w:r>
      <w:r w:rsidRPr="003F5F30">
        <w:rPr>
          <w:rFonts w:ascii="Calibri" w:hAnsi="Calibri" w:cs="Calibri"/>
          <w:lang w:val="en-GB"/>
        </w:rPr>
        <w:t xml:space="preserve"> a) </w:t>
      </w:r>
      <w:r w:rsidRPr="003F5F30">
        <w:rPr>
          <w:rFonts w:ascii="Calibri" w:hAnsi="Calibri" w:cs="Calibri"/>
          <w:color w:val="202122"/>
          <w:shd w:val="clear" w:color="auto" w:fill="FFFFFF"/>
          <w:lang w:val="en-GB"/>
        </w:rPr>
        <w:t>Thomas Mölg, </w:t>
      </w:r>
      <w:hyperlink r:id="rId32" w:history="1">
        <w:r w:rsidRPr="003F5F30">
          <w:rPr>
            <w:rStyle w:val="Lienhypertexte"/>
            <w:rFonts w:ascii="Calibri" w:hAnsi="Calibri" w:cs="Calibri"/>
            <w:color w:val="3366BB"/>
            <w:shd w:val="clear" w:color="auto" w:fill="FFFFFF"/>
            <w:lang w:val="en"/>
          </w:rPr>
          <w:t>« </w:t>
        </w:r>
        <w:r w:rsidRPr="003F5F30">
          <w:rPr>
            <w:rStyle w:val="CitationHTML"/>
            <w:rFonts w:ascii="Calibri" w:hAnsi="Calibri" w:cs="Calibri"/>
            <w:color w:val="3366BB"/>
            <w:shd w:val="clear" w:color="auto" w:fill="FFFFFF"/>
            <w:lang w:val="en"/>
          </w:rPr>
          <w:t>Worldwide glacier retreat</w:t>
        </w:r>
        <w:r w:rsidRPr="003F5F30">
          <w:rPr>
            <w:rStyle w:val="Lienhypertexte"/>
            <w:rFonts w:ascii="Calibri" w:hAnsi="Calibri" w:cs="Calibri"/>
            <w:color w:val="3366BB"/>
            <w:shd w:val="clear" w:color="auto" w:fill="FFFFFF"/>
            <w:lang w:val="en"/>
          </w:rPr>
          <w:t> »</w:t>
        </w:r>
      </w:hyperlink>
      <w:r w:rsidRPr="003F5F30">
        <w:rPr>
          <w:rFonts w:ascii="Calibri" w:hAnsi="Calibri" w:cs="Calibri"/>
          <w:color w:val="202122"/>
          <w:shd w:val="clear" w:color="auto" w:fill="FFFFFF"/>
          <w:lang w:val="en"/>
        </w:rPr>
        <w:t> [</w:t>
      </w:r>
      <w:hyperlink r:id="rId33" w:tooltip="archive sur Wikiwix" w:history="1">
        <w:r w:rsidRPr="003F5F30">
          <w:rPr>
            <w:rStyle w:val="Lienhypertexte"/>
            <w:rFonts w:ascii="Calibri" w:hAnsi="Calibri" w:cs="Calibri"/>
            <w:color w:val="3366BB"/>
            <w:shd w:val="clear" w:color="auto" w:fill="FFFFFF"/>
            <w:lang w:val="en"/>
          </w:rPr>
          <w:t>archive</w:t>
        </w:r>
      </w:hyperlink>
      <w:r w:rsidRPr="003F5F30">
        <w:rPr>
          <w:rFonts w:ascii="Calibri" w:hAnsi="Calibri" w:cs="Calibri"/>
          <w:color w:val="202122"/>
          <w:shd w:val="clear" w:color="auto" w:fill="FFFFFF"/>
          <w:lang w:val="en"/>
        </w:rPr>
        <w:t>]</w:t>
      </w:r>
      <w:r w:rsidRPr="003F5F30">
        <w:rPr>
          <w:rFonts w:ascii="Calibri" w:hAnsi="Calibri" w:cs="Calibri"/>
          <w:color w:val="202122"/>
          <w:shd w:val="clear" w:color="auto" w:fill="FFFFFF"/>
          <w:lang w:val="en-GB"/>
        </w:rPr>
        <w:t>, </w:t>
      </w:r>
      <w:r w:rsidRPr="003F5F30">
        <w:rPr>
          <w:rStyle w:val="italique"/>
          <w:rFonts w:ascii="Calibri" w:hAnsi="Calibri" w:cs="Calibri"/>
          <w:i/>
          <w:iCs/>
          <w:color w:val="202122"/>
          <w:shd w:val="clear" w:color="auto" w:fill="FFFFFF"/>
          <w:lang w:val="en-GB"/>
        </w:rPr>
        <w:t>RealClimate</w:t>
      </w:r>
      <w:r w:rsidRPr="003F5F30">
        <w:rPr>
          <w:rFonts w:ascii="Calibri" w:hAnsi="Calibri" w:cs="Calibri"/>
          <w:lang w:val="en-GB"/>
        </w:rPr>
        <w:t xml:space="preserve">, </w:t>
      </w:r>
      <w:hyperlink r:id="rId34" w:history="1">
        <w:r w:rsidRPr="003F5F30">
          <w:rPr>
            <w:rStyle w:val="Lienhypertexte"/>
            <w:rFonts w:ascii="Calibri" w:hAnsi="Calibri" w:cs="Calibri"/>
            <w:lang w:val="en-GB"/>
          </w:rPr>
          <w:t>http://www.realclimate.org/index.php?p=129</w:t>
        </w:r>
      </w:hyperlink>
    </w:p>
    <w:p w14:paraId="22612F27" w14:textId="19C77C51" w:rsidR="003F5F30" w:rsidRPr="003F5F30" w:rsidRDefault="003F5F30">
      <w:pPr>
        <w:pStyle w:val="Notedebasdepage"/>
        <w:rPr>
          <w:rFonts w:ascii="Calibri" w:hAnsi="Calibri" w:cs="Calibri"/>
          <w:lang w:val="en-GB"/>
        </w:rPr>
      </w:pPr>
      <w:r w:rsidRPr="003F5F30">
        <w:rPr>
          <w:rFonts w:ascii="Calibri" w:hAnsi="Calibri" w:cs="Calibri"/>
          <w:lang w:val="en-GB"/>
        </w:rPr>
        <w:t xml:space="preserve">b) </w:t>
      </w:r>
      <w:r w:rsidRPr="003F5F30">
        <w:rPr>
          <w:rFonts w:ascii="Calibri" w:hAnsi="Calibri" w:cs="Calibri"/>
          <w:color w:val="202122"/>
          <w:shd w:val="clear" w:color="auto" w:fill="EAF3FF"/>
          <w:lang w:val="en-GB"/>
        </w:rPr>
        <w:t>Intergovernmental panel on climate change, </w:t>
      </w:r>
      <w:hyperlink r:id="rId35" w:history="1">
        <w:r w:rsidRPr="003F5F30">
          <w:rPr>
            <w:rStyle w:val="Lienhypertexte"/>
            <w:rFonts w:ascii="Calibri" w:hAnsi="Calibri" w:cs="Calibri"/>
            <w:color w:val="3366BB"/>
            <w:shd w:val="clear" w:color="auto" w:fill="EAF3FF"/>
            <w:lang w:val="en"/>
          </w:rPr>
          <w:t>« </w:t>
        </w:r>
        <w:r w:rsidRPr="003F5F30">
          <w:rPr>
            <w:rStyle w:val="CitationHTML"/>
            <w:rFonts w:ascii="Calibri" w:hAnsi="Calibri" w:cs="Calibri"/>
            <w:color w:val="3366BB"/>
            <w:shd w:val="clear" w:color="auto" w:fill="EAF3FF"/>
            <w:lang w:val="en"/>
          </w:rPr>
          <w:t>Graph of 20 glaciers in retreat worldwide</w:t>
        </w:r>
        <w:r w:rsidRPr="003F5F30">
          <w:rPr>
            <w:rStyle w:val="Lienhypertexte"/>
            <w:rFonts w:ascii="Calibri" w:hAnsi="Calibri" w:cs="Calibri"/>
            <w:color w:val="3366BB"/>
            <w:shd w:val="clear" w:color="auto" w:fill="EAF3FF"/>
            <w:lang w:val="en"/>
          </w:rPr>
          <w:t> »</w:t>
        </w:r>
      </w:hyperlink>
      <w:r w:rsidRPr="003F5F30">
        <w:rPr>
          <w:rFonts w:ascii="Calibri" w:hAnsi="Calibri" w:cs="Calibri"/>
          <w:color w:val="202122"/>
          <w:shd w:val="clear" w:color="auto" w:fill="EAF3FF"/>
          <w:lang w:val="en"/>
        </w:rPr>
        <w:t> [</w:t>
      </w:r>
      <w:hyperlink r:id="rId36" w:tooltip="archive sur Wikiwix" w:history="1">
        <w:r w:rsidRPr="003F5F30">
          <w:rPr>
            <w:rStyle w:val="Lienhypertexte"/>
            <w:rFonts w:ascii="Calibri" w:hAnsi="Calibri" w:cs="Calibri"/>
            <w:color w:val="3366BB"/>
            <w:shd w:val="clear" w:color="auto" w:fill="EAF3FF"/>
            <w:lang w:val="en"/>
          </w:rPr>
          <w:t>archive</w:t>
        </w:r>
      </w:hyperlink>
      <w:r w:rsidRPr="003F5F30">
        <w:rPr>
          <w:rFonts w:ascii="Calibri" w:hAnsi="Calibri" w:cs="Calibri"/>
          <w:color w:val="202122"/>
          <w:shd w:val="clear" w:color="auto" w:fill="EAF3FF"/>
          <w:lang w:val="en"/>
        </w:rPr>
        <w:t>]</w:t>
      </w:r>
      <w:r w:rsidRPr="003F5F30">
        <w:rPr>
          <w:rFonts w:ascii="Calibri" w:hAnsi="Calibri" w:cs="Calibri"/>
          <w:color w:val="202122"/>
          <w:shd w:val="clear" w:color="auto" w:fill="EAF3FF"/>
          <w:lang w:val="en-GB"/>
        </w:rPr>
        <w:t>, </w:t>
      </w:r>
      <w:r w:rsidRPr="003F5F30">
        <w:rPr>
          <w:rStyle w:val="italique"/>
          <w:rFonts w:ascii="Calibri" w:hAnsi="Calibri" w:cs="Calibri"/>
          <w:i/>
          <w:iCs/>
          <w:color w:val="202122"/>
          <w:shd w:val="clear" w:color="auto" w:fill="EAF3FF"/>
          <w:lang w:val="en-GB"/>
        </w:rPr>
        <w:t xml:space="preserve">Climate Change 2001 (Working Group I: The Scientific Basis), </w:t>
      </w:r>
      <w:hyperlink r:id="rId37" w:history="1">
        <w:r w:rsidRPr="003F5F30">
          <w:rPr>
            <w:rStyle w:val="Lienhypertexte"/>
            <w:rFonts w:ascii="Calibri" w:hAnsi="Calibri" w:cs="Calibri"/>
            <w:shd w:val="clear" w:color="auto" w:fill="EAF3FF"/>
            <w:lang w:val="en-GB"/>
          </w:rPr>
          <w:t>http://www.grida.no/climate/ipcc_tar/wg1/fig2-18.htm</w:t>
        </w:r>
      </w:hyperlink>
      <w:r w:rsidRPr="003F5F30">
        <w:rPr>
          <w:rStyle w:val="italique"/>
          <w:rFonts w:ascii="Calibri" w:hAnsi="Calibri" w:cs="Calibri"/>
          <w:color w:val="202122"/>
          <w:shd w:val="clear" w:color="auto" w:fill="EAF3FF"/>
          <w:lang w:val="en-GB"/>
        </w:rPr>
        <w:t xml:space="preserve"> </w:t>
      </w:r>
    </w:p>
  </w:footnote>
  <w:footnote w:id="28">
    <w:p w14:paraId="631634B9" w14:textId="1113107F" w:rsidR="00981E76" w:rsidRDefault="00B21513" w:rsidP="00B21513">
      <w:pPr>
        <w:pStyle w:val="Notedebasdepage"/>
        <w:jc w:val="both"/>
      </w:pPr>
      <w:r>
        <w:rPr>
          <w:rStyle w:val="Appelnotedebasdep"/>
        </w:rPr>
        <w:footnoteRef/>
      </w:r>
      <w:r>
        <w:t xml:space="preserve"> </w:t>
      </w:r>
      <w:r w:rsidR="00981E76">
        <w:t xml:space="preserve">a) </w:t>
      </w:r>
      <w:r w:rsidRPr="00B21513">
        <w:t xml:space="preserve">Un lac proglaciaire est une étendue d'eau résultant de la fonte d'un glacier. Cf. </w:t>
      </w:r>
      <w:hyperlink r:id="rId38" w:history="1">
        <w:r w:rsidRPr="005A014B">
          <w:rPr>
            <w:rStyle w:val="Lienhypertexte"/>
          </w:rPr>
          <w:t>https://fr.wikipedia.org/wiki/Lac_proglaciaire</w:t>
        </w:r>
      </w:hyperlink>
      <w:r w:rsidR="00981E76">
        <w:t xml:space="preserve"> (à ne pas confondre avec un l</w:t>
      </w:r>
      <w:r w:rsidR="00981E76" w:rsidRPr="00981E76">
        <w:t>ac intraglaciaire</w:t>
      </w:r>
      <w:r w:rsidR="00981E76">
        <w:t xml:space="preserve">). b) </w:t>
      </w:r>
      <w:r w:rsidR="00981E76" w:rsidRPr="00981E76">
        <w:t xml:space="preserve">Lac intraglaciaire aussi appelé poche d'eau glaciaire : type de lac se formant au sein d'un glacier. À la différence du lac subglaciaire, le lac intraglaciaire n'est pas en contact avec le substratum rocheux mais est totalement isolé dans la glace. Ce type de lac constitue un risque d'inondation brutale si la glace le contenant venait à se rompre. Cf. </w:t>
      </w:r>
      <w:hyperlink r:id="rId39" w:history="1">
        <w:r w:rsidR="00981E76" w:rsidRPr="005A014B">
          <w:rPr>
            <w:rStyle w:val="Lienhypertexte"/>
          </w:rPr>
          <w:t>https://fr.wikipedia.org/wiki/Lac_intraglaciaire</w:t>
        </w:r>
      </w:hyperlink>
      <w:r w:rsidR="00981E76">
        <w:t xml:space="preserve"> </w:t>
      </w:r>
    </w:p>
  </w:footnote>
  <w:footnote w:id="29">
    <w:p w14:paraId="0F182194" w14:textId="77777777" w:rsidR="00C67B7A" w:rsidRDefault="00C67B7A" w:rsidP="00C67B7A">
      <w:pPr>
        <w:pStyle w:val="Notedebasdepage"/>
        <w:jc w:val="both"/>
      </w:pPr>
      <w:r>
        <w:rPr>
          <w:rStyle w:val="Appelnotedebasdep"/>
        </w:rPr>
        <w:footnoteRef/>
      </w:r>
      <w:r>
        <w:t xml:space="preserve"> </w:t>
      </w:r>
      <w:r w:rsidRPr="00166B7F">
        <w:t xml:space="preserve">Cf. </w:t>
      </w:r>
      <w:r w:rsidRPr="00166B7F">
        <w:rPr>
          <w:i/>
          <w:iCs/>
        </w:rPr>
        <w:t>Comme au Groenland, les glaciers des Pyrénées fondent irrémédiablement sous nos yeux</w:t>
      </w:r>
      <w:r w:rsidRPr="00166B7F">
        <w:t>, David Saint-Sernin, 18 Août 20</w:t>
      </w:r>
      <w:r>
        <w:t xml:space="preserve">20, </w:t>
      </w:r>
      <w:hyperlink r:id="rId40" w:history="1">
        <w:r w:rsidRPr="009A5570">
          <w:rPr>
            <w:rStyle w:val="Lienhypertexte"/>
          </w:rPr>
          <w:t>https://actu.fr/occitanie/toulouse_31555/en-images-comme-au-groenland-les-glaciers-des-pyrenees-fondent-irremediablement-sous-nos-yeux_35568700.html</w:t>
        </w:r>
      </w:hyperlink>
      <w:r>
        <w:t xml:space="preserve">  </w:t>
      </w:r>
    </w:p>
  </w:footnote>
  <w:footnote w:id="30">
    <w:p w14:paraId="66BE4DBD" w14:textId="7CFE180A" w:rsidR="00EC168E" w:rsidRPr="00EC168E" w:rsidRDefault="00EC168E">
      <w:pPr>
        <w:pStyle w:val="Notedebasdepage"/>
        <w:rPr>
          <w:lang w:val="en-GB"/>
        </w:rPr>
      </w:pPr>
      <w:r>
        <w:rPr>
          <w:rStyle w:val="Appelnotedebasdep"/>
        </w:rPr>
        <w:footnoteRef/>
      </w:r>
      <w:r w:rsidRPr="00EC168E">
        <w:rPr>
          <w:lang w:val="en-GB"/>
        </w:rPr>
        <w:t xml:space="preserve"> </w:t>
      </w:r>
      <w:r w:rsidRPr="00EC168E">
        <w:rPr>
          <w:i/>
          <w:iCs/>
          <w:lang w:val="en-GB"/>
        </w:rPr>
        <w:t>Seen from Space 2011. Iceland: Volcanoes under Glaciers</w:t>
      </w:r>
      <w:r w:rsidRPr="00EC168E">
        <w:rPr>
          <w:lang w:val="en-GB"/>
        </w:rPr>
        <w:t xml:space="preserve">, </w:t>
      </w:r>
      <w:hyperlink r:id="rId41" w:history="1">
        <w:r w:rsidRPr="00EC168E">
          <w:rPr>
            <w:rStyle w:val="Lienhypertexte"/>
            <w:lang w:val="en-GB"/>
          </w:rPr>
          <w:t>https://www.eorc.jaxa.jp/en/earthview/2011/tp110112.html</w:t>
        </w:r>
      </w:hyperlink>
      <w:r w:rsidRPr="00EC168E">
        <w:rPr>
          <w:lang w:val="en-GB"/>
        </w:rPr>
        <w:t xml:space="preserve"> </w:t>
      </w:r>
    </w:p>
  </w:footnote>
  <w:footnote w:id="31">
    <w:p w14:paraId="5143B92D" w14:textId="46EFF89A" w:rsidR="00EC168E" w:rsidRPr="00EC168E" w:rsidRDefault="00EC168E">
      <w:pPr>
        <w:pStyle w:val="Notedebasdepage"/>
        <w:rPr>
          <w:lang w:val="en-GB"/>
        </w:rPr>
      </w:pPr>
      <w:r>
        <w:rPr>
          <w:rStyle w:val="Appelnotedebasdep"/>
        </w:rPr>
        <w:footnoteRef/>
      </w:r>
      <w:r w:rsidRPr="00EC168E">
        <w:rPr>
          <w:lang w:val="en-GB"/>
        </w:rPr>
        <w:t xml:space="preserve"> </w:t>
      </w:r>
      <w:r w:rsidRPr="00EC168E">
        <w:rPr>
          <w:i/>
          <w:iCs/>
          <w:lang w:val="en-GB"/>
        </w:rPr>
        <w:t>Seen from Space 2011. Iceland: Volcanoes under Glaciers</w:t>
      </w:r>
      <w:r w:rsidRPr="00EC168E">
        <w:rPr>
          <w:lang w:val="en-GB"/>
        </w:rPr>
        <w:t xml:space="preserve">, </w:t>
      </w:r>
      <w:hyperlink r:id="rId42" w:history="1">
        <w:r w:rsidRPr="00EC168E">
          <w:rPr>
            <w:rStyle w:val="Lienhypertexte"/>
            <w:lang w:val="en-GB"/>
          </w:rPr>
          <w:t>https://www.eorc.jaxa.jp/en/earthview/2011/tp110112.html</w:t>
        </w:r>
      </w:hyperlink>
      <w:r w:rsidRPr="00EC168E">
        <w:rPr>
          <w:lang w:val="en-GB"/>
        </w:rPr>
        <w:t xml:space="preserve"> </w:t>
      </w:r>
    </w:p>
  </w:footnote>
  <w:footnote w:id="32">
    <w:p w14:paraId="131C9B96" w14:textId="77777777" w:rsidR="001F4252" w:rsidRDefault="001F4252" w:rsidP="001F4252">
      <w:pPr>
        <w:pStyle w:val="Notedebasdepage"/>
      </w:pPr>
      <w:r>
        <w:rPr>
          <w:rStyle w:val="Appelnotedebasdep"/>
        </w:rPr>
        <w:footnoteRef/>
      </w:r>
      <w:r>
        <w:t xml:space="preserve"> </w:t>
      </w:r>
      <w:r w:rsidRPr="00A179A9">
        <w:rPr>
          <w:i/>
          <w:iCs/>
        </w:rPr>
        <w:t>Climat : pour la première fois, il a plu au sommet du Groenland</w:t>
      </w:r>
      <w:r w:rsidRPr="00A179A9">
        <w:t xml:space="preserve">, Léo Lefrançois, 24 août 2021, </w:t>
      </w:r>
      <w:hyperlink r:id="rId43" w:history="1">
        <w:r w:rsidRPr="006437AE">
          <w:rPr>
            <w:rStyle w:val="Lienhypertexte"/>
          </w:rPr>
          <w:t>https://www.franceinter.fr/environnement/climat-pour-la-premiere-fois-il-a-plu-au-sommet-du-groenland</w:t>
        </w:r>
      </w:hyperlink>
      <w:r>
        <w:t xml:space="preserve"> </w:t>
      </w:r>
    </w:p>
  </w:footnote>
  <w:footnote w:id="33">
    <w:p w14:paraId="752CA050" w14:textId="3A7FF8F6" w:rsidR="00BC79C9" w:rsidRDefault="00BC79C9" w:rsidP="00BC79C9">
      <w:pPr>
        <w:pStyle w:val="Notedebasdepage"/>
        <w:jc w:val="both"/>
      </w:pPr>
      <w:r>
        <w:rPr>
          <w:rStyle w:val="Appelnotedebasdep"/>
        </w:rPr>
        <w:footnoteRef/>
      </w:r>
      <w:r>
        <w:t xml:space="preserve"> La Californie est à sec, Jean-François Bélanger, 24/06/2021, </w:t>
      </w:r>
      <w:hyperlink r:id="rId44" w:history="1">
        <w:r w:rsidRPr="00BA2F8C">
          <w:rPr>
            <w:rStyle w:val="Lienhypertexte"/>
          </w:rPr>
          <w:t>https://ici.radio-canada.ca/recit-numerique/2624/californie-secheresse-amande-culture</w:t>
        </w:r>
      </w:hyperlink>
      <w:r>
        <w:t xml:space="preserve"> </w:t>
      </w:r>
    </w:p>
    <w:p w14:paraId="03C2952B" w14:textId="4C0F0AAF" w:rsidR="00BC79C9" w:rsidRDefault="00BC79C9" w:rsidP="00BC79C9">
      <w:pPr>
        <w:pStyle w:val="Notedebasdepage"/>
        <w:jc w:val="both"/>
      </w:pPr>
      <w:r>
        <w:t>Le sud-ouest des États-Unis traverse actuellement une sécheresse et une vague de chaleur sans précédent. La situation en Californie est si préoccupante qu’elle a poussé le gouverneur à déclarer l’état d’urgence dans 41 des 58 comtés où vivent 37 millions de Californiens. Ailleurs dans le monde, des événements semblables se multiplient. Et selon un projet de rapport des experts climat de l'ONU, les impacts dévastateurs du réchauffement climatique sur la nature et l'humanité qui en dépend vont s'accélérer.</w:t>
      </w:r>
    </w:p>
  </w:footnote>
  <w:footnote w:id="34">
    <w:p w14:paraId="0365CA3A" w14:textId="7A11E8A7" w:rsidR="00F50790" w:rsidRDefault="00F50790" w:rsidP="00F50790">
      <w:pPr>
        <w:pStyle w:val="Notedebasdepage"/>
      </w:pPr>
      <w:r>
        <w:rPr>
          <w:rStyle w:val="Appelnotedebasdep"/>
        </w:rPr>
        <w:footnoteRef/>
      </w:r>
      <w:r>
        <w:t xml:space="preserve"> a) </w:t>
      </w:r>
      <w:r w:rsidRPr="00F50790">
        <w:rPr>
          <w:i/>
          <w:iCs/>
        </w:rPr>
        <w:t>« On va avoir un paysage lunaire ! » L’Espagne affronte la désertification</w:t>
      </w:r>
      <w:r>
        <w:t xml:space="preserve">, Rémy Bourdillon, 08/02/2020, </w:t>
      </w:r>
      <w:hyperlink r:id="rId45" w:history="1">
        <w:r w:rsidRPr="009706D0">
          <w:rPr>
            <w:rStyle w:val="Lienhypertexte"/>
          </w:rPr>
          <w:t>https://reporterre.net/On-va-avoir-un-paysage-lunaire-L-Espagne-affronte-la-desertification</w:t>
        </w:r>
      </w:hyperlink>
      <w:r>
        <w:t xml:space="preserve"> </w:t>
      </w:r>
    </w:p>
    <w:p w14:paraId="56AD5A47" w14:textId="2F06968E" w:rsidR="00F50790" w:rsidRDefault="00F50790" w:rsidP="00F50790">
      <w:pPr>
        <w:pStyle w:val="Notedebasdepage"/>
      </w:pPr>
      <w:r>
        <w:t xml:space="preserve">b) </w:t>
      </w:r>
      <w:r w:rsidRPr="00F50790">
        <w:rPr>
          <w:i/>
          <w:iCs/>
        </w:rPr>
        <w:t>La désertification du sud de l'Espagne est comparable à celle de l'Ethiopie</w:t>
      </w:r>
      <w:r>
        <w:t xml:space="preserve"> [article réservé aux abonnés], DPA, 31/12/1988, </w:t>
      </w:r>
      <w:hyperlink r:id="rId46" w:history="1">
        <w:r w:rsidRPr="009706D0">
          <w:rPr>
            <w:rStyle w:val="Lienhypertexte"/>
          </w:rPr>
          <w:t>https://plus.lesoir.be//art/la-desertification-du-sud-de-l-espagne_t-19881231-Z0182G.html</w:t>
        </w:r>
      </w:hyperlink>
      <w:r>
        <w:t xml:space="preserve"> </w:t>
      </w:r>
    </w:p>
  </w:footnote>
  <w:footnote w:id="35">
    <w:p w14:paraId="30B6B2E7" w14:textId="5B62E03A" w:rsidR="00EA698A" w:rsidRPr="00EA698A" w:rsidRDefault="00EA698A" w:rsidP="00EA698A">
      <w:pPr>
        <w:pStyle w:val="Notedebasdepage"/>
        <w:jc w:val="both"/>
        <w:rPr>
          <w:rFonts w:ascii="Calibri" w:hAnsi="Calibri" w:cs="Calibri"/>
          <w:color w:val="000000" w:themeColor="text1"/>
        </w:rPr>
      </w:pPr>
      <w:r w:rsidRPr="00EA698A">
        <w:rPr>
          <w:rStyle w:val="Appelnotedebasdep"/>
          <w:rFonts w:ascii="Calibri" w:hAnsi="Calibri" w:cs="Calibri"/>
        </w:rPr>
        <w:footnoteRef/>
      </w:r>
      <w:r w:rsidRPr="00EA698A">
        <w:rPr>
          <w:rFonts w:ascii="Calibri" w:hAnsi="Calibri" w:cs="Calibri"/>
        </w:rPr>
        <w:t xml:space="preserve"> </w:t>
      </w:r>
      <w:r w:rsidRPr="00EA698A">
        <w:rPr>
          <w:rFonts w:ascii="Calibri" w:hAnsi="Calibri" w:cs="Calibri"/>
          <w:color w:val="000000" w:themeColor="text1"/>
          <w:spacing w:val="5"/>
          <w:shd w:val="clear" w:color="auto" w:fill="FFFFFF"/>
        </w:rPr>
        <w:t>Une étude parue dans la </w:t>
      </w:r>
      <w:hyperlink r:id="rId47" w:tgtFrame="_blank" w:history="1">
        <w:r w:rsidRPr="00EA698A">
          <w:rPr>
            <w:rStyle w:val="Lienhypertexte"/>
            <w:rFonts w:ascii="Calibri" w:hAnsi="Calibri" w:cs="Calibri"/>
            <w:color w:val="2F5496" w:themeColor="accent1" w:themeShade="BF"/>
            <w:spacing w:val="5"/>
            <w:bdr w:val="none" w:sz="0" w:space="0" w:color="auto" w:frame="1"/>
            <w:shd w:val="clear" w:color="auto" w:fill="FFFFFF"/>
          </w:rPr>
          <w:t>revue </w:t>
        </w:r>
        <w:r w:rsidRPr="00EA698A">
          <w:rPr>
            <w:rStyle w:val="Accentuation"/>
            <w:rFonts w:ascii="Calibri" w:hAnsi="Calibri" w:cs="Calibri"/>
            <w:color w:val="2F5496" w:themeColor="accent1" w:themeShade="BF"/>
            <w:spacing w:val="5"/>
            <w:u w:val="single"/>
            <w:bdr w:val="none" w:sz="0" w:space="0" w:color="auto" w:frame="1"/>
            <w:shd w:val="clear" w:color="auto" w:fill="FFFFFF"/>
          </w:rPr>
          <w:t>Science</w:t>
        </w:r>
      </w:hyperlink>
      <w:r w:rsidRPr="00EA698A">
        <w:rPr>
          <w:rFonts w:ascii="Calibri" w:hAnsi="Calibri" w:cs="Calibri"/>
          <w:color w:val="0E233B"/>
          <w:spacing w:val="5"/>
          <w:shd w:val="clear" w:color="auto" w:fill="FFFFFF"/>
        </w:rPr>
        <w:t> </w:t>
      </w:r>
      <w:r w:rsidRPr="00EA698A">
        <w:rPr>
          <w:rFonts w:ascii="Calibri" w:hAnsi="Calibri" w:cs="Calibri"/>
          <w:color w:val="000000" w:themeColor="text1"/>
          <w:spacing w:val="5"/>
          <w:shd w:val="clear" w:color="auto" w:fill="FFFFFF"/>
        </w:rPr>
        <w:t>mi-février a ainsi révélé que son débit s’est réduit de 20% en un siècle, en raison du réchauffement climatique et des périodes de sécheresse plus nombreuses pour une grande partie</w:t>
      </w:r>
      <w:r>
        <w:rPr>
          <w:rFonts w:ascii="Calibri" w:hAnsi="Calibri" w:cs="Calibri"/>
          <w:color w:val="000000" w:themeColor="text1"/>
          <w:spacing w:val="5"/>
          <w:shd w:val="clear" w:color="auto" w:fill="FFFFFF"/>
        </w:rPr>
        <w:t xml:space="preserve"> [36]</w:t>
      </w:r>
      <w:r w:rsidRPr="00EA698A">
        <w:rPr>
          <w:rFonts w:ascii="Calibri" w:hAnsi="Calibri" w:cs="Calibri"/>
          <w:color w:val="000000" w:themeColor="text1"/>
          <w:spacing w:val="5"/>
          <w:shd w:val="clear" w:color="auto" w:fill="FFFFFF"/>
        </w:rPr>
        <w:t>.</w:t>
      </w:r>
    </w:p>
  </w:footnote>
  <w:footnote w:id="36">
    <w:p w14:paraId="7FC4B7AC" w14:textId="749C860D" w:rsidR="00976F4B" w:rsidRPr="00976F4B" w:rsidRDefault="00976F4B">
      <w:pPr>
        <w:pStyle w:val="Notedebasdepage"/>
        <w:rPr>
          <w:lang w:val="en-GB"/>
        </w:rPr>
      </w:pPr>
      <w:r>
        <w:rPr>
          <w:rStyle w:val="Appelnotedebasdep"/>
        </w:rPr>
        <w:footnoteRef/>
      </w:r>
      <w:r w:rsidRPr="00976F4B">
        <w:rPr>
          <w:lang w:val="en-GB"/>
        </w:rPr>
        <w:t xml:space="preserve"> Cf. </w:t>
      </w:r>
      <w:hyperlink r:id="rId48" w:history="1">
        <w:r w:rsidRPr="009706D0">
          <w:rPr>
            <w:rStyle w:val="Lienhypertexte"/>
            <w:lang w:val="en-GB"/>
          </w:rPr>
          <w:t>https://fr.wikipedia.org/wiki/Haboob</w:t>
        </w:r>
      </w:hyperlink>
      <w:r>
        <w:rPr>
          <w:lang w:val="en-GB"/>
        </w:rPr>
        <w:t xml:space="preserve"> </w:t>
      </w:r>
    </w:p>
  </w:footnote>
  <w:footnote w:id="37">
    <w:p w14:paraId="245F3AD8" w14:textId="131A0E8C" w:rsidR="007259FA" w:rsidRPr="007259FA" w:rsidRDefault="007259FA">
      <w:pPr>
        <w:pStyle w:val="Notedebasdepage"/>
        <w:rPr>
          <w:lang w:val="en-GB"/>
        </w:rPr>
      </w:pPr>
      <w:r>
        <w:rPr>
          <w:rStyle w:val="Appelnotedebasdep"/>
        </w:rPr>
        <w:footnoteRef/>
      </w:r>
      <w:r w:rsidRPr="007259FA">
        <w:rPr>
          <w:lang w:val="en-GB"/>
        </w:rPr>
        <w:t xml:space="preserve"> Cf</w:t>
      </w:r>
      <w:r>
        <w:rPr>
          <w:lang w:val="en-GB"/>
        </w:rPr>
        <w:t xml:space="preserve">. </w:t>
      </w:r>
      <w:hyperlink r:id="rId49" w:history="1">
        <w:r w:rsidRPr="009706D0">
          <w:rPr>
            <w:rStyle w:val="Lienhypertexte"/>
            <w:lang w:val="en-GB"/>
          </w:rPr>
          <w:t>https://fr.wikipedia.org/wiki/Dust_Bowl</w:t>
        </w:r>
      </w:hyperlink>
      <w:r>
        <w:rPr>
          <w:lang w:val="en-GB"/>
        </w:rPr>
        <w:t xml:space="preserve"> </w:t>
      </w:r>
    </w:p>
  </w:footnote>
  <w:footnote w:id="38">
    <w:p w14:paraId="141D6A16" w14:textId="77777777" w:rsidR="00EF7CEF" w:rsidRPr="0016131C" w:rsidRDefault="00EF7CEF" w:rsidP="00EF7CEF">
      <w:pPr>
        <w:pStyle w:val="Notedebasdepage"/>
        <w:rPr>
          <w:lang w:val="en-GB"/>
        </w:rPr>
      </w:pPr>
      <w:r>
        <w:rPr>
          <w:rStyle w:val="Appelnotedebasdep"/>
        </w:rPr>
        <w:footnoteRef/>
      </w:r>
      <w:r w:rsidRPr="0016131C">
        <w:rPr>
          <w:lang w:val="en-GB"/>
        </w:rPr>
        <w:t xml:space="preserve"> Cf. </w:t>
      </w:r>
      <w:hyperlink r:id="rId50" w:history="1">
        <w:r w:rsidRPr="00EE130C">
          <w:rPr>
            <w:rStyle w:val="Lienhypertexte"/>
            <w:lang w:val="en-GB"/>
          </w:rPr>
          <w:t>https://www.unicef.org/madagascar/media/2721/file/La%20valorisation%20du%20cactus%20pour%20le%20d%C3%A9veloppement.pdf</w:t>
        </w:r>
      </w:hyperlink>
      <w:r>
        <w:rPr>
          <w:lang w:val="en-GB"/>
        </w:rPr>
        <w:t xml:space="preserve"> </w:t>
      </w:r>
    </w:p>
  </w:footnote>
  <w:footnote w:id="39">
    <w:p w14:paraId="477B7DCC" w14:textId="77777777" w:rsidR="00EF7CEF" w:rsidRDefault="00EF7CEF" w:rsidP="00EF7CEF">
      <w:pPr>
        <w:pStyle w:val="Notedebasdepage"/>
        <w:jc w:val="both"/>
      </w:pPr>
      <w:r>
        <w:rPr>
          <w:rStyle w:val="Appelnotedebasdep"/>
        </w:rPr>
        <w:footnoteRef/>
      </w:r>
      <w:r>
        <w:t xml:space="preserve"> </w:t>
      </w:r>
      <w:r w:rsidRPr="002917F9">
        <w:rPr>
          <w:i/>
          <w:iCs/>
        </w:rPr>
        <w:t>Peuplement, urbanisation et développement rural en Afrique sub-saharienne : un cadre d'analyse démo-économique et spatial</w:t>
      </w:r>
      <w:r w:rsidRPr="002917F9">
        <w:t xml:space="preserve">, Jean-Marie Cour, in Afrique contemporaine 2007/3-4 (n° 223-224), pages 363 à 401, </w:t>
      </w:r>
      <w:hyperlink r:id="rId51" w:history="1">
        <w:r w:rsidRPr="00E2485C">
          <w:rPr>
            <w:rStyle w:val="Lienhypertexte"/>
          </w:rPr>
          <w:t>https://www.cairn.info/revue-afrique-contemporaine-2007-3-page-363.htm</w:t>
        </w:r>
      </w:hyperlink>
      <w:r>
        <w:t xml:space="preserve"> </w:t>
      </w:r>
    </w:p>
  </w:footnote>
  <w:footnote w:id="40">
    <w:p w14:paraId="35349CD7" w14:textId="2A001955" w:rsidR="00BB2D09" w:rsidRDefault="00BB2D09" w:rsidP="00BB2D09">
      <w:pPr>
        <w:pStyle w:val="Notedebasdepage"/>
        <w:jc w:val="both"/>
      </w:pPr>
      <w:r>
        <w:rPr>
          <w:rStyle w:val="Appelnotedebasdep"/>
        </w:rPr>
        <w:footnoteRef/>
      </w:r>
      <w:r>
        <w:t xml:space="preserve"> </w:t>
      </w:r>
      <w:r w:rsidRPr="00BB2D09">
        <w:rPr>
          <w:i/>
          <w:iCs/>
        </w:rPr>
        <w:t>Le Sahel pourrait être le lieu le plus résilient au réchauffement climatique</w:t>
      </w:r>
      <w:r w:rsidRPr="00BB2D09">
        <w:t xml:space="preserve">, 12/05/2021, </w:t>
      </w:r>
      <w:hyperlink r:id="rId52" w:history="1">
        <w:r w:rsidRPr="009706D0">
          <w:rPr>
            <w:rStyle w:val="Lienhypertexte"/>
          </w:rPr>
          <w:t>https://www.ird.fr/le-sahel-pourrait-etre-le-lieu-le-plus-resilient-au-rechauffement-climatique</w:t>
        </w:r>
      </w:hyperlink>
      <w:r>
        <w:t xml:space="preserve"> </w:t>
      </w:r>
    </w:p>
  </w:footnote>
  <w:footnote w:id="41">
    <w:p w14:paraId="6795D09A" w14:textId="77777777" w:rsidR="00EF7CEF" w:rsidRDefault="00EF7CEF" w:rsidP="00EF7CEF">
      <w:pPr>
        <w:pStyle w:val="Notedebasdepage"/>
      </w:pPr>
      <w:r>
        <w:rPr>
          <w:rStyle w:val="Appelnotedebasdep"/>
        </w:rPr>
        <w:footnoteRef/>
      </w:r>
      <w:r>
        <w:t xml:space="preserve"> </w:t>
      </w:r>
      <w:r w:rsidRPr="00E86F91">
        <w:t xml:space="preserve">Emission : </w:t>
      </w:r>
      <w:r w:rsidRPr="00176E8A">
        <w:rPr>
          <w:i/>
          <w:iCs/>
        </w:rPr>
        <w:t>La science des forces de la nature</w:t>
      </w:r>
      <w:r w:rsidRPr="00E86F91">
        <w:t xml:space="preserve">. Episode : </w:t>
      </w:r>
      <w:r w:rsidRPr="00176E8A">
        <w:rPr>
          <w:i/>
          <w:iCs/>
        </w:rPr>
        <w:t>L'avancée du désert</w:t>
      </w:r>
      <w:r>
        <w:t>, 2018</w:t>
      </w:r>
      <w:r w:rsidRPr="00E86F91">
        <w:t>.</w:t>
      </w:r>
    </w:p>
  </w:footnote>
  <w:footnote w:id="42">
    <w:p w14:paraId="645AB64A" w14:textId="07A8882C" w:rsidR="00692E19" w:rsidRDefault="00692E19">
      <w:pPr>
        <w:pStyle w:val="Notedebasdepage"/>
      </w:pPr>
      <w:r>
        <w:rPr>
          <w:rStyle w:val="Appelnotedebasdep"/>
        </w:rPr>
        <w:footnoteRef/>
      </w:r>
      <w:r>
        <w:t xml:space="preserve"> </w:t>
      </w:r>
      <w:r w:rsidRPr="00692E19">
        <w:rPr>
          <w:i/>
          <w:iCs/>
        </w:rPr>
        <w:t>Disparition de surfaces agricoles dans le monde</w:t>
      </w:r>
      <w:r w:rsidRPr="00692E19">
        <w:t>,</w:t>
      </w:r>
      <w:r>
        <w:t xml:space="preserve"> 2012 ( ?),</w:t>
      </w:r>
      <w:r w:rsidRPr="00692E19">
        <w:t xml:space="preserve"> </w:t>
      </w:r>
      <w:hyperlink r:id="rId53" w:history="1">
        <w:r w:rsidRPr="009706D0">
          <w:rPr>
            <w:rStyle w:val="Lienhypertexte"/>
          </w:rPr>
          <w:t>https://www.planetoscope.com/sols/1175-disparition-de-surfaces-agricoles-dans-le-monde.html</w:t>
        </w:r>
      </w:hyperlink>
      <w:r>
        <w:t xml:space="preserve"> </w:t>
      </w:r>
    </w:p>
  </w:footnote>
  <w:footnote w:id="43">
    <w:p w14:paraId="76E65B67" w14:textId="5CF94EDF" w:rsidR="00741C99" w:rsidRDefault="00741C99">
      <w:pPr>
        <w:pStyle w:val="Notedebasdepage"/>
      </w:pPr>
      <w:r>
        <w:rPr>
          <w:rStyle w:val="Appelnotedebasdep"/>
        </w:rPr>
        <w:footnoteRef/>
      </w:r>
      <w:r>
        <w:t xml:space="preserve"> Cf. </w:t>
      </w:r>
      <w:r w:rsidRPr="00741C99">
        <w:rPr>
          <w:i/>
          <w:iCs/>
        </w:rPr>
        <w:t>Les forêts tropicales détruites en 2018 font la superficie du Nicaragua</w:t>
      </w:r>
      <w:r w:rsidRPr="00741C99">
        <w:t xml:space="preserve">, </w:t>
      </w:r>
      <w:hyperlink r:id="rId54" w:history="1">
        <w:r w:rsidRPr="009A5570">
          <w:rPr>
            <w:rStyle w:val="Lienhypertexte"/>
          </w:rPr>
          <w:t>https://www.lexpress.fr/actualite/societe/environnement/les-forets-tropicales-detruites-en-2018-font-la-superficie-du-nicaragua_2074766.html</w:t>
        </w:r>
      </w:hyperlink>
      <w:r>
        <w:t xml:space="preserve"> </w:t>
      </w:r>
    </w:p>
  </w:footnote>
  <w:footnote w:id="44">
    <w:p w14:paraId="287ED990" w14:textId="77777777" w:rsidR="00EF7CEF" w:rsidRDefault="00EF7CEF" w:rsidP="00EF7CEF">
      <w:pPr>
        <w:pStyle w:val="Notedebasdepage"/>
      </w:pPr>
      <w:r>
        <w:rPr>
          <w:rStyle w:val="Appelnotedebasdep"/>
        </w:rPr>
        <w:footnoteRef/>
      </w:r>
      <w:r>
        <w:t xml:space="preserve"> </w:t>
      </w:r>
      <w:r w:rsidRPr="0043018A">
        <w:rPr>
          <w:i/>
          <w:iCs/>
        </w:rPr>
        <w:t>Transgressions marines</w:t>
      </w:r>
      <w:r>
        <w:t xml:space="preserve">, </w:t>
      </w:r>
      <w:hyperlink r:id="rId55" w:history="1">
        <w:r w:rsidRPr="00CD78C9">
          <w:rPr>
            <w:rStyle w:val="Lienhypertexte"/>
          </w:rPr>
          <w:t>https://fr.wikipedia.org/wiki/Transgression_marine</w:t>
        </w:r>
      </w:hyperlink>
      <w:r>
        <w:t xml:space="preserve"> </w:t>
      </w:r>
    </w:p>
  </w:footnote>
  <w:footnote w:id="45">
    <w:p w14:paraId="256D2183" w14:textId="77777777" w:rsidR="00EF7CEF" w:rsidRDefault="00EF7CEF" w:rsidP="00EF7CEF">
      <w:pPr>
        <w:pStyle w:val="Notedebasdepage"/>
      </w:pPr>
      <w:r>
        <w:rPr>
          <w:rStyle w:val="Appelnotedebasdep"/>
        </w:rPr>
        <w:footnoteRef/>
      </w:r>
      <w:r>
        <w:t xml:space="preserve"> </w:t>
      </w:r>
      <w:r w:rsidRPr="00AD704B">
        <w:rPr>
          <w:i/>
          <w:iCs/>
        </w:rPr>
        <w:t>Élévation du niveau de la mer</w:t>
      </w:r>
      <w:r w:rsidRPr="00AD704B">
        <w:t xml:space="preserve">, </w:t>
      </w:r>
      <w:hyperlink r:id="rId56" w:history="1">
        <w:r w:rsidRPr="00CD78C9">
          <w:rPr>
            <w:rStyle w:val="Lienhypertexte"/>
          </w:rPr>
          <w:t>https://fr.wikipedia.org/wiki/%C3%89l%C3%A9vation_du_niveau_de_la_mer</w:t>
        </w:r>
      </w:hyperlink>
      <w:r>
        <w:t xml:space="preserve"> </w:t>
      </w:r>
    </w:p>
  </w:footnote>
  <w:footnote w:id="46">
    <w:p w14:paraId="524923A8" w14:textId="2A58762D" w:rsidR="00EC0BC1" w:rsidRPr="00EC0BC1" w:rsidRDefault="00EC0BC1">
      <w:pPr>
        <w:pStyle w:val="Notedebasdepage"/>
        <w:rPr>
          <w:lang w:val="en-GB"/>
        </w:rPr>
      </w:pPr>
      <w:r>
        <w:rPr>
          <w:rStyle w:val="Appelnotedebasdep"/>
        </w:rPr>
        <w:footnoteRef/>
      </w:r>
      <w:r w:rsidRPr="00EC0BC1">
        <w:rPr>
          <w:lang w:val="en-GB"/>
        </w:rPr>
        <w:t xml:space="preserve"> </w:t>
      </w:r>
      <w:r>
        <w:rPr>
          <w:lang w:val="en-GB"/>
        </w:rPr>
        <w:t xml:space="preserve">Cf. </w:t>
      </w:r>
      <w:hyperlink r:id="rId57" w:history="1">
        <w:r w:rsidRPr="00224761">
          <w:rPr>
            <w:rStyle w:val="Lienhypertexte"/>
            <w:lang w:val="en-GB"/>
          </w:rPr>
          <w:t>https://fr.wikipedia.org/wiki/Population_mondiale</w:t>
        </w:r>
      </w:hyperlink>
      <w:r>
        <w:rPr>
          <w:lang w:val="en-GB"/>
        </w:rPr>
        <w:t xml:space="preserve"> </w:t>
      </w:r>
    </w:p>
  </w:footnote>
  <w:footnote w:id="47">
    <w:p w14:paraId="397D0F8E" w14:textId="1337301B" w:rsidR="00EC0BC1" w:rsidRPr="00EC0BC1" w:rsidRDefault="00EC0BC1" w:rsidP="00EC0BC1">
      <w:pPr>
        <w:pStyle w:val="Notedebasdepage"/>
        <w:rPr>
          <w:rFonts w:ascii="Calibri" w:hAnsi="Calibri" w:cs="Calibri"/>
          <w:lang w:val="en-GB"/>
        </w:rPr>
      </w:pPr>
      <w:r w:rsidRPr="00EC0BC1">
        <w:rPr>
          <w:rStyle w:val="Appelnotedebasdep"/>
          <w:rFonts w:ascii="Calibri" w:hAnsi="Calibri" w:cs="Calibri"/>
        </w:rPr>
        <w:footnoteRef/>
      </w:r>
      <w:r w:rsidRPr="00EC0BC1">
        <w:rPr>
          <w:rFonts w:ascii="Calibri" w:hAnsi="Calibri" w:cs="Calibri"/>
          <w:lang w:val="en-GB"/>
        </w:rPr>
        <w:t xml:space="preserve"> </w:t>
      </w:r>
      <w:r w:rsidRPr="00EC0BC1">
        <w:rPr>
          <w:rFonts w:ascii="Calibri" w:hAnsi="Calibri" w:cs="Calibri"/>
          <w:color w:val="202122"/>
          <w:shd w:val="clear" w:color="auto" w:fill="EAF3FF"/>
          <w:lang w:val="en-GB"/>
        </w:rPr>
        <w:t> </w:t>
      </w:r>
      <w:r w:rsidRPr="00EC0BC1">
        <w:rPr>
          <w:rStyle w:val="lang-en"/>
          <w:rFonts w:ascii="Calibri" w:hAnsi="Calibri" w:cs="Calibri"/>
          <w:color w:val="202122"/>
          <w:shd w:val="clear" w:color="auto" w:fill="EAF3FF"/>
          <w:lang w:val="en"/>
        </w:rPr>
        <w:t>World Population Prospects 2019</w:t>
      </w:r>
      <w:r w:rsidRPr="00EC0BC1">
        <w:rPr>
          <w:rFonts w:ascii="Calibri" w:hAnsi="Calibri" w:cs="Calibri"/>
          <w:color w:val="202122"/>
          <w:shd w:val="clear" w:color="auto" w:fill="EAF3FF"/>
          <w:lang w:val="en-GB"/>
        </w:rPr>
        <w:t> </w:t>
      </w:r>
      <w:hyperlink r:id="rId58" w:history="1">
        <w:r w:rsidRPr="00EC0BC1">
          <w:rPr>
            <w:rStyle w:val="lang-en"/>
            <w:rFonts w:ascii="Calibri" w:hAnsi="Calibri" w:cs="Calibri"/>
            <w:i/>
            <w:iCs/>
            <w:color w:val="3366BB"/>
            <w:shd w:val="clear" w:color="auto" w:fill="EAF3FF"/>
            <w:lang w:val="en"/>
          </w:rPr>
          <w:t>File POP/1-1: Total population (both sexes combined) by region, subregion and country, annually for 1950-2100 (thousands)</w:t>
        </w:r>
        <w:r w:rsidRPr="00EC0BC1">
          <w:rPr>
            <w:rStyle w:val="Lienhypertexte"/>
            <w:rFonts w:ascii="Calibri" w:hAnsi="Calibri" w:cs="Calibri"/>
            <w:i/>
            <w:iCs/>
            <w:color w:val="3366BB"/>
            <w:u w:val="none"/>
            <w:shd w:val="clear" w:color="auto" w:fill="EAF3FF"/>
            <w:lang w:val="en-GB"/>
          </w:rPr>
          <w:t>[xls]</w:t>
        </w:r>
      </w:hyperlink>
      <w:r w:rsidRPr="00EC0BC1">
        <w:rPr>
          <w:rFonts w:ascii="Calibri" w:hAnsi="Calibri" w:cs="Calibri"/>
          <w:color w:val="202122"/>
          <w:shd w:val="clear" w:color="auto" w:fill="EAF3FF"/>
          <w:lang w:val="en-GB"/>
        </w:rPr>
        <w:t> [</w:t>
      </w:r>
      <w:hyperlink r:id="rId59" w:tooltip="archive sur Wikiwix" w:history="1">
        <w:r w:rsidRPr="00EC0BC1">
          <w:rPr>
            <w:rStyle w:val="Lienhypertexte"/>
            <w:rFonts w:ascii="Calibri" w:hAnsi="Calibri" w:cs="Calibri"/>
            <w:color w:val="3366BB"/>
            <w:u w:val="none"/>
            <w:shd w:val="clear" w:color="auto" w:fill="EAF3FF"/>
            <w:lang w:val="en-GB"/>
          </w:rPr>
          <w:t>archive</w:t>
        </w:r>
      </w:hyperlink>
      <w:r w:rsidRPr="00EC0BC1">
        <w:rPr>
          <w:rFonts w:ascii="Calibri" w:hAnsi="Calibri" w:cs="Calibri"/>
          <w:color w:val="202122"/>
          <w:shd w:val="clear" w:color="auto" w:fill="EAF3FF"/>
          <w:lang w:val="en-GB"/>
        </w:rPr>
        <w:t>], ONU, 2019</w:t>
      </w:r>
      <w:r>
        <w:rPr>
          <w:rFonts w:ascii="Calibri" w:hAnsi="Calibri" w:cs="Calibri"/>
          <w:color w:val="202122"/>
          <w:shd w:val="clear" w:color="auto" w:fill="EAF3FF"/>
          <w:lang w:val="en-GB"/>
        </w:rPr>
        <w:t xml:space="preserve">, </w:t>
      </w:r>
      <w:hyperlink r:id="rId60" w:history="1">
        <w:r w:rsidRPr="00224761">
          <w:rPr>
            <w:rStyle w:val="Lienhypertexte"/>
            <w:rFonts w:ascii="Calibri" w:hAnsi="Calibri" w:cs="Calibri"/>
            <w:shd w:val="clear" w:color="auto" w:fill="EAF3FF"/>
            <w:lang w:val="en-GB"/>
          </w:rPr>
          <w:t>https://population.un.org/wpp/Download/Files/1_Indicators%20(Standard)/EXCEL_FILES/1_Population/WPP2019_POP_F01_1_TOTAL_POPULATION_BOTH_SEXES.xlsx</w:t>
        </w:r>
      </w:hyperlink>
      <w:r>
        <w:rPr>
          <w:rFonts w:ascii="Calibri" w:hAnsi="Calibri" w:cs="Calibri"/>
          <w:color w:val="202122"/>
          <w:shd w:val="clear" w:color="auto" w:fill="EAF3FF"/>
          <w:lang w:val="en-GB"/>
        </w:rPr>
        <w:t xml:space="preserve"> </w:t>
      </w:r>
    </w:p>
  </w:footnote>
  <w:footnote w:id="48">
    <w:p w14:paraId="35EB8A05" w14:textId="77777777" w:rsidR="00D63296" w:rsidRDefault="00D63296" w:rsidP="00D63296">
      <w:pPr>
        <w:pStyle w:val="Notedebasdepage"/>
      </w:pPr>
      <w:r>
        <w:rPr>
          <w:rStyle w:val="Appelnotedebasdep"/>
        </w:rPr>
        <w:footnoteRef/>
      </w:r>
      <w:r>
        <w:t xml:space="preserve"> </w:t>
      </w:r>
      <w:r w:rsidRPr="00E8548F">
        <w:rPr>
          <w:i/>
          <w:iCs/>
        </w:rPr>
        <w:t>Comment la démographie bouleverse le monde</w:t>
      </w:r>
      <w:r w:rsidRPr="00E8548F">
        <w:t xml:space="preserve">, Yves Montenay, 09/01/2021, </w:t>
      </w:r>
      <w:hyperlink r:id="rId61" w:history="1">
        <w:r w:rsidRPr="009706D0">
          <w:rPr>
            <w:rStyle w:val="Lienhypertexte"/>
          </w:rPr>
          <w:t>https://www.yvesmontenay.fr/2021/01/09/comment-la-demographie-bouleverse-le-monde/</w:t>
        </w:r>
      </w:hyperlink>
      <w:r>
        <w:t xml:space="preserve"> </w:t>
      </w:r>
    </w:p>
  </w:footnote>
  <w:footnote w:id="49">
    <w:p w14:paraId="281ABE34" w14:textId="77777777" w:rsidR="00D63296" w:rsidRPr="00030F35" w:rsidRDefault="00D63296" w:rsidP="00D63296">
      <w:pPr>
        <w:pStyle w:val="Notedebasdepage"/>
        <w:jc w:val="both"/>
      </w:pPr>
      <w:r>
        <w:rPr>
          <w:rStyle w:val="Appelnotedebasdep"/>
        </w:rPr>
        <w:footnoteRef/>
      </w:r>
      <w:r w:rsidRPr="00030F35">
        <w:t xml:space="preserve"> « </w:t>
      </w:r>
      <w:r w:rsidRPr="00D63296">
        <w:rPr>
          <w:i/>
          <w:iCs/>
        </w:rPr>
        <w:t>Quand Macron évoque la démographie africaine, cela concerne directement l’Europe</w:t>
      </w:r>
      <w:r w:rsidRPr="00030F35">
        <w:t xml:space="preserve"> », Serge Michailof, 12/12/2017, </w:t>
      </w:r>
      <w:hyperlink r:id="rId62" w:history="1">
        <w:r w:rsidRPr="00073649">
          <w:rPr>
            <w:rStyle w:val="Lienhypertexte"/>
          </w:rPr>
          <w:t>https://www.lemonde.fr/afrique/article/2017/12/12/quand-m-macron-evoque-la-demographie-africaine-cela-concerne-directement-l-europe_5228517_3212.html</w:t>
        </w:r>
      </w:hyperlink>
      <w:r>
        <w:t xml:space="preserve"> </w:t>
      </w:r>
    </w:p>
    <w:p w14:paraId="24FFA94F" w14:textId="77777777" w:rsidR="00D63296" w:rsidRPr="00030F35" w:rsidRDefault="00D63296" w:rsidP="00D63296">
      <w:pPr>
        <w:pStyle w:val="Notedebasdepage"/>
        <w:jc w:val="both"/>
      </w:pPr>
      <w:r w:rsidRPr="00030F35">
        <w:t xml:space="preserve">Pour le chercheur Serge Michailof, la croissance de la population en Afrique de l’Ouest conduira inévitablement à des migrations de grande ampleur. </w:t>
      </w:r>
    </w:p>
  </w:footnote>
  <w:footnote w:id="50">
    <w:p w14:paraId="0C37079C" w14:textId="5ADBDEF3" w:rsidR="0073333C" w:rsidRPr="0073333C" w:rsidRDefault="0073333C">
      <w:pPr>
        <w:pStyle w:val="Notedebasdepage"/>
        <w:rPr>
          <w:lang w:val="en-GB"/>
        </w:rPr>
      </w:pPr>
      <w:r>
        <w:rPr>
          <w:rStyle w:val="Appelnotedebasdep"/>
        </w:rPr>
        <w:footnoteRef/>
      </w:r>
      <w:r w:rsidRPr="0073333C">
        <w:rPr>
          <w:lang w:val="en-GB"/>
        </w:rPr>
        <w:t xml:space="preserve"> Cf. </w:t>
      </w:r>
      <w:hyperlink r:id="rId63" w:history="1">
        <w:r w:rsidRPr="00A77BE6">
          <w:rPr>
            <w:rStyle w:val="Lienhypertexte"/>
            <w:lang w:val="en-GB"/>
          </w:rPr>
          <w:t>https://fr.wikipedia.org/wiki/Crise_alimentaire_mondiale_de_2007-2008</w:t>
        </w:r>
      </w:hyperlink>
      <w:r>
        <w:rPr>
          <w:lang w:val="en-GB"/>
        </w:rPr>
        <w:t xml:space="preserve"> </w:t>
      </w:r>
    </w:p>
  </w:footnote>
  <w:footnote w:id="51">
    <w:p w14:paraId="4849A599" w14:textId="59FF9B33" w:rsidR="00B03C1E" w:rsidRPr="005E75EA" w:rsidRDefault="00B03C1E" w:rsidP="00B03C1E">
      <w:pPr>
        <w:pStyle w:val="Notedebasdepage"/>
        <w:jc w:val="both"/>
      </w:pPr>
      <w:r>
        <w:rPr>
          <w:rStyle w:val="Appelnotedebasdep"/>
        </w:rPr>
        <w:footnoteRef/>
      </w:r>
      <w:r w:rsidR="005B4A5E">
        <w:t>a)</w:t>
      </w:r>
      <w:r>
        <w:t xml:space="preserve"> </w:t>
      </w:r>
      <w:r w:rsidRPr="00B03C1E">
        <w:rPr>
          <w:i/>
          <w:iCs/>
        </w:rPr>
        <w:t>Les prix alimentaires atteignent des niveaux record</w:t>
      </w:r>
      <w:r>
        <w:t xml:space="preserve">, Étienne Goetz, 02/09/2021, </w:t>
      </w:r>
      <w:hyperlink r:id="rId64" w:history="1">
        <w:r w:rsidRPr="00A77BE6">
          <w:rPr>
            <w:rStyle w:val="Lienhypertexte"/>
          </w:rPr>
          <w:t>https://www.lesechos.fr/finance-marches/marches-financiers/les-prix-alimentaires-atteignent-des-niveaux-record-1342900</w:t>
        </w:r>
      </w:hyperlink>
      <w:r>
        <w:t xml:space="preserve"> </w:t>
      </w:r>
      <w:r w:rsidRPr="005E75EA">
        <w:t>Une série d'accidents climatiques ont entraîné une flambée des cours des denrées de base. La disponibilité en nourriture dans les principaux pays exportateurs se dégrade et se rapproche de la situation de 2007-2008, époque marquée par les émeutes de la faim.</w:t>
      </w:r>
    </w:p>
    <w:p w14:paraId="456251CE" w14:textId="31B8F7FB" w:rsidR="005B4A5E" w:rsidRDefault="005B4A5E" w:rsidP="00B03C1E">
      <w:pPr>
        <w:pStyle w:val="Notedebasdepage"/>
        <w:jc w:val="both"/>
      </w:pPr>
      <w:r>
        <w:t xml:space="preserve">b) </w:t>
      </w:r>
      <w:r w:rsidRPr="005B4A5E">
        <w:t>Une situation aggravée par le fait qu’une grande partie de la production agricole ne nourrit ni humains, ni animaux, mais des machines. C'est le cas de 60 % de la canne à sucre au Brésil ou de 30 % du maïs américain transformé en éthanol. Le colza et l'huile de palme servent de leur côté en grande majorité à produire du biodiesel.</w:t>
      </w:r>
    </w:p>
  </w:footnote>
  <w:footnote w:id="52">
    <w:p w14:paraId="5CF08F6D" w14:textId="77777777" w:rsidR="00EC4279" w:rsidRDefault="00EC4279" w:rsidP="00EC4279">
      <w:pPr>
        <w:pStyle w:val="Notedebasdepage"/>
      </w:pPr>
      <w:r>
        <w:rPr>
          <w:rStyle w:val="Appelnotedebasdep"/>
        </w:rPr>
        <w:footnoteRef/>
      </w:r>
      <w:r>
        <w:t xml:space="preserve"> </w:t>
      </w:r>
      <w:r w:rsidRPr="007A1BF2">
        <w:t>Cf. "</w:t>
      </w:r>
      <w:r w:rsidRPr="007A1BF2">
        <w:rPr>
          <w:i/>
          <w:iCs/>
        </w:rPr>
        <w:t>Les tensions entre les États</w:t>
      </w:r>
      <w:r w:rsidRPr="007A1BF2">
        <w:t>" in "</w:t>
      </w:r>
      <w:r w:rsidRPr="007A1BF2">
        <w:rPr>
          <w:i/>
          <w:iCs/>
        </w:rPr>
        <w:t>L'eau dans le monde</w:t>
      </w:r>
      <w:r w:rsidRPr="007A1BF2">
        <w:t xml:space="preserve">", </w:t>
      </w:r>
      <w:hyperlink r:id="rId65" w:anchor="Les_tensions_entre_les_%C3%A9tats" w:history="1">
        <w:r w:rsidRPr="00224761">
          <w:rPr>
            <w:rStyle w:val="Lienhypertexte"/>
          </w:rPr>
          <w:t>https://fr.wikipedia.org/wiki/L%27eau_dans_le_monde#Les_tensions_entre_les_%C3%A9tats</w:t>
        </w:r>
      </w:hyperlink>
    </w:p>
  </w:footnote>
  <w:footnote w:id="53">
    <w:p w14:paraId="13BB20CB" w14:textId="77777777" w:rsidR="00EC4279" w:rsidRDefault="00EC4279" w:rsidP="00EC4279">
      <w:pPr>
        <w:pStyle w:val="Notedebasdepage"/>
      </w:pPr>
      <w:r>
        <w:rPr>
          <w:rStyle w:val="Appelnotedebasdep"/>
        </w:rPr>
        <w:footnoteRef/>
      </w:r>
      <w:r>
        <w:t xml:space="preserve"> </w:t>
      </w:r>
      <w:r w:rsidRPr="003C54E0">
        <w:t xml:space="preserve">Exemple : Guerres de l'eau en Californie, </w:t>
      </w:r>
      <w:hyperlink r:id="rId66" w:history="1">
        <w:r w:rsidRPr="00224761">
          <w:rPr>
            <w:rStyle w:val="Lienhypertexte"/>
          </w:rPr>
          <w:t>https://fr.wikipedia.org/wiki/Guerres_de_l%27eau_en_Californie</w:t>
        </w:r>
      </w:hyperlink>
      <w:r>
        <w:t xml:space="preserve"> </w:t>
      </w:r>
    </w:p>
  </w:footnote>
  <w:footnote w:id="54">
    <w:p w14:paraId="393FC070" w14:textId="77777777" w:rsidR="00FE7978" w:rsidRDefault="00FE7978" w:rsidP="00FE7978">
      <w:pPr>
        <w:pStyle w:val="Notedebasdepage"/>
      </w:pPr>
      <w:r>
        <w:rPr>
          <w:rStyle w:val="Appelnotedebasdep"/>
        </w:rPr>
        <w:footnoteRef/>
      </w:r>
      <w:r>
        <w:t xml:space="preserve"> Comme l’invasion de rats, sur certaines îles, ayant causé d’énormes dégâts à la faune ou flore endémiques.</w:t>
      </w:r>
    </w:p>
  </w:footnote>
  <w:footnote w:id="55">
    <w:p w14:paraId="5DC65916" w14:textId="77777777" w:rsidR="00FE7978" w:rsidRDefault="00FE7978" w:rsidP="00FE7978">
      <w:pPr>
        <w:pStyle w:val="Notedebasdepage"/>
      </w:pPr>
      <w:r>
        <w:rPr>
          <w:rStyle w:val="Appelnotedebasdep"/>
        </w:rPr>
        <w:footnoteRef/>
      </w:r>
      <w:r>
        <w:t xml:space="preserve"> </w:t>
      </w:r>
      <w:r w:rsidRPr="00E169B6">
        <w:rPr>
          <w:b/>
          <w:bCs/>
          <w:i/>
          <w:iCs/>
        </w:rPr>
        <w:t>Biosécurité</w:t>
      </w:r>
      <w:r>
        <w:t xml:space="preserve"> : a) Ensemble de mesures visant à sécuriser l’exploitation des ressources biologiques, notamment en prévenant les risques de contamination, de pollution de l’environnement ou d’appauvrissement de la biodiversité (Larousse).</w:t>
      </w:r>
    </w:p>
    <w:p w14:paraId="1D547703" w14:textId="77777777" w:rsidR="00FE7978" w:rsidRPr="00026AC3" w:rsidRDefault="00FE7978" w:rsidP="00FE7978">
      <w:pPr>
        <w:pStyle w:val="Notedebasdepage"/>
        <w:jc w:val="both"/>
        <w:rPr>
          <w:lang w:val="en-GB"/>
        </w:rPr>
      </w:pPr>
      <w:r>
        <w:t xml:space="preserve">b) Processus, méthodes et mesures préventives et réglementaires visant à réduire le risque biologique, et notamment les risques de diffusion et transmission (accidentelles ou malveillantes) de pathogènes (prions inclus) dans les populations humaines, les élevages, chez les animaux de compagnie2, dans les cultures ou la nature sauvage. La biosécurité inclut donc les mesures de surveillance, de précaution et de contrôle (par exemple, des mesures de quarantaine et de confinement y compris de ravageurs, d'espèces exotiques envahissantes ou potentiellement invasives, ou encore d'organismes vivants génétiquement modifiés). </w:t>
      </w:r>
      <w:hyperlink r:id="rId67" w:history="1">
        <w:r w:rsidRPr="00026AC3">
          <w:rPr>
            <w:rStyle w:val="Lienhypertexte"/>
            <w:lang w:val="en-GB"/>
          </w:rPr>
          <w:t>https://fr.wikipedia.org/wiki/Bios%C3%A9curit%C3%A9</w:t>
        </w:r>
      </w:hyperlink>
      <w:r w:rsidRPr="00026AC3">
        <w:rPr>
          <w:lang w:val="en-GB"/>
        </w:rPr>
        <w:t xml:space="preserve"> </w:t>
      </w:r>
    </w:p>
  </w:footnote>
  <w:footnote w:id="56">
    <w:p w14:paraId="76C42BB8" w14:textId="77777777" w:rsidR="005A665E" w:rsidRDefault="005A665E" w:rsidP="005A665E">
      <w:pPr>
        <w:pStyle w:val="Notedebasdepage"/>
      </w:pPr>
      <w:r>
        <w:rPr>
          <w:rStyle w:val="Appelnotedebasdep"/>
        </w:rPr>
        <w:footnoteRef/>
      </w:r>
      <w:r w:rsidRPr="00026AC3">
        <w:rPr>
          <w:lang w:val="en-GB"/>
        </w:rPr>
        <w:t xml:space="preserve"> </w:t>
      </w:r>
      <w:r w:rsidRPr="00026AC3">
        <w:rPr>
          <w:i/>
          <w:iCs/>
          <w:lang w:val="en-GB"/>
        </w:rPr>
        <w:t xml:space="preserve">Reforestation. </w:t>
      </w:r>
      <w:r w:rsidRPr="00411177">
        <w:rPr>
          <w:i/>
          <w:iCs/>
        </w:rPr>
        <w:t>La grande désillusion</w:t>
      </w:r>
      <w:r>
        <w:t>. Vincent Nouyrigat, Epsiloon, n°2, août 2021, pages 20 à 27.</w:t>
      </w:r>
    </w:p>
  </w:footnote>
  <w:footnote w:id="57">
    <w:p w14:paraId="360C5A14" w14:textId="77777777" w:rsidR="00CA5319" w:rsidRDefault="00CA5319" w:rsidP="00CA5319">
      <w:pPr>
        <w:pStyle w:val="Notedebasdepage"/>
      </w:pPr>
      <w:r>
        <w:rPr>
          <w:rStyle w:val="Appelnotedebasdep"/>
        </w:rPr>
        <w:footnoteRef/>
      </w:r>
      <w:r>
        <w:t xml:space="preserve"> </w:t>
      </w:r>
      <w:r w:rsidRPr="007C18F9">
        <w:t>Leur caractère invasif.</w:t>
      </w:r>
    </w:p>
  </w:footnote>
  <w:footnote w:id="58">
    <w:p w14:paraId="7D73EC92" w14:textId="167989E0" w:rsidR="00F16157" w:rsidRPr="00FB7871" w:rsidRDefault="00F16157">
      <w:pPr>
        <w:pStyle w:val="Notedebasdepage"/>
      </w:pPr>
      <w:r>
        <w:rPr>
          <w:rStyle w:val="Appelnotedebasdep"/>
        </w:rPr>
        <w:footnoteRef/>
      </w:r>
      <w:r w:rsidRPr="00FB7871">
        <w:t xml:space="preserve"> Cf. </w:t>
      </w:r>
      <w:hyperlink r:id="rId68" w:history="1">
        <w:r w:rsidRPr="00FB7871">
          <w:rPr>
            <w:rStyle w:val="Lienhypertexte"/>
          </w:rPr>
          <w:t>http://www.kkl.org.il/eng/forestry-and-ecology/afforestation-in-israel/turning-the-desert-green/</w:t>
        </w:r>
      </w:hyperlink>
    </w:p>
  </w:footnote>
  <w:footnote w:id="59">
    <w:p w14:paraId="51334B9E" w14:textId="3D21E4FC" w:rsidR="00F16157" w:rsidRPr="00F16157" w:rsidRDefault="00F16157">
      <w:pPr>
        <w:pStyle w:val="Notedebasdepage"/>
        <w:rPr>
          <w:lang w:val="en-GB"/>
        </w:rPr>
      </w:pPr>
      <w:r>
        <w:rPr>
          <w:rStyle w:val="Appelnotedebasdep"/>
        </w:rPr>
        <w:footnoteRef/>
      </w:r>
      <w:r w:rsidRPr="00F16157">
        <w:rPr>
          <w:lang w:val="en-GB"/>
        </w:rPr>
        <w:t xml:space="preserve"> Cf</w:t>
      </w:r>
      <w:r>
        <w:rPr>
          <w:lang w:val="en-GB"/>
        </w:rPr>
        <w:t xml:space="preserve">. </w:t>
      </w:r>
      <w:hyperlink r:id="rId69" w:history="1">
        <w:r w:rsidRPr="00F16157">
          <w:rPr>
            <w:rStyle w:val="Lienhypertexte"/>
            <w:lang w:val="en-US"/>
          </w:rPr>
          <w:t>https://www.youtube.com/watch?v=tjBugtV8GHc</w:t>
        </w:r>
      </w:hyperlink>
    </w:p>
  </w:footnote>
  <w:footnote w:id="60">
    <w:p w14:paraId="11F951E5" w14:textId="52E27D07" w:rsidR="00F16157" w:rsidRPr="00F16157" w:rsidRDefault="00F16157">
      <w:pPr>
        <w:pStyle w:val="Notedebasdepage"/>
        <w:rPr>
          <w:lang w:val="en-GB"/>
        </w:rPr>
      </w:pPr>
      <w:r>
        <w:rPr>
          <w:rStyle w:val="Appelnotedebasdep"/>
        </w:rPr>
        <w:footnoteRef/>
      </w:r>
      <w:r w:rsidRPr="00F16157">
        <w:rPr>
          <w:lang w:val="en-GB"/>
        </w:rPr>
        <w:t xml:space="preserve"> Cf. </w:t>
      </w:r>
      <w:hyperlink r:id="rId70" w:history="1">
        <w:r w:rsidRPr="00F16157">
          <w:rPr>
            <w:rStyle w:val="Lienhypertexte"/>
            <w:lang w:val="en-GB"/>
          </w:rPr>
          <w:t>http://www.fotothing.com/hs/photo/1cfd323a8ed9d8a67ce21cd14aa00085/</w:t>
        </w:r>
      </w:hyperlink>
    </w:p>
  </w:footnote>
  <w:footnote w:id="61">
    <w:p w14:paraId="30D3348D" w14:textId="69BEBE9F" w:rsidR="00F16157" w:rsidRPr="00F16157" w:rsidRDefault="00F16157">
      <w:pPr>
        <w:pStyle w:val="Notedebasdepage"/>
        <w:rPr>
          <w:lang w:val="en-GB"/>
        </w:rPr>
      </w:pPr>
      <w:r>
        <w:rPr>
          <w:rStyle w:val="Appelnotedebasdep"/>
        </w:rPr>
        <w:footnoteRef/>
      </w:r>
      <w:r w:rsidRPr="00F16157">
        <w:rPr>
          <w:lang w:val="en-GB"/>
        </w:rPr>
        <w:t xml:space="preserve"> Cf. </w:t>
      </w:r>
      <w:hyperlink r:id="rId71" w:history="1">
        <w:r w:rsidRPr="00F16157">
          <w:rPr>
            <w:rStyle w:val="Lienhypertexte"/>
            <w:lang w:val="en-GB"/>
          </w:rPr>
          <w:t>http://www.kkl.org.il/eng/forestry-and-ecology/afforestation-in-israel/turning-the-desert-green</w:t>
        </w:r>
      </w:hyperlink>
    </w:p>
  </w:footnote>
  <w:footnote w:id="62">
    <w:p w14:paraId="4E6C7398" w14:textId="05635B61" w:rsidR="006018C4" w:rsidRPr="006018C4" w:rsidRDefault="006018C4">
      <w:pPr>
        <w:pStyle w:val="Notedebasdepage"/>
        <w:rPr>
          <w:lang w:val="en-GB"/>
        </w:rPr>
      </w:pPr>
      <w:r>
        <w:rPr>
          <w:rStyle w:val="Appelnotedebasdep"/>
        </w:rPr>
        <w:footnoteRef/>
      </w:r>
      <w:r>
        <w:rPr>
          <w:lang w:val="en-GB"/>
        </w:rPr>
        <w:t xml:space="preserve"> Cf.</w:t>
      </w:r>
      <w:r w:rsidRPr="006018C4">
        <w:rPr>
          <w:lang w:val="en-GB"/>
        </w:rPr>
        <w:t xml:space="preserve"> </w:t>
      </w:r>
      <w:hyperlink r:id="rId72" w:history="1">
        <w:r w:rsidRPr="006018C4">
          <w:rPr>
            <w:rStyle w:val="Lienhypertexte"/>
            <w:lang w:val="en-GB"/>
          </w:rPr>
          <w:t>http://www.fotosearch.fr/ICN003/f0026834/</w:t>
        </w:r>
      </w:hyperlink>
      <w:r w:rsidRPr="006018C4">
        <w:rPr>
          <w:lang w:val="en-GB"/>
        </w:rPr>
        <w:t xml:space="preserve"> </w:t>
      </w:r>
    </w:p>
  </w:footnote>
  <w:footnote w:id="63">
    <w:p w14:paraId="234B2406" w14:textId="7C081A2E" w:rsidR="006018C4" w:rsidRPr="006018C4" w:rsidRDefault="006018C4">
      <w:pPr>
        <w:pStyle w:val="Notedebasdepage"/>
        <w:rPr>
          <w:lang w:val="en-GB"/>
        </w:rPr>
      </w:pPr>
      <w:r>
        <w:rPr>
          <w:rStyle w:val="Appelnotedebasdep"/>
        </w:rPr>
        <w:footnoteRef/>
      </w:r>
      <w:r w:rsidRPr="006018C4">
        <w:rPr>
          <w:lang w:val="en-GB"/>
        </w:rPr>
        <w:t xml:space="preserve"> Cf. </w:t>
      </w:r>
      <w:hyperlink r:id="rId73" w:history="1">
        <w:r w:rsidRPr="006018C4">
          <w:rPr>
            <w:rStyle w:val="Lienhypertexte"/>
            <w:lang w:val="en-GB"/>
          </w:rPr>
          <w:t>http://www.kkl.org.il/eng/about-kkl-jnf/green-israel-news/march-2013/german-states-forest-lehavim/</w:t>
        </w:r>
      </w:hyperlink>
      <w:r w:rsidRPr="006018C4">
        <w:rPr>
          <w:lang w:val="en-GB"/>
        </w:rPr>
        <w:t xml:space="preserve"> </w:t>
      </w:r>
    </w:p>
  </w:footnote>
  <w:footnote w:id="64">
    <w:p w14:paraId="1AA9FF8D" w14:textId="4A3BBCF4" w:rsidR="006018C4" w:rsidRPr="006018C4" w:rsidRDefault="006018C4">
      <w:pPr>
        <w:pStyle w:val="Notedebasdepage"/>
        <w:rPr>
          <w:lang w:val="en-GB"/>
        </w:rPr>
      </w:pPr>
      <w:r>
        <w:rPr>
          <w:rStyle w:val="Appelnotedebasdep"/>
        </w:rPr>
        <w:footnoteRef/>
      </w:r>
      <w:r w:rsidRPr="006018C4">
        <w:rPr>
          <w:lang w:val="en-GB"/>
        </w:rPr>
        <w:t xml:space="preserve"> Cf. </w:t>
      </w:r>
      <w:hyperlink r:id="rId74" w:history="1">
        <w:r w:rsidRPr="006018C4">
          <w:rPr>
            <w:rStyle w:val="Lienhypertexte"/>
            <w:lang w:val="en-GB"/>
          </w:rPr>
          <w:t>http://www.kkl.org.il/eng/files/forests/tma/TAMA22_eng.pdf</w:t>
        </w:r>
      </w:hyperlink>
      <w:r w:rsidRPr="006018C4">
        <w:rPr>
          <w:lang w:val="en-GB"/>
        </w:rPr>
        <w:t xml:space="preserve"> </w:t>
      </w:r>
    </w:p>
  </w:footnote>
  <w:footnote w:id="65">
    <w:p w14:paraId="69AF448E" w14:textId="1AB5F986" w:rsidR="000E72DF" w:rsidRPr="000E72DF" w:rsidRDefault="000E72DF">
      <w:pPr>
        <w:pStyle w:val="Notedebasdepage"/>
        <w:rPr>
          <w:lang w:val="en-GB"/>
        </w:rPr>
      </w:pPr>
      <w:r>
        <w:rPr>
          <w:rStyle w:val="Appelnotedebasdep"/>
        </w:rPr>
        <w:footnoteRef/>
      </w:r>
      <w:r w:rsidRPr="000E72DF">
        <w:rPr>
          <w:lang w:val="en-GB"/>
        </w:rPr>
        <w:t xml:space="preserve"> Cf. </w:t>
      </w:r>
      <w:hyperlink r:id="rId75" w:history="1">
        <w:r w:rsidRPr="000E72DF">
          <w:rPr>
            <w:rStyle w:val="Lienhypertexte"/>
            <w:lang w:val="en-GB"/>
          </w:rPr>
          <w:t>http://www.kkl.org.il/eng/files/forests/afforestation-israel/UNFF-Afforestation-Israel.pdf</w:t>
        </w:r>
      </w:hyperlink>
      <w:r w:rsidRPr="000E72DF">
        <w:rPr>
          <w:lang w:val="en-GB"/>
        </w:rPr>
        <w:t xml:space="preserve"> </w:t>
      </w:r>
    </w:p>
  </w:footnote>
  <w:footnote w:id="66">
    <w:p w14:paraId="2640C2B8" w14:textId="4DBAE464" w:rsidR="000E72DF" w:rsidRPr="000E72DF" w:rsidRDefault="000E72DF">
      <w:pPr>
        <w:pStyle w:val="Notedebasdepage"/>
        <w:rPr>
          <w:lang w:val="en-GB"/>
        </w:rPr>
      </w:pPr>
      <w:r>
        <w:rPr>
          <w:rStyle w:val="Appelnotedebasdep"/>
        </w:rPr>
        <w:footnoteRef/>
      </w:r>
      <w:r w:rsidRPr="000E72DF">
        <w:rPr>
          <w:lang w:val="en-GB"/>
        </w:rPr>
        <w:t xml:space="preserve"> Cf. </w:t>
      </w:r>
      <w:hyperlink r:id="rId76" w:history="1">
        <w:r w:rsidRPr="000E72DF">
          <w:rPr>
            <w:rStyle w:val="Lienhypertexte"/>
            <w:lang w:val="en-GB"/>
          </w:rPr>
          <w:t>https://habibaorganicfarm.wordpress.com/</w:t>
        </w:r>
      </w:hyperlink>
    </w:p>
  </w:footnote>
  <w:footnote w:id="67">
    <w:p w14:paraId="5D9407E7" w14:textId="4156A22B" w:rsidR="000E72DF" w:rsidRPr="000E72DF" w:rsidRDefault="000E72DF">
      <w:pPr>
        <w:pStyle w:val="Notedebasdepage"/>
        <w:rPr>
          <w:lang w:val="en-GB"/>
        </w:rPr>
      </w:pPr>
      <w:r>
        <w:rPr>
          <w:rStyle w:val="Appelnotedebasdep"/>
        </w:rPr>
        <w:footnoteRef/>
      </w:r>
      <w:r w:rsidRPr="000E72DF">
        <w:rPr>
          <w:lang w:val="en-GB"/>
        </w:rPr>
        <w:t xml:space="preserve"> Cf. </w:t>
      </w:r>
      <w:hyperlink r:id="rId77" w:history="1">
        <w:r w:rsidRPr="000E72DF">
          <w:rPr>
            <w:rStyle w:val="Lienhypertexte"/>
            <w:lang w:val="en-GB"/>
          </w:rPr>
          <w:t>http://permaculturenews.org/2011/05/04/dispatch-from-the-jordan-valley-permaculture-project-aka-greening-the-desert-the-sequel-april-2011/</w:t>
        </w:r>
      </w:hyperlink>
    </w:p>
  </w:footnote>
  <w:footnote w:id="68">
    <w:p w14:paraId="0D764B90" w14:textId="3E876438" w:rsidR="000E72DF" w:rsidRPr="000E72DF" w:rsidRDefault="000E72DF">
      <w:pPr>
        <w:pStyle w:val="Notedebasdepage"/>
        <w:rPr>
          <w:lang w:val="en-GB"/>
        </w:rPr>
      </w:pPr>
      <w:r>
        <w:rPr>
          <w:rStyle w:val="Appelnotedebasdep"/>
        </w:rPr>
        <w:footnoteRef/>
      </w:r>
      <w:r w:rsidRPr="000E72DF">
        <w:rPr>
          <w:lang w:val="en-GB"/>
        </w:rPr>
        <w:t xml:space="preserve"> Cf. </w:t>
      </w:r>
      <w:hyperlink r:id="rId78" w:history="1">
        <w:r w:rsidRPr="000E72DF">
          <w:rPr>
            <w:rStyle w:val="Lienhypertexte"/>
            <w:lang w:val="en-GB"/>
          </w:rPr>
          <w:t>http://www.panoramio.com/user/4733352?photo_page=11&amp;comment_page=1</w:t>
        </w:r>
      </w:hyperlink>
    </w:p>
  </w:footnote>
  <w:footnote w:id="69">
    <w:p w14:paraId="5667C4AB" w14:textId="295F547F" w:rsidR="000E72DF" w:rsidRPr="000E72DF" w:rsidRDefault="000E72DF">
      <w:pPr>
        <w:pStyle w:val="Notedebasdepage"/>
        <w:rPr>
          <w:lang w:val="en-GB"/>
        </w:rPr>
      </w:pPr>
      <w:r>
        <w:rPr>
          <w:rStyle w:val="Appelnotedebasdep"/>
        </w:rPr>
        <w:footnoteRef/>
      </w:r>
      <w:r w:rsidRPr="000E72DF">
        <w:rPr>
          <w:lang w:val="en-GB"/>
        </w:rPr>
        <w:t xml:space="preserve"> Cf. </w:t>
      </w:r>
      <w:hyperlink r:id="rId79" w:history="1">
        <w:r w:rsidRPr="000E72DF">
          <w:rPr>
            <w:rStyle w:val="Lienhypertexte"/>
            <w:lang w:val="en-GB"/>
          </w:rPr>
          <w:t>http://www.virgin.com/unite/news/battling-encroaching-desert-part-2</w:t>
        </w:r>
      </w:hyperlink>
    </w:p>
  </w:footnote>
  <w:footnote w:id="70">
    <w:p w14:paraId="419187E1" w14:textId="7B620D3F" w:rsidR="00EA038D" w:rsidRPr="00EA038D" w:rsidRDefault="00EA038D" w:rsidP="00EA038D">
      <w:pPr>
        <w:spacing w:after="0" w:line="240" w:lineRule="auto"/>
        <w:jc w:val="both"/>
        <w:rPr>
          <w:sz w:val="20"/>
          <w:szCs w:val="20"/>
        </w:rPr>
      </w:pPr>
      <w:r>
        <w:rPr>
          <w:rStyle w:val="Appelnotedebasdep"/>
        </w:rPr>
        <w:footnoteRef/>
      </w:r>
      <w:r>
        <w:t xml:space="preserve"> </w:t>
      </w:r>
      <w:r w:rsidRPr="00A948B1">
        <w:rPr>
          <w:sz w:val="20"/>
          <w:szCs w:val="20"/>
        </w:rPr>
        <w:t xml:space="preserve">Source : </w:t>
      </w:r>
      <w:hyperlink r:id="rId80" w:history="1">
        <w:r w:rsidRPr="00A948B1">
          <w:rPr>
            <w:rStyle w:val="Lienhypertexte"/>
            <w:sz w:val="20"/>
            <w:szCs w:val="20"/>
          </w:rPr>
          <w:t>http://www.larousse.fr/archives/grande-encyclopedie/page/1050</w:t>
        </w:r>
      </w:hyperlink>
      <w:r w:rsidRPr="00A948B1">
        <w:rPr>
          <w:sz w:val="20"/>
          <w:szCs w:val="20"/>
        </w:rPr>
        <w:t xml:space="preserve"> </w:t>
      </w:r>
    </w:p>
  </w:footnote>
  <w:footnote w:id="71">
    <w:p w14:paraId="4C71158C" w14:textId="58FBA0AA" w:rsidR="00EA038D" w:rsidRPr="00EA038D" w:rsidRDefault="00EA038D" w:rsidP="00EA038D">
      <w:pPr>
        <w:spacing w:after="0" w:line="240" w:lineRule="auto"/>
        <w:jc w:val="both"/>
        <w:rPr>
          <w:sz w:val="20"/>
          <w:szCs w:val="20"/>
        </w:rPr>
      </w:pPr>
      <w:r>
        <w:rPr>
          <w:rStyle w:val="Appelnotedebasdep"/>
        </w:rPr>
        <w:footnoteRef/>
      </w:r>
      <w:r>
        <w:t xml:space="preserve"> </w:t>
      </w:r>
      <w:r w:rsidRPr="00EA038D">
        <w:rPr>
          <w:sz w:val="20"/>
          <w:szCs w:val="20"/>
        </w:rPr>
        <w:t xml:space="preserve">Source : </w:t>
      </w:r>
      <w:hyperlink r:id="rId81" w:history="1">
        <w:r w:rsidRPr="00EA038D">
          <w:rPr>
            <w:rStyle w:val="Lienhypertexte"/>
            <w:sz w:val="20"/>
            <w:szCs w:val="20"/>
          </w:rPr>
          <w:t>http://www.cirad.fr/publications-ressources/science-pour-tous/dossiers/la-desertification/ce-qu-il-faut-savoir</w:t>
        </w:r>
      </w:hyperlink>
      <w:r w:rsidRPr="00EA038D">
        <w:rPr>
          <w:sz w:val="20"/>
          <w:szCs w:val="20"/>
        </w:rPr>
        <w:t xml:space="preserve"> </w:t>
      </w:r>
    </w:p>
  </w:footnote>
  <w:footnote w:id="72">
    <w:p w14:paraId="06A96DEB" w14:textId="02835521" w:rsidR="000204A5" w:rsidRDefault="000204A5">
      <w:pPr>
        <w:pStyle w:val="Notedebasdepage"/>
      </w:pPr>
      <w:r>
        <w:rPr>
          <w:rStyle w:val="Appelnotedebasdep"/>
        </w:rPr>
        <w:footnoteRef/>
      </w:r>
      <w:r>
        <w:t xml:space="preserve"> Cf. </w:t>
      </w:r>
      <w:r w:rsidRPr="000204A5">
        <w:t xml:space="preserve">Source : </w:t>
      </w:r>
      <w:hyperlink r:id="rId82" w:history="1">
        <w:r w:rsidRPr="000204A5">
          <w:rPr>
            <w:rStyle w:val="Lienhypertexte"/>
          </w:rPr>
          <w:t>http://www.flickriver.com/photos/luigistrano/3848000774/</w:t>
        </w:r>
      </w:hyperlink>
      <w:r>
        <w:t xml:space="preserve"> </w:t>
      </w:r>
    </w:p>
  </w:footnote>
  <w:footnote w:id="73">
    <w:p w14:paraId="4E7A894E" w14:textId="489ECFA9" w:rsidR="00065B9C" w:rsidRPr="00D8449A" w:rsidRDefault="00065B9C">
      <w:pPr>
        <w:pStyle w:val="Notedebasdepage"/>
      </w:pPr>
      <w:r>
        <w:rPr>
          <w:rStyle w:val="Appelnotedebasdep"/>
        </w:rPr>
        <w:footnoteRef/>
      </w:r>
      <w:r w:rsidRPr="00D8449A">
        <w:t xml:space="preserve"> Cf. </w:t>
      </w:r>
      <w:hyperlink r:id="rId83" w:history="1">
        <w:r w:rsidRPr="00D8449A">
          <w:rPr>
            <w:rStyle w:val="Lienhypertexte"/>
          </w:rPr>
          <w:t>http://gardenbreizh.org/modules/gbdb/plante-1071-pistacia-terebinthus.html</w:t>
        </w:r>
      </w:hyperlink>
      <w:r w:rsidRPr="00D8449A">
        <w:t xml:space="preserve"> </w:t>
      </w:r>
    </w:p>
  </w:footnote>
  <w:footnote w:id="74">
    <w:p w14:paraId="6B49524B" w14:textId="455F1848" w:rsidR="0091597E" w:rsidRDefault="0091597E">
      <w:pPr>
        <w:pStyle w:val="Notedebasdepage"/>
      </w:pPr>
      <w:r>
        <w:rPr>
          <w:rStyle w:val="Appelnotedebasdep"/>
        </w:rPr>
        <w:footnoteRef/>
      </w:r>
      <w:r>
        <w:t xml:space="preserve"> </w:t>
      </w:r>
      <w:r w:rsidRPr="0091597E">
        <w:t xml:space="preserve">Source : </w:t>
      </w:r>
      <w:hyperlink r:id="rId84" w:history="1">
        <w:r w:rsidRPr="0091597E">
          <w:rPr>
            <w:rStyle w:val="Lienhypertexte"/>
          </w:rPr>
          <w:t>http://www.israelimages.com/see_image_details.php?idi=1087</w:t>
        </w:r>
      </w:hyperlink>
    </w:p>
  </w:footnote>
  <w:footnote w:id="75">
    <w:p w14:paraId="74F14428" w14:textId="77777777" w:rsidR="0091597E" w:rsidRPr="0091597E" w:rsidRDefault="0091597E" w:rsidP="0091597E">
      <w:pPr>
        <w:pStyle w:val="Notedebasdepage"/>
      </w:pPr>
      <w:r>
        <w:rPr>
          <w:rStyle w:val="Appelnotedebasdep"/>
        </w:rPr>
        <w:footnoteRef/>
      </w:r>
      <w:r>
        <w:t xml:space="preserve"> </w:t>
      </w:r>
      <w:r w:rsidRPr="0091597E">
        <w:t xml:space="preserve">Sources : </w:t>
      </w:r>
      <w:hyperlink r:id="rId85" w:history="1">
        <w:r w:rsidRPr="0091597E">
          <w:rPr>
            <w:rStyle w:val="Lienhypertexte"/>
          </w:rPr>
          <w:t>https://www.flickr.com/photos/dweickhoff/8101484247/</w:t>
        </w:r>
      </w:hyperlink>
    </w:p>
    <w:p w14:paraId="6BA829A8" w14:textId="24C86F73" w:rsidR="0091597E" w:rsidRDefault="00000000">
      <w:pPr>
        <w:pStyle w:val="Notedebasdepage"/>
      </w:pPr>
      <w:hyperlink r:id="rId86" w:history="1">
        <w:r w:rsidR="0091597E" w:rsidRPr="0091597E">
          <w:rPr>
            <w:rStyle w:val="Lienhypertexte"/>
          </w:rPr>
          <w:t>https://www.flickr.com/photos/ayra_j2/galleries/72157623117840237/</w:t>
        </w:r>
      </w:hyperlink>
      <w:r w:rsidR="0091597E" w:rsidRPr="0091597E">
        <w:t xml:space="preserve">  </w:t>
      </w:r>
    </w:p>
  </w:footnote>
  <w:footnote w:id="76">
    <w:p w14:paraId="69DA0720" w14:textId="363627BD" w:rsidR="00003B90" w:rsidRDefault="00003B90">
      <w:pPr>
        <w:pStyle w:val="Notedebasdepage"/>
      </w:pPr>
      <w:r>
        <w:rPr>
          <w:rStyle w:val="Appelnotedebasdep"/>
        </w:rPr>
        <w:footnoteRef/>
      </w:r>
      <w:r>
        <w:t xml:space="preserve"> </w:t>
      </w:r>
      <w:r w:rsidRPr="00003B90">
        <w:t>Mais elle est utilisée dans la composition de certains médicaments.</w:t>
      </w:r>
    </w:p>
  </w:footnote>
  <w:footnote w:id="77">
    <w:p w14:paraId="7CC6284D" w14:textId="77777777" w:rsidR="00167E1D" w:rsidRPr="00082068" w:rsidRDefault="00167E1D" w:rsidP="00167E1D">
      <w:pPr>
        <w:pStyle w:val="Notedebasdepage"/>
        <w:rPr>
          <w:rFonts w:ascii="Calibri" w:hAnsi="Calibri" w:cs="Calibri"/>
        </w:rPr>
      </w:pPr>
      <w:r w:rsidRPr="00082068">
        <w:rPr>
          <w:rStyle w:val="Appelnotedebasdep"/>
          <w:rFonts w:ascii="Calibri" w:hAnsi="Calibri" w:cs="Calibri"/>
        </w:rPr>
        <w:footnoteRef/>
      </w:r>
      <w:r w:rsidRPr="00082068">
        <w:rPr>
          <w:rFonts w:ascii="Calibri" w:hAnsi="Calibri" w:cs="Calibri"/>
        </w:rPr>
        <w:t xml:space="preserve"> </w:t>
      </w:r>
      <w:r w:rsidRPr="00082068">
        <w:rPr>
          <w:rFonts w:ascii="Calibri" w:hAnsi="Calibri" w:cs="Calibri"/>
          <w:shd w:val="clear" w:color="auto" w:fill="FFFFFF"/>
        </w:rPr>
        <w:t xml:space="preserve">L'analyse chimique des feuilles de la plante a permis d'identifier de </w:t>
      </w:r>
      <w:r w:rsidRPr="00082068">
        <w:rPr>
          <w:rFonts w:ascii="Calibri" w:hAnsi="Calibri" w:cs="Calibri"/>
          <w:color w:val="202122"/>
          <w:shd w:val="clear" w:color="auto" w:fill="FFFFFF"/>
        </w:rPr>
        <w:t>l’</w:t>
      </w:r>
      <w:hyperlink r:id="rId87" w:tooltip="Acide gallique" w:history="1">
        <w:r w:rsidRPr="00082068">
          <w:rPr>
            <w:rStyle w:val="Lienhypertexte"/>
            <w:rFonts w:ascii="Calibri" w:hAnsi="Calibri" w:cs="Calibri"/>
            <w:color w:val="0645AD"/>
            <w:shd w:val="clear" w:color="auto" w:fill="FFFFFF"/>
          </w:rPr>
          <w:t>acide gallique</w:t>
        </w:r>
      </w:hyperlink>
      <w:r w:rsidRPr="00082068">
        <w:rPr>
          <w:rFonts w:ascii="Calibri" w:hAnsi="Calibri" w:cs="Calibri"/>
          <w:color w:val="202122"/>
          <w:shd w:val="clear" w:color="auto" w:fill="FFFFFF"/>
        </w:rPr>
        <w:t>, de l’</w:t>
      </w:r>
      <w:hyperlink r:id="rId88" w:tooltip="L'acide ellagique" w:history="1">
        <w:r w:rsidRPr="00082068">
          <w:rPr>
            <w:rStyle w:val="Lienhypertexte"/>
            <w:rFonts w:ascii="Calibri" w:hAnsi="Calibri" w:cs="Calibri"/>
            <w:color w:val="0645AD"/>
            <w:shd w:val="clear" w:color="auto" w:fill="FFFFFF"/>
          </w:rPr>
          <w:t>acide ellagique</w:t>
        </w:r>
      </w:hyperlink>
      <w:r w:rsidRPr="00082068">
        <w:rPr>
          <w:rFonts w:ascii="Calibri" w:hAnsi="Calibri" w:cs="Calibri"/>
          <w:color w:val="202122"/>
          <w:shd w:val="clear" w:color="auto" w:fill="FFFFFF"/>
        </w:rPr>
        <w:t xml:space="preserve">, </w:t>
      </w:r>
      <w:r w:rsidRPr="00082068">
        <w:rPr>
          <w:rFonts w:ascii="Calibri" w:hAnsi="Calibri" w:cs="Calibri"/>
          <w:shd w:val="clear" w:color="auto" w:fill="FFFFFF"/>
        </w:rPr>
        <w:t>des </w:t>
      </w:r>
      <w:hyperlink r:id="rId89" w:tooltip="Glycoside" w:history="1">
        <w:r w:rsidRPr="00082068">
          <w:rPr>
            <w:rStyle w:val="Lienhypertexte"/>
            <w:rFonts w:ascii="Calibri" w:hAnsi="Calibri" w:cs="Calibri"/>
            <w:color w:val="0645AD"/>
            <w:shd w:val="clear" w:color="auto" w:fill="FFFFFF"/>
          </w:rPr>
          <w:t>glycosides </w:t>
        </w:r>
      </w:hyperlink>
      <w:hyperlink r:id="rId90" w:tooltip="Flavonoïde" w:history="1">
        <w:r w:rsidRPr="00082068">
          <w:rPr>
            <w:rStyle w:val="Lienhypertexte"/>
            <w:rFonts w:ascii="Calibri" w:hAnsi="Calibri" w:cs="Calibri"/>
            <w:color w:val="0645AD"/>
            <w:shd w:val="clear" w:color="auto" w:fill="FFFFFF"/>
          </w:rPr>
          <w:t>flavonoïdes</w:t>
        </w:r>
      </w:hyperlink>
      <w:r w:rsidRPr="00082068">
        <w:rPr>
          <w:rFonts w:ascii="Calibri" w:hAnsi="Calibri" w:cs="Calibri"/>
          <w:color w:val="202122"/>
          <w:shd w:val="clear" w:color="auto" w:fill="FFFFFF"/>
        </w:rPr>
        <w:t> </w:t>
      </w:r>
      <w:r w:rsidRPr="00082068">
        <w:rPr>
          <w:rFonts w:ascii="Calibri" w:hAnsi="Calibri" w:cs="Calibri"/>
          <w:shd w:val="clear" w:color="auto" w:fill="FFFFFF"/>
        </w:rPr>
        <w:t>et 4 tanins; les tanins rapportés sont le </w:t>
      </w:r>
      <w:hyperlink r:id="rId91" w:tooltip="2,3-(S)-hexahydroxydiphénoyl-D-glucose" w:history="1">
        <w:r w:rsidRPr="00082068">
          <w:rPr>
            <w:rStyle w:val="Lienhypertexte"/>
            <w:rFonts w:ascii="Calibri" w:hAnsi="Calibri" w:cs="Calibri"/>
            <w:color w:val="0645AD"/>
            <w:shd w:val="clear" w:color="auto" w:fill="FFFFFF"/>
          </w:rPr>
          <w:t>2,3-(S)-hexahydroxydiphenoyl-D-glucose</w:t>
        </w:r>
      </w:hyperlink>
      <w:r w:rsidRPr="00082068">
        <w:rPr>
          <w:rFonts w:ascii="Calibri" w:hAnsi="Calibri" w:cs="Calibri"/>
          <w:color w:val="202122"/>
          <w:shd w:val="clear" w:color="auto" w:fill="FFFFFF"/>
        </w:rPr>
        <w:t>, la </w:t>
      </w:r>
      <w:hyperlink r:id="rId92" w:tooltip="Punicaline" w:history="1">
        <w:r w:rsidRPr="00082068">
          <w:rPr>
            <w:rStyle w:val="Lienhypertexte"/>
            <w:rFonts w:ascii="Calibri" w:hAnsi="Calibri" w:cs="Calibri"/>
            <w:color w:val="0645AD"/>
            <w:shd w:val="clear" w:color="auto" w:fill="FFFFFF"/>
          </w:rPr>
          <w:t>punicaline</w:t>
        </w:r>
      </w:hyperlink>
      <w:r w:rsidRPr="00082068">
        <w:rPr>
          <w:rFonts w:ascii="Calibri" w:hAnsi="Calibri" w:cs="Calibri"/>
          <w:color w:val="202122"/>
          <w:shd w:val="clear" w:color="auto" w:fill="FFFFFF"/>
        </w:rPr>
        <w:t>, la </w:t>
      </w:r>
      <w:hyperlink r:id="rId93" w:tooltip="Punicalagine" w:history="1">
        <w:r w:rsidRPr="00082068">
          <w:rPr>
            <w:rStyle w:val="Lienhypertexte"/>
            <w:rFonts w:ascii="Calibri" w:hAnsi="Calibri" w:cs="Calibri"/>
            <w:color w:val="0645AD"/>
            <w:shd w:val="clear" w:color="auto" w:fill="FFFFFF"/>
          </w:rPr>
          <w:t>punicalagine</w:t>
        </w:r>
      </w:hyperlink>
      <w:r w:rsidRPr="00082068">
        <w:rPr>
          <w:rFonts w:ascii="Calibri" w:hAnsi="Calibri" w:cs="Calibri"/>
          <w:color w:val="202122"/>
          <w:shd w:val="clear" w:color="auto" w:fill="FFFFFF"/>
        </w:rPr>
        <w:t> et la </w:t>
      </w:r>
      <w:hyperlink r:id="rId94" w:tooltip="Combreglutinine" w:history="1">
        <w:r w:rsidRPr="00082068">
          <w:rPr>
            <w:rStyle w:val="Lienhypertexte"/>
            <w:rFonts w:ascii="Calibri" w:hAnsi="Calibri" w:cs="Calibri"/>
            <w:color w:val="0645AD"/>
            <w:shd w:val="clear" w:color="auto" w:fill="FFFFFF"/>
          </w:rPr>
          <w:t>combreglutinine</w:t>
        </w:r>
      </w:hyperlink>
      <w:r w:rsidRPr="00082068">
        <w:rPr>
          <w:rFonts w:ascii="Calibri" w:hAnsi="Calibri" w:cs="Calibri"/>
          <w:color w:val="202122"/>
          <w:shd w:val="clear" w:color="auto" w:fill="FFFFFF"/>
        </w:rPr>
        <w:t>.</w:t>
      </w:r>
    </w:p>
  </w:footnote>
  <w:footnote w:id="78">
    <w:p w14:paraId="224AC99C" w14:textId="265326D2" w:rsidR="00B5258D" w:rsidRPr="00B5258D" w:rsidRDefault="00B5258D">
      <w:pPr>
        <w:pStyle w:val="Notedebasdepage"/>
      </w:pPr>
      <w:r>
        <w:rPr>
          <w:rStyle w:val="Appelnotedebasdep"/>
        </w:rPr>
        <w:footnoteRef/>
      </w:r>
      <w:r>
        <w:t xml:space="preserve"> Cf. Selon </w:t>
      </w:r>
      <w:hyperlink r:id="rId95" w:history="1">
        <w:r w:rsidRPr="00B6599B">
          <w:rPr>
            <w:rStyle w:val="Lienhypertexte"/>
          </w:rPr>
          <w:t>http://www.theplantlist.org/tpl/record/kew-2692923</w:t>
        </w:r>
      </w:hyperlink>
      <w:r>
        <w:t xml:space="preserve"> </w:t>
      </w:r>
    </w:p>
  </w:footnote>
  <w:footnote w:id="79">
    <w:p w14:paraId="237B51EA" w14:textId="446A03A5" w:rsidR="00D45746" w:rsidRDefault="00D45746">
      <w:pPr>
        <w:pStyle w:val="Notedebasdepage"/>
      </w:pPr>
      <w:r>
        <w:rPr>
          <w:rStyle w:val="Appelnotedebasdep"/>
        </w:rPr>
        <w:footnoteRef/>
      </w:r>
      <w:r>
        <w:t xml:space="preserve"> </w:t>
      </w:r>
      <w:r w:rsidR="000B73C7">
        <w:t>E</w:t>
      </w:r>
      <w:r>
        <w:t>n Afrique du Sud, Zimbabwe, Mozambique, Botswana, Zambie, Namibie, Angola et Malawi. </w:t>
      </w:r>
    </w:p>
  </w:footnote>
  <w:footnote w:id="80">
    <w:p w14:paraId="15F36066" w14:textId="2E8AE4D0" w:rsidR="00F6450E" w:rsidRPr="00F6450E" w:rsidRDefault="00F6450E">
      <w:pPr>
        <w:pStyle w:val="Notedebasdepage"/>
        <w:rPr>
          <w:b/>
          <w:bCs/>
        </w:rPr>
      </w:pPr>
      <w:r>
        <w:rPr>
          <w:rStyle w:val="Appelnotedebasdep"/>
        </w:rPr>
        <w:footnoteRef/>
      </w:r>
      <w:r>
        <w:t xml:space="preserve"> Q</w:t>
      </w:r>
      <w:r w:rsidRPr="00F6450E">
        <w:t>ui pousse en terrain salé</w:t>
      </w:r>
      <w:r>
        <w:rPr>
          <w:b/>
          <w:bCs/>
        </w:rPr>
        <w:t>.</w:t>
      </w:r>
    </w:p>
  </w:footnote>
  <w:footnote w:id="81">
    <w:p w14:paraId="057FD03D" w14:textId="0D8DE563" w:rsidR="00741674" w:rsidRDefault="00741674" w:rsidP="00741674">
      <w:pPr>
        <w:pStyle w:val="Notedebasdepage"/>
        <w:jc w:val="both"/>
      </w:pPr>
      <w:r>
        <w:rPr>
          <w:rStyle w:val="Appelnotedebasdep"/>
        </w:rPr>
        <w:footnoteRef/>
      </w:r>
      <w:r>
        <w:t xml:space="preserve"> </w:t>
      </w:r>
      <w:r w:rsidRPr="00741674">
        <w:t xml:space="preserve">Imprégnée de subérine, une substance cireuse présente dans les végétaux de type Tracheobionta au niveau de la tige ou des racines. Ce biopolymère lipidique joue un rôle important dans la résistance de la plante aux attaques </w:t>
      </w:r>
      <w:r>
        <w:t>par des espèces vivantes</w:t>
      </w:r>
      <w:r w:rsidRPr="00741674">
        <w:t xml:space="preserve">. Cf. </w:t>
      </w:r>
      <w:hyperlink r:id="rId96" w:history="1">
        <w:r w:rsidRPr="00EE130C">
          <w:rPr>
            <w:rStyle w:val="Lienhypertexte"/>
          </w:rPr>
          <w:t>https://fr.wikipedia.org/wiki/Sub%C3%A9rine</w:t>
        </w:r>
      </w:hyperlink>
      <w:r>
        <w:t xml:space="preserve"> </w:t>
      </w:r>
    </w:p>
  </w:footnote>
  <w:footnote w:id="82">
    <w:p w14:paraId="4A314419" w14:textId="2D067FE4" w:rsidR="00603C4A" w:rsidRPr="00603C4A" w:rsidRDefault="00603C4A">
      <w:pPr>
        <w:pStyle w:val="Notedebasdepage"/>
      </w:pPr>
      <w:r w:rsidRPr="00603C4A">
        <w:rPr>
          <w:rStyle w:val="Appelnotedebasdep"/>
        </w:rPr>
        <w:footnoteRef/>
      </w:r>
      <w:r w:rsidRPr="00603C4A">
        <w:t xml:space="preserve"> a) Matériaux soufflés par le vent s'entassant à la base des plantes, b) dune de sable se formant autour de la végétation.</w:t>
      </w:r>
    </w:p>
  </w:footnote>
  <w:footnote w:id="83">
    <w:p w14:paraId="5AFF5BB5" w14:textId="1FA984B5" w:rsidR="00BA20AC" w:rsidRPr="00BA20AC" w:rsidRDefault="00BA20AC">
      <w:pPr>
        <w:pStyle w:val="Notedebasdepage"/>
        <w:rPr>
          <w:lang w:val="en-GB"/>
        </w:rPr>
      </w:pPr>
      <w:r>
        <w:rPr>
          <w:rStyle w:val="Appelnotedebasdep"/>
        </w:rPr>
        <w:footnoteRef/>
      </w:r>
      <w:r w:rsidRPr="00BA20AC">
        <w:rPr>
          <w:lang w:val="en-GB"/>
        </w:rPr>
        <w:t xml:space="preserve"> Cf. </w:t>
      </w:r>
      <w:hyperlink r:id="rId97" w:history="1">
        <w:r w:rsidRPr="00671AE6">
          <w:rPr>
            <w:rStyle w:val="Lienhypertexte"/>
            <w:lang w:val="en-GB"/>
          </w:rPr>
          <w:t>http://www.chantdeleau.com/terminalia-catappa-la-plante-des-eleveurs-de-discus/</w:t>
        </w:r>
      </w:hyperlink>
      <w:r w:rsidRPr="00BA20AC">
        <w:rPr>
          <w:lang w:val="en-GB"/>
        </w:rPr>
        <w:t xml:space="preserve"> </w:t>
      </w:r>
    </w:p>
  </w:footnote>
  <w:footnote w:id="84">
    <w:p w14:paraId="45CDBDA7" w14:textId="6B3F48D1" w:rsidR="00B14EE3" w:rsidRPr="00B14EE3" w:rsidRDefault="00B14EE3">
      <w:pPr>
        <w:pStyle w:val="Notedebasdepage"/>
        <w:rPr>
          <w:lang w:val="en-GB"/>
        </w:rPr>
      </w:pPr>
      <w:r>
        <w:rPr>
          <w:rStyle w:val="Appelnotedebasdep"/>
        </w:rPr>
        <w:footnoteRef/>
      </w:r>
      <w:r w:rsidRPr="00B14EE3">
        <w:rPr>
          <w:lang w:val="en-GB"/>
        </w:rPr>
        <w:t xml:space="preserve"> Cf. </w:t>
      </w:r>
      <w:hyperlink r:id="rId98" w:history="1">
        <w:r w:rsidRPr="00B14EE3">
          <w:rPr>
            <w:rStyle w:val="Lienhypertexte"/>
            <w:lang w:val="en-GB"/>
          </w:rPr>
          <w:t>http://www.biologie.uni-regensburg.de/Botanik/Schoenfelder/kanaren/flora_canaria_NZ.html</w:t>
        </w:r>
      </w:hyperlink>
    </w:p>
  </w:footnote>
  <w:footnote w:id="85">
    <w:p w14:paraId="4D9CA030" w14:textId="71263D40" w:rsidR="00B14EE3" w:rsidRPr="00AD078B" w:rsidRDefault="00B14EE3">
      <w:pPr>
        <w:pStyle w:val="Notedebasdepage"/>
        <w:rPr>
          <w:lang w:val="en-GB"/>
        </w:rPr>
      </w:pPr>
      <w:r>
        <w:rPr>
          <w:rStyle w:val="Appelnotedebasdep"/>
        </w:rPr>
        <w:footnoteRef/>
      </w:r>
      <w:r w:rsidRPr="00AD078B">
        <w:rPr>
          <w:lang w:val="en-GB"/>
        </w:rPr>
        <w:t xml:space="preserve"> Cf. </w:t>
      </w:r>
      <w:hyperlink r:id="rId99" w:history="1">
        <w:r w:rsidRPr="00AD078B">
          <w:rPr>
            <w:rStyle w:val="Lienhypertexte"/>
            <w:lang w:val="en-GB"/>
          </w:rPr>
          <w:t>http://cookislands.bishopmuseum.org/</w:t>
        </w:r>
      </w:hyperlink>
    </w:p>
  </w:footnote>
  <w:footnote w:id="86">
    <w:p w14:paraId="0804DBD2" w14:textId="22C6A0C6" w:rsidR="00867C79" w:rsidRDefault="00867C79" w:rsidP="00867C79">
      <w:pPr>
        <w:pStyle w:val="Notedebasdepage"/>
      </w:pPr>
      <w:r>
        <w:rPr>
          <w:rStyle w:val="Appelnotedebasdep"/>
        </w:rPr>
        <w:footnoteRef/>
      </w:r>
      <w:r>
        <w:t xml:space="preserve"> a) </w:t>
      </w:r>
      <w:r w:rsidRPr="00867C79">
        <w:rPr>
          <w:i/>
          <w:iCs/>
        </w:rPr>
        <w:t>Dictionnaire de la diversité biologique et de la conservation de la nature</w:t>
      </w:r>
      <w:r>
        <w:t xml:space="preserve">, Patrick Triplet, 2015, pages 444-445, </w:t>
      </w:r>
      <w:hyperlink r:id="rId100" w:history="1">
        <w:r w:rsidRPr="00AF787D">
          <w:rPr>
            <w:rStyle w:val="Lienhypertexte"/>
          </w:rPr>
          <w:t>https://nbsapforum.net/sites/default/files/Dictionnaire%20conservation%20P%20Triplet.pdf</w:t>
        </w:r>
      </w:hyperlink>
      <w:r>
        <w:t xml:space="preserve"> </w:t>
      </w:r>
    </w:p>
    <w:p w14:paraId="290F2A7B" w14:textId="684E0541" w:rsidR="00867C79" w:rsidRPr="00867C79" w:rsidRDefault="00867C79" w:rsidP="00867C79">
      <w:pPr>
        <w:pStyle w:val="Notedebasdepage"/>
        <w:rPr>
          <w:lang w:val="en-GB"/>
        </w:rPr>
      </w:pPr>
      <w:r w:rsidRPr="00867C79">
        <w:rPr>
          <w:lang w:val="en-GB"/>
        </w:rPr>
        <w:t xml:space="preserve">b) </w:t>
      </w:r>
      <w:hyperlink r:id="rId101" w:history="1">
        <w:r w:rsidRPr="00AF787D">
          <w:rPr>
            <w:rStyle w:val="Lienhypertexte"/>
            <w:lang w:val="en-GB"/>
          </w:rPr>
          <w:t>http://www.onf.fr/interreg-mangroves/sommaire/zhl/ecosystemes/ecosystemes/20101130-110910-92235/@@index.html</w:t>
        </w:r>
      </w:hyperlink>
      <w:r>
        <w:rPr>
          <w:lang w:val="en-GB"/>
        </w:rPr>
        <w:t xml:space="preserve"> </w:t>
      </w:r>
    </w:p>
  </w:footnote>
  <w:footnote w:id="87">
    <w:p w14:paraId="3F80D8B9" w14:textId="50251D70" w:rsidR="00CF6014" w:rsidRDefault="00CF6014">
      <w:pPr>
        <w:pStyle w:val="Notedebasdepage"/>
      </w:pPr>
      <w:r>
        <w:rPr>
          <w:rStyle w:val="Appelnotedebasdep"/>
        </w:rPr>
        <w:footnoteRef/>
      </w:r>
      <w:r>
        <w:t xml:space="preserve"> Sources : a) </w:t>
      </w:r>
      <w:r w:rsidRPr="001A590D">
        <w:rPr>
          <w:i/>
          <w:iCs/>
        </w:rPr>
        <w:t>Espèces de palétuviers dans les mangroves de Toliara</w:t>
      </w:r>
      <w:r>
        <w:t xml:space="preserve">, Serge Tostain, FORMAD Environnement, Toliara, juin 2010, </w:t>
      </w:r>
      <w:hyperlink r:id="rId102" w:history="1">
        <w:r w:rsidRPr="00AF787D">
          <w:rPr>
            <w:rStyle w:val="Lienhypertexte"/>
          </w:rPr>
          <w:t>http://www.formad-environnement.org/paletuviers_29dec11.pdf</w:t>
        </w:r>
      </w:hyperlink>
    </w:p>
  </w:footnote>
  <w:footnote w:id="88">
    <w:p w14:paraId="07F1B31A" w14:textId="703A070E" w:rsidR="00E27198" w:rsidRPr="00E27198" w:rsidRDefault="00E27198" w:rsidP="00E27198">
      <w:pPr>
        <w:pStyle w:val="Notedebasdepage"/>
        <w:jc w:val="both"/>
      </w:pPr>
      <w:r>
        <w:rPr>
          <w:rStyle w:val="Appelnotedebasdep"/>
        </w:rPr>
        <w:footnoteRef/>
      </w:r>
      <w:r w:rsidRPr="00E27198">
        <w:t xml:space="preserve"> SmartFish est un programme régional de pêche mis en œuvre conjointement par la Commission de l'océan Indien et l'Organisation des Nations-Unies pour l'alimentation et l'agriculture (FAO). SmartFish opère dans 20 pays de la région océan Indien-Afrique australe et orientale</w:t>
      </w:r>
      <w:r>
        <w:t>.</w:t>
      </w:r>
    </w:p>
  </w:footnote>
  <w:footnote w:id="89">
    <w:p w14:paraId="3D021417" w14:textId="11591CF8" w:rsidR="00E27198" w:rsidRPr="00E27198" w:rsidRDefault="00E27198">
      <w:pPr>
        <w:pStyle w:val="Notedebasdepage"/>
        <w:rPr>
          <w:lang w:val="en-GB"/>
        </w:rPr>
      </w:pPr>
      <w:r>
        <w:rPr>
          <w:rStyle w:val="Appelnotedebasdep"/>
        </w:rPr>
        <w:footnoteRef/>
      </w:r>
      <w:r w:rsidRPr="00E27198">
        <w:rPr>
          <w:lang w:val="en-GB"/>
        </w:rPr>
        <w:t xml:space="preserve"> Cf. </w:t>
      </w:r>
      <w:hyperlink r:id="rId103" w:history="1">
        <w:r w:rsidRPr="00E27198">
          <w:rPr>
            <w:rStyle w:val="Lienhypertexte"/>
            <w:lang w:val="en-GB"/>
          </w:rPr>
          <w:t>http://ecoaustral.com/le-programme-smartfish-en-appui-lexploitation-du-crabe-de-mangrove</w:t>
        </w:r>
      </w:hyperlink>
    </w:p>
  </w:footnote>
  <w:footnote w:id="90">
    <w:p w14:paraId="3CDC9D91" w14:textId="6F7A2CC8" w:rsidR="009E078E" w:rsidRPr="009E078E" w:rsidRDefault="009E078E">
      <w:pPr>
        <w:pStyle w:val="Notedebasdepage"/>
      </w:pPr>
      <w:r>
        <w:rPr>
          <w:rStyle w:val="Appelnotedebasdep"/>
        </w:rPr>
        <w:footnoteRef/>
      </w:r>
      <w:r w:rsidRPr="009E078E">
        <w:t xml:space="preserve"> Source : Bouillon et al., 2008. Global Biochemical Cycles, 22 (GB2013) : 1-12.</w:t>
      </w:r>
    </w:p>
  </w:footnote>
  <w:footnote w:id="91">
    <w:p w14:paraId="6323BBAF" w14:textId="77777777" w:rsidR="006B2C49" w:rsidRPr="003F5F30" w:rsidRDefault="006B2C49" w:rsidP="006B2C49">
      <w:pPr>
        <w:pStyle w:val="Notedebasdepage"/>
      </w:pPr>
      <w:r>
        <w:rPr>
          <w:rStyle w:val="Appelnotedebasdep"/>
        </w:rPr>
        <w:footnoteRef/>
      </w:r>
      <w:r w:rsidRPr="003F5F30">
        <w:t xml:space="preserve"> </w:t>
      </w:r>
      <w:r w:rsidRPr="003F5F30">
        <w:rPr>
          <w:i/>
          <w:iCs/>
        </w:rPr>
        <w:t>Techniques de gestion des écosystèmes forestiers tropicaux: état de l'art</w:t>
      </w:r>
      <w:r w:rsidRPr="003F5F30">
        <w:t>, Working Paper: FAO/FPIRS/05 prepared for the World Bank Forest Policy Implementation Review and Strategy, B Dupuy, H -F Maître et I Amsallem</w:t>
      </w:r>
    </w:p>
    <w:p w14:paraId="235C86D0" w14:textId="20F06299" w:rsidR="006B2C49" w:rsidRPr="006B2C49" w:rsidRDefault="006B2C49" w:rsidP="006B2C49">
      <w:pPr>
        <w:pStyle w:val="Notedebasdepage"/>
        <w:rPr>
          <w:lang w:val="en-GB"/>
        </w:rPr>
      </w:pPr>
      <w:r w:rsidRPr="006B2C49">
        <w:rPr>
          <w:lang w:val="en-GB"/>
        </w:rPr>
        <w:t xml:space="preserve">CIRAD, Forestry Policy and Planning Division, Rome, July 1999, page 31, </w:t>
      </w:r>
      <w:hyperlink r:id="rId104" w:history="1">
        <w:r w:rsidRPr="006B2C49">
          <w:rPr>
            <w:rStyle w:val="Lienhypertexte"/>
            <w:lang w:val="en-GB"/>
          </w:rPr>
          <w:t>http://www.fao.org/3/x4130f/x4130f.pdf</w:t>
        </w:r>
      </w:hyperlink>
      <w:r w:rsidRPr="006B2C49">
        <w:rPr>
          <w:lang w:val="en-GB"/>
        </w:rPr>
        <w:t xml:space="preserve"> </w:t>
      </w:r>
    </w:p>
  </w:footnote>
  <w:footnote w:id="92">
    <w:p w14:paraId="66038C64" w14:textId="04F78CAD" w:rsidR="007F470F" w:rsidRDefault="007F470F">
      <w:pPr>
        <w:pStyle w:val="Notedebasdepage"/>
      </w:pPr>
      <w:r>
        <w:rPr>
          <w:rStyle w:val="Appelnotedebasdep"/>
        </w:rPr>
        <w:footnoteRef/>
      </w:r>
      <w:r>
        <w:t xml:space="preserve"> </w:t>
      </w:r>
      <w:r w:rsidRPr="007F470F">
        <w:rPr>
          <w:b/>
          <w:bCs/>
          <w:i/>
          <w:iCs/>
        </w:rPr>
        <w:t>Pneumatophore</w:t>
      </w:r>
      <w:r w:rsidRPr="007F470F">
        <w:t xml:space="preserve"> : excroissances verticales exposées à l'air (aérienne), à marée basse, pour leur permettre de respirer.</w:t>
      </w:r>
      <w:r>
        <w:t xml:space="preserve"> </w:t>
      </w:r>
    </w:p>
  </w:footnote>
  <w:footnote w:id="93">
    <w:p w14:paraId="33E42783" w14:textId="77777777" w:rsidR="00C47622" w:rsidRDefault="00C47622" w:rsidP="00C47622">
      <w:pPr>
        <w:pStyle w:val="Notedebasdepage"/>
      </w:pPr>
      <w:r>
        <w:rPr>
          <w:rStyle w:val="Appelnotedebasdep"/>
        </w:rPr>
        <w:footnoteRef/>
      </w:r>
      <w:r>
        <w:t xml:space="preserve"> </w:t>
      </w:r>
      <w:hyperlink r:id="rId105" w:history="1">
        <w:r w:rsidRPr="00AF787D">
          <w:rPr>
            <w:rStyle w:val="Lienhypertexte"/>
          </w:rPr>
          <w:t>http://queenslandcoast.blogspot.com/2016/09/australias-spurred-mangroves-ceriops-sp.html</w:t>
        </w:r>
      </w:hyperlink>
      <w:r>
        <w:t xml:space="preserve"> </w:t>
      </w:r>
    </w:p>
  </w:footnote>
  <w:footnote w:id="94">
    <w:p w14:paraId="41C32837" w14:textId="472CC173" w:rsidR="009D65F3" w:rsidRDefault="009D65F3">
      <w:pPr>
        <w:pStyle w:val="Notedebasdepage"/>
      </w:pPr>
      <w:r>
        <w:rPr>
          <w:rStyle w:val="Appelnotedebasdep"/>
        </w:rPr>
        <w:footnoteRef/>
      </w:r>
      <w:r>
        <w:t xml:space="preserve"> </w:t>
      </w:r>
      <w:hyperlink r:id="rId106" w:history="1">
        <w:r w:rsidRPr="00AF787D">
          <w:rPr>
            <w:rStyle w:val="Lienhypertexte"/>
          </w:rPr>
          <w:t>http://queenslandcoast.blogspot.com/2016/09/australias-spurred-mangroves-ceriops-sp.html</w:t>
        </w:r>
      </w:hyperlink>
      <w:r>
        <w:t xml:space="preserve"> </w:t>
      </w:r>
    </w:p>
  </w:footnote>
  <w:footnote w:id="95">
    <w:p w14:paraId="3E56A814" w14:textId="5DA5C57F" w:rsidR="000E7BE8" w:rsidRPr="000E7BE8" w:rsidRDefault="000E7BE8">
      <w:pPr>
        <w:pStyle w:val="Notedebasdepage"/>
        <w:rPr>
          <w:lang w:val="en-GB"/>
        </w:rPr>
      </w:pPr>
      <w:r>
        <w:rPr>
          <w:rStyle w:val="Appelnotedebasdep"/>
        </w:rPr>
        <w:footnoteRef/>
      </w:r>
      <w:r w:rsidRPr="000E7BE8">
        <w:rPr>
          <w:lang w:val="en-GB"/>
        </w:rPr>
        <w:t xml:space="preserve"> </w:t>
      </w:r>
      <w:r>
        <w:rPr>
          <w:lang w:val="en-GB"/>
        </w:rPr>
        <w:t xml:space="preserve">Cf. </w:t>
      </w:r>
      <w:hyperlink r:id="rId107" w:history="1">
        <w:r w:rsidRPr="00AF787D">
          <w:rPr>
            <w:rStyle w:val="Lienhypertexte"/>
            <w:lang w:val="en-GB"/>
          </w:rPr>
          <w:t>http://amap-collaboratif.cirad.fr/Docs_Logiciels/Mangrove_web/especes/s/sonal/sonal_10.html</w:t>
        </w:r>
      </w:hyperlink>
      <w:r>
        <w:rPr>
          <w:lang w:val="en-GB"/>
        </w:rPr>
        <w:t xml:space="preserve"> </w:t>
      </w:r>
    </w:p>
  </w:footnote>
  <w:footnote w:id="96">
    <w:p w14:paraId="376839E6" w14:textId="5664F437" w:rsidR="00411F84" w:rsidRPr="00411F84" w:rsidRDefault="00411F84">
      <w:pPr>
        <w:pStyle w:val="Notedebasdepage"/>
        <w:rPr>
          <w:lang w:val="en-GB"/>
        </w:rPr>
      </w:pPr>
      <w:r>
        <w:rPr>
          <w:rStyle w:val="Appelnotedebasdep"/>
        </w:rPr>
        <w:footnoteRef/>
      </w:r>
      <w:r w:rsidRPr="00411F84">
        <w:rPr>
          <w:lang w:val="en-GB"/>
        </w:rPr>
        <w:t xml:space="preserve"> Cf. </w:t>
      </w:r>
      <w:hyperlink r:id="rId108" w:history="1">
        <w:r w:rsidRPr="00AF787D">
          <w:rPr>
            <w:rStyle w:val="Lienhypertexte"/>
            <w:lang w:val="en-GB"/>
          </w:rPr>
          <w:t>https://www.123rf.com/photo_15265728_xylocarpus-granatum-its-natural-environment-ta-bun-ta-boon-thailand.html</w:t>
        </w:r>
      </w:hyperlink>
      <w:r>
        <w:rPr>
          <w:lang w:val="en-GB"/>
        </w:rPr>
        <w:t xml:space="preserve"> </w:t>
      </w:r>
    </w:p>
  </w:footnote>
  <w:footnote w:id="97">
    <w:p w14:paraId="33D508A7" w14:textId="5295CEEA" w:rsidR="00266ECD" w:rsidRPr="00F33120" w:rsidRDefault="00266ECD">
      <w:pPr>
        <w:pStyle w:val="Notedebasdepage"/>
        <w:rPr>
          <w:lang w:val="en-GB"/>
        </w:rPr>
      </w:pPr>
      <w:r>
        <w:rPr>
          <w:rStyle w:val="Appelnotedebasdep"/>
        </w:rPr>
        <w:footnoteRef/>
      </w:r>
      <w:r w:rsidRPr="00F33120">
        <w:rPr>
          <w:lang w:val="en-GB"/>
        </w:rPr>
        <w:t xml:space="preserve"> Seedling = plant ou semis.</w:t>
      </w:r>
    </w:p>
  </w:footnote>
  <w:footnote w:id="98">
    <w:p w14:paraId="6ED98DE0" w14:textId="6C63F8B6" w:rsidR="00266ECD" w:rsidRPr="00F33120" w:rsidRDefault="00266ECD">
      <w:pPr>
        <w:pStyle w:val="Notedebasdepage"/>
        <w:rPr>
          <w:lang w:val="en-GB"/>
        </w:rPr>
      </w:pPr>
      <w:r>
        <w:rPr>
          <w:rStyle w:val="Appelnotedebasdep"/>
        </w:rPr>
        <w:footnoteRef/>
      </w:r>
      <w:r w:rsidRPr="00F33120">
        <w:rPr>
          <w:lang w:val="en-GB"/>
        </w:rPr>
        <w:t xml:space="preserve"> a) </w:t>
      </w:r>
      <w:hyperlink r:id="rId109" w:history="1">
        <w:r w:rsidRPr="00F33120">
          <w:rPr>
            <w:rStyle w:val="Lienhypertexte"/>
            <w:lang w:val="en-GB"/>
          </w:rPr>
          <w:t>http://www.gcca.eu/fr/programmes-nationaux/caraibes/amcc-guyana</w:t>
        </w:r>
      </w:hyperlink>
      <w:r w:rsidRPr="00F33120">
        <w:rPr>
          <w:lang w:val="en-GB"/>
        </w:rPr>
        <w:t xml:space="preserve">, b) </w:t>
      </w:r>
      <w:hyperlink r:id="rId110" w:history="1">
        <w:r w:rsidRPr="00F33120">
          <w:rPr>
            <w:rStyle w:val="Lienhypertexte"/>
            <w:lang w:val="en-GB"/>
          </w:rPr>
          <w:t>http://www.mangrovesgy.org/</w:t>
        </w:r>
      </w:hyperlink>
      <w:r w:rsidRPr="00F33120">
        <w:rPr>
          <w:lang w:val="en-GB"/>
        </w:rPr>
        <w:t xml:space="preserve">,  </w:t>
      </w:r>
    </w:p>
    <w:p w14:paraId="0920EE4E" w14:textId="2CE52C19" w:rsidR="00266ECD" w:rsidRDefault="00266ECD">
      <w:pPr>
        <w:pStyle w:val="Notedebasdepage"/>
      </w:pPr>
      <w:r w:rsidRPr="00266ECD">
        <w:t>c) Voir aussi chapitre « </w:t>
      </w:r>
      <w:r w:rsidRPr="00266ECD">
        <w:rPr>
          <w:i/>
          <w:iCs/>
        </w:rPr>
        <w:t>Bibliographie</w:t>
      </w:r>
      <w:r w:rsidRPr="00266ECD">
        <w:t xml:space="preserve"> ».</w:t>
      </w:r>
    </w:p>
  </w:footnote>
  <w:footnote w:id="99">
    <w:p w14:paraId="3C988466" w14:textId="1ACBF98A" w:rsidR="00266ECD" w:rsidRPr="00266ECD" w:rsidRDefault="00266ECD">
      <w:pPr>
        <w:pStyle w:val="Notedebasdepage"/>
        <w:rPr>
          <w:lang w:val="en-GB"/>
        </w:rPr>
      </w:pPr>
      <w:r>
        <w:rPr>
          <w:rStyle w:val="Appelnotedebasdep"/>
        </w:rPr>
        <w:footnoteRef/>
      </w:r>
      <w:r w:rsidRPr="00266ECD">
        <w:rPr>
          <w:lang w:val="en-GB"/>
        </w:rPr>
        <w:t xml:space="preserve"> Cf. </w:t>
      </w:r>
      <w:hyperlink r:id="rId111" w:history="1">
        <w:r w:rsidRPr="00266ECD">
          <w:rPr>
            <w:rStyle w:val="Lienhypertexte"/>
            <w:lang w:val="en-GB"/>
          </w:rPr>
          <w:t>http://www.livelihoods.eu/fr/senegal-lorsque-les-planteurs-de-paletuviers-deviennent-des-planteurs-dentreprises/</w:t>
        </w:r>
      </w:hyperlink>
    </w:p>
  </w:footnote>
  <w:footnote w:id="100">
    <w:p w14:paraId="619D8071" w14:textId="113F8A1F" w:rsidR="00FB0B74" w:rsidRPr="00FB0B74" w:rsidRDefault="00FB0B74">
      <w:pPr>
        <w:pStyle w:val="Notedebasdepage"/>
        <w:rPr>
          <w:lang w:val="en-GB"/>
        </w:rPr>
      </w:pPr>
      <w:r>
        <w:rPr>
          <w:rStyle w:val="Appelnotedebasdep"/>
        </w:rPr>
        <w:footnoteRef/>
      </w:r>
      <w:r w:rsidRPr="00FB0B74">
        <w:rPr>
          <w:lang w:val="en-GB"/>
        </w:rPr>
        <w:t xml:space="preserve"> Cf. </w:t>
      </w:r>
      <w:hyperlink r:id="rId112" w:history="1">
        <w:r w:rsidRPr="00FB0B74">
          <w:rPr>
            <w:rStyle w:val="Lienhypertexte"/>
            <w:lang w:val="en-GB"/>
          </w:rPr>
          <w:t>http://www.drcsc.org/VET/library/Nursery/Mangrove_Nursery_manual_HR.pdf</w:t>
        </w:r>
      </w:hyperlink>
    </w:p>
  </w:footnote>
  <w:footnote w:id="101">
    <w:p w14:paraId="650B7B64" w14:textId="20986AC1" w:rsidR="00FB0B74" w:rsidRPr="00FB0B74" w:rsidRDefault="00FB0B74">
      <w:pPr>
        <w:pStyle w:val="Notedebasdepage"/>
        <w:rPr>
          <w:lang w:val="en-GB"/>
        </w:rPr>
      </w:pPr>
      <w:r>
        <w:rPr>
          <w:rStyle w:val="Appelnotedebasdep"/>
        </w:rPr>
        <w:footnoteRef/>
      </w:r>
      <w:r w:rsidRPr="00FB0B74">
        <w:rPr>
          <w:lang w:val="en-GB"/>
        </w:rPr>
        <w:t xml:space="preserve"> Cf. </w:t>
      </w:r>
      <w:hyperlink r:id="rId113" w:history="1">
        <w:r w:rsidRPr="00FB0B74">
          <w:rPr>
            <w:rStyle w:val="Lienhypertexte"/>
            <w:lang w:val="en-GB"/>
          </w:rPr>
          <w:t>http://www.drcsc.org/VET/library/Nursery/Mangrove_Nursery_manual_HR.pdf</w:t>
        </w:r>
      </w:hyperlink>
    </w:p>
  </w:footnote>
  <w:footnote w:id="102">
    <w:p w14:paraId="00B1D438" w14:textId="57E0D2B1" w:rsidR="00F4727F" w:rsidRPr="00F4727F" w:rsidRDefault="00F4727F">
      <w:pPr>
        <w:pStyle w:val="Notedebasdepage"/>
        <w:rPr>
          <w:lang w:val="en-GB"/>
        </w:rPr>
      </w:pPr>
      <w:r>
        <w:rPr>
          <w:rStyle w:val="Appelnotedebasdep"/>
        </w:rPr>
        <w:footnoteRef/>
      </w:r>
      <w:r w:rsidRPr="00F4727F">
        <w:rPr>
          <w:lang w:val="en-GB"/>
        </w:rPr>
        <w:t xml:space="preserve"> Cf. </w:t>
      </w:r>
      <w:hyperlink r:id="rId114" w:history="1">
        <w:r w:rsidRPr="00F4727F">
          <w:rPr>
            <w:rStyle w:val="Lienhypertexte"/>
            <w:lang w:val="en-GB"/>
          </w:rPr>
          <w:t>http://www.advanceconsulting.nl/news/1542/2012/09/greening-the-peruvian-desert</w:t>
        </w:r>
      </w:hyperlink>
    </w:p>
  </w:footnote>
  <w:footnote w:id="103">
    <w:p w14:paraId="2985F634" w14:textId="30F4A10F" w:rsidR="00857D95" w:rsidRDefault="00857D95" w:rsidP="00857D95">
      <w:pPr>
        <w:pStyle w:val="Notedebasdepage"/>
        <w:jc w:val="both"/>
      </w:pPr>
      <w:r>
        <w:rPr>
          <w:rStyle w:val="Appelnotedebasdep"/>
        </w:rPr>
        <w:footnoteRef/>
      </w:r>
      <w:r>
        <w:t xml:space="preserve"> </w:t>
      </w:r>
      <w:hyperlink r:id="rId115" w:history="1">
        <w:r>
          <w:rPr>
            <w:rStyle w:val="Lienhypertexte"/>
          </w:rPr>
          <w:t>B</w:t>
        </w:r>
        <w:r w:rsidRPr="00F33788">
          <w:rPr>
            <w:rStyle w:val="Lienhypertexte"/>
          </w:rPr>
          <w:t>etteraves</w:t>
        </w:r>
      </w:hyperlink>
      <w:r w:rsidRPr="00F33788">
        <w:t> </w:t>
      </w:r>
      <w:hyperlink r:id="rId116" w:history="1">
        <w:r w:rsidRPr="00F33788">
          <w:rPr>
            <w:rStyle w:val="Lienhypertexte"/>
          </w:rPr>
          <w:t>potagères</w:t>
        </w:r>
      </w:hyperlink>
      <w:r w:rsidRPr="00F33788">
        <w:t xml:space="preserve"> (également appelée </w:t>
      </w:r>
      <w:r w:rsidRPr="00F33788">
        <w:rPr>
          <w:i/>
          <w:iCs/>
        </w:rPr>
        <w:t>betterave rouge</w:t>
      </w:r>
      <w:r w:rsidRPr="00F33788">
        <w:t>, </w:t>
      </w:r>
      <w:r w:rsidRPr="00F33788">
        <w:rPr>
          <w:i/>
          <w:iCs/>
        </w:rPr>
        <w:t>carotte rouge</w:t>
      </w:r>
      <w:r w:rsidRPr="00F33788">
        <w:t> ou </w:t>
      </w:r>
      <w:r w:rsidRPr="00F33788">
        <w:rPr>
          <w:i/>
          <w:iCs/>
        </w:rPr>
        <w:t>racine rouge</w:t>
      </w:r>
      <w:r w:rsidRPr="00F33788">
        <w:t>.), </w:t>
      </w:r>
      <w:hyperlink r:id="rId117" w:history="1">
        <w:r w:rsidRPr="00F33788">
          <w:rPr>
            <w:rStyle w:val="Lienhypertexte"/>
          </w:rPr>
          <w:t>fourragères</w:t>
        </w:r>
      </w:hyperlink>
      <w:r w:rsidRPr="00F33788">
        <w:t>, </w:t>
      </w:r>
      <w:hyperlink r:id="rId118" w:history="1">
        <w:r w:rsidRPr="00F33788">
          <w:rPr>
            <w:rStyle w:val="Lienhypertexte"/>
          </w:rPr>
          <w:t>sucrières</w:t>
        </w:r>
      </w:hyperlink>
      <w:r w:rsidRPr="00F33788">
        <w:t xml:space="preserve"> (riche en </w:t>
      </w:r>
      <w:hyperlink r:id="rId119" w:history="1">
        <w:r w:rsidRPr="00F33788">
          <w:rPr>
            <w:rStyle w:val="Lienhypertexte"/>
          </w:rPr>
          <w:t>saccharose</w:t>
        </w:r>
      </w:hyperlink>
      <w:r w:rsidRPr="00F33788">
        <w:t>), </w:t>
      </w:r>
      <w:hyperlink r:id="rId120" w:history="1">
        <w:r w:rsidRPr="00F33788">
          <w:rPr>
            <w:rStyle w:val="Lienhypertexte"/>
          </w:rPr>
          <w:t>poirées</w:t>
        </w:r>
      </w:hyperlink>
      <w:r w:rsidRPr="00F33788">
        <w:t>, </w:t>
      </w:r>
      <w:hyperlink r:id="rId121" w:history="1">
        <w:r w:rsidRPr="00F33788">
          <w:rPr>
            <w:rStyle w:val="Lienhypertexte"/>
          </w:rPr>
          <w:t>blettes</w:t>
        </w:r>
      </w:hyperlink>
      <w:r w:rsidRPr="00F33788">
        <w:t>.</w:t>
      </w:r>
    </w:p>
  </w:footnote>
  <w:footnote w:id="104">
    <w:p w14:paraId="15A8B3A8" w14:textId="05455B89" w:rsidR="00857D95" w:rsidRDefault="00857D95" w:rsidP="00857D95">
      <w:pPr>
        <w:pStyle w:val="Notedebasdepage"/>
        <w:jc w:val="both"/>
      </w:pPr>
      <w:r>
        <w:rPr>
          <w:rStyle w:val="Appelnotedebasdep"/>
        </w:rPr>
        <w:footnoteRef/>
      </w:r>
      <w:r>
        <w:t xml:space="preserve"> </w:t>
      </w:r>
      <w:r w:rsidRPr="00857D95">
        <w:rPr>
          <w:rFonts w:ascii="Calibri" w:hAnsi="Calibri" w:cs="Calibri"/>
          <w:i/>
          <w:iCs/>
          <w:color w:val="202122"/>
          <w:shd w:val="clear" w:color="auto" w:fill="FFFFFF"/>
        </w:rPr>
        <w:t>Beta vulgaris</w:t>
      </w:r>
      <w:r w:rsidRPr="00857D95">
        <w:rPr>
          <w:rFonts w:ascii="Calibri" w:hAnsi="Calibri" w:cs="Calibri"/>
          <w:color w:val="202122"/>
          <w:shd w:val="clear" w:color="auto" w:fill="FFFFFF"/>
        </w:rPr>
        <w:t> appartient à la famille des </w:t>
      </w:r>
      <w:hyperlink r:id="rId122" w:tooltip="Amaranthaceae" w:history="1">
        <w:r w:rsidRPr="00857D95">
          <w:rPr>
            <w:rStyle w:val="Lienhypertexte"/>
            <w:rFonts w:ascii="Calibri" w:hAnsi="Calibri" w:cs="Calibri"/>
            <w:i/>
            <w:iCs/>
            <w:color w:val="0645AD"/>
            <w:shd w:val="clear" w:color="auto" w:fill="FFFFFF"/>
          </w:rPr>
          <w:t>Amaranthaceae</w:t>
        </w:r>
      </w:hyperlink>
      <w:r w:rsidRPr="00857D95">
        <w:rPr>
          <w:rFonts w:ascii="Calibri" w:hAnsi="Calibri" w:cs="Calibri"/>
          <w:color w:val="202122"/>
          <w:shd w:val="clear" w:color="auto" w:fill="FFFFFF"/>
        </w:rPr>
        <w:t>, sous-famille des </w:t>
      </w:r>
      <w:hyperlink r:id="rId123" w:tooltip="Betoideae" w:history="1">
        <w:r w:rsidRPr="00857D95">
          <w:rPr>
            <w:rStyle w:val="Lienhypertexte"/>
            <w:rFonts w:ascii="Calibri" w:hAnsi="Calibri" w:cs="Calibri"/>
            <w:i/>
            <w:iCs/>
            <w:color w:val="0645AD"/>
            <w:shd w:val="clear" w:color="auto" w:fill="FFFFFF"/>
          </w:rPr>
          <w:t>Betoideae</w:t>
        </w:r>
      </w:hyperlink>
      <w:r w:rsidRPr="00857D95">
        <w:rPr>
          <w:rFonts w:ascii="Calibri" w:hAnsi="Calibri" w:cs="Calibri"/>
          <w:color w:val="202122"/>
          <w:shd w:val="clear" w:color="auto" w:fill="FFFFFF"/>
        </w:rPr>
        <w:t>. Elle était auparavant classée dans la famille des </w:t>
      </w:r>
      <w:hyperlink r:id="rId124" w:tooltip="Chenopodiaceae" w:history="1">
        <w:r w:rsidRPr="00857D95">
          <w:rPr>
            <w:rStyle w:val="Lienhypertexte"/>
            <w:rFonts w:ascii="Calibri" w:hAnsi="Calibri" w:cs="Calibri"/>
            <w:i/>
            <w:iCs/>
            <w:color w:val="0645AD"/>
            <w:shd w:val="clear" w:color="auto" w:fill="FFFFFF"/>
          </w:rPr>
          <w:t>Chenopodiaceae</w:t>
        </w:r>
      </w:hyperlink>
      <w:r w:rsidRPr="00857D95">
        <w:rPr>
          <w:rFonts w:ascii="Calibri" w:hAnsi="Calibri" w:cs="Calibri"/>
          <w:color w:val="202122"/>
          <w:shd w:val="clear" w:color="auto" w:fill="FFFFFF"/>
        </w:rPr>
        <w:t>.</w:t>
      </w:r>
    </w:p>
  </w:footnote>
  <w:footnote w:id="105">
    <w:p w14:paraId="4A952D98" w14:textId="44D41F2F" w:rsidR="00857D95" w:rsidRPr="0089104E" w:rsidRDefault="00857D95">
      <w:pPr>
        <w:pStyle w:val="Notedebasdepage"/>
      </w:pPr>
      <w:r>
        <w:rPr>
          <w:rStyle w:val="Appelnotedebasdep"/>
        </w:rPr>
        <w:footnoteRef/>
      </w:r>
      <w:r w:rsidRPr="0089104E">
        <w:t xml:space="preserve"> Cf. </w:t>
      </w:r>
      <w:hyperlink r:id="rId125" w:history="1">
        <w:r w:rsidRPr="0089104E">
          <w:rPr>
            <w:rStyle w:val="Lienhypertexte"/>
          </w:rPr>
          <w:t>http://link.springer.com/leaf-pricing/chapter/10.1007/978-3-7643-8554-5_12</w:t>
        </w:r>
      </w:hyperlink>
    </w:p>
  </w:footnote>
  <w:footnote w:id="106">
    <w:p w14:paraId="4B7CC079" w14:textId="356CF50E" w:rsidR="00B6379D" w:rsidRPr="00B6379D" w:rsidRDefault="00B6379D" w:rsidP="00B6379D">
      <w:pPr>
        <w:pStyle w:val="Notedebasdepage"/>
        <w:jc w:val="both"/>
        <w:rPr>
          <w:lang w:val="en-GB"/>
        </w:rPr>
      </w:pPr>
      <w:r>
        <w:rPr>
          <w:rStyle w:val="Appelnotedebasdep"/>
        </w:rPr>
        <w:footnoteRef/>
      </w:r>
      <w:r w:rsidRPr="00B6379D">
        <w:rPr>
          <w:lang w:val="en-GB"/>
        </w:rPr>
        <w:t xml:space="preserve"> </w:t>
      </w:r>
      <w:r w:rsidRPr="00B6379D">
        <w:rPr>
          <w:i/>
          <w:iCs/>
          <w:lang w:val="en-GB"/>
        </w:rPr>
        <w:t>In-Vitro Selection for Salt Tolerance of Taro (Colocasia esculenta var antiquorum),</w:t>
      </w:r>
      <w:r w:rsidRPr="00B6379D">
        <w:rPr>
          <w:lang w:val="en-GB"/>
        </w:rPr>
        <w:t xml:space="preserve"> L. P. Nyman, C. J. Gonzales, J. Arditti, Annals of Botany, Vol. 51, No. 2 (February 1983), pp. 229-236 (8 pages), Oxford University Press, </w:t>
      </w:r>
      <w:hyperlink r:id="rId126" w:history="1">
        <w:r w:rsidRPr="00B6379D">
          <w:rPr>
            <w:rStyle w:val="Lienhypertexte"/>
            <w:lang w:val="en-GB"/>
          </w:rPr>
          <w:t>https://www.jstor.org/stable/42757932</w:t>
        </w:r>
      </w:hyperlink>
      <w:r w:rsidRPr="00B6379D">
        <w:rPr>
          <w:lang w:val="en-GB"/>
        </w:rPr>
        <w:t xml:space="preserve"> </w:t>
      </w:r>
    </w:p>
  </w:footnote>
  <w:footnote w:id="107">
    <w:p w14:paraId="3927BCA8" w14:textId="77C1AF42" w:rsidR="002949A3" w:rsidRPr="001562F1" w:rsidRDefault="002949A3">
      <w:pPr>
        <w:pStyle w:val="Notedebasdepage"/>
        <w:rPr>
          <w:lang w:val="en-GB"/>
        </w:rPr>
      </w:pPr>
      <w:r>
        <w:rPr>
          <w:rStyle w:val="Appelnotedebasdep"/>
        </w:rPr>
        <w:footnoteRef/>
      </w:r>
      <w:r w:rsidRPr="001562F1">
        <w:rPr>
          <w:lang w:val="en-GB"/>
        </w:rPr>
        <w:t xml:space="preserve"> </w:t>
      </w:r>
      <w:hyperlink r:id="rId127" w:history="1">
        <w:r w:rsidRPr="001562F1">
          <w:rPr>
            <w:rStyle w:val="Lienhypertexte"/>
            <w:lang w:val="en-GB"/>
          </w:rPr>
          <w:t>https://odishafooddelite.wordpress.com/tag/saru-bhaja/</w:t>
        </w:r>
      </w:hyperlink>
      <w:r w:rsidRPr="001562F1">
        <w:rPr>
          <w:lang w:val="en-GB"/>
        </w:rPr>
        <w:t xml:space="preserve"> </w:t>
      </w:r>
    </w:p>
  </w:footnote>
  <w:footnote w:id="108">
    <w:p w14:paraId="41FF4E27" w14:textId="77777777" w:rsidR="005517C0" w:rsidRPr="005517C0" w:rsidRDefault="005517C0" w:rsidP="005517C0">
      <w:pPr>
        <w:pStyle w:val="Notedebasdepage"/>
        <w:rPr>
          <w:lang w:val="en-GB"/>
        </w:rPr>
      </w:pPr>
      <w:r>
        <w:rPr>
          <w:rStyle w:val="Appelnotedebasdep"/>
        </w:rPr>
        <w:footnoteRef/>
      </w:r>
      <w:r w:rsidRPr="005517C0">
        <w:rPr>
          <w:lang w:val="en-GB"/>
        </w:rPr>
        <w:t xml:space="preserve"> Cf. </w:t>
      </w:r>
      <w:hyperlink r:id="rId128" w:history="1">
        <w:r w:rsidRPr="005517C0">
          <w:rPr>
            <w:rStyle w:val="Lienhypertexte"/>
            <w:lang w:val="en-GB"/>
          </w:rPr>
          <w:t>http://archive.gramene.org/species/oryza_species/o_coarctata.html</w:t>
        </w:r>
      </w:hyperlink>
      <w:r w:rsidRPr="005517C0">
        <w:rPr>
          <w:lang w:val="en-GB"/>
        </w:rPr>
        <w:t xml:space="preserve"> </w:t>
      </w:r>
    </w:p>
  </w:footnote>
  <w:footnote w:id="109">
    <w:p w14:paraId="7A660741" w14:textId="77777777" w:rsidR="005517C0" w:rsidRPr="0019274A" w:rsidRDefault="005517C0" w:rsidP="005517C0">
      <w:pPr>
        <w:pStyle w:val="Notedebasdepage"/>
        <w:rPr>
          <w:lang w:val="es-AR"/>
        </w:rPr>
      </w:pPr>
      <w:r>
        <w:rPr>
          <w:rStyle w:val="Appelnotedebasdep"/>
        </w:rPr>
        <w:footnoteRef/>
      </w:r>
      <w:r w:rsidRPr="0019274A">
        <w:rPr>
          <w:lang w:val="es-AR"/>
        </w:rPr>
        <w:t xml:space="preserve"> Cf. </w:t>
      </w:r>
      <w:hyperlink r:id="rId129" w:history="1">
        <w:r w:rsidRPr="0019274A">
          <w:rPr>
            <w:rStyle w:val="Lienhypertexte"/>
            <w:i/>
            <w:iCs/>
            <w:lang w:val="es-AR"/>
          </w:rPr>
          <w:t>Porteresia</w:t>
        </w:r>
      </w:hyperlink>
      <w:hyperlink r:id="rId130" w:history="1">
        <w:r w:rsidRPr="0019274A">
          <w:rPr>
            <w:rStyle w:val="Lienhypertexte"/>
            <w:i/>
            <w:iCs/>
            <w:lang w:val="es-AR"/>
          </w:rPr>
          <w:t xml:space="preserve"> </w:t>
        </w:r>
      </w:hyperlink>
      <w:hyperlink r:id="rId131" w:history="1">
        <w:r w:rsidRPr="0019274A">
          <w:rPr>
            <w:rStyle w:val="Lienhypertexte"/>
            <w:i/>
            <w:iCs/>
            <w:lang w:val="es-AR"/>
          </w:rPr>
          <w:t>coarctata</w:t>
        </w:r>
      </w:hyperlink>
      <w:hyperlink r:id="rId132" w:history="1">
        <w:r w:rsidRPr="0019274A">
          <w:rPr>
            <w:rStyle w:val="Lienhypertexte"/>
            <w:i/>
            <w:iCs/>
            <w:lang w:val="es-AR"/>
          </w:rPr>
          <w:t xml:space="preserve"> </w:t>
        </w:r>
      </w:hyperlink>
      <w:hyperlink r:id="rId133" w:history="1">
        <w:r w:rsidRPr="0019274A">
          <w:rPr>
            <w:rStyle w:val="Lienhypertexte"/>
            <w:lang w:val="es-AR"/>
          </w:rPr>
          <w:t>(</w:t>
        </w:r>
      </w:hyperlink>
      <w:hyperlink r:id="rId134" w:history="1">
        <w:r w:rsidRPr="0019274A">
          <w:rPr>
            <w:rStyle w:val="Lienhypertexte"/>
            <w:lang w:val="es-AR"/>
          </w:rPr>
          <w:t>Roxb</w:t>
        </w:r>
      </w:hyperlink>
      <w:hyperlink r:id="rId135" w:history="1">
        <w:r w:rsidRPr="0019274A">
          <w:rPr>
            <w:rStyle w:val="Lienhypertexte"/>
            <w:lang w:val="es-AR"/>
          </w:rPr>
          <w:t xml:space="preserve">.) </w:t>
        </w:r>
      </w:hyperlink>
      <w:hyperlink r:id="rId136" w:history="1">
        <w:r w:rsidRPr="0019274A">
          <w:rPr>
            <w:rStyle w:val="Lienhypertexte"/>
            <w:lang w:val="es-AR"/>
          </w:rPr>
          <w:t>Tateoka</w:t>
        </w:r>
      </w:hyperlink>
      <w:r w:rsidRPr="0019274A">
        <w:rPr>
          <w:lang w:val="es-AR"/>
        </w:rPr>
        <w:t xml:space="preserve">, </w:t>
      </w:r>
      <w:hyperlink r:id="rId137" w:history="1">
        <w:r w:rsidRPr="0019274A">
          <w:rPr>
            <w:rStyle w:val="Lienhypertexte"/>
            <w:lang w:val="es-AR"/>
          </w:rPr>
          <w:t>http://plantillustrations.org/taxa.php?id_taxon=9682&amp;lay_out=0&amp;hd=0&amp;group=1</w:t>
        </w:r>
      </w:hyperlink>
    </w:p>
  </w:footnote>
  <w:footnote w:id="110">
    <w:p w14:paraId="7D0C6641" w14:textId="77777777" w:rsidR="002D037E" w:rsidRDefault="002D037E" w:rsidP="002D037E">
      <w:pPr>
        <w:pStyle w:val="Notedebasdepage"/>
      </w:pPr>
      <w:r>
        <w:rPr>
          <w:rStyle w:val="Appelnotedebasdep"/>
        </w:rPr>
        <w:footnoteRef/>
      </w:r>
      <w:r>
        <w:t xml:space="preserve"> Le blé est la seconde céréale la plus consommée, après le riz, au Sénégal.</w:t>
      </w:r>
    </w:p>
  </w:footnote>
  <w:footnote w:id="111">
    <w:p w14:paraId="5FBBB9FB" w14:textId="77777777" w:rsidR="002D037E" w:rsidRDefault="002D037E" w:rsidP="002D037E">
      <w:pPr>
        <w:pStyle w:val="Notedebasdepage"/>
        <w:jc w:val="both"/>
      </w:pPr>
      <w:r>
        <w:rPr>
          <w:rStyle w:val="Appelnotedebasdep"/>
        </w:rPr>
        <w:footnoteRef/>
      </w:r>
      <w:r>
        <w:t xml:space="preserve"> </w:t>
      </w:r>
      <w:r w:rsidRPr="00036221">
        <w:t>Le gouvernement sénégalais souhaitant aussi l’augmentation des surfaces des cultures vivrières de riz, mil, maïs, blé et sorgho.</w:t>
      </w:r>
    </w:p>
  </w:footnote>
  <w:footnote w:id="112">
    <w:p w14:paraId="53EBEFFF" w14:textId="77777777" w:rsidR="00272035" w:rsidRDefault="00272035" w:rsidP="00272035">
      <w:pPr>
        <w:pStyle w:val="Notedebasdepage"/>
        <w:jc w:val="both"/>
      </w:pPr>
      <w:r>
        <w:rPr>
          <w:rStyle w:val="Appelnotedebasdep"/>
        </w:rPr>
        <w:footnoteRef/>
      </w:r>
      <w:r w:rsidRPr="00F70E12">
        <w:t xml:space="preserve"> Le "saltwater cress" ["Cresson d'eau salée"</w:t>
      </w:r>
      <w:r>
        <w:t> ?</w:t>
      </w:r>
      <w:r w:rsidRPr="00F70E12">
        <w:t>] (</w:t>
      </w:r>
      <w:r w:rsidRPr="00F70E12">
        <w:rPr>
          <w:i/>
          <w:iCs/>
        </w:rPr>
        <w:t>Arabidopsis salsuginea</w:t>
      </w:r>
      <w:r w:rsidRPr="00F70E12">
        <w:t xml:space="preserve"> ou </w:t>
      </w:r>
      <w:r w:rsidRPr="00F70E12">
        <w:rPr>
          <w:i/>
          <w:iCs/>
        </w:rPr>
        <w:t>Thellungiella salsuginea</w:t>
      </w:r>
      <w:r w:rsidRPr="00F70E12">
        <w:t xml:space="preserve"> ou </w:t>
      </w:r>
      <w:r w:rsidRPr="00F70E12">
        <w:rPr>
          <w:i/>
          <w:iCs/>
        </w:rPr>
        <w:t>Eutrema salsuginea</w:t>
      </w:r>
      <w:r>
        <w:t>, famille des Brassicacées</w:t>
      </w:r>
      <w:r w:rsidRPr="00F70E12">
        <w:t>) se retrouve sur sol humide, alcalin ou salin.</w:t>
      </w:r>
      <w:r>
        <w:t xml:space="preserve"> </w:t>
      </w:r>
    </w:p>
    <w:p w14:paraId="1D62F264" w14:textId="77777777" w:rsidR="00272035" w:rsidRPr="00F70E12" w:rsidRDefault="00272035" w:rsidP="00272035">
      <w:pPr>
        <w:pStyle w:val="Notedebasdepage"/>
        <w:jc w:val="both"/>
        <w:rPr>
          <w:lang w:val="en-GB"/>
        </w:rPr>
      </w:pPr>
      <w:r w:rsidRPr="00F70E12">
        <w:rPr>
          <w:lang w:val="en-GB"/>
        </w:rPr>
        <w:t xml:space="preserve">Cf. </w:t>
      </w:r>
      <w:hyperlink r:id="rId138" w:history="1">
        <w:r w:rsidRPr="006437AE">
          <w:rPr>
            <w:rStyle w:val="Lienhypertexte"/>
            <w:lang w:val="en-GB"/>
          </w:rPr>
          <w:t>http://fieldguide.mt.gov/speciesDetail.aspx?elcode=PDBRA05020</w:t>
        </w:r>
      </w:hyperlink>
      <w:r>
        <w:rPr>
          <w:lang w:val="en-GB"/>
        </w:rPr>
        <w:t xml:space="preserve"> </w:t>
      </w:r>
    </w:p>
  </w:footnote>
  <w:footnote w:id="113">
    <w:p w14:paraId="5AAEE493" w14:textId="238F0683" w:rsidR="0067663C" w:rsidRPr="0067663C" w:rsidRDefault="0067663C">
      <w:pPr>
        <w:pStyle w:val="Notedebasdepage"/>
        <w:rPr>
          <w:lang w:val="en-GB"/>
        </w:rPr>
      </w:pPr>
      <w:r>
        <w:rPr>
          <w:rStyle w:val="Appelnotedebasdep"/>
        </w:rPr>
        <w:footnoteRef/>
      </w:r>
      <w:r w:rsidRPr="0067663C">
        <w:rPr>
          <w:lang w:val="en-GB"/>
        </w:rPr>
        <w:t xml:space="preserve"> Cf. </w:t>
      </w:r>
      <w:hyperlink r:id="rId139" w:history="1">
        <w:r w:rsidRPr="00224761">
          <w:rPr>
            <w:rStyle w:val="Lienhypertexte"/>
            <w:lang w:val="en-GB"/>
          </w:rPr>
          <w:t>https://fr.wikipedia.org/wiki/Digitaria_exilis</w:t>
        </w:r>
      </w:hyperlink>
      <w:r>
        <w:rPr>
          <w:lang w:val="en-GB"/>
        </w:rPr>
        <w:t xml:space="preserve"> </w:t>
      </w:r>
    </w:p>
  </w:footnote>
  <w:footnote w:id="114">
    <w:p w14:paraId="42C94AF2" w14:textId="37E53B84" w:rsidR="0067663C" w:rsidRPr="0067663C" w:rsidRDefault="0067663C">
      <w:pPr>
        <w:pStyle w:val="Notedebasdepage"/>
        <w:rPr>
          <w:lang w:val="en-GB"/>
        </w:rPr>
      </w:pPr>
      <w:r>
        <w:rPr>
          <w:rStyle w:val="Appelnotedebasdep"/>
        </w:rPr>
        <w:footnoteRef/>
      </w:r>
      <w:r w:rsidRPr="0067663C">
        <w:rPr>
          <w:lang w:val="en-GB"/>
        </w:rPr>
        <w:t xml:space="preserve"> Cf. </w:t>
      </w:r>
      <w:hyperlink r:id="rId140" w:history="1">
        <w:r w:rsidRPr="00224761">
          <w:rPr>
            <w:rStyle w:val="Lienhypertexte"/>
            <w:lang w:val="en-GB"/>
          </w:rPr>
          <w:t>https://fr.wikipedia.org/wiki/Fonio_noir</w:t>
        </w:r>
      </w:hyperlink>
      <w:r>
        <w:rPr>
          <w:lang w:val="en-GB"/>
        </w:rPr>
        <w:t xml:space="preserve"> </w:t>
      </w:r>
    </w:p>
  </w:footnote>
  <w:footnote w:id="115">
    <w:p w14:paraId="475EB307" w14:textId="06CCECD7" w:rsidR="00EE0116" w:rsidRDefault="00EE0116" w:rsidP="00EE0116">
      <w:pPr>
        <w:pStyle w:val="Notedebasdepage"/>
        <w:jc w:val="both"/>
        <w:rPr>
          <w:lang w:val="en-GB"/>
        </w:rPr>
      </w:pPr>
      <w:r>
        <w:rPr>
          <w:rStyle w:val="Appelnotedebasdep"/>
        </w:rPr>
        <w:footnoteRef/>
      </w:r>
      <w:r>
        <w:rPr>
          <w:lang w:val="en-GB"/>
        </w:rPr>
        <w:t>a)</w:t>
      </w:r>
      <w:r w:rsidRPr="00EE0116">
        <w:rPr>
          <w:lang w:val="en-GB"/>
        </w:rPr>
        <w:t xml:space="preserve"> </w:t>
      </w:r>
      <w:r w:rsidRPr="00EE0116">
        <w:rPr>
          <w:i/>
          <w:iCs/>
          <w:lang w:val="en-GB"/>
        </w:rPr>
        <w:t>Resistance to Rusts (Uromyces pisi and U. viciae-fabae) in Pea</w:t>
      </w:r>
      <w:r w:rsidRPr="00EE0116">
        <w:rPr>
          <w:lang w:val="en-GB"/>
        </w:rPr>
        <w:t>, Eleonora</w:t>
      </w:r>
      <w:r>
        <w:rPr>
          <w:lang w:val="en-GB"/>
        </w:rPr>
        <w:t xml:space="preserve"> Barilli</w:t>
      </w:r>
      <w:r w:rsidRPr="00EE0116">
        <w:rPr>
          <w:lang w:val="en-GB"/>
        </w:rPr>
        <w:t>, Josefina Carmen</w:t>
      </w:r>
      <w:r>
        <w:rPr>
          <w:lang w:val="en-GB"/>
        </w:rPr>
        <w:t xml:space="preserve"> Sillero</w:t>
      </w:r>
      <w:r w:rsidRPr="00EE0116">
        <w:rPr>
          <w:lang w:val="en-GB"/>
        </w:rPr>
        <w:t>, Elena</w:t>
      </w:r>
      <w:r>
        <w:rPr>
          <w:lang w:val="en-GB"/>
        </w:rPr>
        <w:t xml:space="preserve"> Prats,</w:t>
      </w:r>
      <w:r w:rsidRPr="00EE0116">
        <w:rPr>
          <w:lang w:val="en-GB"/>
        </w:rPr>
        <w:t xml:space="preserve"> Diego </w:t>
      </w:r>
      <w:r>
        <w:rPr>
          <w:lang w:val="en-GB"/>
        </w:rPr>
        <w:t>Rubiales</w:t>
      </w:r>
      <w:r w:rsidRPr="00EE0116">
        <w:rPr>
          <w:lang w:val="en-GB"/>
        </w:rPr>
        <w:t xml:space="preserve">, Czech J. Genet. Plant Breed., 50, 2014 (2): 135–143, </w:t>
      </w:r>
      <w:hyperlink r:id="rId141" w:history="1">
        <w:r w:rsidRPr="00EE0116">
          <w:rPr>
            <w:rStyle w:val="Lienhypertexte"/>
            <w:lang w:val="en-GB"/>
          </w:rPr>
          <w:t>https://www.agriculturejournals.cz/publicFiles/124147.pdf</w:t>
        </w:r>
      </w:hyperlink>
      <w:r w:rsidRPr="00EE0116">
        <w:rPr>
          <w:lang w:val="en-GB"/>
        </w:rPr>
        <w:t xml:space="preserve"> </w:t>
      </w:r>
    </w:p>
    <w:p w14:paraId="65CCA41F" w14:textId="1657155A" w:rsidR="00EE0116" w:rsidRDefault="00EE0116">
      <w:pPr>
        <w:pStyle w:val="Notedebasdepage"/>
        <w:rPr>
          <w:lang w:val="en-GB"/>
        </w:rPr>
      </w:pPr>
      <w:r>
        <w:rPr>
          <w:lang w:val="en-GB"/>
        </w:rPr>
        <w:t xml:space="preserve">b) </w:t>
      </w:r>
      <w:r w:rsidRPr="00EE0116">
        <w:rPr>
          <w:lang w:val="en-GB"/>
        </w:rPr>
        <w:t>"</w:t>
      </w:r>
      <w:r w:rsidRPr="00EE0116">
        <w:rPr>
          <w:i/>
          <w:iCs/>
          <w:lang w:val="en-GB"/>
        </w:rPr>
        <w:t>Management</w:t>
      </w:r>
      <w:r w:rsidRPr="00EE0116">
        <w:rPr>
          <w:lang w:val="en-GB"/>
        </w:rPr>
        <w:t>" in "</w:t>
      </w:r>
      <w:r w:rsidRPr="00EE0116">
        <w:rPr>
          <w:i/>
          <w:iCs/>
          <w:lang w:val="en-GB"/>
        </w:rPr>
        <w:t>Uromyces viciae-fabae var. viciae-fabae</w:t>
      </w:r>
      <w:r w:rsidRPr="00EE0116">
        <w:rPr>
          <w:lang w:val="en-GB"/>
        </w:rPr>
        <w:t xml:space="preserve">", </w:t>
      </w:r>
      <w:hyperlink r:id="rId142" w:anchor="Management" w:history="1">
        <w:r w:rsidRPr="00AE2D14">
          <w:rPr>
            <w:rStyle w:val="Lienhypertexte"/>
            <w:lang w:val="en-GB"/>
          </w:rPr>
          <w:t>https://en.wikipedia.org/wiki/Uromyces_viciae-fabae_var._viciae-fabae#Management</w:t>
        </w:r>
      </w:hyperlink>
      <w:r>
        <w:rPr>
          <w:lang w:val="en-GB"/>
        </w:rPr>
        <w:t xml:space="preserve"> </w:t>
      </w:r>
    </w:p>
    <w:p w14:paraId="7A8B8F41" w14:textId="5917B5C4" w:rsidR="00040C18" w:rsidRPr="00040C18" w:rsidRDefault="00040C18" w:rsidP="00040C18">
      <w:pPr>
        <w:pStyle w:val="Notedebasdepage"/>
      </w:pPr>
      <w:r w:rsidRPr="00040C18">
        <w:t xml:space="preserve">c) </w:t>
      </w:r>
      <w:r w:rsidRPr="00040C18">
        <w:rPr>
          <w:i/>
          <w:iCs/>
        </w:rPr>
        <w:t>Les lentilles : le remède à la faim dans le monde</w:t>
      </w:r>
      <w:r w:rsidRPr="00040C18">
        <w:t xml:space="preserve">, ARTE, 52 mn, </w:t>
      </w:r>
      <w:hyperlink r:id="rId143" w:history="1">
        <w:r w:rsidRPr="00AE2D14">
          <w:rPr>
            <w:rStyle w:val="Lienhypertexte"/>
          </w:rPr>
          <w:t>https://www.facebook.com/watch/?v=1250874931766375</w:t>
        </w:r>
      </w:hyperlink>
      <w:r>
        <w:t xml:space="preserve"> </w:t>
      </w:r>
    </w:p>
    <w:p w14:paraId="25DAD84B" w14:textId="45358191" w:rsidR="00040C18" w:rsidRPr="00040C18" w:rsidRDefault="00040C18" w:rsidP="00040C18">
      <w:pPr>
        <w:pStyle w:val="Notedebasdepage"/>
        <w:jc w:val="both"/>
      </w:pPr>
      <w:r w:rsidRPr="00040C18">
        <w:t xml:space="preserve">Nourrissante, bon marché et facile à cultiver, la lentille fait figure d’aliment providentiel. Cultivée aussi bien en Inde qu'en Éthiopie ou en Amérique du Nord, cette plante pourrait être un remède possible à la malnutrition. </w:t>
      </w:r>
    </w:p>
  </w:footnote>
  <w:footnote w:id="116">
    <w:p w14:paraId="26DE3CAC" w14:textId="181BFBFD" w:rsidR="00CD0F64" w:rsidRDefault="00CD0F64">
      <w:pPr>
        <w:pStyle w:val="Notedebasdepage"/>
      </w:pPr>
      <w:r>
        <w:rPr>
          <w:rStyle w:val="Appelnotedebasdep"/>
        </w:rPr>
        <w:footnoteRef/>
      </w:r>
      <w:r>
        <w:t xml:space="preserve"> </w:t>
      </w:r>
      <w:r w:rsidRPr="00CD0F64">
        <w:rPr>
          <w:i/>
          <w:iCs/>
        </w:rPr>
        <w:t>L’arachide ne compte pas pour des cacahouètes</w:t>
      </w:r>
      <w:r w:rsidRPr="00CD0F64">
        <w:t xml:space="preserve">, 17/12/2018, </w:t>
      </w:r>
      <w:hyperlink r:id="rId144" w:history="1">
        <w:r w:rsidRPr="00EF49E5">
          <w:rPr>
            <w:rStyle w:val="Lienhypertexte"/>
          </w:rPr>
          <w:t>https://www.lequotidiendumedecin.fr/specialites/pneumologie/larachide-ne-compte-pas-pour-des-cacahouetes</w:t>
        </w:r>
      </w:hyperlink>
      <w:r>
        <w:t xml:space="preserve"> </w:t>
      </w:r>
    </w:p>
  </w:footnote>
  <w:footnote w:id="117">
    <w:p w14:paraId="3A45F535" w14:textId="48F88C46" w:rsidR="00CD0F64" w:rsidRDefault="00CD0F64">
      <w:pPr>
        <w:pStyle w:val="Notedebasdepage"/>
      </w:pPr>
      <w:r>
        <w:rPr>
          <w:rStyle w:val="Appelnotedebasdep"/>
        </w:rPr>
        <w:footnoteRef/>
      </w:r>
      <w:r>
        <w:t xml:space="preserve"> E</w:t>
      </w:r>
      <w:r w:rsidRPr="00CD0F64">
        <w:t>lle a</w:t>
      </w:r>
      <w:r>
        <w:t xml:space="preserve"> même</w:t>
      </w:r>
      <w:r w:rsidRPr="00CD0F64">
        <w:t xml:space="preserve"> été implantée en France dans les Landes</w:t>
      </w:r>
      <w:r>
        <w:t>.</w:t>
      </w:r>
    </w:p>
  </w:footnote>
  <w:footnote w:id="118">
    <w:p w14:paraId="14C28DBB" w14:textId="05AA4042" w:rsidR="00700E06" w:rsidRDefault="00700E06">
      <w:pPr>
        <w:pStyle w:val="Notedebasdepage"/>
      </w:pPr>
      <w:r>
        <w:rPr>
          <w:rStyle w:val="Appelnotedebasdep"/>
        </w:rPr>
        <w:footnoteRef/>
      </w:r>
      <w:r>
        <w:t xml:space="preserve"> Dues au </w:t>
      </w:r>
      <w:r w:rsidRPr="00700E06">
        <w:t xml:space="preserve">champignon </w:t>
      </w:r>
      <w:r w:rsidRPr="00700E06">
        <w:rPr>
          <w:i/>
          <w:iCs/>
        </w:rPr>
        <w:t>Aspergillus flavus/parasiticus</w:t>
      </w:r>
      <w:r>
        <w:t>.</w:t>
      </w:r>
    </w:p>
  </w:footnote>
  <w:footnote w:id="119">
    <w:p w14:paraId="15CE563D" w14:textId="73F1234E" w:rsidR="00BE2963" w:rsidRDefault="00EB654D">
      <w:pPr>
        <w:pStyle w:val="Notedebasdepage"/>
      </w:pPr>
      <w:r>
        <w:rPr>
          <w:rStyle w:val="Appelnotedebasdep"/>
        </w:rPr>
        <w:footnoteRef/>
      </w:r>
      <w:r>
        <w:t xml:space="preserve"> </w:t>
      </w:r>
      <w:r w:rsidR="00BE2963">
        <w:t xml:space="preserve">a) </w:t>
      </w:r>
      <w:r w:rsidR="00BE2963" w:rsidRPr="00BE2963">
        <w:rPr>
          <w:i/>
          <w:iCs/>
        </w:rPr>
        <w:t>Comment lutter contre la contamination de l'arachide par les aflatoxines</w:t>
      </w:r>
      <w:r w:rsidR="00BE2963" w:rsidRPr="00BE2963">
        <w:t xml:space="preserve">, Agriculture et développement, n° 23, Septembre 1999, </w:t>
      </w:r>
      <w:hyperlink r:id="rId145" w:history="1">
        <w:r w:rsidR="00BE2963" w:rsidRPr="00EF49E5">
          <w:rPr>
            <w:rStyle w:val="Lienhypertexte"/>
          </w:rPr>
          <w:t>https://agritrop.cirad.fr/476184/1/document_476184.pdf</w:t>
        </w:r>
      </w:hyperlink>
      <w:r w:rsidR="00BE2963">
        <w:t xml:space="preserve"> </w:t>
      </w:r>
    </w:p>
    <w:p w14:paraId="7AF41C15" w14:textId="75854C55" w:rsidR="00EB654D" w:rsidRDefault="00BE2963">
      <w:pPr>
        <w:pStyle w:val="Notedebasdepage"/>
      </w:pPr>
      <w:r>
        <w:t xml:space="preserve">b) </w:t>
      </w:r>
      <w:r w:rsidR="00EB654D" w:rsidRPr="00EB654D">
        <w:rPr>
          <w:i/>
          <w:iCs/>
        </w:rPr>
        <w:t>Afrique : sur la voie d'une arachide résistante aux aflatoxines</w:t>
      </w:r>
      <w:r w:rsidR="00EB654D" w:rsidRPr="00EB654D">
        <w:t>,</w:t>
      </w:r>
      <w:r w:rsidR="00EB654D">
        <w:t xml:space="preserve"> </w:t>
      </w:r>
      <w:hyperlink r:id="rId146" w:history="1">
        <w:r w:rsidR="00EB654D" w:rsidRPr="00EF49E5">
          <w:rPr>
            <w:rStyle w:val="Lienhypertexte"/>
          </w:rPr>
          <w:t>http://www.secheresse.info/spip.php?article3397</w:t>
        </w:r>
      </w:hyperlink>
    </w:p>
  </w:footnote>
  <w:footnote w:id="120">
    <w:p w14:paraId="5A0CD76F" w14:textId="7F449753" w:rsidR="00CD0F64" w:rsidRDefault="00CD0F64" w:rsidP="003E081E">
      <w:pPr>
        <w:pStyle w:val="Notedebasdepage"/>
      </w:pPr>
      <w:r>
        <w:rPr>
          <w:rStyle w:val="Appelnotedebasdep"/>
        </w:rPr>
        <w:footnoteRef/>
      </w:r>
      <w:r>
        <w:t xml:space="preserve"> </w:t>
      </w:r>
      <w:r w:rsidRPr="00CD0F64">
        <w:t xml:space="preserve">Gautreau Jean. 1966. </w:t>
      </w:r>
      <w:r w:rsidRPr="00CD0F64">
        <w:rPr>
          <w:i/>
          <w:iCs/>
        </w:rPr>
        <w:t>Recherches variétales sur la résistance de l'arachide à la sécheresse</w:t>
      </w:r>
      <w:r w:rsidRPr="00CD0F64">
        <w:t xml:space="preserve">. Oléagineux, 21 (7) : 441-444. </w:t>
      </w:r>
      <w:hyperlink r:id="rId147" w:history="1">
        <w:r w:rsidRPr="00EF49E5">
          <w:rPr>
            <w:rStyle w:val="Lienhypertexte"/>
          </w:rPr>
          <w:t>https://agritrop.cirad.fr/440367/</w:t>
        </w:r>
      </w:hyperlink>
      <w:r>
        <w:t xml:space="preserve"> </w:t>
      </w:r>
    </w:p>
  </w:footnote>
  <w:footnote w:id="121">
    <w:p w14:paraId="20F329B9" w14:textId="43EA996F" w:rsidR="00EB654D" w:rsidRDefault="00EB654D" w:rsidP="003E081E">
      <w:pPr>
        <w:pStyle w:val="Notedebasdepage"/>
      </w:pPr>
      <w:r>
        <w:rPr>
          <w:rStyle w:val="Appelnotedebasdep"/>
        </w:rPr>
        <w:footnoteRef/>
      </w:r>
      <w:r>
        <w:t xml:space="preserve"> a) </w:t>
      </w:r>
      <w:r w:rsidRPr="00EB654D">
        <w:rPr>
          <w:i/>
          <w:iCs/>
        </w:rPr>
        <w:t>Caractérisation morphologique des accessions d'arachide (arachis hypogaea l.) pour la teneur en huile et la tolérance à  la sécheresse</w:t>
      </w:r>
      <w:r w:rsidRPr="00EB654D">
        <w:t>, Issa ALLEIDI, OuagaI Pr Joseph KI-ZERBO, Burkina Faso</w:t>
      </w:r>
      <w:r>
        <w:t>,</w:t>
      </w:r>
      <w:r w:rsidRPr="00EB654D">
        <w:t xml:space="preserve"> Master II 2014, </w:t>
      </w:r>
      <w:hyperlink r:id="rId148" w:history="1">
        <w:r w:rsidRPr="00EF49E5">
          <w:rPr>
            <w:rStyle w:val="Lienhypertexte"/>
          </w:rPr>
          <w:t>https://www.memoireonline.com/11/17/10193/m_Caracterisation-morphologique-des-accessions-d-arachide-arachis-hypogaea-l-pour-la-teneur-en-hui.html</w:t>
        </w:r>
      </w:hyperlink>
      <w:r>
        <w:t xml:space="preserve"> </w:t>
      </w:r>
    </w:p>
    <w:p w14:paraId="6121EFFD" w14:textId="68A47D17" w:rsidR="00EB654D" w:rsidRDefault="00EB654D" w:rsidP="003E081E">
      <w:pPr>
        <w:pStyle w:val="Notedebasdepage"/>
      </w:pPr>
      <w:r>
        <w:t xml:space="preserve">b) </w:t>
      </w:r>
      <w:r w:rsidRPr="00EB654D">
        <w:rPr>
          <w:i/>
          <w:iCs/>
        </w:rPr>
        <w:t>Évaluation des variétés d'arachides (Arachis hypogaea L.) pour la tolérance à la sécheresse</w:t>
      </w:r>
      <w:r w:rsidRPr="00EB654D">
        <w:t xml:space="preserve">, Février 2019, </w:t>
      </w:r>
      <w:hyperlink r:id="rId149" w:history="1">
        <w:r w:rsidRPr="00EF49E5">
          <w:rPr>
            <w:rStyle w:val="Lienhypertexte"/>
          </w:rPr>
          <w:t>https://www.researchgate.net/publication/331375052_Evaluation_des_varietes_d'arachides_Arachis_hypogaea_L_pour_la_tolerance_a_la_secheresse</w:t>
        </w:r>
      </w:hyperlink>
      <w:r>
        <w:t xml:space="preserve"> </w:t>
      </w:r>
    </w:p>
  </w:footnote>
  <w:footnote w:id="122">
    <w:p w14:paraId="7F7F7D9B" w14:textId="2BE1882E" w:rsidR="00EB654D" w:rsidRDefault="00EB654D" w:rsidP="003E081E">
      <w:pPr>
        <w:pStyle w:val="Notedebasdepage"/>
      </w:pPr>
      <w:r>
        <w:rPr>
          <w:rStyle w:val="Appelnotedebasdep"/>
        </w:rPr>
        <w:footnoteRef/>
      </w:r>
      <w:r>
        <w:t xml:space="preserve"> </w:t>
      </w:r>
      <w:r w:rsidRPr="00EB654D">
        <w:rPr>
          <w:i/>
          <w:iCs/>
        </w:rPr>
        <w:t>Caracterisation Agro-Morphologique Des Accessions D’arachide (Arachis Hypogaea L.) pour La Teneur En Huile</w:t>
      </w:r>
      <w:r w:rsidRPr="00EB654D">
        <w:t xml:space="preserve">, </w:t>
      </w:r>
      <w:hyperlink r:id="rId150" w:history="1">
        <w:r w:rsidRPr="00EF49E5">
          <w:rPr>
            <w:rStyle w:val="Lienhypertexte"/>
          </w:rPr>
          <w:t>https://eujournal.org/index.php/esj/article/view/7511/7252</w:t>
        </w:r>
      </w:hyperlink>
      <w:r>
        <w:t xml:space="preserve"> </w:t>
      </w:r>
    </w:p>
  </w:footnote>
  <w:footnote w:id="123">
    <w:p w14:paraId="60EE6AF5" w14:textId="0CA326F6" w:rsidR="00240CEB" w:rsidRDefault="00240CEB" w:rsidP="003E081E">
      <w:pPr>
        <w:pStyle w:val="Notedebasdepage"/>
      </w:pPr>
      <w:r>
        <w:rPr>
          <w:rStyle w:val="Appelnotedebasdep"/>
        </w:rPr>
        <w:footnoteRef/>
      </w:r>
      <w:r>
        <w:t xml:space="preserve"> </w:t>
      </w:r>
      <w:r w:rsidRPr="00240CEB">
        <w:rPr>
          <w:i/>
          <w:iCs/>
        </w:rPr>
        <w:t xml:space="preserve">Sélection des variétés mutantes d’arachide (Arachis hypogea L.) </w:t>
      </w:r>
      <w:r>
        <w:rPr>
          <w:i/>
          <w:iCs/>
        </w:rPr>
        <w:t>à</w:t>
      </w:r>
      <w:r w:rsidRPr="00240CEB">
        <w:rPr>
          <w:i/>
          <w:iCs/>
        </w:rPr>
        <w:t xml:space="preserve"> la sécheresse</w:t>
      </w:r>
      <w:r w:rsidRPr="00240CEB">
        <w:t xml:space="preserve">, RANDRIAMBOLANORO Olivier Andriamamonjisoa, </w:t>
      </w:r>
      <w:hyperlink r:id="rId151" w:history="1">
        <w:r w:rsidRPr="00EF49E5">
          <w:rPr>
            <w:rStyle w:val="Lienhypertexte"/>
          </w:rPr>
          <w:t>http://biblio.univ-antananarivo.mg/pdfs/randriambolanorooa_ens_m1_05.pdf</w:t>
        </w:r>
      </w:hyperlink>
      <w:r>
        <w:t xml:space="preserve"> </w:t>
      </w:r>
    </w:p>
  </w:footnote>
  <w:footnote w:id="124">
    <w:p w14:paraId="5DB5F1EA" w14:textId="0D0E87E1" w:rsidR="00240CEB" w:rsidRDefault="00240CEB" w:rsidP="003E081E">
      <w:pPr>
        <w:pStyle w:val="Notedebasdepage"/>
      </w:pPr>
      <w:r>
        <w:rPr>
          <w:rStyle w:val="Appelnotedebasdep"/>
        </w:rPr>
        <w:footnoteRef/>
      </w:r>
      <w:r>
        <w:t xml:space="preserve"> </w:t>
      </w:r>
      <w:r w:rsidRPr="00240CEB">
        <w:rPr>
          <w:i/>
          <w:iCs/>
        </w:rPr>
        <w:t>Note sur un test de résistance à la sécheresse de l'arachide</w:t>
      </w:r>
      <w:r w:rsidRPr="00240CEB">
        <w:t xml:space="preserve">, R. TOURTE et S. BAUR, I. R. A. T. - Centre de Recherches Agronomiques de Bambey (Sinkgal), Oléagineux, 21e année, no 7 - Juillet 1966, </w:t>
      </w:r>
      <w:hyperlink r:id="rId152" w:history="1">
        <w:r w:rsidRPr="00EF49E5">
          <w:rPr>
            <w:rStyle w:val="Lienhypertexte"/>
          </w:rPr>
          <w:t>https://core.ac.uk/download/pdf/39890607.pdf</w:t>
        </w:r>
      </w:hyperlink>
      <w:r>
        <w:t xml:space="preserve"> </w:t>
      </w:r>
    </w:p>
  </w:footnote>
  <w:footnote w:id="125">
    <w:p w14:paraId="3E97E216" w14:textId="1A7D5389" w:rsidR="00EB654D" w:rsidRDefault="00EB654D" w:rsidP="003E081E">
      <w:pPr>
        <w:pStyle w:val="Notedebasdepage"/>
      </w:pPr>
      <w:r>
        <w:rPr>
          <w:rStyle w:val="Appelnotedebasdep"/>
        </w:rPr>
        <w:footnoteRef/>
      </w:r>
      <w:r>
        <w:t xml:space="preserve"> </w:t>
      </w:r>
      <w:r w:rsidRPr="00CD0F64">
        <w:rPr>
          <w:i/>
          <w:iCs/>
        </w:rPr>
        <w:t>L’arachide ne compte pas pour des cacahouètes</w:t>
      </w:r>
      <w:r w:rsidRPr="00CD0F64">
        <w:t>,</w:t>
      </w:r>
      <w:r>
        <w:t xml:space="preserve"> ibid.</w:t>
      </w:r>
    </w:p>
  </w:footnote>
  <w:footnote w:id="126">
    <w:p w14:paraId="3269F5B4" w14:textId="740197B6" w:rsidR="00BD1B4F" w:rsidRPr="00D7670E" w:rsidRDefault="00BD1B4F" w:rsidP="00D7670E">
      <w:pPr>
        <w:shd w:val="clear" w:color="auto" w:fill="FFFFFF"/>
        <w:spacing w:after="0" w:line="240" w:lineRule="auto"/>
        <w:rPr>
          <w:rFonts w:ascii="Calibri" w:hAnsi="Calibri" w:cs="Arial"/>
          <w:color w:val="202122"/>
          <w:sz w:val="20"/>
          <w:szCs w:val="20"/>
          <w:lang w:val="en-GB"/>
        </w:rPr>
      </w:pPr>
      <w:r w:rsidRPr="00BD1B4F">
        <w:rPr>
          <w:rStyle w:val="Appelnotedebasdep"/>
          <w:rFonts w:ascii="Calibri" w:hAnsi="Calibri"/>
          <w:sz w:val="20"/>
          <w:szCs w:val="20"/>
        </w:rPr>
        <w:footnoteRef/>
      </w:r>
      <w:r w:rsidRPr="00BD1B4F">
        <w:rPr>
          <w:rFonts w:ascii="Calibri" w:hAnsi="Calibri"/>
          <w:sz w:val="20"/>
          <w:szCs w:val="20"/>
          <w:lang w:val="en-GB"/>
        </w:rPr>
        <w:t xml:space="preserve"> </w:t>
      </w:r>
      <w:hyperlink r:id="rId153" w:history="1">
        <w:r w:rsidRPr="00BD1B4F">
          <w:rPr>
            <w:rStyle w:val="Lienhypertexte"/>
            <w:rFonts w:ascii="Calibri" w:hAnsi="Calibri" w:cs="Arial"/>
            <w:i/>
            <w:iCs/>
            <w:color w:val="3366BB"/>
            <w:sz w:val="20"/>
            <w:szCs w:val="20"/>
            <w:u w:val="none"/>
            <w:lang w:val="en-GB"/>
          </w:rPr>
          <w:t xml:space="preserve">Factors affecting </w:t>
        </w:r>
        <w:r w:rsidRPr="00BD1B4F">
          <w:rPr>
            <w:rStyle w:val="Lienhypertexte"/>
            <w:rFonts w:ascii="Calibri" w:hAnsi="Calibri" w:cs="Arial"/>
            <w:i/>
            <w:iCs/>
            <w:color w:val="3366BB"/>
            <w:sz w:val="20"/>
            <w:szCs w:val="20"/>
            <w:u w:val="none"/>
          </w:rPr>
          <w:t>β</w:t>
        </w:r>
        <w:r w:rsidRPr="00BD1B4F">
          <w:rPr>
            <w:rStyle w:val="Lienhypertexte"/>
            <w:rFonts w:ascii="Calibri" w:hAnsi="Calibri" w:cs="Arial"/>
            <w:i/>
            <w:iCs/>
            <w:color w:val="3366BB"/>
            <w:sz w:val="20"/>
            <w:szCs w:val="20"/>
            <w:u w:val="none"/>
            <w:lang w:val="en-GB"/>
          </w:rPr>
          <w:t>-ODAP content in Lathyrus sativus and their possible physiological mechanisms</w:t>
        </w:r>
      </w:hyperlink>
      <w:r w:rsidRPr="00BD1B4F">
        <w:rPr>
          <w:rStyle w:val="reference-text"/>
          <w:rFonts w:ascii="Calibri" w:hAnsi="Calibri" w:cs="Arial"/>
          <w:i/>
          <w:iCs/>
          <w:color w:val="202122"/>
          <w:sz w:val="20"/>
          <w:szCs w:val="20"/>
          <w:lang w:val="en-GB"/>
        </w:rPr>
        <w:t> [</w:t>
      </w:r>
      <w:hyperlink r:id="rId154" w:tooltip="archive sur Wikiwix" w:history="1">
        <w:r w:rsidRPr="00BD1B4F">
          <w:rPr>
            <w:rStyle w:val="Lienhypertexte"/>
            <w:rFonts w:ascii="Calibri" w:hAnsi="Calibri" w:cs="Arial"/>
            <w:i/>
            <w:iCs/>
            <w:color w:val="3366BB"/>
            <w:sz w:val="20"/>
            <w:szCs w:val="20"/>
            <w:u w:val="none"/>
            <w:lang w:val="en-GB"/>
          </w:rPr>
          <w:t>archive</w:t>
        </w:r>
      </w:hyperlink>
      <w:r w:rsidRPr="00BD1B4F">
        <w:rPr>
          <w:rStyle w:val="reference-text"/>
          <w:rFonts w:ascii="Calibri" w:hAnsi="Calibri" w:cs="Arial"/>
          <w:i/>
          <w:iCs/>
          <w:color w:val="202122"/>
          <w:sz w:val="20"/>
          <w:szCs w:val="20"/>
          <w:lang w:val="en-GB"/>
        </w:rPr>
        <w:t>]</w:t>
      </w:r>
      <w:r w:rsidRPr="00BD1B4F">
        <w:rPr>
          <w:rStyle w:val="reference-text"/>
          <w:rFonts w:ascii="Calibri" w:hAnsi="Calibri" w:cs="Arial"/>
          <w:color w:val="202122"/>
          <w:sz w:val="20"/>
          <w:szCs w:val="20"/>
          <w:lang w:val="en-GB"/>
        </w:rPr>
        <w:t>, C.-J. Jiaoa, b, J.-L. Jianga, L.-M. Kea, W. Chenga, F.-M. Lia, Z.-X. Lia, C.-Y. Wanga</w:t>
      </w:r>
      <w:r>
        <w:rPr>
          <w:rStyle w:val="reference-text"/>
          <w:rFonts w:ascii="Calibri" w:hAnsi="Calibri" w:cs="Arial"/>
          <w:color w:val="202122"/>
          <w:sz w:val="20"/>
          <w:szCs w:val="20"/>
          <w:lang w:val="en-GB"/>
        </w:rPr>
        <w:t xml:space="preserve">, </w:t>
      </w:r>
      <w:hyperlink r:id="rId155" w:history="1">
        <w:r w:rsidRPr="00EF49E5">
          <w:rPr>
            <w:rStyle w:val="Lienhypertexte"/>
            <w:rFonts w:ascii="Calibri" w:hAnsi="Calibri" w:cs="Arial"/>
            <w:sz w:val="20"/>
            <w:szCs w:val="20"/>
            <w:lang w:val="en-GB"/>
          </w:rPr>
          <w:t>http://www.sciencedirect.com/science/article/pii/S0278691510003303</w:t>
        </w:r>
      </w:hyperlink>
    </w:p>
  </w:footnote>
  <w:footnote w:id="127">
    <w:p w14:paraId="22E90BB8" w14:textId="5876A237" w:rsidR="00D7670E" w:rsidRPr="00D7670E" w:rsidRDefault="00D7670E" w:rsidP="00D7670E">
      <w:pPr>
        <w:pStyle w:val="Notedebasdepage"/>
        <w:jc w:val="both"/>
        <w:rPr>
          <w:color w:val="000000" w:themeColor="text1"/>
        </w:rPr>
      </w:pPr>
      <w:r>
        <w:rPr>
          <w:rStyle w:val="Appelnotedebasdep"/>
        </w:rPr>
        <w:footnoteRef/>
      </w:r>
      <w:r>
        <w:t xml:space="preserve"> </w:t>
      </w:r>
      <w:r w:rsidRPr="00D7670E">
        <w:rPr>
          <w:rFonts w:ascii="Calibri" w:hAnsi="Calibri" w:cs="Arial"/>
          <w:color w:val="000000" w:themeColor="text1"/>
          <w:shd w:val="clear" w:color="auto" w:fill="FFFFFF"/>
        </w:rPr>
        <w:t>Les espèces sauvages apparentées aux plantes cultivées sont une source importante de matériel génétique, qui peut être exploité pour améliorer les cultivars. </w:t>
      </w:r>
      <w:hyperlink r:id="rId156" w:tooltip="Centre international de recherche agronomique dans les zones sèches" w:history="1">
        <w:r w:rsidRPr="00D7670E">
          <w:rPr>
            <w:rStyle w:val="Lienhypertexte"/>
            <w:rFonts w:ascii="Calibri" w:hAnsi="Calibri" w:cs="Arial"/>
            <w:color w:val="0645AD"/>
            <w:shd w:val="clear" w:color="auto" w:fill="FFFFFF"/>
          </w:rPr>
          <w:t>L'ICARDA</w:t>
        </w:r>
      </w:hyperlink>
      <w:r w:rsidRPr="00D7670E">
        <w:rPr>
          <w:rFonts w:ascii="Calibri" w:hAnsi="Calibri" w:cs="Arial"/>
          <w:color w:val="202122"/>
          <w:shd w:val="clear" w:color="auto" w:fill="FFFFFF"/>
        </w:rPr>
        <w:t> </w:t>
      </w:r>
      <w:r w:rsidRPr="00D7670E">
        <w:rPr>
          <w:rFonts w:ascii="Calibri" w:hAnsi="Calibri" w:cs="Arial"/>
          <w:color w:val="000000" w:themeColor="text1"/>
          <w:shd w:val="clear" w:color="auto" w:fill="FFFFFF"/>
        </w:rPr>
        <w:t>évalue actuellement des </w:t>
      </w:r>
      <w:hyperlink r:id="rId157" w:history="1">
        <w:r w:rsidRPr="00D7670E">
          <w:rPr>
            <w:rStyle w:val="Lienhypertexte"/>
            <w:rFonts w:ascii="Calibri" w:hAnsi="Calibri" w:cs="Arial"/>
            <w:color w:val="3366BB"/>
            <w:shd w:val="clear" w:color="auto" w:fill="FFFFFF"/>
          </w:rPr>
          <w:t>espèces sauvages apparentées</w:t>
        </w:r>
      </w:hyperlink>
      <w:r w:rsidRPr="00D7670E">
        <w:rPr>
          <w:rFonts w:ascii="Calibri" w:hAnsi="Calibri" w:cs="Arial"/>
          <w:color w:val="202122"/>
          <w:shd w:val="clear" w:color="auto" w:fill="FFFFFF"/>
        </w:rPr>
        <w:t> aux </w:t>
      </w:r>
      <w:hyperlink r:id="rId158" w:history="1">
        <w:r w:rsidRPr="00D7670E">
          <w:rPr>
            <w:rStyle w:val="Lienhypertexte"/>
            <w:rFonts w:ascii="Calibri" w:hAnsi="Calibri" w:cs="Arial"/>
            <w:color w:val="3366BB"/>
            <w:shd w:val="clear" w:color="auto" w:fill="FFFFFF"/>
          </w:rPr>
          <w:t>cultures</w:t>
        </w:r>
      </w:hyperlink>
      <w:r w:rsidRPr="00D7670E">
        <w:rPr>
          <w:rFonts w:ascii="Calibri" w:hAnsi="Calibri" w:cs="Arial"/>
          <w:color w:val="202122"/>
          <w:shd w:val="clear" w:color="auto" w:fill="FFFFFF"/>
        </w:rPr>
        <w:t> </w:t>
      </w:r>
      <w:r w:rsidRPr="00D7670E">
        <w:rPr>
          <w:rFonts w:ascii="Calibri" w:hAnsi="Calibri" w:cs="Arial"/>
          <w:color w:val="000000" w:themeColor="text1"/>
          <w:shd w:val="clear" w:color="auto" w:fill="FFFFFF"/>
        </w:rPr>
        <w:t>pour explorer les gènes avec peu ou pas d'ODAP et résistants/tolérants aux stress biotiques/abiotiques et les transférer à la gesse cultivée.</w:t>
      </w:r>
    </w:p>
  </w:footnote>
  <w:footnote w:id="128">
    <w:p w14:paraId="4C663E14" w14:textId="77777777" w:rsidR="00E70A1D" w:rsidRDefault="00E70A1D" w:rsidP="00E70A1D">
      <w:pPr>
        <w:pStyle w:val="Notedebasdepage"/>
      </w:pPr>
      <w:r>
        <w:rPr>
          <w:rStyle w:val="Appelnotedebasdep"/>
        </w:rPr>
        <w:footnoteRef/>
      </w:r>
      <w:r>
        <w:t xml:space="preserve"> </w:t>
      </w:r>
      <w:r w:rsidRPr="0028179E">
        <w:rPr>
          <w:b/>
          <w:bCs/>
          <w:i/>
          <w:iCs/>
        </w:rPr>
        <w:t>Cotylédon</w:t>
      </w:r>
      <w:r>
        <w:t xml:space="preserve"> : </w:t>
      </w:r>
      <w:r w:rsidRPr="0028179E">
        <w:t>Feuille ou lobe qui naît sur l'axe de l'embryon d'une plante (réserve nutritive).</w:t>
      </w:r>
    </w:p>
  </w:footnote>
  <w:footnote w:id="129">
    <w:p w14:paraId="0968561E" w14:textId="77777777" w:rsidR="00E70A1D" w:rsidRDefault="00E70A1D" w:rsidP="00E70A1D">
      <w:pPr>
        <w:pStyle w:val="Notedebasdepage"/>
      </w:pPr>
      <w:r>
        <w:rPr>
          <w:rStyle w:val="Appelnotedebasdep"/>
        </w:rPr>
        <w:footnoteRef/>
      </w:r>
      <w:r>
        <w:t xml:space="preserve"> </w:t>
      </w:r>
      <w:r w:rsidRPr="00106B63">
        <w:t>Et l'accumulation d'osmolytes organiques, assurant un ajustement osmotique.</w:t>
      </w:r>
    </w:p>
  </w:footnote>
  <w:footnote w:id="130">
    <w:p w14:paraId="2319C539" w14:textId="2A757592" w:rsidR="0007791E" w:rsidRDefault="0007791E" w:rsidP="0007791E">
      <w:pPr>
        <w:pStyle w:val="Notedebasdepage"/>
        <w:jc w:val="both"/>
      </w:pPr>
      <w:r>
        <w:rPr>
          <w:rStyle w:val="Appelnotedebasdep"/>
        </w:rPr>
        <w:footnoteRef/>
      </w:r>
      <w:r>
        <w:t xml:space="preserve"> La DGCCRF et la DGS recommandent d’éliminer la partie externe et toute présence de latex des feuilles d’Aloe vera pour ne consommer que le gel situé au centre de la feuille (cf. schéma ci-dessous). Par précaution, la DGCCRF et la DGS recommandent également d’éviter la consommation de feuilles fraiches d’Aloe vera, y compris du gel, par les enfants, les femmes enceintes et allaitantes et les personnes fragiles. En effet, la </w:t>
      </w:r>
      <w:r w:rsidRPr="0007791E">
        <w:rPr>
          <w:i/>
          <w:iCs/>
        </w:rPr>
        <w:t>partie externe de la feuille</w:t>
      </w:r>
      <w:r>
        <w:t xml:space="preserve"> d’</w:t>
      </w:r>
      <w:r w:rsidRPr="0007791E">
        <w:rPr>
          <w:i/>
          <w:iCs/>
        </w:rPr>
        <w:t xml:space="preserve">Aloe vera </w:t>
      </w:r>
      <w:r>
        <w:t xml:space="preserve">secrète un liquide de couleur jaune (appelé latex) riche en dérivés </w:t>
      </w:r>
      <w:r w:rsidRPr="0007791E">
        <w:rPr>
          <w:i/>
          <w:iCs/>
        </w:rPr>
        <w:t>hydroxyanthracéniques</w:t>
      </w:r>
      <w:r>
        <w:t xml:space="preserve">, des molécules qui ont un effet laxatif très puissant et qui sont à l’origine de multiples effets indésirables largement documentés. Cf. </w:t>
      </w:r>
      <w:r w:rsidR="00E1639D" w:rsidRPr="00E1639D">
        <w:rPr>
          <w:i/>
          <w:iCs/>
        </w:rPr>
        <w:t xml:space="preserve">documentation du </w:t>
      </w:r>
      <w:r w:rsidR="00E1639D" w:rsidRPr="00E1639D">
        <w:rPr>
          <w:rFonts w:ascii="Calibri" w:hAnsi="Calibri" w:cs="Calibri"/>
          <w:i/>
          <w:iCs/>
        </w:rPr>
        <w:t>Ministère des Solidarités et de la Santé</w:t>
      </w:r>
      <w:r w:rsidR="00E1639D">
        <w:rPr>
          <w:rFonts w:ascii="Calibri" w:hAnsi="Calibri" w:cs="Calibri"/>
        </w:rPr>
        <w:t>.</w:t>
      </w:r>
    </w:p>
  </w:footnote>
  <w:footnote w:id="131">
    <w:p w14:paraId="483E8539" w14:textId="4F50A2F3" w:rsidR="008802DC" w:rsidRDefault="008802DC">
      <w:pPr>
        <w:pStyle w:val="Notedebasdepage"/>
      </w:pPr>
      <w:r>
        <w:rPr>
          <w:rStyle w:val="Appelnotedebasdep"/>
        </w:rPr>
        <w:footnoteRef/>
      </w:r>
      <w:r>
        <w:t xml:space="preserve"> </w:t>
      </w:r>
      <w:r w:rsidRPr="008802DC">
        <w:rPr>
          <w:i/>
          <w:iCs/>
        </w:rPr>
        <w:t>L'aloe vera, du gel douche au yaourt</w:t>
      </w:r>
      <w:r w:rsidRPr="008802DC">
        <w:t xml:space="preserve">, Céline Deluzarche, 27/08/08, </w:t>
      </w:r>
      <w:hyperlink r:id="rId159" w:history="1">
        <w:r w:rsidRPr="00224761">
          <w:rPr>
            <w:rStyle w:val="Lienhypertexte"/>
          </w:rPr>
          <w:t>https://www.journaldunet.com/economie/agroalimentaire/1011273-les-plantes-qui-font-vendre-a-coup-sur/1011277-l-aloe-vera-du-gel-douche-au-yaourt</w:t>
        </w:r>
      </w:hyperlink>
      <w:r>
        <w:t xml:space="preserve"> </w:t>
      </w:r>
    </w:p>
  </w:footnote>
  <w:footnote w:id="132">
    <w:p w14:paraId="72BF42B8" w14:textId="3E0C2E06" w:rsidR="009006D1" w:rsidRDefault="009006D1">
      <w:pPr>
        <w:pStyle w:val="Notedebasdepage"/>
      </w:pPr>
      <w:r>
        <w:rPr>
          <w:rStyle w:val="Appelnotedebasdep"/>
        </w:rPr>
        <w:footnoteRef/>
      </w:r>
      <w:r>
        <w:t xml:space="preserve"> </w:t>
      </w:r>
      <w:r w:rsidRPr="009006D1">
        <w:t xml:space="preserve">Source : Pépinière Naac Baal,  </w:t>
      </w:r>
      <w:hyperlink r:id="rId160" w:history="1">
        <w:r w:rsidRPr="009006D1">
          <w:rPr>
            <w:rStyle w:val="Lienhypertexte"/>
          </w:rPr>
          <w:t>http://vetiversenegal.blogspot.fr/2010/11/des-projets-recents-du-vetiver-au.html</w:t>
        </w:r>
      </w:hyperlink>
    </w:p>
  </w:footnote>
  <w:footnote w:id="133">
    <w:p w14:paraId="4F84BBF1" w14:textId="77777777" w:rsidR="0089104E" w:rsidRPr="006F7BF4" w:rsidRDefault="0089104E" w:rsidP="0089104E">
      <w:pPr>
        <w:pStyle w:val="Notedebasdepage"/>
        <w:rPr>
          <w:lang w:val="en-GB"/>
        </w:rPr>
      </w:pPr>
      <w:r>
        <w:rPr>
          <w:rStyle w:val="Appelnotedebasdep"/>
        </w:rPr>
        <w:footnoteRef/>
      </w:r>
      <w:r w:rsidRPr="006F7BF4">
        <w:rPr>
          <w:lang w:val="en-GB"/>
        </w:rPr>
        <w:t xml:space="preserve"> Cf. Source: </w:t>
      </w:r>
      <w:hyperlink r:id="rId161" w:history="1">
        <w:r w:rsidRPr="006F7BF4">
          <w:rPr>
            <w:rStyle w:val="Lienhypertexte"/>
            <w:lang w:val="en-GB"/>
          </w:rPr>
          <w:t>http://www.fao.org/docrep/007/y5378f/y5378f03.htm</w:t>
        </w:r>
      </w:hyperlink>
    </w:p>
  </w:footnote>
  <w:footnote w:id="134">
    <w:p w14:paraId="0B311A8F" w14:textId="665981BA" w:rsidR="00CE5228" w:rsidRPr="00CE5228" w:rsidRDefault="00CE5228" w:rsidP="00CE5228">
      <w:pPr>
        <w:spacing w:after="0" w:line="240" w:lineRule="auto"/>
        <w:jc w:val="both"/>
        <w:rPr>
          <w:sz w:val="20"/>
          <w:szCs w:val="20"/>
          <w:lang w:val="en-GB"/>
        </w:rPr>
      </w:pPr>
      <w:r w:rsidRPr="00CE5228">
        <w:rPr>
          <w:rStyle w:val="Appelnotedebasdep"/>
          <w:sz w:val="20"/>
          <w:szCs w:val="20"/>
        </w:rPr>
        <w:footnoteRef/>
      </w:r>
      <w:r w:rsidRPr="00CE5228">
        <w:rPr>
          <w:sz w:val="20"/>
          <w:szCs w:val="20"/>
          <w:lang w:val="en-GB"/>
        </w:rPr>
        <w:t xml:space="preserve"> Source : </w:t>
      </w:r>
      <w:r w:rsidRPr="00CE5228">
        <w:rPr>
          <w:i/>
          <w:iCs/>
          <w:sz w:val="20"/>
          <w:szCs w:val="20"/>
          <w:lang w:val="en-GB"/>
        </w:rPr>
        <w:t>Salt-affected areas</w:t>
      </w:r>
      <w:r w:rsidRPr="00CE5228">
        <w:rPr>
          <w:sz w:val="20"/>
          <w:szCs w:val="20"/>
          <w:lang w:val="en-GB"/>
        </w:rPr>
        <w:t xml:space="preserve">, </w:t>
      </w:r>
      <w:hyperlink r:id="rId162" w:history="1">
        <w:r w:rsidRPr="00CE5228">
          <w:rPr>
            <w:rStyle w:val="Lienhypertexte"/>
            <w:sz w:val="20"/>
            <w:szCs w:val="20"/>
            <w:lang w:val="en-GB"/>
          </w:rPr>
          <w:t>http://www.nrcs.usda.gov/Internet/FSE_DOCUMENTS/nrcs141p2_018280.pdf</w:t>
        </w:r>
      </w:hyperlink>
      <w:r w:rsidRPr="00CE5228">
        <w:rPr>
          <w:sz w:val="20"/>
          <w:szCs w:val="20"/>
          <w:lang w:val="en-GB"/>
        </w:rPr>
        <w:t xml:space="preserve"> </w:t>
      </w:r>
    </w:p>
  </w:footnote>
  <w:footnote w:id="135">
    <w:p w14:paraId="7AFFE078" w14:textId="17F002D7" w:rsidR="00EC404D" w:rsidRDefault="00EC404D">
      <w:pPr>
        <w:pStyle w:val="Notedebasdepage"/>
      </w:pPr>
      <w:r>
        <w:rPr>
          <w:rStyle w:val="Appelnotedebasdep"/>
        </w:rPr>
        <w:footnoteRef/>
      </w:r>
      <w:r>
        <w:t xml:space="preserve"> Cf. </w:t>
      </w:r>
      <w:r w:rsidRPr="00EC404D">
        <w:rPr>
          <w:i/>
          <w:iCs/>
        </w:rPr>
        <w:t>Langue Khoïkhoï</w:t>
      </w:r>
      <w:r>
        <w:t>, </w:t>
      </w:r>
      <w:hyperlink r:id="rId163" w:history="1">
        <w:r w:rsidRPr="006437AE">
          <w:rPr>
            <w:rStyle w:val="Lienhypertexte"/>
          </w:rPr>
          <w:t>https://fr.wikipedia.org/wiki/Kho%C3%AFkho%C3%AF</w:t>
        </w:r>
      </w:hyperlink>
      <w:r>
        <w:t xml:space="preserve"> </w:t>
      </w:r>
    </w:p>
  </w:footnote>
  <w:footnote w:id="136">
    <w:p w14:paraId="224D3C81" w14:textId="77777777" w:rsidR="009D282F" w:rsidRPr="00E52359" w:rsidRDefault="009D282F" w:rsidP="009D282F">
      <w:pPr>
        <w:pStyle w:val="Notedebasdepage"/>
        <w:rPr>
          <w:lang w:val="en-GB"/>
        </w:rPr>
      </w:pPr>
      <w:r>
        <w:rPr>
          <w:rStyle w:val="Appelnotedebasdep"/>
        </w:rPr>
        <w:footnoteRef/>
      </w:r>
      <w:r w:rsidRPr="00E52359">
        <w:rPr>
          <w:lang w:val="en-GB"/>
        </w:rPr>
        <w:t xml:space="preserve"> </w:t>
      </w:r>
      <w:r w:rsidRPr="009D282F">
        <w:rPr>
          <w:sz w:val="16"/>
          <w:szCs w:val="16"/>
          <w:lang w:val="en-GB"/>
        </w:rPr>
        <w:t xml:space="preserve">Cf. </w:t>
      </w:r>
      <w:hyperlink r:id="rId164" w:history="1">
        <w:r w:rsidRPr="009D282F">
          <w:rPr>
            <w:rStyle w:val="Lienhypertexte"/>
            <w:sz w:val="16"/>
            <w:szCs w:val="16"/>
            <w:lang w:val="en-GB"/>
          </w:rPr>
          <w:t>https://www.semanticscholar.org/paper/Strategies-of-Acanthosicyos-horridus-(!nara)-to-in-Gerber-Piketh/e38852092a758dd9bbdfb66c2252c07589eb41e2/figure/13</w:t>
        </w:r>
      </w:hyperlink>
      <w:r>
        <w:rPr>
          <w:lang w:val="en-GB"/>
        </w:rPr>
        <w:t xml:space="preserve"> </w:t>
      </w:r>
    </w:p>
  </w:footnote>
  <w:footnote w:id="137">
    <w:p w14:paraId="383C286B" w14:textId="6900A6E7" w:rsidR="007F3F0D" w:rsidRDefault="007F3F0D">
      <w:pPr>
        <w:pStyle w:val="Notedebasdepage"/>
      </w:pPr>
      <w:r>
        <w:rPr>
          <w:rStyle w:val="Appelnotedebasdep"/>
        </w:rPr>
        <w:footnoteRef/>
      </w:r>
      <w:r>
        <w:t xml:space="preserve"> </w:t>
      </w:r>
      <w:r w:rsidRPr="007F3F0D">
        <w:t>"</w:t>
      </w:r>
      <w:r w:rsidRPr="007F3F0D">
        <w:rPr>
          <w:i/>
          <w:iCs/>
        </w:rPr>
        <w:t>Liste d'algues comestibles</w:t>
      </w:r>
      <w:r w:rsidRPr="007F3F0D">
        <w:t>" in "</w:t>
      </w:r>
      <w:r w:rsidRPr="007F3F0D">
        <w:rPr>
          <w:i/>
          <w:iCs/>
        </w:rPr>
        <w:t>Algue alimentaire</w:t>
      </w:r>
      <w:r w:rsidRPr="007F3F0D">
        <w:t xml:space="preserve">", </w:t>
      </w:r>
      <w:hyperlink r:id="rId165" w:anchor="Liste_d'algues_comestibles" w:history="1">
        <w:r w:rsidRPr="006437AE">
          <w:rPr>
            <w:rStyle w:val="Lienhypertexte"/>
          </w:rPr>
          <w:t>https://fr.wikipedia.org/wiki/Algue_alimentaire#Liste_d'algues_comestibles</w:t>
        </w:r>
      </w:hyperlink>
      <w:r>
        <w:t xml:space="preserve"> </w:t>
      </w:r>
    </w:p>
  </w:footnote>
  <w:footnote w:id="138">
    <w:p w14:paraId="45086643" w14:textId="2224BFB7" w:rsidR="00933A3D" w:rsidRPr="00933A3D" w:rsidRDefault="00933A3D">
      <w:pPr>
        <w:pStyle w:val="Notedebasdepage"/>
      </w:pPr>
      <w:r>
        <w:rPr>
          <w:rStyle w:val="Appelnotedebasdep"/>
        </w:rPr>
        <w:footnoteRef/>
      </w:r>
      <w:r w:rsidRPr="00933A3D">
        <w:t xml:space="preserve"> Cf. </w:t>
      </w:r>
      <w:r w:rsidRPr="00933A3D">
        <w:rPr>
          <w:i/>
          <w:iCs/>
        </w:rPr>
        <w:t>Culture d’algues rouges: Des avantages économiques et écologiques</w:t>
      </w:r>
      <w:r w:rsidRPr="00933A3D">
        <w:t>,</w:t>
      </w:r>
      <w:r>
        <w:t xml:space="preserve"> ibid.</w:t>
      </w:r>
    </w:p>
  </w:footnote>
  <w:footnote w:id="139">
    <w:p w14:paraId="72F69F9F" w14:textId="2E165121" w:rsidR="006E1FE5" w:rsidRPr="006E1FE5" w:rsidRDefault="006E1FE5">
      <w:pPr>
        <w:pStyle w:val="Notedebasdepage"/>
        <w:rPr>
          <w:lang w:val="en-GB"/>
        </w:rPr>
      </w:pPr>
      <w:r>
        <w:rPr>
          <w:rStyle w:val="Appelnotedebasdep"/>
        </w:rPr>
        <w:footnoteRef/>
      </w:r>
      <w:r w:rsidRPr="006E1FE5">
        <w:rPr>
          <w:lang w:val="en-GB"/>
        </w:rPr>
        <w:t xml:space="preserve"> Cf. </w:t>
      </w:r>
      <w:hyperlink r:id="rId166" w:history="1">
        <w:r w:rsidRPr="006437AE">
          <w:rPr>
            <w:rStyle w:val="Lienhypertexte"/>
            <w:lang w:val="en-GB"/>
          </w:rPr>
          <w:t>https://fr.wikipedia.org/wiki/Algoculture</w:t>
        </w:r>
      </w:hyperlink>
      <w:r>
        <w:rPr>
          <w:lang w:val="en-GB"/>
        </w:rPr>
        <w:t xml:space="preserve"> </w:t>
      </w:r>
    </w:p>
  </w:footnote>
  <w:footnote w:id="140">
    <w:p w14:paraId="25C8FF74" w14:textId="4C61AC2E" w:rsidR="00933A3D" w:rsidRDefault="00933A3D">
      <w:pPr>
        <w:pStyle w:val="Notedebasdepage"/>
      </w:pPr>
      <w:r>
        <w:rPr>
          <w:rStyle w:val="Appelnotedebasdep"/>
        </w:rPr>
        <w:footnoteRef/>
      </w:r>
      <w:r>
        <w:t xml:space="preserve"> </w:t>
      </w:r>
      <w:r w:rsidRPr="00933A3D">
        <w:rPr>
          <w:i/>
          <w:iCs/>
        </w:rPr>
        <w:t>Culture d’algues rouges: Des avantages économiques et écologiques</w:t>
      </w:r>
      <w:r w:rsidRPr="00933A3D">
        <w:t xml:space="preserve">, </w:t>
      </w:r>
      <w:hyperlink r:id="rId167" w:history="1">
        <w:r w:rsidRPr="006437AE">
          <w:rPr>
            <w:rStyle w:val="Lienhypertexte"/>
          </w:rPr>
          <w:t>http://www.tresorpublic.mg/?p=30971</w:t>
        </w:r>
      </w:hyperlink>
      <w:r>
        <w:t xml:space="preserve"> </w:t>
      </w:r>
    </w:p>
  </w:footnote>
  <w:footnote w:id="141">
    <w:p w14:paraId="60F51367" w14:textId="6D1BDE8F" w:rsidR="006E1FE5" w:rsidRDefault="006E1FE5" w:rsidP="006E1FE5">
      <w:pPr>
        <w:pStyle w:val="Notedebasdepage"/>
        <w:jc w:val="both"/>
      </w:pPr>
      <w:r>
        <w:rPr>
          <w:rStyle w:val="Appelnotedebasdep"/>
        </w:rPr>
        <w:footnoteRef/>
      </w:r>
      <w:r>
        <w:t xml:space="preserve"> </w:t>
      </w:r>
      <w:r w:rsidRPr="006E1FE5">
        <w:rPr>
          <w:i/>
          <w:iCs/>
        </w:rPr>
        <w:t>Ice-ice</w:t>
      </w:r>
      <w:r>
        <w:t xml:space="preserve"> : </w:t>
      </w:r>
      <w:r w:rsidRPr="006E1FE5">
        <w:t>une maladie des algues, causée lorsque les changements de salinité, de température de l'océan et d'intensité lumineuse, cause d'un stress aux algues, les faisant produire une "substance organique humide" qui attire les bactéries dans l'eau et induit le "blanchiment" et le durcissement caractéristiques des tissus des algues</w:t>
      </w:r>
      <w:r>
        <w:t xml:space="preserve">. Cf. </w:t>
      </w:r>
      <w:hyperlink r:id="rId168" w:history="1">
        <w:r w:rsidRPr="006437AE">
          <w:rPr>
            <w:rStyle w:val="Lienhypertexte"/>
          </w:rPr>
          <w:t>https://en.wikipedia.org/wiki/Ice-ice</w:t>
        </w:r>
      </w:hyperlink>
      <w:r>
        <w:t xml:space="preserve"> </w:t>
      </w:r>
    </w:p>
  </w:footnote>
  <w:footnote w:id="142">
    <w:p w14:paraId="1958D882" w14:textId="7FAE68AE" w:rsidR="006E1FE5" w:rsidRDefault="006E1FE5" w:rsidP="006E1FE5">
      <w:pPr>
        <w:pStyle w:val="Notedebasdepage"/>
      </w:pPr>
      <w:r>
        <w:rPr>
          <w:rStyle w:val="Appelnotedebasdep"/>
        </w:rPr>
        <w:footnoteRef/>
      </w:r>
      <w:r>
        <w:t xml:space="preserve"> </w:t>
      </w:r>
      <w:r w:rsidRPr="006E1FE5">
        <w:t xml:space="preserve">a) </w:t>
      </w:r>
      <w:r w:rsidRPr="006E1FE5">
        <w:rPr>
          <w:i/>
          <w:iCs/>
        </w:rPr>
        <w:t>Techniques et bénéfices apportés par l’algoculture</w:t>
      </w:r>
      <w:r w:rsidRPr="006E1FE5">
        <w:t xml:space="preserve">, ONG IBIS Madagascar, </w:t>
      </w:r>
      <w:hyperlink r:id="rId169" w:history="1">
        <w:r w:rsidRPr="006437AE">
          <w:rPr>
            <w:rStyle w:val="Lienhypertexte"/>
          </w:rPr>
          <w:t>http://www.ibis-algoculture.com/ibis/index.php/fr/lalgoculture/5-techniques-et-benefices-apportes-par-lalgoculture.html</w:t>
        </w:r>
      </w:hyperlink>
      <w:r>
        <w:t xml:space="preserve"> </w:t>
      </w:r>
    </w:p>
  </w:footnote>
  <w:footnote w:id="143">
    <w:p w14:paraId="213E6F61" w14:textId="66A0C1EA" w:rsidR="00966A79" w:rsidRDefault="00966A79" w:rsidP="00966A79">
      <w:pPr>
        <w:pStyle w:val="Notedebasdepage"/>
        <w:jc w:val="both"/>
      </w:pPr>
      <w:r>
        <w:rPr>
          <w:rStyle w:val="Appelnotedebasdep"/>
        </w:rPr>
        <w:footnoteRef/>
      </w:r>
      <w:r>
        <w:t xml:space="preserve"> Au sujet de son mode de reproduction : Le cycle de vie biphasique de Porphyra comprend un stade gamétophytique foliacé (lame) et un stade sporophytique filamenteux (</w:t>
      </w:r>
      <w:r w:rsidRPr="00966A79">
        <w:rPr>
          <w:i/>
          <w:iCs/>
        </w:rPr>
        <w:t>Conchocelis</w:t>
      </w:r>
      <w:r>
        <w:t xml:space="preserve">) non hétérogène. Le stade de </w:t>
      </w:r>
      <w:r w:rsidRPr="00966A79">
        <w:rPr>
          <w:i/>
          <w:iCs/>
        </w:rPr>
        <w:t>Conchocelis</w:t>
      </w:r>
      <w:r>
        <w:t xml:space="preserve"> de </w:t>
      </w:r>
      <w:r w:rsidRPr="00966A79">
        <w:rPr>
          <w:i/>
          <w:iCs/>
        </w:rPr>
        <w:t>Porphyra</w:t>
      </w:r>
      <w:r>
        <w:t xml:space="preserve"> a une germination unipolaire à partir d'un zygotospore (anciennement carpospore); il pénètre dans les matériaux calcaires (comme les coquilles d'huîtres) et s'y développe. Le </w:t>
      </w:r>
      <w:r w:rsidRPr="00966A79">
        <w:rPr>
          <w:i/>
          <w:iCs/>
        </w:rPr>
        <w:t>Conchocelis</w:t>
      </w:r>
      <w:r>
        <w:t xml:space="preserve"> est constitué de filaments ramifiés microscopiques.</w:t>
      </w:r>
    </w:p>
    <w:p w14:paraId="703677F6" w14:textId="58318D67" w:rsidR="00966A79" w:rsidRDefault="00966A79" w:rsidP="00966A79">
      <w:pPr>
        <w:pStyle w:val="Notedebasdepage"/>
      </w:pPr>
      <w:r>
        <w:t xml:space="preserve">Source: </w:t>
      </w:r>
      <w:r w:rsidRPr="00966A79">
        <w:rPr>
          <w:i/>
          <w:iCs/>
        </w:rPr>
        <w:t>Zygotospore : définition, explications</w:t>
      </w:r>
      <w:r>
        <w:t xml:space="preserve">, </w:t>
      </w:r>
      <w:hyperlink r:id="rId170" w:history="1">
        <w:r w:rsidRPr="00224761">
          <w:rPr>
            <w:rStyle w:val="Lienhypertexte"/>
          </w:rPr>
          <w:t>https://www.aquaportail.com/definition-497-zygotospore.html</w:t>
        </w:r>
      </w:hyperlink>
      <w:r>
        <w:t xml:space="preserve"> </w:t>
      </w:r>
    </w:p>
  </w:footnote>
  <w:footnote w:id="144">
    <w:p w14:paraId="2BE3F112" w14:textId="2B163247" w:rsidR="0033630A" w:rsidRDefault="0033630A">
      <w:pPr>
        <w:pStyle w:val="Notedebasdepage"/>
      </w:pPr>
      <w:r>
        <w:rPr>
          <w:rStyle w:val="Appelnotedebasdep"/>
        </w:rPr>
        <w:footnoteRef/>
      </w:r>
      <w:r>
        <w:t xml:space="preserve"> U</w:t>
      </w:r>
      <w:r w:rsidRPr="0033630A">
        <w:t xml:space="preserve">ne maladie, induisant le "blanchiment" et le durcissement des tissus des algues. </w:t>
      </w:r>
      <w:hyperlink r:id="rId171" w:history="1">
        <w:r w:rsidRPr="00224761">
          <w:rPr>
            <w:rStyle w:val="Lienhypertexte"/>
          </w:rPr>
          <w:t>https://en.wikipedia.org/wiki/Ice-ice</w:t>
        </w:r>
      </w:hyperlink>
      <w:r>
        <w:t xml:space="preserve"> </w:t>
      </w:r>
    </w:p>
  </w:footnote>
  <w:footnote w:id="145">
    <w:p w14:paraId="3C74C2EF" w14:textId="16BF1FD4" w:rsidR="00875D93" w:rsidRPr="00875D93" w:rsidRDefault="00875D93">
      <w:pPr>
        <w:pStyle w:val="Notedebasdepage"/>
      </w:pPr>
      <w:r>
        <w:rPr>
          <w:rStyle w:val="Appelnotedebasdep"/>
        </w:rPr>
        <w:footnoteRef/>
      </w:r>
      <w:r w:rsidRPr="00875D93">
        <w:t xml:space="preserve"> </w:t>
      </w:r>
      <w:r>
        <w:t>Chez les francophones, o</w:t>
      </w:r>
      <w:r w:rsidRPr="00875D93">
        <w:t>n entend par “spirulin</w:t>
      </w:r>
      <w:r>
        <w:t>e</w:t>
      </w:r>
      <w:r w:rsidRPr="00875D93">
        <w:t>”,</w:t>
      </w:r>
      <w:r>
        <w:t xml:space="preserve"> uniquement les spirulines alimentaires.</w:t>
      </w:r>
      <w:r w:rsidRPr="00875D93">
        <w:t xml:space="preserve"> </w:t>
      </w:r>
    </w:p>
  </w:footnote>
  <w:footnote w:id="146">
    <w:p w14:paraId="206C6CAB" w14:textId="5ED609D6" w:rsidR="007F0870" w:rsidRPr="007F0870" w:rsidRDefault="007F0870">
      <w:pPr>
        <w:pStyle w:val="Notedebasdepage"/>
      </w:pPr>
      <w:r w:rsidRPr="007F0870">
        <w:rPr>
          <w:rStyle w:val="Appelnotedebasdep"/>
        </w:rPr>
        <w:footnoteRef/>
      </w:r>
      <w:r w:rsidRPr="007F0870">
        <w:t xml:space="preserve"> </w:t>
      </w:r>
      <w:r w:rsidRPr="007F0870">
        <w:rPr>
          <w:rFonts w:ascii="Calibri" w:hAnsi="Calibri" w:cs="Calibri"/>
          <w:color w:val="000000" w:themeColor="text1"/>
        </w:rPr>
        <w:t>Il ne faut pas confondre le nom vernaculaire avec le nom de ce genre.</w:t>
      </w:r>
    </w:p>
  </w:footnote>
  <w:footnote w:id="147">
    <w:p w14:paraId="28B9898B" w14:textId="08C45F63" w:rsidR="0011098B" w:rsidRDefault="0011098B" w:rsidP="0011098B">
      <w:pPr>
        <w:pStyle w:val="Notedebasdepage"/>
        <w:jc w:val="both"/>
      </w:pPr>
      <w:r>
        <w:rPr>
          <w:rStyle w:val="Appelnotedebasdep"/>
        </w:rPr>
        <w:footnoteRef/>
      </w:r>
      <w:r>
        <w:t xml:space="preserve"> </w:t>
      </w:r>
      <w:r w:rsidRPr="0011098B">
        <w:t>Leur fond étant le plus souvent recouvert d'une bâches plastique étanche de qualité alimentaire (ou au moins non toxique) et résistant aux ultraviolets.</w:t>
      </w:r>
    </w:p>
  </w:footnote>
  <w:footnote w:id="148">
    <w:p w14:paraId="47224418" w14:textId="5F92D552" w:rsidR="0011098B" w:rsidRDefault="0011098B">
      <w:pPr>
        <w:pStyle w:val="Notedebasdepage"/>
      </w:pPr>
      <w:r>
        <w:rPr>
          <w:rStyle w:val="Appelnotedebasdep"/>
        </w:rPr>
        <w:footnoteRef/>
      </w:r>
      <w:r>
        <w:t xml:space="preserve"> </w:t>
      </w:r>
      <w:r w:rsidRPr="0011098B">
        <w:t>En climat tempéré, pas assez chaud pour sa culture, cette dernière ne sera souvent que saisonnière</w:t>
      </w:r>
      <w:r w:rsidR="00BF632F">
        <w:t xml:space="preserve"> (et sous serre)</w:t>
      </w:r>
      <w:r w:rsidRPr="0011098B">
        <w:t>.</w:t>
      </w:r>
    </w:p>
  </w:footnote>
  <w:footnote w:id="149">
    <w:p w14:paraId="4F06473A" w14:textId="088EA32F" w:rsidR="00692B2D" w:rsidRPr="00692B2D" w:rsidRDefault="00692B2D">
      <w:pPr>
        <w:pStyle w:val="Notedebasdepage"/>
      </w:pPr>
      <w:r>
        <w:rPr>
          <w:rStyle w:val="Appelnotedebasdep"/>
        </w:rPr>
        <w:footnoteRef/>
      </w:r>
      <w:r w:rsidRPr="00692B2D">
        <w:t xml:space="preserve"> Avec des séchoirs solaires et</w:t>
      </w:r>
      <w:r>
        <w:t>c.</w:t>
      </w:r>
    </w:p>
  </w:footnote>
  <w:footnote w:id="150">
    <w:p w14:paraId="73FDA8BF" w14:textId="41B3B81D" w:rsidR="00DC6D43" w:rsidRPr="003F5F30" w:rsidRDefault="00DC6D43" w:rsidP="00DC6D43">
      <w:pPr>
        <w:pStyle w:val="Notedebasdepage"/>
        <w:jc w:val="both"/>
      </w:pPr>
      <w:r>
        <w:rPr>
          <w:rStyle w:val="Appelnotedebasdep"/>
        </w:rPr>
        <w:footnoteRef/>
      </w:r>
      <w:r w:rsidRPr="00DC6D43">
        <w:t xml:space="preserve"> Par exemple 5 g/l de bicarbonate de sodium + 1,6 g/l de soude (caustique) donnent un pH de 10. L'emploi d'un sel peu raffiné (jusqu'à 13 gr de sel/litre est recommandé à cause de sa teneur en oligo-éléments bénéfiques. </w:t>
      </w:r>
      <w:r w:rsidRPr="003F5F30">
        <w:t>Cf. J.P. Jourdan, ibid.</w:t>
      </w:r>
    </w:p>
  </w:footnote>
  <w:footnote w:id="151">
    <w:p w14:paraId="51F79F02" w14:textId="7C1F2910" w:rsidR="00DB0ED3" w:rsidRPr="00DB0ED3" w:rsidRDefault="00DB0ED3" w:rsidP="00DB0ED3">
      <w:pPr>
        <w:pStyle w:val="Notedebasdepage"/>
        <w:jc w:val="both"/>
      </w:pPr>
      <w:r w:rsidRPr="00DB0ED3">
        <w:rPr>
          <w:rStyle w:val="Appelnotedebasdep"/>
          <w:i/>
          <w:iCs/>
        </w:rPr>
        <w:footnoteRef/>
      </w:r>
      <w:r w:rsidRPr="00DB0ED3">
        <w:rPr>
          <w:i/>
          <w:iCs/>
        </w:rPr>
        <w:t xml:space="preserve"> Caractérisation</w:t>
      </w:r>
      <w:r w:rsidRPr="00DB0ED3">
        <w:t xml:space="preserve"> physico-chimique des trois lacs salés permanents de la vallée d'Oued Righ (Sahara septentrional, Algérie Nord-Est), Gouasmia G., Amarouayache Mounia, Frehi Hocine, Hichem Kara, Janvier 2016, Revue d'écologie 71(4), </w:t>
      </w:r>
      <w:hyperlink r:id="rId172" w:history="1">
        <w:r w:rsidRPr="00E82D9B">
          <w:rPr>
            <w:rStyle w:val="Lienhypertexte"/>
          </w:rPr>
          <w:t>https://www.researchgate.net/publication/309312039_Caracterisation_physico-chimique_de_trois_lacs_sales_permanents_de_la_vallee_d'Oued_Righ_Sahara_septentrional_Algerie_Nord-Est</w:t>
        </w:r>
      </w:hyperlink>
      <w:r>
        <w:t xml:space="preserve"> </w:t>
      </w:r>
    </w:p>
  </w:footnote>
  <w:footnote w:id="152">
    <w:p w14:paraId="0D569EA9" w14:textId="02B0B539" w:rsidR="005A18E6" w:rsidRPr="005A18E6" w:rsidRDefault="005A18E6">
      <w:pPr>
        <w:pStyle w:val="Notedebasdepage"/>
        <w:rPr>
          <w:lang w:val="en-GB"/>
        </w:rPr>
      </w:pPr>
      <w:r>
        <w:rPr>
          <w:rStyle w:val="Appelnotedebasdep"/>
        </w:rPr>
        <w:footnoteRef/>
      </w:r>
      <w:r w:rsidRPr="005A18E6">
        <w:rPr>
          <w:lang w:val="en-GB"/>
        </w:rPr>
        <w:t xml:space="preserve"> </w:t>
      </w:r>
      <w:r>
        <w:rPr>
          <w:lang w:val="en-GB"/>
        </w:rPr>
        <w:t xml:space="preserve">Cf. </w:t>
      </w:r>
      <w:hyperlink r:id="rId173" w:history="1">
        <w:r w:rsidRPr="005A18E6">
          <w:rPr>
            <w:rStyle w:val="Lienhypertexte"/>
            <w:lang w:val="en-GB"/>
          </w:rPr>
          <w:t>http://www.llifle.com/Encyclopedia/TREES/Family/Burseraceae/11169/Commiphora_myrrha</w:t>
        </w:r>
      </w:hyperlink>
      <w:r w:rsidRPr="005A18E6">
        <w:rPr>
          <w:lang w:val="en-GB"/>
        </w:rPr>
        <w:t xml:space="preserve">  </w:t>
      </w:r>
      <w:r>
        <w:rPr>
          <w:lang w:val="en-GB"/>
        </w:rPr>
        <w:t xml:space="preserve"> </w:t>
      </w:r>
    </w:p>
  </w:footnote>
  <w:footnote w:id="153">
    <w:p w14:paraId="45520EDB" w14:textId="7F104418" w:rsidR="005E5060" w:rsidRPr="005E5060" w:rsidRDefault="005E5060">
      <w:pPr>
        <w:pStyle w:val="Notedebasdepage"/>
        <w:rPr>
          <w:lang w:val="en-GB"/>
        </w:rPr>
      </w:pPr>
      <w:r>
        <w:rPr>
          <w:rStyle w:val="Appelnotedebasdep"/>
        </w:rPr>
        <w:footnoteRef/>
      </w:r>
      <w:r w:rsidRPr="005E5060">
        <w:rPr>
          <w:lang w:val="en-GB"/>
        </w:rPr>
        <w:t xml:space="preserve"> Cf. </w:t>
      </w:r>
      <w:hyperlink r:id="rId174" w:history="1">
        <w:r w:rsidRPr="005E5060">
          <w:rPr>
            <w:rStyle w:val="Lienhypertexte"/>
            <w:lang w:val="en-GB"/>
          </w:rPr>
          <w:t>http://www.theamateursdigest.com/40489.htm</w:t>
        </w:r>
      </w:hyperlink>
    </w:p>
  </w:footnote>
  <w:footnote w:id="154">
    <w:p w14:paraId="27F30120" w14:textId="77777777" w:rsidR="00AE40DF" w:rsidRPr="00AE40DF" w:rsidRDefault="00AE40DF" w:rsidP="00AE40DF">
      <w:pPr>
        <w:pStyle w:val="Notedebasdepage"/>
        <w:rPr>
          <w:lang w:val="en-GB"/>
        </w:rPr>
      </w:pPr>
      <w:r>
        <w:rPr>
          <w:rStyle w:val="Appelnotedebasdep"/>
        </w:rPr>
        <w:footnoteRef/>
      </w:r>
      <w:r w:rsidRPr="00AE40DF">
        <w:rPr>
          <w:lang w:val="en-GB"/>
        </w:rPr>
        <w:t xml:space="preserve"> Cf. </w:t>
      </w:r>
      <w:hyperlink r:id="rId175" w:history="1">
        <w:r w:rsidRPr="00AE40DF">
          <w:rPr>
            <w:rStyle w:val="Lienhypertexte"/>
            <w:lang w:val="en-GB"/>
          </w:rPr>
          <w:t>http://bsi.gov.in/PhotoP/8_6_FrontPhotoGallery.aspx</w:t>
        </w:r>
      </w:hyperlink>
    </w:p>
  </w:footnote>
  <w:footnote w:id="155">
    <w:p w14:paraId="307EF341" w14:textId="77777777" w:rsidR="00AE40DF" w:rsidRPr="00AE40DF" w:rsidRDefault="00AE40DF" w:rsidP="00AE40DF">
      <w:pPr>
        <w:pStyle w:val="Notedebasdepage"/>
        <w:rPr>
          <w:lang w:val="en-GB"/>
        </w:rPr>
      </w:pPr>
      <w:r>
        <w:rPr>
          <w:rStyle w:val="Appelnotedebasdep"/>
        </w:rPr>
        <w:footnoteRef/>
      </w:r>
      <w:r w:rsidRPr="00AE40DF">
        <w:rPr>
          <w:lang w:val="en-GB"/>
        </w:rPr>
        <w:t xml:space="preserve"> Cf. </w:t>
      </w:r>
      <w:hyperlink r:id="rId176" w:history="1">
        <w:r w:rsidRPr="00AE40DF">
          <w:rPr>
            <w:rStyle w:val="Lienhypertexte"/>
            <w:lang w:val="en-GB"/>
          </w:rPr>
          <w:t>http://tropical.theferns.info/image.php?id=Commiphora+wightii</w:t>
        </w:r>
      </w:hyperlink>
      <w:r w:rsidRPr="00AE40DF">
        <w:rPr>
          <w:lang w:val="en-GB"/>
        </w:rPr>
        <w:t xml:space="preserve"> </w:t>
      </w:r>
    </w:p>
  </w:footnote>
  <w:footnote w:id="156">
    <w:p w14:paraId="3C8C5E3B" w14:textId="6B9B59EC" w:rsidR="003B72CB" w:rsidRPr="003B72CB" w:rsidRDefault="003B72CB">
      <w:pPr>
        <w:pStyle w:val="Notedebasdepage"/>
        <w:rPr>
          <w:lang w:val="en-GB"/>
        </w:rPr>
      </w:pPr>
      <w:r>
        <w:rPr>
          <w:rStyle w:val="Appelnotedebasdep"/>
        </w:rPr>
        <w:footnoteRef/>
      </w:r>
      <w:r w:rsidRPr="003B72CB">
        <w:rPr>
          <w:lang w:val="en-GB"/>
        </w:rPr>
        <w:t xml:space="preserve"> Cf. </w:t>
      </w:r>
      <w:hyperlink r:id="rId177" w:history="1">
        <w:r w:rsidRPr="003B72CB">
          <w:rPr>
            <w:rStyle w:val="Lienhypertexte"/>
            <w:lang w:val="en-GB"/>
          </w:rPr>
          <w:t>http://parisaramahiti.kar.nic.in/medicinal_plants_new/med%20plants/p66.html</w:t>
        </w:r>
      </w:hyperlink>
    </w:p>
  </w:footnote>
  <w:footnote w:id="157">
    <w:p w14:paraId="498DA901" w14:textId="305596C6" w:rsidR="00A00AFA" w:rsidRPr="00A00AFA" w:rsidRDefault="00A00AFA">
      <w:pPr>
        <w:pStyle w:val="Notedebasdepage"/>
        <w:rPr>
          <w:lang w:val="en-GB"/>
        </w:rPr>
      </w:pPr>
      <w:r>
        <w:rPr>
          <w:rStyle w:val="Appelnotedebasdep"/>
        </w:rPr>
        <w:footnoteRef/>
      </w:r>
      <w:r>
        <w:rPr>
          <w:lang w:val="en-GB"/>
        </w:rPr>
        <w:t xml:space="preserve"> Cf.</w:t>
      </w:r>
      <w:r w:rsidRPr="00A00AFA">
        <w:rPr>
          <w:lang w:val="en-GB"/>
        </w:rPr>
        <w:t xml:space="preserve"> </w:t>
      </w:r>
      <w:hyperlink r:id="rId178" w:history="1">
        <w:r w:rsidRPr="00A00AFA">
          <w:rPr>
            <w:rStyle w:val="Lienhypertexte"/>
            <w:lang w:val="en-GB"/>
          </w:rPr>
          <w:t>http://www.tradeboss.com/default.cgi/action/viewproducts/productid/153077/productname/Boswellia_Serrata_60/</w:t>
        </w:r>
      </w:hyperlink>
    </w:p>
  </w:footnote>
  <w:footnote w:id="158">
    <w:p w14:paraId="68174FCC" w14:textId="23CA2C6A" w:rsidR="00A00AFA" w:rsidRPr="00A00AFA" w:rsidRDefault="00A00AFA">
      <w:pPr>
        <w:pStyle w:val="Notedebasdepage"/>
        <w:rPr>
          <w:lang w:val="en-GB"/>
        </w:rPr>
      </w:pPr>
      <w:r>
        <w:rPr>
          <w:rStyle w:val="Appelnotedebasdep"/>
        </w:rPr>
        <w:footnoteRef/>
      </w:r>
      <w:r w:rsidRPr="00A00AFA">
        <w:rPr>
          <w:lang w:val="en-GB"/>
        </w:rPr>
        <w:t xml:space="preserve"> Cf. </w:t>
      </w:r>
      <w:hyperlink r:id="rId179" w:history="1">
        <w:r w:rsidRPr="00A00AFA">
          <w:rPr>
            <w:rStyle w:val="Lienhypertexte"/>
            <w:lang w:val="en-GB"/>
          </w:rPr>
          <w:t>http://pl.wikipedia.org/wiki/Boswellia_serrata</w:t>
        </w:r>
      </w:hyperlink>
    </w:p>
  </w:footnote>
  <w:footnote w:id="159">
    <w:p w14:paraId="660AECA3" w14:textId="2B32C0BA" w:rsidR="00A00AFA" w:rsidRDefault="00A00AFA">
      <w:pPr>
        <w:pStyle w:val="Notedebasdepage"/>
      </w:pPr>
      <w:r>
        <w:rPr>
          <w:rStyle w:val="Appelnotedebasdep"/>
        </w:rPr>
        <w:footnoteRef/>
      </w:r>
      <w:r>
        <w:t xml:space="preserve"> </w:t>
      </w:r>
      <w:r w:rsidRPr="00A00AFA">
        <w:t xml:space="preserve">Source : </w:t>
      </w:r>
      <w:hyperlink r:id="rId180" w:history="1">
        <w:r w:rsidRPr="00A00AFA">
          <w:rPr>
            <w:rStyle w:val="Lienhypertexte"/>
          </w:rPr>
          <w:t>http://www.101herbs.com/boswellia-serrata.html</w:t>
        </w:r>
      </w:hyperlink>
    </w:p>
  </w:footnote>
  <w:footnote w:id="160">
    <w:p w14:paraId="7A2CACCB" w14:textId="77777777" w:rsidR="00950620" w:rsidRPr="0075456E" w:rsidRDefault="00950620" w:rsidP="00950620">
      <w:pPr>
        <w:pStyle w:val="Notedebasdepage"/>
        <w:rPr>
          <w:lang w:val="en-GB"/>
        </w:rPr>
      </w:pPr>
      <w:r>
        <w:rPr>
          <w:rStyle w:val="Appelnotedebasdep"/>
        </w:rPr>
        <w:footnoteRef/>
      </w:r>
      <w:r w:rsidRPr="0075456E">
        <w:rPr>
          <w:lang w:val="en-GB"/>
        </w:rPr>
        <w:t xml:space="preserve"> Cf. </w:t>
      </w:r>
      <w:hyperlink r:id="rId181" w:history="1">
        <w:r w:rsidRPr="0075456E">
          <w:rPr>
            <w:rStyle w:val="Lienhypertexte"/>
            <w:lang w:val="en-GB"/>
          </w:rPr>
          <w:t>http://magicchris.voila.net/Harpagophytum/harpagophytum_procumbens.htm</w:t>
        </w:r>
      </w:hyperlink>
    </w:p>
  </w:footnote>
  <w:footnote w:id="161">
    <w:p w14:paraId="59D1453B" w14:textId="5AE135F8" w:rsidR="00805D09" w:rsidRPr="00805D09" w:rsidRDefault="00805D09">
      <w:pPr>
        <w:pStyle w:val="Notedebasdepage"/>
        <w:rPr>
          <w:lang w:val="en-GB"/>
        </w:rPr>
      </w:pPr>
      <w:r>
        <w:rPr>
          <w:rStyle w:val="Appelnotedebasdep"/>
        </w:rPr>
        <w:footnoteRef/>
      </w:r>
      <w:r w:rsidRPr="00805D09">
        <w:rPr>
          <w:lang w:val="en-GB"/>
        </w:rPr>
        <w:t xml:space="preserve"> </w:t>
      </w:r>
      <w:r w:rsidRPr="00805D09">
        <w:rPr>
          <w:lang w:val="en-US"/>
        </w:rPr>
        <w:t>Water Harvesting in the Negev</w:t>
      </w:r>
      <w:r w:rsidRPr="00805D09">
        <w:rPr>
          <w:lang w:val="en-GB"/>
        </w:rPr>
        <w:t xml:space="preserve">, </w:t>
      </w:r>
      <w:hyperlink r:id="rId182" w:history="1">
        <w:r w:rsidRPr="00805D09">
          <w:rPr>
            <w:rStyle w:val="Lienhypertexte"/>
            <w:lang w:val="en-GB"/>
          </w:rPr>
          <w:t>https://www.youtube.com/watch?v=tjBugtV8GHc</w:t>
        </w:r>
      </w:hyperlink>
      <w:r w:rsidRPr="00805D09">
        <w:rPr>
          <w:lang w:val="en-GB"/>
        </w:rPr>
        <w:t xml:space="preserve"> </w:t>
      </w:r>
    </w:p>
  </w:footnote>
  <w:footnote w:id="162">
    <w:p w14:paraId="6BD3C422" w14:textId="77777777" w:rsidR="00A42D19" w:rsidRPr="00A42D19" w:rsidRDefault="00A42D19" w:rsidP="00A42D19">
      <w:pPr>
        <w:pStyle w:val="Notedebasdepage"/>
        <w:rPr>
          <w:lang w:val="en-GB"/>
        </w:rPr>
      </w:pPr>
      <w:r>
        <w:rPr>
          <w:rStyle w:val="Appelnotedebasdep"/>
        </w:rPr>
        <w:footnoteRef/>
      </w:r>
      <w:r w:rsidRPr="00A42D19">
        <w:rPr>
          <w:lang w:val="en-GB"/>
        </w:rPr>
        <w:t xml:space="preserve"> </w:t>
      </w:r>
      <w:r w:rsidRPr="00A42D19">
        <w:rPr>
          <w:i/>
          <w:iCs/>
          <w:lang w:val="en-GB"/>
        </w:rPr>
        <w:t>Soil Salinization Induced by Runoff Collected in Small Forested Earthen Dams in the Negev Desert</w:t>
      </w:r>
      <w:r w:rsidRPr="00A42D19">
        <w:rPr>
          <w:lang w:val="en-GB"/>
        </w:rPr>
        <w:t>,</w:t>
      </w:r>
    </w:p>
    <w:p w14:paraId="09F44858" w14:textId="4024FE19" w:rsidR="00A42D19" w:rsidRPr="00A42D19" w:rsidRDefault="00000000">
      <w:pPr>
        <w:pStyle w:val="Notedebasdepage"/>
        <w:rPr>
          <w:lang w:val="en-GB"/>
        </w:rPr>
      </w:pPr>
      <w:hyperlink r:id="rId183" w:history="1">
        <w:r w:rsidR="00A42D19" w:rsidRPr="00A42D19">
          <w:rPr>
            <w:rStyle w:val="Lienhypertexte"/>
            <w:lang w:val="en-GB"/>
          </w:rPr>
          <w:t>http://cals-cf.calsnet.arizona.edu/ialc/ialc4.asp?proj=93R-507</w:t>
        </w:r>
      </w:hyperlink>
      <w:r w:rsidR="00A42D19" w:rsidRPr="00A42D19">
        <w:rPr>
          <w:lang w:val="en-GB"/>
        </w:rPr>
        <w:t xml:space="preserve"> </w:t>
      </w:r>
    </w:p>
  </w:footnote>
  <w:footnote w:id="163">
    <w:p w14:paraId="6ADAF3DC" w14:textId="29ADE6BE" w:rsidR="002E26CB" w:rsidRDefault="002E26CB">
      <w:pPr>
        <w:pStyle w:val="Notedebasdepage"/>
      </w:pPr>
      <w:r>
        <w:rPr>
          <w:rStyle w:val="Appelnotedebasdep"/>
        </w:rPr>
        <w:footnoteRef/>
      </w:r>
      <w:r>
        <w:t xml:space="preserve"> </w:t>
      </w:r>
      <w:r w:rsidRPr="002E26CB">
        <w:rPr>
          <w:i/>
          <w:iCs/>
        </w:rPr>
        <w:t>Les techniques traditionnelles de gestion de l'eau, de la biomasse et de la fertilité des sols</w:t>
      </w:r>
      <w:r w:rsidRPr="002E26CB">
        <w:t xml:space="preserve">, Mohamed Sabir, Éric Roose, Jomol Al Karkouri, in Gestion durable des eaux et des sols au Maroc, IRD, 2010, </w:t>
      </w:r>
      <w:hyperlink r:id="rId184" w:history="1">
        <w:r w:rsidRPr="002E26CB">
          <w:rPr>
            <w:rStyle w:val="Lienhypertexte"/>
          </w:rPr>
          <w:t>http://horizon.documentation.ird.fr/exl-doc/pleins_textes/divers12-09/010054917.pdf</w:t>
        </w:r>
      </w:hyperlink>
    </w:p>
  </w:footnote>
  <w:footnote w:id="164">
    <w:p w14:paraId="60F2757B" w14:textId="7047913E" w:rsidR="00390744" w:rsidRPr="00390744" w:rsidRDefault="00390744">
      <w:pPr>
        <w:pStyle w:val="Notedebasdepage"/>
        <w:rPr>
          <w:lang w:val="en-GB"/>
        </w:rPr>
      </w:pPr>
      <w:r>
        <w:rPr>
          <w:rStyle w:val="Appelnotedebasdep"/>
        </w:rPr>
        <w:footnoteRef/>
      </w:r>
      <w:r w:rsidRPr="00390744">
        <w:rPr>
          <w:lang w:val="en-GB"/>
        </w:rPr>
        <w:t xml:space="preserve"> Cf. </w:t>
      </w:r>
      <w:hyperlink r:id="rId185" w:history="1">
        <w:r w:rsidRPr="00390744">
          <w:rPr>
            <w:rStyle w:val="Lienhypertexte"/>
            <w:lang w:val="en-GB"/>
          </w:rPr>
          <w:t>http://www.fao.org/docrep/t1765f/t1765f0q.htm</w:t>
        </w:r>
      </w:hyperlink>
      <w:r w:rsidRPr="00390744">
        <w:rPr>
          <w:lang w:val="en-GB"/>
        </w:rPr>
        <w:t xml:space="preserve"> </w:t>
      </w:r>
    </w:p>
  </w:footnote>
  <w:footnote w:id="165">
    <w:p w14:paraId="7C2D7F2D" w14:textId="663BBB8F" w:rsidR="00DD443C" w:rsidRPr="00DD443C" w:rsidRDefault="00DD443C">
      <w:pPr>
        <w:pStyle w:val="Notedebasdepage"/>
        <w:rPr>
          <w:lang w:val="en-GB"/>
        </w:rPr>
      </w:pPr>
      <w:r>
        <w:rPr>
          <w:rStyle w:val="Appelnotedebasdep"/>
        </w:rPr>
        <w:footnoteRef/>
      </w:r>
      <w:r w:rsidRPr="00DD443C">
        <w:rPr>
          <w:lang w:val="en-GB"/>
        </w:rPr>
        <w:t xml:space="preserve"> </w:t>
      </w:r>
      <w:hyperlink r:id="rId186" w:history="1">
        <w:r w:rsidRPr="00DD443C">
          <w:rPr>
            <w:rStyle w:val="Lienhypertexte"/>
            <w:lang w:val="en-GB"/>
          </w:rPr>
          <w:t>https://libertytocreatetomorrow.wordpress.com/lamenagement-des-baissieres/</w:t>
        </w:r>
      </w:hyperlink>
    </w:p>
  </w:footnote>
  <w:footnote w:id="166">
    <w:p w14:paraId="5F69553A" w14:textId="10A0B8BB" w:rsidR="00230BED" w:rsidRPr="002A20E4" w:rsidRDefault="00230BED">
      <w:pPr>
        <w:pStyle w:val="Notedebasdepage"/>
        <w:rPr>
          <w:lang w:val="en-GB"/>
        </w:rPr>
      </w:pPr>
      <w:r>
        <w:rPr>
          <w:rStyle w:val="Appelnotedebasdep"/>
        </w:rPr>
        <w:footnoteRef/>
      </w:r>
      <w:r w:rsidRPr="002A20E4">
        <w:rPr>
          <w:lang w:val="en-GB"/>
        </w:rPr>
        <w:t xml:space="preserve"> </w:t>
      </w:r>
      <w:r w:rsidRPr="002A20E4">
        <w:rPr>
          <w:i/>
          <w:iCs/>
          <w:lang w:val="en-GB"/>
        </w:rPr>
        <w:t>Erosion hydrique</w:t>
      </w:r>
      <w:r w:rsidRPr="002A20E4">
        <w:rPr>
          <w:lang w:val="en-GB"/>
        </w:rPr>
        <w:t xml:space="preserve">, </w:t>
      </w:r>
      <w:hyperlink r:id="rId187" w:history="1">
        <w:r w:rsidRPr="002A20E4">
          <w:rPr>
            <w:rStyle w:val="Lienhypertexte"/>
            <w:lang w:val="en-GB"/>
          </w:rPr>
          <w:t>http://www.ma.auf.org/erosion/chapitre1/VI.Lutte.html</w:t>
        </w:r>
      </w:hyperlink>
      <w:r w:rsidRPr="002A20E4">
        <w:rPr>
          <w:lang w:val="en-GB"/>
        </w:rPr>
        <w:t xml:space="preserve"> </w:t>
      </w:r>
    </w:p>
  </w:footnote>
  <w:footnote w:id="167">
    <w:p w14:paraId="16962B19" w14:textId="77777777" w:rsidR="002A20E4" w:rsidRPr="002A20E4" w:rsidRDefault="002A20E4" w:rsidP="002A20E4">
      <w:pPr>
        <w:pStyle w:val="Notedebasdepage"/>
        <w:rPr>
          <w:lang w:val="en-GB"/>
        </w:rPr>
      </w:pPr>
      <w:r>
        <w:rPr>
          <w:rStyle w:val="Appelnotedebasdep"/>
        </w:rPr>
        <w:footnoteRef/>
      </w:r>
      <w:r w:rsidRPr="002A20E4">
        <w:rPr>
          <w:lang w:val="en-GB"/>
        </w:rPr>
        <w:t xml:space="preserve"> </w:t>
      </w:r>
      <w:r w:rsidRPr="002A20E4">
        <w:rPr>
          <w:i/>
          <w:iCs/>
          <w:lang w:val="en-GB"/>
        </w:rPr>
        <w:t>Erosion hydrique</w:t>
      </w:r>
      <w:r w:rsidRPr="002A20E4">
        <w:rPr>
          <w:lang w:val="en-GB"/>
        </w:rPr>
        <w:t xml:space="preserve">, </w:t>
      </w:r>
      <w:hyperlink r:id="rId188" w:history="1">
        <w:r w:rsidRPr="002A20E4">
          <w:rPr>
            <w:rStyle w:val="Lienhypertexte"/>
            <w:lang w:val="en-GB"/>
          </w:rPr>
          <w:t>http://www.ma.auf.org/erosion/chapitre1/VI.Lutte.html</w:t>
        </w:r>
      </w:hyperlink>
      <w:r w:rsidRPr="002A20E4">
        <w:rPr>
          <w:lang w:val="en-GB"/>
        </w:rPr>
        <w:t xml:space="preserve"> </w:t>
      </w:r>
    </w:p>
  </w:footnote>
  <w:footnote w:id="168">
    <w:p w14:paraId="13CF490E" w14:textId="61B92999" w:rsidR="00EF3D42" w:rsidRPr="00EF3D42" w:rsidRDefault="00653426" w:rsidP="00EF3D42">
      <w:pPr>
        <w:pStyle w:val="Notedebasdepage"/>
      </w:pPr>
      <w:r>
        <w:rPr>
          <w:rStyle w:val="Appelnotedebasdep"/>
        </w:rPr>
        <w:footnoteRef/>
      </w:r>
      <w:r w:rsidRPr="00EF3D42">
        <w:t xml:space="preserve"> </w:t>
      </w:r>
      <w:r w:rsidR="00EF3D42" w:rsidRPr="00EF3D42">
        <w:rPr>
          <w:i/>
          <w:iCs/>
        </w:rPr>
        <w:t>Planification et entretien des ouvrages de lutte contre l'érosion</w:t>
      </w:r>
      <w:r w:rsidR="00EF3D42" w:rsidRPr="00EF3D42">
        <w:t>, R. Stone, P. Eng., fiche technique n° 97-016, juillet 1997, AGDEX 751, ministère de l’Agriculture</w:t>
      </w:r>
      <w:r w:rsidR="00EF3D42">
        <w:t>, de l’Alimentation et des Affaires Rurales de l’</w:t>
      </w:r>
      <w:r w:rsidR="00EF3D42" w:rsidRPr="00EF3D42">
        <w:t>Ontario</w:t>
      </w:r>
      <w:r w:rsidR="00EF3D42">
        <w:t xml:space="preserve"> (MAA</w:t>
      </w:r>
      <w:r w:rsidR="005119DD">
        <w:t>A</w:t>
      </w:r>
      <w:r w:rsidR="00EF3D42">
        <w:t>RO)</w:t>
      </w:r>
      <w:r w:rsidR="00EF3D42" w:rsidRPr="00EF3D42">
        <w:t>,</w:t>
      </w:r>
    </w:p>
    <w:p w14:paraId="441F5BC4" w14:textId="3BA39C94" w:rsidR="00653426" w:rsidRPr="00EF3D42" w:rsidRDefault="00000000" w:rsidP="00EF3D42">
      <w:pPr>
        <w:pStyle w:val="Notedebasdepage"/>
      </w:pPr>
      <w:hyperlink r:id="rId189" w:history="1">
        <w:r w:rsidR="00EF3D42" w:rsidRPr="00EE130C">
          <w:rPr>
            <w:rStyle w:val="Lienhypertexte"/>
          </w:rPr>
          <w:t>https://www.doc-developpement-durable.org/file/eau/lutte-contre-erosion_protection-sols/PLANIFICATION%20ET%20ENTRETIEN%20DES%20OUVRAGES%20DE%20LUTTE%20CONTRE%20L-%C3%89ROSION.pdf</w:t>
        </w:r>
      </w:hyperlink>
      <w:r w:rsidR="00EF3D42">
        <w:t xml:space="preserve"> </w:t>
      </w:r>
    </w:p>
  </w:footnote>
  <w:footnote w:id="169">
    <w:p w14:paraId="7E3339F6" w14:textId="1250C4C8" w:rsidR="0067774B" w:rsidRPr="0067774B" w:rsidRDefault="0067774B">
      <w:pPr>
        <w:pStyle w:val="Notedebasdepage"/>
        <w:rPr>
          <w:lang w:val="en-GB"/>
        </w:rPr>
      </w:pPr>
      <w:r>
        <w:rPr>
          <w:rStyle w:val="Appelnotedebasdep"/>
        </w:rPr>
        <w:footnoteRef/>
      </w:r>
      <w:r w:rsidRPr="0067774B">
        <w:rPr>
          <w:lang w:val="en-GB"/>
        </w:rPr>
        <w:t xml:space="preserve"> Cf. </w:t>
      </w:r>
      <w:hyperlink r:id="rId190" w:history="1">
        <w:r w:rsidRPr="0067774B">
          <w:rPr>
            <w:rStyle w:val="Lienhypertexte"/>
            <w:lang w:val="en-GB"/>
          </w:rPr>
          <w:t>http://www.omafra.gov.on.ca/french/engineer/facts/13-036.htm</w:t>
        </w:r>
      </w:hyperlink>
    </w:p>
  </w:footnote>
  <w:footnote w:id="170">
    <w:p w14:paraId="49C1D5D9" w14:textId="5C0FB1E7" w:rsidR="00AC7DFD" w:rsidRPr="00AC7DFD" w:rsidRDefault="00AC7DFD">
      <w:pPr>
        <w:pStyle w:val="Notedebasdepage"/>
        <w:rPr>
          <w:lang w:val="en-GB"/>
        </w:rPr>
      </w:pPr>
      <w:r>
        <w:rPr>
          <w:rStyle w:val="Appelnotedebasdep"/>
        </w:rPr>
        <w:footnoteRef/>
      </w:r>
      <w:r w:rsidRPr="00AC7DFD">
        <w:rPr>
          <w:lang w:val="en-GB"/>
        </w:rPr>
        <w:t xml:space="preserve"> Cf. </w:t>
      </w:r>
      <w:hyperlink r:id="rId191" w:history="1">
        <w:r w:rsidRPr="00AC7DFD">
          <w:rPr>
            <w:rStyle w:val="Lienhypertexte"/>
            <w:lang w:val="en-GB"/>
          </w:rPr>
          <w:t>http://www.omafra.gov.on.ca/french/engineer/facts/13-036.htm</w:t>
        </w:r>
      </w:hyperlink>
    </w:p>
  </w:footnote>
  <w:footnote w:id="171">
    <w:p w14:paraId="5347C8F9" w14:textId="32DB7115" w:rsidR="00461975" w:rsidRDefault="00461975" w:rsidP="00461975">
      <w:pPr>
        <w:pStyle w:val="Notedebasdepage"/>
        <w:jc w:val="both"/>
      </w:pPr>
      <w:r>
        <w:rPr>
          <w:rStyle w:val="Appelnotedebasdep"/>
        </w:rPr>
        <w:footnoteRef/>
      </w:r>
      <w:r>
        <w:t xml:space="preserve"> </w:t>
      </w:r>
      <w:r w:rsidRPr="00461975">
        <w:rPr>
          <w:i/>
          <w:iCs/>
        </w:rPr>
        <w:t>Impact de l’aménagement des terres de culture par les cuvettes individuelles sur l’humidité et la fertilité du sol (Tunisie du centre),</w:t>
      </w:r>
      <w:r w:rsidRPr="00461975">
        <w:t xml:space="preserve"> </w:t>
      </w:r>
      <w:r>
        <w:t>M</w:t>
      </w:r>
      <w:r w:rsidRPr="00461975">
        <w:t xml:space="preserve">ohamed </w:t>
      </w:r>
      <w:r>
        <w:t>B</w:t>
      </w:r>
      <w:r w:rsidRPr="00461975">
        <w:t xml:space="preserve">ergaoui, </w:t>
      </w:r>
      <w:r>
        <w:t>J</w:t>
      </w:r>
      <w:r w:rsidRPr="00461975">
        <w:t xml:space="preserve">alel el </w:t>
      </w:r>
      <w:r>
        <w:t>F</w:t>
      </w:r>
      <w:r w:rsidRPr="00461975">
        <w:t xml:space="preserve">aleh et </w:t>
      </w:r>
      <w:r>
        <w:t>A</w:t>
      </w:r>
      <w:r w:rsidRPr="00461975">
        <w:t xml:space="preserve">li </w:t>
      </w:r>
      <w:r>
        <w:t>H</w:t>
      </w:r>
      <w:r w:rsidRPr="00461975">
        <w:t>endaoui</w:t>
      </w:r>
      <w:r>
        <w:t>.</w:t>
      </w:r>
    </w:p>
  </w:footnote>
  <w:footnote w:id="172">
    <w:p w14:paraId="57161485" w14:textId="18E47B45" w:rsidR="00026698" w:rsidRPr="00026698" w:rsidRDefault="00026698">
      <w:pPr>
        <w:pStyle w:val="Notedebasdepage"/>
        <w:rPr>
          <w:lang w:val="en-GB"/>
        </w:rPr>
      </w:pPr>
      <w:r>
        <w:rPr>
          <w:rStyle w:val="Appelnotedebasdep"/>
        </w:rPr>
        <w:footnoteRef/>
      </w:r>
      <w:r w:rsidRPr="00026698">
        <w:rPr>
          <w:lang w:val="en-GB"/>
        </w:rPr>
        <w:t xml:space="preserve"> Cf. </w:t>
      </w:r>
      <w:hyperlink r:id="rId192" w:history="1">
        <w:r w:rsidRPr="00026698">
          <w:rPr>
            <w:rStyle w:val="Lienhypertexte"/>
            <w:lang w:val="en-GB"/>
          </w:rPr>
          <w:t>http://www.ma.auf.org/erosion/chapitre1/VI.Lutte.html</w:t>
        </w:r>
      </w:hyperlink>
      <w:r w:rsidRPr="00026698">
        <w:rPr>
          <w:lang w:val="en-GB"/>
        </w:rPr>
        <w:t xml:space="preserve"> </w:t>
      </w:r>
    </w:p>
  </w:footnote>
  <w:footnote w:id="173">
    <w:p w14:paraId="1BE71A85" w14:textId="77777777" w:rsidR="00DC5A8C" w:rsidRPr="00DC5A8C" w:rsidRDefault="00DC5A8C" w:rsidP="00DC5A8C">
      <w:pPr>
        <w:pStyle w:val="Notedebasdepage"/>
      </w:pPr>
      <w:r>
        <w:rPr>
          <w:rStyle w:val="Appelnotedebasdep"/>
        </w:rPr>
        <w:footnoteRef/>
      </w:r>
      <w:r>
        <w:t xml:space="preserve"> </w:t>
      </w:r>
      <w:r w:rsidRPr="00DC5A8C">
        <w:rPr>
          <w:i/>
          <w:iCs/>
        </w:rPr>
        <w:t>Collecte des eaux pluviales. Conservation des terres arides en Tunisie</w:t>
      </w:r>
      <w:r w:rsidRPr="00DC5A8C">
        <w:t xml:space="preserve">, </w:t>
      </w:r>
      <w:hyperlink r:id="rId193" w:history="1">
        <w:r w:rsidRPr="00DC5A8C">
          <w:rPr>
            <w:rStyle w:val="Lienhypertexte"/>
          </w:rPr>
          <w:t>http://www.fao.org/docrep/007/y5378f/y5378f01.htm</w:t>
        </w:r>
      </w:hyperlink>
    </w:p>
    <w:p w14:paraId="2634AA9A" w14:textId="5BFEE036" w:rsidR="00DC5A8C" w:rsidRDefault="00000000">
      <w:pPr>
        <w:pStyle w:val="Notedebasdepage"/>
      </w:pPr>
      <w:hyperlink r:id="rId194" w:history="1">
        <w:r w:rsidR="00DC5A8C" w:rsidRPr="00DC5A8C">
          <w:rPr>
            <w:rStyle w:val="Lienhypertexte"/>
          </w:rPr>
          <w:t>ftp://ftp.fao.org/docrep/fao/007/y5378f/y5378f00.pdf</w:t>
        </w:r>
      </w:hyperlink>
    </w:p>
  </w:footnote>
  <w:footnote w:id="174">
    <w:p w14:paraId="1D9933B5" w14:textId="77777777" w:rsidR="00671DDC" w:rsidRPr="00BB43E5" w:rsidRDefault="00671DDC" w:rsidP="00671DDC">
      <w:pPr>
        <w:pStyle w:val="Notedebasdepage"/>
        <w:jc w:val="both"/>
        <w:rPr>
          <w:lang w:val="en-GB"/>
        </w:rPr>
      </w:pPr>
      <w:r>
        <w:rPr>
          <w:rStyle w:val="Appelnotedebasdep"/>
        </w:rPr>
        <w:footnoteRef/>
      </w:r>
      <w:r w:rsidRPr="00BB43E5">
        <w:t xml:space="preserve"> L’irrigation est l'opération consistant à apporter artificiellement de l’eau à des végétaux cultivés pour en augmenter la production et permettre leur développement normal, en cas de déficit d'eau induit par un déficit pluviométrique, un drainage excessif ou une baisse de nappe, en particulier dans les zones arides. </w:t>
      </w:r>
      <w:r w:rsidRPr="00BB43E5">
        <w:rPr>
          <w:lang w:val="en-GB"/>
        </w:rPr>
        <w:t xml:space="preserve">Cf. </w:t>
      </w:r>
      <w:hyperlink r:id="rId195" w:history="1">
        <w:r w:rsidRPr="00BE471F">
          <w:rPr>
            <w:rStyle w:val="Lienhypertexte"/>
            <w:lang w:val="en-GB"/>
          </w:rPr>
          <w:t>https://fr.wikipedia.org/wiki/Irrigation</w:t>
        </w:r>
      </w:hyperlink>
      <w:r>
        <w:rPr>
          <w:lang w:val="en-GB"/>
        </w:rPr>
        <w:t xml:space="preserve"> </w:t>
      </w:r>
    </w:p>
  </w:footnote>
  <w:footnote w:id="175">
    <w:p w14:paraId="19617AFA" w14:textId="77777777" w:rsidR="00671DDC" w:rsidRPr="00C86323" w:rsidRDefault="00671DDC" w:rsidP="00671DDC">
      <w:pPr>
        <w:pStyle w:val="Notedebasdepage"/>
        <w:jc w:val="both"/>
        <w:rPr>
          <w:lang w:val="en-GB"/>
        </w:rPr>
      </w:pPr>
      <w:r>
        <w:rPr>
          <w:rStyle w:val="Appelnotedebasdep"/>
        </w:rPr>
        <w:footnoteRef/>
      </w:r>
      <w:r w:rsidRPr="00C86323">
        <w:rPr>
          <w:lang w:val="en-GB"/>
        </w:rPr>
        <w:t xml:space="preserve"> Cf. </w:t>
      </w:r>
      <w:hyperlink r:id="rId196" w:history="1">
        <w:r w:rsidRPr="00C86323">
          <w:rPr>
            <w:rStyle w:val="Lienhypertexte"/>
            <w:lang w:val="en-GB"/>
          </w:rPr>
          <w:t>http://www.sswm.info/category/implementation-tools/water-use/hardware/optimisation-water-use-agriculture/drip-irrigation</w:t>
        </w:r>
      </w:hyperlink>
      <w:r w:rsidRPr="00C86323">
        <w:rPr>
          <w:lang w:val="en-GB"/>
        </w:rPr>
        <w:t xml:space="preserve"> </w:t>
      </w:r>
    </w:p>
  </w:footnote>
  <w:footnote w:id="176">
    <w:p w14:paraId="4BB78297" w14:textId="77777777" w:rsidR="00671DDC" w:rsidRPr="00281BC4" w:rsidRDefault="00671DDC" w:rsidP="00671DDC">
      <w:pPr>
        <w:pStyle w:val="Notedebasdepage"/>
        <w:rPr>
          <w:lang w:val="en-GB"/>
        </w:rPr>
      </w:pPr>
      <w:r>
        <w:rPr>
          <w:rStyle w:val="Appelnotedebasdep"/>
        </w:rPr>
        <w:footnoteRef/>
      </w:r>
      <w:r w:rsidRPr="00281BC4">
        <w:rPr>
          <w:lang w:val="en-GB"/>
        </w:rPr>
        <w:t xml:space="preserve"> Cf. </w:t>
      </w:r>
      <w:hyperlink r:id="rId197" w:history="1">
        <w:r w:rsidRPr="00144E66">
          <w:rPr>
            <w:rStyle w:val="Lienhypertexte"/>
            <w:lang w:val="en-GB"/>
          </w:rPr>
          <w:t>https://fr.aliexpress.com/item/4000846679667.html</w:t>
        </w:r>
      </w:hyperlink>
      <w:r>
        <w:rPr>
          <w:lang w:val="en-GB"/>
        </w:rPr>
        <w:t xml:space="preserve"> </w:t>
      </w:r>
    </w:p>
  </w:footnote>
  <w:footnote w:id="177">
    <w:p w14:paraId="4C8A5880" w14:textId="77777777" w:rsidR="00D74AF8" w:rsidRPr="00D74AF8" w:rsidRDefault="00D74AF8" w:rsidP="00D74AF8">
      <w:pPr>
        <w:pStyle w:val="Notedebasdepage"/>
        <w:rPr>
          <w:lang w:val="en-GB"/>
        </w:rPr>
      </w:pPr>
      <w:r>
        <w:rPr>
          <w:rStyle w:val="Appelnotedebasdep"/>
        </w:rPr>
        <w:footnoteRef/>
      </w:r>
      <w:r w:rsidRPr="00D74AF8">
        <w:rPr>
          <w:lang w:val="en-GB"/>
        </w:rPr>
        <w:t xml:space="preserve"> Cf. </w:t>
      </w:r>
      <w:hyperlink r:id="rId198" w:history="1">
        <w:r w:rsidRPr="00D74AF8">
          <w:rPr>
            <w:rStyle w:val="Lienhypertexte"/>
            <w:lang w:val="en-GB"/>
          </w:rPr>
          <w:t>http://indulgy.com/post/8cCoGqoWA2/drip-irrigation-a-pinner-wrote-i-do-this-ever</w:t>
        </w:r>
      </w:hyperlink>
    </w:p>
  </w:footnote>
  <w:footnote w:id="178">
    <w:p w14:paraId="72720DF9" w14:textId="77777777" w:rsidR="00D74AF8" w:rsidRPr="00D74AF8" w:rsidRDefault="00D74AF8" w:rsidP="00D74AF8">
      <w:pPr>
        <w:pStyle w:val="Notedebasdepage"/>
        <w:rPr>
          <w:lang w:val="en-GB"/>
        </w:rPr>
      </w:pPr>
      <w:r>
        <w:rPr>
          <w:rStyle w:val="Appelnotedebasdep"/>
        </w:rPr>
        <w:footnoteRef/>
      </w:r>
      <w:r w:rsidRPr="00D74AF8">
        <w:rPr>
          <w:lang w:val="en-GB"/>
        </w:rPr>
        <w:t xml:space="preserve"> Cf. </w:t>
      </w:r>
      <w:hyperlink r:id="rId199" w:history="1">
        <w:r w:rsidRPr="00D74AF8">
          <w:rPr>
            <w:rStyle w:val="Lienhypertexte"/>
            <w:lang w:val="en-GB"/>
          </w:rPr>
          <w:t>http://www.wikihow.com/Make-a-Bottle-Watering-Can</w:t>
        </w:r>
      </w:hyperlink>
    </w:p>
  </w:footnote>
  <w:footnote w:id="179">
    <w:p w14:paraId="1C8F03BE" w14:textId="77777777" w:rsidR="00D74AF8" w:rsidRPr="00D74AF8" w:rsidRDefault="00D74AF8" w:rsidP="00D74AF8">
      <w:pPr>
        <w:pStyle w:val="Notedebasdepage"/>
        <w:rPr>
          <w:lang w:val="en-GB"/>
        </w:rPr>
      </w:pPr>
      <w:r>
        <w:rPr>
          <w:rStyle w:val="Appelnotedebasdep"/>
        </w:rPr>
        <w:footnoteRef/>
      </w:r>
      <w:r w:rsidRPr="00D74AF8">
        <w:rPr>
          <w:lang w:val="en-GB"/>
        </w:rPr>
        <w:t xml:space="preserve"> Cf. </w:t>
      </w:r>
      <w:hyperlink r:id="rId200" w:history="1">
        <w:r w:rsidRPr="00D74AF8">
          <w:rPr>
            <w:rStyle w:val="Lienhypertexte"/>
            <w:lang w:val="en-GB"/>
          </w:rPr>
          <w:t>http://www.thegardenglove.com/going-on-vacation-3-diy-self-watering-ideas-for-the-garden/</w:t>
        </w:r>
      </w:hyperlink>
    </w:p>
  </w:footnote>
  <w:footnote w:id="180">
    <w:p w14:paraId="0E1379F9" w14:textId="77777777" w:rsidR="00D74AF8" w:rsidRPr="00D74AF8" w:rsidRDefault="00D74AF8" w:rsidP="00D74AF8">
      <w:pPr>
        <w:pStyle w:val="Notedebasdepage"/>
        <w:rPr>
          <w:lang w:val="en-GB"/>
        </w:rPr>
      </w:pPr>
      <w:r>
        <w:rPr>
          <w:rStyle w:val="Appelnotedebasdep"/>
        </w:rPr>
        <w:footnoteRef/>
      </w:r>
      <w:r w:rsidRPr="00D74AF8">
        <w:rPr>
          <w:lang w:val="en-GB"/>
        </w:rPr>
        <w:t xml:space="preserve"> Cf. </w:t>
      </w:r>
      <w:hyperlink r:id="rId201" w:history="1">
        <w:r w:rsidRPr="00D74AF8">
          <w:rPr>
            <w:rStyle w:val="Lienhypertexte"/>
            <w:lang w:val="en-GB"/>
          </w:rPr>
          <w:t>http://plog.puttenahallilake.in/2014/05/pnlit-drip-irrigation-plan.html</w:t>
        </w:r>
      </w:hyperlink>
    </w:p>
  </w:footnote>
  <w:footnote w:id="181">
    <w:p w14:paraId="1C3B079F" w14:textId="77777777" w:rsidR="00D74AF8" w:rsidRPr="00D74AF8" w:rsidRDefault="00D74AF8" w:rsidP="00D74AF8">
      <w:pPr>
        <w:pStyle w:val="Notedebasdepage"/>
        <w:rPr>
          <w:lang w:val="en-GB"/>
        </w:rPr>
      </w:pPr>
      <w:r>
        <w:rPr>
          <w:rStyle w:val="Appelnotedebasdep"/>
        </w:rPr>
        <w:footnoteRef/>
      </w:r>
      <w:r w:rsidRPr="00D74AF8">
        <w:rPr>
          <w:lang w:val="en-GB"/>
        </w:rPr>
        <w:t xml:space="preserve"> Cf. </w:t>
      </w:r>
      <w:hyperlink r:id="rId202" w:history="1">
        <w:r w:rsidRPr="00D74AF8">
          <w:rPr>
            <w:rStyle w:val="Lienhypertexte"/>
            <w:lang w:val="en-GB"/>
          </w:rPr>
          <w:t>ttps://reluctantmemsahib.wordpress.com/category/precious-water/</w:t>
        </w:r>
      </w:hyperlink>
    </w:p>
  </w:footnote>
  <w:footnote w:id="182">
    <w:p w14:paraId="52E560AC" w14:textId="77777777" w:rsidR="00D74AF8" w:rsidRPr="00D74AF8" w:rsidRDefault="00D74AF8" w:rsidP="00D74AF8">
      <w:pPr>
        <w:pStyle w:val="Notedebasdepage"/>
        <w:rPr>
          <w:lang w:val="en-GB"/>
        </w:rPr>
      </w:pPr>
      <w:r>
        <w:rPr>
          <w:rStyle w:val="Appelnotedebasdep"/>
        </w:rPr>
        <w:footnoteRef/>
      </w:r>
      <w:r w:rsidRPr="00D74AF8">
        <w:rPr>
          <w:lang w:val="en-GB"/>
        </w:rPr>
        <w:t xml:space="preserve"> Cf. </w:t>
      </w:r>
      <w:hyperlink r:id="rId203" w:history="1">
        <w:r w:rsidRPr="00D74AF8">
          <w:rPr>
            <w:rStyle w:val="Lienhypertexte"/>
            <w:lang w:val="en-GB"/>
          </w:rPr>
          <w:t>http://www.2012un-nouveau-paradigme.com/pages/Vivre_en_autonomie_une_realite-7804500.html</w:t>
        </w:r>
      </w:hyperlink>
      <w:r w:rsidRPr="00D74AF8">
        <w:rPr>
          <w:lang w:val="en-GB"/>
        </w:rPr>
        <w:t xml:space="preserve"> </w:t>
      </w:r>
    </w:p>
  </w:footnote>
  <w:footnote w:id="183">
    <w:p w14:paraId="29777ECA" w14:textId="38B64BB6" w:rsidR="00716453" w:rsidRPr="00716453" w:rsidRDefault="00716453">
      <w:pPr>
        <w:pStyle w:val="Notedebasdepage"/>
        <w:rPr>
          <w:lang w:val="en-GB"/>
        </w:rPr>
      </w:pPr>
      <w:r>
        <w:rPr>
          <w:rStyle w:val="Appelnotedebasdep"/>
        </w:rPr>
        <w:footnoteRef/>
      </w:r>
      <w:r w:rsidRPr="00716453">
        <w:rPr>
          <w:lang w:val="en-GB"/>
        </w:rPr>
        <w:t xml:space="preserve"> Cf. </w:t>
      </w:r>
      <w:hyperlink r:id="rId204" w:history="1">
        <w:r w:rsidRPr="00716453">
          <w:rPr>
            <w:rStyle w:val="Lienhypertexte"/>
            <w:lang w:val="en-GB"/>
          </w:rPr>
          <w:t>http://creatingwater.nl/fotos-tacna-project/</w:t>
        </w:r>
      </w:hyperlink>
    </w:p>
  </w:footnote>
  <w:footnote w:id="184">
    <w:p w14:paraId="5D07EFC8" w14:textId="73F819B7" w:rsidR="00716453" w:rsidRPr="00716453" w:rsidRDefault="00716453">
      <w:pPr>
        <w:pStyle w:val="Notedebasdepage"/>
        <w:rPr>
          <w:lang w:val="en-GB"/>
        </w:rPr>
      </w:pPr>
      <w:r>
        <w:rPr>
          <w:rStyle w:val="Appelnotedebasdep"/>
        </w:rPr>
        <w:footnoteRef/>
      </w:r>
      <w:r w:rsidRPr="00716453">
        <w:rPr>
          <w:lang w:val="en-GB"/>
        </w:rPr>
        <w:t xml:space="preserve"> Cf. </w:t>
      </w:r>
      <w:hyperlink r:id="rId205" w:history="1">
        <w:r w:rsidRPr="00716453">
          <w:rPr>
            <w:rStyle w:val="Lienhypertexte"/>
            <w:lang w:val="en-GB"/>
          </w:rPr>
          <w:t>http://www.idrc.ca/FR/Resources/Publications/Pages/ArticleDetails.aspx?PublicationID=686</w:t>
        </w:r>
      </w:hyperlink>
    </w:p>
  </w:footnote>
  <w:footnote w:id="185">
    <w:p w14:paraId="019DA0D2" w14:textId="3D01B7C8" w:rsidR="00716453" w:rsidRPr="00716453" w:rsidRDefault="00716453">
      <w:pPr>
        <w:pStyle w:val="Notedebasdepage"/>
        <w:rPr>
          <w:lang w:val="en-GB"/>
        </w:rPr>
      </w:pPr>
      <w:r>
        <w:rPr>
          <w:rStyle w:val="Appelnotedebasdep"/>
        </w:rPr>
        <w:footnoteRef/>
      </w:r>
      <w:r w:rsidRPr="00716453">
        <w:rPr>
          <w:lang w:val="en-GB"/>
        </w:rPr>
        <w:t xml:space="preserve"> Cf. </w:t>
      </w:r>
      <w:hyperlink r:id="rId206" w:history="1">
        <w:r w:rsidRPr="00716453">
          <w:rPr>
            <w:rStyle w:val="Lienhypertexte"/>
            <w:lang w:val="en-GB"/>
          </w:rPr>
          <w:t>http://creatingwater.nl/fotos-tacna-project/</w:t>
        </w:r>
      </w:hyperlink>
    </w:p>
  </w:footnote>
  <w:footnote w:id="186">
    <w:p w14:paraId="0FA728E3" w14:textId="57CB06B3" w:rsidR="00716453" w:rsidRPr="00716453" w:rsidRDefault="00716453">
      <w:pPr>
        <w:pStyle w:val="Notedebasdepage"/>
        <w:rPr>
          <w:lang w:val="en-GB"/>
        </w:rPr>
      </w:pPr>
      <w:r>
        <w:rPr>
          <w:rStyle w:val="Appelnotedebasdep"/>
        </w:rPr>
        <w:footnoteRef/>
      </w:r>
      <w:r w:rsidRPr="00716453">
        <w:rPr>
          <w:lang w:val="en-GB"/>
        </w:rPr>
        <w:t xml:space="preserve"> Cf. </w:t>
      </w:r>
      <w:hyperlink r:id="rId207" w:history="1">
        <w:r w:rsidRPr="00716453">
          <w:rPr>
            <w:rStyle w:val="Lienhypertexte"/>
            <w:lang w:val="en-GB"/>
          </w:rPr>
          <w:t>https://terriermichel.wordpress.com/2014/05/07/visite-aujourdhui-dune-installation-experimentale-de-recuperation-deau-du-brouillard/</w:t>
        </w:r>
      </w:hyperlink>
    </w:p>
  </w:footnote>
  <w:footnote w:id="187">
    <w:p w14:paraId="5B653121" w14:textId="2C09DEA7" w:rsidR="00716453" w:rsidRPr="00716453" w:rsidRDefault="00716453">
      <w:pPr>
        <w:pStyle w:val="Notedebasdepage"/>
        <w:rPr>
          <w:lang w:val="en-GB"/>
        </w:rPr>
      </w:pPr>
      <w:r>
        <w:rPr>
          <w:rStyle w:val="Appelnotedebasdep"/>
        </w:rPr>
        <w:footnoteRef/>
      </w:r>
      <w:r w:rsidRPr="00716453">
        <w:rPr>
          <w:lang w:val="en-GB"/>
        </w:rPr>
        <w:t xml:space="preserve"> Cf. </w:t>
      </w:r>
      <w:hyperlink r:id="rId208" w:history="1">
        <w:r w:rsidRPr="00716453">
          <w:rPr>
            <w:rStyle w:val="Lienhypertexte"/>
            <w:lang w:val="en-GB"/>
          </w:rPr>
          <w:t>http://www.clubdesargonautes.org/faq/arbrefontaine.php</w:t>
        </w:r>
      </w:hyperlink>
      <w:r w:rsidRPr="00716453">
        <w:rPr>
          <w:lang w:val="en-GB"/>
        </w:rPr>
        <w:t xml:space="preserve"> </w:t>
      </w:r>
    </w:p>
  </w:footnote>
  <w:footnote w:id="188">
    <w:p w14:paraId="4D260B1E" w14:textId="412B14EE" w:rsidR="00716453" w:rsidRPr="00716453" w:rsidRDefault="00716453">
      <w:pPr>
        <w:pStyle w:val="Notedebasdepage"/>
        <w:rPr>
          <w:lang w:val="en-GB"/>
        </w:rPr>
      </w:pPr>
      <w:r>
        <w:rPr>
          <w:rStyle w:val="Appelnotedebasdep"/>
        </w:rPr>
        <w:footnoteRef/>
      </w:r>
      <w:r w:rsidRPr="00716453">
        <w:rPr>
          <w:lang w:val="en-GB"/>
        </w:rPr>
        <w:t xml:space="preserve"> Cf. </w:t>
      </w:r>
      <w:hyperlink r:id="rId209" w:history="1">
        <w:r w:rsidRPr="00716453">
          <w:rPr>
            <w:rStyle w:val="Lienhypertexte"/>
            <w:lang w:val="en-GB"/>
          </w:rPr>
          <w:t>http://www.econostrum.info/Natural-Aqua-se-lance-dans-les-panneaux-attrape-rosee_a215.html</w:t>
        </w:r>
      </w:hyperlink>
    </w:p>
  </w:footnote>
  <w:footnote w:id="189">
    <w:p w14:paraId="59DD6A26" w14:textId="1E6A7975" w:rsidR="00716453" w:rsidRPr="00716453" w:rsidRDefault="00716453">
      <w:pPr>
        <w:pStyle w:val="Notedebasdepage"/>
        <w:rPr>
          <w:lang w:val="en-GB"/>
        </w:rPr>
      </w:pPr>
      <w:r>
        <w:rPr>
          <w:rStyle w:val="Appelnotedebasdep"/>
        </w:rPr>
        <w:footnoteRef/>
      </w:r>
      <w:r w:rsidRPr="00716453">
        <w:rPr>
          <w:lang w:val="en-GB"/>
        </w:rPr>
        <w:t xml:space="preserve"> Cf. </w:t>
      </w:r>
      <w:hyperlink r:id="rId210" w:history="1">
        <w:r w:rsidRPr="00716453">
          <w:rPr>
            <w:rStyle w:val="Lienhypertexte"/>
            <w:lang w:val="en-GB"/>
          </w:rPr>
          <w:t>http://www.lematin.ma/journal/2015/pour-remedier-au-manque-d-eau_sidi-ifni--moissonne--le-brouillard/226280.html</w:t>
        </w:r>
      </w:hyperlink>
      <w:r w:rsidRPr="00716453">
        <w:rPr>
          <w:lang w:val="en-GB"/>
        </w:rPr>
        <w:t xml:space="preserve"> </w:t>
      </w:r>
    </w:p>
  </w:footnote>
  <w:footnote w:id="190">
    <w:p w14:paraId="4A49E92E" w14:textId="5B6ABE6A" w:rsidR="00E42281" w:rsidRDefault="00E42281" w:rsidP="00E42281">
      <w:pPr>
        <w:pStyle w:val="Notedebasdepage"/>
        <w:jc w:val="both"/>
      </w:pPr>
      <w:r>
        <w:rPr>
          <w:rStyle w:val="Appelnotedebasdep"/>
        </w:rPr>
        <w:footnoteRef/>
      </w:r>
      <w:r>
        <w:t xml:space="preserve"> </w:t>
      </w:r>
      <w:r w:rsidRPr="00E42281">
        <w:rPr>
          <w:i/>
          <w:iCs/>
        </w:rPr>
        <w:t>Plantation d'une haie vivante au Burkina Faso</w:t>
      </w:r>
      <w:r w:rsidRPr="00E42281">
        <w:t xml:space="preserve">, </w:t>
      </w:r>
      <w:hyperlink r:id="rId211" w:history="1">
        <w:r w:rsidRPr="00511550">
          <w:rPr>
            <w:rStyle w:val="Lienhypertexte"/>
          </w:rPr>
          <w:t>https://desertification.wordpress.com/2016/02/27/plantation-dune-haie-vive-au-burkina-faso</w:t>
        </w:r>
      </w:hyperlink>
      <w:r>
        <w:t xml:space="preserve"> </w:t>
      </w:r>
    </w:p>
  </w:footnote>
  <w:footnote w:id="191">
    <w:p w14:paraId="2BB29740" w14:textId="42BFDCA7" w:rsidR="00B9365B" w:rsidRPr="00B9365B" w:rsidRDefault="00B9365B">
      <w:pPr>
        <w:pStyle w:val="Notedebasdepage"/>
        <w:rPr>
          <w:lang w:val="en-GB"/>
        </w:rPr>
      </w:pPr>
      <w:r>
        <w:rPr>
          <w:rStyle w:val="Appelnotedebasdep"/>
        </w:rPr>
        <w:footnoteRef/>
      </w:r>
      <w:r w:rsidRPr="00B9365B">
        <w:rPr>
          <w:lang w:val="en-GB"/>
        </w:rPr>
        <w:t xml:space="preserve"> </w:t>
      </w:r>
      <w:r>
        <w:rPr>
          <w:lang w:val="en-GB"/>
        </w:rPr>
        <w:t xml:space="preserve">Cf. </w:t>
      </w:r>
      <w:hyperlink r:id="rId212" w:history="1">
        <w:r w:rsidRPr="00AE2D14">
          <w:rPr>
            <w:rStyle w:val="Lienhypertexte"/>
            <w:lang w:val="en-GB"/>
          </w:rPr>
          <w:t>https://fr.wikipedia.org/wiki/Paillis</w:t>
        </w:r>
      </w:hyperlink>
      <w:r>
        <w:rPr>
          <w:lang w:val="en-GB"/>
        </w:rPr>
        <w:t xml:space="preserve"> </w:t>
      </w:r>
    </w:p>
  </w:footnote>
  <w:footnote w:id="192">
    <w:p w14:paraId="67341DFA" w14:textId="5CCFD128" w:rsidR="000B0CE2" w:rsidRPr="000B0CE2" w:rsidRDefault="000B0CE2">
      <w:pPr>
        <w:pStyle w:val="Notedebasdepage"/>
        <w:rPr>
          <w:lang w:val="en-GB"/>
        </w:rPr>
      </w:pPr>
      <w:r>
        <w:rPr>
          <w:rStyle w:val="Appelnotedebasdep"/>
        </w:rPr>
        <w:footnoteRef/>
      </w:r>
      <w:r w:rsidRPr="000B0CE2">
        <w:rPr>
          <w:lang w:val="en-GB"/>
        </w:rPr>
        <w:t xml:space="preserve"> Cf. </w:t>
      </w:r>
      <w:hyperlink r:id="rId213" w:history="1">
        <w:r w:rsidRPr="000B0CE2">
          <w:rPr>
            <w:rStyle w:val="Lienhypertexte"/>
            <w:lang w:val="en-US"/>
          </w:rPr>
          <w:t>http://www.wbdg.org/ccb/DOD/UFC/ufc_4_022_03.pdf</w:t>
        </w:r>
      </w:hyperlink>
      <w:r w:rsidRPr="000B0CE2">
        <w:rPr>
          <w:lang w:val="en-GB"/>
        </w:rPr>
        <w:t xml:space="preserve"> </w:t>
      </w:r>
    </w:p>
  </w:footnote>
  <w:footnote w:id="193">
    <w:p w14:paraId="013C7DBF" w14:textId="3F758B9D" w:rsidR="008835C1" w:rsidRPr="008835C1" w:rsidRDefault="008835C1">
      <w:pPr>
        <w:pStyle w:val="Notedebasdepage"/>
        <w:rPr>
          <w:lang w:val="en-GB"/>
        </w:rPr>
      </w:pPr>
      <w:r>
        <w:rPr>
          <w:rStyle w:val="Appelnotedebasdep"/>
        </w:rPr>
        <w:footnoteRef/>
      </w:r>
      <w:r w:rsidRPr="008835C1">
        <w:rPr>
          <w:lang w:val="en-GB"/>
        </w:rPr>
        <w:t xml:space="preserve"> Cf</w:t>
      </w:r>
      <w:r>
        <w:rPr>
          <w:lang w:val="en-GB"/>
        </w:rPr>
        <w:t>.</w:t>
      </w:r>
      <w:r w:rsidRPr="008835C1">
        <w:rPr>
          <w:lang w:val="en-GB"/>
        </w:rPr>
        <w:t xml:space="preserve"> </w:t>
      </w:r>
      <w:hyperlink r:id="rId214" w:history="1">
        <w:r w:rsidRPr="008835C1">
          <w:rPr>
            <w:rStyle w:val="Lienhypertexte"/>
            <w:lang w:val="en-GB"/>
          </w:rPr>
          <w:t>http://www.formad-environnement.org/pepiniere_reforestation_agroforesterie.pdf</w:t>
        </w:r>
      </w:hyperlink>
      <w:r w:rsidRPr="008835C1">
        <w:rPr>
          <w:lang w:val="en-GB"/>
        </w:rPr>
        <w:t xml:space="preserve"> </w:t>
      </w:r>
    </w:p>
  </w:footnote>
  <w:footnote w:id="194">
    <w:p w14:paraId="01A4BB30" w14:textId="7DACC49A" w:rsidR="0050591F" w:rsidRDefault="0050591F">
      <w:pPr>
        <w:pStyle w:val="Notedebasdepage"/>
      </w:pPr>
      <w:r>
        <w:rPr>
          <w:rStyle w:val="Appelnotedebasdep"/>
        </w:rPr>
        <w:footnoteRef/>
      </w:r>
      <w:r>
        <w:t xml:space="preserve"> </w:t>
      </w:r>
      <w:r w:rsidRPr="0050591F">
        <w:rPr>
          <w:i/>
          <w:iCs/>
        </w:rPr>
        <w:t>Gestion et aménagement de l'espace pastoral</w:t>
      </w:r>
      <w:r w:rsidRPr="0050591F">
        <w:t xml:space="preserve">, Jean César, </w:t>
      </w:r>
      <w:hyperlink r:id="rId215" w:history="1">
        <w:r w:rsidRPr="00E2485C">
          <w:rPr>
            <w:rStyle w:val="Lienhypertexte"/>
          </w:rPr>
          <w:t>https://horizon.documentation.ird.fr/exl-doc/pleins_textes/pleins_textes_6/colloques2/40836.pdf</w:t>
        </w:r>
      </w:hyperlink>
      <w:r>
        <w:t xml:space="preserve"> </w:t>
      </w:r>
    </w:p>
  </w:footnote>
  <w:footnote w:id="195">
    <w:p w14:paraId="3556EEE4" w14:textId="77777777" w:rsidR="00CC712E" w:rsidRPr="00C90A75" w:rsidRDefault="00CC712E" w:rsidP="00CC712E">
      <w:pPr>
        <w:pStyle w:val="Notedebasdepage"/>
        <w:rPr>
          <w:lang w:val="en-GB"/>
        </w:rPr>
      </w:pPr>
      <w:r>
        <w:rPr>
          <w:rStyle w:val="Appelnotedebasdep"/>
        </w:rPr>
        <w:footnoteRef/>
      </w:r>
      <w:r w:rsidRPr="00C90A75">
        <w:rPr>
          <w:lang w:val="en-GB"/>
        </w:rPr>
        <w:t xml:space="preserve"> Cf. </w:t>
      </w:r>
      <w:hyperlink r:id="rId216" w:anchor="Situation_g%C3%A9n%C3%A9rale" w:history="1">
        <w:r w:rsidRPr="00C90A75">
          <w:rPr>
            <w:rStyle w:val="Lienhypertexte"/>
            <w:lang w:val="en-GB"/>
          </w:rPr>
          <w:t>https://fr.wikipedia.org/wiki/Pastoralisme#Situation_g%C3%A9n%C3%A9rale</w:t>
        </w:r>
      </w:hyperlink>
      <w:r w:rsidRPr="00C90A75">
        <w:rPr>
          <w:lang w:val="en-GB"/>
        </w:rPr>
        <w:t xml:space="preserve"> </w:t>
      </w:r>
    </w:p>
  </w:footnote>
  <w:footnote w:id="196">
    <w:p w14:paraId="10119EB7" w14:textId="6E19D382" w:rsidR="000A7B5E" w:rsidRDefault="000A7B5E">
      <w:pPr>
        <w:pStyle w:val="Notedebasdepage"/>
      </w:pPr>
      <w:r>
        <w:rPr>
          <w:rStyle w:val="Appelnotedebasdep"/>
        </w:rPr>
        <w:footnoteRef/>
      </w:r>
      <w:r>
        <w:t xml:space="preserve"> </w:t>
      </w:r>
      <w:r w:rsidRPr="000A7B5E">
        <w:rPr>
          <w:i/>
          <w:iCs/>
        </w:rPr>
        <w:t>Djibouti : Les produits de l’élevage contre la faim</w:t>
      </w:r>
      <w:r w:rsidRPr="000A7B5E">
        <w:t xml:space="preserve">, 14/09/2021, </w:t>
      </w:r>
      <w:hyperlink r:id="rId217" w:history="1">
        <w:r w:rsidRPr="008244FA">
          <w:rPr>
            <w:rStyle w:val="Lienhypertexte"/>
          </w:rPr>
          <w:t>https://sossahel.org/djibouti-les-produits-de-lelevage-contre-la-faim/</w:t>
        </w:r>
      </w:hyperlink>
      <w:r>
        <w:t xml:space="preserve"> </w:t>
      </w:r>
    </w:p>
  </w:footnote>
  <w:footnote w:id="197">
    <w:p w14:paraId="0E83D7A7" w14:textId="77777777" w:rsidR="007C5A74" w:rsidRDefault="007C5A74" w:rsidP="007C5A74">
      <w:pPr>
        <w:pStyle w:val="Notedebasdepage"/>
      </w:pPr>
      <w:r>
        <w:rPr>
          <w:rStyle w:val="Appelnotedebasdep"/>
        </w:rPr>
        <w:footnoteRef/>
      </w:r>
      <w:r>
        <w:t xml:space="preserve"> </w:t>
      </w:r>
      <w:r w:rsidRPr="007C5A74">
        <w:rPr>
          <w:i/>
          <w:iCs/>
        </w:rPr>
        <w:t>Systèmes de production d'élevage au Sénégal dans la région du Ferlo : synthèse de fin d'études d'une équipe de recherches pluridisciplinaires</w:t>
      </w:r>
      <w:r>
        <w:t>, BARRAL H., BENEFICE E., BOUDET G., DENIS J.P., DE WISPELAERE G., DIAITE I., DIAW O.T., DIEYE K., DOUTRE M.P., MEYER J.F., NOEL J., PARENT G., PlOT J., PLANCHENAULT D., SANTOIR C., VALENTIN C., VALENZA J., VASSILIADES G.</w:t>
      </w:r>
    </w:p>
    <w:p w14:paraId="55D48D5E" w14:textId="7F46D570" w:rsidR="007C5A74" w:rsidRDefault="00000000" w:rsidP="007C5A74">
      <w:pPr>
        <w:pStyle w:val="Notedebasdepage"/>
      </w:pPr>
      <w:hyperlink r:id="rId218" w:history="1">
        <w:r w:rsidR="007C5A74" w:rsidRPr="005F3F9F">
          <w:rPr>
            <w:rStyle w:val="Lienhypertexte"/>
          </w:rPr>
          <w:t>https://www.researchgate.net/profile/Eric-Benefice/publication/282166321_Systemes_de_production_d'elevage_au_Senegal_dans_la_region_du_Ferlo_synthese_de_fin_d'etudes_d'une_equipe_de_recherches_pluridisciplinaire/links/579c127508ae6a2882f1abbb/Systemes-de-production-delevage-au-Senegal-dans-la-region-du-Ferlo-synthese-de-fin-detudes-dune-equipe-de-recherches-pluridisciplinaire.pdf</w:t>
        </w:r>
      </w:hyperlink>
      <w:r w:rsidR="007C5A74">
        <w:t xml:space="preserve"> </w:t>
      </w:r>
    </w:p>
  </w:footnote>
  <w:footnote w:id="198">
    <w:p w14:paraId="002B06F2" w14:textId="32E5638D" w:rsidR="007B1CA0" w:rsidRDefault="007B1CA0" w:rsidP="007B1CA0">
      <w:pPr>
        <w:pStyle w:val="Notedebasdepage"/>
        <w:jc w:val="both"/>
      </w:pPr>
      <w:r>
        <w:rPr>
          <w:rStyle w:val="Appelnotedebasdep"/>
        </w:rPr>
        <w:footnoteRef/>
      </w:r>
      <w:r>
        <w:t xml:space="preserve"> </w:t>
      </w:r>
      <w:r w:rsidRPr="007B1CA0">
        <w:t>"</w:t>
      </w:r>
      <w:r w:rsidRPr="007B1CA0">
        <w:rPr>
          <w:i/>
          <w:iCs/>
        </w:rPr>
        <w:t>Évolution des transhumances</w:t>
      </w:r>
      <w:r w:rsidRPr="007B1CA0">
        <w:t>", A. T. Diop, JD. Cesaro, I. Touré, A. Ickowicz , B. Toutain, in "</w:t>
      </w:r>
      <w:r w:rsidRPr="007B1CA0">
        <w:rPr>
          <w:i/>
          <w:iCs/>
        </w:rPr>
        <w:t>Atlas des évolutions des systèmes pastoraux au Sahel</w:t>
      </w:r>
      <w:r w:rsidRPr="007B1CA0">
        <w:t>", 1970-2012, page</w:t>
      </w:r>
      <w:r w:rsidR="00BC563E">
        <w:t>s</w:t>
      </w:r>
      <w:r w:rsidRPr="007B1CA0">
        <w:t xml:space="preserve"> 14</w:t>
      </w:r>
      <w:r w:rsidR="00BC563E">
        <w:t>-15</w:t>
      </w:r>
      <w:r w:rsidRPr="007B1CA0">
        <w:t xml:space="preserve">, </w:t>
      </w:r>
      <w:hyperlink r:id="rId219" w:history="1">
        <w:r w:rsidRPr="005F3F9F">
          <w:rPr>
            <w:rStyle w:val="Lienhypertexte"/>
          </w:rPr>
          <w:t>https://afrique-ouest.cirad.fr/FichiersComplementaires/atlas-systemes-pastoraux-sahel-1970-2012.pdf</w:t>
        </w:r>
      </w:hyperlink>
      <w:r>
        <w:t xml:space="preserve"> </w:t>
      </w:r>
    </w:p>
  </w:footnote>
  <w:footnote w:id="199">
    <w:p w14:paraId="56ACC929" w14:textId="5554A489" w:rsidR="004F530D" w:rsidRDefault="004F530D">
      <w:pPr>
        <w:pStyle w:val="Notedebasdepage"/>
      </w:pPr>
      <w:r>
        <w:rPr>
          <w:rStyle w:val="Appelnotedebasdep"/>
        </w:rPr>
        <w:footnoteRef/>
      </w:r>
      <w:r>
        <w:t xml:space="preserve"> </w:t>
      </w:r>
      <w:r w:rsidRPr="007B1CA0">
        <w:t>"</w:t>
      </w:r>
      <w:r w:rsidRPr="007B1CA0">
        <w:rPr>
          <w:i/>
          <w:iCs/>
        </w:rPr>
        <w:t>Évolution des transhumances</w:t>
      </w:r>
      <w:r w:rsidRPr="007B1CA0">
        <w:t>",</w:t>
      </w:r>
      <w:r>
        <w:t xml:space="preserve"> ibid, page 15.</w:t>
      </w:r>
    </w:p>
  </w:footnote>
  <w:footnote w:id="200">
    <w:p w14:paraId="0CAA0F19" w14:textId="77777777" w:rsidR="00E034BB" w:rsidRDefault="00E034BB" w:rsidP="00E034BB">
      <w:pPr>
        <w:pStyle w:val="Notedebasdepage"/>
        <w:jc w:val="both"/>
      </w:pPr>
      <w:r>
        <w:rPr>
          <w:rStyle w:val="Appelnotedebasdep"/>
        </w:rPr>
        <w:footnoteRef/>
      </w:r>
      <w:r>
        <w:t xml:space="preserve"> </w:t>
      </w:r>
      <w:r w:rsidRPr="00186F13">
        <w:rPr>
          <w:i/>
          <w:iCs/>
        </w:rPr>
        <w:t>Sécuriser le pastoralisme en Afrique de l’Est et de l’Ouest : Protéger et promouvoir la mobilité du bétail,</w:t>
      </w:r>
      <w:r w:rsidRPr="00186F13">
        <w:t xml:space="preserve"> </w:t>
      </w:r>
      <w:hyperlink r:id="rId220" w:history="1">
        <w:r w:rsidRPr="005F3F9F">
          <w:rPr>
            <w:rStyle w:val="Lienhypertexte"/>
          </w:rPr>
          <w:t>https://pubs.iied.org/sites/default/files/pdfs/migrate/G02236.pdf</w:t>
        </w:r>
      </w:hyperlink>
      <w:r>
        <w:t xml:space="preserve"> </w:t>
      </w:r>
    </w:p>
  </w:footnote>
  <w:footnote w:id="201">
    <w:p w14:paraId="0627A914" w14:textId="6F79C36D" w:rsidR="005E6DF4" w:rsidRDefault="005E6DF4" w:rsidP="005E6DF4">
      <w:pPr>
        <w:pStyle w:val="Notedebasdepage"/>
      </w:pPr>
      <w:r>
        <w:rPr>
          <w:rStyle w:val="Appelnotedebasdep"/>
        </w:rPr>
        <w:footnoteRef/>
      </w:r>
      <w:r>
        <w:t xml:space="preserve"> </w:t>
      </w:r>
      <w:r w:rsidRPr="005E6DF4">
        <w:rPr>
          <w:i/>
          <w:iCs/>
        </w:rPr>
        <w:t>Quel aménagement pastoral pour le Sahel ?</w:t>
      </w:r>
      <w:r>
        <w:t xml:space="preserve"> Alioune Sall, Revue Tiers Monde, 1978, 73, pp. 161-169, </w:t>
      </w:r>
      <w:hyperlink r:id="rId221" w:history="1">
        <w:r w:rsidRPr="005F3F9F">
          <w:rPr>
            <w:rStyle w:val="Lienhypertexte"/>
          </w:rPr>
          <w:t>https://www.persee.fr/doc/tiers_0040-7356_1978_num_19_73_2785</w:t>
        </w:r>
      </w:hyperlink>
      <w:r>
        <w:t xml:space="preserve"> </w:t>
      </w:r>
    </w:p>
    <w:p w14:paraId="507ADFD7" w14:textId="3A8E21B5" w:rsidR="005E6DF4" w:rsidRDefault="005E6DF4" w:rsidP="005E6DF4">
      <w:pPr>
        <w:pStyle w:val="Notedebasdepage"/>
      </w:pPr>
      <w:r>
        <w:t>Fait partie d'un numéro thématique : Environnement et aménagement en Afrique (sous la direction de Jacques Bugnicourt)</w:t>
      </w:r>
    </w:p>
  </w:footnote>
  <w:footnote w:id="202">
    <w:p w14:paraId="0A0CED64" w14:textId="10260EB2" w:rsidR="00D06F2D" w:rsidRPr="00D06F2D" w:rsidRDefault="00D06F2D" w:rsidP="00D06F2D">
      <w:pPr>
        <w:pStyle w:val="Notedebasdepage"/>
      </w:pPr>
      <w:r>
        <w:rPr>
          <w:rStyle w:val="Appelnotedebasdep"/>
        </w:rPr>
        <w:footnoteRef/>
      </w:r>
      <w:r w:rsidRPr="00D06F2D">
        <w:t xml:space="preserve"> </w:t>
      </w:r>
      <w:r w:rsidRPr="00D06F2D">
        <w:rPr>
          <w:i/>
          <w:iCs/>
        </w:rPr>
        <w:t>Pastoralisme et lutte contre la désertification au Nord Sénégal</w:t>
      </w:r>
      <w:r w:rsidRPr="00D06F2D">
        <w:t xml:space="preserve">, </w:t>
      </w:r>
      <w:hyperlink r:id="rId222" w:history="1">
        <w:r w:rsidRPr="005F3F9F">
          <w:rPr>
            <w:rStyle w:val="Lienhypertexte"/>
          </w:rPr>
          <w:t>https://www.avsf.org/fr/posts/859/full/pastoralisme-et-lutte-contre-la-desertification-au-nord-senegal</w:t>
        </w:r>
      </w:hyperlink>
      <w:r>
        <w:t xml:space="preserve"> </w:t>
      </w:r>
    </w:p>
    <w:p w14:paraId="35B64062" w14:textId="51CC3E96" w:rsidR="00D06F2D" w:rsidRPr="00D06F2D" w:rsidRDefault="00D06F2D" w:rsidP="00D06F2D">
      <w:pPr>
        <w:pStyle w:val="Notedebasdepage"/>
      </w:pPr>
      <w:r w:rsidRPr="00D06F2D">
        <w:t xml:space="preserve">Appui technique à 2000 familles d'agropasteurs et aux collectivités locales pour une gestion concertée des ressources pastorales dans le Ferlo (plan concerté d'aménagement, hydraulique pastorale, régénération de végétation). En partenariat avec les collectivités de Matam et de Louga, l'ONG EGAB et les organisations d'éleveurs. </w:t>
      </w:r>
    </w:p>
  </w:footnote>
  <w:footnote w:id="203">
    <w:p w14:paraId="1C96ED03" w14:textId="68DC4FFD" w:rsidR="00864446" w:rsidRPr="00864446" w:rsidRDefault="00864446">
      <w:pPr>
        <w:pStyle w:val="Notedebasdepage"/>
        <w:rPr>
          <w:lang w:val="en-GB"/>
        </w:rPr>
      </w:pPr>
      <w:r>
        <w:rPr>
          <w:rStyle w:val="Appelnotedebasdep"/>
        </w:rPr>
        <w:footnoteRef/>
      </w:r>
      <w:r w:rsidRPr="00864446">
        <w:rPr>
          <w:lang w:val="en-GB"/>
        </w:rPr>
        <w:t xml:space="preserve"> Cf. </w:t>
      </w:r>
      <w:hyperlink r:id="rId223" w:history="1">
        <w:r w:rsidRPr="005F3F9F">
          <w:rPr>
            <w:rStyle w:val="Lienhypertexte"/>
            <w:lang w:val="en-GB"/>
          </w:rPr>
          <w:t>https://www.facebook.com/Senegocom/photos/a.414461401941481/648973631823589/</w:t>
        </w:r>
      </w:hyperlink>
      <w:r>
        <w:rPr>
          <w:lang w:val="en-GB"/>
        </w:rPr>
        <w:t xml:space="preserve"> </w:t>
      </w:r>
    </w:p>
  </w:footnote>
  <w:footnote w:id="204">
    <w:p w14:paraId="761B5DDE" w14:textId="729D306A" w:rsidR="007705B8" w:rsidRDefault="007705B8" w:rsidP="007705B8">
      <w:pPr>
        <w:pStyle w:val="Notedebasdepage"/>
        <w:jc w:val="both"/>
      </w:pPr>
      <w:r>
        <w:rPr>
          <w:rStyle w:val="Appelnotedebasdep"/>
        </w:rPr>
        <w:footnoteRef/>
      </w:r>
      <w:r>
        <w:t xml:space="preserve"> </w:t>
      </w:r>
      <w:r w:rsidRPr="007705B8">
        <w:rPr>
          <w:i/>
          <w:iCs/>
        </w:rPr>
        <w:t>Systèmes de production d'élevage au Sénégal dans la région du Ferlo : synthèse de fin d'études d'une équipe de recherches pluridisciplinaires</w:t>
      </w:r>
      <w:r w:rsidRPr="007705B8">
        <w:t>,</w:t>
      </w:r>
      <w:r>
        <w:t xml:space="preserve"> ibid.</w:t>
      </w:r>
    </w:p>
  </w:footnote>
  <w:footnote w:id="205">
    <w:p w14:paraId="378A2E83" w14:textId="2B2EDC04" w:rsidR="004F2EC7" w:rsidRDefault="004F2EC7" w:rsidP="004F2EC7">
      <w:pPr>
        <w:pStyle w:val="Notedebasdepage"/>
        <w:jc w:val="both"/>
      </w:pPr>
      <w:r>
        <w:rPr>
          <w:rStyle w:val="Appelnotedebasdep"/>
        </w:rPr>
        <w:footnoteRef/>
      </w:r>
      <w:r>
        <w:t xml:space="preserve"> </w:t>
      </w:r>
      <w:r w:rsidRPr="00186F13">
        <w:rPr>
          <w:i/>
          <w:iCs/>
        </w:rPr>
        <w:t>Sécuriser le pastoralisme en Afrique de l’Est et de l’Ouest : Protéger et promouvoir la mobilité du bétail,</w:t>
      </w:r>
      <w:r w:rsidRPr="00186F13">
        <w:t xml:space="preserve"> </w:t>
      </w:r>
      <w:r>
        <w:t>ibid.</w:t>
      </w:r>
    </w:p>
  </w:footnote>
  <w:footnote w:id="206">
    <w:p w14:paraId="5C60CE31" w14:textId="77777777" w:rsidR="00D155C2" w:rsidRDefault="00D155C2" w:rsidP="00D155C2">
      <w:pPr>
        <w:pStyle w:val="Notedebasdepage"/>
      </w:pPr>
      <w:r>
        <w:rPr>
          <w:rStyle w:val="Appelnotedebasdep"/>
        </w:rPr>
        <w:footnoteRef/>
      </w:r>
      <w:r>
        <w:t xml:space="preserve"> </w:t>
      </w:r>
      <w:r w:rsidRPr="007B1CA0">
        <w:t>"</w:t>
      </w:r>
      <w:r w:rsidRPr="007B1CA0">
        <w:rPr>
          <w:i/>
          <w:iCs/>
        </w:rPr>
        <w:t>Évolution des transhumances</w:t>
      </w:r>
      <w:r w:rsidRPr="007B1CA0">
        <w:t>",</w:t>
      </w:r>
      <w:r>
        <w:t xml:space="preserve"> ibid, page 15.</w:t>
      </w:r>
    </w:p>
  </w:footnote>
  <w:footnote w:id="207">
    <w:p w14:paraId="15E40619" w14:textId="126859E4" w:rsidR="00186F13" w:rsidRDefault="00186F13" w:rsidP="00186F13">
      <w:pPr>
        <w:pStyle w:val="Notedebasdepage"/>
        <w:jc w:val="both"/>
      </w:pPr>
      <w:r>
        <w:rPr>
          <w:rStyle w:val="Appelnotedebasdep"/>
        </w:rPr>
        <w:footnoteRef/>
      </w:r>
      <w:r>
        <w:t xml:space="preserve"> </w:t>
      </w:r>
      <w:r w:rsidRPr="00186F13">
        <w:rPr>
          <w:i/>
          <w:iCs/>
        </w:rPr>
        <w:t>Sécuriser le pastoralisme en Afrique de l’Est et de l’Ouest : Protéger et promouvoir la mobilité du bétail,</w:t>
      </w:r>
      <w:r w:rsidRPr="00186F13">
        <w:t xml:space="preserve"> </w:t>
      </w:r>
      <w:r w:rsidR="00E034BB">
        <w:t>ibid.</w:t>
      </w:r>
    </w:p>
  </w:footnote>
  <w:footnote w:id="208">
    <w:p w14:paraId="631768E8" w14:textId="77777777" w:rsidR="00CC712E" w:rsidRPr="00F824AE" w:rsidRDefault="00CC712E" w:rsidP="00CC712E">
      <w:pPr>
        <w:pStyle w:val="Notedebasdepage"/>
        <w:rPr>
          <w:lang w:val="en-GB"/>
        </w:rPr>
      </w:pPr>
      <w:r>
        <w:rPr>
          <w:rStyle w:val="Appelnotedebasdep"/>
        </w:rPr>
        <w:footnoteRef/>
      </w:r>
      <w:r w:rsidRPr="00272EF6">
        <w:rPr>
          <w:lang w:val="en-GB"/>
        </w:rPr>
        <w:t xml:space="preserve"> </w:t>
      </w:r>
      <w:r w:rsidRPr="00272EF6">
        <w:rPr>
          <w:i/>
          <w:iCs/>
          <w:lang w:val="en-GB"/>
        </w:rPr>
        <w:t xml:space="preserve">Global terrorism index 2020. </w:t>
      </w:r>
      <w:r w:rsidRPr="00F824AE">
        <w:rPr>
          <w:i/>
          <w:iCs/>
          <w:lang w:val="en-GB"/>
        </w:rPr>
        <w:t>Measuring the impact of terrorism</w:t>
      </w:r>
      <w:r>
        <w:rPr>
          <w:lang w:val="en-GB"/>
        </w:rPr>
        <w:t xml:space="preserve">, </w:t>
      </w:r>
      <w:hyperlink r:id="rId224" w:history="1">
        <w:r w:rsidRPr="004D584D">
          <w:rPr>
            <w:rStyle w:val="Lienhypertexte"/>
            <w:lang w:val="en-GB"/>
          </w:rPr>
          <w:t>https://www.visionofhumanity.org/wp-content/uploads/2020/11/GTI-2020-web-1.pdf</w:t>
        </w:r>
      </w:hyperlink>
      <w:r>
        <w:rPr>
          <w:lang w:val="en-GB"/>
        </w:rPr>
        <w:t xml:space="preserve"> </w:t>
      </w:r>
    </w:p>
  </w:footnote>
  <w:footnote w:id="209">
    <w:p w14:paraId="14208272" w14:textId="77777777" w:rsidR="00CC712E" w:rsidRPr="00174FDB" w:rsidRDefault="00CC712E" w:rsidP="00CC712E">
      <w:pPr>
        <w:pStyle w:val="Notedebasdepage"/>
      </w:pPr>
      <w:r>
        <w:rPr>
          <w:rStyle w:val="Appelnotedebasdep"/>
        </w:rPr>
        <w:footnoteRef/>
      </w:r>
      <w:r w:rsidRPr="00174FDB">
        <w:t xml:space="preserve"> </w:t>
      </w:r>
      <w:r w:rsidRPr="00174FDB">
        <w:rPr>
          <w:i/>
          <w:iCs/>
        </w:rPr>
        <w:t>D'o</w:t>
      </w:r>
      <w:r>
        <w:rPr>
          <w:i/>
          <w:iCs/>
        </w:rPr>
        <w:t>ù</w:t>
      </w:r>
      <w:r w:rsidRPr="00174FDB">
        <w:rPr>
          <w:i/>
          <w:iCs/>
        </w:rPr>
        <w:t xml:space="preserve"> viennent les rivalités entre Dogons et Peuls au Mali ?</w:t>
      </w:r>
      <w:r w:rsidRPr="00174FDB">
        <w:t xml:space="preserve"> 25 mars 2019, </w:t>
      </w:r>
      <w:hyperlink r:id="rId225" w:history="1">
        <w:r w:rsidRPr="00471344">
          <w:rPr>
            <w:rStyle w:val="Lienhypertexte"/>
          </w:rPr>
          <w:t>https://www.bbc.com/afrique/region-47700581</w:t>
        </w:r>
      </w:hyperlink>
      <w:r>
        <w:t xml:space="preserve"> </w:t>
      </w:r>
    </w:p>
  </w:footnote>
  <w:footnote w:id="210">
    <w:p w14:paraId="3E39140C" w14:textId="77777777" w:rsidR="00CC712E" w:rsidRPr="001F4A5A" w:rsidRDefault="00CC712E" w:rsidP="00CC712E">
      <w:pPr>
        <w:pStyle w:val="Notedebasdepage"/>
        <w:jc w:val="both"/>
      </w:pPr>
      <w:r>
        <w:rPr>
          <w:rStyle w:val="Appelnotedebasdep"/>
        </w:rPr>
        <w:footnoteRef/>
      </w:r>
      <w:r w:rsidRPr="001F4A5A">
        <w:t xml:space="preserve"> Le nombre de décès attribués à Boko Haram a augmenté de 25 % entre 2018 et 2019. Le regain d'activité de Boko Haram au Nigéria et dans les pays voisins, dont le Cameroun, le Tchad et le Niger, reste une menace importante pour la région.</w:t>
      </w:r>
      <w:r>
        <w:t xml:space="preserve"> </w:t>
      </w:r>
      <w:r w:rsidRPr="001F4A5A">
        <w:t>Alors que le nombre de décès attribués aux extrémistes peuls s'est réduit de 72% durant cette période.</w:t>
      </w:r>
    </w:p>
  </w:footnote>
  <w:footnote w:id="211">
    <w:p w14:paraId="2EC2F8E3" w14:textId="77777777" w:rsidR="00CC712E" w:rsidRPr="00F46B1B" w:rsidRDefault="00CC712E" w:rsidP="00CC712E">
      <w:pPr>
        <w:pStyle w:val="Notedebasdepage"/>
        <w:jc w:val="both"/>
      </w:pPr>
      <w:r>
        <w:rPr>
          <w:rStyle w:val="Appelnotedebasdep"/>
        </w:rPr>
        <w:footnoteRef/>
      </w:r>
      <w:r w:rsidRPr="00F46B1B">
        <w:t xml:space="preserve"> Sec</w:t>
      </w:r>
      <w:r>
        <w:t>ond point de vue : « </w:t>
      </w:r>
      <w:r w:rsidRPr="00F46B1B">
        <w:rPr>
          <w:i/>
          <w:iCs/>
        </w:rPr>
        <w:t>Les Peuls sont 38 millions répartis dans 19 pays d’Afrique centrale et occidentale et musulmans à 99%. La ceinture centrale du Nigéria est dominée par les musulmans. Différents groupes ethniques et religieux cohabitent. C’est le grenier du Nord du Nigéria et les chrétiens y sont nombreux. Plus les peuls migrent vers le Sud, poussés vers le Sud par la désertification, plus ils pressent les agriculteurs chrétiens de cette région, menant des attaques meurtrières pour les faire partir. Les attaques des peuls s’inscrivent aussi dans une stratégie politique qui vise à islamiser ces territoires et les populations non musulmanes qui y habitent. Les chrétiens sont chassés de chez eux. Ceux qui restent sont persécutés ou tués.  60 000 morts depuis 2001, des milliers de blessés, des centaines de femmes enlevées. Les peuls attaques, s’emparent des terrains, détruisent les églises. Plus de 50 villages ont été attaqu</w:t>
      </w:r>
      <w:r>
        <w:t xml:space="preserve">és ces 12 derniers mois. Le gouvernement central n'intervient pas et ne cherche pas à résoudre une crise dont il nie l’existence ». Cf. </w:t>
      </w:r>
      <w:r w:rsidRPr="00F46B1B">
        <w:rPr>
          <w:i/>
          <w:iCs/>
        </w:rPr>
        <w:t>Nigéria : 5 choses à savoir sur les violences au centre du pays</w:t>
      </w:r>
      <w:r>
        <w:t xml:space="preserve">, 22/09/2017, </w:t>
      </w:r>
      <w:hyperlink r:id="rId226" w:history="1">
        <w:r w:rsidRPr="004D584D">
          <w:rPr>
            <w:rStyle w:val="Lienhypertexte"/>
          </w:rPr>
          <w:t>https://www.portesouvertes.fr/informer/actualite/nigeria-5-choses-a-savoir-sur-les-violences-au-centre-du-pays</w:t>
        </w:r>
      </w:hyperlink>
      <w:r>
        <w:t xml:space="preserve"> </w:t>
      </w:r>
    </w:p>
  </w:footnote>
  <w:footnote w:id="212">
    <w:p w14:paraId="08D2DEDB" w14:textId="77777777" w:rsidR="00CC712E" w:rsidRPr="00B10A94" w:rsidRDefault="00CC712E" w:rsidP="00CC712E">
      <w:pPr>
        <w:pStyle w:val="Notedebasdepage"/>
        <w:rPr>
          <w:lang w:val="en-GB"/>
        </w:rPr>
      </w:pPr>
      <w:r>
        <w:rPr>
          <w:rStyle w:val="Appelnotedebasdep"/>
        </w:rPr>
        <w:footnoteRef/>
      </w:r>
      <w:r w:rsidRPr="00B10A94">
        <w:rPr>
          <w:lang w:val="en-GB"/>
        </w:rPr>
        <w:t xml:space="preserve"> </w:t>
      </w:r>
      <w:r>
        <w:rPr>
          <w:lang w:val="en-GB"/>
        </w:rPr>
        <w:t xml:space="preserve">Cf. </w:t>
      </w:r>
      <w:hyperlink r:id="rId227" w:history="1">
        <w:r w:rsidRPr="004D584D">
          <w:rPr>
            <w:rStyle w:val="Lienhypertexte"/>
            <w:lang w:val="en-GB"/>
          </w:rPr>
          <w:t>https://en.wikipedia.org/wiki/Nomadic_conflict</w:t>
        </w:r>
      </w:hyperlink>
      <w:r>
        <w:rPr>
          <w:lang w:val="en-GB"/>
        </w:rPr>
        <w:t xml:space="preserve"> </w:t>
      </w:r>
    </w:p>
  </w:footnote>
  <w:footnote w:id="213">
    <w:p w14:paraId="713BD487" w14:textId="77777777" w:rsidR="00E5481B" w:rsidRDefault="00E5481B" w:rsidP="00E5481B">
      <w:pPr>
        <w:pStyle w:val="Notedebasdepage"/>
        <w:jc w:val="both"/>
      </w:pPr>
      <w:r>
        <w:rPr>
          <w:rStyle w:val="Appelnotedebasdep"/>
        </w:rPr>
        <w:footnoteRef/>
      </w:r>
      <w:r>
        <w:t xml:space="preserve"> </w:t>
      </w:r>
      <w:r w:rsidRPr="00E50E44">
        <w:t>Par exemple, entre 1986 et 2006, dans la Région de Bagré, au Burkina Fasso, la population croissait annuellement, en moyenne, de 3%.</w:t>
      </w:r>
      <w:r>
        <w:t xml:space="preserve"> Cf. </w:t>
      </w:r>
      <w:r w:rsidRPr="00A12B65">
        <w:rPr>
          <w:i/>
          <w:iCs/>
        </w:rPr>
        <w:t>Gestion durable des ressources pastorales dans les zones pastorales de Niassa, de Doubégué et de Tcherbo dans la région de Bagré au Burkina Faso. Projet de recherche doctorale présenté par Fousséni OUATTARA</w:t>
      </w:r>
      <w:r w:rsidRPr="00A12B65">
        <w:t xml:space="preserve">, 21/01/2016, </w:t>
      </w:r>
      <w:hyperlink r:id="rId228" w:history="1">
        <w:r w:rsidRPr="00A12B65">
          <w:rPr>
            <w:rStyle w:val="Lienhypertexte"/>
          </w:rPr>
          <w:t>https://ur-green.cirad.fr/content/download/5081/37809/version/1/file/PresentationOuattara_14oct16.pdf</w:t>
        </w:r>
      </w:hyperlink>
    </w:p>
  </w:footnote>
  <w:footnote w:id="214">
    <w:p w14:paraId="1F55417F" w14:textId="77777777" w:rsidR="00E5481B" w:rsidRPr="00A12B65" w:rsidRDefault="00E5481B" w:rsidP="00E5481B">
      <w:pPr>
        <w:pStyle w:val="Notedebasdepage"/>
        <w:jc w:val="both"/>
      </w:pPr>
      <w:r>
        <w:rPr>
          <w:rStyle w:val="Appelnotedebasdep"/>
        </w:rPr>
        <w:footnoteRef/>
      </w:r>
      <w:r w:rsidRPr="00A12B65">
        <w:rPr>
          <w:i/>
          <w:iCs/>
        </w:rPr>
        <w:t>Gestion durable des ressources pastorales dans les zones pastorales de Niassa, de Doubégué et de Tcherbo dans la région de Bagré au Burkina Faso</w:t>
      </w:r>
      <w:r w:rsidRPr="00A12B65">
        <w:t>,</w:t>
      </w:r>
      <w:r>
        <w:t xml:space="preserve"> ibid.</w:t>
      </w:r>
      <w:r w:rsidRPr="00A12B65">
        <w:t xml:space="preserve"> </w:t>
      </w:r>
    </w:p>
  </w:footnote>
  <w:footnote w:id="215">
    <w:p w14:paraId="24BE61C1" w14:textId="77777777" w:rsidR="00E5481B" w:rsidRPr="006C6DB3" w:rsidRDefault="00E5481B" w:rsidP="00E5481B">
      <w:pPr>
        <w:pStyle w:val="Notedebasdepage"/>
        <w:jc w:val="both"/>
      </w:pPr>
      <w:r>
        <w:rPr>
          <w:rStyle w:val="Appelnotedebasdep"/>
        </w:rPr>
        <w:footnoteRef/>
      </w:r>
      <w:r w:rsidRPr="006C6DB3">
        <w:t xml:space="preserve"> </w:t>
      </w:r>
      <w:r>
        <w:t>P</w:t>
      </w:r>
      <w:r w:rsidRPr="006C6DB3">
        <w:t xml:space="preserve">our lutter contre l'avancée du désert, Yacouba Sawadogo, un paysan né au Burkina Faso, dans la région semi-désertique du Sahel, constitue une forêt d’une quinzaine d’hectares, nommée Bangr-Raaga en Mossi, ce qui signifie Forêt de la Sagesse. </w:t>
      </w:r>
      <w:r>
        <w:t>Protégés par cette forêt, l</w:t>
      </w:r>
      <w:r w:rsidRPr="006C6DB3">
        <w:t>es habitants qui avaient fui, devant l'avancée du désert, sont revenus cultiver leurs champs.</w:t>
      </w:r>
    </w:p>
    <w:p w14:paraId="36B900EE" w14:textId="77777777" w:rsidR="00E5481B" w:rsidRDefault="00E5481B" w:rsidP="00E5481B">
      <w:pPr>
        <w:pStyle w:val="Notedebasdepage"/>
        <w:jc w:val="both"/>
      </w:pPr>
      <w:r w:rsidRPr="006C6DB3">
        <w:t xml:space="preserve">Mais cette zone </w:t>
      </w:r>
      <w:r>
        <w:t>est</w:t>
      </w:r>
      <w:r w:rsidRPr="006C6DB3">
        <w:t xml:space="preserve"> annexée par la ville voisine de Ouahigouya, sous les auspices d'un programme gouvernemental, visant à augmenter les revenus de la ville, </w:t>
      </w:r>
      <w:r w:rsidRPr="006C6DB3">
        <w:rPr>
          <w:i/>
          <w:iCs/>
        </w:rPr>
        <w:t>en fait, par un projet immobilier menaçant 80 % de ses champs et de sa forêt, ainsi que l'unique maison du terrain contenant sa banque de graine (sa terre étant maintenant évaluée à 100 000 € grâce à son travail accru pour fertiliser ses terres).</w:t>
      </w:r>
      <w:r w:rsidRPr="006C6DB3">
        <w:t xml:space="preserve"> En vertu des dispositions du programme, Yacouba Sawadogo et les membres de sa famille immédiate ont chacun droit à un dixième de 1 acre (400 m 2) hors de la parcelle, et ne reçoivent aucune autre compensation.</w:t>
      </w:r>
      <w:r>
        <w:t xml:space="preserve"> </w:t>
      </w:r>
      <w:r w:rsidRPr="006C6DB3">
        <w:t xml:space="preserve">En 2012, les colons ont atteint la lisière du bois, puis en 2019, ils érigent les premiers bâtiments dans la forêt. </w:t>
      </w:r>
    </w:p>
    <w:p w14:paraId="72657FCD" w14:textId="77777777" w:rsidR="00E5481B" w:rsidRPr="006C6DB3" w:rsidRDefault="00E5481B" w:rsidP="00E5481B">
      <w:pPr>
        <w:pStyle w:val="Notedebasdepage"/>
        <w:jc w:val="both"/>
      </w:pPr>
      <w:r>
        <w:t>Finalement, d</w:t>
      </w:r>
      <w:r w:rsidRPr="006C6DB3">
        <w:t>evant la mobilisation internationale pour défendre cette forêt, 18 juin 2021, une clôture de protection pour l'ensemble de la forêt de 28ha a été inaugurée, en présence du secrétaire général du ministère burkinabé de l'environnement.</w:t>
      </w:r>
    </w:p>
    <w:p w14:paraId="3AE4D768" w14:textId="77777777" w:rsidR="00E5481B" w:rsidRPr="00D007FB" w:rsidRDefault="00E5481B" w:rsidP="00E5481B">
      <w:pPr>
        <w:pStyle w:val="Notedebasdepage"/>
        <w:jc w:val="both"/>
      </w:pPr>
      <w:r w:rsidRPr="00D007FB">
        <w:t xml:space="preserve">Sources : a) </w:t>
      </w:r>
      <w:hyperlink r:id="rId229" w:history="1">
        <w:r w:rsidRPr="00D007FB">
          <w:rPr>
            <w:rStyle w:val="Lienhypertexte"/>
          </w:rPr>
          <w:t>https://fr.wikipedia.org/wiki/Yacouba_Sawadogo</w:t>
        </w:r>
      </w:hyperlink>
      <w:r w:rsidRPr="00D007FB">
        <w:t xml:space="preserve">, b) </w:t>
      </w:r>
      <w:hyperlink r:id="rId230" w:history="1">
        <w:r w:rsidRPr="00D007FB">
          <w:rPr>
            <w:rStyle w:val="Lienhypertexte"/>
          </w:rPr>
          <w:t>https://en.wikipedia.org/wiki/Yacouba_Sawadogo</w:t>
        </w:r>
      </w:hyperlink>
      <w:r w:rsidRPr="00D007FB">
        <w:t xml:space="preserve"> </w:t>
      </w:r>
    </w:p>
  </w:footnote>
  <w:footnote w:id="216">
    <w:p w14:paraId="42E79499" w14:textId="0815D769" w:rsidR="006E39F3" w:rsidRDefault="006E39F3" w:rsidP="006E39F3">
      <w:pPr>
        <w:pStyle w:val="Notedebasdepage"/>
        <w:jc w:val="both"/>
      </w:pPr>
      <w:r>
        <w:rPr>
          <w:rStyle w:val="Appelnotedebasdep"/>
        </w:rPr>
        <w:footnoteRef/>
      </w:r>
      <w:r>
        <w:t xml:space="preserve"> </w:t>
      </w:r>
      <w:r w:rsidRPr="006E39F3">
        <w:t xml:space="preserve">Fousséni Ouattara, </w:t>
      </w:r>
      <w:r w:rsidRPr="006E39F3">
        <w:rPr>
          <w:i/>
          <w:iCs/>
        </w:rPr>
        <w:t>Gestion durable des ressources pastorales dans les zones pastorales de Niassa, de Doubégué et de Tcherbo dans la région de Bagré au Burkina Faso</w:t>
      </w:r>
      <w:r w:rsidRPr="006E39F3">
        <w:t>, ibid.</w:t>
      </w:r>
      <w:r>
        <w:t xml:space="preserve"> </w:t>
      </w:r>
    </w:p>
  </w:footnote>
  <w:footnote w:id="217">
    <w:p w14:paraId="7A5650B7" w14:textId="191DF696" w:rsidR="00E2118C" w:rsidRPr="00E2118C" w:rsidRDefault="00E2118C">
      <w:pPr>
        <w:pStyle w:val="Notedebasdepage"/>
        <w:rPr>
          <w:lang w:val="en-GB"/>
        </w:rPr>
      </w:pPr>
      <w:r>
        <w:rPr>
          <w:rStyle w:val="Appelnotedebasdep"/>
        </w:rPr>
        <w:footnoteRef/>
      </w:r>
      <w:r w:rsidRPr="00E2118C">
        <w:rPr>
          <w:lang w:val="en-GB"/>
        </w:rPr>
        <w:t xml:space="preserve"> </w:t>
      </w:r>
      <w:r w:rsidRPr="00E2118C">
        <w:rPr>
          <w:i/>
          <w:iCs/>
          <w:lang w:val="en-GB"/>
        </w:rPr>
        <w:t>Sahelian goat</w:t>
      </w:r>
      <w:r w:rsidRPr="00E2118C">
        <w:rPr>
          <w:lang w:val="en-GB"/>
        </w:rPr>
        <w:t xml:space="preserve">, </w:t>
      </w:r>
      <w:hyperlink r:id="rId231" w:history="1">
        <w:r w:rsidRPr="00E2118C">
          <w:rPr>
            <w:rStyle w:val="Lienhypertexte"/>
            <w:lang w:val="en-GB"/>
          </w:rPr>
          <w:t>https://en.wikipedia.org/wiki/Sahelian_goat</w:t>
        </w:r>
      </w:hyperlink>
      <w:r w:rsidRPr="00E2118C">
        <w:rPr>
          <w:lang w:val="en-GB"/>
        </w:rPr>
        <w:t xml:space="preserve"> </w:t>
      </w:r>
    </w:p>
  </w:footnote>
  <w:footnote w:id="218">
    <w:p w14:paraId="41655592" w14:textId="545788BD" w:rsidR="00A077EF" w:rsidRPr="00933B47" w:rsidRDefault="00A077EF" w:rsidP="00A077EF">
      <w:pPr>
        <w:pStyle w:val="Notedebasdepage"/>
      </w:pPr>
      <w:r>
        <w:rPr>
          <w:rStyle w:val="Appelnotedebasdep"/>
        </w:rPr>
        <w:footnoteRef/>
      </w:r>
      <w:r w:rsidR="00933B47" w:rsidRPr="00933B47">
        <w:t>b)</w:t>
      </w:r>
      <w:r w:rsidRPr="00933B47">
        <w:t xml:space="preserve"> </w:t>
      </w:r>
      <w:r w:rsidR="009B1B0F" w:rsidRPr="00933B47">
        <w:rPr>
          <w:i/>
          <w:iCs/>
        </w:rPr>
        <w:t>Dorper</w:t>
      </w:r>
      <w:r w:rsidR="009B1B0F" w:rsidRPr="00933B47">
        <w:t>,</w:t>
      </w:r>
      <w:r w:rsidRPr="00933B47">
        <w:t xml:space="preserve"> </w:t>
      </w:r>
      <w:hyperlink r:id="rId232" w:history="1">
        <w:r w:rsidRPr="00933B47">
          <w:rPr>
            <w:rStyle w:val="Lienhypertexte"/>
          </w:rPr>
          <w:t>https://fr.wikipedia.org/wiki/Dorper</w:t>
        </w:r>
      </w:hyperlink>
      <w:r w:rsidR="00933B47" w:rsidRPr="00933B47">
        <w:t>, b) L</w:t>
      </w:r>
      <w:r w:rsidR="00933B47">
        <w:t xml:space="preserve">a race bovine </w:t>
      </w:r>
      <w:r w:rsidR="00933B47" w:rsidRPr="00933B47">
        <w:rPr>
          <w:i/>
          <w:iCs/>
        </w:rPr>
        <w:t>bonsmara</w:t>
      </w:r>
      <w:r w:rsidR="00933B47">
        <w:t xml:space="preserve">, elle, est connue pour sa résistance à la chaleur et </w:t>
      </w:r>
      <w:r w:rsidR="00933B47" w:rsidRPr="00933B47">
        <w:t>aux maladies parasitaires liées au climat</w:t>
      </w:r>
      <w:r w:rsidR="00933B47">
        <w:t xml:space="preserve">, </w:t>
      </w:r>
      <w:hyperlink r:id="rId233" w:history="1">
        <w:r w:rsidR="00933B47" w:rsidRPr="00570712">
          <w:rPr>
            <w:rStyle w:val="Lienhypertexte"/>
          </w:rPr>
          <w:t>https://fr.wikipedia.org/wiki/Bonsmara</w:t>
        </w:r>
      </w:hyperlink>
      <w:r w:rsidR="00933B47">
        <w:t xml:space="preserve"> </w:t>
      </w:r>
    </w:p>
  </w:footnote>
  <w:footnote w:id="219">
    <w:p w14:paraId="6790A325" w14:textId="77777777" w:rsidR="00A077EF" w:rsidRPr="00F854D7" w:rsidRDefault="00A077EF" w:rsidP="00A077EF">
      <w:pPr>
        <w:pStyle w:val="Notedebasdepage"/>
        <w:jc w:val="both"/>
      </w:pPr>
      <w:r>
        <w:rPr>
          <w:rStyle w:val="Appelnotedebasdep"/>
        </w:rPr>
        <w:footnoteRef/>
      </w:r>
      <w:r w:rsidRPr="00F854D7">
        <w:t xml:space="preserve"> Cf. </w:t>
      </w:r>
      <w:r w:rsidRPr="00F854D7">
        <w:rPr>
          <w:i/>
          <w:iCs/>
        </w:rPr>
        <w:t>Djibouti : Les produits de l’élevage contre la faim</w:t>
      </w:r>
      <w:r w:rsidRPr="00F854D7">
        <w:t xml:space="preserve">, 14/09/2021, </w:t>
      </w:r>
      <w:hyperlink r:id="rId234" w:history="1">
        <w:r w:rsidRPr="00E2485C">
          <w:rPr>
            <w:rStyle w:val="Lienhypertexte"/>
          </w:rPr>
          <w:t>https://sossahel.org/djibouti-les-produits-de-lelevage-contre-la-faim/</w:t>
        </w:r>
      </w:hyperlink>
      <w:r>
        <w:t xml:space="preserve"> </w:t>
      </w:r>
    </w:p>
  </w:footnote>
  <w:footnote w:id="220">
    <w:p w14:paraId="2DB9B17E" w14:textId="72A63418" w:rsidR="00722C77" w:rsidRPr="00722C77" w:rsidRDefault="00722C77">
      <w:pPr>
        <w:pStyle w:val="Notedebasdepage"/>
      </w:pPr>
      <w:r>
        <w:rPr>
          <w:rStyle w:val="Appelnotedebasdep"/>
        </w:rPr>
        <w:footnoteRef/>
      </w:r>
      <w:r w:rsidRPr="00722C77">
        <w:t xml:space="preserve"> </w:t>
      </w:r>
      <w:r w:rsidRPr="00722C77">
        <w:rPr>
          <w:i/>
          <w:iCs/>
        </w:rPr>
        <w:t>Sécuriser le pastoralisme en Afrique de l’Est et de l’Ouest : Protéger et promouvoir la mobilité du bétail</w:t>
      </w:r>
      <w:r w:rsidRPr="00722C77">
        <w:t>, ibid.</w:t>
      </w:r>
    </w:p>
  </w:footnote>
  <w:footnote w:id="221">
    <w:p w14:paraId="34601B44" w14:textId="20C5CE32" w:rsidR="0036705B" w:rsidRPr="0036705B" w:rsidRDefault="0036705B">
      <w:pPr>
        <w:pStyle w:val="Notedebasdepage"/>
      </w:pPr>
      <w:r>
        <w:rPr>
          <w:rStyle w:val="Appelnotedebasdep"/>
        </w:rPr>
        <w:footnoteRef/>
      </w:r>
      <w:r w:rsidRPr="0036705B">
        <w:t xml:space="preserve"> </w:t>
      </w:r>
      <w:r w:rsidRPr="0036705B">
        <w:rPr>
          <w:i/>
          <w:iCs/>
        </w:rPr>
        <w:t>Lutte contre la désertification par l'appui au pastoralisme dans le Ferlo</w:t>
      </w:r>
      <w:r w:rsidRPr="0036705B">
        <w:t xml:space="preserve">, </w:t>
      </w:r>
      <w:hyperlink r:id="rId235" w:history="1">
        <w:r w:rsidRPr="0036705B">
          <w:rPr>
            <w:rStyle w:val="Lienhypertexte"/>
          </w:rPr>
          <w:t>https://www.ffem.fr/fr/carte-des-projets/lutte-contre-la-desertification-par-lappui-au-pastoralisme-dans-le-ferlo</w:t>
        </w:r>
      </w:hyperlink>
      <w:r w:rsidRPr="0036705B">
        <w:t xml:space="preserve"> </w:t>
      </w:r>
    </w:p>
  </w:footnote>
  <w:footnote w:id="222">
    <w:p w14:paraId="75565C07" w14:textId="225F649F" w:rsidR="008D249C" w:rsidRPr="008D249C" w:rsidRDefault="008D249C" w:rsidP="008D249C">
      <w:pPr>
        <w:pStyle w:val="Notedebasdepage"/>
      </w:pPr>
      <w:r>
        <w:rPr>
          <w:rStyle w:val="Appelnotedebasdep"/>
        </w:rPr>
        <w:footnoteRef/>
      </w:r>
      <w:r w:rsidRPr="008D249C">
        <w:t xml:space="preserve"> </w:t>
      </w:r>
      <w:r w:rsidRPr="00DE0091">
        <w:rPr>
          <w:i/>
          <w:iCs/>
        </w:rPr>
        <w:t>Gestion concertée des ressources agropastorales: cas du Sahel Burkinabé</w:t>
      </w:r>
      <w:r>
        <w:t>, Boureima Drabo, Hermann Grell et Augustin Poda (Programme Sahel Burkinabé PSB / GTZ, BP 280 Dori, Burkina Faso) in « </w:t>
      </w:r>
      <w:r w:rsidRPr="00DE0091">
        <w:rPr>
          <w:i/>
          <w:iCs/>
        </w:rPr>
        <w:t>Elevage et gestion de parcours au Sahel, implications pour le développement</w:t>
      </w:r>
      <w:r>
        <w:t xml:space="preserve"> », E. Tielkes, E. Schlecht et P. Hiernaux (Verlag Ulrich E. Grauer Editeurs), 2001, </w:t>
      </w:r>
      <w:hyperlink r:id="rId236" w:history="1">
        <w:r w:rsidRPr="00BE2ABF">
          <w:rPr>
            <w:rStyle w:val="Lienhypertexte"/>
          </w:rPr>
          <w:t>https://rmportal.net/framelib/gestion-concerte.pdf</w:t>
        </w:r>
      </w:hyperlink>
    </w:p>
  </w:footnote>
  <w:footnote w:id="223">
    <w:p w14:paraId="6245E0E5" w14:textId="77777777" w:rsidR="00906491" w:rsidRPr="00A077EF" w:rsidRDefault="00906491" w:rsidP="00906491">
      <w:pPr>
        <w:pStyle w:val="Notedebasdepage"/>
        <w:rPr>
          <w:lang w:val="en-GB"/>
        </w:rPr>
      </w:pPr>
      <w:r>
        <w:rPr>
          <w:rStyle w:val="Appelnotedebasdep"/>
        </w:rPr>
        <w:footnoteRef/>
      </w:r>
      <w:r w:rsidRPr="00A077EF">
        <w:rPr>
          <w:lang w:val="en-GB"/>
        </w:rPr>
        <w:t xml:space="preserve"> Cf. </w:t>
      </w:r>
      <w:hyperlink r:id="rId237" w:history="1">
        <w:r w:rsidRPr="00A077EF">
          <w:rPr>
            <w:rStyle w:val="Lienhypertexte"/>
            <w:lang w:val="en-GB"/>
          </w:rPr>
          <w:t>http://science-pope.com/2013/03/reverse-climate-change-with-mobile-desert-meat/</w:t>
        </w:r>
      </w:hyperlink>
    </w:p>
  </w:footnote>
  <w:footnote w:id="224">
    <w:p w14:paraId="1D39CD0D" w14:textId="20C63813" w:rsidR="00B74153" w:rsidRPr="00B74153" w:rsidRDefault="00B74153">
      <w:pPr>
        <w:pStyle w:val="Notedebasdepage"/>
        <w:rPr>
          <w:lang w:val="en-GB"/>
        </w:rPr>
      </w:pPr>
      <w:r>
        <w:rPr>
          <w:rStyle w:val="Appelnotedebasdep"/>
        </w:rPr>
        <w:footnoteRef/>
      </w:r>
      <w:r w:rsidRPr="00B74153">
        <w:rPr>
          <w:lang w:val="en-GB"/>
        </w:rPr>
        <w:t xml:space="preserve"> Cf. </w:t>
      </w:r>
      <w:hyperlink r:id="rId238" w:history="1">
        <w:r w:rsidRPr="00B74153">
          <w:rPr>
            <w:rStyle w:val="Lienhypertexte"/>
            <w:lang w:val="en-GB"/>
          </w:rPr>
          <w:t>http://histoiredyvoir.blogspot.fr/2012/06/tour-de-tunisie-ksour-et-ghorfas-autour</w:t>
        </w:r>
      </w:hyperlink>
      <w:r w:rsidRPr="00B74153">
        <w:rPr>
          <w:lang w:val="en-GB"/>
        </w:rPr>
        <w:t xml:space="preserve"> </w:t>
      </w:r>
    </w:p>
  </w:footnote>
  <w:footnote w:id="225">
    <w:p w14:paraId="6C465508" w14:textId="5724494F" w:rsidR="00D84BAF" w:rsidRDefault="00D84BAF">
      <w:pPr>
        <w:pStyle w:val="Notedebasdepage"/>
      </w:pPr>
      <w:r>
        <w:rPr>
          <w:rStyle w:val="Appelnotedebasdep"/>
        </w:rPr>
        <w:footnoteRef/>
      </w:r>
      <w:r>
        <w:t xml:space="preserve"> </w:t>
      </w:r>
      <w:r w:rsidRPr="00D84BAF">
        <w:rPr>
          <w:i/>
          <w:iCs/>
        </w:rPr>
        <w:t>Quel aménagement pastoral pour le Sahel ?</w:t>
      </w:r>
      <w:r w:rsidRPr="00D84BAF">
        <w:t xml:space="preserve"> Alioune Sall,</w:t>
      </w:r>
      <w:r>
        <w:t xml:space="preserve"> ibid.</w:t>
      </w:r>
    </w:p>
  </w:footnote>
  <w:footnote w:id="226">
    <w:p w14:paraId="134DC30D" w14:textId="72F0B157" w:rsidR="008E6CCE" w:rsidRDefault="008E6CCE" w:rsidP="00F43E21">
      <w:pPr>
        <w:pStyle w:val="Notedebasdepage"/>
        <w:jc w:val="both"/>
      </w:pPr>
      <w:r>
        <w:rPr>
          <w:rStyle w:val="Appelnotedebasdep"/>
        </w:rPr>
        <w:footnoteRef/>
      </w:r>
      <w:r>
        <w:t xml:space="preserve"> </w:t>
      </w:r>
      <w:r w:rsidRPr="008E6CCE">
        <w:t>Telle que la lutte contre les tiques : lutte chimique, lutte agronomique (destruction des refuges, plantes répulsives), lutte biologique (prédateurs des vecteurs : oiseaux, fourmis), détiquage manuel régulier des bêtes.</w:t>
      </w:r>
    </w:p>
  </w:footnote>
  <w:footnote w:id="227">
    <w:p w14:paraId="2CD81E62" w14:textId="5DB443AE" w:rsidR="00116EFA" w:rsidRDefault="00116EFA" w:rsidP="00116EFA">
      <w:pPr>
        <w:pStyle w:val="Notedebasdepage"/>
        <w:jc w:val="both"/>
      </w:pPr>
      <w:r>
        <w:rPr>
          <w:rStyle w:val="Appelnotedebasdep"/>
        </w:rPr>
        <w:footnoteRef/>
      </w:r>
      <w:r>
        <w:t xml:space="preserve"> </w:t>
      </w:r>
      <w:r w:rsidRPr="00116EFA">
        <w:t>Acteurs locaux : a) Paysans cultivateurs, b) charbonniers, b2) fabricants de chaux ou de briques, c) forestiers, scieurs de planches, c2) menuisiers</w:t>
      </w:r>
      <w:r>
        <w:t xml:space="preserve"> </w:t>
      </w:r>
      <w:r w:rsidRPr="00116EFA">
        <w:t>locaux, c3) sculpteurs sur bois (utilisant des bois précieux), d) Réseaux de Distribution et de Vente (de Charbons de bois, de Planches, de Chaux, de Chandelles en "bois pin " etc. ), e) politiciens locaux ou nationaux.</w:t>
      </w:r>
    </w:p>
  </w:footnote>
  <w:footnote w:id="228">
    <w:p w14:paraId="7C2E3D1C" w14:textId="53A040F6" w:rsidR="000E6F46" w:rsidRDefault="000E6F46" w:rsidP="000E6F46">
      <w:pPr>
        <w:pStyle w:val="Notedebasdepage"/>
        <w:jc w:val="both"/>
      </w:pPr>
      <w:r>
        <w:rPr>
          <w:rStyle w:val="Appelnotedebasdep"/>
        </w:rPr>
        <w:footnoteRef/>
      </w:r>
      <w:r>
        <w:t xml:space="preserve"> </w:t>
      </w:r>
      <w:r w:rsidRPr="000E6F46">
        <w:rPr>
          <w:i/>
          <w:iCs/>
        </w:rPr>
        <w:t>Liste / catalogues de 6000 semences / variétés paysannes, converti en texte ASCII, par l'OCR ABBYY Finereader</w:t>
      </w:r>
      <w:r w:rsidRPr="000E6F46">
        <w:t xml:space="preserve">, </w:t>
      </w:r>
      <w:r w:rsidRPr="000E6F46">
        <w:tab/>
        <w:t xml:space="preserve">JFOM - J. &amp; G. Cardon, 2012, </w:t>
      </w:r>
      <w:hyperlink r:id="rId239" w:history="1">
        <w:r w:rsidRPr="00BE2ABF">
          <w:rPr>
            <w:rStyle w:val="Lienhypertexte"/>
          </w:rPr>
          <w:t>http://benjamin.lisan.free.fr/developpementdurable/catalogue-semences-paysannes_JFOM.pdf</w:t>
        </w:r>
      </w:hyperlink>
      <w:r>
        <w:t xml:space="preserve"> </w:t>
      </w:r>
    </w:p>
  </w:footnote>
  <w:footnote w:id="229">
    <w:p w14:paraId="641FC770" w14:textId="0E6D378F" w:rsidR="005E4260" w:rsidRPr="005E4260" w:rsidRDefault="005E4260">
      <w:pPr>
        <w:pStyle w:val="Notedebasdepage"/>
        <w:rPr>
          <w:lang w:val="en-GB"/>
        </w:rPr>
      </w:pPr>
      <w:r>
        <w:rPr>
          <w:rStyle w:val="Appelnotedebasdep"/>
        </w:rPr>
        <w:footnoteRef/>
      </w:r>
      <w:r w:rsidRPr="005E4260">
        <w:rPr>
          <w:lang w:val="en-GB"/>
        </w:rPr>
        <w:t xml:space="preserve"> </w:t>
      </w:r>
      <w:r w:rsidRPr="005E4260">
        <w:rPr>
          <w:i/>
          <w:iCs/>
          <w:lang w:val="en-GB"/>
        </w:rPr>
        <w:t>Dust bowl</w:t>
      </w:r>
      <w:r w:rsidRPr="005E4260">
        <w:rPr>
          <w:lang w:val="en-GB"/>
        </w:rPr>
        <w:t xml:space="preserve">, </w:t>
      </w:r>
      <w:hyperlink r:id="rId240" w:history="1">
        <w:r w:rsidRPr="009706D0">
          <w:rPr>
            <w:rStyle w:val="Lienhypertexte"/>
            <w:lang w:val="en-GB"/>
          </w:rPr>
          <w:t>https://fr.wikipedia.org/wiki/Dust_Bowl</w:t>
        </w:r>
      </w:hyperlink>
      <w:r>
        <w:rPr>
          <w:lang w:val="en-GB"/>
        </w:rPr>
        <w:t xml:space="preserve"> </w:t>
      </w:r>
    </w:p>
  </w:footnote>
  <w:footnote w:id="230">
    <w:p w14:paraId="3DFAA5B8" w14:textId="77777777" w:rsidR="00B835CA" w:rsidRDefault="00B835CA" w:rsidP="00B835CA">
      <w:pPr>
        <w:pStyle w:val="Notedebasdepage"/>
        <w:jc w:val="both"/>
      </w:pPr>
      <w:r>
        <w:rPr>
          <w:rStyle w:val="Appelnotedebasdep"/>
        </w:rPr>
        <w:footnoteRef/>
      </w:r>
      <w:r>
        <w:t xml:space="preserve"> </w:t>
      </w:r>
      <w:r w:rsidRPr="00646DD3">
        <w:t xml:space="preserve">Le principe de la régénération naturelle assistée est la sélection du </w:t>
      </w:r>
      <w:hyperlink r:id="rId241" w:history="1">
        <w:r w:rsidRPr="007366FA">
          <w:rPr>
            <w:rStyle w:val="Lienhypertexte"/>
            <w:rFonts w:ascii="Calibri" w:hAnsi="Calibri" w:cs="Calibri"/>
            <w:color w:val="0645AD"/>
            <w:shd w:val="clear" w:color="auto" w:fill="FFFFFF"/>
          </w:rPr>
          <w:t>rejet</w:t>
        </w:r>
      </w:hyperlink>
      <w:r w:rsidRPr="007366FA">
        <w:rPr>
          <w:rFonts w:ascii="Calibri" w:hAnsi="Calibri" w:cs="Calibri"/>
        </w:rPr>
        <w:t xml:space="preserve"> le</w:t>
      </w:r>
      <w:r w:rsidRPr="00646DD3">
        <w:t xml:space="preserve"> plus favorisé d'une souche. Les autres rejets sont ensuite coupés pour que la croissance s'intensifie dans le rejet restant, ce qui s'oppose à la pratique du </w:t>
      </w:r>
      <w:hyperlink r:id="rId242" w:tooltip="Taillis" w:history="1">
        <w:r w:rsidRPr="007366FA">
          <w:rPr>
            <w:rStyle w:val="Lienhypertexte"/>
            <w:rFonts w:ascii="Calibri" w:hAnsi="Calibri" w:cs="Calibri"/>
            <w:color w:val="0645AD"/>
            <w:sz w:val="22"/>
            <w:szCs w:val="22"/>
            <w:shd w:val="clear" w:color="auto" w:fill="FFFFFF"/>
          </w:rPr>
          <w:t>taillis</w:t>
        </w:r>
      </w:hyperlink>
      <w:r w:rsidRPr="007366FA">
        <w:rPr>
          <w:rFonts w:ascii="Calibri" w:hAnsi="Calibri" w:cs="Calibri"/>
          <w:color w:val="202122"/>
          <w:sz w:val="22"/>
          <w:szCs w:val="22"/>
          <w:shd w:val="clear" w:color="auto" w:fill="FFFFFF"/>
        </w:rPr>
        <w:t> </w:t>
      </w:r>
      <w:r w:rsidRPr="00646DD3">
        <w:t>dans laquelle de nombreux rejets sont conservés. La technique peut être utilisée sur des terres semi-arides aussi bien que sur des mangroves.</w:t>
      </w:r>
      <w:r>
        <w:t xml:space="preserve"> </w:t>
      </w:r>
    </w:p>
    <w:p w14:paraId="53B46493" w14:textId="77777777" w:rsidR="00B835CA" w:rsidRPr="007366FA" w:rsidRDefault="00B835CA" w:rsidP="00B835CA">
      <w:pPr>
        <w:pStyle w:val="Notedebasdepage"/>
        <w:jc w:val="both"/>
        <w:rPr>
          <w:lang w:val="en-GB"/>
        </w:rPr>
      </w:pPr>
      <w:r w:rsidRPr="007366FA">
        <w:rPr>
          <w:lang w:val="en-GB"/>
        </w:rPr>
        <w:t xml:space="preserve">Cf. </w:t>
      </w:r>
      <w:hyperlink r:id="rId243" w:history="1">
        <w:r w:rsidRPr="00EF4817">
          <w:rPr>
            <w:rStyle w:val="Lienhypertexte"/>
            <w:lang w:val="en-GB"/>
          </w:rPr>
          <w:t>https://fr.wikipedia.org/wiki/R%C3%A9g%C3%A9n%C3%A9ration_naturelle_assist%C3%A9e</w:t>
        </w:r>
      </w:hyperlink>
      <w:r>
        <w:rPr>
          <w:lang w:val="en-GB"/>
        </w:rPr>
        <w:t xml:space="preserve"> </w:t>
      </w:r>
    </w:p>
  </w:footnote>
  <w:footnote w:id="231">
    <w:p w14:paraId="4A834859" w14:textId="77777777" w:rsidR="00B835CA" w:rsidRDefault="00B835CA" w:rsidP="00B835CA">
      <w:pPr>
        <w:pStyle w:val="Notedebasdepage"/>
      </w:pPr>
      <w:r>
        <w:rPr>
          <w:rStyle w:val="Appelnotedebasdep"/>
        </w:rPr>
        <w:footnoteRef/>
      </w:r>
      <w:r>
        <w:t xml:space="preserve"> </w:t>
      </w:r>
      <w:r w:rsidRPr="007366FA">
        <w:t>Un jardin circulaire est un jardin conçu en forme de cercles concentriques, car cela améliorerait la rétention d'eau et le travail dans le sol des bactéries, champignons, micro-organismes et macro-organismes.</w:t>
      </w:r>
    </w:p>
  </w:footnote>
  <w:footnote w:id="232">
    <w:p w14:paraId="36CDFF49" w14:textId="0A51EFA0" w:rsidR="00007664" w:rsidRDefault="00007664" w:rsidP="00007664">
      <w:pPr>
        <w:pStyle w:val="Notedebasdepage"/>
        <w:jc w:val="both"/>
      </w:pPr>
      <w:r>
        <w:rPr>
          <w:rStyle w:val="Appelnotedebasdep"/>
        </w:rPr>
        <w:footnoteRef/>
      </w:r>
      <w:r>
        <w:t xml:space="preserve"> </w:t>
      </w:r>
      <w:r w:rsidR="00113030">
        <w:t>Rares sont les ONG étrangères continu</w:t>
      </w:r>
      <w:r w:rsidR="00603649">
        <w:t>a</w:t>
      </w:r>
      <w:r w:rsidR="00113030">
        <w:t>nt à travailler dans ces zones instables, à cause des risques d’enlèvement ou de meurtres perpétrés par les groupes terroristes. Mais l</w:t>
      </w:r>
      <w:r w:rsidRPr="00007664">
        <w:t xml:space="preserve">'ASBL africano-belge « </w:t>
      </w:r>
      <w:r w:rsidRPr="00007664">
        <w:rPr>
          <w:i/>
          <w:iCs/>
        </w:rPr>
        <w:t>Hommes et Terre</w:t>
      </w:r>
      <w:r w:rsidRPr="00007664">
        <w:t xml:space="preserve"> » continue à planter des arbres, pour lutter contre la désertification et ouvrir des terres pour le pâturage et l'agriculture, dans le Nord du Burkina Faso, malgré </w:t>
      </w:r>
      <w:r w:rsidR="00603649">
        <w:t xml:space="preserve">déjà </w:t>
      </w:r>
      <w:r w:rsidRPr="00007664">
        <w:t xml:space="preserve">deux victimes du terrorisme, </w:t>
      </w:r>
      <w:r>
        <w:t>dans</w:t>
      </w:r>
      <w:r w:rsidRPr="00007664">
        <w:t xml:space="preserve"> son personnel.</w:t>
      </w:r>
    </w:p>
  </w:footnote>
  <w:footnote w:id="233">
    <w:p w14:paraId="06651990" w14:textId="672927E3" w:rsidR="00D15FBB" w:rsidRDefault="00D15FBB">
      <w:pPr>
        <w:pStyle w:val="Notedebasdepage"/>
      </w:pPr>
      <w:r>
        <w:rPr>
          <w:rStyle w:val="Appelnotedebasdep"/>
        </w:rPr>
        <w:footnoteRef/>
      </w:r>
      <w:r w:rsidR="00943CCE">
        <w:t xml:space="preserve"> </w:t>
      </w:r>
      <w:r w:rsidR="00943CCE" w:rsidRPr="00943CCE">
        <w:rPr>
          <w:color w:val="000000" w:themeColor="text1"/>
        </w:rPr>
        <w:t>Des algues. Cf.</w:t>
      </w:r>
      <w:r w:rsidRPr="00943CCE">
        <w:rPr>
          <w:color w:val="000000" w:themeColor="text1"/>
        </w:rPr>
        <w:t xml:space="preserve"> </w:t>
      </w:r>
      <w:r w:rsidRPr="00943CCE">
        <w:rPr>
          <w:i/>
          <w:iCs/>
          <w:color w:val="000000" w:themeColor="text1"/>
        </w:rPr>
        <w:t>Spatial heterogeneity of cyanobacteria-inoculated sand dunes significantly influences artificial biological soil crusts in the Hopq Desert (China)</w:t>
      </w:r>
      <w:r w:rsidRPr="00943CCE">
        <w:rPr>
          <w:color w:val="000000" w:themeColor="text1"/>
        </w:rPr>
        <w:t xml:space="preserve"> [L'hétérogénéité spatiale des dunes de sable inoculées de cyanobactéries influence de manière significative les croûtes biologiques artificielles du sol dans le désert de Hopq (Chine)], Hua Li, Benqiang Rao, Gaohong Wang, Si Shen, Dunhai Li, Chunxiang Hu &amp; Yongding Li, </w:t>
      </w:r>
      <w:hyperlink r:id="rId244" w:history="1">
        <w:r w:rsidRPr="00FA53AD">
          <w:rPr>
            <w:rStyle w:val="Lienhypertexte"/>
            <w:rFonts w:ascii="Calibri" w:hAnsi="Calibri" w:cs="Calibri"/>
            <w:i/>
            <w:iCs/>
            <w:color w:val="004B83"/>
            <w:shd w:val="clear" w:color="auto" w:fill="FCFCFC"/>
          </w:rPr>
          <w:t>Environmental Earth Sciences</w:t>
        </w:r>
      </w:hyperlink>
      <w:r w:rsidRPr="00FA53AD">
        <w:rPr>
          <w:rFonts w:ascii="Calibri" w:hAnsi="Calibri" w:cs="Calibri"/>
          <w:color w:val="333333"/>
          <w:shd w:val="clear" w:color="auto" w:fill="FCFCFC"/>
        </w:rPr>
        <w:t> </w:t>
      </w:r>
      <w:r w:rsidRPr="00FA53AD">
        <w:rPr>
          <w:rStyle w:val="u-visually-hidden"/>
          <w:rFonts w:ascii="Calibri" w:hAnsi="Calibri" w:cs="Calibri"/>
          <w:b/>
          <w:bCs/>
          <w:color w:val="000000" w:themeColor="text1"/>
          <w:bdr w:val="none" w:sz="0" w:space="0" w:color="auto" w:frame="1"/>
          <w:shd w:val="clear" w:color="auto" w:fill="FCFCFC"/>
        </w:rPr>
        <w:t>volume</w:t>
      </w:r>
      <w:r w:rsidRPr="00FA53AD">
        <w:rPr>
          <w:rFonts w:ascii="Calibri" w:hAnsi="Calibri" w:cs="Calibri"/>
          <w:b/>
          <w:bCs/>
          <w:color w:val="000000" w:themeColor="text1"/>
          <w:shd w:val="clear" w:color="auto" w:fill="FCFCFC"/>
        </w:rPr>
        <w:t> 71</w:t>
      </w:r>
      <w:r w:rsidRPr="00FA53AD">
        <w:rPr>
          <w:rFonts w:ascii="Calibri" w:hAnsi="Calibri" w:cs="Calibri"/>
          <w:color w:val="000000" w:themeColor="text1"/>
          <w:shd w:val="clear" w:color="auto" w:fill="FCFCFC"/>
        </w:rPr>
        <w:t>, </w:t>
      </w:r>
      <w:r w:rsidRPr="00FA53AD">
        <w:rPr>
          <w:rStyle w:val="u-visually-hidden"/>
          <w:rFonts w:ascii="Calibri" w:hAnsi="Calibri" w:cs="Calibri"/>
          <w:color w:val="000000" w:themeColor="text1"/>
          <w:bdr w:val="none" w:sz="0" w:space="0" w:color="auto" w:frame="1"/>
          <w:shd w:val="clear" w:color="auto" w:fill="FCFCFC"/>
        </w:rPr>
        <w:t>pages</w:t>
      </w:r>
      <w:r w:rsidRPr="00FA53AD">
        <w:rPr>
          <w:rFonts w:ascii="Calibri" w:hAnsi="Calibri" w:cs="Calibri"/>
          <w:color w:val="000000" w:themeColor="text1"/>
          <w:shd w:val="clear" w:color="auto" w:fill="FCFCFC"/>
        </w:rPr>
        <w:t>245–253 (2014), 544</w:t>
      </w:r>
      <w:r>
        <w:t xml:space="preserve">, </w:t>
      </w:r>
      <w:hyperlink r:id="rId245" w:history="1">
        <w:r w:rsidRPr="00896786">
          <w:rPr>
            <w:rStyle w:val="Lienhypertexte"/>
          </w:rPr>
          <w:t>https://link.springer.com/article/10.1007/s12665-013-2428-6</w:t>
        </w:r>
      </w:hyperlink>
      <w:r>
        <w:t xml:space="preserve"> </w:t>
      </w:r>
    </w:p>
  </w:footnote>
  <w:footnote w:id="234">
    <w:p w14:paraId="1B951D74" w14:textId="6ADF0058" w:rsidR="00FB7871" w:rsidRDefault="00FB7871">
      <w:pPr>
        <w:pStyle w:val="Notedebasdepage"/>
      </w:pPr>
      <w:r>
        <w:rPr>
          <w:rStyle w:val="Appelnotedebasdep"/>
        </w:rPr>
        <w:footnoteRef/>
      </w:r>
      <w:r>
        <w:t xml:space="preserve"> </w:t>
      </w:r>
      <w:r w:rsidRPr="00FB7871">
        <w:rPr>
          <w:i/>
          <w:iCs/>
        </w:rPr>
        <w:t>L'expérience chinoise dans le contrôle du désert aide à verdir le monde</w:t>
      </w:r>
      <w:r w:rsidRPr="00FB7871">
        <w:t xml:space="preserve">, Xinhua, 2021-06-17, </w:t>
      </w:r>
      <w:hyperlink r:id="rId246" w:history="1">
        <w:r w:rsidRPr="00896786">
          <w:rPr>
            <w:rStyle w:val="Lienhypertexte"/>
          </w:rPr>
          <w:t>http://www.xinhuanet.com/english/2021-06/17/c_1310013978.htm</w:t>
        </w:r>
      </w:hyperlink>
      <w:r>
        <w:t xml:space="preserve"> </w:t>
      </w:r>
    </w:p>
  </w:footnote>
  <w:footnote w:id="235">
    <w:p w14:paraId="0DD09D44" w14:textId="6EAB0DD0" w:rsidR="002A0E06" w:rsidRDefault="002A0E06" w:rsidP="002A0E06">
      <w:pPr>
        <w:pStyle w:val="Notedebasdepage"/>
        <w:jc w:val="both"/>
      </w:pPr>
      <w:r>
        <w:rPr>
          <w:rStyle w:val="Appelnotedebasdep"/>
        </w:rPr>
        <w:footnoteRef/>
      </w:r>
      <w:r>
        <w:t xml:space="preserve"> </w:t>
      </w:r>
      <w:r w:rsidRPr="002A0E06">
        <w:rPr>
          <w:i/>
          <w:iCs/>
        </w:rPr>
        <w:t>En Turquie, 11 millions d'arbres plantés cet automne sont déjà presque tous morts</w:t>
      </w:r>
      <w:r w:rsidRPr="002A0E06">
        <w:t xml:space="preserve">, Léia Santacroce, 03/02/2020, </w:t>
      </w:r>
      <w:hyperlink r:id="rId247" w:history="1">
        <w:r w:rsidRPr="00896786">
          <w:rPr>
            <w:rStyle w:val="Lienhypertexte"/>
          </w:rPr>
          <w:t>https://www.geo.fr/environnement/en-turquie-11-millions-darbres-plantes-cet-automne-sont-deja-presque-tous-morts-199734</w:t>
        </w:r>
      </w:hyperlink>
      <w:r>
        <w:t xml:space="preserve"> </w:t>
      </w:r>
    </w:p>
  </w:footnote>
  <w:footnote w:id="236">
    <w:p w14:paraId="6D3329E7" w14:textId="6BFB86D8" w:rsidR="00BE08F8" w:rsidRDefault="00BE08F8">
      <w:pPr>
        <w:pStyle w:val="Notedebasdepage"/>
      </w:pPr>
      <w:r>
        <w:rPr>
          <w:rStyle w:val="Appelnotedebasdep"/>
        </w:rPr>
        <w:footnoteRef/>
      </w:r>
      <w:r>
        <w:t xml:space="preserve"> </w:t>
      </w:r>
      <w:r w:rsidRPr="00BE08F8">
        <w:rPr>
          <w:i/>
          <w:iCs/>
        </w:rPr>
        <w:t>Reforestation. La grande illusion</w:t>
      </w:r>
      <w:r>
        <w:t>. Revue Epsioon, août 2021, Ibid.</w:t>
      </w:r>
    </w:p>
  </w:footnote>
  <w:footnote w:id="237">
    <w:p w14:paraId="17AFD6EB" w14:textId="77777777" w:rsidR="00F762EF" w:rsidRDefault="00F762EF" w:rsidP="00F762EF">
      <w:pPr>
        <w:pStyle w:val="Notedebasdepage"/>
      </w:pPr>
      <w:r>
        <w:rPr>
          <w:rStyle w:val="Appelnotedebasdep"/>
        </w:rPr>
        <w:footnoteRef/>
      </w:r>
      <w:r>
        <w:t xml:space="preserve"> </w:t>
      </w:r>
      <w:r w:rsidRPr="00DF1F02">
        <w:rPr>
          <w:i/>
          <w:iCs/>
        </w:rPr>
        <w:t>L'Afrique subsaharienne : Une géographie du changement</w:t>
      </w:r>
      <w:r w:rsidRPr="00DF1F02">
        <w:t>, Alain Dubresson, Sophie Moreau, Jean-Pierre Raison, Jean-Fabien Steck, Armand Colin, 2011.</w:t>
      </w:r>
    </w:p>
  </w:footnote>
  <w:footnote w:id="238">
    <w:p w14:paraId="11EFFA3A" w14:textId="3FDE71BE" w:rsidR="008406AB" w:rsidRDefault="008406AB">
      <w:pPr>
        <w:pStyle w:val="Notedebasdepage"/>
      </w:pPr>
      <w:r>
        <w:rPr>
          <w:rStyle w:val="Appelnotedebasdep"/>
        </w:rPr>
        <w:footnoteRef/>
      </w:r>
      <w:r>
        <w:t xml:space="preserve"> </w:t>
      </w:r>
      <w:r w:rsidRPr="008406AB">
        <w:rPr>
          <w:i/>
          <w:iCs/>
        </w:rPr>
        <w:t>G5 Sahel : une région prometteuse ?</w:t>
      </w:r>
      <w:r w:rsidRPr="008406AB">
        <w:t xml:space="preserve"> 15/01/2020, </w:t>
      </w:r>
      <w:hyperlink r:id="rId248" w:history="1">
        <w:r w:rsidRPr="00EE60B2">
          <w:rPr>
            <w:rStyle w:val="Lienhypertexte"/>
          </w:rPr>
          <w:t>https://issafrica.org/fr/iss-today/g5-sahel-une-region-prometteuse</w:t>
        </w:r>
      </w:hyperlink>
      <w:r>
        <w:t xml:space="preserve"> </w:t>
      </w:r>
    </w:p>
  </w:footnote>
  <w:footnote w:id="239">
    <w:p w14:paraId="74752094" w14:textId="0C7FC9C9" w:rsidR="00761AC5" w:rsidRPr="00272EF6" w:rsidRDefault="00761AC5" w:rsidP="00761AC5">
      <w:pPr>
        <w:pStyle w:val="Notedebasdepage"/>
        <w:jc w:val="both"/>
      </w:pPr>
      <w:r>
        <w:rPr>
          <w:rStyle w:val="Appelnotedebasdep"/>
        </w:rPr>
        <w:footnoteRef/>
      </w:r>
      <w:r>
        <w:t xml:space="preserve"> </w:t>
      </w:r>
      <w:r w:rsidRPr="00761AC5">
        <w:t>Une enquête des Nations unies datant de 2012 rapporte que plus de la moitié des filles au Malawi étaient mariées avant leurs 18 ans pour rapporter de l'argent à leur famille.</w:t>
      </w:r>
      <w:r>
        <w:t xml:space="preserve"> </w:t>
      </w:r>
      <w:r w:rsidRPr="00761AC5">
        <w:t>Theresa Kachindamoto, une cheffe traditionnelle au Malawi, connue pour son militantisme pour l'éducation des filles et des garçons et pour sa lutte contre les mariages précoces</w:t>
      </w:r>
      <w:r>
        <w:t>,</w:t>
      </w:r>
      <w:r w:rsidRPr="00761AC5">
        <w:t xml:space="preserve"> a fait annuler 850 mariages précoces dont plus de 300 dans son district, gagnant ainsi une renommée internationale. Ayant milité pour que l'interdiction du mariage précoce soit écrit dans le code civil, elle a obtenu, en 2015, que le Malawi fasse passer une loi interdisant le mariage avant l'âge de 18 ans.</w:t>
      </w:r>
      <w:r>
        <w:t xml:space="preserve"> </w:t>
      </w:r>
      <w:r w:rsidRPr="00272EF6">
        <w:t xml:space="preserve">Cf. </w:t>
      </w:r>
      <w:r w:rsidRPr="00272EF6">
        <w:rPr>
          <w:i/>
          <w:iCs/>
        </w:rPr>
        <w:t>Theresa Kachindamoto</w:t>
      </w:r>
      <w:r w:rsidRPr="00272EF6">
        <w:t xml:space="preserve">, </w:t>
      </w:r>
      <w:hyperlink r:id="rId249" w:history="1">
        <w:r w:rsidRPr="00272EF6">
          <w:rPr>
            <w:rStyle w:val="Lienhypertexte"/>
          </w:rPr>
          <w:t>https://fr.wikipedia.org/wiki/Theresa_Kachindamoto</w:t>
        </w:r>
      </w:hyperlink>
      <w:r w:rsidRPr="00272EF6">
        <w:t xml:space="preserve"> </w:t>
      </w:r>
    </w:p>
  </w:footnote>
  <w:footnote w:id="240">
    <w:p w14:paraId="4CBB489B" w14:textId="77777777" w:rsidR="00516D97" w:rsidRDefault="00516D97" w:rsidP="00516D97">
      <w:pPr>
        <w:pStyle w:val="Notedebasdepage"/>
        <w:jc w:val="both"/>
      </w:pPr>
      <w:r>
        <w:rPr>
          <w:rStyle w:val="Appelnotedebasdep"/>
        </w:rPr>
        <w:footnoteRef/>
      </w:r>
      <w:r>
        <w:t xml:space="preserve"> On s’en prend à un objet de détestation de substitution parce qu’on se trouve dans l’impossibilité de s’en prendre à la vraie cause de sa blessure (ou de sa souffrance). C’est le rôle d’un bouc émissaire (un objet sur lequel on peut décharger sa frustration, son désir de vengeance).</w:t>
      </w:r>
    </w:p>
  </w:footnote>
  <w:footnote w:id="241">
    <w:p w14:paraId="47DD509B" w14:textId="77777777" w:rsidR="00516D97" w:rsidRDefault="00516D97" w:rsidP="00516D97">
      <w:pPr>
        <w:pStyle w:val="Notedebasdepage"/>
      </w:pPr>
      <w:r>
        <w:rPr>
          <w:rStyle w:val="Appelnotedebasdep"/>
        </w:rPr>
        <w:footnoteRef/>
      </w:r>
      <w:r>
        <w:t xml:space="preserve"> « </w:t>
      </w:r>
      <w:r w:rsidRPr="00B3515B">
        <w:rPr>
          <w:i/>
          <w:iCs/>
        </w:rPr>
        <w:t>On sait à quel moment on va commencer une guerre, on ne sait jamais à quel moment, on va la terminer</w:t>
      </w:r>
      <w:r>
        <w:t> »</w:t>
      </w:r>
      <w:r w:rsidRPr="00B3515B">
        <w:t>.</w:t>
      </w:r>
    </w:p>
  </w:footnote>
  <w:footnote w:id="242">
    <w:p w14:paraId="106A1A8F" w14:textId="77777777" w:rsidR="00516D97" w:rsidRDefault="00516D97" w:rsidP="00516D97">
      <w:pPr>
        <w:pStyle w:val="Notedebasdepage"/>
      </w:pPr>
      <w:r>
        <w:rPr>
          <w:rStyle w:val="Appelnotedebasdep"/>
        </w:rPr>
        <w:footnoteRef/>
      </w:r>
      <w:r>
        <w:t xml:space="preserve"> </w:t>
      </w:r>
      <w:r w:rsidRPr="003E1F74">
        <w:rPr>
          <w:i/>
          <w:iCs/>
        </w:rPr>
        <w:t>Algérie-Maroc : le dangereux rêve d’une guerre</w:t>
      </w:r>
      <w:r w:rsidRPr="003E1F74">
        <w:t xml:space="preserve">, Kamel Daoud, 09-09-2021, </w:t>
      </w:r>
      <w:hyperlink r:id="rId250" w:history="1">
        <w:r w:rsidRPr="00471344">
          <w:rPr>
            <w:rStyle w:val="Lienhypertexte"/>
          </w:rPr>
          <w:t>https://www.liberte-algerie.com/actualite/algerie-maroc-le-dangereux-reve-dune-guerre-364706</w:t>
        </w:r>
      </w:hyperlink>
      <w:r>
        <w:t xml:space="preserve"> </w:t>
      </w:r>
    </w:p>
  </w:footnote>
  <w:footnote w:id="243">
    <w:p w14:paraId="5189A808" w14:textId="77777777" w:rsidR="00516D97" w:rsidRDefault="00516D97" w:rsidP="00516D97">
      <w:pPr>
        <w:pStyle w:val="Notedebasdepage"/>
        <w:jc w:val="both"/>
      </w:pPr>
      <w:r>
        <w:rPr>
          <w:rStyle w:val="Appelnotedebasdep"/>
        </w:rPr>
        <w:footnoteRef/>
      </w:r>
      <w:r>
        <w:t xml:space="preserve"> « </w:t>
      </w:r>
      <w:r w:rsidRPr="00B3515B">
        <w:rPr>
          <w:i/>
          <w:iCs/>
        </w:rPr>
        <w:t>La guerre, un massacre de gens qui ne se connaissent pas, au profit de gens qui se connaissent mais ne se massacrent pas</w:t>
      </w:r>
      <w:r>
        <w:t> »,</w:t>
      </w:r>
      <w:r w:rsidRPr="00B3515B">
        <w:t xml:space="preserve"> Paul Valéry</w:t>
      </w:r>
    </w:p>
  </w:footnote>
  <w:footnote w:id="244">
    <w:p w14:paraId="7978491A" w14:textId="77777777" w:rsidR="009C7F63" w:rsidRDefault="009C7F63" w:rsidP="009C7F63">
      <w:pPr>
        <w:pStyle w:val="Notedebasdepage"/>
      </w:pPr>
      <w:r>
        <w:rPr>
          <w:rStyle w:val="Appelnotedebasdep"/>
        </w:rPr>
        <w:footnoteRef/>
      </w:r>
      <w:r>
        <w:t xml:space="preserve"> </w:t>
      </w:r>
      <w:r w:rsidRPr="009C7F63">
        <w:rPr>
          <w:i/>
          <w:iCs/>
        </w:rPr>
        <w:t>Violence extrême</w:t>
      </w:r>
      <w:r w:rsidRPr="009C7F63">
        <w:t xml:space="preserve">, </w:t>
      </w:r>
      <w:hyperlink r:id="rId251" w:history="1">
        <w:r w:rsidRPr="00890890">
          <w:rPr>
            <w:rStyle w:val="Lienhypertexte"/>
          </w:rPr>
          <w:t>https://fr.wikipedia.org/wiki/Violence_extr%C3%AAme</w:t>
        </w:r>
      </w:hyperlink>
      <w:r>
        <w:t xml:space="preserve"> </w:t>
      </w:r>
    </w:p>
  </w:footnote>
  <w:footnote w:id="245">
    <w:p w14:paraId="377E920C" w14:textId="77777777" w:rsidR="003F794C" w:rsidRDefault="00516D97" w:rsidP="00516D97">
      <w:pPr>
        <w:pStyle w:val="Notedebasdepage"/>
        <w:jc w:val="both"/>
        <w:rPr>
          <w:i/>
          <w:iCs/>
        </w:rPr>
      </w:pPr>
      <w:r>
        <w:rPr>
          <w:rStyle w:val="Appelnotedebasdep"/>
        </w:rPr>
        <w:footnoteRef/>
      </w:r>
      <w:r>
        <w:t xml:space="preserve"> L’exemple des massacres d'août 1955 dans le Constantinois, dits également massacres de Philippeville</w:t>
      </w:r>
      <w:r w:rsidR="003F794C">
        <w:t xml:space="preserve">, </w:t>
      </w:r>
      <w:r>
        <w:t>Algérie :</w:t>
      </w:r>
      <w:r w:rsidR="00FB5ED3">
        <w:t xml:space="preserve"> « </w:t>
      </w:r>
      <w:r w:rsidRPr="00FB5ED3">
        <w:rPr>
          <w:i/>
          <w:iCs/>
        </w:rPr>
        <w:t xml:space="preserve">Ces massacres étaient perpétrés d'un côté contre les populations civiles d'origine européenne, et musulmanes loyalistes, ainsi que contre des notables musulmans modérés signataires d'un appel condamnant « toute violence d’où qu’elle vienne ». </w:t>
      </w:r>
    </w:p>
    <w:p w14:paraId="0D71EEFF" w14:textId="77777777" w:rsidR="003F794C" w:rsidRDefault="00516D97" w:rsidP="00516D97">
      <w:pPr>
        <w:pStyle w:val="Notedebasdepage"/>
        <w:jc w:val="both"/>
        <w:rPr>
          <w:i/>
          <w:iCs/>
        </w:rPr>
      </w:pPr>
      <w:r w:rsidRPr="00FB5ED3">
        <w:rPr>
          <w:i/>
          <w:iCs/>
        </w:rPr>
        <w:t>De l'autre côté, les tueries commises contre la population musulmane étaient aveugles et ne faisaient aucune distinction : des modérés furent ainsi victimes de la répression. L'indignation suscitée par ces massacres de civils a attiré l'attention de l'opinion internationale sur le combat algérien pour l'indépendance ; c'était justement l'un des buts poursuivis par le FLN, qui voulait par ailleurs semer la peur dans les rangs de l'ennemi, des colons et de leurs auxiliaires musulmans.</w:t>
      </w:r>
      <w:r w:rsidR="00FB5ED3" w:rsidRPr="00FB5ED3">
        <w:rPr>
          <w:i/>
          <w:iCs/>
        </w:rPr>
        <w:t xml:space="preserve"> </w:t>
      </w:r>
    </w:p>
    <w:p w14:paraId="50398BE2" w14:textId="0DB5AB1B" w:rsidR="003F794C" w:rsidRDefault="00516D97" w:rsidP="00516D97">
      <w:pPr>
        <w:pStyle w:val="Notedebasdepage"/>
        <w:jc w:val="both"/>
        <w:rPr>
          <w:i/>
          <w:iCs/>
        </w:rPr>
      </w:pPr>
      <w:r w:rsidRPr="00FB5ED3">
        <w:rPr>
          <w:i/>
          <w:iCs/>
        </w:rPr>
        <w:t xml:space="preserve">Même les enfants étaient tués, mutilés. </w:t>
      </w:r>
    </w:p>
    <w:p w14:paraId="12DB6C7E" w14:textId="21FBB41D" w:rsidR="00516D97" w:rsidRDefault="00516D97" w:rsidP="00516D97">
      <w:pPr>
        <w:pStyle w:val="Notedebasdepage"/>
        <w:jc w:val="both"/>
      </w:pPr>
      <w:r w:rsidRPr="00FB5ED3">
        <w:rPr>
          <w:i/>
          <w:iCs/>
        </w:rPr>
        <w:t>Les attaquant du FLN éventraient, coupaient les pénis et les mettaient dans les bouches de leurs victime</w:t>
      </w:r>
      <w:r>
        <w:t>s</w:t>
      </w:r>
      <w:r w:rsidR="00FB5ED3">
        <w:t> » (Source Wikipedia)</w:t>
      </w:r>
      <w:r>
        <w:t>.</w:t>
      </w:r>
    </w:p>
  </w:footnote>
  <w:footnote w:id="246">
    <w:p w14:paraId="06DDE02A" w14:textId="77777777" w:rsidR="00516D97" w:rsidRDefault="00516D97" w:rsidP="00516D97">
      <w:pPr>
        <w:pStyle w:val="Notedebasdepage"/>
        <w:jc w:val="both"/>
      </w:pPr>
      <w:r>
        <w:rPr>
          <w:rStyle w:val="Appelnotedebasdep"/>
        </w:rPr>
        <w:footnoteRef/>
      </w:r>
      <w:r>
        <w:t xml:space="preserve"> </w:t>
      </w:r>
      <w:r w:rsidRPr="00860085">
        <w:rPr>
          <w:i/>
          <w:iCs/>
        </w:rPr>
        <w:t>Les sept piliers de la sagesse</w:t>
      </w:r>
      <w:r>
        <w:t xml:space="preserve">, </w:t>
      </w:r>
      <w:r w:rsidRPr="00860085">
        <w:t>Thomas Edward Lawrence</w:t>
      </w:r>
      <w:r>
        <w:t>, 1922.</w:t>
      </w:r>
    </w:p>
  </w:footnote>
  <w:footnote w:id="247">
    <w:p w14:paraId="26911C23" w14:textId="16EF6F7F" w:rsidR="00F33120" w:rsidRPr="00F33120" w:rsidRDefault="00F33120">
      <w:pPr>
        <w:pStyle w:val="Notedebasdepage"/>
        <w:rPr>
          <w:lang w:val="en-GB"/>
        </w:rPr>
      </w:pPr>
      <w:r>
        <w:rPr>
          <w:rStyle w:val="Appelnotedebasdep"/>
        </w:rPr>
        <w:footnoteRef/>
      </w:r>
      <w:r w:rsidRPr="00F33120">
        <w:rPr>
          <w:lang w:val="en-GB"/>
        </w:rPr>
        <w:t xml:space="preserve"> Cf. </w:t>
      </w:r>
      <w:hyperlink r:id="rId252" w:history="1">
        <w:r w:rsidRPr="00093C6F">
          <w:rPr>
            <w:rStyle w:val="Lienhypertexte"/>
            <w:lang w:val="en-GB"/>
          </w:rPr>
          <w:t>https://seawatergreenhouse.com/work-in-progress</w:t>
        </w:r>
      </w:hyperlink>
      <w:r>
        <w:rPr>
          <w:lang w:val="en-GB"/>
        </w:rPr>
        <w:t xml:space="preserve"> </w:t>
      </w:r>
    </w:p>
  </w:footnote>
  <w:footnote w:id="248">
    <w:p w14:paraId="185FCFBA" w14:textId="50A7D740" w:rsidR="00B800BB" w:rsidRDefault="00B800BB">
      <w:pPr>
        <w:pStyle w:val="Notedebasdepage"/>
      </w:pPr>
      <w:r>
        <w:rPr>
          <w:rStyle w:val="Appelnotedebasdep"/>
        </w:rPr>
        <w:footnoteRef/>
      </w:r>
      <w:r>
        <w:t xml:space="preserve"> </w:t>
      </w:r>
      <w:r w:rsidRPr="00B800BB">
        <w:rPr>
          <w:i/>
          <w:iCs/>
        </w:rPr>
        <w:t>Burkina Faso : Aperçu de la situation humanitaire (Au 26 Juillet 2021),</w:t>
      </w:r>
      <w:r w:rsidRPr="00B800BB">
        <w:t xml:space="preserve"> OCHA, 27 Jul 2021, </w:t>
      </w:r>
      <w:hyperlink r:id="rId253" w:history="1">
        <w:r w:rsidRPr="00EE60B2">
          <w:rPr>
            <w:rStyle w:val="Lienhypertexte"/>
          </w:rPr>
          <w:t>https://reliefweb.int/report/burkina-faso/burkina-faso-aper-u-de-la-situation-humanitaire-au-26-juillet-2021</w:t>
        </w:r>
      </w:hyperlink>
      <w:r>
        <w:t xml:space="preserve"> </w:t>
      </w:r>
    </w:p>
  </w:footnote>
  <w:footnote w:id="249">
    <w:p w14:paraId="6D103235" w14:textId="71EAD561" w:rsidR="00B800BB" w:rsidRDefault="00B800BB">
      <w:pPr>
        <w:pStyle w:val="Notedebasdepage"/>
      </w:pPr>
      <w:r>
        <w:rPr>
          <w:rStyle w:val="Appelnotedebasdep"/>
        </w:rPr>
        <w:footnoteRef/>
      </w:r>
      <w:r>
        <w:t xml:space="preserve"> </w:t>
      </w:r>
      <w:r w:rsidRPr="00B800BB">
        <w:rPr>
          <w:i/>
          <w:iCs/>
        </w:rPr>
        <w:t>Tchad Rapport de situation</w:t>
      </w:r>
      <w:r w:rsidRPr="00B800BB">
        <w:t xml:space="preserve">, 8 juil. 2021, OCHA, 8 Jul 2021, </w:t>
      </w:r>
      <w:hyperlink r:id="rId254" w:history="1">
        <w:r w:rsidRPr="00EE60B2">
          <w:rPr>
            <w:rStyle w:val="Lienhypertexte"/>
          </w:rPr>
          <w:t>https://reliefweb.int/report/chad/tchad-rapport-de-situation-8-juil-2021</w:t>
        </w:r>
      </w:hyperlink>
      <w:r>
        <w:t xml:space="preserve"> </w:t>
      </w:r>
    </w:p>
  </w:footnote>
  <w:footnote w:id="250">
    <w:p w14:paraId="22D5033B" w14:textId="49F9E978" w:rsidR="00B800BB" w:rsidRDefault="00B800BB">
      <w:pPr>
        <w:pStyle w:val="Notedebasdepage"/>
      </w:pPr>
      <w:r>
        <w:rPr>
          <w:rStyle w:val="Appelnotedebasdep"/>
        </w:rPr>
        <w:footnoteRef/>
      </w:r>
      <w:r>
        <w:t xml:space="preserve"> </w:t>
      </w:r>
      <w:r w:rsidRPr="00B800BB">
        <w:rPr>
          <w:i/>
          <w:iCs/>
        </w:rPr>
        <w:t>Mali — Rapport sur les déplacements (JUILLET 2021),</w:t>
      </w:r>
      <w:r w:rsidRPr="00B800BB">
        <w:t xml:space="preserve"> 02 sept. 2021, </w:t>
      </w:r>
      <w:hyperlink r:id="rId255" w:history="1">
        <w:r w:rsidRPr="00EE60B2">
          <w:rPr>
            <w:rStyle w:val="Lienhypertexte"/>
          </w:rPr>
          <w:t>https://dtm.iom.int/reports/mali-%E2%80%94-rapport-sur-les-d%C3%A9placements-juillet-2021</w:t>
        </w:r>
      </w:hyperlink>
      <w:r>
        <w:t xml:space="preserve"> </w:t>
      </w:r>
    </w:p>
  </w:footnote>
  <w:footnote w:id="251">
    <w:p w14:paraId="37E77A1E" w14:textId="36A3965B" w:rsidR="00F02398" w:rsidRDefault="00F02398">
      <w:pPr>
        <w:pStyle w:val="Notedebasdepage"/>
      </w:pPr>
      <w:r>
        <w:rPr>
          <w:rStyle w:val="Appelnotedebasdep"/>
        </w:rPr>
        <w:footnoteRef/>
      </w:r>
      <w:r>
        <w:t xml:space="preserve"> </w:t>
      </w:r>
      <w:r w:rsidRPr="00F02398">
        <w:rPr>
          <w:i/>
          <w:iCs/>
        </w:rPr>
        <w:t>Niger. Rapport de situation</w:t>
      </w:r>
      <w:r w:rsidRPr="00F02398">
        <w:t xml:space="preserve">, UN OCHA, 25 août 2021, </w:t>
      </w:r>
      <w:hyperlink r:id="rId256" w:history="1">
        <w:r w:rsidRPr="00EE60B2">
          <w:rPr>
            <w:rStyle w:val="Lienhypertexte"/>
          </w:rPr>
          <w:t>https://reports.unocha.org/fr/country/niger</w:t>
        </w:r>
      </w:hyperlink>
      <w:r>
        <w:t xml:space="preserve"> </w:t>
      </w:r>
    </w:p>
  </w:footnote>
  <w:footnote w:id="252">
    <w:p w14:paraId="1A078C79" w14:textId="6157CB38" w:rsidR="00F02398" w:rsidRDefault="00F02398">
      <w:pPr>
        <w:pStyle w:val="Notedebasdepage"/>
      </w:pPr>
      <w:r>
        <w:rPr>
          <w:rStyle w:val="Appelnotedebasdep"/>
        </w:rPr>
        <w:footnoteRef/>
      </w:r>
      <w:r>
        <w:t xml:space="preserve"> </w:t>
      </w:r>
      <w:r w:rsidRPr="00F02398">
        <w:rPr>
          <w:i/>
          <w:iCs/>
        </w:rPr>
        <w:t>Crise au Sahel. R4Sahel. Plateforme de coordination des déplacements forcés au Sahel</w:t>
      </w:r>
      <w:r w:rsidRPr="00F02398">
        <w:t xml:space="preserve">, 31/08/2021, </w:t>
      </w:r>
      <w:hyperlink r:id="rId257" w:history="1">
        <w:r w:rsidRPr="00EE60B2">
          <w:rPr>
            <w:rStyle w:val="Lienhypertexte"/>
          </w:rPr>
          <w:t>https://data2.unhcr.org/fr/situations/sahelcrisis</w:t>
        </w:r>
      </w:hyperlink>
      <w:r>
        <w:t xml:space="preserve"> </w:t>
      </w:r>
    </w:p>
  </w:footnote>
  <w:footnote w:id="253">
    <w:p w14:paraId="55AB09E0" w14:textId="4037763D" w:rsidR="0044291A" w:rsidRDefault="0044291A">
      <w:pPr>
        <w:pStyle w:val="Notedebasdepage"/>
      </w:pPr>
      <w:r>
        <w:rPr>
          <w:rStyle w:val="Appelnotedebasdep"/>
        </w:rPr>
        <w:footnoteRef/>
      </w:r>
      <w:r>
        <w:t xml:space="preserve"> </w:t>
      </w:r>
      <w:r w:rsidRPr="0044291A">
        <w:rPr>
          <w:i/>
          <w:iCs/>
        </w:rPr>
        <w:t>Accaparement des terres</w:t>
      </w:r>
      <w:r w:rsidRPr="0044291A">
        <w:t xml:space="preserve">, </w:t>
      </w:r>
      <w:hyperlink r:id="rId258" w:history="1">
        <w:r w:rsidRPr="005F3F9F">
          <w:rPr>
            <w:rStyle w:val="Lienhypertexte"/>
          </w:rPr>
          <w:t>https://fr.wikipedia.org/wiki/Accaparement_des_terres</w:t>
        </w:r>
      </w:hyperlink>
      <w:r>
        <w:t xml:space="preserve"> </w:t>
      </w:r>
    </w:p>
  </w:footnote>
  <w:footnote w:id="254">
    <w:p w14:paraId="40331EF3" w14:textId="450575A3" w:rsidR="00573747" w:rsidRPr="00573747" w:rsidRDefault="00573747" w:rsidP="00573747">
      <w:pPr>
        <w:pStyle w:val="Notedebasdepage"/>
        <w:jc w:val="both"/>
        <w:rPr>
          <w:sz w:val="22"/>
          <w:szCs w:val="22"/>
        </w:rPr>
      </w:pPr>
      <w:r w:rsidRPr="00573747">
        <w:rPr>
          <w:rStyle w:val="Appelnotedebasdep"/>
          <w:sz w:val="22"/>
          <w:szCs w:val="22"/>
        </w:rPr>
        <w:footnoteRef/>
      </w:r>
      <w:r w:rsidRPr="00573747">
        <w:rPr>
          <w:sz w:val="22"/>
          <w:szCs w:val="22"/>
        </w:rPr>
        <w:t xml:space="preserve"> </w:t>
      </w:r>
      <w:r w:rsidRPr="00DE1B62">
        <w:rPr>
          <w:rFonts w:ascii="Calibri" w:hAnsi="Calibri" w:cs="Calibri"/>
          <w:color w:val="000000" w:themeColor="text1"/>
          <w:shd w:val="clear" w:color="auto" w:fill="FFFFFF"/>
        </w:rPr>
        <w:t>Expression de la ministre sud-africaine de l'agriculture, </w:t>
      </w:r>
      <w:hyperlink r:id="rId259" w:tooltip="Tina Joemat-Pettersson" w:history="1">
        <w:r w:rsidRPr="00DE1B62">
          <w:rPr>
            <w:rStyle w:val="Lienhypertexte"/>
            <w:rFonts w:ascii="Calibri" w:hAnsi="Calibri" w:cs="Calibri"/>
            <w:color w:val="0645AD"/>
            <w:u w:val="none"/>
            <w:shd w:val="clear" w:color="auto" w:fill="FFFFFF"/>
          </w:rPr>
          <w:t>Tina Joemat-Pettersson</w:t>
        </w:r>
      </w:hyperlink>
      <w:r w:rsidRPr="00DE1B62">
        <w:rPr>
          <w:rFonts w:ascii="Calibri" w:hAnsi="Calibri" w:cs="Calibri"/>
          <w:color w:val="202122"/>
          <w:shd w:val="clear" w:color="auto" w:fill="FFFFFF"/>
        </w:rPr>
        <w:t xml:space="preserve">, </w:t>
      </w:r>
      <w:r w:rsidRPr="00DE1B62">
        <w:rPr>
          <w:rFonts w:ascii="Calibri" w:hAnsi="Calibri" w:cs="Calibri"/>
          <w:color w:val="000000" w:themeColor="text1"/>
          <w:shd w:val="clear" w:color="auto" w:fill="FFFFFF"/>
        </w:rPr>
        <w:t>pour souligner que ce phénomène est un héritage direct du </w:t>
      </w:r>
      <w:hyperlink r:id="rId260" w:tooltip="Colonialisme" w:history="1">
        <w:r w:rsidRPr="00DE1B62">
          <w:rPr>
            <w:rStyle w:val="Lienhypertexte"/>
            <w:rFonts w:ascii="Calibri" w:hAnsi="Calibri" w:cs="Calibri"/>
            <w:color w:val="0645AD"/>
            <w:u w:val="none"/>
            <w:shd w:val="clear" w:color="auto" w:fill="FFFFFF"/>
          </w:rPr>
          <w:t>colonialisme</w:t>
        </w:r>
      </w:hyperlink>
      <w:r w:rsidRPr="00DE1B62">
        <w:rPr>
          <w:rFonts w:ascii="Calibri" w:hAnsi="Calibri" w:cs="Calibri"/>
        </w:rPr>
        <w:t>.</w:t>
      </w:r>
    </w:p>
  </w:footnote>
  <w:footnote w:id="255">
    <w:p w14:paraId="56144870" w14:textId="65442037" w:rsidR="006D3B11" w:rsidRDefault="006D3B11">
      <w:pPr>
        <w:pStyle w:val="Notedebasdepage"/>
      </w:pPr>
      <w:r>
        <w:rPr>
          <w:rStyle w:val="Appelnotedebasdep"/>
        </w:rPr>
        <w:footnoteRef/>
      </w:r>
      <w:r>
        <w:t xml:space="preserve"> </w:t>
      </w:r>
      <w:r w:rsidRPr="006D3B11">
        <w:t>"</w:t>
      </w:r>
      <w:r w:rsidRPr="006D3B11">
        <w:rPr>
          <w:i/>
          <w:iCs/>
        </w:rPr>
        <w:t>Tendance : investissements fonciers agricoles à l’étranger</w:t>
      </w:r>
      <w:r w:rsidRPr="006D3B11">
        <w:t>" in "</w:t>
      </w:r>
      <w:r w:rsidRPr="006D3B11">
        <w:rPr>
          <w:i/>
          <w:iCs/>
        </w:rPr>
        <w:t>Souveraineté alimentaire</w:t>
      </w:r>
      <w:r w:rsidRPr="006D3B11">
        <w:t xml:space="preserve">", </w:t>
      </w:r>
      <w:hyperlink r:id="rId261" w:anchor="Tendance_:_investissements_fonciers_agricoles_%C3%A0_l%E2%80%99%C3%A9tranger" w:history="1">
        <w:r w:rsidRPr="005F3F9F">
          <w:rPr>
            <w:rStyle w:val="Lienhypertexte"/>
          </w:rPr>
          <w:t>https://fr.wikipedia.org/wiki/Souverainet%C3%A9_alimentaire#Tendance_:_investissements_fonciers_agricoles_%C3%A0_l%E2%80%99%C3%A9tranger</w:t>
        </w:r>
      </w:hyperlink>
      <w:r>
        <w:t xml:space="preserve"> </w:t>
      </w:r>
    </w:p>
  </w:footnote>
  <w:footnote w:id="256">
    <w:p w14:paraId="59DDA555" w14:textId="20B98642" w:rsidR="001765FA" w:rsidRPr="001765FA" w:rsidRDefault="001765FA" w:rsidP="001765FA">
      <w:pPr>
        <w:pStyle w:val="Notedebasdepage"/>
        <w:jc w:val="both"/>
        <w:rPr>
          <w:rFonts w:ascii="Calibri" w:hAnsi="Calibri" w:cs="Calibri"/>
          <w:color w:val="000000" w:themeColor="text1"/>
          <w:sz w:val="22"/>
          <w:szCs w:val="22"/>
        </w:rPr>
      </w:pPr>
      <w:r w:rsidRPr="001765FA">
        <w:rPr>
          <w:rStyle w:val="Appelnotedebasdep"/>
          <w:rFonts w:ascii="Calibri" w:hAnsi="Calibri" w:cs="Calibri"/>
          <w:sz w:val="22"/>
          <w:szCs w:val="22"/>
        </w:rPr>
        <w:footnoteRef/>
      </w:r>
      <w:r w:rsidRPr="001765FA">
        <w:rPr>
          <w:rFonts w:ascii="Calibri" w:hAnsi="Calibri" w:cs="Calibri"/>
          <w:sz w:val="22"/>
          <w:szCs w:val="22"/>
        </w:rPr>
        <w:t xml:space="preserve"> </w:t>
      </w:r>
      <w:r w:rsidRPr="00DE1B62">
        <w:rPr>
          <w:rFonts w:ascii="Calibri" w:hAnsi="Calibri" w:cs="Calibri"/>
          <w:color w:val="000000" w:themeColor="text1"/>
        </w:rPr>
        <w:t xml:space="preserve">Selon le réseau </w:t>
      </w:r>
      <w:r w:rsidRPr="00DE1B62">
        <w:rPr>
          <w:rFonts w:ascii="Calibri" w:hAnsi="Calibri" w:cs="Calibri"/>
          <w:color w:val="000000" w:themeColor="text1"/>
          <w:shd w:val="clear" w:color="auto" w:fill="FFFFFF"/>
        </w:rPr>
        <w:t>GRAIN, une association loi 1901, la </w:t>
      </w:r>
      <w:hyperlink r:id="rId262" w:tooltip="Banque mondiale" w:history="1">
        <w:r w:rsidRPr="00DE1B62">
          <w:rPr>
            <w:rStyle w:val="Lienhypertexte"/>
            <w:rFonts w:ascii="Calibri" w:hAnsi="Calibri" w:cs="Calibri"/>
            <w:color w:val="0645AD"/>
            <w:shd w:val="clear" w:color="auto" w:fill="FFFFFF"/>
          </w:rPr>
          <w:t>Banque mondiale</w:t>
        </w:r>
      </w:hyperlink>
      <w:r w:rsidRPr="00DE1B62">
        <w:rPr>
          <w:rFonts w:ascii="Calibri" w:hAnsi="Calibri" w:cs="Calibri"/>
          <w:color w:val="202122"/>
          <w:shd w:val="clear" w:color="auto" w:fill="FFFFFF"/>
        </w:rPr>
        <w:t> et la </w:t>
      </w:r>
      <w:hyperlink r:id="rId263" w:tooltip="BERD" w:history="1">
        <w:r w:rsidRPr="00DE1B62">
          <w:rPr>
            <w:rStyle w:val="Lienhypertexte"/>
            <w:rFonts w:ascii="Calibri" w:hAnsi="Calibri" w:cs="Calibri"/>
            <w:color w:val="0645AD"/>
            <w:shd w:val="clear" w:color="auto" w:fill="FFFFFF"/>
          </w:rPr>
          <w:t>BERD</w:t>
        </w:r>
      </w:hyperlink>
      <w:r w:rsidRPr="00DE1B62">
        <w:rPr>
          <w:rFonts w:ascii="Calibri" w:hAnsi="Calibri" w:cs="Calibri"/>
          <w:color w:val="202122"/>
          <w:shd w:val="clear" w:color="auto" w:fill="FFFFFF"/>
        </w:rPr>
        <w:t> </w:t>
      </w:r>
      <w:r w:rsidRPr="00DE1B62">
        <w:rPr>
          <w:rFonts w:ascii="Calibri" w:hAnsi="Calibri" w:cs="Calibri"/>
          <w:color w:val="000000" w:themeColor="text1"/>
          <w:shd w:val="clear" w:color="auto" w:fill="FFFFFF"/>
        </w:rPr>
        <w:t>encouragent ce nouveau commerce mondial au profit d'intérêts privés.</w:t>
      </w:r>
    </w:p>
  </w:footnote>
  <w:footnote w:id="257">
    <w:p w14:paraId="58EE9312" w14:textId="65C1418D" w:rsidR="006D3B11" w:rsidRDefault="006D3B11" w:rsidP="006D3B11">
      <w:pPr>
        <w:pStyle w:val="Notedebasdepage"/>
        <w:jc w:val="both"/>
      </w:pPr>
      <w:r>
        <w:rPr>
          <w:rStyle w:val="Appelnotedebasdep"/>
        </w:rPr>
        <w:footnoteRef/>
      </w:r>
      <w:r w:rsidR="00DE1B62">
        <w:t>a)</w:t>
      </w:r>
      <w:r>
        <w:t xml:space="preserve"> </w:t>
      </w:r>
      <w:r w:rsidRPr="006D3B11">
        <w:rPr>
          <w:i/>
          <w:iCs/>
        </w:rPr>
        <w:t>Le Foncier à Madagascar (introduction des actes de l’Atelier Foncier de 2000),</w:t>
      </w:r>
      <w:r w:rsidRPr="006D3B11">
        <w:t xml:space="preserve"> Christophe Maldidier, Antananarivo, 2000, </w:t>
      </w:r>
      <w:hyperlink r:id="rId264" w:history="1">
        <w:r w:rsidRPr="005F3F9F">
          <w:rPr>
            <w:rStyle w:val="Lienhypertexte"/>
          </w:rPr>
          <w:t>https://www.doc-developpement-durable.org/file/SITE_reforestation/FoncierMadagascarMaldidier2000.pdf</w:t>
        </w:r>
      </w:hyperlink>
      <w:r>
        <w:t xml:space="preserve"> </w:t>
      </w:r>
    </w:p>
    <w:p w14:paraId="41FCB73C" w14:textId="55A0FFAB" w:rsidR="00DE1B62" w:rsidRDefault="00DE1B62" w:rsidP="006D3B11">
      <w:pPr>
        <w:pStyle w:val="Notedebasdepage"/>
        <w:jc w:val="both"/>
      </w:pPr>
      <w:r>
        <w:t xml:space="preserve">b) </w:t>
      </w:r>
      <w:r w:rsidRPr="00DE1B62">
        <w:rPr>
          <w:i/>
          <w:iCs/>
        </w:rPr>
        <w:t>Introduction : foncier et violences politiques en Afrique. Pour une approche continuiste et processuelle</w:t>
      </w:r>
      <w:r w:rsidRPr="00DE1B62">
        <w:t xml:space="preserve">, Jean-Pierre Chauveau, Jacobo Grajales, Éric Léonard, in "Revue internationale des études du développement", 2020/3 (N° 243), pages 7 à 35, </w:t>
      </w:r>
      <w:hyperlink r:id="rId265" w:history="1">
        <w:r w:rsidRPr="005F3F9F">
          <w:rPr>
            <w:rStyle w:val="Lienhypertexte"/>
          </w:rPr>
          <w:t>https://www.cairn.info/revue-internationale-des-etudes-du-developpement-2020-3-page-7.htm</w:t>
        </w:r>
      </w:hyperlink>
      <w:r>
        <w:t xml:space="preserve"> </w:t>
      </w:r>
    </w:p>
  </w:footnote>
  <w:footnote w:id="258">
    <w:p w14:paraId="1902F130" w14:textId="23334975" w:rsidR="00986D44" w:rsidRDefault="00986D44" w:rsidP="00986D44">
      <w:pPr>
        <w:pStyle w:val="Notedebasdepage"/>
        <w:jc w:val="both"/>
      </w:pPr>
      <w:r>
        <w:rPr>
          <w:rStyle w:val="Appelnotedebasdep"/>
        </w:rPr>
        <w:footnoteRef/>
      </w:r>
      <w:r>
        <w:t xml:space="preserve"> </w:t>
      </w:r>
      <w:r w:rsidRPr="00986D44">
        <w:rPr>
          <w:i/>
          <w:iCs/>
        </w:rPr>
        <w:t>L'insécurité foncière dans et autour des Aires Protégées de Madagascar : un obstacle à surmonter pour la conservation de la biodiversité et le développement rural</w:t>
      </w:r>
      <w:r w:rsidRPr="00986D44">
        <w:t>, Sigrid Aubert, Saholy Rambintsaotra, Jules Razafiarijaona,</w:t>
      </w:r>
      <w:r>
        <w:t xml:space="preserve"> Revue Développement durable et territoire, Vol. 4, n°1, Avril 2013,</w:t>
      </w:r>
      <w:r w:rsidRPr="00986D44">
        <w:t xml:space="preserve"> </w:t>
      </w:r>
      <w:hyperlink r:id="rId266" w:history="1">
        <w:r w:rsidRPr="005F3F9F">
          <w:rPr>
            <w:rStyle w:val="Lienhypertexte"/>
          </w:rPr>
          <w:t>https://journals.openedition.org/developpementdurable/9661</w:t>
        </w:r>
      </w:hyperlink>
      <w:r>
        <w:t xml:space="preserve"> </w:t>
      </w:r>
    </w:p>
  </w:footnote>
  <w:footnote w:id="259">
    <w:p w14:paraId="1737DFE2" w14:textId="5AD2CA8E" w:rsidR="006D3B11" w:rsidRPr="006D3B11" w:rsidRDefault="006D3B11">
      <w:pPr>
        <w:pStyle w:val="Notedebasdepage"/>
        <w:rPr>
          <w:lang w:val="en-GB"/>
        </w:rPr>
      </w:pPr>
      <w:r>
        <w:rPr>
          <w:rStyle w:val="Appelnotedebasdep"/>
        </w:rPr>
        <w:footnoteRef/>
      </w:r>
      <w:r w:rsidRPr="006D3B11">
        <w:rPr>
          <w:lang w:val="en-GB"/>
        </w:rPr>
        <w:t xml:space="preserve"> Reducing Emissions from Deforestation and Forest Degradation (REDD), </w:t>
      </w:r>
      <w:hyperlink r:id="rId267" w:history="1">
        <w:r w:rsidRPr="005F3F9F">
          <w:rPr>
            <w:rStyle w:val="Lienhypertexte"/>
            <w:lang w:val="en-GB"/>
          </w:rPr>
          <w:t>https://fr.wikipedia.org/wiki/Reducing_Emissions_from_Deforestation_and_Forest_Degradation</w:t>
        </w:r>
      </w:hyperlink>
      <w:r>
        <w:rPr>
          <w:lang w:val="en-GB"/>
        </w:rPr>
        <w:t xml:space="preserve"> </w:t>
      </w:r>
    </w:p>
  </w:footnote>
  <w:footnote w:id="260">
    <w:p w14:paraId="36F36572" w14:textId="1A715719" w:rsidR="001765FA" w:rsidRDefault="001765FA">
      <w:pPr>
        <w:pStyle w:val="Notedebasdepage"/>
      </w:pPr>
      <w:r>
        <w:rPr>
          <w:rStyle w:val="Appelnotedebasdep"/>
        </w:rPr>
        <w:footnoteRef/>
      </w:r>
      <w:r>
        <w:t xml:space="preserve"> Pour la production de blé, de maïs …</w:t>
      </w:r>
    </w:p>
  </w:footnote>
  <w:footnote w:id="261">
    <w:p w14:paraId="67868809" w14:textId="6EEEE69C" w:rsidR="00CF498B" w:rsidRDefault="00CF498B">
      <w:pPr>
        <w:pStyle w:val="Notedebasdepage"/>
      </w:pPr>
      <w:r>
        <w:rPr>
          <w:rStyle w:val="Appelnotedebasdep"/>
        </w:rPr>
        <w:footnoteRef/>
      </w:r>
      <w:r>
        <w:t xml:space="preserve"> </w:t>
      </w:r>
      <w:r w:rsidRPr="00CF498B">
        <w:rPr>
          <w:i/>
          <w:iCs/>
        </w:rPr>
        <w:t>Le Collectif Tany craint la reprise du projet Daewoo</w:t>
      </w:r>
      <w:r w:rsidRPr="00CF498B">
        <w:t xml:space="preserve">, Ny Aina Rahaga, 17/02/2018, </w:t>
      </w:r>
      <w:hyperlink r:id="rId268" w:history="1">
        <w:r w:rsidRPr="005F3F9F">
          <w:rPr>
            <w:rStyle w:val="Lienhypertexte"/>
          </w:rPr>
          <w:t>https://www.madagascar-tribune.com/Le-Collectif-Tany-craint-la,23622.html</w:t>
        </w:r>
      </w:hyperlink>
      <w:r>
        <w:t xml:space="preserve"> </w:t>
      </w:r>
    </w:p>
  </w:footnote>
  <w:footnote w:id="262">
    <w:p w14:paraId="3A1A1EFD" w14:textId="2517C477" w:rsidR="00B97F1F" w:rsidRDefault="00B97F1F" w:rsidP="00B97F1F">
      <w:pPr>
        <w:pStyle w:val="Notedebasdepage"/>
        <w:jc w:val="both"/>
      </w:pPr>
      <w:r>
        <w:rPr>
          <w:rStyle w:val="Appelnotedebasdep"/>
        </w:rPr>
        <w:footnoteRef/>
      </w:r>
      <w:r>
        <w:t xml:space="preserve"> </w:t>
      </w:r>
      <w:r w:rsidRPr="00B97F1F">
        <w:rPr>
          <w:i/>
          <w:iCs/>
        </w:rPr>
        <w:t>L’accaparement des terres toujours d’actualité à Madagascar</w:t>
      </w:r>
      <w:r w:rsidRPr="00B97F1F">
        <w:t xml:space="preserve">, 16/07/2012, </w:t>
      </w:r>
      <w:hyperlink r:id="rId269" w:history="1">
        <w:r w:rsidRPr="005F3F9F">
          <w:rPr>
            <w:rStyle w:val="Lienhypertexte"/>
          </w:rPr>
          <w:t>https://www.rfi.fr/fr/afrique/20120716-accaparement-terres-toujours-actualite-madagascar</w:t>
        </w:r>
      </w:hyperlink>
      <w:r>
        <w:t xml:space="preserve"> </w:t>
      </w:r>
    </w:p>
  </w:footnote>
  <w:footnote w:id="263">
    <w:p w14:paraId="5FA1B9A0" w14:textId="1FFE69EC" w:rsidR="00AE35EB" w:rsidRDefault="00AE35EB">
      <w:pPr>
        <w:pStyle w:val="Notedebasdepage"/>
      </w:pPr>
      <w:r>
        <w:rPr>
          <w:rStyle w:val="Appelnotedebasdep"/>
        </w:rPr>
        <w:footnoteRef/>
      </w:r>
      <w:r>
        <w:t>a)</w:t>
      </w:r>
      <w:r w:rsidRPr="00AE35EB">
        <w:t xml:space="preserve"> </w:t>
      </w:r>
      <w:r w:rsidRPr="00AE35EB">
        <w:rPr>
          <w:i/>
          <w:iCs/>
        </w:rPr>
        <w:t>Le Kenya souffre de la famine mais exporte sa production de haricots</w:t>
      </w:r>
      <w:r w:rsidRPr="00AE35EB">
        <w:t xml:space="preserve">, 17/08/2011, </w:t>
      </w:r>
      <w:hyperlink r:id="rId270" w:history="1">
        <w:r w:rsidRPr="00AE35EB">
          <w:rPr>
            <w:rStyle w:val="Lienhypertexte"/>
          </w:rPr>
          <w:t>https://information.tv5monde.com/afrique/le-kenya-souffre-de-la-famine-mais-exporte-sa-production-de-haricots-6490</w:t>
        </w:r>
      </w:hyperlink>
      <w:r w:rsidRPr="00AE35EB">
        <w:t xml:space="preserve"> </w:t>
      </w:r>
    </w:p>
    <w:p w14:paraId="7E324EB5" w14:textId="18E03CA0" w:rsidR="00AE35EB" w:rsidRPr="005C76F2" w:rsidRDefault="00AE35EB" w:rsidP="005C76F2">
      <w:pPr>
        <w:pStyle w:val="Notedebasdepage"/>
        <w:jc w:val="both"/>
      </w:pPr>
      <w:r>
        <w:t xml:space="preserve">b) </w:t>
      </w:r>
      <w:r w:rsidR="005C76F2">
        <w:t xml:space="preserve">L’Ethiopie est l’un des principaux producteurs et exportateurs de légumineuses au monde, récoltant annuellement plus de 300 000 tonnes de haricots rouges secs. Ce produit compte pour près de la moitié des exportations totales de légumineuses qui génèrent chaque année plus de 200 millions $ de devises étrangères. Au Kenya, les haricots rouges sont importés majoritairement d’Ethiopie. Or le protocole d’exportation signé entre ce dernier et le Pakistan en mars 2020 conduit à une pénurie des haricots rouges au Kenya. Si le Kenya importait mensuellement jusqu’à 8 000 tonnes il y a deux ans de l’Ethiopie, les stocks acheminés, au Kenya, ont déjà été divisés par 5. La situation est d’autant plus critique qu'une sècheresse en Kenya, en 2021, devrait faire chuter les rendements de 20 %. </w:t>
      </w:r>
      <w:r w:rsidR="005C76F2" w:rsidRPr="005C76F2">
        <w:t>Cf.</w:t>
      </w:r>
      <w:r w:rsidR="005C76F2">
        <w:t xml:space="preserve"> 1)</w:t>
      </w:r>
      <w:r w:rsidR="005C76F2" w:rsidRPr="005C76F2">
        <w:t xml:space="preserve"> </w:t>
      </w:r>
      <w:r w:rsidR="005C76F2" w:rsidRPr="005C76F2">
        <w:rPr>
          <w:i/>
          <w:iCs/>
        </w:rPr>
        <w:t>Le Kenya, victime collatérale de l’accord d’exportation de haricots rouges depuis l’Ethiopie vers le Pakistan,</w:t>
      </w:r>
      <w:r w:rsidR="005C76F2" w:rsidRPr="005C76F2">
        <w:t xml:space="preserve"> 30 juin 2021, </w:t>
      </w:r>
      <w:hyperlink r:id="rId271" w:history="1">
        <w:r w:rsidR="005C76F2" w:rsidRPr="005C76F2">
          <w:rPr>
            <w:rStyle w:val="Lienhypertexte"/>
          </w:rPr>
          <w:t>https://www.agenceecofin.com/commerce/3006-89654-le-kenya-victime-collaterale-de-l-accord-d-exportation-de-haricots-rouges-depuis-l-ethiopie-vers-le-pakistan</w:t>
        </w:r>
      </w:hyperlink>
      <w:r w:rsidR="005C76F2" w:rsidRPr="005C76F2">
        <w:t xml:space="preserve">, 2) </w:t>
      </w:r>
      <w:r w:rsidR="005C76F2" w:rsidRPr="005C76F2">
        <w:rPr>
          <w:i/>
          <w:iCs/>
        </w:rPr>
        <w:t>Kenya: près de 2,5 millions de personnes risquent d’être confrontées à la famine d’ici un mois</w:t>
      </w:r>
      <w:r w:rsidR="005C76F2" w:rsidRPr="005C76F2">
        <w:t xml:space="preserve">, 02/10/2021, </w:t>
      </w:r>
      <w:hyperlink r:id="rId272" w:history="1">
        <w:r w:rsidR="005C76F2" w:rsidRPr="005F3F9F">
          <w:rPr>
            <w:rStyle w:val="Lienhypertexte"/>
          </w:rPr>
          <w:t>https://www.rfi.fr/fr/afrique/20211002-kenya-pr%C3%A8s-de-2-5-millions-de-personnes-risquent-d-%C3%AAtre-confront%C3%A9es-%C3%A0-la-famine-d-ici-un-mois</w:t>
        </w:r>
      </w:hyperlink>
      <w:r w:rsidR="005C76F2">
        <w:t xml:space="preserve"> </w:t>
      </w:r>
      <w:r w:rsidR="005C76F2" w:rsidRPr="005C76F2">
        <w:t xml:space="preserve"> </w:t>
      </w:r>
    </w:p>
  </w:footnote>
  <w:footnote w:id="264">
    <w:p w14:paraId="0B5C3E4E" w14:textId="42586876" w:rsidR="00380681" w:rsidRPr="00380681" w:rsidRDefault="00380681">
      <w:pPr>
        <w:pStyle w:val="Notedebasdepage"/>
        <w:rPr>
          <w:lang w:val="en-GB"/>
        </w:rPr>
      </w:pPr>
      <w:r>
        <w:rPr>
          <w:rStyle w:val="Appelnotedebasdep"/>
        </w:rPr>
        <w:footnoteRef/>
      </w:r>
      <w:r w:rsidRPr="00380681">
        <w:rPr>
          <w:lang w:val="en-GB"/>
        </w:rPr>
        <w:t xml:space="preserve"> Cf</w:t>
      </w:r>
      <w:r>
        <w:rPr>
          <w:lang w:val="en-GB"/>
        </w:rPr>
        <w:t>.</w:t>
      </w:r>
      <w:r w:rsidRPr="00380681">
        <w:rPr>
          <w:lang w:val="en-GB"/>
        </w:rPr>
        <w:t xml:space="preserve"> </w:t>
      </w:r>
      <w:hyperlink r:id="rId273" w:anchor="Accaparement_de_l'eau" w:history="1">
        <w:r w:rsidRPr="00380681">
          <w:rPr>
            <w:rStyle w:val="Lienhypertexte"/>
            <w:lang w:val="en-GB"/>
          </w:rPr>
          <w:t>https://fr.wikipedia.org/wiki/Accaparement_des_terres#Accaparement_de_l'eau</w:t>
        </w:r>
      </w:hyperlink>
      <w:r w:rsidRPr="00380681">
        <w:rPr>
          <w:lang w:val="en-GB"/>
        </w:rPr>
        <w:t xml:space="preserve"> </w:t>
      </w:r>
    </w:p>
  </w:footnote>
  <w:footnote w:id="265">
    <w:p w14:paraId="74E95D89" w14:textId="36FF632D" w:rsidR="001505E5" w:rsidRDefault="001505E5">
      <w:pPr>
        <w:pStyle w:val="Notedebasdepage"/>
      </w:pPr>
      <w:r>
        <w:rPr>
          <w:rStyle w:val="Appelnotedebasdep"/>
        </w:rPr>
        <w:footnoteRef/>
      </w:r>
      <w:r>
        <w:t xml:space="preserve"> </w:t>
      </w:r>
      <w:r w:rsidRPr="001505E5">
        <w:rPr>
          <w:i/>
          <w:iCs/>
        </w:rPr>
        <w:t>Les souverainetés des sociétés africaines face à la mondialisation</w:t>
      </w:r>
      <w:r w:rsidRPr="001505E5">
        <w:t xml:space="preserve">, Rapport Alternatif Sur l’Afrique (RASA), 2020, 25/06/2021, </w:t>
      </w:r>
      <w:hyperlink r:id="rId274" w:history="1">
        <w:r w:rsidRPr="005F3F9F">
          <w:rPr>
            <w:rStyle w:val="Lienhypertexte"/>
          </w:rPr>
          <w:t>https://www.wathi.org/les-souverainetes-des-societes-africaines-face-a-la-mondialisation-rasa/</w:t>
        </w:r>
      </w:hyperlink>
      <w:r>
        <w:t xml:space="preserve"> </w:t>
      </w:r>
    </w:p>
  </w:footnote>
  <w:footnote w:id="266">
    <w:p w14:paraId="47F658DF" w14:textId="71A147DF" w:rsidR="0057071A" w:rsidRDefault="00651436" w:rsidP="0057071A">
      <w:pPr>
        <w:pStyle w:val="Notedebasdepage"/>
        <w:jc w:val="both"/>
      </w:pPr>
      <w:r>
        <w:rPr>
          <w:rStyle w:val="Appelnotedebasdep"/>
        </w:rPr>
        <w:footnoteRef/>
      </w:r>
      <w:r>
        <w:t xml:space="preserve"> </w:t>
      </w:r>
      <w:r w:rsidR="0057071A">
        <w:t>Liste partielle des personnes nommées dans les Pandora Papers en tant qu'actionnaires, administrateurs et bénéficiaires de sociétés offshore. Au total, 35 dirigeants nationaux actuels et anciens apparaissent dans la fuite, aux côtés de 400 responsables de près de 100 pays. Plus de 100 milliardaires, 29 000 comptes offshore, 30 dirigeants actuels et anciens et 300 fonctionnaires ont été nommés lors des premières fuites en octobre 2021. [1] Selon les rapports, 32 000 milliards de dollars pourraient être cachés de l'impôt. Par exemple, en Afrique : 1) Uhuru Kenyatta, président kenyan, 2) Denis Sassou-Nguesso, président de la République du Congo, 3) Ali Bongo, président gabonnais, 4) Patrick Achi, premier ministre de Côte d'Ivoire, etc.</w:t>
      </w:r>
    </w:p>
    <w:p w14:paraId="50BC391B" w14:textId="6450813E" w:rsidR="0057071A" w:rsidRPr="0057071A" w:rsidRDefault="0057071A" w:rsidP="0057071A">
      <w:pPr>
        <w:pStyle w:val="Notedebasdepage"/>
        <w:rPr>
          <w:lang w:val="en-GB"/>
        </w:rPr>
      </w:pPr>
      <w:r w:rsidRPr="0057071A">
        <w:rPr>
          <w:lang w:val="en-GB"/>
        </w:rPr>
        <w:t xml:space="preserve">Cf. a) </w:t>
      </w:r>
      <w:hyperlink r:id="rId275" w:history="1">
        <w:r w:rsidRPr="005F3F9F">
          <w:rPr>
            <w:rStyle w:val="Lienhypertexte"/>
            <w:lang w:val="en-GB"/>
          </w:rPr>
          <w:t>https://en.wikipedia.org/wiki/List_of_people_named_in_the_Pandora_Papers</w:t>
        </w:r>
      </w:hyperlink>
      <w:r>
        <w:rPr>
          <w:lang w:val="en-GB"/>
        </w:rPr>
        <w:t xml:space="preserve"> </w:t>
      </w:r>
    </w:p>
    <w:p w14:paraId="52603245" w14:textId="61CA3E26" w:rsidR="00651436" w:rsidRDefault="0057071A" w:rsidP="0057071A">
      <w:pPr>
        <w:pStyle w:val="Notedebasdepage"/>
        <w:jc w:val="both"/>
      </w:pPr>
      <w:r>
        <w:t xml:space="preserve">b) </w:t>
      </w:r>
      <w:r w:rsidRPr="0057071A">
        <w:rPr>
          <w:i/>
          <w:iCs/>
        </w:rPr>
        <w:t>« Pandora Papers » : plusieurs chefs de gouvernement pointés du doigt pour optimisation ou évasion fiscale</w:t>
      </w:r>
      <w:r>
        <w:t xml:space="preserve">, 03/10/2021, </w:t>
      </w:r>
      <w:hyperlink r:id="rId276" w:history="1">
        <w:r w:rsidRPr="005F3F9F">
          <w:rPr>
            <w:rStyle w:val="Lienhypertexte"/>
          </w:rPr>
          <w:t>https://www.lesechos.fr/monde/enjeux-internationaux/pandora-papers-plusieurs-chefs-de-gouvernement-mis-en-cause-pour-evasion-fiscale-1351616</w:t>
        </w:r>
      </w:hyperlink>
      <w:r>
        <w:t xml:space="preserve"> </w:t>
      </w:r>
    </w:p>
  </w:footnote>
  <w:footnote w:id="267">
    <w:p w14:paraId="26F6421B" w14:textId="4EEC1F6E" w:rsidR="00347D4B" w:rsidRPr="00272EF6" w:rsidRDefault="00347D4B">
      <w:pPr>
        <w:pStyle w:val="Notedebasdepage"/>
      </w:pPr>
      <w:r>
        <w:rPr>
          <w:rStyle w:val="Appelnotedebasdep"/>
        </w:rPr>
        <w:footnoteRef/>
      </w:r>
      <w:r>
        <w:t xml:space="preserve"> Un exemple, de cette politique : </w:t>
      </w:r>
      <w:r w:rsidRPr="00347D4B">
        <w:rPr>
          <w:i/>
          <w:iCs/>
        </w:rPr>
        <w:t>Les produits locaux togolais dans votre assiette</w:t>
      </w:r>
      <w:r w:rsidRPr="00347D4B">
        <w:t xml:space="preserve">, Asso. </w:t>
      </w:r>
      <w:r w:rsidRPr="00272EF6">
        <w:t xml:space="preserve">OADEL (Togo), 2010, </w:t>
      </w:r>
      <w:hyperlink r:id="rId277" w:history="1">
        <w:r w:rsidRPr="00272EF6">
          <w:rPr>
            <w:rStyle w:val="Lienhypertexte"/>
          </w:rPr>
          <w:t>http://benjamin.lisan.free.fr/developpementdurable/Les-produits-locaux-togolais-dans-votre-assiette.pdf</w:t>
        </w:r>
      </w:hyperlink>
      <w:r w:rsidRPr="00272EF6">
        <w:t xml:space="preserve"> </w:t>
      </w:r>
    </w:p>
  </w:footnote>
  <w:footnote w:id="268">
    <w:p w14:paraId="67E89E0F" w14:textId="0E7EB068" w:rsidR="006C195F" w:rsidRDefault="006C195F">
      <w:pPr>
        <w:pStyle w:val="Notedebasdepage"/>
      </w:pPr>
      <w:r>
        <w:rPr>
          <w:rStyle w:val="Appelnotedebasdep"/>
        </w:rPr>
        <w:footnoteRef/>
      </w:r>
      <w:r>
        <w:t xml:space="preserve"> </w:t>
      </w:r>
      <w:r w:rsidRPr="006C195F">
        <w:rPr>
          <w:i/>
          <w:iCs/>
        </w:rPr>
        <w:t>Liste des 11 Agences/institutions spécialisées de la CEDEAO</w:t>
      </w:r>
      <w:r w:rsidRPr="006C195F">
        <w:t xml:space="preserve">, </w:t>
      </w:r>
      <w:hyperlink r:id="rId278" w:anchor="Agences_sp%C3%A9cialis%C3%A9es" w:history="1">
        <w:r w:rsidRPr="005F3F9F">
          <w:rPr>
            <w:rStyle w:val="Lienhypertexte"/>
          </w:rPr>
          <w:t>https://fr.wikipedia.org/wiki/Communaut%C3%A9_%C3%A9conomique_des_%C3%89tats_de_l'Afrique_de_l'Ouest#Agences_sp%C3%A9cialis%C3%A9es</w:t>
        </w:r>
      </w:hyperlink>
      <w:r>
        <w:t xml:space="preserve"> </w:t>
      </w:r>
    </w:p>
  </w:footnote>
  <w:footnote w:id="269">
    <w:p w14:paraId="1C522C39" w14:textId="6397EE33" w:rsidR="00957489" w:rsidRPr="006C195F" w:rsidRDefault="00957489">
      <w:pPr>
        <w:pStyle w:val="Notedebasdepage"/>
      </w:pPr>
      <w:r>
        <w:rPr>
          <w:rStyle w:val="Appelnotedebasdep"/>
        </w:rPr>
        <w:footnoteRef/>
      </w:r>
      <w:r w:rsidRPr="006C195F">
        <w:t xml:space="preserve"> </w:t>
      </w:r>
      <w:r w:rsidRPr="006C195F">
        <w:rPr>
          <w:i/>
          <w:iCs/>
        </w:rPr>
        <w:t>A propos du WACOMP</w:t>
      </w:r>
      <w:r w:rsidRPr="006C195F">
        <w:t xml:space="preserve">, </w:t>
      </w:r>
      <w:hyperlink r:id="rId279" w:history="1">
        <w:r w:rsidRPr="006C195F">
          <w:rPr>
            <w:rStyle w:val="Lienhypertexte"/>
          </w:rPr>
          <w:t>https://wacomp.projects.ecowas.int/a-propos-de-wacomp/?lang=fr</w:t>
        </w:r>
      </w:hyperlink>
      <w:r w:rsidRPr="006C195F">
        <w:t xml:space="preserve"> </w:t>
      </w:r>
    </w:p>
  </w:footnote>
  <w:footnote w:id="270">
    <w:p w14:paraId="36092464" w14:textId="2D0DA13B" w:rsidR="00957489" w:rsidRDefault="00957489" w:rsidP="00957489">
      <w:pPr>
        <w:pStyle w:val="Notedebasdepage"/>
        <w:jc w:val="both"/>
      </w:pPr>
      <w:r>
        <w:rPr>
          <w:rStyle w:val="Appelnotedebasdep"/>
        </w:rPr>
        <w:footnoteRef/>
      </w:r>
      <w:r>
        <w:t xml:space="preserve"> Il semblerait que la filière haricot vert fin et celle horticole ornementale (roses …) du Kenya aient aussi bénéficié d’une telle aide. Bien que ces deux filières ne soient pas très écologiques (car leurs produits sont transportés par avion jusqu’en Europe).</w:t>
      </w:r>
    </w:p>
  </w:footnote>
  <w:footnote w:id="271">
    <w:p w14:paraId="4C50D6B0" w14:textId="13DE638E" w:rsidR="0013437B" w:rsidRDefault="0013437B">
      <w:pPr>
        <w:pStyle w:val="Notedebasdepage"/>
      </w:pPr>
      <w:r>
        <w:rPr>
          <w:rStyle w:val="Appelnotedebasdep"/>
        </w:rPr>
        <w:footnoteRef/>
      </w:r>
      <w:r>
        <w:t xml:space="preserve"> </w:t>
      </w:r>
      <w:r w:rsidRPr="0013437B">
        <w:rPr>
          <w:i/>
          <w:iCs/>
        </w:rPr>
        <w:t>Présentation de la philosophie du centre agroécologique Songhaï</w:t>
      </w:r>
      <w:r w:rsidRPr="0013437B">
        <w:t xml:space="preserve">, B. Lisan, 10/01/2018, 108 pages, </w:t>
      </w:r>
      <w:hyperlink r:id="rId280" w:history="1">
        <w:r w:rsidRPr="005F3F9F">
          <w:rPr>
            <w:rStyle w:val="Lienhypertexte"/>
          </w:rPr>
          <w:t>http://www.doc-developpement-durable.org/documents-agronomiques/Centre-agroecologique-Songhai.pptx</w:t>
        </w:r>
      </w:hyperlink>
      <w:r>
        <w:t xml:space="preserve"> </w:t>
      </w:r>
    </w:p>
  </w:footnote>
  <w:footnote w:id="272">
    <w:p w14:paraId="0279F99A" w14:textId="29AC5253" w:rsidR="00D65077" w:rsidRPr="00D65077" w:rsidRDefault="00D65077" w:rsidP="00D65077">
      <w:pPr>
        <w:pStyle w:val="Notedebasdepage"/>
        <w:jc w:val="both"/>
      </w:pPr>
      <w:r>
        <w:rPr>
          <w:rStyle w:val="Appelnotedebasdep"/>
        </w:rPr>
        <w:footnoteRef/>
      </w:r>
      <w:r>
        <w:t xml:space="preserve"> On a vu les effets pervers de la loi Hawley-Smoot. La loi Hawley-Smoot (en anglais Hawley-Smoot Tariff ou Smoot-Hawley Tariff Act), promulguée aux États-Unis le 17 juin 1930, a augmenté les droits de douane à l'importation de plus de 20 000 types de biens. De nombreux pays, par mesure de rétorsion, ont également augmenté leurs taxes à l'importation. Les importations américaines depuis l'Europe déclinèrent de leur maximum de 1929 de 1 334 millions de dollars à seulement 390 millions en 1932 (soit une chute de plus de 70 %), alors que les exportations américaines vers l'Europe tombèrent de 2 341 millions de dollars en 1929 à 784 millions en 1932 (soit une chute de deux tiers). </w:t>
      </w:r>
      <w:r w:rsidRPr="00D65077">
        <w:rPr>
          <w:b/>
          <w:bCs/>
        </w:rPr>
        <w:t>De même, le commerce mondial déclina d'environ 66 % entre 1929 et 1934</w:t>
      </w:r>
      <w:r>
        <w:t xml:space="preserve">. C'est pour éviter les conséquences négatives de cette politique de non-coopération entre les États que les principaux pays ont mis en place des accords de commerce multilatéraux au sortir de la Seconde Guerre mondiale, en particulier les accords de Bretton Woods en 1944 et le GATT à partir de 1947. </w:t>
      </w:r>
      <w:r w:rsidRPr="0085473D">
        <w:t xml:space="preserve">Cf. </w:t>
      </w:r>
      <w:hyperlink r:id="rId281" w:history="1">
        <w:r w:rsidRPr="0085473D">
          <w:rPr>
            <w:rStyle w:val="Lienhypertexte"/>
          </w:rPr>
          <w:t>https://fr.wikipedia.org/wiki/Loi_Hawley-Smoot</w:t>
        </w:r>
      </w:hyperlink>
      <w:r w:rsidRPr="0085473D">
        <w:t xml:space="preserve"> </w:t>
      </w:r>
    </w:p>
  </w:footnote>
  <w:footnote w:id="273">
    <w:p w14:paraId="564250A8" w14:textId="1B8F41A2" w:rsidR="00204BCC" w:rsidRPr="00204BCC" w:rsidRDefault="00204BCC">
      <w:pPr>
        <w:pStyle w:val="Notedebasdepage"/>
      </w:pPr>
      <w:r>
        <w:rPr>
          <w:rStyle w:val="Appelnotedebasdep"/>
        </w:rPr>
        <w:footnoteRef/>
      </w:r>
      <w:r>
        <w:t xml:space="preserve">A)  </w:t>
      </w:r>
      <w:r w:rsidRPr="00204BCC">
        <w:rPr>
          <w:i/>
          <w:iCs/>
        </w:rPr>
        <w:t>La souveraineté alimentaire, qu'est-ce que c'est ?</w:t>
      </w:r>
      <w:r w:rsidRPr="00204BCC">
        <w:t xml:space="preserve"> </w:t>
      </w:r>
      <w:hyperlink r:id="rId282" w:history="1">
        <w:r w:rsidRPr="00204BCC">
          <w:rPr>
            <w:rStyle w:val="Lienhypertexte"/>
          </w:rPr>
          <w:t>https://foodsecurecanada.org/fr/qui-sommes-nous/la-souverainete-alimentaire-quest-ce-que-cest</w:t>
        </w:r>
      </w:hyperlink>
      <w:r w:rsidRPr="00204BCC">
        <w:t xml:space="preserve">, b) </w:t>
      </w:r>
      <w:r w:rsidRPr="00204BCC">
        <w:rPr>
          <w:i/>
          <w:iCs/>
        </w:rPr>
        <w:t>Souveraineté alimentaire</w:t>
      </w:r>
      <w:r w:rsidRPr="00204BCC">
        <w:t xml:space="preserve">, </w:t>
      </w:r>
      <w:hyperlink r:id="rId283" w:history="1">
        <w:r w:rsidRPr="00204BCC">
          <w:rPr>
            <w:rStyle w:val="Lienhypertexte"/>
          </w:rPr>
          <w:t>https://fr.wikipedia.org/wiki/Souverainet%C3%A9_alimentaire</w:t>
        </w:r>
      </w:hyperlink>
      <w:r w:rsidRPr="00204BCC">
        <w:t xml:space="preserve"> </w:t>
      </w:r>
    </w:p>
  </w:footnote>
  <w:footnote w:id="274">
    <w:p w14:paraId="38878AED" w14:textId="690BC893" w:rsidR="009955E5" w:rsidRPr="009955E5" w:rsidRDefault="009955E5" w:rsidP="009955E5">
      <w:pPr>
        <w:pStyle w:val="Notedebasdepage"/>
        <w:jc w:val="both"/>
      </w:pPr>
      <w:r>
        <w:rPr>
          <w:rStyle w:val="Appelnotedebasdep"/>
        </w:rPr>
        <w:footnoteRef/>
      </w:r>
      <w:r>
        <w:t xml:space="preserve"> « </w:t>
      </w:r>
      <w:r w:rsidRPr="009955E5">
        <w:rPr>
          <w:i/>
          <w:iCs/>
        </w:rPr>
        <w:t>Session 3 : Filières, Marchés et Politiques</w:t>
      </w:r>
      <w:r>
        <w:t> » in</w:t>
      </w:r>
      <w:r w:rsidRPr="009955E5">
        <w:t xml:space="preserve"> Colloque "</w:t>
      </w:r>
      <w:r w:rsidRPr="009955E5">
        <w:rPr>
          <w:i/>
          <w:iCs/>
        </w:rPr>
        <w:t>Perte de biodiversité et vulnérabilité sanitaire des systèmes de production</w:t>
      </w:r>
      <w:r w:rsidRPr="009955E5">
        <w:t>", 25/06/2014,</w:t>
      </w:r>
      <w:r>
        <w:t xml:space="preserve"> </w:t>
      </w:r>
      <w:r w:rsidRPr="009955E5">
        <w:t>page 33</w:t>
      </w:r>
      <w:r>
        <w:t>,</w:t>
      </w:r>
      <w:r w:rsidRPr="009955E5">
        <w:t xml:space="preserve"> </w:t>
      </w:r>
      <w:hyperlink r:id="rId284" w:history="1">
        <w:r w:rsidRPr="005F3F9F">
          <w:rPr>
            <w:rStyle w:val="Lienhypertexte"/>
          </w:rPr>
          <w:t>https://www.anses.fr/fr/system/files/Anses_14_Actes_Colloque_perte_biodiv_SP.pdf</w:t>
        </w:r>
      </w:hyperlink>
      <w:r>
        <w:t xml:space="preserve"> </w:t>
      </w:r>
    </w:p>
  </w:footnote>
  <w:footnote w:id="275">
    <w:p w14:paraId="22C48722" w14:textId="66B36BC2" w:rsidR="0085473D" w:rsidRPr="0085473D" w:rsidRDefault="0085473D">
      <w:pPr>
        <w:pStyle w:val="Notedebasdepage"/>
        <w:rPr>
          <w:rFonts w:ascii="Calibri" w:hAnsi="Calibri" w:cs="Calibri"/>
        </w:rPr>
      </w:pPr>
      <w:r w:rsidRPr="0085473D">
        <w:rPr>
          <w:rStyle w:val="Appelnotedebasdep"/>
          <w:rFonts w:ascii="Calibri" w:hAnsi="Calibri" w:cs="Calibri"/>
        </w:rPr>
        <w:footnoteRef/>
      </w:r>
      <w:r w:rsidRPr="0085473D">
        <w:rPr>
          <w:rFonts w:ascii="Calibri" w:hAnsi="Calibri" w:cs="Calibri"/>
        </w:rPr>
        <w:t xml:space="preserve"> </w:t>
      </w:r>
      <w:r w:rsidRPr="0085473D">
        <w:rPr>
          <w:rFonts w:ascii="Calibri" w:hAnsi="Calibri" w:cs="Calibri"/>
          <w:color w:val="000000"/>
          <w:spacing w:val="-1"/>
          <w:shd w:val="clear" w:color="auto" w:fill="FFFFFF"/>
        </w:rPr>
        <w:t xml:space="preserve">Conté </w:t>
      </w:r>
      <w:r>
        <w:rPr>
          <w:rFonts w:ascii="Calibri" w:hAnsi="Calibri" w:cs="Calibri"/>
          <w:color w:val="000000"/>
          <w:spacing w:val="-1"/>
          <w:shd w:val="clear" w:color="auto" w:fill="FFFFFF"/>
        </w:rPr>
        <w:t>dans</w:t>
      </w:r>
      <w:r w:rsidRPr="0085473D">
        <w:rPr>
          <w:rFonts w:ascii="Calibri" w:hAnsi="Calibri" w:cs="Calibri"/>
          <w:color w:val="000000"/>
          <w:spacing w:val="-1"/>
          <w:shd w:val="clear" w:color="auto" w:fill="FFFFFF"/>
        </w:rPr>
        <w:t xml:space="preserve"> le documentaire </w:t>
      </w:r>
      <w:hyperlink r:id="rId285" w:tgtFrame="_blank" w:history="1">
        <w:r w:rsidRPr="0085473D">
          <w:rPr>
            <w:rStyle w:val="Accentuation"/>
            <w:rFonts w:ascii="Calibri" w:hAnsi="Calibri" w:cs="Calibri"/>
            <w:color w:val="000000"/>
            <w:spacing w:val="-1"/>
            <w:shd w:val="clear" w:color="auto" w:fill="FFFFFF"/>
          </w:rPr>
          <w:t>Semer, Récolter, Résister</w:t>
        </w:r>
      </w:hyperlink>
      <w:r w:rsidRPr="0085473D">
        <w:rPr>
          <w:rFonts w:ascii="Calibri" w:hAnsi="Calibri" w:cs="Calibri"/>
        </w:rPr>
        <w:t>.</w:t>
      </w:r>
    </w:p>
  </w:footnote>
  <w:footnote w:id="276">
    <w:p w14:paraId="2A62C725" w14:textId="16FAA674" w:rsidR="0085473D" w:rsidRPr="00B66C03" w:rsidRDefault="0085473D" w:rsidP="00B66C03">
      <w:pPr>
        <w:pStyle w:val="Notedebasdepage"/>
        <w:jc w:val="both"/>
        <w:rPr>
          <w:i/>
          <w:iCs/>
        </w:rPr>
      </w:pPr>
      <w:r>
        <w:rPr>
          <w:rStyle w:val="Appelnotedebasdep"/>
        </w:rPr>
        <w:footnoteRef/>
      </w:r>
      <w:r>
        <w:t xml:space="preserve"> </w:t>
      </w:r>
      <w:r w:rsidRPr="0085473D">
        <w:rPr>
          <w:i/>
          <w:iCs/>
        </w:rPr>
        <w:t>Au Sénégal, les paysans retrouvent leur souveraineté alimentaire grâce aux céréales locales</w:t>
      </w:r>
      <w:r w:rsidRPr="0085473D">
        <w:t xml:space="preserve">, 06/05/2021, </w:t>
      </w:r>
      <w:hyperlink r:id="rId286" w:history="1">
        <w:r w:rsidRPr="00B66C03">
          <w:rPr>
            <w:rStyle w:val="Lienhypertexte"/>
            <w:i/>
            <w:iCs/>
          </w:rPr>
          <w:t>https://lareleveetlapeste.fr/au-senegal-les-paysans-retrouvent-leur-souverainete-alimentaire-grace-aux-cereales-locales/</w:t>
        </w:r>
      </w:hyperlink>
      <w:r w:rsidRPr="00B66C03">
        <w:rPr>
          <w:i/>
          <w:iCs/>
        </w:rPr>
        <w:t xml:space="preserve"> </w:t>
      </w:r>
    </w:p>
  </w:footnote>
  <w:footnote w:id="277">
    <w:p w14:paraId="4A974BDC" w14:textId="6C43415E" w:rsidR="00B66C03" w:rsidRDefault="00B66C03">
      <w:pPr>
        <w:pStyle w:val="Notedebasdepage"/>
      </w:pPr>
      <w:r>
        <w:rPr>
          <w:rStyle w:val="Appelnotedebasdep"/>
        </w:rPr>
        <w:footnoteRef/>
      </w:r>
      <w:r>
        <w:t xml:space="preserve"> </w:t>
      </w:r>
      <w:r w:rsidRPr="00B66C03">
        <w:rPr>
          <w:i/>
          <w:iCs/>
        </w:rPr>
        <w:t>La régulation du marché de l’oignon. Régulation du marché au Sénégal</w:t>
      </w:r>
      <w:r w:rsidRPr="00B66C03">
        <w:t xml:space="preserve">, Grain de Sel, nº 48, septembre – décembre 2009, </w:t>
      </w:r>
      <w:hyperlink r:id="rId287" w:history="1">
        <w:r w:rsidRPr="005F3F9F">
          <w:rPr>
            <w:rStyle w:val="Lienhypertexte"/>
          </w:rPr>
          <w:t>https://www.inter-reseaux.org/wp-content/uploads/pdf_GDS48_p7_8_ARM_Oignon_Senegal.pdf</w:t>
        </w:r>
      </w:hyperlink>
      <w:r>
        <w:t xml:space="preserve"> </w:t>
      </w:r>
    </w:p>
  </w:footnote>
  <w:footnote w:id="278">
    <w:p w14:paraId="4CDDB153" w14:textId="2D0CB86A" w:rsidR="0070789F" w:rsidRPr="0070789F" w:rsidRDefault="0070789F">
      <w:pPr>
        <w:pStyle w:val="Notedebasdepage"/>
        <w:rPr>
          <w:lang w:val="en-GB"/>
        </w:rPr>
      </w:pPr>
      <w:r>
        <w:rPr>
          <w:rStyle w:val="Appelnotedebasdep"/>
        </w:rPr>
        <w:footnoteRef/>
      </w:r>
      <w:r w:rsidRPr="0070789F">
        <w:rPr>
          <w:lang w:val="en-GB"/>
        </w:rPr>
        <w:t xml:space="preserve"> Cf. </w:t>
      </w:r>
      <w:hyperlink r:id="rId288" w:history="1">
        <w:r w:rsidRPr="005F3F9F">
          <w:rPr>
            <w:rStyle w:val="Lienhypertexte"/>
            <w:lang w:val="en-GB"/>
          </w:rPr>
          <w:t>https://sunulex.sn/importer-au-senegal-2019/</w:t>
        </w:r>
      </w:hyperlink>
      <w:r>
        <w:rPr>
          <w:lang w:val="en-GB"/>
        </w:rPr>
        <w:t xml:space="preserve"> </w:t>
      </w:r>
    </w:p>
  </w:footnote>
  <w:footnote w:id="279">
    <w:p w14:paraId="4FC34C94" w14:textId="3789F379" w:rsidR="00B66C03" w:rsidRDefault="00B66C03" w:rsidP="00B66C03">
      <w:pPr>
        <w:pStyle w:val="Notedebasdepage"/>
        <w:jc w:val="both"/>
      </w:pPr>
      <w:r w:rsidRPr="00B66C03">
        <w:rPr>
          <w:rStyle w:val="Appelnotedebasdep"/>
          <w:i/>
          <w:iCs/>
        </w:rPr>
        <w:footnoteRef/>
      </w:r>
      <w:r w:rsidRPr="00B66C03">
        <w:rPr>
          <w:i/>
          <w:iCs/>
        </w:rPr>
        <w:t xml:space="preserve"> Sénégal</w:t>
      </w:r>
      <w:r w:rsidRPr="00B66C03">
        <w:t xml:space="preserve"> : Interdiction d’importations d’oignons, ApaNews, 15/02/2015, </w:t>
      </w:r>
      <w:hyperlink r:id="rId289" w:history="1">
        <w:r w:rsidRPr="005F3F9F">
          <w:rPr>
            <w:rStyle w:val="Lienhypertexte"/>
          </w:rPr>
          <w:t>https://www.27avril.com/blog/agriculture/senegal-interdiction-d-importations-d-oignons</w:t>
        </w:r>
      </w:hyperlink>
      <w:r>
        <w:t xml:space="preserve"> </w:t>
      </w:r>
    </w:p>
  </w:footnote>
  <w:footnote w:id="280">
    <w:p w14:paraId="5CCC0EF5" w14:textId="02C79050" w:rsidR="0070789F" w:rsidRPr="0070789F" w:rsidRDefault="0070789F">
      <w:pPr>
        <w:pStyle w:val="Notedebasdepage"/>
        <w:rPr>
          <w:lang w:val="en-GB"/>
        </w:rPr>
      </w:pPr>
      <w:r>
        <w:rPr>
          <w:rStyle w:val="Appelnotedebasdep"/>
        </w:rPr>
        <w:footnoteRef/>
      </w:r>
      <w:r w:rsidRPr="0070789F">
        <w:rPr>
          <w:lang w:val="en-GB"/>
        </w:rPr>
        <w:t xml:space="preserve"> </w:t>
      </w:r>
      <w:r w:rsidRPr="0070789F">
        <w:rPr>
          <w:i/>
          <w:iCs/>
          <w:lang w:val="en-GB"/>
        </w:rPr>
        <w:t>Gambie WT/TPR/S/233</w:t>
      </w:r>
      <w:r w:rsidRPr="0070789F">
        <w:rPr>
          <w:lang w:val="en-GB"/>
        </w:rPr>
        <w:t xml:space="preserve">, </w:t>
      </w:r>
      <w:hyperlink r:id="rId290" w:history="1">
        <w:r w:rsidRPr="005F3F9F">
          <w:rPr>
            <w:rStyle w:val="Lienhypertexte"/>
            <w:lang w:val="en-GB"/>
          </w:rPr>
          <w:t>https://docsonline.wto.org/dol2fe/Pages/SS/directdoc.aspx?filename=R:/WT/TPR/S233-04.pdf</w:t>
        </w:r>
      </w:hyperlink>
      <w:r>
        <w:rPr>
          <w:lang w:val="en-GB"/>
        </w:rPr>
        <w:t xml:space="preserve"> </w:t>
      </w:r>
    </w:p>
  </w:footnote>
  <w:footnote w:id="281">
    <w:p w14:paraId="111EF531" w14:textId="5D36BDE2" w:rsidR="00E46969" w:rsidRDefault="00E46969">
      <w:pPr>
        <w:pStyle w:val="Notedebasdepage"/>
      </w:pPr>
      <w:r>
        <w:rPr>
          <w:rStyle w:val="Appelnotedebasdep"/>
        </w:rPr>
        <w:footnoteRef/>
      </w:r>
      <w:r>
        <w:t xml:space="preserve"> Par exemple, selon un plan de désendettement préconisé par le FMI …</w:t>
      </w:r>
    </w:p>
  </w:footnote>
  <w:footnote w:id="282">
    <w:p w14:paraId="793B4BA3" w14:textId="51067C40" w:rsidR="00606F0D" w:rsidRDefault="00606F0D" w:rsidP="00606F0D">
      <w:pPr>
        <w:pStyle w:val="Notedebasdepage"/>
        <w:jc w:val="both"/>
      </w:pPr>
      <w:r>
        <w:rPr>
          <w:rStyle w:val="Appelnotedebasdep"/>
        </w:rPr>
        <w:footnoteRef/>
      </w:r>
      <w:r>
        <w:t xml:space="preserve"> Sécheresse, inondations, l'agriculture indienne subit des conditions météorologiques de plus en plus erratiques en raison du changement climatique. Selon un rapport du gouvernement du Pendjab (nord) publié en 2017, cet État aura épuisé toutes ses ressources en eau souterraine d'ici 2039. On compte un important endettement et taux de suicide chez les agriculteurs indiens (300 000 se sont suicidés depuis les années 1990). Selon de récentes données officielles, quelque 10 300 agriculteurs ont mis fin à leurs jours en 2019. Agriculteurs et travailleurs agricoles abandonnent en masse le secteur : 2 000 jetaient chaque jour l'éponge, selon le dernier recensement datant de 2011. Habituellement, les paysans indiens vendent leurs productions à des marchés contrôlés par l'État. L'Inde octroie en moyenne 32 milliards de dollars de subventions aux agriculteurs chaque année, selon le ministère des Finances. Ces marchés avaient été créés dans les années 50 pour protéger les agriculteurs contre les situations d'abus et leur assuraient un prix de soutien minimal (PSM) pour certaines denrées. En septembre 2020, le parlement a voté des lois qui autorisent les agriculteurs à vendre leurs productions aux acheteurs de leur choix, plutôt que de se tourner exclusivement vers les marchés contrôlés par l'État. Nombre de petits exploitants sont attachés au PSM, qui constitue pour eux un filet de sécurité essentiel, et se sentent désormais menacés par la libéralisation des marchés agricoles qu'engendrent les réformes. Ils redoutent la concurrence des grandes fermes qui risque de les obliger, pour écouler leurs marchandises, à les brader à vile prix aux grandes entreprises.  D'où les nombreuses manifestations de milliers d'agriculteurs indiens, pour faire abroger ces réformes agricoles, partout en Inde. Source : </w:t>
      </w:r>
      <w:r w:rsidRPr="00606F0D">
        <w:rPr>
          <w:i/>
          <w:iCs/>
        </w:rPr>
        <w:t>Inde : Pourquoi les agriculteurs s'opposent-ils aux réformes de Modi ?</w:t>
      </w:r>
      <w:r>
        <w:t xml:space="preserve"> 13/12/2020, </w:t>
      </w:r>
      <w:hyperlink r:id="rId291" w:history="1">
        <w:r w:rsidRPr="005F3F9F">
          <w:rPr>
            <w:rStyle w:val="Lienhypertexte"/>
          </w:rPr>
          <w:t>https://www.terre-net.fr/actualite-agricole/politique-syndicalisme/article/pourquoi-les-agriculteurs-s-opposent-ils-aux-reformes-de-modi-205-174606.html</w:t>
        </w:r>
      </w:hyperlink>
      <w:r>
        <w:t xml:space="preserve"> </w:t>
      </w:r>
    </w:p>
  </w:footnote>
  <w:footnote w:id="283">
    <w:p w14:paraId="58B2FA07" w14:textId="77777777" w:rsidR="00285BC7" w:rsidRDefault="00285BC7" w:rsidP="00285BC7">
      <w:pPr>
        <w:pStyle w:val="Notedebasdepage"/>
      </w:pPr>
      <w:r>
        <w:rPr>
          <w:rStyle w:val="Appelnotedebasdep"/>
        </w:rPr>
        <w:footnoteRef/>
      </w:r>
      <w:r>
        <w:t xml:space="preserve"> C’est pourquoi il est important de soutenir les associations et mouvement pour l’avancement des droits des femmes dans le monde.</w:t>
      </w:r>
    </w:p>
  </w:footnote>
  <w:footnote w:id="284">
    <w:p w14:paraId="652ED0E2" w14:textId="77777777" w:rsidR="00285BC7" w:rsidRDefault="00285BC7" w:rsidP="00285BC7">
      <w:pPr>
        <w:pStyle w:val="Notedebasdepage"/>
        <w:jc w:val="both"/>
      </w:pPr>
      <w:r>
        <w:rPr>
          <w:rStyle w:val="Appelnotedebasdep"/>
        </w:rPr>
        <w:footnoteRef/>
      </w:r>
      <w:r>
        <w:t xml:space="preserve"> </w:t>
      </w:r>
      <w:r w:rsidRPr="00051AB4">
        <w:rPr>
          <w:i/>
          <w:iCs/>
        </w:rPr>
        <w:t>La coopérative des femmes de Nganda au Sénégal</w:t>
      </w:r>
      <w:r w:rsidRPr="00051AB4">
        <w:t xml:space="preserve">, 09/04/2021, </w:t>
      </w:r>
      <w:hyperlink r:id="rId292" w:history="1">
        <w:r w:rsidRPr="00073649">
          <w:rPr>
            <w:rStyle w:val="Lienhypertexte"/>
          </w:rPr>
          <w:t>https://www.rfi.fr/fr/podcasts/le-coq-chante/20210409-la-coop%C3%A9rative-des-femmes-de-nganda-au-s%C3%A9n%C3%A9gal</w:t>
        </w:r>
      </w:hyperlink>
      <w:r>
        <w:t xml:space="preserve"> </w:t>
      </w:r>
    </w:p>
  </w:footnote>
  <w:footnote w:id="285">
    <w:p w14:paraId="50104EFC" w14:textId="77777777" w:rsidR="00285BC7" w:rsidRDefault="00285BC7" w:rsidP="00285BC7">
      <w:pPr>
        <w:pStyle w:val="Notedebasdepage"/>
      </w:pPr>
      <w:r>
        <w:rPr>
          <w:rStyle w:val="Appelnotedebasdep"/>
        </w:rPr>
        <w:footnoteRef/>
      </w:r>
      <w:r>
        <w:t xml:space="preserve"> </w:t>
      </w:r>
      <w:r w:rsidRPr="007424A0">
        <w:rPr>
          <w:i/>
          <w:iCs/>
        </w:rPr>
        <w:t>Les coopératives de femmes stimulent l’agriculture et l’épargne en Éthiopie rurale</w:t>
      </w:r>
      <w:r w:rsidRPr="007424A0">
        <w:t xml:space="preserve">, 01/08/2018, </w:t>
      </w:r>
      <w:hyperlink r:id="rId293" w:history="1">
        <w:r w:rsidRPr="00073649">
          <w:rPr>
            <w:rStyle w:val="Lienhypertexte"/>
          </w:rPr>
          <w:t>https://www.unwomen.org/fr/news/stories/2018/7/feature-ethiopia-cooperatives-boost-agriculture-and-savings</w:t>
        </w:r>
      </w:hyperlink>
      <w:r>
        <w:t xml:space="preserve"> </w:t>
      </w:r>
    </w:p>
  </w:footnote>
  <w:footnote w:id="286">
    <w:p w14:paraId="41C466EF" w14:textId="3FCBEB89" w:rsidR="009D04CC" w:rsidRDefault="009D04CC" w:rsidP="009D04CC">
      <w:pPr>
        <w:pStyle w:val="Notedebasdepage"/>
        <w:jc w:val="both"/>
      </w:pPr>
      <w:r>
        <w:rPr>
          <w:rStyle w:val="Appelnotedebasdep"/>
        </w:rPr>
        <w:footnoteRef/>
      </w:r>
      <w:r>
        <w:t xml:space="preserve"> Il est souvent bien plus facile de donner des conseils [Ya Ka Fo Kon] que de les réaliser. L’auteur a subi plusieurs échecs, en Afrique, à cause de vols, d’escroqueries, de la corruption ambiante et aussi à cause d’un</w:t>
      </w:r>
      <w:r w:rsidR="006B674A">
        <w:t>e</w:t>
      </w:r>
      <w:r>
        <w:t xml:space="preserve"> trop grande franchise naïve</w:t>
      </w:r>
      <w:r w:rsidR="00B504DA">
        <w:t xml:space="preserve"> ou d’un manque de diplomatie</w:t>
      </w:r>
      <w:r>
        <w:t>, à l’exemple de ce</w:t>
      </w:r>
      <w:r w:rsidR="00B504DA">
        <w:t>ux</w:t>
      </w:r>
      <w:r>
        <w:t xml:space="preserve"> de l’agronome René Dumont, dont les critiques des maux de l’Afrique</w:t>
      </w:r>
      <w:r w:rsidR="006B674A">
        <w:t xml:space="preserve"> (mauvaises gouvernances etc. …)</w:t>
      </w:r>
      <w:r>
        <w:t xml:space="preserve"> n’ont guère été goûtées </w:t>
      </w:r>
      <w:r w:rsidR="006B674A">
        <w:t>sur place</w:t>
      </w:r>
      <w:r>
        <w:t xml:space="preserve">. Voir son livre </w:t>
      </w:r>
      <w:r w:rsidR="006B674A" w:rsidRPr="006B674A">
        <w:rPr>
          <w:i/>
          <w:iCs/>
        </w:rPr>
        <w:t>L'Afrique noire est mal partie</w:t>
      </w:r>
      <w:r w:rsidR="006B674A" w:rsidRPr="006B674A">
        <w:t>, Ed</w:t>
      </w:r>
      <w:r w:rsidR="006B674A">
        <w:t>itions</w:t>
      </w:r>
      <w:r w:rsidR="006B674A" w:rsidRPr="006B674A">
        <w:t xml:space="preserve"> Seuil, 1ère édition 1962.</w:t>
      </w:r>
    </w:p>
  </w:footnote>
  <w:footnote w:id="287">
    <w:p w14:paraId="34719152" w14:textId="2F728C86" w:rsidR="00231B39" w:rsidRPr="00231B39" w:rsidRDefault="00231B39">
      <w:pPr>
        <w:pStyle w:val="Notedebasdepage"/>
        <w:rPr>
          <w:lang w:val="en-GB"/>
        </w:rPr>
      </w:pPr>
      <w:r>
        <w:rPr>
          <w:rStyle w:val="Appelnotedebasdep"/>
        </w:rPr>
        <w:footnoteRef/>
      </w:r>
      <w:r>
        <w:t xml:space="preserve"> Voir la controverse sur la culture du coton-BT en Inde. </w:t>
      </w:r>
      <w:r w:rsidRPr="00231B39">
        <w:rPr>
          <w:lang w:val="en-GB"/>
        </w:rPr>
        <w:t xml:space="preserve">Cf. </w:t>
      </w:r>
      <w:hyperlink r:id="rId294" w:history="1">
        <w:r w:rsidRPr="005F3F9F">
          <w:rPr>
            <w:rStyle w:val="Lienhypertexte"/>
            <w:lang w:val="en-GB"/>
          </w:rPr>
          <w:t>https://fr.wikipedia.org/wiki/Coton_Bt</w:t>
        </w:r>
      </w:hyperlink>
      <w:r>
        <w:rPr>
          <w:lang w:val="en-GB"/>
        </w:rPr>
        <w:t xml:space="preserve"> </w:t>
      </w:r>
    </w:p>
  </w:footnote>
  <w:footnote w:id="288">
    <w:p w14:paraId="1C9EA9E4" w14:textId="750E8145" w:rsidR="0050313B" w:rsidRDefault="0050313B">
      <w:pPr>
        <w:pStyle w:val="Notedebasdepage"/>
      </w:pPr>
      <w:r>
        <w:rPr>
          <w:rStyle w:val="Appelnotedebasdep"/>
        </w:rPr>
        <w:footnoteRef/>
      </w:r>
      <w:r>
        <w:t xml:space="preserve"> « </w:t>
      </w:r>
      <w:r w:rsidRPr="0050313B">
        <w:rPr>
          <w:i/>
          <w:iCs/>
        </w:rPr>
        <w:t>L’Afrique noire est mal partie</w:t>
      </w:r>
      <w:r>
        <w:t> », ibid.</w:t>
      </w:r>
    </w:p>
  </w:footnote>
  <w:footnote w:id="289">
    <w:p w14:paraId="499442C9" w14:textId="0620B22C" w:rsidR="00606F0D" w:rsidRDefault="00606F0D">
      <w:pPr>
        <w:pStyle w:val="Notedebasdepage"/>
      </w:pPr>
      <w:r>
        <w:rPr>
          <w:rStyle w:val="Appelnotedebasdep"/>
        </w:rPr>
        <w:footnoteRef/>
      </w:r>
      <w:r>
        <w:t xml:space="preserve"> La corruption existe dans tous les pays. Mais dans les pays pauvres, elle y cause beaucoup plus de dégâts.</w:t>
      </w:r>
    </w:p>
  </w:footnote>
  <w:footnote w:id="290">
    <w:p w14:paraId="384DFC7E" w14:textId="7C6A3618" w:rsidR="0050313B" w:rsidRDefault="0050313B" w:rsidP="0050313B">
      <w:pPr>
        <w:pStyle w:val="Notedebasdepage"/>
        <w:jc w:val="both"/>
      </w:pPr>
      <w:r>
        <w:rPr>
          <w:rStyle w:val="Appelnotedebasdep"/>
        </w:rPr>
        <w:footnoteRef/>
      </w:r>
      <w:r>
        <w:t xml:space="preserve"> Souvent l’auteur, pour plaisanter, préconise que les gouvernements soient audités, aidés par des conseillers (et auditeurs) économistes norvégiens (la Norvège étant un des pays où le taux de corruption est le plus bas au monde). Souvent par boutade, il dit que si Madagascar était dirigé par des norvégien, son PIB par habitant serait comparable à celui de la Norvège actuelle.</w:t>
      </w:r>
    </w:p>
    <w:p w14:paraId="11AA3A4C" w14:textId="58F9568D" w:rsidR="0050313B" w:rsidRDefault="0050313B" w:rsidP="0050313B">
      <w:pPr>
        <w:pStyle w:val="Notedebasdepage"/>
        <w:jc w:val="both"/>
      </w:pPr>
      <w:r>
        <w:t xml:space="preserve">S’il n’y avait l’extrême susceptibilité, qui s’y oppose, des dirigeants africains (détestant qu’on s’ingère dans leurs affaires), l’idée de leur adjoindre des conseillers économiques norvégiens ne serait pas une si mauvaise idée. </w:t>
      </w:r>
    </w:p>
  </w:footnote>
  <w:footnote w:id="291">
    <w:p w14:paraId="2BA24F9F" w14:textId="7C2FC466" w:rsidR="00B5104D" w:rsidRDefault="00B5104D" w:rsidP="0050313B">
      <w:pPr>
        <w:pStyle w:val="Notedebasdepage"/>
        <w:jc w:val="both"/>
      </w:pPr>
      <w:r>
        <w:rPr>
          <w:rStyle w:val="Appelnotedebasdep"/>
        </w:rPr>
        <w:footnoteRef/>
      </w:r>
      <w:r>
        <w:t xml:space="preserve"> Certains militaires corrompus n’hésitant pas à revendre des armes (de leur armée) à des terroristes et des bandits, pour se faire de l’argent (par cupidité).</w:t>
      </w:r>
    </w:p>
  </w:footnote>
  <w:footnote w:id="292">
    <w:p w14:paraId="2C4A1A74" w14:textId="1DEE7BDE" w:rsidR="00981E76" w:rsidRDefault="00981E76">
      <w:pPr>
        <w:pStyle w:val="Notedebasdepage"/>
      </w:pPr>
      <w:r>
        <w:rPr>
          <w:rStyle w:val="Appelnotedebasdep"/>
        </w:rPr>
        <w:footnoteRef/>
      </w:r>
      <w:r>
        <w:t xml:space="preserve"> </w:t>
      </w:r>
      <w:r w:rsidRPr="00981E76">
        <w:rPr>
          <w:i/>
          <w:iCs/>
        </w:rPr>
        <w:t>Vidange brutale d'un lac glaciaire</w:t>
      </w:r>
      <w:r w:rsidRPr="00981E76">
        <w:t xml:space="preserve">, </w:t>
      </w:r>
      <w:hyperlink r:id="rId295" w:history="1">
        <w:r w:rsidRPr="005A014B">
          <w:rPr>
            <w:rStyle w:val="Lienhypertexte"/>
          </w:rPr>
          <w:t>https://fr.wikipedia.org/wiki/Vidange_brutale_d%27un_lac_glaciaire</w:t>
        </w:r>
      </w:hyperlink>
      <w:r>
        <w:t xml:space="preserve"> </w:t>
      </w:r>
    </w:p>
  </w:footnote>
  <w:footnote w:id="293">
    <w:p w14:paraId="1FC490CC" w14:textId="77777777" w:rsidR="00750795" w:rsidRDefault="00750795" w:rsidP="00750795">
      <w:pPr>
        <w:pStyle w:val="Notedebasdepage"/>
        <w:jc w:val="both"/>
      </w:pPr>
      <w:r>
        <w:rPr>
          <w:rStyle w:val="Appelnotedebasdep"/>
        </w:rPr>
        <w:footnoteRef/>
      </w:r>
      <w:r>
        <w:t xml:space="preserve"> </w:t>
      </w:r>
      <w:r w:rsidRPr="005C0D3C">
        <w:rPr>
          <w:rFonts w:ascii="Calibri" w:hAnsi="Calibri" w:cs="Calibri"/>
        </w:rPr>
        <w:t>Son temps de téléchargement dépend du débit de votre ligne ADSL ou fibre et peut varier de quelques heures à quelques jours.</w:t>
      </w:r>
    </w:p>
  </w:footnote>
  <w:footnote w:id="294">
    <w:p w14:paraId="7FBBC458" w14:textId="074C88C9" w:rsidR="00D46BDD" w:rsidRDefault="00D46BDD" w:rsidP="00D46BDD">
      <w:pPr>
        <w:pStyle w:val="Notedebasdepage"/>
        <w:jc w:val="both"/>
      </w:pPr>
      <w:r>
        <w:rPr>
          <w:rStyle w:val="Appelnotedebasdep"/>
        </w:rPr>
        <w:footnoteRef/>
      </w:r>
      <w:r>
        <w:t xml:space="preserve"> </w:t>
      </w:r>
      <w:r w:rsidRPr="00D46BDD">
        <w:t xml:space="preserve">Par exemple, </w:t>
      </w:r>
      <w:r w:rsidRPr="00D46BDD">
        <w:rPr>
          <w:i/>
          <w:iCs/>
        </w:rPr>
        <w:t>Atriplex semibaccata</w:t>
      </w:r>
      <w:r w:rsidRPr="00D46BDD">
        <w:t xml:space="preserve"> est tolérant au sel et aux conditions sèches, ce qui fait qu’il est couramment utilisé pour l’</w:t>
      </w:r>
      <w:hyperlink r:id="rId296" w:history="1">
        <w:r w:rsidRPr="00D46BDD">
          <w:rPr>
            <w:rStyle w:val="Lienhypertexte"/>
          </w:rPr>
          <w:t>alimentation animale</w:t>
        </w:r>
      </w:hyperlink>
      <w:r w:rsidRPr="00D46BDD">
        <w:t xml:space="preserve">, dans les zones agricoles les plus pauvres. Source : </w:t>
      </w:r>
      <w:hyperlink r:id="rId297" w:history="1">
        <w:r w:rsidRPr="00D46BDD">
          <w:rPr>
            <w:rStyle w:val="Lienhypertexte"/>
          </w:rPr>
          <w:t>http://en.wikipedia.org/wiki/Atriplex_semibaccata</w:t>
        </w:r>
      </w:hyperlink>
    </w:p>
  </w:footnote>
  <w:footnote w:id="295">
    <w:p w14:paraId="52E9C1CD" w14:textId="77777777" w:rsidR="00E3668B" w:rsidRDefault="00DE60FE" w:rsidP="00DE60FE">
      <w:pPr>
        <w:pStyle w:val="Notedebasdepage"/>
        <w:jc w:val="both"/>
      </w:pPr>
      <w:r>
        <w:rPr>
          <w:rStyle w:val="Appelnotedebasdep"/>
        </w:rPr>
        <w:footnoteRef/>
      </w:r>
      <w:r>
        <w:t xml:space="preserve"> </w:t>
      </w:r>
      <w:r w:rsidRPr="00DE60FE">
        <w:t xml:space="preserve">Le score indiqué, est celui fourni par la base PIER pour </w:t>
      </w:r>
      <w:r w:rsidRPr="00DE60FE">
        <w:rPr>
          <w:i/>
          <w:iCs/>
        </w:rPr>
        <w:t>Opuntia stricta</w:t>
      </w:r>
      <w:r w:rsidRPr="00DE60FE">
        <w:t xml:space="preserve">, alors qu’elle n’a donné aucun score </w:t>
      </w:r>
    </w:p>
    <w:p w14:paraId="151566A7" w14:textId="7AFAA534" w:rsidR="00DE60FE" w:rsidRDefault="00AB14E6" w:rsidP="00DE60FE">
      <w:pPr>
        <w:pStyle w:val="Notedebasdepage"/>
        <w:jc w:val="both"/>
      </w:pPr>
      <w:r>
        <w:t xml:space="preserve">  </w:t>
      </w:r>
      <w:r w:rsidR="00DE60FE" w:rsidRPr="00DE60FE">
        <w:t xml:space="preserve">pour </w:t>
      </w:r>
      <w:r w:rsidR="00DE60FE" w:rsidRPr="00DE60FE">
        <w:rPr>
          <w:i/>
          <w:iCs/>
        </w:rPr>
        <w:t xml:space="preserve">Opuntia ficus-indica, </w:t>
      </w:r>
      <w:r w:rsidR="00DE60FE" w:rsidRPr="00DE60FE">
        <w:t>quoique très invasive.</w:t>
      </w:r>
    </w:p>
  </w:footnote>
  <w:footnote w:id="296">
    <w:p w14:paraId="763367CD" w14:textId="1D801DE1" w:rsidR="00481D74" w:rsidRDefault="00481D74">
      <w:pPr>
        <w:pStyle w:val="Notedebasdepage"/>
      </w:pPr>
      <w:r>
        <w:rPr>
          <w:rStyle w:val="Appelnotedebasdep"/>
        </w:rPr>
        <w:footnoteRef/>
      </w:r>
      <w:r>
        <w:t xml:space="preserve"> </w:t>
      </w:r>
      <w:r w:rsidRPr="00481D74">
        <w:t xml:space="preserve">Ce que l’on désigne sous le terme générique </w:t>
      </w:r>
      <w:r w:rsidR="00A366B0" w:rsidRPr="00481D74">
        <w:t>d’</w:t>
      </w:r>
      <w:r w:rsidR="00A366B0" w:rsidRPr="00A366B0">
        <w:rPr>
          <w:i/>
          <w:iCs/>
        </w:rPr>
        <w:t>Opuntia</w:t>
      </w:r>
      <w:r w:rsidRPr="00481D74">
        <w:rPr>
          <w:i/>
          <w:iCs/>
        </w:rPr>
        <w:t xml:space="preserve"> spp</w:t>
      </w:r>
      <w:r w:rsidRPr="00481D74">
        <w:t>.</w:t>
      </w:r>
    </w:p>
  </w:footnote>
  <w:footnote w:id="297">
    <w:p w14:paraId="6AA77491" w14:textId="4ABE0CF1" w:rsidR="00674F62" w:rsidRPr="00674F62" w:rsidRDefault="00674F62">
      <w:pPr>
        <w:pStyle w:val="Notedebasdepage"/>
        <w:rPr>
          <w:lang w:val="en-GB"/>
        </w:rPr>
      </w:pPr>
      <w:r>
        <w:rPr>
          <w:rStyle w:val="Appelnotedebasdep"/>
        </w:rPr>
        <w:footnoteRef/>
      </w:r>
      <w:r w:rsidRPr="00674F62">
        <w:rPr>
          <w:lang w:val="en-GB"/>
        </w:rPr>
        <w:t xml:space="preserve"> Cf. </w:t>
      </w:r>
      <w:hyperlink r:id="rId298" w:history="1">
        <w:r w:rsidRPr="00674F62">
          <w:rPr>
            <w:rStyle w:val="Lienhypertexte"/>
            <w:lang w:val="en-GB"/>
          </w:rPr>
          <w:t>http://www.gardicam.com/invasives.php</w:t>
        </w:r>
      </w:hyperlink>
    </w:p>
  </w:footnote>
  <w:footnote w:id="298">
    <w:p w14:paraId="19086C18" w14:textId="77777777" w:rsidR="002A44DB" w:rsidRDefault="00F118EC" w:rsidP="00F118EC">
      <w:pPr>
        <w:pStyle w:val="Notedebasdepage"/>
        <w:jc w:val="both"/>
      </w:pPr>
      <w:r>
        <w:rPr>
          <w:rStyle w:val="Appelnotedebasdep"/>
        </w:rPr>
        <w:footnoteRef/>
      </w:r>
      <w:r>
        <w:t xml:space="preserve"> </w:t>
      </w:r>
      <w:r w:rsidRPr="00DE60FE">
        <w:t xml:space="preserve">Le score indiqué, est celui fourni par la base PIER pour </w:t>
      </w:r>
      <w:r w:rsidRPr="00DE60FE">
        <w:rPr>
          <w:i/>
          <w:iCs/>
        </w:rPr>
        <w:t>Opuntia stricta</w:t>
      </w:r>
      <w:r w:rsidRPr="00DE60FE">
        <w:t xml:space="preserve">, alors qu’elle n’a donné aucun score </w:t>
      </w:r>
    </w:p>
    <w:p w14:paraId="56C498DF" w14:textId="103BDA9B" w:rsidR="00F118EC" w:rsidRDefault="002A44DB" w:rsidP="00F118EC">
      <w:pPr>
        <w:pStyle w:val="Notedebasdepage"/>
        <w:jc w:val="both"/>
      </w:pPr>
      <w:r>
        <w:t xml:space="preserve">   </w:t>
      </w:r>
      <w:r w:rsidR="00F118EC" w:rsidRPr="00DE60FE">
        <w:t xml:space="preserve">pour </w:t>
      </w:r>
      <w:r w:rsidR="00F118EC" w:rsidRPr="00DE60FE">
        <w:rPr>
          <w:i/>
          <w:iCs/>
        </w:rPr>
        <w:t xml:space="preserve">Opuntia ficus-indica, </w:t>
      </w:r>
      <w:r w:rsidR="00F118EC" w:rsidRPr="00DE60FE">
        <w:t>quoique</w:t>
      </w:r>
      <w:r w:rsidR="00A366B0">
        <w:t>, elle aussi,</w:t>
      </w:r>
      <w:r w:rsidR="00F118EC" w:rsidRPr="00DE60FE">
        <w:t xml:space="preserve"> très invasive.</w:t>
      </w:r>
    </w:p>
  </w:footnote>
  <w:footnote w:id="299">
    <w:p w14:paraId="07BC2D68" w14:textId="636449A6" w:rsidR="00356847" w:rsidRDefault="00356847">
      <w:pPr>
        <w:pStyle w:val="Notedebasdepage"/>
      </w:pPr>
      <w:r>
        <w:rPr>
          <w:rStyle w:val="Appelnotedebasdep"/>
        </w:rPr>
        <w:footnoteRef/>
      </w:r>
      <w:r>
        <w:t xml:space="preserve"> </w:t>
      </w:r>
      <w:hyperlink r:id="rId299" w:history="1">
        <w:r w:rsidRPr="00356847">
          <w:rPr>
            <w:rStyle w:val="Lienhypertexte"/>
          </w:rPr>
          <w:t>http://nature.jardin.free.fr/arbuste/ft_tamarix_af.html</w:t>
        </w:r>
      </w:hyperlink>
      <w:r w:rsidRPr="00356847">
        <w:t xml:space="preserve">  </w:t>
      </w:r>
    </w:p>
  </w:footnote>
  <w:footnote w:id="300">
    <w:p w14:paraId="5FDF91B4" w14:textId="77777777" w:rsidR="00133487" w:rsidRDefault="00133487" w:rsidP="00133487">
      <w:pPr>
        <w:pStyle w:val="Notedebasdepage"/>
      </w:pPr>
      <w:r>
        <w:rPr>
          <w:rStyle w:val="Appelnotedebasdep"/>
        </w:rPr>
        <w:footnoteRef/>
      </w:r>
      <w:r>
        <w:t xml:space="preserve"> I</w:t>
      </w:r>
      <w:r w:rsidRPr="005A093B">
        <w:t>ssu de la réaction de diméthylamine, un amine secondaire, un dérivé de l'ammoniac</w:t>
      </w:r>
      <w:r>
        <w:t>, avec le</w:t>
      </w:r>
      <w:r w:rsidRPr="005A093B">
        <w:t xml:space="preserve"> permanganate de potassium</w:t>
      </w:r>
      <w:r>
        <w:t>, en milieu aqueux</w:t>
      </w:r>
      <w:r w:rsidRPr="005A093B">
        <w:t>.</w:t>
      </w:r>
    </w:p>
  </w:footnote>
  <w:footnote w:id="301">
    <w:p w14:paraId="63D794A6" w14:textId="77777777" w:rsidR="00D600DF" w:rsidRDefault="00D600DF" w:rsidP="00D600DF">
      <w:pPr>
        <w:pStyle w:val="Notedebasdepage"/>
      </w:pPr>
      <w:r>
        <w:rPr>
          <w:rStyle w:val="Appelnotedebasdep"/>
        </w:rPr>
        <w:footnoteRef/>
      </w:r>
      <w:r>
        <w:t xml:space="preserve"> Cf. </w:t>
      </w:r>
      <w:hyperlink r:id="rId300" w:history="1">
        <w:r w:rsidRPr="003E05A0">
          <w:rPr>
            <w:rStyle w:val="Lienhypertexte"/>
          </w:rPr>
          <w:t>https://seawatergreenhouse.com/technology</w:t>
        </w:r>
      </w:hyperlink>
      <w:r>
        <w:t xml:space="preserve"> </w:t>
      </w:r>
    </w:p>
  </w:footnote>
  <w:footnote w:id="302">
    <w:p w14:paraId="606E906D" w14:textId="77777777" w:rsidR="00D600DF" w:rsidRDefault="00D600DF" w:rsidP="00D600DF">
      <w:pPr>
        <w:pStyle w:val="Notedebasdepage"/>
      </w:pPr>
      <w:r>
        <w:rPr>
          <w:rStyle w:val="Appelnotedebasdep"/>
        </w:rPr>
        <w:footnoteRef/>
      </w:r>
      <w:r>
        <w:t xml:space="preserve"> a) La catastrophe écologique espagnole. Le revers du bio low-cost, Ben. Mason, 4 décembre 2019, </w:t>
      </w:r>
      <w:hyperlink r:id="rId301" w:history="1">
        <w:r w:rsidRPr="003E05A0">
          <w:rPr>
            <w:rStyle w:val="Lienhypertexte"/>
          </w:rPr>
          <w:t>https://autonomiejardin.com/2019/12/04/catastrophe-agroecologique-espagnole-le-revers-du-bio-low-cost/</w:t>
        </w:r>
      </w:hyperlink>
      <w:r>
        <w:t xml:space="preserve"> </w:t>
      </w:r>
    </w:p>
    <w:p w14:paraId="0CA78390" w14:textId="77777777" w:rsidR="00D600DF" w:rsidRPr="00CD6F49" w:rsidRDefault="00D600DF" w:rsidP="00D600DF">
      <w:pPr>
        <w:pStyle w:val="Notedebasdepage"/>
        <w:rPr>
          <w:lang w:val="en-GB"/>
        </w:rPr>
      </w:pPr>
      <w:r w:rsidRPr="00CD6F49">
        <w:rPr>
          <w:lang w:val="en-GB"/>
        </w:rPr>
        <w:t xml:space="preserve">b) Intensive farming in Almería, </w:t>
      </w:r>
      <w:hyperlink r:id="rId302" w:history="1">
        <w:r w:rsidRPr="003E05A0">
          <w:rPr>
            <w:rStyle w:val="Lienhypertexte"/>
            <w:lang w:val="en-GB"/>
          </w:rPr>
          <w:t>https://en.wikipedia.org/wiki/Intensive_farming_in_Almer%C3%ADa</w:t>
        </w:r>
      </w:hyperlink>
      <w:r>
        <w:rPr>
          <w:lang w:val="en-GB"/>
        </w:rPr>
        <w:t xml:space="preserve"> </w:t>
      </w:r>
    </w:p>
    <w:p w14:paraId="116ED640" w14:textId="77777777" w:rsidR="00D600DF" w:rsidRDefault="00D600DF" w:rsidP="00D600DF">
      <w:pPr>
        <w:pStyle w:val="Notedebasdepage"/>
      </w:pPr>
      <w:r>
        <w:t xml:space="preserve">c) « On va avoir un paysage lunaire ! » L’Espagne affronte la désertification, 8 février 2020, </w:t>
      </w:r>
      <w:hyperlink r:id="rId303" w:history="1">
        <w:r w:rsidRPr="003E05A0">
          <w:rPr>
            <w:rStyle w:val="Lienhypertexte"/>
          </w:rPr>
          <w:t>https://reporterre.net/On-va-avoir-un-paysage-lunaire-L-Espagne-affronte-la-desertification</w:t>
        </w:r>
      </w:hyperlink>
      <w:r>
        <w:t xml:space="preserve"> </w:t>
      </w:r>
    </w:p>
  </w:footnote>
  <w:footnote w:id="303">
    <w:p w14:paraId="492E4832" w14:textId="77777777" w:rsidR="007C18F9" w:rsidRDefault="007C18F9" w:rsidP="007C18F9">
      <w:pPr>
        <w:pStyle w:val="Notedebasdepage"/>
      </w:pPr>
      <w:r>
        <w:rPr>
          <w:rStyle w:val="Appelnotedebasdep"/>
        </w:rPr>
        <w:footnoteRef/>
      </w:r>
      <w:r>
        <w:t xml:space="preserve"> Evolutions conjointes.</w:t>
      </w:r>
    </w:p>
  </w:footnote>
  <w:footnote w:id="304">
    <w:p w14:paraId="0F94839A" w14:textId="64A92D75" w:rsidR="007C18F9" w:rsidRPr="00FA71E6" w:rsidRDefault="007C18F9" w:rsidP="007C18F9">
      <w:pPr>
        <w:pStyle w:val="Notedebasdepage"/>
        <w:rPr>
          <w:rFonts w:ascii="Calibri" w:hAnsi="Calibri" w:cs="Calibri"/>
        </w:rPr>
      </w:pPr>
      <w:r w:rsidRPr="00FA71E6">
        <w:rPr>
          <w:rStyle w:val="Appelnotedebasdep"/>
          <w:rFonts w:ascii="Calibri" w:hAnsi="Calibri" w:cs="Calibri"/>
        </w:rPr>
        <w:footnoteRef/>
      </w:r>
      <w:r w:rsidR="00B23CDA">
        <w:rPr>
          <w:rFonts w:ascii="Calibri" w:hAnsi="Calibri" w:cs="Calibri"/>
          <w:color w:val="000000" w:themeColor="text1"/>
        </w:rPr>
        <w:t xml:space="preserve"> </w:t>
      </w:r>
      <w:r w:rsidR="00B23CDA" w:rsidRPr="00B23CDA">
        <w:rPr>
          <w:rFonts w:ascii="Calibri" w:hAnsi="Calibri" w:cs="Calibri"/>
          <w:b/>
          <w:bCs/>
          <w:i/>
          <w:iCs/>
          <w:color w:val="000000" w:themeColor="text1"/>
        </w:rPr>
        <w:t xml:space="preserve">Édaphique, édaphisme : </w:t>
      </w:r>
      <w:r w:rsidR="00B23CDA" w:rsidRPr="00B23CDA">
        <w:rPr>
          <w:rFonts w:ascii="Calibri" w:hAnsi="Calibri" w:cs="Calibri"/>
          <w:color w:val="000000" w:themeColor="text1"/>
        </w:rPr>
        <w:t>qui a rapport au sol (structure, qualités physiques, chimiques ou biologiques) et à ses relations avec les végétaux</w:t>
      </w:r>
      <w:r w:rsidRPr="00FA71E6">
        <w:rPr>
          <w:rFonts w:ascii="Calibri" w:hAnsi="Calibri" w:cs="Calibri"/>
          <w:color w:val="202122"/>
          <w:shd w:val="clear" w:color="auto" w:fill="FFFFFF"/>
        </w:rPr>
        <w:t>. </w:t>
      </w:r>
    </w:p>
  </w:footnote>
  <w:footnote w:id="305">
    <w:p w14:paraId="1896F9B3" w14:textId="6EBD53D3" w:rsidR="007C18F9" w:rsidRPr="007C18F9" w:rsidRDefault="007C18F9">
      <w:pPr>
        <w:pStyle w:val="Notedebasdepage"/>
        <w:rPr>
          <w:lang w:val="en-GB"/>
        </w:rPr>
      </w:pPr>
      <w:r>
        <w:rPr>
          <w:rStyle w:val="Appelnotedebasdep"/>
        </w:rPr>
        <w:footnoteRef/>
      </w:r>
      <w:r w:rsidRPr="007C18F9">
        <w:rPr>
          <w:lang w:val="en-GB"/>
        </w:rPr>
        <w:t xml:space="preserve"> Cf. </w:t>
      </w:r>
      <w:hyperlink r:id="rId304" w:anchor="Conditions_de_l'invasivit%C3%A9" w:history="1">
        <w:r w:rsidRPr="00EE130C">
          <w:rPr>
            <w:rStyle w:val="Lienhypertexte"/>
            <w:lang w:val="en-GB"/>
          </w:rPr>
          <w:t>https://fr.wikipedia.org/wiki/Plante_envahissante#Conditions_de_l'invasivit%C3%A9</w:t>
        </w:r>
      </w:hyperlink>
      <w:r>
        <w:rPr>
          <w:lang w:val="en-GB"/>
        </w:rPr>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6A36B3"/>
    <w:multiLevelType w:val="hybridMultilevel"/>
    <w:tmpl w:val="5F3E2EF0"/>
    <w:lvl w:ilvl="0" w:tplc="3DF8E1CA">
      <w:start w:val="1"/>
      <w:numFmt w:val="bullet"/>
      <w:lvlText w:val="•"/>
      <w:lvlJc w:val="left"/>
      <w:pPr>
        <w:tabs>
          <w:tab w:val="num" w:pos="720"/>
        </w:tabs>
        <w:ind w:left="720" w:hanging="360"/>
      </w:pPr>
      <w:rPr>
        <w:rFonts w:ascii="Times New Roman" w:hAnsi="Times New Roman" w:hint="default"/>
      </w:rPr>
    </w:lvl>
    <w:lvl w:ilvl="1" w:tplc="8E30559C" w:tentative="1">
      <w:start w:val="1"/>
      <w:numFmt w:val="bullet"/>
      <w:lvlText w:val="•"/>
      <w:lvlJc w:val="left"/>
      <w:pPr>
        <w:tabs>
          <w:tab w:val="num" w:pos="1440"/>
        </w:tabs>
        <w:ind w:left="1440" w:hanging="360"/>
      </w:pPr>
      <w:rPr>
        <w:rFonts w:ascii="Times New Roman" w:hAnsi="Times New Roman" w:hint="default"/>
      </w:rPr>
    </w:lvl>
    <w:lvl w:ilvl="2" w:tplc="91B42056" w:tentative="1">
      <w:start w:val="1"/>
      <w:numFmt w:val="bullet"/>
      <w:lvlText w:val="•"/>
      <w:lvlJc w:val="left"/>
      <w:pPr>
        <w:tabs>
          <w:tab w:val="num" w:pos="2160"/>
        </w:tabs>
        <w:ind w:left="2160" w:hanging="360"/>
      </w:pPr>
      <w:rPr>
        <w:rFonts w:ascii="Times New Roman" w:hAnsi="Times New Roman" w:hint="default"/>
      </w:rPr>
    </w:lvl>
    <w:lvl w:ilvl="3" w:tplc="C38ECEA4" w:tentative="1">
      <w:start w:val="1"/>
      <w:numFmt w:val="bullet"/>
      <w:lvlText w:val="•"/>
      <w:lvlJc w:val="left"/>
      <w:pPr>
        <w:tabs>
          <w:tab w:val="num" w:pos="2880"/>
        </w:tabs>
        <w:ind w:left="2880" w:hanging="360"/>
      </w:pPr>
      <w:rPr>
        <w:rFonts w:ascii="Times New Roman" w:hAnsi="Times New Roman" w:hint="default"/>
      </w:rPr>
    </w:lvl>
    <w:lvl w:ilvl="4" w:tplc="08AAE1D4" w:tentative="1">
      <w:start w:val="1"/>
      <w:numFmt w:val="bullet"/>
      <w:lvlText w:val="•"/>
      <w:lvlJc w:val="left"/>
      <w:pPr>
        <w:tabs>
          <w:tab w:val="num" w:pos="3600"/>
        </w:tabs>
        <w:ind w:left="3600" w:hanging="360"/>
      </w:pPr>
      <w:rPr>
        <w:rFonts w:ascii="Times New Roman" w:hAnsi="Times New Roman" w:hint="default"/>
      </w:rPr>
    </w:lvl>
    <w:lvl w:ilvl="5" w:tplc="1040A95C" w:tentative="1">
      <w:start w:val="1"/>
      <w:numFmt w:val="bullet"/>
      <w:lvlText w:val="•"/>
      <w:lvlJc w:val="left"/>
      <w:pPr>
        <w:tabs>
          <w:tab w:val="num" w:pos="4320"/>
        </w:tabs>
        <w:ind w:left="4320" w:hanging="360"/>
      </w:pPr>
      <w:rPr>
        <w:rFonts w:ascii="Times New Roman" w:hAnsi="Times New Roman" w:hint="default"/>
      </w:rPr>
    </w:lvl>
    <w:lvl w:ilvl="6" w:tplc="C58654AE" w:tentative="1">
      <w:start w:val="1"/>
      <w:numFmt w:val="bullet"/>
      <w:lvlText w:val="•"/>
      <w:lvlJc w:val="left"/>
      <w:pPr>
        <w:tabs>
          <w:tab w:val="num" w:pos="5040"/>
        </w:tabs>
        <w:ind w:left="5040" w:hanging="360"/>
      </w:pPr>
      <w:rPr>
        <w:rFonts w:ascii="Times New Roman" w:hAnsi="Times New Roman" w:hint="default"/>
      </w:rPr>
    </w:lvl>
    <w:lvl w:ilvl="7" w:tplc="F84AE124" w:tentative="1">
      <w:start w:val="1"/>
      <w:numFmt w:val="bullet"/>
      <w:lvlText w:val="•"/>
      <w:lvlJc w:val="left"/>
      <w:pPr>
        <w:tabs>
          <w:tab w:val="num" w:pos="5760"/>
        </w:tabs>
        <w:ind w:left="5760" w:hanging="360"/>
      </w:pPr>
      <w:rPr>
        <w:rFonts w:ascii="Times New Roman" w:hAnsi="Times New Roman" w:hint="default"/>
      </w:rPr>
    </w:lvl>
    <w:lvl w:ilvl="8" w:tplc="CAD6F7CE" w:tentative="1">
      <w:start w:val="1"/>
      <w:numFmt w:val="bullet"/>
      <w:lvlText w:val="•"/>
      <w:lvlJc w:val="left"/>
      <w:pPr>
        <w:tabs>
          <w:tab w:val="num" w:pos="6480"/>
        </w:tabs>
        <w:ind w:left="6480" w:hanging="360"/>
      </w:pPr>
      <w:rPr>
        <w:rFonts w:ascii="Times New Roman" w:hAnsi="Times New Roman" w:hint="default"/>
      </w:rPr>
    </w:lvl>
  </w:abstractNum>
  <w:abstractNum w:abstractNumId="1" w15:restartNumberingAfterBreak="0">
    <w:nsid w:val="03A46944"/>
    <w:multiLevelType w:val="hybridMultilevel"/>
    <w:tmpl w:val="2E526FC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3C30DC2"/>
    <w:multiLevelType w:val="hybridMultilevel"/>
    <w:tmpl w:val="1EDC46EA"/>
    <w:lvl w:ilvl="0" w:tplc="F416BABC">
      <w:start w:val="1"/>
      <w:numFmt w:val="bullet"/>
      <w:lvlText w:val="•"/>
      <w:lvlJc w:val="left"/>
      <w:pPr>
        <w:tabs>
          <w:tab w:val="num" w:pos="720"/>
        </w:tabs>
        <w:ind w:left="720" w:hanging="360"/>
      </w:pPr>
      <w:rPr>
        <w:rFonts w:ascii="Arial" w:hAnsi="Arial" w:hint="default"/>
      </w:rPr>
    </w:lvl>
    <w:lvl w:ilvl="1" w:tplc="42B6AB22" w:tentative="1">
      <w:start w:val="1"/>
      <w:numFmt w:val="bullet"/>
      <w:lvlText w:val="•"/>
      <w:lvlJc w:val="left"/>
      <w:pPr>
        <w:tabs>
          <w:tab w:val="num" w:pos="1440"/>
        </w:tabs>
        <w:ind w:left="1440" w:hanging="360"/>
      </w:pPr>
      <w:rPr>
        <w:rFonts w:ascii="Arial" w:hAnsi="Arial" w:hint="default"/>
      </w:rPr>
    </w:lvl>
    <w:lvl w:ilvl="2" w:tplc="E4029C38" w:tentative="1">
      <w:start w:val="1"/>
      <w:numFmt w:val="bullet"/>
      <w:lvlText w:val="•"/>
      <w:lvlJc w:val="left"/>
      <w:pPr>
        <w:tabs>
          <w:tab w:val="num" w:pos="2160"/>
        </w:tabs>
        <w:ind w:left="2160" w:hanging="360"/>
      </w:pPr>
      <w:rPr>
        <w:rFonts w:ascii="Arial" w:hAnsi="Arial" w:hint="default"/>
      </w:rPr>
    </w:lvl>
    <w:lvl w:ilvl="3" w:tplc="ABEE45B8" w:tentative="1">
      <w:start w:val="1"/>
      <w:numFmt w:val="bullet"/>
      <w:lvlText w:val="•"/>
      <w:lvlJc w:val="left"/>
      <w:pPr>
        <w:tabs>
          <w:tab w:val="num" w:pos="2880"/>
        </w:tabs>
        <w:ind w:left="2880" w:hanging="360"/>
      </w:pPr>
      <w:rPr>
        <w:rFonts w:ascii="Arial" w:hAnsi="Arial" w:hint="default"/>
      </w:rPr>
    </w:lvl>
    <w:lvl w:ilvl="4" w:tplc="F536A9BC" w:tentative="1">
      <w:start w:val="1"/>
      <w:numFmt w:val="bullet"/>
      <w:lvlText w:val="•"/>
      <w:lvlJc w:val="left"/>
      <w:pPr>
        <w:tabs>
          <w:tab w:val="num" w:pos="3600"/>
        </w:tabs>
        <w:ind w:left="3600" w:hanging="360"/>
      </w:pPr>
      <w:rPr>
        <w:rFonts w:ascii="Arial" w:hAnsi="Arial" w:hint="default"/>
      </w:rPr>
    </w:lvl>
    <w:lvl w:ilvl="5" w:tplc="41826CAA" w:tentative="1">
      <w:start w:val="1"/>
      <w:numFmt w:val="bullet"/>
      <w:lvlText w:val="•"/>
      <w:lvlJc w:val="left"/>
      <w:pPr>
        <w:tabs>
          <w:tab w:val="num" w:pos="4320"/>
        </w:tabs>
        <w:ind w:left="4320" w:hanging="360"/>
      </w:pPr>
      <w:rPr>
        <w:rFonts w:ascii="Arial" w:hAnsi="Arial" w:hint="default"/>
      </w:rPr>
    </w:lvl>
    <w:lvl w:ilvl="6" w:tplc="420E836A" w:tentative="1">
      <w:start w:val="1"/>
      <w:numFmt w:val="bullet"/>
      <w:lvlText w:val="•"/>
      <w:lvlJc w:val="left"/>
      <w:pPr>
        <w:tabs>
          <w:tab w:val="num" w:pos="5040"/>
        </w:tabs>
        <w:ind w:left="5040" w:hanging="360"/>
      </w:pPr>
      <w:rPr>
        <w:rFonts w:ascii="Arial" w:hAnsi="Arial" w:hint="default"/>
      </w:rPr>
    </w:lvl>
    <w:lvl w:ilvl="7" w:tplc="E1368002" w:tentative="1">
      <w:start w:val="1"/>
      <w:numFmt w:val="bullet"/>
      <w:lvlText w:val="•"/>
      <w:lvlJc w:val="left"/>
      <w:pPr>
        <w:tabs>
          <w:tab w:val="num" w:pos="5760"/>
        </w:tabs>
        <w:ind w:left="5760" w:hanging="360"/>
      </w:pPr>
      <w:rPr>
        <w:rFonts w:ascii="Arial" w:hAnsi="Arial" w:hint="default"/>
      </w:rPr>
    </w:lvl>
    <w:lvl w:ilvl="8" w:tplc="332A4474"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06FC10AD"/>
    <w:multiLevelType w:val="hybridMultilevel"/>
    <w:tmpl w:val="00FE875C"/>
    <w:lvl w:ilvl="0" w:tplc="7E1A292E">
      <w:start w:val="1"/>
      <w:numFmt w:val="bullet"/>
      <w:lvlText w:val="•"/>
      <w:lvlJc w:val="left"/>
      <w:pPr>
        <w:tabs>
          <w:tab w:val="num" w:pos="720"/>
        </w:tabs>
        <w:ind w:left="720" w:hanging="360"/>
      </w:pPr>
      <w:rPr>
        <w:rFonts w:ascii="Arial" w:hAnsi="Arial" w:hint="default"/>
      </w:rPr>
    </w:lvl>
    <w:lvl w:ilvl="1" w:tplc="5018078A" w:tentative="1">
      <w:start w:val="1"/>
      <w:numFmt w:val="bullet"/>
      <w:lvlText w:val="•"/>
      <w:lvlJc w:val="left"/>
      <w:pPr>
        <w:tabs>
          <w:tab w:val="num" w:pos="1440"/>
        </w:tabs>
        <w:ind w:left="1440" w:hanging="360"/>
      </w:pPr>
      <w:rPr>
        <w:rFonts w:ascii="Arial" w:hAnsi="Arial" w:hint="default"/>
      </w:rPr>
    </w:lvl>
    <w:lvl w:ilvl="2" w:tplc="B1E4158E" w:tentative="1">
      <w:start w:val="1"/>
      <w:numFmt w:val="bullet"/>
      <w:lvlText w:val="•"/>
      <w:lvlJc w:val="left"/>
      <w:pPr>
        <w:tabs>
          <w:tab w:val="num" w:pos="2160"/>
        </w:tabs>
        <w:ind w:left="2160" w:hanging="360"/>
      </w:pPr>
      <w:rPr>
        <w:rFonts w:ascii="Arial" w:hAnsi="Arial" w:hint="default"/>
      </w:rPr>
    </w:lvl>
    <w:lvl w:ilvl="3" w:tplc="38C06AD6" w:tentative="1">
      <w:start w:val="1"/>
      <w:numFmt w:val="bullet"/>
      <w:lvlText w:val="•"/>
      <w:lvlJc w:val="left"/>
      <w:pPr>
        <w:tabs>
          <w:tab w:val="num" w:pos="2880"/>
        </w:tabs>
        <w:ind w:left="2880" w:hanging="360"/>
      </w:pPr>
      <w:rPr>
        <w:rFonts w:ascii="Arial" w:hAnsi="Arial" w:hint="default"/>
      </w:rPr>
    </w:lvl>
    <w:lvl w:ilvl="4" w:tplc="2404FCF4" w:tentative="1">
      <w:start w:val="1"/>
      <w:numFmt w:val="bullet"/>
      <w:lvlText w:val="•"/>
      <w:lvlJc w:val="left"/>
      <w:pPr>
        <w:tabs>
          <w:tab w:val="num" w:pos="3600"/>
        </w:tabs>
        <w:ind w:left="3600" w:hanging="360"/>
      </w:pPr>
      <w:rPr>
        <w:rFonts w:ascii="Arial" w:hAnsi="Arial" w:hint="default"/>
      </w:rPr>
    </w:lvl>
    <w:lvl w:ilvl="5" w:tplc="BA9217B8" w:tentative="1">
      <w:start w:val="1"/>
      <w:numFmt w:val="bullet"/>
      <w:lvlText w:val="•"/>
      <w:lvlJc w:val="left"/>
      <w:pPr>
        <w:tabs>
          <w:tab w:val="num" w:pos="4320"/>
        </w:tabs>
        <w:ind w:left="4320" w:hanging="360"/>
      </w:pPr>
      <w:rPr>
        <w:rFonts w:ascii="Arial" w:hAnsi="Arial" w:hint="default"/>
      </w:rPr>
    </w:lvl>
    <w:lvl w:ilvl="6" w:tplc="2F4A8F8A" w:tentative="1">
      <w:start w:val="1"/>
      <w:numFmt w:val="bullet"/>
      <w:lvlText w:val="•"/>
      <w:lvlJc w:val="left"/>
      <w:pPr>
        <w:tabs>
          <w:tab w:val="num" w:pos="5040"/>
        </w:tabs>
        <w:ind w:left="5040" w:hanging="360"/>
      </w:pPr>
      <w:rPr>
        <w:rFonts w:ascii="Arial" w:hAnsi="Arial" w:hint="default"/>
      </w:rPr>
    </w:lvl>
    <w:lvl w:ilvl="7" w:tplc="25B4C418" w:tentative="1">
      <w:start w:val="1"/>
      <w:numFmt w:val="bullet"/>
      <w:lvlText w:val="•"/>
      <w:lvlJc w:val="left"/>
      <w:pPr>
        <w:tabs>
          <w:tab w:val="num" w:pos="5760"/>
        </w:tabs>
        <w:ind w:left="5760" w:hanging="360"/>
      </w:pPr>
      <w:rPr>
        <w:rFonts w:ascii="Arial" w:hAnsi="Arial" w:hint="default"/>
      </w:rPr>
    </w:lvl>
    <w:lvl w:ilvl="8" w:tplc="65C8081C"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07667BC3"/>
    <w:multiLevelType w:val="hybridMultilevel"/>
    <w:tmpl w:val="63D0A71E"/>
    <w:lvl w:ilvl="0" w:tplc="B7B42C84">
      <w:start w:val="1"/>
      <w:numFmt w:val="bullet"/>
      <w:lvlText w:val="•"/>
      <w:lvlJc w:val="left"/>
      <w:pPr>
        <w:tabs>
          <w:tab w:val="num" w:pos="720"/>
        </w:tabs>
        <w:ind w:left="720" w:hanging="360"/>
      </w:pPr>
      <w:rPr>
        <w:rFonts w:ascii="Arial" w:hAnsi="Arial" w:hint="default"/>
      </w:rPr>
    </w:lvl>
    <w:lvl w:ilvl="1" w:tplc="369EBBD4" w:tentative="1">
      <w:start w:val="1"/>
      <w:numFmt w:val="bullet"/>
      <w:lvlText w:val="•"/>
      <w:lvlJc w:val="left"/>
      <w:pPr>
        <w:tabs>
          <w:tab w:val="num" w:pos="1440"/>
        </w:tabs>
        <w:ind w:left="1440" w:hanging="360"/>
      </w:pPr>
      <w:rPr>
        <w:rFonts w:ascii="Arial" w:hAnsi="Arial" w:hint="default"/>
      </w:rPr>
    </w:lvl>
    <w:lvl w:ilvl="2" w:tplc="4AC61CD4" w:tentative="1">
      <w:start w:val="1"/>
      <w:numFmt w:val="bullet"/>
      <w:lvlText w:val="•"/>
      <w:lvlJc w:val="left"/>
      <w:pPr>
        <w:tabs>
          <w:tab w:val="num" w:pos="2160"/>
        </w:tabs>
        <w:ind w:left="2160" w:hanging="360"/>
      </w:pPr>
      <w:rPr>
        <w:rFonts w:ascii="Arial" w:hAnsi="Arial" w:hint="default"/>
      </w:rPr>
    </w:lvl>
    <w:lvl w:ilvl="3" w:tplc="387AEE2A" w:tentative="1">
      <w:start w:val="1"/>
      <w:numFmt w:val="bullet"/>
      <w:lvlText w:val="•"/>
      <w:lvlJc w:val="left"/>
      <w:pPr>
        <w:tabs>
          <w:tab w:val="num" w:pos="2880"/>
        </w:tabs>
        <w:ind w:left="2880" w:hanging="360"/>
      </w:pPr>
      <w:rPr>
        <w:rFonts w:ascii="Arial" w:hAnsi="Arial" w:hint="default"/>
      </w:rPr>
    </w:lvl>
    <w:lvl w:ilvl="4" w:tplc="5A7CA9E2" w:tentative="1">
      <w:start w:val="1"/>
      <w:numFmt w:val="bullet"/>
      <w:lvlText w:val="•"/>
      <w:lvlJc w:val="left"/>
      <w:pPr>
        <w:tabs>
          <w:tab w:val="num" w:pos="3600"/>
        </w:tabs>
        <w:ind w:left="3600" w:hanging="360"/>
      </w:pPr>
      <w:rPr>
        <w:rFonts w:ascii="Arial" w:hAnsi="Arial" w:hint="default"/>
      </w:rPr>
    </w:lvl>
    <w:lvl w:ilvl="5" w:tplc="DD326216" w:tentative="1">
      <w:start w:val="1"/>
      <w:numFmt w:val="bullet"/>
      <w:lvlText w:val="•"/>
      <w:lvlJc w:val="left"/>
      <w:pPr>
        <w:tabs>
          <w:tab w:val="num" w:pos="4320"/>
        </w:tabs>
        <w:ind w:left="4320" w:hanging="360"/>
      </w:pPr>
      <w:rPr>
        <w:rFonts w:ascii="Arial" w:hAnsi="Arial" w:hint="default"/>
      </w:rPr>
    </w:lvl>
    <w:lvl w:ilvl="6" w:tplc="656A02B4" w:tentative="1">
      <w:start w:val="1"/>
      <w:numFmt w:val="bullet"/>
      <w:lvlText w:val="•"/>
      <w:lvlJc w:val="left"/>
      <w:pPr>
        <w:tabs>
          <w:tab w:val="num" w:pos="5040"/>
        </w:tabs>
        <w:ind w:left="5040" w:hanging="360"/>
      </w:pPr>
      <w:rPr>
        <w:rFonts w:ascii="Arial" w:hAnsi="Arial" w:hint="default"/>
      </w:rPr>
    </w:lvl>
    <w:lvl w:ilvl="7" w:tplc="F21CD63C" w:tentative="1">
      <w:start w:val="1"/>
      <w:numFmt w:val="bullet"/>
      <w:lvlText w:val="•"/>
      <w:lvlJc w:val="left"/>
      <w:pPr>
        <w:tabs>
          <w:tab w:val="num" w:pos="5760"/>
        </w:tabs>
        <w:ind w:left="5760" w:hanging="360"/>
      </w:pPr>
      <w:rPr>
        <w:rFonts w:ascii="Arial" w:hAnsi="Arial" w:hint="default"/>
      </w:rPr>
    </w:lvl>
    <w:lvl w:ilvl="8" w:tplc="34C02BF6"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07E04326"/>
    <w:multiLevelType w:val="hybridMultilevel"/>
    <w:tmpl w:val="72EADB9A"/>
    <w:lvl w:ilvl="0" w:tplc="57D851DC">
      <w:start w:val="1"/>
      <w:numFmt w:val="bullet"/>
      <w:lvlText w:val="•"/>
      <w:lvlJc w:val="left"/>
      <w:pPr>
        <w:tabs>
          <w:tab w:val="num" w:pos="720"/>
        </w:tabs>
        <w:ind w:left="720" w:hanging="360"/>
      </w:pPr>
      <w:rPr>
        <w:rFonts w:ascii="Times New Roman" w:hAnsi="Times New Roman" w:hint="default"/>
      </w:rPr>
    </w:lvl>
    <w:lvl w:ilvl="1" w:tplc="BC9A065C" w:tentative="1">
      <w:start w:val="1"/>
      <w:numFmt w:val="bullet"/>
      <w:lvlText w:val="•"/>
      <w:lvlJc w:val="left"/>
      <w:pPr>
        <w:tabs>
          <w:tab w:val="num" w:pos="1440"/>
        </w:tabs>
        <w:ind w:left="1440" w:hanging="360"/>
      </w:pPr>
      <w:rPr>
        <w:rFonts w:ascii="Times New Roman" w:hAnsi="Times New Roman" w:hint="default"/>
      </w:rPr>
    </w:lvl>
    <w:lvl w:ilvl="2" w:tplc="4AF04C14" w:tentative="1">
      <w:start w:val="1"/>
      <w:numFmt w:val="bullet"/>
      <w:lvlText w:val="•"/>
      <w:lvlJc w:val="left"/>
      <w:pPr>
        <w:tabs>
          <w:tab w:val="num" w:pos="2160"/>
        </w:tabs>
        <w:ind w:left="2160" w:hanging="360"/>
      </w:pPr>
      <w:rPr>
        <w:rFonts w:ascii="Times New Roman" w:hAnsi="Times New Roman" w:hint="default"/>
      </w:rPr>
    </w:lvl>
    <w:lvl w:ilvl="3" w:tplc="311A3B5C" w:tentative="1">
      <w:start w:val="1"/>
      <w:numFmt w:val="bullet"/>
      <w:lvlText w:val="•"/>
      <w:lvlJc w:val="left"/>
      <w:pPr>
        <w:tabs>
          <w:tab w:val="num" w:pos="2880"/>
        </w:tabs>
        <w:ind w:left="2880" w:hanging="360"/>
      </w:pPr>
      <w:rPr>
        <w:rFonts w:ascii="Times New Roman" w:hAnsi="Times New Roman" w:hint="default"/>
      </w:rPr>
    </w:lvl>
    <w:lvl w:ilvl="4" w:tplc="C6FEA366" w:tentative="1">
      <w:start w:val="1"/>
      <w:numFmt w:val="bullet"/>
      <w:lvlText w:val="•"/>
      <w:lvlJc w:val="left"/>
      <w:pPr>
        <w:tabs>
          <w:tab w:val="num" w:pos="3600"/>
        </w:tabs>
        <w:ind w:left="3600" w:hanging="360"/>
      </w:pPr>
      <w:rPr>
        <w:rFonts w:ascii="Times New Roman" w:hAnsi="Times New Roman" w:hint="default"/>
      </w:rPr>
    </w:lvl>
    <w:lvl w:ilvl="5" w:tplc="24F4311E" w:tentative="1">
      <w:start w:val="1"/>
      <w:numFmt w:val="bullet"/>
      <w:lvlText w:val="•"/>
      <w:lvlJc w:val="left"/>
      <w:pPr>
        <w:tabs>
          <w:tab w:val="num" w:pos="4320"/>
        </w:tabs>
        <w:ind w:left="4320" w:hanging="360"/>
      </w:pPr>
      <w:rPr>
        <w:rFonts w:ascii="Times New Roman" w:hAnsi="Times New Roman" w:hint="default"/>
      </w:rPr>
    </w:lvl>
    <w:lvl w:ilvl="6" w:tplc="C3868DEA" w:tentative="1">
      <w:start w:val="1"/>
      <w:numFmt w:val="bullet"/>
      <w:lvlText w:val="•"/>
      <w:lvlJc w:val="left"/>
      <w:pPr>
        <w:tabs>
          <w:tab w:val="num" w:pos="5040"/>
        </w:tabs>
        <w:ind w:left="5040" w:hanging="360"/>
      </w:pPr>
      <w:rPr>
        <w:rFonts w:ascii="Times New Roman" w:hAnsi="Times New Roman" w:hint="default"/>
      </w:rPr>
    </w:lvl>
    <w:lvl w:ilvl="7" w:tplc="E0943C0A" w:tentative="1">
      <w:start w:val="1"/>
      <w:numFmt w:val="bullet"/>
      <w:lvlText w:val="•"/>
      <w:lvlJc w:val="left"/>
      <w:pPr>
        <w:tabs>
          <w:tab w:val="num" w:pos="5760"/>
        </w:tabs>
        <w:ind w:left="5760" w:hanging="360"/>
      </w:pPr>
      <w:rPr>
        <w:rFonts w:ascii="Times New Roman" w:hAnsi="Times New Roman" w:hint="default"/>
      </w:rPr>
    </w:lvl>
    <w:lvl w:ilvl="8" w:tplc="D3C48002" w:tentative="1">
      <w:start w:val="1"/>
      <w:numFmt w:val="bullet"/>
      <w:lvlText w:val="•"/>
      <w:lvlJc w:val="left"/>
      <w:pPr>
        <w:tabs>
          <w:tab w:val="num" w:pos="6480"/>
        </w:tabs>
        <w:ind w:left="6480" w:hanging="360"/>
      </w:pPr>
      <w:rPr>
        <w:rFonts w:ascii="Times New Roman" w:hAnsi="Times New Roman" w:hint="default"/>
      </w:rPr>
    </w:lvl>
  </w:abstractNum>
  <w:abstractNum w:abstractNumId="6" w15:restartNumberingAfterBreak="0">
    <w:nsid w:val="09925932"/>
    <w:multiLevelType w:val="hybridMultilevel"/>
    <w:tmpl w:val="25743780"/>
    <w:lvl w:ilvl="0" w:tplc="B19A159E">
      <w:start w:val="1"/>
      <w:numFmt w:val="bullet"/>
      <w:lvlText w:val="•"/>
      <w:lvlJc w:val="left"/>
      <w:pPr>
        <w:tabs>
          <w:tab w:val="num" w:pos="720"/>
        </w:tabs>
        <w:ind w:left="720" w:hanging="360"/>
      </w:pPr>
      <w:rPr>
        <w:rFonts w:ascii="Arial" w:hAnsi="Arial" w:hint="default"/>
      </w:rPr>
    </w:lvl>
    <w:lvl w:ilvl="1" w:tplc="C538A2E0" w:tentative="1">
      <w:start w:val="1"/>
      <w:numFmt w:val="bullet"/>
      <w:lvlText w:val="•"/>
      <w:lvlJc w:val="left"/>
      <w:pPr>
        <w:tabs>
          <w:tab w:val="num" w:pos="1440"/>
        </w:tabs>
        <w:ind w:left="1440" w:hanging="360"/>
      </w:pPr>
      <w:rPr>
        <w:rFonts w:ascii="Arial" w:hAnsi="Arial" w:hint="default"/>
      </w:rPr>
    </w:lvl>
    <w:lvl w:ilvl="2" w:tplc="D3CCCA88" w:tentative="1">
      <w:start w:val="1"/>
      <w:numFmt w:val="bullet"/>
      <w:lvlText w:val="•"/>
      <w:lvlJc w:val="left"/>
      <w:pPr>
        <w:tabs>
          <w:tab w:val="num" w:pos="2160"/>
        </w:tabs>
        <w:ind w:left="2160" w:hanging="360"/>
      </w:pPr>
      <w:rPr>
        <w:rFonts w:ascii="Arial" w:hAnsi="Arial" w:hint="default"/>
      </w:rPr>
    </w:lvl>
    <w:lvl w:ilvl="3" w:tplc="49E2B78A" w:tentative="1">
      <w:start w:val="1"/>
      <w:numFmt w:val="bullet"/>
      <w:lvlText w:val="•"/>
      <w:lvlJc w:val="left"/>
      <w:pPr>
        <w:tabs>
          <w:tab w:val="num" w:pos="2880"/>
        </w:tabs>
        <w:ind w:left="2880" w:hanging="360"/>
      </w:pPr>
      <w:rPr>
        <w:rFonts w:ascii="Arial" w:hAnsi="Arial" w:hint="default"/>
      </w:rPr>
    </w:lvl>
    <w:lvl w:ilvl="4" w:tplc="C0528416" w:tentative="1">
      <w:start w:val="1"/>
      <w:numFmt w:val="bullet"/>
      <w:lvlText w:val="•"/>
      <w:lvlJc w:val="left"/>
      <w:pPr>
        <w:tabs>
          <w:tab w:val="num" w:pos="3600"/>
        </w:tabs>
        <w:ind w:left="3600" w:hanging="360"/>
      </w:pPr>
      <w:rPr>
        <w:rFonts w:ascii="Arial" w:hAnsi="Arial" w:hint="default"/>
      </w:rPr>
    </w:lvl>
    <w:lvl w:ilvl="5" w:tplc="D6BEDE50" w:tentative="1">
      <w:start w:val="1"/>
      <w:numFmt w:val="bullet"/>
      <w:lvlText w:val="•"/>
      <w:lvlJc w:val="left"/>
      <w:pPr>
        <w:tabs>
          <w:tab w:val="num" w:pos="4320"/>
        </w:tabs>
        <w:ind w:left="4320" w:hanging="360"/>
      </w:pPr>
      <w:rPr>
        <w:rFonts w:ascii="Arial" w:hAnsi="Arial" w:hint="default"/>
      </w:rPr>
    </w:lvl>
    <w:lvl w:ilvl="6" w:tplc="5804F0EE" w:tentative="1">
      <w:start w:val="1"/>
      <w:numFmt w:val="bullet"/>
      <w:lvlText w:val="•"/>
      <w:lvlJc w:val="left"/>
      <w:pPr>
        <w:tabs>
          <w:tab w:val="num" w:pos="5040"/>
        </w:tabs>
        <w:ind w:left="5040" w:hanging="360"/>
      </w:pPr>
      <w:rPr>
        <w:rFonts w:ascii="Arial" w:hAnsi="Arial" w:hint="default"/>
      </w:rPr>
    </w:lvl>
    <w:lvl w:ilvl="7" w:tplc="6C58D600" w:tentative="1">
      <w:start w:val="1"/>
      <w:numFmt w:val="bullet"/>
      <w:lvlText w:val="•"/>
      <w:lvlJc w:val="left"/>
      <w:pPr>
        <w:tabs>
          <w:tab w:val="num" w:pos="5760"/>
        </w:tabs>
        <w:ind w:left="5760" w:hanging="360"/>
      </w:pPr>
      <w:rPr>
        <w:rFonts w:ascii="Arial" w:hAnsi="Arial" w:hint="default"/>
      </w:rPr>
    </w:lvl>
    <w:lvl w:ilvl="8" w:tplc="46BE484E"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09D97DCE"/>
    <w:multiLevelType w:val="hybridMultilevel"/>
    <w:tmpl w:val="B9D6F64C"/>
    <w:lvl w:ilvl="0" w:tplc="45F2CEE8">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09E71B81"/>
    <w:multiLevelType w:val="hybridMultilevel"/>
    <w:tmpl w:val="1E748A44"/>
    <w:lvl w:ilvl="0" w:tplc="BB1EF330">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0A574D64"/>
    <w:multiLevelType w:val="multilevel"/>
    <w:tmpl w:val="6C567F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D065C6B"/>
    <w:multiLevelType w:val="hybridMultilevel"/>
    <w:tmpl w:val="85D261CC"/>
    <w:lvl w:ilvl="0" w:tplc="50901FE6">
      <w:start w:val="1"/>
      <w:numFmt w:val="bullet"/>
      <w:lvlText w:val="•"/>
      <w:lvlJc w:val="left"/>
      <w:pPr>
        <w:tabs>
          <w:tab w:val="num" w:pos="720"/>
        </w:tabs>
        <w:ind w:left="720" w:hanging="360"/>
      </w:pPr>
      <w:rPr>
        <w:rFonts w:ascii="Times New Roman" w:hAnsi="Times New Roman" w:hint="default"/>
      </w:rPr>
    </w:lvl>
    <w:lvl w:ilvl="1" w:tplc="1CC2C0C8" w:tentative="1">
      <w:start w:val="1"/>
      <w:numFmt w:val="bullet"/>
      <w:lvlText w:val="•"/>
      <w:lvlJc w:val="left"/>
      <w:pPr>
        <w:tabs>
          <w:tab w:val="num" w:pos="1440"/>
        </w:tabs>
        <w:ind w:left="1440" w:hanging="360"/>
      </w:pPr>
      <w:rPr>
        <w:rFonts w:ascii="Times New Roman" w:hAnsi="Times New Roman" w:hint="default"/>
      </w:rPr>
    </w:lvl>
    <w:lvl w:ilvl="2" w:tplc="475E34E0" w:tentative="1">
      <w:start w:val="1"/>
      <w:numFmt w:val="bullet"/>
      <w:lvlText w:val="•"/>
      <w:lvlJc w:val="left"/>
      <w:pPr>
        <w:tabs>
          <w:tab w:val="num" w:pos="2160"/>
        </w:tabs>
        <w:ind w:left="2160" w:hanging="360"/>
      </w:pPr>
      <w:rPr>
        <w:rFonts w:ascii="Times New Roman" w:hAnsi="Times New Roman" w:hint="default"/>
      </w:rPr>
    </w:lvl>
    <w:lvl w:ilvl="3" w:tplc="F4ECC6A0" w:tentative="1">
      <w:start w:val="1"/>
      <w:numFmt w:val="bullet"/>
      <w:lvlText w:val="•"/>
      <w:lvlJc w:val="left"/>
      <w:pPr>
        <w:tabs>
          <w:tab w:val="num" w:pos="2880"/>
        </w:tabs>
        <w:ind w:left="2880" w:hanging="360"/>
      </w:pPr>
      <w:rPr>
        <w:rFonts w:ascii="Times New Roman" w:hAnsi="Times New Roman" w:hint="default"/>
      </w:rPr>
    </w:lvl>
    <w:lvl w:ilvl="4" w:tplc="83641206" w:tentative="1">
      <w:start w:val="1"/>
      <w:numFmt w:val="bullet"/>
      <w:lvlText w:val="•"/>
      <w:lvlJc w:val="left"/>
      <w:pPr>
        <w:tabs>
          <w:tab w:val="num" w:pos="3600"/>
        </w:tabs>
        <w:ind w:left="3600" w:hanging="360"/>
      </w:pPr>
      <w:rPr>
        <w:rFonts w:ascii="Times New Roman" w:hAnsi="Times New Roman" w:hint="default"/>
      </w:rPr>
    </w:lvl>
    <w:lvl w:ilvl="5" w:tplc="D1BA8DAC" w:tentative="1">
      <w:start w:val="1"/>
      <w:numFmt w:val="bullet"/>
      <w:lvlText w:val="•"/>
      <w:lvlJc w:val="left"/>
      <w:pPr>
        <w:tabs>
          <w:tab w:val="num" w:pos="4320"/>
        </w:tabs>
        <w:ind w:left="4320" w:hanging="360"/>
      </w:pPr>
      <w:rPr>
        <w:rFonts w:ascii="Times New Roman" w:hAnsi="Times New Roman" w:hint="default"/>
      </w:rPr>
    </w:lvl>
    <w:lvl w:ilvl="6" w:tplc="A6D0FED4" w:tentative="1">
      <w:start w:val="1"/>
      <w:numFmt w:val="bullet"/>
      <w:lvlText w:val="•"/>
      <w:lvlJc w:val="left"/>
      <w:pPr>
        <w:tabs>
          <w:tab w:val="num" w:pos="5040"/>
        </w:tabs>
        <w:ind w:left="5040" w:hanging="360"/>
      </w:pPr>
      <w:rPr>
        <w:rFonts w:ascii="Times New Roman" w:hAnsi="Times New Roman" w:hint="default"/>
      </w:rPr>
    </w:lvl>
    <w:lvl w:ilvl="7" w:tplc="D9262132" w:tentative="1">
      <w:start w:val="1"/>
      <w:numFmt w:val="bullet"/>
      <w:lvlText w:val="•"/>
      <w:lvlJc w:val="left"/>
      <w:pPr>
        <w:tabs>
          <w:tab w:val="num" w:pos="5760"/>
        </w:tabs>
        <w:ind w:left="5760" w:hanging="360"/>
      </w:pPr>
      <w:rPr>
        <w:rFonts w:ascii="Times New Roman" w:hAnsi="Times New Roman" w:hint="default"/>
      </w:rPr>
    </w:lvl>
    <w:lvl w:ilvl="8" w:tplc="C38AFC72" w:tentative="1">
      <w:start w:val="1"/>
      <w:numFmt w:val="bullet"/>
      <w:lvlText w:val="•"/>
      <w:lvlJc w:val="left"/>
      <w:pPr>
        <w:tabs>
          <w:tab w:val="num" w:pos="6480"/>
        </w:tabs>
        <w:ind w:left="6480" w:hanging="360"/>
      </w:pPr>
      <w:rPr>
        <w:rFonts w:ascii="Times New Roman" w:hAnsi="Times New Roman" w:hint="default"/>
      </w:rPr>
    </w:lvl>
  </w:abstractNum>
  <w:abstractNum w:abstractNumId="11" w15:restartNumberingAfterBreak="0">
    <w:nsid w:val="0D0E7217"/>
    <w:multiLevelType w:val="multilevel"/>
    <w:tmpl w:val="6C708F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D8E42B0"/>
    <w:multiLevelType w:val="hybridMultilevel"/>
    <w:tmpl w:val="2E3E5762"/>
    <w:lvl w:ilvl="0" w:tplc="040C000B">
      <w:start w:val="1"/>
      <w:numFmt w:val="bullet"/>
      <w:lvlText w:val=""/>
      <w:lvlJc w:val="left"/>
      <w:pPr>
        <w:ind w:left="1077" w:hanging="360"/>
      </w:pPr>
      <w:rPr>
        <w:rFonts w:ascii="Wingdings" w:hAnsi="Wingdings" w:hint="default"/>
      </w:rPr>
    </w:lvl>
    <w:lvl w:ilvl="1" w:tplc="040C0003" w:tentative="1">
      <w:start w:val="1"/>
      <w:numFmt w:val="bullet"/>
      <w:lvlText w:val="o"/>
      <w:lvlJc w:val="left"/>
      <w:pPr>
        <w:ind w:left="1797" w:hanging="360"/>
      </w:pPr>
      <w:rPr>
        <w:rFonts w:ascii="Courier New" w:hAnsi="Courier New" w:cs="Courier New" w:hint="default"/>
      </w:rPr>
    </w:lvl>
    <w:lvl w:ilvl="2" w:tplc="040C0005" w:tentative="1">
      <w:start w:val="1"/>
      <w:numFmt w:val="bullet"/>
      <w:lvlText w:val=""/>
      <w:lvlJc w:val="left"/>
      <w:pPr>
        <w:ind w:left="2517" w:hanging="360"/>
      </w:pPr>
      <w:rPr>
        <w:rFonts w:ascii="Wingdings" w:hAnsi="Wingdings" w:hint="default"/>
      </w:rPr>
    </w:lvl>
    <w:lvl w:ilvl="3" w:tplc="040C0001" w:tentative="1">
      <w:start w:val="1"/>
      <w:numFmt w:val="bullet"/>
      <w:lvlText w:val=""/>
      <w:lvlJc w:val="left"/>
      <w:pPr>
        <w:ind w:left="3237" w:hanging="360"/>
      </w:pPr>
      <w:rPr>
        <w:rFonts w:ascii="Symbol" w:hAnsi="Symbol" w:hint="default"/>
      </w:rPr>
    </w:lvl>
    <w:lvl w:ilvl="4" w:tplc="040C0003" w:tentative="1">
      <w:start w:val="1"/>
      <w:numFmt w:val="bullet"/>
      <w:lvlText w:val="o"/>
      <w:lvlJc w:val="left"/>
      <w:pPr>
        <w:ind w:left="3957" w:hanging="360"/>
      </w:pPr>
      <w:rPr>
        <w:rFonts w:ascii="Courier New" w:hAnsi="Courier New" w:cs="Courier New" w:hint="default"/>
      </w:rPr>
    </w:lvl>
    <w:lvl w:ilvl="5" w:tplc="040C0005" w:tentative="1">
      <w:start w:val="1"/>
      <w:numFmt w:val="bullet"/>
      <w:lvlText w:val=""/>
      <w:lvlJc w:val="left"/>
      <w:pPr>
        <w:ind w:left="4677" w:hanging="360"/>
      </w:pPr>
      <w:rPr>
        <w:rFonts w:ascii="Wingdings" w:hAnsi="Wingdings" w:hint="default"/>
      </w:rPr>
    </w:lvl>
    <w:lvl w:ilvl="6" w:tplc="040C0001" w:tentative="1">
      <w:start w:val="1"/>
      <w:numFmt w:val="bullet"/>
      <w:lvlText w:val=""/>
      <w:lvlJc w:val="left"/>
      <w:pPr>
        <w:ind w:left="5397" w:hanging="360"/>
      </w:pPr>
      <w:rPr>
        <w:rFonts w:ascii="Symbol" w:hAnsi="Symbol" w:hint="default"/>
      </w:rPr>
    </w:lvl>
    <w:lvl w:ilvl="7" w:tplc="040C0003" w:tentative="1">
      <w:start w:val="1"/>
      <w:numFmt w:val="bullet"/>
      <w:lvlText w:val="o"/>
      <w:lvlJc w:val="left"/>
      <w:pPr>
        <w:ind w:left="6117" w:hanging="360"/>
      </w:pPr>
      <w:rPr>
        <w:rFonts w:ascii="Courier New" w:hAnsi="Courier New" w:cs="Courier New" w:hint="default"/>
      </w:rPr>
    </w:lvl>
    <w:lvl w:ilvl="8" w:tplc="040C0005" w:tentative="1">
      <w:start w:val="1"/>
      <w:numFmt w:val="bullet"/>
      <w:lvlText w:val=""/>
      <w:lvlJc w:val="left"/>
      <w:pPr>
        <w:ind w:left="6837" w:hanging="360"/>
      </w:pPr>
      <w:rPr>
        <w:rFonts w:ascii="Wingdings" w:hAnsi="Wingdings" w:hint="default"/>
      </w:rPr>
    </w:lvl>
  </w:abstractNum>
  <w:abstractNum w:abstractNumId="13" w15:restartNumberingAfterBreak="0">
    <w:nsid w:val="0DBD47F2"/>
    <w:multiLevelType w:val="hybridMultilevel"/>
    <w:tmpl w:val="C5EEE6F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0F7C38E1"/>
    <w:multiLevelType w:val="hybridMultilevel"/>
    <w:tmpl w:val="A7C48C2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17F25D1A"/>
    <w:multiLevelType w:val="hybridMultilevel"/>
    <w:tmpl w:val="CE02DBCE"/>
    <w:lvl w:ilvl="0" w:tplc="E6E4524A">
      <w:start w:val="1"/>
      <w:numFmt w:val="bullet"/>
      <w:lvlText w:val="•"/>
      <w:lvlJc w:val="left"/>
      <w:pPr>
        <w:tabs>
          <w:tab w:val="num" w:pos="720"/>
        </w:tabs>
        <w:ind w:left="720" w:hanging="360"/>
      </w:pPr>
      <w:rPr>
        <w:rFonts w:ascii="Arial" w:hAnsi="Arial" w:hint="default"/>
      </w:rPr>
    </w:lvl>
    <w:lvl w:ilvl="1" w:tplc="4E7A2D22" w:tentative="1">
      <w:start w:val="1"/>
      <w:numFmt w:val="bullet"/>
      <w:lvlText w:val="•"/>
      <w:lvlJc w:val="left"/>
      <w:pPr>
        <w:tabs>
          <w:tab w:val="num" w:pos="1440"/>
        </w:tabs>
        <w:ind w:left="1440" w:hanging="360"/>
      </w:pPr>
      <w:rPr>
        <w:rFonts w:ascii="Arial" w:hAnsi="Arial" w:hint="default"/>
      </w:rPr>
    </w:lvl>
    <w:lvl w:ilvl="2" w:tplc="C406BD14" w:tentative="1">
      <w:start w:val="1"/>
      <w:numFmt w:val="bullet"/>
      <w:lvlText w:val="•"/>
      <w:lvlJc w:val="left"/>
      <w:pPr>
        <w:tabs>
          <w:tab w:val="num" w:pos="2160"/>
        </w:tabs>
        <w:ind w:left="2160" w:hanging="360"/>
      </w:pPr>
      <w:rPr>
        <w:rFonts w:ascii="Arial" w:hAnsi="Arial" w:hint="default"/>
      </w:rPr>
    </w:lvl>
    <w:lvl w:ilvl="3" w:tplc="4DA4FE0A" w:tentative="1">
      <w:start w:val="1"/>
      <w:numFmt w:val="bullet"/>
      <w:lvlText w:val="•"/>
      <w:lvlJc w:val="left"/>
      <w:pPr>
        <w:tabs>
          <w:tab w:val="num" w:pos="2880"/>
        </w:tabs>
        <w:ind w:left="2880" w:hanging="360"/>
      </w:pPr>
      <w:rPr>
        <w:rFonts w:ascii="Arial" w:hAnsi="Arial" w:hint="default"/>
      </w:rPr>
    </w:lvl>
    <w:lvl w:ilvl="4" w:tplc="8F809512" w:tentative="1">
      <w:start w:val="1"/>
      <w:numFmt w:val="bullet"/>
      <w:lvlText w:val="•"/>
      <w:lvlJc w:val="left"/>
      <w:pPr>
        <w:tabs>
          <w:tab w:val="num" w:pos="3600"/>
        </w:tabs>
        <w:ind w:left="3600" w:hanging="360"/>
      </w:pPr>
      <w:rPr>
        <w:rFonts w:ascii="Arial" w:hAnsi="Arial" w:hint="default"/>
      </w:rPr>
    </w:lvl>
    <w:lvl w:ilvl="5" w:tplc="7D164224" w:tentative="1">
      <w:start w:val="1"/>
      <w:numFmt w:val="bullet"/>
      <w:lvlText w:val="•"/>
      <w:lvlJc w:val="left"/>
      <w:pPr>
        <w:tabs>
          <w:tab w:val="num" w:pos="4320"/>
        </w:tabs>
        <w:ind w:left="4320" w:hanging="360"/>
      </w:pPr>
      <w:rPr>
        <w:rFonts w:ascii="Arial" w:hAnsi="Arial" w:hint="default"/>
      </w:rPr>
    </w:lvl>
    <w:lvl w:ilvl="6" w:tplc="BB4ABF9A" w:tentative="1">
      <w:start w:val="1"/>
      <w:numFmt w:val="bullet"/>
      <w:lvlText w:val="•"/>
      <w:lvlJc w:val="left"/>
      <w:pPr>
        <w:tabs>
          <w:tab w:val="num" w:pos="5040"/>
        </w:tabs>
        <w:ind w:left="5040" w:hanging="360"/>
      </w:pPr>
      <w:rPr>
        <w:rFonts w:ascii="Arial" w:hAnsi="Arial" w:hint="default"/>
      </w:rPr>
    </w:lvl>
    <w:lvl w:ilvl="7" w:tplc="EFEE0170" w:tentative="1">
      <w:start w:val="1"/>
      <w:numFmt w:val="bullet"/>
      <w:lvlText w:val="•"/>
      <w:lvlJc w:val="left"/>
      <w:pPr>
        <w:tabs>
          <w:tab w:val="num" w:pos="5760"/>
        </w:tabs>
        <w:ind w:left="5760" w:hanging="360"/>
      </w:pPr>
      <w:rPr>
        <w:rFonts w:ascii="Arial" w:hAnsi="Arial" w:hint="default"/>
      </w:rPr>
    </w:lvl>
    <w:lvl w:ilvl="8" w:tplc="A7BE8E88"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181D403A"/>
    <w:multiLevelType w:val="hybridMultilevel"/>
    <w:tmpl w:val="75E422E6"/>
    <w:lvl w:ilvl="0" w:tplc="040C000F">
      <w:start w:val="1"/>
      <w:numFmt w:val="decimal"/>
      <w:lvlText w:val="%1."/>
      <w:lvlJc w:val="left"/>
      <w:pPr>
        <w:tabs>
          <w:tab w:val="num" w:pos="1440"/>
        </w:tabs>
        <w:ind w:left="144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 w15:restartNumberingAfterBreak="0">
    <w:nsid w:val="19923353"/>
    <w:multiLevelType w:val="hybridMultilevel"/>
    <w:tmpl w:val="7C1A4F3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1A530CB5"/>
    <w:multiLevelType w:val="hybridMultilevel"/>
    <w:tmpl w:val="7714BBE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1A560438"/>
    <w:multiLevelType w:val="hybridMultilevel"/>
    <w:tmpl w:val="F0CC850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1A6A179B"/>
    <w:multiLevelType w:val="hybridMultilevel"/>
    <w:tmpl w:val="6F70BB7A"/>
    <w:lvl w:ilvl="0" w:tplc="C0AACDE0">
      <w:start w:val="1"/>
      <w:numFmt w:val="bullet"/>
      <w:lvlText w:val="•"/>
      <w:lvlJc w:val="left"/>
      <w:pPr>
        <w:tabs>
          <w:tab w:val="num" w:pos="720"/>
        </w:tabs>
        <w:ind w:left="720" w:hanging="360"/>
      </w:pPr>
      <w:rPr>
        <w:rFonts w:ascii="Arial" w:hAnsi="Arial" w:hint="default"/>
      </w:rPr>
    </w:lvl>
    <w:lvl w:ilvl="1" w:tplc="AB52F1DE" w:tentative="1">
      <w:start w:val="1"/>
      <w:numFmt w:val="bullet"/>
      <w:lvlText w:val="•"/>
      <w:lvlJc w:val="left"/>
      <w:pPr>
        <w:tabs>
          <w:tab w:val="num" w:pos="1440"/>
        </w:tabs>
        <w:ind w:left="1440" w:hanging="360"/>
      </w:pPr>
      <w:rPr>
        <w:rFonts w:ascii="Arial" w:hAnsi="Arial" w:hint="default"/>
      </w:rPr>
    </w:lvl>
    <w:lvl w:ilvl="2" w:tplc="60AE7B18" w:tentative="1">
      <w:start w:val="1"/>
      <w:numFmt w:val="bullet"/>
      <w:lvlText w:val="•"/>
      <w:lvlJc w:val="left"/>
      <w:pPr>
        <w:tabs>
          <w:tab w:val="num" w:pos="2160"/>
        </w:tabs>
        <w:ind w:left="2160" w:hanging="360"/>
      </w:pPr>
      <w:rPr>
        <w:rFonts w:ascii="Arial" w:hAnsi="Arial" w:hint="default"/>
      </w:rPr>
    </w:lvl>
    <w:lvl w:ilvl="3" w:tplc="AF2EE9EA" w:tentative="1">
      <w:start w:val="1"/>
      <w:numFmt w:val="bullet"/>
      <w:lvlText w:val="•"/>
      <w:lvlJc w:val="left"/>
      <w:pPr>
        <w:tabs>
          <w:tab w:val="num" w:pos="2880"/>
        </w:tabs>
        <w:ind w:left="2880" w:hanging="360"/>
      </w:pPr>
      <w:rPr>
        <w:rFonts w:ascii="Arial" w:hAnsi="Arial" w:hint="default"/>
      </w:rPr>
    </w:lvl>
    <w:lvl w:ilvl="4" w:tplc="3C76D546" w:tentative="1">
      <w:start w:val="1"/>
      <w:numFmt w:val="bullet"/>
      <w:lvlText w:val="•"/>
      <w:lvlJc w:val="left"/>
      <w:pPr>
        <w:tabs>
          <w:tab w:val="num" w:pos="3600"/>
        </w:tabs>
        <w:ind w:left="3600" w:hanging="360"/>
      </w:pPr>
      <w:rPr>
        <w:rFonts w:ascii="Arial" w:hAnsi="Arial" w:hint="default"/>
      </w:rPr>
    </w:lvl>
    <w:lvl w:ilvl="5" w:tplc="78F850AA" w:tentative="1">
      <w:start w:val="1"/>
      <w:numFmt w:val="bullet"/>
      <w:lvlText w:val="•"/>
      <w:lvlJc w:val="left"/>
      <w:pPr>
        <w:tabs>
          <w:tab w:val="num" w:pos="4320"/>
        </w:tabs>
        <w:ind w:left="4320" w:hanging="360"/>
      </w:pPr>
      <w:rPr>
        <w:rFonts w:ascii="Arial" w:hAnsi="Arial" w:hint="default"/>
      </w:rPr>
    </w:lvl>
    <w:lvl w:ilvl="6" w:tplc="DADA6680" w:tentative="1">
      <w:start w:val="1"/>
      <w:numFmt w:val="bullet"/>
      <w:lvlText w:val="•"/>
      <w:lvlJc w:val="left"/>
      <w:pPr>
        <w:tabs>
          <w:tab w:val="num" w:pos="5040"/>
        </w:tabs>
        <w:ind w:left="5040" w:hanging="360"/>
      </w:pPr>
      <w:rPr>
        <w:rFonts w:ascii="Arial" w:hAnsi="Arial" w:hint="default"/>
      </w:rPr>
    </w:lvl>
    <w:lvl w:ilvl="7" w:tplc="D68096E0" w:tentative="1">
      <w:start w:val="1"/>
      <w:numFmt w:val="bullet"/>
      <w:lvlText w:val="•"/>
      <w:lvlJc w:val="left"/>
      <w:pPr>
        <w:tabs>
          <w:tab w:val="num" w:pos="5760"/>
        </w:tabs>
        <w:ind w:left="5760" w:hanging="360"/>
      </w:pPr>
      <w:rPr>
        <w:rFonts w:ascii="Arial" w:hAnsi="Arial" w:hint="default"/>
      </w:rPr>
    </w:lvl>
    <w:lvl w:ilvl="8" w:tplc="A128E662"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1A9F7D67"/>
    <w:multiLevelType w:val="hybridMultilevel"/>
    <w:tmpl w:val="6FCC792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215A3992"/>
    <w:multiLevelType w:val="hybridMultilevel"/>
    <w:tmpl w:val="C764C0CC"/>
    <w:lvl w:ilvl="0" w:tplc="D152B694">
      <w:start w:val="1"/>
      <w:numFmt w:val="bullet"/>
      <w:lvlText w:val="•"/>
      <w:lvlJc w:val="left"/>
      <w:pPr>
        <w:tabs>
          <w:tab w:val="num" w:pos="720"/>
        </w:tabs>
        <w:ind w:left="720" w:hanging="360"/>
      </w:pPr>
      <w:rPr>
        <w:rFonts w:ascii="Times New Roman" w:hAnsi="Times New Roman" w:hint="default"/>
      </w:rPr>
    </w:lvl>
    <w:lvl w:ilvl="1" w:tplc="CBF88760" w:tentative="1">
      <w:start w:val="1"/>
      <w:numFmt w:val="bullet"/>
      <w:lvlText w:val="•"/>
      <w:lvlJc w:val="left"/>
      <w:pPr>
        <w:tabs>
          <w:tab w:val="num" w:pos="1440"/>
        </w:tabs>
        <w:ind w:left="1440" w:hanging="360"/>
      </w:pPr>
      <w:rPr>
        <w:rFonts w:ascii="Times New Roman" w:hAnsi="Times New Roman" w:hint="default"/>
      </w:rPr>
    </w:lvl>
    <w:lvl w:ilvl="2" w:tplc="E38AE432" w:tentative="1">
      <w:start w:val="1"/>
      <w:numFmt w:val="bullet"/>
      <w:lvlText w:val="•"/>
      <w:lvlJc w:val="left"/>
      <w:pPr>
        <w:tabs>
          <w:tab w:val="num" w:pos="2160"/>
        </w:tabs>
        <w:ind w:left="2160" w:hanging="360"/>
      </w:pPr>
      <w:rPr>
        <w:rFonts w:ascii="Times New Roman" w:hAnsi="Times New Roman" w:hint="default"/>
      </w:rPr>
    </w:lvl>
    <w:lvl w:ilvl="3" w:tplc="E500E214" w:tentative="1">
      <w:start w:val="1"/>
      <w:numFmt w:val="bullet"/>
      <w:lvlText w:val="•"/>
      <w:lvlJc w:val="left"/>
      <w:pPr>
        <w:tabs>
          <w:tab w:val="num" w:pos="2880"/>
        </w:tabs>
        <w:ind w:left="2880" w:hanging="360"/>
      </w:pPr>
      <w:rPr>
        <w:rFonts w:ascii="Times New Roman" w:hAnsi="Times New Roman" w:hint="default"/>
      </w:rPr>
    </w:lvl>
    <w:lvl w:ilvl="4" w:tplc="B1BCFCB8" w:tentative="1">
      <w:start w:val="1"/>
      <w:numFmt w:val="bullet"/>
      <w:lvlText w:val="•"/>
      <w:lvlJc w:val="left"/>
      <w:pPr>
        <w:tabs>
          <w:tab w:val="num" w:pos="3600"/>
        </w:tabs>
        <w:ind w:left="3600" w:hanging="360"/>
      </w:pPr>
      <w:rPr>
        <w:rFonts w:ascii="Times New Roman" w:hAnsi="Times New Roman" w:hint="default"/>
      </w:rPr>
    </w:lvl>
    <w:lvl w:ilvl="5" w:tplc="E424F2D0" w:tentative="1">
      <w:start w:val="1"/>
      <w:numFmt w:val="bullet"/>
      <w:lvlText w:val="•"/>
      <w:lvlJc w:val="left"/>
      <w:pPr>
        <w:tabs>
          <w:tab w:val="num" w:pos="4320"/>
        </w:tabs>
        <w:ind w:left="4320" w:hanging="360"/>
      </w:pPr>
      <w:rPr>
        <w:rFonts w:ascii="Times New Roman" w:hAnsi="Times New Roman" w:hint="default"/>
      </w:rPr>
    </w:lvl>
    <w:lvl w:ilvl="6" w:tplc="9912F698" w:tentative="1">
      <w:start w:val="1"/>
      <w:numFmt w:val="bullet"/>
      <w:lvlText w:val="•"/>
      <w:lvlJc w:val="left"/>
      <w:pPr>
        <w:tabs>
          <w:tab w:val="num" w:pos="5040"/>
        </w:tabs>
        <w:ind w:left="5040" w:hanging="360"/>
      </w:pPr>
      <w:rPr>
        <w:rFonts w:ascii="Times New Roman" w:hAnsi="Times New Roman" w:hint="default"/>
      </w:rPr>
    </w:lvl>
    <w:lvl w:ilvl="7" w:tplc="B9B87AF8" w:tentative="1">
      <w:start w:val="1"/>
      <w:numFmt w:val="bullet"/>
      <w:lvlText w:val="•"/>
      <w:lvlJc w:val="left"/>
      <w:pPr>
        <w:tabs>
          <w:tab w:val="num" w:pos="5760"/>
        </w:tabs>
        <w:ind w:left="5760" w:hanging="360"/>
      </w:pPr>
      <w:rPr>
        <w:rFonts w:ascii="Times New Roman" w:hAnsi="Times New Roman" w:hint="default"/>
      </w:rPr>
    </w:lvl>
    <w:lvl w:ilvl="8" w:tplc="1022633C" w:tentative="1">
      <w:start w:val="1"/>
      <w:numFmt w:val="bullet"/>
      <w:lvlText w:val="•"/>
      <w:lvlJc w:val="left"/>
      <w:pPr>
        <w:tabs>
          <w:tab w:val="num" w:pos="6480"/>
        </w:tabs>
        <w:ind w:left="6480" w:hanging="360"/>
      </w:pPr>
      <w:rPr>
        <w:rFonts w:ascii="Times New Roman" w:hAnsi="Times New Roman" w:hint="default"/>
      </w:rPr>
    </w:lvl>
  </w:abstractNum>
  <w:abstractNum w:abstractNumId="23" w15:restartNumberingAfterBreak="0">
    <w:nsid w:val="221709F5"/>
    <w:multiLevelType w:val="hybridMultilevel"/>
    <w:tmpl w:val="253AA2D6"/>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4" w15:restartNumberingAfterBreak="0">
    <w:nsid w:val="222357A5"/>
    <w:multiLevelType w:val="hybridMultilevel"/>
    <w:tmpl w:val="5BF4007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234F4B2A"/>
    <w:multiLevelType w:val="hybridMultilevel"/>
    <w:tmpl w:val="A47E1AE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23CA36BC"/>
    <w:multiLevelType w:val="hybridMultilevel"/>
    <w:tmpl w:val="0AB88968"/>
    <w:lvl w:ilvl="0" w:tplc="E8CA2B66">
      <w:start w:val="1"/>
      <w:numFmt w:val="decimal"/>
      <w:lvlText w:val="%1."/>
      <w:lvlJc w:val="left"/>
      <w:pPr>
        <w:tabs>
          <w:tab w:val="num" w:pos="720"/>
        </w:tabs>
        <w:ind w:left="720" w:hanging="360"/>
      </w:pPr>
    </w:lvl>
    <w:lvl w:ilvl="1" w:tplc="615A2A56" w:tentative="1">
      <w:start w:val="1"/>
      <w:numFmt w:val="decimal"/>
      <w:lvlText w:val="%2."/>
      <w:lvlJc w:val="left"/>
      <w:pPr>
        <w:tabs>
          <w:tab w:val="num" w:pos="1440"/>
        </w:tabs>
        <w:ind w:left="1440" w:hanging="360"/>
      </w:pPr>
    </w:lvl>
    <w:lvl w:ilvl="2" w:tplc="A8D6CB7A" w:tentative="1">
      <w:start w:val="1"/>
      <w:numFmt w:val="decimal"/>
      <w:lvlText w:val="%3."/>
      <w:lvlJc w:val="left"/>
      <w:pPr>
        <w:tabs>
          <w:tab w:val="num" w:pos="2160"/>
        </w:tabs>
        <w:ind w:left="2160" w:hanging="360"/>
      </w:pPr>
    </w:lvl>
    <w:lvl w:ilvl="3" w:tplc="AB6E4EAA" w:tentative="1">
      <w:start w:val="1"/>
      <w:numFmt w:val="decimal"/>
      <w:lvlText w:val="%4."/>
      <w:lvlJc w:val="left"/>
      <w:pPr>
        <w:tabs>
          <w:tab w:val="num" w:pos="2880"/>
        </w:tabs>
        <w:ind w:left="2880" w:hanging="360"/>
      </w:pPr>
    </w:lvl>
    <w:lvl w:ilvl="4" w:tplc="2FD8F1B8" w:tentative="1">
      <w:start w:val="1"/>
      <w:numFmt w:val="decimal"/>
      <w:lvlText w:val="%5."/>
      <w:lvlJc w:val="left"/>
      <w:pPr>
        <w:tabs>
          <w:tab w:val="num" w:pos="3600"/>
        </w:tabs>
        <w:ind w:left="3600" w:hanging="360"/>
      </w:pPr>
    </w:lvl>
    <w:lvl w:ilvl="5" w:tplc="D80CD1E0" w:tentative="1">
      <w:start w:val="1"/>
      <w:numFmt w:val="decimal"/>
      <w:lvlText w:val="%6."/>
      <w:lvlJc w:val="left"/>
      <w:pPr>
        <w:tabs>
          <w:tab w:val="num" w:pos="4320"/>
        </w:tabs>
        <w:ind w:left="4320" w:hanging="360"/>
      </w:pPr>
    </w:lvl>
    <w:lvl w:ilvl="6" w:tplc="32CC475A" w:tentative="1">
      <w:start w:val="1"/>
      <w:numFmt w:val="decimal"/>
      <w:lvlText w:val="%7."/>
      <w:lvlJc w:val="left"/>
      <w:pPr>
        <w:tabs>
          <w:tab w:val="num" w:pos="5040"/>
        </w:tabs>
        <w:ind w:left="5040" w:hanging="360"/>
      </w:pPr>
    </w:lvl>
    <w:lvl w:ilvl="7" w:tplc="D096B202" w:tentative="1">
      <w:start w:val="1"/>
      <w:numFmt w:val="decimal"/>
      <w:lvlText w:val="%8."/>
      <w:lvlJc w:val="left"/>
      <w:pPr>
        <w:tabs>
          <w:tab w:val="num" w:pos="5760"/>
        </w:tabs>
        <w:ind w:left="5760" w:hanging="360"/>
      </w:pPr>
    </w:lvl>
    <w:lvl w:ilvl="8" w:tplc="9B3A948E" w:tentative="1">
      <w:start w:val="1"/>
      <w:numFmt w:val="decimal"/>
      <w:lvlText w:val="%9."/>
      <w:lvlJc w:val="left"/>
      <w:pPr>
        <w:tabs>
          <w:tab w:val="num" w:pos="6480"/>
        </w:tabs>
        <w:ind w:left="6480" w:hanging="360"/>
      </w:pPr>
    </w:lvl>
  </w:abstractNum>
  <w:abstractNum w:abstractNumId="27" w15:restartNumberingAfterBreak="0">
    <w:nsid w:val="24870651"/>
    <w:multiLevelType w:val="hybridMultilevel"/>
    <w:tmpl w:val="F9B0792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26222883"/>
    <w:multiLevelType w:val="hybridMultilevel"/>
    <w:tmpl w:val="D54426CE"/>
    <w:lvl w:ilvl="0" w:tplc="350C631E">
      <w:start w:val="1"/>
      <w:numFmt w:val="bullet"/>
      <w:lvlText w:val="•"/>
      <w:lvlJc w:val="left"/>
      <w:pPr>
        <w:tabs>
          <w:tab w:val="num" w:pos="720"/>
        </w:tabs>
        <w:ind w:left="720" w:hanging="360"/>
      </w:pPr>
      <w:rPr>
        <w:rFonts w:ascii="Arial" w:hAnsi="Arial" w:hint="default"/>
      </w:rPr>
    </w:lvl>
    <w:lvl w:ilvl="1" w:tplc="FDB0F558" w:tentative="1">
      <w:start w:val="1"/>
      <w:numFmt w:val="bullet"/>
      <w:lvlText w:val="•"/>
      <w:lvlJc w:val="left"/>
      <w:pPr>
        <w:tabs>
          <w:tab w:val="num" w:pos="1440"/>
        </w:tabs>
        <w:ind w:left="1440" w:hanging="360"/>
      </w:pPr>
      <w:rPr>
        <w:rFonts w:ascii="Arial" w:hAnsi="Arial" w:hint="default"/>
      </w:rPr>
    </w:lvl>
    <w:lvl w:ilvl="2" w:tplc="B91CFEBC" w:tentative="1">
      <w:start w:val="1"/>
      <w:numFmt w:val="bullet"/>
      <w:lvlText w:val="•"/>
      <w:lvlJc w:val="left"/>
      <w:pPr>
        <w:tabs>
          <w:tab w:val="num" w:pos="2160"/>
        </w:tabs>
        <w:ind w:left="2160" w:hanging="360"/>
      </w:pPr>
      <w:rPr>
        <w:rFonts w:ascii="Arial" w:hAnsi="Arial" w:hint="default"/>
      </w:rPr>
    </w:lvl>
    <w:lvl w:ilvl="3" w:tplc="1B002AF0" w:tentative="1">
      <w:start w:val="1"/>
      <w:numFmt w:val="bullet"/>
      <w:lvlText w:val="•"/>
      <w:lvlJc w:val="left"/>
      <w:pPr>
        <w:tabs>
          <w:tab w:val="num" w:pos="2880"/>
        </w:tabs>
        <w:ind w:left="2880" w:hanging="360"/>
      </w:pPr>
      <w:rPr>
        <w:rFonts w:ascii="Arial" w:hAnsi="Arial" w:hint="default"/>
      </w:rPr>
    </w:lvl>
    <w:lvl w:ilvl="4" w:tplc="BCE05662" w:tentative="1">
      <w:start w:val="1"/>
      <w:numFmt w:val="bullet"/>
      <w:lvlText w:val="•"/>
      <w:lvlJc w:val="left"/>
      <w:pPr>
        <w:tabs>
          <w:tab w:val="num" w:pos="3600"/>
        </w:tabs>
        <w:ind w:left="3600" w:hanging="360"/>
      </w:pPr>
      <w:rPr>
        <w:rFonts w:ascii="Arial" w:hAnsi="Arial" w:hint="default"/>
      </w:rPr>
    </w:lvl>
    <w:lvl w:ilvl="5" w:tplc="66B211E6" w:tentative="1">
      <w:start w:val="1"/>
      <w:numFmt w:val="bullet"/>
      <w:lvlText w:val="•"/>
      <w:lvlJc w:val="left"/>
      <w:pPr>
        <w:tabs>
          <w:tab w:val="num" w:pos="4320"/>
        </w:tabs>
        <w:ind w:left="4320" w:hanging="360"/>
      </w:pPr>
      <w:rPr>
        <w:rFonts w:ascii="Arial" w:hAnsi="Arial" w:hint="default"/>
      </w:rPr>
    </w:lvl>
    <w:lvl w:ilvl="6" w:tplc="1A88417E" w:tentative="1">
      <w:start w:val="1"/>
      <w:numFmt w:val="bullet"/>
      <w:lvlText w:val="•"/>
      <w:lvlJc w:val="left"/>
      <w:pPr>
        <w:tabs>
          <w:tab w:val="num" w:pos="5040"/>
        </w:tabs>
        <w:ind w:left="5040" w:hanging="360"/>
      </w:pPr>
      <w:rPr>
        <w:rFonts w:ascii="Arial" w:hAnsi="Arial" w:hint="default"/>
      </w:rPr>
    </w:lvl>
    <w:lvl w:ilvl="7" w:tplc="EDB25052" w:tentative="1">
      <w:start w:val="1"/>
      <w:numFmt w:val="bullet"/>
      <w:lvlText w:val="•"/>
      <w:lvlJc w:val="left"/>
      <w:pPr>
        <w:tabs>
          <w:tab w:val="num" w:pos="5760"/>
        </w:tabs>
        <w:ind w:left="5760" w:hanging="360"/>
      </w:pPr>
      <w:rPr>
        <w:rFonts w:ascii="Arial" w:hAnsi="Arial" w:hint="default"/>
      </w:rPr>
    </w:lvl>
    <w:lvl w:ilvl="8" w:tplc="B03EDEF0"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292C446C"/>
    <w:multiLevelType w:val="hybridMultilevel"/>
    <w:tmpl w:val="4F969DF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2A542508"/>
    <w:multiLevelType w:val="hybridMultilevel"/>
    <w:tmpl w:val="98F45CC8"/>
    <w:lvl w:ilvl="0" w:tplc="E3D4DE8A">
      <w:start w:val="1"/>
      <w:numFmt w:val="bullet"/>
      <w:lvlText w:val="•"/>
      <w:lvlJc w:val="left"/>
      <w:pPr>
        <w:tabs>
          <w:tab w:val="num" w:pos="720"/>
        </w:tabs>
        <w:ind w:left="720" w:hanging="360"/>
      </w:pPr>
      <w:rPr>
        <w:rFonts w:ascii="Times New Roman" w:hAnsi="Times New Roman" w:hint="default"/>
      </w:rPr>
    </w:lvl>
    <w:lvl w:ilvl="1" w:tplc="1572F59A" w:tentative="1">
      <w:start w:val="1"/>
      <w:numFmt w:val="bullet"/>
      <w:lvlText w:val="•"/>
      <w:lvlJc w:val="left"/>
      <w:pPr>
        <w:tabs>
          <w:tab w:val="num" w:pos="1440"/>
        </w:tabs>
        <w:ind w:left="1440" w:hanging="360"/>
      </w:pPr>
      <w:rPr>
        <w:rFonts w:ascii="Times New Roman" w:hAnsi="Times New Roman" w:hint="default"/>
      </w:rPr>
    </w:lvl>
    <w:lvl w:ilvl="2" w:tplc="B64E46FC" w:tentative="1">
      <w:start w:val="1"/>
      <w:numFmt w:val="bullet"/>
      <w:lvlText w:val="•"/>
      <w:lvlJc w:val="left"/>
      <w:pPr>
        <w:tabs>
          <w:tab w:val="num" w:pos="2160"/>
        </w:tabs>
        <w:ind w:left="2160" w:hanging="360"/>
      </w:pPr>
      <w:rPr>
        <w:rFonts w:ascii="Times New Roman" w:hAnsi="Times New Roman" w:hint="default"/>
      </w:rPr>
    </w:lvl>
    <w:lvl w:ilvl="3" w:tplc="91F86416" w:tentative="1">
      <w:start w:val="1"/>
      <w:numFmt w:val="bullet"/>
      <w:lvlText w:val="•"/>
      <w:lvlJc w:val="left"/>
      <w:pPr>
        <w:tabs>
          <w:tab w:val="num" w:pos="2880"/>
        </w:tabs>
        <w:ind w:left="2880" w:hanging="360"/>
      </w:pPr>
      <w:rPr>
        <w:rFonts w:ascii="Times New Roman" w:hAnsi="Times New Roman" w:hint="default"/>
      </w:rPr>
    </w:lvl>
    <w:lvl w:ilvl="4" w:tplc="27EA98A4" w:tentative="1">
      <w:start w:val="1"/>
      <w:numFmt w:val="bullet"/>
      <w:lvlText w:val="•"/>
      <w:lvlJc w:val="left"/>
      <w:pPr>
        <w:tabs>
          <w:tab w:val="num" w:pos="3600"/>
        </w:tabs>
        <w:ind w:left="3600" w:hanging="360"/>
      </w:pPr>
      <w:rPr>
        <w:rFonts w:ascii="Times New Roman" w:hAnsi="Times New Roman" w:hint="default"/>
      </w:rPr>
    </w:lvl>
    <w:lvl w:ilvl="5" w:tplc="63449BD6" w:tentative="1">
      <w:start w:val="1"/>
      <w:numFmt w:val="bullet"/>
      <w:lvlText w:val="•"/>
      <w:lvlJc w:val="left"/>
      <w:pPr>
        <w:tabs>
          <w:tab w:val="num" w:pos="4320"/>
        </w:tabs>
        <w:ind w:left="4320" w:hanging="360"/>
      </w:pPr>
      <w:rPr>
        <w:rFonts w:ascii="Times New Roman" w:hAnsi="Times New Roman" w:hint="default"/>
      </w:rPr>
    </w:lvl>
    <w:lvl w:ilvl="6" w:tplc="04EC2CF2" w:tentative="1">
      <w:start w:val="1"/>
      <w:numFmt w:val="bullet"/>
      <w:lvlText w:val="•"/>
      <w:lvlJc w:val="left"/>
      <w:pPr>
        <w:tabs>
          <w:tab w:val="num" w:pos="5040"/>
        </w:tabs>
        <w:ind w:left="5040" w:hanging="360"/>
      </w:pPr>
      <w:rPr>
        <w:rFonts w:ascii="Times New Roman" w:hAnsi="Times New Roman" w:hint="default"/>
      </w:rPr>
    </w:lvl>
    <w:lvl w:ilvl="7" w:tplc="B972D64A" w:tentative="1">
      <w:start w:val="1"/>
      <w:numFmt w:val="bullet"/>
      <w:lvlText w:val="•"/>
      <w:lvlJc w:val="left"/>
      <w:pPr>
        <w:tabs>
          <w:tab w:val="num" w:pos="5760"/>
        </w:tabs>
        <w:ind w:left="5760" w:hanging="360"/>
      </w:pPr>
      <w:rPr>
        <w:rFonts w:ascii="Times New Roman" w:hAnsi="Times New Roman" w:hint="default"/>
      </w:rPr>
    </w:lvl>
    <w:lvl w:ilvl="8" w:tplc="979221EA" w:tentative="1">
      <w:start w:val="1"/>
      <w:numFmt w:val="bullet"/>
      <w:lvlText w:val="•"/>
      <w:lvlJc w:val="left"/>
      <w:pPr>
        <w:tabs>
          <w:tab w:val="num" w:pos="6480"/>
        </w:tabs>
        <w:ind w:left="6480" w:hanging="360"/>
      </w:pPr>
      <w:rPr>
        <w:rFonts w:ascii="Times New Roman" w:hAnsi="Times New Roman" w:hint="default"/>
      </w:rPr>
    </w:lvl>
  </w:abstractNum>
  <w:abstractNum w:abstractNumId="31" w15:restartNumberingAfterBreak="0">
    <w:nsid w:val="2A8F6BA8"/>
    <w:multiLevelType w:val="multilevel"/>
    <w:tmpl w:val="BA0E40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2A98395C"/>
    <w:multiLevelType w:val="hybridMultilevel"/>
    <w:tmpl w:val="866663C2"/>
    <w:lvl w:ilvl="0" w:tplc="90522B32">
      <w:start w:val="1"/>
      <w:numFmt w:val="bullet"/>
      <w:lvlText w:val="•"/>
      <w:lvlJc w:val="left"/>
      <w:pPr>
        <w:tabs>
          <w:tab w:val="num" w:pos="720"/>
        </w:tabs>
        <w:ind w:left="720" w:hanging="360"/>
      </w:pPr>
      <w:rPr>
        <w:rFonts w:ascii="Arial" w:hAnsi="Arial" w:hint="default"/>
      </w:rPr>
    </w:lvl>
    <w:lvl w:ilvl="1" w:tplc="98187886" w:tentative="1">
      <w:start w:val="1"/>
      <w:numFmt w:val="bullet"/>
      <w:lvlText w:val="•"/>
      <w:lvlJc w:val="left"/>
      <w:pPr>
        <w:tabs>
          <w:tab w:val="num" w:pos="1440"/>
        </w:tabs>
        <w:ind w:left="1440" w:hanging="360"/>
      </w:pPr>
      <w:rPr>
        <w:rFonts w:ascii="Arial" w:hAnsi="Arial" w:hint="default"/>
      </w:rPr>
    </w:lvl>
    <w:lvl w:ilvl="2" w:tplc="4574001C" w:tentative="1">
      <w:start w:val="1"/>
      <w:numFmt w:val="bullet"/>
      <w:lvlText w:val="•"/>
      <w:lvlJc w:val="left"/>
      <w:pPr>
        <w:tabs>
          <w:tab w:val="num" w:pos="2160"/>
        </w:tabs>
        <w:ind w:left="2160" w:hanging="360"/>
      </w:pPr>
      <w:rPr>
        <w:rFonts w:ascii="Arial" w:hAnsi="Arial" w:hint="default"/>
      </w:rPr>
    </w:lvl>
    <w:lvl w:ilvl="3" w:tplc="82300642" w:tentative="1">
      <w:start w:val="1"/>
      <w:numFmt w:val="bullet"/>
      <w:lvlText w:val="•"/>
      <w:lvlJc w:val="left"/>
      <w:pPr>
        <w:tabs>
          <w:tab w:val="num" w:pos="2880"/>
        </w:tabs>
        <w:ind w:left="2880" w:hanging="360"/>
      </w:pPr>
      <w:rPr>
        <w:rFonts w:ascii="Arial" w:hAnsi="Arial" w:hint="default"/>
      </w:rPr>
    </w:lvl>
    <w:lvl w:ilvl="4" w:tplc="928A2E40" w:tentative="1">
      <w:start w:val="1"/>
      <w:numFmt w:val="bullet"/>
      <w:lvlText w:val="•"/>
      <w:lvlJc w:val="left"/>
      <w:pPr>
        <w:tabs>
          <w:tab w:val="num" w:pos="3600"/>
        </w:tabs>
        <w:ind w:left="3600" w:hanging="360"/>
      </w:pPr>
      <w:rPr>
        <w:rFonts w:ascii="Arial" w:hAnsi="Arial" w:hint="default"/>
      </w:rPr>
    </w:lvl>
    <w:lvl w:ilvl="5" w:tplc="A6BE6E5A" w:tentative="1">
      <w:start w:val="1"/>
      <w:numFmt w:val="bullet"/>
      <w:lvlText w:val="•"/>
      <w:lvlJc w:val="left"/>
      <w:pPr>
        <w:tabs>
          <w:tab w:val="num" w:pos="4320"/>
        </w:tabs>
        <w:ind w:left="4320" w:hanging="360"/>
      </w:pPr>
      <w:rPr>
        <w:rFonts w:ascii="Arial" w:hAnsi="Arial" w:hint="default"/>
      </w:rPr>
    </w:lvl>
    <w:lvl w:ilvl="6" w:tplc="C9EE46CA" w:tentative="1">
      <w:start w:val="1"/>
      <w:numFmt w:val="bullet"/>
      <w:lvlText w:val="•"/>
      <w:lvlJc w:val="left"/>
      <w:pPr>
        <w:tabs>
          <w:tab w:val="num" w:pos="5040"/>
        </w:tabs>
        <w:ind w:left="5040" w:hanging="360"/>
      </w:pPr>
      <w:rPr>
        <w:rFonts w:ascii="Arial" w:hAnsi="Arial" w:hint="default"/>
      </w:rPr>
    </w:lvl>
    <w:lvl w:ilvl="7" w:tplc="04AE0936" w:tentative="1">
      <w:start w:val="1"/>
      <w:numFmt w:val="bullet"/>
      <w:lvlText w:val="•"/>
      <w:lvlJc w:val="left"/>
      <w:pPr>
        <w:tabs>
          <w:tab w:val="num" w:pos="5760"/>
        </w:tabs>
        <w:ind w:left="5760" w:hanging="360"/>
      </w:pPr>
      <w:rPr>
        <w:rFonts w:ascii="Arial" w:hAnsi="Arial" w:hint="default"/>
      </w:rPr>
    </w:lvl>
    <w:lvl w:ilvl="8" w:tplc="ACDCE20A" w:tentative="1">
      <w:start w:val="1"/>
      <w:numFmt w:val="bullet"/>
      <w:lvlText w:val="•"/>
      <w:lvlJc w:val="left"/>
      <w:pPr>
        <w:tabs>
          <w:tab w:val="num" w:pos="6480"/>
        </w:tabs>
        <w:ind w:left="6480" w:hanging="360"/>
      </w:pPr>
      <w:rPr>
        <w:rFonts w:ascii="Arial" w:hAnsi="Arial" w:hint="default"/>
      </w:rPr>
    </w:lvl>
  </w:abstractNum>
  <w:abstractNum w:abstractNumId="33" w15:restartNumberingAfterBreak="0">
    <w:nsid w:val="2BAF268C"/>
    <w:multiLevelType w:val="hybridMultilevel"/>
    <w:tmpl w:val="E77C2F0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2C560AF7"/>
    <w:multiLevelType w:val="hybridMultilevel"/>
    <w:tmpl w:val="530A3638"/>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5" w15:restartNumberingAfterBreak="0">
    <w:nsid w:val="2CC24396"/>
    <w:multiLevelType w:val="hybridMultilevel"/>
    <w:tmpl w:val="3B76AAAA"/>
    <w:lvl w:ilvl="0" w:tplc="040C0011">
      <w:start w:val="1"/>
      <w:numFmt w:val="decimal"/>
      <w:lvlText w:val="%1)"/>
      <w:lvlJc w:val="lef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36" w15:restartNumberingAfterBreak="0">
    <w:nsid w:val="2EC90CE6"/>
    <w:multiLevelType w:val="hybridMultilevel"/>
    <w:tmpl w:val="2084A7E6"/>
    <w:lvl w:ilvl="0" w:tplc="A0E60F86">
      <w:start w:val="1"/>
      <w:numFmt w:val="bullet"/>
      <w:lvlText w:val=""/>
      <w:lvlJc w:val="left"/>
      <w:pPr>
        <w:tabs>
          <w:tab w:val="num" w:pos="720"/>
        </w:tabs>
        <w:ind w:left="720" w:hanging="360"/>
      </w:pPr>
      <w:rPr>
        <w:rFonts w:ascii="Wingdings" w:hAnsi="Wingdings" w:hint="default"/>
      </w:rPr>
    </w:lvl>
    <w:lvl w:ilvl="1" w:tplc="EBFEF85C" w:tentative="1">
      <w:start w:val="1"/>
      <w:numFmt w:val="bullet"/>
      <w:lvlText w:val=""/>
      <w:lvlJc w:val="left"/>
      <w:pPr>
        <w:tabs>
          <w:tab w:val="num" w:pos="1440"/>
        </w:tabs>
        <w:ind w:left="1440" w:hanging="360"/>
      </w:pPr>
      <w:rPr>
        <w:rFonts w:ascii="Wingdings" w:hAnsi="Wingdings" w:hint="default"/>
      </w:rPr>
    </w:lvl>
    <w:lvl w:ilvl="2" w:tplc="62FE0826" w:tentative="1">
      <w:start w:val="1"/>
      <w:numFmt w:val="bullet"/>
      <w:lvlText w:val=""/>
      <w:lvlJc w:val="left"/>
      <w:pPr>
        <w:tabs>
          <w:tab w:val="num" w:pos="2160"/>
        </w:tabs>
        <w:ind w:left="2160" w:hanging="360"/>
      </w:pPr>
      <w:rPr>
        <w:rFonts w:ascii="Wingdings" w:hAnsi="Wingdings" w:hint="default"/>
      </w:rPr>
    </w:lvl>
    <w:lvl w:ilvl="3" w:tplc="FE36E2A8" w:tentative="1">
      <w:start w:val="1"/>
      <w:numFmt w:val="bullet"/>
      <w:lvlText w:val=""/>
      <w:lvlJc w:val="left"/>
      <w:pPr>
        <w:tabs>
          <w:tab w:val="num" w:pos="2880"/>
        </w:tabs>
        <w:ind w:left="2880" w:hanging="360"/>
      </w:pPr>
      <w:rPr>
        <w:rFonts w:ascii="Wingdings" w:hAnsi="Wingdings" w:hint="default"/>
      </w:rPr>
    </w:lvl>
    <w:lvl w:ilvl="4" w:tplc="C8E824F0" w:tentative="1">
      <w:start w:val="1"/>
      <w:numFmt w:val="bullet"/>
      <w:lvlText w:val=""/>
      <w:lvlJc w:val="left"/>
      <w:pPr>
        <w:tabs>
          <w:tab w:val="num" w:pos="3600"/>
        </w:tabs>
        <w:ind w:left="3600" w:hanging="360"/>
      </w:pPr>
      <w:rPr>
        <w:rFonts w:ascii="Wingdings" w:hAnsi="Wingdings" w:hint="default"/>
      </w:rPr>
    </w:lvl>
    <w:lvl w:ilvl="5" w:tplc="8DD236AC" w:tentative="1">
      <w:start w:val="1"/>
      <w:numFmt w:val="bullet"/>
      <w:lvlText w:val=""/>
      <w:lvlJc w:val="left"/>
      <w:pPr>
        <w:tabs>
          <w:tab w:val="num" w:pos="4320"/>
        </w:tabs>
        <w:ind w:left="4320" w:hanging="360"/>
      </w:pPr>
      <w:rPr>
        <w:rFonts w:ascii="Wingdings" w:hAnsi="Wingdings" w:hint="default"/>
      </w:rPr>
    </w:lvl>
    <w:lvl w:ilvl="6" w:tplc="DC1CD9A0" w:tentative="1">
      <w:start w:val="1"/>
      <w:numFmt w:val="bullet"/>
      <w:lvlText w:val=""/>
      <w:lvlJc w:val="left"/>
      <w:pPr>
        <w:tabs>
          <w:tab w:val="num" w:pos="5040"/>
        </w:tabs>
        <w:ind w:left="5040" w:hanging="360"/>
      </w:pPr>
      <w:rPr>
        <w:rFonts w:ascii="Wingdings" w:hAnsi="Wingdings" w:hint="default"/>
      </w:rPr>
    </w:lvl>
    <w:lvl w:ilvl="7" w:tplc="6A20D684" w:tentative="1">
      <w:start w:val="1"/>
      <w:numFmt w:val="bullet"/>
      <w:lvlText w:val=""/>
      <w:lvlJc w:val="left"/>
      <w:pPr>
        <w:tabs>
          <w:tab w:val="num" w:pos="5760"/>
        </w:tabs>
        <w:ind w:left="5760" w:hanging="360"/>
      </w:pPr>
      <w:rPr>
        <w:rFonts w:ascii="Wingdings" w:hAnsi="Wingdings" w:hint="default"/>
      </w:rPr>
    </w:lvl>
    <w:lvl w:ilvl="8" w:tplc="43EE7F34"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2F1201B3"/>
    <w:multiLevelType w:val="multilevel"/>
    <w:tmpl w:val="6CB82C08"/>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2F143E93"/>
    <w:multiLevelType w:val="hybridMultilevel"/>
    <w:tmpl w:val="8FF6795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30E746AE"/>
    <w:multiLevelType w:val="multilevel"/>
    <w:tmpl w:val="6DF48E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314854E6"/>
    <w:multiLevelType w:val="multilevel"/>
    <w:tmpl w:val="753889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319F5843"/>
    <w:multiLevelType w:val="hybridMultilevel"/>
    <w:tmpl w:val="8C366B7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15:restartNumberingAfterBreak="0">
    <w:nsid w:val="35327DB7"/>
    <w:multiLevelType w:val="hybridMultilevel"/>
    <w:tmpl w:val="39E4475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15:restartNumberingAfterBreak="0">
    <w:nsid w:val="3538722B"/>
    <w:multiLevelType w:val="hybridMultilevel"/>
    <w:tmpl w:val="7D384FB2"/>
    <w:lvl w:ilvl="0" w:tplc="D66A4566">
      <w:start w:val="1"/>
      <w:numFmt w:val="bullet"/>
      <w:lvlText w:val="•"/>
      <w:lvlJc w:val="left"/>
      <w:pPr>
        <w:tabs>
          <w:tab w:val="num" w:pos="720"/>
        </w:tabs>
        <w:ind w:left="720" w:hanging="360"/>
      </w:pPr>
      <w:rPr>
        <w:rFonts w:ascii="Times New Roman" w:hAnsi="Times New Roman" w:hint="default"/>
      </w:rPr>
    </w:lvl>
    <w:lvl w:ilvl="1" w:tplc="E72C0ADE" w:tentative="1">
      <w:start w:val="1"/>
      <w:numFmt w:val="bullet"/>
      <w:lvlText w:val="•"/>
      <w:lvlJc w:val="left"/>
      <w:pPr>
        <w:tabs>
          <w:tab w:val="num" w:pos="1440"/>
        </w:tabs>
        <w:ind w:left="1440" w:hanging="360"/>
      </w:pPr>
      <w:rPr>
        <w:rFonts w:ascii="Times New Roman" w:hAnsi="Times New Roman" w:hint="default"/>
      </w:rPr>
    </w:lvl>
    <w:lvl w:ilvl="2" w:tplc="60D0A09C" w:tentative="1">
      <w:start w:val="1"/>
      <w:numFmt w:val="bullet"/>
      <w:lvlText w:val="•"/>
      <w:lvlJc w:val="left"/>
      <w:pPr>
        <w:tabs>
          <w:tab w:val="num" w:pos="2160"/>
        </w:tabs>
        <w:ind w:left="2160" w:hanging="360"/>
      </w:pPr>
      <w:rPr>
        <w:rFonts w:ascii="Times New Roman" w:hAnsi="Times New Roman" w:hint="default"/>
      </w:rPr>
    </w:lvl>
    <w:lvl w:ilvl="3" w:tplc="31F602A8" w:tentative="1">
      <w:start w:val="1"/>
      <w:numFmt w:val="bullet"/>
      <w:lvlText w:val="•"/>
      <w:lvlJc w:val="left"/>
      <w:pPr>
        <w:tabs>
          <w:tab w:val="num" w:pos="2880"/>
        </w:tabs>
        <w:ind w:left="2880" w:hanging="360"/>
      </w:pPr>
      <w:rPr>
        <w:rFonts w:ascii="Times New Roman" w:hAnsi="Times New Roman" w:hint="default"/>
      </w:rPr>
    </w:lvl>
    <w:lvl w:ilvl="4" w:tplc="24C6380A" w:tentative="1">
      <w:start w:val="1"/>
      <w:numFmt w:val="bullet"/>
      <w:lvlText w:val="•"/>
      <w:lvlJc w:val="left"/>
      <w:pPr>
        <w:tabs>
          <w:tab w:val="num" w:pos="3600"/>
        </w:tabs>
        <w:ind w:left="3600" w:hanging="360"/>
      </w:pPr>
      <w:rPr>
        <w:rFonts w:ascii="Times New Roman" w:hAnsi="Times New Roman" w:hint="default"/>
      </w:rPr>
    </w:lvl>
    <w:lvl w:ilvl="5" w:tplc="3C1C7208" w:tentative="1">
      <w:start w:val="1"/>
      <w:numFmt w:val="bullet"/>
      <w:lvlText w:val="•"/>
      <w:lvlJc w:val="left"/>
      <w:pPr>
        <w:tabs>
          <w:tab w:val="num" w:pos="4320"/>
        </w:tabs>
        <w:ind w:left="4320" w:hanging="360"/>
      </w:pPr>
      <w:rPr>
        <w:rFonts w:ascii="Times New Roman" w:hAnsi="Times New Roman" w:hint="default"/>
      </w:rPr>
    </w:lvl>
    <w:lvl w:ilvl="6" w:tplc="350A11BE" w:tentative="1">
      <w:start w:val="1"/>
      <w:numFmt w:val="bullet"/>
      <w:lvlText w:val="•"/>
      <w:lvlJc w:val="left"/>
      <w:pPr>
        <w:tabs>
          <w:tab w:val="num" w:pos="5040"/>
        </w:tabs>
        <w:ind w:left="5040" w:hanging="360"/>
      </w:pPr>
      <w:rPr>
        <w:rFonts w:ascii="Times New Roman" w:hAnsi="Times New Roman" w:hint="default"/>
      </w:rPr>
    </w:lvl>
    <w:lvl w:ilvl="7" w:tplc="2B0A8A30" w:tentative="1">
      <w:start w:val="1"/>
      <w:numFmt w:val="bullet"/>
      <w:lvlText w:val="•"/>
      <w:lvlJc w:val="left"/>
      <w:pPr>
        <w:tabs>
          <w:tab w:val="num" w:pos="5760"/>
        </w:tabs>
        <w:ind w:left="5760" w:hanging="360"/>
      </w:pPr>
      <w:rPr>
        <w:rFonts w:ascii="Times New Roman" w:hAnsi="Times New Roman" w:hint="default"/>
      </w:rPr>
    </w:lvl>
    <w:lvl w:ilvl="8" w:tplc="CD2CA3A2" w:tentative="1">
      <w:start w:val="1"/>
      <w:numFmt w:val="bullet"/>
      <w:lvlText w:val="•"/>
      <w:lvlJc w:val="left"/>
      <w:pPr>
        <w:tabs>
          <w:tab w:val="num" w:pos="6480"/>
        </w:tabs>
        <w:ind w:left="6480" w:hanging="360"/>
      </w:pPr>
      <w:rPr>
        <w:rFonts w:ascii="Times New Roman" w:hAnsi="Times New Roman" w:hint="default"/>
      </w:rPr>
    </w:lvl>
  </w:abstractNum>
  <w:abstractNum w:abstractNumId="44" w15:restartNumberingAfterBreak="0">
    <w:nsid w:val="35C7569C"/>
    <w:multiLevelType w:val="hybridMultilevel"/>
    <w:tmpl w:val="E78C642C"/>
    <w:lvl w:ilvl="0" w:tplc="763E8C4A">
      <w:start w:val="1"/>
      <w:numFmt w:val="decimal"/>
      <w:lvlText w:val="%1."/>
      <w:lvlJc w:val="left"/>
      <w:pPr>
        <w:tabs>
          <w:tab w:val="num" w:pos="720"/>
        </w:tabs>
        <w:ind w:left="720" w:hanging="360"/>
      </w:pPr>
    </w:lvl>
    <w:lvl w:ilvl="1" w:tplc="6F1AB8CA" w:tentative="1">
      <w:start w:val="1"/>
      <w:numFmt w:val="decimal"/>
      <w:lvlText w:val="%2."/>
      <w:lvlJc w:val="left"/>
      <w:pPr>
        <w:tabs>
          <w:tab w:val="num" w:pos="1440"/>
        </w:tabs>
        <w:ind w:left="1440" w:hanging="360"/>
      </w:pPr>
    </w:lvl>
    <w:lvl w:ilvl="2" w:tplc="D0E22D04" w:tentative="1">
      <w:start w:val="1"/>
      <w:numFmt w:val="decimal"/>
      <w:lvlText w:val="%3."/>
      <w:lvlJc w:val="left"/>
      <w:pPr>
        <w:tabs>
          <w:tab w:val="num" w:pos="2160"/>
        </w:tabs>
        <w:ind w:left="2160" w:hanging="360"/>
      </w:pPr>
    </w:lvl>
    <w:lvl w:ilvl="3" w:tplc="6890B27A" w:tentative="1">
      <w:start w:val="1"/>
      <w:numFmt w:val="decimal"/>
      <w:lvlText w:val="%4."/>
      <w:lvlJc w:val="left"/>
      <w:pPr>
        <w:tabs>
          <w:tab w:val="num" w:pos="2880"/>
        </w:tabs>
        <w:ind w:left="2880" w:hanging="360"/>
      </w:pPr>
    </w:lvl>
    <w:lvl w:ilvl="4" w:tplc="66B4A534" w:tentative="1">
      <w:start w:val="1"/>
      <w:numFmt w:val="decimal"/>
      <w:lvlText w:val="%5."/>
      <w:lvlJc w:val="left"/>
      <w:pPr>
        <w:tabs>
          <w:tab w:val="num" w:pos="3600"/>
        </w:tabs>
        <w:ind w:left="3600" w:hanging="360"/>
      </w:pPr>
    </w:lvl>
    <w:lvl w:ilvl="5" w:tplc="5D04E4B0" w:tentative="1">
      <w:start w:val="1"/>
      <w:numFmt w:val="decimal"/>
      <w:lvlText w:val="%6."/>
      <w:lvlJc w:val="left"/>
      <w:pPr>
        <w:tabs>
          <w:tab w:val="num" w:pos="4320"/>
        </w:tabs>
        <w:ind w:left="4320" w:hanging="360"/>
      </w:pPr>
    </w:lvl>
    <w:lvl w:ilvl="6" w:tplc="B602FD3A" w:tentative="1">
      <w:start w:val="1"/>
      <w:numFmt w:val="decimal"/>
      <w:lvlText w:val="%7."/>
      <w:lvlJc w:val="left"/>
      <w:pPr>
        <w:tabs>
          <w:tab w:val="num" w:pos="5040"/>
        </w:tabs>
        <w:ind w:left="5040" w:hanging="360"/>
      </w:pPr>
    </w:lvl>
    <w:lvl w:ilvl="7" w:tplc="2CB2267C" w:tentative="1">
      <w:start w:val="1"/>
      <w:numFmt w:val="decimal"/>
      <w:lvlText w:val="%8."/>
      <w:lvlJc w:val="left"/>
      <w:pPr>
        <w:tabs>
          <w:tab w:val="num" w:pos="5760"/>
        </w:tabs>
        <w:ind w:left="5760" w:hanging="360"/>
      </w:pPr>
    </w:lvl>
    <w:lvl w:ilvl="8" w:tplc="B8C00E88" w:tentative="1">
      <w:start w:val="1"/>
      <w:numFmt w:val="decimal"/>
      <w:lvlText w:val="%9."/>
      <w:lvlJc w:val="left"/>
      <w:pPr>
        <w:tabs>
          <w:tab w:val="num" w:pos="6480"/>
        </w:tabs>
        <w:ind w:left="6480" w:hanging="360"/>
      </w:pPr>
    </w:lvl>
  </w:abstractNum>
  <w:abstractNum w:abstractNumId="45" w15:restartNumberingAfterBreak="0">
    <w:nsid w:val="3A422395"/>
    <w:multiLevelType w:val="hybridMultilevel"/>
    <w:tmpl w:val="7020049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6" w15:restartNumberingAfterBreak="0">
    <w:nsid w:val="3C7477CD"/>
    <w:multiLevelType w:val="multilevel"/>
    <w:tmpl w:val="7F80BD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3CA837E2"/>
    <w:multiLevelType w:val="hybridMultilevel"/>
    <w:tmpl w:val="19F66B7E"/>
    <w:lvl w:ilvl="0" w:tplc="3E220042">
      <w:start w:val="1"/>
      <w:numFmt w:val="decimal"/>
      <w:lvlText w:val="%1."/>
      <w:lvlJc w:val="left"/>
      <w:pPr>
        <w:tabs>
          <w:tab w:val="num" w:pos="720"/>
        </w:tabs>
        <w:ind w:left="720" w:hanging="360"/>
      </w:pPr>
    </w:lvl>
    <w:lvl w:ilvl="1" w:tplc="594C47B2" w:tentative="1">
      <w:start w:val="1"/>
      <w:numFmt w:val="decimal"/>
      <w:lvlText w:val="%2."/>
      <w:lvlJc w:val="left"/>
      <w:pPr>
        <w:tabs>
          <w:tab w:val="num" w:pos="1440"/>
        </w:tabs>
        <w:ind w:left="1440" w:hanging="360"/>
      </w:pPr>
    </w:lvl>
    <w:lvl w:ilvl="2" w:tplc="DC54FE6A" w:tentative="1">
      <w:start w:val="1"/>
      <w:numFmt w:val="decimal"/>
      <w:lvlText w:val="%3."/>
      <w:lvlJc w:val="left"/>
      <w:pPr>
        <w:tabs>
          <w:tab w:val="num" w:pos="2160"/>
        </w:tabs>
        <w:ind w:left="2160" w:hanging="360"/>
      </w:pPr>
    </w:lvl>
    <w:lvl w:ilvl="3" w:tplc="DA2AF9B0" w:tentative="1">
      <w:start w:val="1"/>
      <w:numFmt w:val="decimal"/>
      <w:lvlText w:val="%4."/>
      <w:lvlJc w:val="left"/>
      <w:pPr>
        <w:tabs>
          <w:tab w:val="num" w:pos="2880"/>
        </w:tabs>
        <w:ind w:left="2880" w:hanging="360"/>
      </w:pPr>
    </w:lvl>
    <w:lvl w:ilvl="4" w:tplc="77989914" w:tentative="1">
      <w:start w:val="1"/>
      <w:numFmt w:val="decimal"/>
      <w:lvlText w:val="%5."/>
      <w:lvlJc w:val="left"/>
      <w:pPr>
        <w:tabs>
          <w:tab w:val="num" w:pos="3600"/>
        </w:tabs>
        <w:ind w:left="3600" w:hanging="360"/>
      </w:pPr>
    </w:lvl>
    <w:lvl w:ilvl="5" w:tplc="027EF06C" w:tentative="1">
      <w:start w:val="1"/>
      <w:numFmt w:val="decimal"/>
      <w:lvlText w:val="%6."/>
      <w:lvlJc w:val="left"/>
      <w:pPr>
        <w:tabs>
          <w:tab w:val="num" w:pos="4320"/>
        </w:tabs>
        <w:ind w:left="4320" w:hanging="360"/>
      </w:pPr>
    </w:lvl>
    <w:lvl w:ilvl="6" w:tplc="086ECA8C" w:tentative="1">
      <w:start w:val="1"/>
      <w:numFmt w:val="decimal"/>
      <w:lvlText w:val="%7."/>
      <w:lvlJc w:val="left"/>
      <w:pPr>
        <w:tabs>
          <w:tab w:val="num" w:pos="5040"/>
        </w:tabs>
        <w:ind w:left="5040" w:hanging="360"/>
      </w:pPr>
    </w:lvl>
    <w:lvl w:ilvl="7" w:tplc="E5C07788" w:tentative="1">
      <w:start w:val="1"/>
      <w:numFmt w:val="decimal"/>
      <w:lvlText w:val="%8."/>
      <w:lvlJc w:val="left"/>
      <w:pPr>
        <w:tabs>
          <w:tab w:val="num" w:pos="5760"/>
        </w:tabs>
        <w:ind w:left="5760" w:hanging="360"/>
      </w:pPr>
    </w:lvl>
    <w:lvl w:ilvl="8" w:tplc="1A465BF6" w:tentative="1">
      <w:start w:val="1"/>
      <w:numFmt w:val="decimal"/>
      <w:lvlText w:val="%9."/>
      <w:lvlJc w:val="left"/>
      <w:pPr>
        <w:tabs>
          <w:tab w:val="num" w:pos="6480"/>
        </w:tabs>
        <w:ind w:left="6480" w:hanging="360"/>
      </w:pPr>
    </w:lvl>
  </w:abstractNum>
  <w:abstractNum w:abstractNumId="48" w15:restartNumberingAfterBreak="0">
    <w:nsid w:val="3DB6213D"/>
    <w:multiLevelType w:val="multilevel"/>
    <w:tmpl w:val="A4A255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3DF1746B"/>
    <w:multiLevelType w:val="hybridMultilevel"/>
    <w:tmpl w:val="15022D4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0" w15:restartNumberingAfterBreak="0">
    <w:nsid w:val="415354EE"/>
    <w:multiLevelType w:val="hybridMultilevel"/>
    <w:tmpl w:val="F4D409D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1" w15:restartNumberingAfterBreak="0">
    <w:nsid w:val="42487B34"/>
    <w:multiLevelType w:val="multilevel"/>
    <w:tmpl w:val="9AE022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451F021B"/>
    <w:multiLevelType w:val="hybridMultilevel"/>
    <w:tmpl w:val="F304910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3" w15:restartNumberingAfterBreak="0">
    <w:nsid w:val="46E324EF"/>
    <w:multiLevelType w:val="multilevel"/>
    <w:tmpl w:val="040C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4" w15:restartNumberingAfterBreak="0">
    <w:nsid w:val="48BF1196"/>
    <w:multiLevelType w:val="hybridMultilevel"/>
    <w:tmpl w:val="B114F442"/>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5" w15:restartNumberingAfterBreak="0">
    <w:nsid w:val="49DA777A"/>
    <w:multiLevelType w:val="hybridMultilevel"/>
    <w:tmpl w:val="A2648990"/>
    <w:lvl w:ilvl="0" w:tplc="EF22A34C">
      <w:start w:val="1"/>
      <w:numFmt w:val="bullet"/>
      <w:lvlText w:val="•"/>
      <w:lvlJc w:val="left"/>
      <w:pPr>
        <w:tabs>
          <w:tab w:val="num" w:pos="720"/>
        </w:tabs>
        <w:ind w:left="720" w:hanging="360"/>
      </w:pPr>
      <w:rPr>
        <w:rFonts w:ascii="Arial" w:hAnsi="Arial" w:hint="default"/>
      </w:rPr>
    </w:lvl>
    <w:lvl w:ilvl="1" w:tplc="17789E48" w:tentative="1">
      <w:start w:val="1"/>
      <w:numFmt w:val="bullet"/>
      <w:lvlText w:val="•"/>
      <w:lvlJc w:val="left"/>
      <w:pPr>
        <w:tabs>
          <w:tab w:val="num" w:pos="1440"/>
        </w:tabs>
        <w:ind w:left="1440" w:hanging="360"/>
      </w:pPr>
      <w:rPr>
        <w:rFonts w:ascii="Arial" w:hAnsi="Arial" w:hint="default"/>
      </w:rPr>
    </w:lvl>
    <w:lvl w:ilvl="2" w:tplc="96687EC2" w:tentative="1">
      <w:start w:val="1"/>
      <w:numFmt w:val="bullet"/>
      <w:lvlText w:val="•"/>
      <w:lvlJc w:val="left"/>
      <w:pPr>
        <w:tabs>
          <w:tab w:val="num" w:pos="2160"/>
        </w:tabs>
        <w:ind w:left="2160" w:hanging="360"/>
      </w:pPr>
      <w:rPr>
        <w:rFonts w:ascii="Arial" w:hAnsi="Arial" w:hint="default"/>
      </w:rPr>
    </w:lvl>
    <w:lvl w:ilvl="3" w:tplc="3DB26358" w:tentative="1">
      <w:start w:val="1"/>
      <w:numFmt w:val="bullet"/>
      <w:lvlText w:val="•"/>
      <w:lvlJc w:val="left"/>
      <w:pPr>
        <w:tabs>
          <w:tab w:val="num" w:pos="2880"/>
        </w:tabs>
        <w:ind w:left="2880" w:hanging="360"/>
      </w:pPr>
      <w:rPr>
        <w:rFonts w:ascii="Arial" w:hAnsi="Arial" w:hint="default"/>
      </w:rPr>
    </w:lvl>
    <w:lvl w:ilvl="4" w:tplc="7CE62252" w:tentative="1">
      <w:start w:val="1"/>
      <w:numFmt w:val="bullet"/>
      <w:lvlText w:val="•"/>
      <w:lvlJc w:val="left"/>
      <w:pPr>
        <w:tabs>
          <w:tab w:val="num" w:pos="3600"/>
        </w:tabs>
        <w:ind w:left="3600" w:hanging="360"/>
      </w:pPr>
      <w:rPr>
        <w:rFonts w:ascii="Arial" w:hAnsi="Arial" w:hint="default"/>
      </w:rPr>
    </w:lvl>
    <w:lvl w:ilvl="5" w:tplc="045A3044" w:tentative="1">
      <w:start w:val="1"/>
      <w:numFmt w:val="bullet"/>
      <w:lvlText w:val="•"/>
      <w:lvlJc w:val="left"/>
      <w:pPr>
        <w:tabs>
          <w:tab w:val="num" w:pos="4320"/>
        </w:tabs>
        <w:ind w:left="4320" w:hanging="360"/>
      </w:pPr>
      <w:rPr>
        <w:rFonts w:ascii="Arial" w:hAnsi="Arial" w:hint="default"/>
      </w:rPr>
    </w:lvl>
    <w:lvl w:ilvl="6" w:tplc="F2D207BA" w:tentative="1">
      <w:start w:val="1"/>
      <w:numFmt w:val="bullet"/>
      <w:lvlText w:val="•"/>
      <w:lvlJc w:val="left"/>
      <w:pPr>
        <w:tabs>
          <w:tab w:val="num" w:pos="5040"/>
        </w:tabs>
        <w:ind w:left="5040" w:hanging="360"/>
      </w:pPr>
      <w:rPr>
        <w:rFonts w:ascii="Arial" w:hAnsi="Arial" w:hint="default"/>
      </w:rPr>
    </w:lvl>
    <w:lvl w:ilvl="7" w:tplc="B6123E10" w:tentative="1">
      <w:start w:val="1"/>
      <w:numFmt w:val="bullet"/>
      <w:lvlText w:val="•"/>
      <w:lvlJc w:val="left"/>
      <w:pPr>
        <w:tabs>
          <w:tab w:val="num" w:pos="5760"/>
        </w:tabs>
        <w:ind w:left="5760" w:hanging="360"/>
      </w:pPr>
      <w:rPr>
        <w:rFonts w:ascii="Arial" w:hAnsi="Arial" w:hint="default"/>
      </w:rPr>
    </w:lvl>
    <w:lvl w:ilvl="8" w:tplc="7770A198" w:tentative="1">
      <w:start w:val="1"/>
      <w:numFmt w:val="bullet"/>
      <w:lvlText w:val="•"/>
      <w:lvlJc w:val="left"/>
      <w:pPr>
        <w:tabs>
          <w:tab w:val="num" w:pos="6480"/>
        </w:tabs>
        <w:ind w:left="6480" w:hanging="360"/>
      </w:pPr>
      <w:rPr>
        <w:rFonts w:ascii="Arial" w:hAnsi="Arial" w:hint="default"/>
      </w:rPr>
    </w:lvl>
  </w:abstractNum>
  <w:abstractNum w:abstractNumId="56" w15:restartNumberingAfterBreak="0">
    <w:nsid w:val="4A2C42AD"/>
    <w:multiLevelType w:val="hybridMultilevel"/>
    <w:tmpl w:val="C59C71C0"/>
    <w:lvl w:ilvl="0" w:tplc="47A4E23C">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7" w15:restartNumberingAfterBreak="0">
    <w:nsid w:val="4A32321F"/>
    <w:multiLevelType w:val="hybridMultilevel"/>
    <w:tmpl w:val="0C1E2FA2"/>
    <w:lvl w:ilvl="0" w:tplc="47A4E23C">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8" w15:restartNumberingAfterBreak="0">
    <w:nsid w:val="4A5278D2"/>
    <w:multiLevelType w:val="hybridMultilevel"/>
    <w:tmpl w:val="D8469222"/>
    <w:lvl w:ilvl="0" w:tplc="9B268C8A">
      <w:start w:val="1"/>
      <w:numFmt w:val="bullet"/>
      <w:lvlText w:val="•"/>
      <w:lvlJc w:val="left"/>
      <w:pPr>
        <w:tabs>
          <w:tab w:val="num" w:pos="720"/>
        </w:tabs>
        <w:ind w:left="720" w:hanging="360"/>
      </w:pPr>
      <w:rPr>
        <w:rFonts w:ascii="Arial" w:hAnsi="Arial" w:hint="default"/>
      </w:rPr>
    </w:lvl>
    <w:lvl w:ilvl="1" w:tplc="028E4038" w:tentative="1">
      <w:start w:val="1"/>
      <w:numFmt w:val="bullet"/>
      <w:lvlText w:val="•"/>
      <w:lvlJc w:val="left"/>
      <w:pPr>
        <w:tabs>
          <w:tab w:val="num" w:pos="1440"/>
        </w:tabs>
        <w:ind w:left="1440" w:hanging="360"/>
      </w:pPr>
      <w:rPr>
        <w:rFonts w:ascii="Arial" w:hAnsi="Arial" w:hint="default"/>
      </w:rPr>
    </w:lvl>
    <w:lvl w:ilvl="2" w:tplc="363E75C4" w:tentative="1">
      <w:start w:val="1"/>
      <w:numFmt w:val="bullet"/>
      <w:lvlText w:val="•"/>
      <w:lvlJc w:val="left"/>
      <w:pPr>
        <w:tabs>
          <w:tab w:val="num" w:pos="2160"/>
        </w:tabs>
        <w:ind w:left="2160" w:hanging="360"/>
      </w:pPr>
      <w:rPr>
        <w:rFonts w:ascii="Arial" w:hAnsi="Arial" w:hint="default"/>
      </w:rPr>
    </w:lvl>
    <w:lvl w:ilvl="3" w:tplc="5008C5B8" w:tentative="1">
      <w:start w:val="1"/>
      <w:numFmt w:val="bullet"/>
      <w:lvlText w:val="•"/>
      <w:lvlJc w:val="left"/>
      <w:pPr>
        <w:tabs>
          <w:tab w:val="num" w:pos="2880"/>
        </w:tabs>
        <w:ind w:left="2880" w:hanging="360"/>
      </w:pPr>
      <w:rPr>
        <w:rFonts w:ascii="Arial" w:hAnsi="Arial" w:hint="default"/>
      </w:rPr>
    </w:lvl>
    <w:lvl w:ilvl="4" w:tplc="98E28794" w:tentative="1">
      <w:start w:val="1"/>
      <w:numFmt w:val="bullet"/>
      <w:lvlText w:val="•"/>
      <w:lvlJc w:val="left"/>
      <w:pPr>
        <w:tabs>
          <w:tab w:val="num" w:pos="3600"/>
        </w:tabs>
        <w:ind w:left="3600" w:hanging="360"/>
      </w:pPr>
      <w:rPr>
        <w:rFonts w:ascii="Arial" w:hAnsi="Arial" w:hint="default"/>
      </w:rPr>
    </w:lvl>
    <w:lvl w:ilvl="5" w:tplc="B4967C8C" w:tentative="1">
      <w:start w:val="1"/>
      <w:numFmt w:val="bullet"/>
      <w:lvlText w:val="•"/>
      <w:lvlJc w:val="left"/>
      <w:pPr>
        <w:tabs>
          <w:tab w:val="num" w:pos="4320"/>
        </w:tabs>
        <w:ind w:left="4320" w:hanging="360"/>
      </w:pPr>
      <w:rPr>
        <w:rFonts w:ascii="Arial" w:hAnsi="Arial" w:hint="default"/>
      </w:rPr>
    </w:lvl>
    <w:lvl w:ilvl="6" w:tplc="62B6798E" w:tentative="1">
      <w:start w:val="1"/>
      <w:numFmt w:val="bullet"/>
      <w:lvlText w:val="•"/>
      <w:lvlJc w:val="left"/>
      <w:pPr>
        <w:tabs>
          <w:tab w:val="num" w:pos="5040"/>
        </w:tabs>
        <w:ind w:left="5040" w:hanging="360"/>
      </w:pPr>
      <w:rPr>
        <w:rFonts w:ascii="Arial" w:hAnsi="Arial" w:hint="default"/>
      </w:rPr>
    </w:lvl>
    <w:lvl w:ilvl="7" w:tplc="C884F4CE" w:tentative="1">
      <w:start w:val="1"/>
      <w:numFmt w:val="bullet"/>
      <w:lvlText w:val="•"/>
      <w:lvlJc w:val="left"/>
      <w:pPr>
        <w:tabs>
          <w:tab w:val="num" w:pos="5760"/>
        </w:tabs>
        <w:ind w:left="5760" w:hanging="360"/>
      </w:pPr>
      <w:rPr>
        <w:rFonts w:ascii="Arial" w:hAnsi="Arial" w:hint="default"/>
      </w:rPr>
    </w:lvl>
    <w:lvl w:ilvl="8" w:tplc="305CBDA8" w:tentative="1">
      <w:start w:val="1"/>
      <w:numFmt w:val="bullet"/>
      <w:lvlText w:val="•"/>
      <w:lvlJc w:val="left"/>
      <w:pPr>
        <w:tabs>
          <w:tab w:val="num" w:pos="6480"/>
        </w:tabs>
        <w:ind w:left="6480" w:hanging="360"/>
      </w:pPr>
      <w:rPr>
        <w:rFonts w:ascii="Arial" w:hAnsi="Arial" w:hint="default"/>
      </w:rPr>
    </w:lvl>
  </w:abstractNum>
  <w:abstractNum w:abstractNumId="59" w15:restartNumberingAfterBreak="0">
    <w:nsid w:val="4B49664B"/>
    <w:multiLevelType w:val="hybridMultilevel"/>
    <w:tmpl w:val="1ECE1048"/>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0" w15:restartNumberingAfterBreak="0">
    <w:nsid w:val="4BC870A4"/>
    <w:multiLevelType w:val="hybridMultilevel"/>
    <w:tmpl w:val="320EB73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1" w15:restartNumberingAfterBreak="0">
    <w:nsid w:val="4BF403B6"/>
    <w:multiLevelType w:val="hybridMultilevel"/>
    <w:tmpl w:val="C7F452E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2" w15:restartNumberingAfterBreak="0">
    <w:nsid w:val="4CA1774B"/>
    <w:multiLevelType w:val="hybridMultilevel"/>
    <w:tmpl w:val="A4C81576"/>
    <w:lvl w:ilvl="0" w:tplc="A0E4FD42">
      <w:start w:val="1"/>
      <w:numFmt w:val="bullet"/>
      <w:lvlText w:val="•"/>
      <w:lvlJc w:val="left"/>
      <w:pPr>
        <w:tabs>
          <w:tab w:val="num" w:pos="720"/>
        </w:tabs>
        <w:ind w:left="720" w:hanging="360"/>
      </w:pPr>
      <w:rPr>
        <w:rFonts w:ascii="Times New Roman" w:hAnsi="Times New Roman" w:hint="default"/>
      </w:rPr>
    </w:lvl>
    <w:lvl w:ilvl="1" w:tplc="82823890" w:tentative="1">
      <w:start w:val="1"/>
      <w:numFmt w:val="bullet"/>
      <w:lvlText w:val="•"/>
      <w:lvlJc w:val="left"/>
      <w:pPr>
        <w:tabs>
          <w:tab w:val="num" w:pos="1440"/>
        </w:tabs>
        <w:ind w:left="1440" w:hanging="360"/>
      </w:pPr>
      <w:rPr>
        <w:rFonts w:ascii="Times New Roman" w:hAnsi="Times New Roman" w:hint="default"/>
      </w:rPr>
    </w:lvl>
    <w:lvl w:ilvl="2" w:tplc="4BE63898" w:tentative="1">
      <w:start w:val="1"/>
      <w:numFmt w:val="bullet"/>
      <w:lvlText w:val="•"/>
      <w:lvlJc w:val="left"/>
      <w:pPr>
        <w:tabs>
          <w:tab w:val="num" w:pos="2160"/>
        </w:tabs>
        <w:ind w:left="2160" w:hanging="360"/>
      </w:pPr>
      <w:rPr>
        <w:rFonts w:ascii="Times New Roman" w:hAnsi="Times New Roman" w:hint="default"/>
      </w:rPr>
    </w:lvl>
    <w:lvl w:ilvl="3" w:tplc="A19A3800" w:tentative="1">
      <w:start w:val="1"/>
      <w:numFmt w:val="bullet"/>
      <w:lvlText w:val="•"/>
      <w:lvlJc w:val="left"/>
      <w:pPr>
        <w:tabs>
          <w:tab w:val="num" w:pos="2880"/>
        </w:tabs>
        <w:ind w:left="2880" w:hanging="360"/>
      </w:pPr>
      <w:rPr>
        <w:rFonts w:ascii="Times New Roman" w:hAnsi="Times New Roman" w:hint="default"/>
      </w:rPr>
    </w:lvl>
    <w:lvl w:ilvl="4" w:tplc="A74E0C9C" w:tentative="1">
      <w:start w:val="1"/>
      <w:numFmt w:val="bullet"/>
      <w:lvlText w:val="•"/>
      <w:lvlJc w:val="left"/>
      <w:pPr>
        <w:tabs>
          <w:tab w:val="num" w:pos="3600"/>
        </w:tabs>
        <w:ind w:left="3600" w:hanging="360"/>
      </w:pPr>
      <w:rPr>
        <w:rFonts w:ascii="Times New Roman" w:hAnsi="Times New Roman" w:hint="default"/>
      </w:rPr>
    </w:lvl>
    <w:lvl w:ilvl="5" w:tplc="11EE3D1C" w:tentative="1">
      <w:start w:val="1"/>
      <w:numFmt w:val="bullet"/>
      <w:lvlText w:val="•"/>
      <w:lvlJc w:val="left"/>
      <w:pPr>
        <w:tabs>
          <w:tab w:val="num" w:pos="4320"/>
        </w:tabs>
        <w:ind w:left="4320" w:hanging="360"/>
      </w:pPr>
      <w:rPr>
        <w:rFonts w:ascii="Times New Roman" w:hAnsi="Times New Roman" w:hint="default"/>
      </w:rPr>
    </w:lvl>
    <w:lvl w:ilvl="6" w:tplc="C30C531A" w:tentative="1">
      <w:start w:val="1"/>
      <w:numFmt w:val="bullet"/>
      <w:lvlText w:val="•"/>
      <w:lvlJc w:val="left"/>
      <w:pPr>
        <w:tabs>
          <w:tab w:val="num" w:pos="5040"/>
        </w:tabs>
        <w:ind w:left="5040" w:hanging="360"/>
      </w:pPr>
      <w:rPr>
        <w:rFonts w:ascii="Times New Roman" w:hAnsi="Times New Roman" w:hint="default"/>
      </w:rPr>
    </w:lvl>
    <w:lvl w:ilvl="7" w:tplc="771E3796" w:tentative="1">
      <w:start w:val="1"/>
      <w:numFmt w:val="bullet"/>
      <w:lvlText w:val="•"/>
      <w:lvlJc w:val="left"/>
      <w:pPr>
        <w:tabs>
          <w:tab w:val="num" w:pos="5760"/>
        </w:tabs>
        <w:ind w:left="5760" w:hanging="360"/>
      </w:pPr>
      <w:rPr>
        <w:rFonts w:ascii="Times New Roman" w:hAnsi="Times New Roman" w:hint="default"/>
      </w:rPr>
    </w:lvl>
    <w:lvl w:ilvl="8" w:tplc="DDD6EBF0" w:tentative="1">
      <w:start w:val="1"/>
      <w:numFmt w:val="bullet"/>
      <w:lvlText w:val="•"/>
      <w:lvlJc w:val="left"/>
      <w:pPr>
        <w:tabs>
          <w:tab w:val="num" w:pos="6480"/>
        </w:tabs>
        <w:ind w:left="6480" w:hanging="360"/>
      </w:pPr>
      <w:rPr>
        <w:rFonts w:ascii="Times New Roman" w:hAnsi="Times New Roman" w:hint="default"/>
      </w:rPr>
    </w:lvl>
  </w:abstractNum>
  <w:abstractNum w:abstractNumId="63" w15:restartNumberingAfterBreak="0">
    <w:nsid w:val="50087CBC"/>
    <w:multiLevelType w:val="hybridMultilevel"/>
    <w:tmpl w:val="F642048A"/>
    <w:lvl w:ilvl="0" w:tplc="650E1F40">
      <w:start w:val="1"/>
      <w:numFmt w:val="bullet"/>
      <w:lvlText w:val="•"/>
      <w:lvlJc w:val="left"/>
      <w:pPr>
        <w:tabs>
          <w:tab w:val="num" w:pos="720"/>
        </w:tabs>
        <w:ind w:left="720" w:hanging="360"/>
      </w:pPr>
      <w:rPr>
        <w:rFonts w:ascii="Times New Roman" w:hAnsi="Times New Roman" w:hint="default"/>
      </w:rPr>
    </w:lvl>
    <w:lvl w:ilvl="1" w:tplc="4E2A07AE" w:tentative="1">
      <w:start w:val="1"/>
      <w:numFmt w:val="bullet"/>
      <w:lvlText w:val="•"/>
      <w:lvlJc w:val="left"/>
      <w:pPr>
        <w:tabs>
          <w:tab w:val="num" w:pos="1440"/>
        </w:tabs>
        <w:ind w:left="1440" w:hanging="360"/>
      </w:pPr>
      <w:rPr>
        <w:rFonts w:ascii="Times New Roman" w:hAnsi="Times New Roman" w:hint="default"/>
      </w:rPr>
    </w:lvl>
    <w:lvl w:ilvl="2" w:tplc="DA22C964" w:tentative="1">
      <w:start w:val="1"/>
      <w:numFmt w:val="bullet"/>
      <w:lvlText w:val="•"/>
      <w:lvlJc w:val="left"/>
      <w:pPr>
        <w:tabs>
          <w:tab w:val="num" w:pos="2160"/>
        </w:tabs>
        <w:ind w:left="2160" w:hanging="360"/>
      </w:pPr>
      <w:rPr>
        <w:rFonts w:ascii="Times New Roman" w:hAnsi="Times New Roman" w:hint="default"/>
      </w:rPr>
    </w:lvl>
    <w:lvl w:ilvl="3" w:tplc="A9021AE8" w:tentative="1">
      <w:start w:val="1"/>
      <w:numFmt w:val="bullet"/>
      <w:lvlText w:val="•"/>
      <w:lvlJc w:val="left"/>
      <w:pPr>
        <w:tabs>
          <w:tab w:val="num" w:pos="2880"/>
        </w:tabs>
        <w:ind w:left="2880" w:hanging="360"/>
      </w:pPr>
      <w:rPr>
        <w:rFonts w:ascii="Times New Roman" w:hAnsi="Times New Roman" w:hint="default"/>
      </w:rPr>
    </w:lvl>
    <w:lvl w:ilvl="4" w:tplc="B4CA3028" w:tentative="1">
      <w:start w:val="1"/>
      <w:numFmt w:val="bullet"/>
      <w:lvlText w:val="•"/>
      <w:lvlJc w:val="left"/>
      <w:pPr>
        <w:tabs>
          <w:tab w:val="num" w:pos="3600"/>
        </w:tabs>
        <w:ind w:left="3600" w:hanging="360"/>
      </w:pPr>
      <w:rPr>
        <w:rFonts w:ascii="Times New Roman" w:hAnsi="Times New Roman" w:hint="default"/>
      </w:rPr>
    </w:lvl>
    <w:lvl w:ilvl="5" w:tplc="F3245C78" w:tentative="1">
      <w:start w:val="1"/>
      <w:numFmt w:val="bullet"/>
      <w:lvlText w:val="•"/>
      <w:lvlJc w:val="left"/>
      <w:pPr>
        <w:tabs>
          <w:tab w:val="num" w:pos="4320"/>
        </w:tabs>
        <w:ind w:left="4320" w:hanging="360"/>
      </w:pPr>
      <w:rPr>
        <w:rFonts w:ascii="Times New Roman" w:hAnsi="Times New Roman" w:hint="default"/>
      </w:rPr>
    </w:lvl>
    <w:lvl w:ilvl="6" w:tplc="DDBE5B50" w:tentative="1">
      <w:start w:val="1"/>
      <w:numFmt w:val="bullet"/>
      <w:lvlText w:val="•"/>
      <w:lvlJc w:val="left"/>
      <w:pPr>
        <w:tabs>
          <w:tab w:val="num" w:pos="5040"/>
        </w:tabs>
        <w:ind w:left="5040" w:hanging="360"/>
      </w:pPr>
      <w:rPr>
        <w:rFonts w:ascii="Times New Roman" w:hAnsi="Times New Roman" w:hint="default"/>
      </w:rPr>
    </w:lvl>
    <w:lvl w:ilvl="7" w:tplc="75B63DD6" w:tentative="1">
      <w:start w:val="1"/>
      <w:numFmt w:val="bullet"/>
      <w:lvlText w:val="•"/>
      <w:lvlJc w:val="left"/>
      <w:pPr>
        <w:tabs>
          <w:tab w:val="num" w:pos="5760"/>
        </w:tabs>
        <w:ind w:left="5760" w:hanging="360"/>
      </w:pPr>
      <w:rPr>
        <w:rFonts w:ascii="Times New Roman" w:hAnsi="Times New Roman" w:hint="default"/>
      </w:rPr>
    </w:lvl>
    <w:lvl w:ilvl="8" w:tplc="9A6EF810" w:tentative="1">
      <w:start w:val="1"/>
      <w:numFmt w:val="bullet"/>
      <w:lvlText w:val="•"/>
      <w:lvlJc w:val="left"/>
      <w:pPr>
        <w:tabs>
          <w:tab w:val="num" w:pos="6480"/>
        </w:tabs>
        <w:ind w:left="6480" w:hanging="360"/>
      </w:pPr>
      <w:rPr>
        <w:rFonts w:ascii="Times New Roman" w:hAnsi="Times New Roman" w:hint="default"/>
      </w:rPr>
    </w:lvl>
  </w:abstractNum>
  <w:abstractNum w:abstractNumId="64" w15:restartNumberingAfterBreak="0">
    <w:nsid w:val="504F306A"/>
    <w:multiLevelType w:val="hybridMultilevel"/>
    <w:tmpl w:val="2A4CEC5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5" w15:restartNumberingAfterBreak="0">
    <w:nsid w:val="509654C9"/>
    <w:multiLevelType w:val="hybridMultilevel"/>
    <w:tmpl w:val="0A768FD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6" w15:restartNumberingAfterBreak="0">
    <w:nsid w:val="50AA558F"/>
    <w:multiLevelType w:val="hybridMultilevel"/>
    <w:tmpl w:val="714CEA44"/>
    <w:lvl w:ilvl="0" w:tplc="84CAC57A">
      <w:start w:val="1"/>
      <w:numFmt w:val="decimal"/>
      <w:lvlText w:val="%1)"/>
      <w:lvlJc w:val="left"/>
      <w:pPr>
        <w:ind w:left="720" w:hanging="360"/>
      </w:pPr>
      <w:rPr>
        <w:rFonts w:eastAsia="Calibri"/>
      </w:r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67" w15:restartNumberingAfterBreak="0">
    <w:nsid w:val="519637DB"/>
    <w:multiLevelType w:val="hybridMultilevel"/>
    <w:tmpl w:val="FC8C534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8" w15:restartNumberingAfterBreak="0">
    <w:nsid w:val="52055248"/>
    <w:multiLevelType w:val="hybridMultilevel"/>
    <w:tmpl w:val="99C245A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9" w15:restartNumberingAfterBreak="0">
    <w:nsid w:val="52B23E76"/>
    <w:multiLevelType w:val="hybridMultilevel"/>
    <w:tmpl w:val="EBC4713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0" w15:restartNumberingAfterBreak="0">
    <w:nsid w:val="534A03EA"/>
    <w:multiLevelType w:val="hybridMultilevel"/>
    <w:tmpl w:val="BB7E432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1" w15:restartNumberingAfterBreak="0">
    <w:nsid w:val="55E90CCB"/>
    <w:multiLevelType w:val="multilevel"/>
    <w:tmpl w:val="E9AE6E54"/>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59210A00"/>
    <w:multiLevelType w:val="hybridMultilevel"/>
    <w:tmpl w:val="977287F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3" w15:restartNumberingAfterBreak="0">
    <w:nsid w:val="5CA97F05"/>
    <w:multiLevelType w:val="hybridMultilevel"/>
    <w:tmpl w:val="7E42446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4" w15:restartNumberingAfterBreak="0">
    <w:nsid w:val="5D9972DB"/>
    <w:multiLevelType w:val="hybridMultilevel"/>
    <w:tmpl w:val="22AED3AA"/>
    <w:lvl w:ilvl="0" w:tplc="A836D048">
      <w:start w:val="1"/>
      <w:numFmt w:val="bullet"/>
      <w:lvlText w:val="•"/>
      <w:lvlJc w:val="left"/>
      <w:pPr>
        <w:tabs>
          <w:tab w:val="num" w:pos="720"/>
        </w:tabs>
        <w:ind w:left="720" w:hanging="360"/>
      </w:pPr>
      <w:rPr>
        <w:rFonts w:ascii="Times New Roman" w:hAnsi="Times New Roman" w:hint="default"/>
      </w:rPr>
    </w:lvl>
    <w:lvl w:ilvl="1" w:tplc="1204A884" w:tentative="1">
      <w:start w:val="1"/>
      <w:numFmt w:val="bullet"/>
      <w:lvlText w:val="•"/>
      <w:lvlJc w:val="left"/>
      <w:pPr>
        <w:tabs>
          <w:tab w:val="num" w:pos="1440"/>
        </w:tabs>
        <w:ind w:left="1440" w:hanging="360"/>
      </w:pPr>
      <w:rPr>
        <w:rFonts w:ascii="Times New Roman" w:hAnsi="Times New Roman" w:hint="default"/>
      </w:rPr>
    </w:lvl>
    <w:lvl w:ilvl="2" w:tplc="5EB0E130" w:tentative="1">
      <w:start w:val="1"/>
      <w:numFmt w:val="bullet"/>
      <w:lvlText w:val="•"/>
      <w:lvlJc w:val="left"/>
      <w:pPr>
        <w:tabs>
          <w:tab w:val="num" w:pos="2160"/>
        </w:tabs>
        <w:ind w:left="2160" w:hanging="360"/>
      </w:pPr>
      <w:rPr>
        <w:rFonts w:ascii="Times New Roman" w:hAnsi="Times New Roman" w:hint="default"/>
      </w:rPr>
    </w:lvl>
    <w:lvl w:ilvl="3" w:tplc="967A57DE" w:tentative="1">
      <w:start w:val="1"/>
      <w:numFmt w:val="bullet"/>
      <w:lvlText w:val="•"/>
      <w:lvlJc w:val="left"/>
      <w:pPr>
        <w:tabs>
          <w:tab w:val="num" w:pos="2880"/>
        </w:tabs>
        <w:ind w:left="2880" w:hanging="360"/>
      </w:pPr>
      <w:rPr>
        <w:rFonts w:ascii="Times New Roman" w:hAnsi="Times New Roman" w:hint="default"/>
      </w:rPr>
    </w:lvl>
    <w:lvl w:ilvl="4" w:tplc="3D428BDE" w:tentative="1">
      <w:start w:val="1"/>
      <w:numFmt w:val="bullet"/>
      <w:lvlText w:val="•"/>
      <w:lvlJc w:val="left"/>
      <w:pPr>
        <w:tabs>
          <w:tab w:val="num" w:pos="3600"/>
        </w:tabs>
        <w:ind w:left="3600" w:hanging="360"/>
      </w:pPr>
      <w:rPr>
        <w:rFonts w:ascii="Times New Roman" w:hAnsi="Times New Roman" w:hint="default"/>
      </w:rPr>
    </w:lvl>
    <w:lvl w:ilvl="5" w:tplc="59081402" w:tentative="1">
      <w:start w:val="1"/>
      <w:numFmt w:val="bullet"/>
      <w:lvlText w:val="•"/>
      <w:lvlJc w:val="left"/>
      <w:pPr>
        <w:tabs>
          <w:tab w:val="num" w:pos="4320"/>
        </w:tabs>
        <w:ind w:left="4320" w:hanging="360"/>
      </w:pPr>
      <w:rPr>
        <w:rFonts w:ascii="Times New Roman" w:hAnsi="Times New Roman" w:hint="default"/>
      </w:rPr>
    </w:lvl>
    <w:lvl w:ilvl="6" w:tplc="054CB3AC" w:tentative="1">
      <w:start w:val="1"/>
      <w:numFmt w:val="bullet"/>
      <w:lvlText w:val="•"/>
      <w:lvlJc w:val="left"/>
      <w:pPr>
        <w:tabs>
          <w:tab w:val="num" w:pos="5040"/>
        </w:tabs>
        <w:ind w:left="5040" w:hanging="360"/>
      </w:pPr>
      <w:rPr>
        <w:rFonts w:ascii="Times New Roman" w:hAnsi="Times New Roman" w:hint="default"/>
      </w:rPr>
    </w:lvl>
    <w:lvl w:ilvl="7" w:tplc="5336C188" w:tentative="1">
      <w:start w:val="1"/>
      <w:numFmt w:val="bullet"/>
      <w:lvlText w:val="•"/>
      <w:lvlJc w:val="left"/>
      <w:pPr>
        <w:tabs>
          <w:tab w:val="num" w:pos="5760"/>
        </w:tabs>
        <w:ind w:left="5760" w:hanging="360"/>
      </w:pPr>
      <w:rPr>
        <w:rFonts w:ascii="Times New Roman" w:hAnsi="Times New Roman" w:hint="default"/>
      </w:rPr>
    </w:lvl>
    <w:lvl w:ilvl="8" w:tplc="2800F040" w:tentative="1">
      <w:start w:val="1"/>
      <w:numFmt w:val="bullet"/>
      <w:lvlText w:val="•"/>
      <w:lvlJc w:val="left"/>
      <w:pPr>
        <w:tabs>
          <w:tab w:val="num" w:pos="6480"/>
        </w:tabs>
        <w:ind w:left="6480" w:hanging="360"/>
      </w:pPr>
      <w:rPr>
        <w:rFonts w:ascii="Times New Roman" w:hAnsi="Times New Roman" w:hint="default"/>
      </w:rPr>
    </w:lvl>
  </w:abstractNum>
  <w:abstractNum w:abstractNumId="75" w15:restartNumberingAfterBreak="0">
    <w:nsid w:val="5DE72DF0"/>
    <w:multiLevelType w:val="hybridMultilevel"/>
    <w:tmpl w:val="3D8EC2B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6" w15:restartNumberingAfterBreak="0">
    <w:nsid w:val="5F2606E0"/>
    <w:multiLevelType w:val="hybridMultilevel"/>
    <w:tmpl w:val="D5E43CB6"/>
    <w:lvl w:ilvl="0" w:tplc="47A4E23C">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7" w15:restartNumberingAfterBreak="0">
    <w:nsid w:val="5FC37AF6"/>
    <w:multiLevelType w:val="hybridMultilevel"/>
    <w:tmpl w:val="EABA6B48"/>
    <w:lvl w:ilvl="0" w:tplc="2D16EF12">
      <w:start w:val="1"/>
      <w:numFmt w:val="bullet"/>
      <w:lvlText w:val="•"/>
      <w:lvlJc w:val="left"/>
      <w:pPr>
        <w:tabs>
          <w:tab w:val="num" w:pos="720"/>
        </w:tabs>
        <w:ind w:left="720" w:hanging="360"/>
      </w:pPr>
      <w:rPr>
        <w:rFonts w:ascii="Times New Roman" w:hAnsi="Times New Roman" w:hint="default"/>
      </w:rPr>
    </w:lvl>
    <w:lvl w:ilvl="1" w:tplc="1F3A33F6" w:tentative="1">
      <w:start w:val="1"/>
      <w:numFmt w:val="bullet"/>
      <w:lvlText w:val="•"/>
      <w:lvlJc w:val="left"/>
      <w:pPr>
        <w:tabs>
          <w:tab w:val="num" w:pos="1440"/>
        </w:tabs>
        <w:ind w:left="1440" w:hanging="360"/>
      </w:pPr>
      <w:rPr>
        <w:rFonts w:ascii="Times New Roman" w:hAnsi="Times New Roman" w:hint="default"/>
      </w:rPr>
    </w:lvl>
    <w:lvl w:ilvl="2" w:tplc="B7AA7A2C" w:tentative="1">
      <w:start w:val="1"/>
      <w:numFmt w:val="bullet"/>
      <w:lvlText w:val="•"/>
      <w:lvlJc w:val="left"/>
      <w:pPr>
        <w:tabs>
          <w:tab w:val="num" w:pos="2160"/>
        </w:tabs>
        <w:ind w:left="2160" w:hanging="360"/>
      </w:pPr>
      <w:rPr>
        <w:rFonts w:ascii="Times New Roman" w:hAnsi="Times New Roman" w:hint="default"/>
      </w:rPr>
    </w:lvl>
    <w:lvl w:ilvl="3" w:tplc="7902B5D0" w:tentative="1">
      <w:start w:val="1"/>
      <w:numFmt w:val="bullet"/>
      <w:lvlText w:val="•"/>
      <w:lvlJc w:val="left"/>
      <w:pPr>
        <w:tabs>
          <w:tab w:val="num" w:pos="2880"/>
        </w:tabs>
        <w:ind w:left="2880" w:hanging="360"/>
      </w:pPr>
      <w:rPr>
        <w:rFonts w:ascii="Times New Roman" w:hAnsi="Times New Roman" w:hint="default"/>
      </w:rPr>
    </w:lvl>
    <w:lvl w:ilvl="4" w:tplc="7458D522" w:tentative="1">
      <w:start w:val="1"/>
      <w:numFmt w:val="bullet"/>
      <w:lvlText w:val="•"/>
      <w:lvlJc w:val="left"/>
      <w:pPr>
        <w:tabs>
          <w:tab w:val="num" w:pos="3600"/>
        </w:tabs>
        <w:ind w:left="3600" w:hanging="360"/>
      </w:pPr>
      <w:rPr>
        <w:rFonts w:ascii="Times New Roman" w:hAnsi="Times New Roman" w:hint="default"/>
      </w:rPr>
    </w:lvl>
    <w:lvl w:ilvl="5" w:tplc="23EC7B26" w:tentative="1">
      <w:start w:val="1"/>
      <w:numFmt w:val="bullet"/>
      <w:lvlText w:val="•"/>
      <w:lvlJc w:val="left"/>
      <w:pPr>
        <w:tabs>
          <w:tab w:val="num" w:pos="4320"/>
        </w:tabs>
        <w:ind w:left="4320" w:hanging="360"/>
      </w:pPr>
      <w:rPr>
        <w:rFonts w:ascii="Times New Roman" w:hAnsi="Times New Roman" w:hint="default"/>
      </w:rPr>
    </w:lvl>
    <w:lvl w:ilvl="6" w:tplc="E49A6F5C" w:tentative="1">
      <w:start w:val="1"/>
      <w:numFmt w:val="bullet"/>
      <w:lvlText w:val="•"/>
      <w:lvlJc w:val="left"/>
      <w:pPr>
        <w:tabs>
          <w:tab w:val="num" w:pos="5040"/>
        </w:tabs>
        <w:ind w:left="5040" w:hanging="360"/>
      </w:pPr>
      <w:rPr>
        <w:rFonts w:ascii="Times New Roman" w:hAnsi="Times New Roman" w:hint="default"/>
      </w:rPr>
    </w:lvl>
    <w:lvl w:ilvl="7" w:tplc="A99C4816" w:tentative="1">
      <w:start w:val="1"/>
      <w:numFmt w:val="bullet"/>
      <w:lvlText w:val="•"/>
      <w:lvlJc w:val="left"/>
      <w:pPr>
        <w:tabs>
          <w:tab w:val="num" w:pos="5760"/>
        </w:tabs>
        <w:ind w:left="5760" w:hanging="360"/>
      </w:pPr>
      <w:rPr>
        <w:rFonts w:ascii="Times New Roman" w:hAnsi="Times New Roman" w:hint="default"/>
      </w:rPr>
    </w:lvl>
    <w:lvl w:ilvl="8" w:tplc="082CE40E" w:tentative="1">
      <w:start w:val="1"/>
      <w:numFmt w:val="bullet"/>
      <w:lvlText w:val="•"/>
      <w:lvlJc w:val="left"/>
      <w:pPr>
        <w:tabs>
          <w:tab w:val="num" w:pos="6480"/>
        </w:tabs>
        <w:ind w:left="6480" w:hanging="360"/>
      </w:pPr>
      <w:rPr>
        <w:rFonts w:ascii="Times New Roman" w:hAnsi="Times New Roman" w:hint="default"/>
      </w:rPr>
    </w:lvl>
  </w:abstractNum>
  <w:abstractNum w:abstractNumId="78" w15:restartNumberingAfterBreak="0">
    <w:nsid w:val="609B6042"/>
    <w:multiLevelType w:val="multilevel"/>
    <w:tmpl w:val="3446F3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61BF1D56"/>
    <w:multiLevelType w:val="hybridMultilevel"/>
    <w:tmpl w:val="56B61132"/>
    <w:lvl w:ilvl="0" w:tplc="128E2DE8">
      <w:start w:val="1"/>
      <w:numFmt w:val="decimal"/>
      <w:lvlText w:val="%1."/>
      <w:lvlJc w:val="left"/>
      <w:pPr>
        <w:tabs>
          <w:tab w:val="num" w:pos="720"/>
        </w:tabs>
        <w:ind w:left="720" w:hanging="360"/>
      </w:pPr>
    </w:lvl>
    <w:lvl w:ilvl="1" w:tplc="7F626CBC" w:tentative="1">
      <w:start w:val="1"/>
      <w:numFmt w:val="decimal"/>
      <w:lvlText w:val="%2."/>
      <w:lvlJc w:val="left"/>
      <w:pPr>
        <w:tabs>
          <w:tab w:val="num" w:pos="1440"/>
        </w:tabs>
        <w:ind w:left="1440" w:hanging="360"/>
      </w:pPr>
    </w:lvl>
    <w:lvl w:ilvl="2" w:tplc="BF88585C" w:tentative="1">
      <w:start w:val="1"/>
      <w:numFmt w:val="decimal"/>
      <w:lvlText w:val="%3."/>
      <w:lvlJc w:val="left"/>
      <w:pPr>
        <w:tabs>
          <w:tab w:val="num" w:pos="2160"/>
        </w:tabs>
        <w:ind w:left="2160" w:hanging="360"/>
      </w:pPr>
    </w:lvl>
    <w:lvl w:ilvl="3" w:tplc="521447CA" w:tentative="1">
      <w:start w:val="1"/>
      <w:numFmt w:val="decimal"/>
      <w:lvlText w:val="%4."/>
      <w:lvlJc w:val="left"/>
      <w:pPr>
        <w:tabs>
          <w:tab w:val="num" w:pos="2880"/>
        </w:tabs>
        <w:ind w:left="2880" w:hanging="360"/>
      </w:pPr>
    </w:lvl>
    <w:lvl w:ilvl="4" w:tplc="611A81C6" w:tentative="1">
      <w:start w:val="1"/>
      <w:numFmt w:val="decimal"/>
      <w:lvlText w:val="%5."/>
      <w:lvlJc w:val="left"/>
      <w:pPr>
        <w:tabs>
          <w:tab w:val="num" w:pos="3600"/>
        </w:tabs>
        <w:ind w:left="3600" w:hanging="360"/>
      </w:pPr>
    </w:lvl>
    <w:lvl w:ilvl="5" w:tplc="262A7312" w:tentative="1">
      <w:start w:val="1"/>
      <w:numFmt w:val="decimal"/>
      <w:lvlText w:val="%6."/>
      <w:lvlJc w:val="left"/>
      <w:pPr>
        <w:tabs>
          <w:tab w:val="num" w:pos="4320"/>
        </w:tabs>
        <w:ind w:left="4320" w:hanging="360"/>
      </w:pPr>
    </w:lvl>
    <w:lvl w:ilvl="6" w:tplc="EE90C0BC" w:tentative="1">
      <w:start w:val="1"/>
      <w:numFmt w:val="decimal"/>
      <w:lvlText w:val="%7."/>
      <w:lvlJc w:val="left"/>
      <w:pPr>
        <w:tabs>
          <w:tab w:val="num" w:pos="5040"/>
        </w:tabs>
        <w:ind w:left="5040" w:hanging="360"/>
      </w:pPr>
    </w:lvl>
    <w:lvl w:ilvl="7" w:tplc="7D4C438E" w:tentative="1">
      <w:start w:val="1"/>
      <w:numFmt w:val="decimal"/>
      <w:lvlText w:val="%8."/>
      <w:lvlJc w:val="left"/>
      <w:pPr>
        <w:tabs>
          <w:tab w:val="num" w:pos="5760"/>
        </w:tabs>
        <w:ind w:left="5760" w:hanging="360"/>
      </w:pPr>
    </w:lvl>
    <w:lvl w:ilvl="8" w:tplc="F7181F9E" w:tentative="1">
      <w:start w:val="1"/>
      <w:numFmt w:val="decimal"/>
      <w:lvlText w:val="%9."/>
      <w:lvlJc w:val="left"/>
      <w:pPr>
        <w:tabs>
          <w:tab w:val="num" w:pos="6480"/>
        </w:tabs>
        <w:ind w:left="6480" w:hanging="360"/>
      </w:pPr>
    </w:lvl>
  </w:abstractNum>
  <w:abstractNum w:abstractNumId="80" w15:restartNumberingAfterBreak="0">
    <w:nsid w:val="628F45E9"/>
    <w:multiLevelType w:val="hybridMultilevel"/>
    <w:tmpl w:val="A242384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1" w15:restartNumberingAfterBreak="0">
    <w:nsid w:val="62B74995"/>
    <w:multiLevelType w:val="hybridMultilevel"/>
    <w:tmpl w:val="1876EBA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2" w15:restartNumberingAfterBreak="0">
    <w:nsid w:val="62C61415"/>
    <w:multiLevelType w:val="hybridMultilevel"/>
    <w:tmpl w:val="413AAB5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3" w15:restartNumberingAfterBreak="0">
    <w:nsid w:val="63341A92"/>
    <w:multiLevelType w:val="hybridMultilevel"/>
    <w:tmpl w:val="2124C118"/>
    <w:lvl w:ilvl="0" w:tplc="5B928AC0">
      <w:start w:val="1"/>
      <w:numFmt w:val="bullet"/>
      <w:lvlText w:val="•"/>
      <w:lvlJc w:val="left"/>
      <w:pPr>
        <w:tabs>
          <w:tab w:val="num" w:pos="720"/>
        </w:tabs>
        <w:ind w:left="720" w:hanging="360"/>
      </w:pPr>
      <w:rPr>
        <w:rFonts w:ascii="Arial" w:hAnsi="Arial" w:hint="default"/>
      </w:rPr>
    </w:lvl>
    <w:lvl w:ilvl="1" w:tplc="4AECD44A" w:tentative="1">
      <w:start w:val="1"/>
      <w:numFmt w:val="bullet"/>
      <w:lvlText w:val="•"/>
      <w:lvlJc w:val="left"/>
      <w:pPr>
        <w:tabs>
          <w:tab w:val="num" w:pos="1440"/>
        </w:tabs>
        <w:ind w:left="1440" w:hanging="360"/>
      </w:pPr>
      <w:rPr>
        <w:rFonts w:ascii="Arial" w:hAnsi="Arial" w:hint="default"/>
      </w:rPr>
    </w:lvl>
    <w:lvl w:ilvl="2" w:tplc="91E43D72" w:tentative="1">
      <w:start w:val="1"/>
      <w:numFmt w:val="bullet"/>
      <w:lvlText w:val="•"/>
      <w:lvlJc w:val="left"/>
      <w:pPr>
        <w:tabs>
          <w:tab w:val="num" w:pos="2160"/>
        </w:tabs>
        <w:ind w:left="2160" w:hanging="360"/>
      </w:pPr>
      <w:rPr>
        <w:rFonts w:ascii="Arial" w:hAnsi="Arial" w:hint="default"/>
      </w:rPr>
    </w:lvl>
    <w:lvl w:ilvl="3" w:tplc="8F5AF2F0" w:tentative="1">
      <w:start w:val="1"/>
      <w:numFmt w:val="bullet"/>
      <w:lvlText w:val="•"/>
      <w:lvlJc w:val="left"/>
      <w:pPr>
        <w:tabs>
          <w:tab w:val="num" w:pos="2880"/>
        </w:tabs>
        <w:ind w:left="2880" w:hanging="360"/>
      </w:pPr>
      <w:rPr>
        <w:rFonts w:ascii="Arial" w:hAnsi="Arial" w:hint="default"/>
      </w:rPr>
    </w:lvl>
    <w:lvl w:ilvl="4" w:tplc="7400BDCA" w:tentative="1">
      <w:start w:val="1"/>
      <w:numFmt w:val="bullet"/>
      <w:lvlText w:val="•"/>
      <w:lvlJc w:val="left"/>
      <w:pPr>
        <w:tabs>
          <w:tab w:val="num" w:pos="3600"/>
        </w:tabs>
        <w:ind w:left="3600" w:hanging="360"/>
      </w:pPr>
      <w:rPr>
        <w:rFonts w:ascii="Arial" w:hAnsi="Arial" w:hint="default"/>
      </w:rPr>
    </w:lvl>
    <w:lvl w:ilvl="5" w:tplc="6660C7FC" w:tentative="1">
      <w:start w:val="1"/>
      <w:numFmt w:val="bullet"/>
      <w:lvlText w:val="•"/>
      <w:lvlJc w:val="left"/>
      <w:pPr>
        <w:tabs>
          <w:tab w:val="num" w:pos="4320"/>
        </w:tabs>
        <w:ind w:left="4320" w:hanging="360"/>
      </w:pPr>
      <w:rPr>
        <w:rFonts w:ascii="Arial" w:hAnsi="Arial" w:hint="default"/>
      </w:rPr>
    </w:lvl>
    <w:lvl w:ilvl="6" w:tplc="B3F0A996" w:tentative="1">
      <w:start w:val="1"/>
      <w:numFmt w:val="bullet"/>
      <w:lvlText w:val="•"/>
      <w:lvlJc w:val="left"/>
      <w:pPr>
        <w:tabs>
          <w:tab w:val="num" w:pos="5040"/>
        </w:tabs>
        <w:ind w:left="5040" w:hanging="360"/>
      </w:pPr>
      <w:rPr>
        <w:rFonts w:ascii="Arial" w:hAnsi="Arial" w:hint="default"/>
      </w:rPr>
    </w:lvl>
    <w:lvl w:ilvl="7" w:tplc="8C2E5E7E" w:tentative="1">
      <w:start w:val="1"/>
      <w:numFmt w:val="bullet"/>
      <w:lvlText w:val="•"/>
      <w:lvlJc w:val="left"/>
      <w:pPr>
        <w:tabs>
          <w:tab w:val="num" w:pos="5760"/>
        </w:tabs>
        <w:ind w:left="5760" w:hanging="360"/>
      </w:pPr>
      <w:rPr>
        <w:rFonts w:ascii="Arial" w:hAnsi="Arial" w:hint="default"/>
      </w:rPr>
    </w:lvl>
    <w:lvl w:ilvl="8" w:tplc="65F62674" w:tentative="1">
      <w:start w:val="1"/>
      <w:numFmt w:val="bullet"/>
      <w:lvlText w:val="•"/>
      <w:lvlJc w:val="left"/>
      <w:pPr>
        <w:tabs>
          <w:tab w:val="num" w:pos="6480"/>
        </w:tabs>
        <w:ind w:left="6480" w:hanging="360"/>
      </w:pPr>
      <w:rPr>
        <w:rFonts w:ascii="Arial" w:hAnsi="Arial" w:hint="default"/>
      </w:rPr>
    </w:lvl>
  </w:abstractNum>
  <w:abstractNum w:abstractNumId="84" w15:restartNumberingAfterBreak="0">
    <w:nsid w:val="637268DF"/>
    <w:multiLevelType w:val="hybridMultilevel"/>
    <w:tmpl w:val="EFFAFF5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5" w15:restartNumberingAfterBreak="0">
    <w:nsid w:val="63E2293E"/>
    <w:multiLevelType w:val="hybridMultilevel"/>
    <w:tmpl w:val="B316F3F0"/>
    <w:lvl w:ilvl="0" w:tplc="CFFA502E">
      <w:start w:val="1"/>
      <w:numFmt w:val="lowerLetter"/>
      <w:lvlText w:val="%1)"/>
      <w:lvlJc w:val="left"/>
      <w:pPr>
        <w:tabs>
          <w:tab w:val="num" w:pos="720"/>
        </w:tabs>
        <w:ind w:left="720" w:hanging="360"/>
      </w:pPr>
    </w:lvl>
    <w:lvl w:ilvl="1" w:tplc="55867E46" w:tentative="1">
      <w:start w:val="1"/>
      <w:numFmt w:val="lowerLetter"/>
      <w:lvlText w:val="%2)"/>
      <w:lvlJc w:val="left"/>
      <w:pPr>
        <w:tabs>
          <w:tab w:val="num" w:pos="1440"/>
        </w:tabs>
        <w:ind w:left="1440" w:hanging="360"/>
      </w:pPr>
    </w:lvl>
    <w:lvl w:ilvl="2" w:tplc="A8C4D80A" w:tentative="1">
      <w:start w:val="1"/>
      <w:numFmt w:val="lowerLetter"/>
      <w:lvlText w:val="%3)"/>
      <w:lvlJc w:val="left"/>
      <w:pPr>
        <w:tabs>
          <w:tab w:val="num" w:pos="2160"/>
        </w:tabs>
        <w:ind w:left="2160" w:hanging="360"/>
      </w:pPr>
    </w:lvl>
    <w:lvl w:ilvl="3" w:tplc="A48E4418" w:tentative="1">
      <w:start w:val="1"/>
      <w:numFmt w:val="lowerLetter"/>
      <w:lvlText w:val="%4)"/>
      <w:lvlJc w:val="left"/>
      <w:pPr>
        <w:tabs>
          <w:tab w:val="num" w:pos="2880"/>
        </w:tabs>
        <w:ind w:left="2880" w:hanging="360"/>
      </w:pPr>
    </w:lvl>
    <w:lvl w:ilvl="4" w:tplc="DE32A208" w:tentative="1">
      <w:start w:val="1"/>
      <w:numFmt w:val="lowerLetter"/>
      <w:lvlText w:val="%5)"/>
      <w:lvlJc w:val="left"/>
      <w:pPr>
        <w:tabs>
          <w:tab w:val="num" w:pos="3600"/>
        </w:tabs>
        <w:ind w:left="3600" w:hanging="360"/>
      </w:pPr>
    </w:lvl>
    <w:lvl w:ilvl="5" w:tplc="86AE5EB6" w:tentative="1">
      <w:start w:val="1"/>
      <w:numFmt w:val="lowerLetter"/>
      <w:lvlText w:val="%6)"/>
      <w:lvlJc w:val="left"/>
      <w:pPr>
        <w:tabs>
          <w:tab w:val="num" w:pos="4320"/>
        </w:tabs>
        <w:ind w:left="4320" w:hanging="360"/>
      </w:pPr>
    </w:lvl>
    <w:lvl w:ilvl="6" w:tplc="C5EA55AC" w:tentative="1">
      <w:start w:val="1"/>
      <w:numFmt w:val="lowerLetter"/>
      <w:lvlText w:val="%7)"/>
      <w:lvlJc w:val="left"/>
      <w:pPr>
        <w:tabs>
          <w:tab w:val="num" w:pos="5040"/>
        </w:tabs>
        <w:ind w:left="5040" w:hanging="360"/>
      </w:pPr>
    </w:lvl>
    <w:lvl w:ilvl="7" w:tplc="3AD8C892" w:tentative="1">
      <w:start w:val="1"/>
      <w:numFmt w:val="lowerLetter"/>
      <w:lvlText w:val="%8)"/>
      <w:lvlJc w:val="left"/>
      <w:pPr>
        <w:tabs>
          <w:tab w:val="num" w:pos="5760"/>
        </w:tabs>
        <w:ind w:left="5760" w:hanging="360"/>
      </w:pPr>
    </w:lvl>
    <w:lvl w:ilvl="8" w:tplc="03900168" w:tentative="1">
      <w:start w:val="1"/>
      <w:numFmt w:val="lowerLetter"/>
      <w:lvlText w:val="%9)"/>
      <w:lvlJc w:val="left"/>
      <w:pPr>
        <w:tabs>
          <w:tab w:val="num" w:pos="6480"/>
        </w:tabs>
        <w:ind w:left="6480" w:hanging="360"/>
      </w:pPr>
    </w:lvl>
  </w:abstractNum>
  <w:abstractNum w:abstractNumId="86" w15:restartNumberingAfterBreak="0">
    <w:nsid w:val="647B14E6"/>
    <w:multiLevelType w:val="hybridMultilevel"/>
    <w:tmpl w:val="D49ABEE0"/>
    <w:lvl w:ilvl="0" w:tplc="3F1CA9CC">
      <w:start w:val="1"/>
      <w:numFmt w:val="bullet"/>
      <w:lvlText w:val="•"/>
      <w:lvlJc w:val="left"/>
      <w:pPr>
        <w:tabs>
          <w:tab w:val="num" w:pos="720"/>
        </w:tabs>
        <w:ind w:left="720" w:hanging="360"/>
      </w:pPr>
      <w:rPr>
        <w:rFonts w:ascii="Arial" w:hAnsi="Arial" w:hint="default"/>
      </w:rPr>
    </w:lvl>
    <w:lvl w:ilvl="1" w:tplc="A10494B2" w:tentative="1">
      <w:start w:val="1"/>
      <w:numFmt w:val="bullet"/>
      <w:lvlText w:val="•"/>
      <w:lvlJc w:val="left"/>
      <w:pPr>
        <w:tabs>
          <w:tab w:val="num" w:pos="1440"/>
        </w:tabs>
        <w:ind w:left="1440" w:hanging="360"/>
      </w:pPr>
      <w:rPr>
        <w:rFonts w:ascii="Arial" w:hAnsi="Arial" w:hint="default"/>
      </w:rPr>
    </w:lvl>
    <w:lvl w:ilvl="2" w:tplc="EE98F260" w:tentative="1">
      <w:start w:val="1"/>
      <w:numFmt w:val="bullet"/>
      <w:lvlText w:val="•"/>
      <w:lvlJc w:val="left"/>
      <w:pPr>
        <w:tabs>
          <w:tab w:val="num" w:pos="2160"/>
        </w:tabs>
        <w:ind w:left="2160" w:hanging="360"/>
      </w:pPr>
      <w:rPr>
        <w:rFonts w:ascii="Arial" w:hAnsi="Arial" w:hint="default"/>
      </w:rPr>
    </w:lvl>
    <w:lvl w:ilvl="3" w:tplc="D5BACE1A" w:tentative="1">
      <w:start w:val="1"/>
      <w:numFmt w:val="bullet"/>
      <w:lvlText w:val="•"/>
      <w:lvlJc w:val="left"/>
      <w:pPr>
        <w:tabs>
          <w:tab w:val="num" w:pos="2880"/>
        </w:tabs>
        <w:ind w:left="2880" w:hanging="360"/>
      </w:pPr>
      <w:rPr>
        <w:rFonts w:ascii="Arial" w:hAnsi="Arial" w:hint="default"/>
      </w:rPr>
    </w:lvl>
    <w:lvl w:ilvl="4" w:tplc="706C8062" w:tentative="1">
      <w:start w:val="1"/>
      <w:numFmt w:val="bullet"/>
      <w:lvlText w:val="•"/>
      <w:lvlJc w:val="left"/>
      <w:pPr>
        <w:tabs>
          <w:tab w:val="num" w:pos="3600"/>
        </w:tabs>
        <w:ind w:left="3600" w:hanging="360"/>
      </w:pPr>
      <w:rPr>
        <w:rFonts w:ascii="Arial" w:hAnsi="Arial" w:hint="default"/>
      </w:rPr>
    </w:lvl>
    <w:lvl w:ilvl="5" w:tplc="A25E75AC" w:tentative="1">
      <w:start w:val="1"/>
      <w:numFmt w:val="bullet"/>
      <w:lvlText w:val="•"/>
      <w:lvlJc w:val="left"/>
      <w:pPr>
        <w:tabs>
          <w:tab w:val="num" w:pos="4320"/>
        </w:tabs>
        <w:ind w:left="4320" w:hanging="360"/>
      </w:pPr>
      <w:rPr>
        <w:rFonts w:ascii="Arial" w:hAnsi="Arial" w:hint="default"/>
      </w:rPr>
    </w:lvl>
    <w:lvl w:ilvl="6" w:tplc="C830899C" w:tentative="1">
      <w:start w:val="1"/>
      <w:numFmt w:val="bullet"/>
      <w:lvlText w:val="•"/>
      <w:lvlJc w:val="left"/>
      <w:pPr>
        <w:tabs>
          <w:tab w:val="num" w:pos="5040"/>
        </w:tabs>
        <w:ind w:left="5040" w:hanging="360"/>
      </w:pPr>
      <w:rPr>
        <w:rFonts w:ascii="Arial" w:hAnsi="Arial" w:hint="default"/>
      </w:rPr>
    </w:lvl>
    <w:lvl w:ilvl="7" w:tplc="88D839B8" w:tentative="1">
      <w:start w:val="1"/>
      <w:numFmt w:val="bullet"/>
      <w:lvlText w:val="•"/>
      <w:lvlJc w:val="left"/>
      <w:pPr>
        <w:tabs>
          <w:tab w:val="num" w:pos="5760"/>
        </w:tabs>
        <w:ind w:left="5760" w:hanging="360"/>
      </w:pPr>
      <w:rPr>
        <w:rFonts w:ascii="Arial" w:hAnsi="Arial" w:hint="default"/>
      </w:rPr>
    </w:lvl>
    <w:lvl w:ilvl="8" w:tplc="C8609CE4" w:tentative="1">
      <w:start w:val="1"/>
      <w:numFmt w:val="bullet"/>
      <w:lvlText w:val="•"/>
      <w:lvlJc w:val="left"/>
      <w:pPr>
        <w:tabs>
          <w:tab w:val="num" w:pos="6480"/>
        </w:tabs>
        <w:ind w:left="6480" w:hanging="360"/>
      </w:pPr>
      <w:rPr>
        <w:rFonts w:ascii="Arial" w:hAnsi="Arial" w:hint="default"/>
      </w:rPr>
    </w:lvl>
  </w:abstractNum>
  <w:abstractNum w:abstractNumId="87" w15:restartNumberingAfterBreak="0">
    <w:nsid w:val="64AD1AF9"/>
    <w:multiLevelType w:val="hybridMultilevel"/>
    <w:tmpl w:val="FF18C32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8" w15:restartNumberingAfterBreak="0">
    <w:nsid w:val="64F963C9"/>
    <w:multiLevelType w:val="multilevel"/>
    <w:tmpl w:val="BD2E0D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9" w15:restartNumberingAfterBreak="0">
    <w:nsid w:val="660C1790"/>
    <w:multiLevelType w:val="multilevel"/>
    <w:tmpl w:val="59800B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68111336"/>
    <w:multiLevelType w:val="hybridMultilevel"/>
    <w:tmpl w:val="6952F3DE"/>
    <w:lvl w:ilvl="0" w:tplc="280EFB9A">
      <w:start w:val="1"/>
      <w:numFmt w:val="bullet"/>
      <w:lvlText w:val="•"/>
      <w:lvlJc w:val="left"/>
      <w:pPr>
        <w:tabs>
          <w:tab w:val="num" w:pos="720"/>
        </w:tabs>
        <w:ind w:left="720" w:hanging="360"/>
      </w:pPr>
      <w:rPr>
        <w:rFonts w:ascii="Arial" w:hAnsi="Arial" w:hint="default"/>
      </w:rPr>
    </w:lvl>
    <w:lvl w:ilvl="1" w:tplc="0010D27C" w:tentative="1">
      <w:start w:val="1"/>
      <w:numFmt w:val="bullet"/>
      <w:lvlText w:val="•"/>
      <w:lvlJc w:val="left"/>
      <w:pPr>
        <w:tabs>
          <w:tab w:val="num" w:pos="1440"/>
        </w:tabs>
        <w:ind w:left="1440" w:hanging="360"/>
      </w:pPr>
      <w:rPr>
        <w:rFonts w:ascii="Arial" w:hAnsi="Arial" w:hint="default"/>
      </w:rPr>
    </w:lvl>
    <w:lvl w:ilvl="2" w:tplc="7D7682D2" w:tentative="1">
      <w:start w:val="1"/>
      <w:numFmt w:val="bullet"/>
      <w:lvlText w:val="•"/>
      <w:lvlJc w:val="left"/>
      <w:pPr>
        <w:tabs>
          <w:tab w:val="num" w:pos="2160"/>
        </w:tabs>
        <w:ind w:left="2160" w:hanging="360"/>
      </w:pPr>
      <w:rPr>
        <w:rFonts w:ascii="Arial" w:hAnsi="Arial" w:hint="default"/>
      </w:rPr>
    </w:lvl>
    <w:lvl w:ilvl="3" w:tplc="3DC064DA" w:tentative="1">
      <w:start w:val="1"/>
      <w:numFmt w:val="bullet"/>
      <w:lvlText w:val="•"/>
      <w:lvlJc w:val="left"/>
      <w:pPr>
        <w:tabs>
          <w:tab w:val="num" w:pos="2880"/>
        </w:tabs>
        <w:ind w:left="2880" w:hanging="360"/>
      </w:pPr>
      <w:rPr>
        <w:rFonts w:ascii="Arial" w:hAnsi="Arial" w:hint="default"/>
      </w:rPr>
    </w:lvl>
    <w:lvl w:ilvl="4" w:tplc="87A2BA5A" w:tentative="1">
      <w:start w:val="1"/>
      <w:numFmt w:val="bullet"/>
      <w:lvlText w:val="•"/>
      <w:lvlJc w:val="left"/>
      <w:pPr>
        <w:tabs>
          <w:tab w:val="num" w:pos="3600"/>
        </w:tabs>
        <w:ind w:left="3600" w:hanging="360"/>
      </w:pPr>
      <w:rPr>
        <w:rFonts w:ascii="Arial" w:hAnsi="Arial" w:hint="default"/>
      </w:rPr>
    </w:lvl>
    <w:lvl w:ilvl="5" w:tplc="985EEAD2" w:tentative="1">
      <w:start w:val="1"/>
      <w:numFmt w:val="bullet"/>
      <w:lvlText w:val="•"/>
      <w:lvlJc w:val="left"/>
      <w:pPr>
        <w:tabs>
          <w:tab w:val="num" w:pos="4320"/>
        </w:tabs>
        <w:ind w:left="4320" w:hanging="360"/>
      </w:pPr>
      <w:rPr>
        <w:rFonts w:ascii="Arial" w:hAnsi="Arial" w:hint="default"/>
      </w:rPr>
    </w:lvl>
    <w:lvl w:ilvl="6" w:tplc="F9EC5E76" w:tentative="1">
      <w:start w:val="1"/>
      <w:numFmt w:val="bullet"/>
      <w:lvlText w:val="•"/>
      <w:lvlJc w:val="left"/>
      <w:pPr>
        <w:tabs>
          <w:tab w:val="num" w:pos="5040"/>
        </w:tabs>
        <w:ind w:left="5040" w:hanging="360"/>
      </w:pPr>
      <w:rPr>
        <w:rFonts w:ascii="Arial" w:hAnsi="Arial" w:hint="default"/>
      </w:rPr>
    </w:lvl>
    <w:lvl w:ilvl="7" w:tplc="5734C18A" w:tentative="1">
      <w:start w:val="1"/>
      <w:numFmt w:val="bullet"/>
      <w:lvlText w:val="•"/>
      <w:lvlJc w:val="left"/>
      <w:pPr>
        <w:tabs>
          <w:tab w:val="num" w:pos="5760"/>
        </w:tabs>
        <w:ind w:left="5760" w:hanging="360"/>
      </w:pPr>
      <w:rPr>
        <w:rFonts w:ascii="Arial" w:hAnsi="Arial" w:hint="default"/>
      </w:rPr>
    </w:lvl>
    <w:lvl w:ilvl="8" w:tplc="74C2935C" w:tentative="1">
      <w:start w:val="1"/>
      <w:numFmt w:val="bullet"/>
      <w:lvlText w:val="•"/>
      <w:lvlJc w:val="left"/>
      <w:pPr>
        <w:tabs>
          <w:tab w:val="num" w:pos="6480"/>
        </w:tabs>
        <w:ind w:left="6480" w:hanging="360"/>
      </w:pPr>
      <w:rPr>
        <w:rFonts w:ascii="Arial" w:hAnsi="Arial" w:hint="default"/>
      </w:rPr>
    </w:lvl>
  </w:abstractNum>
  <w:abstractNum w:abstractNumId="91" w15:restartNumberingAfterBreak="0">
    <w:nsid w:val="68E44270"/>
    <w:multiLevelType w:val="hybridMultilevel"/>
    <w:tmpl w:val="29947BC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2" w15:restartNumberingAfterBreak="0">
    <w:nsid w:val="6CA366C4"/>
    <w:multiLevelType w:val="hybridMultilevel"/>
    <w:tmpl w:val="58A40E62"/>
    <w:lvl w:ilvl="0" w:tplc="109ED5A8">
      <w:start w:val="1"/>
      <w:numFmt w:val="bullet"/>
      <w:lvlText w:val="•"/>
      <w:lvlJc w:val="left"/>
      <w:pPr>
        <w:tabs>
          <w:tab w:val="num" w:pos="720"/>
        </w:tabs>
        <w:ind w:left="720" w:hanging="360"/>
      </w:pPr>
      <w:rPr>
        <w:rFonts w:ascii="Arial" w:hAnsi="Arial" w:hint="default"/>
      </w:rPr>
    </w:lvl>
    <w:lvl w:ilvl="1" w:tplc="3F423036" w:tentative="1">
      <w:start w:val="1"/>
      <w:numFmt w:val="bullet"/>
      <w:lvlText w:val="•"/>
      <w:lvlJc w:val="left"/>
      <w:pPr>
        <w:tabs>
          <w:tab w:val="num" w:pos="1440"/>
        </w:tabs>
        <w:ind w:left="1440" w:hanging="360"/>
      </w:pPr>
      <w:rPr>
        <w:rFonts w:ascii="Arial" w:hAnsi="Arial" w:hint="default"/>
      </w:rPr>
    </w:lvl>
    <w:lvl w:ilvl="2" w:tplc="F94C65A4" w:tentative="1">
      <w:start w:val="1"/>
      <w:numFmt w:val="bullet"/>
      <w:lvlText w:val="•"/>
      <w:lvlJc w:val="left"/>
      <w:pPr>
        <w:tabs>
          <w:tab w:val="num" w:pos="2160"/>
        </w:tabs>
        <w:ind w:left="2160" w:hanging="360"/>
      </w:pPr>
      <w:rPr>
        <w:rFonts w:ascii="Arial" w:hAnsi="Arial" w:hint="default"/>
      </w:rPr>
    </w:lvl>
    <w:lvl w:ilvl="3" w:tplc="E1A0586E" w:tentative="1">
      <w:start w:val="1"/>
      <w:numFmt w:val="bullet"/>
      <w:lvlText w:val="•"/>
      <w:lvlJc w:val="left"/>
      <w:pPr>
        <w:tabs>
          <w:tab w:val="num" w:pos="2880"/>
        </w:tabs>
        <w:ind w:left="2880" w:hanging="360"/>
      </w:pPr>
      <w:rPr>
        <w:rFonts w:ascii="Arial" w:hAnsi="Arial" w:hint="default"/>
      </w:rPr>
    </w:lvl>
    <w:lvl w:ilvl="4" w:tplc="D14253AA" w:tentative="1">
      <w:start w:val="1"/>
      <w:numFmt w:val="bullet"/>
      <w:lvlText w:val="•"/>
      <w:lvlJc w:val="left"/>
      <w:pPr>
        <w:tabs>
          <w:tab w:val="num" w:pos="3600"/>
        </w:tabs>
        <w:ind w:left="3600" w:hanging="360"/>
      </w:pPr>
      <w:rPr>
        <w:rFonts w:ascii="Arial" w:hAnsi="Arial" w:hint="default"/>
      </w:rPr>
    </w:lvl>
    <w:lvl w:ilvl="5" w:tplc="290E7D94" w:tentative="1">
      <w:start w:val="1"/>
      <w:numFmt w:val="bullet"/>
      <w:lvlText w:val="•"/>
      <w:lvlJc w:val="left"/>
      <w:pPr>
        <w:tabs>
          <w:tab w:val="num" w:pos="4320"/>
        </w:tabs>
        <w:ind w:left="4320" w:hanging="360"/>
      </w:pPr>
      <w:rPr>
        <w:rFonts w:ascii="Arial" w:hAnsi="Arial" w:hint="default"/>
      </w:rPr>
    </w:lvl>
    <w:lvl w:ilvl="6" w:tplc="1ABE5996" w:tentative="1">
      <w:start w:val="1"/>
      <w:numFmt w:val="bullet"/>
      <w:lvlText w:val="•"/>
      <w:lvlJc w:val="left"/>
      <w:pPr>
        <w:tabs>
          <w:tab w:val="num" w:pos="5040"/>
        </w:tabs>
        <w:ind w:left="5040" w:hanging="360"/>
      </w:pPr>
      <w:rPr>
        <w:rFonts w:ascii="Arial" w:hAnsi="Arial" w:hint="default"/>
      </w:rPr>
    </w:lvl>
    <w:lvl w:ilvl="7" w:tplc="3544C646" w:tentative="1">
      <w:start w:val="1"/>
      <w:numFmt w:val="bullet"/>
      <w:lvlText w:val="•"/>
      <w:lvlJc w:val="left"/>
      <w:pPr>
        <w:tabs>
          <w:tab w:val="num" w:pos="5760"/>
        </w:tabs>
        <w:ind w:left="5760" w:hanging="360"/>
      </w:pPr>
      <w:rPr>
        <w:rFonts w:ascii="Arial" w:hAnsi="Arial" w:hint="default"/>
      </w:rPr>
    </w:lvl>
    <w:lvl w:ilvl="8" w:tplc="206AF246" w:tentative="1">
      <w:start w:val="1"/>
      <w:numFmt w:val="bullet"/>
      <w:lvlText w:val="•"/>
      <w:lvlJc w:val="left"/>
      <w:pPr>
        <w:tabs>
          <w:tab w:val="num" w:pos="6480"/>
        </w:tabs>
        <w:ind w:left="6480" w:hanging="360"/>
      </w:pPr>
      <w:rPr>
        <w:rFonts w:ascii="Arial" w:hAnsi="Arial" w:hint="default"/>
      </w:rPr>
    </w:lvl>
  </w:abstractNum>
  <w:abstractNum w:abstractNumId="93" w15:restartNumberingAfterBreak="0">
    <w:nsid w:val="6CB65F94"/>
    <w:multiLevelType w:val="hybridMultilevel"/>
    <w:tmpl w:val="F426F63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4" w15:restartNumberingAfterBreak="0">
    <w:nsid w:val="6D7E5AE1"/>
    <w:multiLevelType w:val="hybridMultilevel"/>
    <w:tmpl w:val="55AC213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5" w15:restartNumberingAfterBreak="0">
    <w:nsid w:val="6DEF2A53"/>
    <w:multiLevelType w:val="hybridMultilevel"/>
    <w:tmpl w:val="DA60559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6" w15:restartNumberingAfterBreak="0">
    <w:nsid w:val="6E021A6A"/>
    <w:multiLevelType w:val="hybridMultilevel"/>
    <w:tmpl w:val="075EFA5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7" w15:restartNumberingAfterBreak="0">
    <w:nsid w:val="6F7B0A38"/>
    <w:multiLevelType w:val="hybridMultilevel"/>
    <w:tmpl w:val="783C1294"/>
    <w:lvl w:ilvl="0" w:tplc="47A4E23C">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8" w15:restartNumberingAfterBreak="0">
    <w:nsid w:val="6F82222D"/>
    <w:multiLevelType w:val="hybridMultilevel"/>
    <w:tmpl w:val="A5DEDCA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9" w15:restartNumberingAfterBreak="0">
    <w:nsid w:val="71081EE6"/>
    <w:multiLevelType w:val="hybridMultilevel"/>
    <w:tmpl w:val="3E1E6C9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0" w15:restartNumberingAfterBreak="0">
    <w:nsid w:val="71534DC4"/>
    <w:multiLevelType w:val="hybridMultilevel"/>
    <w:tmpl w:val="228CB462"/>
    <w:lvl w:ilvl="0" w:tplc="B5A2B75E">
      <w:start w:val="1"/>
      <w:numFmt w:val="bullet"/>
      <w:lvlText w:val="•"/>
      <w:lvlJc w:val="left"/>
      <w:pPr>
        <w:tabs>
          <w:tab w:val="num" w:pos="720"/>
        </w:tabs>
        <w:ind w:left="720" w:hanging="360"/>
      </w:pPr>
      <w:rPr>
        <w:rFonts w:ascii="Arial" w:hAnsi="Arial" w:hint="default"/>
      </w:rPr>
    </w:lvl>
    <w:lvl w:ilvl="1" w:tplc="1472BA52" w:tentative="1">
      <w:start w:val="1"/>
      <w:numFmt w:val="bullet"/>
      <w:lvlText w:val="•"/>
      <w:lvlJc w:val="left"/>
      <w:pPr>
        <w:tabs>
          <w:tab w:val="num" w:pos="1440"/>
        </w:tabs>
        <w:ind w:left="1440" w:hanging="360"/>
      </w:pPr>
      <w:rPr>
        <w:rFonts w:ascii="Arial" w:hAnsi="Arial" w:hint="default"/>
      </w:rPr>
    </w:lvl>
    <w:lvl w:ilvl="2" w:tplc="8BE0A78C" w:tentative="1">
      <w:start w:val="1"/>
      <w:numFmt w:val="bullet"/>
      <w:lvlText w:val="•"/>
      <w:lvlJc w:val="left"/>
      <w:pPr>
        <w:tabs>
          <w:tab w:val="num" w:pos="2160"/>
        </w:tabs>
        <w:ind w:left="2160" w:hanging="360"/>
      </w:pPr>
      <w:rPr>
        <w:rFonts w:ascii="Arial" w:hAnsi="Arial" w:hint="default"/>
      </w:rPr>
    </w:lvl>
    <w:lvl w:ilvl="3" w:tplc="27C87008" w:tentative="1">
      <w:start w:val="1"/>
      <w:numFmt w:val="bullet"/>
      <w:lvlText w:val="•"/>
      <w:lvlJc w:val="left"/>
      <w:pPr>
        <w:tabs>
          <w:tab w:val="num" w:pos="2880"/>
        </w:tabs>
        <w:ind w:left="2880" w:hanging="360"/>
      </w:pPr>
      <w:rPr>
        <w:rFonts w:ascii="Arial" w:hAnsi="Arial" w:hint="default"/>
      </w:rPr>
    </w:lvl>
    <w:lvl w:ilvl="4" w:tplc="7ED2CB72" w:tentative="1">
      <w:start w:val="1"/>
      <w:numFmt w:val="bullet"/>
      <w:lvlText w:val="•"/>
      <w:lvlJc w:val="left"/>
      <w:pPr>
        <w:tabs>
          <w:tab w:val="num" w:pos="3600"/>
        </w:tabs>
        <w:ind w:left="3600" w:hanging="360"/>
      </w:pPr>
      <w:rPr>
        <w:rFonts w:ascii="Arial" w:hAnsi="Arial" w:hint="default"/>
      </w:rPr>
    </w:lvl>
    <w:lvl w:ilvl="5" w:tplc="6924140E" w:tentative="1">
      <w:start w:val="1"/>
      <w:numFmt w:val="bullet"/>
      <w:lvlText w:val="•"/>
      <w:lvlJc w:val="left"/>
      <w:pPr>
        <w:tabs>
          <w:tab w:val="num" w:pos="4320"/>
        </w:tabs>
        <w:ind w:left="4320" w:hanging="360"/>
      </w:pPr>
      <w:rPr>
        <w:rFonts w:ascii="Arial" w:hAnsi="Arial" w:hint="default"/>
      </w:rPr>
    </w:lvl>
    <w:lvl w:ilvl="6" w:tplc="DDA6E7BA" w:tentative="1">
      <w:start w:val="1"/>
      <w:numFmt w:val="bullet"/>
      <w:lvlText w:val="•"/>
      <w:lvlJc w:val="left"/>
      <w:pPr>
        <w:tabs>
          <w:tab w:val="num" w:pos="5040"/>
        </w:tabs>
        <w:ind w:left="5040" w:hanging="360"/>
      </w:pPr>
      <w:rPr>
        <w:rFonts w:ascii="Arial" w:hAnsi="Arial" w:hint="default"/>
      </w:rPr>
    </w:lvl>
    <w:lvl w:ilvl="7" w:tplc="6712B6C2" w:tentative="1">
      <w:start w:val="1"/>
      <w:numFmt w:val="bullet"/>
      <w:lvlText w:val="•"/>
      <w:lvlJc w:val="left"/>
      <w:pPr>
        <w:tabs>
          <w:tab w:val="num" w:pos="5760"/>
        </w:tabs>
        <w:ind w:left="5760" w:hanging="360"/>
      </w:pPr>
      <w:rPr>
        <w:rFonts w:ascii="Arial" w:hAnsi="Arial" w:hint="default"/>
      </w:rPr>
    </w:lvl>
    <w:lvl w:ilvl="8" w:tplc="A1189FBC" w:tentative="1">
      <w:start w:val="1"/>
      <w:numFmt w:val="bullet"/>
      <w:lvlText w:val="•"/>
      <w:lvlJc w:val="left"/>
      <w:pPr>
        <w:tabs>
          <w:tab w:val="num" w:pos="6480"/>
        </w:tabs>
        <w:ind w:left="6480" w:hanging="360"/>
      </w:pPr>
      <w:rPr>
        <w:rFonts w:ascii="Arial" w:hAnsi="Arial" w:hint="default"/>
      </w:rPr>
    </w:lvl>
  </w:abstractNum>
  <w:abstractNum w:abstractNumId="101" w15:restartNumberingAfterBreak="0">
    <w:nsid w:val="71F10DBC"/>
    <w:multiLevelType w:val="hybridMultilevel"/>
    <w:tmpl w:val="301C209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2" w15:restartNumberingAfterBreak="0">
    <w:nsid w:val="73236637"/>
    <w:multiLevelType w:val="hybridMultilevel"/>
    <w:tmpl w:val="467EE0A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3" w15:restartNumberingAfterBreak="0">
    <w:nsid w:val="73320A69"/>
    <w:multiLevelType w:val="multilevel"/>
    <w:tmpl w:val="3356D97A"/>
    <w:lvl w:ilvl="0">
      <w:start w:val="1"/>
      <w:numFmt w:val="decimal"/>
      <w:pStyle w:val="Titre1"/>
      <w:lvlText w:val="%1"/>
      <w:lvlJc w:val="left"/>
      <w:pPr>
        <w:ind w:left="432" w:hanging="432"/>
      </w:pPr>
    </w:lvl>
    <w:lvl w:ilvl="1">
      <w:start w:val="1"/>
      <w:numFmt w:val="decimal"/>
      <w:pStyle w:val="Titre2"/>
      <w:lvlText w:val="%1.%2"/>
      <w:lvlJc w:val="left"/>
      <w:pPr>
        <w:ind w:left="1002" w:hanging="576"/>
      </w:pPr>
      <w:rPr>
        <w:i w:val="0"/>
        <w:iCs w:val="0"/>
      </w:rPr>
    </w:lvl>
    <w:lvl w:ilvl="2">
      <w:start w:val="1"/>
      <w:numFmt w:val="decimal"/>
      <w:pStyle w:val="Titre3"/>
      <w:lvlText w:val="%1.%2.%3"/>
      <w:lvlJc w:val="left"/>
      <w:pPr>
        <w:ind w:left="720" w:hanging="720"/>
      </w:pPr>
    </w:lvl>
    <w:lvl w:ilvl="3">
      <w:start w:val="1"/>
      <w:numFmt w:val="decimal"/>
      <w:pStyle w:val="Titre4"/>
      <w:lvlText w:val="%1.%2.%3.%4"/>
      <w:lvlJc w:val="left"/>
      <w:pPr>
        <w:ind w:left="864" w:hanging="864"/>
      </w:pPr>
    </w:lvl>
    <w:lvl w:ilvl="4">
      <w:start w:val="1"/>
      <w:numFmt w:val="decimal"/>
      <w:pStyle w:val="Titre5"/>
      <w:lvlText w:val="%1.%2.%3.%4.%5"/>
      <w:lvlJc w:val="left"/>
      <w:pPr>
        <w:ind w:left="1008" w:hanging="1008"/>
      </w:pPr>
    </w:lvl>
    <w:lvl w:ilvl="5">
      <w:start w:val="1"/>
      <w:numFmt w:val="decimal"/>
      <w:pStyle w:val="Titre6"/>
      <w:lvlText w:val="%1.%2.%3.%4.%5.%6"/>
      <w:lvlJc w:val="left"/>
      <w:pPr>
        <w:ind w:left="1152" w:hanging="1152"/>
      </w:pPr>
    </w:lvl>
    <w:lvl w:ilvl="6">
      <w:start w:val="1"/>
      <w:numFmt w:val="decimal"/>
      <w:pStyle w:val="Titre7"/>
      <w:lvlText w:val="%1.%2.%3.%4.%5.%6.%7"/>
      <w:lvlJc w:val="left"/>
      <w:pPr>
        <w:ind w:left="1296" w:hanging="1296"/>
      </w:pPr>
    </w:lvl>
    <w:lvl w:ilvl="7">
      <w:start w:val="1"/>
      <w:numFmt w:val="decimal"/>
      <w:pStyle w:val="Titre8"/>
      <w:lvlText w:val="%1.%2.%3.%4.%5.%6.%7.%8"/>
      <w:lvlJc w:val="left"/>
      <w:pPr>
        <w:ind w:left="1440" w:hanging="1440"/>
      </w:pPr>
    </w:lvl>
    <w:lvl w:ilvl="8">
      <w:start w:val="1"/>
      <w:numFmt w:val="decimal"/>
      <w:pStyle w:val="Titre9"/>
      <w:lvlText w:val="%1.%2.%3.%4.%5.%6.%7.%8.%9"/>
      <w:lvlJc w:val="left"/>
      <w:pPr>
        <w:ind w:left="1584" w:hanging="1584"/>
      </w:pPr>
    </w:lvl>
  </w:abstractNum>
  <w:abstractNum w:abstractNumId="104" w15:restartNumberingAfterBreak="0">
    <w:nsid w:val="745C4590"/>
    <w:multiLevelType w:val="hybridMultilevel"/>
    <w:tmpl w:val="DFC06914"/>
    <w:lvl w:ilvl="0" w:tplc="47A4E23C">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5" w15:restartNumberingAfterBreak="0">
    <w:nsid w:val="75852DA7"/>
    <w:multiLevelType w:val="hybridMultilevel"/>
    <w:tmpl w:val="2CCE46C8"/>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06" w15:restartNumberingAfterBreak="0">
    <w:nsid w:val="76FA344D"/>
    <w:multiLevelType w:val="hybridMultilevel"/>
    <w:tmpl w:val="72BC157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7" w15:restartNumberingAfterBreak="0">
    <w:nsid w:val="78D54EDA"/>
    <w:multiLevelType w:val="multilevel"/>
    <w:tmpl w:val="ADC6F7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15:restartNumberingAfterBreak="0">
    <w:nsid w:val="79E04D68"/>
    <w:multiLevelType w:val="hybridMultilevel"/>
    <w:tmpl w:val="BA001AF0"/>
    <w:lvl w:ilvl="0" w:tplc="AD9CDE08">
      <w:start w:val="1"/>
      <w:numFmt w:val="bullet"/>
      <w:lvlText w:val="•"/>
      <w:lvlJc w:val="left"/>
      <w:pPr>
        <w:tabs>
          <w:tab w:val="num" w:pos="720"/>
        </w:tabs>
        <w:ind w:left="720" w:hanging="360"/>
      </w:pPr>
      <w:rPr>
        <w:rFonts w:ascii="Times New Roman" w:hAnsi="Times New Roman" w:hint="default"/>
      </w:rPr>
    </w:lvl>
    <w:lvl w:ilvl="1" w:tplc="791CA0B6" w:tentative="1">
      <w:start w:val="1"/>
      <w:numFmt w:val="bullet"/>
      <w:lvlText w:val="•"/>
      <w:lvlJc w:val="left"/>
      <w:pPr>
        <w:tabs>
          <w:tab w:val="num" w:pos="1440"/>
        </w:tabs>
        <w:ind w:left="1440" w:hanging="360"/>
      </w:pPr>
      <w:rPr>
        <w:rFonts w:ascii="Times New Roman" w:hAnsi="Times New Roman" w:hint="default"/>
      </w:rPr>
    </w:lvl>
    <w:lvl w:ilvl="2" w:tplc="F0E29DB4" w:tentative="1">
      <w:start w:val="1"/>
      <w:numFmt w:val="bullet"/>
      <w:lvlText w:val="•"/>
      <w:lvlJc w:val="left"/>
      <w:pPr>
        <w:tabs>
          <w:tab w:val="num" w:pos="2160"/>
        </w:tabs>
        <w:ind w:left="2160" w:hanging="360"/>
      </w:pPr>
      <w:rPr>
        <w:rFonts w:ascii="Times New Roman" w:hAnsi="Times New Roman" w:hint="default"/>
      </w:rPr>
    </w:lvl>
    <w:lvl w:ilvl="3" w:tplc="7AB6243A" w:tentative="1">
      <w:start w:val="1"/>
      <w:numFmt w:val="bullet"/>
      <w:lvlText w:val="•"/>
      <w:lvlJc w:val="left"/>
      <w:pPr>
        <w:tabs>
          <w:tab w:val="num" w:pos="2880"/>
        </w:tabs>
        <w:ind w:left="2880" w:hanging="360"/>
      </w:pPr>
      <w:rPr>
        <w:rFonts w:ascii="Times New Roman" w:hAnsi="Times New Roman" w:hint="default"/>
      </w:rPr>
    </w:lvl>
    <w:lvl w:ilvl="4" w:tplc="2C66D338" w:tentative="1">
      <w:start w:val="1"/>
      <w:numFmt w:val="bullet"/>
      <w:lvlText w:val="•"/>
      <w:lvlJc w:val="left"/>
      <w:pPr>
        <w:tabs>
          <w:tab w:val="num" w:pos="3600"/>
        </w:tabs>
        <w:ind w:left="3600" w:hanging="360"/>
      </w:pPr>
      <w:rPr>
        <w:rFonts w:ascii="Times New Roman" w:hAnsi="Times New Roman" w:hint="default"/>
      </w:rPr>
    </w:lvl>
    <w:lvl w:ilvl="5" w:tplc="ABB81BF4" w:tentative="1">
      <w:start w:val="1"/>
      <w:numFmt w:val="bullet"/>
      <w:lvlText w:val="•"/>
      <w:lvlJc w:val="left"/>
      <w:pPr>
        <w:tabs>
          <w:tab w:val="num" w:pos="4320"/>
        </w:tabs>
        <w:ind w:left="4320" w:hanging="360"/>
      </w:pPr>
      <w:rPr>
        <w:rFonts w:ascii="Times New Roman" w:hAnsi="Times New Roman" w:hint="default"/>
      </w:rPr>
    </w:lvl>
    <w:lvl w:ilvl="6" w:tplc="CDA244F2" w:tentative="1">
      <w:start w:val="1"/>
      <w:numFmt w:val="bullet"/>
      <w:lvlText w:val="•"/>
      <w:lvlJc w:val="left"/>
      <w:pPr>
        <w:tabs>
          <w:tab w:val="num" w:pos="5040"/>
        </w:tabs>
        <w:ind w:left="5040" w:hanging="360"/>
      </w:pPr>
      <w:rPr>
        <w:rFonts w:ascii="Times New Roman" w:hAnsi="Times New Roman" w:hint="default"/>
      </w:rPr>
    </w:lvl>
    <w:lvl w:ilvl="7" w:tplc="6C90565C" w:tentative="1">
      <w:start w:val="1"/>
      <w:numFmt w:val="bullet"/>
      <w:lvlText w:val="•"/>
      <w:lvlJc w:val="left"/>
      <w:pPr>
        <w:tabs>
          <w:tab w:val="num" w:pos="5760"/>
        </w:tabs>
        <w:ind w:left="5760" w:hanging="360"/>
      </w:pPr>
      <w:rPr>
        <w:rFonts w:ascii="Times New Roman" w:hAnsi="Times New Roman" w:hint="default"/>
      </w:rPr>
    </w:lvl>
    <w:lvl w:ilvl="8" w:tplc="89EC9E94" w:tentative="1">
      <w:start w:val="1"/>
      <w:numFmt w:val="bullet"/>
      <w:lvlText w:val="•"/>
      <w:lvlJc w:val="left"/>
      <w:pPr>
        <w:tabs>
          <w:tab w:val="num" w:pos="6480"/>
        </w:tabs>
        <w:ind w:left="6480" w:hanging="360"/>
      </w:pPr>
      <w:rPr>
        <w:rFonts w:ascii="Times New Roman" w:hAnsi="Times New Roman" w:hint="default"/>
      </w:rPr>
    </w:lvl>
  </w:abstractNum>
  <w:abstractNum w:abstractNumId="109" w15:restartNumberingAfterBreak="0">
    <w:nsid w:val="7CC14F65"/>
    <w:multiLevelType w:val="hybridMultilevel"/>
    <w:tmpl w:val="70D8AEA6"/>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0" w15:restartNumberingAfterBreak="0">
    <w:nsid w:val="7D754DCC"/>
    <w:multiLevelType w:val="hybridMultilevel"/>
    <w:tmpl w:val="BBD8029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1" w15:restartNumberingAfterBreak="0">
    <w:nsid w:val="7E7C279B"/>
    <w:multiLevelType w:val="hybridMultilevel"/>
    <w:tmpl w:val="405A392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2" w15:restartNumberingAfterBreak="0">
    <w:nsid w:val="7F0B0F35"/>
    <w:multiLevelType w:val="hybridMultilevel"/>
    <w:tmpl w:val="40A21B6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947732485">
    <w:abstractNumId w:val="41"/>
  </w:num>
  <w:num w:numId="2" w16cid:durableId="1457142005">
    <w:abstractNumId w:val="103"/>
  </w:num>
  <w:num w:numId="3" w16cid:durableId="339967062">
    <w:abstractNumId w:val="45"/>
  </w:num>
  <w:num w:numId="4" w16cid:durableId="460928082">
    <w:abstractNumId w:val="60"/>
  </w:num>
  <w:num w:numId="5" w16cid:durableId="857045202">
    <w:abstractNumId w:val="87"/>
  </w:num>
  <w:num w:numId="6" w16cid:durableId="571702651">
    <w:abstractNumId w:val="81"/>
  </w:num>
  <w:num w:numId="7" w16cid:durableId="1867598578">
    <w:abstractNumId w:val="19"/>
  </w:num>
  <w:num w:numId="8" w16cid:durableId="2049915571">
    <w:abstractNumId w:val="101"/>
  </w:num>
  <w:num w:numId="9" w16cid:durableId="2071028137">
    <w:abstractNumId w:val="1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652374822">
    <w:abstractNumId w:val="51"/>
  </w:num>
  <w:num w:numId="11" w16cid:durableId="12534765">
    <w:abstractNumId w:val="61"/>
  </w:num>
  <w:num w:numId="12" w16cid:durableId="305941288">
    <w:abstractNumId w:val="7"/>
  </w:num>
  <w:num w:numId="13" w16cid:durableId="270822088">
    <w:abstractNumId w:val="64"/>
  </w:num>
  <w:num w:numId="14" w16cid:durableId="1979794948">
    <w:abstractNumId w:val="6"/>
  </w:num>
  <w:num w:numId="15" w16cid:durableId="706181232">
    <w:abstractNumId w:val="95"/>
  </w:num>
  <w:num w:numId="16" w16cid:durableId="2018117496">
    <w:abstractNumId w:val="67"/>
  </w:num>
  <w:num w:numId="17" w16cid:durableId="1739546935">
    <w:abstractNumId w:val="17"/>
  </w:num>
  <w:num w:numId="18" w16cid:durableId="2117285120">
    <w:abstractNumId w:val="55"/>
  </w:num>
  <w:num w:numId="19" w16cid:durableId="626278093">
    <w:abstractNumId w:val="14"/>
  </w:num>
  <w:num w:numId="20" w16cid:durableId="1000039194">
    <w:abstractNumId w:val="38"/>
  </w:num>
  <w:num w:numId="21" w16cid:durableId="1110512089">
    <w:abstractNumId w:val="18"/>
  </w:num>
  <w:num w:numId="22" w16cid:durableId="238908171">
    <w:abstractNumId w:val="52"/>
  </w:num>
  <w:num w:numId="23" w16cid:durableId="2146044999">
    <w:abstractNumId w:val="34"/>
  </w:num>
  <w:num w:numId="24" w16cid:durableId="2133357397">
    <w:abstractNumId w:val="50"/>
  </w:num>
  <w:num w:numId="25" w16cid:durableId="148987641">
    <w:abstractNumId w:val="21"/>
  </w:num>
  <w:num w:numId="26" w16cid:durableId="79565597">
    <w:abstractNumId w:val="1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340158871">
    <w:abstractNumId w:val="112"/>
  </w:num>
  <w:num w:numId="28" w16cid:durableId="323432932">
    <w:abstractNumId w:val="102"/>
  </w:num>
  <w:num w:numId="29" w16cid:durableId="974721493">
    <w:abstractNumId w:val="1"/>
  </w:num>
  <w:num w:numId="30" w16cid:durableId="489910389">
    <w:abstractNumId w:val="49"/>
  </w:num>
  <w:num w:numId="31" w16cid:durableId="639460204">
    <w:abstractNumId w:val="96"/>
  </w:num>
  <w:num w:numId="32" w16cid:durableId="20981640">
    <w:abstractNumId w:val="79"/>
  </w:num>
  <w:num w:numId="33" w16cid:durableId="1544056268">
    <w:abstractNumId w:val="85"/>
  </w:num>
  <w:num w:numId="34" w16cid:durableId="148910100">
    <w:abstractNumId w:val="1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886263355">
    <w:abstractNumId w:val="78"/>
  </w:num>
  <w:num w:numId="36" w16cid:durableId="1671133280">
    <w:abstractNumId w:val="31"/>
  </w:num>
  <w:num w:numId="37" w16cid:durableId="845052716">
    <w:abstractNumId w:val="40"/>
  </w:num>
  <w:num w:numId="38" w16cid:durableId="1764452751">
    <w:abstractNumId w:val="82"/>
  </w:num>
  <w:num w:numId="39" w16cid:durableId="204804666">
    <w:abstractNumId w:val="93"/>
  </w:num>
  <w:num w:numId="40" w16cid:durableId="1160656206">
    <w:abstractNumId w:val="1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1886485915">
    <w:abstractNumId w:val="1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1397512147">
    <w:abstractNumId w:val="1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039207090">
    <w:abstractNumId w:val="39"/>
  </w:num>
  <w:num w:numId="44" w16cid:durableId="1404452812">
    <w:abstractNumId w:val="75"/>
  </w:num>
  <w:num w:numId="45" w16cid:durableId="991300436">
    <w:abstractNumId w:val="2"/>
  </w:num>
  <w:num w:numId="46" w16cid:durableId="1367608624">
    <w:abstractNumId w:val="58"/>
  </w:num>
  <w:num w:numId="47" w16cid:durableId="110057790">
    <w:abstractNumId w:val="92"/>
  </w:num>
  <w:num w:numId="48" w16cid:durableId="1786844176">
    <w:abstractNumId w:val="83"/>
  </w:num>
  <w:num w:numId="49" w16cid:durableId="387843178">
    <w:abstractNumId w:val="3"/>
  </w:num>
  <w:num w:numId="50" w16cid:durableId="1296136931">
    <w:abstractNumId w:val="15"/>
  </w:num>
  <w:num w:numId="51" w16cid:durableId="1713651806">
    <w:abstractNumId w:val="100"/>
  </w:num>
  <w:num w:numId="52" w16cid:durableId="855772173">
    <w:abstractNumId w:val="105"/>
  </w:num>
  <w:num w:numId="53" w16cid:durableId="75516063">
    <w:abstractNumId w:val="54"/>
  </w:num>
  <w:num w:numId="54" w16cid:durableId="1301422752">
    <w:abstractNumId w:val="56"/>
  </w:num>
  <w:num w:numId="55" w16cid:durableId="1726905267">
    <w:abstractNumId w:val="97"/>
  </w:num>
  <w:num w:numId="56" w16cid:durableId="1443064917">
    <w:abstractNumId w:val="104"/>
  </w:num>
  <w:num w:numId="57" w16cid:durableId="589315486">
    <w:abstractNumId w:val="1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37902591">
    <w:abstractNumId w:val="1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1779596834">
    <w:abstractNumId w:val="1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995960324">
    <w:abstractNumId w:val="62"/>
  </w:num>
  <w:num w:numId="61" w16cid:durableId="722289216">
    <w:abstractNumId w:val="74"/>
  </w:num>
  <w:num w:numId="62" w16cid:durableId="1001473319">
    <w:abstractNumId w:val="44"/>
  </w:num>
  <w:num w:numId="63" w16cid:durableId="1629508618">
    <w:abstractNumId w:val="26"/>
  </w:num>
  <w:num w:numId="64" w16cid:durableId="2032796270">
    <w:abstractNumId w:val="48"/>
  </w:num>
  <w:num w:numId="65" w16cid:durableId="1306814304">
    <w:abstractNumId w:val="76"/>
  </w:num>
  <w:num w:numId="66" w16cid:durableId="976423171">
    <w:abstractNumId w:val="90"/>
  </w:num>
  <w:num w:numId="67" w16cid:durableId="213859214">
    <w:abstractNumId w:val="32"/>
  </w:num>
  <w:num w:numId="68" w16cid:durableId="2072074148">
    <w:abstractNumId w:val="20"/>
  </w:num>
  <w:num w:numId="69" w16cid:durableId="2076969261">
    <w:abstractNumId w:val="57"/>
  </w:num>
  <w:num w:numId="70" w16cid:durableId="2136483964">
    <w:abstractNumId w:val="47"/>
  </w:num>
  <w:num w:numId="71" w16cid:durableId="454562595">
    <w:abstractNumId w:val="27"/>
  </w:num>
  <w:num w:numId="72" w16cid:durableId="258683442">
    <w:abstractNumId w:val="42"/>
  </w:num>
  <w:num w:numId="73" w16cid:durableId="444926871">
    <w:abstractNumId w:val="86"/>
  </w:num>
  <w:num w:numId="74" w16cid:durableId="1668022673">
    <w:abstractNumId w:val="77"/>
  </w:num>
  <w:num w:numId="75" w16cid:durableId="2028289452">
    <w:abstractNumId w:val="5"/>
  </w:num>
  <w:num w:numId="76" w16cid:durableId="1022393710">
    <w:abstractNumId w:val="30"/>
  </w:num>
  <w:num w:numId="77" w16cid:durableId="1017461646">
    <w:abstractNumId w:val="10"/>
  </w:num>
  <w:num w:numId="78" w16cid:durableId="1956011650">
    <w:abstractNumId w:val="36"/>
  </w:num>
  <w:num w:numId="79" w16cid:durableId="2131392491">
    <w:abstractNumId w:val="110"/>
  </w:num>
  <w:num w:numId="80" w16cid:durableId="1283458989">
    <w:abstractNumId w:val="68"/>
  </w:num>
  <w:num w:numId="81" w16cid:durableId="2092969837">
    <w:abstractNumId w:val="43"/>
  </w:num>
  <w:num w:numId="82" w16cid:durableId="154076118">
    <w:abstractNumId w:val="22"/>
  </w:num>
  <w:num w:numId="83" w16cid:durableId="1756856315">
    <w:abstractNumId w:val="1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16cid:durableId="1180508629">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16cid:durableId="1058824348">
    <w:abstractNumId w:val="16"/>
  </w:num>
  <w:num w:numId="86" w16cid:durableId="1799838605">
    <w:abstractNumId w:val="0"/>
  </w:num>
  <w:num w:numId="87" w16cid:durableId="2077431851">
    <w:abstractNumId w:val="108"/>
  </w:num>
  <w:num w:numId="88" w16cid:durableId="656109381">
    <w:abstractNumId w:val="63"/>
  </w:num>
  <w:num w:numId="89" w16cid:durableId="1813475016">
    <w:abstractNumId w:val="9"/>
  </w:num>
  <w:num w:numId="90" w16cid:durableId="565991302">
    <w:abstractNumId w:val="91"/>
  </w:num>
  <w:num w:numId="91" w16cid:durableId="885262041">
    <w:abstractNumId w:val="1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16cid:durableId="2110539392">
    <w:abstractNumId w:val="53"/>
  </w:num>
  <w:num w:numId="93" w16cid:durableId="2107841929">
    <w:abstractNumId w:val="89"/>
  </w:num>
  <w:num w:numId="94" w16cid:durableId="917710949">
    <w:abstractNumId w:val="11"/>
  </w:num>
  <w:num w:numId="95" w16cid:durableId="1650674743">
    <w:abstractNumId w:val="37"/>
  </w:num>
  <w:num w:numId="96" w16cid:durableId="889683266">
    <w:abstractNumId w:val="46"/>
  </w:num>
  <w:num w:numId="97" w16cid:durableId="1210147348">
    <w:abstractNumId w:val="71"/>
  </w:num>
  <w:num w:numId="98" w16cid:durableId="1818914345">
    <w:abstractNumId w:val="29"/>
  </w:num>
  <w:num w:numId="99" w16cid:durableId="1732194684">
    <w:abstractNumId w:val="1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16cid:durableId="1010788910">
    <w:abstractNumId w:val="23"/>
  </w:num>
  <w:num w:numId="101" w16cid:durableId="1343970313">
    <w:abstractNumId w:val="106"/>
  </w:num>
  <w:num w:numId="102" w16cid:durableId="6253573">
    <w:abstractNumId w:val="12"/>
  </w:num>
  <w:num w:numId="103" w16cid:durableId="1512139206">
    <w:abstractNumId w:val="99"/>
  </w:num>
  <w:num w:numId="104" w16cid:durableId="152768019">
    <w:abstractNumId w:val="70"/>
  </w:num>
  <w:num w:numId="105" w16cid:durableId="1099065079">
    <w:abstractNumId w:val="13"/>
  </w:num>
  <w:num w:numId="106" w16cid:durableId="1304652121">
    <w:abstractNumId w:val="72"/>
  </w:num>
  <w:num w:numId="107" w16cid:durableId="513618477">
    <w:abstractNumId w:val="73"/>
  </w:num>
  <w:num w:numId="108" w16cid:durableId="371539832">
    <w:abstractNumId w:val="24"/>
  </w:num>
  <w:num w:numId="109" w16cid:durableId="406071182">
    <w:abstractNumId w:val="109"/>
  </w:num>
  <w:num w:numId="110" w16cid:durableId="1927690638">
    <w:abstractNumId w:val="28"/>
  </w:num>
  <w:num w:numId="111" w16cid:durableId="1956672402">
    <w:abstractNumId w:val="33"/>
  </w:num>
  <w:num w:numId="112" w16cid:durableId="75903522">
    <w:abstractNumId w:val="65"/>
  </w:num>
  <w:num w:numId="113" w16cid:durableId="1714039561">
    <w:abstractNumId w:val="8"/>
  </w:num>
  <w:num w:numId="114" w16cid:durableId="2141334761">
    <w:abstractNumId w:val="1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16cid:durableId="885219391">
    <w:abstractNumId w:val="4"/>
  </w:num>
  <w:num w:numId="116" w16cid:durableId="1136990886">
    <w:abstractNumId w:val="1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16cid:durableId="1437599742">
    <w:abstractNumId w:val="25"/>
  </w:num>
  <w:num w:numId="118" w16cid:durableId="770315056">
    <w:abstractNumId w:val="1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16cid:durableId="1623223252">
    <w:abstractNumId w:val="107"/>
  </w:num>
  <w:num w:numId="120" w16cid:durableId="1286814649">
    <w:abstractNumId w:val="59"/>
  </w:num>
  <w:num w:numId="121" w16cid:durableId="2085297126">
    <w:abstractNumId w:val="94"/>
  </w:num>
  <w:num w:numId="122" w16cid:durableId="446043328">
    <w:abstractNumId w:val="80"/>
  </w:num>
  <w:num w:numId="123" w16cid:durableId="1303580554">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 w16cid:durableId="1079407724">
    <w:abstractNumId w:val="98"/>
  </w:num>
  <w:num w:numId="125" w16cid:durableId="1959876789">
    <w:abstractNumId w:val="35"/>
  </w:num>
  <w:num w:numId="126" w16cid:durableId="536435679">
    <w:abstractNumId w:val="1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7" w16cid:durableId="756439038">
    <w:abstractNumId w:val="69"/>
  </w:num>
  <w:num w:numId="128" w16cid:durableId="868685169">
    <w:abstractNumId w:val="88"/>
  </w:num>
  <w:num w:numId="129" w16cid:durableId="968360063">
    <w:abstractNumId w:val="1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0" w16cid:durableId="2061705166">
    <w:abstractNumId w:val="84"/>
  </w:num>
  <w:num w:numId="131" w16cid:durableId="1630621419">
    <w:abstractNumId w:val="111"/>
  </w:num>
  <w:num w:numId="132" w16cid:durableId="381027591">
    <w:abstractNumId w:val="1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70D95"/>
    <w:rsid w:val="00000A55"/>
    <w:rsid w:val="0000101B"/>
    <w:rsid w:val="000025AE"/>
    <w:rsid w:val="000029C9"/>
    <w:rsid w:val="00003B90"/>
    <w:rsid w:val="00003E7A"/>
    <w:rsid w:val="00004C56"/>
    <w:rsid w:val="00005B74"/>
    <w:rsid w:val="00007664"/>
    <w:rsid w:val="0000766B"/>
    <w:rsid w:val="00007A24"/>
    <w:rsid w:val="00007E7F"/>
    <w:rsid w:val="00011A56"/>
    <w:rsid w:val="00011C64"/>
    <w:rsid w:val="00012504"/>
    <w:rsid w:val="000128B2"/>
    <w:rsid w:val="00012C1E"/>
    <w:rsid w:val="00012DFC"/>
    <w:rsid w:val="000153DB"/>
    <w:rsid w:val="0001564C"/>
    <w:rsid w:val="00015F2E"/>
    <w:rsid w:val="000167BC"/>
    <w:rsid w:val="000170B4"/>
    <w:rsid w:val="00017FE1"/>
    <w:rsid w:val="000204A5"/>
    <w:rsid w:val="00022B13"/>
    <w:rsid w:val="00022BD2"/>
    <w:rsid w:val="00023B13"/>
    <w:rsid w:val="0002408A"/>
    <w:rsid w:val="000248A6"/>
    <w:rsid w:val="00026520"/>
    <w:rsid w:val="00026698"/>
    <w:rsid w:val="00026AC3"/>
    <w:rsid w:val="00027787"/>
    <w:rsid w:val="00027D48"/>
    <w:rsid w:val="00027F55"/>
    <w:rsid w:val="00034A83"/>
    <w:rsid w:val="00034AB0"/>
    <w:rsid w:val="00036095"/>
    <w:rsid w:val="00037B50"/>
    <w:rsid w:val="00040581"/>
    <w:rsid w:val="00040C18"/>
    <w:rsid w:val="00040CDF"/>
    <w:rsid w:val="000420E8"/>
    <w:rsid w:val="0004289F"/>
    <w:rsid w:val="00042D7F"/>
    <w:rsid w:val="00043648"/>
    <w:rsid w:val="00043F3B"/>
    <w:rsid w:val="00044015"/>
    <w:rsid w:val="000442F8"/>
    <w:rsid w:val="00044676"/>
    <w:rsid w:val="00044823"/>
    <w:rsid w:val="00045B22"/>
    <w:rsid w:val="000464AE"/>
    <w:rsid w:val="00046564"/>
    <w:rsid w:val="0005185F"/>
    <w:rsid w:val="00051AB4"/>
    <w:rsid w:val="00053942"/>
    <w:rsid w:val="000558C2"/>
    <w:rsid w:val="00056612"/>
    <w:rsid w:val="00057325"/>
    <w:rsid w:val="00060577"/>
    <w:rsid w:val="00063A1D"/>
    <w:rsid w:val="00063BE6"/>
    <w:rsid w:val="00065B9C"/>
    <w:rsid w:val="000666E5"/>
    <w:rsid w:val="000676A1"/>
    <w:rsid w:val="00070026"/>
    <w:rsid w:val="000704DA"/>
    <w:rsid w:val="00071EEC"/>
    <w:rsid w:val="00071F79"/>
    <w:rsid w:val="000734F6"/>
    <w:rsid w:val="00074F01"/>
    <w:rsid w:val="0007523A"/>
    <w:rsid w:val="00076D1C"/>
    <w:rsid w:val="0007791E"/>
    <w:rsid w:val="00082D9B"/>
    <w:rsid w:val="00084E5E"/>
    <w:rsid w:val="00085503"/>
    <w:rsid w:val="00086E1F"/>
    <w:rsid w:val="00094A9C"/>
    <w:rsid w:val="000951C4"/>
    <w:rsid w:val="00095466"/>
    <w:rsid w:val="00096E9A"/>
    <w:rsid w:val="000A028B"/>
    <w:rsid w:val="000A09A2"/>
    <w:rsid w:val="000A09DA"/>
    <w:rsid w:val="000A1863"/>
    <w:rsid w:val="000A1AAF"/>
    <w:rsid w:val="000A22D6"/>
    <w:rsid w:val="000A2927"/>
    <w:rsid w:val="000A4340"/>
    <w:rsid w:val="000A66F7"/>
    <w:rsid w:val="000A7B5E"/>
    <w:rsid w:val="000B0AE7"/>
    <w:rsid w:val="000B0CE2"/>
    <w:rsid w:val="000B3520"/>
    <w:rsid w:val="000B485F"/>
    <w:rsid w:val="000B5F54"/>
    <w:rsid w:val="000B630B"/>
    <w:rsid w:val="000B687E"/>
    <w:rsid w:val="000B700A"/>
    <w:rsid w:val="000B73C7"/>
    <w:rsid w:val="000C082E"/>
    <w:rsid w:val="000C2499"/>
    <w:rsid w:val="000C401D"/>
    <w:rsid w:val="000C4481"/>
    <w:rsid w:val="000C4D3A"/>
    <w:rsid w:val="000C79E6"/>
    <w:rsid w:val="000C7DAF"/>
    <w:rsid w:val="000D1134"/>
    <w:rsid w:val="000D2D46"/>
    <w:rsid w:val="000D46A7"/>
    <w:rsid w:val="000D5930"/>
    <w:rsid w:val="000D594B"/>
    <w:rsid w:val="000D5B5A"/>
    <w:rsid w:val="000E06F9"/>
    <w:rsid w:val="000E091C"/>
    <w:rsid w:val="000E09E2"/>
    <w:rsid w:val="000E2A44"/>
    <w:rsid w:val="000E2D1B"/>
    <w:rsid w:val="000E462C"/>
    <w:rsid w:val="000E4F8A"/>
    <w:rsid w:val="000E50D5"/>
    <w:rsid w:val="000E5ADE"/>
    <w:rsid w:val="000E60FE"/>
    <w:rsid w:val="000E668B"/>
    <w:rsid w:val="000E6F46"/>
    <w:rsid w:val="000E72DF"/>
    <w:rsid w:val="000E7BE8"/>
    <w:rsid w:val="000F0082"/>
    <w:rsid w:val="000F1DF5"/>
    <w:rsid w:val="000F1EC0"/>
    <w:rsid w:val="000F225B"/>
    <w:rsid w:val="000F322C"/>
    <w:rsid w:val="000F398A"/>
    <w:rsid w:val="000F4D22"/>
    <w:rsid w:val="000F4FF4"/>
    <w:rsid w:val="000F79A0"/>
    <w:rsid w:val="000F7DA2"/>
    <w:rsid w:val="000F7F6B"/>
    <w:rsid w:val="001001BC"/>
    <w:rsid w:val="001006D9"/>
    <w:rsid w:val="0010125D"/>
    <w:rsid w:val="0010132C"/>
    <w:rsid w:val="00102965"/>
    <w:rsid w:val="0010374B"/>
    <w:rsid w:val="00103ABB"/>
    <w:rsid w:val="001049E0"/>
    <w:rsid w:val="00105AF8"/>
    <w:rsid w:val="001067B7"/>
    <w:rsid w:val="00106F5B"/>
    <w:rsid w:val="0010796F"/>
    <w:rsid w:val="00107C5F"/>
    <w:rsid w:val="00110464"/>
    <w:rsid w:val="0011098B"/>
    <w:rsid w:val="00113030"/>
    <w:rsid w:val="00113989"/>
    <w:rsid w:val="0011497E"/>
    <w:rsid w:val="00115663"/>
    <w:rsid w:val="00116EFA"/>
    <w:rsid w:val="00122387"/>
    <w:rsid w:val="0012289D"/>
    <w:rsid w:val="00123872"/>
    <w:rsid w:val="0012412B"/>
    <w:rsid w:val="00124C41"/>
    <w:rsid w:val="00125C62"/>
    <w:rsid w:val="00125E6F"/>
    <w:rsid w:val="001263E2"/>
    <w:rsid w:val="00126DB8"/>
    <w:rsid w:val="00130C9E"/>
    <w:rsid w:val="00132437"/>
    <w:rsid w:val="00132DCB"/>
    <w:rsid w:val="00133487"/>
    <w:rsid w:val="0013437B"/>
    <w:rsid w:val="00134A85"/>
    <w:rsid w:val="00134CDE"/>
    <w:rsid w:val="00135229"/>
    <w:rsid w:val="00135B17"/>
    <w:rsid w:val="00136968"/>
    <w:rsid w:val="00136EC1"/>
    <w:rsid w:val="001406AF"/>
    <w:rsid w:val="00140E9A"/>
    <w:rsid w:val="00140EDB"/>
    <w:rsid w:val="00142398"/>
    <w:rsid w:val="00142D92"/>
    <w:rsid w:val="0014309D"/>
    <w:rsid w:val="001431AA"/>
    <w:rsid w:val="00143F01"/>
    <w:rsid w:val="00144C3A"/>
    <w:rsid w:val="00145ABB"/>
    <w:rsid w:val="00147C6F"/>
    <w:rsid w:val="001505E5"/>
    <w:rsid w:val="001528F3"/>
    <w:rsid w:val="001529BE"/>
    <w:rsid w:val="00154AE1"/>
    <w:rsid w:val="00154D7F"/>
    <w:rsid w:val="00154F8D"/>
    <w:rsid w:val="001552AD"/>
    <w:rsid w:val="0015583F"/>
    <w:rsid w:val="00155915"/>
    <w:rsid w:val="001562F1"/>
    <w:rsid w:val="0015775E"/>
    <w:rsid w:val="00157ADC"/>
    <w:rsid w:val="00157F7B"/>
    <w:rsid w:val="00160CE7"/>
    <w:rsid w:val="0016131C"/>
    <w:rsid w:val="00162E18"/>
    <w:rsid w:val="001633FC"/>
    <w:rsid w:val="00163E3E"/>
    <w:rsid w:val="001640D6"/>
    <w:rsid w:val="0016436B"/>
    <w:rsid w:val="001645B6"/>
    <w:rsid w:val="0016575E"/>
    <w:rsid w:val="00165C10"/>
    <w:rsid w:val="00165C89"/>
    <w:rsid w:val="001660D9"/>
    <w:rsid w:val="00166B7F"/>
    <w:rsid w:val="00167198"/>
    <w:rsid w:val="00167DAD"/>
    <w:rsid w:val="00167E1D"/>
    <w:rsid w:val="0017084C"/>
    <w:rsid w:val="00172B09"/>
    <w:rsid w:val="00172F03"/>
    <w:rsid w:val="00173230"/>
    <w:rsid w:val="00173E95"/>
    <w:rsid w:val="00175663"/>
    <w:rsid w:val="001765FA"/>
    <w:rsid w:val="00176E8A"/>
    <w:rsid w:val="00180682"/>
    <w:rsid w:val="00180F29"/>
    <w:rsid w:val="00182753"/>
    <w:rsid w:val="00182D75"/>
    <w:rsid w:val="00183AC7"/>
    <w:rsid w:val="001841A9"/>
    <w:rsid w:val="0018527A"/>
    <w:rsid w:val="00185901"/>
    <w:rsid w:val="00186F13"/>
    <w:rsid w:val="00187111"/>
    <w:rsid w:val="00187C57"/>
    <w:rsid w:val="00187F27"/>
    <w:rsid w:val="0019274A"/>
    <w:rsid w:val="00193210"/>
    <w:rsid w:val="001974CE"/>
    <w:rsid w:val="001A0DD0"/>
    <w:rsid w:val="001A2288"/>
    <w:rsid w:val="001A26A0"/>
    <w:rsid w:val="001A2781"/>
    <w:rsid w:val="001A29E9"/>
    <w:rsid w:val="001A2D67"/>
    <w:rsid w:val="001A3183"/>
    <w:rsid w:val="001A379B"/>
    <w:rsid w:val="001A590D"/>
    <w:rsid w:val="001A6AE2"/>
    <w:rsid w:val="001A78A3"/>
    <w:rsid w:val="001A7B40"/>
    <w:rsid w:val="001B56D5"/>
    <w:rsid w:val="001B75FC"/>
    <w:rsid w:val="001B7EB9"/>
    <w:rsid w:val="001C02E5"/>
    <w:rsid w:val="001C0511"/>
    <w:rsid w:val="001C0943"/>
    <w:rsid w:val="001C5653"/>
    <w:rsid w:val="001C6916"/>
    <w:rsid w:val="001C6F1B"/>
    <w:rsid w:val="001D00A0"/>
    <w:rsid w:val="001D00B4"/>
    <w:rsid w:val="001D1B2F"/>
    <w:rsid w:val="001D240C"/>
    <w:rsid w:val="001D406C"/>
    <w:rsid w:val="001D536A"/>
    <w:rsid w:val="001D57D7"/>
    <w:rsid w:val="001D5C03"/>
    <w:rsid w:val="001D7605"/>
    <w:rsid w:val="001E0092"/>
    <w:rsid w:val="001E0C84"/>
    <w:rsid w:val="001E244A"/>
    <w:rsid w:val="001E2AA9"/>
    <w:rsid w:val="001E326A"/>
    <w:rsid w:val="001E37B8"/>
    <w:rsid w:val="001E55BA"/>
    <w:rsid w:val="001E64EC"/>
    <w:rsid w:val="001E70AF"/>
    <w:rsid w:val="001E7E6E"/>
    <w:rsid w:val="001F0174"/>
    <w:rsid w:val="001F1129"/>
    <w:rsid w:val="001F13C7"/>
    <w:rsid w:val="001F320F"/>
    <w:rsid w:val="001F3581"/>
    <w:rsid w:val="001F37A8"/>
    <w:rsid w:val="001F4252"/>
    <w:rsid w:val="001F6F9B"/>
    <w:rsid w:val="001F77B2"/>
    <w:rsid w:val="001F79EE"/>
    <w:rsid w:val="00200023"/>
    <w:rsid w:val="00200158"/>
    <w:rsid w:val="00201CDC"/>
    <w:rsid w:val="00202603"/>
    <w:rsid w:val="00203C82"/>
    <w:rsid w:val="00204B7B"/>
    <w:rsid w:val="00204BCC"/>
    <w:rsid w:val="00204C2D"/>
    <w:rsid w:val="00204EB0"/>
    <w:rsid w:val="00205021"/>
    <w:rsid w:val="00210877"/>
    <w:rsid w:val="00210DCC"/>
    <w:rsid w:val="00211EF6"/>
    <w:rsid w:val="00212FDE"/>
    <w:rsid w:val="00213772"/>
    <w:rsid w:val="00213AED"/>
    <w:rsid w:val="00214236"/>
    <w:rsid w:val="00216052"/>
    <w:rsid w:val="0022016D"/>
    <w:rsid w:val="002202D9"/>
    <w:rsid w:val="00220693"/>
    <w:rsid w:val="00221217"/>
    <w:rsid w:val="00221688"/>
    <w:rsid w:val="0022482E"/>
    <w:rsid w:val="00224941"/>
    <w:rsid w:val="00224D3F"/>
    <w:rsid w:val="00224E0F"/>
    <w:rsid w:val="00225EF3"/>
    <w:rsid w:val="00226388"/>
    <w:rsid w:val="002302E9"/>
    <w:rsid w:val="00230BED"/>
    <w:rsid w:val="002319B2"/>
    <w:rsid w:val="00231B39"/>
    <w:rsid w:val="00231C3F"/>
    <w:rsid w:val="00232BBE"/>
    <w:rsid w:val="00233603"/>
    <w:rsid w:val="002353E9"/>
    <w:rsid w:val="0023586F"/>
    <w:rsid w:val="00236FCF"/>
    <w:rsid w:val="0023759B"/>
    <w:rsid w:val="00240CEB"/>
    <w:rsid w:val="00240D30"/>
    <w:rsid w:val="00241B78"/>
    <w:rsid w:val="002458D9"/>
    <w:rsid w:val="00250178"/>
    <w:rsid w:val="00250DA1"/>
    <w:rsid w:val="002516D3"/>
    <w:rsid w:val="00253168"/>
    <w:rsid w:val="00253750"/>
    <w:rsid w:val="002548F4"/>
    <w:rsid w:val="002558DF"/>
    <w:rsid w:val="00257870"/>
    <w:rsid w:val="00257DCF"/>
    <w:rsid w:val="002600D3"/>
    <w:rsid w:val="00260250"/>
    <w:rsid w:val="00261AC4"/>
    <w:rsid w:val="002627AD"/>
    <w:rsid w:val="00262F3A"/>
    <w:rsid w:val="0026313C"/>
    <w:rsid w:val="002638E3"/>
    <w:rsid w:val="00265844"/>
    <w:rsid w:val="00266ECD"/>
    <w:rsid w:val="002672DF"/>
    <w:rsid w:val="0026779D"/>
    <w:rsid w:val="00267FBD"/>
    <w:rsid w:val="002719BD"/>
    <w:rsid w:val="00271BEB"/>
    <w:rsid w:val="00272035"/>
    <w:rsid w:val="0027265C"/>
    <w:rsid w:val="00272EF6"/>
    <w:rsid w:val="00273FE2"/>
    <w:rsid w:val="00274556"/>
    <w:rsid w:val="002770D8"/>
    <w:rsid w:val="002809DE"/>
    <w:rsid w:val="00281BC4"/>
    <w:rsid w:val="002820DA"/>
    <w:rsid w:val="00282800"/>
    <w:rsid w:val="00283CA3"/>
    <w:rsid w:val="00285BC7"/>
    <w:rsid w:val="00286469"/>
    <w:rsid w:val="00287048"/>
    <w:rsid w:val="002917F9"/>
    <w:rsid w:val="0029458E"/>
    <w:rsid w:val="002949A3"/>
    <w:rsid w:val="00296B70"/>
    <w:rsid w:val="002976FB"/>
    <w:rsid w:val="002A0E06"/>
    <w:rsid w:val="002A20E4"/>
    <w:rsid w:val="002A33F9"/>
    <w:rsid w:val="002A4448"/>
    <w:rsid w:val="002A44DB"/>
    <w:rsid w:val="002A5673"/>
    <w:rsid w:val="002A695A"/>
    <w:rsid w:val="002A6A93"/>
    <w:rsid w:val="002A7342"/>
    <w:rsid w:val="002B01E7"/>
    <w:rsid w:val="002B0855"/>
    <w:rsid w:val="002B0EA7"/>
    <w:rsid w:val="002B1519"/>
    <w:rsid w:val="002B2479"/>
    <w:rsid w:val="002B306F"/>
    <w:rsid w:val="002B7BBA"/>
    <w:rsid w:val="002B7DCD"/>
    <w:rsid w:val="002C0097"/>
    <w:rsid w:val="002C1AD7"/>
    <w:rsid w:val="002C1C2E"/>
    <w:rsid w:val="002C2226"/>
    <w:rsid w:val="002C2F78"/>
    <w:rsid w:val="002C5A8B"/>
    <w:rsid w:val="002C7013"/>
    <w:rsid w:val="002C7BC4"/>
    <w:rsid w:val="002D037E"/>
    <w:rsid w:val="002D09ED"/>
    <w:rsid w:val="002D247C"/>
    <w:rsid w:val="002D2DA5"/>
    <w:rsid w:val="002D31D1"/>
    <w:rsid w:val="002D32D4"/>
    <w:rsid w:val="002D4F6E"/>
    <w:rsid w:val="002E01BB"/>
    <w:rsid w:val="002E0262"/>
    <w:rsid w:val="002E0298"/>
    <w:rsid w:val="002E0351"/>
    <w:rsid w:val="002E0A47"/>
    <w:rsid w:val="002E0EBE"/>
    <w:rsid w:val="002E0FD9"/>
    <w:rsid w:val="002E198E"/>
    <w:rsid w:val="002E26CB"/>
    <w:rsid w:val="002E2826"/>
    <w:rsid w:val="002E2EEC"/>
    <w:rsid w:val="002E3CC3"/>
    <w:rsid w:val="002E3E92"/>
    <w:rsid w:val="002E443D"/>
    <w:rsid w:val="002E46EF"/>
    <w:rsid w:val="002E5714"/>
    <w:rsid w:val="002F055B"/>
    <w:rsid w:val="002F1316"/>
    <w:rsid w:val="002F1CD6"/>
    <w:rsid w:val="002F1E2D"/>
    <w:rsid w:val="002F3DA7"/>
    <w:rsid w:val="002F41F9"/>
    <w:rsid w:val="002F4554"/>
    <w:rsid w:val="002F45E6"/>
    <w:rsid w:val="002F5450"/>
    <w:rsid w:val="002F63C8"/>
    <w:rsid w:val="002F6489"/>
    <w:rsid w:val="002F6EB9"/>
    <w:rsid w:val="002F7263"/>
    <w:rsid w:val="002F7D69"/>
    <w:rsid w:val="0030029C"/>
    <w:rsid w:val="00300E5E"/>
    <w:rsid w:val="00301604"/>
    <w:rsid w:val="00304D22"/>
    <w:rsid w:val="0030591D"/>
    <w:rsid w:val="00306184"/>
    <w:rsid w:val="0030620F"/>
    <w:rsid w:val="003063DA"/>
    <w:rsid w:val="00306B64"/>
    <w:rsid w:val="003107B7"/>
    <w:rsid w:val="0031093E"/>
    <w:rsid w:val="00310A0F"/>
    <w:rsid w:val="00310F02"/>
    <w:rsid w:val="00311A81"/>
    <w:rsid w:val="0031251F"/>
    <w:rsid w:val="00314B2D"/>
    <w:rsid w:val="00315DB0"/>
    <w:rsid w:val="00316E52"/>
    <w:rsid w:val="0031711F"/>
    <w:rsid w:val="00317687"/>
    <w:rsid w:val="00317894"/>
    <w:rsid w:val="00317A2C"/>
    <w:rsid w:val="00320681"/>
    <w:rsid w:val="00321BDC"/>
    <w:rsid w:val="00322369"/>
    <w:rsid w:val="00323582"/>
    <w:rsid w:val="00323B20"/>
    <w:rsid w:val="00323C6C"/>
    <w:rsid w:val="003250C5"/>
    <w:rsid w:val="003256AA"/>
    <w:rsid w:val="00327850"/>
    <w:rsid w:val="00327B46"/>
    <w:rsid w:val="00333685"/>
    <w:rsid w:val="0033630A"/>
    <w:rsid w:val="003377FF"/>
    <w:rsid w:val="00337F25"/>
    <w:rsid w:val="0034287A"/>
    <w:rsid w:val="00342B24"/>
    <w:rsid w:val="00342FF3"/>
    <w:rsid w:val="003432E1"/>
    <w:rsid w:val="00343A4E"/>
    <w:rsid w:val="003441F9"/>
    <w:rsid w:val="003444B8"/>
    <w:rsid w:val="00344E65"/>
    <w:rsid w:val="003454B1"/>
    <w:rsid w:val="0034556F"/>
    <w:rsid w:val="0034575C"/>
    <w:rsid w:val="00345AB7"/>
    <w:rsid w:val="00346DD5"/>
    <w:rsid w:val="00347156"/>
    <w:rsid w:val="00347D4B"/>
    <w:rsid w:val="00351237"/>
    <w:rsid w:val="00351CA5"/>
    <w:rsid w:val="0035232A"/>
    <w:rsid w:val="0035282F"/>
    <w:rsid w:val="003529F6"/>
    <w:rsid w:val="00354656"/>
    <w:rsid w:val="00355985"/>
    <w:rsid w:val="00356847"/>
    <w:rsid w:val="00361DD2"/>
    <w:rsid w:val="003623B2"/>
    <w:rsid w:val="00364E31"/>
    <w:rsid w:val="00365872"/>
    <w:rsid w:val="0036705B"/>
    <w:rsid w:val="0036767E"/>
    <w:rsid w:val="0036786B"/>
    <w:rsid w:val="0037110C"/>
    <w:rsid w:val="00372002"/>
    <w:rsid w:val="0037287A"/>
    <w:rsid w:val="00374600"/>
    <w:rsid w:val="00374DAA"/>
    <w:rsid w:val="00375ACE"/>
    <w:rsid w:val="00375F3D"/>
    <w:rsid w:val="003777BC"/>
    <w:rsid w:val="003802AD"/>
    <w:rsid w:val="00380681"/>
    <w:rsid w:val="00381792"/>
    <w:rsid w:val="0038492C"/>
    <w:rsid w:val="0038507A"/>
    <w:rsid w:val="003874BA"/>
    <w:rsid w:val="003904B5"/>
    <w:rsid w:val="00390684"/>
    <w:rsid w:val="00390744"/>
    <w:rsid w:val="00390E18"/>
    <w:rsid w:val="00394309"/>
    <w:rsid w:val="003958BD"/>
    <w:rsid w:val="00395E2E"/>
    <w:rsid w:val="00396088"/>
    <w:rsid w:val="00396FFF"/>
    <w:rsid w:val="00397487"/>
    <w:rsid w:val="00397AAB"/>
    <w:rsid w:val="003A0114"/>
    <w:rsid w:val="003A0474"/>
    <w:rsid w:val="003A241D"/>
    <w:rsid w:val="003A4691"/>
    <w:rsid w:val="003B0561"/>
    <w:rsid w:val="003B0B44"/>
    <w:rsid w:val="003B1530"/>
    <w:rsid w:val="003B15DC"/>
    <w:rsid w:val="003B2718"/>
    <w:rsid w:val="003B354C"/>
    <w:rsid w:val="003B5A93"/>
    <w:rsid w:val="003B62F6"/>
    <w:rsid w:val="003B72CB"/>
    <w:rsid w:val="003C0303"/>
    <w:rsid w:val="003C103F"/>
    <w:rsid w:val="003C2896"/>
    <w:rsid w:val="003C368C"/>
    <w:rsid w:val="003C3772"/>
    <w:rsid w:val="003C54E0"/>
    <w:rsid w:val="003C5957"/>
    <w:rsid w:val="003C6445"/>
    <w:rsid w:val="003C749C"/>
    <w:rsid w:val="003C7989"/>
    <w:rsid w:val="003C7FF1"/>
    <w:rsid w:val="003D3FB7"/>
    <w:rsid w:val="003D6408"/>
    <w:rsid w:val="003D65D0"/>
    <w:rsid w:val="003E081E"/>
    <w:rsid w:val="003E09DE"/>
    <w:rsid w:val="003E1894"/>
    <w:rsid w:val="003E1928"/>
    <w:rsid w:val="003E2257"/>
    <w:rsid w:val="003E2499"/>
    <w:rsid w:val="003E299C"/>
    <w:rsid w:val="003E332E"/>
    <w:rsid w:val="003E341F"/>
    <w:rsid w:val="003E4B71"/>
    <w:rsid w:val="003E58D9"/>
    <w:rsid w:val="003E5C2E"/>
    <w:rsid w:val="003E7A25"/>
    <w:rsid w:val="003F04A8"/>
    <w:rsid w:val="003F05C3"/>
    <w:rsid w:val="003F1529"/>
    <w:rsid w:val="003F2033"/>
    <w:rsid w:val="003F23AC"/>
    <w:rsid w:val="003F2A69"/>
    <w:rsid w:val="003F3DEC"/>
    <w:rsid w:val="003F55CA"/>
    <w:rsid w:val="003F5F30"/>
    <w:rsid w:val="003F6EA2"/>
    <w:rsid w:val="003F794C"/>
    <w:rsid w:val="003F7FED"/>
    <w:rsid w:val="004003C3"/>
    <w:rsid w:val="00401403"/>
    <w:rsid w:val="004014B7"/>
    <w:rsid w:val="00402597"/>
    <w:rsid w:val="00403EF6"/>
    <w:rsid w:val="00405996"/>
    <w:rsid w:val="00405A6D"/>
    <w:rsid w:val="00405E91"/>
    <w:rsid w:val="00406C0F"/>
    <w:rsid w:val="00407060"/>
    <w:rsid w:val="004071F0"/>
    <w:rsid w:val="00410454"/>
    <w:rsid w:val="00411177"/>
    <w:rsid w:val="00411F84"/>
    <w:rsid w:val="00412DA3"/>
    <w:rsid w:val="00412DFB"/>
    <w:rsid w:val="00412E8C"/>
    <w:rsid w:val="00413073"/>
    <w:rsid w:val="00415AF7"/>
    <w:rsid w:val="00415BD6"/>
    <w:rsid w:val="00416EDC"/>
    <w:rsid w:val="00417232"/>
    <w:rsid w:val="00417A3B"/>
    <w:rsid w:val="004201B5"/>
    <w:rsid w:val="00420F58"/>
    <w:rsid w:val="004219A4"/>
    <w:rsid w:val="00422A6F"/>
    <w:rsid w:val="004233D7"/>
    <w:rsid w:val="00424AAC"/>
    <w:rsid w:val="00424E2B"/>
    <w:rsid w:val="00424E99"/>
    <w:rsid w:val="004255D7"/>
    <w:rsid w:val="0042758B"/>
    <w:rsid w:val="004276CB"/>
    <w:rsid w:val="00427E66"/>
    <w:rsid w:val="0043018A"/>
    <w:rsid w:val="00431464"/>
    <w:rsid w:val="00431A49"/>
    <w:rsid w:val="00434612"/>
    <w:rsid w:val="00435BD8"/>
    <w:rsid w:val="004363FC"/>
    <w:rsid w:val="004367F8"/>
    <w:rsid w:val="00436A6A"/>
    <w:rsid w:val="0044291A"/>
    <w:rsid w:val="004448D6"/>
    <w:rsid w:val="00445AB4"/>
    <w:rsid w:val="00446B19"/>
    <w:rsid w:val="00452037"/>
    <w:rsid w:val="004523BB"/>
    <w:rsid w:val="00453376"/>
    <w:rsid w:val="00453814"/>
    <w:rsid w:val="00454427"/>
    <w:rsid w:val="00455C7E"/>
    <w:rsid w:val="0045638C"/>
    <w:rsid w:val="004573E0"/>
    <w:rsid w:val="0046111D"/>
    <w:rsid w:val="0046182B"/>
    <w:rsid w:val="00461975"/>
    <w:rsid w:val="00461F2A"/>
    <w:rsid w:val="00462373"/>
    <w:rsid w:val="004624BF"/>
    <w:rsid w:val="0046297B"/>
    <w:rsid w:val="00463E4F"/>
    <w:rsid w:val="0046532C"/>
    <w:rsid w:val="00465BE1"/>
    <w:rsid w:val="00466020"/>
    <w:rsid w:val="0046679D"/>
    <w:rsid w:val="00467CD7"/>
    <w:rsid w:val="004708D6"/>
    <w:rsid w:val="00470E76"/>
    <w:rsid w:val="004710A1"/>
    <w:rsid w:val="00472B3D"/>
    <w:rsid w:val="00473268"/>
    <w:rsid w:val="00473390"/>
    <w:rsid w:val="0047412A"/>
    <w:rsid w:val="00475130"/>
    <w:rsid w:val="00475AFC"/>
    <w:rsid w:val="0047651B"/>
    <w:rsid w:val="0047751E"/>
    <w:rsid w:val="00477D9C"/>
    <w:rsid w:val="00481D74"/>
    <w:rsid w:val="00482849"/>
    <w:rsid w:val="004832F0"/>
    <w:rsid w:val="004841D8"/>
    <w:rsid w:val="0048456A"/>
    <w:rsid w:val="00485EE0"/>
    <w:rsid w:val="00486F92"/>
    <w:rsid w:val="00487552"/>
    <w:rsid w:val="004906F1"/>
    <w:rsid w:val="00490982"/>
    <w:rsid w:val="00490A21"/>
    <w:rsid w:val="00490DF3"/>
    <w:rsid w:val="00491070"/>
    <w:rsid w:val="004910D9"/>
    <w:rsid w:val="00491BC0"/>
    <w:rsid w:val="004921CC"/>
    <w:rsid w:val="00492625"/>
    <w:rsid w:val="00493ABE"/>
    <w:rsid w:val="00494305"/>
    <w:rsid w:val="00496D00"/>
    <w:rsid w:val="00497409"/>
    <w:rsid w:val="004A07E7"/>
    <w:rsid w:val="004A0BD4"/>
    <w:rsid w:val="004A15EB"/>
    <w:rsid w:val="004A1774"/>
    <w:rsid w:val="004A1E64"/>
    <w:rsid w:val="004A328D"/>
    <w:rsid w:val="004A503C"/>
    <w:rsid w:val="004A5213"/>
    <w:rsid w:val="004A5725"/>
    <w:rsid w:val="004A572C"/>
    <w:rsid w:val="004A63E1"/>
    <w:rsid w:val="004A73B2"/>
    <w:rsid w:val="004A7E7F"/>
    <w:rsid w:val="004B348B"/>
    <w:rsid w:val="004B777D"/>
    <w:rsid w:val="004C01A7"/>
    <w:rsid w:val="004C0A51"/>
    <w:rsid w:val="004C0D35"/>
    <w:rsid w:val="004C289D"/>
    <w:rsid w:val="004C2A01"/>
    <w:rsid w:val="004C46B2"/>
    <w:rsid w:val="004C522F"/>
    <w:rsid w:val="004C532E"/>
    <w:rsid w:val="004C58D1"/>
    <w:rsid w:val="004C69A7"/>
    <w:rsid w:val="004C7515"/>
    <w:rsid w:val="004D29E8"/>
    <w:rsid w:val="004D4183"/>
    <w:rsid w:val="004D4AED"/>
    <w:rsid w:val="004D727B"/>
    <w:rsid w:val="004D72CC"/>
    <w:rsid w:val="004D7A6D"/>
    <w:rsid w:val="004D7B96"/>
    <w:rsid w:val="004E0569"/>
    <w:rsid w:val="004E110F"/>
    <w:rsid w:val="004E1D1E"/>
    <w:rsid w:val="004E325E"/>
    <w:rsid w:val="004E4728"/>
    <w:rsid w:val="004E5E2B"/>
    <w:rsid w:val="004E6569"/>
    <w:rsid w:val="004E69D7"/>
    <w:rsid w:val="004E6D72"/>
    <w:rsid w:val="004E7788"/>
    <w:rsid w:val="004F05A8"/>
    <w:rsid w:val="004F0C6E"/>
    <w:rsid w:val="004F0C9A"/>
    <w:rsid w:val="004F19B2"/>
    <w:rsid w:val="004F19BD"/>
    <w:rsid w:val="004F1C73"/>
    <w:rsid w:val="004F2EC7"/>
    <w:rsid w:val="004F530D"/>
    <w:rsid w:val="004F72AC"/>
    <w:rsid w:val="0050018F"/>
    <w:rsid w:val="00500703"/>
    <w:rsid w:val="0050313B"/>
    <w:rsid w:val="005031FA"/>
    <w:rsid w:val="00503689"/>
    <w:rsid w:val="00505153"/>
    <w:rsid w:val="0050591F"/>
    <w:rsid w:val="00506B77"/>
    <w:rsid w:val="00506C32"/>
    <w:rsid w:val="0050712E"/>
    <w:rsid w:val="00510A9E"/>
    <w:rsid w:val="00511025"/>
    <w:rsid w:val="005115EF"/>
    <w:rsid w:val="005119DD"/>
    <w:rsid w:val="0051226F"/>
    <w:rsid w:val="0051682E"/>
    <w:rsid w:val="00516D97"/>
    <w:rsid w:val="005173EC"/>
    <w:rsid w:val="00517E8F"/>
    <w:rsid w:val="00517F8A"/>
    <w:rsid w:val="00521178"/>
    <w:rsid w:val="00524310"/>
    <w:rsid w:val="00526C15"/>
    <w:rsid w:val="00527DCD"/>
    <w:rsid w:val="00532ADA"/>
    <w:rsid w:val="00532B2B"/>
    <w:rsid w:val="00532FDA"/>
    <w:rsid w:val="00534279"/>
    <w:rsid w:val="00534A1B"/>
    <w:rsid w:val="00535AB3"/>
    <w:rsid w:val="005365DA"/>
    <w:rsid w:val="00536EF2"/>
    <w:rsid w:val="00537510"/>
    <w:rsid w:val="00540AD3"/>
    <w:rsid w:val="00541161"/>
    <w:rsid w:val="005414A9"/>
    <w:rsid w:val="00542512"/>
    <w:rsid w:val="00542713"/>
    <w:rsid w:val="005427A9"/>
    <w:rsid w:val="00544C1F"/>
    <w:rsid w:val="005452CD"/>
    <w:rsid w:val="0054530B"/>
    <w:rsid w:val="00545315"/>
    <w:rsid w:val="00545693"/>
    <w:rsid w:val="005456B2"/>
    <w:rsid w:val="00550622"/>
    <w:rsid w:val="00550D89"/>
    <w:rsid w:val="00550E0C"/>
    <w:rsid w:val="005517C0"/>
    <w:rsid w:val="0055181D"/>
    <w:rsid w:val="00551D28"/>
    <w:rsid w:val="00553424"/>
    <w:rsid w:val="00554308"/>
    <w:rsid w:val="00554C3E"/>
    <w:rsid w:val="005567CA"/>
    <w:rsid w:val="00557819"/>
    <w:rsid w:val="00560884"/>
    <w:rsid w:val="005649F7"/>
    <w:rsid w:val="00564BA8"/>
    <w:rsid w:val="00566F5C"/>
    <w:rsid w:val="00567562"/>
    <w:rsid w:val="0057071A"/>
    <w:rsid w:val="0057316B"/>
    <w:rsid w:val="00573747"/>
    <w:rsid w:val="00575E83"/>
    <w:rsid w:val="00576232"/>
    <w:rsid w:val="005770E8"/>
    <w:rsid w:val="00580152"/>
    <w:rsid w:val="00580757"/>
    <w:rsid w:val="005832C4"/>
    <w:rsid w:val="00583889"/>
    <w:rsid w:val="00584E7F"/>
    <w:rsid w:val="00586B8C"/>
    <w:rsid w:val="0059136C"/>
    <w:rsid w:val="00592107"/>
    <w:rsid w:val="00592363"/>
    <w:rsid w:val="00592CF7"/>
    <w:rsid w:val="00592F11"/>
    <w:rsid w:val="005941A2"/>
    <w:rsid w:val="00594ABA"/>
    <w:rsid w:val="005962ED"/>
    <w:rsid w:val="005967B5"/>
    <w:rsid w:val="0059797D"/>
    <w:rsid w:val="005A0038"/>
    <w:rsid w:val="005A093B"/>
    <w:rsid w:val="005A101B"/>
    <w:rsid w:val="005A14AA"/>
    <w:rsid w:val="005A18E6"/>
    <w:rsid w:val="005A4757"/>
    <w:rsid w:val="005A5B40"/>
    <w:rsid w:val="005A665E"/>
    <w:rsid w:val="005A7D1D"/>
    <w:rsid w:val="005B012E"/>
    <w:rsid w:val="005B043D"/>
    <w:rsid w:val="005B0C79"/>
    <w:rsid w:val="005B1BA7"/>
    <w:rsid w:val="005B3046"/>
    <w:rsid w:val="005B35B8"/>
    <w:rsid w:val="005B4565"/>
    <w:rsid w:val="005B45C0"/>
    <w:rsid w:val="005B4A5E"/>
    <w:rsid w:val="005B6C01"/>
    <w:rsid w:val="005B7165"/>
    <w:rsid w:val="005B72F3"/>
    <w:rsid w:val="005B7D9D"/>
    <w:rsid w:val="005C1004"/>
    <w:rsid w:val="005C15CE"/>
    <w:rsid w:val="005C24C5"/>
    <w:rsid w:val="005C3199"/>
    <w:rsid w:val="005C361C"/>
    <w:rsid w:val="005C42A1"/>
    <w:rsid w:val="005C47A4"/>
    <w:rsid w:val="005C50C9"/>
    <w:rsid w:val="005C57F1"/>
    <w:rsid w:val="005C6291"/>
    <w:rsid w:val="005C734E"/>
    <w:rsid w:val="005C7511"/>
    <w:rsid w:val="005C76F2"/>
    <w:rsid w:val="005C7ADF"/>
    <w:rsid w:val="005D016C"/>
    <w:rsid w:val="005D0D3B"/>
    <w:rsid w:val="005D1024"/>
    <w:rsid w:val="005D278D"/>
    <w:rsid w:val="005D4CDA"/>
    <w:rsid w:val="005D647D"/>
    <w:rsid w:val="005D6DEC"/>
    <w:rsid w:val="005D6FD0"/>
    <w:rsid w:val="005E1456"/>
    <w:rsid w:val="005E19CF"/>
    <w:rsid w:val="005E1C72"/>
    <w:rsid w:val="005E3406"/>
    <w:rsid w:val="005E41EA"/>
    <w:rsid w:val="005E4260"/>
    <w:rsid w:val="005E4751"/>
    <w:rsid w:val="005E5060"/>
    <w:rsid w:val="005E5683"/>
    <w:rsid w:val="005E5D28"/>
    <w:rsid w:val="005E6492"/>
    <w:rsid w:val="005E6DF4"/>
    <w:rsid w:val="005E75EA"/>
    <w:rsid w:val="005E7625"/>
    <w:rsid w:val="005E7B39"/>
    <w:rsid w:val="005F1F05"/>
    <w:rsid w:val="005F215E"/>
    <w:rsid w:val="005F235F"/>
    <w:rsid w:val="005F24EE"/>
    <w:rsid w:val="005F454E"/>
    <w:rsid w:val="005F4C66"/>
    <w:rsid w:val="005F7A5D"/>
    <w:rsid w:val="00600C0C"/>
    <w:rsid w:val="0060169D"/>
    <w:rsid w:val="006018C4"/>
    <w:rsid w:val="00602CCA"/>
    <w:rsid w:val="00602FCC"/>
    <w:rsid w:val="00603649"/>
    <w:rsid w:val="00603C4A"/>
    <w:rsid w:val="00604625"/>
    <w:rsid w:val="0060695B"/>
    <w:rsid w:val="00606F0D"/>
    <w:rsid w:val="00610678"/>
    <w:rsid w:val="00611B3E"/>
    <w:rsid w:val="00613253"/>
    <w:rsid w:val="00613B24"/>
    <w:rsid w:val="00614C93"/>
    <w:rsid w:val="00616CE6"/>
    <w:rsid w:val="0061754E"/>
    <w:rsid w:val="0062292C"/>
    <w:rsid w:val="006231E7"/>
    <w:rsid w:val="006248F8"/>
    <w:rsid w:val="006300D1"/>
    <w:rsid w:val="00631C53"/>
    <w:rsid w:val="0063569E"/>
    <w:rsid w:val="00640199"/>
    <w:rsid w:val="006412A9"/>
    <w:rsid w:val="00641EC5"/>
    <w:rsid w:val="00644A34"/>
    <w:rsid w:val="00644D4D"/>
    <w:rsid w:val="006456C1"/>
    <w:rsid w:val="00645CCE"/>
    <w:rsid w:val="00646BD0"/>
    <w:rsid w:val="006473E4"/>
    <w:rsid w:val="006477B9"/>
    <w:rsid w:val="00647B9F"/>
    <w:rsid w:val="00647F6F"/>
    <w:rsid w:val="006504EA"/>
    <w:rsid w:val="00651436"/>
    <w:rsid w:val="00652AD3"/>
    <w:rsid w:val="00653426"/>
    <w:rsid w:val="00653809"/>
    <w:rsid w:val="00653849"/>
    <w:rsid w:val="00656CD9"/>
    <w:rsid w:val="0065707A"/>
    <w:rsid w:val="00660F86"/>
    <w:rsid w:val="00662E66"/>
    <w:rsid w:val="0066340E"/>
    <w:rsid w:val="0066387A"/>
    <w:rsid w:val="00663E51"/>
    <w:rsid w:val="0066520F"/>
    <w:rsid w:val="006666D1"/>
    <w:rsid w:val="00666A63"/>
    <w:rsid w:val="00670263"/>
    <w:rsid w:val="00670C85"/>
    <w:rsid w:val="00671AE6"/>
    <w:rsid w:val="00671DDC"/>
    <w:rsid w:val="006724E2"/>
    <w:rsid w:val="00672646"/>
    <w:rsid w:val="00673BCD"/>
    <w:rsid w:val="00673FAE"/>
    <w:rsid w:val="006747BF"/>
    <w:rsid w:val="006748F5"/>
    <w:rsid w:val="00674B3C"/>
    <w:rsid w:val="00674F62"/>
    <w:rsid w:val="006752C4"/>
    <w:rsid w:val="0067663C"/>
    <w:rsid w:val="0067774B"/>
    <w:rsid w:val="00677CC3"/>
    <w:rsid w:val="00680215"/>
    <w:rsid w:val="006822B4"/>
    <w:rsid w:val="0068283C"/>
    <w:rsid w:val="00684824"/>
    <w:rsid w:val="006852FC"/>
    <w:rsid w:val="00687063"/>
    <w:rsid w:val="00690085"/>
    <w:rsid w:val="0069294F"/>
    <w:rsid w:val="00692B2D"/>
    <w:rsid w:val="00692E19"/>
    <w:rsid w:val="006937FB"/>
    <w:rsid w:val="00693F3E"/>
    <w:rsid w:val="00695841"/>
    <w:rsid w:val="00695BF5"/>
    <w:rsid w:val="006970D9"/>
    <w:rsid w:val="006979E1"/>
    <w:rsid w:val="006A0702"/>
    <w:rsid w:val="006A39AF"/>
    <w:rsid w:val="006A79A5"/>
    <w:rsid w:val="006B1655"/>
    <w:rsid w:val="006B2C49"/>
    <w:rsid w:val="006B419A"/>
    <w:rsid w:val="006B48A9"/>
    <w:rsid w:val="006B674A"/>
    <w:rsid w:val="006B7922"/>
    <w:rsid w:val="006B7A32"/>
    <w:rsid w:val="006C195F"/>
    <w:rsid w:val="006C3A2E"/>
    <w:rsid w:val="006C3D39"/>
    <w:rsid w:val="006C3FEB"/>
    <w:rsid w:val="006C4B6C"/>
    <w:rsid w:val="006C7D44"/>
    <w:rsid w:val="006D2E3C"/>
    <w:rsid w:val="006D3924"/>
    <w:rsid w:val="006D3B11"/>
    <w:rsid w:val="006D3C02"/>
    <w:rsid w:val="006D3D11"/>
    <w:rsid w:val="006D4861"/>
    <w:rsid w:val="006D59D6"/>
    <w:rsid w:val="006D6139"/>
    <w:rsid w:val="006D65D0"/>
    <w:rsid w:val="006D672A"/>
    <w:rsid w:val="006D6819"/>
    <w:rsid w:val="006D6BB9"/>
    <w:rsid w:val="006E13A2"/>
    <w:rsid w:val="006E1FE5"/>
    <w:rsid w:val="006E2DC4"/>
    <w:rsid w:val="006E34BD"/>
    <w:rsid w:val="006E38F8"/>
    <w:rsid w:val="006E39F3"/>
    <w:rsid w:val="006E3B0D"/>
    <w:rsid w:val="006E4335"/>
    <w:rsid w:val="006E6805"/>
    <w:rsid w:val="006E770D"/>
    <w:rsid w:val="006F05B7"/>
    <w:rsid w:val="006F2D8F"/>
    <w:rsid w:val="006F3C41"/>
    <w:rsid w:val="006F3CB0"/>
    <w:rsid w:val="006F4B5B"/>
    <w:rsid w:val="006F56BA"/>
    <w:rsid w:val="006F7A50"/>
    <w:rsid w:val="006F7BF4"/>
    <w:rsid w:val="00700410"/>
    <w:rsid w:val="00700580"/>
    <w:rsid w:val="00700E06"/>
    <w:rsid w:val="007013D6"/>
    <w:rsid w:val="00702368"/>
    <w:rsid w:val="00702479"/>
    <w:rsid w:val="0070324B"/>
    <w:rsid w:val="007048B6"/>
    <w:rsid w:val="00707310"/>
    <w:rsid w:val="00707796"/>
    <w:rsid w:val="0070789F"/>
    <w:rsid w:val="00707909"/>
    <w:rsid w:val="007105DB"/>
    <w:rsid w:val="00712547"/>
    <w:rsid w:val="00712B10"/>
    <w:rsid w:val="00712B74"/>
    <w:rsid w:val="007150EA"/>
    <w:rsid w:val="00716453"/>
    <w:rsid w:val="0072034B"/>
    <w:rsid w:val="00720591"/>
    <w:rsid w:val="00721DCE"/>
    <w:rsid w:val="00722C77"/>
    <w:rsid w:val="007259FA"/>
    <w:rsid w:val="00726FE1"/>
    <w:rsid w:val="007272C1"/>
    <w:rsid w:val="00727835"/>
    <w:rsid w:val="00730802"/>
    <w:rsid w:val="0073083D"/>
    <w:rsid w:val="00730F97"/>
    <w:rsid w:val="00731090"/>
    <w:rsid w:val="00731BB9"/>
    <w:rsid w:val="007321BF"/>
    <w:rsid w:val="00732DF3"/>
    <w:rsid w:val="00732E25"/>
    <w:rsid w:val="0073333C"/>
    <w:rsid w:val="00733701"/>
    <w:rsid w:val="0073482C"/>
    <w:rsid w:val="00735392"/>
    <w:rsid w:val="00736B1E"/>
    <w:rsid w:val="007376CC"/>
    <w:rsid w:val="00740E5B"/>
    <w:rsid w:val="00740F6C"/>
    <w:rsid w:val="00741674"/>
    <w:rsid w:val="00741C99"/>
    <w:rsid w:val="007424A0"/>
    <w:rsid w:val="007432EF"/>
    <w:rsid w:val="00744237"/>
    <w:rsid w:val="007448EF"/>
    <w:rsid w:val="007472D9"/>
    <w:rsid w:val="00750586"/>
    <w:rsid w:val="00750795"/>
    <w:rsid w:val="00750929"/>
    <w:rsid w:val="00751086"/>
    <w:rsid w:val="00752199"/>
    <w:rsid w:val="00752294"/>
    <w:rsid w:val="007525CA"/>
    <w:rsid w:val="00752617"/>
    <w:rsid w:val="007532BB"/>
    <w:rsid w:val="0075456E"/>
    <w:rsid w:val="0075498A"/>
    <w:rsid w:val="00754D01"/>
    <w:rsid w:val="00754E6B"/>
    <w:rsid w:val="00755321"/>
    <w:rsid w:val="00756C53"/>
    <w:rsid w:val="00760FBD"/>
    <w:rsid w:val="00761AC5"/>
    <w:rsid w:val="007629B0"/>
    <w:rsid w:val="00764390"/>
    <w:rsid w:val="0076444E"/>
    <w:rsid w:val="00764C66"/>
    <w:rsid w:val="00765732"/>
    <w:rsid w:val="00765B0F"/>
    <w:rsid w:val="0076695B"/>
    <w:rsid w:val="00767B20"/>
    <w:rsid w:val="007705B8"/>
    <w:rsid w:val="00774AD1"/>
    <w:rsid w:val="00774B0C"/>
    <w:rsid w:val="00776155"/>
    <w:rsid w:val="00777E2D"/>
    <w:rsid w:val="00781991"/>
    <w:rsid w:val="007843D4"/>
    <w:rsid w:val="007843D7"/>
    <w:rsid w:val="00784E32"/>
    <w:rsid w:val="007858C1"/>
    <w:rsid w:val="00786792"/>
    <w:rsid w:val="007875D1"/>
    <w:rsid w:val="00787D6A"/>
    <w:rsid w:val="00790261"/>
    <w:rsid w:val="00790AC2"/>
    <w:rsid w:val="0079212E"/>
    <w:rsid w:val="0079294B"/>
    <w:rsid w:val="00793D8D"/>
    <w:rsid w:val="00794C1E"/>
    <w:rsid w:val="0079660A"/>
    <w:rsid w:val="007A1BF2"/>
    <w:rsid w:val="007A30B5"/>
    <w:rsid w:val="007A3887"/>
    <w:rsid w:val="007A3CC4"/>
    <w:rsid w:val="007A54E1"/>
    <w:rsid w:val="007A5600"/>
    <w:rsid w:val="007A77AF"/>
    <w:rsid w:val="007B04B8"/>
    <w:rsid w:val="007B1BB1"/>
    <w:rsid w:val="007B1CA0"/>
    <w:rsid w:val="007B1D0F"/>
    <w:rsid w:val="007B1E15"/>
    <w:rsid w:val="007B3ED7"/>
    <w:rsid w:val="007B561E"/>
    <w:rsid w:val="007B6B20"/>
    <w:rsid w:val="007C18F9"/>
    <w:rsid w:val="007C1B26"/>
    <w:rsid w:val="007C2D9B"/>
    <w:rsid w:val="007C3D32"/>
    <w:rsid w:val="007C49EC"/>
    <w:rsid w:val="007C5724"/>
    <w:rsid w:val="007C574D"/>
    <w:rsid w:val="007C5A74"/>
    <w:rsid w:val="007C5D20"/>
    <w:rsid w:val="007C6C35"/>
    <w:rsid w:val="007C7553"/>
    <w:rsid w:val="007C7D6F"/>
    <w:rsid w:val="007D0F95"/>
    <w:rsid w:val="007D25C1"/>
    <w:rsid w:val="007D281A"/>
    <w:rsid w:val="007D35B5"/>
    <w:rsid w:val="007D4958"/>
    <w:rsid w:val="007D56AB"/>
    <w:rsid w:val="007D5810"/>
    <w:rsid w:val="007D7307"/>
    <w:rsid w:val="007D78EE"/>
    <w:rsid w:val="007D79FC"/>
    <w:rsid w:val="007E0BA4"/>
    <w:rsid w:val="007E137B"/>
    <w:rsid w:val="007E17E7"/>
    <w:rsid w:val="007E24A4"/>
    <w:rsid w:val="007E264E"/>
    <w:rsid w:val="007E3A30"/>
    <w:rsid w:val="007E3AA2"/>
    <w:rsid w:val="007E5004"/>
    <w:rsid w:val="007E5123"/>
    <w:rsid w:val="007E794A"/>
    <w:rsid w:val="007F0143"/>
    <w:rsid w:val="007F0870"/>
    <w:rsid w:val="007F1EC0"/>
    <w:rsid w:val="007F2114"/>
    <w:rsid w:val="007F3F0D"/>
    <w:rsid w:val="007F457F"/>
    <w:rsid w:val="007F470F"/>
    <w:rsid w:val="007F7604"/>
    <w:rsid w:val="007F7BE1"/>
    <w:rsid w:val="00800AA9"/>
    <w:rsid w:val="00800C41"/>
    <w:rsid w:val="00802CB6"/>
    <w:rsid w:val="00805D09"/>
    <w:rsid w:val="00806184"/>
    <w:rsid w:val="00806B13"/>
    <w:rsid w:val="0080732D"/>
    <w:rsid w:val="00807979"/>
    <w:rsid w:val="00810A6E"/>
    <w:rsid w:val="00810BA1"/>
    <w:rsid w:val="00812382"/>
    <w:rsid w:val="00812505"/>
    <w:rsid w:val="0081406A"/>
    <w:rsid w:val="00815293"/>
    <w:rsid w:val="008175B4"/>
    <w:rsid w:val="0082013F"/>
    <w:rsid w:val="008225ED"/>
    <w:rsid w:val="00824FB4"/>
    <w:rsid w:val="008253D3"/>
    <w:rsid w:val="00826698"/>
    <w:rsid w:val="00826A1B"/>
    <w:rsid w:val="008271DB"/>
    <w:rsid w:val="0083098B"/>
    <w:rsid w:val="00831733"/>
    <w:rsid w:val="00831B4E"/>
    <w:rsid w:val="00832C2B"/>
    <w:rsid w:val="0083491B"/>
    <w:rsid w:val="00835EED"/>
    <w:rsid w:val="00837212"/>
    <w:rsid w:val="008404CF"/>
    <w:rsid w:val="008406AB"/>
    <w:rsid w:val="00841994"/>
    <w:rsid w:val="00842E10"/>
    <w:rsid w:val="008433CE"/>
    <w:rsid w:val="00843E56"/>
    <w:rsid w:val="00843E78"/>
    <w:rsid w:val="00846691"/>
    <w:rsid w:val="008477E0"/>
    <w:rsid w:val="00847806"/>
    <w:rsid w:val="008513EB"/>
    <w:rsid w:val="0085202C"/>
    <w:rsid w:val="00852043"/>
    <w:rsid w:val="0085235C"/>
    <w:rsid w:val="00853074"/>
    <w:rsid w:val="00853586"/>
    <w:rsid w:val="008543AF"/>
    <w:rsid w:val="0085473D"/>
    <w:rsid w:val="008565FE"/>
    <w:rsid w:val="008578A8"/>
    <w:rsid w:val="00857D95"/>
    <w:rsid w:val="00860B3E"/>
    <w:rsid w:val="00860C2E"/>
    <w:rsid w:val="00860EFC"/>
    <w:rsid w:val="0086122B"/>
    <w:rsid w:val="00864115"/>
    <w:rsid w:val="00864446"/>
    <w:rsid w:val="0086495D"/>
    <w:rsid w:val="008655CB"/>
    <w:rsid w:val="00865C7F"/>
    <w:rsid w:val="008677E9"/>
    <w:rsid w:val="00867C79"/>
    <w:rsid w:val="00870086"/>
    <w:rsid w:val="00870191"/>
    <w:rsid w:val="00870C13"/>
    <w:rsid w:val="00870CCD"/>
    <w:rsid w:val="00873056"/>
    <w:rsid w:val="00873D8A"/>
    <w:rsid w:val="00875D93"/>
    <w:rsid w:val="00876C77"/>
    <w:rsid w:val="00877307"/>
    <w:rsid w:val="008802DC"/>
    <w:rsid w:val="00881E72"/>
    <w:rsid w:val="008834F7"/>
    <w:rsid w:val="008835C1"/>
    <w:rsid w:val="008864D5"/>
    <w:rsid w:val="0089021A"/>
    <w:rsid w:val="00890B77"/>
    <w:rsid w:val="0089104E"/>
    <w:rsid w:val="0089135F"/>
    <w:rsid w:val="0089218D"/>
    <w:rsid w:val="00893391"/>
    <w:rsid w:val="008944AF"/>
    <w:rsid w:val="00894569"/>
    <w:rsid w:val="008948D9"/>
    <w:rsid w:val="00896F7D"/>
    <w:rsid w:val="008A2096"/>
    <w:rsid w:val="008A322B"/>
    <w:rsid w:val="008A37CF"/>
    <w:rsid w:val="008A4487"/>
    <w:rsid w:val="008A61FB"/>
    <w:rsid w:val="008A682D"/>
    <w:rsid w:val="008A6943"/>
    <w:rsid w:val="008B00C8"/>
    <w:rsid w:val="008B182C"/>
    <w:rsid w:val="008B3C7B"/>
    <w:rsid w:val="008B4D8E"/>
    <w:rsid w:val="008B4E7B"/>
    <w:rsid w:val="008B58C5"/>
    <w:rsid w:val="008B5D49"/>
    <w:rsid w:val="008B7D6F"/>
    <w:rsid w:val="008C0639"/>
    <w:rsid w:val="008C0CF1"/>
    <w:rsid w:val="008C1341"/>
    <w:rsid w:val="008C16B1"/>
    <w:rsid w:val="008C1E69"/>
    <w:rsid w:val="008C2ECB"/>
    <w:rsid w:val="008C2F1A"/>
    <w:rsid w:val="008C43B0"/>
    <w:rsid w:val="008C45D2"/>
    <w:rsid w:val="008C6E1B"/>
    <w:rsid w:val="008C780A"/>
    <w:rsid w:val="008C7925"/>
    <w:rsid w:val="008D0D1A"/>
    <w:rsid w:val="008D249C"/>
    <w:rsid w:val="008D24B1"/>
    <w:rsid w:val="008D25B5"/>
    <w:rsid w:val="008D2753"/>
    <w:rsid w:val="008D2C3C"/>
    <w:rsid w:val="008D61B9"/>
    <w:rsid w:val="008D70EB"/>
    <w:rsid w:val="008E15D5"/>
    <w:rsid w:val="008E28ED"/>
    <w:rsid w:val="008E37C5"/>
    <w:rsid w:val="008E39E2"/>
    <w:rsid w:val="008E5463"/>
    <w:rsid w:val="008E5B4E"/>
    <w:rsid w:val="008E6CCE"/>
    <w:rsid w:val="008E7AE9"/>
    <w:rsid w:val="008F191E"/>
    <w:rsid w:val="008F1931"/>
    <w:rsid w:val="008F2557"/>
    <w:rsid w:val="008F2681"/>
    <w:rsid w:val="008F3771"/>
    <w:rsid w:val="008F64EC"/>
    <w:rsid w:val="008F6F87"/>
    <w:rsid w:val="009006C6"/>
    <w:rsid w:val="009006D1"/>
    <w:rsid w:val="00902EED"/>
    <w:rsid w:val="00904B1B"/>
    <w:rsid w:val="00904C1E"/>
    <w:rsid w:val="00906491"/>
    <w:rsid w:val="00910935"/>
    <w:rsid w:val="0091122E"/>
    <w:rsid w:val="00911522"/>
    <w:rsid w:val="009122D0"/>
    <w:rsid w:val="0091296E"/>
    <w:rsid w:val="00912A70"/>
    <w:rsid w:val="00912D4C"/>
    <w:rsid w:val="009156B2"/>
    <w:rsid w:val="0091597E"/>
    <w:rsid w:val="00922F45"/>
    <w:rsid w:val="00924851"/>
    <w:rsid w:val="00924B2F"/>
    <w:rsid w:val="00924D76"/>
    <w:rsid w:val="00924E39"/>
    <w:rsid w:val="00926BF6"/>
    <w:rsid w:val="00931CA7"/>
    <w:rsid w:val="00932877"/>
    <w:rsid w:val="009334AE"/>
    <w:rsid w:val="00933A3D"/>
    <w:rsid w:val="00933ADE"/>
    <w:rsid w:val="00933B47"/>
    <w:rsid w:val="00933FA2"/>
    <w:rsid w:val="00937F71"/>
    <w:rsid w:val="00940F40"/>
    <w:rsid w:val="00943856"/>
    <w:rsid w:val="00943CCE"/>
    <w:rsid w:val="00950620"/>
    <w:rsid w:val="0095156E"/>
    <w:rsid w:val="009521CB"/>
    <w:rsid w:val="00957489"/>
    <w:rsid w:val="009600A8"/>
    <w:rsid w:val="00961F29"/>
    <w:rsid w:val="00962D40"/>
    <w:rsid w:val="00962E3D"/>
    <w:rsid w:val="00965A16"/>
    <w:rsid w:val="009666D9"/>
    <w:rsid w:val="00966800"/>
    <w:rsid w:val="00966A79"/>
    <w:rsid w:val="0096728C"/>
    <w:rsid w:val="00970670"/>
    <w:rsid w:val="00970D95"/>
    <w:rsid w:val="00972314"/>
    <w:rsid w:val="00972410"/>
    <w:rsid w:val="00972BCD"/>
    <w:rsid w:val="00972EE8"/>
    <w:rsid w:val="00975341"/>
    <w:rsid w:val="00976F4B"/>
    <w:rsid w:val="009770DF"/>
    <w:rsid w:val="00977F05"/>
    <w:rsid w:val="00980696"/>
    <w:rsid w:val="0098119C"/>
    <w:rsid w:val="00981B68"/>
    <w:rsid w:val="00981E76"/>
    <w:rsid w:val="00982B78"/>
    <w:rsid w:val="0098488A"/>
    <w:rsid w:val="00985457"/>
    <w:rsid w:val="00985701"/>
    <w:rsid w:val="0098588F"/>
    <w:rsid w:val="00985F8B"/>
    <w:rsid w:val="009862C2"/>
    <w:rsid w:val="009866CD"/>
    <w:rsid w:val="0098690C"/>
    <w:rsid w:val="00986A53"/>
    <w:rsid w:val="00986D44"/>
    <w:rsid w:val="009879CB"/>
    <w:rsid w:val="0099036C"/>
    <w:rsid w:val="0099123D"/>
    <w:rsid w:val="00991D2C"/>
    <w:rsid w:val="009925DD"/>
    <w:rsid w:val="00992839"/>
    <w:rsid w:val="00993224"/>
    <w:rsid w:val="009932A7"/>
    <w:rsid w:val="0099370B"/>
    <w:rsid w:val="00994B34"/>
    <w:rsid w:val="00995364"/>
    <w:rsid w:val="009954D2"/>
    <w:rsid w:val="009955E5"/>
    <w:rsid w:val="00997481"/>
    <w:rsid w:val="009A0DBE"/>
    <w:rsid w:val="009A0F9C"/>
    <w:rsid w:val="009A1176"/>
    <w:rsid w:val="009A1C35"/>
    <w:rsid w:val="009A213D"/>
    <w:rsid w:val="009A3C5B"/>
    <w:rsid w:val="009A47CC"/>
    <w:rsid w:val="009A54AE"/>
    <w:rsid w:val="009A7787"/>
    <w:rsid w:val="009B1020"/>
    <w:rsid w:val="009B12A2"/>
    <w:rsid w:val="009B16D6"/>
    <w:rsid w:val="009B1B0F"/>
    <w:rsid w:val="009B1D3D"/>
    <w:rsid w:val="009B1DF1"/>
    <w:rsid w:val="009B2394"/>
    <w:rsid w:val="009B29BE"/>
    <w:rsid w:val="009B55E4"/>
    <w:rsid w:val="009B584F"/>
    <w:rsid w:val="009B60FD"/>
    <w:rsid w:val="009B626D"/>
    <w:rsid w:val="009B63F6"/>
    <w:rsid w:val="009B6857"/>
    <w:rsid w:val="009B7B5A"/>
    <w:rsid w:val="009B7F63"/>
    <w:rsid w:val="009C0798"/>
    <w:rsid w:val="009C2506"/>
    <w:rsid w:val="009C2C77"/>
    <w:rsid w:val="009C2E08"/>
    <w:rsid w:val="009C3C6F"/>
    <w:rsid w:val="009C4BAF"/>
    <w:rsid w:val="009C5C16"/>
    <w:rsid w:val="009C7E73"/>
    <w:rsid w:val="009C7F63"/>
    <w:rsid w:val="009D04CC"/>
    <w:rsid w:val="009D054B"/>
    <w:rsid w:val="009D0609"/>
    <w:rsid w:val="009D08BE"/>
    <w:rsid w:val="009D0EF9"/>
    <w:rsid w:val="009D147F"/>
    <w:rsid w:val="009D157A"/>
    <w:rsid w:val="009D163B"/>
    <w:rsid w:val="009D247D"/>
    <w:rsid w:val="009D282F"/>
    <w:rsid w:val="009D2858"/>
    <w:rsid w:val="009D39A2"/>
    <w:rsid w:val="009D3CED"/>
    <w:rsid w:val="009D4FA3"/>
    <w:rsid w:val="009D514B"/>
    <w:rsid w:val="009D57EA"/>
    <w:rsid w:val="009D5E61"/>
    <w:rsid w:val="009D65F3"/>
    <w:rsid w:val="009D68EB"/>
    <w:rsid w:val="009D7412"/>
    <w:rsid w:val="009D7BF9"/>
    <w:rsid w:val="009D7DE5"/>
    <w:rsid w:val="009E078E"/>
    <w:rsid w:val="009E2241"/>
    <w:rsid w:val="009E3C07"/>
    <w:rsid w:val="009E3F28"/>
    <w:rsid w:val="009E5C4C"/>
    <w:rsid w:val="009F00C7"/>
    <w:rsid w:val="009F012C"/>
    <w:rsid w:val="009F0417"/>
    <w:rsid w:val="009F0A5A"/>
    <w:rsid w:val="009F0B1B"/>
    <w:rsid w:val="009F0CA6"/>
    <w:rsid w:val="009F116E"/>
    <w:rsid w:val="009F211A"/>
    <w:rsid w:val="009F2CBF"/>
    <w:rsid w:val="009F3D6A"/>
    <w:rsid w:val="009F4703"/>
    <w:rsid w:val="009F587B"/>
    <w:rsid w:val="009F5AF0"/>
    <w:rsid w:val="00A00AFA"/>
    <w:rsid w:val="00A02E44"/>
    <w:rsid w:val="00A0500C"/>
    <w:rsid w:val="00A06332"/>
    <w:rsid w:val="00A074B5"/>
    <w:rsid w:val="00A077EF"/>
    <w:rsid w:val="00A102EB"/>
    <w:rsid w:val="00A1095F"/>
    <w:rsid w:val="00A13E1E"/>
    <w:rsid w:val="00A13F56"/>
    <w:rsid w:val="00A1481E"/>
    <w:rsid w:val="00A168D7"/>
    <w:rsid w:val="00A179A9"/>
    <w:rsid w:val="00A2021C"/>
    <w:rsid w:val="00A22972"/>
    <w:rsid w:val="00A22F2A"/>
    <w:rsid w:val="00A24983"/>
    <w:rsid w:val="00A24C99"/>
    <w:rsid w:val="00A277C9"/>
    <w:rsid w:val="00A3016A"/>
    <w:rsid w:val="00A318BF"/>
    <w:rsid w:val="00A31AFD"/>
    <w:rsid w:val="00A323A2"/>
    <w:rsid w:val="00A343DA"/>
    <w:rsid w:val="00A3460B"/>
    <w:rsid w:val="00A3470A"/>
    <w:rsid w:val="00A34E65"/>
    <w:rsid w:val="00A35258"/>
    <w:rsid w:val="00A35622"/>
    <w:rsid w:val="00A35E94"/>
    <w:rsid w:val="00A36351"/>
    <w:rsid w:val="00A366B0"/>
    <w:rsid w:val="00A37E03"/>
    <w:rsid w:val="00A40CA8"/>
    <w:rsid w:val="00A41147"/>
    <w:rsid w:val="00A4131F"/>
    <w:rsid w:val="00A4159E"/>
    <w:rsid w:val="00A41CF8"/>
    <w:rsid w:val="00A42D19"/>
    <w:rsid w:val="00A44197"/>
    <w:rsid w:val="00A44ACA"/>
    <w:rsid w:val="00A465B3"/>
    <w:rsid w:val="00A47184"/>
    <w:rsid w:val="00A478FA"/>
    <w:rsid w:val="00A50720"/>
    <w:rsid w:val="00A510D7"/>
    <w:rsid w:val="00A51691"/>
    <w:rsid w:val="00A52725"/>
    <w:rsid w:val="00A53311"/>
    <w:rsid w:val="00A537AF"/>
    <w:rsid w:val="00A546A9"/>
    <w:rsid w:val="00A572AA"/>
    <w:rsid w:val="00A606D5"/>
    <w:rsid w:val="00A62BCF"/>
    <w:rsid w:val="00A635DB"/>
    <w:rsid w:val="00A6418F"/>
    <w:rsid w:val="00A643AA"/>
    <w:rsid w:val="00A65618"/>
    <w:rsid w:val="00A6683D"/>
    <w:rsid w:val="00A70106"/>
    <w:rsid w:val="00A70189"/>
    <w:rsid w:val="00A75386"/>
    <w:rsid w:val="00A75794"/>
    <w:rsid w:val="00A76981"/>
    <w:rsid w:val="00A77917"/>
    <w:rsid w:val="00A806EB"/>
    <w:rsid w:val="00A80B20"/>
    <w:rsid w:val="00A81202"/>
    <w:rsid w:val="00A82DA2"/>
    <w:rsid w:val="00A8304B"/>
    <w:rsid w:val="00A85994"/>
    <w:rsid w:val="00A86982"/>
    <w:rsid w:val="00A8739D"/>
    <w:rsid w:val="00A879EA"/>
    <w:rsid w:val="00A9071D"/>
    <w:rsid w:val="00A9286E"/>
    <w:rsid w:val="00A92A34"/>
    <w:rsid w:val="00A948B1"/>
    <w:rsid w:val="00A9505E"/>
    <w:rsid w:val="00A956A3"/>
    <w:rsid w:val="00A959C8"/>
    <w:rsid w:val="00A95DE0"/>
    <w:rsid w:val="00A968B2"/>
    <w:rsid w:val="00A97779"/>
    <w:rsid w:val="00A97AAB"/>
    <w:rsid w:val="00A97BE4"/>
    <w:rsid w:val="00AA0BA4"/>
    <w:rsid w:val="00AA15DB"/>
    <w:rsid w:val="00AA164A"/>
    <w:rsid w:val="00AA1744"/>
    <w:rsid w:val="00AA31A2"/>
    <w:rsid w:val="00AA4A0D"/>
    <w:rsid w:val="00AA6BA0"/>
    <w:rsid w:val="00AA70BA"/>
    <w:rsid w:val="00AA71D3"/>
    <w:rsid w:val="00AB0CFA"/>
    <w:rsid w:val="00AB14E6"/>
    <w:rsid w:val="00AB3E55"/>
    <w:rsid w:val="00AB3EBE"/>
    <w:rsid w:val="00AB6B3D"/>
    <w:rsid w:val="00AB7B5E"/>
    <w:rsid w:val="00AC085A"/>
    <w:rsid w:val="00AC08D3"/>
    <w:rsid w:val="00AC1F86"/>
    <w:rsid w:val="00AC241F"/>
    <w:rsid w:val="00AC27D7"/>
    <w:rsid w:val="00AC37C0"/>
    <w:rsid w:val="00AC4764"/>
    <w:rsid w:val="00AC59D9"/>
    <w:rsid w:val="00AC5B1F"/>
    <w:rsid w:val="00AC60DC"/>
    <w:rsid w:val="00AC7DFD"/>
    <w:rsid w:val="00AD03C7"/>
    <w:rsid w:val="00AD078B"/>
    <w:rsid w:val="00AD0C9F"/>
    <w:rsid w:val="00AD1957"/>
    <w:rsid w:val="00AD1B48"/>
    <w:rsid w:val="00AD3153"/>
    <w:rsid w:val="00AD534D"/>
    <w:rsid w:val="00AD6F81"/>
    <w:rsid w:val="00AD704B"/>
    <w:rsid w:val="00AE0A59"/>
    <w:rsid w:val="00AE1B49"/>
    <w:rsid w:val="00AE264F"/>
    <w:rsid w:val="00AE35EB"/>
    <w:rsid w:val="00AE40DF"/>
    <w:rsid w:val="00AE423D"/>
    <w:rsid w:val="00AE47E6"/>
    <w:rsid w:val="00AE4A57"/>
    <w:rsid w:val="00AE733B"/>
    <w:rsid w:val="00AF091D"/>
    <w:rsid w:val="00AF1F76"/>
    <w:rsid w:val="00AF22FA"/>
    <w:rsid w:val="00AF2328"/>
    <w:rsid w:val="00AF2D85"/>
    <w:rsid w:val="00AF3D3C"/>
    <w:rsid w:val="00AF3DEE"/>
    <w:rsid w:val="00AF43B7"/>
    <w:rsid w:val="00AF5B29"/>
    <w:rsid w:val="00AF6B35"/>
    <w:rsid w:val="00AF7711"/>
    <w:rsid w:val="00AF7CD6"/>
    <w:rsid w:val="00B000E9"/>
    <w:rsid w:val="00B00EC9"/>
    <w:rsid w:val="00B01318"/>
    <w:rsid w:val="00B01AFF"/>
    <w:rsid w:val="00B01C89"/>
    <w:rsid w:val="00B03992"/>
    <w:rsid w:val="00B039C1"/>
    <w:rsid w:val="00B039CA"/>
    <w:rsid w:val="00B03C1E"/>
    <w:rsid w:val="00B0554A"/>
    <w:rsid w:val="00B05E0C"/>
    <w:rsid w:val="00B07356"/>
    <w:rsid w:val="00B107EA"/>
    <w:rsid w:val="00B10C2C"/>
    <w:rsid w:val="00B10D73"/>
    <w:rsid w:val="00B12F02"/>
    <w:rsid w:val="00B141FC"/>
    <w:rsid w:val="00B14EE3"/>
    <w:rsid w:val="00B15568"/>
    <w:rsid w:val="00B16175"/>
    <w:rsid w:val="00B16E11"/>
    <w:rsid w:val="00B20D0C"/>
    <w:rsid w:val="00B21097"/>
    <w:rsid w:val="00B2131F"/>
    <w:rsid w:val="00B2140D"/>
    <w:rsid w:val="00B21513"/>
    <w:rsid w:val="00B224B3"/>
    <w:rsid w:val="00B2394F"/>
    <w:rsid w:val="00B23CDA"/>
    <w:rsid w:val="00B243F9"/>
    <w:rsid w:val="00B24ABF"/>
    <w:rsid w:val="00B24DC6"/>
    <w:rsid w:val="00B25AA7"/>
    <w:rsid w:val="00B25B5E"/>
    <w:rsid w:val="00B277B4"/>
    <w:rsid w:val="00B27967"/>
    <w:rsid w:val="00B315F4"/>
    <w:rsid w:val="00B32EE5"/>
    <w:rsid w:val="00B3647E"/>
    <w:rsid w:val="00B36751"/>
    <w:rsid w:val="00B407AB"/>
    <w:rsid w:val="00B40C5A"/>
    <w:rsid w:val="00B40DAB"/>
    <w:rsid w:val="00B430B4"/>
    <w:rsid w:val="00B4520A"/>
    <w:rsid w:val="00B479C9"/>
    <w:rsid w:val="00B479D8"/>
    <w:rsid w:val="00B504DA"/>
    <w:rsid w:val="00B5104D"/>
    <w:rsid w:val="00B51615"/>
    <w:rsid w:val="00B5258D"/>
    <w:rsid w:val="00B52A52"/>
    <w:rsid w:val="00B53198"/>
    <w:rsid w:val="00B55D4E"/>
    <w:rsid w:val="00B5625B"/>
    <w:rsid w:val="00B62398"/>
    <w:rsid w:val="00B62571"/>
    <w:rsid w:val="00B63701"/>
    <w:rsid w:val="00B6379D"/>
    <w:rsid w:val="00B6485E"/>
    <w:rsid w:val="00B655B6"/>
    <w:rsid w:val="00B66C03"/>
    <w:rsid w:val="00B66EB1"/>
    <w:rsid w:val="00B71B3C"/>
    <w:rsid w:val="00B73DA0"/>
    <w:rsid w:val="00B74153"/>
    <w:rsid w:val="00B747B9"/>
    <w:rsid w:val="00B74965"/>
    <w:rsid w:val="00B74F91"/>
    <w:rsid w:val="00B75353"/>
    <w:rsid w:val="00B76E50"/>
    <w:rsid w:val="00B800BB"/>
    <w:rsid w:val="00B81782"/>
    <w:rsid w:val="00B81ECB"/>
    <w:rsid w:val="00B82BB3"/>
    <w:rsid w:val="00B82BEB"/>
    <w:rsid w:val="00B82D4A"/>
    <w:rsid w:val="00B835CA"/>
    <w:rsid w:val="00B86623"/>
    <w:rsid w:val="00B901BF"/>
    <w:rsid w:val="00B91AEE"/>
    <w:rsid w:val="00B932D2"/>
    <w:rsid w:val="00B9365B"/>
    <w:rsid w:val="00B942F5"/>
    <w:rsid w:val="00B94CA1"/>
    <w:rsid w:val="00B94D58"/>
    <w:rsid w:val="00B96284"/>
    <w:rsid w:val="00B96580"/>
    <w:rsid w:val="00B9794A"/>
    <w:rsid w:val="00B97F1F"/>
    <w:rsid w:val="00BA0FBA"/>
    <w:rsid w:val="00BA20AC"/>
    <w:rsid w:val="00BA25A4"/>
    <w:rsid w:val="00BA2BD2"/>
    <w:rsid w:val="00BA4260"/>
    <w:rsid w:val="00BA42AF"/>
    <w:rsid w:val="00BA431F"/>
    <w:rsid w:val="00BA4950"/>
    <w:rsid w:val="00BA562B"/>
    <w:rsid w:val="00BA5A7C"/>
    <w:rsid w:val="00BA7CE6"/>
    <w:rsid w:val="00BB2D09"/>
    <w:rsid w:val="00BB3224"/>
    <w:rsid w:val="00BB395B"/>
    <w:rsid w:val="00BB43E5"/>
    <w:rsid w:val="00BB4F1F"/>
    <w:rsid w:val="00BB4FF0"/>
    <w:rsid w:val="00BB6CD5"/>
    <w:rsid w:val="00BB757B"/>
    <w:rsid w:val="00BB7961"/>
    <w:rsid w:val="00BC12CD"/>
    <w:rsid w:val="00BC1BDE"/>
    <w:rsid w:val="00BC3AF1"/>
    <w:rsid w:val="00BC43A2"/>
    <w:rsid w:val="00BC563E"/>
    <w:rsid w:val="00BC58F0"/>
    <w:rsid w:val="00BC6A97"/>
    <w:rsid w:val="00BC7013"/>
    <w:rsid w:val="00BC79C9"/>
    <w:rsid w:val="00BC7D68"/>
    <w:rsid w:val="00BC7E74"/>
    <w:rsid w:val="00BD0621"/>
    <w:rsid w:val="00BD1965"/>
    <w:rsid w:val="00BD1B4F"/>
    <w:rsid w:val="00BD21AF"/>
    <w:rsid w:val="00BD290C"/>
    <w:rsid w:val="00BD6E4E"/>
    <w:rsid w:val="00BD6E77"/>
    <w:rsid w:val="00BE01B9"/>
    <w:rsid w:val="00BE0799"/>
    <w:rsid w:val="00BE08F8"/>
    <w:rsid w:val="00BE1101"/>
    <w:rsid w:val="00BE1256"/>
    <w:rsid w:val="00BE1C70"/>
    <w:rsid w:val="00BE21F0"/>
    <w:rsid w:val="00BE2963"/>
    <w:rsid w:val="00BE2BDC"/>
    <w:rsid w:val="00BE51CE"/>
    <w:rsid w:val="00BE520F"/>
    <w:rsid w:val="00BE5AFC"/>
    <w:rsid w:val="00BE5EA0"/>
    <w:rsid w:val="00BE63AC"/>
    <w:rsid w:val="00BE644D"/>
    <w:rsid w:val="00BE67E4"/>
    <w:rsid w:val="00BE6DF4"/>
    <w:rsid w:val="00BE7248"/>
    <w:rsid w:val="00BF0811"/>
    <w:rsid w:val="00BF230D"/>
    <w:rsid w:val="00BF3572"/>
    <w:rsid w:val="00BF36F3"/>
    <w:rsid w:val="00BF4023"/>
    <w:rsid w:val="00BF4F93"/>
    <w:rsid w:val="00BF6281"/>
    <w:rsid w:val="00BF632F"/>
    <w:rsid w:val="00BF7A90"/>
    <w:rsid w:val="00C00314"/>
    <w:rsid w:val="00C0427B"/>
    <w:rsid w:val="00C04D72"/>
    <w:rsid w:val="00C102B1"/>
    <w:rsid w:val="00C11C9F"/>
    <w:rsid w:val="00C13B1B"/>
    <w:rsid w:val="00C13C5D"/>
    <w:rsid w:val="00C13FFD"/>
    <w:rsid w:val="00C14067"/>
    <w:rsid w:val="00C14414"/>
    <w:rsid w:val="00C14474"/>
    <w:rsid w:val="00C14F17"/>
    <w:rsid w:val="00C152D0"/>
    <w:rsid w:val="00C154C7"/>
    <w:rsid w:val="00C1635E"/>
    <w:rsid w:val="00C170F3"/>
    <w:rsid w:val="00C17BAA"/>
    <w:rsid w:val="00C21447"/>
    <w:rsid w:val="00C22C4D"/>
    <w:rsid w:val="00C24114"/>
    <w:rsid w:val="00C248B8"/>
    <w:rsid w:val="00C24E45"/>
    <w:rsid w:val="00C261B2"/>
    <w:rsid w:val="00C26225"/>
    <w:rsid w:val="00C2668F"/>
    <w:rsid w:val="00C26BE6"/>
    <w:rsid w:val="00C26C6C"/>
    <w:rsid w:val="00C26FD6"/>
    <w:rsid w:val="00C30ED2"/>
    <w:rsid w:val="00C31F3F"/>
    <w:rsid w:val="00C33755"/>
    <w:rsid w:val="00C33D8C"/>
    <w:rsid w:val="00C345E1"/>
    <w:rsid w:val="00C34DA8"/>
    <w:rsid w:val="00C35683"/>
    <w:rsid w:val="00C35D39"/>
    <w:rsid w:val="00C401BB"/>
    <w:rsid w:val="00C40807"/>
    <w:rsid w:val="00C423A0"/>
    <w:rsid w:val="00C43147"/>
    <w:rsid w:val="00C47622"/>
    <w:rsid w:val="00C478B7"/>
    <w:rsid w:val="00C47E65"/>
    <w:rsid w:val="00C50ABD"/>
    <w:rsid w:val="00C50F6D"/>
    <w:rsid w:val="00C51CEB"/>
    <w:rsid w:val="00C52A3E"/>
    <w:rsid w:val="00C52C91"/>
    <w:rsid w:val="00C5321F"/>
    <w:rsid w:val="00C535D9"/>
    <w:rsid w:val="00C53B22"/>
    <w:rsid w:val="00C5410D"/>
    <w:rsid w:val="00C54119"/>
    <w:rsid w:val="00C542FC"/>
    <w:rsid w:val="00C5501C"/>
    <w:rsid w:val="00C55292"/>
    <w:rsid w:val="00C55C26"/>
    <w:rsid w:val="00C57068"/>
    <w:rsid w:val="00C57CF1"/>
    <w:rsid w:val="00C60236"/>
    <w:rsid w:val="00C61786"/>
    <w:rsid w:val="00C61B16"/>
    <w:rsid w:val="00C61CED"/>
    <w:rsid w:val="00C61D79"/>
    <w:rsid w:val="00C66D23"/>
    <w:rsid w:val="00C67B7A"/>
    <w:rsid w:val="00C70414"/>
    <w:rsid w:val="00C709A7"/>
    <w:rsid w:val="00C7103E"/>
    <w:rsid w:val="00C7155E"/>
    <w:rsid w:val="00C724FE"/>
    <w:rsid w:val="00C72919"/>
    <w:rsid w:val="00C75CA3"/>
    <w:rsid w:val="00C76444"/>
    <w:rsid w:val="00C77496"/>
    <w:rsid w:val="00C83AF8"/>
    <w:rsid w:val="00C86323"/>
    <w:rsid w:val="00C86514"/>
    <w:rsid w:val="00C865FF"/>
    <w:rsid w:val="00C878F5"/>
    <w:rsid w:val="00C90C89"/>
    <w:rsid w:val="00C90DF0"/>
    <w:rsid w:val="00C90F37"/>
    <w:rsid w:val="00C90F72"/>
    <w:rsid w:val="00C9133A"/>
    <w:rsid w:val="00C91D8E"/>
    <w:rsid w:val="00C930A1"/>
    <w:rsid w:val="00C955D9"/>
    <w:rsid w:val="00C97183"/>
    <w:rsid w:val="00C97CF7"/>
    <w:rsid w:val="00CA02C8"/>
    <w:rsid w:val="00CA1A74"/>
    <w:rsid w:val="00CA1CCB"/>
    <w:rsid w:val="00CA2618"/>
    <w:rsid w:val="00CA42AC"/>
    <w:rsid w:val="00CA5319"/>
    <w:rsid w:val="00CA54B2"/>
    <w:rsid w:val="00CA58BF"/>
    <w:rsid w:val="00CA60C4"/>
    <w:rsid w:val="00CA7631"/>
    <w:rsid w:val="00CB13BF"/>
    <w:rsid w:val="00CB1B6A"/>
    <w:rsid w:val="00CB1F45"/>
    <w:rsid w:val="00CB3007"/>
    <w:rsid w:val="00CB3AF3"/>
    <w:rsid w:val="00CB4287"/>
    <w:rsid w:val="00CB5830"/>
    <w:rsid w:val="00CB5B80"/>
    <w:rsid w:val="00CB6254"/>
    <w:rsid w:val="00CB694B"/>
    <w:rsid w:val="00CC1F4F"/>
    <w:rsid w:val="00CC26D6"/>
    <w:rsid w:val="00CC3C8C"/>
    <w:rsid w:val="00CC451F"/>
    <w:rsid w:val="00CC712E"/>
    <w:rsid w:val="00CC714B"/>
    <w:rsid w:val="00CC71DA"/>
    <w:rsid w:val="00CC7462"/>
    <w:rsid w:val="00CD0F64"/>
    <w:rsid w:val="00CD2F6E"/>
    <w:rsid w:val="00CD3BC8"/>
    <w:rsid w:val="00CD3F23"/>
    <w:rsid w:val="00CD4507"/>
    <w:rsid w:val="00CD4876"/>
    <w:rsid w:val="00CD71D9"/>
    <w:rsid w:val="00CD7B95"/>
    <w:rsid w:val="00CE25C8"/>
    <w:rsid w:val="00CE4653"/>
    <w:rsid w:val="00CE5228"/>
    <w:rsid w:val="00CE6A87"/>
    <w:rsid w:val="00CF007E"/>
    <w:rsid w:val="00CF17ED"/>
    <w:rsid w:val="00CF1ADC"/>
    <w:rsid w:val="00CF271D"/>
    <w:rsid w:val="00CF331E"/>
    <w:rsid w:val="00CF3401"/>
    <w:rsid w:val="00CF498B"/>
    <w:rsid w:val="00CF4F1E"/>
    <w:rsid w:val="00CF6014"/>
    <w:rsid w:val="00CF7EA7"/>
    <w:rsid w:val="00D007FB"/>
    <w:rsid w:val="00D0086B"/>
    <w:rsid w:val="00D0116B"/>
    <w:rsid w:val="00D021C5"/>
    <w:rsid w:val="00D03002"/>
    <w:rsid w:val="00D03F0A"/>
    <w:rsid w:val="00D04E22"/>
    <w:rsid w:val="00D05476"/>
    <w:rsid w:val="00D05783"/>
    <w:rsid w:val="00D06F2D"/>
    <w:rsid w:val="00D101A7"/>
    <w:rsid w:val="00D10C10"/>
    <w:rsid w:val="00D10CC6"/>
    <w:rsid w:val="00D10FEE"/>
    <w:rsid w:val="00D12507"/>
    <w:rsid w:val="00D12B95"/>
    <w:rsid w:val="00D12C5E"/>
    <w:rsid w:val="00D13854"/>
    <w:rsid w:val="00D14116"/>
    <w:rsid w:val="00D1445E"/>
    <w:rsid w:val="00D155C2"/>
    <w:rsid w:val="00D159CD"/>
    <w:rsid w:val="00D15AEE"/>
    <w:rsid w:val="00D15B8B"/>
    <w:rsid w:val="00D15C0A"/>
    <w:rsid w:val="00D15FBB"/>
    <w:rsid w:val="00D16F5C"/>
    <w:rsid w:val="00D1705C"/>
    <w:rsid w:val="00D17954"/>
    <w:rsid w:val="00D17EB8"/>
    <w:rsid w:val="00D20E39"/>
    <w:rsid w:val="00D20EC9"/>
    <w:rsid w:val="00D211F1"/>
    <w:rsid w:val="00D21ED2"/>
    <w:rsid w:val="00D22AC6"/>
    <w:rsid w:val="00D22F12"/>
    <w:rsid w:val="00D241B1"/>
    <w:rsid w:val="00D25665"/>
    <w:rsid w:val="00D26F8D"/>
    <w:rsid w:val="00D2733E"/>
    <w:rsid w:val="00D277E9"/>
    <w:rsid w:val="00D320C6"/>
    <w:rsid w:val="00D33426"/>
    <w:rsid w:val="00D3366E"/>
    <w:rsid w:val="00D33905"/>
    <w:rsid w:val="00D34E55"/>
    <w:rsid w:val="00D35A43"/>
    <w:rsid w:val="00D36C5B"/>
    <w:rsid w:val="00D37293"/>
    <w:rsid w:val="00D37D64"/>
    <w:rsid w:val="00D40670"/>
    <w:rsid w:val="00D40A57"/>
    <w:rsid w:val="00D40CD7"/>
    <w:rsid w:val="00D415A1"/>
    <w:rsid w:val="00D4227E"/>
    <w:rsid w:val="00D4253F"/>
    <w:rsid w:val="00D42BA5"/>
    <w:rsid w:val="00D42FDE"/>
    <w:rsid w:val="00D4418A"/>
    <w:rsid w:val="00D44624"/>
    <w:rsid w:val="00D44869"/>
    <w:rsid w:val="00D45746"/>
    <w:rsid w:val="00D46BDD"/>
    <w:rsid w:val="00D47421"/>
    <w:rsid w:val="00D502CC"/>
    <w:rsid w:val="00D5121D"/>
    <w:rsid w:val="00D51674"/>
    <w:rsid w:val="00D530FA"/>
    <w:rsid w:val="00D53AFD"/>
    <w:rsid w:val="00D55263"/>
    <w:rsid w:val="00D600DF"/>
    <w:rsid w:val="00D60CEC"/>
    <w:rsid w:val="00D618E6"/>
    <w:rsid w:val="00D61CB3"/>
    <w:rsid w:val="00D6293B"/>
    <w:rsid w:val="00D63296"/>
    <w:rsid w:val="00D6373F"/>
    <w:rsid w:val="00D65077"/>
    <w:rsid w:val="00D653D5"/>
    <w:rsid w:val="00D65543"/>
    <w:rsid w:val="00D65CEE"/>
    <w:rsid w:val="00D660B9"/>
    <w:rsid w:val="00D667AF"/>
    <w:rsid w:val="00D6727F"/>
    <w:rsid w:val="00D73108"/>
    <w:rsid w:val="00D7373A"/>
    <w:rsid w:val="00D74128"/>
    <w:rsid w:val="00D74AF8"/>
    <w:rsid w:val="00D74E3E"/>
    <w:rsid w:val="00D7514D"/>
    <w:rsid w:val="00D75D1C"/>
    <w:rsid w:val="00D7670E"/>
    <w:rsid w:val="00D80556"/>
    <w:rsid w:val="00D81A93"/>
    <w:rsid w:val="00D832DB"/>
    <w:rsid w:val="00D835F1"/>
    <w:rsid w:val="00D84226"/>
    <w:rsid w:val="00D8449A"/>
    <w:rsid w:val="00D84BAF"/>
    <w:rsid w:val="00D8556F"/>
    <w:rsid w:val="00D86C41"/>
    <w:rsid w:val="00D86F58"/>
    <w:rsid w:val="00D871D1"/>
    <w:rsid w:val="00D87D3F"/>
    <w:rsid w:val="00D90EAF"/>
    <w:rsid w:val="00D92687"/>
    <w:rsid w:val="00D92723"/>
    <w:rsid w:val="00D92D7F"/>
    <w:rsid w:val="00D9319A"/>
    <w:rsid w:val="00D936C5"/>
    <w:rsid w:val="00D942C7"/>
    <w:rsid w:val="00D948A1"/>
    <w:rsid w:val="00D94BED"/>
    <w:rsid w:val="00D94E51"/>
    <w:rsid w:val="00D958B8"/>
    <w:rsid w:val="00D95CBF"/>
    <w:rsid w:val="00D9615F"/>
    <w:rsid w:val="00D96F61"/>
    <w:rsid w:val="00D974AA"/>
    <w:rsid w:val="00DA1AFA"/>
    <w:rsid w:val="00DA33BF"/>
    <w:rsid w:val="00DA3C46"/>
    <w:rsid w:val="00DA3F6B"/>
    <w:rsid w:val="00DA44E0"/>
    <w:rsid w:val="00DA465A"/>
    <w:rsid w:val="00DA4AAB"/>
    <w:rsid w:val="00DA65F7"/>
    <w:rsid w:val="00DA73B7"/>
    <w:rsid w:val="00DA7479"/>
    <w:rsid w:val="00DA7993"/>
    <w:rsid w:val="00DB0805"/>
    <w:rsid w:val="00DB0ED3"/>
    <w:rsid w:val="00DB38BD"/>
    <w:rsid w:val="00DB669E"/>
    <w:rsid w:val="00DC1CCC"/>
    <w:rsid w:val="00DC289A"/>
    <w:rsid w:val="00DC296B"/>
    <w:rsid w:val="00DC2D54"/>
    <w:rsid w:val="00DC30E9"/>
    <w:rsid w:val="00DC317C"/>
    <w:rsid w:val="00DC3762"/>
    <w:rsid w:val="00DC41FC"/>
    <w:rsid w:val="00DC4284"/>
    <w:rsid w:val="00DC5A8C"/>
    <w:rsid w:val="00DC6C72"/>
    <w:rsid w:val="00DC6C84"/>
    <w:rsid w:val="00DC6D43"/>
    <w:rsid w:val="00DD443C"/>
    <w:rsid w:val="00DD5F27"/>
    <w:rsid w:val="00DE0091"/>
    <w:rsid w:val="00DE14A1"/>
    <w:rsid w:val="00DE1B62"/>
    <w:rsid w:val="00DE2B2F"/>
    <w:rsid w:val="00DE2C3A"/>
    <w:rsid w:val="00DE4600"/>
    <w:rsid w:val="00DE60FE"/>
    <w:rsid w:val="00DE65C8"/>
    <w:rsid w:val="00DE6686"/>
    <w:rsid w:val="00DF0E36"/>
    <w:rsid w:val="00DF15B9"/>
    <w:rsid w:val="00DF1F02"/>
    <w:rsid w:val="00DF263C"/>
    <w:rsid w:val="00DF3643"/>
    <w:rsid w:val="00DF38A2"/>
    <w:rsid w:val="00DF4118"/>
    <w:rsid w:val="00DF67A3"/>
    <w:rsid w:val="00DF7535"/>
    <w:rsid w:val="00DF758B"/>
    <w:rsid w:val="00DF7929"/>
    <w:rsid w:val="00DF7A73"/>
    <w:rsid w:val="00E00105"/>
    <w:rsid w:val="00E02639"/>
    <w:rsid w:val="00E03403"/>
    <w:rsid w:val="00E034BB"/>
    <w:rsid w:val="00E0380F"/>
    <w:rsid w:val="00E03B2B"/>
    <w:rsid w:val="00E03EB7"/>
    <w:rsid w:val="00E059F5"/>
    <w:rsid w:val="00E06C78"/>
    <w:rsid w:val="00E07050"/>
    <w:rsid w:val="00E0724C"/>
    <w:rsid w:val="00E0752F"/>
    <w:rsid w:val="00E07991"/>
    <w:rsid w:val="00E079AB"/>
    <w:rsid w:val="00E14BE9"/>
    <w:rsid w:val="00E157D8"/>
    <w:rsid w:val="00E1639D"/>
    <w:rsid w:val="00E169B6"/>
    <w:rsid w:val="00E2118C"/>
    <w:rsid w:val="00E21FD7"/>
    <w:rsid w:val="00E220A8"/>
    <w:rsid w:val="00E25D74"/>
    <w:rsid w:val="00E263C8"/>
    <w:rsid w:val="00E2695A"/>
    <w:rsid w:val="00E27198"/>
    <w:rsid w:val="00E30870"/>
    <w:rsid w:val="00E31215"/>
    <w:rsid w:val="00E31768"/>
    <w:rsid w:val="00E3395B"/>
    <w:rsid w:val="00E3404A"/>
    <w:rsid w:val="00E344E9"/>
    <w:rsid w:val="00E34BFB"/>
    <w:rsid w:val="00E35523"/>
    <w:rsid w:val="00E35AF5"/>
    <w:rsid w:val="00E35FBC"/>
    <w:rsid w:val="00E361BC"/>
    <w:rsid w:val="00E36341"/>
    <w:rsid w:val="00E3668B"/>
    <w:rsid w:val="00E36757"/>
    <w:rsid w:val="00E36914"/>
    <w:rsid w:val="00E37EF6"/>
    <w:rsid w:val="00E40D50"/>
    <w:rsid w:val="00E42281"/>
    <w:rsid w:val="00E42290"/>
    <w:rsid w:val="00E42998"/>
    <w:rsid w:val="00E42F10"/>
    <w:rsid w:val="00E435ED"/>
    <w:rsid w:val="00E43C8C"/>
    <w:rsid w:val="00E44613"/>
    <w:rsid w:val="00E44CDF"/>
    <w:rsid w:val="00E4533C"/>
    <w:rsid w:val="00E461C6"/>
    <w:rsid w:val="00E46969"/>
    <w:rsid w:val="00E475D0"/>
    <w:rsid w:val="00E502F2"/>
    <w:rsid w:val="00E515FC"/>
    <w:rsid w:val="00E52359"/>
    <w:rsid w:val="00E5374E"/>
    <w:rsid w:val="00E5481B"/>
    <w:rsid w:val="00E559AC"/>
    <w:rsid w:val="00E55D8D"/>
    <w:rsid w:val="00E56DE2"/>
    <w:rsid w:val="00E5708F"/>
    <w:rsid w:val="00E60557"/>
    <w:rsid w:val="00E609F8"/>
    <w:rsid w:val="00E6174F"/>
    <w:rsid w:val="00E61AE2"/>
    <w:rsid w:val="00E62710"/>
    <w:rsid w:val="00E64924"/>
    <w:rsid w:val="00E67091"/>
    <w:rsid w:val="00E708A2"/>
    <w:rsid w:val="00E70A1D"/>
    <w:rsid w:val="00E71110"/>
    <w:rsid w:val="00E72743"/>
    <w:rsid w:val="00E729EA"/>
    <w:rsid w:val="00E7315F"/>
    <w:rsid w:val="00E74396"/>
    <w:rsid w:val="00E74F18"/>
    <w:rsid w:val="00E7779D"/>
    <w:rsid w:val="00E8110A"/>
    <w:rsid w:val="00E839DD"/>
    <w:rsid w:val="00E84281"/>
    <w:rsid w:val="00E8464A"/>
    <w:rsid w:val="00E851CC"/>
    <w:rsid w:val="00E8548F"/>
    <w:rsid w:val="00E86F91"/>
    <w:rsid w:val="00E90046"/>
    <w:rsid w:val="00E90B0B"/>
    <w:rsid w:val="00E920F5"/>
    <w:rsid w:val="00E9284B"/>
    <w:rsid w:val="00E9293C"/>
    <w:rsid w:val="00E942D2"/>
    <w:rsid w:val="00E947EF"/>
    <w:rsid w:val="00E95A70"/>
    <w:rsid w:val="00E9697D"/>
    <w:rsid w:val="00EA038D"/>
    <w:rsid w:val="00EA1B77"/>
    <w:rsid w:val="00EA1BE0"/>
    <w:rsid w:val="00EA598E"/>
    <w:rsid w:val="00EA6314"/>
    <w:rsid w:val="00EA698A"/>
    <w:rsid w:val="00EA7131"/>
    <w:rsid w:val="00EA7565"/>
    <w:rsid w:val="00EA7C76"/>
    <w:rsid w:val="00EA7F85"/>
    <w:rsid w:val="00EB17D8"/>
    <w:rsid w:val="00EB1ADF"/>
    <w:rsid w:val="00EB1C98"/>
    <w:rsid w:val="00EB23DE"/>
    <w:rsid w:val="00EB37DF"/>
    <w:rsid w:val="00EB394F"/>
    <w:rsid w:val="00EB654D"/>
    <w:rsid w:val="00EB69BA"/>
    <w:rsid w:val="00EB6EF6"/>
    <w:rsid w:val="00EB7112"/>
    <w:rsid w:val="00EB7AF7"/>
    <w:rsid w:val="00EB7DBC"/>
    <w:rsid w:val="00EC0BC1"/>
    <w:rsid w:val="00EC0F02"/>
    <w:rsid w:val="00EC168E"/>
    <w:rsid w:val="00EC29DB"/>
    <w:rsid w:val="00EC2CF5"/>
    <w:rsid w:val="00EC404D"/>
    <w:rsid w:val="00EC4279"/>
    <w:rsid w:val="00EC5B9E"/>
    <w:rsid w:val="00EC7965"/>
    <w:rsid w:val="00ED1622"/>
    <w:rsid w:val="00ED2D88"/>
    <w:rsid w:val="00ED4628"/>
    <w:rsid w:val="00ED4A90"/>
    <w:rsid w:val="00ED7487"/>
    <w:rsid w:val="00ED7B63"/>
    <w:rsid w:val="00EE0116"/>
    <w:rsid w:val="00EE0137"/>
    <w:rsid w:val="00EE0407"/>
    <w:rsid w:val="00EE088A"/>
    <w:rsid w:val="00EE1386"/>
    <w:rsid w:val="00EE24CF"/>
    <w:rsid w:val="00EE391A"/>
    <w:rsid w:val="00EE440C"/>
    <w:rsid w:val="00EE5437"/>
    <w:rsid w:val="00EE6034"/>
    <w:rsid w:val="00EE731D"/>
    <w:rsid w:val="00EF0DFB"/>
    <w:rsid w:val="00EF15FE"/>
    <w:rsid w:val="00EF1A93"/>
    <w:rsid w:val="00EF1E24"/>
    <w:rsid w:val="00EF2E52"/>
    <w:rsid w:val="00EF3D42"/>
    <w:rsid w:val="00EF51A6"/>
    <w:rsid w:val="00EF7733"/>
    <w:rsid w:val="00EF7CEF"/>
    <w:rsid w:val="00F006B3"/>
    <w:rsid w:val="00F0170C"/>
    <w:rsid w:val="00F01823"/>
    <w:rsid w:val="00F020F2"/>
    <w:rsid w:val="00F02398"/>
    <w:rsid w:val="00F037C4"/>
    <w:rsid w:val="00F03D6E"/>
    <w:rsid w:val="00F04248"/>
    <w:rsid w:val="00F04BF0"/>
    <w:rsid w:val="00F05CA4"/>
    <w:rsid w:val="00F06580"/>
    <w:rsid w:val="00F10B01"/>
    <w:rsid w:val="00F10C12"/>
    <w:rsid w:val="00F10F08"/>
    <w:rsid w:val="00F118EC"/>
    <w:rsid w:val="00F11BA4"/>
    <w:rsid w:val="00F11E97"/>
    <w:rsid w:val="00F12C60"/>
    <w:rsid w:val="00F139A9"/>
    <w:rsid w:val="00F14217"/>
    <w:rsid w:val="00F15AA1"/>
    <w:rsid w:val="00F16157"/>
    <w:rsid w:val="00F1661A"/>
    <w:rsid w:val="00F216BE"/>
    <w:rsid w:val="00F21C8C"/>
    <w:rsid w:val="00F23ABA"/>
    <w:rsid w:val="00F23CAD"/>
    <w:rsid w:val="00F25603"/>
    <w:rsid w:val="00F2597D"/>
    <w:rsid w:val="00F2658E"/>
    <w:rsid w:val="00F308ED"/>
    <w:rsid w:val="00F32DAE"/>
    <w:rsid w:val="00F33120"/>
    <w:rsid w:val="00F33788"/>
    <w:rsid w:val="00F337F8"/>
    <w:rsid w:val="00F415AE"/>
    <w:rsid w:val="00F43E21"/>
    <w:rsid w:val="00F448E6"/>
    <w:rsid w:val="00F44B30"/>
    <w:rsid w:val="00F450A0"/>
    <w:rsid w:val="00F4727F"/>
    <w:rsid w:val="00F50790"/>
    <w:rsid w:val="00F5138F"/>
    <w:rsid w:val="00F53213"/>
    <w:rsid w:val="00F5429A"/>
    <w:rsid w:val="00F56168"/>
    <w:rsid w:val="00F56ED4"/>
    <w:rsid w:val="00F578E9"/>
    <w:rsid w:val="00F60895"/>
    <w:rsid w:val="00F61706"/>
    <w:rsid w:val="00F628F0"/>
    <w:rsid w:val="00F62917"/>
    <w:rsid w:val="00F62BFE"/>
    <w:rsid w:val="00F63552"/>
    <w:rsid w:val="00F635A5"/>
    <w:rsid w:val="00F63ABE"/>
    <w:rsid w:val="00F6450E"/>
    <w:rsid w:val="00F646D6"/>
    <w:rsid w:val="00F66B8C"/>
    <w:rsid w:val="00F66D31"/>
    <w:rsid w:val="00F67BB4"/>
    <w:rsid w:val="00F708E8"/>
    <w:rsid w:val="00F70E12"/>
    <w:rsid w:val="00F715B8"/>
    <w:rsid w:val="00F727E5"/>
    <w:rsid w:val="00F734CA"/>
    <w:rsid w:val="00F737D5"/>
    <w:rsid w:val="00F762EF"/>
    <w:rsid w:val="00F77914"/>
    <w:rsid w:val="00F82878"/>
    <w:rsid w:val="00F83BC7"/>
    <w:rsid w:val="00F84327"/>
    <w:rsid w:val="00F84653"/>
    <w:rsid w:val="00F84CC5"/>
    <w:rsid w:val="00F858F6"/>
    <w:rsid w:val="00F91309"/>
    <w:rsid w:val="00F921A0"/>
    <w:rsid w:val="00F92907"/>
    <w:rsid w:val="00F935DD"/>
    <w:rsid w:val="00F937BC"/>
    <w:rsid w:val="00FA0AAF"/>
    <w:rsid w:val="00FA0DEE"/>
    <w:rsid w:val="00FA1861"/>
    <w:rsid w:val="00FA1D8A"/>
    <w:rsid w:val="00FA1F05"/>
    <w:rsid w:val="00FA4842"/>
    <w:rsid w:val="00FA4BA8"/>
    <w:rsid w:val="00FA534D"/>
    <w:rsid w:val="00FA53AD"/>
    <w:rsid w:val="00FA57B1"/>
    <w:rsid w:val="00FA71E6"/>
    <w:rsid w:val="00FA7220"/>
    <w:rsid w:val="00FA7CD5"/>
    <w:rsid w:val="00FB05B8"/>
    <w:rsid w:val="00FB0B74"/>
    <w:rsid w:val="00FB2195"/>
    <w:rsid w:val="00FB2236"/>
    <w:rsid w:val="00FB2C92"/>
    <w:rsid w:val="00FB4544"/>
    <w:rsid w:val="00FB5ED3"/>
    <w:rsid w:val="00FB70A6"/>
    <w:rsid w:val="00FB7871"/>
    <w:rsid w:val="00FC05CB"/>
    <w:rsid w:val="00FC1DF7"/>
    <w:rsid w:val="00FC3DFA"/>
    <w:rsid w:val="00FC65F4"/>
    <w:rsid w:val="00FC6673"/>
    <w:rsid w:val="00FC7AF4"/>
    <w:rsid w:val="00FD2B7B"/>
    <w:rsid w:val="00FD522A"/>
    <w:rsid w:val="00FE1171"/>
    <w:rsid w:val="00FE2386"/>
    <w:rsid w:val="00FE2AC4"/>
    <w:rsid w:val="00FE3319"/>
    <w:rsid w:val="00FE39A3"/>
    <w:rsid w:val="00FE3FE4"/>
    <w:rsid w:val="00FE5025"/>
    <w:rsid w:val="00FE7978"/>
    <w:rsid w:val="00FF038A"/>
    <w:rsid w:val="00FF0E2B"/>
    <w:rsid w:val="00FF0F80"/>
    <w:rsid w:val="00FF4766"/>
    <w:rsid w:val="00FF61CF"/>
    <w:rsid w:val="00FF770B"/>
    <w:rsid w:val="00FF7C3D"/>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03658F"/>
  <w15:chartTrackingRefBased/>
  <w15:docId w15:val="{A8DC2056-ED56-427B-82EA-EECBC605E7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1">
    <w:name w:val="heading 1"/>
    <w:basedOn w:val="Normal"/>
    <w:next w:val="Normal"/>
    <w:link w:val="Titre1Car"/>
    <w:uiPriority w:val="9"/>
    <w:qFormat/>
    <w:rsid w:val="00E67091"/>
    <w:pPr>
      <w:keepNext/>
      <w:keepLines/>
      <w:numPr>
        <w:numId w:val="2"/>
      </w:numPr>
      <w:spacing w:before="240" w:after="0"/>
      <w:outlineLvl w:val="0"/>
    </w:pPr>
    <w:rPr>
      <w:rFonts w:asciiTheme="majorHAnsi" w:eastAsiaTheme="majorEastAsia" w:hAnsiTheme="majorHAnsi" w:cstheme="majorBidi"/>
      <w:color w:val="2F5496" w:themeColor="accent1" w:themeShade="BF"/>
      <w:sz w:val="32"/>
      <w:szCs w:val="32"/>
    </w:rPr>
  </w:style>
  <w:style w:type="paragraph" w:styleId="Titre2">
    <w:name w:val="heading 2"/>
    <w:basedOn w:val="Normal"/>
    <w:next w:val="Normal"/>
    <w:link w:val="Titre2Car"/>
    <w:uiPriority w:val="9"/>
    <w:unhideWhenUsed/>
    <w:qFormat/>
    <w:rsid w:val="00E67091"/>
    <w:pPr>
      <w:keepNext/>
      <w:keepLines/>
      <w:numPr>
        <w:ilvl w:val="1"/>
        <w:numId w:val="2"/>
      </w:numPr>
      <w:spacing w:before="40" w:after="0"/>
      <w:outlineLvl w:val="1"/>
    </w:pPr>
    <w:rPr>
      <w:rFonts w:asciiTheme="majorHAnsi" w:eastAsiaTheme="majorEastAsia" w:hAnsiTheme="majorHAnsi" w:cstheme="majorBidi"/>
      <w:color w:val="2F5496" w:themeColor="accent1" w:themeShade="BF"/>
      <w:sz w:val="26"/>
      <w:szCs w:val="26"/>
    </w:rPr>
  </w:style>
  <w:style w:type="paragraph" w:styleId="Titre3">
    <w:name w:val="heading 3"/>
    <w:basedOn w:val="Normal"/>
    <w:next w:val="Normal"/>
    <w:link w:val="Titre3Car"/>
    <w:uiPriority w:val="9"/>
    <w:unhideWhenUsed/>
    <w:qFormat/>
    <w:rsid w:val="00E67091"/>
    <w:pPr>
      <w:keepNext/>
      <w:keepLines/>
      <w:numPr>
        <w:ilvl w:val="2"/>
        <w:numId w:val="2"/>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re4">
    <w:name w:val="heading 4"/>
    <w:basedOn w:val="Normal"/>
    <w:next w:val="Normal"/>
    <w:link w:val="Titre4Car"/>
    <w:uiPriority w:val="9"/>
    <w:unhideWhenUsed/>
    <w:qFormat/>
    <w:rsid w:val="00E67091"/>
    <w:pPr>
      <w:keepNext/>
      <w:keepLines/>
      <w:numPr>
        <w:ilvl w:val="3"/>
        <w:numId w:val="2"/>
      </w:numPr>
      <w:spacing w:before="40" w:after="0"/>
      <w:outlineLvl w:val="3"/>
    </w:pPr>
    <w:rPr>
      <w:rFonts w:asciiTheme="majorHAnsi" w:eastAsiaTheme="majorEastAsia" w:hAnsiTheme="majorHAnsi" w:cstheme="majorBidi"/>
      <w:i/>
      <w:iCs/>
      <w:color w:val="2F5496" w:themeColor="accent1" w:themeShade="BF"/>
    </w:rPr>
  </w:style>
  <w:style w:type="paragraph" w:styleId="Titre5">
    <w:name w:val="heading 5"/>
    <w:basedOn w:val="Normal"/>
    <w:next w:val="Normal"/>
    <w:link w:val="Titre5Car"/>
    <w:uiPriority w:val="9"/>
    <w:semiHidden/>
    <w:unhideWhenUsed/>
    <w:qFormat/>
    <w:rsid w:val="00E67091"/>
    <w:pPr>
      <w:keepNext/>
      <w:keepLines/>
      <w:numPr>
        <w:ilvl w:val="4"/>
        <w:numId w:val="2"/>
      </w:numPr>
      <w:spacing w:before="40" w:after="0"/>
      <w:outlineLvl w:val="4"/>
    </w:pPr>
    <w:rPr>
      <w:rFonts w:asciiTheme="majorHAnsi" w:eastAsiaTheme="majorEastAsia" w:hAnsiTheme="majorHAnsi" w:cstheme="majorBidi"/>
      <w:color w:val="2F5496" w:themeColor="accent1" w:themeShade="BF"/>
    </w:rPr>
  </w:style>
  <w:style w:type="paragraph" w:styleId="Titre6">
    <w:name w:val="heading 6"/>
    <w:basedOn w:val="Normal"/>
    <w:next w:val="Normal"/>
    <w:link w:val="Titre6Car"/>
    <w:uiPriority w:val="9"/>
    <w:semiHidden/>
    <w:unhideWhenUsed/>
    <w:qFormat/>
    <w:rsid w:val="00E67091"/>
    <w:pPr>
      <w:keepNext/>
      <w:keepLines/>
      <w:numPr>
        <w:ilvl w:val="5"/>
        <w:numId w:val="2"/>
      </w:numPr>
      <w:spacing w:before="40" w:after="0"/>
      <w:outlineLvl w:val="5"/>
    </w:pPr>
    <w:rPr>
      <w:rFonts w:asciiTheme="majorHAnsi" w:eastAsiaTheme="majorEastAsia" w:hAnsiTheme="majorHAnsi" w:cstheme="majorBidi"/>
      <w:color w:val="1F3763" w:themeColor="accent1" w:themeShade="7F"/>
    </w:rPr>
  </w:style>
  <w:style w:type="paragraph" w:styleId="Titre7">
    <w:name w:val="heading 7"/>
    <w:basedOn w:val="Normal"/>
    <w:next w:val="Normal"/>
    <w:link w:val="Titre7Car"/>
    <w:uiPriority w:val="9"/>
    <w:semiHidden/>
    <w:unhideWhenUsed/>
    <w:qFormat/>
    <w:rsid w:val="00E67091"/>
    <w:pPr>
      <w:keepNext/>
      <w:keepLines/>
      <w:numPr>
        <w:ilvl w:val="6"/>
        <w:numId w:val="2"/>
      </w:numPr>
      <w:spacing w:before="40" w:after="0"/>
      <w:outlineLvl w:val="6"/>
    </w:pPr>
    <w:rPr>
      <w:rFonts w:asciiTheme="majorHAnsi" w:eastAsiaTheme="majorEastAsia" w:hAnsiTheme="majorHAnsi" w:cstheme="majorBidi"/>
      <w:i/>
      <w:iCs/>
      <w:color w:val="1F3763" w:themeColor="accent1" w:themeShade="7F"/>
    </w:rPr>
  </w:style>
  <w:style w:type="paragraph" w:styleId="Titre8">
    <w:name w:val="heading 8"/>
    <w:basedOn w:val="Normal"/>
    <w:next w:val="Normal"/>
    <w:link w:val="Titre8Car"/>
    <w:uiPriority w:val="9"/>
    <w:semiHidden/>
    <w:unhideWhenUsed/>
    <w:qFormat/>
    <w:rsid w:val="00E67091"/>
    <w:pPr>
      <w:keepNext/>
      <w:keepLines/>
      <w:numPr>
        <w:ilvl w:val="7"/>
        <w:numId w:val="2"/>
      </w:numPr>
      <w:spacing w:before="40" w:after="0"/>
      <w:outlineLvl w:val="7"/>
    </w:pPr>
    <w:rPr>
      <w:rFonts w:asciiTheme="majorHAnsi" w:eastAsiaTheme="majorEastAsia" w:hAnsiTheme="majorHAnsi" w:cstheme="majorBidi"/>
      <w:color w:val="272727" w:themeColor="text1" w:themeTint="D8"/>
      <w:sz w:val="21"/>
      <w:szCs w:val="21"/>
    </w:rPr>
  </w:style>
  <w:style w:type="paragraph" w:styleId="Titre9">
    <w:name w:val="heading 9"/>
    <w:basedOn w:val="Normal"/>
    <w:next w:val="Normal"/>
    <w:link w:val="Titre9Car"/>
    <w:uiPriority w:val="9"/>
    <w:semiHidden/>
    <w:unhideWhenUsed/>
    <w:qFormat/>
    <w:rsid w:val="00E67091"/>
    <w:pPr>
      <w:keepNext/>
      <w:keepLines/>
      <w:numPr>
        <w:ilvl w:val="8"/>
        <w:numId w:val="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NormalWeb">
    <w:name w:val="Normal (Web)"/>
    <w:basedOn w:val="Normal"/>
    <w:uiPriority w:val="99"/>
    <w:unhideWhenUsed/>
    <w:rsid w:val="00200158"/>
    <w:pPr>
      <w:spacing w:before="100" w:beforeAutospacing="1" w:after="100" w:afterAutospacing="1" w:line="240" w:lineRule="auto"/>
    </w:pPr>
    <w:rPr>
      <w:rFonts w:ascii="Times New Roman" w:eastAsia="Times New Roman" w:hAnsi="Times New Roman" w:cs="Times New Roman"/>
      <w:sz w:val="24"/>
      <w:szCs w:val="24"/>
      <w:lang w:eastAsia="fr-FR"/>
    </w:rPr>
  </w:style>
  <w:style w:type="table" w:styleId="Grilledutableau">
    <w:name w:val="Table Grid"/>
    <w:basedOn w:val="TableauNormal"/>
    <w:uiPriority w:val="39"/>
    <w:rsid w:val="0020015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enhypertexte">
    <w:name w:val="Hyperlink"/>
    <w:basedOn w:val="Policepardfaut"/>
    <w:uiPriority w:val="99"/>
    <w:unhideWhenUsed/>
    <w:rsid w:val="00200158"/>
    <w:rPr>
      <w:color w:val="0563C1" w:themeColor="hyperlink"/>
      <w:u w:val="single"/>
    </w:rPr>
  </w:style>
  <w:style w:type="character" w:styleId="Mentionnonrsolue">
    <w:name w:val="Unresolved Mention"/>
    <w:basedOn w:val="Policepardfaut"/>
    <w:uiPriority w:val="99"/>
    <w:semiHidden/>
    <w:unhideWhenUsed/>
    <w:rsid w:val="00200158"/>
    <w:rPr>
      <w:color w:val="605E5C"/>
      <w:shd w:val="clear" w:color="auto" w:fill="E1DFDD"/>
    </w:rPr>
  </w:style>
  <w:style w:type="paragraph" w:styleId="En-tte">
    <w:name w:val="header"/>
    <w:basedOn w:val="Normal"/>
    <w:link w:val="En-tteCar"/>
    <w:uiPriority w:val="99"/>
    <w:unhideWhenUsed/>
    <w:rsid w:val="00CA7631"/>
    <w:pPr>
      <w:tabs>
        <w:tab w:val="center" w:pos="4703"/>
        <w:tab w:val="right" w:pos="9406"/>
      </w:tabs>
      <w:spacing w:after="0" w:line="240" w:lineRule="auto"/>
    </w:pPr>
  </w:style>
  <w:style w:type="character" w:customStyle="1" w:styleId="En-tteCar">
    <w:name w:val="En-tête Car"/>
    <w:basedOn w:val="Policepardfaut"/>
    <w:link w:val="En-tte"/>
    <w:uiPriority w:val="99"/>
    <w:rsid w:val="00CA7631"/>
  </w:style>
  <w:style w:type="paragraph" w:styleId="Pieddepage">
    <w:name w:val="footer"/>
    <w:basedOn w:val="Normal"/>
    <w:link w:val="PieddepageCar"/>
    <w:uiPriority w:val="99"/>
    <w:unhideWhenUsed/>
    <w:rsid w:val="00CA7631"/>
    <w:pPr>
      <w:tabs>
        <w:tab w:val="center" w:pos="4703"/>
        <w:tab w:val="right" w:pos="9406"/>
      </w:tabs>
      <w:spacing w:after="0" w:line="240" w:lineRule="auto"/>
    </w:pPr>
  </w:style>
  <w:style w:type="character" w:customStyle="1" w:styleId="PieddepageCar">
    <w:name w:val="Pied de page Car"/>
    <w:basedOn w:val="Policepardfaut"/>
    <w:link w:val="Pieddepage"/>
    <w:uiPriority w:val="99"/>
    <w:rsid w:val="00CA7631"/>
  </w:style>
  <w:style w:type="character" w:customStyle="1" w:styleId="Titre1Car">
    <w:name w:val="Titre 1 Car"/>
    <w:basedOn w:val="Policepardfaut"/>
    <w:link w:val="Titre1"/>
    <w:uiPriority w:val="9"/>
    <w:rsid w:val="00E67091"/>
    <w:rPr>
      <w:rFonts w:asciiTheme="majorHAnsi" w:eastAsiaTheme="majorEastAsia" w:hAnsiTheme="majorHAnsi" w:cstheme="majorBidi"/>
      <w:color w:val="2F5496" w:themeColor="accent1" w:themeShade="BF"/>
      <w:sz w:val="32"/>
      <w:szCs w:val="32"/>
    </w:rPr>
  </w:style>
  <w:style w:type="character" w:customStyle="1" w:styleId="Titre2Car">
    <w:name w:val="Titre 2 Car"/>
    <w:basedOn w:val="Policepardfaut"/>
    <w:link w:val="Titre2"/>
    <w:uiPriority w:val="9"/>
    <w:rsid w:val="00E67091"/>
    <w:rPr>
      <w:rFonts w:asciiTheme="majorHAnsi" w:eastAsiaTheme="majorEastAsia" w:hAnsiTheme="majorHAnsi" w:cstheme="majorBidi"/>
      <w:color w:val="2F5496" w:themeColor="accent1" w:themeShade="BF"/>
      <w:sz w:val="26"/>
      <w:szCs w:val="26"/>
    </w:rPr>
  </w:style>
  <w:style w:type="character" w:customStyle="1" w:styleId="Titre3Car">
    <w:name w:val="Titre 3 Car"/>
    <w:basedOn w:val="Policepardfaut"/>
    <w:link w:val="Titre3"/>
    <w:uiPriority w:val="9"/>
    <w:rsid w:val="00E67091"/>
    <w:rPr>
      <w:rFonts w:asciiTheme="majorHAnsi" w:eastAsiaTheme="majorEastAsia" w:hAnsiTheme="majorHAnsi" w:cstheme="majorBidi"/>
      <w:color w:val="1F3763" w:themeColor="accent1" w:themeShade="7F"/>
      <w:sz w:val="24"/>
      <w:szCs w:val="24"/>
    </w:rPr>
  </w:style>
  <w:style w:type="character" w:customStyle="1" w:styleId="Titre4Car">
    <w:name w:val="Titre 4 Car"/>
    <w:basedOn w:val="Policepardfaut"/>
    <w:link w:val="Titre4"/>
    <w:uiPriority w:val="9"/>
    <w:rsid w:val="00E67091"/>
    <w:rPr>
      <w:rFonts w:asciiTheme="majorHAnsi" w:eastAsiaTheme="majorEastAsia" w:hAnsiTheme="majorHAnsi" w:cstheme="majorBidi"/>
      <w:i/>
      <w:iCs/>
      <w:color w:val="2F5496" w:themeColor="accent1" w:themeShade="BF"/>
    </w:rPr>
  </w:style>
  <w:style w:type="character" w:customStyle="1" w:styleId="Titre5Car">
    <w:name w:val="Titre 5 Car"/>
    <w:basedOn w:val="Policepardfaut"/>
    <w:link w:val="Titre5"/>
    <w:uiPriority w:val="9"/>
    <w:semiHidden/>
    <w:rsid w:val="00E67091"/>
    <w:rPr>
      <w:rFonts w:asciiTheme="majorHAnsi" w:eastAsiaTheme="majorEastAsia" w:hAnsiTheme="majorHAnsi" w:cstheme="majorBidi"/>
      <w:color w:val="2F5496" w:themeColor="accent1" w:themeShade="BF"/>
    </w:rPr>
  </w:style>
  <w:style w:type="character" w:customStyle="1" w:styleId="Titre6Car">
    <w:name w:val="Titre 6 Car"/>
    <w:basedOn w:val="Policepardfaut"/>
    <w:link w:val="Titre6"/>
    <w:uiPriority w:val="9"/>
    <w:semiHidden/>
    <w:rsid w:val="00E67091"/>
    <w:rPr>
      <w:rFonts w:asciiTheme="majorHAnsi" w:eastAsiaTheme="majorEastAsia" w:hAnsiTheme="majorHAnsi" w:cstheme="majorBidi"/>
      <w:color w:val="1F3763" w:themeColor="accent1" w:themeShade="7F"/>
    </w:rPr>
  </w:style>
  <w:style w:type="character" w:customStyle="1" w:styleId="Titre7Car">
    <w:name w:val="Titre 7 Car"/>
    <w:basedOn w:val="Policepardfaut"/>
    <w:link w:val="Titre7"/>
    <w:uiPriority w:val="9"/>
    <w:semiHidden/>
    <w:rsid w:val="00E67091"/>
    <w:rPr>
      <w:rFonts w:asciiTheme="majorHAnsi" w:eastAsiaTheme="majorEastAsia" w:hAnsiTheme="majorHAnsi" w:cstheme="majorBidi"/>
      <w:i/>
      <w:iCs/>
      <w:color w:val="1F3763" w:themeColor="accent1" w:themeShade="7F"/>
    </w:rPr>
  </w:style>
  <w:style w:type="character" w:customStyle="1" w:styleId="Titre8Car">
    <w:name w:val="Titre 8 Car"/>
    <w:basedOn w:val="Policepardfaut"/>
    <w:link w:val="Titre8"/>
    <w:uiPriority w:val="9"/>
    <w:semiHidden/>
    <w:rsid w:val="00E67091"/>
    <w:rPr>
      <w:rFonts w:asciiTheme="majorHAnsi" w:eastAsiaTheme="majorEastAsia" w:hAnsiTheme="majorHAnsi" w:cstheme="majorBidi"/>
      <w:color w:val="272727" w:themeColor="text1" w:themeTint="D8"/>
      <w:sz w:val="21"/>
      <w:szCs w:val="21"/>
    </w:rPr>
  </w:style>
  <w:style w:type="character" w:customStyle="1" w:styleId="Titre9Car">
    <w:name w:val="Titre 9 Car"/>
    <w:basedOn w:val="Policepardfaut"/>
    <w:link w:val="Titre9"/>
    <w:uiPriority w:val="9"/>
    <w:semiHidden/>
    <w:rsid w:val="00E67091"/>
    <w:rPr>
      <w:rFonts w:asciiTheme="majorHAnsi" w:eastAsiaTheme="majorEastAsia" w:hAnsiTheme="majorHAnsi" w:cstheme="majorBidi"/>
      <w:i/>
      <w:iCs/>
      <w:color w:val="272727" w:themeColor="text1" w:themeTint="D8"/>
      <w:sz w:val="21"/>
      <w:szCs w:val="21"/>
    </w:rPr>
  </w:style>
  <w:style w:type="paragraph" w:styleId="Paragraphedeliste">
    <w:name w:val="List Paragraph"/>
    <w:basedOn w:val="Normal"/>
    <w:uiPriority w:val="34"/>
    <w:qFormat/>
    <w:rsid w:val="004708D6"/>
    <w:pPr>
      <w:ind w:left="720"/>
      <w:contextualSpacing/>
    </w:pPr>
  </w:style>
  <w:style w:type="paragraph" w:styleId="Notedebasdepage">
    <w:name w:val="footnote text"/>
    <w:basedOn w:val="Normal"/>
    <w:link w:val="NotedebasdepageCar"/>
    <w:uiPriority w:val="99"/>
    <w:unhideWhenUsed/>
    <w:rsid w:val="00EA038D"/>
    <w:pPr>
      <w:spacing w:after="0" w:line="240" w:lineRule="auto"/>
    </w:pPr>
    <w:rPr>
      <w:sz w:val="20"/>
      <w:szCs w:val="20"/>
    </w:rPr>
  </w:style>
  <w:style w:type="character" w:customStyle="1" w:styleId="NotedebasdepageCar">
    <w:name w:val="Note de bas de page Car"/>
    <w:basedOn w:val="Policepardfaut"/>
    <w:link w:val="Notedebasdepage"/>
    <w:uiPriority w:val="99"/>
    <w:qFormat/>
    <w:rsid w:val="00EA038D"/>
    <w:rPr>
      <w:sz w:val="20"/>
      <w:szCs w:val="20"/>
    </w:rPr>
  </w:style>
  <w:style w:type="character" w:styleId="Appelnotedebasdep">
    <w:name w:val="footnote reference"/>
    <w:basedOn w:val="Policepardfaut"/>
    <w:uiPriority w:val="99"/>
    <w:semiHidden/>
    <w:unhideWhenUsed/>
    <w:rsid w:val="00EA038D"/>
    <w:rPr>
      <w:vertAlign w:val="superscript"/>
    </w:rPr>
  </w:style>
  <w:style w:type="character" w:customStyle="1" w:styleId="LienInternet">
    <w:name w:val="Lien Internet"/>
    <w:basedOn w:val="Policepardfaut"/>
    <w:uiPriority w:val="99"/>
    <w:unhideWhenUsed/>
    <w:rsid w:val="00DC41FC"/>
    <w:rPr>
      <w:color w:val="0000FF"/>
      <w:u w:val="single"/>
    </w:rPr>
  </w:style>
  <w:style w:type="character" w:customStyle="1" w:styleId="Ancredenotedebasdepage">
    <w:name w:val="Ancre de note de bas de page"/>
    <w:rsid w:val="00DC41FC"/>
    <w:rPr>
      <w:vertAlign w:val="superscript"/>
    </w:rPr>
  </w:style>
  <w:style w:type="character" w:customStyle="1" w:styleId="Caractresdenotedebasdepage">
    <w:name w:val="Caractères de note de bas de page"/>
    <w:qFormat/>
    <w:rsid w:val="00DC41FC"/>
  </w:style>
  <w:style w:type="paragraph" w:customStyle="1" w:styleId="Default">
    <w:name w:val="Default"/>
    <w:rsid w:val="00F25603"/>
    <w:pPr>
      <w:autoSpaceDE w:val="0"/>
      <w:autoSpaceDN w:val="0"/>
      <w:adjustRightInd w:val="0"/>
      <w:spacing w:after="0" w:line="240" w:lineRule="auto"/>
    </w:pPr>
    <w:rPr>
      <w:rFonts w:ascii="Arial" w:hAnsi="Arial" w:cs="Arial"/>
      <w:color w:val="000000"/>
      <w:sz w:val="24"/>
      <w:szCs w:val="24"/>
    </w:rPr>
  </w:style>
  <w:style w:type="character" w:styleId="Lienhypertextesuivivisit">
    <w:name w:val="FollowedHyperlink"/>
    <w:basedOn w:val="Policepardfaut"/>
    <w:uiPriority w:val="99"/>
    <w:semiHidden/>
    <w:unhideWhenUsed/>
    <w:rsid w:val="00CA58BF"/>
    <w:rPr>
      <w:color w:val="954F72" w:themeColor="followedHyperlink"/>
      <w:u w:val="single"/>
    </w:rPr>
  </w:style>
  <w:style w:type="character" w:customStyle="1" w:styleId="romain">
    <w:name w:val="romain"/>
    <w:basedOn w:val="Policepardfaut"/>
    <w:rsid w:val="00DA7993"/>
  </w:style>
  <w:style w:type="character" w:customStyle="1" w:styleId="citation">
    <w:name w:val="citation"/>
    <w:basedOn w:val="Policepardfaut"/>
    <w:rsid w:val="00FE3319"/>
  </w:style>
  <w:style w:type="character" w:styleId="Accentuation">
    <w:name w:val="Emphasis"/>
    <w:basedOn w:val="Policepardfaut"/>
    <w:uiPriority w:val="20"/>
    <w:qFormat/>
    <w:rsid w:val="00EA698A"/>
    <w:rPr>
      <w:i/>
      <w:iCs/>
    </w:rPr>
  </w:style>
  <w:style w:type="character" w:customStyle="1" w:styleId="lang-en">
    <w:name w:val="lang-en"/>
    <w:basedOn w:val="Policepardfaut"/>
    <w:rsid w:val="00EC0BC1"/>
  </w:style>
  <w:style w:type="character" w:customStyle="1" w:styleId="indicateur-langue">
    <w:name w:val="indicateur-langue"/>
    <w:basedOn w:val="Policepardfaut"/>
    <w:rsid w:val="0022482E"/>
  </w:style>
  <w:style w:type="character" w:styleId="CitationHTML">
    <w:name w:val="HTML Cite"/>
    <w:basedOn w:val="Policepardfaut"/>
    <w:uiPriority w:val="99"/>
    <w:semiHidden/>
    <w:unhideWhenUsed/>
    <w:rsid w:val="003F5F30"/>
    <w:rPr>
      <w:i/>
      <w:iCs/>
    </w:rPr>
  </w:style>
  <w:style w:type="character" w:customStyle="1" w:styleId="italique">
    <w:name w:val="italique"/>
    <w:basedOn w:val="Policepardfaut"/>
    <w:rsid w:val="003F5F30"/>
  </w:style>
  <w:style w:type="character" w:customStyle="1" w:styleId="frac">
    <w:name w:val="frac"/>
    <w:basedOn w:val="Policepardfaut"/>
    <w:rsid w:val="006C3A2E"/>
  </w:style>
  <w:style w:type="character" w:customStyle="1" w:styleId="sr-only">
    <w:name w:val="sr-only"/>
    <w:basedOn w:val="Policepardfaut"/>
    <w:rsid w:val="006C3A2E"/>
  </w:style>
  <w:style w:type="character" w:customStyle="1" w:styleId="num">
    <w:name w:val="num"/>
    <w:basedOn w:val="Policepardfaut"/>
    <w:rsid w:val="006C3A2E"/>
  </w:style>
  <w:style w:type="character" w:customStyle="1" w:styleId="den">
    <w:name w:val="den"/>
    <w:basedOn w:val="Policepardfaut"/>
    <w:rsid w:val="006C3A2E"/>
  </w:style>
  <w:style w:type="character" w:customStyle="1" w:styleId="reference-text">
    <w:name w:val="reference-text"/>
    <w:basedOn w:val="Policepardfaut"/>
    <w:rsid w:val="00BD1B4F"/>
  </w:style>
  <w:style w:type="paragraph" w:styleId="En-ttedetabledesmatires">
    <w:name w:val="TOC Heading"/>
    <w:basedOn w:val="Titre1"/>
    <w:next w:val="Normal"/>
    <w:uiPriority w:val="39"/>
    <w:unhideWhenUsed/>
    <w:qFormat/>
    <w:rsid w:val="00397487"/>
    <w:pPr>
      <w:numPr>
        <w:numId w:val="0"/>
      </w:numPr>
      <w:outlineLvl w:val="9"/>
    </w:pPr>
    <w:rPr>
      <w:lang w:eastAsia="fr-FR"/>
    </w:rPr>
  </w:style>
  <w:style w:type="paragraph" w:styleId="TM1">
    <w:name w:val="toc 1"/>
    <w:basedOn w:val="Normal"/>
    <w:next w:val="Normal"/>
    <w:autoRedefine/>
    <w:uiPriority w:val="39"/>
    <w:unhideWhenUsed/>
    <w:rsid w:val="00397487"/>
    <w:pPr>
      <w:spacing w:after="100"/>
    </w:pPr>
  </w:style>
  <w:style w:type="paragraph" w:styleId="TM2">
    <w:name w:val="toc 2"/>
    <w:basedOn w:val="Normal"/>
    <w:next w:val="Normal"/>
    <w:autoRedefine/>
    <w:uiPriority w:val="39"/>
    <w:unhideWhenUsed/>
    <w:rsid w:val="00397487"/>
    <w:pPr>
      <w:spacing w:after="100"/>
      <w:ind w:left="220"/>
    </w:pPr>
  </w:style>
  <w:style w:type="paragraph" w:styleId="TM3">
    <w:name w:val="toc 3"/>
    <w:basedOn w:val="Normal"/>
    <w:next w:val="Normal"/>
    <w:autoRedefine/>
    <w:uiPriority w:val="39"/>
    <w:unhideWhenUsed/>
    <w:rsid w:val="00397487"/>
    <w:pPr>
      <w:spacing w:after="100"/>
      <w:ind w:left="440"/>
    </w:pPr>
  </w:style>
  <w:style w:type="paragraph" w:styleId="TM4">
    <w:name w:val="toc 4"/>
    <w:basedOn w:val="Normal"/>
    <w:next w:val="Normal"/>
    <w:autoRedefine/>
    <w:uiPriority w:val="39"/>
    <w:unhideWhenUsed/>
    <w:rsid w:val="00397487"/>
    <w:pPr>
      <w:spacing w:after="100"/>
      <w:ind w:left="660"/>
    </w:pPr>
    <w:rPr>
      <w:rFonts w:eastAsiaTheme="minorEastAsia"/>
      <w:lang w:eastAsia="fr-FR"/>
    </w:rPr>
  </w:style>
  <w:style w:type="paragraph" w:styleId="TM5">
    <w:name w:val="toc 5"/>
    <w:basedOn w:val="Normal"/>
    <w:next w:val="Normal"/>
    <w:autoRedefine/>
    <w:uiPriority w:val="39"/>
    <w:unhideWhenUsed/>
    <w:rsid w:val="00397487"/>
    <w:pPr>
      <w:spacing w:after="100"/>
      <w:ind w:left="880"/>
    </w:pPr>
    <w:rPr>
      <w:rFonts w:eastAsiaTheme="minorEastAsia"/>
      <w:lang w:eastAsia="fr-FR"/>
    </w:rPr>
  </w:style>
  <w:style w:type="paragraph" w:styleId="TM6">
    <w:name w:val="toc 6"/>
    <w:basedOn w:val="Normal"/>
    <w:next w:val="Normal"/>
    <w:autoRedefine/>
    <w:uiPriority w:val="39"/>
    <w:unhideWhenUsed/>
    <w:rsid w:val="00397487"/>
    <w:pPr>
      <w:spacing w:after="100"/>
      <w:ind w:left="1100"/>
    </w:pPr>
    <w:rPr>
      <w:rFonts w:eastAsiaTheme="minorEastAsia"/>
      <w:lang w:eastAsia="fr-FR"/>
    </w:rPr>
  </w:style>
  <w:style w:type="paragraph" w:styleId="TM7">
    <w:name w:val="toc 7"/>
    <w:basedOn w:val="Normal"/>
    <w:next w:val="Normal"/>
    <w:autoRedefine/>
    <w:uiPriority w:val="39"/>
    <w:unhideWhenUsed/>
    <w:rsid w:val="00397487"/>
    <w:pPr>
      <w:spacing w:after="100"/>
      <w:ind w:left="1320"/>
    </w:pPr>
    <w:rPr>
      <w:rFonts w:eastAsiaTheme="minorEastAsia"/>
      <w:lang w:eastAsia="fr-FR"/>
    </w:rPr>
  </w:style>
  <w:style w:type="paragraph" w:styleId="TM8">
    <w:name w:val="toc 8"/>
    <w:basedOn w:val="Normal"/>
    <w:next w:val="Normal"/>
    <w:autoRedefine/>
    <w:uiPriority w:val="39"/>
    <w:unhideWhenUsed/>
    <w:rsid w:val="00397487"/>
    <w:pPr>
      <w:spacing w:after="100"/>
      <w:ind w:left="1540"/>
    </w:pPr>
    <w:rPr>
      <w:rFonts w:eastAsiaTheme="minorEastAsia"/>
      <w:lang w:eastAsia="fr-FR"/>
    </w:rPr>
  </w:style>
  <w:style w:type="paragraph" w:styleId="TM9">
    <w:name w:val="toc 9"/>
    <w:basedOn w:val="Normal"/>
    <w:next w:val="Normal"/>
    <w:autoRedefine/>
    <w:uiPriority w:val="39"/>
    <w:unhideWhenUsed/>
    <w:rsid w:val="00397487"/>
    <w:pPr>
      <w:spacing w:after="100"/>
      <w:ind w:left="1760"/>
    </w:pPr>
    <w:rPr>
      <w:rFonts w:eastAsiaTheme="minorEastAsia"/>
      <w:lang w:eastAsia="fr-FR"/>
    </w:rPr>
  </w:style>
  <w:style w:type="character" w:customStyle="1" w:styleId="u-visually-hidden">
    <w:name w:val="u-visually-hidden"/>
    <w:basedOn w:val="Policepardfaut"/>
    <w:rsid w:val="00D15FBB"/>
  </w:style>
  <w:style w:type="character" w:styleId="lev">
    <w:name w:val="Strong"/>
    <w:basedOn w:val="Policepardfaut"/>
    <w:uiPriority w:val="22"/>
    <w:qFormat/>
    <w:rsid w:val="00ED4A90"/>
    <w:rPr>
      <w:b/>
      <w:bCs/>
    </w:rPr>
  </w:style>
  <w:style w:type="paragraph" w:styleId="Textebrut">
    <w:name w:val="Plain Text"/>
    <w:basedOn w:val="Normal"/>
    <w:link w:val="TextebrutCar"/>
    <w:uiPriority w:val="99"/>
    <w:unhideWhenUsed/>
    <w:rsid w:val="00C24E45"/>
    <w:pPr>
      <w:spacing w:after="0" w:line="240" w:lineRule="auto"/>
    </w:pPr>
    <w:rPr>
      <w:rFonts w:ascii="Calibri" w:hAnsi="Calibri"/>
      <w:szCs w:val="21"/>
    </w:rPr>
  </w:style>
  <w:style w:type="character" w:customStyle="1" w:styleId="TextebrutCar">
    <w:name w:val="Texte brut Car"/>
    <w:basedOn w:val="Policepardfaut"/>
    <w:link w:val="Textebrut"/>
    <w:uiPriority w:val="99"/>
    <w:rsid w:val="00C24E45"/>
    <w:rPr>
      <w:rFonts w:ascii="Calibri" w:hAnsi="Calibri"/>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795687">
      <w:bodyDiv w:val="1"/>
      <w:marLeft w:val="0"/>
      <w:marRight w:val="0"/>
      <w:marTop w:val="0"/>
      <w:marBottom w:val="0"/>
      <w:divBdr>
        <w:top w:val="none" w:sz="0" w:space="0" w:color="auto"/>
        <w:left w:val="none" w:sz="0" w:space="0" w:color="auto"/>
        <w:bottom w:val="none" w:sz="0" w:space="0" w:color="auto"/>
        <w:right w:val="none" w:sz="0" w:space="0" w:color="auto"/>
      </w:divBdr>
    </w:div>
    <w:div w:id="6560658">
      <w:bodyDiv w:val="1"/>
      <w:marLeft w:val="0"/>
      <w:marRight w:val="0"/>
      <w:marTop w:val="0"/>
      <w:marBottom w:val="0"/>
      <w:divBdr>
        <w:top w:val="none" w:sz="0" w:space="0" w:color="auto"/>
        <w:left w:val="none" w:sz="0" w:space="0" w:color="auto"/>
        <w:bottom w:val="none" w:sz="0" w:space="0" w:color="auto"/>
        <w:right w:val="none" w:sz="0" w:space="0" w:color="auto"/>
      </w:divBdr>
    </w:div>
    <w:div w:id="8989109">
      <w:bodyDiv w:val="1"/>
      <w:marLeft w:val="0"/>
      <w:marRight w:val="0"/>
      <w:marTop w:val="0"/>
      <w:marBottom w:val="0"/>
      <w:divBdr>
        <w:top w:val="none" w:sz="0" w:space="0" w:color="auto"/>
        <w:left w:val="none" w:sz="0" w:space="0" w:color="auto"/>
        <w:bottom w:val="none" w:sz="0" w:space="0" w:color="auto"/>
        <w:right w:val="none" w:sz="0" w:space="0" w:color="auto"/>
      </w:divBdr>
    </w:div>
    <w:div w:id="19283751">
      <w:bodyDiv w:val="1"/>
      <w:marLeft w:val="0"/>
      <w:marRight w:val="0"/>
      <w:marTop w:val="0"/>
      <w:marBottom w:val="0"/>
      <w:divBdr>
        <w:top w:val="none" w:sz="0" w:space="0" w:color="auto"/>
        <w:left w:val="none" w:sz="0" w:space="0" w:color="auto"/>
        <w:bottom w:val="none" w:sz="0" w:space="0" w:color="auto"/>
        <w:right w:val="none" w:sz="0" w:space="0" w:color="auto"/>
      </w:divBdr>
    </w:div>
    <w:div w:id="20280193">
      <w:bodyDiv w:val="1"/>
      <w:marLeft w:val="0"/>
      <w:marRight w:val="0"/>
      <w:marTop w:val="0"/>
      <w:marBottom w:val="0"/>
      <w:divBdr>
        <w:top w:val="none" w:sz="0" w:space="0" w:color="auto"/>
        <w:left w:val="none" w:sz="0" w:space="0" w:color="auto"/>
        <w:bottom w:val="none" w:sz="0" w:space="0" w:color="auto"/>
        <w:right w:val="none" w:sz="0" w:space="0" w:color="auto"/>
      </w:divBdr>
    </w:div>
    <w:div w:id="23950376">
      <w:bodyDiv w:val="1"/>
      <w:marLeft w:val="0"/>
      <w:marRight w:val="0"/>
      <w:marTop w:val="0"/>
      <w:marBottom w:val="0"/>
      <w:divBdr>
        <w:top w:val="none" w:sz="0" w:space="0" w:color="auto"/>
        <w:left w:val="none" w:sz="0" w:space="0" w:color="auto"/>
        <w:bottom w:val="none" w:sz="0" w:space="0" w:color="auto"/>
        <w:right w:val="none" w:sz="0" w:space="0" w:color="auto"/>
      </w:divBdr>
    </w:div>
    <w:div w:id="26149083">
      <w:bodyDiv w:val="1"/>
      <w:marLeft w:val="0"/>
      <w:marRight w:val="0"/>
      <w:marTop w:val="0"/>
      <w:marBottom w:val="0"/>
      <w:divBdr>
        <w:top w:val="none" w:sz="0" w:space="0" w:color="auto"/>
        <w:left w:val="none" w:sz="0" w:space="0" w:color="auto"/>
        <w:bottom w:val="none" w:sz="0" w:space="0" w:color="auto"/>
        <w:right w:val="none" w:sz="0" w:space="0" w:color="auto"/>
      </w:divBdr>
    </w:div>
    <w:div w:id="29040424">
      <w:bodyDiv w:val="1"/>
      <w:marLeft w:val="0"/>
      <w:marRight w:val="0"/>
      <w:marTop w:val="0"/>
      <w:marBottom w:val="0"/>
      <w:divBdr>
        <w:top w:val="none" w:sz="0" w:space="0" w:color="auto"/>
        <w:left w:val="none" w:sz="0" w:space="0" w:color="auto"/>
        <w:bottom w:val="none" w:sz="0" w:space="0" w:color="auto"/>
        <w:right w:val="none" w:sz="0" w:space="0" w:color="auto"/>
      </w:divBdr>
    </w:div>
    <w:div w:id="30886598">
      <w:bodyDiv w:val="1"/>
      <w:marLeft w:val="0"/>
      <w:marRight w:val="0"/>
      <w:marTop w:val="0"/>
      <w:marBottom w:val="0"/>
      <w:divBdr>
        <w:top w:val="none" w:sz="0" w:space="0" w:color="auto"/>
        <w:left w:val="none" w:sz="0" w:space="0" w:color="auto"/>
        <w:bottom w:val="none" w:sz="0" w:space="0" w:color="auto"/>
        <w:right w:val="none" w:sz="0" w:space="0" w:color="auto"/>
      </w:divBdr>
    </w:div>
    <w:div w:id="34890201">
      <w:bodyDiv w:val="1"/>
      <w:marLeft w:val="0"/>
      <w:marRight w:val="0"/>
      <w:marTop w:val="0"/>
      <w:marBottom w:val="0"/>
      <w:divBdr>
        <w:top w:val="none" w:sz="0" w:space="0" w:color="auto"/>
        <w:left w:val="none" w:sz="0" w:space="0" w:color="auto"/>
        <w:bottom w:val="none" w:sz="0" w:space="0" w:color="auto"/>
        <w:right w:val="none" w:sz="0" w:space="0" w:color="auto"/>
      </w:divBdr>
    </w:div>
    <w:div w:id="46226307">
      <w:bodyDiv w:val="1"/>
      <w:marLeft w:val="0"/>
      <w:marRight w:val="0"/>
      <w:marTop w:val="0"/>
      <w:marBottom w:val="0"/>
      <w:divBdr>
        <w:top w:val="none" w:sz="0" w:space="0" w:color="auto"/>
        <w:left w:val="none" w:sz="0" w:space="0" w:color="auto"/>
        <w:bottom w:val="none" w:sz="0" w:space="0" w:color="auto"/>
        <w:right w:val="none" w:sz="0" w:space="0" w:color="auto"/>
      </w:divBdr>
    </w:div>
    <w:div w:id="46536364">
      <w:bodyDiv w:val="1"/>
      <w:marLeft w:val="0"/>
      <w:marRight w:val="0"/>
      <w:marTop w:val="0"/>
      <w:marBottom w:val="0"/>
      <w:divBdr>
        <w:top w:val="none" w:sz="0" w:space="0" w:color="auto"/>
        <w:left w:val="none" w:sz="0" w:space="0" w:color="auto"/>
        <w:bottom w:val="none" w:sz="0" w:space="0" w:color="auto"/>
        <w:right w:val="none" w:sz="0" w:space="0" w:color="auto"/>
      </w:divBdr>
    </w:div>
    <w:div w:id="47385645">
      <w:bodyDiv w:val="1"/>
      <w:marLeft w:val="0"/>
      <w:marRight w:val="0"/>
      <w:marTop w:val="0"/>
      <w:marBottom w:val="0"/>
      <w:divBdr>
        <w:top w:val="none" w:sz="0" w:space="0" w:color="auto"/>
        <w:left w:val="none" w:sz="0" w:space="0" w:color="auto"/>
        <w:bottom w:val="none" w:sz="0" w:space="0" w:color="auto"/>
        <w:right w:val="none" w:sz="0" w:space="0" w:color="auto"/>
      </w:divBdr>
    </w:div>
    <w:div w:id="48765889">
      <w:bodyDiv w:val="1"/>
      <w:marLeft w:val="0"/>
      <w:marRight w:val="0"/>
      <w:marTop w:val="0"/>
      <w:marBottom w:val="0"/>
      <w:divBdr>
        <w:top w:val="none" w:sz="0" w:space="0" w:color="auto"/>
        <w:left w:val="none" w:sz="0" w:space="0" w:color="auto"/>
        <w:bottom w:val="none" w:sz="0" w:space="0" w:color="auto"/>
        <w:right w:val="none" w:sz="0" w:space="0" w:color="auto"/>
      </w:divBdr>
    </w:div>
    <w:div w:id="49882775">
      <w:bodyDiv w:val="1"/>
      <w:marLeft w:val="0"/>
      <w:marRight w:val="0"/>
      <w:marTop w:val="0"/>
      <w:marBottom w:val="0"/>
      <w:divBdr>
        <w:top w:val="none" w:sz="0" w:space="0" w:color="auto"/>
        <w:left w:val="none" w:sz="0" w:space="0" w:color="auto"/>
        <w:bottom w:val="none" w:sz="0" w:space="0" w:color="auto"/>
        <w:right w:val="none" w:sz="0" w:space="0" w:color="auto"/>
      </w:divBdr>
    </w:div>
    <w:div w:id="54941258">
      <w:bodyDiv w:val="1"/>
      <w:marLeft w:val="0"/>
      <w:marRight w:val="0"/>
      <w:marTop w:val="0"/>
      <w:marBottom w:val="0"/>
      <w:divBdr>
        <w:top w:val="none" w:sz="0" w:space="0" w:color="auto"/>
        <w:left w:val="none" w:sz="0" w:space="0" w:color="auto"/>
        <w:bottom w:val="none" w:sz="0" w:space="0" w:color="auto"/>
        <w:right w:val="none" w:sz="0" w:space="0" w:color="auto"/>
      </w:divBdr>
    </w:div>
    <w:div w:id="55322617">
      <w:bodyDiv w:val="1"/>
      <w:marLeft w:val="0"/>
      <w:marRight w:val="0"/>
      <w:marTop w:val="0"/>
      <w:marBottom w:val="0"/>
      <w:divBdr>
        <w:top w:val="none" w:sz="0" w:space="0" w:color="auto"/>
        <w:left w:val="none" w:sz="0" w:space="0" w:color="auto"/>
        <w:bottom w:val="none" w:sz="0" w:space="0" w:color="auto"/>
        <w:right w:val="none" w:sz="0" w:space="0" w:color="auto"/>
      </w:divBdr>
    </w:div>
    <w:div w:id="58292739">
      <w:bodyDiv w:val="1"/>
      <w:marLeft w:val="0"/>
      <w:marRight w:val="0"/>
      <w:marTop w:val="0"/>
      <w:marBottom w:val="0"/>
      <w:divBdr>
        <w:top w:val="none" w:sz="0" w:space="0" w:color="auto"/>
        <w:left w:val="none" w:sz="0" w:space="0" w:color="auto"/>
        <w:bottom w:val="none" w:sz="0" w:space="0" w:color="auto"/>
        <w:right w:val="none" w:sz="0" w:space="0" w:color="auto"/>
      </w:divBdr>
    </w:div>
    <w:div w:id="58404111">
      <w:bodyDiv w:val="1"/>
      <w:marLeft w:val="0"/>
      <w:marRight w:val="0"/>
      <w:marTop w:val="0"/>
      <w:marBottom w:val="0"/>
      <w:divBdr>
        <w:top w:val="none" w:sz="0" w:space="0" w:color="auto"/>
        <w:left w:val="none" w:sz="0" w:space="0" w:color="auto"/>
        <w:bottom w:val="none" w:sz="0" w:space="0" w:color="auto"/>
        <w:right w:val="none" w:sz="0" w:space="0" w:color="auto"/>
      </w:divBdr>
    </w:div>
    <w:div w:id="63335078">
      <w:bodyDiv w:val="1"/>
      <w:marLeft w:val="0"/>
      <w:marRight w:val="0"/>
      <w:marTop w:val="0"/>
      <w:marBottom w:val="0"/>
      <w:divBdr>
        <w:top w:val="none" w:sz="0" w:space="0" w:color="auto"/>
        <w:left w:val="none" w:sz="0" w:space="0" w:color="auto"/>
        <w:bottom w:val="none" w:sz="0" w:space="0" w:color="auto"/>
        <w:right w:val="none" w:sz="0" w:space="0" w:color="auto"/>
      </w:divBdr>
    </w:div>
    <w:div w:id="70155293">
      <w:bodyDiv w:val="1"/>
      <w:marLeft w:val="0"/>
      <w:marRight w:val="0"/>
      <w:marTop w:val="0"/>
      <w:marBottom w:val="0"/>
      <w:divBdr>
        <w:top w:val="none" w:sz="0" w:space="0" w:color="auto"/>
        <w:left w:val="none" w:sz="0" w:space="0" w:color="auto"/>
        <w:bottom w:val="none" w:sz="0" w:space="0" w:color="auto"/>
        <w:right w:val="none" w:sz="0" w:space="0" w:color="auto"/>
      </w:divBdr>
    </w:div>
    <w:div w:id="73667919">
      <w:bodyDiv w:val="1"/>
      <w:marLeft w:val="0"/>
      <w:marRight w:val="0"/>
      <w:marTop w:val="0"/>
      <w:marBottom w:val="0"/>
      <w:divBdr>
        <w:top w:val="none" w:sz="0" w:space="0" w:color="auto"/>
        <w:left w:val="none" w:sz="0" w:space="0" w:color="auto"/>
        <w:bottom w:val="none" w:sz="0" w:space="0" w:color="auto"/>
        <w:right w:val="none" w:sz="0" w:space="0" w:color="auto"/>
      </w:divBdr>
    </w:div>
    <w:div w:id="74865953">
      <w:bodyDiv w:val="1"/>
      <w:marLeft w:val="0"/>
      <w:marRight w:val="0"/>
      <w:marTop w:val="0"/>
      <w:marBottom w:val="0"/>
      <w:divBdr>
        <w:top w:val="none" w:sz="0" w:space="0" w:color="auto"/>
        <w:left w:val="none" w:sz="0" w:space="0" w:color="auto"/>
        <w:bottom w:val="none" w:sz="0" w:space="0" w:color="auto"/>
        <w:right w:val="none" w:sz="0" w:space="0" w:color="auto"/>
      </w:divBdr>
    </w:div>
    <w:div w:id="85925135">
      <w:bodyDiv w:val="1"/>
      <w:marLeft w:val="0"/>
      <w:marRight w:val="0"/>
      <w:marTop w:val="0"/>
      <w:marBottom w:val="0"/>
      <w:divBdr>
        <w:top w:val="none" w:sz="0" w:space="0" w:color="auto"/>
        <w:left w:val="none" w:sz="0" w:space="0" w:color="auto"/>
        <w:bottom w:val="none" w:sz="0" w:space="0" w:color="auto"/>
        <w:right w:val="none" w:sz="0" w:space="0" w:color="auto"/>
      </w:divBdr>
    </w:div>
    <w:div w:id="88812312">
      <w:bodyDiv w:val="1"/>
      <w:marLeft w:val="0"/>
      <w:marRight w:val="0"/>
      <w:marTop w:val="0"/>
      <w:marBottom w:val="0"/>
      <w:divBdr>
        <w:top w:val="none" w:sz="0" w:space="0" w:color="auto"/>
        <w:left w:val="none" w:sz="0" w:space="0" w:color="auto"/>
        <w:bottom w:val="none" w:sz="0" w:space="0" w:color="auto"/>
        <w:right w:val="none" w:sz="0" w:space="0" w:color="auto"/>
      </w:divBdr>
    </w:div>
    <w:div w:id="89665005">
      <w:bodyDiv w:val="1"/>
      <w:marLeft w:val="0"/>
      <w:marRight w:val="0"/>
      <w:marTop w:val="0"/>
      <w:marBottom w:val="0"/>
      <w:divBdr>
        <w:top w:val="none" w:sz="0" w:space="0" w:color="auto"/>
        <w:left w:val="none" w:sz="0" w:space="0" w:color="auto"/>
        <w:bottom w:val="none" w:sz="0" w:space="0" w:color="auto"/>
        <w:right w:val="none" w:sz="0" w:space="0" w:color="auto"/>
      </w:divBdr>
    </w:div>
    <w:div w:id="90516649">
      <w:bodyDiv w:val="1"/>
      <w:marLeft w:val="0"/>
      <w:marRight w:val="0"/>
      <w:marTop w:val="0"/>
      <w:marBottom w:val="0"/>
      <w:divBdr>
        <w:top w:val="none" w:sz="0" w:space="0" w:color="auto"/>
        <w:left w:val="none" w:sz="0" w:space="0" w:color="auto"/>
        <w:bottom w:val="none" w:sz="0" w:space="0" w:color="auto"/>
        <w:right w:val="none" w:sz="0" w:space="0" w:color="auto"/>
      </w:divBdr>
    </w:div>
    <w:div w:id="93745580">
      <w:bodyDiv w:val="1"/>
      <w:marLeft w:val="0"/>
      <w:marRight w:val="0"/>
      <w:marTop w:val="0"/>
      <w:marBottom w:val="0"/>
      <w:divBdr>
        <w:top w:val="none" w:sz="0" w:space="0" w:color="auto"/>
        <w:left w:val="none" w:sz="0" w:space="0" w:color="auto"/>
        <w:bottom w:val="none" w:sz="0" w:space="0" w:color="auto"/>
        <w:right w:val="none" w:sz="0" w:space="0" w:color="auto"/>
      </w:divBdr>
    </w:div>
    <w:div w:id="94331062">
      <w:bodyDiv w:val="1"/>
      <w:marLeft w:val="0"/>
      <w:marRight w:val="0"/>
      <w:marTop w:val="0"/>
      <w:marBottom w:val="0"/>
      <w:divBdr>
        <w:top w:val="none" w:sz="0" w:space="0" w:color="auto"/>
        <w:left w:val="none" w:sz="0" w:space="0" w:color="auto"/>
        <w:bottom w:val="none" w:sz="0" w:space="0" w:color="auto"/>
        <w:right w:val="none" w:sz="0" w:space="0" w:color="auto"/>
      </w:divBdr>
    </w:div>
    <w:div w:id="95952985">
      <w:bodyDiv w:val="1"/>
      <w:marLeft w:val="0"/>
      <w:marRight w:val="0"/>
      <w:marTop w:val="0"/>
      <w:marBottom w:val="0"/>
      <w:divBdr>
        <w:top w:val="none" w:sz="0" w:space="0" w:color="auto"/>
        <w:left w:val="none" w:sz="0" w:space="0" w:color="auto"/>
        <w:bottom w:val="none" w:sz="0" w:space="0" w:color="auto"/>
        <w:right w:val="none" w:sz="0" w:space="0" w:color="auto"/>
      </w:divBdr>
    </w:div>
    <w:div w:id="96868813">
      <w:bodyDiv w:val="1"/>
      <w:marLeft w:val="0"/>
      <w:marRight w:val="0"/>
      <w:marTop w:val="0"/>
      <w:marBottom w:val="0"/>
      <w:divBdr>
        <w:top w:val="none" w:sz="0" w:space="0" w:color="auto"/>
        <w:left w:val="none" w:sz="0" w:space="0" w:color="auto"/>
        <w:bottom w:val="none" w:sz="0" w:space="0" w:color="auto"/>
        <w:right w:val="none" w:sz="0" w:space="0" w:color="auto"/>
      </w:divBdr>
    </w:div>
    <w:div w:id="102389224">
      <w:bodyDiv w:val="1"/>
      <w:marLeft w:val="0"/>
      <w:marRight w:val="0"/>
      <w:marTop w:val="0"/>
      <w:marBottom w:val="0"/>
      <w:divBdr>
        <w:top w:val="none" w:sz="0" w:space="0" w:color="auto"/>
        <w:left w:val="none" w:sz="0" w:space="0" w:color="auto"/>
        <w:bottom w:val="none" w:sz="0" w:space="0" w:color="auto"/>
        <w:right w:val="none" w:sz="0" w:space="0" w:color="auto"/>
      </w:divBdr>
    </w:div>
    <w:div w:id="105781859">
      <w:bodyDiv w:val="1"/>
      <w:marLeft w:val="0"/>
      <w:marRight w:val="0"/>
      <w:marTop w:val="0"/>
      <w:marBottom w:val="0"/>
      <w:divBdr>
        <w:top w:val="none" w:sz="0" w:space="0" w:color="auto"/>
        <w:left w:val="none" w:sz="0" w:space="0" w:color="auto"/>
        <w:bottom w:val="none" w:sz="0" w:space="0" w:color="auto"/>
        <w:right w:val="none" w:sz="0" w:space="0" w:color="auto"/>
      </w:divBdr>
    </w:div>
    <w:div w:id="108402984">
      <w:bodyDiv w:val="1"/>
      <w:marLeft w:val="0"/>
      <w:marRight w:val="0"/>
      <w:marTop w:val="0"/>
      <w:marBottom w:val="0"/>
      <w:divBdr>
        <w:top w:val="none" w:sz="0" w:space="0" w:color="auto"/>
        <w:left w:val="none" w:sz="0" w:space="0" w:color="auto"/>
        <w:bottom w:val="none" w:sz="0" w:space="0" w:color="auto"/>
        <w:right w:val="none" w:sz="0" w:space="0" w:color="auto"/>
      </w:divBdr>
    </w:div>
    <w:div w:id="109126643">
      <w:bodyDiv w:val="1"/>
      <w:marLeft w:val="0"/>
      <w:marRight w:val="0"/>
      <w:marTop w:val="0"/>
      <w:marBottom w:val="0"/>
      <w:divBdr>
        <w:top w:val="none" w:sz="0" w:space="0" w:color="auto"/>
        <w:left w:val="none" w:sz="0" w:space="0" w:color="auto"/>
        <w:bottom w:val="none" w:sz="0" w:space="0" w:color="auto"/>
        <w:right w:val="none" w:sz="0" w:space="0" w:color="auto"/>
      </w:divBdr>
    </w:div>
    <w:div w:id="110975112">
      <w:bodyDiv w:val="1"/>
      <w:marLeft w:val="0"/>
      <w:marRight w:val="0"/>
      <w:marTop w:val="0"/>
      <w:marBottom w:val="0"/>
      <w:divBdr>
        <w:top w:val="none" w:sz="0" w:space="0" w:color="auto"/>
        <w:left w:val="none" w:sz="0" w:space="0" w:color="auto"/>
        <w:bottom w:val="none" w:sz="0" w:space="0" w:color="auto"/>
        <w:right w:val="none" w:sz="0" w:space="0" w:color="auto"/>
      </w:divBdr>
    </w:div>
    <w:div w:id="119305733">
      <w:bodyDiv w:val="1"/>
      <w:marLeft w:val="0"/>
      <w:marRight w:val="0"/>
      <w:marTop w:val="0"/>
      <w:marBottom w:val="0"/>
      <w:divBdr>
        <w:top w:val="none" w:sz="0" w:space="0" w:color="auto"/>
        <w:left w:val="none" w:sz="0" w:space="0" w:color="auto"/>
        <w:bottom w:val="none" w:sz="0" w:space="0" w:color="auto"/>
        <w:right w:val="none" w:sz="0" w:space="0" w:color="auto"/>
      </w:divBdr>
    </w:div>
    <w:div w:id="119763938">
      <w:bodyDiv w:val="1"/>
      <w:marLeft w:val="0"/>
      <w:marRight w:val="0"/>
      <w:marTop w:val="0"/>
      <w:marBottom w:val="0"/>
      <w:divBdr>
        <w:top w:val="none" w:sz="0" w:space="0" w:color="auto"/>
        <w:left w:val="none" w:sz="0" w:space="0" w:color="auto"/>
        <w:bottom w:val="none" w:sz="0" w:space="0" w:color="auto"/>
        <w:right w:val="none" w:sz="0" w:space="0" w:color="auto"/>
      </w:divBdr>
    </w:div>
    <w:div w:id="123428474">
      <w:bodyDiv w:val="1"/>
      <w:marLeft w:val="0"/>
      <w:marRight w:val="0"/>
      <w:marTop w:val="0"/>
      <w:marBottom w:val="0"/>
      <w:divBdr>
        <w:top w:val="none" w:sz="0" w:space="0" w:color="auto"/>
        <w:left w:val="none" w:sz="0" w:space="0" w:color="auto"/>
        <w:bottom w:val="none" w:sz="0" w:space="0" w:color="auto"/>
        <w:right w:val="none" w:sz="0" w:space="0" w:color="auto"/>
      </w:divBdr>
    </w:div>
    <w:div w:id="137383595">
      <w:bodyDiv w:val="1"/>
      <w:marLeft w:val="0"/>
      <w:marRight w:val="0"/>
      <w:marTop w:val="0"/>
      <w:marBottom w:val="0"/>
      <w:divBdr>
        <w:top w:val="none" w:sz="0" w:space="0" w:color="auto"/>
        <w:left w:val="none" w:sz="0" w:space="0" w:color="auto"/>
        <w:bottom w:val="none" w:sz="0" w:space="0" w:color="auto"/>
        <w:right w:val="none" w:sz="0" w:space="0" w:color="auto"/>
      </w:divBdr>
    </w:div>
    <w:div w:id="141040792">
      <w:bodyDiv w:val="1"/>
      <w:marLeft w:val="0"/>
      <w:marRight w:val="0"/>
      <w:marTop w:val="0"/>
      <w:marBottom w:val="0"/>
      <w:divBdr>
        <w:top w:val="none" w:sz="0" w:space="0" w:color="auto"/>
        <w:left w:val="none" w:sz="0" w:space="0" w:color="auto"/>
        <w:bottom w:val="none" w:sz="0" w:space="0" w:color="auto"/>
        <w:right w:val="none" w:sz="0" w:space="0" w:color="auto"/>
      </w:divBdr>
    </w:div>
    <w:div w:id="144326628">
      <w:bodyDiv w:val="1"/>
      <w:marLeft w:val="0"/>
      <w:marRight w:val="0"/>
      <w:marTop w:val="0"/>
      <w:marBottom w:val="0"/>
      <w:divBdr>
        <w:top w:val="none" w:sz="0" w:space="0" w:color="auto"/>
        <w:left w:val="none" w:sz="0" w:space="0" w:color="auto"/>
        <w:bottom w:val="none" w:sz="0" w:space="0" w:color="auto"/>
        <w:right w:val="none" w:sz="0" w:space="0" w:color="auto"/>
      </w:divBdr>
    </w:div>
    <w:div w:id="148863354">
      <w:bodyDiv w:val="1"/>
      <w:marLeft w:val="0"/>
      <w:marRight w:val="0"/>
      <w:marTop w:val="0"/>
      <w:marBottom w:val="0"/>
      <w:divBdr>
        <w:top w:val="none" w:sz="0" w:space="0" w:color="auto"/>
        <w:left w:val="none" w:sz="0" w:space="0" w:color="auto"/>
        <w:bottom w:val="none" w:sz="0" w:space="0" w:color="auto"/>
        <w:right w:val="none" w:sz="0" w:space="0" w:color="auto"/>
      </w:divBdr>
    </w:div>
    <w:div w:id="150761321">
      <w:bodyDiv w:val="1"/>
      <w:marLeft w:val="0"/>
      <w:marRight w:val="0"/>
      <w:marTop w:val="0"/>
      <w:marBottom w:val="0"/>
      <w:divBdr>
        <w:top w:val="none" w:sz="0" w:space="0" w:color="auto"/>
        <w:left w:val="none" w:sz="0" w:space="0" w:color="auto"/>
        <w:bottom w:val="none" w:sz="0" w:space="0" w:color="auto"/>
        <w:right w:val="none" w:sz="0" w:space="0" w:color="auto"/>
      </w:divBdr>
    </w:div>
    <w:div w:id="151528710">
      <w:bodyDiv w:val="1"/>
      <w:marLeft w:val="0"/>
      <w:marRight w:val="0"/>
      <w:marTop w:val="0"/>
      <w:marBottom w:val="0"/>
      <w:divBdr>
        <w:top w:val="none" w:sz="0" w:space="0" w:color="auto"/>
        <w:left w:val="none" w:sz="0" w:space="0" w:color="auto"/>
        <w:bottom w:val="none" w:sz="0" w:space="0" w:color="auto"/>
        <w:right w:val="none" w:sz="0" w:space="0" w:color="auto"/>
      </w:divBdr>
    </w:div>
    <w:div w:id="162597217">
      <w:bodyDiv w:val="1"/>
      <w:marLeft w:val="0"/>
      <w:marRight w:val="0"/>
      <w:marTop w:val="0"/>
      <w:marBottom w:val="0"/>
      <w:divBdr>
        <w:top w:val="none" w:sz="0" w:space="0" w:color="auto"/>
        <w:left w:val="none" w:sz="0" w:space="0" w:color="auto"/>
        <w:bottom w:val="none" w:sz="0" w:space="0" w:color="auto"/>
        <w:right w:val="none" w:sz="0" w:space="0" w:color="auto"/>
      </w:divBdr>
    </w:div>
    <w:div w:id="163862120">
      <w:bodyDiv w:val="1"/>
      <w:marLeft w:val="0"/>
      <w:marRight w:val="0"/>
      <w:marTop w:val="0"/>
      <w:marBottom w:val="0"/>
      <w:divBdr>
        <w:top w:val="none" w:sz="0" w:space="0" w:color="auto"/>
        <w:left w:val="none" w:sz="0" w:space="0" w:color="auto"/>
        <w:bottom w:val="none" w:sz="0" w:space="0" w:color="auto"/>
        <w:right w:val="none" w:sz="0" w:space="0" w:color="auto"/>
      </w:divBdr>
    </w:div>
    <w:div w:id="164981339">
      <w:bodyDiv w:val="1"/>
      <w:marLeft w:val="0"/>
      <w:marRight w:val="0"/>
      <w:marTop w:val="0"/>
      <w:marBottom w:val="0"/>
      <w:divBdr>
        <w:top w:val="none" w:sz="0" w:space="0" w:color="auto"/>
        <w:left w:val="none" w:sz="0" w:space="0" w:color="auto"/>
        <w:bottom w:val="none" w:sz="0" w:space="0" w:color="auto"/>
        <w:right w:val="none" w:sz="0" w:space="0" w:color="auto"/>
      </w:divBdr>
    </w:div>
    <w:div w:id="165831388">
      <w:bodyDiv w:val="1"/>
      <w:marLeft w:val="0"/>
      <w:marRight w:val="0"/>
      <w:marTop w:val="0"/>
      <w:marBottom w:val="0"/>
      <w:divBdr>
        <w:top w:val="none" w:sz="0" w:space="0" w:color="auto"/>
        <w:left w:val="none" w:sz="0" w:space="0" w:color="auto"/>
        <w:bottom w:val="none" w:sz="0" w:space="0" w:color="auto"/>
        <w:right w:val="none" w:sz="0" w:space="0" w:color="auto"/>
      </w:divBdr>
    </w:div>
    <w:div w:id="165943232">
      <w:bodyDiv w:val="1"/>
      <w:marLeft w:val="0"/>
      <w:marRight w:val="0"/>
      <w:marTop w:val="0"/>
      <w:marBottom w:val="0"/>
      <w:divBdr>
        <w:top w:val="none" w:sz="0" w:space="0" w:color="auto"/>
        <w:left w:val="none" w:sz="0" w:space="0" w:color="auto"/>
        <w:bottom w:val="none" w:sz="0" w:space="0" w:color="auto"/>
        <w:right w:val="none" w:sz="0" w:space="0" w:color="auto"/>
      </w:divBdr>
    </w:div>
    <w:div w:id="170991187">
      <w:bodyDiv w:val="1"/>
      <w:marLeft w:val="0"/>
      <w:marRight w:val="0"/>
      <w:marTop w:val="0"/>
      <w:marBottom w:val="0"/>
      <w:divBdr>
        <w:top w:val="none" w:sz="0" w:space="0" w:color="auto"/>
        <w:left w:val="none" w:sz="0" w:space="0" w:color="auto"/>
        <w:bottom w:val="none" w:sz="0" w:space="0" w:color="auto"/>
        <w:right w:val="none" w:sz="0" w:space="0" w:color="auto"/>
      </w:divBdr>
    </w:div>
    <w:div w:id="171116886">
      <w:bodyDiv w:val="1"/>
      <w:marLeft w:val="0"/>
      <w:marRight w:val="0"/>
      <w:marTop w:val="0"/>
      <w:marBottom w:val="0"/>
      <w:divBdr>
        <w:top w:val="none" w:sz="0" w:space="0" w:color="auto"/>
        <w:left w:val="none" w:sz="0" w:space="0" w:color="auto"/>
        <w:bottom w:val="none" w:sz="0" w:space="0" w:color="auto"/>
        <w:right w:val="none" w:sz="0" w:space="0" w:color="auto"/>
      </w:divBdr>
    </w:div>
    <w:div w:id="173150663">
      <w:bodyDiv w:val="1"/>
      <w:marLeft w:val="0"/>
      <w:marRight w:val="0"/>
      <w:marTop w:val="0"/>
      <w:marBottom w:val="0"/>
      <w:divBdr>
        <w:top w:val="none" w:sz="0" w:space="0" w:color="auto"/>
        <w:left w:val="none" w:sz="0" w:space="0" w:color="auto"/>
        <w:bottom w:val="none" w:sz="0" w:space="0" w:color="auto"/>
        <w:right w:val="none" w:sz="0" w:space="0" w:color="auto"/>
      </w:divBdr>
    </w:div>
    <w:div w:id="176970808">
      <w:bodyDiv w:val="1"/>
      <w:marLeft w:val="0"/>
      <w:marRight w:val="0"/>
      <w:marTop w:val="0"/>
      <w:marBottom w:val="0"/>
      <w:divBdr>
        <w:top w:val="none" w:sz="0" w:space="0" w:color="auto"/>
        <w:left w:val="none" w:sz="0" w:space="0" w:color="auto"/>
        <w:bottom w:val="none" w:sz="0" w:space="0" w:color="auto"/>
        <w:right w:val="none" w:sz="0" w:space="0" w:color="auto"/>
      </w:divBdr>
    </w:div>
    <w:div w:id="177235261">
      <w:bodyDiv w:val="1"/>
      <w:marLeft w:val="0"/>
      <w:marRight w:val="0"/>
      <w:marTop w:val="0"/>
      <w:marBottom w:val="0"/>
      <w:divBdr>
        <w:top w:val="none" w:sz="0" w:space="0" w:color="auto"/>
        <w:left w:val="none" w:sz="0" w:space="0" w:color="auto"/>
        <w:bottom w:val="none" w:sz="0" w:space="0" w:color="auto"/>
        <w:right w:val="none" w:sz="0" w:space="0" w:color="auto"/>
      </w:divBdr>
    </w:div>
    <w:div w:id="180290104">
      <w:bodyDiv w:val="1"/>
      <w:marLeft w:val="0"/>
      <w:marRight w:val="0"/>
      <w:marTop w:val="0"/>
      <w:marBottom w:val="0"/>
      <w:divBdr>
        <w:top w:val="none" w:sz="0" w:space="0" w:color="auto"/>
        <w:left w:val="none" w:sz="0" w:space="0" w:color="auto"/>
        <w:bottom w:val="none" w:sz="0" w:space="0" w:color="auto"/>
        <w:right w:val="none" w:sz="0" w:space="0" w:color="auto"/>
      </w:divBdr>
    </w:div>
    <w:div w:id="183636108">
      <w:bodyDiv w:val="1"/>
      <w:marLeft w:val="0"/>
      <w:marRight w:val="0"/>
      <w:marTop w:val="0"/>
      <w:marBottom w:val="0"/>
      <w:divBdr>
        <w:top w:val="none" w:sz="0" w:space="0" w:color="auto"/>
        <w:left w:val="none" w:sz="0" w:space="0" w:color="auto"/>
        <w:bottom w:val="none" w:sz="0" w:space="0" w:color="auto"/>
        <w:right w:val="none" w:sz="0" w:space="0" w:color="auto"/>
      </w:divBdr>
    </w:div>
    <w:div w:id="189299333">
      <w:bodyDiv w:val="1"/>
      <w:marLeft w:val="0"/>
      <w:marRight w:val="0"/>
      <w:marTop w:val="0"/>
      <w:marBottom w:val="0"/>
      <w:divBdr>
        <w:top w:val="none" w:sz="0" w:space="0" w:color="auto"/>
        <w:left w:val="none" w:sz="0" w:space="0" w:color="auto"/>
        <w:bottom w:val="none" w:sz="0" w:space="0" w:color="auto"/>
        <w:right w:val="none" w:sz="0" w:space="0" w:color="auto"/>
      </w:divBdr>
    </w:div>
    <w:div w:id="195895347">
      <w:bodyDiv w:val="1"/>
      <w:marLeft w:val="0"/>
      <w:marRight w:val="0"/>
      <w:marTop w:val="0"/>
      <w:marBottom w:val="0"/>
      <w:divBdr>
        <w:top w:val="none" w:sz="0" w:space="0" w:color="auto"/>
        <w:left w:val="none" w:sz="0" w:space="0" w:color="auto"/>
        <w:bottom w:val="none" w:sz="0" w:space="0" w:color="auto"/>
        <w:right w:val="none" w:sz="0" w:space="0" w:color="auto"/>
      </w:divBdr>
    </w:div>
    <w:div w:id="199249736">
      <w:bodyDiv w:val="1"/>
      <w:marLeft w:val="0"/>
      <w:marRight w:val="0"/>
      <w:marTop w:val="0"/>
      <w:marBottom w:val="0"/>
      <w:divBdr>
        <w:top w:val="none" w:sz="0" w:space="0" w:color="auto"/>
        <w:left w:val="none" w:sz="0" w:space="0" w:color="auto"/>
        <w:bottom w:val="none" w:sz="0" w:space="0" w:color="auto"/>
        <w:right w:val="none" w:sz="0" w:space="0" w:color="auto"/>
      </w:divBdr>
    </w:div>
    <w:div w:id="199705034">
      <w:bodyDiv w:val="1"/>
      <w:marLeft w:val="0"/>
      <w:marRight w:val="0"/>
      <w:marTop w:val="0"/>
      <w:marBottom w:val="0"/>
      <w:divBdr>
        <w:top w:val="none" w:sz="0" w:space="0" w:color="auto"/>
        <w:left w:val="none" w:sz="0" w:space="0" w:color="auto"/>
        <w:bottom w:val="none" w:sz="0" w:space="0" w:color="auto"/>
        <w:right w:val="none" w:sz="0" w:space="0" w:color="auto"/>
      </w:divBdr>
    </w:div>
    <w:div w:id="199902997">
      <w:bodyDiv w:val="1"/>
      <w:marLeft w:val="0"/>
      <w:marRight w:val="0"/>
      <w:marTop w:val="0"/>
      <w:marBottom w:val="0"/>
      <w:divBdr>
        <w:top w:val="none" w:sz="0" w:space="0" w:color="auto"/>
        <w:left w:val="none" w:sz="0" w:space="0" w:color="auto"/>
        <w:bottom w:val="none" w:sz="0" w:space="0" w:color="auto"/>
        <w:right w:val="none" w:sz="0" w:space="0" w:color="auto"/>
      </w:divBdr>
    </w:div>
    <w:div w:id="201788029">
      <w:bodyDiv w:val="1"/>
      <w:marLeft w:val="0"/>
      <w:marRight w:val="0"/>
      <w:marTop w:val="0"/>
      <w:marBottom w:val="0"/>
      <w:divBdr>
        <w:top w:val="none" w:sz="0" w:space="0" w:color="auto"/>
        <w:left w:val="none" w:sz="0" w:space="0" w:color="auto"/>
        <w:bottom w:val="none" w:sz="0" w:space="0" w:color="auto"/>
        <w:right w:val="none" w:sz="0" w:space="0" w:color="auto"/>
      </w:divBdr>
    </w:div>
    <w:div w:id="206574807">
      <w:bodyDiv w:val="1"/>
      <w:marLeft w:val="0"/>
      <w:marRight w:val="0"/>
      <w:marTop w:val="0"/>
      <w:marBottom w:val="0"/>
      <w:divBdr>
        <w:top w:val="none" w:sz="0" w:space="0" w:color="auto"/>
        <w:left w:val="none" w:sz="0" w:space="0" w:color="auto"/>
        <w:bottom w:val="none" w:sz="0" w:space="0" w:color="auto"/>
        <w:right w:val="none" w:sz="0" w:space="0" w:color="auto"/>
      </w:divBdr>
    </w:div>
    <w:div w:id="211819175">
      <w:bodyDiv w:val="1"/>
      <w:marLeft w:val="0"/>
      <w:marRight w:val="0"/>
      <w:marTop w:val="0"/>
      <w:marBottom w:val="0"/>
      <w:divBdr>
        <w:top w:val="none" w:sz="0" w:space="0" w:color="auto"/>
        <w:left w:val="none" w:sz="0" w:space="0" w:color="auto"/>
        <w:bottom w:val="none" w:sz="0" w:space="0" w:color="auto"/>
        <w:right w:val="none" w:sz="0" w:space="0" w:color="auto"/>
      </w:divBdr>
    </w:div>
    <w:div w:id="212888618">
      <w:bodyDiv w:val="1"/>
      <w:marLeft w:val="0"/>
      <w:marRight w:val="0"/>
      <w:marTop w:val="0"/>
      <w:marBottom w:val="0"/>
      <w:divBdr>
        <w:top w:val="none" w:sz="0" w:space="0" w:color="auto"/>
        <w:left w:val="none" w:sz="0" w:space="0" w:color="auto"/>
        <w:bottom w:val="none" w:sz="0" w:space="0" w:color="auto"/>
        <w:right w:val="none" w:sz="0" w:space="0" w:color="auto"/>
      </w:divBdr>
    </w:div>
    <w:div w:id="218781608">
      <w:bodyDiv w:val="1"/>
      <w:marLeft w:val="0"/>
      <w:marRight w:val="0"/>
      <w:marTop w:val="0"/>
      <w:marBottom w:val="0"/>
      <w:divBdr>
        <w:top w:val="none" w:sz="0" w:space="0" w:color="auto"/>
        <w:left w:val="none" w:sz="0" w:space="0" w:color="auto"/>
        <w:bottom w:val="none" w:sz="0" w:space="0" w:color="auto"/>
        <w:right w:val="none" w:sz="0" w:space="0" w:color="auto"/>
      </w:divBdr>
    </w:div>
    <w:div w:id="228617424">
      <w:bodyDiv w:val="1"/>
      <w:marLeft w:val="0"/>
      <w:marRight w:val="0"/>
      <w:marTop w:val="0"/>
      <w:marBottom w:val="0"/>
      <w:divBdr>
        <w:top w:val="none" w:sz="0" w:space="0" w:color="auto"/>
        <w:left w:val="none" w:sz="0" w:space="0" w:color="auto"/>
        <w:bottom w:val="none" w:sz="0" w:space="0" w:color="auto"/>
        <w:right w:val="none" w:sz="0" w:space="0" w:color="auto"/>
      </w:divBdr>
    </w:div>
    <w:div w:id="231043019">
      <w:bodyDiv w:val="1"/>
      <w:marLeft w:val="0"/>
      <w:marRight w:val="0"/>
      <w:marTop w:val="0"/>
      <w:marBottom w:val="0"/>
      <w:divBdr>
        <w:top w:val="none" w:sz="0" w:space="0" w:color="auto"/>
        <w:left w:val="none" w:sz="0" w:space="0" w:color="auto"/>
        <w:bottom w:val="none" w:sz="0" w:space="0" w:color="auto"/>
        <w:right w:val="none" w:sz="0" w:space="0" w:color="auto"/>
      </w:divBdr>
    </w:div>
    <w:div w:id="240719773">
      <w:bodyDiv w:val="1"/>
      <w:marLeft w:val="0"/>
      <w:marRight w:val="0"/>
      <w:marTop w:val="0"/>
      <w:marBottom w:val="0"/>
      <w:divBdr>
        <w:top w:val="none" w:sz="0" w:space="0" w:color="auto"/>
        <w:left w:val="none" w:sz="0" w:space="0" w:color="auto"/>
        <w:bottom w:val="none" w:sz="0" w:space="0" w:color="auto"/>
        <w:right w:val="none" w:sz="0" w:space="0" w:color="auto"/>
      </w:divBdr>
    </w:div>
    <w:div w:id="242226709">
      <w:bodyDiv w:val="1"/>
      <w:marLeft w:val="0"/>
      <w:marRight w:val="0"/>
      <w:marTop w:val="0"/>
      <w:marBottom w:val="0"/>
      <w:divBdr>
        <w:top w:val="none" w:sz="0" w:space="0" w:color="auto"/>
        <w:left w:val="none" w:sz="0" w:space="0" w:color="auto"/>
        <w:bottom w:val="none" w:sz="0" w:space="0" w:color="auto"/>
        <w:right w:val="none" w:sz="0" w:space="0" w:color="auto"/>
      </w:divBdr>
    </w:div>
    <w:div w:id="255020158">
      <w:bodyDiv w:val="1"/>
      <w:marLeft w:val="0"/>
      <w:marRight w:val="0"/>
      <w:marTop w:val="0"/>
      <w:marBottom w:val="0"/>
      <w:divBdr>
        <w:top w:val="none" w:sz="0" w:space="0" w:color="auto"/>
        <w:left w:val="none" w:sz="0" w:space="0" w:color="auto"/>
        <w:bottom w:val="none" w:sz="0" w:space="0" w:color="auto"/>
        <w:right w:val="none" w:sz="0" w:space="0" w:color="auto"/>
      </w:divBdr>
    </w:div>
    <w:div w:id="256523920">
      <w:bodyDiv w:val="1"/>
      <w:marLeft w:val="0"/>
      <w:marRight w:val="0"/>
      <w:marTop w:val="0"/>
      <w:marBottom w:val="0"/>
      <w:divBdr>
        <w:top w:val="none" w:sz="0" w:space="0" w:color="auto"/>
        <w:left w:val="none" w:sz="0" w:space="0" w:color="auto"/>
        <w:bottom w:val="none" w:sz="0" w:space="0" w:color="auto"/>
        <w:right w:val="none" w:sz="0" w:space="0" w:color="auto"/>
      </w:divBdr>
    </w:div>
    <w:div w:id="261495657">
      <w:bodyDiv w:val="1"/>
      <w:marLeft w:val="0"/>
      <w:marRight w:val="0"/>
      <w:marTop w:val="0"/>
      <w:marBottom w:val="0"/>
      <w:divBdr>
        <w:top w:val="none" w:sz="0" w:space="0" w:color="auto"/>
        <w:left w:val="none" w:sz="0" w:space="0" w:color="auto"/>
        <w:bottom w:val="none" w:sz="0" w:space="0" w:color="auto"/>
        <w:right w:val="none" w:sz="0" w:space="0" w:color="auto"/>
      </w:divBdr>
    </w:div>
    <w:div w:id="271785571">
      <w:bodyDiv w:val="1"/>
      <w:marLeft w:val="0"/>
      <w:marRight w:val="0"/>
      <w:marTop w:val="0"/>
      <w:marBottom w:val="0"/>
      <w:divBdr>
        <w:top w:val="none" w:sz="0" w:space="0" w:color="auto"/>
        <w:left w:val="none" w:sz="0" w:space="0" w:color="auto"/>
        <w:bottom w:val="none" w:sz="0" w:space="0" w:color="auto"/>
        <w:right w:val="none" w:sz="0" w:space="0" w:color="auto"/>
      </w:divBdr>
    </w:div>
    <w:div w:id="272595239">
      <w:bodyDiv w:val="1"/>
      <w:marLeft w:val="0"/>
      <w:marRight w:val="0"/>
      <w:marTop w:val="0"/>
      <w:marBottom w:val="0"/>
      <w:divBdr>
        <w:top w:val="none" w:sz="0" w:space="0" w:color="auto"/>
        <w:left w:val="none" w:sz="0" w:space="0" w:color="auto"/>
        <w:bottom w:val="none" w:sz="0" w:space="0" w:color="auto"/>
        <w:right w:val="none" w:sz="0" w:space="0" w:color="auto"/>
      </w:divBdr>
    </w:div>
    <w:div w:id="284239649">
      <w:bodyDiv w:val="1"/>
      <w:marLeft w:val="0"/>
      <w:marRight w:val="0"/>
      <w:marTop w:val="0"/>
      <w:marBottom w:val="0"/>
      <w:divBdr>
        <w:top w:val="none" w:sz="0" w:space="0" w:color="auto"/>
        <w:left w:val="none" w:sz="0" w:space="0" w:color="auto"/>
        <w:bottom w:val="none" w:sz="0" w:space="0" w:color="auto"/>
        <w:right w:val="none" w:sz="0" w:space="0" w:color="auto"/>
      </w:divBdr>
    </w:div>
    <w:div w:id="286661095">
      <w:bodyDiv w:val="1"/>
      <w:marLeft w:val="0"/>
      <w:marRight w:val="0"/>
      <w:marTop w:val="0"/>
      <w:marBottom w:val="0"/>
      <w:divBdr>
        <w:top w:val="none" w:sz="0" w:space="0" w:color="auto"/>
        <w:left w:val="none" w:sz="0" w:space="0" w:color="auto"/>
        <w:bottom w:val="none" w:sz="0" w:space="0" w:color="auto"/>
        <w:right w:val="none" w:sz="0" w:space="0" w:color="auto"/>
      </w:divBdr>
    </w:div>
    <w:div w:id="286663571">
      <w:bodyDiv w:val="1"/>
      <w:marLeft w:val="0"/>
      <w:marRight w:val="0"/>
      <w:marTop w:val="0"/>
      <w:marBottom w:val="0"/>
      <w:divBdr>
        <w:top w:val="none" w:sz="0" w:space="0" w:color="auto"/>
        <w:left w:val="none" w:sz="0" w:space="0" w:color="auto"/>
        <w:bottom w:val="none" w:sz="0" w:space="0" w:color="auto"/>
        <w:right w:val="none" w:sz="0" w:space="0" w:color="auto"/>
      </w:divBdr>
    </w:div>
    <w:div w:id="288169124">
      <w:bodyDiv w:val="1"/>
      <w:marLeft w:val="0"/>
      <w:marRight w:val="0"/>
      <w:marTop w:val="0"/>
      <w:marBottom w:val="0"/>
      <w:divBdr>
        <w:top w:val="none" w:sz="0" w:space="0" w:color="auto"/>
        <w:left w:val="none" w:sz="0" w:space="0" w:color="auto"/>
        <w:bottom w:val="none" w:sz="0" w:space="0" w:color="auto"/>
        <w:right w:val="none" w:sz="0" w:space="0" w:color="auto"/>
      </w:divBdr>
      <w:divsChild>
        <w:div w:id="2135169472">
          <w:marLeft w:val="446"/>
          <w:marRight w:val="0"/>
          <w:marTop w:val="0"/>
          <w:marBottom w:val="0"/>
          <w:divBdr>
            <w:top w:val="none" w:sz="0" w:space="0" w:color="auto"/>
            <w:left w:val="none" w:sz="0" w:space="0" w:color="auto"/>
            <w:bottom w:val="none" w:sz="0" w:space="0" w:color="auto"/>
            <w:right w:val="none" w:sz="0" w:space="0" w:color="auto"/>
          </w:divBdr>
        </w:div>
        <w:div w:id="1680618892">
          <w:marLeft w:val="446"/>
          <w:marRight w:val="0"/>
          <w:marTop w:val="0"/>
          <w:marBottom w:val="0"/>
          <w:divBdr>
            <w:top w:val="none" w:sz="0" w:space="0" w:color="auto"/>
            <w:left w:val="none" w:sz="0" w:space="0" w:color="auto"/>
            <w:bottom w:val="none" w:sz="0" w:space="0" w:color="auto"/>
            <w:right w:val="none" w:sz="0" w:space="0" w:color="auto"/>
          </w:divBdr>
        </w:div>
        <w:div w:id="857234729">
          <w:marLeft w:val="446"/>
          <w:marRight w:val="0"/>
          <w:marTop w:val="0"/>
          <w:marBottom w:val="0"/>
          <w:divBdr>
            <w:top w:val="none" w:sz="0" w:space="0" w:color="auto"/>
            <w:left w:val="none" w:sz="0" w:space="0" w:color="auto"/>
            <w:bottom w:val="none" w:sz="0" w:space="0" w:color="auto"/>
            <w:right w:val="none" w:sz="0" w:space="0" w:color="auto"/>
          </w:divBdr>
        </w:div>
      </w:divsChild>
    </w:div>
    <w:div w:id="303004617">
      <w:bodyDiv w:val="1"/>
      <w:marLeft w:val="0"/>
      <w:marRight w:val="0"/>
      <w:marTop w:val="0"/>
      <w:marBottom w:val="0"/>
      <w:divBdr>
        <w:top w:val="none" w:sz="0" w:space="0" w:color="auto"/>
        <w:left w:val="none" w:sz="0" w:space="0" w:color="auto"/>
        <w:bottom w:val="none" w:sz="0" w:space="0" w:color="auto"/>
        <w:right w:val="none" w:sz="0" w:space="0" w:color="auto"/>
      </w:divBdr>
    </w:div>
    <w:div w:id="309597053">
      <w:bodyDiv w:val="1"/>
      <w:marLeft w:val="0"/>
      <w:marRight w:val="0"/>
      <w:marTop w:val="0"/>
      <w:marBottom w:val="0"/>
      <w:divBdr>
        <w:top w:val="none" w:sz="0" w:space="0" w:color="auto"/>
        <w:left w:val="none" w:sz="0" w:space="0" w:color="auto"/>
        <w:bottom w:val="none" w:sz="0" w:space="0" w:color="auto"/>
        <w:right w:val="none" w:sz="0" w:space="0" w:color="auto"/>
      </w:divBdr>
    </w:div>
    <w:div w:id="309599806">
      <w:bodyDiv w:val="1"/>
      <w:marLeft w:val="0"/>
      <w:marRight w:val="0"/>
      <w:marTop w:val="0"/>
      <w:marBottom w:val="0"/>
      <w:divBdr>
        <w:top w:val="none" w:sz="0" w:space="0" w:color="auto"/>
        <w:left w:val="none" w:sz="0" w:space="0" w:color="auto"/>
        <w:bottom w:val="none" w:sz="0" w:space="0" w:color="auto"/>
        <w:right w:val="none" w:sz="0" w:space="0" w:color="auto"/>
      </w:divBdr>
    </w:div>
    <w:div w:id="310519863">
      <w:bodyDiv w:val="1"/>
      <w:marLeft w:val="0"/>
      <w:marRight w:val="0"/>
      <w:marTop w:val="0"/>
      <w:marBottom w:val="0"/>
      <w:divBdr>
        <w:top w:val="none" w:sz="0" w:space="0" w:color="auto"/>
        <w:left w:val="none" w:sz="0" w:space="0" w:color="auto"/>
        <w:bottom w:val="none" w:sz="0" w:space="0" w:color="auto"/>
        <w:right w:val="none" w:sz="0" w:space="0" w:color="auto"/>
      </w:divBdr>
    </w:div>
    <w:div w:id="310990378">
      <w:bodyDiv w:val="1"/>
      <w:marLeft w:val="0"/>
      <w:marRight w:val="0"/>
      <w:marTop w:val="0"/>
      <w:marBottom w:val="0"/>
      <w:divBdr>
        <w:top w:val="none" w:sz="0" w:space="0" w:color="auto"/>
        <w:left w:val="none" w:sz="0" w:space="0" w:color="auto"/>
        <w:bottom w:val="none" w:sz="0" w:space="0" w:color="auto"/>
        <w:right w:val="none" w:sz="0" w:space="0" w:color="auto"/>
      </w:divBdr>
    </w:div>
    <w:div w:id="312217106">
      <w:bodyDiv w:val="1"/>
      <w:marLeft w:val="0"/>
      <w:marRight w:val="0"/>
      <w:marTop w:val="0"/>
      <w:marBottom w:val="0"/>
      <w:divBdr>
        <w:top w:val="none" w:sz="0" w:space="0" w:color="auto"/>
        <w:left w:val="none" w:sz="0" w:space="0" w:color="auto"/>
        <w:bottom w:val="none" w:sz="0" w:space="0" w:color="auto"/>
        <w:right w:val="none" w:sz="0" w:space="0" w:color="auto"/>
      </w:divBdr>
    </w:div>
    <w:div w:id="312370700">
      <w:bodyDiv w:val="1"/>
      <w:marLeft w:val="0"/>
      <w:marRight w:val="0"/>
      <w:marTop w:val="0"/>
      <w:marBottom w:val="0"/>
      <w:divBdr>
        <w:top w:val="none" w:sz="0" w:space="0" w:color="auto"/>
        <w:left w:val="none" w:sz="0" w:space="0" w:color="auto"/>
        <w:bottom w:val="none" w:sz="0" w:space="0" w:color="auto"/>
        <w:right w:val="none" w:sz="0" w:space="0" w:color="auto"/>
      </w:divBdr>
    </w:div>
    <w:div w:id="317660024">
      <w:bodyDiv w:val="1"/>
      <w:marLeft w:val="0"/>
      <w:marRight w:val="0"/>
      <w:marTop w:val="0"/>
      <w:marBottom w:val="0"/>
      <w:divBdr>
        <w:top w:val="none" w:sz="0" w:space="0" w:color="auto"/>
        <w:left w:val="none" w:sz="0" w:space="0" w:color="auto"/>
        <w:bottom w:val="none" w:sz="0" w:space="0" w:color="auto"/>
        <w:right w:val="none" w:sz="0" w:space="0" w:color="auto"/>
      </w:divBdr>
    </w:div>
    <w:div w:id="323165043">
      <w:bodyDiv w:val="1"/>
      <w:marLeft w:val="0"/>
      <w:marRight w:val="0"/>
      <w:marTop w:val="0"/>
      <w:marBottom w:val="0"/>
      <w:divBdr>
        <w:top w:val="none" w:sz="0" w:space="0" w:color="auto"/>
        <w:left w:val="none" w:sz="0" w:space="0" w:color="auto"/>
        <w:bottom w:val="none" w:sz="0" w:space="0" w:color="auto"/>
        <w:right w:val="none" w:sz="0" w:space="0" w:color="auto"/>
      </w:divBdr>
    </w:div>
    <w:div w:id="329218368">
      <w:bodyDiv w:val="1"/>
      <w:marLeft w:val="0"/>
      <w:marRight w:val="0"/>
      <w:marTop w:val="0"/>
      <w:marBottom w:val="0"/>
      <w:divBdr>
        <w:top w:val="none" w:sz="0" w:space="0" w:color="auto"/>
        <w:left w:val="none" w:sz="0" w:space="0" w:color="auto"/>
        <w:bottom w:val="none" w:sz="0" w:space="0" w:color="auto"/>
        <w:right w:val="none" w:sz="0" w:space="0" w:color="auto"/>
      </w:divBdr>
    </w:div>
    <w:div w:id="331445592">
      <w:bodyDiv w:val="1"/>
      <w:marLeft w:val="0"/>
      <w:marRight w:val="0"/>
      <w:marTop w:val="0"/>
      <w:marBottom w:val="0"/>
      <w:divBdr>
        <w:top w:val="none" w:sz="0" w:space="0" w:color="auto"/>
        <w:left w:val="none" w:sz="0" w:space="0" w:color="auto"/>
        <w:bottom w:val="none" w:sz="0" w:space="0" w:color="auto"/>
        <w:right w:val="none" w:sz="0" w:space="0" w:color="auto"/>
      </w:divBdr>
    </w:div>
    <w:div w:id="335377558">
      <w:bodyDiv w:val="1"/>
      <w:marLeft w:val="0"/>
      <w:marRight w:val="0"/>
      <w:marTop w:val="0"/>
      <w:marBottom w:val="0"/>
      <w:divBdr>
        <w:top w:val="none" w:sz="0" w:space="0" w:color="auto"/>
        <w:left w:val="none" w:sz="0" w:space="0" w:color="auto"/>
        <w:bottom w:val="none" w:sz="0" w:space="0" w:color="auto"/>
        <w:right w:val="none" w:sz="0" w:space="0" w:color="auto"/>
      </w:divBdr>
    </w:div>
    <w:div w:id="344787795">
      <w:bodyDiv w:val="1"/>
      <w:marLeft w:val="0"/>
      <w:marRight w:val="0"/>
      <w:marTop w:val="0"/>
      <w:marBottom w:val="0"/>
      <w:divBdr>
        <w:top w:val="none" w:sz="0" w:space="0" w:color="auto"/>
        <w:left w:val="none" w:sz="0" w:space="0" w:color="auto"/>
        <w:bottom w:val="none" w:sz="0" w:space="0" w:color="auto"/>
        <w:right w:val="none" w:sz="0" w:space="0" w:color="auto"/>
      </w:divBdr>
    </w:div>
    <w:div w:id="346714860">
      <w:bodyDiv w:val="1"/>
      <w:marLeft w:val="0"/>
      <w:marRight w:val="0"/>
      <w:marTop w:val="0"/>
      <w:marBottom w:val="0"/>
      <w:divBdr>
        <w:top w:val="none" w:sz="0" w:space="0" w:color="auto"/>
        <w:left w:val="none" w:sz="0" w:space="0" w:color="auto"/>
        <w:bottom w:val="none" w:sz="0" w:space="0" w:color="auto"/>
        <w:right w:val="none" w:sz="0" w:space="0" w:color="auto"/>
      </w:divBdr>
    </w:div>
    <w:div w:id="347103516">
      <w:bodyDiv w:val="1"/>
      <w:marLeft w:val="0"/>
      <w:marRight w:val="0"/>
      <w:marTop w:val="0"/>
      <w:marBottom w:val="0"/>
      <w:divBdr>
        <w:top w:val="none" w:sz="0" w:space="0" w:color="auto"/>
        <w:left w:val="none" w:sz="0" w:space="0" w:color="auto"/>
        <w:bottom w:val="none" w:sz="0" w:space="0" w:color="auto"/>
        <w:right w:val="none" w:sz="0" w:space="0" w:color="auto"/>
      </w:divBdr>
    </w:div>
    <w:div w:id="348222036">
      <w:bodyDiv w:val="1"/>
      <w:marLeft w:val="0"/>
      <w:marRight w:val="0"/>
      <w:marTop w:val="0"/>
      <w:marBottom w:val="0"/>
      <w:divBdr>
        <w:top w:val="none" w:sz="0" w:space="0" w:color="auto"/>
        <w:left w:val="none" w:sz="0" w:space="0" w:color="auto"/>
        <w:bottom w:val="none" w:sz="0" w:space="0" w:color="auto"/>
        <w:right w:val="none" w:sz="0" w:space="0" w:color="auto"/>
      </w:divBdr>
    </w:div>
    <w:div w:id="355278085">
      <w:bodyDiv w:val="1"/>
      <w:marLeft w:val="0"/>
      <w:marRight w:val="0"/>
      <w:marTop w:val="0"/>
      <w:marBottom w:val="0"/>
      <w:divBdr>
        <w:top w:val="none" w:sz="0" w:space="0" w:color="auto"/>
        <w:left w:val="none" w:sz="0" w:space="0" w:color="auto"/>
        <w:bottom w:val="none" w:sz="0" w:space="0" w:color="auto"/>
        <w:right w:val="none" w:sz="0" w:space="0" w:color="auto"/>
      </w:divBdr>
    </w:div>
    <w:div w:id="355428313">
      <w:bodyDiv w:val="1"/>
      <w:marLeft w:val="0"/>
      <w:marRight w:val="0"/>
      <w:marTop w:val="0"/>
      <w:marBottom w:val="0"/>
      <w:divBdr>
        <w:top w:val="none" w:sz="0" w:space="0" w:color="auto"/>
        <w:left w:val="none" w:sz="0" w:space="0" w:color="auto"/>
        <w:bottom w:val="none" w:sz="0" w:space="0" w:color="auto"/>
        <w:right w:val="none" w:sz="0" w:space="0" w:color="auto"/>
      </w:divBdr>
    </w:div>
    <w:div w:id="360472856">
      <w:bodyDiv w:val="1"/>
      <w:marLeft w:val="0"/>
      <w:marRight w:val="0"/>
      <w:marTop w:val="0"/>
      <w:marBottom w:val="0"/>
      <w:divBdr>
        <w:top w:val="none" w:sz="0" w:space="0" w:color="auto"/>
        <w:left w:val="none" w:sz="0" w:space="0" w:color="auto"/>
        <w:bottom w:val="none" w:sz="0" w:space="0" w:color="auto"/>
        <w:right w:val="none" w:sz="0" w:space="0" w:color="auto"/>
      </w:divBdr>
    </w:div>
    <w:div w:id="362289031">
      <w:bodyDiv w:val="1"/>
      <w:marLeft w:val="0"/>
      <w:marRight w:val="0"/>
      <w:marTop w:val="0"/>
      <w:marBottom w:val="0"/>
      <w:divBdr>
        <w:top w:val="none" w:sz="0" w:space="0" w:color="auto"/>
        <w:left w:val="none" w:sz="0" w:space="0" w:color="auto"/>
        <w:bottom w:val="none" w:sz="0" w:space="0" w:color="auto"/>
        <w:right w:val="none" w:sz="0" w:space="0" w:color="auto"/>
      </w:divBdr>
    </w:div>
    <w:div w:id="368575762">
      <w:bodyDiv w:val="1"/>
      <w:marLeft w:val="0"/>
      <w:marRight w:val="0"/>
      <w:marTop w:val="0"/>
      <w:marBottom w:val="0"/>
      <w:divBdr>
        <w:top w:val="none" w:sz="0" w:space="0" w:color="auto"/>
        <w:left w:val="none" w:sz="0" w:space="0" w:color="auto"/>
        <w:bottom w:val="none" w:sz="0" w:space="0" w:color="auto"/>
        <w:right w:val="none" w:sz="0" w:space="0" w:color="auto"/>
      </w:divBdr>
    </w:div>
    <w:div w:id="370812316">
      <w:bodyDiv w:val="1"/>
      <w:marLeft w:val="0"/>
      <w:marRight w:val="0"/>
      <w:marTop w:val="0"/>
      <w:marBottom w:val="0"/>
      <w:divBdr>
        <w:top w:val="none" w:sz="0" w:space="0" w:color="auto"/>
        <w:left w:val="none" w:sz="0" w:space="0" w:color="auto"/>
        <w:bottom w:val="none" w:sz="0" w:space="0" w:color="auto"/>
        <w:right w:val="none" w:sz="0" w:space="0" w:color="auto"/>
      </w:divBdr>
    </w:div>
    <w:div w:id="378556043">
      <w:bodyDiv w:val="1"/>
      <w:marLeft w:val="0"/>
      <w:marRight w:val="0"/>
      <w:marTop w:val="0"/>
      <w:marBottom w:val="0"/>
      <w:divBdr>
        <w:top w:val="none" w:sz="0" w:space="0" w:color="auto"/>
        <w:left w:val="none" w:sz="0" w:space="0" w:color="auto"/>
        <w:bottom w:val="none" w:sz="0" w:space="0" w:color="auto"/>
        <w:right w:val="none" w:sz="0" w:space="0" w:color="auto"/>
      </w:divBdr>
    </w:div>
    <w:div w:id="378626786">
      <w:bodyDiv w:val="1"/>
      <w:marLeft w:val="0"/>
      <w:marRight w:val="0"/>
      <w:marTop w:val="0"/>
      <w:marBottom w:val="0"/>
      <w:divBdr>
        <w:top w:val="none" w:sz="0" w:space="0" w:color="auto"/>
        <w:left w:val="none" w:sz="0" w:space="0" w:color="auto"/>
        <w:bottom w:val="none" w:sz="0" w:space="0" w:color="auto"/>
        <w:right w:val="none" w:sz="0" w:space="0" w:color="auto"/>
      </w:divBdr>
    </w:div>
    <w:div w:id="383876302">
      <w:bodyDiv w:val="1"/>
      <w:marLeft w:val="0"/>
      <w:marRight w:val="0"/>
      <w:marTop w:val="0"/>
      <w:marBottom w:val="0"/>
      <w:divBdr>
        <w:top w:val="none" w:sz="0" w:space="0" w:color="auto"/>
        <w:left w:val="none" w:sz="0" w:space="0" w:color="auto"/>
        <w:bottom w:val="none" w:sz="0" w:space="0" w:color="auto"/>
        <w:right w:val="none" w:sz="0" w:space="0" w:color="auto"/>
      </w:divBdr>
    </w:div>
    <w:div w:id="384185126">
      <w:bodyDiv w:val="1"/>
      <w:marLeft w:val="0"/>
      <w:marRight w:val="0"/>
      <w:marTop w:val="0"/>
      <w:marBottom w:val="0"/>
      <w:divBdr>
        <w:top w:val="none" w:sz="0" w:space="0" w:color="auto"/>
        <w:left w:val="none" w:sz="0" w:space="0" w:color="auto"/>
        <w:bottom w:val="none" w:sz="0" w:space="0" w:color="auto"/>
        <w:right w:val="none" w:sz="0" w:space="0" w:color="auto"/>
      </w:divBdr>
    </w:div>
    <w:div w:id="384372464">
      <w:bodyDiv w:val="1"/>
      <w:marLeft w:val="0"/>
      <w:marRight w:val="0"/>
      <w:marTop w:val="0"/>
      <w:marBottom w:val="0"/>
      <w:divBdr>
        <w:top w:val="none" w:sz="0" w:space="0" w:color="auto"/>
        <w:left w:val="none" w:sz="0" w:space="0" w:color="auto"/>
        <w:bottom w:val="none" w:sz="0" w:space="0" w:color="auto"/>
        <w:right w:val="none" w:sz="0" w:space="0" w:color="auto"/>
      </w:divBdr>
    </w:div>
    <w:div w:id="384764089">
      <w:bodyDiv w:val="1"/>
      <w:marLeft w:val="0"/>
      <w:marRight w:val="0"/>
      <w:marTop w:val="0"/>
      <w:marBottom w:val="0"/>
      <w:divBdr>
        <w:top w:val="none" w:sz="0" w:space="0" w:color="auto"/>
        <w:left w:val="none" w:sz="0" w:space="0" w:color="auto"/>
        <w:bottom w:val="none" w:sz="0" w:space="0" w:color="auto"/>
        <w:right w:val="none" w:sz="0" w:space="0" w:color="auto"/>
      </w:divBdr>
    </w:div>
    <w:div w:id="392581926">
      <w:bodyDiv w:val="1"/>
      <w:marLeft w:val="0"/>
      <w:marRight w:val="0"/>
      <w:marTop w:val="0"/>
      <w:marBottom w:val="0"/>
      <w:divBdr>
        <w:top w:val="none" w:sz="0" w:space="0" w:color="auto"/>
        <w:left w:val="none" w:sz="0" w:space="0" w:color="auto"/>
        <w:bottom w:val="none" w:sz="0" w:space="0" w:color="auto"/>
        <w:right w:val="none" w:sz="0" w:space="0" w:color="auto"/>
      </w:divBdr>
    </w:div>
    <w:div w:id="394471166">
      <w:bodyDiv w:val="1"/>
      <w:marLeft w:val="0"/>
      <w:marRight w:val="0"/>
      <w:marTop w:val="0"/>
      <w:marBottom w:val="0"/>
      <w:divBdr>
        <w:top w:val="none" w:sz="0" w:space="0" w:color="auto"/>
        <w:left w:val="none" w:sz="0" w:space="0" w:color="auto"/>
        <w:bottom w:val="none" w:sz="0" w:space="0" w:color="auto"/>
        <w:right w:val="none" w:sz="0" w:space="0" w:color="auto"/>
      </w:divBdr>
    </w:div>
    <w:div w:id="396250759">
      <w:bodyDiv w:val="1"/>
      <w:marLeft w:val="0"/>
      <w:marRight w:val="0"/>
      <w:marTop w:val="0"/>
      <w:marBottom w:val="0"/>
      <w:divBdr>
        <w:top w:val="none" w:sz="0" w:space="0" w:color="auto"/>
        <w:left w:val="none" w:sz="0" w:space="0" w:color="auto"/>
        <w:bottom w:val="none" w:sz="0" w:space="0" w:color="auto"/>
        <w:right w:val="none" w:sz="0" w:space="0" w:color="auto"/>
      </w:divBdr>
    </w:div>
    <w:div w:id="399057658">
      <w:bodyDiv w:val="1"/>
      <w:marLeft w:val="0"/>
      <w:marRight w:val="0"/>
      <w:marTop w:val="0"/>
      <w:marBottom w:val="0"/>
      <w:divBdr>
        <w:top w:val="none" w:sz="0" w:space="0" w:color="auto"/>
        <w:left w:val="none" w:sz="0" w:space="0" w:color="auto"/>
        <w:bottom w:val="none" w:sz="0" w:space="0" w:color="auto"/>
        <w:right w:val="none" w:sz="0" w:space="0" w:color="auto"/>
      </w:divBdr>
    </w:div>
    <w:div w:id="403995792">
      <w:bodyDiv w:val="1"/>
      <w:marLeft w:val="0"/>
      <w:marRight w:val="0"/>
      <w:marTop w:val="0"/>
      <w:marBottom w:val="0"/>
      <w:divBdr>
        <w:top w:val="none" w:sz="0" w:space="0" w:color="auto"/>
        <w:left w:val="none" w:sz="0" w:space="0" w:color="auto"/>
        <w:bottom w:val="none" w:sz="0" w:space="0" w:color="auto"/>
        <w:right w:val="none" w:sz="0" w:space="0" w:color="auto"/>
      </w:divBdr>
    </w:div>
    <w:div w:id="407194571">
      <w:bodyDiv w:val="1"/>
      <w:marLeft w:val="0"/>
      <w:marRight w:val="0"/>
      <w:marTop w:val="0"/>
      <w:marBottom w:val="0"/>
      <w:divBdr>
        <w:top w:val="none" w:sz="0" w:space="0" w:color="auto"/>
        <w:left w:val="none" w:sz="0" w:space="0" w:color="auto"/>
        <w:bottom w:val="none" w:sz="0" w:space="0" w:color="auto"/>
        <w:right w:val="none" w:sz="0" w:space="0" w:color="auto"/>
      </w:divBdr>
    </w:div>
    <w:div w:id="408230161">
      <w:bodyDiv w:val="1"/>
      <w:marLeft w:val="0"/>
      <w:marRight w:val="0"/>
      <w:marTop w:val="0"/>
      <w:marBottom w:val="0"/>
      <w:divBdr>
        <w:top w:val="none" w:sz="0" w:space="0" w:color="auto"/>
        <w:left w:val="none" w:sz="0" w:space="0" w:color="auto"/>
        <w:bottom w:val="none" w:sz="0" w:space="0" w:color="auto"/>
        <w:right w:val="none" w:sz="0" w:space="0" w:color="auto"/>
      </w:divBdr>
    </w:div>
    <w:div w:id="409079360">
      <w:bodyDiv w:val="1"/>
      <w:marLeft w:val="0"/>
      <w:marRight w:val="0"/>
      <w:marTop w:val="0"/>
      <w:marBottom w:val="0"/>
      <w:divBdr>
        <w:top w:val="none" w:sz="0" w:space="0" w:color="auto"/>
        <w:left w:val="none" w:sz="0" w:space="0" w:color="auto"/>
        <w:bottom w:val="none" w:sz="0" w:space="0" w:color="auto"/>
        <w:right w:val="none" w:sz="0" w:space="0" w:color="auto"/>
      </w:divBdr>
    </w:div>
    <w:div w:id="410275214">
      <w:bodyDiv w:val="1"/>
      <w:marLeft w:val="0"/>
      <w:marRight w:val="0"/>
      <w:marTop w:val="0"/>
      <w:marBottom w:val="0"/>
      <w:divBdr>
        <w:top w:val="none" w:sz="0" w:space="0" w:color="auto"/>
        <w:left w:val="none" w:sz="0" w:space="0" w:color="auto"/>
        <w:bottom w:val="none" w:sz="0" w:space="0" w:color="auto"/>
        <w:right w:val="none" w:sz="0" w:space="0" w:color="auto"/>
      </w:divBdr>
    </w:div>
    <w:div w:id="410588020">
      <w:bodyDiv w:val="1"/>
      <w:marLeft w:val="0"/>
      <w:marRight w:val="0"/>
      <w:marTop w:val="0"/>
      <w:marBottom w:val="0"/>
      <w:divBdr>
        <w:top w:val="none" w:sz="0" w:space="0" w:color="auto"/>
        <w:left w:val="none" w:sz="0" w:space="0" w:color="auto"/>
        <w:bottom w:val="none" w:sz="0" w:space="0" w:color="auto"/>
        <w:right w:val="none" w:sz="0" w:space="0" w:color="auto"/>
      </w:divBdr>
    </w:div>
    <w:div w:id="411509127">
      <w:bodyDiv w:val="1"/>
      <w:marLeft w:val="0"/>
      <w:marRight w:val="0"/>
      <w:marTop w:val="0"/>
      <w:marBottom w:val="0"/>
      <w:divBdr>
        <w:top w:val="none" w:sz="0" w:space="0" w:color="auto"/>
        <w:left w:val="none" w:sz="0" w:space="0" w:color="auto"/>
        <w:bottom w:val="none" w:sz="0" w:space="0" w:color="auto"/>
        <w:right w:val="none" w:sz="0" w:space="0" w:color="auto"/>
      </w:divBdr>
    </w:div>
    <w:div w:id="414283753">
      <w:bodyDiv w:val="1"/>
      <w:marLeft w:val="0"/>
      <w:marRight w:val="0"/>
      <w:marTop w:val="0"/>
      <w:marBottom w:val="0"/>
      <w:divBdr>
        <w:top w:val="none" w:sz="0" w:space="0" w:color="auto"/>
        <w:left w:val="none" w:sz="0" w:space="0" w:color="auto"/>
        <w:bottom w:val="none" w:sz="0" w:space="0" w:color="auto"/>
        <w:right w:val="none" w:sz="0" w:space="0" w:color="auto"/>
      </w:divBdr>
    </w:div>
    <w:div w:id="419371702">
      <w:bodyDiv w:val="1"/>
      <w:marLeft w:val="0"/>
      <w:marRight w:val="0"/>
      <w:marTop w:val="0"/>
      <w:marBottom w:val="0"/>
      <w:divBdr>
        <w:top w:val="none" w:sz="0" w:space="0" w:color="auto"/>
        <w:left w:val="none" w:sz="0" w:space="0" w:color="auto"/>
        <w:bottom w:val="none" w:sz="0" w:space="0" w:color="auto"/>
        <w:right w:val="none" w:sz="0" w:space="0" w:color="auto"/>
      </w:divBdr>
    </w:div>
    <w:div w:id="419831370">
      <w:bodyDiv w:val="1"/>
      <w:marLeft w:val="0"/>
      <w:marRight w:val="0"/>
      <w:marTop w:val="0"/>
      <w:marBottom w:val="0"/>
      <w:divBdr>
        <w:top w:val="none" w:sz="0" w:space="0" w:color="auto"/>
        <w:left w:val="none" w:sz="0" w:space="0" w:color="auto"/>
        <w:bottom w:val="none" w:sz="0" w:space="0" w:color="auto"/>
        <w:right w:val="none" w:sz="0" w:space="0" w:color="auto"/>
      </w:divBdr>
    </w:div>
    <w:div w:id="420563942">
      <w:bodyDiv w:val="1"/>
      <w:marLeft w:val="0"/>
      <w:marRight w:val="0"/>
      <w:marTop w:val="0"/>
      <w:marBottom w:val="0"/>
      <w:divBdr>
        <w:top w:val="none" w:sz="0" w:space="0" w:color="auto"/>
        <w:left w:val="none" w:sz="0" w:space="0" w:color="auto"/>
        <w:bottom w:val="none" w:sz="0" w:space="0" w:color="auto"/>
        <w:right w:val="none" w:sz="0" w:space="0" w:color="auto"/>
      </w:divBdr>
    </w:div>
    <w:div w:id="422804903">
      <w:bodyDiv w:val="1"/>
      <w:marLeft w:val="0"/>
      <w:marRight w:val="0"/>
      <w:marTop w:val="0"/>
      <w:marBottom w:val="0"/>
      <w:divBdr>
        <w:top w:val="none" w:sz="0" w:space="0" w:color="auto"/>
        <w:left w:val="none" w:sz="0" w:space="0" w:color="auto"/>
        <w:bottom w:val="none" w:sz="0" w:space="0" w:color="auto"/>
        <w:right w:val="none" w:sz="0" w:space="0" w:color="auto"/>
      </w:divBdr>
    </w:div>
    <w:div w:id="422995674">
      <w:bodyDiv w:val="1"/>
      <w:marLeft w:val="0"/>
      <w:marRight w:val="0"/>
      <w:marTop w:val="0"/>
      <w:marBottom w:val="0"/>
      <w:divBdr>
        <w:top w:val="none" w:sz="0" w:space="0" w:color="auto"/>
        <w:left w:val="none" w:sz="0" w:space="0" w:color="auto"/>
        <w:bottom w:val="none" w:sz="0" w:space="0" w:color="auto"/>
        <w:right w:val="none" w:sz="0" w:space="0" w:color="auto"/>
      </w:divBdr>
    </w:div>
    <w:div w:id="427965083">
      <w:bodyDiv w:val="1"/>
      <w:marLeft w:val="0"/>
      <w:marRight w:val="0"/>
      <w:marTop w:val="0"/>
      <w:marBottom w:val="0"/>
      <w:divBdr>
        <w:top w:val="none" w:sz="0" w:space="0" w:color="auto"/>
        <w:left w:val="none" w:sz="0" w:space="0" w:color="auto"/>
        <w:bottom w:val="none" w:sz="0" w:space="0" w:color="auto"/>
        <w:right w:val="none" w:sz="0" w:space="0" w:color="auto"/>
      </w:divBdr>
    </w:div>
    <w:div w:id="430928643">
      <w:bodyDiv w:val="1"/>
      <w:marLeft w:val="0"/>
      <w:marRight w:val="0"/>
      <w:marTop w:val="0"/>
      <w:marBottom w:val="0"/>
      <w:divBdr>
        <w:top w:val="none" w:sz="0" w:space="0" w:color="auto"/>
        <w:left w:val="none" w:sz="0" w:space="0" w:color="auto"/>
        <w:bottom w:val="none" w:sz="0" w:space="0" w:color="auto"/>
        <w:right w:val="none" w:sz="0" w:space="0" w:color="auto"/>
      </w:divBdr>
    </w:div>
    <w:div w:id="432019737">
      <w:bodyDiv w:val="1"/>
      <w:marLeft w:val="0"/>
      <w:marRight w:val="0"/>
      <w:marTop w:val="0"/>
      <w:marBottom w:val="0"/>
      <w:divBdr>
        <w:top w:val="none" w:sz="0" w:space="0" w:color="auto"/>
        <w:left w:val="none" w:sz="0" w:space="0" w:color="auto"/>
        <w:bottom w:val="none" w:sz="0" w:space="0" w:color="auto"/>
        <w:right w:val="none" w:sz="0" w:space="0" w:color="auto"/>
      </w:divBdr>
    </w:div>
    <w:div w:id="433982285">
      <w:bodyDiv w:val="1"/>
      <w:marLeft w:val="0"/>
      <w:marRight w:val="0"/>
      <w:marTop w:val="0"/>
      <w:marBottom w:val="0"/>
      <w:divBdr>
        <w:top w:val="none" w:sz="0" w:space="0" w:color="auto"/>
        <w:left w:val="none" w:sz="0" w:space="0" w:color="auto"/>
        <w:bottom w:val="none" w:sz="0" w:space="0" w:color="auto"/>
        <w:right w:val="none" w:sz="0" w:space="0" w:color="auto"/>
      </w:divBdr>
    </w:div>
    <w:div w:id="435834480">
      <w:bodyDiv w:val="1"/>
      <w:marLeft w:val="0"/>
      <w:marRight w:val="0"/>
      <w:marTop w:val="0"/>
      <w:marBottom w:val="0"/>
      <w:divBdr>
        <w:top w:val="none" w:sz="0" w:space="0" w:color="auto"/>
        <w:left w:val="none" w:sz="0" w:space="0" w:color="auto"/>
        <w:bottom w:val="none" w:sz="0" w:space="0" w:color="auto"/>
        <w:right w:val="none" w:sz="0" w:space="0" w:color="auto"/>
      </w:divBdr>
    </w:div>
    <w:div w:id="438914877">
      <w:bodyDiv w:val="1"/>
      <w:marLeft w:val="0"/>
      <w:marRight w:val="0"/>
      <w:marTop w:val="0"/>
      <w:marBottom w:val="0"/>
      <w:divBdr>
        <w:top w:val="none" w:sz="0" w:space="0" w:color="auto"/>
        <w:left w:val="none" w:sz="0" w:space="0" w:color="auto"/>
        <w:bottom w:val="none" w:sz="0" w:space="0" w:color="auto"/>
        <w:right w:val="none" w:sz="0" w:space="0" w:color="auto"/>
      </w:divBdr>
    </w:div>
    <w:div w:id="441531598">
      <w:bodyDiv w:val="1"/>
      <w:marLeft w:val="0"/>
      <w:marRight w:val="0"/>
      <w:marTop w:val="0"/>
      <w:marBottom w:val="0"/>
      <w:divBdr>
        <w:top w:val="none" w:sz="0" w:space="0" w:color="auto"/>
        <w:left w:val="none" w:sz="0" w:space="0" w:color="auto"/>
        <w:bottom w:val="none" w:sz="0" w:space="0" w:color="auto"/>
        <w:right w:val="none" w:sz="0" w:space="0" w:color="auto"/>
      </w:divBdr>
    </w:div>
    <w:div w:id="442044145">
      <w:bodyDiv w:val="1"/>
      <w:marLeft w:val="0"/>
      <w:marRight w:val="0"/>
      <w:marTop w:val="0"/>
      <w:marBottom w:val="0"/>
      <w:divBdr>
        <w:top w:val="none" w:sz="0" w:space="0" w:color="auto"/>
        <w:left w:val="none" w:sz="0" w:space="0" w:color="auto"/>
        <w:bottom w:val="none" w:sz="0" w:space="0" w:color="auto"/>
        <w:right w:val="none" w:sz="0" w:space="0" w:color="auto"/>
      </w:divBdr>
    </w:div>
    <w:div w:id="450515412">
      <w:bodyDiv w:val="1"/>
      <w:marLeft w:val="0"/>
      <w:marRight w:val="0"/>
      <w:marTop w:val="0"/>
      <w:marBottom w:val="0"/>
      <w:divBdr>
        <w:top w:val="none" w:sz="0" w:space="0" w:color="auto"/>
        <w:left w:val="none" w:sz="0" w:space="0" w:color="auto"/>
        <w:bottom w:val="none" w:sz="0" w:space="0" w:color="auto"/>
        <w:right w:val="none" w:sz="0" w:space="0" w:color="auto"/>
      </w:divBdr>
    </w:div>
    <w:div w:id="451289838">
      <w:bodyDiv w:val="1"/>
      <w:marLeft w:val="0"/>
      <w:marRight w:val="0"/>
      <w:marTop w:val="0"/>
      <w:marBottom w:val="0"/>
      <w:divBdr>
        <w:top w:val="none" w:sz="0" w:space="0" w:color="auto"/>
        <w:left w:val="none" w:sz="0" w:space="0" w:color="auto"/>
        <w:bottom w:val="none" w:sz="0" w:space="0" w:color="auto"/>
        <w:right w:val="none" w:sz="0" w:space="0" w:color="auto"/>
      </w:divBdr>
    </w:div>
    <w:div w:id="453400822">
      <w:bodyDiv w:val="1"/>
      <w:marLeft w:val="0"/>
      <w:marRight w:val="0"/>
      <w:marTop w:val="0"/>
      <w:marBottom w:val="0"/>
      <w:divBdr>
        <w:top w:val="none" w:sz="0" w:space="0" w:color="auto"/>
        <w:left w:val="none" w:sz="0" w:space="0" w:color="auto"/>
        <w:bottom w:val="none" w:sz="0" w:space="0" w:color="auto"/>
        <w:right w:val="none" w:sz="0" w:space="0" w:color="auto"/>
      </w:divBdr>
    </w:div>
    <w:div w:id="454953932">
      <w:bodyDiv w:val="1"/>
      <w:marLeft w:val="0"/>
      <w:marRight w:val="0"/>
      <w:marTop w:val="0"/>
      <w:marBottom w:val="0"/>
      <w:divBdr>
        <w:top w:val="none" w:sz="0" w:space="0" w:color="auto"/>
        <w:left w:val="none" w:sz="0" w:space="0" w:color="auto"/>
        <w:bottom w:val="none" w:sz="0" w:space="0" w:color="auto"/>
        <w:right w:val="none" w:sz="0" w:space="0" w:color="auto"/>
      </w:divBdr>
    </w:div>
    <w:div w:id="455489732">
      <w:bodyDiv w:val="1"/>
      <w:marLeft w:val="0"/>
      <w:marRight w:val="0"/>
      <w:marTop w:val="0"/>
      <w:marBottom w:val="0"/>
      <w:divBdr>
        <w:top w:val="none" w:sz="0" w:space="0" w:color="auto"/>
        <w:left w:val="none" w:sz="0" w:space="0" w:color="auto"/>
        <w:bottom w:val="none" w:sz="0" w:space="0" w:color="auto"/>
        <w:right w:val="none" w:sz="0" w:space="0" w:color="auto"/>
      </w:divBdr>
    </w:div>
    <w:div w:id="457064365">
      <w:bodyDiv w:val="1"/>
      <w:marLeft w:val="0"/>
      <w:marRight w:val="0"/>
      <w:marTop w:val="0"/>
      <w:marBottom w:val="0"/>
      <w:divBdr>
        <w:top w:val="none" w:sz="0" w:space="0" w:color="auto"/>
        <w:left w:val="none" w:sz="0" w:space="0" w:color="auto"/>
        <w:bottom w:val="none" w:sz="0" w:space="0" w:color="auto"/>
        <w:right w:val="none" w:sz="0" w:space="0" w:color="auto"/>
      </w:divBdr>
    </w:div>
    <w:div w:id="464202445">
      <w:bodyDiv w:val="1"/>
      <w:marLeft w:val="0"/>
      <w:marRight w:val="0"/>
      <w:marTop w:val="0"/>
      <w:marBottom w:val="0"/>
      <w:divBdr>
        <w:top w:val="none" w:sz="0" w:space="0" w:color="auto"/>
        <w:left w:val="none" w:sz="0" w:space="0" w:color="auto"/>
        <w:bottom w:val="none" w:sz="0" w:space="0" w:color="auto"/>
        <w:right w:val="none" w:sz="0" w:space="0" w:color="auto"/>
      </w:divBdr>
    </w:div>
    <w:div w:id="465202567">
      <w:bodyDiv w:val="1"/>
      <w:marLeft w:val="0"/>
      <w:marRight w:val="0"/>
      <w:marTop w:val="0"/>
      <w:marBottom w:val="0"/>
      <w:divBdr>
        <w:top w:val="none" w:sz="0" w:space="0" w:color="auto"/>
        <w:left w:val="none" w:sz="0" w:space="0" w:color="auto"/>
        <w:bottom w:val="none" w:sz="0" w:space="0" w:color="auto"/>
        <w:right w:val="none" w:sz="0" w:space="0" w:color="auto"/>
      </w:divBdr>
    </w:div>
    <w:div w:id="465314357">
      <w:bodyDiv w:val="1"/>
      <w:marLeft w:val="0"/>
      <w:marRight w:val="0"/>
      <w:marTop w:val="0"/>
      <w:marBottom w:val="0"/>
      <w:divBdr>
        <w:top w:val="none" w:sz="0" w:space="0" w:color="auto"/>
        <w:left w:val="none" w:sz="0" w:space="0" w:color="auto"/>
        <w:bottom w:val="none" w:sz="0" w:space="0" w:color="auto"/>
        <w:right w:val="none" w:sz="0" w:space="0" w:color="auto"/>
      </w:divBdr>
    </w:div>
    <w:div w:id="467434821">
      <w:bodyDiv w:val="1"/>
      <w:marLeft w:val="0"/>
      <w:marRight w:val="0"/>
      <w:marTop w:val="0"/>
      <w:marBottom w:val="0"/>
      <w:divBdr>
        <w:top w:val="none" w:sz="0" w:space="0" w:color="auto"/>
        <w:left w:val="none" w:sz="0" w:space="0" w:color="auto"/>
        <w:bottom w:val="none" w:sz="0" w:space="0" w:color="auto"/>
        <w:right w:val="none" w:sz="0" w:space="0" w:color="auto"/>
      </w:divBdr>
    </w:div>
    <w:div w:id="467435001">
      <w:bodyDiv w:val="1"/>
      <w:marLeft w:val="0"/>
      <w:marRight w:val="0"/>
      <w:marTop w:val="0"/>
      <w:marBottom w:val="0"/>
      <w:divBdr>
        <w:top w:val="none" w:sz="0" w:space="0" w:color="auto"/>
        <w:left w:val="none" w:sz="0" w:space="0" w:color="auto"/>
        <w:bottom w:val="none" w:sz="0" w:space="0" w:color="auto"/>
        <w:right w:val="none" w:sz="0" w:space="0" w:color="auto"/>
      </w:divBdr>
    </w:div>
    <w:div w:id="469248423">
      <w:bodyDiv w:val="1"/>
      <w:marLeft w:val="0"/>
      <w:marRight w:val="0"/>
      <w:marTop w:val="0"/>
      <w:marBottom w:val="0"/>
      <w:divBdr>
        <w:top w:val="none" w:sz="0" w:space="0" w:color="auto"/>
        <w:left w:val="none" w:sz="0" w:space="0" w:color="auto"/>
        <w:bottom w:val="none" w:sz="0" w:space="0" w:color="auto"/>
        <w:right w:val="none" w:sz="0" w:space="0" w:color="auto"/>
      </w:divBdr>
    </w:div>
    <w:div w:id="471367599">
      <w:bodyDiv w:val="1"/>
      <w:marLeft w:val="0"/>
      <w:marRight w:val="0"/>
      <w:marTop w:val="0"/>
      <w:marBottom w:val="0"/>
      <w:divBdr>
        <w:top w:val="none" w:sz="0" w:space="0" w:color="auto"/>
        <w:left w:val="none" w:sz="0" w:space="0" w:color="auto"/>
        <w:bottom w:val="none" w:sz="0" w:space="0" w:color="auto"/>
        <w:right w:val="none" w:sz="0" w:space="0" w:color="auto"/>
      </w:divBdr>
    </w:div>
    <w:div w:id="474225882">
      <w:bodyDiv w:val="1"/>
      <w:marLeft w:val="0"/>
      <w:marRight w:val="0"/>
      <w:marTop w:val="0"/>
      <w:marBottom w:val="0"/>
      <w:divBdr>
        <w:top w:val="none" w:sz="0" w:space="0" w:color="auto"/>
        <w:left w:val="none" w:sz="0" w:space="0" w:color="auto"/>
        <w:bottom w:val="none" w:sz="0" w:space="0" w:color="auto"/>
        <w:right w:val="none" w:sz="0" w:space="0" w:color="auto"/>
      </w:divBdr>
    </w:div>
    <w:div w:id="476457542">
      <w:bodyDiv w:val="1"/>
      <w:marLeft w:val="0"/>
      <w:marRight w:val="0"/>
      <w:marTop w:val="0"/>
      <w:marBottom w:val="0"/>
      <w:divBdr>
        <w:top w:val="none" w:sz="0" w:space="0" w:color="auto"/>
        <w:left w:val="none" w:sz="0" w:space="0" w:color="auto"/>
        <w:bottom w:val="none" w:sz="0" w:space="0" w:color="auto"/>
        <w:right w:val="none" w:sz="0" w:space="0" w:color="auto"/>
      </w:divBdr>
    </w:div>
    <w:div w:id="478617718">
      <w:bodyDiv w:val="1"/>
      <w:marLeft w:val="0"/>
      <w:marRight w:val="0"/>
      <w:marTop w:val="0"/>
      <w:marBottom w:val="0"/>
      <w:divBdr>
        <w:top w:val="none" w:sz="0" w:space="0" w:color="auto"/>
        <w:left w:val="none" w:sz="0" w:space="0" w:color="auto"/>
        <w:bottom w:val="none" w:sz="0" w:space="0" w:color="auto"/>
        <w:right w:val="none" w:sz="0" w:space="0" w:color="auto"/>
      </w:divBdr>
    </w:div>
    <w:div w:id="479421280">
      <w:bodyDiv w:val="1"/>
      <w:marLeft w:val="0"/>
      <w:marRight w:val="0"/>
      <w:marTop w:val="0"/>
      <w:marBottom w:val="0"/>
      <w:divBdr>
        <w:top w:val="none" w:sz="0" w:space="0" w:color="auto"/>
        <w:left w:val="none" w:sz="0" w:space="0" w:color="auto"/>
        <w:bottom w:val="none" w:sz="0" w:space="0" w:color="auto"/>
        <w:right w:val="none" w:sz="0" w:space="0" w:color="auto"/>
      </w:divBdr>
    </w:div>
    <w:div w:id="482698137">
      <w:bodyDiv w:val="1"/>
      <w:marLeft w:val="0"/>
      <w:marRight w:val="0"/>
      <w:marTop w:val="0"/>
      <w:marBottom w:val="0"/>
      <w:divBdr>
        <w:top w:val="none" w:sz="0" w:space="0" w:color="auto"/>
        <w:left w:val="none" w:sz="0" w:space="0" w:color="auto"/>
        <w:bottom w:val="none" w:sz="0" w:space="0" w:color="auto"/>
        <w:right w:val="none" w:sz="0" w:space="0" w:color="auto"/>
      </w:divBdr>
    </w:div>
    <w:div w:id="488792178">
      <w:bodyDiv w:val="1"/>
      <w:marLeft w:val="0"/>
      <w:marRight w:val="0"/>
      <w:marTop w:val="0"/>
      <w:marBottom w:val="0"/>
      <w:divBdr>
        <w:top w:val="none" w:sz="0" w:space="0" w:color="auto"/>
        <w:left w:val="none" w:sz="0" w:space="0" w:color="auto"/>
        <w:bottom w:val="none" w:sz="0" w:space="0" w:color="auto"/>
        <w:right w:val="none" w:sz="0" w:space="0" w:color="auto"/>
      </w:divBdr>
    </w:div>
    <w:div w:id="489442809">
      <w:bodyDiv w:val="1"/>
      <w:marLeft w:val="0"/>
      <w:marRight w:val="0"/>
      <w:marTop w:val="0"/>
      <w:marBottom w:val="0"/>
      <w:divBdr>
        <w:top w:val="none" w:sz="0" w:space="0" w:color="auto"/>
        <w:left w:val="none" w:sz="0" w:space="0" w:color="auto"/>
        <w:bottom w:val="none" w:sz="0" w:space="0" w:color="auto"/>
        <w:right w:val="none" w:sz="0" w:space="0" w:color="auto"/>
      </w:divBdr>
    </w:div>
    <w:div w:id="490800460">
      <w:bodyDiv w:val="1"/>
      <w:marLeft w:val="0"/>
      <w:marRight w:val="0"/>
      <w:marTop w:val="0"/>
      <w:marBottom w:val="0"/>
      <w:divBdr>
        <w:top w:val="none" w:sz="0" w:space="0" w:color="auto"/>
        <w:left w:val="none" w:sz="0" w:space="0" w:color="auto"/>
        <w:bottom w:val="none" w:sz="0" w:space="0" w:color="auto"/>
        <w:right w:val="none" w:sz="0" w:space="0" w:color="auto"/>
      </w:divBdr>
    </w:div>
    <w:div w:id="492112206">
      <w:bodyDiv w:val="1"/>
      <w:marLeft w:val="0"/>
      <w:marRight w:val="0"/>
      <w:marTop w:val="0"/>
      <w:marBottom w:val="0"/>
      <w:divBdr>
        <w:top w:val="none" w:sz="0" w:space="0" w:color="auto"/>
        <w:left w:val="none" w:sz="0" w:space="0" w:color="auto"/>
        <w:bottom w:val="none" w:sz="0" w:space="0" w:color="auto"/>
        <w:right w:val="none" w:sz="0" w:space="0" w:color="auto"/>
      </w:divBdr>
    </w:div>
    <w:div w:id="495195857">
      <w:bodyDiv w:val="1"/>
      <w:marLeft w:val="0"/>
      <w:marRight w:val="0"/>
      <w:marTop w:val="0"/>
      <w:marBottom w:val="0"/>
      <w:divBdr>
        <w:top w:val="none" w:sz="0" w:space="0" w:color="auto"/>
        <w:left w:val="none" w:sz="0" w:space="0" w:color="auto"/>
        <w:bottom w:val="none" w:sz="0" w:space="0" w:color="auto"/>
        <w:right w:val="none" w:sz="0" w:space="0" w:color="auto"/>
      </w:divBdr>
    </w:div>
    <w:div w:id="501311528">
      <w:bodyDiv w:val="1"/>
      <w:marLeft w:val="0"/>
      <w:marRight w:val="0"/>
      <w:marTop w:val="0"/>
      <w:marBottom w:val="0"/>
      <w:divBdr>
        <w:top w:val="none" w:sz="0" w:space="0" w:color="auto"/>
        <w:left w:val="none" w:sz="0" w:space="0" w:color="auto"/>
        <w:bottom w:val="none" w:sz="0" w:space="0" w:color="auto"/>
        <w:right w:val="none" w:sz="0" w:space="0" w:color="auto"/>
      </w:divBdr>
    </w:div>
    <w:div w:id="508252575">
      <w:bodyDiv w:val="1"/>
      <w:marLeft w:val="0"/>
      <w:marRight w:val="0"/>
      <w:marTop w:val="0"/>
      <w:marBottom w:val="0"/>
      <w:divBdr>
        <w:top w:val="none" w:sz="0" w:space="0" w:color="auto"/>
        <w:left w:val="none" w:sz="0" w:space="0" w:color="auto"/>
        <w:bottom w:val="none" w:sz="0" w:space="0" w:color="auto"/>
        <w:right w:val="none" w:sz="0" w:space="0" w:color="auto"/>
      </w:divBdr>
    </w:div>
    <w:div w:id="509300175">
      <w:bodyDiv w:val="1"/>
      <w:marLeft w:val="0"/>
      <w:marRight w:val="0"/>
      <w:marTop w:val="0"/>
      <w:marBottom w:val="0"/>
      <w:divBdr>
        <w:top w:val="none" w:sz="0" w:space="0" w:color="auto"/>
        <w:left w:val="none" w:sz="0" w:space="0" w:color="auto"/>
        <w:bottom w:val="none" w:sz="0" w:space="0" w:color="auto"/>
        <w:right w:val="none" w:sz="0" w:space="0" w:color="auto"/>
      </w:divBdr>
    </w:div>
    <w:div w:id="510410765">
      <w:bodyDiv w:val="1"/>
      <w:marLeft w:val="0"/>
      <w:marRight w:val="0"/>
      <w:marTop w:val="0"/>
      <w:marBottom w:val="0"/>
      <w:divBdr>
        <w:top w:val="none" w:sz="0" w:space="0" w:color="auto"/>
        <w:left w:val="none" w:sz="0" w:space="0" w:color="auto"/>
        <w:bottom w:val="none" w:sz="0" w:space="0" w:color="auto"/>
        <w:right w:val="none" w:sz="0" w:space="0" w:color="auto"/>
      </w:divBdr>
    </w:div>
    <w:div w:id="521284940">
      <w:bodyDiv w:val="1"/>
      <w:marLeft w:val="0"/>
      <w:marRight w:val="0"/>
      <w:marTop w:val="0"/>
      <w:marBottom w:val="0"/>
      <w:divBdr>
        <w:top w:val="none" w:sz="0" w:space="0" w:color="auto"/>
        <w:left w:val="none" w:sz="0" w:space="0" w:color="auto"/>
        <w:bottom w:val="none" w:sz="0" w:space="0" w:color="auto"/>
        <w:right w:val="none" w:sz="0" w:space="0" w:color="auto"/>
      </w:divBdr>
    </w:div>
    <w:div w:id="525599729">
      <w:bodyDiv w:val="1"/>
      <w:marLeft w:val="0"/>
      <w:marRight w:val="0"/>
      <w:marTop w:val="0"/>
      <w:marBottom w:val="0"/>
      <w:divBdr>
        <w:top w:val="none" w:sz="0" w:space="0" w:color="auto"/>
        <w:left w:val="none" w:sz="0" w:space="0" w:color="auto"/>
        <w:bottom w:val="none" w:sz="0" w:space="0" w:color="auto"/>
        <w:right w:val="none" w:sz="0" w:space="0" w:color="auto"/>
      </w:divBdr>
    </w:div>
    <w:div w:id="526063613">
      <w:bodyDiv w:val="1"/>
      <w:marLeft w:val="0"/>
      <w:marRight w:val="0"/>
      <w:marTop w:val="0"/>
      <w:marBottom w:val="0"/>
      <w:divBdr>
        <w:top w:val="none" w:sz="0" w:space="0" w:color="auto"/>
        <w:left w:val="none" w:sz="0" w:space="0" w:color="auto"/>
        <w:bottom w:val="none" w:sz="0" w:space="0" w:color="auto"/>
        <w:right w:val="none" w:sz="0" w:space="0" w:color="auto"/>
      </w:divBdr>
    </w:div>
    <w:div w:id="526872136">
      <w:bodyDiv w:val="1"/>
      <w:marLeft w:val="0"/>
      <w:marRight w:val="0"/>
      <w:marTop w:val="0"/>
      <w:marBottom w:val="0"/>
      <w:divBdr>
        <w:top w:val="none" w:sz="0" w:space="0" w:color="auto"/>
        <w:left w:val="none" w:sz="0" w:space="0" w:color="auto"/>
        <w:bottom w:val="none" w:sz="0" w:space="0" w:color="auto"/>
        <w:right w:val="none" w:sz="0" w:space="0" w:color="auto"/>
      </w:divBdr>
    </w:div>
    <w:div w:id="532691394">
      <w:bodyDiv w:val="1"/>
      <w:marLeft w:val="0"/>
      <w:marRight w:val="0"/>
      <w:marTop w:val="0"/>
      <w:marBottom w:val="0"/>
      <w:divBdr>
        <w:top w:val="none" w:sz="0" w:space="0" w:color="auto"/>
        <w:left w:val="none" w:sz="0" w:space="0" w:color="auto"/>
        <w:bottom w:val="none" w:sz="0" w:space="0" w:color="auto"/>
        <w:right w:val="none" w:sz="0" w:space="0" w:color="auto"/>
      </w:divBdr>
    </w:div>
    <w:div w:id="534733180">
      <w:bodyDiv w:val="1"/>
      <w:marLeft w:val="0"/>
      <w:marRight w:val="0"/>
      <w:marTop w:val="0"/>
      <w:marBottom w:val="0"/>
      <w:divBdr>
        <w:top w:val="none" w:sz="0" w:space="0" w:color="auto"/>
        <w:left w:val="none" w:sz="0" w:space="0" w:color="auto"/>
        <w:bottom w:val="none" w:sz="0" w:space="0" w:color="auto"/>
        <w:right w:val="none" w:sz="0" w:space="0" w:color="auto"/>
      </w:divBdr>
    </w:div>
    <w:div w:id="541212508">
      <w:bodyDiv w:val="1"/>
      <w:marLeft w:val="0"/>
      <w:marRight w:val="0"/>
      <w:marTop w:val="0"/>
      <w:marBottom w:val="0"/>
      <w:divBdr>
        <w:top w:val="none" w:sz="0" w:space="0" w:color="auto"/>
        <w:left w:val="none" w:sz="0" w:space="0" w:color="auto"/>
        <w:bottom w:val="none" w:sz="0" w:space="0" w:color="auto"/>
        <w:right w:val="none" w:sz="0" w:space="0" w:color="auto"/>
      </w:divBdr>
    </w:div>
    <w:div w:id="548952071">
      <w:bodyDiv w:val="1"/>
      <w:marLeft w:val="0"/>
      <w:marRight w:val="0"/>
      <w:marTop w:val="0"/>
      <w:marBottom w:val="0"/>
      <w:divBdr>
        <w:top w:val="none" w:sz="0" w:space="0" w:color="auto"/>
        <w:left w:val="none" w:sz="0" w:space="0" w:color="auto"/>
        <w:bottom w:val="none" w:sz="0" w:space="0" w:color="auto"/>
        <w:right w:val="none" w:sz="0" w:space="0" w:color="auto"/>
      </w:divBdr>
    </w:div>
    <w:div w:id="549076215">
      <w:bodyDiv w:val="1"/>
      <w:marLeft w:val="0"/>
      <w:marRight w:val="0"/>
      <w:marTop w:val="0"/>
      <w:marBottom w:val="0"/>
      <w:divBdr>
        <w:top w:val="none" w:sz="0" w:space="0" w:color="auto"/>
        <w:left w:val="none" w:sz="0" w:space="0" w:color="auto"/>
        <w:bottom w:val="none" w:sz="0" w:space="0" w:color="auto"/>
        <w:right w:val="none" w:sz="0" w:space="0" w:color="auto"/>
      </w:divBdr>
    </w:div>
    <w:div w:id="549415883">
      <w:bodyDiv w:val="1"/>
      <w:marLeft w:val="0"/>
      <w:marRight w:val="0"/>
      <w:marTop w:val="0"/>
      <w:marBottom w:val="0"/>
      <w:divBdr>
        <w:top w:val="none" w:sz="0" w:space="0" w:color="auto"/>
        <w:left w:val="none" w:sz="0" w:space="0" w:color="auto"/>
        <w:bottom w:val="none" w:sz="0" w:space="0" w:color="auto"/>
        <w:right w:val="none" w:sz="0" w:space="0" w:color="auto"/>
      </w:divBdr>
    </w:div>
    <w:div w:id="555508542">
      <w:bodyDiv w:val="1"/>
      <w:marLeft w:val="0"/>
      <w:marRight w:val="0"/>
      <w:marTop w:val="0"/>
      <w:marBottom w:val="0"/>
      <w:divBdr>
        <w:top w:val="none" w:sz="0" w:space="0" w:color="auto"/>
        <w:left w:val="none" w:sz="0" w:space="0" w:color="auto"/>
        <w:bottom w:val="none" w:sz="0" w:space="0" w:color="auto"/>
        <w:right w:val="none" w:sz="0" w:space="0" w:color="auto"/>
      </w:divBdr>
    </w:div>
    <w:div w:id="557588706">
      <w:bodyDiv w:val="1"/>
      <w:marLeft w:val="0"/>
      <w:marRight w:val="0"/>
      <w:marTop w:val="0"/>
      <w:marBottom w:val="0"/>
      <w:divBdr>
        <w:top w:val="none" w:sz="0" w:space="0" w:color="auto"/>
        <w:left w:val="none" w:sz="0" w:space="0" w:color="auto"/>
        <w:bottom w:val="none" w:sz="0" w:space="0" w:color="auto"/>
        <w:right w:val="none" w:sz="0" w:space="0" w:color="auto"/>
      </w:divBdr>
    </w:div>
    <w:div w:id="563033217">
      <w:bodyDiv w:val="1"/>
      <w:marLeft w:val="0"/>
      <w:marRight w:val="0"/>
      <w:marTop w:val="0"/>
      <w:marBottom w:val="0"/>
      <w:divBdr>
        <w:top w:val="none" w:sz="0" w:space="0" w:color="auto"/>
        <w:left w:val="none" w:sz="0" w:space="0" w:color="auto"/>
        <w:bottom w:val="none" w:sz="0" w:space="0" w:color="auto"/>
        <w:right w:val="none" w:sz="0" w:space="0" w:color="auto"/>
      </w:divBdr>
    </w:div>
    <w:div w:id="575820203">
      <w:bodyDiv w:val="1"/>
      <w:marLeft w:val="0"/>
      <w:marRight w:val="0"/>
      <w:marTop w:val="0"/>
      <w:marBottom w:val="0"/>
      <w:divBdr>
        <w:top w:val="none" w:sz="0" w:space="0" w:color="auto"/>
        <w:left w:val="none" w:sz="0" w:space="0" w:color="auto"/>
        <w:bottom w:val="none" w:sz="0" w:space="0" w:color="auto"/>
        <w:right w:val="none" w:sz="0" w:space="0" w:color="auto"/>
      </w:divBdr>
    </w:div>
    <w:div w:id="580143761">
      <w:bodyDiv w:val="1"/>
      <w:marLeft w:val="0"/>
      <w:marRight w:val="0"/>
      <w:marTop w:val="0"/>
      <w:marBottom w:val="0"/>
      <w:divBdr>
        <w:top w:val="none" w:sz="0" w:space="0" w:color="auto"/>
        <w:left w:val="none" w:sz="0" w:space="0" w:color="auto"/>
        <w:bottom w:val="none" w:sz="0" w:space="0" w:color="auto"/>
        <w:right w:val="none" w:sz="0" w:space="0" w:color="auto"/>
      </w:divBdr>
    </w:div>
    <w:div w:id="582832912">
      <w:bodyDiv w:val="1"/>
      <w:marLeft w:val="0"/>
      <w:marRight w:val="0"/>
      <w:marTop w:val="0"/>
      <w:marBottom w:val="0"/>
      <w:divBdr>
        <w:top w:val="none" w:sz="0" w:space="0" w:color="auto"/>
        <w:left w:val="none" w:sz="0" w:space="0" w:color="auto"/>
        <w:bottom w:val="none" w:sz="0" w:space="0" w:color="auto"/>
        <w:right w:val="none" w:sz="0" w:space="0" w:color="auto"/>
      </w:divBdr>
    </w:div>
    <w:div w:id="593706164">
      <w:bodyDiv w:val="1"/>
      <w:marLeft w:val="0"/>
      <w:marRight w:val="0"/>
      <w:marTop w:val="0"/>
      <w:marBottom w:val="0"/>
      <w:divBdr>
        <w:top w:val="none" w:sz="0" w:space="0" w:color="auto"/>
        <w:left w:val="none" w:sz="0" w:space="0" w:color="auto"/>
        <w:bottom w:val="none" w:sz="0" w:space="0" w:color="auto"/>
        <w:right w:val="none" w:sz="0" w:space="0" w:color="auto"/>
      </w:divBdr>
    </w:div>
    <w:div w:id="595754384">
      <w:bodyDiv w:val="1"/>
      <w:marLeft w:val="0"/>
      <w:marRight w:val="0"/>
      <w:marTop w:val="0"/>
      <w:marBottom w:val="0"/>
      <w:divBdr>
        <w:top w:val="none" w:sz="0" w:space="0" w:color="auto"/>
        <w:left w:val="none" w:sz="0" w:space="0" w:color="auto"/>
        <w:bottom w:val="none" w:sz="0" w:space="0" w:color="auto"/>
        <w:right w:val="none" w:sz="0" w:space="0" w:color="auto"/>
      </w:divBdr>
    </w:div>
    <w:div w:id="599029367">
      <w:bodyDiv w:val="1"/>
      <w:marLeft w:val="0"/>
      <w:marRight w:val="0"/>
      <w:marTop w:val="0"/>
      <w:marBottom w:val="0"/>
      <w:divBdr>
        <w:top w:val="none" w:sz="0" w:space="0" w:color="auto"/>
        <w:left w:val="none" w:sz="0" w:space="0" w:color="auto"/>
        <w:bottom w:val="none" w:sz="0" w:space="0" w:color="auto"/>
        <w:right w:val="none" w:sz="0" w:space="0" w:color="auto"/>
      </w:divBdr>
    </w:div>
    <w:div w:id="607277586">
      <w:bodyDiv w:val="1"/>
      <w:marLeft w:val="0"/>
      <w:marRight w:val="0"/>
      <w:marTop w:val="0"/>
      <w:marBottom w:val="0"/>
      <w:divBdr>
        <w:top w:val="none" w:sz="0" w:space="0" w:color="auto"/>
        <w:left w:val="none" w:sz="0" w:space="0" w:color="auto"/>
        <w:bottom w:val="none" w:sz="0" w:space="0" w:color="auto"/>
        <w:right w:val="none" w:sz="0" w:space="0" w:color="auto"/>
      </w:divBdr>
    </w:div>
    <w:div w:id="608392018">
      <w:bodyDiv w:val="1"/>
      <w:marLeft w:val="0"/>
      <w:marRight w:val="0"/>
      <w:marTop w:val="0"/>
      <w:marBottom w:val="0"/>
      <w:divBdr>
        <w:top w:val="none" w:sz="0" w:space="0" w:color="auto"/>
        <w:left w:val="none" w:sz="0" w:space="0" w:color="auto"/>
        <w:bottom w:val="none" w:sz="0" w:space="0" w:color="auto"/>
        <w:right w:val="none" w:sz="0" w:space="0" w:color="auto"/>
      </w:divBdr>
    </w:div>
    <w:div w:id="612714063">
      <w:bodyDiv w:val="1"/>
      <w:marLeft w:val="0"/>
      <w:marRight w:val="0"/>
      <w:marTop w:val="0"/>
      <w:marBottom w:val="0"/>
      <w:divBdr>
        <w:top w:val="none" w:sz="0" w:space="0" w:color="auto"/>
        <w:left w:val="none" w:sz="0" w:space="0" w:color="auto"/>
        <w:bottom w:val="none" w:sz="0" w:space="0" w:color="auto"/>
        <w:right w:val="none" w:sz="0" w:space="0" w:color="auto"/>
      </w:divBdr>
    </w:div>
    <w:div w:id="614485326">
      <w:bodyDiv w:val="1"/>
      <w:marLeft w:val="0"/>
      <w:marRight w:val="0"/>
      <w:marTop w:val="0"/>
      <w:marBottom w:val="0"/>
      <w:divBdr>
        <w:top w:val="none" w:sz="0" w:space="0" w:color="auto"/>
        <w:left w:val="none" w:sz="0" w:space="0" w:color="auto"/>
        <w:bottom w:val="none" w:sz="0" w:space="0" w:color="auto"/>
        <w:right w:val="none" w:sz="0" w:space="0" w:color="auto"/>
      </w:divBdr>
    </w:div>
    <w:div w:id="623193532">
      <w:bodyDiv w:val="1"/>
      <w:marLeft w:val="0"/>
      <w:marRight w:val="0"/>
      <w:marTop w:val="0"/>
      <w:marBottom w:val="0"/>
      <w:divBdr>
        <w:top w:val="none" w:sz="0" w:space="0" w:color="auto"/>
        <w:left w:val="none" w:sz="0" w:space="0" w:color="auto"/>
        <w:bottom w:val="none" w:sz="0" w:space="0" w:color="auto"/>
        <w:right w:val="none" w:sz="0" w:space="0" w:color="auto"/>
      </w:divBdr>
    </w:div>
    <w:div w:id="624116205">
      <w:bodyDiv w:val="1"/>
      <w:marLeft w:val="0"/>
      <w:marRight w:val="0"/>
      <w:marTop w:val="0"/>
      <w:marBottom w:val="0"/>
      <w:divBdr>
        <w:top w:val="none" w:sz="0" w:space="0" w:color="auto"/>
        <w:left w:val="none" w:sz="0" w:space="0" w:color="auto"/>
        <w:bottom w:val="none" w:sz="0" w:space="0" w:color="auto"/>
        <w:right w:val="none" w:sz="0" w:space="0" w:color="auto"/>
      </w:divBdr>
    </w:div>
    <w:div w:id="624772520">
      <w:bodyDiv w:val="1"/>
      <w:marLeft w:val="0"/>
      <w:marRight w:val="0"/>
      <w:marTop w:val="0"/>
      <w:marBottom w:val="0"/>
      <w:divBdr>
        <w:top w:val="none" w:sz="0" w:space="0" w:color="auto"/>
        <w:left w:val="none" w:sz="0" w:space="0" w:color="auto"/>
        <w:bottom w:val="none" w:sz="0" w:space="0" w:color="auto"/>
        <w:right w:val="none" w:sz="0" w:space="0" w:color="auto"/>
      </w:divBdr>
    </w:div>
    <w:div w:id="632492104">
      <w:bodyDiv w:val="1"/>
      <w:marLeft w:val="0"/>
      <w:marRight w:val="0"/>
      <w:marTop w:val="0"/>
      <w:marBottom w:val="0"/>
      <w:divBdr>
        <w:top w:val="none" w:sz="0" w:space="0" w:color="auto"/>
        <w:left w:val="none" w:sz="0" w:space="0" w:color="auto"/>
        <w:bottom w:val="none" w:sz="0" w:space="0" w:color="auto"/>
        <w:right w:val="none" w:sz="0" w:space="0" w:color="auto"/>
      </w:divBdr>
    </w:div>
    <w:div w:id="633368558">
      <w:bodyDiv w:val="1"/>
      <w:marLeft w:val="0"/>
      <w:marRight w:val="0"/>
      <w:marTop w:val="0"/>
      <w:marBottom w:val="0"/>
      <w:divBdr>
        <w:top w:val="none" w:sz="0" w:space="0" w:color="auto"/>
        <w:left w:val="none" w:sz="0" w:space="0" w:color="auto"/>
        <w:bottom w:val="none" w:sz="0" w:space="0" w:color="auto"/>
        <w:right w:val="none" w:sz="0" w:space="0" w:color="auto"/>
      </w:divBdr>
      <w:divsChild>
        <w:div w:id="1865243503">
          <w:marLeft w:val="446"/>
          <w:marRight w:val="0"/>
          <w:marTop w:val="0"/>
          <w:marBottom w:val="0"/>
          <w:divBdr>
            <w:top w:val="none" w:sz="0" w:space="0" w:color="auto"/>
            <w:left w:val="none" w:sz="0" w:space="0" w:color="auto"/>
            <w:bottom w:val="none" w:sz="0" w:space="0" w:color="auto"/>
            <w:right w:val="none" w:sz="0" w:space="0" w:color="auto"/>
          </w:divBdr>
        </w:div>
        <w:div w:id="1508326995">
          <w:marLeft w:val="446"/>
          <w:marRight w:val="0"/>
          <w:marTop w:val="0"/>
          <w:marBottom w:val="0"/>
          <w:divBdr>
            <w:top w:val="none" w:sz="0" w:space="0" w:color="auto"/>
            <w:left w:val="none" w:sz="0" w:space="0" w:color="auto"/>
            <w:bottom w:val="none" w:sz="0" w:space="0" w:color="auto"/>
            <w:right w:val="none" w:sz="0" w:space="0" w:color="auto"/>
          </w:divBdr>
        </w:div>
        <w:div w:id="2021809251">
          <w:marLeft w:val="274"/>
          <w:marRight w:val="0"/>
          <w:marTop w:val="0"/>
          <w:marBottom w:val="0"/>
          <w:divBdr>
            <w:top w:val="none" w:sz="0" w:space="0" w:color="auto"/>
            <w:left w:val="none" w:sz="0" w:space="0" w:color="auto"/>
            <w:bottom w:val="none" w:sz="0" w:space="0" w:color="auto"/>
            <w:right w:val="none" w:sz="0" w:space="0" w:color="auto"/>
          </w:divBdr>
        </w:div>
        <w:div w:id="1761952201">
          <w:marLeft w:val="274"/>
          <w:marRight w:val="0"/>
          <w:marTop w:val="0"/>
          <w:marBottom w:val="0"/>
          <w:divBdr>
            <w:top w:val="none" w:sz="0" w:space="0" w:color="auto"/>
            <w:left w:val="none" w:sz="0" w:space="0" w:color="auto"/>
            <w:bottom w:val="none" w:sz="0" w:space="0" w:color="auto"/>
            <w:right w:val="none" w:sz="0" w:space="0" w:color="auto"/>
          </w:divBdr>
        </w:div>
        <w:div w:id="905067051">
          <w:marLeft w:val="274"/>
          <w:marRight w:val="0"/>
          <w:marTop w:val="0"/>
          <w:marBottom w:val="0"/>
          <w:divBdr>
            <w:top w:val="none" w:sz="0" w:space="0" w:color="auto"/>
            <w:left w:val="none" w:sz="0" w:space="0" w:color="auto"/>
            <w:bottom w:val="none" w:sz="0" w:space="0" w:color="auto"/>
            <w:right w:val="none" w:sz="0" w:space="0" w:color="auto"/>
          </w:divBdr>
        </w:div>
        <w:div w:id="1384403731">
          <w:marLeft w:val="274"/>
          <w:marRight w:val="0"/>
          <w:marTop w:val="0"/>
          <w:marBottom w:val="0"/>
          <w:divBdr>
            <w:top w:val="none" w:sz="0" w:space="0" w:color="auto"/>
            <w:left w:val="none" w:sz="0" w:space="0" w:color="auto"/>
            <w:bottom w:val="none" w:sz="0" w:space="0" w:color="auto"/>
            <w:right w:val="none" w:sz="0" w:space="0" w:color="auto"/>
          </w:divBdr>
        </w:div>
        <w:div w:id="537159968">
          <w:marLeft w:val="274"/>
          <w:marRight w:val="0"/>
          <w:marTop w:val="0"/>
          <w:marBottom w:val="0"/>
          <w:divBdr>
            <w:top w:val="none" w:sz="0" w:space="0" w:color="auto"/>
            <w:left w:val="none" w:sz="0" w:space="0" w:color="auto"/>
            <w:bottom w:val="none" w:sz="0" w:space="0" w:color="auto"/>
            <w:right w:val="none" w:sz="0" w:space="0" w:color="auto"/>
          </w:divBdr>
        </w:div>
      </w:divsChild>
    </w:div>
    <w:div w:id="640695288">
      <w:bodyDiv w:val="1"/>
      <w:marLeft w:val="0"/>
      <w:marRight w:val="0"/>
      <w:marTop w:val="0"/>
      <w:marBottom w:val="0"/>
      <w:divBdr>
        <w:top w:val="none" w:sz="0" w:space="0" w:color="auto"/>
        <w:left w:val="none" w:sz="0" w:space="0" w:color="auto"/>
        <w:bottom w:val="none" w:sz="0" w:space="0" w:color="auto"/>
        <w:right w:val="none" w:sz="0" w:space="0" w:color="auto"/>
      </w:divBdr>
    </w:div>
    <w:div w:id="644167038">
      <w:bodyDiv w:val="1"/>
      <w:marLeft w:val="0"/>
      <w:marRight w:val="0"/>
      <w:marTop w:val="0"/>
      <w:marBottom w:val="0"/>
      <w:divBdr>
        <w:top w:val="none" w:sz="0" w:space="0" w:color="auto"/>
        <w:left w:val="none" w:sz="0" w:space="0" w:color="auto"/>
        <w:bottom w:val="none" w:sz="0" w:space="0" w:color="auto"/>
        <w:right w:val="none" w:sz="0" w:space="0" w:color="auto"/>
      </w:divBdr>
    </w:div>
    <w:div w:id="644353442">
      <w:bodyDiv w:val="1"/>
      <w:marLeft w:val="0"/>
      <w:marRight w:val="0"/>
      <w:marTop w:val="0"/>
      <w:marBottom w:val="0"/>
      <w:divBdr>
        <w:top w:val="none" w:sz="0" w:space="0" w:color="auto"/>
        <w:left w:val="none" w:sz="0" w:space="0" w:color="auto"/>
        <w:bottom w:val="none" w:sz="0" w:space="0" w:color="auto"/>
        <w:right w:val="none" w:sz="0" w:space="0" w:color="auto"/>
      </w:divBdr>
    </w:div>
    <w:div w:id="644744705">
      <w:bodyDiv w:val="1"/>
      <w:marLeft w:val="0"/>
      <w:marRight w:val="0"/>
      <w:marTop w:val="0"/>
      <w:marBottom w:val="0"/>
      <w:divBdr>
        <w:top w:val="none" w:sz="0" w:space="0" w:color="auto"/>
        <w:left w:val="none" w:sz="0" w:space="0" w:color="auto"/>
        <w:bottom w:val="none" w:sz="0" w:space="0" w:color="auto"/>
        <w:right w:val="none" w:sz="0" w:space="0" w:color="auto"/>
      </w:divBdr>
    </w:div>
    <w:div w:id="645402322">
      <w:bodyDiv w:val="1"/>
      <w:marLeft w:val="0"/>
      <w:marRight w:val="0"/>
      <w:marTop w:val="0"/>
      <w:marBottom w:val="0"/>
      <w:divBdr>
        <w:top w:val="none" w:sz="0" w:space="0" w:color="auto"/>
        <w:left w:val="none" w:sz="0" w:space="0" w:color="auto"/>
        <w:bottom w:val="none" w:sz="0" w:space="0" w:color="auto"/>
        <w:right w:val="none" w:sz="0" w:space="0" w:color="auto"/>
      </w:divBdr>
    </w:div>
    <w:div w:id="652871252">
      <w:bodyDiv w:val="1"/>
      <w:marLeft w:val="0"/>
      <w:marRight w:val="0"/>
      <w:marTop w:val="0"/>
      <w:marBottom w:val="0"/>
      <w:divBdr>
        <w:top w:val="none" w:sz="0" w:space="0" w:color="auto"/>
        <w:left w:val="none" w:sz="0" w:space="0" w:color="auto"/>
        <w:bottom w:val="none" w:sz="0" w:space="0" w:color="auto"/>
        <w:right w:val="none" w:sz="0" w:space="0" w:color="auto"/>
      </w:divBdr>
    </w:div>
    <w:div w:id="659041972">
      <w:bodyDiv w:val="1"/>
      <w:marLeft w:val="0"/>
      <w:marRight w:val="0"/>
      <w:marTop w:val="0"/>
      <w:marBottom w:val="0"/>
      <w:divBdr>
        <w:top w:val="none" w:sz="0" w:space="0" w:color="auto"/>
        <w:left w:val="none" w:sz="0" w:space="0" w:color="auto"/>
        <w:bottom w:val="none" w:sz="0" w:space="0" w:color="auto"/>
        <w:right w:val="none" w:sz="0" w:space="0" w:color="auto"/>
      </w:divBdr>
    </w:div>
    <w:div w:id="660431632">
      <w:bodyDiv w:val="1"/>
      <w:marLeft w:val="0"/>
      <w:marRight w:val="0"/>
      <w:marTop w:val="0"/>
      <w:marBottom w:val="0"/>
      <w:divBdr>
        <w:top w:val="none" w:sz="0" w:space="0" w:color="auto"/>
        <w:left w:val="none" w:sz="0" w:space="0" w:color="auto"/>
        <w:bottom w:val="none" w:sz="0" w:space="0" w:color="auto"/>
        <w:right w:val="none" w:sz="0" w:space="0" w:color="auto"/>
      </w:divBdr>
    </w:div>
    <w:div w:id="660432520">
      <w:bodyDiv w:val="1"/>
      <w:marLeft w:val="0"/>
      <w:marRight w:val="0"/>
      <w:marTop w:val="0"/>
      <w:marBottom w:val="0"/>
      <w:divBdr>
        <w:top w:val="none" w:sz="0" w:space="0" w:color="auto"/>
        <w:left w:val="none" w:sz="0" w:space="0" w:color="auto"/>
        <w:bottom w:val="none" w:sz="0" w:space="0" w:color="auto"/>
        <w:right w:val="none" w:sz="0" w:space="0" w:color="auto"/>
      </w:divBdr>
    </w:div>
    <w:div w:id="664864331">
      <w:bodyDiv w:val="1"/>
      <w:marLeft w:val="0"/>
      <w:marRight w:val="0"/>
      <w:marTop w:val="0"/>
      <w:marBottom w:val="0"/>
      <w:divBdr>
        <w:top w:val="none" w:sz="0" w:space="0" w:color="auto"/>
        <w:left w:val="none" w:sz="0" w:space="0" w:color="auto"/>
        <w:bottom w:val="none" w:sz="0" w:space="0" w:color="auto"/>
        <w:right w:val="none" w:sz="0" w:space="0" w:color="auto"/>
      </w:divBdr>
    </w:div>
    <w:div w:id="669060929">
      <w:bodyDiv w:val="1"/>
      <w:marLeft w:val="0"/>
      <w:marRight w:val="0"/>
      <w:marTop w:val="0"/>
      <w:marBottom w:val="0"/>
      <w:divBdr>
        <w:top w:val="none" w:sz="0" w:space="0" w:color="auto"/>
        <w:left w:val="none" w:sz="0" w:space="0" w:color="auto"/>
        <w:bottom w:val="none" w:sz="0" w:space="0" w:color="auto"/>
        <w:right w:val="none" w:sz="0" w:space="0" w:color="auto"/>
      </w:divBdr>
    </w:div>
    <w:div w:id="671564626">
      <w:bodyDiv w:val="1"/>
      <w:marLeft w:val="0"/>
      <w:marRight w:val="0"/>
      <w:marTop w:val="0"/>
      <w:marBottom w:val="0"/>
      <w:divBdr>
        <w:top w:val="none" w:sz="0" w:space="0" w:color="auto"/>
        <w:left w:val="none" w:sz="0" w:space="0" w:color="auto"/>
        <w:bottom w:val="none" w:sz="0" w:space="0" w:color="auto"/>
        <w:right w:val="none" w:sz="0" w:space="0" w:color="auto"/>
      </w:divBdr>
    </w:div>
    <w:div w:id="672344605">
      <w:bodyDiv w:val="1"/>
      <w:marLeft w:val="0"/>
      <w:marRight w:val="0"/>
      <w:marTop w:val="0"/>
      <w:marBottom w:val="0"/>
      <w:divBdr>
        <w:top w:val="none" w:sz="0" w:space="0" w:color="auto"/>
        <w:left w:val="none" w:sz="0" w:space="0" w:color="auto"/>
        <w:bottom w:val="none" w:sz="0" w:space="0" w:color="auto"/>
        <w:right w:val="none" w:sz="0" w:space="0" w:color="auto"/>
      </w:divBdr>
    </w:div>
    <w:div w:id="672420060">
      <w:bodyDiv w:val="1"/>
      <w:marLeft w:val="0"/>
      <w:marRight w:val="0"/>
      <w:marTop w:val="0"/>
      <w:marBottom w:val="0"/>
      <w:divBdr>
        <w:top w:val="none" w:sz="0" w:space="0" w:color="auto"/>
        <w:left w:val="none" w:sz="0" w:space="0" w:color="auto"/>
        <w:bottom w:val="none" w:sz="0" w:space="0" w:color="auto"/>
        <w:right w:val="none" w:sz="0" w:space="0" w:color="auto"/>
      </w:divBdr>
    </w:div>
    <w:div w:id="672536693">
      <w:bodyDiv w:val="1"/>
      <w:marLeft w:val="0"/>
      <w:marRight w:val="0"/>
      <w:marTop w:val="0"/>
      <w:marBottom w:val="0"/>
      <w:divBdr>
        <w:top w:val="none" w:sz="0" w:space="0" w:color="auto"/>
        <w:left w:val="none" w:sz="0" w:space="0" w:color="auto"/>
        <w:bottom w:val="none" w:sz="0" w:space="0" w:color="auto"/>
        <w:right w:val="none" w:sz="0" w:space="0" w:color="auto"/>
      </w:divBdr>
    </w:div>
    <w:div w:id="686445243">
      <w:bodyDiv w:val="1"/>
      <w:marLeft w:val="0"/>
      <w:marRight w:val="0"/>
      <w:marTop w:val="0"/>
      <w:marBottom w:val="0"/>
      <w:divBdr>
        <w:top w:val="none" w:sz="0" w:space="0" w:color="auto"/>
        <w:left w:val="none" w:sz="0" w:space="0" w:color="auto"/>
        <w:bottom w:val="none" w:sz="0" w:space="0" w:color="auto"/>
        <w:right w:val="none" w:sz="0" w:space="0" w:color="auto"/>
      </w:divBdr>
    </w:div>
    <w:div w:id="693923231">
      <w:bodyDiv w:val="1"/>
      <w:marLeft w:val="0"/>
      <w:marRight w:val="0"/>
      <w:marTop w:val="0"/>
      <w:marBottom w:val="0"/>
      <w:divBdr>
        <w:top w:val="none" w:sz="0" w:space="0" w:color="auto"/>
        <w:left w:val="none" w:sz="0" w:space="0" w:color="auto"/>
        <w:bottom w:val="none" w:sz="0" w:space="0" w:color="auto"/>
        <w:right w:val="none" w:sz="0" w:space="0" w:color="auto"/>
      </w:divBdr>
    </w:div>
    <w:div w:id="698240355">
      <w:bodyDiv w:val="1"/>
      <w:marLeft w:val="0"/>
      <w:marRight w:val="0"/>
      <w:marTop w:val="0"/>
      <w:marBottom w:val="0"/>
      <w:divBdr>
        <w:top w:val="none" w:sz="0" w:space="0" w:color="auto"/>
        <w:left w:val="none" w:sz="0" w:space="0" w:color="auto"/>
        <w:bottom w:val="none" w:sz="0" w:space="0" w:color="auto"/>
        <w:right w:val="none" w:sz="0" w:space="0" w:color="auto"/>
      </w:divBdr>
    </w:div>
    <w:div w:id="700325158">
      <w:bodyDiv w:val="1"/>
      <w:marLeft w:val="0"/>
      <w:marRight w:val="0"/>
      <w:marTop w:val="0"/>
      <w:marBottom w:val="0"/>
      <w:divBdr>
        <w:top w:val="none" w:sz="0" w:space="0" w:color="auto"/>
        <w:left w:val="none" w:sz="0" w:space="0" w:color="auto"/>
        <w:bottom w:val="none" w:sz="0" w:space="0" w:color="auto"/>
        <w:right w:val="none" w:sz="0" w:space="0" w:color="auto"/>
      </w:divBdr>
    </w:div>
    <w:div w:id="705759373">
      <w:bodyDiv w:val="1"/>
      <w:marLeft w:val="0"/>
      <w:marRight w:val="0"/>
      <w:marTop w:val="0"/>
      <w:marBottom w:val="0"/>
      <w:divBdr>
        <w:top w:val="none" w:sz="0" w:space="0" w:color="auto"/>
        <w:left w:val="none" w:sz="0" w:space="0" w:color="auto"/>
        <w:bottom w:val="none" w:sz="0" w:space="0" w:color="auto"/>
        <w:right w:val="none" w:sz="0" w:space="0" w:color="auto"/>
      </w:divBdr>
    </w:div>
    <w:div w:id="708070754">
      <w:bodyDiv w:val="1"/>
      <w:marLeft w:val="0"/>
      <w:marRight w:val="0"/>
      <w:marTop w:val="0"/>
      <w:marBottom w:val="0"/>
      <w:divBdr>
        <w:top w:val="none" w:sz="0" w:space="0" w:color="auto"/>
        <w:left w:val="none" w:sz="0" w:space="0" w:color="auto"/>
        <w:bottom w:val="none" w:sz="0" w:space="0" w:color="auto"/>
        <w:right w:val="none" w:sz="0" w:space="0" w:color="auto"/>
      </w:divBdr>
    </w:div>
    <w:div w:id="711539334">
      <w:bodyDiv w:val="1"/>
      <w:marLeft w:val="0"/>
      <w:marRight w:val="0"/>
      <w:marTop w:val="0"/>
      <w:marBottom w:val="0"/>
      <w:divBdr>
        <w:top w:val="none" w:sz="0" w:space="0" w:color="auto"/>
        <w:left w:val="none" w:sz="0" w:space="0" w:color="auto"/>
        <w:bottom w:val="none" w:sz="0" w:space="0" w:color="auto"/>
        <w:right w:val="none" w:sz="0" w:space="0" w:color="auto"/>
      </w:divBdr>
    </w:div>
    <w:div w:id="715395371">
      <w:bodyDiv w:val="1"/>
      <w:marLeft w:val="0"/>
      <w:marRight w:val="0"/>
      <w:marTop w:val="0"/>
      <w:marBottom w:val="0"/>
      <w:divBdr>
        <w:top w:val="none" w:sz="0" w:space="0" w:color="auto"/>
        <w:left w:val="none" w:sz="0" w:space="0" w:color="auto"/>
        <w:bottom w:val="none" w:sz="0" w:space="0" w:color="auto"/>
        <w:right w:val="none" w:sz="0" w:space="0" w:color="auto"/>
      </w:divBdr>
    </w:div>
    <w:div w:id="718628066">
      <w:bodyDiv w:val="1"/>
      <w:marLeft w:val="0"/>
      <w:marRight w:val="0"/>
      <w:marTop w:val="0"/>
      <w:marBottom w:val="0"/>
      <w:divBdr>
        <w:top w:val="none" w:sz="0" w:space="0" w:color="auto"/>
        <w:left w:val="none" w:sz="0" w:space="0" w:color="auto"/>
        <w:bottom w:val="none" w:sz="0" w:space="0" w:color="auto"/>
        <w:right w:val="none" w:sz="0" w:space="0" w:color="auto"/>
      </w:divBdr>
    </w:div>
    <w:div w:id="720247459">
      <w:bodyDiv w:val="1"/>
      <w:marLeft w:val="0"/>
      <w:marRight w:val="0"/>
      <w:marTop w:val="0"/>
      <w:marBottom w:val="0"/>
      <w:divBdr>
        <w:top w:val="none" w:sz="0" w:space="0" w:color="auto"/>
        <w:left w:val="none" w:sz="0" w:space="0" w:color="auto"/>
        <w:bottom w:val="none" w:sz="0" w:space="0" w:color="auto"/>
        <w:right w:val="none" w:sz="0" w:space="0" w:color="auto"/>
      </w:divBdr>
    </w:div>
    <w:div w:id="721558941">
      <w:bodyDiv w:val="1"/>
      <w:marLeft w:val="0"/>
      <w:marRight w:val="0"/>
      <w:marTop w:val="0"/>
      <w:marBottom w:val="0"/>
      <w:divBdr>
        <w:top w:val="none" w:sz="0" w:space="0" w:color="auto"/>
        <w:left w:val="none" w:sz="0" w:space="0" w:color="auto"/>
        <w:bottom w:val="none" w:sz="0" w:space="0" w:color="auto"/>
        <w:right w:val="none" w:sz="0" w:space="0" w:color="auto"/>
      </w:divBdr>
    </w:div>
    <w:div w:id="722874878">
      <w:bodyDiv w:val="1"/>
      <w:marLeft w:val="0"/>
      <w:marRight w:val="0"/>
      <w:marTop w:val="0"/>
      <w:marBottom w:val="0"/>
      <w:divBdr>
        <w:top w:val="none" w:sz="0" w:space="0" w:color="auto"/>
        <w:left w:val="none" w:sz="0" w:space="0" w:color="auto"/>
        <w:bottom w:val="none" w:sz="0" w:space="0" w:color="auto"/>
        <w:right w:val="none" w:sz="0" w:space="0" w:color="auto"/>
      </w:divBdr>
    </w:div>
    <w:div w:id="724912761">
      <w:bodyDiv w:val="1"/>
      <w:marLeft w:val="0"/>
      <w:marRight w:val="0"/>
      <w:marTop w:val="0"/>
      <w:marBottom w:val="0"/>
      <w:divBdr>
        <w:top w:val="none" w:sz="0" w:space="0" w:color="auto"/>
        <w:left w:val="none" w:sz="0" w:space="0" w:color="auto"/>
        <w:bottom w:val="none" w:sz="0" w:space="0" w:color="auto"/>
        <w:right w:val="none" w:sz="0" w:space="0" w:color="auto"/>
      </w:divBdr>
    </w:div>
    <w:div w:id="732509945">
      <w:bodyDiv w:val="1"/>
      <w:marLeft w:val="0"/>
      <w:marRight w:val="0"/>
      <w:marTop w:val="0"/>
      <w:marBottom w:val="0"/>
      <w:divBdr>
        <w:top w:val="none" w:sz="0" w:space="0" w:color="auto"/>
        <w:left w:val="none" w:sz="0" w:space="0" w:color="auto"/>
        <w:bottom w:val="none" w:sz="0" w:space="0" w:color="auto"/>
        <w:right w:val="none" w:sz="0" w:space="0" w:color="auto"/>
      </w:divBdr>
    </w:div>
    <w:div w:id="734089247">
      <w:bodyDiv w:val="1"/>
      <w:marLeft w:val="0"/>
      <w:marRight w:val="0"/>
      <w:marTop w:val="0"/>
      <w:marBottom w:val="0"/>
      <w:divBdr>
        <w:top w:val="none" w:sz="0" w:space="0" w:color="auto"/>
        <w:left w:val="none" w:sz="0" w:space="0" w:color="auto"/>
        <w:bottom w:val="none" w:sz="0" w:space="0" w:color="auto"/>
        <w:right w:val="none" w:sz="0" w:space="0" w:color="auto"/>
      </w:divBdr>
    </w:div>
    <w:div w:id="742292270">
      <w:bodyDiv w:val="1"/>
      <w:marLeft w:val="0"/>
      <w:marRight w:val="0"/>
      <w:marTop w:val="0"/>
      <w:marBottom w:val="0"/>
      <w:divBdr>
        <w:top w:val="none" w:sz="0" w:space="0" w:color="auto"/>
        <w:left w:val="none" w:sz="0" w:space="0" w:color="auto"/>
        <w:bottom w:val="none" w:sz="0" w:space="0" w:color="auto"/>
        <w:right w:val="none" w:sz="0" w:space="0" w:color="auto"/>
      </w:divBdr>
    </w:div>
    <w:div w:id="745540977">
      <w:bodyDiv w:val="1"/>
      <w:marLeft w:val="0"/>
      <w:marRight w:val="0"/>
      <w:marTop w:val="0"/>
      <w:marBottom w:val="0"/>
      <w:divBdr>
        <w:top w:val="none" w:sz="0" w:space="0" w:color="auto"/>
        <w:left w:val="none" w:sz="0" w:space="0" w:color="auto"/>
        <w:bottom w:val="none" w:sz="0" w:space="0" w:color="auto"/>
        <w:right w:val="none" w:sz="0" w:space="0" w:color="auto"/>
      </w:divBdr>
    </w:div>
    <w:div w:id="746222634">
      <w:bodyDiv w:val="1"/>
      <w:marLeft w:val="0"/>
      <w:marRight w:val="0"/>
      <w:marTop w:val="0"/>
      <w:marBottom w:val="0"/>
      <w:divBdr>
        <w:top w:val="none" w:sz="0" w:space="0" w:color="auto"/>
        <w:left w:val="none" w:sz="0" w:space="0" w:color="auto"/>
        <w:bottom w:val="none" w:sz="0" w:space="0" w:color="auto"/>
        <w:right w:val="none" w:sz="0" w:space="0" w:color="auto"/>
      </w:divBdr>
    </w:div>
    <w:div w:id="750195787">
      <w:bodyDiv w:val="1"/>
      <w:marLeft w:val="0"/>
      <w:marRight w:val="0"/>
      <w:marTop w:val="0"/>
      <w:marBottom w:val="0"/>
      <w:divBdr>
        <w:top w:val="none" w:sz="0" w:space="0" w:color="auto"/>
        <w:left w:val="none" w:sz="0" w:space="0" w:color="auto"/>
        <w:bottom w:val="none" w:sz="0" w:space="0" w:color="auto"/>
        <w:right w:val="none" w:sz="0" w:space="0" w:color="auto"/>
      </w:divBdr>
    </w:div>
    <w:div w:id="752042892">
      <w:bodyDiv w:val="1"/>
      <w:marLeft w:val="0"/>
      <w:marRight w:val="0"/>
      <w:marTop w:val="0"/>
      <w:marBottom w:val="0"/>
      <w:divBdr>
        <w:top w:val="none" w:sz="0" w:space="0" w:color="auto"/>
        <w:left w:val="none" w:sz="0" w:space="0" w:color="auto"/>
        <w:bottom w:val="none" w:sz="0" w:space="0" w:color="auto"/>
        <w:right w:val="none" w:sz="0" w:space="0" w:color="auto"/>
      </w:divBdr>
    </w:div>
    <w:div w:id="755596229">
      <w:bodyDiv w:val="1"/>
      <w:marLeft w:val="0"/>
      <w:marRight w:val="0"/>
      <w:marTop w:val="0"/>
      <w:marBottom w:val="0"/>
      <w:divBdr>
        <w:top w:val="none" w:sz="0" w:space="0" w:color="auto"/>
        <w:left w:val="none" w:sz="0" w:space="0" w:color="auto"/>
        <w:bottom w:val="none" w:sz="0" w:space="0" w:color="auto"/>
        <w:right w:val="none" w:sz="0" w:space="0" w:color="auto"/>
      </w:divBdr>
    </w:div>
    <w:div w:id="758065048">
      <w:bodyDiv w:val="1"/>
      <w:marLeft w:val="0"/>
      <w:marRight w:val="0"/>
      <w:marTop w:val="0"/>
      <w:marBottom w:val="0"/>
      <w:divBdr>
        <w:top w:val="none" w:sz="0" w:space="0" w:color="auto"/>
        <w:left w:val="none" w:sz="0" w:space="0" w:color="auto"/>
        <w:bottom w:val="none" w:sz="0" w:space="0" w:color="auto"/>
        <w:right w:val="none" w:sz="0" w:space="0" w:color="auto"/>
      </w:divBdr>
      <w:divsChild>
        <w:div w:id="934558294">
          <w:marLeft w:val="446"/>
          <w:marRight w:val="0"/>
          <w:marTop w:val="0"/>
          <w:marBottom w:val="0"/>
          <w:divBdr>
            <w:top w:val="none" w:sz="0" w:space="0" w:color="auto"/>
            <w:left w:val="none" w:sz="0" w:space="0" w:color="auto"/>
            <w:bottom w:val="none" w:sz="0" w:space="0" w:color="auto"/>
            <w:right w:val="none" w:sz="0" w:space="0" w:color="auto"/>
          </w:divBdr>
        </w:div>
        <w:div w:id="1466200630">
          <w:marLeft w:val="446"/>
          <w:marRight w:val="0"/>
          <w:marTop w:val="0"/>
          <w:marBottom w:val="0"/>
          <w:divBdr>
            <w:top w:val="none" w:sz="0" w:space="0" w:color="auto"/>
            <w:left w:val="none" w:sz="0" w:space="0" w:color="auto"/>
            <w:bottom w:val="none" w:sz="0" w:space="0" w:color="auto"/>
            <w:right w:val="none" w:sz="0" w:space="0" w:color="auto"/>
          </w:divBdr>
        </w:div>
        <w:div w:id="816722936">
          <w:marLeft w:val="446"/>
          <w:marRight w:val="0"/>
          <w:marTop w:val="0"/>
          <w:marBottom w:val="0"/>
          <w:divBdr>
            <w:top w:val="none" w:sz="0" w:space="0" w:color="auto"/>
            <w:left w:val="none" w:sz="0" w:space="0" w:color="auto"/>
            <w:bottom w:val="none" w:sz="0" w:space="0" w:color="auto"/>
            <w:right w:val="none" w:sz="0" w:space="0" w:color="auto"/>
          </w:divBdr>
        </w:div>
        <w:div w:id="1611474737">
          <w:marLeft w:val="446"/>
          <w:marRight w:val="0"/>
          <w:marTop w:val="0"/>
          <w:marBottom w:val="0"/>
          <w:divBdr>
            <w:top w:val="none" w:sz="0" w:space="0" w:color="auto"/>
            <w:left w:val="none" w:sz="0" w:space="0" w:color="auto"/>
            <w:bottom w:val="none" w:sz="0" w:space="0" w:color="auto"/>
            <w:right w:val="none" w:sz="0" w:space="0" w:color="auto"/>
          </w:divBdr>
        </w:div>
        <w:div w:id="1088187522">
          <w:marLeft w:val="446"/>
          <w:marRight w:val="0"/>
          <w:marTop w:val="0"/>
          <w:marBottom w:val="0"/>
          <w:divBdr>
            <w:top w:val="none" w:sz="0" w:space="0" w:color="auto"/>
            <w:left w:val="none" w:sz="0" w:space="0" w:color="auto"/>
            <w:bottom w:val="none" w:sz="0" w:space="0" w:color="auto"/>
            <w:right w:val="none" w:sz="0" w:space="0" w:color="auto"/>
          </w:divBdr>
        </w:div>
        <w:div w:id="1310749973">
          <w:marLeft w:val="446"/>
          <w:marRight w:val="0"/>
          <w:marTop w:val="0"/>
          <w:marBottom w:val="0"/>
          <w:divBdr>
            <w:top w:val="none" w:sz="0" w:space="0" w:color="auto"/>
            <w:left w:val="none" w:sz="0" w:space="0" w:color="auto"/>
            <w:bottom w:val="none" w:sz="0" w:space="0" w:color="auto"/>
            <w:right w:val="none" w:sz="0" w:space="0" w:color="auto"/>
          </w:divBdr>
        </w:div>
        <w:div w:id="1612325133">
          <w:marLeft w:val="446"/>
          <w:marRight w:val="0"/>
          <w:marTop w:val="0"/>
          <w:marBottom w:val="0"/>
          <w:divBdr>
            <w:top w:val="none" w:sz="0" w:space="0" w:color="auto"/>
            <w:left w:val="none" w:sz="0" w:space="0" w:color="auto"/>
            <w:bottom w:val="none" w:sz="0" w:space="0" w:color="auto"/>
            <w:right w:val="none" w:sz="0" w:space="0" w:color="auto"/>
          </w:divBdr>
        </w:div>
        <w:div w:id="1347174149">
          <w:marLeft w:val="446"/>
          <w:marRight w:val="0"/>
          <w:marTop w:val="0"/>
          <w:marBottom w:val="0"/>
          <w:divBdr>
            <w:top w:val="none" w:sz="0" w:space="0" w:color="auto"/>
            <w:left w:val="none" w:sz="0" w:space="0" w:color="auto"/>
            <w:bottom w:val="none" w:sz="0" w:space="0" w:color="auto"/>
            <w:right w:val="none" w:sz="0" w:space="0" w:color="auto"/>
          </w:divBdr>
        </w:div>
        <w:div w:id="1299802321">
          <w:marLeft w:val="446"/>
          <w:marRight w:val="0"/>
          <w:marTop w:val="0"/>
          <w:marBottom w:val="0"/>
          <w:divBdr>
            <w:top w:val="none" w:sz="0" w:space="0" w:color="auto"/>
            <w:left w:val="none" w:sz="0" w:space="0" w:color="auto"/>
            <w:bottom w:val="none" w:sz="0" w:space="0" w:color="auto"/>
            <w:right w:val="none" w:sz="0" w:space="0" w:color="auto"/>
          </w:divBdr>
        </w:div>
        <w:div w:id="1369642550">
          <w:marLeft w:val="446"/>
          <w:marRight w:val="0"/>
          <w:marTop w:val="0"/>
          <w:marBottom w:val="0"/>
          <w:divBdr>
            <w:top w:val="none" w:sz="0" w:space="0" w:color="auto"/>
            <w:left w:val="none" w:sz="0" w:space="0" w:color="auto"/>
            <w:bottom w:val="none" w:sz="0" w:space="0" w:color="auto"/>
            <w:right w:val="none" w:sz="0" w:space="0" w:color="auto"/>
          </w:divBdr>
        </w:div>
        <w:div w:id="1734161525">
          <w:marLeft w:val="446"/>
          <w:marRight w:val="0"/>
          <w:marTop w:val="0"/>
          <w:marBottom w:val="0"/>
          <w:divBdr>
            <w:top w:val="none" w:sz="0" w:space="0" w:color="auto"/>
            <w:left w:val="none" w:sz="0" w:space="0" w:color="auto"/>
            <w:bottom w:val="none" w:sz="0" w:space="0" w:color="auto"/>
            <w:right w:val="none" w:sz="0" w:space="0" w:color="auto"/>
          </w:divBdr>
        </w:div>
        <w:div w:id="276639974">
          <w:marLeft w:val="446"/>
          <w:marRight w:val="0"/>
          <w:marTop w:val="0"/>
          <w:marBottom w:val="0"/>
          <w:divBdr>
            <w:top w:val="none" w:sz="0" w:space="0" w:color="auto"/>
            <w:left w:val="none" w:sz="0" w:space="0" w:color="auto"/>
            <w:bottom w:val="none" w:sz="0" w:space="0" w:color="auto"/>
            <w:right w:val="none" w:sz="0" w:space="0" w:color="auto"/>
          </w:divBdr>
        </w:div>
        <w:div w:id="698630908">
          <w:marLeft w:val="274"/>
          <w:marRight w:val="0"/>
          <w:marTop w:val="0"/>
          <w:marBottom w:val="0"/>
          <w:divBdr>
            <w:top w:val="none" w:sz="0" w:space="0" w:color="auto"/>
            <w:left w:val="none" w:sz="0" w:space="0" w:color="auto"/>
            <w:bottom w:val="none" w:sz="0" w:space="0" w:color="auto"/>
            <w:right w:val="none" w:sz="0" w:space="0" w:color="auto"/>
          </w:divBdr>
        </w:div>
        <w:div w:id="1710644887">
          <w:marLeft w:val="274"/>
          <w:marRight w:val="0"/>
          <w:marTop w:val="0"/>
          <w:marBottom w:val="0"/>
          <w:divBdr>
            <w:top w:val="none" w:sz="0" w:space="0" w:color="auto"/>
            <w:left w:val="none" w:sz="0" w:space="0" w:color="auto"/>
            <w:bottom w:val="none" w:sz="0" w:space="0" w:color="auto"/>
            <w:right w:val="none" w:sz="0" w:space="0" w:color="auto"/>
          </w:divBdr>
        </w:div>
        <w:div w:id="2038462977">
          <w:marLeft w:val="274"/>
          <w:marRight w:val="0"/>
          <w:marTop w:val="0"/>
          <w:marBottom w:val="0"/>
          <w:divBdr>
            <w:top w:val="none" w:sz="0" w:space="0" w:color="auto"/>
            <w:left w:val="none" w:sz="0" w:space="0" w:color="auto"/>
            <w:bottom w:val="none" w:sz="0" w:space="0" w:color="auto"/>
            <w:right w:val="none" w:sz="0" w:space="0" w:color="auto"/>
          </w:divBdr>
        </w:div>
      </w:divsChild>
    </w:div>
    <w:div w:id="762535043">
      <w:bodyDiv w:val="1"/>
      <w:marLeft w:val="0"/>
      <w:marRight w:val="0"/>
      <w:marTop w:val="0"/>
      <w:marBottom w:val="0"/>
      <w:divBdr>
        <w:top w:val="none" w:sz="0" w:space="0" w:color="auto"/>
        <w:left w:val="none" w:sz="0" w:space="0" w:color="auto"/>
        <w:bottom w:val="none" w:sz="0" w:space="0" w:color="auto"/>
        <w:right w:val="none" w:sz="0" w:space="0" w:color="auto"/>
      </w:divBdr>
    </w:div>
    <w:div w:id="764378769">
      <w:bodyDiv w:val="1"/>
      <w:marLeft w:val="0"/>
      <w:marRight w:val="0"/>
      <w:marTop w:val="0"/>
      <w:marBottom w:val="0"/>
      <w:divBdr>
        <w:top w:val="none" w:sz="0" w:space="0" w:color="auto"/>
        <w:left w:val="none" w:sz="0" w:space="0" w:color="auto"/>
        <w:bottom w:val="none" w:sz="0" w:space="0" w:color="auto"/>
        <w:right w:val="none" w:sz="0" w:space="0" w:color="auto"/>
      </w:divBdr>
    </w:div>
    <w:div w:id="765418101">
      <w:bodyDiv w:val="1"/>
      <w:marLeft w:val="0"/>
      <w:marRight w:val="0"/>
      <w:marTop w:val="0"/>
      <w:marBottom w:val="0"/>
      <w:divBdr>
        <w:top w:val="none" w:sz="0" w:space="0" w:color="auto"/>
        <w:left w:val="none" w:sz="0" w:space="0" w:color="auto"/>
        <w:bottom w:val="none" w:sz="0" w:space="0" w:color="auto"/>
        <w:right w:val="none" w:sz="0" w:space="0" w:color="auto"/>
      </w:divBdr>
    </w:div>
    <w:div w:id="769155585">
      <w:bodyDiv w:val="1"/>
      <w:marLeft w:val="0"/>
      <w:marRight w:val="0"/>
      <w:marTop w:val="0"/>
      <w:marBottom w:val="0"/>
      <w:divBdr>
        <w:top w:val="none" w:sz="0" w:space="0" w:color="auto"/>
        <w:left w:val="none" w:sz="0" w:space="0" w:color="auto"/>
        <w:bottom w:val="none" w:sz="0" w:space="0" w:color="auto"/>
        <w:right w:val="none" w:sz="0" w:space="0" w:color="auto"/>
      </w:divBdr>
    </w:div>
    <w:div w:id="773020803">
      <w:bodyDiv w:val="1"/>
      <w:marLeft w:val="0"/>
      <w:marRight w:val="0"/>
      <w:marTop w:val="0"/>
      <w:marBottom w:val="0"/>
      <w:divBdr>
        <w:top w:val="none" w:sz="0" w:space="0" w:color="auto"/>
        <w:left w:val="none" w:sz="0" w:space="0" w:color="auto"/>
        <w:bottom w:val="none" w:sz="0" w:space="0" w:color="auto"/>
        <w:right w:val="none" w:sz="0" w:space="0" w:color="auto"/>
      </w:divBdr>
    </w:div>
    <w:div w:id="773399708">
      <w:bodyDiv w:val="1"/>
      <w:marLeft w:val="0"/>
      <w:marRight w:val="0"/>
      <w:marTop w:val="0"/>
      <w:marBottom w:val="0"/>
      <w:divBdr>
        <w:top w:val="none" w:sz="0" w:space="0" w:color="auto"/>
        <w:left w:val="none" w:sz="0" w:space="0" w:color="auto"/>
        <w:bottom w:val="none" w:sz="0" w:space="0" w:color="auto"/>
        <w:right w:val="none" w:sz="0" w:space="0" w:color="auto"/>
      </w:divBdr>
    </w:div>
    <w:div w:id="774445052">
      <w:bodyDiv w:val="1"/>
      <w:marLeft w:val="0"/>
      <w:marRight w:val="0"/>
      <w:marTop w:val="0"/>
      <w:marBottom w:val="0"/>
      <w:divBdr>
        <w:top w:val="none" w:sz="0" w:space="0" w:color="auto"/>
        <w:left w:val="none" w:sz="0" w:space="0" w:color="auto"/>
        <w:bottom w:val="none" w:sz="0" w:space="0" w:color="auto"/>
        <w:right w:val="none" w:sz="0" w:space="0" w:color="auto"/>
      </w:divBdr>
    </w:div>
    <w:div w:id="775714273">
      <w:bodyDiv w:val="1"/>
      <w:marLeft w:val="0"/>
      <w:marRight w:val="0"/>
      <w:marTop w:val="0"/>
      <w:marBottom w:val="0"/>
      <w:divBdr>
        <w:top w:val="none" w:sz="0" w:space="0" w:color="auto"/>
        <w:left w:val="none" w:sz="0" w:space="0" w:color="auto"/>
        <w:bottom w:val="none" w:sz="0" w:space="0" w:color="auto"/>
        <w:right w:val="none" w:sz="0" w:space="0" w:color="auto"/>
      </w:divBdr>
    </w:div>
    <w:div w:id="776367048">
      <w:bodyDiv w:val="1"/>
      <w:marLeft w:val="0"/>
      <w:marRight w:val="0"/>
      <w:marTop w:val="0"/>
      <w:marBottom w:val="0"/>
      <w:divBdr>
        <w:top w:val="none" w:sz="0" w:space="0" w:color="auto"/>
        <w:left w:val="none" w:sz="0" w:space="0" w:color="auto"/>
        <w:bottom w:val="none" w:sz="0" w:space="0" w:color="auto"/>
        <w:right w:val="none" w:sz="0" w:space="0" w:color="auto"/>
      </w:divBdr>
    </w:div>
    <w:div w:id="776608575">
      <w:bodyDiv w:val="1"/>
      <w:marLeft w:val="0"/>
      <w:marRight w:val="0"/>
      <w:marTop w:val="0"/>
      <w:marBottom w:val="0"/>
      <w:divBdr>
        <w:top w:val="none" w:sz="0" w:space="0" w:color="auto"/>
        <w:left w:val="none" w:sz="0" w:space="0" w:color="auto"/>
        <w:bottom w:val="none" w:sz="0" w:space="0" w:color="auto"/>
        <w:right w:val="none" w:sz="0" w:space="0" w:color="auto"/>
      </w:divBdr>
    </w:div>
    <w:div w:id="780535761">
      <w:bodyDiv w:val="1"/>
      <w:marLeft w:val="0"/>
      <w:marRight w:val="0"/>
      <w:marTop w:val="0"/>
      <w:marBottom w:val="0"/>
      <w:divBdr>
        <w:top w:val="none" w:sz="0" w:space="0" w:color="auto"/>
        <w:left w:val="none" w:sz="0" w:space="0" w:color="auto"/>
        <w:bottom w:val="none" w:sz="0" w:space="0" w:color="auto"/>
        <w:right w:val="none" w:sz="0" w:space="0" w:color="auto"/>
      </w:divBdr>
    </w:div>
    <w:div w:id="787160541">
      <w:bodyDiv w:val="1"/>
      <w:marLeft w:val="0"/>
      <w:marRight w:val="0"/>
      <w:marTop w:val="0"/>
      <w:marBottom w:val="0"/>
      <w:divBdr>
        <w:top w:val="none" w:sz="0" w:space="0" w:color="auto"/>
        <w:left w:val="none" w:sz="0" w:space="0" w:color="auto"/>
        <w:bottom w:val="none" w:sz="0" w:space="0" w:color="auto"/>
        <w:right w:val="none" w:sz="0" w:space="0" w:color="auto"/>
      </w:divBdr>
    </w:div>
    <w:div w:id="788670457">
      <w:bodyDiv w:val="1"/>
      <w:marLeft w:val="0"/>
      <w:marRight w:val="0"/>
      <w:marTop w:val="0"/>
      <w:marBottom w:val="0"/>
      <w:divBdr>
        <w:top w:val="none" w:sz="0" w:space="0" w:color="auto"/>
        <w:left w:val="none" w:sz="0" w:space="0" w:color="auto"/>
        <w:bottom w:val="none" w:sz="0" w:space="0" w:color="auto"/>
        <w:right w:val="none" w:sz="0" w:space="0" w:color="auto"/>
      </w:divBdr>
    </w:div>
    <w:div w:id="794102690">
      <w:bodyDiv w:val="1"/>
      <w:marLeft w:val="0"/>
      <w:marRight w:val="0"/>
      <w:marTop w:val="0"/>
      <w:marBottom w:val="0"/>
      <w:divBdr>
        <w:top w:val="none" w:sz="0" w:space="0" w:color="auto"/>
        <w:left w:val="none" w:sz="0" w:space="0" w:color="auto"/>
        <w:bottom w:val="none" w:sz="0" w:space="0" w:color="auto"/>
        <w:right w:val="none" w:sz="0" w:space="0" w:color="auto"/>
      </w:divBdr>
    </w:div>
    <w:div w:id="799879946">
      <w:bodyDiv w:val="1"/>
      <w:marLeft w:val="0"/>
      <w:marRight w:val="0"/>
      <w:marTop w:val="0"/>
      <w:marBottom w:val="0"/>
      <w:divBdr>
        <w:top w:val="none" w:sz="0" w:space="0" w:color="auto"/>
        <w:left w:val="none" w:sz="0" w:space="0" w:color="auto"/>
        <w:bottom w:val="none" w:sz="0" w:space="0" w:color="auto"/>
        <w:right w:val="none" w:sz="0" w:space="0" w:color="auto"/>
      </w:divBdr>
    </w:div>
    <w:div w:id="800537093">
      <w:bodyDiv w:val="1"/>
      <w:marLeft w:val="0"/>
      <w:marRight w:val="0"/>
      <w:marTop w:val="0"/>
      <w:marBottom w:val="0"/>
      <w:divBdr>
        <w:top w:val="none" w:sz="0" w:space="0" w:color="auto"/>
        <w:left w:val="none" w:sz="0" w:space="0" w:color="auto"/>
        <w:bottom w:val="none" w:sz="0" w:space="0" w:color="auto"/>
        <w:right w:val="none" w:sz="0" w:space="0" w:color="auto"/>
      </w:divBdr>
    </w:div>
    <w:div w:id="801581740">
      <w:bodyDiv w:val="1"/>
      <w:marLeft w:val="0"/>
      <w:marRight w:val="0"/>
      <w:marTop w:val="0"/>
      <w:marBottom w:val="0"/>
      <w:divBdr>
        <w:top w:val="none" w:sz="0" w:space="0" w:color="auto"/>
        <w:left w:val="none" w:sz="0" w:space="0" w:color="auto"/>
        <w:bottom w:val="none" w:sz="0" w:space="0" w:color="auto"/>
        <w:right w:val="none" w:sz="0" w:space="0" w:color="auto"/>
      </w:divBdr>
    </w:div>
    <w:div w:id="806626569">
      <w:bodyDiv w:val="1"/>
      <w:marLeft w:val="0"/>
      <w:marRight w:val="0"/>
      <w:marTop w:val="0"/>
      <w:marBottom w:val="0"/>
      <w:divBdr>
        <w:top w:val="none" w:sz="0" w:space="0" w:color="auto"/>
        <w:left w:val="none" w:sz="0" w:space="0" w:color="auto"/>
        <w:bottom w:val="none" w:sz="0" w:space="0" w:color="auto"/>
        <w:right w:val="none" w:sz="0" w:space="0" w:color="auto"/>
      </w:divBdr>
    </w:div>
    <w:div w:id="808129055">
      <w:bodyDiv w:val="1"/>
      <w:marLeft w:val="0"/>
      <w:marRight w:val="0"/>
      <w:marTop w:val="0"/>
      <w:marBottom w:val="0"/>
      <w:divBdr>
        <w:top w:val="none" w:sz="0" w:space="0" w:color="auto"/>
        <w:left w:val="none" w:sz="0" w:space="0" w:color="auto"/>
        <w:bottom w:val="none" w:sz="0" w:space="0" w:color="auto"/>
        <w:right w:val="none" w:sz="0" w:space="0" w:color="auto"/>
      </w:divBdr>
    </w:div>
    <w:div w:id="809246783">
      <w:bodyDiv w:val="1"/>
      <w:marLeft w:val="0"/>
      <w:marRight w:val="0"/>
      <w:marTop w:val="0"/>
      <w:marBottom w:val="0"/>
      <w:divBdr>
        <w:top w:val="none" w:sz="0" w:space="0" w:color="auto"/>
        <w:left w:val="none" w:sz="0" w:space="0" w:color="auto"/>
        <w:bottom w:val="none" w:sz="0" w:space="0" w:color="auto"/>
        <w:right w:val="none" w:sz="0" w:space="0" w:color="auto"/>
      </w:divBdr>
    </w:div>
    <w:div w:id="809322075">
      <w:bodyDiv w:val="1"/>
      <w:marLeft w:val="0"/>
      <w:marRight w:val="0"/>
      <w:marTop w:val="0"/>
      <w:marBottom w:val="0"/>
      <w:divBdr>
        <w:top w:val="none" w:sz="0" w:space="0" w:color="auto"/>
        <w:left w:val="none" w:sz="0" w:space="0" w:color="auto"/>
        <w:bottom w:val="none" w:sz="0" w:space="0" w:color="auto"/>
        <w:right w:val="none" w:sz="0" w:space="0" w:color="auto"/>
      </w:divBdr>
    </w:div>
    <w:div w:id="813839900">
      <w:bodyDiv w:val="1"/>
      <w:marLeft w:val="0"/>
      <w:marRight w:val="0"/>
      <w:marTop w:val="0"/>
      <w:marBottom w:val="0"/>
      <w:divBdr>
        <w:top w:val="none" w:sz="0" w:space="0" w:color="auto"/>
        <w:left w:val="none" w:sz="0" w:space="0" w:color="auto"/>
        <w:bottom w:val="none" w:sz="0" w:space="0" w:color="auto"/>
        <w:right w:val="none" w:sz="0" w:space="0" w:color="auto"/>
      </w:divBdr>
    </w:div>
    <w:div w:id="813911740">
      <w:bodyDiv w:val="1"/>
      <w:marLeft w:val="0"/>
      <w:marRight w:val="0"/>
      <w:marTop w:val="0"/>
      <w:marBottom w:val="0"/>
      <w:divBdr>
        <w:top w:val="none" w:sz="0" w:space="0" w:color="auto"/>
        <w:left w:val="none" w:sz="0" w:space="0" w:color="auto"/>
        <w:bottom w:val="none" w:sz="0" w:space="0" w:color="auto"/>
        <w:right w:val="none" w:sz="0" w:space="0" w:color="auto"/>
      </w:divBdr>
    </w:div>
    <w:div w:id="817890201">
      <w:bodyDiv w:val="1"/>
      <w:marLeft w:val="0"/>
      <w:marRight w:val="0"/>
      <w:marTop w:val="0"/>
      <w:marBottom w:val="0"/>
      <w:divBdr>
        <w:top w:val="none" w:sz="0" w:space="0" w:color="auto"/>
        <w:left w:val="none" w:sz="0" w:space="0" w:color="auto"/>
        <w:bottom w:val="none" w:sz="0" w:space="0" w:color="auto"/>
        <w:right w:val="none" w:sz="0" w:space="0" w:color="auto"/>
      </w:divBdr>
    </w:div>
    <w:div w:id="819345791">
      <w:bodyDiv w:val="1"/>
      <w:marLeft w:val="0"/>
      <w:marRight w:val="0"/>
      <w:marTop w:val="0"/>
      <w:marBottom w:val="0"/>
      <w:divBdr>
        <w:top w:val="none" w:sz="0" w:space="0" w:color="auto"/>
        <w:left w:val="none" w:sz="0" w:space="0" w:color="auto"/>
        <w:bottom w:val="none" w:sz="0" w:space="0" w:color="auto"/>
        <w:right w:val="none" w:sz="0" w:space="0" w:color="auto"/>
      </w:divBdr>
    </w:div>
    <w:div w:id="819424445">
      <w:bodyDiv w:val="1"/>
      <w:marLeft w:val="0"/>
      <w:marRight w:val="0"/>
      <w:marTop w:val="0"/>
      <w:marBottom w:val="0"/>
      <w:divBdr>
        <w:top w:val="none" w:sz="0" w:space="0" w:color="auto"/>
        <w:left w:val="none" w:sz="0" w:space="0" w:color="auto"/>
        <w:bottom w:val="none" w:sz="0" w:space="0" w:color="auto"/>
        <w:right w:val="none" w:sz="0" w:space="0" w:color="auto"/>
      </w:divBdr>
    </w:div>
    <w:div w:id="822551392">
      <w:bodyDiv w:val="1"/>
      <w:marLeft w:val="0"/>
      <w:marRight w:val="0"/>
      <w:marTop w:val="0"/>
      <w:marBottom w:val="0"/>
      <w:divBdr>
        <w:top w:val="none" w:sz="0" w:space="0" w:color="auto"/>
        <w:left w:val="none" w:sz="0" w:space="0" w:color="auto"/>
        <w:bottom w:val="none" w:sz="0" w:space="0" w:color="auto"/>
        <w:right w:val="none" w:sz="0" w:space="0" w:color="auto"/>
      </w:divBdr>
    </w:div>
    <w:div w:id="823547183">
      <w:bodyDiv w:val="1"/>
      <w:marLeft w:val="0"/>
      <w:marRight w:val="0"/>
      <w:marTop w:val="0"/>
      <w:marBottom w:val="0"/>
      <w:divBdr>
        <w:top w:val="none" w:sz="0" w:space="0" w:color="auto"/>
        <w:left w:val="none" w:sz="0" w:space="0" w:color="auto"/>
        <w:bottom w:val="none" w:sz="0" w:space="0" w:color="auto"/>
        <w:right w:val="none" w:sz="0" w:space="0" w:color="auto"/>
      </w:divBdr>
    </w:div>
    <w:div w:id="825972661">
      <w:bodyDiv w:val="1"/>
      <w:marLeft w:val="0"/>
      <w:marRight w:val="0"/>
      <w:marTop w:val="0"/>
      <w:marBottom w:val="0"/>
      <w:divBdr>
        <w:top w:val="none" w:sz="0" w:space="0" w:color="auto"/>
        <w:left w:val="none" w:sz="0" w:space="0" w:color="auto"/>
        <w:bottom w:val="none" w:sz="0" w:space="0" w:color="auto"/>
        <w:right w:val="none" w:sz="0" w:space="0" w:color="auto"/>
      </w:divBdr>
    </w:div>
    <w:div w:id="826745157">
      <w:bodyDiv w:val="1"/>
      <w:marLeft w:val="0"/>
      <w:marRight w:val="0"/>
      <w:marTop w:val="0"/>
      <w:marBottom w:val="0"/>
      <w:divBdr>
        <w:top w:val="none" w:sz="0" w:space="0" w:color="auto"/>
        <w:left w:val="none" w:sz="0" w:space="0" w:color="auto"/>
        <w:bottom w:val="none" w:sz="0" w:space="0" w:color="auto"/>
        <w:right w:val="none" w:sz="0" w:space="0" w:color="auto"/>
      </w:divBdr>
    </w:div>
    <w:div w:id="828179090">
      <w:bodyDiv w:val="1"/>
      <w:marLeft w:val="0"/>
      <w:marRight w:val="0"/>
      <w:marTop w:val="0"/>
      <w:marBottom w:val="0"/>
      <w:divBdr>
        <w:top w:val="none" w:sz="0" w:space="0" w:color="auto"/>
        <w:left w:val="none" w:sz="0" w:space="0" w:color="auto"/>
        <w:bottom w:val="none" w:sz="0" w:space="0" w:color="auto"/>
        <w:right w:val="none" w:sz="0" w:space="0" w:color="auto"/>
      </w:divBdr>
    </w:div>
    <w:div w:id="828256038">
      <w:bodyDiv w:val="1"/>
      <w:marLeft w:val="0"/>
      <w:marRight w:val="0"/>
      <w:marTop w:val="0"/>
      <w:marBottom w:val="0"/>
      <w:divBdr>
        <w:top w:val="none" w:sz="0" w:space="0" w:color="auto"/>
        <w:left w:val="none" w:sz="0" w:space="0" w:color="auto"/>
        <w:bottom w:val="none" w:sz="0" w:space="0" w:color="auto"/>
        <w:right w:val="none" w:sz="0" w:space="0" w:color="auto"/>
      </w:divBdr>
    </w:div>
    <w:div w:id="828790198">
      <w:bodyDiv w:val="1"/>
      <w:marLeft w:val="0"/>
      <w:marRight w:val="0"/>
      <w:marTop w:val="0"/>
      <w:marBottom w:val="0"/>
      <w:divBdr>
        <w:top w:val="none" w:sz="0" w:space="0" w:color="auto"/>
        <w:left w:val="none" w:sz="0" w:space="0" w:color="auto"/>
        <w:bottom w:val="none" w:sz="0" w:space="0" w:color="auto"/>
        <w:right w:val="none" w:sz="0" w:space="0" w:color="auto"/>
      </w:divBdr>
    </w:div>
    <w:div w:id="830173230">
      <w:bodyDiv w:val="1"/>
      <w:marLeft w:val="0"/>
      <w:marRight w:val="0"/>
      <w:marTop w:val="0"/>
      <w:marBottom w:val="0"/>
      <w:divBdr>
        <w:top w:val="none" w:sz="0" w:space="0" w:color="auto"/>
        <w:left w:val="none" w:sz="0" w:space="0" w:color="auto"/>
        <w:bottom w:val="none" w:sz="0" w:space="0" w:color="auto"/>
        <w:right w:val="none" w:sz="0" w:space="0" w:color="auto"/>
      </w:divBdr>
    </w:div>
    <w:div w:id="836455510">
      <w:bodyDiv w:val="1"/>
      <w:marLeft w:val="0"/>
      <w:marRight w:val="0"/>
      <w:marTop w:val="0"/>
      <w:marBottom w:val="0"/>
      <w:divBdr>
        <w:top w:val="none" w:sz="0" w:space="0" w:color="auto"/>
        <w:left w:val="none" w:sz="0" w:space="0" w:color="auto"/>
        <w:bottom w:val="none" w:sz="0" w:space="0" w:color="auto"/>
        <w:right w:val="none" w:sz="0" w:space="0" w:color="auto"/>
      </w:divBdr>
    </w:div>
    <w:div w:id="846672127">
      <w:bodyDiv w:val="1"/>
      <w:marLeft w:val="0"/>
      <w:marRight w:val="0"/>
      <w:marTop w:val="0"/>
      <w:marBottom w:val="0"/>
      <w:divBdr>
        <w:top w:val="none" w:sz="0" w:space="0" w:color="auto"/>
        <w:left w:val="none" w:sz="0" w:space="0" w:color="auto"/>
        <w:bottom w:val="none" w:sz="0" w:space="0" w:color="auto"/>
        <w:right w:val="none" w:sz="0" w:space="0" w:color="auto"/>
      </w:divBdr>
    </w:div>
    <w:div w:id="852108158">
      <w:bodyDiv w:val="1"/>
      <w:marLeft w:val="0"/>
      <w:marRight w:val="0"/>
      <w:marTop w:val="0"/>
      <w:marBottom w:val="0"/>
      <w:divBdr>
        <w:top w:val="none" w:sz="0" w:space="0" w:color="auto"/>
        <w:left w:val="none" w:sz="0" w:space="0" w:color="auto"/>
        <w:bottom w:val="none" w:sz="0" w:space="0" w:color="auto"/>
        <w:right w:val="none" w:sz="0" w:space="0" w:color="auto"/>
      </w:divBdr>
    </w:div>
    <w:div w:id="866716127">
      <w:bodyDiv w:val="1"/>
      <w:marLeft w:val="0"/>
      <w:marRight w:val="0"/>
      <w:marTop w:val="0"/>
      <w:marBottom w:val="0"/>
      <w:divBdr>
        <w:top w:val="none" w:sz="0" w:space="0" w:color="auto"/>
        <w:left w:val="none" w:sz="0" w:space="0" w:color="auto"/>
        <w:bottom w:val="none" w:sz="0" w:space="0" w:color="auto"/>
        <w:right w:val="none" w:sz="0" w:space="0" w:color="auto"/>
      </w:divBdr>
    </w:div>
    <w:div w:id="868639331">
      <w:bodyDiv w:val="1"/>
      <w:marLeft w:val="0"/>
      <w:marRight w:val="0"/>
      <w:marTop w:val="0"/>
      <w:marBottom w:val="0"/>
      <w:divBdr>
        <w:top w:val="none" w:sz="0" w:space="0" w:color="auto"/>
        <w:left w:val="none" w:sz="0" w:space="0" w:color="auto"/>
        <w:bottom w:val="none" w:sz="0" w:space="0" w:color="auto"/>
        <w:right w:val="none" w:sz="0" w:space="0" w:color="auto"/>
      </w:divBdr>
    </w:div>
    <w:div w:id="870999308">
      <w:bodyDiv w:val="1"/>
      <w:marLeft w:val="0"/>
      <w:marRight w:val="0"/>
      <w:marTop w:val="0"/>
      <w:marBottom w:val="0"/>
      <w:divBdr>
        <w:top w:val="none" w:sz="0" w:space="0" w:color="auto"/>
        <w:left w:val="none" w:sz="0" w:space="0" w:color="auto"/>
        <w:bottom w:val="none" w:sz="0" w:space="0" w:color="auto"/>
        <w:right w:val="none" w:sz="0" w:space="0" w:color="auto"/>
      </w:divBdr>
    </w:div>
    <w:div w:id="874007119">
      <w:bodyDiv w:val="1"/>
      <w:marLeft w:val="0"/>
      <w:marRight w:val="0"/>
      <w:marTop w:val="0"/>
      <w:marBottom w:val="0"/>
      <w:divBdr>
        <w:top w:val="none" w:sz="0" w:space="0" w:color="auto"/>
        <w:left w:val="none" w:sz="0" w:space="0" w:color="auto"/>
        <w:bottom w:val="none" w:sz="0" w:space="0" w:color="auto"/>
        <w:right w:val="none" w:sz="0" w:space="0" w:color="auto"/>
      </w:divBdr>
    </w:div>
    <w:div w:id="876356904">
      <w:bodyDiv w:val="1"/>
      <w:marLeft w:val="0"/>
      <w:marRight w:val="0"/>
      <w:marTop w:val="0"/>
      <w:marBottom w:val="0"/>
      <w:divBdr>
        <w:top w:val="none" w:sz="0" w:space="0" w:color="auto"/>
        <w:left w:val="none" w:sz="0" w:space="0" w:color="auto"/>
        <w:bottom w:val="none" w:sz="0" w:space="0" w:color="auto"/>
        <w:right w:val="none" w:sz="0" w:space="0" w:color="auto"/>
      </w:divBdr>
    </w:div>
    <w:div w:id="876428043">
      <w:bodyDiv w:val="1"/>
      <w:marLeft w:val="0"/>
      <w:marRight w:val="0"/>
      <w:marTop w:val="0"/>
      <w:marBottom w:val="0"/>
      <w:divBdr>
        <w:top w:val="none" w:sz="0" w:space="0" w:color="auto"/>
        <w:left w:val="none" w:sz="0" w:space="0" w:color="auto"/>
        <w:bottom w:val="none" w:sz="0" w:space="0" w:color="auto"/>
        <w:right w:val="none" w:sz="0" w:space="0" w:color="auto"/>
      </w:divBdr>
    </w:div>
    <w:div w:id="876506426">
      <w:bodyDiv w:val="1"/>
      <w:marLeft w:val="0"/>
      <w:marRight w:val="0"/>
      <w:marTop w:val="0"/>
      <w:marBottom w:val="0"/>
      <w:divBdr>
        <w:top w:val="none" w:sz="0" w:space="0" w:color="auto"/>
        <w:left w:val="none" w:sz="0" w:space="0" w:color="auto"/>
        <w:bottom w:val="none" w:sz="0" w:space="0" w:color="auto"/>
        <w:right w:val="none" w:sz="0" w:space="0" w:color="auto"/>
      </w:divBdr>
    </w:div>
    <w:div w:id="877863077">
      <w:bodyDiv w:val="1"/>
      <w:marLeft w:val="0"/>
      <w:marRight w:val="0"/>
      <w:marTop w:val="0"/>
      <w:marBottom w:val="0"/>
      <w:divBdr>
        <w:top w:val="none" w:sz="0" w:space="0" w:color="auto"/>
        <w:left w:val="none" w:sz="0" w:space="0" w:color="auto"/>
        <w:bottom w:val="none" w:sz="0" w:space="0" w:color="auto"/>
        <w:right w:val="none" w:sz="0" w:space="0" w:color="auto"/>
      </w:divBdr>
    </w:div>
    <w:div w:id="879706573">
      <w:bodyDiv w:val="1"/>
      <w:marLeft w:val="0"/>
      <w:marRight w:val="0"/>
      <w:marTop w:val="0"/>
      <w:marBottom w:val="0"/>
      <w:divBdr>
        <w:top w:val="none" w:sz="0" w:space="0" w:color="auto"/>
        <w:left w:val="none" w:sz="0" w:space="0" w:color="auto"/>
        <w:bottom w:val="none" w:sz="0" w:space="0" w:color="auto"/>
        <w:right w:val="none" w:sz="0" w:space="0" w:color="auto"/>
      </w:divBdr>
    </w:div>
    <w:div w:id="881594086">
      <w:bodyDiv w:val="1"/>
      <w:marLeft w:val="0"/>
      <w:marRight w:val="0"/>
      <w:marTop w:val="0"/>
      <w:marBottom w:val="0"/>
      <w:divBdr>
        <w:top w:val="none" w:sz="0" w:space="0" w:color="auto"/>
        <w:left w:val="none" w:sz="0" w:space="0" w:color="auto"/>
        <w:bottom w:val="none" w:sz="0" w:space="0" w:color="auto"/>
        <w:right w:val="none" w:sz="0" w:space="0" w:color="auto"/>
      </w:divBdr>
    </w:div>
    <w:div w:id="885603731">
      <w:bodyDiv w:val="1"/>
      <w:marLeft w:val="0"/>
      <w:marRight w:val="0"/>
      <w:marTop w:val="0"/>
      <w:marBottom w:val="0"/>
      <w:divBdr>
        <w:top w:val="none" w:sz="0" w:space="0" w:color="auto"/>
        <w:left w:val="none" w:sz="0" w:space="0" w:color="auto"/>
        <w:bottom w:val="none" w:sz="0" w:space="0" w:color="auto"/>
        <w:right w:val="none" w:sz="0" w:space="0" w:color="auto"/>
      </w:divBdr>
    </w:div>
    <w:div w:id="886186593">
      <w:bodyDiv w:val="1"/>
      <w:marLeft w:val="0"/>
      <w:marRight w:val="0"/>
      <w:marTop w:val="0"/>
      <w:marBottom w:val="0"/>
      <w:divBdr>
        <w:top w:val="none" w:sz="0" w:space="0" w:color="auto"/>
        <w:left w:val="none" w:sz="0" w:space="0" w:color="auto"/>
        <w:bottom w:val="none" w:sz="0" w:space="0" w:color="auto"/>
        <w:right w:val="none" w:sz="0" w:space="0" w:color="auto"/>
      </w:divBdr>
    </w:div>
    <w:div w:id="887493495">
      <w:bodyDiv w:val="1"/>
      <w:marLeft w:val="0"/>
      <w:marRight w:val="0"/>
      <w:marTop w:val="0"/>
      <w:marBottom w:val="0"/>
      <w:divBdr>
        <w:top w:val="none" w:sz="0" w:space="0" w:color="auto"/>
        <w:left w:val="none" w:sz="0" w:space="0" w:color="auto"/>
        <w:bottom w:val="none" w:sz="0" w:space="0" w:color="auto"/>
        <w:right w:val="none" w:sz="0" w:space="0" w:color="auto"/>
      </w:divBdr>
      <w:divsChild>
        <w:div w:id="818763499">
          <w:marLeft w:val="547"/>
          <w:marRight w:val="0"/>
          <w:marTop w:val="0"/>
          <w:marBottom w:val="0"/>
          <w:divBdr>
            <w:top w:val="none" w:sz="0" w:space="0" w:color="auto"/>
            <w:left w:val="none" w:sz="0" w:space="0" w:color="auto"/>
            <w:bottom w:val="none" w:sz="0" w:space="0" w:color="auto"/>
            <w:right w:val="none" w:sz="0" w:space="0" w:color="auto"/>
          </w:divBdr>
        </w:div>
      </w:divsChild>
    </w:div>
    <w:div w:id="889999732">
      <w:bodyDiv w:val="1"/>
      <w:marLeft w:val="0"/>
      <w:marRight w:val="0"/>
      <w:marTop w:val="0"/>
      <w:marBottom w:val="0"/>
      <w:divBdr>
        <w:top w:val="none" w:sz="0" w:space="0" w:color="auto"/>
        <w:left w:val="none" w:sz="0" w:space="0" w:color="auto"/>
        <w:bottom w:val="none" w:sz="0" w:space="0" w:color="auto"/>
        <w:right w:val="none" w:sz="0" w:space="0" w:color="auto"/>
      </w:divBdr>
    </w:div>
    <w:div w:id="890581468">
      <w:bodyDiv w:val="1"/>
      <w:marLeft w:val="0"/>
      <w:marRight w:val="0"/>
      <w:marTop w:val="0"/>
      <w:marBottom w:val="0"/>
      <w:divBdr>
        <w:top w:val="none" w:sz="0" w:space="0" w:color="auto"/>
        <w:left w:val="none" w:sz="0" w:space="0" w:color="auto"/>
        <w:bottom w:val="none" w:sz="0" w:space="0" w:color="auto"/>
        <w:right w:val="none" w:sz="0" w:space="0" w:color="auto"/>
      </w:divBdr>
    </w:div>
    <w:div w:id="892425183">
      <w:bodyDiv w:val="1"/>
      <w:marLeft w:val="0"/>
      <w:marRight w:val="0"/>
      <w:marTop w:val="0"/>
      <w:marBottom w:val="0"/>
      <w:divBdr>
        <w:top w:val="none" w:sz="0" w:space="0" w:color="auto"/>
        <w:left w:val="none" w:sz="0" w:space="0" w:color="auto"/>
        <w:bottom w:val="none" w:sz="0" w:space="0" w:color="auto"/>
        <w:right w:val="none" w:sz="0" w:space="0" w:color="auto"/>
      </w:divBdr>
    </w:div>
    <w:div w:id="894006721">
      <w:bodyDiv w:val="1"/>
      <w:marLeft w:val="0"/>
      <w:marRight w:val="0"/>
      <w:marTop w:val="0"/>
      <w:marBottom w:val="0"/>
      <w:divBdr>
        <w:top w:val="none" w:sz="0" w:space="0" w:color="auto"/>
        <w:left w:val="none" w:sz="0" w:space="0" w:color="auto"/>
        <w:bottom w:val="none" w:sz="0" w:space="0" w:color="auto"/>
        <w:right w:val="none" w:sz="0" w:space="0" w:color="auto"/>
      </w:divBdr>
    </w:div>
    <w:div w:id="895314691">
      <w:bodyDiv w:val="1"/>
      <w:marLeft w:val="0"/>
      <w:marRight w:val="0"/>
      <w:marTop w:val="0"/>
      <w:marBottom w:val="0"/>
      <w:divBdr>
        <w:top w:val="none" w:sz="0" w:space="0" w:color="auto"/>
        <w:left w:val="none" w:sz="0" w:space="0" w:color="auto"/>
        <w:bottom w:val="none" w:sz="0" w:space="0" w:color="auto"/>
        <w:right w:val="none" w:sz="0" w:space="0" w:color="auto"/>
      </w:divBdr>
    </w:div>
    <w:div w:id="896160557">
      <w:bodyDiv w:val="1"/>
      <w:marLeft w:val="0"/>
      <w:marRight w:val="0"/>
      <w:marTop w:val="0"/>
      <w:marBottom w:val="0"/>
      <w:divBdr>
        <w:top w:val="none" w:sz="0" w:space="0" w:color="auto"/>
        <w:left w:val="none" w:sz="0" w:space="0" w:color="auto"/>
        <w:bottom w:val="none" w:sz="0" w:space="0" w:color="auto"/>
        <w:right w:val="none" w:sz="0" w:space="0" w:color="auto"/>
      </w:divBdr>
    </w:div>
    <w:div w:id="896863586">
      <w:bodyDiv w:val="1"/>
      <w:marLeft w:val="0"/>
      <w:marRight w:val="0"/>
      <w:marTop w:val="0"/>
      <w:marBottom w:val="0"/>
      <w:divBdr>
        <w:top w:val="none" w:sz="0" w:space="0" w:color="auto"/>
        <w:left w:val="none" w:sz="0" w:space="0" w:color="auto"/>
        <w:bottom w:val="none" w:sz="0" w:space="0" w:color="auto"/>
        <w:right w:val="none" w:sz="0" w:space="0" w:color="auto"/>
      </w:divBdr>
    </w:div>
    <w:div w:id="896892488">
      <w:bodyDiv w:val="1"/>
      <w:marLeft w:val="0"/>
      <w:marRight w:val="0"/>
      <w:marTop w:val="0"/>
      <w:marBottom w:val="0"/>
      <w:divBdr>
        <w:top w:val="none" w:sz="0" w:space="0" w:color="auto"/>
        <w:left w:val="none" w:sz="0" w:space="0" w:color="auto"/>
        <w:bottom w:val="none" w:sz="0" w:space="0" w:color="auto"/>
        <w:right w:val="none" w:sz="0" w:space="0" w:color="auto"/>
      </w:divBdr>
    </w:div>
    <w:div w:id="898587588">
      <w:bodyDiv w:val="1"/>
      <w:marLeft w:val="0"/>
      <w:marRight w:val="0"/>
      <w:marTop w:val="0"/>
      <w:marBottom w:val="0"/>
      <w:divBdr>
        <w:top w:val="none" w:sz="0" w:space="0" w:color="auto"/>
        <w:left w:val="none" w:sz="0" w:space="0" w:color="auto"/>
        <w:bottom w:val="none" w:sz="0" w:space="0" w:color="auto"/>
        <w:right w:val="none" w:sz="0" w:space="0" w:color="auto"/>
      </w:divBdr>
    </w:div>
    <w:div w:id="899512667">
      <w:bodyDiv w:val="1"/>
      <w:marLeft w:val="0"/>
      <w:marRight w:val="0"/>
      <w:marTop w:val="0"/>
      <w:marBottom w:val="0"/>
      <w:divBdr>
        <w:top w:val="none" w:sz="0" w:space="0" w:color="auto"/>
        <w:left w:val="none" w:sz="0" w:space="0" w:color="auto"/>
        <w:bottom w:val="none" w:sz="0" w:space="0" w:color="auto"/>
        <w:right w:val="none" w:sz="0" w:space="0" w:color="auto"/>
      </w:divBdr>
    </w:div>
    <w:div w:id="901059527">
      <w:bodyDiv w:val="1"/>
      <w:marLeft w:val="0"/>
      <w:marRight w:val="0"/>
      <w:marTop w:val="0"/>
      <w:marBottom w:val="0"/>
      <w:divBdr>
        <w:top w:val="none" w:sz="0" w:space="0" w:color="auto"/>
        <w:left w:val="none" w:sz="0" w:space="0" w:color="auto"/>
        <w:bottom w:val="none" w:sz="0" w:space="0" w:color="auto"/>
        <w:right w:val="none" w:sz="0" w:space="0" w:color="auto"/>
      </w:divBdr>
    </w:div>
    <w:div w:id="904684008">
      <w:bodyDiv w:val="1"/>
      <w:marLeft w:val="0"/>
      <w:marRight w:val="0"/>
      <w:marTop w:val="0"/>
      <w:marBottom w:val="0"/>
      <w:divBdr>
        <w:top w:val="none" w:sz="0" w:space="0" w:color="auto"/>
        <w:left w:val="none" w:sz="0" w:space="0" w:color="auto"/>
        <w:bottom w:val="none" w:sz="0" w:space="0" w:color="auto"/>
        <w:right w:val="none" w:sz="0" w:space="0" w:color="auto"/>
      </w:divBdr>
    </w:div>
    <w:div w:id="905266292">
      <w:bodyDiv w:val="1"/>
      <w:marLeft w:val="0"/>
      <w:marRight w:val="0"/>
      <w:marTop w:val="0"/>
      <w:marBottom w:val="0"/>
      <w:divBdr>
        <w:top w:val="none" w:sz="0" w:space="0" w:color="auto"/>
        <w:left w:val="none" w:sz="0" w:space="0" w:color="auto"/>
        <w:bottom w:val="none" w:sz="0" w:space="0" w:color="auto"/>
        <w:right w:val="none" w:sz="0" w:space="0" w:color="auto"/>
      </w:divBdr>
    </w:div>
    <w:div w:id="906769471">
      <w:bodyDiv w:val="1"/>
      <w:marLeft w:val="0"/>
      <w:marRight w:val="0"/>
      <w:marTop w:val="0"/>
      <w:marBottom w:val="0"/>
      <w:divBdr>
        <w:top w:val="none" w:sz="0" w:space="0" w:color="auto"/>
        <w:left w:val="none" w:sz="0" w:space="0" w:color="auto"/>
        <w:bottom w:val="none" w:sz="0" w:space="0" w:color="auto"/>
        <w:right w:val="none" w:sz="0" w:space="0" w:color="auto"/>
      </w:divBdr>
    </w:div>
    <w:div w:id="908421477">
      <w:bodyDiv w:val="1"/>
      <w:marLeft w:val="0"/>
      <w:marRight w:val="0"/>
      <w:marTop w:val="0"/>
      <w:marBottom w:val="0"/>
      <w:divBdr>
        <w:top w:val="none" w:sz="0" w:space="0" w:color="auto"/>
        <w:left w:val="none" w:sz="0" w:space="0" w:color="auto"/>
        <w:bottom w:val="none" w:sz="0" w:space="0" w:color="auto"/>
        <w:right w:val="none" w:sz="0" w:space="0" w:color="auto"/>
      </w:divBdr>
    </w:div>
    <w:div w:id="910428277">
      <w:bodyDiv w:val="1"/>
      <w:marLeft w:val="0"/>
      <w:marRight w:val="0"/>
      <w:marTop w:val="0"/>
      <w:marBottom w:val="0"/>
      <w:divBdr>
        <w:top w:val="none" w:sz="0" w:space="0" w:color="auto"/>
        <w:left w:val="none" w:sz="0" w:space="0" w:color="auto"/>
        <w:bottom w:val="none" w:sz="0" w:space="0" w:color="auto"/>
        <w:right w:val="none" w:sz="0" w:space="0" w:color="auto"/>
      </w:divBdr>
    </w:div>
    <w:div w:id="910819520">
      <w:bodyDiv w:val="1"/>
      <w:marLeft w:val="0"/>
      <w:marRight w:val="0"/>
      <w:marTop w:val="0"/>
      <w:marBottom w:val="0"/>
      <w:divBdr>
        <w:top w:val="none" w:sz="0" w:space="0" w:color="auto"/>
        <w:left w:val="none" w:sz="0" w:space="0" w:color="auto"/>
        <w:bottom w:val="none" w:sz="0" w:space="0" w:color="auto"/>
        <w:right w:val="none" w:sz="0" w:space="0" w:color="auto"/>
      </w:divBdr>
    </w:div>
    <w:div w:id="916936949">
      <w:bodyDiv w:val="1"/>
      <w:marLeft w:val="0"/>
      <w:marRight w:val="0"/>
      <w:marTop w:val="0"/>
      <w:marBottom w:val="0"/>
      <w:divBdr>
        <w:top w:val="none" w:sz="0" w:space="0" w:color="auto"/>
        <w:left w:val="none" w:sz="0" w:space="0" w:color="auto"/>
        <w:bottom w:val="none" w:sz="0" w:space="0" w:color="auto"/>
        <w:right w:val="none" w:sz="0" w:space="0" w:color="auto"/>
      </w:divBdr>
    </w:div>
    <w:div w:id="917788732">
      <w:bodyDiv w:val="1"/>
      <w:marLeft w:val="0"/>
      <w:marRight w:val="0"/>
      <w:marTop w:val="0"/>
      <w:marBottom w:val="0"/>
      <w:divBdr>
        <w:top w:val="none" w:sz="0" w:space="0" w:color="auto"/>
        <w:left w:val="none" w:sz="0" w:space="0" w:color="auto"/>
        <w:bottom w:val="none" w:sz="0" w:space="0" w:color="auto"/>
        <w:right w:val="none" w:sz="0" w:space="0" w:color="auto"/>
      </w:divBdr>
    </w:div>
    <w:div w:id="920874393">
      <w:bodyDiv w:val="1"/>
      <w:marLeft w:val="0"/>
      <w:marRight w:val="0"/>
      <w:marTop w:val="0"/>
      <w:marBottom w:val="0"/>
      <w:divBdr>
        <w:top w:val="none" w:sz="0" w:space="0" w:color="auto"/>
        <w:left w:val="none" w:sz="0" w:space="0" w:color="auto"/>
        <w:bottom w:val="none" w:sz="0" w:space="0" w:color="auto"/>
        <w:right w:val="none" w:sz="0" w:space="0" w:color="auto"/>
      </w:divBdr>
    </w:div>
    <w:div w:id="921529307">
      <w:bodyDiv w:val="1"/>
      <w:marLeft w:val="0"/>
      <w:marRight w:val="0"/>
      <w:marTop w:val="0"/>
      <w:marBottom w:val="0"/>
      <w:divBdr>
        <w:top w:val="none" w:sz="0" w:space="0" w:color="auto"/>
        <w:left w:val="none" w:sz="0" w:space="0" w:color="auto"/>
        <w:bottom w:val="none" w:sz="0" w:space="0" w:color="auto"/>
        <w:right w:val="none" w:sz="0" w:space="0" w:color="auto"/>
      </w:divBdr>
    </w:div>
    <w:div w:id="922109891">
      <w:bodyDiv w:val="1"/>
      <w:marLeft w:val="0"/>
      <w:marRight w:val="0"/>
      <w:marTop w:val="0"/>
      <w:marBottom w:val="0"/>
      <w:divBdr>
        <w:top w:val="none" w:sz="0" w:space="0" w:color="auto"/>
        <w:left w:val="none" w:sz="0" w:space="0" w:color="auto"/>
        <w:bottom w:val="none" w:sz="0" w:space="0" w:color="auto"/>
        <w:right w:val="none" w:sz="0" w:space="0" w:color="auto"/>
      </w:divBdr>
    </w:div>
    <w:div w:id="922757483">
      <w:bodyDiv w:val="1"/>
      <w:marLeft w:val="0"/>
      <w:marRight w:val="0"/>
      <w:marTop w:val="0"/>
      <w:marBottom w:val="0"/>
      <w:divBdr>
        <w:top w:val="none" w:sz="0" w:space="0" w:color="auto"/>
        <w:left w:val="none" w:sz="0" w:space="0" w:color="auto"/>
        <w:bottom w:val="none" w:sz="0" w:space="0" w:color="auto"/>
        <w:right w:val="none" w:sz="0" w:space="0" w:color="auto"/>
      </w:divBdr>
    </w:div>
    <w:div w:id="926041129">
      <w:bodyDiv w:val="1"/>
      <w:marLeft w:val="0"/>
      <w:marRight w:val="0"/>
      <w:marTop w:val="0"/>
      <w:marBottom w:val="0"/>
      <w:divBdr>
        <w:top w:val="none" w:sz="0" w:space="0" w:color="auto"/>
        <w:left w:val="none" w:sz="0" w:space="0" w:color="auto"/>
        <w:bottom w:val="none" w:sz="0" w:space="0" w:color="auto"/>
        <w:right w:val="none" w:sz="0" w:space="0" w:color="auto"/>
      </w:divBdr>
    </w:div>
    <w:div w:id="929387871">
      <w:bodyDiv w:val="1"/>
      <w:marLeft w:val="0"/>
      <w:marRight w:val="0"/>
      <w:marTop w:val="0"/>
      <w:marBottom w:val="0"/>
      <w:divBdr>
        <w:top w:val="none" w:sz="0" w:space="0" w:color="auto"/>
        <w:left w:val="none" w:sz="0" w:space="0" w:color="auto"/>
        <w:bottom w:val="none" w:sz="0" w:space="0" w:color="auto"/>
        <w:right w:val="none" w:sz="0" w:space="0" w:color="auto"/>
      </w:divBdr>
    </w:div>
    <w:div w:id="934243576">
      <w:bodyDiv w:val="1"/>
      <w:marLeft w:val="0"/>
      <w:marRight w:val="0"/>
      <w:marTop w:val="0"/>
      <w:marBottom w:val="0"/>
      <w:divBdr>
        <w:top w:val="none" w:sz="0" w:space="0" w:color="auto"/>
        <w:left w:val="none" w:sz="0" w:space="0" w:color="auto"/>
        <w:bottom w:val="none" w:sz="0" w:space="0" w:color="auto"/>
        <w:right w:val="none" w:sz="0" w:space="0" w:color="auto"/>
      </w:divBdr>
    </w:div>
    <w:div w:id="943078228">
      <w:bodyDiv w:val="1"/>
      <w:marLeft w:val="0"/>
      <w:marRight w:val="0"/>
      <w:marTop w:val="0"/>
      <w:marBottom w:val="0"/>
      <w:divBdr>
        <w:top w:val="none" w:sz="0" w:space="0" w:color="auto"/>
        <w:left w:val="none" w:sz="0" w:space="0" w:color="auto"/>
        <w:bottom w:val="none" w:sz="0" w:space="0" w:color="auto"/>
        <w:right w:val="none" w:sz="0" w:space="0" w:color="auto"/>
      </w:divBdr>
    </w:div>
    <w:div w:id="944311799">
      <w:bodyDiv w:val="1"/>
      <w:marLeft w:val="0"/>
      <w:marRight w:val="0"/>
      <w:marTop w:val="0"/>
      <w:marBottom w:val="0"/>
      <w:divBdr>
        <w:top w:val="none" w:sz="0" w:space="0" w:color="auto"/>
        <w:left w:val="none" w:sz="0" w:space="0" w:color="auto"/>
        <w:bottom w:val="none" w:sz="0" w:space="0" w:color="auto"/>
        <w:right w:val="none" w:sz="0" w:space="0" w:color="auto"/>
      </w:divBdr>
    </w:div>
    <w:div w:id="951862041">
      <w:bodyDiv w:val="1"/>
      <w:marLeft w:val="0"/>
      <w:marRight w:val="0"/>
      <w:marTop w:val="0"/>
      <w:marBottom w:val="0"/>
      <w:divBdr>
        <w:top w:val="none" w:sz="0" w:space="0" w:color="auto"/>
        <w:left w:val="none" w:sz="0" w:space="0" w:color="auto"/>
        <w:bottom w:val="none" w:sz="0" w:space="0" w:color="auto"/>
        <w:right w:val="none" w:sz="0" w:space="0" w:color="auto"/>
      </w:divBdr>
    </w:div>
    <w:div w:id="953026765">
      <w:bodyDiv w:val="1"/>
      <w:marLeft w:val="0"/>
      <w:marRight w:val="0"/>
      <w:marTop w:val="0"/>
      <w:marBottom w:val="0"/>
      <w:divBdr>
        <w:top w:val="none" w:sz="0" w:space="0" w:color="auto"/>
        <w:left w:val="none" w:sz="0" w:space="0" w:color="auto"/>
        <w:bottom w:val="none" w:sz="0" w:space="0" w:color="auto"/>
        <w:right w:val="none" w:sz="0" w:space="0" w:color="auto"/>
      </w:divBdr>
    </w:div>
    <w:div w:id="955403582">
      <w:bodyDiv w:val="1"/>
      <w:marLeft w:val="0"/>
      <w:marRight w:val="0"/>
      <w:marTop w:val="0"/>
      <w:marBottom w:val="0"/>
      <w:divBdr>
        <w:top w:val="none" w:sz="0" w:space="0" w:color="auto"/>
        <w:left w:val="none" w:sz="0" w:space="0" w:color="auto"/>
        <w:bottom w:val="none" w:sz="0" w:space="0" w:color="auto"/>
        <w:right w:val="none" w:sz="0" w:space="0" w:color="auto"/>
      </w:divBdr>
    </w:div>
    <w:div w:id="959841472">
      <w:bodyDiv w:val="1"/>
      <w:marLeft w:val="0"/>
      <w:marRight w:val="0"/>
      <w:marTop w:val="0"/>
      <w:marBottom w:val="0"/>
      <w:divBdr>
        <w:top w:val="none" w:sz="0" w:space="0" w:color="auto"/>
        <w:left w:val="none" w:sz="0" w:space="0" w:color="auto"/>
        <w:bottom w:val="none" w:sz="0" w:space="0" w:color="auto"/>
        <w:right w:val="none" w:sz="0" w:space="0" w:color="auto"/>
      </w:divBdr>
    </w:div>
    <w:div w:id="963316379">
      <w:bodyDiv w:val="1"/>
      <w:marLeft w:val="0"/>
      <w:marRight w:val="0"/>
      <w:marTop w:val="0"/>
      <w:marBottom w:val="0"/>
      <w:divBdr>
        <w:top w:val="none" w:sz="0" w:space="0" w:color="auto"/>
        <w:left w:val="none" w:sz="0" w:space="0" w:color="auto"/>
        <w:bottom w:val="none" w:sz="0" w:space="0" w:color="auto"/>
        <w:right w:val="none" w:sz="0" w:space="0" w:color="auto"/>
      </w:divBdr>
    </w:div>
    <w:div w:id="965889868">
      <w:bodyDiv w:val="1"/>
      <w:marLeft w:val="0"/>
      <w:marRight w:val="0"/>
      <w:marTop w:val="0"/>
      <w:marBottom w:val="0"/>
      <w:divBdr>
        <w:top w:val="none" w:sz="0" w:space="0" w:color="auto"/>
        <w:left w:val="none" w:sz="0" w:space="0" w:color="auto"/>
        <w:bottom w:val="none" w:sz="0" w:space="0" w:color="auto"/>
        <w:right w:val="none" w:sz="0" w:space="0" w:color="auto"/>
      </w:divBdr>
    </w:div>
    <w:div w:id="966155804">
      <w:bodyDiv w:val="1"/>
      <w:marLeft w:val="0"/>
      <w:marRight w:val="0"/>
      <w:marTop w:val="0"/>
      <w:marBottom w:val="0"/>
      <w:divBdr>
        <w:top w:val="none" w:sz="0" w:space="0" w:color="auto"/>
        <w:left w:val="none" w:sz="0" w:space="0" w:color="auto"/>
        <w:bottom w:val="none" w:sz="0" w:space="0" w:color="auto"/>
        <w:right w:val="none" w:sz="0" w:space="0" w:color="auto"/>
      </w:divBdr>
    </w:div>
    <w:div w:id="968516445">
      <w:bodyDiv w:val="1"/>
      <w:marLeft w:val="0"/>
      <w:marRight w:val="0"/>
      <w:marTop w:val="0"/>
      <w:marBottom w:val="0"/>
      <w:divBdr>
        <w:top w:val="none" w:sz="0" w:space="0" w:color="auto"/>
        <w:left w:val="none" w:sz="0" w:space="0" w:color="auto"/>
        <w:bottom w:val="none" w:sz="0" w:space="0" w:color="auto"/>
        <w:right w:val="none" w:sz="0" w:space="0" w:color="auto"/>
      </w:divBdr>
    </w:div>
    <w:div w:id="974721913">
      <w:bodyDiv w:val="1"/>
      <w:marLeft w:val="0"/>
      <w:marRight w:val="0"/>
      <w:marTop w:val="0"/>
      <w:marBottom w:val="0"/>
      <w:divBdr>
        <w:top w:val="none" w:sz="0" w:space="0" w:color="auto"/>
        <w:left w:val="none" w:sz="0" w:space="0" w:color="auto"/>
        <w:bottom w:val="none" w:sz="0" w:space="0" w:color="auto"/>
        <w:right w:val="none" w:sz="0" w:space="0" w:color="auto"/>
      </w:divBdr>
    </w:div>
    <w:div w:id="975331024">
      <w:bodyDiv w:val="1"/>
      <w:marLeft w:val="0"/>
      <w:marRight w:val="0"/>
      <w:marTop w:val="0"/>
      <w:marBottom w:val="0"/>
      <w:divBdr>
        <w:top w:val="none" w:sz="0" w:space="0" w:color="auto"/>
        <w:left w:val="none" w:sz="0" w:space="0" w:color="auto"/>
        <w:bottom w:val="none" w:sz="0" w:space="0" w:color="auto"/>
        <w:right w:val="none" w:sz="0" w:space="0" w:color="auto"/>
      </w:divBdr>
    </w:div>
    <w:div w:id="978387946">
      <w:bodyDiv w:val="1"/>
      <w:marLeft w:val="0"/>
      <w:marRight w:val="0"/>
      <w:marTop w:val="0"/>
      <w:marBottom w:val="0"/>
      <w:divBdr>
        <w:top w:val="none" w:sz="0" w:space="0" w:color="auto"/>
        <w:left w:val="none" w:sz="0" w:space="0" w:color="auto"/>
        <w:bottom w:val="none" w:sz="0" w:space="0" w:color="auto"/>
        <w:right w:val="none" w:sz="0" w:space="0" w:color="auto"/>
      </w:divBdr>
    </w:div>
    <w:div w:id="979117008">
      <w:bodyDiv w:val="1"/>
      <w:marLeft w:val="0"/>
      <w:marRight w:val="0"/>
      <w:marTop w:val="0"/>
      <w:marBottom w:val="0"/>
      <w:divBdr>
        <w:top w:val="none" w:sz="0" w:space="0" w:color="auto"/>
        <w:left w:val="none" w:sz="0" w:space="0" w:color="auto"/>
        <w:bottom w:val="none" w:sz="0" w:space="0" w:color="auto"/>
        <w:right w:val="none" w:sz="0" w:space="0" w:color="auto"/>
      </w:divBdr>
    </w:div>
    <w:div w:id="980887508">
      <w:bodyDiv w:val="1"/>
      <w:marLeft w:val="0"/>
      <w:marRight w:val="0"/>
      <w:marTop w:val="0"/>
      <w:marBottom w:val="0"/>
      <w:divBdr>
        <w:top w:val="none" w:sz="0" w:space="0" w:color="auto"/>
        <w:left w:val="none" w:sz="0" w:space="0" w:color="auto"/>
        <w:bottom w:val="none" w:sz="0" w:space="0" w:color="auto"/>
        <w:right w:val="none" w:sz="0" w:space="0" w:color="auto"/>
      </w:divBdr>
    </w:div>
    <w:div w:id="982542393">
      <w:bodyDiv w:val="1"/>
      <w:marLeft w:val="0"/>
      <w:marRight w:val="0"/>
      <w:marTop w:val="0"/>
      <w:marBottom w:val="0"/>
      <w:divBdr>
        <w:top w:val="none" w:sz="0" w:space="0" w:color="auto"/>
        <w:left w:val="none" w:sz="0" w:space="0" w:color="auto"/>
        <w:bottom w:val="none" w:sz="0" w:space="0" w:color="auto"/>
        <w:right w:val="none" w:sz="0" w:space="0" w:color="auto"/>
      </w:divBdr>
    </w:div>
    <w:div w:id="983849895">
      <w:bodyDiv w:val="1"/>
      <w:marLeft w:val="0"/>
      <w:marRight w:val="0"/>
      <w:marTop w:val="0"/>
      <w:marBottom w:val="0"/>
      <w:divBdr>
        <w:top w:val="none" w:sz="0" w:space="0" w:color="auto"/>
        <w:left w:val="none" w:sz="0" w:space="0" w:color="auto"/>
        <w:bottom w:val="none" w:sz="0" w:space="0" w:color="auto"/>
        <w:right w:val="none" w:sz="0" w:space="0" w:color="auto"/>
      </w:divBdr>
    </w:div>
    <w:div w:id="1002470513">
      <w:bodyDiv w:val="1"/>
      <w:marLeft w:val="0"/>
      <w:marRight w:val="0"/>
      <w:marTop w:val="0"/>
      <w:marBottom w:val="0"/>
      <w:divBdr>
        <w:top w:val="none" w:sz="0" w:space="0" w:color="auto"/>
        <w:left w:val="none" w:sz="0" w:space="0" w:color="auto"/>
        <w:bottom w:val="none" w:sz="0" w:space="0" w:color="auto"/>
        <w:right w:val="none" w:sz="0" w:space="0" w:color="auto"/>
      </w:divBdr>
    </w:div>
    <w:div w:id="1006055338">
      <w:bodyDiv w:val="1"/>
      <w:marLeft w:val="0"/>
      <w:marRight w:val="0"/>
      <w:marTop w:val="0"/>
      <w:marBottom w:val="0"/>
      <w:divBdr>
        <w:top w:val="none" w:sz="0" w:space="0" w:color="auto"/>
        <w:left w:val="none" w:sz="0" w:space="0" w:color="auto"/>
        <w:bottom w:val="none" w:sz="0" w:space="0" w:color="auto"/>
        <w:right w:val="none" w:sz="0" w:space="0" w:color="auto"/>
      </w:divBdr>
    </w:div>
    <w:div w:id="1006131326">
      <w:bodyDiv w:val="1"/>
      <w:marLeft w:val="0"/>
      <w:marRight w:val="0"/>
      <w:marTop w:val="0"/>
      <w:marBottom w:val="0"/>
      <w:divBdr>
        <w:top w:val="none" w:sz="0" w:space="0" w:color="auto"/>
        <w:left w:val="none" w:sz="0" w:space="0" w:color="auto"/>
        <w:bottom w:val="none" w:sz="0" w:space="0" w:color="auto"/>
        <w:right w:val="none" w:sz="0" w:space="0" w:color="auto"/>
      </w:divBdr>
    </w:div>
    <w:div w:id="1014070374">
      <w:bodyDiv w:val="1"/>
      <w:marLeft w:val="0"/>
      <w:marRight w:val="0"/>
      <w:marTop w:val="0"/>
      <w:marBottom w:val="0"/>
      <w:divBdr>
        <w:top w:val="none" w:sz="0" w:space="0" w:color="auto"/>
        <w:left w:val="none" w:sz="0" w:space="0" w:color="auto"/>
        <w:bottom w:val="none" w:sz="0" w:space="0" w:color="auto"/>
        <w:right w:val="none" w:sz="0" w:space="0" w:color="auto"/>
      </w:divBdr>
    </w:div>
    <w:div w:id="1017003940">
      <w:bodyDiv w:val="1"/>
      <w:marLeft w:val="0"/>
      <w:marRight w:val="0"/>
      <w:marTop w:val="0"/>
      <w:marBottom w:val="0"/>
      <w:divBdr>
        <w:top w:val="none" w:sz="0" w:space="0" w:color="auto"/>
        <w:left w:val="none" w:sz="0" w:space="0" w:color="auto"/>
        <w:bottom w:val="none" w:sz="0" w:space="0" w:color="auto"/>
        <w:right w:val="none" w:sz="0" w:space="0" w:color="auto"/>
      </w:divBdr>
    </w:div>
    <w:div w:id="1018196159">
      <w:bodyDiv w:val="1"/>
      <w:marLeft w:val="0"/>
      <w:marRight w:val="0"/>
      <w:marTop w:val="0"/>
      <w:marBottom w:val="0"/>
      <w:divBdr>
        <w:top w:val="none" w:sz="0" w:space="0" w:color="auto"/>
        <w:left w:val="none" w:sz="0" w:space="0" w:color="auto"/>
        <w:bottom w:val="none" w:sz="0" w:space="0" w:color="auto"/>
        <w:right w:val="none" w:sz="0" w:space="0" w:color="auto"/>
      </w:divBdr>
    </w:div>
    <w:div w:id="1018311340">
      <w:bodyDiv w:val="1"/>
      <w:marLeft w:val="0"/>
      <w:marRight w:val="0"/>
      <w:marTop w:val="0"/>
      <w:marBottom w:val="0"/>
      <w:divBdr>
        <w:top w:val="none" w:sz="0" w:space="0" w:color="auto"/>
        <w:left w:val="none" w:sz="0" w:space="0" w:color="auto"/>
        <w:bottom w:val="none" w:sz="0" w:space="0" w:color="auto"/>
        <w:right w:val="none" w:sz="0" w:space="0" w:color="auto"/>
      </w:divBdr>
    </w:div>
    <w:div w:id="1019237062">
      <w:bodyDiv w:val="1"/>
      <w:marLeft w:val="0"/>
      <w:marRight w:val="0"/>
      <w:marTop w:val="0"/>
      <w:marBottom w:val="0"/>
      <w:divBdr>
        <w:top w:val="none" w:sz="0" w:space="0" w:color="auto"/>
        <w:left w:val="none" w:sz="0" w:space="0" w:color="auto"/>
        <w:bottom w:val="none" w:sz="0" w:space="0" w:color="auto"/>
        <w:right w:val="none" w:sz="0" w:space="0" w:color="auto"/>
      </w:divBdr>
    </w:div>
    <w:div w:id="1021317365">
      <w:bodyDiv w:val="1"/>
      <w:marLeft w:val="0"/>
      <w:marRight w:val="0"/>
      <w:marTop w:val="0"/>
      <w:marBottom w:val="0"/>
      <w:divBdr>
        <w:top w:val="none" w:sz="0" w:space="0" w:color="auto"/>
        <w:left w:val="none" w:sz="0" w:space="0" w:color="auto"/>
        <w:bottom w:val="none" w:sz="0" w:space="0" w:color="auto"/>
        <w:right w:val="none" w:sz="0" w:space="0" w:color="auto"/>
      </w:divBdr>
    </w:div>
    <w:div w:id="1029718617">
      <w:bodyDiv w:val="1"/>
      <w:marLeft w:val="0"/>
      <w:marRight w:val="0"/>
      <w:marTop w:val="0"/>
      <w:marBottom w:val="0"/>
      <w:divBdr>
        <w:top w:val="none" w:sz="0" w:space="0" w:color="auto"/>
        <w:left w:val="none" w:sz="0" w:space="0" w:color="auto"/>
        <w:bottom w:val="none" w:sz="0" w:space="0" w:color="auto"/>
        <w:right w:val="none" w:sz="0" w:space="0" w:color="auto"/>
      </w:divBdr>
    </w:div>
    <w:div w:id="1031145563">
      <w:bodyDiv w:val="1"/>
      <w:marLeft w:val="0"/>
      <w:marRight w:val="0"/>
      <w:marTop w:val="0"/>
      <w:marBottom w:val="0"/>
      <w:divBdr>
        <w:top w:val="none" w:sz="0" w:space="0" w:color="auto"/>
        <w:left w:val="none" w:sz="0" w:space="0" w:color="auto"/>
        <w:bottom w:val="none" w:sz="0" w:space="0" w:color="auto"/>
        <w:right w:val="none" w:sz="0" w:space="0" w:color="auto"/>
      </w:divBdr>
    </w:div>
    <w:div w:id="1032878178">
      <w:bodyDiv w:val="1"/>
      <w:marLeft w:val="0"/>
      <w:marRight w:val="0"/>
      <w:marTop w:val="0"/>
      <w:marBottom w:val="0"/>
      <w:divBdr>
        <w:top w:val="none" w:sz="0" w:space="0" w:color="auto"/>
        <w:left w:val="none" w:sz="0" w:space="0" w:color="auto"/>
        <w:bottom w:val="none" w:sz="0" w:space="0" w:color="auto"/>
        <w:right w:val="none" w:sz="0" w:space="0" w:color="auto"/>
      </w:divBdr>
    </w:div>
    <w:div w:id="1038357951">
      <w:bodyDiv w:val="1"/>
      <w:marLeft w:val="0"/>
      <w:marRight w:val="0"/>
      <w:marTop w:val="0"/>
      <w:marBottom w:val="0"/>
      <w:divBdr>
        <w:top w:val="none" w:sz="0" w:space="0" w:color="auto"/>
        <w:left w:val="none" w:sz="0" w:space="0" w:color="auto"/>
        <w:bottom w:val="none" w:sz="0" w:space="0" w:color="auto"/>
        <w:right w:val="none" w:sz="0" w:space="0" w:color="auto"/>
      </w:divBdr>
    </w:div>
    <w:div w:id="1043138962">
      <w:bodyDiv w:val="1"/>
      <w:marLeft w:val="0"/>
      <w:marRight w:val="0"/>
      <w:marTop w:val="0"/>
      <w:marBottom w:val="0"/>
      <w:divBdr>
        <w:top w:val="none" w:sz="0" w:space="0" w:color="auto"/>
        <w:left w:val="none" w:sz="0" w:space="0" w:color="auto"/>
        <w:bottom w:val="none" w:sz="0" w:space="0" w:color="auto"/>
        <w:right w:val="none" w:sz="0" w:space="0" w:color="auto"/>
      </w:divBdr>
    </w:div>
    <w:div w:id="1048576176">
      <w:bodyDiv w:val="1"/>
      <w:marLeft w:val="0"/>
      <w:marRight w:val="0"/>
      <w:marTop w:val="0"/>
      <w:marBottom w:val="0"/>
      <w:divBdr>
        <w:top w:val="none" w:sz="0" w:space="0" w:color="auto"/>
        <w:left w:val="none" w:sz="0" w:space="0" w:color="auto"/>
        <w:bottom w:val="none" w:sz="0" w:space="0" w:color="auto"/>
        <w:right w:val="none" w:sz="0" w:space="0" w:color="auto"/>
      </w:divBdr>
    </w:div>
    <w:div w:id="1055860794">
      <w:bodyDiv w:val="1"/>
      <w:marLeft w:val="0"/>
      <w:marRight w:val="0"/>
      <w:marTop w:val="0"/>
      <w:marBottom w:val="0"/>
      <w:divBdr>
        <w:top w:val="none" w:sz="0" w:space="0" w:color="auto"/>
        <w:left w:val="none" w:sz="0" w:space="0" w:color="auto"/>
        <w:bottom w:val="none" w:sz="0" w:space="0" w:color="auto"/>
        <w:right w:val="none" w:sz="0" w:space="0" w:color="auto"/>
      </w:divBdr>
    </w:div>
    <w:div w:id="1070276633">
      <w:bodyDiv w:val="1"/>
      <w:marLeft w:val="0"/>
      <w:marRight w:val="0"/>
      <w:marTop w:val="0"/>
      <w:marBottom w:val="0"/>
      <w:divBdr>
        <w:top w:val="none" w:sz="0" w:space="0" w:color="auto"/>
        <w:left w:val="none" w:sz="0" w:space="0" w:color="auto"/>
        <w:bottom w:val="none" w:sz="0" w:space="0" w:color="auto"/>
        <w:right w:val="none" w:sz="0" w:space="0" w:color="auto"/>
      </w:divBdr>
    </w:div>
    <w:div w:id="1076786090">
      <w:bodyDiv w:val="1"/>
      <w:marLeft w:val="0"/>
      <w:marRight w:val="0"/>
      <w:marTop w:val="0"/>
      <w:marBottom w:val="0"/>
      <w:divBdr>
        <w:top w:val="none" w:sz="0" w:space="0" w:color="auto"/>
        <w:left w:val="none" w:sz="0" w:space="0" w:color="auto"/>
        <w:bottom w:val="none" w:sz="0" w:space="0" w:color="auto"/>
        <w:right w:val="none" w:sz="0" w:space="0" w:color="auto"/>
      </w:divBdr>
    </w:div>
    <w:div w:id="1083406320">
      <w:bodyDiv w:val="1"/>
      <w:marLeft w:val="0"/>
      <w:marRight w:val="0"/>
      <w:marTop w:val="0"/>
      <w:marBottom w:val="0"/>
      <w:divBdr>
        <w:top w:val="none" w:sz="0" w:space="0" w:color="auto"/>
        <w:left w:val="none" w:sz="0" w:space="0" w:color="auto"/>
        <w:bottom w:val="none" w:sz="0" w:space="0" w:color="auto"/>
        <w:right w:val="none" w:sz="0" w:space="0" w:color="auto"/>
      </w:divBdr>
    </w:div>
    <w:div w:id="1091009479">
      <w:bodyDiv w:val="1"/>
      <w:marLeft w:val="0"/>
      <w:marRight w:val="0"/>
      <w:marTop w:val="0"/>
      <w:marBottom w:val="0"/>
      <w:divBdr>
        <w:top w:val="none" w:sz="0" w:space="0" w:color="auto"/>
        <w:left w:val="none" w:sz="0" w:space="0" w:color="auto"/>
        <w:bottom w:val="none" w:sz="0" w:space="0" w:color="auto"/>
        <w:right w:val="none" w:sz="0" w:space="0" w:color="auto"/>
      </w:divBdr>
    </w:div>
    <w:div w:id="1092896467">
      <w:bodyDiv w:val="1"/>
      <w:marLeft w:val="0"/>
      <w:marRight w:val="0"/>
      <w:marTop w:val="0"/>
      <w:marBottom w:val="0"/>
      <w:divBdr>
        <w:top w:val="none" w:sz="0" w:space="0" w:color="auto"/>
        <w:left w:val="none" w:sz="0" w:space="0" w:color="auto"/>
        <w:bottom w:val="none" w:sz="0" w:space="0" w:color="auto"/>
        <w:right w:val="none" w:sz="0" w:space="0" w:color="auto"/>
      </w:divBdr>
    </w:div>
    <w:div w:id="1096444221">
      <w:bodyDiv w:val="1"/>
      <w:marLeft w:val="0"/>
      <w:marRight w:val="0"/>
      <w:marTop w:val="0"/>
      <w:marBottom w:val="0"/>
      <w:divBdr>
        <w:top w:val="none" w:sz="0" w:space="0" w:color="auto"/>
        <w:left w:val="none" w:sz="0" w:space="0" w:color="auto"/>
        <w:bottom w:val="none" w:sz="0" w:space="0" w:color="auto"/>
        <w:right w:val="none" w:sz="0" w:space="0" w:color="auto"/>
      </w:divBdr>
    </w:div>
    <w:div w:id="1099446719">
      <w:bodyDiv w:val="1"/>
      <w:marLeft w:val="0"/>
      <w:marRight w:val="0"/>
      <w:marTop w:val="0"/>
      <w:marBottom w:val="0"/>
      <w:divBdr>
        <w:top w:val="none" w:sz="0" w:space="0" w:color="auto"/>
        <w:left w:val="none" w:sz="0" w:space="0" w:color="auto"/>
        <w:bottom w:val="none" w:sz="0" w:space="0" w:color="auto"/>
        <w:right w:val="none" w:sz="0" w:space="0" w:color="auto"/>
      </w:divBdr>
    </w:div>
    <w:div w:id="1100687176">
      <w:bodyDiv w:val="1"/>
      <w:marLeft w:val="0"/>
      <w:marRight w:val="0"/>
      <w:marTop w:val="0"/>
      <w:marBottom w:val="0"/>
      <w:divBdr>
        <w:top w:val="none" w:sz="0" w:space="0" w:color="auto"/>
        <w:left w:val="none" w:sz="0" w:space="0" w:color="auto"/>
        <w:bottom w:val="none" w:sz="0" w:space="0" w:color="auto"/>
        <w:right w:val="none" w:sz="0" w:space="0" w:color="auto"/>
      </w:divBdr>
    </w:div>
    <w:div w:id="1101220368">
      <w:bodyDiv w:val="1"/>
      <w:marLeft w:val="0"/>
      <w:marRight w:val="0"/>
      <w:marTop w:val="0"/>
      <w:marBottom w:val="0"/>
      <w:divBdr>
        <w:top w:val="none" w:sz="0" w:space="0" w:color="auto"/>
        <w:left w:val="none" w:sz="0" w:space="0" w:color="auto"/>
        <w:bottom w:val="none" w:sz="0" w:space="0" w:color="auto"/>
        <w:right w:val="none" w:sz="0" w:space="0" w:color="auto"/>
      </w:divBdr>
    </w:div>
    <w:div w:id="1105199427">
      <w:bodyDiv w:val="1"/>
      <w:marLeft w:val="0"/>
      <w:marRight w:val="0"/>
      <w:marTop w:val="0"/>
      <w:marBottom w:val="0"/>
      <w:divBdr>
        <w:top w:val="none" w:sz="0" w:space="0" w:color="auto"/>
        <w:left w:val="none" w:sz="0" w:space="0" w:color="auto"/>
        <w:bottom w:val="none" w:sz="0" w:space="0" w:color="auto"/>
        <w:right w:val="none" w:sz="0" w:space="0" w:color="auto"/>
      </w:divBdr>
    </w:div>
    <w:div w:id="1110246585">
      <w:bodyDiv w:val="1"/>
      <w:marLeft w:val="0"/>
      <w:marRight w:val="0"/>
      <w:marTop w:val="0"/>
      <w:marBottom w:val="0"/>
      <w:divBdr>
        <w:top w:val="none" w:sz="0" w:space="0" w:color="auto"/>
        <w:left w:val="none" w:sz="0" w:space="0" w:color="auto"/>
        <w:bottom w:val="none" w:sz="0" w:space="0" w:color="auto"/>
        <w:right w:val="none" w:sz="0" w:space="0" w:color="auto"/>
      </w:divBdr>
    </w:div>
    <w:div w:id="1127238256">
      <w:bodyDiv w:val="1"/>
      <w:marLeft w:val="0"/>
      <w:marRight w:val="0"/>
      <w:marTop w:val="0"/>
      <w:marBottom w:val="0"/>
      <w:divBdr>
        <w:top w:val="none" w:sz="0" w:space="0" w:color="auto"/>
        <w:left w:val="none" w:sz="0" w:space="0" w:color="auto"/>
        <w:bottom w:val="none" w:sz="0" w:space="0" w:color="auto"/>
        <w:right w:val="none" w:sz="0" w:space="0" w:color="auto"/>
      </w:divBdr>
    </w:div>
    <w:div w:id="1128743070">
      <w:bodyDiv w:val="1"/>
      <w:marLeft w:val="0"/>
      <w:marRight w:val="0"/>
      <w:marTop w:val="0"/>
      <w:marBottom w:val="0"/>
      <w:divBdr>
        <w:top w:val="none" w:sz="0" w:space="0" w:color="auto"/>
        <w:left w:val="none" w:sz="0" w:space="0" w:color="auto"/>
        <w:bottom w:val="none" w:sz="0" w:space="0" w:color="auto"/>
        <w:right w:val="none" w:sz="0" w:space="0" w:color="auto"/>
      </w:divBdr>
    </w:div>
    <w:div w:id="1130393478">
      <w:bodyDiv w:val="1"/>
      <w:marLeft w:val="0"/>
      <w:marRight w:val="0"/>
      <w:marTop w:val="0"/>
      <w:marBottom w:val="0"/>
      <w:divBdr>
        <w:top w:val="none" w:sz="0" w:space="0" w:color="auto"/>
        <w:left w:val="none" w:sz="0" w:space="0" w:color="auto"/>
        <w:bottom w:val="none" w:sz="0" w:space="0" w:color="auto"/>
        <w:right w:val="none" w:sz="0" w:space="0" w:color="auto"/>
      </w:divBdr>
    </w:div>
    <w:div w:id="1133868556">
      <w:bodyDiv w:val="1"/>
      <w:marLeft w:val="0"/>
      <w:marRight w:val="0"/>
      <w:marTop w:val="0"/>
      <w:marBottom w:val="0"/>
      <w:divBdr>
        <w:top w:val="none" w:sz="0" w:space="0" w:color="auto"/>
        <w:left w:val="none" w:sz="0" w:space="0" w:color="auto"/>
        <w:bottom w:val="none" w:sz="0" w:space="0" w:color="auto"/>
        <w:right w:val="none" w:sz="0" w:space="0" w:color="auto"/>
      </w:divBdr>
    </w:div>
    <w:div w:id="1135177456">
      <w:bodyDiv w:val="1"/>
      <w:marLeft w:val="0"/>
      <w:marRight w:val="0"/>
      <w:marTop w:val="0"/>
      <w:marBottom w:val="0"/>
      <w:divBdr>
        <w:top w:val="none" w:sz="0" w:space="0" w:color="auto"/>
        <w:left w:val="none" w:sz="0" w:space="0" w:color="auto"/>
        <w:bottom w:val="none" w:sz="0" w:space="0" w:color="auto"/>
        <w:right w:val="none" w:sz="0" w:space="0" w:color="auto"/>
      </w:divBdr>
    </w:div>
    <w:div w:id="1135366628">
      <w:bodyDiv w:val="1"/>
      <w:marLeft w:val="0"/>
      <w:marRight w:val="0"/>
      <w:marTop w:val="0"/>
      <w:marBottom w:val="0"/>
      <w:divBdr>
        <w:top w:val="none" w:sz="0" w:space="0" w:color="auto"/>
        <w:left w:val="none" w:sz="0" w:space="0" w:color="auto"/>
        <w:bottom w:val="none" w:sz="0" w:space="0" w:color="auto"/>
        <w:right w:val="none" w:sz="0" w:space="0" w:color="auto"/>
      </w:divBdr>
    </w:div>
    <w:div w:id="1140460159">
      <w:bodyDiv w:val="1"/>
      <w:marLeft w:val="0"/>
      <w:marRight w:val="0"/>
      <w:marTop w:val="0"/>
      <w:marBottom w:val="0"/>
      <w:divBdr>
        <w:top w:val="none" w:sz="0" w:space="0" w:color="auto"/>
        <w:left w:val="none" w:sz="0" w:space="0" w:color="auto"/>
        <w:bottom w:val="none" w:sz="0" w:space="0" w:color="auto"/>
        <w:right w:val="none" w:sz="0" w:space="0" w:color="auto"/>
      </w:divBdr>
    </w:div>
    <w:div w:id="1140612093">
      <w:bodyDiv w:val="1"/>
      <w:marLeft w:val="0"/>
      <w:marRight w:val="0"/>
      <w:marTop w:val="0"/>
      <w:marBottom w:val="0"/>
      <w:divBdr>
        <w:top w:val="none" w:sz="0" w:space="0" w:color="auto"/>
        <w:left w:val="none" w:sz="0" w:space="0" w:color="auto"/>
        <w:bottom w:val="none" w:sz="0" w:space="0" w:color="auto"/>
        <w:right w:val="none" w:sz="0" w:space="0" w:color="auto"/>
      </w:divBdr>
    </w:div>
    <w:div w:id="1143959846">
      <w:bodyDiv w:val="1"/>
      <w:marLeft w:val="0"/>
      <w:marRight w:val="0"/>
      <w:marTop w:val="0"/>
      <w:marBottom w:val="0"/>
      <w:divBdr>
        <w:top w:val="none" w:sz="0" w:space="0" w:color="auto"/>
        <w:left w:val="none" w:sz="0" w:space="0" w:color="auto"/>
        <w:bottom w:val="none" w:sz="0" w:space="0" w:color="auto"/>
        <w:right w:val="none" w:sz="0" w:space="0" w:color="auto"/>
      </w:divBdr>
    </w:div>
    <w:div w:id="1149055880">
      <w:bodyDiv w:val="1"/>
      <w:marLeft w:val="0"/>
      <w:marRight w:val="0"/>
      <w:marTop w:val="0"/>
      <w:marBottom w:val="0"/>
      <w:divBdr>
        <w:top w:val="none" w:sz="0" w:space="0" w:color="auto"/>
        <w:left w:val="none" w:sz="0" w:space="0" w:color="auto"/>
        <w:bottom w:val="none" w:sz="0" w:space="0" w:color="auto"/>
        <w:right w:val="none" w:sz="0" w:space="0" w:color="auto"/>
      </w:divBdr>
    </w:div>
    <w:div w:id="1150512286">
      <w:bodyDiv w:val="1"/>
      <w:marLeft w:val="0"/>
      <w:marRight w:val="0"/>
      <w:marTop w:val="0"/>
      <w:marBottom w:val="0"/>
      <w:divBdr>
        <w:top w:val="none" w:sz="0" w:space="0" w:color="auto"/>
        <w:left w:val="none" w:sz="0" w:space="0" w:color="auto"/>
        <w:bottom w:val="none" w:sz="0" w:space="0" w:color="auto"/>
        <w:right w:val="none" w:sz="0" w:space="0" w:color="auto"/>
      </w:divBdr>
    </w:div>
    <w:div w:id="1155684878">
      <w:bodyDiv w:val="1"/>
      <w:marLeft w:val="0"/>
      <w:marRight w:val="0"/>
      <w:marTop w:val="0"/>
      <w:marBottom w:val="0"/>
      <w:divBdr>
        <w:top w:val="none" w:sz="0" w:space="0" w:color="auto"/>
        <w:left w:val="none" w:sz="0" w:space="0" w:color="auto"/>
        <w:bottom w:val="none" w:sz="0" w:space="0" w:color="auto"/>
        <w:right w:val="none" w:sz="0" w:space="0" w:color="auto"/>
      </w:divBdr>
    </w:div>
    <w:div w:id="1158378700">
      <w:bodyDiv w:val="1"/>
      <w:marLeft w:val="0"/>
      <w:marRight w:val="0"/>
      <w:marTop w:val="0"/>
      <w:marBottom w:val="0"/>
      <w:divBdr>
        <w:top w:val="none" w:sz="0" w:space="0" w:color="auto"/>
        <w:left w:val="none" w:sz="0" w:space="0" w:color="auto"/>
        <w:bottom w:val="none" w:sz="0" w:space="0" w:color="auto"/>
        <w:right w:val="none" w:sz="0" w:space="0" w:color="auto"/>
      </w:divBdr>
    </w:div>
    <w:div w:id="1160971250">
      <w:bodyDiv w:val="1"/>
      <w:marLeft w:val="0"/>
      <w:marRight w:val="0"/>
      <w:marTop w:val="0"/>
      <w:marBottom w:val="0"/>
      <w:divBdr>
        <w:top w:val="none" w:sz="0" w:space="0" w:color="auto"/>
        <w:left w:val="none" w:sz="0" w:space="0" w:color="auto"/>
        <w:bottom w:val="none" w:sz="0" w:space="0" w:color="auto"/>
        <w:right w:val="none" w:sz="0" w:space="0" w:color="auto"/>
      </w:divBdr>
    </w:div>
    <w:div w:id="1162235653">
      <w:bodyDiv w:val="1"/>
      <w:marLeft w:val="0"/>
      <w:marRight w:val="0"/>
      <w:marTop w:val="0"/>
      <w:marBottom w:val="0"/>
      <w:divBdr>
        <w:top w:val="none" w:sz="0" w:space="0" w:color="auto"/>
        <w:left w:val="none" w:sz="0" w:space="0" w:color="auto"/>
        <w:bottom w:val="none" w:sz="0" w:space="0" w:color="auto"/>
        <w:right w:val="none" w:sz="0" w:space="0" w:color="auto"/>
      </w:divBdr>
    </w:div>
    <w:div w:id="1163202094">
      <w:bodyDiv w:val="1"/>
      <w:marLeft w:val="0"/>
      <w:marRight w:val="0"/>
      <w:marTop w:val="0"/>
      <w:marBottom w:val="0"/>
      <w:divBdr>
        <w:top w:val="none" w:sz="0" w:space="0" w:color="auto"/>
        <w:left w:val="none" w:sz="0" w:space="0" w:color="auto"/>
        <w:bottom w:val="none" w:sz="0" w:space="0" w:color="auto"/>
        <w:right w:val="none" w:sz="0" w:space="0" w:color="auto"/>
      </w:divBdr>
    </w:div>
    <w:div w:id="1165509456">
      <w:bodyDiv w:val="1"/>
      <w:marLeft w:val="0"/>
      <w:marRight w:val="0"/>
      <w:marTop w:val="0"/>
      <w:marBottom w:val="0"/>
      <w:divBdr>
        <w:top w:val="none" w:sz="0" w:space="0" w:color="auto"/>
        <w:left w:val="none" w:sz="0" w:space="0" w:color="auto"/>
        <w:bottom w:val="none" w:sz="0" w:space="0" w:color="auto"/>
        <w:right w:val="none" w:sz="0" w:space="0" w:color="auto"/>
      </w:divBdr>
    </w:div>
    <w:div w:id="1167482299">
      <w:bodyDiv w:val="1"/>
      <w:marLeft w:val="0"/>
      <w:marRight w:val="0"/>
      <w:marTop w:val="0"/>
      <w:marBottom w:val="0"/>
      <w:divBdr>
        <w:top w:val="none" w:sz="0" w:space="0" w:color="auto"/>
        <w:left w:val="none" w:sz="0" w:space="0" w:color="auto"/>
        <w:bottom w:val="none" w:sz="0" w:space="0" w:color="auto"/>
        <w:right w:val="none" w:sz="0" w:space="0" w:color="auto"/>
      </w:divBdr>
    </w:div>
    <w:div w:id="1168517894">
      <w:bodyDiv w:val="1"/>
      <w:marLeft w:val="0"/>
      <w:marRight w:val="0"/>
      <w:marTop w:val="0"/>
      <w:marBottom w:val="0"/>
      <w:divBdr>
        <w:top w:val="none" w:sz="0" w:space="0" w:color="auto"/>
        <w:left w:val="none" w:sz="0" w:space="0" w:color="auto"/>
        <w:bottom w:val="none" w:sz="0" w:space="0" w:color="auto"/>
        <w:right w:val="none" w:sz="0" w:space="0" w:color="auto"/>
      </w:divBdr>
    </w:div>
    <w:div w:id="1170411254">
      <w:bodyDiv w:val="1"/>
      <w:marLeft w:val="0"/>
      <w:marRight w:val="0"/>
      <w:marTop w:val="0"/>
      <w:marBottom w:val="0"/>
      <w:divBdr>
        <w:top w:val="none" w:sz="0" w:space="0" w:color="auto"/>
        <w:left w:val="none" w:sz="0" w:space="0" w:color="auto"/>
        <w:bottom w:val="none" w:sz="0" w:space="0" w:color="auto"/>
        <w:right w:val="none" w:sz="0" w:space="0" w:color="auto"/>
      </w:divBdr>
    </w:div>
    <w:div w:id="1174145787">
      <w:bodyDiv w:val="1"/>
      <w:marLeft w:val="0"/>
      <w:marRight w:val="0"/>
      <w:marTop w:val="0"/>
      <w:marBottom w:val="0"/>
      <w:divBdr>
        <w:top w:val="none" w:sz="0" w:space="0" w:color="auto"/>
        <w:left w:val="none" w:sz="0" w:space="0" w:color="auto"/>
        <w:bottom w:val="none" w:sz="0" w:space="0" w:color="auto"/>
        <w:right w:val="none" w:sz="0" w:space="0" w:color="auto"/>
      </w:divBdr>
    </w:div>
    <w:div w:id="1178350869">
      <w:bodyDiv w:val="1"/>
      <w:marLeft w:val="0"/>
      <w:marRight w:val="0"/>
      <w:marTop w:val="0"/>
      <w:marBottom w:val="0"/>
      <w:divBdr>
        <w:top w:val="none" w:sz="0" w:space="0" w:color="auto"/>
        <w:left w:val="none" w:sz="0" w:space="0" w:color="auto"/>
        <w:bottom w:val="none" w:sz="0" w:space="0" w:color="auto"/>
        <w:right w:val="none" w:sz="0" w:space="0" w:color="auto"/>
      </w:divBdr>
    </w:div>
    <w:div w:id="1182932907">
      <w:bodyDiv w:val="1"/>
      <w:marLeft w:val="0"/>
      <w:marRight w:val="0"/>
      <w:marTop w:val="0"/>
      <w:marBottom w:val="0"/>
      <w:divBdr>
        <w:top w:val="none" w:sz="0" w:space="0" w:color="auto"/>
        <w:left w:val="none" w:sz="0" w:space="0" w:color="auto"/>
        <w:bottom w:val="none" w:sz="0" w:space="0" w:color="auto"/>
        <w:right w:val="none" w:sz="0" w:space="0" w:color="auto"/>
      </w:divBdr>
    </w:div>
    <w:div w:id="1183588817">
      <w:bodyDiv w:val="1"/>
      <w:marLeft w:val="0"/>
      <w:marRight w:val="0"/>
      <w:marTop w:val="0"/>
      <w:marBottom w:val="0"/>
      <w:divBdr>
        <w:top w:val="none" w:sz="0" w:space="0" w:color="auto"/>
        <w:left w:val="none" w:sz="0" w:space="0" w:color="auto"/>
        <w:bottom w:val="none" w:sz="0" w:space="0" w:color="auto"/>
        <w:right w:val="none" w:sz="0" w:space="0" w:color="auto"/>
      </w:divBdr>
    </w:div>
    <w:div w:id="1188713526">
      <w:bodyDiv w:val="1"/>
      <w:marLeft w:val="0"/>
      <w:marRight w:val="0"/>
      <w:marTop w:val="0"/>
      <w:marBottom w:val="0"/>
      <w:divBdr>
        <w:top w:val="none" w:sz="0" w:space="0" w:color="auto"/>
        <w:left w:val="none" w:sz="0" w:space="0" w:color="auto"/>
        <w:bottom w:val="none" w:sz="0" w:space="0" w:color="auto"/>
        <w:right w:val="none" w:sz="0" w:space="0" w:color="auto"/>
      </w:divBdr>
    </w:div>
    <w:div w:id="1198201167">
      <w:bodyDiv w:val="1"/>
      <w:marLeft w:val="0"/>
      <w:marRight w:val="0"/>
      <w:marTop w:val="0"/>
      <w:marBottom w:val="0"/>
      <w:divBdr>
        <w:top w:val="none" w:sz="0" w:space="0" w:color="auto"/>
        <w:left w:val="none" w:sz="0" w:space="0" w:color="auto"/>
        <w:bottom w:val="none" w:sz="0" w:space="0" w:color="auto"/>
        <w:right w:val="none" w:sz="0" w:space="0" w:color="auto"/>
      </w:divBdr>
    </w:div>
    <w:div w:id="1200361631">
      <w:bodyDiv w:val="1"/>
      <w:marLeft w:val="0"/>
      <w:marRight w:val="0"/>
      <w:marTop w:val="0"/>
      <w:marBottom w:val="0"/>
      <w:divBdr>
        <w:top w:val="none" w:sz="0" w:space="0" w:color="auto"/>
        <w:left w:val="none" w:sz="0" w:space="0" w:color="auto"/>
        <w:bottom w:val="none" w:sz="0" w:space="0" w:color="auto"/>
        <w:right w:val="none" w:sz="0" w:space="0" w:color="auto"/>
      </w:divBdr>
    </w:div>
    <w:div w:id="1200505924">
      <w:bodyDiv w:val="1"/>
      <w:marLeft w:val="0"/>
      <w:marRight w:val="0"/>
      <w:marTop w:val="0"/>
      <w:marBottom w:val="0"/>
      <w:divBdr>
        <w:top w:val="none" w:sz="0" w:space="0" w:color="auto"/>
        <w:left w:val="none" w:sz="0" w:space="0" w:color="auto"/>
        <w:bottom w:val="none" w:sz="0" w:space="0" w:color="auto"/>
        <w:right w:val="none" w:sz="0" w:space="0" w:color="auto"/>
      </w:divBdr>
    </w:div>
    <w:div w:id="1204634738">
      <w:bodyDiv w:val="1"/>
      <w:marLeft w:val="0"/>
      <w:marRight w:val="0"/>
      <w:marTop w:val="0"/>
      <w:marBottom w:val="0"/>
      <w:divBdr>
        <w:top w:val="none" w:sz="0" w:space="0" w:color="auto"/>
        <w:left w:val="none" w:sz="0" w:space="0" w:color="auto"/>
        <w:bottom w:val="none" w:sz="0" w:space="0" w:color="auto"/>
        <w:right w:val="none" w:sz="0" w:space="0" w:color="auto"/>
      </w:divBdr>
    </w:div>
    <w:div w:id="1205673072">
      <w:bodyDiv w:val="1"/>
      <w:marLeft w:val="0"/>
      <w:marRight w:val="0"/>
      <w:marTop w:val="0"/>
      <w:marBottom w:val="0"/>
      <w:divBdr>
        <w:top w:val="none" w:sz="0" w:space="0" w:color="auto"/>
        <w:left w:val="none" w:sz="0" w:space="0" w:color="auto"/>
        <w:bottom w:val="none" w:sz="0" w:space="0" w:color="auto"/>
        <w:right w:val="none" w:sz="0" w:space="0" w:color="auto"/>
      </w:divBdr>
    </w:div>
    <w:div w:id="1207177404">
      <w:bodyDiv w:val="1"/>
      <w:marLeft w:val="0"/>
      <w:marRight w:val="0"/>
      <w:marTop w:val="0"/>
      <w:marBottom w:val="0"/>
      <w:divBdr>
        <w:top w:val="none" w:sz="0" w:space="0" w:color="auto"/>
        <w:left w:val="none" w:sz="0" w:space="0" w:color="auto"/>
        <w:bottom w:val="none" w:sz="0" w:space="0" w:color="auto"/>
        <w:right w:val="none" w:sz="0" w:space="0" w:color="auto"/>
      </w:divBdr>
    </w:div>
    <w:div w:id="1213690784">
      <w:bodyDiv w:val="1"/>
      <w:marLeft w:val="0"/>
      <w:marRight w:val="0"/>
      <w:marTop w:val="0"/>
      <w:marBottom w:val="0"/>
      <w:divBdr>
        <w:top w:val="none" w:sz="0" w:space="0" w:color="auto"/>
        <w:left w:val="none" w:sz="0" w:space="0" w:color="auto"/>
        <w:bottom w:val="none" w:sz="0" w:space="0" w:color="auto"/>
        <w:right w:val="none" w:sz="0" w:space="0" w:color="auto"/>
      </w:divBdr>
    </w:div>
    <w:div w:id="1219391077">
      <w:bodyDiv w:val="1"/>
      <w:marLeft w:val="0"/>
      <w:marRight w:val="0"/>
      <w:marTop w:val="0"/>
      <w:marBottom w:val="0"/>
      <w:divBdr>
        <w:top w:val="none" w:sz="0" w:space="0" w:color="auto"/>
        <w:left w:val="none" w:sz="0" w:space="0" w:color="auto"/>
        <w:bottom w:val="none" w:sz="0" w:space="0" w:color="auto"/>
        <w:right w:val="none" w:sz="0" w:space="0" w:color="auto"/>
      </w:divBdr>
    </w:div>
    <w:div w:id="1219585535">
      <w:bodyDiv w:val="1"/>
      <w:marLeft w:val="0"/>
      <w:marRight w:val="0"/>
      <w:marTop w:val="0"/>
      <w:marBottom w:val="0"/>
      <w:divBdr>
        <w:top w:val="none" w:sz="0" w:space="0" w:color="auto"/>
        <w:left w:val="none" w:sz="0" w:space="0" w:color="auto"/>
        <w:bottom w:val="none" w:sz="0" w:space="0" w:color="auto"/>
        <w:right w:val="none" w:sz="0" w:space="0" w:color="auto"/>
      </w:divBdr>
    </w:div>
    <w:div w:id="1219626862">
      <w:bodyDiv w:val="1"/>
      <w:marLeft w:val="0"/>
      <w:marRight w:val="0"/>
      <w:marTop w:val="0"/>
      <w:marBottom w:val="0"/>
      <w:divBdr>
        <w:top w:val="none" w:sz="0" w:space="0" w:color="auto"/>
        <w:left w:val="none" w:sz="0" w:space="0" w:color="auto"/>
        <w:bottom w:val="none" w:sz="0" w:space="0" w:color="auto"/>
        <w:right w:val="none" w:sz="0" w:space="0" w:color="auto"/>
      </w:divBdr>
    </w:div>
    <w:div w:id="1226602295">
      <w:bodyDiv w:val="1"/>
      <w:marLeft w:val="0"/>
      <w:marRight w:val="0"/>
      <w:marTop w:val="0"/>
      <w:marBottom w:val="0"/>
      <w:divBdr>
        <w:top w:val="none" w:sz="0" w:space="0" w:color="auto"/>
        <w:left w:val="none" w:sz="0" w:space="0" w:color="auto"/>
        <w:bottom w:val="none" w:sz="0" w:space="0" w:color="auto"/>
        <w:right w:val="none" w:sz="0" w:space="0" w:color="auto"/>
      </w:divBdr>
    </w:div>
    <w:div w:id="1229147647">
      <w:bodyDiv w:val="1"/>
      <w:marLeft w:val="0"/>
      <w:marRight w:val="0"/>
      <w:marTop w:val="0"/>
      <w:marBottom w:val="0"/>
      <w:divBdr>
        <w:top w:val="none" w:sz="0" w:space="0" w:color="auto"/>
        <w:left w:val="none" w:sz="0" w:space="0" w:color="auto"/>
        <w:bottom w:val="none" w:sz="0" w:space="0" w:color="auto"/>
        <w:right w:val="none" w:sz="0" w:space="0" w:color="auto"/>
      </w:divBdr>
    </w:div>
    <w:div w:id="1230194989">
      <w:bodyDiv w:val="1"/>
      <w:marLeft w:val="0"/>
      <w:marRight w:val="0"/>
      <w:marTop w:val="0"/>
      <w:marBottom w:val="0"/>
      <w:divBdr>
        <w:top w:val="none" w:sz="0" w:space="0" w:color="auto"/>
        <w:left w:val="none" w:sz="0" w:space="0" w:color="auto"/>
        <w:bottom w:val="none" w:sz="0" w:space="0" w:color="auto"/>
        <w:right w:val="none" w:sz="0" w:space="0" w:color="auto"/>
      </w:divBdr>
    </w:div>
    <w:div w:id="1234973500">
      <w:bodyDiv w:val="1"/>
      <w:marLeft w:val="0"/>
      <w:marRight w:val="0"/>
      <w:marTop w:val="0"/>
      <w:marBottom w:val="0"/>
      <w:divBdr>
        <w:top w:val="none" w:sz="0" w:space="0" w:color="auto"/>
        <w:left w:val="none" w:sz="0" w:space="0" w:color="auto"/>
        <w:bottom w:val="none" w:sz="0" w:space="0" w:color="auto"/>
        <w:right w:val="none" w:sz="0" w:space="0" w:color="auto"/>
      </w:divBdr>
    </w:div>
    <w:div w:id="1241256352">
      <w:bodyDiv w:val="1"/>
      <w:marLeft w:val="0"/>
      <w:marRight w:val="0"/>
      <w:marTop w:val="0"/>
      <w:marBottom w:val="0"/>
      <w:divBdr>
        <w:top w:val="none" w:sz="0" w:space="0" w:color="auto"/>
        <w:left w:val="none" w:sz="0" w:space="0" w:color="auto"/>
        <w:bottom w:val="none" w:sz="0" w:space="0" w:color="auto"/>
        <w:right w:val="none" w:sz="0" w:space="0" w:color="auto"/>
      </w:divBdr>
    </w:div>
    <w:div w:id="1245918098">
      <w:bodyDiv w:val="1"/>
      <w:marLeft w:val="0"/>
      <w:marRight w:val="0"/>
      <w:marTop w:val="0"/>
      <w:marBottom w:val="0"/>
      <w:divBdr>
        <w:top w:val="none" w:sz="0" w:space="0" w:color="auto"/>
        <w:left w:val="none" w:sz="0" w:space="0" w:color="auto"/>
        <w:bottom w:val="none" w:sz="0" w:space="0" w:color="auto"/>
        <w:right w:val="none" w:sz="0" w:space="0" w:color="auto"/>
      </w:divBdr>
    </w:div>
    <w:div w:id="1252205334">
      <w:bodyDiv w:val="1"/>
      <w:marLeft w:val="0"/>
      <w:marRight w:val="0"/>
      <w:marTop w:val="0"/>
      <w:marBottom w:val="0"/>
      <w:divBdr>
        <w:top w:val="none" w:sz="0" w:space="0" w:color="auto"/>
        <w:left w:val="none" w:sz="0" w:space="0" w:color="auto"/>
        <w:bottom w:val="none" w:sz="0" w:space="0" w:color="auto"/>
        <w:right w:val="none" w:sz="0" w:space="0" w:color="auto"/>
      </w:divBdr>
    </w:div>
    <w:div w:id="1253470308">
      <w:bodyDiv w:val="1"/>
      <w:marLeft w:val="0"/>
      <w:marRight w:val="0"/>
      <w:marTop w:val="0"/>
      <w:marBottom w:val="0"/>
      <w:divBdr>
        <w:top w:val="none" w:sz="0" w:space="0" w:color="auto"/>
        <w:left w:val="none" w:sz="0" w:space="0" w:color="auto"/>
        <w:bottom w:val="none" w:sz="0" w:space="0" w:color="auto"/>
        <w:right w:val="none" w:sz="0" w:space="0" w:color="auto"/>
      </w:divBdr>
    </w:div>
    <w:div w:id="1259560343">
      <w:bodyDiv w:val="1"/>
      <w:marLeft w:val="0"/>
      <w:marRight w:val="0"/>
      <w:marTop w:val="0"/>
      <w:marBottom w:val="0"/>
      <w:divBdr>
        <w:top w:val="none" w:sz="0" w:space="0" w:color="auto"/>
        <w:left w:val="none" w:sz="0" w:space="0" w:color="auto"/>
        <w:bottom w:val="none" w:sz="0" w:space="0" w:color="auto"/>
        <w:right w:val="none" w:sz="0" w:space="0" w:color="auto"/>
      </w:divBdr>
    </w:div>
    <w:div w:id="1260943948">
      <w:bodyDiv w:val="1"/>
      <w:marLeft w:val="0"/>
      <w:marRight w:val="0"/>
      <w:marTop w:val="0"/>
      <w:marBottom w:val="0"/>
      <w:divBdr>
        <w:top w:val="none" w:sz="0" w:space="0" w:color="auto"/>
        <w:left w:val="none" w:sz="0" w:space="0" w:color="auto"/>
        <w:bottom w:val="none" w:sz="0" w:space="0" w:color="auto"/>
        <w:right w:val="none" w:sz="0" w:space="0" w:color="auto"/>
      </w:divBdr>
    </w:div>
    <w:div w:id="1261910642">
      <w:bodyDiv w:val="1"/>
      <w:marLeft w:val="0"/>
      <w:marRight w:val="0"/>
      <w:marTop w:val="0"/>
      <w:marBottom w:val="0"/>
      <w:divBdr>
        <w:top w:val="none" w:sz="0" w:space="0" w:color="auto"/>
        <w:left w:val="none" w:sz="0" w:space="0" w:color="auto"/>
        <w:bottom w:val="none" w:sz="0" w:space="0" w:color="auto"/>
        <w:right w:val="none" w:sz="0" w:space="0" w:color="auto"/>
      </w:divBdr>
    </w:div>
    <w:div w:id="1266113606">
      <w:bodyDiv w:val="1"/>
      <w:marLeft w:val="0"/>
      <w:marRight w:val="0"/>
      <w:marTop w:val="0"/>
      <w:marBottom w:val="0"/>
      <w:divBdr>
        <w:top w:val="none" w:sz="0" w:space="0" w:color="auto"/>
        <w:left w:val="none" w:sz="0" w:space="0" w:color="auto"/>
        <w:bottom w:val="none" w:sz="0" w:space="0" w:color="auto"/>
        <w:right w:val="none" w:sz="0" w:space="0" w:color="auto"/>
      </w:divBdr>
    </w:div>
    <w:div w:id="1285964931">
      <w:bodyDiv w:val="1"/>
      <w:marLeft w:val="0"/>
      <w:marRight w:val="0"/>
      <w:marTop w:val="0"/>
      <w:marBottom w:val="0"/>
      <w:divBdr>
        <w:top w:val="none" w:sz="0" w:space="0" w:color="auto"/>
        <w:left w:val="none" w:sz="0" w:space="0" w:color="auto"/>
        <w:bottom w:val="none" w:sz="0" w:space="0" w:color="auto"/>
        <w:right w:val="none" w:sz="0" w:space="0" w:color="auto"/>
      </w:divBdr>
    </w:div>
    <w:div w:id="1298998676">
      <w:bodyDiv w:val="1"/>
      <w:marLeft w:val="0"/>
      <w:marRight w:val="0"/>
      <w:marTop w:val="0"/>
      <w:marBottom w:val="0"/>
      <w:divBdr>
        <w:top w:val="none" w:sz="0" w:space="0" w:color="auto"/>
        <w:left w:val="none" w:sz="0" w:space="0" w:color="auto"/>
        <w:bottom w:val="none" w:sz="0" w:space="0" w:color="auto"/>
        <w:right w:val="none" w:sz="0" w:space="0" w:color="auto"/>
      </w:divBdr>
    </w:div>
    <w:div w:id="1299526773">
      <w:bodyDiv w:val="1"/>
      <w:marLeft w:val="0"/>
      <w:marRight w:val="0"/>
      <w:marTop w:val="0"/>
      <w:marBottom w:val="0"/>
      <w:divBdr>
        <w:top w:val="none" w:sz="0" w:space="0" w:color="auto"/>
        <w:left w:val="none" w:sz="0" w:space="0" w:color="auto"/>
        <w:bottom w:val="none" w:sz="0" w:space="0" w:color="auto"/>
        <w:right w:val="none" w:sz="0" w:space="0" w:color="auto"/>
      </w:divBdr>
    </w:div>
    <w:div w:id="1300770923">
      <w:bodyDiv w:val="1"/>
      <w:marLeft w:val="0"/>
      <w:marRight w:val="0"/>
      <w:marTop w:val="0"/>
      <w:marBottom w:val="0"/>
      <w:divBdr>
        <w:top w:val="none" w:sz="0" w:space="0" w:color="auto"/>
        <w:left w:val="none" w:sz="0" w:space="0" w:color="auto"/>
        <w:bottom w:val="none" w:sz="0" w:space="0" w:color="auto"/>
        <w:right w:val="none" w:sz="0" w:space="0" w:color="auto"/>
      </w:divBdr>
    </w:div>
    <w:div w:id="1305500279">
      <w:bodyDiv w:val="1"/>
      <w:marLeft w:val="0"/>
      <w:marRight w:val="0"/>
      <w:marTop w:val="0"/>
      <w:marBottom w:val="0"/>
      <w:divBdr>
        <w:top w:val="none" w:sz="0" w:space="0" w:color="auto"/>
        <w:left w:val="none" w:sz="0" w:space="0" w:color="auto"/>
        <w:bottom w:val="none" w:sz="0" w:space="0" w:color="auto"/>
        <w:right w:val="none" w:sz="0" w:space="0" w:color="auto"/>
      </w:divBdr>
    </w:div>
    <w:div w:id="1315525993">
      <w:bodyDiv w:val="1"/>
      <w:marLeft w:val="0"/>
      <w:marRight w:val="0"/>
      <w:marTop w:val="0"/>
      <w:marBottom w:val="0"/>
      <w:divBdr>
        <w:top w:val="none" w:sz="0" w:space="0" w:color="auto"/>
        <w:left w:val="none" w:sz="0" w:space="0" w:color="auto"/>
        <w:bottom w:val="none" w:sz="0" w:space="0" w:color="auto"/>
        <w:right w:val="none" w:sz="0" w:space="0" w:color="auto"/>
      </w:divBdr>
    </w:div>
    <w:div w:id="1321732037">
      <w:bodyDiv w:val="1"/>
      <w:marLeft w:val="0"/>
      <w:marRight w:val="0"/>
      <w:marTop w:val="0"/>
      <w:marBottom w:val="0"/>
      <w:divBdr>
        <w:top w:val="none" w:sz="0" w:space="0" w:color="auto"/>
        <w:left w:val="none" w:sz="0" w:space="0" w:color="auto"/>
        <w:bottom w:val="none" w:sz="0" w:space="0" w:color="auto"/>
        <w:right w:val="none" w:sz="0" w:space="0" w:color="auto"/>
      </w:divBdr>
    </w:div>
    <w:div w:id="1323898711">
      <w:bodyDiv w:val="1"/>
      <w:marLeft w:val="0"/>
      <w:marRight w:val="0"/>
      <w:marTop w:val="0"/>
      <w:marBottom w:val="0"/>
      <w:divBdr>
        <w:top w:val="none" w:sz="0" w:space="0" w:color="auto"/>
        <w:left w:val="none" w:sz="0" w:space="0" w:color="auto"/>
        <w:bottom w:val="none" w:sz="0" w:space="0" w:color="auto"/>
        <w:right w:val="none" w:sz="0" w:space="0" w:color="auto"/>
      </w:divBdr>
    </w:div>
    <w:div w:id="1324972192">
      <w:bodyDiv w:val="1"/>
      <w:marLeft w:val="0"/>
      <w:marRight w:val="0"/>
      <w:marTop w:val="0"/>
      <w:marBottom w:val="0"/>
      <w:divBdr>
        <w:top w:val="none" w:sz="0" w:space="0" w:color="auto"/>
        <w:left w:val="none" w:sz="0" w:space="0" w:color="auto"/>
        <w:bottom w:val="none" w:sz="0" w:space="0" w:color="auto"/>
        <w:right w:val="none" w:sz="0" w:space="0" w:color="auto"/>
      </w:divBdr>
    </w:div>
    <w:div w:id="1325469552">
      <w:bodyDiv w:val="1"/>
      <w:marLeft w:val="0"/>
      <w:marRight w:val="0"/>
      <w:marTop w:val="0"/>
      <w:marBottom w:val="0"/>
      <w:divBdr>
        <w:top w:val="none" w:sz="0" w:space="0" w:color="auto"/>
        <w:left w:val="none" w:sz="0" w:space="0" w:color="auto"/>
        <w:bottom w:val="none" w:sz="0" w:space="0" w:color="auto"/>
        <w:right w:val="none" w:sz="0" w:space="0" w:color="auto"/>
      </w:divBdr>
      <w:divsChild>
        <w:div w:id="705329407">
          <w:marLeft w:val="72"/>
          <w:marRight w:val="0"/>
          <w:marTop w:val="0"/>
          <w:marBottom w:val="0"/>
          <w:divBdr>
            <w:top w:val="none" w:sz="0" w:space="0" w:color="auto"/>
            <w:left w:val="none" w:sz="0" w:space="0" w:color="auto"/>
            <w:bottom w:val="none" w:sz="0" w:space="0" w:color="auto"/>
            <w:right w:val="none" w:sz="0" w:space="0" w:color="auto"/>
          </w:divBdr>
        </w:div>
        <w:div w:id="224143470">
          <w:marLeft w:val="72"/>
          <w:marRight w:val="0"/>
          <w:marTop w:val="0"/>
          <w:marBottom w:val="0"/>
          <w:divBdr>
            <w:top w:val="none" w:sz="0" w:space="0" w:color="auto"/>
            <w:left w:val="none" w:sz="0" w:space="0" w:color="auto"/>
            <w:bottom w:val="none" w:sz="0" w:space="0" w:color="auto"/>
            <w:right w:val="none" w:sz="0" w:space="0" w:color="auto"/>
          </w:divBdr>
        </w:div>
        <w:div w:id="1143426061">
          <w:marLeft w:val="72"/>
          <w:marRight w:val="0"/>
          <w:marTop w:val="0"/>
          <w:marBottom w:val="0"/>
          <w:divBdr>
            <w:top w:val="none" w:sz="0" w:space="0" w:color="auto"/>
            <w:left w:val="none" w:sz="0" w:space="0" w:color="auto"/>
            <w:bottom w:val="none" w:sz="0" w:space="0" w:color="auto"/>
            <w:right w:val="none" w:sz="0" w:space="0" w:color="auto"/>
          </w:divBdr>
        </w:div>
        <w:div w:id="1864243180">
          <w:marLeft w:val="72"/>
          <w:marRight w:val="0"/>
          <w:marTop w:val="0"/>
          <w:marBottom w:val="0"/>
          <w:divBdr>
            <w:top w:val="none" w:sz="0" w:space="0" w:color="auto"/>
            <w:left w:val="none" w:sz="0" w:space="0" w:color="auto"/>
            <w:bottom w:val="none" w:sz="0" w:space="0" w:color="auto"/>
            <w:right w:val="none" w:sz="0" w:space="0" w:color="auto"/>
          </w:divBdr>
        </w:div>
        <w:div w:id="1526678867">
          <w:marLeft w:val="72"/>
          <w:marRight w:val="0"/>
          <w:marTop w:val="0"/>
          <w:marBottom w:val="0"/>
          <w:divBdr>
            <w:top w:val="none" w:sz="0" w:space="0" w:color="auto"/>
            <w:left w:val="none" w:sz="0" w:space="0" w:color="auto"/>
            <w:bottom w:val="none" w:sz="0" w:space="0" w:color="auto"/>
            <w:right w:val="none" w:sz="0" w:space="0" w:color="auto"/>
          </w:divBdr>
        </w:div>
        <w:div w:id="1095128079">
          <w:marLeft w:val="72"/>
          <w:marRight w:val="0"/>
          <w:marTop w:val="0"/>
          <w:marBottom w:val="0"/>
          <w:divBdr>
            <w:top w:val="none" w:sz="0" w:space="0" w:color="auto"/>
            <w:left w:val="none" w:sz="0" w:space="0" w:color="auto"/>
            <w:bottom w:val="none" w:sz="0" w:space="0" w:color="auto"/>
            <w:right w:val="none" w:sz="0" w:space="0" w:color="auto"/>
          </w:divBdr>
        </w:div>
        <w:div w:id="1202984665">
          <w:marLeft w:val="72"/>
          <w:marRight w:val="0"/>
          <w:marTop w:val="0"/>
          <w:marBottom w:val="0"/>
          <w:divBdr>
            <w:top w:val="none" w:sz="0" w:space="0" w:color="auto"/>
            <w:left w:val="none" w:sz="0" w:space="0" w:color="auto"/>
            <w:bottom w:val="none" w:sz="0" w:space="0" w:color="auto"/>
            <w:right w:val="none" w:sz="0" w:space="0" w:color="auto"/>
          </w:divBdr>
        </w:div>
        <w:div w:id="1249850476">
          <w:marLeft w:val="72"/>
          <w:marRight w:val="0"/>
          <w:marTop w:val="0"/>
          <w:marBottom w:val="0"/>
          <w:divBdr>
            <w:top w:val="none" w:sz="0" w:space="0" w:color="auto"/>
            <w:left w:val="none" w:sz="0" w:space="0" w:color="auto"/>
            <w:bottom w:val="none" w:sz="0" w:space="0" w:color="auto"/>
            <w:right w:val="none" w:sz="0" w:space="0" w:color="auto"/>
          </w:divBdr>
        </w:div>
        <w:div w:id="961308999">
          <w:marLeft w:val="72"/>
          <w:marRight w:val="0"/>
          <w:marTop w:val="0"/>
          <w:marBottom w:val="0"/>
          <w:divBdr>
            <w:top w:val="none" w:sz="0" w:space="0" w:color="auto"/>
            <w:left w:val="none" w:sz="0" w:space="0" w:color="auto"/>
            <w:bottom w:val="none" w:sz="0" w:space="0" w:color="auto"/>
            <w:right w:val="none" w:sz="0" w:space="0" w:color="auto"/>
          </w:divBdr>
        </w:div>
        <w:div w:id="172187384">
          <w:marLeft w:val="72"/>
          <w:marRight w:val="0"/>
          <w:marTop w:val="0"/>
          <w:marBottom w:val="0"/>
          <w:divBdr>
            <w:top w:val="none" w:sz="0" w:space="0" w:color="auto"/>
            <w:left w:val="none" w:sz="0" w:space="0" w:color="auto"/>
            <w:bottom w:val="none" w:sz="0" w:space="0" w:color="auto"/>
            <w:right w:val="none" w:sz="0" w:space="0" w:color="auto"/>
          </w:divBdr>
        </w:div>
        <w:div w:id="1433889629">
          <w:marLeft w:val="72"/>
          <w:marRight w:val="0"/>
          <w:marTop w:val="0"/>
          <w:marBottom w:val="0"/>
          <w:divBdr>
            <w:top w:val="none" w:sz="0" w:space="0" w:color="auto"/>
            <w:left w:val="none" w:sz="0" w:space="0" w:color="auto"/>
            <w:bottom w:val="none" w:sz="0" w:space="0" w:color="auto"/>
            <w:right w:val="none" w:sz="0" w:space="0" w:color="auto"/>
          </w:divBdr>
        </w:div>
      </w:divsChild>
    </w:div>
    <w:div w:id="1325666990">
      <w:bodyDiv w:val="1"/>
      <w:marLeft w:val="0"/>
      <w:marRight w:val="0"/>
      <w:marTop w:val="0"/>
      <w:marBottom w:val="0"/>
      <w:divBdr>
        <w:top w:val="none" w:sz="0" w:space="0" w:color="auto"/>
        <w:left w:val="none" w:sz="0" w:space="0" w:color="auto"/>
        <w:bottom w:val="none" w:sz="0" w:space="0" w:color="auto"/>
        <w:right w:val="none" w:sz="0" w:space="0" w:color="auto"/>
      </w:divBdr>
    </w:div>
    <w:div w:id="1326743178">
      <w:bodyDiv w:val="1"/>
      <w:marLeft w:val="0"/>
      <w:marRight w:val="0"/>
      <w:marTop w:val="0"/>
      <w:marBottom w:val="0"/>
      <w:divBdr>
        <w:top w:val="none" w:sz="0" w:space="0" w:color="auto"/>
        <w:left w:val="none" w:sz="0" w:space="0" w:color="auto"/>
        <w:bottom w:val="none" w:sz="0" w:space="0" w:color="auto"/>
        <w:right w:val="none" w:sz="0" w:space="0" w:color="auto"/>
      </w:divBdr>
    </w:div>
    <w:div w:id="1330786481">
      <w:bodyDiv w:val="1"/>
      <w:marLeft w:val="0"/>
      <w:marRight w:val="0"/>
      <w:marTop w:val="0"/>
      <w:marBottom w:val="0"/>
      <w:divBdr>
        <w:top w:val="none" w:sz="0" w:space="0" w:color="auto"/>
        <w:left w:val="none" w:sz="0" w:space="0" w:color="auto"/>
        <w:bottom w:val="none" w:sz="0" w:space="0" w:color="auto"/>
        <w:right w:val="none" w:sz="0" w:space="0" w:color="auto"/>
      </w:divBdr>
    </w:div>
    <w:div w:id="1330911214">
      <w:bodyDiv w:val="1"/>
      <w:marLeft w:val="0"/>
      <w:marRight w:val="0"/>
      <w:marTop w:val="0"/>
      <w:marBottom w:val="0"/>
      <w:divBdr>
        <w:top w:val="none" w:sz="0" w:space="0" w:color="auto"/>
        <w:left w:val="none" w:sz="0" w:space="0" w:color="auto"/>
        <w:bottom w:val="none" w:sz="0" w:space="0" w:color="auto"/>
        <w:right w:val="none" w:sz="0" w:space="0" w:color="auto"/>
      </w:divBdr>
    </w:div>
    <w:div w:id="1332216549">
      <w:bodyDiv w:val="1"/>
      <w:marLeft w:val="0"/>
      <w:marRight w:val="0"/>
      <w:marTop w:val="0"/>
      <w:marBottom w:val="0"/>
      <w:divBdr>
        <w:top w:val="none" w:sz="0" w:space="0" w:color="auto"/>
        <w:left w:val="none" w:sz="0" w:space="0" w:color="auto"/>
        <w:bottom w:val="none" w:sz="0" w:space="0" w:color="auto"/>
        <w:right w:val="none" w:sz="0" w:space="0" w:color="auto"/>
      </w:divBdr>
    </w:div>
    <w:div w:id="1334338615">
      <w:bodyDiv w:val="1"/>
      <w:marLeft w:val="0"/>
      <w:marRight w:val="0"/>
      <w:marTop w:val="0"/>
      <w:marBottom w:val="0"/>
      <w:divBdr>
        <w:top w:val="none" w:sz="0" w:space="0" w:color="auto"/>
        <w:left w:val="none" w:sz="0" w:space="0" w:color="auto"/>
        <w:bottom w:val="none" w:sz="0" w:space="0" w:color="auto"/>
        <w:right w:val="none" w:sz="0" w:space="0" w:color="auto"/>
      </w:divBdr>
    </w:div>
    <w:div w:id="1336614515">
      <w:bodyDiv w:val="1"/>
      <w:marLeft w:val="0"/>
      <w:marRight w:val="0"/>
      <w:marTop w:val="0"/>
      <w:marBottom w:val="0"/>
      <w:divBdr>
        <w:top w:val="none" w:sz="0" w:space="0" w:color="auto"/>
        <w:left w:val="none" w:sz="0" w:space="0" w:color="auto"/>
        <w:bottom w:val="none" w:sz="0" w:space="0" w:color="auto"/>
        <w:right w:val="none" w:sz="0" w:space="0" w:color="auto"/>
      </w:divBdr>
    </w:div>
    <w:div w:id="1336882267">
      <w:bodyDiv w:val="1"/>
      <w:marLeft w:val="0"/>
      <w:marRight w:val="0"/>
      <w:marTop w:val="0"/>
      <w:marBottom w:val="0"/>
      <w:divBdr>
        <w:top w:val="none" w:sz="0" w:space="0" w:color="auto"/>
        <w:left w:val="none" w:sz="0" w:space="0" w:color="auto"/>
        <w:bottom w:val="none" w:sz="0" w:space="0" w:color="auto"/>
        <w:right w:val="none" w:sz="0" w:space="0" w:color="auto"/>
      </w:divBdr>
    </w:div>
    <w:div w:id="1346135649">
      <w:bodyDiv w:val="1"/>
      <w:marLeft w:val="0"/>
      <w:marRight w:val="0"/>
      <w:marTop w:val="0"/>
      <w:marBottom w:val="0"/>
      <w:divBdr>
        <w:top w:val="none" w:sz="0" w:space="0" w:color="auto"/>
        <w:left w:val="none" w:sz="0" w:space="0" w:color="auto"/>
        <w:bottom w:val="none" w:sz="0" w:space="0" w:color="auto"/>
        <w:right w:val="none" w:sz="0" w:space="0" w:color="auto"/>
      </w:divBdr>
    </w:div>
    <w:div w:id="1347487930">
      <w:bodyDiv w:val="1"/>
      <w:marLeft w:val="0"/>
      <w:marRight w:val="0"/>
      <w:marTop w:val="0"/>
      <w:marBottom w:val="0"/>
      <w:divBdr>
        <w:top w:val="none" w:sz="0" w:space="0" w:color="auto"/>
        <w:left w:val="none" w:sz="0" w:space="0" w:color="auto"/>
        <w:bottom w:val="none" w:sz="0" w:space="0" w:color="auto"/>
        <w:right w:val="none" w:sz="0" w:space="0" w:color="auto"/>
      </w:divBdr>
      <w:divsChild>
        <w:div w:id="1322274886">
          <w:marLeft w:val="547"/>
          <w:marRight w:val="0"/>
          <w:marTop w:val="0"/>
          <w:marBottom w:val="0"/>
          <w:divBdr>
            <w:top w:val="none" w:sz="0" w:space="0" w:color="auto"/>
            <w:left w:val="none" w:sz="0" w:space="0" w:color="auto"/>
            <w:bottom w:val="none" w:sz="0" w:space="0" w:color="auto"/>
            <w:right w:val="none" w:sz="0" w:space="0" w:color="auto"/>
          </w:divBdr>
        </w:div>
        <w:div w:id="1428769255">
          <w:marLeft w:val="547"/>
          <w:marRight w:val="0"/>
          <w:marTop w:val="0"/>
          <w:marBottom w:val="0"/>
          <w:divBdr>
            <w:top w:val="none" w:sz="0" w:space="0" w:color="auto"/>
            <w:left w:val="none" w:sz="0" w:space="0" w:color="auto"/>
            <w:bottom w:val="none" w:sz="0" w:space="0" w:color="auto"/>
            <w:right w:val="none" w:sz="0" w:space="0" w:color="auto"/>
          </w:divBdr>
        </w:div>
        <w:div w:id="1663198692">
          <w:marLeft w:val="547"/>
          <w:marRight w:val="0"/>
          <w:marTop w:val="0"/>
          <w:marBottom w:val="0"/>
          <w:divBdr>
            <w:top w:val="none" w:sz="0" w:space="0" w:color="auto"/>
            <w:left w:val="none" w:sz="0" w:space="0" w:color="auto"/>
            <w:bottom w:val="none" w:sz="0" w:space="0" w:color="auto"/>
            <w:right w:val="none" w:sz="0" w:space="0" w:color="auto"/>
          </w:divBdr>
        </w:div>
        <w:div w:id="1058361724">
          <w:marLeft w:val="547"/>
          <w:marRight w:val="0"/>
          <w:marTop w:val="0"/>
          <w:marBottom w:val="0"/>
          <w:divBdr>
            <w:top w:val="none" w:sz="0" w:space="0" w:color="auto"/>
            <w:left w:val="none" w:sz="0" w:space="0" w:color="auto"/>
            <w:bottom w:val="none" w:sz="0" w:space="0" w:color="auto"/>
            <w:right w:val="none" w:sz="0" w:space="0" w:color="auto"/>
          </w:divBdr>
        </w:div>
        <w:div w:id="457997078">
          <w:marLeft w:val="547"/>
          <w:marRight w:val="0"/>
          <w:marTop w:val="0"/>
          <w:marBottom w:val="0"/>
          <w:divBdr>
            <w:top w:val="none" w:sz="0" w:space="0" w:color="auto"/>
            <w:left w:val="none" w:sz="0" w:space="0" w:color="auto"/>
            <w:bottom w:val="none" w:sz="0" w:space="0" w:color="auto"/>
            <w:right w:val="none" w:sz="0" w:space="0" w:color="auto"/>
          </w:divBdr>
        </w:div>
        <w:div w:id="1250428108">
          <w:marLeft w:val="547"/>
          <w:marRight w:val="0"/>
          <w:marTop w:val="0"/>
          <w:marBottom w:val="0"/>
          <w:divBdr>
            <w:top w:val="none" w:sz="0" w:space="0" w:color="auto"/>
            <w:left w:val="none" w:sz="0" w:space="0" w:color="auto"/>
            <w:bottom w:val="none" w:sz="0" w:space="0" w:color="auto"/>
            <w:right w:val="none" w:sz="0" w:space="0" w:color="auto"/>
          </w:divBdr>
        </w:div>
        <w:div w:id="1195584260">
          <w:marLeft w:val="547"/>
          <w:marRight w:val="0"/>
          <w:marTop w:val="0"/>
          <w:marBottom w:val="0"/>
          <w:divBdr>
            <w:top w:val="none" w:sz="0" w:space="0" w:color="auto"/>
            <w:left w:val="none" w:sz="0" w:space="0" w:color="auto"/>
            <w:bottom w:val="none" w:sz="0" w:space="0" w:color="auto"/>
            <w:right w:val="none" w:sz="0" w:space="0" w:color="auto"/>
          </w:divBdr>
        </w:div>
      </w:divsChild>
    </w:div>
    <w:div w:id="1349133770">
      <w:bodyDiv w:val="1"/>
      <w:marLeft w:val="0"/>
      <w:marRight w:val="0"/>
      <w:marTop w:val="0"/>
      <w:marBottom w:val="0"/>
      <w:divBdr>
        <w:top w:val="none" w:sz="0" w:space="0" w:color="auto"/>
        <w:left w:val="none" w:sz="0" w:space="0" w:color="auto"/>
        <w:bottom w:val="none" w:sz="0" w:space="0" w:color="auto"/>
        <w:right w:val="none" w:sz="0" w:space="0" w:color="auto"/>
      </w:divBdr>
    </w:div>
    <w:div w:id="1351301600">
      <w:bodyDiv w:val="1"/>
      <w:marLeft w:val="0"/>
      <w:marRight w:val="0"/>
      <w:marTop w:val="0"/>
      <w:marBottom w:val="0"/>
      <w:divBdr>
        <w:top w:val="none" w:sz="0" w:space="0" w:color="auto"/>
        <w:left w:val="none" w:sz="0" w:space="0" w:color="auto"/>
        <w:bottom w:val="none" w:sz="0" w:space="0" w:color="auto"/>
        <w:right w:val="none" w:sz="0" w:space="0" w:color="auto"/>
      </w:divBdr>
    </w:div>
    <w:div w:id="1354191164">
      <w:bodyDiv w:val="1"/>
      <w:marLeft w:val="0"/>
      <w:marRight w:val="0"/>
      <w:marTop w:val="0"/>
      <w:marBottom w:val="0"/>
      <w:divBdr>
        <w:top w:val="none" w:sz="0" w:space="0" w:color="auto"/>
        <w:left w:val="none" w:sz="0" w:space="0" w:color="auto"/>
        <w:bottom w:val="none" w:sz="0" w:space="0" w:color="auto"/>
        <w:right w:val="none" w:sz="0" w:space="0" w:color="auto"/>
      </w:divBdr>
    </w:div>
    <w:div w:id="1355351220">
      <w:bodyDiv w:val="1"/>
      <w:marLeft w:val="0"/>
      <w:marRight w:val="0"/>
      <w:marTop w:val="0"/>
      <w:marBottom w:val="0"/>
      <w:divBdr>
        <w:top w:val="none" w:sz="0" w:space="0" w:color="auto"/>
        <w:left w:val="none" w:sz="0" w:space="0" w:color="auto"/>
        <w:bottom w:val="none" w:sz="0" w:space="0" w:color="auto"/>
        <w:right w:val="none" w:sz="0" w:space="0" w:color="auto"/>
      </w:divBdr>
    </w:div>
    <w:div w:id="1357000213">
      <w:bodyDiv w:val="1"/>
      <w:marLeft w:val="0"/>
      <w:marRight w:val="0"/>
      <w:marTop w:val="0"/>
      <w:marBottom w:val="0"/>
      <w:divBdr>
        <w:top w:val="none" w:sz="0" w:space="0" w:color="auto"/>
        <w:left w:val="none" w:sz="0" w:space="0" w:color="auto"/>
        <w:bottom w:val="none" w:sz="0" w:space="0" w:color="auto"/>
        <w:right w:val="none" w:sz="0" w:space="0" w:color="auto"/>
      </w:divBdr>
    </w:div>
    <w:div w:id="1362977175">
      <w:bodyDiv w:val="1"/>
      <w:marLeft w:val="0"/>
      <w:marRight w:val="0"/>
      <w:marTop w:val="0"/>
      <w:marBottom w:val="0"/>
      <w:divBdr>
        <w:top w:val="none" w:sz="0" w:space="0" w:color="auto"/>
        <w:left w:val="none" w:sz="0" w:space="0" w:color="auto"/>
        <w:bottom w:val="none" w:sz="0" w:space="0" w:color="auto"/>
        <w:right w:val="none" w:sz="0" w:space="0" w:color="auto"/>
      </w:divBdr>
    </w:div>
    <w:div w:id="1368677958">
      <w:bodyDiv w:val="1"/>
      <w:marLeft w:val="0"/>
      <w:marRight w:val="0"/>
      <w:marTop w:val="0"/>
      <w:marBottom w:val="0"/>
      <w:divBdr>
        <w:top w:val="none" w:sz="0" w:space="0" w:color="auto"/>
        <w:left w:val="none" w:sz="0" w:space="0" w:color="auto"/>
        <w:bottom w:val="none" w:sz="0" w:space="0" w:color="auto"/>
        <w:right w:val="none" w:sz="0" w:space="0" w:color="auto"/>
      </w:divBdr>
    </w:div>
    <w:div w:id="1370951765">
      <w:bodyDiv w:val="1"/>
      <w:marLeft w:val="0"/>
      <w:marRight w:val="0"/>
      <w:marTop w:val="0"/>
      <w:marBottom w:val="0"/>
      <w:divBdr>
        <w:top w:val="none" w:sz="0" w:space="0" w:color="auto"/>
        <w:left w:val="none" w:sz="0" w:space="0" w:color="auto"/>
        <w:bottom w:val="none" w:sz="0" w:space="0" w:color="auto"/>
        <w:right w:val="none" w:sz="0" w:space="0" w:color="auto"/>
      </w:divBdr>
    </w:div>
    <w:div w:id="1380740588">
      <w:bodyDiv w:val="1"/>
      <w:marLeft w:val="0"/>
      <w:marRight w:val="0"/>
      <w:marTop w:val="0"/>
      <w:marBottom w:val="0"/>
      <w:divBdr>
        <w:top w:val="none" w:sz="0" w:space="0" w:color="auto"/>
        <w:left w:val="none" w:sz="0" w:space="0" w:color="auto"/>
        <w:bottom w:val="none" w:sz="0" w:space="0" w:color="auto"/>
        <w:right w:val="none" w:sz="0" w:space="0" w:color="auto"/>
      </w:divBdr>
    </w:div>
    <w:div w:id="1386368227">
      <w:bodyDiv w:val="1"/>
      <w:marLeft w:val="0"/>
      <w:marRight w:val="0"/>
      <w:marTop w:val="0"/>
      <w:marBottom w:val="0"/>
      <w:divBdr>
        <w:top w:val="none" w:sz="0" w:space="0" w:color="auto"/>
        <w:left w:val="none" w:sz="0" w:space="0" w:color="auto"/>
        <w:bottom w:val="none" w:sz="0" w:space="0" w:color="auto"/>
        <w:right w:val="none" w:sz="0" w:space="0" w:color="auto"/>
      </w:divBdr>
    </w:div>
    <w:div w:id="1391423855">
      <w:bodyDiv w:val="1"/>
      <w:marLeft w:val="0"/>
      <w:marRight w:val="0"/>
      <w:marTop w:val="0"/>
      <w:marBottom w:val="0"/>
      <w:divBdr>
        <w:top w:val="none" w:sz="0" w:space="0" w:color="auto"/>
        <w:left w:val="none" w:sz="0" w:space="0" w:color="auto"/>
        <w:bottom w:val="none" w:sz="0" w:space="0" w:color="auto"/>
        <w:right w:val="none" w:sz="0" w:space="0" w:color="auto"/>
      </w:divBdr>
    </w:div>
    <w:div w:id="1391733968">
      <w:bodyDiv w:val="1"/>
      <w:marLeft w:val="0"/>
      <w:marRight w:val="0"/>
      <w:marTop w:val="0"/>
      <w:marBottom w:val="0"/>
      <w:divBdr>
        <w:top w:val="none" w:sz="0" w:space="0" w:color="auto"/>
        <w:left w:val="none" w:sz="0" w:space="0" w:color="auto"/>
        <w:bottom w:val="none" w:sz="0" w:space="0" w:color="auto"/>
        <w:right w:val="none" w:sz="0" w:space="0" w:color="auto"/>
      </w:divBdr>
    </w:div>
    <w:div w:id="1400901781">
      <w:bodyDiv w:val="1"/>
      <w:marLeft w:val="0"/>
      <w:marRight w:val="0"/>
      <w:marTop w:val="0"/>
      <w:marBottom w:val="0"/>
      <w:divBdr>
        <w:top w:val="none" w:sz="0" w:space="0" w:color="auto"/>
        <w:left w:val="none" w:sz="0" w:space="0" w:color="auto"/>
        <w:bottom w:val="none" w:sz="0" w:space="0" w:color="auto"/>
        <w:right w:val="none" w:sz="0" w:space="0" w:color="auto"/>
      </w:divBdr>
    </w:div>
    <w:div w:id="1401832996">
      <w:bodyDiv w:val="1"/>
      <w:marLeft w:val="0"/>
      <w:marRight w:val="0"/>
      <w:marTop w:val="0"/>
      <w:marBottom w:val="0"/>
      <w:divBdr>
        <w:top w:val="none" w:sz="0" w:space="0" w:color="auto"/>
        <w:left w:val="none" w:sz="0" w:space="0" w:color="auto"/>
        <w:bottom w:val="none" w:sz="0" w:space="0" w:color="auto"/>
        <w:right w:val="none" w:sz="0" w:space="0" w:color="auto"/>
      </w:divBdr>
    </w:div>
    <w:div w:id="1409841177">
      <w:bodyDiv w:val="1"/>
      <w:marLeft w:val="0"/>
      <w:marRight w:val="0"/>
      <w:marTop w:val="0"/>
      <w:marBottom w:val="0"/>
      <w:divBdr>
        <w:top w:val="none" w:sz="0" w:space="0" w:color="auto"/>
        <w:left w:val="none" w:sz="0" w:space="0" w:color="auto"/>
        <w:bottom w:val="none" w:sz="0" w:space="0" w:color="auto"/>
        <w:right w:val="none" w:sz="0" w:space="0" w:color="auto"/>
      </w:divBdr>
    </w:div>
    <w:div w:id="1410886665">
      <w:bodyDiv w:val="1"/>
      <w:marLeft w:val="0"/>
      <w:marRight w:val="0"/>
      <w:marTop w:val="0"/>
      <w:marBottom w:val="0"/>
      <w:divBdr>
        <w:top w:val="none" w:sz="0" w:space="0" w:color="auto"/>
        <w:left w:val="none" w:sz="0" w:space="0" w:color="auto"/>
        <w:bottom w:val="none" w:sz="0" w:space="0" w:color="auto"/>
        <w:right w:val="none" w:sz="0" w:space="0" w:color="auto"/>
      </w:divBdr>
    </w:div>
    <w:div w:id="1411657114">
      <w:bodyDiv w:val="1"/>
      <w:marLeft w:val="0"/>
      <w:marRight w:val="0"/>
      <w:marTop w:val="0"/>
      <w:marBottom w:val="0"/>
      <w:divBdr>
        <w:top w:val="none" w:sz="0" w:space="0" w:color="auto"/>
        <w:left w:val="none" w:sz="0" w:space="0" w:color="auto"/>
        <w:bottom w:val="none" w:sz="0" w:space="0" w:color="auto"/>
        <w:right w:val="none" w:sz="0" w:space="0" w:color="auto"/>
      </w:divBdr>
    </w:div>
    <w:div w:id="1413510337">
      <w:bodyDiv w:val="1"/>
      <w:marLeft w:val="0"/>
      <w:marRight w:val="0"/>
      <w:marTop w:val="0"/>
      <w:marBottom w:val="0"/>
      <w:divBdr>
        <w:top w:val="none" w:sz="0" w:space="0" w:color="auto"/>
        <w:left w:val="none" w:sz="0" w:space="0" w:color="auto"/>
        <w:bottom w:val="none" w:sz="0" w:space="0" w:color="auto"/>
        <w:right w:val="none" w:sz="0" w:space="0" w:color="auto"/>
      </w:divBdr>
    </w:div>
    <w:div w:id="1414861547">
      <w:bodyDiv w:val="1"/>
      <w:marLeft w:val="0"/>
      <w:marRight w:val="0"/>
      <w:marTop w:val="0"/>
      <w:marBottom w:val="0"/>
      <w:divBdr>
        <w:top w:val="none" w:sz="0" w:space="0" w:color="auto"/>
        <w:left w:val="none" w:sz="0" w:space="0" w:color="auto"/>
        <w:bottom w:val="none" w:sz="0" w:space="0" w:color="auto"/>
        <w:right w:val="none" w:sz="0" w:space="0" w:color="auto"/>
      </w:divBdr>
    </w:div>
    <w:div w:id="1415323883">
      <w:bodyDiv w:val="1"/>
      <w:marLeft w:val="0"/>
      <w:marRight w:val="0"/>
      <w:marTop w:val="0"/>
      <w:marBottom w:val="0"/>
      <w:divBdr>
        <w:top w:val="none" w:sz="0" w:space="0" w:color="auto"/>
        <w:left w:val="none" w:sz="0" w:space="0" w:color="auto"/>
        <w:bottom w:val="none" w:sz="0" w:space="0" w:color="auto"/>
        <w:right w:val="none" w:sz="0" w:space="0" w:color="auto"/>
      </w:divBdr>
    </w:div>
    <w:div w:id="1416783757">
      <w:bodyDiv w:val="1"/>
      <w:marLeft w:val="0"/>
      <w:marRight w:val="0"/>
      <w:marTop w:val="0"/>
      <w:marBottom w:val="0"/>
      <w:divBdr>
        <w:top w:val="none" w:sz="0" w:space="0" w:color="auto"/>
        <w:left w:val="none" w:sz="0" w:space="0" w:color="auto"/>
        <w:bottom w:val="none" w:sz="0" w:space="0" w:color="auto"/>
        <w:right w:val="none" w:sz="0" w:space="0" w:color="auto"/>
      </w:divBdr>
    </w:div>
    <w:div w:id="1416975052">
      <w:bodyDiv w:val="1"/>
      <w:marLeft w:val="0"/>
      <w:marRight w:val="0"/>
      <w:marTop w:val="0"/>
      <w:marBottom w:val="0"/>
      <w:divBdr>
        <w:top w:val="none" w:sz="0" w:space="0" w:color="auto"/>
        <w:left w:val="none" w:sz="0" w:space="0" w:color="auto"/>
        <w:bottom w:val="none" w:sz="0" w:space="0" w:color="auto"/>
        <w:right w:val="none" w:sz="0" w:space="0" w:color="auto"/>
      </w:divBdr>
    </w:div>
    <w:div w:id="1417897098">
      <w:bodyDiv w:val="1"/>
      <w:marLeft w:val="0"/>
      <w:marRight w:val="0"/>
      <w:marTop w:val="0"/>
      <w:marBottom w:val="0"/>
      <w:divBdr>
        <w:top w:val="none" w:sz="0" w:space="0" w:color="auto"/>
        <w:left w:val="none" w:sz="0" w:space="0" w:color="auto"/>
        <w:bottom w:val="none" w:sz="0" w:space="0" w:color="auto"/>
        <w:right w:val="none" w:sz="0" w:space="0" w:color="auto"/>
      </w:divBdr>
    </w:div>
    <w:div w:id="1422678420">
      <w:bodyDiv w:val="1"/>
      <w:marLeft w:val="0"/>
      <w:marRight w:val="0"/>
      <w:marTop w:val="0"/>
      <w:marBottom w:val="0"/>
      <w:divBdr>
        <w:top w:val="none" w:sz="0" w:space="0" w:color="auto"/>
        <w:left w:val="none" w:sz="0" w:space="0" w:color="auto"/>
        <w:bottom w:val="none" w:sz="0" w:space="0" w:color="auto"/>
        <w:right w:val="none" w:sz="0" w:space="0" w:color="auto"/>
      </w:divBdr>
    </w:div>
    <w:div w:id="1423067510">
      <w:bodyDiv w:val="1"/>
      <w:marLeft w:val="0"/>
      <w:marRight w:val="0"/>
      <w:marTop w:val="0"/>
      <w:marBottom w:val="0"/>
      <w:divBdr>
        <w:top w:val="none" w:sz="0" w:space="0" w:color="auto"/>
        <w:left w:val="none" w:sz="0" w:space="0" w:color="auto"/>
        <w:bottom w:val="none" w:sz="0" w:space="0" w:color="auto"/>
        <w:right w:val="none" w:sz="0" w:space="0" w:color="auto"/>
      </w:divBdr>
    </w:div>
    <w:div w:id="1426610357">
      <w:bodyDiv w:val="1"/>
      <w:marLeft w:val="0"/>
      <w:marRight w:val="0"/>
      <w:marTop w:val="0"/>
      <w:marBottom w:val="0"/>
      <w:divBdr>
        <w:top w:val="none" w:sz="0" w:space="0" w:color="auto"/>
        <w:left w:val="none" w:sz="0" w:space="0" w:color="auto"/>
        <w:bottom w:val="none" w:sz="0" w:space="0" w:color="auto"/>
        <w:right w:val="none" w:sz="0" w:space="0" w:color="auto"/>
      </w:divBdr>
    </w:div>
    <w:div w:id="1427847794">
      <w:bodyDiv w:val="1"/>
      <w:marLeft w:val="0"/>
      <w:marRight w:val="0"/>
      <w:marTop w:val="0"/>
      <w:marBottom w:val="0"/>
      <w:divBdr>
        <w:top w:val="none" w:sz="0" w:space="0" w:color="auto"/>
        <w:left w:val="none" w:sz="0" w:space="0" w:color="auto"/>
        <w:bottom w:val="none" w:sz="0" w:space="0" w:color="auto"/>
        <w:right w:val="none" w:sz="0" w:space="0" w:color="auto"/>
      </w:divBdr>
    </w:div>
    <w:div w:id="1431317079">
      <w:bodyDiv w:val="1"/>
      <w:marLeft w:val="0"/>
      <w:marRight w:val="0"/>
      <w:marTop w:val="0"/>
      <w:marBottom w:val="0"/>
      <w:divBdr>
        <w:top w:val="none" w:sz="0" w:space="0" w:color="auto"/>
        <w:left w:val="none" w:sz="0" w:space="0" w:color="auto"/>
        <w:bottom w:val="none" w:sz="0" w:space="0" w:color="auto"/>
        <w:right w:val="none" w:sz="0" w:space="0" w:color="auto"/>
      </w:divBdr>
    </w:div>
    <w:div w:id="1432552873">
      <w:bodyDiv w:val="1"/>
      <w:marLeft w:val="0"/>
      <w:marRight w:val="0"/>
      <w:marTop w:val="0"/>
      <w:marBottom w:val="0"/>
      <w:divBdr>
        <w:top w:val="none" w:sz="0" w:space="0" w:color="auto"/>
        <w:left w:val="none" w:sz="0" w:space="0" w:color="auto"/>
        <w:bottom w:val="none" w:sz="0" w:space="0" w:color="auto"/>
        <w:right w:val="none" w:sz="0" w:space="0" w:color="auto"/>
      </w:divBdr>
    </w:div>
    <w:div w:id="1433941853">
      <w:bodyDiv w:val="1"/>
      <w:marLeft w:val="0"/>
      <w:marRight w:val="0"/>
      <w:marTop w:val="0"/>
      <w:marBottom w:val="0"/>
      <w:divBdr>
        <w:top w:val="none" w:sz="0" w:space="0" w:color="auto"/>
        <w:left w:val="none" w:sz="0" w:space="0" w:color="auto"/>
        <w:bottom w:val="none" w:sz="0" w:space="0" w:color="auto"/>
        <w:right w:val="none" w:sz="0" w:space="0" w:color="auto"/>
      </w:divBdr>
    </w:div>
    <w:div w:id="1443719246">
      <w:bodyDiv w:val="1"/>
      <w:marLeft w:val="0"/>
      <w:marRight w:val="0"/>
      <w:marTop w:val="0"/>
      <w:marBottom w:val="0"/>
      <w:divBdr>
        <w:top w:val="none" w:sz="0" w:space="0" w:color="auto"/>
        <w:left w:val="none" w:sz="0" w:space="0" w:color="auto"/>
        <w:bottom w:val="none" w:sz="0" w:space="0" w:color="auto"/>
        <w:right w:val="none" w:sz="0" w:space="0" w:color="auto"/>
      </w:divBdr>
    </w:div>
    <w:div w:id="1445034795">
      <w:bodyDiv w:val="1"/>
      <w:marLeft w:val="0"/>
      <w:marRight w:val="0"/>
      <w:marTop w:val="0"/>
      <w:marBottom w:val="0"/>
      <w:divBdr>
        <w:top w:val="none" w:sz="0" w:space="0" w:color="auto"/>
        <w:left w:val="none" w:sz="0" w:space="0" w:color="auto"/>
        <w:bottom w:val="none" w:sz="0" w:space="0" w:color="auto"/>
        <w:right w:val="none" w:sz="0" w:space="0" w:color="auto"/>
      </w:divBdr>
    </w:div>
    <w:div w:id="1459495954">
      <w:bodyDiv w:val="1"/>
      <w:marLeft w:val="0"/>
      <w:marRight w:val="0"/>
      <w:marTop w:val="0"/>
      <w:marBottom w:val="0"/>
      <w:divBdr>
        <w:top w:val="none" w:sz="0" w:space="0" w:color="auto"/>
        <w:left w:val="none" w:sz="0" w:space="0" w:color="auto"/>
        <w:bottom w:val="none" w:sz="0" w:space="0" w:color="auto"/>
        <w:right w:val="none" w:sz="0" w:space="0" w:color="auto"/>
      </w:divBdr>
    </w:div>
    <w:div w:id="1460344942">
      <w:bodyDiv w:val="1"/>
      <w:marLeft w:val="0"/>
      <w:marRight w:val="0"/>
      <w:marTop w:val="0"/>
      <w:marBottom w:val="0"/>
      <w:divBdr>
        <w:top w:val="none" w:sz="0" w:space="0" w:color="auto"/>
        <w:left w:val="none" w:sz="0" w:space="0" w:color="auto"/>
        <w:bottom w:val="none" w:sz="0" w:space="0" w:color="auto"/>
        <w:right w:val="none" w:sz="0" w:space="0" w:color="auto"/>
      </w:divBdr>
    </w:div>
    <w:div w:id="1461419443">
      <w:bodyDiv w:val="1"/>
      <w:marLeft w:val="0"/>
      <w:marRight w:val="0"/>
      <w:marTop w:val="0"/>
      <w:marBottom w:val="0"/>
      <w:divBdr>
        <w:top w:val="none" w:sz="0" w:space="0" w:color="auto"/>
        <w:left w:val="none" w:sz="0" w:space="0" w:color="auto"/>
        <w:bottom w:val="none" w:sz="0" w:space="0" w:color="auto"/>
        <w:right w:val="none" w:sz="0" w:space="0" w:color="auto"/>
      </w:divBdr>
    </w:div>
    <w:div w:id="1464040384">
      <w:bodyDiv w:val="1"/>
      <w:marLeft w:val="0"/>
      <w:marRight w:val="0"/>
      <w:marTop w:val="0"/>
      <w:marBottom w:val="0"/>
      <w:divBdr>
        <w:top w:val="none" w:sz="0" w:space="0" w:color="auto"/>
        <w:left w:val="none" w:sz="0" w:space="0" w:color="auto"/>
        <w:bottom w:val="none" w:sz="0" w:space="0" w:color="auto"/>
        <w:right w:val="none" w:sz="0" w:space="0" w:color="auto"/>
      </w:divBdr>
    </w:div>
    <w:div w:id="1466774110">
      <w:bodyDiv w:val="1"/>
      <w:marLeft w:val="0"/>
      <w:marRight w:val="0"/>
      <w:marTop w:val="0"/>
      <w:marBottom w:val="0"/>
      <w:divBdr>
        <w:top w:val="none" w:sz="0" w:space="0" w:color="auto"/>
        <w:left w:val="none" w:sz="0" w:space="0" w:color="auto"/>
        <w:bottom w:val="none" w:sz="0" w:space="0" w:color="auto"/>
        <w:right w:val="none" w:sz="0" w:space="0" w:color="auto"/>
      </w:divBdr>
    </w:div>
    <w:div w:id="1466970980">
      <w:bodyDiv w:val="1"/>
      <w:marLeft w:val="0"/>
      <w:marRight w:val="0"/>
      <w:marTop w:val="0"/>
      <w:marBottom w:val="0"/>
      <w:divBdr>
        <w:top w:val="none" w:sz="0" w:space="0" w:color="auto"/>
        <w:left w:val="none" w:sz="0" w:space="0" w:color="auto"/>
        <w:bottom w:val="none" w:sz="0" w:space="0" w:color="auto"/>
        <w:right w:val="none" w:sz="0" w:space="0" w:color="auto"/>
      </w:divBdr>
    </w:div>
    <w:div w:id="1468164075">
      <w:bodyDiv w:val="1"/>
      <w:marLeft w:val="0"/>
      <w:marRight w:val="0"/>
      <w:marTop w:val="0"/>
      <w:marBottom w:val="0"/>
      <w:divBdr>
        <w:top w:val="none" w:sz="0" w:space="0" w:color="auto"/>
        <w:left w:val="none" w:sz="0" w:space="0" w:color="auto"/>
        <w:bottom w:val="none" w:sz="0" w:space="0" w:color="auto"/>
        <w:right w:val="none" w:sz="0" w:space="0" w:color="auto"/>
      </w:divBdr>
    </w:div>
    <w:div w:id="1470711778">
      <w:bodyDiv w:val="1"/>
      <w:marLeft w:val="0"/>
      <w:marRight w:val="0"/>
      <w:marTop w:val="0"/>
      <w:marBottom w:val="0"/>
      <w:divBdr>
        <w:top w:val="none" w:sz="0" w:space="0" w:color="auto"/>
        <w:left w:val="none" w:sz="0" w:space="0" w:color="auto"/>
        <w:bottom w:val="none" w:sz="0" w:space="0" w:color="auto"/>
        <w:right w:val="none" w:sz="0" w:space="0" w:color="auto"/>
      </w:divBdr>
    </w:div>
    <w:div w:id="1477840723">
      <w:bodyDiv w:val="1"/>
      <w:marLeft w:val="0"/>
      <w:marRight w:val="0"/>
      <w:marTop w:val="0"/>
      <w:marBottom w:val="0"/>
      <w:divBdr>
        <w:top w:val="none" w:sz="0" w:space="0" w:color="auto"/>
        <w:left w:val="none" w:sz="0" w:space="0" w:color="auto"/>
        <w:bottom w:val="none" w:sz="0" w:space="0" w:color="auto"/>
        <w:right w:val="none" w:sz="0" w:space="0" w:color="auto"/>
      </w:divBdr>
    </w:div>
    <w:div w:id="1484347337">
      <w:bodyDiv w:val="1"/>
      <w:marLeft w:val="0"/>
      <w:marRight w:val="0"/>
      <w:marTop w:val="0"/>
      <w:marBottom w:val="0"/>
      <w:divBdr>
        <w:top w:val="none" w:sz="0" w:space="0" w:color="auto"/>
        <w:left w:val="none" w:sz="0" w:space="0" w:color="auto"/>
        <w:bottom w:val="none" w:sz="0" w:space="0" w:color="auto"/>
        <w:right w:val="none" w:sz="0" w:space="0" w:color="auto"/>
      </w:divBdr>
      <w:divsChild>
        <w:div w:id="328292782">
          <w:marLeft w:val="446"/>
          <w:marRight w:val="0"/>
          <w:marTop w:val="0"/>
          <w:marBottom w:val="0"/>
          <w:divBdr>
            <w:top w:val="none" w:sz="0" w:space="0" w:color="auto"/>
            <w:left w:val="none" w:sz="0" w:space="0" w:color="auto"/>
            <w:bottom w:val="none" w:sz="0" w:space="0" w:color="auto"/>
            <w:right w:val="none" w:sz="0" w:space="0" w:color="auto"/>
          </w:divBdr>
        </w:div>
        <w:div w:id="756439871">
          <w:marLeft w:val="446"/>
          <w:marRight w:val="0"/>
          <w:marTop w:val="0"/>
          <w:marBottom w:val="0"/>
          <w:divBdr>
            <w:top w:val="none" w:sz="0" w:space="0" w:color="auto"/>
            <w:left w:val="none" w:sz="0" w:space="0" w:color="auto"/>
            <w:bottom w:val="none" w:sz="0" w:space="0" w:color="auto"/>
            <w:right w:val="none" w:sz="0" w:space="0" w:color="auto"/>
          </w:divBdr>
        </w:div>
        <w:div w:id="1068528523">
          <w:marLeft w:val="446"/>
          <w:marRight w:val="0"/>
          <w:marTop w:val="0"/>
          <w:marBottom w:val="0"/>
          <w:divBdr>
            <w:top w:val="none" w:sz="0" w:space="0" w:color="auto"/>
            <w:left w:val="none" w:sz="0" w:space="0" w:color="auto"/>
            <w:bottom w:val="none" w:sz="0" w:space="0" w:color="auto"/>
            <w:right w:val="none" w:sz="0" w:space="0" w:color="auto"/>
          </w:divBdr>
        </w:div>
        <w:div w:id="308557176">
          <w:marLeft w:val="446"/>
          <w:marRight w:val="0"/>
          <w:marTop w:val="0"/>
          <w:marBottom w:val="0"/>
          <w:divBdr>
            <w:top w:val="none" w:sz="0" w:space="0" w:color="auto"/>
            <w:left w:val="none" w:sz="0" w:space="0" w:color="auto"/>
            <w:bottom w:val="none" w:sz="0" w:space="0" w:color="auto"/>
            <w:right w:val="none" w:sz="0" w:space="0" w:color="auto"/>
          </w:divBdr>
        </w:div>
      </w:divsChild>
    </w:div>
    <w:div w:id="1485701584">
      <w:bodyDiv w:val="1"/>
      <w:marLeft w:val="0"/>
      <w:marRight w:val="0"/>
      <w:marTop w:val="0"/>
      <w:marBottom w:val="0"/>
      <w:divBdr>
        <w:top w:val="none" w:sz="0" w:space="0" w:color="auto"/>
        <w:left w:val="none" w:sz="0" w:space="0" w:color="auto"/>
        <w:bottom w:val="none" w:sz="0" w:space="0" w:color="auto"/>
        <w:right w:val="none" w:sz="0" w:space="0" w:color="auto"/>
      </w:divBdr>
    </w:div>
    <w:div w:id="1490361317">
      <w:bodyDiv w:val="1"/>
      <w:marLeft w:val="0"/>
      <w:marRight w:val="0"/>
      <w:marTop w:val="0"/>
      <w:marBottom w:val="0"/>
      <w:divBdr>
        <w:top w:val="none" w:sz="0" w:space="0" w:color="auto"/>
        <w:left w:val="none" w:sz="0" w:space="0" w:color="auto"/>
        <w:bottom w:val="none" w:sz="0" w:space="0" w:color="auto"/>
        <w:right w:val="none" w:sz="0" w:space="0" w:color="auto"/>
      </w:divBdr>
    </w:div>
    <w:div w:id="1491674032">
      <w:bodyDiv w:val="1"/>
      <w:marLeft w:val="0"/>
      <w:marRight w:val="0"/>
      <w:marTop w:val="0"/>
      <w:marBottom w:val="0"/>
      <w:divBdr>
        <w:top w:val="none" w:sz="0" w:space="0" w:color="auto"/>
        <w:left w:val="none" w:sz="0" w:space="0" w:color="auto"/>
        <w:bottom w:val="none" w:sz="0" w:space="0" w:color="auto"/>
        <w:right w:val="none" w:sz="0" w:space="0" w:color="auto"/>
      </w:divBdr>
    </w:div>
    <w:div w:id="1491870616">
      <w:bodyDiv w:val="1"/>
      <w:marLeft w:val="0"/>
      <w:marRight w:val="0"/>
      <w:marTop w:val="0"/>
      <w:marBottom w:val="0"/>
      <w:divBdr>
        <w:top w:val="none" w:sz="0" w:space="0" w:color="auto"/>
        <w:left w:val="none" w:sz="0" w:space="0" w:color="auto"/>
        <w:bottom w:val="none" w:sz="0" w:space="0" w:color="auto"/>
        <w:right w:val="none" w:sz="0" w:space="0" w:color="auto"/>
      </w:divBdr>
    </w:div>
    <w:div w:id="1503156846">
      <w:bodyDiv w:val="1"/>
      <w:marLeft w:val="0"/>
      <w:marRight w:val="0"/>
      <w:marTop w:val="0"/>
      <w:marBottom w:val="0"/>
      <w:divBdr>
        <w:top w:val="none" w:sz="0" w:space="0" w:color="auto"/>
        <w:left w:val="none" w:sz="0" w:space="0" w:color="auto"/>
        <w:bottom w:val="none" w:sz="0" w:space="0" w:color="auto"/>
        <w:right w:val="none" w:sz="0" w:space="0" w:color="auto"/>
      </w:divBdr>
    </w:div>
    <w:div w:id="1508474168">
      <w:bodyDiv w:val="1"/>
      <w:marLeft w:val="0"/>
      <w:marRight w:val="0"/>
      <w:marTop w:val="0"/>
      <w:marBottom w:val="0"/>
      <w:divBdr>
        <w:top w:val="none" w:sz="0" w:space="0" w:color="auto"/>
        <w:left w:val="none" w:sz="0" w:space="0" w:color="auto"/>
        <w:bottom w:val="none" w:sz="0" w:space="0" w:color="auto"/>
        <w:right w:val="none" w:sz="0" w:space="0" w:color="auto"/>
      </w:divBdr>
    </w:div>
    <w:div w:id="1511260582">
      <w:bodyDiv w:val="1"/>
      <w:marLeft w:val="0"/>
      <w:marRight w:val="0"/>
      <w:marTop w:val="0"/>
      <w:marBottom w:val="0"/>
      <w:divBdr>
        <w:top w:val="none" w:sz="0" w:space="0" w:color="auto"/>
        <w:left w:val="none" w:sz="0" w:space="0" w:color="auto"/>
        <w:bottom w:val="none" w:sz="0" w:space="0" w:color="auto"/>
        <w:right w:val="none" w:sz="0" w:space="0" w:color="auto"/>
      </w:divBdr>
    </w:div>
    <w:div w:id="1511600998">
      <w:bodyDiv w:val="1"/>
      <w:marLeft w:val="0"/>
      <w:marRight w:val="0"/>
      <w:marTop w:val="0"/>
      <w:marBottom w:val="0"/>
      <w:divBdr>
        <w:top w:val="none" w:sz="0" w:space="0" w:color="auto"/>
        <w:left w:val="none" w:sz="0" w:space="0" w:color="auto"/>
        <w:bottom w:val="none" w:sz="0" w:space="0" w:color="auto"/>
        <w:right w:val="none" w:sz="0" w:space="0" w:color="auto"/>
      </w:divBdr>
    </w:div>
    <w:div w:id="1514101462">
      <w:bodyDiv w:val="1"/>
      <w:marLeft w:val="0"/>
      <w:marRight w:val="0"/>
      <w:marTop w:val="0"/>
      <w:marBottom w:val="0"/>
      <w:divBdr>
        <w:top w:val="none" w:sz="0" w:space="0" w:color="auto"/>
        <w:left w:val="none" w:sz="0" w:space="0" w:color="auto"/>
        <w:bottom w:val="none" w:sz="0" w:space="0" w:color="auto"/>
        <w:right w:val="none" w:sz="0" w:space="0" w:color="auto"/>
      </w:divBdr>
    </w:div>
    <w:div w:id="1518423841">
      <w:bodyDiv w:val="1"/>
      <w:marLeft w:val="0"/>
      <w:marRight w:val="0"/>
      <w:marTop w:val="0"/>
      <w:marBottom w:val="0"/>
      <w:divBdr>
        <w:top w:val="none" w:sz="0" w:space="0" w:color="auto"/>
        <w:left w:val="none" w:sz="0" w:space="0" w:color="auto"/>
        <w:bottom w:val="none" w:sz="0" w:space="0" w:color="auto"/>
        <w:right w:val="none" w:sz="0" w:space="0" w:color="auto"/>
      </w:divBdr>
    </w:div>
    <w:div w:id="1528326317">
      <w:bodyDiv w:val="1"/>
      <w:marLeft w:val="0"/>
      <w:marRight w:val="0"/>
      <w:marTop w:val="0"/>
      <w:marBottom w:val="0"/>
      <w:divBdr>
        <w:top w:val="none" w:sz="0" w:space="0" w:color="auto"/>
        <w:left w:val="none" w:sz="0" w:space="0" w:color="auto"/>
        <w:bottom w:val="none" w:sz="0" w:space="0" w:color="auto"/>
        <w:right w:val="none" w:sz="0" w:space="0" w:color="auto"/>
      </w:divBdr>
    </w:div>
    <w:div w:id="1533960586">
      <w:bodyDiv w:val="1"/>
      <w:marLeft w:val="0"/>
      <w:marRight w:val="0"/>
      <w:marTop w:val="0"/>
      <w:marBottom w:val="0"/>
      <w:divBdr>
        <w:top w:val="none" w:sz="0" w:space="0" w:color="auto"/>
        <w:left w:val="none" w:sz="0" w:space="0" w:color="auto"/>
        <w:bottom w:val="none" w:sz="0" w:space="0" w:color="auto"/>
        <w:right w:val="none" w:sz="0" w:space="0" w:color="auto"/>
      </w:divBdr>
    </w:div>
    <w:div w:id="1538926592">
      <w:bodyDiv w:val="1"/>
      <w:marLeft w:val="0"/>
      <w:marRight w:val="0"/>
      <w:marTop w:val="0"/>
      <w:marBottom w:val="0"/>
      <w:divBdr>
        <w:top w:val="none" w:sz="0" w:space="0" w:color="auto"/>
        <w:left w:val="none" w:sz="0" w:space="0" w:color="auto"/>
        <w:bottom w:val="none" w:sz="0" w:space="0" w:color="auto"/>
        <w:right w:val="none" w:sz="0" w:space="0" w:color="auto"/>
      </w:divBdr>
    </w:div>
    <w:div w:id="1539395617">
      <w:bodyDiv w:val="1"/>
      <w:marLeft w:val="0"/>
      <w:marRight w:val="0"/>
      <w:marTop w:val="0"/>
      <w:marBottom w:val="0"/>
      <w:divBdr>
        <w:top w:val="none" w:sz="0" w:space="0" w:color="auto"/>
        <w:left w:val="none" w:sz="0" w:space="0" w:color="auto"/>
        <w:bottom w:val="none" w:sz="0" w:space="0" w:color="auto"/>
        <w:right w:val="none" w:sz="0" w:space="0" w:color="auto"/>
      </w:divBdr>
    </w:div>
    <w:div w:id="1540583108">
      <w:bodyDiv w:val="1"/>
      <w:marLeft w:val="0"/>
      <w:marRight w:val="0"/>
      <w:marTop w:val="0"/>
      <w:marBottom w:val="0"/>
      <w:divBdr>
        <w:top w:val="none" w:sz="0" w:space="0" w:color="auto"/>
        <w:left w:val="none" w:sz="0" w:space="0" w:color="auto"/>
        <w:bottom w:val="none" w:sz="0" w:space="0" w:color="auto"/>
        <w:right w:val="none" w:sz="0" w:space="0" w:color="auto"/>
      </w:divBdr>
    </w:div>
    <w:div w:id="1547260229">
      <w:bodyDiv w:val="1"/>
      <w:marLeft w:val="0"/>
      <w:marRight w:val="0"/>
      <w:marTop w:val="0"/>
      <w:marBottom w:val="0"/>
      <w:divBdr>
        <w:top w:val="none" w:sz="0" w:space="0" w:color="auto"/>
        <w:left w:val="none" w:sz="0" w:space="0" w:color="auto"/>
        <w:bottom w:val="none" w:sz="0" w:space="0" w:color="auto"/>
        <w:right w:val="none" w:sz="0" w:space="0" w:color="auto"/>
      </w:divBdr>
    </w:div>
    <w:div w:id="1548028324">
      <w:bodyDiv w:val="1"/>
      <w:marLeft w:val="0"/>
      <w:marRight w:val="0"/>
      <w:marTop w:val="0"/>
      <w:marBottom w:val="0"/>
      <w:divBdr>
        <w:top w:val="none" w:sz="0" w:space="0" w:color="auto"/>
        <w:left w:val="none" w:sz="0" w:space="0" w:color="auto"/>
        <w:bottom w:val="none" w:sz="0" w:space="0" w:color="auto"/>
        <w:right w:val="none" w:sz="0" w:space="0" w:color="auto"/>
      </w:divBdr>
    </w:div>
    <w:div w:id="1549368285">
      <w:bodyDiv w:val="1"/>
      <w:marLeft w:val="0"/>
      <w:marRight w:val="0"/>
      <w:marTop w:val="0"/>
      <w:marBottom w:val="0"/>
      <w:divBdr>
        <w:top w:val="none" w:sz="0" w:space="0" w:color="auto"/>
        <w:left w:val="none" w:sz="0" w:space="0" w:color="auto"/>
        <w:bottom w:val="none" w:sz="0" w:space="0" w:color="auto"/>
        <w:right w:val="none" w:sz="0" w:space="0" w:color="auto"/>
      </w:divBdr>
    </w:div>
    <w:div w:id="1550527997">
      <w:bodyDiv w:val="1"/>
      <w:marLeft w:val="0"/>
      <w:marRight w:val="0"/>
      <w:marTop w:val="0"/>
      <w:marBottom w:val="0"/>
      <w:divBdr>
        <w:top w:val="none" w:sz="0" w:space="0" w:color="auto"/>
        <w:left w:val="none" w:sz="0" w:space="0" w:color="auto"/>
        <w:bottom w:val="none" w:sz="0" w:space="0" w:color="auto"/>
        <w:right w:val="none" w:sz="0" w:space="0" w:color="auto"/>
      </w:divBdr>
    </w:div>
    <w:div w:id="1552040848">
      <w:bodyDiv w:val="1"/>
      <w:marLeft w:val="0"/>
      <w:marRight w:val="0"/>
      <w:marTop w:val="0"/>
      <w:marBottom w:val="0"/>
      <w:divBdr>
        <w:top w:val="none" w:sz="0" w:space="0" w:color="auto"/>
        <w:left w:val="none" w:sz="0" w:space="0" w:color="auto"/>
        <w:bottom w:val="none" w:sz="0" w:space="0" w:color="auto"/>
        <w:right w:val="none" w:sz="0" w:space="0" w:color="auto"/>
      </w:divBdr>
    </w:div>
    <w:div w:id="1553230534">
      <w:bodyDiv w:val="1"/>
      <w:marLeft w:val="0"/>
      <w:marRight w:val="0"/>
      <w:marTop w:val="0"/>
      <w:marBottom w:val="0"/>
      <w:divBdr>
        <w:top w:val="none" w:sz="0" w:space="0" w:color="auto"/>
        <w:left w:val="none" w:sz="0" w:space="0" w:color="auto"/>
        <w:bottom w:val="none" w:sz="0" w:space="0" w:color="auto"/>
        <w:right w:val="none" w:sz="0" w:space="0" w:color="auto"/>
      </w:divBdr>
    </w:div>
    <w:div w:id="1561283230">
      <w:bodyDiv w:val="1"/>
      <w:marLeft w:val="0"/>
      <w:marRight w:val="0"/>
      <w:marTop w:val="0"/>
      <w:marBottom w:val="0"/>
      <w:divBdr>
        <w:top w:val="none" w:sz="0" w:space="0" w:color="auto"/>
        <w:left w:val="none" w:sz="0" w:space="0" w:color="auto"/>
        <w:bottom w:val="none" w:sz="0" w:space="0" w:color="auto"/>
        <w:right w:val="none" w:sz="0" w:space="0" w:color="auto"/>
      </w:divBdr>
    </w:div>
    <w:div w:id="1563178633">
      <w:bodyDiv w:val="1"/>
      <w:marLeft w:val="0"/>
      <w:marRight w:val="0"/>
      <w:marTop w:val="0"/>
      <w:marBottom w:val="0"/>
      <w:divBdr>
        <w:top w:val="none" w:sz="0" w:space="0" w:color="auto"/>
        <w:left w:val="none" w:sz="0" w:space="0" w:color="auto"/>
        <w:bottom w:val="none" w:sz="0" w:space="0" w:color="auto"/>
        <w:right w:val="none" w:sz="0" w:space="0" w:color="auto"/>
      </w:divBdr>
    </w:div>
    <w:div w:id="1571577113">
      <w:bodyDiv w:val="1"/>
      <w:marLeft w:val="0"/>
      <w:marRight w:val="0"/>
      <w:marTop w:val="0"/>
      <w:marBottom w:val="0"/>
      <w:divBdr>
        <w:top w:val="none" w:sz="0" w:space="0" w:color="auto"/>
        <w:left w:val="none" w:sz="0" w:space="0" w:color="auto"/>
        <w:bottom w:val="none" w:sz="0" w:space="0" w:color="auto"/>
        <w:right w:val="none" w:sz="0" w:space="0" w:color="auto"/>
      </w:divBdr>
    </w:div>
    <w:div w:id="1577132395">
      <w:bodyDiv w:val="1"/>
      <w:marLeft w:val="0"/>
      <w:marRight w:val="0"/>
      <w:marTop w:val="0"/>
      <w:marBottom w:val="0"/>
      <w:divBdr>
        <w:top w:val="none" w:sz="0" w:space="0" w:color="auto"/>
        <w:left w:val="none" w:sz="0" w:space="0" w:color="auto"/>
        <w:bottom w:val="none" w:sz="0" w:space="0" w:color="auto"/>
        <w:right w:val="none" w:sz="0" w:space="0" w:color="auto"/>
      </w:divBdr>
      <w:divsChild>
        <w:div w:id="993291428">
          <w:marLeft w:val="446"/>
          <w:marRight w:val="0"/>
          <w:marTop w:val="0"/>
          <w:marBottom w:val="0"/>
          <w:divBdr>
            <w:top w:val="none" w:sz="0" w:space="0" w:color="auto"/>
            <w:left w:val="none" w:sz="0" w:space="0" w:color="auto"/>
            <w:bottom w:val="none" w:sz="0" w:space="0" w:color="auto"/>
            <w:right w:val="none" w:sz="0" w:space="0" w:color="auto"/>
          </w:divBdr>
        </w:div>
        <w:div w:id="1963995001">
          <w:marLeft w:val="446"/>
          <w:marRight w:val="0"/>
          <w:marTop w:val="0"/>
          <w:marBottom w:val="0"/>
          <w:divBdr>
            <w:top w:val="none" w:sz="0" w:space="0" w:color="auto"/>
            <w:left w:val="none" w:sz="0" w:space="0" w:color="auto"/>
            <w:bottom w:val="none" w:sz="0" w:space="0" w:color="auto"/>
            <w:right w:val="none" w:sz="0" w:space="0" w:color="auto"/>
          </w:divBdr>
        </w:div>
      </w:divsChild>
    </w:div>
    <w:div w:id="1581326483">
      <w:bodyDiv w:val="1"/>
      <w:marLeft w:val="0"/>
      <w:marRight w:val="0"/>
      <w:marTop w:val="0"/>
      <w:marBottom w:val="0"/>
      <w:divBdr>
        <w:top w:val="none" w:sz="0" w:space="0" w:color="auto"/>
        <w:left w:val="none" w:sz="0" w:space="0" w:color="auto"/>
        <w:bottom w:val="none" w:sz="0" w:space="0" w:color="auto"/>
        <w:right w:val="none" w:sz="0" w:space="0" w:color="auto"/>
      </w:divBdr>
    </w:div>
    <w:div w:id="1581479765">
      <w:bodyDiv w:val="1"/>
      <w:marLeft w:val="0"/>
      <w:marRight w:val="0"/>
      <w:marTop w:val="0"/>
      <w:marBottom w:val="0"/>
      <w:divBdr>
        <w:top w:val="none" w:sz="0" w:space="0" w:color="auto"/>
        <w:left w:val="none" w:sz="0" w:space="0" w:color="auto"/>
        <w:bottom w:val="none" w:sz="0" w:space="0" w:color="auto"/>
        <w:right w:val="none" w:sz="0" w:space="0" w:color="auto"/>
      </w:divBdr>
    </w:div>
    <w:div w:id="1581988656">
      <w:bodyDiv w:val="1"/>
      <w:marLeft w:val="0"/>
      <w:marRight w:val="0"/>
      <w:marTop w:val="0"/>
      <w:marBottom w:val="0"/>
      <w:divBdr>
        <w:top w:val="none" w:sz="0" w:space="0" w:color="auto"/>
        <w:left w:val="none" w:sz="0" w:space="0" w:color="auto"/>
        <w:bottom w:val="none" w:sz="0" w:space="0" w:color="auto"/>
        <w:right w:val="none" w:sz="0" w:space="0" w:color="auto"/>
      </w:divBdr>
    </w:div>
    <w:div w:id="1588345603">
      <w:bodyDiv w:val="1"/>
      <w:marLeft w:val="0"/>
      <w:marRight w:val="0"/>
      <w:marTop w:val="0"/>
      <w:marBottom w:val="0"/>
      <w:divBdr>
        <w:top w:val="none" w:sz="0" w:space="0" w:color="auto"/>
        <w:left w:val="none" w:sz="0" w:space="0" w:color="auto"/>
        <w:bottom w:val="none" w:sz="0" w:space="0" w:color="auto"/>
        <w:right w:val="none" w:sz="0" w:space="0" w:color="auto"/>
      </w:divBdr>
    </w:div>
    <w:div w:id="1591040990">
      <w:bodyDiv w:val="1"/>
      <w:marLeft w:val="0"/>
      <w:marRight w:val="0"/>
      <w:marTop w:val="0"/>
      <w:marBottom w:val="0"/>
      <w:divBdr>
        <w:top w:val="none" w:sz="0" w:space="0" w:color="auto"/>
        <w:left w:val="none" w:sz="0" w:space="0" w:color="auto"/>
        <w:bottom w:val="none" w:sz="0" w:space="0" w:color="auto"/>
        <w:right w:val="none" w:sz="0" w:space="0" w:color="auto"/>
      </w:divBdr>
    </w:div>
    <w:div w:id="1594391530">
      <w:bodyDiv w:val="1"/>
      <w:marLeft w:val="0"/>
      <w:marRight w:val="0"/>
      <w:marTop w:val="0"/>
      <w:marBottom w:val="0"/>
      <w:divBdr>
        <w:top w:val="none" w:sz="0" w:space="0" w:color="auto"/>
        <w:left w:val="none" w:sz="0" w:space="0" w:color="auto"/>
        <w:bottom w:val="none" w:sz="0" w:space="0" w:color="auto"/>
        <w:right w:val="none" w:sz="0" w:space="0" w:color="auto"/>
      </w:divBdr>
    </w:div>
    <w:div w:id="1598900674">
      <w:bodyDiv w:val="1"/>
      <w:marLeft w:val="0"/>
      <w:marRight w:val="0"/>
      <w:marTop w:val="0"/>
      <w:marBottom w:val="0"/>
      <w:divBdr>
        <w:top w:val="none" w:sz="0" w:space="0" w:color="auto"/>
        <w:left w:val="none" w:sz="0" w:space="0" w:color="auto"/>
        <w:bottom w:val="none" w:sz="0" w:space="0" w:color="auto"/>
        <w:right w:val="none" w:sz="0" w:space="0" w:color="auto"/>
      </w:divBdr>
    </w:div>
    <w:div w:id="1600144244">
      <w:bodyDiv w:val="1"/>
      <w:marLeft w:val="0"/>
      <w:marRight w:val="0"/>
      <w:marTop w:val="0"/>
      <w:marBottom w:val="0"/>
      <w:divBdr>
        <w:top w:val="none" w:sz="0" w:space="0" w:color="auto"/>
        <w:left w:val="none" w:sz="0" w:space="0" w:color="auto"/>
        <w:bottom w:val="none" w:sz="0" w:space="0" w:color="auto"/>
        <w:right w:val="none" w:sz="0" w:space="0" w:color="auto"/>
      </w:divBdr>
    </w:div>
    <w:div w:id="1601451273">
      <w:bodyDiv w:val="1"/>
      <w:marLeft w:val="0"/>
      <w:marRight w:val="0"/>
      <w:marTop w:val="0"/>
      <w:marBottom w:val="0"/>
      <w:divBdr>
        <w:top w:val="none" w:sz="0" w:space="0" w:color="auto"/>
        <w:left w:val="none" w:sz="0" w:space="0" w:color="auto"/>
        <w:bottom w:val="none" w:sz="0" w:space="0" w:color="auto"/>
        <w:right w:val="none" w:sz="0" w:space="0" w:color="auto"/>
      </w:divBdr>
    </w:div>
    <w:div w:id="1602761848">
      <w:bodyDiv w:val="1"/>
      <w:marLeft w:val="0"/>
      <w:marRight w:val="0"/>
      <w:marTop w:val="0"/>
      <w:marBottom w:val="0"/>
      <w:divBdr>
        <w:top w:val="none" w:sz="0" w:space="0" w:color="auto"/>
        <w:left w:val="none" w:sz="0" w:space="0" w:color="auto"/>
        <w:bottom w:val="none" w:sz="0" w:space="0" w:color="auto"/>
        <w:right w:val="none" w:sz="0" w:space="0" w:color="auto"/>
      </w:divBdr>
    </w:div>
    <w:div w:id="1627465431">
      <w:bodyDiv w:val="1"/>
      <w:marLeft w:val="0"/>
      <w:marRight w:val="0"/>
      <w:marTop w:val="0"/>
      <w:marBottom w:val="0"/>
      <w:divBdr>
        <w:top w:val="none" w:sz="0" w:space="0" w:color="auto"/>
        <w:left w:val="none" w:sz="0" w:space="0" w:color="auto"/>
        <w:bottom w:val="none" w:sz="0" w:space="0" w:color="auto"/>
        <w:right w:val="none" w:sz="0" w:space="0" w:color="auto"/>
      </w:divBdr>
    </w:div>
    <w:div w:id="1629238155">
      <w:bodyDiv w:val="1"/>
      <w:marLeft w:val="0"/>
      <w:marRight w:val="0"/>
      <w:marTop w:val="0"/>
      <w:marBottom w:val="0"/>
      <w:divBdr>
        <w:top w:val="none" w:sz="0" w:space="0" w:color="auto"/>
        <w:left w:val="none" w:sz="0" w:space="0" w:color="auto"/>
        <w:bottom w:val="none" w:sz="0" w:space="0" w:color="auto"/>
        <w:right w:val="none" w:sz="0" w:space="0" w:color="auto"/>
      </w:divBdr>
    </w:div>
    <w:div w:id="1631595233">
      <w:bodyDiv w:val="1"/>
      <w:marLeft w:val="0"/>
      <w:marRight w:val="0"/>
      <w:marTop w:val="0"/>
      <w:marBottom w:val="0"/>
      <w:divBdr>
        <w:top w:val="none" w:sz="0" w:space="0" w:color="auto"/>
        <w:left w:val="none" w:sz="0" w:space="0" w:color="auto"/>
        <w:bottom w:val="none" w:sz="0" w:space="0" w:color="auto"/>
        <w:right w:val="none" w:sz="0" w:space="0" w:color="auto"/>
      </w:divBdr>
    </w:div>
    <w:div w:id="1631939847">
      <w:bodyDiv w:val="1"/>
      <w:marLeft w:val="0"/>
      <w:marRight w:val="0"/>
      <w:marTop w:val="0"/>
      <w:marBottom w:val="0"/>
      <w:divBdr>
        <w:top w:val="none" w:sz="0" w:space="0" w:color="auto"/>
        <w:left w:val="none" w:sz="0" w:space="0" w:color="auto"/>
        <w:bottom w:val="none" w:sz="0" w:space="0" w:color="auto"/>
        <w:right w:val="none" w:sz="0" w:space="0" w:color="auto"/>
      </w:divBdr>
    </w:div>
    <w:div w:id="1636569009">
      <w:bodyDiv w:val="1"/>
      <w:marLeft w:val="0"/>
      <w:marRight w:val="0"/>
      <w:marTop w:val="0"/>
      <w:marBottom w:val="0"/>
      <w:divBdr>
        <w:top w:val="none" w:sz="0" w:space="0" w:color="auto"/>
        <w:left w:val="none" w:sz="0" w:space="0" w:color="auto"/>
        <w:bottom w:val="none" w:sz="0" w:space="0" w:color="auto"/>
        <w:right w:val="none" w:sz="0" w:space="0" w:color="auto"/>
      </w:divBdr>
    </w:div>
    <w:div w:id="1637956615">
      <w:bodyDiv w:val="1"/>
      <w:marLeft w:val="0"/>
      <w:marRight w:val="0"/>
      <w:marTop w:val="0"/>
      <w:marBottom w:val="0"/>
      <w:divBdr>
        <w:top w:val="none" w:sz="0" w:space="0" w:color="auto"/>
        <w:left w:val="none" w:sz="0" w:space="0" w:color="auto"/>
        <w:bottom w:val="none" w:sz="0" w:space="0" w:color="auto"/>
        <w:right w:val="none" w:sz="0" w:space="0" w:color="auto"/>
      </w:divBdr>
    </w:div>
    <w:div w:id="1650091984">
      <w:bodyDiv w:val="1"/>
      <w:marLeft w:val="0"/>
      <w:marRight w:val="0"/>
      <w:marTop w:val="0"/>
      <w:marBottom w:val="0"/>
      <w:divBdr>
        <w:top w:val="none" w:sz="0" w:space="0" w:color="auto"/>
        <w:left w:val="none" w:sz="0" w:space="0" w:color="auto"/>
        <w:bottom w:val="none" w:sz="0" w:space="0" w:color="auto"/>
        <w:right w:val="none" w:sz="0" w:space="0" w:color="auto"/>
      </w:divBdr>
    </w:div>
    <w:div w:id="1657100477">
      <w:bodyDiv w:val="1"/>
      <w:marLeft w:val="0"/>
      <w:marRight w:val="0"/>
      <w:marTop w:val="0"/>
      <w:marBottom w:val="0"/>
      <w:divBdr>
        <w:top w:val="none" w:sz="0" w:space="0" w:color="auto"/>
        <w:left w:val="none" w:sz="0" w:space="0" w:color="auto"/>
        <w:bottom w:val="none" w:sz="0" w:space="0" w:color="auto"/>
        <w:right w:val="none" w:sz="0" w:space="0" w:color="auto"/>
      </w:divBdr>
    </w:div>
    <w:div w:id="1664383878">
      <w:bodyDiv w:val="1"/>
      <w:marLeft w:val="0"/>
      <w:marRight w:val="0"/>
      <w:marTop w:val="0"/>
      <w:marBottom w:val="0"/>
      <w:divBdr>
        <w:top w:val="none" w:sz="0" w:space="0" w:color="auto"/>
        <w:left w:val="none" w:sz="0" w:space="0" w:color="auto"/>
        <w:bottom w:val="none" w:sz="0" w:space="0" w:color="auto"/>
        <w:right w:val="none" w:sz="0" w:space="0" w:color="auto"/>
      </w:divBdr>
    </w:div>
    <w:div w:id="1675494815">
      <w:bodyDiv w:val="1"/>
      <w:marLeft w:val="0"/>
      <w:marRight w:val="0"/>
      <w:marTop w:val="0"/>
      <w:marBottom w:val="0"/>
      <w:divBdr>
        <w:top w:val="none" w:sz="0" w:space="0" w:color="auto"/>
        <w:left w:val="none" w:sz="0" w:space="0" w:color="auto"/>
        <w:bottom w:val="none" w:sz="0" w:space="0" w:color="auto"/>
        <w:right w:val="none" w:sz="0" w:space="0" w:color="auto"/>
      </w:divBdr>
    </w:div>
    <w:div w:id="1679455630">
      <w:bodyDiv w:val="1"/>
      <w:marLeft w:val="0"/>
      <w:marRight w:val="0"/>
      <w:marTop w:val="0"/>
      <w:marBottom w:val="0"/>
      <w:divBdr>
        <w:top w:val="none" w:sz="0" w:space="0" w:color="auto"/>
        <w:left w:val="none" w:sz="0" w:space="0" w:color="auto"/>
        <w:bottom w:val="none" w:sz="0" w:space="0" w:color="auto"/>
        <w:right w:val="none" w:sz="0" w:space="0" w:color="auto"/>
      </w:divBdr>
    </w:div>
    <w:div w:id="1685476746">
      <w:bodyDiv w:val="1"/>
      <w:marLeft w:val="0"/>
      <w:marRight w:val="0"/>
      <w:marTop w:val="0"/>
      <w:marBottom w:val="0"/>
      <w:divBdr>
        <w:top w:val="none" w:sz="0" w:space="0" w:color="auto"/>
        <w:left w:val="none" w:sz="0" w:space="0" w:color="auto"/>
        <w:bottom w:val="none" w:sz="0" w:space="0" w:color="auto"/>
        <w:right w:val="none" w:sz="0" w:space="0" w:color="auto"/>
      </w:divBdr>
    </w:div>
    <w:div w:id="1690452051">
      <w:bodyDiv w:val="1"/>
      <w:marLeft w:val="0"/>
      <w:marRight w:val="0"/>
      <w:marTop w:val="0"/>
      <w:marBottom w:val="0"/>
      <w:divBdr>
        <w:top w:val="none" w:sz="0" w:space="0" w:color="auto"/>
        <w:left w:val="none" w:sz="0" w:space="0" w:color="auto"/>
        <w:bottom w:val="none" w:sz="0" w:space="0" w:color="auto"/>
        <w:right w:val="none" w:sz="0" w:space="0" w:color="auto"/>
      </w:divBdr>
    </w:div>
    <w:div w:id="1697149542">
      <w:bodyDiv w:val="1"/>
      <w:marLeft w:val="0"/>
      <w:marRight w:val="0"/>
      <w:marTop w:val="0"/>
      <w:marBottom w:val="0"/>
      <w:divBdr>
        <w:top w:val="none" w:sz="0" w:space="0" w:color="auto"/>
        <w:left w:val="none" w:sz="0" w:space="0" w:color="auto"/>
        <w:bottom w:val="none" w:sz="0" w:space="0" w:color="auto"/>
        <w:right w:val="none" w:sz="0" w:space="0" w:color="auto"/>
      </w:divBdr>
    </w:div>
    <w:div w:id="1709718215">
      <w:bodyDiv w:val="1"/>
      <w:marLeft w:val="0"/>
      <w:marRight w:val="0"/>
      <w:marTop w:val="0"/>
      <w:marBottom w:val="0"/>
      <w:divBdr>
        <w:top w:val="none" w:sz="0" w:space="0" w:color="auto"/>
        <w:left w:val="none" w:sz="0" w:space="0" w:color="auto"/>
        <w:bottom w:val="none" w:sz="0" w:space="0" w:color="auto"/>
        <w:right w:val="none" w:sz="0" w:space="0" w:color="auto"/>
      </w:divBdr>
    </w:div>
    <w:div w:id="1710031497">
      <w:bodyDiv w:val="1"/>
      <w:marLeft w:val="0"/>
      <w:marRight w:val="0"/>
      <w:marTop w:val="0"/>
      <w:marBottom w:val="0"/>
      <w:divBdr>
        <w:top w:val="none" w:sz="0" w:space="0" w:color="auto"/>
        <w:left w:val="none" w:sz="0" w:space="0" w:color="auto"/>
        <w:bottom w:val="none" w:sz="0" w:space="0" w:color="auto"/>
        <w:right w:val="none" w:sz="0" w:space="0" w:color="auto"/>
      </w:divBdr>
    </w:div>
    <w:div w:id="1712337868">
      <w:bodyDiv w:val="1"/>
      <w:marLeft w:val="0"/>
      <w:marRight w:val="0"/>
      <w:marTop w:val="0"/>
      <w:marBottom w:val="0"/>
      <w:divBdr>
        <w:top w:val="none" w:sz="0" w:space="0" w:color="auto"/>
        <w:left w:val="none" w:sz="0" w:space="0" w:color="auto"/>
        <w:bottom w:val="none" w:sz="0" w:space="0" w:color="auto"/>
        <w:right w:val="none" w:sz="0" w:space="0" w:color="auto"/>
      </w:divBdr>
    </w:div>
    <w:div w:id="1713117906">
      <w:bodyDiv w:val="1"/>
      <w:marLeft w:val="0"/>
      <w:marRight w:val="0"/>
      <w:marTop w:val="0"/>
      <w:marBottom w:val="0"/>
      <w:divBdr>
        <w:top w:val="none" w:sz="0" w:space="0" w:color="auto"/>
        <w:left w:val="none" w:sz="0" w:space="0" w:color="auto"/>
        <w:bottom w:val="none" w:sz="0" w:space="0" w:color="auto"/>
        <w:right w:val="none" w:sz="0" w:space="0" w:color="auto"/>
      </w:divBdr>
    </w:div>
    <w:div w:id="1717662018">
      <w:bodyDiv w:val="1"/>
      <w:marLeft w:val="0"/>
      <w:marRight w:val="0"/>
      <w:marTop w:val="0"/>
      <w:marBottom w:val="0"/>
      <w:divBdr>
        <w:top w:val="none" w:sz="0" w:space="0" w:color="auto"/>
        <w:left w:val="none" w:sz="0" w:space="0" w:color="auto"/>
        <w:bottom w:val="none" w:sz="0" w:space="0" w:color="auto"/>
        <w:right w:val="none" w:sz="0" w:space="0" w:color="auto"/>
      </w:divBdr>
    </w:div>
    <w:div w:id="1717856751">
      <w:bodyDiv w:val="1"/>
      <w:marLeft w:val="0"/>
      <w:marRight w:val="0"/>
      <w:marTop w:val="0"/>
      <w:marBottom w:val="0"/>
      <w:divBdr>
        <w:top w:val="none" w:sz="0" w:space="0" w:color="auto"/>
        <w:left w:val="none" w:sz="0" w:space="0" w:color="auto"/>
        <w:bottom w:val="none" w:sz="0" w:space="0" w:color="auto"/>
        <w:right w:val="none" w:sz="0" w:space="0" w:color="auto"/>
      </w:divBdr>
    </w:div>
    <w:div w:id="1717898194">
      <w:bodyDiv w:val="1"/>
      <w:marLeft w:val="0"/>
      <w:marRight w:val="0"/>
      <w:marTop w:val="0"/>
      <w:marBottom w:val="0"/>
      <w:divBdr>
        <w:top w:val="none" w:sz="0" w:space="0" w:color="auto"/>
        <w:left w:val="none" w:sz="0" w:space="0" w:color="auto"/>
        <w:bottom w:val="none" w:sz="0" w:space="0" w:color="auto"/>
        <w:right w:val="none" w:sz="0" w:space="0" w:color="auto"/>
      </w:divBdr>
    </w:div>
    <w:div w:id="1718893880">
      <w:bodyDiv w:val="1"/>
      <w:marLeft w:val="0"/>
      <w:marRight w:val="0"/>
      <w:marTop w:val="0"/>
      <w:marBottom w:val="0"/>
      <w:divBdr>
        <w:top w:val="none" w:sz="0" w:space="0" w:color="auto"/>
        <w:left w:val="none" w:sz="0" w:space="0" w:color="auto"/>
        <w:bottom w:val="none" w:sz="0" w:space="0" w:color="auto"/>
        <w:right w:val="none" w:sz="0" w:space="0" w:color="auto"/>
      </w:divBdr>
    </w:div>
    <w:div w:id="1726487323">
      <w:bodyDiv w:val="1"/>
      <w:marLeft w:val="0"/>
      <w:marRight w:val="0"/>
      <w:marTop w:val="0"/>
      <w:marBottom w:val="0"/>
      <w:divBdr>
        <w:top w:val="none" w:sz="0" w:space="0" w:color="auto"/>
        <w:left w:val="none" w:sz="0" w:space="0" w:color="auto"/>
        <w:bottom w:val="none" w:sz="0" w:space="0" w:color="auto"/>
        <w:right w:val="none" w:sz="0" w:space="0" w:color="auto"/>
      </w:divBdr>
    </w:div>
    <w:div w:id="1733193870">
      <w:bodyDiv w:val="1"/>
      <w:marLeft w:val="0"/>
      <w:marRight w:val="0"/>
      <w:marTop w:val="0"/>
      <w:marBottom w:val="0"/>
      <w:divBdr>
        <w:top w:val="none" w:sz="0" w:space="0" w:color="auto"/>
        <w:left w:val="none" w:sz="0" w:space="0" w:color="auto"/>
        <w:bottom w:val="none" w:sz="0" w:space="0" w:color="auto"/>
        <w:right w:val="none" w:sz="0" w:space="0" w:color="auto"/>
      </w:divBdr>
    </w:div>
    <w:div w:id="1733768939">
      <w:bodyDiv w:val="1"/>
      <w:marLeft w:val="0"/>
      <w:marRight w:val="0"/>
      <w:marTop w:val="0"/>
      <w:marBottom w:val="0"/>
      <w:divBdr>
        <w:top w:val="none" w:sz="0" w:space="0" w:color="auto"/>
        <w:left w:val="none" w:sz="0" w:space="0" w:color="auto"/>
        <w:bottom w:val="none" w:sz="0" w:space="0" w:color="auto"/>
        <w:right w:val="none" w:sz="0" w:space="0" w:color="auto"/>
      </w:divBdr>
    </w:div>
    <w:div w:id="1734700456">
      <w:bodyDiv w:val="1"/>
      <w:marLeft w:val="0"/>
      <w:marRight w:val="0"/>
      <w:marTop w:val="0"/>
      <w:marBottom w:val="0"/>
      <w:divBdr>
        <w:top w:val="none" w:sz="0" w:space="0" w:color="auto"/>
        <w:left w:val="none" w:sz="0" w:space="0" w:color="auto"/>
        <w:bottom w:val="none" w:sz="0" w:space="0" w:color="auto"/>
        <w:right w:val="none" w:sz="0" w:space="0" w:color="auto"/>
      </w:divBdr>
    </w:div>
    <w:div w:id="1739401993">
      <w:bodyDiv w:val="1"/>
      <w:marLeft w:val="0"/>
      <w:marRight w:val="0"/>
      <w:marTop w:val="0"/>
      <w:marBottom w:val="0"/>
      <w:divBdr>
        <w:top w:val="none" w:sz="0" w:space="0" w:color="auto"/>
        <w:left w:val="none" w:sz="0" w:space="0" w:color="auto"/>
        <w:bottom w:val="none" w:sz="0" w:space="0" w:color="auto"/>
        <w:right w:val="none" w:sz="0" w:space="0" w:color="auto"/>
      </w:divBdr>
    </w:div>
    <w:div w:id="1743288780">
      <w:bodyDiv w:val="1"/>
      <w:marLeft w:val="0"/>
      <w:marRight w:val="0"/>
      <w:marTop w:val="0"/>
      <w:marBottom w:val="0"/>
      <w:divBdr>
        <w:top w:val="none" w:sz="0" w:space="0" w:color="auto"/>
        <w:left w:val="none" w:sz="0" w:space="0" w:color="auto"/>
        <w:bottom w:val="none" w:sz="0" w:space="0" w:color="auto"/>
        <w:right w:val="none" w:sz="0" w:space="0" w:color="auto"/>
      </w:divBdr>
    </w:div>
    <w:div w:id="1744140194">
      <w:bodyDiv w:val="1"/>
      <w:marLeft w:val="0"/>
      <w:marRight w:val="0"/>
      <w:marTop w:val="0"/>
      <w:marBottom w:val="0"/>
      <w:divBdr>
        <w:top w:val="none" w:sz="0" w:space="0" w:color="auto"/>
        <w:left w:val="none" w:sz="0" w:space="0" w:color="auto"/>
        <w:bottom w:val="none" w:sz="0" w:space="0" w:color="auto"/>
        <w:right w:val="none" w:sz="0" w:space="0" w:color="auto"/>
      </w:divBdr>
    </w:div>
    <w:div w:id="1749303359">
      <w:bodyDiv w:val="1"/>
      <w:marLeft w:val="0"/>
      <w:marRight w:val="0"/>
      <w:marTop w:val="0"/>
      <w:marBottom w:val="0"/>
      <w:divBdr>
        <w:top w:val="none" w:sz="0" w:space="0" w:color="auto"/>
        <w:left w:val="none" w:sz="0" w:space="0" w:color="auto"/>
        <w:bottom w:val="none" w:sz="0" w:space="0" w:color="auto"/>
        <w:right w:val="none" w:sz="0" w:space="0" w:color="auto"/>
      </w:divBdr>
    </w:div>
    <w:div w:id="1750420734">
      <w:bodyDiv w:val="1"/>
      <w:marLeft w:val="0"/>
      <w:marRight w:val="0"/>
      <w:marTop w:val="0"/>
      <w:marBottom w:val="0"/>
      <w:divBdr>
        <w:top w:val="none" w:sz="0" w:space="0" w:color="auto"/>
        <w:left w:val="none" w:sz="0" w:space="0" w:color="auto"/>
        <w:bottom w:val="none" w:sz="0" w:space="0" w:color="auto"/>
        <w:right w:val="none" w:sz="0" w:space="0" w:color="auto"/>
      </w:divBdr>
    </w:div>
    <w:div w:id="1751082176">
      <w:bodyDiv w:val="1"/>
      <w:marLeft w:val="0"/>
      <w:marRight w:val="0"/>
      <w:marTop w:val="0"/>
      <w:marBottom w:val="0"/>
      <w:divBdr>
        <w:top w:val="none" w:sz="0" w:space="0" w:color="auto"/>
        <w:left w:val="none" w:sz="0" w:space="0" w:color="auto"/>
        <w:bottom w:val="none" w:sz="0" w:space="0" w:color="auto"/>
        <w:right w:val="none" w:sz="0" w:space="0" w:color="auto"/>
      </w:divBdr>
    </w:div>
    <w:div w:id="1754401207">
      <w:bodyDiv w:val="1"/>
      <w:marLeft w:val="0"/>
      <w:marRight w:val="0"/>
      <w:marTop w:val="0"/>
      <w:marBottom w:val="0"/>
      <w:divBdr>
        <w:top w:val="none" w:sz="0" w:space="0" w:color="auto"/>
        <w:left w:val="none" w:sz="0" w:space="0" w:color="auto"/>
        <w:bottom w:val="none" w:sz="0" w:space="0" w:color="auto"/>
        <w:right w:val="none" w:sz="0" w:space="0" w:color="auto"/>
      </w:divBdr>
      <w:divsChild>
        <w:div w:id="483401176">
          <w:marLeft w:val="446"/>
          <w:marRight w:val="0"/>
          <w:marTop w:val="0"/>
          <w:marBottom w:val="0"/>
          <w:divBdr>
            <w:top w:val="none" w:sz="0" w:space="0" w:color="auto"/>
            <w:left w:val="none" w:sz="0" w:space="0" w:color="auto"/>
            <w:bottom w:val="none" w:sz="0" w:space="0" w:color="auto"/>
            <w:right w:val="none" w:sz="0" w:space="0" w:color="auto"/>
          </w:divBdr>
        </w:div>
      </w:divsChild>
    </w:div>
    <w:div w:id="1755206220">
      <w:bodyDiv w:val="1"/>
      <w:marLeft w:val="0"/>
      <w:marRight w:val="0"/>
      <w:marTop w:val="0"/>
      <w:marBottom w:val="0"/>
      <w:divBdr>
        <w:top w:val="none" w:sz="0" w:space="0" w:color="auto"/>
        <w:left w:val="none" w:sz="0" w:space="0" w:color="auto"/>
        <w:bottom w:val="none" w:sz="0" w:space="0" w:color="auto"/>
        <w:right w:val="none" w:sz="0" w:space="0" w:color="auto"/>
      </w:divBdr>
    </w:div>
    <w:div w:id="1755852989">
      <w:bodyDiv w:val="1"/>
      <w:marLeft w:val="0"/>
      <w:marRight w:val="0"/>
      <w:marTop w:val="0"/>
      <w:marBottom w:val="0"/>
      <w:divBdr>
        <w:top w:val="none" w:sz="0" w:space="0" w:color="auto"/>
        <w:left w:val="none" w:sz="0" w:space="0" w:color="auto"/>
        <w:bottom w:val="none" w:sz="0" w:space="0" w:color="auto"/>
        <w:right w:val="none" w:sz="0" w:space="0" w:color="auto"/>
      </w:divBdr>
    </w:div>
    <w:div w:id="1758356423">
      <w:bodyDiv w:val="1"/>
      <w:marLeft w:val="0"/>
      <w:marRight w:val="0"/>
      <w:marTop w:val="0"/>
      <w:marBottom w:val="0"/>
      <w:divBdr>
        <w:top w:val="none" w:sz="0" w:space="0" w:color="auto"/>
        <w:left w:val="none" w:sz="0" w:space="0" w:color="auto"/>
        <w:bottom w:val="none" w:sz="0" w:space="0" w:color="auto"/>
        <w:right w:val="none" w:sz="0" w:space="0" w:color="auto"/>
      </w:divBdr>
    </w:div>
    <w:div w:id="1758937720">
      <w:bodyDiv w:val="1"/>
      <w:marLeft w:val="0"/>
      <w:marRight w:val="0"/>
      <w:marTop w:val="0"/>
      <w:marBottom w:val="0"/>
      <w:divBdr>
        <w:top w:val="none" w:sz="0" w:space="0" w:color="auto"/>
        <w:left w:val="none" w:sz="0" w:space="0" w:color="auto"/>
        <w:bottom w:val="none" w:sz="0" w:space="0" w:color="auto"/>
        <w:right w:val="none" w:sz="0" w:space="0" w:color="auto"/>
      </w:divBdr>
    </w:div>
    <w:div w:id="1762332120">
      <w:bodyDiv w:val="1"/>
      <w:marLeft w:val="0"/>
      <w:marRight w:val="0"/>
      <w:marTop w:val="0"/>
      <w:marBottom w:val="0"/>
      <w:divBdr>
        <w:top w:val="none" w:sz="0" w:space="0" w:color="auto"/>
        <w:left w:val="none" w:sz="0" w:space="0" w:color="auto"/>
        <w:bottom w:val="none" w:sz="0" w:space="0" w:color="auto"/>
        <w:right w:val="none" w:sz="0" w:space="0" w:color="auto"/>
      </w:divBdr>
    </w:div>
    <w:div w:id="1765220830">
      <w:bodyDiv w:val="1"/>
      <w:marLeft w:val="0"/>
      <w:marRight w:val="0"/>
      <w:marTop w:val="0"/>
      <w:marBottom w:val="0"/>
      <w:divBdr>
        <w:top w:val="none" w:sz="0" w:space="0" w:color="auto"/>
        <w:left w:val="none" w:sz="0" w:space="0" w:color="auto"/>
        <w:bottom w:val="none" w:sz="0" w:space="0" w:color="auto"/>
        <w:right w:val="none" w:sz="0" w:space="0" w:color="auto"/>
      </w:divBdr>
    </w:div>
    <w:div w:id="1770271982">
      <w:bodyDiv w:val="1"/>
      <w:marLeft w:val="0"/>
      <w:marRight w:val="0"/>
      <w:marTop w:val="0"/>
      <w:marBottom w:val="0"/>
      <w:divBdr>
        <w:top w:val="none" w:sz="0" w:space="0" w:color="auto"/>
        <w:left w:val="none" w:sz="0" w:space="0" w:color="auto"/>
        <w:bottom w:val="none" w:sz="0" w:space="0" w:color="auto"/>
        <w:right w:val="none" w:sz="0" w:space="0" w:color="auto"/>
      </w:divBdr>
    </w:div>
    <w:div w:id="1771395464">
      <w:bodyDiv w:val="1"/>
      <w:marLeft w:val="0"/>
      <w:marRight w:val="0"/>
      <w:marTop w:val="0"/>
      <w:marBottom w:val="0"/>
      <w:divBdr>
        <w:top w:val="none" w:sz="0" w:space="0" w:color="auto"/>
        <w:left w:val="none" w:sz="0" w:space="0" w:color="auto"/>
        <w:bottom w:val="none" w:sz="0" w:space="0" w:color="auto"/>
        <w:right w:val="none" w:sz="0" w:space="0" w:color="auto"/>
      </w:divBdr>
    </w:div>
    <w:div w:id="1775436123">
      <w:bodyDiv w:val="1"/>
      <w:marLeft w:val="0"/>
      <w:marRight w:val="0"/>
      <w:marTop w:val="0"/>
      <w:marBottom w:val="0"/>
      <w:divBdr>
        <w:top w:val="none" w:sz="0" w:space="0" w:color="auto"/>
        <w:left w:val="none" w:sz="0" w:space="0" w:color="auto"/>
        <w:bottom w:val="none" w:sz="0" w:space="0" w:color="auto"/>
        <w:right w:val="none" w:sz="0" w:space="0" w:color="auto"/>
      </w:divBdr>
    </w:div>
    <w:div w:id="1775590561">
      <w:bodyDiv w:val="1"/>
      <w:marLeft w:val="0"/>
      <w:marRight w:val="0"/>
      <w:marTop w:val="0"/>
      <w:marBottom w:val="0"/>
      <w:divBdr>
        <w:top w:val="none" w:sz="0" w:space="0" w:color="auto"/>
        <w:left w:val="none" w:sz="0" w:space="0" w:color="auto"/>
        <w:bottom w:val="none" w:sz="0" w:space="0" w:color="auto"/>
        <w:right w:val="none" w:sz="0" w:space="0" w:color="auto"/>
      </w:divBdr>
    </w:div>
    <w:div w:id="1777217068">
      <w:bodyDiv w:val="1"/>
      <w:marLeft w:val="0"/>
      <w:marRight w:val="0"/>
      <w:marTop w:val="0"/>
      <w:marBottom w:val="0"/>
      <w:divBdr>
        <w:top w:val="none" w:sz="0" w:space="0" w:color="auto"/>
        <w:left w:val="none" w:sz="0" w:space="0" w:color="auto"/>
        <w:bottom w:val="none" w:sz="0" w:space="0" w:color="auto"/>
        <w:right w:val="none" w:sz="0" w:space="0" w:color="auto"/>
      </w:divBdr>
    </w:div>
    <w:div w:id="1781021684">
      <w:bodyDiv w:val="1"/>
      <w:marLeft w:val="0"/>
      <w:marRight w:val="0"/>
      <w:marTop w:val="0"/>
      <w:marBottom w:val="0"/>
      <w:divBdr>
        <w:top w:val="none" w:sz="0" w:space="0" w:color="auto"/>
        <w:left w:val="none" w:sz="0" w:space="0" w:color="auto"/>
        <w:bottom w:val="none" w:sz="0" w:space="0" w:color="auto"/>
        <w:right w:val="none" w:sz="0" w:space="0" w:color="auto"/>
      </w:divBdr>
    </w:div>
    <w:div w:id="1785533553">
      <w:bodyDiv w:val="1"/>
      <w:marLeft w:val="0"/>
      <w:marRight w:val="0"/>
      <w:marTop w:val="0"/>
      <w:marBottom w:val="0"/>
      <w:divBdr>
        <w:top w:val="none" w:sz="0" w:space="0" w:color="auto"/>
        <w:left w:val="none" w:sz="0" w:space="0" w:color="auto"/>
        <w:bottom w:val="none" w:sz="0" w:space="0" w:color="auto"/>
        <w:right w:val="none" w:sz="0" w:space="0" w:color="auto"/>
      </w:divBdr>
    </w:div>
    <w:div w:id="1790053933">
      <w:bodyDiv w:val="1"/>
      <w:marLeft w:val="0"/>
      <w:marRight w:val="0"/>
      <w:marTop w:val="0"/>
      <w:marBottom w:val="0"/>
      <w:divBdr>
        <w:top w:val="none" w:sz="0" w:space="0" w:color="auto"/>
        <w:left w:val="none" w:sz="0" w:space="0" w:color="auto"/>
        <w:bottom w:val="none" w:sz="0" w:space="0" w:color="auto"/>
        <w:right w:val="none" w:sz="0" w:space="0" w:color="auto"/>
      </w:divBdr>
    </w:div>
    <w:div w:id="1795322842">
      <w:bodyDiv w:val="1"/>
      <w:marLeft w:val="0"/>
      <w:marRight w:val="0"/>
      <w:marTop w:val="0"/>
      <w:marBottom w:val="0"/>
      <w:divBdr>
        <w:top w:val="none" w:sz="0" w:space="0" w:color="auto"/>
        <w:left w:val="none" w:sz="0" w:space="0" w:color="auto"/>
        <w:bottom w:val="none" w:sz="0" w:space="0" w:color="auto"/>
        <w:right w:val="none" w:sz="0" w:space="0" w:color="auto"/>
      </w:divBdr>
    </w:div>
    <w:div w:id="1806435468">
      <w:bodyDiv w:val="1"/>
      <w:marLeft w:val="0"/>
      <w:marRight w:val="0"/>
      <w:marTop w:val="0"/>
      <w:marBottom w:val="0"/>
      <w:divBdr>
        <w:top w:val="none" w:sz="0" w:space="0" w:color="auto"/>
        <w:left w:val="none" w:sz="0" w:space="0" w:color="auto"/>
        <w:bottom w:val="none" w:sz="0" w:space="0" w:color="auto"/>
        <w:right w:val="none" w:sz="0" w:space="0" w:color="auto"/>
      </w:divBdr>
      <w:divsChild>
        <w:div w:id="1250233962">
          <w:marLeft w:val="446"/>
          <w:marRight w:val="0"/>
          <w:marTop w:val="0"/>
          <w:marBottom w:val="0"/>
          <w:divBdr>
            <w:top w:val="none" w:sz="0" w:space="0" w:color="auto"/>
            <w:left w:val="none" w:sz="0" w:space="0" w:color="auto"/>
            <w:bottom w:val="none" w:sz="0" w:space="0" w:color="auto"/>
            <w:right w:val="none" w:sz="0" w:space="0" w:color="auto"/>
          </w:divBdr>
        </w:div>
        <w:div w:id="186212089">
          <w:marLeft w:val="446"/>
          <w:marRight w:val="0"/>
          <w:marTop w:val="0"/>
          <w:marBottom w:val="0"/>
          <w:divBdr>
            <w:top w:val="none" w:sz="0" w:space="0" w:color="auto"/>
            <w:left w:val="none" w:sz="0" w:space="0" w:color="auto"/>
            <w:bottom w:val="none" w:sz="0" w:space="0" w:color="auto"/>
            <w:right w:val="none" w:sz="0" w:space="0" w:color="auto"/>
          </w:divBdr>
        </w:div>
        <w:div w:id="25254829">
          <w:marLeft w:val="446"/>
          <w:marRight w:val="0"/>
          <w:marTop w:val="0"/>
          <w:marBottom w:val="0"/>
          <w:divBdr>
            <w:top w:val="none" w:sz="0" w:space="0" w:color="auto"/>
            <w:left w:val="none" w:sz="0" w:space="0" w:color="auto"/>
            <w:bottom w:val="none" w:sz="0" w:space="0" w:color="auto"/>
            <w:right w:val="none" w:sz="0" w:space="0" w:color="auto"/>
          </w:divBdr>
        </w:div>
        <w:div w:id="383990323">
          <w:marLeft w:val="446"/>
          <w:marRight w:val="0"/>
          <w:marTop w:val="0"/>
          <w:marBottom w:val="0"/>
          <w:divBdr>
            <w:top w:val="none" w:sz="0" w:space="0" w:color="auto"/>
            <w:left w:val="none" w:sz="0" w:space="0" w:color="auto"/>
            <w:bottom w:val="none" w:sz="0" w:space="0" w:color="auto"/>
            <w:right w:val="none" w:sz="0" w:space="0" w:color="auto"/>
          </w:divBdr>
        </w:div>
        <w:div w:id="1174107944">
          <w:marLeft w:val="446"/>
          <w:marRight w:val="0"/>
          <w:marTop w:val="0"/>
          <w:marBottom w:val="0"/>
          <w:divBdr>
            <w:top w:val="none" w:sz="0" w:space="0" w:color="auto"/>
            <w:left w:val="none" w:sz="0" w:space="0" w:color="auto"/>
            <w:bottom w:val="none" w:sz="0" w:space="0" w:color="auto"/>
            <w:right w:val="none" w:sz="0" w:space="0" w:color="auto"/>
          </w:divBdr>
        </w:div>
      </w:divsChild>
    </w:div>
    <w:div w:id="1812206888">
      <w:bodyDiv w:val="1"/>
      <w:marLeft w:val="0"/>
      <w:marRight w:val="0"/>
      <w:marTop w:val="0"/>
      <w:marBottom w:val="0"/>
      <w:divBdr>
        <w:top w:val="none" w:sz="0" w:space="0" w:color="auto"/>
        <w:left w:val="none" w:sz="0" w:space="0" w:color="auto"/>
        <w:bottom w:val="none" w:sz="0" w:space="0" w:color="auto"/>
        <w:right w:val="none" w:sz="0" w:space="0" w:color="auto"/>
      </w:divBdr>
    </w:div>
    <w:div w:id="1814903675">
      <w:bodyDiv w:val="1"/>
      <w:marLeft w:val="0"/>
      <w:marRight w:val="0"/>
      <w:marTop w:val="0"/>
      <w:marBottom w:val="0"/>
      <w:divBdr>
        <w:top w:val="none" w:sz="0" w:space="0" w:color="auto"/>
        <w:left w:val="none" w:sz="0" w:space="0" w:color="auto"/>
        <w:bottom w:val="none" w:sz="0" w:space="0" w:color="auto"/>
        <w:right w:val="none" w:sz="0" w:space="0" w:color="auto"/>
      </w:divBdr>
    </w:div>
    <w:div w:id="1815020336">
      <w:bodyDiv w:val="1"/>
      <w:marLeft w:val="0"/>
      <w:marRight w:val="0"/>
      <w:marTop w:val="0"/>
      <w:marBottom w:val="0"/>
      <w:divBdr>
        <w:top w:val="none" w:sz="0" w:space="0" w:color="auto"/>
        <w:left w:val="none" w:sz="0" w:space="0" w:color="auto"/>
        <w:bottom w:val="none" w:sz="0" w:space="0" w:color="auto"/>
        <w:right w:val="none" w:sz="0" w:space="0" w:color="auto"/>
      </w:divBdr>
    </w:div>
    <w:div w:id="1815483648">
      <w:bodyDiv w:val="1"/>
      <w:marLeft w:val="0"/>
      <w:marRight w:val="0"/>
      <w:marTop w:val="0"/>
      <w:marBottom w:val="0"/>
      <w:divBdr>
        <w:top w:val="none" w:sz="0" w:space="0" w:color="auto"/>
        <w:left w:val="none" w:sz="0" w:space="0" w:color="auto"/>
        <w:bottom w:val="none" w:sz="0" w:space="0" w:color="auto"/>
        <w:right w:val="none" w:sz="0" w:space="0" w:color="auto"/>
      </w:divBdr>
    </w:div>
    <w:div w:id="1821001912">
      <w:bodyDiv w:val="1"/>
      <w:marLeft w:val="0"/>
      <w:marRight w:val="0"/>
      <w:marTop w:val="0"/>
      <w:marBottom w:val="0"/>
      <w:divBdr>
        <w:top w:val="none" w:sz="0" w:space="0" w:color="auto"/>
        <w:left w:val="none" w:sz="0" w:space="0" w:color="auto"/>
        <w:bottom w:val="none" w:sz="0" w:space="0" w:color="auto"/>
        <w:right w:val="none" w:sz="0" w:space="0" w:color="auto"/>
      </w:divBdr>
    </w:div>
    <w:div w:id="1821729875">
      <w:bodyDiv w:val="1"/>
      <w:marLeft w:val="0"/>
      <w:marRight w:val="0"/>
      <w:marTop w:val="0"/>
      <w:marBottom w:val="0"/>
      <w:divBdr>
        <w:top w:val="none" w:sz="0" w:space="0" w:color="auto"/>
        <w:left w:val="none" w:sz="0" w:space="0" w:color="auto"/>
        <w:bottom w:val="none" w:sz="0" w:space="0" w:color="auto"/>
        <w:right w:val="none" w:sz="0" w:space="0" w:color="auto"/>
      </w:divBdr>
    </w:div>
    <w:div w:id="1826819644">
      <w:bodyDiv w:val="1"/>
      <w:marLeft w:val="0"/>
      <w:marRight w:val="0"/>
      <w:marTop w:val="0"/>
      <w:marBottom w:val="0"/>
      <w:divBdr>
        <w:top w:val="none" w:sz="0" w:space="0" w:color="auto"/>
        <w:left w:val="none" w:sz="0" w:space="0" w:color="auto"/>
        <w:bottom w:val="none" w:sz="0" w:space="0" w:color="auto"/>
        <w:right w:val="none" w:sz="0" w:space="0" w:color="auto"/>
      </w:divBdr>
    </w:div>
    <w:div w:id="1830824197">
      <w:bodyDiv w:val="1"/>
      <w:marLeft w:val="0"/>
      <w:marRight w:val="0"/>
      <w:marTop w:val="0"/>
      <w:marBottom w:val="0"/>
      <w:divBdr>
        <w:top w:val="none" w:sz="0" w:space="0" w:color="auto"/>
        <w:left w:val="none" w:sz="0" w:space="0" w:color="auto"/>
        <w:bottom w:val="none" w:sz="0" w:space="0" w:color="auto"/>
        <w:right w:val="none" w:sz="0" w:space="0" w:color="auto"/>
      </w:divBdr>
    </w:div>
    <w:div w:id="1831016284">
      <w:bodyDiv w:val="1"/>
      <w:marLeft w:val="0"/>
      <w:marRight w:val="0"/>
      <w:marTop w:val="0"/>
      <w:marBottom w:val="0"/>
      <w:divBdr>
        <w:top w:val="none" w:sz="0" w:space="0" w:color="auto"/>
        <w:left w:val="none" w:sz="0" w:space="0" w:color="auto"/>
        <w:bottom w:val="none" w:sz="0" w:space="0" w:color="auto"/>
        <w:right w:val="none" w:sz="0" w:space="0" w:color="auto"/>
      </w:divBdr>
    </w:div>
    <w:div w:id="1834448845">
      <w:bodyDiv w:val="1"/>
      <w:marLeft w:val="0"/>
      <w:marRight w:val="0"/>
      <w:marTop w:val="0"/>
      <w:marBottom w:val="0"/>
      <w:divBdr>
        <w:top w:val="none" w:sz="0" w:space="0" w:color="auto"/>
        <w:left w:val="none" w:sz="0" w:space="0" w:color="auto"/>
        <w:bottom w:val="none" w:sz="0" w:space="0" w:color="auto"/>
        <w:right w:val="none" w:sz="0" w:space="0" w:color="auto"/>
      </w:divBdr>
    </w:div>
    <w:div w:id="1839299415">
      <w:bodyDiv w:val="1"/>
      <w:marLeft w:val="0"/>
      <w:marRight w:val="0"/>
      <w:marTop w:val="0"/>
      <w:marBottom w:val="0"/>
      <w:divBdr>
        <w:top w:val="none" w:sz="0" w:space="0" w:color="auto"/>
        <w:left w:val="none" w:sz="0" w:space="0" w:color="auto"/>
        <w:bottom w:val="none" w:sz="0" w:space="0" w:color="auto"/>
        <w:right w:val="none" w:sz="0" w:space="0" w:color="auto"/>
      </w:divBdr>
    </w:div>
    <w:div w:id="1840197880">
      <w:bodyDiv w:val="1"/>
      <w:marLeft w:val="0"/>
      <w:marRight w:val="0"/>
      <w:marTop w:val="0"/>
      <w:marBottom w:val="0"/>
      <w:divBdr>
        <w:top w:val="none" w:sz="0" w:space="0" w:color="auto"/>
        <w:left w:val="none" w:sz="0" w:space="0" w:color="auto"/>
        <w:bottom w:val="none" w:sz="0" w:space="0" w:color="auto"/>
        <w:right w:val="none" w:sz="0" w:space="0" w:color="auto"/>
      </w:divBdr>
    </w:div>
    <w:div w:id="1844975180">
      <w:bodyDiv w:val="1"/>
      <w:marLeft w:val="0"/>
      <w:marRight w:val="0"/>
      <w:marTop w:val="0"/>
      <w:marBottom w:val="0"/>
      <w:divBdr>
        <w:top w:val="none" w:sz="0" w:space="0" w:color="auto"/>
        <w:left w:val="none" w:sz="0" w:space="0" w:color="auto"/>
        <w:bottom w:val="none" w:sz="0" w:space="0" w:color="auto"/>
        <w:right w:val="none" w:sz="0" w:space="0" w:color="auto"/>
      </w:divBdr>
    </w:div>
    <w:div w:id="1852143257">
      <w:bodyDiv w:val="1"/>
      <w:marLeft w:val="0"/>
      <w:marRight w:val="0"/>
      <w:marTop w:val="0"/>
      <w:marBottom w:val="0"/>
      <w:divBdr>
        <w:top w:val="none" w:sz="0" w:space="0" w:color="auto"/>
        <w:left w:val="none" w:sz="0" w:space="0" w:color="auto"/>
        <w:bottom w:val="none" w:sz="0" w:space="0" w:color="auto"/>
        <w:right w:val="none" w:sz="0" w:space="0" w:color="auto"/>
      </w:divBdr>
    </w:div>
    <w:div w:id="1856725382">
      <w:bodyDiv w:val="1"/>
      <w:marLeft w:val="0"/>
      <w:marRight w:val="0"/>
      <w:marTop w:val="0"/>
      <w:marBottom w:val="0"/>
      <w:divBdr>
        <w:top w:val="none" w:sz="0" w:space="0" w:color="auto"/>
        <w:left w:val="none" w:sz="0" w:space="0" w:color="auto"/>
        <w:bottom w:val="none" w:sz="0" w:space="0" w:color="auto"/>
        <w:right w:val="none" w:sz="0" w:space="0" w:color="auto"/>
      </w:divBdr>
    </w:div>
    <w:div w:id="1858426171">
      <w:bodyDiv w:val="1"/>
      <w:marLeft w:val="0"/>
      <w:marRight w:val="0"/>
      <w:marTop w:val="0"/>
      <w:marBottom w:val="0"/>
      <w:divBdr>
        <w:top w:val="none" w:sz="0" w:space="0" w:color="auto"/>
        <w:left w:val="none" w:sz="0" w:space="0" w:color="auto"/>
        <w:bottom w:val="none" w:sz="0" w:space="0" w:color="auto"/>
        <w:right w:val="none" w:sz="0" w:space="0" w:color="auto"/>
      </w:divBdr>
    </w:div>
    <w:div w:id="1859267752">
      <w:bodyDiv w:val="1"/>
      <w:marLeft w:val="0"/>
      <w:marRight w:val="0"/>
      <w:marTop w:val="0"/>
      <w:marBottom w:val="0"/>
      <w:divBdr>
        <w:top w:val="none" w:sz="0" w:space="0" w:color="auto"/>
        <w:left w:val="none" w:sz="0" w:space="0" w:color="auto"/>
        <w:bottom w:val="none" w:sz="0" w:space="0" w:color="auto"/>
        <w:right w:val="none" w:sz="0" w:space="0" w:color="auto"/>
      </w:divBdr>
    </w:div>
    <w:div w:id="1859464442">
      <w:bodyDiv w:val="1"/>
      <w:marLeft w:val="0"/>
      <w:marRight w:val="0"/>
      <w:marTop w:val="0"/>
      <w:marBottom w:val="0"/>
      <w:divBdr>
        <w:top w:val="none" w:sz="0" w:space="0" w:color="auto"/>
        <w:left w:val="none" w:sz="0" w:space="0" w:color="auto"/>
        <w:bottom w:val="none" w:sz="0" w:space="0" w:color="auto"/>
        <w:right w:val="none" w:sz="0" w:space="0" w:color="auto"/>
      </w:divBdr>
    </w:div>
    <w:div w:id="1862546293">
      <w:bodyDiv w:val="1"/>
      <w:marLeft w:val="0"/>
      <w:marRight w:val="0"/>
      <w:marTop w:val="0"/>
      <w:marBottom w:val="0"/>
      <w:divBdr>
        <w:top w:val="none" w:sz="0" w:space="0" w:color="auto"/>
        <w:left w:val="none" w:sz="0" w:space="0" w:color="auto"/>
        <w:bottom w:val="none" w:sz="0" w:space="0" w:color="auto"/>
        <w:right w:val="none" w:sz="0" w:space="0" w:color="auto"/>
      </w:divBdr>
    </w:div>
    <w:div w:id="1864048518">
      <w:bodyDiv w:val="1"/>
      <w:marLeft w:val="0"/>
      <w:marRight w:val="0"/>
      <w:marTop w:val="0"/>
      <w:marBottom w:val="0"/>
      <w:divBdr>
        <w:top w:val="none" w:sz="0" w:space="0" w:color="auto"/>
        <w:left w:val="none" w:sz="0" w:space="0" w:color="auto"/>
        <w:bottom w:val="none" w:sz="0" w:space="0" w:color="auto"/>
        <w:right w:val="none" w:sz="0" w:space="0" w:color="auto"/>
      </w:divBdr>
      <w:divsChild>
        <w:div w:id="1447853215">
          <w:marLeft w:val="547"/>
          <w:marRight w:val="0"/>
          <w:marTop w:val="0"/>
          <w:marBottom w:val="0"/>
          <w:divBdr>
            <w:top w:val="none" w:sz="0" w:space="0" w:color="auto"/>
            <w:left w:val="none" w:sz="0" w:space="0" w:color="auto"/>
            <w:bottom w:val="none" w:sz="0" w:space="0" w:color="auto"/>
            <w:right w:val="none" w:sz="0" w:space="0" w:color="auto"/>
          </w:divBdr>
        </w:div>
        <w:div w:id="853880761">
          <w:marLeft w:val="547"/>
          <w:marRight w:val="0"/>
          <w:marTop w:val="0"/>
          <w:marBottom w:val="0"/>
          <w:divBdr>
            <w:top w:val="none" w:sz="0" w:space="0" w:color="auto"/>
            <w:left w:val="none" w:sz="0" w:space="0" w:color="auto"/>
            <w:bottom w:val="none" w:sz="0" w:space="0" w:color="auto"/>
            <w:right w:val="none" w:sz="0" w:space="0" w:color="auto"/>
          </w:divBdr>
        </w:div>
        <w:div w:id="1224831571">
          <w:marLeft w:val="547"/>
          <w:marRight w:val="0"/>
          <w:marTop w:val="0"/>
          <w:marBottom w:val="0"/>
          <w:divBdr>
            <w:top w:val="none" w:sz="0" w:space="0" w:color="auto"/>
            <w:left w:val="none" w:sz="0" w:space="0" w:color="auto"/>
            <w:bottom w:val="none" w:sz="0" w:space="0" w:color="auto"/>
            <w:right w:val="none" w:sz="0" w:space="0" w:color="auto"/>
          </w:divBdr>
        </w:div>
        <w:div w:id="1597252896">
          <w:marLeft w:val="547"/>
          <w:marRight w:val="0"/>
          <w:marTop w:val="0"/>
          <w:marBottom w:val="0"/>
          <w:divBdr>
            <w:top w:val="none" w:sz="0" w:space="0" w:color="auto"/>
            <w:left w:val="none" w:sz="0" w:space="0" w:color="auto"/>
            <w:bottom w:val="none" w:sz="0" w:space="0" w:color="auto"/>
            <w:right w:val="none" w:sz="0" w:space="0" w:color="auto"/>
          </w:divBdr>
        </w:div>
        <w:div w:id="1053507707">
          <w:marLeft w:val="547"/>
          <w:marRight w:val="0"/>
          <w:marTop w:val="0"/>
          <w:marBottom w:val="0"/>
          <w:divBdr>
            <w:top w:val="none" w:sz="0" w:space="0" w:color="auto"/>
            <w:left w:val="none" w:sz="0" w:space="0" w:color="auto"/>
            <w:bottom w:val="none" w:sz="0" w:space="0" w:color="auto"/>
            <w:right w:val="none" w:sz="0" w:space="0" w:color="auto"/>
          </w:divBdr>
        </w:div>
        <w:div w:id="1359698163">
          <w:marLeft w:val="547"/>
          <w:marRight w:val="0"/>
          <w:marTop w:val="0"/>
          <w:marBottom w:val="0"/>
          <w:divBdr>
            <w:top w:val="none" w:sz="0" w:space="0" w:color="auto"/>
            <w:left w:val="none" w:sz="0" w:space="0" w:color="auto"/>
            <w:bottom w:val="none" w:sz="0" w:space="0" w:color="auto"/>
            <w:right w:val="none" w:sz="0" w:space="0" w:color="auto"/>
          </w:divBdr>
        </w:div>
        <w:div w:id="1658997122">
          <w:marLeft w:val="547"/>
          <w:marRight w:val="0"/>
          <w:marTop w:val="0"/>
          <w:marBottom w:val="0"/>
          <w:divBdr>
            <w:top w:val="none" w:sz="0" w:space="0" w:color="auto"/>
            <w:left w:val="none" w:sz="0" w:space="0" w:color="auto"/>
            <w:bottom w:val="none" w:sz="0" w:space="0" w:color="auto"/>
            <w:right w:val="none" w:sz="0" w:space="0" w:color="auto"/>
          </w:divBdr>
        </w:div>
        <w:div w:id="1536231125">
          <w:marLeft w:val="547"/>
          <w:marRight w:val="0"/>
          <w:marTop w:val="0"/>
          <w:marBottom w:val="0"/>
          <w:divBdr>
            <w:top w:val="none" w:sz="0" w:space="0" w:color="auto"/>
            <w:left w:val="none" w:sz="0" w:space="0" w:color="auto"/>
            <w:bottom w:val="none" w:sz="0" w:space="0" w:color="auto"/>
            <w:right w:val="none" w:sz="0" w:space="0" w:color="auto"/>
          </w:divBdr>
        </w:div>
        <w:div w:id="457722691">
          <w:marLeft w:val="547"/>
          <w:marRight w:val="0"/>
          <w:marTop w:val="0"/>
          <w:marBottom w:val="0"/>
          <w:divBdr>
            <w:top w:val="none" w:sz="0" w:space="0" w:color="auto"/>
            <w:left w:val="none" w:sz="0" w:space="0" w:color="auto"/>
            <w:bottom w:val="none" w:sz="0" w:space="0" w:color="auto"/>
            <w:right w:val="none" w:sz="0" w:space="0" w:color="auto"/>
          </w:divBdr>
        </w:div>
        <w:div w:id="94794286">
          <w:marLeft w:val="547"/>
          <w:marRight w:val="0"/>
          <w:marTop w:val="0"/>
          <w:marBottom w:val="0"/>
          <w:divBdr>
            <w:top w:val="none" w:sz="0" w:space="0" w:color="auto"/>
            <w:left w:val="none" w:sz="0" w:space="0" w:color="auto"/>
            <w:bottom w:val="none" w:sz="0" w:space="0" w:color="auto"/>
            <w:right w:val="none" w:sz="0" w:space="0" w:color="auto"/>
          </w:divBdr>
        </w:div>
        <w:div w:id="1593852420">
          <w:marLeft w:val="547"/>
          <w:marRight w:val="0"/>
          <w:marTop w:val="0"/>
          <w:marBottom w:val="0"/>
          <w:divBdr>
            <w:top w:val="none" w:sz="0" w:space="0" w:color="auto"/>
            <w:left w:val="none" w:sz="0" w:space="0" w:color="auto"/>
            <w:bottom w:val="none" w:sz="0" w:space="0" w:color="auto"/>
            <w:right w:val="none" w:sz="0" w:space="0" w:color="auto"/>
          </w:divBdr>
        </w:div>
        <w:div w:id="1819762589">
          <w:marLeft w:val="547"/>
          <w:marRight w:val="0"/>
          <w:marTop w:val="0"/>
          <w:marBottom w:val="0"/>
          <w:divBdr>
            <w:top w:val="none" w:sz="0" w:space="0" w:color="auto"/>
            <w:left w:val="none" w:sz="0" w:space="0" w:color="auto"/>
            <w:bottom w:val="none" w:sz="0" w:space="0" w:color="auto"/>
            <w:right w:val="none" w:sz="0" w:space="0" w:color="auto"/>
          </w:divBdr>
        </w:div>
        <w:div w:id="2000573937">
          <w:marLeft w:val="547"/>
          <w:marRight w:val="0"/>
          <w:marTop w:val="0"/>
          <w:marBottom w:val="0"/>
          <w:divBdr>
            <w:top w:val="none" w:sz="0" w:space="0" w:color="auto"/>
            <w:left w:val="none" w:sz="0" w:space="0" w:color="auto"/>
            <w:bottom w:val="none" w:sz="0" w:space="0" w:color="auto"/>
            <w:right w:val="none" w:sz="0" w:space="0" w:color="auto"/>
          </w:divBdr>
        </w:div>
        <w:div w:id="1030687109">
          <w:marLeft w:val="547"/>
          <w:marRight w:val="0"/>
          <w:marTop w:val="0"/>
          <w:marBottom w:val="0"/>
          <w:divBdr>
            <w:top w:val="none" w:sz="0" w:space="0" w:color="auto"/>
            <w:left w:val="none" w:sz="0" w:space="0" w:color="auto"/>
            <w:bottom w:val="none" w:sz="0" w:space="0" w:color="auto"/>
            <w:right w:val="none" w:sz="0" w:space="0" w:color="auto"/>
          </w:divBdr>
        </w:div>
        <w:div w:id="787815528">
          <w:marLeft w:val="547"/>
          <w:marRight w:val="0"/>
          <w:marTop w:val="0"/>
          <w:marBottom w:val="0"/>
          <w:divBdr>
            <w:top w:val="none" w:sz="0" w:space="0" w:color="auto"/>
            <w:left w:val="none" w:sz="0" w:space="0" w:color="auto"/>
            <w:bottom w:val="none" w:sz="0" w:space="0" w:color="auto"/>
            <w:right w:val="none" w:sz="0" w:space="0" w:color="auto"/>
          </w:divBdr>
        </w:div>
        <w:div w:id="2112315765">
          <w:marLeft w:val="547"/>
          <w:marRight w:val="0"/>
          <w:marTop w:val="0"/>
          <w:marBottom w:val="0"/>
          <w:divBdr>
            <w:top w:val="none" w:sz="0" w:space="0" w:color="auto"/>
            <w:left w:val="none" w:sz="0" w:space="0" w:color="auto"/>
            <w:bottom w:val="none" w:sz="0" w:space="0" w:color="auto"/>
            <w:right w:val="none" w:sz="0" w:space="0" w:color="auto"/>
          </w:divBdr>
        </w:div>
      </w:divsChild>
    </w:div>
    <w:div w:id="1865244180">
      <w:bodyDiv w:val="1"/>
      <w:marLeft w:val="0"/>
      <w:marRight w:val="0"/>
      <w:marTop w:val="0"/>
      <w:marBottom w:val="0"/>
      <w:divBdr>
        <w:top w:val="none" w:sz="0" w:space="0" w:color="auto"/>
        <w:left w:val="none" w:sz="0" w:space="0" w:color="auto"/>
        <w:bottom w:val="none" w:sz="0" w:space="0" w:color="auto"/>
        <w:right w:val="none" w:sz="0" w:space="0" w:color="auto"/>
      </w:divBdr>
    </w:div>
    <w:div w:id="1866169762">
      <w:bodyDiv w:val="1"/>
      <w:marLeft w:val="0"/>
      <w:marRight w:val="0"/>
      <w:marTop w:val="0"/>
      <w:marBottom w:val="0"/>
      <w:divBdr>
        <w:top w:val="none" w:sz="0" w:space="0" w:color="auto"/>
        <w:left w:val="none" w:sz="0" w:space="0" w:color="auto"/>
        <w:bottom w:val="none" w:sz="0" w:space="0" w:color="auto"/>
        <w:right w:val="none" w:sz="0" w:space="0" w:color="auto"/>
      </w:divBdr>
    </w:div>
    <w:div w:id="1866408072">
      <w:bodyDiv w:val="1"/>
      <w:marLeft w:val="0"/>
      <w:marRight w:val="0"/>
      <w:marTop w:val="0"/>
      <w:marBottom w:val="0"/>
      <w:divBdr>
        <w:top w:val="none" w:sz="0" w:space="0" w:color="auto"/>
        <w:left w:val="none" w:sz="0" w:space="0" w:color="auto"/>
        <w:bottom w:val="none" w:sz="0" w:space="0" w:color="auto"/>
        <w:right w:val="none" w:sz="0" w:space="0" w:color="auto"/>
      </w:divBdr>
    </w:div>
    <w:div w:id="1868639306">
      <w:bodyDiv w:val="1"/>
      <w:marLeft w:val="0"/>
      <w:marRight w:val="0"/>
      <w:marTop w:val="0"/>
      <w:marBottom w:val="0"/>
      <w:divBdr>
        <w:top w:val="none" w:sz="0" w:space="0" w:color="auto"/>
        <w:left w:val="none" w:sz="0" w:space="0" w:color="auto"/>
        <w:bottom w:val="none" w:sz="0" w:space="0" w:color="auto"/>
        <w:right w:val="none" w:sz="0" w:space="0" w:color="auto"/>
      </w:divBdr>
    </w:div>
    <w:div w:id="1871648925">
      <w:bodyDiv w:val="1"/>
      <w:marLeft w:val="0"/>
      <w:marRight w:val="0"/>
      <w:marTop w:val="0"/>
      <w:marBottom w:val="0"/>
      <w:divBdr>
        <w:top w:val="none" w:sz="0" w:space="0" w:color="auto"/>
        <w:left w:val="none" w:sz="0" w:space="0" w:color="auto"/>
        <w:bottom w:val="none" w:sz="0" w:space="0" w:color="auto"/>
        <w:right w:val="none" w:sz="0" w:space="0" w:color="auto"/>
      </w:divBdr>
    </w:div>
    <w:div w:id="1871869285">
      <w:bodyDiv w:val="1"/>
      <w:marLeft w:val="0"/>
      <w:marRight w:val="0"/>
      <w:marTop w:val="0"/>
      <w:marBottom w:val="0"/>
      <w:divBdr>
        <w:top w:val="none" w:sz="0" w:space="0" w:color="auto"/>
        <w:left w:val="none" w:sz="0" w:space="0" w:color="auto"/>
        <w:bottom w:val="none" w:sz="0" w:space="0" w:color="auto"/>
        <w:right w:val="none" w:sz="0" w:space="0" w:color="auto"/>
      </w:divBdr>
    </w:div>
    <w:div w:id="1880622665">
      <w:bodyDiv w:val="1"/>
      <w:marLeft w:val="0"/>
      <w:marRight w:val="0"/>
      <w:marTop w:val="0"/>
      <w:marBottom w:val="0"/>
      <w:divBdr>
        <w:top w:val="none" w:sz="0" w:space="0" w:color="auto"/>
        <w:left w:val="none" w:sz="0" w:space="0" w:color="auto"/>
        <w:bottom w:val="none" w:sz="0" w:space="0" w:color="auto"/>
        <w:right w:val="none" w:sz="0" w:space="0" w:color="auto"/>
      </w:divBdr>
    </w:div>
    <w:div w:id="1883861527">
      <w:bodyDiv w:val="1"/>
      <w:marLeft w:val="0"/>
      <w:marRight w:val="0"/>
      <w:marTop w:val="0"/>
      <w:marBottom w:val="0"/>
      <w:divBdr>
        <w:top w:val="none" w:sz="0" w:space="0" w:color="auto"/>
        <w:left w:val="none" w:sz="0" w:space="0" w:color="auto"/>
        <w:bottom w:val="none" w:sz="0" w:space="0" w:color="auto"/>
        <w:right w:val="none" w:sz="0" w:space="0" w:color="auto"/>
      </w:divBdr>
    </w:div>
    <w:div w:id="1884053953">
      <w:bodyDiv w:val="1"/>
      <w:marLeft w:val="0"/>
      <w:marRight w:val="0"/>
      <w:marTop w:val="0"/>
      <w:marBottom w:val="0"/>
      <w:divBdr>
        <w:top w:val="none" w:sz="0" w:space="0" w:color="auto"/>
        <w:left w:val="none" w:sz="0" w:space="0" w:color="auto"/>
        <w:bottom w:val="none" w:sz="0" w:space="0" w:color="auto"/>
        <w:right w:val="none" w:sz="0" w:space="0" w:color="auto"/>
      </w:divBdr>
    </w:div>
    <w:div w:id="1889342228">
      <w:bodyDiv w:val="1"/>
      <w:marLeft w:val="0"/>
      <w:marRight w:val="0"/>
      <w:marTop w:val="0"/>
      <w:marBottom w:val="0"/>
      <w:divBdr>
        <w:top w:val="none" w:sz="0" w:space="0" w:color="auto"/>
        <w:left w:val="none" w:sz="0" w:space="0" w:color="auto"/>
        <w:bottom w:val="none" w:sz="0" w:space="0" w:color="auto"/>
        <w:right w:val="none" w:sz="0" w:space="0" w:color="auto"/>
      </w:divBdr>
    </w:div>
    <w:div w:id="1896234829">
      <w:bodyDiv w:val="1"/>
      <w:marLeft w:val="0"/>
      <w:marRight w:val="0"/>
      <w:marTop w:val="0"/>
      <w:marBottom w:val="0"/>
      <w:divBdr>
        <w:top w:val="none" w:sz="0" w:space="0" w:color="auto"/>
        <w:left w:val="none" w:sz="0" w:space="0" w:color="auto"/>
        <w:bottom w:val="none" w:sz="0" w:space="0" w:color="auto"/>
        <w:right w:val="none" w:sz="0" w:space="0" w:color="auto"/>
      </w:divBdr>
    </w:div>
    <w:div w:id="1901015030">
      <w:bodyDiv w:val="1"/>
      <w:marLeft w:val="0"/>
      <w:marRight w:val="0"/>
      <w:marTop w:val="0"/>
      <w:marBottom w:val="0"/>
      <w:divBdr>
        <w:top w:val="none" w:sz="0" w:space="0" w:color="auto"/>
        <w:left w:val="none" w:sz="0" w:space="0" w:color="auto"/>
        <w:bottom w:val="none" w:sz="0" w:space="0" w:color="auto"/>
        <w:right w:val="none" w:sz="0" w:space="0" w:color="auto"/>
      </w:divBdr>
    </w:div>
    <w:div w:id="1901479747">
      <w:bodyDiv w:val="1"/>
      <w:marLeft w:val="0"/>
      <w:marRight w:val="0"/>
      <w:marTop w:val="0"/>
      <w:marBottom w:val="0"/>
      <w:divBdr>
        <w:top w:val="none" w:sz="0" w:space="0" w:color="auto"/>
        <w:left w:val="none" w:sz="0" w:space="0" w:color="auto"/>
        <w:bottom w:val="none" w:sz="0" w:space="0" w:color="auto"/>
        <w:right w:val="none" w:sz="0" w:space="0" w:color="auto"/>
      </w:divBdr>
    </w:div>
    <w:div w:id="1903438954">
      <w:bodyDiv w:val="1"/>
      <w:marLeft w:val="0"/>
      <w:marRight w:val="0"/>
      <w:marTop w:val="0"/>
      <w:marBottom w:val="0"/>
      <w:divBdr>
        <w:top w:val="none" w:sz="0" w:space="0" w:color="auto"/>
        <w:left w:val="none" w:sz="0" w:space="0" w:color="auto"/>
        <w:bottom w:val="none" w:sz="0" w:space="0" w:color="auto"/>
        <w:right w:val="none" w:sz="0" w:space="0" w:color="auto"/>
      </w:divBdr>
    </w:div>
    <w:div w:id="1903523756">
      <w:bodyDiv w:val="1"/>
      <w:marLeft w:val="0"/>
      <w:marRight w:val="0"/>
      <w:marTop w:val="0"/>
      <w:marBottom w:val="0"/>
      <w:divBdr>
        <w:top w:val="none" w:sz="0" w:space="0" w:color="auto"/>
        <w:left w:val="none" w:sz="0" w:space="0" w:color="auto"/>
        <w:bottom w:val="none" w:sz="0" w:space="0" w:color="auto"/>
        <w:right w:val="none" w:sz="0" w:space="0" w:color="auto"/>
      </w:divBdr>
    </w:div>
    <w:div w:id="1906991392">
      <w:bodyDiv w:val="1"/>
      <w:marLeft w:val="0"/>
      <w:marRight w:val="0"/>
      <w:marTop w:val="0"/>
      <w:marBottom w:val="0"/>
      <w:divBdr>
        <w:top w:val="none" w:sz="0" w:space="0" w:color="auto"/>
        <w:left w:val="none" w:sz="0" w:space="0" w:color="auto"/>
        <w:bottom w:val="none" w:sz="0" w:space="0" w:color="auto"/>
        <w:right w:val="none" w:sz="0" w:space="0" w:color="auto"/>
      </w:divBdr>
    </w:div>
    <w:div w:id="1914587475">
      <w:bodyDiv w:val="1"/>
      <w:marLeft w:val="0"/>
      <w:marRight w:val="0"/>
      <w:marTop w:val="0"/>
      <w:marBottom w:val="0"/>
      <w:divBdr>
        <w:top w:val="none" w:sz="0" w:space="0" w:color="auto"/>
        <w:left w:val="none" w:sz="0" w:space="0" w:color="auto"/>
        <w:bottom w:val="none" w:sz="0" w:space="0" w:color="auto"/>
        <w:right w:val="none" w:sz="0" w:space="0" w:color="auto"/>
      </w:divBdr>
    </w:div>
    <w:div w:id="1916208636">
      <w:bodyDiv w:val="1"/>
      <w:marLeft w:val="0"/>
      <w:marRight w:val="0"/>
      <w:marTop w:val="0"/>
      <w:marBottom w:val="0"/>
      <w:divBdr>
        <w:top w:val="none" w:sz="0" w:space="0" w:color="auto"/>
        <w:left w:val="none" w:sz="0" w:space="0" w:color="auto"/>
        <w:bottom w:val="none" w:sz="0" w:space="0" w:color="auto"/>
        <w:right w:val="none" w:sz="0" w:space="0" w:color="auto"/>
      </w:divBdr>
    </w:div>
    <w:div w:id="1919317184">
      <w:bodyDiv w:val="1"/>
      <w:marLeft w:val="0"/>
      <w:marRight w:val="0"/>
      <w:marTop w:val="0"/>
      <w:marBottom w:val="0"/>
      <w:divBdr>
        <w:top w:val="none" w:sz="0" w:space="0" w:color="auto"/>
        <w:left w:val="none" w:sz="0" w:space="0" w:color="auto"/>
        <w:bottom w:val="none" w:sz="0" w:space="0" w:color="auto"/>
        <w:right w:val="none" w:sz="0" w:space="0" w:color="auto"/>
      </w:divBdr>
    </w:div>
    <w:div w:id="1938098880">
      <w:bodyDiv w:val="1"/>
      <w:marLeft w:val="0"/>
      <w:marRight w:val="0"/>
      <w:marTop w:val="0"/>
      <w:marBottom w:val="0"/>
      <w:divBdr>
        <w:top w:val="none" w:sz="0" w:space="0" w:color="auto"/>
        <w:left w:val="none" w:sz="0" w:space="0" w:color="auto"/>
        <w:bottom w:val="none" w:sz="0" w:space="0" w:color="auto"/>
        <w:right w:val="none" w:sz="0" w:space="0" w:color="auto"/>
      </w:divBdr>
    </w:div>
    <w:div w:id="1938295288">
      <w:bodyDiv w:val="1"/>
      <w:marLeft w:val="0"/>
      <w:marRight w:val="0"/>
      <w:marTop w:val="0"/>
      <w:marBottom w:val="0"/>
      <w:divBdr>
        <w:top w:val="none" w:sz="0" w:space="0" w:color="auto"/>
        <w:left w:val="none" w:sz="0" w:space="0" w:color="auto"/>
        <w:bottom w:val="none" w:sz="0" w:space="0" w:color="auto"/>
        <w:right w:val="none" w:sz="0" w:space="0" w:color="auto"/>
      </w:divBdr>
    </w:div>
    <w:div w:id="1943563104">
      <w:bodyDiv w:val="1"/>
      <w:marLeft w:val="0"/>
      <w:marRight w:val="0"/>
      <w:marTop w:val="0"/>
      <w:marBottom w:val="0"/>
      <w:divBdr>
        <w:top w:val="none" w:sz="0" w:space="0" w:color="auto"/>
        <w:left w:val="none" w:sz="0" w:space="0" w:color="auto"/>
        <w:bottom w:val="none" w:sz="0" w:space="0" w:color="auto"/>
        <w:right w:val="none" w:sz="0" w:space="0" w:color="auto"/>
      </w:divBdr>
    </w:div>
    <w:div w:id="1946111568">
      <w:bodyDiv w:val="1"/>
      <w:marLeft w:val="0"/>
      <w:marRight w:val="0"/>
      <w:marTop w:val="0"/>
      <w:marBottom w:val="0"/>
      <w:divBdr>
        <w:top w:val="none" w:sz="0" w:space="0" w:color="auto"/>
        <w:left w:val="none" w:sz="0" w:space="0" w:color="auto"/>
        <w:bottom w:val="none" w:sz="0" w:space="0" w:color="auto"/>
        <w:right w:val="none" w:sz="0" w:space="0" w:color="auto"/>
      </w:divBdr>
    </w:div>
    <w:div w:id="1946493861">
      <w:bodyDiv w:val="1"/>
      <w:marLeft w:val="0"/>
      <w:marRight w:val="0"/>
      <w:marTop w:val="0"/>
      <w:marBottom w:val="0"/>
      <w:divBdr>
        <w:top w:val="none" w:sz="0" w:space="0" w:color="auto"/>
        <w:left w:val="none" w:sz="0" w:space="0" w:color="auto"/>
        <w:bottom w:val="none" w:sz="0" w:space="0" w:color="auto"/>
        <w:right w:val="none" w:sz="0" w:space="0" w:color="auto"/>
      </w:divBdr>
    </w:div>
    <w:div w:id="1950118477">
      <w:bodyDiv w:val="1"/>
      <w:marLeft w:val="0"/>
      <w:marRight w:val="0"/>
      <w:marTop w:val="0"/>
      <w:marBottom w:val="0"/>
      <w:divBdr>
        <w:top w:val="none" w:sz="0" w:space="0" w:color="auto"/>
        <w:left w:val="none" w:sz="0" w:space="0" w:color="auto"/>
        <w:bottom w:val="none" w:sz="0" w:space="0" w:color="auto"/>
        <w:right w:val="none" w:sz="0" w:space="0" w:color="auto"/>
      </w:divBdr>
    </w:div>
    <w:div w:id="1957255543">
      <w:bodyDiv w:val="1"/>
      <w:marLeft w:val="0"/>
      <w:marRight w:val="0"/>
      <w:marTop w:val="0"/>
      <w:marBottom w:val="0"/>
      <w:divBdr>
        <w:top w:val="none" w:sz="0" w:space="0" w:color="auto"/>
        <w:left w:val="none" w:sz="0" w:space="0" w:color="auto"/>
        <w:bottom w:val="none" w:sz="0" w:space="0" w:color="auto"/>
        <w:right w:val="none" w:sz="0" w:space="0" w:color="auto"/>
      </w:divBdr>
      <w:divsChild>
        <w:div w:id="390887930">
          <w:marLeft w:val="446"/>
          <w:marRight w:val="0"/>
          <w:marTop w:val="0"/>
          <w:marBottom w:val="0"/>
          <w:divBdr>
            <w:top w:val="none" w:sz="0" w:space="0" w:color="auto"/>
            <w:left w:val="none" w:sz="0" w:space="0" w:color="auto"/>
            <w:bottom w:val="none" w:sz="0" w:space="0" w:color="auto"/>
            <w:right w:val="none" w:sz="0" w:space="0" w:color="auto"/>
          </w:divBdr>
        </w:div>
        <w:div w:id="690109350">
          <w:marLeft w:val="446"/>
          <w:marRight w:val="0"/>
          <w:marTop w:val="0"/>
          <w:marBottom w:val="0"/>
          <w:divBdr>
            <w:top w:val="none" w:sz="0" w:space="0" w:color="auto"/>
            <w:left w:val="none" w:sz="0" w:space="0" w:color="auto"/>
            <w:bottom w:val="none" w:sz="0" w:space="0" w:color="auto"/>
            <w:right w:val="none" w:sz="0" w:space="0" w:color="auto"/>
          </w:divBdr>
        </w:div>
        <w:div w:id="414740938">
          <w:marLeft w:val="446"/>
          <w:marRight w:val="0"/>
          <w:marTop w:val="0"/>
          <w:marBottom w:val="0"/>
          <w:divBdr>
            <w:top w:val="none" w:sz="0" w:space="0" w:color="auto"/>
            <w:left w:val="none" w:sz="0" w:space="0" w:color="auto"/>
            <w:bottom w:val="none" w:sz="0" w:space="0" w:color="auto"/>
            <w:right w:val="none" w:sz="0" w:space="0" w:color="auto"/>
          </w:divBdr>
        </w:div>
        <w:div w:id="345131256">
          <w:marLeft w:val="446"/>
          <w:marRight w:val="0"/>
          <w:marTop w:val="0"/>
          <w:marBottom w:val="0"/>
          <w:divBdr>
            <w:top w:val="none" w:sz="0" w:space="0" w:color="auto"/>
            <w:left w:val="none" w:sz="0" w:space="0" w:color="auto"/>
            <w:bottom w:val="none" w:sz="0" w:space="0" w:color="auto"/>
            <w:right w:val="none" w:sz="0" w:space="0" w:color="auto"/>
          </w:divBdr>
        </w:div>
        <w:div w:id="1474980571">
          <w:marLeft w:val="446"/>
          <w:marRight w:val="0"/>
          <w:marTop w:val="0"/>
          <w:marBottom w:val="0"/>
          <w:divBdr>
            <w:top w:val="none" w:sz="0" w:space="0" w:color="auto"/>
            <w:left w:val="none" w:sz="0" w:space="0" w:color="auto"/>
            <w:bottom w:val="none" w:sz="0" w:space="0" w:color="auto"/>
            <w:right w:val="none" w:sz="0" w:space="0" w:color="auto"/>
          </w:divBdr>
        </w:div>
        <w:div w:id="1175070452">
          <w:marLeft w:val="446"/>
          <w:marRight w:val="0"/>
          <w:marTop w:val="0"/>
          <w:marBottom w:val="0"/>
          <w:divBdr>
            <w:top w:val="none" w:sz="0" w:space="0" w:color="auto"/>
            <w:left w:val="none" w:sz="0" w:space="0" w:color="auto"/>
            <w:bottom w:val="none" w:sz="0" w:space="0" w:color="auto"/>
            <w:right w:val="none" w:sz="0" w:space="0" w:color="auto"/>
          </w:divBdr>
        </w:div>
      </w:divsChild>
    </w:div>
    <w:div w:id="1961254984">
      <w:bodyDiv w:val="1"/>
      <w:marLeft w:val="0"/>
      <w:marRight w:val="0"/>
      <w:marTop w:val="0"/>
      <w:marBottom w:val="0"/>
      <w:divBdr>
        <w:top w:val="none" w:sz="0" w:space="0" w:color="auto"/>
        <w:left w:val="none" w:sz="0" w:space="0" w:color="auto"/>
        <w:bottom w:val="none" w:sz="0" w:space="0" w:color="auto"/>
        <w:right w:val="none" w:sz="0" w:space="0" w:color="auto"/>
      </w:divBdr>
    </w:div>
    <w:div w:id="1964723869">
      <w:bodyDiv w:val="1"/>
      <w:marLeft w:val="0"/>
      <w:marRight w:val="0"/>
      <w:marTop w:val="0"/>
      <w:marBottom w:val="0"/>
      <w:divBdr>
        <w:top w:val="none" w:sz="0" w:space="0" w:color="auto"/>
        <w:left w:val="none" w:sz="0" w:space="0" w:color="auto"/>
        <w:bottom w:val="none" w:sz="0" w:space="0" w:color="auto"/>
        <w:right w:val="none" w:sz="0" w:space="0" w:color="auto"/>
      </w:divBdr>
    </w:div>
    <w:div w:id="1969894073">
      <w:bodyDiv w:val="1"/>
      <w:marLeft w:val="0"/>
      <w:marRight w:val="0"/>
      <w:marTop w:val="0"/>
      <w:marBottom w:val="0"/>
      <w:divBdr>
        <w:top w:val="none" w:sz="0" w:space="0" w:color="auto"/>
        <w:left w:val="none" w:sz="0" w:space="0" w:color="auto"/>
        <w:bottom w:val="none" w:sz="0" w:space="0" w:color="auto"/>
        <w:right w:val="none" w:sz="0" w:space="0" w:color="auto"/>
      </w:divBdr>
    </w:div>
    <w:div w:id="1975407026">
      <w:bodyDiv w:val="1"/>
      <w:marLeft w:val="0"/>
      <w:marRight w:val="0"/>
      <w:marTop w:val="0"/>
      <w:marBottom w:val="0"/>
      <w:divBdr>
        <w:top w:val="none" w:sz="0" w:space="0" w:color="auto"/>
        <w:left w:val="none" w:sz="0" w:space="0" w:color="auto"/>
        <w:bottom w:val="none" w:sz="0" w:space="0" w:color="auto"/>
        <w:right w:val="none" w:sz="0" w:space="0" w:color="auto"/>
      </w:divBdr>
    </w:div>
    <w:div w:id="1975864071">
      <w:bodyDiv w:val="1"/>
      <w:marLeft w:val="0"/>
      <w:marRight w:val="0"/>
      <w:marTop w:val="0"/>
      <w:marBottom w:val="0"/>
      <w:divBdr>
        <w:top w:val="none" w:sz="0" w:space="0" w:color="auto"/>
        <w:left w:val="none" w:sz="0" w:space="0" w:color="auto"/>
        <w:bottom w:val="none" w:sz="0" w:space="0" w:color="auto"/>
        <w:right w:val="none" w:sz="0" w:space="0" w:color="auto"/>
      </w:divBdr>
    </w:div>
    <w:div w:id="1976567138">
      <w:bodyDiv w:val="1"/>
      <w:marLeft w:val="0"/>
      <w:marRight w:val="0"/>
      <w:marTop w:val="0"/>
      <w:marBottom w:val="0"/>
      <w:divBdr>
        <w:top w:val="none" w:sz="0" w:space="0" w:color="auto"/>
        <w:left w:val="none" w:sz="0" w:space="0" w:color="auto"/>
        <w:bottom w:val="none" w:sz="0" w:space="0" w:color="auto"/>
        <w:right w:val="none" w:sz="0" w:space="0" w:color="auto"/>
      </w:divBdr>
    </w:div>
    <w:div w:id="1979525737">
      <w:bodyDiv w:val="1"/>
      <w:marLeft w:val="0"/>
      <w:marRight w:val="0"/>
      <w:marTop w:val="0"/>
      <w:marBottom w:val="0"/>
      <w:divBdr>
        <w:top w:val="none" w:sz="0" w:space="0" w:color="auto"/>
        <w:left w:val="none" w:sz="0" w:space="0" w:color="auto"/>
        <w:bottom w:val="none" w:sz="0" w:space="0" w:color="auto"/>
        <w:right w:val="none" w:sz="0" w:space="0" w:color="auto"/>
      </w:divBdr>
    </w:div>
    <w:div w:id="1982877343">
      <w:bodyDiv w:val="1"/>
      <w:marLeft w:val="0"/>
      <w:marRight w:val="0"/>
      <w:marTop w:val="0"/>
      <w:marBottom w:val="0"/>
      <w:divBdr>
        <w:top w:val="none" w:sz="0" w:space="0" w:color="auto"/>
        <w:left w:val="none" w:sz="0" w:space="0" w:color="auto"/>
        <w:bottom w:val="none" w:sz="0" w:space="0" w:color="auto"/>
        <w:right w:val="none" w:sz="0" w:space="0" w:color="auto"/>
      </w:divBdr>
      <w:divsChild>
        <w:div w:id="667943192">
          <w:marLeft w:val="547"/>
          <w:marRight w:val="0"/>
          <w:marTop w:val="0"/>
          <w:marBottom w:val="0"/>
          <w:divBdr>
            <w:top w:val="none" w:sz="0" w:space="0" w:color="auto"/>
            <w:left w:val="none" w:sz="0" w:space="0" w:color="auto"/>
            <w:bottom w:val="none" w:sz="0" w:space="0" w:color="auto"/>
            <w:right w:val="none" w:sz="0" w:space="0" w:color="auto"/>
          </w:divBdr>
        </w:div>
        <w:div w:id="1985163297">
          <w:marLeft w:val="547"/>
          <w:marRight w:val="0"/>
          <w:marTop w:val="0"/>
          <w:marBottom w:val="0"/>
          <w:divBdr>
            <w:top w:val="none" w:sz="0" w:space="0" w:color="auto"/>
            <w:left w:val="none" w:sz="0" w:space="0" w:color="auto"/>
            <w:bottom w:val="none" w:sz="0" w:space="0" w:color="auto"/>
            <w:right w:val="none" w:sz="0" w:space="0" w:color="auto"/>
          </w:divBdr>
        </w:div>
        <w:div w:id="609896636">
          <w:marLeft w:val="547"/>
          <w:marRight w:val="0"/>
          <w:marTop w:val="0"/>
          <w:marBottom w:val="0"/>
          <w:divBdr>
            <w:top w:val="none" w:sz="0" w:space="0" w:color="auto"/>
            <w:left w:val="none" w:sz="0" w:space="0" w:color="auto"/>
            <w:bottom w:val="none" w:sz="0" w:space="0" w:color="auto"/>
            <w:right w:val="none" w:sz="0" w:space="0" w:color="auto"/>
          </w:divBdr>
        </w:div>
        <w:div w:id="1675836492">
          <w:marLeft w:val="547"/>
          <w:marRight w:val="0"/>
          <w:marTop w:val="0"/>
          <w:marBottom w:val="0"/>
          <w:divBdr>
            <w:top w:val="none" w:sz="0" w:space="0" w:color="auto"/>
            <w:left w:val="none" w:sz="0" w:space="0" w:color="auto"/>
            <w:bottom w:val="none" w:sz="0" w:space="0" w:color="auto"/>
            <w:right w:val="none" w:sz="0" w:space="0" w:color="auto"/>
          </w:divBdr>
        </w:div>
        <w:div w:id="1394235140">
          <w:marLeft w:val="547"/>
          <w:marRight w:val="0"/>
          <w:marTop w:val="0"/>
          <w:marBottom w:val="0"/>
          <w:divBdr>
            <w:top w:val="none" w:sz="0" w:space="0" w:color="auto"/>
            <w:left w:val="none" w:sz="0" w:space="0" w:color="auto"/>
            <w:bottom w:val="none" w:sz="0" w:space="0" w:color="auto"/>
            <w:right w:val="none" w:sz="0" w:space="0" w:color="auto"/>
          </w:divBdr>
        </w:div>
        <w:div w:id="136412072">
          <w:marLeft w:val="547"/>
          <w:marRight w:val="0"/>
          <w:marTop w:val="0"/>
          <w:marBottom w:val="0"/>
          <w:divBdr>
            <w:top w:val="none" w:sz="0" w:space="0" w:color="auto"/>
            <w:left w:val="none" w:sz="0" w:space="0" w:color="auto"/>
            <w:bottom w:val="none" w:sz="0" w:space="0" w:color="auto"/>
            <w:right w:val="none" w:sz="0" w:space="0" w:color="auto"/>
          </w:divBdr>
        </w:div>
      </w:divsChild>
    </w:div>
    <w:div w:id="1985156432">
      <w:bodyDiv w:val="1"/>
      <w:marLeft w:val="0"/>
      <w:marRight w:val="0"/>
      <w:marTop w:val="0"/>
      <w:marBottom w:val="0"/>
      <w:divBdr>
        <w:top w:val="none" w:sz="0" w:space="0" w:color="auto"/>
        <w:left w:val="none" w:sz="0" w:space="0" w:color="auto"/>
        <w:bottom w:val="none" w:sz="0" w:space="0" w:color="auto"/>
        <w:right w:val="none" w:sz="0" w:space="0" w:color="auto"/>
      </w:divBdr>
    </w:div>
    <w:div w:id="1994791408">
      <w:bodyDiv w:val="1"/>
      <w:marLeft w:val="0"/>
      <w:marRight w:val="0"/>
      <w:marTop w:val="0"/>
      <w:marBottom w:val="0"/>
      <w:divBdr>
        <w:top w:val="none" w:sz="0" w:space="0" w:color="auto"/>
        <w:left w:val="none" w:sz="0" w:space="0" w:color="auto"/>
        <w:bottom w:val="none" w:sz="0" w:space="0" w:color="auto"/>
        <w:right w:val="none" w:sz="0" w:space="0" w:color="auto"/>
      </w:divBdr>
    </w:div>
    <w:div w:id="1995453382">
      <w:bodyDiv w:val="1"/>
      <w:marLeft w:val="0"/>
      <w:marRight w:val="0"/>
      <w:marTop w:val="0"/>
      <w:marBottom w:val="0"/>
      <w:divBdr>
        <w:top w:val="none" w:sz="0" w:space="0" w:color="auto"/>
        <w:left w:val="none" w:sz="0" w:space="0" w:color="auto"/>
        <w:bottom w:val="none" w:sz="0" w:space="0" w:color="auto"/>
        <w:right w:val="none" w:sz="0" w:space="0" w:color="auto"/>
      </w:divBdr>
    </w:div>
    <w:div w:id="1996253907">
      <w:bodyDiv w:val="1"/>
      <w:marLeft w:val="0"/>
      <w:marRight w:val="0"/>
      <w:marTop w:val="0"/>
      <w:marBottom w:val="0"/>
      <w:divBdr>
        <w:top w:val="none" w:sz="0" w:space="0" w:color="auto"/>
        <w:left w:val="none" w:sz="0" w:space="0" w:color="auto"/>
        <w:bottom w:val="none" w:sz="0" w:space="0" w:color="auto"/>
        <w:right w:val="none" w:sz="0" w:space="0" w:color="auto"/>
      </w:divBdr>
    </w:div>
    <w:div w:id="2003385978">
      <w:bodyDiv w:val="1"/>
      <w:marLeft w:val="0"/>
      <w:marRight w:val="0"/>
      <w:marTop w:val="0"/>
      <w:marBottom w:val="0"/>
      <w:divBdr>
        <w:top w:val="none" w:sz="0" w:space="0" w:color="auto"/>
        <w:left w:val="none" w:sz="0" w:space="0" w:color="auto"/>
        <w:bottom w:val="none" w:sz="0" w:space="0" w:color="auto"/>
        <w:right w:val="none" w:sz="0" w:space="0" w:color="auto"/>
      </w:divBdr>
    </w:div>
    <w:div w:id="2010213588">
      <w:bodyDiv w:val="1"/>
      <w:marLeft w:val="0"/>
      <w:marRight w:val="0"/>
      <w:marTop w:val="0"/>
      <w:marBottom w:val="0"/>
      <w:divBdr>
        <w:top w:val="none" w:sz="0" w:space="0" w:color="auto"/>
        <w:left w:val="none" w:sz="0" w:space="0" w:color="auto"/>
        <w:bottom w:val="none" w:sz="0" w:space="0" w:color="auto"/>
        <w:right w:val="none" w:sz="0" w:space="0" w:color="auto"/>
      </w:divBdr>
    </w:div>
    <w:div w:id="2014214224">
      <w:bodyDiv w:val="1"/>
      <w:marLeft w:val="0"/>
      <w:marRight w:val="0"/>
      <w:marTop w:val="0"/>
      <w:marBottom w:val="0"/>
      <w:divBdr>
        <w:top w:val="none" w:sz="0" w:space="0" w:color="auto"/>
        <w:left w:val="none" w:sz="0" w:space="0" w:color="auto"/>
        <w:bottom w:val="none" w:sz="0" w:space="0" w:color="auto"/>
        <w:right w:val="none" w:sz="0" w:space="0" w:color="auto"/>
      </w:divBdr>
    </w:div>
    <w:div w:id="2017609758">
      <w:bodyDiv w:val="1"/>
      <w:marLeft w:val="0"/>
      <w:marRight w:val="0"/>
      <w:marTop w:val="0"/>
      <w:marBottom w:val="0"/>
      <w:divBdr>
        <w:top w:val="none" w:sz="0" w:space="0" w:color="auto"/>
        <w:left w:val="none" w:sz="0" w:space="0" w:color="auto"/>
        <w:bottom w:val="none" w:sz="0" w:space="0" w:color="auto"/>
        <w:right w:val="none" w:sz="0" w:space="0" w:color="auto"/>
      </w:divBdr>
    </w:div>
    <w:div w:id="2017994903">
      <w:bodyDiv w:val="1"/>
      <w:marLeft w:val="0"/>
      <w:marRight w:val="0"/>
      <w:marTop w:val="0"/>
      <w:marBottom w:val="0"/>
      <w:divBdr>
        <w:top w:val="none" w:sz="0" w:space="0" w:color="auto"/>
        <w:left w:val="none" w:sz="0" w:space="0" w:color="auto"/>
        <w:bottom w:val="none" w:sz="0" w:space="0" w:color="auto"/>
        <w:right w:val="none" w:sz="0" w:space="0" w:color="auto"/>
      </w:divBdr>
    </w:div>
    <w:div w:id="2019194400">
      <w:bodyDiv w:val="1"/>
      <w:marLeft w:val="0"/>
      <w:marRight w:val="0"/>
      <w:marTop w:val="0"/>
      <w:marBottom w:val="0"/>
      <w:divBdr>
        <w:top w:val="none" w:sz="0" w:space="0" w:color="auto"/>
        <w:left w:val="none" w:sz="0" w:space="0" w:color="auto"/>
        <w:bottom w:val="none" w:sz="0" w:space="0" w:color="auto"/>
        <w:right w:val="none" w:sz="0" w:space="0" w:color="auto"/>
      </w:divBdr>
    </w:div>
    <w:div w:id="2020085757">
      <w:bodyDiv w:val="1"/>
      <w:marLeft w:val="0"/>
      <w:marRight w:val="0"/>
      <w:marTop w:val="0"/>
      <w:marBottom w:val="0"/>
      <w:divBdr>
        <w:top w:val="none" w:sz="0" w:space="0" w:color="auto"/>
        <w:left w:val="none" w:sz="0" w:space="0" w:color="auto"/>
        <w:bottom w:val="none" w:sz="0" w:space="0" w:color="auto"/>
        <w:right w:val="none" w:sz="0" w:space="0" w:color="auto"/>
      </w:divBdr>
    </w:div>
    <w:div w:id="2028865124">
      <w:bodyDiv w:val="1"/>
      <w:marLeft w:val="0"/>
      <w:marRight w:val="0"/>
      <w:marTop w:val="0"/>
      <w:marBottom w:val="0"/>
      <w:divBdr>
        <w:top w:val="none" w:sz="0" w:space="0" w:color="auto"/>
        <w:left w:val="none" w:sz="0" w:space="0" w:color="auto"/>
        <w:bottom w:val="none" w:sz="0" w:space="0" w:color="auto"/>
        <w:right w:val="none" w:sz="0" w:space="0" w:color="auto"/>
      </w:divBdr>
    </w:div>
    <w:div w:id="2031685221">
      <w:bodyDiv w:val="1"/>
      <w:marLeft w:val="0"/>
      <w:marRight w:val="0"/>
      <w:marTop w:val="0"/>
      <w:marBottom w:val="0"/>
      <w:divBdr>
        <w:top w:val="none" w:sz="0" w:space="0" w:color="auto"/>
        <w:left w:val="none" w:sz="0" w:space="0" w:color="auto"/>
        <w:bottom w:val="none" w:sz="0" w:space="0" w:color="auto"/>
        <w:right w:val="none" w:sz="0" w:space="0" w:color="auto"/>
      </w:divBdr>
    </w:div>
    <w:div w:id="2034842325">
      <w:bodyDiv w:val="1"/>
      <w:marLeft w:val="0"/>
      <w:marRight w:val="0"/>
      <w:marTop w:val="0"/>
      <w:marBottom w:val="0"/>
      <w:divBdr>
        <w:top w:val="none" w:sz="0" w:space="0" w:color="auto"/>
        <w:left w:val="none" w:sz="0" w:space="0" w:color="auto"/>
        <w:bottom w:val="none" w:sz="0" w:space="0" w:color="auto"/>
        <w:right w:val="none" w:sz="0" w:space="0" w:color="auto"/>
      </w:divBdr>
    </w:div>
    <w:div w:id="2047833650">
      <w:bodyDiv w:val="1"/>
      <w:marLeft w:val="0"/>
      <w:marRight w:val="0"/>
      <w:marTop w:val="0"/>
      <w:marBottom w:val="0"/>
      <w:divBdr>
        <w:top w:val="none" w:sz="0" w:space="0" w:color="auto"/>
        <w:left w:val="none" w:sz="0" w:space="0" w:color="auto"/>
        <w:bottom w:val="none" w:sz="0" w:space="0" w:color="auto"/>
        <w:right w:val="none" w:sz="0" w:space="0" w:color="auto"/>
      </w:divBdr>
    </w:div>
    <w:div w:id="2056194794">
      <w:bodyDiv w:val="1"/>
      <w:marLeft w:val="0"/>
      <w:marRight w:val="0"/>
      <w:marTop w:val="0"/>
      <w:marBottom w:val="0"/>
      <w:divBdr>
        <w:top w:val="none" w:sz="0" w:space="0" w:color="auto"/>
        <w:left w:val="none" w:sz="0" w:space="0" w:color="auto"/>
        <w:bottom w:val="none" w:sz="0" w:space="0" w:color="auto"/>
        <w:right w:val="none" w:sz="0" w:space="0" w:color="auto"/>
      </w:divBdr>
    </w:div>
    <w:div w:id="2058817310">
      <w:bodyDiv w:val="1"/>
      <w:marLeft w:val="0"/>
      <w:marRight w:val="0"/>
      <w:marTop w:val="0"/>
      <w:marBottom w:val="0"/>
      <w:divBdr>
        <w:top w:val="none" w:sz="0" w:space="0" w:color="auto"/>
        <w:left w:val="none" w:sz="0" w:space="0" w:color="auto"/>
        <w:bottom w:val="none" w:sz="0" w:space="0" w:color="auto"/>
        <w:right w:val="none" w:sz="0" w:space="0" w:color="auto"/>
      </w:divBdr>
    </w:div>
    <w:div w:id="2065639454">
      <w:bodyDiv w:val="1"/>
      <w:marLeft w:val="0"/>
      <w:marRight w:val="0"/>
      <w:marTop w:val="0"/>
      <w:marBottom w:val="0"/>
      <w:divBdr>
        <w:top w:val="none" w:sz="0" w:space="0" w:color="auto"/>
        <w:left w:val="none" w:sz="0" w:space="0" w:color="auto"/>
        <w:bottom w:val="none" w:sz="0" w:space="0" w:color="auto"/>
        <w:right w:val="none" w:sz="0" w:space="0" w:color="auto"/>
      </w:divBdr>
    </w:div>
    <w:div w:id="2071464132">
      <w:bodyDiv w:val="1"/>
      <w:marLeft w:val="0"/>
      <w:marRight w:val="0"/>
      <w:marTop w:val="0"/>
      <w:marBottom w:val="0"/>
      <w:divBdr>
        <w:top w:val="none" w:sz="0" w:space="0" w:color="auto"/>
        <w:left w:val="none" w:sz="0" w:space="0" w:color="auto"/>
        <w:bottom w:val="none" w:sz="0" w:space="0" w:color="auto"/>
        <w:right w:val="none" w:sz="0" w:space="0" w:color="auto"/>
      </w:divBdr>
      <w:divsChild>
        <w:div w:id="222371341">
          <w:marLeft w:val="446"/>
          <w:marRight w:val="0"/>
          <w:marTop w:val="0"/>
          <w:marBottom w:val="0"/>
          <w:divBdr>
            <w:top w:val="none" w:sz="0" w:space="0" w:color="auto"/>
            <w:left w:val="none" w:sz="0" w:space="0" w:color="auto"/>
            <w:bottom w:val="none" w:sz="0" w:space="0" w:color="auto"/>
            <w:right w:val="none" w:sz="0" w:space="0" w:color="auto"/>
          </w:divBdr>
        </w:div>
        <w:div w:id="543906349">
          <w:marLeft w:val="446"/>
          <w:marRight w:val="0"/>
          <w:marTop w:val="0"/>
          <w:marBottom w:val="0"/>
          <w:divBdr>
            <w:top w:val="none" w:sz="0" w:space="0" w:color="auto"/>
            <w:left w:val="none" w:sz="0" w:space="0" w:color="auto"/>
            <w:bottom w:val="none" w:sz="0" w:space="0" w:color="auto"/>
            <w:right w:val="none" w:sz="0" w:space="0" w:color="auto"/>
          </w:divBdr>
        </w:div>
        <w:div w:id="1499810447">
          <w:marLeft w:val="446"/>
          <w:marRight w:val="0"/>
          <w:marTop w:val="0"/>
          <w:marBottom w:val="0"/>
          <w:divBdr>
            <w:top w:val="none" w:sz="0" w:space="0" w:color="auto"/>
            <w:left w:val="none" w:sz="0" w:space="0" w:color="auto"/>
            <w:bottom w:val="none" w:sz="0" w:space="0" w:color="auto"/>
            <w:right w:val="none" w:sz="0" w:space="0" w:color="auto"/>
          </w:divBdr>
        </w:div>
      </w:divsChild>
    </w:div>
    <w:div w:id="2076583626">
      <w:bodyDiv w:val="1"/>
      <w:marLeft w:val="0"/>
      <w:marRight w:val="0"/>
      <w:marTop w:val="0"/>
      <w:marBottom w:val="0"/>
      <w:divBdr>
        <w:top w:val="none" w:sz="0" w:space="0" w:color="auto"/>
        <w:left w:val="none" w:sz="0" w:space="0" w:color="auto"/>
        <w:bottom w:val="none" w:sz="0" w:space="0" w:color="auto"/>
        <w:right w:val="none" w:sz="0" w:space="0" w:color="auto"/>
      </w:divBdr>
    </w:div>
    <w:div w:id="2077044107">
      <w:bodyDiv w:val="1"/>
      <w:marLeft w:val="0"/>
      <w:marRight w:val="0"/>
      <w:marTop w:val="0"/>
      <w:marBottom w:val="0"/>
      <w:divBdr>
        <w:top w:val="none" w:sz="0" w:space="0" w:color="auto"/>
        <w:left w:val="none" w:sz="0" w:space="0" w:color="auto"/>
        <w:bottom w:val="none" w:sz="0" w:space="0" w:color="auto"/>
        <w:right w:val="none" w:sz="0" w:space="0" w:color="auto"/>
      </w:divBdr>
    </w:div>
    <w:div w:id="2078360039">
      <w:bodyDiv w:val="1"/>
      <w:marLeft w:val="0"/>
      <w:marRight w:val="0"/>
      <w:marTop w:val="0"/>
      <w:marBottom w:val="0"/>
      <w:divBdr>
        <w:top w:val="none" w:sz="0" w:space="0" w:color="auto"/>
        <w:left w:val="none" w:sz="0" w:space="0" w:color="auto"/>
        <w:bottom w:val="none" w:sz="0" w:space="0" w:color="auto"/>
        <w:right w:val="none" w:sz="0" w:space="0" w:color="auto"/>
      </w:divBdr>
    </w:div>
    <w:div w:id="2079283430">
      <w:bodyDiv w:val="1"/>
      <w:marLeft w:val="0"/>
      <w:marRight w:val="0"/>
      <w:marTop w:val="0"/>
      <w:marBottom w:val="0"/>
      <w:divBdr>
        <w:top w:val="none" w:sz="0" w:space="0" w:color="auto"/>
        <w:left w:val="none" w:sz="0" w:space="0" w:color="auto"/>
        <w:bottom w:val="none" w:sz="0" w:space="0" w:color="auto"/>
        <w:right w:val="none" w:sz="0" w:space="0" w:color="auto"/>
      </w:divBdr>
    </w:div>
    <w:div w:id="2079745171">
      <w:bodyDiv w:val="1"/>
      <w:marLeft w:val="0"/>
      <w:marRight w:val="0"/>
      <w:marTop w:val="0"/>
      <w:marBottom w:val="0"/>
      <w:divBdr>
        <w:top w:val="none" w:sz="0" w:space="0" w:color="auto"/>
        <w:left w:val="none" w:sz="0" w:space="0" w:color="auto"/>
        <w:bottom w:val="none" w:sz="0" w:space="0" w:color="auto"/>
        <w:right w:val="none" w:sz="0" w:space="0" w:color="auto"/>
      </w:divBdr>
    </w:div>
    <w:div w:id="2091273097">
      <w:bodyDiv w:val="1"/>
      <w:marLeft w:val="0"/>
      <w:marRight w:val="0"/>
      <w:marTop w:val="0"/>
      <w:marBottom w:val="0"/>
      <w:divBdr>
        <w:top w:val="none" w:sz="0" w:space="0" w:color="auto"/>
        <w:left w:val="none" w:sz="0" w:space="0" w:color="auto"/>
        <w:bottom w:val="none" w:sz="0" w:space="0" w:color="auto"/>
        <w:right w:val="none" w:sz="0" w:space="0" w:color="auto"/>
      </w:divBdr>
    </w:div>
    <w:div w:id="2107456088">
      <w:bodyDiv w:val="1"/>
      <w:marLeft w:val="0"/>
      <w:marRight w:val="0"/>
      <w:marTop w:val="0"/>
      <w:marBottom w:val="0"/>
      <w:divBdr>
        <w:top w:val="none" w:sz="0" w:space="0" w:color="auto"/>
        <w:left w:val="none" w:sz="0" w:space="0" w:color="auto"/>
        <w:bottom w:val="none" w:sz="0" w:space="0" w:color="auto"/>
        <w:right w:val="none" w:sz="0" w:space="0" w:color="auto"/>
      </w:divBdr>
    </w:div>
    <w:div w:id="2111390764">
      <w:bodyDiv w:val="1"/>
      <w:marLeft w:val="0"/>
      <w:marRight w:val="0"/>
      <w:marTop w:val="0"/>
      <w:marBottom w:val="0"/>
      <w:divBdr>
        <w:top w:val="none" w:sz="0" w:space="0" w:color="auto"/>
        <w:left w:val="none" w:sz="0" w:space="0" w:color="auto"/>
        <w:bottom w:val="none" w:sz="0" w:space="0" w:color="auto"/>
        <w:right w:val="none" w:sz="0" w:space="0" w:color="auto"/>
      </w:divBdr>
    </w:div>
    <w:div w:id="2117168938">
      <w:bodyDiv w:val="1"/>
      <w:marLeft w:val="0"/>
      <w:marRight w:val="0"/>
      <w:marTop w:val="0"/>
      <w:marBottom w:val="0"/>
      <w:divBdr>
        <w:top w:val="none" w:sz="0" w:space="0" w:color="auto"/>
        <w:left w:val="none" w:sz="0" w:space="0" w:color="auto"/>
        <w:bottom w:val="none" w:sz="0" w:space="0" w:color="auto"/>
        <w:right w:val="none" w:sz="0" w:space="0" w:color="auto"/>
      </w:divBdr>
    </w:div>
    <w:div w:id="2118599676">
      <w:bodyDiv w:val="1"/>
      <w:marLeft w:val="0"/>
      <w:marRight w:val="0"/>
      <w:marTop w:val="0"/>
      <w:marBottom w:val="0"/>
      <w:divBdr>
        <w:top w:val="none" w:sz="0" w:space="0" w:color="auto"/>
        <w:left w:val="none" w:sz="0" w:space="0" w:color="auto"/>
        <w:bottom w:val="none" w:sz="0" w:space="0" w:color="auto"/>
        <w:right w:val="none" w:sz="0" w:space="0" w:color="auto"/>
      </w:divBdr>
    </w:div>
    <w:div w:id="2120753304">
      <w:bodyDiv w:val="1"/>
      <w:marLeft w:val="0"/>
      <w:marRight w:val="0"/>
      <w:marTop w:val="0"/>
      <w:marBottom w:val="0"/>
      <w:divBdr>
        <w:top w:val="none" w:sz="0" w:space="0" w:color="auto"/>
        <w:left w:val="none" w:sz="0" w:space="0" w:color="auto"/>
        <w:bottom w:val="none" w:sz="0" w:space="0" w:color="auto"/>
        <w:right w:val="none" w:sz="0" w:space="0" w:color="auto"/>
      </w:divBdr>
    </w:div>
    <w:div w:id="2126924068">
      <w:bodyDiv w:val="1"/>
      <w:marLeft w:val="0"/>
      <w:marRight w:val="0"/>
      <w:marTop w:val="0"/>
      <w:marBottom w:val="0"/>
      <w:divBdr>
        <w:top w:val="none" w:sz="0" w:space="0" w:color="auto"/>
        <w:left w:val="none" w:sz="0" w:space="0" w:color="auto"/>
        <w:bottom w:val="none" w:sz="0" w:space="0" w:color="auto"/>
        <w:right w:val="none" w:sz="0" w:space="0" w:color="auto"/>
      </w:divBdr>
    </w:div>
    <w:div w:id="2129354579">
      <w:bodyDiv w:val="1"/>
      <w:marLeft w:val="0"/>
      <w:marRight w:val="0"/>
      <w:marTop w:val="0"/>
      <w:marBottom w:val="0"/>
      <w:divBdr>
        <w:top w:val="none" w:sz="0" w:space="0" w:color="auto"/>
        <w:left w:val="none" w:sz="0" w:space="0" w:color="auto"/>
        <w:bottom w:val="none" w:sz="0" w:space="0" w:color="auto"/>
        <w:right w:val="none" w:sz="0" w:space="0" w:color="auto"/>
      </w:divBdr>
    </w:div>
    <w:div w:id="2131120058">
      <w:bodyDiv w:val="1"/>
      <w:marLeft w:val="0"/>
      <w:marRight w:val="0"/>
      <w:marTop w:val="0"/>
      <w:marBottom w:val="0"/>
      <w:divBdr>
        <w:top w:val="none" w:sz="0" w:space="0" w:color="auto"/>
        <w:left w:val="none" w:sz="0" w:space="0" w:color="auto"/>
        <w:bottom w:val="none" w:sz="0" w:space="0" w:color="auto"/>
        <w:right w:val="none" w:sz="0" w:space="0" w:color="auto"/>
      </w:divBdr>
    </w:div>
    <w:div w:id="2132479107">
      <w:bodyDiv w:val="1"/>
      <w:marLeft w:val="0"/>
      <w:marRight w:val="0"/>
      <w:marTop w:val="0"/>
      <w:marBottom w:val="0"/>
      <w:divBdr>
        <w:top w:val="none" w:sz="0" w:space="0" w:color="auto"/>
        <w:left w:val="none" w:sz="0" w:space="0" w:color="auto"/>
        <w:bottom w:val="none" w:sz="0" w:space="0" w:color="auto"/>
        <w:right w:val="none" w:sz="0" w:space="0" w:color="auto"/>
      </w:divBdr>
    </w:div>
    <w:div w:id="2133937769">
      <w:bodyDiv w:val="1"/>
      <w:marLeft w:val="0"/>
      <w:marRight w:val="0"/>
      <w:marTop w:val="0"/>
      <w:marBottom w:val="0"/>
      <w:divBdr>
        <w:top w:val="none" w:sz="0" w:space="0" w:color="auto"/>
        <w:left w:val="none" w:sz="0" w:space="0" w:color="auto"/>
        <w:bottom w:val="none" w:sz="0" w:space="0" w:color="auto"/>
        <w:right w:val="none" w:sz="0" w:space="0" w:color="auto"/>
      </w:divBdr>
    </w:div>
    <w:div w:id="2135100792">
      <w:bodyDiv w:val="1"/>
      <w:marLeft w:val="0"/>
      <w:marRight w:val="0"/>
      <w:marTop w:val="0"/>
      <w:marBottom w:val="0"/>
      <w:divBdr>
        <w:top w:val="none" w:sz="0" w:space="0" w:color="auto"/>
        <w:left w:val="none" w:sz="0" w:space="0" w:color="auto"/>
        <w:bottom w:val="none" w:sz="0" w:space="0" w:color="auto"/>
        <w:right w:val="none" w:sz="0" w:space="0" w:color="auto"/>
      </w:divBdr>
    </w:div>
    <w:div w:id="21404927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827" Type="http://schemas.openxmlformats.org/officeDocument/2006/relationships/hyperlink" Target="https://fr.wikipedia.org/wiki/Guin%C3%A9e" TargetMode="External"/><Relationship Id="rId3182" Type="http://schemas.openxmlformats.org/officeDocument/2006/relationships/image" Target="media/image1101.jpeg"/><Relationship Id="rId4026" Type="http://schemas.openxmlformats.org/officeDocument/2006/relationships/image" Target="media/image1391.jpeg"/><Relationship Id="rId4233" Type="http://schemas.openxmlformats.org/officeDocument/2006/relationships/hyperlink" Target="http://www.cabi.org/isc/datasheet/112596" TargetMode="External"/><Relationship Id="rId4440" Type="http://schemas.openxmlformats.org/officeDocument/2006/relationships/hyperlink" Target="http://fr.wikipedia.org/wiki/Causses" TargetMode="External"/><Relationship Id="rId3042" Type="http://schemas.openxmlformats.org/officeDocument/2006/relationships/hyperlink" Target="http://en.wikipedia.org/wiki/Liman_irrigation_system" TargetMode="External"/><Relationship Id="rId3999" Type="http://schemas.openxmlformats.org/officeDocument/2006/relationships/hyperlink" Target="http://en.wikipedia.org/wiki/Casuarina_equisetifolia" TargetMode="External"/><Relationship Id="rId4300" Type="http://schemas.openxmlformats.org/officeDocument/2006/relationships/hyperlink" Target="https://en.wikipedia.org/wiki/Tree" TargetMode="External"/><Relationship Id="rId170" Type="http://schemas.openxmlformats.org/officeDocument/2006/relationships/image" Target="media/image77.jpg"/><Relationship Id="rId3859" Type="http://schemas.openxmlformats.org/officeDocument/2006/relationships/hyperlink" Target="https://www.ares-ac.be/en/actualites/731-madagascar-une-algue-marine-comme-matiere-premiere-pour-la-production-d-un-bioplastique" TargetMode="External"/><Relationship Id="rId987" Type="http://schemas.openxmlformats.org/officeDocument/2006/relationships/image" Target="media/image441.jpeg"/><Relationship Id="rId2668" Type="http://schemas.openxmlformats.org/officeDocument/2006/relationships/hyperlink" Target="https://fr.wikipedia.org/wiki/Ogonori" TargetMode="External"/><Relationship Id="rId2875" Type="http://schemas.openxmlformats.org/officeDocument/2006/relationships/hyperlink" Target="http://translate.googleusercontent.com/translate_c?depth=1&amp;hl=fr&amp;prev=search&amp;rurl=translate.google.fr&amp;sl=en&amp;u=http://en.wikipedia.org/wiki/Resin&amp;usg=ALkJrhjB9iwB-bTi57QGnXbd2Y8YUwlxeA" TargetMode="External"/><Relationship Id="rId3719" Type="http://schemas.openxmlformats.org/officeDocument/2006/relationships/hyperlink" Target="https://fr.wikipedia.org/wiki/Chronologie_des_grands_incendies" TargetMode="External"/><Relationship Id="rId3926" Type="http://schemas.openxmlformats.org/officeDocument/2006/relationships/hyperlink" Target="http://www.hear.org/pier/species/opuntia_monacantha.htm" TargetMode="External"/><Relationship Id="rId4090" Type="http://schemas.openxmlformats.org/officeDocument/2006/relationships/hyperlink" Target="http://translate.googleusercontent.com/translate_c?depth=1&amp;hl=fr&amp;prev=/search?q%3Dprosopis%2Bjuliflora%26rlz%3D1C1GGGE_frFR479FR479%26es_sm%3D93&amp;rurl=translate.google.fr&amp;sl=en&amp;u=http://en.wikipedia.org/wiki/South_America&amp;usg=ALkJrhhqxZts-LWZP2mv9pFs2Xu_tcBznw" TargetMode="External"/><Relationship Id="rId847" Type="http://schemas.openxmlformats.org/officeDocument/2006/relationships/hyperlink" Target="http://www.invasive.org/browse/subinfo.cfm?sub=4550" TargetMode="External"/><Relationship Id="rId1477" Type="http://schemas.openxmlformats.org/officeDocument/2006/relationships/image" Target="media/image662.jpeg"/><Relationship Id="rId1684" Type="http://schemas.openxmlformats.org/officeDocument/2006/relationships/image" Target="media/image715.jpeg"/><Relationship Id="rId1891" Type="http://schemas.openxmlformats.org/officeDocument/2006/relationships/hyperlink" Target="https://fr.wikipedia.org/wiki/Panicule" TargetMode="External"/><Relationship Id="rId2528" Type="http://schemas.openxmlformats.org/officeDocument/2006/relationships/hyperlink" Target="https://fr.wikipedia.org/wiki/Namibie" TargetMode="External"/><Relationship Id="rId2735" Type="http://schemas.openxmlformats.org/officeDocument/2006/relationships/hyperlink" Target="https://fr.wikipedia.org/wiki/Nourriture" TargetMode="External"/><Relationship Id="rId2942" Type="http://schemas.openxmlformats.org/officeDocument/2006/relationships/hyperlink" Target="https://fr.wikipedia.org/wiki/Famille_(biologie)" TargetMode="External"/><Relationship Id="rId707" Type="http://schemas.openxmlformats.org/officeDocument/2006/relationships/hyperlink" Target="http://database.prota.org/PROTAhtml/Faidherbia%20albida_En.htm" TargetMode="External"/><Relationship Id="rId914" Type="http://schemas.openxmlformats.org/officeDocument/2006/relationships/image" Target="media/image407.jpeg"/><Relationship Id="rId1337" Type="http://schemas.openxmlformats.org/officeDocument/2006/relationships/hyperlink" Target="http://www.gcrio.org/usiji/pdf/Mexico-3%203-04.pdf" TargetMode="External"/><Relationship Id="rId1544" Type="http://schemas.openxmlformats.org/officeDocument/2006/relationships/hyperlink" Target="https://fr.wikipedia.org/wiki/Colocasia_esculenta" TargetMode="External"/><Relationship Id="rId1751" Type="http://schemas.openxmlformats.org/officeDocument/2006/relationships/hyperlink" Target="http://fr.wikipedia.org/wiki/Olivier_(arbre)" TargetMode="External"/><Relationship Id="rId2802" Type="http://schemas.openxmlformats.org/officeDocument/2006/relationships/hyperlink" Target="http://www.sante-globale.fr/plantes-2/commiphora-myrrha-variete-molmol/" TargetMode="External"/><Relationship Id="rId43" Type="http://schemas.openxmlformats.org/officeDocument/2006/relationships/hyperlink" Target="https://fr.wikipedia.org/wiki/Afrique" TargetMode="External"/><Relationship Id="rId1404" Type="http://schemas.openxmlformats.org/officeDocument/2006/relationships/hyperlink" Target="http://www.bashanfoundation.org/gmaweb/pdfs/growth.pdf" TargetMode="External"/><Relationship Id="rId1611" Type="http://schemas.openxmlformats.org/officeDocument/2006/relationships/hyperlink" Target="http://translate.googleusercontent.com/translate_c?depth=1&amp;hl=fr&amp;prev=/search?q%3DDistichlis%2Bpalmeri%26biw%3D1440%26bih%3D732&amp;rurl=translate.google.fr&amp;sl=en&amp;u=http://en.wikipedia.org/wiki/Poaceae&amp;usg=ALkJrhh_2Bf4EpUPxv8loPv7GboyXR1c6A" TargetMode="External"/><Relationship Id="rId3369" Type="http://schemas.openxmlformats.org/officeDocument/2006/relationships/image" Target="media/image1230.jpeg"/><Relationship Id="rId3576" Type="http://schemas.openxmlformats.org/officeDocument/2006/relationships/hyperlink" Target="https://fr.wikipedia.org/wiki/Marula" TargetMode="External"/><Relationship Id="rId497" Type="http://schemas.openxmlformats.org/officeDocument/2006/relationships/image" Target="media/image211.jpeg"/><Relationship Id="rId2178" Type="http://schemas.openxmlformats.org/officeDocument/2006/relationships/hyperlink" Target="https://en.wikipedia.org/wiki/Threshing" TargetMode="External"/><Relationship Id="rId2385" Type="http://schemas.openxmlformats.org/officeDocument/2006/relationships/hyperlink" Target="http://translate.googleusercontent.com/translate_c?depth=1&amp;hl=fr&amp;prev=/search?q%3DChrysopogon%2Bnigritanus%26biw%3D1440%26bih%3D732&amp;rurl=translate.google.fr&amp;sl=en&amp;u=http://en.wikipedia.org/wiki/Vetiver&amp;usg=ALkJrhjgZhZZx2x3Ow_Z4wTRlWqWL1__sA" TargetMode="External"/><Relationship Id="rId3229" Type="http://schemas.openxmlformats.org/officeDocument/2006/relationships/image" Target="media/image1142.png"/><Relationship Id="rId3783" Type="http://schemas.openxmlformats.org/officeDocument/2006/relationships/hyperlink" Target="http://ideas.repec.org/a/eee/agiwat/v25y1994i3p233-269.html" TargetMode="External"/><Relationship Id="rId3990" Type="http://schemas.openxmlformats.org/officeDocument/2006/relationships/hyperlink" Target="http://fr.wikipedia.org/wiki/Casuarinac%C3%A9e" TargetMode="External"/><Relationship Id="rId357" Type="http://schemas.openxmlformats.org/officeDocument/2006/relationships/image" Target="media/image170.jpeg"/><Relationship Id="rId1194" Type="http://schemas.openxmlformats.org/officeDocument/2006/relationships/hyperlink" Target="https://uses.plantnet-project.org/fr/Xylocarpus_granatum_(PROTA)" TargetMode="External"/><Relationship Id="rId2038" Type="http://schemas.openxmlformats.org/officeDocument/2006/relationships/hyperlink" Target="https://fr.wikipedia.org/wiki/Lac_Tchad" TargetMode="External"/><Relationship Id="rId2592" Type="http://schemas.openxmlformats.org/officeDocument/2006/relationships/hyperlink" Target="https://fr.wikipedia.org/wiki/Saccharina_japonica" TargetMode="External"/><Relationship Id="rId3436" Type="http://schemas.openxmlformats.org/officeDocument/2006/relationships/image" Target="media/image1272.jpeg"/><Relationship Id="rId3643" Type="http://schemas.openxmlformats.org/officeDocument/2006/relationships/image" Target="media/image1333.jpg"/><Relationship Id="rId3850" Type="http://schemas.openxmlformats.org/officeDocument/2006/relationships/hyperlink" Target="http://www.ncbi.nlm.nih.gov/pubmed?term=Kilian%20B%5bAuthor%5d&amp;cauthor=true&amp;cauthor_uid=23771136" TargetMode="External"/><Relationship Id="rId217" Type="http://schemas.openxmlformats.org/officeDocument/2006/relationships/image" Target="media/image102.jpeg"/><Relationship Id="rId564" Type="http://schemas.openxmlformats.org/officeDocument/2006/relationships/image" Target="media/image246.jpeg"/><Relationship Id="rId771" Type="http://schemas.openxmlformats.org/officeDocument/2006/relationships/hyperlink" Target="http://fr.wikipedia.org/wiki/Fabaceae" TargetMode="External"/><Relationship Id="rId2245" Type="http://schemas.openxmlformats.org/officeDocument/2006/relationships/hyperlink" Target="https://fr.wikipedia.org/wiki/Cicatrisation" TargetMode="External"/><Relationship Id="rId2452" Type="http://schemas.openxmlformats.org/officeDocument/2006/relationships/image" Target="media/image898.jpeg"/><Relationship Id="rId3503" Type="http://schemas.openxmlformats.org/officeDocument/2006/relationships/image" Target="media/image1314.jpg"/><Relationship Id="rId3710" Type="http://schemas.openxmlformats.org/officeDocument/2006/relationships/hyperlink" Target="https://news.yahoo.com/desert-drying-euphrates-threatens-disaster-020729928.html" TargetMode="External"/><Relationship Id="rId424" Type="http://schemas.openxmlformats.org/officeDocument/2006/relationships/image" Target="media/image176.jpeg"/><Relationship Id="rId631" Type="http://schemas.openxmlformats.org/officeDocument/2006/relationships/image" Target="media/image269.jpeg"/><Relationship Id="rId1054" Type="http://schemas.openxmlformats.org/officeDocument/2006/relationships/hyperlink" Target="https://fr.wikipedia.org/wiki/Pterocarpus_officinalis" TargetMode="External"/><Relationship Id="rId1261" Type="http://schemas.openxmlformats.org/officeDocument/2006/relationships/image" Target="media/image641.jpg"/><Relationship Id="rId2105" Type="http://schemas.openxmlformats.org/officeDocument/2006/relationships/hyperlink" Target="https://en.wikipedia.org/wiki/Directorate_of_Groundnut_Research" TargetMode="External"/><Relationship Id="rId2312" Type="http://schemas.openxmlformats.org/officeDocument/2006/relationships/hyperlink" Target="http://fr.wikipedia.org/wiki/Plante_vivace" TargetMode="External"/><Relationship Id="rId1121" Type="http://schemas.openxmlformats.org/officeDocument/2006/relationships/hyperlink" Target="https://fr.wikipedia.org/wiki/Sri_Lanka" TargetMode="External"/><Relationship Id="rId4277" Type="http://schemas.openxmlformats.org/officeDocument/2006/relationships/hyperlink" Target="http://www.cabi.org/isc/datasheet/52483" TargetMode="External"/><Relationship Id="rId4484" Type="http://schemas.openxmlformats.org/officeDocument/2006/relationships/image" Target="media/image1489.png"/><Relationship Id="rId3086" Type="http://schemas.openxmlformats.org/officeDocument/2006/relationships/image" Target="media/image1039.jpeg"/><Relationship Id="rId3293" Type="http://schemas.openxmlformats.org/officeDocument/2006/relationships/image" Target="media/image1172.jpeg"/><Relationship Id="rId4137" Type="http://schemas.openxmlformats.org/officeDocument/2006/relationships/hyperlink" Target="http://fr.wikipedia.org/wiki/Agrocarburant" TargetMode="External"/><Relationship Id="rId4344" Type="http://schemas.openxmlformats.org/officeDocument/2006/relationships/hyperlink" Target="https://fr.wikipedia.org/wiki/Typha" TargetMode="External"/><Relationship Id="rId4551" Type="http://schemas.openxmlformats.org/officeDocument/2006/relationships/hyperlink" Target="http://www.saltfarmtexel.com/" TargetMode="External"/><Relationship Id="rId1938" Type="http://schemas.openxmlformats.org/officeDocument/2006/relationships/hyperlink" Target="https://en.wikipedia.org/wiki/Seedbed" TargetMode="External"/><Relationship Id="rId3153" Type="http://schemas.openxmlformats.org/officeDocument/2006/relationships/image" Target="media/image1084.jpeg"/><Relationship Id="rId3360" Type="http://schemas.openxmlformats.org/officeDocument/2006/relationships/image" Target="media/image1221.png"/><Relationship Id="rId4204" Type="http://schemas.openxmlformats.org/officeDocument/2006/relationships/hyperlink" Target="http://www.cabi.org/isc/datasheet/112587" TargetMode="External"/><Relationship Id="rId281" Type="http://schemas.openxmlformats.org/officeDocument/2006/relationships/hyperlink" Target="http://benjamin.lisan.free.fr/projetsreforestation/Fiche-presentation-tamarinier.pdf" TargetMode="External"/><Relationship Id="rId3013" Type="http://schemas.openxmlformats.org/officeDocument/2006/relationships/hyperlink" Target="http://fr.wikipedia.org/wiki/Beta-sitosterol" TargetMode="External"/><Relationship Id="rId4411" Type="http://schemas.openxmlformats.org/officeDocument/2006/relationships/hyperlink" Target="http://fr.wikipedia.org/wiki/Animal" TargetMode="External"/><Relationship Id="rId141" Type="http://schemas.openxmlformats.org/officeDocument/2006/relationships/image" Target="media/image49.jpeg"/><Relationship Id="rId3220" Type="http://schemas.openxmlformats.org/officeDocument/2006/relationships/image" Target="media/image1133.jpeg"/><Relationship Id="rId7" Type="http://schemas.openxmlformats.org/officeDocument/2006/relationships/endnotes" Target="endnotes.xml"/><Relationship Id="rId2779" Type="http://schemas.openxmlformats.org/officeDocument/2006/relationships/hyperlink" Target="https://fr.wikipedia.org/wiki/Acide_urique" TargetMode="External"/><Relationship Id="rId2986" Type="http://schemas.openxmlformats.org/officeDocument/2006/relationships/hyperlink" Target="http://en.wikipedia.org/wiki/Kinnerasani_Wildlife_Sanctuary" TargetMode="External"/><Relationship Id="rId958" Type="http://schemas.openxmlformats.org/officeDocument/2006/relationships/image" Target="media/image424.jpeg"/><Relationship Id="rId1588" Type="http://schemas.openxmlformats.org/officeDocument/2006/relationships/hyperlink" Target="http://fr.wikipedia.org/wiki/Rhopalosiphum" TargetMode="External"/><Relationship Id="rId1795" Type="http://schemas.openxmlformats.org/officeDocument/2006/relationships/hyperlink" Target="https://fr.wikipedia.org/wiki/Sorgho_commun" TargetMode="External"/><Relationship Id="rId2639" Type="http://schemas.openxmlformats.org/officeDocument/2006/relationships/image" Target="media/image935.jpeg"/><Relationship Id="rId2846" Type="http://schemas.openxmlformats.org/officeDocument/2006/relationships/hyperlink" Target="http://fr.wikipedia.org/wiki/Arbre_%C3%A0_myrrhe" TargetMode="External"/><Relationship Id="rId87" Type="http://schemas.openxmlformats.org/officeDocument/2006/relationships/hyperlink" Target="https://fr.wikipedia.org/wiki/Ghana" TargetMode="External"/><Relationship Id="rId818" Type="http://schemas.openxmlformats.org/officeDocument/2006/relationships/image" Target="media/image366.jpeg"/><Relationship Id="rId1448" Type="http://schemas.openxmlformats.org/officeDocument/2006/relationships/image" Target="media/image653.jpeg"/><Relationship Id="rId1655" Type="http://schemas.openxmlformats.org/officeDocument/2006/relationships/image" Target="media/image708.jpeg"/><Relationship Id="rId2706" Type="http://schemas.openxmlformats.org/officeDocument/2006/relationships/image" Target="media/image945.jpeg"/><Relationship Id="rId4061" Type="http://schemas.openxmlformats.org/officeDocument/2006/relationships/hyperlink" Target="https://en.wikipedia.org/wiki/Flower" TargetMode="External"/><Relationship Id="rId1308" Type="http://schemas.openxmlformats.org/officeDocument/2006/relationships/hyperlink" Target="http://translate.googleusercontent.com/translate_c?depth=1&amp;hl=fr&amp;prev=/search?q%3Dsalicornia%2Bherbacea%2Bwikipedia%26biw%3D1440%26bih%3D732&amp;rurl=translate.google.fr&amp;sl=en&amp;u=http://www.globalseawater.com/&amp;usg=ALkJrhjjryBs5kSjxDUGXV3tsghCHqNKdg" TargetMode="External"/><Relationship Id="rId1862" Type="http://schemas.openxmlformats.org/officeDocument/2006/relationships/hyperlink" Target="https://fr.wikipedia.org/wiki/Herbe_%C3%A0_%C3%A9p%C3%A9e" TargetMode="External"/><Relationship Id="rId2913" Type="http://schemas.openxmlformats.org/officeDocument/2006/relationships/hyperlink" Target="http://translate.googleusercontent.com/translate_c?depth=1&amp;hl=fr&amp;prev=search&amp;rurl=translate.google.fr&amp;sl=en&amp;u=http://en.wikipedia.org/wiki/Tanzania&amp;usg=ALkJrhgNQUWbY2Wxj-49oy8pS7cq0otbmw" TargetMode="External"/><Relationship Id="rId1515" Type="http://schemas.openxmlformats.org/officeDocument/2006/relationships/hyperlink" Target="https://fr.wikipedia.org/wiki/Sous-famille_(biologie)" TargetMode="External"/><Relationship Id="rId1722" Type="http://schemas.openxmlformats.org/officeDocument/2006/relationships/hyperlink" Target="https://fr.wikipedia.org/wiki/Criste_marine" TargetMode="External"/><Relationship Id="rId14" Type="http://schemas.openxmlformats.org/officeDocument/2006/relationships/hyperlink" Target="https://sossahel.org/" TargetMode="External"/><Relationship Id="rId3687" Type="http://schemas.openxmlformats.org/officeDocument/2006/relationships/hyperlink" Target="https://wacomp.projects.ecowas.int/wp-content/uploads/2020/03/WACIP-FRENCH.pdf" TargetMode="External"/><Relationship Id="rId3894" Type="http://schemas.openxmlformats.org/officeDocument/2006/relationships/hyperlink" Target="http://www.dailymotion.com/video/x2vqobj_il-etait-une-fois-notre-terre_tv" TargetMode="External"/><Relationship Id="rId2289" Type="http://schemas.openxmlformats.org/officeDocument/2006/relationships/hyperlink" Target="http://fr.wikipedia.org/wiki/Plante_herbac%C3%A9e" TargetMode="External"/><Relationship Id="rId2496" Type="http://schemas.openxmlformats.org/officeDocument/2006/relationships/hyperlink" Target="https://fr.wikipedia.org/wiki/A%C3%A7ores" TargetMode="External"/><Relationship Id="rId3547" Type="http://schemas.openxmlformats.org/officeDocument/2006/relationships/hyperlink" Target="https://fr.wikipedia.org/wiki/Sahara" TargetMode="External"/><Relationship Id="rId3754" Type="http://schemas.openxmlformats.org/officeDocument/2006/relationships/hyperlink" Target="http://www.miracosta.edu/home/kmeldahl/articles/crops.pdf" TargetMode="External"/><Relationship Id="rId3961" Type="http://schemas.openxmlformats.org/officeDocument/2006/relationships/hyperlink" Target="https://fr.wikipedia.org/wiki/Cactoblastis_cactorum" TargetMode="External"/><Relationship Id="rId468" Type="http://schemas.openxmlformats.org/officeDocument/2006/relationships/image" Target="media/image199.jpeg"/><Relationship Id="rId675" Type="http://schemas.openxmlformats.org/officeDocument/2006/relationships/hyperlink" Target="https://uses.plantnet-project.org/fr/Albizia_lebbeck" TargetMode="External"/><Relationship Id="rId882" Type="http://schemas.openxmlformats.org/officeDocument/2006/relationships/hyperlink" Target="https://en.wikipedia.org/wiki/Nabkha" TargetMode="External"/><Relationship Id="rId1098" Type="http://schemas.openxmlformats.org/officeDocument/2006/relationships/image" Target="media/image521.jpeg"/><Relationship Id="rId2149" Type="http://schemas.openxmlformats.org/officeDocument/2006/relationships/image" Target="media/image830.jpeg"/><Relationship Id="rId2356" Type="http://schemas.openxmlformats.org/officeDocument/2006/relationships/image" Target="media/image881.jpeg"/><Relationship Id="rId2563" Type="http://schemas.openxmlformats.org/officeDocument/2006/relationships/image" Target="media/image920.jpeg"/><Relationship Id="rId2770" Type="http://schemas.openxmlformats.org/officeDocument/2006/relationships/hyperlink" Target="https://fr.wikipedia.org/wiki/Sel_marin" TargetMode="External"/><Relationship Id="rId3407" Type="http://schemas.openxmlformats.org/officeDocument/2006/relationships/hyperlink" Target="https://doi.org/10.3406/tiers.1978.2785" TargetMode="External"/><Relationship Id="rId3614" Type="http://schemas.openxmlformats.org/officeDocument/2006/relationships/hyperlink" Target="https://fr.wikipedia.org/wiki/Grande_muraille_verte_(Chine)" TargetMode="External"/><Relationship Id="rId3821" Type="http://schemas.openxmlformats.org/officeDocument/2006/relationships/hyperlink" Target="http://ideas.repec.org/a/eee/agiwat/v123y2013icp1-11.html" TargetMode="External"/><Relationship Id="rId328" Type="http://schemas.openxmlformats.org/officeDocument/2006/relationships/image" Target="media/image152.jpeg"/><Relationship Id="rId535" Type="http://schemas.openxmlformats.org/officeDocument/2006/relationships/image" Target="media/image232.jpeg"/><Relationship Id="rId742" Type="http://schemas.openxmlformats.org/officeDocument/2006/relationships/hyperlink" Target="http://fr.wikipedia.org/wiki/Fabaceae" TargetMode="External"/><Relationship Id="rId1165" Type="http://schemas.openxmlformats.org/officeDocument/2006/relationships/hyperlink" Target="https://en.wikipedia.org/wiki/Rhizophora_apiculata" TargetMode="External"/><Relationship Id="rId1372" Type="http://schemas.openxmlformats.org/officeDocument/2006/relationships/hyperlink" Target="http://www.biomassmagazine.com/article.jsp?article_id=1864" TargetMode="External"/><Relationship Id="rId2009" Type="http://schemas.openxmlformats.org/officeDocument/2006/relationships/hyperlink" Target="https://en.wikipedia.org/wiki/Latin_America" TargetMode="External"/><Relationship Id="rId2216" Type="http://schemas.openxmlformats.org/officeDocument/2006/relationships/image" Target="media/image837.jpeg"/><Relationship Id="rId2423" Type="http://schemas.openxmlformats.org/officeDocument/2006/relationships/hyperlink" Target="http://fr.wikipedia.org/wiki/Fourrage" TargetMode="External"/><Relationship Id="rId2630" Type="http://schemas.openxmlformats.org/officeDocument/2006/relationships/hyperlink" Target="https://en.wikipedia.org/wiki/Edible_seaweed" TargetMode="External"/><Relationship Id="rId602" Type="http://schemas.openxmlformats.org/officeDocument/2006/relationships/hyperlink" Target="https://en.wikipedia.org/wiki/Detarium_senegalense" TargetMode="External"/><Relationship Id="rId1025" Type="http://schemas.openxmlformats.org/officeDocument/2006/relationships/hyperlink" Target="http://fr.wikipedia.org/wiki/C%C3%B4te_d'Ivoire" TargetMode="External"/><Relationship Id="rId1232" Type="http://schemas.openxmlformats.org/officeDocument/2006/relationships/image" Target="media/image612.jpeg"/><Relationship Id="rId4388" Type="http://schemas.openxmlformats.org/officeDocument/2006/relationships/hyperlink" Target="https://nmrareplants.unm.edu/node/94" TargetMode="External"/><Relationship Id="rId3197" Type="http://schemas.openxmlformats.org/officeDocument/2006/relationships/image" Target="media/image1111.jpeg"/><Relationship Id="rId4248" Type="http://schemas.openxmlformats.org/officeDocument/2006/relationships/image" Target="media/image1437.jpeg"/><Relationship Id="rId3057" Type="http://schemas.openxmlformats.org/officeDocument/2006/relationships/image" Target="media/image1012.jpeg"/><Relationship Id="rId4108" Type="http://schemas.openxmlformats.org/officeDocument/2006/relationships/image" Target="media/image1416.jpeg"/><Relationship Id="rId4455" Type="http://schemas.openxmlformats.org/officeDocument/2006/relationships/hyperlink" Target="http://horizon.documentation.ird.fr/exl-doc/pleins_textes/pleins_textes_5/b_fdi_08-09/11033.pdf" TargetMode="External"/><Relationship Id="rId185" Type="http://schemas.openxmlformats.org/officeDocument/2006/relationships/hyperlink" Target="http://en.wikipedia.org/wiki/India" TargetMode="External"/><Relationship Id="rId1909" Type="http://schemas.openxmlformats.org/officeDocument/2006/relationships/hyperlink" Target="https://fr.wikipedia.org/wiki/Ensilage" TargetMode="External"/><Relationship Id="rId3264" Type="http://schemas.openxmlformats.org/officeDocument/2006/relationships/hyperlink" Target="https://en.wikipedia.org/wiki/Oxfordshire" TargetMode="External"/><Relationship Id="rId3471" Type="http://schemas.openxmlformats.org/officeDocument/2006/relationships/hyperlink" Target="http://fr.wikipedia.org/wiki/Vent" TargetMode="External"/><Relationship Id="rId4315" Type="http://schemas.openxmlformats.org/officeDocument/2006/relationships/hyperlink" Target="http://en.wikipedia.org/wiki/Tamarix_aphylla" TargetMode="External"/><Relationship Id="rId4522" Type="http://schemas.openxmlformats.org/officeDocument/2006/relationships/hyperlink" Target="https://fr.wikipedia.org/w/index.php?title=Centaurea_diffusa&amp;action=edit&amp;redlink=1" TargetMode="External"/><Relationship Id="rId392" Type="http://schemas.openxmlformats.org/officeDocument/2006/relationships/hyperlink" Target="https://fr.wikipedia.org/wiki/Vigne_sauvage" TargetMode="External"/><Relationship Id="rId2073" Type="http://schemas.openxmlformats.org/officeDocument/2006/relationships/hyperlink" Target="https://en.wikipedia.org/wiki/Root_nodule" TargetMode="External"/><Relationship Id="rId2280" Type="http://schemas.openxmlformats.org/officeDocument/2006/relationships/hyperlink" Target="http://en.wikipedia.org/wiki/Melilotus_albus" TargetMode="External"/><Relationship Id="rId3124" Type="http://schemas.openxmlformats.org/officeDocument/2006/relationships/hyperlink" Target="http://translate.googleusercontent.com/translate_c?depth=1&amp;hl=fr&amp;prev=/search?q%3Dindian%2Bjohad%26sa%3DX%26hl%3Dfr%26biw%3D1440%26bih%3D732%26site%3Dimghp&amp;rurl=translate.google.fr&amp;sl=en&amp;u=http://en.wikipedia.org/wiki/Rajasthan&amp;usg=ALkJrhh3Eus4-oBbQFZsxmy_Hi-L0iuISA" TargetMode="External"/><Relationship Id="rId3331" Type="http://schemas.openxmlformats.org/officeDocument/2006/relationships/image" Target="media/image1201.jpg"/><Relationship Id="rId252" Type="http://schemas.openxmlformats.org/officeDocument/2006/relationships/hyperlink" Target="http://translate.googleusercontent.com/translate_c?depth=1&amp;hl=fr&amp;prev=/search?q=ziziphus+jujuba+wikipedia&amp;biw=1440&amp;bih=732&amp;rurl=translate.google.fr&amp;sl=en&amp;u=http://en.wikipedia.org/wiki/Cultivar&amp;usg=ALkJrhgWwuYV4jxzEd7DSz8DCTYKB8baWQ" TargetMode="External"/><Relationship Id="rId2140" Type="http://schemas.openxmlformats.org/officeDocument/2006/relationships/hyperlink" Target="https://fr.wikipedia.org/wiki/Stress_hydrique_(biologie)" TargetMode="External"/><Relationship Id="rId112" Type="http://schemas.openxmlformats.org/officeDocument/2006/relationships/hyperlink" Target="https://en.wikipedia.org/wiki/Parasites" TargetMode="External"/><Relationship Id="rId1699" Type="http://schemas.openxmlformats.org/officeDocument/2006/relationships/hyperlink" Target="https://fr.wikipedia.org/wiki/Genre_(biologie)" TargetMode="External"/><Relationship Id="rId2000" Type="http://schemas.openxmlformats.org/officeDocument/2006/relationships/hyperlink" Target="https://en.wikipedia.org/wiki/Hemiptera" TargetMode="External"/><Relationship Id="rId2957" Type="http://schemas.openxmlformats.org/officeDocument/2006/relationships/hyperlink" Target="http://translate.googleusercontent.com/translate_c?depth=1&amp;hl=fr&amp;prev=search&amp;rurl=translate.google.fr&amp;sl=en&amp;u=http://en.wikipedia.org/wiki/Near_Threatened&amp;usg=ALkJrhhHuge8YcOqCSDVxMXUXtJZwcky2g" TargetMode="External"/><Relationship Id="rId4172" Type="http://schemas.openxmlformats.org/officeDocument/2006/relationships/hyperlink" Target="http://www.cabi.org/isc/datasheet/112574" TargetMode="External"/><Relationship Id="rId929" Type="http://schemas.openxmlformats.org/officeDocument/2006/relationships/image" Target="media/image416.jpg"/><Relationship Id="rId1559" Type="http://schemas.openxmlformats.org/officeDocument/2006/relationships/image" Target="media/image680.jpeg"/><Relationship Id="rId1766" Type="http://schemas.openxmlformats.org/officeDocument/2006/relationships/hyperlink" Target="http://fr.wikipedia.org/wiki/Huile_de_tournesol" TargetMode="External"/><Relationship Id="rId1973" Type="http://schemas.openxmlformats.org/officeDocument/2006/relationships/hyperlink" Target="https://fr.wikipedia.org/wiki/Famille_(biologie)" TargetMode="External"/><Relationship Id="rId2817" Type="http://schemas.openxmlformats.org/officeDocument/2006/relationships/hyperlink" Target="http://fr.wikipedia.org/wiki/Organisation_mondiale_de_la_sant%C3%A9" TargetMode="External"/><Relationship Id="rId4032" Type="http://schemas.openxmlformats.org/officeDocument/2006/relationships/image" Target="media/image1397.jpeg"/><Relationship Id="rId58" Type="http://schemas.openxmlformats.org/officeDocument/2006/relationships/image" Target="media/image23.jpeg"/><Relationship Id="rId1419" Type="http://schemas.openxmlformats.org/officeDocument/2006/relationships/hyperlink" Target="http://www.bashanfoundation.org/gmaweb/pdfs/growth.pdf" TargetMode="External"/><Relationship Id="rId1626" Type="http://schemas.openxmlformats.org/officeDocument/2006/relationships/hyperlink" Target="http://www.supagro.fr/theses/extranet/08-0043_JABNOUNE.pdf" TargetMode="External"/><Relationship Id="rId1833" Type="http://schemas.openxmlformats.org/officeDocument/2006/relationships/image" Target="media/image757.jpeg"/><Relationship Id="rId1900" Type="http://schemas.openxmlformats.org/officeDocument/2006/relationships/hyperlink" Target="https://fr.wikipedia.org/wiki/Sirop_de_sorgo" TargetMode="External"/><Relationship Id="rId3798" Type="http://schemas.openxmlformats.org/officeDocument/2006/relationships/hyperlink" Target="http://ideas.repec.org/a/eee/agiwat/v90y2007i3p165-180.html" TargetMode="External"/><Relationship Id="rId3658" Type="http://schemas.openxmlformats.org/officeDocument/2006/relationships/hyperlink" Target="https://twitter.com/SaltFarmTexel" TargetMode="External"/><Relationship Id="rId3865" Type="http://schemas.openxmlformats.org/officeDocument/2006/relationships/hyperlink" Target="http://www.gcca.eu/sites/default/files/catherine.paul/code_of_practice_for_mangrove_harvesting_2011.pdf" TargetMode="External"/><Relationship Id="rId579" Type="http://schemas.openxmlformats.org/officeDocument/2006/relationships/hyperlink" Target="https://fr.wikipedia.org/wiki/Boscia_senegalensis" TargetMode="External"/><Relationship Id="rId786" Type="http://schemas.openxmlformats.org/officeDocument/2006/relationships/image" Target="media/image346.jpeg"/><Relationship Id="rId993" Type="http://schemas.openxmlformats.org/officeDocument/2006/relationships/image" Target="media/image447.jpeg"/><Relationship Id="rId2467" Type="http://schemas.openxmlformats.org/officeDocument/2006/relationships/hyperlink" Target="http://nature.jardin.free.fr/vivace/mc_arundo_donax.htm" TargetMode="External"/><Relationship Id="rId2674" Type="http://schemas.openxmlformats.org/officeDocument/2006/relationships/hyperlink" Target="https://fr.wikipedia.org/wiki/Agar-agar" TargetMode="External"/><Relationship Id="rId3518" Type="http://schemas.openxmlformats.org/officeDocument/2006/relationships/hyperlink" Target="https://fr.wikipedia.org/wiki/B%C3%A9tail" TargetMode="External"/><Relationship Id="rId439" Type="http://schemas.openxmlformats.org/officeDocument/2006/relationships/hyperlink" Target="http://en.wikipedia.org/wiki/Argania" TargetMode="External"/><Relationship Id="rId646" Type="http://schemas.openxmlformats.org/officeDocument/2006/relationships/hyperlink" Target="https://fr.wikipedia.org/wiki/Namibie" TargetMode="External"/><Relationship Id="rId1069" Type="http://schemas.openxmlformats.org/officeDocument/2006/relationships/image" Target="media/image498.jpeg"/><Relationship Id="rId1276" Type="http://schemas.openxmlformats.org/officeDocument/2006/relationships/hyperlink" Target="http://en.wikipedia.org/wiki/Salicornia_bigelovii" TargetMode="External"/><Relationship Id="rId1483" Type="http://schemas.openxmlformats.org/officeDocument/2006/relationships/hyperlink" Target="http://fr.wikipedia.org/wiki/Plante_vivace" TargetMode="External"/><Relationship Id="rId2327" Type="http://schemas.openxmlformats.org/officeDocument/2006/relationships/hyperlink" Target="http://www.naaic.org/Meetings/National/2012meeting/T6-Mott.pdf" TargetMode="External"/><Relationship Id="rId2881" Type="http://schemas.openxmlformats.org/officeDocument/2006/relationships/hyperlink" Target="http://translate.googleusercontent.com/translate_c?depth=1&amp;hl=fr&amp;prev=search&amp;rurl=translate.google.fr&amp;sl=en&amp;u=http://en.wikipedia.org/wiki/Vineet_Soni&amp;usg=ALkJrhhw5l3OVmmqppdAGDQdUVHFh2_GuQ" TargetMode="External"/><Relationship Id="rId3725" Type="http://schemas.openxmlformats.org/officeDocument/2006/relationships/hyperlink" Target="https://www.lemonde.fr/afrique/article/2020/06/19/de-dakar-a-saint-louis-une-foret-comme-rempart-contre-les-assauts-de-la-mer_6043380_3212.html" TargetMode="External"/><Relationship Id="rId3932" Type="http://schemas.openxmlformats.org/officeDocument/2006/relationships/hyperlink" Target="http://www.hear.org/pier/references/pierref000744.htm" TargetMode="External"/><Relationship Id="rId506" Type="http://schemas.openxmlformats.org/officeDocument/2006/relationships/hyperlink" Target="http://en.wikipedia.org/wiki/Adelaide_Hills" TargetMode="External"/><Relationship Id="rId853" Type="http://schemas.openxmlformats.org/officeDocument/2006/relationships/hyperlink" Target="http://fr.wikipedia.org/wiki/Succulente" TargetMode="External"/><Relationship Id="rId1136" Type="http://schemas.openxmlformats.org/officeDocument/2006/relationships/image" Target="media/image547.jpeg"/><Relationship Id="rId1690" Type="http://schemas.openxmlformats.org/officeDocument/2006/relationships/hyperlink" Target="http://translate.googleusercontent.com/translate_c?depth=1&amp;hl=fr&amp;prev=search&amp;rurl=translate.google.fr&amp;sl=en&amp;u=http://en.wikipedia.org/wiki/Aizoaceae&amp;usg=ALkJrhioK38-3FxTfvX9b94qDzgTvvw1Fg" TargetMode="External"/><Relationship Id="rId2534" Type="http://schemas.openxmlformats.org/officeDocument/2006/relationships/hyperlink" Target="https://fr.wikipedia.org/wiki/Acanthosicyos_horridus" TargetMode="External"/><Relationship Id="rId2741" Type="http://schemas.openxmlformats.org/officeDocument/2006/relationships/hyperlink" Target="https://fr.wikipedia.org/wiki/Tchad" TargetMode="External"/><Relationship Id="rId713" Type="http://schemas.openxmlformats.org/officeDocument/2006/relationships/image" Target="media/image305.jpeg"/><Relationship Id="rId920" Type="http://schemas.openxmlformats.org/officeDocument/2006/relationships/image" Target="media/image411.jpg"/><Relationship Id="rId1343" Type="http://schemas.openxmlformats.org/officeDocument/2006/relationships/hyperlink" Target="http://en.wikipedia.org/wiki/Saudi_Aramco" TargetMode="External"/><Relationship Id="rId1550" Type="http://schemas.openxmlformats.org/officeDocument/2006/relationships/image" Target="media/image674.jpeg"/><Relationship Id="rId2601" Type="http://schemas.openxmlformats.org/officeDocument/2006/relationships/hyperlink" Target="https://fr.wikipedia.org/wiki/Hypertension" TargetMode="External"/><Relationship Id="rId4499" Type="http://schemas.openxmlformats.org/officeDocument/2006/relationships/hyperlink" Target="http://fr.wikipedia.org/wiki/Soutenable" TargetMode="External"/><Relationship Id="rId1203" Type="http://schemas.openxmlformats.org/officeDocument/2006/relationships/hyperlink" Target="https://www.prota4u.org/database/protav8.asp?fr=1&amp;g=pe&amp;p=Heritiera+littoralis+Aiton" TargetMode="External"/><Relationship Id="rId1410" Type="http://schemas.openxmlformats.org/officeDocument/2006/relationships/hyperlink" Target="http://www.bashanfoundation.org/gmaweb/pdfs/growth.pdf" TargetMode="External"/><Relationship Id="rId4359" Type="http://schemas.openxmlformats.org/officeDocument/2006/relationships/image" Target="media/image1463.jpg"/><Relationship Id="rId3168" Type="http://schemas.openxmlformats.org/officeDocument/2006/relationships/image" Target="media/image1087.jpeg"/><Relationship Id="rId3375" Type="http://schemas.openxmlformats.org/officeDocument/2006/relationships/image" Target="media/image1236.jpeg"/><Relationship Id="rId3582" Type="http://schemas.openxmlformats.org/officeDocument/2006/relationships/hyperlink" Target="https://fr.wikipedia.org/wiki/B%C3%A9tail" TargetMode="External"/><Relationship Id="rId4219" Type="http://schemas.openxmlformats.org/officeDocument/2006/relationships/hyperlink" Target="http://en.wikipedia.org/wiki/Atriplex_rosea" TargetMode="External"/><Relationship Id="rId4426" Type="http://schemas.openxmlformats.org/officeDocument/2006/relationships/hyperlink" Target="https://chemincueillant.wordpress.com/tag/fruitiers/" TargetMode="External"/><Relationship Id="rId296" Type="http://schemas.openxmlformats.org/officeDocument/2006/relationships/hyperlink" Target="http://en.wikipedia.org/wiki/Monte_Arcosu" TargetMode="External"/><Relationship Id="rId2184" Type="http://schemas.openxmlformats.org/officeDocument/2006/relationships/hyperlink" Target="https://en.wikipedia.org/wiki/Leaf_miner" TargetMode="External"/><Relationship Id="rId2391" Type="http://schemas.openxmlformats.org/officeDocument/2006/relationships/image" Target="media/image884.jpeg"/><Relationship Id="rId3028" Type="http://schemas.openxmlformats.org/officeDocument/2006/relationships/image" Target="media/image1006.jpg"/><Relationship Id="rId3235" Type="http://schemas.openxmlformats.org/officeDocument/2006/relationships/hyperlink" Target="https://fr.wikipedia.org/wiki/M%C3%A9ouge" TargetMode="External"/><Relationship Id="rId3442" Type="http://schemas.openxmlformats.org/officeDocument/2006/relationships/image" Target="media/image1278.jpeg"/><Relationship Id="rId156" Type="http://schemas.openxmlformats.org/officeDocument/2006/relationships/image" Target="media/image63.jpg"/><Relationship Id="rId363" Type="http://schemas.openxmlformats.org/officeDocument/2006/relationships/hyperlink" Target="https://fr.wikipedia.org/wiki/Vigne" TargetMode="External"/><Relationship Id="rId570" Type="http://schemas.openxmlformats.org/officeDocument/2006/relationships/hyperlink" Target="https://fr.wikipedia.org/wiki/Madagascar" TargetMode="External"/><Relationship Id="rId2044" Type="http://schemas.openxmlformats.org/officeDocument/2006/relationships/image" Target="media/image792.jpeg"/><Relationship Id="rId2251" Type="http://schemas.openxmlformats.org/officeDocument/2006/relationships/hyperlink" Target="https://fr.wikipedia.org/wiki/Alo%C3%AFne" TargetMode="External"/><Relationship Id="rId3302" Type="http://schemas.openxmlformats.org/officeDocument/2006/relationships/image" Target="media/image1177.jpeg"/><Relationship Id="rId223" Type="http://schemas.openxmlformats.org/officeDocument/2006/relationships/hyperlink" Target="http://fr.wikipedia.org/wiki/Rose_de_J%C3%A9richo" TargetMode="External"/><Relationship Id="rId430" Type="http://schemas.openxmlformats.org/officeDocument/2006/relationships/hyperlink" Target="https://fr.wikipedia.org/wiki/Cognac_(eau-de-vie)" TargetMode="External"/><Relationship Id="rId1060" Type="http://schemas.openxmlformats.org/officeDocument/2006/relationships/image" Target="media/image491.jpeg"/><Relationship Id="rId2111" Type="http://schemas.openxmlformats.org/officeDocument/2006/relationships/image" Target="media/image809.jpeg"/><Relationship Id="rId4076" Type="http://schemas.openxmlformats.org/officeDocument/2006/relationships/image" Target="media/image1411.jpeg"/><Relationship Id="rId1877" Type="http://schemas.openxmlformats.org/officeDocument/2006/relationships/hyperlink" Target="https://fr.wikipedia.org/wiki/Riz" TargetMode="External"/><Relationship Id="rId2928" Type="http://schemas.openxmlformats.org/officeDocument/2006/relationships/hyperlink" Target="http://translate.googleusercontent.com/translate_c?depth=1&amp;hl=fr&amp;prev=search&amp;rurl=translate.google.fr&amp;sl=en&amp;u=http://en.wikipedia.org/wiki/Saponin&amp;usg=ALkJrhgDFXUWlLExFsiLTUxQu5KXbyoaJQ" TargetMode="External"/><Relationship Id="rId4283" Type="http://schemas.openxmlformats.org/officeDocument/2006/relationships/hyperlink" Target="https://en.wikipedia.org/wiki/Habitat" TargetMode="External"/><Relationship Id="rId4490" Type="http://schemas.openxmlformats.org/officeDocument/2006/relationships/image" Target="media/image1492.jpg"/><Relationship Id="rId1737" Type="http://schemas.openxmlformats.org/officeDocument/2006/relationships/image" Target="media/image741.jpg"/><Relationship Id="rId1944" Type="http://schemas.openxmlformats.org/officeDocument/2006/relationships/hyperlink" Target="https://en.wikipedia.org/wiki/Herbicide" TargetMode="External"/><Relationship Id="rId3092" Type="http://schemas.openxmlformats.org/officeDocument/2006/relationships/hyperlink" Target="http://www.vallerani.com/" TargetMode="External"/><Relationship Id="rId4143" Type="http://schemas.openxmlformats.org/officeDocument/2006/relationships/image" Target="media/image1425.jpeg"/><Relationship Id="rId4350" Type="http://schemas.openxmlformats.org/officeDocument/2006/relationships/hyperlink" Target="http://www.lemonde.fr/planete/article/2015/09/09/en-mauritanie-une-plante-nuisible-devient-source-d-energie_4750054_3244.html" TargetMode="External"/><Relationship Id="rId29" Type="http://schemas.openxmlformats.org/officeDocument/2006/relationships/image" Target="media/image4.png"/><Relationship Id="rId4003" Type="http://schemas.openxmlformats.org/officeDocument/2006/relationships/image" Target="media/image1383.jpeg"/><Relationship Id="rId4210" Type="http://schemas.openxmlformats.org/officeDocument/2006/relationships/hyperlink" Target="http://www.cabi.org/isc/datasheet/112589" TargetMode="External"/><Relationship Id="rId1804" Type="http://schemas.openxmlformats.org/officeDocument/2006/relationships/hyperlink" Target="https://fr.wikipedia.org/wiki/Inde" TargetMode="External"/><Relationship Id="rId3769" Type="http://schemas.openxmlformats.org/officeDocument/2006/relationships/hyperlink" Target="http://www.miracosta.edu/home/kmeldahl/articles/crops.pdf" TargetMode="External"/><Relationship Id="rId3976" Type="http://schemas.openxmlformats.org/officeDocument/2006/relationships/image" Target="media/image1373.jpeg"/><Relationship Id="rId897" Type="http://schemas.openxmlformats.org/officeDocument/2006/relationships/hyperlink" Target="http://www.eurasianet.org/departments/insight/articles/pp011308.shtml" TargetMode="External"/><Relationship Id="rId2578" Type="http://schemas.openxmlformats.org/officeDocument/2006/relationships/hyperlink" Target="https://fr.wikipedia.org/wiki/Mariculture" TargetMode="External"/><Relationship Id="rId2785" Type="http://schemas.openxmlformats.org/officeDocument/2006/relationships/hyperlink" Target="https://wiki.lowtechlab.org/wiki/Culture_de_la_spiruline" TargetMode="External"/><Relationship Id="rId2992" Type="http://schemas.openxmlformats.org/officeDocument/2006/relationships/image" Target="media/image998.jpg"/><Relationship Id="rId3629" Type="http://schemas.openxmlformats.org/officeDocument/2006/relationships/image" Target="media/image1322.jpeg"/><Relationship Id="rId3836" Type="http://schemas.openxmlformats.org/officeDocument/2006/relationships/hyperlink" Target="http://wwz.ifremer.fr/ncal/Biodiversite-et-ressources/Tannes-et-halophytes/Exploitation-durable-des-tannes-et-halophytes" TargetMode="External"/><Relationship Id="rId757" Type="http://schemas.openxmlformats.org/officeDocument/2006/relationships/hyperlink" Target="http://www.ncbi.nlm.nih.gov/" TargetMode="External"/><Relationship Id="rId964" Type="http://schemas.openxmlformats.org/officeDocument/2006/relationships/image" Target="media/image428.jpeg"/><Relationship Id="rId1387" Type="http://schemas.openxmlformats.org/officeDocument/2006/relationships/image" Target="media/image647.jpg"/><Relationship Id="rId1594" Type="http://schemas.openxmlformats.org/officeDocument/2006/relationships/hyperlink" Target="http://fr.wikipedia.org/wiki/Escourgeon" TargetMode="External"/><Relationship Id="rId2438" Type="http://schemas.openxmlformats.org/officeDocument/2006/relationships/image" Target="media/image896.jpeg"/><Relationship Id="rId2645" Type="http://schemas.openxmlformats.org/officeDocument/2006/relationships/hyperlink" Target="https://fr.wikipedia.org/wiki/Philippines" TargetMode="External"/><Relationship Id="rId2852" Type="http://schemas.openxmlformats.org/officeDocument/2006/relationships/hyperlink" Target="http://www.haaretz.com/misc/writers/nir-hasson-1.500" TargetMode="External"/><Relationship Id="rId3903" Type="http://schemas.openxmlformats.org/officeDocument/2006/relationships/hyperlink" Target="http://www.idrc.ca/FR/Resources/Publications/Pages/ArticleDetails.aspx?PublicationID=686" TargetMode="External"/><Relationship Id="rId93" Type="http://schemas.openxmlformats.org/officeDocument/2006/relationships/hyperlink" Target="https://fr.wikipedia.org/wiki/R%C3%A9gime_alimentaire" TargetMode="External"/><Relationship Id="rId617" Type="http://schemas.openxmlformats.org/officeDocument/2006/relationships/hyperlink" Target="https://en.wikipedia.org/wiki/Combretum_glutinosum" TargetMode="External"/><Relationship Id="rId824" Type="http://schemas.openxmlformats.org/officeDocument/2006/relationships/hyperlink" Target="https://pfaf.org/user/Plant.aspx?LatinName=Atriplex+lentiformi" TargetMode="External"/><Relationship Id="rId1247" Type="http://schemas.openxmlformats.org/officeDocument/2006/relationships/image" Target="media/image627.jpg"/><Relationship Id="rId1454" Type="http://schemas.openxmlformats.org/officeDocument/2006/relationships/hyperlink" Target="http://fr.wikipedia.org/wiki/Rhizome_(botanique)" TargetMode="External"/><Relationship Id="rId1661" Type="http://schemas.openxmlformats.org/officeDocument/2006/relationships/hyperlink" Target="http://vanhijfte.com/dutch-team-is-pioneering-development-of-crops-fed-by-sea-water/" TargetMode="External"/><Relationship Id="rId2505" Type="http://schemas.openxmlformats.org/officeDocument/2006/relationships/hyperlink" Target="https://fr.wikipedia.org/wiki/Fibre" TargetMode="External"/><Relationship Id="rId2712" Type="http://schemas.openxmlformats.org/officeDocument/2006/relationships/hyperlink" Target="https://fr.wikipedia.org/wiki/Solieriaceae" TargetMode="External"/><Relationship Id="rId1107" Type="http://schemas.openxmlformats.org/officeDocument/2006/relationships/image" Target="media/image530.jpeg"/><Relationship Id="rId1314" Type="http://schemas.openxmlformats.org/officeDocument/2006/relationships/hyperlink" Target="http://translate.googleusercontent.com/translate_c?depth=1&amp;hl=fr&amp;prev=/search?q%3Dsalicornia%2Bherbacea%2Bwikipedia%26biw%3D1440%26bih%3D732&amp;rurl=translate.google.fr&amp;sl=en&amp;u=http://en.wikipedia.org/wiki/Salicornia_bigelovii&amp;usg=ALkJrhiOe6yfQ2NpTGTItnej-8YQL6d3JA" TargetMode="External"/><Relationship Id="rId1521" Type="http://schemas.openxmlformats.org/officeDocument/2006/relationships/hyperlink" Target="https://fr.wikipedia.org/wiki/Patate_douce" TargetMode="External"/><Relationship Id="rId3279" Type="http://schemas.openxmlformats.org/officeDocument/2006/relationships/hyperlink" Target="http://fr.wikipedia.org/wiki/Racine_(botanique)" TargetMode="External"/><Relationship Id="rId3486" Type="http://schemas.openxmlformats.org/officeDocument/2006/relationships/image" Target="media/image1302.jpeg"/><Relationship Id="rId3693" Type="http://schemas.openxmlformats.org/officeDocument/2006/relationships/hyperlink" Target="https://fr.wikipedia.org/wiki/Organisme_g%C3%A9n%C3%A9tiquement_modifi%C3%A9" TargetMode="External"/><Relationship Id="rId4537" Type="http://schemas.openxmlformats.org/officeDocument/2006/relationships/hyperlink" Target="http://www.iied.org/NR/drylands" TargetMode="External"/><Relationship Id="rId20" Type="http://schemas.openxmlformats.org/officeDocument/2006/relationships/hyperlink" Target="https://fr.wikipedia.org/wiki/Mycologie" TargetMode="External"/><Relationship Id="rId2088" Type="http://schemas.openxmlformats.org/officeDocument/2006/relationships/hyperlink" Target="https://fr.wikipedia.org/wiki/Puceron" TargetMode="External"/><Relationship Id="rId2295" Type="http://schemas.openxmlformats.org/officeDocument/2006/relationships/hyperlink" Target="http://translate.googleusercontent.com/translate_c?depth=1&amp;hl=fr&amp;prev=/search?q%3DMelilotus%2Bindicus%26biw%3D1440%26bih%3D732&amp;rurl=translate.google.fr&amp;sl=en&amp;u=http://en.wikipedia.org/wiki/Australia&amp;usg=ALkJrhiP7zi2Yp7OCG-3Mkrg4l3aETZPTQ" TargetMode="External"/><Relationship Id="rId3139" Type="http://schemas.openxmlformats.org/officeDocument/2006/relationships/image" Target="media/image1081.jpeg"/><Relationship Id="rId3346" Type="http://schemas.openxmlformats.org/officeDocument/2006/relationships/image" Target="media/image1211.jpeg"/><Relationship Id="rId267" Type="http://schemas.openxmlformats.org/officeDocument/2006/relationships/hyperlink" Target="http://www.ncbi.nlm.nih.gov/pmc/articles/PMC1277088/?tool=pubmed" TargetMode="External"/><Relationship Id="rId474" Type="http://schemas.openxmlformats.org/officeDocument/2006/relationships/image" Target="media/image201.jpeg"/><Relationship Id="rId2155" Type="http://schemas.openxmlformats.org/officeDocument/2006/relationships/hyperlink" Target="https://fr.wikipedia.org/wiki/Classification_de_Cronquist" TargetMode="External"/><Relationship Id="rId3553" Type="http://schemas.openxmlformats.org/officeDocument/2006/relationships/hyperlink" Target="https://fr.wikipedia.org/wiki/Humidit%C3%A9" TargetMode="External"/><Relationship Id="rId3760" Type="http://schemas.openxmlformats.org/officeDocument/2006/relationships/hyperlink" Target="http://www.sciam.com/" TargetMode="External"/><Relationship Id="rId127" Type="http://schemas.openxmlformats.org/officeDocument/2006/relationships/image" Target="media/image35.jpeg"/><Relationship Id="rId681" Type="http://schemas.openxmlformats.org/officeDocument/2006/relationships/image" Target="media/image289.jpeg"/><Relationship Id="rId2362" Type="http://schemas.openxmlformats.org/officeDocument/2006/relationships/hyperlink" Target="http://fr.wikipedia.org/wiki/Chrysopogon_zizanioides" TargetMode="External"/><Relationship Id="rId3206" Type="http://schemas.openxmlformats.org/officeDocument/2006/relationships/image" Target="media/image1120.jpeg"/><Relationship Id="rId3413" Type="http://schemas.openxmlformats.org/officeDocument/2006/relationships/hyperlink" Target="http://fr.wikipedia.org/wiki/Incendies_de_for%C3%AAt" TargetMode="External"/><Relationship Id="rId3620" Type="http://schemas.openxmlformats.org/officeDocument/2006/relationships/hyperlink" Target="https://fr.wikipedia.org/wiki/D%C3%A9mographie" TargetMode="External"/><Relationship Id="rId334" Type="http://schemas.openxmlformats.org/officeDocument/2006/relationships/image" Target="media/image156.jpeg"/><Relationship Id="rId541" Type="http://schemas.openxmlformats.org/officeDocument/2006/relationships/hyperlink" Target="http://www.worldagroforestry.org/treedb2/AFTPDFS/Ficus_sycomorus.pdf" TargetMode="External"/><Relationship Id="rId1171" Type="http://schemas.openxmlformats.org/officeDocument/2006/relationships/hyperlink" Target="https://en.wikipedia.org/wiki/Acrostichum_aureum" TargetMode="External"/><Relationship Id="rId2015" Type="http://schemas.openxmlformats.org/officeDocument/2006/relationships/hyperlink" Target="https://en.wikipedia.org/wiki/Leaf_spot" TargetMode="External"/><Relationship Id="rId2222" Type="http://schemas.openxmlformats.org/officeDocument/2006/relationships/image" Target="media/image841.png"/><Relationship Id="rId401" Type="http://schemas.openxmlformats.org/officeDocument/2006/relationships/hyperlink" Target="https://fr.wikipedia.org/wiki/Baie_(botanique)" TargetMode="External"/><Relationship Id="rId1031" Type="http://schemas.openxmlformats.org/officeDocument/2006/relationships/image" Target="media/image472.jpg"/><Relationship Id="rId1988" Type="http://schemas.openxmlformats.org/officeDocument/2006/relationships/hyperlink" Target="https://fr.wikipedia.org/wiki/Ghana" TargetMode="External"/><Relationship Id="rId4187" Type="http://schemas.openxmlformats.org/officeDocument/2006/relationships/hyperlink" Target="http://www.cabi.org/isc/datasheet/112580" TargetMode="External"/><Relationship Id="rId4394" Type="http://schemas.openxmlformats.org/officeDocument/2006/relationships/image" Target="media/image1471.jpeg"/><Relationship Id="rId4047" Type="http://schemas.openxmlformats.org/officeDocument/2006/relationships/hyperlink" Target="https://translate.googleusercontent.com/translate_c?depth=1&amp;hl=fr&amp;prev=search&amp;rurl=translate.google.fr&amp;sl=en&amp;u=https://en.wikipedia.org/wiki/Uromycladium_tepperianum&amp;usg=ALkJrhhsrBik2QKyWwxt0DLx9-m6h8jFkg" TargetMode="External"/><Relationship Id="rId4254" Type="http://schemas.openxmlformats.org/officeDocument/2006/relationships/hyperlink" Target="http://www.cabi.org/isc/datasheet/52499" TargetMode="External"/><Relationship Id="rId4461" Type="http://schemas.openxmlformats.org/officeDocument/2006/relationships/hyperlink" Target="https://www.sciencedirect.com/science/article/pii/S0011916417302400" TargetMode="External"/><Relationship Id="rId1848" Type="http://schemas.openxmlformats.org/officeDocument/2006/relationships/image" Target="media/image768.jpeg"/><Relationship Id="rId3063" Type="http://schemas.openxmlformats.org/officeDocument/2006/relationships/image" Target="media/image1018.jpeg"/><Relationship Id="rId3270" Type="http://schemas.openxmlformats.org/officeDocument/2006/relationships/image" Target="media/image1162.jpg"/><Relationship Id="rId4114" Type="http://schemas.openxmlformats.org/officeDocument/2006/relationships/hyperlink" Target="https://en.wikipedia.org/wiki/Tamil_Nadu" TargetMode="External"/><Relationship Id="rId4321" Type="http://schemas.openxmlformats.org/officeDocument/2006/relationships/hyperlink" Target="http://fr.wikipedia.org/wiki/Fabaceae" TargetMode="External"/><Relationship Id="rId191" Type="http://schemas.openxmlformats.org/officeDocument/2006/relationships/hyperlink" Target="https://pl.wikipedia.org/wiki/Haloxylon_scoparium" TargetMode="External"/><Relationship Id="rId1708" Type="http://schemas.openxmlformats.org/officeDocument/2006/relationships/hyperlink" Target="https://fr.wikipedia.org/wiki/S%C3%A9pale" TargetMode="External"/><Relationship Id="rId1915" Type="http://schemas.openxmlformats.org/officeDocument/2006/relationships/hyperlink" Target="https://fr.wikipedia.org/wiki/M%C3%A9th%C3%A9moglobine" TargetMode="External"/><Relationship Id="rId3130" Type="http://schemas.openxmlformats.org/officeDocument/2006/relationships/hyperlink" Target="http://en.wikipedia.org/wiki/Johad" TargetMode="External"/><Relationship Id="rId2689" Type="http://schemas.openxmlformats.org/officeDocument/2006/relationships/image" Target="media/image943.jpeg"/><Relationship Id="rId2896" Type="http://schemas.openxmlformats.org/officeDocument/2006/relationships/hyperlink" Target="http://translate.googleusercontent.com/translate_c?depth=1&amp;hl=fr&amp;prev=search&amp;rurl=translate.google.fr&amp;sl=en&amp;u=http://en.wikipedia.org/wiki/Angola&amp;usg=ALkJrhhXQRYLGTkHLDsEzrWV3G6Yz2EdWg" TargetMode="External"/><Relationship Id="rId3947" Type="http://schemas.openxmlformats.org/officeDocument/2006/relationships/image" Target="media/image1364.jpeg"/><Relationship Id="rId868" Type="http://schemas.openxmlformats.org/officeDocument/2006/relationships/hyperlink" Target="http://translate.googleusercontent.com/translate_c?depth=1&amp;hl=fr&amp;prev=/search?q=nitraria&amp;biw=1440&amp;bih=732&amp;rurl=translate.google.fr&amp;sl=en&amp;u=http://en.wikipedia.org/wiki/Perennial_plant&amp;usg=ALkJrhhhjmXRCZp5zsNjnYcubxfCawepdg" TargetMode="External"/><Relationship Id="rId1498" Type="http://schemas.openxmlformats.org/officeDocument/2006/relationships/hyperlink" Target="http://fr.wikipedia.org/wiki/Beta_vulgaris" TargetMode="External"/><Relationship Id="rId2549" Type="http://schemas.openxmlformats.org/officeDocument/2006/relationships/hyperlink" Target="http://translate.googleusercontent.com/translate_c?depth=1&amp;hl=fr&amp;prev=search&amp;rurl=translate.google.fr&amp;sl=en&amp;u=http://en.wikipedia.org/wiki/Neolithic_founder_crops&amp;usg=ALkJrhiSC2HlHZuCeqDELUEo-boPcEmLjg" TargetMode="External"/><Relationship Id="rId2756" Type="http://schemas.openxmlformats.org/officeDocument/2006/relationships/hyperlink" Target="https://fr.wikipedia.org/wiki/Mopti" TargetMode="External"/><Relationship Id="rId2963" Type="http://schemas.openxmlformats.org/officeDocument/2006/relationships/image" Target="media/image992.jpeg"/><Relationship Id="rId3807" Type="http://schemas.openxmlformats.org/officeDocument/2006/relationships/hyperlink" Target="http://ideas.repec.org/a/eee/agiwat/v78y2005i1-2p108-121.html" TargetMode="External"/><Relationship Id="rId728" Type="http://schemas.openxmlformats.org/officeDocument/2006/relationships/image" Target="media/image314.jpeg"/><Relationship Id="rId935" Type="http://schemas.openxmlformats.org/officeDocument/2006/relationships/hyperlink" Target="https://fr.wikipedia.org/wiki/Moringa" TargetMode="External"/><Relationship Id="rId1358" Type="http://schemas.openxmlformats.org/officeDocument/2006/relationships/hyperlink" Target="http://en.wikipedia.org/wiki/King_Faisal_University" TargetMode="External"/><Relationship Id="rId1565" Type="http://schemas.openxmlformats.org/officeDocument/2006/relationships/image" Target="media/image685.jpeg"/><Relationship Id="rId1772" Type="http://schemas.openxmlformats.org/officeDocument/2006/relationships/hyperlink" Target="http://fr.wikipedia.org/wiki/Perroquet" TargetMode="External"/><Relationship Id="rId2409" Type="http://schemas.openxmlformats.org/officeDocument/2006/relationships/hyperlink" Target="http://fr.wikipedia.org/wiki/Littoral" TargetMode="External"/><Relationship Id="rId2616" Type="http://schemas.openxmlformats.org/officeDocument/2006/relationships/image" Target="media/image928.jpeg"/><Relationship Id="rId64" Type="http://schemas.openxmlformats.org/officeDocument/2006/relationships/image" Target="media/image29.emf"/><Relationship Id="rId1218" Type="http://schemas.openxmlformats.org/officeDocument/2006/relationships/image" Target="media/image599.jpeg"/><Relationship Id="rId1425" Type="http://schemas.openxmlformats.org/officeDocument/2006/relationships/hyperlink" Target="http://www.bashanfoundation.org/gmaweb/pdfs/growth.pdf" TargetMode="External"/><Relationship Id="rId2823" Type="http://schemas.openxmlformats.org/officeDocument/2006/relationships/hyperlink" Target="http://translate.googleusercontent.com/translate_c?depth=1&amp;hl=fr&amp;prev=search&amp;rurl=translate.google.fr&amp;sl=en&amp;u=http://en.wikipedia.org/wiki/Antiseptic&amp;usg=ALkJrhjvrWhI2Qv4xVR7QubxcmK6e5nkOQ" TargetMode="External"/><Relationship Id="rId1632" Type="http://schemas.openxmlformats.org/officeDocument/2006/relationships/hyperlink" Target="http://link.springer.com/article/10.1007/BF02372487" TargetMode="External"/><Relationship Id="rId2199" Type="http://schemas.openxmlformats.org/officeDocument/2006/relationships/hyperlink" Target="https://en.wikipedia.org/wiki/Amaranthaceae" TargetMode="External"/><Relationship Id="rId3597" Type="http://schemas.openxmlformats.org/officeDocument/2006/relationships/hyperlink" Target="https://fr.wikipedia.org/wiki/%C3%89cof%C3%A9minisme" TargetMode="External"/><Relationship Id="rId3457" Type="http://schemas.openxmlformats.org/officeDocument/2006/relationships/image" Target="media/image1292.png"/><Relationship Id="rId3664" Type="http://schemas.openxmlformats.org/officeDocument/2006/relationships/hyperlink" Target="https://twitter.com/SaltFarmTexel" TargetMode="External"/><Relationship Id="rId3871" Type="http://schemas.openxmlformats.org/officeDocument/2006/relationships/hyperlink" Target="http://www.drcsc.org/VET/library/Nursery/Mangrove_Nursery_manual_HR.pdf" TargetMode="External"/><Relationship Id="rId4508" Type="http://schemas.openxmlformats.org/officeDocument/2006/relationships/hyperlink" Target="http://popups.ulg.ac.be/1780-4507/index.php?id=9586" TargetMode="External"/><Relationship Id="rId378" Type="http://schemas.openxmlformats.org/officeDocument/2006/relationships/hyperlink" Target="https://fr.wikipedia.org/wiki/Vitis_acerifolia" TargetMode="External"/><Relationship Id="rId585" Type="http://schemas.openxmlformats.org/officeDocument/2006/relationships/hyperlink" Target="https://fr.wikipedia.org/wiki/S%C3%A9n%C3%A9gal" TargetMode="External"/><Relationship Id="rId792" Type="http://schemas.openxmlformats.org/officeDocument/2006/relationships/hyperlink" Target="http://translate.googleusercontent.com/translate_c?depth=1&amp;hl=fr&amp;prev=/search?q%3DColophospermum%2Bmopane%26biw%3D1440%26bih%3D732&amp;rurl=translate.google.fr&amp;sl=en&amp;u=http://en.wikipedia.org/wiki/Gonimbrasia_belina&amp;usg=ALkJrhhywyA--zKZaGchIWish5CstcgUaQ" TargetMode="External"/><Relationship Id="rId2059" Type="http://schemas.openxmlformats.org/officeDocument/2006/relationships/hyperlink" Target="https://en.wikipedia.org/wiki/Callosobruchus_maculatus" TargetMode="External"/><Relationship Id="rId2266" Type="http://schemas.openxmlformats.org/officeDocument/2006/relationships/image" Target="media/image859.jpeg"/><Relationship Id="rId2473" Type="http://schemas.openxmlformats.org/officeDocument/2006/relationships/image" Target="media/image902.jpeg"/><Relationship Id="rId2680" Type="http://schemas.openxmlformats.org/officeDocument/2006/relationships/hyperlink" Target="https://fr.wikipedia.org/wiki/Toxicit%C3%A9" TargetMode="External"/><Relationship Id="rId3317" Type="http://schemas.openxmlformats.org/officeDocument/2006/relationships/image" Target="media/image1190.jpeg"/><Relationship Id="rId3524" Type="http://schemas.openxmlformats.org/officeDocument/2006/relationships/hyperlink" Target="https://fr.wikipedia.org/wiki/Environnement" TargetMode="External"/><Relationship Id="rId3731" Type="http://schemas.openxmlformats.org/officeDocument/2006/relationships/hyperlink" Target="http://www.fao.org/docrep/v5360f/v5360f00.HTM" TargetMode="External"/><Relationship Id="rId238" Type="http://schemas.openxmlformats.org/officeDocument/2006/relationships/hyperlink" Target="https://fr.wikipedia.org/wiki/Famille_(biologie)" TargetMode="External"/><Relationship Id="rId445" Type="http://schemas.openxmlformats.org/officeDocument/2006/relationships/image" Target="media/image188.jpeg"/><Relationship Id="rId652" Type="http://schemas.openxmlformats.org/officeDocument/2006/relationships/hyperlink" Target="https://fr.wikipedia.org/wiki/Zambie" TargetMode="External"/><Relationship Id="rId1075" Type="http://schemas.openxmlformats.org/officeDocument/2006/relationships/hyperlink" Target="https://fr.wikipedia.org/wiki/Rhizophora_mangle" TargetMode="External"/><Relationship Id="rId1282" Type="http://schemas.openxmlformats.org/officeDocument/2006/relationships/hyperlink" Target="http://fr.wikipedia.org/wiki/Poaceae" TargetMode="External"/><Relationship Id="rId2126" Type="http://schemas.openxmlformats.org/officeDocument/2006/relationships/hyperlink" Target="https://en.wikipedia.org/wiki/Chikki" TargetMode="External"/><Relationship Id="rId2333" Type="http://schemas.openxmlformats.org/officeDocument/2006/relationships/image" Target="media/image871.jpeg"/><Relationship Id="rId2540" Type="http://schemas.openxmlformats.org/officeDocument/2006/relationships/image" Target="media/image913.jpeg"/><Relationship Id="rId305" Type="http://schemas.openxmlformats.org/officeDocument/2006/relationships/hyperlink" Target="https://fr.wikipedia.org/wiki/Famille_(biologie)" TargetMode="External"/><Relationship Id="rId512" Type="http://schemas.openxmlformats.org/officeDocument/2006/relationships/hyperlink" Target="https://fr.wikipedia.org/wiki/Famille_(biologie)" TargetMode="External"/><Relationship Id="rId1142" Type="http://schemas.openxmlformats.org/officeDocument/2006/relationships/hyperlink" Target="http://queenslandcoast.blogspot.com/2016/09/australias-spurred-mangroves-ceriops-sp.html" TargetMode="External"/><Relationship Id="rId2400" Type="http://schemas.openxmlformats.org/officeDocument/2006/relationships/image" Target="media/image889.jpeg"/><Relationship Id="rId4298" Type="http://schemas.openxmlformats.org/officeDocument/2006/relationships/image" Target="media/image1441.jpeg"/><Relationship Id="rId1002" Type="http://schemas.openxmlformats.org/officeDocument/2006/relationships/image" Target="media/image454.JPG"/><Relationship Id="rId4158" Type="http://schemas.openxmlformats.org/officeDocument/2006/relationships/hyperlink" Target="http://www.hear.org/pier/species/prosopis_pallida.htm" TargetMode="External"/><Relationship Id="rId4365" Type="http://schemas.openxmlformats.org/officeDocument/2006/relationships/hyperlink" Target="http://translate.googleusercontent.com/translate_c?depth=1&amp;hl=fr&amp;prev=/search?q%3Dkikuyu%2Bgrass%26biw%3D1440%26bih%3D775&amp;rurl=translate.google.fr&amp;sl=en&amp;u=http://en.wikipedia.org/wiki/South_Africa&amp;usg=ALkJrhiB95JsWHVNNKzYAf6xJmTng4dhZg" TargetMode="External"/><Relationship Id="rId1959" Type="http://schemas.openxmlformats.org/officeDocument/2006/relationships/hyperlink" Target="https://en.wikipedia.org/wiki/Dal" TargetMode="External"/><Relationship Id="rId3174" Type="http://schemas.openxmlformats.org/officeDocument/2006/relationships/image" Target="media/image1093.jpeg"/><Relationship Id="rId4018" Type="http://schemas.openxmlformats.org/officeDocument/2006/relationships/hyperlink" Target="http://fr.wikipedia.org/wiki/Mimosaceae" TargetMode="External"/><Relationship Id="rId1819" Type="http://schemas.openxmlformats.org/officeDocument/2006/relationships/hyperlink" Target="https://fr.wikipedia.org/wiki/S%C3%A9n%C3%A9gal" TargetMode="External"/><Relationship Id="rId3381" Type="http://schemas.openxmlformats.org/officeDocument/2006/relationships/image" Target="media/image1241.jpeg"/><Relationship Id="rId4225" Type="http://schemas.openxmlformats.org/officeDocument/2006/relationships/hyperlink" Target="http://www.cabi.org/isc/datasheet/112593" TargetMode="External"/><Relationship Id="rId4432" Type="http://schemas.openxmlformats.org/officeDocument/2006/relationships/hyperlink" Target="http://fr.wiktionary.org/wiki/trop-plein" TargetMode="External"/><Relationship Id="rId2190" Type="http://schemas.openxmlformats.org/officeDocument/2006/relationships/hyperlink" Target="https://en.wikipedia.org/wiki/Saponin" TargetMode="External"/><Relationship Id="rId3034" Type="http://schemas.openxmlformats.org/officeDocument/2006/relationships/hyperlink" Target="http://en.wikipedia.org/wiki/Israel" TargetMode="External"/><Relationship Id="rId3241" Type="http://schemas.openxmlformats.org/officeDocument/2006/relationships/image" Target="media/image1149.jpeg"/><Relationship Id="rId162" Type="http://schemas.openxmlformats.org/officeDocument/2006/relationships/image" Target="media/image69.jpg"/><Relationship Id="rId2050" Type="http://schemas.openxmlformats.org/officeDocument/2006/relationships/image" Target="media/image798.jpeg"/><Relationship Id="rId3101" Type="http://schemas.openxmlformats.org/officeDocument/2006/relationships/image" Target="media/image1053.jpeg"/><Relationship Id="rId979" Type="http://schemas.openxmlformats.org/officeDocument/2006/relationships/image" Target="media/image435.jpeg"/><Relationship Id="rId839" Type="http://schemas.openxmlformats.org/officeDocument/2006/relationships/hyperlink" Target="http://translate.googleusercontent.com/translate_c?depth=1&amp;hl=fr&amp;prev=/search?q=Salsola+vermiculata&amp;biw=1440&amp;bih=732&amp;rurl=translate.google.fr&amp;sl=es&amp;u=http://es.wikipedia.org/wiki/Arbusto&amp;usg=ALkJrhgssHLjheIZNnm6MwfAqVNCx0P_6Q" TargetMode="External"/><Relationship Id="rId1469" Type="http://schemas.openxmlformats.org/officeDocument/2006/relationships/image" Target="media/image658.jpeg"/><Relationship Id="rId2867" Type="http://schemas.openxmlformats.org/officeDocument/2006/relationships/hyperlink" Target="http://translate.googleusercontent.com/translate_c?depth=1&amp;hl=fr&amp;prev=search&amp;rurl=translate.google.fr&amp;sl=en&amp;u=http://en.wikipedia.org/wiki/India&amp;usg=ALkJrhj6cUmxsZ9-WS1F5KgIcAQr_0j_8Q" TargetMode="External"/><Relationship Id="rId3918" Type="http://schemas.openxmlformats.org/officeDocument/2006/relationships/hyperlink" Target="https://pangeaexpress.wordpress.com/2015/02/13/desert-greening/" TargetMode="External"/><Relationship Id="rId4082" Type="http://schemas.openxmlformats.org/officeDocument/2006/relationships/hyperlink" Target="http://fr.wikipedia.org/wiki/Mimosoideae" TargetMode="External"/><Relationship Id="rId1676" Type="http://schemas.openxmlformats.org/officeDocument/2006/relationships/hyperlink" Target="http://database.prota.org/PROTAhtml/Brassica%20carinata_En.htm" TargetMode="External"/><Relationship Id="rId1883" Type="http://schemas.openxmlformats.org/officeDocument/2006/relationships/hyperlink" Target="https://fr.wikipedia.org/wiki/Racine_(botanique)" TargetMode="External"/><Relationship Id="rId2727" Type="http://schemas.openxmlformats.org/officeDocument/2006/relationships/hyperlink" Target="https://fr.wikipedia.org/wiki/Esp%C3%A8ce" TargetMode="External"/><Relationship Id="rId2934" Type="http://schemas.openxmlformats.org/officeDocument/2006/relationships/hyperlink" Target="http://en.wikipedia.org/wiki/Commiphora_africana" TargetMode="External"/><Relationship Id="rId906" Type="http://schemas.openxmlformats.org/officeDocument/2006/relationships/image" Target="media/image401.jpeg"/><Relationship Id="rId1329" Type="http://schemas.openxmlformats.org/officeDocument/2006/relationships/hyperlink" Target="http://www.miracosta.edu/home/kmeldahl/articles/crops.pdf" TargetMode="External"/><Relationship Id="rId1536" Type="http://schemas.openxmlformats.org/officeDocument/2006/relationships/hyperlink" Target="https://fr.wikipedia.org/wiki/Aubergine" TargetMode="External"/><Relationship Id="rId1743" Type="http://schemas.openxmlformats.org/officeDocument/2006/relationships/hyperlink" Target="https://fr.wikipedia.org/wiki/Camelina_sativa" TargetMode="External"/><Relationship Id="rId1950" Type="http://schemas.openxmlformats.org/officeDocument/2006/relationships/hyperlink" Target="https://en.wikipedia.org/wiki/Phosphorus" TargetMode="External"/><Relationship Id="rId35" Type="http://schemas.openxmlformats.org/officeDocument/2006/relationships/image" Target="media/image7.jpeg"/><Relationship Id="rId1603" Type="http://schemas.openxmlformats.org/officeDocument/2006/relationships/hyperlink" Target="http://en.wikipedia.org/wiki/Barley" TargetMode="External"/><Relationship Id="rId1810" Type="http://schemas.openxmlformats.org/officeDocument/2006/relationships/hyperlink" Target="https://fr.wikipedia.org/wiki/C%C3%A9r%C3%A9ale" TargetMode="External"/><Relationship Id="rId3568" Type="http://schemas.openxmlformats.org/officeDocument/2006/relationships/hyperlink" Target="https://fr.wikipedia.org/wiki/Acacia_albida" TargetMode="External"/><Relationship Id="rId3775" Type="http://schemas.openxmlformats.org/officeDocument/2006/relationships/hyperlink" Target="https://www.iata.org/pressroom/facts_figures/fact_sheets/pages/alt-fuels.aspx" TargetMode="External"/><Relationship Id="rId3982" Type="http://schemas.openxmlformats.org/officeDocument/2006/relationships/hyperlink" Target="http://www.hear.org/pier/species/casuarina_equisetifolia.htm" TargetMode="External"/><Relationship Id="rId489" Type="http://schemas.openxmlformats.org/officeDocument/2006/relationships/image" Target="media/image209.jpg"/><Relationship Id="rId696" Type="http://schemas.openxmlformats.org/officeDocument/2006/relationships/hyperlink" Target="http://fr.wikipedia.org/wiki/Mimosaceae" TargetMode="External"/><Relationship Id="rId2377" Type="http://schemas.openxmlformats.org/officeDocument/2006/relationships/hyperlink" Target="http://translate.googleusercontent.com/translate_c?depth=1&amp;hl=fr&amp;prev=/search?q%3DChrysopogon%2Bnigritanus%26biw%3D1440%26bih%3D732&amp;rurl=translate.google.fr&amp;sl=en&amp;u=http://en.wikipedia.org/wiki/Grass&amp;usg=ALkJrhjug3tkBKDnXUvoRdXFh2EbHJxNAw" TargetMode="External"/><Relationship Id="rId2584" Type="http://schemas.openxmlformats.org/officeDocument/2006/relationships/hyperlink" Target="https://fr.wikipedia.org/wiki/Tourteaux" TargetMode="External"/><Relationship Id="rId2791" Type="http://schemas.openxmlformats.org/officeDocument/2006/relationships/image" Target="media/image958.jpeg"/><Relationship Id="rId3428" Type="http://schemas.openxmlformats.org/officeDocument/2006/relationships/image" Target="media/image1264.jpeg"/><Relationship Id="rId3635" Type="http://schemas.openxmlformats.org/officeDocument/2006/relationships/image" Target="media/image1325.jpg"/><Relationship Id="rId349" Type="http://schemas.openxmlformats.org/officeDocument/2006/relationships/image" Target="media/image165.jpeg"/><Relationship Id="rId556" Type="http://schemas.openxmlformats.org/officeDocument/2006/relationships/image" Target="media/image243.jpeg"/><Relationship Id="rId763" Type="http://schemas.openxmlformats.org/officeDocument/2006/relationships/hyperlink" Target="http://ne.chm-cbd.net/biodiversity/la-diversite-biologique-vegetale/les-especes-vegetales-et-leurs-utilites/bauhinia-rufescens" TargetMode="External"/><Relationship Id="rId1186" Type="http://schemas.openxmlformats.org/officeDocument/2006/relationships/image" Target="media/image574.jpeg"/><Relationship Id="rId1393" Type="http://schemas.openxmlformats.org/officeDocument/2006/relationships/hyperlink" Target="http://en.wikipedia.org/wiki/Salt_marsh" TargetMode="External"/><Relationship Id="rId2237" Type="http://schemas.openxmlformats.org/officeDocument/2006/relationships/hyperlink" Target="https://fr.wikipedia.org/wiki/X%C3%A9rophile" TargetMode="External"/><Relationship Id="rId2444" Type="http://schemas.openxmlformats.org/officeDocument/2006/relationships/hyperlink" Target="http://translate.googleusercontent.com/translate_c?depth=1&amp;hl=fr&amp;prev=/search?q%3Dpanicum%2Bamarum%26biw%3D1440%26bih%3D732&amp;rurl=translate.google.fr&amp;sl=en&amp;u=http://en.wikipedia.org/wiki/Dune&amp;usg=ALkJrhgTqXKCmGTKkdpz-BSzJywhJEoM9g" TargetMode="External"/><Relationship Id="rId3842" Type="http://schemas.openxmlformats.org/officeDocument/2006/relationships/hyperlink" Target="http://www.academia.edu/attachments/33065385/download_file?st=MTQxMDc1MzU5MSw3OC4xOTMuMS41MCwyMjk3NzU4&amp;s=work_strip" TargetMode="External"/><Relationship Id="rId209" Type="http://schemas.openxmlformats.org/officeDocument/2006/relationships/image" Target="media/image99.jpeg"/><Relationship Id="rId416" Type="http://schemas.openxmlformats.org/officeDocument/2006/relationships/hyperlink" Target="https://fr.wikipedia.org/wiki/Raisin_sec" TargetMode="External"/><Relationship Id="rId970" Type="http://schemas.openxmlformats.org/officeDocument/2006/relationships/image" Target="media/image431.jpeg"/><Relationship Id="rId1046" Type="http://schemas.openxmlformats.org/officeDocument/2006/relationships/hyperlink" Target="https://en.wikipedia.org/wiki/Nypa_fruticans" TargetMode="External"/><Relationship Id="rId1253" Type="http://schemas.openxmlformats.org/officeDocument/2006/relationships/image" Target="media/image633.jpg"/><Relationship Id="rId2651" Type="http://schemas.openxmlformats.org/officeDocument/2006/relationships/hyperlink" Target="https://en.wikipedia.org/wiki/Eucheuma" TargetMode="External"/><Relationship Id="rId3702" Type="http://schemas.openxmlformats.org/officeDocument/2006/relationships/hyperlink" Target="https://en.wikipedia.org/wiki/Environmental_issues_in_Florida" TargetMode="External"/><Relationship Id="rId623" Type="http://schemas.openxmlformats.org/officeDocument/2006/relationships/image" Target="media/image265.jpeg"/><Relationship Id="rId830" Type="http://schemas.openxmlformats.org/officeDocument/2006/relationships/hyperlink" Target="https://fr.wikipedia.org/wiki/Atriplex_nummularia" TargetMode="External"/><Relationship Id="rId1460" Type="http://schemas.openxmlformats.org/officeDocument/2006/relationships/hyperlink" Target="http://fr.wikipedia.org/wiki/Asparagus_albus" TargetMode="External"/><Relationship Id="rId2304" Type="http://schemas.openxmlformats.org/officeDocument/2006/relationships/image" Target="media/image866.jpeg"/><Relationship Id="rId2511" Type="http://schemas.openxmlformats.org/officeDocument/2006/relationships/hyperlink" Target="https://en.wikipedia.org/wiki/Stipa_tenacissima" TargetMode="External"/><Relationship Id="rId1113" Type="http://schemas.openxmlformats.org/officeDocument/2006/relationships/image" Target="media/image536.jpg"/><Relationship Id="rId1320" Type="http://schemas.openxmlformats.org/officeDocument/2006/relationships/hyperlink" Target="http://en.wikipedia.org/wiki/Salicornia" TargetMode="External"/><Relationship Id="rId4269" Type="http://schemas.openxmlformats.org/officeDocument/2006/relationships/hyperlink" Target="http://www.cabi.org/isc/datasheet/52503" TargetMode="External"/><Relationship Id="rId4476" Type="http://schemas.openxmlformats.org/officeDocument/2006/relationships/image" Target="media/image1483.jpeg"/><Relationship Id="rId3078" Type="http://schemas.openxmlformats.org/officeDocument/2006/relationships/image" Target="media/image1031.jpeg"/><Relationship Id="rId3285" Type="http://schemas.openxmlformats.org/officeDocument/2006/relationships/hyperlink" Target="http://fr.wikipedia.org/w/index.php?title=Simcha_Blass&amp;action=edit&amp;redlink=1" TargetMode="External"/><Relationship Id="rId3492" Type="http://schemas.openxmlformats.org/officeDocument/2006/relationships/image" Target="media/image1308.jpeg"/><Relationship Id="rId4129" Type="http://schemas.openxmlformats.org/officeDocument/2006/relationships/hyperlink" Target="http://fr.wikipedia.org/w/index.php?title=Hanl%C3%A9&amp;action=edit&amp;redlink=1" TargetMode="External"/><Relationship Id="rId4336" Type="http://schemas.openxmlformats.org/officeDocument/2006/relationships/image" Target="media/image1458.jpeg"/><Relationship Id="rId4543" Type="http://schemas.openxmlformats.org/officeDocument/2006/relationships/hyperlink" Target="http://translate.googleusercontent.com/translate_c?depth=1&amp;hl=fr&amp;prev=/search?q%3Dsalicornia%2Bherbacea%2Bwikipedia%26biw%3D1440%26bih%3D732&amp;rurl=translate.google.fr&amp;sl=en&amp;u=http://en.wikipedia.org/wiki/Arid_Forest_Research_Institute&amp;usg=ALkJrhhXNWnt4Bt5d3TU6jTd1AARoitVaQ" TargetMode="External"/><Relationship Id="rId2094" Type="http://schemas.openxmlformats.org/officeDocument/2006/relationships/hyperlink" Target="https://en.wikipedia.org/wiki/Famine_relief" TargetMode="External"/><Relationship Id="rId3145" Type="http://schemas.openxmlformats.org/officeDocument/2006/relationships/hyperlink" Target="https://fr.wikipedia.org/wiki/Doline" TargetMode="External"/><Relationship Id="rId3352" Type="http://schemas.openxmlformats.org/officeDocument/2006/relationships/image" Target="media/image1214.jpeg"/><Relationship Id="rId4403" Type="http://schemas.openxmlformats.org/officeDocument/2006/relationships/hyperlink" Target="http://fr.wikipedia.org/wiki/Biome" TargetMode="External"/><Relationship Id="rId273" Type="http://schemas.openxmlformats.org/officeDocument/2006/relationships/image" Target="media/image118.jpeg"/><Relationship Id="rId480" Type="http://schemas.openxmlformats.org/officeDocument/2006/relationships/hyperlink" Target="https://fr.wikipedia.org/wiki/Famille_(biologie)" TargetMode="External"/><Relationship Id="rId2161" Type="http://schemas.openxmlformats.org/officeDocument/2006/relationships/hyperlink" Target="https://fr.wikipedia.org/wiki/Farine_panifiable" TargetMode="External"/><Relationship Id="rId3005" Type="http://schemas.openxmlformats.org/officeDocument/2006/relationships/hyperlink" Target="http://fr.wikipedia.org/wiki/Lignine" TargetMode="External"/><Relationship Id="rId3212" Type="http://schemas.openxmlformats.org/officeDocument/2006/relationships/oleObject" Target="embeddings/oleObject2.bin"/><Relationship Id="rId133" Type="http://schemas.openxmlformats.org/officeDocument/2006/relationships/image" Target="media/image41.jpg"/><Relationship Id="rId340" Type="http://schemas.openxmlformats.org/officeDocument/2006/relationships/hyperlink" Target="http://en.wikipedia.org/wiki/Pistacia_terebinthus" TargetMode="External"/><Relationship Id="rId2021" Type="http://schemas.openxmlformats.org/officeDocument/2006/relationships/hyperlink" Target="https://en.wikipedia.org/wiki/Lepidoptera" TargetMode="External"/><Relationship Id="rId200" Type="http://schemas.openxmlformats.org/officeDocument/2006/relationships/hyperlink" Target="http://crdp.ac-besancon.fr/flore/Poaceae/especes/hordeum_marinum.htm" TargetMode="External"/><Relationship Id="rId2978" Type="http://schemas.openxmlformats.org/officeDocument/2006/relationships/hyperlink" Target="http://translate.googleusercontent.com/translate_c?depth=1&amp;hl=fr&amp;prev=search&amp;rurl=translate.google.fr&amp;sl=en&amp;u=http://en.wikipedia.org/wiki/Boswellic_acid&amp;usg=ALkJrhhsHLgxKg5SVFBUGQD04E04Zq5tMg" TargetMode="External"/><Relationship Id="rId4193" Type="http://schemas.openxmlformats.org/officeDocument/2006/relationships/hyperlink" Target="http://www.cabi.org/isc/datasheet/112583" TargetMode="External"/><Relationship Id="rId1787" Type="http://schemas.openxmlformats.org/officeDocument/2006/relationships/hyperlink" Target="https://fr.wikipedia.org/wiki/C%C3%A9r%C3%A9ale" TargetMode="External"/><Relationship Id="rId1994" Type="http://schemas.openxmlformats.org/officeDocument/2006/relationships/hyperlink" Target="https://en.wikipedia.org/wiki/Millet" TargetMode="External"/><Relationship Id="rId2838" Type="http://schemas.openxmlformats.org/officeDocument/2006/relationships/hyperlink" Target="http://fr.wikipedia.org/wiki/Afrique_de_l'Est" TargetMode="External"/><Relationship Id="rId79" Type="http://schemas.openxmlformats.org/officeDocument/2006/relationships/hyperlink" Target="https://fr.wikipedia.org/wiki/Politique" TargetMode="External"/><Relationship Id="rId1647" Type="http://schemas.openxmlformats.org/officeDocument/2006/relationships/hyperlink" Target="https://www.espacedev.net/jeu-13042023/secteurs-productifs/culture-de-ble-au-senegal-de-gros-progres-realises-par-les" TargetMode="External"/><Relationship Id="rId1854" Type="http://schemas.openxmlformats.org/officeDocument/2006/relationships/image" Target="media/image772.jpeg"/><Relationship Id="rId2905" Type="http://schemas.openxmlformats.org/officeDocument/2006/relationships/hyperlink" Target="http://translate.googleusercontent.com/translate_c?depth=1&amp;hl=fr&amp;prev=search&amp;rurl=translate.google.fr&amp;sl=en&amp;u=http://en.wikipedia.org/wiki/Mozambique&amp;usg=ALkJrhi6qiyavJ7AkQ8i15pmhD8CefP5ow" TargetMode="External"/><Relationship Id="rId4053" Type="http://schemas.openxmlformats.org/officeDocument/2006/relationships/image" Target="media/image1405.jpeg"/><Relationship Id="rId4260" Type="http://schemas.openxmlformats.org/officeDocument/2006/relationships/hyperlink" Target="http://www.cabi.org/isc/datasheet/52486" TargetMode="External"/><Relationship Id="rId1507" Type="http://schemas.openxmlformats.org/officeDocument/2006/relationships/image" Target="media/image671.jpeg"/><Relationship Id="rId1714" Type="http://schemas.openxmlformats.org/officeDocument/2006/relationships/hyperlink" Target="https://fr.wikipedia.org/wiki/Crambe_maritime" TargetMode="External"/><Relationship Id="rId4120" Type="http://schemas.openxmlformats.org/officeDocument/2006/relationships/hyperlink" Target="http://fr.wikipedia.org/wiki/Fabaceae" TargetMode="External"/><Relationship Id="rId1921" Type="http://schemas.openxmlformats.org/officeDocument/2006/relationships/image" Target="media/image780.jpeg"/><Relationship Id="rId3679" Type="http://schemas.openxmlformats.org/officeDocument/2006/relationships/hyperlink" Target="https://fr.wikipedia.org/wiki/Afrique_subsaharienne" TargetMode="External"/><Relationship Id="rId2488" Type="http://schemas.openxmlformats.org/officeDocument/2006/relationships/hyperlink" Target="https://fr.wikipedia.org/wiki/Afrique_du_Nord" TargetMode="External"/><Relationship Id="rId3886" Type="http://schemas.openxmlformats.org/officeDocument/2006/relationships/hyperlink" Target="https://horizon.documentation.ird.fr/exl-doc/pleins_textes/divers14-01/010055520.pdf" TargetMode="External"/><Relationship Id="rId1297" Type="http://schemas.openxmlformats.org/officeDocument/2006/relationships/hyperlink" Target="https://fr.wikipedia.org/wiki/Chenopodiaceae" TargetMode="External"/><Relationship Id="rId2695" Type="http://schemas.openxmlformats.org/officeDocument/2006/relationships/hyperlink" Target="https://fr.wikipedia.org/wiki/Mastocarpus_stellatus" TargetMode="External"/><Relationship Id="rId3539" Type="http://schemas.openxmlformats.org/officeDocument/2006/relationships/hyperlink" Target="https://en.wikipedia.org/wiki/Climate_change_mitigation" TargetMode="External"/><Relationship Id="rId3746" Type="http://schemas.openxmlformats.org/officeDocument/2006/relationships/hyperlink" Target="http://www.persee.fr/docAsPDF/jatba_0370-3681_1922_num_2_16_1484.pdf" TargetMode="External"/><Relationship Id="rId3953" Type="http://schemas.openxmlformats.org/officeDocument/2006/relationships/hyperlink" Target="https://fr.wikipedia.org/wiki/Afrique_du_Sud" TargetMode="External"/><Relationship Id="rId667" Type="http://schemas.openxmlformats.org/officeDocument/2006/relationships/image" Target="media/image282.jpeg"/><Relationship Id="rId874" Type="http://schemas.openxmlformats.org/officeDocument/2006/relationships/hyperlink" Target="http://translate.googleusercontent.com/translate_c?depth=1&amp;hl=fr&amp;prev=/search?q=nitraria&amp;biw=1440&amp;bih=732&amp;rurl=translate.google.fr&amp;sl=en&amp;u=http://en.wikipedia.org/wiki/Shrub&amp;usg=ALkJrhjNdLOfrBMVlQ1luTrnmIH0yoWTwQ" TargetMode="External"/><Relationship Id="rId2348" Type="http://schemas.openxmlformats.org/officeDocument/2006/relationships/image" Target="media/image873.jpeg"/><Relationship Id="rId2555" Type="http://schemas.openxmlformats.org/officeDocument/2006/relationships/hyperlink" Target="http://translate.googleusercontent.com/translate_c?depth=1&amp;hl=fr&amp;prev=search&amp;rurl=translate.google.fr&amp;sl=en&amp;u=http://en.wikipedia.org/wiki/Famine&amp;usg=ALkJrhiteMiiRU_OYqW1cusDia01wkSeyA" TargetMode="External"/><Relationship Id="rId2762" Type="http://schemas.openxmlformats.org/officeDocument/2006/relationships/hyperlink" Target="https://fr.wikipedia.org/wiki/Arthrospira" TargetMode="External"/><Relationship Id="rId3606" Type="http://schemas.openxmlformats.org/officeDocument/2006/relationships/hyperlink" Target="https://fr.wikipedia.org/wiki/Droits_des_femmes" TargetMode="External"/><Relationship Id="rId3813" Type="http://schemas.openxmlformats.org/officeDocument/2006/relationships/hyperlink" Target="http://ideas.repec.org/a/eee/agiwat/v123y2013icp1-11.html" TargetMode="External"/><Relationship Id="rId527" Type="http://schemas.openxmlformats.org/officeDocument/2006/relationships/image" Target="media/image228.jpeg"/><Relationship Id="rId734" Type="http://schemas.openxmlformats.org/officeDocument/2006/relationships/hyperlink" Target="http://fr.wikipedia.org/wiki/Acacia_S%C3%A9n%C3%A9gal" TargetMode="External"/><Relationship Id="rId941" Type="http://schemas.openxmlformats.org/officeDocument/2006/relationships/hyperlink" Target="https://fr.wikipedia.org/wiki/L%C3%A9gume" TargetMode="External"/><Relationship Id="rId1157" Type="http://schemas.openxmlformats.org/officeDocument/2006/relationships/hyperlink" Target="https://en.wikipedia.org/wiki/Lumnitzera_racemosa" TargetMode="External"/><Relationship Id="rId1364" Type="http://schemas.openxmlformats.org/officeDocument/2006/relationships/hyperlink" Target="http://www.biomassmagazine.com/article.jsp?article_id=1864" TargetMode="External"/><Relationship Id="rId1571" Type="http://schemas.openxmlformats.org/officeDocument/2006/relationships/hyperlink" Target="http://fr.wikipedia.org/wiki/Plante_herbac%C3%A9e" TargetMode="External"/><Relationship Id="rId2208" Type="http://schemas.openxmlformats.org/officeDocument/2006/relationships/image" Target="media/image832.jpeg"/><Relationship Id="rId2415" Type="http://schemas.openxmlformats.org/officeDocument/2006/relationships/hyperlink" Target="http://fr.wikipedia.org/wiki/Ubiquiste" TargetMode="External"/><Relationship Id="rId2622" Type="http://schemas.openxmlformats.org/officeDocument/2006/relationships/hyperlink" Target="https://en.wikipedia.org/wiki/Wales" TargetMode="External"/><Relationship Id="rId70" Type="http://schemas.openxmlformats.org/officeDocument/2006/relationships/hyperlink" Target="https://fr.wikipedia.org/wiki/%C3%89l%C3%A9vation_du_niveau_de_la_mer" TargetMode="External"/><Relationship Id="rId801" Type="http://schemas.openxmlformats.org/officeDocument/2006/relationships/image" Target="media/image357.jpeg"/><Relationship Id="rId1017" Type="http://schemas.openxmlformats.org/officeDocument/2006/relationships/hyperlink" Target="http://publications.cirad.fr/une_notice.php?dk=537539" TargetMode="External"/><Relationship Id="rId1224" Type="http://schemas.openxmlformats.org/officeDocument/2006/relationships/image" Target="media/image604.jpeg"/><Relationship Id="rId1431" Type="http://schemas.openxmlformats.org/officeDocument/2006/relationships/hyperlink" Target="http://www.ncbi.nlm.nih.gov/pubmed/18765761" TargetMode="External"/><Relationship Id="rId3189" Type="http://schemas.openxmlformats.org/officeDocument/2006/relationships/image" Target="media/image1105.jpeg"/><Relationship Id="rId3396" Type="http://schemas.openxmlformats.org/officeDocument/2006/relationships/hyperlink" Target="https://rmportal.net/framelib/gestion-concerte.pdf" TargetMode="External"/><Relationship Id="rId4447" Type="http://schemas.openxmlformats.org/officeDocument/2006/relationships/hyperlink" Target="http://fr.wikipedia.org/wiki/%C3%89vapotranspiration" TargetMode="External"/><Relationship Id="rId3049" Type="http://schemas.openxmlformats.org/officeDocument/2006/relationships/hyperlink" Target="http://en.wikipedia.org/wiki/Prosopis" TargetMode="External"/><Relationship Id="rId3256" Type="http://schemas.openxmlformats.org/officeDocument/2006/relationships/hyperlink" Target="https://en.wikipedia.org/wiki/Wheat" TargetMode="External"/><Relationship Id="rId3463" Type="http://schemas.openxmlformats.org/officeDocument/2006/relationships/hyperlink" Target="http://fr.wikipedia.org/wiki/Layon" TargetMode="External"/><Relationship Id="rId4307" Type="http://schemas.openxmlformats.org/officeDocument/2006/relationships/image" Target="media/image1443.jpg"/><Relationship Id="rId177" Type="http://schemas.openxmlformats.org/officeDocument/2006/relationships/image" Target="media/image82.jpeg"/><Relationship Id="rId384" Type="http://schemas.openxmlformats.org/officeDocument/2006/relationships/hyperlink" Target="https://fr.wikipedia.org/wiki/Maladie_cryptogamique" TargetMode="External"/><Relationship Id="rId591" Type="http://schemas.openxmlformats.org/officeDocument/2006/relationships/hyperlink" Target="https://fr.wikipedia.org/wiki/Detarium" TargetMode="External"/><Relationship Id="rId2065" Type="http://schemas.openxmlformats.org/officeDocument/2006/relationships/hyperlink" Target="https://fr.wikipedia.org/wiki/Graine" TargetMode="External"/><Relationship Id="rId2272" Type="http://schemas.openxmlformats.org/officeDocument/2006/relationships/hyperlink" Target="http://translate.googleusercontent.com/translate_c?depth=1&amp;hl=fr&amp;prev=/search?q%3Dmelilotus%2Balbus%26biw%3D1440%26bih%3D732&amp;rurl=translate.google.fr&amp;sl=en&amp;u=http://en.wikipedia.org/wiki/Coumarin&amp;usg=ALkJrhhTJ8cUMPSMZFodWIvfst7rnf_xbw" TargetMode="External"/><Relationship Id="rId3116" Type="http://schemas.openxmlformats.org/officeDocument/2006/relationships/image" Target="media/image1068.jpeg"/><Relationship Id="rId3670" Type="http://schemas.openxmlformats.org/officeDocument/2006/relationships/hyperlink" Target="https://horizon.documentation.ird.fr/exl-doc/pleins_textes/divers20-05/010041742.pdf" TargetMode="External"/><Relationship Id="rId4514" Type="http://schemas.openxmlformats.org/officeDocument/2006/relationships/image" Target="media/image1498.jpeg"/><Relationship Id="rId244" Type="http://schemas.openxmlformats.org/officeDocument/2006/relationships/hyperlink" Target="http://fr.wikipedia.org/wiki/Vitamine" TargetMode="External"/><Relationship Id="rId1081" Type="http://schemas.openxmlformats.org/officeDocument/2006/relationships/image" Target="media/image505.jpeg"/><Relationship Id="rId3323" Type="http://schemas.openxmlformats.org/officeDocument/2006/relationships/hyperlink" Target="http://www.naturalaqua.es/" TargetMode="External"/><Relationship Id="rId3530" Type="http://schemas.openxmlformats.org/officeDocument/2006/relationships/hyperlink" Target="https://fr.wikipedia.org/wiki/Changement_climatique" TargetMode="External"/><Relationship Id="rId451" Type="http://schemas.openxmlformats.org/officeDocument/2006/relationships/hyperlink" Target="http://www.fao.org/docrep/006/Y4360E/Y4360E00.HTM" TargetMode="External"/><Relationship Id="rId2132" Type="http://schemas.openxmlformats.org/officeDocument/2006/relationships/hyperlink" Target="https://fr.wikipedia.org/wiki/N%C3%A9olithique" TargetMode="External"/><Relationship Id="rId104" Type="http://schemas.openxmlformats.org/officeDocument/2006/relationships/hyperlink" Target="https://fr.wikipedia.org/wiki/Azote" TargetMode="External"/><Relationship Id="rId311" Type="http://schemas.openxmlformats.org/officeDocument/2006/relationships/image" Target="media/image140.jpeg"/><Relationship Id="rId1898" Type="http://schemas.openxmlformats.org/officeDocument/2006/relationships/hyperlink" Target="https://fr.wikipedia.org/wiki/P%C3%A2turage_(alimentation)" TargetMode="External"/><Relationship Id="rId2949" Type="http://schemas.openxmlformats.org/officeDocument/2006/relationships/hyperlink" Target="http://fr.wikipedia.org/wiki/Somalie" TargetMode="External"/><Relationship Id="rId4097" Type="http://schemas.openxmlformats.org/officeDocument/2006/relationships/hyperlink" Target="http://translate.googleusercontent.com/translate_c?depth=1&amp;hl=fr&amp;prev=/search?q%3Dprosopis%2Bjuliflora%26rlz%3D1C1GGGE_frFR479FR479%26es_sm%3D93&amp;rurl=translate.google.fr&amp;sl=en&amp;u=http://en.wikipedia.org/wiki/Water&amp;usg=ALkJrhglJZORqW94ff7Nr6Csb9pfGcvhuw" TargetMode="External"/><Relationship Id="rId1758" Type="http://schemas.openxmlformats.org/officeDocument/2006/relationships/hyperlink" Target="http://fr.wikipedia.org/wiki/Azote" TargetMode="External"/><Relationship Id="rId2809" Type="http://schemas.openxmlformats.org/officeDocument/2006/relationships/hyperlink" Target="http://fr.wikipedia.org/wiki/Plaque_dentaire" TargetMode="External"/><Relationship Id="rId4164" Type="http://schemas.openxmlformats.org/officeDocument/2006/relationships/image" Target="media/image1432.jpeg"/><Relationship Id="rId4371" Type="http://schemas.openxmlformats.org/officeDocument/2006/relationships/hyperlink" Target="http://fr.wikipedia.org/wiki/Herbe" TargetMode="External"/><Relationship Id="rId1965" Type="http://schemas.openxmlformats.org/officeDocument/2006/relationships/image" Target="media/image786.jpeg"/><Relationship Id="rId3180" Type="http://schemas.openxmlformats.org/officeDocument/2006/relationships/image" Target="media/image1099.png"/><Relationship Id="rId4024" Type="http://schemas.openxmlformats.org/officeDocument/2006/relationships/hyperlink" Target="http://en.wikipedia.org/wiki/Acacia_melanoxylon" TargetMode="External"/><Relationship Id="rId4231" Type="http://schemas.openxmlformats.org/officeDocument/2006/relationships/hyperlink" Target="http://www.cabi.org/isc/datasheet/112595" TargetMode="External"/><Relationship Id="rId1618" Type="http://schemas.openxmlformats.org/officeDocument/2006/relationships/hyperlink" Target="http://en.wikipedia.org/wiki/Distichlis_palmeri" TargetMode="External"/><Relationship Id="rId1825" Type="http://schemas.openxmlformats.org/officeDocument/2006/relationships/hyperlink" Target="https://fr.wikipedia.org/wiki/Brachiaria_deflexa" TargetMode="External"/><Relationship Id="rId3040" Type="http://schemas.openxmlformats.org/officeDocument/2006/relationships/hyperlink" Target="http://en.wikipedia.org/wiki/Spillway" TargetMode="External"/><Relationship Id="rId3997" Type="http://schemas.openxmlformats.org/officeDocument/2006/relationships/hyperlink" Target="http://fr.wikipedia.org/wiki/S%C3%A9n%C3%A9gal" TargetMode="External"/><Relationship Id="rId2599" Type="http://schemas.openxmlformats.org/officeDocument/2006/relationships/hyperlink" Target="https://fr.wikipedia.org/wiki/Fucoxanthine" TargetMode="External"/><Relationship Id="rId3857" Type="http://schemas.openxmlformats.org/officeDocument/2006/relationships/hyperlink" Target="http://www.ncbi.nlm.nih.gov/pubmed/23771136" TargetMode="External"/><Relationship Id="rId778" Type="http://schemas.openxmlformats.org/officeDocument/2006/relationships/image" Target="media/image342.jpeg"/><Relationship Id="rId985" Type="http://schemas.openxmlformats.org/officeDocument/2006/relationships/hyperlink" Target="https://en.wikipedia.org/wiki/Plantago_ovata" TargetMode="External"/><Relationship Id="rId2459" Type="http://schemas.openxmlformats.org/officeDocument/2006/relationships/hyperlink" Target="http://fr.wikipedia.org/wiki/Bouturage" TargetMode="External"/><Relationship Id="rId2666" Type="http://schemas.openxmlformats.org/officeDocument/2006/relationships/hyperlink" Target="https://fr.wikipedia.org/wiki/Cuisine_hawa%C3%AFenne" TargetMode="External"/><Relationship Id="rId2873" Type="http://schemas.openxmlformats.org/officeDocument/2006/relationships/hyperlink" Target="http://translate.googleusercontent.com/translate_c?depth=1&amp;hl=fr&amp;prev=search&amp;rurl=translate.google.fr&amp;sl=en&amp;u=http://en.wikipedia.org/wiki/Incense&amp;usg=ALkJrhgO54nnqyVzEnB8fyRCRv4kEZ0mag" TargetMode="External"/><Relationship Id="rId3717" Type="http://schemas.openxmlformats.org/officeDocument/2006/relationships/hyperlink" Target="https://www.universcience.fr/fr/professionnels/catalogue-filmsmultimedias/fiches/planete-glace/" TargetMode="External"/><Relationship Id="rId3924" Type="http://schemas.openxmlformats.org/officeDocument/2006/relationships/hyperlink" Target="http://www.hear.org/pier/species/opuntia_ficus_indica.htm" TargetMode="External"/><Relationship Id="rId638" Type="http://schemas.openxmlformats.org/officeDocument/2006/relationships/hyperlink" Target="http://bie.ala.org.au/species/urn:lsid:biodiversity.org.au:apni.taxon:409007" TargetMode="External"/><Relationship Id="rId845" Type="http://schemas.openxmlformats.org/officeDocument/2006/relationships/hyperlink" Target="http://translate.googleusercontent.com/translate_c?depth=1&amp;hl=fr&amp;prev=/search?q=Salsola+vermiculata&amp;biw=1440&amp;bih=732&amp;rurl=translate.google.fr&amp;sl=es&amp;u=http://es.wikipedia.org/wiki/Salado&amp;usg=ALkJrhhRymUkLq8idq5eDmHMctUgcIt09A" TargetMode="External"/><Relationship Id="rId1268" Type="http://schemas.openxmlformats.org/officeDocument/2006/relationships/hyperlink" Target="http://en.wikipedia.org/wiki/Hordeum_vulgare" TargetMode="External"/><Relationship Id="rId1475" Type="http://schemas.openxmlformats.org/officeDocument/2006/relationships/hyperlink" Target="http://fr.wikipedia.org/wiki/Asparagus_acutifolius" TargetMode="External"/><Relationship Id="rId1682" Type="http://schemas.openxmlformats.org/officeDocument/2006/relationships/hyperlink" Target="http://www.agr.gc.ca/fra/science-et-innovation/centres-de-recherche/saskatchewan/centre-de-recherches-de-saskatoon/personnel-et-expertise-scientifiques/gruber-margie-phd/?id=1181939298548" TargetMode="External"/><Relationship Id="rId2319" Type="http://schemas.openxmlformats.org/officeDocument/2006/relationships/hyperlink" Target="http://fr.wikipedia.org/wiki/Sol_(p%C3%A9dologie)" TargetMode="External"/><Relationship Id="rId2526" Type="http://schemas.openxmlformats.org/officeDocument/2006/relationships/hyperlink" Target="https://fr.wikipedia.org/wiki/Nappe_phr%C3%A9atique" TargetMode="External"/><Relationship Id="rId2733" Type="http://schemas.openxmlformats.org/officeDocument/2006/relationships/hyperlink" Target="https://fr.wikipedia.org/wiki/Synonyme_(taxinomie)" TargetMode="External"/><Relationship Id="rId705" Type="http://schemas.openxmlformats.org/officeDocument/2006/relationships/hyperlink" Target="http://fr.wikipedia.org/wiki/Faidherbia_albida" TargetMode="External"/><Relationship Id="rId1128" Type="http://schemas.openxmlformats.org/officeDocument/2006/relationships/hyperlink" Target="https://fr.wikipedia.org/wiki/Hypocotyle" TargetMode="External"/><Relationship Id="rId1335" Type="http://schemas.openxmlformats.org/officeDocument/2006/relationships/hyperlink" Target="http://www.gcrio.org/usiji/pdf/Mexico-3%203-04.pdf" TargetMode="External"/><Relationship Id="rId1542" Type="http://schemas.openxmlformats.org/officeDocument/2006/relationships/hyperlink" Target="https://fr.wikipedia.org/wiki/Alcalo%C3%AFde" TargetMode="External"/><Relationship Id="rId2940" Type="http://schemas.openxmlformats.org/officeDocument/2006/relationships/image" Target="media/image989.jpg"/><Relationship Id="rId912" Type="http://schemas.openxmlformats.org/officeDocument/2006/relationships/image" Target="media/image405.jpeg"/><Relationship Id="rId2800" Type="http://schemas.openxmlformats.org/officeDocument/2006/relationships/image" Target="media/image966.jpg"/><Relationship Id="rId41" Type="http://schemas.openxmlformats.org/officeDocument/2006/relationships/hyperlink" Target="https://fr.wikipedia.org/wiki/Cordill%C3%A8re_des_Andes" TargetMode="External"/><Relationship Id="rId1402" Type="http://schemas.openxmlformats.org/officeDocument/2006/relationships/hyperlink" Target="http://www.bashanfoundation.org/gmaweb/pdfs/growth.pdf" TargetMode="External"/><Relationship Id="rId4558" Type="http://schemas.openxmlformats.org/officeDocument/2006/relationships/hyperlink" Target="http://www.doc-developpement-durable.org/livres/planter_en_conditions_arides_et_salines.pdf" TargetMode="External"/><Relationship Id="rId288" Type="http://schemas.openxmlformats.org/officeDocument/2006/relationships/image" Target="media/image130.jpeg"/><Relationship Id="rId3367" Type="http://schemas.openxmlformats.org/officeDocument/2006/relationships/image" Target="media/image1228.jpeg"/><Relationship Id="rId3574" Type="http://schemas.openxmlformats.org/officeDocument/2006/relationships/hyperlink" Target="https://fr.wikipedia.org/wiki/Jujubier_commun" TargetMode="External"/><Relationship Id="rId3781" Type="http://schemas.openxmlformats.org/officeDocument/2006/relationships/hyperlink" Target="http://ideas.repec.org/a/eee/agiwat/v25y1994i3p233-269.html" TargetMode="External"/><Relationship Id="rId4418" Type="http://schemas.openxmlformats.org/officeDocument/2006/relationships/hyperlink" Target="http://fr.wiktionary.org/wiki/caduque" TargetMode="External"/><Relationship Id="rId495" Type="http://schemas.openxmlformats.org/officeDocument/2006/relationships/hyperlink" Target="http://fr.wikipedia.org/wiki/Olea_europaea" TargetMode="External"/><Relationship Id="rId2176" Type="http://schemas.openxmlformats.org/officeDocument/2006/relationships/hyperlink" Target="https://en.wikipedia.org/wiki/Growing_season" TargetMode="External"/><Relationship Id="rId2383" Type="http://schemas.openxmlformats.org/officeDocument/2006/relationships/hyperlink" Target="http://translate.googleusercontent.com/translate_c?depth=1&amp;hl=fr&amp;prev=/search?q%3DChrysopogon%2Bnigritanus%26biw%3D1440%26bih%3D732&amp;rurl=translate.google.fr&amp;sl=en&amp;u=http://en.wikipedia.org/wiki/Eastern_Africa&amp;usg=ALkJrhi1kvmwtx91JXylXW40FmyuPiGm6A" TargetMode="External"/><Relationship Id="rId2590" Type="http://schemas.openxmlformats.org/officeDocument/2006/relationships/hyperlink" Target="https://en.wikipedia.org/wiki/Species" TargetMode="External"/><Relationship Id="rId3227" Type="http://schemas.openxmlformats.org/officeDocument/2006/relationships/image" Target="media/image1140.jpeg"/><Relationship Id="rId3434" Type="http://schemas.openxmlformats.org/officeDocument/2006/relationships/image" Target="media/image1270.jpeg"/><Relationship Id="rId3641" Type="http://schemas.openxmlformats.org/officeDocument/2006/relationships/image" Target="media/image1331.jpg"/><Relationship Id="rId148" Type="http://schemas.openxmlformats.org/officeDocument/2006/relationships/image" Target="media/image55.jpg"/><Relationship Id="rId355" Type="http://schemas.openxmlformats.org/officeDocument/2006/relationships/image" Target="media/image169.jpeg"/><Relationship Id="rId562" Type="http://schemas.openxmlformats.org/officeDocument/2006/relationships/hyperlink" Target="https://uses.plantnet-project.org/fr/Saba_senegalensis" TargetMode="External"/><Relationship Id="rId1192" Type="http://schemas.openxmlformats.org/officeDocument/2006/relationships/hyperlink" Target="http://www.formad-environnement.org/paletuviers_29dec11.pdf" TargetMode="External"/><Relationship Id="rId2036" Type="http://schemas.openxmlformats.org/officeDocument/2006/relationships/hyperlink" Target="https://fr.wikipedia.org/wiki/Dolique_asperge" TargetMode="External"/><Relationship Id="rId2243" Type="http://schemas.openxmlformats.org/officeDocument/2006/relationships/hyperlink" Target="https://fr.wikipedia.org/wiki/Inflorescence" TargetMode="External"/><Relationship Id="rId2450" Type="http://schemas.openxmlformats.org/officeDocument/2006/relationships/hyperlink" Target="http://www.bluestem.ca/panicum.htm" TargetMode="External"/><Relationship Id="rId3501" Type="http://schemas.openxmlformats.org/officeDocument/2006/relationships/hyperlink" Target="http://www.vir.nw.ru/" TargetMode="External"/><Relationship Id="rId215" Type="http://schemas.openxmlformats.org/officeDocument/2006/relationships/image" Target="media/image101.jpeg"/><Relationship Id="rId422" Type="http://schemas.openxmlformats.org/officeDocument/2006/relationships/image" Target="media/image174.jpeg"/><Relationship Id="rId1052" Type="http://schemas.openxmlformats.org/officeDocument/2006/relationships/image" Target="media/image485.jpeg"/><Relationship Id="rId2103" Type="http://schemas.openxmlformats.org/officeDocument/2006/relationships/hyperlink" Target="https://en.wikipedia.org/wiki/Peanut" TargetMode="External"/><Relationship Id="rId2310" Type="http://schemas.openxmlformats.org/officeDocument/2006/relationships/hyperlink" Target="http://fr.wikipedia.org/wiki/Fabac%C3%A9e" TargetMode="External"/><Relationship Id="rId4068" Type="http://schemas.openxmlformats.org/officeDocument/2006/relationships/hyperlink" Target="https://fr.wikipedia.org/wiki/%C3%89pine_de_J%C3%A9rusalem" TargetMode="External"/><Relationship Id="rId4275" Type="http://schemas.openxmlformats.org/officeDocument/2006/relationships/hyperlink" Target="http://www.cabi.org/isc/datasheet/52483" TargetMode="External"/><Relationship Id="rId4482" Type="http://schemas.openxmlformats.org/officeDocument/2006/relationships/image" Target="media/image1487.jpeg"/><Relationship Id="rId1869" Type="http://schemas.openxmlformats.org/officeDocument/2006/relationships/hyperlink" Target="https://fr.wikipedia.org/wiki/Graine" TargetMode="External"/><Relationship Id="rId3084" Type="http://schemas.openxmlformats.org/officeDocument/2006/relationships/image" Target="media/image1037.jpeg"/><Relationship Id="rId3291" Type="http://schemas.openxmlformats.org/officeDocument/2006/relationships/image" Target="media/image1170.jpeg"/><Relationship Id="rId4135" Type="http://schemas.openxmlformats.org/officeDocument/2006/relationships/hyperlink" Target="http://fr.wikipedia.org/wiki/Alimentation" TargetMode="External"/><Relationship Id="rId1729" Type="http://schemas.openxmlformats.org/officeDocument/2006/relationships/image" Target="media/image733.jpg"/><Relationship Id="rId1936" Type="http://schemas.openxmlformats.org/officeDocument/2006/relationships/hyperlink" Target="https://en.wikipedia.org/wiki/Western_Asia" TargetMode="External"/><Relationship Id="rId4342" Type="http://schemas.openxmlformats.org/officeDocument/2006/relationships/hyperlink" Target="https://en.wikipedia.org/wiki/Yucat%C3%A1n_(state)" TargetMode="External"/><Relationship Id="rId3151" Type="http://schemas.openxmlformats.org/officeDocument/2006/relationships/image" Target="media/image1083.jpeg"/><Relationship Id="rId4202" Type="http://schemas.openxmlformats.org/officeDocument/2006/relationships/hyperlink" Target="http://www.cabi.org/isc/datasheet/112586" TargetMode="External"/><Relationship Id="rId3011" Type="http://schemas.openxmlformats.org/officeDocument/2006/relationships/hyperlink" Target="http://fr.wikipedia.org/wiki/Lombalgie" TargetMode="External"/><Relationship Id="rId3968" Type="http://schemas.openxmlformats.org/officeDocument/2006/relationships/hyperlink" Target="http://fr.wikipedia.org/wiki/Agavaceae" TargetMode="External"/><Relationship Id="rId5" Type="http://schemas.openxmlformats.org/officeDocument/2006/relationships/webSettings" Target="webSettings.xml"/><Relationship Id="rId889" Type="http://schemas.openxmlformats.org/officeDocument/2006/relationships/image" Target="media/image389.jpeg"/><Relationship Id="rId2777" Type="http://schemas.openxmlformats.org/officeDocument/2006/relationships/hyperlink" Target="https://fr.wikipedia.org/wiki/Goutte_(maladie)" TargetMode="External"/><Relationship Id="rId749" Type="http://schemas.openxmlformats.org/officeDocument/2006/relationships/image" Target="media/image327.jpeg"/><Relationship Id="rId1379" Type="http://schemas.openxmlformats.org/officeDocument/2006/relationships/hyperlink" Target="http://articles.latimes.com/2008/jul/10/business/fi-seafarm10" TargetMode="External"/><Relationship Id="rId1586" Type="http://schemas.openxmlformats.org/officeDocument/2006/relationships/hyperlink" Target="http://fr.wikipedia.org/wiki/Virus" TargetMode="External"/><Relationship Id="rId2984" Type="http://schemas.openxmlformats.org/officeDocument/2006/relationships/hyperlink" Target="http://en.wikipedia.org/wiki/Kinnerasani_Wildlife_Sanctuary" TargetMode="External"/><Relationship Id="rId3828" Type="http://schemas.openxmlformats.org/officeDocument/2006/relationships/hyperlink" Target="http://ideas.repec.org/a/eee/agiwat/v123y2013icp1-11.html" TargetMode="External"/><Relationship Id="rId609" Type="http://schemas.openxmlformats.org/officeDocument/2006/relationships/image" Target="media/image259.jpeg"/><Relationship Id="rId956" Type="http://schemas.openxmlformats.org/officeDocument/2006/relationships/hyperlink" Target="https://en.wikipedia.org/wiki/Moringa_oleifera" TargetMode="External"/><Relationship Id="rId1239" Type="http://schemas.openxmlformats.org/officeDocument/2006/relationships/image" Target="media/image619.jpeg"/><Relationship Id="rId1793" Type="http://schemas.openxmlformats.org/officeDocument/2006/relationships/hyperlink" Target="https://fr.wikipedia.org/wiki/Millet_commun" TargetMode="External"/><Relationship Id="rId2637" Type="http://schemas.openxmlformats.org/officeDocument/2006/relationships/image" Target="media/image933.jpeg"/><Relationship Id="rId2844" Type="http://schemas.openxmlformats.org/officeDocument/2006/relationships/hyperlink" Target="http://fr.wikipedia.org/wiki/Eug%C3%A9nol" TargetMode="External"/><Relationship Id="rId85" Type="http://schemas.openxmlformats.org/officeDocument/2006/relationships/hyperlink" Target="https://fr.wikipedia.org/wiki/Lesotho" TargetMode="External"/><Relationship Id="rId816" Type="http://schemas.openxmlformats.org/officeDocument/2006/relationships/image" Target="media/image364.jpeg"/><Relationship Id="rId1446" Type="http://schemas.openxmlformats.org/officeDocument/2006/relationships/hyperlink" Target="https://www.theguardian.com/environment/2021/apr/09/sea-rice-eelgrass-marine-grain-chef-angel-leon-marsh-climate-crisis" TargetMode="External"/><Relationship Id="rId1653" Type="http://schemas.openxmlformats.org/officeDocument/2006/relationships/image" Target="media/image706.jpeg"/><Relationship Id="rId1860" Type="http://schemas.openxmlformats.org/officeDocument/2006/relationships/image" Target="media/image776.jpeg"/><Relationship Id="rId2704" Type="http://schemas.openxmlformats.org/officeDocument/2006/relationships/hyperlink" Target="https://en.wikipedia.org/wiki/Chondrus_crispus" TargetMode="External"/><Relationship Id="rId2911" Type="http://schemas.openxmlformats.org/officeDocument/2006/relationships/hyperlink" Target="http://translate.googleusercontent.com/translate_c?depth=1&amp;hl=fr&amp;prev=search&amp;rurl=translate.google.fr&amp;sl=en&amp;u=http://en.wikipedia.org/wiki/Sudan&amp;usg=ALkJrhgZDR8P05zsxG70MeWlq4MjWjrtsg" TargetMode="External"/><Relationship Id="rId1306" Type="http://schemas.openxmlformats.org/officeDocument/2006/relationships/hyperlink" Target="http://translate.googleusercontent.com/translate_c?depth=1&amp;hl=fr&amp;prev=/search?q%3Dsalicornia%2Bherbacea%2Bwikipedia%26biw%3D1440%26bih%3D732&amp;rurl=translate.google.fr&amp;sl=en&amp;u=http://en.wikipedia.org/wiki/Sonora&amp;usg=ALkJrhjo8NBSTQ3E4oYXqZ9Ww3SQwZvyDA" TargetMode="External"/><Relationship Id="rId1513" Type="http://schemas.openxmlformats.org/officeDocument/2006/relationships/hyperlink" Target="https://fr.wikipedia.org/wiki/Famille_(biologie)" TargetMode="External"/><Relationship Id="rId1720" Type="http://schemas.openxmlformats.org/officeDocument/2006/relationships/image" Target="media/image728.jpg"/><Relationship Id="rId12" Type="http://schemas.openxmlformats.org/officeDocument/2006/relationships/hyperlink" Target="https://en.wikipedia.org/wiki/Huacachina" TargetMode="External"/><Relationship Id="rId3478" Type="http://schemas.openxmlformats.org/officeDocument/2006/relationships/hyperlink" Target="http://fr.wikipedia.org/wiki/Olive" TargetMode="External"/><Relationship Id="rId3685" Type="http://schemas.openxmlformats.org/officeDocument/2006/relationships/hyperlink" Target="https://fr.wikipedia.org/wiki/Sierra_Leone" TargetMode="External"/><Relationship Id="rId3892" Type="http://schemas.openxmlformats.org/officeDocument/2006/relationships/hyperlink" Target="http://www.agriculturesnetwork.org/magazines/global/dry-land-management/runoff-farming-vital-part-of-the-tunisian-water" TargetMode="External"/><Relationship Id="rId4529" Type="http://schemas.openxmlformats.org/officeDocument/2006/relationships/hyperlink" Target="http://especes-envahissantes-outremer.fr/pdf/synthese_generale.pdf" TargetMode="External"/><Relationship Id="rId399" Type="http://schemas.openxmlformats.org/officeDocument/2006/relationships/hyperlink" Target="https://fr.wikipedia.org/wiki/Inflorescence" TargetMode="External"/><Relationship Id="rId2287" Type="http://schemas.openxmlformats.org/officeDocument/2006/relationships/hyperlink" Target="https://fr.wikipedia.org/wiki/Fabaceae" TargetMode="External"/><Relationship Id="rId2494" Type="http://schemas.openxmlformats.org/officeDocument/2006/relationships/hyperlink" Target="https://fr.wikipedia.org/wiki/Macaron%C3%A9sie" TargetMode="External"/><Relationship Id="rId3338" Type="http://schemas.openxmlformats.org/officeDocument/2006/relationships/hyperlink" Target="http://www.futura-sciences.com/" TargetMode="External"/><Relationship Id="rId3545" Type="http://schemas.openxmlformats.org/officeDocument/2006/relationships/hyperlink" Target="https://fr.wikipedia.org/wiki/D%C3%A9veloppement_rural" TargetMode="External"/><Relationship Id="rId3752" Type="http://schemas.openxmlformats.org/officeDocument/2006/relationships/hyperlink" Target="http://www.miracosta.edu/home/kmeldahl/articles/crops.pdf" TargetMode="External"/><Relationship Id="rId259" Type="http://schemas.openxmlformats.org/officeDocument/2006/relationships/hyperlink" Target="http://www.hear.org/pier/species/ziziphus_mauritiana.htm" TargetMode="External"/><Relationship Id="rId466" Type="http://schemas.openxmlformats.org/officeDocument/2006/relationships/image" Target="media/image197.jpeg"/><Relationship Id="rId673" Type="http://schemas.openxmlformats.org/officeDocument/2006/relationships/hyperlink" Target="https://fr.made-in-china.com/co_safiimportexport/product_Umbila-Pterocarpus-Angolensis_engoeyuyg.html" TargetMode="External"/><Relationship Id="rId880" Type="http://schemas.openxmlformats.org/officeDocument/2006/relationships/hyperlink" Target="http://www.sussex.ac.uk/affiliates/halophytes/index.php" TargetMode="External"/><Relationship Id="rId1096" Type="http://schemas.openxmlformats.org/officeDocument/2006/relationships/image" Target="media/image519.jpeg"/><Relationship Id="rId2147" Type="http://schemas.openxmlformats.org/officeDocument/2006/relationships/image" Target="media/image828.jpeg"/><Relationship Id="rId2354" Type="http://schemas.openxmlformats.org/officeDocument/2006/relationships/image" Target="media/image879.jpeg"/><Relationship Id="rId2561" Type="http://schemas.openxmlformats.org/officeDocument/2006/relationships/hyperlink" Target="http://en.wikipedia.org/wiki/Vicia_ervilia" TargetMode="External"/><Relationship Id="rId3405" Type="http://schemas.openxmlformats.org/officeDocument/2006/relationships/hyperlink" Target="https://fr.wikipedia.org/wiki/Impact_environnemental_de_l%27%C3%A9levage" TargetMode="External"/><Relationship Id="rId119" Type="http://schemas.openxmlformats.org/officeDocument/2006/relationships/hyperlink" Target="https://en.wikipedia.org/wiki/Oak_tree" TargetMode="External"/><Relationship Id="rId326" Type="http://schemas.openxmlformats.org/officeDocument/2006/relationships/image" Target="media/image150.jpeg"/><Relationship Id="rId533" Type="http://schemas.openxmlformats.org/officeDocument/2006/relationships/image" Target="media/image230.jpeg"/><Relationship Id="rId1163" Type="http://schemas.openxmlformats.org/officeDocument/2006/relationships/image" Target="media/image563.jpeg"/><Relationship Id="rId1370" Type="http://schemas.openxmlformats.org/officeDocument/2006/relationships/hyperlink" Target="http://www.biomassmagazine.com/article.jsp?article_id=1864" TargetMode="External"/><Relationship Id="rId2007" Type="http://schemas.openxmlformats.org/officeDocument/2006/relationships/hyperlink" Target="https://en.wikipedia.org/wiki/Southern_United_States" TargetMode="External"/><Relationship Id="rId2214" Type="http://schemas.openxmlformats.org/officeDocument/2006/relationships/image" Target="media/image836.jpeg"/><Relationship Id="rId3612" Type="http://schemas.openxmlformats.org/officeDocument/2006/relationships/hyperlink" Target="https://fr.wikipedia.org/wiki/D%C3%A9forestation_en_Chine" TargetMode="External"/><Relationship Id="rId740" Type="http://schemas.openxmlformats.org/officeDocument/2006/relationships/image" Target="media/image322.jpeg"/><Relationship Id="rId1023" Type="http://schemas.openxmlformats.org/officeDocument/2006/relationships/image" Target="media/image469.jpeg"/><Relationship Id="rId2421" Type="http://schemas.openxmlformats.org/officeDocument/2006/relationships/hyperlink" Target="http://translate.googleusercontent.com/translate_c?depth=1&amp;hl=fr&amp;prev=/search?q%3DPanicum%2Bvirgatum%2BWikip%C3%A9dia%26biw%3D1440%26bih%3D732&amp;rurl=translate.google.fr&amp;sl=en&amp;u=http://en.wikipedia.org/wiki/Drought&amp;usg=ALkJrhj8s1dst5er3SBJUg3jwoQBHC6BMA" TargetMode="External"/><Relationship Id="rId4179" Type="http://schemas.openxmlformats.org/officeDocument/2006/relationships/hyperlink" Target="http://www.cabi.org/isc/datasheet/112577" TargetMode="External"/><Relationship Id="rId600" Type="http://schemas.openxmlformats.org/officeDocument/2006/relationships/hyperlink" Target="https://fr.wikipedia.org/wiki/Agriculture_durable" TargetMode="External"/><Relationship Id="rId1230" Type="http://schemas.openxmlformats.org/officeDocument/2006/relationships/image" Target="media/image610.jpeg"/><Relationship Id="rId4386" Type="http://schemas.openxmlformats.org/officeDocument/2006/relationships/hyperlink" Target="http://fr.wikipedia.org/wiki/Mimosoideae" TargetMode="External"/><Relationship Id="rId3195" Type="http://schemas.openxmlformats.org/officeDocument/2006/relationships/hyperlink" Target="http://fr.wikipedia.org/wiki/Citernes_de_La_Malga" TargetMode="External"/><Relationship Id="rId4039" Type="http://schemas.openxmlformats.org/officeDocument/2006/relationships/hyperlink" Target="https://translate.googleusercontent.com/translate_c?depth=1&amp;hl=fr&amp;prev=search&amp;rurl=translate.google.fr&amp;sl=en&amp;u=https://en.wikipedia.org/wiki/Windbreak&amp;usg=ALkJrhjEF6_y8vxjdDV9O0EfomZmAQTs9Q" TargetMode="External"/><Relationship Id="rId4246" Type="http://schemas.openxmlformats.org/officeDocument/2006/relationships/hyperlink" Target="http://www.cabi.org/isc/search/?q=Atriplex&amp;page=3&amp;s0=0&amp;s1=10" TargetMode="External"/><Relationship Id="rId4453" Type="http://schemas.openxmlformats.org/officeDocument/2006/relationships/image" Target="media/image1476.jpeg"/><Relationship Id="rId3055" Type="http://schemas.openxmlformats.org/officeDocument/2006/relationships/hyperlink" Target="http://www.fao.org/docrep/t1765f/t1765f0q.htm" TargetMode="External"/><Relationship Id="rId3262" Type="http://schemas.openxmlformats.org/officeDocument/2006/relationships/image" Target="media/image1158.jpeg"/><Relationship Id="rId4106" Type="http://schemas.openxmlformats.org/officeDocument/2006/relationships/hyperlink" Target="http://www.hear.org/pier/species/prosopis_juliflora.htm" TargetMode="External"/><Relationship Id="rId4313" Type="http://schemas.openxmlformats.org/officeDocument/2006/relationships/hyperlink" Target="http://www.cabi.org/isc/datasheet/52483" TargetMode="External"/><Relationship Id="rId4520" Type="http://schemas.openxmlformats.org/officeDocument/2006/relationships/hyperlink" Target="https://fr.wikipedia.org/wiki/All%C3%A9lopathique" TargetMode="External"/><Relationship Id="rId183" Type="http://schemas.openxmlformats.org/officeDocument/2006/relationships/image" Target="media/image85.jpeg"/><Relationship Id="rId390" Type="http://schemas.openxmlformats.org/officeDocument/2006/relationships/hyperlink" Target="https://en.wikipedia.org/wiki/Male" TargetMode="External"/><Relationship Id="rId1907" Type="http://schemas.openxmlformats.org/officeDocument/2006/relationships/hyperlink" Target="https://fr.wikipedia.org/wiki/Biomasse_(%C3%A9cologie)" TargetMode="External"/><Relationship Id="rId2071" Type="http://schemas.openxmlformats.org/officeDocument/2006/relationships/hyperlink" Target="https://en.wikipedia.org/wiki/Symbiotic" TargetMode="External"/><Relationship Id="rId3122" Type="http://schemas.openxmlformats.org/officeDocument/2006/relationships/hyperlink" Target="http://translate.googleusercontent.com/translate_c?depth=1&amp;hl=fr&amp;prev=/search?q=indian+johad&amp;sa=X&amp;hl=fr&amp;biw=1440&amp;bih=732&amp;site=imghp&amp;rurl=translate.google.fr&amp;sl=en&amp;u=http://en.wikipedia.org/wiki/Storage_tank&amp;usg=ALkJrhihFbzMstcmRZtBKy-pmvtwbeI7rw" TargetMode="External"/><Relationship Id="rId250" Type="http://schemas.openxmlformats.org/officeDocument/2006/relationships/hyperlink" Target="http://fr.wikipedia.org/wiki/Y%C3%A9men" TargetMode="External"/><Relationship Id="rId110" Type="http://schemas.openxmlformats.org/officeDocument/2006/relationships/hyperlink" Target="https://en.wikipedia.org/wiki/Viruses" TargetMode="External"/><Relationship Id="rId2888" Type="http://schemas.openxmlformats.org/officeDocument/2006/relationships/image" Target="media/image982.jpg"/><Relationship Id="rId3939" Type="http://schemas.openxmlformats.org/officeDocument/2006/relationships/hyperlink" Target="https://www.unicef.org/madagascar/media/2721/file/La%20valorisation%20du%20cactus%20pour%20le%20d%C3%A9veloppement.pdf" TargetMode="External"/><Relationship Id="rId1697" Type="http://schemas.openxmlformats.org/officeDocument/2006/relationships/image" Target="media/image722.jpeg"/><Relationship Id="rId2748" Type="http://schemas.openxmlformats.org/officeDocument/2006/relationships/hyperlink" Target="https://fr.wikipedia.org/wiki/Chine" TargetMode="External"/><Relationship Id="rId2955" Type="http://schemas.openxmlformats.org/officeDocument/2006/relationships/hyperlink" Target="http://translate.googleusercontent.com/translate_c?depth=1&amp;hl=fr&amp;prev=search&amp;rurl=translate.google.fr&amp;sl=en&amp;u=http://en.wikipedia.org/wiki/Browsing_(herbivory)&amp;usg=ALkJrhjc0srZZSmv3YAWkA2eIMkndBGgfg" TargetMode="External"/><Relationship Id="rId927" Type="http://schemas.openxmlformats.org/officeDocument/2006/relationships/hyperlink" Target="https://fr.wikipedia.org/wiki/Lycium_chinense" TargetMode="External"/><Relationship Id="rId1557" Type="http://schemas.openxmlformats.org/officeDocument/2006/relationships/hyperlink" Target="https://fr.wikipedia.org/wiki/Vanuatu" TargetMode="External"/><Relationship Id="rId1764" Type="http://schemas.openxmlformats.org/officeDocument/2006/relationships/hyperlink" Target="http://fr.wikipedia.org/wiki/Mildiou" TargetMode="External"/><Relationship Id="rId1971" Type="http://schemas.openxmlformats.org/officeDocument/2006/relationships/hyperlink" Target="https://fr.wikipedia.org/wiki/Esp%C3%A8ce" TargetMode="External"/><Relationship Id="rId2608" Type="http://schemas.openxmlformats.org/officeDocument/2006/relationships/hyperlink" Target="https://fr.wikipedia.org/wiki/Argentine" TargetMode="External"/><Relationship Id="rId2815" Type="http://schemas.openxmlformats.org/officeDocument/2006/relationships/hyperlink" Target="http://fr.wikipedia.org/wiki/Siwak" TargetMode="External"/><Relationship Id="rId4170" Type="http://schemas.openxmlformats.org/officeDocument/2006/relationships/hyperlink" Target="http://www.cabi.org/isc/datasheet/112574" TargetMode="External"/><Relationship Id="rId56" Type="http://schemas.openxmlformats.org/officeDocument/2006/relationships/image" Target="media/image21.png"/><Relationship Id="rId1417" Type="http://schemas.openxmlformats.org/officeDocument/2006/relationships/hyperlink" Target="http://www.bashanfoundation.org/gmaweb/pdfs/growth.pdf" TargetMode="External"/><Relationship Id="rId1624" Type="http://schemas.openxmlformats.org/officeDocument/2006/relationships/image" Target="media/image697.jpeg"/><Relationship Id="rId1831" Type="http://schemas.openxmlformats.org/officeDocument/2006/relationships/image" Target="media/image756.jpeg"/><Relationship Id="rId4030" Type="http://schemas.openxmlformats.org/officeDocument/2006/relationships/image" Target="media/image1395.jpeg"/><Relationship Id="rId3589" Type="http://schemas.openxmlformats.org/officeDocument/2006/relationships/hyperlink" Target="https://en.wikipedia.org/wiki/Great_Green_Wall_(Africa)" TargetMode="External"/><Relationship Id="rId3796" Type="http://schemas.openxmlformats.org/officeDocument/2006/relationships/hyperlink" Target="http://ideas.repec.org/a/eee/agiwat/v90y2007i3p165-180.html" TargetMode="External"/><Relationship Id="rId2398" Type="http://schemas.openxmlformats.org/officeDocument/2006/relationships/image" Target="media/image887.jpeg"/><Relationship Id="rId3449" Type="http://schemas.openxmlformats.org/officeDocument/2006/relationships/image" Target="media/image1285.jpeg"/><Relationship Id="rId577" Type="http://schemas.openxmlformats.org/officeDocument/2006/relationships/hyperlink" Target="https://fr.wikipedia.org/wiki/Sahel" TargetMode="External"/><Relationship Id="rId2258" Type="http://schemas.openxmlformats.org/officeDocument/2006/relationships/hyperlink" Target="https://solidarites-sante.gouv.fr/actualites/presse/communiques-de-presse/article/risques-lies-a-la-consommation-de-feuilles-fraiches-d-aloe-vera" TargetMode="External"/><Relationship Id="rId3656" Type="http://schemas.openxmlformats.org/officeDocument/2006/relationships/image" Target="media/image1346.jpg"/><Relationship Id="rId3863" Type="http://schemas.openxmlformats.org/officeDocument/2006/relationships/hyperlink" Target="http://www.com.univ-mrs.fr/~boudouresque/Documents_enseignement/Ecosystemes_MPO_4_Mangrove_web_2010.pdf" TargetMode="External"/><Relationship Id="rId784" Type="http://schemas.openxmlformats.org/officeDocument/2006/relationships/image" Target="media/image344.jpeg"/><Relationship Id="rId991" Type="http://schemas.openxmlformats.org/officeDocument/2006/relationships/image" Target="media/image445.jpeg"/><Relationship Id="rId1067" Type="http://schemas.openxmlformats.org/officeDocument/2006/relationships/hyperlink" Target="http://mangrove.mangals.over-blog.com/categorie-10994492.html" TargetMode="External"/><Relationship Id="rId2465" Type="http://schemas.openxmlformats.org/officeDocument/2006/relationships/hyperlink" Target="http://fr.wikipedia.org/wiki/Pesticide" TargetMode="External"/><Relationship Id="rId2672" Type="http://schemas.openxmlformats.org/officeDocument/2006/relationships/hyperlink" Target="https://fr.wikipedia.org/wiki/%C3%8Ele_de_Guam" TargetMode="External"/><Relationship Id="rId3309" Type="http://schemas.openxmlformats.org/officeDocument/2006/relationships/image" Target="media/image1182.jpg"/><Relationship Id="rId3516" Type="http://schemas.openxmlformats.org/officeDocument/2006/relationships/hyperlink" Target="https://fr.wikipedia.org/wiki/Adventice" TargetMode="External"/><Relationship Id="rId3723" Type="http://schemas.openxmlformats.org/officeDocument/2006/relationships/hyperlink" Target="https://www.courrierinternational.com/article/reboisement-environnement-planter-des-arbres-oui-mais-pas-nimporte-comment" TargetMode="External"/><Relationship Id="rId3930" Type="http://schemas.openxmlformats.org/officeDocument/2006/relationships/hyperlink" Target="http://fr.wikipedia.org/wiki/Figuier_de_Barbarie" TargetMode="External"/><Relationship Id="rId437" Type="http://schemas.openxmlformats.org/officeDocument/2006/relationships/hyperlink" Target="http://ma.chm-cbd.net" TargetMode="External"/><Relationship Id="rId644" Type="http://schemas.openxmlformats.org/officeDocument/2006/relationships/hyperlink" Target="https://fr.wikipedia.org/wiki/Angola" TargetMode="External"/><Relationship Id="rId851" Type="http://schemas.openxmlformats.org/officeDocument/2006/relationships/hyperlink" Target="http://fr.wikipedia.org/wiki/Salicorne" TargetMode="External"/><Relationship Id="rId1274" Type="http://schemas.openxmlformats.org/officeDocument/2006/relationships/hyperlink" Target="http://en.wikipedia.org/wiki/Hydathode" TargetMode="External"/><Relationship Id="rId1481" Type="http://schemas.openxmlformats.org/officeDocument/2006/relationships/hyperlink" Target="http://fr.wikipedia.org/wiki/Plante_herbac%C3%A9e" TargetMode="External"/><Relationship Id="rId2118" Type="http://schemas.openxmlformats.org/officeDocument/2006/relationships/image" Target="media/image816.jpeg"/><Relationship Id="rId2325" Type="http://schemas.openxmlformats.org/officeDocument/2006/relationships/hyperlink" Target="http://fr.wikipedia.org/w/index.php?title=Ascochytose&amp;action=edit&amp;redlink=1" TargetMode="External"/><Relationship Id="rId2532" Type="http://schemas.openxmlformats.org/officeDocument/2006/relationships/hyperlink" Target="https://fr.wikipedia.org/wiki/Cicadidae" TargetMode="External"/><Relationship Id="rId504" Type="http://schemas.openxmlformats.org/officeDocument/2006/relationships/image" Target="media/image218.jpeg"/><Relationship Id="rId711" Type="http://schemas.openxmlformats.org/officeDocument/2006/relationships/hyperlink" Target="http://www.worldagroforestry.org/sea/products/afdbases/af/asp/SpeciesInfo.asp?SpID=1" TargetMode="External"/><Relationship Id="rId1134" Type="http://schemas.openxmlformats.org/officeDocument/2006/relationships/image" Target="media/image545.jpeg"/><Relationship Id="rId1341" Type="http://schemas.openxmlformats.org/officeDocument/2006/relationships/hyperlink" Target="http://www.gcrio.org/usiji/pdf/Mexico-3%203-04.pdf" TargetMode="External"/><Relationship Id="rId4497" Type="http://schemas.openxmlformats.org/officeDocument/2006/relationships/hyperlink" Target="http://fr.wiktionary.org/wiki/compl%C3%A9mentaire" TargetMode="External"/><Relationship Id="rId1201" Type="http://schemas.openxmlformats.org/officeDocument/2006/relationships/hyperlink" Target="https://fr.wikipedia.org/wiki/Sterculiaceae" TargetMode="External"/><Relationship Id="rId3099" Type="http://schemas.openxmlformats.org/officeDocument/2006/relationships/image" Target="media/image1051.jpeg"/><Relationship Id="rId4357" Type="http://schemas.openxmlformats.org/officeDocument/2006/relationships/image" Target="media/image1461.jpg"/><Relationship Id="rId3166" Type="http://schemas.openxmlformats.org/officeDocument/2006/relationships/image" Target="media/image1085.jpeg"/><Relationship Id="rId3373" Type="http://schemas.openxmlformats.org/officeDocument/2006/relationships/image" Target="media/image1234.jpeg"/><Relationship Id="rId3580" Type="http://schemas.openxmlformats.org/officeDocument/2006/relationships/hyperlink" Target="https://fr.wikipedia.org/wiki/R%C3%A9seaux_d%27information_r%C3%A9gionaux_int%C3%A9gr%C3%A9s" TargetMode="External"/><Relationship Id="rId4217" Type="http://schemas.openxmlformats.org/officeDocument/2006/relationships/hyperlink" Target="http://en.wikipedia.org/wiki/Atriplex_rosea" TargetMode="External"/><Relationship Id="rId4424" Type="http://schemas.openxmlformats.org/officeDocument/2006/relationships/hyperlink" Target="http://fr.wikipedia.org/wiki/Indig%C3%A8ne" TargetMode="External"/><Relationship Id="rId294" Type="http://schemas.openxmlformats.org/officeDocument/2006/relationships/image" Target="media/image132.jpeg"/><Relationship Id="rId2182" Type="http://schemas.openxmlformats.org/officeDocument/2006/relationships/hyperlink" Target="https://en.wikipedia.org/wiki/Germination" TargetMode="External"/><Relationship Id="rId3026" Type="http://schemas.openxmlformats.org/officeDocument/2006/relationships/image" Target="media/image1004.jpg"/><Relationship Id="rId3233" Type="http://schemas.openxmlformats.org/officeDocument/2006/relationships/hyperlink" Target="https://fr.wikipedia.org/wiki/Salinisation" TargetMode="External"/><Relationship Id="rId154" Type="http://schemas.openxmlformats.org/officeDocument/2006/relationships/image" Target="media/image61.jpg"/><Relationship Id="rId361" Type="http://schemas.openxmlformats.org/officeDocument/2006/relationships/hyperlink" Target="https://fr.wikipedia.org/wiki/Vitaceae" TargetMode="External"/><Relationship Id="rId2042" Type="http://schemas.openxmlformats.org/officeDocument/2006/relationships/hyperlink" Target="https://fr.wikipedia.org/wiki/Cornille" TargetMode="External"/><Relationship Id="rId3440" Type="http://schemas.openxmlformats.org/officeDocument/2006/relationships/image" Target="media/image1276.jpeg"/><Relationship Id="rId2999" Type="http://schemas.openxmlformats.org/officeDocument/2006/relationships/hyperlink" Target="http://fr.wikipedia.org/wiki/Afrique_du_Sud" TargetMode="External"/><Relationship Id="rId3300" Type="http://schemas.openxmlformats.org/officeDocument/2006/relationships/hyperlink" Target="http://www.sswm.info/glossary/2/letterw" TargetMode="External"/><Relationship Id="rId221" Type="http://schemas.openxmlformats.org/officeDocument/2006/relationships/hyperlink" Target="http://en.wikipedia.org/wiki/Xerophyta_retinervis" TargetMode="External"/><Relationship Id="rId2859" Type="http://schemas.openxmlformats.org/officeDocument/2006/relationships/image" Target="media/image978.jpg"/><Relationship Id="rId1668" Type="http://schemas.openxmlformats.org/officeDocument/2006/relationships/hyperlink" Target="http://translate.googleusercontent.com/translate_c?depth=1&amp;hl=fr&amp;prev=/search?q%3DBrassica%2Bcarinata%26biw%3D1440%26bih%3D775&amp;rurl=translate.google.fr&amp;sl=en&amp;u=http://en.wikipedia.org/wiki/Ethiopia&amp;usg=ALkJrhh-Mz4eXvF_fi9Av_7AfMkP2GkkCw" TargetMode="External"/><Relationship Id="rId1875" Type="http://schemas.openxmlformats.org/officeDocument/2006/relationships/hyperlink" Target="https://fr.wikipedia.org/wiki/C%C3%A9r%C3%A9ale" TargetMode="External"/><Relationship Id="rId2719" Type="http://schemas.openxmlformats.org/officeDocument/2006/relationships/hyperlink" Target="https://www.algaebase.org/search/species/detail/?species_id=2811&amp;sk=0&amp;from=results" TargetMode="External"/><Relationship Id="rId4074" Type="http://schemas.openxmlformats.org/officeDocument/2006/relationships/image" Target="media/image1409.jpeg"/><Relationship Id="rId4281" Type="http://schemas.openxmlformats.org/officeDocument/2006/relationships/hyperlink" Target="https://en.wikipedia.org/wiki/Naturalisation_(biology)" TargetMode="External"/><Relationship Id="rId1528" Type="http://schemas.openxmlformats.org/officeDocument/2006/relationships/hyperlink" Target="https://fr.wikipedia.org/wiki/Inflorescence" TargetMode="External"/><Relationship Id="rId2926" Type="http://schemas.openxmlformats.org/officeDocument/2006/relationships/hyperlink" Target="http://translate.googleusercontent.com/translate_c?depth=1&amp;hl=fr&amp;prev=search&amp;rurl=translate.google.fr&amp;sl=en&amp;u=http://en.wikipedia.org/wiki/Cardiac_glycoside&amp;usg=ALkJrhjBGCbBmFa458xqKoAMInmP2jdIcQ" TargetMode="External"/><Relationship Id="rId3090" Type="http://schemas.openxmlformats.org/officeDocument/2006/relationships/image" Target="media/image1043.jpeg"/><Relationship Id="rId4141" Type="http://schemas.openxmlformats.org/officeDocument/2006/relationships/hyperlink" Target="http://fr.wikipedia.org/wiki/Prosopis" TargetMode="External"/><Relationship Id="rId1735" Type="http://schemas.openxmlformats.org/officeDocument/2006/relationships/image" Target="media/image739.jpg"/><Relationship Id="rId1942" Type="http://schemas.openxmlformats.org/officeDocument/2006/relationships/hyperlink" Target="https://en.wikipedia.org/wiki/Seed_drill" TargetMode="External"/><Relationship Id="rId4001" Type="http://schemas.openxmlformats.org/officeDocument/2006/relationships/image" Target="media/image1381.jpeg"/><Relationship Id="rId27" Type="http://schemas.openxmlformats.org/officeDocument/2006/relationships/hyperlink" Target="https://fr.wikipedia.org/wiki/Tricholoma_saponaceum" TargetMode="External"/><Relationship Id="rId1802" Type="http://schemas.openxmlformats.org/officeDocument/2006/relationships/hyperlink" Target="https://fr.wikipedia.org/wiki/Afrique" TargetMode="External"/><Relationship Id="rId3767" Type="http://schemas.openxmlformats.org/officeDocument/2006/relationships/hyperlink" Target="http://www.miracosta.edu/home/kmeldahl/articles/crops.pdf" TargetMode="External"/><Relationship Id="rId3974" Type="http://schemas.openxmlformats.org/officeDocument/2006/relationships/hyperlink" Target="http://www.prota4u.org/protav8.asp?fr=1&amp;g=pe&amp;p=Agave+sisalana+Perrine" TargetMode="External"/><Relationship Id="rId688" Type="http://schemas.openxmlformats.org/officeDocument/2006/relationships/hyperlink" Target="http://en.wikipedia.org/wiki/Vachellia_farnesiana" TargetMode="External"/><Relationship Id="rId895" Type="http://schemas.openxmlformats.org/officeDocument/2006/relationships/image" Target="media/image395.jpeg"/><Relationship Id="rId2369" Type="http://schemas.openxmlformats.org/officeDocument/2006/relationships/hyperlink" Target="http://en.wikipedia.org/wiki/Chrysopogon_zizanioides" TargetMode="External"/><Relationship Id="rId2576" Type="http://schemas.openxmlformats.org/officeDocument/2006/relationships/hyperlink" Target="https://fr.wikipedia.org/wiki/Phytorem%C3%A9diation" TargetMode="External"/><Relationship Id="rId2783" Type="http://schemas.openxmlformats.org/officeDocument/2006/relationships/hyperlink" Target="https://tecfa.unige.ch/tecfa/teaching/UVLibre/9900/bin37/histo.htm" TargetMode="External"/><Relationship Id="rId2990" Type="http://schemas.openxmlformats.org/officeDocument/2006/relationships/image" Target="media/image996.jpg"/><Relationship Id="rId3627" Type="http://schemas.openxmlformats.org/officeDocument/2006/relationships/hyperlink" Target="https://en.wikipedia.org/wiki/Great_Green_Wall_(China)" TargetMode="External"/><Relationship Id="rId3834" Type="http://schemas.openxmlformats.org/officeDocument/2006/relationships/hyperlink" Target="http://ideas.repec.org/s/eee/agiwat.html" TargetMode="External"/><Relationship Id="rId548" Type="http://schemas.openxmlformats.org/officeDocument/2006/relationships/hyperlink" Target="https://fr.wikipedia.org/wiki/Famille_(biologie)" TargetMode="External"/><Relationship Id="rId755" Type="http://schemas.openxmlformats.org/officeDocument/2006/relationships/image" Target="media/image330.jpeg"/><Relationship Id="rId962" Type="http://schemas.openxmlformats.org/officeDocument/2006/relationships/image" Target="media/image426.jpeg"/><Relationship Id="rId1178" Type="http://schemas.openxmlformats.org/officeDocument/2006/relationships/image" Target="media/image568.jpeg"/><Relationship Id="rId1385" Type="http://schemas.openxmlformats.org/officeDocument/2006/relationships/hyperlink" Target="http://www.thehindu.com/seta/2003/09/05/stories/2003090500300300.htm" TargetMode="External"/><Relationship Id="rId1592" Type="http://schemas.openxmlformats.org/officeDocument/2006/relationships/hyperlink" Target="http://fr.wikipedia.org/wiki/Escourgeon" TargetMode="External"/><Relationship Id="rId2229" Type="http://schemas.openxmlformats.org/officeDocument/2006/relationships/image" Target="media/image848.jpeg"/><Relationship Id="rId2436" Type="http://schemas.openxmlformats.org/officeDocument/2006/relationships/hyperlink" Target="http://translate.googleusercontent.com/translate_c?depth=1&amp;hl=fr&amp;prev=/search?q%3DPanicum%2Bvirgatum%2BWikip%C3%A9dia%26biw%3D1440%26bih%3D732&amp;rurl=translate.google.fr&amp;sl=en&amp;u=http://en.wikipedia.org/wiki/Land_Institute&amp;usg=ALkJrhiixSqOdHC2l9ih9BkehCNG0VcJLA" TargetMode="External"/><Relationship Id="rId2643" Type="http://schemas.openxmlformats.org/officeDocument/2006/relationships/hyperlink" Target="https://fr.wikipedia.org/wiki/Cosm%C3%A9tique" TargetMode="External"/><Relationship Id="rId2850" Type="http://schemas.openxmlformats.org/officeDocument/2006/relationships/hyperlink" Target="http://www.llifle.com/Encyclopedia/TREES/Family/Burseraceae/11169/Commiphora_myrrha" TargetMode="External"/><Relationship Id="rId91" Type="http://schemas.openxmlformats.org/officeDocument/2006/relationships/hyperlink" Target="https://fr.wikipedia.org/wiki/Chine_continentale" TargetMode="External"/><Relationship Id="rId408" Type="http://schemas.openxmlformats.org/officeDocument/2006/relationships/hyperlink" Target="https://fr.wikipedia.org/wiki/Semis_(agriculture)" TargetMode="External"/><Relationship Id="rId615" Type="http://schemas.openxmlformats.org/officeDocument/2006/relationships/hyperlink" Target="https://en.wikipedia.org/wiki/Loranthaceae" TargetMode="External"/><Relationship Id="rId822" Type="http://schemas.openxmlformats.org/officeDocument/2006/relationships/image" Target="media/image370.jpeg"/><Relationship Id="rId1038" Type="http://schemas.openxmlformats.org/officeDocument/2006/relationships/image" Target="media/image476.jpg"/><Relationship Id="rId1245" Type="http://schemas.openxmlformats.org/officeDocument/2006/relationships/image" Target="media/image625.jpg"/><Relationship Id="rId1452" Type="http://schemas.openxmlformats.org/officeDocument/2006/relationships/hyperlink" Target="http://fr.wikipedia.org/wiki/Eurasie" TargetMode="External"/><Relationship Id="rId2503" Type="http://schemas.openxmlformats.org/officeDocument/2006/relationships/hyperlink" Target="https://fr.wikipedia.org/wiki/%C3%89rosion" TargetMode="External"/><Relationship Id="rId3901" Type="http://schemas.openxmlformats.org/officeDocument/2006/relationships/hyperlink" Target="http://www.clubdesargonautes.org/faq/arbrefontaine.php" TargetMode="External"/><Relationship Id="rId1105" Type="http://schemas.openxmlformats.org/officeDocument/2006/relationships/image" Target="media/image528.jpeg"/><Relationship Id="rId1312" Type="http://schemas.openxmlformats.org/officeDocument/2006/relationships/hyperlink" Target="http://translate.googleusercontent.com/translate_c?depth=1&amp;hl=fr&amp;prev=/search?q%3Dsalicornia%2Bherbacea%2Bwikipedia%26biw%3D1440%26bih%3D732&amp;rurl=translate.google.fr&amp;sl=en&amp;u=http://en.wikipedia.org/wiki/Salicornia_bigelovii&amp;usg=ALkJrhiOe6yfQ2NpTGTItnej-8YQL6d3JA" TargetMode="External"/><Relationship Id="rId2710" Type="http://schemas.openxmlformats.org/officeDocument/2006/relationships/hyperlink" Target="https://fr.wikipedia.org/wiki/Rhodophyta" TargetMode="External"/><Relationship Id="rId4468" Type="http://schemas.openxmlformats.org/officeDocument/2006/relationships/hyperlink" Target="https://www.vanderhoeven.nl/" TargetMode="External"/><Relationship Id="rId3277" Type="http://schemas.openxmlformats.org/officeDocument/2006/relationships/hyperlink" Target="http://fr.wikipedia.org/wiki/Eau" TargetMode="External"/><Relationship Id="rId198" Type="http://schemas.openxmlformats.org/officeDocument/2006/relationships/image" Target="media/image92.jpeg"/><Relationship Id="rId2086" Type="http://schemas.openxmlformats.org/officeDocument/2006/relationships/hyperlink" Target="https://fr.wikipedia.org/wiki/Tourteaux" TargetMode="External"/><Relationship Id="rId3484" Type="http://schemas.openxmlformats.org/officeDocument/2006/relationships/image" Target="media/image1300.jpeg"/><Relationship Id="rId3691" Type="http://schemas.openxmlformats.org/officeDocument/2006/relationships/hyperlink" Target="https://fr.wikipedia.org/wiki/Agriculture_biologique" TargetMode="External"/><Relationship Id="rId4328" Type="http://schemas.openxmlformats.org/officeDocument/2006/relationships/hyperlink" Target="https://www6.sophia.inra.fr/jardin_thuret/Visite-virtuelle/Parcours-Plantes-aromatiques/Plantes-a-parfum/Retama-monosperma" TargetMode="External"/><Relationship Id="rId4535" Type="http://schemas.openxmlformats.org/officeDocument/2006/relationships/hyperlink" Target="http://www.iied.org" TargetMode="External"/><Relationship Id="rId2293" Type="http://schemas.openxmlformats.org/officeDocument/2006/relationships/hyperlink" Target="http://translate.googleusercontent.com/translate_c?depth=1&amp;hl=fr&amp;prev=/search?q%3DMelilotus%2Bindicus%26biw%3D1440%26bih%3D732&amp;rurl=translate.google.fr&amp;sl=en&amp;u=http://en.wikipedia.org/wiki/United_States&amp;usg=ALkJrhj5X4KBjS1IUgObkdzXyh7BYcfyDQ" TargetMode="External"/><Relationship Id="rId3137" Type="http://schemas.openxmlformats.org/officeDocument/2006/relationships/image" Target="media/image1079.jpeg"/><Relationship Id="rId3344" Type="http://schemas.openxmlformats.org/officeDocument/2006/relationships/hyperlink" Target="http://www.haiesvives.org/html/la%20haie%20champetre/haie_champetre.htm" TargetMode="External"/><Relationship Id="rId3551" Type="http://schemas.openxmlformats.org/officeDocument/2006/relationships/hyperlink" Target="https://fr.wikipedia.org/wiki/Mur_v%C3%A9g%C3%A9talis%C3%A9" TargetMode="External"/><Relationship Id="rId265" Type="http://schemas.openxmlformats.org/officeDocument/2006/relationships/hyperlink" Target="https://fr.wikipedia.org/wiki/Fabaceae" TargetMode="External"/><Relationship Id="rId472" Type="http://schemas.openxmlformats.org/officeDocument/2006/relationships/hyperlink" Target="http://en.wikipedia.org/wiki/Yucca_filifera" TargetMode="External"/><Relationship Id="rId2153" Type="http://schemas.openxmlformats.org/officeDocument/2006/relationships/hyperlink" Target="https://fr.wikipedia.org/wiki/Amaranthaceae" TargetMode="External"/><Relationship Id="rId2360" Type="http://schemas.openxmlformats.org/officeDocument/2006/relationships/hyperlink" Target="http://fr.wikipedia.org/wiki/Chrysopogon_zizanioides" TargetMode="External"/><Relationship Id="rId3204" Type="http://schemas.openxmlformats.org/officeDocument/2006/relationships/image" Target="media/image1118.jpeg"/><Relationship Id="rId3411" Type="http://schemas.openxmlformats.org/officeDocument/2006/relationships/hyperlink" Target="http://fr.wiktionary.org/wiki/incendie" TargetMode="External"/><Relationship Id="rId125" Type="http://schemas.openxmlformats.org/officeDocument/2006/relationships/hyperlink" Target="https://en.wikipedia.org/wiki/Unpalatable" TargetMode="External"/><Relationship Id="rId332" Type="http://schemas.openxmlformats.org/officeDocument/2006/relationships/image" Target="media/image154.jpeg"/><Relationship Id="rId2013" Type="http://schemas.openxmlformats.org/officeDocument/2006/relationships/hyperlink" Target="https://en.wikipedia.org/wiki/Powdery_mildew" TargetMode="External"/><Relationship Id="rId2220" Type="http://schemas.openxmlformats.org/officeDocument/2006/relationships/image" Target="media/image839.jpeg"/><Relationship Id="rId4185" Type="http://schemas.openxmlformats.org/officeDocument/2006/relationships/hyperlink" Target="http://www.cabi.org/isc/datasheet/112579" TargetMode="External"/><Relationship Id="rId4392" Type="http://schemas.openxmlformats.org/officeDocument/2006/relationships/image" Target="media/image1469.jpeg"/><Relationship Id="rId1779" Type="http://schemas.openxmlformats.org/officeDocument/2006/relationships/image" Target="media/image748.jpeg"/><Relationship Id="rId1986" Type="http://schemas.openxmlformats.org/officeDocument/2006/relationships/hyperlink" Target="https://fr.wikipedia.org/wiki/Mali" TargetMode="External"/><Relationship Id="rId4045" Type="http://schemas.openxmlformats.org/officeDocument/2006/relationships/image" Target="media/image1401.jpg"/><Relationship Id="rId4252" Type="http://schemas.openxmlformats.org/officeDocument/2006/relationships/hyperlink" Target="https://en.wikipedia.org/wiki/Eurasia" TargetMode="External"/><Relationship Id="rId1639" Type="http://schemas.openxmlformats.org/officeDocument/2006/relationships/image" Target="media/image701.png"/><Relationship Id="rId1846" Type="http://schemas.openxmlformats.org/officeDocument/2006/relationships/hyperlink" Target="https://fr.wikipedia.org/wiki/Echinochloa_frumentacea" TargetMode="External"/><Relationship Id="rId3061" Type="http://schemas.openxmlformats.org/officeDocument/2006/relationships/image" Target="media/image1016.jpeg"/><Relationship Id="rId1706" Type="http://schemas.openxmlformats.org/officeDocument/2006/relationships/hyperlink" Target="https://fr.wikipedia.org/wiki/Fleur" TargetMode="External"/><Relationship Id="rId1913" Type="http://schemas.openxmlformats.org/officeDocument/2006/relationships/hyperlink" Target="https://fr.wikipedia.org/wiki/Panse" TargetMode="External"/><Relationship Id="rId4112" Type="http://schemas.openxmlformats.org/officeDocument/2006/relationships/image" Target="media/image1418.jpeg"/><Relationship Id="rId3878" Type="http://schemas.openxmlformats.org/officeDocument/2006/relationships/hyperlink" Target="http://www.cilss.bf/publications/upload/techniquesadaptationchangementsclimatiques.pdf" TargetMode="External"/><Relationship Id="rId799" Type="http://schemas.openxmlformats.org/officeDocument/2006/relationships/image" Target="media/image355.jpeg"/><Relationship Id="rId2687" Type="http://schemas.openxmlformats.org/officeDocument/2006/relationships/image" Target="media/image941.jpeg"/><Relationship Id="rId2894" Type="http://schemas.openxmlformats.org/officeDocument/2006/relationships/hyperlink" Target="http://translate.googleusercontent.com/translate_c?depth=1&amp;hl=fr&amp;prev=search&amp;rurl=translate.google.fr&amp;sl=en&amp;u=http://en.wikipedia.org/wiki/Deciduous&amp;usg=ALkJrhhSwtpgXVF48oY8BpUlCoZMv9YwYA" TargetMode="External"/><Relationship Id="rId3738" Type="http://schemas.openxmlformats.org/officeDocument/2006/relationships/hyperlink" Target="http://extras.springer.com/2003/978-90-481-6256-7/V2_update.pdf" TargetMode="External"/><Relationship Id="rId659" Type="http://schemas.openxmlformats.org/officeDocument/2006/relationships/image" Target="media/image274.jpeg"/><Relationship Id="rId866" Type="http://schemas.openxmlformats.org/officeDocument/2006/relationships/hyperlink" Target="http://translate.googleusercontent.com/translate_c?depth=1&amp;hl=fr&amp;prev=/search?q%3Dnitraria%26biw%3D1440%26bih%3D732&amp;rurl=translate.google.fr&amp;sl=en&amp;u=http://en.wikipedia.org/wiki/Nitrariaceae&amp;usg=ALkJrhjZ1E2Yw_Z9sWYjH9ms-Vo7-DkNMw" TargetMode="External"/><Relationship Id="rId1289" Type="http://schemas.openxmlformats.org/officeDocument/2006/relationships/hyperlink" Target="http://www.universalis.fr/encyclopedie/halophytes/" TargetMode="External"/><Relationship Id="rId1496" Type="http://schemas.openxmlformats.org/officeDocument/2006/relationships/hyperlink" Target="http://fr.wikipedia.org/wiki/Gr%C3%A8ce" TargetMode="External"/><Relationship Id="rId2547" Type="http://schemas.openxmlformats.org/officeDocument/2006/relationships/hyperlink" Target="https://fr.wikipedia.org/wiki/Fabaceae" TargetMode="External"/><Relationship Id="rId3945" Type="http://schemas.openxmlformats.org/officeDocument/2006/relationships/image" Target="media/image1362.jpeg"/><Relationship Id="rId519" Type="http://schemas.openxmlformats.org/officeDocument/2006/relationships/hyperlink" Target="http://www.jardiner-malin.fr/fiche/amandier-taille-plantation.html" TargetMode="External"/><Relationship Id="rId1149" Type="http://schemas.openxmlformats.org/officeDocument/2006/relationships/image" Target="media/image554.jpeg"/><Relationship Id="rId1356" Type="http://schemas.openxmlformats.org/officeDocument/2006/relationships/hyperlink" Target="http://en.wikipedia.org/wiki/King_Faisal_University" TargetMode="External"/><Relationship Id="rId2754" Type="http://schemas.openxmlformats.org/officeDocument/2006/relationships/hyperlink" Target="https://fr.wikipedia.org/wiki/Adzop%C3%A9" TargetMode="External"/><Relationship Id="rId2961" Type="http://schemas.openxmlformats.org/officeDocument/2006/relationships/hyperlink" Target="https://fr.wikipedia.org/wiki/Encens_(r%C3%A9sine_oliban)" TargetMode="External"/><Relationship Id="rId3805" Type="http://schemas.openxmlformats.org/officeDocument/2006/relationships/hyperlink" Target="http://ideas.repec.org/a/eee/agiwat/v78y2005i1-2p108-121.html" TargetMode="External"/><Relationship Id="rId726" Type="http://schemas.openxmlformats.org/officeDocument/2006/relationships/hyperlink" Target="http://www.fao.org/ag/agp/AGPC/doc/gbase/DATA/Pf000353.htm" TargetMode="External"/><Relationship Id="rId933" Type="http://schemas.openxmlformats.org/officeDocument/2006/relationships/image" Target="media/image420.jpg"/><Relationship Id="rId1009" Type="http://schemas.openxmlformats.org/officeDocument/2006/relationships/image" Target="media/image459.jpg"/><Relationship Id="rId1563" Type="http://schemas.openxmlformats.org/officeDocument/2006/relationships/image" Target="media/image683.jpeg"/><Relationship Id="rId1770" Type="http://schemas.openxmlformats.org/officeDocument/2006/relationships/hyperlink" Target="http://fr.wikipedia.org/wiki/B%C3%A9tail" TargetMode="External"/><Relationship Id="rId2407" Type="http://schemas.openxmlformats.org/officeDocument/2006/relationships/hyperlink" Target="http://fr.wikipedia.org/wiki/Rhizome" TargetMode="External"/><Relationship Id="rId2614" Type="http://schemas.openxmlformats.org/officeDocument/2006/relationships/image" Target="media/image926.png"/><Relationship Id="rId2821" Type="http://schemas.openxmlformats.org/officeDocument/2006/relationships/hyperlink" Target="http://fr.wikipedia.org/wiki/Siwak" TargetMode="External"/><Relationship Id="rId62" Type="http://schemas.openxmlformats.org/officeDocument/2006/relationships/image" Target="media/image27.jpeg"/><Relationship Id="rId1216" Type="http://schemas.openxmlformats.org/officeDocument/2006/relationships/image" Target="media/image597.jpeg"/><Relationship Id="rId1423" Type="http://schemas.openxmlformats.org/officeDocument/2006/relationships/hyperlink" Target="http://www.bashanfoundation.org/gmaweb/pdfs/growth.pdf" TargetMode="External"/><Relationship Id="rId1630" Type="http://schemas.openxmlformats.org/officeDocument/2006/relationships/hyperlink" Target="http://www.ncbi.nlm.nih.gov/pubmed?term=Majumder%20AL%5bAuthor%5d&amp;cauthor=true&amp;cauthor_uid=19843254" TargetMode="External"/><Relationship Id="rId3388" Type="http://schemas.openxmlformats.org/officeDocument/2006/relationships/image" Target="media/image1248.emf"/><Relationship Id="rId3595" Type="http://schemas.openxmlformats.org/officeDocument/2006/relationships/hyperlink" Target="https://fr.wikipedia.org/wiki/Nairobi" TargetMode="External"/><Relationship Id="rId4439" Type="http://schemas.openxmlformats.org/officeDocument/2006/relationships/hyperlink" Target="http://fr.wikipedia.org/wiki/D%C3%A9pression_(g%C3%A9ographie)" TargetMode="External"/><Relationship Id="rId2197" Type="http://schemas.openxmlformats.org/officeDocument/2006/relationships/hyperlink" Target="https://en.wikipedia.org/wiki/Folk_medicine" TargetMode="External"/><Relationship Id="rId3248" Type="http://schemas.openxmlformats.org/officeDocument/2006/relationships/hyperlink" Target="https://en.wikipedia.org/wiki/Tamil_Nadu,_India" TargetMode="External"/><Relationship Id="rId3455" Type="http://schemas.openxmlformats.org/officeDocument/2006/relationships/image" Target="media/image1290.jpeg"/><Relationship Id="rId3662" Type="http://schemas.openxmlformats.org/officeDocument/2006/relationships/image" Target="media/image1349.png"/><Relationship Id="rId4506" Type="http://schemas.openxmlformats.org/officeDocument/2006/relationships/hyperlink" Target="http://popups.ulg.ac.be/1780-4507/index.php?id=9586" TargetMode="External"/><Relationship Id="rId169" Type="http://schemas.openxmlformats.org/officeDocument/2006/relationships/image" Target="media/image76.jpg"/><Relationship Id="rId376" Type="http://schemas.openxmlformats.org/officeDocument/2006/relationships/hyperlink" Target="https://fr.wikipedia.org/wiki/Vitis_coignetiae" TargetMode="External"/><Relationship Id="rId583" Type="http://schemas.openxmlformats.org/officeDocument/2006/relationships/image" Target="media/image253.jpeg"/><Relationship Id="rId790" Type="http://schemas.openxmlformats.org/officeDocument/2006/relationships/image" Target="media/image350.jpeg"/><Relationship Id="rId2057" Type="http://schemas.openxmlformats.org/officeDocument/2006/relationships/hyperlink" Target="https://fr.wikipedia.org/wiki/Ghana" TargetMode="External"/><Relationship Id="rId2264" Type="http://schemas.openxmlformats.org/officeDocument/2006/relationships/image" Target="media/image857.jpeg"/><Relationship Id="rId2471" Type="http://schemas.openxmlformats.org/officeDocument/2006/relationships/image" Target="media/image900.jpeg"/><Relationship Id="rId3108" Type="http://schemas.openxmlformats.org/officeDocument/2006/relationships/image" Target="media/image1060.jpeg"/><Relationship Id="rId3315" Type="http://schemas.openxmlformats.org/officeDocument/2006/relationships/image" Target="media/image1188.jpeg"/><Relationship Id="rId3522" Type="http://schemas.openxmlformats.org/officeDocument/2006/relationships/hyperlink" Target="https://fr.wikipedia.org/w/index.php?title=Natural_Resources_Conservation_Service&amp;action=edit&amp;redlink=1" TargetMode="External"/><Relationship Id="rId236" Type="http://schemas.openxmlformats.org/officeDocument/2006/relationships/hyperlink" Target="https://fr.wikipedia.org/wiki/Ficus_carica" TargetMode="External"/><Relationship Id="rId443" Type="http://schemas.openxmlformats.org/officeDocument/2006/relationships/image" Target="media/image186.jpeg"/><Relationship Id="rId650" Type="http://schemas.openxmlformats.org/officeDocument/2006/relationships/hyperlink" Target="https://fr.wikipedia.org/wiki/Za%C3%AFre" TargetMode="External"/><Relationship Id="rId1073" Type="http://schemas.openxmlformats.org/officeDocument/2006/relationships/hyperlink" Target="http://www.bio-et-naturel.re/fiches-plantes/P/paletuvier.html" TargetMode="External"/><Relationship Id="rId1280" Type="http://schemas.openxmlformats.org/officeDocument/2006/relationships/hyperlink" Target="http://fr.wikipedia.org/wiki/C%C3%A9r%C3%A9ale" TargetMode="External"/><Relationship Id="rId2124" Type="http://schemas.openxmlformats.org/officeDocument/2006/relationships/image" Target="media/image821.jpeg"/><Relationship Id="rId2331" Type="http://schemas.openxmlformats.org/officeDocument/2006/relationships/image" Target="media/image869.jpeg"/><Relationship Id="rId303" Type="http://schemas.openxmlformats.org/officeDocument/2006/relationships/image" Target="media/image137.jpeg"/><Relationship Id="rId1140" Type="http://schemas.openxmlformats.org/officeDocument/2006/relationships/hyperlink" Target="https://en.wikipedia.org/wiki/Ceriops_tagal" TargetMode="External"/><Relationship Id="rId4089" Type="http://schemas.openxmlformats.org/officeDocument/2006/relationships/hyperlink" Target="http://translate.googleusercontent.com/translate_c?depth=1&amp;hl=fr&amp;prev=/search?q%3Dprosopis%2Bjuliflora%26rlz%3D1C1GGGE_frFR479FR479%26es_sm%3D93&amp;rurl=translate.google.fr&amp;sl=en&amp;u=http://en.wikipedia.org/wiki/Prosopis&amp;usg=ALkJrhjTpTBV-9Y3A6WVNlFS80ASjlpyIw" TargetMode="External"/><Relationship Id="rId4296" Type="http://schemas.openxmlformats.org/officeDocument/2006/relationships/hyperlink" Target="https://en.wikipedia.org/wiki/Algeria" TargetMode="External"/><Relationship Id="rId510" Type="http://schemas.openxmlformats.org/officeDocument/2006/relationships/hyperlink" Target="http://fr.wikipedia.org/w/index.php?title=Franz_Eugen_K%C3%B6hler&amp;action=edit&amp;redlink=1" TargetMode="External"/><Relationship Id="rId1000" Type="http://schemas.openxmlformats.org/officeDocument/2006/relationships/image" Target="media/image453.jpg"/><Relationship Id="rId1957" Type="http://schemas.openxmlformats.org/officeDocument/2006/relationships/hyperlink" Target="https://en.wikipedia.org/wiki/Cuisines_of_the_Indian_subcontinent" TargetMode="External"/><Relationship Id="rId4156" Type="http://schemas.openxmlformats.org/officeDocument/2006/relationships/hyperlink" Target="http://translate.googleusercontent.com/translate_c?depth=1&amp;hl=fr&amp;prev=/search?q%3DProsopis%2Bpallida%26biw%3D1440%26bih%3D732&amp;rurl=translate.google.fr&amp;sl=en&amp;u=http://en.wikipedia.org/wiki/Honey&amp;usg=ALkJrhh0M6kg62FWoE0Tihn29mFrDuUseg" TargetMode="External"/><Relationship Id="rId4363" Type="http://schemas.openxmlformats.org/officeDocument/2006/relationships/hyperlink" Target="http://translate.googleusercontent.com/translate_c?depth=1&amp;hl=fr&amp;prev=/search?q%3Dkikuyu%2Bgrass%26biw%3D1440%26bih%3D775&amp;rurl=translate.google.fr&amp;sl=en&amp;u=http://en.wikipedia.org/wiki/Lawn&amp;usg=ALkJrhjdH86PRwbKlmXCniyayQ00W-Mj6w" TargetMode="External"/><Relationship Id="rId1817" Type="http://schemas.openxmlformats.org/officeDocument/2006/relationships/hyperlink" Target="https://fr.wikipedia.org/wiki/Niger" TargetMode="External"/><Relationship Id="rId3172" Type="http://schemas.openxmlformats.org/officeDocument/2006/relationships/image" Target="media/image1091.jpeg"/><Relationship Id="rId4016" Type="http://schemas.openxmlformats.org/officeDocument/2006/relationships/image" Target="media/image1389.jpeg"/><Relationship Id="rId4223" Type="http://schemas.openxmlformats.org/officeDocument/2006/relationships/hyperlink" Target="http://www.cabi.org/isc/datasheet/112593" TargetMode="External"/><Relationship Id="rId4430" Type="http://schemas.openxmlformats.org/officeDocument/2006/relationships/hyperlink" Target="http://fr.wiktionary.org/wiki/orifice" TargetMode="External"/><Relationship Id="rId3032" Type="http://schemas.openxmlformats.org/officeDocument/2006/relationships/image" Target="media/image1010.jpg"/><Relationship Id="rId160" Type="http://schemas.openxmlformats.org/officeDocument/2006/relationships/image" Target="media/image67.jpg"/><Relationship Id="rId3989" Type="http://schemas.openxmlformats.org/officeDocument/2006/relationships/hyperlink" Target="http://translate.googleusercontent.com/translate_c?depth=1&amp;hl=fr&amp;prev=/search?q%3DCasuarina%2Bglauca%2BWikipedia%26biw%3D1440%26bih%3D732&amp;rurl=translate.google.fr&amp;sl=en&amp;u=http://en.wikipedia.org/wiki/Casuarina&amp;usg=ALkJrhgMORuaV2CSdVeVc1dO7KXWgjT0jA" TargetMode="External"/><Relationship Id="rId2798" Type="http://schemas.openxmlformats.org/officeDocument/2006/relationships/image" Target="media/image964.jpeg"/><Relationship Id="rId3849" Type="http://schemas.openxmlformats.org/officeDocument/2006/relationships/hyperlink" Target="http://www.ncbi.nlm.nih.gov/pubmed?term=Malosetti%20M%5bAuthor%5d&amp;cauthor=true&amp;cauthor_uid=23771136" TargetMode="External"/><Relationship Id="rId977" Type="http://schemas.openxmlformats.org/officeDocument/2006/relationships/image" Target="media/image433.jpeg"/><Relationship Id="rId2658" Type="http://schemas.openxmlformats.org/officeDocument/2006/relationships/hyperlink" Target="https://fr.wikipedia.org/wiki/Philippines" TargetMode="External"/><Relationship Id="rId2865" Type="http://schemas.openxmlformats.org/officeDocument/2006/relationships/hyperlink" Target="http://translate.googleusercontent.com/translate_c?depth=1&amp;hl=fr&amp;prev=search&amp;rurl=translate.google.fr&amp;sl=en&amp;u=http://en.wikipedia.org/wiki/Northern_Africa&amp;usg=ALkJrhivlTW9TGnjstMId2b2S9r20CQJSw" TargetMode="External"/><Relationship Id="rId3709" Type="http://schemas.openxmlformats.org/officeDocument/2006/relationships/hyperlink" Target="https://theconversation.com/secheresse-lindispensable-adaptation-des-forets-francaises-128404" TargetMode="External"/><Relationship Id="rId3916" Type="http://schemas.openxmlformats.org/officeDocument/2006/relationships/hyperlink" Target="http://www.geofflawton.com/fe/62176-desert-oasis" TargetMode="External"/><Relationship Id="rId4080" Type="http://schemas.openxmlformats.org/officeDocument/2006/relationships/image" Target="media/image1415.jpeg"/><Relationship Id="rId837" Type="http://schemas.openxmlformats.org/officeDocument/2006/relationships/image" Target="media/image381.jpeg"/><Relationship Id="rId1467" Type="http://schemas.openxmlformats.org/officeDocument/2006/relationships/image" Target="media/image656.jpeg"/><Relationship Id="rId1674" Type="http://schemas.openxmlformats.org/officeDocument/2006/relationships/hyperlink" Target="http://translate.googleusercontent.com/translate_c?depth=1&amp;hl=fr&amp;prev=/search?q%3DBrassica%2Bcarinata%26biw%3D1440%26bih%3D775&amp;rurl=translate.google.fr&amp;sl=en&amp;u=http://en.wikipedia.org/wiki/Leaf_vegetable&amp;usg=ALkJrhjYvr97a74nUZm2rQa4ujDaG6lB2g" TargetMode="External"/><Relationship Id="rId1881" Type="http://schemas.openxmlformats.org/officeDocument/2006/relationships/hyperlink" Target="https://fr.wikipedia.org/wiki/Canne_%C3%A0_sucre" TargetMode="External"/><Relationship Id="rId2518" Type="http://schemas.openxmlformats.org/officeDocument/2006/relationships/hyperlink" Target="https://flora.org.il/en/plants/EROCRA/" TargetMode="External"/><Relationship Id="rId2725" Type="http://schemas.openxmlformats.org/officeDocument/2006/relationships/image" Target="media/image952.jpeg"/><Relationship Id="rId2932" Type="http://schemas.openxmlformats.org/officeDocument/2006/relationships/hyperlink" Target="http://translate.googleusercontent.com/translate_c?depth=1&amp;hl=fr&amp;prev=search&amp;rurl=translate.google.fr&amp;sl=en&amp;u=http://en.wikipedia.org/wiki/Ethanol&amp;usg=ALkJrhgV-BMB4A0u-nPBRCAIGcJXN48cOQ" TargetMode="External"/><Relationship Id="rId904" Type="http://schemas.openxmlformats.org/officeDocument/2006/relationships/image" Target="media/image399.jpeg"/><Relationship Id="rId1327" Type="http://schemas.openxmlformats.org/officeDocument/2006/relationships/hyperlink" Target="http://www.miracosta.edu/home/kmeldahl/articles/crops.pdf" TargetMode="External"/><Relationship Id="rId1534" Type="http://schemas.openxmlformats.org/officeDocument/2006/relationships/hyperlink" Target="https://fr.wikipedia.org/wiki/Afrique" TargetMode="External"/><Relationship Id="rId1741" Type="http://schemas.openxmlformats.org/officeDocument/2006/relationships/image" Target="media/image745.jpg"/><Relationship Id="rId33" Type="http://schemas.openxmlformats.org/officeDocument/2006/relationships/hyperlink" Target="https://fr.wikipedia.org/wiki/Born&#233;o" TargetMode="External"/><Relationship Id="rId1601" Type="http://schemas.openxmlformats.org/officeDocument/2006/relationships/hyperlink" Target="http://translate.googleusercontent.com/translate_c?depth=1&amp;hl=fr&amp;prev=/search?q%3Dhordeum%2Bvulgare%2Bwikipedia%26biw%3D1440%26bih%3D732&amp;rurl=translate.google.fr&amp;sl=en&amp;u=http://en.wikipedia.org/wiki/Secondary_succession&amp;usg=ALkJrhgEjeEC0SkKfaMPOlLgUvsW9fzuzQ" TargetMode="External"/><Relationship Id="rId3499" Type="http://schemas.openxmlformats.org/officeDocument/2006/relationships/image" Target="media/image1311.jpeg"/><Relationship Id="rId3359" Type="http://schemas.openxmlformats.org/officeDocument/2006/relationships/image" Target="media/image1220.png"/><Relationship Id="rId3566" Type="http://schemas.openxmlformats.org/officeDocument/2006/relationships/hyperlink" Target="https://fr.wikipedia.org/wiki/Gomme_arabique" TargetMode="External"/><Relationship Id="rId487" Type="http://schemas.openxmlformats.org/officeDocument/2006/relationships/hyperlink" Target="https://fr.wikipedia.org/wiki/Parc_d'%C3%89tat_d'Anza-Borrego_Desert" TargetMode="External"/><Relationship Id="rId694" Type="http://schemas.openxmlformats.org/officeDocument/2006/relationships/image" Target="media/image298.jpeg"/><Relationship Id="rId2168" Type="http://schemas.openxmlformats.org/officeDocument/2006/relationships/hyperlink" Target="https://fr.wikipedia.org/wiki/P%C3%A9ricarpe" TargetMode="External"/><Relationship Id="rId2375" Type="http://schemas.openxmlformats.org/officeDocument/2006/relationships/hyperlink" Target="https://fr.wikipedia.org/wiki/Famille_(biologie)" TargetMode="External"/><Relationship Id="rId3219" Type="http://schemas.openxmlformats.org/officeDocument/2006/relationships/image" Target="media/image1132.jpeg"/><Relationship Id="rId3773" Type="http://schemas.openxmlformats.org/officeDocument/2006/relationships/hyperlink" Target="https://www.iata.org/pressroom/facts_figures/fact_sheets/pages/alt-fuels.aspx" TargetMode="External"/><Relationship Id="rId3980" Type="http://schemas.openxmlformats.org/officeDocument/2006/relationships/hyperlink" Target="http://fr.wikipedia.org/wiki/Casuarina" TargetMode="External"/><Relationship Id="rId347" Type="http://schemas.openxmlformats.org/officeDocument/2006/relationships/hyperlink" Target="http://en.wikipedia.org/wiki/Pomegranate" TargetMode="External"/><Relationship Id="rId1184" Type="http://schemas.openxmlformats.org/officeDocument/2006/relationships/image" Target="media/image572.jpeg"/><Relationship Id="rId2028" Type="http://schemas.openxmlformats.org/officeDocument/2006/relationships/hyperlink" Target="https://fr.wikipedia.org/wiki/Callosobruchus" TargetMode="External"/><Relationship Id="rId2582" Type="http://schemas.openxmlformats.org/officeDocument/2006/relationships/hyperlink" Target="https://fr.wikipedia.org/wiki/Agar-agar" TargetMode="External"/><Relationship Id="rId3426" Type="http://schemas.openxmlformats.org/officeDocument/2006/relationships/hyperlink" Target="http://www.fao.org/3/i2601f/i2601f.pdf" TargetMode="External"/><Relationship Id="rId3633" Type="http://schemas.openxmlformats.org/officeDocument/2006/relationships/hyperlink" Target="http://www.arte.tv/guide/fr/045948-000-A/pluie-benie" TargetMode="External"/><Relationship Id="rId3840" Type="http://schemas.openxmlformats.org/officeDocument/2006/relationships/hyperlink" Target="http://www.academia.edu/attachments/34722450/download_file?st=MTQxMDc1MzU5MSw3OC4xOTMuMS41MCwyMjk3NzU4&amp;s=work_strip&amp;ct=MTQxMDc1Mjg1MCwxNDEwNzUzNzE2LDIyOTc3NTg" TargetMode="External"/><Relationship Id="rId554" Type="http://schemas.openxmlformats.org/officeDocument/2006/relationships/image" Target="media/image241.jpeg"/><Relationship Id="rId761" Type="http://schemas.openxmlformats.org/officeDocument/2006/relationships/hyperlink" Target="https://agritrop.cirad.fr/518849/1/document_518849.pdf" TargetMode="External"/><Relationship Id="rId1391" Type="http://schemas.openxmlformats.org/officeDocument/2006/relationships/hyperlink" Target="http://en.wikipedia.org/wiki/California" TargetMode="External"/><Relationship Id="rId2235" Type="http://schemas.openxmlformats.org/officeDocument/2006/relationships/hyperlink" Target="https://fr.wikipedia.org/wiki/Esp%C3%A8ce" TargetMode="External"/><Relationship Id="rId2442" Type="http://schemas.openxmlformats.org/officeDocument/2006/relationships/hyperlink" Target="http://translate.googleusercontent.com/translate_c?depth=1&amp;hl=fr&amp;prev=/search?q%3Dpanicum%2Bamarum%26biw%3D1440%26bih%3D732&amp;rurl=translate.google.fr&amp;sl=en&amp;u=http://en.wikipedia.org/wiki/Cuba&amp;usg=ALkJrhhRxFfnNgsXsH6xiJqknfxJvJfb_A" TargetMode="External"/><Relationship Id="rId3700" Type="http://schemas.openxmlformats.org/officeDocument/2006/relationships/hyperlink" Target="http://www.doc-developpement-durable.org/documents-pedagogiques-de-sensibilisation/LutteContreLaCorruption.pdf" TargetMode="External"/><Relationship Id="rId207" Type="http://schemas.openxmlformats.org/officeDocument/2006/relationships/image" Target="media/image97.jpeg"/><Relationship Id="rId414" Type="http://schemas.openxmlformats.org/officeDocument/2006/relationships/hyperlink" Target="https://fr.wikipedia.org/wiki/Raisin_de_table" TargetMode="External"/><Relationship Id="rId621" Type="http://schemas.openxmlformats.org/officeDocument/2006/relationships/hyperlink" Target="https://en.wikipedia.org/wiki/Combretum" TargetMode="External"/><Relationship Id="rId1044" Type="http://schemas.openxmlformats.org/officeDocument/2006/relationships/hyperlink" Target="http://nature.jardin.free.fr/1105/nypa_fruticans.html" TargetMode="External"/><Relationship Id="rId1251" Type="http://schemas.openxmlformats.org/officeDocument/2006/relationships/image" Target="media/image631.jpg"/><Relationship Id="rId2302" Type="http://schemas.openxmlformats.org/officeDocument/2006/relationships/image" Target="media/image864.jpeg"/><Relationship Id="rId1111" Type="http://schemas.openxmlformats.org/officeDocument/2006/relationships/image" Target="media/image534.jpeg"/><Relationship Id="rId4267" Type="http://schemas.openxmlformats.org/officeDocument/2006/relationships/hyperlink" Target="http://www.cabi.org/isc/datasheet/52487" TargetMode="External"/><Relationship Id="rId4474" Type="http://schemas.openxmlformats.org/officeDocument/2006/relationships/image" Target="media/image1481.jpeg"/><Relationship Id="rId3076" Type="http://schemas.openxmlformats.org/officeDocument/2006/relationships/image" Target="media/image1029.jpeg"/><Relationship Id="rId3283" Type="http://schemas.openxmlformats.org/officeDocument/2006/relationships/hyperlink" Target="http://en.wikipedia.org/wiki/Drip_irrigation" TargetMode="External"/><Relationship Id="rId3490" Type="http://schemas.openxmlformats.org/officeDocument/2006/relationships/image" Target="media/image1306.jpeg"/><Relationship Id="rId4127" Type="http://schemas.openxmlformats.org/officeDocument/2006/relationships/hyperlink" Target="http://fr.wikipedia.org/wiki/Biodiversit%C3%A9" TargetMode="External"/><Relationship Id="rId4334" Type="http://schemas.openxmlformats.org/officeDocument/2006/relationships/image" Target="media/image1456.jpeg"/><Relationship Id="rId4541" Type="http://schemas.openxmlformats.org/officeDocument/2006/relationships/hyperlink" Target="mailto:info-wacomp@ecowas.int" TargetMode="External"/><Relationship Id="rId1928" Type="http://schemas.openxmlformats.org/officeDocument/2006/relationships/hyperlink" Target="https://fr.wikipedia.org/wiki/Plante_annuelle" TargetMode="External"/><Relationship Id="rId2092" Type="http://schemas.openxmlformats.org/officeDocument/2006/relationships/hyperlink" Target="https://en.wikipedia.org/wiki/Malnutrition" TargetMode="External"/><Relationship Id="rId3143" Type="http://schemas.openxmlformats.org/officeDocument/2006/relationships/hyperlink" Target="https://fr.wikipedia.org/wiki/B%C3%A9tail" TargetMode="External"/><Relationship Id="rId3350" Type="http://schemas.openxmlformats.org/officeDocument/2006/relationships/hyperlink" Target="http://www.doc-developpement-durable.org/livres/Haies_epineuses_dfe_Interior_for_Kindle.pdf" TargetMode="External"/><Relationship Id="rId271" Type="http://schemas.openxmlformats.org/officeDocument/2006/relationships/image" Target="media/image116.jpeg"/><Relationship Id="rId3003" Type="http://schemas.openxmlformats.org/officeDocument/2006/relationships/hyperlink" Target="http://fr.wikipedia.org/wiki/Namibie" TargetMode="External"/><Relationship Id="rId4401" Type="http://schemas.openxmlformats.org/officeDocument/2006/relationships/hyperlink" Target="http://fr.wikipedia.org/wiki/Invasion_biologique" TargetMode="External"/><Relationship Id="rId131" Type="http://schemas.openxmlformats.org/officeDocument/2006/relationships/image" Target="media/image39.png"/><Relationship Id="rId3210" Type="http://schemas.openxmlformats.org/officeDocument/2006/relationships/image" Target="media/image1124.jpeg"/><Relationship Id="rId2769" Type="http://schemas.openxmlformats.org/officeDocument/2006/relationships/hyperlink" Target="https://fr.wikipedia.org/wiki/Bicarbonate_de_soude" TargetMode="External"/><Relationship Id="rId2976" Type="http://schemas.openxmlformats.org/officeDocument/2006/relationships/hyperlink" Target="http://translate.googleusercontent.com/translate_c?depth=1&amp;hl=fr&amp;prev=search&amp;rurl=translate.google.fr&amp;sl=en&amp;u=http://en.wikipedia.org/wiki/Osteoarthritis&amp;usg=ALkJrhj2fsbMkpNdpUfX1w5-e-M3LtNWSA" TargetMode="External"/><Relationship Id="rId948" Type="http://schemas.openxmlformats.org/officeDocument/2006/relationships/hyperlink" Target="https://fr.wikipedia.org/wiki/Pluviom%C3%A9trie" TargetMode="External"/><Relationship Id="rId1578" Type="http://schemas.openxmlformats.org/officeDocument/2006/relationships/hyperlink" Target="http://fr.wikipedia.org/wiki/Bi%C3%A8re" TargetMode="External"/><Relationship Id="rId1785" Type="http://schemas.openxmlformats.org/officeDocument/2006/relationships/hyperlink" Target="https://fr.wikipedia.org/wiki/Famille_(biologie)" TargetMode="External"/><Relationship Id="rId1992" Type="http://schemas.openxmlformats.org/officeDocument/2006/relationships/hyperlink" Target="https://en.wikipedia.org/wiki/Intercropped" TargetMode="External"/><Relationship Id="rId2629" Type="http://schemas.openxmlformats.org/officeDocument/2006/relationships/hyperlink" Target="https://en.wikipedia.org/wiki/Laverbread" TargetMode="External"/><Relationship Id="rId2836" Type="http://schemas.openxmlformats.org/officeDocument/2006/relationships/hyperlink" Target="https://fr.wikipedia.org/wiki/Famille_(biologie)" TargetMode="External"/><Relationship Id="rId4191" Type="http://schemas.openxmlformats.org/officeDocument/2006/relationships/hyperlink" Target="http://www.cabi.org/isc/datasheet/112581" TargetMode="External"/><Relationship Id="rId77" Type="http://schemas.openxmlformats.org/officeDocument/2006/relationships/hyperlink" Target="https://fr.wikipedia.org/wiki/Homo_sapiens" TargetMode="External"/><Relationship Id="rId808" Type="http://schemas.openxmlformats.org/officeDocument/2006/relationships/hyperlink" Target="https://www.passeportsante.net/huiles-vegetales-g152/Fiche.aspx?doc=huile-jojoba" TargetMode="External"/><Relationship Id="rId1438" Type="http://schemas.openxmlformats.org/officeDocument/2006/relationships/hyperlink" Target="http://www.ncbi.nlm.nih.gov/pubmed/18765761" TargetMode="External"/><Relationship Id="rId1645" Type="http://schemas.openxmlformats.org/officeDocument/2006/relationships/hyperlink" Target="https://www.challenges.fr/economie/le-senegal-moissonne-et-montre-que-cultiver-le-ble-est-possible_854314" TargetMode="External"/><Relationship Id="rId4051" Type="http://schemas.openxmlformats.org/officeDocument/2006/relationships/image" Target="media/image1403.jpeg"/><Relationship Id="rId1852" Type="http://schemas.openxmlformats.org/officeDocument/2006/relationships/image" Target="media/image770.jpeg"/><Relationship Id="rId2903" Type="http://schemas.openxmlformats.org/officeDocument/2006/relationships/hyperlink" Target="http://translate.googleusercontent.com/translate_c?depth=1&amp;hl=fr&amp;prev=search&amp;rurl=translate.google.fr&amp;sl=en&amp;u=http://en.wikipedia.org/wiki/Mali&amp;usg=ALkJrhiBko6u7cfXHTw2Aeh9LxUWdwCWcg" TargetMode="External"/><Relationship Id="rId1505" Type="http://schemas.openxmlformats.org/officeDocument/2006/relationships/image" Target="media/image669.jpeg"/><Relationship Id="rId1712" Type="http://schemas.openxmlformats.org/officeDocument/2006/relationships/hyperlink" Target="https://fr.wikipedia.org/wiki/Silique" TargetMode="External"/><Relationship Id="rId3677" Type="http://schemas.openxmlformats.org/officeDocument/2006/relationships/hyperlink" Target="https://fr.wikipedia.org/wiki/Crise_alimentaire_mondiale_de_2007-2008" TargetMode="External"/><Relationship Id="rId3884" Type="http://schemas.openxmlformats.org/officeDocument/2006/relationships/hyperlink" Target="https://www.persee.fr/doc/rga_0035-1121_1997_num_85_1_3902" TargetMode="External"/><Relationship Id="rId598" Type="http://schemas.openxmlformats.org/officeDocument/2006/relationships/hyperlink" Target="https://fr.wikipedia.org/wiki/Pur%C3%A9e" TargetMode="External"/><Relationship Id="rId2279" Type="http://schemas.openxmlformats.org/officeDocument/2006/relationships/hyperlink" Target="http://fr.wikipedia.org/wiki/M%C3%A9lilot_blanc" TargetMode="External"/><Relationship Id="rId2486" Type="http://schemas.openxmlformats.org/officeDocument/2006/relationships/hyperlink" Target="https://fr.wikipedia.org/wiki/Alg%C3%A9rie" TargetMode="External"/><Relationship Id="rId2693" Type="http://schemas.openxmlformats.org/officeDocument/2006/relationships/hyperlink" Target="https://fr.wikipedia.org/wiki/Carragh%C3%A9nane" TargetMode="External"/><Relationship Id="rId3537" Type="http://schemas.openxmlformats.org/officeDocument/2006/relationships/hyperlink" Target="https://en.wikipedia.org/wiki/Sahara" TargetMode="External"/><Relationship Id="rId3744" Type="http://schemas.openxmlformats.org/officeDocument/2006/relationships/hyperlink" Target="http://www.deco.fr/jardin-jardinage/plante-potagere/salicorne/" TargetMode="External"/><Relationship Id="rId3951" Type="http://schemas.openxmlformats.org/officeDocument/2006/relationships/hyperlink" Target="https://fr.wikipedia.org/wiki/Am%C3%A9rique_centrale" TargetMode="External"/><Relationship Id="rId458" Type="http://schemas.openxmlformats.org/officeDocument/2006/relationships/image" Target="media/image193.jpeg"/><Relationship Id="rId665" Type="http://schemas.openxmlformats.org/officeDocument/2006/relationships/image" Target="media/image280.jpeg"/><Relationship Id="rId872" Type="http://schemas.openxmlformats.org/officeDocument/2006/relationships/hyperlink" Target="http://translate.googleusercontent.com/translate_c?depth=1&amp;hl=fr&amp;prev=/search?q=nitraria&amp;biw=1440&amp;bih=732&amp;rurl=translate.google.fr&amp;sl=en&amp;u=http://en.wikipedia.org/wiki/Emu&amp;usg=ALkJrhjSGRgvitCTXdEtU9-r9BQlgVfCBA" TargetMode="External"/><Relationship Id="rId1088" Type="http://schemas.openxmlformats.org/officeDocument/2006/relationships/image" Target="media/image512.jpg"/><Relationship Id="rId1295" Type="http://schemas.openxmlformats.org/officeDocument/2006/relationships/hyperlink" Target="https://fr.wikipedia.org/wiki/Classification_APG_III" TargetMode="External"/><Relationship Id="rId2139" Type="http://schemas.openxmlformats.org/officeDocument/2006/relationships/hyperlink" Target="https://fr.wikipedia.org/wiki/Scl%C3%A9rose_en_plaques" TargetMode="External"/><Relationship Id="rId2346" Type="http://schemas.openxmlformats.org/officeDocument/2006/relationships/hyperlink" Target="http://www.vetiver.com/TVN_infra_fr.pdf" TargetMode="External"/><Relationship Id="rId2553" Type="http://schemas.openxmlformats.org/officeDocument/2006/relationships/hyperlink" Target="http://translate.googleusercontent.com/translate_c?depth=1&amp;hl=fr&amp;prev=search&amp;rurl=translate.google.fr&amp;sl=en&amp;u=http://en.wikipedia.org/wiki/Turkey&amp;usg=ALkJrhiXOpqquwCQ3H0ggUumZzAZJZNNaA" TargetMode="External"/><Relationship Id="rId2760" Type="http://schemas.openxmlformats.org/officeDocument/2006/relationships/hyperlink" Target="https://fr.wikipedia.org/wiki/Spirulina" TargetMode="External"/><Relationship Id="rId3604" Type="http://schemas.openxmlformats.org/officeDocument/2006/relationships/hyperlink" Target="https://fr.wikipedia.org/wiki/Fumure" TargetMode="External"/><Relationship Id="rId3811" Type="http://schemas.openxmlformats.org/officeDocument/2006/relationships/hyperlink" Target="http://ideas.repec.org/a/eee/agiwat/v78y2005i1-2p108-121.html" TargetMode="External"/><Relationship Id="rId318" Type="http://schemas.openxmlformats.org/officeDocument/2006/relationships/image" Target="media/image147.jpeg"/><Relationship Id="rId525" Type="http://schemas.openxmlformats.org/officeDocument/2006/relationships/image" Target="media/image226.jpeg"/><Relationship Id="rId732" Type="http://schemas.openxmlformats.org/officeDocument/2006/relationships/image" Target="media/image318.jpeg"/><Relationship Id="rId1155" Type="http://schemas.openxmlformats.org/officeDocument/2006/relationships/hyperlink" Target="https://en.wikipedia.org/wiki/Buttress_root" TargetMode="External"/><Relationship Id="rId1362" Type="http://schemas.openxmlformats.org/officeDocument/2006/relationships/hyperlink" Target="http://www.gcrio.org/usiji/pdf/Mexico-3%203-04.pdf" TargetMode="External"/><Relationship Id="rId2206" Type="http://schemas.openxmlformats.org/officeDocument/2006/relationships/hyperlink" Target="https://en.wikipedia.org/wiki/Quinoa" TargetMode="External"/><Relationship Id="rId2413" Type="http://schemas.openxmlformats.org/officeDocument/2006/relationships/hyperlink" Target="http://fr.wikipedia.org/wiki/Bison_d'Am%C3%A9rique_du_nord" TargetMode="External"/><Relationship Id="rId2620" Type="http://schemas.openxmlformats.org/officeDocument/2006/relationships/hyperlink" Target="https://en.wikipedia.org/wiki/Pacific_Ocean" TargetMode="External"/><Relationship Id="rId1015" Type="http://schemas.openxmlformats.org/officeDocument/2006/relationships/hyperlink" Target="http://fr.wikipedia.org/wiki/Cocos_nucifera" TargetMode="External"/><Relationship Id="rId1222" Type="http://schemas.openxmlformats.org/officeDocument/2006/relationships/image" Target="media/image602.jpeg"/><Relationship Id="rId4378" Type="http://schemas.openxmlformats.org/officeDocument/2006/relationships/hyperlink" Target="http://www.hear.org/pier/species/pennisetum_clandestinum.htm" TargetMode="External"/><Relationship Id="rId3187" Type="http://schemas.openxmlformats.org/officeDocument/2006/relationships/hyperlink" Target="http://fr.wikipedia.org/wiki/Citerne" TargetMode="External"/><Relationship Id="rId3394" Type="http://schemas.openxmlformats.org/officeDocument/2006/relationships/hyperlink" Target="https://en.wikipedia.org/wiki/Nomadic_conflict" TargetMode="External"/><Relationship Id="rId4238" Type="http://schemas.openxmlformats.org/officeDocument/2006/relationships/hyperlink" Target="http://www.cabi.org/isc/datasheet/112596" TargetMode="External"/><Relationship Id="rId3047" Type="http://schemas.openxmlformats.org/officeDocument/2006/relationships/hyperlink" Target="http://en.wikipedia.org/wiki/Tamarinds" TargetMode="External"/><Relationship Id="rId4445" Type="http://schemas.openxmlformats.org/officeDocument/2006/relationships/hyperlink" Target="http://fr.wikipedia.org/wiki/Foss%C3%A9_(infrastructure)" TargetMode="External"/><Relationship Id="rId175" Type="http://schemas.openxmlformats.org/officeDocument/2006/relationships/hyperlink" Target="http://www.fao.org/docrep/u8480e/u8480e0b.htm" TargetMode="External"/><Relationship Id="rId3254" Type="http://schemas.openxmlformats.org/officeDocument/2006/relationships/image" Target="media/image1153.jpeg"/><Relationship Id="rId3461" Type="http://schemas.openxmlformats.org/officeDocument/2006/relationships/image" Target="media/image1296.jpeg"/><Relationship Id="rId4305" Type="http://schemas.openxmlformats.org/officeDocument/2006/relationships/hyperlink" Target="https://inpn.mnhn.fr/espece/cd_nom/125412" TargetMode="External"/><Relationship Id="rId4512" Type="http://schemas.openxmlformats.org/officeDocument/2006/relationships/image" Target="media/image1496.jpeg"/><Relationship Id="rId382" Type="http://schemas.openxmlformats.org/officeDocument/2006/relationships/hyperlink" Target="https://fr.wikipedia.org/wiki/Cultivar" TargetMode="External"/><Relationship Id="rId2063" Type="http://schemas.openxmlformats.org/officeDocument/2006/relationships/hyperlink" Target="https://fr.wikipedia.org/wiki/Famille_(biologie)" TargetMode="External"/><Relationship Id="rId2270" Type="http://schemas.openxmlformats.org/officeDocument/2006/relationships/hyperlink" Target="http://fr.wikipedia.org/wiki/Plante_herbac%C3%A9e" TargetMode="External"/><Relationship Id="rId3114" Type="http://schemas.openxmlformats.org/officeDocument/2006/relationships/image" Target="media/image1066.jpeg"/><Relationship Id="rId3321" Type="http://schemas.openxmlformats.org/officeDocument/2006/relationships/hyperlink" Target="http://fr.ekopedia.org/Eau" TargetMode="External"/><Relationship Id="rId242" Type="http://schemas.openxmlformats.org/officeDocument/2006/relationships/hyperlink" Target="http://fr.wikipedia.org/wiki/Arbuste" TargetMode="External"/><Relationship Id="rId2130" Type="http://schemas.openxmlformats.org/officeDocument/2006/relationships/image" Target="media/image824.jpeg"/><Relationship Id="rId102" Type="http://schemas.openxmlformats.org/officeDocument/2006/relationships/hyperlink" Target="https://fr.wikipedia.org/wiki/All%C3%A9lopathie" TargetMode="External"/><Relationship Id="rId1689" Type="http://schemas.openxmlformats.org/officeDocument/2006/relationships/hyperlink" Target="http://translate.googleusercontent.com/translate_c?depth=1&amp;hl=fr&amp;prev=search&amp;rurl=translate.google.fr&amp;sl=en&amp;u=http://en.wikipedia.org/wiki/List_of_plants_with_edible_leaves&amp;usg=ALkJrhiy6TM5b7TkheieoYrav5lJf7ePww" TargetMode="External"/><Relationship Id="rId4095" Type="http://schemas.openxmlformats.org/officeDocument/2006/relationships/hyperlink" Target="http://translate.googleusercontent.com/translate_c?depth=1&amp;hl=fr&amp;prev=/search?q%3Dprosopis%2Bjuliflora%26rlz%3D1C1GGGE_frFR479FR479%26es_sm%3D93&amp;rurl=translate.google.fr&amp;sl=en&amp;u=http://en.wikipedia.org/wiki/Groundwater&amp;usg=ALkJrhivafzhc7wQBU4y8wby_cIn2Lcq_g" TargetMode="External"/><Relationship Id="rId1896" Type="http://schemas.openxmlformats.org/officeDocument/2006/relationships/hyperlink" Target="https://fr.wikipedia.org/wiki/Sorgo_fourrager" TargetMode="External"/><Relationship Id="rId2947" Type="http://schemas.openxmlformats.org/officeDocument/2006/relationships/hyperlink" Target="http://fr.wikipedia.org/wiki/Afrique" TargetMode="External"/><Relationship Id="rId4162" Type="http://schemas.openxmlformats.org/officeDocument/2006/relationships/image" Target="media/image1430.jpeg"/><Relationship Id="rId919" Type="http://schemas.openxmlformats.org/officeDocument/2006/relationships/image" Target="media/image410.jpg"/><Relationship Id="rId1549" Type="http://schemas.openxmlformats.org/officeDocument/2006/relationships/hyperlink" Target="https://www.sciendo.com/article/10.1515/ahr-2016-0005" TargetMode="External"/><Relationship Id="rId1756" Type="http://schemas.openxmlformats.org/officeDocument/2006/relationships/hyperlink" Target="http://fr.wikipedia.org/wiki/Phytorem%C3%A9diation" TargetMode="External"/><Relationship Id="rId1963" Type="http://schemas.openxmlformats.org/officeDocument/2006/relationships/hyperlink" Target="https://fr.wikipedia.org/wiki/Lentille_cultiv%C3%A9e" TargetMode="External"/><Relationship Id="rId2807" Type="http://schemas.openxmlformats.org/officeDocument/2006/relationships/hyperlink" Target="http://fr.wikipedia.org/wiki/Salvadora_persica" TargetMode="External"/><Relationship Id="rId4022" Type="http://schemas.openxmlformats.org/officeDocument/2006/relationships/hyperlink" Target="http://en.wikipedia.org/wiki/Riparian" TargetMode="External"/><Relationship Id="rId48" Type="http://schemas.openxmlformats.org/officeDocument/2006/relationships/image" Target="media/image13.jpeg"/><Relationship Id="rId1409" Type="http://schemas.openxmlformats.org/officeDocument/2006/relationships/hyperlink" Target="http://www.bashanfoundation.org/gmaweb/pdfs/growth.pdf" TargetMode="External"/><Relationship Id="rId1616" Type="http://schemas.openxmlformats.org/officeDocument/2006/relationships/hyperlink" Target="http://translate.googleusercontent.com/translate_c?depth=1&amp;hl=fr&amp;prev=/search?q%3DDistichlis%2Bpalmeri%26biw%3D1440%26bih%3D732&amp;rurl=translate.google.fr&amp;sl=en&amp;u=http://en.wikipedia.org/wiki/Australia&amp;usg=ALkJrhj9FKWaZnapsXDHB6yuImhjXZPeBg" TargetMode="External"/><Relationship Id="rId1823" Type="http://schemas.openxmlformats.org/officeDocument/2006/relationships/hyperlink" Target="https://fr.wikipedia.org/wiki/Togo" TargetMode="External"/><Relationship Id="rId3788" Type="http://schemas.openxmlformats.org/officeDocument/2006/relationships/hyperlink" Target="http://ideas.repec.org/a/eee/agiwat/v90y2007i3p165-180.html" TargetMode="External"/><Relationship Id="rId3995" Type="http://schemas.openxmlformats.org/officeDocument/2006/relationships/hyperlink" Target="http://fr.wikipedia.org/wiki/Mascareignes" TargetMode="External"/><Relationship Id="rId2597" Type="http://schemas.openxmlformats.org/officeDocument/2006/relationships/hyperlink" Target="https://fr.wikipedia.org/wiki/Famille_(biologie)" TargetMode="External"/><Relationship Id="rId3648" Type="http://schemas.openxmlformats.org/officeDocument/2006/relationships/image" Target="media/image1338.jpg"/><Relationship Id="rId3855" Type="http://schemas.openxmlformats.org/officeDocument/2006/relationships/hyperlink" Target="http://www.ncbi.nlm.nih.gov/pubmed/23771136" TargetMode="External"/><Relationship Id="rId569" Type="http://schemas.openxmlformats.org/officeDocument/2006/relationships/hyperlink" Target="https://fr.wikipedia.org/wiki/Plante_grimpante" TargetMode="External"/><Relationship Id="rId776" Type="http://schemas.openxmlformats.org/officeDocument/2006/relationships/image" Target="media/image340.jpeg"/><Relationship Id="rId983" Type="http://schemas.openxmlformats.org/officeDocument/2006/relationships/image" Target="media/image439.jpeg"/><Relationship Id="rId1199" Type="http://schemas.openxmlformats.org/officeDocument/2006/relationships/image" Target="media/image584.jpeg"/><Relationship Id="rId2457" Type="http://schemas.openxmlformats.org/officeDocument/2006/relationships/hyperlink" Target="http://fr.wikipedia.org/wiki/Roseau" TargetMode="External"/><Relationship Id="rId2664" Type="http://schemas.openxmlformats.org/officeDocument/2006/relationships/hyperlink" Target="https://fr.wikipedia.org/wiki/Gracilariaceae" TargetMode="External"/><Relationship Id="rId3508" Type="http://schemas.openxmlformats.org/officeDocument/2006/relationships/image" Target="media/image1318.jpeg"/><Relationship Id="rId429" Type="http://schemas.openxmlformats.org/officeDocument/2006/relationships/image" Target="media/image181.jpeg"/><Relationship Id="rId636" Type="http://schemas.openxmlformats.org/officeDocument/2006/relationships/hyperlink" Target="https://fr.wikipedia.org/wiki/Callitris_preissii" TargetMode="External"/><Relationship Id="rId1059" Type="http://schemas.openxmlformats.org/officeDocument/2006/relationships/image" Target="media/image490.jpeg"/><Relationship Id="rId1266" Type="http://schemas.openxmlformats.org/officeDocument/2006/relationships/hyperlink" Target="http://en.wikipedia.org/wiki/Beans" TargetMode="External"/><Relationship Id="rId1473" Type="http://schemas.openxmlformats.org/officeDocument/2006/relationships/hyperlink" Target="http://fr.wikipedia.org/wiki/Asparagus_acutifolius" TargetMode="External"/><Relationship Id="rId2317" Type="http://schemas.openxmlformats.org/officeDocument/2006/relationships/hyperlink" Target="http://fr.wikipedia.org/wiki/Sol_(p%C3%A9dologie)" TargetMode="External"/><Relationship Id="rId2871" Type="http://schemas.openxmlformats.org/officeDocument/2006/relationships/hyperlink" Target="http://translate.googleusercontent.com/translate_c?depth=1&amp;hl=fr&amp;prev=search&amp;rurl=translate.google.fr&amp;sl=en&amp;u=http://en.wikipedia.org/wiki/Fragrance&amp;usg=ALkJrhjAGqcuY76bIb9dEeNEtkdazJ1Saw" TargetMode="External"/><Relationship Id="rId3715" Type="http://schemas.openxmlformats.org/officeDocument/2006/relationships/hyperlink" Target="https://fr.wikipedia.org/wiki/Recul_des_glaciers_depuis_1850" TargetMode="External"/><Relationship Id="rId3922" Type="http://schemas.openxmlformats.org/officeDocument/2006/relationships/hyperlink" Target="http://www.issg.org/database/species/ecology.asp?si=1613&amp;fr=1&amp;sts=&amp;lang=EN" TargetMode="External"/><Relationship Id="rId843" Type="http://schemas.openxmlformats.org/officeDocument/2006/relationships/hyperlink" Target="http://translate.googleusercontent.com/translate_c?depth=1&amp;hl=fr&amp;prev=/search?q=Salsola+vermiculata&amp;biw=1440&amp;bih=732&amp;rurl=translate.google.fr&amp;sl=es&amp;u=http://es.wikipedia.org/wiki/H%C3%A1bitat&amp;usg=ALkJrhjY6-zb-4m5DxabRRMdQtA3Bog9oA" TargetMode="External"/><Relationship Id="rId1126" Type="http://schemas.openxmlformats.org/officeDocument/2006/relationships/hyperlink" Target="https://fr.wikipedia.org/wiki/Pal%C3%A9tuvier" TargetMode="External"/><Relationship Id="rId1680" Type="http://schemas.openxmlformats.org/officeDocument/2006/relationships/hyperlink" Target="http://www.agr.gc.ca/fra/science-et-innovation/centres-de-recherche/saskatchewan/centre-de-recherches-de-saskatoon/personnel-et-expertise-scientifiques/dumonceaux-tim-phd/?id=1257433480717" TargetMode="External"/><Relationship Id="rId2524" Type="http://schemas.openxmlformats.org/officeDocument/2006/relationships/hyperlink" Target="https://fr.wikipedia.org/wiki/Melon_(plante)" TargetMode="External"/><Relationship Id="rId2731" Type="http://schemas.openxmlformats.org/officeDocument/2006/relationships/hyperlink" Target="https://fr.wikipedia.org/wiki/Spiruline_alimentaire" TargetMode="External"/><Relationship Id="rId703" Type="http://schemas.openxmlformats.org/officeDocument/2006/relationships/image" Target="media/image303.jpeg"/><Relationship Id="rId910" Type="http://schemas.openxmlformats.org/officeDocument/2006/relationships/image" Target="media/image403.jpeg"/><Relationship Id="rId1333" Type="http://schemas.openxmlformats.org/officeDocument/2006/relationships/hyperlink" Target="http://www.gcrio.org/usiji/pdf/Mexico-3%203-04.pdf" TargetMode="External"/><Relationship Id="rId1540" Type="http://schemas.openxmlformats.org/officeDocument/2006/relationships/hyperlink" Target="https://en.wikipedia.org/wiki/Frozen_food" TargetMode="External"/><Relationship Id="rId4489" Type="http://schemas.openxmlformats.org/officeDocument/2006/relationships/hyperlink" Target="http://fr.wikipedia.org/wiki/Flore" TargetMode="External"/><Relationship Id="rId1400" Type="http://schemas.openxmlformats.org/officeDocument/2006/relationships/hyperlink" Target="http://en.wikipedia.org/wiki/Eritrea" TargetMode="External"/><Relationship Id="rId3298" Type="http://schemas.openxmlformats.org/officeDocument/2006/relationships/hyperlink" Target="http://www.sswm.info/glossary/2/letterm" TargetMode="External"/><Relationship Id="rId4349" Type="http://schemas.openxmlformats.org/officeDocument/2006/relationships/hyperlink" Target="http://www.transition-energie.com/senegal-du-charbon-vert-a-partir-dun-roseau/" TargetMode="External"/><Relationship Id="rId4556" Type="http://schemas.openxmlformats.org/officeDocument/2006/relationships/hyperlink" Target="http://benjamin.lisan.free.fr/projetsreforestation/menuReforestation.htm" TargetMode="External"/><Relationship Id="rId3158" Type="http://schemas.openxmlformats.org/officeDocument/2006/relationships/hyperlink" Target="http://fr.wikipedia.org/wiki/Ravin" TargetMode="External"/><Relationship Id="rId3365" Type="http://schemas.openxmlformats.org/officeDocument/2006/relationships/image" Target="media/image1226.jpeg"/><Relationship Id="rId3572" Type="http://schemas.openxmlformats.org/officeDocument/2006/relationships/hyperlink" Target="https://fr.wikipedia.org/wiki/Balanites_aegyptiaca" TargetMode="External"/><Relationship Id="rId4209" Type="http://schemas.openxmlformats.org/officeDocument/2006/relationships/hyperlink" Target="http://www.cabi.org/isc/datasheet/112588" TargetMode="External"/><Relationship Id="rId4416" Type="http://schemas.openxmlformats.org/officeDocument/2006/relationships/hyperlink" Target="http://fr.wiktionary.org/wiki/tombant" TargetMode="External"/><Relationship Id="rId286" Type="http://schemas.openxmlformats.org/officeDocument/2006/relationships/image" Target="media/image128.jpeg"/><Relationship Id="rId493" Type="http://schemas.openxmlformats.org/officeDocument/2006/relationships/hyperlink" Target="http://fr.wikipedia.org/wiki/Olivier" TargetMode="External"/><Relationship Id="rId2174" Type="http://schemas.openxmlformats.org/officeDocument/2006/relationships/hyperlink" Target="https://fr.wikipedia.org/wiki/Graine" TargetMode="External"/><Relationship Id="rId2381" Type="http://schemas.openxmlformats.org/officeDocument/2006/relationships/hyperlink" Target="http://translate.googleusercontent.com/translate_c?depth=1&amp;hl=fr&amp;prev=/search?q%3DChrysopogon%2Bnigritanus%26biw%3D1440%26bih%3D732&amp;rurl=translate.google.fr&amp;sl=en&amp;u=http://en.wikipedia.org/wiki/Nigeria&amp;usg=ALkJrhhtOb5nNkysatfMb9bUiOvH-WoAzw" TargetMode="External"/><Relationship Id="rId3018" Type="http://schemas.openxmlformats.org/officeDocument/2006/relationships/hyperlink" Target="http://fr.wikipedia.org/wiki/Lombalgie" TargetMode="External"/><Relationship Id="rId3225" Type="http://schemas.openxmlformats.org/officeDocument/2006/relationships/image" Target="media/image1138.jpeg"/><Relationship Id="rId3432" Type="http://schemas.openxmlformats.org/officeDocument/2006/relationships/image" Target="media/image1268.jpeg"/><Relationship Id="rId146" Type="http://schemas.openxmlformats.org/officeDocument/2006/relationships/image" Target="media/image53.jpg"/><Relationship Id="rId353" Type="http://schemas.openxmlformats.org/officeDocument/2006/relationships/hyperlink" Target="http://translate.googleusercontent.com/translate_c?depth=1&amp;hl=fr&amp;prev=/search?q%3DPunica%2Bgranatum%2Bwikipedia%26biw%3D1440%26bih%3D732&amp;rurl=translate.google.fr&amp;sl=en&amp;u=http://en.wikipedia.org/wiki/Sepal&amp;usg=ALkJrhgX01ACXjVPSoMjoo7jC5g0kyQhMg" TargetMode="External"/><Relationship Id="rId560" Type="http://schemas.openxmlformats.org/officeDocument/2006/relationships/hyperlink" Target="https://fr.wikipedia.org/wiki/Saba_comorensis" TargetMode="External"/><Relationship Id="rId1190" Type="http://schemas.openxmlformats.org/officeDocument/2006/relationships/image" Target="media/image578.jpeg"/><Relationship Id="rId2034" Type="http://schemas.openxmlformats.org/officeDocument/2006/relationships/hyperlink" Target="https://fr.wikipedia.org/wiki/Vigna_unguiculata_subsp._sesquipedalis" TargetMode="External"/><Relationship Id="rId2241" Type="http://schemas.openxmlformats.org/officeDocument/2006/relationships/hyperlink" Target="https://fr.wikipedia.org/wiki/Sessilit%C3%A9_(botanique)" TargetMode="External"/><Relationship Id="rId213" Type="http://schemas.openxmlformats.org/officeDocument/2006/relationships/image" Target="media/image100.jpeg"/><Relationship Id="rId420" Type="http://schemas.openxmlformats.org/officeDocument/2006/relationships/hyperlink" Target="https://fr.wikipedia.org/wiki/Vigne_sauvage" TargetMode="External"/><Relationship Id="rId1050" Type="http://schemas.openxmlformats.org/officeDocument/2006/relationships/image" Target="media/image483.jpeg"/><Relationship Id="rId2101" Type="http://schemas.openxmlformats.org/officeDocument/2006/relationships/hyperlink" Target="https://en.wikipedia.org/wiki/Peanut_milk" TargetMode="External"/><Relationship Id="rId4066" Type="http://schemas.openxmlformats.org/officeDocument/2006/relationships/hyperlink" Target="https://fr.wikipedia.org/w/index.php?title=Mimosestes_ulkei&amp;action=edit&amp;redlink=1" TargetMode="External"/><Relationship Id="rId1867" Type="http://schemas.openxmlformats.org/officeDocument/2006/relationships/hyperlink" Target="https://fr.wikipedia.org/wiki/Plante_herbac%C3%A9e" TargetMode="External"/><Relationship Id="rId2918" Type="http://schemas.openxmlformats.org/officeDocument/2006/relationships/hyperlink" Target="http://translate.googleusercontent.com/translate_c?depth=1&amp;hl=fr&amp;prev=search&amp;rurl=translate.google.fr&amp;sl=en&amp;u=http://en.wikipedia.org/wiki/Sahel&amp;usg=ALkJrhjCcuI5N64F7uSHDdEkTU4qBvOlIw" TargetMode="External"/><Relationship Id="rId4273" Type="http://schemas.openxmlformats.org/officeDocument/2006/relationships/hyperlink" Target="http://www.cabi.org/isc/datasheet/52503" TargetMode="External"/><Relationship Id="rId4480" Type="http://schemas.openxmlformats.org/officeDocument/2006/relationships/hyperlink" Target="http://links.learnymail.fr/c/i5_/oSER/8pDZdCsRKbu3BhqlRE-Hg3/cQc/EdHR/F/374448f4" TargetMode="External"/><Relationship Id="rId1727" Type="http://schemas.openxmlformats.org/officeDocument/2006/relationships/image" Target="media/image731.jpg"/><Relationship Id="rId1934" Type="http://schemas.openxmlformats.org/officeDocument/2006/relationships/hyperlink" Target="https://en.wikipedia.org/wiki/Temperate_climate" TargetMode="External"/><Relationship Id="rId3082" Type="http://schemas.openxmlformats.org/officeDocument/2006/relationships/image" Target="media/image1035.png"/><Relationship Id="rId4133" Type="http://schemas.openxmlformats.org/officeDocument/2006/relationships/hyperlink" Target="http://fr.wikipedia.org/wiki/Vitamine" TargetMode="External"/><Relationship Id="rId4340" Type="http://schemas.openxmlformats.org/officeDocument/2006/relationships/hyperlink" Target="https://en.wikipedia.org/wiki/Mangroves" TargetMode="External"/><Relationship Id="rId19" Type="http://schemas.openxmlformats.org/officeDocument/2006/relationships/hyperlink" Target="https://fr.wikipedia.org/wiki/Zoologie" TargetMode="External"/><Relationship Id="rId3899" Type="http://schemas.openxmlformats.org/officeDocument/2006/relationships/hyperlink" Target="http://www.flowersway.com/article/systeme-d-irrigation-les-khettaras-1443" TargetMode="External"/><Relationship Id="rId4200" Type="http://schemas.openxmlformats.org/officeDocument/2006/relationships/hyperlink" Target="http://www.cabi.org/isc/datasheet/112585" TargetMode="External"/><Relationship Id="rId3759" Type="http://schemas.openxmlformats.org/officeDocument/2006/relationships/hyperlink" Target="http://www.miracosta.edu/home/kmeldahl/articles/crops.pdf" TargetMode="External"/><Relationship Id="rId3966" Type="http://schemas.openxmlformats.org/officeDocument/2006/relationships/image" Target="media/image1371.jpeg"/><Relationship Id="rId3" Type="http://schemas.openxmlformats.org/officeDocument/2006/relationships/styles" Target="styles.xml"/><Relationship Id="rId235" Type="http://schemas.openxmlformats.org/officeDocument/2006/relationships/image" Target="media/image111.jpg"/><Relationship Id="rId442" Type="http://schemas.openxmlformats.org/officeDocument/2006/relationships/hyperlink" Target="http://bft.revuesonline.com/gratuit/BFT64_304_5BellefonMonte304.pdf" TargetMode="External"/><Relationship Id="rId887" Type="http://schemas.openxmlformats.org/officeDocument/2006/relationships/hyperlink" Target="https://en.wikipedia.org/wiki/Nitraria_retusa" TargetMode="External"/><Relationship Id="rId1072" Type="http://schemas.openxmlformats.org/officeDocument/2006/relationships/image" Target="media/image500.jpeg"/><Relationship Id="rId2123" Type="http://schemas.openxmlformats.org/officeDocument/2006/relationships/image" Target="media/image820.jpeg"/><Relationship Id="rId2330" Type="http://schemas.openxmlformats.org/officeDocument/2006/relationships/image" Target="media/image868.jpeg"/><Relationship Id="rId2568" Type="http://schemas.openxmlformats.org/officeDocument/2006/relationships/hyperlink" Target="https://fr.wikipedia.org/wiki/Algues" TargetMode="External"/><Relationship Id="rId2775" Type="http://schemas.openxmlformats.org/officeDocument/2006/relationships/hyperlink" Target="https://fr.wikipedia.org/wiki/Principe_de_pr%C3%A9caution" TargetMode="External"/><Relationship Id="rId2982" Type="http://schemas.openxmlformats.org/officeDocument/2006/relationships/hyperlink" Target="http://pl.wikipedia.org/wiki/Boswellia_serrata" TargetMode="External"/><Relationship Id="rId3619" Type="http://schemas.openxmlformats.org/officeDocument/2006/relationships/hyperlink" Target="https://fr.wikipedia.org/wiki/%C3%89rosion" TargetMode="External"/><Relationship Id="rId3826" Type="http://schemas.openxmlformats.org/officeDocument/2006/relationships/hyperlink" Target="http://ideas.repec.org/a/eee/agiwat/v123y2013icp1-11.html" TargetMode="External"/><Relationship Id="rId302" Type="http://schemas.openxmlformats.org/officeDocument/2006/relationships/image" Target="media/image136.jpeg"/><Relationship Id="rId747" Type="http://schemas.openxmlformats.org/officeDocument/2006/relationships/image" Target="media/image325.jpeg"/><Relationship Id="rId954" Type="http://schemas.openxmlformats.org/officeDocument/2006/relationships/image" Target="media/image422.jpeg"/><Relationship Id="rId1377" Type="http://schemas.openxmlformats.org/officeDocument/2006/relationships/hyperlink" Target="http://articles.latimes.com/2008/jul/10/business/fi-seafarm10" TargetMode="External"/><Relationship Id="rId1584" Type="http://schemas.openxmlformats.org/officeDocument/2006/relationships/hyperlink" Target="http://fr.wikipedia.org/wiki/Afrique_du_Nord" TargetMode="External"/><Relationship Id="rId1791" Type="http://schemas.openxmlformats.org/officeDocument/2006/relationships/hyperlink" Target="https://fr.wikipedia.org/wiki/Asie" TargetMode="External"/><Relationship Id="rId2428" Type="http://schemas.openxmlformats.org/officeDocument/2006/relationships/hyperlink" Target="http://translate.googleusercontent.com/translate_c?anno=2&amp;depth=1&amp;hl=fr&amp;rurl=translate.google.fr&amp;sl=en&amp;tl=fr&amp;u=http://link.springer.com/journal/12155&amp;usg=ALkJrhhtFu7cEphxsaj9dAfMXN7j4M8vxA" TargetMode="External"/><Relationship Id="rId2635" Type="http://schemas.openxmlformats.org/officeDocument/2006/relationships/hyperlink" Target="http://www.fao.org/fishery/species/2790/en" TargetMode="External"/><Relationship Id="rId2842" Type="http://schemas.openxmlformats.org/officeDocument/2006/relationships/hyperlink" Target="http://fr.wikipedia.org/wiki/Myrrhe" TargetMode="External"/><Relationship Id="rId4088" Type="http://schemas.openxmlformats.org/officeDocument/2006/relationships/hyperlink" Target="http://translate.googleusercontent.com/translate_c?depth=1&amp;hl=fr&amp;prev=/search?q%3Dprosopis%2Bjuliflora%26rlz%3D1C1GGGE_frFR479FR479%26es_sm%3D93&amp;rurl=translate.google.fr&amp;sl=en&amp;u=http://en.wikipedia.org/wiki/Legume&amp;usg=ALkJrhgFewLR4f8OQccwyC-CvJw1Aef96Q" TargetMode="External"/><Relationship Id="rId4295" Type="http://schemas.openxmlformats.org/officeDocument/2006/relationships/hyperlink" Target="https://en.wikipedia.org/wiki/Tamarix_aphylla" TargetMode="External"/><Relationship Id="rId83" Type="http://schemas.openxmlformats.org/officeDocument/2006/relationships/hyperlink" Target="https://fr.wikipedia.org/wiki/%C3%89levage" TargetMode="External"/><Relationship Id="rId607" Type="http://schemas.openxmlformats.org/officeDocument/2006/relationships/image" Target="media/image257.jpeg"/><Relationship Id="rId814" Type="http://schemas.openxmlformats.org/officeDocument/2006/relationships/hyperlink" Target="http://fr.wikipedia.org/wiki/Atriplex_halimus" TargetMode="External"/><Relationship Id="rId1237" Type="http://schemas.openxmlformats.org/officeDocument/2006/relationships/image" Target="media/image617.jpeg"/><Relationship Id="rId1444" Type="http://schemas.openxmlformats.org/officeDocument/2006/relationships/hyperlink" Target="https://fr.wikipedia.org/wiki/Zost%C3%A8re_marine" TargetMode="External"/><Relationship Id="rId1651" Type="http://schemas.openxmlformats.org/officeDocument/2006/relationships/image" Target="media/image704.jpeg"/><Relationship Id="rId1889" Type="http://schemas.openxmlformats.org/officeDocument/2006/relationships/hyperlink" Target="https://fr.wikipedia.org/wiki/Dioxyde_de_silicium" TargetMode="External"/><Relationship Id="rId2702" Type="http://schemas.openxmlformats.org/officeDocument/2006/relationships/hyperlink" Target="https://fr.wikipedia.org/wiki/Mer_Baltique" TargetMode="External"/><Relationship Id="rId4155" Type="http://schemas.openxmlformats.org/officeDocument/2006/relationships/hyperlink" Target="http://translate.googleusercontent.com/translate_c?depth=1&amp;hl=fr&amp;prev=/search?q%3DProsopis%2Bpallida%26biw%3D1440%26bih%3D732&amp;rurl=translate.google.fr&amp;sl=en&amp;u=http://en.wikipedia.org/wiki/Bee&amp;usg=ALkJrhhSj1KTkBzoYIW1-v-7Ed-3rrd8uw" TargetMode="External"/><Relationship Id="rId4362" Type="http://schemas.openxmlformats.org/officeDocument/2006/relationships/hyperlink" Target="http://translate.googleusercontent.com/translate_c?depth=1&amp;hl=fr&amp;prev=/search?q%3Dkikuyu%2Bgrass%26biw%3D1440%26bih%3D775&amp;rurl=translate.google.fr&amp;sl=en&amp;u=http://en.wikipedia.org/wiki/Noxious_weed&amp;usg=ALkJrhgnhj29uXOeXTah4TlVQzaJ_2mxlw" TargetMode="External"/><Relationship Id="rId1304" Type="http://schemas.openxmlformats.org/officeDocument/2006/relationships/hyperlink" Target="https://fr.wikipedia.org/wiki/Salicorne_d%27Europe" TargetMode="External"/><Relationship Id="rId1511" Type="http://schemas.openxmlformats.org/officeDocument/2006/relationships/hyperlink" Target="https://fr.wikipedia.org/wiki/Plante" TargetMode="External"/><Relationship Id="rId1749" Type="http://schemas.openxmlformats.org/officeDocument/2006/relationships/hyperlink" Target="http://fr.wikipedia.org/wiki/Huile" TargetMode="External"/><Relationship Id="rId1956" Type="http://schemas.openxmlformats.org/officeDocument/2006/relationships/hyperlink" Target="https://en.wikipedia.org/wiki/Uromyces_fabae" TargetMode="External"/><Relationship Id="rId3171" Type="http://schemas.openxmlformats.org/officeDocument/2006/relationships/image" Target="media/image1090.jpeg"/><Relationship Id="rId4015" Type="http://schemas.openxmlformats.org/officeDocument/2006/relationships/image" Target="media/image1388.jpeg"/><Relationship Id="rId1609" Type="http://schemas.openxmlformats.org/officeDocument/2006/relationships/image" Target="media/image692.jpeg"/><Relationship Id="rId1816" Type="http://schemas.openxmlformats.org/officeDocument/2006/relationships/hyperlink" Target="https://fr.wikipedia.org/wiki/Nigeria" TargetMode="External"/><Relationship Id="rId3269" Type="http://schemas.openxmlformats.org/officeDocument/2006/relationships/hyperlink" Target="https://en.wikipedia.org/wiki/Irrigation" TargetMode="External"/><Relationship Id="rId3476" Type="http://schemas.openxmlformats.org/officeDocument/2006/relationships/hyperlink" Target="http://fr.wikipedia.org/wiki/Viticulture" TargetMode="External"/><Relationship Id="rId3683" Type="http://schemas.openxmlformats.org/officeDocument/2006/relationships/hyperlink" Target="https://fr.wikipedia.org/wiki/C%C3%B4te_d%27Ivoire" TargetMode="External"/><Relationship Id="rId4222" Type="http://schemas.openxmlformats.org/officeDocument/2006/relationships/hyperlink" Target="http://www.cabi.org/isc/datasheet/112592" TargetMode="External"/><Relationship Id="rId4527" Type="http://schemas.openxmlformats.org/officeDocument/2006/relationships/hyperlink" Target="http://www.invadingspecies.com/invaders/" TargetMode="External"/><Relationship Id="rId10" Type="http://schemas.openxmlformats.org/officeDocument/2006/relationships/image" Target="media/image2.jpg"/><Relationship Id="rId397" Type="http://schemas.openxmlformats.org/officeDocument/2006/relationships/hyperlink" Target="https://fr.wikipedia.org/wiki/Nervure_(feuille)" TargetMode="External"/><Relationship Id="rId2078" Type="http://schemas.openxmlformats.org/officeDocument/2006/relationships/hyperlink" Target="https://fr.wikipedia.org/wiki/Sorgho_commun" TargetMode="External"/><Relationship Id="rId2285" Type="http://schemas.openxmlformats.org/officeDocument/2006/relationships/image" Target="media/image862.jpeg"/><Relationship Id="rId2492" Type="http://schemas.openxmlformats.org/officeDocument/2006/relationships/hyperlink" Target="https://fr.wikipedia.org/wiki/Espagne" TargetMode="External"/><Relationship Id="rId3031" Type="http://schemas.openxmlformats.org/officeDocument/2006/relationships/image" Target="media/image1009.jpeg"/><Relationship Id="rId3129" Type="http://schemas.openxmlformats.org/officeDocument/2006/relationships/hyperlink" Target="http://www.ecotippingpoints.org/our-stories/indepth/india-rajasthan-rainwater-harvest-restoration-groundwater-johad.html" TargetMode="External"/><Relationship Id="rId3336" Type="http://schemas.openxmlformats.org/officeDocument/2006/relationships/hyperlink" Target="http://www.agrireseau.qc.ca/agroenvironnement/documents/Salinisation_irrigation.pdf" TargetMode="External"/><Relationship Id="rId3890" Type="http://schemas.openxmlformats.org/officeDocument/2006/relationships/hyperlink" Target="https://www.u-picardie.fr/beauchamp/duee/gauvin/gauvin.htm" TargetMode="External"/><Relationship Id="rId3988" Type="http://schemas.openxmlformats.org/officeDocument/2006/relationships/image" Target="media/image1380.jpeg"/><Relationship Id="rId257" Type="http://schemas.openxmlformats.org/officeDocument/2006/relationships/hyperlink" Target="http://www.hear.org/pier/species/ziziphus_jujuba.htm" TargetMode="External"/><Relationship Id="rId464" Type="http://schemas.openxmlformats.org/officeDocument/2006/relationships/image" Target="media/image195.jpeg"/><Relationship Id="rId1094" Type="http://schemas.openxmlformats.org/officeDocument/2006/relationships/hyperlink" Target="http://translate.googleusercontent.com/translate_c?depth=1&amp;hl=fr&amp;prev=search&amp;rurl=translate.google.fr&amp;sl=en&amp;u=http://en.wikipedia.org/wiki/Rhizophora_mangle&amp;usg=ALkJrhjjHawaqcPDS4n6Se5aqc5RpP4sMw" TargetMode="External"/><Relationship Id="rId2145" Type="http://schemas.openxmlformats.org/officeDocument/2006/relationships/image" Target="media/image826.jpeg"/><Relationship Id="rId2797" Type="http://schemas.openxmlformats.org/officeDocument/2006/relationships/image" Target="media/image963.jpeg"/><Relationship Id="rId3543" Type="http://schemas.openxmlformats.org/officeDocument/2006/relationships/hyperlink" Target="https://fr.wikipedia.org/wiki/S%C3%A9n%C3%A9gal" TargetMode="External"/><Relationship Id="rId3750" Type="http://schemas.openxmlformats.org/officeDocument/2006/relationships/hyperlink" Target="http://dx.doi.org/10.1080/07352689991309207" TargetMode="External"/><Relationship Id="rId3848" Type="http://schemas.openxmlformats.org/officeDocument/2006/relationships/hyperlink" Target="http://www.ncbi.nlm.nih.gov/pubmed?term=Malosetti%20M%5bAuthor%5d&amp;cauthor=true&amp;cauthor_uid=23771136" TargetMode="External"/><Relationship Id="rId117" Type="http://schemas.openxmlformats.org/officeDocument/2006/relationships/hyperlink" Target="https://en.wikipedia.org/wiki/Diagnosis" TargetMode="External"/><Relationship Id="rId671" Type="http://schemas.openxmlformats.org/officeDocument/2006/relationships/image" Target="media/image286.jpeg"/><Relationship Id="rId769" Type="http://schemas.openxmlformats.org/officeDocument/2006/relationships/image" Target="media/image337.jpeg"/><Relationship Id="rId976" Type="http://schemas.openxmlformats.org/officeDocument/2006/relationships/image" Target="media/image432.jpeg"/><Relationship Id="rId1399" Type="http://schemas.openxmlformats.org/officeDocument/2006/relationships/hyperlink" Target="http://en.wikipedia.org/wiki/Aquaculture" TargetMode="External"/><Relationship Id="rId2352" Type="http://schemas.openxmlformats.org/officeDocument/2006/relationships/image" Target="media/image877.jpeg"/><Relationship Id="rId2657" Type="http://schemas.openxmlformats.org/officeDocument/2006/relationships/image" Target="media/image939.jpeg"/><Relationship Id="rId3403" Type="http://schemas.openxmlformats.org/officeDocument/2006/relationships/image" Target="media/image1257.jpeg"/><Relationship Id="rId3610" Type="http://schemas.openxmlformats.org/officeDocument/2006/relationships/hyperlink" Target="https://fr.wikipedia.org/wiki/Reforestation" TargetMode="External"/><Relationship Id="rId324" Type="http://schemas.openxmlformats.org/officeDocument/2006/relationships/hyperlink" Target="http://en.wikipedia.org/wiki/Pistacia_lentiscus" TargetMode="External"/><Relationship Id="rId531" Type="http://schemas.openxmlformats.org/officeDocument/2006/relationships/hyperlink" Target="http://fr.wikipedia.org/wiki/Ficus_carica" TargetMode="External"/><Relationship Id="rId629" Type="http://schemas.openxmlformats.org/officeDocument/2006/relationships/image" Target="media/image268.jpeg"/><Relationship Id="rId1161" Type="http://schemas.openxmlformats.org/officeDocument/2006/relationships/image" Target="media/image561.jpeg"/><Relationship Id="rId1259" Type="http://schemas.openxmlformats.org/officeDocument/2006/relationships/image" Target="media/image639.jpg"/><Relationship Id="rId1466" Type="http://schemas.openxmlformats.org/officeDocument/2006/relationships/hyperlink" Target="http://en.wikipedia.org/wiki/Asparagus" TargetMode="External"/><Relationship Id="rId2005" Type="http://schemas.openxmlformats.org/officeDocument/2006/relationships/hyperlink" Target="https://en.wikipedia.org/wiki/Philippines" TargetMode="External"/><Relationship Id="rId2212" Type="http://schemas.openxmlformats.org/officeDocument/2006/relationships/hyperlink" Target="https://en.wikipedia.org/wiki/Bolivia" TargetMode="External"/><Relationship Id="rId2864" Type="http://schemas.openxmlformats.org/officeDocument/2006/relationships/hyperlink" Target="http://fr.wikipedia.org/wiki/Arbre_%C3%A0_myrrhe" TargetMode="External"/><Relationship Id="rId3708" Type="http://schemas.openxmlformats.org/officeDocument/2006/relationships/hyperlink" Target="https://twitter.com/Aufildubosphore/status/1414127206322876416" TargetMode="External"/><Relationship Id="rId3915" Type="http://schemas.openxmlformats.org/officeDocument/2006/relationships/hyperlink" Target="https://www.youtube.com/watch?v=K1rKDXuZ8C0" TargetMode="External"/><Relationship Id="rId836" Type="http://schemas.openxmlformats.org/officeDocument/2006/relationships/image" Target="media/image380.jpeg"/><Relationship Id="rId1021" Type="http://schemas.openxmlformats.org/officeDocument/2006/relationships/image" Target="media/image467.jpeg"/><Relationship Id="rId1119" Type="http://schemas.openxmlformats.org/officeDocument/2006/relationships/image" Target="media/image540.jpeg"/><Relationship Id="rId1673" Type="http://schemas.openxmlformats.org/officeDocument/2006/relationships/hyperlink" Target="http://translate.googleusercontent.com/translate_c?depth=1&amp;hl=fr&amp;prev=/search?q%3DBrassica%2Bcarinata%26biw%3D1440%26bih%3D775&amp;rurl=translate.google.fr&amp;sl=en&amp;u=http://en.wikipedia.org/wiki/Brassica_napus&amp;usg=ALkJrhg7QHGvRR0do8eCegwa46LGDdydeQ" TargetMode="External"/><Relationship Id="rId1880" Type="http://schemas.openxmlformats.org/officeDocument/2006/relationships/hyperlink" Target="https://fr.wikipedia.org/wiki/Betterave_sucri%C3%A8re" TargetMode="External"/><Relationship Id="rId1978" Type="http://schemas.openxmlformats.org/officeDocument/2006/relationships/hyperlink" Target="https://fr.wikipedia.org/wiki/Haricot" TargetMode="External"/><Relationship Id="rId2517" Type="http://schemas.openxmlformats.org/officeDocument/2006/relationships/hyperlink" Target="https://www.mdpi.com/2223-7747/9/9/1069/htm" TargetMode="External"/><Relationship Id="rId2724" Type="http://schemas.openxmlformats.org/officeDocument/2006/relationships/image" Target="media/image951.jpeg"/><Relationship Id="rId2931" Type="http://schemas.openxmlformats.org/officeDocument/2006/relationships/hyperlink" Target="http://translate.googleusercontent.com/translate_c?depth=1&amp;hl=fr&amp;prev=search&amp;rurl=translate.google.fr&amp;sl=en&amp;u=http://en.wikipedia.org/wiki/Ethanol&amp;usg=ALkJrhgV-BMB4A0u-nPBRCAIGcJXN48cOQ" TargetMode="External"/><Relationship Id="rId4177" Type="http://schemas.openxmlformats.org/officeDocument/2006/relationships/hyperlink" Target="http://www.cabi.org/isc/datasheet/112576" TargetMode="External"/><Relationship Id="rId4384" Type="http://schemas.openxmlformats.org/officeDocument/2006/relationships/image" Target="media/image1468.jpeg"/><Relationship Id="rId903" Type="http://schemas.openxmlformats.org/officeDocument/2006/relationships/image" Target="media/image398.jpeg"/><Relationship Id="rId1326" Type="http://schemas.openxmlformats.org/officeDocument/2006/relationships/hyperlink" Target="http://www.miracosta.edu/home/kmeldahl/articles/crops.pdf" TargetMode="External"/><Relationship Id="rId1533" Type="http://schemas.openxmlformats.org/officeDocument/2006/relationships/hyperlink" Target="https://fr.wikipedia.org/wiki/Am%C3%A9rique" TargetMode="External"/><Relationship Id="rId1740" Type="http://schemas.openxmlformats.org/officeDocument/2006/relationships/image" Target="media/image744.jpg"/><Relationship Id="rId3193" Type="http://schemas.openxmlformats.org/officeDocument/2006/relationships/image" Target="media/image1109.jpeg"/><Relationship Id="rId4037" Type="http://schemas.openxmlformats.org/officeDocument/2006/relationships/hyperlink" Target="https://translate.googleusercontent.com/translate_c?depth=1&amp;hl=fr&amp;prev=search&amp;rurl=translate.google.fr&amp;sl=en&amp;u=https://en.wikipedia.org/wiki/Ants&amp;usg=ALkJrhh1VyFjAx5xcRHeoVMIjzAU0-271A" TargetMode="External"/><Relationship Id="rId4244" Type="http://schemas.openxmlformats.org/officeDocument/2006/relationships/hyperlink" Target="http://www.cabi.org/isc/datasheet/112597" TargetMode="External"/><Relationship Id="rId4451" Type="http://schemas.openxmlformats.org/officeDocument/2006/relationships/hyperlink" Target="http://fr.wikipedia.org/wiki/Barrage" TargetMode="External"/><Relationship Id="rId32" Type="http://schemas.openxmlformats.org/officeDocument/2006/relationships/hyperlink" Target="https://fr.wikipedia.org/wiki/Sumatra" TargetMode="External"/><Relationship Id="rId1600" Type="http://schemas.openxmlformats.org/officeDocument/2006/relationships/hyperlink" Target="http://translate.googleusercontent.com/translate_c?depth=1&amp;hl=fr&amp;prev=/search?q%3Dhordeum%2Bvulgare%2Bwikipedia%26biw%3D1440%26bih%3D732&amp;rurl=translate.google.fr&amp;sl=en&amp;u=http://en.wikipedia.org/wiki/Fertile_Crescent&amp;usg=ALkJrhgqQRyzNbc1oBAcL_Vk4TbCrOW4ew" TargetMode="External"/><Relationship Id="rId1838" Type="http://schemas.openxmlformats.org/officeDocument/2006/relationships/image" Target="media/image761.jpeg"/><Relationship Id="rId3053" Type="http://schemas.openxmlformats.org/officeDocument/2006/relationships/hyperlink" Target="http://en.wikipedia.org/wiki/Carobs" TargetMode="External"/><Relationship Id="rId3260" Type="http://schemas.openxmlformats.org/officeDocument/2006/relationships/hyperlink" Target="https://en.wikipedia.org/wiki/Rio_Vista,_California" TargetMode="External"/><Relationship Id="rId3498" Type="http://schemas.openxmlformats.org/officeDocument/2006/relationships/image" Target="media/image1310.jpeg"/><Relationship Id="rId4104" Type="http://schemas.openxmlformats.org/officeDocument/2006/relationships/hyperlink" Target="http://www.fofifa.mg/presentation_drfp.php" TargetMode="External"/><Relationship Id="rId4311" Type="http://schemas.openxmlformats.org/officeDocument/2006/relationships/hyperlink" Target="http://fr.wikipedia.org/wiki/Tamarix" TargetMode="External"/><Relationship Id="rId4549" Type="http://schemas.openxmlformats.org/officeDocument/2006/relationships/hyperlink" Target="https://fr.wikipedia.org/wiki/Universit%C3%A9_Ben_Gourion_du_N%C3%A9guev" TargetMode="External"/><Relationship Id="rId181" Type="http://schemas.openxmlformats.org/officeDocument/2006/relationships/image" Target="media/image84.jpeg"/><Relationship Id="rId1905" Type="http://schemas.openxmlformats.org/officeDocument/2006/relationships/hyperlink" Target="https://fr.wikipedia.org/wiki/Bio%C3%A9thanol" TargetMode="External"/><Relationship Id="rId3120" Type="http://schemas.openxmlformats.org/officeDocument/2006/relationships/image" Target="media/image1072.png"/><Relationship Id="rId3358" Type="http://schemas.openxmlformats.org/officeDocument/2006/relationships/image" Target="media/image1219.jpg"/><Relationship Id="rId3565" Type="http://schemas.openxmlformats.org/officeDocument/2006/relationships/hyperlink" Target="https://fr.wikipedia.org/wiki/Senegalia_senegal" TargetMode="External"/><Relationship Id="rId3772" Type="http://schemas.openxmlformats.org/officeDocument/2006/relationships/hyperlink" Target="http://en.wikipedia.org/wiki/Scientific_American" TargetMode="External"/><Relationship Id="rId4409" Type="http://schemas.openxmlformats.org/officeDocument/2006/relationships/hyperlink" Target="http://fr.wikipedia.org/wiki/%C3%89cosyst%C3%A8me" TargetMode="External"/><Relationship Id="rId279" Type="http://schemas.openxmlformats.org/officeDocument/2006/relationships/hyperlink" Target="http://fr.wikipedia.org/wiki/Tamarinier" TargetMode="External"/><Relationship Id="rId486" Type="http://schemas.openxmlformats.org/officeDocument/2006/relationships/hyperlink" Target="https://fr.wikipedia.org/wiki/Parc_d'%C3%89tat_d'Anza-Borrego_Desert" TargetMode="External"/><Relationship Id="rId693" Type="http://schemas.openxmlformats.org/officeDocument/2006/relationships/image" Target="media/image297.jpeg"/><Relationship Id="rId2167" Type="http://schemas.openxmlformats.org/officeDocument/2006/relationships/hyperlink" Target="https://fr.wikipedia.org/wiki/Ak%C3%A8ne" TargetMode="External"/><Relationship Id="rId2374" Type="http://schemas.openxmlformats.org/officeDocument/2006/relationships/hyperlink" Target="http://fr.wikipedia.org/w/index.php?title=Chrysopogon_nigritanus&amp;action=edit&amp;redlink=1" TargetMode="External"/><Relationship Id="rId2581" Type="http://schemas.openxmlformats.org/officeDocument/2006/relationships/hyperlink" Target="https://fr.wikipedia.org/wiki/Carragh%C3%A9nane" TargetMode="External"/><Relationship Id="rId3218" Type="http://schemas.openxmlformats.org/officeDocument/2006/relationships/image" Target="media/image1131.jpeg"/><Relationship Id="rId3425" Type="http://schemas.openxmlformats.org/officeDocument/2006/relationships/image" Target="media/image1262.jpeg"/><Relationship Id="rId3632" Type="http://schemas.openxmlformats.org/officeDocument/2006/relationships/hyperlink" Target="http://www.3sat.de/page/?source=/ard/themenwochen/178089/index.html" TargetMode="External"/><Relationship Id="rId139" Type="http://schemas.openxmlformats.org/officeDocument/2006/relationships/image" Target="media/image47.jpeg"/><Relationship Id="rId346" Type="http://schemas.openxmlformats.org/officeDocument/2006/relationships/hyperlink" Target="http://fr.wikipedia.org/wiki/Grenadier_commun" TargetMode="External"/><Relationship Id="rId553" Type="http://schemas.openxmlformats.org/officeDocument/2006/relationships/image" Target="media/image240.jpeg"/><Relationship Id="rId760" Type="http://schemas.openxmlformats.org/officeDocument/2006/relationships/hyperlink" Target="http://hal.archives-ouvertes.fr/docs/00/42/92/75/PDF/Bauhinia-rufescens.pdf" TargetMode="External"/><Relationship Id="rId998" Type="http://schemas.openxmlformats.org/officeDocument/2006/relationships/image" Target="media/image452.jpg"/><Relationship Id="rId1183" Type="http://schemas.openxmlformats.org/officeDocument/2006/relationships/image" Target="media/image571.jpeg"/><Relationship Id="rId1390" Type="http://schemas.openxmlformats.org/officeDocument/2006/relationships/hyperlink" Target="http://en.wikipedia.org/wiki/United_States" TargetMode="External"/><Relationship Id="rId2027" Type="http://schemas.openxmlformats.org/officeDocument/2006/relationships/hyperlink" Target="https://fr.wikipedia.org/wiki/Bruche_du_ni%C3%A9b%C3%A9" TargetMode="External"/><Relationship Id="rId2234" Type="http://schemas.openxmlformats.org/officeDocument/2006/relationships/hyperlink" Target="https://fr.wikipedia.org/wiki/Alo%C3%A8s" TargetMode="External"/><Relationship Id="rId2441" Type="http://schemas.openxmlformats.org/officeDocument/2006/relationships/hyperlink" Target="http://translate.googleusercontent.com/translate_c?depth=1&amp;hl=fr&amp;prev=/search?q%3Dpanicum%2Bamarum%26biw%3D1440%26bih%3D732&amp;rurl=translate.google.fr&amp;sl=en&amp;u=http://en.wikipedia.org/wiki/The_Bahamas&amp;usg=ALkJrhjmjJI-TP57qIl55pFr7ACN8udN1A" TargetMode="External"/><Relationship Id="rId2679" Type="http://schemas.openxmlformats.org/officeDocument/2006/relationships/hyperlink" Target="https://fr.wikipedia.org/wiki/Cyanobact%C3%A9ries" TargetMode="External"/><Relationship Id="rId2886" Type="http://schemas.openxmlformats.org/officeDocument/2006/relationships/image" Target="media/image980.jpg"/><Relationship Id="rId3937" Type="http://schemas.openxmlformats.org/officeDocument/2006/relationships/hyperlink" Target="https://revues.cirad.fr/index.php/BFT/article/view/20420" TargetMode="External"/><Relationship Id="rId206" Type="http://schemas.openxmlformats.org/officeDocument/2006/relationships/image" Target="media/image96.jpg"/><Relationship Id="rId413" Type="http://schemas.openxmlformats.org/officeDocument/2006/relationships/hyperlink" Target="https://fr.wikipedia.org/wiki/Raisin" TargetMode="External"/><Relationship Id="rId858" Type="http://schemas.openxmlformats.org/officeDocument/2006/relationships/hyperlink" Target="http://fr.wikipedia.org/wiki/Compagnonnage_(botanique)" TargetMode="External"/><Relationship Id="rId1043" Type="http://schemas.openxmlformats.org/officeDocument/2006/relationships/hyperlink" Target="https://fr.wikipedia.org/wiki/Annonaceae" TargetMode="External"/><Relationship Id="rId1488" Type="http://schemas.openxmlformats.org/officeDocument/2006/relationships/hyperlink" Target="http://fr.wikipedia.org/wiki/Sous-esp%C3%A8ce" TargetMode="External"/><Relationship Id="rId1695" Type="http://schemas.openxmlformats.org/officeDocument/2006/relationships/image" Target="media/image720.jpeg"/><Relationship Id="rId2539" Type="http://schemas.openxmlformats.org/officeDocument/2006/relationships/image" Target="media/image912.jpeg"/><Relationship Id="rId2746" Type="http://schemas.openxmlformats.org/officeDocument/2006/relationships/hyperlink" Target="https://fr.wikipedia.org/wiki/Cyanobacteria" TargetMode="External"/><Relationship Id="rId2953" Type="http://schemas.openxmlformats.org/officeDocument/2006/relationships/hyperlink" Target="http://translate.googleusercontent.com/translate_c?depth=1&amp;hl=fr&amp;prev=search&amp;rurl=translate.google.fr&amp;sl=en&amp;u=http://en.wikipedia.org/wiki/Nejd&amp;usg=ALkJrhhJBGoqbuW_oRcmStWNqsKwFhveTQ" TargetMode="External"/><Relationship Id="rId4199" Type="http://schemas.openxmlformats.org/officeDocument/2006/relationships/hyperlink" Target="http://www.cabi.org/isc/datasheet/112585" TargetMode="External"/><Relationship Id="rId620" Type="http://schemas.openxmlformats.org/officeDocument/2006/relationships/image" Target="media/image264.jpeg"/><Relationship Id="rId718" Type="http://schemas.openxmlformats.org/officeDocument/2006/relationships/image" Target="media/image307.jpeg"/><Relationship Id="rId925" Type="http://schemas.openxmlformats.org/officeDocument/2006/relationships/hyperlink" Target="http://fogeo.free.fr/flore/arbustes_halophiles.pdf" TargetMode="External"/><Relationship Id="rId1250" Type="http://schemas.openxmlformats.org/officeDocument/2006/relationships/image" Target="media/image630.jpg"/><Relationship Id="rId1348" Type="http://schemas.openxmlformats.org/officeDocument/2006/relationships/hyperlink" Target="http://www.kfu.edu.sa/sjournal/eng/pdffiles/BVOL4NO1_5.pdf" TargetMode="External"/><Relationship Id="rId1555" Type="http://schemas.openxmlformats.org/officeDocument/2006/relationships/hyperlink" Target="https://fr.wikipedia.org/wiki/March%C3%A9_(%C3%A9conomie)" TargetMode="External"/><Relationship Id="rId1762" Type="http://schemas.openxmlformats.org/officeDocument/2006/relationships/hyperlink" Target="http://fr.wikipedia.org/wiki/Potassium" TargetMode="External"/><Relationship Id="rId2301" Type="http://schemas.openxmlformats.org/officeDocument/2006/relationships/image" Target="media/image863.jpeg"/><Relationship Id="rId2606" Type="http://schemas.openxmlformats.org/officeDocument/2006/relationships/hyperlink" Target="https://fr.wikipedia.org/wiki/Undaria_pinnatifida" TargetMode="External"/><Relationship Id="rId4059" Type="http://schemas.openxmlformats.org/officeDocument/2006/relationships/hyperlink" Target="https://en.wikipedia.org/wiki/Photosynthesis" TargetMode="External"/><Relationship Id="rId1110" Type="http://schemas.openxmlformats.org/officeDocument/2006/relationships/image" Target="media/image533.emf"/><Relationship Id="rId1208" Type="http://schemas.openxmlformats.org/officeDocument/2006/relationships/image" Target="media/image589.jpg"/><Relationship Id="rId1415" Type="http://schemas.openxmlformats.org/officeDocument/2006/relationships/hyperlink" Target="http://www.bashanfoundation.org/gmaweb/pdfs/growth.pdf" TargetMode="External"/><Relationship Id="rId2813" Type="http://schemas.openxmlformats.org/officeDocument/2006/relationships/hyperlink" Target="http://fr.wikipedia.org/wiki/National_Center_for_Biotechnology_Information" TargetMode="External"/><Relationship Id="rId4266" Type="http://schemas.openxmlformats.org/officeDocument/2006/relationships/hyperlink" Target="http://www.cabi.org/isc/datasheet/52487" TargetMode="External"/><Relationship Id="rId4473" Type="http://schemas.openxmlformats.org/officeDocument/2006/relationships/image" Target="media/image1480.jpeg"/><Relationship Id="rId54" Type="http://schemas.openxmlformats.org/officeDocument/2006/relationships/image" Target="media/image19.jpeg"/><Relationship Id="rId1622" Type="http://schemas.openxmlformats.org/officeDocument/2006/relationships/image" Target="media/image695.jpeg"/><Relationship Id="rId1927" Type="http://schemas.openxmlformats.org/officeDocument/2006/relationships/image" Target="media/image785.jpeg"/><Relationship Id="rId3075" Type="http://schemas.openxmlformats.org/officeDocument/2006/relationships/image" Target="media/image1028.jpeg"/><Relationship Id="rId3282" Type="http://schemas.openxmlformats.org/officeDocument/2006/relationships/hyperlink" Target="http://fr.wikipedia.org/wiki/Micro-irrigation" TargetMode="External"/><Relationship Id="rId4126" Type="http://schemas.openxmlformats.org/officeDocument/2006/relationships/hyperlink" Target="http://fr.wikipedia.org/wiki/Acacia" TargetMode="External"/><Relationship Id="rId4333" Type="http://schemas.openxmlformats.org/officeDocument/2006/relationships/image" Target="media/image1455.jpeg"/><Relationship Id="rId4540" Type="http://schemas.openxmlformats.org/officeDocument/2006/relationships/hyperlink" Target="https://www.ffem.fr/fr/carte-des-projets/lutte-contre-la-desertification-par-lappui-au-pastoralisme-dans-le-ferlo" TargetMode="External"/><Relationship Id="rId2091" Type="http://schemas.openxmlformats.org/officeDocument/2006/relationships/hyperlink" Target="https://fr.wikipedia.org/wiki/Tavelure_(botanique)" TargetMode="External"/><Relationship Id="rId2189" Type="http://schemas.openxmlformats.org/officeDocument/2006/relationships/hyperlink" Target="https://en.wikipedia.org/wiki/Biotic_stress" TargetMode="External"/><Relationship Id="rId3142" Type="http://schemas.openxmlformats.org/officeDocument/2006/relationships/hyperlink" Target="https://fr.wikipedia.org/wiki/Eau_pluviale" TargetMode="External"/><Relationship Id="rId3587" Type="http://schemas.openxmlformats.org/officeDocument/2006/relationships/image" Target="media/image1321.jpeg"/><Relationship Id="rId3794" Type="http://schemas.openxmlformats.org/officeDocument/2006/relationships/hyperlink" Target="http://ideas.repec.org/a/eee/agiwat/v90y2007i3p165-180.html" TargetMode="External"/><Relationship Id="rId4400" Type="http://schemas.openxmlformats.org/officeDocument/2006/relationships/hyperlink" Target="http://www.worldagroforestry.org/downloads/publications/PDFs/mn14474.pdf" TargetMode="External"/><Relationship Id="rId270" Type="http://schemas.openxmlformats.org/officeDocument/2006/relationships/hyperlink" Target="http://www.worldagroforestry.org/treedb2/AFTPDFS/Zizyphus_spina-christi.pdf" TargetMode="External"/><Relationship Id="rId2396" Type="http://schemas.openxmlformats.org/officeDocument/2006/relationships/hyperlink" Target="http://www.vetiver.org/TVN-Handbook%20series/TVN-series1-1-vetiver%20plant.htm" TargetMode="External"/><Relationship Id="rId3002" Type="http://schemas.openxmlformats.org/officeDocument/2006/relationships/hyperlink" Target="http://fr.wikipedia.org/wiki/Afrique_australe" TargetMode="External"/><Relationship Id="rId3447" Type="http://schemas.openxmlformats.org/officeDocument/2006/relationships/image" Target="media/image1283.jpeg"/><Relationship Id="rId3654" Type="http://schemas.openxmlformats.org/officeDocument/2006/relationships/image" Target="media/image1344.jpg"/><Relationship Id="rId3861" Type="http://schemas.openxmlformats.org/officeDocument/2006/relationships/hyperlink" Target="http://www.formad-environnement.org/paletuviers_29dec11.pdf" TargetMode="External"/><Relationship Id="rId130" Type="http://schemas.openxmlformats.org/officeDocument/2006/relationships/image" Target="media/image38.jpeg"/><Relationship Id="rId368" Type="http://schemas.openxmlformats.org/officeDocument/2006/relationships/hyperlink" Target="https://fr.wikipedia.org/wiki/Sauvignon" TargetMode="External"/><Relationship Id="rId575" Type="http://schemas.openxmlformats.org/officeDocument/2006/relationships/hyperlink" Target="https://fr.wikipedia.org/wiki/Capparaceae" TargetMode="External"/><Relationship Id="rId782" Type="http://schemas.openxmlformats.org/officeDocument/2006/relationships/hyperlink" Target="http://en.wikipedia.org/wiki/Mopane" TargetMode="External"/><Relationship Id="rId2049" Type="http://schemas.openxmlformats.org/officeDocument/2006/relationships/image" Target="media/image797.jpeg"/><Relationship Id="rId2256" Type="http://schemas.openxmlformats.org/officeDocument/2006/relationships/hyperlink" Target="https://sossahel.org/ethiopie-de-laloe-vera-pour-lautonomie-des-femmes/" TargetMode="External"/><Relationship Id="rId2463" Type="http://schemas.openxmlformats.org/officeDocument/2006/relationships/hyperlink" Target="http://fr.wikipedia.org/wiki/Travail_du_sol" TargetMode="External"/><Relationship Id="rId2670" Type="http://schemas.openxmlformats.org/officeDocument/2006/relationships/hyperlink" Target="https://fr.wikipedia.org/wiki/Ogonori" TargetMode="External"/><Relationship Id="rId3307" Type="http://schemas.openxmlformats.org/officeDocument/2006/relationships/hyperlink" Target="http://www.sswm.info/glossary/2/letteri" TargetMode="External"/><Relationship Id="rId3514" Type="http://schemas.openxmlformats.org/officeDocument/2006/relationships/hyperlink" Target="https://fr.wikipedia.org/wiki/Culture_en_courbes_de_niveau" TargetMode="External"/><Relationship Id="rId3721" Type="http://schemas.openxmlformats.org/officeDocument/2006/relationships/hyperlink" Target="https://www.sciencesetavenir.fr/nature-environnement/plantes-et-vegetaux/rechauffement-un-rapport-preconise-de-planter-un-arbre-par-habitant-pendant-30-ans-pour-adapter-la-foret_147473" TargetMode="External"/><Relationship Id="rId3959" Type="http://schemas.openxmlformats.org/officeDocument/2006/relationships/hyperlink" Target="https://fr.wikipedia.org/wiki/Mucilage" TargetMode="External"/><Relationship Id="rId228" Type="http://schemas.openxmlformats.org/officeDocument/2006/relationships/image" Target="media/image107.jpeg"/><Relationship Id="rId435" Type="http://schemas.openxmlformats.org/officeDocument/2006/relationships/hyperlink" Target="https://fr.wikipedia.org/wiki/Feteasc%C4%83_neagr%C4%83" TargetMode="External"/><Relationship Id="rId642" Type="http://schemas.openxmlformats.org/officeDocument/2006/relationships/hyperlink" Target="https://fr.wikipedia.org/wiki/Famille_(biologie)" TargetMode="External"/><Relationship Id="rId1065" Type="http://schemas.openxmlformats.org/officeDocument/2006/relationships/image" Target="media/image496.jpeg"/><Relationship Id="rId1272" Type="http://schemas.openxmlformats.org/officeDocument/2006/relationships/hyperlink" Target="http://en.wikipedia.org/wiki/Phoenix_dactylifera" TargetMode="External"/><Relationship Id="rId2116" Type="http://schemas.openxmlformats.org/officeDocument/2006/relationships/image" Target="media/image814.jpeg"/><Relationship Id="rId2323" Type="http://schemas.openxmlformats.org/officeDocument/2006/relationships/hyperlink" Target="http://fr.wikipedia.org/wiki/Verticilliose" TargetMode="External"/><Relationship Id="rId2530" Type="http://schemas.openxmlformats.org/officeDocument/2006/relationships/hyperlink" Target="https://fr.wikipedia.org/wiki/Hy%C3%A8ne" TargetMode="External"/><Relationship Id="rId2768" Type="http://schemas.openxmlformats.org/officeDocument/2006/relationships/hyperlink" Target="https://fr.wikipedia.org/wiki/Extr%C3%AAmophile" TargetMode="External"/><Relationship Id="rId2975" Type="http://schemas.openxmlformats.org/officeDocument/2006/relationships/hyperlink" Target="http://translate.googleusercontent.com/translate_c?depth=1&amp;hl=fr&amp;prev=search&amp;rurl=translate.google.fr&amp;sl=en&amp;u=http://en.wikipedia.org/wiki/Arthritis&amp;usg=ALkJrhj-VU7RGFfpsXQIaYSGZ9WDb71iMQ" TargetMode="External"/><Relationship Id="rId3819" Type="http://schemas.openxmlformats.org/officeDocument/2006/relationships/hyperlink" Target="http://ideas.repec.org/a/eee/agiwat/v123y2013icp1-11.html" TargetMode="External"/><Relationship Id="rId502" Type="http://schemas.openxmlformats.org/officeDocument/2006/relationships/image" Target="media/image216.jpeg"/><Relationship Id="rId947" Type="http://schemas.openxmlformats.org/officeDocument/2006/relationships/hyperlink" Target="https://fr.wikipedia.org/wiki/Forme_foliaire" TargetMode="External"/><Relationship Id="rId1132" Type="http://schemas.openxmlformats.org/officeDocument/2006/relationships/image" Target="media/image543.jpeg"/><Relationship Id="rId1577" Type="http://schemas.openxmlformats.org/officeDocument/2006/relationships/hyperlink" Target="http://fr.wikipedia.org/wiki/Malt" TargetMode="External"/><Relationship Id="rId1784" Type="http://schemas.openxmlformats.org/officeDocument/2006/relationships/hyperlink" Target="https://fr.wikipedia.org/wiki/Plante" TargetMode="External"/><Relationship Id="rId1991" Type="http://schemas.openxmlformats.org/officeDocument/2006/relationships/hyperlink" Target="https://fr.wikipedia.org/wiki/C%C3%B4te_d%E2%80%99Ivoire" TargetMode="External"/><Relationship Id="rId2628" Type="http://schemas.openxmlformats.org/officeDocument/2006/relationships/hyperlink" Target="https://en.wikipedia.org/wiki/England" TargetMode="External"/><Relationship Id="rId2835" Type="http://schemas.openxmlformats.org/officeDocument/2006/relationships/image" Target="media/image973.jpg"/><Relationship Id="rId4190" Type="http://schemas.openxmlformats.org/officeDocument/2006/relationships/hyperlink" Target="http://www.cabi.org/isc/datasheet/112581" TargetMode="External"/><Relationship Id="rId4288" Type="http://schemas.openxmlformats.org/officeDocument/2006/relationships/hyperlink" Target="https://en.wikipedia.org/wiki/Tamarix" TargetMode="External"/><Relationship Id="rId4495" Type="http://schemas.openxmlformats.org/officeDocument/2006/relationships/hyperlink" Target="http://fr.wiktionary.org/wiki/esp%C3%A8ce" TargetMode="External"/><Relationship Id="rId76" Type="http://schemas.openxmlformats.org/officeDocument/2006/relationships/image" Target="media/image34.jpeg"/><Relationship Id="rId807" Type="http://schemas.openxmlformats.org/officeDocument/2006/relationships/hyperlink" Target="https://fr.wikipedia.org/wiki/Huile_de_jojoba" TargetMode="External"/><Relationship Id="rId1437" Type="http://schemas.openxmlformats.org/officeDocument/2006/relationships/hyperlink" Target="http://www.ncbi.nlm.nih.gov/pubmed/18765761" TargetMode="External"/><Relationship Id="rId1644" Type="http://schemas.openxmlformats.org/officeDocument/2006/relationships/hyperlink" Target="https://www.ouest-france.fr/economie/agriculture/a-la-recherche-de-sa-souverainete-alimentaire-le-senegal-veut-faire-son-ble-b80feb62-d61f-11ed-95ca-1c645870fef0" TargetMode="External"/><Relationship Id="rId1851" Type="http://schemas.openxmlformats.org/officeDocument/2006/relationships/hyperlink" Target="https://fr.wikipedia.org/wiki/Mil_%C3%A0_chandelle" TargetMode="External"/><Relationship Id="rId2902" Type="http://schemas.openxmlformats.org/officeDocument/2006/relationships/hyperlink" Target="http://translate.googleusercontent.com/translate_c?depth=1&amp;hl=fr&amp;prev=search&amp;rurl=translate.google.fr&amp;sl=en&amp;u=http://en.wikipedia.org/wiki/Kenya&amp;usg=ALkJrhjOlH8Vyy2uHtgO9PKedoKB8qqXnQ" TargetMode="External"/><Relationship Id="rId3097" Type="http://schemas.openxmlformats.org/officeDocument/2006/relationships/image" Target="media/image1049.jpeg"/><Relationship Id="rId4050" Type="http://schemas.openxmlformats.org/officeDocument/2006/relationships/hyperlink" Target="https://translate.googleusercontent.com/translate_c?depth=1&amp;hl=fr&amp;prev=search&amp;rurl=translate.google.fr&amp;sl=en&amp;u=https://en.wikipedia.org/w/index.php?title%3DMelanterius%26action%3Dedit%26redlink%3D1&amp;usg=ALkJrhjqp72xSV8540zs3AW0Aw5UdZxw2A" TargetMode="External"/><Relationship Id="rId4148" Type="http://schemas.openxmlformats.org/officeDocument/2006/relationships/hyperlink" Target="http://fr.wikipedia.org/wiki/Mimosoideae" TargetMode="External"/><Relationship Id="rId4355" Type="http://schemas.openxmlformats.org/officeDocument/2006/relationships/hyperlink" Target="http://www.gt-ibma.eu/wp-content/uploads/2020/02/2019_rapport_etat-des-lieux_methodes-lutte-typha-dfs-002.pdf" TargetMode="External"/><Relationship Id="rId1504" Type="http://schemas.openxmlformats.org/officeDocument/2006/relationships/image" Target="media/image668.jpeg"/><Relationship Id="rId1711" Type="http://schemas.openxmlformats.org/officeDocument/2006/relationships/hyperlink" Target="https://fr.wikipedia.org/wiki/Fruit_(botanique)" TargetMode="External"/><Relationship Id="rId1949" Type="http://schemas.openxmlformats.org/officeDocument/2006/relationships/hyperlink" Target="https://en.wikipedia.org/wiki/Fertilizer" TargetMode="External"/><Relationship Id="rId3164" Type="http://schemas.openxmlformats.org/officeDocument/2006/relationships/hyperlink" Target="http://fr.wikipedia.org/wiki/Retenue_collinaire" TargetMode="External"/><Relationship Id="rId4008" Type="http://schemas.openxmlformats.org/officeDocument/2006/relationships/hyperlink" Target="http://en.wikipedia.org/wiki/Papua_New_Guinea" TargetMode="External"/><Relationship Id="rId4562" Type="http://schemas.openxmlformats.org/officeDocument/2006/relationships/theme" Target="theme/theme1.xml"/><Relationship Id="rId292" Type="http://schemas.openxmlformats.org/officeDocument/2006/relationships/hyperlink" Target="http://en.wikipedia.org/wiki/Ceratonia_siliqua" TargetMode="External"/><Relationship Id="rId1809" Type="http://schemas.openxmlformats.org/officeDocument/2006/relationships/image" Target="media/image753.jpeg"/><Relationship Id="rId3371" Type="http://schemas.openxmlformats.org/officeDocument/2006/relationships/image" Target="media/image1232.jpg"/><Relationship Id="rId3469" Type="http://schemas.openxmlformats.org/officeDocument/2006/relationships/hyperlink" Target="http://fr.wikipedia.org/wiki/Ol%C3%A9oduc" TargetMode="External"/><Relationship Id="rId3676" Type="http://schemas.openxmlformats.org/officeDocument/2006/relationships/hyperlink" Target="https://fr.wikipedia.org/wiki/Colonisation" TargetMode="External"/><Relationship Id="rId4215" Type="http://schemas.openxmlformats.org/officeDocument/2006/relationships/hyperlink" Target="http://www.cabi.org/isc/datasheet/112590" TargetMode="External"/><Relationship Id="rId4422" Type="http://schemas.openxmlformats.org/officeDocument/2006/relationships/hyperlink" Target="http://fr.wiktionary.org/wiki/ext%C3%A9rieur" TargetMode="External"/><Relationship Id="rId597" Type="http://schemas.openxmlformats.org/officeDocument/2006/relationships/hyperlink" Target="https://fr.wikipedia.org/wiki/Lyctus" TargetMode="External"/><Relationship Id="rId2180" Type="http://schemas.openxmlformats.org/officeDocument/2006/relationships/hyperlink" Target="https://en.wikipedia.org/wiki/Winnowing" TargetMode="External"/><Relationship Id="rId2278" Type="http://schemas.openxmlformats.org/officeDocument/2006/relationships/hyperlink" Target="http://translate.googleusercontent.com/translate_c?depth=1&amp;hl=fr&amp;prev=/search?q%3Dmelilotus%2Balbus%26biw%3D1440%26bih%3D732&amp;rurl=translate.google.fr&amp;sl=en&amp;u=http://en.wikipedia.org/wiki/Legume&amp;usg=ALkJrhhfKBWAKjAFPtqcsVq88qLRMJdsbQ" TargetMode="External"/><Relationship Id="rId2485" Type="http://schemas.openxmlformats.org/officeDocument/2006/relationships/hyperlink" Target="https://fr.wikipedia.org/wiki/Panicule" TargetMode="External"/><Relationship Id="rId3024" Type="http://schemas.openxmlformats.org/officeDocument/2006/relationships/image" Target="media/image1002.jpg"/><Relationship Id="rId3231" Type="http://schemas.openxmlformats.org/officeDocument/2006/relationships/image" Target="media/image1144.jpeg"/><Relationship Id="rId3329" Type="http://schemas.openxmlformats.org/officeDocument/2006/relationships/image" Target="media/image1199.png"/><Relationship Id="rId3883" Type="http://schemas.openxmlformats.org/officeDocument/2006/relationships/hyperlink" Target="http://www.fao.org/3/T1765F/t1765f0o.htm" TargetMode="External"/><Relationship Id="rId152" Type="http://schemas.openxmlformats.org/officeDocument/2006/relationships/image" Target="media/image59.jpg"/><Relationship Id="rId457" Type="http://schemas.openxmlformats.org/officeDocument/2006/relationships/hyperlink" Target="http://fr.wikipedia.org/wiki/Alg%C3%A9rie" TargetMode="External"/><Relationship Id="rId1087" Type="http://schemas.openxmlformats.org/officeDocument/2006/relationships/image" Target="media/image511.jpg"/><Relationship Id="rId1294" Type="http://schemas.openxmlformats.org/officeDocument/2006/relationships/hyperlink" Target="https://fr.wikipedia.org/wiki/Amaranthaceae" TargetMode="External"/><Relationship Id="rId2040" Type="http://schemas.openxmlformats.org/officeDocument/2006/relationships/hyperlink" Target="https://en.wikipedia.org/wiki/Cowpea" TargetMode="External"/><Relationship Id="rId2138" Type="http://schemas.openxmlformats.org/officeDocument/2006/relationships/hyperlink" Target="https://fr.wikipedia.org/wiki/Lathyrisme" TargetMode="External"/><Relationship Id="rId2692" Type="http://schemas.openxmlformats.org/officeDocument/2006/relationships/hyperlink" Target="https://fr.wikipedia.org/wiki/Gigartinaceae" TargetMode="External"/><Relationship Id="rId2997" Type="http://schemas.openxmlformats.org/officeDocument/2006/relationships/hyperlink" Target="http://fr.wikipedia.org/wiki/Pedaliaceae" TargetMode="External"/><Relationship Id="rId3536" Type="http://schemas.openxmlformats.org/officeDocument/2006/relationships/hyperlink" Target="https://en.wikipedia.org/wiki/Sahel" TargetMode="External"/><Relationship Id="rId3743" Type="http://schemas.openxmlformats.org/officeDocument/2006/relationships/hyperlink" Target="http://algues.pagesperso-orange.fr/salicorne.htm" TargetMode="External"/><Relationship Id="rId3950" Type="http://schemas.openxmlformats.org/officeDocument/2006/relationships/image" Target="media/image1367.jpeg"/><Relationship Id="rId664" Type="http://schemas.openxmlformats.org/officeDocument/2006/relationships/image" Target="media/image279.jpeg"/><Relationship Id="rId871" Type="http://schemas.openxmlformats.org/officeDocument/2006/relationships/hyperlink" Target="http://translate.googleusercontent.com/translate_c?depth=1&amp;hl=fr&amp;prev=/search?q=nitraria&amp;biw=1440&amp;bih=732&amp;rurl=translate.google.fr&amp;sl=en&amp;u=http://en.wikipedia.org/wiki/Jam&amp;usg=ALkJrhg0ZohCKuwTLbg2L0SlmJrusVzobw" TargetMode="External"/><Relationship Id="rId969" Type="http://schemas.openxmlformats.org/officeDocument/2006/relationships/hyperlink" Target="https://fr.wikipedia.org/wiki/Capsule_(botanique)" TargetMode="External"/><Relationship Id="rId1599" Type="http://schemas.openxmlformats.org/officeDocument/2006/relationships/hyperlink" Target="http://fr.wikipedia.org/wiki/Orge_du_Tibet" TargetMode="External"/><Relationship Id="rId2345" Type="http://schemas.openxmlformats.org/officeDocument/2006/relationships/hyperlink" Target="http://fr.wikipedia.org/wiki/V%C3%A9tiver" TargetMode="External"/><Relationship Id="rId2552" Type="http://schemas.openxmlformats.org/officeDocument/2006/relationships/hyperlink" Target="http://translate.googleusercontent.com/translate_c?depth=1&amp;hl=fr&amp;prev=search&amp;rurl=translate.google.fr&amp;sl=en&amp;u=http://en.wikipedia.org/wiki/Spain&amp;usg=ALkJrhiCiLbsoz6cCsQBLCCB6U53mhPzpg" TargetMode="External"/><Relationship Id="rId3603" Type="http://schemas.openxmlformats.org/officeDocument/2006/relationships/hyperlink" Target="https://fr.wikipedia.org/wiki/Paillis" TargetMode="External"/><Relationship Id="rId3810" Type="http://schemas.openxmlformats.org/officeDocument/2006/relationships/hyperlink" Target="http://ideas.repec.org/a/eee/agiwat/v78y2005i1-2p108-121.html" TargetMode="External"/><Relationship Id="rId317" Type="http://schemas.openxmlformats.org/officeDocument/2006/relationships/image" Target="media/image146.jpeg"/><Relationship Id="rId524" Type="http://schemas.openxmlformats.org/officeDocument/2006/relationships/image" Target="media/image225.jpeg"/><Relationship Id="rId731" Type="http://schemas.openxmlformats.org/officeDocument/2006/relationships/image" Target="media/image317.jpeg"/><Relationship Id="rId1154" Type="http://schemas.openxmlformats.org/officeDocument/2006/relationships/hyperlink" Target="https://en.wikipedia.org/wiki/Pneumatophore" TargetMode="External"/><Relationship Id="rId1361" Type="http://schemas.openxmlformats.org/officeDocument/2006/relationships/hyperlink" Target="http://www.gcrio.org/usiji/pdf/Mexico-3%203-04.pdf" TargetMode="External"/><Relationship Id="rId1459" Type="http://schemas.openxmlformats.org/officeDocument/2006/relationships/hyperlink" Target="http://fr.wikipedia.org/w/index.php?title=Asparagus_maritimus&amp;action=edit&amp;redlink=1" TargetMode="External"/><Relationship Id="rId2205" Type="http://schemas.openxmlformats.org/officeDocument/2006/relationships/hyperlink" Target="https://fr.wikipedia.org/wiki/Quinoa" TargetMode="External"/><Relationship Id="rId2412" Type="http://schemas.openxmlformats.org/officeDocument/2006/relationships/hyperlink" Target="http://fr.wikipedia.org/wiki/Poaceae" TargetMode="External"/><Relationship Id="rId2857" Type="http://schemas.openxmlformats.org/officeDocument/2006/relationships/image" Target="media/image976.jpg"/><Relationship Id="rId3908" Type="http://schemas.openxmlformats.org/officeDocument/2006/relationships/hyperlink" Target="https://www.youtube.com/watch?v=tjBugtV8GHc" TargetMode="External"/><Relationship Id="rId4072" Type="http://schemas.openxmlformats.org/officeDocument/2006/relationships/image" Target="media/image1407.jpeg"/><Relationship Id="rId98" Type="http://schemas.openxmlformats.org/officeDocument/2006/relationships/hyperlink" Target="https://www.lesechos.fr/finance-marches/marches-financiers/sebastien-abis-la-chine-a-conscience-de-ses-vulnerabilites-agricoles-1292421" TargetMode="External"/><Relationship Id="rId829" Type="http://schemas.openxmlformats.org/officeDocument/2006/relationships/image" Target="media/image375.jpeg"/><Relationship Id="rId1014" Type="http://schemas.openxmlformats.org/officeDocument/2006/relationships/hyperlink" Target="http://fr.wikipedia.org/wiki/Classification_des_Arecac%C3%A9es" TargetMode="External"/><Relationship Id="rId1221" Type="http://schemas.openxmlformats.org/officeDocument/2006/relationships/image" Target="media/image601.jpeg"/><Relationship Id="rId1666" Type="http://schemas.openxmlformats.org/officeDocument/2006/relationships/hyperlink" Target="http://translate.googleusercontent.com/translate_c?depth=1&amp;hl=fr&amp;prev=/search?q%3DBrassica%2Bcarinata%26biw%3D1440%26bih%3D775&amp;rurl=translate.google.fr&amp;sl=en&amp;u=http://en.wikipedia.org/wiki/Brassica&amp;usg=ALkJrhgUPHVN0AmuzePEEi--VQIdZhB7SQ" TargetMode="External"/><Relationship Id="rId1873" Type="http://schemas.openxmlformats.org/officeDocument/2006/relationships/hyperlink" Target="https://fr.wikipedia.org/wiki/Ma%C3%AFs" TargetMode="External"/><Relationship Id="rId2717" Type="http://schemas.openxmlformats.org/officeDocument/2006/relationships/hyperlink" Target="https://fr.wikipedia.org/wiki/Kappaphycus_alvarezii" TargetMode="External"/><Relationship Id="rId2924" Type="http://schemas.openxmlformats.org/officeDocument/2006/relationships/hyperlink" Target="http://translate.googleusercontent.com/translate_c?depth=1&amp;hl=fr&amp;prev=search&amp;rurl=translate.google.fr&amp;sl=en&amp;u=http://en.wikipedia.org/wiki/Tannin&amp;usg=ALkJrhgP6g6mJ9xgpTED2dT5Pffm4ueWLg" TargetMode="External"/><Relationship Id="rId4377" Type="http://schemas.openxmlformats.org/officeDocument/2006/relationships/hyperlink" Target="http://www.cabi.org/isc/datasheet/39765" TargetMode="External"/><Relationship Id="rId1319" Type="http://schemas.openxmlformats.org/officeDocument/2006/relationships/hyperlink" Target="http://translate.googleusercontent.com/translate_c?depth=1&amp;hl=fr&amp;prev=/search?q%3Dsalicornia%2Bherbacea%2Bwikipedia%26biw%3D1440%26bih%3D732&amp;rurl=translate.google.fr&amp;sl=en&amp;u=http://en.wikipedia.org/wiki/Shrimp_farm&amp;usg=ALkJrhic4gLZHxfVQZE_RWz3qJbIn66hbQ" TargetMode="External"/><Relationship Id="rId1526" Type="http://schemas.openxmlformats.org/officeDocument/2006/relationships/hyperlink" Target="https://fr.wikipedia.org/wiki/Tubercule" TargetMode="External"/><Relationship Id="rId1733" Type="http://schemas.openxmlformats.org/officeDocument/2006/relationships/image" Target="media/image737.jpg"/><Relationship Id="rId1940" Type="http://schemas.openxmlformats.org/officeDocument/2006/relationships/hyperlink" Target="https://en.wikipedia.org/wiki/Crop_residue" TargetMode="External"/><Relationship Id="rId3186" Type="http://schemas.openxmlformats.org/officeDocument/2006/relationships/hyperlink" Target="http://horizon.documentation.ird.fr/exl-doc/pleins_textes/divers12-09/010054917.pdf" TargetMode="External"/><Relationship Id="rId3393" Type="http://schemas.openxmlformats.org/officeDocument/2006/relationships/hyperlink" Target="https://en.wikipedia.org/wiki/Global_Terrorism_Index" TargetMode="External"/><Relationship Id="rId4237" Type="http://schemas.openxmlformats.org/officeDocument/2006/relationships/hyperlink" Target="http://www.cabi.org/isc/datasheet/112596" TargetMode="External"/><Relationship Id="rId4444" Type="http://schemas.openxmlformats.org/officeDocument/2006/relationships/hyperlink" Target="http://fr.wikipedia.org/wiki/Fran%C3%A7ais_qu%C3%A9b%C3%A9cois" TargetMode="External"/><Relationship Id="rId25" Type="http://schemas.openxmlformats.org/officeDocument/2006/relationships/hyperlink" Target="https://fr.wikipedia.org/wiki/Botanique" TargetMode="External"/><Relationship Id="rId1800" Type="http://schemas.openxmlformats.org/officeDocument/2006/relationships/hyperlink" Target="https://fr.wikipedia.org/wiki/%C3%89leusine" TargetMode="External"/><Relationship Id="rId3046" Type="http://schemas.openxmlformats.org/officeDocument/2006/relationships/hyperlink" Target="http://en.wikipedia.org/wiki/Liman_irrigation_system" TargetMode="External"/><Relationship Id="rId3253" Type="http://schemas.openxmlformats.org/officeDocument/2006/relationships/hyperlink" Target="https://en.wikipedia.org/wiki/Xinjiang" TargetMode="External"/><Relationship Id="rId3460" Type="http://schemas.openxmlformats.org/officeDocument/2006/relationships/image" Target="media/image1295.png"/><Relationship Id="rId3698" Type="http://schemas.openxmlformats.org/officeDocument/2006/relationships/image" Target="media/image1357.jpg"/><Relationship Id="rId4304" Type="http://schemas.openxmlformats.org/officeDocument/2006/relationships/hyperlink" Target="http://nature.jardin.free.fr/arbuste/ft_tamarix_af.html" TargetMode="External"/><Relationship Id="rId174" Type="http://schemas.openxmlformats.org/officeDocument/2006/relationships/image" Target="media/image81.jpeg"/><Relationship Id="rId381" Type="http://schemas.openxmlformats.org/officeDocument/2006/relationships/hyperlink" Target="https://fr.wikipedia.org/wiki/Porte-greffe_(vigne)" TargetMode="External"/><Relationship Id="rId2062" Type="http://schemas.openxmlformats.org/officeDocument/2006/relationships/hyperlink" Target="https://fr.wikipedia.org/wiki/Plante" TargetMode="External"/><Relationship Id="rId3113" Type="http://schemas.openxmlformats.org/officeDocument/2006/relationships/image" Target="media/image1065.jpeg"/><Relationship Id="rId3558" Type="http://schemas.openxmlformats.org/officeDocument/2006/relationships/hyperlink" Target="https://fr.wikipedia.org/wiki/Mali" TargetMode="External"/><Relationship Id="rId3765" Type="http://schemas.openxmlformats.org/officeDocument/2006/relationships/hyperlink" Target="http://www.miracosta.edu/home/kmeldahl/articles/crops.pdf" TargetMode="External"/><Relationship Id="rId3972" Type="http://schemas.openxmlformats.org/officeDocument/2006/relationships/hyperlink" Target="http://fr.wikipedia.org/wiki/Tapis" TargetMode="External"/><Relationship Id="rId4511" Type="http://schemas.openxmlformats.org/officeDocument/2006/relationships/image" Target="media/image1495.jpeg"/><Relationship Id="rId241" Type="http://schemas.openxmlformats.org/officeDocument/2006/relationships/hyperlink" Target="http://fr.wikipedia.org/wiki/M%C3%A9diterran%C3%A9e" TargetMode="External"/><Relationship Id="rId479" Type="http://schemas.openxmlformats.org/officeDocument/2006/relationships/image" Target="media/image206.jpeg"/><Relationship Id="rId686" Type="http://schemas.openxmlformats.org/officeDocument/2006/relationships/hyperlink" Target="https://fr.wikipedia.org/wiki/Famille_(biologie)" TargetMode="External"/><Relationship Id="rId893" Type="http://schemas.openxmlformats.org/officeDocument/2006/relationships/image" Target="media/image393.jpeg"/><Relationship Id="rId2367" Type="http://schemas.openxmlformats.org/officeDocument/2006/relationships/hyperlink" Target="http://fr.wikipedia.org/wiki/V%C3%A9tiver" TargetMode="External"/><Relationship Id="rId2574" Type="http://schemas.openxmlformats.org/officeDocument/2006/relationships/hyperlink" Target="https://fr.wikipedia.org/wiki/Algocarburant" TargetMode="External"/><Relationship Id="rId2781" Type="http://schemas.openxmlformats.org/officeDocument/2006/relationships/hyperlink" Target="https://fr.wikipedia.org/wiki/Spiruline" TargetMode="External"/><Relationship Id="rId3320" Type="http://schemas.openxmlformats.org/officeDocument/2006/relationships/image" Target="media/image1193.jpg"/><Relationship Id="rId3418" Type="http://schemas.openxmlformats.org/officeDocument/2006/relationships/hyperlink" Target="http://fr.wikipedia.org/wiki/Cendre" TargetMode="External"/><Relationship Id="rId3625" Type="http://schemas.openxmlformats.org/officeDocument/2006/relationships/hyperlink" Target="https://en.wikipedia.org/wiki/Ningxia" TargetMode="External"/><Relationship Id="rId339" Type="http://schemas.openxmlformats.org/officeDocument/2006/relationships/hyperlink" Target="http://fr.wikipedia.org/wiki/Pistachier_t%C3%A9r%C3%A9binthe" TargetMode="External"/><Relationship Id="rId546" Type="http://schemas.openxmlformats.org/officeDocument/2006/relationships/image" Target="media/image238.jpeg"/><Relationship Id="rId753" Type="http://schemas.openxmlformats.org/officeDocument/2006/relationships/image" Target="media/image328.jpeg"/><Relationship Id="rId1176" Type="http://schemas.openxmlformats.org/officeDocument/2006/relationships/image" Target="media/image566.jpeg"/><Relationship Id="rId1383" Type="http://schemas.openxmlformats.org/officeDocument/2006/relationships/hyperlink" Target="http://en.wikipedia.org/wiki/Tribune_Company" TargetMode="External"/><Relationship Id="rId2227" Type="http://schemas.openxmlformats.org/officeDocument/2006/relationships/image" Target="media/image846.jpeg"/><Relationship Id="rId2434" Type="http://schemas.openxmlformats.org/officeDocument/2006/relationships/image" Target="media/image894.jpeg"/><Relationship Id="rId2879" Type="http://schemas.openxmlformats.org/officeDocument/2006/relationships/hyperlink" Target="http://translate.googleusercontent.com/translate_c?depth=1&amp;hl=fr&amp;prev=search&amp;rurl=translate.google.fr&amp;sl=en&amp;u=http://en.wikipedia.org/wiki/Grass-roots&amp;usg=ALkJrhjAemZWd_ZYzu8znX-ikenmoawzYg" TargetMode="External"/><Relationship Id="rId3832" Type="http://schemas.openxmlformats.org/officeDocument/2006/relationships/hyperlink" Target="http://ideas.repec.org/a/eee/agiwat/v123y2013icp1-11.html" TargetMode="External"/><Relationship Id="rId101" Type="http://schemas.openxmlformats.org/officeDocument/2006/relationships/hyperlink" Target="https://fr.wikipedia.org/wiki/Aquif%C3%A8re" TargetMode="External"/><Relationship Id="rId406" Type="http://schemas.openxmlformats.org/officeDocument/2006/relationships/hyperlink" Target="https://fr.wikipedia.org/wiki/Afrique_du_Nord" TargetMode="External"/><Relationship Id="rId960" Type="http://schemas.openxmlformats.org/officeDocument/2006/relationships/hyperlink" Target="https://en.wikipedia.org/wiki/Panchkhal" TargetMode="External"/><Relationship Id="rId1036" Type="http://schemas.openxmlformats.org/officeDocument/2006/relationships/hyperlink" Target="https://en.wikipedia.org/wiki/Annona_glabra" TargetMode="External"/><Relationship Id="rId1243" Type="http://schemas.openxmlformats.org/officeDocument/2006/relationships/image" Target="media/image623.jpeg"/><Relationship Id="rId1590" Type="http://schemas.openxmlformats.org/officeDocument/2006/relationships/hyperlink" Target="http://fr.wikipedia.org/wiki/Rhopalosiphum" TargetMode="External"/><Relationship Id="rId1688" Type="http://schemas.openxmlformats.org/officeDocument/2006/relationships/hyperlink" Target="http://fr.wikipedia.org/wiki/Plante_succulente" TargetMode="External"/><Relationship Id="rId1895" Type="http://schemas.openxmlformats.org/officeDocument/2006/relationships/hyperlink" Target="https://fr.wikipedia.org/wiki/Riz" TargetMode="External"/><Relationship Id="rId2641" Type="http://schemas.openxmlformats.org/officeDocument/2006/relationships/hyperlink" Target="https://fr.wikipedia.org/wiki/Rhodophyta" TargetMode="External"/><Relationship Id="rId2739" Type="http://schemas.openxmlformats.org/officeDocument/2006/relationships/hyperlink" Target="https://fr.wikipedia.org/wiki/Arthrospira" TargetMode="External"/><Relationship Id="rId2946" Type="http://schemas.openxmlformats.org/officeDocument/2006/relationships/hyperlink" Target="http://fr.wikipedia.org/wiki/Encens_(r%C3%A9sine_oliban)" TargetMode="External"/><Relationship Id="rId4094" Type="http://schemas.openxmlformats.org/officeDocument/2006/relationships/hyperlink" Target="http://translate.googleusercontent.com/translate_c?depth=1&amp;hl=fr&amp;prev=/search?q%3Dprosopis%2Bjuliflora%26rlz%3D1C1GGGE_frFR479FR479%26es_sm%3D93&amp;rurl=translate.google.fr&amp;sl=en&amp;u=http://en.wikipedia.org/wiki/Australia&amp;usg=ALkJrhizly3WiT17gNxs3kM5-5lnx5CJYg" TargetMode="External"/><Relationship Id="rId4399" Type="http://schemas.openxmlformats.org/officeDocument/2006/relationships/hyperlink" Target="http://www.worldagroforestry.org/downloads/publications/PDFs/mn14474.pdf" TargetMode="External"/><Relationship Id="rId613" Type="http://schemas.openxmlformats.org/officeDocument/2006/relationships/hyperlink" Target="https://fr.wikipedia.org/wiki/Combretaceae" TargetMode="External"/><Relationship Id="rId820" Type="http://schemas.openxmlformats.org/officeDocument/2006/relationships/image" Target="media/image368.jpeg"/><Relationship Id="rId918" Type="http://schemas.openxmlformats.org/officeDocument/2006/relationships/image" Target="media/image409.jpg"/><Relationship Id="rId1450" Type="http://schemas.openxmlformats.org/officeDocument/2006/relationships/image" Target="media/image655.jpeg"/><Relationship Id="rId1548" Type="http://schemas.openxmlformats.org/officeDocument/2006/relationships/hyperlink" Target="http://www.beep.ird.fr/collect/upb/index/assoc/IDR-2009-BAM-CAR/IDR-2009-BAM-CAR.pdf" TargetMode="External"/><Relationship Id="rId1755" Type="http://schemas.openxmlformats.org/officeDocument/2006/relationships/hyperlink" Target="http://fr.wikipedia.org/wiki/Topinambour" TargetMode="External"/><Relationship Id="rId2501" Type="http://schemas.openxmlformats.org/officeDocument/2006/relationships/hyperlink" Target="https://fr.wikipedia.org/wiki/Lignine" TargetMode="External"/><Relationship Id="rId4161" Type="http://schemas.openxmlformats.org/officeDocument/2006/relationships/image" Target="media/image1429.jpeg"/><Relationship Id="rId1103" Type="http://schemas.openxmlformats.org/officeDocument/2006/relationships/image" Target="media/image526.jpg"/><Relationship Id="rId1310" Type="http://schemas.openxmlformats.org/officeDocument/2006/relationships/hyperlink" Target="http://translate.googleusercontent.com/translate_c?depth=1&amp;hl=fr&amp;prev=/search?q=salicornia+herbacea+wikipedia&amp;biw=1440&amp;bih=732&amp;rurl=translate.google.fr&amp;sl=en&amp;u=http://en.wikipedia.org/wiki/Bahia_de_Kino&amp;usg=ALkJrhjhF0OWuvda7blGUbBWV1YBC4ABXQ" TargetMode="External"/><Relationship Id="rId1408" Type="http://schemas.openxmlformats.org/officeDocument/2006/relationships/hyperlink" Target="http://www.bashanfoundation.org/gmaweb/pdfs/growth.pdf" TargetMode="External"/><Relationship Id="rId1962" Type="http://schemas.openxmlformats.org/officeDocument/2006/relationships/hyperlink" Target="https://en.wikipedia.org/wiki/Roti" TargetMode="External"/><Relationship Id="rId2806" Type="http://schemas.openxmlformats.org/officeDocument/2006/relationships/hyperlink" Target="http://fr.wikipedia.org/wiki/Salvadora_persica" TargetMode="External"/><Relationship Id="rId4021" Type="http://schemas.openxmlformats.org/officeDocument/2006/relationships/hyperlink" Target="http://en.wikipedia.org/wiki/Wetlands" TargetMode="External"/><Relationship Id="rId4259" Type="http://schemas.openxmlformats.org/officeDocument/2006/relationships/hyperlink" Target="http://www.cabi.org/isc/datasheet/52486" TargetMode="External"/><Relationship Id="rId4466" Type="http://schemas.openxmlformats.org/officeDocument/2006/relationships/hyperlink" Target="mailto:info@seawatergreenhouse.com" TargetMode="External"/><Relationship Id="rId47" Type="http://schemas.openxmlformats.org/officeDocument/2006/relationships/image" Target="media/image12.png"/><Relationship Id="rId1615" Type="http://schemas.openxmlformats.org/officeDocument/2006/relationships/hyperlink" Target="http://translate.googleusercontent.com/translate_c?depth=1&amp;hl=fr&amp;prev=/search?q%3DDistichlis%2Bpalmeri%26biw%3D1440%26bih%3D732&amp;rurl=translate.google.fr&amp;sl=en&amp;u=http://en.wikipedia.org/wiki/Wheat&amp;usg=ALkJrhhEC2f-dTUGVjnYwUj1S43SbsB19Q" TargetMode="External"/><Relationship Id="rId1822" Type="http://schemas.openxmlformats.org/officeDocument/2006/relationships/hyperlink" Target="https://fr.wikipedia.org/wiki/Nigeria" TargetMode="External"/><Relationship Id="rId3068" Type="http://schemas.openxmlformats.org/officeDocument/2006/relationships/image" Target="media/image1023.jpeg"/><Relationship Id="rId3275" Type="http://schemas.openxmlformats.org/officeDocument/2006/relationships/image" Target="media/image1167.jpg"/><Relationship Id="rId3482" Type="http://schemas.openxmlformats.org/officeDocument/2006/relationships/image" Target="media/image1298.jpeg"/><Relationship Id="rId4119" Type="http://schemas.openxmlformats.org/officeDocument/2006/relationships/image" Target="media/image1424.jpeg"/><Relationship Id="rId4326" Type="http://schemas.openxmlformats.org/officeDocument/2006/relationships/hyperlink" Target="http://fr.wikipedia.org/wiki/Esp%C3%A8ce_envahissante" TargetMode="External"/><Relationship Id="rId4533" Type="http://schemas.openxmlformats.org/officeDocument/2006/relationships/hyperlink" Target="mailto:mail@sahel.org.uk" TargetMode="External"/><Relationship Id="rId196" Type="http://schemas.openxmlformats.org/officeDocument/2006/relationships/image" Target="media/image90.jpg"/><Relationship Id="rId2084" Type="http://schemas.openxmlformats.org/officeDocument/2006/relationships/hyperlink" Target="https://fr.wikipedia.org/wiki/Moisissure" TargetMode="External"/><Relationship Id="rId2291" Type="http://schemas.openxmlformats.org/officeDocument/2006/relationships/hyperlink" Target="http://translate.googleusercontent.com/translate_c?depth=1&amp;hl=fr&amp;prev=/search?q%3DMelilotus%2Bindicus%26biw%3D1440%26bih%3D732&amp;rurl=translate.google.fr&amp;sl=en&amp;u=http://en.wikipedia.org/wiki/Africa&amp;usg=ALkJrhi0brpyNdn_FVPcOFX_YY6aaEC-kA" TargetMode="External"/><Relationship Id="rId3135" Type="http://schemas.openxmlformats.org/officeDocument/2006/relationships/image" Target="media/image1077.jpeg"/><Relationship Id="rId3342" Type="http://schemas.openxmlformats.org/officeDocument/2006/relationships/hyperlink" Target="http://www.futura-sciences.com/fr/definition/t/terre-1/d/hydrologie_4400/" TargetMode="External"/><Relationship Id="rId3787" Type="http://schemas.openxmlformats.org/officeDocument/2006/relationships/hyperlink" Target="http://ideas.repec.org/a/eee/agiwat/v90y2007i3p165-180.html" TargetMode="External"/><Relationship Id="rId3994" Type="http://schemas.openxmlformats.org/officeDocument/2006/relationships/hyperlink" Target="http://fr.wikipedia.org/wiki/Pacifique" TargetMode="External"/><Relationship Id="rId263" Type="http://schemas.openxmlformats.org/officeDocument/2006/relationships/image" Target="media/image115.jpeg"/><Relationship Id="rId470" Type="http://schemas.openxmlformats.org/officeDocument/2006/relationships/hyperlink" Target="https://fr.wikipedia.org/wiki/Famille_(biologie)" TargetMode="External"/><Relationship Id="rId2151" Type="http://schemas.openxmlformats.org/officeDocument/2006/relationships/hyperlink" Target="https://fr.wikipedia.org/wiki/Plante_herbac%C3%A9e" TargetMode="External"/><Relationship Id="rId2389" Type="http://schemas.openxmlformats.org/officeDocument/2006/relationships/hyperlink" Target="http://en.wikipedia.org/wiki/Chrysopogon_nigritanus" TargetMode="External"/><Relationship Id="rId2596" Type="http://schemas.openxmlformats.org/officeDocument/2006/relationships/hyperlink" Target="https://fr.wikipedia.org/wiki/Phaeophyceae" TargetMode="External"/><Relationship Id="rId3202" Type="http://schemas.openxmlformats.org/officeDocument/2006/relationships/image" Target="media/image1116.jpeg"/><Relationship Id="rId3647" Type="http://schemas.openxmlformats.org/officeDocument/2006/relationships/image" Target="media/image1337.jpg"/><Relationship Id="rId3854" Type="http://schemas.openxmlformats.org/officeDocument/2006/relationships/hyperlink" Target="http://www.ncbi.nlm.nih.gov/pubmed/23771136" TargetMode="External"/><Relationship Id="rId123" Type="http://schemas.openxmlformats.org/officeDocument/2006/relationships/hyperlink" Target="https://en.wikipedia.org/wiki/Saponin" TargetMode="External"/><Relationship Id="rId330" Type="http://schemas.openxmlformats.org/officeDocument/2006/relationships/image" Target="media/image153.jpeg"/><Relationship Id="rId568" Type="http://schemas.openxmlformats.org/officeDocument/2006/relationships/image" Target="media/image250.jpeg"/><Relationship Id="rId775" Type="http://schemas.openxmlformats.org/officeDocument/2006/relationships/image" Target="media/image339.jpeg"/><Relationship Id="rId982" Type="http://schemas.openxmlformats.org/officeDocument/2006/relationships/image" Target="media/image438.jpeg"/><Relationship Id="rId1198" Type="http://schemas.openxmlformats.org/officeDocument/2006/relationships/image" Target="media/image583.jpeg"/><Relationship Id="rId2011" Type="http://schemas.openxmlformats.org/officeDocument/2006/relationships/hyperlink" Target="https://en.wikipedia.org/wiki/Nematode" TargetMode="External"/><Relationship Id="rId2249" Type="http://schemas.openxmlformats.org/officeDocument/2006/relationships/hyperlink" Target="https://fr.wikipedia.org/wiki/Organisation_mondiale_de_la_sant%C3%A9" TargetMode="External"/><Relationship Id="rId2456" Type="http://schemas.openxmlformats.org/officeDocument/2006/relationships/hyperlink" Target="http://fr.wikipedia.org/wiki/Rhizome" TargetMode="External"/><Relationship Id="rId2663" Type="http://schemas.openxmlformats.org/officeDocument/2006/relationships/hyperlink" Target="https://fr.wikipedia.org/wiki/Famille_(biologie)" TargetMode="External"/><Relationship Id="rId2870" Type="http://schemas.openxmlformats.org/officeDocument/2006/relationships/hyperlink" Target="http://translate.googleusercontent.com/translate_c?depth=1&amp;hl=fr&amp;prev=search&amp;rurl=translate.google.fr&amp;sl=en&amp;u=http://en.wikipedia.org/wiki/Soil&amp;usg=ALkJrhgEHT2J5csFCXXgVW8gMGHK9WCgWA" TargetMode="External"/><Relationship Id="rId3507" Type="http://schemas.openxmlformats.org/officeDocument/2006/relationships/image" Target="media/image1317.jpeg"/><Relationship Id="rId3714" Type="http://schemas.openxmlformats.org/officeDocument/2006/relationships/hyperlink" Target="https://www.20minutes.fr/planete/3088055-20210721-rechauffement-climatique-photos-virales-glacier-siecle-intervalle-illustration-parfaite-recul-glaciers" TargetMode="External"/><Relationship Id="rId3921" Type="http://schemas.openxmlformats.org/officeDocument/2006/relationships/hyperlink" Target="https://www.downtoearth.org.in/news/wildlife-biodiversity/mesoamerica-origin-of-several-global-crops-faces-floristic-biodiversity-loss-study-78895" TargetMode="External"/><Relationship Id="rId428" Type="http://schemas.openxmlformats.org/officeDocument/2006/relationships/image" Target="media/image180.jpeg"/><Relationship Id="rId635" Type="http://schemas.openxmlformats.org/officeDocument/2006/relationships/hyperlink" Target="http://www.bordeaux-aquitaine.inra.fr/Toutes-les-actualites/Communique-presse-Callitris-tuberculata-l-arbre-le-plus-resistant-du-monde-a-la-secheresse" TargetMode="External"/><Relationship Id="rId842" Type="http://schemas.openxmlformats.org/officeDocument/2006/relationships/hyperlink" Target="http://translate.googleusercontent.com/translate_c?depth=1&amp;hl=fr&amp;prev=/search?q=Salsola+vermiculata&amp;biw=1440&amp;bih=732&amp;rurl=translate.google.fr&amp;sl=es&amp;u=http://es.wikipedia.org/wiki/Rama&amp;usg=ALkJrhjI4_kTpn1eoQia8mlK3TxFedD3JQ" TargetMode="External"/><Relationship Id="rId1058" Type="http://schemas.openxmlformats.org/officeDocument/2006/relationships/hyperlink" Target="https://fr.wikipedia.org/wiki/Guadeloupe" TargetMode="External"/><Relationship Id="rId1265" Type="http://schemas.openxmlformats.org/officeDocument/2006/relationships/hyperlink" Target="http://en.wikipedia.org/wiki/Salinity" TargetMode="External"/><Relationship Id="rId1472" Type="http://schemas.openxmlformats.org/officeDocument/2006/relationships/hyperlink" Target="http://fr.wikipedia.org/wiki/Asparagus_acutifolius" TargetMode="External"/><Relationship Id="rId2109" Type="http://schemas.openxmlformats.org/officeDocument/2006/relationships/image" Target="media/image807.jpeg"/><Relationship Id="rId2316" Type="http://schemas.openxmlformats.org/officeDocument/2006/relationships/hyperlink" Target="http://fr.wikipedia.org/wiki/Prot%C3%A9ine" TargetMode="External"/><Relationship Id="rId2523" Type="http://schemas.openxmlformats.org/officeDocument/2006/relationships/image" Target="media/image910.jpeg"/><Relationship Id="rId2730" Type="http://schemas.openxmlformats.org/officeDocument/2006/relationships/hyperlink" Target="https://fr.wikipedia.org/wiki/Francophonie" TargetMode="External"/><Relationship Id="rId2968" Type="http://schemas.openxmlformats.org/officeDocument/2006/relationships/hyperlink" Target="http://fr.wikipedia.org/wiki/Burseraceae" TargetMode="External"/><Relationship Id="rId4183" Type="http://schemas.openxmlformats.org/officeDocument/2006/relationships/hyperlink" Target="http://www.cabi.org/isc/datasheet/112578" TargetMode="External"/><Relationship Id="rId702" Type="http://schemas.openxmlformats.org/officeDocument/2006/relationships/image" Target="media/image302.jpeg"/><Relationship Id="rId1125" Type="http://schemas.openxmlformats.org/officeDocument/2006/relationships/hyperlink" Target="https://fr.wikipedia.org/wiki/Rhizophora" TargetMode="External"/><Relationship Id="rId1332" Type="http://schemas.openxmlformats.org/officeDocument/2006/relationships/hyperlink" Target="http://www.gcrio.org/usiji/pdf/Mexico-3%203-04.pdf" TargetMode="External"/><Relationship Id="rId1777" Type="http://schemas.openxmlformats.org/officeDocument/2006/relationships/hyperlink" Target="http://simple.wikipedia.org/wiki/Sunflower" TargetMode="External"/><Relationship Id="rId1984" Type="http://schemas.openxmlformats.org/officeDocument/2006/relationships/hyperlink" Target="https://fr.wikipedia.org/wiki/Communaut%C3%A9_%C3%A9conomique_des_%C3%89tats_de_l%27Afrique_de_l%27Ouest" TargetMode="External"/><Relationship Id="rId2828" Type="http://schemas.openxmlformats.org/officeDocument/2006/relationships/hyperlink" Target="http://en.wikipedia.org/wiki/Salvadora_persica" TargetMode="External"/><Relationship Id="rId4390" Type="http://schemas.openxmlformats.org/officeDocument/2006/relationships/hyperlink" Target="http://www.cdfa.ca.gov/plant/ipc/weedinfo/helianthus.htm" TargetMode="External"/><Relationship Id="rId4488" Type="http://schemas.openxmlformats.org/officeDocument/2006/relationships/hyperlink" Target="http://fr.wikipedia.org/wiki/Faune_(biologie)" TargetMode="External"/><Relationship Id="rId69" Type="http://schemas.openxmlformats.org/officeDocument/2006/relationships/image" Target="media/image31.png"/><Relationship Id="rId1637" Type="http://schemas.openxmlformats.org/officeDocument/2006/relationships/image" Target="media/image700.jpeg"/><Relationship Id="rId1844" Type="http://schemas.openxmlformats.org/officeDocument/2006/relationships/image" Target="media/image766.jpeg"/><Relationship Id="rId3297" Type="http://schemas.openxmlformats.org/officeDocument/2006/relationships/image" Target="media/image1176.jpeg"/><Relationship Id="rId4043" Type="http://schemas.openxmlformats.org/officeDocument/2006/relationships/image" Target="media/image1399.jpg"/><Relationship Id="rId4250" Type="http://schemas.openxmlformats.org/officeDocument/2006/relationships/hyperlink" Target="https://en.wikipedia.org/wiki/Flowering_plant" TargetMode="External"/><Relationship Id="rId4348" Type="http://schemas.openxmlformats.org/officeDocument/2006/relationships/hyperlink" Target="https://en.wikipedia.org/wiki/Typha_domingensis" TargetMode="External"/><Relationship Id="rId1704" Type="http://schemas.openxmlformats.org/officeDocument/2006/relationships/hyperlink" Target="https://fr.wikipedia.org/wiki/Atlantique" TargetMode="External"/><Relationship Id="rId3157" Type="http://schemas.openxmlformats.org/officeDocument/2006/relationships/hyperlink" Target="http://fr.wikipedia.org/wiki/Combe" TargetMode="External"/><Relationship Id="rId4110" Type="http://schemas.openxmlformats.org/officeDocument/2006/relationships/hyperlink" Target="https://en.wikipedia.org/wiki/Inflorescence" TargetMode="External"/><Relationship Id="rId4555" Type="http://schemas.openxmlformats.org/officeDocument/2006/relationships/hyperlink" Target="http://doc-developpement-durable.org/file/" TargetMode="External"/><Relationship Id="rId285" Type="http://schemas.openxmlformats.org/officeDocument/2006/relationships/image" Target="media/image127.jpeg"/><Relationship Id="rId1911" Type="http://schemas.openxmlformats.org/officeDocument/2006/relationships/hyperlink" Target="https://fr.wikipedia.org/wiki/Sorghum_%C3%97drummondii" TargetMode="External"/><Relationship Id="rId3364" Type="http://schemas.openxmlformats.org/officeDocument/2006/relationships/image" Target="media/image1225.jpeg"/><Relationship Id="rId3571" Type="http://schemas.openxmlformats.org/officeDocument/2006/relationships/hyperlink" Target="https://fr.wikipedia.org/wiki/Phoenix_dactylifera" TargetMode="External"/><Relationship Id="rId3669" Type="http://schemas.openxmlformats.org/officeDocument/2006/relationships/image" Target="media/image1353.jpeg"/><Relationship Id="rId4208" Type="http://schemas.openxmlformats.org/officeDocument/2006/relationships/hyperlink" Target="http://www.cabi.org/isc/datasheet/112588" TargetMode="External"/><Relationship Id="rId4415" Type="http://schemas.openxmlformats.org/officeDocument/2006/relationships/hyperlink" Target="http://fr.wiktionary.org/wiki/d%C3%A9tachant" TargetMode="External"/><Relationship Id="rId492" Type="http://schemas.openxmlformats.org/officeDocument/2006/relationships/hyperlink" Target="http://gardenbreizh.org/modules/gbdb/plante-275-olea-europaea.html" TargetMode="External"/><Relationship Id="rId797" Type="http://schemas.openxmlformats.org/officeDocument/2006/relationships/image" Target="media/image353.jpeg"/><Relationship Id="rId2173" Type="http://schemas.openxmlformats.org/officeDocument/2006/relationships/hyperlink" Target="https://fr.wikipedia.org/wiki/Radicule" TargetMode="External"/><Relationship Id="rId2380" Type="http://schemas.openxmlformats.org/officeDocument/2006/relationships/hyperlink" Target="http://translate.googleusercontent.com/translate_c?depth=1&amp;hl=fr&amp;prev=/search?q%3DChrysopogon%2Bnigritanus%26biw%3D1440%26bih%3D732&amp;rurl=translate.google.fr&amp;sl=en&amp;u=http://en.wikipedia.org/wiki/Chrysopogon_nigritanus&amp;usg=ALkJrhioW7G9jF2WCus3kv5BqmakA6qcqw" TargetMode="External"/><Relationship Id="rId2478" Type="http://schemas.openxmlformats.org/officeDocument/2006/relationships/hyperlink" Target="https://fr.wikipedia.org/wiki/Famille_(biologie)" TargetMode="External"/><Relationship Id="rId3017" Type="http://schemas.openxmlformats.org/officeDocument/2006/relationships/hyperlink" Target="http://fr.wikipedia.org/wiki/Rof%C3%A9coxib" TargetMode="External"/><Relationship Id="rId3224" Type="http://schemas.openxmlformats.org/officeDocument/2006/relationships/image" Target="media/image1137.jpeg"/><Relationship Id="rId3431" Type="http://schemas.openxmlformats.org/officeDocument/2006/relationships/image" Target="media/image1267.jpeg"/><Relationship Id="rId3876" Type="http://schemas.openxmlformats.org/officeDocument/2006/relationships/hyperlink" Target="http://doc-developpement-durable.org/file/" TargetMode="External"/><Relationship Id="rId145" Type="http://schemas.openxmlformats.org/officeDocument/2006/relationships/image" Target="media/image52.jpeg"/><Relationship Id="rId352" Type="http://schemas.openxmlformats.org/officeDocument/2006/relationships/image" Target="media/image168.jpeg"/><Relationship Id="rId1287" Type="http://schemas.openxmlformats.org/officeDocument/2006/relationships/hyperlink" Target="http://fr.wikipedia.org/wiki/P%C3%A9trole" TargetMode="External"/><Relationship Id="rId2033" Type="http://schemas.openxmlformats.org/officeDocument/2006/relationships/hyperlink" Target="https://fr.wikipedia.org/wiki/Vigna_unguiculata_unguiculata" TargetMode="External"/><Relationship Id="rId2240" Type="http://schemas.openxmlformats.org/officeDocument/2006/relationships/hyperlink" Target="https://fr.wikipedia.org/wiki/Feuillage" TargetMode="External"/><Relationship Id="rId2685" Type="http://schemas.openxmlformats.org/officeDocument/2006/relationships/hyperlink" Target="https://fr.wikipedia.org/wiki/Gracilaria" TargetMode="External"/><Relationship Id="rId2892" Type="http://schemas.openxmlformats.org/officeDocument/2006/relationships/hyperlink" Target="https://fr.wikipedia.org/wiki/Famille_(biologie)" TargetMode="External"/><Relationship Id="rId3529" Type="http://schemas.openxmlformats.org/officeDocument/2006/relationships/hyperlink" Target="https://fr.wikipedia.org/wiki/Dakota_du_Sud" TargetMode="External"/><Relationship Id="rId3736" Type="http://schemas.openxmlformats.org/officeDocument/2006/relationships/hyperlink" Target="https://geoecotrop.be/uploads/publications/pub_331_08.pdf" TargetMode="External"/><Relationship Id="rId3943" Type="http://schemas.openxmlformats.org/officeDocument/2006/relationships/image" Target="media/image1360.jpeg"/><Relationship Id="rId212" Type="http://schemas.openxmlformats.org/officeDocument/2006/relationships/hyperlink" Target="http://fr.wikipedia.org/wiki/Suaeda_maritima" TargetMode="External"/><Relationship Id="rId657" Type="http://schemas.openxmlformats.org/officeDocument/2006/relationships/hyperlink" Target="http://tropical.theferns.info/viewtropical.php?id=Pterocarpus+angolensis" TargetMode="External"/><Relationship Id="rId864" Type="http://schemas.openxmlformats.org/officeDocument/2006/relationships/image" Target="media/image385.jpeg"/><Relationship Id="rId1494" Type="http://schemas.openxmlformats.org/officeDocument/2006/relationships/hyperlink" Target="http://fr.wikipedia.org/wiki/Littoral" TargetMode="External"/><Relationship Id="rId1799" Type="http://schemas.openxmlformats.org/officeDocument/2006/relationships/hyperlink" Target="https://fr.wikipedia.org/wiki/Mil_(c%C3%A9r%C3%A9ale)" TargetMode="External"/><Relationship Id="rId2100" Type="http://schemas.openxmlformats.org/officeDocument/2006/relationships/hyperlink" Target="https://en.wikipedia.org/wiki/Lactose" TargetMode="External"/><Relationship Id="rId2338" Type="http://schemas.openxmlformats.org/officeDocument/2006/relationships/hyperlink" Target="http://fr.wikipedia.org/wiki/Racine_(botanique)" TargetMode="External"/><Relationship Id="rId2545" Type="http://schemas.openxmlformats.org/officeDocument/2006/relationships/image" Target="media/image918.jpeg"/><Relationship Id="rId2752" Type="http://schemas.openxmlformats.org/officeDocument/2006/relationships/hyperlink" Target="https://fr.wikipedia.org/wiki/France" TargetMode="External"/><Relationship Id="rId3803" Type="http://schemas.openxmlformats.org/officeDocument/2006/relationships/hyperlink" Target="http://ideas.repec.org/a/eee/agiwat/v78y2005i1-2p108-121.html" TargetMode="External"/><Relationship Id="rId517" Type="http://schemas.openxmlformats.org/officeDocument/2006/relationships/hyperlink" Target="http://www.legume-fruit-maroc.com/amandier.php" TargetMode="External"/><Relationship Id="rId724" Type="http://schemas.openxmlformats.org/officeDocument/2006/relationships/image" Target="media/image313.jpeg"/><Relationship Id="rId931" Type="http://schemas.openxmlformats.org/officeDocument/2006/relationships/image" Target="media/image418.jpg"/><Relationship Id="rId1147" Type="http://schemas.openxmlformats.org/officeDocument/2006/relationships/image" Target="media/image552.jpeg"/><Relationship Id="rId1354" Type="http://schemas.openxmlformats.org/officeDocument/2006/relationships/hyperlink" Target="http://www.kfu.edu.sa/sjournal/eng/pdffiles/BVOL4NO1_5.pdf" TargetMode="External"/><Relationship Id="rId1561" Type="http://schemas.openxmlformats.org/officeDocument/2006/relationships/hyperlink" Target="https://fr.wikipedia.org/wiki/Hawaii" TargetMode="External"/><Relationship Id="rId2405" Type="http://schemas.openxmlformats.org/officeDocument/2006/relationships/hyperlink" Target="http://fr.wikipedia.org/wiki/C%C3%A9r%C3%A9ale" TargetMode="External"/><Relationship Id="rId2612" Type="http://schemas.openxmlformats.org/officeDocument/2006/relationships/hyperlink" Target="https://fr.wikipedia.org/wiki/Biosorption" TargetMode="External"/><Relationship Id="rId4065" Type="http://schemas.openxmlformats.org/officeDocument/2006/relationships/hyperlink" Target="https://fr.wikipedia.org/w/index.php?title=Penthobruchus_germaini&amp;action=edit&amp;redlink=1" TargetMode="External"/><Relationship Id="rId4272" Type="http://schemas.openxmlformats.org/officeDocument/2006/relationships/hyperlink" Target="http://www.cabi.org/isc/datasheet/52503" TargetMode="External"/><Relationship Id="rId60" Type="http://schemas.openxmlformats.org/officeDocument/2006/relationships/image" Target="media/image25.jpeg"/><Relationship Id="rId1007" Type="http://schemas.openxmlformats.org/officeDocument/2006/relationships/hyperlink" Target="https://en.wikipedia.org/wiki/Manchineel" TargetMode="External"/><Relationship Id="rId1214" Type="http://schemas.openxmlformats.org/officeDocument/2006/relationships/image" Target="media/image595.jpeg"/><Relationship Id="rId1421" Type="http://schemas.openxmlformats.org/officeDocument/2006/relationships/hyperlink" Target="http://www.bashanfoundation.org/gmaweb/pdfs/growth.pdf" TargetMode="External"/><Relationship Id="rId1659" Type="http://schemas.openxmlformats.org/officeDocument/2006/relationships/hyperlink" Target="https://www.potatopro.com/news/2017/growing-salt-tolerant-potatoes-pakistan" TargetMode="External"/><Relationship Id="rId1866" Type="http://schemas.openxmlformats.org/officeDocument/2006/relationships/hyperlink" Target="https://fr.wikipedia.org/wiki/Millet_(gramin%C3%A9e)" TargetMode="External"/><Relationship Id="rId2917" Type="http://schemas.openxmlformats.org/officeDocument/2006/relationships/hyperlink" Target="http://translate.googleusercontent.com/translate_c?depth=1&amp;hl=fr&amp;prev=search&amp;rurl=translate.google.fr&amp;sl=en&amp;u=http://en.wikipedia.org/wiki/Bdellium&amp;usg=ALkJrhinMrB4CCRGVfV1P1n_8GEehLhOCw" TargetMode="External"/><Relationship Id="rId3081" Type="http://schemas.openxmlformats.org/officeDocument/2006/relationships/image" Target="media/image1034.jpeg"/><Relationship Id="rId4132" Type="http://schemas.openxmlformats.org/officeDocument/2006/relationships/hyperlink" Target="http://fr.wikipedia.org/wiki/Decan" TargetMode="External"/><Relationship Id="rId1519" Type="http://schemas.openxmlformats.org/officeDocument/2006/relationships/hyperlink" Target="https://fr.wikipedia.org/wiki/Corme_(bulbe)" TargetMode="External"/><Relationship Id="rId1726" Type="http://schemas.openxmlformats.org/officeDocument/2006/relationships/hyperlink" Target="https://www.semencemag.fr/plantes-sols-sel.html" TargetMode="External"/><Relationship Id="rId1933" Type="http://schemas.openxmlformats.org/officeDocument/2006/relationships/hyperlink" Target="https://en.wikipedia.org/wiki/Waterlogging_(agriculture)" TargetMode="External"/><Relationship Id="rId3179" Type="http://schemas.openxmlformats.org/officeDocument/2006/relationships/image" Target="media/image1098.png"/><Relationship Id="rId3386" Type="http://schemas.openxmlformats.org/officeDocument/2006/relationships/image" Target="media/image1246.jpeg"/><Relationship Id="rId3593" Type="http://schemas.openxmlformats.org/officeDocument/2006/relationships/hyperlink" Target="https://fr.wikipedia.org/wiki/Niger" TargetMode="External"/><Relationship Id="rId4437" Type="http://schemas.openxmlformats.org/officeDocument/2006/relationships/hyperlink" Target="http://fr.wiktionary.org/wiki/juguler" TargetMode="External"/><Relationship Id="rId18" Type="http://schemas.openxmlformats.org/officeDocument/2006/relationships/hyperlink" Target="https://fr.wikipedia.org/wiki/Botanique" TargetMode="External"/><Relationship Id="rId2195" Type="http://schemas.openxmlformats.org/officeDocument/2006/relationships/hyperlink" Target="https://en.wikipedia.org/wiki/Breeding_program" TargetMode="External"/><Relationship Id="rId3039" Type="http://schemas.openxmlformats.org/officeDocument/2006/relationships/hyperlink" Target="http://en.wikipedia.org/wiki/Levee" TargetMode="External"/><Relationship Id="rId3246" Type="http://schemas.openxmlformats.org/officeDocument/2006/relationships/hyperlink" Target="https://en.wikipedia.org/wiki/Plainville,_New_York" TargetMode="External"/><Relationship Id="rId3453" Type="http://schemas.openxmlformats.org/officeDocument/2006/relationships/image" Target="media/image1289.png"/><Relationship Id="rId3898" Type="http://schemas.openxmlformats.org/officeDocument/2006/relationships/hyperlink" Target="http://www.l-eau-du-desert.com/ledd/khettaras" TargetMode="External"/><Relationship Id="rId167" Type="http://schemas.openxmlformats.org/officeDocument/2006/relationships/image" Target="media/image74.jpg"/><Relationship Id="rId374" Type="http://schemas.openxmlformats.org/officeDocument/2006/relationships/hyperlink" Target="https://fr.wikipedia.org/wiki/Vitis_berlandieri" TargetMode="External"/><Relationship Id="rId581" Type="http://schemas.openxmlformats.org/officeDocument/2006/relationships/image" Target="media/image251.jpeg"/><Relationship Id="rId2055" Type="http://schemas.openxmlformats.org/officeDocument/2006/relationships/hyperlink" Target="https://en.wikipedia.org/wiki/Gullah_people" TargetMode="External"/><Relationship Id="rId2262" Type="http://schemas.openxmlformats.org/officeDocument/2006/relationships/image" Target="media/image855.jpeg"/><Relationship Id="rId3106" Type="http://schemas.openxmlformats.org/officeDocument/2006/relationships/image" Target="media/image1058.jpeg"/><Relationship Id="rId3660" Type="http://schemas.openxmlformats.org/officeDocument/2006/relationships/hyperlink" Target="https://twitter.com/SaltFarmTexel" TargetMode="External"/><Relationship Id="rId3758" Type="http://schemas.openxmlformats.org/officeDocument/2006/relationships/hyperlink" Target="http://www.miracosta.edu/home/kmeldahl/articles/crops.pdf" TargetMode="External"/><Relationship Id="rId3965" Type="http://schemas.openxmlformats.org/officeDocument/2006/relationships/image" Target="media/image1370.jpeg"/><Relationship Id="rId4504" Type="http://schemas.openxmlformats.org/officeDocument/2006/relationships/hyperlink" Target="http://popups.ulg.ac.be/1780-4507/index.php?id=9586" TargetMode="External"/><Relationship Id="rId234" Type="http://schemas.openxmlformats.org/officeDocument/2006/relationships/hyperlink" Target="https://fr.wikipedia.org/wiki/Vitis_vinifera" TargetMode="External"/><Relationship Id="rId679" Type="http://schemas.openxmlformats.org/officeDocument/2006/relationships/hyperlink" Target="http://www.doc-developpement-durable.org/fiches-arbres/Fiche-presentation-albizia-lebbeck.pdf" TargetMode="External"/><Relationship Id="rId886" Type="http://schemas.openxmlformats.org/officeDocument/2006/relationships/hyperlink" Target="https://en.wikipedia.org/wiki/Tamarix_nilotica" TargetMode="External"/><Relationship Id="rId2567" Type="http://schemas.openxmlformats.org/officeDocument/2006/relationships/image" Target="media/image924.jpeg"/><Relationship Id="rId2774" Type="http://schemas.openxmlformats.org/officeDocument/2006/relationships/hyperlink" Target="https://fr.wikipedia.org/wiki/Nitrate_de_potassium" TargetMode="External"/><Relationship Id="rId3313" Type="http://schemas.openxmlformats.org/officeDocument/2006/relationships/image" Target="media/image1186.jpg"/><Relationship Id="rId3520" Type="http://schemas.openxmlformats.org/officeDocument/2006/relationships/hyperlink" Target="https://fr.wikipedia.org/wiki/Projet_Shelterbelt" TargetMode="External"/><Relationship Id="rId3618" Type="http://schemas.openxmlformats.org/officeDocument/2006/relationships/hyperlink" Target="https://fr.wikipedia.org/wiki/Nappe_phr%C3%A9atique" TargetMode="External"/><Relationship Id="rId2" Type="http://schemas.openxmlformats.org/officeDocument/2006/relationships/numbering" Target="numbering.xml"/><Relationship Id="rId441" Type="http://schemas.openxmlformats.org/officeDocument/2006/relationships/hyperlink" Target="http://benjamin.lisan.free.fr/projetsreforestation/Fiche-presentation-arbre-arganier.pdf" TargetMode="External"/><Relationship Id="rId539" Type="http://schemas.openxmlformats.org/officeDocument/2006/relationships/hyperlink" Target="http://fr.wikipedia.org/wiki/Figuier_sycomore" TargetMode="External"/><Relationship Id="rId746" Type="http://schemas.openxmlformats.org/officeDocument/2006/relationships/image" Target="media/image324.jpeg"/><Relationship Id="rId1071" Type="http://schemas.openxmlformats.org/officeDocument/2006/relationships/hyperlink" Target="http://fr.wikipedia.org/wiki/%C3%89cosyst%C3%A8me" TargetMode="External"/><Relationship Id="rId1169" Type="http://schemas.openxmlformats.org/officeDocument/2006/relationships/hyperlink" Target="https://en.wikipedia.org/wiki/Cochin" TargetMode="External"/><Relationship Id="rId1376" Type="http://schemas.openxmlformats.org/officeDocument/2006/relationships/hyperlink" Target="http://articles.latimes.com/2008/jul/10/business/fi-seafarm10" TargetMode="External"/><Relationship Id="rId1583" Type="http://schemas.openxmlformats.org/officeDocument/2006/relationships/hyperlink" Target="http://translate.googleusercontent.com/translate_c?depth=1&amp;hl=fr&amp;prev=/search?q%3Dhordeum%2Bvulgare%2Bwikipedia%26biw%3D1440%26bih%3D732&amp;rurl=translate.google.fr&amp;sl=en&amp;u=http://en.wikipedia.org/wiki/Health_food&amp;usg=ALkJrhiQHAtL19GVNBJ1eehe3dS-pfBTaQ" TargetMode="External"/><Relationship Id="rId2122" Type="http://schemas.openxmlformats.org/officeDocument/2006/relationships/image" Target="media/image819.jpeg"/><Relationship Id="rId2427" Type="http://schemas.openxmlformats.org/officeDocument/2006/relationships/hyperlink" Target="http://en.wikipedia.org/wiki/Panicum_virgatum" TargetMode="External"/><Relationship Id="rId2981" Type="http://schemas.openxmlformats.org/officeDocument/2006/relationships/hyperlink" Target="http://en.wikipedia.org/wiki/Boswellia_serrata" TargetMode="External"/><Relationship Id="rId3825" Type="http://schemas.openxmlformats.org/officeDocument/2006/relationships/hyperlink" Target="http://ideas.repec.org/a/eee/agiwat/v123y2013icp1-11.html" TargetMode="External"/><Relationship Id="rId301" Type="http://schemas.openxmlformats.org/officeDocument/2006/relationships/image" Target="media/image135.jpeg"/><Relationship Id="rId953" Type="http://schemas.openxmlformats.org/officeDocument/2006/relationships/hyperlink" Target="https://fr.wikipedia.org/wiki/Rejet_(botanique)" TargetMode="External"/><Relationship Id="rId1029" Type="http://schemas.openxmlformats.org/officeDocument/2006/relationships/hyperlink" Target="http://www.ac-guadeloupe.fr/Cati971/Prem_Degre/preste/activite_classe_fichiers/lesite/vegetation1.html" TargetMode="External"/><Relationship Id="rId1236" Type="http://schemas.openxmlformats.org/officeDocument/2006/relationships/image" Target="media/image616.jpeg"/><Relationship Id="rId1790" Type="http://schemas.openxmlformats.org/officeDocument/2006/relationships/hyperlink" Target="https://fr.wikipedia.org/wiki/Afrique" TargetMode="External"/><Relationship Id="rId1888" Type="http://schemas.openxmlformats.org/officeDocument/2006/relationships/hyperlink" Target="https://fr.wikipedia.org/wiki/Transpiration_v%C3%A9g%C3%A9tale" TargetMode="External"/><Relationship Id="rId2634" Type="http://schemas.openxmlformats.org/officeDocument/2006/relationships/hyperlink" Target="https://en.wikipedia.org/wiki/Pyropia_tenera" TargetMode="External"/><Relationship Id="rId2841" Type="http://schemas.openxmlformats.org/officeDocument/2006/relationships/hyperlink" Target="http://fr.wikipedia.org/wiki/Myrrhe" TargetMode="External"/><Relationship Id="rId2939" Type="http://schemas.openxmlformats.org/officeDocument/2006/relationships/image" Target="media/image988.jpg"/><Relationship Id="rId4087" Type="http://schemas.openxmlformats.org/officeDocument/2006/relationships/hyperlink" Target="http://translate.googleusercontent.com/translate_c?depth=1&amp;hl=fr&amp;prev=/search?q%3Dprosopis%2Bjuliflora%26rlz%3D1C1GGGE_frFR479FR479%26es_sm%3D93&amp;rurl=translate.google.fr&amp;sl=en&amp;u=http://en.wikipedia.org/wiki/Mesquite&amp;usg=ALkJrhhhiWVyRKhGMdkLF1CD-SR5JqSQtA" TargetMode="External"/><Relationship Id="rId4294" Type="http://schemas.openxmlformats.org/officeDocument/2006/relationships/hyperlink" Target="https://en.wikipedia.org/wiki/Tamarix_aphylla" TargetMode="External"/><Relationship Id="rId82" Type="http://schemas.openxmlformats.org/officeDocument/2006/relationships/hyperlink" Target="https://fr.wikipedia.org/wiki/Programme_alimentaire_mondial" TargetMode="External"/><Relationship Id="rId606" Type="http://schemas.openxmlformats.org/officeDocument/2006/relationships/image" Target="media/image256.jpeg"/><Relationship Id="rId813" Type="http://schemas.openxmlformats.org/officeDocument/2006/relationships/image" Target="media/image363.jpeg"/><Relationship Id="rId1443" Type="http://schemas.openxmlformats.org/officeDocument/2006/relationships/image" Target="media/image652.jpeg"/><Relationship Id="rId1650" Type="http://schemas.openxmlformats.org/officeDocument/2006/relationships/image" Target="media/image703.jpeg"/><Relationship Id="rId1748" Type="http://schemas.openxmlformats.org/officeDocument/2006/relationships/hyperlink" Target="http://fr.wikipedia.org/wiki/Graine" TargetMode="External"/><Relationship Id="rId2701" Type="http://schemas.openxmlformats.org/officeDocument/2006/relationships/hyperlink" Target="https://fr.wikipedia.org/wiki/Mer_du_Nord" TargetMode="External"/><Relationship Id="rId4154" Type="http://schemas.openxmlformats.org/officeDocument/2006/relationships/hyperlink" Target="http://translate.googleusercontent.com/translate_c?depth=1&amp;hl=fr&amp;prev=/search?q%3DProsopis%2Bpallida%26biw%3D1440%26bih%3D732&amp;rurl=translate.google.fr&amp;sl=en&amp;u=http://en.wikipedia.org/wiki/Beer&amp;usg=ALkJrhhgWvKXSac78onXkxchlj5SC6utlg" TargetMode="External"/><Relationship Id="rId4361" Type="http://schemas.openxmlformats.org/officeDocument/2006/relationships/hyperlink" Target="http://translate.googleusercontent.com/translate_c?depth=1&amp;hl=fr&amp;prev=/search?q%3Dkikuyu%2Bgrass%26biw%3D1440%26bih%3D775&amp;rurl=translate.google.fr&amp;sl=en&amp;u=http://en.wikipedia.org/wiki/East_Africa&amp;usg=ALkJrhjuHpZBai7Sxuw72ycuAI82TNrDdA" TargetMode="External"/><Relationship Id="rId1303" Type="http://schemas.openxmlformats.org/officeDocument/2006/relationships/image" Target="media/image646.jpeg"/><Relationship Id="rId1510" Type="http://schemas.openxmlformats.org/officeDocument/2006/relationships/hyperlink" Target="https://fr.wikipedia.org/wiki/Esp%C3%A8ce" TargetMode="External"/><Relationship Id="rId1955" Type="http://schemas.openxmlformats.org/officeDocument/2006/relationships/hyperlink" Target="https://en.wikipedia.org/wiki/Nutrient" TargetMode="External"/><Relationship Id="rId3170" Type="http://schemas.openxmlformats.org/officeDocument/2006/relationships/image" Target="media/image1089.jpeg"/><Relationship Id="rId4014" Type="http://schemas.openxmlformats.org/officeDocument/2006/relationships/image" Target="media/image1387.jpeg"/><Relationship Id="rId4221" Type="http://schemas.openxmlformats.org/officeDocument/2006/relationships/hyperlink" Target="http://www.cabi.org/isc/datasheet/112592" TargetMode="External"/><Relationship Id="rId4459" Type="http://schemas.openxmlformats.org/officeDocument/2006/relationships/hyperlink" Target="https://www.huffingtonpost.fr/c-est-demain/article/dans-les-serres-du-futur-des-tomates-nourries-a-l-eau-de-mer_94976.html" TargetMode="External"/><Relationship Id="rId1608" Type="http://schemas.openxmlformats.org/officeDocument/2006/relationships/image" Target="media/image691.jpeg"/><Relationship Id="rId1815" Type="http://schemas.openxmlformats.org/officeDocument/2006/relationships/hyperlink" Target="https://fr.wikipedia.org/wiki/Mali" TargetMode="External"/><Relationship Id="rId3030" Type="http://schemas.openxmlformats.org/officeDocument/2006/relationships/image" Target="media/image1008.jpeg"/><Relationship Id="rId3268" Type="http://schemas.openxmlformats.org/officeDocument/2006/relationships/hyperlink" Target="https://fr.wikipedia.org/wiki/Irrigation" TargetMode="External"/><Relationship Id="rId3475" Type="http://schemas.openxmlformats.org/officeDocument/2006/relationships/hyperlink" Target="http://fr.wikipedia.org/wiki/Sylvopastoralisme" TargetMode="External"/><Relationship Id="rId3682" Type="http://schemas.openxmlformats.org/officeDocument/2006/relationships/hyperlink" Target="https://fr.wikipedia.org/wiki/Cameroun" TargetMode="External"/><Relationship Id="rId4319" Type="http://schemas.openxmlformats.org/officeDocument/2006/relationships/image" Target="media/image1449.jpeg"/><Relationship Id="rId4526" Type="http://schemas.openxmlformats.org/officeDocument/2006/relationships/hyperlink" Target="https://fr.wikipedia.org/wiki/R%C3%A9chauffement_climatique" TargetMode="External"/><Relationship Id="rId189" Type="http://schemas.openxmlformats.org/officeDocument/2006/relationships/hyperlink" Target="https://fr.wikipedia.org/wiki/%C3%89pi_(botanique)" TargetMode="External"/><Relationship Id="rId396" Type="http://schemas.openxmlformats.org/officeDocument/2006/relationships/hyperlink" Target="https://fr.wikipedia.org/wiki/Feuille" TargetMode="External"/><Relationship Id="rId2077" Type="http://schemas.openxmlformats.org/officeDocument/2006/relationships/hyperlink" Target="https://fr.wikipedia.org/wiki/Azote" TargetMode="External"/><Relationship Id="rId2284" Type="http://schemas.openxmlformats.org/officeDocument/2006/relationships/image" Target="media/image861.jpeg"/><Relationship Id="rId2491" Type="http://schemas.openxmlformats.org/officeDocument/2006/relationships/hyperlink" Target="https://fr.wikipedia.org/wiki/Europe_du_Sud" TargetMode="External"/><Relationship Id="rId3128" Type="http://schemas.openxmlformats.org/officeDocument/2006/relationships/hyperlink" Target="http://www.nepjol.info/index.php/HN/article/download/4229/3590" TargetMode="External"/><Relationship Id="rId3335" Type="http://schemas.openxmlformats.org/officeDocument/2006/relationships/image" Target="media/image1205.jpg"/><Relationship Id="rId3542" Type="http://schemas.openxmlformats.org/officeDocument/2006/relationships/hyperlink" Target="https://fr.wikipedia.org/wiki/Dakar" TargetMode="External"/><Relationship Id="rId3987" Type="http://schemas.openxmlformats.org/officeDocument/2006/relationships/image" Target="media/image1379.jpeg"/><Relationship Id="rId256" Type="http://schemas.openxmlformats.org/officeDocument/2006/relationships/hyperlink" Target="http://selectree.calpoly.edu/treedetail.lasso?rid=1483" TargetMode="External"/><Relationship Id="rId463" Type="http://schemas.openxmlformats.org/officeDocument/2006/relationships/hyperlink" Target="http://www.fs.fed.us/database/feis/plants/tree/yucbre/all.html" TargetMode="External"/><Relationship Id="rId670" Type="http://schemas.openxmlformats.org/officeDocument/2006/relationships/image" Target="media/image285.jpeg"/><Relationship Id="rId1093" Type="http://schemas.openxmlformats.org/officeDocument/2006/relationships/image" Target="media/image517.jpeg"/><Relationship Id="rId2144" Type="http://schemas.openxmlformats.org/officeDocument/2006/relationships/image" Target="media/image825.jpeg"/><Relationship Id="rId2351" Type="http://schemas.openxmlformats.org/officeDocument/2006/relationships/image" Target="media/image876.jpeg"/><Relationship Id="rId2589" Type="http://schemas.openxmlformats.org/officeDocument/2006/relationships/hyperlink" Target="https://fr.wikipedia.org/wiki/Konbu" TargetMode="External"/><Relationship Id="rId2796" Type="http://schemas.openxmlformats.org/officeDocument/2006/relationships/hyperlink" Target="https://www.spiruline-fr.com/Culture-de-la-spiruline.htm" TargetMode="External"/><Relationship Id="rId3402" Type="http://schemas.openxmlformats.org/officeDocument/2006/relationships/image" Target="media/image1256.jpeg"/><Relationship Id="rId3847" Type="http://schemas.openxmlformats.org/officeDocument/2006/relationships/hyperlink" Target="http://www.ncbi.nlm.nih.gov/pubmed?term=Dolstra%20O%5bAuthor%5d&amp;cauthor=true&amp;cauthor_uid=23771136" TargetMode="External"/><Relationship Id="rId116" Type="http://schemas.openxmlformats.org/officeDocument/2006/relationships/hyperlink" Target="https://en.wikipedia.org/wiki/Abiotic_stress" TargetMode="External"/><Relationship Id="rId323" Type="http://schemas.openxmlformats.org/officeDocument/2006/relationships/hyperlink" Target="http://fr.wikipedia.org/wiki/Pistacia_lentiscus" TargetMode="External"/><Relationship Id="rId530" Type="http://schemas.openxmlformats.org/officeDocument/2006/relationships/hyperlink" Target="https://www.google.fr/search?sxsrf=ALeKk01ErnP3YJdLaKCMF2YMgfZR1u5HDw:1627458540934&amp;q=Moraceae&amp;stick=H4sIAAAAAAAAAONgVuLQz9U3SCsvq1jEyuGbX5SYnJqYCgCaqkrlFwAAAA&amp;sa=X&amp;ved=2ahUKEwiB3N_Bo4XyAhWGoBQKHW7HCDsQmxMoATAnegQIMxAD" TargetMode="External"/><Relationship Id="rId768" Type="http://schemas.openxmlformats.org/officeDocument/2006/relationships/image" Target="media/image336.jpeg"/><Relationship Id="rId975" Type="http://schemas.openxmlformats.org/officeDocument/2006/relationships/hyperlink" Target="https://www.worldwildlife.org/ecoregions/at1311" TargetMode="External"/><Relationship Id="rId1160" Type="http://schemas.openxmlformats.org/officeDocument/2006/relationships/image" Target="media/image560.jpeg"/><Relationship Id="rId1398" Type="http://schemas.openxmlformats.org/officeDocument/2006/relationships/hyperlink" Target="http://en.wikipedia.org/wiki/Biofuel" TargetMode="External"/><Relationship Id="rId2004" Type="http://schemas.openxmlformats.org/officeDocument/2006/relationships/hyperlink" Target="https://en.wikipedia.org/wiki/India" TargetMode="External"/><Relationship Id="rId2211" Type="http://schemas.openxmlformats.org/officeDocument/2006/relationships/hyperlink" Target="https://en.wikipedia.org/wiki/Lake_Titicaca" TargetMode="External"/><Relationship Id="rId2449" Type="http://schemas.openxmlformats.org/officeDocument/2006/relationships/hyperlink" Target="http://en.wikipedia.org/wiki/Panicum_amarum" TargetMode="External"/><Relationship Id="rId2656" Type="http://schemas.openxmlformats.org/officeDocument/2006/relationships/hyperlink" Target="https://fr.wikipedia.org/wiki/Tanzanie" TargetMode="External"/><Relationship Id="rId2863" Type="http://schemas.openxmlformats.org/officeDocument/2006/relationships/hyperlink" Target="http://fr.wikipedia.org/wiki/Ayurveda" TargetMode="External"/><Relationship Id="rId3707" Type="http://schemas.openxmlformats.org/officeDocument/2006/relationships/hyperlink" Target="https://www.geo.fr/environnement/turquie-un-millier-de-flamants-roses-sont-morts-dans-un-lac-a-cause-de-la-secheresse-205552" TargetMode="External"/><Relationship Id="rId3914" Type="http://schemas.openxmlformats.org/officeDocument/2006/relationships/hyperlink" Target="http://www.kkl.org.il/eng/" TargetMode="External"/><Relationship Id="rId628" Type="http://schemas.openxmlformats.org/officeDocument/2006/relationships/hyperlink" Target="http://www.winrock.org/fnrm/factnet/factpub/FACTSH/P_cineraria.htm" TargetMode="External"/><Relationship Id="rId835" Type="http://schemas.openxmlformats.org/officeDocument/2006/relationships/image" Target="media/image379.jpeg"/><Relationship Id="rId1258" Type="http://schemas.openxmlformats.org/officeDocument/2006/relationships/image" Target="media/image638.jpg"/><Relationship Id="rId1465" Type="http://schemas.openxmlformats.org/officeDocument/2006/relationships/hyperlink" Target="http://es.wikipedia.org/wiki/Asparagus_officinalis" TargetMode="External"/><Relationship Id="rId1672" Type="http://schemas.openxmlformats.org/officeDocument/2006/relationships/hyperlink" Target="http://translate.googleusercontent.com/translate_c?depth=1&amp;hl=fr&amp;prev=/search?q%3DBrassica%2Bcarinata%26biw%3D1440%26bih%3D775&amp;rurl=translate.google.fr&amp;sl=en&amp;u=http://en.wikipedia.org/wiki/Brassica_napus&amp;usg=ALkJrhg7QHGvRR0do8eCegwa46LGDdydeQ" TargetMode="External"/><Relationship Id="rId2309" Type="http://schemas.openxmlformats.org/officeDocument/2006/relationships/hyperlink" Target="http://fr.wikipedia.org/wiki/Famille_(biologie)" TargetMode="External"/><Relationship Id="rId2516" Type="http://schemas.openxmlformats.org/officeDocument/2006/relationships/hyperlink" Target="https://www.botanic.co.il/wp-content/uploads/2017/12/Erodium_crassifolium_2009.pdf" TargetMode="External"/><Relationship Id="rId2723" Type="http://schemas.openxmlformats.org/officeDocument/2006/relationships/image" Target="media/image950.jpeg"/><Relationship Id="rId4176" Type="http://schemas.openxmlformats.org/officeDocument/2006/relationships/hyperlink" Target="http://www.cabi.org/isc/datasheet/112576" TargetMode="External"/><Relationship Id="rId1020" Type="http://schemas.openxmlformats.org/officeDocument/2006/relationships/image" Target="media/image466.jpeg"/><Relationship Id="rId1118" Type="http://schemas.openxmlformats.org/officeDocument/2006/relationships/image" Target="media/image539.jpeg"/><Relationship Id="rId1325" Type="http://schemas.openxmlformats.org/officeDocument/2006/relationships/hyperlink" Target="http://www.miracosta.edu/home/kmeldahl/articles/crops.pdf" TargetMode="External"/><Relationship Id="rId1532" Type="http://schemas.openxmlformats.org/officeDocument/2006/relationships/hyperlink" Target="https://fr.wikipedia.org/wiki/Oc%C3%A9anie" TargetMode="External"/><Relationship Id="rId1977" Type="http://schemas.openxmlformats.org/officeDocument/2006/relationships/hyperlink" Target="https://fr.wikipedia.org/wiki/Graine" TargetMode="External"/><Relationship Id="rId2930" Type="http://schemas.openxmlformats.org/officeDocument/2006/relationships/hyperlink" Target="http://translate.googleusercontent.com/translate_c?depth=1&amp;hl=fr&amp;prev=search&amp;rurl=translate.google.fr&amp;sl=en&amp;u=http://en.wikipedia.org/wiki/Reducing_sugar&amp;usg=ALkJrhgRxRASLP4olK50ZDuqC49ZsfELXw" TargetMode="External"/><Relationship Id="rId4383" Type="http://schemas.openxmlformats.org/officeDocument/2006/relationships/image" Target="media/image1467.jpeg"/><Relationship Id="rId902" Type="http://schemas.openxmlformats.org/officeDocument/2006/relationships/image" Target="media/image397.jpeg"/><Relationship Id="rId1837" Type="http://schemas.openxmlformats.org/officeDocument/2006/relationships/hyperlink" Target="https://fr.wikipedia.org/wiki/Millet_des_oiseaux" TargetMode="External"/><Relationship Id="rId3192" Type="http://schemas.openxmlformats.org/officeDocument/2006/relationships/image" Target="media/image1108.jpeg"/><Relationship Id="rId3497" Type="http://schemas.openxmlformats.org/officeDocument/2006/relationships/hyperlink" Target="https://fr.wikipedia.org/wiki/Germination" TargetMode="External"/><Relationship Id="rId4036" Type="http://schemas.openxmlformats.org/officeDocument/2006/relationships/hyperlink" Target="https://translate.googleusercontent.com/translate_c?depth=1&amp;hl=fr&amp;prev=search&amp;rurl=translate.google.fr&amp;sl=en&amp;u=https://en.wikipedia.org/wiki/Gland&amp;usg=ALkJrhjbMLIMO3tV2QX_lmGJgyvWOBtBzA" TargetMode="External"/><Relationship Id="rId4243" Type="http://schemas.openxmlformats.org/officeDocument/2006/relationships/hyperlink" Target="http://www.cabi.org/isc/datasheet/112597" TargetMode="External"/><Relationship Id="rId4450" Type="http://schemas.openxmlformats.org/officeDocument/2006/relationships/hyperlink" Target="http://fr.wikipedia.org/wiki/Noue_(foss%C3%A9)" TargetMode="External"/><Relationship Id="rId31" Type="http://schemas.openxmlformats.org/officeDocument/2006/relationships/hyperlink" Target="https://fr.wikipedia.org/wiki/Kalimantan" TargetMode="External"/><Relationship Id="rId2099" Type="http://schemas.openxmlformats.org/officeDocument/2006/relationships/hyperlink" Target="https://en.wikipedia.org/wiki/Developing_countries" TargetMode="External"/><Relationship Id="rId3052" Type="http://schemas.openxmlformats.org/officeDocument/2006/relationships/hyperlink" Target="http://en.wikipedia.org/wiki/Date_palms" TargetMode="External"/><Relationship Id="rId4103" Type="http://schemas.openxmlformats.org/officeDocument/2006/relationships/hyperlink" Target="http://en.wikipedia.org/wiki/Prosopis_juliflora" TargetMode="External"/><Relationship Id="rId4310" Type="http://schemas.openxmlformats.org/officeDocument/2006/relationships/hyperlink" Target="https://fr.wikipedia.org/wiki/Tamaricaceae" TargetMode="External"/><Relationship Id="rId4548" Type="http://schemas.openxmlformats.org/officeDocument/2006/relationships/hyperlink" Target="http://www.bgu.ac.il/" TargetMode="External"/><Relationship Id="rId180" Type="http://schemas.openxmlformats.org/officeDocument/2006/relationships/image" Target="media/image83.jpeg"/><Relationship Id="rId278" Type="http://schemas.openxmlformats.org/officeDocument/2006/relationships/image" Target="media/image123.jpeg"/><Relationship Id="rId1904" Type="http://schemas.openxmlformats.org/officeDocument/2006/relationships/hyperlink" Target="https://fr.wikipedia.org/wiki/Agrocarburant" TargetMode="External"/><Relationship Id="rId3357" Type="http://schemas.openxmlformats.org/officeDocument/2006/relationships/hyperlink" Target="http://www.doc-developpement-durable.org/documents-agronomiques/AmeliorationFertiliteDesSols.ppt" TargetMode="External"/><Relationship Id="rId3564" Type="http://schemas.openxmlformats.org/officeDocument/2006/relationships/hyperlink" Target="https://fr.wikipedia.org/wiki/Jardin_potager" TargetMode="External"/><Relationship Id="rId3771" Type="http://schemas.openxmlformats.org/officeDocument/2006/relationships/hyperlink" Target="http://en.wikipedia.org/wiki/Scientific_American" TargetMode="External"/><Relationship Id="rId4408" Type="http://schemas.openxmlformats.org/officeDocument/2006/relationships/hyperlink" Target="http://fr.wikipedia.org/wiki/Indig%C3%A8ne" TargetMode="External"/><Relationship Id="rId485" Type="http://schemas.openxmlformats.org/officeDocument/2006/relationships/hyperlink" Target="https://fr.wikipedia.org/wiki/Parc_d'%C3%89tat_d'Anza-Borrego_Desert" TargetMode="External"/><Relationship Id="rId692" Type="http://schemas.openxmlformats.org/officeDocument/2006/relationships/image" Target="media/image296.jpeg"/><Relationship Id="rId2166" Type="http://schemas.openxmlformats.org/officeDocument/2006/relationships/hyperlink" Target="https://fr.wikipedia.org/wiki/Hermaphrodisme" TargetMode="External"/><Relationship Id="rId2373" Type="http://schemas.openxmlformats.org/officeDocument/2006/relationships/hyperlink" Target="http://fr.wikipedia.org/w/index.php?title=Chrysopogon_nigritanus&amp;action=edit&amp;redlink=1" TargetMode="External"/><Relationship Id="rId2580" Type="http://schemas.openxmlformats.org/officeDocument/2006/relationships/hyperlink" Target="https://fr.wikipedia.org/w/index.php?title=Phycocollo%C3%AFdes&amp;action=edit&amp;redlink=1" TargetMode="External"/><Relationship Id="rId3217" Type="http://schemas.openxmlformats.org/officeDocument/2006/relationships/image" Target="media/image1130.jpeg"/><Relationship Id="rId3424" Type="http://schemas.openxmlformats.org/officeDocument/2006/relationships/image" Target="media/image1261.jpeg"/><Relationship Id="rId3631" Type="http://schemas.openxmlformats.org/officeDocument/2006/relationships/hyperlink" Target="http://www.wotr.org/" TargetMode="External"/><Relationship Id="rId3869" Type="http://schemas.openxmlformats.org/officeDocument/2006/relationships/hyperlink" Target="http://www.mangrovesgy.org/home/images/stories/Documents/Pc_Project%20brochure.pdf" TargetMode="External"/><Relationship Id="rId138" Type="http://schemas.openxmlformats.org/officeDocument/2006/relationships/image" Target="media/image46.png"/><Relationship Id="rId345" Type="http://schemas.openxmlformats.org/officeDocument/2006/relationships/hyperlink" Target="https://fr.wikipedia.org/wiki/Famille_(biologie)" TargetMode="External"/><Relationship Id="rId552" Type="http://schemas.openxmlformats.org/officeDocument/2006/relationships/hyperlink" Target="http://www.worldagroforestry.org/treedb/AFTPDFS/Balanites_aegyptiaca.pdf" TargetMode="External"/><Relationship Id="rId997" Type="http://schemas.openxmlformats.org/officeDocument/2006/relationships/image" Target="media/image451.jpg"/><Relationship Id="rId1182" Type="http://schemas.openxmlformats.org/officeDocument/2006/relationships/hyperlink" Target="https://en.wikipedia.org/wiki/Sonneratia_alba" TargetMode="External"/><Relationship Id="rId2026" Type="http://schemas.openxmlformats.org/officeDocument/2006/relationships/hyperlink" Target="https://fr.wikipedia.org/wiki/Pr%C3%A9dateur" TargetMode="External"/><Relationship Id="rId2233" Type="http://schemas.openxmlformats.org/officeDocument/2006/relationships/hyperlink" Target="https://fr.wikipedia.org/wiki/Aloeaceae" TargetMode="External"/><Relationship Id="rId2440" Type="http://schemas.openxmlformats.org/officeDocument/2006/relationships/hyperlink" Target="http://translate.googleusercontent.com/translate_c?depth=1&amp;hl=fr&amp;prev=/search?q%3DDistichlis%2Bpalmeri%26biw%3D1440%26bih%3D732&amp;rurl=translate.google.fr&amp;sl=en&amp;u=http://en.wikipedia.org/wiki/Poaceae&amp;usg=ALkJrhh_2Bf4EpUPxv8loPv7GboyXR1c6A" TargetMode="External"/><Relationship Id="rId2678" Type="http://schemas.openxmlformats.org/officeDocument/2006/relationships/hyperlink" Target="https://en.wikipedia.org/wiki/Agar" TargetMode="External"/><Relationship Id="rId2885" Type="http://schemas.openxmlformats.org/officeDocument/2006/relationships/hyperlink" Target="http://en.wikipedia.org/wiki/Commiphora_wightii" TargetMode="External"/><Relationship Id="rId3729" Type="http://schemas.openxmlformats.org/officeDocument/2006/relationships/hyperlink" Target="https://planete.lesechos.fr/solutions/groasis-fait-pousser-des-arbres-dans-le-desert-9770/" TargetMode="External"/><Relationship Id="rId3936" Type="http://schemas.openxmlformats.org/officeDocument/2006/relationships/hyperlink" Target="http://www.hear.org/pier/species/opuntia_ficus_indica.htm" TargetMode="External"/><Relationship Id="rId205" Type="http://schemas.openxmlformats.org/officeDocument/2006/relationships/image" Target="media/image95.jpg"/><Relationship Id="rId412" Type="http://schemas.openxmlformats.org/officeDocument/2006/relationships/hyperlink" Target="https://fr.wikipedia.org/wiki/Fruit_(botanique)" TargetMode="External"/><Relationship Id="rId857" Type="http://schemas.openxmlformats.org/officeDocument/2006/relationships/hyperlink" Target="http://fr.wikipedia.org/wiki/L%C3%A9gume-feuille" TargetMode="External"/><Relationship Id="rId1042" Type="http://schemas.openxmlformats.org/officeDocument/2006/relationships/image" Target="media/image480.jpg"/><Relationship Id="rId1487" Type="http://schemas.openxmlformats.org/officeDocument/2006/relationships/hyperlink" Target="http://fr.wikipedia.org/wiki/Amaranthaceae" TargetMode="External"/><Relationship Id="rId1694" Type="http://schemas.openxmlformats.org/officeDocument/2006/relationships/image" Target="media/image719.jpeg"/><Relationship Id="rId2300" Type="http://schemas.openxmlformats.org/officeDocument/2006/relationships/hyperlink" Target="http://www.feedipedia.org/node/273" TargetMode="External"/><Relationship Id="rId2538" Type="http://schemas.openxmlformats.org/officeDocument/2006/relationships/image" Target="media/image911.jpeg"/><Relationship Id="rId2745" Type="http://schemas.openxmlformats.org/officeDocument/2006/relationships/hyperlink" Target="https://fr.wikipedia.org/wiki/Compl%C3%A9ment_alimentaire" TargetMode="External"/><Relationship Id="rId2952" Type="http://schemas.openxmlformats.org/officeDocument/2006/relationships/hyperlink" Target="http://fr.wikipedia.org/wiki/Oman" TargetMode="External"/><Relationship Id="rId4198" Type="http://schemas.openxmlformats.org/officeDocument/2006/relationships/hyperlink" Target="http://www.cabi.org/isc/datasheet/112584" TargetMode="External"/><Relationship Id="rId717" Type="http://schemas.openxmlformats.org/officeDocument/2006/relationships/image" Target="media/image306.jpeg"/><Relationship Id="rId924" Type="http://schemas.openxmlformats.org/officeDocument/2006/relationships/image" Target="media/image415.jpg"/><Relationship Id="rId1347" Type="http://schemas.openxmlformats.org/officeDocument/2006/relationships/hyperlink" Target="http://www.kfu.edu.sa/sjournal/eng/pdffiles/BVOL4NO1_5.pdf" TargetMode="External"/><Relationship Id="rId1554" Type="http://schemas.openxmlformats.org/officeDocument/2006/relationships/image" Target="media/image678.jpeg"/><Relationship Id="rId1761" Type="http://schemas.openxmlformats.org/officeDocument/2006/relationships/hyperlink" Target="http://fr.wikipedia.org/wiki/Phosphore" TargetMode="External"/><Relationship Id="rId1999" Type="http://schemas.openxmlformats.org/officeDocument/2006/relationships/hyperlink" Target="https://en.wikipedia.org/wiki/Maruca_vitrata" TargetMode="External"/><Relationship Id="rId2605" Type="http://schemas.openxmlformats.org/officeDocument/2006/relationships/hyperlink" Target="https://fr.wikipedia.org/wiki/Aire_naturelle_de_r%C3%A9partition" TargetMode="External"/><Relationship Id="rId2812" Type="http://schemas.openxmlformats.org/officeDocument/2006/relationships/hyperlink" Target="http://fr.wikipedia.org/wiki/National_Center_for_Biotechnology_Information" TargetMode="External"/><Relationship Id="rId4058" Type="http://schemas.openxmlformats.org/officeDocument/2006/relationships/hyperlink" Target="https://en.wikipedia.org/wiki/Deciduous" TargetMode="External"/><Relationship Id="rId4265" Type="http://schemas.openxmlformats.org/officeDocument/2006/relationships/hyperlink" Target="http://www.cabi.org/isc/datasheet/52487" TargetMode="External"/><Relationship Id="rId4472" Type="http://schemas.openxmlformats.org/officeDocument/2006/relationships/image" Target="media/image1479.jpeg"/><Relationship Id="rId53" Type="http://schemas.openxmlformats.org/officeDocument/2006/relationships/image" Target="media/image18.jpeg"/><Relationship Id="rId1207" Type="http://schemas.openxmlformats.org/officeDocument/2006/relationships/image" Target="media/image588.jpg"/><Relationship Id="rId1414" Type="http://schemas.openxmlformats.org/officeDocument/2006/relationships/hyperlink" Target="http://www.bashanfoundation.org/gmaweb/pdfs/growth.pdf" TargetMode="External"/><Relationship Id="rId1621" Type="http://schemas.openxmlformats.org/officeDocument/2006/relationships/image" Target="media/image694.jpeg"/><Relationship Id="rId1859" Type="http://schemas.openxmlformats.org/officeDocument/2006/relationships/image" Target="media/image775.jpeg"/><Relationship Id="rId3074" Type="http://schemas.openxmlformats.org/officeDocument/2006/relationships/hyperlink" Target="https://en.wikipedia.org/wiki/Persia" TargetMode="External"/><Relationship Id="rId4125" Type="http://schemas.openxmlformats.org/officeDocument/2006/relationships/hyperlink" Target="http://fr.wikipedia.org/wiki/Mara%C3%AEchage" TargetMode="External"/><Relationship Id="rId1719" Type="http://schemas.openxmlformats.org/officeDocument/2006/relationships/image" Target="media/image727.jpg"/><Relationship Id="rId1926" Type="http://schemas.openxmlformats.org/officeDocument/2006/relationships/image" Target="media/image784.jpeg"/><Relationship Id="rId3281" Type="http://schemas.openxmlformats.org/officeDocument/2006/relationships/hyperlink" Target="http://fr.wikipedia.org/wiki/Rhizosph%C3%A8re" TargetMode="External"/><Relationship Id="rId3379" Type="http://schemas.openxmlformats.org/officeDocument/2006/relationships/image" Target="media/image1239.jpeg"/><Relationship Id="rId3586" Type="http://schemas.openxmlformats.org/officeDocument/2006/relationships/hyperlink" Target="https://fr.wikipedia.org/wiki/Agropastoralisme" TargetMode="External"/><Relationship Id="rId3793" Type="http://schemas.openxmlformats.org/officeDocument/2006/relationships/hyperlink" Target="http://ideas.repec.org/a/eee/agiwat/v90y2007i3p165-180.html" TargetMode="External"/><Relationship Id="rId4332" Type="http://schemas.openxmlformats.org/officeDocument/2006/relationships/image" Target="media/image1454.jpeg"/><Relationship Id="rId2090" Type="http://schemas.openxmlformats.org/officeDocument/2006/relationships/hyperlink" Target="https://fr.wikipedia.org/wiki/Puccinia_arachidis" TargetMode="External"/><Relationship Id="rId2188" Type="http://schemas.openxmlformats.org/officeDocument/2006/relationships/hyperlink" Target="https://en.wikipedia.org/wiki/Crop_yield" TargetMode="External"/><Relationship Id="rId2395" Type="http://schemas.openxmlformats.org/officeDocument/2006/relationships/hyperlink" Target="http://fr.wikipedia.org/w/index.php?title=Chrysopogon_nemoralis&amp;action=edit&amp;redlink=1" TargetMode="External"/><Relationship Id="rId3141" Type="http://schemas.openxmlformats.org/officeDocument/2006/relationships/hyperlink" Target="https://fr.wikipedia.org/wiki/Causse" TargetMode="External"/><Relationship Id="rId3239" Type="http://schemas.openxmlformats.org/officeDocument/2006/relationships/hyperlink" Target="https://en.wikipedia.org/wiki/Micro-irrigation" TargetMode="External"/><Relationship Id="rId3446" Type="http://schemas.openxmlformats.org/officeDocument/2006/relationships/image" Target="media/image1282.jpeg"/><Relationship Id="rId367" Type="http://schemas.openxmlformats.org/officeDocument/2006/relationships/hyperlink" Target="https://fr.wikipedia.org/wiki/Pinot_noir_(c%C3%A9page)" TargetMode="External"/><Relationship Id="rId574" Type="http://schemas.openxmlformats.org/officeDocument/2006/relationships/hyperlink" Target="https://fr.wikipedia.org/wiki/Arbuste" TargetMode="External"/><Relationship Id="rId2048" Type="http://schemas.openxmlformats.org/officeDocument/2006/relationships/image" Target="media/image796.jpeg"/><Relationship Id="rId2255" Type="http://schemas.openxmlformats.org/officeDocument/2006/relationships/hyperlink" Target="https://en.wikipedia.org/wiki/Aloe_vera" TargetMode="External"/><Relationship Id="rId3001" Type="http://schemas.openxmlformats.org/officeDocument/2006/relationships/hyperlink" Target="http://fr.wikipedia.org/wiki/Botswana" TargetMode="External"/><Relationship Id="rId3653" Type="http://schemas.openxmlformats.org/officeDocument/2006/relationships/image" Target="media/image1343.jpg"/><Relationship Id="rId3860" Type="http://schemas.openxmlformats.org/officeDocument/2006/relationships/hyperlink" Target="http://www.tresorpublic.mg/?p=30971" TargetMode="External"/><Relationship Id="rId3958" Type="http://schemas.openxmlformats.org/officeDocument/2006/relationships/hyperlink" Target="https://fr.wikipedia.org/wiki/Zoochorie" TargetMode="External"/><Relationship Id="rId227" Type="http://schemas.openxmlformats.org/officeDocument/2006/relationships/hyperlink" Target="http://fr.wikipedia.org/wiki/Selaginella_lepidophylla" TargetMode="External"/><Relationship Id="rId781" Type="http://schemas.openxmlformats.org/officeDocument/2006/relationships/hyperlink" Target="http://www.worldagroforestry.org/treedb2/AFTPDFS/Colophospermum_mopane.pdf" TargetMode="External"/><Relationship Id="rId879" Type="http://schemas.openxmlformats.org/officeDocument/2006/relationships/image" Target="media/image388.jpeg"/><Relationship Id="rId2462" Type="http://schemas.openxmlformats.org/officeDocument/2006/relationships/hyperlink" Target="http://fr.wikipedia.org/wiki/S%C3%A9cheresse" TargetMode="External"/><Relationship Id="rId2767" Type="http://schemas.openxmlformats.org/officeDocument/2006/relationships/hyperlink" Target="https://fr.wikipedia.org/wiki/Photobior%C3%A9acteur" TargetMode="External"/><Relationship Id="rId3306" Type="http://schemas.openxmlformats.org/officeDocument/2006/relationships/hyperlink" Target="http://www.sswm.info/glossary/2/letteri" TargetMode="External"/><Relationship Id="rId3513" Type="http://schemas.openxmlformats.org/officeDocument/2006/relationships/hyperlink" Target="https://fr.wikipedia.org/wiki/%C3%89rosion" TargetMode="External"/><Relationship Id="rId3720" Type="http://schemas.openxmlformats.org/officeDocument/2006/relationships/hyperlink" Target="https://www.courrierinternational.com/article/incendie-les-sequoias-geants-de-californie-resisteront-ils-aux-flammes" TargetMode="External"/><Relationship Id="rId434" Type="http://schemas.openxmlformats.org/officeDocument/2006/relationships/image" Target="media/image185.jpeg"/><Relationship Id="rId641" Type="http://schemas.openxmlformats.org/officeDocument/2006/relationships/hyperlink" Target="https://www.anbg.gov.au/photo/apii/id/dig/3343" TargetMode="External"/><Relationship Id="rId739" Type="http://schemas.openxmlformats.org/officeDocument/2006/relationships/image" Target="media/image321.jpeg"/><Relationship Id="rId1064" Type="http://schemas.openxmlformats.org/officeDocument/2006/relationships/image" Target="media/image495.jpeg"/><Relationship Id="rId1271" Type="http://schemas.openxmlformats.org/officeDocument/2006/relationships/hyperlink" Target="http://en.wikipedia.org/wiki/Phoenix_dactylifera" TargetMode="External"/><Relationship Id="rId1369" Type="http://schemas.openxmlformats.org/officeDocument/2006/relationships/hyperlink" Target="http://www.biomassmagazine.com/article.jsp?article_id=1864" TargetMode="External"/><Relationship Id="rId1576" Type="http://schemas.openxmlformats.org/officeDocument/2006/relationships/hyperlink" Target="http://fr.wikipedia.org/wiki/Maltage" TargetMode="External"/><Relationship Id="rId2115" Type="http://schemas.openxmlformats.org/officeDocument/2006/relationships/image" Target="media/image813.jpeg"/><Relationship Id="rId2322" Type="http://schemas.openxmlformats.org/officeDocument/2006/relationships/hyperlink" Target="http://fr.wikipedia.org/wiki/Rhizobium" TargetMode="External"/><Relationship Id="rId2974" Type="http://schemas.openxmlformats.org/officeDocument/2006/relationships/hyperlink" Target="http://translate.googleusercontent.com/translate_c?depth=1&amp;hl=fr&amp;prev=search&amp;rurl=translate.google.fr&amp;sl=en&amp;u=http://en.wikipedia.org/wiki/Ayurvedic_medicine&amp;usg=ALkJrhgwWTGPBOk9yLyBICMEqoDayAfd5g" TargetMode="External"/><Relationship Id="rId3818" Type="http://schemas.openxmlformats.org/officeDocument/2006/relationships/hyperlink" Target="http://ideas.repec.org/a/eee/agiwat/v123y2013icp1-11.html" TargetMode="External"/><Relationship Id="rId501" Type="http://schemas.openxmlformats.org/officeDocument/2006/relationships/image" Target="media/image215.jpeg"/><Relationship Id="rId946" Type="http://schemas.openxmlformats.org/officeDocument/2006/relationships/hyperlink" Target="https://fr.wikipedia.org/wiki/Caudex" TargetMode="External"/><Relationship Id="rId1131" Type="http://schemas.openxmlformats.org/officeDocument/2006/relationships/image" Target="media/image542.jpeg"/><Relationship Id="rId1229" Type="http://schemas.openxmlformats.org/officeDocument/2006/relationships/image" Target="media/image609.jpeg"/><Relationship Id="rId1783" Type="http://schemas.openxmlformats.org/officeDocument/2006/relationships/hyperlink" Target="https://fr.wikipedia.org/wiki/Esp%C3%A8ce" TargetMode="External"/><Relationship Id="rId1990" Type="http://schemas.openxmlformats.org/officeDocument/2006/relationships/hyperlink" Target="https://fr.wikipedia.org/wiki/S%C3%A9n%C3%A9gal" TargetMode="External"/><Relationship Id="rId2627" Type="http://schemas.openxmlformats.org/officeDocument/2006/relationships/hyperlink" Target="https://en.wikipedia.org/wiki/Wales" TargetMode="External"/><Relationship Id="rId2834" Type="http://schemas.openxmlformats.org/officeDocument/2006/relationships/image" Target="media/image972.jpg"/><Relationship Id="rId4287" Type="http://schemas.openxmlformats.org/officeDocument/2006/relationships/hyperlink" Target="https://fr.wikipedia.org/wiki/Tamarix" TargetMode="External"/><Relationship Id="rId4494" Type="http://schemas.openxmlformats.org/officeDocument/2006/relationships/hyperlink" Target="http://fr.wiktionary.org/wiki/utilisation" TargetMode="External"/><Relationship Id="rId75" Type="http://schemas.openxmlformats.org/officeDocument/2006/relationships/image" Target="media/image33.jpeg"/><Relationship Id="rId806" Type="http://schemas.openxmlformats.org/officeDocument/2006/relationships/hyperlink" Target="https://fr.wikipedia.org/wiki/Jojoba" TargetMode="External"/><Relationship Id="rId1436" Type="http://schemas.openxmlformats.org/officeDocument/2006/relationships/hyperlink" Target="http://www.ncbi.nlm.nih.gov/pubmed/18765761" TargetMode="External"/><Relationship Id="rId1643" Type="http://schemas.openxmlformats.org/officeDocument/2006/relationships/hyperlink" Target="https://lecourrier.vn/le-senegal-met-au-point-une-variete-locale-de-ble/1177915.html" TargetMode="External"/><Relationship Id="rId1850" Type="http://schemas.openxmlformats.org/officeDocument/2006/relationships/hyperlink" Target="https://fr.wikipedia.org/wiki/Millet_Perle" TargetMode="External"/><Relationship Id="rId2901" Type="http://schemas.openxmlformats.org/officeDocument/2006/relationships/hyperlink" Target="http://translate.googleusercontent.com/translate_c?depth=1&amp;hl=fr&amp;prev=search&amp;rurl=translate.google.fr&amp;sl=en&amp;u=http://en.wikipedia.org/wiki/Ethiopia&amp;usg=ALkJrhjDiPYvevoLGf_G1rSwdwVHmCjGSg" TargetMode="External"/><Relationship Id="rId3096" Type="http://schemas.openxmlformats.org/officeDocument/2006/relationships/image" Target="media/image1048.jpeg"/><Relationship Id="rId4147" Type="http://schemas.openxmlformats.org/officeDocument/2006/relationships/hyperlink" Target="http://fr.wikipedia.org/wiki/Fabaceae" TargetMode="External"/><Relationship Id="rId4354" Type="http://schemas.openxmlformats.org/officeDocument/2006/relationships/hyperlink" Target="http://www.nepad.org/system/files/BRADES.pdf" TargetMode="External"/><Relationship Id="rId4561" Type="http://schemas.openxmlformats.org/officeDocument/2006/relationships/fontTable" Target="fontTable.xml"/><Relationship Id="rId1503" Type="http://schemas.openxmlformats.org/officeDocument/2006/relationships/image" Target="media/image667.jpeg"/><Relationship Id="rId1710" Type="http://schemas.openxmlformats.org/officeDocument/2006/relationships/hyperlink" Target="https://fr.wikipedia.org/wiki/%C3%89tamine" TargetMode="External"/><Relationship Id="rId1948" Type="http://schemas.openxmlformats.org/officeDocument/2006/relationships/hyperlink" Target="https://en.wikipedia.org/wiki/Fertilizer" TargetMode="External"/><Relationship Id="rId3163" Type="http://schemas.openxmlformats.org/officeDocument/2006/relationships/hyperlink" Target="http://www.graie.org/graie/graiedoc/doc_telech/actesyntheses/RDV/RDV13retenuescollinairessupports.pdf" TargetMode="External"/><Relationship Id="rId3370" Type="http://schemas.openxmlformats.org/officeDocument/2006/relationships/image" Target="media/image1231.jpeg"/><Relationship Id="rId4007" Type="http://schemas.openxmlformats.org/officeDocument/2006/relationships/hyperlink" Target="http://en.wikipedia.org/wiki/Indonesia" TargetMode="External"/><Relationship Id="rId4214" Type="http://schemas.openxmlformats.org/officeDocument/2006/relationships/hyperlink" Target="http://www.cabi.org/isc/datasheet/112590" TargetMode="External"/><Relationship Id="rId4421" Type="http://schemas.openxmlformats.org/officeDocument/2006/relationships/hyperlink" Target="http://fr.wiktionary.org/wiki/provenir" TargetMode="External"/><Relationship Id="rId291" Type="http://schemas.openxmlformats.org/officeDocument/2006/relationships/hyperlink" Target="https://fr.wikipedia.org/wiki/Fabaceae" TargetMode="External"/><Relationship Id="rId1808" Type="http://schemas.openxmlformats.org/officeDocument/2006/relationships/image" Target="media/image752.jpeg"/><Relationship Id="rId3023" Type="http://schemas.openxmlformats.org/officeDocument/2006/relationships/hyperlink" Target="http://en.wikipedia.org/wiki/Harpagophyton" TargetMode="External"/><Relationship Id="rId3468" Type="http://schemas.openxmlformats.org/officeDocument/2006/relationships/hyperlink" Target="http://fr.wikipedia.org/wiki/Ligne_%C3%A9lectrique" TargetMode="External"/><Relationship Id="rId3675" Type="http://schemas.openxmlformats.org/officeDocument/2006/relationships/image" Target="media/image1354.jpeg"/><Relationship Id="rId3882" Type="http://schemas.openxmlformats.org/officeDocument/2006/relationships/hyperlink" Target="https://core.ac.uk/download/pdf/39882097.pdf" TargetMode="External"/><Relationship Id="rId4519" Type="http://schemas.openxmlformats.org/officeDocument/2006/relationships/hyperlink" Target="https://fr.wikipedia.org/wiki/Rhizome" TargetMode="External"/><Relationship Id="rId151" Type="http://schemas.openxmlformats.org/officeDocument/2006/relationships/image" Target="media/image58.jpg"/><Relationship Id="rId389" Type="http://schemas.openxmlformats.org/officeDocument/2006/relationships/hyperlink" Target="https://en.wikipedia.org/wiki/Plant_sexuality" TargetMode="External"/><Relationship Id="rId596" Type="http://schemas.openxmlformats.org/officeDocument/2006/relationships/hyperlink" Target="https://fr.wikipedia.org/wiki/Bostrichidae" TargetMode="External"/><Relationship Id="rId2277" Type="http://schemas.openxmlformats.org/officeDocument/2006/relationships/hyperlink" Target="http://translate.googleusercontent.com/translate_c?depth=1&amp;hl=fr&amp;prev=/search?q%3Dmelilotus%2Balbus%26biw%3D1440%26bih%3D732&amp;rurl=translate.google.fr&amp;sl=en&amp;u=http://en.wikipedia.org/wiki/Riparian_area&amp;usg=ALkJrhjFPdoBcortFwL8kNckbcF4B-xM5g" TargetMode="External"/><Relationship Id="rId2484" Type="http://schemas.openxmlformats.org/officeDocument/2006/relationships/hyperlink" Target="https://fr.wikipedia.org/wiki/Limbe_foliaire" TargetMode="External"/><Relationship Id="rId2691" Type="http://schemas.openxmlformats.org/officeDocument/2006/relationships/hyperlink" Target="https://fr.wikipedia.org/wiki/Rhodophyta" TargetMode="External"/><Relationship Id="rId3230" Type="http://schemas.openxmlformats.org/officeDocument/2006/relationships/image" Target="media/image1143.jpeg"/><Relationship Id="rId3328" Type="http://schemas.openxmlformats.org/officeDocument/2006/relationships/image" Target="media/image1198.jpg"/><Relationship Id="rId3535" Type="http://schemas.openxmlformats.org/officeDocument/2006/relationships/hyperlink" Target="https://en.wikipedia.org/wiki/Sahel" TargetMode="External"/><Relationship Id="rId3742" Type="http://schemas.openxmlformats.org/officeDocument/2006/relationships/hyperlink" Target="http://jardinage.ooreka.fr/plante/voir/396/salicorne" TargetMode="External"/><Relationship Id="rId249" Type="http://schemas.openxmlformats.org/officeDocument/2006/relationships/hyperlink" Target="http://fr.wikipedia.org/wiki/Miel" TargetMode="External"/><Relationship Id="rId456" Type="http://schemas.openxmlformats.org/officeDocument/2006/relationships/hyperlink" Target="http://fr.wikipedia.org/wiki/Tolga_(Alg%C3%A9rie)" TargetMode="External"/><Relationship Id="rId663" Type="http://schemas.openxmlformats.org/officeDocument/2006/relationships/image" Target="media/image278.jpeg"/><Relationship Id="rId870" Type="http://schemas.openxmlformats.org/officeDocument/2006/relationships/hyperlink" Target="http://translate.googleusercontent.com/translate_c?depth=1&amp;hl=fr&amp;prev=/search?q=nitraria&amp;biw=1440&amp;bih=732&amp;rurl=translate.google.fr&amp;sl=en&amp;u=http://en.wikipedia.org/wiki/Indigenous_Australians&amp;usg=ALkJrhgJ8xmST9GPswgupTnyAbJ49k1WCg" TargetMode="External"/><Relationship Id="rId1086" Type="http://schemas.openxmlformats.org/officeDocument/2006/relationships/image" Target="media/image510.jpg"/><Relationship Id="rId1293" Type="http://schemas.openxmlformats.org/officeDocument/2006/relationships/hyperlink" Target="https://fr.wikipedia.org/wiki/Famille_(biologie)" TargetMode="External"/><Relationship Id="rId2137" Type="http://schemas.openxmlformats.org/officeDocument/2006/relationships/hyperlink" Target="https://en.wikipedia.org/wiki/Famine" TargetMode="External"/><Relationship Id="rId2344" Type="http://schemas.openxmlformats.org/officeDocument/2006/relationships/hyperlink" Target="http://fr.wikipedia.org/wiki/Paille" TargetMode="External"/><Relationship Id="rId2551" Type="http://schemas.openxmlformats.org/officeDocument/2006/relationships/hyperlink" Target="http://translate.googleusercontent.com/translate_c?depth=1&amp;hl=fr&amp;prev=search&amp;rurl=translate.google.fr&amp;sl=en&amp;u=http://en.wikipedia.org/wiki/Morocco&amp;usg=ALkJrhiO9mdItDsa578VP76r95L06PW2UQ" TargetMode="External"/><Relationship Id="rId2789" Type="http://schemas.openxmlformats.org/officeDocument/2006/relationships/image" Target="media/image956.jpeg"/><Relationship Id="rId2996" Type="http://schemas.openxmlformats.org/officeDocument/2006/relationships/hyperlink" Target="https://fr.wikipedia.org/wiki/Famille_(biologie)" TargetMode="External"/><Relationship Id="rId109" Type="http://schemas.openxmlformats.org/officeDocument/2006/relationships/hyperlink" Target="https://en.wikipedia.org/wiki/Bacteria" TargetMode="External"/><Relationship Id="rId316" Type="http://schemas.openxmlformats.org/officeDocument/2006/relationships/image" Target="media/image145.jpeg"/><Relationship Id="rId523" Type="http://schemas.openxmlformats.org/officeDocument/2006/relationships/image" Target="media/image224.jpeg"/><Relationship Id="rId968" Type="http://schemas.openxmlformats.org/officeDocument/2006/relationships/image" Target="media/image430.jpeg"/><Relationship Id="rId1153" Type="http://schemas.openxmlformats.org/officeDocument/2006/relationships/hyperlink" Target="https://en.wikipedia.org/wiki/Combretaceae" TargetMode="External"/><Relationship Id="rId1598" Type="http://schemas.openxmlformats.org/officeDocument/2006/relationships/hyperlink" Target="http://fr.wikipedia.org/wiki/Orge_commune" TargetMode="External"/><Relationship Id="rId2204" Type="http://schemas.openxmlformats.org/officeDocument/2006/relationships/hyperlink" Target="https://en.wikipedia.org/wiki/Millennium_Development_Goals" TargetMode="External"/><Relationship Id="rId2649" Type="http://schemas.openxmlformats.org/officeDocument/2006/relationships/hyperlink" Target="https://fr.wikipedia.org/wiki/Polystyr%C3%A8ne" TargetMode="External"/><Relationship Id="rId2856" Type="http://schemas.openxmlformats.org/officeDocument/2006/relationships/image" Target="media/image975.jpg"/><Relationship Id="rId3602" Type="http://schemas.openxmlformats.org/officeDocument/2006/relationships/hyperlink" Target="https://fr.wikipedia.org/wiki/Amendement_(agriculture)" TargetMode="External"/><Relationship Id="rId3907" Type="http://schemas.openxmlformats.org/officeDocument/2006/relationships/hyperlink" Target="http://www.doc-developpement-durable.org/file/Culture/Arbres-Bois-de-Rapport-Reforestation/forets-preservation-restoration/framework-species-method_Stephen-Elliot/version-espanola/" TargetMode="External"/><Relationship Id="rId97" Type="http://schemas.openxmlformats.org/officeDocument/2006/relationships/hyperlink" Target="https://fr.wikipedia.org/wiki/Population_mondiale" TargetMode="External"/><Relationship Id="rId730" Type="http://schemas.openxmlformats.org/officeDocument/2006/relationships/image" Target="media/image316.jpeg"/><Relationship Id="rId828" Type="http://schemas.openxmlformats.org/officeDocument/2006/relationships/image" Target="media/image374.jpeg"/><Relationship Id="rId1013" Type="http://schemas.openxmlformats.org/officeDocument/2006/relationships/image" Target="media/image463.jpg"/><Relationship Id="rId1360" Type="http://schemas.openxmlformats.org/officeDocument/2006/relationships/hyperlink" Target="http://www.gcrio.org/usiji/pdf/Mexico-3%203-04.pdf" TargetMode="External"/><Relationship Id="rId1458" Type="http://schemas.openxmlformats.org/officeDocument/2006/relationships/hyperlink" Target="http://fr.wikipedia.org/w/index.php?title=Asparagus_maritimus&amp;action=edit&amp;redlink=1" TargetMode="External"/><Relationship Id="rId1665" Type="http://schemas.openxmlformats.org/officeDocument/2006/relationships/hyperlink" Target="https://fr.wikipedia.org/wiki/Famille_(biologie)" TargetMode="External"/><Relationship Id="rId1872" Type="http://schemas.openxmlformats.org/officeDocument/2006/relationships/hyperlink" Target="https://fr.wikipedia.org/wiki/Plante" TargetMode="External"/><Relationship Id="rId2411" Type="http://schemas.openxmlformats.org/officeDocument/2006/relationships/hyperlink" Target="http://fr.wikipedia.org/wiki/Famille_(biologie)" TargetMode="External"/><Relationship Id="rId2509" Type="http://schemas.openxmlformats.org/officeDocument/2006/relationships/hyperlink" Target="https://fr.wikipedia.org/wiki/Passoire" TargetMode="External"/><Relationship Id="rId2716" Type="http://schemas.openxmlformats.org/officeDocument/2006/relationships/hyperlink" Target="https://fr.wikipedia.org/w/index.php?title=Ice-ice&amp;action=edit&amp;redlink=1" TargetMode="External"/><Relationship Id="rId4071" Type="http://schemas.openxmlformats.org/officeDocument/2006/relationships/image" Target="media/image1406.jpeg"/><Relationship Id="rId4169" Type="http://schemas.openxmlformats.org/officeDocument/2006/relationships/hyperlink" Target="http://www.cabi.org/isc/datasheet/112574" TargetMode="External"/><Relationship Id="rId1220" Type="http://schemas.openxmlformats.org/officeDocument/2006/relationships/oleObject" Target="embeddings/oleObject1.bin"/><Relationship Id="rId1318" Type="http://schemas.openxmlformats.org/officeDocument/2006/relationships/hyperlink" Target="http://translate.googleusercontent.com/translate_c?depth=1&amp;hl=fr&amp;prev=/search?q%3Dsalicornia%2Bherbacea%2Bwikipedia%26biw%3D1440%26bih%3D732&amp;rurl=translate.google.fr&amp;sl=en&amp;u=http://en.wikipedia.org/wiki/Aquaculture&amp;usg=ALkJrhiE6KFpEB9N4zhlOMj4t18BA0ouDw" TargetMode="External"/><Relationship Id="rId1525" Type="http://schemas.openxmlformats.org/officeDocument/2006/relationships/hyperlink" Target="https://fr.wikipedia.org/wiki/Rhizome" TargetMode="External"/><Relationship Id="rId2923" Type="http://schemas.openxmlformats.org/officeDocument/2006/relationships/hyperlink" Target="http://translate.googleusercontent.com/translate_c?depth=1&amp;hl=fr&amp;prev=search&amp;rurl=translate.google.fr&amp;sl=en&amp;u=http://en.wikipedia.org/wiki/Flavonoid&amp;usg=ALkJrhhN3RU2KsSLZK21gss0NRw3mP7DUw" TargetMode="External"/><Relationship Id="rId4376" Type="http://schemas.openxmlformats.org/officeDocument/2006/relationships/hyperlink" Target="http://en.wikipedia.org/wiki/Pennisetum_clandestinum" TargetMode="External"/><Relationship Id="rId1732" Type="http://schemas.openxmlformats.org/officeDocument/2006/relationships/image" Target="media/image736.jpg"/><Relationship Id="rId3185" Type="http://schemas.openxmlformats.org/officeDocument/2006/relationships/image" Target="media/image1103.jpg"/><Relationship Id="rId3392" Type="http://schemas.openxmlformats.org/officeDocument/2006/relationships/hyperlink" Target="https://en.wikipedia.org/wiki/Middle_Belt" TargetMode="External"/><Relationship Id="rId4029" Type="http://schemas.openxmlformats.org/officeDocument/2006/relationships/image" Target="media/image1394.jpeg"/><Relationship Id="rId4236" Type="http://schemas.openxmlformats.org/officeDocument/2006/relationships/hyperlink" Target="http://www.cabi.org/isc/datasheet/112596" TargetMode="External"/><Relationship Id="rId4443" Type="http://schemas.openxmlformats.org/officeDocument/2006/relationships/hyperlink" Target="http://fr.wikipedia.org/wiki/Ruissellement" TargetMode="External"/><Relationship Id="rId24" Type="http://schemas.openxmlformats.org/officeDocument/2006/relationships/hyperlink" Target="https://fr.wikipedia.org/wiki/Homo_sapiens" TargetMode="External"/><Relationship Id="rId2299" Type="http://schemas.openxmlformats.org/officeDocument/2006/relationships/hyperlink" Target="http://www.pfaf.org/user/Plant.aspx?LatinName=Melilotus+indicus" TargetMode="External"/><Relationship Id="rId3045" Type="http://schemas.openxmlformats.org/officeDocument/2006/relationships/hyperlink" Target="http://en.wikipedia.org/wiki/Infiltration_(hydrology)" TargetMode="External"/><Relationship Id="rId3252" Type="http://schemas.openxmlformats.org/officeDocument/2006/relationships/hyperlink" Target="https://en.wikipedia.org/wiki/Turpan" TargetMode="External"/><Relationship Id="rId3697" Type="http://schemas.openxmlformats.org/officeDocument/2006/relationships/image" Target="media/image1356.jpg"/><Relationship Id="rId4303" Type="http://schemas.openxmlformats.org/officeDocument/2006/relationships/hyperlink" Target="https://en.wikipedia.org/wiki/Tamarix_tetrandra" TargetMode="External"/><Relationship Id="rId4510" Type="http://schemas.openxmlformats.org/officeDocument/2006/relationships/hyperlink" Target="http://popups.ulg.ac.be/1780-4507/index.php?id=9586" TargetMode="External"/><Relationship Id="rId173" Type="http://schemas.openxmlformats.org/officeDocument/2006/relationships/image" Target="media/image80.jpeg"/><Relationship Id="rId380" Type="http://schemas.openxmlformats.org/officeDocument/2006/relationships/hyperlink" Target="https://fr.wikipedia.org/wiki/Vitis_rotundifolia" TargetMode="External"/><Relationship Id="rId2061" Type="http://schemas.openxmlformats.org/officeDocument/2006/relationships/hyperlink" Target="https://en.wikipedia.org/wiki/Maruca_vitrata" TargetMode="External"/><Relationship Id="rId3112" Type="http://schemas.openxmlformats.org/officeDocument/2006/relationships/image" Target="media/image1064.jpeg"/><Relationship Id="rId3557" Type="http://schemas.openxmlformats.org/officeDocument/2006/relationships/hyperlink" Target="https://fr.wikipedia.org/wiki/R%C3%A9g%C3%A9n%C3%A9ration_naturelle_assist%C3%A9e" TargetMode="External"/><Relationship Id="rId3764" Type="http://schemas.openxmlformats.org/officeDocument/2006/relationships/hyperlink" Target="http://www.miracosta.edu/home/kmeldahl/articles/crops.pdf" TargetMode="External"/><Relationship Id="rId3971" Type="http://schemas.openxmlformats.org/officeDocument/2006/relationships/hyperlink" Target="http://fr.wikipedia.org/wiki/Textile" TargetMode="External"/><Relationship Id="rId240" Type="http://schemas.openxmlformats.org/officeDocument/2006/relationships/hyperlink" Target="http://fr.wikipedia.org/wiki/Chine" TargetMode="External"/><Relationship Id="rId478" Type="http://schemas.openxmlformats.org/officeDocument/2006/relationships/image" Target="media/image205.jpeg"/><Relationship Id="rId685" Type="http://schemas.openxmlformats.org/officeDocument/2006/relationships/image" Target="media/image293.jpeg"/><Relationship Id="rId892" Type="http://schemas.openxmlformats.org/officeDocument/2006/relationships/image" Target="media/image392.jpeg"/><Relationship Id="rId2159" Type="http://schemas.openxmlformats.org/officeDocument/2006/relationships/hyperlink" Target="https://fr.wikipedia.org/wiki/Saponine" TargetMode="External"/><Relationship Id="rId2366" Type="http://schemas.openxmlformats.org/officeDocument/2006/relationships/hyperlink" Target="http://fr.wikipedia.org/wiki/Huile_essentielle" TargetMode="External"/><Relationship Id="rId2573" Type="http://schemas.openxmlformats.org/officeDocument/2006/relationships/hyperlink" Target="https://fr.wikipedia.org/wiki/Engrais" TargetMode="External"/><Relationship Id="rId2780" Type="http://schemas.openxmlformats.org/officeDocument/2006/relationships/hyperlink" Target="https://fr.wikipedia.org/wiki/Eau" TargetMode="External"/><Relationship Id="rId3417" Type="http://schemas.openxmlformats.org/officeDocument/2006/relationships/hyperlink" Target="http://fr.wikipedia.org/wiki/%C3%89pandage" TargetMode="External"/><Relationship Id="rId3624" Type="http://schemas.openxmlformats.org/officeDocument/2006/relationships/hyperlink" Target="https://fr.wikipedia.org/wiki/Peuplier" TargetMode="External"/><Relationship Id="rId3831" Type="http://schemas.openxmlformats.org/officeDocument/2006/relationships/hyperlink" Target="http://ideas.repec.org/a/eee/agiwat/v123y2013icp1-11.html" TargetMode="External"/><Relationship Id="rId100" Type="http://schemas.openxmlformats.org/officeDocument/2006/relationships/hyperlink" Target="https://fr.wikipedia.org/wiki/Plateau_du_Golan_(g%C3%A9ographie)" TargetMode="External"/><Relationship Id="rId338" Type="http://schemas.openxmlformats.org/officeDocument/2006/relationships/hyperlink" Target="https://fr.wikipedia.org/wiki/Famille_(biologie)" TargetMode="External"/><Relationship Id="rId545" Type="http://schemas.openxmlformats.org/officeDocument/2006/relationships/image" Target="media/image237.jpeg"/><Relationship Id="rId752" Type="http://schemas.openxmlformats.org/officeDocument/2006/relationships/hyperlink" Target="https://en.wikipedia.org/wiki/Acacia_ampliceps" TargetMode="External"/><Relationship Id="rId1175" Type="http://schemas.openxmlformats.org/officeDocument/2006/relationships/image" Target="media/image565.jpeg"/><Relationship Id="rId1382" Type="http://schemas.openxmlformats.org/officeDocument/2006/relationships/hyperlink" Target="http://en.wikipedia.org/wiki/Los_Angeles_Times" TargetMode="External"/><Relationship Id="rId2019" Type="http://schemas.openxmlformats.org/officeDocument/2006/relationships/hyperlink" Target="https://en.wikipedia.org/wiki/Cry_toxin" TargetMode="External"/><Relationship Id="rId2226" Type="http://schemas.openxmlformats.org/officeDocument/2006/relationships/image" Target="media/image845.png"/><Relationship Id="rId2433" Type="http://schemas.openxmlformats.org/officeDocument/2006/relationships/image" Target="media/image893.jpeg"/><Relationship Id="rId2640" Type="http://schemas.openxmlformats.org/officeDocument/2006/relationships/hyperlink" Target="https://fr.wikipedia.org/wiki/Genre_(biologie)" TargetMode="External"/><Relationship Id="rId2878" Type="http://schemas.openxmlformats.org/officeDocument/2006/relationships/hyperlink" Target="http://translate.googleusercontent.com/translate_c?depth=1&amp;hl=fr&amp;prev=search&amp;rurl=translate.google.fr&amp;sl=en&amp;u=http://en.wikipedia.org/wiki/Kutch_District&amp;usg=ALkJrhgmSHM2-FmQgQUIWfyXXUDCbMRYFA" TargetMode="External"/><Relationship Id="rId3929" Type="http://schemas.openxmlformats.org/officeDocument/2006/relationships/hyperlink" Target="http://www.hear.org/pier/species/opuntia_stricta.htm" TargetMode="External"/><Relationship Id="rId4093" Type="http://schemas.openxmlformats.org/officeDocument/2006/relationships/hyperlink" Target="http://translate.googleusercontent.com/translate_c?depth=1&amp;hl=fr&amp;prev=/search?q%3Dprosopis%2Bjuliflora%26rlz%3D1C1GGGE_frFR479FR479%26es_sm%3D93&amp;rurl=translate.google.fr&amp;sl=en&amp;u=http://en.wikipedia.org/wiki/Asia&amp;usg=ALkJrhhlPd0VpXmh4eNv2YbC86ZLuIB6NQ" TargetMode="External"/><Relationship Id="rId405" Type="http://schemas.openxmlformats.org/officeDocument/2006/relationships/hyperlink" Target="https://en.wikipedia.org/wiki/Mediterranean_Basin" TargetMode="External"/><Relationship Id="rId612" Type="http://schemas.openxmlformats.org/officeDocument/2006/relationships/image" Target="media/image262.jpeg"/><Relationship Id="rId1035" Type="http://schemas.openxmlformats.org/officeDocument/2006/relationships/hyperlink" Target="https://fr.wikipedia.org/wiki/Annonaceae" TargetMode="External"/><Relationship Id="rId1242" Type="http://schemas.openxmlformats.org/officeDocument/2006/relationships/image" Target="media/image622.jpeg"/><Relationship Id="rId1687" Type="http://schemas.openxmlformats.org/officeDocument/2006/relationships/hyperlink" Target="http://fr.wikipedia.org/wiki/Aizoac%C3%A9es" TargetMode="External"/><Relationship Id="rId1894" Type="http://schemas.openxmlformats.org/officeDocument/2006/relationships/hyperlink" Target="https://fr.wikipedia.org/wiki/Culture_vivri%C3%A8re" TargetMode="External"/><Relationship Id="rId2500" Type="http://schemas.openxmlformats.org/officeDocument/2006/relationships/hyperlink" Target="https://fr.wikipedia.org/wiki/Dromadaire" TargetMode="External"/><Relationship Id="rId2738" Type="http://schemas.openxmlformats.org/officeDocument/2006/relationships/hyperlink" Target="https://fr.wikipedia.org/wiki/Genre_(biologie)" TargetMode="External"/><Relationship Id="rId2945" Type="http://schemas.openxmlformats.org/officeDocument/2006/relationships/image" Target="media/image990.png"/><Relationship Id="rId4398" Type="http://schemas.openxmlformats.org/officeDocument/2006/relationships/image" Target="media/image1475.jpeg"/><Relationship Id="rId917" Type="http://schemas.openxmlformats.org/officeDocument/2006/relationships/hyperlink" Target="https://fr.wikipedia.org/wiki/Elaeagnus_angustifolia" TargetMode="External"/><Relationship Id="rId1102" Type="http://schemas.openxmlformats.org/officeDocument/2006/relationships/image" Target="media/image525.jpeg"/><Relationship Id="rId1547" Type="http://schemas.openxmlformats.org/officeDocument/2006/relationships/hyperlink" Target="https://uses.plantnet-project.org/fr/Colocasia_esculenta_(PROTA)" TargetMode="External"/><Relationship Id="rId1754" Type="http://schemas.openxmlformats.org/officeDocument/2006/relationships/hyperlink" Target="http://fr.wikipedia.org/wiki/Capitule_(botanique)" TargetMode="External"/><Relationship Id="rId1961" Type="http://schemas.openxmlformats.org/officeDocument/2006/relationships/hyperlink" Target="https://en.wikipedia.org/wiki/Rice" TargetMode="External"/><Relationship Id="rId2805" Type="http://schemas.openxmlformats.org/officeDocument/2006/relationships/hyperlink" Target="http://fr.wikipedia.org/wiki/Salvadora_persica" TargetMode="External"/><Relationship Id="rId4160" Type="http://schemas.openxmlformats.org/officeDocument/2006/relationships/hyperlink" Target="http://en.wikipedia.org/wiki/Prosopis_pallida" TargetMode="External"/><Relationship Id="rId4258" Type="http://schemas.openxmlformats.org/officeDocument/2006/relationships/hyperlink" Target="http://www.cabi.org/isc/datasheet/52486" TargetMode="External"/><Relationship Id="rId4465" Type="http://schemas.openxmlformats.org/officeDocument/2006/relationships/hyperlink" Target="https://www.sgsomaliland.com/" TargetMode="External"/><Relationship Id="rId46" Type="http://schemas.openxmlformats.org/officeDocument/2006/relationships/image" Target="media/image11.png"/><Relationship Id="rId1407" Type="http://schemas.openxmlformats.org/officeDocument/2006/relationships/hyperlink" Target="http://www.bashanfoundation.org/gmaweb/pdfs/growth.pdf" TargetMode="External"/><Relationship Id="rId1614" Type="http://schemas.openxmlformats.org/officeDocument/2006/relationships/hyperlink" Target="http://translate.googleusercontent.com/translate_c?depth=1&amp;hl=fr&amp;prev=/search?q%3DDistichlis%2Bpalmeri%26biw%3D1440%26bih%3D732&amp;rurl=translate.google.fr&amp;sl=en&amp;u=http://en.wikipedia.org/wiki/Grain&amp;usg=ALkJrhggRrR6ScmJtSbEHpFvdw1b0O1z0w" TargetMode="External"/><Relationship Id="rId1821" Type="http://schemas.openxmlformats.org/officeDocument/2006/relationships/hyperlink" Target="https://fr.wikipedia.org/wiki/Fonio_noir" TargetMode="External"/><Relationship Id="rId3067" Type="http://schemas.openxmlformats.org/officeDocument/2006/relationships/image" Target="media/image1022.jpeg"/><Relationship Id="rId3274" Type="http://schemas.openxmlformats.org/officeDocument/2006/relationships/image" Target="media/image1166.jpg"/><Relationship Id="rId4020" Type="http://schemas.openxmlformats.org/officeDocument/2006/relationships/hyperlink" Target="http://fr.wikipedia.org/wiki/Australie" TargetMode="External"/><Relationship Id="rId4118" Type="http://schemas.openxmlformats.org/officeDocument/2006/relationships/image" Target="media/image1423.jpeg"/><Relationship Id="rId195" Type="http://schemas.openxmlformats.org/officeDocument/2006/relationships/image" Target="media/image89.jpg"/><Relationship Id="rId1919" Type="http://schemas.openxmlformats.org/officeDocument/2006/relationships/hyperlink" Target="https://fr.wikipedia.org/wiki/Rendement_agricole" TargetMode="External"/><Relationship Id="rId3481" Type="http://schemas.openxmlformats.org/officeDocument/2006/relationships/image" Target="media/image1297.jpeg"/><Relationship Id="rId3579" Type="http://schemas.openxmlformats.org/officeDocument/2006/relationships/hyperlink" Target="https://fr.wikipedia.org/wiki/Detarium_senegalense" TargetMode="External"/><Relationship Id="rId3786" Type="http://schemas.openxmlformats.org/officeDocument/2006/relationships/hyperlink" Target="http://ideas.repec.org/s/eee/agiwat.html" TargetMode="External"/><Relationship Id="rId4325" Type="http://schemas.openxmlformats.org/officeDocument/2006/relationships/hyperlink" Target="http://fr.wikipedia.org/wiki/Alcalo%C3%AFde" TargetMode="External"/><Relationship Id="rId4532" Type="http://schemas.openxmlformats.org/officeDocument/2006/relationships/hyperlink" Target="http://www.sossahel.org" TargetMode="External"/><Relationship Id="rId2083" Type="http://schemas.openxmlformats.org/officeDocument/2006/relationships/hyperlink" Target="https://fr.wikipedia.org/wiki/CIPAN" TargetMode="External"/><Relationship Id="rId2290" Type="http://schemas.openxmlformats.org/officeDocument/2006/relationships/hyperlink" Target="http://translate.googleusercontent.com/translate_c?depth=1&amp;hl=fr&amp;prev=/search?q%3DMelilotus%2Bindicus%26biw%3D1440%26bih%3D732&amp;rurl=translate.google.fr&amp;sl=en&amp;u=http://en.wikipedia.org/wiki/Macaronesia&amp;usg=ALkJrhj3FsrPpj4IrlMpRJ5q7TKqARqAfg" TargetMode="External"/><Relationship Id="rId2388" Type="http://schemas.openxmlformats.org/officeDocument/2006/relationships/hyperlink" Target="http://translate.googleusercontent.com/translate_c?depth=1&amp;hl=fr&amp;prev=/search?q%3DChrysopogon%2Bnigritanus%26biw%3D1440%26bih%3D732&amp;rurl=translate.google.fr&amp;sl=en&amp;u=http://en.wikipedia.org/wiki/Livestock&amp;usg=ALkJrhjkuqEymflBRig6AxKCZfwjQQ7A_A" TargetMode="External"/><Relationship Id="rId2595" Type="http://schemas.openxmlformats.org/officeDocument/2006/relationships/hyperlink" Target="https://fr.wikipedia.org/wiki/Esp%C3%A8ce_(biologie)" TargetMode="External"/><Relationship Id="rId3134" Type="http://schemas.openxmlformats.org/officeDocument/2006/relationships/image" Target="media/image1076.jpeg"/><Relationship Id="rId3341" Type="http://schemas.openxmlformats.org/officeDocument/2006/relationships/image" Target="media/image1209.jpeg"/><Relationship Id="rId3439" Type="http://schemas.openxmlformats.org/officeDocument/2006/relationships/image" Target="media/image1275.jpeg"/><Relationship Id="rId3993" Type="http://schemas.openxmlformats.org/officeDocument/2006/relationships/hyperlink" Target="http://fr.wikipedia.org/wiki/Malaisie" TargetMode="External"/><Relationship Id="rId262" Type="http://schemas.openxmlformats.org/officeDocument/2006/relationships/image" Target="media/image114.jpeg"/><Relationship Id="rId567" Type="http://schemas.openxmlformats.org/officeDocument/2006/relationships/image" Target="media/image249.jpeg"/><Relationship Id="rId1197" Type="http://schemas.openxmlformats.org/officeDocument/2006/relationships/image" Target="media/image582.jpeg"/><Relationship Id="rId2150" Type="http://schemas.openxmlformats.org/officeDocument/2006/relationships/hyperlink" Target="https://fr.wikipedia.org/wiki/Esp%C3%A8ce" TargetMode="External"/><Relationship Id="rId2248" Type="http://schemas.openxmlformats.org/officeDocument/2006/relationships/hyperlink" Target="https://fr.wikipedia.org/wiki/Centre_international_de_recherche_sur_le_cancer" TargetMode="External"/><Relationship Id="rId3201" Type="http://schemas.openxmlformats.org/officeDocument/2006/relationships/image" Target="media/image1115.jpeg"/><Relationship Id="rId3646" Type="http://schemas.openxmlformats.org/officeDocument/2006/relationships/image" Target="media/image1336.jpg"/><Relationship Id="rId3853" Type="http://schemas.openxmlformats.org/officeDocument/2006/relationships/hyperlink" Target="http://www.ncbi.nlm.nih.gov/pubmed?term=van%20der%20Linden%20CG%5bAuthor%5d&amp;cauthor=true&amp;cauthor_uid=23771136" TargetMode="External"/><Relationship Id="rId122" Type="http://schemas.openxmlformats.org/officeDocument/2006/relationships/hyperlink" Target="https://en.wikipedia.org/wiki/Biotic_stress" TargetMode="External"/><Relationship Id="rId774" Type="http://schemas.openxmlformats.org/officeDocument/2006/relationships/hyperlink" Target="http://www.seyilaabe-htkm.com/2011/01/la-chronique-du-mardi-au-jardin_11.html" TargetMode="External"/><Relationship Id="rId981" Type="http://schemas.openxmlformats.org/officeDocument/2006/relationships/image" Target="media/image437.jpeg"/><Relationship Id="rId1057" Type="http://schemas.openxmlformats.org/officeDocument/2006/relationships/image" Target="media/image489.jpg"/><Relationship Id="rId2010" Type="http://schemas.openxmlformats.org/officeDocument/2006/relationships/hyperlink" Target="https://en.wikipedia.org/wiki/Helicoverpa_armigera" TargetMode="External"/><Relationship Id="rId2455" Type="http://schemas.openxmlformats.org/officeDocument/2006/relationships/hyperlink" Target="http://fr.wikipedia.org/wiki/Poaceae" TargetMode="External"/><Relationship Id="rId2662" Type="http://schemas.openxmlformats.org/officeDocument/2006/relationships/hyperlink" Target="https://fr.wikipedia.org/wiki/Rhodophyta" TargetMode="External"/><Relationship Id="rId3506" Type="http://schemas.openxmlformats.org/officeDocument/2006/relationships/image" Target="media/image1316.jpeg"/><Relationship Id="rId3713" Type="http://schemas.openxmlformats.org/officeDocument/2006/relationships/hyperlink" Target="https://www.lesechos.fr/2016/08/ces-guerres-de-leau-qui-nous-menacent-1112386" TargetMode="External"/><Relationship Id="rId3920" Type="http://schemas.openxmlformats.org/officeDocument/2006/relationships/hyperlink" Target="https://nph.onlinelibrary.wiley.com/doi/full/10.1002/ppp3.10225" TargetMode="External"/><Relationship Id="rId427" Type="http://schemas.openxmlformats.org/officeDocument/2006/relationships/image" Target="media/image179.png"/><Relationship Id="rId634" Type="http://schemas.openxmlformats.org/officeDocument/2006/relationships/hyperlink" Target="http://de.wikipedia.org/wiki/Callitris_tuberculata" TargetMode="External"/><Relationship Id="rId841" Type="http://schemas.openxmlformats.org/officeDocument/2006/relationships/hyperlink" Target="http://translate.googleusercontent.com/translate_c?depth=1&amp;hl=fr&amp;prev=/search?q=Salsola+vermiculata&amp;biw=1440&amp;bih=732&amp;rurl=translate.google.fr&amp;sl=es&amp;u=http://es.wikipedia.org/wiki/Hermafrodita&amp;usg=ALkJrhguRadzcYTp1oHXffK4If9PceYhEw" TargetMode="External"/><Relationship Id="rId1264" Type="http://schemas.openxmlformats.org/officeDocument/2006/relationships/hyperlink" Target="http://en.wikipedia.org/wiki/Plant" TargetMode="External"/><Relationship Id="rId1471" Type="http://schemas.openxmlformats.org/officeDocument/2006/relationships/image" Target="media/image660.jpeg"/><Relationship Id="rId1569" Type="http://schemas.openxmlformats.org/officeDocument/2006/relationships/hyperlink" Target="http://fr.wikipedia.org/wiki/C%C3%A9r%C3%A9ale" TargetMode="External"/><Relationship Id="rId2108" Type="http://schemas.openxmlformats.org/officeDocument/2006/relationships/image" Target="media/image806.jpeg"/><Relationship Id="rId2315" Type="http://schemas.openxmlformats.org/officeDocument/2006/relationships/hyperlink" Target="http://fr.wikipedia.org/wiki/Turquie" TargetMode="External"/><Relationship Id="rId2522" Type="http://schemas.openxmlformats.org/officeDocument/2006/relationships/image" Target="media/image909.jpeg"/><Relationship Id="rId2967" Type="http://schemas.openxmlformats.org/officeDocument/2006/relationships/hyperlink" Target="http://fr.wikipedia.org/wiki/Burseraceae" TargetMode="External"/><Relationship Id="rId4182" Type="http://schemas.openxmlformats.org/officeDocument/2006/relationships/hyperlink" Target="http://www.cabi.org/isc/datasheet/112578" TargetMode="External"/><Relationship Id="rId701" Type="http://schemas.openxmlformats.org/officeDocument/2006/relationships/image" Target="media/image301.jpeg"/><Relationship Id="rId939" Type="http://schemas.openxmlformats.org/officeDocument/2006/relationships/hyperlink" Target="https://fr.wikipedia.org/wiki/Sri_Lanka" TargetMode="External"/><Relationship Id="rId1124" Type="http://schemas.openxmlformats.org/officeDocument/2006/relationships/hyperlink" Target="https://fr.wikipedia.org/wiki/Avicennia" TargetMode="External"/><Relationship Id="rId1331" Type="http://schemas.openxmlformats.org/officeDocument/2006/relationships/hyperlink" Target="http://en.wikipedia.org/wiki/Scientific_American" TargetMode="External"/><Relationship Id="rId1776" Type="http://schemas.openxmlformats.org/officeDocument/2006/relationships/hyperlink" Target="http://simple.wikipedia.org/wiki/Sunflower" TargetMode="External"/><Relationship Id="rId1983" Type="http://schemas.openxmlformats.org/officeDocument/2006/relationships/hyperlink" Target="https://fr.wikipedia.org/wiki/Niger" TargetMode="External"/><Relationship Id="rId2827" Type="http://schemas.openxmlformats.org/officeDocument/2006/relationships/hyperlink" Target="http://fr.wikipedia.org/wiki/Siwak" TargetMode="External"/><Relationship Id="rId4042" Type="http://schemas.openxmlformats.org/officeDocument/2006/relationships/image" Target="media/image1398.jpg"/><Relationship Id="rId4487" Type="http://schemas.openxmlformats.org/officeDocument/2006/relationships/hyperlink" Target="http://fr.wikipedia.org/wiki/For%C3%AAt" TargetMode="External"/><Relationship Id="rId68" Type="http://schemas.openxmlformats.org/officeDocument/2006/relationships/hyperlink" Target="https://laulima.hawaii.edu" TargetMode="External"/><Relationship Id="rId1429" Type="http://schemas.openxmlformats.org/officeDocument/2006/relationships/hyperlink" Target="http://www.ncbi.nlm.nih.gov/pubmed/18765761" TargetMode="External"/><Relationship Id="rId1636" Type="http://schemas.openxmlformats.org/officeDocument/2006/relationships/image" Target="media/image699.jpeg"/><Relationship Id="rId1843" Type="http://schemas.openxmlformats.org/officeDocument/2006/relationships/image" Target="media/image765.jpeg"/><Relationship Id="rId3089" Type="http://schemas.openxmlformats.org/officeDocument/2006/relationships/image" Target="media/image1042.jpeg"/><Relationship Id="rId3296" Type="http://schemas.openxmlformats.org/officeDocument/2006/relationships/image" Target="media/image1175.jpeg"/><Relationship Id="rId4347" Type="http://schemas.openxmlformats.org/officeDocument/2006/relationships/hyperlink" Target="https://fr.wikipedia.org/wiki/Typha_domingensis" TargetMode="External"/><Relationship Id="rId4554" Type="http://schemas.openxmlformats.org/officeDocument/2006/relationships/hyperlink" Target="http://doc-developpement-durable.org/" TargetMode="External"/><Relationship Id="rId1703" Type="http://schemas.openxmlformats.org/officeDocument/2006/relationships/hyperlink" Target="https://fr.wikipedia.org/wiki/Manche_(mer)" TargetMode="External"/><Relationship Id="rId1910" Type="http://schemas.openxmlformats.org/officeDocument/2006/relationships/hyperlink" Target="https://fr.wikipedia.org/wiki/Mil_%C3%A0_chandelle" TargetMode="External"/><Relationship Id="rId3156" Type="http://schemas.openxmlformats.org/officeDocument/2006/relationships/hyperlink" Target="http://fr.wikipedia.org/wiki/Talweg" TargetMode="External"/><Relationship Id="rId3363" Type="http://schemas.openxmlformats.org/officeDocument/2006/relationships/image" Target="media/image1224.jpeg"/><Relationship Id="rId4207" Type="http://schemas.openxmlformats.org/officeDocument/2006/relationships/hyperlink" Target="http://www.cabi.org/isc/datasheet/112588" TargetMode="External"/><Relationship Id="rId4414" Type="http://schemas.openxmlformats.org/officeDocument/2006/relationships/hyperlink" Target="http://fr.wiktionary.org/wiki/feuille" TargetMode="External"/><Relationship Id="rId284" Type="http://schemas.openxmlformats.org/officeDocument/2006/relationships/image" Target="media/image126.jpeg"/><Relationship Id="rId491" Type="http://schemas.openxmlformats.org/officeDocument/2006/relationships/hyperlink" Target="https://fr.wikipedia.org/wiki/Famille_(biologie)" TargetMode="External"/><Relationship Id="rId2172" Type="http://schemas.openxmlformats.org/officeDocument/2006/relationships/hyperlink" Target="https://fr.wikipedia.org/wiki/Cotyl%C3%A9don" TargetMode="External"/><Relationship Id="rId3016" Type="http://schemas.openxmlformats.org/officeDocument/2006/relationships/hyperlink" Target="http://fr.wikipedia.org/wiki/Royaume-Uni" TargetMode="External"/><Relationship Id="rId3223" Type="http://schemas.openxmlformats.org/officeDocument/2006/relationships/image" Target="media/image1136.jpeg"/><Relationship Id="rId3570" Type="http://schemas.openxmlformats.org/officeDocument/2006/relationships/hyperlink" Target="https://fr.wikipedia.org/wiki/Vachellia_nilotica" TargetMode="External"/><Relationship Id="rId3668" Type="http://schemas.openxmlformats.org/officeDocument/2006/relationships/hyperlink" Target="https://www.prb.org/2014-world-population-datasheet-fr/" TargetMode="External"/><Relationship Id="rId3875" Type="http://schemas.openxmlformats.org/officeDocument/2006/relationships/hyperlink" Target="http://doc-developpement-durable.org/" TargetMode="External"/><Relationship Id="rId144" Type="http://schemas.openxmlformats.org/officeDocument/2006/relationships/hyperlink" Target="https://fr.wikipedia.org/wiki/Yacouba_Sawadogo" TargetMode="External"/><Relationship Id="rId589" Type="http://schemas.openxmlformats.org/officeDocument/2006/relationships/hyperlink" Target="https://fr.wikipedia.org/wiki/Drupe" TargetMode="External"/><Relationship Id="rId796" Type="http://schemas.openxmlformats.org/officeDocument/2006/relationships/image" Target="media/image352.jpeg"/><Relationship Id="rId2477" Type="http://schemas.openxmlformats.org/officeDocument/2006/relationships/hyperlink" Target="https://fr.wikipedia.org/wiki/Monocotyl%C3%A9done" TargetMode="External"/><Relationship Id="rId2684" Type="http://schemas.openxmlformats.org/officeDocument/2006/relationships/hyperlink" Target="https://en.wikipedia.org/wiki/Pythium_porphyrae" TargetMode="External"/><Relationship Id="rId3430" Type="http://schemas.openxmlformats.org/officeDocument/2006/relationships/image" Target="media/image1266.jpeg"/><Relationship Id="rId3528" Type="http://schemas.openxmlformats.org/officeDocument/2006/relationships/image" Target="media/image1320.jpeg"/><Relationship Id="rId3735" Type="http://schemas.openxmlformats.org/officeDocument/2006/relationships/hyperlink" Target="http://www.fao.org/docrep/012/i1488f/i1488f10.pdf" TargetMode="External"/><Relationship Id="rId351" Type="http://schemas.openxmlformats.org/officeDocument/2006/relationships/image" Target="media/image167.jpeg"/><Relationship Id="rId449" Type="http://schemas.openxmlformats.org/officeDocument/2006/relationships/hyperlink" Target="http://fr.wikipedia.org/wiki/Phoenix_dactylifera" TargetMode="External"/><Relationship Id="rId656" Type="http://schemas.openxmlformats.org/officeDocument/2006/relationships/hyperlink" Target="https://www.prota4u.org/database/protav8.asp?fr=1&amp;g=pe&amp;p=Pterocarpus+angolensis+DC" TargetMode="External"/><Relationship Id="rId863" Type="http://schemas.openxmlformats.org/officeDocument/2006/relationships/hyperlink" Target="https://en.wikipedia.org/wiki/Salsola_soda" TargetMode="External"/><Relationship Id="rId1079" Type="http://schemas.openxmlformats.org/officeDocument/2006/relationships/image" Target="media/image503.jpeg"/><Relationship Id="rId1286" Type="http://schemas.openxmlformats.org/officeDocument/2006/relationships/hyperlink" Target="http://fr.wikipedia.org/wiki/Panicum_virgatum" TargetMode="External"/><Relationship Id="rId1493" Type="http://schemas.openxmlformats.org/officeDocument/2006/relationships/hyperlink" Target="http://fr.wikipedia.org/wiki/Inde" TargetMode="External"/><Relationship Id="rId2032" Type="http://schemas.openxmlformats.org/officeDocument/2006/relationships/hyperlink" Target="https://en.wikipedia.org/wiki/Cultivar" TargetMode="External"/><Relationship Id="rId2337" Type="http://schemas.openxmlformats.org/officeDocument/2006/relationships/hyperlink" Target="http://fr.wikipedia.org/wiki/Chrysopogon" TargetMode="External"/><Relationship Id="rId2544" Type="http://schemas.openxmlformats.org/officeDocument/2006/relationships/image" Target="media/image917.jpeg"/><Relationship Id="rId2891" Type="http://schemas.openxmlformats.org/officeDocument/2006/relationships/hyperlink" Target="http://www.dmapr.org.in/MandCrop/Guggal.html" TargetMode="External"/><Relationship Id="rId2989" Type="http://schemas.openxmlformats.org/officeDocument/2006/relationships/hyperlink" Target="http://en.wikipedia.org/wiki/India" TargetMode="External"/><Relationship Id="rId3942" Type="http://schemas.openxmlformats.org/officeDocument/2006/relationships/image" Target="media/image1359.jpeg"/><Relationship Id="rId211" Type="http://schemas.openxmlformats.org/officeDocument/2006/relationships/hyperlink" Target="http://fr.wikipedia.org/wiki/Suaeda_maritima" TargetMode="External"/><Relationship Id="rId309" Type="http://schemas.openxmlformats.org/officeDocument/2006/relationships/hyperlink" Target="http://en.wikipedia.org/wiki/List_of_pistachio_diseases" TargetMode="External"/><Relationship Id="rId516" Type="http://schemas.openxmlformats.org/officeDocument/2006/relationships/hyperlink" Target="http://frutales.files.wordpress.com/2011/05/manual_cultivo_almendro.pdf" TargetMode="External"/><Relationship Id="rId1146" Type="http://schemas.openxmlformats.org/officeDocument/2006/relationships/image" Target="media/image551.jpeg"/><Relationship Id="rId1798" Type="http://schemas.openxmlformats.org/officeDocument/2006/relationships/hyperlink" Target="https://fr.wikipedia.org/wiki/Graine" TargetMode="External"/><Relationship Id="rId2751" Type="http://schemas.openxmlformats.org/officeDocument/2006/relationships/hyperlink" Target="https://fr.wikipedia.org/wiki/Hawa%C3%AF" TargetMode="External"/><Relationship Id="rId2849" Type="http://schemas.openxmlformats.org/officeDocument/2006/relationships/hyperlink" Target="http://en.wikipedia.org/wiki/Ein_Gedi" TargetMode="External"/><Relationship Id="rId3802" Type="http://schemas.openxmlformats.org/officeDocument/2006/relationships/hyperlink" Target="http://ideas.repec.org/a/eee/agiwat/v78y2005i1-2p108-121.html" TargetMode="External"/><Relationship Id="rId723" Type="http://schemas.openxmlformats.org/officeDocument/2006/relationships/image" Target="media/image312.jpeg"/><Relationship Id="rId930" Type="http://schemas.openxmlformats.org/officeDocument/2006/relationships/image" Target="media/image417.jpg"/><Relationship Id="rId1006" Type="http://schemas.openxmlformats.org/officeDocument/2006/relationships/hyperlink" Target="https://fr.wikipedia.org/wiki/Hippomane_mancinella" TargetMode="External"/><Relationship Id="rId1353" Type="http://schemas.openxmlformats.org/officeDocument/2006/relationships/hyperlink" Target="http://www.kfu.edu.sa/sjournal/eng/pdffiles/BVOL4NO1_5.pdf" TargetMode="External"/><Relationship Id="rId1560" Type="http://schemas.openxmlformats.org/officeDocument/2006/relationships/image" Target="media/image681.jpeg"/><Relationship Id="rId1658" Type="http://schemas.openxmlformats.org/officeDocument/2006/relationships/hyperlink" Target="http://mccain.begooddogood.fr/la-pommes-de-terre-arme-secrete-pour-eradiquer-la-faim-dans-le-monde/" TargetMode="External"/><Relationship Id="rId1865" Type="http://schemas.openxmlformats.org/officeDocument/2006/relationships/hyperlink" Target="https://fr.wikipedia.org/wiki/M%C3%A9thionine" TargetMode="External"/><Relationship Id="rId2404" Type="http://schemas.openxmlformats.org/officeDocument/2006/relationships/image" Target="media/image891.jpeg"/><Relationship Id="rId2611" Type="http://schemas.openxmlformats.org/officeDocument/2006/relationships/hyperlink" Target="https://fr.wikipedia.org/wiki/Nickel" TargetMode="External"/><Relationship Id="rId2709" Type="http://schemas.openxmlformats.org/officeDocument/2006/relationships/hyperlink" Target="https://fr.wikipedia.org/wiki/Esp%C3%A8ce_(biologie)" TargetMode="External"/><Relationship Id="rId4064" Type="http://schemas.openxmlformats.org/officeDocument/2006/relationships/hyperlink" Target="https://fr.wikipedia.org/wiki/Bruchinae" TargetMode="External"/><Relationship Id="rId4271" Type="http://schemas.openxmlformats.org/officeDocument/2006/relationships/hyperlink" Target="http://www.cabi.org/isc/datasheet/52503" TargetMode="External"/><Relationship Id="rId1213" Type="http://schemas.openxmlformats.org/officeDocument/2006/relationships/image" Target="media/image594.jpeg"/><Relationship Id="rId1420" Type="http://schemas.openxmlformats.org/officeDocument/2006/relationships/hyperlink" Target="http://www.bashanfoundation.org/gmaweb/pdfs/growth.pdf" TargetMode="External"/><Relationship Id="rId1518" Type="http://schemas.openxmlformats.org/officeDocument/2006/relationships/hyperlink" Target="https://fr.wikipedia.org/wiki/Asie_du_Sud-Est" TargetMode="External"/><Relationship Id="rId2916" Type="http://schemas.openxmlformats.org/officeDocument/2006/relationships/hyperlink" Target="http://translate.googleusercontent.com/translate_c?depth=1&amp;hl=fr&amp;prev=search&amp;rurl=translate.google.fr&amp;sl=en&amp;u=http://en.wikipedia.org/wiki/Zimbabwe&amp;usg=ALkJrhhkiz02REBRPCEnSV1ku0F9Bp4ckA" TargetMode="External"/><Relationship Id="rId3080" Type="http://schemas.openxmlformats.org/officeDocument/2006/relationships/image" Target="media/image1033.jpeg"/><Relationship Id="rId4131" Type="http://schemas.openxmlformats.org/officeDocument/2006/relationships/hyperlink" Target="http://fr.wikipedia.org/w/index.php?title=Djibouti_Nature&amp;action=edit&amp;redlink=1" TargetMode="External"/><Relationship Id="rId4369" Type="http://schemas.openxmlformats.org/officeDocument/2006/relationships/hyperlink" Target="http://fr.wikipedia.org/wiki/Euplecte_%C3%A0_longue_queue" TargetMode="External"/><Relationship Id="rId1725" Type="http://schemas.openxmlformats.org/officeDocument/2006/relationships/image" Target="media/image730.jpg"/><Relationship Id="rId1932" Type="http://schemas.openxmlformats.org/officeDocument/2006/relationships/hyperlink" Target="https://en.wikipedia.org/wiki/PH" TargetMode="External"/><Relationship Id="rId3178" Type="http://schemas.openxmlformats.org/officeDocument/2006/relationships/image" Target="media/image1097.jpeg"/><Relationship Id="rId3385" Type="http://schemas.openxmlformats.org/officeDocument/2006/relationships/image" Target="media/image1245.jpeg"/><Relationship Id="rId3592" Type="http://schemas.openxmlformats.org/officeDocument/2006/relationships/hyperlink" Target="https://fr.wikipedia.org/wiki/Mauritanie" TargetMode="External"/><Relationship Id="rId4229" Type="http://schemas.openxmlformats.org/officeDocument/2006/relationships/hyperlink" Target="http://www.cabi.org/isc/datasheet/112595" TargetMode="External"/><Relationship Id="rId4436" Type="http://schemas.openxmlformats.org/officeDocument/2006/relationships/hyperlink" Target="http://fr.wiktionary.org/wiki/dispositif" TargetMode="External"/><Relationship Id="rId17" Type="http://schemas.openxmlformats.org/officeDocument/2006/relationships/hyperlink" Target="https://fr.wikipedia.org/wiki/Taxonomie" TargetMode="External"/><Relationship Id="rId2194" Type="http://schemas.openxmlformats.org/officeDocument/2006/relationships/hyperlink" Target="https://en.wikipedia.org/wiki/Cross-pollination" TargetMode="External"/><Relationship Id="rId3038" Type="http://schemas.openxmlformats.org/officeDocument/2006/relationships/hyperlink" Target="http://en.wikipedia.org/wiki/Groundwater" TargetMode="External"/><Relationship Id="rId3245" Type="http://schemas.openxmlformats.org/officeDocument/2006/relationships/hyperlink" Target="https://en.wikipedia.org/wiki/Blueberry" TargetMode="External"/><Relationship Id="rId3452" Type="http://schemas.openxmlformats.org/officeDocument/2006/relationships/image" Target="media/image1288.png"/><Relationship Id="rId3897" Type="http://schemas.openxmlformats.org/officeDocument/2006/relationships/hyperlink" Target="http://zoumine.free.fr/tt/sahara/donnees_geo_climatiques/foggaras.html" TargetMode="External"/><Relationship Id="rId4503" Type="http://schemas.openxmlformats.org/officeDocument/2006/relationships/image" Target="media/image1494.jpeg"/><Relationship Id="rId166" Type="http://schemas.openxmlformats.org/officeDocument/2006/relationships/image" Target="media/image73.jpg"/><Relationship Id="rId373" Type="http://schemas.openxmlformats.org/officeDocument/2006/relationships/hyperlink" Target="https://fr.wikipedia.org/wiki/Vitis_rupestris" TargetMode="External"/><Relationship Id="rId580" Type="http://schemas.openxmlformats.org/officeDocument/2006/relationships/hyperlink" Target="https://en.wikipedia.org/wiki/Boscia_senegalensis" TargetMode="External"/><Relationship Id="rId2054" Type="http://schemas.openxmlformats.org/officeDocument/2006/relationships/hyperlink" Target="https://en.wikipedia.org/wiki/Sea_Island_red_pea" TargetMode="External"/><Relationship Id="rId2261" Type="http://schemas.openxmlformats.org/officeDocument/2006/relationships/image" Target="media/image854.jpeg"/><Relationship Id="rId2499" Type="http://schemas.openxmlformats.org/officeDocument/2006/relationships/hyperlink" Target="https://fr.wikipedia.org/wiki/%C3%8Eles_du_Cap-Vert" TargetMode="External"/><Relationship Id="rId3105" Type="http://schemas.openxmlformats.org/officeDocument/2006/relationships/image" Target="media/image1057.jpeg"/><Relationship Id="rId3312" Type="http://schemas.openxmlformats.org/officeDocument/2006/relationships/image" Target="media/image1185.jpg"/><Relationship Id="rId3757" Type="http://schemas.openxmlformats.org/officeDocument/2006/relationships/hyperlink" Target="http://www.miracosta.edu/home/kmeldahl/articles/crops.pdf" TargetMode="External"/><Relationship Id="rId3964" Type="http://schemas.openxmlformats.org/officeDocument/2006/relationships/image" Target="media/image1369.jpeg"/><Relationship Id="rId1" Type="http://schemas.openxmlformats.org/officeDocument/2006/relationships/customXml" Target="../customXml/item1.xml"/><Relationship Id="rId233" Type="http://schemas.openxmlformats.org/officeDocument/2006/relationships/hyperlink" Target="https://fr.wikipedia.org/wiki/Vitis_vinifera" TargetMode="External"/><Relationship Id="rId440" Type="http://schemas.openxmlformats.org/officeDocument/2006/relationships/hyperlink" Target="http://www.vulgarisation.net/bul95.htm" TargetMode="External"/><Relationship Id="rId678" Type="http://schemas.openxmlformats.org/officeDocument/2006/relationships/hyperlink" Target="http://www.mi-aime-a-ou.com/Albizia_lebbeck.php" TargetMode="External"/><Relationship Id="rId885" Type="http://schemas.openxmlformats.org/officeDocument/2006/relationships/hyperlink" Target="https://en.wikipedia.org/wiki/Zygophyllum_album" TargetMode="External"/><Relationship Id="rId1070" Type="http://schemas.openxmlformats.org/officeDocument/2006/relationships/image" Target="media/image499.jpeg"/><Relationship Id="rId2121" Type="http://schemas.openxmlformats.org/officeDocument/2006/relationships/image" Target="media/image818.jpeg"/><Relationship Id="rId2359" Type="http://schemas.openxmlformats.org/officeDocument/2006/relationships/hyperlink" Target="http://fr.wikipedia.org/w/index.php?title=Chrysopogon_nigritanus&amp;action=edit&amp;redlink=1" TargetMode="External"/><Relationship Id="rId2566" Type="http://schemas.openxmlformats.org/officeDocument/2006/relationships/image" Target="media/image923.jpeg"/><Relationship Id="rId2773" Type="http://schemas.openxmlformats.org/officeDocument/2006/relationships/hyperlink" Target="https://fr.wikipedia.org/wiki/Acide_phosphorique" TargetMode="External"/><Relationship Id="rId2980" Type="http://schemas.openxmlformats.org/officeDocument/2006/relationships/hyperlink" Target="http://translate.googleusercontent.com/translate_c?depth=1&amp;hl=fr&amp;prev=search&amp;rurl=translate.google.fr&amp;sl=en&amp;u=http://en.wikipedia.org/wiki/Triterpene&amp;usg=ALkJrhikT-ZBgJ-SvKCVWpXlnaakz7-IXg" TargetMode="External"/><Relationship Id="rId3617" Type="http://schemas.openxmlformats.org/officeDocument/2006/relationships/hyperlink" Target="https://fr.wikipedia.org/wiki/Arm%C3%A9e_populaire_de_lib%C3%A9ration" TargetMode="External"/><Relationship Id="rId3824" Type="http://schemas.openxmlformats.org/officeDocument/2006/relationships/hyperlink" Target="http://ideas.repec.org/a/eee/agiwat/v123y2013icp1-11.html" TargetMode="External"/><Relationship Id="rId300" Type="http://schemas.openxmlformats.org/officeDocument/2006/relationships/image" Target="media/image134.jpeg"/><Relationship Id="rId538" Type="http://schemas.openxmlformats.org/officeDocument/2006/relationships/hyperlink" Target="https://www.google.fr/search?sxsrf=ALeKk01ErnP3YJdLaKCMF2YMgfZR1u5HDw:1627458540934&amp;q=Moraceae&amp;stick=H4sIAAAAAAAAAONgVuLQz9U3SCsvq1jEyuGbX5SYnJqYCgCaqkrlFwAAAA&amp;sa=X&amp;ved=2ahUKEwiB3N_Bo4XyAhWGoBQKHW7HCDsQmxMoATAnegQIMxAD" TargetMode="External"/><Relationship Id="rId745" Type="http://schemas.openxmlformats.org/officeDocument/2006/relationships/hyperlink" Target="http://link.springer.com/article/10.1007/s10457-012-9583-8" TargetMode="External"/><Relationship Id="rId952" Type="http://schemas.openxmlformats.org/officeDocument/2006/relationships/hyperlink" Target="https://fr.wikipedia.org/wiki/Feuille" TargetMode="External"/><Relationship Id="rId1168" Type="http://schemas.openxmlformats.org/officeDocument/2006/relationships/hyperlink" Target="https://en.wikipedia.org/wiki/Mangalavanam_Bird_Sanctuary" TargetMode="External"/><Relationship Id="rId1375" Type="http://schemas.openxmlformats.org/officeDocument/2006/relationships/hyperlink" Target="http://articles.latimes.com/2008/jul/10/business/fi-seafarm10" TargetMode="External"/><Relationship Id="rId1582" Type="http://schemas.openxmlformats.org/officeDocument/2006/relationships/hyperlink" Target="http://fr.wikipedia.org/wiki/Tsampa" TargetMode="External"/><Relationship Id="rId2219" Type="http://schemas.openxmlformats.org/officeDocument/2006/relationships/image" Target="media/image838.jpeg"/><Relationship Id="rId2426" Type="http://schemas.openxmlformats.org/officeDocument/2006/relationships/hyperlink" Target="http://fr.wikipedia.org/wiki/Panicum_virgatum" TargetMode="External"/><Relationship Id="rId2633" Type="http://schemas.openxmlformats.org/officeDocument/2006/relationships/hyperlink" Target="https://en.wikipedia.org/wiki/Pythium_porphyrae" TargetMode="External"/><Relationship Id="rId4086" Type="http://schemas.openxmlformats.org/officeDocument/2006/relationships/hyperlink" Target="http://translate.googleusercontent.com/translate_c?depth=1&amp;hl=fr&amp;prev=/search?q=prosopis+juliflora&amp;rlz=1C1GGGE_frFR479FR479&amp;es_sm=93&amp;rurl=translate.google.fr&amp;sl=en&amp;u=http://en.wikipedia.org/wiki/Spanish_language&amp;usg=ALkJrhiqPCmNkjfk3MOjg46KEY8l_2H_gA" TargetMode="External"/><Relationship Id="rId81" Type="http://schemas.openxmlformats.org/officeDocument/2006/relationships/hyperlink" Target="https://fr.wikipedia.org/wiki/Josette_Sheeran" TargetMode="External"/><Relationship Id="rId605" Type="http://schemas.openxmlformats.org/officeDocument/2006/relationships/image" Target="media/image255.jpeg"/><Relationship Id="rId812" Type="http://schemas.openxmlformats.org/officeDocument/2006/relationships/image" Target="media/image362.jpeg"/><Relationship Id="rId1028" Type="http://schemas.openxmlformats.org/officeDocument/2006/relationships/hyperlink" Target="https://fr.wikipedia.org/wiki/Polygonaceae" TargetMode="External"/><Relationship Id="rId1235" Type="http://schemas.openxmlformats.org/officeDocument/2006/relationships/image" Target="media/image615.jpeg"/><Relationship Id="rId1442" Type="http://schemas.openxmlformats.org/officeDocument/2006/relationships/image" Target="media/image651.jpeg"/><Relationship Id="rId1887" Type="http://schemas.openxmlformats.org/officeDocument/2006/relationships/hyperlink" Target="https://fr.wikipedia.org/wiki/Limbe_foliaire" TargetMode="External"/><Relationship Id="rId2840" Type="http://schemas.openxmlformats.org/officeDocument/2006/relationships/hyperlink" Target="http://fr.wikipedia.org/wiki/Fleur" TargetMode="External"/><Relationship Id="rId2938" Type="http://schemas.openxmlformats.org/officeDocument/2006/relationships/image" Target="media/image987.jpg"/><Relationship Id="rId4293" Type="http://schemas.openxmlformats.org/officeDocument/2006/relationships/image" Target="media/image1440.jpg"/><Relationship Id="rId1302" Type="http://schemas.openxmlformats.org/officeDocument/2006/relationships/image" Target="media/image645.jpeg"/><Relationship Id="rId1747" Type="http://schemas.openxmlformats.org/officeDocument/2006/relationships/hyperlink" Target="http://fr.wikipedia.org/wiki/Asteraceae" TargetMode="External"/><Relationship Id="rId1954" Type="http://schemas.openxmlformats.org/officeDocument/2006/relationships/hyperlink" Target="https://en.wikipedia.org/wiki/Nutrient" TargetMode="External"/><Relationship Id="rId2700" Type="http://schemas.openxmlformats.org/officeDocument/2006/relationships/hyperlink" Target="https://fr.wikipedia.org/wiki/Manche_(mer)" TargetMode="External"/><Relationship Id="rId4153" Type="http://schemas.openxmlformats.org/officeDocument/2006/relationships/hyperlink" Target="http://translate.googleusercontent.com/translate_c?depth=1&amp;hl=fr&amp;prev=/search?q%3DProsopis%2Bpallida%26biw%3D1440%26bih%3D732&amp;rurl=translate.google.fr&amp;sl=en&amp;u=http://en.wikipedia.org/wiki/Molasses&amp;usg=ALkJrhhFMSR6m8XpzApza3LZ1GnZ_MgCoQ" TargetMode="External"/><Relationship Id="rId4360" Type="http://schemas.openxmlformats.org/officeDocument/2006/relationships/hyperlink" Target="http://fr.wikipedia.org/wiki/Poaceae" TargetMode="External"/><Relationship Id="rId4458" Type="http://schemas.openxmlformats.org/officeDocument/2006/relationships/hyperlink" Target="https://boowiki.info/art/serre/l-eau-de-mer-serra.html" TargetMode="External"/><Relationship Id="rId39" Type="http://schemas.openxmlformats.org/officeDocument/2006/relationships/hyperlink" Target="https://fr.wikipedia.org/wiki/Montagnes_Rocheuses" TargetMode="External"/><Relationship Id="rId1607" Type="http://schemas.openxmlformats.org/officeDocument/2006/relationships/image" Target="media/image690.jpeg"/><Relationship Id="rId1814" Type="http://schemas.openxmlformats.org/officeDocument/2006/relationships/hyperlink" Target="https://fr.wikipedia.org/wiki/Afrique" TargetMode="External"/><Relationship Id="rId3267" Type="http://schemas.openxmlformats.org/officeDocument/2006/relationships/image" Target="media/image1161.jpeg"/><Relationship Id="rId4013" Type="http://schemas.openxmlformats.org/officeDocument/2006/relationships/image" Target="media/image1386.jpeg"/><Relationship Id="rId4220" Type="http://schemas.openxmlformats.org/officeDocument/2006/relationships/hyperlink" Target="http://www.cabi.org/isc/datasheet/112592" TargetMode="External"/><Relationship Id="rId188" Type="http://schemas.openxmlformats.org/officeDocument/2006/relationships/hyperlink" Target="http://en.wikipedia.org/wiki/Acanthus_ilicifolius" TargetMode="External"/><Relationship Id="rId395" Type="http://schemas.openxmlformats.org/officeDocument/2006/relationships/hyperlink" Target="https://fr.wikipedia.org/wiki/Dio%C3%AFque" TargetMode="External"/><Relationship Id="rId2076" Type="http://schemas.openxmlformats.org/officeDocument/2006/relationships/hyperlink" Target="https://en.wikipedia.org/wiki/Crop_rotation" TargetMode="External"/><Relationship Id="rId3474" Type="http://schemas.openxmlformats.org/officeDocument/2006/relationships/hyperlink" Target="http://fr.wikipedia.org/wiki/Aride" TargetMode="External"/><Relationship Id="rId3681" Type="http://schemas.openxmlformats.org/officeDocument/2006/relationships/hyperlink" Target="https://fr.wikipedia.org/wiki/Cambodge" TargetMode="External"/><Relationship Id="rId3779" Type="http://schemas.openxmlformats.org/officeDocument/2006/relationships/hyperlink" Target="http://econpapers.repec.org/article/eeeagiwat/" TargetMode="External"/><Relationship Id="rId4318" Type="http://schemas.openxmlformats.org/officeDocument/2006/relationships/image" Target="media/image1448.jpeg"/><Relationship Id="rId4525" Type="http://schemas.openxmlformats.org/officeDocument/2006/relationships/hyperlink" Target="https://fr.wikipedia.org/wiki/Pluie" TargetMode="External"/><Relationship Id="rId2283" Type="http://schemas.openxmlformats.org/officeDocument/2006/relationships/image" Target="media/image860.jpeg"/><Relationship Id="rId2490" Type="http://schemas.openxmlformats.org/officeDocument/2006/relationships/hyperlink" Target="https://fr.wikipedia.org/wiki/Libye" TargetMode="External"/><Relationship Id="rId2588" Type="http://schemas.openxmlformats.org/officeDocument/2006/relationships/hyperlink" Target="https://fr.wikipedia.org/wiki/Cor%C3%A9e_du_Sud" TargetMode="External"/><Relationship Id="rId3127" Type="http://schemas.openxmlformats.org/officeDocument/2006/relationships/hyperlink" Target="http://translate.googleusercontent.com/translate_c?depth=1&amp;hl=fr&amp;prev=/search?q%3Dindian%2Bjohad%26sa%3DX%26hl%3Dfr%26biw%3D1440%26bih%3D732%26site%3Dimghp&amp;rurl=translate.google.fr&amp;sl=en&amp;u=http://en.wikipedia.org/wiki/Thar_desert&amp;usg=ALkJrhgS3r2EEhV3GgWZ_qva1kAx_FQG6g" TargetMode="External"/><Relationship Id="rId3334" Type="http://schemas.openxmlformats.org/officeDocument/2006/relationships/image" Target="media/image1204.jpg"/><Relationship Id="rId3541" Type="http://schemas.openxmlformats.org/officeDocument/2006/relationships/hyperlink" Target="https://en.wikipedia.org/wiki/Food_security" TargetMode="External"/><Relationship Id="rId3986" Type="http://schemas.openxmlformats.org/officeDocument/2006/relationships/image" Target="media/image1378.jpeg"/><Relationship Id="rId255" Type="http://schemas.openxmlformats.org/officeDocument/2006/relationships/hyperlink" Target="http://edis.ifas.ufl.edu/st680" TargetMode="External"/><Relationship Id="rId462" Type="http://schemas.openxmlformats.org/officeDocument/2006/relationships/hyperlink" Target="http://en.wikipedia.org/wiki/Yucca_brevifolia" TargetMode="External"/><Relationship Id="rId1092" Type="http://schemas.openxmlformats.org/officeDocument/2006/relationships/image" Target="media/image516.jpg"/><Relationship Id="rId1397" Type="http://schemas.openxmlformats.org/officeDocument/2006/relationships/hyperlink" Target="http://en.wikipedia.org/wiki/Chicken_feed" TargetMode="External"/><Relationship Id="rId2143" Type="http://schemas.openxmlformats.org/officeDocument/2006/relationships/hyperlink" Target="https://www.prota4u.org/database/protav8.asp?fr=1&amp;g=pe&amp;p=Lathyrus+sativus+L" TargetMode="External"/><Relationship Id="rId2350" Type="http://schemas.openxmlformats.org/officeDocument/2006/relationships/image" Target="media/image875.jpeg"/><Relationship Id="rId2795" Type="http://schemas.openxmlformats.org/officeDocument/2006/relationships/image" Target="media/image962.jpeg"/><Relationship Id="rId3401" Type="http://schemas.openxmlformats.org/officeDocument/2006/relationships/image" Target="media/image1255.jpeg"/><Relationship Id="rId3639" Type="http://schemas.openxmlformats.org/officeDocument/2006/relationships/image" Target="media/image1329.jpg"/><Relationship Id="rId3846" Type="http://schemas.openxmlformats.org/officeDocument/2006/relationships/hyperlink" Target="http://www.ncbi.nlm.nih.gov/pubmed?term=Dolstra%20O%5bAuthor%5d&amp;cauthor=true&amp;cauthor_uid=23771136" TargetMode="External"/><Relationship Id="rId115" Type="http://schemas.openxmlformats.org/officeDocument/2006/relationships/hyperlink" Target="https://en.wikipedia.org/wiki/Native_plant" TargetMode="External"/><Relationship Id="rId322" Type="http://schemas.openxmlformats.org/officeDocument/2006/relationships/hyperlink" Target="https://fr.wikipedia.org/wiki/Famille_(biologie)" TargetMode="External"/><Relationship Id="rId767" Type="http://schemas.openxmlformats.org/officeDocument/2006/relationships/image" Target="media/image335.jpeg"/><Relationship Id="rId974" Type="http://schemas.openxmlformats.org/officeDocument/2006/relationships/hyperlink" Target="https://en.wikipedia.org/wiki/Moringa_drouhardii" TargetMode="External"/><Relationship Id="rId2003" Type="http://schemas.openxmlformats.org/officeDocument/2006/relationships/hyperlink" Target="https://en.wikipedia.org/wiki/Aphis_craccivora" TargetMode="External"/><Relationship Id="rId2210" Type="http://schemas.openxmlformats.org/officeDocument/2006/relationships/image" Target="media/image834.jpeg"/><Relationship Id="rId2448" Type="http://schemas.openxmlformats.org/officeDocument/2006/relationships/hyperlink" Target="http://www.bluestem.ca/panicum-dewey-blue.htm" TargetMode="External"/><Relationship Id="rId2655" Type="http://schemas.openxmlformats.org/officeDocument/2006/relationships/image" Target="media/image938.jpeg"/><Relationship Id="rId2862" Type="http://schemas.openxmlformats.org/officeDocument/2006/relationships/hyperlink" Target="http://fr.wikipedia.org/wiki/Burseraceae" TargetMode="External"/><Relationship Id="rId3706" Type="http://schemas.openxmlformats.org/officeDocument/2006/relationships/hyperlink" Target="https://fr.wikipedia.org/wiki/Ass%C3%A8chement_des_grands_lacs_et_mers_au_XXe_si%C3%A8cle" TargetMode="External"/><Relationship Id="rId3913" Type="http://schemas.openxmlformats.org/officeDocument/2006/relationships/hyperlink" Target="http://www.kkl.org.il/eng/files/forests/afforestation-israel/UNFF-Afforestation-Israel.pdf" TargetMode="External"/><Relationship Id="rId627" Type="http://schemas.openxmlformats.org/officeDocument/2006/relationships/hyperlink" Target="http://en.wikipedia.org/wiki/Prosopis_cineraria" TargetMode="External"/><Relationship Id="rId834" Type="http://schemas.openxmlformats.org/officeDocument/2006/relationships/image" Target="media/image378.jpeg"/><Relationship Id="rId1257" Type="http://schemas.openxmlformats.org/officeDocument/2006/relationships/image" Target="media/image637.emf"/><Relationship Id="rId1464" Type="http://schemas.openxmlformats.org/officeDocument/2006/relationships/hyperlink" Target="http://fr.wikipedia.org/wiki/Asperge" TargetMode="External"/><Relationship Id="rId1671" Type="http://schemas.openxmlformats.org/officeDocument/2006/relationships/hyperlink" Target="http://translate.googleusercontent.com/translate_c?depth=1&amp;hl=fr&amp;prev=/search?q%3DBrassica%2Bcarinata%26biw%3D1440%26bih%3D775&amp;rurl=translate.google.fr&amp;sl=en&amp;u=http://en.wikipedia.org/wiki/Brassica_napus&amp;usg=ALkJrhg7QHGvRR0do8eCegwa46LGDdydeQ" TargetMode="External"/><Relationship Id="rId2308" Type="http://schemas.openxmlformats.org/officeDocument/2006/relationships/hyperlink" Target="http://fr.wikipedia.org/wiki/Fourrage" TargetMode="External"/><Relationship Id="rId2515" Type="http://schemas.openxmlformats.org/officeDocument/2006/relationships/image" Target="media/image906.jpeg"/><Relationship Id="rId2722" Type="http://schemas.openxmlformats.org/officeDocument/2006/relationships/image" Target="media/image949.jpeg"/><Relationship Id="rId4175" Type="http://schemas.openxmlformats.org/officeDocument/2006/relationships/hyperlink" Target="http://www.cabi.org/isc/datasheet/112575" TargetMode="External"/><Relationship Id="rId4382" Type="http://schemas.openxmlformats.org/officeDocument/2006/relationships/image" Target="media/image1466.jpeg"/><Relationship Id="rId901" Type="http://schemas.openxmlformats.org/officeDocument/2006/relationships/image" Target="media/image396.jpeg"/><Relationship Id="rId1117" Type="http://schemas.openxmlformats.org/officeDocument/2006/relationships/hyperlink" Target="https://fr.wikipedia.org/wiki/Avicennia_marina" TargetMode="External"/><Relationship Id="rId1324" Type="http://schemas.openxmlformats.org/officeDocument/2006/relationships/hyperlink" Target="http://www.miracosta.edu/home/kmeldahl/articles/crops.pdf" TargetMode="External"/><Relationship Id="rId1531" Type="http://schemas.openxmlformats.org/officeDocument/2006/relationships/hyperlink" Target="https://fr.wikipedia.org/wiki/Arac%C3%A9es" TargetMode="External"/><Relationship Id="rId1769" Type="http://schemas.openxmlformats.org/officeDocument/2006/relationships/hyperlink" Target="http://fr.wikipedia.org/wiki/Acide_amin%C3%A9" TargetMode="External"/><Relationship Id="rId1976" Type="http://schemas.openxmlformats.org/officeDocument/2006/relationships/hyperlink" Target="https://fr.wikipedia.org/wiki/Vigna" TargetMode="External"/><Relationship Id="rId3191" Type="http://schemas.openxmlformats.org/officeDocument/2006/relationships/image" Target="media/image1107.jpeg"/><Relationship Id="rId4035" Type="http://schemas.openxmlformats.org/officeDocument/2006/relationships/hyperlink" Target="https://translate.googleusercontent.com/translate_c?depth=1&amp;hl=fr&amp;prev=search&amp;rurl=translate.google.fr&amp;sl=en&amp;u=https://en.wikipedia.org/wiki/Nectary&amp;usg=ALkJrhik-lIhdkv57Os9k9yTMciKoVliWQ" TargetMode="External"/><Relationship Id="rId4242" Type="http://schemas.openxmlformats.org/officeDocument/2006/relationships/hyperlink" Target="http://www.cabi.org/isc/datasheet/112591" TargetMode="External"/><Relationship Id="rId30" Type="http://schemas.openxmlformats.org/officeDocument/2006/relationships/image" Target="media/image5.jpeg"/><Relationship Id="rId1629" Type="http://schemas.openxmlformats.org/officeDocument/2006/relationships/hyperlink" Target="http://www.ncbi.nlm.nih.gov/pubmed?term=Majumder%20AL%5bAuthor%5d&amp;cauthor=true&amp;cauthor_uid=19843254" TargetMode="External"/><Relationship Id="rId1836" Type="http://schemas.openxmlformats.org/officeDocument/2006/relationships/image" Target="media/image760.jpeg"/><Relationship Id="rId3289" Type="http://schemas.openxmlformats.org/officeDocument/2006/relationships/image" Target="media/image1168.jpeg"/><Relationship Id="rId3496" Type="http://schemas.openxmlformats.org/officeDocument/2006/relationships/hyperlink" Target="https://fr.wikipedia.org/wiki/Micro-organisme" TargetMode="External"/><Relationship Id="rId4547" Type="http://schemas.openxmlformats.org/officeDocument/2006/relationships/hyperlink" Target="https://en.wikipedia.org/wiki/Jacob_Blaustein_Institutes_for_Desert_Research" TargetMode="External"/><Relationship Id="rId1903" Type="http://schemas.openxmlformats.org/officeDocument/2006/relationships/hyperlink" Target="https://fr.wikipedia.org/wiki/Monde_chinois" TargetMode="External"/><Relationship Id="rId2098" Type="http://schemas.openxmlformats.org/officeDocument/2006/relationships/hyperlink" Target="https://en.wikipedia.org/wiki/Developing_countries" TargetMode="External"/><Relationship Id="rId3051" Type="http://schemas.openxmlformats.org/officeDocument/2006/relationships/hyperlink" Target="http://en.wikipedia.org/wiki/Eucalyptus" TargetMode="External"/><Relationship Id="rId3149" Type="http://schemas.openxmlformats.org/officeDocument/2006/relationships/image" Target="media/image1082.jpeg"/><Relationship Id="rId3356" Type="http://schemas.openxmlformats.org/officeDocument/2006/relationships/image" Target="media/image1218.jpeg"/><Relationship Id="rId3563" Type="http://schemas.openxmlformats.org/officeDocument/2006/relationships/hyperlink" Target="https://fr.wikipedia.org/wiki/Pluviom%C3%A9trie" TargetMode="External"/><Relationship Id="rId4102" Type="http://schemas.openxmlformats.org/officeDocument/2006/relationships/hyperlink" Target="http://fr.wikipedia.org/wiki/Prosopis_juliflora" TargetMode="External"/><Relationship Id="rId4407" Type="http://schemas.openxmlformats.org/officeDocument/2006/relationships/hyperlink" Target="http://fr.wiktionary.org/wiki/vent" TargetMode="External"/><Relationship Id="rId277" Type="http://schemas.openxmlformats.org/officeDocument/2006/relationships/image" Target="media/image122.jpeg"/><Relationship Id="rId484" Type="http://schemas.openxmlformats.org/officeDocument/2006/relationships/image" Target="media/image208.jpg"/><Relationship Id="rId2165" Type="http://schemas.openxmlformats.org/officeDocument/2006/relationships/hyperlink" Target="https://fr.wikipedia.org/wiki/Forme_foliaire" TargetMode="External"/><Relationship Id="rId3009" Type="http://schemas.openxmlformats.org/officeDocument/2006/relationships/hyperlink" Target="http://fr.wikipedia.org/wiki/Ann%C3%A9es_1980" TargetMode="External"/><Relationship Id="rId3216" Type="http://schemas.openxmlformats.org/officeDocument/2006/relationships/image" Target="media/image1129.jpeg"/><Relationship Id="rId3770" Type="http://schemas.openxmlformats.org/officeDocument/2006/relationships/hyperlink" Target="http://www.miracosta.edu/home/kmeldahl/articles/crops.pdf" TargetMode="External"/><Relationship Id="rId3868" Type="http://schemas.openxmlformats.org/officeDocument/2006/relationships/hyperlink" Target="http://www.mangrovesgy.org/home/images/stories/Documents/Mangrove%20Forest%20Guide.pdf" TargetMode="External"/><Relationship Id="rId137" Type="http://schemas.openxmlformats.org/officeDocument/2006/relationships/image" Target="media/image45.jpg"/><Relationship Id="rId344" Type="http://schemas.openxmlformats.org/officeDocument/2006/relationships/image" Target="media/image163.jpeg"/><Relationship Id="rId691" Type="http://schemas.openxmlformats.org/officeDocument/2006/relationships/image" Target="media/image295.jpeg"/><Relationship Id="rId789" Type="http://schemas.openxmlformats.org/officeDocument/2006/relationships/image" Target="media/image349.jpeg"/><Relationship Id="rId996" Type="http://schemas.openxmlformats.org/officeDocument/2006/relationships/image" Target="media/image450.jpeg"/><Relationship Id="rId2025" Type="http://schemas.openxmlformats.org/officeDocument/2006/relationships/hyperlink" Target="https://fr.wikipedia.org/wiki/Sorgo_commun" TargetMode="External"/><Relationship Id="rId2372" Type="http://schemas.openxmlformats.org/officeDocument/2006/relationships/hyperlink" Target="http://fr.wikipedia.org/w/index.php?title=Chrysopogon_nigritanus&amp;action=edit&amp;redlink=1" TargetMode="External"/><Relationship Id="rId2677" Type="http://schemas.openxmlformats.org/officeDocument/2006/relationships/hyperlink" Target="https://en.wikipedia.org/wiki/Western_Pacific_Ocean" TargetMode="External"/><Relationship Id="rId2884" Type="http://schemas.openxmlformats.org/officeDocument/2006/relationships/hyperlink" Target="http://fr.wikipedia.org/wiki/Commiphora_wightii" TargetMode="External"/><Relationship Id="rId3423" Type="http://schemas.openxmlformats.org/officeDocument/2006/relationships/image" Target="media/image1260.jpeg"/><Relationship Id="rId3630" Type="http://schemas.openxmlformats.org/officeDocument/2006/relationships/image" Target="media/image1323.jpeg"/><Relationship Id="rId3728" Type="http://schemas.openxmlformats.org/officeDocument/2006/relationships/hyperlink" Target="https://www.timesofisrael.com/after-reviving-ancient-dates-a-negev-pioneer-plants-seeds-against-a-dry-future/" TargetMode="External"/><Relationship Id="rId551" Type="http://schemas.openxmlformats.org/officeDocument/2006/relationships/hyperlink" Target="http://en.wikipedia.org/wiki/Balanites_aegyptiaca" TargetMode="External"/><Relationship Id="rId649" Type="http://schemas.openxmlformats.org/officeDocument/2006/relationships/hyperlink" Target="https://fr.wikipedia.org/wiki/Tanzanie" TargetMode="External"/><Relationship Id="rId856" Type="http://schemas.openxmlformats.org/officeDocument/2006/relationships/hyperlink" Target="http://fr.wikipedia.org/wiki/Marais_salants" TargetMode="External"/><Relationship Id="rId1181" Type="http://schemas.openxmlformats.org/officeDocument/2006/relationships/hyperlink" Target="http://www.formad-environnement.org/paletuviers_29dec11.pdf" TargetMode="External"/><Relationship Id="rId1279" Type="http://schemas.openxmlformats.org/officeDocument/2006/relationships/hyperlink" Target="http://en.wikipedia.org/wiki/Bioalcohol" TargetMode="External"/><Relationship Id="rId1486" Type="http://schemas.openxmlformats.org/officeDocument/2006/relationships/hyperlink" Target="http://fr.wikipedia.org/wiki/Famille_(biologie)" TargetMode="External"/><Relationship Id="rId2232" Type="http://schemas.openxmlformats.org/officeDocument/2006/relationships/image" Target="media/image851.jpeg"/><Relationship Id="rId2537" Type="http://schemas.openxmlformats.org/officeDocument/2006/relationships/hyperlink" Target="https://www.sciencedirect.com/science/article/pii/S0254629917301618?via%3Dihub" TargetMode="External"/><Relationship Id="rId3935" Type="http://schemas.openxmlformats.org/officeDocument/2006/relationships/hyperlink" Target="http://www.hear.org/pier/species/opuntia_stricta.htm" TargetMode="External"/><Relationship Id="rId204" Type="http://schemas.openxmlformats.org/officeDocument/2006/relationships/image" Target="media/image94.jpg"/><Relationship Id="rId411" Type="http://schemas.openxmlformats.org/officeDocument/2006/relationships/hyperlink" Target="https://fr.wiktionary.org/wiki/subspontan%C3%A9" TargetMode="External"/><Relationship Id="rId509" Type="http://schemas.openxmlformats.org/officeDocument/2006/relationships/image" Target="media/image220.jpeg"/><Relationship Id="rId1041" Type="http://schemas.openxmlformats.org/officeDocument/2006/relationships/image" Target="media/image479.jpg"/><Relationship Id="rId1139" Type="http://schemas.openxmlformats.org/officeDocument/2006/relationships/hyperlink" Target="http://www.formad-environnement.org/paletuviers_29dec11.pdf" TargetMode="External"/><Relationship Id="rId1346" Type="http://schemas.openxmlformats.org/officeDocument/2006/relationships/hyperlink" Target="http://www.kfu.edu.sa/sjournal/eng/pdffiles/BVOL4NO1_5.pdf" TargetMode="External"/><Relationship Id="rId1693" Type="http://schemas.openxmlformats.org/officeDocument/2006/relationships/image" Target="media/image718.jpeg"/><Relationship Id="rId1998" Type="http://schemas.openxmlformats.org/officeDocument/2006/relationships/hyperlink" Target="https://en.wikipedia.org/wiki/Pearl_millet" TargetMode="External"/><Relationship Id="rId2744" Type="http://schemas.openxmlformats.org/officeDocument/2006/relationships/hyperlink" Target="https://fr.wikipedia.org/wiki/XXe_si%C3%A8cle" TargetMode="External"/><Relationship Id="rId2951" Type="http://schemas.openxmlformats.org/officeDocument/2006/relationships/hyperlink" Target="http://fr.wikipedia.org/wiki/Y%C3%A9men" TargetMode="External"/><Relationship Id="rId4197" Type="http://schemas.openxmlformats.org/officeDocument/2006/relationships/hyperlink" Target="http://www.cabi.org/isc/datasheet/112584" TargetMode="External"/><Relationship Id="rId716" Type="http://schemas.openxmlformats.org/officeDocument/2006/relationships/hyperlink" Target="http://fr.wikipedia.org/wiki/Ma%C3%AFs" TargetMode="External"/><Relationship Id="rId923" Type="http://schemas.openxmlformats.org/officeDocument/2006/relationships/image" Target="media/image414.jpeg"/><Relationship Id="rId1553" Type="http://schemas.openxmlformats.org/officeDocument/2006/relationships/image" Target="media/image677.jpeg"/><Relationship Id="rId1760" Type="http://schemas.openxmlformats.org/officeDocument/2006/relationships/hyperlink" Target="http://fr.wikipedia.org/wiki/Fumure" TargetMode="External"/><Relationship Id="rId1858" Type="http://schemas.openxmlformats.org/officeDocument/2006/relationships/hyperlink" Target="https://fr.wikipedia.org/wiki/Coix" TargetMode="External"/><Relationship Id="rId2604" Type="http://schemas.openxmlformats.org/officeDocument/2006/relationships/hyperlink" Target="https://fr.wikipedia.org/wiki/Esp%C3%A8ce_introduite" TargetMode="External"/><Relationship Id="rId2811" Type="http://schemas.openxmlformats.org/officeDocument/2006/relationships/hyperlink" Target="http://fr.wikipedia.org/wiki/Siwak" TargetMode="External"/><Relationship Id="rId4057" Type="http://schemas.openxmlformats.org/officeDocument/2006/relationships/hyperlink" Target="https://en.wikipedia.org/wiki/Petiole_(botany)" TargetMode="External"/><Relationship Id="rId4264" Type="http://schemas.openxmlformats.org/officeDocument/2006/relationships/hyperlink" Target="http://www.cabi.org/isc/datasheet/52492" TargetMode="External"/><Relationship Id="rId4471" Type="http://schemas.openxmlformats.org/officeDocument/2006/relationships/image" Target="media/image1478.jpeg"/><Relationship Id="rId52" Type="http://schemas.openxmlformats.org/officeDocument/2006/relationships/image" Target="media/image17.jpeg"/><Relationship Id="rId1206" Type="http://schemas.openxmlformats.org/officeDocument/2006/relationships/image" Target="media/image587.jpg"/><Relationship Id="rId1413" Type="http://schemas.openxmlformats.org/officeDocument/2006/relationships/hyperlink" Target="http://www.bashanfoundation.org/gmaweb/pdfs/growth.pdf" TargetMode="External"/><Relationship Id="rId1620" Type="http://schemas.openxmlformats.org/officeDocument/2006/relationships/image" Target="media/image693.jpeg"/><Relationship Id="rId2909" Type="http://schemas.openxmlformats.org/officeDocument/2006/relationships/hyperlink" Target="http://translate.googleusercontent.com/translate_c?depth=1&amp;hl=fr&amp;prev=search&amp;rurl=translate.google.fr&amp;sl=en&amp;u=http://en.wikipedia.org/wiki/Somalia&amp;usg=ALkJrhh30mLCM5KleNmhQ8dfUERQe79Y9g" TargetMode="External"/><Relationship Id="rId3073" Type="http://schemas.openxmlformats.org/officeDocument/2006/relationships/hyperlink" Target="https://en.wikipedia.org/wiki/Qanat" TargetMode="External"/><Relationship Id="rId3280" Type="http://schemas.openxmlformats.org/officeDocument/2006/relationships/hyperlink" Target="http://fr.wikipedia.org/wiki/Sol_(p%C3%A9dologie)" TargetMode="External"/><Relationship Id="rId4124" Type="http://schemas.openxmlformats.org/officeDocument/2006/relationships/hyperlink" Target="http://fr.wikipedia.org/wiki/Nomadisme" TargetMode="External"/><Relationship Id="rId4331" Type="http://schemas.openxmlformats.org/officeDocument/2006/relationships/image" Target="media/image1453.jpeg"/><Relationship Id="rId1718" Type="http://schemas.openxmlformats.org/officeDocument/2006/relationships/image" Target="media/image726.jpeg"/><Relationship Id="rId1925" Type="http://schemas.openxmlformats.org/officeDocument/2006/relationships/image" Target="media/image783.jpeg"/><Relationship Id="rId3140" Type="http://schemas.openxmlformats.org/officeDocument/2006/relationships/hyperlink" Target="https://fr.wikipedia.org/wiki/D%C3%A9pression_(g%C3%A9ographie)" TargetMode="External"/><Relationship Id="rId3378" Type="http://schemas.openxmlformats.org/officeDocument/2006/relationships/hyperlink" Target="http://www.fao.org/forestry/download/28906-05e0933c5c592e5a21f736554c35a4897.pdf" TargetMode="External"/><Relationship Id="rId3585" Type="http://schemas.openxmlformats.org/officeDocument/2006/relationships/hyperlink" Target="https://fr.wikipedia.org/wiki/Pression_d%C3%A9mographique" TargetMode="External"/><Relationship Id="rId3792" Type="http://schemas.openxmlformats.org/officeDocument/2006/relationships/hyperlink" Target="http://ideas.repec.org/a/eee/agiwat/v90y2007i3p165-180.html" TargetMode="External"/><Relationship Id="rId4429" Type="http://schemas.openxmlformats.org/officeDocument/2006/relationships/hyperlink" Target="http://fr.wiktionary.org/wiki/exutoire" TargetMode="External"/><Relationship Id="rId299" Type="http://schemas.openxmlformats.org/officeDocument/2006/relationships/image" Target="media/image133.jpeg"/><Relationship Id="rId2187" Type="http://schemas.openxmlformats.org/officeDocument/2006/relationships/hyperlink" Target="https://en.wikipedia.org/wiki/Crop_yield" TargetMode="External"/><Relationship Id="rId2394" Type="http://schemas.openxmlformats.org/officeDocument/2006/relationships/hyperlink" Target="http://fr.wikipedia.org/w/index.php?title=Chrysopogon_nemoralis&amp;action=edit&amp;redlink=1" TargetMode="External"/><Relationship Id="rId3238" Type="http://schemas.openxmlformats.org/officeDocument/2006/relationships/image" Target="media/image1148.jpeg"/><Relationship Id="rId3445" Type="http://schemas.openxmlformats.org/officeDocument/2006/relationships/image" Target="media/image1281.jpeg"/><Relationship Id="rId3652" Type="http://schemas.openxmlformats.org/officeDocument/2006/relationships/image" Target="media/image1342.jpg"/><Relationship Id="rId159" Type="http://schemas.openxmlformats.org/officeDocument/2006/relationships/image" Target="media/image66.jpg"/><Relationship Id="rId366" Type="http://schemas.openxmlformats.org/officeDocument/2006/relationships/hyperlink" Target="https://fr.wikipedia.org/wiki/Merlot" TargetMode="External"/><Relationship Id="rId573" Type="http://schemas.openxmlformats.org/officeDocument/2006/relationships/hyperlink" Target="https://en.wikipedia.org/wiki/Saba_senegalensis" TargetMode="External"/><Relationship Id="rId780" Type="http://schemas.openxmlformats.org/officeDocument/2006/relationships/hyperlink" Target="http://fr.wikipedia.org/wiki/Mopane" TargetMode="External"/><Relationship Id="rId2047" Type="http://schemas.openxmlformats.org/officeDocument/2006/relationships/image" Target="media/image795.jpeg"/><Relationship Id="rId2254" Type="http://schemas.openxmlformats.org/officeDocument/2006/relationships/hyperlink" Target="https://fr.wikipedia.org/wiki/Aloe_vera" TargetMode="External"/><Relationship Id="rId2461" Type="http://schemas.openxmlformats.org/officeDocument/2006/relationships/hyperlink" Target="http://fr.wikipedia.org/wiki/Rendement_agricole" TargetMode="External"/><Relationship Id="rId2699" Type="http://schemas.openxmlformats.org/officeDocument/2006/relationships/hyperlink" Target="https://fr.wikipedia.org/wiki/Atlantique" TargetMode="External"/><Relationship Id="rId3000" Type="http://schemas.openxmlformats.org/officeDocument/2006/relationships/hyperlink" Target="http://fr.wikipedia.org/wiki/Namibie" TargetMode="External"/><Relationship Id="rId3305" Type="http://schemas.openxmlformats.org/officeDocument/2006/relationships/image" Target="media/image1180.jpeg"/><Relationship Id="rId3512" Type="http://schemas.openxmlformats.org/officeDocument/2006/relationships/hyperlink" Target="https://fr.wikipedia.org/wiki/Labour" TargetMode="External"/><Relationship Id="rId3957" Type="http://schemas.openxmlformats.org/officeDocument/2006/relationships/hyperlink" Target="https://fr.wikipedia.org/wiki/Pyriforme" TargetMode="External"/><Relationship Id="rId226" Type="http://schemas.openxmlformats.org/officeDocument/2006/relationships/hyperlink" Target="http://fr.wikipedia.org/wiki/Glossaire_botanique" TargetMode="External"/><Relationship Id="rId433" Type="http://schemas.openxmlformats.org/officeDocument/2006/relationships/image" Target="media/image184.jpeg"/><Relationship Id="rId878" Type="http://schemas.openxmlformats.org/officeDocument/2006/relationships/hyperlink" Target="http://translate.googleusercontent.com/translate_c?depth=1&amp;hl=fr&amp;prev=/search?q=nitraria&amp;biw=1440&amp;bih=732&amp;rurl=translate.google.fr&amp;sl=en&amp;u=http://en.wikipedia.org/wiki/Sand_dune&amp;usg=ALkJrhjYUfU5ke280bHpyoKxLzf5urz8_g" TargetMode="External"/><Relationship Id="rId1063" Type="http://schemas.openxmlformats.org/officeDocument/2006/relationships/image" Target="media/image494.png"/><Relationship Id="rId1270" Type="http://schemas.openxmlformats.org/officeDocument/2006/relationships/hyperlink" Target="http://en.wikipedia.org/wiki/Hordeum_vulgare" TargetMode="External"/><Relationship Id="rId2114" Type="http://schemas.openxmlformats.org/officeDocument/2006/relationships/image" Target="media/image812.jpeg"/><Relationship Id="rId2559" Type="http://schemas.openxmlformats.org/officeDocument/2006/relationships/hyperlink" Target="http://translate.googleusercontent.com/translate_c?depth=1&amp;hl=fr&amp;prev=search&amp;rurl=translate.google.fr&amp;sl=en&amp;u=http://en.wikipedia.org/wiki/Roman_Emperor&amp;usg=ALkJrhh3L2Z5ud83l_SGP-qcFE5pCBLF6g" TargetMode="External"/><Relationship Id="rId2766" Type="http://schemas.openxmlformats.org/officeDocument/2006/relationships/hyperlink" Target="https://fr.wikipedia.org/wiki/Potentiel_hydrog%C3%A8ne" TargetMode="External"/><Relationship Id="rId2973" Type="http://schemas.openxmlformats.org/officeDocument/2006/relationships/hyperlink" Target="http://translate.googleusercontent.com/translate_c?depth=1&amp;hl=fr&amp;prev=search&amp;rurl=translate.google.fr&amp;sl=en&amp;u=http://en.wikipedia.org/wiki/Punjab_region&amp;usg=ALkJrhiyM88mEAKf4CvbEbl43N0zpoGyuA" TargetMode="External"/><Relationship Id="rId3817" Type="http://schemas.openxmlformats.org/officeDocument/2006/relationships/hyperlink" Target="http://ideas.repec.org/a/eee/agiwat/v123y2013icp1-11.html" TargetMode="External"/><Relationship Id="rId640" Type="http://schemas.openxmlformats.org/officeDocument/2006/relationships/image" Target="media/image272.jpg"/><Relationship Id="rId738" Type="http://schemas.openxmlformats.org/officeDocument/2006/relationships/image" Target="media/image320.jpeg"/><Relationship Id="rId945" Type="http://schemas.openxmlformats.org/officeDocument/2006/relationships/hyperlink" Target="https://fr.wikipedia.org/wiki/X%C3%A9rophyte" TargetMode="External"/><Relationship Id="rId1368" Type="http://schemas.openxmlformats.org/officeDocument/2006/relationships/hyperlink" Target="http://www.biomassmagazine.com/article.jsp?article_id=1864" TargetMode="External"/><Relationship Id="rId1575" Type="http://schemas.openxmlformats.org/officeDocument/2006/relationships/hyperlink" Target="http://fr.wikipedia.org/wiki/Brasserie" TargetMode="External"/><Relationship Id="rId1782" Type="http://schemas.openxmlformats.org/officeDocument/2006/relationships/hyperlink" Target="https://fr.wikipedia.org/wiki/Fran%C3%A7ais" TargetMode="External"/><Relationship Id="rId2321" Type="http://schemas.openxmlformats.org/officeDocument/2006/relationships/hyperlink" Target="http://fr.wikipedia.org/wiki/Bact%C3%A9rie" TargetMode="External"/><Relationship Id="rId2419" Type="http://schemas.openxmlformats.org/officeDocument/2006/relationships/hyperlink" Target="http://fr.wikipedia.org/wiki/%C3%89rosion" TargetMode="External"/><Relationship Id="rId2626" Type="http://schemas.openxmlformats.org/officeDocument/2006/relationships/hyperlink" Target="https://en.wikipedia.org/wiki/Sushi" TargetMode="External"/><Relationship Id="rId2833" Type="http://schemas.openxmlformats.org/officeDocument/2006/relationships/image" Target="media/image971.jpg"/><Relationship Id="rId4079" Type="http://schemas.openxmlformats.org/officeDocument/2006/relationships/image" Target="media/image1414.jpeg"/><Relationship Id="rId4286" Type="http://schemas.openxmlformats.org/officeDocument/2006/relationships/hyperlink" Target="https://en.wikipedia.org/wiki/California" TargetMode="External"/><Relationship Id="rId74" Type="http://schemas.openxmlformats.org/officeDocument/2006/relationships/image" Target="media/image32.png"/><Relationship Id="rId500" Type="http://schemas.openxmlformats.org/officeDocument/2006/relationships/image" Target="media/image214.jpeg"/><Relationship Id="rId805" Type="http://schemas.openxmlformats.org/officeDocument/2006/relationships/hyperlink" Target="https://fr.wikipedia.org/wiki/Simmondsiaceae" TargetMode="External"/><Relationship Id="rId1130" Type="http://schemas.openxmlformats.org/officeDocument/2006/relationships/hyperlink" Target="http://en.wikipedia.org/wiki/Bruguiera_gymnorrhiza" TargetMode="External"/><Relationship Id="rId1228" Type="http://schemas.openxmlformats.org/officeDocument/2006/relationships/image" Target="media/image608.jpeg"/><Relationship Id="rId1435" Type="http://schemas.openxmlformats.org/officeDocument/2006/relationships/hyperlink" Target="http://www.ncbi.nlm.nih.gov/pubmed/18765761" TargetMode="External"/><Relationship Id="rId4493" Type="http://schemas.openxmlformats.org/officeDocument/2006/relationships/hyperlink" Target="http://fr.wiktionary.org/wiki/entretien" TargetMode="External"/><Relationship Id="rId1642" Type="http://schemas.openxmlformats.org/officeDocument/2006/relationships/hyperlink" Target="http://horizon.documentation.ird.fr/exl-doc/pleins_textes/pleins_textes_5/b_fdi_08-09/11033.pdf" TargetMode="External"/><Relationship Id="rId1947" Type="http://schemas.openxmlformats.org/officeDocument/2006/relationships/hyperlink" Target="https://en.wikipedia.org/wiki/Rhizobia" TargetMode="External"/><Relationship Id="rId2900" Type="http://schemas.openxmlformats.org/officeDocument/2006/relationships/hyperlink" Target="http://translate.googleusercontent.com/translate_c?depth=1&amp;hl=fr&amp;prev=search&amp;rurl=translate.google.fr&amp;sl=en&amp;u=http://en.wikipedia.org/wiki/Eritrea&amp;usg=ALkJrhjoVorKn8axxiIVFNz8oGOXlnVAeQ" TargetMode="External"/><Relationship Id="rId3095" Type="http://schemas.openxmlformats.org/officeDocument/2006/relationships/image" Target="media/image1047.jpeg"/><Relationship Id="rId4146" Type="http://schemas.openxmlformats.org/officeDocument/2006/relationships/image" Target="media/image1428.jpeg"/><Relationship Id="rId4353" Type="http://schemas.openxmlformats.org/officeDocument/2006/relationships/hyperlink" Target="http://www.peracod.sn/?Le-BRADES-entreprise-basee-a-Saint" TargetMode="External"/><Relationship Id="rId4560" Type="http://schemas.openxmlformats.org/officeDocument/2006/relationships/hyperlink" Target="https://www.doc-developpement-durable.org/documents-agronomiques/Planter-en-conditions-arides-salines.pdf" TargetMode="External"/><Relationship Id="rId1502" Type="http://schemas.openxmlformats.org/officeDocument/2006/relationships/image" Target="media/image666.jpeg"/><Relationship Id="rId1807" Type="http://schemas.openxmlformats.org/officeDocument/2006/relationships/image" Target="media/image751.jpeg"/><Relationship Id="rId3162" Type="http://schemas.openxmlformats.org/officeDocument/2006/relationships/hyperlink" Target="http://fr.wikipedia.org/wiki/Pisciculture" TargetMode="External"/><Relationship Id="rId4006" Type="http://schemas.openxmlformats.org/officeDocument/2006/relationships/hyperlink" Target="http://en.wikipedia.org/wiki/Australia" TargetMode="External"/><Relationship Id="rId4213" Type="http://schemas.openxmlformats.org/officeDocument/2006/relationships/hyperlink" Target="http://www.cabi.org/isc/datasheet/112590" TargetMode="External"/><Relationship Id="rId4420" Type="http://schemas.openxmlformats.org/officeDocument/2006/relationships/hyperlink" Target="http://fr.wikipedia.org/wiki/Esp%C3%A8ce" TargetMode="External"/><Relationship Id="rId290" Type="http://schemas.openxmlformats.org/officeDocument/2006/relationships/hyperlink" Target="https://fr.wikipedia.org/wiki/Famille_(biologie)" TargetMode="External"/><Relationship Id="rId388" Type="http://schemas.openxmlformats.org/officeDocument/2006/relationships/hyperlink" Target="https://en.wikipedia.org/wiki/Hermaphrodite" TargetMode="External"/><Relationship Id="rId2069" Type="http://schemas.openxmlformats.org/officeDocument/2006/relationships/hyperlink" Target="https://en.wikipedia.org/wiki/Symbiotic" TargetMode="External"/><Relationship Id="rId3022" Type="http://schemas.openxmlformats.org/officeDocument/2006/relationships/hyperlink" Target="http://fr.wikipedia.org/wiki/Harpagophyton" TargetMode="External"/><Relationship Id="rId3467" Type="http://schemas.openxmlformats.org/officeDocument/2006/relationships/hyperlink" Target="http://fr.wikipedia.org/wiki/D%C3%A9frichement" TargetMode="External"/><Relationship Id="rId3674" Type="http://schemas.openxmlformats.org/officeDocument/2006/relationships/hyperlink" Target="http://www.doc-developpement-durable.org/documents-pedagogiques-de-sensibilisation/ControleDesNaissances.ppt" TargetMode="External"/><Relationship Id="rId3881" Type="http://schemas.openxmlformats.org/officeDocument/2006/relationships/hyperlink" Target="https://books.openedition.org/irdeditions/12893?lang=fr" TargetMode="External"/><Relationship Id="rId4518" Type="http://schemas.openxmlformats.org/officeDocument/2006/relationships/hyperlink" Target="https://fr.wikipedia.org/wiki/Racine_(botanique)" TargetMode="External"/><Relationship Id="rId150" Type="http://schemas.openxmlformats.org/officeDocument/2006/relationships/image" Target="media/image57.jpg"/><Relationship Id="rId595" Type="http://schemas.openxmlformats.org/officeDocument/2006/relationships/hyperlink" Target="https://fr.wikipedia.org/wiki/T%C3%A9r%C3%A9brant_marin" TargetMode="External"/><Relationship Id="rId2276" Type="http://schemas.openxmlformats.org/officeDocument/2006/relationships/hyperlink" Target="http://translate.googleusercontent.com/translate_c?depth=1&amp;hl=fr&amp;prev=/search?q%3Dmelilotus%2Balbus%26biw%3D1440%26bih%3D732&amp;rurl=translate.google.fr&amp;sl=en&amp;u=http://en.wikipedia.org/wiki/Invasive_species&amp;usg=ALkJrhgGMkolitegHGwdnvIlIvfo8oSfzw" TargetMode="External"/><Relationship Id="rId2483" Type="http://schemas.openxmlformats.org/officeDocument/2006/relationships/hyperlink" Target="https://fr.wikipedia.org/wiki/Papier" TargetMode="External"/><Relationship Id="rId2690" Type="http://schemas.openxmlformats.org/officeDocument/2006/relationships/hyperlink" Target="https://en.wikipedia.org/wiki/Muchim" TargetMode="External"/><Relationship Id="rId3327" Type="http://schemas.openxmlformats.org/officeDocument/2006/relationships/image" Target="media/image1197.jpg"/><Relationship Id="rId3534" Type="http://schemas.openxmlformats.org/officeDocument/2006/relationships/hyperlink" Target="https://en.wikipedia.org/wiki/Desertification" TargetMode="External"/><Relationship Id="rId3741" Type="http://schemas.openxmlformats.org/officeDocument/2006/relationships/hyperlink" Target="http://www.naturevivante.org/documents/typologie.pdf" TargetMode="External"/><Relationship Id="rId3979" Type="http://schemas.openxmlformats.org/officeDocument/2006/relationships/hyperlink" Target="http://translate.googleusercontent.com/translate_c?depth=1&amp;hl=fr&amp;prev=/search?q%3DCasuarina%2Bglauca%2BWikipedia%26biw%3D1440%26bih%3D732&amp;rurl=translate.google.fr&amp;sl=en&amp;u=http://en.wikipedia.org/wiki/Casuarina&amp;usg=ALkJrhgMORuaV2CSdVeVc1dO7KXWgjT0jA" TargetMode="External"/><Relationship Id="rId248" Type="http://schemas.openxmlformats.org/officeDocument/2006/relationships/hyperlink" Target="http://fr.wikipedia.org/wiki/Jujube_(fruit)" TargetMode="External"/><Relationship Id="rId455" Type="http://schemas.openxmlformats.org/officeDocument/2006/relationships/image" Target="media/image192.jpeg"/><Relationship Id="rId662" Type="http://schemas.openxmlformats.org/officeDocument/2006/relationships/image" Target="media/image277.jpeg"/><Relationship Id="rId1085" Type="http://schemas.openxmlformats.org/officeDocument/2006/relationships/image" Target="media/image509.jpeg"/><Relationship Id="rId1292" Type="http://schemas.openxmlformats.org/officeDocument/2006/relationships/hyperlink" Target="https://fr.wikipedia.org/wiki/Halophyte" TargetMode="External"/><Relationship Id="rId2136" Type="http://schemas.openxmlformats.org/officeDocument/2006/relationships/hyperlink" Target="https://en.wikipedia.org/wiki/Drought" TargetMode="External"/><Relationship Id="rId2343" Type="http://schemas.openxmlformats.org/officeDocument/2006/relationships/hyperlink" Target="http://fr.wikipedia.org/wiki/Chaume" TargetMode="External"/><Relationship Id="rId2550" Type="http://schemas.openxmlformats.org/officeDocument/2006/relationships/hyperlink" Target="http://translate.googleusercontent.com/translate_c?depth=1&amp;hl=fr&amp;prev=search&amp;rurl=translate.google.fr&amp;sl=en&amp;u=http://en.wikipedia.org/wiki/Mediterranean&amp;usg=ALkJrhiEc1LQXHdPk-Ny84Ltzl4D_VqeFA" TargetMode="External"/><Relationship Id="rId2788" Type="http://schemas.openxmlformats.org/officeDocument/2006/relationships/image" Target="media/image955.jpeg"/><Relationship Id="rId2995" Type="http://schemas.openxmlformats.org/officeDocument/2006/relationships/image" Target="media/image1001.jpg"/><Relationship Id="rId3601" Type="http://schemas.openxmlformats.org/officeDocument/2006/relationships/hyperlink" Target="https://fr.wikipedia.org/wiki/Agriculture_vivri%C3%A8re" TargetMode="External"/><Relationship Id="rId3839" Type="http://schemas.openxmlformats.org/officeDocument/2006/relationships/hyperlink" Target="http://translate.googleusercontent.com/translate_c?anno=2&amp;depth=1&amp;hl=fr&amp;rurl=translate.google.fr&amp;sl=en&amp;tl=fr&amp;u=http://link.springer.com/journal/12155&amp;usg=ALkJrhhtFu7cEphxsaj9dAfMXN7j4M8vxA" TargetMode="External"/><Relationship Id="rId108" Type="http://schemas.openxmlformats.org/officeDocument/2006/relationships/hyperlink" Target="https://en.wikipedia.org/wiki/Stress_(biological)" TargetMode="External"/><Relationship Id="rId315" Type="http://schemas.openxmlformats.org/officeDocument/2006/relationships/image" Target="media/image144.jpeg"/><Relationship Id="rId522" Type="http://schemas.openxmlformats.org/officeDocument/2006/relationships/image" Target="media/image223.jpeg"/><Relationship Id="rId967" Type="http://schemas.openxmlformats.org/officeDocument/2006/relationships/hyperlink" Target="https://en.wikipedia.org/wiki/Hawaii" TargetMode="External"/><Relationship Id="rId1152" Type="http://schemas.openxmlformats.org/officeDocument/2006/relationships/image" Target="media/image557.jpeg"/><Relationship Id="rId1597" Type="http://schemas.openxmlformats.org/officeDocument/2006/relationships/hyperlink" Target="http://fr.wikipedia.org/wiki/Escourgeon" TargetMode="External"/><Relationship Id="rId2203" Type="http://schemas.openxmlformats.org/officeDocument/2006/relationships/hyperlink" Target="https://en.wikipedia.org/wiki/Poverty" TargetMode="External"/><Relationship Id="rId2410" Type="http://schemas.openxmlformats.org/officeDocument/2006/relationships/hyperlink" Target="http://fr.wikipedia.org/wiki/Pacifique" TargetMode="External"/><Relationship Id="rId2648" Type="http://schemas.openxmlformats.org/officeDocument/2006/relationships/hyperlink" Target="https://fr.wikipedia.org/wiki/Empreinte_ADN" TargetMode="External"/><Relationship Id="rId2855" Type="http://schemas.openxmlformats.org/officeDocument/2006/relationships/image" Target="media/image974.jpg"/><Relationship Id="rId3906" Type="http://schemas.openxmlformats.org/officeDocument/2006/relationships/hyperlink" Target="http://www.doc-developpement-durable.org/file/Culture/Arbres-Bois-de-Rapport-Reforestation/forets-preservation-restoration/framework-species-method_Stephen-Elliot/english-version/" TargetMode="External"/><Relationship Id="rId96" Type="http://schemas.openxmlformats.org/officeDocument/2006/relationships/hyperlink" Target="https://fr.wikipedia.org/wiki/R%C3%A9publique_populaire_de_Chine" TargetMode="External"/><Relationship Id="rId827" Type="http://schemas.openxmlformats.org/officeDocument/2006/relationships/image" Target="media/image373.jpeg"/><Relationship Id="rId1012" Type="http://schemas.openxmlformats.org/officeDocument/2006/relationships/image" Target="media/image462.jpg"/><Relationship Id="rId1457" Type="http://schemas.openxmlformats.org/officeDocument/2006/relationships/hyperlink" Target="http://fr.wikipedia.org/wiki/Asparagus_acutifolius" TargetMode="External"/><Relationship Id="rId1664" Type="http://schemas.openxmlformats.org/officeDocument/2006/relationships/image" Target="media/image713.jpeg"/><Relationship Id="rId1871" Type="http://schemas.openxmlformats.org/officeDocument/2006/relationships/hyperlink" Target="https://fr.wikipedia.org/wiki/Sorgho_fourrager" TargetMode="External"/><Relationship Id="rId2508" Type="http://schemas.openxmlformats.org/officeDocument/2006/relationships/hyperlink" Target="https://fr.wikipedia.org/wiki/Panier" TargetMode="External"/><Relationship Id="rId2715" Type="http://schemas.openxmlformats.org/officeDocument/2006/relationships/hyperlink" Target="https://fr.wikipedia.org/wiki/Carragh%C3%A9nane" TargetMode="External"/><Relationship Id="rId2922" Type="http://schemas.openxmlformats.org/officeDocument/2006/relationships/hyperlink" Target="http://translate.googleusercontent.com/translate_c?depth=1&amp;hl=fr&amp;prev=search&amp;rurl=translate.google.fr&amp;sl=en&amp;u=http://en.wikipedia.org/wiki/Diamphidia&amp;usg=ALkJrhiQlA6ON6lM9AKwJQLU5ykGb949Ow" TargetMode="External"/><Relationship Id="rId4070" Type="http://schemas.openxmlformats.org/officeDocument/2006/relationships/hyperlink" Target="http://www.hear.org/pier/species/parkinsonia_aculeata.htm" TargetMode="External"/><Relationship Id="rId4168" Type="http://schemas.openxmlformats.org/officeDocument/2006/relationships/hyperlink" Target="https://fr.wikipedia.org/wiki/Amaranthaceae" TargetMode="External"/><Relationship Id="rId4375" Type="http://schemas.openxmlformats.org/officeDocument/2006/relationships/hyperlink" Target="http://fr.wikipedia.org/wiki/Pennisetum_clandestinum" TargetMode="External"/><Relationship Id="rId1317" Type="http://schemas.openxmlformats.org/officeDocument/2006/relationships/hyperlink" Target="http://translate.googleusercontent.com/translate_c?depth=1&amp;hl=fr&amp;prev=/search?q%3Dsalicornia%2Bherbacea%2Bwikipedia%26biw%3D1440%26bih%3D732&amp;rurl=translate.google.fr&amp;sl=en&amp;u=http://en.wikipedia.org/wiki/Fertilizer&amp;usg=ALkJrhjwCkgmsPDyRdZGD7FzHBYs5wAhQA" TargetMode="External"/><Relationship Id="rId1524" Type="http://schemas.openxmlformats.org/officeDocument/2006/relationships/hyperlink" Target="https://fr.wikipedia.org/wiki/Taro_(plante)" TargetMode="External"/><Relationship Id="rId1731" Type="http://schemas.openxmlformats.org/officeDocument/2006/relationships/image" Target="media/image735.jpg"/><Relationship Id="rId1969" Type="http://schemas.openxmlformats.org/officeDocument/2006/relationships/image" Target="media/image790.jpeg"/><Relationship Id="rId3184" Type="http://schemas.openxmlformats.org/officeDocument/2006/relationships/image" Target="media/image1102.jpg"/><Relationship Id="rId4028" Type="http://schemas.openxmlformats.org/officeDocument/2006/relationships/image" Target="media/image1393.jpeg"/><Relationship Id="rId4235" Type="http://schemas.openxmlformats.org/officeDocument/2006/relationships/hyperlink" Target="http://www.cabi.org/isc/datasheet/112596" TargetMode="External"/><Relationship Id="rId23" Type="http://schemas.openxmlformats.org/officeDocument/2006/relationships/hyperlink" Target="https://fr.wikipedia.org/wiki/%C3%89pith%C3%A8te_sp%C3%A9cifique" TargetMode="External"/><Relationship Id="rId1829" Type="http://schemas.openxmlformats.org/officeDocument/2006/relationships/image" Target="media/image754.jpeg"/><Relationship Id="rId3391" Type="http://schemas.openxmlformats.org/officeDocument/2006/relationships/hyperlink" Target="https://en.wikipedia.org/wiki/Fulani" TargetMode="External"/><Relationship Id="rId3489" Type="http://schemas.openxmlformats.org/officeDocument/2006/relationships/image" Target="media/image1305.jpeg"/><Relationship Id="rId3696" Type="http://schemas.openxmlformats.org/officeDocument/2006/relationships/image" Target="media/image1355.jpg"/><Relationship Id="rId4442" Type="http://schemas.openxmlformats.org/officeDocument/2006/relationships/hyperlink" Target="http://fr.wikipedia.org/wiki/Sotch" TargetMode="External"/><Relationship Id="rId2298" Type="http://schemas.openxmlformats.org/officeDocument/2006/relationships/hyperlink" Target="https://www.kau.edu.sa/Files/857/Researches/58292_28460.pdf" TargetMode="External"/><Relationship Id="rId3044" Type="http://schemas.openxmlformats.org/officeDocument/2006/relationships/hyperlink" Target="http://en.wikipedia.org/wiki/Soil_compaction" TargetMode="External"/><Relationship Id="rId3251" Type="http://schemas.openxmlformats.org/officeDocument/2006/relationships/hyperlink" Target="https://en.wikipedia.org/wiki/Qanat" TargetMode="External"/><Relationship Id="rId3349" Type="http://schemas.openxmlformats.org/officeDocument/2006/relationships/hyperlink" Target="https://www.amazon.fr/dp/1729533450" TargetMode="External"/><Relationship Id="rId3556" Type="http://schemas.openxmlformats.org/officeDocument/2006/relationships/hyperlink" Target="https://fr.wikipedia.org/wiki/Fourrage" TargetMode="External"/><Relationship Id="rId4302" Type="http://schemas.openxmlformats.org/officeDocument/2006/relationships/hyperlink" Target="https://en.wikipedia.org/wiki/Tree" TargetMode="External"/><Relationship Id="rId172" Type="http://schemas.openxmlformats.org/officeDocument/2006/relationships/image" Target="media/image79.jpeg"/><Relationship Id="rId477" Type="http://schemas.openxmlformats.org/officeDocument/2006/relationships/image" Target="media/image204.jpeg"/><Relationship Id="rId684" Type="http://schemas.openxmlformats.org/officeDocument/2006/relationships/image" Target="media/image292.jpeg"/><Relationship Id="rId2060" Type="http://schemas.openxmlformats.org/officeDocument/2006/relationships/image" Target="media/image804.jpeg"/><Relationship Id="rId2158" Type="http://schemas.openxmlformats.org/officeDocument/2006/relationships/hyperlink" Target="https://fr.wikipedia.org/wiki/Am%C3%A9rique_du_Sud" TargetMode="External"/><Relationship Id="rId2365" Type="http://schemas.openxmlformats.org/officeDocument/2006/relationships/hyperlink" Target="http://fr.wikipedia.org/wiki/Distillation" TargetMode="External"/><Relationship Id="rId3111" Type="http://schemas.openxmlformats.org/officeDocument/2006/relationships/image" Target="media/image1063.jpeg"/><Relationship Id="rId3209" Type="http://schemas.openxmlformats.org/officeDocument/2006/relationships/image" Target="media/image1123.jpeg"/><Relationship Id="rId3763" Type="http://schemas.openxmlformats.org/officeDocument/2006/relationships/hyperlink" Target="http://www.miracosta.edu/home/kmeldahl/articles/crops.pdf" TargetMode="External"/><Relationship Id="rId3970" Type="http://schemas.openxmlformats.org/officeDocument/2006/relationships/hyperlink" Target="http://fr.wikipedia.org/wiki/Fibre" TargetMode="External"/><Relationship Id="rId337" Type="http://schemas.openxmlformats.org/officeDocument/2006/relationships/image" Target="media/image159.jpeg"/><Relationship Id="rId891" Type="http://schemas.openxmlformats.org/officeDocument/2006/relationships/image" Target="media/image391.jpeg"/><Relationship Id="rId989" Type="http://schemas.openxmlformats.org/officeDocument/2006/relationships/image" Target="media/image443.jpeg"/><Relationship Id="rId2018" Type="http://schemas.openxmlformats.org/officeDocument/2006/relationships/hyperlink" Target="https://en.wikipedia.org/wiki/Genetically_modified_crops" TargetMode="External"/><Relationship Id="rId2572" Type="http://schemas.openxmlformats.org/officeDocument/2006/relationships/hyperlink" Target="https://fr.wikipedia.org/wiki/Cosm%C3%A9tiques" TargetMode="External"/><Relationship Id="rId2877" Type="http://schemas.openxmlformats.org/officeDocument/2006/relationships/hyperlink" Target="http://translate.googleusercontent.com/translate_c?depth=1&amp;hl=fr&amp;prev=search&amp;rurl=translate.google.fr&amp;sl=en&amp;u=http://en.wikipedia.org/wiki/IUCN_Red_List&amp;usg=ALkJrhhX0lLyMJgq2_xynQf6KsMgD18v1A" TargetMode="External"/><Relationship Id="rId3416" Type="http://schemas.openxmlformats.org/officeDocument/2006/relationships/hyperlink" Target="http://fr.wikipedia.org/wiki/Houe" TargetMode="External"/><Relationship Id="rId3623" Type="http://schemas.openxmlformats.org/officeDocument/2006/relationships/hyperlink" Target="https://fr.wikipedia.org/wiki/2000" TargetMode="External"/><Relationship Id="rId3830" Type="http://schemas.openxmlformats.org/officeDocument/2006/relationships/hyperlink" Target="http://ideas.repec.org/a/eee/agiwat/v123y2013icp1-11.html" TargetMode="External"/><Relationship Id="rId544" Type="http://schemas.openxmlformats.org/officeDocument/2006/relationships/image" Target="media/image236.jpeg"/><Relationship Id="rId751" Type="http://schemas.openxmlformats.org/officeDocument/2006/relationships/hyperlink" Target="http://www.fao.org/ag/AGP/AGPC/doc/Gbase/data/pf000362.htm" TargetMode="External"/><Relationship Id="rId849" Type="http://schemas.openxmlformats.org/officeDocument/2006/relationships/image" Target="media/image383.jpeg"/><Relationship Id="rId1174" Type="http://schemas.openxmlformats.org/officeDocument/2006/relationships/hyperlink" Target="https://en.wikipedia.org/wiki/Rhizophora_mucronata" TargetMode="External"/><Relationship Id="rId1381" Type="http://schemas.openxmlformats.org/officeDocument/2006/relationships/hyperlink" Target="http://articles.latimes.com/2008/jul/10/business/fi-seafarm10" TargetMode="External"/><Relationship Id="rId1479" Type="http://schemas.openxmlformats.org/officeDocument/2006/relationships/image" Target="media/image664.jpg"/><Relationship Id="rId1686" Type="http://schemas.openxmlformats.org/officeDocument/2006/relationships/image" Target="media/image717.jpeg"/><Relationship Id="rId2225" Type="http://schemas.openxmlformats.org/officeDocument/2006/relationships/image" Target="media/image844.jpeg"/><Relationship Id="rId2432" Type="http://schemas.openxmlformats.org/officeDocument/2006/relationships/image" Target="media/image892.jpeg"/><Relationship Id="rId3928" Type="http://schemas.openxmlformats.org/officeDocument/2006/relationships/hyperlink" Target="http://www.hear.org/pier/species/opuntia_stricta.htm" TargetMode="External"/><Relationship Id="rId4092" Type="http://schemas.openxmlformats.org/officeDocument/2006/relationships/hyperlink" Target="http://translate.googleusercontent.com/translate_c?depth=1&amp;hl=fr&amp;prev=/search?q%3Dprosopis%2Bjuliflora%26rlz%3D1C1GGGE_frFR479FR479%26es_sm%3D93&amp;rurl=translate.google.fr&amp;sl=en&amp;u=http://en.wikipedia.org/wiki/Africa&amp;usg=ALkJrhjxD1JbMLjIuV_Uxwzibu5pXiNHHQ" TargetMode="External"/><Relationship Id="rId404" Type="http://schemas.openxmlformats.org/officeDocument/2006/relationships/hyperlink" Target="https://fr.wikipedia.org/wiki/P%C3%A9pin_(graine)" TargetMode="External"/><Relationship Id="rId611" Type="http://schemas.openxmlformats.org/officeDocument/2006/relationships/image" Target="media/image261.jpeg"/><Relationship Id="rId1034" Type="http://schemas.openxmlformats.org/officeDocument/2006/relationships/image" Target="media/image475.jpg"/><Relationship Id="rId1241" Type="http://schemas.openxmlformats.org/officeDocument/2006/relationships/image" Target="media/image621.jpeg"/><Relationship Id="rId1339" Type="http://schemas.openxmlformats.org/officeDocument/2006/relationships/hyperlink" Target="http://www.gcrio.org/usiji/pdf/Mexico-3%203-04.pdf" TargetMode="External"/><Relationship Id="rId1893" Type="http://schemas.openxmlformats.org/officeDocument/2006/relationships/hyperlink" Target="https://fr.wikipedia.org/wiki/France" TargetMode="External"/><Relationship Id="rId2737" Type="http://schemas.openxmlformats.org/officeDocument/2006/relationships/hyperlink" Target="https://fr.wikipedia.org/wiki/Cyanobacteria" TargetMode="External"/><Relationship Id="rId2944" Type="http://schemas.openxmlformats.org/officeDocument/2006/relationships/hyperlink" Target="http://fr.wikipedia.org/wiki/Burseraceae" TargetMode="External"/><Relationship Id="rId4397" Type="http://schemas.openxmlformats.org/officeDocument/2006/relationships/image" Target="media/image1474.jpeg"/><Relationship Id="rId709" Type="http://schemas.openxmlformats.org/officeDocument/2006/relationships/hyperlink" Target="http://www.arte.tv/fr/faidherbia-l-arbre-miracle/6984730,CmC=6984954.html" TargetMode="External"/><Relationship Id="rId916" Type="http://schemas.openxmlformats.org/officeDocument/2006/relationships/hyperlink" Target="https://fr.wikipedia.org/wiki/Elaeagnaceae" TargetMode="External"/><Relationship Id="rId1101" Type="http://schemas.openxmlformats.org/officeDocument/2006/relationships/image" Target="media/image524.jpg"/><Relationship Id="rId1546" Type="http://schemas.openxmlformats.org/officeDocument/2006/relationships/hyperlink" Target="https://www.prota4u.org/database/protav8.asp?fr=1&amp;g=pe&amp;p=Colocasia+esculenta+(L.)+Schott" TargetMode="External"/><Relationship Id="rId1753" Type="http://schemas.openxmlformats.org/officeDocument/2006/relationships/hyperlink" Target="http://fr.wikipedia.org/wiki/Fleur" TargetMode="External"/><Relationship Id="rId1960" Type="http://schemas.openxmlformats.org/officeDocument/2006/relationships/hyperlink" Target="https://en.wikipedia.org/wiki/Curry" TargetMode="External"/><Relationship Id="rId2804" Type="http://schemas.openxmlformats.org/officeDocument/2006/relationships/hyperlink" Target="http://www.sylvie-tribut-astrologue.com/tag/legende-de-myrrha-fille-de-cinyras-roi-de-chypre/" TargetMode="External"/><Relationship Id="rId4257" Type="http://schemas.openxmlformats.org/officeDocument/2006/relationships/hyperlink" Target="http://www.cabi.org/isc/datasheet/52499" TargetMode="External"/><Relationship Id="rId4464" Type="http://schemas.openxmlformats.org/officeDocument/2006/relationships/hyperlink" Target="https://seawatergreenhouse.com/" TargetMode="External"/><Relationship Id="rId45" Type="http://schemas.openxmlformats.org/officeDocument/2006/relationships/image" Target="media/image10.jpeg"/><Relationship Id="rId1406" Type="http://schemas.openxmlformats.org/officeDocument/2006/relationships/hyperlink" Target="http://www.bashanfoundation.org/gmaweb/pdfs/growth.pdf" TargetMode="External"/><Relationship Id="rId1613" Type="http://schemas.openxmlformats.org/officeDocument/2006/relationships/hyperlink" Target="http://translate.googleusercontent.com/translate_c?depth=1&amp;hl=fr&amp;prev=/search?q%3DDistichlis%2Bpalmeri%26biw%3D1440%26bih%3D732&amp;rurl=translate.google.fr&amp;sl=en&amp;u=http://en.wikipedia.org/wiki/Mexico&amp;usg=ALkJrhhuHvBUESMK8ZXa1n7NLFPd8sGPww" TargetMode="External"/><Relationship Id="rId1820" Type="http://schemas.openxmlformats.org/officeDocument/2006/relationships/hyperlink" Target="https://fr.wikipedia.org/wiki/Guin%C3%A9e" TargetMode="External"/><Relationship Id="rId3066" Type="http://schemas.openxmlformats.org/officeDocument/2006/relationships/image" Target="media/image1021.jpeg"/><Relationship Id="rId3273" Type="http://schemas.openxmlformats.org/officeDocument/2006/relationships/image" Target="media/image1165.jpeg"/><Relationship Id="rId3480" Type="http://schemas.openxmlformats.org/officeDocument/2006/relationships/hyperlink" Target="http://fr.wikipedia.org/wiki/Paysage" TargetMode="External"/><Relationship Id="rId4117" Type="http://schemas.openxmlformats.org/officeDocument/2006/relationships/image" Target="media/image1422.jpeg"/><Relationship Id="rId4324" Type="http://schemas.openxmlformats.org/officeDocument/2006/relationships/hyperlink" Target="http://fr.wikipedia.org/wiki/Cytisine" TargetMode="External"/><Relationship Id="rId4531" Type="http://schemas.openxmlformats.org/officeDocument/2006/relationships/hyperlink" Target="https://www.worldagroforestry.org/project/drylands-transform" TargetMode="External"/><Relationship Id="rId194" Type="http://schemas.openxmlformats.org/officeDocument/2006/relationships/image" Target="media/image88.jpg"/><Relationship Id="rId1918" Type="http://schemas.openxmlformats.org/officeDocument/2006/relationships/hyperlink" Target="https://fr.wikipedia.org/wiki/Nitrate_de_potassium" TargetMode="External"/><Relationship Id="rId2082" Type="http://schemas.openxmlformats.org/officeDocument/2006/relationships/hyperlink" Target="https://fr.wikipedia.org/wiki/Potentiel_hydrog%C3%A8ne" TargetMode="External"/><Relationship Id="rId3133" Type="http://schemas.openxmlformats.org/officeDocument/2006/relationships/image" Target="media/image1075.jpeg"/><Relationship Id="rId3578" Type="http://schemas.openxmlformats.org/officeDocument/2006/relationships/hyperlink" Target="https://fr.wikipedia.org/wiki/Prosopis_africana" TargetMode="External"/><Relationship Id="rId3785" Type="http://schemas.openxmlformats.org/officeDocument/2006/relationships/hyperlink" Target="http://ideas.repec.org/a/eee/agiwat/v25y1994i3p233-269.html" TargetMode="External"/><Relationship Id="rId3992" Type="http://schemas.openxmlformats.org/officeDocument/2006/relationships/hyperlink" Target="http://fr.wikipedia.org/wiki/Indon%C3%A9sie" TargetMode="External"/><Relationship Id="rId261" Type="http://schemas.openxmlformats.org/officeDocument/2006/relationships/image" Target="media/image113.jpeg"/><Relationship Id="rId499" Type="http://schemas.openxmlformats.org/officeDocument/2006/relationships/image" Target="media/image213.jpeg"/><Relationship Id="rId2387" Type="http://schemas.openxmlformats.org/officeDocument/2006/relationships/hyperlink" Target="http://translate.googleusercontent.com/translate_c?depth=1&amp;hl=fr&amp;prev=/search?q%3DChrysopogon%2Bnigritanus%26biw%3D1440%26bih%3D732&amp;rurl=translate.google.fr&amp;sl=en&amp;u=http://en.wikipedia.org/wiki/Subsistence_agriculture&amp;usg=ALkJrhhdUjJH8PuTRxOGQjDhuzgn6tV2wA" TargetMode="External"/><Relationship Id="rId2594" Type="http://schemas.openxmlformats.org/officeDocument/2006/relationships/image" Target="media/image925.jpeg"/><Relationship Id="rId3340" Type="http://schemas.openxmlformats.org/officeDocument/2006/relationships/image" Target="media/image1208.jpeg"/><Relationship Id="rId3438" Type="http://schemas.openxmlformats.org/officeDocument/2006/relationships/image" Target="media/image1274.png"/><Relationship Id="rId3645" Type="http://schemas.openxmlformats.org/officeDocument/2006/relationships/image" Target="media/image1335.jpg"/><Relationship Id="rId3852" Type="http://schemas.openxmlformats.org/officeDocument/2006/relationships/hyperlink" Target="http://www.ncbi.nlm.nih.gov/pubmed?term=Visser%20RG%5bAuthor%5d&amp;cauthor=true&amp;cauthor_uid=23771136" TargetMode="External"/><Relationship Id="rId359" Type="http://schemas.openxmlformats.org/officeDocument/2006/relationships/image" Target="media/image172.jpeg"/><Relationship Id="rId566" Type="http://schemas.openxmlformats.org/officeDocument/2006/relationships/image" Target="media/image248.jpeg"/><Relationship Id="rId773" Type="http://schemas.openxmlformats.org/officeDocument/2006/relationships/hyperlink" Target="http://database.prota.org/PROTAhtml/Cassia%20sieberiana_Fr.htm" TargetMode="External"/><Relationship Id="rId1196" Type="http://schemas.openxmlformats.org/officeDocument/2006/relationships/image" Target="media/image581.jpeg"/><Relationship Id="rId2247" Type="http://schemas.openxmlformats.org/officeDocument/2006/relationships/hyperlink" Target="https://fr.wikipedia.org/wiki/Alo%C3%AFne" TargetMode="External"/><Relationship Id="rId2454" Type="http://schemas.openxmlformats.org/officeDocument/2006/relationships/hyperlink" Target="http://fr.wikipedia.org/wiki/Famille_(biologie)" TargetMode="External"/><Relationship Id="rId2899" Type="http://schemas.openxmlformats.org/officeDocument/2006/relationships/hyperlink" Target="http://translate.googleusercontent.com/translate_c?depth=1&amp;hl=fr&amp;prev=search&amp;rurl=translate.google.fr&amp;sl=en&amp;u=http://en.wikipedia.org/wiki/Chad&amp;usg=ALkJrhgK0aYu9EJq-1H_lnp_PWWM7cN3yw" TargetMode="External"/><Relationship Id="rId3200" Type="http://schemas.openxmlformats.org/officeDocument/2006/relationships/image" Target="media/image1114.jpeg"/><Relationship Id="rId3505" Type="http://schemas.openxmlformats.org/officeDocument/2006/relationships/image" Target="http://www.fao.org/docrep/006/ad232f/ad232f193.gif" TargetMode="External"/><Relationship Id="rId121" Type="http://schemas.openxmlformats.org/officeDocument/2006/relationships/hyperlink" Target="file:///C:\Users\LISAN\Documents\reforestation\Livre_planter_en_conditions_arides_et_salines\anthracnose" TargetMode="External"/><Relationship Id="rId219" Type="http://schemas.openxmlformats.org/officeDocument/2006/relationships/image" Target="media/image103.jpeg"/><Relationship Id="rId426" Type="http://schemas.openxmlformats.org/officeDocument/2006/relationships/image" Target="media/image178.jpeg"/><Relationship Id="rId633" Type="http://schemas.openxmlformats.org/officeDocument/2006/relationships/hyperlink" Target="https://fr.wikipedia.org/wiki/Famille_(biologie)" TargetMode="External"/><Relationship Id="rId980" Type="http://schemas.openxmlformats.org/officeDocument/2006/relationships/image" Target="media/image436.jpeg"/><Relationship Id="rId1056" Type="http://schemas.openxmlformats.org/officeDocument/2006/relationships/image" Target="media/image488.jpg"/><Relationship Id="rId1263" Type="http://schemas.openxmlformats.org/officeDocument/2006/relationships/image" Target="media/image643.jpeg"/><Relationship Id="rId2107" Type="http://schemas.openxmlformats.org/officeDocument/2006/relationships/hyperlink" Target="https://en.wikipedia.org/wiki/India" TargetMode="External"/><Relationship Id="rId2314" Type="http://schemas.openxmlformats.org/officeDocument/2006/relationships/hyperlink" Target="http://fr.wikipedia.org/wiki/Iran" TargetMode="External"/><Relationship Id="rId2661" Type="http://schemas.openxmlformats.org/officeDocument/2006/relationships/hyperlink" Target="https://fr.wikipedia.org/wiki/Genre_(biologie)" TargetMode="External"/><Relationship Id="rId2759" Type="http://schemas.openxmlformats.org/officeDocument/2006/relationships/hyperlink" Target="https://fr.wikipedia.org/wiki/Koudougou" TargetMode="External"/><Relationship Id="rId2966" Type="http://schemas.openxmlformats.org/officeDocument/2006/relationships/hyperlink" Target="https://fr.wikipedia.org/wiki/Famille_(biologie)" TargetMode="External"/><Relationship Id="rId3712" Type="http://schemas.openxmlformats.org/officeDocument/2006/relationships/hyperlink" Target="https://www.initiativesfleuves.org/actualites/rechauffement-climatique-colorado-bientot-a-sec/" TargetMode="External"/><Relationship Id="rId840" Type="http://schemas.openxmlformats.org/officeDocument/2006/relationships/hyperlink" Target="http://translate.googleusercontent.com/translate_c?depth=1&amp;hl=fr&amp;prev=/search?q=Salsola+vermiculata&amp;biw=1440&amp;bih=732&amp;rurl=translate.google.fr&amp;sl=es&amp;u=http://es.wikipedia.org/wiki/Perennifolio&amp;usg=ALkJrhjygZbQVD2uFikmawuAz_SYz0iqPQ" TargetMode="External"/><Relationship Id="rId938" Type="http://schemas.openxmlformats.org/officeDocument/2006/relationships/hyperlink" Target="https://fr.wikipedia.org/wiki/Inde" TargetMode="External"/><Relationship Id="rId1470" Type="http://schemas.openxmlformats.org/officeDocument/2006/relationships/image" Target="media/image659.jpeg"/><Relationship Id="rId1568" Type="http://schemas.openxmlformats.org/officeDocument/2006/relationships/image" Target="media/image687.jpeg"/><Relationship Id="rId1775" Type="http://schemas.openxmlformats.org/officeDocument/2006/relationships/hyperlink" Target="http://fr.wikipedia.org/wiki/Tournesol" TargetMode="External"/><Relationship Id="rId2521" Type="http://schemas.openxmlformats.org/officeDocument/2006/relationships/image" Target="media/image908.jpeg"/><Relationship Id="rId2619" Type="http://schemas.openxmlformats.org/officeDocument/2006/relationships/image" Target="media/image931.jpeg"/><Relationship Id="rId2826" Type="http://schemas.openxmlformats.org/officeDocument/2006/relationships/hyperlink" Target="http://translate.googleusercontent.com/translate_c?depth=1&amp;hl=fr&amp;prev=search&amp;rurl=translate.google.fr&amp;sl=en&amp;u=http://en.wikipedia.org/wiki/Enzyme_inhibitor&amp;usg=ALkJrhjk0fZCjEuNBf3JlTXkTQZJdVtqzQ" TargetMode="External"/><Relationship Id="rId4181" Type="http://schemas.openxmlformats.org/officeDocument/2006/relationships/hyperlink" Target="http://www.cabi.org/isc/datasheet/112577" TargetMode="External"/><Relationship Id="rId4279" Type="http://schemas.openxmlformats.org/officeDocument/2006/relationships/hyperlink" Target="http://www.cabi.org/isc/search/?q=Tamarix" TargetMode="External"/><Relationship Id="rId67" Type="http://schemas.openxmlformats.org/officeDocument/2006/relationships/image" Target="media/image30.jpeg"/><Relationship Id="rId700" Type="http://schemas.openxmlformats.org/officeDocument/2006/relationships/image" Target="media/image300.jpeg"/><Relationship Id="rId1123" Type="http://schemas.openxmlformats.org/officeDocument/2006/relationships/hyperlink" Target="https://fr.wikipedia.org/w/index.php?title=Sonneratia&amp;action=edit&amp;redlink=1" TargetMode="External"/><Relationship Id="rId1330" Type="http://schemas.openxmlformats.org/officeDocument/2006/relationships/hyperlink" Target="http://www.miracosta.edu/home/kmeldahl/articles/crops.pdf" TargetMode="External"/><Relationship Id="rId1428" Type="http://schemas.openxmlformats.org/officeDocument/2006/relationships/hyperlink" Target="http://www.ncbi.nlm.nih.gov/pubmed/18765761" TargetMode="External"/><Relationship Id="rId1635" Type="http://schemas.openxmlformats.org/officeDocument/2006/relationships/image" Target="media/image698.jpeg"/><Relationship Id="rId1982" Type="http://schemas.openxmlformats.org/officeDocument/2006/relationships/hyperlink" Target="https://fr.wikipedia.org/wiki/Nigeria" TargetMode="External"/><Relationship Id="rId3088" Type="http://schemas.openxmlformats.org/officeDocument/2006/relationships/image" Target="media/image1041.jpeg"/><Relationship Id="rId4041" Type="http://schemas.openxmlformats.org/officeDocument/2006/relationships/hyperlink" Target="https://en.wikipedia.org/wiki/Acacia_saligna" TargetMode="External"/><Relationship Id="rId4486" Type="http://schemas.openxmlformats.org/officeDocument/2006/relationships/image" Target="media/image1491.jpg"/><Relationship Id="rId1842" Type="http://schemas.openxmlformats.org/officeDocument/2006/relationships/image" Target="media/image764.jpeg"/><Relationship Id="rId3295" Type="http://schemas.openxmlformats.org/officeDocument/2006/relationships/image" Target="media/image1174.jpeg"/><Relationship Id="rId4139" Type="http://schemas.openxmlformats.org/officeDocument/2006/relationships/hyperlink" Target="http://translate.googleusercontent.com/translate_c?depth=1&amp;hl=fr&amp;prev=/search?q%3DProsopis%2Bchilensis&amp;rurl=translate.google.fr&amp;sl=es&amp;u=http://es.wikipedia.org/wiki/Madera&amp;usg=ALkJrhhnDtk6OF47TFDebrPU059g8AZLQg" TargetMode="External"/><Relationship Id="rId4346" Type="http://schemas.openxmlformats.org/officeDocument/2006/relationships/hyperlink" Target="https://fr.wikipedia.org/wiki/Massette_%C3%A0_feuilles_%C3%A9troites" TargetMode="External"/><Relationship Id="rId4553" Type="http://schemas.openxmlformats.org/officeDocument/2006/relationships/image" Target="media/image1501.jpeg"/><Relationship Id="rId1702" Type="http://schemas.openxmlformats.org/officeDocument/2006/relationships/hyperlink" Target="https://fr.wikipedia.org/wiki/Mer_Baltique" TargetMode="External"/><Relationship Id="rId3155" Type="http://schemas.openxmlformats.org/officeDocument/2006/relationships/hyperlink" Target="http://fr.wikipedia.org/wiki/Barrage" TargetMode="External"/><Relationship Id="rId3362" Type="http://schemas.openxmlformats.org/officeDocument/2006/relationships/image" Target="media/image1223.jpeg"/><Relationship Id="rId4206" Type="http://schemas.openxmlformats.org/officeDocument/2006/relationships/hyperlink" Target="http://www.cabi.org/isc/datasheet/112587" TargetMode="External"/><Relationship Id="rId4413" Type="http://schemas.openxmlformats.org/officeDocument/2006/relationships/hyperlink" Target="http://fr.wiktionary.org/wiki/organe" TargetMode="External"/><Relationship Id="rId283" Type="http://schemas.openxmlformats.org/officeDocument/2006/relationships/image" Target="media/image125.jpeg"/><Relationship Id="rId490" Type="http://schemas.openxmlformats.org/officeDocument/2006/relationships/image" Target="media/image210.jpg"/><Relationship Id="rId2171" Type="http://schemas.openxmlformats.org/officeDocument/2006/relationships/hyperlink" Target="https://fr.wikipedia.org/wiki/Graine" TargetMode="External"/><Relationship Id="rId3015" Type="http://schemas.openxmlformats.org/officeDocument/2006/relationships/hyperlink" Target="http://fr.wikipedia.org/wiki/Allemagne" TargetMode="External"/><Relationship Id="rId3222" Type="http://schemas.openxmlformats.org/officeDocument/2006/relationships/image" Target="media/image1135.png"/><Relationship Id="rId3667" Type="http://schemas.openxmlformats.org/officeDocument/2006/relationships/image" Target="media/image1352.jpeg"/><Relationship Id="rId3874" Type="http://schemas.openxmlformats.org/officeDocument/2006/relationships/hyperlink" Target="http://www.cbs.knaw.nl/Collections/BioloMICS.aspx?Table=CBS%20strain%20database&amp;Rec=11092&amp;Fields=All" TargetMode="External"/><Relationship Id="rId143" Type="http://schemas.openxmlformats.org/officeDocument/2006/relationships/image" Target="media/image51.jpeg"/><Relationship Id="rId350" Type="http://schemas.openxmlformats.org/officeDocument/2006/relationships/image" Target="media/image166.jpeg"/><Relationship Id="rId588" Type="http://schemas.openxmlformats.org/officeDocument/2006/relationships/hyperlink" Target="https://fr.wikipedia.org/wiki/Fixation_biologique_du_diazote" TargetMode="External"/><Relationship Id="rId795" Type="http://schemas.openxmlformats.org/officeDocument/2006/relationships/hyperlink" Target="http://davesgarden.com/guides/pf/go/93109/" TargetMode="External"/><Relationship Id="rId2031" Type="http://schemas.openxmlformats.org/officeDocument/2006/relationships/hyperlink" Target="https://fr.wikipedia.org/wiki/Vigna_unguiculata_subsp._cylindrica" TargetMode="External"/><Relationship Id="rId2269" Type="http://schemas.openxmlformats.org/officeDocument/2006/relationships/hyperlink" Target="http://fr.wikipedia.org/wiki/Fabac%C3%A9es" TargetMode="External"/><Relationship Id="rId2476" Type="http://schemas.openxmlformats.org/officeDocument/2006/relationships/hyperlink" Target="https://fr.wikipedia.org/wiki/Plante" TargetMode="External"/><Relationship Id="rId2683" Type="http://schemas.openxmlformats.org/officeDocument/2006/relationships/hyperlink" Target="https://en.wikipedia.org/wiki/Parasitism" TargetMode="External"/><Relationship Id="rId2890" Type="http://schemas.openxmlformats.org/officeDocument/2006/relationships/image" Target="media/image984.jpg"/><Relationship Id="rId3527" Type="http://schemas.openxmlformats.org/officeDocument/2006/relationships/hyperlink" Target="https://fr.wikipedia.org/wiki/Spearman" TargetMode="External"/><Relationship Id="rId3734" Type="http://schemas.openxmlformats.org/officeDocument/2006/relationships/hyperlink" Target="http://satoumix.free.fr/paf/spip.php?article21" TargetMode="External"/><Relationship Id="rId3941" Type="http://schemas.openxmlformats.org/officeDocument/2006/relationships/image" Target="media/image1358.jpeg"/><Relationship Id="rId9" Type="http://schemas.openxmlformats.org/officeDocument/2006/relationships/hyperlink" Target="http://home.kpn.nl/lilian_schreurs/oman/Woodlands.htm" TargetMode="External"/><Relationship Id="rId210" Type="http://schemas.openxmlformats.org/officeDocument/2006/relationships/hyperlink" Target="http://fr.wikipedia.org/wiki/Suaeda_maritima" TargetMode="External"/><Relationship Id="rId448" Type="http://schemas.openxmlformats.org/officeDocument/2006/relationships/hyperlink" Target="https://fr.wikipedia.org/wiki/Famille_(biologie)" TargetMode="External"/><Relationship Id="rId655" Type="http://schemas.openxmlformats.org/officeDocument/2006/relationships/hyperlink" Target="https://fr.wikipedia.org/wiki/Pterocarpus_angolensis" TargetMode="External"/><Relationship Id="rId862" Type="http://schemas.openxmlformats.org/officeDocument/2006/relationships/hyperlink" Target="http://fr.wikipedia.org/wiki/Soude_commune" TargetMode="External"/><Relationship Id="rId1078" Type="http://schemas.openxmlformats.org/officeDocument/2006/relationships/image" Target="media/image502.jpeg"/><Relationship Id="rId1285" Type="http://schemas.openxmlformats.org/officeDocument/2006/relationships/hyperlink" Target="http://fr.wikipedia.org/wiki/Pacifique" TargetMode="External"/><Relationship Id="rId1492" Type="http://schemas.openxmlformats.org/officeDocument/2006/relationships/hyperlink" Target="http://fr.wikipedia.org/wiki/Proche-Orient" TargetMode="External"/><Relationship Id="rId2129" Type="http://schemas.openxmlformats.org/officeDocument/2006/relationships/image" Target="media/image823.png"/><Relationship Id="rId2336" Type="http://schemas.openxmlformats.org/officeDocument/2006/relationships/hyperlink" Target="https://fr.wikipedia.org/wiki/Poaceae" TargetMode="External"/><Relationship Id="rId2543" Type="http://schemas.openxmlformats.org/officeDocument/2006/relationships/image" Target="media/image916.jpeg"/><Relationship Id="rId2750" Type="http://schemas.openxmlformats.org/officeDocument/2006/relationships/hyperlink" Target="https://fr.wikipedia.org/wiki/Californie" TargetMode="External"/><Relationship Id="rId2988" Type="http://schemas.openxmlformats.org/officeDocument/2006/relationships/hyperlink" Target="http://en.wikipedia.org/wiki/Andhra_Pradesh" TargetMode="External"/><Relationship Id="rId3801" Type="http://schemas.openxmlformats.org/officeDocument/2006/relationships/hyperlink" Target="http://ideas.repec.org/a/eee/agiwat/v78y2005i1-2p108-121.html" TargetMode="External"/><Relationship Id="rId308" Type="http://schemas.openxmlformats.org/officeDocument/2006/relationships/hyperlink" Target="http://californiaagriculture.ucanr.edu/landingpage.cfm?article=ca.v063n01p18&amp;fulltext=yes" TargetMode="External"/><Relationship Id="rId515" Type="http://schemas.openxmlformats.org/officeDocument/2006/relationships/hyperlink" Target="http://en.wikipedia.org/wiki/Almond" TargetMode="External"/><Relationship Id="rId722" Type="http://schemas.openxmlformats.org/officeDocument/2006/relationships/image" Target="media/image311.jpeg"/><Relationship Id="rId1145" Type="http://schemas.openxmlformats.org/officeDocument/2006/relationships/image" Target="media/image550.jpeg"/><Relationship Id="rId1352" Type="http://schemas.openxmlformats.org/officeDocument/2006/relationships/hyperlink" Target="http://www.kfu.edu.sa/sjournal/eng/pdffiles/BVOL4NO1_5.pdf" TargetMode="External"/><Relationship Id="rId1797" Type="http://schemas.openxmlformats.org/officeDocument/2006/relationships/hyperlink" Target="https://fr.wikipedia.org/wiki/Tige" TargetMode="External"/><Relationship Id="rId2403" Type="http://schemas.openxmlformats.org/officeDocument/2006/relationships/hyperlink" Target="http://translate.googleusercontent.com/translate_c?depth=1&amp;hl=fr&amp;prev=/search?q%3DDistichlis%2Bpalmeri%26biw%3D1440%26bih%3D732&amp;rurl=translate.google.fr&amp;sl=en&amp;u=http://en.wikipedia.org/wiki/Poaceae&amp;usg=ALkJrhh_2Bf4EpUPxv8loPv7GboyXR1c6A" TargetMode="External"/><Relationship Id="rId2848" Type="http://schemas.openxmlformats.org/officeDocument/2006/relationships/hyperlink" Target="http://www.wisegeek.com/what-is-commiphora.htm" TargetMode="External"/><Relationship Id="rId89" Type="http://schemas.openxmlformats.org/officeDocument/2006/relationships/hyperlink" Target="https://fr.wikipedia.org/wiki/Bolivie" TargetMode="External"/><Relationship Id="rId1005" Type="http://schemas.openxmlformats.org/officeDocument/2006/relationships/image" Target="media/image457.jpg"/><Relationship Id="rId1212" Type="http://schemas.openxmlformats.org/officeDocument/2006/relationships/image" Target="media/image593.jpeg"/><Relationship Id="rId1657" Type="http://schemas.openxmlformats.org/officeDocument/2006/relationships/image" Target="media/image710.jpeg"/><Relationship Id="rId1864" Type="http://schemas.openxmlformats.org/officeDocument/2006/relationships/image" Target="media/image779.jpeg"/><Relationship Id="rId2610" Type="http://schemas.openxmlformats.org/officeDocument/2006/relationships/hyperlink" Target="https://fr.wikipedia.org/wiki/Cuivre" TargetMode="External"/><Relationship Id="rId2708" Type="http://schemas.openxmlformats.org/officeDocument/2006/relationships/hyperlink" Target="https://fr.wikipedia.org/wiki/Mastocarpus_stellatus" TargetMode="External"/><Relationship Id="rId2915" Type="http://schemas.openxmlformats.org/officeDocument/2006/relationships/hyperlink" Target="http://translate.googleusercontent.com/translate_c?depth=1&amp;hl=fr&amp;prev=search&amp;rurl=translate.google.fr&amp;sl=en&amp;u=http://en.wikipedia.org/wiki/Zambia&amp;usg=ALkJrhiGmfwrs3905nb_7FDQyrTqFZ3elw" TargetMode="External"/><Relationship Id="rId4063" Type="http://schemas.openxmlformats.org/officeDocument/2006/relationships/hyperlink" Target="https://en.wikipedia.org/wiki/Legume" TargetMode="External"/><Relationship Id="rId4270" Type="http://schemas.openxmlformats.org/officeDocument/2006/relationships/hyperlink" Target="http://www.cabi.org/isc/datasheet/52503" TargetMode="External"/><Relationship Id="rId4368" Type="http://schemas.openxmlformats.org/officeDocument/2006/relationships/hyperlink" Target="http://fr.wikipedia.org/wiki/Euplecte_%C3%A0_longue_queue" TargetMode="External"/><Relationship Id="rId1517" Type="http://schemas.openxmlformats.org/officeDocument/2006/relationships/hyperlink" Target="https://fr.wikipedia.org/wiki/Sous-continent_indien" TargetMode="External"/><Relationship Id="rId1724" Type="http://schemas.openxmlformats.org/officeDocument/2006/relationships/image" Target="media/image729.jpg"/><Relationship Id="rId3177" Type="http://schemas.openxmlformats.org/officeDocument/2006/relationships/image" Target="media/image1096.jpeg"/><Relationship Id="rId4130" Type="http://schemas.openxmlformats.org/officeDocument/2006/relationships/hyperlink" Target="http://fr.wikipedia.org/wiki/Djibouti" TargetMode="External"/><Relationship Id="rId4228" Type="http://schemas.openxmlformats.org/officeDocument/2006/relationships/hyperlink" Target="http://www.cabi.org/isc/datasheet/112594" TargetMode="External"/><Relationship Id="rId16" Type="http://schemas.openxmlformats.org/officeDocument/2006/relationships/hyperlink" Target="http://doc-developpement-durable.org/file" TargetMode="External"/><Relationship Id="rId1931" Type="http://schemas.openxmlformats.org/officeDocument/2006/relationships/hyperlink" Target="https://en.wikipedia.org/wiki/Lens_(geometry)" TargetMode="External"/><Relationship Id="rId3037" Type="http://schemas.openxmlformats.org/officeDocument/2006/relationships/hyperlink" Target="http://en.wikipedia.org/wiki/Desertification" TargetMode="External"/><Relationship Id="rId3384" Type="http://schemas.openxmlformats.org/officeDocument/2006/relationships/image" Target="media/image1244.jpeg"/><Relationship Id="rId3591" Type="http://schemas.openxmlformats.org/officeDocument/2006/relationships/hyperlink" Target="https://fr.wikipedia.org/wiki/Barrage_vert" TargetMode="External"/><Relationship Id="rId3689" Type="http://schemas.openxmlformats.org/officeDocument/2006/relationships/hyperlink" Target="https://wacomp.projects.ecowas.int/wp-content/uploads/2020/03/EW-EIP_FR.pdf" TargetMode="External"/><Relationship Id="rId3896" Type="http://schemas.openxmlformats.org/officeDocument/2006/relationships/hyperlink" Target="https://www.ird.fr/la-mediatheque/fiches-d-actualite-scientifique/370-les-reseaux-d-eau-anciens-ressuscitent-en-mediterranee" TargetMode="External"/><Relationship Id="rId4435" Type="http://schemas.openxmlformats.org/officeDocument/2006/relationships/hyperlink" Target="http://fr.wiktionary.org/wiki/eau" TargetMode="External"/><Relationship Id="rId2193" Type="http://schemas.openxmlformats.org/officeDocument/2006/relationships/hyperlink" Target="https://en.wikipedia.org/wiki/Selective_breeding" TargetMode="External"/><Relationship Id="rId2498" Type="http://schemas.openxmlformats.org/officeDocument/2006/relationships/hyperlink" Target="https://fr.wikipedia.org/wiki/%C3%8Eles_Canaries" TargetMode="External"/><Relationship Id="rId3244" Type="http://schemas.openxmlformats.org/officeDocument/2006/relationships/image" Target="media/image1150.jpeg"/><Relationship Id="rId3451" Type="http://schemas.openxmlformats.org/officeDocument/2006/relationships/image" Target="media/image1287.jpeg"/><Relationship Id="rId3549" Type="http://schemas.openxmlformats.org/officeDocument/2006/relationships/hyperlink" Target="https://fr.wikipedia.org/wiki/Vent" TargetMode="External"/><Relationship Id="rId4502" Type="http://schemas.openxmlformats.org/officeDocument/2006/relationships/hyperlink" Target="http://www.morbihan.fr/userfile/file/a_votre_service/envir/plantes-invas_3mo.pdf" TargetMode="External"/><Relationship Id="rId165" Type="http://schemas.openxmlformats.org/officeDocument/2006/relationships/image" Target="media/image72.jpg"/><Relationship Id="rId372" Type="http://schemas.openxmlformats.org/officeDocument/2006/relationships/hyperlink" Target="https://fr.wikipedia.org/wiki/Vigne_des_rivages" TargetMode="External"/><Relationship Id="rId677" Type="http://schemas.openxmlformats.org/officeDocument/2006/relationships/hyperlink" Target="http://fr.wikipedia.org/wiki/Albizia_lebbeck" TargetMode="External"/><Relationship Id="rId2053" Type="http://schemas.openxmlformats.org/officeDocument/2006/relationships/image" Target="media/image801.jpeg"/><Relationship Id="rId2260" Type="http://schemas.openxmlformats.org/officeDocument/2006/relationships/image" Target="media/image853.jpeg"/><Relationship Id="rId2358" Type="http://schemas.openxmlformats.org/officeDocument/2006/relationships/hyperlink" Target="http://fr.wikipedia.org/w/index.php?title=Chrysopogon_nigritanus&amp;action=edit&amp;redlink=1" TargetMode="External"/><Relationship Id="rId3104" Type="http://schemas.openxmlformats.org/officeDocument/2006/relationships/image" Target="media/image1056.jpeg"/><Relationship Id="rId3311" Type="http://schemas.openxmlformats.org/officeDocument/2006/relationships/image" Target="media/image1184.jpg"/><Relationship Id="rId3756" Type="http://schemas.openxmlformats.org/officeDocument/2006/relationships/hyperlink" Target="http://www.miracosta.edu/home/kmeldahl/articles/crops.pdf" TargetMode="External"/><Relationship Id="rId3963" Type="http://schemas.openxmlformats.org/officeDocument/2006/relationships/image" Target="media/image1368.jpeg"/><Relationship Id="rId232" Type="http://schemas.openxmlformats.org/officeDocument/2006/relationships/image" Target="media/image110.jpg"/><Relationship Id="rId884" Type="http://schemas.openxmlformats.org/officeDocument/2006/relationships/hyperlink" Target="https://en.wikipedia.org/wiki/Sporobolus_spicatus" TargetMode="External"/><Relationship Id="rId2120" Type="http://schemas.openxmlformats.org/officeDocument/2006/relationships/image" Target="media/image817.jpeg"/><Relationship Id="rId2565" Type="http://schemas.openxmlformats.org/officeDocument/2006/relationships/image" Target="media/image922.jpeg"/><Relationship Id="rId2772" Type="http://schemas.openxmlformats.org/officeDocument/2006/relationships/hyperlink" Target="https://fr.wikipedia.org/wiki/Ur%C3%A9e" TargetMode="External"/><Relationship Id="rId3409" Type="http://schemas.openxmlformats.org/officeDocument/2006/relationships/hyperlink" Target="http://www.fao.org/docrep/t9500F/t9500f07.htm" TargetMode="External"/><Relationship Id="rId3616" Type="http://schemas.openxmlformats.org/officeDocument/2006/relationships/hyperlink" Target="https://fr.wikipedia.org/wiki/Temp%C3%AAte_de_sable" TargetMode="External"/><Relationship Id="rId3823" Type="http://schemas.openxmlformats.org/officeDocument/2006/relationships/hyperlink" Target="http://ideas.repec.org/a/eee/agiwat/v123y2013icp1-11.html" TargetMode="External"/><Relationship Id="rId537" Type="http://schemas.openxmlformats.org/officeDocument/2006/relationships/hyperlink" Target="https://fr.wikipedia.org/wiki/Famille_(biologie)" TargetMode="External"/><Relationship Id="rId744" Type="http://schemas.openxmlformats.org/officeDocument/2006/relationships/hyperlink" Target="http://plants.jstor.org/upwta/3_271" TargetMode="External"/><Relationship Id="rId951" Type="http://schemas.openxmlformats.org/officeDocument/2006/relationships/hyperlink" Target="https://fr.wikipedia.org/wiki/%C3%89mondage" TargetMode="External"/><Relationship Id="rId1167" Type="http://schemas.openxmlformats.org/officeDocument/2006/relationships/hyperlink" Target="https://en.wikipedia.org/w/index.php?title=Poecilus_fallax&amp;action=edit&amp;redlink=1" TargetMode="External"/><Relationship Id="rId1374" Type="http://schemas.openxmlformats.org/officeDocument/2006/relationships/hyperlink" Target="http://www.biomassmagazine.com/article.jsp?article_id=1864" TargetMode="External"/><Relationship Id="rId1581" Type="http://schemas.openxmlformats.org/officeDocument/2006/relationships/hyperlink" Target="http://fr.wikipedia.org/wiki/Tib%C3%A9tains" TargetMode="External"/><Relationship Id="rId1679" Type="http://schemas.openxmlformats.org/officeDocument/2006/relationships/hyperlink" Target="http://www.agr.gc.ca/fra/science-et-innovation/centres-de-recherche/saskatchewan/centre-de-recherches-de-saskatoon/personnel-et-expertise-scientifiques/dumonceaux-tim-phd/?id=1257433480717" TargetMode="External"/><Relationship Id="rId2218" Type="http://schemas.openxmlformats.org/officeDocument/2006/relationships/hyperlink" Target="https://en.wikipedia.org/wiki/Puno" TargetMode="External"/><Relationship Id="rId2425" Type="http://schemas.openxmlformats.org/officeDocument/2006/relationships/hyperlink" Target="http://translate.googleusercontent.com/translate_c?depth=1&amp;hl=fr&amp;prev=/search?q%3DPanicum%2Bvirgatum%2BWikip%C3%A9dia%26biw%3D1440%26bih%3D732&amp;rurl=translate.google.fr&amp;sl=en&amp;u=http://en.wikipedia.org/wiki/Photosensitivity&amp;usg=ALkJrhjNt_Nm1-Oj-vfedXby14D4vcnmNg" TargetMode="External"/><Relationship Id="rId2632" Type="http://schemas.openxmlformats.org/officeDocument/2006/relationships/hyperlink" Target="https://en.wikipedia.org/wiki/Parasitism" TargetMode="External"/><Relationship Id="rId4085" Type="http://schemas.openxmlformats.org/officeDocument/2006/relationships/hyperlink" Target="http://fr.wikipedia.org/wiki/Espace_Cara%C3%AFbe" TargetMode="External"/><Relationship Id="rId4292" Type="http://schemas.openxmlformats.org/officeDocument/2006/relationships/image" Target="media/image1439.jpeg"/><Relationship Id="rId80" Type="http://schemas.openxmlformats.org/officeDocument/2006/relationships/hyperlink" Target="https://fr.wikipedia.org/wiki/%C3%89meute" TargetMode="External"/><Relationship Id="rId604" Type="http://schemas.openxmlformats.org/officeDocument/2006/relationships/hyperlink" Target="https://uses.plantnet-project.org/fr/Detarium_senegalense_(PROTA)" TargetMode="External"/><Relationship Id="rId811" Type="http://schemas.openxmlformats.org/officeDocument/2006/relationships/image" Target="media/image361.jpeg"/><Relationship Id="rId1027" Type="http://schemas.openxmlformats.org/officeDocument/2006/relationships/hyperlink" Target="https://fr.wikipedia.org/wiki/Coccoloba" TargetMode="External"/><Relationship Id="rId1234" Type="http://schemas.openxmlformats.org/officeDocument/2006/relationships/image" Target="media/image614.jpeg"/><Relationship Id="rId1441" Type="http://schemas.openxmlformats.org/officeDocument/2006/relationships/image" Target="media/image650.jpeg"/><Relationship Id="rId1886" Type="http://schemas.openxmlformats.org/officeDocument/2006/relationships/hyperlink" Target="https://fr.wikipedia.org/wiki/Feuille" TargetMode="External"/><Relationship Id="rId2937" Type="http://schemas.openxmlformats.org/officeDocument/2006/relationships/image" Target="media/image986.jpg"/><Relationship Id="rId4152" Type="http://schemas.openxmlformats.org/officeDocument/2006/relationships/hyperlink" Target="http://translate.googleusercontent.com/translate_c?depth=1&amp;hl=fr&amp;prev=/search?q%3DProsopis%2Bpallida%26biw%3D1440%26bih%3D732&amp;rurl=translate.google.fr&amp;sl=en&amp;u=http://en.wikipedia.org/wiki/Livestock&amp;usg=ALkJrhhdO2aQ7gR0wsvbB2Czsy98UV83eQ" TargetMode="External"/><Relationship Id="rId909" Type="http://schemas.openxmlformats.org/officeDocument/2006/relationships/image" Target="media/image402.jpeg"/><Relationship Id="rId1301" Type="http://schemas.openxmlformats.org/officeDocument/2006/relationships/image" Target="media/image644.jpeg"/><Relationship Id="rId1539" Type="http://schemas.openxmlformats.org/officeDocument/2006/relationships/hyperlink" Target="https://fr.wikipedia.org/wiki/Pommes_de_terre" TargetMode="External"/><Relationship Id="rId1746" Type="http://schemas.openxmlformats.org/officeDocument/2006/relationships/hyperlink" Target="http://fr.wikipedia.org/wiki/Plante" TargetMode="External"/><Relationship Id="rId1953" Type="http://schemas.openxmlformats.org/officeDocument/2006/relationships/hyperlink" Target="https://en.wikipedia.org/wiki/Sulfur" TargetMode="External"/><Relationship Id="rId3199" Type="http://schemas.openxmlformats.org/officeDocument/2006/relationships/image" Target="media/image1113.jpeg"/><Relationship Id="rId4457" Type="http://schemas.openxmlformats.org/officeDocument/2006/relationships/hyperlink" Target="https://en.wikipedia.org/wiki/Seawater_greenhouse" TargetMode="External"/><Relationship Id="rId38" Type="http://schemas.openxmlformats.org/officeDocument/2006/relationships/hyperlink" Target="https://fr.wikipedia.org/wiki/Alpes" TargetMode="External"/><Relationship Id="rId1606" Type="http://schemas.openxmlformats.org/officeDocument/2006/relationships/image" Target="media/image689.jpeg"/><Relationship Id="rId1813" Type="http://schemas.openxmlformats.org/officeDocument/2006/relationships/hyperlink" Target="https://fr.wikipedia.org/wiki/Digitaria_exilis" TargetMode="External"/><Relationship Id="rId3059" Type="http://schemas.openxmlformats.org/officeDocument/2006/relationships/image" Target="media/image1014.jpeg"/><Relationship Id="rId3266" Type="http://schemas.openxmlformats.org/officeDocument/2006/relationships/hyperlink" Target="https://fr.wikipedia.org/wiki/Bief" TargetMode="External"/><Relationship Id="rId3473" Type="http://schemas.openxmlformats.org/officeDocument/2006/relationships/hyperlink" Target="http://fr.wikipedia.org/wiki/Biog%C3%A9ographie" TargetMode="External"/><Relationship Id="rId4012" Type="http://schemas.openxmlformats.org/officeDocument/2006/relationships/hyperlink" Target="http://horizon.documentation.ird.fr/exl-doc/pleins_textes/pleins_textes_7/divers2/010016071.pdf" TargetMode="External"/><Relationship Id="rId4317" Type="http://schemas.openxmlformats.org/officeDocument/2006/relationships/image" Target="media/image1447.jpeg"/><Relationship Id="rId4524" Type="http://schemas.openxmlformats.org/officeDocument/2006/relationships/hyperlink" Target="https://fr.wikipedia.org/wiki/%C3%89daphique" TargetMode="External"/><Relationship Id="rId187" Type="http://schemas.openxmlformats.org/officeDocument/2006/relationships/hyperlink" Target="http://en.wikipedia.org/wiki/Malesia" TargetMode="External"/><Relationship Id="rId394" Type="http://schemas.openxmlformats.org/officeDocument/2006/relationships/hyperlink" Target="https://fr.wikipedia.org/wiki/Lambrusque" TargetMode="External"/><Relationship Id="rId2075" Type="http://schemas.openxmlformats.org/officeDocument/2006/relationships/hyperlink" Target="https://en.wikipedia.org/wiki/Soil_fertility" TargetMode="External"/><Relationship Id="rId2282" Type="http://schemas.openxmlformats.org/officeDocument/2006/relationships/hyperlink" Target="http://wiki.bugwood.org/Melilotus_officinalis" TargetMode="External"/><Relationship Id="rId3126" Type="http://schemas.openxmlformats.org/officeDocument/2006/relationships/hyperlink" Target="http://translate.googleusercontent.com/translate_c?depth=1&amp;hl=fr&amp;prev=/search?q%3Dindian%2Bjohad%26sa%3DX%26hl%3Dfr%26biw%3D1440%26bih%3D732%26site%3Dimghp&amp;rurl=translate.google.fr&amp;sl=en&amp;u=http://en.wikipedia.org/wiki/Check_dam&amp;usg=ALkJrhju0v3oaST0MDfXTfZzBkOZLP49sw" TargetMode="External"/><Relationship Id="rId3680" Type="http://schemas.openxmlformats.org/officeDocument/2006/relationships/hyperlink" Target="https://fr.wiktionary.org/wiki/domanialit%C3%A9" TargetMode="External"/><Relationship Id="rId3778" Type="http://schemas.openxmlformats.org/officeDocument/2006/relationships/hyperlink" Target="http://en.wikipedia.org/wiki/IATA" TargetMode="External"/><Relationship Id="rId3985" Type="http://schemas.openxmlformats.org/officeDocument/2006/relationships/image" Target="media/image1377.jpeg"/><Relationship Id="rId254" Type="http://schemas.openxmlformats.org/officeDocument/2006/relationships/hyperlink" Target="http://en.wikipedia.org/wiki/Jujube" TargetMode="External"/><Relationship Id="rId699" Type="http://schemas.openxmlformats.org/officeDocument/2006/relationships/image" Target="media/image299.jpeg"/><Relationship Id="rId1091" Type="http://schemas.openxmlformats.org/officeDocument/2006/relationships/image" Target="media/image515.jpg"/><Relationship Id="rId2587" Type="http://schemas.openxmlformats.org/officeDocument/2006/relationships/hyperlink" Target="https://fr.wikipedia.org/wiki/Japon" TargetMode="External"/><Relationship Id="rId2794" Type="http://schemas.openxmlformats.org/officeDocument/2006/relationships/image" Target="media/image961.jpeg"/><Relationship Id="rId3333" Type="http://schemas.openxmlformats.org/officeDocument/2006/relationships/image" Target="media/image1203.jpg"/><Relationship Id="rId3540" Type="http://schemas.openxmlformats.org/officeDocument/2006/relationships/hyperlink" Target="https://en.wikipedia.org/wiki/Climate_change_adaptation" TargetMode="External"/><Relationship Id="rId3638" Type="http://schemas.openxmlformats.org/officeDocument/2006/relationships/image" Target="media/image1328.jpg"/><Relationship Id="rId3845" Type="http://schemas.openxmlformats.org/officeDocument/2006/relationships/hyperlink" Target="http://www.ncbi.nlm.nih.gov/pubmed?term=Long%20NV%5bAuthor%5d&amp;cauthor=true&amp;cauthor_uid=23771136" TargetMode="External"/><Relationship Id="rId114" Type="http://schemas.openxmlformats.org/officeDocument/2006/relationships/hyperlink" Target="https://en.wikipedia.org/wiki/Native_plant" TargetMode="External"/><Relationship Id="rId461" Type="http://schemas.openxmlformats.org/officeDocument/2006/relationships/hyperlink" Target="http://fr.wikipedia.org/wiki/Yucca_brevifolia" TargetMode="External"/><Relationship Id="rId559" Type="http://schemas.openxmlformats.org/officeDocument/2006/relationships/hyperlink" Target="https://fr.wikipedia.org/wiki/Apocynaceae" TargetMode="External"/><Relationship Id="rId766" Type="http://schemas.openxmlformats.org/officeDocument/2006/relationships/image" Target="media/image334.jpeg"/><Relationship Id="rId1189" Type="http://schemas.openxmlformats.org/officeDocument/2006/relationships/image" Target="media/image577.jpeg"/><Relationship Id="rId1396" Type="http://schemas.openxmlformats.org/officeDocument/2006/relationships/hyperlink" Target="http://en.wikipedia.org/wiki/Cooking_oil" TargetMode="External"/><Relationship Id="rId2142" Type="http://schemas.openxmlformats.org/officeDocument/2006/relationships/hyperlink" Target="https://en.wikipedia.org/wiki/Lathyrus_sativus" TargetMode="External"/><Relationship Id="rId2447" Type="http://schemas.openxmlformats.org/officeDocument/2006/relationships/hyperlink" Target="http://www.bluestem.ca/panicum-dewey-blue.htm" TargetMode="External"/><Relationship Id="rId3400" Type="http://schemas.openxmlformats.org/officeDocument/2006/relationships/image" Target="media/image1254.jpeg"/><Relationship Id="rId321" Type="http://schemas.openxmlformats.org/officeDocument/2006/relationships/hyperlink" Target="http://www.saudiaramcoworld.com/issue/201306/in.search.of.the.mother.tree.htm" TargetMode="External"/><Relationship Id="rId419" Type="http://schemas.openxmlformats.org/officeDocument/2006/relationships/hyperlink" Target="https://en.wikipedia.org/wiki/Vitis_vinifera" TargetMode="External"/><Relationship Id="rId626" Type="http://schemas.openxmlformats.org/officeDocument/2006/relationships/hyperlink" Target="https://fr.wikipedia.org/wiki/Famille_(biologie)" TargetMode="External"/><Relationship Id="rId973" Type="http://schemas.openxmlformats.org/officeDocument/2006/relationships/hyperlink" Target="https://fr.wikipedia.org/wiki/Moringa_drouhardii" TargetMode="External"/><Relationship Id="rId1049" Type="http://schemas.openxmlformats.org/officeDocument/2006/relationships/image" Target="media/image482.jpeg"/><Relationship Id="rId1256" Type="http://schemas.openxmlformats.org/officeDocument/2006/relationships/image" Target="media/image636.jpg"/><Relationship Id="rId2002" Type="http://schemas.openxmlformats.org/officeDocument/2006/relationships/hyperlink" Target="https://en.wikipedia.org/wiki/Callosobruchus_maculatus" TargetMode="External"/><Relationship Id="rId2307" Type="http://schemas.openxmlformats.org/officeDocument/2006/relationships/hyperlink" Target="http://fr.wikipedia.org/wiki/Plante_herbac%C3%A9e" TargetMode="External"/><Relationship Id="rId2654" Type="http://schemas.openxmlformats.org/officeDocument/2006/relationships/hyperlink" Target="https://fr.wikipedia.org/wiki/Zanzibar_(archipel)" TargetMode="External"/><Relationship Id="rId2861" Type="http://schemas.openxmlformats.org/officeDocument/2006/relationships/hyperlink" Target="https://fr.wikipedia.org/wiki/Famille_(biologie)" TargetMode="External"/><Relationship Id="rId2959" Type="http://schemas.openxmlformats.org/officeDocument/2006/relationships/hyperlink" Target="http://fr.wikipedia.org/wiki/Boswellia_sacra" TargetMode="External"/><Relationship Id="rId3705" Type="http://schemas.openxmlformats.org/officeDocument/2006/relationships/hyperlink" Target="http://www.doc-developpement-durable.org/file/Culture/Arbres-Bois-de-Rapport-Reforestation/mangrove/etat_des_lieux_des_mangroves_madagascar_2020-01-29.pdf" TargetMode="External"/><Relationship Id="rId3912" Type="http://schemas.openxmlformats.org/officeDocument/2006/relationships/hyperlink" Target="http://www.kkl.org.il/eng/files/forests/tma/TAMA22_eng.pdf" TargetMode="External"/><Relationship Id="rId833" Type="http://schemas.openxmlformats.org/officeDocument/2006/relationships/image" Target="media/image377.jpeg"/><Relationship Id="rId1116" Type="http://schemas.openxmlformats.org/officeDocument/2006/relationships/hyperlink" Target="http://www.formad-environnement.org/paletuviers_29dec11.pdf" TargetMode="External"/><Relationship Id="rId1463" Type="http://schemas.openxmlformats.org/officeDocument/2006/relationships/hyperlink" Target="http://fr.wikipedia.org/w/index.php?title=Asparagus_tenuifolius&amp;action=edit&amp;redlink=1" TargetMode="External"/><Relationship Id="rId1670" Type="http://schemas.openxmlformats.org/officeDocument/2006/relationships/hyperlink" Target="http://translate.googleusercontent.com/translate_c?depth=1&amp;hl=fr&amp;prev=/search?q%3DBrassica%2Bcarinata%26biw%3D1440%26bih%3D775&amp;rurl=translate.google.fr&amp;sl=en&amp;u=http://en.wikipedia.org/wiki/Erucic_acid&amp;usg=ALkJrhhDgtuimiUKmzqIZ7E7PKvjyZ3KGg" TargetMode="External"/><Relationship Id="rId1768" Type="http://schemas.openxmlformats.org/officeDocument/2006/relationships/hyperlink" Target="http://fr.wikipedia.org/wiki/Prot%C3%A9ine" TargetMode="External"/><Relationship Id="rId2514" Type="http://schemas.openxmlformats.org/officeDocument/2006/relationships/hyperlink" Target="https://fr.wikipedia.org/wiki/R%C3%A9gion_de_Murcie" TargetMode="External"/><Relationship Id="rId2721" Type="http://schemas.openxmlformats.org/officeDocument/2006/relationships/image" Target="media/image948.jpeg"/><Relationship Id="rId2819" Type="http://schemas.openxmlformats.org/officeDocument/2006/relationships/hyperlink" Target="http://fr.wikipedia.org/wiki/Tartre_dentaire" TargetMode="External"/><Relationship Id="rId4174" Type="http://schemas.openxmlformats.org/officeDocument/2006/relationships/hyperlink" Target="http://www.cabi.org/isc/datasheet/112575" TargetMode="External"/><Relationship Id="rId4381" Type="http://schemas.openxmlformats.org/officeDocument/2006/relationships/image" Target="media/image1465.jpeg"/><Relationship Id="rId900" Type="http://schemas.openxmlformats.org/officeDocument/2006/relationships/hyperlink" Target="http://en.wikipedia.org/wiki/Haloxylon_persicum" TargetMode="External"/><Relationship Id="rId1323" Type="http://schemas.openxmlformats.org/officeDocument/2006/relationships/hyperlink" Target="http://www.miracosta.edu/home/kmeldahl/articles/crops.pdf" TargetMode="External"/><Relationship Id="rId1530" Type="http://schemas.openxmlformats.org/officeDocument/2006/relationships/hyperlink" Target="https://fr.wikipedia.org/wiki/Spathe" TargetMode="External"/><Relationship Id="rId1628" Type="http://schemas.openxmlformats.org/officeDocument/2006/relationships/hyperlink" Target="http://www.ncbi.nlm.nih.gov/pubmed?term=Sengupta%20S%5bAuthor%5d&amp;cauthor=true&amp;cauthor_uid=19843254" TargetMode="External"/><Relationship Id="rId1975" Type="http://schemas.openxmlformats.org/officeDocument/2006/relationships/hyperlink" Target="https://fr.wikipedia.org/wiki/Genre_(biologie)" TargetMode="External"/><Relationship Id="rId3190" Type="http://schemas.openxmlformats.org/officeDocument/2006/relationships/image" Target="media/image1106.jpeg"/><Relationship Id="rId4034" Type="http://schemas.openxmlformats.org/officeDocument/2006/relationships/hyperlink" Target="https://fr.wikipedia.org/wiki/Phyllode_(botanique)" TargetMode="External"/><Relationship Id="rId4241" Type="http://schemas.openxmlformats.org/officeDocument/2006/relationships/hyperlink" Target="http://www.cabi.org/isc/datasheet/112591" TargetMode="External"/><Relationship Id="rId4479" Type="http://schemas.openxmlformats.org/officeDocument/2006/relationships/image" Target="media/image1485.jpeg"/><Relationship Id="rId1835" Type="http://schemas.openxmlformats.org/officeDocument/2006/relationships/image" Target="media/image759.jpeg"/><Relationship Id="rId3050" Type="http://schemas.openxmlformats.org/officeDocument/2006/relationships/hyperlink" Target="http://en.wikipedia.org/wiki/Pistachio" TargetMode="External"/><Relationship Id="rId3288" Type="http://schemas.openxmlformats.org/officeDocument/2006/relationships/hyperlink" Target="https://www.mon-irrigation.com/blog/16/Lexique-irrigation-professionnelle.html" TargetMode="External"/><Relationship Id="rId3495" Type="http://schemas.openxmlformats.org/officeDocument/2006/relationships/hyperlink" Target="https://fr.wikipedia.org/wiki/Conservation_ex_situ" TargetMode="External"/><Relationship Id="rId4101" Type="http://schemas.openxmlformats.org/officeDocument/2006/relationships/hyperlink" Target="http://translate.googleusercontent.com/translate_c?depth=1&amp;hl=fr&amp;prev=/search?q%3Dprosopis%2Bjuliflora%26rlz%3D1C1GGGE_frFR479FR479%26es_sm%3D93&amp;rurl=translate.google.fr&amp;sl=en&amp;u=http://en.wikipedia.org/wiki/Nectar_source&amp;usg=ALkJrhhhck80RpjmkPW0NXfui_VaKef1Fw" TargetMode="External"/><Relationship Id="rId4339" Type="http://schemas.openxmlformats.org/officeDocument/2006/relationships/hyperlink" Target="https://fr.wikipedia.org/wiki/Typha" TargetMode="External"/><Relationship Id="rId4546" Type="http://schemas.openxmlformats.org/officeDocument/2006/relationships/hyperlink" Target="http://in.bgu.ac.il/en/bidr/Pages/default.aspx" TargetMode="External"/><Relationship Id="rId1902" Type="http://schemas.openxmlformats.org/officeDocument/2006/relationships/hyperlink" Target="https://fr.wikipedia.org/wiki/Maotai" TargetMode="External"/><Relationship Id="rId2097" Type="http://schemas.openxmlformats.org/officeDocument/2006/relationships/hyperlink" Target="https://en.wikipedia.org/wiki/M%C3%A9decins_Sans_Fronti%C3%A8res" TargetMode="External"/><Relationship Id="rId3148" Type="http://schemas.openxmlformats.org/officeDocument/2006/relationships/hyperlink" Target="https://fr.wikipedia.org/wiki/Saison" TargetMode="External"/><Relationship Id="rId3355" Type="http://schemas.openxmlformats.org/officeDocument/2006/relationships/image" Target="media/image1217.jpeg"/><Relationship Id="rId3562" Type="http://schemas.openxmlformats.org/officeDocument/2006/relationships/hyperlink" Target="https://fr.wikipedia.org/wiki/Jardin_circulaire" TargetMode="External"/><Relationship Id="rId4406" Type="http://schemas.openxmlformats.org/officeDocument/2006/relationships/hyperlink" Target="http://fr.wiktionary.org/wiki/graine" TargetMode="External"/><Relationship Id="rId276" Type="http://schemas.openxmlformats.org/officeDocument/2006/relationships/image" Target="media/image121.jpeg"/><Relationship Id="rId483" Type="http://schemas.openxmlformats.org/officeDocument/2006/relationships/image" Target="media/image207.jpg"/><Relationship Id="rId690" Type="http://schemas.openxmlformats.org/officeDocument/2006/relationships/image" Target="media/image294.jpeg"/><Relationship Id="rId2164" Type="http://schemas.openxmlformats.org/officeDocument/2006/relationships/hyperlink" Target="https://fr.wikipedia.org/wiki/Forme_foliaire" TargetMode="External"/><Relationship Id="rId2371" Type="http://schemas.openxmlformats.org/officeDocument/2006/relationships/image" Target="media/image882.jpeg"/><Relationship Id="rId3008" Type="http://schemas.openxmlformats.org/officeDocument/2006/relationships/hyperlink" Target="http://fr.wikipedia.org/wiki/Ann%C3%A9es_1970" TargetMode="External"/><Relationship Id="rId3215" Type="http://schemas.openxmlformats.org/officeDocument/2006/relationships/image" Target="media/image1128.png"/><Relationship Id="rId3422" Type="http://schemas.openxmlformats.org/officeDocument/2006/relationships/image" Target="media/image1259.emf"/><Relationship Id="rId3867" Type="http://schemas.openxmlformats.org/officeDocument/2006/relationships/hyperlink" Target="http://www.mangrovesgy.org/home/images/stories/Documents/MSc%20Dissertation_FINAL_Nov2010.pdf" TargetMode="External"/><Relationship Id="rId136" Type="http://schemas.openxmlformats.org/officeDocument/2006/relationships/image" Target="media/image44.gif"/><Relationship Id="rId343" Type="http://schemas.openxmlformats.org/officeDocument/2006/relationships/image" Target="media/image162.jpeg"/><Relationship Id="rId550" Type="http://schemas.openxmlformats.org/officeDocument/2006/relationships/hyperlink" Target="http://fr.wikipedia.org/wiki/Balanites_aegyptiaca" TargetMode="External"/><Relationship Id="rId788" Type="http://schemas.openxmlformats.org/officeDocument/2006/relationships/image" Target="media/image348.jpeg"/><Relationship Id="rId995" Type="http://schemas.openxmlformats.org/officeDocument/2006/relationships/image" Target="media/image449.jpeg"/><Relationship Id="rId1180" Type="http://schemas.openxmlformats.org/officeDocument/2006/relationships/image" Target="media/image570.jpeg"/><Relationship Id="rId2024" Type="http://schemas.openxmlformats.org/officeDocument/2006/relationships/hyperlink" Target="https://fr.wikipedia.org/wiki/Millet_(gramin%C3%A9e)" TargetMode="External"/><Relationship Id="rId2231" Type="http://schemas.openxmlformats.org/officeDocument/2006/relationships/image" Target="media/image850.jpeg"/><Relationship Id="rId2469" Type="http://schemas.openxmlformats.org/officeDocument/2006/relationships/hyperlink" Target="http://www.feedipedia.org/node/502" TargetMode="External"/><Relationship Id="rId2676" Type="http://schemas.openxmlformats.org/officeDocument/2006/relationships/hyperlink" Target="https://en.wikipedia.org/wiki/Arctic_Ocean" TargetMode="External"/><Relationship Id="rId2883" Type="http://schemas.openxmlformats.org/officeDocument/2006/relationships/hyperlink" Target="http://translate.googleusercontent.com/translate_c?depth=1&amp;hl=fr&amp;prev=search&amp;rurl=translate.google.fr&amp;sl=en&amp;u=http://en.wikipedia.org/wiki/Guggulsterone&amp;usg=ALkJrhgIZrte8wy-D7e0uw-J5-EZ_edwVg" TargetMode="External"/><Relationship Id="rId3727" Type="http://schemas.openxmlformats.org/officeDocument/2006/relationships/hyperlink" Target="https://fr.timesofisrael.com/la-pionniere-du-negev-qui-seme-les-graines-qui-defieront-un-avenir-sec/" TargetMode="External"/><Relationship Id="rId3934" Type="http://schemas.openxmlformats.org/officeDocument/2006/relationships/hyperlink" Target="http://bft.revuesonline.com/gratuit/BFT63_299_3PtsTas299.pdf" TargetMode="External"/><Relationship Id="rId203" Type="http://schemas.openxmlformats.org/officeDocument/2006/relationships/hyperlink" Target="https://fr.wikipedia.org/wiki/Marais_salant" TargetMode="External"/><Relationship Id="rId648" Type="http://schemas.openxmlformats.org/officeDocument/2006/relationships/hyperlink" Target="https://fr.wikipedia.org/wiki/Swaziland" TargetMode="External"/><Relationship Id="rId855" Type="http://schemas.openxmlformats.org/officeDocument/2006/relationships/hyperlink" Target="http://fr.wikipedia.org/wiki/Mer_Noire" TargetMode="External"/><Relationship Id="rId1040" Type="http://schemas.openxmlformats.org/officeDocument/2006/relationships/image" Target="media/image478.jpg"/><Relationship Id="rId1278" Type="http://schemas.openxmlformats.org/officeDocument/2006/relationships/hyperlink" Target="http://en.wikipedia.org/wiki/Biodiesel" TargetMode="External"/><Relationship Id="rId1485" Type="http://schemas.openxmlformats.org/officeDocument/2006/relationships/hyperlink" Target="http://fr.wikipedia.org/wiki/Cultivar" TargetMode="External"/><Relationship Id="rId1692" Type="http://schemas.openxmlformats.org/officeDocument/2006/relationships/hyperlink" Target="http://fr.wikipedia.org/wiki/Mesembryanthemum_crystallinum" TargetMode="External"/><Relationship Id="rId2329" Type="http://schemas.openxmlformats.org/officeDocument/2006/relationships/image" Target="media/image867.jpeg"/><Relationship Id="rId2536" Type="http://schemas.openxmlformats.org/officeDocument/2006/relationships/hyperlink" Target="https://www.prota4u.org/database/protav8.asp?fr=1&amp;g=pe&amp;p=Acanthosicyos+horridus+Welw.+ex+Hook.f" TargetMode="External"/><Relationship Id="rId2743" Type="http://schemas.openxmlformats.org/officeDocument/2006/relationships/hyperlink" Target="https://fr.wikipedia.org/wiki/Azt%C3%A8ques" TargetMode="External"/><Relationship Id="rId4196" Type="http://schemas.openxmlformats.org/officeDocument/2006/relationships/hyperlink" Target="http://www.cabi.org/isc/datasheet/112584" TargetMode="External"/><Relationship Id="rId410" Type="http://schemas.openxmlformats.org/officeDocument/2006/relationships/hyperlink" Target="https://fr.wikipedia.org/wiki/Provignage" TargetMode="External"/><Relationship Id="rId508" Type="http://schemas.openxmlformats.org/officeDocument/2006/relationships/hyperlink" Target="http://en.wikipedia.org/wiki/Australia" TargetMode="External"/><Relationship Id="rId715" Type="http://schemas.openxmlformats.org/officeDocument/2006/relationships/hyperlink" Target="http://fr.wikipedia.org/wiki/Agroforesterie" TargetMode="External"/><Relationship Id="rId922" Type="http://schemas.openxmlformats.org/officeDocument/2006/relationships/image" Target="media/image413.jpg"/><Relationship Id="rId1138" Type="http://schemas.openxmlformats.org/officeDocument/2006/relationships/hyperlink" Target="https://en.wikipedia.org/wiki/Ceriops_australis" TargetMode="External"/><Relationship Id="rId1345" Type="http://schemas.openxmlformats.org/officeDocument/2006/relationships/hyperlink" Target="http://en.wikipedia.org/wiki/Saudi_Aramco" TargetMode="External"/><Relationship Id="rId1552" Type="http://schemas.openxmlformats.org/officeDocument/2006/relationships/image" Target="media/image676.jpeg"/><Relationship Id="rId1997" Type="http://schemas.openxmlformats.org/officeDocument/2006/relationships/hyperlink" Target="https://en.wikipedia.org/wiki/Cotton" TargetMode="External"/><Relationship Id="rId2603" Type="http://schemas.openxmlformats.org/officeDocument/2006/relationships/hyperlink" Target="https://fr.wikipedia.org/wiki/Herpes_simplex_virus" TargetMode="External"/><Relationship Id="rId2950" Type="http://schemas.openxmlformats.org/officeDocument/2006/relationships/hyperlink" Target="http://fr.wikipedia.org/wiki/%C3%89thiopie" TargetMode="External"/><Relationship Id="rId4056" Type="http://schemas.openxmlformats.org/officeDocument/2006/relationships/hyperlink" Target="https://en.wikipedia.org/wiki/Trichome" TargetMode="External"/><Relationship Id="rId1205" Type="http://schemas.openxmlformats.org/officeDocument/2006/relationships/image" Target="media/image586.jpg"/><Relationship Id="rId1857" Type="http://schemas.openxmlformats.org/officeDocument/2006/relationships/image" Target="media/image774.jpeg"/><Relationship Id="rId2810" Type="http://schemas.openxmlformats.org/officeDocument/2006/relationships/hyperlink" Target="http://fr.wikipedia.org/wiki/Gencive" TargetMode="External"/><Relationship Id="rId2908" Type="http://schemas.openxmlformats.org/officeDocument/2006/relationships/hyperlink" Target="http://translate.googleusercontent.com/translate_c?depth=1&amp;hl=fr&amp;prev=search&amp;rurl=translate.google.fr&amp;sl=en&amp;u=http://en.wikipedia.org/wiki/Senegal&amp;usg=ALkJrhiTvgw9rOejkfidZJl78q1_ok3keA" TargetMode="External"/><Relationship Id="rId4263" Type="http://schemas.openxmlformats.org/officeDocument/2006/relationships/hyperlink" Target="http://www.cabi.org/isc/datasheet/52492" TargetMode="External"/><Relationship Id="rId4470" Type="http://schemas.openxmlformats.org/officeDocument/2006/relationships/image" Target="media/image1477.jpeg"/><Relationship Id="rId51" Type="http://schemas.openxmlformats.org/officeDocument/2006/relationships/image" Target="media/image16.jpeg"/><Relationship Id="rId1412" Type="http://schemas.openxmlformats.org/officeDocument/2006/relationships/hyperlink" Target="http://www.bashanfoundation.org/gmaweb/pdfs/growth.pdf" TargetMode="External"/><Relationship Id="rId1717" Type="http://schemas.openxmlformats.org/officeDocument/2006/relationships/image" Target="media/image725.jpeg"/><Relationship Id="rId1924" Type="http://schemas.openxmlformats.org/officeDocument/2006/relationships/image" Target="media/image782.jpeg"/><Relationship Id="rId3072" Type="http://schemas.openxmlformats.org/officeDocument/2006/relationships/image" Target="media/image1027.jpg"/><Relationship Id="rId3377" Type="http://schemas.openxmlformats.org/officeDocument/2006/relationships/image" Target="media/image1238.jpeg"/><Relationship Id="rId4123" Type="http://schemas.openxmlformats.org/officeDocument/2006/relationships/hyperlink" Target="http://fr.wikipedia.org/wiki/Corne_de_l'Afrique" TargetMode="External"/><Relationship Id="rId4330" Type="http://schemas.openxmlformats.org/officeDocument/2006/relationships/image" Target="media/image1452.jpeg"/><Relationship Id="rId298" Type="http://schemas.openxmlformats.org/officeDocument/2006/relationships/hyperlink" Target="http://en.wikipedia.org/wiki/Sardinia" TargetMode="External"/><Relationship Id="rId3584" Type="http://schemas.openxmlformats.org/officeDocument/2006/relationships/hyperlink" Target="https://fr.wikipedia.org/wiki/Couvert_v%C3%A9g%C3%A9tal" TargetMode="External"/><Relationship Id="rId3791" Type="http://schemas.openxmlformats.org/officeDocument/2006/relationships/hyperlink" Target="http://ideas.repec.org/a/eee/agiwat/v90y2007i3p165-180.html" TargetMode="External"/><Relationship Id="rId3889" Type="http://schemas.openxmlformats.org/officeDocument/2006/relationships/hyperlink" Target="http://www.afes.fr/wp-content/uploads/2017/10/EGS_5_3_ROOSE.pdf" TargetMode="External"/><Relationship Id="rId4428" Type="http://schemas.openxmlformats.org/officeDocument/2006/relationships/hyperlink" Target="http://fr.wikipedia.org/wiki/S%C3%A9cheresse" TargetMode="External"/><Relationship Id="rId158" Type="http://schemas.openxmlformats.org/officeDocument/2006/relationships/image" Target="media/image65.jpg"/><Relationship Id="rId2186" Type="http://schemas.openxmlformats.org/officeDocument/2006/relationships/hyperlink" Target="https://en.wikipedia.org/wiki/Genetic_engineering" TargetMode="External"/><Relationship Id="rId2393" Type="http://schemas.openxmlformats.org/officeDocument/2006/relationships/hyperlink" Target="http://fr.wikipedia.org/w/index.php?title=Chrysopogon_nemoralis&amp;action=edit&amp;redlink=1" TargetMode="External"/><Relationship Id="rId2698" Type="http://schemas.openxmlformats.org/officeDocument/2006/relationships/hyperlink" Target="https://en.wikipedia.org/wiki/Littoral_zone" TargetMode="External"/><Relationship Id="rId3237" Type="http://schemas.openxmlformats.org/officeDocument/2006/relationships/image" Target="media/image1147.jpeg"/><Relationship Id="rId3444" Type="http://schemas.openxmlformats.org/officeDocument/2006/relationships/image" Target="media/image1280.jpeg"/><Relationship Id="rId3651" Type="http://schemas.openxmlformats.org/officeDocument/2006/relationships/image" Target="media/image1341.jpg"/><Relationship Id="rId365" Type="http://schemas.openxmlformats.org/officeDocument/2006/relationships/hyperlink" Target="https://fr.wikipedia.org/wiki/Cabernet" TargetMode="External"/><Relationship Id="rId572" Type="http://schemas.openxmlformats.org/officeDocument/2006/relationships/hyperlink" Target="https://fr.wikipedia.org/wiki/Latex_(mat%C3%A9riau)" TargetMode="External"/><Relationship Id="rId2046" Type="http://schemas.openxmlformats.org/officeDocument/2006/relationships/image" Target="media/image794.jpeg"/><Relationship Id="rId2253" Type="http://schemas.openxmlformats.org/officeDocument/2006/relationships/hyperlink" Target="https://fr.wikipedia.org/wiki/Mucilagineux" TargetMode="External"/><Relationship Id="rId2460" Type="http://schemas.openxmlformats.org/officeDocument/2006/relationships/hyperlink" Target="http://fr.wikipedia.org/wiki/Bio%C3%A9nergie" TargetMode="External"/><Relationship Id="rId3304" Type="http://schemas.openxmlformats.org/officeDocument/2006/relationships/image" Target="media/image1179.jpeg"/><Relationship Id="rId3511" Type="http://schemas.openxmlformats.org/officeDocument/2006/relationships/hyperlink" Target="https://fr.wikipedia.org/wiki/Surlabourage" TargetMode="External"/><Relationship Id="rId3749" Type="http://schemas.openxmlformats.org/officeDocument/2006/relationships/hyperlink" Target="http://en.wikipedia.org/wiki/Digital_object_identifier" TargetMode="External"/><Relationship Id="rId3956" Type="http://schemas.openxmlformats.org/officeDocument/2006/relationships/hyperlink" Target="https://fr.wikipedia.org/wiki/Cladode" TargetMode="External"/><Relationship Id="rId225" Type="http://schemas.openxmlformats.org/officeDocument/2006/relationships/image" Target="media/image106.jpeg"/><Relationship Id="rId432" Type="http://schemas.openxmlformats.org/officeDocument/2006/relationships/image" Target="media/image183.jpeg"/><Relationship Id="rId877" Type="http://schemas.openxmlformats.org/officeDocument/2006/relationships/hyperlink" Target="http://translate.googleusercontent.com/translate_c?depth=1&amp;hl=fr&amp;prev=/search?q=nitraria&amp;biw=1440&amp;bih=732&amp;rurl=translate.google.fr&amp;sl=en&amp;u=http://en.wikipedia.org/wiki/Primary_succession&amp;usg=ALkJrhhjKcTkQCXW0IUQOy6W_g1H-x9qfw" TargetMode="External"/><Relationship Id="rId1062" Type="http://schemas.openxmlformats.org/officeDocument/2006/relationships/image" Target="media/image493.jpeg"/><Relationship Id="rId2113" Type="http://schemas.openxmlformats.org/officeDocument/2006/relationships/image" Target="media/image811.jpeg"/><Relationship Id="rId2320" Type="http://schemas.openxmlformats.org/officeDocument/2006/relationships/hyperlink" Target="http://fr.wikipedia.org/wiki/Potentiel_hydrog%C3%A8ne" TargetMode="External"/><Relationship Id="rId2558" Type="http://schemas.openxmlformats.org/officeDocument/2006/relationships/hyperlink" Target="http://translate.googleusercontent.com/translate_c?depth=1&amp;hl=fr&amp;prev=search&amp;rurl=translate.google.fr&amp;sl=en&amp;u=http://en.wikipedia.org/wiki/Augustus&amp;usg=ALkJrhgTf2owMxHC0dVYevj0pqqmuvwGlQ" TargetMode="External"/><Relationship Id="rId2765" Type="http://schemas.openxmlformats.org/officeDocument/2006/relationships/hyperlink" Target="https://fr.wikipedia.org/wiki/Base_(chimie)" TargetMode="External"/><Relationship Id="rId2972" Type="http://schemas.openxmlformats.org/officeDocument/2006/relationships/hyperlink" Target="http://translate.googleusercontent.com/translate_c?depth=1&amp;hl=fr&amp;prev=search&amp;rurl=translate.google.fr&amp;sl=en&amp;u=http://en.wikipedia.org/wiki/Punjab_region&amp;usg=ALkJrhiyM88mEAKf4CvbEbl43N0zpoGyuA" TargetMode="External"/><Relationship Id="rId3609" Type="http://schemas.openxmlformats.org/officeDocument/2006/relationships/hyperlink" Target="https://fr.wikipedia.org/wiki/R%C3%A9publique_populaire_de_Chine" TargetMode="External"/><Relationship Id="rId3816" Type="http://schemas.openxmlformats.org/officeDocument/2006/relationships/hyperlink" Target="http://ideas.repec.org/a/eee/agiwat/v123y2013icp1-11.html" TargetMode="External"/><Relationship Id="rId737" Type="http://schemas.openxmlformats.org/officeDocument/2006/relationships/image" Target="media/image319.jpeg"/><Relationship Id="rId944" Type="http://schemas.openxmlformats.org/officeDocument/2006/relationships/hyperlink" Target="https://fr.wikipedia.org/wiki/Plante_succulente" TargetMode="External"/><Relationship Id="rId1367" Type="http://schemas.openxmlformats.org/officeDocument/2006/relationships/hyperlink" Target="http://www.biomassmagazine.com/article.jsp?article_id=1864" TargetMode="External"/><Relationship Id="rId1574" Type="http://schemas.openxmlformats.org/officeDocument/2006/relationships/hyperlink" Target="http://fr.wikipedia.org/wiki/Prot%C3%A9ine" TargetMode="External"/><Relationship Id="rId1781" Type="http://schemas.openxmlformats.org/officeDocument/2006/relationships/image" Target="media/image750.jpeg"/><Relationship Id="rId2418" Type="http://schemas.openxmlformats.org/officeDocument/2006/relationships/hyperlink" Target="http://fr.wikipedia.org/wiki/%C3%89thanol_cellulosique" TargetMode="External"/><Relationship Id="rId2625" Type="http://schemas.openxmlformats.org/officeDocument/2006/relationships/hyperlink" Target="https://en.wikipedia.org/wiki/Sushi" TargetMode="External"/><Relationship Id="rId2832" Type="http://schemas.openxmlformats.org/officeDocument/2006/relationships/image" Target="media/image970.jpg"/><Relationship Id="rId4078" Type="http://schemas.openxmlformats.org/officeDocument/2006/relationships/image" Target="media/image1413.jpeg"/><Relationship Id="rId4285" Type="http://schemas.openxmlformats.org/officeDocument/2006/relationships/hyperlink" Target="https://en.wikipedia.org/wiki/Southwestern_United_States" TargetMode="External"/><Relationship Id="rId4492" Type="http://schemas.openxmlformats.org/officeDocument/2006/relationships/hyperlink" Target="http://fr.wiktionary.org/wiki/agriculture" TargetMode="External"/><Relationship Id="rId73" Type="http://schemas.openxmlformats.org/officeDocument/2006/relationships/hyperlink" Target="https://fr.wikipedia.org/wiki/RCP8.5" TargetMode="External"/><Relationship Id="rId804" Type="http://schemas.openxmlformats.org/officeDocument/2006/relationships/image" Target="media/image359.jpg"/><Relationship Id="rId1227" Type="http://schemas.openxmlformats.org/officeDocument/2006/relationships/image" Target="media/image607.jpeg"/><Relationship Id="rId1434" Type="http://schemas.openxmlformats.org/officeDocument/2006/relationships/hyperlink" Target="http://www.ncbi.nlm.nih.gov/pubmed/18765761" TargetMode="External"/><Relationship Id="rId1641" Type="http://schemas.openxmlformats.org/officeDocument/2006/relationships/image" Target="media/image702.jpeg"/><Relationship Id="rId1879" Type="http://schemas.openxmlformats.org/officeDocument/2006/relationships/hyperlink" Target="https://fr.wikipedia.org/wiki/Orge_commune" TargetMode="External"/><Relationship Id="rId3094" Type="http://schemas.openxmlformats.org/officeDocument/2006/relationships/image" Target="media/image1046.jpeg"/><Relationship Id="rId4145" Type="http://schemas.openxmlformats.org/officeDocument/2006/relationships/image" Target="media/image1427.jpeg"/><Relationship Id="rId1501" Type="http://schemas.openxmlformats.org/officeDocument/2006/relationships/image" Target="media/image665.jpeg"/><Relationship Id="rId1739" Type="http://schemas.openxmlformats.org/officeDocument/2006/relationships/image" Target="media/image743.jpg"/><Relationship Id="rId1946" Type="http://schemas.openxmlformats.org/officeDocument/2006/relationships/hyperlink" Target="https://en.wikipedia.org/wiki/Nitrogen_fixation" TargetMode="External"/><Relationship Id="rId3399" Type="http://schemas.openxmlformats.org/officeDocument/2006/relationships/image" Target="media/image1253.jpeg"/><Relationship Id="rId4005" Type="http://schemas.openxmlformats.org/officeDocument/2006/relationships/image" Target="media/image1385.jpeg"/><Relationship Id="rId4352" Type="http://schemas.openxmlformats.org/officeDocument/2006/relationships/hyperlink" Target="http://www1.rfi.fr/sciencefr/articles/115/article_82336.asp" TargetMode="External"/><Relationship Id="rId1806" Type="http://schemas.openxmlformats.org/officeDocument/2006/relationships/hyperlink" Target="https://fr.wikipedia.org/wiki/%C3%89leusine" TargetMode="External"/><Relationship Id="rId3161" Type="http://schemas.openxmlformats.org/officeDocument/2006/relationships/hyperlink" Target="http://fr.wikipedia.org/wiki/Agriculture" TargetMode="External"/><Relationship Id="rId3259" Type="http://schemas.openxmlformats.org/officeDocument/2006/relationships/image" Target="media/image1156.jpeg"/><Relationship Id="rId3466" Type="http://schemas.openxmlformats.org/officeDocument/2006/relationships/hyperlink" Target="http://fr.wikipedia.org/wiki/Foss%C3%A9_(infrastructure)" TargetMode="External"/><Relationship Id="rId4212" Type="http://schemas.openxmlformats.org/officeDocument/2006/relationships/hyperlink" Target="http://www.cabi.org/isc/datasheet/112589" TargetMode="External"/><Relationship Id="rId4517" Type="http://schemas.openxmlformats.org/officeDocument/2006/relationships/hyperlink" Target="https://fr.wikipedia.org/wiki/Feuille_(botanique)" TargetMode="External"/><Relationship Id="rId387" Type="http://schemas.openxmlformats.org/officeDocument/2006/relationships/hyperlink" Target="https://en.wikipedia.org/wiki/Hermaphrodite" TargetMode="External"/><Relationship Id="rId594" Type="http://schemas.openxmlformats.org/officeDocument/2006/relationships/hyperlink" Target="https://fr.wikipedia.org/wiki/Platypodinae" TargetMode="External"/><Relationship Id="rId2068" Type="http://schemas.openxmlformats.org/officeDocument/2006/relationships/hyperlink" Target="https://fr.wikipedia.org/wiki/F%C3%A9condation" TargetMode="External"/><Relationship Id="rId2275" Type="http://schemas.openxmlformats.org/officeDocument/2006/relationships/hyperlink" Target="http://translate.googleusercontent.com/translate_c?depth=1&amp;hl=fr&amp;prev=/search?q%3Dmelilotus%2Balbus%26biw%3D1440%26bih%3D732&amp;rurl=translate.google.fr&amp;sl=en&amp;u=http://en.wikipedia.org/wiki/Forage&amp;usg=ALkJrhhhKQE7etke73G2ZAAx688cvYKDRQ" TargetMode="External"/><Relationship Id="rId3021" Type="http://schemas.openxmlformats.org/officeDocument/2006/relationships/hyperlink" Target="http://fr.wikipedia.org/wiki/Ressource_naturelle" TargetMode="External"/><Relationship Id="rId3119" Type="http://schemas.openxmlformats.org/officeDocument/2006/relationships/image" Target="media/image1071.png"/><Relationship Id="rId3326" Type="http://schemas.openxmlformats.org/officeDocument/2006/relationships/image" Target="media/image1196.jpg"/><Relationship Id="rId3673" Type="http://schemas.openxmlformats.org/officeDocument/2006/relationships/hyperlink" Target="http://www.doc-developpement-durable.org/livres/Realites_quotidienneCSP_Size_Fix031518_bis.pdf" TargetMode="External"/><Relationship Id="rId3880" Type="http://schemas.openxmlformats.org/officeDocument/2006/relationships/hyperlink" Target="http://www.arpentnourricier.org/dimensionnement-dune-noue-swale/" TargetMode="External"/><Relationship Id="rId3978" Type="http://schemas.openxmlformats.org/officeDocument/2006/relationships/image" Target="media/image1375.jpeg"/><Relationship Id="rId247" Type="http://schemas.openxmlformats.org/officeDocument/2006/relationships/hyperlink" Target="http://translate.googleusercontent.com/translate_c?depth=1&amp;hl=fr&amp;prev=/search?q%3Dziziphus%2Bjujuba%2Bwikipedia%26biw%3D1440%26bih%3D732&amp;rurl=translate.google.fr&amp;sl=en&amp;u=http://en.wikipedia.org/wiki/Apple&amp;usg=ALkJrhjzW2OiNYY3pqwZjFW352dLc805eA" TargetMode="External"/><Relationship Id="rId899" Type="http://schemas.openxmlformats.org/officeDocument/2006/relationships/hyperlink" Target="https://fr.wikipedia.org/wiki/Haloxylon_ammodendron" TargetMode="External"/><Relationship Id="rId1084" Type="http://schemas.openxmlformats.org/officeDocument/2006/relationships/image" Target="media/image508.jpeg"/><Relationship Id="rId2482" Type="http://schemas.openxmlformats.org/officeDocument/2006/relationships/hyperlink" Target="https://fr.wikipedia.org/wiki/Plante_vivace" TargetMode="External"/><Relationship Id="rId2787" Type="http://schemas.openxmlformats.org/officeDocument/2006/relationships/image" Target="media/image954.jpeg"/><Relationship Id="rId3533" Type="http://schemas.openxmlformats.org/officeDocument/2006/relationships/hyperlink" Target="https://fr.wikipedia.org/wiki/Union_africaine" TargetMode="External"/><Relationship Id="rId3740" Type="http://schemas.openxmlformats.org/officeDocument/2006/relationships/hyperlink" Target="http://books.openedition.org/irdeditions/5263?lang=fr" TargetMode="External"/><Relationship Id="rId3838" Type="http://schemas.openxmlformats.org/officeDocument/2006/relationships/hyperlink" Target="http://translate.googleusercontent.com/translate_c?anno=2&amp;depth=1&amp;hl=fr&amp;rurl=translate.google.fr&amp;sl=en&amp;tl=fr&amp;u=http://link.springer.com/journal/12155&amp;usg=ALkJrhhtFu7cEphxsaj9dAfMXN7j4M8vxA" TargetMode="External"/><Relationship Id="rId107" Type="http://schemas.openxmlformats.org/officeDocument/2006/relationships/hyperlink" Target="https://www.banquedesterritoires.fr/lutte-contre-la-proliferation-des-plantes-invasives-comment-mieux-traiter-le-probleme-la-racine" TargetMode="External"/><Relationship Id="rId454" Type="http://schemas.openxmlformats.org/officeDocument/2006/relationships/hyperlink" Target="http://fr.wikipedia.org/wiki/Palmeraie_d'Elche" TargetMode="External"/><Relationship Id="rId661" Type="http://schemas.openxmlformats.org/officeDocument/2006/relationships/image" Target="media/image276.jpeg"/><Relationship Id="rId759" Type="http://schemas.openxmlformats.org/officeDocument/2006/relationships/hyperlink" Target="http://en.wikipedia.org/wiki/Bauhinia_rufescens" TargetMode="External"/><Relationship Id="rId966" Type="http://schemas.openxmlformats.org/officeDocument/2006/relationships/image" Target="media/image429.jpeg"/><Relationship Id="rId1291" Type="http://schemas.openxmlformats.org/officeDocument/2006/relationships/hyperlink" Target="https://fr.wikipedia.org/wiki/Esp%C3%A8ce" TargetMode="External"/><Relationship Id="rId1389" Type="http://schemas.openxmlformats.org/officeDocument/2006/relationships/image" Target="media/image648.jpeg"/><Relationship Id="rId1596" Type="http://schemas.openxmlformats.org/officeDocument/2006/relationships/hyperlink" Target="http://fr.wikipedia.org/wiki/Escourgeon" TargetMode="External"/><Relationship Id="rId2135" Type="http://schemas.openxmlformats.org/officeDocument/2006/relationships/hyperlink" Target="https://en.wikipedia.org/wiki/East_Africa" TargetMode="External"/><Relationship Id="rId2342" Type="http://schemas.openxmlformats.org/officeDocument/2006/relationships/hyperlink" Target="http://fr.wikipedia.org/wiki/Pollution" TargetMode="External"/><Relationship Id="rId2647" Type="http://schemas.openxmlformats.org/officeDocument/2006/relationships/hyperlink" Target="https://fr.wikipedia.org/wiki/Morphologie_(biologie)" TargetMode="External"/><Relationship Id="rId2994" Type="http://schemas.openxmlformats.org/officeDocument/2006/relationships/image" Target="media/image1000.jpg"/><Relationship Id="rId3600" Type="http://schemas.openxmlformats.org/officeDocument/2006/relationships/hyperlink" Target="https://fr.wikipedia.org/wiki/%C3%89ducation_%C3%A0_l%27environnement_et_au_d%C3%A9veloppement_durable" TargetMode="External"/><Relationship Id="rId314" Type="http://schemas.openxmlformats.org/officeDocument/2006/relationships/image" Target="media/image143.jpeg"/><Relationship Id="rId521" Type="http://schemas.openxmlformats.org/officeDocument/2006/relationships/image" Target="media/image222.jpeg"/><Relationship Id="rId619" Type="http://schemas.openxmlformats.org/officeDocument/2006/relationships/image" Target="media/image263.jpeg"/><Relationship Id="rId1151" Type="http://schemas.openxmlformats.org/officeDocument/2006/relationships/image" Target="media/image556.jpeg"/><Relationship Id="rId1249" Type="http://schemas.openxmlformats.org/officeDocument/2006/relationships/image" Target="media/image629.jpg"/><Relationship Id="rId2202" Type="http://schemas.openxmlformats.org/officeDocument/2006/relationships/hyperlink" Target="https://en.wikipedia.org/wiki/Nutrition" TargetMode="External"/><Relationship Id="rId2854" Type="http://schemas.openxmlformats.org/officeDocument/2006/relationships/hyperlink" Target="http://www.haaretz.com/print-edition/news/after-repeated-failures-new-effort-to-revive-the-legendary-balsam-plant-shows-promise-1.311617" TargetMode="External"/><Relationship Id="rId3905" Type="http://schemas.openxmlformats.org/officeDocument/2006/relationships/hyperlink" Target="http://www.doc-developpement-durable.org/file/Culture/Arbres-Bois-de-Rapport-Reforestation/forets-preservation-restoration/framework-species-method_Stephen-Elliot/Version-Francaise/" TargetMode="External"/><Relationship Id="rId95" Type="http://schemas.openxmlformats.org/officeDocument/2006/relationships/hyperlink" Target="https://fr.wikipedia.org/wiki/Inde" TargetMode="External"/><Relationship Id="rId826" Type="http://schemas.openxmlformats.org/officeDocument/2006/relationships/image" Target="media/image372.jpeg"/><Relationship Id="rId1011" Type="http://schemas.openxmlformats.org/officeDocument/2006/relationships/image" Target="media/image461.jpg"/><Relationship Id="rId1109" Type="http://schemas.openxmlformats.org/officeDocument/2006/relationships/image" Target="media/image532.jpg"/><Relationship Id="rId1456" Type="http://schemas.openxmlformats.org/officeDocument/2006/relationships/hyperlink" Target="http://fr.wikipedia.org/wiki/Asparagus_acutifolius" TargetMode="External"/><Relationship Id="rId1663" Type="http://schemas.openxmlformats.org/officeDocument/2006/relationships/image" Target="media/image712.jpeg"/><Relationship Id="rId1870" Type="http://schemas.openxmlformats.org/officeDocument/2006/relationships/hyperlink" Target="https://fr.wikipedia.org/wiki/Fourrage" TargetMode="External"/><Relationship Id="rId1968" Type="http://schemas.openxmlformats.org/officeDocument/2006/relationships/image" Target="media/image789.png"/><Relationship Id="rId2507" Type="http://schemas.openxmlformats.org/officeDocument/2006/relationships/hyperlink" Target="https://fr.wikipedia.org/wiki/Sparterie" TargetMode="External"/><Relationship Id="rId2714" Type="http://schemas.openxmlformats.org/officeDocument/2006/relationships/hyperlink" Target="https://en.wikipedia.org/wiki/Hawaii" TargetMode="External"/><Relationship Id="rId2921" Type="http://schemas.openxmlformats.org/officeDocument/2006/relationships/hyperlink" Target="http://translate.googleusercontent.com/translate_c?depth=1&amp;hl=fr&amp;prev=search&amp;rurl=translate.google.fr&amp;sl=en&amp;u=http://en.wikipedia.org/wiki/Salvadora_persica&amp;usg=ALkJrhgOIQlW7aIAGDKol4BFplV0He8bpQ" TargetMode="External"/><Relationship Id="rId4167" Type="http://schemas.openxmlformats.org/officeDocument/2006/relationships/image" Target="media/image1435.jpeg"/><Relationship Id="rId4374" Type="http://schemas.openxmlformats.org/officeDocument/2006/relationships/hyperlink" Target="http://fr.wikipedia.org/wiki/Chiendent" TargetMode="External"/><Relationship Id="rId1316" Type="http://schemas.openxmlformats.org/officeDocument/2006/relationships/hyperlink" Target="http://translate.googleusercontent.com/translate_c?depth=1&amp;hl=fr&amp;prev=/search?q%3Dsalicornia%2Bherbacea%2Bwikipedia%26biw%3D1440%26bih%3D732&amp;rurl=translate.google.fr&amp;sl=en&amp;u=http://en.wikipedia.org/wiki/Linoleic_acid&amp;usg=ALkJrhhCt7GHDBSZDMehSjs_7p3ETgYZ7A" TargetMode="External"/><Relationship Id="rId1523" Type="http://schemas.openxmlformats.org/officeDocument/2006/relationships/hyperlink" Target="https://fr.wikipedia.org/wiki/Nom_vernaculaire" TargetMode="External"/><Relationship Id="rId1730" Type="http://schemas.openxmlformats.org/officeDocument/2006/relationships/image" Target="media/image734.jpeg"/><Relationship Id="rId3183" Type="http://schemas.openxmlformats.org/officeDocument/2006/relationships/hyperlink" Target="http://www.permaculturedesign.fr/terrassement-en-permaculture/" TargetMode="External"/><Relationship Id="rId3390" Type="http://schemas.openxmlformats.org/officeDocument/2006/relationships/image" Target="media/image1250.emf"/><Relationship Id="rId4027" Type="http://schemas.openxmlformats.org/officeDocument/2006/relationships/image" Target="media/image1392.jpeg"/><Relationship Id="rId4234" Type="http://schemas.openxmlformats.org/officeDocument/2006/relationships/hyperlink" Target="http://www.cabi.org/isc/datasheet/112596" TargetMode="External"/><Relationship Id="rId4441" Type="http://schemas.openxmlformats.org/officeDocument/2006/relationships/hyperlink" Target="http://fr.wikipedia.org/wiki/%C3%89levage" TargetMode="External"/><Relationship Id="rId22" Type="http://schemas.openxmlformats.org/officeDocument/2006/relationships/hyperlink" Target="https://fr.wikipedia.org/wiki/Genre_(biologie)" TargetMode="External"/><Relationship Id="rId1828" Type="http://schemas.openxmlformats.org/officeDocument/2006/relationships/hyperlink" Target="https://fr.wikipedia.org/wiki/Sierra_Leone" TargetMode="External"/><Relationship Id="rId3043" Type="http://schemas.openxmlformats.org/officeDocument/2006/relationships/hyperlink" Target="http://en.wikipedia.org/wiki/Grazers" TargetMode="External"/><Relationship Id="rId3250" Type="http://schemas.openxmlformats.org/officeDocument/2006/relationships/hyperlink" Target="https://en.wikipedia.org/wiki/Turfan_water_system" TargetMode="External"/><Relationship Id="rId3488" Type="http://schemas.openxmlformats.org/officeDocument/2006/relationships/image" Target="media/image1304.jpeg"/><Relationship Id="rId3695" Type="http://schemas.openxmlformats.org/officeDocument/2006/relationships/hyperlink" Target="http://www.fongs.sn/" TargetMode="External"/><Relationship Id="rId4539" Type="http://schemas.openxmlformats.org/officeDocument/2006/relationships/hyperlink" Target="https://www.ffem.fr/" TargetMode="External"/><Relationship Id="rId171" Type="http://schemas.openxmlformats.org/officeDocument/2006/relationships/image" Target="media/image78.jpeg"/><Relationship Id="rId2297" Type="http://schemas.openxmlformats.org/officeDocument/2006/relationships/hyperlink" Target="http://en.wikipedia.org/wiki/Melilotus_indicus" TargetMode="External"/><Relationship Id="rId3348" Type="http://schemas.openxmlformats.org/officeDocument/2006/relationships/hyperlink" Target="http://www.fao.org/ag/againfo/programmes/en/lead/toolbox/Tech/22Livef.htm" TargetMode="External"/><Relationship Id="rId3555" Type="http://schemas.openxmlformats.org/officeDocument/2006/relationships/hyperlink" Target="https://fr.wikipedia.org/wiki/%C3%89vapotranspiration" TargetMode="External"/><Relationship Id="rId3762" Type="http://schemas.openxmlformats.org/officeDocument/2006/relationships/hyperlink" Target="http://www.miracosta.edu/home/kmeldahl/articles/crops.pdf" TargetMode="External"/><Relationship Id="rId4301" Type="http://schemas.openxmlformats.org/officeDocument/2006/relationships/hyperlink" Target="https://en.wikipedia.org/wiki/Deciduous" TargetMode="External"/><Relationship Id="rId269" Type="http://schemas.openxmlformats.org/officeDocument/2006/relationships/hyperlink" Target="http://www.beesfordevelopment.org/info/info/flora/christs-thorn-ziziphus-sp.shtml" TargetMode="External"/><Relationship Id="rId476" Type="http://schemas.openxmlformats.org/officeDocument/2006/relationships/image" Target="media/image203.jpeg"/><Relationship Id="rId683" Type="http://schemas.openxmlformats.org/officeDocument/2006/relationships/image" Target="media/image291.jpeg"/><Relationship Id="rId890" Type="http://schemas.openxmlformats.org/officeDocument/2006/relationships/image" Target="media/image390.jpg"/><Relationship Id="rId2157" Type="http://schemas.openxmlformats.org/officeDocument/2006/relationships/hyperlink" Target="https://fr.wikipedia.org/wiki/Poaceae" TargetMode="External"/><Relationship Id="rId2364" Type="http://schemas.openxmlformats.org/officeDocument/2006/relationships/hyperlink" Target="http://fr.wikipedia.org/wiki/%C3%89tats-Unis" TargetMode="External"/><Relationship Id="rId2571" Type="http://schemas.openxmlformats.org/officeDocument/2006/relationships/hyperlink" Target="https://fr.wikipedia.org/wiki/Go%C3%A9mon" TargetMode="External"/><Relationship Id="rId3110" Type="http://schemas.openxmlformats.org/officeDocument/2006/relationships/image" Target="media/image1062.jpeg"/><Relationship Id="rId3208" Type="http://schemas.openxmlformats.org/officeDocument/2006/relationships/image" Target="media/image1122.jpeg"/><Relationship Id="rId3415" Type="http://schemas.openxmlformats.org/officeDocument/2006/relationships/hyperlink" Target="http://fr.wikipedia.org/wiki/Humus" TargetMode="External"/><Relationship Id="rId129" Type="http://schemas.openxmlformats.org/officeDocument/2006/relationships/image" Target="media/image37.jpeg"/><Relationship Id="rId336" Type="http://schemas.openxmlformats.org/officeDocument/2006/relationships/image" Target="media/image158.jpeg"/><Relationship Id="rId543" Type="http://schemas.openxmlformats.org/officeDocument/2006/relationships/image" Target="media/image235.jpeg"/><Relationship Id="rId988" Type="http://schemas.openxmlformats.org/officeDocument/2006/relationships/image" Target="media/image442.jpeg"/><Relationship Id="rId1173" Type="http://schemas.openxmlformats.org/officeDocument/2006/relationships/hyperlink" Target="https://fr.wikipedia.org/wiki/Rhizophora_mucronata" TargetMode="External"/><Relationship Id="rId1380" Type="http://schemas.openxmlformats.org/officeDocument/2006/relationships/hyperlink" Target="http://articles.latimes.com/2008/jul/10/business/fi-seafarm10" TargetMode="External"/><Relationship Id="rId2017" Type="http://schemas.openxmlformats.org/officeDocument/2006/relationships/hyperlink" Target="https://en.wikipedia.org/wiki/Agrochemical" TargetMode="External"/><Relationship Id="rId2224" Type="http://schemas.openxmlformats.org/officeDocument/2006/relationships/image" Target="media/image843.jpeg"/><Relationship Id="rId2669" Type="http://schemas.openxmlformats.org/officeDocument/2006/relationships/hyperlink" Target="https://fr.wikipedia.org/wiki/Hawaii" TargetMode="External"/><Relationship Id="rId2876" Type="http://schemas.openxmlformats.org/officeDocument/2006/relationships/hyperlink" Target="http://translate.googleusercontent.com/translate_c?depth=1&amp;hl=fr&amp;prev=search&amp;rurl=translate.google.fr&amp;sl=en&amp;u=http://en.wikipedia.org/wiki/Rubber_tapping&amp;usg=ALkJrhjCmp2_A-7ZN_HnQLDam9B63A1Uxg" TargetMode="External"/><Relationship Id="rId3622" Type="http://schemas.openxmlformats.org/officeDocument/2006/relationships/hyperlink" Target="https://en.wikipedia.org/wiki/Soil" TargetMode="External"/><Relationship Id="rId3927" Type="http://schemas.openxmlformats.org/officeDocument/2006/relationships/hyperlink" Target="http://www.hear.org/pier/species/opuntia_monacantha.htm" TargetMode="External"/><Relationship Id="rId403" Type="http://schemas.openxmlformats.org/officeDocument/2006/relationships/hyperlink" Target="https://fr.wikipedia.org/wiki/Graine" TargetMode="External"/><Relationship Id="rId750" Type="http://schemas.openxmlformats.org/officeDocument/2006/relationships/hyperlink" Target="http://fr.wikipedia.org/wiki/Fabaceae" TargetMode="External"/><Relationship Id="rId848" Type="http://schemas.openxmlformats.org/officeDocument/2006/relationships/hyperlink" Target="http://www.cdfa.ca.gov/plant/ipc/weedinfo/salsola-vermiculata.htm" TargetMode="External"/><Relationship Id="rId1033" Type="http://schemas.openxmlformats.org/officeDocument/2006/relationships/image" Target="media/image474.jpg"/><Relationship Id="rId1478" Type="http://schemas.openxmlformats.org/officeDocument/2006/relationships/image" Target="media/image663.jpeg"/><Relationship Id="rId1685" Type="http://schemas.openxmlformats.org/officeDocument/2006/relationships/image" Target="media/image716.jpeg"/><Relationship Id="rId1892" Type="http://schemas.openxmlformats.org/officeDocument/2006/relationships/hyperlink" Target="https://fr.wikipedia.org/wiki/Europe" TargetMode="External"/><Relationship Id="rId2431" Type="http://schemas.openxmlformats.org/officeDocument/2006/relationships/hyperlink" Target="http://www.etaflorence.it/proceedings/?detail=6773" TargetMode="External"/><Relationship Id="rId2529" Type="http://schemas.openxmlformats.org/officeDocument/2006/relationships/hyperlink" Target="https://fr.wikipedia.org/wiki/Bi%C3%A8re" TargetMode="External"/><Relationship Id="rId2736" Type="http://schemas.openxmlformats.org/officeDocument/2006/relationships/hyperlink" Target="https://fr.wikipedia.org/wiki/Spiruline" TargetMode="External"/><Relationship Id="rId4091" Type="http://schemas.openxmlformats.org/officeDocument/2006/relationships/hyperlink" Target="http://translate.googleusercontent.com/translate_c?depth=1&amp;hl=fr&amp;prev=/search?q%3Dprosopis%2Bjuliflora%26rlz%3D1C1GGGE_frFR479FR479%26es_sm%3D93&amp;rurl=translate.google.fr&amp;sl=en&amp;u=http://en.wikipedia.org/wiki/Invasive_weed&amp;usg=ALkJrhi7Vk07zzd_1kOJ7Jn_2LiV7J7zxQ" TargetMode="External"/><Relationship Id="rId4189" Type="http://schemas.openxmlformats.org/officeDocument/2006/relationships/hyperlink" Target="http://www.cabi.org/isc/datasheet/112580" TargetMode="External"/><Relationship Id="rId610" Type="http://schemas.openxmlformats.org/officeDocument/2006/relationships/image" Target="media/image260.jpeg"/><Relationship Id="rId708" Type="http://schemas.openxmlformats.org/officeDocument/2006/relationships/hyperlink" Target="http://www.fao.org/docrep/006/s4009f/S4009F22.htm" TargetMode="External"/><Relationship Id="rId915" Type="http://schemas.openxmlformats.org/officeDocument/2006/relationships/image" Target="media/image408.jpeg"/><Relationship Id="rId1240" Type="http://schemas.openxmlformats.org/officeDocument/2006/relationships/image" Target="media/image620.jpeg"/><Relationship Id="rId1338" Type="http://schemas.openxmlformats.org/officeDocument/2006/relationships/hyperlink" Target="http://www.gcrio.org/usiji/pdf/Mexico-3%203-04.pdf" TargetMode="External"/><Relationship Id="rId1545" Type="http://schemas.openxmlformats.org/officeDocument/2006/relationships/hyperlink" Target="https://en.wikipedia.org/wiki/Taro" TargetMode="External"/><Relationship Id="rId2943" Type="http://schemas.openxmlformats.org/officeDocument/2006/relationships/hyperlink" Target="http://fr.wikipedia.org/wiki/Burseraceae" TargetMode="External"/><Relationship Id="rId4049" Type="http://schemas.openxmlformats.org/officeDocument/2006/relationships/image" Target="media/image1402.jpg"/><Relationship Id="rId4396" Type="http://schemas.openxmlformats.org/officeDocument/2006/relationships/image" Target="media/image1473.jpeg"/><Relationship Id="rId1100" Type="http://schemas.openxmlformats.org/officeDocument/2006/relationships/image" Target="media/image523.jpeg"/><Relationship Id="rId1405" Type="http://schemas.openxmlformats.org/officeDocument/2006/relationships/hyperlink" Target="http://www.bashanfoundation.org/gmaweb/pdfs/growth.pdf" TargetMode="External"/><Relationship Id="rId1752" Type="http://schemas.openxmlformats.org/officeDocument/2006/relationships/hyperlink" Target="http://fr.wikipedia.org/wiki/Huile_alimentaire" TargetMode="External"/><Relationship Id="rId2803" Type="http://schemas.openxmlformats.org/officeDocument/2006/relationships/image" Target="media/image968.jpg"/><Relationship Id="rId4256" Type="http://schemas.openxmlformats.org/officeDocument/2006/relationships/hyperlink" Target="http://www.cabi.org/isc/datasheet/52499" TargetMode="External"/><Relationship Id="rId4463" Type="http://schemas.openxmlformats.org/officeDocument/2006/relationships/hyperlink" Target="https://www.youtube.com/watch?v=a3b4bDwaF3w" TargetMode="External"/><Relationship Id="rId44" Type="http://schemas.openxmlformats.org/officeDocument/2006/relationships/image" Target="media/image9.jpeg"/><Relationship Id="rId1612" Type="http://schemas.openxmlformats.org/officeDocument/2006/relationships/hyperlink" Target="http://translate.googleusercontent.com/translate_c?depth=1&amp;hl=fr&amp;prev=/search?q%3DDistichlis%2Bpalmeri%26biw%3D1440%26bih%3D732&amp;rurl=translate.google.fr&amp;sl=en&amp;u=http://en.wikipedia.org/wiki/Sonoran_desert&amp;usg=ALkJrhiT-xNb-B1Bg5_tbAoZT3J_NmtaiA" TargetMode="External"/><Relationship Id="rId1917" Type="http://schemas.openxmlformats.org/officeDocument/2006/relationships/hyperlink" Target="https://fr.wikipedia.org/wiki/Herbicide" TargetMode="External"/><Relationship Id="rId3065" Type="http://schemas.openxmlformats.org/officeDocument/2006/relationships/image" Target="media/image1020.jpeg"/><Relationship Id="rId3272" Type="http://schemas.openxmlformats.org/officeDocument/2006/relationships/image" Target="media/image1164.jpg"/><Relationship Id="rId4116" Type="http://schemas.openxmlformats.org/officeDocument/2006/relationships/image" Target="media/image1421.jpeg"/><Relationship Id="rId4323" Type="http://schemas.openxmlformats.org/officeDocument/2006/relationships/hyperlink" Target="http://fr.wikipedia.org/wiki/Gousse" TargetMode="External"/><Relationship Id="rId4530" Type="http://schemas.openxmlformats.org/officeDocument/2006/relationships/hyperlink" Target="https://www.worldagroforestry.org/" TargetMode="External"/><Relationship Id="rId193" Type="http://schemas.openxmlformats.org/officeDocument/2006/relationships/image" Target="media/image87.jpg"/><Relationship Id="rId498" Type="http://schemas.openxmlformats.org/officeDocument/2006/relationships/image" Target="media/image212.jpeg"/><Relationship Id="rId2081" Type="http://schemas.openxmlformats.org/officeDocument/2006/relationships/hyperlink" Target="https://fr.wikipedia.org/wiki/Savane" TargetMode="External"/><Relationship Id="rId2179" Type="http://schemas.openxmlformats.org/officeDocument/2006/relationships/hyperlink" Target="https://en.wikipedia.org/wiki/Chaff" TargetMode="External"/><Relationship Id="rId3132" Type="http://schemas.openxmlformats.org/officeDocument/2006/relationships/image" Target="media/image1074.jpeg"/><Relationship Id="rId3577" Type="http://schemas.openxmlformats.org/officeDocument/2006/relationships/hyperlink" Target="https://fr.wikipedia.org/wiki/Moringa_oleifera" TargetMode="External"/><Relationship Id="rId3784" Type="http://schemas.openxmlformats.org/officeDocument/2006/relationships/hyperlink" Target="http://ideas.repec.org/a/eee/agiwat/v25y1994i3p233-269.html" TargetMode="External"/><Relationship Id="rId3991" Type="http://schemas.openxmlformats.org/officeDocument/2006/relationships/hyperlink" Target="http://fr.wikipedia.org/wiki/Australie" TargetMode="External"/><Relationship Id="rId260" Type="http://schemas.openxmlformats.org/officeDocument/2006/relationships/image" Target="media/image112.jpeg"/><Relationship Id="rId2386" Type="http://schemas.openxmlformats.org/officeDocument/2006/relationships/hyperlink" Target="http://translate.googleusercontent.com/translate_c?depth=1&amp;hl=fr&amp;prev=/search?q%3DChrysopogon%2Bnigritanus%26biw%3D1440%26bih%3D732&amp;rurl=translate.google.fr&amp;sl=en&amp;u=http://en.wikipedia.org/wiki/Drought_tolerance&amp;usg=ALkJrhiauHdRGmGPcCaft2FbvKHiFbma7g" TargetMode="External"/><Relationship Id="rId2593" Type="http://schemas.openxmlformats.org/officeDocument/2006/relationships/hyperlink" Target="https://en.wikipedia.org/wiki/Saccharina_japonica" TargetMode="External"/><Relationship Id="rId3437" Type="http://schemas.openxmlformats.org/officeDocument/2006/relationships/image" Target="media/image1273.jpeg"/><Relationship Id="rId3644" Type="http://schemas.openxmlformats.org/officeDocument/2006/relationships/image" Target="media/image1334.jpg"/><Relationship Id="rId3851" Type="http://schemas.openxmlformats.org/officeDocument/2006/relationships/hyperlink" Target="http://www.ncbi.nlm.nih.gov/pubmed?term=Graner%20A%5bAuthor%5d&amp;cauthor=true&amp;cauthor_uid=23771136" TargetMode="External"/><Relationship Id="rId120" Type="http://schemas.openxmlformats.org/officeDocument/2006/relationships/hyperlink" Target="https://en.wikipedia.org/wiki/Oak_wilt" TargetMode="External"/><Relationship Id="rId358" Type="http://schemas.openxmlformats.org/officeDocument/2006/relationships/image" Target="media/image171.jpeg"/><Relationship Id="rId565" Type="http://schemas.openxmlformats.org/officeDocument/2006/relationships/image" Target="media/image247.jpeg"/><Relationship Id="rId772" Type="http://schemas.openxmlformats.org/officeDocument/2006/relationships/hyperlink" Target="http://en.wikipedia.org/wiki/Cassia_sieberiana" TargetMode="External"/><Relationship Id="rId1195" Type="http://schemas.openxmlformats.org/officeDocument/2006/relationships/image" Target="media/image580.jpeg"/><Relationship Id="rId2039" Type="http://schemas.openxmlformats.org/officeDocument/2006/relationships/hyperlink" Target="https://fr.wikipedia.org/wiki/Vigna_unguiculata" TargetMode="External"/><Relationship Id="rId2246" Type="http://schemas.openxmlformats.org/officeDocument/2006/relationships/hyperlink" Target="https://fr.wikipedia.org/wiki/Cicatrisation" TargetMode="External"/><Relationship Id="rId2453" Type="http://schemas.openxmlformats.org/officeDocument/2006/relationships/hyperlink" Target="http://fr.wikipedia.org/wiki/Plante_herbac%C3%A9e" TargetMode="External"/><Relationship Id="rId2660" Type="http://schemas.openxmlformats.org/officeDocument/2006/relationships/hyperlink" Target="https://en.wikipedia.org/wiki/Philippine_cuisine" TargetMode="External"/><Relationship Id="rId2898" Type="http://schemas.openxmlformats.org/officeDocument/2006/relationships/hyperlink" Target="http://translate.googleusercontent.com/translate_c?depth=1&amp;hl=fr&amp;prev=search&amp;rurl=translate.google.fr&amp;sl=en&amp;u=http://en.wikipedia.org/wiki/Burkina_Faso&amp;usg=ALkJrhjXJ-R2wWJVxRkBG7PJD6MTRRkOZg" TargetMode="External"/><Relationship Id="rId3504" Type="http://schemas.openxmlformats.org/officeDocument/2006/relationships/image" Target="media/image1315.png"/><Relationship Id="rId3711" Type="http://schemas.openxmlformats.org/officeDocument/2006/relationships/hyperlink" Target="https://www.lexpress.fr/actualite/monde/proche-moyen-orient/tout-comprendre-aux-violences-provoquees-par-la-crise-de-l-eau-en-iran_2155358.html" TargetMode="External"/><Relationship Id="rId3949" Type="http://schemas.openxmlformats.org/officeDocument/2006/relationships/image" Target="media/image1366.jpeg"/><Relationship Id="rId218" Type="http://schemas.openxmlformats.org/officeDocument/2006/relationships/hyperlink" Target="http://www.zimbabweflora.co.zw/speciesdata/species.php?species_id=151360" TargetMode="External"/><Relationship Id="rId425" Type="http://schemas.openxmlformats.org/officeDocument/2006/relationships/image" Target="media/image177.jpeg"/><Relationship Id="rId632" Type="http://schemas.openxmlformats.org/officeDocument/2006/relationships/image" Target="media/image270.jpeg"/><Relationship Id="rId1055" Type="http://schemas.openxmlformats.org/officeDocument/2006/relationships/image" Target="media/image487.jpg"/><Relationship Id="rId1262" Type="http://schemas.openxmlformats.org/officeDocument/2006/relationships/image" Target="media/image642.jpeg"/><Relationship Id="rId2106" Type="http://schemas.openxmlformats.org/officeDocument/2006/relationships/hyperlink" Target="https://en.wikipedia.org/wiki/Junagadh" TargetMode="External"/><Relationship Id="rId2313" Type="http://schemas.openxmlformats.org/officeDocument/2006/relationships/hyperlink" Target="http://fr.wikipedia.org/wiki/Afghanistan" TargetMode="External"/><Relationship Id="rId2520" Type="http://schemas.openxmlformats.org/officeDocument/2006/relationships/image" Target="media/image907.jpeg"/><Relationship Id="rId2758" Type="http://schemas.openxmlformats.org/officeDocument/2006/relationships/hyperlink" Target="https://fr.wikipedia.org/wiki/Burkina_Faso" TargetMode="External"/><Relationship Id="rId2965" Type="http://schemas.openxmlformats.org/officeDocument/2006/relationships/image" Target="media/image994.jpg"/><Relationship Id="rId3809" Type="http://schemas.openxmlformats.org/officeDocument/2006/relationships/hyperlink" Target="http://ideas.repec.org/a/eee/agiwat/v78y2005i1-2p108-121.html" TargetMode="External"/><Relationship Id="rId937" Type="http://schemas.openxmlformats.org/officeDocument/2006/relationships/hyperlink" Target="https://fr.wikipedia.org/wiki/Moringaceae" TargetMode="External"/><Relationship Id="rId1122" Type="http://schemas.openxmlformats.org/officeDocument/2006/relationships/image" Target="media/image541.jpeg"/><Relationship Id="rId1567" Type="http://schemas.openxmlformats.org/officeDocument/2006/relationships/hyperlink" Target="https://fr.wikipedia.org/wiki/Corme_(bulbe)" TargetMode="External"/><Relationship Id="rId1774" Type="http://schemas.openxmlformats.org/officeDocument/2006/relationships/hyperlink" Target="http://fr.wikipedia.org/wiki/Mellif%C3%A8re" TargetMode="External"/><Relationship Id="rId1981" Type="http://schemas.openxmlformats.org/officeDocument/2006/relationships/hyperlink" Target="https://en.wikipedia.org/wiki/Intercropping" TargetMode="External"/><Relationship Id="rId2618" Type="http://schemas.openxmlformats.org/officeDocument/2006/relationships/image" Target="media/image930.jpeg"/><Relationship Id="rId2825" Type="http://schemas.openxmlformats.org/officeDocument/2006/relationships/hyperlink" Target="http://translate.googleusercontent.com/translate_c?depth=1&amp;hl=fr&amp;prev=search&amp;rurl=translate.google.fr&amp;sl=en&amp;u=http://en.wikipedia.org/wiki/Detergent&amp;usg=ALkJrhh2D7SQA10aeR3gcu47aMB0G5mVag" TargetMode="External"/><Relationship Id="rId4180" Type="http://schemas.openxmlformats.org/officeDocument/2006/relationships/hyperlink" Target="http://www.cabi.org/isc/datasheet/112577" TargetMode="External"/><Relationship Id="rId4278" Type="http://schemas.openxmlformats.org/officeDocument/2006/relationships/hyperlink" Target="http://www.cabi.org/isc/datasheet/52483" TargetMode="External"/><Relationship Id="rId4485" Type="http://schemas.openxmlformats.org/officeDocument/2006/relationships/image" Target="media/image1490.jpg"/><Relationship Id="rId66" Type="http://schemas.openxmlformats.org/officeDocument/2006/relationships/hyperlink" Target="http://fr.wikipedia.org/wiki/Organisation_des_Nations_unies_pour_l'alimentation_et_l'agriculture" TargetMode="External"/><Relationship Id="rId1427" Type="http://schemas.openxmlformats.org/officeDocument/2006/relationships/hyperlink" Target="http://www.bashanfoundation.org/gmaweb/pdfs/growth.pdf" TargetMode="External"/><Relationship Id="rId1634" Type="http://schemas.openxmlformats.org/officeDocument/2006/relationships/hyperlink" Target="http://www.oryza.com/content/super-salt-tolerant-rice-will-help-reclaim-millions-hectares-rice-area-says-irri" TargetMode="External"/><Relationship Id="rId1841" Type="http://schemas.openxmlformats.org/officeDocument/2006/relationships/hyperlink" Target="https://fr.wikipedia.org/wiki/%C3%89leusine_des_Indes" TargetMode="External"/><Relationship Id="rId3087" Type="http://schemas.openxmlformats.org/officeDocument/2006/relationships/image" Target="media/image1040.jpeg"/><Relationship Id="rId3294" Type="http://schemas.openxmlformats.org/officeDocument/2006/relationships/image" Target="media/image1173.jpeg"/><Relationship Id="rId4040" Type="http://schemas.openxmlformats.org/officeDocument/2006/relationships/hyperlink" Target="https://translate.googleusercontent.com/translate_c?depth=1&amp;hl=fr&amp;prev=search&amp;rurl=translate.google.fr&amp;sl=en&amp;u=https://en.wikipedia.org/wiki/Windbreak&amp;usg=ALkJrhjEF6_y8vxjdDV9O0EfomZmAQTs9Q" TargetMode="External"/><Relationship Id="rId4138" Type="http://schemas.openxmlformats.org/officeDocument/2006/relationships/hyperlink" Target="http://fr.wikipedia.org/wiki/Prosopis" TargetMode="External"/><Relationship Id="rId4345" Type="http://schemas.openxmlformats.org/officeDocument/2006/relationships/hyperlink" Target="https://fr.wikipedia.org/wiki/Massette_%C3%A0_larges_feuilles" TargetMode="External"/><Relationship Id="rId1939" Type="http://schemas.openxmlformats.org/officeDocument/2006/relationships/hyperlink" Target="https://en.wikipedia.org/wiki/Seedbed" TargetMode="External"/><Relationship Id="rId3599" Type="http://schemas.openxmlformats.org/officeDocument/2006/relationships/hyperlink" Target="https://fr.wikipedia.org/wiki/Prix_Nobel_de_la_paix" TargetMode="External"/><Relationship Id="rId4552" Type="http://schemas.openxmlformats.org/officeDocument/2006/relationships/hyperlink" Target="mailto:benjamin.lisan@free.fr" TargetMode="External"/><Relationship Id="rId1701" Type="http://schemas.openxmlformats.org/officeDocument/2006/relationships/hyperlink" Target="https://fr.wikipedia.org/wiki/Brassicaceae" TargetMode="External"/><Relationship Id="rId3154" Type="http://schemas.openxmlformats.org/officeDocument/2006/relationships/hyperlink" Target="https://fr.wikipedia.org/wiki/Causse_de_Blandas" TargetMode="External"/><Relationship Id="rId3361" Type="http://schemas.openxmlformats.org/officeDocument/2006/relationships/image" Target="media/image1222.jpeg"/><Relationship Id="rId3459" Type="http://schemas.openxmlformats.org/officeDocument/2006/relationships/image" Target="media/image1294.png"/><Relationship Id="rId3666" Type="http://schemas.openxmlformats.org/officeDocument/2006/relationships/hyperlink" Target="http://www.sciencedaily.com/releases/2013/10/131006142707.htm" TargetMode="External"/><Relationship Id="rId4205" Type="http://schemas.openxmlformats.org/officeDocument/2006/relationships/hyperlink" Target="http://www.cabi.org/isc/datasheet/112587" TargetMode="External"/><Relationship Id="rId4412" Type="http://schemas.openxmlformats.org/officeDocument/2006/relationships/hyperlink" Target="http://fr.wikipedia.org/wiki/%C3%89cor%C3%A9gion" TargetMode="External"/><Relationship Id="rId282" Type="http://schemas.openxmlformats.org/officeDocument/2006/relationships/image" Target="media/image124.jpeg"/><Relationship Id="rId587" Type="http://schemas.openxmlformats.org/officeDocument/2006/relationships/hyperlink" Target="https://fr.wikipedia.org/wiki/Fabaceae" TargetMode="External"/><Relationship Id="rId2170" Type="http://schemas.openxmlformats.org/officeDocument/2006/relationships/hyperlink" Target="https://fr.wikipedia.org/wiki/V%C3%A9g%C3%A9tal" TargetMode="External"/><Relationship Id="rId2268" Type="http://schemas.openxmlformats.org/officeDocument/2006/relationships/hyperlink" Target="https://fr.wikipedia.org/wiki/Fabaceae" TargetMode="External"/><Relationship Id="rId3014" Type="http://schemas.openxmlformats.org/officeDocument/2006/relationships/hyperlink" Target="http://fr.wikipedia.org/wiki/Beta-sitosterol" TargetMode="External"/><Relationship Id="rId3221" Type="http://schemas.openxmlformats.org/officeDocument/2006/relationships/image" Target="media/image1134.png"/><Relationship Id="rId3319" Type="http://schemas.openxmlformats.org/officeDocument/2006/relationships/image" Target="media/image1192.jpg"/><Relationship Id="rId3873" Type="http://schemas.openxmlformats.org/officeDocument/2006/relationships/hyperlink" Target="https://www.downtoearth.org.in/news/wildlife-biodiversity/bhitarkanika-will-die-if-freshwater-extraction-by-industries-continues-activist-78828" TargetMode="External"/><Relationship Id="rId8" Type="http://schemas.openxmlformats.org/officeDocument/2006/relationships/image" Target="media/image1.jpeg"/><Relationship Id="rId142" Type="http://schemas.openxmlformats.org/officeDocument/2006/relationships/image" Target="media/image50.jpeg"/><Relationship Id="rId447" Type="http://schemas.openxmlformats.org/officeDocument/2006/relationships/image" Target="media/image190.jpeg"/><Relationship Id="rId794" Type="http://schemas.openxmlformats.org/officeDocument/2006/relationships/hyperlink" Target="https://en.wikipedia.org/wiki/Millettia_pinnata" TargetMode="External"/><Relationship Id="rId1077" Type="http://schemas.openxmlformats.org/officeDocument/2006/relationships/image" Target="media/image501.jpeg"/><Relationship Id="rId2030" Type="http://schemas.openxmlformats.org/officeDocument/2006/relationships/hyperlink" Target="https://en.wikipedia.org/wiki/Purdue_Improved_Crop_Storage_bags" TargetMode="External"/><Relationship Id="rId2128" Type="http://schemas.openxmlformats.org/officeDocument/2006/relationships/hyperlink" Target="https://fr.wikipedia.org/wiki/Colle_pistache" TargetMode="External"/><Relationship Id="rId2475" Type="http://schemas.openxmlformats.org/officeDocument/2006/relationships/hyperlink" Target="https://fr.wikipedia.org/wiki/Esp%C3%A8ce" TargetMode="External"/><Relationship Id="rId2682" Type="http://schemas.openxmlformats.org/officeDocument/2006/relationships/hyperlink" Target="https://en.wikipedia.org/wiki/Oomycete" TargetMode="External"/><Relationship Id="rId2987" Type="http://schemas.openxmlformats.org/officeDocument/2006/relationships/hyperlink" Target="http://en.wikipedia.org/wiki/Andhra_Pradesh" TargetMode="External"/><Relationship Id="rId3526" Type="http://schemas.openxmlformats.org/officeDocument/2006/relationships/image" Target="media/image1319.jpeg"/><Relationship Id="rId3733" Type="http://schemas.openxmlformats.org/officeDocument/2006/relationships/hyperlink" Target="http://satoumix.free.fr/paf/spip.php?auteur1" TargetMode="External"/><Relationship Id="rId3940" Type="http://schemas.openxmlformats.org/officeDocument/2006/relationships/hyperlink" Target="https://arsie.mg/fr/metadata/la-disparition-des-opuntia-et-les-famines-periodiques-dans-le--597732" TargetMode="External"/><Relationship Id="rId654" Type="http://schemas.openxmlformats.org/officeDocument/2006/relationships/hyperlink" Target="https://fr.wikipedia.org/wiki/Pirogue" TargetMode="External"/><Relationship Id="rId861" Type="http://schemas.openxmlformats.org/officeDocument/2006/relationships/hyperlink" Target="http://fr.wikipedia.org/wiki/Poivron" TargetMode="External"/><Relationship Id="rId959" Type="http://schemas.openxmlformats.org/officeDocument/2006/relationships/image" Target="media/image425.jpeg"/><Relationship Id="rId1284" Type="http://schemas.openxmlformats.org/officeDocument/2006/relationships/hyperlink" Target="http://fr.wikipedia.org/wiki/Littoral" TargetMode="External"/><Relationship Id="rId1491" Type="http://schemas.openxmlformats.org/officeDocument/2006/relationships/hyperlink" Target="http://fr.wikipedia.org/wiki/Europe" TargetMode="External"/><Relationship Id="rId1589" Type="http://schemas.openxmlformats.org/officeDocument/2006/relationships/hyperlink" Target="http://fr.wikipedia.org/wiki/Rhopalosiphum" TargetMode="External"/><Relationship Id="rId2335" Type="http://schemas.openxmlformats.org/officeDocument/2006/relationships/hyperlink" Target="https://fr.wikipedia.org/wiki/Famille_(biologie)" TargetMode="External"/><Relationship Id="rId2542" Type="http://schemas.openxmlformats.org/officeDocument/2006/relationships/image" Target="media/image915.jpeg"/><Relationship Id="rId3800" Type="http://schemas.openxmlformats.org/officeDocument/2006/relationships/hyperlink" Target="http://ideas.repec.org/s/eee/agiwat.html" TargetMode="External"/><Relationship Id="rId307" Type="http://schemas.openxmlformats.org/officeDocument/2006/relationships/hyperlink" Target="http://en.wikipedia.org/wiki/Pistachio" TargetMode="External"/><Relationship Id="rId514" Type="http://schemas.openxmlformats.org/officeDocument/2006/relationships/hyperlink" Target="http://fr.wikipedia.org/wiki/Amandier" TargetMode="External"/><Relationship Id="rId721" Type="http://schemas.openxmlformats.org/officeDocument/2006/relationships/image" Target="media/image310.jpeg"/><Relationship Id="rId1144" Type="http://schemas.openxmlformats.org/officeDocument/2006/relationships/image" Target="media/image549.jpeg"/><Relationship Id="rId1351" Type="http://schemas.openxmlformats.org/officeDocument/2006/relationships/hyperlink" Target="http://www.kfu.edu.sa/sjournal/eng/pdffiles/BVOL4NO1_5.pdf" TargetMode="External"/><Relationship Id="rId1449" Type="http://schemas.openxmlformats.org/officeDocument/2006/relationships/image" Target="media/image654.jpeg"/><Relationship Id="rId1796" Type="http://schemas.openxmlformats.org/officeDocument/2006/relationships/hyperlink" Target="https://fr.wikipedia.org/wiki/%C3%89pi_de_c%C3%A9r%C3%A9ale" TargetMode="External"/><Relationship Id="rId2402" Type="http://schemas.openxmlformats.org/officeDocument/2006/relationships/hyperlink" Target="https://fr.wikipedia.org/wiki/Famille_(biologie)" TargetMode="External"/><Relationship Id="rId2847" Type="http://schemas.openxmlformats.org/officeDocument/2006/relationships/hyperlink" Target="http://en.wikipedia.org/wiki/Commiphora_myrrha" TargetMode="External"/><Relationship Id="rId4062" Type="http://schemas.openxmlformats.org/officeDocument/2006/relationships/hyperlink" Target="https://en.wikipedia.org/wiki/Fruit" TargetMode="External"/><Relationship Id="rId88" Type="http://schemas.openxmlformats.org/officeDocument/2006/relationships/hyperlink" Target="https://fr.wikipedia.org/wiki/%C3%89quateur_(pays)" TargetMode="External"/><Relationship Id="rId819" Type="http://schemas.openxmlformats.org/officeDocument/2006/relationships/image" Target="media/image367.jpeg"/><Relationship Id="rId1004" Type="http://schemas.openxmlformats.org/officeDocument/2006/relationships/image" Target="media/image456.jpg"/><Relationship Id="rId1211" Type="http://schemas.openxmlformats.org/officeDocument/2006/relationships/image" Target="media/image592.jpeg"/><Relationship Id="rId1656" Type="http://schemas.openxmlformats.org/officeDocument/2006/relationships/image" Target="media/image709.jpeg"/><Relationship Id="rId1863" Type="http://schemas.openxmlformats.org/officeDocument/2006/relationships/image" Target="media/image778.jpeg"/><Relationship Id="rId2707" Type="http://schemas.openxmlformats.org/officeDocument/2006/relationships/image" Target="media/image946.jpeg"/><Relationship Id="rId2914" Type="http://schemas.openxmlformats.org/officeDocument/2006/relationships/hyperlink" Target="http://translate.googleusercontent.com/translate_c?depth=1&amp;hl=fr&amp;prev=search&amp;rurl=translate.google.fr&amp;sl=en&amp;u=http://en.wikipedia.org/wiki/Uganda&amp;usg=ALkJrhhX7A7oSrVH5IqTsttR2-sxHibgiA" TargetMode="External"/><Relationship Id="rId4367" Type="http://schemas.openxmlformats.org/officeDocument/2006/relationships/hyperlink" Target="http://fr.wikipedia.org/wiki/M%C3%A9diterran%C3%A9e" TargetMode="External"/><Relationship Id="rId1309" Type="http://schemas.openxmlformats.org/officeDocument/2006/relationships/hyperlink" Target="http://translate.googleusercontent.com/translate_c?depth=1&amp;hl=fr&amp;prev=/search?q%3Dsalicornia%2Bherbacea%2Bwikipedia%26biw%3D1440%26bih%3D732&amp;rurl=translate.google.fr&amp;sl=en&amp;u=http://en.wikipedia.org/wiki/Hectare&amp;usg=ALkJrhgyERMpWcuu9WuSPvw83vm2muc1YA" TargetMode="External"/><Relationship Id="rId1516" Type="http://schemas.openxmlformats.org/officeDocument/2006/relationships/hyperlink" Target="https://fr.wikipedia.org/wiki/Aroideae" TargetMode="External"/><Relationship Id="rId1723" Type="http://schemas.openxmlformats.org/officeDocument/2006/relationships/hyperlink" Target="http://nature.jardin.free.fr/vivace/ft_crithmum_mar.html" TargetMode="External"/><Relationship Id="rId1930" Type="http://schemas.openxmlformats.org/officeDocument/2006/relationships/hyperlink" Target="https://fr.wikipedia.org/wiki/Gousse" TargetMode="External"/><Relationship Id="rId3176" Type="http://schemas.openxmlformats.org/officeDocument/2006/relationships/image" Target="media/image1095.jpeg"/><Relationship Id="rId3383" Type="http://schemas.openxmlformats.org/officeDocument/2006/relationships/image" Target="media/image1243.jpeg"/><Relationship Id="rId3590" Type="http://schemas.openxmlformats.org/officeDocument/2006/relationships/hyperlink" Target="https://fr.wikipedia.org/wiki/Agence_panafricaine_de_la_grande_muraille_verte" TargetMode="External"/><Relationship Id="rId4227" Type="http://schemas.openxmlformats.org/officeDocument/2006/relationships/hyperlink" Target="http://www.cabi.org/isc/datasheet/112594" TargetMode="External"/><Relationship Id="rId4434" Type="http://schemas.openxmlformats.org/officeDocument/2006/relationships/hyperlink" Target="http://fr.wiktionary.org/wiki/r%C3%A9servoir" TargetMode="External"/><Relationship Id="rId15" Type="http://schemas.openxmlformats.org/officeDocument/2006/relationships/hyperlink" Target="http://doc-developpement-durable.org/" TargetMode="External"/><Relationship Id="rId2192" Type="http://schemas.openxmlformats.org/officeDocument/2006/relationships/hyperlink" Target="https://en.wikipedia.org/wiki/Unpalatable" TargetMode="External"/><Relationship Id="rId3036" Type="http://schemas.openxmlformats.org/officeDocument/2006/relationships/hyperlink" Target="http://en.wikipedia.org/wiki/Runoff_water" TargetMode="External"/><Relationship Id="rId3243" Type="http://schemas.openxmlformats.org/officeDocument/2006/relationships/hyperlink" Target="https://en.wikipedia.org/wiki/Turkey" TargetMode="External"/><Relationship Id="rId3688" Type="http://schemas.openxmlformats.org/officeDocument/2006/relationships/hyperlink" Target="http://www.waqsp.org/fr" TargetMode="External"/><Relationship Id="rId3895" Type="http://schemas.openxmlformats.org/officeDocument/2006/relationships/hyperlink" Target="http://www.dailymotion.com/video/x1z2kaq_il-etait-une-fois-notre-terre-03-l-eau-precieuse-en-inde_school" TargetMode="External"/><Relationship Id="rId164" Type="http://schemas.openxmlformats.org/officeDocument/2006/relationships/image" Target="media/image71.jpg"/><Relationship Id="rId371" Type="http://schemas.openxmlformats.org/officeDocument/2006/relationships/hyperlink" Target="https://fr.wikipedia.org/wiki/Vitis_labrusca" TargetMode="External"/><Relationship Id="rId2052" Type="http://schemas.openxmlformats.org/officeDocument/2006/relationships/image" Target="media/image800.jpeg"/><Relationship Id="rId2497" Type="http://schemas.openxmlformats.org/officeDocument/2006/relationships/hyperlink" Target="https://fr.wikipedia.org/wiki/Mad%C3%A8re" TargetMode="External"/><Relationship Id="rId3450" Type="http://schemas.openxmlformats.org/officeDocument/2006/relationships/image" Target="media/image1286.jpeg"/><Relationship Id="rId3548" Type="http://schemas.openxmlformats.org/officeDocument/2006/relationships/hyperlink" Target="https://fr.wikipedia.org/wiki/%C3%89cosyst%C3%A8me" TargetMode="External"/><Relationship Id="rId3755" Type="http://schemas.openxmlformats.org/officeDocument/2006/relationships/hyperlink" Target="http://www.miracosta.edu/home/kmeldahl/articles/crops.pdf" TargetMode="External"/><Relationship Id="rId4501" Type="http://schemas.openxmlformats.org/officeDocument/2006/relationships/hyperlink" Target="http://fr.wikipedia.org/wiki/Permaculture" TargetMode="External"/><Relationship Id="rId469" Type="http://schemas.openxmlformats.org/officeDocument/2006/relationships/image" Target="media/image200.jpeg"/><Relationship Id="rId676" Type="http://schemas.openxmlformats.org/officeDocument/2006/relationships/hyperlink" Target="http://www.hear.org/pier/species/albizia_lebbeck.htm" TargetMode="External"/><Relationship Id="rId883" Type="http://schemas.openxmlformats.org/officeDocument/2006/relationships/hyperlink" Target="https://en.wikipedia.org/wiki/Juncus_rigidus" TargetMode="External"/><Relationship Id="rId1099" Type="http://schemas.openxmlformats.org/officeDocument/2006/relationships/image" Target="media/image522.png"/><Relationship Id="rId2357" Type="http://schemas.openxmlformats.org/officeDocument/2006/relationships/hyperlink" Target="http://fr.wikipedia.org/w/index.php?title=Chrysopogon_nigritanus&amp;action=edit&amp;redlink=1" TargetMode="External"/><Relationship Id="rId2564" Type="http://schemas.openxmlformats.org/officeDocument/2006/relationships/image" Target="media/image921.jpeg"/><Relationship Id="rId3103" Type="http://schemas.openxmlformats.org/officeDocument/2006/relationships/image" Target="media/image1055.jpeg"/><Relationship Id="rId3310" Type="http://schemas.openxmlformats.org/officeDocument/2006/relationships/image" Target="media/image1183.jpg"/><Relationship Id="rId3408" Type="http://schemas.openxmlformats.org/officeDocument/2006/relationships/hyperlink" Target="https://www.persee.fr/doc/tiers_0040-7356_1978_num_19_73_2785" TargetMode="External"/><Relationship Id="rId3615" Type="http://schemas.openxmlformats.org/officeDocument/2006/relationships/hyperlink" Target="https://fr.wikipedia.org/wiki/Dune" TargetMode="External"/><Relationship Id="rId3962" Type="http://schemas.openxmlformats.org/officeDocument/2006/relationships/hyperlink" Target="https://fr.wikipedia.org/wiki/Opuntia_stricta" TargetMode="External"/><Relationship Id="rId231" Type="http://schemas.openxmlformats.org/officeDocument/2006/relationships/image" Target="media/image109.jpg"/><Relationship Id="rId329" Type="http://schemas.openxmlformats.org/officeDocument/2006/relationships/hyperlink" Target="http://translate.googleusercontent.com/translate_c?depth=1&amp;hl=fr&amp;prev=/search?q%3Dpistacia%2Blentiscus%2Bwikipedia%26biw%3D1440%26bih%3D732&amp;rurl=translate.google.fr&amp;sl=en&amp;u=http://en.wikipedia.org/wiki/%C4%B0stanbul&amp;usg=ALkJrhgJdDQpTcaNnP2BMCt3j0Umks0a6A" TargetMode="External"/><Relationship Id="rId536" Type="http://schemas.openxmlformats.org/officeDocument/2006/relationships/image" Target="media/image233.jpeg"/><Relationship Id="rId1166" Type="http://schemas.openxmlformats.org/officeDocument/2006/relationships/hyperlink" Target="https://en.wikipedia.org/wiki/Crab-eating_macaque" TargetMode="External"/><Relationship Id="rId1373" Type="http://schemas.openxmlformats.org/officeDocument/2006/relationships/hyperlink" Target="http://www.biomassmagazine.com/article.jsp?article_id=1864" TargetMode="External"/><Relationship Id="rId2217" Type="http://schemas.openxmlformats.org/officeDocument/2006/relationships/hyperlink" Target="https://en.wikipedia.org/wiki/Farmer_field_school" TargetMode="External"/><Relationship Id="rId2771" Type="http://schemas.openxmlformats.org/officeDocument/2006/relationships/hyperlink" Target="https://fr.wikipedia.org/wiki/Chlorure_de_sodium" TargetMode="External"/><Relationship Id="rId2869" Type="http://schemas.openxmlformats.org/officeDocument/2006/relationships/hyperlink" Target="http://translate.googleusercontent.com/translate_c?depth=1&amp;hl=fr&amp;prev=search&amp;rurl=translate.google.fr&amp;sl=en&amp;u=http://en.wikipedia.org/wiki/Semi-arid&amp;usg=ALkJrhi-YOX6uYY-aQao4dx7VVm61AD9bQ" TargetMode="External"/><Relationship Id="rId3822" Type="http://schemas.openxmlformats.org/officeDocument/2006/relationships/hyperlink" Target="http://ideas.repec.org/a/eee/agiwat/v123y2013icp1-11.html" TargetMode="External"/><Relationship Id="rId743" Type="http://schemas.openxmlformats.org/officeDocument/2006/relationships/hyperlink" Target="http://en.wikipedia.org/wiki/Acacia_ehrenbergiana" TargetMode="External"/><Relationship Id="rId950" Type="http://schemas.openxmlformats.org/officeDocument/2006/relationships/hyperlink" Target="https://fr.wikipedia.org/wiki/Papier" TargetMode="External"/><Relationship Id="rId1026" Type="http://schemas.openxmlformats.org/officeDocument/2006/relationships/image" Target="media/image471.jpeg"/><Relationship Id="rId1580" Type="http://schemas.openxmlformats.org/officeDocument/2006/relationships/hyperlink" Target="http://fr.wikipedia.org/wiki/Orge_perl%C3%A9" TargetMode="External"/><Relationship Id="rId1678" Type="http://schemas.openxmlformats.org/officeDocument/2006/relationships/hyperlink" Target="http://www.agr.gc.ca/fra/science-et-innovation/centres-de-recherche/saskatchewan/centre-de-recherches-de-saskatoon/personnel-et-expertise-scientifiques/falk-kevin-phd/?id=1181936973726" TargetMode="External"/><Relationship Id="rId1885" Type="http://schemas.openxmlformats.org/officeDocument/2006/relationships/hyperlink" Target="https://fr.wikipedia.org/wiki/Zone_s%C3%A8che" TargetMode="External"/><Relationship Id="rId2424" Type="http://schemas.openxmlformats.org/officeDocument/2006/relationships/hyperlink" Target="http://fr.wikipedia.org/wiki/Plante_ornementale" TargetMode="External"/><Relationship Id="rId2631" Type="http://schemas.openxmlformats.org/officeDocument/2006/relationships/hyperlink" Target="https://en.wikipedia.org/wiki/Oomycete" TargetMode="External"/><Relationship Id="rId2729" Type="http://schemas.openxmlformats.org/officeDocument/2006/relationships/hyperlink" Target="https://fr.wikipedia.org/wiki/Eau_saum%C3%A2tre" TargetMode="External"/><Relationship Id="rId2936" Type="http://schemas.openxmlformats.org/officeDocument/2006/relationships/image" Target="media/image985.jpg"/><Relationship Id="rId4084" Type="http://schemas.openxmlformats.org/officeDocument/2006/relationships/hyperlink" Target="http://fr.wikipedia.org/wiki/Am%C3%A9rique_du_Sud" TargetMode="External"/><Relationship Id="rId4291" Type="http://schemas.openxmlformats.org/officeDocument/2006/relationships/image" Target="media/image1438.jpg"/><Relationship Id="rId4389" Type="http://schemas.openxmlformats.org/officeDocument/2006/relationships/hyperlink" Target="http://en.wikipedia.org/wiki/Helianthus_ciliaris" TargetMode="External"/><Relationship Id="rId603" Type="http://schemas.openxmlformats.org/officeDocument/2006/relationships/hyperlink" Target="https://www.senegal-export.com/le-ditakh,91" TargetMode="External"/><Relationship Id="rId810" Type="http://schemas.openxmlformats.org/officeDocument/2006/relationships/image" Target="media/image360.jpeg"/><Relationship Id="rId908" Type="http://schemas.openxmlformats.org/officeDocument/2006/relationships/hyperlink" Target="http://www.kahikateafarm.co.nz/fruit-and-nuts/item/341-taupata.html" TargetMode="External"/><Relationship Id="rId1233" Type="http://schemas.openxmlformats.org/officeDocument/2006/relationships/image" Target="media/image613.jpeg"/><Relationship Id="rId1440" Type="http://schemas.openxmlformats.org/officeDocument/2006/relationships/image" Target="media/image649.jpeg"/><Relationship Id="rId1538" Type="http://schemas.openxmlformats.org/officeDocument/2006/relationships/hyperlink" Target="https://fr.wikipedia.org/w/index.php?title=Tarodi%C3%A8re&amp;action=edit&amp;redlink=1" TargetMode="External"/><Relationship Id="rId4151" Type="http://schemas.openxmlformats.org/officeDocument/2006/relationships/hyperlink" Target="http://translate.googleusercontent.com/translate_c?depth=1&amp;hl=fr&amp;prev=/search?q%3DProsopis%2Bpallida%26biw%3D1440%26bih%3D732&amp;rurl=translate.google.fr&amp;sl=en&amp;u=http://en.wikipedia.org/wiki/Charcoal&amp;usg=ALkJrhiImB7YDOoAYGKv8hsPhGx3Hunpog" TargetMode="External"/><Relationship Id="rId1300" Type="http://schemas.openxmlformats.org/officeDocument/2006/relationships/hyperlink" Target="http://www.unevieenafrique.com/fbbien-manger-a-dakar" TargetMode="External"/><Relationship Id="rId1745" Type="http://schemas.openxmlformats.org/officeDocument/2006/relationships/hyperlink" Target="https://fr.wikipedia.org/wiki/Camelina_sativa" TargetMode="External"/><Relationship Id="rId1952" Type="http://schemas.openxmlformats.org/officeDocument/2006/relationships/hyperlink" Target="https://en.wikipedia.org/wiki/Potassium" TargetMode="External"/><Relationship Id="rId3198" Type="http://schemas.openxmlformats.org/officeDocument/2006/relationships/image" Target="media/image1112.jpeg"/><Relationship Id="rId4011" Type="http://schemas.openxmlformats.org/officeDocument/2006/relationships/hyperlink" Target="http://www.hear.org/pier/species/acacia_auriculiformis.htm" TargetMode="External"/><Relationship Id="rId4249" Type="http://schemas.openxmlformats.org/officeDocument/2006/relationships/hyperlink" Target="https://fr.wikipedia.org/wiki/Tamaricaceae" TargetMode="External"/><Relationship Id="rId4456" Type="http://schemas.openxmlformats.org/officeDocument/2006/relationships/hyperlink" Target="https://fr.wikipedia.org/wiki/Serre_%C3%A0_eau_de_mer" TargetMode="External"/><Relationship Id="rId37" Type="http://schemas.openxmlformats.org/officeDocument/2006/relationships/hyperlink" Target="https://fr.wikipedia.org/wiki/Himalaya" TargetMode="External"/><Relationship Id="rId1605" Type="http://schemas.openxmlformats.org/officeDocument/2006/relationships/image" Target="media/image688.jpeg"/><Relationship Id="rId1812" Type="http://schemas.openxmlformats.org/officeDocument/2006/relationships/hyperlink" Target="https://fr.wikipedia.org/wiki/Sahel_africain" TargetMode="External"/><Relationship Id="rId3058" Type="http://schemas.openxmlformats.org/officeDocument/2006/relationships/image" Target="media/image1013.jpeg"/><Relationship Id="rId3265" Type="http://schemas.openxmlformats.org/officeDocument/2006/relationships/image" Target="media/image1160.jpeg"/><Relationship Id="rId3472" Type="http://schemas.openxmlformats.org/officeDocument/2006/relationships/hyperlink" Target="http://fr.wikipedia.org/wiki/Feu" TargetMode="External"/><Relationship Id="rId4109" Type="http://schemas.openxmlformats.org/officeDocument/2006/relationships/image" Target="media/image1417.jpeg"/><Relationship Id="rId4316" Type="http://schemas.openxmlformats.org/officeDocument/2006/relationships/image" Target="media/image1446.jpeg"/><Relationship Id="rId4523" Type="http://schemas.openxmlformats.org/officeDocument/2006/relationships/hyperlink" Target="https://fr.wikipedia.org/wiki/Convolution" TargetMode="External"/><Relationship Id="rId186" Type="http://schemas.openxmlformats.org/officeDocument/2006/relationships/hyperlink" Target="http://en.wikipedia.org/wiki/Sri_Lanka" TargetMode="External"/><Relationship Id="rId393" Type="http://schemas.openxmlformats.org/officeDocument/2006/relationships/hyperlink" Target="https://fr.wikipedia.org/wiki/Vigne_sauvage" TargetMode="External"/><Relationship Id="rId2074" Type="http://schemas.openxmlformats.org/officeDocument/2006/relationships/hyperlink" Target="https://en.wikipedia.org/wiki/Fertilizer" TargetMode="External"/><Relationship Id="rId2281" Type="http://schemas.openxmlformats.org/officeDocument/2006/relationships/hyperlink" Target="http://www.regional.org.au/au/asa/2006/poster/soil/4423_evansp.htm" TargetMode="External"/><Relationship Id="rId3125" Type="http://schemas.openxmlformats.org/officeDocument/2006/relationships/hyperlink" Target="http://translate.googleusercontent.com/translate_c?depth=1&amp;hl=fr&amp;prev=/search?q%3Dindian%2Bjohad%26sa%3DX%26hl%3Dfr%26biw%3D1440%26bih%3D732%26site%3Dimghp&amp;rurl=translate.google.fr&amp;sl=en&amp;u=http://en.wikipedia.org/wiki/India&amp;usg=ALkJrhiZk8QjvCCSEI9DTlS1SsakzwUVMw" TargetMode="External"/><Relationship Id="rId3332" Type="http://schemas.openxmlformats.org/officeDocument/2006/relationships/image" Target="media/image1202.jpg"/><Relationship Id="rId3777" Type="http://schemas.openxmlformats.org/officeDocument/2006/relationships/hyperlink" Target="https://www.iata.org/pressroom/facts_figures/fact_sheets/pages/alt-fuels.aspx" TargetMode="External"/><Relationship Id="rId3984" Type="http://schemas.openxmlformats.org/officeDocument/2006/relationships/image" Target="media/image1376.jpeg"/><Relationship Id="rId253" Type="http://schemas.openxmlformats.org/officeDocument/2006/relationships/hyperlink" Target="http://fr.wikipedia.org/wiki/Jujubier_commun" TargetMode="External"/><Relationship Id="rId460" Type="http://schemas.openxmlformats.org/officeDocument/2006/relationships/hyperlink" Target="https://fr.wikipedia.org/wiki/Famille_(biologie)" TargetMode="External"/><Relationship Id="rId698" Type="http://schemas.openxmlformats.org/officeDocument/2006/relationships/hyperlink" Target="http://en.wikipedia.org/wiki/Vachellia_seyal" TargetMode="External"/><Relationship Id="rId1090" Type="http://schemas.openxmlformats.org/officeDocument/2006/relationships/image" Target="media/image514.jpg"/><Relationship Id="rId2141" Type="http://schemas.openxmlformats.org/officeDocument/2006/relationships/hyperlink" Target="https://fr.wikipedia.org/wiki/Lathyrus_sativus" TargetMode="External"/><Relationship Id="rId2379" Type="http://schemas.openxmlformats.org/officeDocument/2006/relationships/hyperlink" Target="http://translate.googleusercontent.com/translate_c?depth=1&amp;hl=fr&amp;prev=/search?q%3DChrysopogon%2Bnigritanus%26biw%3D1440%26bih%3D732&amp;rurl=translate.google.fr&amp;sl=en&amp;u=http://en.wikipedia.org/wiki/Soil_erosion&amp;usg=ALkJrhhUV6NaIXow9kQxo_tzVVTCh4OCSg" TargetMode="External"/><Relationship Id="rId2586" Type="http://schemas.openxmlformats.org/officeDocument/2006/relationships/hyperlink" Target="https://fr.wikipedia.org/wiki/Chine" TargetMode="External"/><Relationship Id="rId2793" Type="http://schemas.openxmlformats.org/officeDocument/2006/relationships/image" Target="media/image960.jpeg"/><Relationship Id="rId3637" Type="http://schemas.openxmlformats.org/officeDocument/2006/relationships/image" Target="media/image1327.jpg"/><Relationship Id="rId3844" Type="http://schemas.openxmlformats.org/officeDocument/2006/relationships/hyperlink" Target="http://www.agriculturejournals.cz/publicFiles/36137.pdf" TargetMode="External"/><Relationship Id="rId113" Type="http://schemas.openxmlformats.org/officeDocument/2006/relationships/hyperlink" Target="https://en.wikipedia.org/wiki/Weed" TargetMode="External"/><Relationship Id="rId320" Type="http://schemas.openxmlformats.org/officeDocument/2006/relationships/hyperlink" Target="http://californiaagriculture.ucanr.edu/landingpage.cfm?article=ca.v063n01p18&amp;fulltext=yes" TargetMode="External"/><Relationship Id="rId558" Type="http://schemas.openxmlformats.org/officeDocument/2006/relationships/hyperlink" Target="https://fr.wikipedia.org/wiki/Famille_(biologie)" TargetMode="External"/><Relationship Id="rId765" Type="http://schemas.openxmlformats.org/officeDocument/2006/relationships/image" Target="media/image333.jpeg"/><Relationship Id="rId972" Type="http://schemas.openxmlformats.org/officeDocument/2006/relationships/hyperlink" Target="https://fr.wikipedia.org/wiki/Moringaceae" TargetMode="External"/><Relationship Id="rId1188" Type="http://schemas.openxmlformats.org/officeDocument/2006/relationships/image" Target="media/image576.jpeg"/><Relationship Id="rId1395" Type="http://schemas.openxmlformats.org/officeDocument/2006/relationships/hyperlink" Target="http://en.wikipedia.org/wiki/Salicornia_oil" TargetMode="External"/><Relationship Id="rId2001" Type="http://schemas.openxmlformats.org/officeDocument/2006/relationships/hyperlink" Target="https://en.wikipedia.org/wiki/Thrips" TargetMode="External"/><Relationship Id="rId2239" Type="http://schemas.openxmlformats.org/officeDocument/2006/relationships/hyperlink" Target="https://fr.wikipedia.org/wiki/Drageon" TargetMode="External"/><Relationship Id="rId2446" Type="http://schemas.openxmlformats.org/officeDocument/2006/relationships/hyperlink" Target="http://www.bluestem.ca/panicum-dewey-blue.htm" TargetMode="External"/><Relationship Id="rId2653" Type="http://schemas.openxmlformats.org/officeDocument/2006/relationships/image" Target="media/image937.jpeg"/><Relationship Id="rId2860" Type="http://schemas.openxmlformats.org/officeDocument/2006/relationships/image" Target="media/image979.jpg"/><Relationship Id="rId3704" Type="http://schemas.openxmlformats.org/officeDocument/2006/relationships/hyperlink" Target="http://biblio.univ-antananarivo.mg/pdfs/andrianiainaRindraTP_PC_Lic_18.pdf" TargetMode="External"/><Relationship Id="rId418" Type="http://schemas.openxmlformats.org/officeDocument/2006/relationships/hyperlink" Target="https://fr.wikipedia.org/wiki/Vitis_vinifera" TargetMode="External"/><Relationship Id="rId625" Type="http://schemas.openxmlformats.org/officeDocument/2006/relationships/image" Target="media/image267.jpeg"/><Relationship Id="rId832" Type="http://schemas.openxmlformats.org/officeDocument/2006/relationships/image" Target="media/image376.jpeg"/><Relationship Id="rId1048" Type="http://schemas.openxmlformats.org/officeDocument/2006/relationships/image" Target="media/image481.jpeg"/><Relationship Id="rId1255" Type="http://schemas.openxmlformats.org/officeDocument/2006/relationships/image" Target="media/image635.jpg"/><Relationship Id="rId1462" Type="http://schemas.openxmlformats.org/officeDocument/2006/relationships/hyperlink" Target="http://fr.wikipedia.org/w/index.php?title=Asparagus_tenuifolius&amp;action=edit&amp;redlink=1" TargetMode="External"/><Relationship Id="rId2306" Type="http://schemas.openxmlformats.org/officeDocument/2006/relationships/hyperlink" Target="http://fr.wikipedia.org/wiki/Tr%C3%A8fle" TargetMode="External"/><Relationship Id="rId2513" Type="http://schemas.openxmlformats.org/officeDocument/2006/relationships/image" Target="media/image905.jpeg"/><Relationship Id="rId2958" Type="http://schemas.openxmlformats.org/officeDocument/2006/relationships/hyperlink" Target="http://translate.googleusercontent.com/translate_c?depth=1&amp;hl=fr&amp;prev=search&amp;rurl=translate.google.fr&amp;sl=en&amp;u=http://en.wikipedia.org/wiki/IUCN_Red_List&amp;usg=ALkJrhhX0lLyMJgq2_xynQf6KsMgD18v1A" TargetMode="External"/><Relationship Id="rId3911" Type="http://schemas.openxmlformats.org/officeDocument/2006/relationships/hyperlink" Target="http://www.kkl.org.il/eng/forestry-and-ecology/afforestation-in-israel/national-master-plan-for-forests-and-afforestation/" TargetMode="External"/><Relationship Id="rId1115" Type="http://schemas.openxmlformats.org/officeDocument/2006/relationships/image" Target="media/image538.jpg"/><Relationship Id="rId1322" Type="http://schemas.openxmlformats.org/officeDocument/2006/relationships/hyperlink" Target="http://www.miracosta.edu/home/kmeldahl/articles/crops.pdf" TargetMode="External"/><Relationship Id="rId1767" Type="http://schemas.openxmlformats.org/officeDocument/2006/relationships/hyperlink" Target="http://fr.wikipedia.org/wiki/Fourrage" TargetMode="External"/><Relationship Id="rId1974" Type="http://schemas.openxmlformats.org/officeDocument/2006/relationships/hyperlink" Target="https://fr.wikipedia.org/wiki/Fabaceae" TargetMode="External"/><Relationship Id="rId2720" Type="http://schemas.openxmlformats.org/officeDocument/2006/relationships/image" Target="media/image947.jpeg"/><Relationship Id="rId2818" Type="http://schemas.openxmlformats.org/officeDocument/2006/relationships/hyperlink" Target="http://fr.wikipedia.org/wiki/Siwak" TargetMode="External"/><Relationship Id="rId4173" Type="http://schemas.openxmlformats.org/officeDocument/2006/relationships/hyperlink" Target="http://www.cabi.org/isc/datasheet/112575" TargetMode="External"/><Relationship Id="rId4380" Type="http://schemas.openxmlformats.org/officeDocument/2006/relationships/image" Target="media/image1464.jpeg"/><Relationship Id="rId4478" Type="http://schemas.openxmlformats.org/officeDocument/2006/relationships/image" Target="media/image1484.jpeg"/><Relationship Id="rId59" Type="http://schemas.openxmlformats.org/officeDocument/2006/relationships/image" Target="media/image24.png"/><Relationship Id="rId1627" Type="http://schemas.openxmlformats.org/officeDocument/2006/relationships/hyperlink" Target="http://www.ncbi.nlm.nih.gov/pubmed?term=Sengupta%20S%5bAuthor%5d&amp;cauthor=true&amp;cauthor_uid=19843254" TargetMode="External"/><Relationship Id="rId1834" Type="http://schemas.openxmlformats.org/officeDocument/2006/relationships/image" Target="media/image758.jpeg"/><Relationship Id="rId3287" Type="http://schemas.openxmlformats.org/officeDocument/2006/relationships/hyperlink" Target="http://fr.wikipedia.org/w/index.php?title=Simcha_Blass&amp;action=edit&amp;redlink=1" TargetMode="External"/><Relationship Id="rId4033" Type="http://schemas.openxmlformats.org/officeDocument/2006/relationships/hyperlink" Target="http://fr.wikipedia.org/wiki/Fabaceae" TargetMode="External"/><Relationship Id="rId4240" Type="http://schemas.openxmlformats.org/officeDocument/2006/relationships/hyperlink" Target="http://www.cabi.org/isc/datasheet/112591" TargetMode="External"/><Relationship Id="rId4338" Type="http://schemas.openxmlformats.org/officeDocument/2006/relationships/hyperlink" Target="https://fr.wikipedia.org/wiki/Typhaceae" TargetMode="External"/><Relationship Id="rId2096" Type="http://schemas.openxmlformats.org/officeDocument/2006/relationships/hyperlink" Target="https://en.wikipedia.org/wiki/UNICEF" TargetMode="External"/><Relationship Id="rId3494" Type="http://schemas.openxmlformats.org/officeDocument/2006/relationships/hyperlink" Target="https://fr.wikipedia.org/wiki/Dessiccation" TargetMode="External"/><Relationship Id="rId3799" Type="http://schemas.openxmlformats.org/officeDocument/2006/relationships/hyperlink" Target="http://ideas.repec.org/a/eee/agiwat/v90y2007i3p165-180.html" TargetMode="External"/><Relationship Id="rId4100" Type="http://schemas.openxmlformats.org/officeDocument/2006/relationships/hyperlink" Target="http://translate.googleusercontent.com/translate_c?depth=1&amp;hl=fr&amp;prev=/search?q%3Dprosopis%2Bjuliflora%26rlz%3D1C1GGGE_frFR479FR479%26es_sm%3D93&amp;rurl=translate.google.fr&amp;sl=en&amp;u=http://en.wikipedia.org/wiki/Taproot&amp;usg=ALkJrhjHA4W2LXeFMkZatm5ulyCuApZ60A" TargetMode="External"/><Relationship Id="rId4545" Type="http://schemas.openxmlformats.org/officeDocument/2006/relationships/hyperlink" Target="http://www.cilss.bf/htm/lcd.htm" TargetMode="External"/><Relationship Id="rId1901" Type="http://schemas.openxmlformats.org/officeDocument/2006/relationships/hyperlink" Target="https://fr.wikipedia.org/wiki/Burkina_Faso" TargetMode="External"/><Relationship Id="rId3147" Type="http://schemas.openxmlformats.org/officeDocument/2006/relationships/hyperlink" Target="https://fr.wikipedia.org/wiki/Eau_de_ruissellement" TargetMode="External"/><Relationship Id="rId3354" Type="http://schemas.openxmlformats.org/officeDocument/2006/relationships/image" Target="media/image1216.png"/><Relationship Id="rId3561" Type="http://schemas.openxmlformats.org/officeDocument/2006/relationships/hyperlink" Target="https://fr.wikipedia.org/wiki/Bassin_de_r%C3%A9tention_des_eaux_pluviales" TargetMode="External"/><Relationship Id="rId3659" Type="http://schemas.openxmlformats.org/officeDocument/2006/relationships/image" Target="media/image1347.jpg"/><Relationship Id="rId4405" Type="http://schemas.openxmlformats.org/officeDocument/2006/relationships/hyperlink" Target="http://fr.wiktionary.org/wiki/dispersion" TargetMode="External"/><Relationship Id="rId275" Type="http://schemas.openxmlformats.org/officeDocument/2006/relationships/image" Target="media/image120.jpeg"/><Relationship Id="rId482" Type="http://schemas.openxmlformats.org/officeDocument/2006/relationships/hyperlink" Target="https://fr.wikipedia.org/wiki/Washingtonia_filifera" TargetMode="External"/><Relationship Id="rId2163" Type="http://schemas.openxmlformats.org/officeDocument/2006/relationships/hyperlink" Target="https://en.wikipedia.org/wiki/Alternate_leaf" TargetMode="External"/><Relationship Id="rId2370" Type="http://schemas.openxmlformats.org/officeDocument/2006/relationships/hyperlink" Target="http://www.vetiver.com/TVN_GreenFrench.pdf" TargetMode="External"/><Relationship Id="rId3007" Type="http://schemas.openxmlformats.org/officeDocument/2006/relationships/hyperlink" Target="http://fr.wikipedia.org/wiki/Pharmacop%C3%A9e_traditionnelle" TargetMode="External"/><Relationship Id="rId3214" Type="http://schemas.openxmlformats.org/officeDocument/2006/relationships/image" Target="media/image1127.jpeg"/><Relationship Id="rId3421" Type="http://schemas.openxmlformats.org/officeDocument/2006/relationships/hyperlink" Target="http://fr.wikipedia.org/w/index.php?title=Cloisonnement&amp;action=edit&amp;redlink=1" TargetMode="External"/><Relationship Id="rId3866" Type="http://schemas.openxmlformats.org/officeDocument/2006/relationships/hyperlink" Target="http://www.gcca.eu/sites/default/files/catherine.paul/guyana_mangrove_nursery_manual_2011.pdf" TargetMode="External"/><Relationship Id="rId135" Type="http://schemas.openxmlformats.org/officeDocument/2006/relationships/image" Target="media/image43.jpg"/><Relationship Id="rId342" Type="http://schemas.openxmlformats.org/officeDocument/2006/relationships/image" Target="media/image161.jpeg"/><Relationship Id="rId787" Type="http://schemas.openxmlformats.org/officeDocument/2006/relationships/image" Target="media/image347.jpeg"/><Relationship Id="rId994" Type="http://schemas.openxmlformats.org/officeDocument/2006/relationships/image" Target="media/image448.jpeg"/><Relationship Id="rId2023" Type="http://schemas.openxmlformats.org/officeDocument/2006/relationships/hyperlink" Target="https://fr.wikipedia.org/wiki/Banque_mondiale" TargetMode="External"/><Relationship Id="rId2230" Type="http://schemas.openxmlformats.org/officeDocument/2006/relationships/image" Target="media/image849.jpeg"/><Relationship Id="rId2468" Type="http://schemas.openxmlformats.org/officeDocument/2006/relationships/hyperlink" Target="http://fr.wikipedia.org/wiki/Arundo_donax" TargetMode="External"/><Relationship Id="rId2675" Type="http://schemas.openxmlformats.org/officeDocument/2006/relationships/hyperlink" Target="https://fr.wikipedia.org/wiki/Hallal" TargetMode="External"/><Relationship Id="rId2882" Type="http://schemas.openxmlformats.org/officeDocument/2006/relationships/hyperlink" Target="http://translate.googleusercontent.com/translate_c?depth=1&amp;hl=fr&amp;prev=search&amp;rurl=translate.google.fr&amp;sl=en&amp;u=http://en.wikipedia.org/wiki/Vineet_Soni&amp;usg=ALkJrhhw5l3OVmmqppdAGDQdUVHFh2_GuQ" TargetMode="External"/><Relationship Id="rId3519" Type="http://schemas.openxmlformats.org/officeDocument/2006/relationships/hyperlink" Target="https://fr.wikipedia.org/wiki/Afforestation" TargetMode="External"/><Relationship Id="rId3726" Type="http://schemas.openxmlformats.org/officeDocument/2006/relationships/hyperlink" Target="http://alert-conservation.org/issues-research-highlights/2014/2/10/do-forests-function-like-biotic-pumps" TargetMode="External"/><Relationship Id="rId3933" Type="http://schemas.openxmlformats.org/officeDocument/2006/relationships/hyperlink" Target="http://www.hear.org/pier/references/pierref000744.htm" TargetMode="External"/><Relationship Id="rId202" Type="http://schemas.openxmlformats.org/officeDocument/2006/relationships/hyperlink" Target="https://fr.wikipedia.org/wiki/Halophile" TargetMode="External"/><Relationship Id="rId647" Type="http://schemas.openxmlformats.org/officeDocument/2006/relationships/hyperlink" Target="https://fr.wikipedia.org/wiki/Afrique_du_Sud" TargetMode="External"/><Relationship Id="rId854" Type="http://schemas.openxmlformats.org/officeDocument/2006/relationships/hyperlink" Target="http://fr.wikipedia.org/wiki/Bassin_m%C3%A9diterran%C3%A9en" TargetMode="External"/><Relationship Id="rId1277" Type="http://schemas.openxmlformats.org/officeDocument/2006/relationships/hyperlink" Target="http://en.wikipedia.org/wiki/Salicornia_bigelovii" TargetMode="External"/><Relationship Id="rId1484" Type="http://schemas.openxmlformats.org/officeDocument/2006/relationships/hyperlink" Target="http://fr.wikipedia.org/wiki/Racine_pivotante" TargetMode="External"/><Relationship Id="rId1691" Type="http://schemas.openxmlformats.org/officeDocument/2006/relationships/hyperlink" Target="http://en.wikipedia.org/wiki/Mesembryanthemum_crystallinum" TargetMode="External"/><Relationship Id="rId2328" Type="http://schemas.openxmlformats.org/officeDocument/2006/relationships/hyperlink" Target="http://www.ucol.mx/revaia/portal/pdf/2014/enero/4.pdf" TargetMode="External"/><Relationship Id="rId2535" Type="http://schemas.openxmlformats.org/officeDocument/2006/relationships/hyperlink" Target="https://uses.plantnet-project.org/fr/Acanthosicyos_horridus" TargetMode="External"/><Relationship Id="rId2742" Type="http://schemas.openxmlformats.org/officeDocument/2006/relationships/hyperlink" Target="https://fr.wikipedia.org/wiki/IXe_si%C3%A8cle" TargetMode="External"/><Relationship Id="rId4195" Type="http://schemas.openxmlformats.org/officeDocument/2006/relationships/hyperlink" Target="http://www.cabi.org/isc/datasheet/112583" TargetMode="External"/><Relationship Id="rId507" Type="http://schemas.openxmlformats.org/officeDocument/2006/relationships/hyperlink" Target="http://en.wikipedia.org/wiki/Adelaide_Hills" TargetMode="External"/><Relationship Id="rId714" Type="http://schemas.openxmlformats.org/officeDocument/2006/relationships/hyperlink" Target="http://fr.wikipedia.org/wiki/Palmier" TargetMode="External"/><Relationship Id="rId921" Type="http://schemas.openxmlformats.org/officeDocument/2006/relationships/image" Target="media/image412.jpg"/><Relationship Id="rId1137" Type="http://schemas.openxmlformats.org/officeDocument/2006/relationships/hyperlink" Target="https://en.wikipedia.org/wiki/Hypocotyl" TargetMode="External"/><Relationship Id="rId1344" Type="http://schemas.openxmlformats.org/officeDocument/2006/relationships/hyperlink" Target="http://en.wikipedia.org/wiki/Saudi_Aramco" TargetMode="External"/><Relationship Id="rId1551" Type="http://schemas.openxmlformats.org/officeDocument/2006/relationships/image" Target="media/image675.jpeg"/><Relationship Id="rId1789" Type="http://schemas.openxmlformats.org/officeDocument/2006/relationships/hyperlink" Target="https://fr.wikipedia.org/wiki/Zone_s%C3%A8che" TargetMode="External"/><Relationship Id="rId1996" Type="http://schemas.openxmlformats.org/officeDocument/2006/relationships/hyperlink" Target="https://en.wikipedia.org/wiki/Cassava" TargetMode="External"/><Relationship Id="rId2602" Type="http://schemas.openxmlformats.org/officeDocument/2006/relationships/hyperlink" Target="https://fr.wikipedia.org/wiki/Antiviral" TargetMode="External"/><Relationship Id="rId4055" Type="http://schemas.openxmlformats.org/officeDocument/2006/relationships/hyperlink" Target="https://en.wikipedia.org/wiki/Leaf" TargetMode="External"/><Relationship Id="rId4262" Type="http://schemas.openxmlformats.org/officeDocument/2006/relationships/hyperlink" Target="http://www.cabi.org/isc/datasheet/52492" TargetMode="External"/><Relationship Id="rId50" Type="http://schemas.openxmlformats.org/officeDocument/2006/relationships/image" Target="media/image15.jpeg"/><Relationship Id="rId1204" Type="http://schemas.openxmlformats.org/officeDocument/2006/relationships/hyperlink" Target="https://fr.wikipedia.org/wiki/Toto_margot" TargetMode="External"/><Relationship Id="rId1411" Type="http://schemas.openxmlformats.org/officeDocument/2006/relationships/hyperlink" Target="http://www.bashanfoundation.org/gmaweb/pdfs/growth.pdf" TargetMode="External"/><Relationship Id="rId1649" Type="http://schemas.openxmlformats.org/officeDocument/2006/relationships/hyperlink" Target="http://wheatatlas.org/country/varieties/EGY/0" TargetMode="External"/><Relationship Id="rId1856" Type="http://schemas.openxmlformats.org/officeDocument/2006/relationships/image" Target="media/image773.jpeg"/><Relationship Id="rId2907" Type="http://schemas.openxmlformats.org/officeDocument/2006/relationships/hyperlink" Target="http://translate.googleusercontent.com/translate_c?depth=1&amp;hl=fr&amp;prev=search&amp;rurl=translate.google.fr&amp;sl=en&amp;u=http://en.wikipedia.org/wiki/Niger&amp;usg=ALkJrhiE4p6n-w185e0Y2CY7u7oOy7HzAQ" TargetMode="External"/><Relationship Id="rId3071" Type="http://schemas.openxmlformats.org/officeDocument/2006/relationships/image" Target="media/image1026.jpeg"/><Relationship Id="rId1509" Type="http://schemas.openxmlformats.org/officeDocument/2006/relationships/image" Target="media/image673.jpeg"/><Relationship Id="rId1716" Type="http://schemas.openxmlformats.org/officeDocument/2006/relationships/hyperlink" Target="https://fr.wikipedia.org/wiki/Estonie" TargetMode="External"/><Relationship Id="rId1923" Type="http://schemas.openxmlformats.org/officeDocument/2006/relationships/image" Target="media/image781.jpeg"/><Relationship Id="rId3169" Type="http://schemas.openxmlformats.org/officeDocument/2006/relationships/image" Target="media/image1088.jpeg"/><Relationship Id="rId3376" Type="http://schemas.openxmlformats.org/officeDocument/2006/relationships/image" Target="media/image1237.jpeg"/><Relationship Id="rId3583" Type="http://schemas.openxmlformats.org/officeDocument/2006/relationships/hyperlink" Target="https://fr.wikipedia.org/wiki/R%C3%A9gression_et_d%C3%A9gradation_des_sols" TargetMode="External"/><Relationship Id="rId4122" Type="http://schemas.openxmlformats.org/officeDocument/2006/relationships/hyperlink" Target="http://translate.googleusercontent.com/translate_c?depth=1&amp;hl=fr&amp;prev=/search?q%3DProsopis%2Bchilensis&amp;rurl=translate.google.fr&amp;sl=es&amp;u=http://es.wikipedia.org/wiki/Helada&amp;usg=ALkJrhjQ8qxNZWWafV82xAmvssDpyTIrIg" TargetMode="External"/><Relationship Id="rId4427" Type="http://schemas.openxmlformats.org/officeDocument/2006/relationships/hyperlink" Target="http://fr.wikipedia.org/wiki/Eaux_de_pluie" TargetMode="External"/><Relationship Id="rId297" Type="http://schemas.openxmlformats.org/officeDocument/2006/relationships/hyperlink" Target="http://en.wikipedia.org/wiki/Monte_Arcosu" TargetMode="External"/><Relationship Id="rId2185" Type="http://schemas.openxmlformats.org/officeDocument/2006/relationships/hyperlink" Target="https://en.wikipedia.org/wiki/Chenopodium_album" TargetMode="External"/><Relationship Id="rId2392" Type="http://schemas.openxmlformats.org/officeDocument/2006/relationships/image" Target="media/image885.jpeg"/><Relationship Id="rId3029" Type="http://schemas.openxmlformats.org/officeDocument/2006/relationships/image" Target="media/image1007.jpg"/><Relationship Id="rId3236" Type="http://schemas.openxmlformats.org/officeDocument/2006/relationships/image" Target="media/image1146.jpeg"/><Relationship Id="rId3790" Type="http://schemas.openxmlformats.org/officeDocument/2006/relationships/hyperlink" Target="http://ideas.repec.org/a/eee/agiwat/v90y2007i3p165-180.html" TargetMode="External"/><Relationship Id="rId3888" Type="http://schemas.openxmlformats.org/officeDocument/2006/relationships/hyperlink" Target="http://louvaincooperation.org/sites/default/files/2019-03/89b-Fiche%20Techniques%20Agricole%20%28LUTTE%20ANTI%20%E2%80%93%20EROSIVE-LAE%29.pdf" TargetMode="External"/><Relationship Id="rId157" Type="http://schemas.openxmlformats.org/officeDocument/2006/relationships/image" Target="media/image64.jpg"/><Relationship Id="rId364" Type="http://schemas.openxmlformats.org/officeDocument/2006/relationships/hyperlink" Target="https://fr.wikipedia.org/wiki/C%C3%A9page" TargetMode="External"/><Relationship Id="rId2045" Type="http://schemas.openxmlformats.org/officeDocument/2006/relationships/image" Target="media/image793.jpeg"/><Relationship Id="rId2697" Type="http://schemas.openxmlformats.org/officeDocument/2006/relationships/hyperlink" Target="https://en.wikipedia.org/wiki/Littoral_zone" TargetMode="External"/><Relationship Id="rId3443" Type="http://schemas.openxmlformats.org/officeDocument/2006/relationships/image" Target="media/image1279.jpeg"/><Relationship Id="rId3650" Type="http://schemas.openxmlformats.org/officeDocument/2006/relationships/image" Target="media/image1340.jpg"/><Relationship Id="rId3748" Type="http://schemas.openxmlformats.org/officeDocument/2006/relationships/hyperlink" Target="http://horizon.documentation.ird.fr/exl-doc/pleins_textes/pleins_textes_7/divers2/010016071.pdf" TargetMode="External"/><Relationship Id="rId571" Type="http://schemas.openxmlformats.org/officeDocument/2006/relationships/hyperlink" Target="https://fr.wikipedia.org/wiki/Comores_(pays)" TargetMode="External"/><Relationship Id="rId669" Type="http://schemas.openxmlformats.org/officeDocument/2006/relationships/image" Target="media/image284.jpeg"/><Relationship Id="rId876" Type="http://schemas.openxmlformats.org/officeDocument/2006/relationships/hyperlink" Target="http://translate.googleusercontent.com/translate_c?depth=1&amp;hl=fr&amp;prev=/search?q=nitraria&amp;biw=1440&amp;bih=732&amp;rurl=translate.google.fr&amp;sl=en&amp;u=http://en.wikipedia.org/wiki/Africa&amp;usg=ALkJrhhXHdFYZGj6mHc57-raO7HRp8OMgg" TargetMode="External"/><Relationship Id="rId1299" Type="http://schemas.openxmlformats.org/officeDocument/2006/relationships/hyperlink" Target="http://www.environnement.gouv.sn/projest&amp;programmes/projet-ecofermes" TargetMode="External"/><Relationship Id="rId2252" Type="http://schemas.openxmlformats.org/officeDocument/2006/relationships/hyperlink" Target="https://fr.wikipedia.org/wiki/Alo%C3%AFne" TargetMode="External"/><Relationship Id="rId2557" Type="http://schemas.openxmlformats.org/officeDocument/2006/relationships/hyperlink" Target="http://translate.googleusercontent.com/translate_c?depth=1&amp;hl=fr&amp;prev=search&amp;rurl=translate.google.fr&amp;sl=en&amp;u=http://en.wikipedia.org/wiki/Vetch&amp;usg=ALkJrhhNB4fSnO4XdFrjoNFSBg16L4HpYw" TargetMode="External"/><Relationship Id="rId3303" Type="http://schemas.openxmlformats.org/officeDocument/2006/relationships/image" Target="media/image1178.jpeg"/><Relationship Id="rId3510" Type="http://schemas.openxmlformats.org/officeDocument/2006/relationships/hyperlink" Target="http://benjamin.lisan.free.fr/developpementdurable/projet-banque-de-semences.doc" TargetMode="External"/><Relationship Id="rId3608" Type="http://schemas.openxmlformats.org/officeDocument/2006/relationships/hyperlink" Target="https://en.wikipedia.org/wiki/Green_Belt_Movement" TargetMode="External"/><Relationship Id="rId3955" Type="http://schemas.openxmlformats.org/officeDocument/2006/relationships/hyperlink" Target="https://fr.wikipedia.org/wiki/Nouvelle-Cal%C3%A9donie" TargetMode="External"/><Relationship Id="rId224" Type="http://schemas.openxmlformats.org/officeDocument/2006/relationships/hyperlink" Target="http://fr.wikipedia.org/wiki/Anastatica_hierochuntica" TargetMode="External"/><Relationship Id="rId431" Type="http://schemas.openxmlformats.org/officeDocument/2006/relationships/image" Target="media/image182.jpeg"/><Relationship Id="rId529" Type="http://schemas.openxmlformats.org/officeDocument/2006/relationships/hyperlink" Target="https://fr.wikipedia.org/wiki/Famille_(biologie)" TargetMode="External"/><Relationship Id="rId736" Type="http://schemas.openxmlformats.org/officeDocument/2006/relationships/hyperlink" Target="http://database.prota.org/PROTAhtml/Acacia%20senegal_En.htm" TargetMode="External"/><Relationship Id="rId1061" Type="http://schemas.openxmlformats.org/officeDocument/2006/relationships/image" Target="media/image492.jpeg"/><Relationship Id="rId1159" Type="http://schemas.openxmlformats.org/officeDocument/2006/relationships/image" Target="media/image559.jpeg"/><Relationship Id="rId1366" Type="http://schemas.openxmlformats.org/officeDocument/2006/relationships/hyperlink" Target="http://www.biomassmagazine.com/article.jsp?article_id=1864" TargetMode="External"/><Relationship Id="rId2112" Type="http://schemas.openxmlformats.org/officeDocument/2006/relationships/image" Target="media/image810.jpeg"/><Relationship Id="rId2417" Type="http://schemas.openxmlformats.org/officeDocument/2006/relationships/hyperlink" Target="http://fr.wikipedia.org/wiki/Agrocarburant" TargetMode="External"/><Relationship Id="rId2764" Type="http://schemas.openxmlformats.org/officeDocument/2006/relationships/hyperlink" Target="https://fr.wikipedia.org/wiki/Algoculture" TargetMode="External"/><Relationship Id="rId2971" Type="http://schemas.openxmlformats.org/officeDocument/2006/relationships/hyperlink" Target="http://translate.googleusercontent.com/translate_c?depth=1&amp;hl=fr&amp;prev=search&amp;rurl=translate.google.fr&amp;sl=en&amp;u=http://en.wikipedia.org/wiki/India&amp;usg=ALkJrhj6cUmxsZ9-WS1F5KgIcAQr_0j_8Q" TargetMode="External"/><Relationship Id="rId3815" Type="http://schemas.openxmlformats.org/officeDocument/2006/relationships/hyperlink" Target="http://ideas.repec.org/a/eee/agiwat/v123y2013icp1-11.html" TargetMode="External"/><Relationship Id="rId943" Type="http://schemas.openxmlformats.org/officeDocument/2006/relationships/hyperlink" Target="https://fr.wikipedia.org/wiki/Plante_m%C3%A9dicinale" TargetMode="External"/><Relationship Id="rId1019" Type="http://schemas.openxmlformats.org/officeDocument/2006/relationships/image" Target="media/image465.jpeg"/><Relationship Id="rId1573" Type="http://schemas.openxmlformats.org/officeDocument/2006/relationships/hyperlink" Target="http://fr.wikipedia.org/wiki/C%C3%A9r%C3%A9ale" TargetMode="External"/><Relationship Id="rId1780" Type="http://schemas.openxmlformats.org/officeDocument/2006/relationships/image" Target="media/image749.jpeg"/><Relationship Id="rId1878" Type="http://schemas.openxmlformats.org/officeDocument/2006/relationships/hyperlink" Target="https://fr.wikipedia.org/wiki/Bl%C3%A9" TargetMode="External"/><Relationship Id="rId2624" Type="http://schemas.openxmlformats.org/officeDocument/2006/relationships/hyperlink" Target="https://en.wikipedia.org/w/index.php?title=Pyropia_yezoensis&amp;action=edit&amp;redlink=1" TargetMode="External"/><Relationship Id="rId2831" Type="http://schemas.openxmlformats.org/officeDocument/2006/relationships/image" Target="media/image969.jpg"/><Relationship Id="rId2929" Type="http://schemas.openxmlformats.org/officeDocument/2006/relationships/hyperlink" Target="http://translate.googleusercontent.com/translate_c?depth=1&amp;hl=fr&amp;prev=search&amp;rurl=translate.google.fr&amp;sl=en&amp;u=http://en.wikipedia.org/wiki/Alkaloid&amp;usg=ALkJrhjlb5kxlh9_1YPN6_qA_EjG77gGFw" TargetMode="External"/><Relationship Id="rId4077" Type="http://schemas.openxmlformats.org/officeDocument/2006/relationships/image" Target="media/image1412.jpeg"/><Relationship Id="rId4284" Type="http://schemas.openxmlformats.org/officeDocument/2006/relationships/hyperlink" Target="https://en.wikipedia.org/wiki/Riparian" TargetMode="External"/><Relationship Id="rId4491" Type="http://schemas.openxmlformats.org/officeDocument/2006/relationships/image" Target="media/image1493.jpg"/><Relationship Id="rId72" Type="http://schemas.openxmlformats.org/officeDocument/2006/relationships/hyperlink" Target="https://fr.wikipedia.org/wiki/RCP4.5" TargetMode="External"/><Relationship Id="rId803" Type="http://schemas.openxmlformats.org/officeDocument/2006/relationships/image" Target="media/image358.jpg"/><Relationship Id="rId1226" Type="http://schemas.openxmlformats.org/officeDocument/2006/relationships/image" Target="media/image606.jpeg"/><Relationship Id="rId1433" Type="http://schemas.openxmlformats.org/officeDocument/2006/relationships/hyperlink" Target="http://www.ncbi.nlm.nih.gov/pubmed/18765761" TargetMode="External"/><Relationship Id="rId1640" Type="http://schemas.openxmlformats.org/officeDocument/2006/relationships/hyperlink" Target="http://www.sciencedaily.com/releases/2012/03/120311150717.htm" TargetMode="External"/><Relationship Id="rId1738" Type="http://schemas.openxmlformats.org/officeDocument/2006/relationships/image" Target="media/image742.jpg"/><Relationship Id="rId3093" Type="http://schemas.openxmlformats.org/officeDocument/2006/relationships/image" Target="media/image1045.jpeg"/><Relationship Id="rId4144" Type="http://schemas.openxmlformats.org/officeDocument/2006/relationships/image" Target="media/image1426.jpeg"/><Relationship Id="rId4351" Type="http://schemas.openxmlformats.org/officeDocument/2006/relationships/hyperlink" Target="http://www.agenceecofin.com/innovation/1208-31313-senegal-vers-un-destin-dans-le-batiment-pour-3-milliards-de-tonnes-de-typha" TargetMode="External"/><Relationship Id="rId1500" Type="http://schemas.openxmlformats.org/officeDocument/2006/relationships/hyperlink" Target="http://en.wikipedia.org/wiki/Beta_vulgaris" TargetMode="External"/><Relationship Id="rId1945" Type="http://schemas.openxmlformats.org/officeDocument/2006/relationships/hyperlink" Target="https://en.wikipedia.org/wiki/Legume" TargetMode="External"/><Relationship Id="rId3160" Type="http://schemas.openxmlformats.org/officeDocument/2006/relationships/hyperlink" Target="http://fr.wikipedia.org/wiki/Irrigation" TargetMode="External"/><Relationship Id="rId3398" Type="http://schemas.openxmlformats.org/officeDocument/2006/relationships/image" Target="media/image1252.jpeg"/><Relationship Id="rId4004" Type="http://schemas.openxmlformats.org/officeDocument/2006/relationships/image" Target="media/image1384.jpeg"/><Relationship Id="rId4211" Type="http://schemas.openxmlformats.org/officeDocument/2006/relationships/hyperlink" Target="http://www.cabi.org/isc/datasheet/112589" TargetMode="External"/><Relationship Id="rId4449" Type="http://schemas.openxmlformats.org/officeDocument/2006/relationships/hyperlink" Target="http://fr.wikipedia.org/wiki/Noue_(foss%C3%A9)" TargetMode="External"/><Relationship Id="rId1805" Type="http://schemas.openxmlformats.org/officeDocument/2006/relationships/hyperlink" Target="https://fr.wikipedia.org/wiki/N%C3%A9pal" TargetMode="External"/><Relationship Id="rId3020" Type="http://schemas.openxmlformats.org/officeDocument/2006/relationships/hyperlink" Target="http://fr.wikipedia.org/wiki/D%C3%A9sert_du_Kalahari" TargetMode="External"/><Relationship Id="rId3258" Type="http://schemas.openxmlformats.org/officeDocument/2006/relationships/image" Target="media/image1155.jpeg"/><Relationship Id="rId3465" Type="http://schemas.openxmlformats.org/officeDocument/2006/relationships/hyperlink" Target="http://fr.wikipedia.org/wiki/All%C3%A9e_Haute_Qualit%C3%A9_Environnementale" TargetMode="External"/><Relationship Id="rId3672" Type="http://schemas.openxmlformats.org/officeDocument/2006/relationships/hyperlink" Target="https://www.amazon.fr/dp/1986557456" TargetMode="External"/><Relationship Id="rId4309" Type="http://schemas.openxmlformats.org/officeDocument/2006/relationships/image" Target="media/image1445.jpg"/><Relationship Id="rId4516" Type="http://schemas.openxmlformats.org/officeDocument/2006/relationships/image" Target="media/image1500.jpeg"/><Relationship Id="rId179" Type="http://schemas.openxmlformats.org/officeDocument/2006/relationships/footer" Target="footer1.xml"/><Relationship Id="rId386" Type="http://schemas.openxmlformats.org/officeDocument/2006/relationships/hyperlink" Target="https://fr.wikipedia.org/wiki/O%C3%AFdium" TargetMode="External"/><Relationship Id="rId593" Type="http://schemas.openxmlformats.org/officeDocument/2006/relationships/hyperlink" Target="https://fr.wikipedia.org/wiki/Vitamine_C" TargetMode="External"/><Relationship Id="rId2067" Type="http://schemas.openxmlformats.org/officeDocument/2006/relationships/hyperlink" Target="https://fr.wikipedia.org/wiki/Fruit_(botanique)" TargetMode="External"/><Relationship Id="rId2274" Type="http://schemas.openxmlformats.org/officeDocument/2006/relationships/hyperlink" Target="http://translate.googleusercontent.com/translate_c?depth=1&amp;hl=fr&amp;prev=/search?q=melilotus+albus&amp;biw=1440&amp;bih=732&amp;rurl=translate.google.fr&amp;sl=en&amp;u=http://en.wikipedia.org/wiki/Forage&amp;usg=ALkJrhhhKQE7etke73G2ZAAx688cvYKDRQ" TargetMode="External"/><Relationship Id="rId2481" Type="http://schemas.openxmlformats.org/officeDocument/2006/relationships/hyperlink" Target="https://fr.wikipedia.org/wiki/Plante_herbac%C3%A9e" TargetMode="External"/><Relationship Id="rId3118" Type="http://schemas.openxmlformats.org/officeDocument/2006/relationships/image" Target="media/image1070.jpeg"/><Relationship Id="rId3325" Type="http://schemas.openxmlformats.org/officeDocument/2006/relationships/image" Target="media/image1195.jpg"/><Relationship Id="rId3532" Type="http://schemas.openxmlformats.org/officeDocument/2006/relationships/hyperlink" Target="https://fr.wikipedia.org/wiki/Afrique" TargetMode="External"/><Relationship Id="rId3977" Type="http://schemas.openxmlformats.org/officeDocument/2006/relationships/image" Target="media/image1374.jpeg"/><Relationship Id="rId246" Type="http://schemas.openxmlformats.org/officeDocument/2006/relationships/hyperlink" Target="http://fr.wikipedia.org/wiki/Vitamine_C" TargetMode="External"/><Relationship Id="rId453" Type="http://schemas.openxmlformats.org/officeDocument/2006/relationships/image" Target="media/image191.jpeg"/><Relationship Id="rId660" Type="http://schemas.openxmlformats.org/officeDocument/2006/relationships/image" Target="media/image275.jpeg"/><Relationship Id="rId898" Type="http://schemas.openxmlformats.org/officeDocument/2006/relationships/hyperlink" Target="http://en.wikipedia.org/wiki/Haloxylon_ammodendron" TargetMode="External"/><Relationship Id="rId1083" Type="http://schemas.openxmlformats.org/officeDocument/2006/relationships/image" Target="media/image507.jpg"/><Relationship Id="rId1290" Type="http://schemas.openxmlformats.org/officeDocument/2006/relationships/hyperlink" Target="https://fr.wikipedia.org/wiki/Genre_(biologie)" TargetMode="External"/><Relationship Id="rId2134" Type="http://schemas.openxmlformats.org/officeDocument/2006/relationships/hyperlink" Target="https://en.wikipedia.org/wiki/Asia" TargetMode="External"/><Relationship Id="rId2341" Type="http://schemas.openxmlformats.org/officeDocument/2006/relationships/hyperlink" Target="http://fr.wikipedia.org/wiki/Haie" TargetMode="External"/><Relationship Id="rId2579" Type="http://schemas.openxmlformats.org/officeDocument/2006/relationships/hyperlink" Target="https://fr.wikipedia.org/wiki/R%C3%A9colte_du_go%C3%A9mon" TargetMode="External"/><Relationship Id="rId2786" Type="http://schemas.openxmlformats.org/officeDocument/2006/relationships/image" Target="media/image953.jpeg"/><Relationship Id="rId2993" Type="http://schemas.openxmlformats.org/officeDocument/2006/relationships/image" Target="media/image999.png"/><Relationship Id="rId3837" Type="http://schemas.openxmlformats.org/officeDocument/2006/relationships/hyperlink" Target="http://translate.googleusercontent.com/translate_c?anno=2&amp;depth=1&amp;hl=fr&amp;rurl=translate.google.fr&amp;sl=en&amp;tl=fr&amp;u=http://link.springer.com/journal/12155&amp;usg=ALkJrhhtFu7cEphxsaj9dAfMXN7j4M8vxA" TargetMode="External"/><Relationship Id="rId106" Type="http://schemas.openxmlformats.org/officeDocument/2006/relationships/hyperlink" Target="http://www.iucnredlist.org/" TargetMode="External"/><Relationship Id="rId313" Type="http://schemas.openxmlformats.org/officeDocument/2006/relationships/image" Target="media/image142.jpeg"/><Relationship Id="rId758" Type="http://schemas.openxmlformats.org/officeDocument/2006/relationships/hyperlink" Target="http://fr.wikipedia.org/wiki/Fabaceae" TargetMode="External"/><Relationship Id="rId965" Type="http://schemas.openxmlformats.org/officeDocument/2006/relationships/hyperlink" Target="https://en.wikipedia.org/wiki/West_Bengal" TargetMode="External"/><Relationship Id="rId1150" Type="http://schemas.openxmlformats.org/officeDocument/2006/relationships/image" Target="media/image555.jpeg"/><Relationship Id="rId1388" Type="http://schemas.openxmlformats.org/officeDocument/2006/relationships/hyperlink" Target="https://twitter.com/SaltFarmTexel" TargetMode="External"/><Relationship Id="rId1595" Type="http://schemas.openxmlformats.org/officeDocument/2006/relationships/hyperlink" Target="http://fr.wikipedia.org/wiki/Escourgeon" TargetMode="External"/><Relationship Id="rId2439" Type="http://schemas.openxmlformats.org/officeDocument/2006/relationships/hyperlink" Target="https://fr.wikipedia.org/wiki/Famille_(biologie)" TargetMode="External"/><Relationship Id="rId2646" Type="http://schemas.openxmlformats.org/officeDocument/2006/relationships/hyperlink" Target="https://fr.wikipedia.org/w/index.php?title=Eucheuma_cottonii&amp;action=edit&amp;redlink=1" TargetMode="External"/><Relationship Id="rId2853" Type="http://schemas.openxmlformats.org/officeDocument/2006/relationships/hyperlink" Target="http://www.haaretz.com/misc/writers/nir-hasson-1.500" TargetMode="External"/><Relationship Id="rId3904" Type="http://schemas.openxmlformats.org/officeDocument/2006/relationships/hyperlink" Target="http://www.doc-developpement-durable.org/file/Culture/Arbres-Bois-de-Rapport-Reforestation/forets-preservation-restoration/framework-species-method_Stephen-Elliot/" TargetMode="External"/><Relationship Id="rId4099" Type="http://schemas.openxmlformats.org/officeDocument/2006/relationships/hyperlink" Target="http://translate.googleusercontent.com/translate_c?depth=1&amp;hl=fr&amp;prev=/search?q%3Dprosopis%2Bjuliflora%26rlz%3D1C1GGGE_frFR479FR479%26es_sm%3D93&amp;rurl=translate.google.fr&amp;sl=en&amp;u=http://en.wikipedia.org/wiki/Phreatophyte&amp;usg=ALkJrhgmxcpeSebArtZmcbnsddpyJA6vag" TargetMode="External"/><Relationship Id="rId94" Type="http://schemas.openxmlformats.org/officeDocument/2006/relationships/hyperlink" Target="https://fr.wikipedia.org/wiki/Classes_moyennes" TargetMode="External"/><Relationship Id="rId520" Type="http://schemas.openxmlformats.org/officeDocument/2006/relationships/image" Target="media/image221.jpeg"/><Relationship Id="rId618" Type="http://schemas.openxmlformats.org/officeDocument/2006/relationships/hyperlink" Target="https://uses.plantnet-project.org/fr/Combretum_glutinosum_(PROTA)" TargetMode="External"/><Relationship Id="rId825" Type="http://schemas.openxmlformats.org/officeDocument/2006/relationships/image" Target="media/image371.jpeg"/><Relationship Id="rId1248" Type="http://schemas.openxmlformats.org/officeDocument/2006/relationships/image" Target="media/image628.jpg"/><Relationship Id="rId1455" Type="http://schemas.openxmlformats.org/officeDocument/2006/relationships/hyperlink" Target="http://fr.wikipedia.org/wiki/Turion" TargetMode="External"/><Relationship Id="rId1662" Type="http://schemas.openxmlformats.org/officeDocument/2006/relationships/image" Target="media/image711.jpeg"/><Relationship Id="rId2201" Type="http://schemas.openxmlformats.org/officeDocument/2006/relationships/hyperlink" Target="https://en.wikipedia.org/wiki/Food_security" TargetMode="External"/><Relationship Id="rId2506" Type="http://schemas.openxmlformats.org/officeDocument/2006/relationships/hyperlink" Target="https://fr.wikipedia.org/wiki/P%C3%A2te_%C3%A0_papier" TargetMode="External"/><Relationship Id="rId1010" Type="http://schemas.openxmlformats.org/officeDocument/2006/relationships/image" Target="media/image460.jpg"/><Relationship Id="rId1108" Type="http://schemas.openxmlformats.org/officeDocument/2006/relationships/image" Target="media/image531.jpg"/><Relationship Id="rId1315" Type="http://schemas.openxmlformats.org/officeDocument/2006/relationships/hyperlink" Target="http://translate.googleusercontent.com/translate_c?depth=1&amp;hl=fr&amp;prev=/search?q%3Dsalicornia%2Bherbacea%2Bwikipedia%26biw%3D1440%26bih%3D732&amp;rurl=translate.google.fr&amp;sl=en&amp;u=http://en.wikipedia.org/wiki/Salicornia_oil&amp;usg=ALkJrhjbKQLUTsgo0qHFrlFE7QhGfWtuDQ" TargetMode="External"/><Relationship Id="rId1967" Type="http://schemas.openxmlformats.org/officeDocument/2006/relationships/image" Target="media/image788.jpeg"/><Relationship Id="rId2713" Type="http://schemas.openxmlformats.org/officeDocument/2006/relationships/hyperlink" Target="https://en.wikipedia.org/wiki/Noxious_weed" TargetMode="External"/><Relationship Id="rId2920" Type="http://schemas.openxmlformats.org/officeDocument/2006/relationships/hyperlink" Target="http://translate.googleusercontent.com/translate_c?depth=1&amp;hl=fr&amp;prev=search&amp;rurl=translate.google.fr&amp;sl=en&amp;u=http://en.wikipedia.org/wiki/Salvadora_persica&amp;usg=ALkJrhgOIQlW7aIAGDKol4BFplV0He8bpQ" TargetMode="External"/><Relationship Id="rId4166" Type="http://schemas.openxmlformats.org/officeDocument/2006/relationships/image" Target="media/image1434.jpeg"/><Relationship Id="rId4373" Type="http://schemas.openxmlformats.org/officeDocument/2006/relationships/hyperlink" Target="http://fr.wikipedia.org/wiki/Paille" TargetMode="External"/><Relationship Id="rId1522" Type="http://schemas.openxmlformats.org/officeDocument/2006/relationships/hyperlink" Target="https://fr.wikipedia.org/wiki/%C3%89pinard" TargetMode="External"/><Relationship Id="rId21" Type="http://schemas.openxmlformats.org/officeDocument/2006/relationships/hyperlink" Target="https://fr.wikipedia.org/wiki/Esp%C3%A8ce" TargetMode="External"/><Relationship Id="rId2089" Type="http://schemas.openxmlformats.org/officeDocument/2006/relationships/hyperlink" Target="https://fr.wikipedia.org/wiki/Cercosporiose" TargetMode="External"/><Relationship Id="rId3487" Type="http://schemas.openxmlformats.org/officeDocument/2006/relationships/image" Target="media/image1303.png"/><Relationship Id="rId3694" Type="http://schemas.openxmlformats.org/officeDocument/2006/relationships/hyperlink" Target="https://www.sol-asso.fr/" TargetMode="External"/><Relationship Id="rId4538" Type="http://schemas.openxmlformats.org/officeDocument/2006/relationships/hyperlink" Target="https://www.forru.org/" TargetMode="External"/><Relationship Id="rId2296" Type="http://schemas.openxmlformats.org/officeDocument/2006/relationships/hyperlink" Target="http://translate.googleusercontent.com/translate_c?depth=1&amp;hl=fr&amp;prev=/search?q%3DMelilotus%2Bindicus%26biw%3D1440%26bih%3D732&amp;rurl=translate.google.fr&amp;sl=en&amp;u=http://en.wikipedia.org/wiki/New_Zealand&amp;usg=ALkJrhiOqD6amCI6mLsjo9S1vcfjep-rGQ" TargetMode="External"/><Relationship Id="rId3347" Type="http://schemas.openxmlformats.org/officeDocument/2006/relationships/image" Target="media/image1212.jpeg"/><Relationship Id="rId3554" Type="http://schemas.openxmlformats.org/officeDocument/2006/relationships/hyperlink" Target="https://fr.wikipedia.org/wiki/Pluviom%C3%A9trie" TargetMode="External"/><Relationship Id="rId3761" Type="http://schemas.openxmlformats.org/officeDocument/2006/relationships/hyperlink" Target="http://www.sciam.com/" TargetMode="External"/><Relationship Id="rId268" Type="http://schemas.openxmlformats.org/officeDocument/2006/relationships/hyperlink" Target="http://www.worldagroforestry.org/treedb/AFTPDFS/Zizyphus_spina-christi.pdf" TargetMode="External"/><Relationship Id="rId475" Type="http://schemas.openxmlformats.org/officeDocument/2006/relationships/image" Target="media/image202.jpeg"/><Relationship Id="rId682" Type="http://schemas.openxmlformats.org/officeDocument/2006/relationships/image" Target="media/image290.jpeg"/><Relationship Id="rId2156" Type="http://schemas.openxmlformats.org/officeDocument/2006/relationships/hyperlink" Target="https://fr.wikipedia.org/wiki/Pseudo-c%C3%A9r%C3%A9ale" TargetMode="External"/><Relationship Id="rId2363" Type="http://schemas.openxmlformats.org/officeDocument/2006/relationships/hyperlink" Target="http://fr.wikipedia.org/wiki/Asie" TargetMode="External"/><Relationship Id="rId2570" Type="http://schemas.openxmlformats.org/officeDocument/2006/relationships/hyperlink" Target="https://fr.wikipedia.org/wiki/Macroalgue" TargetMode="External"/><Relationship Id="rId3207" Type="http://schemas.openxmlformats.org/officeDocument/2006/relationships/image" Target="media/image1121.jpeg"/><Relationship Id="rId3414" Type="http://schemas.openxmlformats.org/officeDocument/2006/relationships/hyperlink" Target="http://fr.wikipedia.org/wiki/Feu" TargetMode="External"/><Relationship Id="rId3621" Type="http://schemas.openxmlformats.org/officeDocument/2006/relationships/hyperlink" Target="https://en.wikipedia.org/wiki/Pollution" TargetMode="External"/><Relationship Id="rId128" Type="http://schemas.openxmlformats.org/officeDocument/2006/relationships/image" Target="media/image36.jpeg"/><Relationship Id="rId335" Type="http://schemas.openxmlformats.org/officeDocument/2006/relationships/image" Target="media/image157.jpeg"/><Relationship Id="rId542" Type="http://schemas.openxmlformats.org/officeDocument/2006/relationships/image" Target="media/image234.jpeg"/><Relationship Id="rId1172" Type="http://schemas.openxmlformats.org/officeDocument/2006/relationships/hyperlink" Target="http://www.formad-environnement.org/paletuviers_29dec11.pdf" TargetMode="External"/><Relationship Id="rId2016" Type="http://schemas.openxmlformats.org/officeDocument/2006/relationships/hyperlink" Target="https://en.wikipedia.org/wiki/Biological_pest_control" TargetMode="External"/><Relationship Id="rId2223" Type="http://schemas.openxmlformats.org/officeDocument/2006/relationships/image" Target="media/image842.jpeg"/><Relationship Id="rId2430" Type="http://schemas.openxmlformats.org/officeDocument/2006/relationships/hyperlink" Target="http://translate.googleusercontent.com/translate_c?anno=2&amp;depth=1&amp;hl=fr&amp;rurl=translate.google.fr&amp;sl=en&amp;tl=fr&amp;u=http://link.springer.com/journal/12155&amp;usg=ALkJrhhtFu7cEphxsaj9dAfMXN7j4M8vxA" TargetMode="External"/><Relationship Id="rId402" Type="http://schemas.openxmlformats.org/officeDocument/2006/relationships/hyperlink" Target="https://fr.wikipedia.org/wiki/Grappe" TargetMode="External"/><Relationship Id="rId1032" Type="http://schemas.openxmlformats.org/officeDocument/2006/relationships/image" Target="media/image473.jpg"/><Relationship Id="rId4188" Type="http://schemas.openxmlformats.org/officeDocument/2006/relationships/hyperlink" Target="http://www.cabi.org/isc/datasheet/112580" TargetMode="External"/><Relationship Id="rId4395" Type="http://schemas.openxmlformats.org/officeDocument/2006/relationships/image" Target="media/image1472.jpeg"/><Relationship Id="rId1989" Type="http://schemas.openxmlformats.org/officeDocument/2006/relationships/hyperlink" Target="https://fr.wikipedia.org/wiki/Togo" TargetMode="External"/><Relationship Id="rId4048" Type="http://schemas.openxmlformats.org/officeDocument/2006/relationships/hyperlink" Target="https://translate.googleusercontent.com/translate_c?depth=1&amp;hl=fr&amp;prev=search&amp;rurl=translate.google.fr&amp;sl=en&amp;u=https://en.wikipedia.org/wiki/Uromycladium_tepperianum&amp;usg=ALkJrhhsrBik2QKyWwxt0DLx9-m6h8jFkg" TargetMode="External"/><Relationship Id="rId4255" Type="http://schemas.openxmlformats.org/officeDocument/2006/relationships/hyperlink" Target="http://www.cabi.org/isc/datasheet/52499" TargetMode="External"/><Relationship Id="rId1849" Type="http://schemas.openxmlformats.org/officeDocument/2006/relationships/image" Target="media/image769.jpeg"/><Relationship Id="rId3064" Type="http://schemas.openxmlformats.org/officeDocument/2006/relationships/image" Target="media/image1019.jpeg"/><Relationship Id="rId4462" Type="http://schemas.openxmlformats.org/officeDocument/2006/relationships/hyperlink" Target="https://www.linformatique.org/serres-flottantes-eau-mer-pluie.html" TargetMode="External"/><Relationship Id="rId192" Type="http://schemas.openxmlformats.org/officeDocument/2006/relationships/hyperlink" Target="http://www.ethnopharmacologia.org/recherche-dans-prelude/?plant_id=6553" TargetMode="External"/><Relationship Id="rId1709" Type="http://schemas.openxmlformats.org/officeDocument/2006/relationships/hyperlink" Target="https://fr.wikipedia.org/wiki/P%C3%A9tale" TargetMode="External"/><Relationship Id="rId1916" Type="http://schemas.openxmlformats.org/officeDocument/2006/relationships/hyperlink" Target="https://fr.wikipedia.org/wiki/S%C3%A9cheresse" TargetMode="External"/><Relationship Id="rId3271" Type="http://schemas.openxmlformats.org/officeDocument/2006/relationships/image" Target="media/image1163.jpg"/><Relationship Id="rId4115" Type="http://schemas.openxmlformats.org/officeDocument/2006/relationships/image" Target="media/image1420.jpeg"/><Relationship Id="rId4322" Type="http://schemas.openxmlformats.org/officeDocument/2006/relationships/hyperlink" Target="http://fr.wikipedia.org/wiki/Rac%C3%A8mes" TargetMode="External"/><Relationship Id="rId2080" Type="http://schemas.openxmlformats.org/officeDocument/2006/relationships/hyperlink" Target="https://fr.wikipedia.org/wiki/Pois" TargetMode="External"/><Relationship Id="rId3131" Type="http://schemas.openxmlformats.org/officeDocument/2006/relationships/image" Target="media/image1073.jpeg"/><Relationship Id="rId2897" Type="http://schemas.openxmlformats.org/officeDocument/2006/relationships/hyperlink" Target="http://translate.googleusercontent.com/translate_c?depth=1&amp;hl=fr&amp;prev=search&amp;rurl=translate.google.fr&amp;sl=en&amp;u=http://en.wikipedia.org/wiki/Botswana&amp;usg=ALkJrhgYlqKDfsR6jtYdZ88UEhzLgGpmmA" TargetMode="External"/><Relationship Id="rId3948" Type="http://schemas.openxmlformats.org/officeDocument/2006/relationships/image" Target="media/image1365.jpeg"/><Relationship Id="rId869" Type="http://schemas.openxmlformats.org/officeDocument/2006/relationships/hyperlink" Target="http://translate.googleusercontent.com/translate_c?depth=1&amp;hl=fr&amp;prev=/search?q=nitraria&amp;biw=1440&amp;bih=732&amp;rurl=translate.google.fr&amp;sl=en&amp;u=http://en.wikipedia.org/wiki/Halophyte&amp;usg=ALkJrhiS-jH7aJ_x643giq5E7a-oaOKXgQ" TargetMode="External"/><Relationship Id="rId1499" Type="http://schemas.openxmlformats.org/officeDocument/2006/relationships/hyperlink" Target="http://fr.wikipedia.org/wiki/Betterave" TargetMode="External"/><Relationship Id="rId729" Type="http://schemas.openxmlformats.org/officeDocument/2006/relationships/image" Target="media/image315.jpeg"/><Relationship Id="rId1359" Type="http://schemas.openxmlformats.org/officeDocument/2006/relationships/hyperlink" Target="http://en.wikipedia.org/wiki/King_Faisal_University" TargetMode="External"/><Relationship Id="rId2757" Type="http://schemas.openxmlformats.org/officeDocument/2006/relationships/hyperlink" Target="https://fr.wikipedia.org/wiki/S%C3%A9gou_(ville)" TargetMode="External"/><Relationship Id="rId2964" Type="http://schemas.openxmlformats.org/officeDocument/2006/relationships/image" Target="media/image993.gif"/><Relationship Id="rId3808" Type="http://schemas.openxmlformats.org/officeDocument/2006/relationships/hyperlink" Target="http://ideas.repec.org/a/eee/agiwat/v78y2005i1-2p108-121.html" TargetMode="External"/><Relationship Id="rId936" Type="http://schemas.openxmlformats.org/officeDocument/2006/relationships/hyperlink" Target="https://fr.wikipedia.org/wiki/Taxon_monotypique" TargetMode="External"/><Relationship Id="rId1219" Type="http://schemas.openxmlformats.org/officeDocument/2006/relationships/image" Target="media/image600.png"/><Relationship Id="rId1566" Type="http://schemas.openxmlformats.org/officeDocument/2006/relationships/image" Target="media/image686.jpeg"/><Relationship Id="rId1773" Type="http://schemas.openxmlformats.org/officeDocument/2006/relationships/hyperlink" Target="http://fr.wikipedia.org/wiki/Oiseau" TargetMode="External"/><Relationship Id="rId1980" Type="http://schemas.openxmlformats.org/officeDocument/2006/relationships/hyperlink" Target="https://fr.wikipedia.org/wiki/L%C3%A9gumineuse" TargetMode="External"/><Relationship Id="rId2617" Type="http://schemas.openxmlformats.org/officeDocument/2006/relationships/image" Target="media/image929.jpeg"/><Relationship Id="rId2824" Type="http://schemas.openxmlformats.org/officeDocument/2006/relationships/hyperlink" Target="http://translate.googleusercontent.com/translate_c?depth=1&amp;hl=fr&amp;prev=search&amp;rurl=translate.google.fr&amp;sl=en&amp;u=http://en.wikipedia.org/wiki/Astringent&amp;usg=ALkJrhix5NAp-_w4l7d27fT8sxrDEvqh2w" TargetMode="External"/><Relationship Id="rId65" Type="http://schemas.openxmlformats.org/officeDocument/2006/relationships/hyperlink" Target="http://fr.wikipedia.org/wiki/Organisation_des_Nations_unies" TargetMode="External"/><Relationship Id="rId1426" Type="http://schemas.openxmlformats.org/officeDocument/2006/relationships/hyperlink" Target="http://www.bashanfoundation.org/gmaweb/pdfs/growth.pdf" TargetMode="External"/><Relationship Id="rId1633" Type="http://schemas.openxmlformats.org/officeDocument/2006/relationships/hyperlink" Target="https://isra.sn/2021/09/07/isriz-10-un-chercheur-de-lisra-met-au-point-une-variete-de-riz-adaptee-a-tous-les-types-de-sols-sales-du-senegal/" TargetMode="External"/><Relationship Id="rId1840" Type="http://schemas.openxmlformats.org/officeDocument/2006/relationships/image" Target="media/image763.jpeg"/><Relationship Id="rId1700" Type="http://schemas.openxmlformats.org/officeDocument/2006/relationships/hyperlink" Target="https://fr.wikipedia.org/wiki/Crambe_(plante)" TargetMode="External"/><Relationship Id="rId3598" Type="http://schemas.openxmlformats.org/officeDocument/2006/relationships/hyperlink" Target="https://fr.wikipedia.org/wiki/Wangari_Muta_Maathai" TargetMode="External"/><Relationship Id="rId3458" Type="http://schemas.openxmlformats.org/officeDocument/2006/relationships/image" Target="media/image1293.png"/><Relationship Id="rId3665" Type="http://schemas.openxmlformats.org/officeDocument/2006/relationships/image" Target="media/image1351.jpeg"/><Relationship Id="rId3872" Type="http://schemas.openxmlformats.org/officeDocument/2006/relationships/hyperlink" Target="http://www.mangroverestoration.com/pdfs/Final%20PDF%20-%20Whole%20EMR%20Manual.pdf" TargetMode="External"/><Relationship Id="rId4509" Type="http://schemas.openxmlformats.org/officeDocument/2006/relationships/hyperlink" Target="http://popups.ulg.ac.be/1780-4507/index.php?id=9586" TargetMode="External"/><Relationship Id="rId379" Type="http://schemas.openxmlformats.org/officeDocument/2006/relationships/hyperlink" Target="https://fr.wikipedia.org/wiki/Vitis_aestivalis" TargetMode="External"/><Relationship Id="rId586" Type="http://schemas.openxmlformats.org/officeDocument/2006/relationships/hyperlink" Target="https://fr.wikipedia.org/wiki/Afrique_de_l%27Ouest" TargetMode="External"/><Relationship Id="rId793" Type="http://schemas.openxmlformats.org/officeDocument/2006/relationships/hyperlink" Target="http://fr.wikipedia.org/wiki/Millettia_pinnata" TargetMode="External"/><Relationship Id="rId2267" Type="http://schemas.openxmlformats.org/officeDocument/2006/relationships/hyperlink" Target="https://fr.wikipedia.org/wiki/Famille_(biologie)" TargetMode="External"/><Relationship Id="rId2474" Type="http://schemas.openxmlformats.org/officeDocument/2006/relationships/image" Target="media/image903.jpeg"/><Relationship Id="rId2681" Type="http://schemas.openxmlformats.org/officeDocument/2006/relationships/hyperlink" Target="https://fr.wikipedia.org/wiki/%C3%89piphyte" TargetMode="External"/><Relationship Id="rId3318" Type="http://schemas.openxmlformats.org/officeDocument/2006/relationships/image" Target="media/image1191.jpeg"/><Relationship Id="rId3525" Type="http://schemas.openxmlformats.org/officeDocument/2006/relationships/hyperlink" Target="https://fr.wikipedia.org/wiki/D%C3%A9partement_de_l%27Agriculture_des_%C3%89tats-Unis" TargetMode="External"/><Relationship Id="rId239" Type="http://schemas.openxmlformats.org/officeDocument/2006/relationships/hyperlink" Target="https://fr.wikipedia.org/wiki/Fabaceae" TargetMode="External"/><Relationship Id="rId446" Type="http://schemas.openxmlformats.org/officeDocument/2006/relationships/image" Target="media/image189.jpeg"/><Relationship Id="rId653" Type="http://schemas.openxmlformats.org/officeDocument/2006/relationships/hyperlink" Target="https://fr.wikipedia.org/wiki/Termites" TargetMode="External"/><Relationship Id="rId1076" Type="http://schemas.openxmlformats.org/officeDocument/2006/relationships/hyperlink" Target="http://www.aquaportail.com/fiche-plante-2801-rhizophora-mangle.html" TargetMode="External"/><Relationship Id="rId1283" Type="http://schemas.openxmlformats.org/officeDocument/2006/relationships/hyperlink" Target="http://fr.wikipedia.org/wiki/%C3%89tats-Unis" TargetMode="External"/><Relationship Id="rId1490" Type="http://schemas.openxmlformats.org/officeDocument/2006/relationships/hyperlink" Target="http://fr.wikipedia.org/wiki/Betterave_maritime" TargetMode="External"/><Relationship Id="rId2127" Type="http://schemas.openxmlformats.org/officeDocument/2006/relationships/image" Target="media/image822.jpeg"/><Relationship Id="rId2334" Type="http://schemas.openxmlformats.org/officeDocument/2006/relationships/image" Target="media/image872.jpeg"/><Relationship Id="rId3732" Type="http://schemas.openxmlformats.org/officeDocument/2006/relationships/hyperlink" Target="http://satoumix.free.fr/paf/spip.php?auteur1" TargetMode="External"/><Relationship Id="rId306" Type="http://schemas.openxmlformats.org/officeDocument/2006/relationships/hyperlink" Target="http://fr.wikipedia.org/wiki/Pistacia_vera" TargetMode="External"/><Relationship Id="rId860" Type="http://schemas.openxmlformats.org/officeDocument/2006/relationships/hyperlink" Target="http://fr.wikipedia.org/wiki/Tomate" TargetMode="External"/><Relationship Id="rId1143" Type="http://schemas.openxmlformats.org/officeDocument/2006/relationships/image" Target="media/image548.jpeg"/><Relationship Id="rId2541" Type="http://schemas.openxmlformats.org/officeDocument/2006/relationships/image" Target="media/image914.jpeg"/><Relationship Id="rId4299" Type="http://schemas.openxmlformats.org/officeDocument/2006/relationships/hyperlink" Target="https://fr.wikipedia.org/wiki/Tamaricaceae" TargetMode="External"/><Relationship Id="rId513" Type="http://schemas.openxmlformats.org/officeDocument/2006/relationships/hyperlink" Target="http://fr.wikipedia.org/wiki/Rosaceae" TargetMode="External"/><Relationship Id="rId720" Type="http://schemas.openxmlformats.org/officeDocument/2006/relationships/image" Target="media/image309.jpeg"/><Relationship Id="rId1350" Type="http://schemas.openxmlformats.org/officeDocument/2006/relationships/hyperlink" Target="http://www.kfu.edu.sa/sjournal/eng/pdffiles/BVOL4NO1_5.pdf" TargetMode="External"/><Relationship Id="rId2401" Type="http://schemas.openxmlformats.org/officeDocument/2006/relationships/image" Target="media/image890.jpeg"/><Relationship Id="rId4159" Type="http://schemas.openxmlformats.org/officeDocument/2006/relationships/hyperlink" Target="http://fr.wikipedia.org/wiki/Prosopis_pallida" TargetMode="External"/><Relationship Id="rId1003" Type="http://schemas.openxmlformats.org/officeDocument/2006/relationships/image" Target="media/image455.JPG"/><Relationship Id="rId1210" Type="http://schemas.openxmlformats.org/officeDocument/2006/relationships/image" Target="media/image591.jpeg"/><Relationship Id="rId4366" Type="http://schemas.openxmlformats.org/officeDocument/2006/relationships/hyperlink" Target="http://fr.wikipedia.org/wiki/Gazon" TargetMode="External"/><Relationship Id="rId3175" Type="http://schemas.openxmlformats.org/officeDocument/2006/relationships/image" Target="media/image1094.jpeg"/><Relationship Id="rId3382" Type="http://schemas.openxmlformats.org/officeDocument/2006/relationships/image" Target="media/image1242.jpeg"/><Relationship Id="rId4019" Type="http://schemas.openxmlformats.org/officeDocument/2006/relationships/hyperlink" Target="http://fr.wikipedia.org/wiki/Fabaceae" TargetMode="External"/><Relationship Id="rId4226" Type="http://schemas.openxmlformats.org/officeDocument/2006/relationships/hyperlink" Target="http://www.cabi.org/isc/datasheet/112594" TargetMode="External"/><Relationship Id="rId4433" Type="http://schemas.openxmlformats.org/officeDocument/2006/relationships/hyperlink" Target="http://fr.wiktionary.org/wiki/conduite" TargetMode="External"/><Relationship Id="rId2191" Type="http://schemas.openxmlformats.org/officeDocument/2006/relationships/hyperlink" Target="https://en.wikipedia.org/wiki/Unpalatable" TargetMode="External"/><Relationship Id="rId3035" Type="http://schemas.openxmlformats.org/officeDocument/2006/relationships/hyperlink" Target="http://en.wikipedia.org/wiki/Wadi" TargetMode="External"/><Relationship Id="rId3242" Type="http://schemas.openxmlformats.org/officeDocument/2006/relationships/hyperlink" Target="https://en.wikipedia.org/wiki/Osmaniye" TargetMode="External"/><Relationship Id="rId4500" Type="http://schemas.openxmlformats.org/officeDocument/2006/relationships/hyperlink" Target="http://fr.wikipedia.org/wiki/Permaculture" TargetMode="External"/><Relationship Id="rId163" Type="http://schemas.openxmlformats.org/officeDocument/2006/relationships/image" Target="media/image70.jpg"/><Relationship Id="rId370" Type="http://schemas.openxmlformats.org/officeDocument/2006/relationships/hyperlink" Target="https://fr.wikipedia.org/wiki/Vitis_vinifera" TargetMode="External"/><Relationship Id="rId2051" Type="http://schemas.openxmlformats.org/officeDocument/2006/relationships/image" Target="media/image799.jpeg"/><Relationship Id="rId3102" Type="http://schemas.openxmlformats.org/officeDocument/2006/relationships/image" Target="media/image1054.jpeg"/><Relationship Id="rId230" Type="http://schemas.openxmlformats.org/officeDocument/2006/relationships/image" Target="media/image108.jpeg"/><Relationship Id="rId2868" Type="http://schemas.openxmlformats.org/officeDocument/2006/relationships/hyperlink" Target="http://translate.googleusercontent.com/translate_c?depth=1&amp;hl=fr&amp;prev=search&amp;rurl=translate.google.fr&amp;sl=en&amp;u=http://en.wikipedia.org/wiki/Arid&amp;usg=ALkJrhiWtNBPFRhKkHDThaYIAHaNT5Et4w" TargetMode="External"/><Relationship Id="rId3919" Type="http://schemas.openxmlformats.org/officeDocument/2006/relationships/hyperlink" Target="https://www.downtoearth.org.in/video/environment/this-man-changed-the-fortunes-of-a-barren-land-using-traditional-water-wisdom-78826" TargetMode="External"/><Relationship Id="rId4083" Type="http://schemas.openxmlformats.org/officeDocument/2006/relationships/hyperlink" Target="http://fr.wikipedia.org/wiki/Mexique" TargetMode="External"/><Relationship Id="rId1677" Type="http://schemas.openxmlformats.org/officeDocument/2006/relationships/hyperlink" Target="http://database.prota.org/PROTAhtml/Brassica%20carinata_Fr.htm" TargetMode="External"/><Relationship Id="rId1884" Type="http://schemas.openxmlformats.org/officeDocument/2006/relationships/hyperlink" Target="https://fr.wikipedia.org/w/index.php?title=R%C3%A9sistance_%C3%A0_la_s%C3%A9cheresse&amp;action=edit&amp;redlink=1" TargetMode="External"/><Relationship Id="rId2728" Type="http://schemas.openxmlformats.org/officeDocument/2006/relationships/hyperlink" Target="https://fr.wikipedia.org/wiki/Cyanobact%C3%A9rie" TargetMode="External"/><Relationship Id="rId2935" Type="http://schemas.openxmlformats.org/officeDocument/2006/relationships/hyperlink" Target="http://www.worldagroforestry.org/treedb/AFTPDFS/Commiphora_africana.PDF" TargetMode="External"/><Relationship Id="rId4290" Type="http://schemas.openxmlformats.org/officeDocument/2006/relationships/hyperlink" Target="http://naturnet.free.fr/html/desert/Tamaris.html" TargetMode="External"/><Relationship Id="rId907" Type="http://schemas.openxmlformats.org/officeDocument/2006/relationships/hyperlink" Target="http://en.wikipedia.org/wiki/Coprosma_repens" TargetMode="External"/><Relationship Id="rId1537" Type="http://schemas.openxmlformats.org/officeDocument/2006/relationships/hyperlink" Target="https://fr.wikipedia.org/wiki/Madagascar" TargetMode="External"/><Relationship Id="rId1744" Type="http://schemas.openxmlformats.org/officeDocument/2006/relationships/hyperlink" Target="https://fr.wikipedia.org/wiki/Camelina_sativa" TargetMode="External"/><Relationship Id="rId1951" Type="http://schemas.openxmlformats.org/officeDocument/2006/relationships/hyperlink" Target="https://en.wikipedia.org/wiki/Nitrogen" TargetMode="External"/><Relationship Id="rId4150" Type="http://schemas.openxmlformats.org/officeDocument/2006/relationships/hyperlink" Target="http://fr.wikipedia.org/wiki/Prosopis" TargetMode="External"/><Relationship Id="rId36" Type="http://schemas.openxmlformats.org/officeDocument/2006/relationships/image" Target="media/image8.png"/><Relationship Id="rId1604" Type="http://schemas.openxmlformats.org/officeDocument/2006/relationships/hyperlink" Target="http://horizon.documentation.ird.fr/exl-doc/pleins_textes/pleins_textes_5/b_fdi_08-09/11033.pdf" TargetMode="External"/><Relationship Id="rId4010" Type="http://schemas.openxmlformats.org/officeDocument/2006/relationships/hyperlink" Target="http://www.cabi.org/isc/datasheet/2157" TargetMode="External"/><Relationship Id="rId1811" Type="http://schemas.openxmlformats.org/officeDocument/2006/relationships/hyperlink" Target="https://fr.wikipedia.org/wiki/Afrique" TargetMode="External"/><Relationship Id="rId3569" Type="http://schemas.openxmlformats.org/officeDocument/2006/relationships/hyperlink" Target="https://fr.wikipedia.org/wiki/Acacia_tortilis" TargetMode="External"/><Relationship Id="rId697" Type="http://schemas.openxmlformats.org/officeDocument/2006/relationships/hyperlink" Target="http://fr.wikipedia.org/wiki/Acacia_seyal" TargetMode="External"/><Relationship Id="rId2378" Type="http://schemas.openxmlformats.org/officeDocument/2006/relationships/hyperlink" Target="http://translate.googleusercontent.com/translate_c?depth=1&amp;hl=fr&amp;prev=/search?q%3DChrysopogon%2Bnigritanus%26biw%3D1440%26bih%3D732&amp;rurl=translate.google.fr&amp;sl=en&amp;u=http://en.wikipedia.org/wiki/Poaceae&amp;usg=ALkJrhi3duMUp04p3aRXGLoZoUczixIl3A" TargetMode="External"/><Relationship Id="rId3429" Type="http://schemas.openxmlformats.org/officeDocument/2006/relationships/image" Target="media/image1265.jpeg"/><Relationship Id="rId3776" Type="http://schemas.openxmlformats.org/officeDocument/2006/relationships/hyperlink" Target="https://www.iata.org/pressroom/facts_figures/fact_sheets/pages/alt-fuels.aspx" TargetMode="External"/><Relationship Id="rId3983" Type="http://schemas.openxmlformats.org/officeDocument/2006/relationships/hyperlink" Target="http://www.hear.org/pier/species/casuarina_equisetifolia.htm" TargetMode="External"/><Relationship Id="rId1187" Type="http://schemas.openxmlformats.org/officeDocument/2006/relationships/image" Target="media/image575.jpeg"/><Relationship Id="rId2585" Type="http://schemas.openxmlformats.org/officeDocument/2006/relationships/hyperlink" Target="https://fr.wikipedia.org/wiki/Saccharina" TargetMode="External"/><Relationship Id="rId2792" Type="http://schemas.openxmlformats.org/officeDocument/2006/relationships/image" Target="media/image959.jpeg"/><Relationship Id="rId3636" Type="http://schemas.openxmlformats.org/officeDocument/2006/relationships/image" Target="media/image1326.jpg"/><Relationship Id="rId3843" Type="http://schemas.openxmlformats.org/officeDocument/2006/relationships/hyperlink" Target="http://www.sciencedaily.com/releases/2013/10/131006142707.htm" TargetMode="External"/><Relationship Id="rId557" Type="http://schemas.openxmlformats.org/officeDocument/2006/relationships/image" Target="media/image244.jpeg"/><Relationship Id="rId764" Type="http://schemas.openxmlformats.org/officeDocument/2006/relationships/image" Target="media/image332.jpeg"/><Relationship Id="rId971" Type="http://schemas.openxmlformats.org/officeDocument/2006/relationships/hyperlink" Target="https://fr.wikipedia.org/wiki/Famille_(biologie)" TargetMode="External"/><Relationship Id="rId1394" Type="http://schemas.openxmlformats.org/officeDocument/2006/relationships/hyperlink" Target="http://en.wikipedia.org/wiki/Amaranthaceae" TargetMode="External"/><Relationship Id="rId2238" Type="http://schemas.openxmlformats.org/officeDocument/2006/relationships/hyperlink" Target="https://fr.wikipedia.org/wiki/Plante_succulente" TargetMode="External"/><Relationship Id="rId2445" Type="http://schemas.openxmlformats.org/officeDocument/2006/relationships/hyperlink" Target="http://translate.googleusercontent.com/translate_c?depth=1&amp;hl=fr&amp;prev=/search?q%3Dpanicum%2Bamarum%26biw%3D1440%26bih%3D732&amp;rurl=translate.google.fr&amp;sl=en&amp;u=http://en.wikipedia.org/wiki/Erosion&amp;usg=ALkJrhjbaiJHlDUDNHKHP2BC0aKs-RZOXg" TargetMode="External"/><Relationship Id="rId2652" Type="http://schemas.openxmlformats.org/officeDocument/2006/relationships/image" Target="media/image936.png"/><Relationship Id="rId3703" Type="http://schemas.openxmlformats.org/officeDocument/2006/relationships/hyperlink" Target="https://www.lexpress.fr/actualite/societe/environnement/les-forets-tropicales-detruites-en-2018-font-la-superficie-du-nicaragua_2074766.html" TargetMode="External"/><Relationship Id="rId3910" Type="http://schemas.openxmlformats.org/officeDocument/2006/relationships/hyperlink" Target="https://www.youtube.com/watch?v=eK0nEV5dWBA" TargetMode="External"/><Relationship Id="rId417" Type="http://schemas.openxmlformats.org/officeDocument/2006/relationships/hyperlink" Target="https://en.wikipedia.org/wiki/Dolma" TargetMode="External"/><Relationship Id="rId624" Type="http://schemas.openxmlformats.org/officeDocument/2006/relationships/image" Target="media/image266.jpeg"/><Relationship Id="rId831" Type="http://schemas.openxmlformats.org/officeDocument/2006/relationships/hyperlink" Target="https://en.wikipedia.org/wiki/Atriplex_nummularia" TargetMode="External"/><Relationship Id="rId1047" Type="http://schemas.openxmlformats.org/officeDocument/2006/relationships/hyperlink" Target="http://www.stuartxchange.org/Nipa.html" TargetMode="External"/><Relationship Id="rId1254" Type="http://schemas.openxmlformats.org/officeDocument/2006/relationships/image" Target="media/image634.jpg"/><Relationship Id="rId1461" Type="http://schemas.openxmlformats.org/officeDocument/2006/relationships/hyperlink" Target="http://fr.wikipedia.org/wiki/Asparagus_albus" TargetMode="External"/><Relationship Id="rId2305" Type="http://schemas.openxmlformats.org/officeDocument/2006/relationships/hyperlink" Target="http://fr.wikipedia.org/wiki/Sativa" TargetMode="External"/><Relationship Id="rId2512" Type="http://schemas.openxmlformats.org/officeDocument/2006/relationships/image" Target="media/image904.jpeg"/><Relationship Id="rId1114" Type="http://schemas.openxmlformats.org/officeDocument/2006/relationships/image" Target="media/image537.jpg"/><Relationship Id="rId1321" Type="http://schemas.openxmlformats.org/officeDocument/2006/relationships/hyperlink" Target="http://fr.wikipedia.org/wiki/Salicorne" TargetMode="External"/><Relationship Id="rId4477" Type="http://schemas.openxmlformats.org/officeDocument/2006/relationships/hyperlink" Target="http://links.learnymail.fr/c/i5_/oSER/8pDZdCsRKbu3BhqlRE-Hg3/cQc/EdHR/F/374448f4" TargetMode="External"/><Relationship Id="rId3079" Type="http://schemas.openxmlformats.org/officeDocument/2006/relationships/image" Target="media/image1032.jpeg"/><Relationship Id="rId3286" Type="http://schemas.openxmlformats.org/officeDocument/2006/relationships/hyperlink" Target="http://fr.wikipedia.org/w/index.php?title=Simcha_Blass&amp;action=edit&amp;redlink=1" TargetMode="External"/><Relationship Id="rId3493" Type="http://schemas.openxmlformats.org/officeDocument/2006/relationships/image" Target="media/image1309.jpeg"/><Relationship Id="rId4337" Type="http://schemas.openxmlformats.org/officeDocument/2006/relationships/image" Target="media/image1459.jpeg"/><Relationship Id="rId4544" Type="http://schemas.openxmlformats.org/officeDocument/2006/relationships/hyperlink" Target="http://afri.res.in/" TargetMode="External"/><Relationship Id="rId2095" Type="http://schemas.openxmlformats.org/officeDocument/2006/relationships/hyperlink" Target="https://en.wikipedia.org/wiki/World_Health_Organization" TargetMode="External"/><Relationship Id="rId3146" Type="http://schemas.openxmlformats.org/officeDocument/2006/relationships/hyperlink" Target="https://fr.wikipedia.org/wiki/Argile" TargetMode="External"/><Relationship Id="rId3353" Type="http://schemas.openxmlformats.org/officeDocument/2006/relationships/image" Target="media/image1215.jpeg"/><Relationship Id="rId274" Type="http://schemas.openxmlformats.org/officeDocument/2006/relationships/image" Target="media/image119.jpeg"/><Relationship Id="rId481" Type="http://schemas.openxmlformats.org/officeDocument/2006/relationships/hyperlink" Target="https://fr.wikipedia.org/wiki/Washingtonia" TargetMode="External"/><Relationship Id="rId2162" Type="http://schemas.openxmlformats.org/officeDocument/2006/relationships/hyperlink" Target="https://fr.wikipedia.org/wiki/Gluten" TargetMode="External"/><Relationship Id="rId3006" Type="http://schemas.openxmlformats.org/officeDocument/2006/relationships/hyperlink" Target="http://fr.wikipedia.org/wiki/Tubercule" TargetMode="External"/><Relationship Id="rId3560" Type="http://schemas.openxmlformats.org/officeDocument/2006/relationships/hyperlink" Target="https://fr.wikipedia.org/wiki/Peuls" TargetMode="External"/><Relationship Id="rId4404" Type="http://schemas.openxmlformats.org/officeDocument/2006/relationships/hyperlink" Target="http://fr.wikipedia.org/wiki/Indig%C3%A8ne" TargetMode="External"/><Relationship Id="rId134" Type="http://schemas.openxmlformats.org/officeDocument/2006/relationships/image" Target="media/image42.jpg"/><Relationship Id="rId3213" Type="http://schemas.openxmlformats.org/officeDocument/2006/relationships/image" Target="media/image1126.png"/><Relationship Id="rId3420" Type="http://schemas.openxmlformats.org/officeDocument/2006/relationships/hyperlink" Target="http://fr.wikipedia.org/wiki/Pare-feu_(lutte_contre_l'incendie)" TargetMode="External"/><Relationship Id="rId341" Type="http://schemas.openxmlformats.org/officeDocument/2006/relationships/image" Target="media/image160.jpeg"/><Relationship Id="rId2022" Type="http://schemas.openxmlformats.org/officeDocument/2006/relationships/hyperlink" Target="https://en.wikipedia.org/wiki/International_Institute_of_Tropical_Agriculture" TargetMode="External"/><Relationship Id="rId2979" Type="http://schemas.openxmlformats.org/officeDocument/2006/relationships/hyperlink" Target="http://translate.googleusercontent.com/translate_c?depth=1&amp;hl=fr&amp;prev=search&amp;rurl=translate.google.fr&amp;sl=en&amp;u=http://en.wikipedia.org/wiki/Boswellic_acid&amp;usg=ALkJrhhsHLgxKg5SVFBUGQD04E04Zq5tMg" TargetMode="External"/><Relationship Id="rId201" Type="http://schemas.openxmlformats.org/officeDocument/2006/relationships/hyperlink" Target="https://fr.wikipedia.org/wiki/Asteraceae" TargetMode="External"/><Relationship Id="rId1788" Type="http://schemas.openxmlformats.org/officeDocument/2006/relationships/hyperlink" Target="https://fr.wikipedia.org/wiki/Graine" TargetMode="External"/><Relationship Id="rId1995" Type="http://schemas.openxmlformats.org/officeDocument/2006/relationships/hyperlink" Target="https://en.wikipedia.org/wiki/Maize" TargetMode="External"/><Relationship Id="rId2839" Type="http://schemas.openxmlformats.org/officeDocument/2006/relationships/hyperlink" Target="http://fr.wikipedia.org/wiki/Arabie" TargetMode="External"/><Relationship Id="rId4194" Type="http://schemas.openxmlformats.org/officeDocument/2006/relationships/hyperlink" Target="http://www.cabi.org/isc/datasheet/112583" TargetMode="External"/><Relationship Id="rId1648" Type="http://schemas.openxmlformats.org/officeDocument/2006/relationships/hyperlink" Target="https://youtu.be/rStVPTYUIvM" TargetMode="External"/><Relationship Id="rId4054" Type="http://schemas.openxmlformats.org/officeDocument/2006/relationships/hyperlink" Target="http://fr.wikipedia.org/wiki/Fabaceae" TargetMode="External"/><Relationship Id="rId4261" Type="http://schemas.openxmlformats.org/officeDocument/2006/relationships/hyperlink" Target="http://www.cabi.org/isc/datasheet/52486" TargetMode="External"/><Relationship Id="rId1508" Type="http://schemas.openxmlformats.org/officeDocument/2006/relationships/image" Target="media/image672.jpeg"/><Relationship Id="rId1855" Type="http://schemas.openxmlformats.org/officeDocument/2006/relationships/hyperlink" Target="https://fr.wikipedia.org/wiki/Teff" TargetMode="External"/><Relationship Id="rId2906" Type="http://schemas.openxmlformats.org/officeDocument/2006/relationships/hyperlink" Target="http://translate.googleusercontent.com/translate_c?depth=1&amp;hl=fr&amp;prev=search&amp;rurl=translate.google.fr&amp;sl=en&amp;u=http://en.wikipedia.org/wiki/Namibia&amp;usg=ALkJrhg-erAQ085rtrmJW2X5OngDWz_6eQ" TargetMode="External"/><Relationship Id="rId3070" Type="http://schemas.openxmlformats.org/officeDocument/2006/relationships/image" Target="media/image1025.png"/><Relationship Id="rId4121" Type="http://schemas.openxmlformats.org/officeDocument/2006/relationships/hyperlink" Target="http://fr.wikipedia.org/wiki/Mimosoideae" TargetMode="External"/><Relationship Id="rId1715" Type="http://schemas.openxmlformats.org/officeDocument/2006/relationships/image" Target="media/image724.jpeg"/><Relationship Id="rId1922" Type="http://schemas.openxmlformats.org/officeDocument/2006/relationships/hyperlink" Target="https://fr.wikipedia.org/wiki/Panicule" TargetMode="External"/><Relationship Id="rId3887" Type="http://schemas.openxmlformats.org/officeDocument/2006/relationships/hyperlink" Target="https://wocatpedia.net/images/d/d9/Solofo_Raharinaivo_%282008%29_-_Les_techniques_de_Correction_des_ravines_et_de_Stabilisation_des_Lavaka_.pdf" TargetMode="External"/><Relationship Id="rId2489" Type="http://schemas.openxmlformats.org/officeDocument/2006/relationships/hyperlink" Target="https://fr.wikipedia.org/wiki/Maroc" TargetMode="External"/><Relationship Id="rId2696" Type="http://schemas.openxmlformats.org/officeDocument/2006/relationships/hyperlink" Target="https://fr.wikipedia.org/wiki/%C3%89tage_infralittoral" TargetMode="External"/><Relationship Id="rId3747" Type="http://schemas.openxmlformats.org/officeDocument/2006/relationships/hyperlink" Target="http://www.mr-plantes.com/2014/04/tresor-nutritif-et-dietetique/" TargetMode="External"/><Relationship Id="rId3954" Type="http://schemas.openxmlformats.org/officeDocument/2006/relationships/hyperlink" Target="https://fr.wikipedia.org/wiki/Australie" TargetMode="External"/><Relationship Id="rId668" Type="http://schemas.openxmlformats.org/officeDocument/2006/relationships/image" Target="media/image283.jpeg"/><Relationship Id="rId875" Type="http://schemas.openxmlformats.org/officeDocument/2006/relationships/hyperlink" Target="http://translate.googleusercontent.com/translate_c?depth=1&amp;hl=fr&amp;prev=/search?q=nitraria&amp;biw=1440&amp;bih=732&amp;rurl=translate.google.fr&amp;sl=en&amp;u=http://en.wikipedia.org/wiki/Fruit&amp;usg=ALkJrhisqGcRD1EcJrJ_P3pJ_06vYj-njA" TargetMode="External"/><Relationship Id="rId1298" Type="http://schemas.openxmlformats.org/officeDocument/2006/relationships/hyperlink" Target="https://fr.wikipedia.org/wiki/Salsola" TargetMode="External"/><Relationship Id="rId2349" Type="http://schemas.openxmlformats.org/officeDocument/2006/relationships/image" Target="media/image874.jpeg"/><Relationship Id="rId2556" Type="http://schemas.openxmlformats.org/officeDocument/2006/relationships/hyperlink" Target="http://translate.googleusercontent.com/translate_c?depth=1&amp;hl=fr&amp;prev=search&amp;rurl=translate.google.fr&amp;sl=en&amp;u=http://en.wikipedia.org/wiki/Pliny_the_Elder&amp;usg=ALkJrhjHSyrca18JdJ6mbeWXQhPeiOIQPg" TargetMode="External"/><Relationship Id="rId2763" Type="http://schemas.openxmlformats.org/officeDocument/2006/relationships/hyperlink" Target="https://fr.wikipedia.org/wiki/Spirulina" TargetMode="External"/><Relationship Id="rId2970" Type="http://schemas.openxmlformats.org/officeDocument/2006/relationships/hyperlink" Target="http://translate.googleusercontent.com/translate_c?depth=1&amp;hl=fr&amp;prev=search&amp;rurl=translate.google.fr&amp;sl=en&amp;u=http://en.wikipedia.org/wiki/Frankincense&amp;usg=ALkJrhjrduegRFNjAelnorPpBtcfuOGVzA" TargetMode="External"/><Relationship Id="rId3607" Type="http://schemas.openxmlformats.org/officeDocument/2006/relationships/hyperlink" Target="https://fr.wikipedia.org/wiki/Mouvement_de_la_ceinture_verte" TargetMode="External"/><Relationship Id="rId3814" Type="http://schemas.openxmlformats.org/officeDocument/2006/relationships/hyperlink" Target="http://ideas.repec.org/a/eee/agiwat/v123y2013icp1-11.html" TargetMode="External"/><Relationship Id="rId528" Type="http://schemas.openxmlformats.org/officeDocument/2006/relationships/image" Target="media/image229.jpeg"/><Relationship Id="rId735" Type="http://schemas.openxmlformats.org/officeDocument/2006/relationships/hyperlink" Target="http://en.wikipedia.org/wiki/Senegalia_senegal" TargetMode="External"/><Relationship Id="rId942" Type="http://schemas.openxmlformats.org/officeDocument/2006/relationships/hyperlink" Target="https://fr.wikipedia.org/wiki/D%C3%A9tergent" TargetMode="External"/><Relationship Id="rId1158" Type="http://schemas.openxmlformats.org/officeDocument/2006/relationships/image" Target="media/image558.jpeg"/><Relationship Id="rId1365" Type="http://schemas.openxmlformats.org/officeDocument/2006/relationships/hyperlink" Target="http://www.biomassmagazine.com/article.jsp?article_id=1864" TargetMode="External"/><Relationship Id="rId1572" Type="http://schemas.openxmlformats.org/officeDocument/2006/relationships/hyperlink" Target="http://fr.wikipedia.org/wiki/Poac%C3%A9e" TargetMode="External"/><Relationship Id="rId2209" Type="http://schemas.openxmlformats.org/officeDocument/2006/relationships/image" Target="media/image833.jpeg"/><Relationship Id="rId2416" Type="http://schemas.openxmlformats.org/officeDocument/2006/relationships/hyperlink" Target="http://fr.wikipedia.org/wiki/P%C3%A9trole" TargetMode="External"/><Relationship Id="rId2623" Type="http://schemas.openxmlformats.org/officeDocument/2006/relationships/hyperlink" Target="https://en.wikipedia.org/wiki/Japan" TargetMode="External"/><Relationship Id="rId1018" Type="http://schemas.openxmlformats.org/officeDocument/2006/relationships/image" Target="media/image464.jpeg"/><Relationship Id="rId1225" Type="http://schemas.openxmlformats.org/officeDocument/2006/relationships/image" Target="media/image605.jpeg"/><Relationship Id="rId1432" Type="http://schemas.openxmlformats.org/officeDocument/2006/relationships/hyperlink" Target="http://www.ncbi.nlm.nih.gov/pubmed/18765761" TargetMode="External"/><Relationship Id="rId2830" Type="http://schemas.openxmlformats.org/officeDocument/2006/relationships/hyperlink" Target="http://en.wikipedia.org/wiki/Miswak" TargetMode="External"/><Relationship Id="rId71" Type="http://schemas.openxmlformats.org/officeDocument/2006/relationships/hyperlink" Target="https://fr.wikipedia.org/wiki/RCP2.6" TargetMode="External"/><Relationship Id="rId802" Type="http://schemas.openxmlformats.org/officeDocument/2006/relationships/hyperlink" Target="http://www.agrojournal.org/19/02-12s.pdf" TargetMode="External"/><Relationship Id="rId3397" Type="http://schemas.openxmlformats.org/officeDocument/2006/relationships/image" Target="media/image1251.jpg"/><Relationship Id="rId4448" Type="http://schemas.openxmlformats.org/officeDocument/2006/relationships/hyperlink" Target="http://fr.wikipedia.org/wiki/Nappe_phr%C3%A9atique" TargetMode="External"/><Relationship Id="rId178" Type="http://schemas.openxmlformats.org/officeDocument/2006/relationships/hyperlink" Target="http://www.theguardian.com/environment/2016/feb/12/four-billion-people-face-severe-water-scarcity-new-research-finds" TargetMode="External"/><Relationship Id="rId3257" Type="http://schemas.openxmlformats.org/officeDocument/2006/relationships/image" Target="media/image1154.png"/><Relationship Id="rId3464" Type="http://schemas.openxmlformats.org/officeDocument/2006/relationships/hyperlink" Target="http://fr.wikipedia.org/wiki/Chemin_(passage)" TargetMode="External"/><Relationship Id="rId3671" Type="http://schemas.openxmlformats.org/officeDocument/2006/relationships/hyperlink" Target="https://www.prb.org/resources/defis-demographiques-du-sahel/" TargetMode="External"/><Relationship Id="rId4308" Type="http://schemas.openxmlformats.org/officeDocument/2006/relationships/image" Target="media/image1444.jpg"/><Relationship Id="rId4515" Type="http://schemas.openxmlformats.org/officeDocument/2006/relationships/image" Target="media/image1499.jpeg"/><Relationship Id="rId385" Type="http://schemas.openxmlformats.org/officeDocument/2006/relationships/hyperlink" Target="https://fr.wikipedia.org/wiki/Mildiou" TargetMode="External"/><Relationship Id="rId592" Type="http://schemas.openxmlformats.org/officeDocument/2006/relationships/hyperlink" Target="https://fr.wikipedia.org/wiki/Germination" TargetMode="External"/><Relationship Id="rId2066" Type="http://schemas.openxmlformats.org/officeDocument/2006/relationships/hyperlink" Target="https://fr.wikipedia.org/wiki/Ol%C3%A9agineux" TargetMode="External"/><Relationship Id="rId2273" Type="http://schemas.openxmlformats.org/officeDocument/2006/relationships/hyperlink" Target="http://translate.googleusercontent.com/translate_c?depth=1&amp;hl=fr&amp;prev=/search?q%3Dmelilotus%2Balbus%26biw%3D1440%26bih%3D732&amp;rurl=translate.google.fr&amp;sl=en&amp;u=http://en.wikipedia.org/wiki/Anticoagulant&amp;usg=ALkJrhiTCahev3niP-bhf_8ItSVJCA00XQ" TargetMode="External"/><Relationship Id="rId2480" Type="http://schemas.openxmlformats.org/officeDocument/2006/relationships/hyperlink" Target="https://fr.wikipedia.org/wiki/Bassin_m%C3%A9diterran%C3%A9en" TargetMode="External"/><Relationship Id="rId3117" Type="http://schemas.openxmlformats.org/officeDocument/2006/relationships/image" Target="media/image1069.png"/><Relationship Id="rId3324" Type="http://schemas.openxmlformats.org/officeDocument/2006/relationships/image" Target="media/image1194.jpg"/><Relationship Id="rId3531" Type="http://schemas.openxmlformats.org/officeDocument/2006/relationships/hyperlink" Target="https://fr.wikipedia.org/wiki/D%C3%A9sertification" TargetMode="External"/><Relationship Id="rId245" Type="http://schemas.openxmlformats.org/officeDocument/2006/relationships/hyperlink" Target="http://fr.wikipedia.org/wiki/Vitamine_A" TargetMode="External"/><Relationship Id="rId452" Type="http://schemas.openxmlformats.org/officeDocument/2006/relationships/hyperlink" Target="http://en.wikipedia.org/wiki/List_of_date_palm_diseases" TargetMode="External"/><Relationship Id="rId1082" Type="http://schemas.openxmlformats.org/officeDocument/2006/relationships/image" Target="media/image506.jpeg"/><Relationship Id="rId2133" Type="http://schemas.openxmlformats.org/officeDocument/2006/relationships/hyperlink" Target="https://en.wikipedia.org/wiki/Livestock" TargetMode="External"/><Relationship Id="rId2340" Type="http://schemas.openxmlformats.org/officeDocument/2006/relationships/hyperlink" Target="http://fr.wikipedia.org/wiki/Parfum" TargetMode="External"/><Relationship Id="rId105" Type="http://schemas.openxmlformats.org/officeDocument/2006/relationships/hyperlink" Target="https://fr.wikipedia.org/wiki/Calcium" TargetMode="External"/><Relationship Id="rId312" Type="http://schemas.openxmlformats.org/officeDocument/2006/relationships/image" Target="media/image141.jpeg"/><Relationship Id="rId2200" Type="http://schemas.openxmlformats.org/officeDocument/2006/relationships/hyperlink" Target="https://en.wikipedia.org/wiki/Oxalic_acid" TargetMode="External"/><Relationship Id="rId4098" Type="http://schemas.openxmlformats.org/officeDocument/2006/relationships/hyperlink" Target="http://translate.googleusercontent.com/translate_c?depth=1&amp;hl=fr&amp;prev=/search?q%3Dprosopis%2Bjuliflora%26rlz%3D1C1GGGE_frFR479FR479%26es_sm%3D93&amp;rurl=translate.google.fr&amp;sl=en&amp;u=http://en.wikipedia.org/wiki/Water_table&amp;usg=ALkJrhgbRjwRE2iJf7vymOB94H7weYo5eg" TargetMode="External"/><Relationship Id="rId1899" Type="http://schemas.openxmlformats.org/officeDocument/2006/relationships/hyperlink" Target="https://fr.wikipedia.org/wiki/Sirop" TargetMode="External"/><Relationship Id="rId4165" Type="http://schemas.openxmlformats.org/officeDocument/2006/relationships/image" Target="media/image1433.jpeg"/><Relationship Id="rId4372" Type="http://schemas.openxmlformats.org/officeDocument/2006/relationships/hyperlink" Target="http://fr.wikipedia.org/wiki/Dormance" TargetMode="External"/><Relationship Id="rId1759" Type="http://schemas.openxmlformats.org/officeDocument/2006/relationships/hyperlink" Target="http://fr.wikipedia.org/wiki/Ma%C3%AFs" TargetMode="External"/><Relationship Id="rId1966" Type="http://schemas.openxmlformats.org/officeDocument/2006/relationships/image" Target="media/image787.jpeg"/><Relationship Id="rId3181" Type="http://schemas.openxmlformats.org/officeDocument/2006/relationships/image" Target="media/image1100.jpeg"/><Relationship Id="rId4025" Type="http://schemas.openxmlformats.org/officeDocument/2006/relationships/hyperlink" Target="http://www.hear.org/pier/species/acacia_melanoxylon.htm" TargetMode="External"/><Relationship Id="rId1619" Type="http://schemas.openxmlformats.org/officeDocument/2006/relationships/hyperlink" Target="http://boletin.apnsac.org/?p=36" TargetMode="External"/><Relationship Id="rId1826" Type="http://schemas.openxmlformats.org/officeDocument/2006/relationships/hyperlink" Target="https://fr.wikipedia.org/wiki/Fouta-Djalon" TargetMode="External"/><Relationship Id="rId4232" Type="http://schemas.openxmlformats.org/officeDocument/2006/relationships/hyperlink" Target="http://www.cabi.org/isc/datasheet/112596" TargetMode="External"/><Relationship Id="rId3041" Type="http://schemas.openxmlformats.org/officeDocument/2006/relationships/hyperlink" Target="http://en.wikipedia.org/wiki/Check_dam" TargetMode="External"/><Relationship Id="rId3998" Type="http://schemas.openxmlformats.org/officeDocument/2006/relationships/hyperlink" Target="http://fr.wikipedia.org/wiki/Filao" TargetMode="External"/><Relationship Id="rId3858" Type="http://schemas.openxmlformats.org/officeDocument/2006/relationships/hyperlink" Target="http://www.idosi.org/aejaes/jaes4(5)/1.pdf" TargetMode="External"/><Relationship Id="rId779" Type="http://schemas.openxmlformats.org/officeDocument/2006/relationships/image" Target="media/image343.jpeg"/><Relationship Id="rId986" Type="http://schemas.openxmlformats.org/officeDocument/2006/relationships/image" Target="media/image440.jpeg"/><Relationship Id="rId2667" Type="http://schemas.openxmlformats.org/officeDocument/2006/relationships/hyperlink" Target="https://fr.wikipedia.org/wiki/Nom_vernaculaire" TargetMode="External"/><Relationship Id="rId3718" Type="http://schemas.openxmlformats.org/officeDocument/2006/relationships/hyperlink" Target="https://rennes.maville.com/actu/actudet_-dans-la-cordillere-des-andes-les-glaciers-fondent-la-menace-augmente_54135-4490985_actu.Htm" TargetMode="External"/><Relationship Id="rId639" Type="http://schemas.openxmlformats.org/officeDocument/2006/relationships/image" Target="media/image271.jpg"/><Relationship Id="rId1269" Type="http://schemas.openxmlformats.org/officeDocument/2006/relationships/hyperlink" Target="http://en.wikipedia.org/wiki/Hordeum_vulgare" TargetMode="External"/><Relationship Id="rId1476" Type="http://schemas.openxmlformats.org/officeDocument/2006/relationships/hyperlink" Target="http://fr.wikipedia.org/wiki/Asparagus_acutifolius" TargetMode="External"/><Relationship Id="rId2874" Type="http://schemas.openxmlformats.org/officeDocument/2006/relationships/hyperlink" Target="http://translate.googleusercontent.com/translate_c?depth=1&amp;hl=fr&amp;prev=search&amp;rurl=translate.google.fr&amp;sl=en&amp;u=http://en.wikipedia.org/wiki/Perfumes&amp;usg=ALkJrhi-xw9rpJ1PxplfcMrJYHGstvPxyQ" TargetMode="External"/><Relationship Id="rId3925" Type="http://schemas.openxmlformats.org/officeDocument/2006/relationships/hyperlink" Target="http://www.hear.org/pier/species/opuntia_ficus_indica.htm" TargetMode="External"/><Relationship Id="rId846" Type="http://schemas.openxmlformats.org/officeDocument/2006/relationships/hyperlink" Target="http://es.wikipedia.org/wiki/Salsola_vermiculata" TargetMode="External"/><Relationship Id="rId1129" Type="http://schemas.openxmlformats.org/officeDocument/2006/relationships/hyperlink" Target="http://www.formad-environnement.org/paletuviers_29dec11.pdf" TargetMode="External"/><Relationship Id="rId1683" Type="http://schemas.openxmlformats.org/officeDocument/2006/relationships/image" Target="media/image714.jpeg"/><Relationship Id="rId1890" Type="http://schemas.openxmlformats.org/officeDocument/2006/relationships/hyperlink" Target="https://fr.wikipedia.org/wiki/Atherigona_soccata" TargetMode="External"/><Relationship Id="rId2527" Type="http://schemas.openxmlformats.org/officeDocument/2006/relationships/hyperlink" Target="https://fr.wikipedia.org/wiki/Walvis_Bay" TargetMode="External"/><Relationship Id="rId2734" Type="http://schemas.openxmlformats.org/officeDocument/2006/relationships/hyperlink" Target="https://fr.wikipedia.org/w/index.php?title=Arthrospira_maxima&amp;action=edit&amp;redlink=1" TargetMode="External"/><Relationship Id="rId2941" Type="http://schemas.openxmlformats.org/officeDocument/2006/relationships/hyperlink" Target="http://translate.googleusercontent.com/translate_c?depth=1&amp;hl=fr&amp;prev=search&amp;rurl=translate.google.fr&amp;sl=en&amp;u=http://en.wikipedia.org/wiki/Leaf_beetle&amp;usg=ALkJrhjjkKgqzCaLDYNmDlrW0uV6Y94Bhg" TargetMode="External"/><Relationship Id="rId706" Type="http://schemas.openxmlformats.org/officeDocument/2006/relationships/hyperlink" Target="http://en.wikipedia.org/wiki/Faidherbia_albida" TargetMode="External"/><Relationship Id="rId913" Type="http://schemas.openxmlformats.org/officeDocument/2006/relationships/image" Target="media/image406.jpeg"/><Relationship Id="rId1336" Type="http://schemas.openxmlformats.org/officeDocument/2006/relationships/hyperlink" Target="http://www.gcrio.org/usiji/pdf/Mexico-3%203-04.pdf" TargetMode="External"/><Relationship Id="rId1543" Type="http://schemas.openxmlformats.org/officeDocument/2006/relationships/hyperlink" Target="https://fr.wikipedia.org/wiki/Conine" TargetMode="External"/><Relationship Id="rId1750" Type="http://schemas.openxmlformats.org/officeDocument/2006/relationships/hyperlink" Target="http://fr.wikipedia.org/wiki/Colza" TargetMode="External"/><Relationship Id="rId2801" Type="http://schemas.openxmlformats.org/officeDocument/2006/relationships/image" Target="media/image967.jpg"/><Relationship Id="rId42" Type="http://schemas.openxmlformats.org/officeDocument/2006/relationships/hyperlink" Target="https://fr.wikipedia.org/wiki/Kilimandjaro" TargetMode="External"/><Relationship Id="rId1403" Type="http://schemas.openxmlformats.org/officeDocument/2006/relationships/hyperlink" Target="http://www.bashanfoundation.org/gmaweb/pdfs/growth.pdf" TargetMode="External"/><Relationship Id="rId1610" Type="http://schemas.openxmlformats.org/officeDocument/2006/relationships/hyperlink" Target="https://fr.wikipedia.org/wiki/Famille_(biologie)" TargetMode="External"/><Relationship Id="rId4559" Type="http://schemas.openxmlformats.org/officeDocument/2006/relationships/hyperlink" Target="https://www.doc-developpement-durable.org/documents-agronomiques/Planter-en-conditions-arides-salines.pptx" TargetMode="External"/><Relationship Id="rId3368" Type="http://schemas.openxmlformats.org/officeDocument/2006/relationships/image" Target="media/image1229.jpeg"/><Relationship Id="rId3575" Type="http://schemas.openxmlformats.org/officeDocument/2006/relationships/hyperlink" Target="https://fr.wikipedia.org/wiki/Combretum_glutinosum" TargetMode="External"/><Relationship Id="rId3782" Type="http://schemas.openxmlformats.org/officeDocument/2006/relationships/hyperlink" Target="http://ideas.repec.org/a/eee/agiwat/v25y1994i3p233-269.html" TargetMode="External"/><Relationship Id="rId4419" Type="http://schemas.openxmlformats.org/officeDocument/2006/relationships/hyperlink" Target="http://fr.wikipedia.org/wiki/Temp%C3%A9rature" TargetMode="External"/><Relationship Id="rId289" Type="http://schemas.openxmlformats.org/officeDocument/2006/relationships/image" Target="media/image131.jpeg"/><Relationship Id="rId496" Type="http://schemas.openxmlformats.org/officeDocument/2006/relationships/hyperlink" Target="http://fr.wikipedia.org/wiki/Olea" TargetMode="External"/><Relationship Id="rId2177" Type="http://schemas.openxmlformats.org/officeDocument/2006/relationships/hyperlink" Target="https://en.wikipedia.org/wiki/Crop_yield" TargetMode="External"/><Relationship Id="rId2384" Type="http://schemas.openxmlformats.org/officeDocument/2006/relationships/hyperlink" Target="http://translate.googleusercontent.com/translate_c?depth=1&amp;hl=fr&amp;prev=/search?q%3DChrysopogon%2Bnigritanus%26biw%3D1440%26bih%3D732&amp;rurl=translate.google.fr&amp;sl=en&amp;u=http://en.wikipedia.org/wiki/Southern_Africa&amp;usg=ALkJrhiYm3YjgmqcmYgQV1fOmVExbEcrog" TargetMode="External"/><Relationship Id="rId2591" Type="http://schemas.openxmlformats.org/officeDocument/2006/relationships/hyperlink" Target="https://en.wikipedia.org/wiki/Alginate" TargetMode="External"/><Relationship Id="rId3228" Type="http://schemas.openxmlformats.org/officeDocument/2006/relationships/image" Target="media/image1141.png"/><Relationship Id="rId3435" Type="http://schemas.openxmlformats.org/officeDocument/2006/relationships/image" Target="media/image1271.jpeg"/><Relationship Id="rId3642" Type="http://schemas.openxmlformats.org/officeDocument/2006/relationships/image" Target="media/image1332.jpg"/><Relationship Id="rId149" Type="http://schemas.openxmlformats.org/officeDocument/2006/relationships/image" Target="media/image56.jpg"/><Relationship Id="rId356" Type="http://schemas.openxmlformats.org/officeDocument/2006/relationships/hyperlink" Target="http://fr.wikipedia.org/wiki/Punica_protopunica" TargetMode="External"/><Relationship Id="rId563" Type="http://schemas.openxmlformats.org/officeDocument/2006/relationships/image" Target="media/image245.jpeg"/><Relationship Id="rId770" Type="http://schemas.openxmlformats.org/officeDocument/2006/relationships/image" Target="media/image338.jpeg"/><Relationship Id="rId1193" Type="http://schemas.openxmlformats.org/officeDocument/2006/relationships/hyperlink" Target="https://en.wikipedia.org/wiki/Xylocarpus_granatum" TargetMode="External"/><Relationship Id="rId2037" Type="http://schemas.openxmlformats.org/officeDocument/2006/relationships/hyperlink" Target="https://fr.wikipedia.org/wiki/Niger_(fleuve)" TargetMode="External"/><Relationship Id="rId2244" Type="http://schemas.openxmlformats.org/officeDocument/2006/relationships/hyperlink" Target="https://fr.wikipedia.org/wiki/Grappe" TargetMode="External"/><Relationship Id="rId2451" Type="http://schemas.openxmlformats.org/officeDocument/2006/relationships/image" Target="media/image897.jpeg"/><Relationship Id="rId216" Type="http://schemas.openxmlformats.org/officeDocument/2006/relationships/hyperlink" Target="http://fr.wikipedia.org/wiki/Spartina_maritima" TargetMode="External"/><Relationship Id="rId423" Type="http://schemas.openxmlformats.org/officeDocument/2006/relationships/image" Target="media/image175.jpeg"/><Relationship Id="rId1053" Type="http://schemas.openxmlformats.org/officeDocument/2006/relationships/image" Target="media/image486.jpeg"/><Relationship Id="rId1260" Type="http://schemas.openxmlformats.org/officeDocument/2006/relationships/image" Target="media/image640.jpg"/><Relationship Id="rId2104" Type="http://schemas.openxmlformats.org/officeDocument/2006/relationships/image" Target="media/image805.jpeg"/><Relationship Id="rId3502" Type="http://schemas.openxmlformats.org/officeDocument/2006/relationships/image" Target="media/image1313.jpg"/><Relationship Id="rId630" Type="http://schemas.openxmlformats.org/officeDocument/2006/relationships/hyperlink" Target="http://translate.googleusercontent.com/translate_c?depth=1&amp;hl=fr&amp;prev=/search?q%3Dsalicornia%2Bherbacea%2Bwikipedia%26biw%3D1440%26bih%3D732&amp;rurl=translate.google.fr&amp;sl=en&amp;u=http://en.wikipedia.org/wiki/Prosopis_cineraria&amp;usg=ALkJrhg-ETNO-9wmuXdnzjK75tWElVkOJg" TargetMode="External"/><Relationship Id="rId2311" Type="http://schemas.openxmlformats.org/officeDocument/2006/relationships/hyperlink" Target="http://fr.wikipedia.org/wiki/Di%C3%A9t%C3%A9tique" TargetMode="External"/><Relationship Id="rId4069" Type="http://schemas.openxmlformats.org/officeDocument/2006/relationships/hyperlink" Target="https://en.wikipedia.org/wiki/Parkinsonia_aculeata" TargetMode="External"/><Relationship Id="rId1120" Type="http://schemas.openxmlformats.org/officeDocument/2006/relationships/hyperlink" Target="https://fr.wikipedia.org/wiki/Batticaloa" TargetMode="External"/><Relationship Id="rId4276" Type="http://schemas.openxmlformats.org/officeDocument/2006/relationships/hyperlink" Target="http://www.cabi.org/isc/datasheet/52483" TargetMode="External"/><Relationship Id="rId4483" Type="http://schemas.openxmlformats.org/officeDocument/2006/relationships/image" Target="media/image1488.png"/><Relationship Id="rId1937" Type="http://schemas.openxmlformats.org/officeDocument/2006/relationships/hyperlink" Target="https://en.wikipedia.org/wiki/North_Africa" TargetMode="External"/><Relationship Id="rId3085" Type="http://schemas.openxmlformats.org/officeDocument/2006/relationships/image" Target="media/image1038.jpeg"/><Relationship Id="rId3292" Type="http://schemas.openxmlformats.org/officeDocument/2006/relationships/image" Target="media/image1171.jpeg"/><Relationship Id="rId4136" Type="http://schemas.openxmlformats.org/officeDocument/2006/relationships/hyperlink" Target="http://fr.wikipedia.org/wiki/%C3%89thiopie" TargetMode="External"/><Relationship Id="rId4343" Type="http://schemas.openxmlformats.org/officeDocument/2006/relationships/hyperlink" Target="mailto:bradesenegal@yahoo.fr" TargetMode="External"/><Relationship Id="rId4550" Type="http://schemas.openxmlformats.org/officeDocument/2006/relationships/hyperlink" Target="mailto:info@saltfarmtexel.com" TargetMode="External"/><Relationship Id="rId3152" Type="http://schemas.openxmlformats.org/officeDocument/2006/relationships/hyperlink" Target="https://fr.wikipedia.org/wiki/Causse_du_Larzac" TargetMode="External"/><Relationship Id="rId4203" Type="http://schemas.openxmlformats.org/officeDocument/2006/relationships/hyperlink" Target="http://www.cabi.org/isc/datasheet/112586" TargetMode="External"/><Relationship Id="rId4410" Type="http://schemas.openxmlformats.org/officeDocument/2006/relationships/hyperlink" Target="http://fr.wikipedia.org/wiki/V%C3%A9g%C3%A9tation" TargetMode="External"/><Relationship Id="rId280" Type="http://schemas.openxmlformats.org/officeDocument/2006/relationships/hyperlink" Target="http://en.wikipedia.org/wiki/Tamarind" TargetMode="External"/><Relationship Id="rId3012" Type="http://schemas.openxmlformats.org/officeDocument/2006/relationships/hyperlink" Target="http://fr.wikipedia.org/w/index.php?title=Harpagoside&amp;action=edit&amp;redlink=1" TargetMode="External"/><Relationship Id="rId140" Type="http://schemas.openxmlformats.org/officeDocument/2006/relationships/image" Target="media/image48.jpeg"/><Relationship Id="rId3969" Type="http://schemas.openxmlformats.org/officeDocument/2006/relationships/hyperlink" Target="http://fr.wikipedia.org/wiki/Mexique" TargetMode="External"/><Relationship Id="rId6" Type="http://schemas.openxmlformats.org/officeDocument/2006/relationships/footnotes" Target="footnotes.xml"/><Relationship Id="rId2778" Type="http://schemas.openxmlformats.org/officeDocument/2006/relationships/hyperlink" Target="https://fr.wikipedia.org/wiki/Calcul_r%C3%A9nal" TargetMode="External"/><Relationship Id="rId2985" Type="http://schemas.openxmlformats.org/officeDocument/2006/relationships/hyperlink" Target="http://en.wikipedia.org/wiki/Kinnerasani_Wildlife_Sanctuary" TargetMode="External"/><Relationship Id="rId3829" Type="http://schemas.openxmlformats.org/officeDocument/2006/relationships/hyperlink" Target="http://ideas.repec.org/a/eee/agiwat/v123y2013icp1-11.html" TargetMode="External"/><Relationship Id="rId957" Type="http://schemas.openxmlformats.org/officeDocument/2006/relationships/image" Target="media/image423.jpeg"/><Relationship Id="rId1587" Type="http://schemas.openxmlformats.org/officeDocument/2006/relationships/hyperlink" Target="http://fr.wikipedia.org/wiki/Pucerons" TargetMode="External"/><Relationship Id="rId1794" Type="http://schemas.openxmlformats.org/officeDocument/2006/relationships/hyperlink" Target="https://fr.wikipedia.org/wiki/Millet_perle" TargetMode="External"/><Relationship Id="rId2638" Type="http://schemas.openxmlformats.org/officeDocument/2006/relationships/image" Target="media/image934.jpeg"/><Relationship Id="rId2845" Type="http://schemas.openxmlformats.org/officeDocument/2006/relationships/hyperlink" Target="http://www.sante-globale.fr/plantes-2/commiphora-myrrha-variete-molmol/" TargetMode="External"/><Relationship Id="rId86" Type="http://schemas.openxmlformats.org/officeDocument/2006/relationships/hyperlink" Target="https://fr.wikipedia.org/wiki/Somalie" TargetMode="External"/><Relationship Id="rId817" Type="http://schemas.openxmlformats.org/officeDocument/2006/relationships/image" Target="media/image365.jpeg"/><Relationship Id="rId1447" Type="http://schemas.openxmlformats.org/officeDocument/2006/relationships/hyperlink" Target="https://www.finedininglovers.fr/article/angel-leon-le-chef-qui-cultive-du-riz-dans-la-mer" TargetMode="External"/><Relationship Id="rId1654" Type="http://schemas.openxmlformats.org/officeDocument/2006/relationships/image" Target="media/image707.jpeg"/><Relationship Id="rId1861" Type="http://schemas.openxmlformats.org/officeDocument/2006/relationships/image" Target="media/image777.jpeg"/><Relationship Id="rId2705" Type="http://schemas.openxmlformats.org/officeDocument/2006/relationships/image" Target="media/image944.jpeg"/><Relationship Id="rId2912" Type="http://schemas.openxmlformats.org/officeDocument/2006/relationships/hyperlink" Target="http://translate.googleusercontent.com/translate_c?depth=1&amp;hl=fr&amp;prev=search&amp;rurl=translate.google.fr&amp;sl=en&amp;u=http://en.wikipedia.org/wiki/Swaziland&amp;usg=ALkJrhj2ggy8kmQYv6FBAKSAKySt7Nof9Q" TargetMode="External"/><Relationship Id="rId4060" Type="http://schemas.openxmlformats.org/officeDocument/2006/relationships/hyperlink" Target="https://en.wikipedia.org/wiki/Thorns,_spines,_and_prickles" TargetMode="External"/><Relationship Id="rId1307" Type="http://schemas.openxmlformats.org/officeDocument/2006/relationships/hyperlink" Target="http://translate.googleusercontent.com/translate_c?depth=1&amp;hl=fr&amp;prev=/search?q%3Dsalicornia%2Bherbacea%2Bwikipedia%26biw%3D1440%26bih%3D732&amp;rurl=translate.google.fr&amp;sl=en&amp;u=http://www.globalseawater.com/&amp;usg=ALkJrhjjryBs5kSjxDUGXV3tsghCHqNKdg" TargetMode="External"/><Relationship Id="rId1514" Type="http://schemas.openxmlformats.org/officeDocument/2006/relationships/hyperlink" Target="https://fr.wikipedia.org/wiki/Araceae" TargetMode="External"/><Relationship Id="rId1721" Type="http://schemas.openxmlformats.org/officeDocument/2006/relationships/hyperlink" Target="https://fr.wikipedia.org/wiki/Cornichon" TargetMode="External"/><Relationship Id="rId13" Type="http://schemas.openxmlformats.org/officeDocument/2006/relationships/image" Target="media/image3.jpeg"/><Relationship Id="rId3479" Type="http://schemas.openxmlformats.org/officeDocument/2006/relationships/hyperlink" Target="http://fr.wikipedia.org/wiki/Amande" TargetMode="External"/><Relationship Id="rId3686" Type="http://schemas.openxmlformats.org/officeDocument/2006/relationships/hyperlink" Target="https://fr.wikipedia.org/wiki/ReAct_(association)" TargetMode="External"/><Relationship Id="rId2288" Type="http://schemas.openxmlformats.org/officeDocument/2006/relationships/hyperlink" Target="http://fr.wikipedia.org/wiki/Fabac%C3%A9es" TargetMode="External"/><Relationship Id="rId2495" Type="http://schemas.openxmlformats.org/officeDocument/2006/relationships/hyperlink" Target="https://fr.wikipedia.org/wiki/Archipel" TargetMode="External"/><Relationship Id="rId3339" Type="http://schemas.openxmlformats.org/officeDocument/2006/relationships/image" Target="media/image1207.jpeg"/><Relationship Id="rId3893" Type="http://schemas.openxmlformats.org/officeDocument/2006/relationships/hyperlink" Target="http://horizon.documentation.ird.fr/exl-doc/pleins_textes/divers12-09/010054917.pdf" TargetMode="External"/><Relationship Id="rId467" Type="http://schemas.openxmlformats.org/officeDocument/2006/relationships/image" Target="media/image198.jpeg"/><Relationship Id="rId1097" Type="http://schemas.openxmlformats.org/officeDocument/2006/relationships/image" Target="media/image520.jpeg"/><Relationship Id="rId2148" Type="http://schemas.openxmlformats.org/officeDocument/2006/relationships/image" Target="media/image829.jpeg"/><Relationship Id="rId3546" Type="http://schemas.openxmlformats.org/officeDocument/2006/relationships/hyperlink" Target="https://fr.wikipedia.org/wiki/Sahel" TargetMode="External"/><Relationship Id="rId3753" Type="http://schemas.openxmlformats.org/officeDocument/2006/relationships/hyperlink" Target="http://www.miracosta.edu/home/kmeldahl/articles/crops.pdf" TargetMode="External"/><Relationship Id="rId3960" Type="http://schemas.openxmlformats.org/officeDocument/2006/relationships/hyperlink" Target="https://fr.wikipedia.org/wiki/Cent_esp%C3%A8ces_envahissantes_parmi_les_plus_nuisibles_du_monde" TargetMode="External"/><Relationship Id="rId674" Type="http://schemas.openxmlformats.org/officeDocument/2006/relationships/hyperlink" Target="https://fr.wikipedia.org/wiki/Famille_(biologie)" TargetMode="External"/><Relationship Id="rId881" Type="http://schemas.openxmlformats.org/officeDocument/2006/relationships/hyperlink" Target="http://translate.googleusercontent.com/translate_c?depth=1&amp;hl=fr&amp;prev=/search?q%3Dnitraria%26biw%3D1440%26bih%3D732&amp;rurl=translate.google.fr&amp;sl=en&amp;u=http://en.wikipedia.org/wiki/Nitrariaceae&amp;usg=ALkJrhjZ1E2Yw_Z9sWYjH9ms-Vo7-DkNMw" TargetMode="External"/><Relationship Id="rId2355" Type="http://schemas.openxmlformats.org/officeDocument/2006/relationships/image" Target="media/image880.jpeg"/><Relationship Id="rId2562" Type="http://schemas.openxmlformats.org/officeDocument/2006/relationships/image" Target="media/image919.jpeg"/><Relationship Id="rId3406" Type="http://schemas.openxmlformats.org/officeDocument/2006/relationships/hyperlink" Target="https://fr.wikipedia.org/wiki/Impact_environnemental_de_l%27%C3%A9levage" TargetMode="External"/><Relationship Id="rId3613" Type="http://schemas.openxmlformats.org/officeDocument/2006/relationships/hyperlink" Target="https://fr.wikipedia.org/wiki/2074" TargetMode="External"/><Relationship Id="rId3820" Type="http://schemas.openxmlformats.org/officeDocument/2006/relationships/hyperlink" Target="http://ideas.repec.org/a/eee/agiwat/v123y2013icp1-11.html" TargetMode="External"/><Relationship Id="rId327" Type="http://schemas.openxmlformats.org/officeDocument/2006/relationships/image" Target="media/image151.jpeg"/><Relationship Id="rId534" Type="http://schemas.openxmlformats.org/officeDocument/2006/relationships/image" Target="media/image231.jpeg"/><Relationship Id="rId741" Type="http://schemas.openxmlformats.org/officeDocument/2006/relationships/image" Target="media/image323.jpeg"/><Relationship Id="rId1164" Type="http://schemas.openxmlformats.org/officeDocument/2006/relationships/image" Target="media/image564.jpeg"/><Relationship Id="rId1371" Type="http://schemas.openxmlformats.org/officeDocument/2006/relationships/hyperlink" Target="http://www.biomassmagazine.com/article.jsp?article_id=1864" TargetMode="External"/><Relationship Id="rId2008" Type="http://schemas.openxmlformats.org/officeDocument/2006/relationships/hyperlink" Target="https://en.wikipedia.org/wiki/Tropical_Africa" TargetMode="External"/><Relationship Id="rId2215" Type="http://schemas.openxmlformats.org/officeDocument/2006/relationships/hyperlink" Target="https://fr.wikipedia.org/wiki/Cusco" TargetMode="External"/><Relationship Id="rId2422" Type="http://schemas.openxmlformats.org/officeDocument/2006/relationships/hyperlink" Target="http://fr.wikipedia.org/wiki/Puits_de_carbone" TargetMode="External"/><Relationship Id="rId601" Type="http://schemas.openxmlformats.org/officeDocument/2006/relationships/hyperlink" Target="https://fr.wikipedia.org/wiki/Detarium_senegalense" TargetMode="External"/><Relationship Id="rId1024" Type="http://schemas.openxmlformats.org/officeDocument/2006/relationships/image" Target="media/image470.jpeg"/><Relationship Id="rId1231" Type="http://schemas.openxmlformats.org/officeDocument/2006/relationships/image" Target="media/image611.jpeg"/><Relationship Id="rId4387" Type="http://schemas.openxmlformats.org/officeDocument/2006/relationships/hyperlink" Target="http://en.wikipedia.org/wiki/Noxious_weed" TargetMode="External"/><Relationship Id="rId3196" Type="http://schemas.openxmlformats.org/officeDocument/2006/relationships/image" Target="media/image1110.jpeg"/><Relationship Id="rId4247" Type="http://schemas.openxmlformats.org/officeDocument/2006/relationships/image" Target="media/image1436.jpeg"/><Relationship Id="rId4454" Type="http://schemas.openxmlformats.org/officeDocument/2006/relationships/hyperlink" Target="http://horizon.documentation.ird.fr/exl-doc/pleins_textes/pleins_textes_7/divers2/010016071.pdf" TargetMode="External"/><Relationship Id="rId3056" Type="http://schemas.openxmlformats.org/officeDocument/2006/relationships/hyperlink" Target="http://www.kkl.org.il/eng/water-for-israel/water-in-the-desert/limans/" TargetMode="External"/><Relationship Id="rId3263" Type="http://schemas.openxmlformats.org/officeDocument/2006/relationships/image" Target="media/image1159.jpeg"/><Relationship Id="rId3470" Type="http://schemas.openxmlformats.org/officeDocument/2006/relationships/hyperlink" Target="http://fr.wikipedia.org/wiki/Strate_herbac%C3%A9e" TargetMode="External"/><Relationship Id="rId4107" Type="http://schemas.openxmlformats.org/officeDocument/2006/relationships/hyperlink" Target="http://en.wikipedia.org/wiki/Mesquite" TargetMode="External"/><Relationship Id="rId4314" Type="http://schemas.openxmlformats.org/officeDocument/2006/relationships/hyperlink" Target="http://www.hear.org/pier/species/tamarix_aphylla.htm" TargetMode="External"/><Relationship Id="rId184" Type="http://schemas.openxmlformats.org/officeDocument/2006/relationships/image" Target="media/image86.jpeg"/><Relationship Id="rId391" Type="http://schemas.openxmlformats.org/officeDocument/2006/relationships/hyperlink" Target="https://en.wikipedia.org/wiki/Female" TargetMode="External"/><Relationship Id="rId1908" Type="http://schemas.openxmlformats.org/officeDocument/2006/relationships/hyperlink" Target="https://fr.wikipedia.org/wiki/Biomat%C3%A9riaux" TargetMode="External"/><Relationship Id="rId2072" Type="http://schemas.openxmlformats.org/officeDocument/2006/relationships/hyperlink" Target="https://en.wikipedia.org/wiki/Nitrogen_fixation" TargetMode="External"/><Relationship Id="rId3123" Type="http://schemas.openxmlformats.org/officeDocument/2006/relationships/hyperlink" Target="http://translate.googleusercontent.com/translate_c?depth=1&amp;hl=fr&amp;prev=/search?q%3Dindian%2Bjohad%26sa%3DX%26hl%3Dfr%26biw%3D1440%26bih%3D732%26site%3Dimghp&amp;rurl=translate.google.fr&amp;sl=en&amp;u=http://en.wikipedia.org/wiki/Rainwater&amp;usg=ALkJrhg69vjjeTH307K2xt8XfGAoZpvMwA" TargetMode="External"/><Relationship Id="rId4521" Type="http://schemas.openxmlformats.org/officeDocument/2006/relationships/hyperlink" Target="https://fr.wikipedia.org/wiki/Artemisia_absinthium" TargetMode="External"/><Relationship Id="rId251" Type="http://schemas.openxmlformats.org/officeDocument/2006/relationships/hyperlink" Target="http://translate.googleusercontent.com/translate_c?depth=1&amp;hl=fr&amp;prev=/search?q=ziziphus+jujuba+wikipedia&amp;biw=1440&amp;bih=732&amp;rurl=translate.google.fr&amp;sl=en&amp;u=http://en.wikipedia.org/wiki/South_Asia&amp;usg=ALkJrhglQIPEmi8Pi6rjVH2KkdGLcHzzFg" TargetMode="External"/><Relationship Id="rId3330" Type="http://schemas.openxmlformats.org/officeDocument/2006/relationships/image" Target="media/image1200.png"/><Relationship Id="rId2889" Type="http://schemas.openxmlformats.org/officeDocument/2006/relationships/image" Target="media/image983.jpg"/><Relationship Id="rId111" Type="http://schemas.openxmlformats.org/officeDocument/2006/relationships/hyperlink" Target="https://en.wikipedia.org/wiki/Fungi" TargetMode="External"/><Relationship Id="rId1698" Type="http://schemas.openxmlformats.org/officeDocument/2006/relationships/image" Target="media/image723.jpeg"/><Relationship Id="rId2749" Type="http://schemas.openxmlformats.org/officeDocument/2006/relationships/hyperlink" Target="https://fr.wikipedia.org/wiki/%C3%89tats-Unis" TargetMode="External"/><Relationship Id="rId2956" Type="http://schemas.openxmlformats.org/officeDocument/2006/relationships/hyperlink" Target="http://translate.googleusercontent.com/translate_c?depth=1&amp;hl=fr&amp;prev=search&amp;rurl=translate.google.fr&amp;sl=en&amp;u=http://en.wikipedia.org/wiki/Regeneration_(biology)&amp;usg=ALkJrhiHbneBXOir6AZ7gCgW8fbBIbhpPA" TargetMode="External"/><Relationship Id="rId928" Type="http://schemas.openxmlformats.org/officeDocument/2006/relationships/hyperlink" Target="https://fr.wikipedia.org/wiki/Lycium_barbarum" TargetMode="External"/><Relationship Id="rId1558" Type="http://schemas.openxmlformats.org/officeDocument/2006/relationships/image" Target="media/image679.jpeg"/><Relationship Id="rId1765" Type="http://schemas.openxmlformats.org/officeDocument/2006/relationships/hyperlink" Target="http://fr.wikipedia.org/wiki/Monoculture" TargetMode="External"/><Relationship Id="rId2609" Type="http://schemas.openxmlformats.org/officeDocument/2006/relationships/hyperlink" Target="https://fr.wikipedia.org/wiki/Pollution_de_l%27eau" TargetMode="External"/><Relationship Id="rId4171" Type="http://schemas.openxmlformats.org/officeDocument/2006/relationships/hyperlink" Target="http://www.cabi.org/isc/datasheet/112574" TargetMode="External"/><Relationship Id="rId57" Type="http://schemas.openxmlformats.org/officeDocument/2006/relationships/image" Target="media/image22.jpeg"/><Relationship Id="rId1418" Type="http://schemas.openxmlformats.org/officeDocument/2006/relationships/hyperlink" Target="http://www.bashanfoundation.org/gmaweb/pdfs/growth.pdf" TargetMode="External"/><Relationship Id="rId1972" Type="http://schemas.openxmlformats.org/officeDocument/2006/relationships/hyperlink" Target="https://fr.wikipedia.org/wiki/Plante" TargetMode="External"/><Relationship Id="rId2816" Type="http://schemas.openxmlformats.org/officeDocument/2006/relationships/hyperlink" Target="http://fr.wikipedia.org/wiki/Siwak" TargetMode="External"/><Relationship Id="rId4031" Type="http://schemas.openxmlformats.org/officeDocument/2006/relationships/image" Target="media/image1396.jpeg"/><Relationship Id="rId1625" Type="http://schemas.openxmlformats.org/officeDocument/2006/relationships/hyperlink" Target="http://onlinelibrary.wiley.com/doi/10.1111/j.1469-8137.1990.tb00439.x/pdf" TargetMode="External"/><Relationship Id="rId1832" Type="http://schemas.openxmlformats.org/officeDocument/2006/relationships/hyperlink" Target="https://fr.wikipedia.org/wiki/Millet_commun" TargetMode="External"/><Relationship Id="rId3797" Type="http://schemas.openxmlformats.org/officeDocument/2006/relationships/hyperlink" Target="http://ideas.repec.org/a/eee/agiwat/v90y2007i3p165-180.html" TargetMode="External"/><Relationship Id="rId2399" Type="http://schemas.openxmlformats.org/officeDocument/2006/relationships/image" Target="media/image888.jpeg"/><Relationship Id="rId3657" Type="http://schemas.openxmlformats.org/officeDocument/2006/relationships/hyperlink" Target="http://www.saltfarmtexel.com/" TargetMode="External"/><Relationship Id="rId3864" Type="http://schemas.openxmlformats.org/officeDocument/2006/relationships/hyperlink" Target="http://sxm.sea.free.fr/sea-Mangrov-ecologie.htm" TargetMode="External"/><Relationship Id="rId578" Type="http://schemas.openxmlformats.org/officeDocument/2006/relationships/hyperlink" Target="https://fr.wikipedia.org/wiki/Nutrition" TargetMode="External"/><Relationship Id="rId785" Type="http://schemas.openxmlformats.org/officeDocument/2006/relationships/image" Target="media/image345.jpeg"/><Relationship Id="rId992" Type="http://schemas.openxmlformats.org/officeDocument/2006/relationships/image" Target="media/image446.jpeg"/><Relationship Id="rId2259" Type="http://schemas.openxmlformats.org/officeDocument/2006/relationships/image" Target="media/image852.jpeg"/><Relationship Id="rId2466" Type="http://schemas.openxmlformats.org/officeDocument/2006/relationships/hyperlink" Target="http://fr.wikipedia.org/wiki/P%C3%A2te_%C3%A0_papier" TargetMode="External"/><Relationship Id="rId2673" Type="http://schemas.openxmlformats.org/officeDocument/2006/relationships/hyperlink" Target="https://fr.wikipedia.org/wiki/Philippines" TargetMode="External"/><Relationship Id="rId2880" Type="http://schemas.openxmlformats.org/officeDocument/2006/relationships/hyperlink" Target="http://translate.googleusercontent.com/translate_c?depth=1&amp;hl=fr&amp;prev=search&amp;rurl=translate.google.fr&amp;sl=en&amp;u=http://en.wikipedia.org/wiki/Vineet_Soni&amp;usg=ALkJrhhw5l3OVmmqppdAGDQdUVHFh2_GuQ" TargetMode="External"/><Relationship Id="rId3517" Type="http://schemas.openxmlformats.org/officeDocument/2006/relationships/hyperlink" Target="https://fr.wikipedia.org/wiki/Semis_direct" TargetMode="External"/><Relationship Id="rId3724" Type="http://schemas.openxmlformats.org/officeDocument/2006/relationships/hyperlink" Target="https://www.podcastjournal.net/Inverser-le-cours-de-la-deforestation-pour-preserver-la-biodiversite_a27910.html" TargetMode="External"/><Relationship Id="rId3931" Type="http://schemas.openxmlformats.org/officeDocument/2006/relationships/hyperlink" Target="http://www.hear.org/pier/references/pierref000744.htm" TargetMode="External"/><Relationship Id="rId438" Type="http://schemas.openxmlformats.org/officeDocument/2006/relationships/hyperlink" Target="http://fr.wikipedia.org/wiki/Arganier" TargetMode="External"/><Relationship Id="rId645" Type="http://schemas.openxmlformats.org/officeDocument/2006/relationships/hyperlink" Target="https://fr.wikipedia.org/wiki/Mozambique" TargetMode="External"/><Relationship Id="rId852" Type="http://schemas.openxmlformats.org/officeDocument/2006/relationships/hyperlink" Target="http://fr.wikipedia.org/wiki/Plante_annuelle" TargetMode="External"/><Relationship Id="rId1068" Type="http://schemas.openxmlformats.org/officeDocument/2006/relationships/image" Target="media/image497.jpeg"/><Relationship Id="rId1275" Type="http://schemas.openxmlformats.org/officeDocument/2006/relationships/hyperlink" Target="http://en.wikipedia.org/wiki/Salicornia_bigelovii" TargetMode="External"/><Relationship Id="rId1482" Type="http://schemas.openxmlformats.org/officeDocument/2006/relationships/hyperlink" Target="http://fr.wikipedia.org/wiki/Plante_bisannuelle" TargetMode="External"/><Relationship Id="rId2119" Type="http://schemas.openxmlformats.org/officeDocument/2006/relationships/hyperlink" Target="https://en.wikipedia.org/wiki/Sev_mamra" TargetMode="External"/><Relationship Id="rId2326" Type="http://schemas.openxmlformats.org/officeDocument/2006/relationships/hyperlink" Target="http://fr.wikipedia.org/wiki/Luzerne_cultiv%C3%A9e" TargetMode="External"/><Relationship Id="rId2533" Type="http://schemas.openxmlformats.org/officeDocument/2006/relationships/hyperlink" Target="https://fr.wikipedia.org/w/index.php?title=Diadematus_acanthoproctus&amp;action=edit&amp;redlink=1" TargetMode="External"/><Relationship Id="rId2740" Type="http://schemas.openxmlformats.org/officeDocument/2006/relationships/hyperlink" Target="https://fr.wikipedia.org/wiki/Kanembou_(peuple)" TargetMode="External"/><Relationship Id="rId505" Type="http://schemas.openxmlformats.org/officeDocument/2006/relationships/image" Target="media/image219.jpeg"/><Relationship Id="rId712" Type="http://schemas.openxmlformats.org/officeDocument/2006/relationships/image" Target="media/image304.jpeg"/><Relationship Id="rId1135" Type="http://schemas.openxmlformats.org/officeDocument/2006/relationships/image" Target="media/image546.jpeg"/><Relationship Id="rId1342" Type="http://schemas.openxmlformats.org/officeDocument/2006/relationships/hyperlink" Target="http://www.gcrio.org/usiji/pdf/Mexico-3%203-04.pdf" TargetMode="External"/><Relationship Id="rId4498" Type="http://schemas.openxmlformats.org/officeDocument/2006/relationships/hyperlink" Target="http://fr.wiktionary.org/wiki/%C3%A9cosyst%C3%A8me" TargetMode="External"/><Relationship Id="rId1202" Type="http://schemas.openxmlformats.org/officeDocument/2006/relationships/hyperlink" Target="http://www.tahitiheritage.pf/toto-margot-heritiera-littoralis/" TargetMode="External"/><Relationship Id="rId2600" Type="http://schemas.openxmlformats.org/officeDocument/2006/relationships/hyperlink" Target="https://fr.wikipedia.org/wiki/Peptide" TargetMode="External"/><Relationship Id="rId4358" Type="http://schemas.openxmlformats.org/officeDocument/2006/relationships/image" Target="media/image1462.jpg"/><Relationship Id="rId3167" Type="http://schemas.openxmlformats.org/officeDocument/2006/relationships/image" Target="media/image1086.jpeg"/><Relationship Id="rId295" Type="http://schemas.openxmlformats.org/officeDocument/2006/relationships/hyperlink" Target="http://en.wikipedia.org/w/index.php?title=WWF_Oasis_of_Monte_Arcosu&amp;action=edit&amp;redlink=1" TargetMode="External"/><Relationship Id="rId3374" Type="http://schemas.openxmlformats.org/officeDocument/2006/relationships/image" Target="media/image1235.jpeg"/><Relationship Id="rId3581" Type="http://schemas.openxmlformats.org/officeDocument/2006/relationships/hyperlink" Target="https://fr.wikipedia.org/wiki/Oasis" TargetMode="External"/><Relationship Id="rId4218" Type="http://schemas.openxmlformats.org/officeDocument/2006/relationships/hyperlink" Target="http://en.wikipedia.org/wiki/Atriplex_rosea" TargetMode="External"/><Relationship Id="rId4425" Type="http://schemas.openxmlformats.org/officeDocument/2006/relationships/hyperlink" Target="http://www.lesarbres.fr/sol.php" TargetMode="External"/><Relationship Id="rId2183" Type="http://schemas.openxmlformats.org/officeDocument/2006/relationships/hyperlink" Target="https://en.wikipedia.org/wiki/Pericarp" TargetMode="External"/><Relationship Id="rId2390" Type="http://schemas.openxmlformats.org/officeDocument/2006/relationships/image" Target="media/image883.jpeg"/><Relationship Id="rId3027" Type="http://schemas.openxmlformats.org/officeDocument/2006/relationships/image" Target="media/image1005.jpg"/><Relationship Id="rId3234" Type="http://schemas.openxmlformats.org/officeDocument/2006/relationships/image" Target="media/image1145.jpeg"/><Relationship Id="rId3441" Type="http://schemas.openxmlformats.org/officeDocument/2006/relationships/image" Target="media/image1277.jpeg"/><Relationship Id="rId155" Type="http://schemas.openxmlformats.org/officeDocument/2006/relationships/image" Target="media/image62.jpg"/><Relationship Id="rId362" Type="http://schemas.openxmlformats.org/officeDocument/2006/relationships/hyperlink" Target="https://fr.wikipedia.org/wiki/Vrille_(botanique)" TargetMode="External"/><Relationship Id="rId2043" Type="http://schemas.openxmlformats.org/officeDocument/2006/relationships/image" Target="media/image791.jpeg"/><Relationship Id="rId2250" Type="http://schemas.openxmlformats.org/officeDocument/2006/relationships/hyperlink" Target="https://fr.wikipedia.org/wiki/Canc%C3%A9rig%C3%A8ne" TargetMode="External"/><Relationship Id="rId3301" Type="http://schemas.openxmlformats.org/officeDocument/2006/relationships/hyperlink" Target="http://www.sswm.info/glossary/2/letterf" TargetMode="External"/><Relationship Id="rId222" Type="http://schemas.openxmlformats.org/officeDocument/2006/relationships/image" Target="media/image105.jpeg"/><Relationship Id="rId2110" Type="http://schemas.openxmlformats.org/officeDocument/2006/relationships/image" Target="media/image808.jpeg"/><Relationship Id="rId4075" Type="http://schemas.openxmlformats.org/officeDocument/2006/relationships/image" Target="media/image1410.jpeg"/><Relationship Id="rId4282" Type="http://schemas.openxmlformats.org/officeDocument/2006/relationships/hyperlink" Target="https://en.wikipedia.org/wiki/Invasive_species" TargetMode="External"/><Relationship Id="rId1669" Type="http://schemas.openxmlformats.org/officeDocument/2006/relationships/hyperlink" Target="http://translate.googleusercontent.com/translate_c?depth=1&amp;hl=fr&amp;prev=/search?q%3DBrassica%2Bcarinata%26biw%3D1440%26bih%3D775&amp;rurl=translate.google.fr&amp;sl=en&amp;u=http://en.wikipedia.org/wiki/Glucosinolate&amp;usg=ALkJrhi1Bbe68ziI0LlwsDbJV-9nKRUkOA" TargetMode="External"/><Relationship Id="rId1876" Type="http://schemas.openxmlformats.org/officeDocument/2006/relationships/hyperlink" Target="https://fr.wikipedia.org/wiki/Ma%C3%AFs" TargetMode="External"/><Relationship Id="rId2927" Type="http://schemas.openxmlformats.org/officeDocument/2006/relationships/hyperlink" Target="http://translate.googleusercontent.com/translate_c?depth=1&amp;hl=fr&amp;prev=search&amp;rurl=translate.google.fr&amp;sl=en&amp;u=http://en.wikipedia.org/wiki/Triterpenoid&amp;usg=ALkJrhjwtGOZ3FmIs5MU5--uMQkI_5KixQ" TargetMode="External"/><Relationship Id="rId3091" Type="http://schemas.openxmlformats.org/officeDocument/2006/relationships/image" Target="media/image1044.jpeg"/><Relationship Id="rId4142" Type="http://schemas.openxmlformats.org/officeDocument/2006/relationships/hyperlink" Target="http://es.wikipedia.org/wiki/Prosopis_chilensis" TargetMode="External"/><Relationship Id="rId1529" Type="http://schemas.openxmlformats.org/officeDocument/2006/relationships/hyperlink" Target="https://fr.wikipedia.org/wiki/Spadice" TargetMode="External"/><Relationship Id="rId1736" Type="http://schemas.openxmlformats.org/officeDocument/2006/relationships/image" Target="media/image740.jpg"/><Relationship Id="rId1943" Type="http://schemas.openxmlformats.org/officeDocument/2006/relationships/hyperlink" Target="https://en.wikipedia.org/wiki/Intercropping" TargetMode="External"/><Relationship Id="rId28" Type="http://schemas.openxmlformats.org/officeDocument/2006/relationships/hyperlink" Target="mailto:benjamin.lisan@free.fr" TargetMode="External"/><Relationship Id="rId1803" Type="http://schemas.openxmlformats.org/officeDocument/2006/relationships/hyperlink" Target="https://fr.wikipedia.org/wiki/Asie" TargetMode="External"/><Relationship Id="rId4002" Type="http://schemas.openxmlformats.org/officeDocument/2006/relationships/image" Target="media/image1382.jpeg"/><Relationship Id="rId3768" Type="http://schemas.openxmlformats.org/officeDocument/2006/relationships/hyperlink" Target="http://www.miracosta.edu/home/kmeldahl/articles/crops.pdf" TargetMode="External"/><Relationship Id="rId3975" Type="http://schemas.openxmlformats.org/officeDocument/2006/relationships/hyperlink" Target="http://www.cabi.org/isc/datasheet/3855" TargetMode="External"/><Relationship Id="rId689" Type="http://schemas.openxmlformats.org/officeDocument/2006/relationships/hyperlink" Target="http://www.hear.org/pier/species/acacia_farnesiana.htm" TargetMode="External"/><Relationship Id="rId896" Type="http://schemas.openxmlformats.org/officeDocument/2006/relationships/hyperlink" Target="http://fr.wikipedia.org/wiki/Haloxylon_ammodendron" TargetMode="External"/><Relationship Id="rId2577" Type="http://schemas.openxmlformats.org/officeDocument/2006/relationships/hyperlink" Target="https://fr.wikipedia.org/wiki/Nanobiotechnologie" TargetMode="External"/><Relationship Id="rId2784" Type="http://schemas.openxmlformats.org/officeDocument/2006/relationships/hyperlink" Target="https://www.antenna.ch/wp-content/uploads/2017/04/Manuel_Cultivez_votre_spiruline_REVISION_2013.pdf" TargetMode="External"/><Relationship Id="rId3628" Type="http://schemas.openxmlformats.org/officeDocument/2006/relationships/hyperlink" Target="https://zh.wikipedia.org/wiki/%E4%B8%89%E5%8C%97%E9%98%B2%E6%8A%A4%E6%9E%97" TargetMode="External"/><Relationship Id="rId549" Type="http://schemas.openxmlformats.org/officeDocument/2006/relationships/hyperlink" Target="https://www.google.fr/search?sxsrf=ALeKk03mgZuH6Q0cZ4u9VmEgqGVcKGJjhA:1627459500620&amp;q=Zygophyllaceae&amp;stick=H4sIAAAAAAAAAONgVuLUz9U3MKyKN8xbxMoXVZmeX5BRmZOTmJyamAoAw1GBmB4AAAA&amp;sa=X&amp;ved=2ahUKEwjErK6Lp4XyAhWExoUKHR0WAzAQmxMoATAmegQILhAD" TargetMode="External"/><Relationship Id="rId756" Type="http://schemas.openxmlformats.org/officeDocument/2006/relationships/image" Target="media/image331.jpeg"/><Relationship Id="rId1179" Type="http://schemas.openxmlformats.org/officeDocument/2006/relationships/image" Target="media/image569.jpeg"/><Relationship Id="rId1386" Type="http://schemas.openxmlformats.org/officeDocument/2006/relationships/hyperlink" Target="http://www.downtoearth.org.in/node/13119" TargetMode="External"/><Relationship Id="rId1593" Type="http://schemas.openxmlformats.org/officeDocument/2006/relationships/hyperlink" Target="http://fr.wikipedia.org/wiki/Escourgeon" TargetMode="External"/><Relationship Id="rId2437" Type="http://schemas.openxmlformats.org/officeDocument/2006/relationships/hyperlink" Target="http://fr.wikipedia.org/wiki/Zones-tampon" TargetMode="External"/><Relationship Id="rId2991" Type="http://schemas.openxmlformats.org/officeDocument/2006/relationships/image" Target="media/image997.jpg"/><Relationship Id="rId3835" Type="http://schemas.openxmlformats.org/officeDocument/2006/relationships/hyperlink" Target="http://hortsci.ashspublications.org/content/49/7/901.full.pdf+html" TargetMode="External"/><Relationship Id="rId409" Type="http://schemas.openxmlformats.org/officeDocument/2006/relationships/hyperlink" Target="https://fr.wikipedia.org/wiki/Bouturage" TargetMode="External"/><Relationship Id="rId963" Type="http://schemas.openxmlformats.org/officeDocument/2006/relationships/image" Target="media/image427.jpeg"/><Relationship Id="rId1039" Type="http://schemas.openxmlformats.org/officeDocument/2006/relationships/image" Target="media/image477.jpg"/><Relationship Id="rId1246" Type="http://schemas.openxmlformats.org/officeDocument/2006/relationships/image" Target="media/image626.jpeg"/><Relationship Id="rId2644" Type="http://schemas.openxmlformats.org/officeDocument/2006/relationships/hyperlink" Target="https://fr.wikipedia.org/wiki/Indon%C3%A9sie" TargetMode="External"/><Relationship Id="rId2851" Type="http://schemas.openxmlformats.org/officeDocument/2006/relationships/hyperlink" Target="http://www.haaretz.com/misc/writers/nir-hasson-1.500" TargetMode="External"/><Relationship Id="rId3902" Type="http://schemas.openxmlformats.org/officeDocument/2006/relationships/hyperlink" Target="http://horizon.documentation.ird.fr/exl-doc/pleins_textes/pleins_textes_6/b_fdi_33-34/38215.pdf" TargetMode="External"/><Relationship Id="rId92" Type="http://schemas.openxmlformats.org/officeDocument/2006/relationships/hyperlink" Target="https://fr.wikipedia.org/wiki/Argentine" TargetMode="External"/><Relationship Id="rId616" Type="http://schemas.openxmlformats.org/officeDocument/2006/relationships/hyperlink" Target="https://fr.wikipedia.org/wiki/Combretum_glutinosum" TargetMode="External"/><Relationship Id="rId823" Type="http://schemas.openxmlformats.org/officeDocument/2006/relationships/hyperlink" Target="http://en.wikipedia.org/wiki/Atriplex_lentiformis" TargetMode="External"/><Relationship Id="rId1453" Type="http://schemas.openxmlformats.org/officeDocument/2006/relationships/hyperlink" Target="http://fr.wikipedia.org/wiki/Asparagaceae" TargetMode="External"/><Relationship Id="rId1660" Type="http://schemas.openxmlformats.org/officeDocument/2006/relationships/hyperlink" Target="https://www.saltfarmtexel.com/" TargetMode="External"/><Relationship Id="rId2504" Type="http://schemas.openxmlformats.org/officeDocument/2006/relationships/hyperlink" Target="https://fr.wikipedia.org/wiki/Aride" TargetMode="External"/><Relationship Id="rId2711" Type="http://schemas.openxmlformats.org/officeDocument/2006/relationships/hyperlink" Target="https://fr.wikipedia.org/wiki/Famille_(biologie)" TargetMode="External"/><Relationship Id="rId1106" Type="http://schemas.openxmlformats.org/officeDocument/2006/relationships/image" Target="media/image529.jpeg"/><Relationship Id="rId1313" Type="http://schemas.openxmlformats.org/officeDocument/2006/relationships/hyperlink" Target="http://translate.googleusercontent.com/translate_c?depth=1&amp;hl=fr&amp;prev=/search?q%3Dsalicornia%2Bherbacea%2Bwikipedia%26biw%3D1440%26bih%3D732&amp;rurl=translate.google.fr&amp;sl=en&amp;u=http://en.wikipedia.org/wiki/Salicornia_bigelovii&amp;usg=ALkJrhiOe6yfQ2NpTGTItnej-8YQL6d3JA" TargetMode="External"/><Relationship Id="rId1520" Type="http://schemas.openxmlformats.org/officeDocument/2006/relationships/hyperlink" Target="https://fr.wikipedia.org/wiki/Tubercule" TargetMode="External"/><Relationship Id="rId4469" Type="http://schemas.openxmlformats.org/officeDocument/2006/relationships/hyperlink" Target="mailto:info@vanderhoeven.nl" TargetMode="External"/><Relationship Id="rId3278" Type="http://schemas.openxmlformats.org/officeDocument/2006/relationships/hyperlink" Target="http://fr.wikipedia.org/wiki/Engrais" TargetMode="External"/><Relationship Id="rId3485" Type="http://schemas.openxmlformats.org/officeDocument/2006/relationships/image" Target="media/image1301.jpeg"/><Relationship Id="rId3692" Type="http://schemas.openxmlformats.org/officeDocument/2006/relationships/hyperlink" Target="https://fr.wikipedia.org/wiki/Agriculture_paysanne" TargetMode="External"/><Relationship Id="rId4329" Type="http://schemas.openxmlformats.org/officeDocument/2006/relationships/image" Target="media/image1451.jpeg"/><Relationship Id="rId4536" Type="http://schemas.openxmlformats.org/officeDocument/2006/relationships/hyperlink" Target="mailto:Ced.Hesse@iied.org" TargetMode="External"/><Relationship Id="rId199" Type="http://schemas.openxmlformats.org/officeDocument/2006/relationships/image" Target="media/image93.jpeg"/><Relationship Id="rId2087" Type="http://schemas.openxmlformats.org/officeDocument/2006/relationships/hyperlink" Target="https://fr.wikipedia.org/wiki/Virus_de_la_rosette_de_l%27arachide" TargetMode="External"/><Relationship Id="rId2294" Type="http://schemas.openxmlformats.org/officeDocument/2006/relationships/hyperlink" Target="http://translate.googleusercontent.com/translate_c?depth=1&amp;hl=fr&amp;prev=/search?q%3DMelilotus%2Bindicus%26biw%3D1440%26bih%3D732&amp;rurl=translate.google.fr&amp;sl=en&amp;u=http://en.wikipedia.org/wiki/South_America&amp;usg=ALkJrhgruvjmHhVeYj6GlCyy0CeYIrclNA" TargetMode="External"/><Relationship Id="rId3138" Type="http://schemas.openxmlformats.org/officeDocument/2006/relationships/image" Target="media/image1080.jpeg"/><Relationship Id="rId3345" Type="http://schemas.openxmlformats.org/officeDocument/2006/relationships/image" Target="media/image1210.jpeg"/><Relationship Id="rId3552" Type="http://schemas.openxmlformats.org/officeDocument/2006/relationships/hyperlink" Target="https://fr.wikipedia.org/wiki/Liti%C3%A8re" TargetMode="External"/><Relationship Id="rId266" Type="http://schemas.openxmlformats.org/officeDocument/2006/relationships/hyperlink" Target="http://www.cabi.org/isc/abstract/20073185345" TargetMode="External"/><Relationship Id="rId473" Type="http://schemas.openxmlformats.org/officeDocument/2006/relationships/hyperlink" Target="http://es.wikipedia.org/wiki/Yucca_filifera" TargetMode="External"/><Relationship Id="rId680" Type="http://schemas.openxmlformats.org/officeDocument/2006/relationships/image" Target="media/image288.jpeg"/><Relationship Id="rId2154" Type="http://schemas.openxmlformats.org/officeDocument/2006/relationships/hyperlink" Target="https://fr.wikipedia.org/wiki/Chenopodiaceae" TargetMode="External"/><Relationship Id="rId2361" Type="http://schemas.openxmlformats.org/officeDocument/2006/relationships/hyperlink" Target="http://fr.wikipedia.org/wiki/Chrysopogon_zizanioides" TargetMode="External"/><Relationship Id="rId3205" Type="http://schemas.openxmlformats.org/officeDocument/2006/relationships/image" Target="media/image1119.jpeg"/><Relationship Id="rId3412" Type="http://schemas.openxmlformats.org/officeDocument/2006/relationships/hyperlink" Target="http://fr.wikipedia.org/wiki/Coupe_rase" TargetMode="External"/><Relationship Id="rId126" Type="http://schemas.openxmlformats.org/officeDocument/2006/relationships/hyperlink" Target="http://www.hear.org/" TargetMode="External"/><Relationship Id="rId333" Type="http://schemas.openxmlformats.org/officeDocument/2006/relationships/image" Target="media/image155.jpeg"/><Relationship Id="rId540" Type="http://schemas.openxmlformats.org/officeDocument/2006/relationships/hyperlink" Target="http://en.wikipedia.org/wiki/Ficus_sycomorus" TargetMode="External"/><Relationship Id="rId1170" Type="http://schemas.openxmlformats.org/officeDocument/2006/relationships/hyperlink" Target="https://en.wikipedia.org/wiki/Avicennia_officinalis" TargetMode="External"/><Relationship Id="rId2014" Type="http://schemas.openxmlformats.org/officeDocument/2006/relationships/hyperlink" Target="https://en.wikipedia.org/wiki/Rust_(fungus)" TargetMode="External"/><Relationship Id="rId2221" Type="http://schemas.openxmlformats.org/officeDocument/2006/relationships/image" Target="media/image840.jpeg"/><Relationship Id="rId1030" Type="http://schemas.openxmlformats.org/officeDocument/2006/relationships/hyperlink" Target="https://fr.wikipedia.org/wiki/Coccoloba_uvifera" TargetMode="External"/><Relationship Id="rId4186" Type="http://schemas.openxmlformats.org/officeDocument/2006/relationships/hyperlink" Target="http://www.cabi.org/isc/datasheet/112579" TargetMode="External"/><Relationship Id="rId400" Type="http://schemas.openxmlformats.org/officeDocument/2006/relationships/hyperlink" Target="https://fr.wikipedia.org/wiki/Sous-esp%C3%A8ce" TargetMode="External"/><Relationship Id="rId1987" Type="http://schemas.openxmlformats.org/officeDocument/2006/relationships/hyperlink" Target="https://fr.wikipedia.org/wiki/B%C3%A9nin" TargetMode="External"/><Relationship Id="rId4393" Type="http://schemas.openxmlformats.org/officeDocument/2006/relationships/image" Target="media/image1470.jpeg"/><Relationship Id="rId1847" Type="http://schemas.openxmlformats.org/officeDocument/2006/relationships/image" Target="media/image767.jpeg"/><Relationship Id="rId4046" Type="http://schemas.openxmlformats.org/officeDocument/2006/relationships/hyperlink" Target="https://translate.googleusercontent.com/translate_c?depth=1&amp;hl=fr&amp;prev=search&amp;rurl=translate.google.fr&amp;sl=en&amp;u=https://en.wikipedia.org/wiki/Uromycladium_tepperianum&amp;usg=ALkJrhhsrBik2QKyWwxt0DLx9-m6h8jFkg" TargetMode="External"/><Relationship Id="rId4253" Type="http://schemas.openxmlformats.org/officeDocument/2006/relationships/hyperlink" Target="https://en.wikipedia.org/wiki/Africa" TargetMode="External"/><Relationship Id="rId4460" Type="http://schemas.openxmlformats.org/officeDocument/2006/relationships/hyperlink" Target="https://www.curioctopus.fr/read/17204/cultiver-dans-le-desert-sans-avoir-besoin-d-eau-:-les-serres-revolutionnaires-de-charlie-paton" TargetMode="External"/><Relationship Id="rId1707" Type="http://schemas.openxmlformats.org/officeDocument/2006/relationships/hyperlink" Target="https://fr.wikipedia.org/wiki/Grappe" TargetMode="External"/><Relationship Id="rId3062" Type="http://schemas.openxmlformats.org/officeDocument/2006/relationships/image" Target="media/image1017.jpeg"/><Relationship Id="rId4113" Type="http://schemas.openxmlformats.org/officeDocument/2006/relationships/image" Target="media/image1419.jpeg"/><Relationship Id="rId4320" Type="http://schemas.openxmlformats.org/officeDocument/2006/relationships/image" Target="media/image1450.jpeg"/><Relationship Id="rId190" Type="http://schemas.openxmlformats.org/officeDocument/2006/relationships/hyperlink" Target="http://www.plantarium.ru/page/view/item/48340.html" TargetMode="External"/><Relationship Id="rId1914" Type="http://schemas.openxmlformats.org/officeDocument/2006/relationships/hyperlink" Target="https://fr.wikipedia.org/wiki/Nitrite" TargetMode="External"/><Relationship Id="rId3879" Type="http://schemas.openxmlformats.org/officeDocument/2006/relationships/hyperlink" Target="http://www.ma.auf.org/erosion/chapitre1/VI.Lutte.html" TargetMode="External"/><Relationship Id="rId2688" Type="http://schemas.openxmlformats.org/officeDocument/2006/relationships/image" Target="media/image942.png"/><Relationship Id="rId2895" Type="http://schemas.openxmlformats.org/officeDocument/2006/relationships/hyperlink" Target="http://translate.googleusercontent.com/translate_c?depth=1&amp;hl=fr&amp;prev=search&amp;rurl=translate.google.fr&amp;sl=en&amp;u=http://en.wikipedia.org/wiki/Sub-Saharan&amp;usg=ALkJrhjl6kzfZMu0N_aKxxdm4B7eWwhpeg" TargetMode="External"/><Relationship Id="rId3739" Type="http://schemas.openxmlformats.org/officeDocument/2006/relationships/hyperlink" Target="http://fogeo.free.fr/flore/arbustes_halophiles.pdf" TargetMode="External"/><Relationship Id="rId3946" Type="http://schemas.openxmlformats.org/officeDocument/2006/relationships/image" Target="media/image1363.jpeg"/><Relationship Id="rId867" Type="http://schemas.openxmlformats.org/officeDocument/2006/relationships/image" Target="media/image386.jpeg"/><Relationship Id="rId1497" Type="http://schemas.openxmlformats.org/officeDocument/2006/relationships/hyperlink" Target="http://fr.wikipedia.org/wiki/Syrie" TargetMode="External"/><Relationship Id="rId2548" Type="http://schemas.openxmlformats.org/officeDocument/2006/relationships/hyperlink" Target="http://fr.wikipedia.org/wiki/Fabac%C3%A9es" TargetMode="External"/><Relationship Id="rId2755" Type="http://schemas.openxmlformats.org/officeDocument/2006/relationships/hyperlink" Target="https://fr.wikipedia.org/wiki/Mali" TargetMode="External"/><Relationship Id="rId2962" Type="http://schemas.openxmlformats.org/officeDocument/2006/relationships/image" Target="media/image991.jpg"/><Relationship Id="rId3806" Type="http://schemas.openxmlformats.org/officeDocument/2006/relationships/hyperlink" Target="http://ideas.repec.org/a/eee/agiwat/v78y2005i1-2p108-121.html" TargetMode="External"/><Relationship Id="rId727" Type="http://schemas.openxmlformats.org/officeDocument/2006/relationships/hyperlink" Target="http://horizon.documentation.ird.fr/exl-doc/pleins_textes/pleins_textes_7/divers2/010016064.pdf" TargetMode="External"/><Relationship Id="rId934" Type="http://schemas.openxmlformats.org/officeDocument/2006/relationships/image" Target="media/image421.jpg"/><Relationship Id="rId1357" Type="http://schemas.openxmlformats.org/officeDocument/2006/relationships/hyperlink" Target="http://en.wikipedia.org/wiki/King_Faisal_University" TargetMode="External"/><Relationship Id="rId1564" Type="http://schemas.openxmlformats.org/officeDocument/2006/relationships/image" Target="media/image684.png"/><Relationship Id="rId1771" Type="http://schemas.openxmlformats.org/officeDocument/2006/relationships/hyperlink" Target="http://fr.wikipedia.org/wiki/M%C3%A9thionine" TargetMode="External"/><Relationship Id="rId2408" Type="http://schemas.openxmlformats.org/officeDocument/2006/relationships/hyperlink" Target="http://fr.wikipedia.org/wiki/%C3%89tats-Unis" TargetMode="External"/><Relationship Id="rId2615" Type="http://schemas.openxmlformats.org/officeDocument/2006/relationships/image" Target="media/image927.jpeg"/><Relationship Id="rId2822" Type="http://schemas.openxmlformats.org/officeDocument/2006/relationships/hyperlink" Target="http://translate.googleusercontent.com/translate_c?depth=1&amp;hl=fr&amp;prev=search&amp;rurl=translate.google.fr&amp;sl=en&amp;u=http://en.wikipedia.org/wiki/Abrasive&amp;usg=ALkJrhgPNw1BB_SFel71H7c6cPyFp4R3RA" TargetMode="External"/><Relationship Id="rId63" Type="http://schemas.openxmlformats.org/officeDocument/2006/relationships/image" Target="media/image28.jpeg"/><Relationship Id="rId1217" Type="http://schemas.openxmlformats.org/officeDocument/2006/relationships/image" Target="media/image598.jpeg"/><Relationship Id="rId1424" Type="http://schemas.openxmlformats.org/officeDocument/2006/relationships/hyperlink" Target="http://www.bashanfoundation.org/gmaweb/pdfs/growth.pdf" TargetMode="External"/><Relationship Id="rId1631" Type="http://schemas.openxmlformats.org/officeDocument/2006/relationships/hyperlink" Target="http://onlinelibrary.wiley.com/doi/10.1111/j.1365-3040.2009.02054.x/abstract" TargetMode="External"/><Relationship Id="rId3389" Type="http://schemas.openxmlformats.org/officeDocument/2006/relationships/image" Target="media/image1249.emf"/><Relationship Id="rId3596" Type="http://schemas.openxmlformats.org/officeDocument/2006/relationships/hyperlink" Target="https://fr.wikipedia.org/wiki/%C3%89cologie" TargetMode="External"/><Relationship Id="rId2198" Type="http://schemas.openxmlformats.org/officeDocument/2006/relationships/hyperlink" Target="https://en.wikipedia.org/wiki/Chenopodium" TargetMode="External"/><Relationship Id="rId3249" Type="http://schemas.openxmlformats.org/officeDocument/2006/relationships/image" Target="media/image1152.jpeg"/><Relationship Id="rId3456" Type="http://schemas.openxmlformats.org/officeDocument/2006/relationships/image" Target="media/image1291.jpeg"/><Relationship Id="rId377" Type="http://schemas.openxmlformats.org/officeDocument/2006/relationships/hyperlink" Target="https://fr.wikipedia.org/wiki/Vitis_vulpina" TargetMode="External"/><Relationship Id="rId584" Type="http://schemas.openxmlformats.org/officeDocument/2006/relationships/image" Target="media/image254.jpeg"/><Relationship Id="rId2058" Type="http://schemas.openxmlformats.org/officeDocument/2006/relationships/image" Target="media/image803.jpeg"/><Relationship Id="rId2265" Type="http://schemas.openxmlformats.org/officeDocument/2006/relationships/image" Target="media/image858.jpeg"/><Relationship Id="rId3109" Type="http://schemas.openxmlformats.org/officeDocument/2006/relationships/image" Target="media/image1061.jpeg"/><Relationship Id="rId3663" Type="http://schemas.openxmlformats.org/officeDocument/2006/relationships/image" Target="media/image1350.jpg"/><Relationship Id="rId3870" Type="http://schemas.openxmlformats.org/officeDocument/2006/relationships/hyperlink" Target="http://www.mangrovesgy.org/home/images/stories/Documents/Public%20Awareness/Do%20and%20dont%20with%20pics.pdf" TargetMode="External"/><Relationship Id="rId4507" Type="http://schemas.openxmlformats.org/officeDocument/2006/relationships/hyperlink" Target="http://popups.ulg.ac.be/1780-4507/index.php?id=9586" TargetMode="External"/><Relationship Id="rId237" Type="http://schemas.openxmlformats.org/officeDocument/2006/relationships/hyperlink" Target="https://fr.wikipedia.org/wiki/Ficus_carica" TargetMode="External"/><Relationship Id="rId791" Type="http://schemas.openxmlformats.org/officeDocument/2006/relationships/image" Target="media/image351.jpeg"/><Relationship Id="rId1074" Type="http://schemas.openxmlformats.org/officeDocument/2006/relationships/hyperlink" Target="http://ntbg.org/plants/plant_details.php?plantid=1970" TargetMode="External"/><Relationship Id="rId2472" Type="http://schemas.openxmlformats.org/officeDocument/2006/relationships/image" Target="media/image901.jpeg"/><Relationship Id="rId3316" Type="http://schemas.openxmlformats.org/officeDocument/2006/relationships/image" Target="media/image1189.jpeg"/><Relationship Id="rId3523" Type="http://schemas.openxmlformats.org/officeDocument/2006/relationships/hyperlink" Target="https://fr.wikipedia.org/wiki/Ressource_naturelle" TargetMode="External"/><Relationship Id="rId3730" Type="http://schemas.openxmlformats.org/officeDocument/2006/relationships/hyperlink" Target="https://en.wikipedia.org/wiki/Groasis_Waterboxx" TargetMode="External"/><Relationship Id="rId444" Type="http://schemas.openxmlformats.org/officeDocument/2006/relationships/image" Target="media/image187.jpeg"/><Relationship Id="rId651" Type="http://schemas.openxmlformats.org/officeDocument/2006/relationships/hyperlink" Target="https://fr.wikipedia.org/wiki/Zimbabwe" TargetMode="External"/><Relationship Id="rId1281" Type="http://schemas.openxmlformats.org/officeDocument/2006/relationships/hyperlink" Target="http://fr.wikipedia.org/wiki/Famille_(biologie)" TargetMode="External"/><Relationship Id="rId2125" Type="http://schemas.openxmlformats.org/officeDocument/2006/relationships/hyperlink" Target="https://en.wikipedia.org/wiki/Chikki" TargetMode="External"/><Relationship Id="rId2332" Type="http://schemas.openxmlformats.org/officeDocument/2006/relationships/image" Target="media/image870.jpeg"/><Relationship Id="rId304" Type="http://schemas.openxmlformats.org/officeDocument/2006/relationships/image" Target="media/image138.jpeg"/><Relationship Id="rId511" Type="http://schemas.openxmlformats.org/officeDocument/2006/relationships/hyperlink" Target="http://fr.wikipedia.org/wiki/Plantes_m%C3%A9dicinales_de_K%C3%B6hler" TargetMode="External"/><Relationship Id="rId1141" Type="http://schemas.openxmlformats.org/officeDocument/2006/relationships/hyperlink" Target="https://www.prota4u.org/database/protav8.asp?g=pe&amp;p=Ceriops+tagal+(Perr.)+C.B.Rob" TargetMode="External"/><Relationship Id="rId4297" Type="http://schemas.openxmlformats.org/officeDocument/2006/relationships/hyperlink" Target="https://en.wikipedia.org/wiki/Tamarix" TargetMode="External"/><Relationship Id="rId1001" Type="http://schemas.openxmlformats.org/officeDocument/2006/relationships/hyperlink" Target="http://www.eattheweeds.com/" TargetMode="External"/><Relationship Id="rId4157" Type="http://schemas.openxmlformats.org/officeDocument/2006/relationships/hyperlink" Target="http://fr.wikipedia.org/wiki/Plante_envahissante" TargetMode="External"/><Relationship Id="rId4364" Type="http://schemas.openxmlformats.org/officeDocument/2006/relationships/hyperlink" Target="http://translate.googleusercontent.com/translate_c?depth=1&amp;hl=fr&amp;prev=/search?q%3Dkikuyu%2Bgrass%26biw%3D1440%26bih%3D775&amp;rurl=translate.google.fr&amp;sl=en&amp;u=http://en.wikipedia.org/wiki/Australia&amp;usg=ALkJrhjsE9lM0lHx_8-FDDSLrh9lgAaDfg" TargetMode="External"/><Relationship Id="rId1958" Type="http://schemas.openxmlformats.org/officeDocument/2006/relationships/hyperlink" Target="https://en.wikipedia.org/wiki/Staple_food" TargetMode="External"/><Relationship Id="rId3173" Type="http://schemas.openxmlformats.org/officeDocument/2006/relationships/image" Target="media/image1092.jpeg"/><Relationship Id="rId3380" Type="http://schemas.openxmlformats.org/officeDocument/2006/relationships/image" Target="media/image1240.jpeg"/><Relationship Id="rId4017" Type="http://schemas.openxmlformats.org/officeDocument/2006/relationships/image" Target="media/image1390.jpeg"/><Relationship Id="rId4224" Type="http://schemas.openxmlformats.org/officeDocument/2006/relationships/hyperlink" Target="http://www.cabi.org/isc/datasheet/112593" TargetMode="External"/><Relationship Id="rId4431" Type="http://schemas.openxmlformats.org/officeDocument/2006/relationships/hyperlink" Target="http://fr.wiktionary.org/wiki/%C3%A9couler" TargetMode="External"/><Relationship Id="rId1818" Type="http://schemas.openxmlformats.org/officeDocument/2006/relationships/hyperlink" Target="https://fr.wikipedia.org/wiki/Burkina_Faso" TargetMode="External"/><Relationship Id="rId3033" Type="http://schemas.openxmlformats.org/officeDocument/2006/relationships/image" Target="media/image1011.jpeg"/><Relationship Id="rId3240" Type="http://schemas.openxmlformats.org/officeDocument/2006/relationships/hyperlink" Target="https://en.wikipedia.org/wiki/Micro-irrigation" TargetMode="External"/><Relationship Id="rId161" Type="http://schemas.openxmlformats.org/officeDocument/2006/relationships/image" Target="media/image68.jpg"/><Relationship Id="rId2799" Type="http://schemas.openxmlformats.org/officeDocument/2006/relationships/image" Target="media/image965.jpg"/><Relationship Id="rId3100" Type="http://schemas.openxmlformats.org/officeDocument/2006/relationships/image" Target="media/image1052.jpeg"/><Relationship Id="rId978" Type="http://schemas.openxmlformats.org/officeDocument/2006/relationships/image" Target="media/image434.jpeg"/><Relationship Id="rId2659" Type="http://schemas.openxmlformats.org/officeDocument/2006/relationships/image" Target="media/image940.jpeg"/><Relationship Id="rId2866" Type="http://schemas.openxmlformats.org/officeDocument/2006/relationships/hyperlink" Target="http://translate.googleusercontent.com/translate_c?depth=1&amp;hl=fr&amp;prev=search&amp;rurl=translate.google.fr&amp;sl=en&amp;u=http://en.wikipedia.org/wiki/Central_Asia&amp;usg=ALkJrhhHzfwfJ8PRwAz7zwvUqTD_3US4LA" TargetMode="External"/><Relationship Id="rId3917" Type="http://schemas.openxmlformats.org/officeDocument/2006/relationships/hyperlink" Target="https://habibaorganicfarm.wordpress.com/" TargetMode="External"/><Relationship Id="rId838" Type="http://schemas.openxmlformats.org/officeDocument/2006/relationships/image" Target="media/image382.jpeg"/><Relationship Id="rId1468" Type="http://schemas.openxmlformats.org/officeDocument/2006/relationships/image" Target="media/image657.jpeg"/><Relationship Id="rId1675" Type="http://schemas.openxmlformats.org/officeDocument/2006/relationships/hyperlink" Target="http://en.wikipedia.org/wiki/Brassica_carinata" TargetMode="External"/><Relationship Id="rId1882" Type="http://schemas.openxmlformats.org/officeDocument/2006/relationships/hyperlink" Target="https://fr.wikipedia.org/wiki/Alimentation_animale" TargetMode="External"/><Relationship Id="rId2519" Type="http://schemas.openxmlformats.org/officeDocument/2006/relationships/hyperlink" Target="http://www.flowersinisrael.com/Erodiumcrassifolium_page.htm" TargetMode="External"/><Relationship Id="rId2726" Type="http://schemas.openxmlformats.org/officeDocument/2006/relationships/hyperlink" Target="https://fr.wikipedia.org/wiki/Nom_vernaculaire" TargetMode="External"/><Relationship Id="rId4081" Type="http://schemas.openxmlformats.org/officeDocument/2006/relationships/hyperlink" Target="http://fr.wikipedia.org/wiki/Fabaceae" TargetMode="External"/><Relationship Id="rId1328" Type="http://schemas.openxmlformats.org/officeDocument/2006/relationships/hyperlink" Target="http://www.miracosta.edu/home/kmeldahl/articles/crops.pdf" TargetMode="External"/><Relationship Id="rId1535" Type="http://schemas.openxmlformats.org/officeDocument/2006/relationships/hyperlink" Target="https://fr.wikipedia.org/wiki/Igname" TargetMode="External"/><Relationship Id="rId2933" Type="http://schemas.openxmlformats.org/officeDocument/2006/relationships/hyperlink" Target="http://fr.wikipedia.org/wiki/Commiphora_africana" TargetMode="External"/><Relationship Id="rId905" Type="http://schemas.openxmlformats.org/officeDocument/2006/relationships/image" Target="media/image400.jpeg"/><Relationship Id="rId1742" Type="http://schemas.openxmlformats.org/officeDocument/2006/relationships/image" Target="media/image746.jpg"/><Relationship Id="rId34" Type="http://schemas.openxmlformats.org/officeDocument/2006/relationships/image" Target="media/image6.jpeg"/><Relationship Id="rId1602" Type="http://schemas.openxmlformats.org/officeDocument/2006/relationships/hyperlink" Target="http://fr.wikipedia.org/wiki/Orge_commune" TargetMode="External"/><Relationship Id="rId3567" Type="http://schemas.openxmlformats.org/officeDocument/2006/relationships/hyperlink" Target="https://fr.wikipedia.org/wiki/Vachellia_seyal" TargetMode="External"/><Relationship Id="rId3774" Type="http://schemas.openxmlformats.org/officeDocument/2006/relationships/hyperlink" Target="https://www.iata.org/pressroom/facts_figures/fact_sheets/pages/alt-fuels.aspx" TargetMode="External"/><Relationship Id="rId3981" Type="http://schemas.openxmlformats.org/officeDocument/2006/relationships/hyperlink" Target="http://translate.googleusercontent.com/translate_c?depth=1&amp;hl=fr&amp;prev=/search?q%3DCasuarina%2Bglauca%2BWikipedia%26biw%3D1440%26bih%3D732&amp;rurl=translate.google.fr&amp;sl=en&amp;u=http://en.wikipedia.org/wiki/Everglades&amp;usg=ALkJrhjq7bpnfGittpppNnms4KJXOjrWzA" TargetMode="External"/><Relationship Id="rId488" Type="http://schemas.openxmlformats.org/officeDocument/2006/relationships/hyperlink" Target="https://fr.wikipedia.org/wiki/Parc_d'%C3%89tat_d'Anza-Borrego_Desert" TargetMode="External"/><Relationship Id="rId695" Type="http://schemas.openxmlformats.org/officeDocument/2006/relationships/hyperlink" Target="http://fr.wikipedia.org/wiki/Fabaceae" TargetMode="External"/><Relationship Id="rId2169" Type="http://schemas.openxmlformats.org/officeDocument/2006/relationships/hyperlink" Target="https://fr.wikipedia.org/wiki/Organe" TargetMode="External"/><Relationship Id="rId2376" Type="http://schemas.openxmlformats.org/officeDocument/2006/relationships/hyperlink" Target="https://fr.wikipedia.org/wiki/Poaceae" TargetMode="External"/><Relationship Id="rId2583" Type="http://schemas.openxmlformats.org/officeDocument/2006/relationships/hyperlink" Target="https://fr.wikipedia.org/wiki/Cottage_cheese" TargetMode="External"/><Relationship Id="rId2790" Type="http://schemas.openxmlformats.org/officeDocument/2006/relationships/image" Target="media/image957.jpeg"/><Relationship Id="rId3427" Type="http://schemas.openxmlformats.org/officeDocument/2006/relationships/image" Target="media/image1263.jpeg"/><Relationship Id="rId3634" Type="http://schemas.openxmlformats.org/officeDocument/2006/relationships/image" Target="media/image1324.jpg"/><Relationship Id="rId3841" Type="http://schemas.openxmlformats.org/officeDocument/2006/relationships/hyperlink" Target="http://www.academia.edu/attachments/33108295/download_file?st=MTQxMDc1MzU5MSw3OC4xOTMuMS41MCwyMjk3NzU4&amp;s=work_strip&amp;ct=MTQxMDc1Mjg1MCwxNDEwNzUzODU0LDIyOTc3NTg" TargetMode="External"/><Relationship Id="rId348" Type="http://schemas.openxmlformats.org/officeDocument/2006/relationships/image" Target="media/image164.jpeg"/><Relationship Id="rId555" Type="http://schemas.openxmlformats.org/officeDocument/2006/relationships/image" Target="media/image242.jpeg"/><Relationship Id="rId762" Type="http://schemas.openxmlformats.org/officeDocument/2006/relationships/hyperlink" Target="http://www.fao.org/ag/agp/AGPC/doc/Gbase/data/pf000148.htm" TargetMode="External"/><Relationship Id="rId1185" Type="http://schemas.openxmlformats.org/officeDocument/2006/relationships/image" Target="media/image573.jpeg"/><Relationship Id="rId1392" Type="http://schemas.openxmlformats.org/officeDocument/2006/relationships/hyperlink" Target="http://en.wikipedia.org/wiki/Mexico" TargetMode="External"/><Relationship Id="rId2029" Type="http://schemas.openxmlformats.org/officeDocument/2006/relationships/hyperlink" Target="https://en.wikipedia.org/wiki/Neem" TargetMode="External"/><Relationship Id="rId2236" Type="http://schemas.openxmlformats.org/officeDocument/2006/relationships/hyperlink" Target="https://fr.wikipedia.org/wiki/Alo%C3%A8s" TargetMode="External"/><Relationship Id="rId2443" Type="http://schemas.openxmlformats.org/officeDocument/2006/relationships/hyperlink" Target="http://translate.googleusercontent.com/translate_c?depth=1&amp;hl=fr&amp;prev=/search?q%3Dpanicum%2Bamarum%26biw%3D1440%26bih%3D732&amp;rurl=translate.google.fr&amp;sl=en&amp;u=http://en.wikipedia.org/wiki/Rhizome&amp;usg=ALkJrhh-ggcHMkh3tGFy2emccxi9YkiFmQ" TargetMode="External"/><Relationship Id="rId2650" Type="http://schemas.openxmlformats.org/officeDocument/2006/relationships/hyperlink" Target="https://fr.wikipedia.org/wiki/Eucheuma" TargetMode="External"/><Relationship Id="rId3701" Type="http://schemas.openxmlformats.org/officeDocument/2006/relationships/hyperlink" Target="https://www.downtoearth.org.in/blog/africa/scientists-sound-the-alarm-over-drought-in-east-africa-what-must-happen-next-79520" TargetMode="External"/><Relationship Id="rId208" Type="http://schemas.openxmlformats.org/officeDocument/2006/relationships/image" Target="media/image98.jpeg"/><Relationship Id="rId415" Type="http://schemas.openxmlformats.org/officeDocument/2006/relationships/hyperlink" Target="https://fr.wikipedia.org/wiki/Vin" TargetMode="External"/><Relationship Id="rId622" Type="http://schemas.openxmlformats.org/officeDocument/2006/relationships/hyperlink" Target="https://en.wikipedia.org/wiki/Burkina_Faso" TargetMode="External"/><Relationship Id="rId1045" Type="http://schemas.openxmlformats.org/officeDocument/2006/relationships/hyperlink" Target="https://fr.wikipedia.org/wiki/Nypa" TargetMode="External"/><Relationship Id="rId1252" Type="http://schemas.openxmlformats.org/officeDocument/2006/relationships/image" Target="media/image632.jpg"/><Relationship Id="rId2303" Type="http://schemas.openxmlformats.org/officeDocument/2006/relationships/image" Target="media/image865.jpeg"/><Relationship Id="rId2510" Type="http://schemas.openxmlformats.org/officeDocument/2006/relationships/hyperlink" Target="https://fr.wikipedia.org/wiki/Alfa" TargetMode="External"/><Relationship Id="rId1112" Type="http://schemas.openxmlformats.org/officeDocument/2006/relationships/image" Target="media/image535.jpg"/><Relationship Id="rId4268" Type="http://schemas.openxmlformats.org/officeDocument/2006/relationships/hyperlink" Target="http://www.cabi.org/isc/datasheet/52487" TargetMode="External"/><Relationship Id="rId4475" Type="http://schemas.openxmlformats.org/officeDocument/2006/relationships/image" Target="media/image1482.jpeg"/><Relationship Id="rId3077" Type="http://schemas.openxmlformats.org/officeDocument/2006/relationships/image" Target="media/image1030.jpeg"/><Relationship Id="rId3284" Type="http://schemas.openxmlformats.org/officeDocument/2006/relationships/hyperlink" Target="http://fr.wikipedia.org/wiki/Isra%C3%ABl" TargetMode="External"/><Relationship Id="rId4128" Type="http://schemas.openxmlformats.org/officeDocument/2006/relationships/hyperlink" Target="http://fr.wikipedia.org/wiki/D%C3%A9sertification" TargetMode="External"/><Relationship Id="rId1929" Type="http://schemas.openxmlformats.org/officeDocument/2006/relationships/hyperlink" Target="https://fr.wikipedia.org/wiki/Prot%C3%A9ine" TargetMode="External"/><Relationship Id="rId2093" Type="http://schemas.openxmlformats.org/officeDocument/2006/relationships/hyperlink" Target="https://en.wikipedia.org/wiki/Plumpy_Nut" TargetMode="External"/><Relationship Id="rId3491" Type="http://schemas.openxmlformats.org/officeDocument/2006/relationships/image" Target="media/image1307.jpeg"/><Relationship Id="rId4335" Type="http://schemas.openxmlformats.org/officeDocument/2006/relationships/image" Target="media/image1457.jpeg"/><Relationship Id="rId4542" Type="http://schemas.openxmlformats.org/officeDocument/2006/relationships/hyperlink" Target="http://www.wacomp.ecowas.int" TargetMode="External"/><Relationship Id="rId3144" Type="http://schemas.openxmlformats.org/officeDocument/2006/relationships/hyperlink" Target="https://fr.wikipedia.org/wiki/Sotch" TargetMode="External"/><Relationship Id="rId3351" Type="http://schemas.openxmlformats.org/officeDocument/2006/relationships/image" Target="media/image1213.jpeg"/><Relationship Id="rId4402" Type="http://schemas.openxmlformats.org/officeDocument/2006/relationships/hyperlink" Target="http://fr.wikipedia.org/wiki/Esp%C3%A8ce" TargetMode="External"/><Relationship Id="rId272" Type="http://schemas.openxmlformats.org/officeDocument/2006/relationships/image" Target="media/image117.jpeg"/><Relationship Id="rId2160" Type="http://schemas.openxmlformats.org/officeDocument/2006/relationships/hyperlink" Target="https://fr.wikipedia.org/wiki/Farine" TargetMode="External"/><Relationship Id="rId3004" Type="http://schemas.openxmlformats.org/officeDocument/2006/relationships/hyperlink" Target="http://fr.wikipedia.org/wiki/Racine_(botanique)" TargetMode="External"/><Relationship Id="rId3211" Type="http://schemas.openxmlformats.org/officeDocument/2006/relationships/image" Target="media/image1125.png"/><Relationship Id="rId132" Type="http://schemas.openxmlformats.org/officeDocument/2006/relationships/image" Target="media/image40.png"/><Relationship Id="rId2020" Type="http://schemas.openxmlformats.org/officeDocument/2006/relationships/hyperlink" Target="https://en.wikipedia.org/wiki/Bacillus_thuringiensis" TargetMode="External"/><Relationship Id="rId1579" Type="http://schemas.openxmlformats.org/officeDocument/2006/relationships/hyperlink" Target="http://fr.wikipedia.org/wiki/Sirop_d'orge_malt%C3%A9" TargetMode="External"/><Relationship Id="rId2977" Type="http://schemas.openxmlformats.org/officeDocument/2006/relationships/hyperlink" Target="http://translate.googleusercontent.com/translate_c?depth=1&amp;hl=fr&amp;prev=search&amp;rurl=translate.google.fr&amp;sl=en&amp;u=http://en.wikipedia.org/wiki/NSAIDs&amp;usg=ALkJrhgAiYdAmmqu2o9_cIUCt4Wx-UU33Q" TargetMode="External"/><Relationship Id="rId4192" Type="http://schemas.openxmlformats.org/officeDocument/2006/relationships/hyperlink" Target="http://www.cabi.org/isc/datasheet/112581" TargetMode="External"/><Relationship Id="rId949" Type="http://schemas.openxmlformats.org/officeDocument/2006/relationships/hyperlink" Target="https://fr.wikipedia.org/wiki/Capsule_(botanique)" TargetMode="External"/><Relationship Id="rId1786" Type="http://schemas.openxmlformats.org/officeDocument/2006/relationships/hyperlink" Target="https://fr.wikipedia.org/wiki/Poac%C3%A9es" TargetMode="External"/><Relationship Id="rId1993" Type="http://schemas.openxmlformats.org/officeDocument/2006/relationships/hyperlink" Target="https://en.wikipedia.org/wiki/Sorghum" TargetMode="External"/><Relationship Id="rId2837" Type="http://schemas.openxmlformats.org/officeDocument/2006/relationships/hyperlink" Target="http://fr.wikipedia.org/wiki/Burseraceae" TargetMode="External"/><Relationship Id="rId4052" Type="http://schemas.openxmlformats.org/officeDocument/2006/relationships/image" Target="media/image1404.jpg"/><Relationship Id="rId78" Type="http://schemas.openxmlformats.org/officeDocument/2006/relationships/hyperlink" Target="https://fr.wikipedia.org/wiki/Nourriture" TargetMode="External"/><Relationship Id="rId809" Type="http://schemas.openxmlformats.org/officeDocument/2006/relationships/hyperlink" Target="https://www.researchgate.net/publication/315831343_Effect_of_Seawater_Irrigation_on_Growth_and_Some_Metabolites_of_Jojoba_Plants" TargetMode="External"/><Relationship Id="rId1439" Type="http://schemas.openxmlformats.org/officeDocument/2006/relationships/hyperlink" Target="http://www.ncbi.nlm.nih.gov/pubmed/18765761" TargetMode="External"/><Relationship Id="rId1646" Type="http://schemas.openxmlformats.org/officeDocument/2006/relationships/hyperlink" Target="https://www.scidev.net/afrique-sub-saharienne/news/le-senegal-produit-8-types-de-ble-adaptes-a-la-chaleur/" TargetMode="External"/><Relationship Id="rId1853" Type="http://schemas.openxmlformats.org/officeDocument/2006/relationships/image" Target="media/image771.jpeg"/><Relationship Id="rId2904" Type="http://schemas.openxmlformats.org/officeDocument/2006/relationships/hyperlink" Target="http://translate.googleusercontent.com/translate_c?depth=1&amp;hl=fr&amp;prev=search&amp;rurl=translate.google.fr&amp;sl=en&amp;u=http://en.wikipedia.org/wiki/Mauritania&amp;usg=ALkJrhjdV0ZBhxp3ezxbs2OL40TozOGIlQ" TargetMode="External"/><Relationship Id="rId1506" Type="http://schemas.openxmlformats.org/officeDocument/2006/relationships/image" Target="media/image670.jpeg"/><Relationship Id="rId1713" Type="http://schemas.openxmlformats.org/officeDocument/2006/relationships/hyperlink" Target="https://fr.wikipedia.org/wiki/Brocoli" TargetMode="External"/><Relationship Id="rId1920" Type="http://schemas.openxmlformats.org/officeDocument/2006/relationships/hyperlink" Target="https://fr.wikipedia.org/wiki/Sorgo_commun" TargetMode="External"/><Relationship Id="rId3678" Type="http://schemas.openxmlformats.org/officeDocument/2006/relationships/hyperlink" Target="https://fr.wikipedia.org/wiki/Biocarburant" TargetMode="External"/><Relationship Id="rId3885" Type="http://schemas.openxmlformats.org/officeDocument/2006/relationships/hyperlink" Target="http://www.beep.ird.fr/collect/bre/index/assoc/HASH0161/1e60eddf.dir/21-045-055.pdf" TargetMode="External"/><Relationship Id="rId599" Type="http://schemas.openxmlformats.org/officeDocument/2006/relationships/hyperlink" Target="https://fr.wikipedia.org/wiki/S%C3%A9curit%C3%A9_alimentaire" TargetMode="External"/><Relationship Id="rId2487" Type="http://schemas.openxmlformats.org/officeDocument/2006/relationships/hyperlink" Target="https://fr.wikipedia.org/wiki/Aire_de_r%C3%A9partition" TargetMode="External"/><Relationship Id="rId2694" Type="http://schemas.openxmlformats.org/officeDocument/2006/relationships/hyperlink" Target="https://fr.wikipedia.org/wiki/Stipe_(algue)" TargetMode="External"/><Relationship Id="rId3538" Type="http://schemas.openxmlformats.org/officeDocument/2006/relationships/hyperlink" Target="https://en.wikipedia.org/wiki/Natural_resources" TargetMode="External"/><Relationship Id="rId3745" Type="http://schemas.openxmlformats.org/officeDocument/2006/relationships/hyperlink" Target="https://fr.wikipedia.org/wiki/Salicorne" TargetMode="External"/><Relationship Id="rId459" Type="http://schemas.openxmlformats.org/officeDocument/2006/relationships/image" Target="media/image194.jpeg"/><Relationship Id="rId666" Type="http://schemas.openxmlformats.org/officeDocument/2006/relationships/image" Target="media/image281.jpeg"/><Relationship Id="rId873" Type="http://schemas.openxmlformats.org/officeDocument/2006/relationships/image" Target="media/image387.jpeg"/><Relationship Id="rId1089" Type="http://schemas.openxmlformats.org/officeDocument/2006/relationships/image" Target="media/image513.jpg"/><Relationship Id="rId1296" Type="http://schemas.openxmlformats.org/officeDocument/2006/relationships/hyperlink" Target="https://fr.wikipedia.org/wiki/Classification_classique" TargetMode="External"/><Relationship Id="rId2347" Type="http://schemas.openxmlformats.org/officeDocument/2006/relationships/hyperlink" Target="http://www.vetiver.org/TVN_French%20manual%20v1opt.pdf" TargetMode="External"/><Relationship Id="rId2554" Type="http://schemas.openxmlformats.org/officeDocument/2006/relationships/hyperlink" Target="http://translate.googleusercontent.com/translate_c?depth=1&amp;hl=fr&amp;prev=search&amp;rurl=translate.google.fr&amp;sl=en&amp;u=http://en.wikipedia.org/wiki/Lentil&amp;usg=ALkJrhhbSgEe6bmEXFBDEfI92VHPn_6X3w" TargetMode="External"/><Relationship Id="rId3952" Type="http://schemas.openxmlformats.org/officeDocument/2006/relationships/hyperlink" Target="https://fr.wikipedia.org/wiki/%C3%89tats-Unis" TargetMode="External"/><Relationship Id="rId319" Type="http://schemas.openxmlformats.org/officeDocument/2006/relationships/image" Target="media/image148.jpeg"/><Relationship Id="rId526" Type="http://schemas.openxmlformats.org/officeDocument/2006/relationships/image" Target="media/image227.jpeg"/><Relationship Id="rId1156" Type="http://schemas.openxmlformats.org/officeDocument/2006/relationships/hyperlink" Target="http://www.formad-environnement.org/paletuviers_29dec11.pdf" TargetMode="External"/><Relationship Id="rId1363" Type="http://schemas.openxmlformats.org/officeDocument/2006/relationships/hyperlink" Target="http://www.gcrio.org/usiji/default.html" TargetMode="External"/><Relationship Id="rId2207" Type="http://schemas.openxmlformats.org/officeDocument/2006/relationships/image" Target="media/image831.jpeg"/><Relationship Id="rId2761" Type="http://schemas.openxmlformats.org/officeDocument/2006/relationships/hyperlink" Target="https://fr.wikipedia.org/wiki/Taxonomie" TargetMode="External"/><Relationship Id="rId3605" Type="http://schemas.openxmlformats.org/officeDocument/2006/relationships/hyperlink" Target="https://fr.wikipedia.org/wiki/%C3%89cotourisme" TargetMode="External"/><Relationship Id="rId3812" Type="http://schemas.openxmlformats.org/officeDocument/2006/relationships/hyperlink" Target="http://ideas.repec.org/s/eee/agiwat.html" TargetMode="External"/><Relationship Id="rId733" Type="http://schemas.openxmlformats.org/officeDocument/2006/relationships/hyperlink" Target="http://fr.wikipedia.org/wiki/Fabaceae" TargetMode="External"/><Relationship Id="rId940" Type="http://schemas.openxmlformats.org/officeDocument/2006/relationships/hyperlink" Target="https://fr.wikipedia.org/wiki/S%C3%A9cheresse" TargetMode="External"/><Relationship Id="rId1016" Type="http://schemas.openxmlformats.org/officeDocument/2006/relationships/hyperlink" Target="http://en.wikipedia.org/wiki/Coconut" TargetMode="External"/><Relationship Id="rId1570" Type="http://schemas.openxmlformats.org/officeDocument/2006/relationships/hyperlink" Target="http://fr.wikipedia.org/wiki/Paille" TargetMode="External"/><Relationship Id="rId2414" Type="http://schemas.openxmlformats.org/officeDocument/2006/relationships/hyperlink" Target="http://fr.wikipedia.org/wiki/Bison_d'Am%C3%A9rique_du_nord" TargetMode="External"/><Relationship Id="rId2621" Type="http://schemas.openxmlformats.org/officeDocument/2006/relationships/hyperlink" Target="https://en.wikipedia.org/wiki/Indian_Ocean" TargetMode="External"/><Relationship Id="rId800" Type="http://schemas.openxmlformats.org/officeDocument/2006/relationships/image" Target="media/image356.jpeg"/><Relationship Id="rId1223" Type="http://schemas.openxmlformats.org/officeDocument/2006/relationships/image" Target="media/image603.jpeg"/><Relationship Id="rId1430" Type="http://schemas.openxmlformats.org/officeDocument/2006/relationships/hyperlink" Target="http://www.ncbi.nlm.nih.gov/pubmed/18765761" TargetMode="External"/><Relationship Id="rId4379" Type="http://schemas.openxmlformats.org/officeDocument/2006/relationships/hyperlink" Target="http://agroecologie.cirad.fr/content/download/7957/40543/file/Fiche%20technique%20GSDM%20342%20kikuyu%20v%202012%2004%2025%20finale.pdf" TargetMode="External"/><Relationship Id="rId3188" Type="http://schemas.openxmlformats.org/officeDocument/2006/relationships/image" Target="media/image1104.jpeg"/><Relationship Id="rId3395" Type="http://schemas.openxmlformats.org/officeDocument/2006/relationships/hyperlink" Target="https://en.wikipedia.org/wiki/Herder%E2%80%93farmer_conflicts_in_Nigeria" TargetMode="External"/><Relationship Id="rId4239" Type="http://schemas.openxmlformats.org/officeDocument/2006/relationships/hyperlink" Target="http://www.cabi.org/isc/datasheet/112596" TargetMode="External"/><Relationship Id="rId4446" Type="http://schemas.openxmlformats.org/officeDocument/2006/relationships/hyperlink" Target="http://fr.wikipedia.org/wiki/Trop-plein" TargetMode="External"/><Relationship Id="rId3048" Type="http://schemas.openxmlformats.org/officeDocument/2006/relationships/hyperlink" Target="http://en.wikipedia.org/wiki/Acacias" TargetMode="External"/><Relationship Id="rId3255" Type="http://schemas.openxmlformats.org/officeDocument/2006/relationships/hyperlink" Target="https://en.wikipedia.org/wiki/Flood_irrigation" TargetMode="External"/><Relationship Id="rId3462" Type="http://schemas.openxmlformats.org/officeDocument/2006/relationships/hyperlink" Target="http://www.fao.org/3/T0748F/t0748f0e.htm" TargetMode="External"/><Relationship Id="rId4306" Type="http://schemas.openxmlformats.org/officeDocument/2006/relationships/image" Target="media/image1442.jpg"/><Relationship Id="rId4513" Type="http://schemas.openxmlformats.org/officeDocument/2006/relationships/image" Target="media/image1497.jpeg"/><Relationship Id="rId176" Type="http://schemas.openxmlformats.org/officeDocument/2006/relationships/hyperlink" Target="http://www.fao.org/docrep/u8480e/U8480E3f.jpg" TargetMode="External"/><Relationship Id="rId383" Type="http://schemas.openxmlformats.org/officeDocument/2006/relationships/hyperlink" Target="https://fr.wikipedia.org/wiki/Maladie_de_Pierce" TargetMode="External"/><Relationship Id="rId590" Type="http://schemas.openxmlformats.org/officeDocument/2006/relationships/hyperlink" Target="https://fr.wikipedia.org/wiki/Tamarinier" TargetMode="External"/><Relationship Id="rId2064" Type="http://schemas.openxmlformats.org/officeDocument/2006/relationships/hyperlink" Target="https://fr.wikipedia.org/wiki/Fabaceae" TargetMode="External"/><Relationship Id="rId2271" Type="http://schemas.openxmlformats.org/officeDocument/2006/relationships/hyperlink" Target="http://fr.wikipedia.org/wiki/Plante_mellif%C3%A8re" TargetMode="External"/><Relationship Id="rId3115" Type="http://schemas.openxmlformats.org/officeDocument/2006/relationships/image" Target="media/image1067.jpeg"/><Relationship Id="rId3322" Type="http://schemas.openxmlformats.org/officeDocument/2006/relationships/hyperlink" Target="http://fr.ekopedia.org/Filet_capteur_de_brouillard" TargetMode="External"/><Relationship Id="rId243" Type="http://schemas.openxmlformats.org/officeDocument/2006/relationships/hyperlink" Target="http://fr.wikipedia.org/wiki/Fruit_(botanique)" TargetMode="External"/><Relationship Id="rId450" Type="http://schemas.openxmlformats.org/officeDocument/2006/relationships/hyperlink" Target="http://en.wikipedia.org/wiki/Date_palm" TargetMode="External"/><Relationship Id="rId1080" Type="http://schemas.openxmlformats.org/officeDocument/2006/relationships/image" Target="media/image504.jpeg"/><Relationship Id="rId2131" Type="http://schemas.openxmlformats.org/officeDocument/2006/relationships/hyperlink" Target="https://fr.wikipedia.org/wiki/Plante_annuelle" TargetMode="External"/><Relationship Id="rId103" Type="http://schemas.openxmlformats.org/officeDocument/2006/relationships/hyperlink" Target="https://fr.wikipedia.org/wiki/Eucalyptol" TargetMode="External"/><Relationship Id="rId310" Type="http://schemas.openxmlformats.org/officeDocument/2006/relationships/image" Target="media/image139.jpeg"/><Relationship Id="rId4096" Type="http://schemas.openxmlformats.org/officeDocument/2006/relationships/hyperlink" Target="http://translate.googleusercontent.com/translate_c?depth=1&amp;hl=fr&amp;prev=/search?q%3Dprosopis%2Bjuliflora%26rlz%3D1C1GGGE_frFR479FR479%26es_sm%3D93&amp;rurl=translate.google.fr&amp;sl=en&amp;u=http://en.wikipedia.org/wiki/Drought&amp;usg=ALkJrhjanXyjysRtXh0wiRPhgFuXm6L1AA" TargetMode="External"/><Relationship Id="rId1897" Type="http://schemas.openxmlformats.org/officeDocument/2006/relationships/hyperlink" Target="https://fr.wikipedia.org/wiki/Ensilage" TargetMode="External"/><Relationship Id="rId2948" Type="http://schemas.openxmlformats.org/officeDocument/2006/relationships/hyperlink" Target="http://fr.wikipedia.org/wiki/Arabie" TargetMode="External"/><Relationship Id="rId1757" Type="http://schemas.openxmlformats.org/officeDocument/2006/relationships/hyperlink" Target="http://fr.wikipedia.org/wiki/Engrais" TargetMode="External"/><Relationship Id="rId1964" Type="http://schemas.openxmlformats.org/officeDocument/2006/relationships/hyperlink" Target="https://en.wikipedia.org/wiki/Lentil" TargetMode="External"/><Relationship Id="rId2808" Type="http://schemas.openxmlformats.org/officeDocument/2006/relationships/hyperlink" Target="http://fr.wikipedia.org/wiki/Brosse_%C3%A0_dent" TargetMode="External"/><Relationship Id="rId4163" Type="http://schemas.openxmlformats.org/officeDocument/2006/relationships/image" Target="media/image1431.jpeg"/><Relationship Id="rId4370" Type="http://schemas.openxmlformats.org/officeDocument/2006/relationships/hyperlink" Target="http://fr.wikipedia.org/wiki/Rhizome" TargetMode="External"/><Relationship Id="rId49" Type="http://schemas.openxmlformats.org/officeDocument/2006/relationships/image" Target="media/image14.jpeg"/><Relationship Id="rId1617" Type="http://schemas.openxmlformats.org/officeDocument/2006/relationships/hyperlink" Target="http://translate.googleusercontent.com/translate_c?depth=1&amp;hl=fr&amp;prev=/search?q%3DDistichlis%2Bpalmeri%26biw%3D1440%26bih%3D732&amp;rurl=translate.google.fr&amp;sl=en&amp;u=http://en.wikipedia.org/wiki/Halophyte&amp;usg=ALkJrhg5iMQmCZykY5ZOJL5LAaBU-ytykQ" TargetMode="External"/><Relationship Id="rId1824" Type="http://schemas.openxmlformats.org/officeDocument/2006/relationships/hyperlink" Target="https://fr.wikipedia.org/wiki/B%C3%A9nin" TargetMode="External"/><Relationship Id="rId4023" Type="http://schemas.openxmlformats.org/officeDocument/2006/relationships/hyperlink" Target="http://fr.wikipedia.org/wiki/Mimosa_%C3%A0_bois_noir" TargetMode="External"/><Relationship Id="rId4230" Type="http://schemas.openxmlformats.org/officeDocument/2006/relationships/hyperlink" Target="http://www.cabi.org/isc/datasheet/112595" TargetMode="External"/><Relationship Id="rId3789" Type="http://schemas.openxmlformats.org/officeDocument/2006/relationships/hyperlink" Target="http://ideas.repec.org/a/eee/agiwat/v90y2007i3p165-180.html" TargetMode="External"/><Relationship Id="rId2598" Type="http://schemas.openxmlformats.org/officeDocument/2006/relationships/hyperlink" Target="https://fr.wikipedia.org/wiki/Alariaceae" TargetMode="External"/><Relationship Id="rId3996" Type="http://schemas.openxmlformats.org/officeDocument/2006/relationships/hyperlink" Target="http://fr.wikipedia.org/wiki/Antilles" TargetMode="External"/><Relationship Id="rId3649" Type="http://schemas.openxmlformats.org/officeDocument/2006/relationships/image" Target="media/image1339.jpg"/><Relationship Id="rId3856" Type="http://schemas.openxmlformats.org/officeDocument/2006/relationships/hyperlink" Target="http://www.ncbi.nlm.nih.gov/pubmed/23771136" TargetMode="External"/><Relationship Id="rId777" Type="http://schemas.openxmlformats.org/officeDocument/2006/relationships/image" Target="media/image341.jpeg"/><Relationship Id="rId984" Type="http://schemas.openxmlformats.org/officeDocument/2006/relationships/hyperlink" Target="https://fr.wikipedia.org/wiki/Plantago_ovata" TargetMode="External"/><Relationship Id="rId2458" Type="http://schemas.openxmlformats.org/officeDocument/2006/relationships/hyperlink" Target="http://fr.wikipedia.org/wiki/Bambou" TargetMode="External"/><Relationship Id="rId2665" Type="http://schemas.openxmlformats.org/officeDocument/2006/relationships/hyperlink" Target="https://fr.wikipedia.org/wiki/Cuisine_japonaise" TargetMode="External"/><Relationship Id="rId2872" Type="http://schemas.openxmlformats.org/officeDocument/2006/relationships/hyperlink" Target="http://translate.googleusercontent.com/translate_c?depth=1&amp;hl=fr&amp;prev=search&amp;rurl=translate.google.fr&amp;sl=en&amp;u=http://en.wikipedia.org/wiki/Myrrh&amp;usg=ALkJrhjn7v9TwclkgqsnAJRdhlzMlTpFbQ" TargetMode="External"/><Relationship Id="rId3509" Type="http://schemas.openxmlformats.org/officeDocument/2006/relationships/hyperlink" Target="http://benjamin.lisan.free.fr/developpementdurable/projet-banque-de-semences.pdf" TargetMode="External"/><Relationship Id="rId3716" Type="http://schemas.openxmlformats.org/officeDocument/2006/relationships/hyperlink" Target="http://www.slate.fr/story/208313/fonte-lacs-glaciaires-expose-miliers-de-personnes-risques-inondation-climat-environnement-changement-climatique" TargetMode="External"/><Relationship Id="rId3923" Type="http://schemas.openxmlformats.org/officeDocument/2006/relationships/hyperlink" Target="http://www.issg.org/database/species/ecology.asp?si=1613&amp;fr=1&amp;sts=&amp;lang=EN" TargetMode="External"/><Relationship Id="rId637" Type="http://schemas.openxmlformats.org/officeDocument/2006/relationships/hyperlink" Target="http://www.theplantlist.org/tpl/record/kew-2692900" TargetMode="External"/><Relationship Id="rId844" Type="http://schemas.openxmlformats.org/officeDocument/2006/relationships/hyperlink" Target="http://translate.googleusercontent.com/translate_c?depth=1&amp;hl=fr&amp;prev=/search?q=Salsola+vermiculata&amp;biw=1440&amp;bih=732&amp;rurl=translate.google.fr&amp;sl=es&amp;u=http://es.wikipedia.org/wiki/Aridez&amp;usg=ALkJrhgU3icZqDM7XV7bjjJQnIEO38Ltkw" TargetMode="External"/><Relationship Id="rId1267" Type="http://schemas.openxmlformats.org/officeDocument/2006/relationships/hyperlink" Target="http://en.wikipedia.org/wiki/Rice" TargetMode="External"/><Relationship Id="rId1474" Type="http://schemas.openxmlformats.org/officeDocument/2006/relationships/image" Target="media/image661.jpeg"/><Relationship Id="rId1681" Type="http://schemas.openxmlformats.org/officeDocument/2006/relationships/hyperlink" Target="http://www.agr.gc.ca/fra/science-et-innovation/centres-de-recherche/saskatchewan/centre-de-recherches-de-saskatoon/personnel-et-expertise-scientifiques/gruber-margie-phd/?id=1181939298548" TargetMode="External"/><Relationship Id="rId2318" Type="http://schemas.openxmlformats.org/officeDocument/2006/relationships/hyperlink" Target="http://fr.wikipedia.org/wiki/Carot%C3%A8ne" TargetMode="External"/><Relationship Id="rId2525" Type="http://schemas.openxmlformats.org/officeDocument/2006/relationships/hyperlink" Target="https://fr.wikipedia.org/wiki/Namibie" TargetMode="External"/><Relationship Id="rId2732" Type="http://schemas.openxmlformats.org/officeDocument/2006/relationships/hyperlink" Target="https://fr.wikipedia.org/wiki/Arthrospira_platensis" TargetMode="External"/><Relationship Id="rId704" Type="http://schemas.openxmlformats.org/officeDocument/2006/relationships/hyperlink" Target="http://fr.wikipedia.org/wiki/Fabaceae" TargetMode="External"/><Relationship Id="rId911" Type="http://schemas.openxmlformats.org/officeDocument/2006/relationships/image" Target="media/image404.jpeg"/><Relationship Id="rId1127" Type="http://schemas.openxmlformats.org/officeDocument/2006/relationships/hyperlink" Target="https://fr.wikipedia.org/wiki/Pneumatophore" TargetMode="External"/><Relationship Id="rId1334" Type="http://schemas.openxmlformats.org/officeDocument/2006/relationships/hyperlink" Target="http://www.gcrio.org/usiji/pdf/Mexico-3%203-04.pdf" TargetMode="External"/><Relationship Id="rId1541" Type="http://schemas.openxmlformats.org/officeDocument/2006/relationships/hyperlink" Target="https://en.wikipedia.org/wiki/Canning" TargetMode="External"/><Relationship Id="rId40" Type="http://schemas.openxmlformats.org/officeDocument/2006/relationships/hyperlink" Target="https://fr.wikipedia.org/wiki/Cha%C3%AEne_des_Cascades" TargetMode="External"/><Relationship Id="rId1401" Type="http://schemas.openxmlformats.org/officeDocument/2006/relationships/hyperlink" Target="http://en.wikipedia.org/wiki/Salicornia_bigelovii" TargetMode="External"/><Relationship Id="rId3299" Type="http://schemas.openxmlformats.org/officeDocument/2006/relationships/hyperlink" Target="http://www.sswm.info/glossary/2/letteri" TargetMode="External"/><Relationship Id="rId4557" Type="http://schemas.openxmlformats.org/officeDocument/2006/relationships/hyperlink" Target="http://benjamin.lisan.free.fr/developpementdurable/menuDevDurable.htm" TargetMode="External"/><Relationship Id="rId3159" Type="http://schemas.openxmlformats.org/officeDocument/2006/relationships/hyperlink" Target="http://fr.wikipedia.org/wiki/Vallon" TargetMode="External"/><Relationship Id="rId3366" Type="http://schemas.openxmlformats.org/officeDocument/2006/relationships/image" Target="media/image1227.jpeg"/><Relationship Id="rId3573" Type="http://schemas.openxmlformats.org/officeDocument/2006/relationships/hyperlink" Target="https://fr.wikipedia.org/wiki/Boscia_senegalensis" TargetMode="External"/><Relationship Id="rId4417" Type="http://schemas.openxmlformats.org/officeDocument/2006/relationships/hyperlink" Target="http://fr.wiktionary.org/wiki/ann%C3%A9e" TargetMode="External"/><Relationship Id="rId287" Type="http://schemas.openxmlformats.org/officeDocument/2006/relationships/image" Target="media/image129.jpeg"/><Relationship Id="rId494" Type="http://schemas.openxmlformats.org/officeDocument/2006/relationships/hyperlink" Target="http://en.wikipedia.org/wiki/Olive" TargetMode="External"/><Relationship Id="rId2175" Type="http://schemas.openxmlformats.org/officeDocument/2006/relationships/hyperlink" Target="https://en.wikipedia.org/wiki/Landrace" TargetMode="External"/><Relationship Id="rId2382" Type="http://schemas.openxmlformats.org/officeDocument/2006/relationships/hyperlink" Target="http://translate.googleusercontent.com/translate_c?depth=1&amp;hl=fr&amp;prev=/search?q%3DChrysopogon%2Bnigritanus%26biw%3D1440%26bih%3D732&amp;rurl=translate.google.fr&amp;sl=en&amp;u=http://en.wikipedia.org/wiki/Northern_Africa&amp;usg=ALkJrhjUN6J2SPi9OdapOAHHHSBZHxRDLA" TargetMode="External"/><Relationship Id="rId3019" Type="http://schemas.openxmlformats.org/officeDocument/2006/relationships/hyperlink" Target="http://fr.wikipedia.org/wiki/Harpagophyton" TargetMode="External"/><Relationship Id="rId3226" Type="http://schemas.openxmlformats.org/officeDocument/2006/relationships/image" Target="media/image1139.jpeg"/><Relationship Id="rId3780" Type="http://schemas.openxmlformats.org/officeDocument/2006/relationships/hyperlink" Target="http://ideas.repec.org/a/eee/agiwat/v25y1994i3p233-269.html" TargetMode="External"/><Relationship Id="rId147" Type="http://schemas.openxmlformats.org/officeDocument/2006/relationships/image" Target="media/image54.jpg"/><Relationship Id="rId354" Type="http://schemas.openxmlformats.org/officeDocument/2006/relationships/hyperlink" Target="http://translate.googleusercontent.com/translate_c?depth=1&amp;hl=fr&amp;prev=/search?q%3DPunica%2Bgranatum%2Bwikipedia%26biw%3D1440%26bih%3D732&amp;rurl=translate.google.fr&amp;sl=en&amp;u=http://en.wikipedia.org/wiki/Stamen&amp;usg=ALkJrhh5AZDywi6Qj4YKqg_jP5V1gB2bbg" TargetMode="External"/><Relationship Id="rId1191" Type="http://schemas.openxmlformats.org/officeDocument/2006/relationships/image" Target="media/image579.jpeg"/><Relationship Id="rId2035" Type="http://schemas.openxmlformats.org/officeDocument/2006/relationships/hyperlink" Target="https://fr.wikipedia.org/wiki/Cornille" TargetMode="External"/><Relationship Id="rId3433" Type="http://schemas.openxmlformats.org/officeDocument/2006/relationships/image" Target="media/image1269.jpeg"/><Relationship Id="rId3640" Type="http://schemas.openxmlformats.org/officeDocument/2006/relationships/image" Target="media/image1330.jpg"/><Relationship Id="rId561" Type="http://schemas.openxmlformats.org/officeDocument/2006/relationships/hyperlink" Target="https://fr.wikipedia.org/wiki/Saba_senegalensis" TargetMode="External"/><Relationship Id="rId2242" Type="http://schemas.openxmlformats.org/officeDocument/2006/relationships/hyperlink" Target="https://fr.wikipedia.org/wiki/Forme_foliaire" TargetMode="External"/><Relationship Id="rId3500" Type="http://schemas.openxmlformats.org/officeDocument/2006/relationships/image" Target="media/image1312.jpeg"/><Relationship Id="rId214" Type="http://schemas.openxmlformats.org/officeDocument/2006/relationships/hyperlink" Target="http://fr.wikipedia.org/wiki/Roquette_de_mer" TargetMode="External"/><Relationship Id="rId421" Type="http://schemas.openxmlformats.org/officeDocument/2006/relationships/hyperlink" Target="https://fr.wikipedia.org/wiki/Vigne" TargetMode="External"/><Relationship Id="rId1051" Type="http://schemas.openxmlformats.org/officeDocument/2006/relationships/image" Target="media/image484.jpeg"/><Relationship Id="rId2102" Type="http://schemas.openxmlformats.org/officeDocument/2006/relationships/hyperlink" Target="https://fr.wikipedia.org/wiki/Arachide" TargetMode="External"/><Relationship Id="rId1868" Type="http://schemas.openxmlformats.org/officeDocument/2006/relationships/hyperlink" Target="https://fr.wikipedia.org/wiki/Plante_annuelle" TargetMode="External"/><Relationship Id="rId4067" Type="http://schemas.openxmlformats.org/officeDocument/2006/relationships/hyperlink" Target="https://fr.wikipedia.org/w/index.php?title=Rhinacloa_callicrate&amp;action=edit&amp;redlink=1" TargetMode="External"/><Relationship Id="rId4274" Type="http://schemas.openxmlformats.org/officeDocument/2006/relationships/hyperlink" Target="http://www.cabi.org/isc/datasheet/52483" TargetMode="External"/><Relationship Id="rId4481" Type="http://schemas.openxmlformats.org/officeDocument/2006/relationships/image" Target="media/image1486.jpeg"/><Relationship Id="rId2919" Type="http://schemas.openxmlformats.org/officeDocument/2006/relationships/hyperlink" Target="http://translate.googleusercontent.com/translate_c?depth=1&amp;hl=fr&amp;prev=search&amp;rurl=translate.google.fr&amp;sl=en&amp;u=http://en.wikipedia.org/wiki/Salvadora_persica&amp;usg=ALkJrhgOIQlW7aIAGDKol4BFplV0He8bpQ" TargetMode="External"/><Relationship Id="rId3083" Type="http://schemas.openxmlformats.org/officeDocument/2006/relationships/image" Target="media/image1036.jpeg"/><Relationship Id="rId3290" Type="http://schemas.openxmlformats.org/officeDocument/2006/relationships/image" Target="media/image1169.jpeg"/><Relationship Id="rId4134" Type="http://schemas.openxmlformats.org/officeDocument/2006/relationships/hyperlink" Target="http://fr.wikipedia.org/wiki/Farine" TargetMode="External"/><Relationship Id="rId4341" Type="http://schemas.openxmlformats.org/officeDocument/2006/relationships/hyperlink" Target="https://en.wikipedia.org/wiki/Petenes_mangroves" TargetMode="External"/><Relationship Id="rId1728" Type="http://schemas.openxmlformats.org/officeDocument/2006/relationships/image" Target="media/image732.jpg"/><Relationship Id="rId1935" Type="http://schemas.openxmlformats.org/officeDocument/2006/relationships/hyperlink" Target="https://en.wikipedia.org/wiki/Subtropics" TargetMode="External"/><Relationship Id="rId3150" Type="http://schemas.openxmlformats.org/officeDocument/2006/relationships/hyperlink" Target="https://fr.wikipedia.org/wiki/Causse_de_Sauveterre" TargetMode="External"/><Relationship Id="rId4201" Type="http://schemas.openxmlformats.org/officeDocument/2006/relationships/hyperlink" Target="http://www.cabi.org/isc/datasheet/112585" TargetMode="External"/><Relationship Id="rId3010" Type="http://schemas.openxmlformats.org/officeDocument/2006/relationships/hyperlink" Target="http://fr.wikipedia.org/wiki/Rhumatisme" TargetMode="External"/><Relationship Id="rId3967" Type="http://schemas.openxmlformats.org/officeDocument/2006/relationships/image" Target="media/image1372.jpeg"/><Relationship Id="rId4" Type="http://schemas.openxmlformats.org/officeDocument/2006/relationships/settings" Target="settings.xml"/><Relationship Id="rId888" Type="http://schemas.openxmlformats.org/officeDocument/2006/relationships/hyperlink" Target="http://www.fao.org/docrep/012/i1488f/i1488f10.pdf" TargetMode="External"/><Relationship Id="rId2569" Type="http://schemas.openxmlformats.org/officeDocument/2006/relationships/hyperlink" Target="https://fr.wikipedia.org/wiki/Microalgue" TargetMode="External"/><Relationship Id="rId2776" Type="http://schemas.openxmlformats.org/officeDocument/2006/relationships/hyperlink" Target="https://fr.wikipedia.org/wiki/Femmes_enceintes" TargetMode="External"/><Relationship Id="rId2983" Type="http://schemas.openxmlformats.org/officeDocument/2006/relationships/image" Target="media/image995.jpg"/><Relationship Id="rId3827" Type="http://schemas.openxmlformats.org/officeDocument/2006/relationships/hyperlink" Target="http://ideas.repec.org/a/eee/agiwat/v123y2013icp1-11.html" TargetMode="External"/><Relationship Id="rId748" Type="http://schemas.openxmlformats.org/officeDocument/2006/relationships/image" Target="media/image326.jpeg"/><Relationship Id="rId955" Type="http://schemas.openxmlformats.org/officeDocument/2006/relationships/hyperlink" Target="https://fr.wikipedia.org/wiki/Moringa_oleifera" TargetMode="External"/><Relationship Id="rId1378" Type="http://schemas.openxmlformats.org/officeDocument/2006/relationships/hyperlink" Target="http://articles.latimes.com/2008/jul/10/business/fi-seafarm10" TargetMode="External"/><Relationship Id="rId1585" Type="http://schemas.openxmlformats.org/officeDocument/2006/relationships/hyperlink" Target="http://fr.wikipedia.org/wiki/Semoule" TargetMode="External"/><Relationship Id="rId1792" Type="http://schemas.openxmlformats.org/officeDocument/2006/relationships/hyperlink" Target="https://fr.wikipedia.org/wiki/Mil_(c%C3%A9r%C3%A9ale)" TargetMode="External"/><Relationship Id="rId2429" Type="http://schemas.openxmlformats.org/officeDocument/2006/relationships/hyperlink" Target="http://translate.googleusercontent.com/translate_c?anno=2&amp;depth=1&amp;hl=fr&amp;rurl=translate.google.fr&amp;sl=en&amp;tl=fr&amp;u=http://link.springer.com/journal/12155&amp;usg=ALkJrhhtFu7cEphxsaj9dAfMXN7j4M8vxA" TargetMode="External"/><Relationship Id="rId2636" Type="http://schemas.openxmlformats.org/officeDocument/2006/relationships/image" Target="media/image932.jpeg"/><Relationship Id="rId2843" Type="http://schemas.openxmlformats.org/officeDocument/2006/relationships/hyperlink" Target="http://fr.wikipedia.org/w/index.php?title=Heerabol%C3%A8ne&amp;action=edit&amp;redlink=1" TargetMode="External"/><Relationship Id="rId84" Type="http://schemas.openxmlformats.org/officeDocument/2006/relationships/hyperlink" Target="https://fr.wikipedia.org/wiki/Roumanie" TargetMode="External"/><Relationship Id="rId608" Type="http://schemas.openxmlformats.org/officeDocument/2006/relationships/image" Target="media/image258.jpeg"/><Relationship Id="rId815" Type="http://schemas.openxmlformats.org/officeDocument/2006/relationships/hyperlink" Target="http://en.wikipedia.org/wiki/Atriplex_halimus" TargetMode="External"/><Relationship Id="rId1238" Type="http://schemas.openxmlformats.org/officeDocument/2006/relationships/image" Target="media/image618.jpeg"/><Relationship Id="rId1445" Type="http://schemas.openxmlformats.org/officeDocument/2006/relationships/hyperlink" Target="https://www.spotmydive.com/fr/sante/le-chef-angel-leon-cultive-un-potager-aquatique-de-zosteres-marines" TargetMode="External"/><Relationship Id="rId1652" Type="http://schemas.openxmlformats.org/officeDocument/2006/relationships/image" Target="media/image705.jpeg"/><Relationship Id="rId1305" Type="http://schemas.openxmlformats.org/officeDocument/2006/relationships/hyperlink" Target="http://translate.googleusercontent.com/translate_c?depth=1&amp;hl=fr&amp;prev=/search?q%3Dsalicornia%2Bherbacea%2Bwikipedia%26biw%3D1440%26bih%3D732&amp;rurl=translate.google.fr&amp;sl=en&amp;u=http://en.wikipedia.org/wiki/Eritrea&amp;usg=ALkJrhiLdsgyI07Nk7fpT_az6Vmo5ysgDg" TargetMode="External"/><Relationship Id="rId2703" Type="http://schemas.openxmlformats.org/officeDocument/2006/relationships/hyperlink" Target="https://fr.wikipedia.org/wiki/Chondrus_crispus" TargetMode="External"/><Relationship Id="rId2910" Type="http://schemas.openxmlformats.org/officeDocument/2006/relationships/hyperlink" Target="http://translate.googleusercontent.com/translate_c?depth=1&amp;hl=fr&amp;prev=search&amp;rurl=translate.google.fr&amp;sl=en&amp;u=http://en.wikipedia.org/wiki/South_Africa&amp;usg=ALkJrhjxTxeAPFkHEkqgpdPzuiGhByy4Eg" TargetMode="External"/><Relationship Id="rId1512" Type="http://schemas.openxmlformats.org/officeDocument/2006/relationships/hyperlink" Target="https://fr.wikipedia.org/wiki/Monocotyl%C3%A9done" TargetMode="External"/><Relationship Id="rId11" Type="http://schemas.openxmlformats.org/officeDocument/2006/relationships/hyperlink" Target="https://twitter.com/Limportant_fr/status/1405998534512500739" TargetMode="External"/><Relationship Id="rId398" Type="http://schemas.openxmlformats.org/officeDocument/2006/relationships/hyperlink" Target="https://fr.wikipedia.org/wiki/C%C5%93ur_(symbole)" TargetMode="External"/><Relationship Id="rId2079" Type="http://schemas.openxmlformats.org/officeDocument/2006/relationships/hyperlink" Target="https://fr.wikipedia.org/wiki/Millet_(gramin%C3%A9e)" TargetMode="External"/><Relationship Id="rId3477" Type="http://schemas.openxmlformats.org/officeDocument/2006/relationships/hyperlink" Target="http://fr.wikipedia.org/wiki/Figuier_de_Barbarie" TargetMode="External"/><Relationship Id="rId3684" Type="http://schemas.openxmlformats.org/officeDocument/2006/relationships/hyperlink" Target="https://fr.wikipedia.org/wiki/Liberia" TargetMode="External"/><Relationship Id="rId3891" Type="http://schemas.openxmlformats.org/officeDocument/2006/relationships/hyperlink" Target="http://www.fao.org/docrep/s8684e/s8684e00.htm" TargetMode="External"/><Relationship Id="rId4528" Type="http://schemas.openxmlformats.org/officeDocument/2006/relationships/hyperlink" Target="http://www.invadingspecies.com/invaders/" TargetMode="External"/><Relationship Id="rId2286" Type="http://schemas.openxmlformats.org/officeDocument/2006/relationships/hyperlink" Target="https://fr.wikipedia.org/wiki/Famille_(biologie)" TargetMode="External"/><Relationship Id="rId2493" Type="http://schemas.openxmlformats.org/officeDocument/2006/relationships/hyperlink" Target="https://fr.wikipedia.org/wiki/Italie" TargetMode="External"/><Relationship Id="rId3337" Type="http://schemas.openxmlformats.org/officeDocument/2006/relationships/image" Target="media/image1206.jpeg"/><Relationship Id="rId3544" Type="http://schemas.openxmlformats.org/officeDocument/2006/relationships/hyperlink" Target="https://fr.wikipedia.org/wiki/Djibouti" TargetMode="External"/><Relationship Id="rId3751" Type="http://schemas.openxmlformats.org/officeDocument/2006/relationships/hyperlink" Target="http://www.miracosta.edu/home/kmeldahl/articles/crops.pdf" TargetMode="External"/><Relationship Id="rId258" Type="http://schemas.openxmlformats.org/officeDocument/2006/relationships/hyperlink" Target="http://en.wikipedia.org/wiki/Ziziphus_mauritiana" TargetMode="External"/><Relationship Id="rId465" Type="http://schemas.openxmlformats.org/officeDocument/2006/relationships/image" Target="media/image196.jpeg"/><Relationship Id="rId672" Type="http://schemas.openxmlformats.org/officeDocument/2006/relationships/image" Target="media/image287.jpeg"/><Relationship Id="rId1095" Type="http://schemas.openxmlformats.org/officeDocument/2006/relationships/image" Target="media/image518.jpeg"/><Relationship Id="rId2146" Type="http://schemas.openxmlformats.org/officeDocument/2006/relationships/image" Target="media/image827.jpeg"/><Relationship Id="rId2353" Type="http://schemas.openxmlformats.org/officeDocument/2006/relationships/image" Target="media/image878.jpeg"/><Relationship Id="rId2560" Type="http://schemas.openxmlformats.org/officeDocument/2006/relationships/hyperlink" Target="http://translate.googleusercontent.com/translate_c?depth=1&amp;hl=fr&amp;prev=search&amp;rurl=translate.google.fr&amp;sl=en&amp;u=http://en.wikipedia.org/wiki/Natural_History_(Pliny)&amp;usg=ALkJrhjqPGcAgcCpSfqbotw_WDZDR4P9Ew" TargetMode="External"/><Relationship Id="rId3404" Type="http://schemas.openxmlformats.org/officeDocument/2006/relationships/image" Target="media/image1258.jpg"/><Relationship Id="rId3611" Type="http://schemas.openxmlformats.org/officeDocument/2006/relationships/hyperlink" Target="https://fr.wikipedia.org/wiki/D%C3%A9sert_de_Gobi" TargetMode="External"/><Relationship Id="rId118" Type="http://schemas.openxmlformats.org/officeDocument/2006/relationships/hyperlink" Target="https://en.wikipedia.org/wiki/Brown" TargetMode="External"/><Relationship Id="rId325" Type="http://schemas.openxmlformats.org/officeDocument/2006/relationships/image" Target="media/image149.jpeg"/><Relationship Id="rId532" Type="http://schemas.openxmlformats.org/officeDocument/2006/relationships/hyperlink" Target="http://en.wikipedia.org/wiki/Common_fig" TargetMode="External"/><Relationship Id="rId1162" Type="http://schemas.openxmlformats.org/officeDocument/2006/relationships/image" Target="media/image562.jpeg"/><Relationship Id="rId2006" Type="http://schemas.openxmlformats.org/officeDocument/2006/relationships/hyperlink" Target="https://en.wikipedia.org/wiki/Thailand" TargetMode="External"/><Relationship Id="rId2213" Type="http://schemas.openxmlformats.org/officeDocument/2006/relationships/image" Target="media/image835.jpeg"/><Relationship Id="rId2420" Type="http://schemas.openxmlformats.org/officeDocument/2006/relationships/hyperlink" Target="http://fr.wikipedia.org/wiki/P%C3%A2turages" TargetMode="External"/><Relationship Id="rId1022" Type="http://schemas.openxmlformats.org/officeDocument/2006/relationships/image" Target="media/image468.jpeg"/><Relationship Id="rId4178" Type="http://schemas.openxmlformats.org/officeDocument/2006/relationships/hyperlink" Target="http://www.cabi.org/isc/datasheet/112576" TargetMode="External"/><Relationship Id="rId4385" Type="http://schemas.openxmlformats.org/officeDocument/2006/relationships/hyperlink" Target="http://fr.wikipedia.org/wiki/Fabaceae" TargetMode="External"/><Relationship Id="rId1979" Type="http://schemas.openxmlformats.org/officeDocument/2006/relationships/hyperlink" Target="https://fr.wikipedia.org/wiki/Gousse" TargetMode="External"/><Relationship Id="rId3194" Type="http://schemas.openxmlformats.org/officeDocument/2006/relationships/hyperlink" Target="http://fr.wikipedia.org/wiki/Citernes_de_La_Malga" TargetMode="External"/><Relationship Id="rId4038" Type="http://schemas.openxmlformats.org/officeDocument/2006/relationships/hyperlink" Target="https://translate.googleusercontent.com/translate_c?depth=1&amp;hl=fr&amp;prev=search&amp;rurl=translate.google.fr&amp;sl=en&amp;u=https://en.wikipedia.org/wiki/Mulch&amp;usg=ALkJrhjr6LC_S0uYVIfxFQYxK6uNYRZEvQ" TargetMode="External"/><Relationship Id="rId4245" Type="http://schemas.openxmlformats.org/officeDocument/2006/relationships/hyperlink" Target="http://www.cabi.org/isc/datasheet/112597" TargetMode="External"/><Relationship Id="rId1839" Type="http://schemas.openxmlformats.org/officeDocument/2006/relationships/image" Target="media/image762.jpeg"/><Relationship Id="rId3054" Type="http://schemas.openxmlformats.org/officeDocument/2006/relationships/hyperlink" Target="http://en.wikipedia.org/wiki/Liman_irrigation_system" TargetMode="External"/><Relationship Id="rId4452" Type="http://schemas.openxmlformats.org/officeDocument/2006/relationships/hyperlink" Target="https://www.wocat.net/fileadmin/user_upload/documents/Books/Best_Practices_Tunisia.pdf" TargetMode="External"/><Relationship Id="rId182" Type="http://schemas.openxmlformats.org/officeDocument/2006/relationships/hyperlink" Target="http://www.supagro.fr/theses/extranet/08-0043_JABNOUNE.pdf" TargetMode="External"/><Relationship Id="rId1906" Type="http://schemas.openxmlformats.org/officeDocument/2006/relationships/hyperlink" Target="https://fr.wikipedia.org/wiki/M%C3%A9thanisation" TargetMode="External"/><Relationship Id="rId3261" Type="http://schemas.openxmlformats.org/officeDocument/2006/relationships/image" Target="media/image1157.png"/><Relationship Id="rId4105" Type="http://schemas.openxmlformats.org/officeDocument/2006/relationships/hyperlink" Target="http://www.fao.org/docrep/006/ad317e/AD317E02.htm" TargetMode="External"/><Relationship Id="rId4312" Type="http://schemas.openxmlformats.org/officeDocument/2006/relationships/hyperlink" Target="http://tropical.theferns.info/viewtropical.php?id=Tamarix+aphylla" TargetMode="External"/><Relationship Id="rId2070" Type="http://schemas.openxmlformats.org/officeDocument/2006/relationships/hyperlink" Target="https://fr.wikipedia.org/wiki/Rhizobium" TargetMode="External"/><Relationship Id="rId3121" Type="http://schemas.openxmlformats.org/officeDocument/2006/relationships/hyperlink" Target="http://translate.googleusercontent.com/translate_c?depth=1&amp;hl=fr&amp;prev=/search?q%3Dindian%2Bjohad%26sa%3DX%26hl%3Dfr%26biw%3D1440%26bih%3D732%26site%3Dimghp&amp;rurl=translate.google.fr&amp;sl=en&amp;u=http://en.wikipedia.org/wiki/Hindi_language&amp;usg=ALkJrhiC95dm-8-G9b_UqxO5yGd1JlMGJA" TargetMode="External"/><Relationship Id="rId999" Type="http://schemas.openxmlformats.org/officeDocument/2006/relationships/hyperlink" Target="https://fr.wikipedia.org/wiki/Badamier" TargetMode="External"/><Relationship Id="rId2887" Type="http://schemas.openxmlformats.org/officeDocument/2006/relationships/image" Target="media/image981.jpg"/><Relationship Id="rId859" Type="http://schemas.openxmlformats.org/officeDocument/2006/relationships/hyperlink" Target="http://fr.wikipedia.org/wiki/Dessalement" TargetMode="External"/><Relationship Id="rId1489" Type="http://schemas.openxmlformats.org/officeDocument/2006/relationships/hyperlink" Target="http://fr.wikipedia.org/wiki/Bette_maritime" TargetMode="External"/><Relationship Id="rId1696" Type="http://schemas.openxmlformats.org/officeDocument/2006/relationships/image" Target="media/image721.jpeg"/><Relationship Id="rId3938" Type="http://schemas.openxmlformats.org/officeDocument/2006/relationships/hyperlink" Target="https://www.researchgate.net/publication/323213608_Evaluation_preliminaire_des_risques_d'invasion_par_les_essences_forestieres_introduites_a_Madagascar" TargetMode="External"/><Relationship Id="rId1349" Type="http://schemas.openxmlformats.org/officeDocument/2006/relationships/hyperlink" Target="http://www.kfu.edu.sa/sjournal/eng/pdffiles/BVOL4NO1_5.pdf" TargetMode="External"/><Relationship Id="rId2747" Type="http://schemas.openxmlformats.org/officeDocument/2006/relationships/hyperlink" Target="https://fr.wikipedia.org/wiki/Arthrospira_platensis" TargetMode="External"/><Relationship Id="rId2954" Type="http://schemas.openxmlformats.org/officeDocument/2006/relationships/hyperlink" Target="http://translate.googleusercontent.com/translate_c?depth=1&amp;hl=fr&amp;prev=search&amp;rurl=translate.google.fr&amp;sl=en&amp;u=http://en.wikipedia.org/wiki/Overexploitation&amp;usg=ALkJrhjPbgK6Oc0NIzK3LVOPpRLJdcTvZw" TargetMode="External"/><Relationship Id="rId719" Type="http://schemas.openxmlformats.org/officeDocument/2006/relationships/image" Target="media/image308.jpeg"/><Relationship Id="rId926" Type="http://schemas.openxmlformats.org/officeDocument/2006/relationships/hyperlink" Target="https://fr.wikipedia.org/wiki/Baie_de_goji" TargetMode="External"/><Relationship Id="rId1556" Type="http://schemas.openxmlformats.org/officeDocument/2006/relationships/hyperlink" Target="https://fr.wikipedia.org/wiki/Port-Vila" TargetMode="External"/><Relationship Id="rId1763" Type="http://schemas.openxmlformats.org/officeDocument/2006/relationships/hyperlink" Target="http://fr.wikipedia.org/wiki/Bore" TargetMode="External"/><Relationship Id="rId1970" Type="http://schemas.openxmlformats.org/officeDocument/2006/relationships/hyperlink" Target="https://fr.wikipedia.org/wiki/%C3%89chalote" TargetMode="External"/><Relationship Id="rId2607" Type="http://schemas.openxmlformats.org/officeDocument/2006/relationships/hyperlink" Target="https://fr.wikipedia.org/wiki/Tasmanie" TargetMode="External"/><Relationship Id="rId2814" Type="http://schemas.openxmlformats.org/officeDocument/2006/relationships/hyperlink" Target="http://fr.wikipedia.org/wiki/National_Center_for_Biotechnology_Information" TargetMode="External"/><Relationship Id="rId55" Type="http://schemas.openxmlformats.org/officeDocument/2006/relationships/image" Target="media/image20.jpeg"/><Relationship Id="rId1209" Type="http://schemas.openxmlformats.org/officeDocument/2006/relationships/image" Target="media/image590.jpg"/><Relationship Id="rId1416" Type="http://schemas.openxmlformats.org/officeDocument/2006/relationships/hyperlink" Target="http://www.bashanfoundation.org/gmaweb/pdfs/growth.pdf" TargetMode="External"/><Relationship Id="rId1623" Type="http://schemas.openxmlformats.org/officeDocument/2006/relationships/image" Target="media/image696.jpeg"/><Relationship Id="rId1830" Type="http://schemas.openxmlformats.org/officeDocument/2006/relationships/image" Target="media/image755.jpeg"/><Relationship Id="rId3588" Type="http://schemas.openxmlformats.org/officeDocument/2006/relationships/hyperlink" Target="https://fr.wikipedia.org/wiki/Grande_muraille_verte_(Afrique)" TargetMode="External"/><Relationship Id="rId3795" Type="http://schemas.openxmlformats.org/officeDocument/2006/relationships/hyperlink" Target="http://ideas.repec.org/a/eee/agiwat/v90y2007i3p165-180.html" TargetMode="External"/><Relationship Id="rId2397" Type="http://schemas.openxmlformats.org/officeDocument/2006/relationships/image" Target="media/image886.jpeg"/><Relationship Id="rId3448" Type="http://schemas.openxmlformats.org/officeDocument/2006/relationships/image" Target="media/image1284.jpeg"/><Relationship Id="rId3655" Type="http://schemas.openxmlformats.org/officeDocument/2006/relationships/image" Target="media/image1345.jpg"/><Relationship Id="rId3862" Type="http://schemas.openxmlformats.org/officeDocument/2006/relationships/hyperlink" Target="http://www.oceaniumdakar.org/IMG/pdf/bd_guide_technique_reboisement_mangrove.pdf" TargetMode="External"/><Relationship Id="rId369" Type="http://schemas.openxmlformats.org/officeDocument/2006/relationships/hyperlink" Target="https://en.wikipedia.org/wiki/List_of_grape_varieties" TargetMode="External"/><Relationship Id="rId576" Type="http://schemas.openxmlformats.org/officeDocument/2006/relationships/hyperlink" Target="https://fr.wikipedia.org/wiki/Afrique_de_l%27Ouest" TargetMode="External"/><Relationship Id="rId783" Type="http://schemas.openxmlformats.org/officeDocument/2006/relationships/hyperlink" Target="http://www.plantzafrica.com/plantcd/colomopane.htm" TargetMode="External"/><Relationship Id="rId990" Type="http://schemas.openxmlformats.org/officeDocument/2006/relationships/image" Target="media/image444.jpeg"/><Relationship Id="rId2257" Type="http://schemas.openxmlformats.org/officeDocument/2006/relationships/hyperlink" Target="https://www.rustica.fr/plantes-vertes/aloes-commun-aloe-vera,5114.html" TargetMode="External"/><Relationship Id="rId2464" Type="http://schemas.openxmlformats.org/officeDocument/2006/relationships/hyperlink" Target="http://fr.wikipedia.org/wiki/Engrais" TargetMode="External"/><Relationship Id="rId2671" Type="http://schemas.openxmlformats.org/officeDocument/2006/relationships/hyperlink" Target="https://fr.wikipedia.org/w/index.php?title=Poke_(salade)&amp;action=edit&amp;redlink=1" TargetMode="External"/><Relationship Id="rId3308" Type="http://schemas.openxmlformats.org/officeDocument/2006/relationships/image" Target="media/image1181.jpeg"/><Relationship Id="rId3515" Type="http://schemas.openxmlformats.org/officeDocument/2006/relationships/hyperlink" Target="https://fr.wikipedia.org/wiki/Jach%C3%A8re" TargetMode="External"/><Relationship Id="rId229" Type="http://schemas.openxmlformats.org/officeDocument/2006/relationships/hyperlink" Target="http://www.teline.fr/fre/Photographies/Toutes-les-familles/Fabaceae/Ceratonia-siliqua" TargetMode="External"/><Relationship Id="rId436" Type="http://schemas.openxmlformats.org/officeDocument/2006/relationships/hyperlink" Target="https://fr.wikipedia.org/wiki/Famille_(biologie)" TargetMode="External"/><Relationship Id="rId643" Type="http://schemas.openxmlformats.org/officeDocument/2006/relationships/hyperlink" Target="https://fr.wikipedia.org/wiki/Afrique_australe" TargetMode="External"/><Relationship Id="rId1066" Type="http://schemas.openxmlformats.org/officeDocument/2006/relationships/hyperlink" Target="http://www.drcsc.org/VET/library/Nursery/Mangrove_Nursery_manual_HR.pdf" TargetMode="External"/><Relationship Id="rId1273" Type="http://schemas.openxmlformats.org/officeDocument/2006/relationships/hyperlink" Target="http://en.wikipedia.org/wiki/Halotolerance" TargetMode="External"/><Relationship Id="rId1480" Type="http://schemas.openxmlformats.org/officeDocument/2006/relationships/hyperlink" Target="http://fr.wikipedia.org/wiki/Plante" TargetMode="External"/><Relationship Id="rId2117" Type="http://schemas.openxmlformats.org/officeDocument/2006/relationships/image" Target="media/image815.jpeg"/><Relationship Id="rId2324" Type="http://schemas.openxmlformats.org/officeDocument/2006/relationships/hyperlink" Target="http://fr.wikipedia.org/wiki/Anthracnose_de_la_luzerne" TargetMode="External"/><Relationship Id="rId3722" Type="http://schemas.openxmlformats.org/officeDocument/2006/relationships/hyperlink" Target="https://forestsnews.cifor.org/66150/trees-to-plant-or-not-to-plant" TargetMode="External"/><Relationship Id="rId850" Type="http://schemas.openxmlformats.org/officeDocument/2006/relationships/image" Target="media/image384.jpeg"/><Relationship Id="rId1133" Type="http://schemas.openxmlformats.org/officeDocument/2006/relationships/image" Target="media/image544.jpeg"/><Relationship Id="rId2531" Type="http://schemas.openxmlformats.org/officeDocument/2006/relationships/hyperlink" Target="https://fr.wikipedia.org/wiki/Chacal" TargetMode="External"/><Relationship Id="rId4289" Type="http://schemas.openxmlformats.org/officeDocument/2006/relationships/hyperlink" Target="http://horizon.documentation.ird.fr/exl-doc/pleins_textes/pleins_textes_5/b_fdi_08-09/11033.pdf" TargetMode="External"/><Relationship Id="rId503" Type="http://schemas.openxmlformats.org/officeDocument/2006/relationships/image" Target="media/image217.jpeg"/><Relationship Id="rId710" Type="http://schemas.openxmlformats.org/officeDocument/2006/relationships/hyperlink" Target="http://benjamin.lisan.free.fr/projetsreforestation/Fiche-presentation-Faidherbia-albida.pdf" TargetMode="External"/><Relationship Id="rId1340" Type="http://schemas.openxmlformats.org/officeDocument/2006/relationships/hyperlink" Target="http://www.gcrio.org/usiji/pdf/Mexico-3%203-04.pdf" TargetMode="External"/><Relationship Id="rId3098" Type="http://schemas.openxmlformats.org/officeDocument/2006/relationships/image" Target="media/image1050.jpeg"/><Relationship Id="rId4496" Type="http://schemas.openxmlformats.org/officeDocument/2006/relationships/hyperlink" Target="http://fr.wiktionary.org/wiki/plante" TargetMode="External"/><Relationship Id="rId1200" Type="http://schemas.openxmlformats.org/officeDocument/2006/relationships/image" Target="media/image585.jpeg"/><Relationship Id="rId4149" Type="http://schemas.openxmlformats.org/officeDocument/2006/relationships/hyperlink" Target="http://fr.wikipedia.org/wiki/Algarrobina" TargetMode="External"/><Relationship Id="rId4356" Type="http://schemas.openxmlformats.org/officeDocument/2006/relationships/image" Target="media/image1460.jpg"/><Relationship Id="rId3165" Type="http://schemas.openxmlformats.org/officeDocument/2006/relationships/hyperlink" Target="http://www.slire.net/download/1313/23-625-635.pdf" TargetMode="External"/><Relationship Id="rId3372" Type="http://schemas.openxmlformats.org/officeDocument/2006/relationships/image" Target="media/image1233.jpeg"/><Relationship Id="rId4009" Type="http://schemas.openxmlformats.org/officeDocument/2006/relationships/hyperlink" Target="http://en.wikipedia.org/wiki/Acacia_auriculiformis" TargetMode="External"/><Relationship Id="rId4216" Type="http://schemas.openxmlformats.org/officeDocument/2006/relationships/hyperlink" Target="http://en.wikipedia.org/wiki/Atriplex_rosea" TargetMode="External"/><Relationship Id="rId4423" Type="http://schemas.openxmlformats.org/officeDocument/2006/relationships/hyperlink" Target="http://fr.wikipedia.org/wiki/Registre_de_langue" TargetMode="External"/><Relationship Id="rId293" Type="http://schemas.openxmlformats.org/officeDocument/2006/relationships/hyperlink" Target="http://benjamin.lisan.free.fr/projetsreforestation/Fiche-presentation-caroubier.pdf" TargetMode="External"/><Relationship Id="rId2181" Type="http://schemas.openxmlformats.org/officeDocument/2006/relationships/hyperlink" Target="https://en.wikipedia.org/wiki/Husk" TargetMode="External"/><Relationship Id="rId3025" Type="http://schemas.openxmlformats.org/officeDocument/2006/relationships/image" Target="media/image1003.jpg"/><Relationship Id="rId3232" Type="http://schemas.openxmlformats.org/officeDocument/2006/relationships/hyperlink" Target="https://fr.wikipedia.org/wiki/%C3%89conomies_d%27eau" TargetMode="External"/><Relationship Id="rId153" Type="http://schemas.openxmlformats.org/officeDocument/2006/relationships/image" Target="media/image60.jpg"/><Relationship Id="rId360" Type="http://schemas.openxmlformats.org/officeDocument/2006/relationships/image" Target="media/image173.jpeg"/><Relationship Id="rId2041" Type="http://schemas.openxmlformats.org/officeDocument/2006/relationships/hyperlink" Target="https://uses.plantnet-project.org/fr/Vigna_unguiculata_(PROTA)" TargetMode="External"/><Relationship Id="rId220" Type="http://schemas.openxmlformats.org/officeDocument/2006/relationships/image" Target="media/image104.jpeg"/><Relationship Id="rId2998" Type="http://schemas.openxmlformats.org/officeDocument/2006/relationships/hyperlink" Target="http://fr.wikipedia.org/wiki/Plante_herbac%C3%A9e" TargetMode="External"/><Relationship Id="rId2858" Type="http://schemas.openxmlformats.org/officeDocument/2006/relationships/image" Target="media/image977.jpg"/><Relationship Id="rId3909" Type="http://schemas.openxmlformats.org/officeDocument/2006/relationships/hyperlink" Target="https://www.youtube.com/watch?v=HEOzkiGqK-I" TargetMode="External"/><Relationship Id="rId4073" Type="http://schemas.openxmlformats.org/officeDocument/2006/relationships/image" Target="media/image1408.jpeg"/><Relationship Id="rId99" Type="http://schemas.openxmlformats.org/officeDocument/2006/relationships/hyperlink" Target="https://fr.wikipedia.org/wiki/Isra%C3%ABl" TargetMode="External"/><Relationship Id="rId1667" Type="http://schemas.openxmlformats.org/officeDocument/2006/relationships/hyperlink" Target="http://translate.googleusercontent.com/translate_c?depth=1&amp;hl=fr&amp;prev=/search?q%3DBrassica%2Bcarinata%26biw%3D1440%26bih%3D775&amp;rurl=translate.google.fr&amp;sl=en&amp;u=http://en.wikipedia.org/wiki/Oilseed&amp;usg=ALkJrhig0DysJDzkCSoeVYu7oU8MkxvVDg" TargetMode="External"/><Relationship Id="rId1874" Type="http://schemas.openxmlformats.org/officeDocument/2006/relationships/hyperlink" Target="https://fr.wikipedia.org/wiki/Canne_%C3%A0_sucre" TargetMode="External"/><Relationship Id="rId2718" Type="http://schemas.openxmlformats.org/officeDocument/2006/relationships/hyperlink" Target="https://en.wikipedia.org/wiki/Kappaphycus_alvarezii" TargetMode="External"/><Relationship Id="rId2925" Type="http://schemas.openxmlformats.org/officeDocument/2006/relationships/hyperlink" Target="http://translate.googleusercontent.com/translate_c?depth=1&amp;hl=fr&amp;prev=search&amp;rurl=translate.google.fr&amp;sl=en&amp;u=http://en.wikipedia.org/wiki/Natural_anthraquinone&amp;usg=ALkJrhi3zJyiHth_H-0QwZzu3mgyMG7usQ" TargetMode="External"/><Relationship Id="rId4280" Type="http://schemas.openxmlformats.org/officeDocument/2006/relationships/hyperlink" Target="https://en.wikipedia.org/wiki/Tamarix_ramosissima" TargetMode="External"/><Relationship Id="rId1527" Type="http://schemas.openxmlformats.org/officeDocument/2006/relationships/hyperlink" Target="https://fr.wikipedia.org/wiki/Effet_lotus" TargetMode="External"/><Relationship Id="rId1734" Type="http://schemas.openxmlformats.org/officeDocument/2006/relationships/image" Target="media/image738.jpg"/><Relationship Id="rId1941" Type="http://schemas.openxmlformats.org/officeDocument/2006/relationships/hyperlink" Target="https://en.wikipedia.org/wiki/Genotype" TargetMode="External"/><Relationship Id="rId4140" Type="http://schemas.openxmlformats.org/officeDocument/2006/relationships/hyperlink" Target="http://translate.googleusercontent.com/translate_c?depth=1&amp;hl=fr&amp;prev=/search?q%3DProsopis%2Bchilensis&amp;rurl=translate.google.fr&amp;sl=es&amp;u=http://es.wikipedia.org/wiki/Densidad&amp;usg=ALkJrhgte0-OxqGNxKpsN5H7UxzOkLdBtg" TargetMode="External"/><Relationship Id="rId26" Type="http://schemas.openxmlformats.org/officeDocument/2006/relationships/hyperlink" Target="https://fr.wikipedia.org/wiki/Mycologie" TargetMode="External"/><Relationship Id="rId3699" Type="http://schemas.openxmlformats.org/officeDocument/2006/relationships/hyperlink" Target="http://www.doc-developpement-durable.org/documents-pedagogiques-de-sensibilisation/LutteContreLaCorruption.pptx" TargetMode="External"/><Relationship Id="rId4000" Type="http://schemas.openxmlformats.org/officeDocument/2006/relationships/hyperlink" Target="http://www.hear.org/pier/species/casuarina_equisetifolia.htm" TargetMode="External"/><Relationship Id="rId1801" Type="http://schemas.openxmlformats.org/officeDocument/2006/relationships/hyperlink" Target="https://fr.wikipedia.org/wiki/Culture" TargetMode="External"/><Relationship Id="rId3559" Type="http://schemas.openxmlformats.org/officeDocument/2006/relationships/hyperlink" Target="https://fr.wikipedia.org/wiki/Za%C3%AF_(agriculture)" TargetMode="External"/><Relationship Id="rId687" Type="http://schemas.openxmlformats.org/officeDocument/2006/relationships/hyperlink" Target="http://fr.wikipedia.org/wiki/Cassier" TargetMode="External"/><Relationship Id="rId2368" Type="http://schemas.openxmlformats.org/officeDocument/2006/relationships/hyperlink" Target="http://fr.wikipedia.org/wiki/Chrysopogon_zizanioides" TargetMode="External"/><Relationship Id="rId3766" Type="http://schemas.openxmlformats.org/officeDocument/2006/relationships/hyperlink" Target="http://www.miracosta.edu/home/kmeldahl/articles/crops.pdf" TargetMode="External"/><Relationship Id="rId3973" Type="http://schemas.openxmlformats.org/officeDocument/2006/relationships/hyperlink" Target="http://en.wikipedia.org/wiki/Sisal" TargetMode="External"/><Relationship Id="rId894" Type="http://schemas.openxmlformats.org/officeDocument/2006/relationships/image" Target="media/image394.jpeg"/><Relationship Id="rId1177" Type="http://schemas.openxmlformats.org/officeDocument/2006/relationships/image" Target="media/image567.jpeg"/><Relationship Id="rId2575" Type="http://schemas.openxmlformats.org/officeDocument/2006/relationships/hyperlink" Target="https://fr.wikipedia.org/wiki/Biogaz" TargetMode="External"/><Relationship Id="rId2782" Type="http://schemas.openxmlformats.org/officeDocument/2006/relationships/hyperlink" Target="https://fr.wikipedia.org/wiki/Spiruline_alimentaire" TargetMode="External"/><Relationship Id="rId3419" Type="http://schemas.openxmlformats.org/officeDocument/2006/relationships/hyperlink" Target="http://fr.wikipedia.org/wiki/Feu_de_for%C3%AAt" TargetMode="External"/><Relationship Id="rId3626" Type="http://schemas.openxmlformats.org/officeDocument/2006/relationships/hyperlink" Target="https://fr.wikipedia.org/wiki/Grande_muraille_verte_(Chine)" TargetMode="External"/><Relationship Id="rId3833" Type="http://schemas.openxmlformats.org/officeDocument/2006/relationships/hyperlink" Target="http://ideas.repec.org/a/eee/agiwat/v123y2013icp1-11.html" TargetMode="External"/><Relationship Id="rId547" Type="http://schemas.openxmlformats.org/officeDocument/2006/relationships/image" Target="media/image239.jpeg"/><Relationship Id="rId754" Type="http://schemas.openxmlformats.org/officeDocument/2006/relationships/image" Target="media/image329.jpeg"/><Relationship Id="rId961" Type="http://schemas.openxmlformats.org/officeDocument/2006/relationships/hyperlink" Target="https://en.wikipedia.org/wiki/Nepal" TargetMode="External"/><Relationship Id="rId1384" Type="http://schemas.openxmlformats.org/officeDocument/2006/relationships/hyperlink" Target="http://en.wikipedia.org/wiki/Tribune_Company" TargetMode="External"/><Relationship Id="rId1591" Type="http://schemas.openxmlformats.org/officeDocument/2006/relationships/hyperlink" Target="http://fr.wikipedia.org/wiki/Escourgeon" TargetMode="External"/><Relationship Id="rId2228" Type="http://schemas.openxmlformats.org/officeDocument/2006/relationships/image" Target="media/image847.jpeg"/><Relationship Id="rId2435" Type="http://schemas.openxmlformats.org/officeDocument/2006/relationships/image" Target="media/image895.jpeg"/><Relationship Id="rId2642" Type="http://schemas.openxmlformats.org/officeDocument/2006/relationships/hyperlink" Target="https://fr.wikipedia.org/wiki/Carragh%C3%A9nane" TargetMode="External"/><Relationship Id="rId3900" Type="http://schemas.openxmlformats.org/officeDocument/2006/relationships/hyperlink" Target="https://fr.wikipedia.org/wiki/Qanat" TargetMode="External"/><Relationship Id="rId90" Type="http://schemas.openxmlformats.org/officeDocument/2006/relationships/hyperlink" Target="https://fr.wikipedia.org/wiki/Sri_Lanka" TargetMode="External"/><Relationship Id="rId407" Type="http://schemas.openxmlformats.org/officeDocument/2006/relationships/hyperlink" Target="https://fr.wikipedia.org/wiki/Asie" TargetMode="External"/><Relationship Id="rId614" Type="http://schemas.openxmlformats.org/officeDocument/2006/relationships/hyperlink" Target="https://en.wikipedia.org/wiki/Parasite" TargetMode="External"/><Relationship Id="rId821" Type="http://schemas.openxmlformats.org/officeDocument/2006/relationships/image" Target="media/image369.jpeg"/><Relationship Id="rId1037" Type="http://schemas.openxmlformats.org/officeDocument/2006/relationships/hyperlink" Target="https://fr.wikipedia.org/wiki/Annona_glabra" TargetMode="External"/><Relationship Id="rId1244" Type="http://schemas.openxmlformats.org/officeDocument/2006/relationships/image" Target="media/image624.jpg"/><Relationship Id="rId1451" Type="http://schemas.openxmlformats.org/officeDocument/2006/relationships/hyperlink" Target="http://fr.wikipedia.org/wiki/Plante" TargetMode="External"/><Relationship Id="rId2502" Type="http://schemas.openxmlformats.org/officeDocument/2006/relationships/hyperlink" Target="https://fr.wikipedia.org/wiki/Fourrage" TargetMode="External"/><Relationship Id="rId1104" Type="http://schemas.openxmlformats.org/officeDocument/2006/relationships/image" Target="media/image527.jpeg"/><Relationship Id="rId1311" Type="http://schemas.openxmlformats.org/officeDocument/2006/relationships/hyperlink" Target="http://translate.googleusercontent.com/translate_c?depth=1&amp;hl=fr&amp;prev=/search?q%3Dsalicornia%2Bherbacea%2Bwikipedia%26biw%3D1440%26bih%3D732&amp;rurl=translate.google.fr&amp;sl=en&amp;u=http://en.wikipedia.org/wiki/Salicornia&amp;usg=ALkJrhjDr5-mr9d_p4vWumW2fKSbBMtvmA" TargetMode="External"/><Relationship Id="rId4467" Type="http://schemas.openxmlformats.org/officeDocument/2006/relationships/hyperlink" Target="mailto:business@aston.ac.uk" TargetMode="External"/><Relationship Id="rId3069" Type="http://schemas.openxmlformats.org/officeDocument/2006/relationships/image" Target="media/image1024.jpeg"/><Relationship Id="rId3276" Type="http://schemas.openxmlformats.org/officeDocument/2006/relationships/hyperlink" Target="http://fr.wikipedia.org/wiki/Irrigation" TargetMode="External"/><Relationship Id="rId3483" Type="http://schemas.openxmlformats.org/officeDocument/2006/relationships/image" Target="media/image1299.jpeg"/><Relationship Id="rId3690" Type="http://schemas.openxmlformats.org/officeDocument/2006/relationships/hyperlink" Target="http://viacampesina.org/fr/" TargetMode="External"/><Relationship Id="rId4327" Type="http://schemas.openxmlformats.org/officeDocument/2006/relationships/hyperlink" Target="http://fr.wikipedia.org/wiki/Retama_monosperma" TargetMode="External"/><Relationship Id="rId4534" Type="http://schemas.openxmlformats.org/officeDocument/2006/relationships/hyperlink" Target="http://www.sahel.org.uk" TargetMode="External"/><Relationship Id="rId197" Type="http://schemas.openxmlformats.org/officeDocument/2006/relationships/image" Target="media/image91.jpg"/><Relationship Id="rId2085" Type="http://schemas.openxmlformats.org/officeDocument/2006/relationships/hyperlink" Target="https://fr.wikipedia.org/wiki/Aflatoxine" TargetMode="External"/><Relationship Id="rId2292" Type="http://schemas.openxmlformats.org/officeDocument/2006/relationships/hyperlink" Target="http://translate.googleusercontent.com/translate_c?depth=1&amp;hl=fr&amp;prev=/search?q%3DMelilotus%2Bindicus%26biw%3D1440%26bih%3D732&amp;rurl=translate.google.fr&amp;sl=en&amp;u=http://en.wikipedia.org/wiki/United_Kingdom&amp;usg=ALkJrhgzGSeiM0FZbNdGaENoe58FrUpzhA" TargetMode="External"/><Relationship Id="rId3136" Type="http://schemas.openxmlformats.org/officeDocument/2006/relationships/image" Target="media/image1078.jpeg"/><Relationship Id="rId3343" Type="http://schemas.openxmlformats.org/officeDocument/2006/relationships/hyperlink" Target="http://echo2.epfl.ch/e-drologie/general/tdmchapitres.html" TargetMode="External"/><Relationship Id="rId264" Type="http://schemas.openxmlformats.org/officeDocument/2006/relationships/hyperlink" Target="https://fr.wikipedia.org/wiki/Famille_(biologie)" TargetMode="External"/><Relationship Id="rId471" Type="http://schemas.openxmlformats.org/officeDocument/2006/relationships/hyperlink" Target="http://fr.wikipedia.org/wiki/Yucca_filifera" TargetMode="External"/><Relationship Id="rId2152" Type="http://schemas.openxmlformats.org/officeDocument/2006/relationships/hyperlink" Target="https://fr.wikipedia.org/wiki/Famille_(biologie)" TargetMode="External"/><Relationship Id="rId3550" Type="http://schemas.openxmlformats.org/officeDocument/2006/relationships/hyperlink" Target="https://fr.wikipedia.org/wiki/%C3%89rosion" TargetMode="External"/><Relationship Id="rId124" Type="http://schemas.openxmlformats.org/officeDocument/2006/relationships/hyperlink" Target="https://en.wikipedia.org/wiki/Unpalatable" TargetMode="External"/><Relationship Id="rId3203" Type="http://schemas.openxmlformats.org/officeDocument/2006/relationships/image" Target="media/image1117.jpeg"/><Relationship Id="rId3410" Type="http://schemas.openxmlformats.org/officeDocument/2006/relationships/hyperlink" Target="http://fr.wiktionary.org/wiki/circonscrire" TargetMode="External"/><Relationship Id="rId331" Type="http://schemas.openxmlformats.org/officeDocument/2006/relationships/hyperlink" Target="http://www.flickriver.com/photos/luigistrano/3848000774/" TargetMode="External"/><Relationship Id="rId2012" Type="http://schemas.openxmlformats.org/officeDocument/2006/relationships/hyperlink" Target="https://en.wikipedia.org/wiki/Blight" TargetMode="External"/><Relationship Id="rId2969" Type="http://schemas.openxmlformats.org/officeDocument/2006/relationships/hyperlink" Target="http://translate.googleusercontent.com/translate_c?depth=1&amp;hl=fr&amp;prev=search&amp;rurl=translate.google.fr&amp;sl=en&amp;u=http://en.wikipedia.org/wiki/Frankincense&amp;usg=ALkJrhjrduegRFNjAelnorPpBtcfuOGVzA" TargetMode="External"/><Relationship Id="rId1778" Type="http://schemas.openxmlformats.org/officeDocument/2006/relationships/image" Target="media/image747.jpeg"/><Relationship Id="rId1985" Type="http://schemas.openxmlformats.org/officeDocument/2006/relationships/hyperlink" Target="https://fr.wikipedia.org/wiki/Burkina_Faso" TargetMode="External"/><Relationship Id="rId2829" Type="http://schemas.openxmlformats.org/officeDocument/2006/relationships/hyperlink" Target="http://www.worldagroforestry.org/treedb/AFTPDFS/Salvadora_persica.pdf" TargetMode="External"/><Relationship Id="rId4184" Type="http://schemas.openxmlformats.org/officeDocument/2006/relationships/hyperlink" Target="http://www.cabi.org/isc/datasheet/112579" TargetMode="External"/><Relationship Id="rId4391" Type="http://schemas.openxmlformats.org/officeDocument/2006/relationships/hyperlink" Target="http://www.cabi.org/isc/datasheet/26715" TargetMode="External"/><Relationship Id="rId1638" Type="http://schemas.openxmlformats.org/officeDocument/2006/relationships/hyperlink" Target="http://pub.epsilon.slu.se/1095/1/Thesis_Abdul_Kader.pdf" TargetMode="External"/><Relationship Id="rId4044" Type="http://schemas.openxmlformats.org/officeDocument/2006/relationships/image" Target="media/image1400.jpg"/><Relationship Id="rId4251" Type="http://schemas.openxmlformats.org/officeDocument/2006/relationships/hyperlink" Target="https://en.wikipedia.org/wiki/Tamaricaceae" TargetMode="External"/><Relationship Id="rId1845" Type="http://schemas.openxmlformats.org/officeDocument/2006/relationships/hyperlink" Target="https://fr.wikipedia.org/wiki/Echinochloa_esculenta" TargetMode="External"/><Relationship Id="rId3060" Type="http://schemas.openxmlformats.org/officeDocument/2006/relationships/image" Target="media/image1015.jpeg"/><Relationship Id="rId4111" Type="http://schemas.openxmlformats.org/officeDocument/2006/relationships/hyperlink" Target="https://en.wikipedia.org/wiki/Krishna_Wildlife_Sanctuary" TargetMode="External"/><Relationship Id="rId1705" Type="http://schemas.openxmlformats.org/officeDocument/2006/relationships/hyperlink" Target="https://fr.wikipedia.org/wiki/Feuille" TargetMode="External"/><Relationship Id="rId1912" Type="http://schemas.openxmlformats.org/officeDocument/2006/relationships/hyperlink" Target="https://fr.wikipedia.org/wiki/Nitrate" TargetMode="External"/><Relationship Id="rId3877" Type="http://schemas.openxmlformats.org/officeDocument/2006/relationships/hyperlink" Target="https://drive.google.com/drive/folders/1N_RzNZoimczmtW_xUBv_NXp32tYpSrja?usp=sharing" TargetMode="External"/><Relationship Id="rId798" Type="http://schemas.openxmlformats.org/officeDocument/2006/relationships/image" Target="media/image354.jpeg"/><Relationship Id="rId2479" Type="http://schemas.openxmlformats.org/officeDocument/2006/relationships/hyperlink" Target="https://fr.wikipedia.org/wiki/Poaceae" TargetMode="External"/><Relationship Id="rId2686" Type="http://schemas.openxmlformats.org/officeDocument/2006/relationships/hyperlink" Target="https://en.wikipedia.org/wiki/Gracilaria" TargetMode="External"/><Relationship Id="rId2893" Type="http://schemas.openxmlformats.org/officeDocument/2006/relationships/hyperlink" Target="http://fr.wikipedia.org/wiki/Burseraceae" TargetMode="External"/><Relationship Id="rId3737" Type="http://schemas.openxmlformats.org/officeDocument/2006/relationships/hyperlink" Target="http://horizon.documentation.ird.fr/exl-doc/pleins_textes/pleins_textes_5/b_fdi_08-09/11033.pdf" TargetMode="External"/><Relationship Id="rId3944" Type="http://schemas.openxmlformats.org/officeDocument/2006/relationships/image" Target="media/image1361.jpeg"/><Relationship Id="rId658" Type="http://schemas.openxmlformats.org/officeDocument/2006/relationships/image" Target="media/image273.jpeg"/><Relationship Id="rId865" Type="http://schemas.openxmlformats.org/officeDocument/2006/relationships/hyperlink" Target="http://translate.googleusercontent.com/translate_c?depth=1&amp;hl=fr&amp;prev=/search?q%3Dnitraria%26biw%3D1440%26bih%3D732&amp;rurl=translate.google.fr&amp;sl=en&amp;u=http://en.wikipedia.org/wiki/Flowering_plant&amp;usg=ALkJrhimSy-1PyL48-FjX0nItHmOA1G1xQ" TargetMode="External"/><Relationship Id="rId1288" Type="http://schemas.openxmlformats.org/officeDocument/2006/relationships/hyperlink" Target="http://en.wikipedia.org/wiki/Halophyte" TargetMode="External"/><Relationship Id="rId1495" Type="http://schemas.openxmlformats.org/officeDocument/2006/relationships/hyperlink" Target="http://fr.wikipedia.org/wiki/Europe" TargetMode="External"/><Relationship Id="rId2339" Type="http://schemas.openxmlformats.org/officeDocument/2006/relationships/hyperlink" Target="http://fr.wikipedia.org/wiki/Racine_(botanique)" TargetMode="External"/><Relationship Id="rId2546" Type="http://schemas.openxmlformats.org/officeDocument/2006/relationships/hyperlink" Target="https://fr.wikipedia.org/wiki/Famille_(biologie)" TargetMode="External"/><Relationship Id="rId2753" Type="http://schemas.openxmlformats.org/officeDocument/2006/relationships/hyperlink" Target="https://fr.wikipedia.org/wiki/C%C3%B4te_d%27Ivoire" TargetMode="External"/><Relationship Id="rId2960" Type="http://schemas.openxmlformats.org/officeDocument/2006/relationships/hyperlink" Target="http://en.wikipedia.org/wiki/Boswellia_sacra" TargetMode="External"/><Relationship Id="rId3804" Type="http://schemas.openxmlformats.org/officeDocument/2006/relationships/hyperlink" Target="http://ideas.repec.org/a/eee/agiwat/v78y2005i1-2p108-121.html" TargetMode="External"/><Relationship Id="rId518" Type="http://schemas.openxmlformats.org/officeDocument/2006/relationships/hyperlink" Target="http://www.agrimaroc.net/87.pdf" TargetMode="External"/><Relationship Id="rId725" Type="http://schemas.openxmlformats.org/officeDocument/2006/relationships/hyperlink" Target="http://fr.wikipedia.org/wiki/Fabaceae" TargetMode="External"/><Relationship Id="rId932" Type="http://schemas.openxmlformats.org/officeDocument/2006/relationships/image" Target="media/image419.jpg"/><Relationship Id="rId1148" Type="http://schemas.openxmlformats.org/officeDocument/2006/relationships/image" Target="media/image553.jpeg"/><Relationship Id="rId1355" Type="http://schemas.openxmlformats.org/officeDocument/2006/relationships/hyperlink" Target="http://en.wikipedia.org/wiki/Al-Hassa" TargetMode="External"/><Relationship Id="rId1562" Type="http://schemas.openxmlformats.org/officeDocument/2006/relationships/image" Target="media/image682.jpeg"/><Relationship Id="rId2406" Type="http://schemas.openxmlformats.org/officeDocument/2006/relationships/hyperlink" Target="http://fr.wikipedia.org/wiki/Plante_vivace" TargetMode="External"/><Relationship Id="rId2613" Type="http://schemas.openxmlformats.org/officeDocument/2006/relationships/hyperlink" Target="https://fr.wikipedia.org/wiki/Undaria_pinnatifida" TargetMode="External"/><Relationship Id="rId1008" Type="http://schemas.openxmlformats.org/officeDocument/2006/relationships/image" Target="media/image458.jpg"/><Relationship Id="rId1215" Type="http://schemas.openxmlformats.org/officeDocument/2006/relationships/image" Target="media/image596.jpeg"/><Relationship Id="rId1422" Type="http://schemas.openxmlformats.org/officeDocument/2006/relationships/hyperlink" Target="http://www.bashanfoundation.org/gmaweb/pdfs/growth.pdf" TargetMode="External"/><Relationship Id="rId2820" Type="http://schemas.openxmlformats.org/officeDocument/2006/relationships/hyperlink" Target="http://fr.wikipedia.org/wiki/Siwak" TargetMode="External"/><Relationship Id="rId61" Type="http://schemas.openxmlformats.org/officeDocument/2006/relationships/image" Target="media/image26.jpeg"/><Relationship Id="rId3387" Type="http://schemas.openxmlformats.org/officeDocument/2006/relationships/image" Target="media/image1247.jpeg"/><Relationship Id="rId2196" Type="http://schemas.openxmlformats.org/officeDocument/2006/relationships/hyperlink" Target="https://en.wikipedia.org/wiki/Genetic_engineering" TargetMode="External"/><Relationship Id="rId3594" Type="http://schemas.openxmlformats.org/officeDocument/2006/relationships/hyperlink" Target="https://fr.wikipedia.org/wiki/Organisation_non_gouvernementale" TargetMode="External"/><Relationship Id="rId4438" Type="http://schemas.openxmlformats.org/officeDocument/2006/relationships/hyperlink" Target="http://fr.wiktionary.org/wiki/exc%C3%A9dent" TargetMode="External"/><Relationship Id="rId168" Type="http://schemas.openxmlformats.org/officeDocument/2006/relationships/image" Target="media/image75.jpg"/><Relationship Id="rId3247" Type="http://schemas.openxmlformats.org/officeDocument/2006/relationships/image" Target="media/image1151.jpeg"/><Relationship Id="rId3454" Type="http://schemas.openxmlformats.org/officeDocument/2006/relationships/hyperlink" Target="https://www.rts.ch/info/sciences-tech/environnement/12449870-lespagne-mise-sur-de-nouvelles-technologies-pour-dejouer-les-incendies.html" TargetMode="External"/><Relationship Id="rId3661" Type="http://schemas.openxmlformats.org/officeDocument/2006/relationships/image" Target="media/image1348.png"/><Relationship Id="rId4505" Type="http://schemas.openxmlformats.org/officeDocument/2006/relationships/hyperlink" Target="http://popups.ulg.ac.be/1780-4507/index.php?id=9586" TargetMode="External"/><Relationship Id="rId375" Type="http://schemas.openxmlformats.org/officeDocument/2006/relationships/hyperlink" Target="https://fr.wikipedia.org/wiki/Vitis_amurensis" TargetMode="External"/><Relationship Id="rId582" Type="http://schemas.openxmlformats.org/officeDocument/2006/relationships/image" Target="media/image252.jpeg"/><Relationship Id="rId2056" Type="http://schemas.openxmlformats.org/officeDocument/2006/relationships/image" Target="media/image802.jpeg"/><Relationship Id="rId2263" Type="http://schemas.openxmlformats.org/officeDocument/2006/relationships/image" Target="media/image856.jpeg"/><Relationship Id="rId2470" Type="http://schemas.openxmlformats.org/officeDocument/2006/relationships/image" Target="media/image899.jpeg"/><Relationship Id="rId3107" Type="http://schemas.openxmlformats.org/officeDocument/2006/relationships/image" Target="media/image1059.jpeg"/><Relationship Id="rId3314" Type="http://schemas.openxmlformats.org/officeDocument/2006/relationships/image" Target="media/image1187.jpg"/><Relationship Id="rId3521" Type="http://schemas.openxmlformats.org/officeDocument/2006/relationships/hyperlink" Target="https://fr.wikipedia.org/wiki/Crise_%C3%A9cologique" TargetMode="External"/></Relationships>
</file>

<file path=word/_rels/footnotes.xml.rels><?xml version="1.0" encoding="UTF-8" standalone="yes"?>
<Relationships xmlns="http://schemas.openxmlformats.org/package/2006/relationships"><Relationship Id="rId117" Type="http://schemas.openxmlformats.org/officeDocument/2006/relationships/hyperlink" Target="http://fr.wikipedia.org/wiki/Betterave_fourrag%C3%A8re" TargetMode="External"/><Relationship Id="rId299" Type="http://schemas.openxmlformats.org/officeDocument/2006/relationships/hyperlink" Target="http://nature.jardin.free.fr/arbuste/ft_tamarix_af.html" TargetMode="External"/><Relationship Id="rId303" Type="http://schemas.openxmlformats.org/officeDocument/2006/relationships/hyperlink" Target="https://reporterre.net/On-va-avoir-un-paysage-lunaire-L-Espagne-affronte-la-desertification" TargetMode="External"/><Relationship Id="rId21" Type="http://schemas.openxmlformats.org/officeDocument/2006/relationships/hyperlink" Target="https://fr.wikipedia.org/wiki/Incendies_d'Indon&#233;sie_de_2015" TargetMode="External"/><Relationship Id="rId42" Type="http://schemas.openxmlformats.org/officeDocument/2006/relationships/hyperlink" Target="https://www.eorc.jaxa.jp/en/earthview/2011/tp110112.html" TargetMode="External"/><Relationship Id="rId63" Type="http://schemas.openxmlformats.org/officeDocument/2006/relationships/hyperlink" Target="https://fr.wikipedia.org/wiki/Crise_alimentaire_mondiale_de_2007-2008" TargetMode="External"/><Relationship Id="rId84" Type="http://schemas.openxmlformats.org/officeDocument/2006/relationships/hyperlink" Target="http://www.israelimages.com/see_image_details.php?idi=1087" TargetMode="External"/><Relationship Id="rId138" Type="http://schemas.openxmlformats.org/officeDocument/2006/relationships/hyperlink" Target="http://fieldguide.mt.gov/speciesDetail.aspx?elcode=PDBRA05020" TargetMode="External"/><Relationship Id="rId159" Type="http://schemas.openxmlformats.org/officeDocument/2006/relationships/hyperlink" Target="https://www.journaldunet.com/economie/agroalimentaire/1011273-les-plantes-qui-font-vendre-a-coup-sur/1011277-l-aloe-vera-du-gel-douche-au-yaourt" TargetMode="External"/><Relationship Id="rId170" Type="http://schemas.openxmlformats.org/officeDocument/2006/relationships/hyperlink" Target="https://www.aquaportail.com/definition-497-zygotospore.html" TargetMode="External"/><Relationship Id="rId191" Type="http://schemas.openxmlformats.org/officeDocument/2006/relationships/hyperlink" Target="http://www.omafra.gov.on.ca/french/engineer/facts/13-036.htm" TargetMode="External"/><Relationship Id="rId205" Type="http://schemas.openxmlformats.org/officeDocument/2006/relationships/hyperlink" Target="http://www.idrc.ca/FR/Resources/Publications/Pages/ArticleDetails.aspx?PublicationID=686" TargetMode="External"/><Relationship Id="rId226" Type="http://schemas.openxmlformats.org/officeDocument/2006/relationships/hyperlink" Target="https://www.portesouvertes.fr/informer/actualite/nigeria-5-choses-a-savoir-sur-les-violences-au-centre-du-pays" TargetMode="External"/><Relationship Id="rId247" Type="http://schemas.openxmlformats.org/officeDocument/2006/relationships/hyperlink" Target="https://www.geo.fr/environnement/en-turquie-11-millions-darbres-plantes-cet-automne-sont-deja-presque-tous-morts-199734" TargetMode="External"/><Relationship Id="rId107" Type="http://schemas.openxmlformats.org/officeDocument/2006/relationships/hyperlink" Target="http://amap-collaboratif.cirad.fr/Docs_Logiciels/Mangrove_web/especes/s/sonal/sonal_10.html" TargetMode="External"/><Relationship Id="rId268" Type="http://schemas.openxmlformats.org/officeDocument/2006/relationships/hyperlink" Target="https://www.madagascar-tribune.com/Le-Collectif-Tany-craint-la,23622.html" TargetMode="External"/><Relationship Id="rId289" Type="http://schemas.openxmlformats.org/officeDocument/2006/relationships/hyperlink" Target="https://www.27avril.com/blog/agriculture/senegal-interdiction-d-importations-d-oignons" TargetMode="External"/><Relationship Id="rId11" Type="http://schemas.openxmlformats.org/officeDocument/2006/relationships/hyperlink" Target="https://fr.wikipedia.org/wiki/Animal" TargetMode="External"/><Relationship Id="rId32" Type="http://schemas.openxmlformats.org/officeDocument/2006/relationships/hyperlink" Target="http://www.realclimate.org/index.php?p=129" TargetMode="External"/><Relationship Id="rId53" Type="http://schemas.openxmlformats.org/officeDocument/2006/relationships/hyperlink" Target="https://www.planetoscope.com/sols/1175-disparition-de-surfaces-agricoles-dans-le-monde.html" TargetMode="External"/><Relationship Id="rId74" Type="http://schemas.openxmlformats.org/officeDocument/2006/relationships/hyperlink" Target="http://www.kkl.org.il/eng/files/forests/tma/TAMA22_eng.pdf" TargetMode="External"/><Relationship Id="rId128" Type="http://schemas.openxmlformats.org/officeDocument/2006/relationships/hyperlink" Target="http://archive.gramene.org/species/oryza_species/o_coarctata.html" TargetMode="External"/><Relationship Id="rId149" Type="http://schemas.openxmlformats.org/officeDocument/2006/relationships/hyperlink" Target="https://www.researchgate.net/publication/331375052_Evaluation_des_varietes_d'arachides_Arachis_hypogaea_L_pour_la_tolerance_a_la_secheresse" TargetMode="External"/><Relationship Id="rId5" Type="http://schemas.openxmlformats.org/officeDocument/2006/relationships/hyperlink" Target="https://fr.wikipedia.org/wiki/Cl%C3%A9_de_d%C3%A9termination" TargetMode="External"/><Relationship Id="rId95" Type="http://schemas.openxmlformats.org/officeDocument/2006/relationships/hyperlink" Target="http://www.theplantlist.org/tpl/record/kew-2692923" TargetMode="External"/><Relationship Id="rId160" Type="http://schemas.openxmlformats.org/officeDocument/2006/relationships/hyperlink" Target="http://vetiversenegal.blogspot.fr/2010/11/des-projets-recents-du-vetiver-au.html" TargetMode="External"/><Relationship Id="rId181" Type="http://schemas.openxmlformats.org/officeDocument/2006/relationships/hyperlink" Target="http://magicchris.voila.net/Harpagophytum/harpagophytum_procumbens.htm" TargetMode="External"/><Relationship Id="rId216" Type="http://schemas.openxmlformats.org/officeDocument/2006/relationships/hyperlink" Target="https://fr.wikipedia.org/wiki/Pastoralisme" TargetMode="External"/><Relationship Id="rId237" Type="http://schemas.openxmlformats.org/officeDocument/2006/relationships/hyperlink" Target="http://science-pope.com/2013/03/reverse-climate-change-with-mobile-desert-meat/" TargetMode="External"/><Relationship Id="rId258" Type="http://schemas.openxmlformats.org/officeDocument/2006/relationships/hyperlink" Target="https://fr.wikipedia.org/wiki/Accaparement_des_terres" TargetMode="External"/><Relationship Id="rId279" Type="http://schemas.openxmlformats.org/officeDocument/2006/relationships/hyperlink" Target="https://wacomp.projects.ecowas.int/a-propos-de-wacomp/?lang=fr" TargetMode="External"/><Relationship Id="rId22" Type="http://schemas.openxmlformats.org/officeDocument/2006/relationships/hyperlink" Target="https://www.lepoint.fr/video/feux-de-foret-en-indonesie-18-09-2019-2336455_738.php" TargetMode="External"/><Relationship Id="rId43" Type="http://schemas.openxmlformats.org/officeDocument/2006/relationships/hyperlink" Target="https://www.franceinter.fr/environnement/climat-pour-la-premiere-fois-il-a-plu-au-sommet-du-groenland" TargetMode="External"/><Relationship Id="rId64" Type="http://schemas.openxmlformats.org/officeDocument/2006/relationships/hyperlink" Target="https://www.lesechos.fr/finance-marches/marches-financiers/les-prix-alimentaires-atteignent-des-niveaux-record-1342900" TargetMode="External"/><Relationship Id="rId118" Type="http://schemas.openxmlformats.org/officeDocument/2006/relationships/hyperlink" Target="http://fr.wikipedia.org/wiki/Betterave_sucri%C3%A8re" TargetMode="External"/><Relationship Id="rId139" Type="http://schemas.openxmlformats.org/officeDocument/2006/relationships/hyperlink" Target="https://fr.wikipedia.org/wiki/Digitaria_exilis" TargetMode="External"/><Relationship Id="rId290" Type="http://schemas.openxmlformats.org/officeDocument/2006/relationships/hyperlink" Target="https://docsonline.wto.org/dol2fe/Pages/SS/directdoc.aspx?filename=R:/WT/TPR/S233-04.pdf" TargetMode="External"/><Relationship Id="rId304" Type="http://schemas.openxmlformats.org/officeDocument/2006/relationships/hyperlink" Target="https://fr.wikipedia.org/wiki/Plante_envahissante" TargetMode="External"/><Relationship Id="rId85" Type="http://schemas.openxmlformats.org/officeDocument/2006/relationships/hyperlink" Target="https://www.flickr.com/photos/dweickhoff/8101484247/" TargetMode="External"/><Relationship Id="rId150" Type="http://schemas.openxmlformats.org/officeDocument/2006/relationships/hyperlink" Target="https://eujournal.org/index.php/esj/article/view/7511/7252" TargetMode="External"/><Relationship Id="rId171" Type="http://schemas.openxmlformats.org/officeDocument/2006/relationships/hyperlink" Target="https://en.wikipedia.org/wiki/Ice-ice" TargetMode="External"/><Relationship Id="rId192" Type="http://schemas.openxmlformats.org/officeDocument/2006/relationships/hyperlink" Target="http://www.ma.auf.org/erosion/chapitre1/VI.Lutte.html" TargetMode="External"/><Relationship Id="rId206" Type="http://schemas.openxmlformats.org/officeDocument/2006/relationships/hyperlink" Target="http://creatingwater.nl/fotos-tacna-project/" TargetMode="External"/><Relationship Id="rId227" Type="http://schemas.openxmlformats.org/officeDocument/2006/relationships/hyperlink" Target="https://en.wikipedia.org/wiki/Nomadic_conflict" TargetMode="External"/><Relationship Id="rId248" Type="http://schemas.openxmlformats.org/officeDocument/2006/relationships/hyperlink" Target="https://issafrica.org/fr/iss-today/g5-sahel-une-region-prometteuse" TargetMode="External"/><Relationship Id="rId269" Type="http://schemas.openxmlformats.org/officeDocument/2006/relationships/hyperlink" Target="https://www.rfi.fr/fr/afrique/20120716-accaparement-terres-toujours-actualite-madagascar" TargetMode="External"/><Relationship Id="rId12" Type="http://schemas.openxmlformats.org/officeDocument/2006/relationships/hyperlink" Target="https://fr.wikipedia.org/wiki/Genre_(biologie)" TargetMode="External"/><Relationship Id="rId33" Type="http://schemas.openxmlformats.org/officeDocument/2006/relationships/hyperlink" Target="http://archive.wikiwix.com/cache/?url=http%3A%2F%2Fwww.realclimate.org%2Findex.php%3Fp%3D129" TargetMode="External"/><Relationship Id="rId108" Type="http://schemas.openxmlformats.org/officeDocument/2006/relationships/hyperlink" Target="https://www.123rf.com/photo_15265728_xylocarpus-granatum-its-natural-environment-ta-bun-ta-boon-thailand.html" TargetMode="External"/><Relationship Id="rId129" Type="http://schemas.openxmlformats.org/officeDocument/2006/relationships/hyperlink" Target="http://plantillustrations.org/species.php?id_species=831408" TargetMode="External"/><Relationship Id="rId280" Type="http://schemas.openxmlformats.org/officeDocument/2006/relationships/hyperlink" Target="http://www.doc-developpement-durable.org/documents-agronomiques/Centre-agroecologique-Songhai.pptx" TargetMode="External"/><Relationship Id="rId54" Type="http://schemas.openxmlformats.org/officeDocument/2006/relationships/hyperlink" Target="https://www.lexpress.fr/actualite/societe/environnement/les-forets-tropicales-detruites-en-2018-font-la-superficie-du-nicaragua_2074766.html" TargetMode="External"/><Relationship Id="rId75" Type="http://schemas.openxmlformats.org/officeDocument/2006/relationships/hyperlink" Target="http://www.kkl.org.il/eng/files/forests/afforestation-israel/UNFF-Afforestation-Israel.pdf" TargetMode="External"/><Relationship Id="rId96" Type="http://schemas.openxmlformats.org/officeDocument/2006/relationships/hyperlink" Target="https://fr.wikipedia.org/wiki/Sub%C3%A9rine" TargetMode="External"/><Relationship Id="rId140" Type="http://schemas.openxmlformats.org/officeDocument/2006/relationships/hyperlink" Target="https://fr.wikipedia.org/wiki/Fonio_noir" TargetMode="External"/><Relationship Id="rId161" Type="http://schemas.openxmlformats.org/officeDocument/2006/relationships/hyperlink" Target="http://www.fao.org/docrep/007/y5378f/y5378f03.htm" TargetMode="External"/><Relationship Id="rId182" Type="http://schemas.openxmlformats.org/officeDocument/2006/relationships/hyperlink" Target="https://www.youtube.com/watch?v=tjBugtV8GHc" TargetMode="External"/><Relationship Id="rId217" Type="http://schemas.openxmlformats.org/officeDocument/2006/relationships/hyperlink" Target="https://sossahel.org/djibouti-les-produits-de-lelevage-contre-la-faim/" TargetMode="External"/><Relationship Id="rId6" Type="http://schemas.openxmlformats.org/officeDocument/2006/relationships/hyperlink" Target="https://fr.wikipedia.org/wiki/Description_des_esp%C3%A8ces" TargetMode="External"/><Relationship Id="rId238" Type="http://schemas.openxmlformats.org/officeDocument/2006/relationships/hyperlink" Target="http://histoiredyvoir.blogspot.fr/2012/06/tour-de-tunisie-ksour-et-ghorfas-autour.html" TargetMode="External"/><Relationship Id="rId259" Type="http://schemas.openxmlformats.org/officeDocument/2006/relationships/hyperlink" Target="https://fr.wikipedia.org/wiki/Tina_Joemat-Pettersson" TargetMode="External"/><Relationship Id="rId23" Type="http://schemas.openxmlformats.org/officeDocument/2006/relationships/hyperlink" Target="https://fr.wikipedia.org/wiki/Incendie_de_Fort_McMurray" TargetMode="External"/><Relationship Id="rId119" Type="http://schemas.openxmlformats.org/officeDocument/2006/relationships/hyperlink" Target="http://fr.wikipedia.org/wiki/Saccharose" TargetMode="External"/><Relationship Id="rId270" Type="http://schemas.openxmlformats.org/officeDocument/2006/relationships/hyperlink" Target="https://information.tv5monde.com/afrique/le-kenya-souffre-de-la-famine-mais-exporte-sa-production-de-haricots-6490" TargetMode="External"/><Relationship Id="rId291" Type="http://schemas.openxmlformats.org/officeDocument/2006/relationships/hyperlink" Target="https://www.terre-net.fr/actualite-agricole/politique-syndicalisme/article/pourquoi-les-agriculteurs-s-opposent-ils-aux-reformes-de-modi-205-174606.html" TargetMode="External"/><Relationship Id="rId44" Type="http://schemas.openxmlformats.org/officeDocument/2006/relationships/hyperlink" Target="https://ici.radio-canada.ca/recit-numerique/2624/californie-secheresse-amande-culture" TargetMode="External"/><Relationship Id="rId65" Type="http://schemas.openxmlformats.org/officeDocument/2006/relationships/hyperlink" Target="https://fr.wikipedia.org/wiki/L%27eau_dans_le_monde" TargetMode="External"/><Relationship Id="rId86" Type="http://schemas.openxmlformats.org/officeDocument/2006/relationships/hyperlink" Target="https://www.flickr.com/photos/ayra_j2/galleries/72157623117840237/" TargetMode="External"/><Relationship Id="rId130" Type="http://schemas.openxmlformats.org/officeDocument/2006/relationships/hyperlink" Target="http://plantillustrations.org/species.php?id_species=831408" TargetMode="External"/><Relationship Id="rId151" Type="http://schemas.openxmlformats.org/officeDocument/2006/relationships/hyperlink" Target="http://biblio.univ-antananarivo.mg/pdfs/randriambolanorooa_ens_m1_05.pdf" TargetMode="External"/><Relationship Id="rId172" Type="http://schemas.openxmlformats.org/officeDocument/2006/relationships/hyperlink" Target="https://www.researchgate.net/publication/309312039_Caracterisation_physico-chimique_de_trois_lacs_sales_permanents_de_la_vallee_d'Oued_Righ_Sahara_septentrional_Algerie_Nord-Est" TargetMode="External"/><Relationship Id="rId193" Type="http://schemas.openxmlformats.org/officeDocument/2006/relationships/hyperlink" Target="http://www.fao.org/docrep/007/y5378f/y5378f01.htm" TargetMode="External"/><Relationship Id="rId207" Type="http://schemas.openxmlformats.org/officeDocument/2006/relationships/hyperlink" Target="https://terriermichel.wordpress.com/2014/05/07/visite-aujourdhui-dune-installation-experimentale-de-recuperation-deau-du-brouillard/" TargetMode="External"/><Relationship Id="rId228" Type="http://schemas.openxmlformats.org/officeDocument/2006/relationships/hyperlink" Target="https://ur-green.cirad.fr/content/download/5081/37809/version/1/file/PresentationOuattara_14oct16.pdf" TargetMode="External"/><Relationship Id="rId249" Type="http://schemas.openxmlformats.org/officeDocument/2006/relationships/hyperlink" Target="https://fr.wikipedia.org/wiki/Theresa_Kachindamoto" TargetMode="External"/><Relationship Id="rId13" Type="http://schemas.openxmlformats.org/officeDocument/2006/relationships/hyperlink" Target="https://reporterre.net/Record-de-CO2-dans-l-air-vers-un-retour-en-arriere-de-15-millions-d-annees" TargetMode="External"/><Relationship Id="rId109" Type="http://schemas.openxmlformats.org/officeDocument/2006/relationships/hyperlink" Target="http://www.gcca.eu/fr/programmes-nationaux/caraibes/amcc-guyana" TargetMode="External"/><Relationship Id="rId260" Type="http://schemas.openxmlformats.org/officeDocument/2006/relationships/hyperlink" Target="https://fr.wikipedia.org/wiki/Colonialisme" TargetMode="External"/><Relationship Id="rId281" Type="http://schemas.openxmlformats.org/officeDocument/2006/relationships/hyperlink" Target="https://fr.wikipedia.org/wiki/Loi_Hawley-Smoot" TargetMode="External"/><Relationship Id="rId34" Type="http://schemas.openxmlformats.org/officeDocument/2006/relationships/hyperlink" Target="http://www.realclimate.org/index.php?p=129" TargetMode="External"/><Relationship Id="rId55" Type="http://schemas.openxmlformats.org/officeDocument/2006/relationships/hyperlink" Target="https://fr.wikipedia.org/wiki/Transgression_marine" TargetMode="External"/><Relationship Id="rId76" Type="http://schemas.openxmlformats.org/officeDocument/2006/relationships/hyperlink" Target="https://habibaorganicfarm.wordpress.com/" TargetMode="External"/><Relationship Id="rId97" Type="http://schemas.openxmlformats.org/officeDocument/2006/relationships/hyperlink" Target="http://www.chantdeleau.com/terminalia-catappa-la-plante-des-eleveurs-de-discus/" TargetMode="External"/><Relationship Id="rId120" Type="http://schemas.openxmlformats.org/officeDocument/2006/relationships/hyperlink" Target="http://fr.wikipedia.org/wiki/Poir%C3%A9e_(plante)" TargetMode="External"/><Relationship Id="rId141" Type="http://schemas.openxmlformats.org/officeDocument/2006/relationships/hyperlink" Target="https://www.agriculturejournals.cz/publicFiles/124147.pdf" TargetMode="External"/><Relationship Id="rId7" Type="http://schemas.openxmlformats.org/officeDocument/2006/relationships/hyperlink" Target="https://fr.wikipedia.org/wiki/Nomenclature" TargetMode="External"/><Relationship Id="rId162" Type="http://schemas.openxmlformats.org/officeDocument/2006/relationships/hyperlink" Target="http://www.nrcs.usda.gov/Internet/FSE_DOCUMENTS/nrcs141p2_018280.pdf" TargetMode="External"/><Relationship Id="rId183" Type="http://schemas.openxmlformats.org/officeDocument/2006/relationships/hyperlink" Target="http://cals-cf.calsnet.arizona.edu/ialc/ialc4.asp?proj=93R-507" TargetMode="External"/><Relationship Id="rId218" Type="http://schemas.openxmlformats.org/officeDocument/2006/relationships/hyperlink" Target="https://www.researchgate.net/profile/Eric-Benefice/publication/282166321_Systemes_de_production_d'elevage_au_Senegal_dans_la_region_du_Ferlo_synthese_de_fin_d'etudes_d'une_equipe_de_recherches_pluridisciplinaire/links/579c127508ae6a2882f1abbb/Systemes-de-production-delevage-au-Senegal-dans-la-region-du-Ferlo-synthese-de-fin-detudes-dune-equipe-de-recherches-pluridisciplinaire.pdf" TargetMode="External"/><Relationship Id="rId239" Type="http://schemas.openxmlformats.org/officeDocument/2006/relationships/hyperlink" Target="http://benjamin.lisan.free.fr/developpementdurable/catalogue-semences-paysannes_JFOM.pdf" TargetMode="External"/><Relationship Id="rId2" Type="http://schemas.openxmlformats.org/officeDocument/2006/relationships/hyperlink" Target="https://fr.wikipedia.org/wiki/Biologie" TargetMode="External"/><Relationship Id="rId29" Type="http://schemas.openxmlformats.org/officeDocument/2006/relationships/hyperlink" Target="https://fr.wikipedia.org/wiki/Incendies_am%C3%A9ricains_de_2020" TargetMode="External"/><Relationship Id="rId250" Type="http://schemas.openxmlformats.org/officeDocument/2006/relationships/hyperlink" Target="https://www.liberte-algerie.com/actualite/algerie-maroc-le-dangereux-reve-dune-guerre-364706" TargetMode="External"/><Relationship Id="rId255" Type="http://schemas.openxmlformats.org/officeDocument/2006/relationships/hyperlink" Target="https://dtm.iom.int/reports/mali-%E2%80%94-rapport-sur-les-d%C3%A9placements-juillet-2021" TargetMode="External"/><Relationship Id="rId271" Type="http://schemas.openxmlformats.org/officeDocument/2006/relationships/hyperlink" Target="https://www.agenceecofin.com/commerce/3006-89654-le-kenya-victime-collaterale-de-l-accord-d-exportation-de-haricots-rouges-depuis-l-ethiopie-vers-le-pakistan" TargetMode="External"/><Relationship Id="rId276" Type="http://schemas.openxmlformats.org/officeDocument/2006/relationships/hyperlink" Target="https://www.lesechos.fr/monde/enjeux-internationaux/pandora-papers-plusieurs-chefs-de-gouvernement-mis-en-cause-pour-evasion-fiscale-1351616" TargetMode="External"/><Relationship Id="rId292" Type="http://schemas.openxmlformats.org/officeDocument/2006/relationships/hyperlink" Target="https://www.rfi.fr/fr/podcasts/le-coq-chante/20210409-la-coop%C3%A9rative-des-femmes-de-nganda-au-s%C3%A9n%C3%A9gal" TargetMode="External"/><Relationship Id="rId297" Type="http://schemas.openxmlformats.org/officeDocument/2006/relationships/hyperlink" Target="http://en.wikipedia.org/wiki/Atriplex_semibaccata" TargetMode="External"/><Relationship Id="rId24" Type="http://schemas.openxmlformats.org/officeDocument/2006/relationships/hyperlink" Target="https://fr.wikipedia.org/wiki/Feux_de_brousse_de_2019-2020_en_Australie" TargetMode="External"/><Relationship Id="rId40" Type="http://schemas.openxmlformats.org/officeDocument/2006/relationships/hyperlink" Target="https://actu.fr/occitanie/toulouse_31555/en-images-comme-au-groenland-les-glaciers-des-pyrenees-fondent-irremediablement-sous-nos-yeux_35568700.html" TargetMode="External"/><Relationship Id="rId45" Type="http://schemas.openxmlformats.org/officeDocument/2006/relationships/hyperlink" Target="https://reporterre.net/On-va-avoir-un-paysage-lunaire-L-Espagne-affronte-la-desertification" TargetMode="External"/><Relationship Id="rId66" Type="http://schemas.openxmlformats.org/officeDocument/2006/relationships/hyperlink" Target="https://fr.wikipedia.org/wiki/Guerres_de_l%27eau_en_Californie" TargetMode="External"/><Relationship Id="rId87" Type="http://schemas.openxmlformats.org/officeDocument/2006/relationships/hyperlink" Target="https://en.wikipedia.org/wiki/Gallic_acid" TargetMode="External"/><Relationship Id="rId110" Type="http://schemas.openxmlformats.org/officeDocument/2006/relationships/hyperlink" Target="http://www.mangrovesgy.org/" TargetMode="External"/><Relationship Id="rId115" Type="http://schemas.openxmlformats.org/officeDocument/2006/relationships/hyperlink" Target="http://fr.wikipedia.org/wiki/Betterave" TargetMode="External"/><Relationship Id="rId131" Type="http://schemas.openxmlformats.org/officeDocument/2006/relationships/hyperlink" Target="http://plantillustrations.org/species.php?id_species=831408" TargetMode="External"/><Relationship Id="rId136" Type="http://schemas.openxmlformats.org/officeDocument/2006/relationships/hyperlink" Target="http://plantillustrations.org/species.php?id_species=831408" TargetMode="External"/><Relationship Id="rId157" Type="http://schemas.openxmlformats.org/officeDocument/2006/relationships/hyperlink" Target="https://www.cwrdiversity.org/partnership/grasspea-pre-breeding-project/" TargetMode="External"/><Relationship Id="rId178" Type="http://schemas.openxmlformats.org/officeDocument/2006/relationships/hyperlink" Target="http://www.tradeboss.com/default.cgi/action/viewproducts/productid/153077/productname/Boswellia_Serrata_60/" TargetMode="External"/><Relationship Id="rId301" Type="http://schemas.openxmlformats.org/officeDocument/2006/relationships/hyperlink" Target="https://autonomiejardin.com/2019/12/04/catastrophe-agroecologique-espagnole-le-revers-du-bio-low-cost/" TargetMode="External"/><Relationship Id="rId61" Type="http://schemas.openxmlformats.org/officeDocument/2006/relationships/hyperlink" Target="https://www.yvesmontenay.fr/2021/01/09/comment-la-demographie-bouleverse-le-monde/" TargetMode="External"/><Relationship Id="rId82" Type="http://schemas.openxmlformats.org/officeDocument/2006/relationships/hyperlink" Target="http://www.flickriver.com/photos/luigistrano/3848000774/" TargetMode="External"/><Relationship Id="rId152" Type="http://schemas.openxmlformats.org/officeDocument/2006/relationships/hyperlink" Target="https://core.ac.uk/download/pdf/39890607.pdf" TargetMode="External"/><Relationship Id="rId173" Type="http://schemas.openxmlformats.org/officeDocument/2006/relationships/hyperlink" Target="http://www.llifle.com/Encyclopedia/TREES/Family/Burseraceae/11169/Commiphora_myrrha" TargetMode="External"/><Relationship Id="rId194" Type="http://schemas.openxmlformats.org/officeDocument/2006/relationships/hyperlink" Target="ftp://ftp.fao.org/docrep/fao/007/y5378f/y5378f00.pdf" TargetMode="External"/><Relationship Id="rId199" Type="http://schemas.openxmlformats.org/officeDocument/2006/relationships/hyperlink" Target="http://www.wikihow.com/Make-a-Bottle-Watering-Can" TargetMode="External"/><Relationship Id="rId203" Type="http://schemas.openxmlformats.org/officeDocument/2006/relationships/hyperlink" Target="http://www.2012un-nouveau-paradigme.com/pages/Vivre_en_autonomie_une_realite-7804500.html" TargetMode="External"/><Relationship Id="rId208" Type="http://schemas.openxmlformats.org/officeDocument/2006/relationships/hyperlink" Target="http://www.clubdesargonautes.org/faq/arbrefontaine.php" TargetMode="External"/><Relationship Id="rId229" Type="http://schemas.openxmlformats.org/officeDocument/2006/relationships/hyperlink" Target="https://fr.wikipedia.org/wiki/Yacouba_Sawadogo" TargetMode="External"/><Relationship Id="rId19" Type="http://schemas.openxmlformats.org/officeDocument/2006/relationships/hyperlink" Target="https://fr.wikipedia.org/wiki/Lac_Balkhach" TargetMode="External"/><Relationship Id="rId224" Type="http://schemas.openxmlformats.org/officeDocument/2006/relationships/hyperlink" Target="https://www.visionofhumanity.org/wp-content/uploads/2020/11/GTI-2020-web-1.pdf" TargetMode="External"/><Relationship Id="rId240" Type="http://schemas.openxmlformats.org/officeDocument/2006/relationships/hyperlink" Target="https://fr.wikipedia.org/wiki/Dust_Bowl" TargetMode="External"/><Relationship Id="rId245" Type="http://schemas.openxmlformats.org/officeDocument/2006/relationships/hyperlink" Target="https://link.springer.com/article/10.1007/s12665-013-2428-6" TargetMode="External"/><Relationship Id="rId261" Type="http://schemas.openxmlformats.org/officeDocument/2006/relationships/hyperlink" Target="https://fr.wikipedia.org/wiki/Souverainet%C3%A9_alimentaire" TargetMode="External"/><Relationship Id="rId266" Type="http://schemas.openxmlformats.org/officeDocument/2006/relationships/hyperlink" Target="https://journals.openedition.org/developpementdurable/9661" TargetMode="External"/><Relationship Id="rId287" Type="http://schemas.openxmlformats.org/officeDocument/2006/relationships/hyperlink" Target="https://www.inter-reseaux.org/wp-content/uploads/pdf_GDS48_p7_8_ARM_Oignon_Senegal.pdf" TargetMode="External"/><Relationship Id="rId14" Type="http://schemas.openxmlformats.org/officeDocument/2006/relationships/hyperlink" Target="https://fr.wikipedia.org/wiki/Recul_des_glaciers_depuis_1850" TargetMode="External"/><Relationship Id="rId30" Type="http://schemas.openxmlformats.org/officeDocument/2006/relationships/hyperlink" Target="https://en.wikipedia.org/wiki/Dixie_Fire" TargetMode="External"/><Relationship Id="rId35" Type="http://schemas.openxmlformats.org/officeDocument/2006/relationships/hyperlink" Target="http://www.grida.no/climate/ipcc_tar/wg1/fig2-18.htm" TargetMode="External"/><Relationship Id="rId56" Type="http://schemas.openxmlformats.org/officeDocument/2006/relationships/hyperlink" Target="https://fr.wikipedia.org/wiki/%C3%89l%C3%A9vation_du_niveau_de_la_mer" TargetMode="External"/><Relationship Id="rId77" Type="http://schemas.openxmlformats.org/officeDocument/2006/relationships/hyperlink" Target="http://permaculturenews.org/2011/05/04/dispatch-from-the-jordan-valley-permaculture-project-aka-greening-the-desert-the-sequel-april-2011/" TargetMode="External"/><Relationship Id="rId100" Type="http://schemas.openxmlformats.org/officeDocument/2006/relationships/hyperlink" Target="https://nbsapforum.net/sites/default/files/Dictionnaire%20conservation%20P%20Triplet.pdf" TargetMode="External"/><Relationship Id="rId105" Type="http://schemas.openxmlformats.org/officeDocument/2006/relationships/hyperlink" Target="http://queenslandcoast.blogspot.com/2016/09/australias-spurred-mangroves-ceriops-sp.html" TargetMode="External"/><Relationship Id="rId126" Type="http://schemas.openxmlformats.org/officeDocument/2006/relationships/hyperlink" Target="https://www.jstor.org/stable/42757932" TargetMode="External"/><Relationship Id="rId147" Type="http://schemas.openxmlformats.org/officeDocument/2006/relationships/hyperlink" Target="https://agritrop.cirad.fr/440367/" TargetMode="External"/><Relationship Id="rId168" Type="http://schemas.openxmlformats.org/officeDocument/2006/relationships/hyperlink" Target="https://en.wikipedia.org/wiki/Ice-ice" TargetMode="External"/><Relationship Id="rId282" Type="http://schemas.openxmlformats.org/officeDocument/2006/relationships/hyperlink" Target="https://foodsecurecanada.org/fr/qui-sommes-nous/la-souverainete-alimentaire-quest-ce-que-cest" TargetMode="External"/><Relationship Id="rId8" Type="http://schemas.openxmlformats.org/officeDocument/2006/relationships/hyperlink" Target="https://fr.wikipedia.org/wiki/Classification_scientifique_des_esp%C3%A8ces" TargetMode="External"/><Relationship Id="rId51" Type="http://schemas.openxmlformats.org/officeDocument/2006/relationships/hyperlink" Target="https://www.cairn.info/revue-afrique-contemporaine-2007-3-page-363.htm" TargetMode="External"/><Relationship Id="rId72" Type="http://schemas.openxmlformats.org/officeDocument/2006/relationships/hyperlink" Target="http://www.fotosearch.fr/ICN003/f0026834/" TargetMode="External"/><Relationship Id="rId93" Type="http://schemas.openxmlformats.org/officeDocument/2006/relationships/hyperlink" Target="https://en.wikipedia.org/wiki/Punicalagin" TargetMode="External"/><Relationship Id="rId98" Type="http://schemas.openxmlformats.org/officeDocument/2006/relationships/hyperlink" Target="http://www.biologie.uni-regensburg.de/Botanik/Schoenfelder/kanaren/flora_canaria_NZ.html" TargetMode="External"/><Relationship Id="rId121" Type="http://schemas.openxmlformats.org/officeDocument/2006/relationships/hyperlink" Target="http://fr.wikipedia.org/wiki/Blette_(plante)" TargetMode="External"/><Relationship Id="rId142" Type="http://schemas.openxmlformats.org/officeDocument/2006/relationships/hyperlink" Target="https://en.wikipedia.org/wiki/Uromyces_viciae-fabae_var._viciae-fabae" TargetMode="External"/><Relationship Id="rId163" Type="http://schemas.openxmlformats.org/officeDocument/2006/relationships/hyperlink" Target="https://fr.wikipedia.org/wiki/Kho%C3%AFkho%C3%AF" TargetMode="External"/><Relationship Id="rId184" Type="http://schemas.openxmlformats.org/officeDocument/2006/relationships/hyperlink" Target="http://horizon.documentation.ird.fr/exl-doc/pleins_textes/divers12-09/010054917.pdf" TargetMode="External"/><Relationship Id="rId189" Type="http://schemas.openxmlformats.org/officeDocument/2006/relationships/hyperlink" Target="https://www.doc-developpement-durable.org/file/eau/lutte-contre-erosion_protection-sols/PLANIFICATION%20ET%20ENTRETIEN%20DES%20OUVRAGES%20DE%20LUTTE%20CONTRE%20L-%C3%89ROSION.pdf" TargetMode="External"/><Relationship Id="rId219" Type="http://schemas.openxmlformats.org/officeDocument/2006/relationships/hyperlink" Target="https://afrique-ouest.cirad.fr/FichiersComplementaires/atlas-systemes-pastoraux-sahel-1970-2012.pdf" TargetMode="External"/><Relationship Id="rId3" Type="http://schemas.openxmlformats.org/officeDocument/2006/relationships/hyperlink" Target="https://fr.wikipedia.org/wiki/Organisme_(physiologie)" TargetMode="External"/><Relationship Id="rId214" Type="http://schemas.openxmlformats.org/officeDocument/2006/relationships/hyperlink" Target="http://www.formad-environnement.org/pepiniere_reforestation_agroforesterie.pdf" TargetMode="External"/><Relationship Id="rId230" Type="http://schemas.openxmlformats.org/officeDocument/2006/relationships/hyperlink" Target="https://en.wikipedia.org/wiki/Yacouba_Sawadogo" TargetMode="External"/><Relationship Id="rId235" Type="http://schemas.openxmlformats.org/officeDocument/2006/relationships/hyperlink" Target="https://www.ffem.fr/fr/carte-des-projets/lutte-contre-la-desertification-par-lappui-au-pastoralisme-dans-le-ferlo" TargetMode="External"/><Relationship Id="rId251" Type="http://schemas.openxmlformats.org/officeDocument/2006/relationships/hyperlink" Target="https://fr.wikipedia.org/wiki/Violence_extr%C3%AAme" TargetMode="External"/><Relationship Id="rId256" Type="http://schemas.openxmlformats.org/officeDocument/2006/relationships/hyperlink" Target="https://reports.unocha.org/fr/country/niger" TargetMode="External"/><Relationship Id="rId277" Type="http://schemas.openxmlformats.org/officeDocument/2006/relationships/hyperlink" Target="http://benjamin.lisan.free.fr/developpementdurable/Les-produits-locaux-togolais-dans-votre-assiette.pdf" TargetMode="External"/><Relationship Id="rId298" Type="http://schemas.openxmlformats.org/officeDocument/2006/relationships/hyperlink" Target="http://www.gardicam.com/invasives.php" TargetMode="External"/><Relationship Id="rId25" Type="http://schemas.openxmlformats.org/officeDocument/2006/relationships/hyperlink" Target="https://fr.wikipedia.org/wiki/Pantanal" TargetMode="External"/><Relationship Id="rId46" Type="http://schemas.openxmlformats.org/officeDocument/2006/relationships/hyperlink" Target="https://plus.lesoir.be//art/la-desertification-du-sud-de-l-espagne_t-19881231-Z0182G.html" TargetMode="External"/><Relationship Id="rId67" Type="http://schemas.openxmlformats.org/officeDocument/2006/relationships/hyperlink" Target="https://fr.wikipedia.org/wiki/Bios%C3%A9curit%C3%A9" TargetMode="External"/><Relationship Id="rId116" Type="http://schemas.openxmlformats.org/officeDocument/2006/relationships/hyperlink" Target="http://fr.wikipedia.org/wiki/Betterave_potag%C3%A8re" TargetMode="External"/><Relationship Id="rId137" Type="http://schemas.openxmlformats.org/officeDocument/2006/relationships/hyperlink" Target="http://plantillustrations.org/taxa.php?id_taxon=9682&amp;lay_out=0&amp;hd=0&amp;group=1" TargetMode="External"/><Relationship Id="rId158" Type="http://schemas.openxmlformats.org/officeDocument/2006/relationships/hyperlink" Target="https://www.cwrdiversity.org/partnership/grasspea-pre-breeding-project/" TargetMode="External"/><Relationship Id="rId272" Type="http://schemas.openxmlformats.org/officeDocument/2006/relationships/hyperlink" Target="https://www.rfi.fr/fr/afrique/20211002-kenya-pr%C3%A8s-de-2-5-millions-de-personnes-risquent-d-%C3%AAtre-confront%C3%A9es-%C3%A0-la-famine-d-ici-un-mois" TargetMode="External"/><Relationship Id="rId293" Type="http://schemas.openxmlformats.org/officeDocument/2006/relationships/hyperlink" Target="https://www.unwomen.org/fr/news/stories/2018/7/feature-ethiopia-cooperatives-boost-agriculture-and-savings" TargetMode="External"/><Relationship Id="rId302" Type="http://schemas.openxmlformats.org/officeDocument/2006/relationships/hyperlink" Target="https://en.wikipedia.org/wiki/Intensive_farming_in_Almer%C3%ADa" TargetMode="External"/><Relationship Id="rId20" Type="http://schemas.openxmlformats.org/officeDocument/2006/relationships/hyperlink" Target="https://www.nationalgeographic.fr/photography/2019/03/environnement-ces-rivieres-sassechent-dangereusement?image=drawn-river-dry-river-341549-7607930" TargetMode="External"/><Relationship Id="rId41" Type="http://schemas.openxmlformats.org/officeDocument/2006/relationships/hyperlink" Target="https://www.eorc.jaxa.jp/en/earthview/2011/tp110112.html" TargetMode="External"/><Relationship Id="rId62" Type="http://schemas.openxmlformats.org/officeDocument/2006/relationships/hyperlink" Target="https://www.lemonde.fr/afrique/article/2017/12/12/quand-m-macron-evoque-la-demographie-africaine-cela-concerne-directement-l-europe_5228517_3212.html" TargetMode="External"/><Relationship Id="rId83" Type="http://schemas.openxmlformats.org/officeDocument/2006/relationships/hyperlink" Target="http://gardenbreizh.org/modules/gbdb/plante-1071-pistacia-terebinthus.html" TargetMode="External"/><Relationship Id="rId88" Type="http://schemas.openxmlformats.org/officeDocument/2006/relationships/hyperlink" Target="https://en.wikipedia.org/wiki/Ellagic_acid" TargetMode="External"/><Relationship Id="rId111" Type="http://schemas.openxmlformats.org/officeDocument/2006/relationships/hyperlink" Target="http://www.livelihoods.eu/fr/senegal-lorsque-les-planteurs-de-paletuviers-deviennent-des-planteurs-dentreprises/" TargetMode="External"/><Relationship Id="rId132" Type="http://schemas.openxmlformats.org/officeDocument/2006/relationships/hyperlink" Target="http://plantillustrations.org/species.php?id_species=831408" TargetMode="External"/><Relationship Id="rId153" Type="http://schemas.openxmlformats.org/officeDocument/2006/relationships/hyperlink" Target="http://www.sciencedirect.com/science/article/pii/S0278691510003303" TargetMode="External"/><Relationship Id="rId174" Type="http://schemas.openxmlformats.org/officeDocument/2006/relationships/hyperlink" Target="http://www.theamateursdigest.com/40489.htm" TargetMode="External"/><Relationship Id="rId179" Type="http://schemas.openxmlformats.org/officeDocument/2006/relationships/hyperlink" Target="http://pl.wikipedia.org/wiki/Boswellia_serrata" TargetMode="External"/><Relationship Id="rId195" Type="http://schemas.openxmlformats.org/officeDocument/2006/relationships/hyperlink" Target="https://fr.wikipedia.org/wiki/Irrigation" TargetMode="External"/><Relationship Id="rId209" Type="http://schemas.openxmlformats.org/officeDocument/2006/relationships/hyperlink" Target="http://www.econostrum.info/Natural-Aqua-se-lance-dans-les-panneaux-attrape-rosee_a215.html" TargetMode="External"/><Relationship Id="rId190" Type="http://schemas.openxmlformats.org/officeDocument/2006/relationships/hyperlink" Target="http://www.omafra.gov.on.ca/french/engineer/facts/13-036.htm" TargetMode="External"/><Relationship Id="rId204" Type="http://schemas.openxmlformats.org/officeDocument/2006/relationships/hyperlink" Target="http://creatingwater.nl/fotos-tacna-project/" TargetMode="External"/><Relationship Id="rId220" Type="http://schemas.openxmlformats.org/officeDocument/2006/relationships/hyperlink" Target="https://pubs.iied.org/sites/default/files/pdfs/migrate/G02236.pdf" TargetMode="External"/><Relationship Id="rId225" Type="http://schemas.openxmlformats.org/officeDocument/2006/relationships/hyperlink" Target="https://www.bbc.com/afrique/region-47700581" TargetMode="External"/><Relationship Id="rId241" Type="http://schemas.openxmlformats.org/officeDocument/2006/relationships/hyperlink" Target="https://fr.wikipedia.org/wiki/Rejet_(botanique)" TargetMode="External"/><Relationship Id="rId246" Type="http://schemas.openxmlformats.org/officeDocument/2006/relationships/hyperlink" Target="http://www.xinhuanet.com/english/2021-06/17/c_1310013978.htm" TargetMode="External"/><Relationship Id="rId267" Type="http://schemas.openxmlformats.org/officeDocument/2006/relationships/hyperlink" Target="https://fr.wikipedia.org/wiki/Reducing_Emissions_from_Deforestation_and_Forest_Degradation" TargetMode="External"/><Relationship Id="rId288" Type="http://schemas.openxmlformats.org/officeDocument/2006/relationships/hyperlink" Target="https://sunulex.sn/importer-au-senegal-2019/" TargetMode="External"/><Relationship Id="rId15" Type="http://schemas.openxmlformats.org/officeDocument/2006/relationships/hyperlink" Target="https://fr.wikipedia.org/wiki/Lac_Mono" TargetMode="External"/><Relationship Id="rId36" Type="http://schemas.openxmlformats.org/officeDocument/2006/relationships/hyperlink" Target="http://archive.wikiwix.com/cache/?url=http%3A%2F%2Fwww.grida.no%2Fclimate%2Fipcc_tar%2Fwg1%2Ffig2-18.htm" TargetMode="External"/><Relationship Id="rId57" Type="http://schemas.openxmlformats.org/officeDocument/2006/relationships/hyperlink" Target="https://fr.wikipedia.org/wiki/Population_mondiale" TargetMode="External"/><Relationship Id="rId106" Type="http://schemas.openxmlformats.org/officeDocument/2006/relationships/hyperlink" Target="http://queenslandcoast.blogspot.com/2016/09/australias-spurred-mangroves-ceriops-sp.html" TargetMode="External"/><Relationship Id="rId127" Type="http://schemas.openxmlformats.org/officeDocument/2006/relationships/hyperlink" Target="https://odishafooddelite.wordpress.com/tag/saru-bhaja/" TargetMode="External"/><Relationship Id="rId262" Type="http://schemas.openxmlformats.org/officeDocument/2006/relationships/hyperlink" Target="https://fr.wikipedia.org/wiki/Banque_mondiale" TargetMode="External"/><Relationship Id="rId283" Type="http://schemas.openxmlformats.org/officeDocument/2006/relationships/hyperlink" Target="https://fr.wikipedia.org/wiki/Souverainet%C3%A9_alimentaire" TargetMode="External"/><Relationship Id="rId10" Type="http://schemas.openxmlformats.org/officeDocument/2006/relationships/hyperlink" Target="https://fr.wikipedia.org/wiki/Esp%C3%A8ce" TargetMode="External"/><Relationship Id="rId31" Type="http://schemas.openxmlformats.org/officeDocument/2006/relationships/hyperlink" Target="https://en.wikipedia.org/wiki/2021_California_wildfires" TargetMode="External"/><Relationship Id="rId52" Type="http://schemas.openxmlformats.org/officeDocument/2006/relationships/hyperlink" Target="https://www.ird.fr/le-sahel-pourrait-etre-le-lieu-le-plus-resilient-au-rechauffement-climatique" TargetMode="External"/><Relationship Id="rId73" Type="http://schemas.openxmlformats.org/officeDocument/2006/relationships/hyperlink" Target="http://www.kkl.org.il/eng/about-kkl-jnf/green-israel-news/march-2013/german-states-forest-lehavim/" TargetMode="External"/><Relationship Id="rId78" Type="http://schemas.openxmlformats.org/officeDocument/2006/relationships/hyperlink" Target="http://www.panoramio.com/user/4733352?photo_page=11&amp;comment_page=1" TargetMode="External"/><Relationship Id="rId94" Type="http://schemas.openxmlformats.org/officeDocument/2006/relationships/hyperlink" Target="https://en.wikipedia.org/wiki/Combreglutinin" TargetMode="External"/><Relationship Id="rId99" Type="http://schemas.openxmlformats.org/officeDocument/2006/relationships/hyperlink" Target="http://cookislands.bishopmuseum.org/" TargetMode="External"/><Relationship Id="rId101" Type="http://schemas.openxmlformats.org/officeDocument/2006/relationships/hyperlink" Target="http://www.onf.fr/interreg-mangroves/sommaire/zhl/ecosystemes/ecosystemes/20101130-110910-92235/@@index.html" TargetMode="External"/><Relationship Id="rId122" Type="http://schemas.openxmlformats.org/officeDocument/2006/relationships/hyperlink" Target="https://fr.wikipedia.org/wiki/Amaranthaceae" TargetMode="External"/><Relationship Id="rId143" Type="http://schemas.openxmlformats.org/officeDocument/2006/relationships/hyperlink" Target="https://www.facebook.com/watch/?v=1250874931766375" TargetMode="External"/><Relationship Id="rId148" Type="http://schemas.openxmlformats.org/officeDocument/2006/relationships/hyperlink" Target="https://www.memoireonline.com/11/17/10193/m_Caracterisation-morphologique-des-accessions-d-arachide-arachis-hypogaea-l-pour-la-teneur-en-hui.html" TargetMode="External"/><Relationship Id="rId164" Type="http://schemas.openxmlformats.org/officeDocument/2006/relationships/hyperlink" Target="https://www.semanticscholar.org/paper/Strategies-of-Acanthosicyos-horridus-(!nara)-to-in-Gerber-Piketh/e38852092a758dd9bbdfb66c2252c07589eb41e2/figure/13" TargetMode="External"/><Relationship Id="rId169" Type="http://schemas.openxmlformats.org/officeDocument/2006/relationships/hyperlink" Target="http://www.ibis-algoculture.com/ibis/index.php/fr/lalgoculture/5-techniques-et-benefices-apportes-par-lalgoculture.html" TargetMode="External"/><Relationship Id="rId185" Type="http://schemas.openxmlformats.org/officeDocument/2006/relationships/hyperlink" Target="http://www.fao.org/docrep/t1765f/t1765f0q.htm" TargetMode="External"/><Relationship Id="rId4" Type="http://schemas.openxmlformats.org/officeDocument/2006/relationships/hyperlink" Target="https://fr.wikipedia.org/wiki/Taxon" TargetMode="External"/><Relationship Id="rId9" Type="http://schemas.openxmlformats.org/officeDocument/2006/relationships/hyperlink" Target="https://fr.wikipedia.org/wiki/Rang_taxonomique" TargetMode="External"/><Relationship Id="rId180" Type="http://schemas.openxmlformats.org/officeDocument/2006/relationships/hyperlink" Target="http://www.101herbs.com/boswellia-serrata.html" TargetMode="External"/><Relationship Id="rId210" Type="http://schemas.openxmlformats.org/officeDocument/2006/relationships/hyperlink" Target="http://www.lematin.ma/journal/2015/pour-remedier-au-manque-d-eau_sidi-ifni--moissonne--le-brouillard/226280.html" TargetMode="External"/><Relationship Id="rId215" Type="http://schemas.openxmlformats.org/officeDocument/2006/relationships/hyperlink" Target="https://horizon.documentation.ird.fr/exl-doc/pleins_textes/pleins_textes_6/colloques2/40836.pdf" TargetMode="External"/><Relationship Id="rId236" Type="http://schemas.openxmlformats.org/officeDocument/2006/relationships/hyperlink" Target="https://rmportal.net/framelib/gestion-concerte.pdf" TargetMode="External"/><Relationship Id="rId257" Type="http://schemas.openxmlformats.org/officeDocument/2006/relationships/hyperlink" Target="https://data2.unhcr.org/fr/situations/sahelcrisis" TargetMode="External"/><Relationship Id="rId278" Type="http://schemas.openxmlformats.org/officeDocument/2006/relationships/hyperlink" Target="https://fr.wikipedia.org/wiki/Communaut%C3%A9_%C3%A9conomique_des_%C3%89tats_de_l'Afrique_de_l'Ouest" TargetMode="External"/><Relationship Id="rId26" Type="http://schemas.openxmlformats.org/officeDocument/2006/relationships/hyperlink" Target="https://www.lemonde.fr/planete/article/2020/09/29/le-pantanal-paradis-de-biodiversite-ravage-par-les-flammes_6054087_3244.html" TargetMode="External"/><Relationship Id="rId231" Type="http://schemas.openxmlformats.org/officeDocument/2006/relationships/hyperlink" Target="https://en.wikipedia.org/wiki/Sahelian_goat" TargetMode="External"/><Relationship Id="rId252" Type="http://schemas.openxmlformats.org/officeDocument/2006/relationships/hyperlink" Target="https://seawatergreenhouse.com/work-in-progress" TargetMode="External"/><Relationship Id="rId273" Type="http://schemas.openxmlformats.org/officeDocument/2006/relationships/hyperlink" Target="https://fr.wikipedia.org/wiki/Accaparement_des_terres" TargetMode="External"/><Relationship Id="rId294" Type="http://schemas.openxmlformats.org/officeDocument/2006/relationships/hyperlink" Target="https://fr.wikipedia.org/wiki/Coton_Bt" TargetMode="External"/><Relationship Id="rId47" Type="http://schemas.openxmlformats.org/officeDocument/2006/relationships/hyperlink" Target="https://science.sciencemag.org/content/early/2020/02/19/science.aay9187" TargetMode="External"/><Relationship Id="rId68" Type="http://schemas.openxmlformats.org/officeDocument/2006/relationships/hyperlink" Target="http://www.kkl.org.il/eng/forestry-and-ecology/afforestation-in-israel/turning-the-desert-green/" TargetMode="External"/><Relationship Id="rId89" Type="http://schemas.openxmlformats.org/officeDocument/2006/relationships/hyperlink" Target="https://en.wikipedia.org/wiki/Glycoside" TargetMode="External"/><Relationship Id="rId112" Type="http://schemas.openxmlformats.org/officeDocument/2006/relationships/hyperlink" Target="http://www.drcsc.org/VET/library/Nursery/Mangrove_Nursery_manual_HR.pdf" TargetMode="External"/><Relationship Id="rId133" Type="http://schemas.openxmlformats.org/officeDocument/2006/relationships/hyperlink" Target="http://plantillustrations.org/species.php?id_species=831408" TargetMode="External"/><Relationship Id="rId154" Type="http://schemas.openxmlformats.org/officeDocument/2006/relationships/hyperlink" Target="http://archive.wikiwix.com/cache/?url=http%3A%2F%2Fwww.sciencedirect.com%2Fscience%2Farticle%2Fpii%2FS0278691510003303" TargetMode="External"/><Relationship Id="rId175" Type="http://schemas.openxmlformats.org/officeDocument/2006/relationships/hyperlink" Target="http://bsi.gov.in/PhotoP/8_6_FrontPhotoGallery.aspx" TargetMode="External"/><Relationship Id="rId196" Type="http://schemas.openxmlformats.org/officeDocument/2006/relationships/hyperlink" Target="http://www.sswm.info/category/implementation-tools/water-use/hardware/optimisation-water-use-agriculture/drip-irrigation" TargetMode="External"/><Relationship Id="rId200" Type="http://schemas.openxmlformats.org/officeDocument/2006/relationships/hyperlink" Target="http://www.thegardenglove.com/going-on-vacation-3-diy-self-watering-ideas-for-the-garden/" TargetMode="External"/><Relationship Id="rId16" Type="http://schemas.openxmlformats.org/officeDocument/2006/relationships/hyperlink" Target="https://fr.wikipedia.org/wiki/Lac_Mead" TargetMode="External"/><Relationship Id="rId221" Type="http://schemas.openxmlformats.org/officeDocument/2006/relationships/hyperlink" Target="https://www.persee.fr/doc/tiers_0040-7356_1978_num_19_73_2785" TargetMode="External"/><Relationship Id="rId242" Type="http://schemas.openxmlformats.org/officeDocument/2006/relationships/hyperlink" Target="https://fr.wikipedia.org/wiki/Taillis" TargetMode="External"/><Relationship Id="rId263" Type="http://schemas.openxmlformats.org/officeDocument/2006/relationships/hyperlink" Target="https://fr.wikipedia.org/wiki/BERD" TargetMode="External"/><Relationship Id="rId284" Type="http://schemas.openxmlformats.org/officeDocument/2006/relationships/hyperlink" Target="https://www.anses.fr/fr/system/files/Anses_14_Actes_Colloque_perte_biodiv_SP.pdf" TargetMode="External"/><Relationship Id="rId37" Type="http://schemas.openxmlformats.org/officeDocument/2006/relationships/hyperlink" Target="http://www.grida.no/climate/ipcc_tar/wg1/fig2-18.htm" TargetMode="External"/><Relationship Id="rId58" Type="http://schemas.openxmlformats.org/officeDocument/2006/relationships/hyperlink" Target="https://population.un.org/wpp/Download/Files/1_Indicators%20(Standard)/EXCEL_FILES/1_Population/WPP2019_POP_F01_1_TOTAL_POPULATION_BOTH_SEXES.xlsx" TargetMode="External"/><Relationship Id="rId79" Type="http://schemas.openxmlformats.org/officeDocument/2006/relationships/hyperlink" Target="http://www.virgin.com/unite/news/battling-encroaching-desert-part-2" TargetMode="External"/><Relationship Id="rId102" Type="http://schemas.openxmlformats.org/officeDocument/2006/relationships/hyperlink" Target="http://www.formad-environnement.org/paletuviers_29dec11.pdf" TargetMode="External"/><Relationship Id="rId123" Type="http://schemas.openxmlformats.org/officeDocument/2006/relationships/hyperlink" Target="https://fr.wikipedia.org/wiki/Betoideae" TargetMode="External"/><Relationship Id="rId144" Type="http://schemas.openxmlformats.org/officeDocument/2006/relationships/hyperlink" Target="https://www.lequotidiendumedecin.fr/specialites/pneumologie/larachide-ne-compte-pas-pour-des-cacahouetes" TargetMode="External"/><Relationship Id="rId90" Type="http://schemas.openxmlformats.org/officeDocument/2006/relationships/hyperlink" Target="https://en.wikipedia.org/wiki/Flavonoid" TargetMode="External"/><Relationship Id="rId165" Type="http://schemas.openxmlformats.org/officeDocument/2006/relationships/hyperlink" Target="https://fr.wikipedia.org/wiki/Algue_alimentaire" TargetMode="External"/><Relationship Id="rId186" Type="http://schemas.openxmlformats.org/officeDocument/2006/relationships/hyperlink" Target="https://libertytocreatetomorrow.wordpress.com/lamenagement-des-baissieres/" TargetMode="External"/><Relationship Id="rId211" Type="http://schemas.openxmlformats.org/officeDocument/2006/relationships/hyperlink" Target="https://desertification.wordpress.com/2016/02/27/plantation-dune-haie-vive-au-burkina-faso" TargetMode="External"/><Relationship Id="rId232" Type="http://schemas.openxmlformats.org/officeDocument/2006/relationships/hyperlink" Target="https://fr.wikipedia.org/wiki/Dorper" TargetMode="External"/><Relationship Id="rId253" Type="http://schemas.openxmlformats.org/officeDocument/2006/relationships/hyperlink" Target="https://reliefweb.int/report/burkina-faso/burkina-faso-aper-u-de-la-situation-humanitaire-au-26-juillet-2021" TargetMode="External"/><Relationship Id="rId274" Type="http://schemas.openxmlformats.org/officeDocument/2006/relationships/hyperlink" Target="https://www.wathi.org/les-souverainetes-des-societes-africaines-face-a-la-mondialisation-rasa/" TargetMode="External"/><Relationship Id="rId295" Type="http://schemas.openxmlformats.org/officeDocument/2006/relationships/hyperlink" Target="https://fr.wikipedia.org/wiki/Vidange_brutale_d%27un_lac_glaciaire" TargetMode="External"/><Relationship Id="rId27" Type="http://schemas.openxmlformats.org/officeDocument/2006/relationships/hyperlink" Target="https://fr.wikipedia.org/wiki/Creek_Fire_(2020)" TargetMode="External"/><Relationship Id="rId48" Type="http://schemas.openxmlformats.org/officeDocument/2006/relationships/hyperlink" Target="https://fr.wikipedia.org/wiki/Haboob" TargetMode="External"/><Relationship Id="rId69" Type="http://schemas.openxmlformats.org/officeDocument/2006/relationships/hyperlink" Target="https://www.youtube.com/watch?v=tjBugtV8GHc" TargetMode="External"/><Relationship Id="rId113" Type="http://schemas.openxmlformats.org/officeDocument/2006/relationships/hyperlink" Target="http://www.drcsc.org/VET/library/Nursery/Mangrove_Nursery_manual_HR.pdf" TargetMode="External"/><Relationship Id="rId134" Type="http://schemas.openxmlformats.org/officeDocument/2006/relationships/hyperlink" Target="http://plantillustrations.org/species.php?id_species=831408" TargetMode="External"/><Relationship Id="rId80" Type="http://schemas.openxmlformats.org/officeDocument/2006/relationships/hyperlink" Target="http://www.larousse.fr/archives/grande-encyclopedie/page/1050" TargetMode="External"/><Relationship Id="rId155" Type="http://schemas.openxmlformats.org/officeDocument/2006/relationships/hyperlink" Target="http://www.sciencedirect.com/science/article/pii/S0278691510003303" TargetMode="External"/><Relationship Id="rId176" Type="http://schemas.openxmlformats.org/officeDocument/2006/relationships/hyperlink" Target="http://tropical.theferns.info/image.php?id=Commiphora+wightii" TargetMode="External"/><Relationship Id="rId197" Type="http://schemas.openxmlformats.org/officeDocument/2006/relationships/hyperlink" Target="https://fr.aliexpress.com/item/4000846679667.html" TargetMode="External"/><Relationship Id="rId201" Type="http://schemas.openxmlformats.org/officeDocument/2006/relationships/hyperlink" Target="http://plog.puttenahallilake.in/2014/05/pnlit-drip-irrigation-plan.html" TargetMode="External"/><Relationship Id="rId222" Type="http://schemas.openxmlformats.org/officeDocument/2006/relationships/hyperlink" Target="https://www.avsf.org/fr/posts/859/full/pastoralisme-et-lutte-contre-la-desertification-au-nord-senegal" TargetMode="External"/><Relationship Id="rId243" Type="http://schemas.openxmlformats.org/officeDocument/2006/relationships/hyperlink" Target="https://fr.wikipedia.org/wiki/R%C3%A9g%C3%A9n%C3%A9ration_naturelle_assist%C3%A9e" TargetMode="External"/><Relationship Id="rId264" Type="http://schemas.openxmlformats.org/officeDocument/2006/relationships/hyperlink" Target="https://www.doc-developpement-durable.org/file/SITE_reforestation/FoncierMadagascarMaldidier2000.pdf" TargetMode="External"/><Relationship Id="rId285" Type="http://schemas.openxmlformats.org/officeDocument/2006/relationships/hyperlink" Target="https://www.sol-asso.fr/semer-recolter-resister-le-film/" TargetMode="External"/><Relationship Id="rId17" Type="http://schemas.openxmlformats.org/officeDocument/2006/relationships/hyperlink" Target="https://fr.wikipedia.org/wiki/Lac_Poyang" TargetMode="External"/><Relationship Id="rId38" Type="http://schemas.openxmlformats.org/officeDocument/2006/relationships/hyperlink" Target="https://fr.wikipedia.org/wiki/Lac_proglaciaire" TargetMode="External"/><Relationship Id="rId59" Type="http://schemas.openxmlformats.org/officeDocument/2006/relationships/hyperlink" Target="http://archive.wikiwix.com/cache/?url=https%3A%2F%2Fpopulation.un.org%2Fwpp%2FDownload%2FFiles%2F1_Indicators%2520(Standard)%2FEXCEL_FILES%2F1_Population%2FWPP2019_POP_F01_1_TOTAL_POPULATION_BOTH_SEXES.xlsx" TargetMode="External"/><Relationship Id="rId103" Type="http://schemas.openxmlformats.org/officeDocument/2006/relationships/hyperlink" Target="http://ecoaustral.com/le-programme-smartfish-en-appui-lexploitation-du-crabe-de-mangrove" TargetMode="External"/><Relationship Id="rId124" Type="http://schemas.openxmlformats.org/officeDocument/2006/relationships/hyperlink" Target="https://fr.wikipedia.org/wiki/Chenopodiaceae" TargetMode="External"/><Relationship Id="rId70" Type="http://schemas.openxmlformats.org/officeDocument/2006/relationships/hyperlink" Target="http://www.fotothing.com/hs/photo/1cfd323a8ed9d8a67ce21cd14aa00085/" TargetMode="External"/><Relationship Id="rId91" Type="http://schemas.openxmlformats.org/officeDocument/2006/relationships/hyperlink" Target="https://en.wikipedia.org/wiki/2,3-(S)-hexahydroxydiphenoyl-D-glucose" TargetMode="External"/><Relationship Id="rId145" Type="http://schemas.openxmlformats.org/officeDocument/2006/relationships/hyperlink" Target="https://agritrop.cirad.fr/476184/1/document_476184.pdf" TargetMode="External"/><Relationship Id="rId166" Type="http://schemas.openxmlformats.org/officeDocument/2006/relationships/hyperlink" Target="https://fr.wikipedia.org/wiki/Algoculture" TargetMode="External"/><Relationship Id="rId187" Type="http://schemas.openxmlformats.org/officeDocument/2006/relationships/hyperlink" Target="http://www.ma.auf.org/erosion/chapitre1/VI.Lutte.html" TargetMode="External"/><Relationship Id="rId1" Type="http://schemas.openxmlformats.org/officeDocument/2006/relationships/hyperlink" Target="https://fr.wikipedia.org/wiki/Sciences_naturelles" TargetMode="External"/><Relationship Id="rId212" Type="http://schemas.openxmlformats.org/officeDocument/2006/relationships/hyperlink" Target="https://fr.wikipedia.org/wiki/Paillis" TargetMode="External"/><Relationship Id="rId233" Type="http://schemas.openxmlformats.org/officeDocument/2006/relationships/hyperlink" Target="https://fr.wikipedia.org/wiki/Bonsmara" TargetMode="External"/><Relationship Id="rId254" Type="http://schemas.openxmlformats.org/officeDocument/2006/relationships/hyperlink" Target="https://reliefweb.int/report/chad/tchad-rapport-de-situation-8-juil-2021" TargetMode="External"/><Relationship Id="rId28" Type="http://schemas.openxmlformats.org/officeDocument/2006/relationships/hyperlink" Target="https://fr.wikipedia.org/wiki/El_Dorado_Fire_(2020)" TargetMode="External"/><Relationship Id="rId49" Type="http://schemas.openxmlformats.org/officeDocument/2006/relationships/hyperlink" Target="https://fr.wikipedia.org/wiki/Dust_Bowl" TargetMode="External"/><Relationship Id="rId114" Type="http://schemas.openxmlformats.org/officeDocument/2006/relationships/hyperlink" Target="http://www.advanceconsulting.nl/news/1542/2012/09/greening-the-peruvian-desert" TargetMode="External"/><Relationship Id="rId275" Type="http://schemas.openxmlformats.org/officeDocument/2006/relationships/hyperlink" Target="https://en.wikipedia.org/wiki/List_of_people_named_in_the_Pandora_Papers" TargetMode="External"/><Relationship Id="rId296" Type="http://schemas.openxmlformats.org/officeDocument/2006/relationships/hyperlink" Target="http://translate.googleusercontent.com/translate_c?depth=1&amp;hl=fr&amp;prev=search&amp;rurl=translate.google.fr&amp;sl=en&amp;u=http://en.wikipedia.org/wiki/Compound_feed&amp;usg=ALkJrhhFRMRRMXqiEc8TK95W4bHuc6I4Gw" TargetMode="External"/><Relationship Id="rId300" Type="http://schemas.openxmlformats.org/officeDocument/2006/relationships/hyperlink" Target="https://seawatergreenhouse.com/technology" TargetMode="External"/><Relationship Id="rId60" Type="http://schemas.openxmlformats.org/officeDocument/2006/relationships/hyperlink" Target="https://population.un.org/wpp/Download/Files/1_Indicators%20(Standard)/EXCEL_FILES/1_Population/WPP2019_POP_F01_1_TOTAL_POPULATION_BOTH_SEXES.xlsx" TargetMode="External"/><Relationship Id="rId81" Type="http://schemas.openxmlformats.org/officeDocument/2006/relationships/hyperlink" Target="http://www.cirad.fr/publications-ressources/science-pour-tous/dossiers/la-desertification/ce-qu-il-faut-savoir" TargetMode="External"/><Relationship Id="rId135" Type="http://schemas.openxmlformats.org/officeDocument/2006/relationships/hyperlink" Target="http://plantillustrations.org/species.php?id_species=831408" TargetMode="External"/><Relationship Id="rId156" Type="http://schemas.openxmlformats.org/officeDocument/2006/relationships/hyperlink" Target="https://en.wikipedia.org/wiki/International_Center_for_Agricultural_Research_in_the_Dry_Areas" TargetMode="External"/><Relationship Id="rId177" Type="http://schemas.openxmlformats.org/officeDocument/2006/relationships/hyperlink" Target="http://parisaramahiti.kar.nic.in/medicinal_plants_new/med%20plants/p66.html" TargetMode="External"/><Relationship Id="rId198" Type="http://schemas.openxmlformats.org/officeDocument/2006/relationships/hyperlink" Target="http://indulgy.com/post/8cCoGqoWA2/drip-irrigation-a-pinner-wrote-i-do-this-ever" TargetMode="External"/><Relationship Id="rId202" Type="http://schemas.openxmlformats.org/officeDocument/2006/relationships/hyperlink" Target="https://reluctantmemsahib.wordpress.com/category/precious-water/" TargetMode="External"/><Relationship Id="rId223" Type="http://schemas.openxmlformats.org/officeDocument/2006/relationships/hyperlink" Target="https://www.facebook.com/Senegocom/photos/a.414461401941481/648973631823589/" TargetMode="External"/><Relationship Id="rId244" Type="http://schemas.openxmlformats.org/officeDocument/2006/relationships/hyperlink" Target="https://link.springer.com/journal/12665" TargetMode="External"/><Relationship Id="rId18" Type="http://schemas.openxmlformats.org/officeDocument/2006/relationships/hyperlink" Target="https://fr.wikipedia.org/wiki/Endor%C3%A9isme" TargetMode="External"/><Relationship Id="rId39" Type="http://schemas.openxmlformats.org/officeDocument/2006/relationships/hyperlink" Target="https://fr.wikipedia.org/wiki/Lac_intraglaciaire" TargetMode="External"/><Relationship Id="rId265" Type="http://schemas.openxmlformats.org/officeDocument/2006/relationships/hyperlink" Target="https://www.cairn.info/revue-internationale-des-etudes-du-developpement-2020-3-page-7.htm" TargetMode="External"/><Relationship Id="rId286" Type="http://schemas.openxmlformats.org/officeDocument/2006/relationships/hyperlink" Target="https://lareleveetlapeste.fr/au-senegal-les-paysans-retrouvent-leur-souverainete-alimentaire-grace-aux-cereales-locales/" TargetMode="External"/><Relationship Id="rId50" Type="http://schemas.openxmlformats.org/officeDocument/2006/relationships/hyperlink" Target="https://www.unicef.org/madagascar/media/2721/file/La%20valorisation%20du%20cactus%20pour%20le%20d%C3%A9veloppement.pdf" TargetMode="External"/><Relationship Id="rId104" Type="http://schemas.openxmlformats.org/officeDocument/2006/relationships/hyperlink" Target="http://www.fao.org/3/x4130f/x4130f.pdf" TargetMode="External"/><Relationship Id="rId125" Type="http://schemas.openxmlformats.org/officeDocument/2006/relationships/hyperlink" Target="http://link.springer.com/leaf-pricing/chapter/10.1007/978-3-7643-8554-5_12" TargetMode="External"/><Relationship Id="rId146" Type="http://schemas.openxmlformats.org/officeDocument/2006/relationships/hyperlink" Target="http://www.secheresse.info/spip.php?article3397" TargetMode="External"/><Relationship Id="rId167" Type="http://schemas.openxmlformats.org/officeDocument/2006/relationships/hyperlink" Target="http://www.tresorpublic.mg/?p=30971" TargetMode="External"/><Relationship Id="rId188" Type="http://schemas.openxmlformats.org/officeDocument/2006/relationships/hyperlink" Target="http://www.ma.auf.org/erosion/chapitre1/VI.Lutte.html" TargetMode="External"/><Relationship Id="rId71" Type="http://schemas.openxmlformats.org/officeDocument/2006/relationships/hyperlink" Target="http://www.kkl.org.il/eng/forestry-and-ecology/afforestation-in-israel/turning-the-desert-green" TargetMode="External"/><Relationship Id="rId92" Type="http://schemas.openxmlformats.org/officeDocument/2006/relationships/hyperlink" Target="https://en.wikipedia.org/wiki/Punicalin" TargetMode="External"/><Relationship Id="rId213" Type="http://schemas.openxmlformats.org/officeDocument/2006/relationships/hyperlink" Target="http://www.wbdg.org/ccb/DOD/UFC/ufc_4_022_03.pdf" TargetMode="External"/><Relationship Id="rId234" Type="http://schemas.openxmlformats.org/officeDocument/2006/relationships/hyperlink" Target="https://sossahel.org/djibouti-les-produits-de-lelevage-contre-la-faim/"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C1E0662-8641-4C0F-AEB0-2F4F1DCC21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3572</TotalTime>
  <Pages>1</Pages>
  <Words>171720</Words>
  <Characters>944461</Characters>
  <Application>Microsoft Office Word</Application>
  <DocSecurity>0</DocSecurity>
  <Lines>7870</Lines>
  <Paragraphs>2227</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1113954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Benjamin LISAN</dc:creator>
  <cp:keywords/>
  <dc:description/>
  <cp:lastModifiedBy>Benjamin LISAN</cp:lastModifiedBy>
  <cp:revision>540</cp:revision>
  <cp:lastPrinted>2023-07-02T08:01:00Z</cp:lastPrinted>
  <dcterms:created xsi:type="dcterms:W3CDTF">2021-09-11T16:34:00Z</dcterms:created>
  <dcterms:modified xsi:type="dcterms:W3CDTF">2023-07-02T08:04:00Z</dcterms:modified>
</cp:coreProperties>
</file>